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330B68" w14:textId="034D2133" w:rsidR="008E5AE3" w:rsidRPr="00A53AD7" w:rsidRDefault="0057171D" w:rsidP="008E5AE3">
      <w:pPr>
        <w:jc w:val="center"/>
        <w:rPr>
          <w:sz w:val="23"/>
          <w:szCs w:val="23"/>
        </w:rPr>
      </w:pPr>
      <w:r w:rsidRPr="00A53AD7">
        <w:rPr>
          <w:noProof/>
          <w:sz w:val="23"/>
          <w:szCs w:val="23"/>
        </w:rPr>
        <w:t xml:space="preserve"> </w:t>
      </w:r>
      <w:r w:rsidR="008E5AE3" w:rsidRPr="00A53AD7">
        <w:rPr>
          <w:noProof/>
          <w:sz w:val="23"/>
          <w:szCs w:val="23"/>
          <w:lang w:eastAsia="ru-RU"/>
        </w:rPr>
        <w:drawing>
          <wp:inline distT="0" distB="0" distL="0" distR="0" wp14:anchorId="44964F94" wp14:editId="5577BF79">
            <wp:extent cx="590550" cy="685800"/>
            <wp:effectExtent l="0" t="0" r="0" b="0"/>
            <wp:docPr id="34" name="Рисунок 34"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19497358" w14:textId="77777777" w:rsidR="008E5AE3" w:rsidRPr="00A53AD7" w:rsidRDefault="008E5AE3" w:rsidP="008E5AE3">
      <w:pPr>
        <w:pStyle w:val="af9"/>
        <w:ind w:firstLine="0"/>
        <w:jc w:val="center"/>
        <w:rPr>
          <w:b/>
          <w:sz w:val="27"/>
          <w:szCs w:val="27"/>
        </w:rPr>
      </w:pPr>
      <w:r w:rsidRPr="00A53AD7">
        <w:rPr>
          <w:b/>
          <w:sz w:val="27"/>
          <w:szCs w:val="27"/>
        </w:rPr>
        <w:t>КОНТРОЛЬНО</w:t>
      </w:r>
      <w:bookmarkStart w:id="0" w:name="_GoBack"/>
      <w:bookmarkEnd w:id="0"/>
      <w:r w:rsidRPr="00A53AD7">
        <w:rPr>
          <w:b/>
          <w:sz w:val="27"/>
          <w:szCs w:val="27"/>
        </w:rPr>
        <w:t>-СЧЕТНАЯ ПАЛАТА АРХАНГЕЛЬСКОЙ ОБЛАСТИ</w:t>
      </w:r>
    </w:p>
    <w:p w14:paraId="31DAB34A" w14:textId="77777777" w:rsidR="008E5AE3" w:rsidRPr="00A53AD7" w:rsidRDefault="008E5AE3" w:rsidP="008E5AE3">
      <w:pPr>
        <w:pStyle w:val="af9"/>
        <w:ind w:firstLine="0"/>
        <w:jc w:val="center"/>
        <w:rPr>
          <w:b/>
          <w:sz w:val="27"/>
          <w:szCs w:val="27"/>
        </w:rPr>
      </w:pPr>
    </w:p>
    <w:p w14:paraId="2E1CD9D4" w14:textId="77777777" w:rsidR="008E5AE3" w:rsidRPr="00A53AD7" w:rsidRDefault="008E5AE3" w:rsidP="008E5AE3">
      <w:pPr>
        <w:pStyle w:val="af9"/>
        <w:ind w:firstLine="0"/>
        <w:jc w:val="center"/>
        <w:rPr>
          <w:b/>
          <w:sz w:val="27"/>
          <w:szCs w:val="27"/>
        </w:rPr>
      </w:pPr>
      <w:r w:rsidRPr="00A53AD7">
        <w:rPr>
          <w:b/>
          <w:sz w:val="27"/>
          <w:szCs w:val="27"/>
        </w:rPr>
        <w:t>ПРЕДСЕДАТЕЛЬ</w:t>
      </w:r>
    </w:p>
    <w:p w14:paraId="23DD597B" w14:textId="77777777" w:rsidR="008E5AE3" w:rsidRPr="00A53AD7" w:rsidRDefault="008E5AE3" w:rsidP="008E5AE3">
      <w:pPr>
        <w:pStyle w:val="af9"/>
        <w:ind w:firstLine="0"/>
        <w:jc w:val="center"/>
        <w:rPr>
          <w:b/>
          <w:sz w:val="19"/>
          <w:szCs w:val="19"/>
        </w:rPr>
      </w:pPr>
    </w:p>
    <w:p w14:paraId="7DBE97C0" w14:textId="77777777" w:rsidR="008E5AE3" w:rsidRPr="00A53AD7" w:rsidRDefault="008E5AE3" w:rsidP="008E5AE3">
      <w:pPr>
        <w:pStyle w:val="af9"/>
        <w:ind w:firstLine="0"/>
        <w:jc w:val="center"/>
        <w:rPr>
          <w:b/>
          <w:bCs/>
          <w:sz w:val="19"/>
          <w:szCs w:val="19"/>
        </w:rPr>
      </w:pPr>
      <w:r w:rsidRPr="00A53AD7">
        <w:rPr>
          <w:b/>
          <w:sz w:val="19"/>
          <w:szCs w:val="19"/>
        </w:rPr>
        <w:t>пл. Ленина, 1, г. Архангельск, 163000</w:t>
      </w:r>
      <w:r w:rsidRPr="00A53AD7">
        <w:rPr>
          <w:bCs/>
          <w:sz w:val="19"/>
          <w:szCs w:val="19"/>
        </w:rPr>
        <w:t xml:space="preserve"> </w:t>
      </w:r>
      <w:r w:rsidRPr="00A53AD7">
        <w:rPr>
          <w:b/>
          <w:bCs/>
          <w:sz w:val="19"/>
          <w:szCs w:val="19"/>
        </w:rPr>
        <w:t xml:space="preserve">телефон/факс: 63-50-66, </w:t>
      </w:r>
      <w:r w:rsidRPr="00A53AD7">
        <w:rPr>
          <w:b/>
          <w:bCs/>
          <w:sz w:val="19"/>
          <w:szCs w:val="19"/>
          <w:lang w:val="en-US"/>
        </w:rPr>
        <w:t>e</w:t>
      </w:r>
      <w:r w:rsidRPr="00A53AD7">
        <w:rPr>
          <w:b/>
          <w:bCs/>
          <w:sz w:val="19"/>
          <w:szCs w:val="19"/>
        </w:rPr>
        <w:t>-</w:t>
      </w:r>
      <w:r w:rsidRPr="00A53AD7">
        <w:rPr>
          <w:b/>
          <w:bCs/>
          <w:sz w:val="19"/>
          <w:szCs w:val="19"/>
          <w:lang w:val="en-US"/>
        </w:rPr>
        <w:t>mail</w:t>
      </w:r>
      <w:r w:rsidRPr="00A53AD7">
        <w:rPr>
          <w:b/>
          <w:bCs/>
          <w:sz w:val="19"/>
          <w:szCs w:val="19"/>
        </w:rPr>
        <w:t xml:space="preserve">: </w:t>
      </w:r>
      <w:hyperlink r:id="rId9" w:history="1">
        <w:r w:rsidRPr="00A53AD7">
          <w:rPr>
            <w:rStyle w:val="afb"/>
            <w:b/>
            <w:bCs/>
            <w:color w:val="auto"/>
            <w:sz w:val="19"/>
            <w:szCs w:val="19"/>
            <w:lang w:val="en-US"/>
          </w:rPr>
          <w:t>support</w:t>
        </w:r>
        <w:r w:rsidRPr="00A53AD7">
          <w:rPr>
            <w:rStyle w:val="afb"/>
            <w:b/>
            <w:bCs/>
            <w:color w:val="auto"/>
            <w:sz w:val="19"/>
            <w:szCs w:val="19"/>
          </w:rPr>
          <w:t>@</w:t>
        </w:r>
        <w:r w:rsidRPr="00A53AD7">
          <w:rPr>
            <w:rStyle w:val="afb"/>
            <w:b/>
            <w:bCs/>
            <w:color w:val="auto"/>
            <w:sz w:val="19"/>
            <w:szCs w:val="19"/>
            <w:lang w:val="en-US"/>
          </w:rPr>
          <w:t>kspao</w:t>
        </w:r>
        <w:r w:rsidRPr="00A53AD7">
          <w:rPr>
            <w:rStyle w:val="afb"/>
            <w:b/>
            <w:bCs/>
            <w:color w:val="auto"/>
            <w:sz w:val="19"/>
            <w:szCs w:val="19"/>
          </w:rPr>
          <w:t>.</w:t>
        </w:r>
        <w:r w:rsidRPr="00A53AD7">
          <w:rPr>
            <w:rStyle w:val="afb"/>
            <w:b/>
            <w:bCs/>
            <w:color w:val="auto"/>
            <w:sz w:val="19"/>
            <w:szCs w:val="19"/>
            <w:lang w:val="en-US"/>
          </w:rPr>
          <w:t>ru</w:t>
        </w:r>
      </w:hyperlink>
    </w:p>
    <w:p w14:paraId="13D09950" w14:textId="77777777" w:rsidR="008E5AE3" w:rsidRPr="00A53AD7" w:rsidRDefault="008E5AE3" w:rsidP="008E5AE3">
      <w:pPr>
        <w:pStyle w:val="ad"/>
        <w:jc w:val="center"/>
        <w:rPr>
          <w:spacing w:val="66"/>
          <w:sz w:val="27"/>
          <w:szCs w:val="27"/>
        </w:rPr>
      </w:pPr>
    </w:p>
    <w:p w14:paraId="2166AD05" w14:textId="77777777" w:rsidR="00B2065B" w:rsidRPr="00A53AD7" w:rsidRDefault="00B2065B" w:rsidP="007B066E">
      <w:pPr>
        <w:pStyle w:val="ad"/>
        <w:jc w:val="center"/>
        <w:rPr>
          <w:rFonts w:ascii="Times New Roman" w:hAnsi="Times New Roman"/>
          <w:spacing w:val="72"/>
          <w:sz w:val="28"/>
          <w:szCs w:val="28"/>
        </w:rPr>
      </w:pPr>
    </w:p>
    <w:p w14:paraId="3C891E7C" w14:textId="77777777" w:rsidR="007B066E" w:rsidRPr="00A53AD7" w:rsidRDefault="007B066E" w:rsidP="007B066E">
      <w:pPr>
        <w:pStyle w:val="ad"/>
        <w:jc w:val="center"/>
        <w:rPr>
          <w:rFonts w:ascii="Times New Roman" w:hAnsi="Times New Roman"/>
          <w:spacing w:val="72"/>
          <w:sz w:val="28"/>
          <w:szCs w:val="28"/>
        </w:rPr>
      </w:pPr>
      <w:r w:rsidRPr="00A53AD7">
        <w:rPr>
          <w:rFonts w:ascii="Times New Roman" w:hAnsi="Times New Roman"/>
          <w:spacing w:val="72"/>
          <w:sz w:val="28"/>
          <w:szCs w:val="28"/>
        </w:rPr>
        <w:t>ЗАКЛЮЧЕНИЕ</w:t>
      </w:r>
    </w:p>
    <w:p w14:paraId="73633C62" w14:textId="77777777" w:rsidR="007B066E" w:rsidRPr="00A53AD7" w:rsidRDefault="007B066E" w:rsidP="007B066E">
      <w:pPr>
        <w:pStyle w:val="ad"/>
        <w:jc w:val="center"/>
        <w:rPr>
          <w:rFonts w:ascii="Times New Roman" w:hAnsi="Times New Roman"/>
          <w:sz w:val="28"/>
          <w:szCs w:val="28"/>
        </w:rPr>
      </w:pPr>
      <w:r w:rsidRPr="00A53AD7">
        <w:rPr>
          <w:rFonts w:ascii="Times New Roman" w:hAnsi="Times New Roman"/>
          <w:sz w:val="28"/>
          <w:szCs w:val="28"/>
        </w:rPr>
        <w:t>по результатам внешней проверки отчета об исполнении</w:t>
      </w:r>
    </w:p>
    <w:p w14:paraId="4110646D" w14:textId="6C878DA0" w:rsidR="007B066E" w:rsidRPr="00A53AD7" w:rsidRDefault="007B066E" w:rsidP="007B066E">
      <w:pPr>
        <w:pStyle w:val="ad"/>
        <w:jc w:val="center"/>
        <w:rPr>
          <w:rFonts w:ascii="Times New Roman" w:hAnsi="Times New Roman"/>
          <w:sz w:val="28"/>
          <w:szCs w:val="28"/>
        </w:rPr>
      </w:pPr>
      <w:r w:rsidRPr="00A53AD7">
        <w:rPr>
          <w:rFonts w:ascii="Times New Roman" w:hAnsi="Times New Roman"/>
          <w:sz w:val="28"/>
          <w:szCs w:val="28"/>
        </w:rPr>
        <w:t>бюджета Архангельской области за 201</w:t>
      </w:r>
      <w:r w:rsidR="00953096" w:rsidRPr="00A53AD7">
        <w:rPr>
          <w:rFonts w:ascii="Times New Roman" w:hAnsi="Times New Roman"/>
          <w:sz w:val="28"/>
          <w:szCs w:val="28"/>
        </w:rPr>
        <w:t>9</w:t>
      </w:r>
      <w:r w:rsidRPr="00A53AD7">
        <w:rPr>
          <w:rFonts w:ascii="Times New Roman" w:hAnsi="Times New Roman"/>
          <w:sz w:val="28"/>
          <w:szCs w:val="28"/>
        </w:rPr>
        <w:t xml:space="preserve"> год</w:t>
      </w:r>
    </w:p>
    <w:p w14:paraId="2CE987EF" w14:textId="77777777" w:rsidR="007B066E" w:rsidRPr="00A53AD7" w:rsidRDefault="007B066E" w:rsidP="007B066E">
      <w:pPr>
        <w:pStyle w:val="ad"/>
        <w:jc w:val="both"/>
        <w:rPr>
          <w:rFonts w:ascii="Times New Roman" w:hAnsi="Times New Roman"/>
          <w:sz w:val="28"/>
          <w:szCs w:val="28"/>
        </w:rPr>
      </w:pPr>
    </w:p>
    <w:p w14:paraId="1610A99A" w14:textId="22822E3D" w:rsidR="004B4819" w:rsidRPr="00A53AD7" w:rsidRDefault="008E5AE3" w:rsidP="004B4819">
      <w:pPr>
        <w:pStyle w:val="ad"/>
        <w:rPr>
          <w:rFonts w:ascii="Times New Roman" w:hAnsi="Times New Roman"/>
          <w:sz w:val="28"/>
          <w:szCs w:val="28"/>
        </w:rPr>
      </w:pPr>
      <w:r w:rsidRPr="00A53AD7">
        <w:rPr>
          <w:rFonts w:ascii="Times New Roman" w:hAnsi="Times New Roman"/>
          <w:sz w:val="28"/>
          <w:szCs w:val="28"/>
        </w:rPr>
        <w:t>02</w:t>
      </w:r>
      <w:r w:rsidR="004B4819" w:rsidRPr="00A53AD7">
        <w:rPr>
          <w:rFonts w:ascii="Times New Roman" w:hAnsi="Times New Roman"/>
          <w:sz w:val="28"/>
          <w:szCs w:val="28"/>
        </w:rPr>
        <w:t xml:space="preserve"> </w:t>
      </w:r>
      <w:r w:rsidRPr="00A53AD7">
        <w:rPr>
          <w:rFonts w:ascii="Times New Roman" w:hAnsi="Times New Roman"/>
          <w:sz w:val="28"/>
          <w:szCs w:val="28"/>
        </w:rPr>
        <w:t>июня</w:t>
      </w:r>
      <w:r w:rsidR="004B4819" w:rsidRPr="00A53AD7">
        <w:rPr>
          <w:rFonts w:ascii="Times New Roman" w:hAnsi="Times New Roman"/>
          <w:sz w:val="28"/>
          <w:szCs w:val="28"/>
        </w:rPr>
        <w:t xml:space="preserve"> 20</w:t>
      </w:r>
      <w:r w:rsidR="00953096" w:rsidRPr="00A53AD7">
        <w:rPr>
          <w:rFonts w:ascii="Times New Roman" w:hAnsi="Times New Roman"/>
          <w:sz w:val="28"/>
          <w:szCs w:val="28"/>
        </w:rPr>
        <w:t>20</w:t>
      </w:r>
      <w:r w:rsidR="004B4819" w:rsidRPr="00A53AD7">
        <w:rPr>
          <w:rFonts w:ascii="Times New Roman" w:hAnsi="Times New Roman"/>
          <w:sz w:val="28"/>
          <w:szCs w:val="28"/>
        </w:rPr>
        <w:t xml:space="preserve"> г</w:t>
      </w:r>
      <w:r w:rsidR="00953096" w:rsidRPr="00A53AD7">
        <w:rPr>
          <w:rFonts w:ascii="Times New Roman" w:hAnsi="Times New Roman"/>
          <w:sz w:val="28"/>
          <w:szCs w:val="28"/>
        </w:rPr>
        <w:t>ода</w:t>
      </w:r>
    </w:p>
    <w:p w14:paraId="18474141" w14:textId="77777777" w:rsidR="004B4819" w:rsidRPr="00A53AD7" w:rsidRDefault="004B4819" w:rsidP="007B066E">
      <w:pPr>
        <w:pStyle w:val="ad"/>
        <w:jc w:val="both"/>
        <w:rPr>
          <w:rFonts w:ascii="Times New Roman" w:hAnsi="Times New Roman"/>
          <w:sz w:val="28"/>
          <w:szCs w:val="28"/>
        </w:rPr>
      </w:pPr>
    </w:p>
    <w:p w14:paraId="009F18F5" w14:textId="11B3611B" w:rsidR="007B066E" w:rsidRPr="00A53AD7" w:rsidRDefault="007B066E" w:rsidP="007B066E">
      <w:pPr>
        <w:pStyle w:val="ad"/>
        <w:ind w:firstLine="851"/>
        <w:jc w:val="both"/>
        <w:rPr>
          <w:rFonts w:ascii="Times New Roman" w:hAnsi="Times New Roman"/>
          <w:sz w:val="28"/>
          <w:szCs w:val="28"/>
        </w:rPr>
      </w:pPr>
      <w:r w:rsidRPr="00A53AD7">
        <w:rPr>
          <w:rFonts w:ascii="Times New Roman" w:hAnsi="Times New Roman"/>
          <w:sz w:val="28"/>
          <w:szCs w:val="28"/>
        </w:rPr>
        <w:t xml:space="preserve">В соответствии со </w:t>
      </w:r>
      <w:r w:rsidR="0018773C" w:rsidRPr="00A53AD7">
        <w:rPr>
          <w:rFonts w:ascii="Times New Roman" w:hAnsi="Times New Roman"/>
          <w:sz w:val="28"/>
          <w:szCs w:val="28"/>
        </w:rPr>
        <w:t xml:space="preserve">ст. 264.4 Бюджетного кодекса РФ, </w:t>
      </w:r>
      <w:r w:rsidRPr="00A53AD7">
        <w:rPr>
          <w:rFonts w:ascii="Times New Roman" w:hAnsi="Times New Roman"/>
          <w:sz w:val="28"/>
          <w:szCs w:val="28"/>
        </w:rPr>
        <w:t>ст. 31 областного закона от 23.09.2008 № 562-29-ОЗ «О бюджетном процессе Архангельской области»</w:t>
      </w:r>
      <w:r w:rsidR="006169B3" w:rsidRPr="00A53AD7">
        <w:rPr>
          <w:rFonts w:ascii="Times New Roman" w:hAnsi="Times New Roman"/>
          <w:sz w:val="28"/>
          <w:szCs w:val="28"/>
        </w:rPr>
        <w:t xml:space="preserve"> (далее –</w:t>
      </w:r>
      <w:r w:rsidR="00D31364" w:rsidRPr="00A53AD7">
        <w:rPr>
          <w:rFonts w:ascii="Times New Roman" w:hAnsi="Times New Roman"/>
          <w:sz w:val="28"/>
          <w:szCs w:val="28"/>
        </w:rPr>
        <w:t xml:space="preserve"> областной </w:t>
      </w:r>
      <w:r w:rsidR="006169B3" w:rsidRPr="00A53AD7">
        <w:rPr>
          <w:rFonts w:ascii="Times New Roman" w:hAnsi="Times New Roman"/>
          <w:sz w:val="28"/>
          <w:szCs w:val="28"/>
        </w:rPr>
        <w:t>закон о бюджетном процессе)</w:t>
      </w:r>
      <w:r w:rsidR="00964366" w:rsidRPr="00A53AD7">
        <w:rPr>
          <w:rFonts w:ascii="Times New Roman" w:hAnsi="Times New Roman"/>
          <w:sz w:val="28"/>
          <w:szCs w:val="28"/>
        </w:rPr>
        <w:t>,</w:t>
      </w:r>
      <w:r w:rsidRPr="00A53AD7">
        <w:rPr>
          <w:rFonts w:ascii="Times New Roman" w:hAnsi="Times New Roman"/>
          <w:sz w:val="28"/>
          <w:szCs w:val="28"/>
        </w:rPr>
        <w:t xml:space="preserve"> ст. 8 областного закона от 30.05.2011 № 288-22-ОЗ «О контрольно-счетной палате Архангельской области»</w:t>
      </w:r>
      <w:r w:rsidR="00953096" w:rsidRPr="00A53AD7">
        <w:rPr>
          <w:rFonts w:ascii="Times New Roman" w:hAnsi="Times New Roman"/>
          <w:sz w:val="28"/>
          <w:szCs w:val="28"/>
        </w:rPr>
        <w:t>, п. 1.1.6 Плана экспертно-аналитической и контрольной деятельности контрольно-счетной палаты Архангельской области на 2020 год</w:t>
      </w:r>
      <w:r w:rsidR="00964366" w:rsidRPr="00A53AD7">
        <w:rPr>
          <w:rFonts w:ascii="Times New Roman" w:hAnsi="Times New Roman"/>
          <w:sz w:val="28"/>
          <w:szCs w:val="28"/>
        </w:rPr>
        <w:t xml:space="preserve"> и распоряжением контрольно-счетной палаты </w:t>
      </w:r>
      <w:r w:rsidR="009F3CF0" w:rsidRPr="00A53AD7">
        <w:rPr>
          <w:rFonts w:ascii="Times New Roman" w:hAnsi="Times New Roman"/>
          <w:sz w:val="28"/>
          <w:szCs w:val="28"/>
        </w:rPr>
        <w:t xml:space="preserve">Архангельской области </w:t>
      </w:r>
      <w:r w:rsidR="00964366" w:rsidRPr="00A53AD7">
        <w:rPr>
          <w:rFonts w:ascii="Times New Roman" w:hAnsi="Times New Roman"/>
          <w:sz w:val="28"/>
          <w:szCs w:val="28"/>
        </w:rPr>
        <w:t xml:space="preserve">от </w:t>
      </w:r>
      <w:r w:rsidR="009F3CF0" w:rsidRPr="00A53AD7">
        <w:rPr>
          <w:rFonts w:ascii="Times New Roman" w:hAnsi="Times New Roman"/>
          <w:sz w:val="28"/>
          <w:szCs w:val="28"/>
        </w:rPr>
        <w:t>1</w:t>
      </w:r>
      <w:r w:rsidR="00DF1805" w:rsidRPr="00A53AD7">
        <w:rPr>
          <w:rFonts w:ascii="Times New Roman" w:hAnsi="Times New Roman"/>
          <w:sz w:val="28"/>
          <w:szCs w:val="28"/>
        </w:rPr>
        <w:t>0</w:t>
      </w:r>
      <w:r w:rsidR="00964366" w:rsidRPr="00A53AD7">
        <w:rPr>
          <w:rFonts w:ascii="Times New Roman" w:hAnsi="Times New Roman"/>
          <w:sz w:val="28"/>
          <w:szCs w:val="28"/>
        </w:rPr>
        <w:t>.04.20</w:t>
      </w:r>
      <w:r w:rsidR="00953096" w:rsidRPr="00A53AD7">
        <w:rPr>
          <w:rFonts w:ascii="Times New Roman" w:hAnsi="Times New Roman"/>
          <w:sz w:val="28"/>
          <w:szCs w:val="28"/>
        </w:rPr>
        <w:t>20</w:t>
      </w:r>
      <w:r w:rsidR="00964366" w:rsidRPr="00A53AD7">
        <w:rPr>
          <w:rFonts w:ascii="Times New Roman" w:hAnsi="Times New Roman"/>
          <w:sz w:val="28"/>
          <w:szCs w:val="28"/>
        </w:rPr>
        <w:t xml:space="preserve"> № 1</w:t>
      </w:r>
      <w:r w:rsidR="00953096" w:rsidRPr="00A53AD7">
        <w:rPr>
          <w:rFonts w:ascii="Times New Roman" w:hAnsi="Times New Roman"/>
          <w:sz w:val="28"/>
          <w:szCs w:val="28"/>
        </w:rPr>
        <w:t>1</w:t>
      </w:r>
      <w:r w:rsidR="00964366" w:rsidRPr="00A53AD7">
        <w:rPr>
          <w:rFonts w:ascii="Times New Roman" w:hAnsi="Times New Roman"/>
          <w:sz w:val="28"/>
          <w:szCs w:val="28"/>
        </w:rPr>
        <w:t>-р</w:t>
      </w:r>
      <w:r w:rsidRPr="00A53AD7">
        <w:rPr>
          <w:rFonts w:ascii="Times New Roman" w:hAnsi="Times New Roman"/>
          <w:sz w:val="28"/>
          <w:szCs w:val="28"/>
        </w:rPr>
        <w:t xml:space="preserve">, контрольно-счетной палатой </w:t>
      </w:r>
      <w:r w:rsidR="00151AE5" w:rsidRPr="00A53AD7">
        <w:rPr>
          <w:rFonts w:ascii="Times New Roman" w:hAnsi="Times New Roman"/>
          <w:sz w:val="28"/>
          <w:szCs w:val="28"/>
        </w:rPr>
        <w:t xml:space="preserve">Архангельской области </w:t>
      </w:r>
      <w:r w:rsidRPr="00A53AD7">
        <w:rPr>
          <w:rFonts w:ascii="Times New Roman" w:hAnsi="Times New Roman"/>
          <w:sz w:val="28"/>
          <w:szCs w:val="28"/>
        </w:rPr>
        <w:t>проведена внешняя проверка годового отчета об исполнении областного бюджета за 201</w:t>
      </w:r>
      <w:r w:rsidR="009C6692" w:rsidRPr="00A53AD7">
        <w:rPr>
          <w:rFonts w:ascii="Times New Roman" w:hAnsi="Times New Roman"/>
          <w:sz w:val="28"/>
          <w:szCs w:val="28"/>
        </w:rPr>
        <w:t>9</w:t>
      </w:r>
      <w:r w:rsidRPr="00A53AD7">
        <w:rPr>
          <w:rFonts w:ascii="Times New Roman" w:hAnsi="Times New Roman"/>
          <w:sz w:val="28"/>
          <w:szCs w:val="28"/>
        </w:rPr>
        <w:t xml:space="preserve"> год</w:t>
      </w:r>
      <w:r w:rsidR="009F3CF0" w:rsidRPr="00A53AD7">
        <w:rPr>
          <w:rFonts w:ascii="Times New Roman" w:hAnsi="Times New Roman"/>
          <w:sz w:val="28"/>
          <w:szCs w:val="28"/>
        </w:rPr>
        <w:t>, а также документов</w:t>
      </w:r>
      <w:r w:rsidRPr="00A53AD7">
        <w:rPr>
          <w:rFonts w:ascii="Times New Roman" w:hAnsi="Times New Roman"/>
          <w:sz w:val="28"/>
          <w:szCs w:val="28"/>
        </w:rPr>
        <w:t xml:space="preserve"> и материалов к нему.</w:t>
      </w:r>
    </w:p>
    <w:p w14:paraId="728D2746" w14:textId="5C7F527D" w:rsidR="007B066E" w:rsidRPr="00A53AD7" w:rsidRDefault="00654464" w:rsidP="007B066E">
      <w:pPr>
        <w:pStyle w:val="ad"/>
        <w:ind w:firstLine="851"/>
        <w:jc w:val="both"/>
        <w:rPr>
          <w:rFonts w:ascii="Times New Roman" w:hAnsi="Times New Roman"/>
          <w:sz w:val="28"/>
          <w:szCs w:val="28"/>
        </w:rPr>
      </w:pPr>
      <w:r w:rsidRPr="00A53AD7">
        <w:rPr>
          <w:rFonts w:ascii="Times New Roman" w:hAnsi="Times New Roman"/>
          <w:sz w:val="28"/>
          <w:szCs w:val="28"/>
        </w:rPr>
        <w:t>П</w:t>
      </w:r>
      <w:r w:rsidR="007B066E" w:rsidRPr="00A53AD7">
        <w:rPr>
          <w:rFonts w:ascii="Times New Roman" w:hAnsi="Times New Roman"/>
          <w:sz w:val="28"/>
          <w:szCs w:val="28"/>
        </w:rPr>
        <w:t>ри подготовке настоящего заключения использован</w:t>
      </w:r>
      <w:r w:rsidR="009C6692" w:rsidRPr="00A53AD7">
        <w:rPr>
          <w:rFonts w:ascii="Times New Roman" w:hAnsi="Times New Roman"/>
          <w:sz w:val="28"/>
          <w:szCs w:val="28"/>
        </w:rPr>
        <w:t>а отчетность и иные материалы</w:t>
      </w:r>
      <w:r w:rsidR="007B066E" w:rsidRPr="00A53AD7">
        <w:rPr>
          <w:rFonts w:ascii="Times New Roman" w:hAnsi="Times New Roman"/>
          <w:sz w:val="28"/>
          <w:szCs w:val="28"/>
        </w:rPr>
        <w:t xml:space="preserve"> </w:t>
      </w:r>
      <w:r w:rsidR="00F64E6A" w:rsidRPr="00A53AD7">
        <w:rPr>
          <w:rFonts w:ascii="Times New Roman" w:hAnsi="Times New Roman"/>
          <w:sz w:val="28"/>
          <w:szCs w:val="28"/>
        </w:rPr>
        <w:t>об</w:t>
      </w:r>
      <w:r w:rsidR="007B066E" w:rsidRPr="00A53AD7">
        <w:rPr>
          <w:rFonts w:ascii="Times New Roman" w:hAnsi="Times New Roman"/>
          <w:sz w:val="28"/>
          <w:szCs w:val="28"/>
        </w:rPr>
        <w:t xml:space="preserve"> исполнени</w:t>
      </w:r>
      <w:r w:rsidR="00F64E6A" w:rsidRPr="00A53AD7">
        <w:rPr>
          <w:rFonts w:ascii="Times New Roman" w:hAnsi="Times New Roman"/>
          <w:sz w:val="28"/>
          <w:szCs w:val="28"/>
        </w:rPr>
        <w:t>и</w:t>
      </w:r>
      <w:r w:rsidR="007B066E" w:rsidRPr="00A53AD7">
        <w:rPr>
          <w:rFonts w:ascii="Times New Roman" w:hAnsi="Times New Roman"/>
          <w:sz w:val="28"/>
          <w:szCs w:val="28"/>
        </w:rPr>
        <w:t xml:space="preserve"> консолидированного бюджета Архангельской области</w:t>
      </w:r>
      <w:r w:rsidR="009C6692" w:rsidRPr="00A53AD7">
        <w:rPr>
          <w:rFonts w:ascii="Times New Roman" w:hAnsi="Times New Roman"/>
          <w:sz w:val="28"/>
          <w:szCs w:val="28"/>
        </w:rPr>
        <w:t xml:space="preserve"> за 2019 год</w:t>
      </w:r>
      <w:r w:rsidR="007B066E" w:rsidRPr="00A53AD7">
        <w:rPr>
          <w:rFonts w:ascii="Times New Roman" w:hAnsi="Times New Roman"/>
          <w:sz w:val="28"/>
          <w:szCs w:val="28"/>
        </w:rPr>
        <w:t xml:space="preserve">, данные бюджетной отчетности об исполнении областного бюджета, материалы проверок исполнения </w:t>
      </w:r>
      <w:r w:rsidR="00F64E6A" w:rsidRPr="00A53AD7">
        <w:rPr>
          <w:rFonts w:ascii="Times New Roman" w:hAnsi="Times New Roman"/>
          <w:sz w:val="28"/>
          <w:szCs w:val="28"/>
        </w:rPr>
        <w:t xml:space="preserve">областного </w:t>
      </w:r>
      <w:r w:rsidR="007B066E" w:rsidRPr="00A53AD7">
        <w:rPr>
          <w:rFonts w:ascii="Times New Roman" w:hAnsi="Times New Roman"/>
          <w:sz w:val="28"/>
          <w:szCs w:val="28"/>
        </w:rPr>
        <w:t>бюджета</w:t>
      </w:r>
      <w:r w:rsidR="00F64E6A" w:rsidRPr="00A53AD7">
        <w:rPr>
          <w:rFonts w:ascii="Times New Roman" w:hAnsi="Times New Roman"/>
          <w:sz w:val="28"/>
          <w:szCs w:val="28"/>
        </w:rPr>
        <w:t xml:space="preserve"> </w:t>
      </w:r>
      <w:r w:rsidR="006905EB" w:rsidRPr="00A53AD7">
        <w:rPr>
          <w:rFonts w:ascii="Times New Roman" w:hAnsi="Times New Roman"/>
          <w:sz w:val="28"/>
          <w:szCs w:val="28"/>
        </w:rPr>
        <w:t xml:space="preserve">отдельными </w:t>
      </w:r>
      <w:r w:rsidR="00F64E6A" w:rsidRPr="00A53AD7">
        <w:rPr>
          <w:rFonts w:ascii="Times New Roman" w:hAnsi="Times New Roman"/>
          <w:sz w:val="28"/>
          <w:szCs w:val="28"/>
        </w:rPr>
        <w:t>главными распорядителями средств областного бюджета</w:t>
      </w:r>
      <w:r w:rsidR="006905EB" w:rsidRPr="00A53AD7">
        <w:rPr>
          <w:rFonts w:ascii="Times New Roman" w:hAnsi="Times New Roman"/>
          <w:sz w:val="28"/>
          <w:szCs w:val="28"/>
        </w:rPr>
        <w:t>,</w:t>
      </w:r>
      <w:r w:rsidR="007B066E" w:rsidRPr="00A53AD7">
        <w:rPr>
          <w:rFonts w:ascii="Times New Roman" w:hAnsi="Times New Roman"/>
          <w:sz w:val="28"/>
          <w:szCs w:val="28"/>
        </w:rPr>
        <w:t xml:space="preserve"> </w:t>
      </w:r>
      <w:r w:rsidR="006905EB" w:rsidRPr="00A53AD7">
        <w:rPr>
          <w:rFonts w:ascii="Times New Roman" w:hAnsi="Times New Roman"/>
          <w:sz w:val="28"/>
          <w:szCs w:val="28"/>
        </w:rPr>
        <w:t>а</w:t>
      </w:r>
      <w:r w:rsidR="007B066E" w:rsidRPr="00A53AD7">
        <w:rPr>
          <w:rFonts w:ascii="Times New Roman" w:hAnsi="Times New Roman"/>
          <w:sz w:val="28"/>
          <w:szCs w:val="28"/>
        </w:rPr>
        <w:t xml:space="preserve"> </w:t>
      </w:r>
      <w:r w:rsidR="006905EB" w:rsidRPr="00A53AD7">
        <w:rPr>
          <w:rFonts w:ascii="Times New Roman" w:hAnsi="Times New Roman"/>
          <w:sz w:val="28"/>
          <w:szCs w:val="28"/>
        </w:rPr>
        <w:t xml:space="preserve">также </w:t>
      </w:r>
      <w:r w:rsidR="007B066E" w:rsidRPr="00A53AD7">
        <w:rPr>
          <w:rFonts w:ascii="Times New Roman" w:hAnsi="Times New Roman"/>
          <w:sz w:val="28"/>
          <w:szCs w:val="28"/>
        </w:rPr>
        <w:t>встречных проверок бюджетных и автономных учреждений</w:t>
      </w:r>
      <w:r w:rsidR="006905EB" w:rsidRPr="00A53AD7">
        <w:rPr>
          <w:rFonts w:ascii="Times New Roman" w:hAnsi="Times New Roman"/>
          <w:sz w:val="28"/>
          <w:szCs w:val="28"/>
        </w:rPr>
        <w:t xml:space="preserve"> Архангельской области</w:t>
      </w:r>
      <w:r w:rsidR="004F6AC4" w:rsidRPr="00A53AD7">
        <w:rPr>
          <w:rFonts w:ascii="Times New Roman" w:hAnsi="Times New Roman"/>
          <w:sz w:val="28"/>
          <w:szCs w:val="28"/>
        </w:rPr>
        <w:t xml:space="preserve"> и </w:t>
      </w:r>
      <w:r w:rsidR="009B4779" w:rsidRPr="00A53AD7">
        <w:rPr>
          <w:rFonts w:ascii="Times New Roman" w:hAnsi="Times New Roman"/>
          <w:sz w:val="28"/>
          <w:szCs w:val="28"/>
        </w:rPr>
        <w:t xml:space="preserve">иных </w:t>
      </w:r>
      <w:r w:rsidR="004F6AC4" w:rsidRPr="00A53AD7">
        <w:rPr>
          <w:rFonts w:ascii="Times New Roman" w:hAnsi="Times New Roman"/>
          <w:sz w:val="28"/>
          <w:szCs w:val="28"/>
        </w:rPr>
        <w:t>организаций</w:t>
      </w:r>
      <w:r w:rsidR="00DF1805" w:rsidRPr="00A53AD7">
        <w:rPr>
          <w:rFonts w:ascii="Times New Roman" w:hAnsi="Times New Roman"/>
          <w:sz w:val="28"/>
          <w:szCs w:val="28"/>
        </w:rPr>
        <w:t xml:space="preserve"> и физических лиц</w:t>
      </w:r>
      <w:r w:rsidR="009B4779" w:rsidRPr="00A53AD7">
        <w:rPr>
          <w:rFonts w:ascii="Times New Roman" w:hAnsi="Times New Roman"/>
          <w:sz w:val="28"/>
          <w:szCs w:val="28"/>
        </w:rPr>
        <w:t>, получающих средства областного бюджета</w:t>
      </w:r>
      <w:r w:rsidR="007B066E" w:rsidRPr="00A53AD7">
        <w:rPr>
          <w:rFonts w:ascii="Times New Roman" w:hAnsi="Times New Roman"/>
          <w:sz w:val="28"/>
          <w:szCs w:val="28"/>
        </w:rPr>
        <w:t>.</w:t>
      </w:r>
    </w:p>
    <w:p w14:paraId="2C289215" w14:textId="0CA8BF30" w:rsidR="009946EF" w:rsidRPr="00A53AD7" w:rsidRDefault="009C6692" w:rsidP="001E46BC">
      <w:pPr>
        <w:pStyle w:val="ad"/>
        <w:ind w:firstLine="851"/>
        <w:jc w:val="both"/>
        <w:rPr>
          <w:rFonts w:ascii="Times New Roman" w:hAnsi="Times New Roman"/>
          <w:sz w:val="28"/>
          <w:szCs w:val="28"/>
        </w:rPr>
      </w:pPr>
      <w:r w:rsidRPr="00A53AD7">
        <w:rPr>
          <w:rFonts w:ascii="Times New Roman" w:hAnsi="Times New Roman"/>
          <w:sz w:val="28"/>
          <w:szCs w:val="28"/>
        </w:rPr>
        <w:t>О</w:t>
      </w:r>
      <w:r w:rsidR="001E46BC" w:rsidRPr="00A53AD7">
        <w:rPr>
          <w:rFonts w:ascii="Times New Roman" w:hAnsi="Times New Roman"/>
          <w:sz w:val="28"/>
          <w:szCs w:val="28"/>
        </w:rPr>
        <w:t>тчет об исполнении областного бюджета за 201</w:t>
      </w:r>
      <w:r w:rsidRPr="00A53AD7">
        <w:rPr>
          <w:rFonts w:ascii="Times New Roman" w:hAnsi="Times New Roman"/>
          <w:sz w:val="28"/>
          <w:szCs w:val="28"/>
        </w:rPr>
        <w:t>9</w:t>
      </w:r>
      <w:r w:rsidR="001E46BC" w:rsidRPr="00A53AD7">
        <w:rPr>
          <w:rFonts w:ascii="Times New Roman" w:hAnsi="Times New Roman"/>
          <w:sz w:val="28"/>
          <w:szCs w:val="28"/>
        </w:rPr>
        <w:t xml:space="preserve"> год представлен в контрольно-счетную палату Архангельской области письмом </w:t>
      </w:r>
      <w:r w:rsidRPr="00A53AD7">
        <w:rPr>
          <w:rFonts w:ascii="Times New Roman" w:hAnsi="Times New Roman"/>
          <w:sz w:val="28"/>
          <w:szCs w:val="28"/>
        </w:rPr>
        <w:t>временно исполняющ</w:t>
      </w:r>
      <w:r w:rsidR="00C647A2" w:rsidRPr="00A53AD7">
        <w:rPr>
          <w:rFonts w:ascii="Times New Roman" w:hAnsi="Times New Roman"/>
          <w:sz w:val="28"/>
          <w:szCs w:val="28"/>
        </w:rPr>
        <w:t>его</w:t>
      </w:r>
      <w:r w:rsidRPr="00A53AD7">
        <w:rPr>
          <w:rFonts w:ascii="Times New Roman" w:hAnsi="Times New Roman"/>
          <w:sz w:val="28"/>
          <w:szCs w:val="28"/>
        </w:rPr>
        <w:t xml:space="preserve"> обязанности </w:t>
      </w:r>
      <w:r w:rsidR="001E46BC" w:rsidRPr="00A53AD7">
        <w:rPr>
          <w:rFonts w:ascii="Times New Roman" w:hAnsi="Times New Roman"/>
          <w:sz w:val="28"/>
          <w:szCs w:val="28"/>
        </w:rPr>
        <w:t>Губернатора Архангельской области от 0</w:t>
      </w:r>
      <w:r w:rsidRPr="00A53AD7">
        <w:rPr>
          <w:rFonts w:ascii="Times New Roman" w:hAnsi="Times New Roman"/>
          <w:sz w:val="28"/>
          <w:szCs w:val="28"/>
        </w:rPr>
        <w:t>9</w:t>
      </w:r>
      <w:r w:rsidR="001E46BC" w:rsidRPr="00A53AD7">
        <w:rPr>
          <w:rFonts w:ascii="Times New Roman" w:hAnsi="Times New Roman"/>
          <w:sz w:val="28"/>
          <w:szCs w:val="28"/>
        </w:rPr>
        <w:t>.04.20</w:t>
      </w:r>
      <w:r w:rsidRPr="00A53AD7">
        <w:rPr>
          <w:rFonts w:ascii="Times New Roman" w:hAnsi="Times New Roman"/>
          <w:sz w:val="28"/>
          <w:szCs w:val="28"/>
        </w:rPr>
        <w:t>20</w:t>
      </w:r>
      <w:r w:rsidR="001E46BC" w:rsidRPr="00A53AD7">
        <w:rPr>
          <w:rFonts w:ascii="Times New Roman" w:hAnsi="Times New Roman"/>
          <w:sz w:val="28"/>
          <w:szCs w:val="28"/>
        </w:rPr>
        <w:t xml:space="preserve"> № 02-</w:t>
      </w:r>
      <w:r w:rsidR="00DF1805" w:rsidRPr="00A53AD7">
        <w:rPr>
          <w:rFonts w:ascii="Times New Roman" w:hAnsi="Times New Roman"/>
          <w:sz w:val="28"/>
          <w:szCs w:val="28"/>
        </w:rPr>
        <w:t>1</w:t>
      </w:r>
      <w:r w:rsidRPr="00A53AD7">
        <w:rPr>
          <w:rFonts w:ascii="Times New Roman" w:hAnsi="Times New Roman"/>
          <w:sz w:val="28"/>
          <w:szCs w:val="28"/>
        </w:rPr>
        <w:t>7</w:t>
      </w:r>
      <w:r w:rsidR="001E46BC" w:rsidRPr="00A53AD7">
        <w:rPr>
          <w:rFonts w:ascii="Times New Roman" w:hAnsi="Times New Roman"/>
          <w:sz w:val="28"/>
          <w:szCs w:val="28"/>
        </w:rPr>
        <w:t>/</w:t>
      </w:r>
      <w:r w:rsidRPr="00A53AD7">
        <w:rPr>
          <w:rFonts w:ascii="Times New Roman" w:hAnsi="Times New Roman"/>
          <w:sz w:val="28"/>
          <w:szCs w:val="28"/>
        </w:rPr>
        <w:t>34</w:t>
      </w:r>
      <w:r w:rsidR="001E46BC" w:rsidRPr="00A53AD7">
        <w:rPr>
          <w:rFonts w:ascii="Times New Roman" w:hAnsi="Times New Roman"/>
          <w:sz w:val="28"/>
          <w:szCs w:val="28"/>
        </w:rPr>
        <w:t xml:space="preserve"> в составе документов и материалов, предусмотренных ст. 30 областного закона о бюджетном процессе.</w:t>
      </w:r>
    </w:p>
    <w:p w14:paraId="0D076D1C" w14:textId="70F18AEF" w:rsidR="009C6692" w:rsidRPr="00A53AD7" w:rsidRDefault="009C6692">
      <w:pPr>
        <w:spacing w:after="0" w:line="240" w:lineRule="auto"/>
        <w:rPr>
          <w:rFonts w:ascii="Times New Roman" w:hAnsi="Times New Roman"/>
          <w:sz w:val="28"/>
          <w:szCs w:val="28"/>
        </w:rPr>
      </w:pPr>
      <w:r w:rsidRPr="00A53AD7">
        <w:rPr>
          <w:rFonts w:ascii="Times New Roman" w:hAnsi="Times New Roman"/>
          <w:sz w:val="28"/>
          <w:szCs w:val="28"/>
        </w:rPr>
        <w:br w:type="page"/>
      </w:r>
    </w:p>
    <w:p w14:paraId="2B78F2FE" w14:textId="77777777" w:rsidR="006169B3" w:rsidRPr="00A53AD7" w:rsidRDefault="006169B3" w:rsidP="006169B3">
      <w:pPr>
        <w:pStyle w:val="aff5"/>
        <w:spacing w:before="240" w:after="120" w:line="240" w:lineRule="auto"/>
        <w:jc w:val="center"/>
        <w:rPr>
          <w:rFonts w:ascii="Times New Roman" w:hAnsi="Times New Roman"/>
          <w:b w:val="0"/>
          <w:color w:val="auto"/>
        </w:rPr>
      </w:pPr>
      <w:r w:rsidRPr="00A53AD7">
        <w:rPr>
          <w:rFonts w:ascii="Times New Roman" w:hAnsi="Times New Roman"/>
          <w:b w:val="0"/>
          <w:color w:val="auto"/>
        </w:rPr>
        <w:lastRenderedPageBreak/>
        <w:t>СОДЕРЖАНИЕ ЗАКЛЮЧЕНИЯ</w:t>
      </w:r>
    </w:p>
    <w:p w14:paraId="7A76EB5E" w14:textId="77777777" w:rsidR="00EF110A" w:rsidRPr="00A53AD7" w:rsidRDefault="00C9299A">
      <w:pPr>
        <w:pStyle w:val="13"/>
        <w:tabs>
          <w:tab w:val="right" w:leader="dot" w:pos="9344"/>
        </w:tabs>
        <w:rPr>
          <w:rFonts w:asciiTheme="minorHAnsi" w:eastAsiaTheme="minorEastAsia" w:hAnsiTheme="minorHAnsi" w:cstheme="minorBidi"/>
          <w:noProof/>
          <w:sz w:val="22"/>
          <w:lang w:eastAsia="ru-RU"/>
        </w:rPr>
      </w:pPr>
      <w:r w:rsidRPr="00A53AD7">
        <w:rPr>
          <w:highlight w:val="cyan"/>
        </w:rPr>
        <w:fldChar w:fldCharType="begin"/>
      </w:r>
      <w:r w:rsidRPr="00A53AD7">
        <w:rPr>
          <w:highlight w:val="cyan"/>
        </w:rPr>
        <w:instrText xml:space="preserve"> TOC \o "1-3" \h \z \u </w:instrText>
      </w:r>
      <w:r w:rsidRPr="00A53AD7">
        <w:rPr>
          <w:highlight w:val="cyan"/>
        </w:rPr>
        <w:fldChar w:fldCharType="separate"/>
      </w:r>
      <w:hyperlink w:anchor="_Toc42006701" w:history="1">
        <w:r w:rsidR="00EF110A" w:rsidRPr="00A53AD7">
          <w:rPr>
            <w:rStyle w:val="afb"/>
            <w:noProof/>
            <w:color w:val="auto"/>
          </w:rPr>
          <w:t>1. Итоги социально-экономического развития Архангельской области за 2019 год</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_Toc42006701 \h </w:instrText>
        </w:r>
        <w:r w:rsidR="00EF110A" w:rsidRPr="00A53AD7">
          <w:rPr>
            <w:noProof/>
            <w:webHidden/>
          </w:rPr>
        </w:r>
        <w:r w:rsidR="00EF110A" w:rsidRPr="00A53AD7">
          <w:rPr>
            <w:noProof/>
            <w:webHidden/>
          </w:rPr>
          <w:fldChar w:fldCharType="separate"/>
        </w:r>
        <w:r w:rsidR="005351E5" w:rsidRPr="00A53AD7">
          <w:rPr>
            <w:noProof/>
            <w:webHidden/>
          </w:rPr>
          <w:t>5</w:t>
        </w:r>
        <w:r w:rsidR="00EF110A" w:rsidRPr="00A53AD7">
          <w:rPr>
            <w:noProof/>
            <w:webHidden/>
          </w:rPr>
          <w:fldChar w:fldCharType="end"/>
        </w:r>
      </w:hyperlink>
    </w:p>
    <w:p w14:paraId="3F305FC6"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2" w:history="1">
        <w:r w:rsidR="00EF110A" w:rsidRPr="00A53AD7">
          <w:rPr>
            <w:rStyle w:val="afb"/>
            <w:noProof/>
            <w:color w:val="auto"/>
          </w:rPr>
          <w:t>1.1. Индекс промышленного производства</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_Toc42006702 \h </w:instrText>
        </w:r>
        <w:r w:rsidR="00EF110A" w:rsidRPr="00A53AD7">
          <w:rPr>
            <w:noProof/>
            <w:webHidden/>
          </w:rPr>
        </w:r>
        <w:r w:rsidR="00EF110A" w:rsidRPr="00A53AD7">
          <w:rPr>
            <w:noProof/>
            <w:webHidden/>
          </w:rPr>
          <w:fldChar w:fldCharType="separate"/>
        </w:r>
        <w:r w:rsidR="005351E5" w:rsidRPr="00A53AD7">
          <w:rPr>
            <w:noProof/>
            <w:webHidden/>
          </w:rPr>
          <w:t>8</w:t>
        </w:r>
        <w:r w:rsidR="00EF110A" w:rsidRPr="00A53AD7">
          <w:rPr>
            <w:noProof/>
            <w:webHidden/>
          </w:rPr>
          <w:fldChar w:fldCharType="end"/>
        </w:r>
      </w:hyperlink>
    </w:p>
    <w:p w14:paraId="3DD6F4B0"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3" w:history="1">
        <w:r w:rsidR="00EF110A" w:rsidRPr="00A53AD7">
          <w:rPr>
            <w:rStyle w:val="afb"/>
            <w:noProof/>
            <w:color w:val="auto"/>
          </w:rPr>
          <w:t>1.2. Объем инвестиций в основной капитал</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_Toc42006703 \h </w:instrText>
        </w:r>
        <w:r w:rsidR="00EF110A" w:rsidRPr="00A53AD7">
          <w:rPr>
            <w:noProof/>
            <w:webHidden/>
          </w:rPr>
        </w:r>
        <w:r w:rsidR="00EF110A" w:rsidRPr="00A53AD7">
          <w:rPr>
            <w:noProof/>
            <w:webHidden/>
          </w:rPr>
          <w:fldChar w:fldCharType="separate"/>
        </w:r>
        <w:r w:rsidR="005351E5" w:rsidRPr="00A53AD7">
          <w:rPr>
            <w:noProof/>
            <w:webHidden/>
          </w:rPr>
          <w:t>15</w:t>
        </w:r>
        <w:r w:rsidR="00EF110A" w:rsidRPr="00A53AD7">
          <w:rPr>
            <w:noProof/>
            <w:webHidden/>
          </w:rPr>
          <w:fldChar w:fldCharType="end"/>
        </w:r>
      </w:hyperlink>
    </w:p>
    <w:p w14:paraId="7A75E1E5"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4" w:history="1">
        <w:r w:rsidR="00EF110A" w:rsidRPr="00A53AD7">
          <w:rPr>
            <w:rStyle w:val="afb"/>
            <w:noProof/>
            <w:color w:val="auto"/>
          </w:rPr>
          <w:t>1.3. Строительная сфера региона</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_Toc42006704 \h </w:instrText>
        </w:r>
        <w:r w:rsidR="00EF110A" w:rsidRPr="00A53AD7">
          <w:rPr>
            <w:noProof/>
            <w:webHidden/>
          </w:rPr>
        </w:r>
        <w:r w:rsidR="00EF110A" w:rsidRPr="00A53AD7">
          <w:rPr>
            <w:noProof/>
            <w:webHidden/>
          </w:rPr>
          <w:fldChar w:fldCharType="separate"/>
        </w:r>
        <w:r w:rsidR="005351E5" w:rsidRPr="00A53AD7">
          <w:rPr>
            <w:noProof/>
            <w:webHidden/>
          </w:rPr>
          <w:t>18</w:t>
        </w:r>
        <w:r w:rsidR="00EF110A" w:rsidRPr="00A53AD7">
          <w:rPr>
            <w:noProof/>
            <w:webHidden/>
          </w:rPr>
          <w:fldChar w:fldCharType="end"/>
        </w:r>
      </w:hyperlink>
    </w:p>
    <w:p w14:paraId="176805DB"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5" w:history="1">
        <w:r w:rsidR="00EF110A" w:rsidRPr="00A53AD7">
          <w:rPr>
            <w:rStyle w:val="afb"/>
            <w:noProof/>
            <w:color w:val="auto"/>
          </w:rPr>
          <w:t>1.4. Производство сельскохозяйственной продукции</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_Toc42006705 \h </w:instrText>
        </w:r>
        <w:r w:rsidR="00EF110A" w:rsidRPr="00A53AD7">
          <w:rPr>
            <w:noProof/>
            <w:webHidden/>
          </w:rPr>
        </w:r>
        <w:r w:rsidR="00EF110A" w:rsidRPr="00A53AD7">
          <w:rPr>
            <w:noProof/>
            <w:webHidden/>
          </w:rPr>
          <w:fldChar w:fldCharType="separate"/>
        </w:r>
        <w:r w:rsidR="005351E5" w:rsidRPr="00A53AD7">
          <w:rPr>
            <w:noProof/>
            <w:webHidden/>
          </w:rPr>
          <w:t>21</w:t>
        </w:r>
        <w:r w:rsidR="00EF110A" w:rsidRPr="00A53AD7">
          <w:rPr>
            <w:noProof/>
            <w:webHidden/>
          </w:rPr>
          <w:fldChar w:fldCharType="end"/>
        </w:r>
      </w:hyperlink>
    </w:p>
    <w:p w14:paraId="0CB5592F"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6" w:history="1">
        <w:r w:rsidR="00EF110A" w:rsidRPr="00A53AD7">
          <w:rPr>
            <w:rStyle w:val="afb"/>
            <w:noProof/>
            <w:color w:val="auto"/>
          </w:rPr>
          <w:t>1.5. Деятельность отдельных видов транспорта</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_Toc42006706 \h </w:instrText>
        </w:r>
        <w:r w:rsidR="00EF110A" w:rsidRPr="00A53AD7">
          <w:rPr>
            <w:noProof/>
            <w:webHidden/>
          </w:rPr>
        </w:r>
        <w:r w:rsidR="00EF110A" w:rsidRPr="00A53AD7">
          <w:rPr>
            <w:noProof/>
            <w:webHidden/>
          </w:rPr>
          <w:fldChar w:fldCharType="separate"/>
        </w:r>
        <w:r w:rsidR="005351E5" w:rsidRPr="00A53AD7">
          <w:rPr>
            <w:noProof/>
            <w:webHidden/>
          </w:rPr>
          <w:t>24</w:t>
        </w:r>
        <w:r w:rsidR="00EF110A" w:rsidRPr="00A53AD7">
          <w:rPr>
            <w:noProof/>
            <w:webHidden/>
          </w:rPr>
          <w:fldChar w:fldCharType="end"/>
        </w:r>
      </w:hyperlink>
    </w:p>
    <w:p w14:paraId="242B2383"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7" w:history="1">
        <w:r w:rsidR="00EF110A" w:rsidRPr="00A53AD7">
          <w:rPr>
            <w:rStyle w:val="afb"/>
            <w:noProof/>
            <w:color w:val="auto"/>
          </w:rPr>
          <w:t>1.6. Индекс потребительских цен</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_Toc42006707 \h </w:instrText>
        </w:r>
        <w:r w:rsidR="00EF110A" w:rsidRPr="00A53AD7">
          <w:rPr>
            <w:noProof/>
            <w:webHidden/>
          </w:rPr>
        </w:r>
        <w:r w:rsidR="00EF110A" w:rsidRPr="00A53AD7">
          <w:rPr>
            <w:noProof/>
            <w:webHidden/>
          </w:rPr>
          <w:fldChar w:fldCharType="separate"/>
        </w:r>
        <w:r w:rsidR="005351E5" w:rsidRPr="00A53AD7">
          <w:rPr>
            <w:noProof/>
            <w:webHidden/>
          </w:rPr>
          <w:t>26</w:t>
        </w:r>
        <w:r w:rsidR="00EF110A" w:rsidRPr="00A53AD7">
          <w:rPr>
            <w:noProof/>
            <w:webHidden/>
          </w:rPr>
          <w:fldChar w:fldCharType="end"/>
        </w:r>
      </w:hyperlink>
    </w:p>
    <w:p w14:paraId="25FE1E5A"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8" w:history="1">
        <w:r w:rsidR="00EF110A" w:rsidRPr="00A53AD7">
          <w:rPr>
            <w:rStyle w:val="afb"/>
            <w:noProof/>
            <w:color w:val="auto"/>
          </w:rPr>
          <w:t>1.7. Оборот розничной торговли в Архангельской области</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_Toc42006708 \h </w:instrText>
        </w:r>
        <w:r w:rsidR="00EF110A" w:rsidRPr="00A53AD7">
          <w:rPr>
            <w:noProof/>
            <w:webHidden/>
          </w:rPr>
        </w:r>
        <w:r w:rsidR="00EF110A" w:rsidRPr="00A53AD7">
          <w:rPr>
            <w:noProof/>
            <w:webHidden/>
          </w:rPr>
          <w:fldChar w:fldCharType="separate"/>
        </w:r>
        <w:r w:rsidR="005351E5" w:rsidRPr="00A53AD7">
          <w:rPr>
            <w:noProof/>
            <w:webHidden/>
          </w:rPr>
          <w:t>28</w:t>
        </w:r>
        <w:r w:rsidR="00EF110A" w:rsidRPr="00A53AD7">
          <w:rPr>
            <w:noProof/>
            <w:webHidden/>
          </w:rPr>
          <w:fldChar w:fldCharType="end"/>
        </w:r>
      </w:hyperlink>
    </w:p>
    <w:p w14:paraId="20DF1A4B"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09" w:history="1">
        <w:r w:rsidR="00EF110A" w:rsidRPr="00A53AD7">
          <w:rPr>
            <w:rStyle w:val="afb"/>
            <w:noProof/>
            <w:color w:val="auto"/>
          </w:rPr>
          <w:t>1.8. Платные услуги населению</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_Toc42006709 \h </w:instrText>
        </w:r>
        <w:r w:rsidR="00EF110A" w:rsidRPr="00A53AD7">
          <w:rPr>
            <w:noProof/>
            <w:webHidden/>
          </w:rPr>
        </w:r>
        <w:r w:rsidR="00EF110A" w:rsidRPr="00A53AD7">
          <w:rPr>
            <w:noProof/>
            <w:webHidden/>
          </w:rPr>
          <w:fldChar w:fldCharType="separate"/>
        </w:r>
        <w:r w:rsidR="005351E5" w:rsidRPr="00A53AD7">
          <w:rPr>
            <w:noProof/>
            <w:webHidden/>
          </w:rPr>
          <w:t>30</w:t>
        </w:r>
        <w:r w:rsidR="00EF110A" w:rsidRPr="00A53AD7">
          <w:rPr>
            <w:noProof/>
            <w:webHidden/>
          </w:rPr>
          <w:fldChar w:fldCharType="end"/>
        </w:r>
      </w:hyperlink>
    </w:p>
    <w:p w14:paraId="2A00808C"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0" w:history="1">
        <w:r w:rsidR="00EF110A" w:rsidRPr="00A53AD7">
          <w:rPr>
            <w:rStyle w:val="afb"/>
            <w:noProof/>
            <w:color w:val="auto"/>
          </w:rPr>
          <w:t>1.9. Минимальный набор продуктов питания и фиксированный набор потребительских товаров и услуг</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_Toc42006710 \h </w:instrText>
        </w:r>
        <w:r w:rsidR="00EF110A" w:rsidRPr="00A53AD7">
          <w:rPr>
            <w:noProof/>
            <w:webHidden/>
          </w:rPr>
        </w:r>
        <w:r w:rsidR="00EF110A" w:rsidRPr="00A53AD7">
          <w:rPr>
            <w:noProof/>
            <w:webHidden/>
          </w:rPr>
          <w:fldChar w:fldCharType="separate"/>
        </w:r>
        <w:r w:rsidR="005351E5" w:rsidRPr="00A53AD7">
          <w:rPr>
            <w:noProof/>
            <w:webHidden/>
          </w:rPr>
          <w:t>30</w:t>
        </w:r>
        <w:r w:rsidR="00EF110A" w:rsidRPr="00A53AD7">
          <w:rPr>
            <w:noProof/>
            <w:webHidden/>
          </w:rPr>
          <w:fldChar w:fldCharType="end"/>
        </w:r>
      </w:hyperlink>
    </w:p>
    <w:p w14:paraId="70503168"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1" w:history="1">
        <w:r w:rsidR="00EF110A" w:rsidRPr="00A53AD7">
          <w:rPr>
            <w:rStyle w:val="afb"/>
            <w:noProof/>
            <w:color w:val="auto"/>
          </w:rPr>
          <w:t>1.10. Денежные доходы и расходы населения</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_Toc42006711 \h </w:instrText>
        </w:r>
        <w:r w:rsidR="00EF110A" w:rsidRPr="00A53AD7">
          <w:rPr>
            <w:noProof/>
            <w:webHidden/>
          </w:rPr>
        </w:r>
        <w:r w:rsidR="00EF110A" w:rsidRPr="00A53AD7">
          <w:rPr>
            <w:noProof/>
            <w:webHidden/>
          </w:rPr>
          <w:fldChar w:fldCharType="separate"/>
        </w:r>
        <w:r w:rsidR="005351E5" w:rsidRPr="00A53AD7">
          <w:rPr>
            <w:noProof/>
            <w:webHidden/>
          </w:rPr>
          <w:t>31</w:t>
        </w:r>
        <w:r w:rsidR="00EF110A" w:rsidRPr="00A53AD7">
          <w:rPr>
            <w:noProof/>
            <w:webHidden/>
          </w:rPr>
          <w:fldChar w:fldCharType="end"/>
        </w:r>
      </w:hyperlink>
    </w:p>
    <w:p w14:paraId="4F84459C"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2" w:history="1">
        <w:r w:rsidR="00EF110A" w:rsidRPr="00A53AD7">
          <w:rPr>
            <w:rStyle w:val="afb"/>
            <w:noProof/>
            <w:color w:val="auto"/>
          </w:rPr>
          <w:t>1.11. Прожиточный минимум и уровень жизни населения</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_Toc42006712 \h </w:instrText>
        </w:r>
        <w:r w:rsidR="00EF110A" w:rsidRPr="00A53AD7">
          <w:rPr>
            <w:noProof/>
            <w:webHidden/>
          </w:rPr>
        </w:r>
        <w:r w:rsidR="00EF110A" w:rsidRPr="00A53AD7">
          <w:rPr>
            <w:noProof/>
            <w:webHidden/>
          </w:rPr>
          <w:fldChar w:fldCharType="separate"/>
        </w:r>
        <w:r w:rsidR="005351E5" w:rsidRPr="00A53AD7">
          <w:rPr>
            <w:noProof/>
            <w:webHidden/>
          </w:rPr>
          <w:t>34</w:t>
        </w:r>
        <w:r w:rsidR="00EF110A" w:rsidRPr="00A53AD7">
          <w:rPr>
            <w:noProof/>
            <w:webHidden/>
          </w:rPr>
          <w:fldChar w:fldCharType="end"/>
        </w:r>
      </w:hyperlink>
    </w:p>
    <w:p w14:paraId="206F61FE"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3" w:history="1">
        <w:r w:rsidR="00EF110A" w:rsidRPr="00A53AD7">
          <w:rPr>
            <w:rStyle w:val="afb"/>
            <w:noProof/>
            <w:color w:val="auto"/>
          </w:rPr>
          <w:t>1.12. Демографическая ситуация</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_Toc42006713 \h </w:instrText>
        </w:r>
        <w:r w:rsidR="00EF110A" w:rsidRPr="00A53AD7">
          <w:rPr>
            <w:noProof/>
            <w:webHidden/>
          </w:rPr>
        </w:r>
        <w:r w:rsidR="00EF110A" w:rsidRPr="00A53AD7">
          <w:rPr>
            <w:noProof/>
            <w:webHidden/>
          </w:rPr>
          <w:fldChar w:fldCharType="separate"/>
        </w:r>
        <w:r w:rsidR="005351E5" w:rsidRPr="00A53AD7">
          <w:rPr>
            <w:noProof/>
            <w:webHidden/>
          </w:rPr>
          <w:t>36</w:t>
        </w:r>
        <w:r w:rsidR="00EF110A" w:rsidRPr="00A53AD7">
          <w:rPr>
            <w:noProof/>
            <w:webHidden/>
          </w:rPr>
          <w:fldChar w:fldCharType="end"/>
        </w:r>
      </w:hyperlink>
    </w:p>
    <w:p w14:paraId="6C0F0B76"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4" w:history="1">
        <w:r w:rsidR="00EF110A" w:rsidRPr="00A53AD7">
          <w:rPr>
            <w:rStyle w:val="afb"/>
            <w:noProof/>
            <w:color w:val="auto"/>
          </w:rPr>
          <w:t>1.13. Итоги развития Архангельской области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_Toc42006714 \h </w:instrText>
        </w:r>
        <w:r w:rsidR="00EF110A" w:rsidRPr="00A53AD7">
          <w:rPr>
            <w:noProof/>
            <w:webHidden/>
          </w:rPr>
        </w:r>
        <w:r w:rsidR="00EF110A" w:rsidRPr="00A53AD7">
          <w:rPr>
            <w:noProof/>
            <w:webHidden/>
          </w:rPr>
          <w:fldChar w:fldCharType="separate"/>
        </w:r>
        <w:r w:rsidR="005351E5" w:rsidRPr="00A53AD7">
          <w:rPr>
            <w:noProof/>
            <w:webHidden/>
          </w:rPr>
          <w:t>39</w:t>
        </w:r>
        <w:r w:rsidR="00EF110A" w:rsidRPr="00A53AD7">
          <w:rPr>
            <w:noProof/>
            <w:webHidden/>
          </w:rPr>
          <w:fldChar w:fldCharType="end"/>
        </w:r>
      </w:hyperlink>
    </w:p>
    <w:p w14:paraId="1837A4EE"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15" w:history="1">
        <w:r w:rsidR="00EF110A" w:rsidRPr="00A53AD7">
          <w:rPr>
            <w:rStyle w:val="afb"/>
            <w:noProof/>
            <w:color w:val="auto"/>
          </w:rPr>
          <w:t>2. Исполнение консолидированного бюджета Архангельской области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_Toc42006715 \h </w:instrText>
        </w:r>
        <w:r w:rsidR="00EF110A" w:rsidRPr="00A53AD7">
          <w:rPr>
            <w:noProof/>
            <w:webHidden/>
          </w:rPr>
        </w:r>
        <w:r w:rsidR="00EF110A" w:rsidRPr="00A53AD7">
          <w:rPr>
            <w:noProof/>
            <w:webHidden/>
          </w:rPr>
          <w:fldChar w:fldCharType="separate"/>
        </w:r>
        <w:r w:rsidR="005351E5" w:rsidRPr="00A53AD7">
          <w:rPr>
            <w:noProof/>
            <w:webHidden/>
          </w:rPr>
          <w:t>41</w:t>
        </w:r>
        <w:r w:rsidR="00EF110A" w:rsidRPr="00A53AD7">
          <w:rPr>
            <w:noProof/>
            <w:webHidden/>
          </w:rPr>
          <w:fldChar w:fldCharType="end"/>
        </w:r>
      </w:hyperlink>
    </w:p>
    <w:p w14:paraId="29BF0A11"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16" w:history="1">
        <w:r w:rsidR="00EF110A" w:rsidRPr="00A53AD7">
          <w:rPr>
            <w:rStyle w:val="afb"/>
            <w:noProof/>
            <w:color w:val="auto"/>
          </w:rPr>
          <w:t>3. Доходы областного бюджета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_Toc42006716 \h </w:instrText>
        </w:r>
        <w:r w:rsidR="00EF110A" w:rsidRPr="00A53AD7">
          <w:rPr>
            <w:noProof/>
            <w:webHidden/>
          </w:rPr>
        </w:r>
        <w:r w:rsidR="00EF110A" w:rsidRPr="00A53AD7">
          <w:rPr>
            <w:noProof/>
            <w:webHidden/>
          </w:rPr>
          <w:fldChar w:fldCharType="separate"/>
        </w:r>
        <w:r w:rsidR="005351E5" w:rsidRPr="00A53AD7">
          <w:rPr>
            <w:noProof/>
            <w:webHidden/>
          </w:rPr>
          <w:t>70</w:t>
        </w:r>
        <w:r w:rsidR="00EF110A" w:rsidRPr="00A53AD7">
          <w:rPr>
            <w:noProof/>
            <w:webHidden/>
          </w:rPr>
          <w:fldChar w:fldCharType="end"/>
        </w:r>
      </w:hyperlink>
    </w:p>
    <w:p w14:paraId="20F1EC38"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7" w:history="1">
        <w:r w:rsidR="00EF110A" w:rsidRPr="00A53AD7">
          <w:rPr>
            <w:rStyle w:val="afb"/>
            <w:noProof/>
            <w:color w:val="auto"/>
          </w:rPr>
          <w:t>3.1. Налоговые и неналоговые доходы</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_Toc42006717 \h </w:instrText>
        </w:r>
        <w:r w:rsidR="00EF110A" w:rsidRPr="00A53AD7">
          <w:rPr>
            <w:noProof/>
            <w:webHidden/>
          </w:rPr>
        </w:r>
        <w:r w:rsidR="00EF110A" w:rsidRPr="00A53AD7">
          <w:rPr>
            <w:noProof/>
            <w:webHidden/>
          </w:rPr>
          <w:fldChar w:fldCharType="separate"/>
        </w:r>
        <w:r w:rsidR="005351E5" w:rsidRPr="00A53AD7">
          <w:rPr>
            <w:noProof/>
            <w:webHidden/>
          </w:rPr>
          <w:t>72</w:t>
        </w:r>
        <w:r w:rsidR="00EF110A" w:rsidRPr="00A53AD7">
          <w:rPr>
            <w:noProof/>
            <w:webHidden/>
          </w:rPr>
          <w:fldChar w:fldCharType="end"/>
        </w:r>
      </w:hyperlink>
    </w:p>
    <w:p w14:paraId="7BFFE31A"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18" w:history="1">
        <w:r w:rsidR="00EF110A" w:rsidRPr="00A53AD7">
          <w:rPr>
            <w:rStyle w:val="afb"/>
            <w:noProof/>
            <w:color w:val="auto"/>
          </w:rPr>
          <w:t>3.2. Безвозмездные поступления</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_Toc42006718 \h </w:instrText>
        </w:r>
        <w:r w:rsidR="00EF110A" w:rsidRPr="00A53AD7">
          <w:rPr>
            <w:noProof/>
            <w:webHidden/>
          </w:rPr>
        </w:r>
        <w:r w:rsidR="00EF110A" w:rsidRPr="00A53AD7">
          <w:rPr>
            <w:noProof/>
            <w:webHidden/>
          </w:rPr>
          <w:fldChar w:fldCharType="separate"/>
        </w:r>
        <w:r w:rsidR="005351E5" w:rsidRPr="00A53AD7">
          <w:rPr>
            <w:noProof/>
            <w:webHidden/>
          </w:rPr>
          <w:t>101</w:t>
        </w:r>
        <w:r w:rsidR="00EF110A" w:rsidRPr="00A53AD7">
          <w:rPr>
            <w:noProof/>
            <w:webHidden/>
          </w:rPr>
          <w:fldChar w:fldCharType="end"/>
        </w:r>
      </w:hyperlink>
    </w:p>
    <w:p w14:paraId="22B85695"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19" w:history="1">
        <w:r w:rsidR="00EF110A" w:rsidRPr="00A53AD7">
          <w:rPr>
            <w:rStyle w:val="afb"/>
            <w:noProof/>
            <w:color w:val="auto"/>
          </w:rPr>
          <w:t>4. Расходы областного бюджета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_Toc42006719 \h </w:instrText>
        </w:r>
        <w:r w:rsidR="00EF110A" w:rsidRPr="00A53AD7">
          <w:rPr>
            <w:noProof/>
            <w:webHidden/>
          </w:rPr>
        </w:r>
        <w:r w:rsidR="00EF110A" w:rsidRPr="00A53AD7">
          <w:rPr>
            <w:noProof/>
            <w:webHidden/>
          </w:rPr>
          <w:fldChar w:fldCharType="separate"/>
        </w:r>
        <w:r w:rsidR="005351E5" w:rsidRPr="00A53AD7">
          <w:rPr>
            <w:noProof/>
            <w:webHidden/>
          </w:rPr>
          <w:t>107</w:t>
        </w:r>
        <w:r w:rsidR="00EF110A" w:rsidRPr="00A53AD7">
          <w:rPr>
            <w:noProof/>
            <w:webHidden/>
          </w:rPr>
          <w:fldChar w:fldCharType="end"/>
        </w:r>
      </w:hyperlink>
    </w:p>
    <w:p w14:paraId="14DE489B"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20" w:history="1">
        <w:r w:rsidR="00EF110A" w:rsidRPr="00A53AD7">
          <w:rPr>
            <w:rStyle w:val="afb"/>
            <w:noProof/>
            <w:color w:val="auto"/>
          </w:rPr>
          <w:t>4.1. Расходы на содержание государственных органов и обеспечение их функций</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_Toc42006720 \h </w:instrText>
        </w:r>
        <w:r w:rsidR="00EF110A" w:rsidRPr="00A53AD7">
          <w:rPr>
            <w:noProof/>
            <w:webHidden/>
          </w:rPr>
        </w:r>
        <w:r w:rsidR="00EF110A" w:rsidRPr="00A53AD7">
          <w:rPr>
            <w:noProof/>
            <w:webHidden/>
          </w:rPr>
          <w:fldChar w:fldCharType="separate"/>
        </w:r>
        <w:r w:rsidR="005351E5" w:rsidRPr="00A53AD7">
          <w:rPr>
            <w:noProof/>
            <w:webHidden/>
          </w:rPr>
          <w:t>111</w:t>
        </w:r>
        <w:r w:rsidR="00EF110A" w:rsidRPr="00A53AD7">
          <w:rPr>
            <w:noProof/>
            <w:webHidden/>
          </w:rPr>
          <w:fldChar w:fldCharType="end"/>
        </w:r>
      </w:hyperlink>
    </w:p>
    <w:p w14:paraId="2E9417CF"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21" w:history="1">
        <w:r w:rsidR="00EF110A" w:rsidRPr="00A53AD7">
          <w:rPr>
            <w:rStyle w:val="afb"/>
            <w:noProof/>
            <w:color w:val="auto"/>
          </w:rPr>
          <w:t>4.2. Характеристика расходов областного бюджета на реализацию программ Архангельской области</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_Toc42006721 \h </w:instrText>
        </w:r>
        <w:r w:rsidR="00EF110A" w:rsidRPr="00A53AD7">
          <w:rPr>
            <w:noProof/>
            <w:webHidden/>
          </w:rPr>
        </w:r>
        <w:r w:rsidR="00EF110A" w:rsidRPr="00A53AD7">
          <w:rPr>
            <w:noProof/>
            <w:webHidden/>
          </w:rPr>
          <w:fldChar w:fldCharType="separate"/>
        </w:r>
        <w:r w:rsidR="005351E5" w:rsidRPr="00A53AD7">
          <w:rPr>
            <w:noProof/>
            <w:webHidden/>
          </w:rPr>
          <w:t>114</w:t>
        </w:r>
        <w:r w:rsidR="00EF110A" w:rsidRPr="00A53AD7">
          <w:rPr>
            <w:noProof/>
            <w:webHidden/>
          </w:rPr>
          <w:fldChar w:fldCharType="end"/>
        </w:r>
      </w:hyperlink>
    </w:p>
    <w:p w14:paraId="02622E34"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2" w:history="1">
        <w:r w:rsidR="00EF110A" w:rsidRPr="00A53AD7">
          <w:rPr>
            <w:rStyle w:val="afb"/>
            <w:i w:val="0"/>
            <w:noProof/>
            <w:color w:val="auto"/>
          </w:rPr>
          <w:t>4.2.1. Государственная программа Архангельской области «Развитие здравоохранения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_Toc42006722 \h </w:instrText>
        </w:r>
        <w:r w:rsidR="00EF110A" w:rsidRPr="00A53AD7">
          <w:rPr>
            <w:i w:val="0"/>
            <w:noProof/>
            <w:webHidden/>
          </w:rPr>
        </w:r>
        <w:r w:rsidR="00EF110A" w:rsidRPr="00A53AD7">
          <w:rPr>
            <w:i w:val="0"/>
            <w:noProof/>
            <w:webHidden/>
          </w:rPr>
          <w:fldChar w:fldCharType="separate"/>
        </w:r>
        <w:r w:rsidR="005351E5" w:rsidRPr="00A53AD7">
          <w:rPr>
            <w:i w:val="0"/>
            <w:noProof/>
            <w:webHidden/>
          </w:rPr>
          <w:t>119</w:t>
        </w:r>
        <w:r w:rsidR="00EF110A" w:rsidRPr="00A53AD7">
          <w:rPr>
            <w:i w:val="0"/>
            <w:noProof/>
            <w:webHidden/>
          </w:rPr>
          <w:fldChar w:fldCharType="end"/>
        </w:r>
      </w:hyperlink>
    </w:p>
    <w:p w14:paraId="0B9337BE"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3" w:history="1">
        <w:r w:rsidR="00EF110A" w:rsidRPr="00A53AD7">
          <w:rPr>
            <w:rStyle w:val="afb"/>
            <w:i w:val="0"/>
            <w:noProof/>
            <w:color w:val="auto"/>
          </w:rPr>
          <w:t>4.2.2. Государственная программа Архангельской области «Развитие образования и науки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_Toc42006723 \h </w:instrText>
        </w:r>
        <w:r w:rsidR="00EF110A" w:rsidRPr="00A53AD7">
          <w:rPr>
            <w:i w:val="0"/>
            <w:noProof/>
            <w:webHidden/>
          </w:rPr>
        </w:r>
        <w:r w:rsidR="00EF110A" w:rsidRPr="00A53AD7">
          <w:rPr>
            <w:i w:val="0"/>
            <w:noProof/>
            <w:webHidden/>
          </w:rPr>
          <w:fldChar w:fldCharType="separate"/>
        </w:r>
        <w:r w:rsidR="005351E5" w:rsidRPr="00A53AD7">
          <w:rPr>
            <w:i w:val="0"/>
            <w:noProof/>
            <w:webHidden/>
          </w:rPr>
          <w:t>131</w:t>
        </w:r>
        <w:r w:rsidR="00EF110A" w:rsidRPr="00A53AD7">
          <w:rPr>
            <w:i w:val="0"/>
            <w:noProof/>
            <w:webHidden/>
          </w:rPr>
          <w:fldChar w:fldCharType="end"/>
        </w:r>
      </w:hyperlink>
    </w:p>
    <w:p w14:paraId="29CE2601"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4" w:history="1">
        <w:r w:rsidR="00EF110A" w:rsidRPr="00A53AD7">
          <w:rPr>
            <w:rStyle w:val="afb"/>
            <w:i w:val="0"/>
            <w:noProof/>
            <w:color w:val="auto"/>
          </w:rPr>
          <w:t>4.2.3. Государственная программа Архангельской области «Социальная поддержка граждан в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_Toc42006724 \h </w:instrText>
        </w:r>
        <w:r w:rsidR="00EF110A" w:rsidRPr="00A53AD7">
          <w:rPr>
            <w:i w:val="0"/>
            <w:noProof/>
            <w:webHidden/>
          </w:rPr>
        </w:r>
        <w:r w:rsidR="00EF110A" w:rsidRPr="00A53AD7">
          <w:rPr>
            <w:i w:val="0"/>
            <w:noProof/>
            <w:webHidden/>
          </w:rPr>
          <w:fldChar w:fldCharType="separate"/>
        </w:r>
        <w:r w:rsidR="005351E5" w:rsidRPr="00A53AD7">
          <w:rPr>
            <w:i w:val="0"/>
            <w:noProof/>
            <w:webHidden/>
          </w:rPr>
          <w:t>140</w:t>
        </w:r>
        <w:r w:rsidR="00EF110A" w:rsidRPr="00A53AD7">
          <w:rPr>
            <w:i w:val="0"/>
            <w:noProof/>
            <w:webHidden/>
          </w:rPr>
          <w:fldChar w:fldCharType="end"/>
        </w:r>
      </w:hyperlink>
    </w:p>
    <w:p w14:paraId="6494C4C0"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5" w:history="1">
        <w:r w:rsidR="00EF110A" w:rsidRPr="00A53AD7">
          <w:rPr>
            <w:rStyle w:val="afb"/>
            <w:i w:val="0"/>
            <w:noProof/>
            <w:color w:val="auto"/>
          </w:rPr>
          <w:t>4.2.4. Государственная программа Архангельской области «Культура Русского Севера»</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_Toc42006725 \h </w:instrText>
        </w:r>
        <w:r w:rsidR="00EF110A" w:rsidRPr="00A53AD7">
          <w:rPr>
            <w:i w:val="0"/>
            <w:noProof/>
            <w:webHidden/>
          </w:rPr>
        </w:r>
        <w:r w:rsidR="00EF110A" w:rsidRPr="00A53AD7">
          <w:rPr>
            <w:i w:val="0"/>
            <w:noProof/>
            <w:webHidden/>
          </w:rPr>
          <w:fldChar w:fldCharType="separate"/>
        </w:r>
        <w:r w:rsidR="005351E5" w:rsidRPr="00A53AD7">
          <w:rPr>
            <w:i w:val="0"/>
            <w:noProof/>
            <w:webHidden/>
          </w:rPr>
          <w:t>148</w:t>
        </w:r>
        <w:r w:rsidR="00EF110A" w:rsidRPr="00A53AD7">
          <w:rPr>
            <w:i w:val="0"/>
            <w:noProof/>
            <w:webHidden/>
          </w:rPr>
          <w:fldChar w:fldCharType="end"/>
        </w:r>
      </w:hyperlink>
    </w:p>
    <w:p w14:paraId="3A4CE6E2"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6" w:history="1">
        <w:r w:rsidR="00EF110A" w:rsidRPr="00A53AD7">
          <w:rPr>
            <w:rStyle w:val="afb"/>
            <w:i w:val="0"/>
            <w:noProof/>
            <w:color w:val="auto"/>
          </w:rPr>
          <w:t>4.2.5. 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_Toc42006726 \h </w:instrText>
        </w:r>
        <w:r w:rsidR="00EF110A" w:rsidRPr="00A53AD7">
          <w:rPr>
            <w:i w:val="0"/>
            <w:noProof/>
            <w:webHidden/>
          </w:rPr>
        </w:r>
        <w:r w:rsidR="00EF110A" w:rsidRPr="00A53AD7">
          <w:rPr>
            <w:i w:val="0"/>
            <w:noProof/>
            <w:webHidden/>
          </w:rPr>
          <w:fldChar w:fldCharType="separate"/>
        </w:r>
        <w:r w:rsidR="005351E5" w:rsidRPr="00A53AD7">
          <w:rPr>
            <w:i w:val="0"/>
            <w:noProof/>
            <w:webHidden/>
          </w:rPr>
          <w:t>156</w:t>
        </w:r>
        <w:r w:rsidR="00EF110A" w:rsidRPr="00A53AD7">
          <w:rPr>
            <w:i w:val="0"/>
            <w:noProof/>
            <w:webHidden/>
          </w:rPr>
          <w:fldChar w:fldCharType="end"/>
        </w:r>
      </w:hyperlink>
    </w:p>
    <w:p w14:paraId="33424844"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7" w:history="1">
        <w:r w:rsidR="00EF110A" w:rsidRPr="00A53AD7">
          <w:rPr>
            <w:rStyle w:val="afb"/>
            <w:i w:val="0"/>
            <w:noProof/>
            <w:color w:val="auto"/>
          </w:rPr>
          <w:t>4.2.6. Государственная программа «Обеспечение качественным, доступным жильем и объектами инженерной инфраструктуры населения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_Toc42006727 \h </w:instrText>
        </w:r>
        <w:r w:rsidR="00EF110A" w:rsidRPr="00A53AD7">
          <w:rPr>
            <w:i w:val="0"/>
            <w:noProof/>
            <w:webHidden/>
          </w:rPr>
        </w:r>
        <w:r w:rsidR="00EF110A" w:rsidRPr="00A53AD7">
          <w:rPr>
            <w:i w:val="0"/>
            <w:noProof/>
            <w:webHidden/>
          </w:rPr>
          <w:fldChar w:fldCharType="separate"/>
        </w:r>
        <w:r w:rsidR="005351E5" w:rsidRPr="00A53AD7">
          <w:rPr>
            <w:i w:val="0"/>
            <w:noProof/>
            <w:webHidden/>
          </w:rPr>
          <w:t>170</w:t>
        </w:r>
        <w:r w:rsidR="00EF110A" w:rsidRPr="00A53AD7">
          <w:rPr>
            <w:i w:val="0"/>
            <w:noProof/>
            <w:webHidden/>
          </w:rPr>
          <w:fldChar w:fldCharType="end"/>
        </w:r>
      </w:hyperlink>
    </w:p>
    <w:p w14:paraId="10DB1C37"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8" w:history="1">
        <w:r w:rsidR="00EF110A" w:rsidRPr="00A53AD7">
          <w:rPr>
            <w:rStyle w:val="afb"/>
            <w:i w:val="0"/>
            <w:noProof/>
            <w:color w:val="auto"/>
          </w:rPr>
          <w:t>4.2.7. Государственная программа Архангельской области «Содействие занятости населения Архангельской области, улучшение условий и охраны труда»</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_Toc42006728 \h </w:instrText>
        </w:r>
        <w:r w:rsidR="00EF110A" w:rsidRPr="00A53AD7">
          <w:rPr>
            <w:i w:val="0"/>
            <w:noProof/>
            <w:webHidden/>
          </w:rPr>
        </w:r>
        <w:r w:rsidR="00EF110A" w:rsidRPr="00A53AD7">
          <w:rPr>
            <w:i w:val="0"/>
            <w:noProof/>
            <w:webHidden/>
          </w:rPr>
          <w:fldChar w:fldCharType="separate"/>
        </w:r>
        <w:r w:rsidR="005351E5" w:rsidRPr="00A53AD7">
          <w:rPr>
            <w:i w:val="0"/>
            <w:noProof/>
            <w:webHidden/>
          </w:rPr>
          <w:t>177</w:t>
        </w:r>
        <w:r w:rsidR="00EF110A" w:rsidRPr="00A53AD7">
          <w:rPr>
            <w:i w:val="0"/>
            <w:noProof/>
            <w:webHidden/>
          </w:rPr>
          <w:fldChar w:fldCharType="end"/>
        </w:r>
      </w:hyperlink>
    </w:p>
    <w:p w14:paraId="40D636B5"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29" w:history="1">
        <w:r w:rsidR="00EF110A" w:rsidRPr="00A53AD7">
          <w:rPr>
            <w:rStyle w:val="afb"/>
            <w:i w:val="0"/>
            <w:noProof/>
            <w:color w:val="auto"/>
          </w:rPr>
          <w:t xml:space="preserve">4.2.8. Государственная программа Архангельской области «Обеспечение общественного порядка, профилактика преступности, коррупции, терроризма и </w:t>
        </w:r>
        <w:r w:rsidR="00EF110A" w:rsidRPr="00A53AD7">
          <w:rPr>
            <w:rStyle w:val="afb"/>
            <w:i w:val="0"/>
            <w:noProof/>
            <w:color w:val="auto"/>
          </w:rPr>
          <w:lastRenderedPageBreak/>
          <w:t>незаконного потребления наркотических средств и психотропных веществ в Архангельской области (2014 – 2021 годы)»</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_Toc42006729 \h </w:instrText>
        </w:r>
        <w:r w:rsidR="00EF110A" w:rsidRPr="00A53AD7">
          <w:rPr>
            <w:i w:val="0"/>
            <w:noProof/>
            <w:webHidden/>
          </w:rPr>
        </w:r>
        <w:r w:rsidR="00EF110A" w:rsidRPr="00A53AD7">
          <w:rPr>
            <w:i w:val="0"/>
            <w:noProof/>
            <w:webHidden/>
          </w:rPr>
          <w:fldChar w:fldCharType="separate"/>
        </w:r>
        <w:r w:rsidR="005351E5" w:rsidRPr="00A53AD7">
          <w:rPr>
            <w:i w:val="0"/>
            <w:noProof/>
            <w:webHidden/>
          </w:rPr>
          <w:t>184</w:t>
        </w:r>
        <w:r w:rsidR="00EF110A" w:rsidRPr="00A53AD7">
          <w:rPr>
            <w:i w:val="0"/>
            <w:noProof/>
            <w:webHidden/>
          </w:rPr>
          <w:fldChar w:fldCharType="end"/>
        </w:r>
      </w:hyperlink>
    </w:p>
    <w:p w14:paraId="74FD9797"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0" w:history="1">
        <w:r w:rsidR="00EF110A" w:rsidRPr="00A53AD7">
          <w:rPr>
            <w:rStyle w:val="afb"/>
            <w:i w:val="0"/>
            <w:noProof/>
            <w:color w:val="auto"/>
          </w:rPr>
          <w:t>4.2.9. Государственная программа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_Toc42006730 \h </w:instrText>
        </w:r>
        <w:r w:rsidR="00EF110A" w:rsidRPr="00A53AD7">
          <w:rPr>
            <w:i w:val="0"/>
            <w:noProof/>
            <w:webHidden/>
          </w:rPr>
        </w:r>
        <w:r w:rsidR="00EF110A" w:rsidRPr="00A53AD7">
          <w:rPr>
            <w:i w:val="0"/>
            <w:noProof/>
            <w:webHidden/>
          </w:rPr>
          <w:fldChar w:fldCharType="separate"/>
        </w:r>
        <w:r w:rsidR="005351E5" w:rsidRPr="00A53AD7">
          <w:rPr>
            <w:i w:val="0"/>
            <w:noProof/>
            <w:webHidden/>
          </w:rPr>
          <w:t>189</w:t>
        </w:r>
        <w:r w:rsidR="00EF110A" w:rsidRPr="00A53AD7">
          <w:rPr>
            <w:i w:val="0"/>
            <w:noProof/>
            <w:webHidden/>
          </w:rPr>
          <w:fldChar w:fldCharType="end"/>
        </w:r>
      </w:hyperlink>
    </w:p>
    <w:p w14:paraId="3FAD73E4"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1" w:history="1">
        <w:r w:rsidR="00EF110A" w:rsidRPr="00A53AD7">
          <w:rPr>
            <w:rStyle w:val="afb"/>
            <w:i w:val="0"/>
            <w:noProof/>
            <w:color w:val="auto"/>
          </w:rPr>
          <w:t>4.2.10. Государственная программа Архангельской области «Охрана окружающей среды, воспроизводство и использование природных ресурсов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_Toc42006731 \h </w:instrText>
        </w:r>
        <w:r w:rsidR="00EF110A" w:rsidRPr="00A53AD7">
          <w:rPr>
            <w:i w:val="0"/>
            <w:noProof/>
            <w:webHidden/>
          </w:rPr>
        </w:r>
        <w:r w:rsidR="00EF110A" w:rsidRPr="00A53AD7">
          <w:rPr>
            <w:i w:val="0"/>
            <w:noProof/>
            <w:webHidden/>
          </w:rPr>
          <w:fldChar w:fldCharType="separate"/>
        </w:r>
        <w:r w:rsidR="005351E5" w:rsidRPr="00A53AD7">
          <w:rPr>
            <w:i w:val="0"/>
            <w:noProof/>
            <w:webHidden/>
          </w:rPr>
          <w:t>197</w:t>
        </w:r>
        <w:r w:rsidR="00EF110A" w:rsidRPr="00A53AD7">
          <w:rPr>
            <w:i w:val="0"/>
            <w:noProof/>
            <w:webHidden/>
          </w:rPr>
          <w:fldChar w:fldCharType="end"/>
        </w:r>
      </w:hyperlink>
    </w:p>
    <w:p w14:paraId="7C43CB5D"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2" w:history="1">
        <w:r w:rsidR="00EF110A" w:rsidRPr="00A53AD7">
          <w:rPr>
            <w:rStyle w:val="afb"/>
            <w:i w:val="0"/>
            <w:noProof/>
            <w:color w:val="auto"/>
          </w:rPr>
          <w:t>4.2.11. Государственная программы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_Toc42006732 \h </w:instrText>
        </w:r>
        <w:r w:rsidR="00EF110A" w:rsidRPr="00A53AD7">
          <w:rPr>
            <w:i w:val="0"/>
            <w:noProof/>
            <w:webHidden/>
          </w:rPr>
        </w:r>
        <w:r w:rsidR="00EF110A" w:rsidRPr="00A53AD7">
          <w:rPr>
            <w:i w:val="0"/>
            <w:noProof/>
            <w:webHidden/>
          </w:rPr>
          <w:fldChar w:fldCharType="separate"/>
        </w:r>
        <w:r w:rsidR="005351E5" w:rsidRPr="00A53AD7">
          <w:rPr>
            <w:i w:val="0"/>
            <w:noProof/>
            <w:webHidden/>
          </w:rPr>
          <w:t>215</w:t>
        </w:r>
        <w:r w:rsidR="00EF110A" w:rsidRPr="00A53AD7">
          <w:rPr>
            <w:i w:val="0"/>
            <w:noProof/>
            <w:webHidden/>
          </w:rPr>
          <w:fldChar w:fldCharType="end"/>
        </w:r>
      </w:hyperlink>
    </w:p>
    <w:p w14:paraId="4FDDB14F"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3" w:history="1">
        <w:r w:rsidR="00EF110A" w:rsidRPr="00A53AD7">
          <w:rPr>
            <w:rStyle w:val="afb"/>
            <w:i w:val="0"/>
            <w:noProof/>
            <w:color w:val="auto"/>
          </w:rPr>
          <w:t>4.2.12. Государственная программы Архангельской области «Экономическое развитие и инвестиционная деятельность в Архангельской области (2014 – 2024 годы)»</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_Toc42006733 \h </w:instrText>
        </w:r>
        <w:r w:rsidR="00EF110A" w:rsidRPr="00A53AD7">
          <w:rPr>
            <w:i w:val="0"/>
            <w:noProof/>
            <w:webHidden/>
          </w:rPr>
        </w:r>
        <w:r w:rsidR="00EF110A" w:rsidRPr="00A53AD7">
          <w:rPr>
            <w:i w:val="0"/>
            <w:noProof/>
            <w:webHidden/>
          </w:rPr>
          <w:fldChar w:fldCharType="separate"/>
        </w:r>
        <w:r w:rsidR="005351E5" w:rsidRPr="00A53AD7">
          <w:rPr>
            <w:i w:val="0"/>
            <w:noProof/>
            <w:webHidden/>
          </w:rPr>
          <w:t>222</w:t>
        </w:r>
        <w:r w:rsidR="00EF110A" w:rsidRPr="00A53AD7">
          <w:rPr>
            <w:i w:val="0"/>
            <w:noProof/>
            <w:webHidden/>
          </w:rPr>
          <w:fldChar w:fldCharType="end"/>
        </w:r>
      </w:hyperlink>
    </w:p>
    <w:p w14:paraId="06E80DBA"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4" w:history="1">
        <w:r w:rsidR="00EF110A" w:rsidRPr="00A53AD7">
          <w:rPr>
            <w:rStyle w:val="afb"/>
            <w:i w:val="0"/>
            <w:noProof/>
            <w:color w:val="auto"/>
          </w:rPr>
          <w:t>4.2.13. Государственная программа Архангельской области «Формирование современной городской среды в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_Toc42006734 \h </w:instrText>
        </w:r>
        <w:r w:rsidR="00EF110A" w:rsidRPr="00A53AD7">
          <w:rPr>
            <w:i w:val="0"/>
            <w:noProof/>
            <w:webHidden/>
          </w:rPr>
        </w:r>
        <w:r w:rsidR="00EF110A" w:rsidRPr="00A53AD7">
          <w:rPr>
            <w:i w:val="0"/>
            <w:noProof/>
            <w:webHidden/>
          </w:rPr>
          <w:fldChar w:fldCharType="separate"/>
        </w:r>
        <w:r w:rsidR="005351E5" w:rsidRPr="00A53AD7">
          <w:rPr>
            <w:i w:val="0"/>
            <w:noProof/>
            <w:webHidden/>
          </w:rPr>
          <w:t>229</w:t>
        </w:r>
        <w:r w:rsidR="00EF110A" w:rsidRPr="00A53AD7">
          <w:rPr>
            <w:i w:val="0"/>
            <w:noProof/>
            <w:webHidden/>
          </w:rPr>
          <w:fldChar w:fldCharType="end"/>
        </w:r>
      </w:hyperlink>
    </w:p>
    <w:p w14:paraId="0F634CE0"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5" w:history="1">
        <w:r w:rsidR="00EF110A" w:rsidRPr="00A53AD7">
          <w:rPr>
            <w:rStyle w:val="afb"/>
            <w:i w:val="0"/>
            <w:noProof/>
            <w:color w:val="auto"/>
          </w:rPr>
          <w:t>4.2.14. Государственная программы Архангельской области «Развитие торговли в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_Toc42006735 \h </w:instrText>
        </w:r>
        <w:r w:rsidR="00EF110A" w:rsidRPr="00A53AD7">
          <w:rPr>
            <w:i w:val="0"/>
            <w:noProof/>
            <w:webHidden/>
          </w:rPr>
        </w:r>
        <w:r w:rsidR="00EF110A" w:rsidRPr="00A53AD7">
          <w:rPr>
            <w:i w:val="0"/>
            <w:noProof/>
            <w:webHidden/>
          </w:rPr>
          <w:fldChar w:fldCharType="separate"/>
        </w:r>
        <w:r w:rsidR="005351E5" w:rsidRPr="00A53AD7">
          <w:rPr>
            <w:i w:val="0"/>
            <w:noProof/>
            <w:webHidden/>
          </w:rPr>
          <w:t>237</w:t>
        </w:r>
        <w:r w:rsidR="00EF110A" w:rsidRPr="00A53AD7">
          <w:rPr>
            <w:i w:val="0"/>
            <w:noProof/>
            <w:webHidden/>
          </w:rPr>
          <w:fldChar w:fldCharType="end"/>
        </w:r>
      </w:hyperlink>
    </w:p>
    <w:p w14:paraId="6F88D89B"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6" w:history="1">
        <w:r w:rsidR="00EF110A" w:rsidRPr="00A53AD7">
          <w:rPr>
            <w:rStyle w:val="afb"/>
            <w:i w:val="0"/>
            <w:noProof/>
            <w:color w:val="auto"/>
          </w:rPr>
          <w:t>4.2.15. Государственная программа Архангельской области «Развитие лесного комплекса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_Toc42006736 \h </w:instrText>
        </w:r>
        <w:r w:rsidR="00EF110A" w:rsidRPr="00A53AD7">
          <w:rPr>
            <w:i w:val="0"/>
            <w:noProof/>
            <w:webHidden/>
          </w:rPr>
        </w:r>
        <w:r w:rsidR="00EF110A" w:rsidRPr="00A53AD7">
          <w:rPr>
            <w:i w:val="0"/>
            <w:noProof/>
            <w:webHidden/>
          </w:rPr>
          <w:fldChar w:fldCharType="separate"/>
        </w:r>
        <w:r w:rsidR="005351E5" w:rsidRPr="00A53AD7">
          <w:rPr>
            <w:i w:val="0"/>
            <w:noProof/>
            <w:webHidden/>
          </w:rPr>
          <w:t>242</w:t>
        </w:r>
        <w:r w:rsidR="00EF110A" w:rsidRPr="00A53AD7">
          <w:rPr>
            <w:i w:val="0"/>
            <w:noProof/>
            <w:webHidden/>
          </w:rPr>
          <w:fldChar w:fldCharType="end"/>
        </w:r>
      </w:hyperlink>
    </w:p>
    <w:p w14:paraId="6FEAAB17"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7" w:history="1">
        <w:r w:rsidR="00EF110A" w:rsidRPr="00A53AD7">
          <w:rPr>
            <w:rStyle w:val="afb"/>
            <w:i w:val="0"/>
            <w:noProof/>
            <w:color w:val="auto"/>
          </w:rPr>
          <w:t>4.2.16. Государственная программа Архангельской области «Развитие энергетики и жилищно-коммунального хозяйства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_Toc42006737 \h </w:instrText>
        </w:r>
        <w:r w:rsidR="00EF110A" w:rsidRPr="00A53AD7">
          <w:rPr>
            <w:i w:val="0"/>
            <w:noProof/>
            <w:webHidden/>
          </w:rPr>
        </w:r>
        <w:r w:rsidR="00EF110A" w:rsidRPr="00A53AD7">
          <w:rPr>
            <w:i w:val="0"/>
            <w:noProof/>
            <w:webHidden/>
          </w:rPr>
          <w:fldChar w:fldCharType="separate"/>
        </w:r>
        <w:r w:rsidR="005351E5" w:rsidRPr="00A53AD7">
          <w:rPr>
            <w:i w:val="0"/>
            <w:noProof/>
            <w:webHidden/>
          </w:rPr>
          <w:t>247</w:t>
        </w:r>
        <w:r w:rsidR="00EF110A" w:rsidRPr="00A53AD7">
          <w:rPr>
            <w:i w:val="0"/>
            <w:noProof/>
            <w:webHidden/>
          </w:rPr>
          <w:fldChar w:fldCharType="end"/>
        </w:r>
      </w:hyperlink>
    </w:p>
    <w:p w14:paraId="18B28A11"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8" w:history="1">
        <w:r w:rsidR="00EF110A" w:rsidRPr="00A53AD7">
          <w:rPr>
            <w:rStyle w:val="afb"/>
            <w:i w:val="0"/>
            <w:noProof/>
            <w:color w:val="auto"/>
            <w:lang w:eastAsia="ru-RU"/>
          </w:rPr>
          <w:t>4.2.17. Государственная программа «Развитие местного самоуправления в Архангельской области и государственная поддержка социально ориентированных некоммерческих организаций»</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_Toc42006738 \h </w:instrText>
        </w:r>
        <w:r w:rsidR="00EF110A" w:rsidRPr="00A53AD7">
          <w:rPr>
            <w:i w:val="0"/>
            <w:noProof/>
            <w:webHidden/>
          </w:rPr>
        </w:r>
        <w:r w:rsidR="00EF110A" w:rsidRPr="00A53AD7">
          <w:rPr>
            <w:i w:val="0"/>
            <w:noProof/>
            <w:webHidden/>
          </w:rPr>
          <w:fldChar w:fldCharType="separate"/>
        </w:r>
        <w:r w:rsidR="005351E5" w:rsidRPr="00A53AD7">
          <w:rPr>
            <w:i w:val="0"/>
            <w:noProof/>
            <w:webHidden/>
          </w:rPr>
          <w:t>265</w:t>
        </w:r>
        <w:r w:rsidR="00EF110A" w:rsidRPr="00A53AD7">
          <w:rPr>
            <w:i w:val="0"/>
            <w:noProof/>
            <w:webHidden/>
          </w:rPr>
          <w:fldChar w:fldCharType="end"/>
        </w:r>
      </w:hyperlink>
    </w:p>
    <w:p w14:paraId="146779A2"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39" w:history="1">
        <w:r w:rsidR="00EF110A" w:rsidRPr="00A53AD7">
          <w:rPr>
            <w:rStyle w:val="afb"/>
            <w:i w:val="0"/>
            <w:noProof/>
            <w:color w:val="auto"/>
          </w:rPr>
          <w:t>4.2.18. Государственная программа Архангельской области «Развитие транспортной системы Архангельской области»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_Toc42006739 \h </w:instrText>
        </w:r>
        <w:r w:rsidR="00EF110A" w:rsidRPr="00A53AD7">
          <w:rPr>
            <w:i w:val="0"/>
            <w:noProof/>
            <w:webHidden/>
          </w:rPr>
        </w:r>
        <w:r w:rsidR="00EF110A" w:rsidRPr="00A53AD7">
          <w:rPr>
            <w:i w:val="0"/>
            <w:noProof/>
            <w:webHidden/>
          </w:rPr>
          <w:fldChar w:fldCharType="separate"/>
        </w:r>
        <w:r w:rsidR="005351E5" w:rsidRPr="00A53AD7">
          <w:rPr>
            <w:i w:val="0"/>
            <w:noProof/>
            <w:webHidden/>
          </w:rPr>
          <w:t>270</w:t>
        </w:r>
        <w:r w:rsidR="00EF110A" w:rsidRPr="00A53AD7">
          <w:rPr>
            <w:i w:val="0"/>
            <w:noProof/>
            <w:webHidden/>
          </w:rPr>
          <w:fldChar w:fldCharType="end"/>
        </w:r>
      </w:hyperlink>
    </w:p>
    <w:p w14:paraId="60B1EBF4"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0" w:history="1">
        <w:r w:rsidR="00EF110A" w:rsidRPr="00A53AD7">
          <w:rPr>
            <w:rStyle w:val="afb"/>
            <w:i w:val="0"/>
            <w:noProof/>
            <w:color w:val="auto"/>
          </w:rPr>
          <w:t>4.2.19. Государственная программа Архангельской области «Устойчивое развитие сельских территорий Архангельской области (2014 – 2021 годы)»</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_Toc42006740 \h </w:instrText>
        </w:r>
        <w:r w:rsidR="00EF110A" w:rsidRPr="00A53AD7">
          <w:rPr>
            <w:i w:val="0"/>
            <w:noProof/>
            <w:webHidden/>
          </w:rPr>
        </w:r>
        <w:r w:rsidR="00EF110A" w:rsidRPr="00A53AD7">
          <w:rPr>
            <w:i w:val="0"/>
            <w:noProof/>
            <w:webHidden/>
          </w:rPr>
          <w:fldChar w:fldCharType="separate"/>
        </w:r>
        <w:r w:rsidR="005351E5" w:rsidRPr="00A53AD7">
          <w:rPr>
            <w:i w:val="0"/>
            <w:noProof/>
            <w:webHidden/>
          </w:rPr>
          <w:t>286</w:t>
        </w:r>
        <w:r w:rsidR="00EF110A" w:rsidRPr="00A53AD7">
          <w:rPr>
            <w:i w:val="0"/>
            <w:noProof/>
            <w:webHidden/>
          </w:rPr>
          <w:fldChar w:fldCharType="end"/>
        </w:r>
      </w:hyperlink>
    </w:p>
    <w:p w14:paraId="24B5E102"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1" w:history="1">
        <w:r w:rsidR="00EF110A" w:rsidRPr="00A53AD7">
          <w:rPr>
            <w:rStyle w:val="afb"/>
            <w:i w:val="0"/>
            <w:noProof/>
            <w:color w:val="auto"/>
          </w:rPr>
          <w:t>4.2.20. Обеспечение мероприятий по капитальному ремонту многоквартирных домов, переселению граждан из аварийного жилищного фонда и переселению граждан из аварийного жилищного фонда с учетом необходимости развития малоэтажного строительства</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_Toc42006741 \h </w:instrText>
        </w:r>
        <w:r w:rsidR="00EF110A" w:rsidRPr="00A53AD7">
          <w:rPr>
            <w:i w:val="0"/>
            <w:noProof/>
            <w:webHidden/>
          </w:rPr>
        </w:r>
        <w:r w:rsidR="00EF110A" w:rsidRPr="00A53AD7">
          <w:rPr>
            <w:i w:val="0"/>
            <w:noProof/>
            <w:webHidden/>
          </w:rPr>
          <w:fldChar w:fldCharType="separate"/>
        </w:r>
        <w:r w:rsidR="005351E5" w:rsidRPr="00A53AD7">
          <w:rPr>
            <w:i w:val="0"/>
            <w:noProof/>
            <w:webHidden/>
          </w:rPr>
          <w:t>293</w:t>
        </w:r>
        <w:r w:rsidR="00EF110A" w:rsidRPr="00A53AD7">
          <w:rPr>
            <w:i w:val="0"/>
            <w:noProof/>
            <w:webHidden/>
          </w:rPr>
          <w:fldChar w:fldCharType="end"/>
        </w:r>
      </w:hyperlink>
    </w:p>
    <w:p w14:paraId="7085DCBF"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42" w:history="1">
        <w:r w:rsidR="00EF110A" w:rsidRPr="00A53AD7">
          <w:rPr>
            <w:rStyle w:val="afb"/>
            <w:noProof/>
            <w:color w:val="auto"/>
          </w:rPr>
          <w:t>4.3. Расходы областного бюджета за счет средств резервного фонда Правительства Архангельской области</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_Toc42006742 \h </w:instrText>
        </w:r>
        <w:r w:rsidR="00EF110A" w:rsidRPr="00A53AD7">
          <w:rPr>
            <w:noProof/>
            <w:webHidden/>
          </w:rPr>
        </w:r>
        <w:r w:rsidR="00EF110A" w:rsidRPr="00A53AD7">
          <w:rPr>
            <w:noProof/>
            <w:webHidden/>
          </w:rPr>
          <w:fldChar w:fldCharType="separate"/>
        </w:r>
        <w:r w:rsidR="005351E5" w:rsidRPr="00A53AD7">
          <w:rPr>
            <w:noProof/>
            <w:webHidden/>
          </w:rPr>
          <w:t>299</w:t>
        </w:r>
        <w:r w:rsidR="00EF110A" w:rsidRPr="00A53AD7">
          <w:rPr>
            <w:noProof/>
            <w:webHidden/>
          </w:rPr>
          <w:fldChar w:fldCharType="end"/>
        </w:r>
      </w:hyperlink>
    </w:p>
    <w:p w14:paraId="5A726F1D"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43" w:history="1">
        <w:r w:rsidR="00EF110A" w:rsidRPr="00A53AD7">
          <w:rPr>
            <w:rStyle w:val="afb"/>
            <w:noProof/>
            <w:color w:val="auto"/>
          </w:rPr>
          <w:t>4.4. Реализация областной адресной инвестиционной программы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_Toc42006743 \h </w:instrText>
        </w:r>
        <w:r w:rsidR="00EF110A" w:rsidRPr="00A53AD7">
          <w:rPr>
            <w:noProof/>
            <w:webHidden/>
          </w:rPr>
        </w:r>
        <w:r w:rsidR="00EF110A" w:rsidRPr="00A53AD7">
          <w:rPr>
            <w:noProof/>
            <w:webHidden/>
          </w:rPr>
          <w:fldChar w:fldCharType="separate"/>
        </w:r>
        <w:r w:rsidR="005351E5" w:rsidRPr="00A53AD7">
          <w:rPr>
            <w:noProof/>
            <w:webHidden/>
          </w:rPr>
          <w:t>306</w:t>
        </w:r>
        <w:r w:rsidR="00EF110A" w:rsidRPr="00A53AD7">
          <w:rPr>
            <w:noProof/>
            <w:webHidden/>
          </w:rPr>
          <w:fldChar w:fldCharType="end"/>
        </w:r>
      </w:hyperlink>
    </w:p>
    <w:p w14:paraId="731DA2BE"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44" w:history="1">
        <w:r w:rsidR="00EF110A" w:rsidRPr="00A53AD7">
          <w:rPr>
            <w:rStyle w:val="afb"/>
            <w:noProof/>
            <w:color w:val="auto"/>
          </w:rPr>
          <w:t>4.5. Дорожный фонд Архангельской области 2019 года</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_Toc42006744 \h </w:instrText>
        </w:r>
        <w:r w:rsidR="00EF110A" w:rsidRPr="00A53AD7">
          <w:rPr>
            <w:noProof/>
            <w:webHidden/>
          </w:rPr>
        </w:r>
        <w:r w:rsidR="00EF110A" w:rsidRPr="00A53AD7">
          <w:rPr>
            <w:noProof/>
            <w:webHidden/>
          </w:rPr>
          <w:fldChar w:fldCharType="separate"/>
        </w:r>
        <w:r w:rsidR="005351E5" w:rsidRPr="00A53AD7">
          <w:rPr>
            <w:noProof/>
            <w:webHidden/>
          </w:rPr>
          <w:t>323</w:t>
        </w:r>
        <w:r w:rsidR="00EF110A" w:rsidRPr="00A53AD7">
          <w:rPr>
            <w:noProof/>
            <w:webHidden/>
          </w:rPr>
          <w:fldChar w:fldCharType="end"/>
        </w:r>
      </w:hyperlink>
    </w:p>
    <w:p w14:paraId="52F952DA"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45" w:history="1">
        <w:r w:rsidR="00EF110A" w:rsidRPr="00A53AD7">
          <w:rPr>
            <w:rStyle w:val="afb"/>
            <w:noProof/>
            <w:color w:val="auto"/>
          </w:rPr>
          <w:t>4.6.. Реализация приоритетных национальных проектов и программ в 2019 году</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_Toc42006745 \h </w:instrText>
        </w:r>
        <w:r w:rsidR="00EF110A" w:rsidRPr="00A53AD7">
          <w:rPr>
            <w:noProof/>
            <w:webHidden/>
          </w:rPr>
        </w:r>
        <w:r w:rsidR="00EF110A" w:rsidRPr="00A53AD7">
          <w:rPr>
            <w:noProof/>
            <w:webHidden/>
          </w:rPr>
          <w:fldChar w:fldCharType="separate"/>
        </w:r>
        <w:r w:rsidR="005351E5" w:rsidRPr="00A53AD7">
          <w:rPr>
            <w:noProof/>
            <w:webHidden/>
          </w:rPr>
          <w:t>326</w:t>
        </w:r>
        <w:r w:rsidR="00EF110A" w:rsidRPr="00A53AD7">
          <w:rPr>
            <w:noProof/>
            <w:webHidden/>
          </w:rPr>
          <w:fldChar w:fldCharType="end"/>
        </w:r>
      </w:hyperlink>
    </w:p>
    <w:p w14:paraId="41EC4A8A"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6" w:history="1">
        <w:r w:rsidR="00EF110A" w:rsidRPr="00A53AD7">
          <w:rPr>
            <w:rStyle w:val="afb"/>
            <w:rFonts w:eastAsia="Times New Roman"/>
            <w:bCs/>
            <w:i w:val="0"/>
            <w:noProof/>
            <w:color w:val="auto"/>
            <w:lang w:eastAsia="ru-RU"/>
          </w:rPr>
          <w:t xml:space="preserve">4.6.1. </w:t>
        </w:r>
        <w:r w:rsidR="00EF110A" w:rsidRPr="00A53AD7">
          <w:rPr>
            <w:rStyle w:val="afb"/>
            <w:rFonts w:eastAsia="Times New Roman"/>
            <w:bCs/>
            <w:i w:val="0"/>
            <w:noProof/>
            <w:color w:val="auto"/>
          </w:rPr>
          <w:t>Национальная программа «Цифровая экономика Российской Федерации»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_Toc42006746 \h </w:instrText>
        </w:r>
        <w:r w:rsidR="00EF110A" w:rsidRPr="00A53AD7">
          <w:rPr>
            <w:i w:val="0"/>
            <w:noProof/>
            <w:webHidden/>
          </w:rPr>
        </w:r>
        <w:r w:rsidR="00EF110A" w:rsidRPr="00A53AD7">
          <w:rPr>
            <w:i w:val="0"/>
            <w:noProof/>
            <w:webHidden/>
          </w:rPr>
          <w:fldChar w:fldCharType="separate"/>
        </w:r>
        <w:r w:rsidR="005351E5" w:rsidRPr="00A53AD7">
          <w:rPr>
            <w:i w:val="0"/>
            <w:noProof/>
            <w:webHidden/>
          </w:rPr>
          <w:t>330</w:t>
        </w:r>
        <w:r w:rsidR="00EF110A" w:rsidRPr="00A53AD7">
          <w:rPr>
            <w:i w:val="0"/>
            <w:noProof/>
            <w:webHidden/>
          </w:rPr>
          <w:fldChar w:fldCharType="end"/>
        </w:r>
      </w:hyperlink>
    </w:p>
    <w:p w14:paraId="20F465B4"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7" w:history="1">
        <w:r w:rsidR="00EF110A" w:rsidRPr="00A53AD7">
          <w:rPr>
            <w:rStyle w:val="afb"/>
            <w:rFonts w:eastAsia="Times New Roman"/>
            <w:bCs/>
            <w:i w:val="0"/>
            <w:noProof/>
            <w:color w:val="auto"/>
            <w:lang w:eastAsia="ru-RU"/>
          </w:rPr>
          <w:t>4.6.2. Комплексный план модернизации и расширения магистральной инфраструктуры</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_Toc42006747 \h </w:instrText>
        </w:r>
        <w:r w:rsidR="00EF110A" w:rsidRPr="00A53AD7">
          <w:rPr>
            <w:i w:val="0"/>
            <w:noProof/>
            <w:webHidden/>
          </w:rPr>
        </w:r>
        <w:r w:rsidR="00EF110A" w:rsidRPr="00A53AD7">
          <w:rPr>
            <w:i w:val="0"/>
            <w:noProof/>
            <w:webHidden/>
          </w:rPr>
          <w:fldChar w:fldCharType="separate"/>
        </w:r>
        <w:r w:rsidR="005351E5" w:rsidRPr="00A53AD7">
          <w:rPr>
            <w:i w:val="0"/>
            <w:noProof/>
            <w:webHidden/>
          </w:rPr>
          <w:t>335</w:t>
        </w:r>
        <w:r w:rsidR="00EF110A" w:rsidRPr="00A53AD7">
          <w:rPr>
            <w:i w:val="0"/>
            <w:noProof/>
            <w:webHidden/>
          </w:rPr>
          <w:fldChar w:fldCharType="end"/>
        </w:r>
      </w:hyperlink>
    </w:p>
    <w:p w14:paraId="5AEE6E80"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8" w:history="1">
        <w:r w:rsidR="00EF110A" w:rsidRPr="00A53AD7">
          <w:rPr>
            <w:rStyle w:val="afb"/>
            <w:rFonts w:eastAsia="Times New Roman"/>
            <w:bCs/>
            <w:i w:val="0"/>
            <w:noProof/>
            <w:color w:val="auto"/>
            <w:lang w:eastAsia="ru-RU"/>
          </w:rPr>
          <w:t>4.6.3. Национальный проект «Безопасные и качественные автомобильные дороги»</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_Toc42006748 \h </w:instrText>
        </w:r>
        <w:r w:rsidR="00EF110A" w:rsidRPr="00A53AD7">
          <w:rPr>
            <w:i w:val="0"/>
            <w:noProof/>
            <w:webHidden/>
          </w:rPr>
        </w:r>
        <w:r w:rsidR="00EF110A" w:rsidRPr="00A53AD7">
          <w:rPr>
            <w:i w:val="0"/>
            <w:noProof/>
            <w:webHidden/>
          </w:rPr>
          <w:fldChar w:fldCharType="separate"/>
        </w:r>
        <w:r w:rsidR="005351E5" w:rsidRPr="00A53AD7">
          <w:rPr>
            <w:i w:val="0"/>
            <w:noProof/>
            <w:webHidden/>
          </w:rPr>
          <w:t>340</w:t>
        </w:r>
        <w:r w:rsidR="00EF110A" w:rsidRPr="00A53AD7">
          <w:rPr>
            <w:i w:val="0"/>
            <w:noProof/>
            <w:webHidden/>
          </w:rPr>
          <w:fldChar w:fldCharType="end"/>
        </w:r>
      </w:hyperlink>
    </w:p>
    <w:p w14:paraId="0812029D"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49" w:history="1">
        <w:r w:rsidR="00EF110A" w:rsidRPr="00A53AD7">
          <w:rPr>
            <w:rStyle w:val="afb"/>
            <w:rFonts w:eastAsia="Times New Roman"/>
            <w:bCs/>
            <w:i w:val="0"/>
            <w:noProof/>
            <w:color w:val="auto"/>
            <w:lang w:eastAsia="ru-RU"/>
          </w:rPr>
          <w:t>4.6.4. Национальный проект «Жилье и городская среда»</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_Toc42006749 \h </w:instrText>
        </w:r>
        <w:r w:rsidR="00EF110A" w:rsidRPr="00A53AD7">
          <w:rPr>
            <w:i w:val="0"/>
            <w:noProof/>
            <w:webHidden/>
          </w:rPr>
        </w:r>
        <w:r w:rsidR="00EF110A" w:rsidRPr="00A53AD7">
          <w:rPr>
            <w:i w:val="0"/>
            <w:noProof/>
            <w:webHidden/>
          </w:rPr>
          <w:fldChar w:fldCharType="separate"/>
        </w:r>
        <w:r w:rsidR="005351E5" w:rsidRPr="00A53AD7">
          <w:rPr>
            <w:i w:val="0"/>
            <w:noProof/>
            <w:webHidden/>
          </w:rPr>
          <w:t>352</w:t>
        </w:r>
        <w:r w:rsidR="00EF110A" w:rsidRPr="00A53AD7">
          <w:rPr>
            <w:i w:val="0"/>
            <w:noProof/>
            <w:webHidden/>
          </w:rPr>
          <w:fldChar w:fldCharType="end"/>
        </w:r>
      </w:hyperlink>
    </w:p>
    <w:p w14:paraId="35FAF9E8"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0" w:history="1">
        <w:r w:rsidR="00EF110A" w:rsidRPr="00A53AD7">
          <w:rPr>
            <w:rStyle w:val="afb"/>
            <w:rFonts w:eastAsia="Times New Roman"/>
            <w:bCs/>
            <w:i w:val="0"/>
            <w:noProof/>
            <w:color w:val="auto"/>
            <w:lang w:eastAsia="ru-RU"/>
          </w:rPr>
          <w:t>4.6.5. Национальный проект «Экология»</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_Toc42006750 \h </w:instrText>
        </w:r>
        <w:r w:rsidR="00EF110A" w:rsidRPr="00A53AD7">
          <w:rPr>
            <w:i w:val="0"/>
            <w:noProof/>
            <w:webHidden/>
          </w:rPr>
        </w:r>
        <w:r w:rsidR="00EF110A" w:rsidRPr="00A53AD7">
          <w:rPr>
            <w:i w:val="0"/>
            <w:noProof/>
            <w:webHidden/>
          </w:rPr>
          <w:fldChar w:fldCharType="separate"/>
        </w:r>
        <w:r w:rsidR="005351E5" w:rsidRPr="00A53AD7">
          <w:rPr>
            <w:i w:val="0"/>
            <w:noProof/>
            <w:webHidden/>
          </w:rPr>
          <w:t>368</w:t>
        </w:r>
        <w:r w:rsidR="00EF110A" w:rsidRPr="00A53AD7">
          <w:rPr>
            <w:i w:val="0"/>
            <w:noProof/>
            <w:webHidden/>
          </w:rPr>
          <w:fldChar w:fldCharType="end"/>
        </w:r>
      </w:hyperlink>
    </w:p>
    <w:p w14:paraId="78520DF2"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1" w:history="1">
        <w:r w:rsidR="00EF110A" w:rsidRPr="00A53AD7">
          <w:rPr>
            <w:rStyle w:val="afb"/>
            <w:rFonts w:eastAsia="Times New Roman"/>
            <w:bCs/>
            <w:i w:val="0"/>
            <w:noProof/>
            <w:color w:val="auto"/>
            <w:lang w:eastAsia="ru-RU"/>
          </w:rPr>
          <w:t>4.6.6. Национальный проект «Культура»</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_Toc42006751 \h </w:instrText>
        </w:r>
        <w:r w:rsidR="00EF110A" w:rsidRPr="00A53AD7">
          <w:rPr>
            <w:i w:val="0"/>
            <w:noProof/>
            <w:webHidden/>
          </w:rPr>
        </w:r>
        <w:r w:rsidR="00EF110A" w:rsidRPr="00A53AD7">
          <w:rPr>
            <w:i w:val="0"/>
            <w:noProof/>
            <w:webHidden/>
          </w:rPr>
          <w:fldChar w:fldCharType="separate"/>
        </w:r>
        <w:r w:rsidR="005351E5" w:rsidRPr="00A53AD7">
          <w:rPr>
            <w:i w:val="0"/>
            <w:noProof/>
            <w:webHidden/>
          </w:rPr>
          <w:t>383</w:t>
        </w:r>
        <w:r w:rsidR="00EF110A" w:rsidRPr="00A53AD7">
          <w:rPr>
            <w:i w:val="0"/>
            <w:noProof/>
            <w:webHidden/>
          </w:rPr>
          <w:fldChar w:fldCharType="end"/>
        </w:r>
      </w:hyperlink>
    </w:p>
    <w:p w14:paraId="7EEE06DB"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2" w:history="1">
        <w:r w:rsidR="00EF110A" w:rsidRPr="00A53AD7">
          <w:rPr>
            <w:rStyle w:val="afb"/>
            <w:rFonts w:eastAsia="Times New Roman"/>
            <w:bCs/>
            <w:i w:val="0"/>
            <w:noProof/>
            <w:color w:val="auto"/>
            <w:lang w:eastAsia="ru-RU"/>
          </w:rPr>
          <w:t>4.6.7. Национальный проект «Малое и среднее предпринимательство и поддержка индивидуальной предпринимательской инициативы»</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_Toc42006752 \h </w:instrText>
        </w:r>
        <w:r w:rsidR="00EF110A" w:rsidRPr="00A53AD7">
          <w:rPr>
            <w:i w:val="0"/>
            <w:noProof/>
            <w:webHidden/>
          </w:rPr>
        </w:r>
        <w:r w:rsidR="00EF110A" w:rsidRPr="00A53AD7">
          <w:rPr>
            <w:i w:val="0"/>
            <w:noProof/>
            <w:webHidden/>
          </w:rPr>
          <w:fldChar w:fldCharType="separate"/>
        </w:r>
        <w:r w:rsidR="005351E5" w:rsidRPr="00A53AD7">
          <w:rPr>
            <w:i w:val="0"/>
            <w:noProof/>
            <w:webHidden/>
          </w:rPr>
          <w:t>391</w:t>
        </w:r>
        <w:r w:rsidR="00EF110A" w:rsidRPr="00A53AD7">
          <w:rPr>
            <w:i w:val="0"/>
            <w:noProof/>
            <w:webHidden/>
          </w:rPr>
          <w:fldChar w:fldCharType="end"/>
        </w:r>
      </w:hyperlink>
    </w:p>
    <w:p w14:paraId="0C89E8D6"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3" w:history="1">
        <w:r w:rsidR="00EF110A" w:rsidRPr="00A53AD7">
          <w:rPr>
            <w:rStyle w:val="afb"/>
            <w:rFonts w:eastAsia="Times New Roman"/>
            <w:bCs/>
            <w:i w:val="0"/>
            <w:noProof/>
            <w:color w:val="auto"/>
            <w:lang w:eastAsia="ru-RU"/>
          </w:rPr>
          <w:t>4.6.8. Национальный проект «Международная кооперация и экспорт»</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_Toc42006753 \h </w:instrText>
        </w:r>
        <w:r w:rsidR="00EF110A" w:rsidRPr="00A53AD7">
          <w:rPr>
            <w:i w:val="0"/>
            <w:noProof/>
            <w:webHidden/>
          </w:rPr>
        </w:r>
        <w:r w:rsidR="00EF110A" w:rsidRPr="00A53AD7">
          <w:rPr>
            <w:i w:val="0"/>
            <w:noProof/>
            <w:webHidden/>
          </w:rPr>
          <w:fldChar w:fldCharType="separate"/>
        </w:r>
        <w:r w:rsidR="005351E5" w:rsidRPr="00A53AD7">
          <w:rPr>
            <w:i w:val="0"/>
            <w:noProof/>
            <w:webHidden/>
          </w:rPr>
          <w:t>404</w:t>
        </w:r>
        <w:r w:rsidR="00EF110A" w:rsidRPr="00A53AD7">
          <w:rPr>
            <w:i w:val="0"/>
            <w:noProof/>
            <w:webHidden/>
          </w:rPr>
          <w:fldChar w:fldCharType="end"/>
        </w:r>
      </w:hyperlink>
    </w:p>
    <w:p w14:paraId="21B6152A"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4" w:history="1">
        <w:r w:rsidR="00EF110A" w:rsidRPr="00A53AD7">
          <w:rPr>
            <w:rStyle w:val="afb"/>
            <w:rFonts w:eastAsia="Times New Roman"/>
            <w:bCs/>
            <w:i w:val="0"/>
            <w:noProof/>
            <w:color w:val="auto"/>
            <w:lang w:eastAsia="ru-RU"/>
          </w:rPr>
          <w:t>4.6.9. Национальный проект «Образование»</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_Toc42006754 \h </w:instrText>
        </w:r>
        <w:r w:rsidR="00EF110A" w:rsidRPr="00A53AD7">
          <w:rPr>
            <w:i w:val="0"/>
            <w:noProof/>
            <w:webHidden/>
          </w:rPr>
        </w:r>
        <w:r w:rsidR="00EF110A" w:rsidRPr="00A53AD7">
          <w:rPr>
            <w:i w:val="0"/>
            <w:noProof/>
            <w:webHidden/>
          </w:rPr>
          <w:fldChar w:fldCharType="separate"/>
        </w:r>
        <w:r w:rsidR="005351E5" w:rsidRPr="00A53AD7">
          <w:rPr>
            <w:i w:val="0"/>
            <w:noProof/>
            <w:webHidden/>
          </w:rPr>
          <w:t>408</w:t>
        </w:r>
        <w:r w:rsidR="00EF110A" w:rsidRPr="00A53AD7">
          <w:rPr>
            <w:i w:val="0"/>
            <w:noProof/>
            <w:webHidden/>
          </w:rPr>
          <w:fldChar w:fldCharType="end"/>
        </w:r>
      </w:hyperlink>
    </w:p>
    <w:p w14:paraId="6156A14E"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5" w:history="1">
        <w:r w:rsidR="00EF110A" w:rsidRPr="00A53AD7">
          <w:rPr>
            <w:rStyle w:val="afb"/>
            <w:rFonts w:eastAsia="Times New Roman"/>
            <w:bCs/>
            <w:i w:val="0"/>
            <w:noProof/>
            <w:color w:val="auto"/>
            <w:lang w:eastAsia="ru-RU"/>
          </w:rPr>
          <w:t>4.6.10. Национальный проект «Демография»</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_Toc42006755 \h </w:instrText>
        </w:r>
        <w:r w:rsidR="00EF110A" w:rsidRPr="00A53AD7">
          <w:rPr>
            <w:i w:val="0"/>
            <w:noProof/>
            <w:webHidden/>
          </w:rPr>
        </w:r>
        <w:r w:rsidR="00EF110A" w:rsidRPr="00A53AD7">
          <w:rPr>
            <w:i w:val="0"/>
            <w:noProof/>
            <w:webHidden/>
          </w:rPr>
          <w:fldChar w:fldCharType="separate"/>
        </w:r>
        <w:r w:rsidR="005351E5" w:rsidRPr="00A53AD7">
          <w:rPr>
            <w:i w:val="0"/>
            <w:noProof/>
            <w:webHidden/>
          </w:rPr>
          <w:t>421</w:t>
        </w:r>
        <w:r w:rsidR="00EF110A" w:rsidRPr="00A53AD7">
          <w:rPr>
            <w:i w:val="0"/>
            <w:noProof/>
            <w:webHidden/>
          </w:rPr>
          <w:fldChar w:fldCharType="end"/>
        </w:r>
      </w:hyperlink>
    </w:p>
    <w:p w14:paraId="53771E41" w14:textId="77777777" w:rsidR="00EF110A" w:rsidRPr="00A53AD7" w:rsidRDefault="00D470B6">
      <w:pPr>
        <w:pStyle w:val="33"/>
        <w:tabs>
          <w:tab w:val="right" w:leader="dot" w:pos="9344"/>
        </w:tabs>
        <w:rPr>
          <w:rFonts w:asciiTheme="minorHAnsi" w:eastAsiaTheme="minorEastAsia" w:hAnsiTheme="minorHAnsi" w:cstheme="minorBidi"/>
          <w:i w:val="0"/>
          <w:noProof/>
          <w:sz w:val="22"/>
          <w:lang w:eastAsia="ru-RU"/>
        </w:rPr>
      </w:pPr>
      <w:hyperlink w:anchor="_Toc42006756" w:history="1">
        <w:r w:rsidR="00EF110A" w:rsidRPr="00A53AD7">
          <w:rPr>
            <w:rStyle w:val="afb"/>
            <w:rFonts w:eastAsia="Times New Roman"/>
            <w:bCs/>
            <w:i w:val="0"/>
            <w:noProof/>
            <w:color w:val="auto"/>
            <w:lang w:eastAsia="ru-RU"/>
          </w:rPr>
          <w:t>4.6.11. Национальный проект «Здравоохранение»</w:t>
        </w:r>
        <w:r w:rsidR="00EF110A" w:rsidRPr="00A53AD7">
          <w:rPr>
            <w:i w:val="0"/>
            <w:noProof/>
            <w:webHidden/>
          </w:rPr>
          <w:tab/>
        </w:r>
        <w:r w:rsidR="00EF110A" w:rsidRPr="00A53AD7">
          <w:rPr>
            <w:i w:val="0"/>
            <w:noProof/>
            <w:webHidden/>
          </w:rPr>
          <w:fldChar w:fldCharType="begin"/>
        </w:r>
        <w:r w:rsidR="00EF110A" w:rsidRPr="00A53AD7">
          <w:rPr>
            <w:i w:val="0"/>
            <w:noProof/>
            <w:webHidden/>
          </w:rPr>
          <w:instrText xml:space="preserve"> PAGEREF _Toc42006756 \h </w:instrText>
        </w:r>
        <w:r w:rsidR="00EF110A" w:rsidRPr="00A53AD7">
          <w:rPr>
            <w:i w:val="0"/>
            <w:noProof/>
            <w:webHidden/>
          </w:rPr>
        </w:r>
        <w:r w:rsidR="00EF110A" w:rsidRPr="00A53AD7">
          <w:rPr>
            <w:i w:val="0"/>
            <w:noProof/>
            <w:webHidden/>
          </w:rPr>
          <w:fldChar w:fldCharType="separate"/>
        </w:r>
        <w:r w:rsidR="005351E5" w:rsidRPr="00A53AD7">
          <w:rPr>
            <w:i w:val="0"/>
            <w:noProof/>
            <w:webHidden/>
          </w:rPr>
          <w:t>439</w:t>
        </w:r>
        <w:r w:rsidR="00EF110A" w:rsidRPr="00A53AD7">
          <w:rPr>
            <w:i w:val="0"/>
            <w:noProof/>
            <w:webHidden/>
          </w:rPr>
          <w:fldChar w:fldCharType="end"/>
        </w:r>
      </w:hyperlink>
    </w:p>
    <w:p w14:paraId="1BD07331"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57" w:history="1">
        <w:r w:rsidR="00EF110A" w:rsidRPr="00A53AD7">
          <w:rPr>
            <w:rStyle w:val="afb"/>
            <w:noProof/>
            <w:color w:val="auto"/>
          </w:rPr>
          <w:t>5. Результаты деятельности государственных и муниципальных бюджетных и автономных учреждений за 2019 год</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_Toc42006757 \h </w:instrText>
        </w:r>
        <w:r w:rsidR="00EF110A" w:rsidRPr="00A53AD7">
          <w:rPr>
            <w:noProof/>
            <w:webHidden/>
          </w:rPr>
        </w:r>
        <w:r w:rsidR="00EF110A" w:rsidRPr="00A53AD7">
          <w:rPr>
            <w:noProof/>
            <w:webHidden/>
          </w:rPr>
          <w:fldChar w:fldCharType="separate"/>
        </w:r>
        <w:r w:rsidR="005351E5" w:rsidRPr="00A53AD7">
          <w:rPr>
            <w:noProof/>
            <w:webHidden/>
          </w:rPr>
          <w:t>458</w:t>
        </w:r>
        <w:r w:rsidR="00EF110A" w:rsidRPr="00A53AD7">
          <w:rPr>
            <w:noProof/>
            <w:webHidden/>
          </w:rPr>
          <w:fldChar w:fldCharType="end"/>
        </w:r>
      </w:hyperlink>
    </w:p>
    <w:p w14:paraId="26DFCE88" w14:textId="77777777" w:rsidR="00EF110A" w:rsidRPr="00A53AD7" w:rsidRDefault="00D470B6">
      <w:pPr>
        <w:pStyle w:val="25"/>
        <w:tabs>
          <w:tab w:val="right" w:leader="dot" w:pos="9344"/>
        </w:tabs>
        <w:rPr>
          <w:rFonts w:asciiTheme="minorHAnsi" w:eastAsiaTheme="minorEastAsia" w:hAnsiTheme="minorHAnsi" w:cstheme="minorBidi"/>
          <w:noProof/>
          <w:sz w:val="22"/>
          <w:lang w:eastAsia="ru-RU"/>
        </w:rPr>
      </w:pPr>
      <w:hyperlink w:anchor="_Toc42006758" w:history="1">
        <w:r w:rsidR="00EF110A" w:rsidRPr="00A53AD7">
          <w:rPr>
            <w:rStyle w:val="afb"/>
            <w:noProof/>
            <w:color w:val="auto"/>
          </w:rPr>
          <w:t>5.1. Состояние задолженности государственных и муниципальных бюджетных и автономных учреждений на 01.01.2020</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_Toc42006758 \h </w:instrText>
        </w:r>
        <w:r w:rsidR="00EF110A" w:rsidRPr="00A53AD7">
          <w:rPr>
            <w:noProof/>
            <w:webHidden/>
          </w:rPr>
        </w:r>
        <w:r w:rsidR="00EF110A" w:rsidRPr="00A53AD7">
          <w:rPr>
            <w:noProof/>
            <w:webHidden/>
          </w:rPr>
          <w:fldChar w:fldCharType="separate"/>
        </w:r>
        <w:r w:rsidR="005351E5" w:rsidRPr="00A53AD7">
          <w:rPr>
            <w:noProof/>
            <w:webHidden/>
          </w:rPr>
          <w:t>468</w:t>
        </w:r>
        <w:r w:rsidR="00EF110A" w:rsidRPr="00A53AD7">
          <w:rPr>
            <w:noProof/>
            <w:webHidden/>
          </w:rPr>
          <w:fldChar w:fldCharType="end"/>
        </w:r>
      </w:hyperlink>
    </w:p>
    <w:p w14:paraId="730305EE"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59" w:history="1">
        <w:r w:rsidR="00EF110A" w:rsidRPr="00A53AD7">
          <w:rPr>
            <w:rStyle w:val="afb"/>
            <w:noProof/>
            <w:color w:val="auto"/>
          </w:rPr>
          <w:t>6. Состояние государственного внутреннего долга Архангельской области</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_Toc42006759 \h </w:instrText>
        </w:r>
        <w:r w:rsidR="00EF110A" w:rsidRPr="00A53AD7">
          <w:rPr>
            <w:noProof/>
            <w:webHidden/>
          </w:rPr>
        </w:r>
        <w:r w:rsidR="00EF110A" w:rsidRPr="00A53AD7">
          <w:rPr>
            <w:noProof/>
            <w:webHidden/>
          </w:rPr>
          <w:fldChar w:fldCharType="separate"/>
        </w:r>
        <w:r w:rsidR="005351E5" w:rsidRPr="00A53AD7">
          <w:rPr>
            <w:noProof/>
            <w:webHidden/>
          </w:rPr>
          <w:t>480</w:t>
        </w:r>
        <w:r w:rsidR="00EF110A" w:rsidRPr="00A53AD7">
          <w:rPr>
            <w:noProof/>
            <w:webHidden/>
          </w:rPr>
          <w:fldChar w:fldCharType="end"/>
        </w:r>
      </w:hyperlink>
    </w:p>
    <w:p w14:paraId="56076316"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60" w:history="1">
        <w:r w:rsidR="00EF110A" w:rsidRPr="00A53AD7">
          <w:rPr>
            <w:rStyle w:val="afb"/>
            <w:noProof/>
            <w:color w:val="auto"/>
          </w:rPr>
          <w:t>7. Оценка мероприятий в рамках внутреннего государственного финансового контроля и внутреннего финансового аудита</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_Toc42006760 \h </w:instrText>
        </w:r>
        <w:r w:rsidR="00EF110A" w:rsidRPr="00A53AD7">
          <w:rPr>
            <w:noProof/>
            <w:webHidden/>
          </w:rPr>
        </w:r>
        <w:r w:rsidR="00EF110A" w:rsidRPr="00A53AD7">
          <w:rPr>
            <w:noProof/>
            <w:webHidden/>
          </w:rPr>
          <w:fldChar w:fldCharType="separate"/>
        </w:r>
        <w:r w:rsidR="005351E5" w:rsidRPr="00A53AD7">
          <w:rPr>
            <w:noProof/>
            <w:webHidden/>
          </w:rPr>
          <w:t>488</w:t>
        </w:r>
        <w:r w:rsidR="00EF110A" w:rsidRPr="00A53AD7">
          <w:rPr>
            <w:noProof/>
            <w:webHidden/>
          </w:rPr>
          <w:fldChar w:fldCharType="end"/>
        </w:r>
      </w:hyperlink>
    </w:p>
    <w:p w14:paraId="747124EC"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61" w:history="1">
        <w:r w:rsidR="00EF110A" w:rsidRPr="00A53AD7">
          <w:rPr>
            <w:rStyle w:val="afb"/>
            <w:noProof/>
            <w:color w:val="auto"/>
          </w:rPr>
          <w:t>8. Результаты внешней проверки бюджетной отчетности главных распорядителей средств областного бюджета за 2019 год</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_Toc42006761 \h </w:instrText>
        </w:r>
        <w:r w:rsidR="00EF110A" w:rsidRPr="00A53AD7">
          <w:rPr>
            <w:noProof/>
            <w:webHidden/>
          </w:rPr>
        </w:r>
        <w:r w:rsidR="00EF110A" w:rsidRPr="00A53AD7">
          <w:rPr>
            <w:noProof/>
            <w:webHidden/>
          </w:rPr>
          <w:fldChar w:fldCharType="separate"/>
        </w:r>
        <w:r w:rsidR="005351E5" w:rsidRPr="00A53AD7">
          <w:rPr>
            <w:noProof/>
            <w:webHidden/>
          </w:rPr>
          <w:t>491</w:t>
        </w:r>
        <w:r w:rsidR="00EF110A" w:rsidRPr="00A53AD7">
          <w:rPr>
            <w:noProof/>
            <w:webHidden/>
          </w:rPr>
          <w:fldChar w:fldCharType="end"/>
        </w:r>
      </w:hyperlink>
    </w:p>
    <w:p w14:paraId="33A25B16" w14:textId="77777777" w:rsidR="00EF110A" w:rsidRPr="00A53AD7" w:rsidRDefault="00D470B6">
      <w:pPr>
        <w:pStyle w:val="13"/>
        <w:tabs>
          <w:tab w:val="right" w:leader="dot" w:pos="9344"/>
        </w:tabs>
        <w:rPr>
          <w:rFonts w:asciiTheme="minorHAnsi" w:eastAsiaTheme="minorEastAsia" w:hAnsiTheme="minorHAnsi" w:cstheme="minorBidi"/>
          <w:noProof/>
          <w:sz w:val="22"/>
          <w:lang w:eastAsia="ru-RU"/>
        </w:rPr>
      </w:pPr>
      <w:hyperlink w:anchor="_Toc42006762" w:history="1">
        <w:r w:rsidR="00EF110A" w:rsidRPr="00A53AD7">
          <w:rPr>
            <w:rStyle w:val="afb"/>
            <w:noProof/>
            <w:color w:val="auto"/>
          </w:rPr>
          <w:t>9. Предложения</w:t>
        </w:r>
        <w:r w:rsidR="00EF110A" w:rsidRPr="00A53AD7">
          <w:rPr>
            <w:noProof/>
            <w:webHidden/>
          </w:rPr>
          <w:tab/>
        </w:r>
        <w:r w:rsidR="00EF110A" w:rsidRPr="00A53AD7">
          <w:rPr>
            <w:noProof/>
            <w:webHidden/>
          </w:rPr>
          <w:fldChar w:fldCharType="begin"/>
        </w:r>
        <w:r w:rsidR="00EF110A" w:rsidRPr="00A53AD7">
          <w:rPr>
            <w:noProof/>
            <w:webHidden/>
          </w:rPr>
          <w:instrText xml:space="preserve"> PAGEREF _Toc42006762 \h </w:instrText>
        </w:r>
        <w:r w:rsidR="00EF110A" w:rsidRPr="00A53AD7">
          <w:rPr>
            <w:noProof/>
            <w:webHidden/>
          </w:rPr>
        </w:r>
        <w:r w:rsidR="00EF110A" w:rsidRPr="00A53AD7">
          <w:rPr>
            <w:noProof/>
            <w:webHidden/>
          </w:rPr>
          <w:fldChar w:fldCharType="separate"/>
        </w:r>
        <w:r w:rsidR="005351E5" w:rsidRPr="00A53AD7">
          <w:rPr>
            <w:noProof/>
            <w:webHidden/>
          </w:rPr>
          <w:t>494</w:t>
        </w:r>
        <w:r w:rsidR="00EF110A" w:rsidRPr="00A53AD7">
          <w:rPr>
            <w:noProof/>
            <w:webHidden/>
          </w:rPr>
          <w:fldChar w:fldCharType="end"/>
        </w:r>
      </w:hyperlink>
    </w:p>
    <w:p w14:paraId="7D2AD21F" w14:textId="77777777" w:rsidR="009946EF" w:rsidRPr="00A53AD7" w:rsidRDefault="00C9299A" w:rsidP="006169B3">
      <w:pPr>
        <w:pStyle w:val="13"/>
        <w:tabs>
          <w:tab w:val="right" w:leader="dot" w:pos="9344"/>
        </w:tabs>
        <w:rPr>
          <w:highlight w:val="cyan"/>
        </w:rPr>
      </w:pPr>
      <w:r w:rsidRPr="00A53AD7">
        <w:rPr>
          <w:highlight w:val="cyan"/>
        </w:rPr>
        <w:fldChar w:fldCharType="end"/>
      </w:r>
    </w:p>
    <w:p w14:paraId="6ECBF947" w14:textId="7D9185E9" w:rsidR="00440AD7" w:rsidRPr="00A53AD7" w:rsidRDefault="009946EF" w:rsidP="009946EF">
      <w:pPr>
        <w:pStyle w:val="10"/>
        <w:keepNext/>
        <w:keepLines/>
        <w:autoSpaceDE/>
        <w:autoSpaceDN/>
        <w:adjustRightInd/>
        <w:spacing w:before="240" w:after="120"/>
        <w:rPr>
          <w:rFonts w:ascii="Times New Roman" w:hAnsi="Times New Roman"/>
          <w:color w:val="auto"/>
          <w:sz w:val="28"/>
          <w:szCs w:val="28"/>
          <w:lang w:val="ru-RU" w:eastAsia="en-US"/>
        </w:rPr>
      </w:pPr>
      <w:r w:rsidRPr="00A53AD7">
        <w:rPr>
          <w:color w:val="auto"/>
          <w:highlight w:val="cyan"/>
        </w:rPr>
        <w:br w:type="page"/>
      </w:r>
      <w:bookmarkStart w:id="1" w:name="_Toc42006701"/>
      <w:r w:rsidR="001E46BC" w:rsidRPr="00A53AD7">
        <w:rPr>
          <w:rFonts w:ascii="Times New Roman" w:hAnsi="Times New Roman"/>
          <w:color w:val="auto"/>
          <w:sz w:val="28"/>
          <w:szCs w:val="28"/>
          <w:lang w:val="ru-RU" w:eastAsia="en-US"/>
        </w:rPr>
        <w:lastRenderedPageBreak/>
        <w:t>1</w:t>
      </w:r>
      <w:r w:rsidR="00440AD7" w:rsidRPr="00A53AD7">
        <w:rPr>
          <w:rFonts w:ascii="Times New Roman" w:hAnsi="Times New Roman"/>
          <w:color w:val="auto"/>
          <w:sz w:val="28"/>
          <w:szCs w:val="28"/>
          <w:lang w:val="ru-RU" w:eastAsia="en-US"/>
        </w:rPr>
        <w:t xml:space="preserve">. </w:t>
      </w:r>
      <w:r w:rsidR="001C7D99" w:rsidRPr="00A53AD7">
        <w:rPr>
          <w:rFonts w:ascii="Times New Roman" w:hAnsi="Times New Roman"/>
          <w:color w:val="auto"/>
          <w:sz w:val="28"/>
          <w:szCs w:val="28"/>
          <w:lang w:val="ru-RU" w:eastAsia="en-US"/>
        </w:rPr>
        <w:t>И</w:t>
      </w:r>
      <w:r w:rsidR="00440AD7" w:rsidRPr="00A53AD7">
        <w:rPr>
          <w:rFonts w:ascii="Times New Roman" w:hAnsi="Times New Roman"/>
          <w:color w:val="auto"/>
          <w:sz w:val="28"/>
          <w:szCs w:val="28"/>
          <w:lang w:val="ru-RU" w:eastAsia="en-US"/>
        </w:rPr>
        <w:t>тоги социально-экономического развития Архангельской области за 201</w:t>
      </w:r>
      <w:r w:rsidR="009C6692" w:rsidRPr="00A53AD7">
        <w:rPr>
          <w:rFonts w:ascii="Times New Roman" w:hAnsi="Times New Roman"/>
          <w:color w:val="auto"/>
          <w:sz w:val="28"/>
          <w:szCs w:val="28"/>
          <w:lang w:val="ru-RU" w:eastAsia="en-US"/>
        </w:rPr>
        <w:t>9</w:t>
      </w:r>
      <w:r w:rsidR="00440AD7" w:rsidRPr="00A53AD7">
        <w:rPr>
          <w:rFonts w:ascii="Times New Roman" w:hAnsi="Times New Roman"/>
          <w:color w:val="auto"/>
          <w:sz w:val="28"/>
          <w:szCs w:val="28"/>
          <w:lang w:val="ru-RU" w:eastAsia="en-US"/>
        </w:rPr>
        <w:t xml:space="preserve"> год</w:t>
      </w:r>
      <w:bookmarkEnd w:id="1"/>
    </w:p>
    <w:p w14:paraId="338F3ED1" w14:textId="49213A7F" w:rsidR="008F1A2F" w:rsidRPr="00A53AD7" w:rsidRDefault="008F1A2F" w:rsidP="008F1A2F">
      <w:pPr>
        <w:pStyle w:val="ad"/>
        <w:ind w:firstLine="851"/>
        <w:jc w:val="both"/>
        <w:rPr>
          <w:rFonts w:ascii="Times New Roman" w:hAnsi="Times New Roman"/>
          <w:sz w:val="28"/>
          <w:szCs w:val="28"/>
        </w:rPr>
      </w:pPr>
      <w:r w:rsidRPr="00A53AD7">
        <w:rPr>
          <w:rFonts w:ascii="Times New Roman" w:hAnsi="Times New Roman"/>
          <w:sz w:val="28"/>
          <w:szCs w:val="28"/>
        </w:rPr>
        <w:t>В 2019 году в развитии экономики и социальной сферы Архангельской области продолжается нестабильная динамика по ряду показателей. Значения большинства показателей социально-экономического развития региона демонстрируют в сравнении с Российской Федерацией и Северо-Западным федеральным округом (да</w:t>
      </w:r>
      <w:r w:rsidR="00B2086D" w:rsidRPr="00A53AD7">
        <w:rPr>
          <w:rFonts w:ascii="Times New Roman" w:hAnsi="Times New Roman"/>
          <w:sz w:val="28"/>
          <w:szCs w:val="28"/>
        </w:rPr>
        <w:t>лее по тексту – СЗФО) снижение.</w:t>
      </w:r>
    </w:p>
    <w:p w14:paraId="1969A57B" w14:textId="77777777" w:rsidR="008F1A2F" w:rsidRPr="00A53AD7" w:rsidRDefault="008F1A2F" w:rsidP="008F1A2F">
      <w:pPr>
        <w:pStyle w:val="ad"/>
        <w:ind w:firstLine="851"/>
        <w:jc w:val="both"/>
        <w:rPr>
          <w:rFonts w:ascii="Times New Roman" w:hAnsi="Times New Roman"/>
          <w:sz w:val="28"/>
          <w:szCs w:val="28"/>
        </w:rPr>
      </w:pPr>
      <w:r w:rsidRPr="00A53AD7">
        <w:rPr>
          <w:rFonts w:ascii="Times New Roman" w:hAnsi="Times New Roman"/>
          <w:sz w:val="28"/>
          <w:szCs w:val="28"/>
        </w:rPr>
        <w:t>Также установлено снижение значений показателей социально-экономического развития региона на 2019 год к аналогичным показателям, представленным в Показателях прогноза социально-экономического развития Архангельской области (без Ненецкого автономного округа) на 2020 – 2022 годы, одобренных распоряжением Правительства Архангельской области от 10.10.2019 № 456-рп с изменениями (далее – Оценка 2019 года).</w:t>
      </w:r>
    </w:p>
    <w:p w14:paraId="65CCE7F8" w14:textId="3A7DF072" w:rsidR="003B5BDA" w:rsidRPr="00A53AD7" w:rsidRDefault="003B5BDA" w:rsidP="003B5BDA">
      <w:pPr>
        <w:pStyle w:val="ad"/>
        <w:ind w:firstLine="851"/>
        <w:jc w:val="both"/>
        <w:rPr>
          <w:rFonts w:ascii="Times New Roman" w:hAnsi="Times New Roman"/>
          <w:i/>
          <w:sz w:val="28"/>
          <w:szCs w:val="28"/>
        </w:rPr>
      </w:pPr>
      <w:r w:rsidRPr="00A53AD7">
        <w:rPr>
          <w:rFonts w:ascii="Times New Roman" w:hAnsi="Times New Roman"/>
          <w:sz w:val="28"/>
          <w:szCs w:val="28"/>
        </w:rPr>
        <w:t>Согласно статистическим данным основные социальные и экономические показатели по Российской Федерации, СЗФО и Архангельской области</w:t>
      </w:r>
      <w:r w:rsidR="005E1379" w:rsidRPr="00A53AD7">
        <w:rPr>
          <w:rStyle w:val="afff1"/>
          <w:rFonts w:ascii="Times New Roman" w:hAnsi="Times New Roman"/>
          <w:sz w:val="28"/>
          <w:szCs w:val="28"/>
        </w:rPr>
        <w:footnoteReference w:id="1"/>
      </w:r>
      <w:r w:rsidRPr="00A53AD7">
        <w:rPr>
          <w:rFonts w:ascii="Times New Roman" w:hAnsi="Times New Roman"/>
          <w:sz w:val="28"/>
          <w:szCs w:val="28"/>
        </w:rPr>
        <w:t xml:space="preserve"> представлены в таблице </w:t>
      </w:r>
      <w:r w:rsidR="00CD3F1E" w:rsidRPr="00A53AD7">
        <w:rPr>
          <w:rFonts w:ascii="Times New Roman" w:hAnsi="Times New Roman"/>
          <w:sz w:val="28"/>
          <w:szCs w:val="28"/>
        </w:rPr>
        <w:t>1</w:t>
      </w:r>
      <w:r w:rsidR="00643431" w:rsidRPr="00A53AD7">
        <w:rPr>
          <w:rFonts w:ascii="Times New Roman" w:hAnsi="Times New Roman"/>
          <w:sz w:val="28"/>
          <w:szCs w:val="28"/>
        </w:rPr>
        <w:t>:</w:t>
      </w:r>
    </w:p>
    <w:p w14:paraId="00EBF47B" w14:textId="77777777" w:rsidR="003B5BDA" w:rsidRPr="00A53AD7" w:rsidRDefault="003B5BDA" w:rsidP="003B5BDA">
      <w:pPr>
        <w:pStyle w:val="ad"/>
        <w:jc w:val="both"/>
        <w:rPr>
          <w:rFonts w:ascii="Times New Roman" w:hAnsi="Times New Roman"/>
          <w:sz w:val="28"/>
          <w:szCs w:val="28"/>
        </w:rPr>
      </w:pPr>
    </w:p>
    <w:p w14:paraId="770ECEEC" w14:textId="12CA9FF8" w:rsidR="003B5BDA" w:rsidRPr="00A53AD7" w:rsidRDefault="00643431" w:rsidP="00643431">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Основные социально-экономические показатели</w:t>
      </w:r>
      <w:r w:rsidRPr="00A53AD7">
        <w:rPr>
          <w:rFonts w:ascii="Times New Roman" w:hAnsi="Times New Roman"/>
          <w:b w:val="0"/>
          <w:sz w:val="24"/>
          <w:szCs w:val="24"/>
        </w:rPr>
        <w:t xml:space="preserve"> Российской Федерации, СЗФО и Архангельской области</w:t>
      </w:r>
      <w:r w:rsidR="003B5BDA" w:rsidRPr="00A53AD7">
        <w:rPr>
          <w:rFonts w:ascii="Times New Roman" w:hAnsi="Times New Roman"/>
          <w:b w:val="0"/>
          <w:sz w:val="24"/>
          <w:szCs w:val="24"/>
          <w:vertAlign w:val="superscript"/>
        </w:rPr>
        <w:footnoteReference w:id="2"/>
      </w:r>
      <w:r w:rsidR="003B5BDA" w:rsidRPr="00A53AD7">
        <w:rPr>
          <w:rFonts w:ascii="Times New Roman" w:hAnsi="Times New Roman"/>
          <w:b w:val="0"/>
          <w:sz w:val="24"/>
          <w:szCs w:val="24"/>
        </w:rPr>
        <w:t xml:space="preserve"> </w:t>
      </w:r>
    </w:p>
    <w:tbl>
      <w:tblPr>
        <w:tblW w:w="9387" w:type="dxa"/>
        <w:tblLayout w:type="fixed"/>
        <w:tblLook w:val="04A0" w:firstRow="1" w:lastRow="0" w:firstColumn="1" w:lastColumn="0" w:noHBand="0" w:noVBand="1"/>
      </w:tblPr>
      <w:tblGrid>
        <w:gridCol w:w="4513"/>
        <w:gridCol w:w="1418"/>
        <w:gridCol w:w="1237"/>
        <w:gridCol w:w="1227"/>
        <w:gridCol w:w="992"/>
      </w:tblGrid>
      <w:tr w:rsidR="00A53AD7" w:rsidRPr="00A53AD7" w14:paraId="77B05613" w14:textId="77777777" w:rsidTr="007A4CDE">
        <w:trPr>
          <w:trHeight w:val="20"/>
          <w:tblHeader/>
        </w:trPr>
        <w:tc>
          <w:tcPr>
            <w:tcW w:w="451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E253571" w14:textId="77777777" w:rsidR="003B5BDA" w:rsidRPr="00A53AD7" w:rsidRDefault="003B5BDA" w:rsidP="003B5BDA">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Наименование показателя</w:t>
            </w:r>
          </w:p>
        </w:tc>
        <w:tc>
          <w:tcPr>
            <w:tcW w:w="4874" w:type="dxa"/>
            <w:gridSpan w:val="4"/>
            <w:tcBorders>
              <w:top w:val="double" w:sz="6" w:space="0" w:color="auto"/>
              <w:left w:val="nil"/>
              <w:bottom w:val="single" w:sz="4" w:space="0" w:color="auto"/>
              <w:right w:val="double" w:sz="6" w:space="0" w:color="000000"/>
            </w:tcBorders>
            <w:shd w:val="clear" w:color="auto" w:fill="auto"/>
            <w:vAlign w:val="center"/>
            <w:hideMark/>
          </w:tcPr>
          <w:p w14:paraId="447FD8E3" w14:textId="77777777" w:rsidR="003B5BDA" w:rsidRPr="00A53AD7" w:rsidRDefault="003B5BDA" w:rsidP="003B5BDA">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2019 г. к 2018 г., в %</w:t>
            </w:r>
          </w:p>
        </w:tc>
      </w:tr>
      <w:tr w:rsidR="00A53AD7" w:rsidRPr="00A53AD7" w14:paraId="36136CC5" w14:textId="77777777" w:rsidTr="007A4CDE">
        <w:trPr>
          <w:trHeight w:val="778"/>
          <w:tblHeader/>
        </w:trPr>
        <w:tc>
          <w:tcPr>
            <w:tcW w:w="4513" w:type="dxa"/>
            <w:vMerge/>
            <w:tcBorders>
              <w:top w:val="double" w:sz="6" w:space="0" w:color="auto"/>
              <w:left w:val="double" w:sz="6" w:space="0" w:color="auto"/>
              <w:bottom w:val="single" w:sz="4" w:space="0" w:color="auto"/>
              <w:right w:val="single" w:sz="4" w:space="0" w:color="auto"/>
            </w:tcBorders>
            <w:vAlign w:val="center"/>
            <w:hideMark/>
          </w:tcPr>
          <w:p w14:paraId="42E32065" w14:textId="77777777" w:rsidR="003B5BDA" w:rsidRPr="00A53AD7" w:rsidRDefault="003B5BDA" w:rsidP="003B5BDA">
            <w:pPr>
              <w:spacing w:after="0" w:line="240" w:lineRule="auto"/>
              <w:rPr>
                <w:rFonts w:ascii="Times New Roman" w:eastAsia="Times New Roman" w:hAnsi="Times New Roman"/>
                <w:bCs/>
                <w:lang w:eastAsia="ru-RU"/>
              </w:rPr>
            </w:pPr>
          </w:p>
        </w:tc>
        <w:tc>
          <w:tcPr>
            <w:tcW w:w="1418" w:type="dxa"/>
            <w:tcBorders>
              <w:top w:val="nil"/>
              <w:left w:val="nil"/>
              <w:bottom w:val="single" w:sz="4" w:space="0" w:color="auto"/>
              <w:right w:val="single" w:sz="4" w:space="0" w:color="auto"/>
            </w:tcBorders>
            <w:shd w:val="clear" w:color="auto" w:fill="auto"/>
            <w:vAlign w:val="center"/>
            <w:hideMark/>
          </w:tcPr>
          <w:p w14:paraId="1E5EA885" w14:textId="77777777" w:rsidR="003B5BDA" w:rsidRPr="00A53AD7" w:rsidRDefault="003B5BDA" w:rsidP="003B5BDA">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Российская Федерация</w:t>
            </w:r>
          </w:p>
        </w:tc>
        <w:tc>
          <w:tcPr>
            <w:tcW w:w="1237" w:type="dxa"/>
            <w:tcBorders>
              <w:top w:val="nil"/>
              <w:left w:val="nil"/>
              <w:bottom w:val="single" w:sz="4" w:space="0" w:color="auto"/>
              <w:right w:val="single" w:sz="4" w:space="0" w:color="auto"/>
            </w:tcBorders>
            <w:shd w:val="clear" w:color="auto" w:fill="auto"/>
            <w:vAlign w:val="center"/>
            <w:hideMark/>
          </w:tcPr>
          <w:p w14:paraId="3073CA63" w14:textId="77777777" w:rsidR="003B5BDA" w:rsidRPr="00A53AD7" w:rsidRDefault="003B5BDA" w:rsidP="003B5BDA">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СЗФО</w:t>
            </w:r>
          </w:p>
        </w:tc>
        <w:tc>
          <w:tcPr>
            <w:tcW w:w="1227" w:type="dxa"/>
            <w:tcBorders>
              <w:top w:val="nil"/>
              <w:left w:val="nil"/>
              <w:bottom w:val="single" w:sz="4" w:space="0" w:color="auto"/>
              <w:right w:val="single" w:sz="4" w:space="0" w:color="auto"/>
            </w:tcBorders>
            <w:shd w:val="clear" w:color="auto" w:fill="auto"/>
            <w:vAlign w:val="center"/>
            <w:hideMark/>
          </w:tcPr>
          <w:p w14:paraId="65280A29" w14:textId="5098F9FB" w:rsidR="003B5BDA" w:rsidRPr="00A53AD7" w:rsidRDefault="003B5BDA" w:rsidP="00950B24">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Архангельская область (без НАО)</w:t>
            </w:r>
          </w:p>
        </w:tc>
        <w:tc>
          <w:tcPr>
            <w:tcW w:w="992" w:type="dxa"/>
            <w:tcBorders>
              <w:top w:val="nil"/>
              <w:left w:val="nil"/>
              <w:bottom w:val="nil"/>
              <w:right w:val="double" w:sz="6" w:space="0" w:color="auto"/>
            </w:tcBorders>
            <w:shd w:val="clear" w:color="auto" w:fill="auto"/>
            <w:vAlign w:val="center"/>
            <w:hideMark/>
          </w:tcPr>
          <w:p w14:paraId="4C1AAAB3" w14:textId="31893EBD" w:rsidR="003B5BDA" w:rsidRPr="00A53AD7" w:rsidRDefault="003B5BDA" w:rsidP="0003739C">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Оценка 2019 г.</w:t>
            </w:r>
          </w:p>
        </w:tc>
      </w:tr>
      <w:tr w:rsidR="00A53AD7" w:rsidRPr="00A53AD7" w14:paraId="48E1178C" w14:textId="77777777" w:rsidTr="003B5BDA">
        <w:trPr>
          <w:trHeight w:val="189"/>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22408FF2"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Индекс промышленного производства </w:t>
            </w:r>
          </w:p>
        </w:tc>
        <w:tc>
          <w:tcPr>
            <w:tcW w:w="1418" w:type="dxa"/>
            <w:tcBorders>
              <w:top w:val="nil"/>
              <w:left w:val="nil"/>
              <w:bottom w:val="single" w:sz="4" w:space="0" w:color="auto"/>
              <w:right w:val="single" w:sz="4" w:space="0" w:color="auto"/>
            </w:tcBorders>
            <w:shd w:val="clear" w:color="auto" w:fill="auto"/>
            <w:vAlign w:val="bottom"/>
            <w:hideMark/>
          </w:tcPr>
          <w:p w14:paraId="21DEEA3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102,4</w:t>
            </w:r>
          </w:p>
        </w:tc>
        <w:tc>
          <w:tcPr>
            <w:tcW w:w="1237" w:type="dxa"/>
            <w:tcBorders>
              <w:top w:val="nil"/>
              <w:left w:val="nil"/>
              <w:bottom w:val="single" w:sz="4" w:space="0" w:color="auto"/>
              <w:right w:val="single" w:sz="4" w:space="0" w:color="auto"/>
            </w:tcBorders>
            <w:shd w:val="clear" w:color="auto" w:fill="auto"/>
            <w:vAlign w:val="bottom"/>
            <w:hideMark/>
          </w:tcPr>
          <w:p w14:paraId="7FCD104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c>
          <w:tcPr>
            <w:tcW w:w="1227" w:type="dxa"/>
            <w:tcBorders>
              <w:top w:val="nil"/>
              <w:left w:val="nil"/>
              <w:bottom w:val="single" w:sz="4" w:space="0" w:color="auto"/>
              <w:right w:val="single" w:sz="4" w:space="0" w:color="auto"/>
            </w:tcBorders>
            <w:shd w:val="clear" w:color="auto" w:fill="auto"/>
            <w:vAlign w:val="bottom"/>
            <w:hideMark/>
          </w:tcPr>
          <w:p w14:paraId="78F5959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100,5</w:t>
            </w:r>
          </w:p>
        </w:tc>
        <w:tc>
          <w:tcPr>
            <w:tcW w:w="992" w:type="dxa"/>
            <w:tcBorders>
              <w:top w:val="single" w:sz="4" w:space="0" w:color="auto"/>
              <w:left w:val="nil"/>
              <w:bottom w:val="single" w:sz="4" w:space="0" w:color="auto"/>
              <w:right w:val="double" w:sz="6" w:space="0" w:color="auto"/>
            </w:tcBorders>
            <w:shd w:val="clear" w:color="auto" w:fill="auto"/>
            <w:noWrap/>
            <w:vAlign w:val="bottom"/>
            <w:hideMark/>
          </w:tcPr>
          <w:p w14:paraId="00794F3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101,2</w:t>
            </w:r>
          </w:p>
        </w:tc>
      </w:tr>
      <w:tr w:rsidR="00A53AD7" w:rsidRPr="00A53AD7" w14:paraId="0A667143" w14:textId="77777777" w:rsidTr="003B5BDA">
        <w:trPr>
          <w:trHeight w:val="194"/>
        </w:trPr>
        <w:tc>
          <w:tcPr>
            <w:tcW w:w="9387" w:type="dxa"/>
            <w:gridSpan w:val="5"/>
            <w:tcBorders>
              <w:top w:val="single" w:sz="4" w:space="0" w:color="auto"/>
              <w:left w:val="double" w:sz="6" w:space="0" w:color="auto"/>
              <w:bottom w:val="single" w:sz="4" w:space="0" w:color="auto"/>
              <w:right w:val="double" w:sz="6" w:space="0" w:color="000000"/>
            </w:tcBorders>
            <w:shd w:val="clear" w:color="auto" w:fill="auto"/>
            <w:vAlign w:val="center"/>
            <w:hideMark/>
          </w:tcPr>
          <w:p w14:paraId="7E512787" w14:textId="77777777" w:rsidR="003B5BDA" w:rsidRPr="00A53AD7" w:rsidRDefault="003B5BDA" w:rsidP="003B5BDA">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из них по некоторым видам экономической деятельности:</w:t>
            </w:r>
          </w:p>
        </w:tc>
      </w:tr>
      <w:tr w:rsidR="00A53AD7" w:rsidRPr="00A53AD7" w14:paraId="619E7ACE" w14:textId="77777777" w:rsidTr="003B5BDA">
        <w:trPr>
          <w:trHeight w:val="274"/>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1713DDB3"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добыча полезных ископаемых </w:t>
            </w:r>
          </w:p>
        </w:tc>
        <w:tc>
          <w:tcPr>
            <w:tcW w:w="1418" w:type="dxa"/>
            <w:tcBorders>
              <w:top w:val="nil"/>
              <w:left w:val="nil"/>
              <w:bottom w:val="single" w:sz="4" w:space="0" w:color="auto"/>
              <w:right w:val="single" w:sz="4" w:space="0" w:color="auto"/>
            </w:tcBorders>
            <w:shd w:val="clear" w:color="auto" w:fill="auto"/>
            <w:vAlign w:val="bottom"/>
            <w:hideMark/>
          </w:tcPr>
          <w:p w14:paraId="702CE50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c>
          <w:tcPr>
            <w:tcW w:w="1237" w:type="dxa"/>
            <w:tcBorders>
              <w:top w:val="nil"/>
              <w:left w:val="nil"/>
              <w:bottom w:val="single" w:sz="4" w:space="0" w:color="auto"/>
              <w:right w:val="single" w:sz="4" w:space="0" w:color="auto"/>
            </w:tcBorders>
            <w:shd w:val="clear" w:color="auto" w:fill="auto"/>
            <w:vAlign w:val="bottom"/>
            <w:hideMark/>
          </w:tcPr>
          <w:p w14:paraId="055A546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100,5</w:t>
            </w:r>
          </w:p>
        </w:tc>
        <w:tc>
          <w:tcPr>
            <w:tcW w:w="1227" w:type="dxa"/>
            <w:tcBorders>
              <w:top w:val="nil"/>
              <w:left w:val="nil"/>
              <w:bottom w:val="single" w:sz="4" w:space="0" w:color="auto"/>
              <w:right w:val="single" w:sz="4" w:space="0" w:color="auto"/>
            </w:tcBorders>
            <w:shd w:val="clear" w:color="auto" w:fill="auto"/>
            <w:vAlign w:val="bottom"/>
            <w:hideMark/>
          </w:tcPr>
          <w:p w14:paraId="75656CD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115,3</w:t>
            </w:r>
          </w:p>
        </w:tc>
        <w:tc>
          <w:tcPr>
            <w:tcW w:w="992" w:type="dxa"/>
            <w:tcBorders>
              <w:top w:val="nil"/>
              <w:left w:val="nil"/>
              <w:bottom w:val="single" w:sz="4" w:space="0" w:color="auto"/>
              <w:right w:val="double" w:sz="6" w:space="0" w:color="auto"/>
            </w:tcBorders>
            <w:shd w:val="clear" w:color="auto" w:fill="auto"/>
            <w:noWrap/>
            <w:vAlign w:val="bottom"/>
            <w:hideMark/>
          </w:tcPr>
          <w:p w14:paraId="4F0DDB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109,74</w:t>
            </w:r>
          </w:p>
        </w:tc>
      </w:tr>
      <w:tr w:rsidR="00A53AD7" w:rsidRPr="00A53AD7" w14:paraId="5E81884E" w14:textId="77777777" w:rsidTr="003B5BDA">
        <w:trPr>
          <w:trHeight w:val="186"/>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17DA1DC9"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обрабатывающие производства </w:t>
            </w:r>
          </w:p>
        </w:tc>
        <w:tc>
          <w:tcPr>
            <w:tcW w:w="1418" w:type="dxa"/>
            <w:tcBorders>
              <w:top w:val="nil"/>
              <w:left w:val="nil"/>
              <w:bottom w:val="single" w:sz="4" w:space="0" w:color="auto"/>
              <w:right w:val="single" w:sz="4" w:space="0" w:color="auto"/>
            </w:tcBorders>
            <w:shd w:val="clear" w:color="auto" w:fill="auto"/>
            <w:vAlign w:val="bottom"/>
            <w:hideMark/>
          </w:tcPr>
          <w:p w14:paraId="25B55F8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102,3</w:t>
            </w:r>
          </w:p>
        </w:tc>
        <w:tc>
          <w:tcPr>
            <w:tcW w:w="1237" w:type="dxa"/>
            <w:tcBorders>
              <w:top w:val="nil"/>
              <w:left w:val="nil"/>
              <w:bottom w:val="single" w:sz="4" w:space="0" w:color="auto"/>
              <w:right w:val="single" w:sz="4" w:space="0" w:color="auto"/>
            </w:tcBorders>
            <w:shd w:val="clear" w:color="auto" w:fill="auto"/>
            <w:vAlign w:val="bottom"/>
            <w:hideMark/>
          </w:tcPr>
          <w:p w14:paraId="3A1F21D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103,6</w:t>
            </w:r>
          </w:p>
        </w:tc>
        <w:tc>
          <w:tcPr>
            <w:tcW w:w="1227" w:type="dxa"/>
            <w:tcBorders>
              <w:top w:val="nil"/>
              <w:left w:val="nil"/>
              <w:bottom w:val="single" w:sz="4" w:space="0" w:color="auto"/>
              <w:right w:val="single" w:sz="4" w:space="0" w:color="auto"/>
            </w:tcBorders>
            <w:shd w:val="clear" w:color="auto" w:fill="auto"/>
            <w:vAlign w:val="bottom"/>
            <w:hideMark/>
          </w:tcPr>
          <w:p w14:paraId="57617CA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97,9</w:t>
            </w:r>
          </w:p>
        </w:tc>
        <w:tc>
          <w:tcPr>
            <w:tcW w:w="992" w:type="dxa"/>
            <w:tcBorders>
              <w:top w:val="nil"/>
              <w:left w:val="nil"/>
              <w:bottom w:val="single" w:sz="4" w:space="0" w:color="auto"/>
              <w:right w:val="double" w:sz="6" w:space="0" w:color="auto"/>
            </w:tcBorders>
            <w:shd w:val="clear" w:color="auto" w:fill="auto"/>
            <w:noWrap/>
            <w:vAlign w:val="bottom"/>
            <w:hideMark/>
          </w:tcPr>
          <w:p w14:paraId="51F9280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100,32</w:t>
            </w:r>
          </w:p>
        </w:tc>
      </w:tr>
      <w:tr w:rsidR="00A53AD7" w:rsidRPr="00A53AD7" w14:paraId="5B1C2542" w14:textId="77777777" w:rsidTr="003B5BDA">
        <w:trPr>
          <w:trHeight w:val="489"/>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2A570A8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обеспечение электроэнергией, газом</w:t>
            </w:r>
            <w:r w:rsidRPr="00A53AD7">
              <w:rPr>
                <w:rFonts w:ascii="Times New Roman" w:eastAsia="Times New Roman" w:hAnsi="Times New Roman"/>
                <w:lang w:eastAsia="ru-RU"/>
              </w:rPr>
              <w:br/>
              <w:t>и паром; кондиционирование воздуха</w:t>
            </w:r>
          </w:p>
        </w:tc>
        <w:tc>
          <w:tcPr>
            <w:tcW w:w="1418" w:type="dxa"/>
            <w:tcBorders>
              <w:top w:val="nil"/>
              <w:left w:val="nil"/>
              <w:bottom w:val="single" w:sz="4" w:space="0" w:color="auto"/>
              <w:right w:val="single" w:sz="4" w:space="0" w:color="auto"/>
            </w:tcBorders>
            <w:shd w:val="clear" w:color="auto" w:fill="auto"/>
            <w:vAlign w:val="bottom"/>
            <w:hideMark/>
          </w:tcPr>
          <w:p w14:paraId="683BAFF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100,4</w:t>
            </w:r>
          </w:p>
        </w:tc>
        <w:tc>
          <w:tcPr>
            <w:tcW w:w="1237" w:type="dxa"/>
            <w:tcBorders>
              <w:top w:val="nil"/>
              <w:left w:val="nil"/>
              <w:bottom w:val="single" w:sz="4" w:space="0" w:color="auto"/>
              <w:right w:val="single" w:sz="4" w:space="0" w:color="auto"/>
            </w:tcBorders>
            <w:shd w:val="clear" w:color="auto" w:fill="auto"/>
            <w:vAlign w:val="bottom"/>
            <w:hideMark/>
          </w:tcPr>
          <w:p w14:paraId="54DB59A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99,4</w:t>
            </w:r>
          </w:p>
        </w:tc>
        <w:tc>
          <w:tcPr>
            <w:tcW w:w="1227" w:type="dxa"/>
            <w:tcBorders>
              <w:top w:val="nil"/>
              <w:left w:val="nil"/>
              <w:bottom w:val="single" w:sz="4" w:space="0" w:color="auto"/>
              <w:right w:val="single" w:sz="4" w:space="0" w:color="auto"/>
            </w:tcBorders>
            <w:shd w:val="clear" w:color="auto" w:fill="auto"/>
            <w:vAlign w:val="bottom"/>
            <w:hideMark/>
          </w:tcPr>
          <w:p w14:paraId="7E0BF06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99,0</w:t>
            </w:r>
          </w:p>
        </w:tc>
        <w:tc>
          <w:tcPr>
            <w:tcW w:w="992" w:type="dxa"/>
            <w:tcBorders>
              <w:top w:val="nil"/>
              <w:left w:val="nil"/>
              <w:bottom w:val="single" w:sz="4" w:space="0" w:color="auto"/>
              <w:right w:val="double" w:sz="6" w:space="0" w:color="auto"/>
            </w:tcBorders>
            <w:shd w:val="clear" w:color="auto" w:fill="auto"/>
            <w:noWrap/>
            <w:vAlign w:val="bottom"/>
            <w:hideMark/>
          </w:tcPr>
          <w:p w14:paraId="2B118B5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99,75</w:t>
            </w:r>
          </w:p>
        </w:tc>
      </w:tr>
      <w:tr w:rsidR="00A53AD7" w:rsidRPr="00A53AD7" w14:paraId="5978B6D6" w14:textId="77777777" w:rsidTr="003B5BDA">
        <w:trPr>
          <w:trHeight w:val="691"/>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61CE30D6"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-водоснабжение; водоотведение, организация сбора и утилизации отходов, деятельность по ликвидации загрязнений</w:t>
            </w:r>
          </w:p>
        </w:tc>
        <w:tc>
          <w:tcPr>
            <w:tcW w:w="1418" w:type="dxa"/>
            <w:tcBorders>
              <w:top w:val="nil"/>
              <w:left w:val="nil"/>
              <w:bottom w:val="single" w:sz="4" w:space="0" w:color="auto"/>
              <w:right w:val="single" w:sz="4" w:space="0" w:color="auto"/>
            </w:tcBorders>
            <w:shd w:val="clear" w:color="auto" w:fill="auto"/>
            <w:vAlign w:val="bottom"/>
            <w:hideMark/>
          </w:tcPr>
          <w:p w14:paraId="3E34761B" w14:textId="77777777" w:rsidR="003B5BDA" w:rsidRPr="00A53AD7" w:rsidRDefault="003B5BDA" w:rsidP="003B5BDA">
            <w:pPr>
              <w:spacing w:after="0" w:line="240" w:lineRule="auto"/>
              <w:ind w:left="-108" w:right="-108"/>
              <w:jc w:val="right"/>
              <w:rPr>
                <w:rFonts w:ascii="Times New Roman" w:eastAsia="Times New Roman" w:hAnsi="Times New Roman"/>
                <w:lang w:eastAsia="ru-RU"/>
              </w:rPr>
            </w:pPr>
            <w:r w:rsidRPr="00A53AD7">
              <w:rPr>
                <w:rFonts w:ascii="Times New Roman" w:eastAsia="Times New Roman" w:hAnsi="Times New Roman"/>
                <w:lang w:eastAsia="ru-RU"/>
              </w:rPr>
              <w:t>99,7</w:t>
            </w:r>
          </w:p>
        </w:tc>
        <w:tc>
          <w:tcPr>
            <w:tcW w:w="1237" w:type="dxa"/>
            <w:tcBorders>
              <w:top w:val="nil"/>
              <w:left w:val="nil"/>
              <w:bottom w:val="single" w:sz="4" w:space="0" w:color="auto"/>
              <w:right w:val="single" w:sz="4" w:space="0" w:color="auto"/>
            </w:tcBorders>
            <w:shd w:val="clear" w:color="auto" w:fill="auto"/>
            <w:vAlign w:val="bottom"/>
            <w:hideMark/>
          </w:tcPr>
          <w:p w14:paraId="7DA3C70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105,5</w:t>
            </w:r>
          </w:p>
        </w:tc>
        <w:tc>
          <w:tcPr>
            <w:tcW w:w="1227" w:type="dxa"/>
            <w:tcBorders>
              <w:top w:val="nil"/>
              <w:left w:val="nil"/>
              <w:bottom w:val="single" w:sz="4" w:space="0" w:color="auto"/>
              <w:right w:val="single" w:sz="4" w:space="0" w:color="auto"/>
            </w:tcBorders>
            <w:shd w:val="clear" w:color="auto" w:fill="auto"/>
            <w:vAlign w:val="bottom"/>
            <w:hideMark/>
          </w:tcPr>
          <w:p w14:paraId="0F16E32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96,9</w:t>
            </w:r>
          </w:p>
        </w:tc>
        <w:tc>
          <w:tcPr>
            <w:tcW w:w="992" w:type="dxa"/>
            <w:tcBorders>
              <w:top w:val="nil"/>
              <w:left w:val="nil"/>
              <w:bottom w:val="single" w:sz="4" w:space="0" w:color="auto"/>
              <w:right w:val="double" w:sz="6" w:space="0" w:color="auto"/>
            </w:tcBorders>
            <w:shd w:val="clear" w:color="auto" w:fill="auto"/>
            <w:noWrap/>
            <w:vAlign w:val="bottom"/>
            <w:hideMark/>
          </w:tcPr>
          <w:p w14:paraId="7C15555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95,25</w:t>
            </w:r>
          </w:p>
        </w:tc>
      </w:tr>
      <w:tr w:rsidR="00A53AD7" w:rsidRPr="00A53AD7" w14:paraId="076090DD" w14:textId="77777777" w:rsidTr="003B5BDA">
        <w:trPr>
          <w:trHeight w:val="489"/>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070B18DF"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Продукция сельского хозяйства (индекс физического объема)</w:t>
            </w:r>
          </w:p>
        </w:tc>
        <w:tc>
          <w:tcPr>
            <w:tcW w:w="1418" w:type="dxa"/>
            <w:tcBorders>
              <w:top w:val="nil"/>
              <w:left w:val="nil"/>
              <w:bottom w:val="single" w:sz="4" w:space="0" w:color="auto"/>
              <w:right w:val="single" w:sz="4" w:space="0" w:color="auto"/>
            </w:tcBorders>
            <w:shd w:val="clear" w:color="auto" w:fill="auto"/>
            <w:vAlign w:val="bottom"/>
            <w:hideMark/>
          </w:tcPr>
          <w:p w14:paraId="4FC5D06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104,0</w:t>
            </w:r>
          </w:p>
        </w:tc>
        <w:tc>
          <w:tcPr>
            <w:tcW w:w="1237" w:type="dxa"/>
            <w:tcBorders>
              <w:top w:val="nil"/>
              <w:left w:val="nil"/>
              <w:bottom w:val="single" w:sz="4" w:space="0" w:color="auto"/>
              <w:right w:val="single" w:sz="4" w:space="0" w:color="auto"/>
            </w:tcBorders>
            <w:shd w:val="clear" w:color="auto" w:fill="auto"/>
            <w:vAlign w:val="bottom"/>
            <w:hideMark/>
          </w:tcPr>
          <w:p w14:paraId="72D9758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105,9</w:t>
            </w:r>
          </w:p>
        </w:tc>
        <w:tc>
          <w:tcPr>
            <w:tcW w:w="1227" w:type="dxa"/>
            <w:tcBorders>
              <w:top w:val="nil"/>
              <w:left w:val="nil"/>
              <w:bottom w:val="single" w:sz="4" w:space="0" w:color="auto"/>
              <w:right w:val="single" w:sz="4" w:space="0" w:color="auto"/>
            </w:tcBorders>
            <w:shd w:val="clear" w:color="auto" w:fill="auto"/>
            <w:vAlign w:val="bottom"/>
            <w:hideMark/>
          </w:tcPr>
          <w:p w14:paraId="1B7FBCE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96,4</w:t>
            </w:r>
          </w:p>
        </w:tc>
        <w:tc>
          <w:tcPr>
            <w:tcW w:w="992" w:type="dxa"/>
            <w:tcBorders>
              <w:top w:val="nil"/>
              <w:left w:val="nil"/>
              <w:bottom w:val="single" w:sz="4" w:space="0" w:color="auto"/>
              <w:right w:val="double" w:sz="6" w:space="0" w:color="auto"/>
            </w:tcBorders>
            <w:shd w:val="clear" w:color="auto" w:fill="auto"/>
            <w:noWrap/>
            <w:vAlign w:val="bottom"/>
            <w:hideMark/>
          </w:tcPr>
          <w:p w14:paraId="0E7DB39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98,1</w:t>
            </w:r>
          </w:p>
        </w:tc>
      </w:tr>
      <w:tr w:rsidR="00A53AD7" w:rsidRPr="00A53AD7" w14:paraId="2D5F815A" w14:textId="77777777" w:rsidTr="003B5BDA">
        <w:trPr>
          <w:trHeight w:val="715"/>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1EA2274F"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Объем работ, выполненных по виду деятельности «Строительство» (индекс физического объема), </w:t>
            </w:r>
            <w:r w:rsidRPr="00A53AD7">
              <w:rPr>
                <w:rFonts w:ascii="Times New Roman" w:eastAsia="Times New Roman" w:hAnsi="Times New Roman"/>
                <w:i/>
                <w:iCs/>
                <w:lang w:eastAsia="ru-RU"/>
              </w:rPr>
              <w:t>в сопоставимых ценах</w:t>
            </w:r>
          </w:p>
        </w:tc>
        <w:tc>
          <w:tcPr>
            <w:tcW w:w="1418" w:type="dxa"/>
            <w:tcBorders>
              <w:top w:val="nil"/>
              <w:left w:val="nil"/>
              <w:bottom w:val="single" w:sz="4" w:space="0" w:color="auto"/>
              <w:right w:val="single" w:sz="4" w:space="0" w:color="auto"/>
            </w:tcBorders>
            <w:shd w:val="clear" w:color="auto" w:fill="auto"/>
            <w:vAlign w:val="bottom"/>
            <w:hideMark/>
          </w:tcPr>
          <w:p w14:paraId="4DCABDF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100,6</w:t>
            </w:r>
          </w:p>
        </w:tc>
        <w:tc>
          <w:tcPr>
            <w:tcW w:w="1237" w:type="dxa"/>
            <w:tcBorders>
              <w:top w:val="nil"/>
              <w:left w:val="nil"/>
              <w:bottom w:val="single" w:sz="4" w:space="0" w:color="auto"/>
              <w:right w:val="single" w:sz="4" w:space="0" w:color="auto"/>
            </w:tcBorders>
            <w:shd w:val="clear" w:color="auto" w:fill="auto"/>
            <w:vAlign w:val="bottom"/>
            <w:hideMark/>
          </w:tcPr>
          <w:p w14:paraId="75E5A1E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87,0</w:t>
            </w:r>
          </w:p>
        </w:tc>
        <w:tc>
          <w:tcPr>
            <w:tcW w:w="1227" w:type="dxa"/>
            <w:tcBorders>
              <w:top w:val="nil"/>
              <w:left w:val="nil"/>
              <w:bottom w:val="single" w:sz="4" w:space="0" w:color="auto"/>
              <w:right w:val="single" w:sz="4" w:space="0" w:color="auto"/>
            </w:tcBorders>
            <w:shd w:val="clear" w:color="auto" w:fill="auto"/>
            <w:vAlign w:val="bottom"/>
            <w:hideMark/>
          </w:tcPr>
          <w:p w14:paraId="05806B6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97,0</w:t>
            </w:r>
          </w:p>
        </w:tc>
        <w:tc>
          <w:tcPr>
            <w:tcW w:w="992" w:type="dxa"/>
            <w:tcBorders>
              <w:top w:val="nil"/>
              <w:left w:val="nil"/>
              <w:bottom w:val="single" w:sz="4" w:space="0" w:color="auto"/>
              <w:right w:val="double" w:sz="6" w:space="0" w:color="auto"/>
            </w:tcBorders>
            <w:shd w:val="clear" w:color="auto" w:fill="auto"/>
            <w:noWrap/>
            <w:vAlign w:val="bottom"/>
            <w:hideMark/>
          </w:tcPr>
          <w:p w14:paraId="2AA5955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105,70</w:t>
            </w:r>
          </w:p>
        </w:tc>
      </w:tr>
      <w:tr w:rsidR="00A53AD7" w:rsidRPr="00A53AD7" w14:paraId="6D161899" w14:textId="77777777" w:rsidTr="003B5BDA">
        <w:trPr>
          <w:trHeight w:val="228"/>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43F22380"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Ввод в действие жилых домов, %</w:t>
            </w:r>
          </w:p>
        </w:tc>
        <w:tc>
          <w:tcPr>
            <w:tcW w:w="1418" w:type="dxa"/>
            <w:tcBorders>
              <w:top w:val="nil"/>
              <w:left w:val="nil"/>
              <w:bottom w:val="single" w:sz="4" w:space="0" w:color="auto"/>
              <w:right w:val="single" w:sz="4" w:space="0" w:color="auto"/>
            </w:tcBorders>
            <w:shd w:val="clear" w:color="auto" w:fill="auto"/>
            <w:vAlign w:val="bottom"/>
            <w:hideMark/>
          </w:tcPr>
          <w:p w14:paraId="3B48BC1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104,9</w:t>
            </w:r>
          </w:p>
        </w:tc>
        <w:tc>
          <w:tcPr>
            <w:tcW w:w="1237" w:type="dxa"/>
            <w:tcBorders>
              <w:top w:val="nil"/>
              <w:left w:val="nil"/>
              <w:bottom w:val="single" w:sz="4" w:space="0" w:color="auto"/>
              <w:right w:val="single" w:sz="4" w:space="0" w:color="auto"/>
            </w:tcBorders>
            <w:shd w:val="clear" w:color="auto" w:fill="auto"/>
            <w:vAlign w:val="bottom"/>
            <w:hideMark/>
          </w:tcPr>
          <w:p w14:paraId="7065A3D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93,4</w:t>
            </w:r>
          </w:p>
        </w:tc>
        <w:tc>
          <w:tcPr>
            <w:tcW w:w="1227" w:type="dxa"/>
            <w:tcBorders>
              <w:top w:val="nil"/>
              <w:left w:val="nil"/>
              <w:bottom w:val="single" w:sz="4" w:space="0" w:color="auto"/>
              <w:right w:val="single" w:sz="4" w:space="0" w:color="auto"/>
            </w:tcBorders>
            <w:shd w:val="clear" w:color="auto" w:fill="auto"/>
            <w:vAlign w:val="bottom"/>
            <w:hideMark/>
          </w:tcPr>
          <w:p w14:paraId="064B39E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105,9</w:t>
            </w:r>
          </w:p>
        </w:tc>
        <w:tc>
          <w:tcPr>
            <w:tcW w:w="992" w:type="dxa"/>
            <w:tcBorders>
              <w:top w:val="nil"/>
              <w:left w:val="nil"/>
              <w:bottom w:val="single" w:sz="4" w:space="0" w:color="auto"/>
              <w:right w:val="double" w:sz="6" w:space="0" w:color="auto"/>
            </w:tcBorders>
            <w:shd w:val="clear" w:color="auto" w:fill="auto"/>
            <w:noWrap/>
            <w:vAlign w:val="bottom"/>
            <w:hideMark/>
          </w:tcPr>
          <w:p w14:paraId="0EF877B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85,5</w:t>
            </w:r>
          </w:p>
        </w:tc>
      </w:tr>
      <w:tr w:rsidR="00A53AD7" w:rsidRPr="00A53AD7" w14:paraId="0EE19879" w14:textId="77777777" w:rsidTr="003B5BDA">
        <w:trPr>
          <w:trHeight w:val="733"/>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03BA935B" w14:textId="4E9AC1C6" w:rsidR="003B5BDA" w:rsidRPr="00A53AD7" w:rsidRDefault="003B5BDA" w:rsidP="007A4CD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Средняя цена за 1 кв.м жилья на первичном рынке на конец квартала, тыс.руб. / % к пред. году (предварительные данные)</w:t>
            </w:r>
          </w:p>
        </w:tc>
        <w:tc>
          <w:tcPr>
            <w:tcW w:w="1418" w:type="dxa"/>
            <w:tcBorders>
              <w:top w:val="nil"/>
              <w:left w:val="nil"/>
              <w:bottom w:val="single" w:sz="4" w:space="0" w:color="auto"/>
              <w:right w:val="single" w:sz="4" w:space="0" w:color="auto"/>
            </w:tcBorders>
            <w:shd w:val="clear" w:color="auto" w:fill="auto"/>
            <w:vAlign w:val="bottom"/>
            <w:hideMark/>
          </w:tcPr>
          <w:p w14:paraId="27B3C19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64,1/ 103,7</w:t>
            </w:r>
          </w:p>
        </w:tc>
        <w:tc>
          <w:tcPr>
            <w:tcW w:w="1237" w:type="dxa"/>
            <w:tcBorders>
              <w:top w:val="nil"/>
              <w:left w:val="nil"/>
              <w:bottom w:val="single" w:sz="4" w:space="0" w:color="auto"/>
              <w:right w:val="single" w:sz="4" w:space="0" w:color="auto"/>
            </w:tcBorders>
            <w:shd w:val="clear" w:color="auto" w:fill="auto"/>
            <w:vAlign w:val="bottom"/>
            <w:hideMark/>
          </w:tcPr>
          <w:p w14:paraId="36163B7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88,0/ 107,6</w:t>
            </w:r>
          </w:p>
        </w:tc>
        <w:tc>
          <w:tcPr>
            <w:tcW w:w="1227" w:type="dxa"/>
            <w:tcBorders>
              <w:top w:val="nil"/>
              <w:left w:val="nil"/>
              <w:bottom w:val="single" w:sz="4" w:space="0" w:color="auto"/>
              <w:right w:val="single" w:sz="4" w:space="0" w:color="auto"/>
            </w:tcBorders>
            <w:shd w:val="clear" w:color="auto" w:fill="auto"/>
            <w:vAlign w:val="bottom"/>
            <w:hideMark/>
          </w:tcPr>
          <w:p w14:paraId="0DF3D88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62,3/ 106,7</w:t>
            </w:r>
          </w:p>
        </w:tc>
        <w:tc>
          <w:tcPr>
            <w:tcW w:w="992" w:type="dxa"/>
            <w:tcBorders>
              <w:top w:val="nil"/>
              <w:left w:val="nil"/>
              <w:bottom w:val="single" w:sz="4" w:space="0" w:color="auto"/>
              <w:right w:val="double" w:sz="6" w:space="0" w:color="auto"/>
            </w:tcBorders>
            <w:shd w:val="clear" w:color="auto" w:fill="auto"/>
            <w:noWrap/>
            <w:vAlign w:val="bottom"/>
            <w:hideMark/>
          </w:tcPr>
          <w:p w14:paraId="5EC6E23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02BE2991" w14:textId="77777777" w:rsidTr="003B5BDA">
        <w:trPr>
          <w:trHeight w:val="747"/>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7FA325C8" w14:textId="2208B9C6" w:rsidR="003B5BDA" w:rsidRPr="00A53AD7" w:rsidRDefault="003B5BDA" w:rsidP="007A4CD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Средняя цена за 1 кв.м жилья на вторичном рынке на конец квартала, тыс. руб. / % к пред. году (предварительные данные)</w:t>
            </w:r>
          </w:p>
        </w:tc>
        <w:tc>
          <w:tcPr>
            <w:tcW w:w="1418" w:type="dxa"/>
            <w:tcBorders>
              <w:top w:val="nil"/>
              <w:left w:val="nil"/>
              <w:bottom w:val="single" w:sz="4" w:space="0" w:color="auto"/>
              <w:right w:val="single" w:sz="4" w:space="0" w:color="auto"/>
            </w:tcBorders>
            <w:shd w:val="clear" w:color="auto" w:fill="auto"/>
            <w:vAlign w:val="bottom"/>
            <w:hideMark/>
          </w:tcPr>
          <w:p w14:paraId="30ED62F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58,5/106,6</w:t>
            </w:r>
          </w:p>
        </w:tc>
        <w:tc>
          <w:tcPr>
            <w:tcW w:w="1237" w:type="dxa"/>
            <w:tcBorders>
              <w:top w:val="nil"/>
              <w:left w:val="nil"/>
              <w:bottom w:val="single" w:sz="4" w:space="0" w:color="auto"/>
              <w:right w:val="single" w:sz="4" w:space="0" w:color="auto"/>
            </w:tcBorders>
            <w:shd w:val="clear" w:color="auto" w:fill="auto"/>
            <w:vAlign w:val="bottom"/>
            <w:hideMark/>
          </w:tcPr>
          <w:p w14:paraId="1DFA7A9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62,4/118,9</w:t>
            </w:r>
          </w:p>
        </w:tc>
        <w:tc>
          <w:tcPr>
            <w:tcW w:w="1227" w:type="dxa"/>
            <w:tcBorders>
              <w:top w:val="nil"/>
              <w:left w:val="nil"/>
              <w:bottom w:val="single" w:sz="4" w:space="0" w:color="auto"/>
              <w:right w:val="single" w:sz="4" w:space="0" w:color="auto"/>
            </w:tcBorders>
            <w:shd w:val="clear" w:color="auto" w:fill="auto"/>
            <w:vAlign w:val="bottom"/>
            <w:hideMark/>
          </w:tcPr>
          <w:p w14:paraId="2D3CE88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62,7/ 105,9</w:t>
            </w:r>
          </w:p>
        </w:tc>
        <w:tc>
          <w:tcPr>
            <w:tcW w:w="992" w:type="dxa"/>
            <w:tcBorders>
              <w:top w:val="nil"/>
              <w:left w:val="nil"/>
              <w:bottom w:val="single" w:sz="4" w:space="0" w:color="auto"/>
              <w:right w:val="double" w:sz="6" w:space="0" w:color="auto"/>
            </w:tcBorders>
            <w:shd w:val="clear" w:color="auto" w:fill="auto"/>
            <w:noWrap/>
            <w:vAlign w:val="bottom"/>
            <w:hideMark/>
          </w:tcPr>
          <w:p w14:paraId="14B1C42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6A0B883B" w14:textId="77777777" w:rsidTr="003B5BDA">
        <w:trPr>
          <w:trHeight w:val="204"/>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544D51A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Оборот розничной торговли </w:t>
            </w:r>
          </w:p>
        </w:tc>
        <w:tc>
          <w:tcPr>
            <w:tcW w:w="1418" w:type="dxa"/>
            <w:tcBorders>
              <w:top w:val="nil"/>
              <w:left w:val="nil"/>
              <w:bottom w:val="single" w:sz="4" w:space="0" w:color="auto"/>
              <w:right w:val="single" w:sz="4" w:space="0" w:color="auto"/>
            </w:tcBorders>
            <w:shd w:val="clear" w:color="auto" w:fill="auto"/>
            <w:vAlign w:val="bottom"/>
            <w:hideMark/>
          </w:tcPr>
          <w:p w14:paraId="354253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101,6</w:t>
            </w:r>
          </w:p>
        </w:tc>
        <w:tc>
          <w:tcPr>
            <w:tcW w:w="1237" w:type="dxa"/>
            <w:tcBorders>
              <w:top w:val="nil"/>
              <w:left w:val="nil"/>
              <w:bottom w:val="single" w:sz="4" w:space="0" w:color="auto"/>
              <w:right w:val="single" w:sz="4" w:space="0" w:color="auto"/>
            </w:tcBorders>
            <w:shd w:val="clear" w:color="auto" w:fill="auto"/>
            <w:vAlign w:val="bottom"/>
            <w:hideMark/>
          </w:tcPr>
          <w:p w14:paraId="4C8772A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101,3</w:t>
            </w:r>
          </w:p>
        </w:tc>
        <w:tc>
          <w:tcPr>
            <w:tcW w:w="1227" w:type="dxa"/>
            <w:tcBorders>
              <w:top w:val="nil"/>
              <w:left w:val="nil"/>
              <w:bottom w:val="single" w:sz="4" w:space="0" w:color="auto"/>
              <w:right w:val="single" w:sz="4" w:space="0" w:color="auto"/>
            </w:tcBorders>
            <w:shd w:val="clear" w:color="auto" w:fill="auto"/>
            <w:vAlign w:val="bottom"/>
            <w:hideMark/>
          </w:tcPr>
          <w:p w14:paraId="0347879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99,4</w:t>
            </w:r>
          </w:p>
        </w:tc>
        <w:tc>
          <w:tcPr>
            <w:tcW w:w="992" w:type="dxa"/>
            <w:tcBorders>
              <w:top w:val="nil"/>
              <w:left w:val="nil"/>
              <w:bottom w:val="single" w:sz="4" w:space="0" w:color="auto"/>
              <w:right w:val="double" w:sz="6" w:space="0" w:color="auto"/>
            </w:tcBorders>
            <w:shd w:val="clear" w:color="auto" w:fill="auto"/>
            <w:noWrap/>
            <w:vAlign w:val="bottom"/>
            <w:hideMark/>
          </w:tcPr>
          <w:p w14:paraId="6A2A0B9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100,4</w:t>
            </w:r>
          </w:p>
        </w:tc>
      </w:tr>
      <w:tr w:rsidR="00A53AD7" w:rsidRPr="00A53AD7" w14:paraId="71EECEC2" w14:textId="77777777" w:rsidTr="003B5BDA">
        <w:trPr>
          <w:trHeight w:val="240"/>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57763140"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Объем платных услуг населению</w:t>
            </w:r>
          </w:p>
        </w:tc>
        <w:tc>
          <w:tcPr>
            <w:tcW w:w="1418" w:type="dxa"/>
            <w:tcBorders>
              <w:top w:val="nil"/>
              <w:left w:val="nil"/>
              <w:bottom w:val="single" w:sz="4" w:space="0" w:color="auto"/>
              <w:right w:val="single" w:sz="4" w:space="0" w:color="auto"/>
            </w:tcBorders>
            <w:shd w:val="clear" w:color="auto" w:fill="auto"/>
            <w:vAlign w:val="bottom"/>
            <w:hideMark/>
          </w:tcPr>
          <w:p w14:paraId="6C4C3AB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99,1</w:t>
            </w:r>
          </w:p>
        </w:tc>
        <w:tc>
          <w:tcPr>
            <w:tcW w:w="1237" w:type="dxa"/>
            <w:tcBorders>
              <w:top w:val="nil"/>
              <w:left w:val="nil"/>
              <w:bottom w:val="single" w:sz="4" w:space="0" w:color="auto"/>
              <w:right w:val="single" w:sz="4" w:space="0" w:color="auto"/>
            </w:tcBorders>
            <w:shd w:val="clear" w:color="auto" w:fill="auto"/>
            <w:vAlign w:val="bottom"/>
            <w:hideMark/>
          </w:tcPr>
          <w:p w14:paraId="43756FD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98,8</w:t>
            </w:r>
          </w:p>
        </w:tc>
        <w:tc>
          <w:tcPr>
            <w:tcW w:w="1227" w:type="dxa"/>
            <w:tcBorders>
              <w:top w:val="nil"/>
              <w:left w:val="nil"/>
              <w:bottom w:val="single" w:sz="4" w:space="0" w:color="auto"/>
              <w:right w:val="single" w:sz="4" w:space="0" w:color="auto"/>
            </w:tcBorders>
            <w:shd w:val="clear" w:color="auto" w:fill="auto"/>
            <w:vAlign w:val="bottom"/>
            <w:hideMark/>
          </w:tcPr>
          <w:p w14:paraId="0B50AAE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100,1</w:t>
            </w:r>
          </w:p>
        </w:tc>
        <w:tc>
          <w:tcPr>
            <w:tcW w:w="992" w:type="dxa"/>
            <w:tcBorders>
              <w:top w:val="nil"/>
              <w:left w:val="nil"/>
              <w:bottom w:val="single" w:sz="4" w:space="0" w:color="auto"/>
              <w:right w:val="double" w:sz="6" w:space="0" w:color="auto"/>
            </w:tcBorders>
            <w:shd w:val="clear" w:color="auto" w:fill="auto"/>
            <w:noWrap/>
            <w:vAlign w:val="bottom"/>
            <w:hideMark/>
          </w:tcPr>
          <w:p w14:paraId="30BA30C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97,29</w:t>
            </w:r>
          </w:p>
        </w:tc>
      </w:tr>
      <w:tr w:rsidR="00A53AD7" w:rsidRPr="00A53AD7" w14:paraId="3A64D6BC" w14:textId="77777777" w:rsidTr="003B5BDA">
        <w:trPr>
          <w:trHeight w:val="447"/>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717EE1B5"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Индекс потребительских цен (декабрь 2019 г. к декабрю 2018 г.)</w:t>
            </w:r>
          </w:p>
        </w:tc>
        <w:tc>
          <w:tcPr>
            <w:tcW w:w="1418" w:type="dxa"/>
            <w:tcBorders>
              <w:top w:val="nil"/>
              <w:left w:val="nil"/>
              <w:bottom w:val="single" w:sz="4" w:space="0" w:color="auto"/>
              <w:right w:val="single" w:sz="4" w:space="0" w:color="auto"/>
            </w:tcBorders>
            <w:shd w:val="clear" w:color="auto" w:fill="auto"/>
            <w:vAlign w:val="bottom"/>
            <w:hideMark/>
          </w:tcPr>
          <w:p w14:paraId="2BA5D91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103,0</w:t>
            </w:r>
          </w:p>
        </w:tc>
        <w:tc>
          <w:tcPr>
            <w:tcW w:w="1237" w:type="dxa"/>
            <w:tcBorders>
              <w:top w:val="nil"/>
              <w:left w:val="nil"/>
              <w:bottom w:val="single" w:sz="4" w:space="0" w:color="auto"/>
              <w:right w:val="single" w:sz="4" w:space="0" w:color="auto"/>
            </w:tcBorders>
            <w:shd w:val="clear" w:color="auto" w:fill="auto"/>
            <w:vAlign w:val="bottom"/>
            <w:hideMark/>
          </w:tcPr>
          <w:p w14:paraId="1484FB7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103,0</w:t>
            </w:r>
          </w:p>
        </w:tc>
        <w:tc>
          <w:tcPr>
            <w:tcW w:w="1227" w:type="dxa"/>
            <w:tcBorders>
              <w:top w:val="nil"/>
              <w:left w:val="nil"/>
              <w:bottom w:val="single" w:sz="4" w:space="0" w:color="auto"/>
              <w:right w:val="single" w:sz="4" w:space="0" w:color="auto"/>
            </w:tcBorders>
            <w:shd w:val="clear" w:color="auto" w:fill="auto"/>
            <w:vAlign w:val="bottom"/>
            <w:hideMark/>
          </w:tcPr>
          <w:p w14:paraId="4CB047C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c>
          <w:tcPr>
            <w:tcW w:w="992" w:type="dxa"/>
            <w:tcBorders>
              <w:top w:val="nil"/>
              <w:left w:val="nil"/>
              <w:bottom w:val="single" w:sz="4" w:space="0" w:color="auto"/>
              <w:right w:val="double" w:sz="6" w:space="0" w:color="auto"/>
            </w:tcBorders>
            <w:shd w:val="clear" w:color="auto" w:fill="auto"/>
            <w:noWrap/>
            <w:vAlign w:val="bottom"/>
            <w:hideMark/>
          </w:tcPr>
          <w:p w14:paraId="21BF13B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103,7</w:t>
            </w:r>
          </w:p>
        </w:tc>
      </w:tr>
      <w:tr w:rsidR="00A53AD7" w:rsidRPr="00A53AD7" w14:paraId="39BFAAC7" w14:textId="77777777" w:rsidTr="003B5BDA">
        <w:trPr>
          <w:trHeight w:val="439"/>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498EB00E"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Индекс цен производителей, декабрь 2019 г. к декабрю 2018 г.: </w:t>
            </w:r>
          </w:p>
        </w:tc>
        <w:tc>
          <w:tcPr>
            <w:tcW w:w="1418" w:type="dxa"/>
            <w:tcBorders>
              <w:top w:val="nil"/>
              <w:left w:val="nil"/>
              <w:bottom w:val="single" w:sz="4" w:space="0" w:color="auto"/>
              <w:right w:val="single" w:sz="4" w:space="0" w:color="auto"/>
            </w:tcBorders>
            <w:shd w:val="clear" w:color="auto" w:fill="auto"/>
            <w:vAlign w:val="bottom"/>
            <w:hideMark/>
          </w:tcPr>
          <w:p w14:paraId="0204E70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1237" w:type="dxa"/>
            <w:tcBorders>
              <w:top w:val="nil"/>
              <w:left w:val="nil"/>
              <w:bottom w:val="single" w:sz="4" w:space="0" w:color="auto"/>
              <w:right w:val="single" w:sz="4" w:space="0" w:color="auto"/>
            </w:tcBorders>
            <w:shd w:val="clear" w:color="auto" w:fill="auto"/>
            <w:vAlign w:val="bottom"/>
            <w:hideMark/>
          </w:tcPr>
          <w:p w14:paraId="112088A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1227" w:type="dxa"/>
            <w:tcBorders>
              <w:top w:val="nil"/>
              <w:left w:val="nil"/>
              <w:bottom w:val="single" w:sz="4" w:space="0" w:color="auto"/>
              <w:right w:val="single" w:sz="4" w:space="0" w:color="auto"/>
            </w:tcBorders>
            <w:shd w:val="clear" w:color="auto" w:fill="auto"/>
            <w:vAlign w:val="bottom"/>
            <w:hideMark/>
          </w:tcPr>
          <w:p w14:paraId="282771F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992" w:type="dxa"/>
            <w:tcBorders>
              <w:top w:val="nil"/>
              <w:left w:val="nil"/>
              <w:bottom w:val="single" w:sz="4" w:space="0" w:color="auto"/>
              <w:right w:val="double" w:sz="6" w:space="0" w:color="auto"/>
            </w:tcBorders>
            <w:shd w:val="clear" w:color="auto" w:fill="auto"/>
            <w:noWrap/>
            <w:vAlign w:val="bottom"/>
            <w:hideMark/>
          </w:tcPr>
          <w:p w14:paraId="0C4B246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4824A7B5" w14:textId="77777777" w:rsidTr="003B5BDA">
        <w:trPr>
          <w:trHeight w:val="360"/>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090772B5"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промышленных товаров (для реализации на внутреннем рынке)</w:t>
            </w:r>
          </w:p>
        </w:tc>
        <w:tc>
          <w:tcPr>
            <w:tcW w:w="1418" w:type="dxa"/>
            <w:tcBorders>
              <w:top w:val="nil"/>
              <w:left w:val="nil"/>
              <w:bottom w:val="single" w:sz="4" w:space="0" w:color="auto"/>
              <w:right w:val="single" w:sz="4" w:space="0" w:color="auto"/>
            </w:tcBorders>
            <w:shd w:val="clear" w:color="auto" w:fill="auto"/>
            <w:vAlign w:val="bottom"/>
            <w:hideMark/>
          </w:tcPr>
          <w:p w14:paraId="7DC8382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95,7</w:t>
            </w:r>
          </w:p>
        </w:tc>
        <w:tc>
          <w:tcPr>
            <w:tcW w:w="1237" w:type="dxa"/>
            <w:tcBorders>
              <w:top w:val="nil"/>
              <w:left w:val="nil"/>
              <w:bottom w:val="single" w:sz="4" w:space="0" w:color="auto"/>
              <w:right w:val="single" w:sz="4" w:space="0" w:color="auto"/>
            </w:tcBorders>
            <w:shd w:val="clear" w:color="auto" w:fill="auto"/>
            <w:vAlign w:val="bottom"/>
            <w:hideMark/>
          </w:tcPr>
          <w:p w14:paraId="051E5AE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101,6</w:t>
            </w:r>
          </w:p>
        </w:tc>
        <w:tc>
          <w:tcPr>
            <w:tcW w:w="1227" w:type="dxa"/>
            <w:tcBorders>
              <w:top w:val="nil"/>
              <w:left w:val="nil"/>
              <w:bottom w:val="single" w:sz="4" w:space="0" w:color="auto"/>
              <w:right w:val="single" w:sz="4" w:space="0" w:color="auto"/>
            </w:tcBorders>
            <w:shd w:val="clear" w:color="auto" w:fill="auto"/>
            <w:vAlign w:val="bottom"/>
            <w:hideMark/>
          </w:tcPr>
          <w:p w14:paraId="78920EC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93,4</w:t>
            </w:r>
          </w:p>
        </w:tc>
        <w:tc>
          <w:tcPr>
            <w:tcW w:w="992" w:type="dxa"/>
            <w:tcBorders>
              <w:top w:val="nil"/>
              <w:left w:val="nil"/>
              <w:bottom w:val="single" w:sz="4" w:space="0" w:color="auto"/>
              <w:right w:val="double" w:sz="6" w:space="0" w:color="auto"/>
            </w:tcBorders>
            <w:shd w:val="clear" w:color="auto" w:fill="auto"/>
            <w:noWrap/>
            <w:vAlign w:val="bottom"/>
            <w:hideMark/>
          </w:tcPr>
          <w:p w14:paraId="164DF7B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4B2B10AC" w14:textId="77777777" w:rsidTr="003B5BDA">
        <w:trPr>
          <w:trHeight w:val="254"/>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41429323"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сельскохозяйственной продукции</w:t>
            </w:r>
          </w:p>
        </w:tc>
        <w:tc>
          <w:tcPr>
            <w:tcW w:w="1418" w:type="dxa"/>
            <w:tcBorders>
              <w:top w:val="nil"/>
              <w:left w:val="nil"/>
              <w:bottom w:val="single" w:sz="4" w:space="0" w:color="auto"/>
              <w:right w:val="single" w:sz="4" w:space="0" w:color="auto"/>
            </w:tcBorders>
            <w:shd w:val="clear" w:color="auto" w:fill="auto"/>
            <w:vAlign w:val="bottom"/>
            <w:hideMark/>
          </w:tcPr>
          <w:p w14:paraId="32136B0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95,5</w:t>
            </w:r>
          </w:p>
        </w:tc>
        <w:tc>
          <w:tcPr>
            <w:tcW w:w="1237" w:type="dxa"/>
            <w:tcBorders>
              <w:top w:val="nil"/>
              <w:left w:val="nil"/>
              <w:bottom w:val="single" w:sz="4" w:space="0" w:color="auto"/>
              <w:right w:val="single" w:sz="4" w:space="0" w:color="auto"/>
            </w:tcBorders>
            <w:shd w:val="clear" w:color="auto" w:fill="auto"/>
            <w:vAlign w:val="bottom"/>
            <w:hideMark/>
          </w:tcPr>
          <w:p w14:paraId="2DFD9FB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93,2</w:t>
            </w:r>
          </w:p>
        </w:tc>
        <w:tc>
          <w:tcPr>
            <w:tcW w:w="1227" w:type="dxa"/>
            <w:tcBorders>
              <w:top w:val="nil"/>
              <w:left w:val="nil"/>
              <w:bottom w:val="single" w:sz="4" w:space="0" w:color="auto"/>
              <w:right w:val="single" w:sz="4" w:space="0" w:color="auto"/>
            </w:tcBorders>
            <w:shd w:val="clear" w:color="auto" w:fill="auto"/>
            <w:vAlign w:val="bottom"/>
            <w:hideMark/>
          </w:tcPr>
          <w:p w14:paraId="75E4335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104,2</w:t>
            </w:r>
          </w:p>
        </w:tc>
        <w:tc>
          <w:tcPr>
            <w:tcW w:w="992" w:type="dxa"/>
            <w:tcBorders>
              <w:top w:val="nil"/>
              <w:left w:val="nil"/>
              <w:bottom w:val="single" w:sz="4" w:space="0" w:color="auto"/>
              <w:right w:val="double" w:sz="6" w:space="0" w:color="auto"/>
            </w:tcBorders>
            <w:shd w:val="clear" w:color="auto" w:fill="auto"/>
            <w:noWrap/>
            <w:vAlign w:val="bottom"/>
            <w:hideMark/>
          </w:tcPr>
          <w:p w14:paraId="4E91D1D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283AA2B5" w14:textId="77777777" w:rsidTr="007A4CDE">
        <w:trPr>
          <w:trHeight w:val="209"/>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4E2B76D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строительной продукции</w:t>
            </w:r>
          </w:p>
        </w:tc>
        <w:tc>
          <w:tcPr>
            <w:tcW w:w="1418" w:type="dxa"/>
            <w:tcBorders>
              <w:top w:val="nil"/>
              <w:left w:val="nil"/>
              <w:bottom w:val="single" w:sz="4" w:space="0" w:color="auto"/>
              <w:right w:val="single" w:sz="4" w:space="0" w:color="auto"/>
            </w:tcBorders>
            <w:shd w:val="clear" w:color="auto" w:fill="auto"/>
            <w:vAlign w:val="bottom"/>
            <w:hideMark/>
          </w:tcPr>
          <w:p w14:paraId="747B069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106,6</w:t>
            </w:r>
          </w:p>
        </w:tc>
        <w:tc>
          <w:tcPr>
            <w:tcW w:w="1237" w:type="dxa"/>
            <w:tcBorders>
              <w:top w:val="nil"/>
              <w:left w:val="nil"/>
              <w:bottom w:val="single" w:sz="4" w:space="0" w:color="auto"/>
              <w:right w:val="single" w:sz="4" w:space="0" w:color="auto"/>
            </w:tcBorders>
            <w:shd w:val="clear" w:color="auto" w:fill="auto"/>
            <w:vAlign w:val="bottom"/>
            <w:hideMark/>
          </w:tcPr>
          <w:p w14:paraId="2EB8018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105,7</w:t>
            </w:r>
          </w:p>
        </w:tc>
        <w:tc>
          <w:tcPr>
            <w:tcW w:w="1227" w:type="dxa"/>
            <w:tcBorders>
              <w:top w:val="nil"/>
              <w:left w:val="nil"/>
              <w:bottom w:val="single" w:sz="4" w:space="0" w:color="auto"/>
              <w:right w:val="single" w:sz="4" w:space="0" w:color="auto"/>
            </w:tcBorders>
            <w:shd w:val="clear" w:color="auto" w:fill="auto"/>
            <w:vAlign w:val="bottom"/>
            <w:hideMark/>
          </w:tcPr>
          <w:p w14:paraId="641F86D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108,5</w:t>
            </w:r>
          </w:p>
        </w:tc>
        <w:tc>
          <w:tcPr>
            <w:tcW w:w="992" w:type="dxa"/>
            <w:tcBorders>
              <w:top w:val="nil"/>
              <w:left w:val="nil"/>
              <w:bottom w:val="single" w:sz="4" w:space="0" w:color="auto"/>
              <w:right w:val="double" w:sz="6" w:space="0" w:color="auto"/>
            </w:tcBorders>
            <w:shd w:val="clear" w:color="auto" w:fill="auto"/>
            <w:noWrap/>
            <w:vAlign w:val="bottom"/>
            <w:hideMark/>
          </w:tcPr>
          <w:p w14:paraId="2885989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0C61BB28" w14:textId="77777777" w:rsidTr="003B5BDA">
        <w:trPr>
          <w:trHeight w:val="532"/>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6C80BDC9"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Численность официально зарегистрированных безработных, тыс. человек</w:t>
            </w:r>
          </w:p>
        </w:tc>
        <w:tc>
          <w:tcPr>
            <w:tcW w:w="1418" w:type="dxa"/>
            <w:tcBorders>
              <w:top w:val="nil"/>
              <w:left w:val="nil"/>
              <w:bottom w:val="single" w:sz="4" w:space="0" w:color="auto"/>
              <w:right w:val="single" w:sz="4" w:space="0" w:color="auto"/>
            </w:tcBorders>
            <w:shd w:val="clear" w:color="auto" w:fill="auto"/>
            <w:vAlign w:val="bottom"/>
            <w:hideMark/>
          </w:tcPr>
          <w:p w14:paraId="21FDC58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691,4</w:t>
            </w:r>
          </w:p>
        </w:tc>
        <w:tc>
          <w:tcPr>
            <w:tcW w:w="1237" w:type="dxa"/>
            <w:tcBorders>
              <w:top w:val="nil"/>
              <w:left w:val="nil"/>
              <w:bottom w:val="single" w:sz="4" w:space="0" w:color="auto"/>
              <w:right w:val="single" w:sz="4" w:space="0" w:color="auto"/>
            </w:tcBorders>
            <w:shd w:val="clear" w:color="auto" w:fill="auto"/>
            <w:vAlign w:val="bottom"/>
            <w:hideMark/>
          </w:tcPr>
          <w:p w14:paraId="1F8F891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60,1</w:t>
            </w:r>
          </w:p>
        </w:tc>
        <w:tc>
          <w:tcPr>
            <w:tcW w:w="1227" w:type="dxa"/>
            <w:tcBorders>
              <w:top w:val="nil"/>
              <w:left w:val="nil"/>
              <w:bottom w:val="single" w:sz="4" w:space="0" w:color="auto"/>
              <w:right w:val="single" w:sz="4" w:space="0" w:color="auto"/>
            </w:tcBorders>
            <w:shd w:val="clear" w:color="auto" w:fill="auto"/>
            <w:vAlign w:val="bottom"/>
            <w:hideMark/>
          </w:tcPr>
          <w:p w14:paraId="608BD26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8,4</w:t>
            </w:r>
          </w:p>
        </w:tc>
        <w:tc>
          <w:tcPr>
            <w:tcW w:w="992" w:type="dxa"/>
            <w:tcBorders>
              <w:top w:val="nil"/>
              <w:left w:val="nil"/>
              <w:bottom w:val="single" w:sz="4" w:space="0" w:color="auto"/>
              <w:right w:val="double" w:sz="6" w:space="0" w:color="auto"/>
            </w:tcBorders>
            <w:shd w:val="clear" w:color="auto" w:fill="auto"/>
            <w:noWrap/>
            <w:vAlign w:val="bottom"/>
            <w:hideMark/>
          </w:tcPr>
          <w:p w14:paraId="6F14CF4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9,0</w:t>
            </w:r>
          </w:p>
        </w:tc>
      </w:tr>
      <w:tr w:rsidR="00A53AD7" w:rsidRPr="00A53AD7" w14:paraId="7443CD78" w14:textId="77777777" w:rsidTr="007A4CDE">
        <w:trPr>
          <w:trHeight w:val="168"/>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1C559C84"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в % к концу декабря 2018 года</w:t>
            </w:r>
          </w:p>
        </w:tc>
        <w:tc>
          <w:tcPr>
            <w:tcW w:w="1418" w:type="dxa"/>
            <w:tcBorders>
              <w:top w:val="nil"/>
              <w:left w:val="nil"/>
              <w:bottom w:val="single" w:sz="4" w:space="0" w:color="auto"/>
              <w:right w:val="single" w:sz="4" w:space="0" w:color="auto"/>
            </w:tcBorders>
            <w:shd w:val="clear" w:color="auto" w:fill="auto"/>
            <w:vAlign w:val="center"/>
            <w:hideMark/>
          </w:tcPr>
          <w:p w14:paraId="1B62232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w:t>
            </w:r>
          </w:p>
        </w:tc>
        <w:tc>
          <w:tcPr>
            <w:tcW w:w="1237" w:type="dxa"/>
            <w:tcBorders>
              <w:top w:val="nil"/>
              <w:left w:val="nil"/>
              <w:bottom w:val="single" w:sz="4" w:space="0" w:color="auto"/>
              <w:right w:val="single" w:sz="4" w:space="0" w:color="auto"/>
            </w:tcBorders>
            <w:shd w:val="clear" w:color="auto" w:fill="auto"/>
            <w:vAlign w:val="center"/>
            <w:hideMark/>
          </w:tcPr>
          <w:p w14:paraId="1EEBA00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102,7</w:t>
            </w:r>
          </w:p>
        </w:tc>
        <w:tc>
          <w:tcPr>
            <w:tcW w:w="1227" w:type="dxa"/>
            <w:tcBorders>
              <w:top w:val="nil"/>
              <w:left w:val="nil"/>
              <w:bottom w:val="single" w:sz="4" w:space="0" w:color="auto"/>
              <w:right w:val="single" w:sz="4" w:space="0" w:color="auto"/>
            </w:tcBorders>
            <w:shd w:val="clear" w:color="auto" w:fill="auto"/>
            <w:vAlign w:val="center"/>
            <w:hideMark/>
          </w:tcPr>
          <w:p w14:paraId="5066247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99,8</w:t>
            </w:r>
          </w:p>
        </w:tc>
        <w:tc>
          <w:tcPr>
            <w:tcW w:w="992" w:type="dxa"/>
            <w:tcBorders>
              <w:top w:val="nil"/>
              <w:left w:val="nil"/>
              <w:bottom w:val="single" w:sz="4" w:space="0" w:color="auto"/>
              <w:right w:val="double" w:sz="6" w:space="0" w:color="auto"/>
            </w:tcBorders>
            <w:shd w:val="clear" w:color="auto" w:fill="auto"/>
            <w:vAlign w:val="center"/>
            <w:hideMark/>
          </w:tcPr>
          <w:p w14:paraId="7992153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106,4</w:t>
            </w:r>
          </w:p>
        </w:tc>
      </w:tr>
      <w:tr w:rsidR="00A53AD7" w:rsidRPr="00A53AD7" w14:paraId="2BA16CC9" w14:textId="77777777" w:rsidTr="003B5BDA">
        <w:trPr>
          <w:trHeight w:val="420"/>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682E5852" w14:textId="53297FBA" w:rsidR="003B5BDA" w:rsidRPr="00A53AD7" w:rsidRDefault="003B5BDA" w:rsidP="00D63F6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Уровень безработицы </w:t>
            </w:r>
            <w:r w:rsidR="00D63F68" w:rsidRPr="00A53AD7">
              <w:rPr>
                <w:rFonts w:ascii="Times New Roman" w:eastAsia="Times New Roman" w:hAnsi="Times New Roman"/>
                <w:lang w:eastAsia="ru-RU"/>
              </w:rPr>
              <w:t>по методологии МОТ</w:t>
            </w:r>
            <w:r w:rsidRPr="00A53AD7">
              <w:rPr>
                <w:rFonts w:ascii="Times New Roman" w:eastAsia="Times New Roman" w:hAnsi="Times New Roman"/>
                <w:lang w:eastAsia="ru-RU"/>
              </w:rPr>
              <w:t>, %</w:t>
            </w:r>
          </w:p>
        </w:tc>
        <w:tc>
          <w:tcPr>
            <w:tcW w:w="1418" w:type="dxa"/>
            <w:tcBorders>
              <w:top w:val="nil"/>
              <w:left w:val="nil"/>
              <w:bottom w:val="single" w:sz="4" w:space="0" w:color="auto"/>
              <w:right w:val="single" w:sz="4" w:space="0" w:color="auto"/>
            </w:tcBorders>
            <w:shd w:val="clear" w:color="auto" w:fill="auto"/>
            <w:vAlign w:val="bottom"/>
            <w:hideMark/>
          </w:tcPr>
          <w:p w14:paraId="54FF390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4,6</w:t>
            </w:r>
          </w:p>
        </w:tc>
        <w:tc>
          <w:tcPr>
            <w:tcW w:w="1237" w:type="dxa"/>
            <w:tcBorders>
              <w:top w:val="nil"/>
              <w:left w:val="nil"/>
              <w:bottom w:val="single" w:sz="4" w:space="0" w:color="auto"/>
              <w:right w:val="single" w:sz="4" w:space="0" w:color="auto"/>
            </w:tcBorders>
            <w:shd w:val="clear" w:color="auto" w:fill="auto"/>
            <w:vAlign w:val="bottom"/>
            <w:hideMark/>
          </w:tcPr>
          <w:p w14:paraId="5E3A8E7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3,6</w:t>
            </w:r>
          </w:p>
        </w:tc>
        <w:tc>
          <w:tcPr>
            <w:tcW w:w="1227" w:type="dxa"/>
            <w:tcBorders>
              <w:top w:val="nil"/>
              <w:left w:val="nil"/>
              <w:bottom w:val="single" w:sz="4" w:space="0" w:color="auto"/>
              <w:right w:val="single" w:sz="4" w:space="0" w:color="auto"/>
            </w:tcBorders>
            <w:shd w:val="clear" w:color="auto" w:fill="auto"/>
            <w:vAlign w:val="bottom"/>
            <w:hideMark/>
          </w:tcPr>
          <w:p w14:paraId="0778406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w:t>
            </w:r>
          </w:p>
        </w:tc>
        <w:tc>
          <w:tcPr>
            <w:tcW w:w="992" w:type="dxa"/>
            <w:tcBorders>
              <w:top w:val="nil"/>
              <w:left w:val="nil"/>
              <w:bottom w:val="single" w:sz="4" w:space="0" w:color="auto"/>
              <w:right w:val="double" w:sz="6" w:space="0" w:color="auto"/>
            </w:tcBorders>
            <w:shd w:val="clear" w:color="auto" w:fill="auto"/>
            <w:noWrap/>
            <w:vAlign w:val="bottom"/>
            <w:hideMark/>
          </w:tcPr>
          <w:p w14:paraId="2B4C5D3B" w14:textId="24914416" w:rsidR="003B5BDA" w:rsidRPr="00A53AD7" w:rsidRDefault="002601B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w:t>
            </w:r>
          </w:p>
        </w:tc>
      </w:tr>
      <w:tr w:rsidR="00A53AD7" w:rsidRPr="00A53AD7" w14:paraId="69040D7B" w14:textId="77777777" w:rsidTr="007A4CDE">
        <w:trPr>
          <w:trHeight w:val="392"/>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6AD73861"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Естественный прирост (+), убыль (-) населения, чел. на 1000 человек населения</w:t>
            </w:r>
          </w:p>
        </w:tc>
        <w:tc>
          <w:tcPr>
            <w:tcW w:w="1418" w:type="dxa"/>
            <w:tcBorders>
              <w:top w:val="nil"/>
              <w:left w:val="nil"/>
              <w:bottom w:val="single" w:sz="4" w:space="0" w:color="auto"/>
              <w:right w:val="single" w:sz="4" w:space="0" w:color="auto"/>
            </w:tcBorders>
            <w:shd w:val="clear" w:color="auto" w:fill="auto"/>
            <w:vAlign w:val="bottom"/>
            <w:hideMark/>
          </w:tcPr>
          <w:p w14:paraId="5D9AC78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w:t>
            </w:r>
          </w:p>
        </w:tc>
        <w:tc>
          <w:tcPr>
            <w:tcW w:w="1237" w:type="dxa"/>
            <w:tcBorders>
              <w:top w:val="nil"/>
              <w:left w:val="nil"/>
              <w:bottom w:val="single" w:sz="4" w:space="0" w:color="auto"/>
              <w:right w:val="single" w:sz="4" w:space="0" w:color="auto"/>
            </w:tcBorders>
            <w:shd w:val="clear" w:color="auto" w:fill="auto"/>
            <w:vAlign w:val="bottom"/>
            <w:hideMark/>
          </w:tcPr>
          <w:p w14:paraId="15E4EA8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w:t>
            </w:r>
          </w:p>
        </w:tc>
        <w:tc>
          <w:tcPr>
            <w:tcW w:w="1227" w:type="dxa"/>
            <w:tcBorders>
              <w:top w:val="nil"/>
              <w:left w:val="nil"/>
              <w:bottom w:val="single" w:sz="4" w:space="0" w:color="auto"/>
              <w:right w:val="single" w:sz="4" w:space="0" w:color="auto"/>
            </w:tcBorders>
            <w:shd w:val="clear" w:color="auto" w:fill="auto"/>
            <w:vAlign w:val="bottom"/>
            <w:hideMark/>
          </w:tcPr>
          <w:p w14:paraId="0A06BD4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-4,4</w:t>
            </w:r>
          </w:p>
        </w:tc>
        <w:tc>
          <w:tcPr>
            <w:tcW w:w="992" w:type="dxa"/>
            <w:tcBorders>
              <w:top w:val="nil"/>
              <w:left w:val="nil"/>
              <w:bottom w:val="single" w:sz="4" w:space="0" w:color="auto"/>
              <w:right w:val="double" w:sz="6" w:space="0" w:color="auto"/>
            </w:tcBorders>
            <w:shd w:val="clear" w:color="auto" w:fill="auto"/>
            <w:noWrap/>
            <w:vAlign w:val="bottom"/>
            <w:hideMark/>
          </w:tcPr>
          <w:p w14:paraId="3F98EE8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-4,22</w:t>
            </w:r>
          </w:p>
        </w:tc>
      </w:tr>
      <w:tr w:rsidR="00A53AD7" w:rsidRPr="00A53AD7" w14:paraId="0FB5858A" w14:textId="77777777" w:rsidTr="007A4CDE">
        <w:trPr>
          <w:trHeight w:val="441"/>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5B86105B"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Миграционный прирост (+), убыль (-), человек (предварительные данные)</w:t>
            </w:r>
          </w:p>
        </w:tc>
        <w:tc>
          <w:tcPr>
            <w:tcW w:w="1418" w:type="dxa"/>
            <w:tcBorders>
              <w:top w:val="nil"/>
              <w:left w:val="nil"/>
              <w:bottom w:val="single" w:sz="4" w:space="0" w:color="auto"/>
              <w:right w:val="single" w:sz="4" w:space="0" w:color="auto"/>
            </w:tcBorders>
            <w:shd w:val="clear" w:color="auto" w:fill="auto"/>
            <w:vAlign w:val="bottom"/>
            <w:hideMark/>
          </w:tcPr>
          <w:p w14:paraId="412E69B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285 792</w:t>
            </w:r>
          </w:p>
        </w:tc>
        <w:tc>
          <w:tcPr>
            <w:tcW w:w="1237" w:type="dxa"/>
            <w:tcBorders>
              <w:top w:val="nil"/>
              <w:left w:val="nil"/>
              <w:bottom w:val="single" w:sz="4" w:space="0" w:color="auto"/>
              <w:right w:val="single" w:sz="4" w:space="0" w:color="auto"/>
            </w:tcBorders>
            <w:shd w:val="clear" w:color="auto" w:fill="auto"/>
            <w:vAlign w:val="bottom"/>
            <w:hideMark/>
          </w:tcPr>
          <w:p w14:paraId="2C9B937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49 876</w:t>
            </w:r>
          </w:p>
        </w:tc>
        <w:tc>
          <w:tcPr>
            <w:tcW w:w="1227" w:type="dxa"/>
            <w:tcBorders>
              <w:top w:val="nil"/>
              <w:left w:val="nil"/>
              <w:bottom w:val="single" w:sz="4" w:space="0" w:color="auto"/>
              <w:right w:val="single" w:sz="4" w:space="0" w:color="auto"/>
            </w:tcBorders>
            <w:shd w:val="clear" w:color="auto" w:fill="auto"/>
            <w:vAlign w:val="bottom"/>
            <w:hideMark/>
          </w:tcPr>
          <w:p w14:paraId="6773FB5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-3 069</w:t>
            </w:r>
          </w:p>
        </w:tc>
        <w:tc>
          <w:tcPr>
            <w:tcW w:w="992" w:type="dxa"/>
            <w:tcBorders>
              <w:top w:val="nil"/>
              <w:left w:val="nil"/>
              <w:bottom w:val="single" w:sz="4" w:space="0" w:color="auto"/>
              <w:right w:val="double" w:sz="6" w:space="0" w:color="auto"/>
            </w:tcBorders>
            <w:shd w:val="clear" w:color="auto" w:fill="auto"/>
            <w:noWrap/>
            <w:vAlign w:val="bottom"/>
            <w:hideMark/>
          </w:tcPr>
          <w:p w14:paraId="677F0A2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-5 600</w:t>
            </w:r>
          </w:p>
        </w:tc>
      </w:tr>
      <w:tr w:rsidR="00A53AD7" w:rsidRPr="00A53AD7" w14:paraId="00AE6C6F" w14:textId="77777777" w:rsidTr="003B5BDA">
        <w:trPr>
          <w:trHeight w:val="315"/>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41D0ACEA"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Инвестиции в основной капитал (% к предыдущему году)</w:t>
            </w:r>
          </w:p>
        </w:tc>
        <w:tc>
          <w:tcPr>
            <w:tcW w:w="1418" w:type="dxa"/>
            <w:tcBorders>
              <w:top w:val="nil"/>
              <w:left w:val="nil"/>
              <w:bottom w:val="single" w:sz="4" w:space="0" w:color="auto"/>
              <w:right w:val="single" w:sz="4" w:space="0" w:color="auto"/>
            </w:tcBorders>
            <w:shd w:val="clear" w:color="auto" w:fill="auto"/>
            <w:vAlign w:val="bottom"/>
            <w:hideMark/>
          </w:tcPr>
          <w:p w14:paraId="7D86662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101,7</w:t>
            </w:r>
          </w:p>
        </w:tc>
        <w:tc>
          <w:tcPr>
            <w:tcW w:w="1237" w:type="dxa"/>
            <w:tcBorders>
              <w:top w:val="nil"/>
              <w:left w:val="nil"/>
              <w:bottom w:val="single" w:sz="4" w:space="0" w:color="auto"/>
              <w:right w:val="single" w:sz="4" w:space="0" w:color="auto"/>
            </w:tcBorders>
            <w:shd w:val="clear" w:color="auto" w:fill="auto"/>
            <w:vAlign w:val="bottom"/>
            <w:hideMark/>
          </w:tcPr>
          <w:p w14:paraId="280A85A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81,2</w:t>
            </w:r>
          </w:p>
        </w:tc>
        <w:tc>
          <w:tcPr>
            <w:tcW w:w="1227" w:type="dxa"/>
            <w:tcBorders>
              <w:top w:val="nil"/>
              <w:left w:val="nil"/>
              <w:bottom w:val="single" w:sz="4" w:space="0" w:color="auto"/>
              <w:right w:val="single" w:sz="4" w:space="0" w:color="auto"/>
            </w:tcBorders>
            <w:shd w:val="clear" w:color="auto" w:fill="auto"/>
            <w:vAlign w:val="bottom"/>
            <w:hideMark/>
          </w:tcPr>
          <w:p w14:paraId="36B6C95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81,4</w:t>
            </w:r>
          </w:p>
        </w:tc>
        <w:tc>
          <w:tcPr>
            <w:tcW w:w="992" w:type="dxa"/>
            <w:tcBorders>
              <w:top w:val="nil"/>
              <w:left w:val="nil"/>
              <w:bottom w:val="single" w:sz="4" w:space="0" w:color="auto"/>
              <w:right w:val="double" w:sz="6" w:space="0" w:color="auto"/>
            </w:tcBorders>
            <w:shd w:val="clear" w:color="auto" w:fill="auto"/>
            <w:noWrap/>
            <w:vAlign w:val="bottom"/>
            <w:hideMark/>
          </w:tcPr>
          <w:p w14:paraId="1D55D3E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87,0</w:t>
            </w:r>
          </w:p>
        </w:tc>
      </w:tr>
      <w:tr w:rsidR="00A53AD7" w:rsidRPr="00A53AD7" w14:paraId="4C6628AE" w14:textId="77777777" w:rsidTr="003B5BDA">
        <w:trPr>
          <w:trHeight w:val="511"/>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3E827DF2"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Реальные располагаемые доходы населения, % (предварительные данные)</w:t>
            </w:r>
          </w:p>
        </w:tc>
        <w:tc>
          <w:tcPr>
            <w:tcW w:w="1418" w:type="dxa"/>
            <w:tcBorders>
              <w:top w:val="nil"/>
              <w:left w:val="nil"/>
              <w:bottom w:val="single" w:sz="4" w:space="0" w:color="auto"/>
              <w:right w:val="single" w:sz="4" w:space="0" w:color="auto"/>
            </w:tcBorders>
            <w:shd w:val="clear" w:color="auto" w:fill="auto"/>
            <w:vAlign w:val="bottom"/>
            <w:hideMark/>
          </w:tcPr>
          <w:p w14:paraId="2F26796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100,8</w:t>
            </w:r>
          </w:p>
        </w:tc>
        <w:tc>
          <w:tcPr>
            <w:tcW w:w="1237" w:type="dxa"/>
            <w:tcBorders>
              <w:top w:val="nil"/>
              <w:left w:val="nil"/>
              <w:bottom w:val="single" w:sz="4" w:space="0" w:color="auto"/>
              <w:right w:val="single" w:sz="4" w:space="0" w:color="auto"/>
            </w:tcBorders>
            <w:shd w:val="clear" w:color="auto" w:fill="auto"/>
            <w:vAlign w:val="bottom"/>
            <w:hideMark/>
          </w:tcPr>
          <w:p w14:paraId="720CCE4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100,3</w:t>
            </w:r>
          </w:p>
        </w:tc>
        <w:tc>
          <w:tcPr>
            <w:tcW w:w="1227" w:type="dxa"/>
            <w:tcBorders>
              <w:top w:val="nil"/>
              <w:left w:val="nil"/>
              <w:bottom w:val="single" w:sz="4" w:space="0" w:color="auto"/>
              <w:right w:val="single" w:sz="4" w:space="0" w:color="auto"/>
            </w:tcBorders>
            <w:shd w:val="clear" w:color="auto" w:fill="auto"/>
            <w:vAlign w:val="bottom"/>
            <w:hideMark/>
          </w:tcPr>
          <w:p w14:paraId="7052031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98,5</w:t>
            </w:r>
          </w:p>
        </w:tc>
        <w:tc>
          <w:tcPr>
            <w:tcW w:w="992" w:type="dxa"/>
            <w:tcBorders>
              <w:top w:val="nil"/>
              <w:left w:val="nil"/>
              <w:bottom w:val="single" w:sz="4" w:space="0" w:color="auto"/>
              <w:right w:val="double" w:sz="6" w:space="0" w:color="auto"/>
            </w:tcBorders>
            <w:shd w:val="clear" w:color="auto" w:fill="auto"/>
            <w:noWrap/>
            <w:vAlign w:val="bottom"/>
            <w:hideMark/>
          </w:tcPr>
          <w:p w14:paraId="154D2A8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w:t>
            </w:r>
          </w:p>
        </w:tc>
      </w:tr>
      <w:tr w:rsidR="00A53AD7" w:rsidRPr="00A53AD7" w14:paraId="6867A102" w14:textId="77777777" w:rsidTr="003B5BDA">
        <w:trPr>
          <w:trHeight w:val="645"/>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063383AA"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Среднемесячная начисленная (номинальная) заработная плата работников организаций в 2019 году, руб. (оценка)</w:t>
            </w:r>
          </w:p>
        </w:tc>
        <w:tc>
          <w:tcPr>
            <w:tcW w:w="1418" w:type="dxa"/>
            <w:tcBorders>
              <w:top w:val="nil"/>
              <w:left w:val="nil"/>
              <w:bottom w:val="single" w:sz="4" w:space="0" w:color="auto"/>
              <w:right w:val="single" w:sz="4" w:space="0" w:color="auto"/>
            </w:tcBorders>
            <w:shd w:val="clear" w:color="auto" w:fill="auto"/>
            <w:vAlign w:val="bottom"/>
            <w:hideMark/>
          </w:tcPr>
          <w:p w14:paraId="014ECC2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47 468,0</w:t>
            </w:r>
          </w:p>
        </w:tc>
        <w:tc>
          <w:tcPr>
            <w:tcW w:w="1237" w:type="dxa"/>
            <w:tcBorders>
              <w:top w:val="nil"/>
              <w:left w:val="nil"/>
              <w:bottom w:val="single" w:sz="4" w:space="0" w:color="auto"/>
              <w:right w:val="single" w:sz="4" w:space="0" w:color="auto"/>
            </w:tcBorders>
            <w:shd w:val="clear" w:color="auto" w:fill="auto"/>
            <w:vAlign w:val="bottom"/>
            <w:hideMark/>
          </w:tcPr>
          <w:p w14:paraId="46FBB5C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52 649,0</w:t>
            </w:r>
          </w:p>
        </w:tc>
        <w:tc>
          <w:tcPr>
            <w:tcW w:w="1227" w:type="dxa"/>
            <w:tcBorders>
              <w:top w:val="nil"/>
              <w:left w:val="nil"/>
              <w:bottom w:val="single" w:sz="4" w:space="0" w:color="auto"/>
              <w:right w:val="single" w:sz="4" w:space="0" w:color="auto"/>
            </w:tcBorders>
            <w:shd w:val="clear" w:color="auto" w:fill="auto"/>
            <w:vAlign w:val="bottom"/>
            <w:hideMark/>
          </w:tcPr>
          <w:p w14:paraId="4178C46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49 104,1</w:t>
            </w:r>
          </w:p>
        </w:tc>
        <w:tc>
          <w:tcPr>
            <w:tcW w:w="992" w:type="dxa"/>
            <w:tcBorders>
              <w:top w:val="nil"/>
              <w:left w:val="nil"/>
              <w:bottom w:val="single" w:sz="4" w:space="0" w:color="auto"/>
              <w:right w:val="double" w:sz="6" w:space="0" w:color="auto"/>
            </w:tcBorders>
            <w:shd w:val="clear" w:color="auto" w:fill="auto"/>
            <w:noWrap/>
            <w:vAlign w:val="bottom"/>
            <w:hideMark/>
          </w:tcPr>
          <w:p w14:paraId="511331BB" w14:textId="77777777" w:rsidR="003B5BDA" w:rsidRPr="00A53AD7" w:rsidRDefault="003B5BDA" w:rsidP="003B5BDA">
            <w:pPr>
              <w:spacing w:after="0" w:line="240" w:lineRule="auto"/>
              <w:ind w:left="-162" w:right="-54"/>
              <w:jc w:val="right"/>
              <w:rPr>
                <w:rFonts w:ascii="Times New Roman" w:eastAsia="Times New Roman" w:hAnsi="Times New Roman"/>
                <w:lang w:eastAsia="ru-RU"/>
              </w:rPr>
            </w:pPr>
            <w:r w:rsidRPr="00A53AD7">
              <w:rPr>
                <w:rFonts w:ascii="Times New Roman" w:eastAsia="Times New Roman" w:hAnsi="Times New Roman"/>
                <w:lang w:eastAsia="ru-RU"/>
              </w:rPr>
              <w:t>48 379,4</w:t>
            </w:r>
          </w:p>
        </w:tc>
      </w:tr>
      <w:tr w:rsidR="00A53AD7" w:rsidRPr="00A53AD7" w14:paraId="17BE593A" w14:textId="77777777" w:rsidTr="003B5BDA">
        <w:trPr>
          <w:trHeight w:val="250"/>
        </w:trPr>
        <w:tc>
          <w:tcPr>
            <w:tcW w:w="4513" w:type="dxa"/>
            <w:tcBorders>
              <w:top w:val="nil"/>
              <w:left w:val="double" w:sz="6" w:space="0" w:color="auto"/>
              <w:bottom w:val="single" w:sz="4" w:space="0" w:color="auto"/>
              <w:right w:val="single" w:sz="4" w:space="0" w:color="auto"/>
            </w:tcBorders>
            <w:shd w:val="clear" w:color="auto" w:fill="auto"/>
            <w:vAlign w:val="bottom"/>
            <w:hideMark/>
          </w:tcPr>
          <w:p w14:paraId="6A98ADE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номинальная, % к пред. году (оценка)</w:t>
            </w:r>
          </w:p>
        </w:tc>
        <w:tc>
          <w:tcPr>
            <w:tcW w:w="1418" w:type="dxa"/>
            <w:tcBorders>
              <w:top w:val="nil"/>
              <w:left w:val="nil"/>
              <w:bottom w:val="single" w:sz="4" w:space="0" w:color="auto"/>
              <w:right w:val="single" w:sz="4" w:space="0" w:color="auto"/>
            </w:tcBorders>
            <w:shd w:val="clear" w:color="auto" w:fill="auto"/>
            <w:vAlign w:val="bottom"/>
            <w:hideMark/>
          </w:tcPr>
          <w:p w14:paraId="7E54717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107,5</w:t>
            </w:r>
          </w:p>
        </w:tc>
        <w:tc>
          <w:tcPr>
            <w:tcW w:w="1237" w:type="dxa"/>
            <w:tcBorders>
              <w:top w:val="nil"/>
              <w:left w:val="nil"/>
              <w:bottom w:val="single" w:sz="4" w:space="0" w:color="auto"/>
              <w:right w:val="single" w:sz="4" w:space="0" w:color="auto"/>
            </w:tcBorders>
            <w:shd w:val="clear" w:color="auto" w:fill="auto"/>
            <w:vAlign w:val="bottom"/>
            <w:hideMark/>
          </w:tcPr>
          <w:p w14:paraId="08931BA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105,3</w:t>
            </w:r>
          </w:p>
        </w:tc>
        <w:tc>
          <w:tcPr>
            <w:tcW w:w="1227" w:type="dxa"/>
            <w:tcBorders>
              <w:top w:val="nil"/>
              <w:left w:val="nil"/>
              <w:bottom w:val="single" w:sz="4" w:space="0" w:color="auto"/>
              <w:right w:val="single" w:sz="4" w:space="0" w:color="auto"/>
            </w:tcBorders>
            <w:shd w:val="clear" w:color="auto" w:fill="auto"/>
            <w:vAlign w:val="bottom"/>
            <w:hideMark/>
          </w:tcPr>
          <w:p w14:paraId="0E97F17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107,2</w:t>
            </w:r>
          </w:p>
        </w:tc>
        <w:tc>
          <w:tcPr>
            <w:tcW w:w="992" w:type="dxa"/>
            <w:tcBorders>
              <w:top w:val="nil"/>
              <w:left w:val="nil"/>
              <w:bottom w:val="single" w:sz="4" w:space="0" w:color="auto"/>
              <w:right w:val="double" w:sz="6" w:space="0" w:color="auto"/>
            </w:tcBorders>
            <w:shd w:val="clear" w:color="auto" w:fill="auto"/>
            <w:noWrap/>
            <w:vAlign w:val="bottom"/>
            <w:hideMark/>
          </w:tcPr>
          <w:p w14:paraId="761827D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106,5</w:t>
            </w:r>
          </w:p>
        </w:tc>
      </w:tr>
      <w:tr w:rsidR="003B5BDA" w:rsidRPr="00A53AD7" w14:paraId="227AA8CC" w14:textId="77777777" w:rsidTr="000736BD">
        <w:trPr>
          <w:trHeight w:val="124"/>
        </w:trPr>
        <w:tc>
          <w:tcPr>
            <w:tcW w:w="4513" w:type="dxa"/>
            <w:tcBorders>
              <w:top w:val="nil"/>
              <w:left w:val="double" w:sz="6" w:space="0" w:color="auto"/>
              <w:bottom w:val="double" w:sz="6" w:space="0" w:color="auto"/>
              <w:right w:val="single" w:sz="4" w:space="0" w:color="auto"/>
            </w:tcBorders>
            <w:shd w:val="clear" w:color="auto" w:fill="auto"/>
            <w:vAlign w:val="bottom"/>
            <w:hideMark/>
          </w:tcPr>
          <w:p w14:paraId="7C71B6FF"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 реальная, % к пред. году (оценка)</w:t>
            </w:r>
          </w:p>
        </w:tc>
        <w:tc>
          <w:tcPr>
            <w:tcW w:w="1418" w:type="dxa"/>
            <w:tcBorders>
              <w:top w:val="nil"/>
              <w:left w:val="nil"/>
              <w:bottom w:val="double" w:sz="6" w:space="0" w:color="auto"/>
              <w:right w:val="single" w:sz="4" w:space="0" w:color="auto"/>
            </w:tcBorders>
            <w:shd w:val="clear" w:color="auto" w:fill="auto"/>
            <w:vAlign w:val="bottom"/>
            <w:hideMark/>
          </w:tcPr>
          <w:p w14:paraId="318645E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102,9</w:t>
            </w:r>
          </w:p>
        </w:tc>
        <w:tc>
          <w:tcPr>
            <w:tcW w:w="1237" w:type="dxa"/>
            <w:tcBorders>
              <w:top w:val="nil"/>
              <w:left w:val="nil"/>
              <w:bottom w:val="double" w:sz="6" w:space="0" w:color="auto"/>
              <w:right w:val="single" w:sz="4" w:space="0" w:color="auto"/>
            </w:tcBorders>
            <w:shd w:val="clear" w:color="auto" w:fill="auto"/>
            <w:vAlign w:val="bottom"/>
            <w:hideMark/>
          </w:tcPr>
          <w:p w14:paraId="0735878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100,9</w:t>
            </w:r>
          </w:p>
        </w:tc>
        <w:tc>
          <w:tcPr>
            <w:tcW w:w="1227" w:type="dxa"/>
            <w:tcBorders>
              <w:top w:val="nil"/>
              <w:left w:val="nil"/>
              <w:bottom w:val="double" w:sz="6" w:space="0" w:color="auto"/>
              <w:right w:val="single" w:sz="4" w:space="0" w:color="auto"/>
            </w:tcBorders>
            <w:shd w:val="clear" w:color="auto" w:fill="auto"/>
            <w:vAlign w:val="bottom"/>
            <w:hideMark/>
          </w:tcPr>
          <w:p w14:paraId="2B9C947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102,5</w:t>
            </w:r>
          </w:p>
        </w:tc>
        <w:tc>
          <w:tcPr>
            <w:tcW w:w="992" w:type="dxa"/>
            <w:tcBorders>
              <w:top w:val="nil"/>
              <w:left w:val="nil"/>
              <w:bottom w:val="double" w:sz="6" w:space="0" w:color="auto"/>
              <w:right w:val="double" w:sz="6" w:space="0" w:color="auto"/>
            </w:tcBorders>
            <w:shd w:val="clear" w:color="auto" w:fill="auto"/>
            <w:noWrap/>
            <w:vAlign w:val="bottom"/>
            <w:hideMark/>
          </w:tcPr>
          <w:p w14:paraId="30F78373"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х</w:t>
            </w:r>
          </w:p>
        </w:tc>
      </w:tr>
    </w:tbl>
    <w:p w14:paraId="591BC619" w14:textId="77777777" w:rsidR="007A4CDE" w:rsidRPr="00A53AD7" w:rsidRDefault="007A4CDE" w:rsidP="003B5BDA">
      <w:pPr>
        <w:pStyle w:val="ad"/>
        <w:ind w:firstLine="851"/>
        <w:jc w:val="both"/>
        <w:rPr>
          <w:rFonts w:ascii="Times New Roman" w:hAnsi="Times New Roman"/>
          <w:sz w:val="28"/>
          <w:szCs w:val="28"/>
          <w:highlight w:val="cyan"/>
        </w:rPr>
      </w:pPr>
      <w:bookmarkStart w:id="2" w:name="_Toc451785024"/>
      <w:bookmarkStart w:id="3" w:name="_Toc515024199"/>
    </w:p>
    <w:p w14:paraId="56AA61AA" w14:textId="310F6CC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Сравнение темпов развития Архангельской области со среднероссийскими указывает на отставание индексов промышленного производства, инвестиций в основной капитал, объемов продукции сельского хозяйства, объемов работ в строительстве, оборот розничной торговли и реальных денежных доходов; при этом опережающий рост в регионе сложился в части ввода в действие жилых домов</w:t>
      </w:r>
      <w:r w:rsidR="00A5238D" w:rsidRPr="00A53AD7">
        <w:rPr>
          <w:rFonts w:ascii="Times New Roman" w:hAnsi="Times New Roman"/>
          <w:sz w:val="28"/>
          <w:szCs w:val="28"/>
        </w:rPr>
        <w:t xml:space="preserve">, а также незначительный рост </w:t>
      </w:r>
      <w:r w:rsidR="00293BF7" w:rsidRPr="00A53AD7">
        <w:rPr>
          <w:rFonts w:ascii="Times New Roman" w:hAnsi="Times New Roman"/>
          <w:sz w:val="28"/>
          <w:szCs w:val="28"/>
        </w:rPr>
        <w:t>в части индекса потребительских цен</w:t>
      </w:r>
      <w:r w:rsidRPr="00A53AD7">
        <w:rPr>
          <w:rFonts w:ascii="Times New Roman" w:hAnsi="Times New Roman"/>
          <w:sz w:val="28"/>
          <w:szCs w:val="28"/>
        </w:rPr>
        <w:t xml:space="preserve">, что представлено на рисунке </w:t>
      </w:r>
      <w:r w:rsidR="00CD3F1E" w:rsidRPr="00A53AD7">
        <w:rPr>
          <w:rFonts w:ascii="Times New Roman" w:hAnsi="Times New Roman"/>
          <w:sz w:val="28"/>
          <w:szCs w:val="28"/>
        </w:rPr>
        <w:t>1</w:t>
      </w:r>
      <w:r w:rsidRPr="00A53AD7">
        <w:rPr>
          <w:rFonts w:ascii="Times New Roman" w:hAnsi="Times New Roman"/>
          <w:sz w:val="28"/>
          <w:szCs w:val="28"/>
        </w:rPr>
        <w:t>.</w:t>
      </w:r>
    </w:p>
    <w:p w14:paraId="252E3FBA" w14:textId="4FE0A985" w:rsidR="007A4CDE" w:rsidRPr="00A53AD7" w:rsidRDefault="006C38B7" w:rsidP="007A4CDE">
      <w:pPr>
        <w:pStyle w:val="ad"/>
        <w:jc w:val="both"/>
        <w:rPr>
          <w:rFonts w:ascii="Times New Roman" w:hAnsi="Times New Roman"/>
          <w:sz w:val="28"/>
          <w:szCs w:val="28"/>
        </w:rPr>
      </w:pPr>
      <w:r w:rsidRPr="00A53AD7">
        <w:rPr>
          <w:rFonts w:ascii="Times New Roman" w:hAnsi="Times New Roman"/>
          <w:noProof/>
          <w:sz w:val="28"/>
          <w:szCs w:val="28"/>
          <w:lang w:eastAsia="ru-RU"/>
        </w:rPr>
        <w:lastRenderedPageBreak/>
        <w:drawing>
          <wp:inline distT="0" distB="0" distL="0" distR="0" wp14:anchorId="2128A828" wp14:editId="5E544309">
            <wp:extent cx="5993130" cy="3700780"/>
            <wp:effectExtent l="0" t="0" r="762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93130" cy="3700780"/>
                    </a:xfrm>
                    <a:prstGeom prst="rect">
                      <a:avLst/>
                    </a:prstGeom>
                    <a:noFill/>
                  </pic:spPr>
                </pic:pic>
              </a:graphicData>
            </a:graphic>
          </wp:inline>
        </w:drawing>
      </w:r>
    </w:p>
    <w:p w14:paraId="5F741058" w14:textId="5D11FDAF" w:rsidR="003B5BDA" w:rsidRPr="00A53AD7" w:rsidRDefault="007A4CDE" w:rsidP="007A4CDE">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Сравнение темпов изменения основных показателей социально-экономического развития Российской Федерации и Архангельской области в 2019 году (</w:t>
      </w:r>
      <w:r w:rsidRPr="00A53AD7">
        <w:rPr>
          <w:rFonts w:ascii="Times New Roman" w:hAnsi="Times New Roman"/>
          <w:b w:val="0"/>
          <w:sz w:val="24"/>
          <w:szCs w:val="24"/>
        </w:rPr>
        <w:t>в процентах к предыдущему году)</w:t>
      </w:r>
    </w:p>
    <w:p w14:paraId="02A3E5E0" w14:textId="77777777" w:rsidR="003B5BDA" w:rsidRPr="00A53AD7" w:rsidRDefault="003B5BDA" w:rsidP="003B5BDA">
      <w:pPr>
        <w:pStyle w:val="ad"/>
        <w:ind w:firstLine="851"/>
        <w:jc w:val="both"/>
        <w:rPr>
          <w:rFonts w:ascii="Times New Roman" w:hAnsi="Times New Roman"/>
          <w:sz w:val="28"/>
          <w:szCs w:val="28"/>
        </w:rPr>
      </w:pPr>
    </w:p>
    <w:p w14:paraId="3E3F00E8" w14:textId="1BD5F10B" w:rsidR="003E43B3" w:rsidRPr="00A53AD7" w:rsidRDefault="003E43B3" w:rsidP="003E43B3">
      <w:pPr>
        <w:pStyle w:val="ad"/>
        <w:ind w:firstLine="851"/>
        <w:jc w:val="both"/>
        <w:rPr>
          <w:rFonts w:ascii="Times New Roman" w:hAnsi="Times New Roman"/>
          <w:sz w:val="28"/>
          <w:szCs w:val="28"/>
        </w:rPr>
      </w:pPr>
      <w:r w:rsidRPr="00A53AD7">
        <w:rPr>
          <w:rFonts w:ascii="Times New Roman" w:hAnsi="Times New Roman"/>
          <w:sz w:val="28"/>
          <w:szCs w:val="28"/>
        </w:rPr>
        <w:t xml:space="preserve">По итогам 2019 года фактические значения отдельных показателей социально-экономического развития Архангельской области сложились ниже соответствующих прогнозных значений, представленных в Оценке на 2019 год, что представлено на рисунке </w:t>
      </w:r>
      <w:r w:rsidR="00CD3F1E" w:rsidRPr="00A53AD7">
        <w:rPr>
          <w:rFonts w:ascii="Times New Roman" w:hAnsi="Times New Roman"/>
          <w:sz w:val="28"/>
          <w:szCs w:val="28"/>
        </w:rPr>
        <w:t>2</w:t>
      </w:r>
      <w:r w:rsidRPr="00A53AD7">
        <w:rPr>
          <w:rFonts w:ascii="Times New Roman" w:hAnsi="Times New Roman"/>
          <w:sz w:val="28"/>
          <w:szCs w:val="28"/>
        </w:rPr>
        <w:t>:</w:t>
      </w:r>
    </w:p>
    <w:p w14:paraId="4701FBCD" w14:textId="1E6633B0" w:rsidR="003B5BDA" w:rsidRPr="00A53AD7" w:rsidRDefault="006C38B7" w:rsidP="003B5BDA">
      <w:pPr>
        <w:pStyle w:val="ad"/>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21EA17A4" wp14:editId="2C99ABF2">
            <wp:extent cx="5836920" cy="322166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40301" cy="3223531"/>
                    </a:xfrm>
                    <a:prstGeom prst="rect">
                      <a:avLst/>
                    </a:prstGeom>
                    <a:noFill/>
                  </pic:spPr>
                </pic:pic>
              </a:graphicData>
            </a:graphic>
          </wp:inline>
        </w:drawing>
      </w:r>
    </w:p>
    <w:bookmarkEnd w:id="2"/>
    <w:bookmarkEnd w:id="3"/>
    <w:p w14:paraId="3225BC4B" w14:textId="28C7C818" w:rsidR="003B5BDA" w:rsidRPr="00A53AD7" w:rsidRDefault="003B5BDA" w:rsidP="003B5BDA">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2</w:t>
      </w:r>
      <w:r w:rsidRPr="00A53AD7">
        <w:rPr>
          <w:rFonts w:ascii="Times New Roman" w:hAnsi="Times New Roman"/>
          <w:sz w:val="24"/>
          <w:szCs w:val="24"/>
        </w:rPr>
        <w:fldChar w:fldCharType="end"/>
      </w:r>
      <w:r w:rsidRPr="00A53AD7">
        <w:rPr>
          <w:rFonts w:ascii="Times New Roman" w:hAnsi="Times New Roman"/>
          <w:sz w:val="24"/>
          <w:szCs w:val="24"/>
        </w:rPr>
        <w:t>. Отклонение основных социально-экономических показателей</w:t>
      </w:r>
    </w:p>
    <w:p w14:paraId="13540F2C" w14:textId="77777777" w:rsidR="0005727E" w:rsidRPr="00A53AD7" w:rsidRDefault="0005727E" w:rsidP="00293BF7">
      <w:pPr>
        <w:pStyle w:val="ad"/>
        <w:ind w:firstLine="851"/>
        <w:jc w:val="both"/>
        <w:rPr>
          <w:rFonts w:ascii="Times New Roman" w:hAnsi="Times New Roman"/>
          <w:sz w:val="28"/>
          <w:szCs w:val="28"/>
        </w:rPr>
      </w:pPr>
    </w:p>
    <w:p w14:paraId="6CB55466" w14:textId="4B5C8879" w:rsidR="003B5BDA" w:rsidRPr="00A53AD7" w:rsidRDefault="003B5BDA" w:rsidP="00293BF7">
      <w:pPr>
        <w:pStyle w:val="ad"/>
        <w:ind w:firstLine="851"/>
        <w:jc w:val="both"/>
        <w:rPr>
          <w:rFonts w:ascii="Times New Roman" w:hAnsi="Times New Roman"/>
          <w:sz w:val="28"/>
          <w:szCs w:val="28"/>
        </w:rPr>
      </w:pPr>
      <w:r w:rsidRPr="00A53AD7">
        <w:rPr>
          <w:rFonts w:ascii="Times New Roman" w:hAnsi="Times New Roman"/>
          <w:sz w:val="28"/>
          <w:szCs w:val="28"/>
        </w:rPr>
        <w:lastRenderedPageBreak/>
        <w:t xml:space="preserve">Так фактические (предварительные) показатели </w:t>
      </w:r>
      <w:r w:rsidR="00293BF7" w:rsidRPr="00A53AD7">
        <w:rPr>
          <w:rFonts w:ascii="Times New Roman" w:hAnsi="Times New Roman"/>
          <w:sz w:val="28"/>
          <w:szCs w:val="28"/>
        </w:rPr>
        <w:t>в части и</w:t>
      </w:r>
      <w:r w:rsidRPr="00A53AD7">
        <w:rPr>
          <w:rFonts w:ascii="Times New Roman" w:hAnsi="Times New Roman"/>
          <w:sz w:val="28"/>
          <w:szCs w:val="28"/>
        </w:rPr>
        <w:t>нвестици</w:t>
      </w:r>
      <w:r w:rsidR="00293BF7" w:rsidRPr="00A53AD7">
        <w:rPr>
          <w:rFonts w:ascii="Times New Roman" w:hAnsi="Times New Roman"/>
          <w:sz w:val="28"/>
          <w:szCs w:val="28"/>
        </w:rPr>
        <w:t>й</w:t>
      </w:r>
      <w:r w:rsidRPr="00A53AD7">
        <w:rPr>
          <w:rFonts w:ascii="Times New Roman" w:hAnsi="Times New Roman"/>
          <w:sz w:val="28"/>
          <w:szCs w:val="28"/>
        </w:rPr>
        <w:t xml:space="preserve"> в основной капитал и </w:t>
      </w:r>
      <w:r w:rsidR="00293BF7" w:rsidRPr="00A53AD7">
        <w:rPr>
          <w:rFonts w:ascii="Times New Roman" w:hAnsi="Times New Roman"/>
          <w:sz w:val="28"/>
          <w:szCs w:val="28"/>
        </w:rPr>
        <w:t>о</w:t>
      </w:r>
      <w:r w:rsidRPr="00A53AD7">
        <w:rPr>
          <w:rFonts w:ascii="Times New Roman" w:hAnsi="Times New Roman"/>
          <w:sz w:val="28"/>
          <w:szCs w:val="28"/>
        </w:rPr>
        <w:t>бъем</w:t>
      </w:r>
      <w:r w:rsidR="00293BF7" w:rsidRPr="00A53AD7">
        <w:rPr>
          <w:rFonts w:ascii="Times New Roman" w:hAnsi="Times New Roman"/>
          <w:sz w:val="28"/>
          <w:szCs w:val="28"/>
        </w:rPr>
        <w:t>а</w:t>
      </w:r>
      <w:r w:rsidRPr="00A53AD7">
        <w:rPr>
          <w:rFonts w:ascii="Times New Roman" w:hAnsi="Times New Roman"/>
          <w:sz w:val="28"/>
          <w:szCs w:val="28"/>
        </w:rPr>
        <w:t xml:space="preserve"> работ в строительстве существенно ниже </w:t>
      </w:r>
      <w:r w:rsidR="00293BF7" w:rsidRPr="00A53AD7">
        <w:rPr>
          <w:rFonts w:ascii="Times New Roman" w:hAnsi="Times New Roman"/>
          <w:sz w:val="28"/>
          <w:szCs w:val="28"/>
        </w:rPr>
        <w:t>о</w:t>
      </w:r>
      <w:r w:rsidRPr="00A53AD7">
        <w:rPr>
          <w:rFonts w:ascii="Times New Roman" w:hAnsi="Times New Roman"/>
          <w:sz w:val="28"/>
          <w:szCs w:val="28"/>
        </w:rPr>
        <w:t>жидаемых показателей на 5,6 п.п. и на 8,7 п.п., соответственно.</w:t>
      </w:r>
    </w:p>
    <w:p w14:paraId="0373AE04" w14:textId="77777777" w:rsidR="003B5BDA" w:rsidRPr="00A53AD7" w:rsidRDefault="003B5BDA" w:rsidP="003B5BDA">
      <w:pPr>
        <w:pStyle w:val="2"/>
        <w:spacing w:before="120" w:after="0" w:line="240" w:lineRule="auto"/>
        <w:jc w:val="center"/>
        <w:rPr>
          <w:rFonts w:ascii="Times New Roman" w:hAnsi="Times New Roman"/>
          <w:lang w:val="ru-RU"/>
        </w:rPr>
      </w:pPr>
      <w:bookmarkStart w:id="4" w:name="_Toc9262552"/>
      <w:bookmarkStart w:id="5" w:name="_Toc42006702"/>
      <w:r w:rsidRPr="00A53AD7">
        <w:rPr>
          <w:rFonts w:ascii="Times New Roman" w:hAnsi="Times New Roman"/>
          <w:lang w:val="ru-RU"/>
        </w:rPr>
        <w:t>1.1. Индекс промышленного производства</w:t>
      </w:r>
      <w:bookmarkEnd w:id="4"/>
      <w:bookmarkEnd w:id="5"/>
    </w:p>
    <w:p w14:paraId="75C1B5D6" w14:textId="14944E35" w:rsidR="00EF186A" w:rsidRPr="00A53AD7" w:rsidRDefault="00EF186A" w:rsidP="00EF186A">
      <w:pPr>
        <w:pStyle w:val="ad"/>
        <w:ind w:firstLine="851"/>
        <w:jc w:val="both"/>
        <w:rPr>
          <w:rFonts w:ascii="Times New Roman" w:hAnsi="Times New Roman"/>
          <w:sz w:val="28"/>
          <w:szCs w:val="28"/>
        </w:rPr>
      </w:pPr>
      <w:r w:rsidRPr="00A53AD7">
        <w:rPr>
          <w:rFonts w:ascii="Times New Roman" w:hAnsi="Times New Roman"/>
          <w:sz w:val="28"/>
          <w:szCs w:val="28"/>
        </w:rPr>
        <w:t>В 2019 году индекс промышленного производства по СЗФО демонстрирует положительные значения и превышает показатели Архангельской области на 2,6 п.п.</w:t>
      </w:r>
    </w:p>
    <w:p w14:paraId="07E784BB" w14:textId="52EA2500" w:rsidR="003B5BDA" w:rsidRPr="00A53AD7" w:rsidRDefault="00293BF7" w:rsidP="003B5BDA">
      <w:pPr>
        <w:pStyle w:val="ad"/>
        <w:ind w:firstLine="851"/>
        <w:jc w:val="both"/>
        <w:rPr>
          <w:rFonts w:ascii="Times New Roman" w:hAnsi="Times New Roman"/>
          <w:sz w:val="28"/>
          <w:szCs w:val="28"/>
        </w:rPr>
      </w:pPr>
      <w:r w:rsidRPr="00A53AD7">
        <w:rPr>
          <w:rFonts w:ascii="Times New Roman" w:hAnsi="Times New Roman"/>
          <w:sz w:val="28"/>
          <w:szCs w:val="28"/>
        </w:rPr>
        <w:t>Вместе с тем, с</w:t>
      </w:r>
      <w:r w:rsidR="003B5BDA" w:rsidRPr="00A53AD7">
        <w:rPr>
          <w:rFonts w:ascii="Times New Roman" w:hAnsi="Times New Roman"/>
          <w:sz w:val="28"/>
          <w:szCs w:val="28"/>
        </w:rPr>
        <w:t>огласно предварительным статистическим данным положительная динамика индексов промышленного производства в 2019 году к 2018 году установлена практически во всех регионах СЗФО, кроме Ненецкого автономного округа – 97,8 % и Республики Карелия – 99,0 %.</w:t>
      </w:r>
    </w:p>
    <w:p w14:paraId="57DBB307" w14:textId="06F8351F"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Наиболее высокий индекс промышленного производства по СЗФО к уровню 2018 года сложился</w:t>
      </w:r>
      <w:r w:rsidR="00E90FEC" w:rsidRPr="00A53AD7">
        <w:rPr>
          <w:rFonts w:ascii="Times New Roman" w:hAnsi="Times New Roman"/>
          <w:sz w:val="28"/>
          <w:szCs w:val="28"/>
        </w:rPr>
        <w:t xml:space="preserve"> в следующих регионах</w:t>
      </w:r>
      <w:r w:rsidRPr="00A53AD7">
        <w:rPr>
          <w:rFonts w:ascii="Times New Roman" w:hAnsi="Times New Roman"/>
          <w:sz w:val="28"/>
          <w:szCs w:val="28"/>
        </w:rPr>
        <w:t>: г. Санкт-Петербург – 104,8 %, Ленинградская область – 104,6 %, Мурманская область – 104,5 %; Псковская область – 104,1 %.</w:t>
      </w:r>
    </w:p>
    <w:p w14:paraId="226FFD1E" w14:textId="5EB0B9FD"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индекса промышленного производства Архангельской области </w:t>
      </w:r>
      <w:r w:rsidR="00E33321" w:rsidRPr="00A53AD7">
        <w:rPr>
          <w:rFonts w:ascii="Times New Roman" w:hAnsi="Times New Roman"/>
          <w:sz w:val="28"/>
          <w:szCs w:val="28"/>
        </w:rPr>
        <w:t xml:space="preserve">(без НАО) </w:t>
      </w:r>
      <w:r w:rsidRPr="00A53AD7">
        <w:rPr>
          <w:rFonts w:ascii="Times New Roman" w:hAnsi="Times New Roman"/>
          <w:sz w:val="28"/>
          <w:szCs w:val="28"/>
        </w:rPr>
        <w:t>за ряд лет (агрегированный индекс производства по видам экономической деятельности) представлена на рисунке</w:t>
      </w:r>
      <w:r w:rsidR="00CD3F1E" w:rsidRPr="00A53AD7">
        <w:rPr>
          <w:rFonts w:ascii="Times New Roman" w:hAnsi="Times New Roman"/>
          <w:sz w:val="28"/>
          <w:szCs w:val="28"/>
        </w:rPr>
        <w:t xml:space="preserve"> 3</w:t>
      </w:r>
      <w:r w:rsidRPr="00A53AD7">
        <w:rPr>
          <w:rFonts w:ascii="Times New Roman" w:hAnsi="Times New Roman"/>
          <w:sz w:val="28"/>
          <w:szCs w:val="28"/>
        </w:rPr>
        <w:t>.</w:t>
      </w:r>
    </w:p>
    <w:p w14:paraId="3D4E3F1E" w14:textId="7298E873" w:rsidR="003B5BDA" w:rsidRPr="00A53AD7" w:rsidRDefault="00E90FEC" w:rsidP="00E90FEC">
      <w:pPr>
        <w:pStyle w:val="ad"/>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17E9041" wp14:editId="1B4016B6">
            <wp:extent cx="5033489" cy="2826327"/>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4728" cy="2843868"/>
                    </a:xfrm>
                    <a:prstGeom prst="rect">
                      <a:avLst/>
                    </a:prstGeom>
                    <a:noFill/>
                  </pic:spPr>
                </pic:pic>
              </a:graphicData>
            </a:graphic>
          </wp:inline>
        </w:drawing>
      </w:r>
    </w:p>
    <w:p w14:paraId="7DD825DB" w14:textId="30A50B53" w:rsidR="003B5BDA" w:rsidRPr="00A53AD7" w:rsidRDefault="003B5BDA" w:rsidP="003B5BDA">
      <w:pPr>
        <w:spacing w:after="0" w:line="240" w:lineRule="auto"/>
        <w:rPr>
          <w:rFonts w:ascii="Times New Roman" w:hAnsi="Times New Roman"/>
          <w:sz w:val="28"/>
          <w:szCs w:val="28"/>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w:t>
      </w:r>
      <w:r w:rsidRPr="00A53AD7">
        <w:rPr>
          <w:rFonts w:ascii="Times New Roman" w:hAnsi="Times New Roman"/>
          <w:sz w:val="24"/>
          <w:szCs w:val="24"/>
        </w:rPr>
        <w:fldChar w:fldCharType="end"/>
      </w:r>
      <w:r w:rsidRPr="00A53AD7">
        <w:rPr>
          <w:rFonts w:ascii="Times New Roman" w:hAnsi="Times New Roman"/>
          <w:sz w:val="24"/>
          <w:szCs w:val="24"/>
        </w:rPr>
        <w:t>. Динамика индекса промышленного производства Архангельской области (</w:t>
      </w:r>
      <w:r w:rsidR="00E90FEC" w:rsidRPr="00A53AD7">
        <w:rPr>
          <w:rFonts w:ascii="Times New Roman" w:hAnsi="Times New Roman"/>
          <w:sz w:val="24"/>
          <w:szCs w:val="24"/>
        </w:rPr>
        <w:t>в процентах к предыдущему году)</w:t>
      </w:r>
    </w:p>
    <w:p w14:paraId="68313918" w14:textId="77777777" w:rsidR="003B5BDA" w:rsidRPr="00A53AD7" w:rsidRDefault="003B5BDA" w:rsidP="003B5BDA">
      <w:pPr>
        <w:pStyle w:val="ad"/>
        <w:ind w:firstLine="851"/>
        <w:jc w:val="both"/>
        <w:rPr>
          <w:rFonts w:ascii="Times New Roman" w:hAnsi="Times New Roman"/>
          <w:sz w:val="24"/>
          <w:szCs w:val="24"/>
        </w:rPr>
      </w:pPr>
    </w:p>
    <w:p w14:paraId="3365C5A9" w14:textId="3A16E80A" w:rsidR="00606B95" w:rsidRPr="00A53AD7" w:rsidRDefault="00606B95" w:rsidP="00606B95">
      <w:pPr>
        <w:pStyle w:val="ad"/>
        <w:ind w:firstLine="851"/>
        <w:jc w:val="both"/>
        <w:rPr>
          <w:rFonts w:ascii="Times New Roman" w:hAnsi="Times New Roman"/>
          <w:sz w:val="28"/>
          <w:szCs w:val="28"/>
        </w:rPr>
      </w:pPr>
      <w:r w:rsidRPr="00A53AD7">
        <w:rPr>
          <w:rFonts w:ascii="Times New Roman" w:hAnsi="Times New Roman"/>
          <w:sz w:val="28"/>
          <w:szCs w:val="28"/>
        </w:rPr>
        <w:t xml:space="preserve">Сложившаяся динамика индекса промышленного производства Архангельской области указывает на незначительный рост к предыдущему году, при этом сложившийся показатель ниже ожидаемого и ниже </w:t>
      </w:r>
      <w:r w:rsidR="00624B9A" w:rsidRPr="00A53AD7">
        <w:rPr>
          <w:rFonts w:ascii="Times New Roman" w:hAnsi="Times New Roman"/>
          <w:sz w:val="28"/>
          <w:szCs w:val="28"/>
        </w:rPr>
        <w:t>показателя</w:t>
      </w:r>
      <w:r w:rsidRPr="00A53AD7">
        <w:rPr>
          <w:rFonts w:ascii="Times New Roman" w:hAnsi="Times New Roman"/>
          <w:sz w:val="28"/>
          <w:szCs w:val="28"/>
        </w:rPr>
        <w:t xml:space="preserve"> 2018 год</w:t>
      </w:r>
      <w:r w:rsidR="00624B9A" w:rsidRPr="00A53AD7">
        <w:rPr>
          <w:rFonts w:ascii="Times New Roman" w:hAnsi="Times New Roman"/>
          <w:sz w:val="28"/>
          <w:szCs w:val="28"/>
        </w:rPr>
        <w:t>а</w:t>
      </w:r>
      <w:r w:rsidRPr="00A53AD7">
        <w:rPr>
          <w:rFonts w:ascii="Times New Roman" w:hAnsi="Times New Roman"/>
          <w:sz w:val="28"/>
          <w:szCs w:val="28"/>
        </w:rPr>
        <w:t xml:space="preserve"> на 0,4 п.п. Темпы роста промышленного производства Архангельской области в отчетном году ниже средних показателей по СЗФО (103,1 %) и РФ (102,4 %).</w:t>
      </w:r>
    </w:p>
    <w:p w14:paraId="196D8F31" w14:textId="6758DDEE" w:rsidR="00624B9A" w:rsidRPr="00A53AD7" w:rsidRDefault="00624B9A" w:rsidP="00624B9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индексов промышленного производства в 2019 году к предыдущему году в разрезе видов экономической деятельности по РФ, СЗФО и Архангельской области (уточненные данные) представлена в таблице </w:t>
      </w:r>
      <w:r w:rsidR="00CD3F1E" w:rsidRPr="00A53AD7">
        <w:rPr>
          <w:rFonts w:ascii="Times New Roman" w:hAnsi="Times New Roman"/>
          <w:sz w:val="28"/>
          <w:szCs w:val="28"/>
        </w:rPr>
        <w:t>2</w:t>
      </w:r>
      <w:r w:rsidRPr="00A53AD7">
        <w:rPr>
          <w:rFonts w:ascii="Times New Roman" w:hAnsi="Times New Roman"/>
          <w:sz w:val="28"/>
          <w:szCs w:val="28"/>
        </w:rPr>
        <w:t>:</w:t>
      </w:r>
    </w:p>
    <w:p w14:paraId="391D4B09" w14:textId="77777777" w:rsidR="003B5BDA" w:rsidRPr="00A53AD7" w:rsidRDefault="003B5BDA" w:rsidP="003B5BDA">
      <w:pPr>
        <w:pStyle w:val="ad"/>
        <w:ind w:firstLine="851"/>
        <w:jc w:val="both"/>
        <w:rPr>
          <w:rFonts w:ascii="Times New Roman" w:hAnsi="Times New Roman"/>
          <w:sz w:val="24"/>
          <w:szCs w:val="24"/>
          <w:highlight w:val="cyan"/>
        </w:rPr>
      </w:pPr>
    </w:p>
    <w:p w14:paraId="33D45EB4" w14:textId="7FAA5E49" w:rsidR="003B5BDA" w:rsidRPr="00A53AD7" w:rsidRDefault="00E56C34" w:rsidP="00E56C34">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lastRenderedPageBreak/>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Динамика индексов промышленного производства в 2019 году в разрезе отдельных видов экономической деятельности</w:t>
      </w:r>
    </w:p>
    <w:tbl>
      <w:tblPr>
        <w:tblW w:w="9332" w:type="dxa"/>
        <w:tblLayout w:type="fixed"/>
        <w:tblLook w:val="04A0" w:firstRow="1" w:lastRow="0" w:firstColumn="1" w:lastColumn="0" w:noHBand="0" w:noVBand="1"/>
      </w:tblPr>
      <w:tblGrid>
        <w:gridCol w:w="491"/>
        <w:gridCol w:w="5865"/>
        <w:gridCol w:w="1275"/>
        <w:gridCol w:w="851"/>
        <w:gridCol w:w="850"/>
      </w:tblGrid>
      <w:tr w:rsidR="00A53AD7" w:rsidRPr="00A53AD7" w14:paraId="595831C7" w14:textId="77777777" w:rsidTr="00E56C34">
        <w:trPr>
          <w:trHeight w:val="387"/>
        </w:trPr>
        <w:tc>
          <w:tcPr>
            <w:tcW w:w="6356" w:type="dxa"/>
            <w:gridSpan w:val="2"/>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541EF56"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Вид экономической деятельности</w:t>
            </w:r>
          </w:p>
        </w:tc>
        <w:tc>
          <w:tcPr>
            <w:tcW w:w="2976" w:type="dxa"/>
            <w:gridSpan w:val="3"/>
            <w:tcBorders>
              <w:top w:val="double" w:sz="6" w:space="0" w:color="auto"/>
              <w:left w:val="nil"/>
              <w:bottom w:val="single" w:sz="4" w:space="0" w:color="auto"/>
              <w:right w:val="double" w:sz="6" w:space="0" w:color="000000"/>
            </w:tcBorders>
            <w:shd w:val="clear" w:color="auto" w:fill="auto"/>
            <w:vAlign w:val="center"/>
            <w:hideMark/>
          </w:tcPr>
          <w:p w14:paraId="7D87AF2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Темпы роста к предыдущему году, %</w:t>
            </w:r>
          </w:p>
        </w:tc>
      </w:tr>
      <w:tr w:rsidR="00A53AD7" w:rsidRPr="00A53AD7" w14:paraId="481B0794" w14:textId="77777777" w:rsidTr="00E56C34">
        <w:trPr>
          <w:trHeight w:val="267"/>
        </w:trPr>
        <w:tc>
          <w:tcPr>
            <w:tcW w:w="6356" w:type="dxa"/>
            <w:gridSpan w:val="2"/>
            <w:vMerge/>
            <w:tcBorders>
              <w:top w:val="double" w:sz="6" w:space="0" w:color="auto"/>
              <w:left w:val="double" w:sz="6" w:space="0" w:color="auto"/>
              <w:bottom w:val="single" w:sz="4" w:space="0" w:color="auto"/>
              <w:right w:val="single" w:sz="4" w:space="0" w:color="auto"/>
            </w:tcBorders>
            <w:vAlign w:val="center"/>
            <w:hideMark/>
          </w:tcPr>
          <w:p w14:paraId="277A96CE" w14:textId="77777777" w:rsidR="003B5BDA" w:rsidRPr="00A53AD7" w:rsidRDefault="003B5BDA" w:rsidP="003B5BDA">
            <w:pPr>
              <w:spacing w:after="0" w:line="240" w:lineRule="auto"/>
              <w:rPr>
                <w:rFonts w:ascii="Times New Roman" w:eastAsia="Times New Roman" w:hAnsi="Times New Roman"/>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24F82BD0"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Архангельская обл.</w:t>
            </w:r>
          </w:p>
        </w:tc>
        <w:tc>
          <w:tcPr>
            <w:tcW w:w="851" w:type="dxa"/>
            <w:tcBorders>
              <w:top w:val="nil"/>
              <w:left w:val="nil"/>
              <w:bottom w:val="single" w:sz="4" w:space="0" w:color="auto"/>
              <w:right w:val="single" w:sz="4" w:space="0" w:color="auto"/>
            </w:tcBorders>
            <w:shd w:val="clear" w:color="auto" w:fill="auto"/>
            <w:vAlign w:val="center"/>
            <w:hideMark/>
          </w:tcPr>
          <w:p w14:paraId="5FB58F45" w14:textId="0D03C318"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r w:rsidR="00C37AFD" w:rsidRPr="00A53AD7">
              <w:rPr>
                <w:rStyle w:val="afff1"/>
                <w:rFonts w:ascii="Times New Roman" w:eastAsia="Times New Roman" w:hAnsi="Times New Roman"/>
                <w:lang w:eastAsia="ru-RU"/>
              </w:rPr>
              <w:footnoteReference w:id="3"/>
            </w:r>
          </w:p>
        </w:tc>
        <w:tc>
          <w:tcPr>
            <w:tcW w:w="850" w:type="dxa"/>
            <w:tcBorders>
              <w:top w:val="nil"/>
              <w:left w:val="nil"/>
              <w:bottom w:val="single" w:sz="4" w:space="0" w:color="auto"/>
              <w:right w:val="double" w:sz="6" w:space="0" w:color="auto"/>
            </w:tcBorders>
            <w:shd w:val="clear" w:color="auto" w:fill="auto"/>
            <w:vAlign w:val="center"/>
            <w:hideMark/>
          </w:tcPr>
          <w:p w14:paraId="5346398F"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r>
      <w:tr w:rsidR="00A53AD7" w:rsidRPr="00A53AD7" w14:paraId="44CDF68B" w14:textId="77777777" w:rsidTr="00E56C34">
        <w:trPr>
          <w:trHeight w:hRule="exact" w:val="255"/>
        </w:trPr>
        <w:tc>
          <w:tcPr>
            <w:tcW w:w="6356" w:type="dxa"/>
            <w:gridSpan w:val="2"/>
            <w:tcBorders>
              <w:top w:val="single" w:sz="4" w:space="0" w:color="auto"/>
              <w:left w:val="double" w:sz="6" w:space="0" w:color="auto"/>
              <w:bottom w:val="single" w:sz="4" w:space="0" w:color="auto"/>
              <w:right w:val="single" w:sz="4" w:space="0" w:color="auto"/>
            </w:tcBorders>
            <w:shd w:val="clear" w:color="auto" w:fill="auto"/>
            <w:noWrap/>
            <w:vAlign w:val="bottom"/>
            <w:hideMark/>
          </w:tcPr>
          <w:p w14:paraId="4FFE906E"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Индекс промышленного производства, всего</w:t>
            </w:r>
          </w:p>
        </w:tc>
        <w:tc>
          <w:tcPr>
            <w:tcW w:w="1275" w:type="dxa"/>
            <w:tcBorders>
              <w:top w:val="nil"/>
              <w:left w:val="nil"/>
              <w:bottom w:val="single" w:sz="4" w:space="0" w:color="auto"/>
              <w:right w:val="single" w:sz="4" w:space="0" w:color="auto"/>
            </w:tcBorders>
            <w:shd w:val="clear" w:color="auto" w:fill="auto"/>
            <w:noWrap/>
            <w:vAlign w:val="bottom"/>
            <w:hideMark/>
          </w:tcPr>
          <w:p w14:paraId="73F7B9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100,5</w:t>
            </w:r>
          </w:p>
        </w:tc>
        <w:tc>
          <w:tcPr>
            <w:tcW w:w="851" w:type="dxa"/>
            <w:tcBorders>
              <w:top w:val="nil"/>
              <w:left w:val="nil"/>
              <w:bottom w:val="single" w:sz="4" w:space="0" w:color="auto"/>
              <w:right w:val="single" w:sz="4" w:space="0" w:color="auto"/>
            </w:tcBorders>
            <w:shd w:val="clear" w:color="auto" w:fill="auto"/>
            <w:noWrap/>
            <w:vAlign w:val="bottom"/>
            <w:hideMark/>
          </w:tcPr>
          <w:p w14:paraId="019D18B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c>
          <w:tcPr>
            <w:tcW w:w="850" w:type="dxa"/>
            <w:tcBorders>
              <w:top w:val="nil"/>
              <w:left w:val="nil"/>
              <w:bottom w:val="single" w:sz="4" w:space="0" w:color="auto"/>
              <w:right w:val="double" w:sz="6" w:space="0" w:color="auto"/>
            </w:tcBorders>
            <w:shd w:val="clear" w:color="auto" w:fill="auto"/>
            <w:noWrap/>
            <w:vAlign w:val="bottom"/>
            <w:hideMark/>
          </w:tcPr>
          <w:p w14:paraId="02CB1AC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102,4</w:t>
            </w:r>
          </w:p>
        </w:tc>
      </w:tr>
      <w:tr w:rsidR="00A53AD7" w:rsidRPr="00A53AD7" w14:paraId="332CBBC6"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2C77F9B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w:t>
            </w:r>
          </w:p>
        </w:tc>
        <w:tc>
          <w:tcPr>
            <w:tcW w:w="5865" w:type="dxa"/>
            <w:tcBorders>
              <w:top w:val="nil"/>
              <w:left w:val="nil"/>
              <w:bottom w:val="single" w:sz="4" w:space="0" w:color="auto"/>
              <w:right w:val="single" w:sz="4" w:space="0" w:color="auto"/>
            </w:tcBorders>
            <w:shd w:val="clear" w:color="auto" w:fill="auto"/>
            <w:vAlign w:val="bottom"/>
            <w:hideMark/>
          </w:tcPr>
          <w:p w14:paraId="11B3AA1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1275" w:type="dxa"/>
            <w:tcBorders>
              <w:top w:val="nil"/>
              <w:left w:val="nil"/>
              <w:bottom w:val="single" w:sz="4" w:space="0" w:color="auto"/>
              <w:right w:val="single" w:sz="4" w:space="0" w:color="auto"/>
            </w:tcBorders>
            <w:shd w:val="clear" w:color="auto" w:fill="auto"/>
            <w:noWrap/>
            <w:vAlign w:val="bottom"/>
            <w:hideMark/>
          </w:tcPr>
          <w:p w14:paraId="3490E83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115,3</w:t>
            </w:r>
          </w:p>
        </w:tc>
        <w:tc>
          <w:tcPr>
            <w:tcW w:w="851" w:type="dxa"/>
            <w:tcBorders>
              <w:top w:val="nil"/>
              <w:left w:val="nil"/>
              <w:bottom w:val="single" w:sz="4" w:space="0" w:color="auto"/>
              <w:right w:val="single" w:sz="4" w:space="0" w:color="auto"/>
            </w:tcBorders>
            <w:shd w:val="clear" w:color="auto" w:fill="auto"/>
            <w:noWrap/>
            <w:vAlign w:val="bottom"/>
            <w:hideMark/>
          </w:tcPr>
          <w:p w14:paraId="3629076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100,5</w:t>
            </w:r>
          </w:p>
        </w:tc>
        <w:tc>
          <w:tcPr>
            <w:tcW w:w="850" w:type="dxa"/>
            <w:tcBorders>
              <w:top w:val="nil"/>
              <w:left w:val="nil"/>
              <w:bottom w:val="single" w:sz="4" w:space="0" w:color="auto"/>
              <w:right w:val="double" w:sz="6" w:space="0" w:color="auto"/>
            </w:tcBorders>
            <w:shd w:val="clear" w:color="auto" w:fill="auto"/>
            <w:noWrap/>
            <w:vAlign w:val="bottom"/>
            <w:hideMark/>
          </w:tcPr>
          <w:p w14:paraId="5F0DE59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r>
      <w:tr w:rsidR="00A53AD7" w:rsidRPr="00A53AD7" w14:paraId="58B7FE0E"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562C7B7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w:t>
            </w:r>
          </w:p>
        </w:tc>
        <w:tc>
          <w:tcPr>
            <w:tcW w:w="5865" w:type="dxa"/>
            <w:tcBorders>
              <w:top w:val="nil"/>
              <w:left w:val="nil"/>
              <w:bottom w:val="single" w:sz="4" w:space="0" w:color="auto"/>
              <w:right w:val="single" w:sz="4" w:space="0" w:color="auto"/>
            </w:tcBorders>
            <w:shd w:val="clear" w:color="auto" w:fill="auto"/>
            <w:vAlign w:val="bottom"/>
            <w:hideMark/>
          </w:tcPr>
          <w:p w14:paraId="03884FBB"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w:t>
            </w:r>
          </w:p>
        </w:tc>
        <w:tc>
          <w:tcPr>
            <w:tcW w:w="1275" w:type="dxa"/>
            <w:tcBorders>
              <w:top w:val="nil"/>
              <w:left w:val="nil"/>
              <w:bottom w:val="single" w:sz="4" w:space="0" w:color="auto"/>
              <w:right w:val="single" w:sz="4" w:space="0" w:color="auto"/>
            </w:tcBorders>
            <w:shd w:val="clear" w:color="auto" w:fill="auto"/>
            <w:noWrap/>
            <w:vAlign w:val="bottom"/>
            <w:hideMark/>
          </w:tcPr>
          <w:p w14:paraId="1F677CD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97,9</w:t>
            </w:r>
          </w:p>
        </w:tc>
        <w:tc>
          <w:tcPr>
            <w:tcW w:w="851" w:type="dxa"/>
            <w:tcBorders>
              <w:top w:val="nil"/>
              <w:left w:val="nil"/>
              <w:bottom w:val="single" w:sz="4" w:space="0" w:color="auto"/>
              <w:right w:val="single" w:sz="4" w:space="0" w:color="auto"/>
            </w:tcBorders>
            <w:shd w:val="clear" w:color="auto" w:fill="auto"/>
            <w:noWrap/>
            <w:vAlign w:val="bottom"/>
            <w:hideMark/>
          </w:tcPr>
          <w:p w14:paraId="602C4D7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103,6</w:t>
            </w:r>
          </w:p>
        </w:tc>
        <w:tc>
          <w:tcPr>
            <w:tcW w:w="850" w:type="dxa"/>
            <w:tcBorders>
              <w:top w:val="nil"/>
              <w:left w:val="nil"/>
              <w:bottom w:val="single" w:sz="4" w:space="0" w:color="auto"/>
              <w:right w:val="double" w:sz="6" w:space="0" w:color="auto"/>
            </w:tcBorders>
            <w:shd w:val="clear" w:color="auto" w:fill="auto"/>
            <w:noWrap/>
            <w:vAlign w:val="bottom"/>
            <w:hideMark/>
          </w:tcPr>
          <w:p w14:paraId="1EA5C65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102,3</w:t>
            </w:r>
          </w:p>
        </w:tc>
      </w:tr>
      <w:tr w:rsidR="00A53AD7" w:rsidRPr="00A53AD7" w14:paraId="7147880F"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259A4D3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w:t>
            </w:r>
          </w:p>
        </w:tc>
        <w:tc>
          <w:tcPr>
            <w:tcW w:w="5865" w:type="dxa"/>
            <w:tcBorders>
              <w:top w:val="nil"/>
              <w:left w:val="nil"/>
              <w:bottom w:val="single" w:sz="4" w:space="0" w:color="auto"/>
              <w:right w:val="single" w:sz="4" w:space="0" w:color="auto"/>
            </w:tcBorders>
            <w:shd w:val="clear" w:color="auto" w:fill="auto"/>
            <w:vAlign w:val="bottom"/>
            <w:hideMark/>
          </w:tcPr>
          <w:p w14:paraId="2B91AAB9"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пищевых продуктов</w:t>
            </w:r>
          </w:p>
        </w:tc>
        <w:tc>
          <w:tcPr>
            <w:tcW w:w="1275" w:type="dxa"/>
            <w:tcBorders>
              <w:top w:val="nil"/>
              <w:left w:val="nil"/>
              <w:bottom w:val="single" w:sz="4" w:space="0" w:color="auto"/>
              <w:right w:val="single" w:sz="4" w:space="0" w:color="auto"/>
            </w:tcBorders>
            <w:shd w:val="clear" w:color="auto" w:fill="auto"/>
            <w:noWrap/>
            <w:vAlign w:val="bottom"/>
            <w:hideMark/>
          </w:tcPr>
          <w:p w14:paraId="0E4F505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98,5</w:t>
            </w:r>
          </w:p>
        </w:tc>
        <w:tc>
          <w:tcPr>
            <w:tcW w:w="851" w:type="dxa"/>
            <w:tcBorders>
              <w:top w:val="nil"/>
              <w:left w:val="nil"/>
              <w:bottom w:val="single" w:sz="4" w:space="0" w:color="auto"/>
              <w:right w:val="single" w:sz="4" w:space="0" w:color="auto"/>
            </w:tcBorders>
            <w:shd w:val="clear" w:color="auto" w:fill="auto"/>
            <w:noWrap/>
            <w:vAlign w:val="bottom"/>
            <w:hideMark/>
          </w:tcPr>
          <w:p w14:paraId="13C967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308820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104,9</w:t>
            </w:r>
          </w:p>
        </w:tc>
      </w:tr>
      <w:tr w:rsidR="00A53AD7" w:rsidRPr="00A53AD7" w14:paraId="0EC98989"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603B913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w:t>
            </w:r>
          </w:p>
        </w:tc>
        <w:tc>
          <w:tcPr>
            <w:tcW w:w="5865" w:type="dxa"/>
            <w:tcBorders>
              <w:top w:val="nil"/>
              <w:left w:val="nil"/>
              <w:bottom w:val="single" w:sz="4" w:space="0" w:color="auto"/>
              <w:right w:val="single" w:sz="4" w:space="0" w:color="auto"/>
            </w:tcBorders>
            <w:shd w:val="clear" w:color="auto" w:fill="auto"/>
            <w:vAlign w:val="bottom"/>
            <w:hideMark/>
          </w:tcPr>
          <w:p w14:paraId="68400A02"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напитков</w:t>
            </w:r>
          </w:p>
        </w:tc>
        <w:tc>
          <w:tcPr>
            <w:tcW w:w="1275" w:type="dxa"/>
            <w:tcBorders>
              <w:top w:val="nil"/>
              <w:left w:val="nil"/>
              <w:bottom w:val="single" w:sz="4" w:space="0" w:color="auto"/>
              <w:right w:val="single" w:sz="4" w:space="0" w:color="auto"/>
            </w:tcBorders>
            <w:shd w:val="clear" w:color="auto" w:fill="auto"/>
            <w:noWrap/>
            <w:vAlign w:val="bottom"/>
            <w:hideMark/>
          </w:tcPr>
          <w:p w14:paraId="7BCCCCA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109,3</w:t>
            </w:r>
          </w:p>
        </w:tc>
        <w:tc>
          <w:tcPr>
            <w:tcW w:w="851" w:type="dxa"/>
            <w:tcBorders>
              <w:top w:val="nil"/>
              <w:left w:val="nil"/>
              <w:bottom w:val="single" w:sz="4" w:space="0" w:color="auto"/>
              <w:right w:val="single" w:sz="4" w:space="0" w:color="auto"/>
            </w:tcBorders>
            <w:shd w:val="clear" w:color="auto" w:fill="auto"/>
            <w:noWrap/>
            <w:vAlign w:val="bottom"/>
            <w:hideMark/>
          </w:tcPr>
          <w:p w14:paraId="7AD54D3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6400D3C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103,1</w:t>
            </w:r>
          </w:p>
        </w:tc>
      </w:tr>
      <w:tr w:rsidR="00A53AD7" w:rsidRPr="00A53AD7" w14:paraId="08B29DE0" w14:textId="77777777" w:rsidTr="00E56C34">
        <w:trPr>
          <w:trHeight w:hRule="exact" w:val="510"/>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64ADF32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2.3</w:t>
            </w:r>
          </w:p>
        </w:tc>
        <w:tc>
          <w:tcPr>
            <w:tcW w:w="5865" w:type="dxa"/>
            <w:tcBorders>
              <w:top w:val="nil"/>
              <w:left w:val="nil"/>
              <w:bottom w:val="single" w:sz="4" w:space="0" w:color="auto"/>
              <w:right w:val="single" w:sz="4" w:space="0" w:color="auto"/>
            </w:tcBorders>
            <w:shd w:val="clear" w:color="auto" w:fill="auto"/>
            <w:vAlign w:val="bottom"/>
            <w:hideMark/>
          </w:tcPr>
          <w:p w14:paraId="00553932"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обработка древесины и производство изделий из дерева и пробки…</w:t>
            </w:r>
          </w:p>
        </w:tc>
        <w:tc>
          <w:tcPr>
            <w:tcW w:w="1275" w:type="dxa"/>
            <w:tcBorders>
              <w:top w:val="nil"/>
              <w:left w:val="nil"/>
              <w:bottom w:val="single" w:sz="4" w:space="0" w:color="auto"/>
              <w:right w:val="single" w:sz="4" w:space="0" w:color="auto"/>
            </w:tcBorders>
            <w:shd w:val="clear" w:color="auto" w:fill="auto"/>
            <w:noWrap/>
            <w:vAlign w:val="bottom"/>
            <w:hideMark/>
          </w:tcPr>
          <w:p w14:paraId="607FDE7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98,3</w:t>
            </w:r>
          </w:p>
        </w:tc>
        <w:tc>
          <w:tcPr>
            <w:tcW w:w="851" w:type="dxa"/>
            <w:tcBorders>
              <w:top w:val="nil"/>
              <w:left w:val="nil"/>
              <w:bottom w:val="single" w:sz="4" w:space="0" w:color="auto"/>
              <w:right w:val="single" w:sz="4" w:space="0" w:color="auto"/>
            </w:tcBorders>
            <w:shd w:val="clear" w:color="auto" w:fill="auto"/>
            <w:noWrap/>
            <w:vAlign w:val="bottom"/>
            <w:hideMark/>
          </w:tcPr>
          <w:p w14:paraId="2486A15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5BE8AFF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105,3</w:t>
            </w:r>
          </w:p>
        </w:tc>
      </w:tr>
      <w:tr w:rsidR="00A53AD7" w:rsidRPr="00A53AD7" w14:paraId="2CBAF42C"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475F4E6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w:t>
            </w:r>
          </w:p>
        </w:tc>
        <w:tc>
          <w:tcPr>
            <w:tcW w:w="5865" w:type="dxa"/>
            <w:tcBorders>
              <w:top w:val="nil"/>
              <w:left w:val="nil"/>
              <w:bottom w:val="single" w:sz="4" w:space="0" w:color="auto"/>
              <w:right w:val="single" w:sz="4" w:space="0" w:color="auto"/>
            </w:tcBorders>
            <w:shd w:val="clear" w:color="auto" w:fill="auto"/>
            <w:vAlign w:val="bottom"/>
            <w:hideMark/>
          </w:tcPr>
          <w:p w14:paraId="2E4E94F7"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бумаги и бумажных изделий</w:t>
            </w:r>
          </w:p>
        </w:tc>
        <w:tc>
          <w:tcPr>
            <w:tcW w:w="1275" w:type="dxa"/>
            <w:tcBorders>
              <w:top w:val="nil"/>
              <w:left w:val="nil"/>
              <w:bottom w:val="single" w:sz="4" w:space="0" w:color="auto"/>
              <w:right w:val="single" w:sz="4" w:space="0" w:color="auto"/>
            </w:tcBorders>
            <w:shd w:val="clear" w:color="auto" w:fill="auto"/>
            <w:noWrap/>
            <w:vAlign w:val="bottom"/>
            <w:hideMark/>
          </w:tcPr>
          <w:p w14:paraId="17B5844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96,9</w:t>
            </w:r>
          </w:p>
        </w:tc>
        <w:tc>
          <w:tcPr>
            <w:tcW w:w="851" w:type="dxa"/>
            <w:tcBorders>
              <w:top w:val="nil"/>
              <w:left w:val="nil"/>
              <w:bottom w:val="single" w:sz="4" w:space="0" w:color="auto"/>
              <w:right w:val="single" w:sz="4" w:space="0" w:color="auto"/>
            </w:tcBorders>
            <w:shd w:val="clear" w:color="auto" w:fill="auto"/>
            <w:noWrap/>
            <w:vAlign w:val="bottom"/>
            <w:hideMark/>
          </w:tcPr>
          <w:p w14:paraId="29A0424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041B774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103,6</w:t>
            </w:r>
          </w:p>
        </w:tc>
      </w:tr>
      <w:tr w:rsidR="00A53AD7" w:rsidRPr="00A53AD7" w14:paraId="79401360"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1B36039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w:t>
            </w:r>
          </w:p>
        </w:tc>
        <w:tc>
          <w:tcPr>
            <w:tcW w:w="5865" w:type="dxa"/>
            <w:tcBorders>
              <w:top w:val="nil"/>
              <w:left w:val="nil"/>
              <w:bottom w:val="single" w:sz="4" w:space="0" w:color="auto"/>
              <w:right w:val="single" w:sz="4" w:space="0" w:color="auto"/>
            </w:tcBorders>
            <w:shd w:val="clear" w:color="auto" w:fill="auto"/>
            <w:vAlign w:val="bottom"/>
            <w:hideMark/>
          </w:tcPr>
          <w:p w14:paraId="023590C1"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химических веществ …</w:t>
            </w:r>
          </w:p>
        </w:tc>
        <w:tc>
          <w:tcPr>
            <w:tcW w:w="1275" w:type="dxa"/>
            <w:tcBorders>
              <w:top w:val="nil"/>
              <w:left w:val="nil"/>
              <w:bottom w:val="single" w:sz="4" w:space="0" w:color="auto"/>
              <w:right w:val="single" w:sz="4" w:space="0" w:color="auto"/>
            </w:tcBorders>
            <w:shd w:val="clear" w:color="auto" w:fill="auto"/>
            <w:noWrap/>
            <w:vAlign w:val="bottom"/>
            <w:hideMark/>
          </w:tcPr>
          <w:p w14:paraId="5BFEF31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93,8</w:t>
            </w:r>
          </w:p>
        </w:tc>
        <w:tc>
          <w:tcPr>
            <w:tcW w:w="851" w:type="dxa"/>
            <w:tcBorders>
              <w:top w:val="nil"/>
              <w:left w:val="nil"/>
              <w:bottom w:val="single" w:sz="4" w:space="0" w:color="auto"/>
              <w:right w:val="single" w:sz="4" w:space="0" w:color="auto"/>
            </w:tcBorders>
            <w:shd w:val="clear" w:color="auto" w:fill="auto"/>
            <w:noWrap/>
            <w:vAlign w:val="bottom"/>
            <w:hideMark/>
          </w:tcPr>
          <w:p w14:paraId="5EC15F7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3B77AD4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103,4</w:t>
            </w:r>
          </w:p>
        </w:tc>
      </w:tr>
      <w:tr w:rsidR="00A53AD7" w:rsidRPr="00A53AD7" w14:paraId="335FBA83"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2A3430C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2.6</w:t>
            </w:r>
          </w:p>
        </w:tc>
        <w:tc>
          <w:tcPr>
            <w:tcW w:w="5865" w:type="dxa"/>
            <w:tcBorders>
              <w:top w:val="nil"/>
              <w:left w:val="nil"/>
              <w:bottom w:val="single" w:sz="4" w:space="0" w:color="auto"/>
              <w:right w:val="single" w:sz="4" w:space="0" w:color="auto"/>
            </w:tcBorders>
            <w:shd w:val="clear" w:color="auto" w:fill="auto"/>
            <w:vAlign w:val="bottom"/>
            <w:hideMark/>
          </w:tcPr>
          <w:p w14:paraId="2F3F1EBA"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машин и оборудования…</w:t>
            </w:r>
          </w:p>
        </w:tc>
        <w:tc>
          <w:tcPr>
            <w:tcW w:w="1275" w:type="dxa"/>
            <w:tcBorders>
              <w:top w:val="nil"/>
              <w:left w:val="nil"/>
              <w:bottom w:val="single" w:sz="4" w:space="0" w:color="auto"/>
              <w:right w:val="single" w:sz="4" w:space="0" w:color="auto"/>
            </w:tcBorders>
            <w:shd w:val="clear" w:color="auto" w:fill="auto"/>
            <w:noWrap/>
            <w:vAlign w:val="bottom"/>
            <w:hideMark/>
          </w:tcPr>
          <w:p w14:paraId="238A8B6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185,4</w:t>
            </w:r>
          </w:p>
        </w:tc>
        <w:tc>
          <w:tcPr>
            <w:tcW w:w="851" w:type="dxa"/>
            <w:tcBorders>
              <w:top w:val="nil"/>
              <w:left w:val="nil"/>
              <w:bottom w:val="single" w:sz="4" w:space="0" w:color="auto"/>
              <w:right w:val="single" w:sz="4" w:space="0" w:color="auto"/>
            </w:tcBorders>
            <w:shd w:val="clear" w:color="auto" w:fill="auto"/>
            <w:noWrap/>
            <w:vAlign w:val="bottom"/>
            <w:hideMark/>
          </w:tcPr>
          <w:p w14:paraId="1512D35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0E42CA8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97,6</w:t>
            </w:r>
          </w:p>
        </w:tc>
      </w:tr>
      <w:tr w:rsidR="00A53AD7" w:rsidRPr="00A53AD7" w14:paraId="3DC59037" w14:textId="77777777" w:rsidTr="00E56C34">
        <w:trPr>
          <w:trHeight w:hRule="exact" w:val="255"/>
        </w:trPr>
        <w:tc>
          <w:tcPr>
            <w:tcW w:w="491" w:type="dxa"/>
            <w:tcBorders>
              <w:top w:val="nil"/>
              <w:left w:val="double" w:sz="6" w:space="0" w:color="auto"/>
              <w:bottom w:val="single" w:sz="4" w:space="0" w:color="auto"/>
              <w:right w:val="single" w:sz="4" w:space="0" w:color="auto"/>
            </w:tcBorders>
            <w:shd w:val="clear" w:color="auto" w:fill="auto"/>
            <w:noWrap/>
            <w:vAlign w:val="bottom"/>
          </w:tcPr>
          <w:p w14:paraId="7A8312E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2.7</w:t>
            </w:r>
          </w:p>
        </w:tc>
        <w:tc>
          <w:tcPr>
            <w:tcW w:w="5865" w:type="dxa"/>
            <w:tcBorders>
              <w:top w:val="nil"/>
              <w:left w:val="nil"/>
              <w:bottom w:val="single" w:sz="4" w:space="0" w:color="auto"/>
              <w:right w:val="single" w:sz="4" w:space="0" w:color="auto"/>
            </w:tcBorders>
            <w:shd w:val="clear" w:color="auto" w:fill="auto"/>
            <w:vAlign w:val="bottom"/>
          </w:tcPr>
          <w:p w14:paraId="1178DD32"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электрического оборудования</w:t>
            </w:r>
          </w:p>
        </w:tc>
        <w:tc>
          <w:tcPr>
            <w:tcW w:w="1275" w:type="dxa"/>
            <w:tcBorders>
              <w:top w:val="nil"/>
              <w:left w:val="nil"/>
              <w:bottom w:val="single" w:sz="4" w:space="0" w:color="auto"/>
              <w:right w:val="single" w:sz="4" w:space="0" w:color="auto"/>
            </w:tcBorders>
            <w:shd w:val="clear" w:color="auto" w:fill="auto"/>
            <w:noWrap/>
            <w:vAlign w:val="bottom"/>
          </w:tcPr>
          <w:p w14:paraId="64CA805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106,7</w:t>
            </w:r>
          </w:p>
        </w:tc>
        <w:tc>
          <w:tcPr>
            <w:tcW w:w="851" w:type="dxa"/>
            <w:tcBorders>
              <w:top w:val="nil"/>
              <w:left w:val="nil"/>
              <w:bottom w:val="single" w:sz="4" w:space="0" w:color="auto"/>
              <w:right w:val="single" w:sz="4" w:space="0" w:color="auto"/>
            </w:tcBorders>
            <w:shd w:val="clear" w:color="auto" w:fill="auto"/>
            <w:noWrap/>
            <w:vAlign w:val="bottom"/>
          </w:tcPr>
          <w:p w14:paraId="47AA2D6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tcPr>
          <w:p w14:paraId="669D5B5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100,6</w:t>
            </w:r>
          </w:p>
        </w:tc>
      </w:tr>
      <w:tr w:rsidR="00A53AD7" w:rsidRPr="00A53AD7" w14:paraId="071A4AF7" w14:textId="77777777" w:rsidTr="00E56C34">
        <w:trPr>
          <w:trHeight w:hRule="exact" w:val="510"/>
        </w:trPr>
        <w:tc>
          <w:tcPr>
            <w:tcW w:w="491" w:type="dxa"/>
            <w:tcBorders>
              <w:top w:val="nil"/>
              <w:left w:val="double" w:sz="6" w:space="0" w:color="auto"/>
              <w:bottom w:val="single" w:sz="4" w:space="0" w:color="auto"/>
              <w:right w:val="single" w:sz="4" w:space="0" w:color="auto"/>
            </w:tcBorders>
            <w:shd w:val="clear" w:color="auto" w:fill="auto"/>
            <w:noWrap/>
            <w:vAlign w:val="bottom"/>
          </w:tcPr>
          <w:p w14:paraId="5F3A5AA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w:t>
            </w:r>
          </w:p>
        </w:tc>
        <w:tc>
          <w:tcPr>
            <w:tcW w:w="5865" w:type="dxa"/>
            <w:tcBorders>
              <w:top w:val="nil"/>
              <w:left w:val="nil"/>
              <w:bottom w:val="single" w:sz="4" w:space="0" w:color="auto"/>
              <w:right w:val="single" w:sz="4" w:space="0" w:color="auto"/>
            </w:tcBorders>
            <w:shd w:val="clear" w:color="auto" w:fill="auto"/>
            <w:vAlign w:val="bottom"/>
            <w:hideMark/>
          </w:tcPr>
          <w:p w14:paraId="5CB3CBB9"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прочих транспортных средств и оборудования…</w:t>
            </w:r>
          </w:p>
        </w:tc>
        <w:tc>
          <w:tcPr>
            <w:tcW w:w="1275" w:type="dxa"/>
            <w:tcBorders>
              <w:top w:val="nil"/>
              <w:left w:val="nil"/>
              <w:bottom w:val="single" w:sz="4" w:space="0" w:color="auto"/>
              <w:right w:val="single" w:sz="4" w:space="0" w:color="auto"/>
            </w:tcBorders>
            <w:shd w:val="clear" w:color="auto" w:fill="auto"/>
            <w:noWrap/>
            <w:vAlign w:val="bottom"/>
            <w:hideMark/>
          </w:tcPr>
          <w:p w14:paraId="789B4DF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96,9</w:t>
            </w:r>
          </w:p>
        </w:tc>
        <w:tc>
          <w:tcPr>
            <w:tcW w:w="851" w:type="dxa"/>
            <w:tcBorders>
              <w:top w:val="nil"/>
              <w:left w:val="nil"/>
              <w:bottom w:val="single" w:sz="4" w:space="0" w:color="auto"/>
              <w:right w:val="single" w:sz="4" w:space="0" w:color="auto"/>
            </w:tcBorders>
            <w:shd w:val="clear" w:color="auto" w:fill="auto"/>
            <w:noWrap/>
            <w:vAlign w:val="bottom"/>
            <w:hideMark/>
          </w:tcPr>
          <w:p w14:paraId="790C2F0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850" w:type="dxa"/>
            <w:tcBorders>
              <w:top w:val="nil"/>
              <w:left w:val="nil"/>
              <w:bottom w:val="single" w:sz="4" w:space="0" w:color="auto"/>
              <w:right w:val="double" w:sz="6" w:space="0" w:color="auto"/>
            </w:tcBorders>
            <w:shd w:val="clear" w:color="auto" w:fill="auto"/>
            <w:noWrap/>
            <w:vAlign w:val="bottom"/>
            <w:hideMark/>
          </w:tcPr>
          <w:p w14:paraId="63747E3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87,9</w:t>
            </w:r>
          </w:p>
        </w:tc>
      </w:tr>
      <w:tr w:rsidR="00A53AD7" w:rsidRPr="00A53AD7" w14:paraId="70E82304" w14:textId="77777777" w:rsidTr="00E56C34">
        <w:trPr>
          <w:trHeight w:hRule="exact" w:val="510"/>
        </w:trPr>
        <w:tc>
          <w:tcPr>
            <w:tcW w:w="491" w:type="dxa"/>
            <w:tcBorders>
              <w:top w:val="nil"/>
              <w:left w:val="double" w:sz="6" w:space="0" w:color="auto"/>
              <w:bottom w:val="single" w:sz="4" w:space="0" w:color="auto"/>
              <w:right w:val="single" w:sz="4" w:space="0" w:color="auto"/>
            </w:tcBorders>
            <w:shd w:val="clear" w:color="auto" w:fill="auto"/>
            <w:noWrap/>
            <w:vAlign w:val="bottom"/>
            <w:hideMark/>
          </w:tcPr>
          <w:p w14:paraId="16BA907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w:t>
            </w:r>
          </w:p>
        </w:tc>
        <w:tc>
          <w:tcPr>
            <w:tcW w:w="5865" w:type="dxa"/>
            <w:tcBorders>
              <w:top w:val="nil"/>
              <w:left w:val="nil"/>
              <w:bottom w:val="single" w:sz="4" w:space="0" w:color="auto"/>
              <w:right w:val="single" w:sz="4" w:space="0" w:color="auto"/>
            </w:tcBorders>
            <w:shd w:val="clear" w:color="auto" w:fill="auto"/>
            <w:vAlign w:val="bottom"/>
            <w:hideMark/>
          </w:tcPr>
          <w:p w14:paraId="0E44070F"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 газом и паром; кондиционирование воздуха</w:t>
            </w:r>
          </w:p>
        </w:tc>
        <w:tc>
          <w:tcPr>
            <w:tcW w:w="1275" w:type="dxa"/>
            <w:tcBorders>
              <w:top w:val="nil"/>
              <w:left w:val="nil"/>
              <w:bottom w:val="single" w:sz="4" w:space="0" w:color="auto"/>
              <w:right w:val="single" w:sz="4" w:space="0" w:color="auto"/>
            </w:tcBorders>
            <w:shd w:val="clear" w:color="auto" w:fill="auto"/>
            <w:noWrap/>
            <w:vAlign w:val="bottom"/>
            <w:hideMark/>
          </w:tcPr>
          <w:p w14:paraId="62CF934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99,0</w:t>
            </w:r>
          </w:p>
        </w:tc>
        <w:tc>
          <w:tcPr>
            <w:tcW w:w="851" w:type="dxa"/>
            <w:tcBorders>
              <w:top w:val="nil"/>
              <w:left w:val="nil"/>
              <w:bottom w:val="single" w:sz="4" w:space="0" w:color="auto"/>
              <w:right w:val="single" w:sz="4" w:space="0" w:color="auto"/>
            </w:tcBorders>
            <w:shd w:val="clear" w:color="auto" w:fill="auto"/>
            <w:noWrap/>
            <w:vAlign w:val="bottom"/>
            <w:hideMark/>
          </w:tcPr>
          <w:p w14:paraId="5051F9E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99,4</w:t>
            </w:r>
          </w:p>
        </w:tc>
        <w:tc>
          <w:tcPr>
            <w:tcW w:w="850" w:type="dxa"/>
            <w:tcBorders>
              <w:top w:val="nil"/>
              <w:left w:val="nil"/>
              <w:bottom w:val="single" w:sz="4" w:space="0" w:color="auto"/>
              <w:right w:val="double" w:sz="6" w:space="0" w:color="auto"/>
            </w:tcBorders>
            <w:shd w:val="clear" w:color="auto" w:fill="auto"/>
            <w:noWrap/>
            <w:vAlign w:val="bottom"/>
            <w:hideMark/>
          </w:tcPr>
          <w:p w14:paraId="73ED47C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100,4</w:t>
            </w:r>
          </w:p>
        </w:tc>
      </w:tr>
      <w:tr w:rsidR="003B5BDA" w:rsidRPr="00A53AD7" w14:paraId="7ADC472A" w14:textId="77777777" w:rsidTr="00E56C34">
        <w:trPr>
          <w:trHeight w:hRule="exact" w:val="510"/>
        </w:trPr>
        <w:tc>
          <w:tcPr>
            <w:tcW w:w="491" w:type="dxa"/>
            <w:tcBorders>
              <w:top w:val="nil"/>
              <w:left w:val="double" w:sz="6" w:space="0" w:color="auto"/>
              <w:bottom w:val="double" w:sz="6" w:space="0" w:color="auto"/>
              <w:right w:val="single" w:sz="4" w:space="0" w:color="auto"/>
            </w:tcBorders>
            <w:shd w:val="clear" w:color="auto" w:fill="auto"/>
            <w:noWrap/>
            <w:vAlign w:val="bottom"/>
            <w:hideMark/>
          </w:tcPr>
          <w:p w14:paraId="14943C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w:t>
            </w:r>
          </w:p>
        </w:tc>
        <w:tc>
          <w:tcPr>
            <w:tcW w:w="5865" w:type="dxa"/>
            <w:tcBorders>
              <w:top w:val="nil"/>
              <w:left w:val="nil"/>
              <w:bottom w:val="double" w:sz="6" w:space="0" w:color="auto"/>
              <w:right w:val="single" w:sz="4" w:space="0" w:color="auto"/>
            </w:tcBorders>
            <w:shd w:val="clear" w:color="auto" w:fill="auto"/>
            <w:vAlign w:val="bottom"/>
            <w:hideMark/>
          </w:tcPr>
          <w:p w14:paraId="15DEF1B3"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Водоснабжение, водоотведение, организация сбора и утилизация отходов…</w:t>
            </w:r>
          </w:p>
        </w:tc>
        <w:tc>
          <w:tcPr>
            <w:tcW w:w="1275" w:type="dxa"/>
            <w:tcBorders>
              <w:top w:val="nil"/>
              <w:left w:val="nil"/>
              <w:bottom w:val="double" w:sz="6" w:space="0" w:color="auto"/>
              <w:right w:val="single" w:sz="4" w:space="0" w:color="auto"/>
            </w:tcBorders>
            <w:shd w:val="clear" w:color="auto" w:fill="auto"/>
            <w:noWrap/>
            <w:vAlign w:val="bottom"/>
            <w:hideMark/>
          </w:tcPr>
          <w:p w14:paraId="24EB1A2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96,9</w:t>
            </w:r>
          </w:p>
        </w:tc>
        <w:tc>
          <w:tcPr>
            <w:tcW w:w="851" w:type="dxa"/>
            <w:tcBorders>
              <w:top w:val="nil"/>
              <w:left w:val="nil"/>
              <w:bottom w:val="double" w:sz="6" w:space="0" w:color="auto"/>
              <w:right w:val="single" w:sz="4" w:space="0" w:color="auto"/>
            </w:tcBorders>
            <w:shd w:val="clear" w:color="auto" w:fill="auto"/>
            <w:noWrap/>
            <w:vAlign w:val="bottom"/>
            <w:hideMark/>
          </w:tcPr>
          <w:p w14:paraId="6A57E20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105,5</w:t>
            </w:r>
          </w:p>
        </w:tc>
        <w:tc>
          <w:tcPr>
            <w:tcW w:w="850" w:type="dxa"/>
            <w:tcBorders>
              <w:top w:val="nil"/>
              <w:left w:val="nil"/>
              <w:bottom w:val="double" w:sz="6" w:space="0" w:color="auto"/>
              <w:right w:val="double" w:sz="6" w:space="0" w:color="auto"/>
            </w:tcBorders>
            <w:shd w:val="clear" w:color="auto" w:fill="auto"/>
            <w:noWrap/>
            <w:vAlign w:val="bottom"/>
            <w:hideMark/>
          </w:tcPr>
          <w:p w14:paraId="4886EA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w:t>
            </w:r>
          </w:p>
        </w:tc>
      </w:tr>
    </w:tbl>
    <w:p w14:paraId="44F8CE24" w14:textId="77777777" w:rsidR="00E56C34" w:rsidRPr="00A53AD7" w:rsidRDefault="00E56C34" w:rsidP="003B5BDA">
      <w:pPr>
        <w:pStyle w:val="ad"/>
        <w:ind w:firstLine="851"/>
        <w:jc w:val="both"/>
        <w:rPr>
          <w:rFonts w:ascii="Times New Roman" w:eastAsia="Times New Roman" w:hAnsi="Times New Roman"/>
          <w:sz w:val="28"/>
          <w:szCs w:val="28"/>
          <w:lang w:eastAsia="ru-RU"/>
        </w:rPr>
      </w:pPr>
    </w:p>
    <w:p w14:paraId="6FA301DA" w14:textId="77777777" w:rsidR="003B5BDA" w:rsidRPr="00A53AD7" w:rsidRDefault="003B5BDA" w:rsidP="003B5BDA">
      <w:pPr>
        <w:pStyle w:val="ad"/>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На сложившийся сводный показатель индекса промышленного производства региона в 2019 году оказало влияние снижение таких показателей, как: обрабатывающие производства – 97,9 % при ожидаемом показателе 100,32 %; обеспечение электрической энергией, газом и паром; кондиционирование воздуха – 99,0 % при ожидаемом показателе 99,75 %, водоснабжение, водоотведение, организация сбора и утилизации отходов, деятельности по ликвидации загрязнений – 96,9 % при ожидаемом показателе 95,25 %.</w:t>
      </w:r>
    </w:p>
    <w:p w14:paraId="5B8B021A"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Снизились индексы производств по таким значимым видам экономической деятельности:</w:t>
      </w:r>
    </w:p>
    <w:p w14:paraId="186EBDEB" w14:textId="77777777" w:rsidR="003728B5" w:rsidRPr="00A53AD7" w:rsidRDefault="003728B5"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«Производство прочих транспортных средств и оборудования…» и сопряженные с ним виды экономической деятельности (судостроение и судоремонт) (96,9%), что обусловлено завершением производства судов и работ в части военно-оборонного заказа и смежных отраслях в 2018 году;</w:t>
      </w:r>
    </w:p>
    <w:p w14:paraId="4B1E9FCC" w14:textId="77777777" w:rsidR="004E4B0D" w:rsidRPr="00A53AD7" w:rsidRDefault="004E4B0D"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«Обработка древесины и производство изделий из дерева, и пробки…» (98,3 %), что обусловлено сокращением выпуска пиломатериалов лиственных и хвойных пород, шпал деревянных для железных дорог, щепы технологической;</w:t>
      </w:r>
    </w:p>
    <w:p w14:paraId="4BC22E9A" w14:textId="57E534B4" w:rsidR="003B5BDA" w:rsidRPr="00A53AD7" w:rsidRDefault="004E4B0D"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 xml:space="preserve"> </w:t>
      </w:r>
      <w:r w:rsidR="003B5BDA" w:rsidRPr="00A53AD7">
        <w:rPr>
          <w:rFonts w:ascii="Times New Roman" w:hAnsi="Times New Roman"/>
          <w:sz w:val="28"/>
          <w:szCs w:val="28"/>
        </w:rPr>
        <w:t>«Производство бумаги и бумажных изделий» индекс производства составил 96,9 %, что обусловлено снижением производства целлюлозы, древесной массы и картона. По сравнению с 2018 годом выпуск бумаги офсетной уменьшился на 1,8%, картона</w:t>
      </w:r>
      <w:r w:rsidR="003E54A0" w:rsidRPr="00A53AD7">
        <w:rPr>
          <w:rFonts w:ascii="Times New Roman" w:hAnsi="Times New Roman"/>
          <w:sz w:val="28"/>
          <w:szCs w:val="28"/>
        </w:rPr>
        <w:t xml:space="preserve"> </w:t>
      </w:r>
      <w:r w:rsidR="003B5BDA" w:rsidRPr="00A53AD7">
        <w:rPr>
          <w:rFonts w:ascii="Times New Roman" w:hAnsi="Times New Roman"/>
          <w:sz w:val="28"/>
          <w:szCs w:val="28"/>
        </w:rPr>
        <w:t xml:space="preserve">тарного – на 2,5%, </w:t>
      </w:r>
      <w:r w:rsidR="003B5BDA" w:rsidRPr="00A53AD7">
        <w:rPr>
          <w:rFonts w:ascii="Times New Roman" w:hAnsi="Times New Roman"/>
          <w:sz w:val="28"/>
          <w:szCs w:val="28"/>
        </w:rPr>
        <w:lastRenderedPageBreak/>
        <w:t>производств</w:t>
      </w:r>
      <w:r w:rsidR="003E54A0" w:rsidRPr="00A53AD7">
        <w:rPr>
          <w:rFonts w:ascii="Times New Roman" w:hAnsi="Times New Roman"/>
          <w:sz w:val="28"/>
          <w:szCs w:val="28"/>
        </w:rPr>
        <w:t>а</w:t>
      </w:r>
      <w:r w:rsidR="003B5BDA" w:rsidRPr="00A53AD7">
        <w:rPr>
          <w:rFonts w:ascii="Times New Roman" w:hAnsi="Times New Roman"/>
          <w:sz w:val="28"/>
          <w:szCs w:val="28"/>
        </w:rPr>
        <w:t xml:space="preserve"> целлюлозы – на 1,5%, а производство бумаги писчей и тетрадной увеличилось на 4,4%;</w:t>
      </w:r>
    </w:p>
    <w:p w14:paraId="724061BB" w14:textId="77777777" w:rsidR="004E4B0D" w:rsidRPr="00A53AD7" w:rsidRDefault="004E4B0D"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«Производство пищевых продуктов» (98,5%), что обусловлено показателями по основным видам пищевой продукции: производство мяса и субпродуктов домашней птицы уменьшилось на 21,5 %; колбасных изделий – на 8,5 %; мясных полуфабрикатов – на 22,9 %, хлебобулочных изделий недлительного хранения – на 5,5%, производство молока (кроме сырого) – на 3,3 %. При этом производство мяса (крупного рогатого скота, свинины, баранины и т.д.) увеличилось к уровню 2018 года на 7,1 %; производство сливочного масла – на 1,1 %, рыбы переработанной и консервированной… - на 5,5 %, кондитерских изделий – на 2,8 %.</w:t>
      </w:r>
    </w:p>
    <w:p w14:paraId="74343A50"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Одновременно установлен рост индексов производства по видам экономической деятельности:</w:t>
      </w:r>
    </w:p>
    <w:p w14:paraId="2010DD2D" w14:textId="77777777" w:rsidR="00E879BA" w:rsidRPr="00A53AD7" w:rsidRDefault="00E879BA"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«Производство напитков» – индекс производства составил 109,3%, что обусловлено ростом объемов производства алкогольной продукции;</w:t>
      </w:r>
    </w:p>
    <w:p w14:paraId="37731925" w14:textId="1FCB4D3A" w:rsidR="003B5BDA" w:rsidRPr="00A53AD7" w:rsidRDefault="00E879BA"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 xml:space="preserve"> </w:t>
      </w:r>
      <w:r w:rsidR="003B5BDA" w:rsidRPr="00A53AD7">
        <w:rPr>
          <w:rFonts w:ascii="Times New Roman" w:hAnsi="Times New Roman"/>
          <w:sz w:val="28"/>
          <w:szCs w:val="28"/>
        </w:rPr>
        <w:t>«Производство машин и оборудования, не включенных в другие группировки» – 185,4 %;</w:t>
      </w:r>
    </w:p>
    <w:p w14:paraId="55987350" w14:textId="1183979E" w:rsidR="003B5BDA" w:rsidRPr="00A53AD7" w:rsidRDefault="003B5BDA" w:rsidP="00BB09B8">
      <w:pPr>
        <w:pStyle w:val="ad"/>
        <w:numPr>
          <w:ilvl w:val="0"/>
          <w:numId w:val="12"/>
        </w:numPr>
        <w:ind w:left="0" w:firstLine="851"/>
        <w:jc w:val="both"/>
        <w:rPr>
          <w:rFonts w:ascii="Times New Roman" w:hAnsi="Times New Roman"/>
          <w:sz w:val="28"/>
          <w:szCs w:val="28"/>
        </w:rPr>
      </w:pPr>
      <w:r w:rsidRPr="00A53AD7">
        <w:rPr>
          <w:rFonts w:ascii="Times New Roman" w:hAnsi="Times New Roman"/>
          <w:sz w:val="28"/>
          <w:szCs w:val="28"/>
        </w:rPr>
        <w:t>«Производство электрического оборудования» – 106,7 %.</w:t>
      </w:r>
    </w:p>
    <w:p w14:paraId="548C99DB"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Следует отметить стабильно положительную динамику индекса производства добычи полезных ископаемых на протяжении ряда лет, который в 2019 году составил 115,3 % при ожидаемом 109,74 %; что существенно выше средних показателей по СЗФО (100,5 %) и РФ (103,1 %).</w:t>
      </w:r>
    </w:p>
    <w:p w14:paraId="30F73F93" w14:textId="77777777" w:rsidR="003B5BDA" w:rsidRPr="00A53AD7" w:rsidRDefault="003B5BDA" w:rsidP="006D7620">
      <w:pPr>
        <w:pStyle w:val="ad"/>
        <w:ind w:firstLine="851"/>
        <w:jc w:val="both"/>
        <w:rPr>
          <w:rFonts w:ascii="Times New Roman" w:hAnsi="Times New Roman"/>
          <w:sz w:val="28"/>
          <w:szCs w:val="28"/>
        </w:rPr>
      </w:pPr>
      <w:r w:rsidRPr="00A53AD7">
        <w:rPr>
          <w:rFonts w:ascii="Times New Roman" w:hAnsi="Times New Roman"/>
          <w:sz w:val="28"/>
          <w:szCs w:val="28"/>
        </w:rPr>
        <w:t>Росту промышленного производства в сфере добычи полезных ископаемых способствует богатый ресурсный потенциал региона. Минерально-сырьевая база Архангельской области представлена месторождениями более 25 видов полезных ископаемых: бокситы, известняки и глины для цементного производства, известняки для целлюлозно-бумажной промышленности, доломиты для металлургии, цинк, свинец, серебро. В области имеются значительные запасы общераспространенных полезных ископаемых: гипс и ангидрит, строительные камни (граниты и базальты), торф, глина для кирпично-черепичного производства, керамзитовое сырье, песок, карбонатных пород.</w:t>
      </w:r>
    </w:p>
    <w:p w14:paraId="184EBC27" w14:textId="7B4C1AA4"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w:t>
      </w:r>
      <w:r w:rsidR="00F536DB" w:rsidRPr="00A53AD7">
        <w:rPr>
          <w:rFonts w:ascii="Times New Roman" w:hAnsi="Times New Roman"/>
          <w:sz w:val="28"/>
          <w:szCs w:val="28"/>
        </w:rPr>
        <w:t>информации</w:t>
      </w:r>
      <w:r w:rsidRPr="00A53AD7">
        <w:rPr>
          <w:rFonts w:ascii="Times New Roman" w:hAnsi="Times New Roman"/>
          <w:sz w:val="28"/>
          <w:szCs w:val="28"/>
        </w:rPr>
        <w:t xml:space="preserve"> министерства природных ресурсов и лесопромышленного комплекса Архангельской области за 2019 год</w:t>
      </w:r>
      <w:r w:rsidR="00F536DB" w:rsidRPr="00A53AD7">
        <w:rPr>
          <w:rFonts w:ascii="Times New Roman" w:hAnsi="Times New Roman"/>
          <w:sz w:val="28"/>
          <w:szCs w:val="28"/>
        </w:rPr>
        <w:t>, представленной по запросу контрольно-счетной палаты,</w:t>
      </w:r>
      <w:r w:rsidRPr="00A53AD7">
        <w:rPr>
          <w:rFonts w:ascii="Times New Roman" w:hAnsi="Times New Roman"/>
          <w:sz w:val="28"/>
          <w:szCs w:val="28"/>
        </w:rPr>
        <w:t xml:space="preserve"> на территории региона добыто: 9,2 млн. карат алмазов (в 2018 году – 8,4 млн. карат, в 2017 году – 6,7 млн. карат); 775,3 тыс.тонн бокситов и глин (в 2008 году – 693,7 тыс.тонн, в 2017 году – 511,4 тыс.тонн), 317,4 тыс.тонн известняков для целлюлозно-бумажной промышленности (в 2018 году – 398,8 тыс.тонн, в 2017 году – 325,5 тыс.тонн), 600,3 тыс.тонн гипсового камня, (в 2018 году – 616,9 тыс.тонн, в 2017 – 630,5 тыс.тонн), 427,6 тыс.куб.м гранито-гнейсов (в 2018 году – 434,5 тыс.куб.м), 3 119,1 тыс.куб.м базальтов (в 2018 году – 1 505,2 тыс.куб.м, в 2017 – 191,4 тыс.куб.м).</w:t>
      </w:r>
    </w:p>
    <w:p w14:paraId="1F94DE2A" w14:textId="7266B565" w:rsidR="003B5BDA" w:rsidRPr="00A53AD7" w:rsidRDefault="003B5BDA" w:rsidP="006D7620">
      <w:pPr>
        <w:pStyle w:val="ad"/>
        <w:ind w:firstLine="851"/>
        <w:jc w:val="both"/>
        <w:rPr>
          <w:rFonts w:ascii="Times New Roman" w:hAnsi="Times New Roman"/>
          <w:sz w:val="28"/>
          <w:szCs w:val="28"/>
        </w:rPr>
      </w:pPr>
      <w:r w:rsidRPr="00A53AD7">
        <w:rPr>
          <w:rFonts w:ascii="Times New Roman" w:hAnsi="Times New Roman"/>
          <w:sz w:val="28"/>
          <w:szCs w:val="28"/>
        </w:rPr>
        <w:lastRenderedPageBreak/>
        <w:t>При использовании уже открытых участков недр ежегодно открываются новые месторождения, что обеспечивает дополнительные поступления в бюджет региона. Так за отчетный период открыто 5 новых месторождений. В 2019 году на право пользования участками недр местного значения проведено 6 аукционов и 2 конкурса, в которых приняли участие 14 заявителей (в 2018 году – 32 аукциона и 7 конкурсов, и 83 заявителя). Основными пользователями открытых участков недр являются ООО «СудСтройСнаб», ООО «Севзапдорстрой», ООО «Севз</w:t>
      </w:r>
      <w:r w:rsidR="006D7620" w:rsidRPr="00A53AD7">
        <w:rPr>
          <w:rFonts w:ascii="Times New Roman" w:hAnsi="Times New Roman"/>
          <w:sz w:val="28"/>
          <w:szCs w:val="28"/>
        </w:rPr>
        <w:t>апметалл», ООО «Альянс-Инвест».</w:t>
      </w:r>
    </w:p>
    <w:p w14:paraId="2D1BBB5D" w14:textId="77777777" w:rsidR="003B5BDA" w:rsidRPr="00A53AD7" w:rsidRDefault="003B5BDA" w:rsidP="003B5BDA">
      <w:pPr>
        <w:pStyle w:val="ad"/>
        <w:ind w:firstLine="839"/>
        <w:jc w:val="both"/>
        <w:rPr>
          <w:rFonts w:ascii="Times New Roman" w:hAnsi="Times New Roman"/>
          <w:sz w:val="28"/>
          <w:szCs w:val="28"/>
        </w:rPr>
      </w:pPr>
      <w:r w:rsidRPr="00A53AD7">
        <w:rPr>
          <w:rFonts w:ascii="Times New Roman" w:hAnsi="Times New Roman"/>
          <w:sz w:val="28"/>
          <w:szCs w:val="28"/>
        </w:rPr>
        <w:t>Наряду с производственными работами в регионе осуществляются работы по воспроизводству лесов и лесоразведению. Установленный на 2019 год показатель федерального проекта «Сохранение лесов», целью которого является сохранение баланса выбытия и воспроизводства лесов, перевыполнен (план 85%/факт 95%). Доля применения сеянцев с закрытой корневой системой увеличилась до 3 тысяч гектаров (2019 год), или до 70 % от доли создаваемых лесных культур.</w:t>
      </w:r>
      <w:r w:rsidRPr="00A53AD7">
        <w:rPr>
          <w:rStyle w:val="afff1"/>
          <w:rFonts w:ascii="Times New Roman" w:hAnsi="Times New Roman"/>
          <w:sz w:val="28"/>
          <w:szCs w:val="28"/>
        </w:rPr>
        <w:footnoteReference w:id="4"/>
      </w:r>
    </w:p>
    <w:p w14:paraId="1BEFAAEA" w14:textId="03B1FF42"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налоговых поступлений в бюджет Архангельской области от добычи полезных ископаемых за 2019 год составил 3 358,3 млн.руб. или 107,5 % к годовым назначениям (в 2018 году – 3 086,5 млн.руб.). Основную долю в общей сумме поступившего налога на добычу полезных ископаемых занимает налог на добычу полезных ископаемых в виде природных алмазов, что составляет 3 246,9 млн.руб. (в 2018 – 2 976,9 млн.руб.)</w:t>
      </w:r>
      <w:r w:rsidR="006D7620" w:rsidRPr="00A53AD7">
        <w:rPr>
          <w:rFonts w:ascii="Times New Roman" w:hAnsi="Times New Roman"/>
          <w:sz w:val="28"/>
          <w:szCs w:val="28"/>
        </w:rPr>
        <w:t>.</w:t>
      </w:r>
      <w:r w:rsidRPr="00A53AD7">
        <w:rPr>
          <w:rFonts w:ascii="Times New Roman" w:hAnsi="Times New Roman"/>
          <w:sz w:val="28"/>
          <w:szCs w:val="28"/>
        </w:rPr>
        <w:t xml:space="preserve"> Годовые назначения исполнены на 106,6 %, дополнительно </w:t>
      </w:r>
      <w:r w:rsidR="006D7620" w:rsidRPr="00A53AD7">
        <w:rPr>
          <w:rFonts w:ascii="Times New Roman" w:hAnsi="Times New Roman"/>
          <w:sz w:val="28"/>
          <w:szCs w:val="28"/>
        </w:rPr>
        <w:t xml:space="preserve">в бюджет </w:t>
      </w:r>
      <w:r w:rsidRPr="00A53AD7">
        <w:rPr>
          <w:rFonts w:ascii="Times New Roman" w:hAnsi="Times New Roman"/>
          <w:sz w:val="28"/>
          <w:szCs w:val="28"/>
        </w:rPr>
        <w:t xml:space="preserve">получено 200,9 млн.руб. </w:t>
      </w:r>
    </w:p>
    <w:p w14:paraId="47074CC8" w14:textId="65FABD7E" w:rsidR="00433AA5" w:rsidRPr="00A53AD7" w:rsidRDefault="00433AA5" w:rsidP="00433AA5">
      <w:pPr>
        <w:spacing w:after="0" w:line="240" w:lineRule="auto"/>
        <w:ind w:firstLine="851"/>
        <w:jc w:val="both"/>
        <w:rPr>
          <w:rFonts w:ascii="Times New Roman" w:eastAsia="Times New Roman" w:hAnsi="Times New Roman"/>
          <w:bCs/>
          <w:kern w:val="36"/>
          <w:sz w:val="28"/>
          <w:szCs w:val="28"/>
          <w:u w:val="single"/>
          <w:lang w:eastAsia="ru-RU"/>
        </w:rPr>
      </w:pPr>
      <w:r w:rsidRPr="00A53AD7">
        <w:rPr>
          <w:rFonts w:ascii="Times New Roman" w:hAnsi="Times New Roman"/>
          <w:sz w:val="28"/>
          <w:szCs w:val="28"/>
        </w:rPr>
        <w:t>Рост алмазодобычи обусловлен увеличением объема переработки руды и вовлечением более богатых руд с глубоких горизонтов месторождения. Увеличение переработки руды связано с выводом обогатительной фабрики на проектную производительность. В начале 2019 года на обогатительной фабрике Ломоносовского горно-обогатительного комбината началось техническое перевооружение. «Новое оборудование позволит нам без потерь обрабатывать алмазосодержащую руду, представленную автолитовыми кимберлитами, и выйти на производственную мощность 4 миллиона тонн руды в год». Алмазодобывающая отрасль… находится под сильным давлением из-за снижения спроса на алмазную продукцию, что ведет к снижению цен и объема продаж. В результате крупные алмазодобытчики сократили планы по добыче. АЛРОСА, сохранившая объемы производства в 2019 году, в ответ на такое развитие рыночной ситуации вынуждена рассматривать различные антикризисные меры</w:t>
      </w:r>
      <w:r w:rsidRPr="00A53AD7">
        <w:rPr>
          <w:rStyle w:val="afff1"/>
          <w:rFonts w:ascii="Times New Roman" w:hAnsi="Times New Roman"/>
          <w:sz w:val="28"/>
          <w:szCs w:val="28"/>
        </w:rPr>
        <w:footnoteReference w:id="5"/>
      </w:r>
      <w:r w:rsidRPr="00A53AD7">
        <w:rPr>
          <w:rFonts w:ascii="Times New Roman" w:hAnsi="Times New Roman"/>
          <w:sz w:val="28"/>
          <w:szCs w:val="28"/>
        </w:rPr>
        <w:t>.</w:t>
      </w:r>
    </w:p>
    <w:p w14:paraId="30D5687C" w14:textId="74A00735" w:rsidR="00F84FA1" w:rsidRPr="00A53AD7" w:rsidRDefault="00F84FA1" w:rsidP="00F84FA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оперативным данным статистической отчетности количество хозяйствующих субъектов без учета индивидуальных предпринимателей (по основному виду экономической деятельности) в Архангельской области на </w:t>
      </w:r>
      <w:r w:rsidRPr="00A53AD7">
        <w:rPr>
          <w:rFonts w:ascii="Times New Roman" w:hAnsi="Times New Roman"/>
          <w:sz w:val="28"/>
          <w:szCs w:val="28"/>
        </w:rPr>
        <w:lastRenderedPageBreak/>
        <w:t xml:space="preserve">01.01.2020 составляет 20 009 единиц, уменьшившись на 1 097 единиц или на 5,2 % от количества организаций по состоянию на 01.01.2019 год, и на 2 098 единиц или на 9,5 % к количеству хозяйствующих субъектов на 01.01.2018, что представлено в таблице </w:t>
      </w:r>
      <w:r w:rsidR="00BF5EC6" w:rsidRPr="00A53AD7">
        <w:rPr>
          <w:rFonts w:ascii="Times New Roman" w:hAnsi="Times New Roman"/>
          <w:sz w:val="28"/>
          <w:szCs w:val="28"/>
        </w:rPr>
        <w:t>3</w:t>
      </w:r>
      <w:r w:rsidRPr="00A53AD7">
        <w:rPr>
          <w:rFonts w:ascii="Times New Roman" w:hAnsi="Times New Roman"/>
          <w:sz w:val="28"/>
          <w:szCs w:val="28"/>
        </w:rPr>
        <w:t>.</w:t>
      </w:r>
    </w:p>
    <w:p w14:paraId="095874CD" w14:textId="77777777" w:rsidR="003B5BDA" w:rsidRPr="00A53AD7" w:rsidRDefault="003B5BDA" w:rsidP="006D7620">
      <w:pPr>
        <w:spacing w:after="0" w:line="240" w:lineRule="auto"/>
        <w:ind w:firstLine="851"/>
        <w:jc w:val="both"/>
        <w:rPr>
          <w:rFonts w:ascii="Times New Roman" w:hAnsi="Times New Roman"/>
          <w:sz w:val="28"/>
          <w:szCs w:val="28"/>
        </w:rPr>
      </w:pPr>
    </w:p>
    <w:p w14:paraId="21858D41" w14:textId="1C7405AF" w:rsidR="003B5BDA" w:rsidRPr="00A53AD7" w:rsidRDefault="00554053" w:rsidP="00554053">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 xml:space="preserve">Количество хозяйствующих субъектов (по виду экономической деятельности, заявленному в качестве основного при государственной регистрации) в Архангельской области </w:t>
      </w:r>
    </w:p>
    <w:tbl>
      <w:tblPr>
        <w:tblW w:w="933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3663"/>
        <w:gridCol w:w="1134"/>
        <w:gridCol w:w="1149"/>
        <w:gridCol w:w="1134"/>
        <w:gridCol w:w="1119"/>
        <w:gridCol w:w="1134"/>
      </w:tblGrid>
      <w:tr w:rsidR="00A53AD7" w:rsidRPr="00A53AD7" w14:paraId="5C02196C" w14:textId="77777777" w:rsidTr="0027101B">
        <w:trPr>
          <w:trHeight w:val="654"/>
        </w:trPr>
        <w:tc>
          <w:tcPr>
            <w:tcW w:w="3663" w:type="dxa"/>
            <w:vMerge w:val="restart"/>
            <w:shd w:val="clear" w:color="auto" w:fill="auto"/>
            <w:vAlign w:val="center"/>
            <w:hideMark/>
          </w:tcPr>
          <w:p w14:paraId="759BA84B" w14:textId="77777777" w:rsidR="00063943" w:rsidRPr="00A53AD7" w:rsidRDefault="00063943" w:rsidP="0027101B">
            <w:pPr>
              <w:spacing w:after="0" w:line="240" w:lineRule="auto"/>
              <w:ind w:right="-108"/>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показателя</w:t>
            </w:r>
          </w:p>
        </w:tc>
        <w:tc>
          <w:tcPr>
            <w:tcW w:w="1134" w:type="dxa"/>
            <w:shd w:val="clear" w:color="auto" w:fill="auto"/>
            <w:vAlign w:val="center"/>
            <w:hideMark/>
          </w:tcPr>
          <w:p w14:paraId="6F943809"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01.01.2018 (ед.)</w:t>
            </w:r>
          </w:p>
        </w:tc>
        <w:tc>
          <w:tcPr>
            <w:tcW w:w="1149" w:type="dxa"/>
            <w:shd w:val="clear" w:color="auto" w:fill="auto"/>
            <w:vAlign w:val="center"/>
            <w:hideMark/>
          </w:tcPr>
          <w:p w14:paraId="2436959A" w14:textId="77777777" w:rsidR="00063943" w:rsidRPr="00A53AD7" w:rsidRDefault="00063943" w:rsidP="0027101B">
            <w:pPr>
              <w:spacing w:after="0" w:line="240" w:lineRule="auto"/>
              <w:ind w:left="-108" w:right="-93"/>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01.01.2019 (ед.)</w:t>
            </w:r>
          </w:p>
        </w:tc>
        <w:tc>
          <w:tcPr>
            <w:tcW w:w="1134" w:type="dxa"/>
            <w:shd w:val="clear" w:color="auto" w:fill="auto"/>
            <w:vAlign w:val="center"/>
            <w:hideMark/>
          </w:tcPr>
          <w:p w14:paraId="5D15F0D0" w14:textId="77777777" w:rsidR="00063943" w:rsidRPr="00A53AD7" w:rsidRDefault="00063943" w:rsidP="0027101B">
            <w:pPr>
              <w:spacing w:after="0" w:line="240" w:lineRule="auto"/>
              <w:ind w:left="-123" w:right="-93"/>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01.01.2020 (ед.)</w:t>
            </w:r>
          </w:p>
        </w:tc>
        <w:tc>
          <w:tcPr>
            <w:tcW w:w="2253" w:type="dxa"/>
            <w:gridSpan w:val="2"/>
            <w:shd w:val="clear" w:color="auto" w:fill="auto"/>
            <w:vAlign w:val="center"/>
            <w:hideMark/>
          </w:tcPr>
          <w:p w14:paraId="2DC43A6C" w14:textId="77777777" w:rsidR="00063943" w:rsidRPr="00A53AD7" w:rsidRDefault="00063943" w:rsidP="0027101B">
            <w:pPr>
              <w:spacing w:after="0" w:line="240" w:lineRule="auto"/>
              <w:ind w:left="-123" w:right="-1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Отклонение </w:t>
            </w:r>
          </w:p>
        </w:tc>
      </w:tr>
      <w:tr w:rsidR="00A53AD7" w:rsidRPr="00A53AD7" w14:paraId="2D9E66A8" w14:textId="77777777" w:rsidTr="0027101B">
        <w:trPr>
          <w:trHeight w:val="260"/>
        </w:trPr>
        <w:tc>
          <w:tcPr>
            <w:tcW w:w="3663" w:type="dxa"/>
            <w:vMerge/>
            <w:shd w:val="clear" w:color="auto" w:fill="auto"/>
            <w:vAlign w:val="center"/>
          </w:tcPr>
          <w:p w14:paraId="57963C6B" w14:textId="77777777" w:rsidR="00063943" w:rsidRPr="00A53AD7" w:rsidRDefault="00063943" w:rsidP="0027101B">
            <w:pPr>
              <w:spacing w:after="0" w:line="240" w:lineRule="auto"/>
              <w:ind w:right="-108"/>
              <w:jc w:val="center"/>
              <w:rPr>
                <w:rFonts w:ascii="Times New Roman" w:eastAsia="Times New Roman" w:hAnsi="Times New Roman"/>
                <w:sz w:val="20"/>
                <w:szCs w:val="20"/>
                <w:lang w:eastAsia="ru-RU"/>
              </w:rPr>
            </w:pPr>
          </w:p>
        </w:tc>
        <w:tc>
          <w:tcPr>
            <w:tcW w:w="1134" w:type="dxa"/>
            <w:shd w:val="clear" w:color="auto" w:fill="auto"/>
            <w:vAlign w:val="center"/>
          </w:tcPr>
          <w:p w14:paraId="3998BC33"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итогам 2017 года</w:t>
            </w:r>
          </w:p>
        </w:tc>
        <w:tc>
          <w:tcPr>
            <w:tcW w:w="1149" w:type="dxa"/>
            <w:shd w:val="clear" w:color="auto" w:fill="auto"/>
            <w:vAlign w:val="center"/>
          </w:tcPr>
          <w:p w14:paraId="3378B683" w14:textId="77777777" w:rsidR="00063943" w:rsidRPr="00A53AD7" w:rsidRDefault="00063943" w:rsidP="0027101B">
            <w:pPr>
              <w:spacing w:after="0" w:line="240" w:lineRule="auto"/>
              <w:ind w:left="-108" w:right="-93"/>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итогам 2018 года</w:t>
            </w:r>
          </w:p>
        </w:tc>
        <w:tc>
          <w:tcPr>
            <w:tcW w:w="1134" w:type="dxa"/>
            <w:shd w:val="clear" w:color="auto" w:fill="auto"/>
            <w:vAlign w:val="center"/>
          </w:tcPr>
          <w:p w14:paraId="38FE8C18" w14:textId="77777777" w:rsidR="00063943" w:rsidRPr="00A53AD7" w:rsidRDefault="00063943" w:rsidP="0027101B">
            <w:pPr>
              <w:spacing w:after="0" w:line="240" w:lineRule="auto"/>
              <w:ind w:left="-123" w:right="-93"/>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итогам 2019 года</w:t>
            </w:r>
          </w:p>
        </w:tc>
        <w:tc>
          <w:tcPr>
            <w:tcW w:w="1119" w:type="dxa"/>
            <w:shd w:val="clear" w:color="auto" w:fill="auto"/>
            <w:vAlign w:val="center"/>
          </w:tcPr>
          <w:p w14:paraId="185139A8" w14:textId="77777777" w:rsidR="00063943" w:rsidRPr="00A53AD7" w:rsidRDefault="00063943" w:rsidP="0027101B">
            <w:pPr>
              <w:spacing w:after="0" w:line="240" w:lineRule="auto"/>
              <w:ind w:left="-123" w:right="-1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2018</w:t>
            </w:r>
          </w:p>
        </w:tc>
        <w:tc>
          <w:tcPr>
            <w:tcW w:w="1134" w:type="dxa"/>
            <w:shd w:val="clear" w:color="auto" w:fill="auto"/>
            <w:vAlign w:val="center"/>
          </w:tcPr>
          <w:p w14:paraId="7F1D99B3" w14:textId="77777777" w:rsidR="00063943" w:rsidRPr="00A53AD7" w:rsidRDefault="00063943" w:rsidP="0027101B">
            <w:pPr>
              <w:spacing w:after="0" w:line="240" w:lineRule="auto"/>
              <w:ind w:left="-123" w:right="-1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2017</w:t>
            </w:r>
          </w:p>
        </w:tc>
      </w:tr>
      <w:tr w:rsidR="00A53AD7" w:rsidRPr="00A53AD7" w14:paraId="5BC5905F" w14:textId="77777777" w:rsidTr="0027101B">
        <w:trPr>
          <w:trHeight w:val="128"/>
        </w:trPr>
        <w:tc>
          <w:tcPr>
            <w:tcW w:w="3663" w:type="dxa"/>
            <w:shd w:val="clear" w:color="auto" w:fill="auto"/>
            <w:vAlign w:val="center"/>
            <w:hideMark/>
          </w:tcPr>
          <w:p w14:paraId="30D513F9"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1134" w:type="dxa"/>
            <w:shd w:val="clear" w:color="auto" w:fill="auto"/>
            <w:vAlign w:val="center"/>
            <w:hideMark/>
          </w:tcPr>
          <w:p w14:paraId="796C023B"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149" w:type="dxa"/>
            <w:shd w:val="clear" w:color="auto" w:fill="auto"/>
            <w:vAlign w:val="center"/>
            <w:hideMark/>
          </w:tcPr>
          <w:p w14:paraId="3F9E9C47"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1134" w:type="dxa"/>
            <w:shd w:val="clear" w:color="auto" w:fill="auto"/>
            <w:vAlign w:val="center"/>
            <w:hideMark/>
          </w:tcPr>
          <w:p w14:paraId="42DE1999" w14:textId="77777777" w:rsidR="00063943" w:rsidRPr="00A53AD7" w:rsidRDefault="00063943" w:rsidP="0027101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1119" w:type="dxa"/>
            <w:shd w:val="clear" w:color="auto" w:fill="auto"/>
            <w:vAlign w:val="center"/>
            <w:hideMark/>
          </w:tcPr>
          <w:p w14:paraId="5D88D933" w14:textId="77777777" w:rsidR="00063943" w:rsidRPr="00A53AD7" w:rsidRDefault="00063943" w:rsidP="0027101B">
            <w:pPr>
              <w:spacing w:after="0" w:line="240" w:lineRule="auto"/>
              <w:ind w:left="-123" w:right="-1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4=3-2, ед.</w:t>
            </w:r>
          </w:p>
        </w:tc>
        <w:tc>
          <w:tcPr>
            <w:tcW w:w="1134" w:type="dxa"/>
            <w:shd w:val="clear" w:color="auto" w:fill="auto"/>
            <w:vAlign w:val="center"/>
            <w:hideMark/>
          </w:tcPr>
          <w:p w14:paraId="66015277" w14:textId="77777777" w:rsidR="00063943" w:rsidRPr="00A53AD7" w:rsidRDefault="00063943" w:rsidP="0027101B">
            <w:pPr>
              <w:spacing w:after="0" w:line="240" w:lineRule="auto"/>
              <w:ind w:left="-107" w:right="-1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5=3-1, ед.</w:t>
            </w:r>
          </w:p>
        </w:tc>
      </w:tr>
      <w:tr w:rsidR="00A53AD7" w:rsidRPr="00A53AD7" w14:paraId="6C8ABCF7" w14:textId="77777777" w:rsidTr="0027101B">
        <w:trPr>
          <w:trHeight w:val="410"/>
        </w:trPr>
        <w:tc>
          <w:tcPr>
            <w:tcW w:w="3663" w:type="dxa"/>
            <w:shd w:val="clear" w:color="auto" w:fill="auto"/>
            <w:vAlign w:val="center"/>
            <w:hideMark/>
          </w:tcPr>
          <w:p w14:paraId="454070FE" w14:textId="77777777" w:rsidR="00063943" w:rsidRPr="00A53AD7" w:rsidRDefault="00063943" w:rsidP="0027101B">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Всего хозяйствующих субъектов, </w:t>
            </w:r>
            <w:r w:rsidRPr="00A53AD7">
              <w:rPr>
                <w:rFonts w:ascii="Times New Roman" w:eastAsia="Times New Roman" w:hAnsi="Times New Roman"/>
                <w:i/>
                <w:lang w:eastAsia="ru-RU"/>
              </w:rPr>
              <w:t>из них:</w:t>
            </w:r>
          </w:p>
        </w:tc>
        <w:tc>
          <w:tcPr>
            <w:tcW w:w="1134" w:type="dxa"/>
            <w:shd w:val="clear" w:color="auto" w:fill="auto"/>
            <w:vAlign w:val="bottom"/>
            <w:hideMark/>
          </w:tcPr>
          <w:p w14:paraId="543B8A01" w14:textId="2F977504" w:rsidR="00063943" w:rsidRPr="00A53AD7" w:rsidRDefault="00063943" w:rsidP="007E27C7">
            <w:pPr>
              <w:spacing w:after="0" w:line="240" w:lineRule="auto"/>
              <w:ind w:left="-108" w:right="-108"/>
              <w:jc w:val="right"/>
              <w:rPr>
                <w:rFonts w:ascii="Times New Roman" w:eastAsia="Times New Roman" w:hAnsi="Times New Roman"/>
                <w:lang w:eastAsia="ru-RU"/>
              </w:rPr>
            </w:pPr>
            <w:r w:rsidRPr="00A53AD7">
              <w:rPr>
                <w:rFonts w:ascii="Times New Roman" w:eastAsia="Times New Roman" w:hAnsi="Times New Roman"/>
                <w:lang w:eastAsia="ru-RU"/>
              </w:rPr>
              <w:t xml:space="preserve">22 107 </w:t>
            </w:r>
          </w:p>
        </w:tc>
        <w:tc>
          <w:tcPr>
            <w:tcW w:w="1149" w:type="dxa"/>
            <w:shd w:val="clear" w:color="auto" w:fill="auto"/>
            <w:vAlign w:val="bottom"/>
            <w:hideMark/>
          </w:tcPr>
          <w:p w14:paraId="0B2A1804" w14:textId="67A67AEF"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21 106 </w:t>
            </w:r>
          </w:p>
        </w:tc>
        <w:tc>
          <w:tcPr>
            <w:tcW w:w="1134" w:type="dxa"/>
            <w:shd w:val="clear" w:color="auto" w:fill="auto"/>
            <w:vAlign w:val="bottom"/>
            <w:hideMark/>
          </w:tcPr>
          <w:p w14:paraId="68E80826" w14:textId="08922C7F"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20 009 </w:t>
            </w:r>
          </w:p>
        </w:tc>
        <w:tc>
          <w:tcPr>
            <w:tcW w:w="1119" w:type="dxa"/>
            <w:shd w:val="clear" w:color="auto" w:fill="auto"/>
            <w:noWrap/>
            <w:vAlign w:val="bottom"/>
            <w:hideMark/>
          </w:tcPr>
          <w:p w14:paraId="288D8A93" w14:textId="2690BDFB"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-1 097 </w:t>
            </w:r>
          </w:p>
        </w:tc>
        <w:tc>
          <w:tcPr>
            <w:tcW w:w="1134" w:type="dxa"/>
            <w:shd w:val="clear" w:color="auto" w:fill="auto"/>
            <w:noWrap/>
            <w:vAlign w:val="bottom"/>
            <w:hideMark/>
          </w:tcPr>
          <w:p w14:paraId="5909EB0A" w14:textId="1FE41BBC"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-2 098 </w:t>
            </w:r>
          </w:p>
        </w:tc>
      </w:tr>
      <w:tr w:rsidR="00A53AD7" w:rsidRPr="00A53AD7" w14:paraId="5637B388" w14:textId="77777777" w:rsidTr="0027101B">
        <w:trPr>
          <w:trHeight w:val="468"/>
        </w:trPr>
        <w:tc>
          <w:tcPr>
            <w:tcW w:w="3663" w:type="dxa"/>
            <w:shd w:val="clear" w:color="auto" w:fill="auto"/>
            <w:vAlign w:val="bottom"/>
            <w:hideMark/>
          </w:tcPr>
          <w:p w14:paraId="218043DF"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 xml:space="preserve">сельское, лесное хозяйство, охота, рыболовство и рыбоводство </w:t>
            </w:r>
          </w:p>
        </w:tc>
        <w:tc>
          <w:tcPr>
            <w:tcW w:w="1134" w:type="dxa"/>
            <w:shd w:val="clear" w:color="auto" w:fill="auto"/>
            <w:noWrap/>
            <w:vAlign w:val="bottom"/>
            <w:hideMark/>
          </w:tcPr>
          <w:p w14:paraId="50B88A77" w14:textId="27D6BD9A"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1 031 </w:t>
            </w:r>
          </w:p>
        </w:tc>
        <w:tc>
          <w:tcPr>
            <w:tcW w:w="1149" w:type="dxa"/>
            <w:shd w:val="clear" w:color="auto" w:fill="auto"/>
            <w:noWrap/>
            <w:vAlign w:val="bottom"/>
            <w:hideMark/>
          </w:tcPr>
          <w:p w14:paraId="52A4E9DF" w14:textId="1D5BF34B"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843 </w:t>
            </w:r>
          </w:p>
        </w:tc>
        <w:tc>
          <w:tcPr>
            <w:tcW w:w="1134" w:type="dxa"/>
            <w:shd w:val="clear" w:color="auto" w:fill="auto"/>
            <w:noWrap/>
            <w:vAlign w:val="bottom"/>
            <w:hideMark/>
          </w:tcPr>
          <w:p w14:paraId="1BACE668" w14:textId="3F526C04"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664 </w:t>
            </w:r>
          </w:p>
        </w:tc>
        <w:tc>
          <w:tcPr>
            <w:tcW w:w="1119" w:type="dxa"/>
            <w:shd w:val="clear" w:color="auto" w:fill="auto"/>
            <w:noWrap/>
            <w:vAlign w:val="bottom"/>
            <w:hideMark/>
          </w:tcPr>
          <w:p w14:paraId="530FE7D1" w14:textId="10AB4283"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-179 </w:t>
            </w:r>
          </w:p>
        </w:tc>
        <w:tc>
          <w:tcPr>
            <w:tcW w:w="1134" w:type="dxa"/>
            <w:shd w:val="clear" w:color="auto" w:fill="auto"/>
            <w:noWrap/>
            <w:vAlign w:val="bottom"/>
            <w:hideMark/>
          </w:tcPr>
          <w:p w14:paraId="243D1412" w14:textId="06F34CF9"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-367 </w:t>
            </w:r>
          </w:p>
        </w:tc>
      </w:tr>
      <w:tr w:rsidR="00A53AD7" w:rsidRPr="00A53AD7" w14:paraId="594BF8C0" w14:textId="77777777" w:rsidTr="0027101B">
        <w:trPr>
          <w:trHeight w:val="255"/>
        </w:trPr>
        <w:tc>
          <w:tcPr>
            <w:tcW w:w="3663" w:type="dxa"/>
            <w:shd w:val="clear" w:color="auto" w:fill="auto"/>
            <w:vAlign w:val="bottom"/>
            <w:hideMark/>
          </w:tcPr>
          <w:p w14:paraId="31EF3CB4"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1134" w:type="dxa"/>
            <w:shd w:val="clear" w:color="auto" w:fill="auto"/>
            <w:noWrap/>
            <w:vAlign w:val="bottom"/>
            <w:hideMark/>
          </w:tcPr>
          <w:p w14:paraId="41F88621" w14:textId="1602EF85"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54 </w:t>
            </w:r>
          </w:p>
        </w:tc>
        <w:tc>
          <w:tcPr>
            <w:tcW w:w="1149" w:type="dxa"/>
            <w:shd w:val="clear" w:color="auto" w:fill="auto"/>
            <w:noWrap/>
            <w:vAlign w:val="bottom"/>
            <w:hideMark/>
          </w:tcPr>
          <w:p w14:paraId="763E776D" w14:textId="15C59238"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 </w:t>
            </w:r>
          </w:p>
        </w:tc>
        <w:tc>
          <w:tcPr>
            <w:tcW w:w="1134" w:type="dxa"/>
            <w:shd w:val="clear" w:color="auto" w:fill="auto"/>
            <w:noWrap/>
            <w:vAlign w:val="bottom"/>
            <w:hideMark/>
          </w:tcPr>
          <w:p w14:paraId="55788FD3" w14:textId="74E47592"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56 </w:t>
            </w:r>
          </w:p>
        </w:tc>
        <w:tc>
          <w:tcPr>
            <w:tcW w:w="1119" w:type="dxa"/>
            <w:shd w:val="clear" w:color="auto" w:fill="auto"/>
            <w:noWrap/>
            <w:vAlign w:val="bottom"/>
            <w:hideMark/>
          </w:tcPr>
          <w:p w14:paraId="0D327BFB" w14:textId="61A38DCA"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w:t>
            </w:r>
          </w:p>
        </w:tc>
        <w:tc>
          <w:tcPr>
            <w:tcW w:w="1134" w:type="dxa"/>
            <w:shd w:val="clear" w:color="auto" w:fill="auto"/>
            <w:noWrap/>
            <w:vAlign w:val="bottom"/>
            <w:hideMark/>
          </w:tcPr>
          <w:p w14:paraId="64CAF5FE" w14:textId="7BE7D3DC"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w:t>
            </w:r>
          </w:p>
        </w:tc>
      </w:tr>
      <w:tr w:rsidR="00A53AD7" w:rsidRPr="00A53AD7" w14:paraId="2B5D59DE" w14:textId="77777777" w:rsidTr="0027101B">
        <w:trPr>
          <w:trHeight w:val="255"/>
        </w:trPr>
        <w:tc>
          <w:tcPr>
            <w:tcW w:w="3663" w:type="dxa"/>
            <w:shd w:val="clear" w:color="auto" w:fill="auto"/>
            <w:vAlign w:val="bottom"/>
            <w:hideMark/>
          </w:tcPr>
          <w:p w14:paraId="5292B1AB"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w:t>
            </w:r>
          </w:p>
        </w:tc>
        <w:tc>
          <w:tcPr>
            <w:tcW w:w="1134" w:type="dxa"/>
            <w:shd w:val="clear" w:color="auto" w:fill="auto"/>
            <w:noWrap/>
            <w:vAlign w:val="bottom"/>
            <w:hideMark/>
          </w:tcPr>
          <w:p w14:paraId="60B6D7BE" w14:textId="4C89AFCB"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1 430 </w:t>
            </w:r>
          </w:p>
        </w:tc>
        <w:tc>
          <w:tcPr>
            <w:tcW w:w="1149" w:type="dxa"/>
            <w:shd w:val="clear" w:color="auto" w:fill="auto"/>
            <w:noWrap/>
            <w:vAlign w:val="bottom"/>
            <w:hideMark/>
          </w:tcPr>
          <w:p w14:paraId="617F8011" w14:textId="362D1B3E"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1 356 </w:t>
            </w:r>
          </w:p>
        </w:tc>
        <w:tc>
          <w:tcPr>
            <w:tcW w:w="1134" w:type="dxa"/>
            <w:shd w:val="clear" w:color="auto" w:fill="auto"/>
            <w:noWrap/>
            <w:vAlign w:val="bottom"/>
            <w:hideMark/>
          </w:tcPr>
          <w:p w14:paraId="73610987" w14:textId="34674486"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1 264 </w:t>
            </w:r>
          </w:p>
        </w:tc>
        <w:tc>
          <w:tcPr>
            <w:tcW w:w="1119" w:type="dxa"/>
            <w:shd w:val="clear" w:color="auto" w:fill="auto"/>
            <w:noWrap/>
            <w:vAlign w:val="bottom"/>
            <w:hideMark/>
          </w:tcPr>
          <w:p w14:paraId="6CB77BD2" w14:textId="73AE8849"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-92 </w:t>
            </w:r>
          </w:p>
        </w:tc>
        <w:tc>
          <w:tcPr>
            <w:tcW w:w="1134" w:type="dxa"/>
            <w:shd w:val="clear" w:color="auto" w:fill="auto"/>
            <w:noWrap/>
            <w:vAlign w:val="bottom"/>
            <w:hideMark/>
          </w:tcPr>
          <w:p w14:paraId="56162A30" w14:textId="23BB27AF" w:rsidR="00063943" w:rsidRPr="00A53AD7" w:rsidRDefault="00063943" w:rsidP="007E27C7">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-166 </w:t>
            </w:r>
          </w:p>
        </w:tc>
      </w:tr>
      <w:tr w:rsidR="00A53AD7" w:rsidRPr="00A53AD7" w14:paraId="7839E84F" w14:textId="77777777" w:rsidTr="0027101B">
        <w:trPr>
          <w:trHeight w:val="255"/>
        </w:trPr>
        <w:tc>
          <w:tcPr>
            <w:tcW w:w="3663" w:type="dxa"/>
            <w:shd w:val="clear" w:color="auto" w:fill="auto"/>
            <w:vAlign w:val="bottom"/>
          </w:tcPr>
          <w:p w14:paraId="374D58BD"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из них:</w:t>
            </w:r>
          </w:p>
        </w:tc>
        <w:tc>
          <w:tcPr>
            <w:tcW w:w="1134" w:type="dxa"/>
            <w:shd w:val="clear" w:color="auto" w:fill="auto"/>
            <w:noWrap/>
            <w:vAlign w:val="bottom"/>
          </w:tcPr>
          <w:p w14:paraId="2D522241" w14:textId="77777777" w:rsidR="00063943" w:rsidRPr="00A53AD7" w:rsidRDefault="00063943" w:rsidP="0027101B">
            <w:pPr>
              <w:spacing w:after="0" w:line="240" w:lineRule="auto"/>
              <w:jc w:val="right"/>
              <w:rPr>
                <w:rFonts w:ascii="Times New Roman" w:eastAsia="Times New Roman" w:hAnsi="Times New Roman"/>
                <w:lang w:eastAsia="ru-RU"/>
              </w:rPr>
            </w:pPr>
          </w:p>
        </w:tc>
        <w:tc>
          <w:tcPr>
            <w:tcW w:w="1149" w:type="dxa"/>
            <w:shd w:val="clear" w:color="auto" w:fill="auto"/>
            <w:noWrap/>
            <w:vAlign w:val="bottom"/>
          </w:tcPr>
          <w:p w14:paraId="42F8D80D" w14:textId="77777777" w:rsidR="00063943" w:rsidRPr="00A53AD7" w:rsidRDefault="00063943" w:rsidP="0027101B">
            <w:pPr>
              <w:spacing w:after="0" w:line="240" w:lineRule="auto"/>
              <w:jc w:val="right"/>
              <w:rPr>
                <w:rFonts w:ascii="Times New Roman" w:eastAsia="Times New Roman" w:hAnsi="Times New Roman"/>
                <w:lang w:eastAsia="ru-RU"/>
              </w:rPr>
            </w:pPr>
          </w:p>
        </w:tc>
        <w:tc>
          <w:tcPr>
            <w:tcW w:w="1134" w:type="dxa"/>
            <w:shd w:val="clear" w:color="auto" w:fill="auto"/>
            <w:noWrap/>
            <w:vAlign w:val="bottom"/>
          </w:tcPr>
          <w:p w14:paraId="5F854CA7" w14:textId="77777777" w:rsidR="00063943" w:rsidRPr="00A53AD7" w:rsidRDefault="00063943" w:rsidP="0027101B">
            <w:pPr>
              <w:spacing w:after="0" w:line="240" w:lineRule="auto"/>
              <w:jc w:val="right"/>
              <w:rPr>
                <w:rFonts w:ascii="Times New Roman" w:eastAsia="Times New Roman" w:hAnsi="Times New Roman"/>
                <w:lang w:eastAsia="ru-RU"/>
              </w:rPr>
            </w:pPr>
          </w:p>
        </w:tc>
        <w:tc>
          <w:tcPr>
            <w:tcW w:w="1119" w:type="dxa"/>
            <w:shd w:val="clear" w:color="auto" w:fill="auto"/>
            <w:noWrap/>
            <w:vAlign w:val="bottom"/>
          </w:tcPr>
          <w:p w14:paraId="17DA8C05" w14:textId="77777777" w:rsidR="00063943" w:rsidRPr="00A53AD7" w:rsidRDefault="00063943" w:rsidP="0027101B">
            <w:pPr>
              <w:spacing w:after="0" w:line="240" w:lineRule="auto"/>
              <w:jc w:val="right"/>
              <w:rPr>
                <w:rFonts w:ascii="Times New Roman" w:eastAsia="Times New Roman" w:hAnsi="Times New Roman"/>
                <w:lang w:eastAsia="ru-RU"/>
              </w:rPr>
            </w:pPr>
          </w:p>
        </w:tc>
        <w:tc>
          <w:tcPr>
            <w:tcW w:w="1134" w:type="dxa"/>
            <w:shd w:val="clear" w:color="auto" w:fill="auto"/>
            <w:noWrap/>
            <w:vAlign w:val="bottom"/>
          </w:tcPr>
          <w:p w14:paraId="363A5E21" w14:textId="77777777" w:rsidR="00063943" w:rsidRPr="00A53AD7" w:rsidRDefault="00063943" w:rsidP="0027101B">
            <w:pPr>
              <w:spacing w:after="0" w:line="240" w:lineRule="auto"/>
              <w:jc w:val="right"/>
              <w:rPr>
                <w:rFonts w:ascii="Times New Roman" w:eastAsia="Times New Roman" w:hAnsi="Times New Roman"/>
                <w:lang w:eastAsia="ru-RU"/>
              </w:rPr>
            </w:pPr>
          </w:p>
        </w:tc>
      </w:tr>
      <w:tr w:rsidR="00A53AD7" w:rsidRPr="00A53AD7" w14:paraId="01F0E97A" w14:textId="77777777" w:rsidTr="0027101B">
        <w:trPr>
          <w:trHeight w:val="255"/>
        </w:trPr>
        <w:tc>
          <w:tcPr>
            <w:tcW w:w="3663" w:type="dxa"/>
            <w:shd w:val="clear" w:color="auto" w:fill="auto"/>
          </w:tcPr>
          <w:p w14:paraId="6092141C" w14:textId="77777777" w:rsidR="00063943" w:rsidRPr="00A53AD7" w:rsidRDefault="00063943" w:rsidP="0027101B">
            <w:pPr>
              <w:spacing w:after="0" w:line="240" w:lineRule="auto"/>
              <w:ind w:left="578"/>
              <w:rPr>
                <w:rFonts w:ascii="Times New Roman" w:eastAsia="Times New Roman" w:hAnsi="Times New Roman"/>
                <w:i/>
                <w:lang w:eastAsia="ru-RU"/>
              </w:rPr>
            </w:pPr>
            <w:r w:rsidRPr="00A53AD7">
              <w:rPr>
                <w:rFonts w:ascii="Times New Roman" w:hAnsi="Times New Roman"/>
                <w:i/>
              </w:rPr>
              <w:t>производство пищевых продуктов</w:t>
            </w:r>
          </w:p>
        </w:tc>
        <w:tc>
          <w:tcPr>
            <w:tcW w:w="1134" w:type="dxa"/>
            <w:shd w:val="clear" w:color="auto" w:fill="auto"/>
            <w:noWrap/>
            <w:vAlign w:val="bottom"/>
          </w:tcPr>
          <w:p w14:paraId="5F1A6849"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191</w:t>
            </w:r>
          </w:p>
        </w:tc>
        <w:tc>
          <w:tcPr>
            <w:tcW w:w="1149" w:type="dxa"/>
            <w:shd w:val="clear" w:color="auto" w:fill="auto"/>
            <w:noWrap/>
            <w:vAlign w:val="bottom"/>
          </w:tcPr>
          <w:p w14:paraId="131FAADD"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178</w:t>
            </w:r>
          </w:p>
        </w:tc>
        <w:tc>
          <w:tcPr>
            <w:tcW w:w="1134" w:type="dxa"/>
            <w:shd w:val="clear" w:color="auto" w:fill="auto"/>
            <w:noWrap/>
            <w:vAlign w:val="bottom"/>
          </w:tcPr>
          <w:p w14:paraId="40EA9ACE"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170</w:t>
            </w:r>
          </w:p>
        </w:tc>
        <w:tc>
          <w:tcPr>
            <w:tcW w:w="1119" w:type="dxa"/>
            <w:shd w:val="clear" w:color="auto" w:fill="auto"/>
            <w:noWrap/>
            <w:vAlign w:val="bottom"/>
          </w:tcPr>
          <w:p w14:paraId="0341A55C"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-8,0</w:t>
            </w:r>
          </w:p>
        </w:tc>
        <w:tc>
          <w:tcPr>
            <w:tcW w:w="1134" w:type="dxa"/>
            <w:shd w:val="clear" w:color="auto" w:fill="auto"/>
            <w:noWrap/>
            <w:vAlign w:val="bottom"/>
          </w:tcPr>
          <w:p w14:paraId="087169B5"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-21,0</w:t>
            </w:r>
          </w:p>
        </w:tc>
      </w:tr>
      <w:tr w:rsidR="00A53AD7" w:rsidRPr="00A53AD7" w14:paraId="2A1FC435" w14:textId="77777777" w:rsidTr="0027101B">
        <w:trPr>
          <w:trHeight w:val="255"/>
        </w:trPr>
        <w:tc>
          <w:tcPr>
            <w:tcW w:w="3663" w:type="dxa"/>
            <w:shd w:val="clear" w:color="auto" w:fill="auto"/>
          </w:tcPr>
          <w:p w14:paraId="12399194" w14:textId="77777777" w:rsidR="00063943" w:rsidRPr="00A53AD7" w:rsidRDefault="00063943" w:rsidP="0027101B">
            <w:pPr>
              <w:spacing w:after="0" w:line="240" w:lineRule="auto"/>
              <w:ind w:firstLineChars="262" w:firstLine="576"/>
              <w:rPr>
                <w:rFonts w:ascii="Times New Roman" w:eastAsia="Times New Roman" w:hAnsi="Times New Roman"/>
                <w:i/>
                <w:lang w:eastAsia="ru-RU"/>
              </w:rPr>
            </w:pPr>
            <w:r w:rsidRPr="00A53AD7">
              <w:rPr>
                <w:rFonts w:ascii="Times New Roman" w:hAnsi="Times New Roman"/>
                <w:i/>
              </w:rPr>
              <w:t>производство напитков</w:t>
            </w:r>
          </w:p>
        </w:tc>
        <w:tc>
          <w:tcPr>
            <w:tcW w:w="1134" w:type="dxa"/>
            <w:shd w:val="clear" w:color="auto" w:fill="auto"/>
            <w:noWrap/>
            <w:vAlign w:val="bottom"/>
          </w:tcPr>
          <w:p w14:paraId="4592A20E"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39</w:t>
            </w:r>
          </w:p>
        </w:tc>
        <w:tc>
          <w:tcPr>
            <w:tcW w:w="1149" w:type="dxa"/>
            <w:shd w:val="clear" w:color="auto" w:fill="auto"/>
            <w:noWrap/>
            <w:vAlign w:val="bottom"/>
          </w:tcPr>
          <w:p w14:paraId="255FBB00"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37</w:t>
            </w:r>
          </w:p>
        </w:tc>
        <w:tc>
          <w:tcPr>
            <w:tcW w:w="1134" w:type="dxa"/>
            <w:shd w:val="clear" w:color="auto" w:fill="auto"/>
            <w:noWrap/>
            <w:vAlign w:val="bottom"/>
          </w:tcPr>
          <w:p w14:paraId="6495B8BA"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37</w:t>
            </w:r>
          </w:p>
        </w:tc>
        <w:tc>
          <w:tcPr>
            <w:tcW w:w="1119" w:type="dxa"/>
            <w:shd w:val="clear" w:color="auto" w:fill="auto"/>
            <w:noWrap/>
            <w:vAlign w:val="bottom"/>
          </w:tcPr>
          <w:p w14:paraId="5EDCAD95"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0,0</w:t>
            </w:r>
          </w:p>
        </w:tc>
        <w:tc>
          <w:tcPr>
            <w:tcW w:w="1134" w:type="dxa"/>
            <w:shd w:val="clear" w:color="auto" w:fill="auto"/>
            <w:noWrap/>
            <w:vAlign w:val="bottom"/>
          </w:tcPr>
          <w:p w14:paraId="52FC0A30"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-2,0</w:t>
            </w:r>
          </w:p>
        </w:tc>
      </w:tr>
      <w:tr w:rsidR="00A53AD7" w:rsidRPr="00A53AD7" w14:paraId="3E856997" w14:textId="77777777" w:rsidTr="0027101B">
        <w:trPr>
          <w:trHeight w:val="255"/>
        </w:trPr>
        <w:tc>
          <w:tcPr>
            <w:tcW w:w="3663" w:type="dxa"/>
            <w:shd w:val="clear" w:color="auto" w:fill="auto"/>
            <w:vAlign w:val="bottom"/>
          </w:tcPr>
          <w:p w14:paraId="1FB6E6E5" w14:textId="77777777" w:rsidR="00063943" w:rsidRPr="00A53AD7" w:rsidRDefault="00063943" w:rsidP="0027101B">
            <w:pPr>
              <w:spacing w:after="0" w:line="240" w:lineRule="auto"/>
              <w:ind w:firstLineChars="262" w:firstLine="576"/>
              <w:rPr>
                <w:rFonts w:ascii="Times New Roman" w:eastAsia="Times New Roman" w:hAnsi="Times New Roman"/>
                <w:i/>
                <w:lang w:eastAsia="ru-RU"/>
              </w:rPr>
            </w:pPr>
            <w:r w:rsidRPr="00A53AD7">
              <w:rPr>
                <w:rFonts w:ascii="Times New Roman" w:eastAsia="Times New Roman" w:hAnsi="Times New Roman"/>
                <w:i/>
                <w:lang w:eastAsia="ru-RU"/>
              </w:rPr>
              <w:t>обработка древесины и производство изделий из дерева и пробки…</w:t>
            </w:r>
          </w:p>
        </w:tc>
        <w:tc>
          <w:tcPr>
            <w:tcW w:w="1134" w:type="dxa"/>
            <w:shd w:val="clear" w:color="auto" w:fill="auto"/>
            <w:noWrap/>
            <w:vAlign w:val="bottom"/>
          </w:tcPr>
          <w:p w14:paraId="46C4972A"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390</w:t>
            </w:r>
          </w:p>
        </w:tc>
        <w:tc>
          <w:tcPr>
            <w:tcW w:w="1149" w:type="dxa"/>
            <w:shd w:val="clear" w:color="auto" w:fill="auto"/>
            <w:noWrap/>
            <w:vAlign w:val="bottom"/>
          </w:tcPr>
          <w:p w14:paraId="7EE7F408"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372</w:t>
            </w:r>
          </w:p>
        </w:tc>
        <w:tc>
          <w:tcPr>
            <w:tcW w:w="1134" w:type="dxa"/>
            <w:shd w:val="clear" w:color="auto" w:fill="auto"/>
            <w:noWrap/>
            <w:vAlign w:val="bottom"/>
          </w:tcPr>
          <w:p w14:paraId="2389C594"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324</w:t>
            </w:r>
          </w:p>
        </w:tc>
        <w:tc>
          <w:tcPr>
            <w:tcW w:w="1119" w:type="dxa"/>
            <w:shd w:val="clear" w:color="auto" w:fill="auto"/>
            <w:noWrap/>
            <w:vAlign w:val="bottom"/>
          </w:tcPr>
          <w:p w14:paraId="776D7D2E"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-48,0</w:t>
            </w:r>
          </w:p>
        </w:tc>
        <w:tc>
          <w:tcPr>
            <w:tcW w:w="1134" w:type="dxa"/>
            <w:shd w:val="clear" w:color="auto" w:fill="auto"/>
            <w:noWrap/>
            <w:vAlign w:val="bottom"/>
          </w:tcPr>
          <w:p w14:paraId="3E683350" w14:textId="77777777" w:rsidR="00063943" w:rsidRPr="00A53AD7" w:rsidRDefault="00063943" w:rsidP="0027101B">
            <w:pPr>
              <w:spacing w:after="0" w:line="240" w:lineRule="auto"/>
              <w:jc w:val="right"/>
              <w:rPr>
                <w:rFonts w:ascii="Times New Roman" w:eastAsia="Times New Roman" w:hAnsi="Times New Roman"/>
                <w:i/>
                <w:lang w:eastAsia="ru-RU"/>
              </w:rPr>
            </w:pPr>
            <w:r w:rsidRPr="00A53AD7">
              <w:rPr>
                <w:rFonts w:ascii="Times New Roman" w:eastAsia="Times New Roman" w:hAnsi="Times New Roman"/>
                <w:i/>
                <w:lang w:eastAsia="ru-RU"/>
              </w:rPr>
              <w:t>-66,0</w:t>
            </w:r>
          </w:p>
        </w:tc>
      </w:tr>
      <w:tr w:rsidR="00A53AD7" w:rsidRPr="00A53AD7" w14:paraId="412EF440" w14:textId="77777777" w:rsidTr="0027101B">
        <w:trPr>
          <w:trHeight w:val="600"/>
        </w:trPr>
        <w:tc>
          <w:tcPr>
            <w:tcW w:w="3663" w:type="dxa"/>
            <w:shd w:val="clear" w:color="auto" w:fill="auto"/>
            <w:vAlign w:val="bottom"/>
            <w:hideMark/>
          </w:tcPr>
          <w:p w14:paraId="1F30A46B"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 газом и паром; кондиционирование воздуха</w:t>
            </w:r>
          </w:p>
        </w:tc>
        <w:tc>
          <w:tcPr>
            <w:tcW w:w="1134" w:type="dxa"/>
            <w:shd w:val="clear" w:color="auto" w:fill="auto"/>
            <w:noWrap/>
            <w:vAlign w:val="bottom"/>
            <w:hideMark/>
          </w:tcPr>
          <w:p w14:paraId="28205931"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284,0 </w:t>
            </w:r>
          </w:p>
        </w:tc>
        <w:tc>
          <w:tcPr>
            <w:tcW w:w="1149" w:type="dxa"/>
            <w:shd w:val="clear" w:color="auto" w:fill="auto"/>
            <w:noWrap/>
            <w:vAlign w:val="bottom"/>
            <w:hideMark/>
          </w:tcPr>
          <w:p w14:paraId="7C0A68BD"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260,0 </w:t>
            </w:r>
          </w:p>
        </w:tc>
        <w:tc>
          <w:tcPr>
            <w:tcW w:w="1134" w:type="dxa"/>
            <w:shd w:val="clear" w:color="auto" w:fill="auto"/>
            <w:noWrap/>
            <w:vAlign w:val="bottom"/>
            <w:hideMark/>
          </w:tcPr>
          <w:p w14:paraId="366126DA"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248,0 </w:t>
            </w:r>
          </w:p>
        </w:tc>
        <w:tc>
          <w:tcPr>
            <w:tcW w:w="1119" w:type="dxa"/>
            <w:shd w:val="clear" w:color="auto" w:fill="auto"/>
            <w:noWrap/>
            <w:vAlign w:val="bottom"/>
            <w:hideMark/>
          </w:tcPr>
          <w:p w14:paraId="481C4D57"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-12,0 </w:t>
            </w:r>
          </w:p>
        </w:tc>
        <w:tc>
          <w:tcPr>
            <w:tcW w:w="1134" w:type="dxa"/>
            <w:shd w:val="clear" w:color="auto" w:fill="auto"/>
            <w:noWrap/>
            <w:vAlign w:val="bottom"/>
            <w:hideMark/>
          </w:tcPr>
          <w:p w14:paraId="00CFDBC6"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-36,0 </w:t>
            </w:r>
          </w:p>
        </w:tc>
      </w:tr>
      <w:tr w:rsidR="00A53AD7" w:rsidRPr="00A53AD7" w14:paraId="2E4080A0" w14:textId="77777777" w:rsidTr="0027101B">
        <w:trPr>
          <w:trHeight w:val="600"/>
        </w:trPr>
        <w:tc>
          <w:tcPr>
            <w:tcW w:w="3663" w:type="dxa"/>
            <w:shd w:val="clear" w:color="auto" w:fill="auto"/>
            <w:vAlign w:val="bottom"/>
            <w:hideMark/>
          </w:tcPr>
          <w:p w14:paraId="415D135E"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 xml:space="preserve">водоснабжение, водоотведение, организация сбора и утилизация отходов… </w:t>
            </w:r>
          </w:p>
        </w:tc>
        <w:tc>
          <w:tcPr>
            <w:tcW w:w="1134" w:type="dxa"/>
            <w:shd w:val="clear" w:color="auto" w:fill="auto"/>
            <w:noWrap/>
            <w:vAlign w:val="bottom"/>
            <w:hideMark/>
          </w:tcPr>
          <w:p w14:paraId="2ABCD378"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186,0 </w:t>
            </w:r>
          </w:p>
        </w:tc>
        <w:tc>
          <w:tcPr>
            <w:tcW w:w="1149" w:type="dxa"/>
            <w:shd w:val="clear" w:color="auto" w:fill="auto"/>
            <w:noWrap/>
            <w:vAlign w:val="bottom"/>
            <w:hideMark/>
          </w:tcPr>
          <w:p w14:paraId="29095FA9"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185,0 </w:t>
            </w:r>
          </w:p>
        </w:tc>
        <w:tc>
          <w:tcPr>
            <w:tcW w:w="1134" w:type="dxa"/>
            <w:shd w:val="clear" w:color="auto" w:fill="auto"/>
            <w:noWrap/>
            <w:vAlign w:val="bottom"/>
            <w:hideMark/>
          </w:tcPr>
          <w:p w14:paraId="67A7B1A8"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189,0 </w:t>
            </w:r>
          </w:p>
        </w:tc>
        <w:tc>
          <w:tcPr>
            <w:tcW w:w="1119" w:type="dxa"/>
            <w:shd w:val="clear" w:color="auto" w:fill="auto"/>
            <w:noWrap/>
            <w:vAlign w:val="bottom"/>
            <w:hideMark/>
          </w:tcPr>
          <w:p w14:paraId="27575D03"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 </w:t>
            </w:r>
          </w:p>
        </w:tc>
        <w:tc>
          <w:tcPr>
            <w:tcW w:w="1134" w:type="dxa"/>
            <w:shd w:val="clear" w:color="auto" w:fill="auto"/>
            <w:noWrap/>
            <w:vAlign w:val="bottom"/>
            <w:hideMark/>
          </w:tcPr>
          <w:p w14:paraId="5D9813E8"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 </w:t>
            </w:r>
          </w:p>
        </w:tc>
      </w:tr>
      <w:tr w:rsidR="00A53AD7" w:rsidRPr="00A53AD7" w14:paraId="03C3F9F0" w14:textId="77777777" w:rsidTr="0027101B">
        <w:trPr>
          <w:trHeight w:val="255"/>
        </w:trPr>
        <w:tc>
          <w:tcPr>
            <w:tcW w:w="3663" w:type="dxa"/>
            <w:shd w:val="clear" w:color="auto" w:fill="auto"/>
            <w:vAlign w:val="bottom"/>
            <w:hideMark/>
          </w:tcPr>
          <w:p w14:paraId="7B934FB1"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 xml:space="preserve">строительство </w:t>
            </w:r>
          </w:p>
        </w:tc>
        <w:tc>
          <w:tcPr>
            <w:tcW w:w="1134" w:type="dxa"/>
            <w:shd w:val="clear" w:color="auto" w:fill="auto"/>
            <w:noWrap/>
            <w:vAlign w:val="bottom"/>
            <w:hideMark/>
          </w:tcPr>
          <w:p w14:paraId="5D6523C6"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2 249,0 </w:t>
            </w:r>
          </w:p>
        </w:tc>
        <w:tc>
          <w:tcPr>
            <w:tcW w:w="1149" w:type="dxa"/>
            <w:shd w:val="clear" w:color="auto" w:fill="auto"/>
            <w:noWrap/>
            <w:vAlign w:val="bottom"/>
            <w:hideMark/>
          </w:tcPr>
          <w:p w14:paraId="0C1A411E"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2 197,0 </w:t>
            </w:r>
          </w:p>
        </w:tc>
        <w:tc>
          <w:tcPr>
            <w:tcW w:w="1134" w:type="dxa"/>
            <w:shd w:val="clear" w:color="auto" w:fill="auto"/>
            <w:noWrap/>
            <w:vAlign w:val="bottom"/>
            <w:hideMark/>
          </w:tcPr>
          <w:p w14:paraId="6640DBBC"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2 072,0 </w:t>
            </w:r>
          </w:p>
        </w:tc>
        <w:tc>
          <w:tcPr>
            <w:tcW w:w="1119" w:type="dxa"/>
            <w:shd w:val="clear" w:color="auto" w:fill="auto"/>
            <w:noWrap/>
            <w:vAlign w:val="bottom"/>
            <w:hideMark/>
          </w:tcPr>
          <w:p w14:paraId="613AB235"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-125,0 </w:t>
            </w:r>
          </w:p>
        </w:tc>
        <w:tc>
          <w:tcPr>
            <w:tcW w:w="1134" w:type="dxa"/>
            <w:shd w:val="clear" w:color="auto" w:fill="auto"/>
            <w:noWrap/>
            <w:vAlign w:val="bottom"/>
            <w:hideMark/>
          </w:tcPr>
          <w:p w14:paraId="23D37F36"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-177,0 </w:t>
            </w:r>
          </w:p>
        </w:tc>
      </w:tr>
      <w:tr w:rsidR="00A53AD7" w:rsidRPr="00A53AD7" w14:paraId="5728D739" w14:textId="77777777" w:rsidTr="0027101B">
        <w:trPr>
          <w:trHeight w:val="255"/>
        </w:trPr>
        <w:tc>
          <w:tcPr>
            <w:tcW w:w="3663" w:type="dxa"/>
            <w:shd w:val="clear" w:color="auto" w:fill="auto"/>
            <w:vAlign w:val="bottom"/>
            <w:hideMark/>
          </w:tcPr>
          <w:p w14:paraId="10580BF6"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торговля розничная</w:t>
            </w:r>
          </w:p>
        </w:tc>
        <w:tc>
          <w:tcPr>
            <w:tcW w:w="1134" w:type="dxa"/>
            <w:shd w:val="clear" w:color="auto" w:fill="auto"/>
            <w:noWrap/>
            <w:vAlign w:val="bottom"/>
            <w:hideMark/>
          </w:tcPr>
          <w:p w14:paraId="1CCF9072"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1 772,0 </w:t>
            </w:r>
          </w:p>
        </w:tc>
        <w:tc>
          <w:tcPr>
            <w:tcW w:w="1149" w:type="dxa"/>
            <w:shd w:val="clear" w:color="auto" w:fill="auto"/>
            <w:noWrap/>
            <w:vAlign w:val="bottom"/>
            <w:hideMark/>
          </w:tcPr>
          <w:p w14:paraId="61E5221B"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1 645,0 </w:t>
            </w:r>
          </w:p>
        </w:tc>
        <w:tc>
          <w:tcPr>
            <w:tcW w:w="1134" w:type="dxa"/>
            <w:shd w:val="clear" w:color="auto" w:fill="auto"/>
            <w:noWrap/>
            <w:vAlign w:val="bottom"/>
            <w:hideMark/>
          </w:tcPr>
          <w:p w14:paraId="2E5A4498"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1 529,0 </w:t>
            </w:r>
          </w:p>
        </w:tc>
        <w:tc>
          <w:tcPr>
            <w:tcW w:w="1119" w:type="dxa"/>
            <w:shd w:val="clear" w:color="auto" w:fill="auto"/>
            <w:noWrap/>
            <w:vAlign w:val="bottom"/>
            <w:hideMark/>
          </w:tcPr>
          <w:p w14:paraId="58064C71"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-116,0 </w:t>
            </w:r>
          </w:p>
        </w:tc>
        <w:tc>
          <w:tcPr>
            <w:tcW w:w="1134" w:type="dxa"/>
            <w:shd w:val="clear" w:color="auto" w:fill="auto"/>
            <w:noWrap/>
            <w:vAlign w:val="bottom"/>
            <w:hideMark/>
          </w:tcPr>
          <w:p w14:paraId="04AF60FF"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-243,0 </w:t>
            </w:r>
          </w:p>
        </w:tc>
      </w:tr>
      <w:tr w:rsidR="00063943" w:rsidRPr="00A53AD7" w14:paraId="19DEEA55" w14:textId="77777777" w:rsidTr="0027101B">
        <w:trPr>
          <w:trHeight w:val="303"/>
        </w:trPr>
        <w:tc>
          <w:tcPr>
            <w:tcW w:w="3663" w:type="dxa"/>
            <w:shd w:val="clear" w:color="auto" w:fill="auto"/>
            <w:vAlign w:val="bottom"/>
            <w:hideMark/>
          </w:tcPr>
          <w:p w14:paraId="54D59593" w14:textId="77777777" w:rsidR="00063943" w:rsidRPr="00A53AD7" w:rsidRDefault="00063943" w:rsidP="0027101B">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торговля оптовая, кроме оптовой торговли автотранспортом</w:t>
            </w:r>
          </w:p>
        </w:tc>
        <w:tc>
          <w:tcPr>
            <w:tcW w:w="1134" w:type="dxa"/>
            <w:shd w:val="clear" w:color="auto" w:fill="auto"/>
            <w:noWrap/>
            <w:vAlign w:val="bottom"/>
            <w:hideMark/>
          </w:tcPr>
          <w:p w14:paraId="20D80983"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2 631,0 </w:t>
            </w:r>
          </w:p>
        </w:tc>
        <w:tc>
          <w:tcPr>
            <w:tcW w:w="1149" w:type="dxa"/>
            <w:shd w:val="clear" w:color="auto" w:fill="auto"/>
            <w:noWrap/>
            <w:vAlign w:val="bottom"/>
            <w:hideMark/>
          </w:tcPr>
          <w:p w14:paraId="1AF1A9A7"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2 454,0 </w:t>
            </w:r>
          </w:p>
        </w:tc>
        <w:tc>
          <w:tcPr>
            <w:tcW w:w="1134" w:type="dxa"/>
            <w:shd w:val="clear" w:color="auto" w:fill="auto"/>
            <w:noWrap/>
            <w:vAlign w:val="bottom"/>
            <w:hideMark/>
          </w:tcPr>
          <w:p w14:paraId="440634F3"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2 210,0 </w:t>
            </w:r>
          </w:p>
        </w:tc>
        <w:tc>
          <w:tcPr>
            <w:tcW w:w="1119" w:type="dxa"/>
            <w:shd w:val="clear" w:color="auto" w:fill="auto"/>
            <w:noWrap/>
            <w:vAlign w:val="bottom"/>
            <w:hideMark/>
          </w:tcPr>
          <w:p w14:paraId="3D2A1A7B"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-244,0 </w:t>
            </w:r>
          </w:p>
        </w:tc>
        <w:tc>
          <w:tcPr>
            <w:tcW w:w="1134" w:type="dxa"/>
            <w:shd w:val="clear" w:color="auto" w:fill="auto"/>
            <w:noWrap/>
            <w:vAlign w:val="bottom"/>
            <w:hideMark/>
          </w:tcPr>
          <w:p w14:paraId="1346B01C" w14:textId="77777777" w:rsidR="00063943" w:rsidRPr="00A53AD7" w:rsidRDefault="00063943" w:rsidP="0027101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-421,0 </w:t>
            </w:r>
          </w:p>
        </w:tc>
      </w:tr>
    </w:tbl>
    <w:p w14:paraId="60A1C9DC" w14:textId="77777777" w:rsidR="00063943" w:rsidRPr="00A53AD7" w:rsidRDefault="00063943" w:rsidP="001E5504">
      <w:pPr>
        <w:pStyle w:val="ad"/>
        <w:ind w:firstLine="851"/>
        <w:jc w:val="both"/>
        <w:rPr>
          <w:rFonts w:ascii="Times New Roman" w:hAnsi="Times New Roman"/>
          <w:sz w:val="28"/>
          <w:szCs w:val="28"/>
        </w:rPr>
      </w:pPr>
    </w:p>
    <w:p w14:paraId="16E45AE8" w14:textId="77777777" w:rsidR="000D0709" w:rsidRPr="00A53AD7" w:rsidRDefault="00063943" w:rsidP="00063943">
      <w:pPr>
        <w:pStyle w:val="ad"/>
        <w:ind w:firstLine="851"/>
        <w:jc w:val="both"/>
        <w:rPr>
          <w:rFonts w:ascii="Times New Roman" w:hAnsi="Times New Roman"/>
          <w:sz w:val="28"/>
          <w:szCs w:val="28"/>
        </w:rPr>
      </w:pPr>
      <w:r w:rsidRPr="00A53AD7">
        <w:rPr>
          <w:rFonts w:ascii="Times New Roman" w:hAnsi="Times New Roman"/>
          <w:sz w:val="28"/>
          <w:szCs w:val="28"/>
        </w:rPr>
        <w:t xml:space="preserve">Распределение организаций по основным видам экономической деятельности на 01.01.2020 характеризуется следующими показателями: сельское, лесное хозяйство, охота, рыболовство и рыбоводство – 664 ед., что на 179 хозяйствующих субъектов или на 21,2 % меньше, чем на 01.01.2019; </w:t>
      </w:r>
      <w:r w:rsidRPr="00A53AD7">
        <w:rPr>
          <w:rFonts w:ascii="Times New Roman" w:hAnsi="Times New Roman"/>
          <w:i/>
          <w:sz w:val="28"/>
          <w:szCs w:val="28"/>
        </w:rPr>
        <w:t>обрабатывающие производства</w:t>
      </w:r>
      <w:r w:rsidRPr="00A53AD7">
        <w:rPr>
          <w:rFonts w:ascii="Times New Roman" w:hAnsi="Times New Roman"/>
          <w:sz w:val="28"/>
          <w:szCs w:val="28"/>
        </w:rPr>
        <w:t xml:space="preserve"> – 1 264 ед., что на 92 ед. или на 6,8% меньше количества хозяйствующих субъектов на 01.01.2019, из них:</w:t>
      </w:r>
    </w:p>
    <w:p w14:paraId="18D6FB34" w14:textId="77777777" w:rsidR="000D0709" w:rsidRPr="00A53AD7" w:rsidRDefault="00063943" w:rsidP="00063943">
      <w:pPr>
        <w:pStyle w:val="ad"/>
        <w:ind w:firstLine="851"/>
        <w:jc w:val="both"/>
        <w:rPr>
          <w:rFonts w:ascii="Times New Roman" w:hAnsi="Times New Roman"/>
          <w:sz w:val="28"/>
          <w:szCs w:val="28"/>
        </w:rPr>
      </w:pPr>
      <w:r w:rsidRPr="00A53AD7">
        <w:rPr>
          <w:rFonts w:ascii="Times New Roman" w:hAnsi="Times New Roman"/>
          <w:sz w:val="28"/>
          <w:szCs w:val="28"/>
        </w:rPr>
        <w:t>1) производство пищевых продуктов количество – 170 ед., что на 8 ед. или на 4,5 % меньше количества на 01.01.2019 и на 21 ед. или на 11,0 % меньше количества на 01.01.2018;</w:t>
      </w:r>
    </w:p>
    <w:p w14:paraId="551DE94C" w14:textId="77777777" w:rsidR="000D0709" w:rsidRPr="00A53AD7" w:rsidRDefault="000D0709" w:rsidP="00063943">
      <w:pPr>
        <w:pStyle w:val="ad"/>
        <w:ind w:firstLine="851"/>
        <w:jc w:val="both"/>
        <w:rPr>
          <w:rFonts w:ascii="Times New Roman" w:hAnsi="Times New Roman"/>
          <w:sz w:val="28"/>
          <w:szCs w:val="28"/>
        </w:rPr>
      </w:pPr>
      <w:r w:rsidRPr="00A53AD7">
        <w:rPr>
          <w:rFonts w:ascii="Times New Roman" w:hAnsi="Times New Roman"/>
          <w:sz w:val="28"/>
          <w:szCs w:val="28"/>
        </w:rPr>
        <w:t>2</w:t>
      </w:r>
      <w:r w:rsidR="00063943" w:rsidRPr="00A53AD7">
        <w:rPr>
          <w:rFonts w:ascii="Times New Roman" w:hAnsi="Times New Roman"/>
          <w:sz w:val="28"/>
          <w:szCs w:val="28"/>
        </w:rPr>
        <w:t>)</w:t>
      </w:r>
      <w:r w:rsidR="00063943" w:rsidRPr="00A53AD7">
        <w:t xml:space="preserve"> </w:t>
      </w:r>
      <w:r w:rsidR="00063943" w:rsidRPr="00A53AD7">
        <w:rPr>
          <w:rFonts w:ascii="Times New Roman" w:hAnsi="Times New Roman"/>
          <w:sz w:val="28"/>
          <w:szCs w:val="28"/>
        </w:rPr>
        <w:t>обработка древесины и производство изделий из дерева и пробки… 324 ед. – на 48 ед. или на 12,9 % меньше количества на 01.01.2019; на 66 ед. или на 16,9 % меньше количества на 01.01.2018;</w:t>
      </w:r>
    </w:p>
    <w:p w14:paraId="51DAFDE4" w14:textId="4CC5E416" w:rsidR="00063943" w:rsidRPr="00A53AD7" w:rsidRDefault="00063943" w:rsidP="00063943">
      <w:pPr>
        <w:pStyle w:val="ad"/>
        <w:ind w:firstLine="851"/>
        <w:jc w:val="both"/>
        <w:rPr>
          <w:rFonts w:ascii="Times New Roman" w:hAnsi="Times New Roman"/>
          <w:sz w:val="28"/>
          <w:szCs w:val="28"/>
        </w:rPr>
      </w:pPr>
      <w:r w:rsidRPr="00A53AD7">
        <w:rPr>
          <w:rFonts w:ascii="Times New Roman" w:hAnsi="Times New Roman"/>
          <w:sz w:val="28"/>
          <w:szCs w:val="28"/>
        </w:rPr>
        <w:lastRenderedPageBreak/>
        <w:t xml:space="preserve">3) производство напитков 37 ед., что соответствует количеству на 01.01.2019; на 2 ед. или на 5,1 % меньше количества на 01.01.2018. </w:t>
      </w:r>
    </w:p>
    <w:p w14:paraId="594B03C5" w14:textId="0A67DEDB" w:rsidR="00063943" w:rsidRPr="00A53AD7" w:rsidRDefault="00063943" w:rsidP="00063943">
      <w:pPr>
        <w:pStyle w:val="ad"/>
        <w:ind w:firstLine="851"/>
        <w:jc w:val="both"/>
        <w:rPr>
          <w:rFonts w:ascii="Times New Roman" w:hAnsi="Times New Roman"/>
          <w:sz w:val="28"/>
          <w:szCs w:val="28"/>
        </w:rPr>
      </w:pPr>
      <w:r w:rsidRPr="00A53AD7">
        <w:rPr>
          <w:rFonts w:ascii="Times New Roman" w:hAnsi="Times New Roman"/>
          <w:sz w:val="28"/>
          <w:szCs w:val="28"/>
        </w:rPr>
        <w:t>В части обеспечени</w:t>
      </w:r>
      <w:r w:rsidR="00F26497" w:rsidRPr="00A53AD7">
        <w:rPr>
          <w:rFonts w:ascii="Times New Roman" w:hAnsi="Times New Roman"/>
          <w:sz w:val="28"/>
          <w:szCs w:val="28"/>
        </w:rPr>
        <w:t>я</w:t>
      </w:r>
      <w:r w:rsidRPr="00A53AD7">
        <w:rPr>
          <w:rFonts w:ascii="Times New Roman" w:hAnsi="Times New Roman"/>
          <w:sz w:val="28"/>
          <w:szCs w:val="28"/>
        </w:rPr>
        <w:t xml:space="preserve"> электрической энергией, газом и паром; кондиционирование воздуха – 248 ед. (на 12 ед. (4,6%) меньше, чем на 01.01.2019); строительство – 2 072 ед. (на 125 (5,7%) меньше, чем на 01.01.2019); торговля оптовая, кроме оптовой торговли автотранспортом – 2 210 ед. (на 244 ед. (9,9%) меньше, чем на 01.01.2019); торговля розничная – 1 529 ед. (на 116 (7,1%) ед. меньше, чем на 01.01.2019).</w:t>
      </w:r>
    </w:p>
    <w:p w14:paraId="62C65400" w14:textId="0794E731"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Количество хозяйствующих субъектов на 01.01.2020 в части добычи полезных ископаемых составляет 56 ед., увеличившись на три организации</w:t>
      </w:r>
      <w:r w:rsidR="00FC1AA3" w:rsidRPr="00A53AD7">
        <w:rPr>
          <w:rFonts w:ascii="Times New Roman" w:hAnsi="Times New Roman"/>
          <w:sz w:val="28"/>
          <w:szCs w:val="28"/>
        </w:rPr>
        <w:t xml:space="preserve"> в следующих сферах деятельности</w:t>
      </w:r>
      <w:r w:rsidRPr="00A53AD7">
        <w:rPr>
          <w:rFonts w:ascii="Times New Roman" w:hAnsi="Times New Roman"/>
          <w:sz w:val="28"/>
          <w:szCs w:val="28"/>
        </w:rPr>
        <w:t>; водоснабжение, водоотведение, организация сбора и утилизация отходов… – 189 ед. (на 4 ед. больше, чем на 01.01.2019).</w:t>
      </w:r>
    </w:p>
    <w:p w14:paraId="6D916B19" w14:textId="77777777" w:rsidR="003B5BDA" w:rsidRPr="00A53AD7" w:rsidRDefault="003B5BDA" w:rsidP="003B5BDA">
      <w:pPr>
        <w:pStyle w:val="ad"/>
        <w:ind w:firstLine="851"/>
        <w:jc w:val="both"/>
        <w:rPr>
          <w:rFonts w:ascii="Times New Roman" w:hAnsi="Times New Roman"/>
          <w:sz w:val="24"/>
          <w:szCs w:val="24"/>
        </w:rPr>
      </w:pPr>
    </w:p>
    <w:p w14:paraId="7EC69BE2" w14:textId="3190B0B5"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Показатели </w:t>
      </w:r>
      <w:r w:rsidRPr="00A53AD7">
        <w:rPr>
          <w:rFonts w:ascii="Times New Roman" w:hAnsi="Times New Roman"/>
          <w:i/>
          <w:sz w:val="28"/>
          <w:szCs w:val="28"/>
          <w:u w:val="single"/>
        </w:rPr>
        <w:t>индекса цен производителей промышленных товаров</w:t>
      </w:r>
      <w:r w:rsidRPr="00A53AD7">
        <w:rPr>
          <w:rFonts w:ascii="Times New Roman" w:hAnsi="Times New Roman"/>
          <w:sz w:val="28"/>
          <w:szCs w:val="28"/>
        </w:rPr>
        <w:t xml:space="preserve"> (по выборочному кругу организаций) в регионе (декабрь отчетного года к декабрю предыдущего года) по основным видам экономической деятельности по предварительным данным, представлены в таблице </w:t>
      </w:r>
      <w:r w:rsidR="00BF5EC6" w:rsidRPr="00A53AD7">
        <w:rPr>
          <w:rFonts w:ascii="Times New Roman" w:hAnsi="Times New Roman"/>
          <w:sz w:val="28"/>
          <w:szCs w:val="28"/>
        </w:rPr>
        <w:t>4</w:t>
      </w:r>
      <w:r w:rsidRPr="00A53AD7">
        <w:rPr>
          <w:rFonts w:ascii="Times New Roman" w:hAnsi="Times New Roman"/>
          <w:sz w:val="28"/>
          <w:szCs w:val="28"/>
        </w:rPr>
        <w:t>:</w:t>
      </w:r>
    </w:p>
    <w:p w14:paraId="24572C68" w14:textId="77777777" w:rsidR="003B5BDA" w:rsidRPr="00A53AD7" w:rsidRDefault="003B5BDA" w:rsidP="003B5BDA">
      <w:pPr>
        <w:pStyle w:val="ad"/>
        <w:ind w:firstLine="851"/>
        <w:jc w:val="both"/>
        <w:rPr>
          <w:rFonts w:ascii="Times New Roman" w:hAnsi="Times New Roman"/>
          <w:sz w:val="24"/>
          <w:szCs w:val="24"/>
        </w:rPr>
      </w:pPr>
    </w:p>
    <w:p w14:paraId="3F4F5CA3" w14:textId="11521AFA" w:rsidR="003B5BDA" w:rsidRPr="00A53AD7" w:rsidRDefault="00FC1AA3" w:rsidP="00FC1AA3">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Индексы цен производителей промышленных товаров (по выборочному кругу организаций) в Архангельской области по основным видам экономической деятельности</w:t>
      </w:r>
    </w:p>
    <w:tbl>
      <w:tblPr>
        <w:tblW w:w="933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3521"/>
        <w:gridCol w:w="1984"/>
        <w:gridCol w:w="1985"/>
        <w:gridCol w:w="1843"/>
      </w:tblGrid>
      <w:tr w:rsidR="00A53AD7" w:rsidRPr="00A53AD7" w14:paraId="421915EA" w14:textId="77777777" w:rsidTr="00FC1AA3">
        <w:trPr>
          <w:trHeight w:val="387"/>
        </w:trPr>
        <w:tc>
          <w:tcPr>
            <w:tcW w:w="3521" w:type="dxa"/>
            <w:shd w:val="clear" w:color="auto" w:fill="auto"/>
            <w:vAlign w:val="center"/>
            <w:hideMark/>
          </w:tcPr>
          <w:p w14:paraId="62A19E4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1984" w:type="dxa"/>
            <w:shd w:val="clear" w:color="auto" w:fill="auto"/>
            <w:vAlign w:val="center"/>
            <w:hideMark/>
          </w:tcPr>
          <w:p w14:paraId="6D42B594"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Декабрь 2017 к декабрю 2016, %</w:t>
            </w:r>
          </w:p>
        </w:tc>
        <w:tc>
          <w:tcPr>
            <w:tcW w:w="1985" w:type="dxa"/>
            <w:shd w:val="clear" w:color="auto" w:fill="auto"/>
            <w:vAlign w:val="center"/>
            <w:hideMark/>
          </w:tcPr>
          <w:p w14:paraId="333CE527"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Декабрь 2018 к декабрю 2017, %</w:t>
            </w:r>
          </w:p>
        </w:tc>
        <w:tc>
          <w:tcPr>
            <w:tcW w:w="1843" w:type="dxa"/>
            <w:shd w:val="clear" w:color="auto" w:fill="auto"/>
            <w:vAlign w:val="center"/>
            <w:hideMark/>
          </w:tcPr>
          <w:p w14:paraId="422FE2B5"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Декабрь 2019 к декабрю 2018, %</w:t>
            </w:r>
          </w:p>
        </w:tc>
      </w:tr>
      <w:tr w:rsidR="00A53AD7" w:rsidRPr="00A53AD7" w14:paraId="26A8D2D3" w14:textId="77777777" w:rsidTr="00FC1AA3">
        <w:trPr>
          <w:trHeight w:val="155"/>
        </w:trPr>
        <w:tc>
          <w:tcPr>
            <w:tcW w:w="3521" w:type="dxa"/>
            <w:shd w:val="clear" w:color="auto" w:fill="auto"/>
            <w:vAlign w:val="bottom"/>
          </w:tcPr>
          <w:p w14:paraId="576A9BE1"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 в том числе:</w:t>
            </w:r>
          </w:p>
        </w:tc>
        <w:tc>
          <w:tcPr>
            <w:tcW w:w="1984" w:type="dxa"/>
            <w:shd w:val="clear" w:color="auto" w:fill="auto"/>
            <w:vAlign w:val="bottom"/>
          </w:tcPr>
          <w:p w14:paraId="2FEAF9D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109,8</w:t>
            </w:r>
          </w:p>
        </w:tc>
        <w:tc>
          <w:tcPr>
            <w:tcW w:w="1985" w:type="dxa"/>
            <w:shd w:val="clear" w:color="auto" w:fill="auto"/>
            <w:vAlign w:val="bottom"/>
          </w:tcPr>
          <w:p w14:paraId="647F13D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112,6</w:t>
            </w:r>
          </w:p>
        </w:tc>
        <w:tc>
          <w:tcPr>
            <w:tcW w:w="1843" w:type="dxa"/>
            <w:shd w:val="clear" w:color="auto" w:fill="auto"/>
            <w:vAlign w:val="bottom"/>
          </w:tcPr>
          <w:p w14:paraId="7A298A3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93,4</w:t>
            </w:r>
          </w:p>
        </w:tc>
      </w:tr>
      <w:tr w:rsidR="00A53AD7" w:rsidRPr="00A53AD7" w14:paraId="569E3ABD" w14:textId="77777777" w:rsidTr="00FC1AA3">
        <w:trPr>
          <w:trHeight w:val="38"/>
        </w:trPr>
        <w:tc>
          <w:tcPr>
            <w:tcW w:w="3521" w:type="dxa"/>
            <w:shd w:val="clear" w:color="auto" w:fill="auto"/>
            <w:vAlign w:val="bottom"/>
            <w:hideMark/>
          </w:tcPr>
          <w:p w14:paraId="35ACB6F4"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1984" w:type="dxa"/>
            <w:shd w:val="clear" w:color="auto" w:fill="auto"/>
            <w:noWrap/>
            <w:vAlign w:val="bottom"/>
            <w:hideMark/>
          </w:tcPr>
          <w:p w14:paraId="3DF3815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96,1</w:t>
            </w:r>
          </w:p>
        </w:tc>
        <w:tc>
          <w:tcPr>
            <w:tcW w:w="1985" w:type="dxa"/>
            <w:shd w:val="clear" w:color="auto" w:fill="auto"/>
            <w:noWrap/>
            <w:vAlign w:val="bottom"/>
            <w:hideMark/>
          </w:tcPr>
          <w:p w14:paraId="41B694A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111,2</w:t>
            </w:r>
          </w:p>
        </w:tc>
        <w:tc>
          <w:tcPr>
            <w:tcW w:w="1843" w:type="dxa"/>
            <w:shd w:val="clear" w:color="auto" w:fill="auto"/>
            <w:noWrap/>
            <w:vAlign w:val="bottom"/>
            <w:hideMark/>
          </w:tcPr>
          <w:p w14:paraId="147138D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103,2</w:t>
            </w:r>
          </w:p>
        </w:tc>
      </w:tr>
      <w:tr w:rsidR="00A53AD7" w:rsidRPr="00A53AD7" w14:paraId="2CA51AFD" w14:textId="77777777" w:rsidTr="00FC1AA3">
        <w:trPr>
          <w:trHeight w:val="176"/>
        </w:trPr>
        <w:tc>
          <w:tcPr>
            <w:tcW w:w="3521" w:type="dxa"/>
            <w:shd w:val="clear" w:color="auto" w:fill="auto"/>
            <w:vAlign w:val="bottom"/>
            <w:hideMark/>
          </w:tcPr>
          <w:p w14:paraId="0F404C11"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w:t>
            </w:r>
          </w:p>
        </w:tc>
        <w:tc>
          <w:tcPr>
            <w:tcW w:w="1984" w:type="dxa"/>
            <w:shd w:val="clear" w:color="auto" w:fill="auto"/>
            <w:noWrap/>
            <w:vAlign w:val="bottom"/>
            <w:hideMark/>
          </w:tcPr>
          <w:p w14:paraId="30B2CEC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106,1</w:t>
            </w:r>
          </w:p>
        </w:tc>
        <w:tc>
          <w:tcPr>
            <w:tcW w:w="1985" w:type="dxa"/>
            <w:shd w:val="clear" w:color="auto" w:fill="auto"/>
            <w:noWrap/>
            <w:vAlign w:val="bottom"/>
            <w:hideMark/>
          </w:tcPr>
          <w:p w14:paraId="56B2FD9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118,3</w:t>
            </w:r>
          </w:p>
        </w:tc>
        <w:tc>
          <w:tcPr>
            <w:tcW w:w="1843" w:type="dxa"/>
            <w:shd w:val="clear" w:color="auto" w:fill="auto"/>
            <w:noWrap/>
            <w:vAlign w:val="bottom"/>
            <w:hideMark/>
          </w:tcPr>
          <w:p w14:paraId="2BB728C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91,4</w:t>
            </w:r>
          </w:p>
        </w:tc>
      </w:tr>
      <w:tr w:rsidR="00A53AD7" w:rsidRPr="00A53AD7" w14:paraId="2F806B3A" w14:textId="77777777" w:rsidTr="00FC1AA3">
        <w:trPr>
          <w:trHeight w:val="512"/>
        </w:trPr>
        <w:tc>
          <w:tcPr>
            <w:tcW w:w="3521" w:type="dxa"/>
            <w:shd w:val="clear" w:color="auto" w:fill="auto"/>
            <w:vAlign w:val="bottom"/>
            <w:hideMark/>
          </w:tcPr>
          <w:p w14:paraId="55091F92"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w:t>
            </w:r>
          </w:p>
        </w:tc>
        <w:tc>
          <w:tcPr>
            <w:tcW w:w="1984" w:type="dxa"/>
            <w:shd w:val="clear" w:color="auto" w:fill="auto"/>
            <w:noWrap/>
            <w:vAlign w:val="bottom"/>
            <w:hideMark/>
          </w:tcPr>
          <w:p w14:paraId="5A0CFEB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105,6</w:t>
            </w:r>
          </w:p>
        </w:tc>
        <w:tc>
          <w:tcPr>
            <w:tcW w:w="1985" w:type="dxa"/>
            <w:shd w:val="clear" w:color="auto" w:fill="auto"/>
            <w:noWrap/>
            <w:vAlign w:val="bottom"/>
            <w:hideMark/>
          </w:tcPr>
          <w:p w14:paraId="3F9410F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97,0</w:t>
            </w:r>
          </w:p>
        </w:tc>
        <w:tc>
          <w:tcPr>
            <w:tcW w:w="1843" w:type="dxa"/>
            <w:shd w:val="clear" w:color="auto" w:fill="auto"/>
            <w:noWrap/>
            <w:vAlign w:val="bottom"/>
            <w:hideMark/>
          </w:tcPr>
          <w:p w14:paraId="2E5C8C5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103,2</w:t>
            </w:r>
          </w:p>
        </w:tc>
      </w:tr>
      <w:tr w:rsidR="003B5BDA" w:rsidRPr="00A53AD7" w14:paraId="02E9909A" w14:textId="77777777" w:rsidTr="000736BD">
        <w:trPr>
          <w:trHeight w:val="103"/>
        </w:trPr>
        <w:tc>
          <w:tcPr>
            <w:tcW w:w="3521" w:type="dxa"/>
            <w:shd w:val="clear" w:color="auto" w:fill="auto"/>
            <w:vAlign w:val="bottom"/>
            <w:hideMark/>
          </w:tcPr>
          <w:p w14:paraId="6C9E5B72"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Водоснабжение; водоотведение…</w:t>
            </w:r>
          </w:p>
        </w:tc>
        <w:tc>
          <w:tcPr>
            <w:tcW w:w="1984" w:type="dxa"/>
            <w:shd w:val="clear" w:color="auto" w:fill="auto"/>
            <w:noWrap/>
            <w:vAlign w:val="bottom"/>
            <w:hideMark/>
          </w:tcPr>
          <w:p w14:paraId="12271A4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123,1</w:t>
            </w:r>
          </w:p>
        </w:tc>
        <w:tc>
          <w:tcPr>
            <w:tcW w:w="1985" w:type="dxa"/>
            <w:shd w:val="clear" w:color="auto" w:fill="auto"/>
            <w:noWrap/>
            <w:vAlign w:val="bottom"/>
            <w:hideMark/>
          </w:tcPr>
          <w:p w14:paraId="0127E4F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105,8</w:t>
            </w:r>
          </w:p>
        </w:tc>
        <w:tc>
          <w:tcPr>
            <w:tcW w:w="1843" w:type="dxa"/>
            <w:shd w:val="clear" w:color="auto" w:fill="auto"/>
            <w:noWrap/>
            <w:vAlign w:val="bottom"/>
            <w:hideMark/>
          </w:tcPr>
          <w:p w14:paraId="7288BDE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105,1</w:t>
            </w:r>
          </w:p>
        </w:tc>
      </w:tr>
    </w:tbl>
    <w:p w14:paraId="09CE453A" w14:textId="77777777" w:rsidR="00FC1AA3" w:rsidRPr="00A53AD7" w:rsidRDefault="00FC1AA3" w:rsidP="003B5BDA">
      <w:pPr>
        <w:pStyle w:val="ad"/>
        <w:ind w:firstLine="851"/>
        <w:jc w:val="both"/>
        <w:rPr>
          <w:rFonts w:ascii="Times New Roman" w:hAnsi="Times New Roman"/>
          <w:sz w:val="28"/>
          <w:szCs w:val="28"/>
        </w:rPr>
      </w:pPr>
    </w:p>
    <w:p w14:paraId="4686C562" w14:textId="77777777" w:rsidR="00D11DA0" w:rsidRPr="00A53AD7" w:rsidRDefault="00D11DA0" w:rsidP="00D11DA0">
      <w:pPr>
        <w:pStyle w:val="ad"/>
        <w:ind w:firstLine="851"/>
        <w:jc w:val="both"/>
        <w:rPr>
          <w:rFonts w:ascii="Times New Roman" w:hAnsi="Times New Roman"/>
          <w:sz w:val="28"/>
          <w:szCs w:val="28"/>
        </w:rPr>
      </w:pPr>
      <w:r w:rsidRPr="00A53AD7">
        <w:rPr>
          <w:rFonts w:ascii="Times New Roman" w:hAnsi="Times New Roman"/>
          <w:sz w:val="28"/>
          <w:szCs w:val="28"/>
        </w:rPr>
        <w:t>Согласно статистическим данным в целом фиксируется снижение индекса цен производителей промышленных товаров (по выборочному кругу организаций) в Архангельской области (декабрь 2019 года к декабрю 2018 года) на 6,6 %, в том числе по видам экономической деятельности: добыча полезных ископаемых (+3,2 %), обрабатывающие производства (–8,6 %), водоснабжение; водоотведение… (+5,1 %), обеспечение электрической энергией… (+3,2 %).</w:t>
      </w:r>
    </w:p>
    <w:p w14:paraId="4A54197E" w14:textId="77777777" w:rsidR="000D0709" w:rsidRPr="00A53AD7" w:rsidRDefault="000D0709" w:rsidP="000D0709">
      <w:pPr>
        <w:pStyle w:val="ad"/>
        <w:ind w:firstLine="851"/>
        <w:jc w:val="both"/>
        <w:rPr>
          <w:rFonts w:ascii="Times New Roman" w:hAnsi="Times New Roman"/>
          <w:sz w:val="28"/>
          <w:szCs w:val="28"/>
        </w:rPr>
      </w:pPr>
      <w:r w:rsidRPr="00A53AD7">
        <w:rPr>
          <w:rFonts w:ascii="Times New Roman" w:hAnsi="Times New Roman"/>
          <w:sz w:val="28"/>
          <w:szCs w:val="28"/>
        </w:rPr>
        <w:t>При снижении количества хозяйствующих субъектов в отчетном году и снижении индекса цен производителей промышленных товаров (по выборочному кругу организаций) сальдированный финансовый результат организаций на территории Архангельской области (по оперативным данным) составил 39 821,4 млн.руб. или 101,8% к результату 2018 года (39 946,2 млн.руб.).</w:t>
      </w:r>
    </w:p>
    <w:p w14:paraId="6154DD52" w14:textId="77777777" w:rsidR="003B5BDA" w:rsidRPr="00A53AD7" w:rsidRDefault="003B5BDA" w:rsidP="003B5BDA">
      <w:pPr>
        <w:spacing w:after="0" w:line="240" w:lineRule="auto"/>
        <w:ind w:firstLine="851"/>
        <w:jc w:val="both"/>
        <w:rPr>
          <w:rFonts w:ascii="Times New Roman" w:hAnsi="Times New Roman"/>
          <w:sz w:val="28"/>
          <w:szCs w:val="28"/>
          <w:lang w:val="x-none"/>
        </w:rPr>
      </w:pPr>
      <w:r w:rsidRPr="00A53AD7">
        <w:rPr>
          <w:rFonts w:ascii="Times New Roman" w:hAnsi="Times New Roman"/>
          <w:i/>
          <w:sz w:val="28"/>
          <w:szCs w:val="28"/>
        </w:rPr>
        <w:t xml:space="preserve">Для справки: </w:t>
      </w:r>
      <w:r w:rsidRPr="00A53AD7">
        <w:rPr>
          <w:rFonts w:ascii="Times New Roman" w:hAnsi="Times New Roman"/>
          <w:sz w:val="28"/>
          <w:szCs w:val="28"/>
        </w:rPr>
        <w:t xml:space="preserve">Темпы изменения сальдированного финансового результата отчетного периода по сравнению с соответствующим периодом предыдущего года рассчитаны по сопоставимому кругу организаций; с учетом корректировки данных соответствующего периода предыдущего года, исходя </w:t>
      </w:r>
      <w:r w:rsidRPr="00A53AD7">
        <w:rPr>
          <w:rFonts w:ascii="Times New Roman" w:hAnsi="Times New Roman"/>
          <w:sz w:val="28"/>
          <w:szCs w:val="28"/>
        </w:rPr>
        <w:lastRenderedPageBreak/>
        <w:t>из изменений учетной политики, законодательных актов и других корректировок, в соответствии с методологией бухгалтерского учета.</w:t>
      </w:r>
    </w:p>
    <w:p w14:paraId="0FBB8103" w14:textId="77777777"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представлены оперативными данными статистической отчетности «О финансовых результатах деятельности организаций Архангельской области (без НАО) в 2019 году» (без субъектов малого предпринимательства, банков, страховых организаций и государственных (муниципальных) учреждений)).</w:t>
      </w:r>
    </w:p>
    <w:p w14:paraId="44419B49" w14:textId="0C568EA0" w:rsidR="00D11DA0" w:rsidRPr="00A53AD7" w:rsidRDefault="00D11DA0" w:rsidP="00D11DA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Изменение доли организаций, получивших прибыль/убыток (в процентах) к общему количеству организаций за 2017 – 2019 годы, представлено в таблице </w:t>
      </w:r>
      <w:r w:rsidR="00DE2A72" w:rsidRPr="00A53AD7">
        <w:rPr>
          <w:rFonts w:ascii="Times New Roman" w:hAnsi="Times New Roman"/>
          <w:sz w:val="28"/>
          <w:szCs w:val="28"/>
        </w:rPr>
        <w:t>5</w:t>
      </w:r>
      <w:r w:rsidRPr="00A53AD7">
        <w:rPr>
          <w:rFonts w:ascii="Times New Roman" w:hAnsi="Times New Roman"/>
          <w:sz w:val="28"/>
          <w:szCs w:val="28"/>
        </w:rPr>
        <w:t>.</w:t>
      </w:r>
    </w:p>
    <w:p w14:paraId="6B1F368B" w14:textId="77777777" w:rsidR="003B5BDA" w:rsidRPr="00A53AD7" w:rsidRDefault="003B5BDA" w:rsidP="003B5BDA">
      <w:pPr>
        <w:pStyle w:val="ad"/>
        <w:rPr>
          <w:rFonts w:ascii="Times New Roman" w:hAnsi="Times New Roman"/>
          <w:sz w:val="24"/>
          <w:szCs w:val="24"/>
        </w:rPr>
      </w:pPr>
    </w:p>
    <w:p w14:paraId="277C59E6" w14:textId="556517B6" w:rsidR="003B5BDA" w:rsidRPr="00A53AD7" w:rsidRDefault="001B2BFA" w:rsidP="001B2BFA">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Доля организаций, получивших прибыль (убыток) в Архангельской области по основным видам экономической деятельности, в процентах</w:t>
      </w:r>
    </w:p>
    <w:tbl>
      <w:tblPr>
        <w:tblW w:w="9283" w:type="dxa"/>
        <w:tblLook w:val="04A0" w:firstRow="1" w:lastRow="0" w:firstColumn="1" w:lastColumn="0" w:noHBand="0" w:noVBand="1"/>
      </w:tblPr>
      <w:tblGrid>
        <w:gridCol w:w="1973"/>
        <w:gridCol w:w="1242"/>
        <w:gridCol w:w="1212"/>
        <w:gridCol w:w="1229"/>
        <w:gridCol w:w="1212"/>
        <w:gridCol w:w="1228"/>
        <w:gridCol w:w="1212"/>
      </w:tblGrid>
      <w:tr w:rsidR="00A53AD7" w:rsidRPr="00A53AD7" w14:paraId="1C3F16B1" w14:textId="77777777" w:rsidTr="001B2BFA">
        <w:trPr>
          <w:trHeight w:val="119"/>
          <w:tblHeader/>
        </w:trPr>
        <w:tc>
          <w:tcPr>
            <w:tcW w:w="2245" w:type="dxa"/>
            <w:vMerge w:val="restart"/>
            <w:tcBorders>
              <w:top w:val="double" w:sz="6" w:space="0" w:color="000000"/>
              <w:left w:val="double" w:sz="6" w:space="0" w:color="000000"/>
              <w:bottom w:val="single" w:sz="4" w:space="0" w:color="000000"/>
              <w:right w:val="single" w:sz="4" w:space="0" w:color="000000"/>
            </w:tcBorders>
            <w:shd w:val="clear" w:color="auto" w:fill="auto"/>
            <w:vAlign w:val="center"/>
            <w:hideMark/>
          </w:tcPr>
          <w:p w14:paraId="68919981"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w:t>
            </w:r>
          </w:p>
        </w:tc>
        <w:tc>
          <w:tcPr>
            <w:tcW w:w="2350" w:type="dxa"/>
            <w:gridSpan w:val="2"/>
            <w:tcBorders>
              <w:top w:val="double" w:sz="6" w:space="0" w:color="000000"/>
              <w:left w:val="nil"/>
              <w:bottom w:val="single" w:sz="4" w:space="0" w:color="000000"/>
              <w:right w:val="single" w:sz="4" w:space="0" w:color="000000"/>
            </w:tcBorders>
            <w:shd w:val="clear" w:color="auto" w:fill="auto"/>
            <w:vAlign w:val="center"/>
            <w:hideMark/>
          </w:tcPr>
          <w:p w14:paraId="34BAD89C" w14:textId="1589DE82" w:rsidR="003B5BDA" w:rsidRPr="00A53AD7" w:rsidRDefault="003B5BDA" w:rsidP="001B2BF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2017</w:t>
            </w:r>
            <w:r w:rsidR="001B2BFA" w:rsidRPr="00A53AD7">
              <w:rPr>
                <w:rFonts w:ascii="Times New Roman" w:eastAsia="Times New Roman" w:hAnsi="Times New Roman"/>
                <w:lang w:eastAsia="ru-RU"/>
              </w:rPr>
              <w:t xml:space="preserve"> год</w:t>
            </w:r>
          </w:p>
        </w:tc>
        <w:tc>
          <w:tcPr>
            <w:tcW w:w="2353" w:type="dxa"/>
            <w:gridSpan w:val="2"/>
            <w:tcBorders>
              <w:top w:val="double" w:sz="6" w:space="0" w:color="000000"/>
              <w:left w:val="nil"/>
              <w:bottom w:val="single" w:sz="4" w:space="0" w:color="000000"/>
              <w:right w:val="single" w:sz="4" w:space="0" w:color="000000"/>
            </w:tcBorders>
            <w:shd w:val="clear" w:color="auto" w:fill="auto"/>
            <w:vAlign w:val="center"/>
            <w:hideMark/>
          </w:tcPr>
          <w:p w14:paraId="7F149DFA" w14:textId="106493FB"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r w:rsidR="001B2BFA" w:rsidRPr="00A53AD7">
              <w:rPr>
                <w:rFonts w:ascii="Times New Roman" w:eastAsia="Times New Roman" w:hAnsi="Times New Roman"/>
                <w:lang w:eastAsia="ru-RU"/>
              </w:rPr>
              <w:t>018 год</w:t>
            </w:r>
          </w:p>
        </w:tc>
        <w:tc>
          <w:tcPr>
            <w:tcW w:w="2335" w:type="dxa"/>
            <w:gridSpan w:val="2"/>
            <w:tcBorders>
              <w:top w:val="double" w:sz="6" w:space="0" w:color="000000"/>
              <w:left w:val="nil"/>
              <w:bottom w:val="single" w:sz="4" w:space="0" w:color="000000"/>
              <w:right w:val="double" w:sz="6" w:space="0" w:color="000000"/>
            </w:tcBorders>
            <w:shd w:val="clear" w:color="auto" w:fill="auto"/>
            <w:vAlign w:val="center"/>
            <w:hideMark/>
          </w:tcPr>
          <w:p w14:paraId="54FD80B2" w14:textId="41331B69" w:rsidR="003B5BDA" w:rsidRPr="00A53AD7" w:rsidRDefault="001B2BF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год</w:t>
            </w:r>
          </w:p>
        </w:tc>
      </w:tr>
      <w:tr w:rsidR="00A53AD7" w:rsidRPr="00A53AD7" w14:paraId="4F6597E2" w14:textId="77777777" w:rsidTr="001B2BFA">
        <w:trPr>
          <w:trHeight w:val="630"/>
          <w:tblHeader/>
        </w:trPr>
        <w:tc>
          <w:tcPr>
            <w:tcW w:w="2245" w:type="dxa"/>
            <w:vMerge/>
            <w:tcBorders>
              <w:top w:val="double" w:sz="6" w:space="0" w:color="000000"/>
              <w:left w:val="double" w:sz="6" w:space="0" w:color="000000"/>
              <w:bottom w:val="single" w:sz="4" w:space="0" w:color="000000"/>
              <w:right w:val="single" w:sz="4" w:space="0" w:color="000000"/>
            </w:tcBorders>
            <w:vAlign w:val="center"/>
            <w:hideMark/>
          </w:tcPr>
          <w:p w14:paraId="3B56389A" w14:textId="77777777" w:rsidR="003B5BDA" w:rsidRPr="00A53AD7" w:rsidRDefault="003B5BDA" w:rsidP="003B5BDA">
            <w:pPr>
              <w:spacing w:after="0" w:line="240" w:lineRule="auto"/>
              <w:rPr>
                <w:rFonts w:ascii="Times New Roman" w:eastAsia="Times New Roman" w:hAnsi="Times New Roman"/>
                <w:lang w:eastAsia="ru-RU"/>
              </w:rPr>
            </w:pPr>
          </w:p>
        </w:tc>
        <w:tc>
          <w:tcPr>
            <w:tcW w:w="1191" w:type="dxa"/>
            <w:tcBorders>
              <w:top w:val="nil"/>
              <w:left w:val="nil"/>
              <w:bottom w:val="single" w:sz="4" w:space="0" w:color="000000"/>
              <w:right w:val="single" w:sz="4" w:space="0" w:color="000000"/>
            </w:tcBorders>
            <w:shd w:val="clear" w:color="auto" w:fill="auto"/>
            <w:vAlign w:val="center"/>
            <w:hideMark/>
          </w:tcPr>
          <w:p w14:paraId="75C63D8A" w14:textId="77777777" w:rsidR="003B5BDA" w:rsidRPr="00A53AD7" w:rsidRDefault="003B5BDA" w:rsidP="003B5BDA">
            <w:pPr>
              <w:spacing w:after="0" w:line="240" w:lineRule="auto"/>
              <w:ind w:left="-108" w:right="-118"/>
              <w:jc w:val="center"/>
              <w:rPr>
                <w:rFonts w:ascii="Times New Roman" w:eastAsia="Times New Roman" w:hAnsi="Times New Roman"/>
                <w:lang w:eastAsia="ru-RU"/>
              </w:rPr>
            </w:pPr>
            <w:r w:rsidRPr="00A53AD7">
              <w:rPr>
                <w:rFonts w:ascii="Times New Roman" w:eastAsia="Times New Roman" w:hAnsi="Times New Roman"/>
                <w:lang w:eastAsia="ru-RU"/>
              </w:rPr>
              <w:t>доля прибыльных организаций</w:t>
            </w:r>
          </w:p>
        </w:tc>
        <w:tc>
          <w:tcPr>
            <w:tcW w:w="1159" w:type="dxa"/>
            <w:tcBorders>
              <w:top w:val="nil"/>
              <w:left w:val="nil"/>
              <w:bottom w:val="single" w:sz="4" w:space="0" w:color="000000"/>
              <w:right w:val="single" w:sz="4" w:space="0" w:color="000000"/>
            </w:tcBorders>
            <w:shd w:val="clear" w:color="auto" w:fill="auto"/>
            <w:vAlign w:val="center"/>
            <w:hideMark/>
          </w:tcPr>
          <w:p w14:paraId="5133CFEB" w14:textId="77777777" w:rsidR="003B5BDA" w:rsidRPr="00A53AD7" w:rsidRDefault="003B5BDA" w:rsidP="003B5BDA">
            <w:pPr>
              <w:spacing w:after="0" w:line="240" w:lineRule="auto"/>
              <w:ind w:left="-131" w:right="-105"/>
              <w:jc w:val="center"/>
              <w:rPr>
                <w:rFonts w:ascii="Times New Roman" w:eastAsia="Times New Roman" w:hAnsi="Times New Roman"/>
                <w:lang w:eastAsia="ru-RU"/>
              </w:rPr>
            </w:pPr>
            <w:r w:rsidRPr="00A53AD7">
              <w:rPr>
                <w:rFonts w:ascii="Times New Roman" w:eastAsia="Times New Roman" w:hAnsi="Times New Roman"/>
                <w:lang w:eastAsia="ru-RU"/>
              </w:rPr>
              <w:t>доля убыточных организаций</w:t>
            </w:r>
          </w:p>
        </w:tc>
        <w:tc>
          <w:tcPr>
            <w:tcW w:w="1194" w:type="dxa"/>
            <w:tcBorders>
              <w:top w:val="nil"/>
              <w:left w:val="nil"/>
              <w:bottom w:val="single" w:sz="4" w:space="0" w:color="000000"/>
              <w:right w:val="single" w:sz="4" w:space="0" w:color="000000"/>
            </w:tcBorders>
            <w:shd w:val="clear" w:color="auto" w:fill="auto"/>
            <w:vAlign w:val="center"/>
            <w:hideMark/>
          </w:tcPr>
          <w:p w14:paraId="4BBC3CB8" w14:textId="77777777" w:rsidR="003B5BDA" w:rsidRPr="00A53AD7" w:rsidRDefault="003B5BDA" w:rsidP="003B5BDA">
            <w:pPr>
              <w:spacing w:after="0" w:line="240" w:lineRule="auto"/>
              <w:ind w:left="-122" w:right="-104"/>
              <w:jc w:val="center"/>
              <w:rPr>
                <w:rFonts w:ascii="Times New Roman" w:eastAsia="Times New Roman" w:hAnsi="Times New Roman"/>
                <w:lang w:eastAsia="ru-RU"/>
              </w:rPr>
            </w:pPr>
            <w:r w:rsidRPr="00A53AD7">
              <w:rPr>
                <w:rFonts w:ascii="Times New Roman" w:eastAsia="Times New Roman" w:hAnsi="Times New Roman"/>
                <w:lang w:eastAsia="ru-RU"/>
              </w:rPr>
              <w:t>доля прибыльных организаций</w:t>
            </w:r>
          </w:p>
        </w:tc>
        <w:tc>
          <w:tcPr>
            <w:tcW w:w="1159" w:type="dxa"/>
            <w:tcBorders>
              <w:top w:val="nil"/>
              <w:left w:val="nil"/>
              <w:bottom w:val="single" w:sz="4" w:space="0" w:color="000000"/>
              <w:right w:val="single" w:sz="4" w:space="0" w:color="000000"/>
            </w:tcBorders>
            <w:shd w:val="clear" w:color="auto" w:fill="auto"/>
            <w:vAlign w:val="center"/>
            <w:hideMark/>
          </w:tcPr>
          <w:p w14:paraId="0F722A3A" w14:textId="77777777" w:rsidR="003B5BDA" w:rsidRPr="00A53AD7" w:rsidRDefault="003B5BDA" w:rsidP="003B5BDA">
            <w:pPr>
              <w:spacing w:after="0" w:line="240" w:lineRule="auto"/>
              <w:ind w:left="-131" w:right="-104"/>
              <w:jc w:val="center"/>
              <w:rPr>
                <w:rFonts w:ascii="Times New Roman" w:eastAsia="Times New Roman" w:hAnsi="Times New Roman"/>
                <w:lang w:eastAsia="ru-RU"/>
              </w:rPr>
            </w:pPr>
            <w:r w:rsidRPr="00A53AD7">
              <w:rPr>
                <w:rFonts w:ascii="Times New Roman" w:eastAsia="Times New Roman" w:hAnsi="Times New Roman"/>
                <w:lang w:eastAsia="ru-RU"/>
              </w:rPr>
              <w:t>доля убыточных организаций</w:t>
            </w:r>
          </w:p>
        </w:tc>
        <w:tc>
          <w:tcPr>
            <w:tcW w:w="1176" w:type="dxa"/>
            <w:tcBorders>
              <w:top w:val="nil"/>
              <w:left w:val="nil"/>
              <w:bottom w:val="single" w:sz="4" w:space="0" w:color="000000"/>
              <w:right w:val="single" w:sz="4" w:space="0" w:color="000000"/>
            </w:tcBorders>
            <w:shd w:val="clear" w:color="auto" w:fill="auto"/>
            <w:vAlign w:val="center"/>
            <w:hideMark/>
          </w:tcPr>
          <w:p w14:paraId="29CA9C35" w14:textId="77777777" w:rsidR="003B5BDA" w:rsidRPr="00A53AD7" w:rsidRDefault="003B5BDA" w:rsidP="003B5BDA">
            <w:pPr>
              <w:spacing w:after="0" w:line="240" w:lineRule="auto"/>
              <w:ind w:left="-123" w:right="-104"/>
              <w:jc w:val="center"/>
              <w:rPr>
                <w:rFonts w:ascii="Times New Roman" w:eastAsia="Times New Roman" w:hAnsi="Times New Roman"/>
                <w:lang w:eastAsia="ru-RU"/>
              </w:rPr>
            </w:pPr>
            <w:r w:rsidRPr="00A53AD7">
              <w:rPr>
                <w:rFonts w:ascii="Times New Roman" w:eastAsia="Times New Roman" w:hAnsi="Times New Roman"/>
                <w:lang w:eastAsia="ru-RU"/>
              </w:rPr>
              <w:t>доля прибыльных организаций</w:t>
            </w:r>
          </w:p>
        </w:tc>
        <w:tc>
          <w:tcPr>
            <w:tcW w:w="1159" w:type="dxa"/>
            <w:tcBorders>
              <w:top w:val="nil"/>
              <w:left w:val="nil"/>
              <w:bottom w:val="single" w:sz="4" w:space="0" w:color="000000"/>
              <w:right w:val="double" w:sz="6" w:space="0" w:color="000000"/>
            </w:tcBorders>
            <w:shd w:val="clear" w:color="auto" w:fill="auto"/>
            <w:vAlign w:val="center"/>
            <w:hideMark/>
          </w:tcPr>
          <w:p w14:paraId="5CD76C60" w14:textId="77777777" w:rsidR="003B5BDA" w:rsidRPr="00A53AD7" w:rsidRDefault="003B5BDA" w:rsidP="003B5BDA">
            <w:pPr>
              <w:spacing w:after="0" w:line="240" w:lineRule="auto"/>
              <w:ind w:left="-131" w:right="-105"/>
              <w:jc w:val="center"/>
              <w:rPr>
                <w:rFonts w:ascii="Times New Roman" w:eastAsia="Times New Roman" w:hAnsi="Times New Roman"/>
                <w:lang w:eastAsia="ru-RU"/>
              </w:rPr>
            </w:pPr>
            <w:r w:rsidRPr="00A53AD7">
              <w:rPr>
                <w:rFonts w:ascii="Times New Roman" w:eastAsia="Times New Roman" w:hAnsi="Times New Roman"/>
                <w:lang w:eastAsia="ru-RU"/>
              </w:rPr>
              <w:t>доля убыточных организаций</w:t>
            </w:r>
          </w:p>
        </w:tc>
      </w:tr>
      <w:tr w:rsidR="00A53AD7" w:rsidRPr="00A53AD7" w14:paraId="324A8369" w14:textId="77777777" w:rsidTr="001B2BFA">
        <w:trPr>
          <w:trHeight w:val="255"/>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0780A05B" w14:textId="77777777" w:rsidR="003B5BDA" w:rsidRPr="00A53AD7" w:rsidRDefault="003B5BDA" w:rsidP="003B5BDA">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Всего</w:t>
            </w:r>
          </w:p>
        </w:tc>
        <w:tc>
          <w:tcPr>
            <w:tcW w:w="1191" w:type="dxa"/>
            <w:tcBorders>
              <w:top w:val="nil"/>
              <w:left w:val="nil"/>
              <w:bottom w:val="single" w:sz="4" w:space="0" w:color="000000"/>
              <w:right w:val="single" w:sz="4" w:space="0" w:color="000000"/>
            </w:tcBorders>
            <w:shd w:val="clear" w:color="auto" w:fill="auto"/>
            <w:vAlign w:val="bottom"/>
            <w:hideMark/>
          </w:tcPr>
          <w:p w14:paraId="6C94821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69,9</w:t>
            </w:r>
          </w:p>
        </w:tc>
        <w:tc>
          <w:tcPr>
            <w:tcW w:w="1159" w:type="dxa"/>
            <w:tcBorders>
              <w:top w:val="nil"/>
              <w:left w:val="nil"/>
              <w:bottom w:val="single" w:sz="4" w:space="0" w:color="000000"/>
              <w:right w:val="single" w:sz="4" w:space="0" w:color="000000"/>
            </w:tcBorders>
            <w:shd w:val="clear" w:color="auto" w:fill="auto"/>
            <w:vAlign w:val="bottom"/>
            <w:hideMark/>
          </w:tcPr>
          <w:p w14:paraId="184EE387"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30,1</w:t>
            </w:r>
          </w:p>
        </w:tc>
        <w:tc>
          <w:tcPr>
            <w:tcW w:w="1194" w:type="dxa"/>
            <w:tcBorders>
              <w:top w:val="nil"/>
              <w:left w:val="nil"/>
              <w:bottom w:val="single" w:sz="4" w:space="0" w:color="000000"/>
              <w:right w:val="single" w:sz="4" w:space="0" w:color="000000"/>
            </w:tcBorders>
            <w:shd w:val="clear" w:color="auto" w:fill="auto"/>
            <w:vAlign w:val="bottom"/>
            <w:hideMark/>
          </w:tcPr>
          <w:p w14:paraId="257B769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71,8</w:t>
            </w:r>
          </w:p>
        </w:tc>
        <w:tc>
          <w:tcPr>
            <w:tcW w:w="1159" w:type="dxa"/>
            <w:tcBorders>
              <w:top w:val="nil"/>
              <w:left w:val="nil"/>
              <w:bottom w:val="single" w:sz="4" w:space="0" w:color="000000"/>
              <w:right w:val="single" w:sz="4" w:space="0" w:color="000000"/>
            </w:tcBorders>
            <w:shd w:val="clear" w:color="auto" w:fill="auto"/>
            <w:vAlign w:val="bottom"/>
            <w:hideMark/>
          </w:tcPr>
          <w:p w14:paraId="0C81D381"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28,2</w:t>
            </w:r>
          </w:p>
        </w:tc>
        <w:tc>
          <w:tcPr>
            <w:tcW w:w="1176" w:type="dxa"/>
            <w:tcBorders>
              <w:top w:val="nil"/>
              <w:left w:val="nil"/>
              <w:bottom w:val="single" w:sz="4" w:space="0" w:color="000000"/>
              <w:right w:val="single" w:sz="4" w:space="0" w:color="000000"/>
            </w:tcBorders>
            <w:shd w:val="clear" w:color="auto" w:fill="auto"/>
            <w:vAlign w:val="bottom"/>
            <w:hideMark/>
          </w:tcPr>
          <w:p w14:paraId="6B9BC25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69,9</w:t>
            </w:r>
          </w:p>
        </w:tc>
        <w:tc>
          <w:tcPr>
            <w:tcW w:w="1159" w:type="dxa"/>
            <w:tcBorders>
              <w:top w:val="nil"/>
              <w:left w:val="nil"/>
              <w:bottom w:val="single" w:sz="4" w:space="0" w:color="000000"/>
              <w:right w:val="double" w:sz="6" w:space="0" w:color="000000"/>
            </w:tcBorders>
            <w:shd w:val="clear" w:color="auto" w:fill="auto"/>
            <w:vAlign w:val="bottom"/>
            <w:hideMark/>
          </w:tcPr>
          <w:p w14:paraId="517C8D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30,1</w:t>
            </w:r>
          </w:p>
        </w:tc>
      </w:tr>
      <w:tr w:rsidR="00A53AD7" w:rsidRPr="00A53AD7" w14:paraId="4ADB848F" w14:textId="77777777" w:rsidTr="001B2BFA">
        <w:trPr>
          <w:trHeight w:val="255"/>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6FA033CD"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из них:</w:t>
            </w:r>
          </w:p>
        </w:tc>
        <w:tc>
          <w:tcPr>
            <w:tcW w:w="1191" w:type="dxa"/>
            <w:tcBorders>
              <w:top w:val="nil"/>
              <w:left w:val="nil"/>
              <w:bottom w:val="single" w:sz="4" w:space="0" w:color="000000"/>
              <w:right w:val="single" w:sz="4" w:space="0" w:color="000000"/>
            </w:tcBorders>
            <w:shd w:val="clear" w:color="auto" w:fill="auto"/>
            <w:vAlign w:val="bottom"/>
            <w:hideMark/>
          </w:tcPr>
          <w:p w14:paraId="6FF0257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59" w:type="dxa"/>
            <w:tcBorders>
              <w:top w:val="nil"/>
              <w:left w:val="nil"/>
              <w:bottom w:val="single" w:sz="4" w:space="0" w:color="000000"/>
              <w:right w:val="single" w:sz="4" w:space="0" w:color="000000"/>
            </w:tcBorders>
            <w:shd w:val="clear" w:color="auto" w:fill="auto"/>
            <w:vAlign w:val="bottom"/>
            <w:hideMark/>
          </w:tcPr>
          <w:p w14:paraId="6AD98ED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94" w:type="dxa"/>
            <w:tcBorders>
              <w:top w:val="nil"/>
              <w:left w:val="nil"/>
              <w:bottom w:val="single" w:sz="4" w:space="0" w:color="000000"/>
              <w:right w:val="single" w:sz="4" w:space="0" w:color="000000"/>
            </w:tcBorders>
            <w:shd w:val="clear" w:color="auto" w:fill="auto"/>
            <w:vAlign w:val="bottom"/>
            <w:hideMark/>
          </w:tcPr>
          <w:p w14:paraId="374A5EE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59" w:type="dxa"/>
            <w:tcBorders>
              <w:top w:val="nil"/>
              <w:left w:val="nil"/>
              <w:bottom w:val="single" w:sz="4" w:space="0" w:color="000000"/>
              <w:right w:val="single" w:sz="4" w:space="0" w:color="000000"/>
            </w:tcBorders>
            <w:shd w:val="clear" w:color="auto" w:fill="auto"/>
            <w:vAlign w:val="bottom"/>
            <w:hideMark/>
          </w:tcPr>
          <w:p w14:paraId="3B2844D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76" w:type="dxa"/>
            <w:tcBorders>
              <w:top w:val="nil"/>
              <w:left w:val="nil"/>
              <w:bottom w:val="single" w:sz="4" w:space="0" w:color="000000"/>
              <w:right w:val="single" w:sz="4" w:space="0" w:color="000000"/>
            </w:tcBorders>
            <w:shd w:val="clear" w:color="auto" w:fill="auto"/>
            <w:vAlign w:val="bottom"/>
            <w:hideMark/>
          </w:tcPr>
          <w:p w14:paraId="12E60CC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59" w:type="dxa"/>
            <w:tcBorders>
              <w:top w:val="nil"/>
              <w:left w:val="nil"/>
              <w:bottom w:val="single" w:sz="4" w:space="0" w:color="000000"/>
              <w:right w:val="double" w:sz="6" w:space="0" w:color="000000"/>
            </w:tcBorders>
            <w:shd w:val="clear" w:color="auto" w:fill="auto"/>
            <w:vAlign w:val="bottom"/>
            <w:hideMark/>
          </w:tcPr>
          <w:p w14:paraId="1E840C6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r>
      <w:tr w:rsidR="00A53AD7" w:rsidRPr="00A53AD7" w14:paraId="7201BFE5" w14:textId="77777777" w:rsidTr="003B5BDA">
        <w:trPr>
          <w:trHeight w:val="420"/>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627938F0"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сельское, лесное хозяйство, охота, рыболовство…</w:t>
            </w:r>
          </w:p>
        </w:tc>
        <w:tc>
          <w:tcPr>
            <w:tcW w:w="1191" w:type="dxa"/>
            <w:tcBorders>
              <w:top w:val="nil"/>
              <w:left w:val="nil"/>
              <w:bottom w:val="single" w:sz="4" w:space="0" w:color="000000"/>
              <w:right w:val="single" w:sz="4" w:space="0" w:color="000000"/>
            </w:tcBorders>
            <w:shd w:val="clear" w:color="auto" w:fill="auto"/>
            <w:vAlign w:val="bottom"/>
            <w:hideMark/>
          </w:tcPr>
          <w:p w14:paraId="5F8A4AF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68,8</w:t>
            </w:r>
          </w:p>
        </w:tc>
        <w:tc>
          <w:tcPr>
            <w:tcW w:w="1159" w:type="dxa"/>
            <w:tcBorders>
              <w:top w:val="nil"/>
              <w:left w:val="nil"/>
              <w:bottom w:val="single" w:sz="4" w:space="0" w:color="000000"/>
              <w:right w:val="single" w:sz="4" w:space="0" w:color="000000"/>
            </w:tcBorders>
            <w:shd w:val="clear" w:color="auto" w:fill="auto"/>
            <w:vAlign w:val="bottom"/>
            <w:hideMark/>
          </w:tcPr>
          <w:p w14:paraId="576AE8A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31,2</w:t>
            </w:r>
          </w:p>
        </w:tc>
        <w:tc>
          <w:tcPr>
            <w:tcW w:w="1194" w:type="dxa"/>
            <w:tcBorders>
              <w:top w:val="nil"/>
              <w:left w:val="nil"/>
              <w:bottom w:val="single" w:sz="4" w:space="0" w:color="000000"/>
              <w:right w:val="single" w:sz="4" w:space="0" w:color="000000"/>
            </w:tcBorders>
            <w:shd w:val="clear" w:color="auto" w:fill="auto"/>
            <w:vAlign w:val="bottom"/>
            <w:hideMark/>
          </w:tcPr>
          <w:p w14:paraId="3B6B4ED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71</w:t>
            </w:r>
          </w:p>
        </w:tc>
        <w:tc>
          <w:tcPr>
            <w:tcW w:w="1159" w:type="dxa"/>
            <w:tcBorders>
              <w:top w:val="nil"/>
              <w:left w:val="nil"/>
              <w:bottom w:val="single" w:sz="4" w:space="0" w:color="000000"/>
              <w:right w:val="single" w:sz="4" w:space="0" w:color="000000"/>
            </w:tcBorders>
            <w:shd w:val="clear" w:color="auto" w:fill="auto"/>
            <w:vAlign w:val="bottom"/>
            <w:hideMark/>
          </w:tcPr>
          <w:p w14:paraId="1EBC6C9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29</w:t>
            </w:r>
          </w:p>
        </w:tc>
        <w:tc>
          <w:tcPr>
            <w:tcW w:w="1176" w:type="dxa"/>
            <w:tcBorders>
              <w:top w:val="nil"/>
              <w:left w:val="nil"/>
              <w:bottom w:val="single" w:sz="4" w:space="0" w:color="000000"/>
              <w:right w:val="single" w:sz="4" w:space="0" w:color="000000"/>
            </w:tcBorders>
            <w:shd w:val="clear" w:color="auto" w:fill="auto"/>
            <w:vAlign w:val="bottom"/>
            <w:hideMark/>
          </w:tcPr>
          <w:p w14:paraId="3D9EB89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68,6</w:t>
            </w:r>
          </w:p>
        </w:tc>
        <w:tc>
          <w:tcPr>
            <w:tcW w:w="1159" w:type="dxa"/>
            <w:tcBorders>
              <w:top w:val="nil"/>
              <w:left w:val="nil"/>
              <w:bottom w:val="single" w:sz="4" w:space="0" w:color="000000"/>
              <w:right w:val="double" w:sz="6" w:space="0" w:color="000000"/>
            </w:tcBorders>
            <w:shd w:val="clear" w:color="auto" w:fill="auto"/>
            <w:vAlign w:val="bottom"/>
            <w:hideMark/>
          </w:tcPr>
          <w:p w14:paraId="0D1B791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31,4</w:t>
            </w:r>
          </w:p>
        </w:tc>
      </w:tr>
      <w:tr w:rsidR="00A53AD7" w:rsidRPr="00A53AD7" w14:paraId="50EFA127" w14:textId="77777777" w:rsidTr="003B5BDA">
        <w:trPr>
          <w:trHeight w:val="300"/>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482BB225"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1191" w:type="dxa"/>
            <w:tcBorders>
              <w:top w:val="nil"/>
              <w:left w:val="nil"/>
              <w:bottom w:val="single" w:sz="4" w:space="0" w:color="000000"/>
              <w:right w:val="single" w:sz="4" w:space="0" w:color="000000"/>
            </w:tcBorders>
            <w:shd w:val="clear" w:color="auto" w:fill="auto"/>
            <w:vAlign w:val="bottom"/>
            <w:hideMark/>
          </w:tcPr>
          <w:p w14:paraId="4F5E1C5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1159" w:type="dxa"/>
            <w:tcBorders>
              <w:top w:val="nil"/>
              <w:left w:val="nil"/>
              <w:bottom w:val="single" w:sz="4" w:space="0" w:color="000000"/>
              <w:right w:val="single" w:sz="4" w:space="0" w:color="000000"/>
            </w:tcBorders>
            <w:shd w:val="clear" w:color="auto" w:fill="auto"/>
            <w:vAlign w:val="bottom"/>
            <w:hideMark/>
          </w:tcPr>
          <w:p w14:paraId="6871385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1194" w:type="dxa"/>
            <w:tcBorders>
              <w:top w:val="nil"/>
              <w:left w:val="nil"/>
              <w:bottom w:val="single" w:sz="4" w:space="0" w:color="000000"/>
              <w:right w:val="single" w:sz="4" w:space="0" w:color="000000"/>
            </w:tcBorders>
            <w:shd w:val="clear" w:color="auto" w:fill="auto"/>
            <w:vAlign w:val="bottom"/>
            <w:hideMark/>
          </w:tcPr>
          <w:p w14:paraId="5A8AAD6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1159" w:type="dxa"/>
            <w:tcBorders>
              <w:top w:val="nil"/>
              <w:left w:val="nil"/>
              <w:bottom w:val="single" w:sz="4" w:space="0" w:color="000000"/>
              <w:right w:val="single" w:sz="4" w:space="0" w:color="000000"/>
            </w:tcBorders>
            <w:shd w:val="clear" w:color="auto" w:fill="auto"/>
            <w:vAlign w:val="bottom"/>
            <w:hideMark/>
          </w:tcPr>
          <w:p w14:paraId="152A4B4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1176" w:type="dxa"/>
            <w:tcBorders>
              <w:top w:val="nil"/>
              <w:left w:val="nil"/>
              <w:bottom w:val="single" w:sz="4" w:space="0" w:color="000000"/>
              <w:right w:val="single" w:sz="4" w:space="0" w:color="000000"/>
            </w:tcBorders>
            <w:shd w:val="clear" w:color="auto" w:fill="auto"/>
            <w:vAlign w:val="bottom"/>
            <w:hideMark/>
          </w:tcPr>
          <w:p w14:paraId="129722B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1159" w:type="dxa"/>
            <w:tcBorders>
              <w:top w:val="nil"/>
              <w:left w:val="nil"/>
              <w:bottom w:val="single" w:sz="4" w:space="0" w:color="000000"/>
              <w:right w:val="double" w:sz="6" w:space="0" w:color="000000"/>
            </w:tcBorders>
            <w:shd w:val="clear" w:color="auto" w:fill="auto"/>
            <w:vAlign w:val="bottom"/>
            <w:hideMark/>
          </w:tcPr>
          <w:p w14:paraId="4B1A746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6EE40525" w14:textId="77777777" w:rsidTr="003B5BDA">
        <w:trPr>
          <w:trHeight w:val="300"/>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14062EEF"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w:t>
            </w:r>
          </w:p>
        </w:tc>
        <w:tc>
          <w:tcPr>
            <w:tcW w:w="1191" w:type="dxa"/>
            <w:tcBorders>
              <w:top w:val="nil"/>
              <w:left w:val="nil"/>
              <w:bottom w:val="single" w:sz="4" w:space="0" w:color="000000"/>
              <w:right w:val="single" w:sz="4" w:space="0" w:color="000000"/>
            </w:tcBorders>
            <w:shd w:val="clear" w:color="auto" w:fill="auto"/>
            <w:vAlign w:val="bottom"/>
            <w:hideMark/>
          </w:tcPr>
          <w:p w14:paraId="4C43518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72,1</w:t>
            </w:r>
          </w:p>
        </w:tc>
        <w:tc>
          <w:tcPr>
            <w:tcW w:w="1159" w:type="dxa"/>
            <w:tcBorders>
              <w:top w:val="nil"/>
              <w:left w:val="nil"/>
              <w:bottom w:val="single" w:sz="4" w:space="0" w:color="000000"/>
              <w:right w:val="single" w:sz="4" w:space="0" w:color="000000"/>
            </w:tcBorders>
            <w:shd w:val="clear" w:color="auto" w:fill="auto"/>
            <w:vAlign w:val="bottom"/>
            <w:hideMark/>
          </w:tcPr>
          <w:p w14:paraId="4D9B858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27,9</w:t>
            </w:r>
          </w:p>
        </w:tc>
        <w:tc>
          <w:tcPr>
            <w:tcW w:w="1194" w:type="dxa"/>
            <w:tcBorders>
              <w:top w:val="nil"/>
              <w:left w:val="nil"/>
              <w:bottom w:val="single" w:sz="4" w:space="0" w:color="000000"/>
              <w:right w:val="single" w:sz="4" w:space="0" w:color="000000"/>
            </w:tcBorders>
            <w:shd w:val="clear" w:color="auto" w:fill="auto"/>
            <w:vAlign w:val="bottom"/>
            <w:hideMark/>
          </w:tcPr>
          <w:p w14:paraId="625F666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75</w:t>
            </w:r>
          </w:p>
        </w:tc>
        <w:tc>
          <w:tcPr>
            <w:tcW w:w="1159" w:type="dxa"/>
            <w:tcBorders>
              <w:top w:val="nil"/>
              <w:left w:val="nil"/>
              <w:bottom w:val="single" w:sz="4" w:space="0" w:color="000000"/>
              <w:right w:val="single" w:sz="4" w:space="0" w:color="000000"/>
            </w:tcBorders>
            <w:shd w:val="clear" w:color="auto" w:fill="auto"/>
            <w:vAlign w:val="bottom"/>
            <w:hideMark/>
          </w:tcPr>
          <w:p w14:paraId="00E9A5F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w:t>
            </w:r>
          </w:p>
        </w:tc>
        <w:tc>
          <w:tcPr>
            <w:tcW w:w="1176" w:type="dxa"/>
            <w:tcBorders>
              <w:top w:val="nil"/>
              <w:left w:val="nil"/>
              <w:bottom w:val="single" w:sz="4" w:space="0" w:color="000000"/>
              <w:right w:val="single" w:sz="4" w:space="0" w:color="000000"/>
            </w:tcBorders>
            <w:shd w:val="clear" w:color="auto" w:fill="auto"/>
            <w:vAlign w:val="bottom"/>
            <w:hideMark/>
          </w:tcPr>
          <w:p w14:paraId="1E90AEF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67,5</w:t>
            </w:r>
          </w:p>
        </w:tc>
        <w:tc>
          <w:tcPr>
            <w:tcW w:w="1159" w:type="dxa"/>
            <w:tcBorders>
              <w:top w:val="nil"/>
              <w:left w:val="nil"/>
              <w:bottom w:val="single" w:sz="4" w:space="0" w:color="000000"/>
              <w:right w:val="double" w:sz="6" w:space="0" w:color="000000"/>
            </w:tcBorders>
            <w:shd w:val="clear" w:color="auto" w:fill="auto"/>
            <w:vAlign w:val="bottom"/>
            <w:hideMark/>
          </w:tcPr>
          <w:p w14:paraId="2F947F4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w:t>
            </w:r>
          </w:p>
        </w:tc>
      </w:tr>
      <w:tr w:rsidR="00A53AD7" w:rsidRPr="00A53AD7" w14:paraId="19660C53" w14:textId="77777777" w:rsidTr="003B5BDA">
        <w:trPr>
          <w:trHeight w:val="630"/>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3CA65B09"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 газом и паром…</w:t>
            </w:r>
          </w:p>
        </w:tc>
        <w:tc>
          <w:tcPr>
            <w:tcW w:w="1191" w:type="dxa"/>
            <w:tcBorders>
              <w:top w:val="nil"/>
              <w:left w:val="nil"/>
              <w:bottom w:val="single" w:sz="4" w:space="0" w:color="000000"/>
              <w:right w:val="single" w:sz="4" w:space="0" w:color="000000"/>
            </w:tcBorders>
            <w:shd w:val="clear" w:color="auto" w:fill="auto"/>
            <w:vAlign w:val="bottom"/>
            <w:hideMark/>
          </w:tcPr>
          <w:p w14:paraId="54FF2A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70</w:t>
            </w:r>
          </w:p>
        </w:tc>
        <w:tc>
          <w:tcPr>
            <w:tcW w:w="1159" w:type="dxa"/>
            <w:tcBorders>
              <w:top w:val="nil"/>
              <w:left w:val="nil"/>
              <w:bottom w:val="single" w:sz="4" w:space="0" w:color="000000"/>
              <w:right w:val="single" w:sz="4" w:space="0" w:color="000000"/>
            </w:tcBorders>
            <w:shd w:val="clear" w:color="auto" w:fill="auto"/>
            <w:vAlign w:val="bottom"/>
            <w:hideMark/>
          </w:tcPr>
          <w:p w14:paraId="5C0BA6B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w:t>
            </w:r>
          </w:p>
        </w:tc>
        <w:tc>
          <w:tcPr>
            <w:tcW w:w="1194" w:type="dxa"/>
            <w:tcBorders>
              <w:top w:val="nil"/>
              <w:left w:val="nil"/>
              <w:bottom w:val="single" w:sz="4" w:space="0" w:color="000000"/>
              <w:right w:val="single" w:sz="4" w:space="0" w:color="000000"/>
            </w:tcBorders>
            <w:shd w:val="clear" w:color="auto" w:fill="auto"/>
            <w:vAlign w:val="bottom"/>
            <w:hideMark/>
          </w:tcPr>
          <w:p w14:paraId="46076B6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74,4</w:t>
            </w:r>
          </w:p>
        </w:tc>
        <w:tc>
          <w:tcPr>
            <w:tcW w:w="1159" w:type="dxa"/>
            <w:tcBorders>
              <w:top w:val="nil"/>
              <w:left w:val="nil"/>
              <w:bottom w:val="single" w:sz="4" w:space="0" w:color="000000"/>
              <w:right w:val="single" w:sz="4" w:space="0" w:color="000000"/>
            </w:tcBorders>
            <w:shd w:val="clear" w:color="auto" w:fill="auto"/>
            <w:vAlign w:val="bottom"/>
            <w:hideMark/>
          </w:tcPr>
          <w:p w14:paraId="25B0661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25,6</w:t>
            </w:r>
          </w:p>
        </w:tc>
        <w:tc>
          <w:tcPr>
            <w:tcW w:w="1176" w:type="dxa"/>
            <w:tcBorders>
              <w:top w:val="nil"/>
              <w:left w:val="nil"/>
              <w:bottom w:val="single" w:sz="4" w:space="0" w:color="000000"/>
              <w:right w:val="single" w:sz="4" w:space="0" w:color="000000"/>
            </w:tcBorders>
            <w:shd w:val="clear" w:color="auto" w:fill="auto"/>
            <w:vAlign w:val="bottom"/>
            <w:hideMark/>
          </w:tcPr>
          <w:p w14:paraId="7B48B2F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65</w:t>
            </w:r>
          </w:p>
        </w:tc>
        <w:tc>
          <w:tcPr>
            <w:tcW w:w="1159" w:type="dxa"/>
            <w:tcBorders>
              <w:top w:val="nil"/>
              <w:left w:val="nil"/>
              <w:bottom w:val="single" w:sz="4" w:space="0" w:color="000000"/>
              <w:right w:val="double" w:sz="6" w:space="0" w:color="000000"/>
            </w:tcBorders>
            <w:shd w:val="clear" w:color="auto" w:fill="auto"/>
            <w:vAlign w:val="bottom"/>
            <w:hideMark/>
          </w:tcPr>
          <w:p w14:paraId="2F06227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35</w:t>
            </w:r>
          </w:p>
        </w:tc>
      </w:tr>
      <w:tr w:rsidR="00A53AD7" w:rsidRPr="00A53AD7" w14:paraId="12179F83" w14:textId="77777777" w:rsidTr="003B5BDA">
        <w:trPr>
          <w:trHeight w:val="840"/>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7AF389BD"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водоснабжение; водоотведение, организация сбора и утилизации отходов…</w:t>
            </w:r>
          </w:p>
        </w:tc>
        <w:tc>
          <w:tcPr>
            <w:tcW w:w="1191" w:type="dxa"/>
            <w:tcBorders>
              <w:top w:val="nil"/>
              <w:left w:val="nil"/>
              <w:bottom w:val="single" w:sz="4" w:space="0" w:color="000000"/>
              <w:right w:val="single" w:sz="4" w:space="0" w:color="000000"/>
            </w:tcBorders>
            <w:shd w:val="clear" w:color="auto" w:fill="auto"/>
            <w:vAlign w:val="bottom"/>
            <w:hideMark/>
          </w:tcPr>
          <w:p w14:paraId="6BF823B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53,3</w:t>
            </w:r>
          </w:p>
        </w:tc>
        <w:tc>
          <w:tcPr>
            <w:tcW w:w="1159" w:type="dxa"/>
            <w:tcBorders>
              <w:top w:val="nil"/>
              <w:left w:val="nil"/>
              <w:bottom w:val="single" w:sz="4" w:space="0" w:color="000000"/>
              <w:right w:val="single" w:sz="4" w:space="0" w:color="000000"/>
            </w:tcBorders>
            <w:shd w:val="clear" w:color="auto" w:fill="auto"/>
            <w:vAlign w:val="bottom"/>
            <w:hideMark/>
          </w:tcPr>
          <w:p w14:paraId="297E769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46,7</w:t>
            </w:r>
          </w:p>
        </w:tc>
        <w:tc>
          <w:tcPr>
            <w:tcW w:w="1194" w:type="dxa"/>
            <w:tcBorders>
              <w:top w:val="nil"/>
              <w:left w:val="nil"/>
              <w:bottom w:val="single" w:sz="4" w:space="0" w:color="000000"/>
              <w:right w:val="single" w:sz="4" w:space="0" w:color="000000"/>
            </w:tcBorders>
            <w:shd w:val="clear" w:color="auto" w:fill="auto"/>
            <w:vAlign w:val="bottom"/>
            <w:hideMark/>
          </w:tcPr>
          <w:p w14:paraId="7398AD1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69,2</w:t>
            </w:r>
          </w:p>
        </w:tc>
        <w:tc>
          <w:tcPr>
            <w:tcW w:w="1159" w:type="dxa"/>
            <w:tcBorders>
              <w:top w:val="nil"/>
              <w:left w:val="nil"/>
              <w:bottom w:val="single" w:sz="4" w:space="0" w:color="000000"/>
              <w:right w:val="single" w:sz="4" w:space="0" w:color="000000"/>
            </w:tcBorders>
            <w:shd w:val="clear" w:color="auto" w:fill="auto"/>
            <w:vAlign w:val="bottom"/>
            <w:hideMark/>
          </w:tcPr>
          <w:p w14:paraId="433424B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30,8</w:t>
            </w:r>
          </w:p>
        </w:tc>
        <w:tc>
          <w:tcPr>
            <w:tcW w:w="1176" w:type="dxa"/>
            <w:tcBorders>
              <w:top w:val="nil"/>
              <w:left w:val="nil"/>
              <w:bottom w:val="single" w:sz="4" w:space="0" w:color="000000"/>
              <w:right w:val="single" w:sz="4" w:space="0" w:color="000000"/>
            </w:tcBorders>
            <w:shd w:val="clear" w:color="auto" w:fill="auto"/>
            <w:vAlign w:val="bottom"/>
            <w:hideMark/>
          </w:tcPr>
          <w:p w14:paraId="42715B8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54,5</w:t>
            </w:r>
          </w:p>
        </w:tc>
        <w:tc>
          <w:tcPr>
            <w:tcW w:w="1159" w:type="dxa"/>
            <w:tcBorders>
              <w:top w:val="nil"/>
              <w:left w:val="nil"/>
              <w:bottom w:val="single" w:sz="4" w:space="0" w:color="000000"/>
              <w:right w:val="double" w:sz="6" w:space="0" w:color="000000"/>
            </w:tcBorders>
            <w:shd w:val="clear" w:color="auto" w:fill="auto"/>
            <w:vAlign w:val="bottom"/>
            <w:hideMark/>
          </w:tcPr>
          <w:p w14:paraId="11D0CB6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45,5</w:t>
            </w:r>
          </w:p>
        </w:tc>
      </w:tr>
      <w:tr w:rsidR="00A53AD7" w:rsidRPr="00A53AD7" w14:paraId="67C2BC91" w14:textId="77777777" w:rsidTr="001B2BFA">
        <w:trPr>
          <w:trHeight w:val="68"/>
        </w:trPr>
        <w:tc>
          <w:tcPr>
            <w:tcW w:w="2245" w:type="dxa"/>
            <w:tcBorders>
              <w:top w:val="nil"/>
              <w:left w:val="double" w:sz="6" w:space="0" w:color="000000"/>
              <w:bottom w:val="single" w:sz="4" w:space="0" w:color="000000"/>
              <w:right w:val="single" w:sz="4" w:space="0" w:color="000000"/>
            </w:tcBorders>
            <w:shd w:val="clear" w:color="auto" w:fill="auto"/>
            <w:vAlign w:val="center"/>
            <w:hideMark/>
          </w:tcPr>
          <w:p w14:paraId="2F4F1273"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строительство</w:t>
            </w:r>
          </w:p>
        </w:tc>
        <w:tc>
          <w:tcPr>
            <w:tcW w:w="1191" w:type="dxa"/>
            <w:tcBorders>
              <w:top w:val="nil"/>
              <w:left w:val="nil"/>
              <w:bottom w:val="single" w:sz="4" w:space="0" w:color="000000"/>
              <w:right w:val="single" w:sz="4" w:space="0" w:color="000000"/>
            </w:tcBorders>
            <w:shd w:val="clear" w:color="auto" w:fill="auto"/>
            <w:vAlign w:val="bottom"/>
            <w:hideMark/>
          </w:tcPr>
          <w:p w14:paraId="07837F8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66,7</w:t>
            </w:r>
          </w:p>
        </w:tc>
        <w:tc>
          <w:tcPr>
            <w:tcW w:w="1159" w:type="dxa"/>
            <w:tcBorders>
              <w:top w:val="nil"/>
              <w:left w:val="nil"/>
              <w:bottom w:val="single" w:sz="4" w:space="0" w:color="000000"/>
              <w:right w:val="single" w:sz="4" w:space="0" w:color="000000"/>
            </w:tcBorders>
            <w:shd w:val="clear" w:color="auto" w:fill="auto"/>
            <w:vAlign w:val="bottom"/>
            <w:hideMark/>
          </w:tcPr>
          <w:p w14:paraId="5AC0F96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33,3</w:t>
            </w:r>
          </w:p>
        </w:tc>
        <w:tc>
          <w:tcPr>
            <w:tcW w:w="1194" w:type="dxa"/>
            <w:tcBorders>
              <w:top w:val="nil"/>
              <w:left w:val="nil"/>
              <w:bottom w:val="single" w:sz="4" w:space="0" w:color="000000"/>
              <w:right w:val="single" w:sz="4" w:space="0" w:color="000000"/>
            </w:tcBorders>
            <w:shd w:val="clear" w:color="auto" w:fill="auto"/>
            <w:vAlign w:val="bottom"/>
            <w:hideMark/>
          </w:tcPr>
          <w:p w14:paraId="382D7C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78,6</w:t>
            </w:r>
          </w:p>
        </w:tc>
        <w:tc>
          <w:tcPr>
            <w:tcW w:w="1159" w:type="dxa"/>
            <w:tcBorders>
              <w:top w:val="nil"/>
              <w:left w:val="nil"/>
              <w:bottom w:val="single" w:sz="4" w:space="0" w:color="000000"/>
              <w:right w:val="single" w:sz="4" w:space="0" w:color="000000"/>
            </w:tcBorders>
            <w:shd w:val="clear" w:color="auto" w:fill="auto"/>
            <w:vAlign w:val="bottom"/>
            <w:hideMark/>
          </w:tcPr>
          <w:p w14:paraId="4416B2E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21,4</w:t>
            </w:r>
          </w:p>
        </w:tc>
        <w:tc>
          <w:tcPr>
            <w:tcW w:w="1176" w:type="dxa"/>
            <w:tcBorders>
              <w:top w:val="nil"/>
              <w:left w:val="nil"/>
              <w:bottom w:val="single" w:sz="4" w:space="0" w:color="000000"/>
              <w:right w:val="single" w:sz="4" w:space="0" w:color="000000"/>
            </w:tcBorders>
            <w:shd w:val="clear" w:color="auto" w:fill="auto"/>
            <w:vAlign w:val="bottom"/>
            <w:hideMark/>
          </w:tcPr>
          <w:p w14:paraId="35DA1EC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72,7</w:t>
            </w:r>
          </w:p>
        </w:tc>
        <w:tc>
          <w:tcPr>
            <w:tcW w:w="1159" w:type="dxa"/>
            <w:tcBorders>
              <w:top w:val="nil"/>
              <w:left w:val="nil"/>
              <w:bottom w:val="single" w:sz="4" w:space="0" w:color="000000"/>
              <w:right w:val="double" w:sz="6" w:space="0" w:color="000000"/>
            </w:tcBorders>
            <w:shd w:val="clear" w:color="auto" w:fill="auto"/>
            <w:vAlign w:val="bottom"/>
            <w:hideMark/>
          </w:tcPr>
          <w:p w14:paraId="0BDAE65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27,3</w:t>
            </w:r>
          </w:p>
        </w:tc>
      </w:tr>
      <w:tr w:rsidR="003B5BDA" w:rsidRPr="00A53AD7" w14:paraId="1A50612A" w14:textId="77777777" w:rsidTr="003B5BDA">
        <w:trPr>
          <w:trHeight w:val="435"/>
        </w:trPr>
        <w:tc>
          <w:tcPr>
            <w:tcW w:w="2245" w:type="dxa"/>
            <w:tcBorders>
              <w:top w:val="nil"/>
              <w:left w:val="double" w:sz="6" w:space="0" w:color="000000"/>
              <w:bottom w:val="double" w:sz="6" w:space="0" w:color="000000"/>
              <w:right w:val="single" w:sz="4" w:space="0" w:color="000000"/>
            </w:tcBorders>
            <w:shd w:val="clear" w:color="auto" w:fill="auto"/>
            <w:vAlign w:val="center"/>
            <w:hideMark/>
          </w:tcPr>
          <w:p w14:paraId="34C8EC48" w14:textId="77777777" w:rsidR="003B5BDA" w:rsidRPr="00A53AD7" w:rsidRDefault="003B5BDA" w:rsidP="003B5BDA">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торговля оптовая и розничная; ремонт автотранспортных средств и мотоциклов</w:t>
            </w:r>
          </w:p>
        </w:tc>
        <w:tc>
          <w:tcPr>
            <w:tcW w:w="1191" w:type="dxa"/>
            <w:tcBorders>
              <w:top w:val="nil"/>
              <w:left w:val="nil"/>
              <w:bottom w:val="double" w:sz="6" w:space="0" w:color="000000"/>
              <w:right w:val="single" w:sz="4" w:space="0" w:color="000000"/>
            </w:tcBorders>
            <w:shd w:val="clear" w:color="auto" w:fill="auto"/>
            <w:vAlign w:val="bottom"/>
            <w:hideMark/>
          </w:tcPr>
          <w:p w14:paraId="1B1D455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81,1</w:t>
            </w:r>
          </w:p>
        </w:tc>
        <w:tc>
          <w:tcPr>
            <w:tcW w:w="1159" w:type="dxa"/>
            <w:tcBorders>
              <w:top w:val="nil"/>
              <w:left w:val="nil"/>
              <w:bottom w:val="double" w:sz="6" w:space="0" w:color="000000"/>
              <w:right w:val="single" w:sz="4" w:space="0" w:color="000000"/>
            </w:tcBorders>
            <w:shd w:val="clear" w:color="auto" w:fill="auto"/>
            <w:vAlign w:val="bottom"/>
            <w:hideMark/>
          </w:tcPr>
          <w:p w14:paraId="4CF9395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18,9</w:t>
            </w:r>
          </w:p>
        </w:tc>
        <w:tc>
          <w:tcPr>
            <w:tcW w:w="1194" w:type="dxa"/>
            <w:tcBorders>
              <w:top w:val="nil"/>
              <w:left w:val="nil"/>
              <w:bottom w:val="double" w:sz="6" w:space="0" w:color="000000"/>
              <w:right w:val="single" w:sz="4" w:space="0" w:color="000000"/>
            </w:tcBorders>
            <w:shd w:val="clear" w:color="auto" w:fill="auto"/>
            <w:vAlign w:val="bottom"/>
            <w:hideMark/>
          </w:tcPr>
          <w:p w14:paraId="1019EE0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70</w:t>
            </w:r>
          </w:p>
        </w:tc>
        <w:tc>
          <w:tcPr>
            <w:tcW w:w="1159" w:type="dxa"/>
            <w:tcBorders>
              <w:top w:val="nil"/>
              <w:left w:val="nil"/>
              <w:bottom w:val="double" w:sz="6" w:space="0" w:color="000000"/>
              <w:right w:val="single" w:sz="4" w:space="0" w:color="000000"/>
            </w:tcBorders>
            <w:shd w:val="clear" w:color="auto" w:fill="auto"/>
            <w:vAlign w:val="bottom"/>
            <w:hideMark/>
          </w:tcPr>
          <w:p w14:paraId="4DCCCB6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w:t>
            </w:r>
          </w:p>
        </w:tc>
        <w:tc>
          <w:tcPr>
            <w:tcW w:w="1176" w:type="dxa"/>
            <w:tcBorders>
              <w:top w:val="nil"/>
              <w:left w:val="nil"/>
              <w:bottom w:val="double" w:sz="6" w:space="0" w:color="000000"/>
              <w:right w:val="single" w:sz="4" w:space="0" w:color="000000"/>
            </w:tcBorders>
            <w:shd w:val="clear" w:color="auto" w:fill="auto"/>
            <w:vAlign w:val="bottom"/>
            <w:hideMark/>
          </w:tcPr>
          <w:p w14:paraId="44A3C78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62,5</w:t>
            </w:r>
          </w:p>
        </w:tc>
        <w:tc>
          <w:tcPr>
            <w:tcW w:w="1159" w:type="dxa"/>
            <w:tcBorders>
              <w:top w:val="nil"/>
              <w:left w:val="nil"/>
              <w:bottom w:val="double" w:sz="6" w:space="0" w:color="000000"/>
              <w:right w:val="double" w:sz="6" w:space="0" w:color="000000"/>
            </w:tcBorders>
            <w:shd w:val="clear" w:color="auto" w:fill="auto"/>
            <w:vAlign w:val="bottom"/>
            <w:hideMark/>
          </w:tcPr>
          <w:p w14:paraId="5A2A0D6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37,5</w:t>
            </w:r>
          </w:p>
        </w:tc>
      </w:tr>
    </w:tbl>
    <w:p w14:paraId="5802AFD8" w14:textId="77777777" w:rsidR="001B2BFA" w:rsidRPr="00A53AD7" w:rsidRDefault="001B2BFA" w:rsidP="003B5BDA">
      <w:pPr>
        <w:spacing w:after="0" w:line="240" w:lineRule="auto"/>
        <w:ind w:firstLine="851"/>
        <w:jc w:val="both"/>
        <w:rPr>
          <w:rFonts w:ascii="Times New Roman" w:hAnsi="Times New Roman"/>
          <w:sz w:val="28"/>
          <w:szCs w:val="28"/>
        </w:rPr>
      </w:pPr>
    </w:p>
    <w:p w14:paraId="18AC45B4" w14:textId="77777777"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итогам 2019 года количество прибыльных организаций снизилось по каждому виду экономической деятельности, за исключением «добычи полезных ископаемых», и в результате составляет: прибыльные организации от общего числа – 69,9 %, допустившие убытки – 30,1 % (за 2018 год: прибыльные организации – 71,8 %, допустившие убытки – 28,2 %). Таким </w:t>
      </w:r>
      <w:r w:rsidRPr="00A53AD7">
        <w:rPr>
          <w:rFonts w:ascii="Times New Roman" w:hAnsi="Times New Roman"/>
          <w:sz w:val="28"/>
          <w:szCs w:val="28"/>
        </w:rPr>
        <w:lastRenderedPageBreak/>
        <w:t xml:space="preserve">образом, доля прибыльных организаций в отчетном году снизилась на 1,9 процентных пункта. </w:t>
      </w:r>
    </w:p>
    <w:p w14:paraId="0F8E6E71" w14:textId="77777777" w:rsidR="007057CC" w:rsidRPr="00A53AD7" w:rsidRDefault="007057CC" w:rsidP="007057CC">
      <w:pPr>
        <w:spacing w:after="0" w:line="240" w:lineRule="auto"/>
        <w:ind w:firstLine="851"/>
        <w:jc w:val="both"/>
        <w:rPr>
          <w:rFonts w:ascii="Times New Roman" w:hAnsi="Times New Roman"/>
          <w:sz w:val="28"/>
          <w:szCs w:val="28"/>
        </w:rPr>
      </w:pPr>
      <w:bookmarkStart w:id="6" w:name="_Toc9262553"/>
      <w:r w:rsidRPr="00A53AD7">
        <w:rPr>
          <w:rFonts w:ascii="Times New Roman" w:hAnsi="Times New Roman"/>
          <w:sz w:val="28"/>
          <w:szCs w:val="28"/>
        </w:rPr>
        <w:t>На общие показатели прибыльности организаций оказало влияние снижение поступления прибыли у предприятий обрабатывающих производств, которая составила 16 990,8 млн.руб. или 66,3 % к аналогичным показателям 2018 года, что оказали влияние результаты деятельности хозяйствующих субъектов в сферах: обработка древесины и производство изделий из дерева и пробки… – показатели прибыли составили лишь 21,4 % к 2018 году (в 2018 году показатели прибыли превышали в 2,0 раза аналогичные показатели 2017 года); производство бумаги и бумажных изделий – 66,1 % к 2018 году (в 2018 году показатели прибыли превышали на 146,1 % показатели 2017 года); ремонт и монтаж машин и оборудования – 30,8 % к 2018 году (в 2018 году показатели превышали в 3,3 раза показатели 2017 года); производство пищевых продуктов – 81,0 % к 2018 году (в 2018 году показатели прибыли превышали на 106,7 % показатели 2017 года).</w:t>
      </w:r>
    </w:p>
    <w:p w14:paraId="650242F1" w14:textId="77777777" w:rsidR="003B5BDA" w:rsidRPr="00A53AD7" w:rsidRDefault="003B5BDA" w:rsidP="003B5BDA">
      <w:pPr>
        <w:pStyle w:val="2"/>
        <w:spacing w:before="120" w:after="0" w:line="240" w:lineRule="auto"/>
        <w:jc w:val="center"/>
        <w:rPr>
          <w:rFonts w:ascii="Times New Roman" w:hAnsi="Times New Roman"/>
          <w:lang w:val="ru-RU"/>
        </w:rPr>
      </w:pPr>
      <w:bookmarkStart w:id="7" w:name="_Toc42006703"/>
      <w:r w:rsidRPr="00A53AD7">
        <w:rPr>
          <w:rFonts w:ascii="Times New Roman" w:hAnsi="Times New Roman"/>
          <w:lang w:val="ru-RU"/>
        </w:rPr>
        <w:t xml:space="preserve">1.2. </w:t>
      </w:r>
      <w:bookmarkStart w:id="8" w:name="_Toc451785025"/>
      <w:bookmarkStart w:id="9" w:name="_Toc515024200"/>
      <w:r w:rsidRPr="00A53AD7">
        <w:rPr>
          <w:rFonts w:ascii="Times New Roman" w:hAnsi="Times New Roman"/>
          <w:lang w:val="ru-RU"/>
        </w:rPr>
        <w:t>Объем инвестиций в основной капитал</w:t>
      </w:r>
      <w:bookmarkEnd w:id="6"/>
      <w:bookmarkEnd w:id="7"/>
      <w:bookmarkEnd w:id="8"/>
      <w:bookmarkEnd w:id="9"/>
    </w:p>
    <w:p w14:paraId="617E939F" w14:textId="7141E0B9" w:rsidR="00EB472F" w:rsidRPr="00A53AD7" w:rsidRDefault="00EB472F" w:rsidP="00EB472F">
      <w:pPr>
        <w:pStyle w:val="ad"/>
        <w:ind w:firstLine="851"/>
        <w:jc w:val="both"/>
        <w:rPr>
          <w:rFonts w:ascii="Times New Roman" w:hAnsi="Times New Roman"/>
          <w:sz w:val="28"/>
          <w:szCs w:val="28"/>
        </w:rPr>
      </w:pPr>
      <w:r w:rsidRPr="00A53AD7">
        <w:rPr>
          <w:rFonts w:ascii="Times New Roman" w:hAnsi="Times New Roman"/>
          <w:sz w:val="28"/>
          <w:szCs w:val="28"/>
        </w:rPr>
        <w:t>В седьмой ежегодный рейтинг инвестиционной привлекательности регионов России Национального рейтингового агентства 2019 года были включены все 85 субъектов Российской Федерации, которые в соответствии с методикой рейтинга были разделены на три укрупненных рейтинговых категории («высокая», «средняя» и «умеренная» инвестиционная привлекательность).</w:t>
      </w:r>
    </w:p>
    <w:p w14:paraId="78099B41" w14:textId="3A4622B7" w:rsidR="003B5BDA" w:rsidRPr="00A53AD7" w:rsidRDefault="003B5BDA" w:rsidP="003B5BDA">
      <w:pPr>
        <w:pStyle w:val="ad"/>
        <w:ind w:firstLine="851"/>
        <w:jc w:val="both"/>
        <w:rPr>
          <w:rStyle w:val="afb"/>
          <w:rFonts w:ascii="Times New Roman" w:hAnsi="Times New Roman"/>
          <w:color w:val="auto"/>
          <w:sz w:val="28"/>
          <w:szCs w:val="28"/>
        </w:rPr>
      </w:pPr>
      <w:r w:rsidRPr="00A53AD7">
        <w:rPr>
          <w:rFonts w:ascii="Times New Roman" w:hAnsi="Times New Roman"/>
          <w:sz w:val="28"/>
          <w:szCs w:val="28"/>
        </w:rPr>
        <w:t>По итогам 2019 года Архангельская область вошла в 20-ку регионов России, повысивших заинтересованность во вложениях в их экономику. Об этом со ссылкой на ежегодный рейтинг инвестиционной привлекательности регионов Национального рейтингового агентства сообщают «Известия». Поморье вошло в группу регионов со средним уровнем привлекательности рейтинга НРА (IC5)</w:t>
      </w:r>
      <w:r w:rsidR="007873BE" w:rsidRPr="00A53AD7">
        <w:rPr>
          <w:rStyle w:val="afff1"/>
          <w:rFonts w:ascii="Times New Roman" w:hAnsi="Times New Roman"/>
          <w:sz w:val="28"/>
          <w:szCs w:val="28"/>
        </w:rPr>
        <w:footnoteReference w:id="6"/>
      </w:r>
      <w:r w:rsidR="007873BE" w:rsidRPr="00A53AD7">
        <w:rPr>
          <w:rFonts w:ascii="Times New Roman" w:hAnsi="Times New Roman"/>
          <w:sz w:val="28"/>
          <w:szCs w:val="28"/>
        </w:rPr>
        <w:t>.</w:t>
      </w:r>
    </w:p>
    <w:p w14:paraId="2396149C"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Объем инвестиций в основной капитал (без субъектов малого предпринимательства и объемов инвестиций, не наблюдаемых прямыми статистическими методами) в регионе в 2019 году по предварительным статистическим данным составил 94 040,0 млн.руб. (индекс физического объема инвестиций – 81,4 % к показателям 2018 года).</w:t>
      </w:r>
    </w:p>
    <w:p w14:paraId="4FA17239" w14:textId="1DCB2781"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приросту объемов инвестиций в основной капитал в 2019 году по С</w:t>
      </w:r>
      <w:r w:rsidR="00550ABF" w:rsidRPr="00A53AD7">
        <w:rPr>
          <w:rFonts w:ascii="Times New Roman" w:hAnsi="Times New Roman"/>
          <w:sz w:val="28"/>
          <w:szCs w:val="28"/>
        </w:rPr>
        <w:t>ЗФО</w:t>
      </w:r>
      <w:r w:rsidRPr="00A53AD7">
        <w:rPr>
          <w:rFonts w:ascii="Times New Roman" w:hAnsi="Times New Roman"/>
          <w:sz w:val="28"/>
          <w:szCs w:val="28"/>
        </w:rPr>
        <w:t xml:space="preserve"> Архангельская область (без НАО) улучшила позиции и занимает 6 место, поднявшись с девятого места. Лидеры по приросту инвестиций в основной капитал по СЗФО: Вологодская область – 118,1 %, Мурманская область – 101,4 </w:t>
      </w:r>
      <w:r w:rsidR="00550ABF" w:rsidRPr="00A53AD7">
        <w:rPr>
          <w:rFonts w:ascii="Times New Roman" w:hAnsi="Times New Roman"/>
          <w:sz w:val="28"/>
          <w:szCs w:val="28"/>
        </w:rPr>
        <w:t>%, Псковская область – 100,7 %.</w:t>
      </w:r>
    </w:p>
    <w:p w14:paraId="7FA7CE78" w14:textId="371D60F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объема инвестиций в экономику области с 2014 по 2019 годы представлена на рисунке </w:t>
      </w:r>
      <w:r w:rsidR="00DE2A72" w:rsidRPr="00A53AD7">
        <w:rPr>
          <w:rFonts w:ascii="Times New Roman" w:hAnsi="Times New Roman"/>
          <w:sz w:val="28"/>
          <w:szCs w:val="28"/>
        </w:rPr>
        <w:t>4</w:t>
      </w:r>
      <w:r w:rsidR="00550ABF" w:rsidRPr="00A53AD7">
        <w:rPr>
          <w:rFonts w:ascii="Times New Roman" w:hAnsi="Times New Roman"/>
          <w:sz w:val="28"/>
          <w:szCs w:val="28"/>
        </w:rPr>
        <w:t>:</w:t>
      </w:r>
    </w:p>
    <w:p w14:paraId="63A8C2A9" w14:textId="77777777" w:rsidR="003B5BDA" w:rsidRPr="00A53AD7" w:rsidRDefault="003B5BDA" w:rsidP="00315E82">
      <w:pPr>
        <w:pStyle w:val="ad"/>
        <w:jc w:val="center"/>
        <w:rPr>
          <w:rFonts w:ascii="Times New Roman" w:hAnsi="Times New Roman"/>
          <w:sz w:val="28"/>
          <w:szCs w:val="28"/>
        </w:rPr>
      </w:pPr>
      <w:r w:rsidRPr="00A53AD7">
        <w:rPr>
          <w:rFonts w:ascii="Times New Roman" w:hAnsi="Times New Roman"/>
          <w:noProof/>
          <w:sz w:val="28"/>
          <w:szCs w:val="28"/>
          <w:lang w:eastAsia="ru-RU"/>
        </w:rPr>
        <w:lastRenderedPageBreak/>
        <w:drawing>
          <wp:inline distT="0" distB="0" distL="0" distR="0" wp14:anchorId="004E3B83" wp14:editId="052FCBE7">
            <wp:extent cx="5248550" cy="2356806"/>
            <wp:effectExtent l="0" t="0" r="0" b="571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1856" cy="2367271"/>
                    </a:xfrm>
                    <a:prstGeom prst="rect">
                      <a:avLst/>
                    </a:prstGeom>
                    <a:noFill/>
                  </pic:spPr>
                </pic:pic>
              </a:graphicData>
            </a:graphic>
          </wp:inline>
        </w:drawing>
      </w:r>
    </w:p>
    <w:p w14:paraId="5C40AAFB" w14:textId="7B6F94F0" w:rsidR="003B5BDA" w:rsidRPr="00A53AD7" w:rsidRDefault="00923F97" w:rsidP="00923F9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3B5BDA" w:rsidRPr="00A53AD7">
        <w:rPr>
          <w:rFonts w:ascii="Times New Roman" w:hAnsi="Times New Roman"/>
          <w:b w:val="0"/>
          <w:sz w:val="24"/>
          <w:szCs w:val="24"/>
        </w:rPr>
        <w:t>Динамика объема инвестиций в экономику Архангельской области с 2014 по 2019 годы (предварительные данные), млн.руб.</w:t>
      </w:r>
    </w:p>
    <w:p w14:paraId="37EC3401" w14:textId="77777777" w:rsidR="003B5BDA" w:rsidRPr="00A53AD7" w:rsidRDefault="003B5BDA" w:rsidP="003B5BDA">
      <w:pPr>
        <w:spacing w:after="0" w:line="240" w:lineRule="auto"/>
        <w:ind w:firstLine="709"/>
        <w:jc w:val="both"/>
        <w:rPr>
          <w:rFonts w:ascii="Times New Roman" w:hAnsi="Times New Roman"/>
          <w:sz w:val="24"/>
          <w:szCs w:val="24"/>
          <w:highlight w:val="cyan"/>
        </w:rPr>
      </w:pPr>
    </w:p>
    <w:p w14:paraId="3E10546D" w14:textId="2F56B5DF" w:rsidR="00EB472F" w:rsidRPr="00A53AD7" w:rsidRDefault="00EB472F" w:rsidP="00EB472F">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представленными министерством экономического развития Архангельской области данными, инвестиции в основной капитал (за исключением бюджетных средств) составляют 68 167,6 млн.руб. или 70,6 % по сравнению 2018 годом, что обусловлено спадом инвестиционной активности в целлюлозно-бумажной промышленности</w:t>
      </w:r>
      <w:r w:rsidR="007D2E8A" w:rsidRPr="00A53AD7">
        <w:rPr>
          <w:rFonts w:ascii="Times New Roman" w:hAnsi="Times New Roman"/>
          <w:sz w:val="28"/>
          <w:szCs w:val="28"/>
        </w:rPr>
        <w:t xml:space="preserve"> </w:t>
      </w:r>
      <w:r w:rsidRPr="00A53AD7">
        <w:rPr>
          <w:rFonts w:ascii="Times New Roman" w:hAnsi="Times New Roman"/>
          <w:sz w:val="28"/>
          <w:szCs w:val="28"/>
        </w:rPr>
        <w:t>(в 1,6 раза) и деревообработке (в 2 раза) в связи с завершением инвестиционной фазы ряда проектов, а также по виду экономической деятельности «Транспортировка и хранение» (в 1,7 раза) в связи с завершением основных работ по строительству трубопровода на территории Архангельской области. Также снижение инвестиций наблюдалось по виду деятельности «Государственное управление и обеспечение военной безопасности; социальное обеспечение» – на 9,3 % и по виду деятельности «Сельское, лесное хозяйство, охота, рыболовство и рыбоводство» – на 25 %.</w:t>
      </w:r>
    </w:p>
    <w:p w14:paraId="717309E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статистическим данным </w:t>
      </w:r>
      <w:r w:rsidRPr="00A53AD7">
        <w:rPr>
          <w:rFonts w:ascii="Times New Roman" w:hAnsi="Times New Roman"/>
          <w:sz w:val="28"/>
          <w:szCs w:val="28"/>
          <w:u w:val="single"/>
        </w:rPr>
        <w:t>структура инвестиций в основной капитал</w:t>
      </w:r>
      <w:r w:rsidRPr="00A53AD7">
        <w:rPr>
          <w:rFonts w:ascii="Times New Roman" w:hAnsi="Times New Roman"/>
          <w:sz w:val="28"/>
          <w:szCs w:val="28"/>
        </w:rPr>
        <w:t xml:space="preserve"> по источникам финансирования (без субъектов малого предпринимательства и объема инвестиций, не наблюдаемых прямыми статистическими методами) в процентах к общему объему представлена следующим образом: собственные средства – 48,5 % (в 2018 году – 45,9 %) и привлеченные средства –51,5% (в 2018 году – 54,1 %), из которых: бюджетные средства – 35,4 %, в том числе средства федерального бюджета –26,7 %; средства организаций и населения на долевое строительство не представлены (в целях обеспечения конфиденциальности).</w:t>
      </w:r>
    </w:p>
    <w:p w14:paraId="65500B48" w14:textId="77777777" w:rsidR="003B5BDA" w:rsidRPr="00A53AD7" w:rsidRDefault="003B5BDA" w:rsidP="003B5BDA">
      <w:pPr>
        <w:pStyle w:val="ad"/>
        <w:ind w:firstLine="851"/>
        <w:jc w:val="both"/>
        <w:rPr>
          <w:rFonts w:ascii="Times New Roman" w:hAnsi="Times New Roman"/>
          <w:sz w:val="28"/>
          <w:szCs w:val="28"/>
        </w:rPr>
      </w:pPr>
    </w:p>
    <w:p w14:paraId="4ACDA8B1" w14:textId="100F7EFA"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Структура инвестиций в основной капитал в Архангельской области по формам собственности (в фактически действовавших ценах) в процентах к итогу представлена на рисунке</w:t>
      </w:r>
      <w:r w:rsidR="00923F97" w:rsidRPr="00A53AD7">
        <w:rPr>
          <w:rFonts w:ascii="Times New Roman" w:hAnsi="Times New Roman"/>
          <w:sz w:val="28"/>
          <w:szCs w:val="28"/>
        </w:rPr>
        <w:t xml:space="preserve"> </w:t>
      </w:r>
      <w:r w:rsidR="00DE2A72" w:rsidRPr="00A53AD7">
        <w:rPr>
          <w:rFonts w:ascii="Times New Roman" w:hAnsi="Times New Roman"/>
          <w:sz w:val="28"/>
          <w:szCs w:val="28"/>
        </w:rPr>
        <w:t>5</w:t>
      </w:r>
      <w:r w:rsidRPr="00A53AD7">
        <w:rPr>
          <w:rFonts w:ascii="Times New Roman" w:hAnsi="Times New Roman"/>
          <w:sz w:val="28"/>
          <w:szCs w:val="28"/>
        </w:rPr>
        <w:t>:</w:t>
      </w:r>
    </w:p>
    <w:p w14:paraId="3A5D71FE" w14:textId="77777777" w:rsidR="003B5BDA" w:rsidRPr="00A53AD7" w:rsidRDefault="003B5BDA" w:rsidP="00923F97">
      <w:pPr>
        <w:pStyle w:val="ad"/>
        <w:jc w:val="center"/>
        <w:rPr>
          <w:rFonts w:ascii="Times New Roman" w:hAnsi="Times New Roman"/>
          <w:sz w:val="24"/>
          <w:szCs w:val="24"/>
        </w:rPr>
      </w:pPr>
      <w:r w:rsidRPr="00A53AD7">
        <w:rPr>
          <w:rFonts w:ascii="Times New Roman" w:hAnsi="Times New Roman"/>
          <w:noProof/>
          <w:sz w:val="24"/>
          <w:szCs w:val="24"/>
          <w:lang w:eastAsia="ru-RU"/>
        </w:rPr>
        <w:lastRenderedPageBreak/>
        <w:drawing>
          <wp:inline distT="0" distB="0" distL="0" distR="0" wp14:anchorId="4675F134" wp14:editId="4207E734">
            <wp:extent cx="5320142" cy="2336800"/>
            <wp:effectExtent l="0" t="0" r="0" b="635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0341" cy="2350064"/>
                    </a:xfrm>
                    <a:prstGeom prst="rect">
                      <a:avLst/>
                    </a:prstGeom>
                    <a:noFill/>
                  </pic:spPr>
                </pic:pic>
              </a:graphicData>
            </a:graphic>
          </wp:inline>
        </w:drawing>
      </w:r>
    </w:p>
    <w:p w14:paraId="750DBC30" w14:textId="77777777" w:rsidR="00923F97" w:rsidRPr="00A53AD7" w:rsidRDefault="00923F97" w:rsidP="00923F97">
      <w:pPr>
        <w:spacing w:after="0" w:line="240" w:lineRule="auto"/>
        <w:rPr>
          <w:rFonts w:ascii="Times New Roman" w:hAnsi="Times New Roman"/>
          <w:sz w:val="28"/>
          <w:szCs w:val="28"/>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w:t>
      </w:r>
      <w:r w:rsidRPr="00A53AD7">
        <w:rPr>
          <w:rFonts w:ascii="Times New Roman" w:hAnsi="Times New Roman"/>
          <w:sz w:val="24"/>
          <w:szCs w:val="24"/>
        </w:rPr>
        <w:fldChar w:fldCharType="end"/>
      </w:r>
      <w:r w:rsidRPr="00A53AD7">
        <w:rPr>
          <w:rFonts w:ascii="Times New Roman" w:hAnsi="Times New Roman"/>
          <w:sz w:val="24"/>
          <w:szCs w:val="24"/>
        </w:rPr>
        <w:t xml:space="preserve">. Структура инвестиций в основной капитал в Архангельской области по формам собственности (в фактически действовавших ценах) в процентах к итогу в </w:t>
      </w:r>
      <w:r w:rsidRPr="00A53AD7">
        <w:rPr>
          <w:rFonts w:ascii="Times New Roman" w:hAnsi="Times New Roman"/>
          <w:sz w:val="24"/>
          <w:szCs w:val="24"/>
        </w:rPr>
        <w:br/>
        <w:t>2017-2019 годах</w:t>
      </w:r>
    </w:p>
    <w:p w14:paraId="62BDD7BC" w14:textId="77777777" w:rsidR="00923F97" w:rsidRPr="00A53AD7" w:rsidRDefault="00923F97" w:rsidP="003B5BDA">
      <w:pPr>
        <w:pStyle w:val="ad"/>
        <w:ind w:firstLine="851"/>
        <w:jc w:val="both"/>
        <w:rPr>
          <w:rFonts w:ascii="Times New Roman" w:hAnsi="Times New Roman"/>
          <w:sz w:val="28"/>
          <w:szCs w:val="28"/>
        </w:rPr>
      </w:pPr>
    </w:p>
    <w:p w14:paraId="2DEAE9ED"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итогам отчетного периода (по предварительным данным) установлен прирост инвестиций в основной капитал в части российской собственности (+0,8 п.п.) и совместной российско-иностранной собственности (+2,8 п.п.), в иностранную собственность – снижение (–3,6 п.п.).</w:t>
      </w:r>
    </w:p>
    <w:p w14:paraId="281CFBF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отчетном году в регионе продолжена реализация восьми крупных инвестиционных проектов (171 548,5 млн.руб.), из них: в лесопромышленном комплексе: «Реконструкция производства картона» с общим объемом инвестиций 17 542,1 млн.руб.; «Организация современного лесоперерабатывающего комплекса полного цикла на базе ООО «Группа компаний «УЛК» (28 345,7 млн.руб.); «Увеличение объемов глубокой переработки древесины, организация производства биотоплива на базе ООО «Форест» (316,6 млн.руб.); в алмазодобывающей промышленности: «Горно-обогатительный комбинат на месторождении алмазов им. М.В. Ломоносова» (73 400,0 млн.руб.); добыча, обогащение руд цветных металлов «Строительство горно-обогатительного комбината на базе месторождения свинцово-цинковых руд «Павловское» и портового комплекса, остров Южный архипелага Новая Земля» (35 500,0 млн.руб.); здравоохранение: «Создание центра семейной медицины в округе Майская горка города Архангельска» (120,0 млн.руб.); обрабатывающие производства: «Проектирование и строительство цеха по производству сборных железобетонных изделий методом непрерывного безопалубочного формования» (175,9 млн.руб.).</w:t>
      </w:r>
    </w:p>
    <w:p w14:paraId="626E0967" w14:textId="77777777" w:rsidR="007D2E8A" w:rsidRPr="00A53AD7" w:rsidRDefault="007D2E8A" w:rsidP="007D2E8A">
      <w:pPr>
        <w:pStyle w:val="ad"/>
        <w:ind w:firstLine="851"/>
        <w:jc w:val="both"/>
        <w:rPr>
          <w:rFonts w:ascii="Times New Roman" w:hAnsi="Times New Roman"/>
          <w:sz w:val="28"/>
          <w:szCs w:val="28"/>
        </w:rPr>
      </w:pPr>
      <w:r w:rsidRPr="00A53AD7">
        <w:rPr>
          <w:rFonts w:ascii="Times New Roman" w:hAnsi="Times New Roman"/>
          <w:sz w:val="28"/>
          <w:szCs w:val="28"/>
        </w:rPr>
        <w:t>Планируются к реализации три инвестиционных проекта с общим объемом инвестиций 15 298,0 млн.руб., из них: электроэнергетика – 4 037,0 млн.руб.; сельское хозяйство – 761,0 млн.руб.; сбор, обработка, утилизация и размещение отходов – 10 500,0 млн.руб.</w:t>
      </w:r>
    </w:p>
    <w:p w14:paraId="326BAACF" w14:textId="77777777" w:rsidR="007D2E8A" w:rsidRPr="00A53AD7" w:rsidRDefault="007D2E8A" w:rsidP="007D2E8A">
      <w:pPr>
        <w:pStyle w:val="ad"/>
        <w:ind w:firstLine="851"/>
        <w:jc w:val="both"/>
        <w:rPr>
          <w:rFonts w:ascii="Times New Roman" w:hAnsi="Times New Roman"/>
          <w:sz w:val="28"/>
          <w:szCs w:val="28"/>
        </w:rPr>
      </w:pPr>
      <w:r w:rsidRPr="00A53AD7">
        <w:rPr>
          <w:rFonts w:ascii="Times New Roman" w:hAnsi="Times New Roman"/>
          <w:sz w:val="28"/>
          <w:szCs w:val="28"/>
        </w:rPr>
        <w:t>Девять инвестиционных проектов реализованы с общим объемом инвестиций 37 022,4 млн.руб. из них: лесопромышленный комплекс – 36 282,1 млн.руб.; выставочная деятельность – 342,0 млн.руб.; сельское хозяйство – 398,3 млн.руб.</w:t>
      </w:r>
    </w:p>
    <w:p w14:paraId="4220A76E"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lastRenderedPageBreak/>
        <w:t>Инвестиционные проекты включены в реестр Приоритетных инвестиционных проектов Архангельской области, утвержденный распоряжением министерства экономического развития Архангельской области от 21.05.2019 № 42-р (в ред. от 29.11.2019 № 97-р).</w:t>
      </w:r>
    </w:p>
    <w:p w14:paraId="79C40751" w14:textId="07FEF09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результатам «Национального рейтинга состояния инвестиционного климата» с момента апробации данного исследования с 2014 года Архангельская область, как и прежде, не вошла в состав «Топ-20 регионов»</w:t>
      </w:r>
      <w:r w:rsidR="00C9363D" w:rsidRPr="00A53AD7">
        <w:rPr>
          <w:rStyle w:val="afff1"/>
          <w:rFonts w:ascii="Times New Roman" w:hAnsi="Times New Roman"/>
          <w:sz w:val="28"/>
          <w:szCs w:val="28"/>
        </w:rPr>
        <w:footnoteReference w:id="7"/>
      </w:r>
      <w:r w:rsidRPr="00A53AD7">
        <w:rPr>
          <w:rFonts w:ascii="Times New Roman" w:hAnsi="Times New Roman"/>
          <w:sz w:val="28"/>
          <w:szCs w:val="28"/>
        </w:rPr>
        <w:t xml:space="preserve">. </w:t>
      </w:r>
      <w:r w:rsidR="00C9363D" w:rsidRPr="00A53AD7">
        <w:rPr>
          <w:rFonts w:ascii="Times New Roman" w:hAnsi="Times New Roman"/>
          <w:sz w:val="28"/>
          <w:szCs w:val="28"/>
        </w:rPr>
        <w:t xml:space="preserve">Следует отметить, </w:t>
      </w:r>
      <w:r w:rsidRPr="00A53AD7">
        <w:rPr>
          <w:rFonts w:ascii="Times New Roman" w:hAnsi="Times New Roman"/>
          <w:sz w:val="28"/>
          <w:szCs w:val="28"/>
        </w:rPr>
        <w:t xml:space="preserve">что целью «Национального рейтинга состояния инвестиционного климата» является оценка усилий региональных властей по созданию благоприятных условий ведения бизнеса и выявление лучших практик. </w:t>
      </w:r>
    </w:p>
    <w:p w14:paraId="70599EE4" w14:textId="77777777" w:rsidR="003B5BDA" w:rsidRPr="00A53AD7" w:rsidRDefault="003B5BDA" w:rsidP="003B5BDA">
      <w:pPr>
        <w:pStyle w:val="2"/>
        <w:spacing w:before="120" w:after="0" w:line="240" w:lineRule="auto"/>
        <w:jc w:val="center"/>
        <w:rPr>
          <w:rFonts w:ascii="Times New Roman" w:hAnsi="Times New Roman"/>
          <w:lang w:val="ru-RU"/>
        </w:rPr>
      </w:pPr>
      <w:bookmarkStart w:id="10" w:name="_Toc451785026"/>
      <w:bookmarkStart w:id="11" w:name="_Toc515024201"/>
      <w:bookmarkStart w:id="12" w:name="_Toc9262554"/>
      <w:bookmarkStart w:id="13" w:name="_Toc42006704"/>
      <w:r w:rsidRPr="00A53AD7">
        <w:rPr>
          <w:rFonts w:ascii="Times New Roman" w:hAnsi="Times New Roman"/>
          <w:lang w:val="ru-RU"/>
        </w:rPr>
        <w:t>1.3. Строительная сфера региона</w:t>
      </w:r>
      <w:bookmarkEnd w:id="10"/>
      <w:bookmarkEnd w:id="11"/>
      <w:bookmarkEnd w:id="12"/>
      <w:bookmarkEnd w:id="13"/>
    </w:p>
    <w:p w14:paraId="39318365" w14:textId="7962F78D"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сфере строительства в Архангельской области в отчетном году объем выполненных работ составил 57 959,5 млн.руб. при Оценке 2019 года – 41 549,6 млн.руб. или 105,7 % к предыдущему году. Увеличение объемов в сфере строительства обусловлено ростом цен на строительные работы, строительные материалы и конструкции. При этом фактические объемы работ и услуг по виду деятельности «Строительство» в регионе в отчетном году продемонстрировали спад, составив 97,0 % к 2018 году по причине сокращения объемов строительства торговых предприятий и предприятий общественного питания, складских помещений, газовых сетей, капитальных гаражей и ин</w:t>
      </w:r>
      <w:r w:rsidR="00C9363D" w:rsidRPr="00A53AD7">
        <w:rPr>
          <w:rFonts w:ascii="Times New Roman" w:hAnsi="Times New Roman"/>
          <w:sz w:val="28"/>
          <w:szCs w:val="28"/>
        </w:rPr>
        <w:t>ых объектов к уровню 2018 года.</w:t>
      </w:r>
    </w:p>
    <w:p w14:paraId="3B8A8931"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целом объемы работ и услуг по виду деятельности «Строительство» по СЗФО данный показатель также снизился, что составляет 13 п.п. и составил 87,0% к показателям 2018 года, а по Российской Федерации увеличился на 0,6 п.п. (100,6%).</w:t>
      </w:r>
    </w:p>
    <w:p w14:paraId="536636F9" w14:textId="77777777" w:rsidR="00076427" w:rsidRPr="00A53AD7" w:rsidRDefault="00076427" w:rsidP="00076427">
      <w:pPr>
        <w:pStyle w:val="ad"/>
        <w:ind w:firstLine="851"/>
        <w:jc w:val="both"/>
        <w:rPr>
          <w:rFonts w:ascii="Times New Roman" w:hAnsi="Times New Roman"/>
          <w:sz w:val="28"/>
          <w:szCs w:val="28"/>
        </w:rPr>
      </w:pPr>
      <w:r w:rsidRPr="00A53AD7">
        <w:rPr>
          <w:rFonts w:ascii="Times New Roman" w:hAnsi="Times New Roman"/>
          <w:sz w:val="28"/>
          <w:szCs w:val="28"/>
        </w:rPr>
        <w:t>Следует отметить, что среди регионов СЗФО по объему выполненных работ в сфере строительства, как и в прошлом году, лидируют г. Санкт-Петербург (461,7 млрд.руб.), Ленинградская область (252,0 млрд.руб.), Вологодская область (95,2 млрд.руб.), Калининградская область (68,0 млрд.руб.). Архангельская область поднялась с седьмой на шестую позицию среди регионов СЗФО по данному показателю (57 959,5 млн.руб.). Замыкающими по объему выполненных работ в строительной отрасли стали Новгородская область, у которой объем выполненных работ составил 14,2 млрд.руб. (11 позиция).</w:t>
      </w:r>
    </w:p>
    <w:p w14:paraId="4BDBD4E9" w14:textId="77777777" w:rsidR="002835B0" w:rsidRPr="00A53AD7" w:rsidRDefault="002835B0" w:rsidP="002835B0">
      <w:pPr>
        <w:pStyle w:val="ad"/>
        <w:ind w:firstLine="851"/>
        <w:jc w:val="both"/>
        <w:rPr>
          <w:rFonts w:ascii="Times New Roman" w:hAnsi="Times New Roman"/>
          <w:sz w:val="28"/>
          <w:szCs w:val="28"/>
        </w:rPr>
      </w:pPr>
      <w:r w:rsidRPr="00A53AD7">
        <w:rPr>
          <w:rFonts w:ascii="Times New Roman" w:hAnsi="Times New Roman"/>
          <w:sz w:val="28"/>
          <w:szCs w:val="28"/>
        </w:rPr>
        <w:t xml:space="preserve">В целом на ограничение производственной деятельности строительных организаций Архангельской области, как и в предыдущий год, оказывали влияние следующие факторы: высокий уровень налогов отмечают 62,5 % от числа организаций, участвовавших в выборочном статистическом обследовании; недостаток заказов на работы отмечают 44,5 % организаций; неплатежеспособность заказчиков – 32 % организаций; высокую стоимость </w:t>
      </w:r>
      <w:r w:rsidRPr="00A53AD7">
        <w:rPr>
          <w:rFonts w:ascii="Times New Roman" w:hAnsi="Times New Roman"/>
          <w:sz w:val="28"/>
          <w:szCs w:val="28"/>
        </w:rPr>
        <w:lastRenderedPageBreak/>
        <w:t>материалов, конструкций, изделий – 25 % организаций; а также ряд иных объективных и субъективных факторов.</w:t>
      </w:r>
    </w:p>
    <w:p w14:paraId="07AE1F91" w14:textId="4519FC04" w:rsidR="00C91D19" w:rsidRPr="00A53AD7" w:rsidRDefault="00C91D19" w:rsidP="00C91D19">
      <w:pPr>
        <w:pStyle w:val="ad"/>
        <w:ind w:firstLine="851"/>
        <w:jc w:val="both"/>
        <w:rPr>
          <w:rFonts w:ascii="Times New Roman" w:hAnsi="Times New Roman"/>
          <w:sz w:val="28"/>
          <w:szCs w:val="28"/>
        </w:rPr>
      </w:pPr>
      <w:r w:rsidRPr="00A53AD7">
        <w:rPr>
          <w:rFonts w:ascii="Times New Roman" w:hAnsi="Times New Roman"/>
          <w:sz w:val="28"/>
          <w:szCs w:val="28"/>
        </w:rPr>
        <w:t>На территории Архангельской области в 2019 году введено в действие 322,1 тыс.кв.м общей площади жилых помещений организациями всех форм собственности, что составляет 105,9 % к объемам 2018 года – 304,0 тыс.кв.м, из них индивидуальными застройщиками – 119,5 тыс.кв.м. Объем строительства жилых помещений индивидуальными застройщиками составил в 2019 году на уровне 89,4 % к объемам прошлого года (133,6 тыс.кв.м).</w:t>
      </w:r>
    </w:p>
    <w:p w14:paraId="601E5FCE"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Лидерами по вводу в действие общей площади жилых помещений в отчетном году, как и прежде, стали города Архангельск (107,7 тыс.кв.м), Северодвинск (73,0 тыс.кв.м), Котлас (21,7 тыс.кв.м) а среди районов области: Приморский (26,6 тыс.кв.м), Плесецкий (12,0 тыс.кв.м), Вельский (9,8 тыс.кв.м).</w:t>
      </w:r>
    </w:p>
    <w:p w14:paraId="084E58E7"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данном направлении среди регионов СЗФО ситуация по сравнению с прошлым годом почти не изменилась: продолжают занимать лидирующие позиции г. Санкт-Петербург – 3 471,2 тыс.кв.м общей площади, Ленинградская область – 2 643,3 тыс.кв.м общей площади, Калининградская область – 973,0 тыс.кв.м общей площади, Вологодская область – 583,0 тыс.кв.м общей площади, Архангельская область – 322,1 тыс.кв.м общей площади. Замыкает ряд Мурманская область – 42,6 тыс.кв.м и Ненецкий автономный округ – 11,5 тыс.кв.м общей площади.</w:t>
      </w:r>
    </w:p>
    <w:p w14:paraId="40B53B15" w14:textId="083E7C2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части средней цены за 1 кв.м жилья общей площади на первичном и вторичном рынке на конец 4 квартала 2016</w:t>
      </w:r>
      <w:r w:rsidR="000736BD" w:rsidRPr="00A53AD7">
        <w:rPr>
          <w:rFonts w:ascii="Times New Roman" w:hAnsi="Times New Roman"/>
          <w:sz w:val="28"/>
          <w:szCs w:val="28"/>
        </w:rPr>
        <w:t xml:space="preserve"> – </w:t>
      </w:r>
      <w:r w:rsidRPr="00A53AD7">
        <w:rPr>
          <w:rFonts w:ascii="Times New Roman" w:hAnsi="Times New Roman"/>
          <w:sz w:val="28"/>
          <w:szCs w:val="28"/>
        </w:rPr>
        <w:t xml:space="preserve">2019 годов динамика цен, согласно статистическим данным, представлена в таблице </w:t>
      </w:r>
      <w:r w:rsidR="00DE2A72" w:rsidRPr="00A53AD7">
        <w:rPr>
          <w:rFonts w:ascii="Times New Roman" w:hAnsi="Times New Roman"/>
          <w:sz w:val="28"/>
          <w:szCs w:val="28"/>
        </w:rPr>
        <w:t>6</w:t>
      </w:r>
      <w:r w:rsidRPr="00A53AD7">
        <w:rPr>
          <w:rFonts w:ascii="Times New Roman" w:hAnsi="Times New Roman"/>
          <w:sz w:val="28"/>
          <w:szCs w:val="28"/>
        </w:rPr>
        <w:t>.</w:t>
      </w:r>
    </w:p>
    <w:p w14:paraId="475054A8" w14:textId="77777777" w:rsidR="00C30997" w:rsidRPr="00A53AD7" w:rsidRDefault="00C30997" w:rsidP="003B5BDA">
      <w:pPr>
        <w:pStyle w:val="ad"/>
        <w:ind w:firstLine="851"/>
        <w:jc w:val="both"/>
        <w:rPr>
          <w:rFonts w:ascii="Times New Roman" w:hAnsi="Times New Roman"/>
          <w:sz w:val="28"/>
          <w:szCs w:val="28"/>
        </w:rPr>
      </w:pPr>
    </w:p>
    <w:p w14:paraId="702CBD0E" w14:textId="1526B559" w:rsidR="003B5BDA" w:rsidRPr="00A53AD7" w:rsidRDefault="00315E82" w:rsidP="003B5BDA">
      <w:pPr>
        <w:pStyle w:val="ad"/>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6</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Динамика средней цены за 1 кв.м жилья общей площади на первичном и вторичном рынке на конец 4 квартала 2016</w:t>
      </w:r>
      <w:r w:rsidR="000736BD" w:rsidRPr="00A53AD7">
        <w:rPr>
          <w:rFonts w:ascii="Times New Roman" w:hAnsi="Times New Roman"/>
          <w:sz w:val="24"/>
          <w:szCs w:val="24"/>
        </w:rPr>
        <w:t xml:space="preserve"> – </w:t>
      </w:r>
      <w:r w:rsidR="003B5BDA" w:rsidRPr="00A53AD7">
        <w:rPr>
          <w:rFonts w:ascii="Times New Roman" w:hAnsi="Times New Roman"/>
          <w:sz w:val="24"/>
          <w:szCs w:val="24"/>
        </w:rPr>
        <w:t>2019 годов, тыс.руб.</w:t>
      </w:r>
    </w:p>
    <w:tbl>
      <w:tblPr>
        <w:tblW w:w="9547" w:type="dxa"/>
        <w:tblInd w:w="-16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1465"/>
        <w:gridCol w:w="666"/>
        <w:gridCol w:w="666"/>
        <w:gridCol w:w="666"/>
        <w:gridCol w:w="666"/>
        <w:gridCol w:w="666"/>
        <w:gridCol w:w="666"/>
        <w:gridCol w:w="666"/>
        <w:gridCol w:w="666"/>
        <w:gridCol w:w="666"/>
        <w:gridCol w:w="666"/>
        <w:gridCol w:w="711"/>
        <w:gridCol w:w="711"/>
      </w:tblGrid>
      <w:tr w:rsidR="00A53AD7" w:rsidRPr="00A53AD7" w14:paraId="6AD61378" w14:textId="77777777" w:rsidTr="00315E82">
        <w:trPr>
          <w:trHeight w:val="329"/>
          <w:tblHeader/>
        </w:trPr>
        <w:tc>
          <w:tcPr>
            <w:tcW w:w="1465" w:type="dxa"/>
            <w:vMerge w:val="restart"/>
            <w:shd w:val="clear" w:color="auto" w:fill="auto"/>
            <w:vAlign w:val="center"/>
            <w:hideMark/>
          </w:tcPr>
          <w:p w14:paraId="7F5DBBD7"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показателя</w:t>
            </w:r>
          </w:p>
        </w:tc>
        <w:tc>
          <w:tcPr>
            <w:tcW w:w="2664" w:type="dxa"/>
            <w:gridSpan w:val="4"/>
            <w:shd w:val="clear" w:color="auto" w:fill="auto"/>
            <w:vAlign w:val="center"/>
            <w:hideMark/>
          </w:tcPr>
          <w:p w14:paraId="49FC2DC0"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Российская Федерация</w:t>
            </w:r>
          </w:p>
        </w:tc>
        <w:tc>
          <w:tcPr>
            <w:tcW w:w="2664" w:type="dxa"/>
            <w:gridSpan w:val="4"/>
            <w:shd w:val="clear" w:color="auto" w:fill="auto"/>
            <w:vAlign w:val="center"/>
            <w:hideMark/>
          </w:tcPr>
          <w:p w14:paraId="6A740852"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Северо-Западный федеральный округ</w:t>
            </w:r>
          </w:p>
        </w:tc>
        <w:tc>
          <w:tcPr>
            <w:tcW w:w="2754" w:type="dxa"/>
            <w:gridSpan w:val="4"/>
            <w:shd w:val="clear" w:color="auto" w:fill="auto"/>
            <w:vAlign w:val="center"/>
            <w:hideMark/>
          </w:tcPr>
          <w:p w14:paraId="00702F60"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Архангельская область (без НАО)</w:t>
            </w:r>
          </w:p>
        </w:tc>
      </w:tr>
      <w:tr w:rsidR="00A53AD7" w:rsidRPr="00A53AD7" w14:paraId="3573C65C" w14:textId="77777777" w:rsidTr="00315E82">
        <w:trPr>
          <w:trHeight w:val="197"/>
          <w:tblHeader/>
        </w:trPr>
        <w:tc>
          <w:tcPr>
            <w:tcW w:w="1465" w:type="dxa"/>
            <w:vMerge/>
            <w:vAlign w:val="center"/>
            <w:hideMark/>
          </w:tcPr>
          <w:p w14:paraId="31B5D922" w14:textId="77777777" w:rsidR="003B5BDA" w:rsidRPr="00A53AD7" w:rsidRDefault="003B5BDA" w:rsidP="003B5BDA">
            <w:pPr>
              <w:spacing w:after="0" w:line="240" w:lineRule="auto"/>
              <w:rPr>
                <w:rFonts w:ascii="Times New Roman" w:eastAsia="Times New Roman" w:hAnsi="Times New Roman"/>
                <w:sz w:val="20"/>
                <w:szCs w:val="20"/>
                <w:lang w:eastAsia="ru-RU"/>
              </w:rPr>
            </w:pPr>
          </w:p>
        </w:tc>
        <w:tc>
          <w:tcPr>
            <w:tcW w:w="666" w:type="dxa"/>
            <w:shd w:val="clear" w:color="auto" w:fill="auto"/>
            <w:noWrap/>
            <w:vAlign w:val="center"/>
            <w:hideMark/>
          </w:tcPr>
          <w:p w14:paraId="2857BA01"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w:t>
            </w:r>
          </w:p>
        </w:tc>
        <w:tc>
          <w:tcPr>
            <w:tcW w:w="666" w:type="dxa"/>
            <w:shd w:val="clear" w:color="auto" w:fill="auto"/>
            <w:noWrap/>
            <w:vAlign w:val="center"/>
            <w:hideMark/>
          </w:tcPr>
          <w:p w14:paraId="48878B3C"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w:t>
            </w:r>
          </w:p>
        </w:tc>
        <w:tc>
          <w:tcPr>
            <w:tcW w:w="666" w:type="dxa"/>
            <w:shd w:val="clear" w:color="auto" w:fill="auto"/>
            <w:vAlign w:val="center"/>
            <w:hideMark/>
          </w:tcPr>
          <w:p w14:paraId="12F55298"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w:t>
            </w:r>
          </w:p>
        </w:tc>
        <w:tc>
          <w:tcPr>
            <w:tcW w:w="666" w:type="dxa"/>
            <w:shd w:val="clear" w:color="auto" w:fill="auto"/>
            <w:vAlign w:val="center"/>
            <w:hideMark/>
          </w:tcPr>
          <w:p w14:paraId="686E43DE"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w:t>
            </w:r>
          </w:p>
        </w:tc>
        <w:tc>
          <w:tcPr>
            <w:tcW w:w="666" w:type="dxa"/>
            <w:shd w:val="clear" w:color="auto" w:fill="auto"/>
            <w:noWrap/>
            <w:vAlign w:val="center"/>
            <w:hideMark/>
          </w:tcPr>
          <w:p w14:paraId="692E93C2"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w:t>
            </w:r>
          </w:p>
        </w:tc>
        <w:tc>
          <w:tcPr>
            <w:tcW w:w="666" w:type="dxa"/>
            <w:shd w:val="clear" w:color="auto" w:fill="auto"/>
            <w:noWrap/>
            <w:vAlign w:val="center"/>
            <w:hideMark/>
          </w:tcPr>
          <w:p w14:paraId="3AE759D6"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w:t>
            </w:r>
          </w:p>
        </w:tc>
        <w:tc>
          <w:tcPr>
            <w:tcW w:w="666" w:type="dxa"/>
            <w:shd w:val="clear" w:color="auto" w:fill="auto"/>
            <w:vAlign w:val="center"/>
            <w:hideMark/>
          </w:tcPr>
          <w:p w14:paraId="586E30D8"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w:t>
            </w:r>
          </w:p>
        </w:tc>
        <w:tc>
          <w:tcPr>
            <w:tcW w:w="666" w:type="dxa"/>
            <w:shd w:val="clear" w:color="auto" w:fill="auto"/>
            <w:vAlign w:val="center"/>
            <w:hideMark/>
          </w:tcPr>
          <w:p w14:paraId="1654C0F6"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w:t>
            </w:r>
          </w:p>
        </w:tc>
        <w:tc>
          <w:tcPr>
            <w:tcW w:w="666" w:type="dxa"/>
            <w:shd w:val="clear" w:color="auto" w:fill="auto"/>
            <w:noWrap/>
            <w:vAlign w:val="center"/>
            <w:hideMark/>
          </w:tcPr>
          <w:p w14:paraId="4C7B65D3"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w:t>
            </w:r>
          </w:p>
        </w:tc>
        <w:tc>
          <w:tcPr>
            <w:tcW w:w="666" w:type="dxa"/>
            <w:shd w:val="clear" w:color="auto" w:fill="auto"/>
            <w:noWrap/>
            <w:vAlign w:val="center"/>
            <w:hideMark/>
          </w:tcPr>
          <w:p w14:paraId="34FE1BEE" w14:textId="77777777" w:rsidR="003B5BDA" w:rsidRPr="00A53AD7" w:rsidRDefault="003B5BDA" w:rsidP="003B5B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w:t>
            </w:r>
          </w:p>
        </w:tc>
        <w:tc>
          <w:tcPr>
            <w:tcW w:w="711" w:type="dxa"/>
            <w:shd w:val="clear" w:color="auto" w:fill="auto"/>
            <w:noWrap/>
            <w:vAlign w:val="center"/>
            <w:hideMark/>
          </w:tcPr>
          <w:p w14:paraId="13824FD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2018</w:t>
            </w:r>
          </w:p>
        </w:tc>
        <w:tc>
          <w:tcPr>
            <w:tcW w:w="711" w:type="dxa"/>
            <w:shd w:val="clear" w:color="auto" w:fill="auto"/>
            <w:noWrap/>
            <w:vAlign w:val="center"/>
            <w:hideMark/>
          </w:tcPr>
          <w:p w14:paraId="093E489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2019</w:t>
            </w:r>
          </w:p>
        </w:tc>
      </w:tr>
      <w:tr w:rsidR="00A53AD7" w:rsidRPr="00A53AD7" w14:paraId="23925F64" w14:textId="77777777" w:rsidTr="003B5BDA">
        <w:trPr>
          <w:trHeight w:val="765"/>
        </w:trPr>
        <w:tc>
          <w:tcPr>
            <w:tcW w:w="1465" w:type="dxa"/>
            <w:shd w:val="clear" w:color="auto" w:fill="auto"/>
            <w:vAlign w:val="center"/>
            <w:hideMark/>
          </w:tcPr>
          <w:p w14:paraId="358D9AC7" w14:textId="77777777" w:rsidR="003B5BDA" w:rsidRPr="00A53AD7" w:rsidRDefault="003B5BDA" w:rsidP="003B5B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Средняя цена за 1 кв. м. жилья на </w:t>
            </w:r>
            <w:r w:rsidRPr="00A53AD7">
              <w:rPr>
                <w:rFonts w:ascii="Times New Roman" w:eastAsia="Times New Roman" w:hAnsi="Times New Roman"/>
                <w:b/>
                <w:bCs/>
                <w:sz w:val="20"/>
                <w:szCs w:val="20"/>
                <w:u w:val="single"/>
                <w:lang w:eastAsia="ru-RU"/>
              </w:rPr>
              <w:t xml:space="preserve">первичном </w:t>
            </w:r>
            <w:r w:rsidRPr="00A53AD7">
              <w:rPr>
                <w:rFonts w:ascii="Times New Roman" w:eastAsia="Times New Roman" w:hAnsi="Times New Roman"/>
                <w:sz w:val="20"/>
                <w:szCs w:val="20"/>
                <w:lang w:eastAsia="ru-RU"/>
              </w:rPr>
              <w:t>рынке на конец квартала, тыс. руб. / % к пред. периоду</w:t>
            </w:r>
          </w:p>
        </w:tc>
        <w:tc>
          <w:tcPr>
            <w:tcW w:w="666" w:type="dxa"/>
            <w:shd w:val="clear" w:color="auto" w:fill="auto"/>
            <w:noWrap/>
            <w:vAlign w:val="bottom"/>
            <w:hideMark/>
          </w:tcPr>
          <w:p w14:paraId="1477989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53,3</w:t>
            </w:r>
          </w:p>
        </w:tc>
        <w:tc>
          <w:tcPr>
            <w:tcW w:w="666" w:type="dxa"/>
            <w:shd w:val="clear" w:color="auto" w:fill="auto"/>
            <w:noWrap/>
            <w:vAlign w:val="bottom"/>
            <w:hideMark/>
          </w:tcPr>
          <w:p w14:paraId="4B25999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56,9</w:t>
            </w:r>
          </w:p>
        </w:tc>
        <w:tc>
          <w:tcPr>
            <w:tcW w:w="666" w:type="dxa"/>
            <w:shd w:val="clear" w:color="auto" w:fill="auto"/>
            <w:noWrap/>
            <w:vAlign w:val="bottom"/>
            <w:hideMark/>
          </w:tcPr>
          <w:p w14:paraId="7C8233A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61,8</w:t>
            </w:r>
          </w:p>
        </w:tc>
        <w:tc>
          <w:tcPr>
            <w:tcW w:w="666" w:type="dxa"/>
            <w:shd w:val="clear" w:color="auto" w:fill="auto"/>
            <w:noWrap/>
            <w:vAlign w:val="bottom"/>
            <w:hideMark/>
          </w:tcPr>
          <w:p w14:paraId="2A04B343"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64,1</w:t>
            </w:r>
          </w:p>
        </w:tc>
        <w:tc>
          <w:tcPr>
            <w:tcW w:w="666" w:type="dxa"/>
            <w:shd w:val="clear" w:color="auto" w:fill="auto"/>
            <w:noWrap/>
            <w:vAlign w:val="bottom"/>
            <w:hideMark/>
          </w:tcPr>
          <w:p w14:paraId="115DD54E"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74,4</w:t>
            </w:r>
          </w:p>
        </w:tc>
        <w:tc>
          <w:tcPr>
            <w:tcW w:w="666" w:type="dxa"/>
            <w:shd w:val="clear" w:color="auto" w:fill="auto"/>
            <w:noWrap/>
            <w:vAlign w:val="bottom"/>
            <w:hideMark/>
          </w:tcPr>
          <w:p w14:paraId="57CCBB25"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77,1</w:t>
            </w:r>
          </w:p>
        </w:tc>
        <w:tc>
          <w:tcPr>
            <w:tcW w:w="666" w:type="dxa"/>
            <w:shd w:val="clear" w:color="auto" w:fill="auto"/>
            <w:noWrap/>
            <w:vAlign w:val="bottom"/>
            <w:hideMark/>
          </w:tcPr>
          <w:p w14:paraId="643461EA"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81,8</w:t>
            </w:r>
          </w:p>
        </w:tc>
        <w:tc>
          <w:tcPr>
            <w:tcW w:w="666" w:type="dxa"/>
            <w:shd w:val="clear" w:color="auto" w:fill="auto"/>
            <w:noWrap/>
            <w:vAlign w:val="bottom"/>
            <w:hideMark/>
          </w:tcPr>
          <w:p w14:paraId="489D484A"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88,0</w:t>
            </w:r>
          </w:p>
        </w:tc>
        <w:tc>
          <w:tcPr>
            <w:tcW w:w="666" w:type="dxa"/>
            <w:shd w:val="clear" w:color="auto" w:fill="auto"/>
            <w:noWrap/>
            <w:vAlign w:val="bottom"/>
            <w:hideMark/>
          </w:tcPr>
          <w:p w14:paraId="54EB2981"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56,8</w:t>
            </w:r>
          </w:p>
        </w:tc>
        <w:tc>
          <w:tcPr>
            <w:tcW w:w="666" w:type="dxa"/>
            <w:shd w:val="clear" w:color="auto" w:fill="auto"/>
            <w:noWrap/>
            <w:vAlign w:val="bottom"/>
            <w:hideMark/>
          </w:tcPr>
          <w:p w14:paraId="5CA425E9"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58,0</w:t>
            </w:r>
          </w:p>
        </w:tc>
        <w:tc>
          <w:tcPr>
            <w:tcW w:w="711" w:type="dxa"/>
            <w:shd w:val="clear" w:color="auto" w:fill="auto"/>
            <w:noWrap/>
            <w:vAlign w:val="bottom"/>
            <w:hideMark/>
          </w:tcPr>
          <w:p w14:paraId="204F32A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58,4</w:t>
            </w:r>
          </w:p>
        </w:tc>
        <w:tc>
          <w:tcPr>
            <w:tcW w:w="711" w:type="dxa"/>
            <w:shd w:val="clear" w:color="auto" w:fill="auto"/>
            <w:noWrap/>
            <w:vAlign w:val="bottom"/>
            <w:hideMark/>
          </w:tcPr>
          <w:p w14:paraId="19566CA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62,3</w:t>
            </w:r>
          </w:p>
        </w:tc>
      </w:tr>
      <w:tr w:rsidR="00A53AD7" w:rsidRPr="00A53AD7" w14:paraId="03AA8235" w14:textId="77777777" w:rsidTr="00315E82">
        <w:trPr>
          <w:trHeight w:val="109"/>
        </w:trPr>
        <w:tc>
          <w:tcPr>
            <w:tcW w:w="1465" w:type="dxa"/>
            <w:shd w:val="clear" w:color="auto" w:fill="auto"/>
            <w:vAlign w:val="center"/>
            <w:hideMark/>
          </w:tcPr>
          <w:p w14:paraId="41623F51" w14:textId="475B9C84" w:rsidR="003B5BDA" w:rsidRPr="00A53AD7" w:rsidRDefault="003B5BDA" w:rsidP="003B5B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 пред.</w:t>
            </w:r>
            <w:r w:rsidR="00315E82"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году,</w:t>
            </w:r>
            <w:r w:rsidR="00315E82"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w:t>
            </w:r>
          </w:p>
        </w:tc>
        <w:tc>
          <w:tcPr>
            <w:tcW w:w="666" w:type="dxa"/>
            <w:shd w:val="clear" w:color="auto" w:fill="auto"/>
            <w:noWrap/>
            <w:vAlign w:val="bottom"/>
            <w:hideMark/>
          </w:tcPr>
          <w:p w14:paraId="7123E4E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103,5</w:t>
            </w:r>
          </w:p>
        </w:tc>
        <w:tc>
          <w:tcPr>
            <w:tcW w:w="666" w:type="dxa"/>
            <w:shd w:val="clear" w:color="auto" w:fill="auto"/>
            <w:noWrap/>
            <w:vAlign w:val="bottom"/>
            <w:hideMark/>
          </w:tcPr>
          <w:p w14:paraId="09119A5C"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108,6</w:t>
            </w:r>
          </w:p>
        </w:tc>
        <w:tc>
          <w:tcPr>
            <w:tcW w:w="666" w:type="dxa"/>
            <w:shd w:val="clear" w:color="auto" w:fill="auto"/>
            <w:noWrap/>
            <w:vAlign w:val="bottom"/>
            <w:hideMark/>
          </w:tcPr>
          <w:p w14:paraId="035B7B7D"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108,6</w:t>
            </w:r>
          </w:p>
        </w:tc>
        <w:tc>
          <w:tcPr>
            <w:tcW w:w="666" w:type="dxa"/>
            <w:shd w:val="clear" w:color="auto" w:fill="auto"/>
            <w:noWrap/>
            <w:vAlign w:val="bottom"/>
            <w:hideMark/>
          </w:tcPr>
          <w:p w14:paraId="679D297F"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103,7</w:t>
            </w:r>
          </w:p>
        </w:tc>
        <w:tc>
          <w:tcPr>
            <w:tcW w:w="666" w:type="dxa"/>
            <w:shd w:val="clear" w:color="auto" w:fill="auto"/>
            <w:noWrap/>
            <w:vAlign w:val="bottom"/>
            <w:hideMark/>
          </w:tcPr>
          <w:p w14:paraId="134DEB1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110,9</w:t>
            </w:r>
          </w:p>
        </w:tc>
        <w:tc>
          <w:tcPr>
            <w:tcW w:w="666" w:type="dxa"/>
            <w:shd w:val="clear" w:color="auto" w:fill="auto"/>
            <w:noWrap/>
            <w:vAlign w:val="bottom"/>
            <w:hideMark/>
          </w:tcPr>
          <w:p w14:paraId="2F40B829"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103,6</w:t>
            </w:r>
          </w:p>
        </w:tc>
        <w:tc>
          <w:tcPr>
            <w:tcW w:w="666" w:type="dxa"/>
            <w:shd w:val="clear" w:color="auto" w:fill="auto"/>
            <w:noWrap/>
            <w:vAlign w:val="bottom"/>
            <w:hideMark/>
          </w:tcPr>
          <w:p w14:paraId="60E5B876"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106,1</w:t>
            </w:r>
          </w:p>
        </w:tc>
        <w:tc>
          <w:tcPr>
            <w:tcW w:w="666" w:type="dxa"/>
            <w:shd w:val="clear" w:color="auto" w:fill="auto"/>
            <w:noWrap/>
            <w:vAlign w:val="bottom"/>
            <w:hideMark/>
          </w:tcPr>
          <w:p w14:paraId="67E2703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107,6</w:t>
            </w:r>
          </w:p>
        </w:tc>
        <w:tc>
          <w:tcPr>
            <w:tcW w:w="666" w:type="dxa"/>
            <w:shd w:val="clear" w:color="auto" w:fill="auto"/>
            <w:noWrap/>
            <w:vAlign w:val="bottom"/>
            <w:hideMark/>
          </w:tcPr>
          <w:p w14:paraId="74F7D6A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103,5</w:t>
            </w:r>
          </w:p>
        </w:tc>
        <w:tc>
          <w:tcPr>
            <w:tcW w:w="666" w:type="dxa"/>
            <w:shd w:val="clear" w:color="auto" w:fill="auto"/>
            <w:noWrap/>
            <w:vAlign w:val="bottom"/>
            <w:hideMark/>
          </w:tcPr>
          <w:p w14:paraId="62F2BB5A"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102,1</w:t>
            </w:r>
          </w:p>
        </w:tc>
        <w:tc>
          <w:tcPr>
            <w:tcW w:w="711" w:type="dxa"/>
            <w:shd w:val="clear" w:color="auto" w:fill="auto"/>
            <w:noWrap/>
            <w:vAlign w:val="bottom"/>
            <w:hideMark/>
          </w:tcPr>
          <w:p w14:paraId="150A611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100,7</w:t>
            </w:r>
          </w:p>
        </w:tc>
        <w:tc>
          <w:tcPr>
            <w:tcW w:w="711" w:type="dxa"/>
            <w:shd w:val="clear" w:color="auto" w:fill="auto"/>
            <w:noWrap/>
            <w:vAlign w:val="bottom"/>
            <w:hideMark/>
          </w:tcPr>
          <w:p w14:paraId="4A3C3AD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106,7</w:t>
            </w:r>
          </w:p>
        </w:tc>
      </w:tr>
      <w:tr w:rsidR="00A53AD7" w:rsidRPr="00A53AD7" w14:paraId="60F50876" w14:textId="77777777" w:rsidTr="003B5BDA">
        <w:trPr>
          <w:trHeight w:val="765"/>
        </w:trPr>
        <w:tc>
          <w:tcPr>
            <w:tcW w:w="1465" w:type="dxa"/>
            <w:shd w:val="clear" w:color="auto" w:fill="auto"/>
            <w:vAlign w:val="center"/>
            <w:hideMark/>
          </w:tcPr>
          <w:p w14:paraId="3F51E9E5" w14:textId="77777777" w:rsidR="003B5BDA" w:rsidRPr="00A53AD7" w:rsidRDefault="003B5BDA" w:rsidP="003B5B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Средняя цена за 1 кв. м. жилья на</w:t>
            </w:r>
            <w:r w:rsidRPr="00A53AD7">
              <w:rPr>
                <w:rFonts w:ascii="Times New Roman" w:eastAsia="Times New Roman" w:hAnsi="Times New Roman"/>
                <w:b/>
                <w:bCs/>
                <w:sz w:val="20"/>
                <w:szCs w:val="20"/>
                <w:u w:val="single"/>
                <w:lang w:eastAsia="ru-RU"/>
              </w:rPr>
              <w:t xml:space="preserve"> вторичном </w:t>
            </w:r>
            <w:r w:rsidRPr="00A53AD7">
              <w:rPr>
                <w:rFonts w:ascii="Times New Roman" w:eastAsia="Times New Roman" w:hAnsi="Times New Roman"/>
                <w:sz w:val="20"/>
                <w:szCs w:val="20"/>
                <w:lang w:eastAsia="ru-RU"/>
              </w:rPr>
              <w:t>рынке на конец квартала, тыс. руб. / % к пред. периоду</w:t>
            </w:r>
          </w:p>
        </w:tc>
        <w:tc>
          <w:tcPr>
            <w:tcW w:w="666" w:type="dxa"/>
            <w:shd w:val="clear" w:color="auto" w:fill="auto"/>
            <w:noWrap/>
            <w:vAlign w:val="bottom"/>
            <w:hideMark/>
          </w:tcPr>
          <w:p w14:paraId="4486CA56"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54,0</w:t>
            </w:r>
          </w:p>
        </w:tc>
        <w:tc>
          <w:tcPr>
            <w:tcW w:w="666" w:type="dxa"/>
            <w:shd w:val="clear" w:color="auto" w:fill="auto"/>
            <w:noWrap/>
            <w:vAlign w:val="bottom"/>
            <w:hideMark/>
          </w:tcPr>
          <w:p w14:paraId="020D1E69"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52,3</w:t>
            </w:r>
          </w:p>
        </w:tc>
        <w:tc>
          <w:tcPr>
            <w:tcW w:w="666" w:type="dxa"/>
            <w:shd w:val="clear" w:color="auto" w:fill="auto"/>
            <w:noWrap/>
            <w:vAlign w:val="bottom"/>
            <w:hideMark/>
          </w:tcPr>
          <w:p w14:paraId="4C545B7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54,9</w:t>
            </w:r>
          </w:p>
        </w:tc>
        <w:tc>
          <w:tcPr>
            <w:tcW w:w="666" w:type="dxa"/>
            <w:shd w:val="clear" w:color="auto" w:fill="auto"/>
            <w:noWrap/>
            <w:vAlign w:val="bottom"/>
            <w:hideMark/>
          </w:tcPr>
          <w:p w14:paraId="5B45BC59"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58,5</w:t>
            </w:r>
          </w:p>
        </w:tc>
        <w:tc>
          <w:tcPr>
            <w:tcW w:w="666" w:type="dxa"/>
            <w:shd w:val="clear" w:color="auto" w:fill="auto"/>
            <w:noWrap/>
            <w:vAlign w:val="bottom"/>
            <w:hideMark/>
          </w:tcPr>
          <w:p w14:paraId="1D578431"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53,0</w:t>
            </w:r>
          </w:p>
        </w:tc>
        <w:tc>
          <w:tcPr>
            <w:tcW w:w="666" w:type="dxa"/>
            <w:shd w:val="clear" w:color="auto" w:fill="auto"/>
            <w:noWrap/>
            <w:vAlign w:val="bottom"/>
            <w:hideMark/>
          </w:tcPr>
          <w:p w14:paraId="417707D2"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51,8</w:t>
            </w:r>
          </w:p>
        </w:tc>
        <w:tc>
          <w:tcPr>
            <w:tcW w:w="666" w:type="dxa"/>
            <w:shd w:val="clear" w:color="auto" w:fill="auto"/>
            <w:noWrap/>
            <w:vAlign w:val="bottom"/>
            <w:hideMark/>
          </w:tcPr>
          <w:p w14:paraId="0E73C9BA"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52,5</w:t>
            </w:r>
          </w:p>
        </w:tc>
        <w:tc>
          <w:tcPr>
            <w:tcW w:w="666" w:type="dxa"/>
            <w:shd w:val="clear" w:color="auto" w:fill="auto"/>
            <w:noWrap/>
            <w:vAlign w:val="bottom"/>
            <w:hideMark/>
          </w:tcPr>
          <w:p w14:paraId="0B0E8E29"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62,4</w:t>
            </w:r>
          </w:p>
        </w:tc>
        <w:tc>
          <w:tcPr>
            <w:tcW w:w="666" w:type="dxa"/>
            <w:shd w:val="clear" w:color="auto" w:fill="auto"/>
            <w:noWrap/>
            <w:vAlign w:val="bottom"/>
            <w:hideMark/>
          </w:tcPr>
          <w:p w14:paraId="4870671A"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57,7</w:t>
            </w:r>
          </w:p>
        </w:tc>
        <w:tc>
          <w:tcPr>
            <w:tcW w:w="666" w:type="dxa"/>
            <w:shd w:val="clear" w:color="auto" w:fill="auto"/>
            <w:noWrap/>
            <w:vAlign w:val="bottom"/>
            <w:hideMark/>
          </w:tcPr>
          <w:p w14:paraId="1B3030BB"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58,5</w:t>
            </w:r>
          </w:p>
        </w:tc>
        <w:tc>
          <w:tcPr>
            <w:tcW w:w="711" w:type="dxa"/>
            <w:shd w:val="clear" w:color="auto" w:fill="auto"/>
            <w:noWrap/>
            <w:vAlign w:val="bottom"/>
            <w:hideMark/>
          </w:tcPr>
          <w:p w14:paraId="22CA391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59,2</w:t>
            </w:r>
          </w:p>
        </w:tc>
        <w:tc>
          <w:tcPr>
            <w:tcW w:w="711" w:type="dxa"/>
            <w:shd w:val="clear" w:color="auto" w:fill="auto"/>
            <w:noWrap/>
            <w:vAlign w:val="bottom"/>
            <w:hideMark/>
          </w:tcPr>
          <w:p w14:paraId="42FC37C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62,7</w:t>
            </w:r>
          </w:p>
        </w:tc>
      </w:tr>
      <w:tr w:rsidR="00A53AD7" w:rsidRPr="00A53AD7" w14:paraId="53A4BE89" w14:textId="77777777" w:rsidTr="000736BD">
        <w:trPr>
          <w:trHeight w:val="372"/>
        </w:trPr>
        <w:tc>
          <w:tcPr>
            <w:tcW w:w="1465" w:type="dxa"/>
            <w:shd w:val="clear" w:color="auto" w:fill="auto"/>
            <w:vAlign w:val="center"/>
            <w:hideMark/>
          </w:tcPr>
          <w:p w14:paraId="33528D08" w14:textId="033F2715" w:rsidR="003B5BDA" w:rsidRPr="00A53AD7" w:rsidRDefault="003B5BDA" w:rsidP="003B5B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 пред.</w:t>
            </w:r>
            <w:r w:rsidR="00315E82"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году,</w:t>
            </w:r>
            <w:r w:rsidR="00315E82"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w:t>
            </w:r>
          </w:p>
        </w:tc>
        <w:tc>
          <w:tcPr>
            <w:tcW w:w="666" w:type="dxa"/>
            <w:shd w:val="clear" w:color="auto" w:fill="auto"/>
            <w:noWrap/>
            <w:vAlign w:val="bottom"/>
            <w:hideMark/>
          </w:tcPr>
          <w:p w14:paraId="00F9308B"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95,9</w:t>
            </w:r>
          </w:p>
        </w:tc>
        <w:tc>
          <w:tcPr>
            <w:tcW w:w="666" w:type="dxa"/>
            <w:shd w:val="clear" w:color="auto" w:fill="auto"/>
            <w:noWrap/>
            <w:vAlign w:val="bottom"/>
            <w:hideMark/>
          </w:tcPr>
          <w:p w14:paraId="72C806A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96,9</w:t>
            </w:r>
          </w:p>
        </w:tc>
        <w:tc>
          <w:tcPr>
            <w:tcW w:w="666" w:type="dxa"/>
            <w:shd w:val="clear" w:color="auto" w:fill="auto"/>
            <w:noWrap/>
            <w:vAlign w:val="bottom"/>
            <w:hideMark/>
          </w:tcPr>
          <w:p w14:paraId="7EB443C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105,0</w:t>
            </w:r>
          </w:p>
        </w:tc>
        <w:tc>
          <w:tcPr>
            <w:tcW w:w="666" w:type="dxa"/>
            <w:shd w:val="clear" w:color="auto" w:fill="auto"/>
            <w:noWrap/>
            <w:vAlign w:val="bottom"/>
            <w:hideMark/>
          </w:tcPr>
          <w:p w14:paraId="6499327C"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106,6</w:t>
            </w:r>
          </w:p>
        </w:tc>
        <w:tc>
          <w:tcPr>
            <w:tcW w:w="666" w:type="dxa"/>
            <w:shd w:val="clear" w:color="auto" w:fill="auto"/>
            <w:noWrap/>
            <w:vAlign w:val="bottom"/>
            <w:hideMark/>
          </w:tcPr>
          <w:p w14:paraId="6432AF5D"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101,0</w:t>
            </w:r>
          </w:p>
        </w:tc>
        <w:tc>
          <w:tcPr>
            <w:tcW w:w="666" w:type="dxa"/>
            <w:shd w:val="clear" w:color="auto" w:fill="auto"/>
            <w:noWrap/>
            <w:vAlign w:val="bottom"/>
            <w:hideMark/>
          </w:tcPr>
          <w:p w14:paraId="077E675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97,7</w:t>
            </w:r>
          </w:p>
        </w:tc>
        <w:tc>
          <w:tcPr>
            <w:tcW w:w="666" w:type="dxa"/>
            <w:shd w:val="clear" w:color="auto" w:fill="auto"/>
            <w:noWrap/>
            <w:vAlign w:val="bottom"/>
            <w:hideMark/>
          </w:tcPr>
          <w:p w14:paraId="174F454E"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101,4</w:t>
            </w:r>
          </w:p>
        </w:tc>
        <w:tc>
          <w:tcPr>
            <w:tcW w:w="666" w:type="dxa"/>
            <w:shd w:val="clear" w:color="auto" w:fill="auto"/>
            <w:noWrap/>
            <w:vAlign w:val="bottom"/>
            <w:hideMark/>
          </w:tcPr>
          <w:p w14:paraId="57228CDD"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118,9</w:t>
            </w:r>
          </w:p>
        </w:tc>
        <w:tc>
          <w:tcPr>
            <w:tcW w:w="666" w:type="dxa"/>
            <w:shd w:val="clear" w:color="auto" w:fill="auto"/>
            <w:noWrap/>
            <w:vAlign w:val="bottom"/>
            <w:hideMark/>
          </w:tcPr>
          <w:p w14:paraId="6382D7B8"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95,1</w:t>
            </w:r>
          </w:p>
        </w:tc>
        <w:tc>
          <w:tcPr>
            <w:tcW w:w="666" w:type="dxa"/>
            <w:shd w:val="clear" w:color="auto" w:fill="auto"/>
            <w:noWrap/>
            <w:vAlign w:val="bottom"/>
            <w:hideMark/>
          </w:tcPr>
          <w:p w14:paraId="2D9A9B17" w14:textId="77777777" w:rsidR="003B5BDA" w:rsidRPr="00A53AD7" w:rsidRDefault="003B5BDA" w:rsidP="003B5B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101,4</w:t>
            </w:r>
          </w:p>
        </w:tc>
        <w:tc>
          <w:tcPr>
            <w:tcW w:w="711" w:type="dxa"/>
            <w:shd w:val="clear" w:color="auto" w:fill="auto"/>
            <w:noWrap/>
            <w:vAlign w:val="bottom"/>
            <w:hideMark/>
          </w:tcPr>
          <w:p w14:paraId="1F3C94C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101,2</w:t>
            </w:r>
          </w:p>
        </w:tc>
        <w:tc>
          <w:tcPr>
            <w:tcW w:w="711" w:type="dxa"/>
            <w:shd w:val="clear" w:color="auto" w:fill="auto"/>
            <w:noWrap/>
            <w:vAlign w:val="bottom"/>
            <w:hideMark/>
          </w:tcPr>
          <w:p w14:paraId="722369F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105,9</w:t>
            </w:r>
          </w:p>
        </w:tc>
      </w:tr>
    </w:tbl>
    <w:p w14:paraId="37C154F9" w14:textId="77777777" w:rsidR="00315E82" w:rsidRPr="00A53AD7" w:rsidRDefault="00315E82" w:rsidP="003B5BDA">
      <w:pPr>
        <w:pStyle w:val="ad"/>
        <w:ind w:firstLine="851"/>
        <w:jc w:val="both"/>
        <w:rPr>
          <w:rFonts w:ascii="Times New Roman" w:hAnsi="Times New Roman"/>
          <w:sz w:val="28"/>
          <w:szCs w:val="28"/>
        </w:rPr>
      </w:pPr>
    </w:p>
    <w:p w14:paraId="722E6236" w14:textId="72F384E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Согласно представленным статистическим данным цена за 1 кв.м жилья на первичном рынке как в Российской Федерации, в СЗФО</w:t>
      </w:r>
      <w:r w:rsidR="00315E82" w:rsidRPr="00A53AD7">
        <w:rPr>
          <w:rFonts w:ascii="Times New Roman" w:hAnsi="Times New Roman"/>
          <w:sz w:val="28"/>
          <w:szCs w:val="28"/>
        </w:rPr>
        <w:t xml:space="preserve"> и </w:t>
      </w:r>
      <w:r w:rsidRPr="00A53AD7">
        <w:rPr>
          <w:rFonts w:ascii="Times New Roman" w:hAnsi="Times New Roman"/>
          <w:sz w:val="28"/>
          <w:szCs w:val="28"/>
        </w:rPr>
        <w:t>в Архангельской области по ряду лет характеризуется ростом, также, как и за 1 кв.м жилья на вторичном рынке.</w:t>
      </w:r>
    </w:p>
    <w:p w14:paraId="787AA6A7" w14:textId="380F3493"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Средняя цена на первичном рынке жилья в Архангельской области на 31.12.2019 составила 62,3 тыс.руб. за 1 кв</w:t>
      </w:r>
      <w:r w:rsidR="00C30997" w:rsidRPr="00A53AD7">
        <w:rPr>
          <w:rFonts w:ascii="Times New Roman" w:hAnsi="Times New Roman"/>
          <w:sz w:val="28"/>
          <w:szCs w:val="28"/>
        </w:rPr>
        <w:t>.</w:t>
      </w:r>
      <w:r w:rsidRPr="00A53AD7">
        <w:rPr>
          <w:rFonts w:ascii="Times New Roman" w:hAnsi="Times New Roman"/>
          <w:sz w:val="28"/>
          <w:szCs w:val="28"/>
        </w:rPr>
        <w:t>м, за год увеличившись на 6,7 %. Средняя цена 1 кв. м. жилья на вторичном рынке в области на конец отчетного периода составила 62,7 тыс.руб. за 1 кв.м</w:t>
      </w:r>
      <w:r w:rsidR="00C30997" w:rsidRPr="00A53AD7">
        <w:rPr>
          <w:rFonts w:ascii="Times New Roman" w:hAnsi="Times New Roman"/>
          <w:sz w:val="28"/>
          <w:szCs w:val="28"/>
        </w:rPr>
        <w:t>,</w:t>
      </w:r>
      <w:r w:rsidRPr="00A53AD7">
        <w:rPr>
          <w:rFonts w:ascii="Times New Roman" w:hAnsi="Times New Roman"/>
          <w:sz w:val="28"/>
          <w:szCs w:val="28"/>
        </w:rPr>
        <w:t xml:space="preserve"> увеличившись за год на 5,9 %.</w:t>
      </w:r>
    </w:p>
    <w:p w14:paraId="14584A62" w14:textId="08505E1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Средняя цена за 1 кв.м жилья на вторичном рынке в Архангельской области превышает цену за 1 кв.м жилья на первичном рынке в Архангельской области в 2019 году на 0,6 %. В Российской Федерации и </w:t>
      </w:r>
      <w:r w:rsidR="00C30997" w:rsidRPr="00A53AD7">
        <w:rPr>
          <w:rFonts w:ascii="Times New Roman" w:hAnsi="Times New Roman"/>
          <w:sz w:val="28"/>
          <w:szCs w:val="28"/>
        </w:rPr>
        <w:t>п</w:t>
      </w:r>
      <w:r w:rsidRPr="00A53AD7">
        <w:rPr>
          <w:rFonts w:ascii="Times New Roman" w:hAnsi="Times New Roman"/>
          <w:sz w:val="28"/>
          <w:szCs w:val="28"/>
        </w:rPr>
        <w:t xml:space="preserve">о СЗФО установлена тенденция снижения средней цены на вторичном рынке относительно средней цены на первичном рынке на 9,6 %, на 41,0 %, соответственно. </w:t>
      </w:r>
    </w:p>
    <w:p w14:paraId="1A2A52DE" w14:textId="02A67706"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Следует отметить, что цена жилья на вторичном рынке в Архангельской области в отчетном году выше среднероссийской на 7,2 % (в 2018 году превышение составляло 7,8 %), а в целом по СЗФО – на 0,5 %, (в 2018 году превышала на 12,6 %). Средняя цена 1 кв.м на первичном рынке жилья в Архангельской области на конец отчетного года ниже среднероссийского показателя на 2,8 % (в 2018 году ниже на 5,5 %) и в целом по СЗФО ниже на 29,2 % (в 2018 году ниже на 28,6 %, чем в целом по субъектам СЗФО). Данная тенденция была отмечалась и в предыдущие годы.</w:t>
      </w:r>
    </w:p>
    <w:p w14:paraId="64B9CA24"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На удорожание стоимости 1 кв.м. первичного жилья оказывает влияние ряд факторов, из них:</w:t>
      </w:r>
    </w:p>
    <w:p w14:paraId="468CA975" w14:textId="77777777" w:rsidR="003B5BDA" w:rsidRPr="00A53AD7" w:rsidRDefault="003B5BDA" w:rsidP="00BB09B8">
      <w:pPr>
        <w:pStyle w:val="ad"/>
        <w:numPr>
          <w:ilvl w:val="0"/>
          <w:numId w:val="13"/>
        </w:numPr>
        <w:ind w:left="0" w:firstLine="851"/>
        <w:jc w:val="both"/>
        <w:rPr>
          <w:rFonts w:ascii="Times New Roman" w:hAnsi="Times New Roman"/>
          <w:sz w:val="28"/>
          <w:szCs w:val="28"/>
        </w:rPr>
      </w:pPr>
      <w:r w:rsidRPr="00A53AD7">
        <w:rPr>
          <w:rFonts w:ascii="Times New Roman" w:hAnsi="Times New Roman"/>
          <w:sz w:val="28"/>
          <w:szCs w:val="28"/>
        </w:rPr>
        <w:t>реформа долевого строительства (с</w:t>
      </w:r>
      <w:r w:rsidRPr="00A53AD7">
        <w:rPr>
          <w:rFonts w:ascii="Times New Roman" w:eastAsia="Times New Roman" w:hAnsi="Times New Roman"/>
          <w:sz w:val="28"/>
          <w:szCs w:val="28"/>
          <w:lang w:eastAsia="ru-RU"/>
        </w:rPr>
        <w:t xml:space="preserve"> 1 июля 2019 года жилищное строительство финансируется банками с эскроу-счетов, а не дольщиками);</w:t>
      </w:r>
    </w:p>
    <w:p w14:paraId="1D4DDA4D" w14:textId="77777777" w:rsidR="003B5BDA" w:rsidRPr="00A53AD7" w:rsidRDefault="003B5BDA" w:rsidP="00BB09B8">
      <w:pPr>
        <w:pStyle w:val="ad"/>
        <w:numPr>
          <w:ilvl w:val="0"/>
          <w:numId w:val="13"/>
        </w:numPr>
        <w:ind w:left="0" w:firstLine="851"/>
        <w:jc w:val="both"/>
        <w:rPr>
          <w:rFonts w:ascii="Times New Roman" w:hAnsi="Times New Roman"/>
          <w:sz w:val="28"/>
          <w:szCs w:val="28"/>
        </w:rPr>
      </w:pPr>
      <w:r w:rsidRPr="00A53AD7">
        <w:rPr>
          <w:rFonts w:ascii="Times New Roman" w:eastAsia="Times New Roman" w:hAnsi="Times New Roman"/>
          <w:sz w:val="28"/>
          <w:szCs w:val="28"/>
          <w:lang w:eastAsia="ru-RU"/>
        </w:rPr>
        <w:t>увеличение размера взносов в Фонд защиты прав дольщиков с 1,2 % до 6,0%;</w:t>
      </w:r>
    </w:p>
    <w:p w14:paraId="4EBC8BEC" w14:textId="77777777" w:rsidR="003B5BDA" w:rsidRPr="00A53AD7" w:rsidRDefault="003B5BDA" w:rsidP="00BB09B8">
      <w:pPr>
        <w:pStyle w:val="ad"/>
        <w:numPr>
          <w:ilvl w:val="0"/>
          <w:numId w:val="13"/>
        </w:numPr>
        <w:ind w:left="0" w:firstLine="851"/>
        <w:jc w:val="both"/>
        <w:rPr>
          <w:rFonts w:ascii="Times New Roman" w:hAnsi="Times New Roman"/>
          <w:sz w:val="28"/>
          <w:szCs w:val="28"/>
        </w:rPr>
      </w:pPr>
      <w:r w:rsidRPr="00A53AD7">
        <w:rPr>
          <w:rFonts w:ascii="Times New Roman" w:hAnsi="Times New Roman"/>
          <w:sz w:val="28"/>
          <w:szCs w:val="28"/>
        </w:rPr>
        <w:t>удорожание стоимости строительных материалов (</w:t>
      </w:r>
      <w:r w:rsidRPr="00A53AD7">
        <w:rPr>
          <w:rFonts w:ascii="Times New Roman" w:eastAsia="Times New Roman" w:hAnsi="Times New Roman"/>
          <w:sz w:val="28"/>
          <w:szCs w:val="28"/>
          <w:lang w:eastAsia="ru-RU"/>
        </w:rPr>
        <w:t>НДС с 18% до 20,0%, акцизы на топливо и др.)</w:t>
      </w:r>
      <w:r w:rsidRPr="00A53AD7">
        <w:rPr>
          <w:rFonts w:ascii="Times New Roman" w:hAnsi="Times New Roman"/>
          <w:sz w:val="28"/>
          <w:szCs w:val="28"/>
        </w:rPr>
        <w:t>;</w:t>
      </w:r>
    </w:p>
    <w:p w14:paraId="3250AF4E" w14:textId="636FDEDD" w:rsidR="003B5BDA" w:rsidRPr="00A53AD7" w:rsidRDefault="003B5BDA" w:rsidP="00BB09B8">
      <w:pPr>
        <w:pStyle w:val="ad"/>
        <w:numPr>
          <w:ilvl w:val="0"/>
          <w:numId w:val="13"/>
        </w:numPr>
        <w:ind w:left="0" w:firstLine="851"/>
        <w:jc w:val="both"/>
        <w:rPr>
          <w:rFonts w:ascii="Times New Roman" w:hAnsi="Times New Roman"/>
          <w:sz w:val="28"/>
          <w:szCs w:val="28"/>
        </w:rPr>
      </w:pPr>
      <w:r w:rsidRPr="00A53AD7">
        <w:rPr>
          <w:rFonts w:ascii="Times New Roman" w:hAnsi="Times New Roman"/>
          <w:sz w:val="28"/>
          <w:szCs w:val="28"/>
        </w:rPr>
        <w:t>волатильность рубля</w:t>
      </w:r>
      <w:r w:rsidR="000736BD" w:rsidRPr="00A53AD7">
        <w:rPr>
          <w:rFonts w:ascii="Times New Roman" w:hAnsi="Times New Roman"/>
          <w:sz w:val="28"/>
          <w:szCs w:val="28"/>
        </w:rPr>
        <w:t xml:space="preserve"> и</w:t>
      </w:r>
      <w:r w:rsidRPr="00A53AD7">
        <w:rPr>
          <w:rFonts w:ascii="Times New Roman" w:hAnsi="Times New Roman"/>
          <w:sz w:val="28"/>
          <w:szCs w:val="28"/>
        </w:rPr>
        <w:t xml:space="preserve">, как результат – </w:t>
      </w:r>
      <w:r w:rsidRPr="00A53AD7">
        <w:rPr>
          <w:rFonts w:ascii="Times New Roman" w:eastAsia="Times New Roman" w:hAnsi="Times New Roman"/>
          <w:sz w:val="28"/>
          <w:szCs w:val="28"/>
          <w:lang w:eastAsia="ru-RU"/>
        </w:rPr>
        <w:t>удорожание импортных строительных материалов и оборудования</w:t>
      </w:r>
      <w:bookmarkStart w:id="14" w:name="_Toc451785027"/>
      <w:r w:rsidR="001256DD" w:rsidRPr="00A53AD7">
        <w:rPr>
          <w:rStyle w:val="afff1"/>
          <w:rFonts w:ascii="Times New Roman" w:eastAsia="Times New Roman" w:hAnsi="Times New Roman"/>
          <w:sz w:val="28"/>
          <w:szCs w:val="28"/>
          <w:lang w:eastAsia="ru-RU"/>
        </w:rPr>
        <w:footnoteReference w:id="8"/>
      </w:r>
      <w:r w:rsidRPr="00A53AD7">
        <w:rPr>
          <w:rFonts w:ascii="Times New Roman" w:hAnsi="Times New Roman"/>
          <w:sz w:val="28"/>
          <w:szCs w:val="28"/>
        </w:rPr>
        <w:t>.</w:t>
      </w:r>
    </w:p>
    <w:p w14:paraId="5C62239E"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Среди регионов СЗФО в пятерке самых дорогих по средней цене за 1 кв.м жилья на первичном и вторичном рынке является г. Санкт-Петербург (120,6/105,9 тыс.руб.), Архангельская область (62,3/62,7 тыс.руб.), Ленинградская область (59,0/52,0 тыс.руб.), Калининградская область (52,5/53,4 тыс.руб.). В Вологодской области средняя цена за 1 кв.м жилья на первичном и вторичном рынке составляет 42,3/39,0 тыс.руб. Псковской области – 38,7/37,7 тыс.руб.</w:t>
      </w:r>
    </w:p>
    <w:bookmarkEnd w:id="14"/>
    <w:p w14:paraId="3BFD4DE6" w14:textId="15522B52"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статистическим данным ввод в действие социально-значимых объектов в Архангельской области в 2019 году характеризуется следующими показателями, которые представлены в таблице </w:t>
      </w:r>
      <w:r w:rsidR="00DE2A72" w:rsidRPr="00A53AD7">
        <w:rPr>
          <w:rFonts w:ascii="Times New Roman" w:hAnsi="Times New Roman"/>
          <w:sz w:val="28"/>
          <w:szCs w:val="28"/>
        </w:rPr>
        <w:t>7</w:t>
      </w:r>
      <w:r w:rsidRPr="00A53AD7">
        <w:rPr>
          <w:rFonts w:ascii="Times New Roman" w:hAnsi="Times New Roman"/>
          <w:sz w:val="28"/>
          <w:szCs w:val="28"/>
        </w:rPr>
        <w:t>.</w:t>
      </w:r>
    </w:p>
    <w:p w14:paraId="7FA240CD" w14:textId="77777777" w:rsidR="003B5BDA" w:rsidRPr="00A53AD7" w:rsidRDefault="003B5BDA" w:rsidP="003B5BDA">
      <w:pPr>
        <w:pStyle w:val="ad"/>
        <w:ind w:firstLine="851"/>
        <w:jc w:val="both"/>
        <w:rPr>
          <w:rFonts w:ascii="Times New Roman" w:hAnsi="Times New Roman"/>
          <w:highlight w:val="cyan"/>
        </w:rPr>
      </w:pPr>
    </w:p>
    <w:p w14:paraId="0E9CE6EC" w14:textId="4C09080A" w:rsidR="003B5BDA" w:rsidRPr="00A53AD7" w:rsidRDefault="009356CF" w:rsidP="009356CF">
      <w:pPr>
        <w:spacing w:after="0" w:line="240" w:lineRule="auto"/>
        <w:rPr>
          <w:rFonts w:ascii="Times New Roman" w:eastAsia="Times New Roman" w:hAnsi="Times New Roman"/>
          <w:bCs/>
          <w:sz w:val="24"/>
          <w:szCs w:val="24"/>
          <w:lang w:eastAsia="ru-RU"/>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7</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eastAsia="Times New Roman" w:hAnsi="Times New Roman"/>
          <w:bCs/>
          <w:sz w:val="24"/>
          <w:szCs w:val="24"/>
          <w:lang w:eastAsia="ru-RU"/>
        </w:rPr>
        <w:t>Ввод в действие объектов социально-культурного назначения в Архангельской области в 2017</w:t>
      </w:r>
      <w:r w:rsidRPr="00A53AD7">
        <w:rPr>
          <w:rFonts w:ascii="Times New Roman" w:eastAsia="Times New Roman" w:hAnsi="Times New Roman"/>
          <w:bCs/>
          <w:sz w:val="24"/>
          <w:szCs w:val="24"/>
          <w:lang w:eastAsia="ru-RU"/>
        </w:rPr>
        <w:t xml:space="preserve"> – </w:t>
      </w:r>
      <w:r w:rsidR="003B5BDA" w:rsidRPr="00A53AD7">
        <w:rPr>
          <w:rFonts w:ascii="Times New Roman" w:eastAsia="Times New Roman" w:hAnsi="Times New Roman"/>
          <w:bCs/>
          <w:sz w:val="24"/>
          <w:szCs w:val="24"/>
          <w:lang w:eastAsia="ru-RU"/>
        </w:rPr>
        <w:t>2019 годах</w:t>
      </w:r>
    </w:p>
    <w:tbl>
      <w:tblPr>
        <w:tblW w:w="9384"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3261"/>
        <w:gridCol w:w="992"/>
        <w:gridCol w:w="992"/>
        <w:gridCol w:w="1240"/>
        <w:gridCol w:w="979"/>
        <w:gridCol w:w="960"/>
        <w:gridCol w:w="960"/>
      </w:tblGrid>
      <w:tr w:rsidR="00A53AD7" w:rsidRPr="00A53AD7" w14:paraId="24292124" w14:textId="77777777" w:rsidTr="00125F64">
        <w:trPr>
          <w:trHeight w:val="478"/>
        </w:trPr>
        <w:tc>
          <w:tcPr>
            <w:tcW w:w="3261" w:type="dxa"/>
            <w:shd w:val="clear" w:color="auto" w:fill="auto"/>
            <w:vAlign w:val="center"/>
            <w:hideMark/>
          </w:tcPr>
          <w:p w14:paraId="4AD70C3A"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992" w:type="dxa"/>
            <w:shd w:val="clear" w:color="auto" w:fill="auto"/>
            <w:vAlign w:val="center"/>
            <w:hideMark/>
          </w:tcPr>
          <w:p w14:paraId="36FCE509"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2017</w:t>
            </w:r>
          </w:p>
        </w:tc>
        <w:tc>
          <w:tcPr>
            <w:tcW w:w="992" w:type="dxa"/>
            <w:shd w:val="clear" w:color="auto" w:fill="auto"/>
            <w:vAlign w:val="center"/>
            <w:hideMark/>
          </w:tcPr>
          <w:p w14:paraId="1EEB6D8D"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w:t>
            </w:r>
          </w:p>
        </w:tc>
        <w:tc>
          <w:tcPr>
            <w:tcW w:w="1240" w:type="dxa"/>
            <w:tcBorders>
              <w:right w:val="double" w:sz="6" w:space="0" w:color="auto"/>
            </w:tcBorders>
            <w:shd w:val="clear" w:color="auto" w:fill="auto"/>
            <w:vAlign w:val="center"/>
            <w:hideMark/>
          </w:tcPr>
          <w:p w14:paraId="48D6878C"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w:t>
            </w:r>
          </w:p>
        </w:tc>
        <w:tc>
          <w:tcPr>
            <w:tcW w:w="979" w:type="dxa"/>
            <w:tcBorders>
              <w:top w:val="double" w:sz="6" w:space="0" w:color="auto"/>
              <w:left w:val="double" w:sz="6" w:space="0" w:color="auto"/>
              <w:bottom w:val="single" w:sz="6" w:space="0" w:color="auto"/>
            </w:tcBorders>
            <w:shd w:val="clear" w:color="auto" w:fill="auto"/>
            <w:vAlign w:val="center"/>
            <w:hideMark/>
          </w:tcPr>
          <w:p w14:paraId="691AF114"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2017 к 2016, %</w:t>
            </w:r>
          </w:p>
        </w:tc>
        <w:tc>
          <w:tcPr>
            <w:tcW w:w="960" w:type="dxa"/>
            <w:tcBorders>
              <w:top w:val="double" w:sz="6" w:space="0" w:color="auto"/>
              <w:bottom w:val="single" w:sz="6" w:space="0" w:color="auto"/>
            </w:tcBorders>
            <w:shd w:val="clear" w:color="auto" w:fill="auto"/>
            <w:vAlign w:val="center"/>
            <w:hideMark/>
          </w:tcPr>
          <w:p w14:paraId="499F89B2"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 к 2017, %</w:t>
            </w:r>
          </w:p>
        </w:tc>
        <w:tc>
          <w:tcPr>
            <w:tcW w:w="960" w:type="dxa"/>
            <w:tcBorders>
              <w:top w:val="double" w:sz="6" w:space="0" w:color="auto"/>
              <w:bottom w:val="single" w:sz="6" w:space="0" w:color="auto"/>
            </w:tcBorders>
            <w:shd w:val="clear" w:color="auto" w:fill="auto"/>
            <w:vAlign w:val="center"/>
            <w:hideMark/>
          </w:tcPr>
          <w:p w14:paraId="08724E0E" w14:textId="77777777" w:rsidR="007A18FA" w:rsidRPr="00A53AD7" w:rsidRDefault="007A18FA" w:rsidP="00125F64">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к 2018, %</w:t>
            </w:r>
          </w:p>
        </w:tc>
      </w:tr>
      <w:tr w:rsidR="00A53AD7" w:rsidRPr="00A53AD7" w14:paraId="7AC22113" w14:textId="77777777" w:rsidTr="007814F5">
        <w:trPr>
          <w:trHeight w:val="255"/>
        </w:trPr>
        <w:tc>
          <w:tcPr>
            <w:tcW w:w="3261" w:type="dxa"/>
            <w:shd w:val="clear" w:color="auto" w:fill="auto"/>
            <w:vAlign w:val="bottom"/>
            <w:hideMark/>
          </w:tcPr>
          <w:p w14:paraId="58E92271"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Водопровод, км</w:t>
            </w:r>
          </w:p>
        </w:tc>
        <w:tc>
          <w:tcPr>
            <w:tcW w:w="992" w:type="dxa"/>
            <w:shd w:val="clear" w:color="auto" w:fill="auto"/>
            <w:vAlign w:val="bottom"/>
            <w:hideMark/>
          </w:tcPr>
          <w:p w14:paraId="02DB240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4,2</w:t>
            </w:r>
          </w:p>
        </w:tc>
        <w:tc>
          <w:tcPr>
            <w:tcW w:w="992" w:type="dxa"/>
            <w:shd w:val="clear" w:color="auto" w:fill="auto"/>
            <w:vAlign w:val="bottom"/>
            <w:hideMark/>
          </w:tcPr>
          <w:p w14:paraId="2C017490"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1240" w:type="dxa"/>
            <w:tcBorders>
              <w:right w:val="double" w:sz="6" w:space="0" w:color="auto"/>
            </w:tcBorders>
            <w:shd w:val="clear" w:color="auto" w:fill="auto"/>
            <w:vAlign w:val="bottom"/>
            <w:hideMark/>
          </w:tcPr>
          <w:p w14:paraId="4EE17A40"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3B1BD419" w14:textId="77777777" w:rsidR="007A18FA" w:rsidRPr="00A53AD7" w:rsidRDefault="007A18FA" w:rsidP="00125F64">
            <w:pPr>
              <w:spacing w:after="0" w:line="240" w:lineRule="auto"/>
              <w:ind w:left="-122" w:right="-108"/>
              <w:jc w:val="right"/>
              <w:rPr>
                <w:rFonts w:ascii="Times New Roman" w:eastAsia="Times New Roman" w:hAnsi="Times New Roman"/>
                <w:lang w:eastAsia="ru-RU"/>
              </w:rPr>
            </w:pPr>
            <w:r w:rsidRPr="00A53AD7">
              <w:rPr>
                <w:rFonts w:ascii="Times New Roman" w:eastAsia="Times New Roman" w:hAnsi="Times New Roman"/>
                <w:lang w:eastAsia="ru-RU"/>
              </w:rPr>
              <w:t>в 3,8 раза</w:t>
            </w:r>
          </w:p>
        </w:tc>
        <w:tc>
          <w:tcPr>
            <w:tcW w:w="960" w:type="dxa"/>
            <w:tcBorders>
              <w:top w:val="single" w:sz="6" w:space="0" w:color="auto"/>
              <w:bottom w:val="single" w:sz="6" w:space="0" w:color="auto"/>
            </w:tcBorders>
            <w:shd w:val="clear" w:color="auto" w:fill="auto"/>
            <w:noWrap/>
            <w:vAlign w:val="bottom"/>
            <w:hideMark/>
          </w:tcPr>
          <w:p w14:paraId="35A49DAC"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960" w:type="dxa"/>
            <w:tcBorders>
              <w:top w:val="single" w:sz="6" w:space="0" w:color="auto"/>
              <w:bottom w:val="single" w:sz="6" w:space="0" w:color="auto"/>
            </w:tcBorders>
            <w:shd w:val="clear" w:color="auto" w:fill="auto"/>
            <w:noWrap/>
            <w:vAlign w:val="bottom"/>
            <w:hideMark/>
          </w:tcPr>
          <w:p w14:paraId="07419A1E"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7C66A600" w14:textId="77777777" w:rsidTr="007814F5">
        <w:trPr>
          <w:trHeight w:val="255"/>
        </w:trPr>
        <w:tc>
          <w:tcPr>
            <w:tcW w:w="3261" w:type="dxa"/>
            <w:shd w:val="clear" w:color="auto" w:fill="auto"/>
            <w:vAlign w:val="bottom"/>
            <w:hideMark/>
          </w:tcPr>
          <w:p w14:paraId="047BCE3E"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Канализация, км</w:t>
            </w:r>
          </w:p>
        </w:tc>
        <w:tc>
          <w:tcPr>
            <w:tcW w:w="992" w:type="dxa"/>
            <w:shd w:val="clear" w:color="auto" w:fill="auto"/>
            <w:vAlign w:val="bottom"/>
            <w:hideMark/>
          </w:tcPr>
          <w:p w14:paraId="1CA3C936"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w:t>
            </w:r>
          </w:p>
        </w:tc>
        <w:tc>
          <w:tcPr>
            <w:tcW w:w="992" w:type="dxa"/>
            <w:shd w:val="clear" w:color="auto" w:fill="auto"/>
            <w:vAlign w:val="bottom"/>
            <w:hideMark/>
          </w:tcPr>
          <w:p w14:paraId="526AE84B"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1240" w:type="dxa"/>
            <w:tcBorders>
              <w:right w:val="double" w:sz="6" w:space="0" w:color="auto"/>
            </w:tcBorders>
            <w:shd w:val="clear" w:color="auto" w:fill="auto"/>
            <w:vAlign w:val="bottom"/>
            <w:hideMark/>
          </w:tcPr>
          <w:p w14:paraId="6A5E709E"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4413426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50,0</w:t>
            </w:r>
          </w:p>
        </w:tc>
        <w:tc>
          <w:tcPr>
            <w:tcW w:w="960" w:type="dxa"/>
            <w:tcBorders>
              <w:top w:val="single" w:sz="6" w:space="0" w:color="auto"/>
              <w:bottom w:val="single" w:sz="6" w:space="0" w:color="auto"/>
            </w:tcBorders>
            <w:shd w:val="clear" w:color="auto" w:fill="auto"/>
            <w:noWrap/>
            <w:vAlign w:val="bottom"/>
            <w:hideMark/>
          </w:tcPr>
          <w:p w14:paraId="31E73D90"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960" w:type="dxa"/>
            <w:tcBorders>
              <w:top w:val="single" w:sz="6" w:space="0" w:color="auto"/>
              <w:bottom w:val="single" w:sz="6" w:space="0" w:color="auto"/>
            </w:tcBorders>
            <w:shd w:val="clear" w:color="auto" w:fill="auto"/>
            <w:noWrap/>
            <w:vAlign w:val="bottom"/>
            <w:hideMark/>
          </w:tcPr>
          <w:p w14:paraId="0F31967B"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53471A70" w14:textId="77777777" w:rsidTr="007814F5">
        <w:trPr>
          <w:trHeight w:val="255"/>
        </w:trPr>
        <w:tc>
          <w:tcPr>
            <w:tcW w:w="3261" w:type="dxa"/>
            <w:shd w:val="clear" w:color="auto" w:fill="auto"/>
            <w:vAlign w:val="bottom"/>
            <w:hideMark/>
          </w:tcPr>
          <w:p w14:paraId="08FB4C7C"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Газовые сети, км</w:t>
            </w:r>
          </w:p>
        </w:tc>
        <w:tc>
          <w:tcPr>
            <w:tcW w:w="992" w:type="dxa"/>
            <w:shd w:val="clear" w:color="auto" w:fill="auto"/>
            <w:vAlign w:val="bottom"/>
            <w:hideMark/>
          </w:tcPr>
          <w:p w14:paraId="2BB1D58A"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992" w:type="dxa"/>
            <w:shd w:val="clear" w:color="auto" w:fill="auto"/>
            <w:vAlign w:val="bottom"/>
            <w:hideMark/>
          </w:tcPr>
          <w:p w14:paraId="6059D43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12,1</w:t>
            </w:r>
          </w:p>
        </w:tc>
        <w:tc>
          <w:tcPr>
            <w:tcW w:w="1240" w:type="dxa"/>
            <w:tcBorders>
              <w:right w:val="double" w:sz="6" w:space="0" w:color="auto"/>
            </w:tcBorders>
            <w:shd w:val="clear" w:color="auto" w:fill="auto"/>
            <w:vAlign w:val="bottom"/>
            <w:hideMark/>
          </w:tcPr>
          <w:p w14:paraId="712F2DF3"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3A02B9AA"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55,2</w:t>
            </w:r>
          </w:p>
        </w:tc>
        <w:tc>
          <w:tcPr>
            <w:tcW w:w="960" w:type="dxa"/>
            <w:tcBorders>
              <w:top w:val="single" w:sz="6" w:space="0" w:color="auto"/>
              <w:bottom w:val="single" w:sz="6" w:space="0" w:color="auto"/>
            </w:tcBorders>
            <w:shd w:val="clear" w:color="auto" w:fill="auto"/>
            <w:noWrap/>
            <w:vAlign w:val="bottom"/>
            <w:hideMark/>
          </w:tcPr>
          <w:p w14:paraId="1599884D"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121,0</w:t>
            </w:r>
          </w:p>
        </w:tc>
        <w:tc>
          <w:tcPr>
            <w:tcW w:w="960" w:type="dxa"/>
            <w:tcBorders>
              <w:top w:val="single" w:sz="6" w:space="0" w:color="auto"/>
              <w:bottom w:val="single" w:sz="6" w:space="0" w:color="auto"/>
            </w:tcBorders>
            <w:shd w:val="clear" w:color="auto" w:fill="auto"/>
            <w:noWrap/>
            <w:vAlign w:val="bottom"/>
            <w:hideMark/>
          </w:tcPr>
          <w:p w14:paraId="3E0EA7C6"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-89,3 </w:t>
            </w:r>
          </w:p>
        </w:tc>
      </w:tr>
      <w:tr w:rsidR="00A53AD7" w:rsidRPr="00A53AD7" w14:paraId="52502891" w14:textId="77777777" w:rsidTr="007814F5">
        <w:trPr>
          <w:trHeight w:val="255"/>
        </w:trPr>
        <w:tc>
          <w:tcPr>
            <w:tcW w:w="3261" w:type="dxa"/>
            <w:shd w:val="clear" w:color="auto" w:fill="auto"/>
            <w:vAlign w:val="bottom"/>
            <w:hideMark/>
          </w:tcPr>
          <w:p w14:paraId="69CE2DC6"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Теплоснабжение, км</w:t>
            </w:r>
          </w:p>
        </w:tc>
        <w:tc>
          <w:tcPr>
            <w:tcW w:w="992" w:type="dxa"/>
            <w:shd w:val="clear" w:color="auto" w:fill="auto"/>
            <w:vAlign w:val="bottom"/>
            <w:hideMark/>
          </w:tcPr>
          <w:p w14:paraId="25BF0522"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w:t>
            </w:r>
          </w:p>
        </w:tc>
        <w:tc>
          <w:tcPr>
            <w:tcW w:w="992" w:type="dxa"/>
            <w:shd w:val="clear" w:color="auto" w:fill="auto"/>
            <w:vAlign w:val="bottom"/>
            <w:hideMark/>
          </w:tcPr>
          <w:p w14:paraId="2C34BB06"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w:t>
            </w:r>
          </w:p>
        </w:tc>
        <w:tc>
          <w:tcPr>
            <w:tcW w:w="1240" w:type="dxa"/>
            <w:tcBorders>
              <w:right w:val="double" w:sz="6" w:space="0" w:color="auto"/>
            </w:tcBorders>
            <w:shd w:val="clear" w:color="auto" w:fill="auto"/>
            <w:vAlign w:val="bottom"/>
            <w:hideMark/>
          </w:tcPr>
          <w:p w14:paraId="7DF7AE91"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21F0E544"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15,6</w:t>
            </w:r>
          </w:p>
        </w:tc>
        <w:tc>
          <w:tcPr>
            <w:tcW w:w="960" w:type="dxa"/>
            <w:tcBorders>
              <w:top w:val="single" w:sz="6" w:space="0" w:color="auto"/>
              <w:bottom w:val="single" w:sz="6" w:space="0" w:color="auto"/>
            </w:tcBorders>
            <w:shd w:val="clear" w:color="auto" w:fill="auto"/>
            <w:noWrap/>
            <w:vAlign w:val="bottom"/>
            <w:hideMark/>
          </w:tcPr>
          <w:p w14:paraId="31982D7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142,9</w:t>
            </w:r>
          </w:p>
        </w:tc>
        <w:tc>
          <w:tcPr>
            <w:tcW w:w="960" w:type="dxa"/>
            <w:tcBorders>
              <w:top w:val="single" w:sz="6" w:space="0" w:color="auto"/>
              <w:bottom w:val="single" w:sz="6" w:space="0" w:color="auto"/>
            </w:tcBorders>
            <w:shd w:val="clear" w:color="auto" w:fill="auto"/>
            <w:noWrap/>
            <w:vAlign w:val="bottom"/>
            <w:hideMark/>
          </w:tcPr>
          <w:p w14:paraId="3614AD7B" w14:textId="77777777" w:rsidR="007A18FA" w:rsidRPr="00A53AD7" w:rsidRDefault="007A18FA" w:rsidP="00125F64">
            <w:pPr>
              <w:spacing w:after="0" w:line="240" w:lineRule="auto"/>
              <w:ind w:left="-76" w:right="-172"/>
              <w:rPr>
                <w:rFonts w:ascii="Times New Roman" w:eastAsia="Times New Roman" w:hAnsi="Times New Roman"/>
                <w:lang w:eastAsia="ru-RU"/>
              </w:rPr>
            </w:pPr>
            <w:r w:rsidRPr="00A53AD7">
              <w:rPr>
                <w:rFonts w:ascii="Times New Roman" w:eastAsia="Times New Roman" w:hAnsi="Times New Roman"/>
                <w:lang w:eastAsia="ru-RU"/>
              </w:rPr>
              <w:t>в 1,3 раза</w:t>
            </w:r>
          </w:p>
        </w:tc>
      </w:tr>
      <w:tr w:rsidR="00A53AD7" w:rsidRPr="00A53AD7" w14:paraId="226B4AB2" w14:textId="77777777" w:rsidTr="00125F64">
        <w:trPr>
          <w:trHeight w:val="439"/>
        </w:trPr>
        <w:tc>
          <w:tcPr>
            <w:tcW w:w="3261" w:type="dxa"/>
            <w:shd w:val="clear" w:color="auto" w:fill="auto"/>
            <w:vAlign w:val="bottom"/>
            <w:hideMark/>
          </w:tcPr>
          <w:p w14:paraId="68311731"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Общеобразовательные организации, ученических мест</w:t>
            </w:r>
          </w:p>
        </w:tc>
        <w:tc>
          <w:tcPr>
            <w:tcW w:w="992" w:type="dxa"/>
            <w:shd w:val="clear" w:color="auto" w:fill="auto"/>
            <w:noWrap/>
            <w:vAlign w:val="bottom"/>
            <w:hideMark/>
          </w:tcPr>
          <w:p w14:paraId="3E53AECF"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992" w:type="dxa"/>
            <w:shd w:val="clear" w:color="auto" w:fill="auto"/>
            <w:noWrap/>
            <w:vAlign w:val="bottom"/>
            <w:hideMark/>
          </w:tcPr>
          <w:p w14:paraId="2B66064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320,0</w:t>
            </w:r>
          </w:p>
        </w:tc>
        <w:tc>
          <w:tcPr>
            <w:tcW w:w="1240" w:type="dxa"/>
            <w:tcBorders>
              <w:right w:val="double" w:sz="6" w:space="0" w:color="auto"/>
            </w:tcBorders>
            <w:shd w:val="clear" w:color="auto" w:fill="auto"/>
            <w:noWrap/>
            <w:vAlign w:val="bottom"/>
            <w:hideMark/>
          </w:tcPr>
          <w:p w14:paraId="040BABC9"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240,0</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4EC9F744"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9,2</w:t>
            </w:r>
          </w:p>
        </w:tc>
        <w:tc>
          <w:tcPr>
            <w:tcW w:w="960" w:type="dxa"/>
            <w:tcBorders>
              <w:top w:val="single" w:sz="6" w:space="0" w:color="auto"/>
              <w:bottom w:val="single" w:sz="6" w:space="0" w:color="auto"/>
            </w:tcBorders>
            <w:shd w:val="clear" w:color="auto" w:fill="auto"/>
            <w:noWrap/>
            <w:vAlign w:val="bottom"/>
            <w:hideMark/>
          </w:tcPr>
          <w:p w14:paraId="351FBCDA" w14:textId="77777777" w:rsidR="007A18FA" w:rsidRPr="00A53AD7" w:rsidRDefault="007A18FA" w:rsidP="00125F64">
            <w:pPr>
              <w:spacing w:after="0" w:line="240" w:lineRule="auto"/>
              <w:ind w:left="-108" w:right="-140"/>
              <w:jc w:val="right"/>
              <w:rPr>
                <w:rFonts w:ascii="Times New Roman" w:eastAsia="Times New Roman" w:hAnsi="Times New Roman"/>
                <w:lang w:eastAsia="ru-RU"/>
              </w:rPr>
            </w:pPr>
            <w:r w:rsidRPr="00A53AD7">
              <w:rPr>
                <w:rFonts w:ascii="Times New Roman" w:eastAsia="Times New Roman" w:hAnsi="Times New Roman"/>
                <w:lang w:eastAsia="ru-RU"/>
              </w:rPr>
              <w:t>в 3,2 раза</w:t>
            </w:r>
          </w:p>
        </w:tc>
        <w:tc>
          <w:tcPr>
            <w:tcW w:w="960" w:type="dxa"/>
            <w:tcBorders>
              <w:top w:val="single" w:sz="6" w:space="0" w:color="auto"/>
              <w:bottom w:val="single" w:sz="6" w:space="0" w:color="auto"/>
            </w:tcBorders>
            <w:shd w:val="clear" w:color="auto" w:fill="auto"/>
            <w:noWrap/>
            <w:vAlign w:val="bottom"/>
            <w:hideMark/>
          </w:tcPr>
          <w:p w14:paraId="1D9CC62C"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-25,0 </w:t>
            </w:r>
          </w:p>
        </w:tc>
      </w:tr>
      <w:tr w:rsidR="00A53AD7" w:rsidRPr="00A53AD7" w14:paraId="3371ED23" w14:textId="77777777" w:rsidTr="00125F64">
        <w:trPr>
          <w:trHeight w:val="475"/>
        </w:trPr>
        <w:tc>
          <w:tcPr>
            <w:tcW w:w="3261" w:type="dxa"/>
            <w:shd w:val="clear" w:color="auto" w:fill="auto"/>
            <w:vAlign w:val="bottom"/>
            <w:hideMark/>
          </w:tcPr>
          <w:p w14:paraId="091D57CC"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i/>
                <w:iCs/>
                <w:u w:val="single"/>
                <w:lang w:eastAsia="ru-RU"/>
              </w:rPr>
              <w:t xml:space="preserve">в том числе: </w:t>
            </w:r>
            <w:r w:rsidRPr="00A53AD7">
              <w:rPr>
                <w:rFonts w:ascii="Times New Roman" w:eastAsia="Times New Roman" w:hAnsi="Times New Roman"/>
                <w:lang w:eastAsia="ru-RU"/>
              </w:rPr>
              <w:t xml:space="preserve">в сельской местности </w:t>
            </w:r>
          </w:p>
        </w:tc>
        <w:tc>
          <w:tcPr>
            <w:tcW w:w="992" w:type="dxa"/>
            <w:shd w:val="clear" w:color="auto" w:fill="auto"/>
            <w:noWrap/>
            <w:vAlign w:val="bottom"/>
            <w:hideMark/>
          </w:tcPr>
          <w:p w14:paraId="45BDEB60"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21FB998B"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320,0</w:t>
            </w:r>
          </w:p>
        </w:tc>
        <w:tc>
          <w:tcPr>
            <w:tcW w:w="1240" w:type="dxa"/>
            <w:tcBorders>
              <w:right w:val="double" w:sz="6" w:space="0" w:color="auto"/>
            </w:tcBorders>
            <w:shd w:val="clear" w:color="auto" w:fill="auto"/>
            <w:noWrap/>
            <w:vAlign w:val="bottom"/>
            <w:hideMark/>
          </w:tcPr>
          <w:p w14:paraId="4C3E30E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240,0</w:t>
            </w:r>
          </w:p>
        </w:tc>
        <w:tc>
          <w:tcPr>
            <w:tcW w:w="979" w:type="dxa"/>
            <w:tcBorders>
              <w:top w:val="single" w:sz="6" w:space="0" w:color="auto"/>
              <w:left w:val="double" w:sz="6" w:space="0" w:color="auto"/>
              <w:bottom w:val="single" w:sz="6" w:space="0" w:color="auto"/>
            </w:tcBorders>
            <w:shd w:val="clear" w:color="auto" w:fill="auto"/>
            <w:vAlign w:val="bottom"/>
            <w:hideMark/>
          </w:tcPr>
          <w:p w14:paraId="08E6EBBB"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1DEE284C"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960" w:type="dxa"/>
            <w:tcBorders>
              <w:top w:val="single" w:sz="6" w:space="0" w:color="auto"/>
              <w:bottom w:val="single" w:sz="6" w:space="0" w:color="auto"/>
            </w:tcBorders>
            <w:shd w:val="clear" w:color="auto" w:fill="auto"/>
            <w:noWrap/>
            <w:vAlign w:val="bottom"/>
            <w:hideMark/>
          </w:tcPr>
          <w:p w14:paraId="548CAA66"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-25,0 </w:t>
            </w:r>
          </w:p>
        </w:tc>
      </w:tr>
      <w:tr w:rsidR="00A53AD7" w:rsidRPr="00A53AD7" w14:paraId="35993CD1" w14:textId="77777777" w:rsidTr="00125F64">
        <w:trPr>
          <w:trHeight w:val="207"/>
        </w:trPr>
        <w:tc>
          <w:tcPr>
            <w:tcW w:w="3261" w:type="dxa"/>
            <w:shd w:val="clear" w:color="auto" w:fill="auto"/>
            <w:vAlign w:val="bottom"/>
            <w:hideMark/>
          </w:tcPr>
          <w:p w14:paraId="34A328A3"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Дошкольные организации, мест</w:t>
            </w:r>
          </w:p>
        </w:tc>
        <w:tc>
          <w:tcPr>
            <w:tcW w:w="992" w:type="dxa"/>
            <w:shd w:val="clear" w:color="auto" w:fill="auto"/>
            <w:noWrap/>
            <w:vAlign w:val="bottom"/>
            <w:hideMark/>
          </w:tcPr>
          <w:p w14:paraId="725AD5A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992" w:type="dxa"/>
            <w:shd w:val="clear" w:color="auto" w:fill="auto"/>
            <w:noWrap/>
            <w:vAlign w:val="bottom"/>
            <w:hideMark/>
          </w:tcPr>
          <w:p w14:paraId="21C31261"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1240" w:type="dxa"/>
            <w:tcBorders>
              <w:right w:val="double" w:sz="6" w:space="0" w:color="auto"/>
            </w:tcBorders>
            <w:shd w:val="clear" w:color="auto" w:fill="auto"/>
            <w:noWrap/>
            <w:vAlign w:val="bottom"/>
            <w:hideMark/>
          </w:tcPr>
          <w:p w14:paraId="53A4DB6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525,0</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7681887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15,6</w:t>
            </w:r>
          </w:p>
        </w:tc>
        <w:tc>
          <w:tcPr>
            <w:tcW w:w="960" w:type="dxa"/>
            <w:tcBorders>
              <w:top w:val="single" w:sz="6" w:space="0" w:color="auto"/>
              <w:bottom w:val="single" w:sz="6" w:space="0" w:color="auto"/>
            </w:tcBorders>
            <w:shd w:val="clear" w:color="auto" w:fill="auto"/>
            <w:noWrap/>
            <w:vAlign w:val="bottom"/>
            <w:hideMark/>
          </w:tcPr>
          <w:p w14:paraId="625CD761"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960" w:type="dxa"/>
            <w:tcBorders>
              <w:top w:val="single" w:sz="6" w:space="0" w:color="auto"/>
              <w:bottom w:val="single" w:sz="6" w:space="0" w:color="auto"/>
            </w:tcBorders>
            <w:shd w:val="clear" w:color="auto" w:fill="auto"/>
            <w:noWrap/>
            <w:vAlign w:val="bottom"/>
            <w:hideMark/>
          </w:tcPr>
          <w:p w14:paraId="1EBF8D37" w14:textId="77777777" w:rsidR="007A18FA" w:rsidRPr="00A53AD7" w:rsidRDefault="007A18FA" w:rsidP="00125F64">
            <w:pPr>
              <w:spacing w:after="0" w:line="240" w:lineRule="auto"/>
              <w:ind w:left="-76" w:right="-172"/>
              <w:rPr>
                <w:rFonts w:ascii="Times New Roman" w:eastAsia="Times New Roman" w:hAnsi="Times New Roman"/>
                <w:lang w:eastAsia="ru-RU"/>
              </w:rPr>
            </w:pPr>
            <w:r w:rsidRPr="00A53AD7">
              <w:rPr>
                <w:rFonts w:ascii="Times New Roman" w:eastAsia="Times New Roman" w:hAnsi="Times New Roman"/>
                <w:lang w:eastAsia="ru-RU"/>
              </w:rPr>
              <w:t>в 8,7 раза</w:t>
            </w:r>
          </w:p>
        </w:tc>
      </w:tr>
      <w:tr w:rsidR="00A53AD7" w:rsidRPr="00A53AD7" w14:paraId="2466F3D8" w14:textId="77777777" w:rsidTr="00125F64">
        <w:trPr>
          <w:trHeight w:val="359"/>
        </w:trPr>
        <w:tc>
          <w:tcPr>
            <w:tcW w:w="3261" w:type="dxa"/>
            <w:shd w:val="clear" w:color="auto" w:fill="auto"/>
            <w:vAlign w:val="bottom"/>
            <w:hideMark/>
          </w:tcPr>
          <w:p w14:paraId="52BEDC7D"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i/>
                <w:iCs/>
                <w:u w:val="single"/>
                <w:lang w:eastAsia="ru-RU"/>
              </w:rPr>
              <w:t xml:space="preserve">в том числе: </w:t>
            </w:r>
            <w:r w:rsidRPr="00A53AD7">
              <w:rPr>
                <w:rFonts w:ascii="Times New Roman" w:eastAsia="Times New Roman" w:hAnsi="Times New Roman"/>
                <w:lang w:eastAsia="ru-RU"/>
              </w:rPr>
              <w:t xml:space="preserve">в сельской местности </w:t>
            </w:r>
          </w:p>
        </w:tc>
        <w:tc>
          <w:tcPr>
            <w:tcW w:w="992" w:type="dxa"/>
            <w:shd w:val="clear" w:color="auto" w:fill="auto"/>
            <w:noWrap/>
            <w:vAlign w:val="bottom"/>
            <w:hideMark/>
          </w:tcPr>
          <w:p w14:paraId="7F1D9AF2"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2DCE3991"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1240" w:type="dxa"/>
            <w:tcBorders>
              <w:right w:val="double" w:sz="6" w:space="0" w:color="auto"/>
            </w:tcBorders>
            <w:shd w:val="clear" w:color="auto" w:fill="auto"/>
            <w:noWrap/>
            <w:vAlign w:val="bottom"/>
            <w:hideMark/>
          </w:tcPr>
          <w:p w14:paraId="5B8328B2"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120,0</w:t>
            </w:r>
          </w:p>
        </w:tc>
        <w:tc>
          <w:tcPr>
            <w:tcW w:w="979" w:type="dxa"/>
            <w:tcBorders>
              <w:top w:val="single" w:sz="6" w:space="0" w:color="auto"/>
              <w:left w:val="double" w:sz="6" w:space="0" w:color="auto"/>
              <w:bottom w:val="single" w:sz="6" w:space="0" w:color="auto"/>
            </w:tcBorders>
            <w:shd w:val="clear" w:color="auto" w:fill="auto"/>
            <w:vAlign w:val="bottom"/>
            <w:hideMark/>
          </w:tcPr>
          <w:p w14:paraId="51BD174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5E328D6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960" w:type="dxa"/>
            <w:tcBorders>
              <w:top w:val="single" w:sz="6" w:space="0" w:color="auto"/>
              <w:bottom w:val="single" w:sz="6" w:space="0" w:color="auto"/>
            </w:tcBorders>
            <w:shd w:val="clear" w:color="auto" w:fill="auto"/>
            <w:noWrap/>
            <w:vAlign w:val="bottom"/>
            <w:hideMark/>
          </w:tcPr>
          <w:p w14:paraId="5467925E"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 2 раза</w:t>
            </w:r>
          </w:p>
        </w:tc>
      </w:tr>
      <w:tr w:rsidR="00A53AD7" w:rsidRPr="00A53AD7" w14:paraId="73EED943" w14:textId="77777777" w:rsidTr="007814F5">
        <w:trPr>
          <w:trHeight w:val="255"/>
        </w:trPr>
        <w:tc>
          <w:tcPr>
            <w:tcW w:w="3261" w:type="dxa"/>
            <w:shd w:val="clear" w:color="auto" w:fill="auto"/>
            <w:vAlign w:val="bottom"/>
            <w:hideMark/>
          </w:tcPr>
          <w:p w14:paraId="1CA57B30"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Больничные организации, коек</w:t>
            </w:r>
          </w:p>
        </w:tc>
        <w:tc>
          <w:tcPr>
            <w:tcW w:w="992" w:type="dxa"/>
            <w:shd w:val="clear" w:color="auto" w:fill="auto"/>
            <w:noWrap/>
            <w:vAlign w:val="bottom"/>
            <w:hideMark/>
          </w:tcPr>
          <w:p w14:paraId="1373B27D"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589314EA"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130,0</w:t>
            </w:r>
          </w:p>
        </w:tc>
        <w:tc>
          <w:tcPr>
            <w:tcW w:w="1240" w:type="dxa"/>
            <w:tcBorders>
              <w:right w:val="double" w:sz="6" w:space="0" w:color="auto"/>
            </w:tcBorders>
            <w:shd w:val="clear" w:color="auto" w:fill="auto"/>
            <w:noWrap/>
            <w:vAlign w:val="bottom"/>
            <w:hideMark/>
          </w:tcPr>
          <w:p w14:paraId="1D9634FE"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15,0</w:t>
            </w:r>
          </w:p>
        </w:tc>
        <w:tc>
          <w:tcPr>
            <w:tcW w:w="979" w:type="dxa"/>
            <w:tcBorders>
              <w:top w:val="single" w:sz="6" w:space="0" w:color="auto"/>
              <w:left w:val="double" w:sz="6" w:space="0" w:color="auto"/>
              <w:bottom w:val="single" w:sz="6" w:space="0" w:color="auto"/>
            </w:tcBorders>
            <w:shd w:val="clear" w:color="auto" w:fill="auto"/>
            <w:vAlign w:val="bottom"/>
            <w:hideMark/>
          </w:tcPr>
          <w:p w14:paraId="267BC1E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74CA7549"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16025E7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-88,5 </w:t>
            </w:r>
          </w:p>
        </w:tc>
      </w:tr>
      <w:tr w:rsidR="00A53AD7" w:rsidRPr="00A53AD7" w14:paraId="66C3B9BB" w14:textId="77777777" w:rsidTr="007814F5">
        <w:trPr>
          <w:trHeight w:val="255"/>
        </w:trPr>
        <w:tc>
          <w:tcPr>
            <w:tcW w:w="3261" w:type="dxa"/>
            <w:shd w:val="clear" w:color="auto" w:fill="auto"/>
            <w:vAlign w:val="bottom"/>
            <w:hideMark/>
          </w:tcPr>
          <w:p w14:paraId="2D11DDF8"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Гостиницы, мест</w:t>
            </w:r>
          </w:p>
        </w:tc>
        <w:tc>
          <w:tcPr>
            <w:tcW w:w="992" w:type="dxa"/>
            <w:shd w:val="clear" w:color="auto" w:fill="auto"/>
            <w:vAlign w:val="bottom"/>
            <w:hideMark/>
          </w:tcPr>
          <w:p w14:paraId="217D4C09"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69,0</w:t>
            </w:r>
          </w:p>
        </w:tc>
        <w:tc>
          <w:tcPr>
            <w:tcW w:w="992" w:type="dxa"/>
            <w:shd w:val="clear" w:color="auto" w:fill="auto"/>
            <w:vAlign w:val="bottom"/>
            <w:hideMark/>
          </w:tcPr>
          <w:p w14:paraId="5EDAC00C"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232,0</w:t>
            </w:r>
          </w:p>
        </w:tc>
        <w:tc>
          <w:tcPr>
            <w:tcW w:w="1240" w:type="dxa"/>
            <w:tcBorders>
              <w:right w:val="double" w:sz="6" w:space="0" w:color="auto"/>
            </w:tcBorders>
            <w:shd w:val="clear" w:color="auto" w:fill="auto"/>
            <w:noWrap/>
            <w:vAlign w:val="bottom"/>
            <w:hideMark/>
          </w:tcPr>
          <w:p w14:paraId="090670D8" w14:textId="77777777" w:rsidR="007A18FA" w:rsidRPr="00A53AD7" w:rsidRDefault="007A18FA" w:rsidP="00125F64">
            <w:pPr>
              <w:spacing w:after="0" w:line="240" w:lineRule="auto"/>
              <w:ind w:left="-67" w:right="-43"/>
              <w:jc w:val="right"/>
              <w:rPr>
                <w:rFonts w:ascii="Times New Roman" w:eastAsia="Times New Roman" w:hAnsi="Times New Roman"/>
                <w:lang w:eastAsia="ru-RU"/>
              </w:rPr>
            </w:pPr>
            <w:r w:rsidRPr="00A53AD7">
              <w:rPr>
                <w:rFonts w:ascii="Times New Roman" w:eastAsia="Times New Roman" w:hAnsi="Times New Roman"/>
                <w:lang w:eastAsia="ru-RU"/>
              </w:rPr>
              <w:t>нет данных</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5723B1D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98,6</w:t>
            </w:r>
          </w:p>
        </w:tc>
        <w:tc>
          <w:tcPr>
            <w:tcW w:w="960" w:type="dxa"/>
            <w:tcBorders>
              <w:top w:val="single" w:sz="6" w:space="0" w:color="auto"/>
              <w:bottom w:val="single" w:sz="6" w:space="0" w:color="auto"/>
            </w:tcBorders>
            <w:shd w:val="clear" w:color="auto" w:fill="auto"/>
            <w:noWrap/>
            <w:vAlign w:val="bottom"/>
            <w:hideMark/>
          </w:tcPr>
          <w:p w14:paraId="0F6A2E65" w14:textId="77777777" w:rsidR="007A18FA" w:rsidRPr="00A53AD7" w:rsidRDefault="007A18FA" w:rsidP="00125F64">
            <w:pPr>
              <w:spacing w:after="0" w:line="240" w:lineRule="auto"/>
              <w:ind w:left="-108" w:right="-140"/>
              <w:jc w:val="right"/>
              <w:rPr>
                <w:rFonts w:ascii="Times New Roman" w:eastAsia="Times New Roman" w:hAnsi="Times New Roman"/>
                <w:lang w:eastAsia="ru-RU"/>
              </w:rPr>
            </w:pPr>
            <w:r w:rsidRPr="00A53AD7">
              <w:rPr>
                <w:rFonts w:ascii="Times New Roman" w:eastAsia="Times New Roman" w:hAnsi="Times New Roman"/>
                <w:lang w:eastAsia="ru-RU"/>
              </w:rPr>
              <w:t>в 3,4 раза</w:t>
            </w:r>
          </w:p>
        </w:tc>
        <w:tc>
          <w:tcPr>
            <w:tcW w:w="960" w:type="dxa"/>
            <w:tcBorders>
              <w:top w:val="single" w:sz="6" w:space="0" w:color="auto"/>
              <w:bottom w:val="single" w:sz="6" w:space="0" w:color="auto"/>
            </w:tcBorders>
            <w:shd w:val="clear" w:color="auto" w:fill="auto"/>
            <w:noWrap/>
            <w:vAlign w:val="bottom"/>
            <w:hideMark/>
          </w:tcPr>
          <w:p w14:paraId="77828F63"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162A530A" w14:textId="77777777" w:rsidTr="00125F64">
        <w:trPr>
          <w:trHeight w:val="585"/>
        </w:trPr>
        <w:tc>
          <w:tcPr>
            <w:tcW w:w="3261" w:type="dxa"/>
            <w:shd w:val="clear" w:color="auto" w:fill="auto"/>
            <w:vAlign w:val="bottom"/>
            <w:hideMark/>
          </w:tcPr>
          <w:p w14:paraId="7DB92301"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Амбулаторно-поликлинические организации, посещений в смену </w:t>
            </w:r>
          </w:p>
        </w:tc>
        <w:tc>
          <w:tcPr>
            <w:tcW w:w="992" w:type="dxa"/>
            <w:shd w:val="clear" w:color="auto" w:fill="auto"/>
            <w:noWrap/>
            <w:vAlign w:val="bottom"/>
            <w:hideMark/>
          </w:tcPr>
          <w:p w14:paraId="4280E90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6678A18F"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84,0</w:t>
            </w:r>
          </w:p>
        </w:tc>
        <w:tc>
          <w:tcPr>
            <w:tcW w:w="1240" w:type="dxa"/>
            <w:tcBorders>
              <w:right w:val="double" w:sz="6" w:space="0" w:color="auto"/>
            </w:tcBorders>
            <w:shd w:val="clear" w:color="auto" w:fill="auto"/>
            <w:noWrap/>
            <w:vAlign w:val="bottom"/>
            <w:hideMark/>
          </w:tcPr>
          <w:p w14:paraId="3CDAD9FE" w14:textId="77777777" w:rsidR="007A18FA" w:rsidRPr="00A53AD7" w:rsidRDefault="007A18FA" w:rsidP="00125F64">
            <w:pPr>
              <w:spacing w:after="0" w:line="240" w:lineRule="auto"/>
              <w:ind w:left="-67" w:right="-43"/>
              <w:jc w:val="right"/>
              <w:rPr>
                <w:rFonts w:ascii="Times New Roman" w:eastAsia="Times New Roman" w:hAnsi="Times New Roman"/>
                <w:lang w:eastAsia="ru-RU"/>
              </w:rPr>
            </w:pPr>
            <w:r w:rsidRPr="00A53AD7">
              <w:rPr>
                <w:rFonts w:ascii="Times New Roman" w:eastAsia="Times New Roman" w:hAnsi="Times New Roman"/>
                <w:lang w:eastAsia="ru-RU"/>
              </w:rPr>
              <w:t>123,0</w:t>
            </w:r>
          </w:p>
        </w:tc>
        <w:tc>
          <w:tcPr>
            <w:tcW w:w="979" w:type="dxa"/>
            <w:tcBorders>
              <w:top w:val="single" w:sz="6" w:space="0" w:color="auto"/>
              <w:left w:val="double" w:sz="6" w:space="0" w:color="auto"/>
              <w:bottom w:val="single" w:sz="6" w:space="0" w:color="auto"/>
            </w:tcBorders>
            <w:shd w:val="clear" w:color="auto" w:fill="auto"/>
            <w:vAlign w:val="bottom"/>
            <w:hideMark/>
          </w:tcPr>
          <w:p w14:paraId="32E9C67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4D6F408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400B8CEE" w14:textId="77777777" w:rsidR="007A18FA" w:rsidRPr="00A53AD7" w:rsidRDefault="007A18FA" w:rsidP="00125F64">
            <w:pPr>
              <w:spacing w:after="0" w:line="240" w:lineRule="auto"/>
              <w:ind w:left="-76" w:right="-172"/>
              <w:rPr>
                <w:rFonts w:ascii="Times New Roman" w:eastAsia="Times New Roman" w:hAnsi="Times New Roman"/>
                <w:lang w:eastAsia="ru-RU"/>
              </w:rPr>
            </w:pPr>
            <w:r w:rsidRPr="00A53AD7">
              <w:rPr>
                <w:rFonts w:ascii="Times New Roman" w:eastAsia="Times New Roman" w:hAnsi="Times New Roman"/>
                <w:lang w:eastAsia="ru-RU"/>
              </w:rPr>
              <w:t>в 1,4 раза</w:t>
            </w:r>
          </w:p>
        </w:tc>
      </w:tr>
      <w:tr w:rsidR="00A53AD7" w:rsidRPr="00A53AD7" w14:paraId="157C6AA3" w14:textId="77777777" w:rsidTr="00125F64">
        <w:trPr>
          <w:trHeight w:val="364"/>
        </w:trPr>
        <w:tc>
          <w:tcPr>
            <w:tcW w:w="3261" w:type="dxa"/>
            <w:shd w:val="clear" w:color="auto" w:fill="auto"/>
            <w:vAlign w:val="bottom"/>
            <w:hideMark/>
          </w:tcPr>
          <w:p w14:paraId="70C07288"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i/>
                <w:iCs/>
                <w:u w:val="single"/>
                <w:lang w:eastAsia="ru-RU"/>
              </w:rPr>
              <w:t xml:space="preserve">в том числе: </w:t>
            </w:r>
            <w:r w:rsidRPr="00A53AD7">
              <w:rPr>
                <w:rFonts w:ascii="Times New Roman" w:eastAsia="Times New Roman" w:hAnsi="Times New Roman"/>
                <w:lang w:eastAsia="ru-RU"/>
              </w:rPr>
              <w:t xml:space="preserve">в сельской местности </w:t>
            </w:r>
          </w:p>
        </w:tc>
        <w:tc>
          <w:tcPr>
            <w:tcW w:w="992" w:type="dxa"/>
            <w:shd w:val="clear" w:color="auto" w:fill="auto"/>
            <w:noWrap/>
            <w:vAlign w:val="bottom"/>
            <w:hideMark/>
          </w:tcPr>
          <w:p w14:paraId="21F6CBB0"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13F0D13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84,0</w:t>
            </w:r>
          </w:p>
        </w:tc>
        <w:tc>
          <w:tcPr>
            <w:tcW w:w="1240" w:type="dxa"/>
            <w:tcBorders>
              <w:right w:val="double" w:sz="6" w:space="0" w:color="auto"/>
            </w:tcBorders>
            <w:shd w:val="clear" w:color="auto" w:fill="auto"/>
            <w:noWrap/>
            <w:vAlign w:val="bottom"/>
            <w:hideMark/>
          </w:tcPr>
          <w:p w14:paraId="18970040" w14:textId="77777777" w:rsidR="007A18FA" w:rsidRPr="00A53AD7" w:rsidRDefault="007A18FA" w:rsidP="00125F64">
            <w:pPr>
              <w:spacing w:after="0" w:line="240" w:lineRule="auto"/>
              <w:ind w:left="-67" w:right="-43"/>
              <w:jc w:val="right"/>
              <w:rPr>
                <w:rFonts w:ascii="Times New Roman" w:eastAsia="Times New Roman" w:hAnsi="Times New Roman"/>
                <w:lang w:eastAsia="ru-RU"/>
              </w:rPr>
            </w:pPr>
            <w:r w:rsidRPr="00A53AD7">
              <w:rPr>
                <w:rFonts w:ascii="Times New Roman" w:eastAsia="Times New Roman" w:hAnsi="Times New Roman"/>
                <w:lang w:eastAsia="ru-RU"/>
              </w:rPr>
              <w:t>23,0</w:t>
            </w:r>
          </w:p>
        </w:tc>
        <w:tc>
          <w:tcPr>
            <w:tcW w:w="979" w:type="dxa"/>
            <w:tcBorders>
              <w:top w:val="single" w:sz="6" w:space="0" w:color="auto"/>
              <w:left w:val="double" w:sz="6" w:space="0" w:color="auto"/>
              <w:bottom w:val="single" w:sz="6" w:space="0" w:color="auto"/>
            </w:tcBorders>
            <w:shd w:val="clear" w:color="auto" w:fill="auto"/>
            <w:vAlign w:val="bottom"/>
            <w:hideMark/>
          </w:tcPr>
          <w:p w14:paraId="73F165D9"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0EDD246E"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single" w:sz="6" w:space="0" w:color="auto"/>
            </w:tcBorders>
            <w:shd w:val="clear" w:color="auto" w:fill="auto"/>
            <w:noWrap/>
            <w:vAlign w:val="bottom"/>
            <w:hideMark/>
          </w:tcPr>
          <w:p w14:paraId="54CB475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-72,6 </w:t>
            </w:r>
          </w:p>
        </w:tc>
      </w:tr>
      <w:tr w:rsidR="00A53AD7" w:rsidRPr="00A53AD7" w14:paraId="77DE4B28" w14:textId="77777777" w:rsidTr="00125F64">
        <w:trPr>
          <w:trHeight w:val="116"/>
        </w:trPr>
        <w:tc>
          <w:tcPr>
            <w:tcW w:w="3261" w:type="dxa"/>
            <w:shd w:val="clear" w:color="auto" w:fill="auto"/>
            <w:vAlign w:val="bottom"/>
            <w:hideMark/>
          </w:tcPr>
          <w:p w14:paraId="6113B220"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Спортивные залы, кв.м.</w:t>
            </w:r>
          </w:p>
        </w:tc>
        <w:tc>
          <w:tcPr>
            <w:tcW w:w="992" w:type="dxa"/>
            <w:shd w:val="clear" w:color="auto" w:fill="auto"/>
            <w:noWrap/>
            <w:vAlign w:val="bottom"/>
            <w:hideMark/>
          </w:tcPr>
          <w:p w14:paraId="4BA55755"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742,0</w:t>
            </w:r>
          </w:p>
        </w:tc>
        <w:tc>
          <w:tcPr>
            <w:tcW w:w="992" w:type="dxa"/>
            <w:shd w:val="clear" w:color="auto" w:fill="auto"/>
            <w:noWrap/>
            <w:vAlign w:val="bottom"/>
            <w:hideMark/>
          </w:tcPr>
          <w:p w14:paraId="21142C53"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335,0</w:t>
            </w:r>
          </w:p>
        </w:tc>
        <w:tc>
          <w:tcPr>
            <w:tcW w:w="1240" w:type="dxa"/>
            <w:tcBorders>
              <w:right w:val="double" w:sz="6" w:space="0" w:color="auto"/>
            </w:tcBorders>
            <w:shd w:val="clear" w:color="auto" w:fill="auto"/>
            <w:noWrap/>
            <w:vAlign w:val="bottom"/>
            <w:hideMark/>
          </w:tcPr>
          <w:p w14:paraId="1DF53AD4" w14:textId="77777777" w:rsidR="007A18FA" w:rsidRPr="00A53AD7" w:rsidRDefault="007A18FA" w:rsidP="00125F64">
            <w:pPr>
              <w:spacing w:after="0" w:line="240" w:lineRule="auto"/>
              <w:ind w:left="-67" w:right="-43"/>
              <w:jc w:val="right"/>
              <w:rPr>
                <w:rFonts w:ascii="Times New Roman" w:eastAsia="Times New Roman" w:hAnsi="Times New Roman"/>
                <w:lang w:eastAsia="ru-RU"/>
              </w:rPr>
            </w:pPr>
            <w:r w:rsidRPr="00A53AD7">
              <w:rPr>
                <w:rFonts w:ascii="Times New Roman" w:eastAsia="Times New Roman" w:hAnsi="Times New Roman"/>
                <w:lang w:eastAsia="ru-RU"/>
              </w:rPr>
              <w:t>нет данных</w:t>
            </w:r>
          </w:p>
        </w:tc>
        <w:tc>
          <w:tcPr>
            <w:tcW w:w="979" w:type="dxa"/>
            <w:tcBorders>
              <w:top w:val="single" w:sz="6" w:space="0" w:color="auto"/>
              <w:left w:val="double" w:sz="6" w:space="0" w:color="auto"/>
              <w:bottom w:val="single" w:sz="6" w:space="0" w:color="auto"/>
            </w:tcBorders>
            <w:shd w:val="clear" w:color="auto" w:fill="auto"/>
            <w:noWrap/>
            <w:vAlign w:val="bottom"/>
            <w:hideMark/>
          </w:tcPr>
          <w:p w14:paraId="63DEA637"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252,4</w:t>
            </w:r>
          </w:p>
        </w:tc>
        <w:tc>
          <w:tcPr>
            <w:tcW w:w="960" w:type="dxa"/>
            <w:tcBorders>
              <w:top w:val="single" w:sz="6" w:space="0" w:color="auto"/>
              <w:bottom w:val="single" w:sz="6" w:space="0" w:color="auto"/>
            </w:tcBorders>
            <w:shd w:val="clear" w:color="auto" w:fill="auto"/>
            <w:noWrap/>
            <w:vAlign w:val="bottom"/>
            <w:hideMark/>
          </w:tcPr>
          <w:p w14:paraId="6F9B659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45,1</w:t>
            </w:r>
          </w:p>
        </w:tc>
        <w:tc>
          <w:tcPr>
            <w:tcW w:w="960" w:type="dxa"/>
            <w:tcBorders>
              <w:top w:val="single" w:sz="6" w:space="0" w:color="auto"/>
              <w:bottom w:val="single" w:sz="6" w:space="0" w:color="auto"/>
            </w:tcBorders>
            <w:shd w:val="clear" w:color="auto" w:fill="auto"/>
            <w:noWrap/>
            <w:vAlign w:val="bottom"/>
            <w:hideMark/>
          </w:tcPr>
          <w:p w14:paraId="37955B5A"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r w:rsidR="00A53AD7" w:rsidRPr="00A53AD7" w14:paraId="61367DBD" w14:textId="77777777" w:rsidTr="00125F64">
        <w:trPr>
          <w:trHeight w:val="502"/>
        </w:trPr>
        <w:tc>
          <w:tcPr>
            <w:tcW w:w="3261" w:type="dxa"/>
            <w:shd w:val="clear" w:color="auto" w:fill="auto"/>
            <w:vAlign w:val="bottom"/>
            <w:hideMark/>
          </w:tcPr>
          <w:p w14:paraId="25F637F7" w14:textId="77777777" w:rsidR="007A18FA" w:rsidRPr="00A53AD7" w:rsidRDefault="007A18FA" w:rsidP="00125F6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Организации культуры клубного типа, мест</w:t>
            </w:r>
          </w:p>
        </w:tc>
        <w:tc>
          <w:tcPr>
            <w:tcW w:w="992" w:type="dxa"/>
            <w:shd w:val="clear" w:color="auto" w:fill="auto"/>
            <w:noWrap/>
            <w:vAlign w:val="bottom"/>
            <w:hideMark/>
          </w:tcPr>
          <w:p w14:paraId="71CDD113"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92" w:type="dxa"/>
            <w:shd w:val="clear" w:color="auto" w:fill="auto"/>
            <w:noWrap/>
            <w:vAlign w:val="bottom"/>
            <w:hideMark/>
          </w:tcPr>
          <w:p w14:paraId="7FDAB7A4"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321,0</w:t>
            </w:r>
          </w:p>
        </w:tc>
        <w:tc>
          <w:tcPr>
            <w:tcW w:w="1240" w:type="dxa"/>
            <w:tcBorders>
              <w:right w:val="double" w:sz="6" w:space="0" w:color="auto"/>
            </w:tcBorders>
            <w:shd w:val="clear" w:color="auto" w:fill="auto"/>
            <w:noWrap/>
            <w:vAlign w:val="bottom"/>
            <w:hideMark/>
          </w:tcPr>
          <w:p w14:paraId="04C40498" w14:textId="77777777" w:rsidR="007A18FA" w:rsidRPr="00A53AD7" w:rsidRDefault="007A18FA" w:rsidP="00125F64">
            <w:pPr>
              <w:spacing w:after="0" w:line="240" w:lineRule="auto"/>
              <w:ind w:left="-67" w:right="-43"/>
              <w:jc w:val="right"/>
              <w:rPr>
                <w:rFonts w:ascii="Times New Roman" w:eastAsia="Times New Roman" w:hAnsi="Times New Roman"/>
                <w:lang w:eastAsia="ru-RU"/>
              </w:rPr>
            </w:pPr>
            <w:r w:rsidRPr="00A53AD7">
              <w:rPr>
                <w:rFonts w:ascii="Times New Roman" w:eastAsia="Times New Roman" w:hAnsi="Times New Roman"/>
                <w:lang w:eastAsia="ru-RU"/>
              </w:rPr>
              <w:t>142,0</w:t>
            </w:r>
          </w:p>
        </w:tc>
        <w:tc>
          <w:tcPr>
            <w:tcW w:w="979" w:type="dxa"/>
            <w:tcBorders>
              <w:top w:val="single" w:sz="6" w:space="0" w:color="auto"/>
              <w:left w:val="double" w:sz="6" w:space="0" w:color="auto"/>
              <w:bottom w:val="double" w:sz="6" w:space="0" w:color="auto"/>
            </w:tcBorders>
            <w:shd w:val="clear" w:color="auto" w:fill="auto"/>
            <w:noWrap/>
            <w:vAlign w:val="bottom"/>
            <w:hideMark/>
          </w:tcPr>
          <w:p w14:paraId="6EF0F1FD"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double" w:sz="6" w:space="0" w:color="auto"/>
            </w:tcBorders>
            <w:shd w:val="clear" w:color="auto" w:fill="auto"/>
            <w:noWrap/>
            <w:vAlign w:val="bottom"/>
            <w:hideMark/>
          </w:tcPr>
          <w:p w14:paraId="2C806EA6"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p>
        </w:tc>
        <w:tc>
          <w:tcPr>
            <w:tcW w:w="960" w:type="dxa"/>
            <w:tcBorders>
              <w:top w:val="single" w:sz="6" w:space="0" w:color="auto"/>
              <w:bottom w:val="double" w:sz="6" w:space="0" w:color="auto"/>
            </w:tcBorders>
            <w:shd w:val="clear" w:color="auto" w:fill="auto"/>
            <w:noWrap/>
            <w:vAlign w:val="bottom"/>
            <w:hideMark/>
          </w:tcPr>
          <w:p w14:paraId="562193F8" w14:textId="77777777" w:rsidR="007A18FA" w:rsidRPr="00A53AD7" w:rsidRDefault="007A18FA" w:rsidP="00125F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-55,8 </w:t>
            </w:r>
          </w:p>
        </w:tc>
      </w:tr>
    </w:tbl>
    <w:p w14:paraId="68DBC815" w14:textId="77777777" w:rsidR="007A18FA" w:rsidRPr="00A53AD7" w:rsidRDefault="007A18FA" w:rsidP="009356CF">
      <w:pPr>
        <w:pStyle w:val="ad"/>
        <w:ind w:firstLine="851"/>
        <w:jc w:val="both"/>
        <w:rPr>
          <w:rFonts w:ascii="Times New Roman" w:hAnsi="Times New Roman"/>
          <w:sz w:val="28"/>
          <w:szCs w:val="28"/>
        </w:rPr>
      </w:pPr>
    </w:p>
    <w:p w14:paraId="67CDF70A" w14:textId="77777777" w:rsidR="007814F5" w:rsidRPr="00A53AD7" w:rsidRDefault="007814F5" w:rsidP="007814F5">
      <w:pPr>
        <w:pStyle w:val="ad"/>
        <w:ind w:firstLine="851"/>
        <w:jc w:val="both"/>
        <w:rPr>
          <w:rFonts w:ascii="Times New Roman" w:hAnsi="Times New Roman"/>
          <w:sz w:val="28"/>
          <w:szCs w:val="28"/>
        </w:rPr>
      </w:pPr>
      <w:r w:rsidRPr="00A53AD7">
        <w:rPr>
          <w:rFonts w:ascii="Times New Roman" w:hAnsi="Times New Roman"/>
          <w:sz w:val="28"/>
          <w:szCs w:val="28"/>
        </w:rPr>
        <w:t>Как и в прошлом году в 2019 году продолжено строительство и ввод в действие объектов социально-культурного значения: общеобразовательные организации на 240 ученических мест, дошкольные организации на 525 мест, больничные организации на 15 коек, амбулаторно-поликлинические организации на 123 посещения в смену; газовые сети, канализация и другие объекты.</w:t>
      </w:r>
    </w:p>
    <w:p w14:paraId="46449887" w14:textId="77777777" w:rsidR="00DB2C0F" w:rsidRPr="00A53AD7" w:rsidRDefault="00DB2C0F" w:rsidP="00DB2C0F">
      <w:pPr>
        <w:pStyle w:val="afff"/>
        <w:ind w:firstLine="851"/>
        <w:jc w:val="both"/>
        <w:rPr>
          <w:rFonts w:ascii="Times New Roman" w:hAnsi="Times New Roman"/>
          <w:sz w:val="28"/>
          <w:szCs w:val="28"/>
        </w:rPr>
      </w:pPr>
      <w:bookmarkStart w:id="15" w:name="_Toc451785028"/>
      <w:bookmarkStart w:id="16" w:name="_Toc515024203"/>
      <w:bookmarkStart w:id="17" w:name="_Toc9262555"/>
      <w:r w:rsidRPr="00A53AD7">
        <w:rPr>
          <w:rFonts w:ascii="Times New Roman" w:hAnsi="Times New Roman"/>
          <w:sz w:val="28"/>
          <w:szCs w:val="28"/>
        </w:rPr>
        <w:t>В рамках областной адресной инвестиционной программы в 2019 году осуществлялась реализация 96 объектов и мероприятий, общий объем финансирования по которой за счет всех источников составил свыше 10,4 млрд рублей.</w:t>
      </w:r>
      <w:r w:rsidRPr="00A53AD7">
        <w:rPr>
          <w:rStyle w:val="afff1"/>
          <w:rFonts w:ascii="Times New Roman" w:hAnsi="Times New Roman"/>
          <w:sz w:val="28"/>
          <w:szCs w:val="28"/>
        </w:rPr>
        <w:t xml:space="preserve"> </w:t>
      </w:r>
      <w:r w:rsidRPr="00A53AD7">
        <w:rPr>
          <w:rStyle w:val="afff1"/>
          <w:rFonts w:ascii="Times New Roman" w:hAnsi="Times New Roman"/>
          <w:sz w:val="28"/>
          <w:szCs w:val="28"/>
        </w:rPr>
        <w:footnoteReference w:id="9"/>
      </w:r>
    </w:p>
    <w:p w14:paraId="0881A1D9" w14:textId="77777777" w:rsidR="003B5BDA" w:rsidRPr="00A53AD7" w:rsidRDefault="003B5BDA" w:rsidP="003B5BDA">
      <w:pPr>
        <w:pStyle w:val="2"/>
        <w:spacing w:before="120" w:after="0" w:line="240" w:lineRule="auto"/>
        <w:jc w:val="center"/>
        <w:rPr>
          <w:rFonts w:ascii="Times New Roman" w:hAnsi="Times New Roman"/>
          <w:lang w:val="ru-RU"/>
        </w:rPr>
      </w:pPr>
      <w:bookmarkStart w:id="18" w:name="_Toc42006705"/>
      <w:r w:rsidRPr="00A53AD7">
        <w:rPr>
          <w:rFonts w:ascii="Times New Roman" w:hAnsi="Times New Roman"/>
          <w:lang w:val="ru-RU"/>
        </w:rPr>
        <w:t>1.4. Производство сельскохозяйственной продукции</w:t>
      </w:r>
      <w:bookmarkEnd w:id="15"/>
      <w:bookmarkEnd w:id="16"/>
      <w:bookmarkEnd w:id="17"/>
      <w:bookmarkEnd w:id="18"/>
    </w:p>
    <w:p w14:paraId="702AC3C4"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целом среднероссийский показатель в части объема производства продукции сельского хозяйства (по предварительным данным) составил 104,0 % к уровню 2018 года. В отчетном году во всех регионах СЗФО объем производства продукции сельского хозяйства по предварительным статистическим данным неоднозначен, в отдельных областях установлен рост к показателям 2018 года, а по ряду областей снижение.</w:t>
      </w:r>
    </w:p>
    <w:p w14:paraId="33A5306A" w14:textId="1A399C0A"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Вологодской области объем производства продукции сельского хозяйства в сопоставимых ценах составил 32 511,4 млн.руб. или 108,5 % к </w:t>
      </w:r>
      <w:r w:rsidRPr="00A53AD7">
        <w:rPr>
          <w:rFonts w:ascii="Times New Roman" w:hAnsi="Times New Roman"/>
          <w:sz w:val="28"/>
          <w:szCs w:val="28"/>
        </w:rPr>
        <w:lastRenderedPageBreak/>
        <w:t>уровню прошлого года, в Калининградской области – 41 142,2 млн.руб. или 114,0 %, Ленинградская область – 103 022,0 млн.руб. или 101,6</w:t>
      </w:r>
      <w:r w:rsidR="00AD6C54" w:rsidRPr="00A53AD7">
        <w:rPr>
          <w:rFonts w:ascii="Times New Roman" w:hAnsi="Times New Roman"/>
          <w:sz w:val="28"/>
          <w:szCs w:val="28"/>
        </w:rPr>
        <w:t xml:space="preserve"> %</w:t>
      </w:r>
      <w:r w:rsidRPr="00A53AD7">
        <w:rPr>
          <w:rFonts w:ascii="Times New Roman" w:hAnsi="Times New Roman"/>
          <w:sz w:val="28"/>
          <w:szCs w:val="28"/>
        </w:rPr>
        <w:t>.</w:t>
      </w:r>
    </w:p>
    <w:p w14:paraId="633F0FDF" w14:textId="0B0C798C"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Лидером по СЗФО по наращиванию объемов производства продукции сельского хозяйства, как и в прошлом году, остается Псковская область, где объем производства продукции составил 42 364,4 млн.руб. или 118,7 % к уровню 2018 года (в сопоставимых ценах.</w:t>
      </w:r>
    </w:p>
    <w:p w14:paraId="0550D527"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Снижение объемов производства сельского хозяйства установлено в Республике Карелия (–6,8%), Республике Коми (–3,7%), Архангельской области (–3,6%), Мурманской области (–4,2%), Новгородской области (–0,6%).</w:t>
      </w:r>
    </w:p>
    <w:p w14:paraId="090DE54E" w14:textId="460D599C" w:rsidR="003B5BDA" w:rsidRPr="00A53AD7" w:rsidRDefault="003B5BDA" w:rsidP="00AD6C54">
      <w:pPr>
        <w:pStyle w:val="ad"/>
        <w:ind w:firstLine="851"/>
        <w:jc w:val="both"/>
        <w:rPr>
          <w:rFonts w:ascii="Times New Roman" w:hAnsi="Times New Roman"/>
          <w:sz w:val="28"/>
          <w:szCs w:val="28"/>
        </w:rPr>
      </w:pPr>
      <w:r w:rsidRPr="00A53AD7">
        <w:rPr>
          <w:rFonts w:ascii="Times New Roman" w:hAnsi="Times New Roman"/>
          <w:sz w:val="28"/>
          <w:szCs w:val="28"/>
        </w:rPr>
        <w:t xml:space="preserve">В отчетном году в целом установлена отрицательная динамика объема производства продукции сельского хозяйства Архангельской области (без НАО) в хозяйствах всех категорий и отмечается скачкообразность объема производства продукции сельского хозяйства по ряду лет, что представлено на рисунке </w:t>
      </w:r>
      <w:r w:rsidR="00DE2A72" w:rsidRPr="00A53AD7">
        <w:rPr>
          <w:rFonts w:ascii="Times New Roman" w:hAnsi="Times New Roman"/>
          <w:sz w:val="28"/>
          <w:szCs w:val="28"/>
        </w:rPr>
        <w:t>6</w:t>
      </w:r>
      <w:r w:rsidRPr="00A53AD7">
        <w:rPr>
          <w:rFonts w:ascii="Times New Roman" w:hAnsi="Times New Roman"/>
          <w:sz w:val="28"/>
          <w:szCs w:val="28"/>
        </w:rPr>
        <w:t>.</w:t>
      </w:r>
    </w:p>
    <w:p w14:paraId="691C0F06" w14:textId="2E198917" w:rsidR="003B5BDA" w:rsidRPr="00A53AD7" w:rsidRDefault="00C57B18" w:rsidP="00C57B18">
      <w:pPr>
        <w:pStyle w:val="ad"/>
        <w:jc w:val="center"/>
        <w:rPr>
          <w:rFonts w:ascii="Times New Roman" w:hAnsi="Times New Roman"/>
          <w:sz w:val="24"/>
          <w:szCs w:val="24"/>
        </w:rPr>
      </w:pPr>
      <w:r w:rsidRPr="00A53AD7">
        <w:rPr>
          <w:rFonts w:ascii="Times New Roman" w:hAnsi="Times New Roman"/>
          <w:noProof/>
          <w:sz w:val="28"/>
          <w:szCs w:val="28"/>
          <w:lang w:eastAsia="ru-RU"/>
        </w:rPr>
        <w:drawing>
          <wp:inline distT="0" distB="0" distL="0" distR="0" wp14:anchorId="24AD128C" wp14:editId="1EAD3A83">
            <wp:extent cx="3745108" cy="2237063"/>
            <wp:effectExtent l="0" t="0" r="825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61129" cy="2246633"/>
                    </a:xfrm>
                    <a:prstGeom prst="rect">
                      <a:avLst/>
                    </a:prstGeom>
                    <a:noFill/>
                  </pic:spPr>
                </pic:pic>
              </a:graphicData>
            </a:graphic>
          </wp:inline>
        </w:drawing>
      </w:r>
    </w:p>
    <w:p w14:paraId="28407EB6" w14:textId="77777777" w:rsidR="00C57B18" w:rsidRPr="00A53AD7" w:rsidRDefault="00C57B18" w:rsidP="00C57B18">
      <w:pPr>
        <w:spacing w:after="0" w:line="240" w:lineRule="auto"/>
        <w:rPr>
          <w:rFonts w:ascii="Times New Roman" w:hAnsi="Times New Roman"/>
          <w:sz w:val="28"/>
          <w:szCs w:val="28"/>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6</w:t>
      </w:r>
      <w:r w:rsidRPr="00A53AD7">
        <w:rPr>
          <w:rFonts w:ascii="Times New Roman" w:hAnsi="Times New Roman"/>
          <w:sz w:val="24"/>
          <w:szCs w:val="24"/>
        </w:rPr>
        <w:fldChar w:fldCharType="end"/>
      </w:r>
      <w:r w:rsidRPr="00A53AD7">
        <w:rPr>
          <w:rFonts w:ascii="Times New Roman" w:hAnsi="Times New Roman"/>
          <w:sz w:val="24"/>
          <w:szCs w:val="24"/>
        </w:rPr>
        <w:t>. Динамика объема производства продукции сельского хозяйства в хозяйствах всех категорий (без НАО) в 2014 – 2019 годах</w:t>
      </w:r>
    </w:p>
    <w:p w14:paraId="10019868" w14:textId="77777777" w:rsidR="00C57B18" w:rsidRPr="00A53AD7" w:rsidRDefault="00C57B18" w:rsidP="003B5BDA">
      <w:pPr>
        <w:pStyle w:val="ad"/>
        <w:ind w:firstLine="851"/>
        <w:jc w:val="both"/>
        <w:rPr>
          <w:rFonts w:ascii="Times New Roman" w:hAnsi="Times New Roman"/>
          <w:sz w:val="28"/>
          <w:szCs w:val="28"/>
          <w:highlight w:val="cyan"/>
        </w:rPr>
      </w:pPr>
    </w:p>
    <w:p w14:paraId="7479521C" w14:textId="4D49D70C" w:rsidR="003B5BDA" w:rsidRPr="00A53AD7" w:rsidRDefault="00C57B18" w:rsidP="003B5BDA">
      <w:pPr>
        <w:pStyle w:val="ad"/>
        <w:ind w:firstLine="851"/>
        <w:jc w:val="both"/>
        <w:rPr>
          <w:rFonts w:ascii="Times New Roman" w:hAnsi="Times New Roman"/>
          <w:sz w:val="28"/>
          <w:szCs w:val="28"/>
        </w:rPr>
      </w:pPr>
      <w:r w:rsidRPr="00A53AD7">
        <w:rPr>
          <w:rFonts w:ascii="Times New Roman" w:hAnsi="Times New Roman"/>
          <w:sz w:val="28"/>
          <w:szCs w:val="28"/>
        </w:rPr>
        <w:t>С</w:t>
      </w:r>
      <w:r w:rsidR="003B5BDA" w:rsidRPr="00A53AD7">
        <w:rPr>
          <w:rFonts w:ascii="Times New Roman" w:hAnsi="Times New Roman"/>
          <w:sz w:val="28"/>
          <w:szCs w:val="28"/>
        </w:rPr>
        <w:t>огласно предварительным статистическим данным индекс производства продукции сельского хозяйства в хозяйствах всех категорий (без НАО) снизился по сравнению с 2018 годом на 3,6% (в сопоставимых ценах) и в отчетном 2019 году объем производства составил 10 027,9 млн.руб., что обусловлено сокращением производства сельскохозяйственной продукции в хозяйствах населения, крестьянских (фермерских) хозяйствах и индивидуальных предпринимателей, а также сложившимися неблагоприятными погодными условиями. По Оценке на 2019 год индекс производства прогнозировался на уровне 98,1 % к 2018 году.</w:t>
      </w:r>
    </w:p>
    <w:p w14:paraId="6D5002D1"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предварительным статистическим данным на 01.01.2020 установлено </w:t>
      </w:r>
      <w:r w:rsidRPr="00A53AD7">
        <w:rPr>
          <w:rFonts w:ascii="Times New Roman" w:hAnsi="Times New Roman"/>
          <w:i/>
          <w:sz w:val="28"/>
          <w:szCs w:val="28"/>
        </w:rPr>
        <w:t xml:space="preserve">снижение поголовья скота </w:t>
      </w:r>
      <w:r w:rsidRPr="00A53AD7">
        <w:rPr>
          <w:rFonts w:ascii="Times New Roman" w:hAnsi="Times New Roman"/>
          <w:sz w:val="28"/>
          <w:szCs w:val="28"/>
        </w:rPr>
        <w:t>в хозяйствах всех категорий Архангельской области:</w:t>
      </w:r>
    </w:p>
    <w:p w14:paraId="380C5F7E" w14:textId="77777777" w:rsidR="007873BE" w:rsidRPr="00A53AD7" w:rsidRDefault="007873BE" w:rsidP="007873BE">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 xml:space="preserve">крупный рогатый скот – 41,6 тыс.голов или 98,2 % к поголовью на 01.01.2019 (42,4 тыс.голов), из них коров – 19,5 тыс.голов или 99,0 % к поголовью на 01.01.2019. Среди регионов СЗФО по поголовью крупного </w:t>
      </w:r>
      <w:r w:rsidRPr="00A53AD7">
        <w:rPr>
          <w:rFonts w:ascii="Times New Roman" w:hAnsi="Times New Roman"/>
          <w:sz w:val="28"/>
          <w:szCs w:val="28"/>
        </w:rPr>
        <w:lastRenderedPageBreak/>
        <w:t>рогатого скота лидируют: Ленинградская область (176,3 тыс.голов), Вологодская (165,3 тыс.голов), Калининградская (153,9 тыс.голов);</w:t>
      </w:r>
    </w:p>
    <w:p w14:paraId="19666359" w14:textId="77777777" w:rsidR="00FF75D8" w:rsidRPr="00A53AD7" w:rsidRDefault="00FF75D8" w:rsidP="00FF75D8">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свиньи – 7,1 тыс.голов или 96,0 % к поголовью на 01.01.2019 (7,4 тыс.голов). По СЗФО лидеры: Псковская область – 1 289,5 тыс.голов (111,8 %), Калининградская область 278,6 тыс.голов (136,3%);</w:t>
      </w:r>
    </w:p>
    <w:p w14:paraId="07FE0216" w14:textId="77777777" w:rsidR="00FF75D8" w:rsidRPr="00A53AD7" w:rsidRDefault="00FF75D8" w:rsidP="00FF75D8">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птица – 372,5 тыс.голов или 121,8 % к поголовью на 01.01.2019 (305,9 тыс.голов);</w:t>
      </w:r>
    </w:p>
    <w:p w14:paraId="36A2B4AC" w14:textId="77777777" w:rsidR="00FF75D8" w:rsidRPr="00A53AD7" w:rsidRDefault="00FF75D8" w:rsidP="00FF75D8">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овцы и козы – 6,0 тыс.голов или 91,0 % к поголовью на 01.01.2019 (6,6 тыс.голов).</w:t>
      </w:r>
    </w:p>
    <w:p w14:paraId="1346BB69"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разрезе </w:t>
      </w:r>
      <w:r w:rsidRPr="00A53AD7">
        <w:rPr>
          <w:rFonts w:ascii="Times New Roman" w:hAnsi="Times New Roman"/>
          <w:i/>
          <w:sz w:val="28"/>
          <w:szCs w:val="28"/>
        </w:rPr>
        <w:t>производства основных видов</w:t>
      </w:r>
      <w:r w:rsidRPr="00A53AD7">
        <w:rPr>
          <w:rFonts w:ascii="Times New Roman" w:hAnsi="Times New Roman"/>
          <w:sz w:val="28"/>
          <w:szCs w:val="28"/>
        </w:rPr>
        <w:t xml:space="preserve"> сельскохозяйственной продукции всех категорий хозяйств в Архангельской области установлено увеличение производства молока и яиц:</w:t>
      </w:r>
    </w:p>
    <w:p w14:paraId="1B906C43"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молоко – 126,0 тыс.тонн или 100,6 % к уровню 2018 года.</w:t>
      </w:r>
    </w:p>
    <w:p w14:paraId="0E95F3E6"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Лидеры по наращиванию производства молока в СЗФО: Ленинградская область – 636,6 тыс.тонн (102,0 %), Вологодская область – 559,7 тыс.тонн (105,2 %), Калининградская область – 184,4 тыс.тонн (104,1 %). </w:t>
      </w:r>
    </w:p>
    <w:p w14:paraId="29BA82D1"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яйца – 56,4 млн.штук или 119,5 % к уровню 2018 года;</w:t>
      </w:r>
    </w:p>
    <w:p w14:paraId="7339519B"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скот и птица (в живом весе) – 7,3 тыс.тонн или 88,5 % к уровню 2018 года.</w:t>
      </w:r>
    </w:p>
    <w:p w14:paraId="50736FC3" w14:textId="1DE681D5" w:rsidR="00C77C42" w:rsidRPr="00A53AD7" w:rsidRDefault="00C77C42" w:rsidP="00C77C42">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статистическим данным </w:t>
      </w:r>
      <w:r w:rsidRPr="00A53AD7">
        <w:rPr>
          <w:rFonts w:ascii="Times New Roman" w:hAnsi="Times New Roman"/>
          <w:i/>
          <w:sz w:val="28"/>
          <w:szCs w:val="28"/>
          <w:u w:val="single"/>
        </w:rPr>
        <w:t>продуктивность скота и птицы</w:t>
      </w:r>
      <w:r w:rsidRPr="00A53AD7">
        <w:rPr>
          <w:rFonts w:ascii="Times New Roman" w:hAnsi="Times New Roman"/>
          <w:i/>
          <w:sz w:val="28"/>
          <w:szCs w:val="28"/>
        </w:rPr>
        <w:t xml:space="preserve"> в</w:t>
      </w:r>
      <w:r w:rsidRPr="00A53AD7">
        <w:rPr>
          <w:rFonts w:ascii="Times New Roman" w:hAnsi="Times New Roman"/>
          <w:sz w:val="28"/>
          <w:szCs w:val="28"/>
        </w:rPr>
        <w:t xml:space="preserve"> сельскохозяйственных организациях Архангельской области в 2019 году (без микропредприятий, без субъектов малого предпринимательства), в части таких показателей, как: </w:t>
      </w:r>
      <w:r w:rsidRPr="00A53AD7">
        <w:rPr>
          <w:rFonts w:ascii="Times New Roman" w:hAnsi="Times New Roman"/>
          <w:i/>
          <w:sz w:val="28"/>
          <w:szCs w:val="28"/>
        </w:rPr>
        <w:t>надой молока на 1 корову</w:t>
      </w:r>
      <w:r w:rsidRPr="00A53AD7">
        <w:rPr>
          <w:rFonts w:ascii="Times New Roman" w:hAnsi="Times New Roman"/>
          <w:sz w:val="28"/>
          <w:szCs w:val="28"/>
        </w:rPr>
        <w:t xml:space="preserve">, </w:t>
      </w:r>
      <w:r w:rsidRPr="00A53AD7">
        <w:rPr>
          <w:rFonts w:ascii="Times New Roman" w:hAnsi="Times New Roman"/>
          <w:i/>
          <w:sz w:val="28"/>
          <w:szCs w:val="28"/>
        </w:rPr>
        <w:t>кг</w:t>
      </w:r>
      <w:r w:rsidRPr="00A53AD7">
        <w:rPr>
          <w:rFonts w:ascii="Times New Roman" w:hAnsi="Times New Roman"/>
          <w:sz w:val="28"/>
          <w:szCs w:val="28"/>
        </w:rPr>
        <w:t xml:space="preserve"> составляет – 7 224,0 кг или 101,8 % к показателю 2018 года (в 2018 году – 103,7 % к показателю 2017 года); </w:t>
      </w:r>
      <w:r w:rsidRPr="00A53AD7">
        <w:rPr>
          <w:rFonts w:ascii="Times New Roman" w:hAnsi="Times New Roman"/>
          <w:i/>
          <w:sz w:val="28"/>
          <w:szCs w:val="28"/>
        </w:rPr>
        <w:t>яйценоскость кур-несушек, штук</w:t>
      </w:r>
      <w:r w:rsidRPr="00A53AD7">
        <w:rPr>
          <w:rFonts w:ascii="Times New Roman" w:hAnsi="Times New Roman"/>
          <w:sz w:val="28"/>
          <w:szCs w:val="28"/>
        </w:rPr>
        <w:t xml:space="preserve"> – 95,2 % к показателю 2018 года; (в 2018 году – 117,1 % к показателю 2017 года</w:t>
      </w:r>
      <w:r w:rsidRPr="00A53AD7">
        <w:rPr>
          <w:rStyle w:val="afff1"/>
          <w:rFonts w:ascii="Times New Roman" w:hAnsi="Times New Roman"/>
          <w:sz w:val="28"/>
          <w:szCs w:val="28"/>
        </w:rPr>
        <w:footnoteReference w:id="10"/>
      </w:r>
      <w:r w:rsidRPr="00A53AD7">
        <w:rPr>
          <w:rFonts w:ascii="Times New Roman" w:hAnsi="Times New Roman"/>
          <w:sz w:val="28"/>
          <w:szCs w:val="28"/>
        </w:rPr>
        <w:t xml:space="preserve">. </w:t>
      </w:r>
    </w:p>
    <w:p w14:paraId="17F93070" w14:textId="77777777" w:rsidR="003C194B" w:rsidRPr="00A53AD7" w:rsidRDefault="003C194B" w:rsidP="003C194B">
      <w:pPr>
        <w:pStyle w:val="ad"/>
        <w:ind w:firstLine="851"/>
        <w:jc w:val="both"/>
        <w:rPr>
          <w:rFonts w:ascii="Times New Roman" w:hAnsi="Times New Roman"/>
          <w:sz w:val="28"/>
          <w:szCs w:val="28"/>
        </w:rPr>
      </w:pPr>
      <w:r w:rsidRPr="00A53AD7">
        <w:rPr>
          <w:rFonts w:ascii="Times New Roman" w:hAnsi="Times New Roman"/>
          <w:sz w:val="28"/>
          <w:szCs w:val="28"/>
        </w:rPr>
        <w:t xml:space="preserve">По предварительным статистическим данным валовые </w:t>
      </w:r>
      <w:r w:rsidRPr="00A53AD7">
        <w:rPr>
          <w:rFonts w:ascii="Times New Roman" w:hAnsi="Times New Roman"/>
          <w:sz w:val="28"/>
          <w:szCs w:val="28"/>
          <w:u w:val="single"/>
        </w:rPr>
        <w:t>сборы и урожайность сельскохозяйственных культур</w:t>
      </w:r>
      <w:r w:rsidRPr="00A53AD7">
        <w:rPr>
          <w:rFonts w:ascii="Times New Roman" w:hAnsi="Times New Roman"/>
          <w:sz w:val="28"/>
          <w:szCs w:val="28"/>
        </w:rPr>
        <w:t xml:space="preserve"> в хозяйствах всех категорий в 2019 году снизились по всем показателям в виду гибели сельскохозяйственных культур в результате опасного агрометеорологического явления – «переувлажнение почвы» (режим ЧС) и составляют:</w:t>
      </w:r>
    </w:p>
    <w:p w14:paraId="072BF1D5" w14:textId="3160DC23"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зерна (в весе после доработки) – 1,2 тыс.тонн (в 2018 году – 2,0 тыс.тонн, в 2017 году – 1,6 тыс.тонн), что обусловлено сокращением посевных площадей в хозяйствах населения, урожайности 17,6 ц с 1 га (в 2018 году – 18,7 ц с 1 га, в 2017 году – 19,5 ц с 1 га), что составляет 59,2% к сбору 2018 года и 94,0 % к урожайности 2018 года</w:t>
      </w:r>
      <w:r w:rsidR="00DF17D6" w:rsidRPr="00A53AD7">
        <w:rPr>
          <w:rFonts w:ascii="Times New Roman" w:hAnsi="Times New Roman"/>
          <w:sz w:val="28"/>
          <w:szCs w:val="28"/>
        </w:rPr>
        <w:t>.</w:t>
      </w:r>
      <w:r w:rsidRPr="00A53AD7">
        <w:rPr>
          <w:rFonts w:ascii="Times New Roman" w:hAnsi="Times New Roman"/>
          <w:sz w:val="28"/>
          <w:szCs w:val="28"/>
        </w:rPr>
        <w:t xml:space="preserve"> </w:t>
      </w:r>
      <w:r w:rsidR="00DF17D6" w:rsidRPr="00A53AD7">
        <w:rPr>
          <w:rFonts w:ascii="Times New Roman" w:hAnsi="Times New Roman"/>
          <w:sz w:val="28"/>
          <w:szCs w:val="28"/>
        </w:rPr>
        <w:t>В</w:t>
      </w:r>
      <w:r w:rsidRPr="00A53AD7">
        <w:rPr>
          <w:rFonts w:ascii="Times New Roman" w:hAnsi="Times New Roman"/>
          <w:sz w:val="28"/>
          <w:szCs w:val="28"/>
        </w:rPr>
        <w:t xml:space="preserve"> 2018 году установлен рост по всем показателям: 127,2 % к сбору 2017 года и 95,7 % к урожайности 2017 года;</w:t>
      </w:r>
    </w:p>
    <w:p w14:paraId="3BE93B37" w14:textId="01B14FF3"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картофеля – 80,3 тыс.тонн, (в 2018 году – 91,1 тыс.тонн, в 2017 году – 80,2 тыс.тонн) и урожайности 135,4 ц с 1 га, (в 2018 году – 148,7 ц с 1 га, в 2017 году – 93,4 ц с 1 га), что составляет 88,2 % к сбору 2018 года и 95,5</w:t>
      </w:r>
      <w:r w:rsidR="00DF17D6" w:rsidRPr="00A53AD7">
        <w:rPr>
          <w:rFonts w:ascii="Times New Roman" w:hAnsi="Times New Roman"/>
          <w:sz w:val="28"/>
          <w:szCs w:val="28"/>
        </w:rPr>
        <w:t> </w:t>
      </w:r>
      <w:r w:rsidRPr="00A53AD7">
        <w:rPr>
          <w:rFonts w:ascii="Times New Roman" w:hAnsi="Times New Roman"/>
          <w:sz w:val="28"/>
          <w:szCs w:val="28"/>
        </w:rPr>
        <w:t>% к урожайности 2018 года;</w:t>
      </w:r>
    </w:p>
    <w:p w14:paraId="7D9187B7" w14:textId="725D55CB"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lastRenderedPageBreak/>
        <w:t>овощей – 25,5 тыс.тонн (в 2018 году – 26,4 тыс.тонн, в 2017 году – 24,4 тыс.тонн) и урожайности 223,3 ц с 1 га (в 2018 году – 225,6 ц с 1 га, в 2017 году – 211,4 ц с 1 га), что составляет 96,6 % к сбору 2018 года и 99,9 % к урожайности ц с 1 га 2018 года.</w:t>
      </w:r>
    </w:p>
    <w:p w14:paraId="17F094C8" w14:textId="77777777" w:rsidR="00C77C42" w:rsidRPr="00A53AD7" w:rsidRDefault="00C77C42" w:rsidP="00C77C42">
      <w:pPr>
        <w:pStyle w:val="ad"/>
        <w:ind w:firstLine="851"/>
        <w:jc w:val="both"/>
        <w:rPr>
          <w:rFonts w:ascii="Times New Roman" w:hAnsi="Times New Roman"/>
          <w:sz w:val="28"/>
          <w:szCs w:val="28"/>
        </w:rPr>
      </w:pPr>
      <w:r w:rsidRPr="00A53AD7">
        <w:rPr>
          <w:rFonts w:ascii="Times New Roman" w:hAnsi="Times New Roman"/>
          <w:sz w:val="28"/>
          <w:szCs w:val="28"/>
        </w:rPr>
        <w:t>В регионе в 2019 году отмечен рост индексов цен производителей сельскохозяйственной продукции в целом на 4,2 % (декабрь 2019 года к декабрю 2018 года). В 2018 году снижение составило 2,2 % (декабрь 2018 года к декабрю 2017 года), в 2017 году снижение составило 1,9 % (декабрь 2017 года к декабрю 2016 года).</w:t>
      </w:r>
    </w:p>
    <w:p w14:paraId="399B6898" w14:textId="52ADFF2A"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отдельным видам сельскохозяйственной продукции индекс цен производителей в 2019 году (декабрь 2019 года к декабрю 2018 года) состав</w:t>
      </w:r>
      <w:r w:rsidR="00865F8B" w:rsidRPr="00A53AD7">
        <w:rPr>
          <w:rFonts w:ascii="Times New Roman" w:hAnsi="Times New Roman"/>
          <w:sz w:val="28"/>
          <w:szCs w:val="28"/>
        </w:rPr>
        <w:t>ил</w:t>
      </w:r>
      <w:r w:rsidRPr="00A53AD7">
        <w:rPr>
          <w:rFonts w:ascii="Times New Roman" w:hAnsi="Times New Roman"/>
          <w:sz w:val="28"/>
          <w:szCs w:val="28"/>
        </w:rPr>
        <w:t>:</w:t>
      </w:r>
    </w:p>
    <w:p w14:paraId="74A9E911" w14:textId="77777777" w:rsidR="00566B60" w:rsidRPr="00A53AD7" w:rsidRDefault="00566B60"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картофель – 87,7 % (в 2018 году – 74,6 % к предыдущему году, в 2017 году – 187,0 % к предыдущему году);</w:t>
      </w:r>
    </w:p>
    <w:p w14:paraId="355F3700" w14:textId="77777777" w:rsidR="00566B60" w:rsidRPr="00A53AD7" w:rsidRDefault="00566B60"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скот и птица (в живом весе) – 110,0 % (в 2018 году – 107,0 % к предыдущему году, в 2017 году – 99,3 % к предыдущему году);</w:t>
      </w:r>
    </w:p>
    <w:p w14:paraId="20CDBE5D" w14:textId="77777777" w:rsidR="00566B60" w:rsidRPr="00A53AD7" w:rsidRDefault="00566B60"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молоко сырое крупного рогатого скота – 102,6 % (в 2018 году – 96,6 % к предыдущему году, в 2017 году – 96,6 % к предыдущему году).</w:t>
      </w:r>
    </w:p>
    <w:p w14:paraId="61E8835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целом за отчетный год в сельскохозяйственных организациях региона продуктивность скота увеличена, яйценоскость кур-несушек снижена; увеличено производство основных видов сельскохозяйственной продукции всех категорий хозяйств, кроме производства скота и птицы в живом весе; установлено снижение валовых сборов и урожайности сельскохозяйственных культур в хозяйствах всех категорий. По отдельным видам установлен рост индексов цен производителей сельскохозяйственной продукции.</w:t>
      </w:r>
    </w:p>
    <w:p w14:paraId="3003AB86"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Объем инвестиций в агропромышленном комплексе в 2019 году составил 750 млн.руб. или 107,0 % к 2018 году. (</w:t>
      </w:r>
      <w:r w:rsidRPr="00A53AD7">
        <w:rPr>
          <w:rFonts w:ascii="Times New Roman" w:eastAsia="Times New Roman" w:hAnsi="Times New Roman"/>
          <w:sz w:val="28"/>
          <w:szCs w:val="28"/>
          <w:lang w:eastAsia="ru-RU"/>
        </w:rPr>
        <w:t xml:space="preserve">в 2018 году – свыше 700 млн.руб., в 2017 году – свыше 500 млн.руб.). </w:t>
      </w:r>
      <w:r w:rsidRPr="00A53AD7">
        <w:rPr>
          <w:rFonts w:ascii="Times New Roman" w:hAnsi="Times New Roman"/>
          <w:sz w:val="28"/>
          <w:szCs w:val="28"/>
        </w:rPr>
        <w:t>Общая сумма господдержки сельскохозяйственных товаропроизводителей в 2019 году составила 860,7 млн. рублей, в том числе из федерального бюджета привлечено 300,5 млн.руб., (в 2018 году составил порядка 930,6 млн.руб., в 2017 году – 900,0 млн.руб.).</w:t>
      </w:r>
      <w:r w:rsidRPr="00A53AD7">
        <w:rPr>
          <w:rStyle w:val="afff1"/>
          <w:rFonts w:ascii="Times New Roman" w:hAnsi="Times New Roman"/>
          <w:sz w:val="28"/>
          <w:szCs w:val="28"/>
        </w:rPr>
        <w:footnoteReference w:id="11"/>
      </w:r>
    </w:p>
    <w:p w14:paraId="17D80461" w14:textId="77777777" w:rsidR="003B5BDA" w:rsidRPr="00A53AD7" w:rsidRDefault="003B5BDA" w:rsidP="003B5BDA">
      <w:pPr>
        <w:pStyle w:val="2"/>
        <w:spacing w:before="120" w:after="0" w:line="240" w:lineRule="auto"/>
        <w:jc w:val="center"/>
        <w:rPr>
          <w:rFonts w:ascii="Times New Roman" w:hAnsi="Times New Roman"/>
          <w:lang w:val="ru-RU"/>
        </w:rPr>
      </w:pPr>
      <w:bookmarkStart w:id="19" w:name="_Toc451785029"/>
      <w:bookmarkStart w:id="20" w:name="_Toc515024204"/>
      <w:bookmarkStart w:id="21" w:name="_Toc9262556"/>
      <w:bookmarkStart w:id="22" w:name="_Toc42006706"/>
      <w:r w:rsidRPr="00A53AD7">
        <w:rPr>
          <w:rFonts w:ascii="Times New Roman" w:hAnsi="Times New Roman"/>
          <w:lang w:val="ru-RU"/>
        </w:rPr>
        <w:t xml:space="preserve">1.5. </w:t>
      </w:r>
      <w:bookmarkStart w:id="23" w:name="_Toc451785030"/>
      <w:bookmarkEnd w:id="19"/>
      <w:r w:rsidRPr="00A53AD7">
        <w:rPr>
          <w:rFonts w:ascii="Times New Roman" w:hAnsi="Times New Roman"/>
          <w:lang w:val="ru-RU"/>
        </w:rPr>
        <w:t>Деятельность отдельных видов транспорта</w:t>
      </w:r>
      <w:bookmarkEnd w:id="20"/>
      <w:bookmarkEnd w:id="21"/>
      <w:bookmarkEnd w:id="22"/>
    </w:p>
    <w:p w14:paraId="5D689810" w14:textId="77777777" w:rsidR="00E4652F"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отчетном году в регионе грузооборот автомобильным транспортом составил 1 791,9 млн.т.км или 102,1 % к показателям 2018 года (в 2018 году – 1 151,1 млн.т.км или 67,8 % к показателям 2017 года, в 2017 году – 1 507,0 млн.т.км или 79,6 % к показателям 2016 года).</w:t>
      </w:r>
    </w:p>
    <w:p w14:paraId="5F6469A1" w14:textId="77777777" w:rsidR="00D672C7" w:rsidRPr="00A53AD7" w:rsidRDefault="00D672C7" w:rsidP="00D672C7">
      <w:pPr>
        <w:pStyle w:val="ad"/>
        <w:ind w:firstLine="851"/>
        <w:jc w:val="both"/>
        <w:rPr>
          <w:rFonts w:ascii="Times New Roman" w:hAnsi="Times New Roman"/>
          <w:sz w:val="28"/>
          <w:szCs w:val="28"/>
        </w:rPr>
      </w:pPr>
      <w:r w:rsidRPr="00A53AD7">
        <w:rPr>
          <w:rFonts w:ascii="Times New Roman" w:hAnsi="Times New Roman"/>
          <w:sz w:val="28"/>
          <w:szCs w:val="28"/>
        </w:rPr>
        <w:t>Пассажирооборот автомобильного транспорта в 2019 году составил 809,5 млн.пасс.км или 105,0 % к показателям 2018 года (в 2018 году – 771,1 млн.пасс.км или 100,6 % к показателям 2017 года, в 2017 году – 766,5 млн.пасс.км или 99,5 % к 2016 году).</w:t>
      </w:r>
    </w:p>
    <w:p w14:paraId="552CC8C4" w14:textId="07A27575"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lastRenderedPageBreak/>
        <w:t xml:space="preserve">Динамика индексов тарифов на грузовые перевозки по видам транспорта в 2016 – 2019 годы представлена в таблице </w:t>
      </w:r>
      <w:r w:rsidR="00DE2A72" w:rsidRPr="00A53AD7">
        <w:rPr>
          <w:rFonts w:ascii="Times New Roman" w:hAnsi="Times New Roman"/>
          <w:sz w:val="28"/>
          <w:szCs w:val="28"/>
        </w:rPr>
        <w:t>8</w:t>
      </w:r>
      <w:r w:rsidRPr="00A53AD7">
        <w:rPr>
          <w:rFonts w:ascii="Times New Roman" w:hAnsi="Times New Roman"/>
          <w:sz w:val="28"/>
          <w:szCs w:val="28"/>
        </w:rPr>
        <w:t>.</w:t>
      </w:r>
    </w:p>
    <w:p w14:paraId="321EE4A4" w14:textId="77777777" w:rsidR="003B5BDA" w:rsidRPr="00A53AD7" w:rsidRDefault="003B5BDA" w:rsidP="003B5BDA">
      <w:pPr>
        <w:pStyle w:val="ad"/>
        <w:ind w:firstLine="851"/>
        <w:jc w:val="both"/>
        <w:rPr>
          <w:rFonts w:ascii="Times New Roman" w:hAnsi="Times New Roman"/>
        </w:rPr>
      </w:pPr>
    </w:p>
    <w:p w14:paraId="66362E75" w14:textId="41AA30EF" w:rsidR="003B5BDA" w:rsidRPr="00A53AD7" w:rsidRDefault="00E4652F" w:rsidP="003B5BDA">
      <w:pPr>
        <w:spacing w:after="0" w:line="240" w:lineRule="auto"/>
        <w:rPr>
          <w:rFonts w:ascii="Times New Roman" w:eastAsia="Times New Roman" w:hAnsi="Times New Roman"/>
          <w:bCs/>
          <w:sz w:val="24"/>
          <w:szCs w:val="24"/>
          <w:lang w:eastAsia="ru-RU"/>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8</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eastAsia="Times New Roman" w:hAnsi="Times New Roman"/>
          <w:bCs/>
          <w:sz w:val="24"/>
          <w:szCs w:val="24"/>
          <w:lang w:eastAsia="ru-RU"/>
        </w:rPr>
        <w:t>Индексы тарифов на грузовые перевозки в Архангельской области в 2016-2019 годах</w:t>
      </w:r>
    </w:p>
    <w:tbl>
      <w:tblPr>
        <w:tblW w:w="9236" w:type="dxa"/>
        <w:tblLook w:val="04A0" w:firstRow="1" w:lastRow="0" w:firstColumn="1" w:lastColumn="0" w:noHBand="0" w:noVBand="1"/>
      </w:tblPr>
      <w:tblGrid>
        <w:gridCol w:w="2387"/>
        <w:gridCol w:w="1746"/>
        <w:gridCol w:w="1701"/>
        <w:gridCol w:w="1701"/>
        <w:gridCol w:w="1701"/>
      </w:tblGrid>
      <w:tr w:rsidR="00A53AD7" w:rsidRPr="00A53AD7" w14:paraId="595B749E" w14:textId="77777777" w:rsidTr="00E4652F">
        <w:trPr>
          <w:trHeight w:val="426"/>
        </w:trPr>
        <w:tc>
          <w:tcPr>
            <w:tcW w:w="238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7A13843"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1746" w:type="dxa"/>
            <w:tcBorders>
              <w:top w:val="double" w:sz="6" w:space="0" w:color="auto"/>
              <w:left w:val="nil"/>
              <w:bottom w:val="single" w:sz="4" w:space="0" w:color="auto"/>
              <w:right w:val="single" w:sz="4" w:space="0" w:color="auto"/>
            </w:tcBorders>
            <w:shd w:val="clear" w:color="auto" w:fill="auto"/>
            <w:vAlign w:val="center"/>
            <w:hideMark/>
          </w:tcPr>
          <w:p w14:paraId="0EF8428D" w14:textId="77777777" w:rsidR="003B5BDA" w:rsidRPr="00A53AD7" w:rsidRDefault="003B5BDA" w:rsidP="003B5BDA">
            <w:pPr>
              <w:spacing w:after="0" w:line="240" w:lineRule="auto"/>
              <w:ind w:left="-108" w:right="-63"/>
              <w:jc w:val="center"/>
              <w:rPr>
                <w:rFonts w:ascii="Times New Roman" w:eastAsia="Times New Roman" w:hAnsi="Times New Roman"/>
                <w:lang w:eastAsia="ru-RU"/>
              </w:rPr>
            </w:pPr>
            <w:r w:rsidRPr="00A53AD7">
              <w:rPr>
                <w:rFonts w:ascii="Times New Roman" w:eastAsia="Times New Roman" w:hAnsi="Times New Roman"/>
                <w:lang w:eastAsia="ru-RU"/>
              </w:rPr>
              <w:t>Декабрь 2016 к декабрю 2015, %</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651DD763" w14:textId="77777777" w:rsidR="003B5BDA" w:rsidRPr="00A53AD7" w:rsidRDefault="003B5BDA" w:rsidP="003B5BDA">
            <w:pPr>
              <w:spacing w:after="0" w:line="240" w:lineRule="auto"/>
              <w:ind w:left="-153" w:right="-63"/>
              <w:jc w:val="center"/>
              <w:rPr>
                <w:rFonts w:ascii="Times New Roman" w:eastAsia="Times New Roman" w:hAnsi="Times New Roman"/>
                <w:lang w:eastAsia="ru-RU"/>
              </w:rPr>
            </w:pPr>
            <w:r w:rsidRPr="00A53AD7">
              <w:rPr>
                <w:rFonts w:ascii="Times New Roman" w:eastAsia="Times New Roman" w:hAnsi="Times New Roman"/>
                <w:lang w:eastAsia="ru-RU"/>
              </w:rPr>
              <w:t>Декабрь 2017 к декабрю 2016, %</w:t>
            </w:r>
          </w:p>
        </w:tc>
        <w:tc>
          <w:tcPr>
            <w:tcW w:w="1701" w:type="dxa"/>
            <w:tcBorders>
              <w:top w:val="double" w:sz="6" w:space="0" w:color="auto"/>
              <w:left w:val="nil"/>
              <w:bottom w:val="single" w:sz="4" w:space="0" w:color="auto"/>
              <w:right w:val="single" w:sz="4" w:space="0" w:color="auto"/>
            </w:tcBorders>
            <w:shd w:val="clear" w:color="auto" w:fill="auto"/>
            <w:vAlign w:val="center"/>
            <w:hideMark/>
          </w:tcPr>
          <w:p w14:paraId="44DCEBB3" w14:textId="77777777" w:rsidR="003B5BDA" w:rsidRPr="00A53AD7" w:rsidRDefault="003B5BDA" w:rsidP="003B5BDA">
            <w:pPr>
              <w:spacing w:after="0" w:line="240" w:lineRule="auto"/>
              <w:ind w:left="-153" w:right="-63"/>
              <w:jc w:val="center"/>
              <w:rPr>
                <w:rFonts w:ascii="Times New Roman" w:eastAsia="Times New Roman" w:hAnsi="Times New Roman"/>
                <w:lang w:eastAsia="ru-RU"/>
              </w:rPr>
            </w:pPr>
            <w:r w:rsidRPr="00A53AD7">
              <w:rPr>
                <w:rFonts w:ascii="Times New Roman" w:eastAsia="Times New Roman" w:hAnsi="Times New Roman"/>
                <w:lang w:eastAsia="ru-RU"/>
              </w:rPr>
              <w:t>Декабрь 2018 к декабрю 2017, %</w:t>
            </w:r>
          </w:p>
        </w:tc>
        <w:tc>
          <w:tcPr>
            <w:tcW w:w="1701" w:type="dxa"/>
            <w:tcBorders>
              <w:top w:val="double" w:sz="6" w:space="0" w:color="auto"/>
              <w:left w:val="nil"/>
              <w:bottom w:val="single" w:sz="4" w:space="0" w:color="auto"/>
              <w:right w:val="double" w:sz="6" w:space="0" w:color="auto"/>
            </w:tcBorders>
            <w:shd w:val="clear" w:color="auto" w:fill="auto"/>
            <w:vAlign w:val="center"/>
            <w:hideMark/>
          </w:tcPr>
          <w:p w14:paraId="6A4AF9BB" w14:textId="77777777" w:rsidR="003B5BDA" w:rsidRPr="00A53AD7" w:rsidRDefault="003B5BDA" w:rsidP="003B5BDA">
            <w:pPr>
              <w:spacing w:after="0" w:line="240" w:lineRule="auto"/>
              <w:ind w:left="-153" w:right="-63"/>
              <w:jc w:val="center"/>
              <w:rPr>
                <w:rFonts w:ascii="Times New Roman" w:eastAsia="Times New Roman" w:hAnsi="Times New Roman"/>
                <w:lang w:eastAsia="ru-RU"/>
              </w:rPr>
            </w:pPr>
            <w:r w:rsidRPr="00A53AD7">
              <w:rPr>
                <w:rFonts w:ascii="Times New Roman" w:eastAsia="Times New Roman" w:hAnsi="Times New Roman"/>
                <w:lang w:eastAsia="ru-RU"/>
              </w:rPr>
              <w:t>Декабрь 2019 к декабрю 2018, %</w:t>
            </w:r>
          </w:p>
        </w:tc>
      </w:tr>
      <w:tr w:rsidR="00A53AD7" w:rsidRPr="00A53AD7" w14:paraId="42F0313A" w14:textId="77777777" w:rsidTr="00E4652F">
        <w:trPr>
          <w:trHeight w:hRule="exact" w:val="255"/>
        </w:trPr>
        <w:tc>
          <w:tcPr>
            <w:tcW w:w="2387" w:type="dxa"/>
            <w:tcBorders>
              <w:top w:val="nil"/>
              <w:left w:val="double" w:sz="6" w:space="0" w:color="auto"/>
              <w:bottom w:val="single" w:sz="4" w:space="0" w:color="auto"/>
              <w:right w:val="single" w:sz="4" w:space="0" w:color="auto"/>
            </w:tcBorders>
            <w:shd w:val="clear" w:color="auto" w:fill="auto"/>
            <w:vAlign w:val="bottom"/>
            <w:hideMark/>
          </w:tcPr>
          <w:p w14:paraId="2495AAA4"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Грузовой транспорт</w:t>
            </w:r>
          </w:p>
        </w:tc>
        <w:tc>
          <w:tcPr>
            <w:tcW w:w="1746" w:type="dxa"/>
            <w:tcBorders>
              <w:top w:val="nil"/>
              <w:left w:val="nil"/>
              <w:bottom w:val="single" w:sz="4" w:space="0" w:color="auto"/>
              <w:right w:val="single" w:sz="4" w:space="0" w:color="auto"/>
            </w:tcBorders>
            <w:shd w:val="clear" w:color="auto" w:fill="auto"/>
            <w:noWrap/>
            <w:vAlign w:val="bottom"/>
            <w:hideMark/>
          </w:tcPr>
          <w:p w14:paraId="1CC015D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93,2</w:t>
            </w:r>
          </w:p>
        </w:tc>
        <w:tc>
          <w:tcPr>
            <w:tcW w:w="1701" w:type="dxa"/>
            <w:tcBorders>
              <w:top w:val="nil"/>
              <w:left w:val="nil"/>
              <w:bottom w:val="single" w:sz="4" w:space="0" w:color="auto"/>
              <w:right w:val="single" w:sz="4" w:space="0" w:color="auto"/>
            </w:tcBorders>
            <w:shd w:val="clear" w:color="auto" w:fill="auto"/>
            <w:noWrap/>
            <w:vAlign w:val="bottom"/>
            <w:hideMark/>
          </w:tcPr>
          <w:p w14:paraId="1013B9A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92,8</w:t>
            </w:r>
          </w:p>
        </w:tc>
        <w:tc>
          <w:tcPr>
            <w:tcW w:w="1701" w:type="dxa"/>
            <w:tcBorders>
              <w:top w:val="nil"/>
              <w:left w:val="nil"/>
              <w:bottom w:val="single" w:sz="4" w:space="0" w:color="auto"/>
              <w:right w:val="single" w:sz="4" w:space="0" w:color="auto"/>
            </w:tcBorders>
            <w:shd w:val="clear" w:color="auto" w:fill="auto"/>
            <w:noWrap/>
            <w:vAlign w:val="bottom"/>
            <w:hideMark/>
          </w:tcPr>
          <w:p w14:paraId="5FC5BA2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112,1</w:t>
            </w:r>
          </w:p>
        </w:tc>
        <w:tc>
          <w:tcPr>
            <w:tcW w:w="1701" w:type="dxa"/>
            <w:tcBorders>
              <w:top w:val="nil"/>
              <w:left w:val="nil"/>
              <w:bottom w:val="single" w:sz="4" w:space="0" w:color="auto"/>
              <w:right w:val="double" w:sz="6" w:space="0" w:color="auto"/>
            </w:tcBorders>
            <w:shd w:val="clear" w:color="auto" w:fill="auto"/>
            <w:noWrap/>
            <w:vAlign w:val="bottom"/>
            <w:hideMark/>
          </w:tcPr>
          <w:p w14:paraId="3F83EB8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r>
      <w:tr w:rsidR="00A53AD7" w:rsidRPr="00A53AD7" w14:paraId="019BBFA2" w14:textId="77777777" w:rsidTr="00E4652F">
        <w:trPr>
          <w:trHeight w:hRule="exact" w:val="255"/>
        </w:trPr>
        <w:tc>
          <w:tcPr>
            <w:tcW w:w="2387" w:type="dxa"/>
            <w:tcBorders>
              <w:top w:val="nil"/>
              <w:left w:val="double" w:sz="6" w:space="0" w:color="auto"/>
              <w:bottom w:val="single" w:sz="4" w:space="0" w:color="auto"/>
              <w:right w:val="single" w:sz="4" w:space="0" w:color="auto"/>
            </w:tcBorders>
            <w:shd w:val="clear" w:color="auto" w:fill="auto"/>
            <w:vAlign w:val="bottom"/>
            <w:hideMark/>
          </w:tcPr>
          <w:p w14:paraId="139D4FF8" w14:textId="77777777" w:rsidR="003B5BDA" w:rsidRPr="00A53AD7" w:rsidRDefault="003B5BDA" w:rsidP="003B5BDA">
            <w:pPr>
              <w:spacing w:after="0" w:line="240" w:lineRule="auto"/>
              <w:ind w:firstLine="295"/>
              <w:rPr>
                <w:rFonts w:ascii="Times New Roman" w:eastAsia="Times New Roman" w:hAnsi="Times New Roman"/>
                <w:lang w:eastAsia="ru-RU"/>
              </w:rPr>
            </w:pPr>
            <w:r w:rsidRPr="00A53AD7">
              <w:rPr>
                <w:rFonts w:ascii="Times New Roman" w:eastAsia="Times New Roman" w:hAnsi="Times New Roman"/>
                <w:lang w:eastAsia="ru-RU"/>
              </w:rPr>
              <w:t>морской</w:t>
            </w:r>
          </w:p>
        </w:tc>
        <w:tc>
          <w:tcPr>
            <w:tcW w:w="1746" w:type="dxa"/>
            <w:tcBorders>
              <w:top w:val="nil"/>
              <w:left w:val="nil"/>
              <w:bottom w:val="single" w:sz="4" w:space="0" w:color="auto"/>
              <w:right w:val="single" w:sz="4" w:space="0" w:color="auto"/>
            </w:tcBorders>
            <w:shd w:val="clear" w:color="auto" w:fill="auto"/>
            <w:noWrap/>
            <w:vAlign w:val="bottom"/>
            <w:hideMark/>
          </w:tcPr>
          <w:p w14:paraId="1511A50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83,2</w:t>
            </w:r>
          </w:p>
        </w:tc>
        <w:tc>
          <w:tcPr>
            <w:tcW w:w="1701" w:type="dxa"/>
            <w:tcBorders>
              <w:top w:val="nil"/>
              <w:left w:val="nil"/>
              <w:bottom w:val="single" w:sz="4" w:space="0" w:color="auto"/>
              <w:right w:val="single" w:sz="4" w:space="0" w:color="auto"/>
            </w:tcBorders>
            <w:shd w:val="clear" w:color="auto" w:fill="auto"/>
            <w:noWrap/>
            <w:vAlign w:val="bottom"/>
            <w:hideMark/>
          </w:tcPr>
          <w:p w14:paraId="60F4BF6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86,4</w:t>
            </w:r>
          </w:p>
        </w:tc>
        <w:tc>
          <w:tcPr>
            <w:tcW w:w="1701" w:type="dxa"/>
            <w:tcBorders>
              <w:top w:val="nil"/>
              <w:left w:val="nil"/>
              <w:bottom w:val="single" w:sz="4" w:space="0" w:color="auto"/>
              <w:right w:val="single" w:sz="4" w:space="0" w:color="auto"/>
            </w:tcBorders>
            <w:shd w:val="clear" w:color="auto" w:fill="auto"/>
            <w:noWrap/>
            <w:vAlign w:val="bottom"/>
            <w:hideMark/>
          </w:tcPr>
          <w:p w14:paraId="285FC5A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116,8</w:t>
            </w:r>
          </w:p>
        </w:tc>
        <w:tc>
          <w:tcPr>
            <w:tcW w:w="1701" w:type="dxa"/>
            <w:tcBorders>
              <w:top w:val="nil"/>
              <w:left w:val="nil"/>
              <w:bottom w:val="single" w:sz="4" w:space="0" w:color="auto"/>
              <w:right w:val="double" w:sz="6" w:space="0" w:color="auto"/>
            </w:tcBorders>
            <w:shd w:val="clear" w:color="auto" w:fill="auto"/>
            <w:noWrap/>
            <w:vAlign w:val="bottom"/>
            <w:hideMark/>
          </w:tcPr>
          <w:p w14:paraId="7D2EA5C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r>
      <w:tr w:rsidR="00A53AD7" w:rsidRPr="00A53AD7" w14:paraId="2820066C" w14:textId="77777777" w:rsidTr="00E4652F">
        <w:trPr>
          <w:trHeight w:hRule="exact" w:val="255"/>
        </w:trPr>
        <w:tc>
          <w:tcPr>
            <w:tcW w:w="2387" w:type="dxa"/>
            <w:tcBorders>
              <w:top w:val="nil"/>
              <w:left w:val="double" w:sz="6" w:space="0" w:color="auto"/>
              <w:bottom w:val="single" w:sz="4" w:space="0" w:color="auto"/>
              <w:right w:val="single" w:sz="4" w:space="0" w:color="auto"/>
            </w:tcBorders>
            <w:shd w:val="clear" w:color="auto" w:fill="auto"/>
            <w:vAlign w:val="bottom"/>
            <w:hideMark/>
          </w:tcPr>
          <w:p w14:paraId="4F135DA0" w14:textId="77777777" w:rsidR="003B5BDA" w:rsidRPr="00A53AD7" w:rsidRDefault="003B5BDA" w:rsidP="003B5BDA">
            <w:pPr>
              <w:spacing w:after="0" w:line="240" w:lineRule="auto"/>
              <w:ind w:firstLine="295"/>
              <w:rPr>
                <w:rFonts w:ascii="Times New Roman" w:eastAsia="Times New Roman" w:hAnsi="Times New Roman"/>
                <w:lang w:eastAsia="ru-RU"/>
              </w:rPr>
            </w:pPr>
            <w:r w:rsidRPr="00A53AD7">
              <w:rPr>
                <w:rFonts w:ascii="Times New Roman" w:eastAsia="Times New Roman" w:hAnsi="Times New Roman"/>
                <w:lang w:eastAsia="ru-RU"/>
              </w:rPr>
              <w:t>внутренний водный</w:t>
            </w:r>
          </w:p>
        </w:tc>
        <w:tc>
          <w:tcPr>
            <w:tcW w:w="1746" w:type="dxa"/>
            <w:tcBorders>
              <w:top w:val="nil"/>
              <w:left w:val="nil"/>
              <w:bottom w:val="single" w:sz="4" w:space="0" w:color="auto"/>
              <w:right w:val="single" w:sz="4" w:space="0" w:color="auto"/>
            </w:tcBorders>
            <w:shd w:val="clear" w:color="auto" w:fill="auto"/>
            <w:noWrap/>
            <w:vAlign w:val="bottom"/>
            <w:hideMark/>
          </w:tcPr>
          <w:p w14:paraId="34FBB0A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107,5</w:t>
            </w:r>
          </w:p>
        </w:tc>
        <w:tc>
          <w:tcPr>
            <w:tcW w:w="1701" w:type="dxa"/>
            <w:tcBorders>
              <w:top w:val="nil"/>
              <w:left w:val="nil"/>
              <w:bottom w:val="single" w:sz="4" w:space="0" w:color="auto"/>
              <w:right w:val="single" w:sz="4" w:space="0" w:color="auto"/>
            </w:tcBorders>
            <w:shd w:val="clear" w:color="auto" w:fill="auto"/>
            <w:noWrap/>
            <w:vAlign w:val="bottom"/>
            <w:hideMark/>
          </w:tcPr>
          <w:p w14:paraId="36B58AD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98,0</w:t>
            </w:r>
          </w:p>
        </w:tc>
        <w:tc>
          <w:tcPr>
            <w:tcW w:w="1701" w:type="dxa"/>
            <w:tcBorders>
              <w:top w:val="nil"/>
              <w:left w:val="nil"/>
              <w:bottom w:val="single" w:sz="4" w:space="0" w:color="auto"/>
              <w:right w:val="single" w:sz="4" w:space="0" w:color="auto"/>
            </w:tcBorders>
            <w:shd w:val="clear" w:color="auto" w:fill="auto"/>
            <w:noWrap/>
            <w:vAlign w:val="bottom"/>
            <w:hideMark/>
          </w:tcPr>
          <w:p w14:paraId="6D9CBB4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106,1</w:t>
            </w:r>
          </w:p>
        </w:tc>
        <w:tc>
          <w:tcPr>
            <w:tcW w:w="1701" w:type="dxa"/>
            <w:tcBorders>
              <w:top w:val="nil"/>
              <w:left w:val="nil"/>
              <w:bottom w:val="single" w:sz="4" w:space="0" w:color="auto"/>
              <w:right w:val="double" w:sz="6" w:space="0" w:color="auto"/>
            </w:tcBorders>
            <w:shd w:val="clear" w:color="auto" w:fill="auto"/>
            <w:noWrap/>
            <w:vAlign w:val="bottom"/>
            <w:hideMark/>
          </w:tcPr>
          <w:p w14:paraId="30C8F30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94,8</w:t>
            </w:r>
          </w:p>
        </w:tc>
      </w:tr>
      <w:tr w:rsidR="00A53AD7" w:rsidRPr="00A53AD7" w14:paraId="68E716C6" w14:textId="77777777" w:rsidTr="00E4652F">
        <w:trPr>
          <w:trHeight w:hRule="exact" w:val="255"/>
        </w:trPr>
        <w:tc>
          <w:tcPr>
            <w:tcW w:w="2387" w:type="dxa"/>
            <w:tcBorders>
              <w:top w:val="nil"/>
              <w:left w:val="double" w:sz="6" w:space="0" w:color="auto"/>
              <w:bottom w:val="single" w:sz="4" w:space="0" w:color="auto"/>
              <w:right w:val="single" w:sz="4" w:space="0" w:color="auto"/>
            </w:tcBorders>
            <w:shd w:val="clear" w:color="auto" w:fill="auto"/>
            <w:vAlign w:val="bottom"/>
            <w:hideMark/>
          </w:tcPr>
          <w:p w14:paraId="6FA31D85" w14:textId="77777777" w:rsidR="003B5BDA" w:rsidRPr="00A53AD7" w:rsidRDefault="003B5BDA" w:rsidP="003B5BDA">
            <w:pPr>
              <w:spacing w:after="0" w:line="240" w:lineRule="auto"/>
              <w:ind w:firstLine="295"/>
              <w:rPr>
                <w:rFonts w:ascii="Times New Roman" w:eastAsia="Times New Roman" w:hAnsi="Times New Roman"/>
                <w:lang w:eastAsia="ru-RU"/>
              </w:rPr>
            </w:pPr>
            <w:r w:rsidRPr="00A53AD7">
              <w:rPr>
                <w:rFonts w:ascii="Times New Roman" w:eastAsia="Times New Roman" w:hAnsi="Times New Roman"/>
                <w:lang w:eastAsia="ru-RU"/>
              </w:rPr>
              <w:t>автомобильный</w:t>
            </w:r>
          </w:p>
        </w:tc>
        <w:tc>
          <w:tcPr>
            <w:tcW w:w="1746" w:type="dxa"/>
            <w:tcBorders>
              <w:top w:val="nil"/>
              <w:left w:val="nil"/>
              <w:bottom w:val="single" w:sz="4" w:space="0" w:color="auto"/>
              <w:right w:val="single" w:sz="4" w:space="0" w:color="auto"/>
            </w:tcBorders>
            <w:shd w:val="clear" w:color="auto" w:fill="auto"/>
            <w:noWrap/>
            <w:vAlign w:val="bottom"/>
            <w:hideMark/>
          </w:tcPr>
          <w:p w14:paraId="5FB071A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102,5</w:t>
            </w:r>
          </w:p>
        </w:tc>
        <w:tc>
          <w:tcPr>
            <w:tcW w:w="1701" w:type="dxa"/>
            <w:tcBorders>
              <w:top w:val="nil"/>
              <w:left w:val="nil"/>
              <w:bottom w:val="single" w:sz="4" w:space="0" w:color="auto"/>
              <w:right w:val="single" w:sz="4" w:space="0" w:color="auto"/>
            </w:tcBorders>
            <w:shd w:val="clear" w:color="auto" w:fill="auto"/>
            <w:noWrap/>
            <w:vAlign w:val="bottom"/>
            <w:hideMark/>
          </w:tcPr>
          <w:p w14:paraId="0F05C52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100,9</w:t>
            </w:r>
          </w:p>
        </w:tc>
        <w:tc>
          <w:tcPr>
            <w:tcW w:w="1701" w:type="dxa"/>
            <w:tcBorders>
              <w:top w:val="nil"/>
              <w:left w:val="nil"/>
              <w:bottom w:val="single" w:sz="4" w:space="0" w:color="auto"/>
              <w:right w:val="single" w:sz="4" w:space="0" w:color="auto"/>
            </w:tcBorders>
            <w:shd w:val="clear" w:color="auto" w:fill="auto"/>
            <w:noWrap/>
            <w:vAlign w:val="bottom"/>
            <w:hideMark/>
          </w:tcPr>
          <w:p w14:paraId="6B6931B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102,3</w:t>
            </w:r>
          </w:p>
        </w:tc>
        <w:tc>
          <w:tcPr>
            <w:tcW w:w="1701" w:type="dxa"/>
            <w:tcBorders>
              <w:top w:val="nil"/>
              <w:left w:val="nil"/>
              <w:bottom w:val="single" w:sz="4" w:space="0" w:color="auto"/>
              <w:right w:val="double" w:sz="6" w:space="0" w:color="auto"/>
            </w:tcBorders>
            <w:shd w:val="clear" w:color="auto" w:fill="auto"/>
            <w:noWrap/>
            <w:vAlign w:val="bottom"/>
            <w:hideMark/>
          </w:tcPr>
          <w:p w14:paraId="3DA4734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101,4</w:t>
            </w:r>
          </w:p>
        </w:tc>
      </w:tr>
      <w:tr w:rsidR="003B5BDA" w:rsidRPr="00A53AD7" w14:paraId="54BAFD8A" w14:textId="77777777" w:rsidTr="00E4652F">
        <w:trPr>
          <w:trHeight w:hRule="exact" w:val="255"/>
        </w:trPr>
        <w:tc>
          <w:tcPr>
            <w:tcW w:w="2387" w:type="dxa"/>
            <w:tcBorders>
              <w:top w:val="nil"/>
              <w:left w:val="double" w:sz="6" w:space="0" w:color="auto"/>
              <w:bottom w:val="double" w:sz="6" w:space="0" w:color="auto"/>
              <w:right w:val="single" w:sz="4" w:space="0" w:color="auto"/>
            </w:tcBorders>
            <w:shd w:val="clear" w:color="auto" w:fill="auto"/>
            <w:vAlign w:val="bottom"/>
            <w:hideMark/>
          </w:tcPr>
          <w:p w14:paraId="04619BAD" w14:textId="77777777" w:rsidR="003B5BDA" w:rsidRPr="00A53AD7" w:rsidRDefault="003B5BDA" w:rsidP="003B5BDA">
            <w:pPr>
              <w:spacing w:after="0" w:line="240" w:lineRule="auto"/>
              <w:ind w:firstLine="295"/>
              <w:rPr>
                <w:rFonts w:ascii="Times New Roman" w:eastAsia="Times New Roman" w:hAnsi="Times New Roman"/>
                <w:lang w:eastAsia="ru-RU"/>
              </w:rPr>
            </w:pPr>
            <w:r w:rsidRPr="00A53AD7">
              <w:rPr>
                <w:rFonts w:ascii="Times New Roman" w:eastAsia="Times New Roman" w:hAnsi="Times New Roman"/>
                <w:lang w:eastAsia="ru-RU"/>
              </w:rPr>
              <w:t>воздушный</w:t>
            </w:r>
          </w:p>
        </w:tc>
        <w:tc>
          <w:tcPr>
            <w:tcW w:w="1746" w:type="dxa"/>
            <w:tcBorders>
              <w:top w:val="nil"/>
              <w:left w:val="nil"/>
              <w:bottom w:val="double" w:sz="6" w:space="0" w:color="auto"/>
              <w:right w:val="single" w:sz="4" w:space="0" w:color="auto"/>
            </w:tcBorders>
            <w:shd w:val="clear" w:color="auto" w:fill="auto"/>
            <w:noWrap/>
            <w:vAlign w:val="bottom"/>
            <w:hideMark/>
          </w:tcPr>
          <w:p w14:paraId="2F9DE4F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101,2</w:t>
            </w:r>
          </w:p>
        </w:tc>
        <w:tc>
          <w:tcPr>
            <w:tcW w:w="1701" w:type="dxa"/>
            <w:tcBorders>
              <w:top w:val="nil"/>
              <w:left w:val="nil"/>
              <w:bottom w:val="double" w:sz="6" w:space="0" w:color="auto"/>
              <w:right w:val="single" w:sz="4" w:space="0" w:color="auto"/>
            </w:tcBorders>
            <w:shd w:val="clear" w:color="auto" w:fill="auto"/>
            <w:noWrap/>
            <w:vAlign w:val="bottom"/>
            <w:hideMark/>
          </w:tcPr>
          <w:p w14:paraId="576666A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701" w:type="dxa"/>
            <w:tcBorders>
              <w:top w:val="nil"/>
              <w:left w:val="nil"/>
              <w:bottom w:val="double" w:sz="6" w:space="0" w:color="auto"/>
              <w:right w:val="single" w:sz="4" w:space="0" w:color="auto"/>
            </w:tcBorders>
            <w:shd w:val="clear" w:color="auto" w:fill="auto"/>
            <w:noWrap/>
            <w:vAlign w:val="bottom"/>
            <w:hideMark/>
          </w:tcPr>
          <w:p w14:paraId="0E7DA72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113,9</w:t>
            </w:r>
          </w:p>
        </w:tc>
        <w:tc>
          <w:tcPr>
            <w:tcW w:w="1701" w:type="dxa"/>
            <w:tcBorders>
              <w:top w:val="nil"/>
              <w:left w:val="nil"/>
              <w:bottom w:val="double" w:sz="6" w:space="0" w:color="auto"/>
              <w:right w:val="double" w:sz="6" w:space="0" w:color="auto"/>
            </w:tcBorders>
            <w:shd w:val="clear" w:color="auto" w:fill="auto"/>
            <w:noWrap/>
            <w:vAlign w:val="bottom"/>
            <w:hideMark/>
          </w:tcPr>
          <w:p w14:paraId="0581843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119,4</w:t>
            </w:r>
          </w:p>
        </w:tc>
      </w:tr>
    </w:tbl>
    <w:p w14:paraId="09B159B0" w14:textId="77777777" w:rsidR="00E4652F" w:rsidRPr="00A53AD7" w:rsidRDefault="00E4652F" w:rsidP="003B5BDA">
      <w:pPr>
        <w:pStyle w:val="ad"/>
        <w:ind w:firstLine="851"/>
        <w:jc w:val="both"/>
        <w:rPr>
          <w:rFonts w:ascii="Times New Roman" w:hAnsi="Times New Roman"/>
          <w:sz w:val="28"/>
          <w:szCs w:val="28"/>
        </w:rPr>
      </w:pPr>
    </w:p>
    <w:p w14:paraId="249D67C2" w14:textId="312F51B0"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Индекс тарифов на грузовые перевозки в целом в 2019 году (декабрь к декабрю предыдущего года, %) незначительно снизился и составил</w:t>
      </w:r>
      <w:r w:rsidRPr="00A53AD7">
        <w:rPr>
          <w:rFonts w:ascii="Times New Roman" w:hAnsi="Times New Roman"/>
          <w:b/>
          <w:sz w:val="28"/>
          <w:szCs w:val="28"/>
        </w:rPr>
        <w:t xml:space="preserve"> </w:t>
      </w:r>
      <w:r w:rsidRPr="00A53AD7">
        <w:rPr>
          <w:rFonts w:ascii="Times New Roman" w:hAnsi="Times New Roman"/>
          <w:sz w:val="28"/>
          <w:szCs w:val="28"/>
        </w:rPr>
        <w:t xml:space="preserve">99,3 % (в 2018 году составлял 112,1 %, </w:t>
      </w:r>
      <w:r w:rsidR="00E4652F" w:rsidRPr="00A53AD7">
        <w:rPr>
          <w:rFonts w:ascii="Times New Roman" w:hAnsi="Times New Roman"/>
          <w:sz w:val="28"/>
          <w:szCs w:val="28"/>
        </w:rPr>
        <w:t xml:space="preserve">в </w:t>
      </w:r>
      <w:r w:rsidRPr="00A53AD7">
        <w:rPr>
          <w:rFonts w:ascii="Times New Roman" w:hAnsi="Times New Roman"/>
          <w:sz w:val="28"/>
          <w:szCs w:val="28"/>
        </w:rPr>
        <w:t xml:space="preserve">2017 году – 92,8 %, в 2016 году – 93,2 %). В части индексов тарифов на грузовые перевозки (декабрь 2019 года к декабрю 2018 года, в %) установлен рост в </w:t>
      </w:r>
      <w:r w:rsidR="00E4652F" w:rsidRPr="00A53AD7">
        <w:rPr>
          <w:rFonts w:ascii="Times New Roman" w:hAnsi="Times New Roman"/>
          <w:sz w:val="28"/>
          <w:szCs w:val="28"/>
        </w:rPr>
        <w:t xml:space="preserve">отрасли </w:t>
      </w:r>
      <w:r w:rsidRPr="00A53AD7">
        <w:rPr>
          <w:rFonts w:ascii="Times New Roman" w:hAnsi="Times New Roman"/>
          <w:sz w:val="28"/>
          <w:szCs w:val="28"/>
        </w:rPr>
        <w:t>автомобильного и воздушного транспорта</w:t>
      </w:r>
      <w:r w:rsidR="00E4652F" w:rsidRPr="00A53AD7">
        <w:rPr>
          <w:rFonts w:ascii="Times New Roman" w:hAnsi="Times New Roman"/>
          <w:sz w:val="28"/>
          <w:szCs w:val="28"/>
        </w:rPr>
        <w:t>.</w:t>
      </w:r>
      <w:r w:rsidRPr="00A53AD7">
        <w:rPr>
          <w:rFonts w:ascii="Times New Roman" w:hAnsi="Times New Roman"/>
          <w:sz w:val="28"/>
          <w:szCs w:val="28"/>
        </w:rPr>
        <w:t xml:space="preserve"> </w:t>
      </w:r>
      <w:r w:rsidR="00E4652F" w:rsidRPr="00A53AD7">
        <w:rPr>
          <w:rFonts w:ascii="Times New Roman" w:hAnsi="Times New Roman"/>
          <w:sz w:val="28"/>
          <w:szCs w:val="28"/>
        </w:rPr>
        <w:t>И</w:t>
      </w:r>
      <w:r w:rsidRPr="00A53AD7">
        <w:rPr>
          <w:rFonts w:ascii="Times New Roman" w:hAnsi="Times New Roman"/>
          <w:sz w:val="28"/>
          <w:szCs w:val="28"/>
        </w:rPr>
        <w:t>ндекс тарифов на внутреннем водном транспорте снизился, а в части морского транспорта остался на уровне 2018 года.</w:t>
      </w:r>
    </w:p>
    <w:p w14:paraId="353BADAD" w14:textId="77777777" w:rsidR="00435A89"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части погрузки грузов на железнодорожном транспорте в целом по СЗФО в 2019 году установлен рост, </w:t>
      </w:r>
      <w:r w:rsidR="00435A89" w:rsidRPr="00A53AD7">
        <w:rPr>
          <w:rFonts w:ascii="Times New Roman" w:hAnsi="Times New Roman"/>
          <w:sz w:val="28"/>
          <w:szCs w:val="28"/>
        </w:rPr>
        <w:t>который</w:t>
      </w:r>
      <w:r w:rsidRPr="00A53AD7">
        <w:rPr>
          <w:rFonts w:ascii="Times New Roman" w:hAnsi="Times New Roman"/>
          <w:sz w:val="28"/>
          <w:szCs w:val="28"/>
        </w:rPr>
        <w:t xml:space="preserve"> составляет 101,6 % к 2018 году (в 2018 году – 103,4 % к 2017 году, в 2017 году 98,9 % к 2016 году).</w:t>
      </w:r>
    </w:p>
    <w:p w14:paraId="45A24209" w14:textId="69C9F580"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Среди субъектов СЗФО наиболее существенный объем погрузки грузов установлен в Мурманской области – 31 631,6 тыс.тонн (100,3 % к 2018 году), в Республике Карелия – 26 622,5 тыс.тонн (101,3 % к 2018 году), в Ленинградской области – 25 486,6 тыс.тонн (100,3 %), в Вологодской области</w:t>
      </w:r>
      <w:r w:rsidR="00435A89" w:rsidRPr="00A53AD7">
        <w:rPr>
          <w:rFonts w:ascii="Times New Roman" w:hAnsi="Times New Roman"/>
          <w:sz w:val="28"/>
          <w:szCs w:val="28"/>
        </w:rPr>
        <w:t xml:space="preserve"> – 22 472,3 тыс.тонн (101,0 %).</w:t>
      </w:r>
    </w:p>
    <w:p w14:paraId="7CCC34D3"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Архангельской области в 2019 году перевозка грузов на железнодорожном транспорте соответствует тенденции СЗФО и составила 12 860,1 тыс.тонн или 107,9 % к прошлому году (в 2018 году – 11 919,7 тыс.тонн или 111,3 % к уровню 2017 года, в 2017 году – 10 712,3 тыс.тонн или 108,8 % к 2016 году).</w:t>
      </w:r>
    </w:p>
    <w:p w14:paraId="2DC7D6FE" w14:textId="77777777" w:rsidR="00D672C7" w:rsidRPr="00A53AD7" w:rsidRDefault="00D672C7" w:rsidP="00D672C7">
      <w:pPr>
        <w:pStyle w:val="ad"/>
        <w:ind w:firstLine="851"/>
        <w:jc w:val="both"/>
        <w:rPr>
          <w:rFonts w:ascii="Times New Roman" w:hAnsi="Times New Roman"/>
          <w:sz w:val="28"/>
          <w:szCs w:val="28"/>
        </w:rPr>
      </w:pPr>
      <w:r w:rsidRPr="00A53AD7">
        <w:rPr>
          <w:rFonts w:ascii="Times New Roman" w:hAnsi="Times New Roman"/>
          <w:sz w:val="28"/>
          <w:szCs w:val="28"/>
        </w:rPr>
        <w:t>Перевозка грузов автомобильным транспортом организациями всех видом деятельности (без субъектов малого предпринимательства) в целом по СЗФО в 2019 году составила 124,8 млн.тонн или 102,6 % к 2018 году. Лидирующие позиции в части указанных перевозок, как и в предыдущие годы, заняли Ленинградская область – 28,1 млн.тонн (102,7 % к 2018 году), Новгородская область – 21,3 млн.тонн (100,2 %), Республика Коми – 20,7 млн.тонн (102,6 %), Вологодская область – 12,1 млн.тонн (105,7 %).</w:t>
      </w:r>
    </w:p>
    <w:p w14:paraId="21AA3EAC" w14:textId="1CDBF6F8"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части перевозки грузов автомобильным транспортом в Архангельской области в 2019 году продолжен спад указанной деятельности. Так за отчетный год перевезено 12,3 млн.тонн грузов или 96,4 % к уровню 2018 года (в 2018 году перевезено 12,8 млн.тонн или 89,6 % к уровню 2017 года, в 2017 году – 14,0 млн.тонн или 77,8 % к уровню 2016 года, в 2016 году – 17,2 млн.тонн и</w:t>
      </w:r>
      <w:r w:rsidR="002F1D40" w:rsidRPr="00A53AD7">
        <w:rPr>
          <w:rFonts w:ascii="Times New Roman" w:hAnsi="Times New Roman"/>
          <w:sz w:val="28"/>
          <w:szCs w:val="28"/>
        </w:rPr>
        <w:t>ли 119,8 % к уровню 2015 года).</w:t>
      </w:r>
    </w:p>
    <w:p w14:paraId="1B3321E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lastRenderedPageBreak/>
        <w:t>Таким образом, в Архангельской области в отчетном году увеличился грузооборот и пассажирооборот автомобильным транспортом, перевозка грузов на железнодорожном транспорте увеличилась, а автомобильным транспортом снизилась.</w:t>
      </w:r>
    </w:p>
    <w:p w14:paraId="13A87775" w14:textId="77777777" w:rsidR="003B5BDA" w:rsidRPr="00A53AD7" w:rsidRDefault="003B5BDA" w:rsidP="003B5BDA">
      <w:pPr>
        <w:pStyle w:val="2"/>
        <w:spacing w:before="120" w:after="0" w:line="240" w:lineRule="auto"/>
        <w:jc w:val="center"/>
        <w:rPr>
          <w:rFonts w:ascii="Times New Roman" w:hAnsi="Times New Roman"/>
          <w:lang w:val="ru-RU"/>
        </w:rPr>
      </w:pPr>
      <w:bookmarkStart w:id="24" w:name="_Toc9262557"/>
      <w:bookmarkStart w:id="25" w:name="_Toc42006707"/>
      <w:bookmarkStart w:id="26" w:name="_Toc451785031"/>
      <w:bookmarkStart w:id="27" w:name="_Toc515024206"/>
      <w:bookmarkEnd w:id="23"/>
      <w:r w:rsidRPr="00A53AD7">
        <w:rPr>
          <w:rFonts w:ascii="Times New Roman" w:hAnsi="Times New Roman"/>
          <w:lang w:val="ru-RU"/>
        </w:rPr>
        <w:t>1.6. Индекс потребительских цен</w:t>
      </w:r>
      <w:bookmarkEnd w:id="24"/>
      <w:bookmarkEnd w:id="25"/>
    </w:p>
    <w:p w14:paraId="5186A593" w14:textId="77777777" w:rsidR="00761E07" w:rsidRPr="00A53AD7" w:rsidRDefault="00761E07" w:rsidP="00761E07">
      <w:pPr>
        <w:pStyle w:val="ad"/>
        <w:ind w:firstLine="851"/>
        <w:jc w:val="both"/>
        <w:rPr>
          <w:rFonts w:ascii="Times New Roman" w:hAnsi="Times New Roman"/>
          <w:sz w:val="28"/>
          <w:szCs w:val="28"/>
        </w:rPr>
      </w:pPr>
      <w:r w:rsidRPr="00A53AD7">
        <w:rPr>
          <w:rFonts w:ascii="Times New Roman" w:hAnsi="Times New Roman"/>
          <w:sz w:val="28"/>
          <w:szCs w:val="28"/>
        </w:rPr>
        <w:t>Показатель инфляции, измеряемый индексом потребительских цен и тарифов на товары и услуги, (декабрь 2019 года к декабрю 2018) составил 103,1 % (в 2018 году – 104,0 %, в 2017 году – 101,5 %, в 2016 году – 104,8 %, в 2015 году – 113,0 %).</w:t>
      </w:r>
    </w:p>
    <w:p w14:paraId="0BF05743"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Компоненты инфляции в разрезе товарных групп сложились следующим образом:</w:t>
      </w:r>
    </w:p>
    <w:p w14:paraId="1E505AB1"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рост цен на продовольственные товары составил 1,8 % (в 2018 году – 3,5 %, в 2017 году – 0,8 %, в 2016 году – 5,4 %, 2015 год – 12,6 %);</w:t>
      </w:r>
    </w:p>
    <w:p w14:paraId="0BB3F85E"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непродовольственные товары подорожали на 3,0 % (в 2018 году – 3,0 %, в 2017 году на 1,2 %, в 2016 году – 5,4 %, в 2015 год – 14,2 %);</w:t>
      </w:r>
    </w:p>
    <w:p w14:paraId="124BED3E"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услуги подорожали на 5,2 % (в 2018 году – 6,1 %, в 2017 году на 3,5 %, в 2016 году – на 2,6 %, в 2015 году – на 11,7 %).</w:t>
      </w:r>
    </w:p>
    <w:p w14:paraId="05D914C1"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Согласно предварительным статистическим данным установлено ежеквартальное удорожание по всем группам и видам товаров и услуг в Архангельской области, подвергающимся статистическому наблюдению. По сравнению с ростом индекса цен, наблюдаемым на рынке продовольственных и непродовольственных товаров в 2018 году (от 0,1 % до 6,1 %), в отчетном году ежеквартальный показатель роста цен в части продовольственных и непродовольственных товаров, услуг и варьировался в промежутке от 0,9 % до 5,2 %.</w:t>
      </w:r>
    </w:p>
    <w:p w14:paraId="73FDF08C"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Рост индексов цен на продовольственные товары без алкогольных напитков в отчетном году установлен почти на все виды продовольственных товаров, из них наиболее подорожали такие продукты:</w:t>
      </w:r>
    </w:p>
    <w:p w14:paraId="70023327" w14:textId="60C98F4D"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 xml:space="preserve">крупы и бобовые – 12,1 % (в 2018 году рост индекса потребительских цен </w:t>
      </w:r>
      <w:r w:rsidR="008F0D74" w:rsidRPr="00A53AD7">
        <w:rPr>
          <w:rFonts w:ascii="Times New Roman" w:hAnsi="Times New Roman"/>
          <w:sz w:val="28"/>
          <w:szCs w:val="28"/>
        </w:rPr>
        <w:t xml:space="preserve">составил </w:t>
      </w:r>
      <w:r w:rsidRPr="00A53AD7">
        <w:rPr>
          <w:rFonts w:ascii="Times New Roman" w:hAnsi="Times New Roman"/>
          <w:sz w:val="28"/>
          <w:szCs w:val="28"/>
        </w:rPr>
        <w:t>2,5% к 2017 году);</w:t>
      </w:r>
    </w:p>
    <w:p w14:paraId="1F714898" w14:textId="253321EC"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масло сливочное – 5,4 % (в 2018 году рост – на 0,9% к 2017 году);</w:t>
      </w:r>
    </w:p>
    <w:p w14:paraId="57FAB893" w14:textId="3695059C"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хлеб и хлебобулочные изделия – на 4,0 % (в 2018 году рост– на 7,4 %);</w:t>
      </w:r>
    </w:p>
    <w:p w14:paraId="4887B293" w14:textId="730A6D16"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рыба и морепродукты пищевые – на 4,0 % (в 2018 году рост – на 5,2 %);</w:t>
      </w:r>
    </w:p>
    <w:p w14:paraId="18DA7CB5" w14:textId="22DD374B"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молоко и молочная продукция – на 3,4 % (в 2018 году рост – на 1,2 %);</w:t>
      </w:r>
    </w:p>
    <w:p w14:paraId="10EEF44A"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Снижение индексов цен продовольственных товаров установлено на следующие продукты:</w:t>
      </w:r>
    </w:p>
    <w:p w14:paraId="3A1E67C4" w14:textId="7B53FCA6"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 xml:space="preserve">сахар-песок – на 34,1 % (в 2018 году </w:t>
      </w:r>
      <w:r w:rsidR="003C2557" w:rsidRPr="00A53AD7">
        <w:rPr>
          <w:rFonts w:ascii="Times New Roman" w:hAnsi="Times New Roman"/>
          <w:sz w:val="28"/>
          <w:szCs w:val="28"/>
        </w:rPr>
        <w:t>фиксируется</w:t>
      </w:r>
      <w:r w:rsidRPr="00A53AD7">
        <w:rPr>
          <w:rFonts w:ascii="Times New Roman" w:hAnsi="Times New Roman"/>
          <w:sz w:val="28"/>
          <w:szCs w:val="28"/>
        </w:rPr>
        <w:t xml:space="preserve"> рост индекса потребительских цен к показателям 2017 года, что составляет 124,7 %);</w:t>
      </w:r>
    </w:p>
    <w:p w14:paraId="3B7F9C7A" w14:textId="4220C0CA"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яйца – на 10,9 %, (в 2018 году установлен рост индекса потребительских цен к показателям 2017 года, что составляет 141,8 %);</w:t>
      </w:r>
    </w:p>
    <w:p w14:paraId="29A2B8BB" w14:textId="3B6E4CC2"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lastRenderedPageBreak/>
        <w:t>масло подсолнечное – на 3,9 % (в 2018 году установлено снижение индекса потребительских цен к показателям 2017 года, что составляет 99,2 %).</w:t>
      </w:r>
    </w:p>
    <w:p w14:paraId="6295B18D"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Рост индексов цен в 2019 году (декабрь к декабрю 2018 года) установлен практически по всем наблюдаемым позициям непродовольственных товаров, кроме телерадиотоваров.</w:t>
      </w:r>
    </w:p>
    <w:p w14:paraId="23C96356" w14:textId="39F90910"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Лидером по росту цен </w:t>
      </w:r>
      <w:r w:rsidR="003C2557" w:rsidRPr="00A53AD7">
        <w:rPr>
          <w:rFonts w:ascii="Times New Roman" w:hAnsi="Times New Roman"/>
          <w:sz w:val="28"/>
          <w:szCs w:val="28"/>
        </w:rPr>
        <w:t xml:space="preserve">на </w:t>
      </w:r>
      <w:r w:rsidRPr="00A53AD7">
        <w:rPr>
          <w:rFonts w:ascii="Times New Roman" w:hAnsi="Times New Roman"/>
          <w:sz w:val="28"/>
          <w:szCs w:val="28"/>
        </w:rPr>
        <w:t>непродовольственны</w:t>
      </w:r>
      <w:r w:rsidR="003C2557" w:rsidRPr="00A53AD7">
        <w:rPr>
          <w:rFonts w:ascii="Times New Roman" w:hAnsi="Times New Roman"/>
          <w:sz w:val="28"/>
          <w:szCs w:val="28"/>
        </w:rPr>
        <w:t>е</w:t>
      </w:r>
      <w:r w:rsidRPr="00A53AD7">
        <w:rPr>
          <w:rFonts w:ascii="Times New Roman" w:hAnsi="Times New Roman"/>
          <w:sz w:val="28"/>
          <w:szCs w:val="28"/>
        </w:rPr>
        <w:t xml:space="preserve"> товар</w:t>
      </w:r>
      <w:r w:rsidR="003C2557" w:rsidRPr="00A53AD7">
        <w:rPr>
          <w:rFonts w:ascii="Times New Roman" w:hAnsi="Times New Roman"/>
          <w:sz w:val="28"/>
          <w:szCs w:val="28"/>
        </w:rPr>
        <w:t>ы</w:t>
      </w:r>
      <w:r w:rsidRPr="00A53AD7">
        <w:rPr>
          <w:rFonts w:ascii="Times New Roman" w:hAnsi="Times New Roman"/>
          <w:sz w:val="28"/>
          <w:szCs w:val="28"/>
        </w:rPr>
        <w:t xml:space="preserve">, как и в прошлом году, стали табачные изделия, по которым рост составил 8,4 % к декабрю 2018 года (рост цен к декабрю 2017 года на 9,5 %); медикаменты – на 4,3 % (к декабрю 2017 года на 1,0 %), бензин автомобильный подорожал на 3,5% к декабрю 2018 года </w:t>
      </w:r>
      <w:r w:rsidR="003C2557" w:rsidRPr="00A53AD7">
        <w:rPr>
          <w:rFonts w:ascii="Times New Roman" w:hAnsi="Times New Roman"/>
          <w:sz w:val="28"/>
          <w:szCs w:val="28"/>
        </w:rPr>
        <w:t>(к декабрю 2017 года на 8,1 %).</w:t>
      </w:r>
    </w:p>
    <w:p w14:paraId="7FF4B06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Ежегодно в сфере жилищно-коммунального хозяйства происходит удорожание тарифов (декабрь к декабрю предыдущего года): в 2019 году составляет 3,7 % (3,7 % – в 2018 году, 6,8 % – в 2017 году, 3,9 % – в 2016 году, 6,4 % – в 2015 году).</w:t>
      </w:r>
    </w:p>
    <w:p w14:paraId="692081A3"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Рост тарифов на жилищные услуги (декабрь к декабрю предыдущего года) в 2019 году составляет 4,5 % (4,7 % в 2018 году, 7,9 % – в 2017 году, в 2016 году – 4,5 %, в 2015 году – 6,4 %), из них:</w:t>
      </w:r>
    </w:p>
    <w:p w14:paraId="1F1A2DCC" w14:textId="2A8A633C"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оплата жилья в домах государственного и муниципального жилищного фонда – на 1,2 % (на 10,3 % в 2018 году, на 16,2 % в 2017 году, на 3,4 % в 2016 году, на 11,6 % в 2015 году);</w:t>
      </w:r>
    </w:p>
    <w:p w14:paraId="4A5BADF2" w14:textId="06887C58"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содержание и ремонт жилья для граждан – собственников жилья… – на 8,4 % (на 2,9% в 2018 году, на 14,0 % в 2017 году, на 4,0 % в 2016 году, на 3,9 % в 2015 году);</w:t>
      </w:r>
    </w:p>
    <w:p w14:paraId="3A2CF7A7" w14:textId="566E3633"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взносы на капитальный ремонт – 4,8 % (в 2018 году на 5,5 %, в 2017 году на 7,5 %, на 14,0 % в 2016 году, на 9,6 % в 2015 году).</w:t>
      </w:r>
    </w:p>
    <w:p w14:paraId="6A259A3B"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Рост тарифов на коммунальные услуги (декабрь 2019 года к декабрю 2018 года), что в целом в 2019 году составляет – 3,3 % (в 2018 году составляет – 3,1 %, в 2017 году – 6,5 %, в 2016 году – 3,8 %, в 2015 году – 5,9 %), из них:</w:t>
      </w:r>
    </w:p>
    <w:p w14:paraId="3F9ABE19"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тарифы на холодное водоснабжение и водоотведение – на 3,9 % (в 2018 году на 6,0 %, в 2017 году на 20,0 %, на 5,4 % в 2016 году, на 13,9 % в 2015 году);</w:t>
      </w:r>
    </w:p>
    <w:p w14:paraId="2E7B97CE"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горячее водоснабжение – на 3,5 % (в 2018 году на 4,2 %, в 2017 году – 7,6 %, на 3,8 % в 2016 году, на 3,6 % в 2015 году);</w:t>
      </w:r>
    </w:p>
    <w:p w14:paraId="567B81B1" w14:textId="666C647D"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газоснабжение на 3,5 % (в 2018 году на 4,0 %, в 2017 году – 4,1 %, на 4,5 %</w:t>
      </w:r>
      <w:r w:rsidR="006B7203" w:rsidRPr="00A53AD7">
        <w:rPr>
          <w:rFonts w:ascii="Times New Roman" w:hAnsi="Times New Roman"/>
          <w:sz w:val="28"/>
          <w:szCs w:val="28"/>
        </w:rPr>
        <w:t>,</w:t>
      </w:r>
      <w:r w:rsidRPr="00A53AD7">
        <w:rPr>
          <w:rFonts w:ascii="Times New Roman" w:hAnsi="Times New Roman"/>
          <w:sz w:val="28"/>
          <w:szCs w:val="28"/>
        </w:rPr>
        <w:t xml:space="preserve"> в 2016 году</w:t>
      </w:r>
      <w:r w:rsidR="006B7203" w:rsidRPr="00A53AD7">
        <w:rPr>
          <w:rFonts w:ascii="Times New Roman" w:hAnsi="Times New Roman"/>
          <w:sz w:val="28"/>
          <w:szCs w:val="28"/>
        </w:rPr>
        <w:t xml:space="preserve"> – </w:t>
      </w:r>
      <w:r w:rsidRPr="00A53AD7">
        <w:rPr>
          <w:rFonts w:ascii="Times New Roman" w:hAnsi="Times New Roman"/>
          <w:sz w:val="28"/>
          <w:szCs w:val="28"/>
        </w:rPr>
        <w:t>на 7,5 % в 2015 году);</w:t>
      </w:r>
    </w:p>
    <w:p w14:paraId="5B2B448E" w14:textId="48C45E09"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электроснабжение на 2,9 % (в 2018 г</w:t>
      </w:r>
      <w:r w:rsidR="006B7203" w:rsidRPr="00A53AD7">
        <w:rPr>
          <w:rFonts w:ascii="Times New Roman" w:hAnsi="Times New Roman"/>
          <w:sz w:val="28"/>
          <w:szCs w:val="28"/>
        </w:rPr>
        <w:t>оду на 3,9 %, в 2017 году – 4,1</w:t>
      </w:r>
      <w:r w:rsidR="006B7203" w:rsidRPr="00A53AD7">
        <w:rPr>
          <w:rFonts w:ascii="Times New Roman" w:hAnsi="Times New Roman"/>
          <w:sz w:val="28"/>
          <w:szCs w:val="28"/>
          <w:lang w:val="en-US"/>
        </w:rPr>
        <w:t> </w:t>
      </w:r>
      <w:r w:rsidRPr="00A53AD7">
        <w:rPr>
          <w:rFonts w:ascii="Times New Roman" w:hAnsi="Times New Roman"/>
          <w:sz w:val="28"/>
          <w:szCs w:val="28"/>
        </w:rPr>
        <w:t>%, на 2,1 % в 2016 году</w:t>
      </w:r>
      <w:r w:rsidR="006B7203" w:rsidRPr="00A53AD7">
        <w:rPr>
          <w:rFonts w:ascii="Times New Roman" w:hAnsi="Times New Roman"/>
          <w:sz w:val="28"/>
          <w:szCs w:val="28"/>
        </w:rPr>
        <w:t xml:space="preserve"> – </w:t>
      </w:r>
      <w:r w:rsidRPr="00A53AD7">
        <w:rPr>
          <w:rFonts w:ascii="Times New Roman" w:hAnsi="Times New Roman"/>
          <w:sz w:val="28"/>
          <w:szCs w:val="28"/>
        </w:rPr>
        <w:t>на 7,2 % в 2015 году);</w:t>
      </w:r>
    </w:p>
    <w:p w14:paraId="25F1F2F3"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отопление на 3,3 % (в 2018 году на 0,8 %, в 2017 году – 3,3 %, на 4,2 % в 2016 году, на 2,6 % в 2015 году).</w:t>
      </w:r>
    </w:p>
    <w:p w14:paraId="4E021551"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Установлен ежегодный рост индексов потребительских цен (тарифов) (декабрь к декабрю предыдущего года) по группам и видам услуг:</w:t>
      </w:r>
    </w:p>
    <w:p w14:paraId="40F89161" w14:textId="50B7DA12"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услуги связи 12,7 % (в 2018 году установлен рост на 3,0 %, в 2017 году – 4,6 %);</w:t>
      </w:r>
    </w:p>
    <w:p w14:paraId="1AEDFE9F" w14:textId="027ECDC6"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lastRenderedPageBreak/>
        <w:t>услуги пассажирского транспорта – 10,6 % (в 2018 году – 15,0 %, в 2017 – на 1,3%, в 2016 – на 7,4 %);</w:t>
      </w:r>
    </w:p>
    <w:p w14:paraId="374DDF12" w14:textId="4A071982"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услуги в сфере зарубежного туризма – 9,0 % (в 2018 году – 23,1 %, в 2017 году – 7,1 %, в 2016 году – снижение на 20,8 %, 2015 год – рост на 36,3 %);</w:t>
      </w:r>
    </w:p>
    <w:p w14:paraId="4173900D" w14:textId="1F2CE13C"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медицинские услуги – 6,1 % (в 2018 году установлен рост на 5,4 %, в 2017 году – 4,5 %);</w:t>
      </w:r>
    </w:p>
    <w:p w14:paraId="096A2CC0" w14:textId="2708348D"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санаторно-оздоровительные услуги – 4,2 % (в 2018 году установлен рост на 29,7%, в 2017 году было установлено снижение на 29,4 %, в 2016 году установлен рост на 7,4 %);</w:t>
      </w:r>
    </w:p>
    <w:p w14:paraId="4943760D" w14:textId="77777777" w:rsidR="003B5BDA" w:rsidRPr="00A53AD7" w:rsidRDefault="003B5BDA" w:rsidP="003B5BDA">
      <w:pPr>
        <w:pStyle w:val="ad"/>
        <w:ind w:firstLine="851"/>
        <w:jc w:val="both"/>
        <w:rPr>
          <w:rFonts w:ascii="Times New Roman" w:hAnsi="Times New Roman"/>
          <w:sz w:val="28"/>
          <w:szCs w:val="28"/>
        </w:rPr>
      </w:pPr>
      <w:bookmarkStart w:id="28" w:name="_Toc515024205"/>
      <w:r w:rsidRPr="00A53AD7">
        <w:rPr>
          <w:rFonts w:ascii="Times New Roman" w:hAnsi="Times New Roman"/>
          <w:sz w:val="28"/>
          <w:szCs w:val="28"/>
        </w:rPr>
        <w:t>Из всего наблюдаемого перечня потребительских цен (тарифов) на отдельные группы и виды услуг снижение индекса цен (декабрь 2019 года к декабрю 2018 года) установлено на услуги организации культуры на 4,6 % (в 2018 году – на 1,2 %, 2017 году – 102,6 %) и на услуги страхования – на 3,3 % (в 2018 году – на 1,7 %, в 2017 году на 4,0 %).</w:t>
      </w:r>
    </w:p>
    <w:p w14:paraId="3C14A252"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отчетном году в регионе удорожание коснулось большинства видов продовольственных и непродовольственных товаров, жилищно-коммунальных и потребительских услуг.</w:t>
      </w:r>
    </w:p>
    <w:p w14:paraId="7EA3F635" w14:textId="77777777" w:rsidR="003B5BDA" w:rsidRPr="00A53AD7" w:rsidRDefault="003B5BDA" w:rsidP="003B5BDA">
      <w:pPr>
        <w:pStyle w:val="2"/>
        <w:spacing w:before="120" w:after="0" w:line="240" w:lineRule="auto"/>
        <w:jc w:val="center"/>
        <w:rPr>
          <w:rFonts w:ascii="Times New Roman" w:hAnsi="Times New Roman"/>
          <w:lang w:val="ru-RU"/>
        </w:rPr>
      </w:pPr>
      <w:bookmarkStart w:id="29" w:name="_Toc9262558"/>
      <w:bookmarkStart w:id="30" w:name="_Toc42006708"/>
      <w:r w:rsidRPr="00A53AD7">
        <w:rPr>
          <w:rFonts w:ascii="Times New Roman" w:hAnsi="Times New Roman"/>
          <w:lang w:val="ru-RU"/>
        </w:rPr>
        <w:t>1.7. Оборот розничной торговли в Архангельской области</w:t>
      </w:r>
      <w:bookmarkEnd w:id="28"/>
      <w:bookmarkEnd w:id="29"/>
      <w:bookmarkEnd w:id="30"/>
    </w:p>
    <w:p w14:paraId="732947F6" w14:textId="3CED2942"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Сравнение прогнозных и фактических показателей оборота розничной торговли Архангельской области в 2015 – 2019 годах представлено на рисунке</w:t>
      </w:r>
      <w:r w:rsidR="006B7203" w:rsidRPr="00A53AD7">
        <w:rPr>
          <w:rFonts w:ascii="Times New Roman" w:hAnsi="Times New Roman"/>
          <w:sz w:val="28"/>
          <w:szCs w:val="28"/>
        </w:rPr>
        <w:t xml:space="preserve"> </w:t>
      </w:r>
      <w:r w:rsidR="00DE2A72" w:rsidRPr="00A53AD7">
        <w:rPr>
          <w:rFonts w:ascii="Times New Roman" w:hAnsi="Times New Roman"/>
          <w:sz w:val="28"/>
          <w:szCs w:val="28"/>
        </w:rPr>
        <w:t>7</w:t>
      </w:r>
      <w:r w:rsidRPr="00A53AD7">
        <w:rPr>
          <w:rFonts w:ascii="Times New Roman" w:hAnsi="Times New Roman"/>
          <w:sz w:val="28"/>
          <w:szCs w:val="28"/>
        </w:rPr>
        <w:t>.</w:t>
      </w:r>
    </w:p>
    <w:p w14:paraId="11BA9A30" w14:textId="77777777" w:rsidR="003B5BDA" w:rsidRPr="00A53AD7" w:rsidRDefault="003B5BDA" w:rsidP="00791567">
      <w:pPr>
        <w:pStyle w:val="ad"/>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D206A34" wp14:editId="6F8717A6">
            <wp:extent cx="5713787" cy="2958353"/>
            <wp:effectExtent l="0" t="0" r="127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2162" cy="2973045"/>
                    </a:xfrm>
                    <a:prstGeom prst="rect">
                      <a:avLst/>
                    </a:prstGeom>
                    <a:noFill/>
                  </pic:spPr>
                </pic:pic>
              </a:graphicData>
            </a:graphic>
          </wp:inline>
        </w:drawing>
      </w:r>
    </w:p>
    <w:p w14:paraId="3EB9D39E" w14:textId="507BE558" w:rsidR="003B5BDA" w:rsidRPr="00A53AD7" w:rsidRDefault="006B7203" w:rsidP="003B5BDA">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7</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 xml:space="preserve">Отклонение оборота розничной торговли Архангельской области (без НАО) (в процентах к предыдущему году) в части прогнозных и фактических показателей в 2015-2019 годах </w:t>
      </w:r>
    </w:p>
    <w:p w14:paraId="79F8265E" w14:textId="77777777" w:rsidR="003B5BDA" w:rsidRPr="00A53AD7" w:rsidRDefault="003B5BDA" w:rsidP="003B5BDA">
      <w:pPr>
        <w:pStyle w:val="ad"/>
        <w:ind w:firstLine="851"/>
        <w:jc w:val="both"/>
        <w:rPr>
          <w:rFonts w:ascii="Times New Roman" w:hAnsi="Times New Roman"/>
        </w:rPr>
      </w:pPr>
    </w:p>
    <w:p w14:paraId="3FE4D969"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целом в части прогнозных и фактических показателей оборота розничной торговли Архангельской области (без НАО) в 2015 – 2019 годах значительных отклонений не установлено.</w:t>
      </w:r>
    </w:p>
    <w:p w14:paraId="67050D3E" w14:textId="77777777" w:rsidR="00791567"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lastRenderedPageBreak/>
        <w:t>По Оценке 2019 года оборот розничной торговли региона составлял 266 437,48 млн.руб. или 100,4 % к предыдущему году. Сложившийся показатель за 2019 год несколько ниже ожидаемого и составляет 262 879,9 млн.руб. или 99,4 % в сопоставимых ценах к предыдущему году. В 2018 году оборот розничной торговли региона составлял 254 215,9 млн.руб. или 103,6 % в сопоставимых ценах к 2017 году.</w:t>
      </w:r>
    </w:p>
    <w:p w14:paraId="49757553" w14:textId="0FF09DB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предыдущие годы оборот розничной торговли в регионе составлял: в 2017 году – 102,7 %, в 2016 году – 96,6 %, в 2015 году – 92,1 %. Показатель оборота розничной торговли Архангельской области в отчетном году ниже среднероссийского (101,6 %) и СЗФО (101,3 %). </w:t>
      </w:r>
    </w:p>
    <w:p w14:paraId="62FAADA5" w14:textId="40D4FEE1"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структуре оборота розничной торговли Архангельской области удельный вес пищевых продуктов, включая напитки, и табачных изделий составил 52,5 %, непродовольственных товаров – 47,5 %</w:t>
      </w:r>
      <w:r w:rsidR="00791567" w:rsidRPr="00A53AD7">
        <w:rPr>
          <w:rFonts w:ascii="Times New Roman" w:hAnsi="Times New Roman"/>
          <w:sz w:val="28"/>
          <w:szCs w:val="28"/>
        </w:rPr>
        <w:t>.</w:t>
      </w:r>
      <w:r w:rsidRPr="00A53AD7">
        <w:rPr>
          <w:rFonts w:ascii="Times New Roman" w:hAnsi="Times New Roman"/>
          <w:sz w:val="28"/>
          <w:szCs w:val="28"/>
        </w:rPr>
        <w:t xml:space="preserve"> </w:t>
      </w:r>
      <w:r w:rsidR="00791567" w:rsidRPr="00A53AD7">
        <w:rPr>
          <w:rFonts w:ascii="Times New Roman" w:hAnsi="Times New Roman"/>
          <w:sz w:val="28"/>
          <w:szCs w:val="28"/>
        </w:rPr>
        <w:t>В</w:t>
      </w:r>
      <w:r w:rsidRPr="00A53AD7">
        <w:rPr>
          <w:rFonts w:ascii="Times New Roman" w:hAnsi="Times New Roman"/>
          <w:sz w:val="28"/>
          <w:szCs w:val="28"/>
        </w:rPr>
        <w:t xml:space="preserve"> 2018 году удельный вес пищевых продуктов, включая напитки, и табачных изделий состав</w:t>
      </w:r>
      <w:r w:rsidR="00791567" w:rsidRPr="00A53AD7">
        <w:rPr>
          <w:rFonts w:ascii="Times New Roman" w:hAnsi="Times New Roman"/>
          <w:sz w:val="28"/>
          <w:szCs w:val="28"/>
        </w:rPr>
        <w:t>лял</w:t>
      </w:r>
      <w:r w:rsidRPr="00A53AD7">
        <w:rPr>
          <w:rFonts w:ascii="Times New Roman" w:hAnsi="Times New Roman"/>
          <w:sz w:val="28"/>
          <w:szCs w:val="28"/>
        </w:rPr>
        <w:t xml:space="preserve"> 52,1 %, непродовольственных товаров – 47,9 %, в 2017 году соответственно: 53,4 % и 46,6 %; в 2016 году соответственно: 55,5 % и 44,5 %).</w:t>
      </w:r>
    </w:p>
    <w:p w14:paraId="45E46E81"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показателей структуры оборота розничной торговли Архангельской области по ряду лет указывает на уменьшение доли пищевых продуктов, включая напитки, и табачных изделий, и увеличение доли непродовольственных товаров, что, возможно, является следствием экономии населения на питании и (или) приобретение пищевых продуктов по более низкой стоимости. </w:t>
      </w:r>
    </w:p>
    <w:p w14:paraId="6770235A" w14:textId="210BB8BA"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Оборот розничной торговли пищевыми продуктами, включая напитки, и табачные изделия, а также непродовольственными товарами (в % к соответствующему периоду предыдущего года) в течение ряда лет представлен в таблице</w:t>
      </w:r>
      <w:r w:rsidR="00F71A54" w:rsidRPr="00A53AD7">
        <w:rPr>
          <w:rFonts w:ascii="Times New Roman" w:hAnsi="Times New Roman"/>
          <w:sz w:val="28"/>
          <w:szCs w:val="28"/>
        </w:rPr>
        <w:t xml:space="preserve"> </w:t>
      </w:r>
      <w:r w:rsidR="00DE2A72" w:rsidRPr="00A53AD7">
        <w:rPr>
          <w:rFonts w:ascii="Times New Roman" w:hAnsi="Times New Roman"/>
          <w:sz w:val="28"/>
          <w:szCs w:val="28"/>
        </w:rPr>
        <w:t>9</w:t>
      </w:r>
      <w:r w:rsidRPr="00A53AD7">
        <w:rPr>
          <w:rFonts w:ascii="Times New Roman" w:hAnsi="Times New Roman"/>
          <w:sz w:val="28"/>
          <w:szCs w:val="28"/>
        </w:rPr>
        <w:t>:</w:t>
      </w:r>
    </w:p>
    <w:p w14:paraId="54092164" w14:textId="77777777" w:rsidR="003B5BDA" w:rsidRPr="00A53AD7" w:rsidRDefault="003B5BDA" w:rsidP="003B5BDA">
      <w:pPr>
        <w:pStyle w:val="ad"/>
        <w:ind w:firstLine="851"/>
        <w:jc w:val="both"/>
        <w:rPr>
          <w:rFonts w:ascii="Times New Roman" w:hAnsi="Times New Roman"/>
          <w:sz w:val="28"/>
          <w:szCs w:val="28"/>
        </w:rPr>
      </w:pPr>
    </w:p>
    <w:p w14:paraId="7D52D02B" w14:textId="3182E773" w:rsidR="003B5BDA" w:rsidRPr="00A53AD7" w:rsidRDefault="00F71A54" w:rsidP="00F71A54">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9</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Оборот розничной торговли к предыдущему году по данным статистики (в сопоставимых ценах), %</w:t>
      </w:r>
    </w:p>
    <w:tbl>
      <w:tblPr>
        <w:tblW w:w="9258" w:type="dxa"/>
        <w:tblLook w:val="04A0" w:firstRow="1" w:lastRow="0" w:firstColumn="1" w:lastColumn="0" w:noHBand="0" w:noVBand="1"/>
      </w:tblPr>
      <w:tblGrid>
        <w:gridCol w:w="4708"/>
        <w:gridCol w:w="1164"/>
        <w:gridCol w:w="1118"/>
        <w:gridCol w:w="1134"/>
        <w:gridCol w:w="1134"/>
      </w:tblGrid>
      <w:tr w:rsidR="00A53AD7" w:rsidRPr="00A53AD7" w14:paraId="06601D32" w14:textId="77777777" w:rsidTr="00486D90">
        <w:trPr>
          <w:trHeight w:val="120"/>
        </w:trPr>
        <w:tc>
          <w:tcPr>
            <w:tcW w:w="470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D08EF77" w14:textId="77777777" w:rsidR="00486D90" w:rsidRPr="00A53AD7" w:rsidRDefault="00486D90"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показателя</w:t>
            </w:r>
          </w:p>
        </w:tc>
        <w:tc>
          <w:tcPr>
            <w:tcW w:w="1164" w:type="dxa"/>
            <w:tcBorders>
              <w:top w:val="double" w:sz="6" w:space="0" w:color="auto"/>
              <w:left w:val="nil"/>
              <w:bottom w:val="single" w:sz="4" w:space="0" w:color="auto"/>
              <w:right w:val="single" w:sz="4" w:space="0" w:color="auto"/>
            </w:tcBorders>
            <w:shd w:val="clear" w:color="auto" w:fill="auto"/>
            <w:vAlign w:val="center"/>
            <w:hideMark/>
          </w:tcPr>
          <w:p w14:paraId="0A4F2B26" w14:textId="77777777" w:rsidR="00486D90" w:rsidRPr="00A53AD7" w:rsidRDefault="00486D90"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2016 год</w:t>
            </w:r>
          </w:p>
        </w:tc>
        <w:tc>
          <w:tcPr>
            <w:tcW w:w="1118" w:type="dxa"/>
            <w:tcBorders>
              <w:top w:val="double" w:sz="6" w:space="0" w:color="auto"/>
              <w:left w:val="nil"/>
              <w:bottom w:val="single" w:sz="4" w:space="0" w:color="auto"/>
              <w:right w:val="single" w:sz="4" w:space="0" w:color="auto"/>
            </w:tcBorders>
            <w:shd w:val="clear" w:color="auto" w:fill="auto"/>
            <w:vAlign w:val="center"/>
            <w:hideMark/>
          </w:tcPr>
          <w:p w14:paraId="1A370EB3" w14:textId="77777777" w:rsidR="00486D90" w:rsidRPr="00A53AD7" w:rsidRDefault="00486D90"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2017 год</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4D3B9DDA" w14:textId="77777777" w:rsidR="00486D90" w:rsidRPr="00A53AD7" w:rsidRDefault="00486D90"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 год</w:t>
            </w:r>
          </w:p>
        </w:tc>
        <w:tc>
          <w:tcPr>
            <w:tcW w:w="1134" w:type="dxa"/>
            <w:tcBorders>
              <w:top w:val="double" w:sz="6" w:space="0" w:color="auto"/>
              <w:left w:val="nil"/>
              <w:bottom w:val="single" w:sz="4" w:space="0" w:color="auto"/>
              <w:right w:val="double" w:sz="6" w:space="0" w:color="auto"/>
            </w:tcBorders>
            <w:shd w:val="clear" w:color="auto" w:fill="auto"/>
            <w:vAlign w:val="center"/>
            <w:hideMark/>
          </w:tcPr>
          <w:p w14:paraId="03239036" w14:textId="77777777" w:rsidR="00486D90" w:rsidRPr="00A53AD7" w:rsidRDefault="00486D90"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год</w:t>
            </w:r>
          </w:p>
        </w:tc>
      </w:tr>
      <w:tr w:rsidR="00A53AD7" w:rsidRPr="00A53AD7" w14:paraId="63727C13" w14:textId="77777777" w:rsidTr="00486D90">
        <w:trPr>
          <w:trHeight w:val="246"/>
        </w:trPr>
        <w:tc>
          <w:tcPr>
            <w:tcW w:w="4708" w:type="dxa"/>
            <w:tcBorders>
              <w:top w:val="nil"/>
              <w:left w:val="double" w:sz="6" w:space="0" w:color="auto"/>
              <w:bottom w:val="single" w:sz="4" w:space="0" w:color="auto"/>
              <w:right w:val="single" w:sz="4" w:space="0" w:color="auto"/>
            </w:tcBorders>
            <w:shd w:val="clear" w:color="auto" w:fill="auto"/>
            <w:vAlign w:val="bottom"/>
            <w:hideMark/>
          </w:tcPr>
          <w:p w14:paraId="304CB5C6" w14:textId="77777777" w:rsidR="00486D90" w:rsidRPr="00A53AD7" w:rsidRDefault="00486D90"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Оборот розничной торговли, в том числе:</w:t>
            </w:r>
          </w:p>
        </w:tc>
        <w:tc>
          <w:tcPr>
            <w:tcW w:w="1164" w:type="dxa"/>
            <w:tcBorders>
              <w:top w:val="nil"/>
              <w:left w:val="nil"/>
              <w:bottom w:val="single" w:sz="4" w:space="0" w:color="auto"/>
              <w:right w:val="single" w:sz="4" w:space="0" w:color="auto"/>
            </w:tcBorders>
            <w:shd w:val="clear" w:color="auto" w:fill="auto"/>
            <w:vAlign w:val="bottom"/>
            <w:hideMark/>
          </w:tcPr>
          <w:p w14:paraId="5FCB6511"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96,6</w:t>
            </w:r>
          </w:p>
        </w:tc>
        <w:tc>
          <w:tcPr>
            <w:tcW w:w="1118" w:type="dxa"/>
            <w:tcBorders>
              <w:top w:val="nil"/>
              <w:left w:val="nil"/>
              <w:bottom w:val="single" w:sz="4" w:space="0" w:color="auto"/>
              <w:right w:val="single" w:sz="4" w:space="0" w:color="auto"/>
            </w:tcBorders>
            <w:shd w:val="clear" w:color="auto" w:fill="auto"/>
            <w:vAlign w:val="bottom"/>
            <w:hideMark/>
          </w:tcPr>
          <w:p w14:paraId="18F12ECF"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102,7</w:t>
            </w:r>
          </w:p>
        </w:tc>
        <w:tc>
          <w:tcPr>
            <w:tcW w:w="1134" w:type="dxa"/>
            <w:tcBorders>
              <w:top w:val="nil"/>
              <w:left w:val="nil"/>
              <w:bottom w:val="single" w:sz="4" w:space="0" w:color="auto"/>
              <w:right w:val="single" w:sz="4" w:space="0" w:color="auto"/>
            </w:tcBorders>
            <w:shd w:val="clear" w:color="auto" w:fill="auto"/>
            <w:vAlign w:val="bottom"/>
            <w:hideMark/>
          </w:tcPr>
          <w:p w14:paraId="779D6D19"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103,6</w:t>
            </w:r>
          </w:p>
        </w:tc>
        <w:tc>
          <w:tcPr>
            <w:tcW w:w="1134" w:type="dxa"/>
            <w:tcBorders>
              <w:top w:val="nil"/>
              <w:left w:val="nil"/>
              <w:bottom w:val="single" w:sz="4" w:space="0" w:color="auto"/>
              <w:right w:val="double" w:sz="6" w:space="0" w:color="auto"/>
            </w:tcBorders>
            <w:shd w:val="clear" w:color="auto" w:fill="auto"/>
            <w:vAlign w:val="bottom"/>
            <w:hideMark/>
          </w:tcPr>
          <w:p w14:paraId="6D6F573C"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99,4</w:t>
            </w:r>
          </w:p>
        </w:tc>
      </w:tr>
      <w:tr w:rsidR="00A53AD7" w:rsidRPr="00A53AD7" w14:paraId="2CFFBE3E" w14:textId="77777777" w:rsidTr="00486D90">
        <w:trPr>
          <w:trHeight w:val="447"/>
        </w:trPr>
        <w:tc>
          <w:tcPr>
            <w:tcW w:w="4708" w:type="dxa"/>
            <w:tcBorders>
              <w:top w:val="nil"/>
              <w:left w:val="double" w:sz="6" w:space="0" w:color="auto"/>
              <w:bottom w:val="single" w:sz="4" w:space="0" w:color="auto"/>
              <w:right w:val="single" w:sz="4" w:space="0" w:color="auto"/>
            </w:tcBorders>
            <w:shd w:val="clear" w:color="auto" w:fill="auto"/>
            <w:vAlign w:val="bottom"/>
            <w:hideMark/>
          </w:tcPr>
          <w:p w14:paraId="3A0ED8AB" w14:textId="77777777" w:rsidR="00486D90" w:rsidRPr="00A53AD7" w:rsidRDefault="00486D90" w:rsidP="003B5BDA">
            <w:pPr>
              <w:spacing w:after="0" w:line="240" w:lineRule="auto"/>
              <w:ind w:firstLine="176"/>
              <w:rPr>
                <w:rFonts w:ascii="Times New Roman" w:eastAsia="Times New Roman" w:hAnsi="Times New Roman"/>
                <w:lang w:eastAsia="ru-RU"/>
              </w:rPr>
            </w:pPr>
            <w:r w:rsidRPr="00A53AD7">
              <w:rPr>
                <w:rFonts w:ascii="Times New Roman" w:eastAsia="Times New Roman" w:hAnsi="Times New Roman"/>
                <w:lang w:eastAsia="ru-RU"/>
              </w:rPr>
              <w:t>Пищевые продукты, включая напитки, и табачные изделия</w:t>
            </w:r>
          </w:p>
        </w:tc>
        <w:tc>
          <w:tcPr>
            <w:tcW w:w="1164" w:type="dxa"/>
            <w:tcBorders>
              <w:top w:val="nil"/>
              <w:left w:val="nil"/>
              <w:bottom w:val="single" w:sz="4" w:space="0" w:color="auto"/>
              <w:right w:val="single" w:sz="4" w:space="0" w:color="auto"/>
            </w:tcBorders>
            <w:shd w:val="clear" w:color="auto" w:fill="auto"/>
            <w:vAlign w:val="bottom"/>
            <w:hideMark/>
          </w:tcPr>
          <w:p w14:paraId="5F27B439"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96,2</w:t>
            </w:r>
          </w:p>
        </w:tc>
        <w:tc>
          <w:tcPr>
            <w:tcW w:w="1118" w:type="dxa"/>
            <w:tcBorders>
              <w:top w:val="nil"/>
              <w:left w:val="nil"/>
              <w:bottom w:val="single" w:sz="4" w:space="0" w:color="auto"/>
              <w:right w:val="single" w:sz="4" w:space="0" w:color="auto"/>
            </w:tcBorders>
            <w:shd w:val="clear" w:color="auto" w:fill="auto"/>
            <w:vAlign w:val="bottom"/>
            <w:hideMark/>
          </w:tcPr>
          <w:p w14:paraId="1139CB79"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98,0</w:t>
            </w:r>
          </w:p>
        </w:tc>
        <w:tc>
          <w:tcPr>
            <w:tcW w:w="1134" w:type="dxa"/>
            <w:tcBorders>
              <w:top w:val="nil"/>
              <w:left w:val="nil"/>
              <w:bottom w:val="single" w:sz="4" w:space="0" w:color="auto"/>
              <w:right w:val="single" w:sz="4" w:space="0" w:color="auto"/>
            </w:tcBorders>
            <w:shd w:val="clear" w:color="auto" w:fill="auto"/>
            <w:vAlign w:val="bottom"/>
            <w:hideMark/>
          </w:tcPr>
          <w:p w14:paraId="713F8F7C"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101,7</w:t>
            </w:r>
          </w:p>
        </w:tc>
        <w:tc>
          <w:tcPr>
            <w:tcW w:w="1134" w:type="dxa"/>
            <w:tcBorders>
              <w:top w:val="nil"/>
              <w:left w:val="nil"/>
              <w:bottom w:val="single" w:sz="4" w:space="0" w:color="auto"/>
              <w:right w:val="double" w:sz="6" w:space="0" w:color="auto"/>
            </w:tcBorders>
            <w:shd w:val="clear" w:color="auto" w:fill="auto"/>
            <w:vAlign w:val="bottom"/>
            <w:hideMark/>
          </w:tcPr>
          <w:p w14:paraId="2E708088"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99,6</w:t>
            </w:r>
          </w:p>
        </w:tc>
      </w:tr>
      <w:tr w:rsidR="00486D90" w:rsidRPr="00A53AD7" w14:paraId="66A5FF7F" w14:textId="77777777" w:rsidTr="00486D90">
        <w:trPr>
          <w:trHeight w:val="71"/>
        </w:trPr>
        <w:tc>
          <w:tcPr>
            <w:tcW w:w="4708" w:type="dxa"/>
            <w:tcBorders>
              <w:top w:val="nil"/>
              <w:left w:val="double" w:sz="6" w:space="0" w:color="auto"/>
              <w:bottom w:val="double" w:sz="6" w:space="0" w:color="auto"/>
              <w:right w:val="single" w:sz="4" w:space="0" w:color="auto"/>
            </w:tcBorders>
            <w:shd w:val="clear" w:color="auto" w:fill="auto"/>
            <w:vAlign w:val="bottom"/>
            <w:hideMark/>
          </w:tcPr>
          <w:p w14:paraId="6A322C62" w14:textId="77777777" w:rsidR="00486D90" w:rsidRPr="00A53AD7" w:rsidRDefault="00486D90" w:rsidP="003B5BDA">
            <w:pPr>
              <w:spacing w:after="0" w:line="240" w:lineRule="auto"/>
              <w:ind w:firstLine="176"/>
              <w:jc w:val="both"/>
              <w:rPr>
                <w:rFonts w:ascii="Times New Roman" w:eastAsia="Times New Roman" w:hAnsi="Times New Roman"/>
                <w:lang w:eastAsia="ru-RU"/>
              </w:rPr>
            </w:pPr>
            <w:r w:rsidRPr="00A53AD7">
              <w:rPr>
                <w:rFonts w:ascii="Times New Roman" w:eastAsia="Times New Roman" w:hAnsi="Times New Roman"/>
                <w:lang w:eastAsia="ru-RU"/>
              </w:rPr>
              <w:t>Непродовольственные товары</w:t>
            </w:r>
          </w:p>
        </w:tc>
        <w:tc>
          <w:tcPr>
            <w:tcW w:w="1164" w:type="dxa"/>
            <w:tcBorders>
              <w:top w:val="nil"/>
              <w:left w:val="nil"/>
              <w:bottom w:val="double" w:sz="6" w:space="0" w:color="auto"/>
              <w:right w:val="single" w:sz="4" w:space="0" w:color="auto"/>
            </w:tcBorders>
            <w:shd w:val="clear" w:color="auto" w:fill="auto"/>
            <w:vAlign w:val="bottom"/>
            <w:hideMark/>
          </w:tcPr>
          <w:p w14:paraId="4E4EA3F1"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97,1</w:t>
            </w:r>
          </w:p>
        </w:tc>
        <w:tc>
          <w:tcPr>
            <w:tcW w:w="1118" w:type="dxa"/>
            <w:tcBorders>
              <w:top w:val="nil"/>
              <w:left w:val="nil"/>
              <w:bottom w:val="double" w:sz="6" w:space="0" w:color="auto"/>
              <w:right w:val="single" w:sz="4" w:space="0" w:color="auto"/>
            </w:tcBorders>
            <w:shd w:val="clear" w:color="auto" w:fill="auto"/>
            <w:vAlign w:val="bottom"/>
            <w:hideMark/>
          </w:tcPr>
          <w:p w14:paraId="39F42CE4"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108,5</w:t>
            </w:r>
          </w:p>
        </w:tc>
        <w:tc>
          <w:tcPr>
            <w:tcW w:w="1134" w:type="dxa"/>
            <w:tcBorders>
              <w:top w:val="nil"/>
              <w:left w:val="nil"/>
              <w:bottom w:val="double" w:sz="6" w:space="0" w:color="auto"/>
              <w:right w:val="single" w:sz="4" w:space="0" w:color="auto"/>
            </w:tcBorders>
            <w:shd w:val="clear" w:color="auto" w:fill="auto"/>
            <w:vAlign w:val="bottom"/>
            <w:hideMark/>
          </w:tcPr>
          <w:p w14:paraId="676B0696"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105,8</w:t>
            </w:r>
          </w:p>
        </w:tc>
        <w:tc>
          <w:tcPr>
            <w:tcW w:w="1134" w:type="dxa"/>
            <w:tcBorders>
              <w:top w:val="nil"/>
              <w:left w:val="nil"/>
              <w:bottom w:val="double" w:sz="6" w:space="0" w:color="auto"/>
              <w:right w:val="double" w:sz="6" w:space="0" w:color="auto"/>
            </w:tcBorders>
            <w:shd w:val="clear" w:color="auto" w:fill="auto"/>
            <w:vAlign w:val="bottom"/>
            <w:hideMark/>
          </w:tcPr>
          <w:p w14:paraId="0FE88794" w14:textId="77777777" w:rsidR="00486D90" w:rsidRPr="00A53AD7" w:rsidRDefault="00486D90"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99,2</w:t>
            </w:r>
          </w:p>
        </w:tc>
      </w:tr>
    </w:tbl>
    <w:p w14:paraId="5EE9C536" w14:textId="77777777" w:rsidR="00F71A54" w:rsidRPr="00A53AD7" w:rsidRDefault="00F71A54" w:rsidP="003B5BDA">
      <w:pPr>
        <w:pStyle w:val="ad"/>
        <w:ind w:firstLine="851"/>
        <w:jc w:val="both"/>
        <w:rPr>
          <w:rFonts w:ascii="Times New Roman" w:hAnsi="Times New Roman"/>
          <w:sz w:val="28"/>
          <w:szCs w:val="28"/>
        </w:rPr>
      </w:pPr>
    </w:p>
    <w:p w14:paraId="094796F6" w14:textId="3194D7EF"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предварительным итогам 2019 года установлено снижение оборота розничной торговли в Архангельской области как пищевыми продуктами, включая напитки, и табачные изделия на 0,4 %, так и непродовольственными товарами на 0,8 %. По итогам двух предыдущих лет снижение оборота пищевыми продуктами, включая напитки, и табачные изделия установлено в 2017 году на 2,0 %, а в 2018 году установлен прирост на 1,7 %. В части оборота непродовольственными товарами прирост установлен соответственно на 8,5% и на 5,8 %. </w:t>
      </w:r>
    </w:p>
    <w:p w14:paraId="1A771D75" w14:textId="77777777" w:rsidR="003B5BDA" w:rsidRPr="00A53AD7" w:rsidRDefault="003B5BDA" w:rsidP="003B5BDA">
      <w:pPr>
        <w:pStyle w:val="2"/>
        <w:spacing w:before="120" w:after="0" w:line="240" w:lineRule="auto"/>
        <w:ind w:firstLine="851"/>
        <w:jc w:val="center"/>
        <w:rPr>
          <w:rFonts w:ascii="Times New Roman" w:hAnsi="Times New Roman"/>
          <w:lang w:val="ru-RU"/>
        </w:rPr>
      </w:pPr>
      <w:bookmarkStart w:id="31" w:name="_Toc9262559"/>
      <w:bookmarkStart w:id="32" w:name="_Toc42006709"/>
      <w:bookmarkStart w:id="33" w:name="_Toc451785034"/>
      <w:bookmarkStart w:id="34" w:name="_Toc515024208"/>
      <w:bookmarkEnd w:id="26"/>
      <w:bookmarkEnd w:id="27"/>
      <w:r w:rsidRPr="00A53AD7">
        <w:rPr>
          <w:rFonts w:ascii="Times New Roman" w:hAnsi="Times New Roman"/>
          <w:lang w:val="ru-RU"/>
        </w:rPr>
        <w:lastRenderedPageBreak/>
        <w:t>1.8. Платные услуги населению</w:t>
      </w:r>
      <w:bookmarkEnd w:id="31"/>
      <w:bookmarkEnd w:id="32"/>
    </w:p>
    <w:p w14:paraId="66B1CCEC"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Объем платных услуг, оказываемых населению в отчетном году, согласно статистическим данным, составил 72 497,9 млн.руб. (в сопоставимых ценах) или 100,1% к показателям 2018 года (в 2018 году – 68 437,7 млн.руб. или 100,9 % к показателям 2017 года (в сопоставимых ценах). </w:t>
      </w:r>
    </w:p>
    <w:p w14:paraId="4E0F5525" w14:textId="23CB97C2"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Из 17 наблюдаемых видов платных услуг в январе-ноябре 2019 год</w:t>
      </w:r>
      <w:r w:rsidR="0061056B" w:rsidRPr="00A53AD7">
        <w:rPr>
          <w:rFonts w:ascii="Times New Roman" w:hAnsi="Times New Roman"/>
          <w:sz w:val="28"/>
          <w:szCs w:val="28"/>
        </w:rPr>
        <w:t>а</w:t>
      </w:r>
      <w:r w:rsidRPr="00A53AD7">
        <w:rPr>
          <w:rFonts w:ascii="Times New Roman" w:hAnsi="Times New Roman"/>
          <w:sz w:val="28"/>
          <w:szCs w:val="28"/>
        </w:rPr>
        <w:t xml:space="preserve"> установлен рост объемов по семи видам услуг к соответствующему периоду 2018 года, из них: транспортные услуги – на 14,8 %; ветеринарные услуги – на 11,8 %; услуги специализированных коллективных средств размещения – на 9,1 %; услуги учреждений культуры – на 5,2 %; услуги почтовой связи, курьерские услуги – на 3,5 %. По восьми видам платных услуг установлено снижение объемов к соответствующему периоду 2018 года, из них: услуги туристских агентств, туроператоров … – на 11,6 %; услуги гостиниц и аналогичные услуги – на 9,3 %; медицинские услуги – на 6,8 %; коммунальные услуги – на 5,8 %; бытовые – на 4,2 %.</w:t>
      </w:r>
    </w:p>
    <w:p w14:paraId="7C9DEE11" w14:textId="77777777" w:rsidR="00F22523" w:rsidRPr="00A53AD7" w:rsidRDefault="00F22523" w:rsidP="00F22523">
      <w:pPr>
        <w:pStyle w:val="ad"/>
        <w:ind w:firstLine="851"/>
        <w:jc w:val="both"/>
        <w:rPr>
          <w:rFonts w:ascii="Times New Roman" w:hAnsi="Times New Roman"/>
          <w:sz w:val="28"/>
          <w:szCs w:val="28"/>
        </w:rPr>
      </w:pPr>
      <w:bookmarkStart w:id="35" w:name="_Toc451785033"/>
      <w:bookmarkStart w:id="36" w:name="_Toc515024209"/>
      <w:bookmarkStart w:id="37" w:name="_Toc9262560"/>
      <w:bookmarkEnd w:id="33"/>
      <w:bookmarkEnd w:id="34"/>
      <w:r w:rsidRPr="00A53AD7">
        <w:rPr>
          <w:rFonts w:ascii="Times New Roman" w:hAnsi="Times New Roman"/>
          <w:sz w:val="28"/>
          <w:szCs w:val="28"/>
        </w:rPr>
        <w:t>Потребление платных услуг эластично («необязательно») и менее обеспеченные слои населения экономят на них: либо они не являются услугами первой необходимости (например, бытовые услуги), либо у них есть бесплатный аналог (например, медицинские услуги), либо справляются собственными силами (коммунальные, бытовые услуги).</w:t>
      </w:r>
    </w:p>
    <w:p w14:paraId="613049BA" w14:textId="77777777" w:rsidR="003B5BDA" w:rsidRPr="00A53AD7" w:rsidRDefault="003B5BDA" w:rsidP="003B5BDA">
      <w:pPr>
        <w:pStyle w:val="2"/>
        <w:spacing w:before="120" w:after="0" w:line="240" w:lineRule="auto"/>
        <w:jc w:val="center"/>
        <w:rPr>
          <w:rFonts w:ascii="Times New Roman" w:hAnsi="Times New Roman"/>
          <w:lang w:val="ru-RU"/>
        </w:rPr>
      </w:pPr>
      <w:bookmarkStart w:id="38" w:name="_Toc42006710"/>
      <w:r w:rsidRPr="00A53AD7">
        <w:rPr>
          <w:rFonts w:ascii="Times New Roman" w:hAnsi="Times New Roman"/>
          <w:lang w:val="ru-RU"/>
        </w:rPr>
        <w:t>1.9. Минимальный набор продуктов питания и фиксированный набор потребительских товаров и услуг</w:t>
      </w:r>
      <w:bookmarkEnd w:id="35"/>
      <w:bookmarkEnd w:id="36"/>
      <w:bookmarkEnd w:id="37"/>
      <w:bookmarkEnd w:id="38"/>
    </w:p>
    <w:p w14:paraId="14895976" w14:textId="50940AB3"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Стоимость условного (минимального) набора продуктов питания в декабре 2019 года в расчете на месяц составила 4 935,1 руб., что на 93,1 руб. или на 1,9 % больше стоимости условного (минимального) набора в декабре 2018 года (4 842,0 руб.). структура стоимости условного (минимального) набора продуктов питания представлена в таблице </w:t>
      </w:r>
      <w:r w:rsidR="00D16ED5" w:rsidRPr="00A53AD7">
        <w:rPr>
          <w:rFonts w:ascii="Times New Roman" w:hAnsi="Times New Roman"/>
          <w:sz w:val="28"/>
          <w:szCs w:val="28"/>
        </w:rPr>
        <w:t>10</w:t>
      </w:r>
      <w:r w:rsidRPr="00A53AD7">
        <w:rPr>
          <w:rFonts w:ascii="Times New Roman" w:hAnsi="Times New Roman"/>
          <w:sz w:val="28"/>
          <w:szCs w:val="28"/>
        </w:rPr>
        <w:t>.</w:t>
      </w:r>
    </w:p>
    <w:p w14:paraId="7439C520" w14:textId="77777777" w:rsidR="003B5BDA" w:rsidRPr="00A53AD7" w:rsidRDefault="003B5BDA" w:rsidP="0051134C">
      <w:pPr>
        <w:pStyle w:val="ad"/>
        <w:ind w:firstLine="851"/>
        <w:jc w:val="both"/>
        <w:rPr>
          <w:rFonts w:ascii="Times New Roman" w:hAnsi="Times New Roman"/>
          <w:sz w:val="28"/>
          <w:szCs w:val="28"/>
        </w:rPr>
      </w:pPr>
    </w:p>
    <w:p w14:paraId="674C64D8" w14:textId="3CD31FD3" w:rsidR="003B5BDA" w:rsidRPr="00A53AD7" w:rsidRDefault="0051134C" w:rsidP="003B5BDA">
      <w:pPr>
        <w:pStyle w:val="ad"/>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10</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Структура стоимости условного (минимального) набора продуктов питания, %</w:t>
      </w:r>
    </w:p>
    <w:tbl>
      <w:tblPr>
        <w:tblW w:w="9356"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278"/>
        <w:gridCol w:w="990"/>
        <w:gridCol w:w="851"/>
        <w:gridCol w:w="709"/>
        <w:gridCol w:w="992"/>
        <w:gridCol w:w="709"/>
        <w:gridCol w:w="708"/>
        <w:gridCol w:w="1418"/>
        <w:gridCol w:w="960"/>
        <w:gridCol w:w="741"/>
      </w:tblGrid>
      <w:tr w:rsidR="00A53AD7" w:rsidRPr="00A53AD7" w14:paraId="44F772BA" w14:textId="77777777" w:rsidTr="003B5BDA">
        <w:trPr>
          <w:trHeight w:val="684"/>
          <w:tblHeader/>
        </w:trPr>
        <w:tc>
          <w:tcPr>
            <w:tcW w:w="1278" w:type="dxa"/>
            <w:shd w:val="clear" w:color="auto" w:fill="auto"/>
            <w:noWrap/>
            <w:vAlign w:val="center"/>
            <w:hideMark/>
          </w:tcPr>
          <w:p w14:paraId="78C594FF" w14:textId="77777777" w:rsidR="003B5BDA" w:rsidRPr="00A53AD7" w:rsidRDefault="003B5BDA" w:rsidP="003B5BDA">
            <w:pPr>
              <w:spacing w:after="0" w:line="240" w:lineRule="auto"/>
              <w:ind w:left="-108" w:right="-106"/>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990" w:type="dxa"/>
            <w:shd w:val="clear" w:color="auto" w:fill="auto"/>
            <w:vAlign w:val="center"/>
            <w:hideMark/>
          </w:tcPr>
          <w:p w14:paraId="4EF1F55E" w14:textId="77777777" w:rsidR="003B5BDA" w:rsidRPr="00A53AD7" w:rsidRDefault="003B5BDA" w:rsidP="003B5BDA">
            <w:pPr>
              <w:spacing w:after="0" w:line="240" w:lineRule="auto"/>
              <w:ind w:left="-110" w:right="-108"/>
              <w:jc w:val="center"/>
              <w:rPr>
                <w:rFonts w:ascii="Times New Roman" w:eastAsia="Times New Roman" w:hAnsi="Times New Roman"/>
                <w:lang w:eastAsia="ru-RU"/>
              </w:rPr>
            </w:pPr>
            <w:r w:rsidRPr="00A53AD7">
              <w:rPr>
                <w:rFonts w:ascii="Times New Roman" w:eastAsia="Times New Roman" w:hAnsi="Times New Roman"/>
                <w:lang w:eastAsia="ru-RU"/>
              </w:rPr>
              <w:t>мясопродукты</w:t>
            </w:r>
          </w:p>
        </w:tc>
        <w:tc>
          <w:tcPr>
            <w:tcW w:w="851" w:type="dxa"/>
            <w:shd w:val="clear" w:color="auto" w:fill="auto"/>
            <w:vAlign w:val="center"/>
            <w:hideMark/>
          </w:tcPr>
          <w:p w14:paraId="335F055E"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рыбопродукты</w:t>
            </w:r>
          </w:p>
        </w:tc>
        <w:tc>
          <w:tcPr>
            <w:tcW w:w="709" w:type="dxa"/>
            <w:shd w:val="clear" w:color="auto" w:fill="auto"/>
            <w:vAlign w:val="center"/>
            <w:hideMark/>
          </w:tcPr>
          <w:p w14:paraId="5F5DC867"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жиры</w:t>
            </w:r>
          </w:p>
        </w:tc>
        <w:tc>
          <w:tcPr>
            <w:tcW w:w="992" w:type="dxa"/>
            <w:shd w:val="clear" w:color="auto" w:fill="auto"/>
            <w:vAlign w:val="center"/>
            <w:hideMark/>
          </w:tcPr>
          <w:p w14:paraId="2BDE0EC8" w14:textId="77777777" w:rsidR="003B5BDA" w:rsidRPr="00A53AD7" w:rsidRDefault="003B5BDA" w:rsidP="003B5BDA">
            <w:pPr>
              <w:spacing w:after="0" w:line="240" w:lineRule="auto"/>
              <w:ind w:left="-108" w:right="-107"/>
              <w:jc w:val="center"/>
              <w:rPr>
                <w:rFonts w:ascii="Times New Roman" w:eastAsia="Times New Roman" w:hAnsi="Times New Roman"/>
                <w:lang w:eastAsia="ru-RU"/>
              </w:rPr>
            </w:pPr>
            <w:r w:rsidRPr="00A53AD7">
              <w:rPr>
                <w:rFonts w:ascii="Times New Roman" w:eastAsia="Times New Roman" w:hAnsi="Times New Roman"/>
                <w:lang w:eastAsia="ru-RU"/>
              </w:rPr>
              <w:t>молочные продукты</w:t>
            </w:r>
          </w:p>
        </w:tc>
        <w:tc>
          <w:tcPr>
            <w:tcW w:w="709" w:type="dxa"/>
            <w:shd w:val="clear" w:color="auto" w:fill="auto"/>
            <w:vAlign w:val="center"/>
            <w:hideMark/>
          </w:tcPr>
          <w:p w14:paraId="00E9CFB3" w14:textId="77777777" w:rsidR="003B5BDA" w:rsidRPr="00A53AD7" w:rsidRDefault="003B5BDA" w:rsidP="003B5BDA">
            <w:pPr>
              <w:spacing w:after="0" w:line="240" w:lineRule="auto"/>
              <w:ind w:left="-109" w:right="-107"/>
              <w:jc w:val="center"/>
              <w:rPr>
                <w:rFonts w:ascii="Times New Roman" w:eastAsia="Times New Roman" w:hAnsi="Times New Roman"/>
                <w:lang w:eastAsia="ru-RU"/>
              </w:rPr>
            </w:pPr>
            <w:r w:rsidRPr="00A53AD7">
              <w:rPr>
                <w:rFonts w:ascii="Times New Roman" w:eastAsia="Times New Roman" w:hAnsi="Times New Roman"/>
                <w:lang w:eastAsia="ru-RU"/>
              </w:rPr>
              <w:t>яйца</w:t>
            </w:r>
          </w:p>
        </w:tc>
        <w:tc>
          <w:tcPr>
            <w:tcW w:w="708" w:type="dxa"/>
            <w:shd w:val="clear" w:color="auto" w:fill="auto"/>
            <w:vAlign w:val="center"/>
            <w:hideMark/>
          </w:tcPr>
          <w:p w14:paraId="24D1AC9E" w14:textId="77777777" w:rsidR="003B5BDA" w:rsidRPr="00A53AD7" w:rsidRDefault="003B5BDA" w:rsidP="003B5BDA">
            <w:pPr>
              <w:spacing w:after="0" w:line="240" w:lineRule="auto"/>
              <w:ind w:left="-109" w:right="-107"/>
              <w:jc w:val="center"/>
              <w:rPr>
                <w:rFonts w:ascii="Times New Roman" w:eastAsia="Times New Roman" w:hAnsi="Times New Roman"/>
                <w:lang w:eastAsia="ru-RU"/>
              </w:rPr>
            </w:pPr>
            <w:r w:rsidRPr="00A53AD7">
              <w:rPr>
                <w:rFonts w:ascii="Times New Roman" w:eastAsia="Times New Roman" w:hAnsi="Times New Roman"/>
                <w:lang w:eastAsia="ru-RU"/>
              </w:rPr>
              <w:t>сахар</w:t>
            </w:r>
          </w:p>
        </w:tc>
        <w:tc>
          <w:tcPr>
            <w:tcW w:w="1418" w:type="dxa"/>
            <w:shd w:val="clear" w:color="auto" w:fill="auto"/>
            <w:vAlign w:val="center"/>
            <w:hideMark/>
          </w:tcPr>
          <w:p w14:paraId="1AD7F1C8" w14:textId="77777777" w:rsidR="003B5BDA" w:rsidRPr="00A53AD7" w:rsidRDefault="003B5BDA" w:rsidP="003B5BDA">
            <w:pPr>
              <w:spacing w:after="0" w:line="240" w:lineRule="auto"/>
              <w:ind w:left="-109" w:right="-107"/>
              <w:jc w:val="center"/>
              <w:rPr>
                <w:rFonts w:ascii="Times New Roman" w:eastAsia="Times New Roman" w:hAnsi="Times New Roman"/>
                <w:lang w:eastAsia="ru-RU"/>
              </w:rPr>
            </w:pPr>
            <w:r w:rsidRPr="00A53AD7">
              <w:rPr>
                <w:rFonts w:ascii="Times New Roman" w:eastAsia="Times New Roman" w:hAnsi="Times New Roman"/>
                <w:lang w:eastAsia="ru-RU"/>
              </w:rPr>
              <w:t>хлеб, крупы и макаронные изделия</w:t>
            </w:r>
          </w:p>
        </w:tc>
        <w:tc>
          <w:tcPr>
            <w:tcW w:w="960" w:type="dxa"/>
            <w:shd w:val="clear" w:color="auto" w:fill="auto"/>
            <w:vAlign w:val="center"/>
            <w:hideMark/>
          </w:tcPr>
          <w:p w14:paraId="69635677" w14:textId="77777777" w:rsidR="003B5BDA" w:rsidRPr="00A53AD7" w:rsidRDefault="003B5BDA" w:rsidP="003B5BDA">
            <w:pPr>
              <w:spacing w:after="0" w:line="240" w:lineRule="auto"/>
              <w:ind w:left="-108" w:right="-140"/>
              <w:jc w:val="center"/>
              <w:rPr>
                <w:rFonts w:ascii="Times New Roman" w:eastAsia="Times New Roman" w:hAnsi="Times New Roman"/>
                <w:lang w:eastAsia="ru-RU"/>
              </w:rPr>
            </w:pPr>
            <w:r w:rsidRPr="00A53AD7">
              <w:rPr>
                <w:rFonts w:ascii="Times New Roman" w:eastAsia="Times New Roman" w:hAnsi="Times New Roman"/>
                <w:lang w:eastAsia="ru-RU"/>
              </w:rPr>
              <w:t>плоды и овощи</w:t>
            </w:r>
          </w:p>
        </w:tc>
        <w:tc>
          <w:tcPr>
            <w:tcW w:w="741" w:type="dxa"/>
            <w:shd w:val="clear" w:color="auto" w:fill="auto"/>
            <w:vAlign w:val="center"/>
            <w:hideMark/>
          </w:tcPr>
          <w:p w14:paraId="22F8FC65" w14:textId="77777777" w:rsidR="003B5BDA" w:rsidRPr="00A53AD7" w:rsidRDefault="003B5BDA" w:rsidP="003B5BDA">
            <w:pPr>
              <w:spacing w:after="0" w:line="240" w:lineRule="auto"/>
              <w:ind w:left="-76" w:right="-108"/>
              <w:jc w:val="center"/>
              <w:rPr>
                <w:rFonts w:ascii="Times New Roman" w:eastAsia="Times New Roman" w:hAnsi="Times New Roman"/>
                <w:lang w:eastAsia="ru-RU"/>
              </w:rPr>
            </w:pPr>
            <w:r w:rsidRPr="00A53AD7">
              <w:rPr>
                <w:rFonts w:ascii="Times New Roman" w:eastAsia="Times New Roman" w:hAnsi="Times New Roman"/>
                <w:lang w:eastAsia="ru-RU"/>
              </w:rPr>
              <w:t>прочие</w:t>
            </w:r>
          </w:p>
        </w:tc>
      </w:tr>
      <w:tr w:rsidR="00A53AD7" w:rsidRPr="00A53AD7" w14:paraId="67E4AAC0" w14:textId="77777777" w:rsidTr="003B5BDA">
        <w:trPr>
          <w:trHeight w:val="255"/>
        </w:trPr>
        <w:tc>
          <w:tcPr>
            <w:tcW w:w="1278" w:type="dxa"/>
            <w:shd w:val="clear" w:color="auto" w:fill="auto"/>
            <w:noWrap/>
            <w:vAlign w:val="center"/>
            <w:hideMark/>
          </w:tcPr>
          <w:p w14:paraId="4A619479" w14:textId="09E5FDB9"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дек.</w:t>
            </w:r>
            <w:r w:rsidR="00DE7CED" w:rsidRPr="00A53AD7">
              <w:rPr>
                <w:rFonts w:ascii="Times New Roman" w:eastAsia="Times New Roman" w:hAnsi="Times New Roman"/>
                <w:lang w:eastAsia="ru-RU"/>
              </w:rPr>
              <w:t>20</w:t>
            </w:r>
            <w:r w:rsidRPr="00A53AD7">
              <w:rPr>
                <w:rFonts w:ascii="Times New Roman" w:eastAsia="Times New Roman" w:hAnsi="Times New Roman"/>
                <w:lang w:eastAsia="ru-RU"/>
              </w:rPr>
              <w:t>16</w:t>
            </w:r>
          </w:p>
        </w:tc>
        <w:tc>
          <w:tcPr>
            <w:tcW w:w="990" w:type="dxa"/>
            <w:shd w:val="clear" w:color="auto" w:fill="auto"/>
            <w:noWrap/>
            <w:vAlign w:val="center"/>
            <w:hideMark/>
          </w:tcPr>
          <w:p w14:paraId="1C89CB0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17,4</w:t>
            </w:r>
          </w:p>
        </w:tc>
        <w:tc>
          <w:tcPr>
            <w:tcW w:w="851" w:type="dxa"/>
            <w:shd w:val="clear" w:color="auto" w:fill="auto"/>
            <w:noWrap/>
            <w:vAlign w:val="center"/>
            <w:hideMark/>
          </w:tcPr>
          <w:p w14:paraId="6D3EF36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3,7</w:t>
            </w:r>
          </w:p>
        </w:tc>
        <w:tc>
          <w:tcPr>
            <w:tcW w:w="709" w:type="dxa"/>
            <w:shd w:val="clear" w:color="auto" w:fill="auto"/>
            <w:noWrap/>
            <w:vAlign w:val="center"/>
            <w:hideMark/>
          </w:tcPr>
          <w:p w14:paraId="230BCBA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5,4</w:t>
            </w:r>
          </w:p>
        </w:tc>
        <w:tc>
          <w:tcPr>
            <w:tcW w:w="992" w:type="dxa"/>
            <w:shd w:val="clear" w:color="auto" w:fill="auto"/>
            <w:noWrap/>
            <w:vAlign w:val="center"/>
            <w:hideMark/>
          </w:tcPr>
          <w:p w14:paraId="1690591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19,4</w:t>
            </w:r>
          </w:p>
        </w:tc>
        <w:tc>
          <w:tcPr>
            <w:tcW w:w="709" w:type="dxa"/>
            <w:shd w:val="clear" w:color="auto" w:fill="auto"/>
            <w:noWrap/>
            <w:vAlign w:val="center"/>
            <w:hideMark/>
          </w:tcPr>
          <w:p w14:paraId="3AB6097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w:t>
            </w:r>
          </w:p>
        </w:tc>
        <w:tc>
          <w:tcPr>
            <w:tcW w:w="708" w:type="dxa"/>
            <w:shd w:val="clear" w:color="auto" w:fill="auto"/>
            <w:noWrap/>
            <w:vAlign w:val="center"/>
            <w:hideMark/>
          </w:tcPr>
          <w:p w14:paraId="7495F2B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w:t>
            </w:r>
          </w:p>
        </w:tc>
        <w:tc>
          <w:tcPr>
            <w:tcW w:w="1418" w:type="dxa"/>
            <w:shd w:val="clear" w:color="auto" w:fill="auto"/>
            <w:noWrap/>
            <w:vAlign w:val="center"/>
            <w:hideMark/>
          </w:tcPr>
          <w:p w14:paraId="378D6A8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30,8</w:t>
            </w:r>
          </w:p>
        </w:tc>
        <w:tc>
          <w:tcPr>
            <w:tcW w:w="960" w:type="dxa"/>
            <w:shd w:val="clear" w:color="auto" w:fill="auto"/>
            <w:noWrap/>
            <w:vAlign w:val="center"/>
            <w:hideMark/>
          </w:tcPr>
          <w:p w14:paraId="473D06F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13,9</w:t>
            </w:r>
          </w:p>
        </w:tc>
        <w:tc>
          <w:tcPr>
            <w:tcW w:w="741" w:type="dxa"/>
            <w:shd w:val="clear" w:color="auto" w:fill="auto"/>
            <w:noWrap/>
            <w:vAlign w:val="center"/>
            <w:hideMark/>
          </w:tcPr>
          <w:p w14:paraId="0B416C4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5,3</w:t>
            </w:r>
          </w:p>
        </w:tc>
      </w:tr>
      <w:tr w:rsidR="00A53AD7" w:rsidRPr="00A53AD7" w14:paraId="14A8A6A1" w14:textId="77777777" w:rsidTr="003B5BDA">
        <w:trPr>
          <w:trHeight w:val="255"/>
        </w:trPr>
        <w:tc>
          <w:tcPr>
            <w:tcW w:w="1278" w:type="dxa"/>
            <w:shd w:val="clear" w:color="auto" w:fill="auto"/>
            <w:noWrap/>
            <w:vAlign w:val="center"/>
            <w:hideMark/>
          </w:tcPr>
          <w:p w14:paraId="4A776D5A" w14:textId="57435D79"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дек.</w:t>
            </w:r>
            <w:r w:rsidR="00DE7CED" w:rsidRPr="00A53AD7">
              <w:rPr>
                <w:rFonts w:ascii="Times New Roman" w:eastAsia="Times New Roman" w:hAnsi="Times New Roman"/>
                <w:lang w:eastAsia="ru-RU"/>
              </w:rPr>
              <w:t>20</w:t>
            </w:r>
            <w:r w:rsidRPr="00A53AD7">
              <w:rPr>
                <w:rFonts w:ascii="Times New Roman" w:eastAsia="Times New Roman" w:hAnsi="Times New Roman"/>
                <w:lang w:eastAsia="ru-RU"/>
              </w:rPr>
              <w:t>17</w:t>
            </w:r>
          </w:p>
        </w:tc>
        <w:tc>
          <w:tcPr>
            <w:tcW w:w="990" w:type="dxa"/>
            <w:shd w:val="clear" w:color="auto" w:fill="auto"/>
            <w:noWrap/>
            <w:vAlign w:val="center"/>
            <w:hideMark/>
          </w:tcPr>
          <w:p w14:paraId="62AAFB3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16,3</w:t>
            </w:r>
          </w:p>
        </w:tc>
        <w:tc>
          <w:tcPr>
            <w:tcW w:w="851" w:type="dxa"/>
            <w:shd w:val="clear" w:color="auto" w:fill="auto"/>
            <w:noWrap/>
            <w:vAlign w:val="center"/>
            <w:hideMark/>
          </w:tcPr>
          <w:p w14:paraId="5474984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w:t>
            </w:r>
          </w:p>
        </w:tc>
        <w:tc>
          <w:tcPr>
            <w:tcW w:w="709" w:type="dxa"/>
            <w:shd w:val="clear" w:color="auto" w:fill="auto"/>
            <w:noWrap/>
            <w:vAlign w:val="center"/>
            <w:hideMark/>
          </w:tcPr>
          <w:p w14:paraId="18024B6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w:t>
            </w:r>
          </w:p>
        </w:tc>
        <w:tc>
          <w:tcPr>
            <w:tcW w:w="992" w:type="dxa"/>
            <w:shd w:val="clear" w:color="auto" w:fill="auto"/>
            <w:noWrap/>
            <w:vAlign w:val="center"/>
            <w:hideMark/>
          </w:tcPr>
          <w:p w14:paraId="2B12D0E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20,0</w:t>
            </w:r>
          </w:p>
        </w:tc>
        <w:tc>
          <w:tcPr>
            <w:tcW w:w="709" w:type="dxa"/>
            <w:shd w:val="clear" w:color="auto" w:fill="auto"/>
            <w:noWrap/>
            <w:vAlign w:val="center"/>
            <w:hideMark/>
          </w:tcPr>
          <w:p w14:paraId="0BE53A1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1,8</w:t>
            </w:r>
          </w:p>
        </w:tc>
        <w:tc>
          <w:tcPr>
            <w:tcW w:w="708" w:type="dxa"/>
            <w:shd w:val="clear" w:color="auto" w:fill="auto"/>
            <w:noWrap/>
            <w:vAlign w:val="center"/>
            <w:hideMark/>
          </w:tcPr>
          <w:p w14:paraId="73F3183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w:t>
            </w:r>
          </w:p>
        </w:tc>
        <w:tc>
          <w:tcPr>
            <w:tcW w:w="1418" w:type="dxa"/>
            <w:shd w:val="clear" w:color="auto" w:fill="auto"/>
            <w:noWrap/>
            <w:vAlign w:val="center"/>
            <w:hideMark/>
          </w:tcPr>
          <w:p w14:paraId="4FF5D4B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31,8</w:t>
            </w:r>
          </w:p>
        </w:tc>
        <w:tc>
          <w:tcPr>
            <w:tcW w:w="960" w:type="dxa"/>
            <w:shd w:val="clear" w:color="auto" w:fill="auto"/>
            <w:noWrap/>
            <w:vAlign w:val="center"/>
            <w:hideMark/>
          </w:tcPr>
          <w:p w14:paraId="24EE7A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14,6</w:t>
            </w:r>
          </w:p>
        </w:tc>
        <w:tc>
          <w:tcPr>
            <w:tcW w:w="741" w:type="dxa"/>
            <w:shd w:val="clear" w:color="auto" w:fill="auto"/>
            <w:noWrap/>
            <w:vAlign w:val="center"/>
            <w:hideMark/>
          </w:tcPr>
          <w:p w14:paraId="6BE6E9E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w:t>
            </w:r>
          </w:p>
        </w:tc>
      </w:tr>
      <w:tr w:rsidR="00A53AD7" w:rsidRPr="00A53AD7" w14:paraId="315B4E73" w14:textId="77777777" w:rsidTr="003B5BDA">
        <w:trPr>
          <w:trHeight w:val="255"/>
        </w:trPr>
        <w:tc>
          <w:tcPr>
            <w:tcW w:w="1278" w:type="dxa"/>
            <w:shd w:val="clear" w:color="auto" w:fill="auto"/>
            <w:noWrap/>
            <w:vAlign w:val="center"/>
            <w:hideMark/>
          </w:tcPr>
          <w:p w14:paraId="250D2244" w14:textId="4E65DECC"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дек.</w:t>
            </w:r>
            <w:r w:rsidR="00DE7CED" w:rsidRPr="00A53AD7">
              <w:rPr>
                <w:rFonts w:ascii="Times New Roman" w:eastAsia="Times New Roman" w:hAnsi="Times New Roman"/>
                <w:lang w:eastAsia="ru-RU"/>
              </w:rPr>
              <w:t>20</w:t>
            </w:r>
            <w:r w:rsidRPr="00A53AD7">
              <w:rPr>
                <w:rFonts w:ascii="Times New Roman" w:eastAsia="Times New Roman" w:hAnsi="Times New Roman"/>
                <w:lang w:eastAsia="ru-RU"/>
              </w:rPr>
              <w:t>18</w:t>
            </w:r>
          </w:p>
        </w:tc>
        <w:tc>
          <w:tcPr>
            <w:tcW w:w="990" w:type="dxa"/>
            <w:shd w:val="clear" w:color="auto" w:fill="auto"/>
            <w:noWrap/>
            <w:vAlign w:val="center"/>
            <w:hideMark/>
          </w:tcPr>
          <w:p w14:paraId="03E851E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17,4</w:t>
            </w:r>
          </w:p>
        </w:tc>
        <w:tc>
          <w:tcPr>
            <w:tcW w:w="851" w:type="dxa"/>
            <w:shd w:val="clear" w:color="auto" w:fill="auto"/>
            <w:noWrap/>
            <w:vAlign w:val="center"/>
            <w:hideMark/>
          </w:tcPr>
          <w:p w14:paraId="029A3A6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3,7</w:t>
            </w:r>
          </w:p>
        </w:tc>
        <w:tc>
          <w:tcPr>
            <w:tcW w:w="709" w:type="dxa"/>
            <w:shd w:val="clear" w:color="auto" w:fill="auto"/>
            <w:noWrap/>
            <w:vAlign w:val="center"/>
            <w:hideMark/>
          </w:tcPr>
          <w:p w14:paraId="71BE1E3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w:t>
            </w:r>
          </w:p>
        </w:tc>
        <w:tc>
          <w:tcPr>
            <w:tcW w:w="992" w:type="dxa"/>
            <w:shd w:val="clear" w:color="auto" w:fill="auto"/>
            <w:noWrap/>
            <w:vAlign w:val="center"/>
            <w:hideMark/>
          </w:tcPr>
          <w:p w14:paraId="259AC7D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19,3</w:t>
            </w:r>
          </w:p>
        </w:tc>
        <w:tc>
          <w:tcPr>
            <w:tcW w:w="709" w:type="dxa"/>
            <w:shd w:val="clear" w:color="auto" w:fill="auto"/>
            <w:noWrap/>
            <w:vAlign w:val="center"/>
            <w:hideMark/>
          </w:tcPr>
          <w:p w14:paraId="3DF0ED4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2,3</w:t>
            </w:r>
          </w:p>
        </w:tc>
        <w:tc>
          <w:tcPr>
            <w:tcW w:w="708" w:type="dxa"/>
            <w:shd w:val="clear" w:color="auto" w:fill="auto"/>
            <w:noWrap/>
            <w:vAlign w:val="center"/>
            <w:hideMark/>
          </w:tcPr>
          <w:p w14:paraId="5ECC824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w:t>
            </w:r>
          </w:p>
        </w:tc>
        <w:tc>
          <w:tcPr>
            <w:tcW w:w="1418" w:type="dxa"/>
            <w:shd w:val="clear" w:color="auto" w:fill="auto"/>
            <w:noWrap/>
            <w:vAlign w:val="center"/>
            <w:hideMark/>
          </w:tcPr>
          <w:p w14:paraId="66AEDFC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31,5</w:t>
            </w:r>
          </w:p>
        </w:tc>
        <w:tc>
          <w:tcPr>
            <w:tcW w:w="960" w:type="dxa"/>
            <w:shd w:val="clear" w:color="auto" w:fill="auto"/>
            <w:noWrap/>
            <w:vAlign w:val="center"/>
            <w:hideMark/>
          </w:tcPr>
          <w:p w14:paraId="5DCC4E3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14,2</w:t>
            </w:r>
          </w:p>
        </w:tc>
        <w:tc>
          <w:tcPr>
            <w:tcW w:w="741" w:type="dxa"/>
            <w:shd w:val="clear" w:color="auto" w:fill="auto"/>
            <w:noWrap/>
            <w:vAlign w:val="center"/>
            <w:hideMark/>
          </w:tcPr>
          <w:p w14:paraId="01E10A7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w:t>
            </w:r>
          </w:p>
        </w:tc>
      </w:tr>
      <w:tr w:rsidR="00A53AD7" w:rsidRPr="00A53AD7" w14:paraId="0C7018CD" w14:textId="77777777" w:rsidTr="003B5BDA">
        <w:trPr>
          <w:trHeight w:val="255"/>
        </w:trPr>
        <w:tc>
          <w:tcPr>
            <w:tcW w:w="1278" w:type="dxa"/>
            <w:shd w:val="clear" w:color="auto" w:fill="auto"/>
            <w:noWrap/>
            <w:vAlign w:val="bottom"/>
          </w:tcPr>
          <w:p w14:paraId="16DD55BE" w14:textId="35210AE8"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дек.</w:t>
            </w:r>
            <w:r w:rsidR="00DE7CED" w:rsidRPr="00A53AD7">
              <w:rPr>
                <w:rFonts w:ascii="Times New Roman" w:hAnsi="Times New Roman"/>
              </w:rPr>
              <w:t>20</w:t>
            </w:r>
            <w:r w:rsidRPr="00A53AD7">
              <w:rPr>
                <w:rFonts w:ascii="Times New Roman" w:hAnsi="Times New Roman"/>
              </w:rPr>
              <w:t>19</w:t>
            </w:r>
          </w:p>
        </w:tc>
        <w:tc>
          <w:tcPr>
            <w:tcW w:w="990" w:type="dxa"/>
            <w:shd w:val="clear" w:color="auto" w:fill="auto"/>
            <w:noWrap/>
            <w:vAlign w:val="bottom"/>
          </w:tcPr>
          <w:p w14:paraId="442F1AD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18,0</w:t>
            </w:r>
          </w:p>
        </w:tc>
        <w:tc>
          <w:tcPr>
            <w:tcW w:w="851" w:type="dxa"/>
            <w:shd w:val="clear" w:color="auto" w:fill="auto"/>
            <w:noWrap/>
            <w:vAlign w:val="bottom"/>
          </w:tcPr>
          <w:p w14:paraId="5E25622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3,8</w:t>
            </w:r>
          </w:p>
        </w:tc>
        <w:tc>
          <w:tcPr>
            <w:tcW w:w="709" w:type="dxa"/>
            <w:shd w:val="clear" w:color="auto" w:fill="auto"/>
            <w:noWrap/>
            <w:vAlign w:val="bottom"/>
          </w:tcPr>
          <w:p w14:paraId="5B3346E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5,1</w:t>
            </w:r>
          </w:p>
        </w:tc>
        <w:tc>
          <w:tcPr>
            <w:tcW w:w="992" w:type="dxa"/>
            <w:shd w:val="clear" w:color="auto" w:fill="auto"/>
            <w:noWrap/>
            <w:vAlign w:val="bottom"/>
          </w:tcPr>
          <w:p w14:paraId="5934433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19,6</w:t>
            </w:r>
          </w:p>
        </w:tc>
        <w:tc>
          <w:tcPr>
            <w:tcW w:w="709" w:type="dxa"/>
            <w:shd w:val="clear" w:color="auto" w:fill="auto"/>
            <w:noWrap/>
            <w:vAlign w:val="bottom"/>
          </w:tcPr>
          <w:p w14:paraId="450293E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2,1</w:t>
            </w:r>
          </w:p>
        </w:tc>
        <w:tc>
          <w:tcPr>
            <w:tcW w:w="708" w:type="dxa"/>
            <w:shd w:val="clear" w:color="auto" w:fill="auto"/>
            <w:noWrap/>
            <w:vAlign w:val="bottom"/>
          </w:tcPr>
          <w:p w14:paraId="0EEFF9D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1,0</w:t>
            </w:r>
          </w:p>
        </w:tc>
        <w:tc>
          <w:tcPr>
            <w:tcW w:w="1418" w:type="dxa"/>
            <w:shd w:val="clear" w:color="auto" w:fill="auto"/>
            <w:noWrap/>
            <w:vAlign w:val="bottom"/>
          </w:tcPr>
          <w:p w14:paraId="2750F53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32,5</w:t>
            </w:r>
          </w:p>
        </w:tc>
        <w:tc>
          <w:tcPr>
            <w:tcW w:w="960" w:type="dxa"/>
            <w:shd w:val="clear" w:color="auto" w:fill="auto"/>
            <w:noWrap/>
            <w:vAlign w:val="bottom"/>
          </w:tcPr>
          <w:p w14:paraId="67DD053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13,6</w:t>
            </w:r>
          </w:p>
        </w:tc>
        <w:tc>
          <w:tcPr>
            <w:tcW w:w="741" w:type="dxa"/>
            <w:shd w:val="clear" w:color="auto" w:fill="auto"/>
            <w:noWrap/>
            <w:vAlign w:val="bottom"/>
          </w:tcPr>
          <w:p w14:paraId="251E09F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4,3</w:t>
            </w:r>
          </w:p>
        </w:tc>
      </w:tr>
      <w:tr w:rsidR="00A53AD7" w:rsidRPr="00A53AD7" w14:paraId="22D4181B" w14:textId="77777777" w:rsidTr="003B5BDA">
        <w:trPr>
          <w:trHeight w:val="982"/>
        </w:trPr>
        <w:tc>
          <w:tcPr>
            <w:tcW w:w="1278" w:type="dxa"/>
            <w:shd w:val="clear" w:color="auto" w:fill="auto"/>
            <w:vAlign w:val="bottom"/>
            <w:hideMark/>
          </w:tcPr>
          <w:p w14:paraId="4374376E" w14:textId="4FAC351B"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hAnsi="Times New Roman"/>
              </w:rPr>
              <w:t>изменение структуры (дек.</w:t>
            </w:r>
            <w:r w:rsidR="00DE7CED" w:rsidRPr="00A53AD7">
              <w:rPr>
                <w:rFonts w:ascii="Times New Roman" w:hAnsi="Times New Roman"/>
              </w:rPr>
              <w:t>20</w:t>
            </w:r>
            <w:r w:rsidRPr="00A53AD7">
              <w:rPr>
                <w:rFonts w:ascii="Times New Roman" w:hAnsi="Times New Roman"/>
              </w:rPr>
              <w:t>19 к дек.2018)</w:t>
            </w:r>
          </w:p>
        </w:tc>
        <w:tc>
          <w:tcPr>
            <w:tcW w:w="990" w:type="dxa"/>
            <w:shd w:val="clear" w:color="auto" w:fill="auto"/>
            <w:noWrap/>
            <w:vAlign w:val="bottom"/>
            <w:hideMark/>
          </w:tcPr>
          <w:p w14:paraId="5C7F515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0,6</w:t>
            </w:r>
          </w:p>
        </w:tc>
        <w:tc>
          <w:tcPr>
            <w:tcW w:w="851" w:type="dxa"/>
            <w:shd w:val="clear" w:color="auto" w:fill="auto"/>
            <w:noWrap/>
            <w:vAlign w:val="bottom"/>
            <w:hideMark/>
          </w:tcPr>
          <w:p w14:paraId="1B5FB93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0,1</w:t>
            </w:r>
          </w:p>
        </w:tc>
        <w:tc>
          <w:tcPr>
            <w:tcW w:w="709" w:type="dxa"/>
            <w:shd w:val="clear" w:color="auto" w:fill="auto"/>
            <w:noWrap/>
            <w:vAlign w:val="bottom"/>
            <w:hideMark/>
          </w:tcPr>
          <w:p w14:paraId="42523C1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0,1</w:t>
            </w:r>
          </w:p>
        </w:tc>
        <w:tc>
          <w:tcPr>
            <w:tcW w:w="992" w:type="dxa"/>
            <w:shd w:val="clear" w:color="auto" w:fill="auto"/>
            <w:noWrap/>
            <w:vAlign w:val="bottom"/>
            <w:hideMark/>
          </w:tcPr>
          <w:p w14:paraId="67D7290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0,3</w:t>
            </w:r>
          </w:p>
        </w:tc>
        <w:tc>
          <w:tcPr>
            <w:tcW w:w="709" w:type="dxa"/>
            <w:shd w:val="clear" w:color="auto" w:fill="auto"/>
            <w:noWrap/>
            <w:vAlign w:val="bottom"/>
            <w:hideMark/>
          </w:tcPr>
          <w:p w14:paraId="444DA4A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-0,2</w:t>
            </w:r>
          </w:p>
        </w:tc>
        <w:tc>
          <w:tcPr>
            <w:tcW w:w="708" w:type="dxa"/>
            <w:shd w:val="clear" w:color="auto" w:fill="auto"/>
            <w:noWrap/>
            <w:vAlign w:val="bottom"/>
            <w:hideMark/>
          </w:tcPr>
          <w:p w14:paraId="71B2232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-0,6</w:t>
            </w:r>
          </w:p>
        </w:tc>
        <w:tc>
          <w:tcPr>
            <w:tcW w:w="1418" w:type="dxa"/>
            <w:shd w:val="clear" w:color="auto" w:fill="auto"/>
            <w:noWrap/>
            <w:vAlign w:val="bottom"/>
            <w:hideMark/>
          </w:tcPr>
          <w:p w14:paraId="59FABD5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1,0</w:t>
            </w:r>
          </w:p>
        </w:tc>
        <w:tc>
          <w:tcPr>
            <w:tcW w:w="960" w:type="dxa"/>
            <w:shd w:val="clear" w:color="auto" w:fill="auto"/>
            <w:noWrap/>
            <w:vAlign w:val="bottom"/>
            <w:hideMark/>
          </w:tcPr>
          <w:p w14:paraId="033ECBB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-0,6</w:t>
            </w:r>
          </w:p>
        </w:tc>
        <w:tc>
          <w:tcPr>
            <w:tcW w:w="741" w:type="dxa"/>
            <w:shd w:val="clear" w:color="auto" w:fill="auto"/>
            <w:noWrap/>
            <w:vAlign w:val="bottom"/>
            <w:hideMark/>
          </w:tcPr>
          <w:p w14:paraId="1B18D5F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hAnsi="Times New Roman"/>
              </w:rPr>
              <w:t>-0,7</w:t>
            </w:r>
          </w:p>
        </w:tc>
      </w:tr>
    </w:tbl>
    <w:p w14:paraId="31277E89" w14:textId="77777777" w:rsidR="0051134C" w:rsidRPr="00A53AD7" w:rsidRDefault="0051134C" w:rsidP="003B5BDA">
      <w:pPr>
        <w:pStyle w:val="ad"/>
        <w:ind w:firstLine="851"/>
        <w:jc w:val="both"/>
        <w:rPr>
          <w:rFonts w:ascii="Times New Roman" w:hAnsi="Times New Roman"/>
          <w:sz w:val="28"/>
          <w:szCs w:val="28"/>
        </w:rPr>
      </w:pPr>
    </w:p>
    <w:p w14:paraId="3DAD8BF7" w14:textId="227E7239"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На конец периода незначительно увеличена доля стоимости продуктов: хлеб, крупы и макаронные изделия (+1,0 п.п.), мясопродукты (+0,6 п.п.), молочные продукты (+0,3 п.п.), рыбопродукты и жиры по (+ 0,1 п.п). Одновременно с этим уменьшена доля стоимости таких продуктов питания в </w:t>
      </w:r>
      <w:r w:rsidRPr="00A53AD7">
        <w:rPr>
          <w:rFonts w:ascii="Times New Roman" w:hAnsi="Times New Roman"/>
          <w:sz w:val="28"/>
          <w:szCs w:val="28"/>
        </w:rPr>
        <w:lastRenderedPageBreak/>
        <w:t xml:space="preserve">виду снижения их стоимости: яиц (–0,2 п.п.), сахара (–0,6 п.п.). Также уменьшена доля стоимости плодов и овощей (–0,6 п.п.) и </w:t>
      </w:r>
      <w:r w:rsidR="003D567B" w:rsidRPr="00A53AD7">
        <w:rPr>
          <w:rFonts w:ascii="Times New Roman" w:hAnsi="Times New Roman"/>
          <w:sz w:val="28"/>
          <w:szCs w:val="28"/>
        </w:rPr>
        <w:t>прочих наименований (–0,7 п.п.).</w:t>
      </w:r>
    </w:p>
    <w:p w14:paraId="45DF597F"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Стоимость фиксированного набора потребительских товаров и услуг в декабре 2019 года в расчете на месяц на одного человека составила 17 442,2 руб., увеличившись на 3,4 % (в декабре 2018 года составляла 16 788,6 руб., в 2017 году – 16 183,5 руб.).</w:t>
      </w:r>
    </w:p>
    <w:p w14:paraId="472F629A" w14:textId="77777777" w:rsidR="00B2139E" w:rsidRPr="00A53AD7" w:rsidRDefault="00B2139E" w:rsidP="00B2139E">
      <w:pPr>
        <w:pStyle w:val="2"/>
        <w:spacing w:before="120" w:after="0" w:line="240" w:lineRule="auto"/>
        <w:jc w:val="center"/>
        <w:rPr>
          <w:rFonts w:ascii="Times New Roman" w:hAnsi="Times New Roman"/>
          <w:lang w:val="ru-RU"/>
        </w:rPr>
      </w:pPr>
      <w:bookmarkStart w:id="39" w:name="_Toc451785032"/>
      <w:bookmarkStart w:id="40" w:name="_Toc515024207"/>
      <w:bookmarkStart w:id="41" w:name="_Toc9262561"/>
      <w:bookmarkStart w:id="42" w:name="_Toc39050215"/>
      <w:bookmarkStart w:id="43" w:name="_Toc42006711"/>
      <w:r w:rsidRPr="00A53AD7">
        <w:rPr>
          <w:rFonts w:ascii="Times New Roman" w:hAnsi="Times New Roman"/>
          <w:lang w:val="ru-RU"/>
        </w:rPr>
        <w:t xml:space="preserve">1.10. </w:t>
      </w:r>
      <w:bookmarkEnd w:id="39"/>
      <w:bookmarkEnd w:id="40"/>
      <w:r w:rsidRPr="00A53AD7">
        <w:rPr>
          <w:rFonts w:ascii="Times New Roman" w:hAnsi="Times New Roman"/>
          <w:lang w:val="ru-RU"/>
        </w:rPr>
        <w:t>Денежные доходы и расходы населения</w:t>
      </w:r>
      <w:bookmarkEnd w:id="41"/>
      <w:bookmarkEnd w:id="42"/>
      <w:bookmarkEnd w:id="43"/>
    </w:p>
    <w:p w14:paraId="5B330FFD" w14:textId="527BABB2"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предварительным статистическим данным по СЗФО среднемесячная </w:t>
      </w:r>
      <w:r w:rsidRPr="00A53AD7">
        <w:rPr>
          <w:rFonts w:ascii="Times New Roman" w:hAnsi="Times New Roman"/>
          <w:sz w:val="28"/>
          <w:szCs w:val="28"/>
          <w:u w:val="single"/>
        </w:rPr>
        <w:t>номинальная</w:t>
      </w:r>
      <w:r w:rsidRPr="00A53AD7">
        <w:rPr>
          <w:rFonts w:ascii="Times New Roman" w:hAnsi="Times New Roman"/>
          <w:sz w:val="28"/>
          <w:szCs w:val="28"/>
        </w:rPr>
        <w:t xml:space="preserve"> начисленная заработная плата одного работника составила 52 649 руб. </w:t>
      </w:r>
      <w:r w:rsidR="003D567B" w:rsidRPr="00A53AD7">
        <w:rPr>
          <w:rFonts w:ascii="Times New Roman" w:hAnsi="Times New Roman"/>
          <w:sz w:val="28"/>
          <w:szCs w:val="28"/>
        </w:rPr>
        <w:t>или</w:t>
      </w:r>
      <w:r w:rsidRPr="00A53AD7">
        <w:rPr>
          <w:rFonts w:ascii="Times New Roman" w:hAnsi="Times New Roman"/>
          <w:sz w:val="28"/>
          <w:szCs w:val="28"/>
        </w:rPr>
        <w:t xml:space="preserve"> 105,3 % к показателю 2018 года. Увеличение в 2019 году среднемесячной номинальной начисленной заработной платы одного работника к показателю прошлого года в Псковской области составляет 8,3 %, в Республике Карелия – 8,1 %, в Мурманской области – 7,9 %,</w:t>
      </w:r>
      <w:r w:rsidR="003D567B" w:rsidRPr="00A53AD7">
        <w:rPr>
          <w:rFonts w:ascii="Times New Roman" w:hAnsi="Times New Roman"/>
          <w:sz w:val="28"/>
          <w:szCs w:val="28"/>
        </w:rPr>
        <w:t xml:space="preserve"> в Вологодской области – 7,8 %.</w:t>
      </w:r>
    </w:p>
    <w:p w14:paraId="50F94223"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Архангельской области в 2019 году среднемесячная </w:t>
      </w:r>
      <w:r w:rsidRPr="00A53AD7">
        <w:rPr>
          <w:rFonts w:ascii="Times New Roman" w:hAnsi="Times New Roman"/>
          <w:sz w:val="28"/>
          <w:szCs w:val="28"/>
          <w:u w:val="single"/>
        </w:rPr>
        <w:t>номинальная</w:t>
      </w:r>
      <w:r w:rsidRPr="00A53AD7">
        <w:rPr>
          <w:rFonts w:ascii="Times New Roman" w:hAnsi="Times New Roman"/>
          <w:sz w:val="28"/>
          <w:szCs w:val="28"/>
        </w:rPr>
        <w:t xml:space="preserve"> начисленная заработная плата одного работника сложилась в размере 49 104,1 руб., увеличившись на 7,2 % к показателям 2018 года (в 2018 году среднемесячная номинальная начисленная заработная плата одного работника увеличилась на 10,7 % к показателю 2017 года).</w:t>
      </w:r>
    </w:p>
    <w:p w14:paraId="056B21C5" w14:textId="7F474E89"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u w:val="single"/>
        </w:rPr>
        <w:t>Денежные доходы в среднем на душу</w:t>
      </w:r>
      <w:r w:rsidRPr="00A53AD7">
        <w:rPr>
          <w:rFonts w:ascii="Times New Roman" w:hAnsi="Times New Roman"/>
          <w:sz w:val="28"/>
          <w:szCs w:val="28"/>
        </w:rPr>
        <w:t xml:space="preserve"> населения в месяц в Российской Федерации</w:t>
      </w:r>
      <w:r w:rsidRPr="00A53AD7">
        <w:rPr>
          <w:rStyle w:val="afff1"/>
          <w:rFonts w:ascii="Times New Roman" w:hAnsi="Times New Roman"/>
        </w:rPr>
        <w:footnoteReference w:id="12"/>
      </w:r>
      <w:r w:rsidRPr="00A53AD7">
        <w:rPr>
          <w:rFonts w:ascii="Times New Roman" w:hAnsi="Times New Roman"/>
          <w:sz w:val="28"/>
          <w:szCs w:val="28"/>
        </w:rPr>
        <w:t xml:space="preserve"> в 2019 году по предварительным статистическим данным составили 35 188 руб. или 106,1 % к уровню 2018 года (в 2018 году – 104,0 % к уровню 2017 года). По СЗФО денежные доходы в среднем на душу населения – 37 7</w:t>
      </w:r>
      <w:r w:rsidR="003D567B" w:rsidRPr="00A53AD7">
        <w:rPr>
          <w:rFonts w:ascii="Times New Roman" w:hAnsi="Times New Roman"/>
          <w:sz w:val="28"/>
          <w:szCs w:val="28"/>
        </w:rPr>
        <w:t>95 руб. (+104,5 % к 2018 году).</w:t>
      </w:r>
    </w:p>
    <w:p w14:paraId="79FB2900" w14:textId="3D10551F"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Архангельской области в 2019 году </w:t>
      </w:r>
      <w:r w:rsidRPr="00A53AD7">
        <w:rPr>
          <w:rFonts w:ascii="Times New Roman" w:hAnsi="Times New Roman"/>
          <w:sz w:val="28"/>
          <w:szCs w:val="28"/>
          <w:u w:val="single"/>
        </w:rPr>
        <w:t>денежные доходы в среднем</w:t>
      </w:r>
      <w:r w:rsidRPr="00A53AD7">
        <w:rPr>
          <w:rFonts w:ascii="Times New Roman" w:hAnsi="Times New Roman"/>
          <w:sz w:val="28"/>
          <w:szCs w:val="28"/>
        </w:rPr>
        <w:t xml:space="preserve"> на душу населения в месяц составили 33</w:t>
      </w:r>
      <w:r w:rsidR="00BD1E6C" w:rsidRPr="00A53AD7">
        <w:rPr>
          <w:rFonts w:ascii="Times New Roman" w:hAnsi="Times New Roman"/>
          <w:sz w:val="28"/>
          <w:szCs w:val="28"/>
        </w:rPr>
        <w:t> 778,6</w:t>
      </w:r>
      <w:r w:rsidRPr="00A53AD7">
        <w:rPr>
          <w:rFonts w:ascii="Times New Roman" w:hAnsi="Times New Roman"/>
          <w:sz w:val="28"/>
          <w:szCs w:val="28"/>
        </w:rPr>
        <w:t xml:space="preserve"> руб. или 10</w:t>
      </w:r>
      <w:r w:rsidR="00BD1E6C" w:rsidRPr="00A53AD7">
        <w:rPr>
          <w:rFonts w:ascii="Times New Roman" w:hAnsi="Times New Roman"/>
          <w:sz w:val="28"/>
          <w:szCs w:val="28"/>
        </w:rPr>
        <w:t>5,4</w:t>
      </w:r>
      <w:r w:rsidRPr="00A53AD7">
        <w:rPr>
          <w:rFonts w:ascii="Times New Roman" w:hAnsi="Times New Roman"/>
          <w:sz w:val="28"/>
          <w:szCs w:val="28"/>
        </w:rPr>
        <w:t xml:space="preserve"> % к уровню прошлого года (в 2018 году – 32 054,4 руб. или 104,4 % к уровню предыдущего года.). Денежные доходы в среднем на душу населения в месяц в регионе в отчетном году увеличивались темпами ниже, чем в 2018 году </w:t>
      </w:r>
      <w:r w:rsidR="003D567B" w:rsidRPr="00A53AD7">
        <w:rPr>
          <w:rFonts w:ascii="Times New Roman" w:hAnsi="Times New Roman"/>
          <w:sz w:val="28"/>
          <w:szCs w:val="28"/>
        </w:rPr>
        <w:t>к показателям предыдущего года.</w:t>
      </w:r>
    </w:p>
    <w:p w14:paraId="3360EC2C"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размеру денежных доходов в среднем на душу населения в месяц Архангельская область расположилась на пятом месте, уступая НАО (81 377 руб. или 103,6% к предыдущему году), г. Санкт-Петербургу (47 147 руб. или 104,8 %), Мурманской области (43 121 руб. или 103,7 %), Республике Коми (35 227 руб. или 103,7 %).</w:t>
      </w:r>
    </w:p>
    <w:p w14:paraId="28512189" w14:textId="6E565A8C"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w:t>
      </w:r>
      <w:r w:rsidRPr="00A53AD7">
        <w:rPr>
          <w:rFonts w:ascii="Times New Roman" w:hAnsi="Times New Roman"/>
          <w:i/>
          <w:sz w:val="28"/>
          <w:szCs w:val="28"/>
          <w:u w:val="single"/>
        </w:rPr>
        <w:t>реальной</w:t>
      </w:r>
      <w:r w:rsidRPr="00A53AD7">
        <w:rPr>
          <w:rFonts w:ascii="Times New Roman" w:hAnsi="Times New Roman"/>
          <w:i/>
          <w:sz w:val="28"/>
          <w:szCs w:val="28"/>
        </w:rPr>
        <w:t xml:space="preserve"> </w:t>
      </w:r>
      <w:r w:rsidRPr="00A53AD7">
        <w:rPr>
          <w:rFonts w:ascii="Times New Roman" w:hAnsi="Times New Roman"/>
          <w:sz w:val="28"/>
          <w:szCs w:val="28"/>
        </w:rPr>
        <w:t xml:space="preserve">среднемесячной начисленной заработной платы и реально располагаемых доходов населения (предварительные данные) представлена в таблице </w:t>
      </w:r>
      <w:r w:rsidR="00D16ED5" w:rsidRPr="00A53AD7">
        <w:rPr>
          <w:rFonts w:ascii="Times New Roman" w:hAnsi="Times New Roman"/>
          <w:sz w:val="28"/>
          <w:szCs w:val="28"/>
        </w:rPr>
        <w:t>11</w:t>
      </w:r>
      <w:r w:rsidRPr="00A53AD7">
        <w:rPr>
          <w:rFonts w:ascii="Times New Roman" w:hAnsi="Times New Roman"/>
          <w:sz w:val="28"/>
          <w:szCs w:val="28"/>
        </w:rPr>
        <w:t>.</w:t>
      </w:r>
    </w:p>
    <w:p w14:paraId="4B805E89" w14:textId="77777777" w:rsidR="003B5BDA" w:rsidRPr="00A53AD7" w:rsidRDefault="003B5BDA" w:rsidP="003B5BDA">
      <w:pPr>
        <w:pStyle w:val="ad"/>
        <w:ind w:firstLine="851"/>
        <w:jc w:val="both"/>
        <w:rPr>
          <w:rFonts w:ascii="Times New Roman" w:hAnsi="Times New Roman"/>
          <w:sz w:val="28"/>
          <w:szCs w:val="28"/>
        </w:rPr>
      </w:pPr>
    </w:p>
    <w:p w14:paraId="369E6D84" w14:textId="77777777" w:rsidR="00BD1E6C" w:rsidRPr="00A53AD7" w:rsidRDefault="00BD1E6C" w:rsidP="00BD1E6C">
      <w:pPr>
        <w:spacing w:after="0" w:line="240" w:lineRule="auto"/>
        <w:rPr>
          <w:rFonts w:ascii="Times New Roman" w:eastAsia="Times New Roman" w:hAnsi="Times New Roman"/>
          <w:sz w:val="24"/>
          <w:szCs w:val="24"/>
          <w:lang w:eastAsia="ru-RU"/>
        </w:rPr>
      </w:pPr>
      <w:r w:rsidRPr="00A53AD7">
        <w:rPr>
          <w:rFonts w:ascii="Times New Roman" w:hAnsi="Times New Roman"/>
          <w:sz w:val="24"/>
          <w:szCs w:val="24"/>
        </w:rPr>
        <w:lastRenderedPageBreak/>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11</w:t>
      </w:r>
      <w:r w:rsidRPr="00A53AD7">
        <w:rPr>
          <w:rFonts w:ascii="Times New Roman" w:hAnsi="Times New Roman"/>
          <w:sz w:val="24"/>
          <w:szCs w:val="24"/>
        </w:rPr>
        <w:fldChar w:fldCharType="end"/>
      </w:r>
      <w:r w:rsidRPr="00A53AD7">
        <w:rPr>
          <w:rFonts w:ascii="Times New Roman" w:hAnsi="Times New Roman"/>
          <w:sz w:val="24"/>
          <w:szCs w:val="24"/>
        </w:rPr>
        <w:t xml:space="preserve">. Динамика реальной среднемесячной начисленной заработной платы и реально располагаемых денежных доходов населения в 2019 году (предварительные данные), </w:t>
      </w:r>
      <w:r w:rsidRPr="00A53AD7">
        <w:rPr>
          <w:rFonts w:ascii="Times New Roman" w:eastAsia="Times New Roman" w:hAnsi="Times New Roman"/>
          <w:sz w:val="24"/>
          <w:szCs w:val="24"/>
          <w:lang w:eastAsia="ru-RU"/>
        </w:rPr>
        <w:t>в % к соответствующему периоду</w:t>
      </w:r>
    </w:p>
    <w:tbl>
      <w:tblPr>
        <w:tblW w:w="9313" w:type="dxa"/>
        <w:tblLook w:val="04A0" w:firstRow="1" w:lastRow="0" w:firstColumn="1" w:lastColumn="0" w:noHBand="0" w:noVBand="1"/>
      </w:tblPr>
      <w:tblGrid>
        <w:gridCol w:w="4513"/>
        <w:gridCol w:w="960"/>
        <w:gridCol w:w="960"/>
        <w:gridCol w:w="960"/>
        <w:gridCol w:w="960"/>
        <w:gridCol w:w="960"/>
      </w:tblGrid>
      <w:tr w:rsidR="00A53AD7" w:rsidRPr="00A53AD7" w14:paraId="6AD84EFA" w14:textId="77777777" w:rsidTr="00F46AC9">
        <w:trPr>
          <w:trHeight w:val="645"/>
        </w:trPr>
        <w:tc>
          <w:tcPr>
            <w:tcW w:w="451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6DC1FF7"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Наименование показателя, % к соотв. периоду предыдущего года</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75C33DB7"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 кв.</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5E238067"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 кв.</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1301D10D"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 кв.</w:t>
            </w:r>
          </w:p>
        </w:tc>
        <w:tc>
          <w:tcPr>
            <w:tcW w:w="960" w:type="dxa"/>
            <w:tcBorders>
              <w:top w:val="double" w:sz="6" w:space="0" w:color="auto"/>
              <w:left w:val="nil"/>
              <w:bottom w:val="single" w:sz="4" w:space="0" w:color="auto"/>
              <w:right w:val="single" w:sz="4" w:space="0" w:color="auto"/>
            </w:tcBorders>
            <w:shd w:val="clear" w:color="auto" w:fill="auto"/>
            <w:vAlign w:val="center"/>
            <w:hideMark/>
          </w:tcPr>
          <w:p w14:paraId="47BDAD33"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4 кв.</w:t>
            </w:r>
          </w:p>
        </w:tc>
        <w:tc>
          <w:tcPr>
            <w:tcW w:w="960" w:type="dxa"/>
            <w:tcBorders>
              <w:top w:val="double" w:sz="6" w:space="0" w:color="auto"/>
              <w:left w:val="nil"/>
              <w:bottom w:val="single" w:sz="4" w:space="0" w:color="auto"/>
              <w:right w:val="double" w:sz="6" w:space="0" w:color="auto"/>
            </w:tcBorders>
            <w:shd w:val="clear" w:color="auto" w:fill="auto"/>
            <w:vAlign w:val="center"/>
            <w:hideMark/>
          </w:tcPr>
          <w:p w14:paraId="52AA5053" w14:textId="77777777" w:rsidR="00BD1E6C" w:rsidRPr="00A53AD7" w:rsidRDefault="00BD1E6C" w:rsidP="00F46AC9">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2019 год</w:t>
            </w:r>
          </w:p>
        </w:tc>
      </w:tr>
      <w:tr w:rsidR="00A53AD7" w:rsidRPr="00A53AD7" w14:paraId="3CDAE874" w14:textId="77777777" w:rsidTr="00F46AC9">
        <w:trPr>
          <w:trHeight w:val="30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075AA9F6" w14:textId="77777777" w:rsidR="00BD1E6C" w:rsidRPr="00A53AD7" w:rsidRDefault="00BD1E6C" w:rsidP="00F46AC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Реальная начисленная заработная плата</w:t>
            </w:r>
          </w:p>
        </w:tc>
        <w:tc>
          <w:tcPr>
            <w:tcW w:w="960" w:type="dxa"/>
            <w:tcBorders>
              <w:top w:val="nil"/>
              <w:left w:val="nil"/>
              <w:bottom w:val="single" w:sz="4" w:space="0" w:color="auto"/>
              <w:right w:val="single" w:sz="4" w:space="0" w:color="auto"/>
            </w:tcBorders>
            <w:shd w:val="clear" w:color="auto" w:fill="auto"/>
            <w:vAlign w:val="center"/>
            <w:hideMark/>
          </w:tcPr>
          <w:p w14:paraId="3C36ED74"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960" w:type="dxa"/>
            <w:tcBorders>
              <w:top w:val="nil"/>
              <w:left w:val="nil"/>
              <w:bottom w:val="single" w:sz="4" w:space="0" w:color="auto"/>
              <w:right w:val="single" w:sz="4" w:space="0" w:color="auto"/>
            </w:tcBorders>
            <w:shd w:val="clear" w:color="auto" w:fill="auto"/>
            <w:vAlign w:val="center"/>
            <w:hideMark/>
          </w:tcPr>
          <w:p w14:paraId="22403FA1"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3,2 </w:t>
            </w:r>
          </w:p>
        </w:tc>
        <w:tc>
          <w:tcPr>
            <w:tcW w:w="960" w:type="dxa"/>
            <w:tcBorders>
              <w:top w:val="nil"/>
              <w:left w:val="nil"/>
              <w:bottom w:val="single" w:sz="4" w:space="0" w:color="auto"/>
              <w:right w:val="single" w:sz="4" w:space="0" w:color="auto"/>
            </w:tcBorders>
            <w:shd w:val="clear" w:color="auto" w:fill="auto"/>
            <w:vAlign w:val="center"/>
            <w:hideMark/>
          </w:tcPr>
          <w:p w14:paraId="15D5B7B7"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w:t>
            </w:r>
          </w:p>
        </w:tc>
        <w:tc>
          <w:tcPr>
            <w:tcW w:w="960" w:type="dxa"/>
            <w:tcBorders>
              <w:top w:val="nil"/>
              <w:left w:val="nil"/>
              <w:bottom w:val="single" w:sz="4" w:space="0" w:color="auto"/>
              <w:right w:val="single" w:sz="4" w:space="0" w:color="auto"/>
            </w:tcBorders>
            <w:shd w:val="clear" w:color="auto" w:fill="auto"/>
            <w:vAlign w:val="center"/>
            <w:hideMark/>
          </w:tcPr>
          <w:p w14:paraId="42F5B21C"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12,5 </w:t>
            </w:r>
          </w:p>
        </w:tc>
        <w:tc>
          <w:tcPr>
            <w:tcW w:w="960" w:type="dxa"/>
            <w:tcBorders>
              <w:top w:val="nil"/>
              <w:left w:val="nil"/>
              <w:bottom w:val="single" w:sz="4" w:space="0" w:color="auto"/>
              <w:right w:val="double" w:sz="6" w:space="0" w:color="auto"/>
            </w:tcBorders>
            <w:shd w:val="clear" w:color="auto" w:fill="auto"/>
            <w:vAlign w:val="center"/>
            <w:hideMark/>
          </w:tcPr>
          <w:p w14:paraId="66BEB2B6"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 </w:t>
            </w:r>
          </w:p>
        </w:tc>
      </w:tr>
      <w:tr w:rsidR="00A53AD7" w:rsidRPr="00A53AD7" w14:paraId="6CED957B" w14:textId="77777777" w:rsidTr="00F46AC9">
        <w:trPr>
          <w:trHeight w:val="300"/>
        </w:trPr>
        <w:tc>
          <w:tcPr>
            <w:tcW w:w="4513" w:type="dxa"/>
            <w:tcBorders>
              <w:top w:val="nil"/>
              <w:left w:val="double" w:sz="6" w:space="0" w:color="auto"/>
              <w:bottom w:val="single" w:sz="4" w:space="0" w:color="auto"/>
              <w:right w:val="single" w:sz="4" w:space="0" w:color="auto"/>
            </w:tcBorders>
            <w:shd w:val="clear" w:color="auto" w:fill="auto"/>
            <w:vAlign w:val="center"/>
            <w:hideMark/>
          </w:tcPr>
          <w:p w14:paraId="3514790B" w14:textId="77777777" w:rsidR="00BD1E6C" w:rsidRPr="00A53AD7" w:rsidRDefault="00BD1E6C" w:rsidP="00F46AC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Реальные располагаемые доходы населения </w:t>
            </w:r>
          </w:p>
        </w:tc>
        <w:tc>
          <w:tcPr>
            <w:tcW w:w="960" w:type="dxa"/>
            <w:tcBorders>
              <w:top w:val="nil"/>
              <w:left w:val="nil"/>
              <w:bottom w:val="single" w:sz="4" w:space="0" w:color="auto"/>
              <w:right w:val="single" w:sz="4" w:space="0" w:color="auto"/>
            </w:tcBorders>
            <w:shd w:val="clear" w:color="auto" w:fill="auto"/>
            <w:vAlign w:val="center"/>
            <w:hideMark/>
          </w:tcPr>
          <w:p w14:paraId="6D7458BC"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 </w:t>
            </w:r>
          </w:p>
        </w:tc>
        <w:tc>
          <w:tcPr>
            <w:tcW w:w="960" w:type="dxa"/>
            <w:tcBorders>
              <w:top w:val="nil"/>
              <w:left w:val="nil"/>
              <w:bottom w:val="single" w:sz="4" w:space="0" w:color="auto"/>
              <w:right w:val="single" w:sz="4" w:space="0" w:color="auto"/>
            </w:tcBorders>
            <w:shd w:val="clear" w:color="auto" w:fill="auto"/>
            <w:vAlign w:val="center"/>
            <w:hideMark/>
          </w:tcPr>
          <w:p w14:paraId="237D17EA"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c>
          <w:tcPr>
            <w:tcW w:w="960" w:type="dxa"/>
            <w:tcBorders>
              <w:top w:val="nil"/>
              <w:left w:val="nil"/>
              <w:bottom w:val="single" w:sz="4" w:space="0" w:color="auto"/>
              <w:right w:val="single" w:sz="4" w:space="0" w:color="auto"/>
            </w:tcBorders>
            <w:shd w:val="clear" w:color="auto" w:fill="auto"/>
            <w:vAlign w:val="center"/>
            <w:hideMark/>
          </w:tcPr>
          <w:p w14:paraId="110B29FA"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-2,9 </w:t>
            </w:r>
          </w:p>
        </w:tc>
        <w:tc>
          <w:tcPr>
            <w:tcW w:w="960" w:type="dxa"/>
            <w:tcBorders>
              <w:top w:val="nil"/>
              <w:left w:val="nil"/>
              <w:bottom w:val="single" w:sz="4" w:space="0" w:color="auto"/>
              <w:right w:val="single" w:sz="4" w:space="0" w:color="auto"/>
            </w:tcBorders>
            <w:shd w:val="clear" w:color="auto" w:fill="auto"/>
            <w:vAlign w:val="center"/>
            <w:hideMark/>
          </w:tcPr>
          <w:p w14:paraId="7456179C"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6,2 </w:t>
            </w:r>
          </w:p>
        </w:tc>
        <w:tc>
          <w:tcPr>
            <w:tcW w:w="960" w:type="dxa"/>
            <w:tcBorders>
              <w:top w:val="nil"/>
              <w:left w:val="nil"/>
              <w:bottom w:val="single" w:sz="4" w:space="0" w:color="auto"/>
              <w:right w:val="double" w:sz="6" w:space="0" w:color="auto"/>
            </w:tcBorders>
            <w:shd w:val="clear" w:color="auto" w:fill="auto"/>
            <w:vAlign w:val="center"/>
            <w:hideMark/>
          </w:tcPr>
          <w:p w14:paraId="25D4B9EE"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r>
      <w:tr w:rsidR="00BD1E6C" w:rsidRPr="00A53AD7" w14:paraId="007B19DA" w14:textId="77777777" w:rsidTr="00BD1E6C">
        <w:trPr>
          <w:trHeight w:val="684"/>
        </w:trPr>
        <w:tc>
          <w:tcPr>
            <w:tcW w:w="4513" w:type="dxa"/>
            <w:tcBorders>
              <w:top w:val="nil"/>
              <w:left w:val="double" w:sz="6" w:space="0" w:color="auto"/>
              <w:bottom w:val="double" w:sz="6" w:space="0" w:color="auto"/>
              <w:right w:val="single" w:sz="4" w:space="0" w:color="auto"/>
            </w:tcBorders>
            <w:shd w:val="clear" w:color="auto" w:fill="auto"/>
            <w:vAlign w:val="center"/>
            <w:hideMark/>
          </w:tcPr>
          <w:p w14:paraId="718C8E76" w14:textId="77777777" w:rsidR="00BD1E6C" w:rsidRPr="00A53AD7" w:rsidRDefault="00BD1E6C" w:rsidP="00F46AC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Индексы потребительских цен и тарифов на товары и услуги (</w:t>
            </w:r>
            <w:r w:rsidRPr="00A53AD7">
              <w:rPr>
                <w:rFonts w:ascii="Times New Roman" w:eastAsia="Times New Roman" w:hAnsi="Times New Roman"/>
                <w:i/>
                <w:iCs/>
                <w:lang w:eastAsia="ru-RU"/>
              </w:rPr>
              <w:t>на конец периода, в % к концу предыдущего периода</w:t>
            </w:r>
            <w:r w:rsidRPr="00A53AD7">
              <w:rPr>
                <w:rFonts w:ascii="Times New Roman" w:eastAsia="Times New Roman" w:hAnsi="Times New Roman"/>
                <w:lang w:eastAsia="ru-RU"/>
              </w:rPr>
              <w:t>)</w:t>
            </w:r>
          </w:p>
        </w:tc>
        <w:tc>
          <w:tcPr>
            <w:tcW w:w="960" w:type="dxa"/>
            <w:tcBorders>
              <w:top w:val="nil"/>
              <w:left w:val="nil"/>
              <w:bottom w:val="double" w:sz="6" w:space="0" w:color="auto"/>
              <w:right w:val="single" w:sz="4" w:space="0" w:color="auto"/>
            </w:tcBorders>
            <w:shd w:val="clear" w:color="auto" w:fill="auto"/>
            <w:vAlign w:val="bottom"/>
            <w:hideMark/>
          </w:tcPr>
          <w:p w14:paraId="38422B98"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w:t>
            </w:r>
          </w:p>
        </w:tc>
        <w:tc>
          <w:tcPr>
            <w:tcW w:w="960" w:type="dxa"/>
            <w:tcBorders>
              <w:top w:val="nil"/>
              <w:left w:val="nil"/>
              <w:bottom w:val="double" w:sz="6" w:space="0" w:color="auto"/>
              <w:right w:val="single" w:sz="4" w:space="0" w:color="auto"/>
            </w:tcBorders>
            <w:shd w:val="clear" w:color="auto" w:fill="auto"/>
            <w:vAlign w:val="bottom"/>
            <w:hideMark/>
          </w:tcPr>
          <w:p w14:paraId="5D8F4141"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0,6 </w:t>
            </w:r>
          </w:p>
        </w:tc>
        <w:tc>
          <w:tcPr>
            <w:tcW w:w="960" w:type="dxa"/>
            <w:tcBorders>
              <w:top w:val="nil"/>
              <w:left w:val="nil"/>
              <w:bottom w:val="double" w:sz="6" w:space="0" w:color="auto"/>
              <w:right w:val="single" w:sz="4" w:space="0" w:color="auto"/>
            </w:tcBorders>
            <w:shd w:val="clear" w:color="auto" w:fill="auto"/>
            <w:vAlign w:val="bottom"/>
            <w:hideMark/>
          </w:tcPr>
          <w:p w14:paraId="5BC74F0D"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960" w:type="dxa"/>
            <w:tcBorders>
              <w:top w:val="nil"/>
              <w:left w:val="nil"/>
              <w:bottom w:val="double" w:sz="6" w:space="0" w:color="auto"/>
              <w:right w:val="single" w:sz="4" w:space="0" w:color="auto"/>
            </w:tcBorders>
            <w:shd w:val="clear" w:color="auto" w:fill="auto"/>
            <w:vAlign w:val="bottom"/>
            <w:hideMark/>
          </w:tcPr>
          <w:p w14:paraId="083089E8"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960" w:type="dxa"/>
            <w:tcBorders>
              <w:top w:val="nil"/>
              <w:left w:val="nil"/>
              <w:bottom w:val="double" w:sz="6" w:space="0" w:color="auto"/>
              <w:right w:val="double" w:sz="6" w:space="0" w:color="auto"/>
            </w:tcBorders>
            <w:shd w:val="clear" w:color="auto" w:fill="auto"/>
            <w:vAlign w:val="bottom"/>
            <w:hideMark/>
          </w:tcPr>
          <w:p w14:paraId="49273723" w14:textId="77777777" w:rsidR="00BD1E6C" w:rsidRPr="00A53AD7" w:rsidRDefault="00BD1E6C" w:rsidP="00F46AC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3,1 </w:t>
            </w:r>
          </w:p>
        </w:tc>
      </w:tr>
    </w:tbl>
    <w:p w14:paraId="0D9B7566" w14:textId="77777777" w:rsidR="00BD1E6C" w:rsidRPr="00A53AD7" w:rsidRDefault="00BD1E6C" w:rsidP="00BD1E6C">
      <w:pPr>
        <w:pStyle w:val="ad"/>
        <w:ind w:firstLine="851"/>
        <w:jc w:val="both"/>
        <w:rPr>
          <w:rFonts w:ascii="Times New Roman" w:hAnsi="Times New Roman"/>
          <w:sz w:val="28"/>
          <w:szCs w:val="28"/>
        </w:rPr>
      </w:pPr>
    </w:p>
    <w:p w14:paraId="1FF37C2F" w14:textId="77777777" w:rsidR="00BD1E6C" w:rsidRPr="00A53AD7" w:rsidRDefault="00BD1E6C" w:rsidP="00BD1E6C">
      <w:pPr>
        <w:pStyle w:val="ad"/>
        <w:ind w:firstLine="851"/>
        <w:jc w:val="both"/>
        <w:rPr>
          <w:rFonts w:ascii="Times New Roman" w:hAnsi="Times New Roman"/>
          <w:sz w:val="28"/>
          <w:szCs w:val="28"/>
        </w:rPr>
      </w:pPr>
      <w:r w:rsidRPr="00A53AD7">
        <w:rPr>
          <w:rFonts w:ascii="Times New Roman" w:hAnsi="Times New Roman"/>
          <w:sz w:val="28"/>
          <w:szCs w:val="28"/>
        </w:rPr>
        <w:t>В течение 2019 года реальная начисленная заработная плата ежеквартально увеличивалась и сложилась с превышением на 2,5 % к уровню 2018 года (в 2018 году на 10,7% к уровню 2017 года). Следует отметить, что реальная начисленная заработная плата в отчетном году увеличивалась меньшими темпами, чем в 2018 году.</w:t>
      </w:r>
    </w:p>
    <w:p w14:paraId="5AEFE9E8" w14:textId="77777777" w:rsidR="00BD1E6C" w:rsidRPr="00A53AD7" w:rsidRDefault="00BD1E6C" w:rsidP="00BD1E6C">
      <w:pPr>
        <w:pStyle w:val="ad"/>
        <w:ind w:firstLine="851"/>
        <w:jc w:val="both"/>
        <w:rPr>
          <w:rFonts w:ascii="Times New Roman" w:hAnsi="Times New Roman"/>
          <w:sz w:val="28"/>
          <w:szCs w:val="28"/>
        </w:rPr>
      </w:pPr>
      <w:r w:rsidRPr="00A53AD7">
        <w:rPr>
          <w:rFonts w:ascii="Times New Roman" w:hAnsi="Times New Roman"/>
          <w:sz w:val="28"/>
          <w:szCs w:val="28"/>
        </w:rPr>
        <w:t xml:space="preserve">Реально располагаемые денежные доходы на душу населения в 2019 году снижались в 1 кв., 3 кв., во 2 кв. и в 4 кв. отчасти компенсировались и в целом за год снижение составило 0,1 % по сравнению с предыдущим периодом (в 2018 году был установлен рост на 0,9 % к предыдущему году). </w:t>
      </w:r>
    </w:p>
    <w:p w14:paraId="46CD19E5"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Индексы потребительских цен и тарифов на товары и услуги (на конец периода, в % к концу предыдущего периода) в отчетном году ежеквартально увеличивались и по концу года их рост составил 3,1 % к прошлому периоду.</w:t>
      </w:r>
    </w:p>
    <w:p w14:paraId="45673790"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Просроченная задолженность по заработной плате на 01.01.2020 (по организациям без субъектов малого предпринимательства), согласно статистическим данным, составила 27 856 тыс.руб., увеличившись на 5 437 тыс.руб. или на 24,3 % к показателям на 01.01.2019 (просроченная задолженность по заработной плате на 01.01.2019 составляла 22 419 тыс.руб., в 2017 году – 17 975 тыс.руб.).</w:t>
      </w:r>
    </w:p>
    <w:p w14:paraId="23CB7332" w14:textId="114A22DC"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видам экономический деятельности просроченная задолженность по заработной плате представлена в таблице </w:t>
      </w:r>
      <w:r w:rsidR="00D16ED5" w:rsidRPr="00A53AD7">
        <w:rPr>
          <w:rFonts w:ascii="Times New Roman" w:hAnsi="Times New Roman"/>
          <w:sz w:val="28"/>
          <w:szCs w:val="28"/>
        </w:rPr>
        <w:t>12</w:t>
      </w:r>
      <w:r w:rsidRPr="00A53AD7">
        <w:rPr>
          <w:rFonts w:ascii="Times New Roman" w:hAnsi="Times New Roman"/>
          <w:sz w:val="28"/>
          <w:szCs w:val="28"/>
        </w:rPr>
        <w:t>.</w:t>
      </w:r>
    </w:p>
    <w:p w14:paraId="4F0EFD82" w14:textId="77777777" w:rsidR="003B5BDA" w:rsidRPr="00A53AD7" w:rsidRDefault="003B5BDA" w:rsidP="003B5BDA">
      <w:pPr>
        <w:pStyle w:val="ad"/>
        <w:ind w:firstLine="851"/>
        <w:jc w:val="both"/>
        <w:rPr>
          <w:rFonts w:ascii="Times New Roman" w:hAnsi="Times New Roman"/>
        </w:rPr>
      </w:pPr>
    </w:p>
    <w:p w14:paraId="0D2054D9" w14:textId="276CC0E9" w:rsidR="003B5BDA" w:rsidRPr="00A53AD7" w:rsidRDefault="00B527AD" w:rsidP="00B527AD">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12</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Динамика просроченной задолженности по заработной плате на 01.01.2020, на 01.01.2019, на 01.01.2018 по видам экономический деятельности (предварительные данные)</w:t>
      </w:r>
    </w:p>
    <w:tbl>
      <w:tblPr>
        <w:tblW w:w="9348"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4A0" w:firstRow="1" w:lastRow="0" w:firstColumn="1" w:lastColumn="0" w:noHBand="0" w:noVBand="1"/>
      </w:tblPr>
      <w:tblGrid>
        <w:gridCol w:w="3544"/>
        <w:gridCol w:w="1134"/>
        <w:gridCol w:w="1206"/>
        <w:gridCol w:w="1000"/>
        <w:gridCol w:w="1206"/>
        <w:gridCol w:w="1258"/>
      </w:tblGrid>
      <w:tr w:rsidR="00A53AD7" w:rsidRPr="00A53AD7" w14:paraId="2BC75A4D" w14:textId="77777777" w:rsidTr="00D969BE">
        <w:trPr>
          <w:trHeight w:val="292"/>
          <w:tblHeader/>
        </w:trPr>
        <w:tc>
          <w:tcPr>
            <w:tcW w:w="3544" w:type="dxa"/>
            <w:vMerge w:val="restart"/>
            <w:shd w:val="clear" w:color="auto" w:fill="auto"/>
            <w:vAlign w:val="center"/>
            <w:hideMark/>
          </w:tcPr>
          <w:p w14:paraId="2C63BC89"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Вид экономической деятельности</w:t>
            </w:r>
          </w:p>
        </w:tc>
        <w:tc>
          <w:tcPr>
            <w:tcW w:w="2340" w:type="dxa"/>
            <w:gridSpan w:val="2"/>
            <w:shd w:val="clear" w:color="auto" w:fill="auto"/>
            <w:vAlign w:val="center"/>
            <w:hideMark/>
          </w:tcPr>
          <w:p w14:paraId="094493FD" w14:textId="10173EC6"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01.01.2019 (2018</w:t>
            </w:r>
            <w:r w:rsidR="00B15F6B"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r w:rsidR="00D445D4" w:rsidRPr="00A53AD7">
              <w:rPr>
                <w:rFonts w:ascii="Times New Roman" w:eastAsia="Times New Roman" w:hAnsi="Times New Roman"/>
                <w:lang w:eastAsia="ru-RU"/>
              </w:rPr>
              <w:t>.</w:t>
            </w:r>
            <w:r w:rsidRPr="00A53AD7">
              <w:rPr>
                <w:rFonts w:ascii="Times New Roman" w:eastAsia="Times New Roman" w:hAnsi="Times New Roman"/>
                <w:lang w:eastAsia="ru-RU"/>
              </w:rPr>
              <w:t>)</w:t>
            </w:r>
          </w:p>
        </w:tc>
        <w:tc>
          <w:tcPr>
            <w:tcW w:w="2206" w:type="dxa"/>
            <w:gridSpan w:val="2"/>
            <w:shd w:val="clear" w:color="auto" w:fill="auto"/>
            <w:vAlign w:val="center"/>
            <w:hideMark/>
          </w:tcPr>
          <w:p w14:paraId="26EDF793" w14:textId="66CFF5BD"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01.01.2020 (2019</w:t>
            </w:r>
            <w:r w:rsidR="00D445D4" w:rsidRPr="00A53AD7">
              <w:rPr>
                <w:rFonts w:ascii="Times New Roman" w:eastAsia="Times New Roman" w:hAnsi="Times New Roman"/>
                <w:lang w:eastAsia="ru-RU"/>
              </w:rPr>
              <w:t xml:space="preserve"> г.</w:t>
            </w:r>
            <w:r w:rsidRPr="00A53AD7">
              <w:rPr>
                <w:rFonts w:ascii="Times New Roman" w:eastAsia="Times New Roman" w:hAnsi="Times New Roman"/>
                <w:lang w:eastAsia="ru-RU"/>
              </w:rPr>
              <w:t>)</w:t>
            </w:r>
          </w:p>
        </w:tc>
        <w:tc>
          <w:tcPr>
            <w:tcW w:w="1258" w:type="dxa"/>
            <w:shd w:val="clear" w:color="auto" w:fill="auto"/>
            <w:vAlign w:val="center"/>
            <w:hideMark/>
          </w:tcPr>
          <w:p w14:paraId="123F91C1" w14:textId="77777777" w:rsidR="003B5BDA" w:rsidRPr="00A53AD7" w:rsidRDefault="003B5BDA" w:rsidP="003B5BDA">
            <w:pPr>
              <w:spacing w:after="0" w:line="240" w:lineRule="auto"/>
              <w:ind w:left="-126" w:right="-108"/>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2019 к 2018</w:t>
            </w:r>
          </w:p>
        </w:tc>
      </w:tr>
      <w:tr w:rsidR="00A53AD7" w:rsidRPr="00A53AD7" w14:paraId="712D7F80" w14:textId="77777777" w:rsidTr="00D969BE">
        <w:trPr>
          <w:trHeight w:val="209"/>
          <w:tblHeader/>
        </w:trPr>
        <w:tc>
          <w:tcPr>
            <w:tcW w:w="3544" w:type="dxa"/>
            <w:vMerge/>
            <w:vAlign w:val="center"/>
            <w:hideMark/>
          </w:tcPr>
          <w:p w14:paraId="19E016DD" w14:textId="77777777" w:rsidR="003B5BDA" w:rsidRPr="00A53AD7" w:rsidRDefault="003B5BDA" w:rsidP="003B5BDA">
            <w:pPr>
              <w:spacing w:after="0" w:line="240" w:lineRule="auto"/>
              <w:rPr>
                <w:rFonts w:ascii="Times New Roman" w:eastAsia="Times New Roman" w:hAnsi="Times New Roman"/>
                <w:lang w:eastAsia="ru-RU"/>
              </w:rPr>
            </w:pPr>
          </w:p>
        </w:tc>
        <w:tc>
          <w:tcPr>
            <w:tcW w:w="1134" w:type="dxa"/>
            <w:shd w:val="clear" w:color="auto" w:fill="auto"/>
            <w:vAlign w:val="center"/>
            <w:hideMark/>
          </w:tcPr>
          <w:p w14:paraId="44D9DC6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тыс.руб.</w:t>
            </w:r>
          </w:p>
        </w:tc>
        <w:tc>
          <w:tcPr>
            <w:tcW w:w="1206" w:type="dxa"/>
            <w:shd w:val="clear" w:color="auto" w:fill="auto"/>
            <w:vAlign w:val="center"/>
            <w:hideMark/>
          </w:tcPr>
          <w:p w14:paraId="74EA07A7"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к итогу</w:t>
            </w:r>
          </w:p>
        </w:tc>
        <w:tc>
          <w:tcPr>
            <w:tcW w:w="1000" w:type="dxa"/>
            <w:shd w:val="clear" w:color="auto" w:fill="auto"/>
            <w:vAlign w:val="center"/>
            <w:hideMark/>
          </w:tcPr>
          <w:p w14:paraId="51348B80"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тыс.руб.</w:t>
            </w:r>
          </w:p>
        </w:tc>
        <w:tc>
          <w:tcPr>
            <w:tcW w:w="1206" w:type="dxa"/>
            <w:shd w:val="clear" w:color="auto" w:fill="auto"/>
            <w:vAlign w:val="center"/>
            <w:hideMark/>
          </w:tcPr>
          <w:p w14:paraId="67D894D3"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к итогу</w:t>
            </w:r>
          </w:p>
        </w:tc>
        <w:tc>
          <w:tcPr>
            <w:tcW w:w="1258" w:type="dxa"/>
            <w:shd w:val="clear" w:color="auto" w:fill="auto"/>
            <w:vAlign w:val="center"/>
            <w:hideMark/>
          </w:tcPr>
          <w:p w14:paraId="7AD24EFF"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тыс.руб.</w:t>
            </w:r>
          </w:p>
        </w:tc>
      </w:tr>
      <w:tr w:rsidR="00A53AD7" w:rsidRPr="00A53AD7" w14:paraId="166B6C42" w14:textId="77777777" w:rsidTr="00D969BE">
        <w:trPr>
          <w:trHeight w:val="74"/>
          <w:tblHeader/>
        </w:trPr>
        <w:tc>
          <w:tcPr>
            <w:tcW w:w="3544" w:type="dxa"/>
            <w:vMerge/>
            <w:vAlign w:val="center"/>
            <w:hideMark/>
          </w:tcPr>
          <w:p w14:paraId="79813CDE" w14:textId="77777777" w:rsidR="003B5BDA" w:rsidRPr="00A53AD7" w:rsidRDefault="003B5BDA" w:rsidP="003B5BDA">
            <w:pPr>
              <w:spacing w:after="0" w:line="240" w:lineRule="auto"/>
              <w:rPr>
                <w:rFonts w:ascii="Times New Roman" w:eastAsia="Times New Roman" w:hAnsi="Times New Roman"/>
                <w:lang w:eastAsia="ru-RU"/>
              </w:rPr>
            </w:pPr>
          </w:p>
        </w:tc>
        <w:tc>
          <w:tcPr>
            <w:tcW w:w="1134" w:type="dxa"/>
            <w:shd w:val="clear" w:color="auto" w:fill="auto"/>
            <w:vAlign w:val="center"/>
            <w:hideMark/>
          </w:tcPr>
          <w:p w14:paraId="6E091C16"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206" w:type="dxa"/>
            <w:shd w:val="clear" w:color="auto" w:fill="auto"/>
            <w:vAlign w:val="center"/>
            <w:hideMark/>
          </w:tcPr>
          <w:p w14:paraId="6E87798A"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000" w:type="dxa"/>
            <w:shd w:val="clear" w:color="auto" w:fill="auto"/>
            <w:vAlign w:val="center"/>
            <w:hideMark/>
          </w:tcPr>
          <w:p w14:paraId="5E4EA595"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1206" w:type="dxa"/>
            <w:shd w:val="clear" w:color="auto" w:fill="auto"/>
            <w:vAlign w:val="center"/>
            <w:hideMark/>
          </w:tcPr>
          <w:p w14:paraId="0A33281D"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1258" w:type="dxa"/>
            <w:shd w:val="clear" w:color="auto" w:fill="auto"/>
            <w:vAlign w:val="center"/>
            <w:hideMark/>
          </w:tcPr>
          <w:p w14:paraId="679691F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5=3-1</w:t>
            </w:r>
          </w:p>
        </w:tc>
      </w:tr>
      <w:tr w:rsidR="00A53AD7" w:rsidRPr="00A53AD7" w14:paraId="60DF25D8" w14:textId="77777777" w:rsidTr="003B5BDA">
        <w:trPr>
          <w:trHeight w:val="687"/>
        </w:trPr>
        <w:tc>
          <w:tcPr>
            <w:tcW w:w="3544" w:type="dxa"/>
            <w:shd w:val="clear" w:color="auto" w:fill="auto"/>
            <w:vAlign w:val="bottom"/>
            <w:hideMark/>
          </w:tcPr>
          <w:p w14:paraId="3224CF2F"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сельское хозяйство, охота и предоставление услуг в этих областях; лесозаготовки</w:t>
            </w:r>
          </w:p>
        </w:tc>
        <w:tc>
          <w:tcPr>
            <w:tcW w:w="1134" w:type="dxa"/>
            <w:shd w:val="clear" w:color="auto" w:fill="auto"/>
            <w:noWrap/>
            <w:vAlign w:val="bottom"/>
            <w:hideMark/>
          </w:tcPr>
          <w:p w14:paraId="492D02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4 370 </w:t>
            </w:r>
          </w:p>
        </w:tc>
        <w:tc>
          <w:tcPr>
            <w:tcW w:w="1206" w:type="dxa"/>
            <w:shd w:val="clear" w:color="auto" w:fill="auto"/>
            <w:noWrap/>
            <w:vAlign w:val="bottom"/>
            <w:hideMark/>
          </w:tcPr>
          <w:p w14:paraId="5EB9A3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19,5 </w:t>
            </w:r>
          </w:p>
        </w:tc>
        <w:tc>
          <w:tcPr>
            <w:tcW w:w="1000" w:type="dxa"/>
            <w:shd w:val="clear" w:color="auto" w:fill="auto"/>
            <w:noWrap/>
            <w:vAlign w:val="bottom"/>
            <w:hideMark/>
          </w:tcPr>
          <w:p w14:paraId="12B6215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79 </w:t>
            </w:r>
          </w:p>
        </w:tc>
        <w:tc>
          <w:tcPr>
            <w:tcW w:w="1206" w:type="dxa"/>
            <w:shd w:val="clear" w:color="auto" w:fill="auto"/>
            <w:noWrap/>
            <w:vAlign w:val="bottom"/>
            <w:hideMark/>
          </w:tcPr>
          <w:p w14:paraId="7028A85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258" w:type="dxa"/>
            <w:shd w:val="clear" w:color="auto" w:fill="auto"/>
            <w:noWrap/>
            <w:vAlign w:val="bottom"/>
            <w:hideMark/>
          </w:tcPr>
          <w:p w14:paraId="62D001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-4 291 </w:t>
            </w:r>
          </w:p>
        </w:tc>
      </w:tr>
      <w:tr w:rsidR="00A53AD7" w:rsidRPr="00A53AD7" w14:paraId="16E5688D" w14:textId="77777777" w:rsidTr="00B527AD">
        <w:trPr>
          <w:trHeight w:val="255"/>
        </w:trPr>
        <w:tc>
          <w:tcPr>
            <w:tcW w:w="3544" w:type="dxa"/>
            <w:shd w:val="clear" w:color="auto" w:fill="auto"/>
            <w:vAlign w:val="bottom"/>
            <w:hideMark/>
          </w:tcPr>
          <w:p w14:paraId="6BBBB12C"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1134" w:type="dxa"/>
            <w:shd w:val="clear" w:color="auto" w:fill="auto"/>
            <w:noWrap/>
            <w:vAlign w:val="bottom"/>
            <w:hideMark/>
          </w:tcPr>
          <w:p w14:paraId="1A88DFC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938 </w:t>
            </w:r>
          </w:p>
        </w:tc>
        <w:tc>
          <w:tcPr>
            <w:tcW w:w="1206" w:type="dxa"/>
            <w:shd w:val="clear" w:color="auto" w:fill="auto"/>
            <w:noWrap/>
            <w:vAlign w:val="bottom"/>
            <w:hideMark/>
          </w:tcPr>
          <w:p w14:paraId="0FFE3D8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 </w:t>
            </w:r>
          </w:p>
        </w:tc>
        <w:tc>
          <w:tcPr>
            <w:tcW w:w="1000" w:type="dxa"/>
            <w:shd w:val="clear" w:color="auto" w:fill="auto"/>
            <w:noWrap/>
            <w:vAlign w:val="bottom"/>
            <w:hideMark/>
          </w:tcPr>
          <w:p w14:paraId="278A074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 </w:t>
            </w:r>
          </w:p>
        </w:tc>
        <w:tc>
          <w:tcPr>
            <w:tcW w:w="1206" w:type="dxa"/>
            <w:shd w:val="clear" w:color="auto" w:fill="auto"/>
            <w:noWrap/>
            <w:vAlign w:val="bottom"/>
            <w:hideMark/>
          </w:tcPr>
          <w:p w14:paraId="754710D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58" w:type="dxa"/>
            <w:shd w:val="clear" w:color="auto" w:fill="auto"/>
            <w:noWrap/>
            <w:vAlign w:val="bottom"/>
            <w:hideMark/>
          </w:tcPr>
          <w:p w14:paraId="425D788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-938 </w:t>
            </w:r>
          </w:p>
        </w:tc>
      </w:tr>
      <w:tr w:rsidR="00A53AD7" w:rsidRPr="00A53AD7" w14:paraId="603637A5" w14:textId="77777777" w:rsidTr="00B527AD">
        <w:trPr>
          <w:trHeight w:val="255"/>
        </w:trPr>
        <w:tc>
          <w:tcPr>
            <w:tcW w:w="3544" w:type="dxa"/>
            <w:shd w:val="clear" w:color="auto" w:fill="auto"/>
            <w:vAlign w:val="bottom"/>
            <w:hideMark/>
          </w:tcPr>
          <w:p w14:paraId="79E8A1B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w:t>
            </w:r>
          </w:p>
        </w:tc>
        <w:tc>
          <w:tcPr>
            <w:tcW w:w="1134" w:type="dxa"/>
            <w:shd w:val="clear" w:color="auto" w:fill="auto"/>
            <w:noWrap/>
            <w:vAlign w:val="bottom"/>
            <w:hideMark/>
          </w:tcPr>
          <w:p w14:paraId="6C90E80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5 307 </w:t>
            </w:r>
          </w:p>
        </w:tc>
        <w:tc>
          <w:tcPr>
            <w:tcW w:w="1206" w:type="dxa"/>
            <w:shd w:val="clear" w:color="auto" w:fill="auto"/>
            <w:noWrap/>
            <w:vAlign w:val="bottom"/>
            <w:hideMark/>
          </w:tcPr>
          <w:p w14:paraId="0E22732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23,7 </w:t>
            </w:r>
          </w:p>
        </w:tc>
        <w:tc>
          <w:tcPr>
            <w:tcW w:w="1000" w:type="dxa"/>
            <w:shd w:val="clear" w:color="auto" w:fill="auto"/>
            <w:noWrap/>
            <w:vAlign w:val="bottom"/>
            <w:hideMark/>
          </w:tcPr>
          <w:p w14:paraId="5AA900A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12 129 </w:t>
            </w:r>
          </w:p>
        </w:tc>
        <w:tc>
          <w:tcPr>
            <w:tcW w:w="1206" w:type="dxa"/>
            <w:shd w:val="clear" w:color="auto" w:fill="auto"/>
            <w:noWrap/>
            <w:vAlign w:val="bottom"/>
            <w:hideMark/>
          </w:tcPr>
          <w:p w14:paraId="2089E95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43,5 </w:t>
            </w:r>
          </w:p>
        </w:tc>
        <w:tc>
          <w:tcPr>
            <w:tcW w:w="1258" w:type="dxa"/>
            <w:shd w:val="clear" w:color="auto" w:fill="auto"/>
            <w:noWrap/>
            <w:vAlign w:val="bottom"/>
            <w:hideMark/>
          </w:tcPr>
          <w:p w14:paraId="65C8B78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6 822 </w:t>
            </w:r>
          </w:p>
        </w:tc>
      </w:tr>
      <w:tr w:rsidR="00A53AD7" w:rsidRPr="00A53AD7" w14:paraId="66D51FC5" w14:textId="77777777" w:rsidTr="003B5BDA">
        <w:trPr>
          <w:trHeight w:val="444"/>
        </w:trPr>
        <w:tc>
          <w:tcPr>
            <w:tcW w:w="3544" w:type="dxa"/>
            <w:shd w:val="clear" w:color="auto" w:fill="auto"/>
            <w:vAlign w:val="bottom"/>
            <w:hideMark/>
          </w:tcPr>
          <w:p w14:paraId="1B01A137"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w:t>
            </w:r>
          </w:p>
        </w:tc>
        <w:tc>
          <w:tcPr>
            <w:tcW w:w="1134" w:type="dxa"/>
            <w:shd w:val="clear" w:color="auto" w:fill="auto"/>
            <w:noWrap/>
            <w:vAlign w:val="bottom"/>
            <w:hideMark/>
          </w:tcPr>
          <w:p w14:paraId="2892808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 </w:t>
            </w:r>
          </w:p>
        </w:tc>
        <w:tc>
          <w:tcPr>
            <w:tcW w:w="1206" w:type="dxa"/>
            <w:shd w:val="clear" w:color="auto" w:fill="auto"/>
            <w:noWrap/>
            <w:vAlign w:val="bottom"/>
            <w:hideMark/>
          </w:tcPr>
          <w:p w14:paraId="1759110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000" w:type="dxa"/>
            <w:shd w:val="clear" w:color="auto" w:fill="auto"/>
            <w:noWrap/>
            <w:vAlign w:val="bottom"/>
            <w:hideMark/>
          </w:tcPr>
          <w:p w14:paraId="4EEE576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41 </w:t>
            </w:r>
          </w:p>
        </w:tc>
        <w:tc>
          <w:tcPr>
            <w:tcW w:w="1206" w:type="dxa"/>
            <w:shd w:val="clear" w:color="auto" w:fill="auto"/>
            <w:noWrap/>
            <w:vAlign w:val="bottom"/>
            <w:hideMark/>
          </w:tcPr>
          <w:p w14:paraId="289B4CC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1258" w:type="dxa"/>
            <w:shd w:val="clear" w:color="auto" w:fill="auto"/>
            <w:noWrap/>
            <w:vAlign w:val="bottom"/>
            <w:hideMark/>
          </w:tcPr>
          <w:p w14:paraId="68DC4F2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41 </w:t>
            </w:r>
          </w:p>
        </w:tc>
      </w:tr>
      <w:tr w:rsidR="00A53AD7" w:rsidRPr="00A53AD7" w14:paraId="0BC0BBD7" w14:textId="77777777" w:rsidTr="00B527AD">
        <w:trPr>
          <w:trHeight w:val="255"/>
        </w:trPr>
        <w:tc>
          <w:tcPr>
            <w:tcW w:w="3544" w:type="dxa"/>
            <w:shd w:val="clear" w:color="auto" w:fill="auto"/>
            <w:vAlign w:val="bottom"/>
            <w:hideMark/>
          </w:tcPr>
          <w:p w14:paraId="1930C6E6"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строительство</w:t>
            </w:r>
          </w:p>
        </w:tc>
        <w:tc>
          <w:tcPr>
            <w:tcW w:w="1134" w:type="dxa"/>
            <w:shd w:val="clear" w:color="auto" w:fill="auto"/>
            <w:noWrap/>
            <w:vAlign w:val="bottom"/>
            <w:hideMark/>
          </w:tcPr>
          <w:p w14:paraId="7F4B227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9 102 </w:t>
            </w:r>
          </w:p>
        </w:tc>
        <w:tc>
          <w:tcPr>
            <w:tcW w:w="1206" w:type="dxa"/>
            <w:shd w:val="clear" w:color="auto" w:fill="auto"/>
            <w:noWrap/>
            <w:vAlign w:val="bottom"/>
            <w:hideMark/>
          </w:tcPr>
          <w:p w14:paraId="0076494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40,6 </w:t>
            </w:r>
          </w:p>
        </w:tc>
        <w:tc>
          <w:tcPr>
            <w:tcW w:w="1000" w:type="dxa"/>
            <w:shd w:val="clear" w:color="auto" w:fill="auto"/>
            <w:noWrap/>
            <w:vAlign w:val="bottom"/>
            <w:hideMark/>
          </w:tcPr>
          <w:p w14:paraId="54E63A6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13 419 </w:t>
            </w:r>
          </w:p>
        </w:tc>
        <w:tc>
          <w:tcPr>
            <w:tcW w:w="1206" w:type="dxa"/>
            <w:shd w:val="clear" w:color="auto" w:fill="auto"/>
            <w:noWrap/>
            <w:vAlign w:val="bottom"/>
            <w:hideMark/>
          </w:tcPr>
          <w:p w14:paraId="1F5A724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48,2 </w:t>
            </w:r>
          </w:p>
        </w:tc>
        <w:tc>
          <w:tcPr>
            <w:tcW w:w="1258" w:type="dxa"/>
            <w:shd w:val="clear" w:color="auto" w:fill="auto"/>
            <w:noWrap/>
            <w:vAlign w:val="bottom"/>
            <w:hideMark/>
          </w:tcPr>
          <w:p w14:paraId="6BE002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4 317 </w:t>
            </w:r>
          </w:p>
        </w:tc>
      </w:tr>
      <w:tr w:rsidR="00A53AD7" w:rsidRPr="00A53AD7" w14:paraId="5981C8F1" w14:textId="77777777" w:rsidTr="00B527AD">
        <w:trPr>
          <w:trHeight w:val="255"/>
        </w:trPr>
        <w:tc>
          <w:tcPr>
            <w:tcW w:w="3544" w:type="dxa"/>
            <w:shd w:val="clear" w:color="auto" w:fill="auto"/>
            <w:vAlign w:val="bottom"/>
            <w:hideMark/>
          </w:tcPr>
          <w:p w14:paraId="7BF2D6D5"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транспорт</w:t>
            </w:r>
          </w:p>
        </w:tc>
        <w:tc>
          <w:tcPr>
            <w:tcW w:w="1134" w:type="dxa"/>
            <w:shd w:val="clear" w:color="auto" w:fill="auto"/>
            <w:noWrap/>
            <w:vAlign w:val="bottom"/>
            <w:hideMark/>
          </w:tcPr>
          <w:p w14:paraId="2E289E4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837 </w:t>
            </w:r>
          </w:p>
        </w:tc>
        <w:tc>
          <w:tcPr>
            <w:tcW w:w="1206" w:type="dxa"/>
            <w:shd w:val="clear" w:color="auto" w:fill="auto"/>
            <w:noWrap/>
            <w:vAlign w:val="bottom"/>
            <w:hideMark/>
          </w:tcPr>
          <w:p w14:paraId="674C7E5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 </w:t>
            </w:r>
          </w:p>
        </w:tc>
        <w:tc>
          <w:tcPr>
            <w:tcW w:w="1000" w:type="dxa"/>
            <w:shd w:val="clear" w:color="auto" w:fill="auto"/>
            <w:noWrap/>
            <w:vAlign w:val="bottom"/>
            <w:hideMark/>
          </w:tcPr>
          <w:p w14:paraId="7C973E5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856 </w:t>
            </w:r>
          </w:p>
        </w:tc>
        <w:tc>
          <w:tcPr>
            <w:tcW w:w="1206" w:type="dxa"/>
            <w:shd w:val="clear" w:color="auto" w:fill="auto"/>
            <w:noWrap/>
            <w:vAlign w:val="bottom"/>
            <w:hideMark/>
          </w:tcPr>
          <w:p w14:paraId="5140A4E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3,1 </w:t>
            </w:r>
          </w:p>
        </w:tc>
        <w:tc>
          <w:tcPr>
            <w:tcW w:w="1258" w:type="dxa"/>
            <w:shd w:val="clear" w:color="auto" w:fill="auto"/>
            <w:noWrap/>
            <w:vAlign w:val="bottom"/>
            <w:hideMark/>
          </w:tcPr>
          <w:p w14:paraId="3802ABB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r>
      <w:tr w:rsidR="00A53AD7" w:rsidRPr="00A53AD7" w14:paraId="4D1C10C4" w14:textId="77777777" w:rsidTr="00B527AD">
        <w:trPr>
          <w:trHeight w:val="255"/>
        </w:trPr>
        <w:tc>
          <w:tcPr>
            <w:tcW w:w="3544" w:type="dxa"/>
            <w:shd w:val="clear" w:color="auto" w:fill="auto"/>
            <w:vAlign w:val="bottom"/>
            <w:hideMark/>
          </w:tcPr>
          <w:p w14:paraId="6306BA5D"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образование</w:t>
            </w:r>
          </w:p>
        </w:tc>
        <w:tc>
          <w:tcPr>
            <w:tcW w:w="1134" w:type="dxa"/>
            <w:shd w:val="clear" w:color="auto" w:fill="auto"/>
            <w:noWrap/>
            <w:vAlign w:val="bottom"/>
            <w:hideMark/>
          </w:tcPr>
          <w:p w14:paraId="1428627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1 865 </w:t>
            </w:r>
          </w:p>
        </w:tc>
        <w:tc>
          <w:tcPr>
            <w:tcW w:w="1206" w:type="dxa"/>
            <w:shd w:val="clear" w:color="auto" w:fill="auto"/>
            <w:noWrap/>
            <w:vAlign w:val="bottom"/>
            <w:hideMark/>
          </w:tcPr>
          <w:p w14:paraId="6C556F0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8,3 </w:t>
            </w:r>
          </w:p>
        </w:tc>
        <w:tc>
          <w:tcPr>
            <w:tcW w:w="1000" w:type="dxa"/>
            <w:shd w:val="clear" w:color="auto" w:fill="auto"/>
            <w:noWrap/>
            <w:vAlign w:val="bottom"/>
            <w:hideMark/>
          </w:tcPr>
          <w:p w14:paraId="2491418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484 </w:t>
            </w:r>
          </w:p>
        </w:tc>
        <w:tc>
          <w:tcPr>
            <w:tcW w:w="1206" w:type="dxa"/>
            <w:shd w:val="clear" w:color="auto" w:fill="auto"/>
            <w:noWrap/>
            <w:vAlign w:val="bottom"/>
            <w:hideMark/>
          </w:tcPr>
          <w:p w14:paraId="738C882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 </w:t>
            </w:r>
          </w:p>
        </w:tc>
        <w:tc>
          <w:tcPr>
            <w:tcW w:w="1258" w:type="dxa"/>
            <w:shd w:val="clear" w:color="auto" w:fill="auto"/>
            <w:noWrap/>
            <w:vAlign w:val="bottom"/>
            <w:hideMark/>
          </w:tcPr>
          <w:p w14:paraId="71510AE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-1 381 </w:t>
            </w:r>
          </w:p>
        </w:tc>
      </w:tr>
      <w:tr w:rsidR="00A53AD7" w:rsidRPr="00A53AD7" w14:paraId="1CF26618" w14:textId="77777777" w:rsidTr="003B5BDA">
        <w:trPr>
          <w:trHeight w:val="421"/>
        </w:trPr>
        <w:tc>
          <w:tcPr>
            <w:tcW w:w="3544" w:type="dxa"/>
            <w:shd w:val="clear" w:color="auto" w:fill="auto"/>
            <w:vAlign w:val="bottom"/>
            <w:hideMark/>
          </w:tcPr>
          <w:p w14:paraId="48BC08BE"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деятельность в области культуры, искусства...</w:t>
            </w:r>
          </w:p>
        </w:tc>
        <w:tc>
          <w:tcPr>
            <w:tcW w:w="1134" w:type="dxa"/>
            <w:shd w:val="clear" w:color="auto" w:fill="auto"/>
            <w:noWrap/>
            <w:vAlign w:val="bottom"/>
            <w:hideMark/>
          </w:tcPr>
          <w:p w14:paraId="70A83D2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 </w:t>
            </w:r>
          </w:p>
        </w:tc>
        <w:tc>
          <w:tcPr>
            <w:tcW w:w="1206" w:type="dxa"/>
            <w:shd w:val="clear" w:color="auto" w:fill="auto"/>
            <w:noWrap/>
            <w:vAlign w:val="bottom"/>
            <w:hideMark/>
          </w:tcPr>
          <w:p w14:paraId="01401DF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000" w:type="dxa"/>
            <w:shd w:val="clear" w:color="auto" w:fill="auto"/>
            <w:noWrap/>
            <w:vAlign w:val="bottom"/>
            <w:hideMark/>
          </w:tcPr>
          <w:p w14:paraId="13C9C01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848 </w:t>
            </w:r>
          </w:p>
        </w:tc>
        <w:tc>
          <w:tcPr>
            <w:tcW w:w="1206" w:type="dxa"/>
            <w:shd w:val="clear" w:color="auto" w:fill="auto"/>
            <w:noWrap/>
            <w:vAlign w:val="bottom"/>
            <w:hideMark/>
          </w:tcPr>
          <w:p w14:paraId="3DDAA01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 </w:t>
            </w:r>
          </w:p>
        </w:tc>
        <w:tc>
          <w:tcPr>
            <w:tcW w:w="1258" w:type="dxa"/>
            <w:shd w:val="clear" w:color="auto" w:fill="auto"/>
            <w:noWrap/>
            <w:vAlign w:val="bottom"/>
            <w:hideMark/>
          </w:tcPr>
          <w:p w14:paraId="073BD1F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848 </w:t>
            </w:r>
          </w:p>
        </w:tc>
      </w:tr>
      <w:tr w:rsidR="00A53AD7" w:rsidRPr="00A53AD7" w14:paraId="20410781" w14:textId="77777777" w:rsidTr="000509CC">
        <w:trPr>
          <w:trHeight w:val="161"/>
        </w:trPr>
        <w:tc>
          <w:tcPr>
            <w:tcW w:w="3544" w:type="dxa"/>
            <w:shd w:val="clear" w:color="auto" w:fill="auto"/>
            <w:noWrap/>
            <w:vAlign w:val="bottom"/>
            <w:hideMark/>
          </w:tcPr>
          <w:p w14:paraId="1A436224"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134" w:type="dxa"/>
            <w:shd w:val="clear" w:color="auto" w:fill="auto"/>
            <w:noWrap/>
            <w:vAlign w:val="bottom"/>
            <w:hideMark/>
          </w:tcPr>
          <w:p w14:paraId="2618B42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22 419 </w:t>
            </w:r>
          </w:p>
        </w:tc>
        <w:tc>
          <w:tcPr>
            <w:tcW w:w="1206" w:type="dxa"/>
            <w:shd w:val="clear" w:color="auto" w:fill="auto"/>
            <w:noWrap/>
            <w:vAlign w:val="bottom"/>
            <w:hideMark/>
          </w:tcPr>
          <w:p w14:paraId="1CC3208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100,0 </w:t>
            </w:r>
          </w:p>
        </w:tc>
        <w:tc>
          <w:tcPr>
            <w:tcW w:w="1000" w:type="dxa"/>
            <w:shd w:val="clear" w:color="auto" w:fill="auto"/>
            <w:noWrap/>
            <w:vAlign w:val="bottom"/>
            <w:hideMark/>
          </w:tcPr>
          <w:p w14:paraId="04C4441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27 856 </w:t>
            </w:r>
          </w:p>
        </w:tc>
        <w:tc>
          <w:tcPr>
            <w:tcW w:w="1206" w:type="dxa"/>
            <w:shd w:val="clear" w:color="auto" w:fill="auto"/>
            <w:noWrap/>
            <w:vAlign w:val="bottom"/>
            <w:hideMark/>
          </w:tcPr>
          <w:p w14:paraId="78743CA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100,0 </w:t>
            </w:r>
          </w:p>
        </w:tc>
        <w:tc>
          <w:tcPr>
            <w:tcW w:w="1258" w:type="dxa"/>
            <w:shd w:val="clear" w:color="auto" w:fill="auto"/>
            <w:noWrap/>
            <w:vAlign w:val="bottom"/>
            <w:hideMark/>
          </w:tcPr>
          <w:p w14:paraId="1E46E16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5 437 </w:t>
            </w:r>
          </w:p>
        </w:tc>
      </w:tr>
    </w:tbl>
    <w:p w14:paraId="07808D5E" w14:textId="77777777" w:rsidR="00B527AD" w:rsidRPr="00A53AD7" w:rsidRDefault="00B527AD" w:rsidP="003B5BDA">
      <w:pPr>
        <w:pStyle w:val="ad"/>
        <w:ind w:firstLine="851"/>
        <w:jc w:val="both"/>
        <w:rPr>
          <w:rFonts w:ascii="Times New Roman" w:hAnsi="Times New Roman"/>
          <w:sz w:val="28"/>
          <w:szCs w:val="28"/>
          <w:highlight w:val="cyan"/>
        </w:rPr>
      </w:pPr>
    </w:p>
    <w:p w14:paraId="79C99B5A"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структуре просроченной задолженности по заработной плате на 01.01.2020 значительный удельный вес задолженности отмечен по следующим видам экономической деятельности:</w:t>
      </w:r>
    </w:p>
    <w:p w14:paraId="4659D470"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строительство – 13 419,0 тыс.руб. или 48,2 % в общем объеме задолженности, что на 4 317,0 тыс.руб. превышает задолженность на 01.01.2019;</w:t>
      </w:r>
    </w:p>
    <w:p w14:paraId="7F37B98E"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обрабатывающие производства – 12 129,0 тыс.руб. или 43,5 % в общем объеме задолженности, что на 6 822,0 тыс.руб. превышает задолженность на 01.01.2019;</w:t>
      </w:r>
    </w:p>
    <w:p w14:paraId="17D679DE"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деятельность в области культуры, искусства… – 848,0 тыс.руб. или 3,0% в общем объеме задолженности при отсутствии на начало года.</w:t>
      </w:r>
    </w:p>
    <w:p w14:paraId="1A0E081A" w14:textId="186D6853"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Необходимо отметить, что по ряду отраслей просроченная задолженность по заработной плате сложившаяся на 01.01.2019 снизилась за отчетный период</w:t>
      </w:r>
      <w:r w:rsidR="000509CC" w:rsidRPr="00A53AD7">
        <w:rPr>
          <w:rFonts w:ascii="Times New Roman" w:hAnsi="Times New Roman"/>
          <w:sz w:val="28"/>
          <w:szCs w:val="28"/>
        </w:rPr>
        <w:t>, из них</w:t>
      </w:r>
      <w:r w:rsidRPr="00A53AD7">
        <w:rPr>
          <w:rFonts w:ascii="Times New Roman" w:hAnsi="Times New Roman"/>
          <w:sz w:val="28"/>
          <w:szCs w:val="28"/>
        </w:rPr>
        <w:t>:</w:t>
      </w:r>
    </w:p>
    <w:p w14:paraId="275987BE" w14:textId="19187FDE"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сельское хозяйство, охота и предоставление услуг в этих областях, лесозаготовки – 79,0 тыс.руб. Задолженность за отчетный период сократилась на 4 291,0 тыс.руб. или на 98,2%;</w:t>
      </w:r>
    </w:p>
    <w:p w14:paraId="30B943A4" w14:textId="5B312E2A"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образование – 484,0 тыс.руб. Задолженность за отчетный период сократилась на 1 381,0 тыс.руб. или на 74,0%.</w:t>
      </w:r>
    </w:p>
    <w:p w14:paraId="4E64A63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Согласно статистическим данным основная причина сложившейся задолженности – это отсутствие собственных средств. В части выплаты заработной платы, финансируемой за счет средств бюджетов, просроченная задолженность на 01.01.2020 отсутствует.</w:t>
      </w:r>
    </w:p>
    <w:p w14:paraId="51F211F3" w14:textId="0EE16305" w:rsidR="003B5BDA" w:rsidRPr="00A53AD7" w:rsidRDefault="003B5BDA" w:rsidP="000509CC">
      <w:pPr>
        <w:pStyle w:val="ad"/>
        <w:ind w:firstLine="851"/>
        <w:jc w:val="both"/>
        <w:rPr>
          <w:rFonts w:ascii="Times New Roman" w:hAnsi="Times New Roman"/>
          <w:sz w:val="28"/>
          <w:szCs w:val="28"/>
        </w:rPr>
      </w:pPr>
      <w:r w:rsidRPr="00A53AD7">
        <w:rPr>
          <w:rFonts w:ascii="Times New Roman" w:hAnsi="Times New Roman"/>
          <w:sz w:val="28"/>
          <w:szCs w:val="28"/>
        </w:rPr>
        <w:t>Структура использования денежных доходов населения Архангельской области в 2018</w:t>
      </w:r>
      <w:r w:rsidR="00B00076" w:rsidRPr="00A53AD7">
        <w:rPr>
          <w:rFonts w:ascii="Times New Roman" w:hAnsi="Times New Roman"/>
          <w:sz w:val="28"/>
          <w:szCs w:val="28"/>
        </w:rPr>
        <w:t xml:space="preserve"> – </w:t>
      </w:r>
      <w:r w:rsidRPr="00A53AD7">
        <w:rPr>
          <w:rFonts w:ascii="Times New Roman" w:hAnsi="Times New Roman"/>
          <w:sz w:val="28"/>
          <w:szCs w:val="28"/>
        </w:rPr>
        <w:t xml:space="preserve">2019 годах, согласно статистическому наблюдению, представлена в таблице </w:t>
      </w:r>
      <w:r w:rsidR="00D16ED5" w:rsidRPr="00A53AD7">
        <w:rPr>
          <w:rFonts w:ascii="Times New Roman" w:hAnsi="Times New Roman"/>
          <w:sz w:val="28"/>
          <w:szCs w:val="28"/>
        </w:rPr>
        <w:t>13</w:t>
      </w:r>
      <w:r w:rsidR="000509CC" w:rsidRPr="00A53AD7">
        <w:rPr>
          <w:rFonts w:ascii="Times New Roman" w:hAnsi="Times New Roman"/>
          <w:sz w:val="28"/>
          <w:szCs w:val="28"/>
        </w:rPr>
        <w:t>:</w:t>
      </w:r>
    </w:p>
    <w:p w14:paraId="4EA767F9" w14:textId="77777777" w:rsidR="003B5BDA" w:rsidRPr="00A53AD7" w:rsidRDefault="003B5BDA" w:rsidP="000509CC">
      <w:pPr>
        <w:pStyle w:val="ad"/>
        <w:ind w:firstLine="851"/>
        <w:jc w:val="both"/>
        <w:rPr>
          <w:rFonts w:ascii="Times New Roman" w:hAnsi="Times New Roman"/>
          <w:sz w:val="28"/>
          <w:szCs w:val="28"/>
        </w:rPr>
      </w:pPr>
    </w:p>
    <w:p w14:paraId="074CAD5A" w14:textId="39B31BBB" w:rsidR="003B5BDA" w:rsidRPr="00A53AD7" w:rsidRDefault="000509CC" w:rsidP="00D16ED5">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13</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Структура использования денежных доходов населения Архангельской области в 2018</w:t>
      </w:r>
      <w:r w:rsidRPr="00A53AD7">
        <w:rPr>
          <w:rFonts w:ascii="Times New Roman" w:hAnsi="Times New Roman"/>
          <w:sz w:val="24"/>
          <w:szCs w:val="24"/>
        </w:rPr>
        <w:t xml:space="preserve"> – </w:t>
      </w:r>
      <w:r w:rsidR="003B5BDA" w:rsidRPr="00A53AD7">
        <w:rPr>
          <w:rFonts w:ascii="Times New Roman" w:hAnsi="Times New Roman"/>
          <w:sz w:val="24"/>
          <w:szCs w:val="24"/>
        </w:rPr>
        <w:t>2019 годах, в %</w:t>
      </w:r>
    </w:p>
    <w:tbl>
      <w:tblPr>
        <w:tblW w:w="9422" w:type="dxa"/>
        <w:tblInd w:w="-23" w:type="dxa"/>
        <w:tblLayout w:type="fixed"/>
        <w:tblLook w:val="04A0" w:firstRow="1" w:lastRow="0" w:firstColumn="1" w:lastColumn="0" w:noHBand="0" w:noVBand="1"/>
      </w:tblPr>
      <w:tblGrid>
        <w:gridCol w:w="993"/>
        <w:gridCol w:w="1134"/>
        <w:gridCol w:w="992"/>
        <w:gridCol w:w="851"/>
        <w:gridCol w:w="741"/>
        <w:gridCol w:w="1134"/>
        <w:gridCol w:w="1167"/>
        <w:gridCol w:w="1276"/>
        <w:gridCol w:w="1134"/>
      </w:tblGrid>
      <w:tr w:rsidR="00A53AD7" w:rsidRPr="00A53AD7" w14:paraId="2519D332" w14:textId="77777777" w:rsidTr="00D16ED5">
        <w:trPr>
          <w:trHeight w:val="129"/>
          <w:tblHeader/>
        </w:trPr>
        <w:tc>
          <w:tcPr>
            <w:tcW w:w="99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3A30CC5" w14:textId="77777777" w:rsidR="003B5BDA" w:rsidRPr="00A53AD7" w:rsidRDefault="003B5BDA" w:rsidP="003B5BDA">
            <w:pPr>
              <w:spacing w:after="0" w:line="240" w:lineRule="auto"/>
              <w:ind w:left="-108" w:right="-75"/>
              <w:jc w:val="center"/>
              <w:rPr>
                <w:rFonts w:ascii="Times New Roman" w:eastAsia="Times New Roman" w:hAnsi="Times New Roman"/>
                <w:lang w:eastAsia="ru-RU"/>
              </w:rPr>
            </w:pPr>
            <w:r w:rsidRPr="00A53AD7">
              <w:rPr>
                <w:rFonts w:ascii="Times New Roman" w:eastAsia="Times New Roman" w:hAnsi="Times New Roman"/>
                <w:lang w:eastAsia="ru-RU"/>
              </w:rPr>
              <w:t>Период (январь-декабрь)</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12DA873" w14:textId="77777777" w:rsidR="003B5BDA" w:rsidRPr="00A53AD7" w:rsidRDefault="003B5BDA" w:rsidP="003B5BDA">
            <w:pPr>
              <w:spacing w:after="0" w:line="240" w:lineRule="auto"/>
              <w:ind w:left="-141" w:right="-108"/>
              <w:jc w:val="center"/>
              <w:rPr>
                <w:rFonts w:ascii="Times New Roman" w:eastAsia="Times New Roman" w:hAnsi="Times New Roman"/>
                <w:lang w:eastAsia="ru-RU"/>
              </w:rPr>
            </w:pPr>
            <w:r w:rsidRPr="00A53AD7">
              <w:rPr>
                <w:rFonts w:ascii="Times New Roman" w:eastAsia="Times New Roman" w:hAnsi="Times New Roman"/>
                <w:lang w:eastAsia="ru-RU"/>
              </w:rPr>
              <w:t>Денежные доходы</w:t>
            </w:r>
          </w:p>
        </w:tc>
        <w:tc>
          <w:tcPr>
            <w:tcW w:w="7295" w:type="dxa"/>
            <w:gridSpan w:val="7"/>
            <w:tcBorders>
              <w:top w:val="double" w:sz="6" w:space="0" w:color="auto"/>
              <w:left w:val="nil"/>
              <w:bottom w:val="single" w:sz="4" w:space="0" w:color="auto"/>
              <w:right w:val="double" w:sz="6" w:space="0" w:color="000000"/>
            </w:tcBorders>
            <w:shd w:val="clear" w:color="auto" w:fill="auto"/>
            <w:noWrap/>
            <w:vAlign w:val="center"/>
            <w:hideMark/>
          </w:tcPr>
          <w:p w14:paraId="0FA4172D"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 них использовано на:</w:t>
            </w:r>
          </w:p>
        </w:tc>
      </w:tr>
      <w:tr w:rsidR="00A53AD7" w:rsidRPr="00A53AD7" w14:paraId="72166FC0" w14:textId="77777777" w:rsidTr="00D16ED5">
        <w:trPr>
          <w:trHeight w:val="118"/>
          <w:tblHeader/>
        </w:trPr>
        <w:tc>
          <w:tcPr>
            <w:tcW w:w="993" w:type="dxa"/>
            <w:vMerge/>
            <w:tcBorders>
              <w:top w:val="double" w:sz="6" w:space="0" w:color="auto"/>
              <w:left w:val="double" w:sz="6" w:space="0" w:color="auto"/>
              <w:bottom w:val="single" w:sz="4" w:space="0" w:color="auto"/>
              <w:right w:val="single" w:sz="4" w:space="0" w:color="auto"/>
            </w:tcBorders>
            <w:vAlign w:val="center"/>
            <w:hideMark/>
          </w:tcPr>
          <w:p w14:paraId="6AC7E154" w14:textId="77777777" w:rsidR="003B5BDA" w:rsidRPr="00A53AD7" w:rsidRDefault="003B5BDA" w:rsidP="003B5BDA">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111C4E40" w14:textId="77777777" w:rsidR="003B5BDA" w:rsidRPr="00A53AD7" w:rsidRDefault="003B5BDA" w:rsidP="003B5BDA">
            <w:pPr>
              <w:spacing w:after="0" w:line="240" w:lineRule="auto"/>
              <w:rPr>
                <w:rFonts w:ascii="Times New Roman" w:eastAsia="Times New Roman" w:hAnsi="Times New Roman"/>
                <w:lang w:eastAsia="ru-RU"/>
              </w:rPr>
            </w:pP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5F2B51C"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покупка товаров и оплата услуг</w:t>
            </w:r>
          </w:p>
        </w:tc>
        <w:tc>
          <w:tcPr>
            <w:tcW w:w="1592" w:type="dxa"/>
            <w:gridSpan w:val="2"/>
            <w:tcBorders>
              <w:top w:val="single" w:sz="4" w:space="0" w:color="auto"/>
              <w:left w:val="nil"/>
              <w:bottom w:val="single" w:sz="4" w:space="0" w:color="auto"/>
              <w:right w:val="single" w:sz="4" w:space="0" w:color="auto"/>
            </w:tcBorders>
            <w:shd w:val="clear" w:color="auto" w:fill="auto"/>
            <w:vAlign w:val="center"/>
            <w:hideMark/>
          </w:tcPr>
          <w:p w14:paraId="4B1AAE11"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 них</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994932C"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оплата обязат. платежей и взносов, прочие расходы</w:t>
            </w:r>
          </w:p>
        </w:tc>
        <w:tc>
          <w:tcPr>
            <w:tcW w:w="1167" w:type="dxa"/>
            <w:vMerge w:val="restart"/>
            <w:tcBorders>
              <w:top w:val="nil"/>
              <w:left w:val="single" w:sz="4" w:space="0" w:color="auto"/>
              <w:bottom w:val="single" w:sz="4" w:space="0" w:color="auto"/>
              <w:right w:val="single" w:sz="4" w:space="0" w:color="auto"/>
            </w:tcBorders>
            <w:shd w:val="clear" w:color="auto" w:fill="auto"/>
            <w:vAlign w:val="center"/>
            <w:hideMark/>
          </w:tcPr>
          <w:p w14:paraId="33DEE663"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прирост (+), уменьшение (-) сбережений</w:t>
            </w:r>
          </w:p>
        </w:tc>
        <w:tc>
          <w:tcPr>
            <w:tcW w:w="2410" w:type="dxa"/>
            <w:gridSpan w:val="2"/>
            <w:tcBorders>
              <w:top w:val="single" w:sz="4" w:space="0" w:color="auto"/>
              <w:left w:val="nil"/>
              <w:bottom w:val="single" w:sz="4" w:space="0" w:color="auto"/>
              <w:right w:val="double" w:sz="6" w:space="0" w:color="000000"/>
            </w:tcBorders>
            <w:shd w:val="clear" w:color="auto" w:fill="auto"/>
            <w:vAlign w:val="center"/>
            <w:hideMark/>
          </w:tcPr>
          <w:p w14:paraId="093930EB"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 них</w:t>
            </w:r>
          </w:p>
        </w:tc>
      </w:tr>
      <w:tr w:rsidR="00A53AD7" w:rsidRPr="00A53AD7" w14:paraId="41356F80" w14:textId="77777777" w:rsidTr="00D16ED5">
        <w:trPr>
          <w:trHeight w:val="1230"/>
          <w:tblHeader/>
        </w:trPr>
        <w:tc>
          <w:tcPr>
            <w:tcW w:w="993" w:type="dxa"/>
            <w:vMerge/>
            <w:tcBorders>
              <w:top w:val="double" w:sz="6" w:space="0" w:color="auto"/>
              <w:left w:val="double" w:sz="6" w:space="0" w:color="auto"/>
              <w:bottom w:val="single" w:sz="4" w:space="0" w:color="auto"/>
              <w:right w:val="single" w:sz="4" w:space="0" w:color="auto"/>
            </w:tcBorders>
            <w:vAlign w:val="center"/>
            <w:hideMark/>
          </w:tcPr>
          <w:p w14:paraId="61CA046C" w14:textId="77777777" w:rsidR="003B5BDA" w:rsidRPr="00A53AD7" w:rsidRDefault="003B5BDA" w:rsidP="003B5BDA">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1E187DD3" w14:textId="77777777" w:rsidR="003B5BDA" w:rsidRPr="00A53AD7" w:rsidRDefault="003B5BDA" w:rsidP="003B5BDA">
            <w:pPr>
              <w:spacing w:after="0" w:line="240" w:lineRule="auto"/>
              <w:rPr>
                <w:rFonts w:ascii="Times New Roman" w:eastAsia="Times New Roman" w:hAnsi="Times New Roman"/>
                <w:lang w:eastAsia="ru-RU"/>
              </w:rPr>
            </w:pPr>
          </w:p>
        </w:tc>
        <w:tc>
          <w:tcPr>
            <w:tcW w:w="992" w:type="dxa"/>
            <w:vMerge/>
            <w:tcBorders>
              <w:top w:val="nil"/>
              <w:left w:val="single" w:sz="4" w:space="0" w:color="auto"/>
              <w:bottom w:val="single" w:sz="4" w:space="0" w:color="auto"/>
              <w:right w:val="single" w:sz="4" w:space="0" w:color="auto"/>
            </w:tcBorders>
            <w:vAlign w:val="center"/>
            <w:hideMark/>
          </w:tcPr>
          <w:p w14:paraId="2C9FD248" w14:textId="77777777" w:rsidR="003B5BDA" w:rsidRPr="00A53AD7" w:rsidRDefault="003B5BDA" w:rsidP="003B5BDA">
            <w:pPr>
              <w:spacing w:after="0" w:line="240" w:lineRule="auto"/>
              <w:rPr>
                <w:rFonts w:ascii="Times New Roman" w:eastAsia="Times New Roman" w:hAnsi="Times New Roman"/>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0A52EAB4"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покупка товаров</w:t>
            </w:r>
          </w:p>
        </w:tc>
        <w:tc>
          <w:tcPr>
            <w:tcW w:w="741" w:type="dxa"/>
            <w:tcBorders>
              <w:top w:val="nil"/>
              <w:left w:val="nil"/>
              <w:bottom w:val="single" w:sz="4" w:space="0" w:color="auto"/>
              <w:right w:val="single" w:sz="4" w:space="0" w:color="auto"/>
            </w:tcBorders>
            <w:shd w:val="clear" w:color="auto" w:fill="auto"/>
            <w:vAlign w:val="center"/>
            <w:hideMark/>
          </w:tcPr>
          <w:p w14:paraId="2A02A700"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оплата услуг</w:t>
            </w:r>
          </w:p>
        </w:tc>
        <w:tc>
          <w:tcPr>
            <w:tcW w:w="1134" w:type="dxa"/>
            <w:vMerge/>
            <w:tcBorders>
              <w:top w:val="nil"/>
              <w:left w:val="single" w:sz="4" w:space="0" w:color="auto"/>
              <w:bottom w:val="single" w:sz="4" w:space="0" w:color="auto"/>
              <w:right w:val="single" w:sz="4" w:space="0" w:color="auto"/>
            </w:tcBorders>
            <w:vAlign w:val="center"/>
            <w:hideMark/>
          </w:tcPr>
          <w:p w14:paraId="42CD79E6" w14:textId="77777777" w:rsidR="003B5BDA" w:rsidRPr="00A53AD7" w:rsidRDefault="003B5BDA" w:rsidP="003B5BDA">
            <w:pPr>
              <w:spacing w:after="0" w:line="240" w:lineRule="auto"/>
              <w:rPr>
                <w:rFonts w:ascii="Times New Roman" w:eastAsia="Times New Roman" w:hAnsi="Times New Roman"/>
                <w:lang w:eastAsia="ru-RU"/>
              </w:rPr>
            </w:pPr>
          </w:p>
        </w:tc>
        <w:tc>
          <w:tcPr>
            <w:tcW w:w="1167" w:type="dxa"/>
            <w:vMerge/>
            <w:tcBorders>
              <w:top w:val="nil"/>
              <w:left w:val="single" w:sz="4" w:space="0" w:color="auto"/>
              <w:bottom w:val="single" w:sz="4" w:space="0" w:color="auto"/>
              <w:right w:val="single" w:sz="4" w:space="0" w:color="auto"/>
            </w:tcBorders>
            <w:vAlign w:val="center"/>
            <w:hideMark/>
          </w:tcPr>
          <w:p w14:paraId="5FCA50A8" w14:textId="77777777" w:rsidR="003B5BDA" w:rsidRPr="00A53AD7" w:rsidRDefault="003B5BDA" w:rsidP="003B5BDA">
            <w:pPr>
              <w:spacing w:after="0" w:line="240" w:lineRule="auto"/>
              <w:rPr>
                <w:rFonts w:ascii="Times New Roman" w:eastAsia="Times New Roman" w:hAnsi="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14:paraId="6F8530A5" w14:textId="2F1BFA4A" w:rsidR="003B5BDA" w:rsidRPr="00A53AD7" w:rsidRDefault="003B5BDA" w:rsidP="00DE7CED">
            <w:pPr>
              <w:spacing w:after="0" w:line="240" w:lineRule="auto"/>
              <w:ind w:left="-108" w:right="-109"/>
              <w:jc w:val="center"/>
              <w:rPr>
                <w:rFonts w:ascii="Times New Roman" w:eastAsia="Times New Roman" w:hAnsi="Times New Roman"/>
                <w:lang w:eastAsia="ru-RU"/>
              </w:rPr>
            </w:pPr>
            <w:r w:rsidRPr="00A53AD7">
              <w:rPr>
                <w:rFonts w:ascii="Times New Roman" w:eastAsia="Times New Roman" w:hAnsi="Times New Roman"/>
                <w:lang w:eastAsia="ru-RU"/>
              </w:rPr>
              <w:t>во вкладах на рубл</w:t>
            </w:r>
            <w:r w:rsidR="00DE7CED" w:rsidRPr="00A53AD7">
              <w:rPr>
                <w:rFonts w:ascii="Times New Roman" w:eastAsia="Times New Roman" w:hAnsi="Times New Roman"/>
                <w:lang w:eastAsia="ru-RU"/>
              </w:rPr>
              <w:t>.</w:t>
            </w:r>
            <w:r w:rsidRPr="00A53AD7">
              <w:rPr>
                <w:rFonts w:ascii="Times New Roman" w:eastAsia="Times New Roman" w:hAnsi="Times New Roman"/>
                <w:lang w:eastAsia="ru-RU"/>
              </w:rPr>
              <w:t xml:space="preserve"> и валют. счетах банков в руб. эквив.</w:t>
            </w:r>
          </w:p>
        </w:tc>
        <w:tc>
          <w:tcPr>
            <w:tcW w:w="1134" w:type="dxa"/>
            <w:tcBorders>
              <w:top w:val="nil"/>
              <w:left w:val="nil"/>
              <w:bottom w:val="single" w:sz="4" w:space="0" w:color="auto"/>
              <w:right w:val="double" w:sz="6" w:space="0" w:color="auto"/>
            </w:tcBorders>
            <w:shd w:val="clear" w:color="auto" w:fill="auto"/>
            <w:vAlign w:val="center"/>
            <w:hideMark/>
          </w:tcPr>
          <w:p w14:paraId="63A80E32" w14:textId="77777777" w:rsidR="003B5BDA" w:rsidRPr="00A53AD7" w:rsidRDefault="003B5BDA" w:rsidP="003B5BDA">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в налич. деньгах на руках в руб. и ин. валюте в руб. эквив.</w:t>
            </w:r>
          </w:p>
        </w:tc>
      </w:tr>
      <w:tr w:rsidR="00A53AD7" w:rsidRPr="00A53AD7" w14:paraId="6A93505E" w14:textId="77777777" w:rsidTr="000509CC">
        <w:trPr>
          <w:trHeight w:val="255"/>
        </w:trPr>
        <w:tc>
          <w:tcPr>
            <w:tcW w:w="993" w:type="dxa"/>
            <w:tcBorders>
              <w:top w:val="nil"/>
              <w:left w:val="double" w:sz="6" w:space="0" w:color="auto"/>
              <w:bottom w:val="single" w:sz="4" w:space="0" w:color="auto"/>
              <w:right w:val="single" w:sz="4" w:space="0" w:color="auto"/>
            </w:tcBorders>
            <w:shd w:val="clear" w:color="auto" w:fill="auto"/>
            <w:noWrap/>
            <w:vAlign w:val="bottom"/>
            <w:hideMark/>
          </w:tcPr>
          <w:p w14:paraId="3A036B7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2018</w:t>
            </w:r>
          </w:p>
        </w:tc>
        <w:tc>
          <w:tcPr>
            <w:tcW w:w="1134" w:type="dxa"/>
            <w:tcBorders>
              <w:top w:val="nil"/>
              <w:left w:val="nil"/>
              <w:bottom w:val="single" w:sz="4" w:space="0" w:color="auto"/>
              <w:right w:val="single" w:sz="4" w:space="0" w:color="auto"/>
            </w:tcBorders>
            <w:shd w:val="clear" w:color="auto" w:fill="auto"/>
            <w:noWrap/>
            <w:vAlign w:val="bottom"/>
            <w:hideMark/>
          </w:tcPr>
          <w:p w14:paraId="303DEE7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992" w:type="dxa"/>
            <w:tcBorders>
              <w:top w:val="nil"/>
              <w:left w:val="nil"/>
              <w:bottom w:val="single" w:sz="4" w:space="0" w:color="auto"/>
              <w:right w:val="single" w:sz="4" w:space="0" w:color="auto"/>
            </w:tcBorders>
            <w:shd w:val="clear" w:color="auto" w:fill="auto"/>
            <w:noWrap/>
            <w:vAlign w:val="bottom"/>
            <w:hideMark/>
          </w:tcPr>
          <w:p w14:paraId="52F26DA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85,9</w:t>
            </w:r>
          </w:p>
        </w:tc>
        <w:tc>
          <w:tcPr>
            <w:tcW w:w="851" w:type="dxa"/>
            <w:tcBorders>
              <w:top w:val="nil"/>
              <w:left w:val="nil"/>
              <w:bottom w:val="single" w:sz="4" w:space="0" w:color="auto"/>
              <w:right w:val="single" w:sz="4" w:space="0" w:color="auto"/>
            </w:tcBorders>
            <w:shd w:val="clear" w:color="auto" w:fill="auto"/>
            <w:noWrap/>
            <w:vAlign w:val="bottom"/>
            <w:hideMark/>
          </w:tcPr>
          <w:p w14:paraId="396657E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66,4</w:t>
            </w:r>
          </w:p>
        </w:tc>
        <w:tc>
          <w:tcPr>
            <w:tcW w:w="741" w:type="dxa"/>
            <w:tcBorders>
              <w:top w:val="nil"/>
              <w:left w:val="nil"/>
              <w:bottom w:val="single" w:sz="4" w:space="0" w:color="auto"/>
              <w:right w:val="single" w:sz="4" w:space="0" w:color="auto"/>
            </w:tcBorders>
            <w:shd w:val="clear" w:color="auto" w:fill="auto"/>
            <w:noWrap/>
            <w:vAlign w:val="bottom"/>
            <w:hideMark/>
          </w:tcPr>
          <w:p w14:paraId="2646C21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18,0</w:t>
            </w:r>
          </w:p>
        </w:tc>
        <w:tc>
          <w:tcPr>
            <w:tcW w:w="1134" w:type="dxa"/>
            <w:tcBorders>
              <w:top w:val="nil"/>
              <w:left w:val="nil"/>
              <w:bottom w:val="single" w:sz="4" w:space="0" w:color="auto"/>
              <w:right w:val="single" w:sz="4" w:space="0" w:color="auto"/>
            </w:tcBorders>
            <w:shd w:val="clear" w:color="auto" w:fill="auto"/>
            <w:noWrap/>
            <w:vAlign w:val="bottom"/>
            <w:hideMark/>
          </w:tcPr>
          <w:p w14:paraId="038F997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13,8</w:t>
            </w:r>
          </w:p>
        </w:tc>
        <w:tc>
          <w:tcPr>
            <w:tcW w:w="1167" w:type="dxa"/>
            <w:tcBorders>
              <w:top w:val="nil"/>
              <w:left w:val="nil"/>
              <w:bottom w:val="single" w:sz="4" w:space="0" w:color="auto"/>
              <w:right w:val="single" w:sz="4" w:space="0" w:color="auto"/>
            </w:tcBorders>
            <w:shd w:val="clear" w:color="auto" w:fill="auto"/>
            <w:noWrap/>
            <w:vAlign w:val="bottom"/>
            <w:hideMark/>
          </w:tcPr>
          <w:p w14:paraId="36FE04F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0,3</w:t>
            </w:r>
          </w:p>
        </w:tc>
        <w:tc>
          <w:tcPr>
            <w:tcW w:w="1276" w:type="dxa"/>
            <w:tcBorders>
              <w:top w:val="nil"/>
              <w:left w:val="nil"/>
              <w:bottom w:val="single" w:sz="4" w:space="0" w:color="auto"/>
              <w:right w:val="single" w:sz="4" w:space="0" w:color="auto"/>
            </w:tcBorders>
            <w:shd w:val="clear" w:color="auto" w:fill="auto"/>
            <w:noWrap/>
            <w:vAlign w:val="bottom"/>
            <w:hideMark/>
          </w:tcPr>
          <w:p w14:paraId="4A10BF0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w:t>
            </w:r>
          </w:p>
        </w:tc>
        <w:tc>
          <w:tcPr>
            <w:tcW w:w="1134" w:type="dxa"/>
            <w:tcBorders>
              <w:top w:val="nil"/>
              <w:left w:val="nil"/>
              <w:bottom w:val="single" w:sz="4" w:space="0" w:color="auto"/>
              <w:right w:val="double" w:sz="6" w:space="0" w:color="auto"/>
            </w:tcBorders>
            <w:shd w:val="clear" w:color="auto" w:fill="auto"/>
            <w:noWrap/>
            <w:vAlign w:val="bottom"/>
            <w:hideMark/>
          </w:tcPr>
          <w:p w14:paraId="7F7C9CA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w:t>
            </w:r>
          </w:p>
        </w:tc>
      </w:tr>
      <w:tr w:rsidR="00A53AD7" w:rsidRPr="00A53AD7" w14:paraId="0ADE1AE9" w14:textId="77777777" w:rsidTr="009F247B">
        <w:trPr>
          <w:trHeight w:val="155"/>
        </w:trPr>
        <w:tc>
          <w:tcPr>
            <w:tcW w:w="993" w:type="dxa"/>
            <w:tcBorders>
              <w:top w:val="nil"/>
              <w:left w:val="double" w:sz="6" w:space="0" w:color="auto"/>
              <w:bottom w:val="double" w:sz="6" w:space="0" w:color="auto"/>
              <w:right w:val="single" w:sz="4" w:space="0" w:color="auto"/>
            </w:tcBorders>
            <w:shd w:val="clear" w:color="auto" w:fill="auto"/>
            <w:noWrap/>
            <w:vAlign w:val="bottom"/>
            <w:hideMark/>
          </w:tcPr>
          <w:p w14:paraId="307F16E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lastRenderedPageBreak/>
              <w:t>2019</w:t>
            </w:r>
          </w:p>
        </w:tc>
        <w:tc>
          <w:tcPr>
            <w:tcW w:w="1134" w:type="dxa"/>
            <w:tcBorders>
              <w:top w:val="nil"/>
              <w:left w:val="nil"/>
              <w:bottom w:val="double" w:sz="6" w:space="0" w:color="auto"/>
              <w:right w:val="single" w:sz="4" w:space="0" w:color="auto"/>
            </w:tcBorders>
            <w:shd w:val="clear" w:color="auto" w:fill="auto"/>
            <w:noWrap/>
            <w:vAlign w:val="bottom"/>
            <w:hideMark/>
          </w:tcPr>
          <w:p w14:paraId="169EF70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c>
          <w:tcPr>
            <w:tcW w:w="992" w:type="dxa"/>
            <w:tcBorders>
              <w:top w:val="nil"/>
              <w:left w:val="nil"/>
              <w:bottom w:val="double" w:sz="6" w:space="0" w:color="auto"/>
              <w:right w:val="single" w:sz="4" w:space="0" w:color="auto"/>
            </w:tcBorders>
            <w:shd w:val="clear" w:color="auto" w:fill="auto"/>
            <w:noWrap/>
            <w:vAlign w:val="bottom"/>
            <w:hideMark/>
          </w:tcPr>
          <w:p w14:paraId="6B76E60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86,8</w:t>
            </w:r>
          </w:p>
        </w:tc>
        <w:tc>
          <w:tcPr>
            <w:tcW w:w="851" w:type="dxa"/>
            <w:tcBorders>
              <w:top w:val="nil"/>
              <w:left w:val="nil"/>
              <w:bottom w:val="double" w:sz="6" w:space="0" w:color="auto"/>
              <w:right w:val="single" w:sz="4" w:space="0" w:color="auto"/>
            </w:tcBorders>
            <w:shd w:val="clear" w:color="auto" w:fill="auto"/>
            <w:noWrap/>
            <w:vAlign w:val="bottom"/>
            <w:hideMark/>
          </w:tcPr>
          <w:p w14:paraId="4B64C19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67,1</w:t>
            </w:r>
          </w:p>
        </w:tc>
        <w:tc>
          <w:tcPr>
            <w:tcW w:w="741" w:type="dxa"/>
            <w:tcBorders>
              <w:top w:val="nil"/>
              <w:left w:val="nil"/>
              <w:bottom w:val="double" w:sz="6" w:space="0" w:color="auto"/>
              <w:right w:val="single" w:sz="4" w:space="0" w:color="auto"/>
            </w:tcBorders>
            <w:shd w:val="clear" w:color="auto" w:fill="auto"/>
            <w:noWrap/>
            <w:vAlign w:val="bottom"/>
            <w:hideMark/>
          </w:tcPr>
          <w:p w14:paraId="7363864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18,0</w:t>
            </w:r>
          </w:p>
        </w:tc>
        <w:tc>
          <w:tcPr>
            <w:tcW w:w="1134" w:type="dxa"/>
            <w:tcBorders>
              <w:top w:val="nil"/>
              <w:left w:val="nil"/>
              <w:bottom w:val="double" w:sz="6" w:space="0" w:color="auto"/>
              <w:right w:val="single" w:sz="4" w:space="0" w:color="auto"/>
            </w:tcBorders>
            <w:shd w:val="clear" w:color="auto" w:fill="auto"/>
            <w:noWrap/>
            <w:vAlign w:val="bottom"/>
            <w:hideMark/>
          </w:tcPr>
          <w:p w14:paraId="4C24775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13,9</w:t>
            </w:r>
          </w:p>
        </w:tc>
        <w:tc>
          <w:tcPr>
            <w:tcW w:w="1167" w:type="dxa"/>
            <w:tcBorders>
              <w:top w:val="nil"/>
              <w:left w:val="nil"/>
              <w:bottom w:val="double" w:sz="6" w:space="0" w:color="auto"/>
              <w:right w:val="single" w:sz="4" w:space="0" w:color="auto"/>
            </w:tcBorders>
            <w:shd w:val="clear" w:color="auto" w:fill="auto"/>
            <w:noWrap/>
            <w:vAlign w:val="bottom"/>
            <w:hideMark/>
          </w:tcPr>
          <w:p w14:paraId="2E031B2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w:t>
            </w:r>
          </w:p>
        </w:tc>
        <w:tc>
          <w:tcPr>
            <w:tcW w:w="1276" w:type="dxa"/>
            <w:tcBorders>
              <w:top w:val="nil"/>
              <w:left w:val="nil"/>
              <w:bottom w:val="double" w:sz="6" w:space="0" w:color="auto"/>
              <w:right w:val="single" w:sz="4" w:space="0" w:color="auto"/>
            </w:tcBorders>
            <w:shd w:val="clear" w:color="auto" w:fill="auto"/>
            <w:noWrap/>
            <w:vAlign w:val="bottom"/>
            <w:hideMark/>
          </w:tcPr>
          <w:p w14:paraId="483552C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w:t>
            </w:r>
          </w:p>
        </w:tc>
        <w:tc>
          <w:tcPr>
            <w:tcW w:w="1134" w:type="dxa"/>
            <w:tcBorders>
              <w:top w:val="nil"/>
              <w:left w:val="nil"/>
              <w:bottom w:val="double" w:sz="6" w:space="0" w:color="auto"/>
              <w:right w:val="double" w:sz="6" w:space="0" w:color="auto"/>
            </w:tcBorders>
            <w:shd w:val="clear" w:color="auto" w:fill="auto"/>
            <w:noWrap/>
            <w:vAlign w:val="bottom"/>
            <w:hideMark/>
          </w:tcPr>
          <w:p w14:paraId="40B56B3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0,3</w:t>
            </w:r>
          </w:p>
        </w:tc>
      </w:tr>
    </w:tbl>
    <w:p w14:paraId="0C1AE0A6" w14:textId="77777777" w:rsidR="000509CC" w:rsidRPr="00A53AD7" w:rsidRDefault="000509CC" w:rsidP="003B5BDA">
      <w:pPr>
        <w:pStyle w:val="ad"/>
        <w:ind w:firstLine="851"/>
        <w:jc w:val="both"/>
        <w:rPr>
          <w:rFonts w:ascii="Times New Roman" w:hAnsi="Times New Roman"/>
          <w:sz w:val="28"/>
          <w:szCs w:val="28"/>
        </w:rPr>
      </w:pPr>
    </w:p>
    <w:p w14:paraId="05BB0389"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2019 году структура использования денежных доходов населения (к показателям 2018 года) трансформировалась в сторону увеличения расходов населением. </w:t>
      </w:r>
    </w:p>
    <w:p w14:paraId="72835CA8"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При увеличении использования денежных доходов в 2019 году к соответствующим показателям прошлого года на покупку товаров и услуг (+0,9 п.п), из которых на покупку товаров стали тратить больше, расходы на оплату услуг не претерпели изменений, на оплату обязательных платежей и взносов, прочих расходов увеличение составило (+0,1 п.п.), размер расходов населения на сбережения уменьшился на (–1,0 п.п), при чем размер вкладов на счетах в банках не изменился, а наличных денег в рублях и валюте в рублевом эквиваленте стало меньше на (–1,3 п.п).</w:t>
      </w:r>
    </w:p>
    <w:p w14:paraId="34869A95"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2018 году населением региона израсходовано 99,7 % своих денежных доходов и 0,3 % остались наличными и (или) во вкладах. В 2019 году населением израсходовано уже 100,7 % денежных доходов. Сбережений из доходов текущего года не только не накоплено, но, чтобы покрыть расходы, население использовало свои сбережения, накопленные в предыдущие периоды.</w:t>
      </w:r>
    </w:p>
    <w:p w14:paraId="2AE52238" w14:textId="77777777" w:rsidR="003B5BDA" w:rsidRPr="00A53AD7" w:rsidRDefault="003B5BDA" w:rsidP="003B5BDA">
      <w:pPr>
        <w:pStyle w:val="2"/>
        <w:spacing w:before="120" w:after="0" w:line="240" w:lineRule="auto"/>
        <w:jc w:val="center"/>
        <w:rPr>
          <w:rFonts w:ascii="Times New Roman" w:hAnsi="Times New Roman"/>
          <w:lang w:val="ru-RU"/>
        </w:rPr>
      </w:pPr>
      <w:bookmarkStart w:id="44" w:name="_Toc515024210"/>
      <w:bookmarkStart w:id="45" w:name="_Toc9262562"/>
      <w:bookmarkStart w:id="46" w:name="_Toc42006712"/>
      <w:r w:rsidRPr="00A53AD7">
        <w:rPr>
          <w:rFonts w:ascii="Times New Roman" w:hAnsi="Times New Roman"/>
          <w:lang w:val="ru-RU"/>
        </w:rPr>
        <w:t>1.11. Прожиточный минимум и уровень жизни населения</w:t>
      </w:r>
      <w:bookmarkEnd w:id="44"/>
      <w:bookmarkEnd w:id="45"/>
      <w:bookmarkEnd w:id="46"/>
    </w:p>
    <w:p w14:paraId="335E7AE3" w14:textId="336CA766"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и величина прожиточного минимума Архангельской области представлена в таблице </w:t>
      </w:r>
      <w:r w:rsidR="00D16ED5" w:rsidRPr="00A53AD7">
        <w:rPr>
          <w:rFonts w:ascii="Times New Roman" w:hAnsi="Times New Roman"/>
          <w:sz w:val="28"/>
          <w:szCs w:val="28"/>
        </w:rPr>
        <w:t>14</w:t>
      </w:r>
      <w:r w:rsidRPr="00A53AD7">
        <w:rPr>
          <w:rFonts w:ascii="Times New Roman" w:hAnsi="Times New Roman"/>
          <w:sz w:val="28"/>
          <w:szCs w:val="28"/>
        </w:rPr>
        <w:t>:</w:t>
      </w:r>
    </w:p>
    <w:p w14:paraId="4A9D2750" w14:textId="77777777" w:rsidR="003B5BDA" w:rsidRPr="00A53AD7" w:rsidRDefault="003B5BDA" w:rsidP="002C6171">
      <w:pPr>
        <w:pStyle w:val="ad"/>
        <w:ind w:firstLine="851"/>
        <w:jc w:val="both"/>
        <w:rPr>
          <w:rFonts w:ascii="Times New Roman" w:hAnsi="Times New Roman"/>
          <w:sz w:val="28"/>
          <w:szCs w:val="28"/>
        </w:rPr>
      </w:pPr>
    </w:p>
    <w:p w14:paraId="09FA0188" w14:textId="390A2BDD" w:rsidR="003B5BDA" w:rsidRPr="00A53AD7" w:rsidRDefault="00117989" w:rsidP="003B5BDA">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14</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Динамика и величина прожиточного минимума Архангельской области в 2013 – 2019 годах</w:t>
      </w:r>
    </w:p>
    <w:tbl>
      <w:tblPr>
        <w:tblW w:w="9356" w:type="dxa"/>
        <w:tblInd w:w="-23" w:type="dxa"/>
        <w:tblLook w:val="04A0" w:firstRow="1" w:lastRow="0" w:firstColumn="1" w:lastColumn="0" w:noHBand="0" w:noVBand="1"/>
      </w:tblPr>
      <w:tblGrid>
        <w:gridCol w:w="2820"/>
        <w:gridCol w:w="1239"/>
        <w:gridCol w:w="2178"/>
        <w:gridCol w:w="1701"/>
        <w:gridCol w:w="1418"/>
      </w:tblGrid>
      <w:tr w:rsidR="00A53AD7" w:rsidRPr="00A53AD7" w14:paraId="136F9872" w14:textId="77777777" w:rsidTr="00D16ED5">
        <w:trPr>
          <w:trHeight w:val="456"/>
          <w:tblHeader/>
        </w:trPr>
        <w:tc>
          <w:tcPr>
            <w:tcW w:w="2820" w:type="dxa"/>
            <w:vMerge w:val="restart"/>
            <w:tcBorders>
              <w:top w:val="double" w:sz="6" w:space="0" w:color="000000"/>
              <w:left w:val="double" w:sz="6" w:space="0" w:color="000000"/>
              <w:bottom w:val="single" w:sz="4" w:space="0" w:color="000000"/>
              <w:right w:val="single" w:sz="4" w:space="0" w:color="000000"/>
            </w:tcBorders>
            <w:shd w:val="clear" w:color="auto" w:fill="auto"/>
            <w:noWrap/>
            <w:vAlign w:val="center"/>
            <w:hideMark/>
          </w:tcPr>
          <w:p w14:paraId="57196D3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Период</w:t>
            </w:r>
          </w:p>
        </w:tc>
        <w:tc>
          <w:tcPr>
            <w:tcW w:w="1239" w:type="dxa"/>
            <w:vMerge w:val="restart"/>
            <w:tcBorders>
              <w:top w:val="double" w:sz="6" w:space="0" w:color="000000"/>
              <w:left w:val="single" w:sz="4" w:space="0" w:color="000000"/>
              <w:bottom w:val="single" w:sz="4" w:space="0" w:color="000000"/>
              <w:right w:val="single" w:sz="4" w:space="0" w:color="000000"/>
            </w:tcBorders>
            <w:shd w:val="clear" w:color="auto" w:fill="auto"/>
            <w:vAlign w:val="center"/>
            <w:hideMark/>
          </w:tcPr>
          <w:p w14:paraId="058084CC"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Все население, руб.</w:t>
            </w:r>
          </w:p>
        </w:tc>
        <w:tc>
          <w:tcPr>
            <w:tcW w:w="5297" w:type="dxa"/>
            <w:gridSpan w:val="3"/>
            <w:tcBorders>
              <w:top w:val="double" w:sz="6" w:space="0" w:color="000000"/>
              <w:left w:val="nil"/>
              <w:bottom w:val="single" w:sz="4" w:space="0" w:color="000000"/>
              <w:right w:val="double" w:sz="6" w:space="0" w:color="000000"/>
            </w:tcBorders>
            <w:shd w:val="clear" w:color="auto" w:fill="auto"/>
            <w:vAlign w:val="center"/>
            <w:hideMark/>
          </w:tcPr>
          <w:p w14:paraId="2E732C19"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i/>
                <w:iCs/>
                <w:lang w:eastAsia="ru-RU"/>
              </w:rPr>
              <w:t>из него</w:t>
            </w:r>
            <w:r w:rsidRPr="00A53AD7">
              <w:rPr>
                <w:rFonts w:ascii="Times New Roman" w:eastAsia="Times New Roman" w:hAnsi="Times New Roman"/>
                <w:lang w:eastAsia="ru-RU"/>
              </w:rPr>
              <w:t xml:space="preserve"> по социально-демографическим группам населения</w:t>
            </w:r>
          </w:p>
        </w:tc>
      </w:tr>
      <w:tr w:rsidR="00A53AD7" w:rsidRPr="00A53AD7" w14:paraId="306A0472" w14:textId="77777777" w:rsidTr="00D16ED5">
        <w:trPr>
          <w:trHeight w:val="464"/>
          <w:tblHeader/>
        </w:trPr>
        <w:tc>
          <w:tcPr>
            <w:tcW w:w="2820" w:type="dxa"/>
            <w:vMerge/>
            <w:tcBorders>
              <w:top w:val="double" w:sz="6" w:space="0" w:color="000000"/>
              <w:left w:val="double" w:sz="6" w:space="0" w:color="000000"/>
              <w:bottom w:val="single" w:sz="4" w:space="0" w:color="000000"/>
              <w:right w:val="single" w:sz="4" w:space="0" w:color="000000"/>
            </w:tcBorders>
            <w:vAlign w:val="center"/>
            <w:hideMark/>
          </w:tcPr>
          <w:p w14:paraId="3B380D54" w14:textId="77777777" w:rsidR="003B5BDA" w:rsidRPr="00A53AD7" w:rsidRDefault="003B5BDA" w:rsidP="003B5BDA">
            <w:pPr>
              <w:spacing w:after="0" w:line="240" w:lineRule="auto"/>
              <w:rPr>
                <w:rFonts w:ascii="Times New Roman" w:eastAsia="Times New Roman" w:hAnsi="Times New Roman"/>
                <w:lang w:eastAsia="ru-RU"/>
              </w:rPr>
            </w:pPr>
          </w:p>
        </w:tc>
        <w:tc>
          <w:tcPr>
            <w:tcW w:w="1239" w:type="dxa"/>
            <w:vMerge/>
            <w:tcBorders>
              <w:top w:val="double" w:sz="6" w:space="0" w:color="000000"/>
              <w:left w:val="single" w:sz="4" w:space="0" w:color="000000"/>
              <w:bottom w:val="single" w:sz="4" w:space="0" w:color="000000"/>
              <w:right w:val="single" w:sz="4" w:space="0" w:color="000000"/>
            </w:tcBorders>
            <w:vAlign w:val="center"/>
            <w:hideMark/>
          </w:tcPr>
          <w:p w14:paraId="70642707" w14:textId="77777777" w:rsidR="003B5BDA" w:rsidRPr="00A53AD7" w:rsidRDefault="003B5BDA" w:rsidP="003B5BDA">
            <w:pPr>
              <w:spacing w:after="0" w:line="240" w:lineRule="auto"/>
              <w:rPr>
                <w:rFonts w:ascii="Times New Roman" w:eastAsia="Times New Roman" w:hAnsi="Times New Roman"/>
                <w:lang w:eastAsia="ru-RU"/>
              </w:rPr>
            </w:pPr>
          </w:p>
        </w:tc>
        <w:tc>
          <w:tcPr>
            <w:tcW w:w="2178" w:type="dxa"/>
            <w:tcBorders>
              <w:top w:val="nil"/>
              <w:left w:val="nil"/>
              <w:bottom w:val="single" w:sz="4" w:space="0" w:color="000000"/>
              <w:right w:val="single" w:sz="4" w:space="0" w:color="000000"/>
            </w:tcBorders>
            <w:shd w:val="clear" w:color="auto" w:fill="auto"/>
            <w:vAlign w:val="center"/>
            <w:hideMark/>
          </w:tcPr>
          <w:p w14:paraId="4D3A3DBD"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трудоспособное население, руб.</w:t>
            </w:r>
          </w:p>
        </w:tc>
        <w:tc>
          <w:tcPr>
            <w:tcW w:w="1701" w:type="dxa"/>
            <w:tcBorders>
              <w:top w:val="nil"/>
              <w:left w:val="nil"/>
              <w:bottom w:val="single" w:sz="4" w:space="0" w:color="000000"/>
              <w:right w:val="single" w:sz="4" w:space="0" w:color="000000"/>
            </w:tcBorders>
            <w:shd w:val="clear" w:color="auto" w:fill="auto"/>
            <w:vAlign w:val="center"/>
            <w:hideMark/>
          </w:tcPr>
          <w:p w14:paraId="4E5F61C9"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пенсионеры, руб.</w:t>
            </w:r>
          </w:p>
        </w:tc>
        <w:tc>
          <w:tcPr>
            <w:tcW w:w="1418" w:type="dxa"/>
            <w:tcBorders>
              <w:top w:val="nil"/>
              <w:left w:val="nil"/>
              <w:bottom w:val="single" w:sz="4" w:space="0" w:color="000000"/>
              <w:right w:val="double" w:sz="6" w:space="0" w:color="000000"/>
            </w:tcBorders>
            <w:shd w:val="clear" w:color="auto" w:fill="auto"/>
            <w:vAlign w:val="center"/>
            <w:hideMark/>
          </w:tcPr>
          <w:p w14:paraId="3C374BF7"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дети, руб.</w:t>
            </w:r>
          </w:p>
        </w:tc>
      </w:tr>
      <w:tr w:rsidR="00A53AD7" w:rsidRPr="00A53AD7" w14:paraId="0078D0B7"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6E39485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2013 год</w:t>
            </w:r>
          </w:p>
        </w:tc>
        <w:tc>
          <w:tcPr>
            <w:tcW w:w="1239" w:type="dxa"/>
            <w:tcBorders>
              <w:top w:val="nil"/>
              <w:left w:val="nil"/>
              <w:bottom w:val="single" w:sz="4" w:space="0" w:color="000000"/>
              <w:right w:val="single" w:sz="4" w:space="0" w:color="000000"/>
            </w:tcBorders>
            <w:shd w:val="clear" w:color="auto" w:fill="auto"/>
            <w:vAlign w:val="bottom"/>
            <w:hideMark/>
          </w:tcPr>
          <w:p w14:paraId="269994B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9 512 </w:t>
            </w:r>
          </w:p>
        </w:tc>
        <w:tc>
          <w:tcPr>
            <w:tcW w:w="2178" w:type="dxa"/>
            <w:tcBorders>
              <w:top w:val="nil"/>
              <w:left w:val="nil"/>
              <w:bottom w:val="single" w:sz="4" w:space="0" w:color="000000"/>
              <w:right w:val="single" w:sz="4" w:space="0" w:color="000000"/>
            </w:tcBorders>
            <w:shd w:val="clear" w:color="auto" w:fill="auto"/>
            <w:vAlign w:val="bottom"/>
            <w:hideMark/>
          </w:tcPr>
          <w:p w14:paraId="6CEAF93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10 240 </w:t>
            </w:r>
          </w:p>
        </w:tc>
        <w:tc>
          <w:tcPr>
            <w:tcW w:w="1701" w:type="dxa"/>
            <w:tcBorders>
              <w:top w:val="nil"/>
              <w:left w:val="nil"/>
              <w:bottom w:val="single" w:sz="4" w:space="0" w:color="000000"/>
              <w:right w:val="single" w:sz="4" w:space="0" w:color="000000"/>
            </w:tcBorders>
            <w:shd w:val="clear" w:color="auto" w:fill="auto"/>
            <w:vAlign w:val="bottom"/>
            <w:hideMark/>
          </w:tcPr>
          <w:p w14:paraId="0D685AF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7 858 </w:t>
            </w:r>
          </w:p>
        </w:tc>
        <w:tc>
          <w:tcPr>
            <w:tcW w:w="1418" w:type="dxa"/>
            <w:tcBorders>
              <w:top w:val="nil"/>
              <w:left w:val="nil"/>
              <w:bottom w:val="single" w:sz="4" w:space="0" w:color="000000"/>
              <w:right w:val="double" w:sz="6" w:space="0" w:color="000000"/>
            </w:tcBorders>
            <w:shd w:val="clear" w:color="auto" w:fill="auto"/>
            <w:vAlign w:val="bottom"/>
            <w:hideMark/>
          </w:tcPr>
          <w:p w14:paraId="7775E25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9 040 </w:t>
            </w:r>
          </w:p>
        </w:tc>
      </w:tr>
      <w:tr w:rsidR="00A53AD7" w:rsidRPr="00A53AD7" w14:paraId="0BCEC102"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35EBBD7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2014 год</w:t>
            </w:r>
          </w:p>
        </w:tc>
        <w:tc>
          <w:tcPr>
            <w:tcW w:w="1239" w:type="dxa"/>
            <w:tcBorders>
              <w:top w:val="nil"/>
              <w:left w:val="nil"/>
              <w:bottom w:val="single" w:sz="4" w:space="0" w:color="000000"/>
              <w:right w:val="single" w:sz="4" w:space="0" w:color="000000"/>
            </w:tcBorders>
            <w:shd w:val="clear" w:color="auto" w:fill="auto"/>
            <w:vAlign w:val="bottom"/>
            <w:hideMark/>
          </w:tcPr>
          <w:p w14:paraId="2FCF846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10 756 </w:t>
            </w:r>
          </w:p>
        </w:tc>
        <w:tc>
          <w:tcPr>
            <w:tcW w:w="2178" w:type="dxa"/>
            <w:tcBorders>
              <w:top w:val="nil"/>
              <w:left w:val="nil"/>
              <w:bottom w:val="single" w:sz="4" w:space="0" w:color="000000"/>
              <w:right w:val="single" w:sz="4" w:space="0" w:color="000000"/>
            </w:tcBorders>
            <w:shd w:val="clear" w:color="auto" w:fill="auto"/>
            <w:vAlign w:val="bottom"/>
            <w:hideMark/>
          </w:tcPr>
          <w:p w14:paraId="4717150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11 549 </w:t>
            </w:r>
          </w:p>
        </w:tc>
        <w:tc>
          <w:tcPr>
            <w:tcW w:w="1701" w:type="dxa"/>
            <w:tcBorders>
              <w:top w:val="nil"/>
              <w:left w:val="nil"/>
              <w:bottom w:val="single" w:sz="4" w:space="0" w:color="000000"/>
              <w:right w:val="single" w:sz="4" w:space="0" w:color="000000"/>
            </w:tcBorders>
            <w:shd w:val="clear" w:color="auto" w:fill="auto"/>
            <w:vAlign w:val="bottom"/>
            <w:hideMark/>
          </w:tcPr>
          <w:p w14:paraId="5B8E441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9 009 </w:t>
            </w:r>
          </w:p>
        </w:tc>
        <w:tc>
          <w:tcPr>
            <w:tcW w:w="1418" w:type="dxa"/>
            <w:tcBorders>
              <w:top w:val="nil"/>
              <w:left w:val="nil"/>
              <w:bottom w:val="single" w:sz="4" w:space="0" w:color="000000"/>
              <w:right w:val="double" w:sz="6" w:space="0" w:color="000000"/>
            </w:tcBorders>
            <w:shd w:val="clear" w:color="auto" w:fill="auto"/>
            <w:vAlign w:val="bottom"/>
            <w:hideMark/>
          </w:tcPr>
          <w:p w14:paraId="7BD7406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10 284 </w:t>
            </w:r>
          </w:p>
        </w:tc>
      </w:tr>
      <w:tr w:rsidR="00A53AD7" w:rsidRPr="00A53AD7" w14:paraId="0682C584"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15CF1A82"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отношение 2014 к 2013, %</w:t>
            </w:r>
          </w:p>
        </w:tc>
        <w:tc>
          <w:tcPr>
            <w:tcW w:w="1239" w:type="dxa"/>
            <w:tcBorders>
              <w:top w:val="nil"/>
              <w:left w:val="nil"/>
              <w:bottom w:val="single" w:sz="4" w:space="0" w:color="000000"/>
              <w:right w:val="single" w:sz="4" w:space="0" w:color="000000"/>
            </w:tcBorders>
            <w:shd w:val="clear" w:color="auto" w:fill="auto"/>
            <w:vAlign w:val="bottom"/>
            <w:hideMark/>
          </w:tcPr>
          <w:p w14:paraId="4538AA3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113,1 </w:t>
            </w:r>
          </w:p>
        </w:tc>
        <w:tc>
          <w:tcPr>
            <w:tcW w:w="2178" w:type="dxa"/>
            <w:tcBorders>
              <w:top w:val="nil"/>
              <w:left w:val="nil"/>
              <w:bottom w:val="single" w:sz="4" w:space="0" w:color="000000"/>
              <w:right w:val="single" w:sz="4" w:space="0" w:color="000000"/>
            </w:tcBorders>
            <w:shd w:val="clear" w:color="auto" w:fill="auto"/>
            <w:vAlign w:val="bottom"/>
            <w:hideMark/>
          </w:tcPr>
          <w:p w14:paraId="29E6FAA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112,8 </w:t>
            </w:r>
          </w:p>
        </w:tc>
        <w:tc>
          <w:tcPr>
            <w:tcW w:w="1701" w:type="dxa"/>
            <w:tcBorders>
              <w:top w:val="nil"/>
              <w:left w:val="nil"/>
              <w:bottom w:val="single" w:sz="4" w:space="0" w:color="000000"/>
              <w:right w:val="single" w:sz="4" w:space="0" w:color="000000"/>
            </w:tcBorders>
            <w:shd w:val="clear" w:color="auto" w:fill="auto"/>
            <w:vAlign w:val="bottom"/>
            <w:hideMark/>
          </w:tcPr>
          <w:p w14:paraId="1D2A265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114,6 </w:t>
            </w:r>
          </w:p>
        </w:tc>
        <w:tc>
          <w:tcPr>
            <w:tcW w:w="1418" w:type="dxa"/>
            <w:tcBorders>
              <w:top w:val="nil"/>
              <w:left w:val="nil"/>
              <w:bottom w:val="single" w:sz="4" w:space="0" w:color="000000"/>
              <w:right w:val="double" w:sz="6" w:space="0" w:color="000000"/>
            </w:tcBorders>
            <w:shd w:val="clear" w:color="auto" w:fill="auto"/>
            <w:vAlign w:val="bottom"/>
            <w:hideMark/>
          </w:tcPr>
          <w:p w14:paraId="750CC8D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113,8 </w:t>
            </w:r>
          </w:p>
        </w:tc>
      </w:tr>
      <w:tr w:rsidR="00A53AD7" w:rsidRPr="00A53AD7" w14:paraId="09D42827"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61E01CE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2015 год</w:t>
            </w:r>
          </w:p>
        </w:tc>
        <w:tc>
          <w:tcPr>
            <w:tcW w:w="1239" w:type="dxa"/>
            <w:tcBorders>
              <w:top w:val="nil"/>
              <w:left w:val="nil"/>
              <w:bottom w:val="single" w:sz="4" w:space="0" w:color="000000"/>
              <w:right w:val="single" w:sz="4" w:space="0" w:color="000000"/>
            </w:tcBorders>
            <w:shd w:val="clear" w:color="auto" w:fill="auto"/>
            <w:vAlign w:val="bottom"/>
            <w:hideMark/>
          </w:tcPr>
          <w:p w14:paraId="6DC20D2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12 963 </w:t>
            </w:r>
          </w:p>
        </w:tc>
        <w:tc>
          <w:tcPr>
            <w:tcW w:w="2178" w:type="dxa"/>
            <w:tcBorders>
              <w:top w:val="nil"/>
              <w:left w:val="nil"/>
              <w:bottom w:val="single" w:sz="4" w:space="0" w:color="000000"/>
              <w:right w:val="single" w:sz="4" w:space="0" w:color="000000"/>
            </w:tcBorders>
            <w:shd w:val="clear" w:color="auto" w:fill="auto"/>
            <w:vAlign w:val="bottom"/>
            <w:hideMark/>
          </w:tcPr>
          <w:p w14:paraId="4880853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13 922 </w:t>
            </w:r>
          </w:p>
        </w:tc>
        <w:tc>
          <w:tcPr>
            <w:tcW w:w="1701" w:type="dxa"/>
            <w:tcBorders>
              <w:top w:val="nil"/>
              <w:left w:val="nil"/>
              <w:bottom w:val="single" w:sz="4" w:space="0" w:color="000000"/>
              <w:right w:val="single" w:sz="4" w:space="0" w:color="000000"/>
            </w:tcBorders>
            <w:shd w:val="clear" w:color="auto" w:fill="auto"/>
            <w:vAlign w:val="bottom"/>
            <w:hideMark/>
          </w:tcPr>
          <w:p w14:paraId="0582567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10 834 </w:t>
            </w:r>
          </w:p>
        </w:tc>
        <w:tc>
          <w:tcPr>
            <w:tcW w:w="1418" w:type="dxa"/>
            <w:tcBorders>
              <w:top w:val="nil"/>
              <w:left w:val="nil"/>
              <w:bottom w:val="single" w:sz="4" w:space="0" w:color="000000"/>
              <w:right w:val="double" w:sz="6" w:space="0" w:color="000000"/>
            </w:tcBorders>
            <w:shd w:val="clear" w:color="auto" w:fill="auto"/>
            <w:vAlign w:val="bottom"/>
            <w:hideMark/>
          </w:tcPr>
          <w:p w14:paraId="743AAB8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12 418 </w:t>
            </w:r>
          </w:p>
        </w:tc>
      </w:tr>
      <w:tr w:rsidR="00A53AD7" w:rsidRPr="00A53AD7" w14:paraId="6CA9F3C0"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2B15113F"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отношение 2015 к 2014, %</w:t>
            </w:r>
          </w:p>
        </w:tc>
        <w:tc>
          <w:tcPr>
            <w:tcW w:w="1239" w:type="dxa"/>
            <w:tcBorders>
              <w:top w:val="nil"/>
              <w:left w:val="nil"/>
              <w:bottom w:val="single" w:sz="4" w:space="0" w:color="000000"/>
              <w:right w:val="single" w:sz="4" w:space="0" w:color="000000"/>
            </w:tcBorders>
            <w:shd w:val="clear" w:color="auto" w:fill="auto"/>
            <w:vAlign w:val="bottom"/>
            <w:hideMark/>
          </w:tcPr>
          <w:p w14:paraId="624376C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120,5 </w:t>
            </w:r>
          </w:p>
        </w:tc>
        <w:tc>
          <w:tcPr>
            <w:tcW w:w="2178" w:type="dxa"/>
            <w:tcBorders>
              <w:top w:val="nil"/>
              <w:left w:val="nil"/>
              <w:bottom w:val="single" w:sz="4" w:space="0" w:color="000000"/>
              <w:right w:val="single" w:sz="4" w:space="0" w:color="000000"/>
            </w:tcBorders>
            <w:shd w:val="clear" w:color="auto" w:fill="auto"/>
            <w:vAlign w:val="bottom"/>
            <w:hideMark/>
          </w:tcPr>
          <w:p w14:paraId="512F8DE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120,5 </w:t>
            </w:r>
          </w:p>
        </w:tc>
        <w:tc>
          <w:tcPr>
            <w:tcW w:w="1701" w:type="dxa"/>
            <w:tcBorders>
              <w:top w:val="nil"/>
              <w:left w:val="nil"/>
              <w:bottom w:val="single" w:sz="4" w:space="0" w:color="000000"/>
              <w:right w:val="single" w:sz="4" w:space="0" w:color="000000"/>
            </w:tcBorders>
            <w:shd w:val="clear" w:color="auto" w:fill="auto"/>
            <w:vAlign w:val="bottom"/>
            <w:hideMark/>
          </w:tcPr>
          <w:p w14:paraId="28647F5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120,3 </w:t>
            </w:r>
          </w:p>
        </w:tc>
        <w:tc>
          <w:tcPr>
            <w:tcW w:w="1418" w:type="dxa"/>
            <w:tcBorders>
              <w:top w:val="nil"/>
              <w:left w:val="nil"/>
              <w:bottom w:val="single" w:sz="4" w:space="0" w:color="000000"/>
              <w:right w:val="double" w:sz="6" w:space="0" w:color="000000"/>
            </w:tcBorders>
            <w:shd w:val="clear" w:color="auto" w:fill="auto"/>
            <w:vAlign w:val="bottom"/>
            <w:hideMark/>
          </w:tcPr>
          <w:p w14:paraId="3275CF9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120,8 </w:t>
            </w:r>
          </w:p>
        </w:tc>
      </w:tr>
      <w:tr w:rsidR="00A53AD7" w:rsidRPr="00A53AD7" w14:paraId="4A6A4690"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4EF8FE6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2016 год</w:t>
            </w:r>
          </w:p>
        </w:tc>
        <w:tc>
          <w:tcPr>
            <w:tcW w:w="1239" w:type="dxa"/>
            <w:tcBorders>
              <w:top w:val="nil"/>
              <w:left w:val="nil"/>
              <w:bottom w:val="single" w:sz="4" w:space="0" w:color="000000"/>
              <w:right w:val="single" w:sz="4" w:space="0" w:color="000000"/>
            </w:tcBorders>
            <w:shd w:val="clear" w:color="auto" w:fill="auto"/>
            <w:vAlign w:val="bottom"/>
            <w:hideMark/>
          </w:tcPr>
          <w:p w14:paraId="4145177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12 217 </w:t>
            </w:r>
          </w:p>
        </w:tc>
        <w:tc>
          <w:tcPr>
            <w:tcW w:w="2178" w:type="dxa"/>
            <w:tcBorders>
              <w:top w:val="nil"/>
              <w:left w:val="nil"/>
              <w:bottom w:val="single" w:sz="4" w:space="0" w:color="000000"/>
              <w:right w:val="single" w:sz="4" w:space="0" w:color="000000"/>
            </w:tcBorders>
            <w:shd w:val="clear" w:color="auto" w:fill="auto"/>
            <w:vAlign w:val="bottom"/>
            <w:hideMark/>
          </w:tcPr>
          <w:p w14:paraId="12A27D8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13 167 </w:t>
            </w:r>
          </w:p>
        </w:tc>
        <w:tc>
          <w:tcPr>
            <w:tcW w:w="1701" w:type="dxa"/>
            <w:tcBorders>
              <w:top w:val="nil"/>
              <w:left w:val="nil"/>
              <w:bottom w:val="single" w:sz="4" w:space="0" w:color="000000"/>
              <w:right w:val="single" w:sz="4" w:space="0" w:color="000000"/>
            </w:tcBorders>
            <w:shd w:val="clear" w:color="auto" w:fill="auto"/>
            <w:vAlign w:val="bottom"/>
            <w:hideMark/>
          </w:tcPr>
          <w:p w14:paraId="7EB6BEE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10 172 </w:t>
            </w:r>
          </w:p>
        </w:tc>
        <w:tc>
          <w:tcPr>
            <w:tcW w:w="1418" w:type="dxa"/>
            <w:tcBorders>
              <w:top w:val="nil"/>
              <w:left w:val="nil"/>
              <w:bottom w:val="single" w:sz="4" w:space="0" w:color="000000"/>
              <w:right w:val="double" w:sz="6" w:space="0" w:color="000000"/>
            </w:tcBorders>
            <w:shd w:val="clear" w:color="auto" w:fill="auto"/>
            <w:vAlign w:val="bottom"/>
            <w:hideMark/>
          </w:tcPr>
          <w:p w14:paraId="43C7288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11 862 </w:t>
            </w:r>
          </w:p>
        </w:tc>
      </w:tr>
      <w:tr w:rsidR="00A53AD7" w:rsidRPr="00A53AD7" w14:paraId="4BBD4862"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6A21F0C1" w14:textId="77777777" w:rsidR="00892785" w:rsidRPr="00A53AD7" w:rsidRDefault="00892785" w:rsidP="00892785">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отношение 2016 к 2015, %</w:t>
            </w:r>
          </w:p>
        </w:tc>
        <w:tc>
          <w:tcPr>
            <w:tcW w:w="1239" w:type="dxa"/>
            <w:tcBorders>
              <w:top w:val="nil"/>
              <w:left w:val="nil"/>
              <w:bottom w:val="single" w:sz="4" w:space="0" w:color="000000"/>
              <w:right w:val="single" w:sz="4" w:space="0" w:color="000000"/>
            </w:tcBorders>
            <w:shd w:val="clear" w:color="auto" w:fill="auto"/>
            <w:vAlign w:val="bottom"/>
            <w:hideMark/>
          </w:tcPr>
          <w:p w14:paraId="331E1247" w14:textId="08BB20AC"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94,2</w:t>
            </w:r>
          </w:p>
        </w:tc>
        <w:tc>
          <w:tcPr>
            <w:tcW w:w="2178" w:type="dxa"/>
            <w:tcBorders>
              <w:top w:val="nil"/>
              <w:left w:val="nil"/>
              <w:bottom w:val="single" w:sz="4" w:space="0" w:color="000000"/>
              <w:right w:val="single" w:sz="4" w:space="0" w:color="000000"/>
            </w:tcBorders>
            <w:shd w:val="clear" w:color="auto" w:fill="auto"/>
            <w:vAlign w:val="bottom"/>
            <w:hideMark/>
          </w:tcPr>
          <w:p w14:paraId="23AFF26E" w14:textId="27BBE7C0"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94,6 </w:t>
            </w:r>
          </w:p>
        </w:tc>
        <w:tc>
          <w:tcPr>
            <w:tcW w:w="1701" w:type="dxa"/>
            <w:tcBorders>
              <w:top w:val="nil"/>
              <w:left w:val="nil"/>
              <w:bottom w:val="single" w:sz="4" w:space="0" w:color="000000"/>
              <w:right w:val="single" w:sz="4" w:space="0" w:color="000000"/>
            </w:tcBorders>
            <w:shd w:val="clear" w:color="auto" w:fill="auto"/>
            <w:vAlign w:val="bottom"/>
            <w:hideMark/>
          </w:tcPr>
          <w:p w14:paraId="2FF42820" w14:textId="679166D5"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93,9 </w:t>
            </w:r>
          </w:p>
        </w:tc>
        <w:tc>
          <w:tcPr>
            <w:tcW w:w="1418" w:type="dxa"/>
            <w:tcBorders>
              <w:top w:val="nil"/>
              <w:left w:val="nil"/>
              <w:bottom w:val="single" w:sz="4" w:space="0" w:color="000000"/>
              <w:right w:val="double" w:sz="6" w:space="0" w:color="000000"/>
            </w:tcBorders>
            <w:shd w:val="clear" w:color="auto" w:fill="auto"/>
            <w:vAlign w:val="bottom"/>
            <w:hideMark/>
          </w:tcPr>
          <w:p w14:paraId="44B41603" w14:textId="6785E98B"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95,5 </w:t>
            </w:r>
          </w:p>
        </w:tc>
      </w:tr>
      <w:tr w:rsidR="00A53AD7" w:rsidRPr="00A53AD7" w14:paraId="77A20804"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378EA28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2017 год</w:t>
            </w:r>
          </w:p>
        </w:tc>
        <w:tc>
          <w:tcPr>
            <w:tcW w:w="1239" w:type="dxa"/>
            <w:tcBorders>
              <w:top w:val="nil"/>
              <w:left w:val="nil"/>
              <w:bottom w:val="single" w:sz="4" w:space="0" w:color="000000"/>
              <w:right w:val="single" w:sz="4" w:space="0" w:color="000000"/>
            </w:tcBorders>
            <w:shd w:val="clear" w:color="auto" w:fill="auto"/>
            <w:vAlign w:val="bottom"/>
            <w:hideMark/>
          </w:tcPr>
          <w:p w14:paraId="75FE077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11 700 </w:t>
            </w:r>
          </w:p>
        </w:tc>
        <w:tc>
          <w:tcPr>
            <w:tcW w:w="2178" w:type="dxa"/>
            <w:tcBorders>
              <w:top w:val="nil"/>
              <w:left w:val="nil"/>
              <w:bottom w:val="single" w:sz="4" w:space="0" w:color="000000"/>
              <w:right w:val="single" w:sz="4" w:space="0" w:color="000000"/>
            </w:tcBorders>
            <w:shd w:val="clear" w:color="auto" w:fill="auto"/>
            <w:vAlign w:val="bottom"/>
            <w:hideMark/>
          </w:tcPr>
          <w:p w14:paraId="2D70FB5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12 693 </w:t>
            </w:r>
          </w:p>
        </w:tc>
        <w:tc>
          <w:tcPr>
            <w:tcW w:w="1701" w:type="dxa"/>
            <w:tcBorders>
              <w:top w:val="nil"/>
              <w:left w:val="nil"/>
              <w:bottom w:val="single" w:sz="4" w:space="0" w:color="000000"/>
              <w:right w:val="single" w:sz="4" w:space="0" w:color="000000"/>
            </w:tcBorders>
            <w:shd w:val="clear" w:color="auto" w:fill="auto"/>
            <w:vAlign w:val="bottom"/>
            <w:hideMark/>
          </w:tcPr>
          <w:p w14:paraId="6267A29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9 734 </w:t>
            </w:r>
          </w:p>
        </w:tc>
        <w:tc>
          <w:tcPr>
            <w:tcW w:w="1418" w:type="dxa"/>
            <w:tcBorders>
              <w:top w:val="nil"/>
              <w:left w:val="nil"/>
              <w:bottom w:val="single" w:sz="4" w:space="0" w:color="000000"/>
              <w:right w:val="double" w:sz="6" w:space="0" w:color="000000"/>
            </w:tcBorders>
            <w:shd w:val="clear" w:color="auto" w:fill="auto"/>
            <w:vAlign w:val="bottom"/>
            <w:hideMark/>
          </w:tcPr>
          <w:p w14:paraId="3CD5F84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11 465 </w:t>
            </w:r>
          </w:p>
        </w:tc>
      </w:tr>
      <w:tr w:rsidR="00A53AD7" w:rsidRPr="00A53AD7" w14:paraId="76CB7512"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1E1A6DF4" w14:textId="77777777" w:rsidR="00892785" w:rsidRPr="00A53AD7" w:rsidRDefault="00892785" w:rsidP="00892785">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отношение 2017 к 2016, %</w:t>
            </w:r>
          </w:p>
        </w:tc>
        <w:tc>
          <w:tcPr>
            <w:tcW w:w="1239" w:type="dxa"/>
            <w:tcBorders>
              <w:top w:val="nil"/>
              <w:left w:val="nil"/>
              <w:bottom w:val="single" w:sz="4" w:space="0" w:color="000000"/>
              <w:right w:val="single" w:sz="4" w:space="0" w:color="000000"/>
            </w:tcBorders>
            <w:shd w:val="clear" w:color="auto" w:fill="auto"/>
            <w:vAlign w:val="bottom"/>
            <w:hideMark/>
          </w:tcPr>
          <w:p w14:paraId="76F8DDB6" w14:textId="03C97044"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95,8</w:t>
            </w:r>
          </w:p>
        </w:tc>
        <w:tc>
          <w:tcPr>
            <w:tcW w:w="2178" w:type="dxa"/>
            <w:tcBorders>
              <w:top w:val="nil"/>
              <w:left w:val="nil"/>
              <w:bottom w:val="single" w:sz="4" w:space="0" w:color="000000"/>
              <w:right w:val="single" w:sz="4" w:space="0" w:color="000000"/>
            </w:tcBorders>
            <w:shd w:val="clear" w:color="auto" w:fill="auto"/>
            <w:vAlign w:val="bottom"/>
            <w:hideMark/>
          </w:tcPr>
          <w:p w14:paraId="445E9889" w14:textId="5FECD64E"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96,4 </w:t>
            </w:r>
          </w:p>
        </w:tc>
        <w:tc>
          <w:tcPr>
            <w:tcW w:w="1701" w:type="dxa"/>
            <w:tcBorders>
              <w:top w:val="nil"/>
              <w:left w:val="nil"/>
              <w:bottom w:val="single" w:sz="4" w:space="0" w:color="000000"/>
              <w:right w:val="single" w:sz="4" w:space="0" w:color="000000"/>
            </w:tcBorders>
            <w:shd w:val="clear" w:color="auto" w:fill="auto"/>
            <w:vAlign w:val="bottom"/>
            <w:hideMark/>
          </w:tcPr>
          <w:p w14:paraId="7C0E9EB3" w14:textId="7131610E"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95,7 </w:t>
            </w:r>
          </w:p>
        </w:tc>
        <w:tc>
          <w:tcPr>
            <w:tcW w:w="1418" w:type="dxa"/>
            <w:tcBorders>
              <w:top w:val="nil"/>
              <w:left w:val="nil"/>
              <w:bottom w:val="single" w:sz="4" w:space="0" w:color="000000"/>
              <w:right w:val="double" w:sz="6" w:space="0" w:color="000000"/>
            </w:tcBorders>
            <w:shd w:val="clear" w:color="auto" w:fill="auto"/>
            <w:vAlign w:val="bottom"/>
            <w:hideMark/>
          </w:tcPr>
          <w:p w14:paraId="57EB3E8C" w14:textId="5CD7F2CE" w:rsidR="00892785" w:rsidRPr="00A53AD7" w:rsidRDefault="00892785" w:rsidP="0089278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96,7 </w:t>
            </w:r>
          </w:p>
        </w:tc>
      </w:tr>
      <w:tr w:rsidR="00A53AD7" w:rsidRPr="00A53AD7" w14:paraId="0F75890A"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7657292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2018 год</w:t>
            </w:r>
          </w:p>
        </w:tc>
        <w:tc>
          <w:tcPr>
            <w:tcW w:w="1239" w:type="dxa"/>
            <w:tcBorders>
              <w:top w:val="nil"/>
              <w:left w:val="nil"/>
              <w:bottom w:val="single" w:sz="4" w:space="0" w:color="000000"/>
              <w:right w:val="single" w:sz="4" w:space="0" w:color="000000"/>
            </w:tcBorders>
            <w:shd w:val="clear" w:color="auto" w:fill="auto"/>
            <w:vAlign w:val="bottom"/>
            <w:hideMark/>
          </w:tcPr>
          <w:p w14:paraId="08D3841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11 857 </w:t>
            </w:r>
          </w:p>
        </w:tc>
        <w:tc>
          <w:tcPr>
            <w:tcW w:w="2178" w:type="dxa"/>
            <w:tcBorders>
              <w:top w:val="nil"/>
              <w:left w:val="nil"/>
              <w:bottom w:val="single" w:sz="4" w:space="0" w:color="000000"/>
              <w:right w:val="single" w:sz="4" w:space="0" w:color="000000"/>
            </w:tcBorders>
            <w:shd w:val="clear" w:color="auto" w:fill="auto"/>
            <w:vAlign w:val="bottom"/>
            <w:hideMark/>
          </w:tcPr>
          <w:p w14:paraId="357EE04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12 886 </w:t>
            </w:r>
          </w:p>
        </w:tc>
        <w:tc>
          <w:tcPr>
            <w:tcW w:w="1701" w:type="dxa"/>
            <w:tcBorders>
              <w:top w:val="nil"/>
              <w:left w:val="nil"/>
              <w:bottom w:val="single" w:sz="4" w:space="0" w:color="000000"/>
              <w:right w:val="single" w:sz="4" w:space="0" w:color="000000"/>
            </w:tcBorders>
            <w:shd w:val="clear" w:color="auto" w:fill="auto"/>
            <w:vAlign w:val="bottom"/>
            <w:hideMark/>
          </w:tcPr>
          <w:p w14:paraId="5F6F355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9 872 </w:t>
            </w:r>
          </w:p>
        </w:tc>
        <w:tc>
          <w:tcPr>
            <w:tcW w:w="1418" w:type="dxa"/>
            <w:tcBorders>
              <w:top w:val="nil"/>
              <w:left w:val="nil"/>
              <w:bottom w:val="single" w:sz="4" w:space="0" w:color="000000"/>
              <w:right w:val="double" w:sz="6" w:space="0" w:color="000000"/>
            </w:tcBorders>
            <w:shd w:val="clear" w:color="auto" w:fill="auto"/>
            <w:vAlign w:val="bottom"/>
            <w:hideMark/>
          </w:tcPr>
          <w:p w14:paraId="485F6A1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11 650 </w:t>
            </w:r>
          </w:p>
        </w:tc>
      </w:tr>
      <w:tr w:rsidR="00A53AD7" w:rsidRPr="00A53AD7" w14:paraId="1A05FC91"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2B16FD35"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отношение 2018 к 2017, %</w:t>
            </w:r>
          </w:p>
        </w:tc>
        <w:tc>
          <w:tcPr>
            <w:tcW w:w="1239" w:type="dxa"/>
            <w:tcBorders>
              <w:top w:val="nil"/>
              <w:left w:val="nil"/>
              <w:bottom w:val="single" w:sz="4" w:space="0" w:color="000000"/>
              <w:right w:val="single" w:sz="4" w:space="0" w:color="000000"/>
            </w:tcBorders>
            <w:shd w:val="clear" w:color="auto" w:fill="auto"/>
            <w:vAlign w:val="bottom"/>
            <w:hideMark/>
          </w:tcPr>
          <w:p w14:paraId="2BFC930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101,3 </w:t>
            </w:r>
          </w:p>
        </w:tc>
        <w:tc>
          <w:tcPr>
            <w:tcW w:w="2178" w:type="dxa"/>
            <w:tcBorders>
              <w:top w:val="nil"/>
              <w:left w:val="nil"/>
              <w:bottom w:val="single" w:sz="4" w:space="0" w:color="000000"/>
              <w:right w:val="single" w:sz="4" w:space="0" w:color="000000"/>
            </w:tcBorders>
            <w:shd w:val="clear" w:color="auto" w:fill="auto"/>
            <w:vAlign w:val="bottom"/>
            <w:hideMark/>
          </w:tcPr>
          <w:p w14:paraId="13A2276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101,5 </w:t>
            </w:r>
          </w:p>
        </w:tc>
        <w:tc>
          <w:tcPr>
            <w:tcW w:w="1701" w:type="dxa"/>
            <w:tcBorders>
              <w:top w:val="nil"/>
              <w:left w:val="nil"/>
              <w:bottom w:val="single" w:sz="4" w:space="0" w:color="000000"/>
              <w:right w:val="single" w:sz="4" w:space="0" w:color="000000"/>
            </w:tcBorders>
            <w:shd w:val="clear" w:color="auto" w:fill="auto"/>
            <w:vAlign w:val="bottom"/>
            <w:hideMark/>
          </w:tcPr>
          <w:p w14:paraId="4ECF41E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101,4 </w:t>
            </w:r>
          </w:p>
        </w:tc>
        <w:tc>
          <w:tcPr>
            <w:tcW w:w="1418" w:type="dxa"/>
            <w:tcBorders>
              <w:top w:val="nil"/>
              <w:left w:val="nil"/>
              <w:bottom w:val="single" w:sz="4" w:space="0" w:color="000000"/>
              <w:right w:val="double" w:sz="6" w:space="0" w:color="000000"/>
            </w:tcBorders>
            <w:shd w:val="clear" w:color="auto" w:fill="auto"/>
            <w:vAlign w:val="bottom"/>
            <w:hideMark/>
          </w:tcPr>
          <w:p w14:paraId="002156A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101,6 </w:t>
            </w:r>
          </w:p>
        </w:tc>
      </w:tr>
      <w:tr w:rsidR="00A53AD7" w:rsidRPr="00A53AD7" w14:paraId="1E66BC20" w14:textId="77777777" w:rsidTr="00B97796">
        <w:trPr>
          <w:trHeight w:hRule="exact" w:val="255"/>
        </w:trPr>
        <w:tc>
          <w:tcPr>
            <w:tcW w:w="2820" w:type="dxa"/>
            <w:tcBorders>
              <w:top w:val="nil"/>
              <w:left w:val="double" w:sz="6" w:space="0" w:color="000000"/>
              <w:bottom w:val="single" w:sz="4" w:space="0" w:color="000000"/>
              <w:right w:val="single" w:sz="4" w:space="0" w:color="000000"/>
            </w:tcBorders>
            <w:shd w:val="clear" w:color="auto" w:fill="auto"/>
            <w:vAlign w:val="bottom"/>
            <w:hideMark/>
          </w:tcPr>
          <w:p w14:paraId="72B70D7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2019 год</w:t>
            </w:r>
          </w:p>
        </w:tc>
        <w:tc>
          <w:tcPr>
            <w:tcW w:w="1239" w:type="dxa"/>
            <w:tcBorders>
              <w:top w:val="nil"/>
              <w:left w:val="nil"/>
              <w:bottom w:val="single" w:sz="4" w:space="0" w:color="000000"/>
              <w:right w:val="single" w:sz="4" w:space="0" w:color="000000"/>
            </w:tcBorders>
            <w:shd w:val="clear" w:color="auto" w:fill="auto"/>
            <w:vAlign w:val="bottom"/>
            <w:hideMark/>
          </w:tcPr>
          <w:p w14:paraId="738D28D7"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12 707 </w:t>
            </w:r>
          </w:p>
        </w:tc>
        <w:tc>
          <w:tcPr>
            <w:tcW w:w="2178" w:type="dxa"/>
            <w:tcBorders>
              <w:top w:val="nil"/>
              <w:left w:val="nil"/>
              <w:bottom w:val="single" w:sz="4" w:space="0" w:color="000000"/>
              <w:right w:val="single" w:sz="4" w:space="0" w:color="000000"/>
            </w:tcBorders>
            <w:shd w:val="clear" w:color="auto" w:fill="auto"/>
            <w:vAlign w:val="bottom"/>
            <w:hideMark/>
          </w:tcPr>
          <w:p w14:paraId="0964A796"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13 858 </w:t>
            </w:r>
          </w:p>
        </w:tc>
        <w:tc>
          <w:tcPr>
            <w:tcW w:w="1701" w:type="dxa"/>
            <w:tcBorders>
              <w:top w:val="nil"/>
              <w:left w:val="nil"/>
              <w:bottom w:val="single" w:sz="4" w:space="0" w:color="000000"/>
              <w:right w:val="single" w:sz="4" w:space="0" w:color="000000"/>
            </w:tcBorders>
            <w:shd w:val="clear" w:color="auto" w:fill="auto"/>
            <w:vAlign w:val="bottom"/>
            <w:hideMark/>
          </w:tcPr>
          <w:p w14:paraId="757DD31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10 596 </w:t>
            </w:r>
          </w:p>
        </w:tc>
        <w:tc>
          <w:tcPr>
            <w:tcW w:w="1418" w:type="dxa"/>
            <w:tcBorders>
              <w:top w:val="nil"/>
              <w:left w:val="nil"/>
              <w:bottom w:val="single" w:sz="4" w:space="0" w:color="000000"/>
              <w:right w:val="double" w:sz="6" w:space="0" w:color="000000"/>
            </w:tcBorders>
            <w:shd w:val="clear" w:color="auto" w:fill="auto"/>
            <w:vAlign w:val="bottom"/>
            <w:hideMark/>
          </w:tcPr>
          <w:p w14:paraId="77193DD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12 426 </w:t>
            </w:r>
          </w:p>
        </w:tc>
      </w:tr>
      <w:tr w:rsidR="00A53AD7" w:rsidRPr="00A53AD7" w14:paraId="5391B711" w14:textId="77777777" w:rsidTr="00B97796">
        <w:trPr>
          <w:trHeight w:hRule="exact" w:val="255"/>
        </w:trPr>
        <w:tc>
          <w:tcPr>
            <w:tcW w:w="2820" w:type="dxa"/>
            <w:tcBorders>
              <w:top w:val="nil"/>
              <w:left w:val="double" w:sz="6" w:space="0" w:color="000000"/>
              <w:bottom w:val="double" w:sz="6" w:space="0" w:color="000000"/>
              <w:right w:val="single" w:sz="4" w:space="0" w:color="000000"/>
            </w:tcBorders>
            <w:shd w:val="clear" w:color="auto" w:fill="auto"/>
            <w:vAlign w:val="bottom"/>
            <w:hideMark/>
          </w:tcPr>
          <w:p w14:paraId="664BC8B3"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lastRenderedPageBreak/>
              <w:t>отношение 2019 к 2018, %</w:t>
            </w:r>
          </w:p>
        </w:tc>
        <w:tc>
          <w:tcPr>
            <w:tcW w:w="1239" w:type="dxa"/>
            <w:tcBorders>
              <w:top w:val="nil"/>
              <w:left w:val="nil"/>
              <w:bottom w:val="double" w:sz="6" w:space="0" w:color="000000"/>
              <w:right w:val="single" w:sz="4" w:space="0" w:color="000000"/>
            </w:tcBorders>
            <w:shd w:val="clear" w:color="auto" w:fill="auto"/>
            <w:vAlign w:val="bottom"/>
            <w:hideMark/>
          </w:tcPr>
          <w:p w14:paraId="045F7A4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107,2 </w:t>
            </w:r>
          </w:p>
        </w:tc>
        <w:tc>
          <w:tcPr>
            <w:tcW w:w="2178" w:type="dxa"/>
            <w:tcBorders>
              <w:top w:val="nil"/>
              <w:left w:val="nil"/>
              <w:bottom w:val="double" w:sz="6" w:space="0" w:color="000000"/>
              <w:right w:val="single" w:sz="4" w:space="0" w:color="000000"/>
            </w:tcBorders>
            <w:shd w:val="clear" w:color="auto" w:fill="auto"/>
            <w:vAlign w:val="bottom"/>
            <w:hideMark/>
          </w:tcPr>
          <w:p w14:paraId="5DE1F9C9"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107,5 </w:t>
            </w:r>
          </w:p>
        </w:tc>
        <w:tc>
          <w:tcPr>
            <w:tcW w:w="1701" w:type="dxa"/>
            <w:tcBorders>
              <w:top w:val="nil"/>
              <w:left w:val="nil"/>
              <w:bottom w:val="double" w:sz="6" w:space="0" w:color="000000"/>
              <w:right w:val="single" w:sz="4" w:space="0" w:color="000000"/>
            </w:tcBorders>
            <w:shd w:val="clear" w:color="auto" w:fill="auto"/>
            <w:vAlign w:val="bottom"/>
            <w:hideMark/>
          </w:tcPr>
          <w:p w14:paraId="41387C9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107,3 </w:t>
            </w:r>
          </w:p>
        </w:tc>
        <w:tc>
          <w:tcPr>
            <w:tcW w:w="1418" w:type="dxa"/>
            <w:tcBorders>
              <w:top w:val="nil"/>
              <w:left w:val="nil"/>
              <w:bottom w:val="double" w:sz="6" w:space="0" w:color="000000"/>
              <w:right w:val="double" w:sz="6" w:space="0" w:color="000000"/>
            </w:tcBorders>
            <w:shd w:val="clear" w:color="auto" w:fill="auto"/>
            <w:vAlign w:val="bottom"/>
            <w:hideMark/>
          </w:tcPr>
          <w:p w14:paraId="2F11A91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106,7 </w:t>
            </w:r>
          </w:p>
        </w:tc>
      </w:tr>
    </w:tbl>
    <w:p w14:paraId="117A6FA8" w14:textId="77777777" w:rsidR="00B97796" w:rsidRPr="00A53AD7" w:rsidRDefault="00B97796" w:rsidP="003B5BDA">
      <w:pPr>
        <w:pStyle w:val="ad"/>
        <w:ind w:firstLine="851"/>
        <w:jc w:val="both"/>
        <w:rPr>
          <w:rFonts w:ascii="Times New Roman" w:hAnsi="Times New Roman"/>
          <w:sz w:val="28"/>
          <w:szCs w:val="28"/>
        </w:rPr>
      </w:pPr>
    </w:p>
    <w:p w14:paraId="1735B95E" w14:textId="77777777" w:rsidR="00821626" w:rsidRPr="00A53AD7" w:rsidRDefault="00821626" w:rsidP="00821626">
      <w:pPr>
        <w:pStyle w:val="ad"/>
        <w:ind w:firstLine="851"/>
        <w:jc w:val="both"/>
        <w:rPr>
          <w:rFonts w:ascii="Times New Roman" w:hAnsi="Times New Roman"/>
          <w:sz w:val="28"/>
          <w:szCs w:val="28"/>
        </w:rPr>
      </w:pPr>
      <w:r w:rsidRPr="00A53AD7">
        <w:rPr>
          <w:rFonts w:ascii="Times New Roman" w:hAnsi="Times New Roman"/>
          <w:sz w:val="28"/>
          <w:szCs w:val="28"/>
        </w:rPr>
        <w:t>Величина прожиточного минимума в Архангельской области в 2019 году в абсолютном выражении меньше соответствующих величин 2015 года, как в целом, так и по всем социально-демографическим группам, а в отношении остальных наблюдаемых периодов превышает соответствующие величины. Величина прожиточного минимума в Архангельской области в отчетном периоде превышает аналогичные показатели 2018 года, как в целом на 7,2 %, так и по всем социально-демографическим группам: трудоспособное население на 7,5%, пенсионеры на 7,3 %, дети на 6,7 процентов.</w:t>
      </w:r>
    </w:p>
    <w:p w14:paraId="76DF3EFF"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i/>
          <w:sz w:val="28"/>
          <w:szCs w:val="28"/>
        </w:rPr>
        <w:t>Для справки</w:t>
      </w:r>
      <w:r w:rsidRPr="00A53AD7">
        <w:rPr>
          <w:rFonts w:ascii="Times New Roman" w:hAnsi="Times New Roman"/>
          <w:sz w:val="28"/>
          <w:szCs w:val="28"/>
        </w:rPr>
        <w:t>: величина прожиточного минимума определяется на основании потребительской корзины и данных Росстата об уровне потребительских цен на продукты питания, непродовольственные товары и услуги и используется для определения социальной доплаты к пенсии, выплаты детского пособия и пособия малоимущим, при расчете субсидии на оплату услуг ЖКХ. Величина прожиточного минимума ежеквартально утверждается Правительством Архангельской области.</w:t>
      </w:r>
    </w:p>
    <w:p w14:paraId="6D80B63E" w14:textId="77777777" w:rsidR="003B5BDA" w:rsidRPr="00A53AD7" w:rsidRDefault="003B5BDA" w:rsidP="003B5BDA">
      <w:pPr>
        <w:pStyle w:val="ad"/>
        <w:ind w:firstLine="851"/>
        <w:jc w:val="both"/>
        <w:rPr>
          <w:rFonts w:ascii="Times New Roman" w:hAnsi="Times New Roman"/>
          <w:sz w:val="28"/>
          <w:szCs w:val="28"/>
          <w:highlight w:val="cyan"/>
        </w:rPr>
      </w:pPr>
    </w:p>
    <w:p w14:paraId="7DDC613B" w14:textId="2F6EBE16"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таблице </w:t>
      </w:r>
      <w:r w:rsidR="00D16ED5" w:rsidRPr="00A53AD7">
        <w:rPr>
          <w:rFonts w:ascii="Times New Roman" w:hAnsi="Times New Roman"/>
          <w:sz w:val="28"/>
          <w:szCs w:val="28"/>
        </w:rPr>
        <w:t>15</w:t>
      </w:r>
      <w:r w:rsidRPr="00A53AD7">
        <w:rPr>
          <w:rFonts w:ascii="Times New Roman" w:hAnsi="Times New Roman"/>
          <w:sz w:val="28"/>
          <w:szCs w:val="28"/>
        </w:rPr>
        <w:t xml:space="preserve"> представлены отдельные показатели, характеризующие уровень жизни населения Архангельской области в 2014 – 2019 годах.</w:t>
      </w:r>
    </w:p>
    <w:p w14:paraId="0A8B0641" w14:textId="77777777" w:rsidR="003B5BDA" w:rsidRPr="00A53AD7" w:rsidRDefault="003B5BDA" w:rsidP="003B5BDA">
      <w:pPr>
        <w:pStyle w:val="ad"/>
        <w:ind w:firstLine="851"/>
        <w:jc w:val="both"/>
        <w:rPr>
          <w:rFonts w:ascii="Times New Roman" w:hAnsi="Times New Roman"/>
          <w:highlight w:val="cyan"/>
        </w:rPr>
      </w:pPr>
    </w:p>
    <w:p w14:paraId="127B9BCC" w14:textId="7AA28C26" w:rsidR="003B5BDA" w:rsidRPr="00A53AD7" w:rsidRDefault="00A93357" w:rsidP="00D16ED5">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15</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Индексы темпов роста отдельных показателей, характеризующих уровень жизни населения в Архангельской области, %</w:t>
      </w:r>
    </w:p>
    <w:tbl>
      <w:tblPr>
        <w:tblW w:w="9333" w:type="dxa"/>
        <w:tblLayout w:type="fixed"/>
        <w:tblLook w:val="04A0" w:firstRow="1" w:lastRow="0" w:firstColumn="1" w:lastColumn="0" w:noHBand="0" w:noVBand="1"/>
      </w:tblPr>
      <w:tblGrid>
        <w:gridCol w:w="2529"/>
        <w:gridCol w:w="886"/>
        <w:gridCol w:w="887"/>
        <w:gridCol w:w="887"/>
        <w:gridCol w:w="960"/>
        <w:gridCol w:w="887"/>
        <w:gridCol w:w="1011"/>
        <w:gridCol w:w="1286"/>
      </w:tblGrid>
      <w:tr w:rsidR="00A53AD7" w:rsidRPr="00A53AD7" w14:paraId="749D74B7" w14:textId="77777777" w:rsidTr="00D16ED5">
        <w:trPr>
          <w:trHeight w:val="757"/>
          <w:tblHeader/>
        </w:trPr>
        <w:tc>
          <w:tcPr>
            <w:tcW w:w="252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B148CB8"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Отдельные показатели</w:t>
            </w:r>
          </w:p>
        </w:tc>
        <w:tc>
          <w:tcPr>
            <w:tcW w:w="886" w:type="dxa"/>
            <w:tcBorders>
              <w:top w:val="double" w:sz="6" w:space="0" w:color="auto"/>
              <w:left w:val="nil"/>
              <w:bottom w:val="single" w:sz="4" w:space="0" w:color="auto"/>
              <w:right w:val="single" w:sz="4" w:space="0" w:color="auto"/>
            </w:tcBorders>
            <w:shd w:val="clear" w:color="auto" w:fill="auto"/>
            <w:vAlign w:val="center"/>
            <w:hideMark/>
          </w:tcPr>
          <w:p w14:paraId="4E673DBE" w14:textId="77777777" w:rsidR="003B5BDA" w:rsidRPr="00A53AD7" w:rsidRDefault="003B5BDA" w:rsidP="003B5BDA">
            <w:pPr>
              <w:widowControl w:val="0"/>
              <w:spacing w:after="0" w:line="240" w:lineRule="auto"/>
              <w:jc w:val="center"/>
              <w:rPr>
                <w:rFonts w:ascii="Times New Roman" w:hAnsi="Times New Roman"/>
              </w:rPr>
            </w:pPr>
            <w:r w:rsidRPr="00A53AD7">
              <w:rPr>
                <w:rFonts w:ascii="Times New Roman" w:hAnsi="Times New Roman"/>
              </w:rPr>
              <w:t>2014 год</w:t>
            </w:r>
          </w:p>
          <w:p w14:paraId="69B88620"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(отчет)</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66FE6D3D" w14:textId="77777777" w:rsidR="003B5BDA" w:rsidRPr="00A53AD7" w:rsidRDefault="003B5BDA" w:rsidP="003B5BDA">
            <w:pPr>
              <w:widowControl w:val="0"/>
              <w:spacing w:after="0" w:line="240" w:lineRule="auto"/>
              <w:jc w:val="center"/>
              <w:rPr>
                <w:rFonts w:ascii="Times New Roman" w:hAnsi="Times New Roman"/>
              </w:rPr>
            </w:pPr>
            <w:r w:rsidRPr="00A53AD7">
              <w:rPr>
                <w:rFonts w:ascii="Times New Roman" w:hAnsi="Times New Roman"/>
              </w:rPr>
              <w:t>2015 год</w:t>
            </w:r>
          </w:p>
          <w:p w14:paraId="49B1A16A"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(отчет)</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3E8A3AB2" w14:textId="77777777" w:rsidR="003B5BDA" w:rsidRPr="00A53AD7" w:rsidRDefault="003B5BDA" w:rsidP="003B5BDA">
            <w:pPr>
              <w:widowControl w:val="0"/>
              <w:spacing w:after="0" w:line="240" w:lineRule="auto"/>
              <w:jc w:val="center"/>
              <w:rPr>
                <w:rFonts w:ascii="Times New Roman" w:hAnsi="Times New Roman"/>
              </w:rPr>
            </w:pPr>
            <w:r w:rsidRPr="00A53AD7">
              <w:rPr>
                <w:rFonts w:ascii="Times New Roman" w:hAnsi="Times New Roman"/>
              </w:rPr>
              <w:t>2016 год</w:t>
            </w:r>
          </w:p>
          <w:p w14:paraId="57FA9AAD"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(отчет)</w:t>
            </w:r>
          </w:p>
        </w:tc>
        <w:tc>
          <w:tcPr>
            <w:tcW w:w="960" w:type="dxa"/>
            <w:tcBorders>
              <w:top w:val="double" w:sz="6" w:space="0" w:color="auto"/>
              <w:left w:val="nil"/>
              <w:bottom w:val="single" w:sz="4" w:space="0" w:color="auto"/>
              <w:right w:val="single" w:sz="4" w:space="0" w:color="auto"/>
            </w:tcBorders>
            <w:shd w:val="clear" w:color="auto" w:fill="auto"/>
            <w:noWrap/>
            <w:vAlign w:val="center"/>
            <w:hideMark/>
          </w:tcPr>
          <w:p w14:paraId="440CBAC9"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2017 год (отчет)</w:t>
            </w:r>
          </w:p>
        </w:tc>
        <w:tc>
          <w:tcPr>
            <w:tcW w:w="887" w:type="dxa"/>
            <w:tcBorders>
              <w:top w:val="double" w:sz="6" w:space="0" w:color="auto"/>
              <w:left w:val="nil"/>
              <w:bottom w:val="single" w:sz="4" w:space="0" w:color="auto"/>
              <w:right w:val="single" w:sz="4" w:space="0" w:color="auto"/>
            </w:tcBorders>
            <w:shd w:val="clear" w:color="auto" w:fill="auto"/>
            <w:vAlign w:val="center"/>
            <w:hideMark/>
          </w:tcPr>
          <w:p w14:paraId="376685FD"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2018 год (отчет)</w:t>
            </w:r>
          </w:p>
        </w:tc>
        <w:tc>
          <w:tcPr>
            <w:tcW w:w="1011" w:type="dxa"/>
            <w:tcBorders>
              <w:top w:val="double" w:sz="6" w:space="0" w:color="auto"/>
              <w:left w:val="nil"/>
              <w:bottom w:val="single" w:sz="4" w:space="0" w:color="auto"/>
              <w:right w:val="single" w:sz="4" w:space="0" w:color="auto"/>
            </w:tcBorders>
            <w:shd w:val="clear" w:color="auto" w:fill="auto"/>
            <w:vAlign w:val="center"/>
            <w:hideMark/>
          </w:tcPr>
          <w:p w14:paraId="732F13FF"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2019 год (оценка)</w:t>
            </w:r>
          </w:p>
        </w:tc>
        <w:tc>
          <w:tcPr>
            <w:tcW w:w="1286" w:type="dxa"/>
            <w:tcBorders>
              <w:top w:val="double" w:sz="6" w:space="0" w:color="auto"/>
              <w:left w:val="nil"/>
              <w:bottom w:val="single" w:sz="4" w:space="0" w:color="auto"/>
              <w:right w:val="double" w:sz="6" w:space="0" w:color="auto"/>
            </w:tcBorders>
            <w:shd w:val="clear" w:color="auto" w:fill="auto"/>
            <w:vAlign w:val="center"/>
            <w:hideMark/>
          </w:tcPr>
          <w:p w14:paraId="701F1CB6" w14:textId="77777777" w:rsidR="003B5BDA" w:rsidRPr="00A53AD7" w:rsidRDefault="003B5BDA" w:rsidP="003B5BDA">
            <w:pPr>
              <w:spacing w:after="0" w:line="240" w:lineRule="auto"/>
              <w:jc w:val="center"/>
              <w:rPr>
                <w:rFonts w:ascii="Times New Roman" w:eastAsia="Times New Roman" w:hAnsi="Times New Roman"/>
                <w:lang w:eastAsia="ru-RU"/>
              </w:rPr>
            </w:pPr>
            <w:r w:rsidRPr="00A53AD7">
              <w:rPr>
                <w:rFonts w:ascii="Times New Roman" w:hAnsi="Times New Roman"/>
              </w:rPr>
              <w:t xml:space="preserve">2019 год </w:t>
            </w:r>
            <w:r w:rsidRPr="00A53AD7">
              <w:rPr>
                <w:rFonts w:ascii="Times New Roman" w:eastAsia="Times New Roman" w:hAnsi="Times New Roman"/>
                <w:lang w:eastAsia="ru-RU"/>
              </w:rPr>
              <w:t>(предварительный отчет)</w:t>
            </w:r>
          </w:p>
        </w:tc>
      </w:tr>
      <w:tr w:rsidR="00A53AD7" w:rsidRPr="00A53AD7" w14:paraId="79CE75E0" w14:textId="77777777" w:rsidTr="0027101B">
        <w:trPr>
          <w:trHeight w:val="600"/>
        </w:trPr>
        <w:tc>
          <w:tcPr>
            <w:tcW w:w="2529" w:type="dxa"/>
            <w:tcBorders>
              <w:top w:val="nil"/>
              <w:left w:val="double" w:sz="6" w:space="0" w:color="auto"/>
              <w:bottom w:val="single" w:sz="4" w:space="0" w:color="auto"/>
              <w:right w:val="single" w:sz="4" w:space="0" w:color="auto"/>
            </w:tcBorders>
            <w:shd w:val="clear" w:color="auto" w:fill="auto"/>
            <w:vAlign w:val="bottom"/>
          </w:tcPr>
          <w:p w14:paraId="32A1E296" w14:textId="0DE5C8E5" w:rsidR="000B2D03" w:rsidRPr="00A53AD7" w:rsidRDefault="000B2D03" w:rsidP="000B2D0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Реальная начисленная заработная плата, % к пред. году</w:t>
            </w:r>
          </w:p>
        </w:tc>
        <w:tc>
          <w:tcPr>
            <w:tcW w:w="886" w:type="dxa"/>
            <w:tcBorders>
              <w:top w:val="nil"/>
              <w:left w:val="nil"/>
              <w:bottom w:val="single" w:sz="4" w:space="0" w:color="auto"/>
              <w:right w:val="single" w:sz="4" w:space="0" w:color="auto"/>
            </w:tcBorders>
            <w:shd w:val="clear" w:color="auto" w:fill="auto"/>
            <w:vAlign w:val="bottom"/>
          </w:tcPr>
          <w:p w14:paraId="077E6D5C" w14:textId="4358A5EC"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101,0</w:t>
            </w:r>
          </w:p>
        </w:tc>
        <w:tc>
          <w:tcPr>
            <w:tcW w:w="887" w:type="dxa"/>
            <w:tcBorders>
              <w:top w:val="nil"/>
              <w:left w:val="nil"/>
              <w:bottom w:val="single" w:sz="4" w:space="0" w:color="auto"/>
              <w:right w:val="single" w:sz="4" w:space="0" w:color="auto"/>
            </w:tcBorders>
            <w:shd w:val="clear" w:color="auto" w:fill="auto"/>
            <w:vAlign w:val="bottom"/>
          </w:tcPr>
          <w:p w14:paraId="1836263C" w14:textId="3AE2396F"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92,4</w:t>
            </w:r>
          </w:p>
        </w:tc>
        <w:tc>
          <w:tcPr>
            <w:tcW w:w="887" w:type="dxa"/>
            <w:tcBorders>
              <w:top w:val="nil"/>
              <w:left w:val="nil"/>
              <w:bottom w:val="single" w:sz="4" w:space="0" w:color="auto"/>
              <w:right w:val="single" w:sz="4" w:space="0" w:color="auto"/>
            </w:tcBorders>
            <w:shd w:val="clear" w:color="auto" w:fill="auto"/>
            <w:vAlign w:val="bottom"/>
          </w:tcPr>
          <w:p w14:paraId="70658E08" w14:textId="13C223FB"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100,0</w:t>
            </w:r>
          </w:p>
        </w:tc>
        <w:tc>
          <w:tcPr>
            <w:tcW w:w="960" w:type="dxa"/>
            <w:tcBorders>
              <w:top w:val="nil"/>
              <w:left w:val="nil"/>
              <w:bottom w:val="single" w:sz="4" w:space="0" w:color="auto"/>
              <w:right w:val="single" w:sz="4" w:space="0" w:color="auto"/>
            </w:tcBorders>
            <w:shd w:val="clear" w:color="auto" w:fill="auto"/>
            <w:vAlign w:val="bottom"/>
          </w:tcPr>
          <w:p w14:paraId="0306B8A1" w14:textId="19EB00B2"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102,5</w:t>
            </w:r>
          </w:p>
        </w:tc>
        <w:tc>
          <w:tcPr>
            <w:tcW w:w="887" w:type="dxa"/>
            <w:tcBorders>
              <w:top w:val="nil"/>
              <w:left w:val="nil"/>
              <w:bottom w:val="single" w:sz="4" w:space="0" w:color="auto"/>
              <w:right w:val="single" w:sz="4" w:space="0" w:color="auto"/>
            </w:tcBorders>
            <w:shd w:val="clear" w:color="auto" w:fill="auto"/>
            <w:vAlign w:val="bottom"/>
          </w:tcPr>
          <w:p w14:paraId="33E5A55F" w14:textId="67865C17"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110,7</w:t>
            </w:r>
          </w:p>
        </w:tc>
        <w:tc>
          <w:tcPr>
            <w:tcW w:w="1011" w:type="dxa"/>
            <w:tcBorders>
              <w:top w:val="nil"/>
              <w:left w:val="nil"/>
              <w:bottom w:val="single" w:sz="4" w:space="0" w:color="auto"/>
              <w:right w:val="single" w:sz="4" w:space="0" w:color="auto"/>
            </w:tcBorders>
            <w:shd w:val="clear" w:color="auto" w:fill="auto"/>
            <w:vAlign w:val="bottom"/>
          </w:tcPr>
          <w:p w14:paraId="0C05FFCA" w14:textId="2887DDBC"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нет данных</w:t>
            </w:r>
          </w:p>
        </w:tc>
        <w:tc>
          <w:tcPr>
            <w:tcW w:w="1286" w:type="dxa"/>
            <w:tcBorders>
              <w:top w:val="nil"/>
              <w:left w:val="nil"/>
              <w:bottom w:val="single" w:sz="4" w:space="0" w:color="auto"/>
              <w:right w:val="double" w:sz="6" w:space="0" w:color="auto"/>
            </w:tcBorders>
            <w:shd w:val="clear" w:color="auto" w:fill="auto"/>
            <w:vAlign w:val="bottom"/>
          </w:tcPr>
          <w:p w14:paraId="5D329D6E" w14:textId="7F52470A"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hAnsi="Times New Roman"/>
              </w:rPr>
              <w:t>102,5</w:t>
            </w:r>
          </w:p>
        </w:tc>
      </w:tr>
      <w:tr w:rsidR="00A53AD7" w:rsidRPr="00A53AD7" w14:paraId="302DDEB1" w14:textId="77777777" w:rsidTr="000B2D03">
        <w:trPr>
          <w:trHeight w:val="152"/>
        </w:trPr>
        <w:tc>
          <w:tcPr>
            <w:tcW w:w="2529" w:type="dxa"/>
            <w:tcBorders>
              <w:top w:val="nil"/>
              <w:left w:val="double" w:sz="6" w:space="0" w:color="auto"/>
              <w:bottom w:val="single" w:sz="4" w:space="0" w:color="auto"/>
              <w:right w:val="single" w:sz="4" w:space="0" w:color="auto"/>
            </w:tcBorders>
            <w:shd w:val="clear" w:color="auto" w:fill="auto"/>
            <w:vAlign w:val="bottom"/>
          </w:tcPr>
          <w:p w14:paraId="6263C84C" w14:textId="127C515B" w:rsidR="000B2D03" w:rsidRPr="00A53AD7" w:rsidRDefault="000B2D03" w:rsidP="000B2D03">
            <w:pPr>
              <w:spacing w:after="0" w:line="240" w:lineRule="auto"/>
              <w:rPr>
                <w:rFonts w:ascii="Times New Roman" w:eastAsia="Times New Roman" w:hAnsi="Times New Roman"/>
                <w:lang w:eastAsia="ru-RU"/>
              </w:rPr>
            </w:pPr>
            <w:r w:rsidRPr="00A53AD7">
              <w:rPr>
                <w:rFonts w:ascii="Times New Roman" w:eastAsia="Times New Roman" w:hAnsi="Times New Roman"/>
                <w:i/>
                <w:iCs/>
                <w:lang w:eastAsia="ru-RU"/>
              </w:rPr>
              <w:t>темп прироста</w:t>
            </w:r>
          </w:p>
        </w:tc>
        <w:tc>
          <w:tcPr>
            <w:tcW w:w="886" w:type="dxa"/>
            <w:tcBorders>
              <w:top w:val="nil"/>
              <w:left w:val="nil"/>
              <w:bottom w:val="single" w:sz="4" w:space="0" w:color="auto"/>
              <w:right w:val="single" w:sz="4" w:space="0" w:color="auto"/>
            </w:tcBorders>
            <w:shd w:val="clear" w:color="auto" w:fill="auto"/>
            <w:vAlign w:val="bottom"/>
          </w:tcPr>
          <w:p w14:paraId="2907EE5E" w14:textId="4649DA50"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w:t>
            </w:r>
          </w:p>
        </w:tc>
        <w:tc>
          <w:tcPr>
            <w:tcW w:w="887" w:type="dxa"/>
            <w:tcBorders>
              <w:top w:val="nil"/>
              <w:left w:val="nil"/>
              <w:bottom w:val="single" w:sz="4" w:space="0" w:color="auto"/>
              <w:right w:val="single" w:sz="4" w:space="0" w:color="auto"/>
            </w:tcBorders>
            <w:shd w:val="clear" w:color="auto" w:fill="auto"/>
            <w:vAlign w:val="bottom"/>
          </w:tcPr>
          <w:p w14:paraId="30504F10" w14:textId="1A490921"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-7,6 </w:t>
            </w:r>
          </w:p>
        </w:tc>
        <w:tc>
          <w:tcPr>
            <w:tcW w:w="887" w:type="dxa"/>
            <w:tcBorders>
              <w:top w:val="nil"/>
              <w:left w:val="nil"/>
              <w:bottom w:val="single" w:sz="4" w:space="0" w:color="auto"/>
              <w:right w:val="single" w:sz="4" w:space="0" w:color="auto"/>
            </w:tcBorders>
            <w:shd w:val="clear" w:color="auto" w:fill="auto"/>
            <w:vAlign w:val="bottom"/>
          </w:tcPr>
          <w:p w14:paraId="13F5D429" w14:textId="7EEFF733"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60" w:type="dxa"/>
            <w:tcBorders>
              <w:top w:val="nil"/>
              <w:left w:val="nil"/>
              <w:bottom w:val="single" w:sz="4" w:space="0" w:color="auto"/>
              <w:right w:val="single" w:sz="4" w:space="0" w:color="auto"/>
            </w:tcBorders>
            <w:shd w:val="clear" w:color="auto" w:fill="auto"/>
            <w:vAlign w:val="bottom"/>
          </w:tcPr>
          <w:p w14:paraId="58D8D6F9" w14:textId="56EB52EA"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 </w:t>
            </w:r>
          </w:p>
        </w:tc>
        <w:tc>
          <w:tcPr>
            <w:tcW w:w="887" w:type="dxa"/>
            <w:tcBorders>
              <w:top w:val="nil"/>
              <w:left w:val="nil"/>
              <w:bottom w:val="single" w:sz="4" w:space="0" w:color="auto"/>
              <w:right w:val="single" w:sz="4" w:space="0" w:color="auto"/>
            </w:tcBorders>
            <w:shd w:val="clear" w:color="auto" w:fill="auto"/>
            <w:vAlign w:val="bottom"/>
          </w:tcPr>
          <w:p w14:paraId="11BC0380" w14:textId="1CD8D0B9"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 </w:t>
            </w:r>
          </w:p>
        </w:tc>
        <w:tc>
          <w:tcPr>
            <w:tcW w:w="1011" w:type="dxa"/>
            <w:tcBorders>
              <w:top w:val="nil"/>
              <w:left w:val="nil"/>
              <w:bottom w:val="single" w:sz="4" w:space="0" w:color="auto"/>
              <w:right w:val="single" w:sz="4" w:space="0" w:color="auto"/>
            </w:tcBorders>
            <w:shd w:val="clear" w:color="auto" w:fill="auto"/>
            <w:vAlign w:val="bottom"/>
          </w:tcPr>
          <w:p w14:paraId="74DEEE55" w14:textId="44CC0A65"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х </w:t>
            </w:r>
          </w:p>
        </w:tc>
        <w:tc>
          <w:tcPr>
            <w:tcW w:w="1286" w:type="dxa"/>
            <w:tcBorders>
              <w:top w:val="nil"/>
              <w:left w:val="nil"/>
              <w:bottom w:val="single" w:sz="4" w:space="0" w:color="auto"/>
              <w:right w:val="double" w:sz="6" w:space="0" w:color="auto"/>
            </w:tcBorders>
            <w:shd w:val="clear" w:color="auto" w:fill="auto"/>
            <w:vAlign w:val="bottom"/>
          </w:tcPr>
          <w:p w14:paraId="276A32DC" w14:textId="62B79F94"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 </w:t>
            </w:r>
          </w:p>
        </w:tc>
      </w:tr>
      <w:tr w:rsidR="00A53AD7" w:rsidRPr="00A53AD7" w14:paraId="62CBF8B9" w14:textId="77777777" w:rsidTr="003B5BDA">
        <w:trPr>
          <w:trHeight w:val="600"/>
        </w:trPr>
        <w:tc>
          <w:tcPr>
            <w:tcW w:w="2529" w:type="dxa"/>
            <w:tcBorders>
              <w:top w:val="nil"/>
              <w:left w:val="double" w:sz="6" w:space="0" w:color="auto"/>
              <w:bottom w:val="single" w:sz="4" w:space="0" w:color="auto"/>
              <w:right w:val="single" w:sz="4" w:space="0" w:color="auto"/>
            </w:tcBorders>
            <w:shd w:val="clear" w:color="auto" w:fill="auto"/>
            <w:vAlign w:val="center"/>
            <w:hideMark/>
          </w:tcPr>
          <w:p w14:paraId="57938165" w14:textId="037D838B" w:rsidR="000B2D03" w:rsidRPr="00A53AD7" w:rsidRDefault="000B2D03" w:rsidP="000B2D0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Реально располагаемые доходы населения, % к пред. году</w:t>
            </w:r>
          </w:p>
        </w:tc>
        <w:tc>
          <w:tcPr>
            <w:tcW w:w="886" w:type="dxa"/>
            <w:tcBorders>
              <w:top w:val="nil"/>
              <w:left w:val="nil"/>
              <w:bottom w:val="single" w:sz="4" w:space="0" w:color="auto"/>
              <w:right w:val="single" w:sz="4" w:space="0" w:color="auto"/>
            </w:tcBorders>
            <w:shd w:val="clear" w:color="auto" w:fill="auto"/>
            <w:vAlign w:val="bottom"/>
            <w:hideMark/>
          </w:tcPr>
          <w:p w14:paraId="50D7F5B4" w14:textId="57DF5EA5"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104,7</w:t>
            </w:r>
          </w:p>
        </w:tc>
        <w:tc>
          <w:tcPr>
            <w:tcW w:w="887" w:type="dxa"/>
            <w:tcBorders>
              <w:top w:val="nil"/>
              <w:left w:val="nil"/>
              <w:bottom w:val="single" w:sz="4" w:space="0" w:color="auto"/>
              <w:right w:val="single" w:sz="4" w:space="0" w:color="auto"/>
            </w:tcBorders>
            <w:shd w:val="clear" w:color="auto" w:fill="auto"/>
            <w:vAlign w:val="bottom"/>
            <w:hideMark/>
          </w:tcPr>
          <w:p w14:paraId="07F9D775" w14:textId="18273444"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95,7</w:t>
            </w:r>
          </w:p>
        </w:tc>
        <w:tc>
          <w:tcPr>
            <w:tcW w:w="887" w:type="dxa"/>
            <w:tcBorders>
              <w:top w:val="nil"/>
              <w:left w:val="nil"/>
              <w:bottom w:val="single" w:sz="4" w:space="0" w:color="auto"/>
              <w:right w:val="single" w:sz="4" w:space="0" w:color="auto"/>
            </w:tcBorders>
            <w:shd w:val="clear" w:color="auto" w:fill="auto"/>
            <w:vAlign w:val="bottom"/>
            <w:hideMark/>
          </w:tcPr>
          <w:p w14:paraId="16CB478C" w14:textId="0DA77008"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92,1</w:t>
            </w:r>
          </w:p>
        </w:tc>
        <w:tc>
          <w:tcPr>
            <w:tcW w:w="960" w:type="dxa"/>
            <w:tcBorders>
              <w:top w:val="nil"/>
              <w:left w:val="nil"/>
              <w:bottom w:val="single" w:sz="4" w:space="0" w:color="auto"/>
              <w:right w:val="single" w:sz="4" w:space="0" w:color="auto"/>
            </w:tcBorders>
            <w:shd w:val="clear" w:color="auto" w:fill="auto"/>
            <w:vAlign w:val="bottom"/>
            <w:hideMark/>
          </w:tcPr>
          <w:p w14:paraId="0F848780" w14:textId="65D1DB01"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97,9</w:t>
            </w:r>
          </w:p>
        </w:tc>
        <w:tc>
          <w:tcPr>
            <w:tcW w:w="887" w:type="dxa"/>
            <w:tcBorders>
              <w:top w:val="nil"/>
              <w:left w:val="nil"/>
              <w:bottom w:val="single" w:sz="4" w:space="0" w:color="auto"/>
              <w:right w:val="single" w:sz="4" w:space="0" w:color="auto"/>
            </w:tcBorders>
            <w:shd w:val="clear" w:color="auto" w:fill="auto"/>
            <w:vAlign w:val="bottom"/>
            <w:hideMark/>
          </w:tcPr>
          <w:p w14:paraId="6A4EF178" w14:textId="24D0F214"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100,9</w:t>
            </w:r>
          </w:p>
        </w:tc>
        <w:tc>
          <w:tcPr>
            <w:tcW w:w="1011" w:type="dxa"/>
            <w:tcBorders>
              <w:top w:val="nil"/>
              <w:left w:val="nil"/>
              <w:bottom w:val="single" w:sz="4" w:space="0" w:color="auto"/>
              <w:right w:val="single" w:sz="4" w:space="0" w:color="auto"/>
            </w:tcBorders>
            <w:shd w:val="clear" w:color="auto" w:fill="auto"/>
            <w:vAlign w:val="bottom"/>
            <w:hideMark/>
          </w:tcPr>
          <w:p w14:paraId="71927CBB" w14:textId="7FDB15D8" w:rsidR="000B2D03" w:rsidRPr="00A53AD7" w:rsidRDefault="000B2D03" w:rsidP="000B2D0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w:t>
            </w:r>
          </w:p>
        </w:tc>
        <w:tc>
          <w:tcPr>
            <w:tcW w:w="1286" w:type="dxa"/>
            <w:tcBorders>
              <w:top w:val="nil"/>
              <w:left w:val="nil"/>
              <w:bottom w:val="single" w:sz="4" w:space="0" w:color="auto"/>
              <w:right w:val="double" w:sz="6" w:space="0" w:color="auto"/>
            </w:tcBorders>
            <w:shd w:val="clear" w:color="auto" w:fill="auto"/>
            <w:vAlign w:val="bottom"/>
            <w:hideMark/>
          </w:tcPr>
          <w:p w14:paraId="1BC8009B" w14:textId="7C537C74" w:rsidR="000B2D03" w:rsidRPr="00A53AD7" w:rsidRDefault="000B2D03" w:rsidP="00BD1E6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w:t>
            </w:r>
            <w:r w:rsidR="00BD1E6C" w:rsidRPr="00A53AD7">
              <w:rPr>
                <w:rFonts w:ascii="Times New Roman" w:eastAsia="Times New Roman" w:hAnsi="Times New Roman"/>
                <w:lang w:eastAsia="ru-RU"/>
              </w:rPr>
              <w:t>9,9</w:t>
            </w:r>
          </w:p>
        </w:tc>
      </w:tr>
      <w:tr w:rsidR="00A53AD7" w:rsidRPr="00A53AD7" w14:paraId="439E653B" w14:textId="77777777" w:rsidTr="003C768B">
        <w:trPr>
          <w:trHeight w:val="261"/>
        </w:trPr>
        <w:tc>
          <w:tcPr>
            <w:tcW w:w="2529" w:type="dxa"/>
            <w:tcBorders>
              <w:top w:val="nil"/>
              <w:left w:val="double" w:sz="6" w:space="0" w:color="auto"/>
              <w:bottom w:val="single" w:sz="4" w:space="0" w:color="auto"/>
              <w:right w:val="single" w:sz="4" w:space="0" w:color="auto"/>
            </w:tcBorders>
            <w:shd w:val="clear" w:color="auto" w:fill="auto"/>
            <w:vAlign w:val="bottom"/>
            <w:hideMark/>
          </w:tcPr>
          <w:p w14:paraId="4611B6CF"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темп прироста</w:t>
            </w:r>
          </w:p>
        </w:tc>
        <w:tc>
          <w:tcPr>
            <w:tcW w:w="886" w:type="dxa"/>
            <w:tcBorders>
              <w:top w:val="nil"/>
              <w:left w:val="nil"/>
              <w:bottom w:val="single" w:sz="4" w:space="0" w:color="auto"/>
              <w:right w:val="single" w:sz="4" w:space="0" w:color="auto"/>
            </w:tcBorders>
            <w:shd w:val="clear" w:color="auto" w:fill="auto"/>
            <w:vAlign w:val="bottom"/>
            <w:hideMark/>
          </w:tcPr>
          <w:p w14:paraId="309F08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 </w:t>
            </w:r>
          </w:p>
        </w:tc>
        <w:tc>
          <w:tcPr>
            <w:tcW w:w="887" w:type="dxa"/>
            <w:tcBorders>
              <w:top w:val="nil"/>
              <w:left w:val="nil"/>
              <w:bottom w:val="single" w:sz="4" w:space="0" w:color="auto"/>
              <w:right w:val="single" w:sz="4" w:space="0" w:color="auto"/>
            </w:tcBorders>
            <w:shd w:val="clear" w:color="auto" w:fill="auto"/>
            <w:vAlign w:val="bottom"/>
            <w:hideMark/>
          </w:tcPr>
          <w:p w14:paraId="601EA62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-4,3 </w:t>
            </w:r>
          </w:p>
        </w:tc>
        <w:tc>
          <w:tcPr>
            <w:tcW w:w="887" w:type="dxa"/>
            <w:tcBorders>
              <w:top w:val="nil"/>
              <w:left w:val="nil"/>
              <w:bottom w:val="single" w:sz="4" w:space="0" w:color="auto"/>
              <w:right w:val="single" w:sz="4" w:space="0" w:color="auto"/>
            </w:tcBorders>
            <w:shd w:val="clear" w:color="auto" w:fill="auto"/>
            <w:vAlign w:val="bottom"/>
            <w:hideMark/>
          </w:tcPr>
          <w:p w14:paraId="12D822A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-7,9 </w:t>
            </w:r>
          </w:p>
        </w:tc>
        <w:tc>
          <w:tcPr>
            <w:tcW w:w="960" w:type="dxa"/>
            <w:tcBorders>
              <w:top w:val="nil"/>
              <w:left w:val="nil"/>
              <w:bottom w:val="single" w:sz="4" w:space="0" w:color="auto"/>
              <w:right w:val="single" w:sz="4" w:space="0" w:color="auto"/>
            </w:tcBorders>
            <w:shd w:val="clear" w:color="auto" w:fill="auto"/>
            <w:vAlign w:val="bottom"/>
            <w:hideMark/>
          </w:tcPr>
          <w:p w14:paraId="08B6DC6E"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 </w:t>
            </w:r>
          </w:p>
        </w:tc>
        <w:tc>
          <w:tcPr>
            <w:tcW w:w="887" w:type="dxa"/>
            <w:tcBorders>
              <w:top w:val="nil"/>
              <w:left w:val="nil"/>
              <w:bottom w:val="single" w:sz="4" w:space="0" w:color="auto"/>
              <w:right w:val="single" w:sz="4" w:space="0" w:color="auto"/>
            </w:tcBorders>
            <w:shd w:val="clear" w:color="auto" w:fill="auto"/>
            <w:vAlign w:val="bottom"/>
            <w:hideMark/>
          </w:tcPr>
          <w:p w14:paraId="6A33276C"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0,9 </w:t>
            </w:r>
          </w:p>
        </w:tc>
        <w:tc>
          <w:tcPr>
            <w:tcW w:w="1011" w:type="dxa"/>
            <w:tcBorders>
              <w:top w:val="nil"/>
              <w:left w:val="nil"/>
              <w:bottom w:val="single" w:sz="4" w:space="0" w:color="auto"/>
              <w:right w:val="single" w:sz="4" w:space="0" w:color="auto"/>
            </w:tcBorders>
            <w:shd w:val="clear" w:color="auto" w:fill="auto"/>
            <w:vAlign w:val="bottom"/>
            <w:hideMark/>
          </w:tcPr>
          <w:p w14:paraId="477C54AB"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286" w:type="dxa"/>
            <w:tcBorders>
              <w:top w:val="nil"/>
              <w:left w:val="nil"/>
              <w:bottom w:val="single" w:sz="4" w:space="0" w:color="auto"/>
              <w:right w:val="double" w:sz="6" w:space="0" w:color="auto"/>
            </w:tcBorders>
            <w:shd w:val="clear" w:color="auto" w:fill="auto"/>
            <w:vAlign w:val="bottom"/>
            <w:hideMark/>
          </w:tcPr>
          <w:p w14:paraId="07C8F652" w14:textId="088D5654" w:rsidR="003B5BDA" w:rsidRPr="00A53AD7" w:rsidRDefault="003B5BDA" w:rsidP="00BD1E6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w:t>
            </w:r>
            <w:r w:rsidR="00BD1E6C" w:rsidRPr="00A53AD7">
              <w:rPr>
                <w:rFonts w:ascii="Times New Roman" w:eastAsia="Times New Roman" w:hAnsi="Times New Roman"/>
                <w:lang w:eastAsia="ru-RU"/>
              </w:rPr>
              <w:t>0,1</w:t>
            </w:r>
            <w:r w:rsidRPr="00A53AD7">
              <w:rPr>
                <w:rFonts w:ascii="Times New Roman" w:eastAsia="Times New Roman" w:hAnsi="Times New Roman"/>
                <w:lang w:eastAsia="ru-RU"/>
              </w:rPr>
              <w:t xml:space="preserve"> </w:t>
            </w:r>
          </w:p>
        </w:tc>
      </w:tr>
      <w:tr w:rsidR="00A53AD7" w:rsidRPr="00A53AD7" w14:paraId="5CC15FFA" w14:textId="77777777" w:rsidTr="003B5BDA">
        <w:trPr>
          <w:trHeight w:val="660"/>
        </w:trPr>
        <w:tc>
          <w:tcPr>
            <w:tcW w:w="2529" w:type="dxa"/>
            <w:tcBorders>
              <w:top w:val="nil"/>
              <w:left w:val="double" w:sz="6" w:space="0" w:color="auto"/>
              <w:bottom w:val="single" w:sz="4" w:space="0" w:color="auto"/>
              <w:right w:val="single" w:sz="4" w:space="0" w:color="auto"/>
            </w:tcBorders>
            <w:shd w:val="clear" w:color="auto" w:fill="auto"/>
            <w:vAlign w:val="center"/>
            <w:hideMark/>
          </w:tcPr>
          <w:p w14:paraId="2E9E602D"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Реальный размер назначенных пенсий пенсионеров, % к пред. году</w:t>
            </w:r>
          </w:p>
        </w:tc>
        <w:tc>
          <w:tcPr>
            <w:tcW w:w="886" w:type="dxa"/>
            <w:tcBorders>
              <w:top w:val="nil"/>
              <w:left w:val="nil"/>
              <w:bottom w:val="single" w:sz="4" w:space="0" w:color="auto"/>
              <w:right w:val="single" w:sz="4" w:space="0" w:color="auto"/>
            </w:tcBorders>
            <w:shd w:val="clear" w:color="auto" w:fill="auto"/>
            <w:vAlign w:val="bottom"/>
            <w:hideMark/>
          </w:tcPr>
          <w:p w14:paraId="0CDC6CB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w:t>
            </w:r>
          </w:p>
        </w:tc>
        <w:tc>
          <w:tcPr>
            <w:tcW w:w="887" w:type="dxa"/>
            <w:tcBorders>
              <w:top w:val="nil"/>
              <w:left w:val="nil"/>
              <w:bottom w:val="single" w:sz="4" w:space="0" w:color="auto"/>
              <w:right w:val="single" w:sz="4" w:space="0" w:color="auto"/>
            </w:tcBorders>
            <w:shd w:val="clear" w:color="auto" w:fill="auto"/>
            <w:vAlign w:val="bottom"/>
            <w:hideMark/>
          </w:tcPr>
          <w:p w14:paraId="7F43CEE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101,7</w:t>
            </w:r>
          </w:p>
        </w:tc>
        <w:tc>
          <w:tcPr>
            <w:tcW w:w="887" w:type="dxa"/>
            <w:tcBorders>
              <w:top w:val="nil"/>
              <w:left w:val="nil"/>
              <w:bottom w:val="single" w:sz="4" w:space="0" w:color="auto"/>
              <w:right w:val="single" w:sz="4" w:space="0" w:color="auto"/>
            </w:tcBorders>
            <w:shd w:val="clear" w:color="auto" w:fill="auto"/>
            <w:vAlign w:val="bottom"/>
            <w:hideMark/>
          </w:tcPr>
          <w:p w14:paraId="6765114A"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98,2</w:t>
            </w:r>
          </w:p>
        </w:tc>
        <w:tc>
          <w:tcPr>
            <w:tcW w:w="960" w:type="dxa"/>
            <w:tcBorders>
              <w:top w:val="nil"/>
              <w:left w:val="nil"/>
              <w:bottom w:val="single" w:sz="4" w:space="0" w:color="auto"/>
              <w:right w:val="single" w:sz="4" w:space="0" w:color="auto"/>
            </w:tcBorders>
            <w:shd w:val="clear" w:color="auto" w:fill="auto"/>
            <w:noWrap/>
            <w:vAlign w:val="bottom"/>
            <w:hideMark/>
          </w:tcPr>
          <w:p w14:paraId="2B552584" w14:textId="77777777" w:rsidR="003B5BDA" w:rsidRPr="00A53AD7" w:rsidRDefault="003B5BDA" w:rsidP="003B5BDA">
            <w:pPr>
              <w:spacing w:after="0" w:line="240" w:lineRule="auto"/>
              <w:jc w:val="right"/>
              <w:rPr>
                <w:rFonts w:ascii="Times New Roman" w:eastAsia="Times New Roman" w:hAnsi="Times New Roman"/>
                <w:lang w:eastAsia="ru-RU"/>
              </w:rPr>
            </w:pPr>
            <w:bookmarkStart w:id="47" w:name="RANGE!E6"/>
            <w:r w:rsidRPr="00A53AD7">
              <w:rPr>
                <w:rFonts w:ascii="Times New Roman" w:eastAsia="Times New Roman" w:hAnsi="Times New Roman"/>
                <w:lang w:eastAsia="ru-RU"/>
              </w:rPr>
              <w:t>106,</w:t>
            </w:r>
            <w:bookmarkEnd w:id="47"/>
            <w:r w:rsidRPr="00A53AD7">
              <w:rPr>
                <w:rFonts w:ascii="Times New Roman" w:eastAsia="Times New Roman" w:hAnsi="Times New Roman"/>
                <w:lang w:eastAsia="ru-RU"/>
              </w:rPr>
              <w:t>2</w:t>
            </w:r>
          </w:p>
        </w:tc>
        <w:tc>
          <w:tcPr>
            <w:tcW w:w="887" w:type="dxa"/>
            <w:tcBorders>
              <w:top w:val="nil"/>
              <w:left w:val="nil"/>
              <w:bottom w:val="single" w:sz="4" w:space="0" w:color="auto"/>
              <w:right w:val="single" w:sz="4" w:space="0" w:color="auto"/>
            </w:tcBorders>
            <w:shd w:val="clear" w:color="auto" w:fill="auto"/>
            <w:vAlign w:val="bottom"/>
            <w:hideMark/>
          </w:tcPr>
          <w:p w14:paraId="7C8D066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100,8</w:t>
            </w:r>
          </w:p>
        </w:tc>
        <w:tc>
          <w:tcPr>
            <w:tcW w:w="1011" w:type="dxa"/>
            <w:tcBorders>
              <w:top w:val="nil"/>
              <w:left w:val="nil"/>
              <w:bottom w:val="single" w:sz="4" w:space="0" w:color="auto"/>
              <w:right w:val="single" w:sz="4" w:space="0" w:color="auto"/>
            </w:tcBorders>
            <w:shd w:val="clear" w:color="auto" w:fill="auto"/>
            <w:vAlign w:val="bottom"/>
            <w:hideMark/>
          </w:tcPr>
          <w:p w14:paraId="493C7CC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101,9</w:t>
            </w:r>
          </w:p>
        </w:tc>
        <w:tc>
          <w:tcPr>
            <w:tcW w:w="1286" w:type="dxa"/>
            <w:tcBorders>
              <w:top w:val="nil"/>
              <w:left w:val="nil"/>
              <w:bottom w:val="single" w:sz="4" w:space="0" w:color="auto"/>
              <w:right w:val="double" w:sz="6" w:space="0" w:color="auto"/>
            </w:tcBorders>
            <w:shd w:val="clear" w:color="auto" w:fill="auto"/>
            <w:vAlign w:val="bottom"/>
            <w:hideMark/>
          </w:tcPr>
          <w:p w14:paraId="308AED6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102,9</w:t>
            </w:r>
          </w:p>
        </w:tc>
      </w:tr>
      <w:tr w:rsidR="00A53AD7" w:rsidRPr="00A53AD7" w14:paraId="0111C6BD" w14:textId="77777777" w:rsidTr="003C768B">
        <w:trPr>
          <w:trHeight w:val="238"/>
        </w:trPr>
        <w:tc>
          <w:tcPr>
            <w:tcW w:w="2529" w:type="dxa"/>
            <w:tcBorders>
              <w:top w:val="nil"/>
              <w:left w:val="double" w:sz="6" w:space="0" w:color="auto"/>
              <w:bottom w:val="single" w:sz="4" w:space="0" w:color="auto"/>
              <w:right w:val="single" w:sz="4" w:space="0" w:color="auto"/>
            </w:tcBorders>
            <w:shd w:val="clear" w:color="auto" w:fill="auto"/>
            <w:vAlign w:val="bottom"/>
            <w:hideMark/>
          </w:tcPr>
          <w:p w14:paraId="018BED70" w14:textId="77777777" w:rsidR="003B5BDA" w:rsidRPr="00A53AD7" w:rsidRDefault="003B5BDA" w:rsidP="003B5BDA">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темп прироста</w:t>
            </w:r>
          </w:p>
        </w:tc>
        <w:tc>
          <w:tcPr>
            <w:tcW w:w="886" w:type="dxa"/>
            <w:tcBorders>
              <w:top w:val="nil"/>
              <w:left w:val="nil"/>
              <w:bottom w:val="single" w:sz="4" w:space="0" w:color="auto"/>
              <w:right w:val="single" w:sz="4" w:space="0" w:color="auto"/>
            </w:tcBorders>
            <w:shd w:val="clear" w:color="auto" w:fill="auto"/>
            <w:vAlign w:val="bottom"/>
            <w:hideMark/>
          </w:tcPr>
          <w:p w14:paraId="70209F93"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 </w:t>
            </w:r>
          </w:p>
        </w:tc>
        <w:tc>
          <w:tcPr>
            <w:tcW w:w="887" w:type="dxa"/>
            <w:tcBorders>
              <w:top w:val="nil"/>
              <w:left w:val="nil"/>
              <w:bottom w:val="single" w:sz="4" w:space="0" w:color="auto"/>
              <w:right w:val="single" w:sz="4" w:space="0" w:color="auto"/>
            </w:tcBorders>
            <w:shd w:val="clear" w:color="auto" w:fill="auto"/>
            <w:vAlign w:val="bottom"/>
            <w:hideMark/>
          </w:tcPr>
          <w:p w14:paraId="2E96CBF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 </w:t>
            </w:r>
          </w:p>
        </w:tc>
        <w:tc>
          <w:tcPr>
            <w:tcW w:w="887" w:type="dxa"/>
            <w:tcBorders>
              <w:top w:val="nil"/>
              <w:left w:val="nil"/>
              <w:bottom w:val="single" w:sz="4" w:space="0" w:color="auto"/>
              <w:right w:val="single" w:sz="4" w:space="0" w:color="auto"/>
            </w:tcBorders>
            <w:shd w:val="clear" w:color="auto" w:fill="auto"/>
            <w:vAlign w:val="bottom"/>
            <w:hideMark/>
          </w:tcPr>
          <w:p w14:paraId="6A1B374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w:t>
            </w:r>
          </w:p>
        </w:tc>
        <w:tc>
          <w:tcPr>
            <w:tcW w:w="960" w:type="dxa"/>
            <w:tcBorders>
              <w:top w:val="nil"/>
              <w:left w:val="nil"/>
              <w:bottom w:val="single" w:sz="4" w:space="0" w:color="auto"/>
              <w:right w:val="single" w:sz="4" w:space="0" w:color="auto"/>
            </w:tcBorders>
            <w:shd w:val="clear" w:color="auto" w:fill="auto"/>
            <w:vAlign w:val="bottom"/>
            <w:hideMark/>
          </w:tcPr>
          <w:p w14:paraId="31240D90"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6,2 </w:t>
            </w:r>
          </w:p>
        </w:tc>
        <w:tc>
          <w:tcPr>
            <w:tcW w:w="887" w:type="dxa"/>
            <w:tcBorders>
              <w:top w:val="nil"/>
              <w:left w:val="nil"/>
              <w:bottom w:val="single" w:sz="4" w:space="0" w:color="auto"/>
              <w:right w:val="single" w:sz="4" w:space="0" w:color="auto"/>
            </w:tcBorders>
            <w:shd w:val="clear" w:color="auto" w:fill="auto"/>
            <w:vAlign w:val="bottom"/>
            <w:hideMark/>
          </w:tcPr>
          <w:p w14:paraId="4F290954"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1011" w:type="dxa"/>
            <w:tcBorders>
              <w:top w:val="nil"/>
              <w:left w:val="nil"/>
              <w:bottom w:val="single" w:sz="4" w:space="0" w:color="auto"/>
              <w:right w:val="single" w:sz="4" w:space="0" w:color="auto"/>
            </w:tcBorders>
            <w:shd w:val="clear" w:color="auto" w:fill="auto"/>
            <w:vAlign w:val="bottom"/>
            <w:hideMark/>
          </w:tcPr>
          <w:p w14:paraId="7457C84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c>
          <w:tcPr>
            <w:tcW w:w="1286" w:type="dxa"/>
            <w:tcBorders>
              <w:top w:val="nil"/>
              <w:left w:val="nil"/>
              <w:bottom w:val="single" w:sz="4" w:space="0" w:color="auto"/>
              <w:right w:val="double" w:sz="6" w:space="0" w:color="auto"/>
            </w:tcBorders>
            <w:shd w:val="clear" w:color="auto" w:fill="auto"/>
            <w:vAlign w:val="bottom"/>
            <w:hideMark/>
          </w:tcPr>
          <w:p w14:paraId="66AC7502"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2,9 </w:t>
            </w:r>
          </w:p>
        </w:tc>
      </w:tr>
      <w:tr w:rsidR="003B5BDA" w:rsidRPr="00A53AD7" w14:paraId="5362493E" w14:textId="77777777" w:rsidTr="00D16ED5">
        <w:trPr>
          <w:trHeight w:val="416"/>
        </w:trPr>
        <w:tc>
          <w:tcPr>
            <w:tcW w:w="2529" w:type="dxa"/>
            <w:tcBorders>
              <w:top w:val="nil"/>
              <w:left w:val="double" w:sz="6" w:space="0" w:color="auto"/>
              <w:bottom w:val="double" w:sz="6" w:space="0" w:color="auto"/>
              <w:right w:val="single" w:sz="4" w:space="0" w:color="auto"/>
            </w:tcBorders>
            <w:shd w:val="clear" w:color="auto" w:fill="auto"/>
            <w:vAlign w:val="center"/>
            <w:hideMark/>
          </w:tcPr>
          <w:p w14:paraId="2202018D" w14:textId="77777777" w:rsidR="003B5BDA" w:rsidRPr="00A53AD7" w:rsidRDefault="003B5BDA" w:rsidP="003B5BD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Численность населения с денежными доходами ниже прожиточного минимума, % от общей </w:t>
            </w:r>
            <w:r w:rsidRPr="00A53AD7">
              <w:rPr>
                <w:rFonts w:ascii="Times New Roman" w:eastAsia="Times New Roman" w:hAnsi="Times New Roman"/>
                <w:lang w:eastAsia="ru-RU"/>
              </w:rPr>
              <w:lastRenderedPageBreak/>
              <w:t>численности населения (уровень бедности)</w:t>
            </w:r>
            <w:r w:rsidRPr="00A53AD7">
              <w:rPr>
                <w:rStyle w:val="afff1"/>
                <w:rFonts w:ascii="Times New Roman" w:hAnsi="Times New Roman"/>
              </w:rPr>
              <w:footnoteReference w:id="13"/>
            </w:r>
          </w:p>
        </w:tc>
        <w:tc>
          <w:tcPr>
            <w:tcW w:w="886" w:type="dxa"/>
            <w:tcBorders>
              <w:top w:val="nil"/>
              <w:left w:val="nil"/>
              <w:bottom w:val="double" w:sz="6" w:space="0" w:color="auto"/>
              <w:right w:val="single" w:sz="4" w:space="0" w:color="auto"/>
            </w:tcBorders>
            <w:shd w:val="clear" w:color="auto" w:fill="auto"/>
            <w:vAlign w:val="bottom"/>
            <w:hideMark/>
          </w:tcPr>
          <w:p w14:paraId="42023D3D"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lastRenderedPageBreak/>
              <w:t>14,5</w:t>
            </w:r>
          </w:p>
        </w:tc>
        <w:tc>
          <w:tcPr>
            <w:tcW w:w="887" w:type="dxa"/>
            <w:tcBorders>
              <w:top w:val="nil"/>
              <w:left w:val="nil"/>
              <w:bottom w:val="double" w:sz="6" w:space="0" w:color="auto"/>
              <w:right w:val="single" w:sz="4" w:space="0" w:color="auto"/>
            </w:tcBorders>
            <w:shd w:val="clear" w:color="auto" w:fill="auto"/>
            <w:vAlign w:val="bottom"/>
            <w:hideMark/>
          </w:tcPr>
          <w:p w14:paraId="6AF42948"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16,2</w:t>
            </w:r>
          </w:p>
        </w:tc>
        <w:tc>
          <w:tcPr>
            <w:tcW w:w="887" w:type="dxa"/>
            <w:tcBorders>
              <w:top w:val="nil"/>
              <w:left w:val="nil"/>
              <w:bottom w:val="double" w:sz="6" w:space="0" w:color="auto"/>
              <w:right w:val="single" w:sz="4" w:space="0" w:color="auto"/>
            </w:tcBorders>
            <w:shd w:val="clear" w:color="auto" w:fill="auto"/>
            <w:vAlign w:val="bottom"/>
            <w:hideMark/>
          </w:tcPr>
          <w:p w14:paraId="33E0A8B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14,9</w:t>
            </w:r>
          </w:p>
        </w:tc>
        <w:tc>
          <w:tcPr>
            <w:tcW w:w="960" w:type="dxa"/>
            <w:tcBorders>
              <w:top w:val="nil"/>
              <w:left w:val="nil"/>
              <w:bottom w:val="double" w:sz="6" w:space="0" w:color="auto"/>
              <w:right w:val="single" w:sz="4" w:space="0" w:color="auto"/>
            </w:tcBorders>
            <w:shd w:val="clear" w:color="auto" w:fill="auto"/>
            <w:vAlign w:val="bottom"/>
            <w:hideMark/>
          </w:tcPr>
          <w:p w14:paraId="4CB459C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13,9</w:t>
            </w:r>
          </w:p>
        </w:tc>
        <w:tc>
          <w:tcPr>
            <w:tcW w:w="887" w:type="dxa"/>
            <w:tcBorders>
              <w:top w:val="nil"/>
              <w:left w:val="nil"/>
              <w:bottom w:val="double" w:sz="6" w:space="0" w:color="auto"/>
              <w:right w:val="single" w:sz="4" w:space="0" w:color="auto"/>
            </w:tcBorders>
            <w:shd w:val="clear" w:color="auto" w:fill="auto"/>
            <w:vAlign w:val="bottom"/>
            <w:hideMark/>
          </w:tcPr>
          <w:p w14:paraId="3DE41795"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12,5</w:t>
            </w:r>
          </w:p>
        </w:tc>
        <w:tc>
          <w:tcPr>
            <w:tcW w:w="1011" w:type="dxa"/>
            <w:tcBorders>
              <w:top w:val="nil"/>
              <w:left w:val="nil"/>
              <w:bottom w:val="double" w:sz="6" w:space="0" w:color="auto"/>
              <w:right w:val="single" w:sz="4" w:space="0" w:color="auto"/>
            </w:tcBorders>
            <w:shd w:val="clear" w:color="auto" w:fill="auto"/>
            <w:vAlign w:val="bottom"/>
            <w:hideMark/>
          </w:tcPr>
          <w:p w14:paraId="72697A21"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11,8</w:t>
            </w:r>
          </w:p>
        </w:tc>
        <w:tc>
          <w:tcPr>
            <w:tcW w:w="1286" w:type="dxa"/>
            <w:tcBorders>
              <w:top w:val="nil"/>
              <w:left w:val="nil"/>
              <w:bottom w:val="double" w:sz="6" w:space="0" w:color="auto"/>
              <w:right w:val="double" w:sz="6" w:space="0" w:color="auto"/>
            </w:tcBorders>
            <w:shd w:val="clear" w:color="auto" w:fill="auto"/>
            <w:vAlign w:val="bottom"/>
            <w:hideMark/>
          </w:tcPr>
          <w:p w14:paraId="537F3D5F" w14:textId="77777777" w:rsidR="003B5BDA" w:rsidRPr="00A53AD7" w:rsidRDefault="003B5BDA" w:rsidP="003B5BD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bl>
    <w:p w14:paraId="7A1C3654" w14:textId="77777777" w:rsidR="00CD6DD9" w:rsidRPr="00A53AD7" w:rsidRDefault="00CD6DD9" w:rsidP="003B5BDA">
      <w:pPr>
        <w:pStyle w:val="ad"/>
        <w:ind w:firstLine="851"/>
        <w:jc w:val="both"/>
        <w:rPr>
          <w:rFonts w:ascii="Times New Roman" w:hAnsi="Times New Roman"/>
          <w:i/>
          <w:sz w:val="28"/>
          <w:szCs w:val="28"/>
        </w:rPr>
      </w:pPr>
    </w:p>
    <w:p w14:paraId="7CA0A04B"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i/>
          <w:sz w:val="28"/>
          <w:szCs w:val="28"/>
        </w:rPr>
        <w:t>Для справки:</w:t>
      </w:r>
      <w:r w:rsidRPr="00A53AD7">
        <w:rPr>
          <w:rFonts w:ascii="Times New Roman" w:hAnsi="Times New Roman"/>
          <w:sz w:val="28"/>
          <w:szCs w:val="28"/>
        </w:rPr>
        <w:t xml:space="preserve"> реальные располагаемые доходы — это денежные доходы минус обязательные платежи (налоги и сборы, проценты по кредитам и т.д.), скорректированные на инфляцию.</w:t>
      </w:r>
    </w:p>
    <w:p w14:paraId="3932561B"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По итогам 2019 года установлены следующие темпы роста индексов отдельных показателей, характеризующих уровень жизни населения в Архангельской области, к предыдущему году:</w:t>
      </w:r>
    </w:p>
    <w:p w14:paraId="2A6CB54A" w14:textId="77777777" w:rsidR="000B2D03" w:rsidRPr="00A53AD7" w:rsidRDefault="000B2D03" w:rsidP="000B2D03">
      <w:pPr>
        <w:pStyle w:val="ad"/>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 xml:space="preserve">индекс реально начисленной заработной платы с 2017 года ежегодно находится в области положительных значений и в отчетном году составил 102,5 %; </w:t>
      </w:r>
    </w:p>
    <w:p w14:paraId="2773AD3A" w14:textId="0726CAC6" w:rsidR="000B2D03" w:rsidRPr="00A53AD7" w:rsidRDefault="000B2D03" w:rsidP="000B2D03">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 xml:space="preserve">индекс реально располагаемых доходов населения снизился на </w:t>
      </w:r>
      <w:r w:rsidR="00BD1E6C" w:rsidRPr="00A53AD7">
        <w:rPr>
          <w:rFonts w:ascii="Times New Roman" w:hAnsi="Times New Roman"/>
          <w:sz w:val="28"/>
          <w:szCs w:val="28"/>
        </w:rPr>
        <w:t>0,1</w:t>
      </w:r>
      <w:r w:rsidRPr="00A53AD7">
        <w:rPr>
          <w:rFonts w:ascii="Times New Roman" w:hAnsi="Times New Roman"/>
          <w:sz w:val="28"/>
          <w:szCs w:val="28"/>
        </w:rPr>
        <w:t> %, в соответствии с оценкой на 2019 год данный показатель ожидался на уровне 99,7 %. Устойчивый рост реальных доходов населения — это одна из девяти национальных целей развития до 2024 года, поставленных президентом в майском указе. Однако в целом реальные располагаемые доходы продолжают ежегодно снижаться (за исключением незначительного роста в 2018 году) из-за роста потребительских цен и обязательных выплат, в первую очередь процентных платежей по кредитам (ипотечные и потребительские)</w:t>
      </w:r>
      <w:r w:rsidRPr="00A53AD7">
        <w:rPr>
          <w:rStyle w:val="afff1"/>
          <w:rFonts w:ascii="Times New Roman" w:hAnsi="Times New Roman"/>
          <w:sz w:val="28"/>
          <w:szCs w:val="28"/>
        </w:rPr>
        <w:footnoteReference w:id="14"/>
      </w:r>
      <w:r w:rsidRPr="00A53AD7">
        <w:rPr>
          <w:rFonts w:ascii="Times New Roman" w:hAnsi="Times New Roman"/>
          <w:sz w:val="28"/>
          <w:szCs w:val="28"/>
        </w:rPr>
        <w:t>;</w:t>
      </w:r>
    </w:p>
    <w:p w14:paraId="2E3929C1" w14:textId="0D2DA923"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индекс размера назначенных пенсий пенсионеров, состоящих на учете в системе Пенсионного фонда РФ увеличился на 2,9 %, в соответствии с оценкой данный показатель ожидался с рос</w:t>
      </w:r>
      <w:r w:rsidR="009C4AEB" w:rsidRPr="00A53AD7">
        <w:rPr>
          <w:rFonts w:ascii="Times New Roman" w:hAnsi="Times New Roman"/>
          <w:sz w:val="28"/>
          <w:szCs w:val="28"/>
        </w:rPr>
        <w:t>том на 1,9 %;</w:t>
      </w:r>
    </w:p>
    <w:p w14:paraId="62039CDD" w14:textId="77777777" w:rsidR="003B5BDA" w:rsidRPr="00A53AD7" w:rsidRDefault="003B5BDA" w:rsidP="00F35229">
      <w:pPr>
        <w:pStyle w:val="ad"/>
        <w:numPr>
          <w:ilvl w:val="0"/>
          <w:numId w:val="2"/>
        </w:numPr>
        <w:ind w:left="0" w:firstLine="851"/>
        <w:jc w:val="both"/>
        <w:rPr>
          <w:rFonts w:ascii="Times New Roman" w:hAnsi="Times New Roman"/>
          <w:sz w:val="28"/>
          <w:szCs w:val="28"/>
        </w:rPr>
      </w:pPr>
      <w:r w:rsidRPr="00A53AD7">
        <w:rPr>
          <w:rFonts w:ascii="Times New Roman" w:hAnsi="Times New Roman"/>
          <w:sz w:val="28"/>
          <w:szCs w:val="28"/>
        </w:rPr>
        <w:t>индекс «Численность населения с денежными доходами ниже прожиточного минимума, % от общей численности населения (уровень бедности)», ожидаемый по оценке на 2019 год к отчетным данным за 2018 год, снизился на 0,7 процентных пунктов.</w:t>
      </w:r>
    </w:p>
    <w:p w14:paraId="3FA5BCA0" w14:textId="611D745A" w:rsidR="003B5BDA" w:rsidRPr="00A53AD7" w:rsidRDefault="003B5BDA" w:rsidP="003B5BDA">
      <w:pPr>
        <w:pStyle w:val="ad"/>
        <w:ind w:firstLine="851"/>
        <w:jc w:val="both"/>
        <w:rPr>
          <w:rFonts w:ascii="Times New Roman" w:hAnsi="Times New Roman"/>
          <w:sz w:val="28"/>
          <w:szCs w:val="28"/>
          <w:highlight w:val="cyan"/>
        </w:rPr>
      </w:pPr>
      <w:r w:rsidRPr="00A53AD7">
        <w:rPr>
          <w:rFonts w:ascii="Times New Roman" w:hAnsi="Times New Roman"/>
          <w:sz w:val="28"/>
          <w:szCs w:val="28"/>
        </w:rPr>
        <w:t>По данным ЕМИС численность населения с денежными доходами ниже прожиточного минимума, % от общей численности населения (уровень бедности) в Архангельской области ежегодно снижается, при этом и величина прожиточного минимума также снижается, что влияет на значение показателя «бедности» населения. Это взаимно манипулируемые показатели, и чем ниже прожиточный минимум, тем беднее население</w:t>
      </w:r>
      <w:r w:rsidR="00821626" w:rsidRPr="00A53AD7">
        <w:rPr>
          <w:rStyle w:val="afff1"/>
          <w:rFonts w:ascii="Times New Roman" w:hAnsi="Times New Roman"/>
          <w:sz w:val="28"/>
          <w:szCs w:val="28"/>
        </w:rPr>
        <w:footnoteReference w:id="15"/>
      </w:r>
      <w:r w:rsidRPr="00A53AD7">
        <w:rPr>
          <w:rFonts w:ascii="Times New Roman" w:hAnsi="Times New Roman"/>
          <w:sz w:val="28"/>
          <w:szCs w:val="28"/>
        </w:rPr>
        <w:t>.</w:t>
      </w:r>
    </w:p>
    <w:p w14:paraId="797CE287" w14:textId="77777777" w:rsidR="003B5BDA" w:rsidRPr="00A53AD7" w:rsidRDefault="003B5BDA" w:rsidP="003B5BDA">
      <w:pPr>
        <w:pStyle w:val="2"/>
        <w:spacing w:before="120" w:after="0" w:line="240" w:lineRule="auto"/>
        <w:jc w:val="center"/>
        <w:rPr>
          <w:rFonts w:ascii="Times New Roman" w:hAnsi="Times New Roman"/>
          <w:lang w:val="ru-RU"/>
        </w:rPr>
      </w:pPr>
      <w:bookmarkStart w:id="48" w:name="_Toc451785035"/>
      <w:bookmarkStart w:id="49" w:name="_Toc515024211"/>
      <w:bookmarkStart w:id="50" w:name="_Toc9262563"/>
      <w:bookmarkStart w:id="51" w:name="_Toc42006713"/>
      <w:r w:rsidRPr="00A53AD7">
        <w:rPr>
          <w:rFonts w:ascii="Times New Roman" w:hAnsi="Times New Roman"/>
          <w:lang w:val="ru-RU"/>
        </w:rPr>
        <w:t>1.12. Демографическая ситуация</w:t>
      </w:r>
      <w:bookmarkEnd w:id="48"/>
      <w:bookmarkEnd w:id="49"/>
      <w:bookmarkEnd w:id="50"/>
      <w:bookmarkEnd w:id="51"/>
    </w:p>
    <w:p w14:paraId="470B467C"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предварительным статистическим данным (по оценке) численность постоянного населения Архангельской области в отчетном году, как и в 2018 году, продолжает сокращаться и по состоянию на 01.01.2020 года составила </w:t>
      </w:r>
      <w:r w:rsidRPr="00A53AD7">
        <w:rPr>
          <w:rFonts w:ascii="Times New Roman" w:hAnsi="Times New Roman"/>
          <w:sz w:val="28"/>
          <w:szCs w:val="28"/>
        </w:rPr>
        <w:lastRenderedPageBreak/>
        <w:t>1 092,4 тыс.чел. (–7,9 тыс.чел.), на 01.01.2019 года составляла 1 100,3 тыс.чел. (–10,7 тыс.чел), на 01.01.2018 составляла 1 111,0 тыс.чел., на 01.01.2017 составляла 1 121,8 тыс.чел.</w:t>
      </w:r>
    </w:p>
    <w:p w14:paraId="169BDD30"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Из общего числа постоянного населения Архангельской области на 01.01.2020 городское население составляет 860,8 тыс.чел., сельское население – 231,7 тыс.чел., на 01.01.2019 городское население составляет 864,0 тыс.чел., сельское население – 236,3 тыс.чел. (в 2017 году городское население – 868,9 тыс.чел., сельское население – 242,1 тыс.чел.).</w:t>
      </w:r>
    </w:p>
    <w:p w14:paraId="2FC45133" w14:textId="650789F8" w:rsidR="00047CA3" w:rsidRPr="00A53AD7" w:rsidRDefault="00047CA3" w:rsidP="00047CA3">
      <w:pPr>
        <w:pStyle w:val="ad"/>
        <w:ind w:firstLine="851"/>
        <w:jc w:val="both"/>
        <w:rPr>
          <w:rFonts w:ascii="Times New Roman" w:hAnsi="Times New Roman"/>
          <w:sz w:val="28"/>
          <w:szCs w:val="28"/>
        </w:rPr>
      </w:pPr>
      <w:r w:rsidRPr="00A53AD7">
        <w:rPr>
          <w:rFonts w:ascii="Times New Roman" w:hAnsi="Times New Roman"/>
          <w:sz w:val="28"/>
          <w:szCs w:val="28"/>
        </w:rPr>
        <w:t xml:space="preserve">В отчетном году продолжается увеличение доли городского населения и сокращение сельского населения в общей численности населения области, при том, что численность городского и сельского населения уменьшается, что представлено в таблице </w:t>
      </w:r>
      <w:r w:rsidR="005613D4" w:rsidRPr="00A53AD7">
        <w:rPr>
          <w:rFonts w:ascii="Times New Roman" w:hAnsi="Times New Roman"/>
          <w:sz w:val="28"/>
          <w:szCs w:val="28"/>
        </w:rPr>
        <w:t>16</w:t>
      </w:r>
      <w:r w:rsidRPr="00A53AD7">
        <w:rPr>
          <w:rFonts w:ascii="Times New Roman" w:hAnsi="Times New Roman"/>
          <w:sz w:val="28"/>
          <w:szCs w:val="28"/>
        </w:rPr>
        <w:t>:</w:t>
      </w:r>
    </w:p>
    <w:p w14:paraId="2A03C269" w14:textId="77777777" w:rsidR="00047CA3" w:rsidRPr="00A53AD7" w:rsidRDefault="00047CA3" w:rsidP="00047CA3">
      <w:pPr>
        <w:pStyle w:val="ad"/>
        <w:ind w:firstLine="851"/>
        <w:jc w:val="both"/>
        <w:rPr>
          <w:rFonts w:ascii="Times New Roman" w:hAnsi="Times New Roman"/>
          <w:sz w:val="28"/>
          <w:szCs w:val="28"/>
        </w:rPr>
      </w:pPr>
    </w:p>
    <w:p w14:paraId="2A34B337" w14:textId="77777777" w:rsidR="00047CA3" w:rsidRPr="00A53AD7" w:rsidRDefault="00047CA3" w:rsidP="00DE16C4">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16</w:t>
      </w:r>
      <w:r w:rsidRPr="00A53AD7">
        <w:rPr>
          <w:rFonts w:ascii="Times New Roman" w:hAnsi="Times New Roman"/>
          <w:sz w:val="24"/>
          <w:szCs w:val="24"/>
        </w:rPr>
        <w:fldChar w:fldCharType="end"/>
      </w:r>
      <w:r w:rsidRPr="00A53AD7">
        <w:rPr>
          <w:rFonts w:ascii="Times New Roman" w:hAnsi="Times New Roman"/>
          <w:sz w:val="24"/>
          <w:szCs w:val="24"/>
        </w:rPr>
        <w:t>. Доля городского и сельского населения в общей численности населения Архангельской области, %</w:t>
      </w:r>
    </w:p>
    <w:tbl>
      <w:tblPr>
        <w:tblW w:w="7774" w:type="dxa"/>
        <w:jc w:val="center"/>
        <w:tblLook w:val="04A0" w:firstRow="1" w:lastRow="0" w:firstColumn="1" w:lastColumn="0" w:noHBand="0" w:noVBand="1"/>
      </w:tblPr>
      <w:tblGrid>
        <w:gridCol w:w="2127"/>
        <w:gridCol w:w="1440"/>
        <w:gridCol w:w="1253"/>
        <w:gridCol w:w="969"/>
        <w:gridCol w:w="1100"/>
        <w:gridCol w:w="885"/>
      </w:tblGrid>
      <w:tr w:rsidR="00A53AD7" w:rsidRPr="00A53AD7" w14:paraId="4BA1C542" w14:textId="77777777" w:rsidTr="00CA1F07">
        <w:trPr>
          <w:trHeight w:val="239"/>
          <w:jc w:val="center"/>
        </w:trPr>
        <w:tc>
          <w:tcPr>
            <w:tcW w:w="2127"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42CC12D5"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Период</w:t>
            </w:r>
          </w:p>
        </w:tc>
        <w:tc>
          <w:tcPr>
            <w:tcW w:w="144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9FB44A8"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Численность населения</w:t>
            </w:r>
          </w:p>
        </w:tc>
        <w:tc>
          <w:tcPr>
            <w:tcW w:w="4207" w:type="dxa"/>
            <w:gridSpan w:val="4"/>
            <w:tcBorders>
              <w:top w:val="double" w:sz="6" w:space="0" w:color="auto"/>
              <w:left w:val="nil"/>
              <w:bottom w:val="single" w:sz="4" w:space="0" w:color="auto"/>
              <w:right w:val="double" w:sz="6" w:space="0" w:color="000000"/>
            </w:tcBorders>
            <w:shd w:val="clear" w:color="auto" w:fill="auto"/>
            <w:noWrap/>
            <w:vAlign w:val="center"/>
            <w:hideMark/>
          </w:tcPr>
          <w:p w14:paraId="27859B41"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Население</w:t>
            </w:r>
          </w:p>
        </w:tc>
      </w:tr>
      <w:tr w:rsidR="00A53AD7" w:rsidRPr="00A53AD7" w14:paraId="6E3883DB" w14:textId="77777777" w:rsidTr="00CA1F07">
        <w:trPr>
          <w:trHeight w:val="86"/>
          <w:jc w:val="center"/>
        </w:trPr>
        <w:tc>
          <w:tcPr>
            <w:tcW w:w="2127" w:type="dxa"/>
            <w:vMerge/>
            <w:tcBorders>
              <w:top w:val="double" w:sz="6" w:space="0" w:color="auto"/>
              <w:left w:val="double" w:sz="6" w:space="0" w:color="auto"/>
              <w:bottom w:val="single" w:sz="4" w:space="0" w:color="auto"/>
              <w:right w:val="single" w:sz="4" w:space="0" w:color="auto"/>
            </w:tcBorders>
            <w:vAlign w:val="center"/>
            <w:hideMark/>
          </w:tcPr>
          <w:p w14:paraId="18195B1B" w14:textId="77777777" w:rsidR="00047CA3" w:rsidRPr="00A53AD7" w:rsidRDefault="00047CA3" w:rsidP="00D377AB">
            <w:pPr>
              <w:spacing w:after="0" w:line="240" w:lineRule="auto"/>
              <w:jc w:val="center"/>
              <w:rPr>
                <w:rFonts w:ascii="Times New Roman" w:eastAsia="Times New Roman" w:hAnsi="Times New Roman"/>
                <w:lang w:eastAsia="ru-RU"/>
              </w:rPr>
            </w:pPr>
          </w:p>
        </w:tc>
        <w:tc>
          <w:tcPr>
            <w:tcW w:w="1440" w:type="dxa"/>
            <w:vMerge/>
            <w:tcBorders>
              <w:top w:val="double" w:sz="6" w:space="0" w:color="auto"/>
              <w:left w:val="single" w:sz="4" w:space="0" w:color="auto"/>
              <w:bottom w:val="single" w:sz="4" w:space="0" w:color="auto"/>
              <w:right w:val="single" w:sz="4" w:space="0" w:color="auto"/>
            </w:tcBorders>
            <w:vAlign w:val="center"/>
            <w:hideMark/>
          </w:tcPr>
          <w:p w14:paraId="1FC8E464" w14:textId="77777777" w:rsidR="00047CA3" w:rsidRPr="00A53AD7" w:rsidRDefault="00047CA3" w:rsidP="00D377AB">
            <w:pPr>
              <w:spacing w:after="0" w:line="240" w:lineRule="auto"/>
              <w:jc w:val="center"/>
              <w:rPr>
                <w:rFonts w:ascii="Times New Roman" w:eastAsia="Times New Roman" w:hAnsi="Times New Roman"/>
                <w:lang w:eastAsia="ru-RU"/>
              </w:rPr>
            </w:pPr>
          </w:p>
        </w:tc>
        <w:tc>
          <w:tcPr>
            <w:tcW w:w="1253" w:type="dxa"/>
            <w:tcBorders>
              <w:top w:val="nil"/>
              <w:left w:val="nil"/>
              <w:bottom w:val="single" w:sz="4" w:space="0" w:color="auto"/>
              <w:right w:val="single" w:sz="4" w:space="0" w:color="auto"/>
            </w:tcBorders>
            <w:shd w:val="clear" w:color="auto" w:fill="auto"/>
            <w:noWrap/>
            <w:vAlign w:val="bottom"/>
            <w:hideMark/>
          </w:tcPr>
          <w:p w14:paraId="78EE9209"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городское</w:t>
            </w:r>
          </w:p>
        </w:tc>
        <w:tc>
          <w:tcPr>
            <w:tcW w:w="969" w:type="dxa"/>
            <w:tcBorders>
              <w:top w:val="nil"/>
              <w:left w:val="nil"/>
              <w:bottom w:val="single" w:sz="4" w:space="0" w:color="auto"/>
              <w:right w:val="single" w:sz="4" w:space="0" w:color="auto"/>
            </w:tcBorders>
            <w:shd w:val="clear" w:color="auto" w:fill="auto"/>
            <w:noWrap/>
            <w:vAlign w:val="bottom"/>
            <w:hideMark/>
          </w:tcPr>
          <w:p w14:paraId="73656EEF"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1100" w:type="dxa"/>
            <w:tcBorders>
              <w:top w:val="nil"/>
              <w:left w:val="nil"/>
              <w:bottom w:val="single" w:sz="4" w:space="0" w:color="auto"/>
              <w:right w:val="single" w:sz="4" w:space="0" w:color="auto"/>
            </w:tcBorders>
            <w:shd w:val="clear" w:color="auto" w:fill="auto"/>
            <w:noWrap/>
            <w:vAlign w:val="bottom"/>
            <w:hideMark/>
          </w:tcPr>
          <w:p w14:paraId="155DB6D8"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сельское</w:t>
            </w:r>
          </w:p>
        </w:tc>
        <w:tc>
          <w:tcPr>
            <w:tcW w:w="885" w:type="dxa"/>
            <w:tcBorders>
              <w:top w:val="nil"/>
              <w:left w:val="nil"/>
              <w:bottom w:val="single" w:sz="4" w:space="0" w:color="auto"/>
              <w:right w:val="double" w:sz="6" w:space="0" w:color="auto"/>
            </w:tcBorders>
            <w:shd w:val="clear" w:color="auto" w:fill="auto"/>
            <w:noWrap/>
            <w:vAlign w:val="bottom"/>
            <w:hideMark/>
          </w:tcPr>
          <w:p w14:paraId="473C4539"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4DA81952" w14:textId="77777777" w:rsidTr="00FD17A7">
        <w:trPr>
          <w:trHeight w:val="255"/>
          <w:jc w:val="center"/>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092754D5"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01.01.2015</w:t>
            </w:r>
          </w:p>
        </w:tc>
        <w:tc>
          <w:tcPr>
            <w:tcW w:w="1440" w:type="dxa"/>
            <w:tcBorders>
              <w:top w:val="nil"/>
              <w:left w:val="nil"/>
              <w:bottom w:val="single" w:sz="4" w:space="0" w:color="auto"/>
              <w:right w:val="single" w:sz="4" w:space="0" w:color="auto"/>
            </w:tcBorders>
            <w:shd w:val="clear" w:color="auto" w:fill="auto"/>
            <w:noWrap/>
            <w:vAlign w:val="bottom"/>
            <w:hideMark/>
          </w:tcPr>
          <w:p w14:paraId="44EE34FD"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1 139,90</w:t>
            </w:r>
          </w:p>
        </w:tc>
        <w:tc>
          <w:tcPr>
            <w:tcW w:w="1253" w:type="dxa"/>
            <w:tcBorders>
              <w:top w:val="nil"/>
              <w:left w:val="nil"/>
              <w:bottom w:val="single" w:sz="4" w:space="0" w:color="auto"/>
              <w:right w:val="single" w:sz="4" w:space="0" w:color="auto"/>
            </w:tcBorders>
            <w:shd w:val="clear" w:color="auto" w:fill="auto"/>
            <w:noWrap/>
            <w:vAlign w:val="bottom"/>
            <w:hideMark/>
          </w:tcPr>
          <w:p w14:paraId="01739DF0"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879,7</w:t>
            </w:r>
          </w:p>
        </w:tc>
        <w:tc>
          <w:tcPr>
            <w:tcW w:w="969" w:type="dxa"/>
            <w:tcBorders>
              <w:top w:val="nil"/>
              <w:left w:val="nil"/>
              <w:bottom w:val="single" w:sz="4" w:space="0" w:color="auto"/>
              <w:right w:val="single" w:sz="4" w:space="0" w:color="auto"/>
            </w:tcBorders>
            <w:shd w:val="clear" w:color="auto" w:fill="auto"/>
            <w:noWrap/>
            <w:vAlign w:val="bottom"/>
            <w:hideMark/>
          </w:tcPr>
          <w:p w14:paraId="4B7EB35D"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77,2</w:t>
            </w:r>
          </w:p>
        </w:tc>
        <w:tc>
          <w:tcPr>
            <w:tcW w:w="1100" w:type="dxa"/>
            <w:tcBorders>
              <w:top w:val="nil"/>
              <w:left w:val="nil"/>
              <w:bottom w:val="single" w:sz="4" w:space="0" w:color="auto"/>
              <w:right w:val="single" w:sz="4" w:space="0" w:color="auto"/>
            </w:tcBorders>
            <w:shd w:val="clear" w:color="auto" w:fill="auto"/>
            <w:noWrap/>
            <w:vAlign w:val="bottom"/>
            <w:hideMark/>
          </w:tcPr>
          <w:p w14:paraId="56B3D2F2"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260,2</w:t>
            </w:r>
          </w:p>
        </w:tc>
        <w:tc>
          <w:tcPr>
            <w:tcW w:w="885" w:type="dxa"/>
            <w:tcBorders>
              <w:top w:val="nil"/>
              <w:left w:val="nil"/>
              <w:bottom w:val="single" w:sz="4" w:space="0" w:color="auto"/>
              <w:right w:val="double" w:sz="6" w:space="0" w:color="auto"/>
            </w:tcBorders>
            <w:shd w:val="clear" w:color="auto" w:fill="auto"/>
            <w:noWrap/>
            <w:vAlign w:val="bottom"/>
            <w:hideMark/>
          </w:tcPr>
          <w:p w14:paraId="4BB08340"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22,8</w:t>
            </w:r>
          </w:p>
        </w:tc>
      </w:tr>
      <w:tr w:rsidR="00A53AD7" w:rsidRPr="00A53AD7" w14:paraId="4465ED03" w14:textId="77777777" w:rsidTr="00FD17A7">
        <w:trPr>
          <w:trHeight w:val="255"/>
          <w:jc w:val="center"/>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44E04E48"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01.01.2016</w:t>
            </w:r>
          </w:p>
        </w:tc>
        <w:tc>
          <w:tcPr>
            <w:tcW w:w="1440" w:type="dxa"/>
            <w:tcBorders>
              <w:top w:val="nil"/>
              <w:left w:val="nil"/>
              <w:bottom w:val="single" w:sz="4" w:space="0" w:color="auto"/>
              <w:right w:val="single" w:sz="4" w:space="0" w:color="auto"/>
            </w:tcBorders>
            <w:shd w:val="clear" w:color="auto" w:fill="auto"/>
            <w:noWrap/>
            <w:vAlign w:val="bottom"/>
            <w:hideMark/>
          </w:tcPr>
          <w:p w14:paraId="6C2804C8"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1 130,30</w:t>
            </w:r>
          </w:p>
        </w:tc>
        <w:tc>
          <w:tcPr>
            <w:tcW w:w="1253" w:type="dxa"/>
            <w:tcBorders>
              <w:top w:val="nil"/>
              <w:left w:val="nil"/>
              <w:bottom w:val="single" w:sz="4" w:space="0" w:color="auto"/>
              <w:right w:val="single" w:sz="4" w:space="0" w:color="auto"/>
            </w:tcBorders>
            <w:shd w:val="clear" w:color="auto" w:fill="auto"/>
            <w:noWrap/>
            <w:vAlign w:val="bottom"/>
            <w:hideMark/>
          </w:tcPr>
          <w:p w14:paraId="564C6AAF"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877,2</w:t>
            </w:r>
          </w:p>
        </w:tc>
        <w:tc>
          <w:tcPr>
            <w:tcW w:w="969" w:type="dxa"/>
            <w:tcBorders>
              <w:top w:val="nil"/>
              <w:left w:val="nil"/>
              <w:bottom w:val="single" w:sz="4" w:space="0" w:color="auto"/>
              <w:right w:val="single" w:sz="4" w:space="0" w:color="auto"/>
            </w:tcBorders>
            <w:shd w:val="clear" w:color="auto" w:fill="auto"/>
            <w:noWrap/>
            <w:vAlign w:val="bottom"/>
            <w:hideMark/>
          </w:tcPr>
          <w:p w14:paraId="4CA5A97E"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77,6</w:t>
            </w:r>
          </w:p>
        </w:tc>
        <w:tc>
          <w:tcPr>
            <w:tcW w:w="1100" w:type="dxa"/>
            <w:tcBorders>
              <w:top w:val="nil"/>
              <w:left w:val="nil"/>
              <w:bottom w:val="single" w:sz="4" w:space="0" w:color="auto"/>
              <w:right w:val="single" w:sz="4" w:space="0" w:color="auto"/>
            </w:tcBorders>
            <w:shd w:val="clear" w:color="auto" w:fill="auto"/>
            <w:noWrap/>
            <w:vAlign w:val="bottom"/>
            <w:hideMark/>
          </w:tcPr>
          <w:p w14:paraId="0A643286"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253,1</w:t>
            </w:r>
          </w:p>
        </w:tc>
        <w:tc>
          <w:tcPr>
            <w:tcW w:w="885" w:type="dxa"/>
            <w:tcBorders>
              <w:top w:val="nil"/>
              <w:left w:val="nil"/>
              <w:bottom w:val="single" w:sz="4" w:space="0" w:color="auto"/>
              <w:right w:val="double" w:sz="6" w:space="0" w:color="auto"/>
            </w:tcBorders>
            <w:shd w:val="clear" w:color="auto" w:fill="auto"/>
            <w:noWrap/>
            <w:vAlign w:val="bottom"/>
            <w:hideMark/>
          </w:tcPr>
          <w:p w14:paraId="40F2F9CC"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22,4</w:t>
            </w:r>
          </w:p>
        </w:tc>
      </w:tr>
      <w:tr w:rsidR="00A53AD7" w:rsidRPr="00A53AD7" w14:paraId="00126C9A" w14:textId="77777777" w:rsidTr="00FD17A7">
        <w:trPr>
          <w:trHeight w:val="255"/>
          <w:jc w:val="center"/>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15426721"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01.01.2017</w:t>
            </w:r>
          </w:p>
        </w:tc>
        <w:tc>
          <w:tcPr>
            <w:tcW w:w="1440" w:type="dxa"/>
            <w:tcBorders>
              <w:top w:val="nil"/>
              <w:left w:val="nil"/>
              <w:bottom w:val="single" w:sz="4" w:space="0" w:color="auto"/>
              <w:right w:val="single" w:sz="4" w:space="0" w:color="auto"/>
            </w:tcBorders>
            <w:shd w:val="clear" w:color="auto" w:fill="auto"/>
            <w:noWrap/>
            <w:vAlign w:val="bottom"/>
            <w:hideMark/>
          </w:tcPr>
          <w:p w14:paraId="2F7B2B11"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1 121,80</w:t>
            </w:r>
          </w:p>
        </w:tc>
        <w:tc>
          <w:tcPr>
            <w:tcW w:w="1253" w:type="dxa"/>
            <w:tcBorders>
              <w:top w:val="nil"/>
              <w:left w:val="nil"/>
              <w:bottom w:val="single" w:sz="4" w:space="0" w:color="auto"/>
              <w:right w:val="single" w:sz="4" w:space="0" w:color="auto"/>
            </w:tcBorders>
            <w:shd w:val="clear" w:color="auto" w:fill="auto"/>
            <w:noWrap/>
            <w:vAlign w:val="bottom"/>
            <w:hideMark/>
          </w:tcPr>
          <w:p w14:paraId="232FE8FE"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874,6</w:t>
            </w:r>
          </w:p>
        </w:tc>
        <w:tc>
          <w:tcPr>
            <w:tcW w:w="969" w:type="dxa"/>
            <w:tcBorders>
              <w:top w:val="nil"/>
              <w:left w:val="nil"/>
              <w:bottom w:val="single" w:sz="4" w:space="0" w:color="auto"/>
              <w:right w:val="single" w:sz="4" w:space="0" w:color="auto"/>
            </w:tcBorders>
            <w:shd w:val="clear" w:color="auto" w:fill="auto"/>
            <w:noWrap/>
            <w:vAlign w:val="bottom"/>
            <w:hideMark/>
          </w:tcPr>
          <w:p w14:paraId="000A2C7F"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78,0</w:t>
            </w:r>
          </w:p>
        </w:tc>
        <w:tc>
          <w:tcPr>
            <w:tcW w:w="1100" w:type="dxa"/>
            <w:tcBorders>
              <w:top w:val="nil"/>
              <w:left w:val="nil"/>
              <w:bottom w:val="single" w:sz="4" w:space="0" w:color="auto"/>
              <w:right w:val="single" w:sz="4" w:space="0" w:color="auto"/>
            </w:tcBorders>
            <w:shd w:val="clear" w:color="auto" w:fill="auto"/>
            <w:noWrap/>
            <w:vAlign w:val="bottom"/>
            <w:hideMark/>
          </w:tcPr>
          <w:p w14:paraId="2159BDE9"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247,2</w:t>
            </w:r>
          </w:p>
        </w:tc>
        <w:tc>
          <w:tcPr>
            <w:tcW w:w="885" w:type="dxa"/>
            <w:tcBorders>
              <w:top w:val="nil"/>
              <w:left w:val="nil"/>
              <w:bottom w:val="single" w:sz="4" w:space="0" w:color="auto"/>
              <w:right w:val="double" w:sz="6" w:space="0" w:color="auto"/>
            </w:tcBorders>
            <w:shd w:val="clear" w:color="auto" w:fill="auto"/>
            <w:noWrap/>
            <w:vAlign w:val="bottom"/>
            <w:hideMark/>
          </w:tcPr>
          <w:p w14:paraId="0AD748D9"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22,0</w:t>
            </w:r>
          </w:p>
        </w:tc>
      </w:tr>
      <w:tr w:rsidR="00A53AD7" w:rsidRPr="00A53AD7" w14:paraId="56DDC470" w14:textId="77777777" w:rsidTr="00FD17A7">
        <w:trPr>
          <w:trHeight w:val="255"/>
          <w:jc w:val="center"/>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5DDCF329"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01.01.2018</w:t>
            </w:r>
          </w:p>
        </w:tc>
        <w:tc>
          <w:tcPr>
            <w:tcW w:w="1440" w:type="dxa"/>
            <w:tcBorders>
              <w:top w:val="nil"/>
              <w:left w:val="nil"/>
              <w:bottom w:val="single" w:sz="4" w:space="0" w:color="auto"/>
              <w:right w:val="single" w:sz="4" w:space="0" w:color="auto"/>
            </w:tcBorders>
            <w:shd w:val="clear" w:color="auto" w:fill="auto"/>
            <w:noWrap/>
            <w:vAlign w:val="bottom"/>
            <w:hideMark/>
          </w:tcPr>
          <w:p w14:paraId="006953FA"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1 111,00</w:t>
            </w:r>
          </w:p>
        </w:tc>
        <w:tc>
          <w:tcPr>
            <w:tcW w:w="1253" w:type="dxa"/>
            <w:tcBorders>
              <w:top w:val="nil"/>
              <w:left w:val="nil"/>
              <w:bottom w:val="single" w:sz="4" w:space="0" w:color="auto"/>
              <w:right w:val="single" w:sz="4" w:space="0" w:color="auto"/>
            </w:tcBorders>
            <w:shd w:val="clear" w:color="auto" w:fill="auto"/>
            <w:noWrap/>
            <w:vAlign w:val="bottom"/>
            <w:hideMark/>
          </w:tcPr>
          <w:p w14:paraId="63C74408"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868,9</w:t>
            </w:r>
          </w:p>
        </w:tc>
        <w:tc>
          <w:tcPr>
            <w:tcW w:w="969" w:type="dxa"/>
            <w:tcBorders>
              <w:top w:val="nil"/>
              <w:left w:val="nil"/>
              <w:bottom w:val="single" w:sz="4" w:space="0" w:color="auto"/>
              <w:right w:val="single" w:sz="4" w:space="0" w:color="auto"/>
            </w:tcBorders>
            <w:shd w:val="clear" w:color="auto" w:fill="auto"/>
            <w:noWrap/>
            <w:vAlign w:val="bottom"/>
            <w:hideMark/>
          </w:tcPr>
          <w:p w14:paraId="6E89D92C"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78,2</w:t>
            </w:r>
          </w:p>
        </w:tc>
        <w:tc>
          <w:tcPr>
            <w:tcW w:w="1100" w:type="dxa"/>
            <w:tcBorders>
              <w:top w:val="nil"/>
              <w:left w:val="nil"/>
              <w:bottom w:val="single" w:sz="4" w:space="0" w:color="auto"/>
              <w:right w:val="single" w:sz="4" w:space="0" w:color="auto"/>
            </w:tcBorders>
            <w:shd w:val="clear" w:color="auto" w:fill="auto"/>
            <w:noWrap/>
            <w:vAlign w:val="bottom"/>
            <w:hideMark/>
          </w:tcPr>
          <w:p w14:paraId="395D5549"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242,1</w:t>
            </w:r>
          </w:p>
        </w:tc>
        <w:tc>
          <w:tcPr>
            <w:tcW w:w="885" w:type="dxa"/>
            <w:tcBorders>
              <w:top w:val="nil"/>
              <w:left w:val="nil"/>
              <w:bottom w:val="single" w:sz="4" w:space="0" w:color="auto"/>
              <w:right w:val="double" w:sz="6" w:space="0" w:color="auto"/>
            </w:tcBorders>
            <w:shd w:val="clear" w:color="auto" w:fill="auto"/>
            <w:noWrap/>
            <w:vAlign w:val="bottom"/>
            <w:hideMark/>
          </w:tcPr>
          <w:p w14:paraId="4C9DA55D"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21,8</w:t>
            </w:r>
          </w:p>
        </w:tc>
      </w:tr>
      <w:tr w:rsidR="00A53AD7" w:rsidRPr="00A53AD7" w14:paraId="3FBD5975" w14:textId="77777777" w:rsidTr="00FD17A7">
        <w:trPr>
          <w:trHeight w:val="255"/>
          <w:jc w:val="center"/>
        </w:trPr>
        <w:tc>
          <w:tcPr>
            <w:tcW w:w="2127" w:type="dxa"/>
            <w:tcBorders>
              <w:top w:val="nil"/>
              <w:left w:val="double" w:sz="6" w:space="0" w:color="auto"/>
              <w:bottom w:val="single" w:sz="4" w:space="0" w:color="auto"/>
              <w:right w:val="single" w:sz="4" w:space="0" w:color="auto"/>
            </w:tcBorders>
            <w:shd w:val="clear" w:color="auto" w:fill="auto"/>
            <w:noWrap/>
            <w:vAlign w:val="bottom"/>
            <w:hideMark/>
          </w:tcPr>
          <w:p w14:paraId="14C5ECDC"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01.01.2019</w:t>
            </w:r>
          </w:p>
        </w:tc>
        <w:tc>
          <w:tcPr>
            <w:tcW w:w="1440" w:type="dxa"/>
            <w:tcBorders>
              <w:top w:val="nil"/>
              <w:left w:val="nil"/>
              <w:bottom w:val="single" w:sz="4" w:space="0" w:color="auto"/>
              <w:right w:val="single" w:sz="4" w:space="0" w:color="auto"/>
            </w:tcBorders>
            <w:shd w:val="clear" w:color="auto" w:fill="auto"/>
            <w:noWrap/>
            <w:vAlign w:val="bottom"/>
            <w:hideMark/>
          </w:tcPr>
          <w:p w14:paraId="081C642E"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1 100,30</w:t>
            </w:r>
          </w:p>
        </w:tc>
        <w:tc>
          <w:tcPr>
            <w:tcW w:w="1253" w:type="dxa"/>
            <w:tcBorders>
              <w:top w:val="nil"/>
              <w:left w:val="nil"/>
              <w:bottom w:val="single" w:sz="4" w:space="0" w:color="auto"/>
              <w:right w:val="single" w:sz="4" w:space="0" w:color="auto"/>
            </w:tcBorders>
            <w:shd w:val="clear" w:color="auto" w:fill="auto"/>
            <w:noWrap/>
            <w:vAlign w:val="bottom"/>
            <w:hideMark/>
          </w:tcPr>
          <w:p w14:paraId="443BEB4A"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863,7</w:t>
            </w:r>
          </w:p>
        </w:tc>
        <w:tc>
          <w:tcPr>
            <w:tcW w:w="969" w:type="dxa"/>
            <w:tcBorders>
              <w:top w:val="nil"/>
              <w:left w:val="nil"/>
              <w:bottom w:val="single" w:sz="4" w:space="0" w:color="auto"/>
              <w:right w:val="single" w:sz="4" w:space="0" w:color="auto"/>
            </w:tcBorders>
            <w:shd w:val="clear" w:color="auto" w:fill="auto"/>
            <w:noWrap/>
            <w:vAlign w:val="bottom"/>
            <w:hideMark/>
          </w:tcPr>
          <w:p w14:paraId="49BE40A9"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78,5</w:t>
            </w:r>
          </w:p>
        </w:tc>
        <w:tc>
          <w:tcPr>
            <w:tcW w:w="1100" w:type="dxa"/>
            <w:tcBorders>
              <w:top w:val="nil"/>
              <w:left w:val="nil"/>
              <w:bottom w:val="single" w:sz="4" w:space="0" w:color="auto"/>
              <w:right w:val="single" w:sz="4" w:space="0" w:color="auto"/>
            </w:tcBorders>
            <w:shd w:val="clear" w:color="auto" w:fill="auto"/>
            <w:noWrap/>
            <w:vAlign w:val="bottom"/>
            <w:hideMark/>
          </w:tcPr>
          <w:p w14:paraId="22C377E0"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236,6</w:t>
            </w:r>
          </w:p>
        </w:tc>
        <w:tc>
          <w:tcPr>
            <w:tcW w:w="885" w:type="dxa"/>
            <w:tcBorders>
              <w:top w:val="nil"/>
              <w:left w:val="nil"/>
              <w:bottom w:val="single" w:sz="4" w:space="0" w:color="auto"/>
              <w:right w:val="double" w:sz="6" w:space="0" w:color="auto"/>
            </w:tcBorders>
            <w:shd w:val="clear" w:color="auto" w:fill="auto"/>
            <w:noWrap/>
            <w:vAlign w:val="bottom"/>
            <w:hideMark/>
          </w:tcPr>
          <w:p w14:paraId="3FDA961B"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21,5</w:t>
            </w:r>
          </w:p>
        </w:tc>
      </w:tr>
      <w:tr w:rsidR="00047CA3" w:rsidRPr="00A53AD7" w14:paraId="0EE5B67C" w14:textId="77777777" w:rsidTr="00FD17A7">
        <w:trPr>
          <w:trHeight w:val="255"/>
          <w:jc w:val="center"/>
        </w:trPr>
        <w:tc>
          <w:tcPr>
            <w:tcW w:w="2127" w:type="dxa"/>
            <w:tcBorders>
              <w:top w:val="nil"/>
              <w:left w:val="double" w:sz="6" w:space="0" w:color="auto"/>
              <w:bottom w:val="double" w:sz="6" w:space="0" w:color="auto"/>
              <w:right w:val="single" w:sz="4" w:space="0" w:color="auto"/>
            </w:tcBorders>
            <w:shd w:val="clear" w:color="auto" w:fill="auto"/>
            <w:noWrap/>
            <w:vAlign w:val="bottom"/>
            <w:hideMark/>
          </w:tcPr>
          <w:p w14:paraId="5E1DBA90" w14:textId="77777777" w:rsidR="00047CA3" w:rsidRPr="00A53AD7" w:rsidRDefault="00047CA3" w:rsidP="00D377A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01.01.2020</w:t>
            </w:r>
          </w:p>
        </w:tc>
        <w:tc>
          <w:tcPr>
            <w:tcW w:w="1440" w:type="dxa"/>
            <w:tcBorders>
              <w:top w:val="nil"/>
              <w:left w:val="nil"/>
              <w:bottom w:val="double" w:sz="6" w:space="0" w:color="auto"/>
              <w:right w:val="single" w:sz="4" w:space="0" w:color="auto"/>
            </w:tcBorders>
            <w:shd w:val="clear" w:color="auto" w:fill="auto"/>
            <w:noWrap/>
            <w:vAlign w:val="bottom"/>
            <w:hideMark/>
          </w:tcPr>
          <w:p w14:paraId="358B1715"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1 092,40</w:t>
            </w:r>
          </w:p>
        </w:tc>
        <w:tc>
          <w:tcPr>
            <w:tcW w:w="1253" w:type="dxa"/>
            <w:tcBorders>
              <w:top w:val="nil"/>
              <w:left w:val="nil"/>
              <w:bottom w:val="double" w:sz="6" w:space="0" w:color="auto"/>
              <w:right w:val="single" w:sz="4" w:space="0" w:color="auto"/>
            </w:tcBorders>
            <w:shd w:val="clear" w:color="auto" w:fill="auto"/>
            <w:noWrap/>
            <w:vAlign w:val="bottom"/>
            <w:hideMark/>
          </w:tcPr>
          <w:p w14:paraId="34014244"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860,8</w:t>
            </w:r>
          </w:p>
        </w:tc>
        <w:tc>
          <w:tcPr>
            <w:tcW w:w="969" w:type="dxa"/>
            <w:tcBorders>
              <w:top w:val="nil"/>
              <w:left w:val="nil"/>
              <w:bottom w:val="double" w:sz="6" w:space="0" w:color="auto"/>
              <w:right w:val="single" w:sz="4" w:space="0" w:color="auto"/>
            </w:tcBorders>
            <w:shd w:val="clear" w:color="auto" w:fill="auto"/>
            <w:noWrap/>
            <w:vAlign w:val="bottom"/>
            <w:hideMark/>
          </w:tcPr>
          <w:p w14:paraId="2F58090A"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78,8</w:t>
            </w:r>
          </w:p>
        </w:tc>
        <w:tc>
          <w:tcPr>
            <w:tcW w:w="1100" w:type="dxa"/>
            <w:tcBorders>
              <w:top w:val="nil"/>
              <w:left w:val="nil"/>
              <w:bottom w:val="double" w:sz="6" w:space="0" w:color="auto"/>
              <w:right w:val="single" w:sz="4" w:space="0" w:color="auto"/>
            </w:tcBorders>
            <w:shd w:val="clear" w:color="auto" w:fill="auto"/>
            <w:noWrap/>
            <w:vAlign w:val="bottom"/>
            <w:hideMark/>
          </w:tcPr>
          <w:p w14:paraId="5F5F9268"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231,7</w:t>
            </w:r>
          </w:p>
        </w:tc>
        <w:tc>
          <w:tcPr>
            <w:tcW w:w="885" w:type="dxa"/>
            <w:tcBorders>
              <w:top w:val="nil"/>
              <w:left w:val="nil"/>
              <w:bottom w:val="double" w:sz="6" w:space="0" w:color="auto"/>
              <w:right w:val="double" w:sz="6" w:space="0" w:color="auto"/>
            </w:tcBorders>
            <w:shd w:val="clear" w:color="auto" w:fill="auto"/>
            <w:noWrap/>
            <w:vAlign w:val="bottom"/>
            <w:hideMark/>
          </w:tcPr>
          <w:p w14:paraId="70808E73" w14:textId="77777777" w:rsidR="00047CA3" w:rsidRPr="00A53AD7" w:rsidRDefault="00047CA3" w:rsidP="00D377AB">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21,2</w:t>
            </w:r>
          </w:p>
        </w:tc>
      </w:tr>
    </w:tbl>
    <w:p w14:paraId="1D966B52" w14:textId="77777777" w:rsidR="00047CA3" w:rsidRPr="00A53AD7" w:rsidRDefault="00047CA3" w:rsidP="00047CA3">
      <w:pPr>
        <w:pStyle w:val="ad"/>
        <w:ind w:firstLine="851"/>
        <w:jc w:val="both"/>
        <w:rPr>
          <w:rFonts w:ascii="Times New Roman" w:hAnsi="Times New Roman"/>
          <w:sz w:val="28"/>
          <w:szCs w:val="28"/>
        </w:rPr>
      </w:pPr>
    </w:p>
    <w:p w14:paraId="1A351149"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Архангельской области сохраняется тенденция постепенного оттока населения из сельской местности в города.</w:t>
      </w:r>
    </w:p>
    <w:p w14:paraId="45A3315E" w14:textId="77777777" w:rsidR="00FD17A7" w:rsidRPr="00A53AD7" w:rsidRDefault="00FD17A7" w:rsidP="00FD17A7">
      <w:pPr>
        <w:pStyle w:val="ad"/>
        <w:ind w:firstLine="851"/>
        <w:jc w:val="both"/>
        <w:rPr>
          <w:rFonts w:ascii="Times New Roman" w:hAnsi="Times New Roman"/>
          <w:strike/>
          <w:sz w:val="28"/>
          <w:szCs w:val="28"/>
        </w:rPr>
      </w:pPr>
      <w:r w:rsidRPr="00A53AD7">
        <w:rPr>
          <w:rFonts w:ascii="Times New Roman" w:hAnsi="Times New Roman"/>
          <w:sz w:val="28"/>
          <w:szCs w:val="28"/>
        </w:rPr>
        <w:t>В целом по предварительным данным в Российской Федерации в 2019 году родилось 1 484 517 чел., что на 114 799 чел. меньше, чем в 2018 году (1 599 316 чел., в 2017 году – 1 689 884 чел., в 2016 году – 1 893 256 чел.). Тенденция снижения рождаемости установлена и в СЗФО: так в 2019 году родилось 133 996 чел., в 2018 году родилось 145 395 чел., в 2017 году – 154 786 чел., в 2016 – 172 949 чел.</w:t>
      </w:r>
    </w:p>
    <w:p w14:paraId="2B41943B"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Архангельская область в отчетном году, как и в прошлом году, находится на четвертом месте среди субъектов СЗФО по числу родившихся: в 2019 году родилось – 9 662 чел., но это на 9,5 % меньше показателей прошлого года, в 2018 году родилось – 10 674 чел., что на 8,9 % меньше показателей прошлого года, в 2017 году – 11 722 чел., что меньше на 11,7 % показателей 2016 года, в 2016 году – 13 276 чел., что на 4,5 % ниже показателей 2015 года (13 908 человек).</w:t>
      </w:r>
    </w:p>
    <w:p w14:paraId="0DE0568E"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Наибольший коэффициент рождаемости среди субъектов СЗФО в г. Санкт-Петербург – 11,0 на 1 000 чел. населения, наименьший коэффициент рождаемости в Ленинградской области – 7,3 на 1 000 чел. населения. Наименьший коэффициент смертности – в Ненецком автономном округе – 8,5 на 1 000 чел. населения, наибольший коэффициент смертности – в Псковской области: 16,9 на 1 000 чел. населения.</w:t>
      </w:r>
    </w:p>
    <w:p w14:paraId="7265451F" w14:textId="5CE8AFA3"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lastRenderedPageBreak/>
        <w:t>Данные статистики указывают на тенденцию ежегодного уменьшения рождаемости как в целом в Российской Федерации, так и в целом про СЗФО. Архан</w:t>
      </w:r>
      <w:r w:rsidR="007C701C" w:rsidRPr="00A53AD7">
        <w:rPr>
          <w:rFonts w:ascii="Times New Roman" w:hAnsi="Times New Roman"/>
          <w:sz w:val="28"/>
          <w:szCs w:val="28"/>
        </w:rPr>
        <w:t>гельская область не исключение.</w:t>
      </w:r>
    </w:p>
    <w:p w14:paraId="3219B7AA" w14:textId="24D1A9BF"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Динамика общего коэффициента рождаемости и коэффициента смертности в Архангельской области по предварительным данным представлена на рисунке </w:t>
      </w:r>
      <w:r w:rsidR="005613D4" w:rsidRPr="00A53AD7">
        <w:rPr>
          <w:rFonts w:ascii="Times New Roman" w:hAnsi="Times New Roman"/>
          <w:sz w:val="28"/>
          <w:szCs w:val="28"/>
        </w:rPr>
        <w:t>8</w:t>
      </w:r>
      <w:r w:rsidRPr="00A53AD7">
        <w:rPr>
          <w:rFonts w:ascii="Times New Roman" w:hAnsi="Times New Roman"/>
          <w:sz w:val="28"/>
          <w:szCs w:val="28"/>
        </w:rPr>
        <w:t>.</w:t>
      </w:r>
    </w:p>
    <w:p w14:paraId="1FA7C2E9" w14:textId="7E1BFB77" w:rsidR="003B5BDA" w:rsidRPr="00A53AD7" w:rsidRDefault="008F652D" w:rsidP="00003575">
      <w:pPr>
        <w:pStyle w:val="ad"/>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625883C" wp14:editId="091568C3">
            <wp:extent cx="4864735" cy="28041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64735" cy="2804160"/>
                    </a:xfrm>
                    <a:prstGeom prst="rect">
                      <a:avLst/>
                    </a:prstGeom>
                    <a:noFill/>
                  </pic:spPr>
                </pic:pic>
              </a:graphicData>
            </a:graphic>
          </wp:inline>
        </w:drawing>
      </w:r>
    </w:p>
    <w:p w14:paraId="01ED296F" w14:textId="0184E4B4" w:rsidR="003B5BDA" w:rsidRPr="00A53AD7" w:rsidRDefault="00003575" w:rsidP="003B5BDA">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8</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3B5BDA" w:rsidRPr="00A53AD7">
        <w:rPr>
          <w:rFonts w:ascii="Times New Roman" w:hAnsi="Times New Roman"/>
          <w:sz w:val="24"/>
          <w:szCs w:val="24"/>
        </w:rPr>
        <w:t>Динамика коэффициента рождаемости и коэффициента смертности в Архангельской области за 2016-2019 годы, чел. на 1000 чел.</w:t>
      </w:r>
    </w:p>
    <w:p w14:paraId="025B3110" w14:textId="77777777" w:rsidR="003B5BDA" w:rsidRPr="00A53AD7" w:rsidRDefault="003B5BDA" w:rsidP="003B5BDA">
      <w:pPr>
        <w:pStyle w:val="ad"/>
        <w:ind w:firstLine="851"/>
        <w:jc w:val="both"/>
        <w:rPr>
          <w:rFonts w:ascii="Times New Roman" w:hAnsi="Times New Roman"/>
          <w:sz w:val="24"/>
          <w:szCs w:val="24"/>
          <w:highlight w:val="cyan"/>
        </w:rPr>
      </w:pPr>
    </w:p>
    <w:p w14:paraId="51DEC860" w14:textId="0C8623A3" w:rsidR="008F652D" w:rsidRPr="00A53AD7" w:rsidRDefault="008F652D" w:rsidP="008F652D">
      <w:pPr>
        <w:pStyle w:val="ad"/>
        <w:ind w:firstLine="851"/>
        <w:jc w:val="both"/>
        <w:rPr>
          <w:rFonts w:ascii="Times New Roman" w:hAnsi="Times New Roman"/>
          <w:sz w:val="28"/>
          <w:szCs w:val="28"/>
        </w:rPr>
      </w:pPr>
      <w:r w:rsidRPr="00A53AD7">
        <w:rPr>
          <w:rFonts w:ascii="Times New Roman" w:hAnsi="Times New Roman"/>
          <w:sz w:val="28"/>
          <w:szCs w:val="28"/>
        </w:rPr>
        <w:t>Общий коэффициент рождаемости в Архангельской области в январе-декабре 2019 года составил 8,8 на 1 000 чел. населения, что на 4,4 ед. меньше коэффициента смертности, который составил 13,2 на 1 000 чел. населения. В 2018 году общий коэффициент рождаемости в Архангельской области составлял 9,6 на 1 000 чел. населения, что на 3,</w:t>
      </w:r>
      <w:r w:rsidR="00790A49" w:rsidRPr="00A53AD7">
        <w:rPr>
          <w:rFonts w:ascii="Times New Roman" w:hAnsi="Times New Roman"/>
          <w:sz w:val="28"/>
          <w:szCs w:val="28"/>
        </w:rPr>
        <w:t>7</w:t>
      </w:r>
      <w:r w:rsidRPr="00A53AD7">
        <w:rPr>
          <w:rFonts w:ascii="Times New Roman" w:hAnsi="Times New Roman"/>
          <w:sz w:val="28"/>
          <w:szCs w:val="28"/>
        </w:rPr>
        <w:t xml:space="preserve"> ед. меньше коэффициента смертности, который составил 13,3 на 1 000 чел. населения. В 2017 году общий коэффициент рождаемости на 1 000 человек составлял 10,5; коэффициент смертности – 13,2 на 1 000 человек; в 2016 году общий коэффициент рождаемости на 1 000 человек составлял 11,8; коэффициент смертности 13,7 на 1 000 человек. Таким образом установлено, что при снижении общего коэффициента рождаемости в регионе, коэффициент смертности остается практически в одном показателе на протяжении трех лет.</w:t>
      </w:r>
    </w:p>
    <w:p w14:paraId="6A10620A"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Естественная убыль в регионе за отчетный год составила 4 826 человек, что на 823 человек или на 20,5 % больше, чем в прошлом году. В 2018 году естественная убыль в регионе составляла 4 003 человека, что на 1 035 человек или почти на 35 % больше, чем за 2017 год (2 968 человек); в 2016 году – 2 161 человек. Число умерших в 2019 году в регионе (без НАО) составило 14 488 человек.</w:t>
      </w:r>
    </w:p>
    <w:p w14:paraId="118E19B0" w14:textId="058C23DE"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предварительным статистическим данным за отчетный период в Архангельскую область прибыло 39 922 человека, что меньше прошлогоднего показателя на 1 549 человека или на 3,7 %. В 2018 году прибывших в регион было 41 471 человек, что больше показателя 2017 года на </w:t>
      </w:r>
      <w:r w:rsidRPr="00A53AD7">
        <w:rPr>
          <w:rFonts w:ascii="Times New Roman" w:hAnsi="Times New Roman"/>
          <w:sz w:val="28"/>
          <w:szCs w:val="28"/>
        </w:rPr>
        <w:lastRenderedPageBreak/>
        <w:t xml:space="preserve">6,0 % (в 2017 году – 39 110 человек); покинули область 42 989 человека, что меньше прошлогоднего показателя на 5 183 человека или на 10,7 %. В 2018 году покинуло регион 48 172 человека, что больше показателя 2017 года на 2,6 % </w:t>
      </w:r>
      <w:r w:rsidR="006B0248" w:rsidRPr="00A53AD7">
        <w:rPr>
          <w:rFonts w:ascii="Times New Roman" w:hAnsi="Times New Roman"/>
          <w:sz w:val="28"/>
          <w:szCs w:val="28"/>
        </w:rPr>
        <w:t>(в 2017 году – 46 924 человек).</w:t>
      </w:r>
    </w:p>
    <w:p w14:paraId="137C38AD"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При снижении числа прибывших в область в 2019 году миграционный отток составил 3 069 человека, что меньше показателей 2018 года на 3 634 или на 54,2 % (6 701 человек). В 2017 года миграционный отток составлял 7 814 человек.</w:t>
      </w:r>
    </w:p>
    <w:p w14:paraId="1F97001E" w14:textId="77777777"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Среди регионов СЗФО в текущем году по числу выбывших человек Архангельскую область, как и в прошлом году, опережает только Республика Коми. По числу прибывших человек лидерство у г. Санкт-Петербург, Ленинградской и Калининградской областей.</w:t>
      </w:r>
    </w:p>
    <w:p w14:paraId="7EEC4C5F" w14:textId="0B750FE1"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За отчетный год в Архангельской области установлено снижение численности постоянного населения, что обусловлено снижением рождаемости, естественной убылью населения, превышением числа выбывших из региона над числом прибывших в область, как и на протяжении ряда </w:t>
      </w:r>
      <w:r w:rsidR="000437E5" w:rsidRPr="00A53AD7">
        <w:rPr>
          <w:rFonts w:ascii="Times New Roman" w:hAnsi="Times New Roman"/>
          <w:sz w:val="28"/>
          <w:szCs w:val="28"/>
        </w:rPr>
        <w:t xml:space="preserve">предшествующих </w:t>
      </w:r>
      <w:r w:rsidRPr="00A53AD7">
        <w:rPr>
          <w:rFonts w:ascii="Times New Roman" w:hAnsi="Times New Roman"/>
          <w:sz w:val="28"/>
          <w:szCs w:val="28"/>
        </w:rPr>
        <w:t>лет.</w:t>
      </w:r>
    </w:p>
    <w:p w14:paraId="4A3AD1AC" w14:textId="77777777" w:rsidR="003B5BDA" w:rsidRPr="00A53AD7" w:rsidRDefault="003B5BDA" w:rsidP="003B5BDA">
      <w:pPr>
        <w:pStyle w:val="2"/>
        <w:spacing w:before="120" w:after="0" w:line="240" w:lineRule="auto"/>
        <w:jc w:val="center"/>
        <w:rPr>
          <w:rFonts w:ascii="Times New Roman" w:hAnsi="Times New Roman"/>
          <w:lang w:val="ru-RU"/>
        </w:rPr>
      </w:pPr>
      <w:bookmarkStart w:id="52" w:name="_Toc451785036"/>
      <w:bookmarkStart w:id="53" w:name="_Toc515024212"/>
      <w:bookmarkStart w:id="54" w:name="_Toc9262564"/>
      <w:bookmarkStart w:id="55" w:name="_Toc42006714"/>
      <w:r w:rsidRPr="00A53AD7">
        <w:rPr>
          <w:rFonts w:ascii="Times New Roman" w:hAnsi="Times New Roman"/>
          <w:lang w:val="ru-RU"/>
        </w:rPr>
        <w:t xml:space="preserve">1.13. </w:t>
      </w:r>
      <w:bookmarkStart w:id="56" w:name="_Toc451785037"/>
      <w:bookmarkStart w:id="57" w:name="_Toc515024213"/>
      <w:bookmarkStart w:id="58" w:name="_Toc9262565"/>
      <w:bookmarkEnd w:id="52"/>
      <w:bookmarkEnd w:id="53"/>
      <w:bookmarkEnd w:id="54"/>
      <w:r w:rsidRPr="00A53AD7">
        <w:rPr>
          <w:rFonts w:ascii="Times New Roman" w:hAnsi="Times New Roman"/>
          <w:lang w:val="ru-RU"/>
        </w:rPr>
        <w:t>Итоги развития Архангельской области в 2019 году</w:t>
      </w:r>
      <w:bookmarkEnd w:id="55"/>
      <w:bookmarkEnd w:id="56"/>
      <w:bookmarkEnd w:id="57"/>
      <w:bookmarkEnd w:id="58"/>
    </w:p>
    <w:p w14:paraId="4D8A8262" w14:textId="47F00858"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В целом итоги социально-экономического развития Архангельской области </w:t>
      </w:r>
      <w:r w:rsidR="00D50A5E" w:rsidRPr="00A53AD7">
        <w:rPr>
          <w:rFonts w:ascii="Times New Roman" w:hAnsi="Times New Roman"/>
          <w:sz w:val="28"/>
          <w:szCs w:val="28"/>
        </w:rPr>
        <w:t xml:space="preserve">в 2019 году можно охарактеризовать </w:t>
      </w:r>
      <w:r w:rsidRPr="00A53AD7">
        <w:rPr>
          <w:rFonts w:ascii="Times New Roman" w:hAnsi="Times New Roman"/>
          <w:sz w:val="28"/>
          <w:szCs w:val="28"/>
        </w:rPr>
        <w:t>как отрицательно, так и положител</w:t>
      </w:r>
      <w:r w:rsidR="00D50A5E" w:rsidRPr="00A53AD7">
        <w:rPr>
          <w:rFonts w:ascii="Times New Roman" w:hAnsi="Times New Roman"/>
          <w:sz w:val="28"/>
          <w:szCs w:val="28"/>
        </w:rPr>
        <w:t>ьно.</w:t>
      </w:r>
    </w:p>
    <w:p w14:paraId="55B8CDB4" w14:textId="3E327BE6"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u w:val="single"/>
        </w:rPr>
        <w:t>Положительным в развитии региона</w:t>
      </w:r>
      <w:r w:rsidRPr="00A53AD7">
        <w:rPr>
          <w:rFonts w:ascii="Times New Roman" w:hAnsi="Times New Roman"/>
          <w:sz w:val="28"/>
          <w:szCs w:val="28"/>
        </w:rPr>
        <w:t xml:space="preserve"> в 2019 году можно отметить следующее: незначительный рост индекса промышленного производства (+0,5</w:t>
      </w:r>
      <w:r w:rsidR="00BD224C" w:rsidRPr="00A53AD7">
        <w:rPr>
          <w:rFonts w:ascii="Times New Roman" w:hAnsi="Times New Roman"/>
          <w:sz w:val="28"/>
          <w:szCs w:val="28"/>
        </w:rPr>
        <w:t> </w:t>
      </w:r>
      <w:r w:rsidRPr="00A53AD7">
        <w:rPr>
          <w:rFonts w:ascii="Times New Roman" w:hAnsi="Times New Roman"/>
          <w:sz w:val="28"/>
          <w:szCs w:val="28"/>
        </w:rPr>
        <w:t>%), обеспечение стабильного роста добычи полезных ископаемых (+15,3 %), производство напитков (+9,3 %), производство машин и оборудования… (+85,4%) в сопоставимых ценах к 2018 году, производство электрического оборудования (+6,7</w:t>
      </w:r>
      <w:r w:rsidR="00BD224C" w:rsidRPr="00A53AD7">
        <w:rPr>
          <w:rFonts w:ascii="Times New Roman" w:hAnsi="Times New Roman"/>
          <w:sz w:val="28"/>
          <w:szCs w:val="28"/>
        </w:rPr>
        <w:t xml:space="preserve"> </w:t>
      </w:r>
      <w:r w:rsidRPr="00A53AD7">
        <w:rPr>
          <w:rFonts w:ascii="Times New Roman" w:hAnsi="Times New Roman"/>
          <w:sz w:val="28"/>
          <w:szCs w:val="28"/>
        </w:rPr>
        <w:t xml:space="preserve">%). </w:t>
      </w:r>
    </w:p>
    <w:p w14:paraId="2DB86602" w14:textId="2B6A5C3F" w:rsidR="003B5BDA" w:rsidRPr="00A53AD7" w:rsidRDefault="00BD224C"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Также </w:t>
      </w:r>
      <w:r w:rsidR="00051305" w:rsidRPr="00A53AD7">
        <w:rPr>
          <w:rFonts w:ascii="Times New Roman" w:hAnsi="Times New Roman"/>
          <w:sz w:val="28"/>
          <w:szCs w:val="28"/>
        </w:rPr>
        <w:t>у</w:t>
      </w:r>
      <w:r w:rsidR="003B5BDA" w:rsidRPr="00A53AD7">
        <w:rPr>
          <w:rFonts w:ascii="Times New Roman" w:hAnsi="Times New Roman"/>
          <w:sz w:val="28"/>
          <w:szCs w:val="28"/>
        </w:rPr>
        <w:t>величен грузооборот организаций автомобильного транспорта на 2,1 % к показателям предыдущего года, на железнодорожном транспорте – на 7,9 %, пассажирооборот – на 5,0 %, введено в действие жилых домов на 5,3 % больше, чем в прошлом году. Существенное улучшен</w:t>
      </w:r>
      <w:r w:rsidR="00051305" w:rsidRPr="00A53AD7">
        <w:rPr>
          <w:rFonts w:ascii="Times New Roman" w:hAnsi="Times New Roman"/>
          <w:sz w:val="28"/>
          <w:szCs w:val="28"/>
        </w:rPr>
        <w:t>ы</w:t>
      </w:r>
      <w:r w:rsidR="003B5BDA" w:rsidRPr="00A53AD7">
        <w:rPr>
          <w:rFonts w:ascii="Times New Roman" w:hAnsi="Times New Roman"/>
          <w:sz w:val="28"/>
          <w:szCs w:val="28"/>
        </w:rPr>
        <w:t xml:space="preserve"> основны</w:t>
      </w:r>
      <w:r w:rsidR="00051305" w:rsidRPr="00A53AD7">
        <w:rPr>
          <w:rFonts w:ascii="Times New Roman" w:hAnsi="Times New Roman"/>
          <w:sz w:val="28"/>
          <w:szCs w:val="28"/>
        </w:rPr>
        <w:t>е</w:t>
      </w:r>
      <w:r w:rsidR="003B5BDA" w:rsidRPr="00A53AD7">
        <w:rPr>
          <w:rFonts w:ascii="Times New Roman" w:hAnsi="Times New Roman"/>
          <w:sz w:val="28"/>
          <w:szCs w:val="28"/>
        </w:rPr>
        <w:t xml:space="preserve"> показател</w:t>
      </w:r>
      <w:r w:rsidR="00051305" w:rsidRPr="00A53AD7">
        <w:rPr>
          <w:rFonts w:ascii="Times New Roman" w:hAnsi="Times New Roman"/>
          <w:sz w:val="28"/>
          <w:szCs w:val="28"/>
        </w:rPr>
        <w:t>и</w:t>
      </w:r>
      <w:r w:rsidR="003B5BDA" w:rsidRPr="00A53AD7">
        <w:rPr>
          <w:rFonts w:ascii="Times New Roman" w:hAnsi="Times New Roman"/>
          <w:sz w:val="28"/>
          <w:szCs w:val="28"/>
        </w:rPr>
        <w:t xml:space="preserve"> по молочной продуктивности и продуктивности скота.</w:t>
      </w:r>
    </w:p>
    <w:p w14:paraId="162E189F" w14:textId="7AF71459"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По приросту объемов инвестиций в основной капитал в 2019 году по Северо-Западному федеральному округу Архангельская область (без НАО) улучшила позиции и занимает 6 место, поднявшись с девятого места. Сохранена позиция региона </w:t>
      </w:r>
      <w:r w:rsidR="00721D60" w:rsidRPr="00A53AD7">
        <w:rPr>
          <w:rFonts w:ascii="Times New Roman" w:hAnsi="Times New Roman"/>
          <w:sz w:val="28"/>
          <w:szCs w:val="28"/>
        </w:rPr>
        <w:t xml:space="preserve">по показателю </w:t>
      </w:r>
      <w:r w:rsidRPr="00A53AD7">
        <w:rPr>
          <w:rFonts w:ascii="Times New Roman" w:hAnsi="Times New Roman"/>
          <w:sz w:val="28"/>
          <w:szCs w:val="28"/>
        </w:rPr>
        <w:t>«Средняя инвестиционная привлекательность» (второй уровень из трех возможных) в Рейтинге инвестиционной привлекательности регионов России по итогам 2019 года. В регионе продолжена реализация инвестиционных проектов в лесопромышленном комплексе, в алмазодобывающей промышленности; по добыче, обогащении руд цветных металлов; в обрабатывающих прои</w:t>
      </w:r>
      <w:r w:rsidR="00A13C48" w:rsidRPr="00A53AD7">
        <w:rPr>
          <w:rFonts w:ascii="Times New Roman" w:hAnsi="Times New Roman"/>
          <w:sz w:val="28"/>
          <w:szCs w:val="28"/>
        </w:rPr>
        <w:t>зводствах; здравоохранении.</w:t>
      </w:r>
    </w:p>
    <w:p w14:paraId="6F54F61A" w14:textId="77777777" w:rsidR="00EB1807" w:rsidRPr="00A53AD7" w:rsidRDefault="00EB1807" w:rsidP="00EB1807">
      <w:pPr>
        <w:pStyle w:val="ad"/>
        <w:ind w:firstLine="851"/>
        <w:jc w:val="both"/>
        <w:rPr>
          <w:rFonts w:ascii="Times New Roman" w:hAnsi="Times New Roman"/>
          <w:sz w:val="28"/>
          <w:szCs w:val="28"/>
        </w:rPr>
      </w:pPr>
      <w:r w:rsidRPr="00A53AD7">
        <w:rPr>
          <w:rFonts w:ascii="Times New Roman" w:hAnsi="Times New Roman"/>
          <w:sz w:val="28"/>
          <w:szCs w:val="28"/>
          <w:u w:val="single"/>
        </w:rPr>
        <w:t>Установлены отрицательные показатели</w:t>
      </w:r>
      <w:r w:rsidRPr="00A53AD7">
        <w:rPr>
          <w:rFonts w:ascii="Times New Roman" w:hAnsi="Times New Roman"/>
          <w:sz w:val="28"/>
          <w:szCs w:val="28"/>
        </w:rPr>
        <w:t xml:space="preserve"> в части таких индексов производства: обработка древесины и производство изделий из дерева и </w:t>
      </w:r>
      <w:r w:rsidRPr="00A53AD7">
        <w:rPr>
          <w:rFonts w:ascii="Times New Roman" w:hAnsi="Times New Roman"/>
          <w:sz w:val="28"/>
          <w:szCs w:val="28"/>
        </w:rPr>
        <w:lastRenderedPageBreak/>
        <w:t xml:space="preserve">пробки… сократилась на 1,7 %, производство пищевых продуктов на 1,5 %, индекс оборота розничной торговли на 0,6 %, обрабатывающие производства в целом – на 2,1 %. В сельскохозяйственных организациях региона сократилось поголовье скота в хозяйствах всех категорий за исключением птицы, валовые сборы и урожайность сельскохозяйственных культур по всем показателям. </w:t>
      </w:r>
    </w:p>
    <w:p w14:paraId="3D819681" w14:textId="62611706"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Количество хозяйствующих субъектов (по основному виду экономической деятельности) уменьшилось на 5,2 % от количества организаций по состоянию на 01.01.2019 год. Значительное снижение установлено по отрасли «Сельское, лесное хозяйство, охота, рыболовство и рыбоводство» на 21,2%. За год количество прибыльных организаций снизилось по каждому виду экономической деятельности, за исключением добычи полезных ископаемых</w:t>
      </w:r>
      <w:r w:rsidR="001E07A6" w:rsidRPr="00A53AD7">
        <w:rPr>
          <w:rFonts w:ascii="Times New Roman" w:hAnsi="Times New Roman"/>
          <w:sz w:val="28"/>
          <w:szCs w:val="28"/>
        </w:rPr>
        <w:t>.</w:t>
      </w:r>
      <w:r w:rsidRPr="00A53AD7">
        <w:rPr>
          <w:rFonts w:ascii="Times New Roman" w:hAnsi="Times New Roman"/>
          <w:sz w:val="28"/>
          <w:szCs w:val="28"/>
        </w:rPr>
        <w:t xml:space="preserve"> Снизился оборот розничной торговли на 0,6 %, установлен рост потребительских цен на 3,1 % (по обследованному кругу организ</w:t>
      </w:r>
      <w:r w:rsidR="00A13C48" w:rsidRPr="00A53AD7">
        <w:rPr>
          <w:rFonts w:ascii="Times New Roman" w:hAnsi="Times New Roman"/>
          <w:sz w:val="28"/>
          <w:szCs w:val="28"/>
        </w:rPr>
        <w:t>аций торговли и сферы услуг).</w:t>
      </w:r>
    </w:p>
    <w:p w14:paraId="2F77AECE" w14:textId="0126ABD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Основной показатель, который отражает успешность экономической политики региона – уровень жизни населения</w:t>
      </w:r>
      <w:r w:rsidR="008212DE" w:rsidRPr="00A53AD7">
        <w:rPr>
          <w:rFonts w:ascii="Times New Roman" w:hAnsi="Times New Roman"/>
          <w:sz w:val="28"/>
          <w:szCs w:val="28"/>
        </w:rPr>
        <w:t>:</w:t>
      </w:r>
      <w:r w:rsidRPr="00A53AD7">
        <w:rPr>
          <w:rFonts w:ascii="Times New Roman" w:hAnsi="Times New Roman"/>
          <w:sz w:val="28"/>
          <w:szCs w:val="28"/>
        </w:rPr>
        <w:t xml:space="preserve"> показатели, которые входят в его расчет, в 2019 году были неоднозначны и нестабильны. Так показатель качества жизни – реальные доходы населения в регионе ежегодно снижается, при том, что денежные доходы в среднем на душу населения в месяц ежегодно увеличиваются.</w:t>
      </w:r>
    </w:p>
    <w:p w14:paraId="1D79CEE8" w14:textId="4E579AAE"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В части показателей социальной сферы Архангельская область расположилась на четвертом месте по размеру денежных доходов в среднем на душу населения в месяц среди регионов СЗФО, однако указанные доходы увеличивались темпами ниже, чем в 2018 году к показателям предыдущего года. По размеру потребительских расходов в среднем на душу населения в месяц среди регионов СЗФО Архангельская область занимает третье место. Увеличена реальная начисленная заработная плата (+2,5 %) и реальный размер назначенных пенсий пенсионерам (+2,9 %), при этом установлен рост цен на продовольственные (+1,8 %) и непродовольственные (+3,0 %) товары, на услуги (+5,2 %), что повлияло на снижение реально располагае</w:t>
      </w:r>
      <w:r w:rsidR="008212DE" w:rsidRPr="00A53AD7">
        <w:rPr>
          <w:rFonts w:ascii="Times New Roman" w:hAnsi="Times New Roman"/>
          <w:sz w:val="28"/>
          <w:szCs w:val="28"/>
        </w:rPr>
        <w:t>мых доходов населения (–1,5 %).</w:t>
      </w:r>
    </w:p>
    <w:p w14:paraId="65036B5A" w14:textId="3DD8B8DB"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 xml:space="preserve">Просроченная задолженность по заработной плате на 01.01.2020 (по организациям без субъектов малого предпринимательства) увеличилась к показателям на 01.01.2019 и сложилась в </w:t>
      </w:r>
      <w:r w:rsidR="00581BEC" w:rsidRPr="00A53AD7">
        <w:rPr>
          <w:rFonts w:ascii="Times New Roman" w:hAnsi="Times New Roman"/>
          <w:sz w:val="28"/>
          <w:szCs w:val="28"/>
        </w:rPr>
        <w:t xml:space="preserve">следующих </w:t>
      </w:r>
      <w:r w:rsidRPr="00A53AD7">
        <w:rPr>
          <w:rFonts w:ascii="Times New Roman" w:hAnsi="Times New Roman"/>
          <w:sz w:val="28"/>
          <w:szCs w:val="28"/>
        </w:rPr>
        <w:t>отраслях</w:t>
      </w:r>
      <w:r w:rsidR="00581BEC" w:rsidRPr="00A53AD7">
        <w:rPr>
          <w:rFonts w:ascii="Times New Roman" w:hAnsi="Times New Roman"/>
          <w:sz w:val="28"/>
          <w:szCs w:val="28"/>
        </w:rPr>
        <w:t>:</w:t>
      </w:r>
      <w:r w:rsidRPr="00A53AD7">
        <w:rPr>
          <w:rFonts w:ascii="Times New Roman" w:hAnsi="Times New Roman"/>
          <w:sz w:val="28"/>
          <w:szCs w:val="28"/>
        </w:rPr>
        <w:t xml:space="preserve"> строительство, обрабатывающие производства, деятельность в области культуры, искусства. </w:t>
      </w:r>
    </w:p>
    <w:p w14:paraId="4F3A4A10" w14:textId="6A52F534" w:rsidR="003B5BDA" w:rsidRPr="00A53AD7" w:rsidRDefault="003B5BDA" w:rsidP="003B5BDA">
      <w:pPr>
        <w:pStyle w:val="ad"/>
        <w:ind w:firstLine="851"/>
        <w:jc w:val="both"/>
        <w:rPr>
          <w:rFonts w:ascii="Times New Roman" w:hAnsi="Times New Roman"/>
          <w:sz w:val="28"/>
          <w:szCs w:val="28"/>
        </w:rPr>
      </w:pPr>
      <w:r w:rsidRPr="00A53AD7">
        <w:rPr>
          <w:rFonts w:ascii="Times New Roman" w:hAnsi="Times New Roman"/>
          <w:sz w:val="28"/>
          <w:szCs w:val="28"/>
        </w:rPr>
        <w:t>Численность постоянного населения Архангельской области продолжает ежегодно сокращаться: снизилась рождаемость, естественная убыль увеличилась. Миграционный отток населения за год снизился на 54,2 %</w:t>
      </w:r>
      <w:r w:rsidR="00726030" w:rsidRPr="00A53AD7">
        <w:rPr>
          <w:rFonts w:ascii="Times New Roman" w:hAnsi="Times New Roman"/>
          <w:sz w:val="28"/>
          <w:szCs w:val="28"/>
        </w:rPr>
        <w:t>.</w:t>
      </w:r>
    </w:p>
    <w:p w14:paraId="0A383702" w14:textId="365A0B5E"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рейтинге регионов по качеству жизни в 2019 году, подготовленном агентством «РИА Рейтинг», Архангельская область с баллом 35.676 занимает </w:t>
      </w:r>
      <w:r w:rsidRPr="00A53AD7">
        <w:rPr>
          <w:rFonts w:ascii="Times New Roman" w:hAnsi="Times New Roman"/>
          <w:sz w:val="28"/>
          <w:szCs w:val="28"/>
        </w:rPr>
        <w:lastRenderedPageBreak/>
        <w:t>75-е место</w:t>
      </w:r>
      <w:r w:rsidRPr="00A53AD7">
        <w:rPr>
          <w:rStyle w:val="afff1"/>
          <w:rFonts w:ascii="Times New Roman" w:hAnsi="Times New Roman"/>
          <w:sz w:val="28"/>
          <w:szCs w:val="28"/>
        </w:rPr>
        <w:footnoteReference w:id="16"/>
      </w:r>
      <w:r w:rsidRPr="00A53AD7">
        <w:rPr>
          <w:rFonts w:ascii="Times New Roman" w:hAnsi="Times New Roman"/>
          <w:sz w:val="28"/>
          <w:szCs w:val="28"/>
        </w:rPr>
        <w:t xml:space="preserve"> из 85 регионов. Годом ранее Архангельская область занимала 74 место</w:t>
      </w:r>
      <w:r w:rsidR="00726030" w:rsidRPr="00A53AD7">
        <w:rPr>
          <w:rStyle w:val="afff1"/>
          <w:rFonts w:ascii="Times New Roman" w:hAnsi="Times New Roman"/>
          <w:sz w:val="28"/>
          <w:szCs w:val="28"/>
        </w:rPr>
        <w:footnoteReference w:id="17"/>
      </w:r>
      <w:r w:rsidRPr="00A53AD7">
        <w:rPr>
          <w:rFonts w:ascii="Times New Roman" w:hAnsi="Times New Roman"/>
          <w:sz w:val="28"/>
          <w:szCs w:val="28"/>
        </w:rPr>
        <w:t>.</w:t>
      </w:r>
    </w:p>
    <w:p w14:paraId="29A3107C" w14:textId="77777777"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Ведущие места по качеству жизни, как и в предыдущем году, занимают Москва, Санкт-Петербург и Московская область. Далее следуют Республика Татарстан, Белгородская область, Краснодарский край, Воронежская область. Замыкает рейтинг Республика Тыва.</w:t>
      </w:r>
    </w:p>
    <w:p w14:paraId="6FBC26D5" w14:textId="77777777" w:rsidR="003B5BDA" w:rsidRPr="00A53AD7" w:rsidRDefault="003B5BDA" w:rsidP="003B5BDA">
      <w:pPr>
        <w:spacing w:after="0" w:line="240" w:lineRule="auto"/>
        <w:ind w:firstLine="851"/>
        <w:jc w:val="both"/>
        <w:rPr>
          <w:rFonts w:ascii="Times New Roman" w:hAnsi="Times New Roman"/>
          <w:sz w:val="28"/>
          <w:szCs w:val="28"/>
        </w:rPr>
      </w:pPr>
      <w:r w:rsidRPr="00A53AD7">
        <w:rPr>
          <w:rFonts w:ascii="Times New Roman" w:hAnsi="Times New Roman"/>
          <w:i/>
          <w:sz w:val="28"/>
          <w:szCs w:val="28"/>
        </w:rPr>
        <w:t>Для справки:</w:t>
      </w:r>
      <w:r w:rsidRPr="00A53AD7">
        <w:rPr>
          <w:rFonts w:ascii="Times New Roman" w:hAnsi="Times New Roman"/>
          <w:sz w:val="28"/>
          <w:szCs w:val="28"/>
        </w:rPr>
        <w:t xml:space="preserve"> рейтинг учитывает 72 показателя, характеризующих все основные аспекты условий проживания в регионе, от уровня экономического развития и объема доходов населения, до обеспеченности населения различными видами услуг, уровня личной безопасности и климатических условий в регионе проживания.</w:t>
      </w:r>
    </w:p>
    <w:p w14:paraId="1978836D" w14:textId="2FD168D1" w:rsidR="00F81547" w:rsidRPr="00A53AD7" w:rsidRDefault="00D477C4" w:rsidP="00F81547">
      <w:pPr>
        <w:pStyle w:val="10"/>
        <w:keepNext/>
        <w:keepLines/>
        <w:autoSpaceDE/>
        <w:autoSpaceDN/>
        <w:adjustRightInd/>
        <w:spacing w:before="240" w:after="120"/>
        <w:rPr>
          <w:rFonts w:ascii="Times New Roman" w:hAnsi="Times New Roman"/>
          <w:color w:val="auto"/>
          <w:sz w:val="28"/>
          <w:szCs w:val="28"/>
          <w:lang w:val="ru-RU" w:eastAsia="en-US"/>
        </w:rPr>
      </w:pPr>
      <w:bookmarkStart w:id="59" w:name="_Toc42006715"/>
      <w:r w:rsidRPr="00A53AD7">
        <w:rPr>
          <w:rFonts w:ascii="Times New Roman" w:hAnsi="Times New Roman"/>
          <w:color w:val="auto"/>
          <w:sz w:val="28"/>
          <w:szCs w:val="28"/>
          <w:lang w:val="ru-RU" w:eastAsia="en-US"/>
        </w:rPr>
        <w:t>2</w:t>
      </w:r>
      <w:r w:rsidR="00F81547" w:rsidRPr="00A53AD7">
        <w:rPr>
          <w:rFonts w:ascii="Times New Roman" w:hAnsi="Times New Roman"/>
          <w:color w:val="auto"/>
          <w:sz w:val="28"/>
          <w:szCs w:val="28"/>
          <w:lang w:eastAsia="en-US"/>
        </w:rPr>
        <w:t xml:space="preserve">. </w:t>
      </w:r>
      <w:r w:rsidR="00C10574" w:rsidRPr="00A53AD7">
        <w:rPr>
          <w:rFonts w:ascii="Times New Roman" w:hAnsi="Times New Roman"/>
          <w:color w:val="auto"/>
          <w:sz w:val="28"/>
          <w:szCs w:val="28"/>
          <w:lang w:val="ru-RU" w:eastAsia="en-US"/>
        </w:rPr>
        <w:t xml:space="preserve">Исполнение </w:t>
      </w:r>
      <w:r w:rsidR="009D0898" w:rsidRPr="00A53AD7">
        <w:rPr>
          <w:rFonts w:ascii="Times New Roman" w:hAnsi="Times New Roman"/>
          <w:color w:val="auto"/>
          <w:sz w:val="28"/>
          <w:szCs w:val="28"/>
          <w:lang w:eastAsia="en-US"/>
        </w:rPr>
        <w:t>консолидирова</w:t>
      </w:r>
      <w:r w:rsidR="009D0898" w:rsidRPr="00A53AD7">
        <w:rPr>
          <w:rFonts w:ascii="Times New Roman" w:hAnsi="Times New Roman"/>
          <w:color w:val="auto"/>
          <w:sz w:val="28"/>
          <w:szCs w:val="28"/>
          <w:lang w:val="ru-RU" w:eastAsia="en-US"/>
        </w:rPr>
        <w:t>нного</w:t>
      </w:r>
      <w:r w:rsidR="00F81547" w:rsidRPr="00A53AD7">
        <w:rPr>
          <w:rFonts w:ascii="Times New Roman" w:hAnsi="Times New Roman"/>
          <w:color w:val="auto"/>
          <w:sz w:val="28"/>
          <w:szCs w:val="28"/>
          <w:lang w:eastAsia="en-US"/>
        </w:rPr>
        <w:t xml:space="preserve"> бюджет</w:t>
      </w:r>
      <w:r w:rsidR="00C10574" w:rsidRPr="00A53AD7">
        <w:rPr>
          <w:rFonts w:ascii="Times New Roman" w:hAnsi="Times New Roman"/>
          <w:color w:val="auto"/>
          <w:sz w:val="28"/>
          <w:szCs w:val="28"/>
          <w:lang w:val="ru-RU" w:eastAsia="en-US"/>
        </w:rPr>
        <w:t>а</w:t>
      </w:r>
      <w:r w:rsidR="00F81547" w:rsidRPr="00A53AD7">
        <w:rPr>
          <w:rFonts w:ascii="Times New Roman" w:hAnsi="Times New Roman"/>
          <w:color w:val="auto"/>
          <w:sz w:val="28"/>
          <w:szCs w:val="28"/>
          <w:lang w:eastAsia="en-US"/>
        </w:rPr>
        <w:t xml:space="preserve"> </w:t>
      </w:r>
      <w:r w:rsidR="005775F9" w:rsidRPr="00A53AD7">
        <w:rPr>
          <w:rFonts w:ascii="Times New Roman" w:hAnsi="Times New Roman"/>
          <w:color w:val="auto"/>
          <w:sz w:val="28"/>
          <w:szCs w:val="28"/>
          <w:lang w:val="ru-RU" w:eastAsia="en-US"/>
        </w:rPr>
        <w:t xml:space="preserve">Архангельской </w:t>
      </w:r>
      <w:r w:rsidR="00F81547" w:rsidRPr="00A53AD7">
        <w:rPr>
          <w:rFonts w:ascii="Times New Roman" w:hAnsi="Times New Roman"/>
          <w:color w:val="auto"/>
          <w:sz w:val="28"/>
          <w:szCs w:val="28"/>
          <w:lang w:eastAsia="en-US"/>
        </w:rPr>
        <w:t>области</w:t>
      </w:r>
      <w:r w:rsidR="00C10574" w:rsidRPr="00A53AD7">
        <w:rPr>
          <w:rFonts w:ascii="Times New Roman" w:hAnsi="Times New Roman"/>
          <w:color w:val="auto"/>
          <w:sz w:val="28"/>
          <w:szCs w:val="28"/>
          <w:lang w:val="ru-RU" w:eastAsia="en-US"/>
        </w:rPr>
        <w:t xml:space="preserve"> в 2019 году</w:t>
      </w:r>
      <w:bookmarkEnd w:id="59"/>
    </w:p>
    <w:p w14:paraId="6ABA96DA" w14:textId="29A16597" w:rsidR="00F700F3" w:rsidRPr="00A53AD7" w:rsidRDefault="00F700F3" w:rsidP="0054608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об исполнения консолидированного бюджета Архангельской области за 2019 год и его сравнение с исполнением за 2018 год представлены в приложениях №№ 1</w:t>
      </w:r>
      <w:r w:rsidR="0054608A" w:rsidRPr="00A53AD7">
        <w:rPr>
          <w:rFonts w:ascii="Times New Roman" w:hAnsi="Times New Roman"/>
          <w:sz w:val="28"/>
          <w:szCs w:val="28"/>
        </w:rPr>
        <w:t>,</w:t>
      </w:r>
      <w:r w:rsidRPr="00A53AD7">
        <w:rPr>
          <w:rFonts w:ascii="Times New Roman" w:hAnsi="Times New Roman"/>
          <w:sz w:val="28"/>
          <w:szCs w:val="28"/>
        </w:rPr>
        <w:t xml:space="preserve"> </w:t>
      </w:r>
      <w:r w:rsidR="0054608A" w:rsidRPr="00A53AD7">
        <w:rPr>
          <w:rFonts w:ascii="Times New Roman" w:hAnsi="Times New Roman"/>
          <w:sz w:val="28"/>
          <w:szCs w:val="28"/>
        </w:rPr>
        <w:t>2</w:t>
      </w:r>
      <w:r w:rsidRPr="00A53AD7">
        <w:rPr>
          <w:rFonts w:ascii="Times New Roman" w:hAnsi="Times New Roman"/>
          <w:sz w:val="28"/>
          <w:szCs w:val="28"/>
        </w:rPr>
        <w:t xml:space="preserve"> к настоящему заключению. Исполнение консолидированных бюджетов муниципальных образований за отчетный период представлено в приложениях №№ 3, 4</w:t>
      </w:r>
      <w:r w:rsidR="0054608A" w:rsidRPr="00A53AD7">
        <w:rPr>
          <w:rFonts w:ascii="Times New Roman" w:hAnsi="Times New Roman"/>
          <w:sz w:val="28"/>
          <w:szCs w:val="28"/>
        </w:rPr>
        <w:t>, 5</w:t>
      </w:r>
      <w:r w:rsidRPr="00A53AD7">
        <w:rPr>
          <w:rFonts w:ascii="Times New Roman" w:hAnsi="Times New Roman"/>
          <w:sz w:val="28"/>
          <w:szCs w:val="28"/>
        </w:rPr>
        <w:t>.</w:t>
      </w:r>
    </w:p>
    <w:p w14:paraId="0899C324" w14:textId="64336755" w:rsidR="005F7F19" w:rsidRPr="00A53AD7" w:rsidRDefault="005F7F19" w:rsidP="005F7F1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2019 год в консолидированный бюджет Архангельской области поступило доходов </w:t>
      </w:r>
      <w:r w:rsidR="001421F9" w:rsidRPr="00A53AD7">
        <w:rPr>
          <w:rFonts w:ascii="Times New Roman" w:hAnsi="Times New Roman"/>
          <w:sz w:val="28"/>
          <w:szCs w:val="28"/>
        </w:rPr>
        <w:t xml:space="preserve">(без учета внутренних оборотов между бюджетами) </w:t>
      </w:r>
      <w:r w:rsidRPr="00A53AD7">
        <w:rPr>
          <w:rFonts w:ascii="Times New Roman" w:hAnsi="Times New Roman"/>
          <w:sz w:val="28"/>
          <w:szCs w:val="28"/>
        </w:rPr>
        <w:t>в сумме 107 888,6 млн.руб., что по отношению к предусмотренным параметрам составило 101,6 % или дополнительно поступило 1 736,4 млн.руб., из них налоговые доходы – 74 584,2 млн.руб. (104,2 %, +2 991,6 млн.руб.), неналоговые доходы – 4 443,0 млн.руб. (105,8 %, +243,1 млн.руб.), безвозмездные поступления – 28 861,4 млн.руб. (95,1 %</w:t>
      </w:r>
      <w:r w:rsidR="001421F9" w:rsidRPr="00A53AD7">
        <w:rPr>
          <w:rFonts w:ascii="Times New Roman" w:hAnsi="Times New Roman"/>
          <w:sz w:val="28"/>
          <w:szCs w:val="28"/>
        </w:rPr>
        <w:t>,</w:t>
      </w:r>
      <w:r w:rsidRPr="00A53AD7">
        <w:rPr>
          <w:rFonts w:ascii="Times New Roman" w:hAnsi="Times New Roman"/>
          <w:sz w:val="28"/>
          <w:szCs w:val="28"/>
        </w:rPr>
        <w:t xml:space="preserve"> -1 498,4 млн.руб.).</w:t>
      </w:r>
    </w:p>
    <w:p w14:paraId="37D79C43" w14:textId="77777777" w:rsidR="00F700F3" w:rsidRPr="00A53AD7" w:rsidRDefault="00F700F3" w:rsidP="000D2B3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сравнении с исполнением за 2018 год доходы консолидированного бюджета Архангельской области за отчетный период увеличились на 14 737,6 млн.руб. или на 15,8 %, в том числе рост налоговых доходов составил 4 895,4 млн.руб. (на 7,0 %), неналоговых доходов – на 473,6 млн.руб. (на 11,9 %), безвозмездные поступления увеличились на 9 368,6 млн.руб. (на 48,1 %).</w:t>
      </w:r>
    </w:p>
    <w:p w14:paraId="65928E9A" w14:textId="77777777" w:rsidR="00F700F3" w:rsidRPr="00A53AD7" w:rsidRDefault="00F700F3" w:rsidP="001A1AB2">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обозначенных выше сумм, доходы консолидированных бюджетов муниципальных образований Архангельской области за 2019 год составили 43 631,0 млн.руб. и увеличились к 2018 году на 6 023,9 млн.руб. или на 16,0 %, в том числе налоговые доходы поступили в сумме 12 863,9 млн.руб. и увеличились на 750,7 млн.руб. или на 6,2 %, неналоговые доходы поступили в сумме 2 595,3 млн.руб. и рост составил 182,8 млн.руб. (на 7,6 %). </w:t>
      </w:r>
    </w:p>
    <w:p w14:paraId="4275A919" w14:textId="6CC6D31E" w:rsidR="00F700F3" w:rsidRPr="00A53AD7" w:rsidRDefault="00F700F3" w:rsidP="00FD6990">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Безвозмездные поступления в местные бюджеты, без учета внутренних оборотов между бюджетами, составили 28</w:t>
      </w:r>
      <w:r w:rsidR="00AF10DE" w:rsidRPr="00A53AD7">
        <w:rPr>
          <w:rFonts w:ascii="Times New Roman" w:hAnsi="Times New Roman"/>
          <w:sz w:val="28"/>
          <w:szCs w:val="28"/>
        </w:rPr>
        <w:t> </w:t>
      </w:r>
      <w:r w:rsidRPr="00A53AD7">
        <w:rPr>
          <w:rFonts w:ascii="Times New Roman" w:hAnsi="Times New Roman"/>
          <w:sz w:val="28"/>
          <w:szCs w:val="28"/>
        </w:rPr>
        <w:t xml:space="preserve">171,8 млн.руб. и увеличились на </w:t>
      </w:r>
      <w:r w:rsidR="00FD6990" w:rsidRPr="00A53AD7">
        <w:rPr>
          <w:rFonts w:ascii="Times New Roman" w:hAnsi="Times New Roman"/>
          <w:sz w:val="28"/>
          <w:szCs w:val="28"/>
        </w:rPr>
        <w:t>5 090,4 млн.руб. или на 22,1 %.</w:t>
      </w:r>
    </w:p>
    <w:p w14:paraId="36E5074A" w14:textId="77E80FAE" w:rsidR="00F700F3" w:rsidRPr="00A53AD7" w:rsidRDefault="00F700F3" w:rsidP="00AF10DE">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 xml:space="preserve">Поступление финансовой помощи из областного бюджета в бюджеты городских округов и </w:t>
      </w:r>
      <w:r w:rsidR="00AF10DE" w:rsidRPr="00A53AD7">
        <w:rPr>
          <w:rFonts w:ascii="Times New Roman" w:hAnsi="Times New Roman"/>
          <w:sz w:val="28"/>
          <w:szCs w:val="28"/>
        </w:rPr>
        <w:t>муниципальных районов Архангельской области</w:t>
      </w:r>
      <w:r w:rsidRPr="00A53AD7">
        <w:rPr>
          <w:rFonts w:ascii="Times New Roman" w:hAnsi="Times New Roman"/>
          <w:sz w:val="28"/>
          <w:szCs w:val="28"/>
        </w:rPr>
        <w:t xml:space="preserve"> за 2018 и 2019 годы отражены в приложении № </w:t>
      </w:r>
      <w:r w:rsidR="00E25BE3" w:rsidRPr="00A53AD7">
        <w:rPr>
          <w:rFonts w:ascii="Times New Roman" w:hAnsi="Times New Roman"/>
          <w:sz w:val="28"/>
          <w:szCs w:val="28"/>
        </w:rPr>
        <w:t>5</w:t>
      </w:r>
      <w:r w:rsidRPr="00A53AD7">
        <w:rPr>
          <w:rFonts w:ascii="Times New Roman" w:hAnsi="Times New Roman"/>
          <w:sz w:val="28"/>
          <w:szCs w:val="28"/>
        </w:rPr>
        <w:t xml:space="preserve"> к настоящему заключению.</w:t>
      </w:r>
    </w:p>
    <w:p w14:paraId="0B55683E" w14:textId="611A67D1" w:rsidR="00F700F3" w:rsidRPr="00A53AD7" w:rsidRDefault="00F700F3" w:rsidP="00E25BE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Годовой прогноз поступления налоговых и неналоговых доходов в бюджеты муниципальных образований Архангельской области за 2019 год перевыполнен в целом на 3,4 %. Наибольший уровень исполнения за отчетный период достигнут в консолидированном бюджете МО «Устьянский район», где план перевыполнен на 15,1 %, а наименьший – в бюджете МО «Новая Земля» - </w:t>
      </w:r>
      <w:r w:rsidR="001A51A5" w:rsidRPr="00A53AD7">
        <w:rPr>
          <w:rFonts w:ascii="Times New Roman" w:hAnsi="Times New Roman"/>
          <w:sz w:val="28"/>
          <w:szCs w:val="28"/>
        </w:rPr>
        <w:t xml:space="preserve">план выполнен на </w:t>
      </w:r>
      <w:r w:rsidRPr="00A53AD7">
        <w:rPr>
          <w:rFonts w:ascii="Times New Roman" w:hAnsi="Times New Roman"/>
          <w:sz w:val="28"/>
          <w:szCs w:val="28"/>
        </w:rPr>
        <w:t>91,5 %.</w:t>
      </w:r>
    </w:p>
    <w:p w14:paraId="668CDB80" w14:textId="77777777" w:rsidR="00F700F3" w:rsidRPr="00A53AD7" w:rsidRDefault="00F700F3" w:rsidP="001A51A5">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указано выше прогнозные поступления налоговых доходов консолидированного бюджета за 2019 год исполнены на 104,2 %. Годовой план поступлений указанных доходов в бюджеты муниципальных образований выполнен на 102,6 %, в областной бюджет – на 104,5 %.</w:t>
      </w:r>
    </w:p>
    <w:p w14:paraId="44CDBA8E" w14:textId="0C69EC41" w:rsidR="00F700F3" w:rsidRPr="00A53AD7" w:rsidRDefault="00F700F3" w:rsidP="00EB222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поступлении налоговых доходов областного бюджета отражены в разделе «</w:t>
      </w:r>
      <w:hyperlink w:anchor="_3._Доходы_областного" w:history="1">
        <w:r w:rsidRPr="00A53AD7">
          <w:rPr>
            <w:rStyle w:val="afb"/>
            <w:rFonts w:ascii="Times New Roman" w:hAnsi="Times New Roman"/>
            <w:color w:val="auto"/>
            <w:sz w:val="28"/>
            <w:szCs w:val="28"/>
          </w:rPr>
          <w:t>Доходы областного бюджета в 2019 году</w:t>
        </w:r>
      </w:hyperlink>
      <w:r w:rsidRPr="00A53AD7">
        <w:rPr>
          <w:rFonts w:ascii="Times New Roman" w:hAnsi="Times New Roman"/>
          <w:sz w:val="28"/>
          <w:szCs w:val="28"/>
        </w:rPr>
        <w:t>» настоящего заключения.</w:t>
      </w:r>
    </w:p>
    <w:p w14:paraId="237AB97F" w14:textId="26E6D50F" w:rsidR="00F700F3" w:rsidRPr="00A53AD7" w:rsidRDefault="00F700F3" w:rsidP="0008348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удельный вес в составе налоговых доходов бюджетов муниципальных образований (с учетом поселений) обеспечен налогом на доходы физических лиц, налогами на совокупный доход, налогами на имущество. В </w:t>
      </w:r>
      <w:r w:rsidR="00853303" w:rsidRPr="00A53AD7">
        <w:rPr>
          <w:rFonts w:ascii="Times New Roman" w:hAnsi="Times New Roman"/>
          <w:sz w:val="28"/>
          <w:szCs w:val="28"/>
        </w:rPr>
        <w:t>совокупности</w:t>
      </w:r>
      <w:r w:rsidRPr="00A53AD7">
        <w:rPr>
          <w:rFonts w:ascii="Times New Roman" w:hAnsi="Times New Roman"/>
          <w:sz w:val="28"/>
          <w:szCs w:val="28"/>
        </w:rPr>
        <w:t xml:space="preserve"> указанные доходные источники обеспечили поступление 12 296,2 млн.руб. или 95,6 % всех налоговых поступлений местных бюджетов.</w:t>
      </w:r>
    </w:p>
    <w:p w14:paraId="362B03CC" w14:textId="729D340A" w:rsidR="00F700F3" w:rsidRPr="00A53AD7" w:rsidRDefault="00F700F3" w:rsidP="00C23DD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Налог на доходы физических лиц за отчетный период поступил в консолидированные бюджеты муниципальных образований в общей сумме 10 028,4 млн.руб. или перевыполнен на 2,4 % к плану года (с учетом бюджетов поселений), из них в МО «Устьянский район» годовой план перевыполнен на 18,0 %, а в МО «Новая Земля» - план года исполнен на 92,2 %, в МО «Котласский район» - </w:t>
      </w:r>
      <w:r w:rsidR="005457F9" w:rsidRPr="00A53AD7">
        <w:rPr>
          <w:rFonts w:ascii="Times New Roman" w:hAnsi="Times New Roman"/>
          <w:sz w:val="28"/>
          <w:szCs w:val="28"/>
        </w:rPr>
        <w:t xml:space="preserve">на </w:t>
      </w:r>
      <w:r w:rsidRPr="00A53AD7">
        <w:rPr>
          <w:rFonts w:ascii="Times New Roman" w:hAnsi="Times New Roman"/>
          <w:sz w:val="28"/>
          <w:szCs w:val="28"/>
        </w:rPr>
        <w:t>94,8 % (см. Приложение № </w:t>
      </w:r>
      <w:r w:rsidR="005457F9" w:rsidRPr="00A53AD7">
        <w:rPr>
          <w:rFonts w:ascii="Times New Roman" w:hAnsi="Times New Roman"/>
          <w:sz w:val="28"/>
          <w:szCs w:val="28"/>
        </w:rPr>
        <w:t>4</w:t>
      </w:r>
      <w:r w:rsidRPr="00A53AD7">
        <w:rPr>
          <w:rFonts w:ascii="Times New Roman" w:hAnsi="Times New Roman"/>
          <w:sz w:val="28"/>
          <w:szCs w:val="28"/>
        </w:rPr>
        <w:t xml:space="preserve"> к настоящему заключению). По отношению к показателям 2018 год</w:t>
      </w:r>
      <w:r w:rsidR="005457F9" w:rsidRPr="00A53AD7">
        <w:rPr>
          <w:rFonts w:ascii="Times New Roman" w:hAnsi="Times New Roman"/>
          <w:sz w:val="28"/>
          <w:szCs w:val="28"/>
        </w:rPr>
        <w:t>а</w:t>
      </w:r>
      <w:r w:rsidRPr="00A53AD7">
        <w:rPr>
          <w:rFonts w:ascii="Times New Roman" w:hAnsi="Times New Roman"/>
          <w:sz w:val="28"/>
          <w:szCs w:val="28"/>
        </w:rPr>
        <w:t xml:space="preserve"> рост поступления налога на доходы физических лиц в местных бюджетах составил 516,7 млн.руб. или на 5,4 %.</w:t>
      </w:r>
    </w:p>
    <w:p w14:paraId="2B3D679A" w14:textId="77777777" w:rsidR="00F700F3" w:rsidRPr="00A53AD7" w:rsidRDefault="00F700F3" w:rsidP="005457F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Налоги на совокупный доход в консолидированные бюджеты муниципальных образований за 2019 год поступили в сумме 1 123,2 млн.руб., план года выполнен на 100,1%. В сравнении с 2018 годом поступление указанных налогов в местные бюджеты выросли на 46,6 млн.руб. или на 4,3 %. Данный факт большей частью обусловлен увеличением поступления единого налога на вмененный доход для отдельных видов деятельности на 42,6 млн.руб. или на 4,8 %, из которых в МО «Город Архангельск» - рост на 17,2 % (+59,6 млн.руб.).</w:t>
      </w:r>
    </w:p>
    <w:p w14:paraId="6DBC4527" w14:textId="579C5B77" w:rsidR="00F700F3" w:rsidRPr="00A53AD7" w:rsidRDefault="00F700F3" w:rsidP="00D066CE">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Рост поступления налога, взимаемого в связи с применением патентной системы налогообложения</w:t>
      </w:r>
      <w:r w:rsidR="001320CC" w:rsidRPr="00A53AD7">
        <w:rPr>
          <w:rFonts w:ascii="Times New Roman" w:hAnsi="Times New Roman"/>
          <w:sz w:val="28"/>
          <w:szCs w:val="28"/>
        </w:rPr>
        <w:t>,</w:t>
      </w:r>
      <w:r w:rsidRPr="00A53AD7">
        <w:rPr>
          <w:rFonts w:ascii="Times New Roman" w:hAnsi="Times New Roman"/>
          <w:sz w:val="28"/>
          <w:szCs w:val="28"/>
        </w:rPr>
        <w:t xml:space="preserve"> в местных бюджетах составил 24,1 % (+8,1 млн.руб.), </w:t>
      </w:r>
      <w:r w:rsidR="00D066CE" w:rsidRPr="00A53AD7">
        <w:rPr>
          <w:rFonts w:ascii="Times New Roman" w:hAnsi="Times New Roman"/>
          <w:sz w:val="28"/>
          <w:szCs w:val="28"/>
        </w:rPr>
        <w:t>из них</w:t>
      </w:r>
      <w:r w:rsidRPr="00A53AD7">
        <w:rPr>
          <w:rFonts w:ascii="Times New Roman" w:hAnsi="Times New Roman"/>
          <w:sz w:val="28"/>
          <w:szCs w:val="28"/>
        </w:rPr>
        <w:t xml:space="preserve"> в МО «Город Архангельск» указанные поступления выросли на 33,0 % (6,7 млн.руб.).</w:t>
      </w:r>
    </w:p>
    <w:p w14:paraId="6AB5CA93" w14:textId="246DB89A" w:rsidR="00F700F3" w:rsidRPr="00A53AD7" w:rsidRDefault="00F700F3" w:rsidP="00BE6B8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с этим, поступление единого сельскохозяйственного налога в местные бюджеты сократилось на 2,7 % и за 2019 год составило 146,5 </w:t>
      </w:r>
      <w:r w:rsidRPr="00A53AD7">
        <w:rPr>
          <w:rFonts w:ascii="Times New Roman" w:hAnsi="Times New Roman"/>
          <w:sz w:val="28"/>
          <w:szCs w:val="28"/>
        </w:rPr>
        <w:lastRenderedPageBreak/>
        <w:t xml:space="preserve">млн.руб. (-4,1 млн.руб.), </w:t>
      </w:r>
      <w:r w:rsidR="00BE6B83" w:rsidRPr="00A53AD7">
        <w:rPr>
          <w:rFonts w:ascii="Times New Roman" w:hAnsi="Times New Roman"/>
          <w:sz w:val="28"/>
          <w:szCs w:val="28"/>
        </w:rPr>
        <w:t>из них</w:t>
      </w:r>
      <w:r w:rsidRPr="00A53AD7">
        <w:rPr>
          <w:rFonts w:ascii="Times New Roman" w:hAnsi="Times New Roman"/>
          <w:sz w:val="28"/>
          <w:szCs w:val="28"/>
        </w:rPr>
        <w:t xml:space="preserve"> в МО «Город Архангельск» поступления сократились на 11,1 % (-11,6 млн.руб.), а в МО «Мезенский район» - выросли </w:t>
      </w:r>
      <w:r w:rsidR="00BE6B83" w:rsidRPr="00A53AD7">
        <w:rPr>
          <w:rFonts w:ascii="Times New Roman" w:hAnsi="Times New Roman"/>
          <w:sz w:val="28"/>
          <w:szCs w:val="28"/>
        </w:rPr>
        <w:t>на 17,5 % (+3,7 млн.руб.).</w:t>
      </w:r>
    </w:p>
    <w:p w14:paraId="5B294856" w14:textId="3D3103F9" w:rsidR="00F700F3" w:rsidRPr="00A53AD7" w:rsidRDefault="00F700F3" w:rsidP="002024F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налогов на имущество в местные бюджеты, а именно – налога на имущество физических лиц и земельного налога за отчетный период составило 1</w:t>
      </w:r>
      <w:r w:rsidR="002024F8" w:rsidRPr="00A53AD7">
        <w:rPr>
          <w:rFonts w:ascii="Times New Roman" w:hAnsi="Times New Roman"/>
          <w:sz w:val="28"/>
          <w:szCs w:val="28"/>
        </w:rPr>
        <w:t> </w:t>
      </w:r>
      <w:r w:rsidRPr="00A53AD7">
        <w:rPr>
          <w:rFonts w:ascii="Times New Roman" w:hAnsi="Times New Roman"/>
          <w:sz w:val="28"/>
          <w:szCs w:val="28"/>
        </w:rPr>
        <w:t xml:space="preserve">144,6 млн.руб. или 105,6 % к плану года, из них налог на имущество физических лиц – 307,6 млн.руб., земельный налог – 837,0 млн.руб. По сравнению с 2018 годом отмечается рост поступлений данных налогов в бюджеты муниципальных образований на 130,7 млн.руб. или на 12,9 %. Вместе с тем, наибольшее сокращение поступлений налогов на имущество </w:t>
      </w:r>
      <w:r w:rsidR="002A4A41" w:rsidRPr="00A53AD7">
        <w:rPr>
          <w:rFonts w:ascii="Times New Roman" w:hAnsi="Times New Roman"/>
          <w:sz w:val="28"/>
          <w:szCs w:val="28"/>
        </w:rPr>
        <w:t>фиксируется</w:t>
      </w:r>
      <w:r w:rsidRPr="00A53AD7">
        <w:rPr>
          <w:rFonts w:ascii="Times New Roman" w:hAnsi="Times New Roman"/>
          <w:sz w:val="28"/>
          <w:szCs w:val="28"/>
        </w:rPr>
        <w:t xml:space="preserve"> в МО «Город Коряжма» (-11,3 млн.руб. или на 20,2 %). Всего снижение наблюдается в 4 муниципальных образованиях на общую сумму 12,3 млн.руб. Одновременно с этим, в 22 муниципальных образованиях имеет место рост в МО «Город Архангельск» (+42,2 млн.руб. или на 16,4 %) и МО «Котлас» (+39,8 млн.руб. или на 54,4 %).</w:t>
      </w:r>
    </w:p>
    <w:p w14:paraId="59C8EA66" w14:textId="77777777" w:rsidR="00F700F3" w:rsidRPr="00A53AD7" w:rsidRDefault="00F700F3" w:rsidP="00926377">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Неналоговые доходы консолидированного бюджета Архангельской области за 2019 год составили 4 443,0 млн.руб. План по доходам за отчетный период выполнен на 105,8 %, из которых: в местные бюджеты поступило 2 595,3 млн.руб. (107,7 % к плану года), в областной бюджет – 1 848,3 млн.руб. (103,3 % к плану года).</w:t>
      </w:r>
    </w:p>
    <w:p w14:paraId="0BD53F1F" w14:textId="5BC7C9CC" w:rsidR="00F700F3" w:rsidRPr="00A53AD7" w:rsidRDefault="00F700F3" w:rsidP="006433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отношению к отчетным данным за 2018 год неналоговы</w:t>
      </w:r>
      <w:r w:rsidR="00643379" w:rsidRPr="00A53AD7">
        <w:rPr>
          <w:rFonts w:ascii="Times New Roman" w:hAnsi="Times New Roman"/>
          <w:sz w:val="28"/>
          <w:szCs w:val="28"/>
        </w:rPr>
        <w:t>х</w:t>
      </w:r>
      <w:r w:rsidRPr="00A53AD7">
        <w:rPr>
          <w:rFonts w:ascii="Times New Roman" w:hAnsi="Times New Roman"/>
          <w:sz w:val="28"/>
          <w:szCs w:val="28"/>
        </w:rPr>
        <w:t xml:space="preserve"> доход</w:t>
      </w:r>
      <w:r w:rsidR="00643379" w:rsidRPr="00A53AD7">
        <w:rPr>
          <w:rFonts w:ascii="Times New Roman" w:hAnsi="Times New Roman"/>
          <w:sz w:val="28"/>
          <w:szCs w:val="28"/>
        </w:rPr>
        <w:t>ов</w:t>
      </w:r>
      <w:r w:rsidRPr="00A53AD7">
        <w:rPr>
          <w:rFonts w:ascii="Times New Roman" w:hAnsi="Times New Roman"/>
          <w:sz w:val="28"/>
          <w:szCs w:val="28"/>
        </w:rPr>
        <w:t xml:space="preserve"> в консолидированный бюджет поступило больше на 473,6 млн.руб. или на 11,9 %, из которых в бюджеты муниципальных образований поступления увеличились на 182,8 млн.руб. (+7,6 %), в областной бюджет – на 290,8 млн.руб. или на 18,7 %.</w:t>
      </w:r>
    </w:p>
    <w:p w14:paraId="0EE3499A" w14:textId="76C7E907" w:rsidR="00F700F3" w:rsidRPr="00A53AD7" w:rsidRDefault="00F700F3" w:rsidP="006433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составе указанн</w:t>
      </w:r>
      <w:r w:rsidR="00B74892" w:rsidRPr="00A53AD7">
        <w:rPr>
          <w:rFonts w:ascii="Times New Roman" w:hAnsi="Times New Roman"/>
          <w:sz w:val="28"/>
          <w:szCs w:val="28"/>
        </w:rPr>
        <w:t>ых</w:t>
      </w:r>
      <w:r w:rsidRPr="00A53AD7">
        <w:rPr>
          <w:rFonts w:ascii="Times New Roman" w:hAnsi="Times New Roman"/>
          <w:sz w:val="28"/>
          <w:szCs w:val="28"/>
        </w:rPr>
        <w:t xml:space="preserve"> </w:t>
      </w:r>
      <w:r w:rsidR="00B74892" w:rsidRPr="00A53AD7">
        <w:rPr>
          <w:rFonts w:ascii="Times New Roman" w:hAnsi="Times New Roman"/>
          <w:sz w:val="28"/>
          <w:szCs w:val="28"/>
        </w:rPr>
        <w:t>доходов ув</w:t>
      </w:r>
      <w:r w:rsidRPr="00A53AD7">
        <w:rPr>
          <w:rFonts w:ascii="Times New Roman" w:hAnsi="Times New Roman"/>
          <w:sz w:val="28"/>
          <w:szCs w:val="28"/>
        </w:rPr>
        <w:t xml:space="preserve">еличились доходы от использования имущества, находящегося в государственной и муниципальной собственности – на 235,0 млн.руб. (на 17,6 %), платежи при пользовании природными ресурсами – на 171,3 млн.руб. (на 16,7 %), из которых платежи при пользовании недрами увеличились на 95,2 </w:t>
      </w:r>
      <w:r w:rsidR="00E37C50" w:rsidRPr="00A53AD7">
        <w:rPr>
          <w:rFonts w:ascii="Times New Roman" w:hAnsi="Times New Roman"/>
          <w:sz w:val="28"/>
          <w:szCs w:val="28"/>
        </w:rPr>
        <w:t>млн</w:t>
      </w:r>
      <w:r w:rsidRPr="00A53AD7">
        <w:rPr>
          <w:rFonts w:ascii="Times New Roman" w:hAnsi="Times New Roman"/>
          <w:sz w:val="28"/>
          <w:szCs w:val="28"/>
        </w:rPr>
        <w:t>.руб. (в 2,3 раза)</w:t>
      </w:r>
      <w:r w:rsidR="00B85662" w:rsidRPr="00A53AD7">
        <w:rPr>
          <w:rFonts w:ascii="Times New Roman" w:hAnsi="Times New Roman"/>
          <w:sz w:val="28"/>
          <w:szCs w:val="28"/>
        </w:rPr>
        <w:t>,</w:t>
      </w:r>
      <w:r w:rsidRPr="00A53AD7">
        <w:rPr>
          <w:rFonts w:ascii="Times New Roman" w:hAnsi="Times New Roman"/>
          <w:sz w:val="28"/>
          <w:szCs w:val="28"/>
        </w:rPr>
        <w:t xml:space="preserve"> плата за использование лесов выросла на 97,7 млн.руб. (на 12,0 %), а плата за негативное воздействие на окружающую среду сократилась на 21,7 млн.руб. (на 15,5 %).</w:t>
      </w:r>
    </w:p>
    <w:p w14:paraId="408B5B68" w14:textId="4037344E" w:rsidR="00F700F3" w:rsidRPr="00A53AD7" w:rsidRDefault="00F700F3" w:rsidP="00B8566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поступлении неналоговых доходов в областной бюджет отражены разделе «</w:t>
      </w:r>
      <w:hyperlink w:anchor="_3._Доходы_областного" w:history="1">
        <w:r w:rsidRPr="00A53AD7">
          <w:rPr>
            <w:rStyle w:val="afb"/>
            <w:rFonts w:ascii="Times New Roman" w:hAnsi="Times New Roman"/>
            <w:color w:val="auto"/>
            <w:sz w:val="28"/>
            <w:szCs w:val="28"/>
          </w:rPr>
          <w:t>Доходы областного бюджета в 2019 году</w:t>
        </w:r>
      </w:hyperlink>
      <w:r w:rsidRPr="00A53AD7">
        <w:rPr>
          <w:rFonts w:ascii="Times New Roman" w:hAnsi="Times New Roman"/>
          <w:sz w:val="28"/>
          <w:szCs w:val="28"/>
        </w:rPr>
        <w:t>» настоящего заключения.</w:t>
      </w:r>
    </w:p>
    <w:p w14:paraId="3D3E830B" w14:textId="77777777" w:rsidR="00F700F3" w:rsidRPr="00A53AD7" w:rsidRDefault="00F700F3" w:rsidP="00B8566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Неналоговые доходы консолидированных бюджетов муниципальных образований Архангельской области за 2019 год обеспечены, в основном, следующими поступлениями:</w:t>
      </w:r>
    </w:p>
    <w:p w14:paraId="223603CE" w14:textId="632111FF" w:rsidR="00F700F3" w:rsidRPr="00A53AD7" w:rsidRDefault="00F700F3" w:rsidP="00135937">
      <w:pPr>
        <w:pStyle w:val="a0"/>
      </w:pPr>
      <w:r w:rsidRPr="00A53AD7">
        <w:t>1 511,7 млн.руб. – доходы от использования имущества, находящегося в государственной и муниципальной собственности, что составляет 58,2 % в структуре неналоговых доходов. Годовой кассовый план указанных поступлений выполнен на 104,0 %. Рост по сравнению с поступлениями за 201</w:t>
      </w:r>
      <w:r w:rsidR="004F4A24" w:rsidRPr="00A53AD7">
        <w:t>8</w:t>
      </w:r>
      <w:r w:rsidRPr="00A53AD7">
        <w:t xml:space="preserve"> год составил 221,2 млн.руб. или на 17,1 %. Наибольший уровень исполнения к плану года в консолидированном бюджете </w:t>
      </w:r>
      <w:r w:rsidRPr="00A53AD7">
        <w:lastRenderedPageBreak/>
        <w:t>МО «Устьянский район» (132,7 %), наименьший – в МО «Северодвинск» (86,9 %);</w:t>
      </w:r>
    </w:p>
    <w:p w14:paraId="0D3CC244" w14:textId="4C279C41" w:rsidR="00F700F3" w:rsidRPr="00A53AD7" w:rsidRDefault="00F700F3" w:rsidP="00135937">
      <w:pPr>
        <w:pStyle w:val="a0"/>
      </w:pPr>
      <w:r w:rsidRPr="00A53AD7">
        <w:t>494,9 млн.руб. – доходы от продажи активов (19,1 % в составе неналоговых доходов). Годовой кассовый план бюджетов муниципальных образований выполнен на 108,6 %. Отмечается перевыполнение кассового плана года в 14 муниципальных образованиях, из них наибольшее: МО «Котлас» - поступило на 90,0 % или на 7,1 млн.руб. больше</w:t>
      </w:r>
      <w:r w:rsidR="00F97051" w:rsidRPr="00A53AD7">
        <w:t xml:space="preserve"> годового плана</w:t>
      </w:r>
      <w:r w:rsidRPr="00A53AD7">
        <w:t>. Наименьший уровень поступления указанных доходов зафиксирован в МО «Мезенский район» - 33,8 % к годовым назначениям. Отмечаем, что продажа активов носит заявительный характер. Этим отчасти и объясняются значительные отклонения фактического поступления дохо</w:t>
      </w:r>
      <w:r w:rsidR="00C032CD" w:rsidRPr="00A53AD7">
        <w:t>дов от их прогноза</w:t>
      </w:r>
      <w:r w:rsidRPr="00A53AD7">
        <w:t>.</w:t>
      </w:r>
    </w:p>
    <w:p w14:paraId="6EF568AB" w14:textId="77777777" w:rsidR="00F700F3" w:rsidRPr="00A53AD7" w:rsidRDefault="00F700F3" w:rsidP="00C032CD">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Указанные выше поступления составляют более ¾ или 77,3 % всех неналоговых доходов консолидированных бюджетов муниципальных образований Архангельской области за отчетный период.</w:t>
      </w:r>
    </w:p>
    <w:p w14:paraId="57BD4A47" w14:textId="77777777" w:rsidR="00F700F3" w:rsidRPr="00A53AD7" w:rsidRDefault="00F700F3" w:rsidP="00E65538">
      <w:pPr>
        <w:spacing w:after="0" w:line="240" w:lineRule="auto"/>
        <w:ind w:firstLine="851"/>
        <w:jc w:val="both"/>
        <w:rPr>
          <w:rFonts w:ascii="Times New Roman" w:hAnsi="Times New Roman"/>
          <w:sz w:val="28"/>
          <w:szCs w:val="28"/>
        </w:rPr>
      </w:pPr>
    </w:p>
    <w:p w14:paraId="13D75DD6" w14:textId="7FCEA2AD" w:rsidR="00F700F3" w:rsidRPr="00A53AD7" w:rsidRDefault="00F700F3" w:rsidP="00E65538">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Безвозмездные поступления в консолидированный бюджет Архангельской области в 2019 году, с учетом поступлений от возврата целевых остатков и возврата целевых остатков</w:t>
      </w:r>
      <w:r w:rsidR="00E65538" w:rsidRPr="00A53AD7">
        <w:rPr>
          <w:rFonts w:ascii="Times New Roman" w:hAnsi="Times New Roman"/>
          <w:sz w:val="28"/>
          <w:szCs w:val="28"/>
        </w:rPr>
        <w:t xml:space="preserve"> в федеральный бюджет</w:t>
      </w:r>
      <w:r w:rsidRPr="00A53AD7">
        <w:rPr>
          <w:rFonts w:ascii="Times New Roman" w:hAnsi="Times New Roman"/>
          <w:sz w:val="28"/>
          <w:szCs w:val="28"/>
        </w:rPr>
        <w:t>, потребность в которых отсутствует, составили в общей сумме 28 861,4 млн.руб., выполнение к плану года составило 95,1 %, в том числе в областном бюджете – на 95,6 %, в местных бюджетах – 96,4 %.</w:t>
      </w:r>
    </w:p>
    <w:p w14:paraId="48379EA1" w14:textId="32575CED" w:rsidR="00F700F3" w:rsidRPr="00A53AD7" w:rsidRDefault="00F700F3" w:rsidP="00A11BB5">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данном разделе заключения рассмотрены безвозмездные поступления в консолидированные бюджеты муниципальных образований Архангельской области. Сведения о безвозмездных поступлениях в областной бюджет отражены в разделе «</w:t>
      </w:r>
      <w:hyperlink w:anchor="_3.2._Безвозмездные_поступления" w:history="1">
        <w:r w:rsidRPr="00A53AD7">
          <w:rPr>
            <w:rStyle w:val="afb"/>
            <w:rFonts w:ascii="Times New Roman" w:hAnsi="Times New Roman"/>
            <w:color w:val="auto"/>
            <w:sz w:val="28"/>
            <w:szCs w:val="28"/>
          </w:rPr>
          <w:t>Доходы областного бюджета в 2019 году</w:t>
        </w:r>
      </w:hyperlink>
      <w:r w:rsidRPr="00A53AD7">
        <w:rPr>
          <w:rFonts w:ascii="Times New Roman" w:hAnsi="Times New Roman"/>
          <w:sz w:val="28"/>
          <w:szCs w:val="28"/>
        </w:rPr>
        <w:t>».</w:t>
      </w:r>
    </w:p>
    <w:p w14:paraId="18CD4FB2" w14:textId="77777777" w:rsidR="00F700F3" w:rsidRPr="00A53AD7" w:rsidRDefault="00F700F3" w:rsidP="00A11BB5">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безвозмездных поступлений в консолидированные бюджеты муниципальных образований за 2019 год, согласно представленным отчетам по ф. 0503317 (Доходы), составили 28 171,8 млн.руб., в том числе:</w:t>
      </w:r>
    </w:p>
    <w:p w14:paraId="177724E7" w14:textId="77777777" w:rsidR="00F700F3" w:rsidRPr="00A53AD7" w:rsidRDefault="00F700F3" w:rsidP="00135937">
      <w:pPr>
        <w:pStyle w:val="a0"/>
      </w:pPr>
      <w:r w:rsidRPr="00A53AD7">
        <w:t>безвозмездные поступления из областного бюджета – 28 029,2 млн.руб. или 96,4 % к плану года;</w:t>
      </w:r>
    </w:p>
    <w:p w14:paraId="50CF5F19" w14:textId="77777777" w:rsidR="00F700F3" w:rsidRPr="00A53AD7" w:rsidRDefault="00F700F3" w:rsidP="00135937">
      <w:pPr>
        <w:pStyle w:val="a0"/>
      </w:pPr>
      <w:r w:rsidRPr="00A53AD7">
        <w:t>безвозмездные поступления от государственных организаций – 0,1 млн.руб.;</w:t>
      </w:r>
    </w:p>
    <w:p w14:paraId="3E80303A" w14:textId="77777777" w:rsidR="00F700F3" w:rsidRPr="00A53AD7" w:rsidRDefault="00F700F3" w:rsidP="00135937">
      <w:pPr>
        <w:pStyle w:val="a0"/>
      </w:pPr>
      <w:r w:rsidRPr="00A53AD7">
        <w:t>безвозмездные поступления от негосударственных организаций – 1,5 млн.руб.;</w:t>
      </w:r>
    </w:p>
    <w:p w14:paraId="56C6FB5C" w14:textId="77777777" w:rsidR="00F700F3" w:rsidRPr="00A53AD7" w:rsidRDefault="00F700F3" w:rsidP="00135937">
      <w:pPr>
        <w:pStyle w:val="a0"/>
      </w:pPr>
      <w:r w:rsidRPr="00A53AD7">
        <w:t>прочие безвозмездные поступления – 50,6 млн.руб.;</w:t>
      </w:r>
    </w:p>
    <w:p w14:paraId="2AA5CD8B" w14:textId="77777777" w:rsidR="00F700F3" w:rsidRPr="00A53AD7" w:rsidRDefault="00F700F3" w:rsidP="00135937">
      <w:pPr>
        <w:pStyle w:val="a0"/>
      </w:pPr>
      <w:r w:rsidRPr="00A53AD7">
        <w:t>доходы от возврата целевых остатков прошлых лет – 109,3 млн.руб.;</w:t>
      </w:r>
    </w:p>
    <w:p w14:paraId="35CB0E29" w14:textId="77777777" w:rsidR="00F700F3" w:rsidRPr="00A53AD7" w:rsidRDefault="00F700F3" w:rsidP="00135937">
      <w:pPr>
        <w:pStyle w:val="a0"/>
      </w:pPr>
      <w:r w:rsidRPr="00A53AD7">
        <w:t>возврат остатков целевых межбюджетных трансфертов прошлых лет в областной бюджет 18,9 млн.руб.</w:t>
      </w:r>
    </w:p>
    <w:p w14:paraId="49EB0B5E" w14:textId="03826157" w:rsidR="00F700F3" w:rsidRPr="00A53AD7" w:rsidRDefault="00F700F3" w:rsidP="008C6A1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Сведения о безвозмездных поступлениях в местные бюджеты из областного бюджета за 2018 и 2019 годы представлены в приложении № 4 к настоящему заключению и на рисунке </w:t>
      </w:r>
      <w:r w:rsidR="006964CF" w:rsidRPr="00A53AD7">
        <w:rPr>
          <w:rFonts w:ascii="Times New Roman" w:hAnsi="Times New Roman"/>
          <w:sz w:val="28"/>
          <w:szCs w:val="28"/>
        </w:rPr>
        <w:t>9</w:t>
      </w:r>
      <w:r w:rsidRPr="00A53AD7">
        <w:rPr>
          <w:rFonts w:ascii="Times New Roman" w:hAnsi="Times New Roman"/>
          <w:sz w:val="28"/>
          <w:szCs w:val="28"/>
        </w:rPr>
        <w:t>.</w:t>
      </w:r>
    </w:p>
    <w:p w14:paraId="3998EC27" w14:textId="77777777" w:rsidR="00F700F3" w:rsidRPr="00A53AD7" w:rsidRDefault="00F700F3" w:rsidP="00F700F3">
      <w:pPr>
        <w:jc w:val="center"/>
      </w:pPr>
      <w:r w:rsidRPr="00A53AD7">
        <w:rPr>
          <w:noProof/>
          <w:lang w:eastAsia="ru-RU"/>
        </w:rPr>
        <w:lastRenderedPageBreak/>
        <w:drawing>
          <wp:inline distT="0" distB="0" distL="0" distR="0" wp14:anchorId="2F8EB404" wp14:editId="1A933AD8">
            <wp:extent cx="5751490" cy="1928446"/>
            <wp:effectExtent l="0" t="0" r="190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7809" cy="1930565"/>
                    </a:xfrm>
                    <a:prstGeom prst="rect">
                      <a:avLst/>
                    </a:prstGeom>
                    <a:noFill/>
                  </pic:spPr>
                </pic:pic>
              </a:graphicData>
            </a:graphic>
          </wp:inline>
        </w:drawing>
      </w:r>
    </w:p>
    <w:p w14:paraId="3AA859ED" w14:textId="67AA90A6" w:rsidR="00F700F3" w:rsidRPr="00A53AD7" w:rsidRDefault="00F700F3" w:rsidP="002F6743">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Рисунок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9</w:t>
      </w:r>
      <w:r w:rsidRPr="00A53AD7">
        <w:rPr>
          <w:rFonts w:ascii="Times New Roman" w:hAnsi="Times New Roman"/>
          <w:b w:val="0"/>
          <w:noProof/>
          <w:sz w:val="24"/>
          <w:szCs w:val="24"/>
        </w:rPr>
        <w:fldChar w:fldCharType="end"/>
      </w:r>
      <w:r w:rsidRPr="00A53AD7">
        <w:rPr>
          <w:rFonts w:ascii="Times New Roman" w:hAnsi="Times New Roman"/>
          <w:b w:val="0"/>
          <w:sz w:val="24"/>
          <w:szCs w:val="24"/>
        </w:rPr>
        <w:t>. Безвозмездные поступления из областного бюджета в бюджеты муниципальных образований за 2018 и 2019 годы, млн.руб</w:t>
      </w:r>
      <w:r w:rsidR="002F6743" w:rsidRPr="00A53AD7">
        <w:rPr>
          <w:rFonts w:ascii="Times New Roman" w:hAnsi="Times New Roman"/>
          <w:b w:val="0"/>
          <w:sz w:val="24"/>
          <w:szCs w:val="24"/>
        </w:rPr>
        <w:t>.</w:t>
      </w:r>
    </w:p>
    <w:p w14:paraId="678EB70E" w14:textId="77777777" w:rsidR="00F700F3" w:rsidRPr="00A53AD7" w:rsidRDefault="00F700F3" w:rsidP="00F700F3">
      <w:pPr>
        <w:rPr>
          <w:sz w:val="16"/>
          <w:szCs w:val="16"/>
          <w:highlight w:val="cyan"/>
        </w:rPr>
      </w:pPr>
    </w:p>
    <w:p w14:paraId="69118BBF" w14:textId="70D797A9" w:rsidR="00F700F3" w:rsidRPr="00A53AD7" w:rsidRDefault="00F700F3" w:rsidP="008D557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Безвозмездные поступления в бюджеты муниципальных образований из областного бюджета исполнены на 96,4 % к кассовому плану года, предусмотренному </w:t>
      </w:r>
      <w:r w:rsidR="008D557F" w:rsidRPr="00A53AD7">
        <w:rPr>
          <w:rFonts w:ascii="Times New Roman" w:hAnsi="Times New Roman"/>
          <w:sz w:val="28"/>
          <w:szCs w:val="28"/>
        </w:rPr>
        <w:t>в местных бюджетах на 2019 год.</w:t>
      </w:r>
    </w:p>
    <w:p w14:paraId="612AFB4C" w14:textId="36A0DC21" w:rsidR="00F700F3" w:rsidRPr="00A53AD7" w:rsidRDefault="00F700F3" w:rsidP="00E52C4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Указанные безвозмездные поступления по отношению </w:t>
      </w:r>
      <w:r w:rsidR="00E52C4D" w:rsidRPr="00A53AD7">
        <w:rPr>
          <w:rFonts w:ascii="Times New Roman" w:hAnsi="Times New Roman"/>
          <w:sz w:val="28"/>
          <w:szCs w:val="28"/>
        </w:rPr>
        <w:t xml:space="preserve">к </w:t>
      </w:r>
      <w:r w:rsidRPr="00A53AD7">
        <w:rPr>
          <w:rFonts w:ascii="Times New Roman" w:hAnsi="Times New Roman"/>
          <w:sz w:val="28"/>
          <w:szCs w:val="28"/>
        </w:rPr>
        <w:t>2018 году в целом увеличились на 21,0 % или на 4 862,1 млн.руб., в т.ч. обусловлено ростом дотаций на 30,3 % (+574,2 млн.руб.), иных межбюджетных трансфертов в 2,2 раза (+1 071,3 тыс.руб.), субвенций – на 10,4 % (+1 496,6 млн.руб.), субсидий – 28,8 % (+1 720,0 млн.руб.).</w:t>
      </w:r>
    </w:p>
    <w:p w14:paraId="12C26996" w14:textId="3A73C681" w:rsidR="00FD1191" w:rsidRPr="00A53AD7" w:rsidRDefault="00FD1191" w:rsidP="00FD119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рост дотаций наблюдается в МО «Город Коряжма» в 11,5 раза (+162,1 млн.руб.), в МО «Новая Земля» - в 4,9 раза (+3,0 млн.руб.), а также в 2,2 раза в МО «Ленский район» (+10,7 млн.руб.) и в МО «Няндомский район» (+71,2 млн.руб.). Изменения обусловлены </w:t>
      </w:r>
      <w:r w:rsidR="00595010" w:rsidRPr="00A53AD7">
        <w:rPr>
          <w:rFonts w:ascii="Times New Roman" w:hAnsi="Times New Roman"/>
          <w:sz w:val="28"/>
          <w:szCs w:val="28"/>
        </w:rPr>
        <w:t>методикой расчета дотаций.</w:t>
      </w:r>
    </w:p>
    <w:p w14:paraId="3F32F681" w14:textId="77777777" w:rsidR="001320CC" w:rsidRPr="00A53AD7" w:rsidRDefault="001320CC" w:rsidP="001320CC">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и в 2018 году наибольший удельный вес в общей сумме поступлений из областного бюджета занимают субвенции – 56,7 % (в 2018 году – 62,1 %), которые составили 15 892,3 тыс.руб., из которых наибольший рост в процентном отношении наблюдается в МО «Устьянский район» - на 19,5 % (+109,0 млн.руб.), а в МО «Новая Земля» - снижение на 1,2 % (-0,1 млн.руб.).</w:t>
      </w:r>
    </w:p>
    <w:p w14:paraId="212784C3" w14:textId="77777777" w:rsidR="001320CC" w:rsidRPr="00A53AD7" w:rsidRDefault="001320CC" w:rsidP="001320CC">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субвенции муниципальным образованиям увеличились на 1 496,6 млн.руб. или на 10,4 %, из них прочие субвенции перечислены на 1 229,6 млн.руб. больше (+9,3 %), чем в 2018 году, из них в МО «Город Архангельск» - на 12,5 % больше (+375,4 млн.руб.), в МО «Северодвинск» - на 11,1 % (+250,6 млн.руб).</w:t>
      </w:r>
    </w:p>
    <w:p w14:paraId="041CF4C6" w14:textId="7B2B1FB6" w:rsidR="001320CC" w:rsidRPr="00A53AD7" w:rsidRDefault="001320CC" w:rsidP="001320CC">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Иные межбюджетные трансферты в доходной части местных бюджетов увеличились в 2,2 раза или на 1 071,3 млн.руб., из них на создание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 – рост составил на 599,7 млн.руб. или в 3,8 раза, а</w:t>
      </w:r>
      <w:r w:rsidR="00E46634" w:rsidRPr="00A53AD7">
        <w:rPr>
          <w:rFonts w:ascii="Times New Roman" w:hAnsi="Times New Roman"/>
          <w:sz w:val="28"/>
          <w:szCs w:val="28"/>
        </w:rPr>
        <w:t xml:space="preserve"> </w:t>
      </w:r>
      <w:r w:rsidRPr="00A53AD7">
        <w:rPr>
          <w:rFonts w:ascii="Times New Roman" w:hAnsi="Times New Roman"/>
          <w:sz w:val="28"/>
          <w:szCs w:val="28"/>
        </w:rPr>
        <w:t xml:space="preserve">на финансовое обеспечение дорожной деятельности в рамках реализации национального проекта «Безопасные и качественные автомобильные дороги» выделено 708,5 млн.руб. </w:t>
      </w:r>
      <w:r w:rsidRPr="00A53AD7">
        <w:rPr>
          <w:rFonts w:ascii="Times New Roman" w:hAnsi="Times New Roman"/>
          <w:sz w:val="28"/>
          <w:szCs w:val="28"/>
        </w:rPr>
        <w:lastRenderedPageBreak/>
        <w:t>(в 2018 году не выделялись), где в областной бюджет поступило 1 781,2 млн.руб.</w:t>
      </w:r>
    </w:p>
    <w:p w14:paraId="65E711CA" w14:textId="562B8212" w:rsidR="001320CC" w:rsidRPr="00A53AD7" w:rsidRDefault="001320CC" w:rsidP="001320CC">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Субсидии местным бюджетам составили 7 689,2 млн.руб., что на 28,8 % или на 1 720,0 млн.руб. больше, чем поступило в 2018 году, из них субсидии на осуществление капитальных вложений – 1 956,6 тыс.руб., что на 27,8 % (+425,8 млн.руб.) больше, чем в 2018 году. Консолидированные субсидии в местные бюджеты в 2019 году составили 423,2 млн.руб. или на 44,4 % (+130,2 млн.руб.) больше аналогичных поступлений за 2018 год.</w:t>
      </w:r>
    </w:p>
    <w:p w14:paraId="624ACA2D" w14:textId="2E1A21E2" w:rsidR="00F700F3" w:rsidRPr="00A53AD7" w:rsidRDefault="00F700F3" w:rsidP="00D25B7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доходов в консолидированный бюджет Архангельской области за последние 5 лет, т.е. с 2015 по 2019 годы представлено на рисунке </w:t>
      </w:r>
      <w:r w:rsidR="007C1226" w:rsidRPr="00A53AD7">
        <w:rPr>
          <w:rFonts w:ascii="Times New Roman" w:hAnsi="Times New Roman"/>
          <w:sz w:val="28"/>
          <w:szCs w:val="28"/>
        </w:rPr>
        <w:t>10</w:t>
      </w:r>
      <w:r w:rsidRPr="00A53AD7">
        <w:rPr>
          <w:rFonts w:ascii="Times New Roman" w:hAnsi="Times New Roman"/>
          <w:sz w:val="28"/>
          <w:szCs w:val="28"/>
        </w:rPr>
        <w:t>.</w:t>
      </w:r>
    </w:p>
    <w:p w14:paraId="77292C3D" w14:textId="77777777" w:rsidR="00F700F3" w:rsidRPr="00A53AD7" w:rsidRDefault="00F700F3" w:rsidP="00F700F3">
      <w:pPr>
        <w:jc w:val="center"/>
      </w:pPr>
      <w:r w:rsidRPr="00A53AD7">
        <w:rPr>
          <w:noProof/>
          <w:lang w:eastAsia="ru-RU"/>
        </w:rPr>
        <w:drawing>
          <wp:inline distT="0" distB="0" distL="0" distR="0" wp14:anchorId="6BBFCCA2" wp14:editId="7FE9B228">
            <wp:extent cx="5395171" cy="1934308"/>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801" cy="1938119"/>
                    </a:xfrm>
                    <a:prstGeom prst="rect">
                      <a:avLst/>
                    </a:prstGeom>
                    <a:noFill/>
                  </pic:spPr>
                </pic:pic>
              </a:graphicData>
            </a:graphic>
          </wp:inline>
        </w:drawing>
      </w:r>
    </w:p>
    <w:p w14:paraId="01932204" w14:textId="09FA2B68" w:rsidR="00F700F3" w:rsidRPr="00A53AD7" w:rsidRDefault="00F700F3" w:rsidP="0066460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10</w:t>
      </w:r>
      <w:r w:rsidRPr="00A53AD7">
        <w:rPr>
          <w:rFonts w:ascii="Times New Roman" w:hAnsi="Times New Roman"/>
          <w:b w:val="0"/>
          <w:sz w:val="24"/>
          <w:szCs w:val="24"/>
        </w:rPr>
        <w:fldChar w:fldCharType="end"/>
      </w:r>
      <w:r w:rsidRPr="00A53AD7">
        <w:rPr>
          <w:rFonts w:ascii="Times New Roman" w:hAnsi="Times New Roman"/>
          <w:b w:val="0"/>
          <w:sz w:val="24"/>
          <w:szCs w:val="24"/>
        </w:rPr>
        <w:t>. Доходы консолидированного бюджета Архангельской области с 2015 по 2019 годы, млн.руб.</w:t>
      </w:r>
    </w:p>
    <w:p w14:paraId="048C9EB1" w14:textId="77777777" w:rsidR="00F700F3" w:rsidRPr="00A53AD7" w:rsidRDefault="00F700F3" w:rsidP="00780A24">
      <w:pPr>
        <w:spacing w:after="0" w:line="240" w:lineRule="auto"/>
        <w:ind w:firstLine="851"/>
        <w:jc w:val="both"/>
        <w:rPr>
          <w:rFonts w:ascii="Times New Roman" w:hAnsi="Times New Roman"/>
          <w:sz w:val="28"/>
          <w:szCs w:val="28"/>
        </w:rPr>
      </w:pPr>
    </w:p>
    <w:p w14:paraId="21B0985D" w14:textId="72E3587B" w:rsidR="00F700F3" w:rsidRPr="00A53AD7" w:rsidRDefault="00F700F3" w:rsidP="00780A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на рисунке</w:t>
      </w:r>
      <w:r w:rsidR="00780A24" w:rsidRPr="00A53AD7">
        <w:rPr>
          <w:rFonts w:ascii="Times New Roman" w:hAnsi="Times New Roman"/>
          <w:sz w:val="28"/>
          <w:szCs w:val="28"/>
        </w:rPr>
        <w:t>,</w:t>
      </w:r>
      <w:r w:rsidRPr="00A53AD7">
        <w:rPr>
          <w:rFonts w:ascii="Times New Roman" w:hAnsi="Times New Roman"/>
          <w:sz w:val="28"/>
          <w:szCs w:val="28"/>
        </w:rPr>
        <w:t xml:space="preserve"> с 2017 года наблюдается ежегодный рост доходной части консолидированного бюджета Архангельской области.</w:t>
      </w:r>
      <w:r w:rsidR="00754135" w:rsidRPr="00A53AD7">
        <w:rPr>
          <w:rFonts w:ascii="Times New Roman" w:hAnsi="Times New Roman"/>
          <w:sz w:val="28"/>
          <w:szCs w:val="28"/>
        </w:rPr>
        <w:t xml:space="preserve"> Доходы 2019 года по отношению к </w:t>
      </w:r>
      <w:r w:rsidR="003369DA" w:rsidRPr="00A53AD7">
        <w:rPr>
          <w:rFonts w:ascii="Times New Roman" w:hAnsi="Times New Roman"/>
          <w:sz w:val="28"/>
          <w:szCs w:val="28"/>
        </w:rPr>
        <w:t>2016 году увеличились на 41,4 % со среднегодовым ростом на 12,1 %.</w:t>
      </w:r>
    </w:p>
    <w:p w14:paraId="0ED1DF45" w14:textId="12BBF755" w:rsidR="00F700F3" w:rsidRPr="00A53AD7" w:rsidRDefault="00F700F3" w:rsidP="003369D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разрезе областного и местных бюджетов (с учетом поселений) поступление доходов за последние 5 лет представлены на рисунке </w:t>
      </w:r>
      <w:r w:rsidR="007C1226" w:rsidRPr="00A53AD7">
        <w:rPr>
          <w:rFonts w:ascii="Times New Roman" w:hAnsi="Times New Roman"/>
          <w:sz w:val="28"/>
          <w:szCs w:val="28"/>
        </w:rPr>
        <w:t>11</w:t>
      </w:r>
      <w:r w:rsidRPr="00A53AD7">
        <w:rPr>
          <w:rFonts w:ascii="Times New Roman" w:hAnsi="Times New Roman"/>
          <w:sz w:val="28"/>
          <w:szCs w:val="28"/>
        </w:rPr>
        <w:t>.</w:t>
      </w:r>
    </w:p>
    <w:p w14:paraId="246F0617" w14:textId="77777777" w:rsidR="00F700F3" w:rsidRPr="00A53AD7" w:rsidRDefault="00F700F3" w:rsidP="00F700F3">
      <w:pPr>
        <w:rPr>
          <w:sz w:val="16"/>
          <w:szCs w:val="16"/>
          <w:highlight w:val="cyan"/>
        </w:rPr>
      </w:pPr>
    </w:p>
    <w:p w14:paraId="52495C09" w14:textId="77777777" w:rsidR="00F700F3" w:rsidRPr="00A53AD7" w:rsidRDefault="00F700F3" w:rsidP="00F700F3">
      <w:pPr>
        <w:jc w:val="center"/>
      </w:pPr>
      <w:r w:rsidRPr="00A53AD7">
        <w:rPr>
          <w:noProof/>
          <w:lang w:eastAsia="ru-RU"/>
        </w:rPr>
        <w:drawing>
          <wp:inline distT="0" distB="0" distL="0" distR="0" wp14:anchorId="62FE73CE" wp14:editId="56AD952E">
            <wp:extent cx="5036400" cy="1800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6400" cy="1800000"/>
                    </a:xfrm>
                    <a:prstGeom prst="rect">
                      <a:avLst/>
                    </a:prstGeom>
                    <a:noFill/>
                  </pic:spPr>
                </pic:pic>
              </a:graphicData>
            </a:graphic>
          </wp:inline>
        </w:drawing>
      </w:r>
    </w:p>
    <w:p w14:paraId="635CA5E3" w14:textId="35C50BA5" w:rsidR="00F700F3" w:rsidRPr="00A53AD7" w:rsidRDefault="00F700F3" w:rsidP="003369D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11</w:t>
      </w:r>
      <w:r w:rsidRPr="00A53AD7">
        <w:rPr>
          <w:rFonts w:ascii="Times New Roman" w:hAnsi="Times New Roman"/>
          <w:b w:val="0"/>
          <w:sz w:val="24"/>
          <w:szCs w:val="24"/>
        </w:rPr>
        <w:fldChar w:fldCharType="end"/>
      </w:r>
      <w:r w:rsidRPr="00A53AD7">
        <w:rPr>
          <w:rFonts w:ascii="Times New Roman" w:hAnsi="Times New Roman"/>
          <w:b w:val="0"/>
          <w:sz w:val="24"/>
          <w:szCs w:val="24"/>
        </w:rPr>
        <w:t>. Доходы областного бюджета и консолидированных бюджетов муниципальных образований за 2015 – 2019 годы, млн.руб.</w:t>
      </w:r>
    </w:p>
    <w:p w14:paraId="7454EB19" w14:textId="77777777" w:rsidR="00F700F3" w:rsidRPr="00A53AD7" w:rsidRDefault="00F700F3" w:rsidP="000F0F0E">
      <w:pPr>
        <w:spacing w:after="0" w:line="240" w:lineRule="auto"/>
        <w:ind w:firstLine="851"/>
        <w:jc w:val="both"/>
        <w:rPr>
          <w:rFonts w:ascii="Times New Roman" w:hAnsi="Times New Roman"/>
          <w:sz w:val="28"/>
          <w:szCs w:val="28"/>
        </w:rPr>
      </w:pPr>
    </w:p>
    <w:p w14:paraId="78CC2506" w14:textId="77777777" w:rsidR="00F700F3" w:rsidRPr="00A53AD7" w:rsidRDefault="00F700F3" w:rsidP="000F0F0E">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Так за последние 5 лет (с 2015 года) доходная часть консолидированного бюджета Архангельской области увеличилась на 29 474,3 млн.руб. или на 37,6 %, из них:</w:t>
      </w:r>
    </w:p>
    <w:p w14:paraId="4AB55CA0" w14:textId="77777777" w:rsidR="00F700F3" w:rsidRPr="00A53AD7" w:rsidRDefault="00F700F3" w:rsidP="00135937">
      <w:pPr>
        <w:pStyle w:val="a0"/>
      </w:pPr>
      <w:r w:rsidRPr="00A53AD7">
        <w:t>поступления в областной бюджет выросли на 26 710,0 млн.руб. или на 40,7 %;</w:t>
      </w:r>
    </w:p>
    <w:p w14:paraId="2AAF534C" w14:textId="77777777" w:rsidR="00F700F3" w:rsidRPr="00A53AD7" w:rsidRDefault="00F700F3" w:rsidP="00135937">
      <w:pPr>
        <w:pStyle w:val="a0"/>
      </w:pPr>
      <w:r w:rsidRPr="00A53AD7">
        <w:t>доходы местных бюджетов увеличились на 9 365,3 млн.руб. или на 27,3 %.</w:t>
      </w:r>
    </w:p>
    <w:p w14:paraId="231B570A" w14:textId="4F178E73" w:rsidR="00F700F3" w:rsidRPr="00A53AD7" w:rsidRDefault="00F700F3" w:rsidP="002F060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Изменение доходов консолидированных бюджетов муниципальных образований по отношению к прошлым отчетным периодам в процентном соотношении представлено на рисунке </w:t>
      </w:r>
      <w:r w:rsidR="007C1226" w:rsidRPr="00A53AD7">
        <w:rPr>
          <w:rFonts w:ascii="Times New Roman" w:hAnsi="Times New Roman"/>
          <w:sz w:val="28"/>
          <w:szCs w:val="28"/>
        </w:rPr>
        <w:t>12</w:t>
      </w:r>
      <w:r w:rsidRPr="00A53AD7">
        <w:rPr>
          <w:rFonts w:ascii="Times New Roman" w:hAnsi="Times New Roman"/>
          <w:sz w:val="28"/>
          <w:szCs w:val="28"/>
        </w:rPr>
        <w:t>.</w:t>
      </w:r>
    </w:p>
    <w:p w14:paraId="351047BD" w14:textId="77777777" w:rsidR="00F700F3" w:rsidRPr="00A53AD7" w:rsidRDefault="00F700F3" w:rsidP="00F700F3">
      <w:pPr>
        <w:jc w:val="center"/>
      </w:pPr>
      <w:r w:rsidRPr="00A53AD7">
        <w:rPr>
          <w:noProof/>
          <w:lang w:eastAsia="ru-RU"/>
        </w:rPr>
        <w:drawing>
          <wp:inline distT="0" distB="0" distL="0" distR="0" wp14:anchorId="5C40DC67" wp14:editId="4C123D38">
            <wp:extent cx="5034314" cy="1839686"/>
            <wp:effectExtent l="0" t="0" r="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9688" cy="1845304"/>
                    </a:xfrm>
                    <a:prstGeom prst="rect">
                      <a:avLst/>
                    </a:prstGeom>
                    <a:noFill/>
                  </pic:spPr>
                </pic:pic>
              </a:graphicData>
            </a:graphic>
          </wp:inline>
        </w:drawing>
      </w:r>
    </w:p>
    <w:p w14:paraId="4C9CF5B3" w14:textId="6BE68728" w:rsidR="00F700F3" w:rsidRPr="00A53AD7" w:rsidRDefault="00F700F3" w:rsidP="002F0609">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12</w:t>
      </w:r>
      <w:r w:rsidRPr="00A53AD7">
        <w:rPr>
          <w:rFonts w:ascii="Times New Roman" w:hAnsi="Times New Roman"/>
          <w:b w:val="0"/>
          <w:sz w:val="24"/>
          <w:szCs w:val="24"/>
        </w:rPr>
        <w:fldChar w:fldCharType="end"/>
      </w:r>
      <w:r w:rsidRPr="00A53AD7">
        <w:rPr>
          <w:rFonts w:ascii="Times New Roman" w:hAnsi="Times New Roman"/>
          <w:b w:val="0"/>
          <w:sz w:val="24"/>
          <w:szCs w:val="24"/>
        </w:rPr>
        <w:t>. Изменение доходов в консолидированных бюджетах муниципальных образований по отношению к предыдущем</w:t>
      </w:r>
      <w:r w:rsidR="002F0609" w:rsidRPr="00A53AD7">
        <w:rPr>
          <w:rFonts w:ascii="Times New Roman" w:hAnsi="Times New Roman"/>
          <w:b w:val="0"/>
          <w:sz w:val="24"/>
          <w:szCs w:val="24"/>
        </w:rPr>
        <w:t xml:space="preserve">у финансовому году, </w:t>
      </w:r>
      <w:r w:rsidR="00F200AC" w:rsidRPr="00A53AD7">
        <w:rPr>
          <w:rFonts w:ascii="Times New Roman" w:hAnsi="Times New Roman"/>
          <w:b w:val="0"/>
          <w:sz w:val="24"/>
          <w:szCs w:val="24"/>
        </w:rPr>
        <w:t>%</w:t>
      </w:r>
    </w:p>
    <w:p w14:paraId="3C8ABE47" w14:textId="77777777" w:rsidR="00F700F3" w:rsidRPr="00A53AD7" w:rsidRDefault="00F700F3" w:rsidP="00F200AC">
      <w:pPr>
        <w:spacing w:after="0" w:line="240" w:lineRule="auto"/>
        <w:ind w:firstLine="851"/>
        <w:jc w:val="both"/>
        <w:rPr>
          <w:rFonts w:ascii="Times New Roman" w:hAnsi="Times New Roman"/>
          <w:sz w:val="28"/>
          <w:szCs w:val="28"/>
        </w:rPr>
      </w:pPr>
    </w:p>
    <w:p w14:paraId="31B27300" w14:textId="43BF010A" w:rsidR="00F700F3" w:rsidRPr="00A53AD7" w:rsidRDefault="00F700F3" w:rsidP="00F200A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Как видно на указанном рисунке по результатам исполнения местных бюджетов за </w:t>
      </w:r>
      <w:r w:rsidR="009B1B80" w:rsidRPr="00A53AD7">
        <w:rPr>
          <w:rFonts w:ascii="Times New Roman" w:hAnsi="Times New Roman"/>
          <w:sz w:val="28"/>
          <w:szCs w:val="28"/>
        </w:rPr>
        <w:t xml:space="preserve">2015 – </w:t>
      </w:r>
      <w:r w:rsidRPr="00A53AD7">
        <w:rPr>
          <w:rFonts w:ascii="Times New Roman" w:hAnsi="Times New Roman"/>
          <w:sz w:val="28"/>
          <w:szCs w:val="28"/>
        </w:rPr>
        <w:t>2016 год</w:t>
      </w:r>
      <w:r w:rsidR="009B1B80" w:rsidRPr="00A53AD7">
        <w:rPr>
          <w:rFonts w:ascii="Times New Roman" w:hAnsi="Times New Roman"/>
          <w:sz w:val="28"/>
          <w:szCs w:val="28"/>
        </w:rPr>
        <w:t>ы</w:t>
      </w:r>
      <w:r w:rsidRPr="00A53AD7">
        <w:rPr>
          <w:rFonts w:ascii="Times New Roman" w:hAnsi="Times New Roman"/>
          <w:sz w:val="28"/>
          <w:szCs w:val="28"/>
        </w:rPr>
        <w:t xml:space="preserve"> наблюдается снижение поступления доходов к предыдущему периоду, а с 2017 год доходы </w:t>
      </w:r>
      <w:r w:rsidR="00153764" w:rsidRPr="00A53AD7">
        <w:rPr>
          <w:rFonts w:ascii="Times New Roman" w:hAnsi="Times New Roman"/>
          <w:sz w:val="28"/>
          <w:szCs w:val="28"/>
        </w:rPr>
        <w:t xml:space="preserve">ежегодно </w:t>
      </w:r>
      <w:r w:rsidR="009B1B80" w:rsidRPr="00A53AD7">
        <w:rPr>
          <w:rFonts w:ascii="Times New Roman" w:hAnsi="Times New Roman"/>
          <w:sz w:val="28"/>
          <w:szCs w:val="28"/>
        </w:rPr>
        <w:t>увеличиваются. Наибольший прирост имеет место в 2019 году (16,0 %).</w:t>
      </w:r>
    </w:p>
    <w:p w14:paraId="25F28C3C" w14:textId="465A2768" w:rsidR="00F700F3" w:rsidRPr="00A53AD7" w:rsidRDefault="00F700F3" w:rsidP="00F6791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обозначенных выше сумм поступление налоговых и неналоговых доходы консолидированного бюджета Архангельской области за указанные выше отчетные периоды представлены на рисунке </w:t>
      </w:r>
      <w:r w:rsidR="007C1226" w:rsidRPr="00A53AD7">
        <w:rPr>
          <w:rFonts w:ascii="Times New Roman" w:hAnsi="Times New Roman"/>
          <w:sz w:val="28"/>
          <w:szCs w:val="28"/>
        </w:rPr>
        <w:t>13</w:t>
      </w:r>
      <w:r w:rsidRPr="00A53AD7">
        <w:rPr>
          <w:rFonts w:ascii="Times New Roman" w:hAnsi="Times New Roman"/>
          <w:sz w:val="28"/>
          <w:szCs w:val="28"/>
        </w:rPr>
        <w:t>.</w:t>
      </w:r>
    </w:p>
    <w:p w14:paraId="64FAAD57" w14:textId="77777777" w:rsidR="00F700F3" w:rsidRPr="00A53AD7" w:rsidRDefault="00F700F3" w:rsidP="00F700F3">
      <w:pPr>
        <w:rPr>
          <w:sz w:val="16"/>
          <w:szCs w:val="16"/>
          <w:highlight w:val="cyan"/>
        </w:rPr>
      </w:pPr>
    </w:p>
    <w:p w14:paraId="7FD8D0BF" w14:textId="77777777" w:rsidR="00F700F3" w:rsidRPr="00A53AD7" w:rsidRDefault="00F700F3" w:rsidP="00F700F3">
      <w:pPr>
        <w:jc w:val="center"/>
      </w:pPr>
      <w:r w:rsidRPr="00A53AD7">
        <w:rPr>
          <w:noProof/>
          <w:lang w:eastAsia="ru-RU"/>
        </w:rPr>
        <w:drawing>
          <wp:inline distT="0" distB="0" distL="0" distR="0" wp14:anchorId="1D74CC2D" wp14:editId="0779F65E">
            <wp:extent cx="4966154" cy="1805354"/>
            <wp:effectExtent l="0" t="0" r="635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7458" cy="1809463"/>
                    </a:xfrm>
                    <a:prstGeom prst="rect">
                      <a:avLst/>
                    </a:prstGeom>
                    <a:noFill/>
                  </pic:spPr>
                </pic:pic>
              </a:graphicData>
            </a:graphic>
          </wp:inline>
        </w:drawing>
      </w:r>
    </w:p>
    <w:p w14:paraId="49B8C4D3" w14:textId="77777777" w:rsidR="00F700F3" w:rsidRPr="00A53AD7" w:rsidRDefault="00F700F3" w:rsidP="003D68A9">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13</w:t>
      </w:r>
      <w:r w:rsidRPr="00A53AD7">
        <w:rPr>
          <w:rFonts w:ascii="Times New Roman" w:hAnsi="Times New Roman"/>
          <w:b w:val="0"/>
          <w:sz w:val="24"/>
          <w:szCs w:val="24"/>
        </w:rPr>
        <w:fldChar w:fldCharType="end"/>
      </w:r>
      <w:r w:rsidRPr="00A53AD7">
        <w:rPr>
          <w:rFonts w:ascii="Times New Roman" w:hAnsi="Times New Roman"/>
          <w:b w:val="0"/>
          <w:sz w:val="24"/>
          <w:szCs w:val="24"/>
        </w:rPr>
        <w:t>. Налоговые и неналоговые доходы консолидированного бюджета Архангельской области за 2015- 2019 годы, в млн.руб.</w:t>
      </w:r>
    </w:p>
    <w:p w14:paraId="5063C0A5" w14:textId="77777777" w:rsidR="00F700F3" w:rsidRPr="00A53AD7" w:rsidRDefault="00F700F3" w:rsidP="003D68A9">
      <w:pPr>
        <w:spacing w:after="0" w:line="240" w:lineRule="auto"/>
        <w:ind w:firstLine="851"/>
        <w:jc w:val="both"/>
        <w:rPr>
          <w:rFonts w:ascii="Times New Roman" w:hAnsi="Times New Roman"/>
          <w:sz w:val="28"/>
          <w:szCs w:val="28"/>
        </w:rPr>
      </w:pPr>
    </w:p>
    <w:p w14:paraId="1DE26CA9" w14:textId="77777777" w:rsidR="00F700F3" w:rsidRPr="00A53AD7" w:rsidRDefault="00F700F3" w:rsidP="003D68A9">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В целом в 2019 году поступления налоговых и неналоговых доходов в консолидированный бюджет Архангельской области за последние 5 лет увеличились на 19 733,6 млн.руб. или на 33,3 %.</w:t>
      </w:r>
    </w:p>
    <w:p w14:paraId="126F4665" w14:textId="3E05C5FC" w:rsidR="00F700F3" w:rsidRPr="00A53AD7" w:rsidRDefault="00F700F3" w:rsidP="0042531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разрезе областного бюджета и консолидированных бюджетов муниципальных образований налоговые и неналоговые доходы с 2015 по 2019 год представлены на рисунке </w:t>
      </w:r>
      <w:r w:rsidR="00E65B34" w:rsidRPr="00A53AD7">
        <w:rPr>
          <w:rFonts w:ascii="Times New Roman" w:hAnsi="Times New Roman"/>
          <w:sz w:val="28"/>
          <w:szCs w:val="28"/>
        </w:rPr>
        <w:t>14</w:t>
      </w:r>
      <w:r w:rsidRPr="00A53AD7">
        <w:rPr>
          <w:rFonts w:ascii="Times New Roman" w:hAnsi="Times New Roman"/>
          <w:sz w:val="28"/>
          <w:szCs w:val="28"/>
        </w:rPr>
        <w:t>.</w:t>
      </w:r>
    </w:p>
    <w:p w14:paraId="71DD21D2" w14:textId="77777777" w:rsidR="00F700F3" w:rsidRPr="00A53AD7" w:rsidRDefault="00F700F3" w:rsidP="00F700F3">
      <w:pPr>
        <w:jc w:val="center"/>
        <w:rPr>
          <w:rFonts w:ascii="Times New Roman" w:hAnsi="Times New Roman"/>
        </w:rPr>
      </w:pPr>
      <w:r w:rsidRPr="00A53AD7">
        <w:rPr>
          <w:rFonts w:ascii="Times New Roman" w:hAnsi="Times New Roman"/>
          <w:noProof/>
          <w:lang w:eastAsia="ru-RU"/>
        </w:rPr>
        <w:drawing>
          <wp:inline distT="0" distB="0" distL="0" distR="0" wp14:anchorId="64F93650" wp14:editId="47A57C78">
            <wp:extent cx="5349922" cy="1800064"/>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49731" cy="1800000"/>
                    </a:xfrm>
                    <a:prstGeom prst="rect">
                      <a:avLst/>
                    </a:prstGeom>
                    <a:noFill/>
                  </pic:spPr>
                </pic:pic>
              </a:graphicData>
            </a:graphic>
          </wp:inline>
        </w:drawing>
      </w:r>
    </w:p>
    <w:p w14:paraId="4B677B7C" w14:textId="6CF1ACD5" w:rsidR="00F700F3" w:rsidRPr="00A53AD7" w:rsidRDefault="00F700F3" w:rsidP="00425319">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14</w:t>
      </w:r>
      <w:r w:rsidRPr="00A53AD7">
        <w:rPr>
          <w:rFonts w:ascii="Times New Roman" w:hAnsi="Times New Roman"/>
          <w:b w:val="0"/>
          <w:sz w:val="24"/>
          <w:szCs w:val="24"/>
        </w:rPr>
        <w:fldChar w:fldCharType="end"/>
      </w:r>
      <w:r w:rsidRPr="00A53AD7">
        <w:rPr>
          <w:rFonts w:ascii="Times New Roman" w:hAnsi="Times New Roman"/>
          <w:b w:val="0"/>
          <w:sz w:val="24"/>
          <w:szCs w:val="24"/>
        </w:rPr>
        <w:t>. Налоговые и неналоговые доходы областного и консолидированных бюджетов муниципальных образований за 2015 – 2019 годы, млн.руб.</w:t>
      </w:r>
    </w:p>
    <w:p w14:paraId="5BF92A2C" w14:textId="77777777" w:rsidR="00F700F3" w:rsidRPr="00A53AD7" w:rsidRDefault="00F700F3" w:rsidP="00434818">
      <w:pPr>
        <w:spacing w:after="0" w:line="240" w:lineRule="auto"/>
        <w:ind w:firstLine="851"/>
        <w:jc w:val="both"/>
        <w:rPr>
          <w:rFonts w:ascii="Times New Roman" w:hAnsi="Times New Roman"/>
          <w:sz w:val="28"/>
          <w:szCs w:val="28"/>
        </w:rPr>
      </w:pPr>
    </w:p>
    <w:p w14:paraId="00D3C9EE" w14:textId="11CFAC6D" w:rsidR="00F700F3" w:rsidRPr="00A53AD7" w:rsidRDefault="00434818" w:rsidP="00434818">
      <w:pPr>
        <w:spacing w:after="0" w:line="240" w:lineRule="auto"/>
        <w:ind w:firstLine="851"/>
        <w:jc w:val="both"/>
        <w:rPr>
          <w:rFonts w:ascii="Times New Roman" w:hAnsi="Times New Roman"/>
          <w:sz w:val="28"/>
          <w:szCs w:val="28"/>
        </w:rPr>
      </w:pPr>
      <w:r w:rsidRPr="00A53AD7">
        <w:rPr>
          <w:rFonts w:ascii="Times New Roman" w:hAnsi="Times New Roman"/>
          <w:sz w:val="28"/>
          <w:szCs w:val="28"/>
        </w:rPr>
        <w:t>З</w:t>
      </w:r>
      <w:r w:rsidR="00F700F3" w:rsidRPr="00A53AD7">
        <w:rPr>
          <w:rFonts w:ascii="Times New Roman" w:hAnsi="Times New Roman"/>
          <w:sz w:val="28"/>
          <w:szCs w:val="28"/>
        </w:rPr>
        <w:t>а последние 5 отчетных периодов налоговые и неналоговые доходы областного бюджета выросли на 17 206,5 тыс.руб. или на 37,1 %, а в местных бюджетах рост составил 2 527,1 тыс.руб. или на 19,5 %.</w:t>
      </w:r>
    </w:p>
    <w:p w14:paraId="57F6712C" w14:textId="625E02E8" w:rsidR="00F700F3" w:rsidRPr="00A53AD7" w:rsidRDefault="00F700F3" w:rsidP="00821E4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Изменение поступления налоговых и неналоговых доходов консолидированных бюджетов муниципальных образований по отношению к предыдущим отчетным периодам в процентном соотношении представлено на рисунке </w:t>
      </w:r>
      <w:r w:rsidR="00E65B34" w:rsidRPr="00A53AD7">
        <w:rPr>
          <w:rFonts w:ascii="Times New Roman" w:hAnsi="Times New Roman"/>
          <w:sz w:val="28"/>
          <w:szCs w:val="28"/>
        </w:rPr>
        <w:t>15</w:t>
      </w:r>
      <w:r w:rsidRPr="00A53AD7">
        <w:rPr>
          <w:rFonts w:ascii="Times New Roman" w:hAnsi="Times New Roman"/>
          <w:sz w:val="28"/>
          <w:szCs w:val="28"/>
        </w:rPr>
        <w:t>.</w:t>
      </w:r>
    </w:p>
    <w:p w14:paraId="24608A4A" w14:textId="77777777" w:rsidR="00F700F3" w:rsidRPr="00A53AD7" w:rsidRDefault="00F700F3" w:rsidP="00F700F3">
      <w:pPr>
        <w:rPr>
          <w:sz w:val="16"/>
          <w:szCs w:val="16"/>
          <w:highlight w:val="cyan"/>
        </w:rPr>
      </w:pPr>
    </w:p>
    <w:p w14:paraId="26A60E01" w14:textId="77777777" w:rsidR="00F700F3" w:rsidRPr="00A53AD7" w:rsidRDefault="00F700F3" w:rsidP="00F700F3">
      <w:pPr>
        <w:jc w:val="center"/>
      </w:pPr>
      <w:r w:rsidRPr="00A53AD7">
        <w:rPr>
          <w:noProof/>
          <w:lang w:eastAsia="ru-RU"/>
        </w:rPr>
        <w:drawing>
          <wp:inline distT="0" distB="0" distL="0" distR="0" wp14:anchorId="32A4E687" wp14:editId="7B2CA833">
            <wp:extent cx="5609230" cy="16172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8733" cy="1620000"/>
                    </a:xfrm>
                    <a:prstGeom prst="rect">
                      <a:avLst/>
                    </a:prstGeom>
                    <a:noFill/>
                  </pic:spPr>
                </pic:pic>
              </a:graphicData>
            </a:graphic>
          </wp:inline>
        </w:drawing>
      </w:r>
    </w:p>
    <w:p w14:paraId="4B73FD07" w14:textId="165527F9" w:rsidR="00F700F3" w:rsidRPr="00A53AD7" w:rsidRDefault="00F700F3" w:rsidP="003C07A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15</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Изменение налоговых и неналоговых доходов консолидированных бюджетов муниципальных образований по отношению к прошлым периодам, </w:t>
      </w:r>
      <w:r w:rsidR="003C07A7" w:rsidRPr="00A53AD7">
        <w:rPr>
          <w:rFonts w:ascii="Times New Roman" w:hAnsi="Times New Roman"/>
          <w:b w:val="0"/>
          <w:sz w:val="24"/>
          <w:szCs w:val="24"/>
        </w:rPr>
        <w:t>%</w:t>
      </w:r>
      <w:r w:rsidRPr="00A53AD7">
        <w:rPr>
          <w:rFonts w:ascii="Times New Roman" w:hAnsi="Times New Roman"/>
          <w:b w:val="0"/>
          <w:sz w:val="24"/>
          <w:szCs w:val="24"/>
        </w:rPr>
        <w:t xml:space="preserve"> к предыдущему году</w:t>
      </w:r>
    </w:p>
    <w:p w14:paraId="3BBEC604" w14:textId="77777777" w:rsidR="00F700F3" w:rsidRPr="00A53AD7" w:rsidRDefault="00F700F3" w:rsidP="003C07A7">
      <w:pPr>
        <w:spacing w:after="0" w:line="240" w:lineRule="auto"/>
        <w:ind w:firstLine="851"/>
        <w:jc w:val="both"/>
        <w:rPr>
          <w:rFonts w:ascii="Times New Roman" w:hAnsi="Times New Roman"/>
          <w:sz w:val="28"/>
          <w:szCs w:val="28"/>
        </w:rPr>
      </w:pPr>
    </w:p>
    <w:p w14:paraId="20BF6471" w14:textId="72AED389" w:rsidR="00F700F3" w:rsidRPr="00A53AD7" w:rsidRDefault="00F700F3" w:rsidP="003C07A7">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на приведенном выше рисунке с 2017 года наблюдается ежегодный рост поступления налоговых и неналоговых доходов в местных бюджетах.</w:t>
      </w:r>
      <w:r w:rsidR="00705297" w:rsidRPr="00A53AD7">
        <w:rPr>
          <w:rFonts w:ascii="Times New Roman" w:hAnsi="Times New Roman"/>
          <w:sz w:val="28"/>
          <w:szCs w:val="28"/>
        </w:rPr>
        <w:t xml:space="preserve"> Наибольший прирост имел место в 2018 году (6,8 %).</w:t>
      </w:r>
    </w:p>
    <w:p w14:paraId="697D067C" w14:textId="77777777" w:rsidR="00F700F3" w:rsidRPr="00A53AD7" w:rsidRDefault="00F700F3" w:rsidP="00705297">
      <w:pPr>
        <w:spacing w:after="0" w:line="240" w:lineRule="auto"/>
        <w:ind w:firstLine="851"/>
        <w:jc w:val="both"/>
        <w:rPr>
          <w:rFonts w:ascii="Times New Roman" w:hAnsi="Times New Roman"/>
          <w:sz w:val="28"/>
          <w:szCs w:val="28"/>
        </w:rPr>
      </w:pPr>
    </w:p>
    <w:p w14:paraId="7C6EAF2A" w14:textId="1E9FB2CE" w:rsidR="00F700F3" w:rsidRPr="00A53AD7" w:rsidRDefault="00F700F3" w:rsidP="0070529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составе налоговых и неналоговых доходов консолидированного бюджета Архангельской области удельный вес налога на доходы физических </w:t>
      </w:r>
      <w:r w:rsidRPr="00A53AD7">
        <w:rPr>
          <w:rFonts w:ascii="Times New Roman" w:hAnsi="Times New Roman"/>
          <w:sz w:val="28"/>
          <w:szCs w:val="28"/>
        </w:rPr>
        <w:lastRenderedPageBreak/>
        <w:t>лиц за рассматриваемые периоды составляет от 37,6 % до 41,8 %: 2015 г. – 39,1 %, 2016 г. – 41,8 %, 2017 г. – 39,5 %, 2018 г. – 38,3 % и за 2019 г. – 37,6 %.</w:t>
      </w:r>
    </w:p>
    <w:p w14:paraId="3D42E295" w14:textId="23F3B513" w:rsidR="00F700F3" w:rsidRPr="00A53AD7" w:rsidRDefault="00F700F3" w:rsidP="000F3913">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налога на доходы физических лиц в консолидированн</w:t>
      </w:r>
      <w:r w:rsidR="000F3913" w:rsidRPr="00A53AD7">
        <w:rPr>
          <w:rFonts w:ascii="Times New Roman" w:hAnsi="Times New Roman"/>
          <w:sz w:val="28"/>
          <w:szCs w:val="28"/>
        </w:rPr>
        <w:t>ый</w:t>
      </w:r>
      <w:r w:rsidRPr="00A53AD7">
        <w:rPr>
          <w:rFonts w:ascii="Times New Roman" w:hAnsi="Times New Roman"/>
          <w:sz w:val="28"/>
          <w:szCs w:val="28"/>
        </w:rPr>
        <w:t xml:space="preserve"> бюджет Архангельской области представлен</w:t>
      </w:r>
      <w:r w:rsidR="000F3913" w:rsidRPr="00A53AD7">
        <w:rPr>
          <w:rFonts w:ascii="Times New Roman" w:hAnsi="Times New Roman"/>
          <w:sz w:val="28"/>
          <w:szCs w:val="28"/>
        </w:rPr>
        <w:t>о</w:t>
      </w:r>
      <w:r w:rsidRPr="00A53AD7">
        <w:rPr>
          <w:rFonts w:ascii="Times New Roman" w:hAnsi="Times New Roman"/>
          <w:sz w:val="28"/>
          <w:szCs w:val="28"/>
        </w:rPr>
        <w:t xml:space="preserve"> на рисунке </w:t>
      </w:r>
      <w:r w:rsidR="00E65B34" w:rsidRPr="00A53AD7">
        <w:rPr>
          <w:rFonts w:ascii="Times New Roman" w:hAnsi="Times New Roman"/>
          <w:sz w:val="28"/>
          <w:szCs w:val="28"/>
        </w:rPr>
        <w:t>16</w:t>
      </w:r>
      <w:r w:rsidRPr="00A53AD7">
        <w:rPr>
          <w:rFonts w:ascii="Times New Roman" w:hAnsi="Times New Roman"/>
          <w:sz w:val="28"/>
          <w:szCs w:val="28"/>
        </w:rPr>
        <w:t>.</w:t>
      </w:r>
    </w:p>
    <w:p w14:paraId="46C2D540" w14:textId="77777777" w:rsidR="00F700F3" w:rsidRPr="00A53AD7" w:rsidRDefault="00F700F3" w:rsidP="00F700F3">
      <w:pPr>
        <w:jc w:val="center"/>
      </w:pPr>
      <w:r w:rsidRPr="00A53AD7">
        <w:rPr>
          <w:noProof/>
          <w:lang w:eastAsia="ru-RU"/>
        </w:rPr>
        <w:drawing>
          <wp:inline distT="0" distB="0" distL="0" distR="0" wp14:anchorId="7B3DA097" wp14:editId="1189F2BA">
            <wp:extent cx="4728756" cy="17526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39477" cy="1756574"/>
                    </a:xfrm>
                    <a:prstGeom prst="rect">
                      <a:avLst/>
                    </a:prstGeom>
                    <a:noFill/>
                  </pic:spPr>
                </pic:pic>
              </a:graphicData>
            </a:graphic>
          </wp:inline>
        </w:drawing>
      </w:r>
    </w:p>
    <w:p w14:paraId="3B7BD2D7" w14:textId="77777777" w:rsidR="00F700F3" w:rsidRPr="00A53AD7" w:rsidRDefault="00F700F3" w:rsidP="000F3913">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16</w:t>
      </w:r>
      <w:r w:rsidRPr="00A53AD7">
        <w:rPr>
          <w:rFonts w:ascii="Times New Roman" w:hAnsi="Times New Roman"/>
          <w:b w:val="0"/>
          <w:sz w:val="24"/>
          <w:szCs w:val="24"/>
        </w:rPr>
        <w:fldChar w:fldCharType="end"/>
      </w:r>
      <w:r w:rsidRPr="00A53AD7">
        <w:rPr>
          <w:rFonts w:ascii="Times New Roman" w:hAnsi="Times New Roman"/>
          <w:b w:val="0"/>
          <w:sz w:val="24"/>
          <w:szCs w:val="24"/>
        </w:rPr>
        <w:t>. Налог на доходы физических лиц за 2015 – 2019 годы, зачисленный в консолидированный бюджет Архангельской области, в млн.руб.</w:t>
      </w:r>
    </w:p>
    <w:p w14:paraId="18544CBD" w14:textId="77777777" w:rsidR="00F700F3" w:rsidRPr="00A53AD7" w:rsidRDefault="00F700F3" w:rsidP="00272DBF">
      <w:pPr>
        <w:spacing w:after="0" w:line="240" w:lineRule="auto"/>
        <w:ind w:firstLine="851"/>
        <w:jc w:val="both"/>
        <w:rPr>
          <w:rFonts w:ascii="Times New Roman" w:hAnsi="Times New Roman"/>
          <w:sz w:val="28"/>
          <w:szCs w:val="28"/>
        </w:rPr>
      </w:pPr>
    </w:p>
    <w:p w14:paraId="75109ED6" w14:textId="3D3C2C81" w:rsidR="00F700F3" w:rsidRPr="00A53AD7" w:rsidRDefault="00F700F3" w:rsidP="00272DBF">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отражено на указанном выше рисунке за последние 5 лет имеется тенденция ежегодного роста указанн</w:t>
      </w:r>
      <w:r w:rsidR="00C62D26" w:rsidRPr="00A53AD7">
        <w:rPr>
          <w:rFonts w:ascii="Times New Roman" w:hAnsi="Times New Roman"/>
          <w:sz w:val="28"/>
          <w:szCs w:val="28"/>
        </w:rPr>
        <w:t>ых</w:t>
      </w:r>
      <w:r w:rsidRPr="00A53AD7">
        <w:rPr>
          <w:rFonts w:ascii="Times New Roman" w:hAnsi="Times New Roman"/>
          <w:sz w:val="28"/>
          <w:szCs w:val="28"/>
        </w:rPr>
        <w:t xml:space="preserve"> доход</w:t>
      </w:r>
      <w:r w:rsidR="00C62D26" w:rsidRPr="00A53AD7">
        <w:rPr>
          <w:rFonts w:ascii="Times New Roman" w:hAnsi="Times New Roman"/>
          <w:sz w:val="28"/>
          <w:szCs w:val="28"/>
        </w:rPr>
        <w:t>ов</w:t>
      </w:r>
      <w:r w:rsidRPr="00A53AD7">
        <w:rPr>
          <w:rFonts w:ascii="Times New Roman" w:hAnsi="Times New Roman"/>
          <w:sz w:val="28"/>
          <w:szCs w:val="28"/>
        </w:rPr>
        <w:t xml:space="preserve"> в консолидированном бюджете Архангельской области, по отношению к предыдущему периоду от 5,3 % (2019 г</w:t>
      </w:r>
      <w:r w:rsidR="00272DBF" w:rsidRPr="00A53AD7">
        <w:rPr>
          <w:rFonts w:ascii="Times New Roman" w:hAnsi="Times New Roman"/>
          <w:sz w:val="28"/>
          <w:szCs w:val="28"/>
        </w:rPr>
        <w:t>од</w:t>
      </w:r>
      <w:r w:rsidRPr="00A53AD7">
        <w:rPr>
          <w:rFonts w:ascii="Times New Roman" w:hAnsi="Times New Roman"/>
          <w:sz w:val="28"/>
          <w:szCs w:val="28"/>
        </w:rPr>
        <w:t>) до 9,2 % (2018 г</w:t>
      </w:r>
      <w:r w:rsidR="00272DBF" w:rsidRPr="00A53AD7">
        <w:rPr>
          <w:rFonts w:ascii="Times New Roman" w:hAnsi="Times New Roman"/>
          <w:sz w:val="28"/>
          <w:szCs w:val="28"/>
        </w:rPr>
        <w:t>од</w:t>
      </w:r>
      <w:r w:rsidRPr="00A53AD7">
        <w:rPr>
          <w:rFonts w:ascii="Times New Roman" w:hAnsi="Times New Roman"/>
          <w:sz w:val="28"/>
          <w:szCs w:val="28"/>
        </w:rPr>
        <w:t>) ежегодно.</w:t>
      </w:r>
    </w:p>
    <w:p w14:paraId="19AA7014" w14:textId="1E71DE36" w:rsidR="00F700F3" w:rsidRPr="00A53AD7" w:rsidRDefault="00F700F3" w:rsidP="00C2346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разрезе областного и местных бюджетов поступление налога на доходы физических лиц в рассматриваемых периодах представлено на рисунке </w:t>
      </w:r>
      <w:r w:rsidR="00E65B34" w:rsidRPr="00A53AD7">
        <w:rPr>
          <w:rFonts w:ascii="Times New Roman" w:hAnsi="Times New Roman"/>
          <w:sz w:val="28"/>
          <w:szCs w:val="28"/>
        </w:rPr>
        <w:t>17</w:t>
      </w:r>
      <w:r w:rsidRPr="00A53AD7">
        <w:rPr>
          <w:rFonts w:ascii="Times New Roman" w:hAnsi="Times New Roman"/>
          <w:sz w:val="28"/>
          <w:szCs w:val="28"/>
        </w:rPr>
        <w:t>.</w:t>
      </w:r>
    </w:p>
    <w:p w14:paraId="53ECB51A" w14:textId="77777777" w:rsidR="00F700F3" w:rsidRPr="00A53AD7" w:rsidRDefault="00F700F3" w:rsidP="00F700F3">
      <w:pPr>
        <w:jc w:val="center"/>
      </w:pPr>
      <w:r w:rsidRPr="00A53AD7">
        <w:rPr>
          <w:noProof/>
          <w:lang w:eastAsia="ru-RU"/>
        </w:rPr>
        <w:drawing>
          <wp:inline distT="0" distB="0" distL="0" distR="0" wp14:anchorId="5FC0185B" wp14:editId="210E9503">
            <wp:extent cx="4841240" cy="19456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0305" cy="1949283"/>
                    </a:xfrm>
                    <a:prstGeom prst="rect">
                      <a:avLst/>
                    </a:prstGeom>
                    <a:noFill/>
                  </pic:spPr>
                </pic:pic>
              </a:graphicData>
            </a:graphic>
          </wp:inline>
        </w:drawing>
      </w:r>
    </w:p>
    <w:p w14:paraId="3AEC91D1" w14:textId="12E774B7" w:rsidR="00F700F3" w:rsidRPr="00A53AD7" w:rsidRDefault="00F700F3" w:rsidP="00AE030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17</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Налог на доходы физических лиц, зачисленный в областной </w:t>
      </w:r>
      <w:r w:rsidR="001C2DF4" w:rsidRPr="00A53AD7">
        <w:rPr>
          <w:rFonts w:ascii="Times New Roman" w:hAnsi="Times New Roman"/>
          <w:b w:val="0"/>
          <w:sz w:val="24"/>
          <w:szCs w:val="24"/>
        </w:rPr>
        <w:t xml:space="preserve">бюджет </w:t>
      </w:r>
      <w:r w:rsidRPr="00A53AD7">
        <w:rPr>
          <w:rFonts w:ascii="Times New Roman" w:hAnsi="Times New Roman"/>
          <w:b w:val="0"/>
          <w:sz w:val="24"/>
          <w:szCs w:val="24"/>
        </w:rPr>
        <w:t>и консолидированные бюджеты муниципальных образований за 2015 – 2019 годы, млн.руб.</w:t>
      </w:r>
    </w:p>
    <w:p w14:paraId="20A2E3EE" w14:textId="77777777" w:rsidR="00F700F3" w:rsidRPr="00A53AD7" w:rsidRDefault="00F700F3" w:rsidP="001C2DF4">
      <w:pPr>
        <w:spacing w:after="0" w:line="240" w:lineRule="auto"/>
        <w:ind w:firstLine="851"/>
        <w:jc w:val="both"/>
        <w:rPr>
          <w:rFonts w:ascii="Times New Roman" w:hAnsi="Times New Roman"/>
          <w:sz w:val="28"/>
          <w:szCs w:val="28"/>
        </w:rPr>
      </w:pPr>
    </w:p>
    <w:p w14:paraId="240EF59C" w14:textId="2898D1E7" w:rsidR="00F700F3" w:rsidRPr="00A53AD7" w:rsidRDefault="00F700F3" w:rsidP="001C2D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удельный вес в составе налоговых и неналоговых доходов консолидированных бюджетов муниципальных образований занима</w:t>
      </w:r>
      <w:r w:rsidR="00A36008" w:rsidRPr="00A53AD7">
        <w:rPr>
          <w:rFonts w:ascii="Times New Roman" w:hAnsi="Times New Roman"/>
          <w:sz w:val="28"/>
          <w:szCs w:val="28"/>
        </w:rPr>
        <w:t>е</w:t>
      </w:r>
      <w:r w:rsidRPr="00A53AD7">
        <w:rPr>
          <w:rFonts w:ascii="Times New Roman" w:hAnsi="Times New Roman"/>
          <w:sz w:val="28"/>
          <w:szCs w:val="28"/>
        </w:rPr>
        <w:t>т налог на доходы физических лиц, которы</w:t>
      </w:r>
      <w:r w:rsidR="00A36008" w:rsidRPr="00A53AD7">
        <w:rPr>
          <w:rFonts w:ascii="Times New Roman" w:hAnsi="Times New Roman"/>
          <w:sz w:val="28"/>
          <w:szCs w:val="28"/>
        </w:rPr>
        <w:t>й</w:t>
      </w:r>
      <w:r w:rsidRPr="00A53AD7">
        <w:rPr>
          <w:rFonts w:ascii="Times New Roman" w:hAnsi="Times New Roman"/>
          <w:sz w:val="28"/>
          <w:szCs w:val="28"/>
        </w:rPr>
        <w:t xml:space="preserve"> за 2015 – 2019 годы составляют от 60,3 % до 65,5 %.</w:t>
      </w:r>
    </w:p>
    <w:p w14:paraId="6CF11479" w14:textId="244921D2" w:rsidR="00F700F3" w:rsidRPr="00A53AD7" w:rsidRDefault="00F700F3" w:rsidP="00A36008">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Также поступления указанного </w:t>
      </w:r>
      <w:r w:rsidR="00A36008" w:rsidRPr="00A53AD7">
        <w:rPr>
          <w:rFonts w:ascii="Times New Roman" w:hAnsi="Times New Roman"/>
          <w:sz w:val="28"/>
          <w:szCs w:val="28"/>
        </w:rPr>
        <w:t>налога</w:t>
      </w:r>
      <w:r w:rsidR="00BE3EBD" w:rsidRPr="00A53AD7">
        <w:rPr>
          <w:rFonts w:ascii="Times New Roman" w:hAnsi="Times New Roman"/>
          <w:sz w:val="28"/>
          <w:szCs w:val="28"/>
        </w:rPr>
        <w:t xml:space="preserve"> в консолидированные бюджеты муниципальных образований с 2015 по 2019 годы</w:t>
      </w:r>
      <w:r w:rsidRPr="00A53AD7">
        <w:rPr>
          <w:rFonts w:ascii="Times New Roman" w:hAnsi="Times New Roman"/>
          <w:sz w:val="28"/>
          <w:szCs w:val="28"/>
        </w:rPr>
        <w:t xml:space="preserve"> по отношению к предыдущему периоду ежегодн</w:t>
      </w:r>
      <w:r w:rsidR="00A36008" w:rsidRPr="00A53AD7">
        <w:rPr>
          <w:rFonts w:ascii="Times New Roman" w:hAnsi="Times New Roman"/>
          <w:sz w:val="28"/>
          <w:szCs w:val="28"/>
        </w:rPr>
        <w:t>о</w:t>
      </w:r>
      <w:r w:rsidR="00BE3EBD" w:rsidRPr="00A53AD7">
        <w:rPr>
          <w:rFonts w:ascii="Times New Roman" w:hAnsi="Times New Roman"/>
          <w:sz w:val="28"/>
          <w:szCs w:val="28"/>
        </w:rPr>
        <w:t xml:space="preserve"> увеличиваются.</w:t>
      </w:r>
    </w:p>
    <w:p w14:paraId="77AB45A3" w14:textId="6F2EB38A" w:rsidR="00F700F3" w:rsidRPr="00A53AD7" w:rsidRDefault="00F700F3" w:rsidP="00A36008">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 xml:space="preserve">Изменение поступления налога на доходы физических, в процентном соотношении к предыдущему периоду в консолидированных бюджетах муниципальных образований представлено на рисунке </w:t>
      </w:r>
      <w:r w:rsidR="00E65B34" w:rsidRPr="00A53AD7">
        <w:rPr>
          <w:rFonts w:ascii="Times New Roman" w:hAnsi="Times New Roman"/>
          <w:sz w:val="28"/>
          <w:szCs w:val="28"/>
        </w:rPr>
        <w:t>18</w:t>
      </w:r>
      <w:r w:rsidRPr="00A53AD7">
        <w:rPr>
          <w:rFonts w:ascii="Times New Roman" w:hAnsi="Times New Roman"/>
          <w:sz w:val="28"/>
          <w:szCs w:val="28"/>
        </w:rPr>
        <w:t>.</w:t>
      </w:r>
    </w:p>
    <w:p w14:paraId="680E6376" w14:textId="77777777" w:rsidR="00F700F3" w:rsidRPr="00A53AD7" w:rsidRDefault="00F700F3" w:rsidP="00F700F3">
      <w:pPr>
        <w:jc w:val="center"/>
      </w:pPr>
      <w:r w:rsidRPr="00A53AD7">
        <w:rPr>
          <w:noProof/>
          <w:lang w:eastAsia="ru-RU"/>
        </w:rPr>
        <w:drawing>
          <wp:inline distT="0" distB="0" distL="0" distR="0" wp14:anchorId="4AD800AE" wp14:editId="38DAC263">
            <wp:extent cx="4308231" cy="1769745"/>
            <wp:effectExtent l="0" t="0" r="0" b="190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8934" cy="1778249"/>
                    </a:xfrm>
                    <a:prstGeom prst="rect">
                      <a:avLst/>
                    </a:prstGeom>
                    <a:noFill/>
                  </pic:spPr>
                </pic:pic>
              </a:graphicData>
            </a:graphic>
          </wp:inline>
        </w:drawing>
      </w:r>
    </w:p>
    <w:p w14:paraId="0B0A942B" w14:textId="6A17DC76" w:rsidR="00F700F3" w:rsidRPr="00A53AD7" w:rsidRDefault="00F700F3" w:rsidP="00BE3EB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18</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Изменение зачисления налога на доходы физических лиц в консолидированных бюджетах муниципальных образований по отношению к предыдущему финансовому году, </w:t>
      </w:r>
      <w:r w:rsidR="00BE3EBD" w:rsidRPr="00A53AD7">
        <w:rPr>
          <w:rFonts w:ascii="Times New Roman" w:hAnsi="Times New Roman"/>
          <w:b w:val="0"/>
          <w:sz w:val="24"/>
          <w:szCs w:val="24"/>
        </w:rPr>
        <w:t>%</w:t>
      </w:r>
      <w:r w:rsidRPr="00A53AD7">
        <w:rPr>
          <w:rFonts w:ascii="Times New Roman" w:hAnsi="Times New Roman"/>
          <w:b w:val="0"/>
          <w:sz w:val="24"/>
          <w:szCs w:val="24"/>
        </w:rPr>
        <w:t xml:space="preserve"> к предыдущему году</w:t>
      </w:r>
    </w:p>
    <w:p w14:paraId="2FE2DC96" w14:textId="77777777" w:rsidR="00F700F3" w:rsidRPr="00A53AD7" w:rsidRDefault="00F700F3" w:rsidP="001836CF">
      <w:pPr>
        <w:spacing w:after="0" w:line="240" w:lineRule="auto"/>
        <w:ind w:firstLine="851"/>
        <w:jc w:val="both"/>
        <w:rPr>
          <w:rFonts w:ascii="Times New Roman" w:hAnsi="Times New Roman"/>
          <w:sz w:val="28"/>
          <w:szCs w:val="28"/>
        </w:rPr>
      </w:pPr>
    </w:p>
    <w:p w14:paraId="0AA55C19" w14:textId="5EC241F1" w:rsidR="001836CF" w:rsidRPr="00A53AD7" w:rsidRDefault="001836CF" w:rsidP="001836CF">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прирост поступлений налога на доходы физических лиц в бюджеты муниципальных образований зафиксирован в 2018 году (9,2 %), наименьший – в 2015 году (2,9 %).</w:t>
      </w:r>
    </w:p>
    <w:p w14:paraId="04CADD5D" w14:textId="77777777" w:rsidR="001836CF" w:rsidRPr="00A53AD7" w:rsidRDefault="001836CF" w:rsidP="001836CF">
      <w:pPr>
        <w:spacing w:after="0" w:line="240" w:lineRule="auto"/>
        <w:ind w:firstLine="851"/>
        <w:jc w:val="both"/>
        <w:rPr>
          <w:rFonts w:ascii="Times New Roman" w:hAnsi="Times New Roman"/>
          <w:sz w:val="28"/>
          <w:szCs w:val="28"/>
        </w:rPr>
      </w:pPr>
    </w:p>
    <w:p w14:paraId="2D352B5A" w14:textId="0EB2BFB6" w:rsidR="00F700F3" w:rsidRPr="00A53AD7" w:rsidRDefault="00F700F3" w:rsidP="001836CF">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консолидированного бюджета Архангельской области за 2019 год произведены в сумме 103 997,1 млн.руб. (за исключением внутренних оборотов между бюджетами) и к утвержденным бюджетной росписью годовым н</w:t>
      </w:r>
      <w:r w:rsidR="009A5EC1" w:rsidRPr="00A53AD7">
        <w:rPr>
          <w:rFonts w:ascii="Times New Roman" w:hAnsi="Times New Roman"/>
          <w:sz w:val="28"/>
          <w:szCs w:val="28"/>
        </w:rPr>
        <w:t>азначениям исполнены на 91,8 %.</w:t>
      </w:r>
    </w:p>
    <w:p w14:paraId="6BCCF2C2" w14:textId="77777777" w:rsidR="00F700F3" w:rsidRPr="00A53AD7" w:rsidRDefault="00F700F3" w:rsidP="000D65E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отношению к исполнению за 2018 год рост кассовых расходов консолидированного бюджета составил 14 064,9 млн.руб. или на 15,6 %, где расходы областного бюджета увеличились на 13 919,1 млн.руб. (+18,4 %), а расходы консолидированных бюджетов муниципальных образований выросли на 5 007,8 млн.руб. или на 13,3 %. </w:t>
      </w:r>
    </w:p>
    <w:p w14:paraId="3089FF3A" w14:textId="47C10A5F" w:rsidR="00F700F3" w:rsidRPr="00A53AD7" w:rsidRDefault="00F700F3" w:rsidP="0029550C">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Сравнение расходов консолидированного бюджета Архангельской области за 2018 и 2019 годы по разделам и подразделам бюджетной классификации РФ представлено в приложении № 2 к настоящему заключению.</w:t>
      </w:r>
    </w:p>
    <w:p w14:paraId="39112C90" w14:textId="0E0DEF90" w:rsidR="00F700F3" w:rsidRPr="00A53AD7" w:rsidRDefault="00F700F3" w:rsidP="0036609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Наибольшая сумма расходов консолидированного бюджета Архангельской области за 2019 год направлена по разделу «Образование» – 32 136,3 млн.руб. или 30,9 % всех расходов бюджетов</w:t>
      </w:r>
      <w:r w:rsidR="00366092" w:rsidRPr="00A53AD7">
        <w:rPr>
          <w:rFonts w:ascii="Times New Roman" w:hAnsi="Times New Roman"/>
          <w:sz w:val="28"/>
          <w:szCs w:val="28"/>
        </w:rPr>
        <w:t>,</w:t>
      </w:r>
      <w:r w:rsidRPr="00A53AD7">
        <w:rPr>
          <w:rFonts w:ascii="Times New Roman" w:hAnsi="Times New Roman"/>
          <w:sz w:val="28"/>
          <w:szCs w:val="28"/>
        </w:rPr>
        <w:t xml:space="preserve"> и к показателям 2018 года указанные расходы увеличились на 3 358,7 млн.руб. или на 11,7 %, в т.ч., наблюдается увеличение расходов на образование, произведенных бюджетами муниципальных образован</w:t>
      </w:r>
      <w:r w:rsidR="00B71296" w:rsidRPr="00A53AD7">
        <w:rPr>
          <w:rFonts w:ascii="Times New Roman" w:hAnsi="Times New Roman"/>
          <w:sz w:val="28"/>
          <w:szCs w:val="28"/>
        </w:rPr>
        <w:t>ий: +2 841,1 млн.руб. (+12,4 %).</w:t>
      </w:r>
    </w:p>
    <w:p w14:paraId="62E757A4" w14:textId="76FF5184" w:rsidR="00F700F3" w:rsidRPr="00A53AD7" w:rsidRDefault="00F700F3" w:rsidP="00B712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по отношению к 2018 году на 17,8 % или на 1 567,8 увеличились расходы по подразделу «Дошкольное образование», в т.ч. расходы в виде бюджетных инвестиций в 2019 году из местных бюджетов составили 1 075,9 млн.руб., а в 2018 году они состав</w:t>
      </w:r>
      <w:r w:rsidR="004C0A24" w:rsidRPr="00A53AD7">
        <w:rPr>
          <w:rFonts w:ascii="Times New Roman" w:hAnsi="Times New Roman"/>
          <w:sz w:val="28"/>
          <w:szCs w:val="28"/>
        </w:rPr>
        <w:t>ляли</w:t>
      </w:r>
      <w:r w:rsidRPr="00A53AD7">
        <w:rPr>
          <w:rFonts w:ascii="Times New Roman" w:hAnsi="Times New Roman"/>
          <w:sz w:val="28"/>
          <w:szCs w:val="28"/>
        </w:rPr>
        <w:t xml:space="preserve"> 351,9 млн.руб.</w:t>
      </w:r>
    </w:p>
    <w:p w14:paraId="601A2BC8" w14:textId="77777777" w:rsidR="00F700F3" w:rsidRPr="00A53AD7" w:rsidRDefault="00F700F3" w:rsidP="0025789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социальную политику и здравоохранение за 2019 год направлено 23 263,0 млн.руб. и 9 242,5 млн.руб., соответственно, что в общей сумме </w:t>
      </w:r>
      <w:r w:rsidRPr="00A53AD7">
        <w:rPr>
          <w:rFonts w:ascii="Times New Roman" w:hAnsi="Times New Roman"/>
          <w:sz w:val="28"/>
          <w:szCs w:val="28"/>
        </w:rPr>
        <w:lastRenderedPageBreak/>
        <w:t>расходов консолидированного бюджета составляет 31,3 %. По отношению к исполнению за 2018 год расходы на указанные цели увеличились на 3 916,1 тыс.руб. или на 13,7 %.</w:t>
      </w:r>
    </w:p>
    <w:p w14:paraId="670E8580" w14:textId="7EA26892" w:rsidR="00F700F3" w:rsidRPr="00A53AD7" w:rsidRDefault="00F700F3" w:rsidP="0040316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по сравнению с аналогичным периодом предыдущего года, возросли расходы по разделу «Национальная безопасность и правоохранительная деятельность» на 138,5 млн.руб. или на 8,4 %, из них на обеспечение пожарной безопасности направлено на 20,4 % или на 196,6 тыс.руб.</w:t>
      </w:r>
      <w:r w:rsidR="00616C17" w:rsidRPr="00A53AD7">
        <w:rPr>
          <w:rFonts w:ascii="Times New Roman" w:hAnsi="Times New Roman"/>
          <w:sz w:val="28"/>
          <w:szCs w:val="28"/>
        </w:rPr>
        <w:t xml:space="preserve"> больше.</w:t>
      </w:r>
    </w:p>
    <w:p w14:paraId="33246448" w14:textId="77777777" w:rsidR="00F700F3" w:rsidRPr="00A53AD7" w:rsidRDefault="00F700F3" w:rsidP="00616C1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подразделу «Транспорт» в 2019 году по отношению к 2018 году выросли на 1 133,1 тыс.руб. или на 82,7 % и составили 2 504,0 тыс.руб.</w:t>
      </w:r>
    </w:p>
    <w:p w14:paraId="1627DD66" w14:textId="54B2697E" w:rsidR="00F700F3" w:rsidRPr="00A53AD7" w:rsidRDefault="00F700F3" w:rsidP="00616C17">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подразделу «Дорожное хозяйство (дорожные фонды)» расходы консолидированного бюджета Архангельской области за 2019 года составили 9 581,8 млн.руб. и по отношению к аналогичным расходам за 2018 год увеличились на 3 044,2 млн.руб. или на 46,6 %.</w:t>
      </w:r>
    </w:p>
    <w:p w14:paraId="12655139" w14:textId="4B307BD1" w:rsidR="00F700F3" w:rsidRPr="00A53AD7" w:rsidRDefault="00A343F7" w:rsidP="00A343F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в сфере </w:t>
      </w:r>
      <w:r w:rsidR="00F700F3" w:rsidRPr="00A53AD7">
        <w:rPr>
          <w:rFonts w:ascii="Times New Roman" w:hAnsi="Times New Roman"/>
          <w:sz w:val="28"/>
          <w:szCs w:val="28"/>
        </w:rPr>
        <w:t>жилищно-коммунально</w:t>
      </w:r>
      <w:r w:rsidRPr="00A53AD7">
        <w:rPr>
          <w:rFonts w:ascii="Times New Roman" w:hAnsi="Times New Roman"/>
          <w:sz w:val="28"/>
          <w:szCs w:val="28"/>
        </w:rPr>
        <w:t>го</w:t>
      </w:r>
      <w:r w:rsidR="00F700F3" w:rsidRPr="00A53AD7">
        <w:rPr>
          <w:rFonts w:ascii="Times New Roman" w:hAnsi="Times New Roman"/>
          <w:sz w:val="28"/>
          <w:szCs w:val="28"/>
        </w:rPr>
        <w:t xml:space="preserve"> хозяйств</w:t>
      </w:r>
      <w:r w:rsidRPr="00A53AD7">
        <w:rPr>
          <w:rFonts w:ascii="Times New Roman" w:hAnsi="Times New Roman"/>
          <w:sz w:val="28"/>
          <w:szCs w:val="28"/>
        </w:rPr>
        <w:t>а</w:t>
      </w:r>
      <w:r w:rsidR="00F700F3" w:rsidRPr="00A53AD7">
        <w:rPr>
          <w:rFonts w:ascii="Times New Roman" w:hAnsi="Times New Roman"/>
          <w:sz w:val="28"/>
          <w:szCs w:val="28"/>
        </w:rPr>
        <w:t xml:space="preserve"> составили 7 857,4 млн.руб., что на 13,1 % (+907,8 млн.руб.) больше аналогичных расходов 2018 года, из них по подразделу «Коммунальное хозяйство» расходы увеличились на 494,1 млн.руб. или на 12,6 %.</w:t>
      </w:r>
    </w:p>
    <w:p w14:paraId="53E9AFE7" w14:textId="3E4C4209" w:rsidR="00F700F3" w:rsidRPr="00A53AD7" w:rsidRDefault="00F700F3" w:rsidP="00F3372C">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 что по разделу «Охрана окружающей среды» расходы за отчетный период по сравнению с аналогичными расходами 2018 года выросли в 5,4 раза</w:t>
      </w:r>
      <w:r w:rsidR="00F3372C" w:rsidRPr="00A53AD7">
        <w:rPr>
          <w:rFonts w:ascii="Times New Roman" w:hAnsi="Times New Roman"/>
          <w:sz w:val="28"/>
          <w:szCs w:val="28"/>
        </w:rPr>
        <w:t xml:space="preserve"> </w:t>
      </w:r>
      <w:r w:rsidRPr="00A53AD7">
        <w:rPr>
          <w:rFonts w:ascii="Times New Roman" w:hAnsi="Times New Roman"/>
          <w:sz w:val="28"/>
          <w:szCs w:val="28"/>
        </w:rPr>
        <w:t>(+283,1 млн.руб.) и составили 348,0 млн.руб., из них в местных бюджетах расходы выросли в 25,</w:t>
      </w:r>
      <w:r w:rsidR="004A5D94" w:rsidRPr="00A53AD7">
        <w:rPr>
          <w:rFonts w:ascii="Times New Roman" w:hAnsi="Times New Roman"/>
          <w:sz w:val="28"/>
          <w:szCs w:val="28"/>
        </w:rPr>
        <w:t>6</w:t>
      </w:r>
      <w:r w:rsidRPr="00A53AD7">
        <w:rPr>
          <w:rFonts w:ascii="Times New Roman" w:hAnsi="Times New Roman"/>
          <w:sz w:val="28"/>
          <w:szCs w:val="28"/>
        </w:rPr>
        <w:t xml:space="preserve"> раза или на 53,5 млн.руб.</w:t>
      </w:r>
    </w:p>
    <w:p w14:paraId="470E1399" w14:textId="77777777" w:rsidR="00F700F3" w:rsidRPr="00A53AD7" w:rsidRDefault="00F700F3" w:rsidP="004A5D9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физическую культуру и спорт расходы составили 1 003,7 млн.руб., что на 320,2 млн.руб. (+46,8 %) больше расходов 2018 года, из которых на массовый спорт расходы выросли на 90,2 % (+156,8 млн.руб.).</w:t>
      </w:r>
    </w:p>
    <w:p w14:paraId="0212B6E4" w14:textId="77777777" w:rsidR="00F700F3" w:rsidRPr="00A53AD7" w:rsidRDefault="00F700F3" w:rsidP="006F548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на обслуживание государственного и муниципального долга, т.е. плата за пользование заемными средствами в консолидированном бюджете за 2019 год составили 873,9 млн.руб. или к 2018 году снизились на 633,0 млн.руб. или на 42,0 %.</w:t>
      </w:r>
    </w:p>
    <w:p w14:paraId="22FF084B" w14:textId="77777777" w:rsidR="00F700F3" w:rsidRPr="00A53AD7" w:rsidRDefault="00F700F3" w:rsidP="00A47A3A">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расходов консолидированного бюджета Архангельской области за 2019 год, муниципальные бюджеты (с учетом поселений) исполнены на общую сумму 42 571,6 млн.руб. или на 98,8 % к показателям бюджетной росписи на год, а по отношению к показателям за 2018 год рост составил 13,3 % или на 5 007,8 млн.руб.</w:t>
      </w:r>
    </w:p>
    <w:p w14:paraId="2CEDF952" w14:textId="77777777" w:rsidR="00F700F3" w:rsidRPr="00A53AD7" w:rsidRDefault="00F700F3" w:rsidP="00EF59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Отмечается рост расходов муниципальных бюджетов на дорожное хозяйство – +1 160,3 млн.руб. или на 46,5 %, а также на дошкольное, общее и дополнительное образование – +2 787,4 млн.руб. или на 12,5 %.</w:t>
      </w:r>
    </w:p>
    <w:p w14:paraId="408281A0" w14:textId="77777777" w:rsidR="00F700F3" w:rsidRPr="00A53AD7" w:rsidRDefault="00F700F3" w:rsidP="00EF59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составе расходов местных бюджетов субсидии муниципальным бюджетным и автономным учреждениям за 2019 год (без учета грантов) составили в общей сумме 26 801,9 тыс.руб. и их удельный вес в общей сумме расходов составляет 63,0 %, из них на осуществление капитальных вложений в объекты капитального строительства – 10,4 млн.руб., на выполнение муниципальных заданий – 23 902,0 млн.руб., субсидии на иные цели – 2 889,5 млн.руб.</w:t>
      </w:r>
    </w:p>
    <w:p w14:paraId="69B3B1DC" w14:textId="4E75543E" w:rsidR="00F700F3" w:rsidRPr="00A53AD7" w:rsidRDefault="00F700F3" w:rsidP="004C6A1F">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 xml:space="preserve">За 2018 год аналогичные расходы местных бюджетов составляли 24 365,5 млн.руб., из них на осуществление капитальных вложений в объекты капитального строительства (включая </w:t>
      </w:r>
      <w:r w:rsidR="004C6A1F" w:rsidRPr="00A53AD7">
        <w:rPr>
          <w:rFonts w:ascii="Times New Roman" w:hAnsi="Times New Roman"/>
          <w:sz w:val="28"/>
          <w:szCs w:val="28"/>
        </w:rPr>
        <w:t xml:space="preserve">расходы </w:t>
      </w:r>
      <w:r w:rsidRPr="00A53AD7">
        <w:rPr>
          <w:rFonts w:ascii="Times New Roman" w:hAnsi="Times New Roman"/>
          <w:sz w:val="28"/>
          <w:szCs w:val="28"/>
        </w:rPr>
        <w:t>на приобретение объектов недвижимости) – 41,6 млн.руб., на выполнение муниципального задания – 22 250,3 млн.руб., на иные цели – 2 073,6 млн.руб.</w:t>
      </w:r>
    </w:p>
    <w:p w14:paraId="2DBB43DA" w14:textId="77777777" w:rsidR="00F700F3" w:rsidRPr="00A53AD7" w:rsidRDefault="00F700F3" w:rsidP="004C6A1F">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субсидии муниципальным бюджетным и автономным учреждениям выросли на 10,0 % или на 2 436,4 млн.руб., из них на выполнение муниципального задания – рост на 7,4 % или на 1 651,7 млн.руб., а на иные цели – увеличились на 39,4 % или на 816,0 млн.руб.</w:t>
      </w:r>
    </w:p>
    <w:p w14:paraId="60196ADB" w14:textId="4BB7B2D8" w:rsidR="00F700F3" w:rsidRPr="00A53AD7" w:rsidRDefault="00F700F3" w:rsidP="00710D4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Кассовые расходы консолидированного бюджета Архангельской области за 2015 – 2019 годы представлены на рисунке </w:t>
      </w:r>
      <w:r w:rsidR="00471F06" w:rsidRPr="00A53AD7">
        <w:rPr>
          <w:rFonts w:ascii="Times New Roman" w:hAnsi="Times New Roman"/>
          <w:sz w:val="28"/>
          <w:szCs w:val="28"/>
        </w:rPr>
        <w:t>19</w:t>
      </w:r>
      <w:r w:rsidRPr="00A53AD7">
        <w:rPr>
          <w:rFonts w:ascii="Times New Roman" w:hAnsi="Times New Roman"/>
          <w:sz w:val="28"/>
          <w:szCs w:val="28"/>
        </w:rPr>
        <w:t>.</w:t>
      </w:r>
    </w:p>
    <w:p w14:paraId="1259508E" w14:textId="77777777" w:rsidR="00F700F3" w:rsidRPr="00A53AD7" w:rsidRDefault="00F700F3" w:rsidP="00F700F3">
      <w:pPr>
        <w:jc w:val="center"/>
      </w:pPr>
      <w:r w:rsidRPr="00A53AD7">
        <w:rPr>
          <w:noProof/>
          <w:lang w:eastAsia="ru-RU"/>
        </w:rPr>
        <w:drawing>
          <wp:inline distT="0" distB="0" distL="0" distR="0" wp14:anchorId="7E3D57C2" wp14:editId="125CA344">
            <wp:extent cx="5438633" cy="162257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2084" cy="1623600"/>
                    </a:xfrm>
                    <a:prstGeom prst="rect">
                      <a:avLst/>
                    </a:prstGeom>
                    <a:noFill/>
                  </pic:spPr>
                </pic:pic>
              </a:graphicData>
            </a:graphic>
          </wp:inline>
        </w:drawing>
      </w:r>
    </w:p>
    <w:p w14:paraId="07740239" w14:textId="724122E3" w:rsidR="00F700F3" w:rsidRPr="00A53AD7" w:rsidRDefault="00F700F3" w:rsidP="00710D40">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19</w:t>
      </w:r>
      <w:r w:rsidRPr="00A53AD7">
        <w:rPr>
          <w:rFonts w:ascii="Times New Roman" w:hAnsi="Times New Roman"/>
          <w:b w:val="0"/>
          <w:sz w:val="24"/>
          <w:szCs w:val="24"/>
        </w:rPr>
        <w:fldChar w:fldCharType="end"/>
      </w:r>
      <w:r w:rsidRPr="00A53AD7">
        <w:rPr>
          <w:rFonts w:ascii="Times New Roman" w:hAnsi="Times New Roman"/>
          <w:b w:val="0"/>
          <w:sz w:val="24"/>
          <w:szCs w:val="24"/>
        </w:rPr>
        <w:t>. Расходы консолидированного бюджета Архангельской области за 2015 – 2019 годы, млн.руб.</w:t>
      </w:r>
    </w:p>
    <w:p w14:paraId="088605C0" w14:textId="77777777" w:rsidR="00F700F3" w:rsidRPr="00A53AD7" w:rsidRDefault="00F700F3" w:rsidP="00F700F3">
      <w:pPr>
        <w:rPr>
          <w:sz w:val="10"/>
          <w:szCs w:val="10"/>
          <w:highlight w:val="cyan"/>
        </w:rPr>
      </w:pPr>
    </w:p>
    <w:p w14:paraId="18973D57" w14:textId="1B35C204" w:rsidR="00F700F3" w:rsidRPr="00A53AD7" w:rsidRDefault="00F700F3" w:rsidP="004A2B30">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последние 5 лет (с 2015 по 201</w:t>
      </w:r>
      <w:r w:rsidR="009D0898" w:rsidRPr="00A53AD7">
        <w:rPr>
          <w:rFonts w:ascii="Times New Roman" w:hAnsi="Times New Roman"/>
          <w:sz w:val="28"/>
          <w:szCs w:val="28"/>
        </w:rPr>
        <w:t>9</w:t>
      </w:r>
      <w:r w:rsidRPr="00A53AD7">
        <w:rPr>
          <w:rFonts w:ascii="Times New Roman" w:hAnsi="Times New Roman"/>
          <w:sz w:val="28"/>
          <w:szCs w:val="28"/>
        </w:rPr>
        <w:t xml:space="preserve"> годы) расходы из консолидированного бюджета Архангельской области увеличились на 28,1 % или на 22 793,6 </w:t>
      </w:r>
      <w:r w:rsidR="009D0898" w:rsidRPr="00A53AD7">
        <w:rPr>
          <w:rFonts w:ascii="Times New Roman" w:hAnsi="Times New Roman"/>
          <w:sz w:val="28"/>
          <w:szCs w:val="28"/>
        </w:rPr>
        <w:t>млн</w:t>
      </w:r>
      <w:r w:rsidRPr="00A53AD7">
        <w:rPr>
          <w:rFonts w:ascii="Times New Roman" w:hAnsi="Times New Roman"/>
          <w:sz w:val="28"/>
          <w:szCs w:val="28"/>
        </w:rPr>
        <w:t>.руб.</w:t>
      </w:r>
    </w:p>
    <w:p w14:paraId="7D18FAFC" w14:textId="0D79E218" w:rsidR="00F700F3" w:rsidRPr="00A53AD7" w:rsidRDefault="00F700F3" w:rsidP="00C931B0">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в расходах консолидированного бюджета Архангельской области составляют расходы областного бюджета, удельный вес которых 2019 год составил 86 %, тогда как в 2015 – 2018 годах она составлял</w:t>
      </w:r>
      <w:r w:rsidR="00427157" w:rsidRPr="00A53AD7">
        <w:rPr>
          <w:rFonts w:ascii="Times New Roman" w:hAnsi="Times New Roman"/>
          <w:sz w:val="28"/>
          <w:szCs w:val="28"/>
        </w:rPr>
        <w:t>а</w:t>
      </w:r>
      <w:r w:rsidRPr="00A53AD7">
        <w:rPr>
          <w:rFonts w:ascii="Times New Roman" w:hAnsi="Times New Roman"/>
          <w:sz w:val="28"/>
          <w:szCs w:val="28"/>
        </w:rPr>
        <w:t xml:space="preserve"> 83 % – 84 %.</w:t>
      </w:r>
    </w:p>
    <w:p w14:paraId="42618138" w14:textId="66260B3E" w:rsidR="00F700F3" w:rsidRPr="00A53AD7" w:rsidRDefault="00F700F3" w:rsidP="0042715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областного бюджета и консолидированных бюджетов муниципальных образований за указанный выше период представлены на рисунке </w:t>
      </w:r>
      <w:r w:rsidR="00471F06" w:rsidRPr="00A53AD7">
        <w:rPr>
          <w:rFonts w:ascii="Times New Roman" w:hAnsi="Times New Roman"/>
          <w:sz w:val="28"/>
          <w:szCs w:val="28"/>
        </w:rPr>
        <w:t>20</w:t>
      </w:r>
      <w:r w:rsidRPr="00A53AD7">
        <w:rPr>
          <w:rFonts w:ascii="Times New Roman" w:hAnsi="Times New Roman"/>
          <w:sz w:val="28"/>
          <w:szCs w:val="28"/>
        </w:rPr>
        <w:t>.</w:t>
      </w:r>
    </w:p>
    <w:p w14:paraId="72E76A73" w14:textId="77777777" w:rsidR="00F700F3" w:rsidRPr="00A53AD7" w:rsidRDefault="00F700F3" w:rsidP="00F700F3">
      <w:pPr>
        <w:jc w:val="center"/>
      </w:pPr>
      <w:r w:rsidRPr="00A53AD7">
        <w:rPr>
          <w:noProof/>
          <w:lang w:eastAsia="ru-RU"/>
        </w:rPr>
        <w:drawing>
          <wp:inline distT="0" distB="0" distL="0" distR="0" wp14:anchorId="06F02FDD" wp14:editId="4768E1B0">
            <wp:extent cx="5500048" cy="1800291"/>
            <wp:effectExtent l="0" t="0" r="571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99159" cy="1800000"/>
                    </a:xfrm>
                    <a:prstGeom prst="rect">
                      <a:avLst/>
                    </a:prstGeom>
                    <a:noFill/>
                  </pic:spPr>
                </pic:pic>
              </a:graphicData>
            </a:graphic>
          </wp:inline>
        </w:drawing>
      </w:r>
    </w:p>
    <w:p w14:paraId="32EBBAAF" w14:textId="4BF0EB1E" w:rsidR="00F700F3" w:rsidRPr="00A53AD7" w:rsidRDefault="00F700F3" w:rsidP="0042715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20</w:t>
      </w:r>
      <w:r w:rsidRPr="00A53AD7">
        <w:rPr>
          <w:rFonts w:ascii="Times New Roman" w:hAnsi="Times New Roman"/>
          <w:b w:val="0"/>
          <w:sz w:val="24"/>
          <w:szCs w:val="24"/>
        </w:rPr>
        <w:fldChar w:fldCharType="end"/>
      </w:r>
      <w:r w:rsidRPr="00A53AD7">
        <w:rPr>
          <w:rFonts w:ascii="Times New Roman" w:hAnsi="Times New Roman"/>
          <w:b w:val="0"/>
          <w:sz w:val="24"/>
          <w:szCs w:val="24"/>
        </w:rPr>
        <w:t>. Расходы областного бюджета и консолидированных бюджетов муниципальных образований за 2015 – 2019 годы, млн.руб.</w:t>
      </w:r>
    </w:p>
    <w:p w14:paraId="6775AB6D" w14:textId="77777777" w:rsidR="00824282" w:rsidRPr="00A53AD7" w:rsidRDefault="00824282" w:rsidP="00824282">
      <w:pPr>
        <w:spacing w:after="0" w:line="240" w:lineRule="auto"/>
        <w:ind w:firstLine="851"/>
        <w:jc w:val="both"/>
        <w:rPr>
          <w:rFonts w:ascii="Times New Roman" w:hAnsi="Times New Roman"/>
          <w:sz w:val="28"/>
          <w:szCs w:val="28"/>
        </w:rPr>
      </w:pPr>
    </w:p>
    <w:p w14:paraId="0D5CB2A2" w14:textId="77777777" w:rsidR="00F700F3" w:rsidRPr="00A53AD7" w:rsidRDefault="00F700F3" w:rsidP="00824282">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Расходы консолидированных бюджетов муниципальных образований за последние 5 лет увеличились на 22,8 % или на 7 894,0 тыс.руб.</w:t>
      </w:r>
    </w:p>
    <w:p w14:paraId="383DAA79" w14:textId="623B0D94" w:rsidR="00F700F3" w:rsidRPr="00A53AD7" w:rsidRDefault="00F700F3" w:rsidP="00824282">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Изменение расходов консолидированных бюджетов муниципальных образований по отношению к предыдущему периоду в процентном соотношении за последние 5 лет представлено на рисунке </w:t>
      </w:r>
      <w:r w:rsidR="00471F06" w:rsidRPr="00A53AD7">
        <w:rPr>
          <w:rFonts w:ascii="Times New Roman" w:hAnsi="Times New Roman"/>
          <w:sz w:val="28"/>
          <w:szCs w:val="28"/>
        </w:rPr>
        <w:t>21</w:t>
      </w:r>
      <w:r w:rsidRPr="00A53AD7">
        <w:rPr>
          <w:rFonts w:ascii="Times New Roman" w:hAnsi="Times New Roman"/>
          <w:sz w:val="28"/>
          <w:szCs w:val="28"/>
        </w:rPr>
        <w:t>.</w:t>
      </w:r>
    </w:p>
    <w:p w14:paraId="11C681DD" w14:textId="77777777" w:rsidR="00F700F3" w:rsidRPr="00A53AD7" w:rsidRDefault="00F700F3" w:rsidP="00F700F3">
      <w:pPr>
        <w:jc w:val="center"/>
      </w:pPr>
      <w:r w:rsidRPr="00A53AD7">
        <w:rPr>
          <w:noProof/>
          <w:lang w:eastAsia="ru-RU"/>
        </w:rPr>
        <w:drawing>
          <wp:inline distT="0" distB="0" distL="0" distR="0" wp14:anchorId="1DA703D1" wp14:editId="08044E88">
            <wp:extent cx="4932339" cy="2000250"/>
            <wp:effectExtent l="0" t="0" r="190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43681" cy="2004849"/>
                    </a:xfrm>
                    <a:prstGeom prst="rect">
                      <a:avLst/>
                    </a:prstGeom>
                    <a:noFill/>
                  </pic:spPr>
                </pic:pic>
              </a:graphicData>
            </a:graphic>
          </wp:inline>
        </w:drawing>
      </w:r>
    </w:p>
    <w:p w14:paraId="0770C1DF" w14:textId="6BA8DBAA" w:rsidR="00F700F3" w:rsidRPr="00A53AD7" w:rsidRDefault="00F700F3" w:rsidP="00824282">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21</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Изменение кассовых расходов консолидированных бюджетов муниципальных образований по отношению к предыдущему финансовому году, </w:t>
      </w:r>
      <w:r w:rsidR="00CD228C" w:rsidRPr="00A53AD7">
        <w:rPr>
          <w:rFonts w:ascii="Times New Roman" w:hAnsi="Times New Roman"/>
          <w:b w:val="0"/>
          <w:sz w:val="24"/>
          <w:szCs w:val="24"/>
        </w:rPr>
        <w:t>%</w:t>
      </w:r>
    </w:p>
    <w:p w14:paraId="2ADA75A7" w14:textId="77777777" w:rsidR="00A43C68" w:rsidRPr="00A53AD7" w:rsidRDefault="00A43C68" w:rsidP="00CD228C">
      <w:pPr>
        <w:spacing w:after="0" w:line="240" w:lineRule="auto"/>
        <w:ind w:firstLine="851"/>
        <w:jc w:val="both"/>
        <w:rPr>
          <w:rFonts w:ascii="Times New Roman" w:hAnsi="Times New Roman"/>
          <w:sz w:val="28"/>
          <w:szCs w:val="28"/>
        </w:rPr>
      </w:pPr>
    </w:p>
    <w:p w14:paraId="68F43519" w14:textId="77777777" w:rsidR="00F700F3" w:rsidRPr="00A53AD7" w:rsidRDefault="00F700F3" w:rsidP="00CD22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на представленном рисунке, кассовые расходы консолидированного бюджета Архангельской области по отношению к предыдущему периоду в 2015 году снизились на 1,9 %, а с 2016 года наблюдается их ежегодный рост, в т.ч. за 2019 год – на 15,6 %.</w:t>
      </w:r>
    </w:p>
    <w:p w14:paraId="7BA5E11C" w14:textId="77777777" w:rsidR="00F700F3" w:rsidRPr="00A53AD7" w:rsidRDefault="00F700F3" w:rsidP="00F700F3">
      <w:pPr>
        <w:rPr>
          <w:sz w:val="16"/>
          <w:szCs w:val="16"/>
          <w:highlight w:val="cyan"/>
        </w:rPr>
      </w:pPr>
    </w:p>
    <w:p w14:paraId="25B9F7FE" w14:textId="7984444B" w:rsidR="00F700F3" w:rsidRPr="00A53AD7" w:rsidRDefault="00F700F3" w:rsidP="003C13F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отчетную дату консолидированный бюджет Архангельской области исполнен с профицитом в сумме 3 891,5 млн.руб., в т.ч. за счет увеличения остатков средств на 4 009,6 млн.руб.</w:t>
      </w:r>
    </w:p>
    <w:p w14:paraId="6A6B98D2" w14:textId="140422E6" w:rsidR="00F700F3" w:rsidRPr="00A53AD7" w:rsidRDefault="00F700F3" w:rsidP="003C13F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 исполнения консолидированного бюджета Архангельской области с 2015 по 201</w:t>
      </w:r>
      <w:r w:rsidR="009D0898" w:rsidRPr="00A53AD7">
        <w:rPr>
          <w:rFonts w:ascii="Times New Roman" w:hAnsi="Times New Roman"/>
          <w:sz w:val="28"/>
          <w:szCs w:val="28"/>
        </w:rPr>
        <w:t>9</w:t>
      </w:r>
      <w:r w:rsidRPr="00A53AD7">
        <w:rPr>
          <w:rFonts w:ascii="Times New Roman" w:hAnsi="Times New Roman"/>
          <w:sz w:val="28"/>
          <w:szCs w:val="28"/>
        </w:rPr>
        <w:t xml:space="preserve"> годы (дефицит – с 2015 по 2017 годы, профицит за 2018 - 2019 годы) представлен на рисунке </w:t>
      </w:r>
      <w:r w:rsidR="00471F06" w:rsidRPr="00A53AD7">
        <w:rPr>
          <w:rFonts w:ascii="Times New Roman" w:hAnsi="Times New Roman"/>
          <w:sz w:val="28"/>
          <w:szCs w:val="28"/>
        </w:rPr>
        <w:t>22</w:t>
      </w:r>
      <w:r w:rsidRPr="00A53AD7">
        <w:rPr>
          <w:rFonts w:ascii="Times New Roman" w:hAnsi="Times New Roman"/>
          <w:sz w:val="28"/>
          <w:szCs w:val="28"/>
        </w:rPr>
        <w:t>.</w:t>
      </w:r>
    </w:p>
    <w:p w14:paraId="79C6C392" w14:textId="77777777" w:rsidR="00F700F3" w:rsidRPr="00A53AD7" w:rsidRDefault="00F700F3" w:rsidP="00F700F3">
      <w:pPr>
        <w:jc w:val="center"/>
      </w:pPr>
      <w:r w:rsidRPr="00A53AD7">
        <w:rPr>
          <w:noProof/>
          <w:lang w:eastAsia="ru-RU"/>
        </w:rPr>
        <w:drawing>
          <wp:inline distT="0" distB="0" distL="0" distR="0" wp14:anchorId="57723318" wp14:editId="531F08C4">
            <wp:extent cx="5131558" cy="179468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6770" cy="1800000"/>
                    </a:xfrm>
                    <a:prstGeom prst="rect">
                      <a:avLst/>
                    </a:prstGeom>
                    <a:noFill/>
                  </pic:spPr>
                </pic:pic>
              </a:graphicData>
            </a:graphic>
          </wp:inline>
        </w:drawing>
      </w:r>
    </w:p>
    <w:p w14:paraId="5949BBE9" w14:textId="47C54F66" w:rsidR="00F700F3" w:rsidRPr="00A53AD7" w:rsidRDefault="00F700F3" w:rsidP="00A43C6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22</w:t>
      </w:r>
      <w:r w:rsidRPr="00A53AD7">
        <w:rPr>
          <w:rFonts w:ascii="Times New Roman" w:hAnsi="Times New Roman"/>
          <w:b w:val="0"/>
          <w:sz w:val="24"/>
          <w:szCs w:val="24"/>
        </w:rPr>
        <w:fldChar w:fldCharType="end"/>
      </w:r>
      <w:r w:rsidRPr="00A53AD7">
        <w:rPr>
          <w:rFonts w:ascii="Times New Roman" w:hAnsi="Times New Roman"/>
          <w:b w:val="0"/>
          <w:sz w:val="24"/>
          <w:szCs w:val="24"/>
        </w:rPr>
        <w:t>. Результат исполнения консолидированного бюджета Архангельской области за 2015 – 2019 годы, млн.руб.</w:t>
      </w:r>
    </w:p>
    <w:p w14:paraId="7CBACDDB" w14:textId="77777777" w:rsidR="00F700F3" w:rsidRPr="00A53AD7" w:rsidRDefault="00F700F3" w:rsidP="00A43C68">
      <w:pPr>
        <w:spacing w:after="0" w:line="240" w:lineRule="auto"/>
        <w:ind w:firstLine="851"/>
        <w:jc w:val="both"/>
        <w:rPr>
          <w:rFonts w:ascii="Times New Roman" w:hAnsi="Times New Roman"/>
          <w:sz w:val="28"/>
          <w:szCs w:val="28"/>
        </w:rPr>
      </w:pPr>
    </w:p>
    <w:p w14:paraId="25784033" w14:textId="6F430435" w:rsidR="00F700F3" w:rsidRPr="00A53AD7" w:rsidRDefault="00F700F3" w:rsidP="00A43C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Бюджеты муниципальных образований Архангельской области (с учетом поселений) за 2019 год исполнены с профицитом в общей сумме 1 059,3 млн.руб. (см. приложени</w:t>
      </w:r>
      <w:r w:rsidR="00646541" w:rsidRPr="00A53AD7">
        <w:rPr>
          <w:rFonts w:ascii="Times New Roman" w:hAnsi="Times New Roman"/>
          <w:sz w:val="28"/>
          <w:szCs w:val="28"/>
        </w:rPr>
        <w:t>е</w:t>
      </w:r>
      <w:r w:rsidRPr="00A53AD7">
        <w:rPr>
          <w:rFonts w:ascii="Times New Roman" w:hAnsi="Times New Roman"/>
          <w:sz w:val="28"/>
          <w:szCs w:val="28"/>
        </w:rPr>
        <w:t xml:space="preserve"> № </w:t>
      </w:r>
      <w:r w:rsidR="00646541" w:rsidRPr="00A53AD7">
        <w:rPr>
          <w:rFonts w:ascii="Times New Roman" w:hAnsi="Times New Roman"/>
          <w:sz w:val="28"/>
          <w:szCs w:val="28"/>
        </w:rPr>
        <w:t>3</w:t>
      </w:r>
      <w:r w:rsidRPr="00A53AD7">
        <w:rPr>
          <w:rFonts w:ascii="Times New Roman" w:hAnsi="Times New Roman"/>
          <w:sz w:val="28"/>
          <w:szCs w:val="28"/>
        </w:rPr>
        <w:t xml:space="preserve"> к настоящему заключению), из них:</w:t>
      </w:r>
    </w:p>
    <w:p w14:paraId="11439EE6" w14:textId="77777777" w:rsidR="00F700F3" w:rsidRPr="00A53AD7" w:rsidRDefault="00F700F3" w:rsidP="00BB09B8">
      <w:pPr>
        <w:pStyle w:val="a0"/>
        <w:numPr>
          <w:ilvl w:val="0"/>
          <w:numId w:val="18"/>
        </w:numPr>
        <w:ind w:left="0" w:firstLine="840"/>
      </w:pPr>
      <w:r w:rsidRPr="00A53AD7">
        <w:lastRenderedPageBreak/>
        <w:t>бюджеты 17 муниципальных районов (с учетом поселений) и 5 городских округов исполнены с профицитом в общей сумме 1 255,3 млн.руб., в основном за счет наличия остатков на счетах бюджетов;</w:t>
      </w:r>
    </w:p>
    <w:p w14:paraId="6A33A423" w14:textId="77777777" w:rsidR="00F700F3" w:rsidRPr="00A53AD7" w:rsidRDefault="00F700F3" w:rsidP="00BB09B8">
      <w:pPr>
        <w:pStyle w:val="a0"/>
        <w:numPr>
          <w:ilvl w:val="0"/>
          <w:numId w:val="18"/>
        </w:numPr>
        <w:ind w:left="0" w:firstLine="840"/>
      </w:pPr>
      <w:r w:rsidRPr="00A53AD7">
        <w:t>бюджеты 2 муниципальных районов (с учетом поселений) и 2 городских округов исполнены с дефицитом в общей сумме 196,0 млн.руб.</w:t>
      </w:r>
    </w:p>
    <w:p w14:paraId="5A2CB099" w14:textId="1185DDC0" w:rsidR="00F700F3" w:rsidRPr="00A53AD7" w:rsidRDefault="00F700F3" w:rsidP="00675D6C">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Результаты исполнения местных бюджетов с 201</w:t>
      </w:r>
      <w:r w:rsidR="00142FB7" w:rsidRPr="00A53AD7">
        <w:rPr>
          <w:rFonts w:ascii="Times New Roman" w:hAnsi="Times New Roman"/>
          <w:sz w:val="28"/>
          <w:szCs w:val="28"/>
        </w:rPr>
        <w:t>5</w:t>
      </w:r>
      <w:r w:rsidRPr="00A53AD7">
        <w:rPr>
          <w:rFonts w:ascii="Times New Roman" w:hAnsi="Times New Roman"/>
          <w:sz w:val="28"/>
          <w:szCs w:val="28"/>
        </w:rPr>
        <w:t xml:space="preserve"> по 2019 годы представлены на рисунке </w:t>
      </w:r>
      <w:r w:rsidR="00471F06" w:rsidRPr="00A53AD7">
        <w:rPr>
          <w:rFonts w:ascii="Times New Roman" w:hAnsi="Times New Roman"/>
          <w:sz w:val="28"/>
          <w:szCs w:val="28"/>
        </w:rPr>
        <w:t>23</w:t>
      </w:r>
      <w:r w:rsidRPr="00A53AD7">
        <w:rPr>
          <w:rFonts w:ascii="Times New Roman" w:hAnsi="Times New Roman"/>
          <w:sz w:val="28"/>
          <w:szCs w:val="28"/>
        </w:rPr>
        <w:t>.</w:t>
      </w:r>
    </w:p>
    <w:p w14:paraId="65193476" w14:textId="77777777" w:rsidR="00F700F3" w:rsidRPr="00A53AD7" w:rsidRDefault="00F700F3" w:rsidP="00F700F3">
      <w:pPr>
        <w:jc w:val="center"/>
      </w:pPr>
      <w:r w:rsidRPr="00A53AD7">
        <w:rPr>
          <w:noProof/>
          <w:lang w:eastAsia="ru-RU"/>
        </w:rPr>
        <w:drawing>
          <wp:inline distT="0" distB="0" distL="0" distR="0" wp14:anchorId="68A03A5E" wp14:editId="65EC08F4">
            <wp:extent cx="5145206" cy="1798129"/>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50560" cy="1800000"/>
                    </a:xfrm>
                    <a:prstGeom prst="rect">
                      <a:avLst/>
                    </a:prstGeom>
                    <a:noFill/>
                  </pic:spPr>
                </pic:pic>
              </a:graphicData>
            </a:graphic>
          </wp:inline>
        </w:drawing>
      </w:r>
    </w:p>
    <w:p w14:paraId="1FB8CEEF" w14:textId="0FE7646B" w:rsidR="003424F4" w:rsidRPr="00A53AD7" w:rsidRDefault="00F700F3" w:rsidP="003424F4">
      <w:pPr>
        <w:pStyle w:val="aff0"/>
        <w:spacing w:after="0" w:line="240" w:lineRule="auto"/>
        <w:rPr>
          <w:highlight w:val="cyan"/>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23</w:t>
      </w:r>
      <w:r w:rsidRPr="00A53AD7">
        <w:rPr>
          <w:rFonts w:ascii="Times New Roman" w:hAnsi="Times New Roman"/>
          <w:b w:val="0"/>
          <w:sz w:val="24"/>
          <w:szCs w:val="24"/>
        </w:rPr>
        <w:fldChar w:fldCharType="end"/>
      </w:r>
      <w:r w:rsidRPr="00A53AD7">
        <w:rPr>
          <w:rFonts w:ascii="Times New Roman" w:hAnsi="Times New Roman"/>
          <w:b w:val="0"/>
          <w:sz w:val="24"/>
          <w:szCs w:val="24"/>
        </w:rPr>
        <w:t>. Результат исполнения консолидированных бюджетов муниципальных образований за 2014- 2018 годы, млн.руб.</w:t>
      </w:r>
    </w:p>
    <w:p w14:paraId="6FBF2E06" w14:textId="57DDE5CA" w:rsidR="00595010" w:rsidRPr="00A53AD7" w:rsidRDefault="00595010" w:rsidP="00595010">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01.01.2020 остатки средств на счетах бюджетов (консолидированный бюджет области) составили в общей сумме 8 676,8 млн.руб., в т.ч. целевые средства федерального бюджета – 8,2 млн.руб., целевые средства областного бюджета – 115,6 млн.руб.</w:t>
      </w:r>
    </w:p>
    <w:p w14:paraId="76C5674C" w14:textId="4B64C3CD" w:rsidR="00EB7A9B" w:rsidRPr="00A53AD7" w:rsidRDefault="00EB7A9B" w:rsidP="00595010">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остатков, 6 916,1 млн.руб. – на счете областного бюджета</w:t>
      </w:r>
      <w:r w:rsidR="003728B7" w:rsidRPr="00A53AD7">
        <w:rPr>
          <w:rFonts w:ascii="Times New Roman" w:hAnsi="Times New Roman"/>
          <w:sz w:val="28"/>
          <w:szCs w:val="28"/>
        </w:rPr>
        <w:t xml:space="preserve"> и 1 760,7 – на счетах бюджетов муниципальных образований.</w:t>
      </w:r>
    </w:p>
    <w:p w14:paraId="4499F396" w14:textId="2F748552" w:rsidR="009462EF" w:rsidRPr="00A53AD7" w:rsidRDefault="009462EF" w:rsidP="0059501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общей суммы остатков средств на счете областного бюджета 1 733,6 млн.руб. </w:t>
      </w:r>
      <w:r w:rsidR="00241973" w:rsidRPr="00A53AD7">
        <w:rPr>
          <w:rFonts w:ascii="Times New Roman" w:hAnsi="Times New Roman"/>
          <w:sz w:val="28"/>
          <w:szCs w:val="28"/>
        </w:rPr>
        <w:t>–</w:t>
      </w:r>
      <w:r w:rsidRPr="00A53AD7">
        <w:rPr>
          <w:rFonts w:ascii="Times New Roman" w:hAnsi="Times New Roman"/>
          <w:sz w:val="28"/>
          <w:szCs w:val="28"/>
        </w:rPr>
        <w:t xml:space="preserve"> </w:t>
      </w:r>
      <w:r w:rsidR="00241973" w:rsidRPr="00A53AD7">
        <w:rPr>
          <w:rFonts w:ascii="Times New Roman" w:hAnsi="Times New Roman"/>
          <w:sz w:val="28"/>
          <w:szCs w:val="28"/>
        </w:rPr>
        <w:t xml:space="preserve">остаток межбюджетного трансферта из бюджета г. Москвы, 1 989,0 </w:t>
      </w:r>
      <w:r w:rsidR="001A39D6" w:rsidRPr="00A53AD7">
        <w:rPr>
          <w:rFonts w:ascii="Times New Roman" w:hAnsi="Times New Roman"/>
          <w:sz w:val="28"/>
          <w:szCs w:val="28"/>
        </w:rPr>
        <w:t xml:space="preserve">млн.руб. </w:t>
      </w:r>
      <w:r w:rsidR="00241973" w:rsidRPr="00A53AD7">
        <w:rPr>
          <w:rFonts w:ascii="Times New Roman" w:hAnsi="Times New Roman"/>
          <w:sz w:val="28"/>
          <w:szCs w:val="28"/>
        </w:rPr>
        <w:t xml:space="preserve">– остаток средств Фонда ЖКХ и 3 169,6 </w:t>
      </w:r>
      <w:r w:rsidR="001A39D6" w:rsidRPr="00A53AD7">
        <w:rPr>
          <w:rFonts w:ascii="Times New Roman" w:hAnsi="Times New Roman"/>
          <w:sz w:val="28"/>
          <w:szCs w:val="28"/>
        </w:rPr>
        <w:t xml:space="preserve">млн.руб. </w:t>
      </w:r>
      <w:r w:rsidR="00241973" w:rsidRPr="00A53AD7">
        <w:rPr>
          <w:rFonts w:ascii="Times New Roman" w:hAnsi="Times New Roman"/>
          <w:sz w:val="28"/>
          <w:szCs w:val="28"/>
        </w:rPr>
        <w:t>– средства областного бюджета.</w:t>
      </w:r>
    </w:p>
    <w:p w14:paraId="0DD61AA9" w14:textId="77777777" w:rsidR="00F700F3" w:rsidRPr="00A53AD7" w:rsidRDefault="00F700F3" w:rsidP="00CD2DB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отношению к показателям на начало 2019 года остатки увеличились на 4 009,6 млн.руб., в т.ч. целевые средства выросли на 31,9 млн.руб.</w:t>
      </w:r>
    </w:p>
    <w:p w14:paraId="69C97845" w14:textId="59876EBF" w:rsidR="00F700F3" w:rsidRPr="00A53AD7" w:rsidRDefault="00F700F3" w:rsidP="0022738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последние 5 отчетных периодов остатки средств в консолидированном бюджете Архангельской области представлены на рисунке </w:t>
      </w:r>
      <w:r w:rsidR="00F15A91" w:rsidRPr="00A53AD7">
        <w:rPr>
          <w:rFonts w:ascii="Times New Roman" w:hAnsi="Times New Roman"/>
          <w:sz w:val="28"/>
          <w:szCs w:val="28"/>
        </w:rPr>
        <w:t>24</w:t>
      </w:r>
      <w:r w:rsidRPr="00A53AD7">
        <w:rPr>
          <w:rFonts w:ascii="Times New Roman" w:hAnsi="Times New Roman"/>
          <w:sz w:val="28"/>
          <w:szCs w:val="28"/>
        </w:rPr>
        <w:t>.</w:t>
      </w:r>
    </w:p>
    <w:p w14:paraId="3A6EC7D7" w14:textId="77777777" w:rsidR="00F700F3" w:rsidRPr="00A53AD7" w:rsidRDefault="00F700F3" w:rsidP="00F700F3">
      <w:pPr>
        <w:jc w:val="center"/>
      </w:pPr>
      <w:r w:rsidRPr="00A53AD7">
        <w:rPr>
          <w:noProof/>
          <w:lang w:eastAsia="ru-RU"/>
        </w:rPr>
        <w:drawing>
          <wp:inline distT="0" distB="0" distL="0" distR="0" wp14:anchorId="2B206C8E" wp14:editId="15F15D5A">
            <wp:extent cx="5588758" cy="1800309"/>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7798" cy="1800000"/>
                    </a:xfrm>
                    <a:prstGeom prst="rect">
                      <a:avLst/>
                    </a:prstGeom>
                    <a:noFill/>
                  </pic:spPr>
                </pic:pic>
              </a:graphicData>
            </a:graphic>
          </wp:inline>
        </w:drawing>
      </w:r>
    </w:p>
    <w:p w14:paraId="46F54E69" w14:textId="59500DF4" w:rsidR="00F700F3" w:rsidRPr="00A53AD7" w:rsidRDefault="00F700F3" w:rsidP="0022738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24</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средств консолидированного бюджета Архангельской области с 2015 по 2019 годы, млн.руб.</w:t>
      </w:r>
    </w:p>
    <w:p w14:paraId="26383514" w14:textId="77777777" w:rsidR="00641E75" w:rsidRPr="00A53AD7" w:rsidRDefault="00641E75" w:rsidP="00A66848">
      <w:pPr>
        <w:spacing w:after="0" w:line="240" w:lineRule="auto"/>
        <w:ind w:firstLine="851"/>
        <w:jc w:val="both"/>
        <w:rPr>
          <w:rFonts w:ascii="Times New Roman" w:hAnsi="Times New Roman"/>
          <w:sz w:val="28"/>
          <w:szCs w:val="28"/>
        </w:rPr>
      </w:pPr>
    </w:p>
    <w:p w14:paraId="334AF218" w14:textId="07BAC980" w:rsidR="00F700F3" w:rsidRPr="00A53AD7" w:rsidRDefault="00A66848" w:rsidP="00A66848">
      <w:pPr>
        <w:spacing w:after="0" w:line="240" w:lineRule="auto"/>
        <w:ind w:firstLine="851"/>
        <w:jc w:val="both"/>
        <w:rPr>
          <w:rFonts w:ascii="Times New Roman" w:hAnsi="Times New Roman"/>
          <w:sz w:val="28"/>
          <w:szCs w:val="28"/>
        </w:rPr>
      </w:pPr>
      <w:r w:rsidRPr="00A53AD7">
        <w:rPr>
          <w:rFonts w:ascii="Times New Roman" w:hAnsi="Times New Roman"/>
          <w:sz w:val="28"/>
          <w:szCs w:val="28"/>
        </w:rPr>
        <w:t>О</w:t>
      </w:r>
      <w:r w:rsidR="00F700F3" w:rsidRPr="00A53AD7">
        <w:rPr>
          <w:rFonts w:ascii="Times New Roman" w:hAnsi="Times New Roman"/>
          <w:sz w:val="28"/>
          <w:szCs w:val="28"/>
        </w:rPr>
        <w:t xml:space="preserve">статки </w:t>
      </w:r>
      <w:r w:rsidRPr="00A53AD7">
        <w:rPr>
          <w:rFonts w:ascii="Times New Roman" w:hAnsi="Times New Roman"/>
          <w:sz w:val="28"/>
          <w:szCs w:val="28"/>
        </w:rPr>
        <w:t xml:space="preserve">целевых </w:t>
      </w:r>
      <w:r w:rsidR="00F700F3" w:rsidRPr="00A53AD7">
        <w:rPr>
          <w:rFonts w:ascii="Times New Roman" w:hAnsi="Times New Roman"/>
          <w:sz w:val="28"/>
          <w:szCs w:val="28"/>
        </w:rPr>
        <w:t xml:space="preserve">средств в консолидированном бюджете </w:t>
      </w:r>
      <w:r w:rsidRPr="00A53AD7">
        <w:rPr>
          <w:rFonts w:ascii="Times New Roman" w:hAnsi="Times New Roman"/>
          <w:sz w:val="28"/>
          <w:szCs w:val="28"/>
        </w:rPr>
        <w:t xml:space="preserve">Архангельской области </w:t>
      </w:r>
      <w:r w:rsidR="00F700F3" w:rsidRPr="00A53AD7">
        <w:rPr>
          <w:rFonts w:ascii="Times New Roman" w:hAnsi="Times New Roman"/>
          <w:sz w:val="28"/>
          <w:szCs w:val="28"/>
        </w:rPr>
        <w:t xml:space="preserve">за последние отчетные периоды представлены на рисунке </w:t>
      </w:r>
      <w:r w:rsidR="00F15A91" w:rsidRPr="00A53AD7">
        <w:rPr>
          <w:rFonts w:ascii="Times New Roman" w:hAnsi="Times New Roman"/>
          <w:sz w:val="28"/>
          <w:szCs w:val="28"/>
        </w:rPr>
        <w:t>25</w:t>
      </w:r>
      <w:r w:rsidR="00F700F3" w:rsidRPr="00A53AD7">
        <w:rPr>
          <w:rFonts w:ascii="Times New Roman" w:hAnsi="Times New Roman"/>
          <w:sz w:val="28"/>
          <w:szCs w:val="28"/>
        </w:rPr>
        <w:t>.</w:t>
      </w:r>
    </w:p>
    <w:p w14:paraId="086758B0" w14:textId="77777777" w:rsidR="00F700F3" w:rsidRPr="00A53AD7" w:rsidRDefault="00F700F3" w:rsidP="00F700F3">
      <w:pPr>
        <w:jc w:val="center"/>
      </w:pPr>
      <w:r w:rsidRPr="00A53AD7">
        <w:rPr>
          <w:noProof/>
          <w:lang w:eastAsia="ru-RU"/>
        </w:rPr>
        <w:drawing>
          <wp:inline distT="0" distB="0" distL="0" distR="0" wp14:anchorId="67971066" wp14:editId="5A9370B3">
            <wp:extent cx="5700374" cy="19240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1509" cy="1931184"/>
                    </a:xfrm>
                    <a:prstGeom prst="rect">
                      <a:avLst/>
                    </a:prstGeom>
                    <a:noFill/>
                  </pic:spPr>
                </pic:pic>
              </a:graphicData>
            </a:graphic>
          </wp:inline>
        </w:drawing>
      </w:r>
    </w:p>
    <w:p w14:paraId="7FC20531" w14:textId="5417F8E8" w:rsidR="00F700F3" w:rsidRPr="00A53AD7" w:rsidRDefault="00F700F3" w:rsidP="00641E75">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25</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целевых средств в консолидированном бюджете Архангельской области с 01.01.2015 по 01.01.2020, млн.руб.</w:t>
      </w:r>
    </w:p>
    <w:p w14:paraId="0808CCD2" w14:textId="77777777" w:rsidR="00A543C1" w:rsidRPr="00A53AD7" w:rsidRDefault="00A543C1" w:rsidP="00A543C1">
      <w:pPr>
        <w:spacing w:after="0" w:line="240" w:lineRule="auto"/>
        <w:ind w:firstLine="851"/>
        <w:jc w:val="both"/>
        <w:rPr>
          <w:rFonts w:ascii="Times New Roman" w:hAnsi="Times New Roman"/>
          <w:sz w:val="28"/>
          <w:szCs w:val="28"/>
        </w:rPr>
      </w:pPr>
    </w:p>
    <w:p w14:paraId="3CDE7040" w14:textId="0423A7A6" w:rsidR="00F700F3" w:rsidRPr="00A53AD7" w:rsidRDefault="00F700F3" w:rsidP="00A543C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 2016 года сокращение остатков целевых средств в консолидированном бюджете Архангельской области на конец года связано с изменением порядков выделения средств, согласно которым средства пере</w:t>
      </w:r>
      <w:r w:rsidR="00A543C1" w:rsidRPr="00A53AD7">
        <w:rPr>
          <w:rFonts w:ascii="Times New Roman" w:hAnsi="Times New Roman"/>
          <w:sz w:val="28"/>
          <w:szCs w:val="28"/>
        </w:rPr>
        <w:t>числяются согласно потребности.</w:t>
      </w:r>
    </w:p>
    <w:p w14:paraId="3C8523B6" w14:textId="77777777" w:rsidR="00F700F3" w:rsidRPr="00A53AD7" w:rsidRDefault="00F700F3" w:rsidP="001803C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обозначенных выше сумм на 01.01.2020, остатки средств на счетах муниципальных бюджетов составили всего 1 760,7 млн.руб. и за 2019 год они увеличились на 887,1 млн.руб., из них целевые средства составили 120,7 млн.руб., которые за отчетный период выросли на 30,4 млн.руб.</w:t>
      </w:r>
    </w:p>
    <w:p w14:paraId="5AB7DC80" w14:textId="34E4D649" w:rsidR="00F700F3" w:rsidRPr="00A53AD7" w:rsidRDefault="00F700F3" w:rsidP="001803C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F15A91" w:rsidRPr="00A53AD7">
        <w:rPr>
          <w:rFonts w:ascii="Times New Roman" w:hAnsi="Times New Roman"/>
          <w:sz w:val="28"/>
          <w:szCs w:val="28"/>
        </w:rPr>
        <w:t>26</w:t>
      </w:r>
      <w:r w:rsidRPr="00A53AD7">
        <w:rPr>
          <w:rFonts w:ascii="Times New Roman" w:hAnsi="Times New Roman"/>
          <w:sz w:val="28"/>
          <w:szCs w:val="28"/>
        </w:rPr>
        <w:t xml:space="preserve"> представлены </w:t>
      </w:r>
      <w:r w:rsidR="001803CD" w:rsidRPr="00A53AD7">
        <w:rPr>
          <w:rFonts w:ascii="Times New Roman" w:hAnsi="Times New Roman"/>
          <w:sz w:val="28"/>
          <w:szCs w:val="28"/>
        </w:rPr>
        <w:t>сведения</w:t>
      </w:r>
      <w:r w:rsidRPr="00A53AD7">
        <w:rPr>
          <w:rFonts w:ascii="Times New Roman" w:hAnsi="Times New Roman"/>
          <w:sz w:val="28"/>
          <w:szCs w:val="28"/>
        </w:rPr>
        <w:t xml:space="preserve"> об остатках средств в местных бюджетах с начала 2015 года по конец 2019 года.</w:t>
      </w:r>
    </w:p>
    <w:p w14:paraId="5404D025" w14:textId="77777777" w:rsidR="00F700F3" w:rsidRPr="00A53AD7" w:rsidRDefault="00F700F3" w:rsidP="00F700F3">
      <w:pPr>
        <w:jc w:val="center"/>
      </w:pPr>
      <w:r w:rsidRPr="00A53AD7">
        <w:rPr>
          <w:noProof/>
          <w:lang w:eastAsia="ru-RU"/>
        </w:rPr>
        <w:drawing>
          <wp:inline distT="0" distB="0" distL="0" distR="0" wp14:anchorId="6E6BE686" wp14:editId="3C779851">
            <wp:extent cx="5779827" cy="1800291"/>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8894" cy="1800000"/>
                    </a:xfrm>
                    <a:prstGeom prst="rect">
                      <a:avLst/>
                    </a:prstGeom>
                    <a:noFill/>
                  </pic:spPr>
                </pic:pic>
              </a:graphicData>
            </a:graphic>
          </wp:inline>
        </w:drawing>
      </w:r>
    </w:p>
    <w:p w14:paraId="57B20564" w14:textId="5449F2F5" w:rsidR="00F700F3" w:rsidRPr="00A53AD7" w:rsidRDefault="00F700F3" w:rsidP="001803C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26</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средств в консолидированных бюджетах муниципальных образований с 01.01.2015 по 01.01.2020, млн.руб.</w:t>
      </w:r>
    </w:p>
    <w:p w14:paraId="001C9637" w14:textId="77777777" w:rsidR="00802711" w:rsidRPr="00A53AD7" w:rsidRDefault="00802711" w:rsidP="00802711">
      <w:pPr>
        <w:spacing w:after="0" w:line="240" w:lineRule="auto"/>
        <w:ind w:firstLine="851"/>
        <w:jc w:val="both"/>
        <w:rPr>
          <w:rFonts w:ascii="Times New Roman" w:hAnsi="Times New Roman"/>
          <w:sz w:val="28"/>
          <w:szCs w:val="28"/>
        </w:rPr>
      </w:pPr>
    </w:p>
    <w:p w14:paraId="187F38E7" w14:textId="775E05AD" w:rsidR="00F700F3" w:rsidRPr="00A53AD7" w:rsidRDefault="00F700F3" w:rsidP="0080271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указанных сумм остатки целевых средств в местных бюджетах представлены на рисунке </w:t>
      </w:r>
      <w:r w:rsidR="00F15A91" w:rsidRPr="00A53AD7">
        <w:rPr>
          <w:rFonts w:ascii="Times New Roman" w:hAnsi="Times New Roman"/>
          <w:sz w:val="28"/>
          <w:szCs w:val="28"/>
        </w:rPr>
        <w:t>27</w:t>
      </w:r>
      <w:r w:rsidRPr="00A53AD7">
        <w:rPr>
          <w:rFonts w:ascii="Times New Roman" w:hAnsi="Times New Roman"/>
          <w:sz w:val="28"/>
          <w:szCs w:val="28"/>
        </w:rPr>
        <w:t>.</w:t>
      </w:r>
    </w:p>
    <w:p w14:paraId="706266CF" w14:textId="77777777" w:rsidR="00F700F3" w:rsidRPr="00A53AD7" w:rsidRDefault="00F700F3" w:rsidP="00F700F3">
      <w:pPr>
        <w:jc w:val="center"/>
      </w:pPr>
      <w:r w:rsidRPr="00A53AD7">
        <w:rPr>
          <w:noProof/>
          <w:lang w:eastAsia="ru-RU"/>
        </w:rPr>
        <w:lastRenderedPageBreak/>
        <w:drawing>
          <wp:inline distT="0" distB="0" distL="0" distR="0" wp14:anchorId="531B3C28" wp14:editId="56DFB77A">
            <wp:extent cx="5399846" cy="179468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15850" cy="1800000"/>
                    </a:xfrm>
                    <a:prstGeom prst="rect">
                      <a:avLst/>
                    </a:prstGeom>
                    <a:noFill/>
                  </pic:spPr>
                </pic:pic>
              </a:graphicData>
            </a:graphic>
          </wp:inline>
        </w:drawing>
      </w:r>
    </w:p>
    <w:p w14:paraId="0A0F198D" w14:textId="28D5EAEA" w:rsidR="00F700F3" w:rsidRPr="00A53AD7" w:rsidRDefault="00F700F3" w:rsidP="00802711">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27</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целевых средств в консолидированных бюджетах муниципальных образований с 2015 по 2019 годы, млн.</w:t>
      </w:r>
      <w:r w:rsidR="00802711" w:rsidRPr="00A53AD7">
        <w:rPr>
          <w:rFonts w:ascii="Times New Roman" w:hAnsi="Times New Roman"/>
          <w:b w:val="0"/>
          <w:sz w:val="24"/>
          <w:szCs w:val="24"/>
        </w:rPr>
        <w:t>руб.</w:t>
      </w:r>
    </w:p>
    <w:p w14:paraId="76F0D1BF" w14:textId="77777777" w:rsidR="00D13C5C" w:rsidRPr="00A53AD7" w:rsidRDefault="00D13C5C" w:rsidP="00D13C5C">
      <w:pPr>
        <w:spacing w:after="0" w:line="240" w:lineRule="auto"/>
        <w:ind w:firstLine="851"/>
        <w:jc w:val="both"/>
        <w:rPr>
          <w:rFonts w:ascii="Times New Roman" w:hAnsi="Times New Roman"/>
          <w:sz w:val="28"/>
          <w:szCs w:val="28"/>
        </w:rPr>
      </w:pPr>
    </w:p>
    <w:p w14:paraId="2C679EA7" w14:textId="0FAB8806" w:rsidR="00F700F3" w:rsidRPr="00A53AD7" w:rsidRDefault="00F700F3" w:rsidP="00D13C5C">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и в консолидированном бюджете, с 2016 года в местных бюджетах наблюдается сокращение целевых остатков на конец года, что связано с их выделением согласно потребности.</w:t>
      </w:r>
    </w:p>
    <w:p w14:paraId="322FA9F7" w14:textId="77777777" w:rsidR="00D13C5C" w:rsidRPr="00A53AD7" w:rsidRDefault="00D13C5C" w:rsidP="00D13C5C">
      <w:pPr>
        <w:spacing w:after="0" w:line="240" w:lineRule="auto"/>
        <w:ind w:firstLine="851"/>
        <w:jc w:val="both"/>
        <w:rPr>
          <w:rFonts w:ascii="Times New Roman" w:hAnsi="Times New Roman"/>
          <w:sz w:val="28"/>
          <w:szCs w:val="28"/>
        </w:rPr>
      </w:pPr>
    </w:p>
    <w:p w14:paraId="52A2F1A2" w14:textId="77777777" w:rsidR="00F700F3" w:rsidRPr="00A53AD7" w:rsidRDefault="00F700F3" w:rsidP="00D13C5C">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государственных и муниципальных долговых обязательств консолидированного бюджета Архангельской области по состоянию на 01.01.2020 сложился в сумме 37 271,5 млн.руб. и за отчетный период снизился на 1 752,2 млн.руб. или на 4,5 %.</w:t>
      </w:r>
    </w:p>
    <w:p w14:paraId="501CBC3A" w14:textId="2BDF66B1" w:rsidR="00F700F3" w:rsidRPr="00A53AD7" w:rsidRDefault="00F700F3" w:rsidP="009D335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государственном внутреннем долге Архангельской области представлены в разделе «</w:t>
      </w:r>
      <w:hyperlink w:anchor="_6._Состояние_государственного" w:history="1">
        <w:r w:rsidRPr="00A53AD7">
          <w:rPr>
            <w:rStyle w:val="afb"/>
            <w:rFonts w:ascii="Times New Roman" w:hAnsi="Times New Roman"/>
            <w:color w:val="auto"/>
            <w:sz w:val="28"/>
            <w:szCs w:val="28"/>
          </w:rPr>
          <w:t xml:space="preserve">Состояние государственного </w:t>
        </w:r>
        <w:r w:rsidR="009D3359" w:rsidRPr="00A53AD7">
          <w:rPr>
            <w:rStyle w:val="afb"/>
            <w:rFonts w:ascii="Times New Roman" w:hAnsi="Times New Roman"/>
            <w:color w:val="auto"/>
            <w:sz w:val="28"/>
            <w:szCs w:val="28"/>
          </w:rPr>
          <w:t xml:space="preserve">внутреннего </w:t>
        </w:r>
        <w:r w:rsidRPr="00A53AD7">
          <w:rPr>
            <w:rStyle w:val="afb"/>
            <w:rFonts w:ascii="Times New Roman" w:hAnsi="Times New Roman"/>
            <w:color w:val="auto"/>
            <w:sz w:val="28"/>
            <w:szCs w:val="28"/>
          </w:rPr>
          <w:t>долга Архангельской области</w:t>
        </w:r>
      </w:hyperlink>
      <w:r w:rsidRPr="00A53AD7">
        <w:rPr>
          <w:rFonts w:ascii="Times New Roman" w:hAnsi="Times New Roman"/>
          <w:sz w:val="28"/>
          <w:szCs w:val="28"/>
        </w:rPr>
        <w:t>» настоящего заключения.</w:t>
      </w:r>
    </w:p>
    <w:p w14:paraId="796DD7E1" w14:textId="77777777" w:rsidR="00F700F3" w:rsidRPr="00A53AD7" w:rsidRDefault="00F700F3" w:rsidP="005C073C">
      <w:pPr>
        <w:spacing w:after="0" w:line="240" w:lineRule="auto"/>
        <w:ind w:firstLine="851"/>
        <w:jc w:val="both"/>
        <w:rPr>
          <w:rFonts w:ascii="Times New Roman" w:hAnsi="Times New Roman"/>
          <w:sz w:val="28"/>
          <w:szCs w:val="28"/>
        </w:rPr>
      </w:pPr>
      <w:r w:rsidRPr="00A53AD7">
        <w:rPr>
          <w:rFonts w:ascii="Times New Roman" w:hAnsi="Times New Roman"/>
          <w:sz w:val="28"/>
          <w:szCs w:val="28"/>
        </w:rPr>
        <w:t>Муниципальные долговые обязательства по состоянию на 01.01.2020 составили в общей сумме 4 011,4 млн.руб. и за 2019 год сократились на 174,6 млн.руб. или на 4,2 %, в том числе:</w:t>
      </w:r>
    </w:p>
    <w:p w14:paraId="05FFD8A4" w14:textId="77777777" w:rsidR="00F700F3" w:rsidRPr="00A53AD7" w:rsidRDefault="00F700F3" w:rsidP="00BB09B8">
      <w:pPr>
        <w:pStyle w:val="a0"/>
        <w:numPr>
          <w:ilvl w:val="0"/>
          <w:numId w:val="18"/>
        </w:numPr>
        <w:ind w:left="0" w:firstLine="840"/>
      </w:pPr>
      <w:r w:rsidRPr="00A53AD7">
        <w:t>долговые обязательства в виде кредитов кредитных организаций составили 3 299,9 млн.руб. и снизились к началу 2019 года на 174,6 млн.руб. или на 5,0 %;</w:t>
      </w:r>
    </w:p>
    <w:p w14:paraId="4326AF78" w14:textId="77777777" w:rsidR="00F700F3" w:rsidRPr="00A53AD7" w:rsidRDefault="00F700F3" w:rsidP="00BB09B8">
      <w:pPr>
        <w:pStyle w:val="a0"/>
        <w:numPr>
          <w:ilvl w:val="0"/>
          <w:numId w:val="18"/>
        </w:numPr>
        <w:ind w:left="0" w:firstLine="840"/>
      </w:pPr>
      <w:r w:rsidRPr="00A53AD7">
        <w:t>долговые обязательства по бюджетным кредитам составили 711,5 млн.руб. – обязательства МО «Северодвинск» перед областным бюджетом (бюджетный кредит из федерального бюджета) со сроком гашения с 2023 по 2032 годы.</w:t>
      </w:r>
    </w:p>
    <w:p w14:paraId="3E2668A8" w14:textId="348F9BC4" w:rsidR="00F700F3" w:rsidRPr="00A53AD7" w:rsidRDefault="00F700F3" w:rsidP="00741F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из 26 муниципальных районов и городских округов отсутствуют долговые обязательства в 9 муниципальных районах и в 2-х городских округах (см. приложение № </w:t>
      </w:r>
      <w:r w:rsidR="000E2892" w:rsidRPr="00A53AD7">
        <w:rPr>
          <w:rFonts w:ascii="Times New Roman" w:hAnsi="Times New Roman"/>
          <w:sz w:val="28"/>
          <w:szCs w:val="28"/>
        </w:rPr>
        <w:t>3</w:t>
      </w:r>
      <w:r w:rsidRPr="00A53AD7">
        <w:rPr>
          <w:rFonts w:ascii="Times New Roman" w:hAnsi="Times New Roman"/>
          <w:sz w:val="28"/>
          <w:szCs w:val="28"/>
        </w:rPr>
        <w:t xml:space="preserve"> к настоящему заключению).</w:t>
      </w:r>
    </w:p>
    <w:p w14:paraId="6289DB9B" w14:textId="1D16F04E" w:rsidR="00F700F3" w:rsidRPr="00A53AD7" w:rsidRDefault="00F700F3" w:rsidP="000E2892">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структуре муниципальных долговых обязательств по состоянию на 01.01.2020 преобладают кредиты кредитных организаций, доля которых составляет 82,3 %. Удельный вес указанных обязательств за 2019 год снизился на 0,7 процентных пункт</w:t>
      </w:r>
      <w:r w:rsidR="000E2892" w:rsidRPr="00A53AD7">
        <w:rPr>
          <w:rFonts w:ascii="Times New Roman" w:hAnsi="Times New Roman"/>
          <w:sz w:val="28"/>
          <w:szCs w:val="28"/>
        </w:rPr>
        <w:t>а</w:t>
      </w:r>
      <w:r w:rsidRPr="00A53AD7">
        <w:rPr>
          <w:rFonts w:ascii="Times New Roman" w:hAnsi="Times New Roman"/>
          <w:sz w:val="28"/>
          <w:szCs w:val="28"/>
        </w:rPr>
        <w:t>. Бюджетные кредиты занимают 17,7 % долговых обязательств муниципальных образований, и их доля выросла также на 0,7 процентных пункт</w:t>
      </w:r>
      <w:r w:rsidR="000E2892" w:rsidRPr="00A53AD7">
        <w:rPr>
          <w:rFonts w:ascii="Times New Roman" w:hAnsi="Times New Roman"/>
          <w:sz w:val="28"/>
          <w:szCs w:val="28"/>
        </w:rPr>
        <w:t>а</w:t>
      </w:r>
      <w:r w:rsidRPr="00A53AD7">
        <w:rPr>
          <w:rFonts w:ascii="Times New Roman" w:hAnsi="Times New Roman"/>
          <w:sz w:val="28"/>
          <w:szCs w:val="28"/>
        </w:rPr>
        <w:t>.</w:t>
      </w:r>
    </w:p>
    <w:p w14:paraId="19738E00" w14:textId="77777777" w:rsidR="000E2892" w:rsidRPr="00A53AD7" w:rsidRDefault="000E2892" w:rsidP="000E2892">
      <w:pPr>
        <w:spacing w:after="0" w:line="240" w:lineRule="auto"/>
        <w:ind w:firstLine="851"/>
        <w:jc w:val="both"/>
        <w:rPr>
          <w:rFonts w:ascii="Times New Roman" w:hAnsi="Times New Roman"/>
          <w:sz w:val="28"/>
          <w:szCs w:val="28"/>
        </w:rPr>
      </w:pPr>
    </w:p>
    <w:p w14:paraId="5FE5EE60" w14:textId="5E73B1B6" w:rsidR="00F700F3" w:rsidRPr="00A53AD7" w:rsidRDefault="00F700F3" w:rsidP="000E2892">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 xml:space="preserve">По информации, полученной на официальном сайте Минфина России, в таблице </w:t>
      </w:r>
      <w:r w:rsidR="006268C4" w:rsidRPr="00A53AD7">
        <w:rPr>
          <w:rFonts w:ascii="Times New Roman" w:hAnsi="Times New Roman"/>
          <w:sz w:val="28"/>
          <w:szCs w:val="28"/>
        </w:rPr>
        <w:t>17</w:t>
      </w:r>
      <w:r w:rsidRPr="00A53AD7">
        <w:rPr>
          <w:rFonts w:ascii="Times New Roman" w:hAnsi="Times New Roman"/>
          <w:sz w:val="28"/>
          <w:szCs w:val="28"/>
        </w:rPr>
        <w:t xml:space="preserve"> представлены сведения о положении Архангельской области по объему муниципальных долговых обязательств на 01.01.2019 и 01.01.20120, включая ее позицию в целом по стране, </w:t>
      </w:r>
      <w:r w:rsidR="00EA481F" w:rsidRPr="00A53AD7">
        <w:rPr>
          <w:rFonts w:ascii="Times New Roman" w:hAnsi="Times New Roman"/>
          <w:sz w:val="28"/>
          <w:szCs w:val="28"/>
        </w:rPr>
        <w:t xml:space="preserve">а </w:t>
      </w:r>
      <w:r w:rsidRPr="00A53AD7">
        <w:rPr>
          <w:rFonts w:ascii="Times New Roman" w:hAnsi="Times New Roman"/>
          <w:sz w:val="28"/>
          <w:szCs w:val="28"/>
        </w:rPr>
        <w:t>также по субъектам Северо-Западного Федерального округа.</w:t>
      </w:r>
    </w:p>
    <w:p w14:paraId="0D49141F" w14:textId="77777777" w:rsidR="006B7638" w:rsidRPr="00A53AD7" w:rsidRDefault="006B7638" w:rsidP="002A7727">
      <w:pPr>
        <w:pStyle w:val="aff0"/>
        <w:spacing w:after="0" w:line="240" w:lineRule="auto"/>
        <w:rPr>
          <w:rFonts w:ascii="Times New Roman" w:hAnsi="Times New Roman"/>
          <w:b w:val="0"/>
          <w:sz w:val="24"/>
          <w:szCs w:val="24"/>
        </w:rPr>
      </w:pPr>
    </w:p>
    <w:p w14:paraId="2F8C9355" w14:textId="77777777" w:rsidR="006B7638" w:rsidRPr="00A53AD7" w:rsidRDefault="006B7638" w:rsidP="006B763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Таблица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17</w:t>
      </w:r>
      <w:r w:rsidRPr="00A53AD7">
        <w:rPr>
          <w:rFonts w:ascii="Times New Roman" w:hAnsi="Times New Roman"/>
          <w:b w:val="0"/>
          <w:noProof/>
          <w:sz w:val="24"/>
          <w:szCs w:val="24"/>
        </w:rPr>
        <w:fldChar w:fldCharType="end"/>
      </w:r>
      <w:r w:rsidRPr="00A53AD7">
        <w:rPr>
          <w:rFonts w:ascii="Times New Roman" w:hAnsi="Times New Roman"/>
          <w:b w:val="0"/>
          <w:noProof/>
          <w:sz w:val="24"/>
          <w:szCs w:val="24"/>
        </w:rPr>
        <w:t>.</w:t>
      </w:r>
      <w:r w:rsidRPr="00A53AD7">
        <w:rPr>
          <w:rFonts w:ascii="Times New Roman" w:hAnsi="Times New Roman"/>
          <w:b w:val="0"/>
          <w:sz w:val="24"/>
          <w:szCs w:val="24"/>
        </w:rPr>
        <w:t xml:space="preserve"> Рэнкинг</w:t>
      </w:r>
      <w:r w:rsidRPr="00A53AD7">
        <w:rPr>
          <w:rFonts w:ascii="Times New Roman" w:hAnsi="Times New Roman"/>
          <w:b w:val="0"/>
          <w:sz w:val="24"/>
          <w:szCs w:val="24"/>
          <w:vertAlign w:val="superscript"/>
        </w:rPr>
        <w:footnoteReference w:id="18"/>
      </w:r>
      <w:r w:rsidRPr="00A53AD7">
        <w:rPr>
          <w:rFonts w:ascii="Times New Roman" w:hAnsi="Times New Roman"/>
          <w:b w:val="0"/>
          <w:sz w:val="24"/>
          <w:szCs w:val="24"/>
        </w:rPr>
        <w:t xml:space="preserve"> Архангельской области по объему муниципального долга по состоянию на 01.01.2019 и 01.01.2020</w:t>
      </w:r>
    </w:p>
    <w:tbl>
      <w:tblPr>
        <w:tblW w:w="9236" w:type="dxa"/>
        <w:tblInd w:w="85" w:type="dxa"/>
        <w:tblLook w:val="04A0" w:firstRow="1" w:lastRow="0" w:firstColumn="1" w:lastColumn="0" w:noHBand="0" w:noVBand="1"/>
      </w:tblPr>
      <w:tblGrid>
        <w:gridCol w:w="4570"/>
        <w:gridCol w:w="586"/>
        <w:gridCol w:w="914"/>
        <w:gridCol w:w="586"/>
        <w:gridCol w:w="914"/>
        <w:gridCol w:w="586"/>
        <w:gridCol w:w="1080"/>
      </w:tblGrid>
      <w:tr w:rsidR="00A53AD7" w:rsidRPr="00A53AD7" w14:paraId="6DB8272C" w14:textId="77777777" w:rsidTr="006B7638">
        <w:trPr>
          <w:trHeight w:val="270"/>
        </w:trPr>
        <w:tc>
          <w:tcPr>
            <w:tcW w:w="4570" w:type="dxa"/>
            <w:vMerge w:val="restart"/>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EFCE18C"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1500" w:type="dxa"/>
            <w:gridSpan w:val="2"/>
            <w:tcBorders>
              <w:top w:val="double" w:sz="6" w:space="0" w:color="auto"/>
              <w:left w:val="nil"/>
              <w:bottom w:val="single" w:sz="4" w:space="0" w:color="auto"/>
              <w:right w:val="single" w:sz="4" w:space="0" w:color="auto"/>
            </w:tcBorders>
            <w:shd w:val="clear" w:color="auto" w:fill="auto"/>
            <w:noWrap/>
            <w:vAlign w:val="center"/>
            <w:hideMark/>
          </w:tcPr>
          <w:p w14:paraId="06657E25"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01.01.2019</w:t>
            </w:r>
          </w:p>
        </w:tc>
        <w:tc>
          <w:tcPr>
            <w:tcW w:w="1500" w:type="dxa"/>
            <w:gridSpan w:val="2"/>
            <w:tcBorders>
              <w:top w:val="double" w:sz="6" w:space="0" w:color="auto"/>
              <w:left w:val="nil"/>
              <w:bottom w:val="single" w:sz="4" w:space="0" w:color="auto"/>
              <w:right w:val="single" w:sz="4" w:space="0" w:color="auto"/>
            </w:tcBorders>
            <w:shd w:val="clear" w:color="auto" w:fill="auto"/>
            <w:noWrap/>
            <w:vAlign w:val="center"/>
            <w:hideMark/>
          </w:tcPr>
          <w:p w14:paraId="7EA51373"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01.01.2020</w:t>
            </w:r>
          </w:p>
        </w:tc>
        <w:tc>
          <w:tcPr>
            <w:tcW w:w="1666" w:type="dxa"/>
            <w:gridSpan w:val="2"/>
            <w:tcBorders>
              <w:top w:val="double" w:sz="6" w:space="0" w:color="auto"/>
              <w:left w:val="nil"/>
              <w:bottom w:val="single" w:sz="4" w:space="0" w:color="auto"/>
              <w:right w:val="double" w:sz="6" w:space="0" w:color="000000"/>
            </w:tcBorders>
            <w:shd w:val="clear" w:color="auto" w:fill="auto"/>
            <w:noWrap/>
            <w:vAlign w:val="center"/>
            <w:hideMark/>
          </w:tcPr>
          <w:p w14:paraId="1DE823F5"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Изменение</w:t>
            </w:r>
            <w:r w:rsidRPr="00A53AD7">
              <w:rPr>
                <w:rFonts w:ascii="Times New Roman" w:eastAsia="Times New Roman" w:hAnsi="Times New Roman"/>
                <w:lang w:eastAsia="ru-RU"/>
              </w:rPr>
              <w:br/>
              <w:t xml:space="preserve"> (+,-)</w:t>
            </w:r>
          </w:p>
        </w:tc>
      </w:tr>
      <w:tr w:rsidR="00A53AD7" w:rsidRPr="00A53AD7" w14:paraId="059853E1" w14:textId="77777777" w:rsidTr="006B7638">
        <w:trPr>
          <w:trHeight w:val="255"/>
        </w:trPr>
        <w:tc>
          <w:tcPr>
            <w:tcW w:w="4570" w:type="dxa"/>
            <w:vMerge/>
            <w:tcBorders>
              <w:top w:val="double" w:sz="6" w:space="0" w:color="auto"/>
              <w:left w:val="double" w:sz="6" w:space="0" w:color="auto"/>
              <w:bottom w:val="single" w:sz="4" w:space="0" w:color="auto"/>
              <w:right w:val="single" w:sz="4" w:space="0" w:color="auto"/>
            </w:tcBorders>
            <w:vAlign w:val="center"/>
            <w:hideMark/>
          </w:tcPr>
          <w:p w14:paraId="4CC3B387" w14:textId="77777777" w:rsidR="006B7638" w:rsidRPr="00A53AD7" w:rsidRDefault="006B7638" w:rsidP="006B7638">
            <w:pPr>
              <w:spacing w:after="0" w:line="240" w:lineRule="auto"/>
              <w:rPr>
                <w:rFonts w:ascii="Times New Roman" w:eastAsia="Times New Roman" w:hAnsi="Times New Roman"/>
                <w:lang w:eastAsia="ru-RU"/>
              </w:rPr>
            </w:pPr>
          </w:p>
        </w:tc>
        <w:tc>
          <w:tcPr>
            <w:tcW w:w="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CB154B"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914" w:type="dxa"/>
            <w:tcBorders>
              <w:top w:val="single" w:sz="4" w:space="0" w:color="auto"/>
              <w:left w:val="nil"/>
              <w:bottom w:val="single" w:sz="4" w:space="0" w:color="auto"/>
              <w:right w:val="single" w:sz="4" w:space="0" w:color="auto"/>
            </w:tcBorders>
            <w:shd w:val="clear" w:color="auto" w:fill="auto"/>
            <w:vAlign w:val="center"/>
            <w:hideMark/>
          </w:tcPr>
          <w:p w14:paraId="2BFC8A28"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124CE4F2"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914" w:type="dxa"/>
            <w:tcBorders>
              <w:top w:val="single" w:sz="4" w:space="0" w:color="auto"/>
              <w:left w:val="nil"/>
              <w:bottom w:val="single" w:sz="4" w:space="0" w:color="auto"/>
              <w:right w:val="single" w:sz="4" w:space="0" w:color="auto"/>
            </w:tcBorders>
            <w:shd w:val="clear" w:color="auto" w:fill="auto"/>
            <w:vAlign w:val="center"/>
            <w:hideMark/>
          </w:tcPr>
          <w:p w14:paraId="2AF7C52C"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7E53F7BB"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1080" w:type="dxa"/>
            <w:tcBorders>
              <w:top w:val="nil"/>
              <w:left w:val="single" w:sz="4" w:space="0" w:color="auto"/>
              <w:bottom w:val="single" w:sz="4" w:space="0" w:color="auto"/>
              <w:right w:val="double" w:sz="6" w:space="0" w:color="auto"/>
            </w:tcBorders>
            <w:shd w:val="clear" w:color="auto" w:fill="auto"/>
            <w:vAlign w:val="center"/>
            <w:hideMark/>
          </w:tcPr>
          <w:p w14:paraId="7653BD76"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r>
      <w:tr w:rsidR="00A53AD7" w:rsidRPr="00A53AD7" w14:paraId="0A90EA48" w14:textId="77777777" w:rsidTr="006B7638">
        <w:trPr>
          <w:trHeight w:val="255"/>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3FD68387" w14:textId="77777777" w:rsidR="006B7638" w:rsidRPr="00A53AD7" w:rsidRDefault="006B7638" w:rsidP="006B763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Муниципальный долг, млн.руб.</w:t>
            </w:r>
          </w:p>
        </w:tc>
        <w:tc>
          <w:tcPr>
            <w:tcW w:w="15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380B301"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4 186,0 </w:t>
            </w:r>
          </w:p>
        </w:tc>
        <w:tc>
          <w:tcPr>
            <w:tcW w:w="15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5FE27D"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4 011,4 </w:t>
            </w:r>
          </w:p>
        </w:tc>
        <w:tc>
          <w:tcPr>
            <w:tcW w:w="1666" w:type="dxa"/>
            <w:gridSpan w:val="2"/>
            <w:tcBorders>
              <w:top w:val="single" w:sz="4" w:space="0" w:color="auto"/>
              <w:left w:val="nil"/>
              <w:bottom w:val="single" w:sz="4" w:space="0" w:color="auto"/>
              <w:right w:val="double" w:sz="6" w:space="0" w:color="000000"/>
            </w:tcBorders>
            <w:shd w:val="clear" w:color="auto" w:fill="auto"/>
            <w:noWrap/>
            <w:vAlign w:val="center"/>
            <w:hideMark/>
          </w:tcPr>
          <w:p w14:paraId="4880A6EF"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-174,6 </w:t>
            </w:r>
          </w:p>
        </w:tc>
      </w:tr>
      <w:tr w:rsidR="00A53AD7" w:rsidRPr="00A53AD7" w14:paraId="5F23CAD2" w14:textId="77777777" w:rsidTr="006B7638">
        <w:trPr>
          <w:trHeight w:val="255"/>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4787C42" w14:textId="77777777" w:rsidR="006B7638" w:rsidRPr="00A53AD7" w:rsidRDefault="006B7638" w:rsidP="006B763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Позиция</w:t>
            </w:r>
          </w:p>
        </w:tc>
        <w:tc>
          <w:tcPr>
            <w:tcW w:w="586" w:type="dxa"/>
            <w:tcBorders>
              <w:top w:val="nil"/>
              <w:left w:val="single" w:sz="4" w:space="0" w:color="auto"/>
              <w:bottom w:val="single" w:sz="4" w:space="0" w:color="auto"/>
              <w:right w:val="single" w:sz="4" w:space="0" w:color="auto"/>
            </w:tcBorders>
            <w:shd w:val="clear" w:color="auto" w:fill="auto"/>
            <w:noWrap/>
            <w:vAlign w:val="center"/>
            <w:hideMark/>
          </w:tcPr>
          <w:p w14:paraId="4D43E158"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28 </w:t>
            </w:r>
          </w:p>
        </w:tc>
        <w:tc>
          <w:tcPr>
            <w:tcW w:w="914" w:type="dxa"/>
            <w:tcBorders>
              <w:top w:val="nil"/>
              <w:left w:val="nil"/>
              <w:bottom w:val="single" w:sz="4" w:space="0" w:color="auto"/>
              <w:right w:val="single" w:sz="4" w:space="0" w:color="auto"/>
            </w:tcBorders>
            <w:shd w:val="clear" w:color="auto" w:fill="auto"/>
            <w:noWrap/>
            <w:vAlign w:val="center"/>
            <w:hideMark/>
          </w:tcPr>
          <w:p w14:paraId="4028C011"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 </w:t>
            </w:r>
          </w:p>
        </w:tc>
        <w:tc>
          <w:tcPr>
            <w:tcW w:w="586" w:type="dxa"/>
            <w:tcBorders>
              <w:top w:val="nil"/>
              <w:left w:val="nil"/>
              <w:bottom w:val="single" w:sz="4" w:space="0" w:color="auto"/>
              <w:right w:val="single" w:sz="4" w:space="0" w:color="auto"/>
            </w:tcBorders>
            <w:shd w:val="clear" w:color="auto" w:fill="auto"/>
            <w:noWrap/>
            <w:vAlign w:val="center"/>
            <w:hideMark/>
          </w:tcPr>
          <w:p w14:paraId="765D1082"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30 </w:t>
            </w:r>
          </w:p>
        </w:tc>
        <w:tc>
          <w:tcPr>
            <w:tcW w:w="914" w:type="dxa"/>
            <w:tcBorders>
              <w:top w:val="nil"/>
              <w:left w:val="nil"/>
              <w:bottom w:val="single" w:sz="4" w:space="0" w:color="auto"/>
              <w:right w:val="single" w:sz="4" w:space="0" w:color="auto"/>
            </w:tcBorders>
            <w:shd w:val="clear" w:color="auto" w:fill="auto"/>
            <w:noWrap/>
            <w:vAlign w:val="center"/>
            <w:hideMark/>
          </w:tcPr>
          <w:p w14:paraId="6B4F3E3D"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 </w:t>
            </w:r>
          </w:p>
        </w:tc>
        <w:tc>
          <w:tcPr>
            <w:tcW w:w="586" w:type="dxa"/>
            <w:tcBorders>
              <w:top w:val="single" w:sz="4" w:space="0" w:color="auto"/>
              <w:left w:val="nil"/>
              <w:bottom w:val="single" w:sz="4" w:space="0" w:color="auto"/>
              <w:right w:val="single" w:sz="4" w:space="0" w:color="auto"/>
            </w:tcBorders>
            <w:shd w:val="clear" w:color="auto" w:fill="auto"/>
            <w:noWrap/>
            <w:vAlign w:val="center"/>
            <w:hideMark/>
          </w:tcPr>
          <w:p w14:paraId="5A13A378"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 </w:t>
            </w:r>
          </w:p>
        </w:tc>
        <w:tc>
          <w:tcPr>
            <w:tcW w:w="1080" w:type="dxa"/>
            <w:tcBorders>
              <w:top w:val="nil"/>
              <w:left w:val="single" w:sz="4" w:space="0" w:color="auto"/>
              <w:bottom w:val="single" w:sz="4" w:space="0" w:color="auto"/>
              <w:right w:val="double" w:sz="6" w:space="0" w:color="auto"/>
            </w:tcBorders>
            <w:shd w:val="clear" w:color="auto" w:fill="auto"/>
            <w:noWrap/>
            <w:vAlign w:val="center"/>
            <w:hideMark/>
          </w:tcPr>
          <w:p w14:paraId="3E730F6E"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0 </w:t>
            </w:r>
          </w:p>
        </w:tc>
      </w:tr>
      <w:tr w:rsidR="00A53AD7" w:rsidRPr="00A53AD7" w14:paraId="64127543" w14:textId="77777777" w:rsidTr="006B7638">
        <w:trPr>
          <w:trHeight w:val="255"/>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B28CEA6" w14:textId="77777777" w:rsidR="006B7638" w:rsidRPr="00A53AD7" w:rsidRDefault="006B7638" w:rsidP="006B763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Муниципальный долг на душу населения, руб.</w:t>
            </w:r>
          </w:p>
        </w:tc>
        <w:tc>
          <w:tcPr>
            <w:tcW w:w="15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8CB9E0"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3 804,44 </w:t>
            </w:r>
          </w:p>
        </w:tc>
        <w:tc>
          <w:tcPr>
            <w:tcW w:w="150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C3C515"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3 671,98 </w:t>
            </w:r>
          </w:p>
        </w:tc>
        <w:tc>
          <w:tcPr>
            <w:tcW w:w="1666" w:type="dxa"/>
            <w:gridSpan w:val="2"/>
            <w:tcBorders>
              <w:top w:val="single" w:sz="4" w:space="0" w:color="auto"/>
              <w:left w:val="nil"/>
              <w:bottom w:val="single" w:sz="4" w:space="0" w:color="auto"/>
              <w:right w:val="double" w:sz="6" w:space="0" w:color="000000"/>
            </w:tcBorders>
            <w:shd w:val="clear" w:color="auto" w:fill="auto"/>
            <w:noWrap/>
            <w:vAlign w:val="center"/>
            <w:hideMark/>
          </w:tcPr>
          <w:p w14:paraId="1D6C7007"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- 132,46 </w:t>
            </w:r>
          </w:p>
        </w:tc>
      </w:tr>
      <w:tr w:rsidR="006B7638" w:rsidRPr="00A53AD7" w14:paraId="224B456B" w14:textId="77777777" w:rsidTr="006B7638">
        <w:trPr>
          <w:trHeight w:val="202"/>
        </w:trPr>
        <w:tc>
          <w:tcPr>
            <w:tcW w:w="4570" w:type="dxa"/>
            <w:tcBorders>
              <w:top w:val="nil"/>
              <w:left w:val="double" w:sz="6" w:space="0" w:color="auto"/>
              <w:bottom w:val="double" w:sz="6" w:space="0" w:color="auto"/>
              <w:right w:val="single" w:sz="4" w:space="0" w:color="auto"/>
            </w:tcBorders>
            <w:shd w:val="clear" w:color="auto" w:fill="auto"/>
            <w:vAlign w:val="center"/>
            <w:hideMark/>
          </w:tcPr>
          <w:p w14:paraId="33297870" w14:textId="77777777" w:rsidR="006B7638" w:rsidRPr="00A53AD7" w:rsidRDefault="006B7638" w:rsidP="006B763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Позиция</w:t>
            </w:r>
          </w:p>
        </w:tc>
        <w:tc>
          <w:tcPr>
            <w:tcW w:w="586" w:type="dxa"/>
            <w:tcBorders>
              <w:top w:val="single" w:sz="4" w:space="0" w:color="auto"/>
              <w:left w:val="nil"/>
              <w:bottom w:val="double" w:sz="6" w:space="0" w:color="auto"/>
              <w:right w:val="single" w:sz="4" w:space="0" w:color="auto"/>
            </w:tcBorders>
            <w:shd w:val="clear" w:color="auto" w:fill="auto"/>
            <w:noWrap/>
            <w:vAlign w:val="center"/>
            <w:hideMark/>
          </w:tcPr>
          <w:p w14:paraId="58FE2625"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23 </w:t>
            </w:r>
          </w:p>
        </w:tc>
        <w:tc>
          <w:tcPr>
            <w:tcW w:w="914" w:type="dxa"/>
            <w:tcBorders>
              <w:top w:val="single" w:sz="4" w:space="0" w:color="auto"/>
              <w:left w:val="nil"/>
              <w:bottom w:val="double" w:sz="6" w:space="0" w:color="auto"/>
              <w:right w:val="single" w:sz="4" w:space="0" w:color="auto"/>
            </w:tcBorders>
            <w:shd w:val="clear" w:color="auto" w:fill="auto"/>
            <w:noWrap/>
            <w:vAlign w:val="center"/>
            <w:hideMark/>
          </w:tcPr>
          <w:p w14:paraId="290A41E5"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5 </w:t>
            </w:r>
          </w:p>
        </w:tc>
        <w:tc>
          <w:tcPr>
            <w:tcW w:w="586" w:type="dxa"/>
            <w:tcBorders>
              <w:top w:val="single" w:sz="4" w:space="0" w:color="auto"/>
              <w:left w:val="nil"/>
              <w:bottom w:val="double" w:sz="6" w:space="0" w:color="auto"/>
              <w:right w:val="single" w:sz="4" w:space="0" w:color="auto"/>
            </w:tcBorders>
            <w:shd w:val="clear" w:color="auto" w:fill="auto"/>
            <w:noWrap/>
            <w:vAlign w:val="center"/>
            <w:hideMark/>
          </w:tcPr>
          <w:p w14:paraId="098EA99D"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26 </w:t>
            </w:r>
          </w:p>
        </w:tc>
        <w:tc>
          <w:tcPr>
            <w:tcW w:w="914" w:type="dxa"/>
            <w:tcBorders>
              <w:top w:val="single" w:sz="4" w:space="0" w:color="auto"/>
              <w:left w:val="nil"/>
              <w:bottom w:val="double" w:sz="6" w:space="0" w:color="auto"/>
              <w:right w:val="single" w:sz="4" w:space="0" w:color="auto"/>
            </w:tcBorders>
            <w:shd w:val="clear" w:color="auto" w:fill="auto"/>
            <w:noWrap/>
            <w:vAlign w:val="center"/>
            <w:hideMark/>
          </w:tcPr>
          <w:p w14:paraId="410DA116"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5 </w:t>
            </w:r>
          </w:p>
        </w:tc>
        <w:tc>
          <w:tcPr>
            <w:tcW w:w="586" w:type="dxa"/>
            <w:tcBorders>
              <w:top w:val="nil"/>
              <w:left w:val="nil"/>
              <w:bottom w:val="double" w:sz="6" w:space="0" w:color="auto"/>
              <w:right w:val="single" w:sz="4" w:space="0" w:color="auto"/>
            </w:tcBorders>
            <w:shd w:val="clear" w:color="auto" w:fill="auto"/>
            <w:noWrap/>
            <w:vAlign w:val="center"/>
            <w:hideMark/>
          </w:tcPr>
          <w:p w14:paraId="42E9938C"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 </w:t>
            </w:r>
          </w:p>
        </w:tc>
        <w:tc>
          <w:tcPr>
            <w:tcW w:w="1080" w:type="dxa"/>
            <w:tcBorders>
              <w:top w:val="nil"/>
              <w:left w:val="nil"/>
              <w:bottom w:val="double" w:sz="6" w:space="0" w:color="auto"/>
              <w:right w:val="double" w:sz="6" w:space="0" w:color="auto"/>
            </w:tcBorders>
            <w:shd w:val="clear" w:color="auto" w:fill="auto"/>
            <w:noWrap/>
            <w:vAlign w:val="center"/>
            <w:hideMark/>
          </w:tcPr>
          <w:p w14:paraId="15CE3170" w14:textId="77777777" w:rsidR="006B7638" w:rsidRPr="00A53AD7" w:rsidRDefault="006B7638" w:rsidP="006B763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0 </w:t>
            </w:r>
          </w:p>
        </w:tc>
      </w:tr>
    </w:tbl>
    <w:p w14:paraId="3CB2E865" w14:textId="77777777" w:rsidR="006B7638" w:rsidRPr="00A53AD7" w:rsidRDefault="006B7638" w:rsidP="006B7638">
      <w:pPr>
        <w:spacing w:after="0" w:line="240" w:lineRule="auto"/>
        <w:ind w:firstLine="851"/>
        <w:jc w:val="both"/>
        <w:rPr>
          <w:rFonts w:ascii="Times New Roman" w:hAnsi="Times New Roman"/>
          <w:sz w:val="16"/>
          <w:szCs w:val="16"/>
        </w:rPr>
      </w:pPr>
    </w:p>
    <w:p w14:paraId="368A5251" w14:textId="77777777" w:rsidR="006B7638" w:rsidRPr="00A53AD7" w:rsidRDefault="006B7638" w:rsidP="006B763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положение Архангельской области среди субъектов Российской Федерации незначительно улучшилось, в т.ч.: по объему муниципального долга – улучшилось на 2 позиции (с 28 на 30 позицию), а по объему муниципального долга на душу населения – улучшилось на 3 позицию (с 23 на 26 позицию).</w:t>
      </w:r>
    </w:p>
    <w:p w14:paraId="7384CF48" w14:textId="77777777" w:rsidR="006B7638" w:rsidRPr="00A53AD7" w:rsidRDefault="006B7638" w:rsidP="006B763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Среди субъектов РФ наибольший объем муниципальных долговых обязательств на 01.01.2020 наблюдается в Республике Татарстан (29 786,7 млн.руб.), а по объему муниципального долга на душу населения - Магаданская область (16 554,99 руб.*чел.). Также и на 01.01.2019 указанные субъекты РФ занимали указанные позиции.</w:t>
      </w:r>
    </w:p>
    <w:p w14:paraId="4910DF89" w14:textId="77777777" w:rsidR="006B7638" w:rsidRPr="00A53AD7" w:rsidRDefault="006B7638" w:rsidP="006B763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Среди субъектов Северо-Западного Федерального округа положение муниципального долга Архангельской области за 2019 год не изменилось (на 3 месте), а общий объем долговых обязательств снизился на 174,6 млн.руб. или на 4,2 %.</w:t>
      </w:r>
    </w:p>
    <w:p w14:paraId="275C77A4" w14:textId="77777777" w:rsidR="006B7638" w:rsidRPr="00A53AD7" w:rsidRDefault="006B7638" w:rsidP="006B763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объему муниципального долга на душу населения среди субъектов СЗФО положение Архангельской области по сравнению с данными на 01.01.2019 также не изменилось (5 позиция), при этом сумма снизилась на 132,46 руб.*чел. или на 3,5 %.</w:t>
      </w:r>
    </w:p>
    <w:p w14:paraId="2166A57F" w14:textId="77777777" w:rsidR="006B7638" w:rsidRPr="00A53AD7" w:rsidRDefault="006B7638" w:rsidP="006B763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Среди субъектов СЗФО наибольший объем муниципальных долговых обязательств по состоянию на отчетную дату зафиксирован в Калининградской области (6 221,0 млн.руб.), а по объему муниципального долга на душу населения – Новгородская область (6 362,67 руб. * чел.).</w:t>
      </w:r>
    </w:p>
    <w:p w14:paraId="3B862EE1" w14:textId="3C6027F1" w:rsidR="00F700F3" w:rsidRPr="00A53AD7" w:rsidRDefault="00F700F3" w:rsidP="003A3723">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отмечено выше, по состоянию на 1 января 2020 года в 11 муниципальных образованиях Архангельской облас</w:t>
      </w:r>
      <w:r w:rsidR="003A3723" w:rsidRPr="00A53AD7">
        <w:rPr>
          <w:rFonts w:ascii="Times New Roman" w:hAnsi="Times New Roman"/>
          <w:sz w:val="28"/>
          <w:szCs w:val="28"/>
        </w:rPr>
        <w:t>ти отсутствует внутренний долг.</w:t>
      </w:r>
    </w:p>
    <w:p w14:paraId="0DF10EAD" w14:textId="77777777" w:rsidR="00142FB7" w:rsidRPr="00A53AD7" w:rsidRDefault="00142FB7" w:rsidP="00142FB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начало 2019 года внутренние долговые обязательства отсутствовали у 10 муниципальных образований (в 8 муниципальных районах и 2 городских </w:t>
      </w:r>
      <w:r w:rsidRPr="00A53AD7">
        <w:rPr>
          <w:rFonts w:ascii="Times New Roman" w:hAnsi="Times New Roman"/>
          <w:sz w:val="28"/>
          <w:szCs w:val="28"/>
        </w:rPr>
        <w:lastRenderedPageBreak/>
        <w:t>округах). В течение 2019 года МО «Каргопольский район» погасил кредит в кредитных организациях в сумме 8,5 млн.руб.</w:t>
      </w:r>
    </w:p>
    <w:p w14:paraId="0217B3A0" w14:textId="4F289217" w:rsidR="00F700F3" w:rsidRPr="00A53AD7" w:rsidRDefault="00F700F3" w:rsidP="008427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уровень муниципального внутреннего долга на 01.01.2020 в Архангельской области сложился в МО «Северодвинск», вторую позицию занимает МО «Город Архангельск» и третью – МО «Котлас». На начало года МО «Северодвинск» и МО «Город Архангельск» занимали аналогичные позиции, а 3 место занимало МО «Город Коряжма».</w:t>
      </w:r>
    </w:p>
    <w:p w14:paraId="6252A5D7" w14:textId="4E2173C6" w:rsidR="00F700F3" w:rsidRPr="00A53AD7" w:rsidRDefault="00F700F3" w:rsidP="007D2C4A">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w:t>
      </w:r>
      <w:r w:rsidR="00142FB7" w:rsidRPr="00A53AD7">
        <w:rPr>
          <w:rFonts w:ascii="Times New Roman" w:hAnsi="Times New Roman"/>
          <w:sz w:val="28"/>
          <w:szCs w:val="28"/>
        </w:rPr>
        <w:t>9</w:t>
      </w:r>
      <w:r w:rsidRPr="00A53AD7">
        <w:rPr>
          <w:rFonts w:ascii="Times New Roman" w:hAnsi="Times New Roman"/>
          <w:sz w:val="28"/>
          <w:szCs w:val="28"/>
        </w:rPr>
        <w:t xml:space="preserve"> год на территории Архангельской области по объему муниципального долга улучшилась позиция у МО «Няндомский район» (с 6 на 7 место), МО «Приморский район» (с 14 на 15 место), МО «Устьянский район» (с 10 на 11 место) и МО «Город Коряжма» (с 3 на 4 место). </w:t>
      </w:r>
    </w:p>
    <w:p w14:paraId="17B10319" w14:textId="77777777" w:rsidR="00F700F3" w:rsidRPr="00A53AD7" w:rsidRDefault="00F700F3" w:rsidP="0028531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Одновременно с этим, за отчетный период ухудшили свои позиции по объему внутреннего долга следующие муниципальные образования: МО «Вельский район» (с 7 на 6 место), МО «Ленский район» (с 13 на 12 место), МО «Лешуконский район» (с 15 на 14 позицию), МО «Онежский район» (с 11 на 10 позицию) и МО «Котлас» (с 4 на 3 место).</w:t>
      </w:r>
    </w:p>
    <w:p w14:paraId="7CD0A654" w14:textId="21E96334" w:rsidR="00F700F3" w:rsidRPr="00A53AD7" w:rsidRDefault="00F700F3" w:rsidP="0028531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уровень муниципального внутреннего долга на душу населения сложился в следующих муниципальных образованиях: МО «Северодвинск» (7 837,62 *чел., 1 место), МО «Город Архангельск» (4 216,88 руб., 2 место) и МО «Город Коряжма» (3 761,75 руб.*чел., 3 место). За 201</w:t>
      </w:r>
      <w:r w:rsidR="00142FB7" w:rsidRPr="00A53AD7">
        <w:rPr>
          <w:rFonts w:ascii="Times New Roman" w:hAnsi="Times New Roman"/>
          <w:sz w:val="28"/>
          <w:szCs w:val="28"/>
        </w:rPr>
        <w:t>9</w:t>
      </w:r>
      <w:r w:rsidRPr="00A53AD7">
        <w:rPr>
          <w:rFonts w:ascii="Times New Roman" w:hAnsi="Times New Roman"/>
          <w:sz w:val="28"/>
          <w:szCs w:val="28"/>
        </w:rPr>
        <w:t xml:space="preserve"> год позиция МО «Северодвинск» в рэнкинге уровня муниципального внутреннего долга на душу населения в Архангельской области не изменилась, т.е. на 01.01.2019 указанное МО также занимало 1 место.</w:t>
      </w:r>
    </w:p>
    <w:p w14:paraId="6B89D2F5" w14:textId="77777777" w:rsidR="00F700F3" w:rsidRPr="00A53AD7" w:rsidRDefault="00F700F3" w:rsidP="000812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Наименьший уровень муниципального внутреннего долга на душу населения сложился в: МО «Приморский район» (179,28 руб.*чел., 15 место), МО «Лешуконский район» (883,25 руб.*чел, 14 место) и МО «Онежский район» (1 446,23 руб.*чел., 13 место).</w:t>
      </w:r>
    </w:p>
    <w:p w14:paraId="216EF751" w14:textId="7E2AF58D" w:rsidR="00F700F3" w:rsidRPr="00A53AD7" w:rsidRDefault="00F700F3" w:rsidP="00CA027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6268C4" w:rsidRPr="00A53AD7">
        <w:rPr>
          <w:rFonts w:ascii="Times New Roman" w:hAnsi="Times New Roman"/>
          <w:sz w:val="28"/>
          <w:szCs w:val="28"/>
        </w:rPr>
        <w:t>28</w:t>
      </w:r>
      <w:r w:rsidRPr="00A53AD7">
        <w:rPr>
          <w:rFonts w:ascii="Times New Roman" w:hAnsi="Times New Roman"/>
          <w:sz w:val="28"/>
          <w:szCs w:val="28"/>
        </w:rPr>
        <w:t xml:space="preserve"> приведены показатели муниципального долга на душу населения по состоянию на 01.01.2020, в разрезе муниципальных образований у которых имеются долговые обязательства по бюджетным и </w:t>
      </w:r>
      <w:r w:rsidR="00BD04FF" w:rsidRPr="00A53AD7">
        <w:rPr>
          <w:rFonts w:ascii="Times New Roman" w:hAnsi="Times New Roman"/>
          <w:sz w:val="28"/>
          <w:szCs w:val="28"/>
        </w:rPr>
        <w:t>банковским</w:t>
      </w:r>
      <w:r w:rsidRPr="00A53AD7">
        <w:rPr>
          <w:rFonts w:ascii="Times New Roman" w:hAnsi="Times New Roman"/>
          <w:sz w:val="28"/>
          <w:szCs w:val="28"/>
        </w:rPr>
        <w:t xml:space="preserve"> кредитам.</w:t>
      </w:r>
    </w:p>
    <w:p w14:paraId="1D1FE6CB" w14:textId="77777777" w:rsidR="00F700F3" w:rsidRPr="00A53AD7" w:rsidRDefault="00F700F3" w:rsidP="00F700F3">
      <w:pPr>
        <w:jc w:val="center"/>
        <w:rPr>
          <w:highlight w:val="cyan"/>
        </w:rPr>
      </w:pPr>
      <w:r w:rsidRPr="00A53AD7">
        <w:rPr>
          <w:noProof/>
          <w:highlight w:val="cyan"/>
          <w:lang w:eastAsia="ru-RU"/>
        </w:rPr>
        <w:drawing>
          <wp:inline distT="0" distB="0" distL="0" distR="0" wp14:anchorId="5F8EA134" wp14:editId="7DCB3894">
            <wp:extent cx="5588759" cy="200622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8122" cy="2005992"/>
                    </a:xfrm>
                    <a:prstGeom prst="rect">
                      <a:avLst/>
                    </a:prstGeom>
                    <a:noFill/>
                  </pic:spPr>
                </pic:pic>
              </a:graphicData>
            </a:graphic>
          </wp:inline>
        </w:drawing>
      </w:r>
    </w:p>
    <w:p w14:paraId="6BE5B8C2" w14:textId="7E49054B" w:rsidR="00F700F3" w:rsidRPr="00A53AD7" w:rsidRDefault="00F700F3" w:rsidP="00BD04FF">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28</w:t>
      </w:r>
      <w:r w:rsidRPr="00A53AD7">
        <w:rPr>
          <w:rFonts w:ascii="Times New Roman" w:hAnsi="Times New Roman"/>
          <w:b w:val="0"/>
          <w:sz w:val="24"/>
          <w:szCs w:val="24"/>
        </w:rPr>
        <w:fldChar w:fldCharType="end"/>
      </w:r>
      <w:r w:rsidRPr="00A53AD7">
        <w:rPr>
          <w:rFonts w:ascii="Times New Roman" w:hAnsi="Times New Roman"/>
          <w:b w:val="0"/>
          <w:sz w:val="24"/>
          <w:szCs w:val="24"/>
        </w:rPr>
        <w:t>.</w:t>
      </w:r>
      <w:r w:rsidR="00CE7C11" w:rsidRPr="00A53AD7">
        <w:rPr>
          <w:rFonts w:ascii="Times New Roman" w:hAnsi="Times New Roman"/>
          <w:b w:val="0"/>
          <w:sz w:val="24"/>
          <w:szCs w:val="24"/>
        </w:rPr>
        <w:t xml:space="preserve"> </w:t>
      </w:r>
      <w:r w:rsidRPr="00A53AD7">
        <w:rPr>
          <w:rFonts w:ascii="Times New Roman" w:hAnsi="Times New Roman"/>
          <w:b w:val="0"/>
          <w:sz w:val="24"/>
          <w:szCs w:val="24"/>
        </w:rPr>
        <w:t>Муниципальный долг на душу населения, проживающего на территории муниципального образования, по состоянию на 01.01.2020, руб.*чел.</w:t>
      </w:r>
    </w:p>
    <w:p w14:paraId="756E27A9" w14:textId="77777777" w:rsidR="00A57A32" w:rsidRPr="00A53AD7" w:rsidRDefault="00A57A32" w:rsidP="00A57A32">
      <w:pPr>
        <w:spacing w:after="0" w:line="240" w:lineRule="auto"/>
        <w:ind w:firstLine="851"/>
        <w:jc w:val="both"/>
        <w:rPr>
          <w:rFonts w:ascii="Times New Roman" w:hAnsi="Times New Roman"/>
          <w:sz w:val="28"/>
          <w:szCs w:val="28"/>
        </w:rPr>
      </w:pPr>
    </w:p>
    <w:p w14:paraId="4EEF56CA" w14:textId="4508E397" w:rsidR="00F700F3" w:rsidRPr="00A53AD7" w:rsidRDefault="00F700F3" w:rsidP="00A57A32">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Наибольший уровень муниципального долга по отношению к налоговым и неналоговым доходам, по результатам исполнения местных бюджетов за 2019 год, без учета дополнительного норматива отчислений налога на доходы физических лиц, сложился в МО «Северодвинск» (43,5 %, 1 место, которое за отчетный период ухудшилось на 2 позиции, с 3 на 1 место), МО «Город Новодвинск» (31,8 %, ухудшилось на 2 позици</w:t>
      </w:r>
      <w:r w:rsidR="00A57A32" w:rsidRPr="00A53AD7">
        <w:rPr>
          <w:rFonts w:ascii="Times New Roman" w:hAnsi="Times New Roman"/>
          <w:sz w:val="28"/>
          <w:szCs w:val="28"/>
        </w:rPr>
        <w:t>и</w:t>
      </w:r>
      <w:r w:rsidRPr="00A53AD7">
        <w:rPr>
          <w:rFonts w:ascii="Times New Roman" w:hAnsi="Times New Roman"/>
          <w:sz w:val="28"/>
          <w:szCs w:val="28"/>
        </w:rPr>
        <w:t>, с 4 на 2 место) и МО «Город Коряжма» (30,2 %, улучшилось на 2 позиции, с 1 на 3 место).</w:t>
      </w:r>
    </w:p>
    <w:p w14:paraId="4EE164F0" w14:textId="62F210F7" w:rsidR="00F700F3" w:rsidRPr="00A53AD7" w:rsidRDefault="00F700F3" w:rsidP="00A57A32">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6268C4" w:rsidRPr="00A53AD7">
        <w:rPr>
          <w:rFonts w:ascii="Times New Roman" w:hAnsi="Times New Roman"/>
          <w:sz w:val="28"/>
          <w:szCs w:val="28"/>
        </w:rPr>
        <w:t>29</w:t>
      </w:r>
      <w:r w:rsidRPr="00A53AD7">
        <w:rPr>
          <w:rFonts w:ascii="Times New Roman" w:hAnsi="Times New Roman"/>
          <w:sz w:val="28"/>
          <w:szCs w:val="28"/>
        </w:rPr>
        <w:t xml:space="preserve"> показано соотношение муниципального долга на 01.01.2020 к поступившим налоговым и неналоговым доходам за 2019 год, без учета дополнительного норматива отчислений налога на доходы физических лиц.</w:t>
      </w:r>
    </w:p>
    <w:p w14:paraId="37EA380F" w14:textId="77777777" w:rsidR="00F700F3" w:rsidRPr="00A53AD7" w:rsidRDefault="00F700F3" w:rsidP="00F700F3">
      <w:pPr>
        <w:jc w:val="center"/>
      </w:pPr>
      <w:r w:rsidRPr="00A53AD7">
        <w:rPr>
          <w:noProof/>
          <w:lang w:eastAsia="ru-RU"/>
        </w:rPr>
        <w:drawing>
          <wp:inline distT="0" distB="0" distL="0" distR="0" wp14:anchorId="78468D28" wp14:editId="45A2406D">
            <wp:extent cx="5760000" cy="2005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00" cy="2005200"/>
                    </a:xfrm>
                    <a:prstGeom prst="rect">
                      <a:avLst/>
                    </a:prstGeom>
                    <a:noFill/>
                  </pic:spPr>
                </pic:pic>
              </a:graphicData>
            </a:graphic>
          </wp:inline>
        </w:drawing>
      </w:r>
    </w:p>
    <w:p w14:paraId="2F756E5E" w14:textId="756F5EDB" w:rsidR="00F700F3" w:rsidRPr="00A53AD7" w:rsidRDefault="00F700F3" w:rsidP="00683DF6">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29</w:t>
      </w:r>
      <w:r w:rsidRPr="00A53AD7">
        <w:rPr>
          <w:rFonts w:ascii="Times New Roman" w:hAnsi="Times New Roman"/>
          <w:b w:val="0"/>
          <w:sz w:val="24"/>
          <w:szCs w:val="24"/>
        </w:rPr>
        <w:fldChar w:fldCharType="end"/>
      </w:r>
      <w:r w:rsidRPr="00A53AD7">
        <w:rPr>
          <w:rFonts w:ascii="Times New Roman" w:hAnsi="Times New Roman"/>
          <w:b w:val="0"/>
          <w:sz w:val="24"/>
          <w:szCs w:val="24"/>
        </w:rPr>
        <w:t>.</w:t>
      </w:r>
      <w:r w:rsidRPr="00A53AD7">
        <w:rPr>
          <w:rFonts w:ascii="Times New Roman" w:hAnsi="Times New Roman"/>
          <w:b w:val="0"/>
          <w:sz w:val="24"/>
          <w:szCs w:val="24"/>
          <w:vertAlign w:val="superscript"/>
        </w:rPr>
        <w:footnoteReference w:id="19"/>
      </w:r>
      <w:r w:rsidRPr="00A53AD7">
        <w:rPr>
          <w:rFonts w:ascii="Times New Roman" w:hAnsi="Times New Roman"/>
          <w:b w:val="0"/>
          <w:sz w:val="24"/>
          <w:szCs w:val="24"/>
        </w:rPr>
        <w:t xml:space="preserve"> Муниципальный долг на 01.01.2020 к поступившим налоговым и неналоговым доходам за 2019 год, без учета дополнительного норматива отчислений налога на доходы физических лиц, </w:t>
      </w:r>
      <w:r w:rsidR="00683DF6" w:rsidRPr="00A53AD7">
        <w:rPr>
          <w:rFonts w:ascii="Times New Roman" w:hAnsi="Times New Roman"/>
          <w:b w:val="0"/>
          <w:sz w:val="24"/>
          <w:szCs w:val="24"/>
        </w:rPr>
        <w:t>%</w:t>
      </w:r>
    </w:p>
    <w:p w14:paraId="4C96F8A9" w14:textId="77777777" w:rsidR="00683DF6" w:rsidRPr="00A53AD7" w:rsidRDefault="00683DF6" w:rsidP="00683DF6">
      <w:pPr>
        <w:spacing w:after="0" w:line="240" w:lineRule="auto"/>
        <w:ind w:firstLine="851"/>
        <w:jc w:val="both"/>
        <w:rPr>
          <w:rFonts w:ascii="Times New Roman" w:hAnsi="Times New Roman"/>
          <w:sz w:val="28"/>
          <w:szCs w:val="28"/>
        </w:rPr>
      </w:pPr>
    </w:p>
    <w:p w14:paraId="792A003D" w14:textId="54846889" w:rsidR="00F700F3" w:rsidRPr="00A53AD7" w:rsidRDefault="00F700F3" w:rsidP="00683D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последние годы, а именно с 01.01.2016 по 01.01.2020 муниципальные долговые обязательства увеличились на 365,2 млн.руб. или на 10 % и информация о внутреннем долге местных бюджетов Архангельской области представлена на рисунке </w:t>
      </w:r>
      <w:r w:rsidR="00E23937" w:rsidRPr="00A53AD7">
        <w:rPr>
          <w:rFonts w:ascii="Times New Roman" w:hAnsi="Times New Roman"/>
          <w:sz w:val="28"/>
          <w:szCs w:val="28"/>
        </w:rPr>
        <w:t>30</w:t>
      </w:r>
      <w:r w:rsidRPr="00A53AD7">
        <w:rPr>
          <w:rFonts w:ascii="Times New Roman" w:hAnsi="Times New Roman"/>
          <w:sz w:val="28"/>
          <w:szCs w:val="28"/>
        </w:rPr>
        <w:t>.</w:t>
      </w:r>
    </w:p>
    <w:p w14:paraId="5B580A23" w14:textId="77777777" w:rsidR="00F700F3" w:rsidRPr="00A53AD7" w:rsidRDefault="00F700F3" w:rsidP="00F700F3">
      <w:pPr>
        <w:jc w:val="center"/>
      </w:pPr>
      <w:r w:rsidRPr="00A53AD7">
        <w:rPr>
          <w:noProof/>
          <w:lang w:eastAsia="ru-RU"/>
        </w:rPr>
        <w:drawing>
          <wp:inline distT="0" distB="0" distL="0" distR="0" wp14:anchorId="7C8E6A0A" wp14:editId="7E86F6AB">
            <wp:extent cx="5977720" cy="1316552"/>
            <wp:effectExtent l="0" t="0" r="444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11814" cy="1324061"/>
                    </a:xfrm>
                    <a:prstGeom prst="rect">
                      <a:avLst/>
                    </a:prstGeom>
                    <a:noFill/>
                  </pic:spPr>
                </pic:pic>
              </a:graphicData>
            </a:graphic>
          </wp:inline>
        </w:drawing>
      </w:r>
    </w:p>
    <w:p w14:paraId="5B89C2CB" w14:textId="5B70CC72" w:rsidR="00F700F3" w:rsidRPr="00A53AD7" w:rsidRDefault="00F700F3" w:rsidP="0021645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30</w:t>
      </w:r>
      <w:r w:rsidRPr="00A53AD7">
        <w:rPr>
          <w:rFonts w:ascii="Times New Roman" w:hAnsi="Times New Roman"/>
          <w:b w:val="0"/>
          <w:sz w:val="24"/>
          <w:szCs w:val="24"/>
        </w:rPr>
        <w:fldChar w:fldCharType="end"/>
      </w:r>
      <w:r w:rsidRPr="00A53AD7">
        <w:rPr>
          <w:rFonts w:ascii="Times New Roman" w:hAnsi="Times New Roman"/>
          <w:b w:val="0"/>
          <w:sz w:val="24"/>
          <w:szCs w:val="24"/>
        </w:rPr>
        <w:t>. Внутренний долг местных бюджетов Архангельской области с 2016 по 2020 годы, млн.руб.</w:t>
      </w:r>
    </w:p>
    <w:p w14:paraId="4F02DD08" w14:textId="77777777" w:rsidR="00F700F3" w:rsidRPr="00A53AD7" w:rsidRDefault="00F700F3" w:rsidP="00216457">
      <w:pPr>
        <w:spacing w:after="0" w:line="240" w:lineRule="auto"/>
        <w:ind w:firstLine="851"/>
        <w:jc w:val="both"/>
        <w:rPr>
          <w:rFonts w:ascii="Times New Roman" w:hAnsi="Times New Roman"/>
          <w:sz w:val="28"/>
          <w:szCs w:val="28"/>
        </w:rPr>
      </w:pPr>
    </w:p>
    <w:p w14:paraId="418D5960" w14:textId="77777777" w:rsidR="00142FB7" w:rsidRPr="00A53AD7" w:rsidRDefault="00142FB7" w:rsidP="00142FB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 01.01.2015 среднегодовой рост муниципального внутреннего долга составил 126,0 млн.руб., из которых в муниципальных районах, с учетом </w:t>
      </w:r>
      <w:r w:rsidRPr="00A53AD7">
        <w:rPr>
          <w:rFonts w:ascii="Times New Roman" w:hAnsi="Times New Roman"/>
          <w:sz w:val="28"/>
          <w:szCs w:val="28"/>
        </w:rPr>
        <w:lastRenderedPageBreak/>
        <w:t>поселений рост составляет 43,0 млн.руб., а в городских округах – рост 83,0 млн.руб.</w:t>
      </w:r>
    </w:p>
    <w:p w14:paraId="0F7146AE" w14:textId="3B912E6E" w:rsidR="00F700F3" w:rsidRPr="00A53AD7" w:rsidRDefault="00F700F3" w:rsidP="00C1229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с этим, отмечаем, что с конца 2017 года наблюдается снижение ежегодного </w:t>
      </w:r>
      <w:r w:rsidR="00D76593" w:rsidRPr="00A53AD7">
        <w:rPr>
          <w:rFonts w:ascii="Times New Roman" w:hAnsi="Times New Roman"/>
          <w:sz w:val="28"/>
          <w:szCs w:val="28"/>
        </w:rPr>
        <w:t>при</w:t>
      </w:r>
      <w:r w:rsidRPr="00A53AD7">
        <w:rPr>
          <w:rFonts w:ascii="Times New Roman" w:hAnsi="Times New Roman"/>
          <w:sz w:val="28"/>
          <w:szCs w:val="28"/>
        </w:rPr>
        <w:t xml:space="preserve">роста муниципальных долговых обязательств, который в 2014 – 2016 годах составлял от 10,6 до 7,8 %, а за 2017 год – вырос </w:t>
      </w:r>
      <w:r w:rsidR="00D76593" w:rsidRPr="00A53AD7">
        <w:rPr>
          <w:rFonts w:ascii="Times New Roman" w:hAnsi="Times New Roman"/>
          <w:sz w:val="28"/>
          <w:szCs w:val="28"/>
        </w:rPr>
        <w:t xml:space="preserve">на </w:t>
      </w:r>
      <w:r w:rsidRPr="00A53AD7">
        <w:rPr>
          <w:rFonts w:ascii="Times New Roman" w:hAnsi="Times New Roman"/>
          <w:sz w:val="28"/>
          <w:szCs w:val="28"/>
        </w:rPr>
        <w:t>2,7 %, за 2018 год рост составил 1,1 %, а за 2019 год – снижение на 4,2 %.</w:t>
      </w:r>
    </w:p>
    <w:p w14:paraId="07B14939" w14:textId="12906EDD" w:rsidR="00F700F3" w:rsidRPr="00A53AD7" w:rsidRDefault="00F700F3" w:rsidP="00FD2782">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E23937" w:rsidRPr="00A53AD7">
        <w:rPr>
          <w:rFonts w:ascii="Times New Roman" w:hAnsi="Times New Roman"/>
          <w:sz w:val="28"/>
          <w:szCs w:val="28"/>
        </w:rPr>
        <w:t>31</w:t>
      </w:r>
      <w:r w:rsidRPr="00A53AD7">
        <w:rPr>
          <w:rFonts w:ascii="Times New Roman" w:hAnsi="Times New Roman"/>
          <w:sz w:val="28"/>
          <w:szCs w:val="28"/>
        </w:rPr>
        <w:t xml:space="preserve"> представлена информация о муниципальном долге по городским округам и муниципальным районам, с учетом поселений, за 2015 – 2019 годы.</w:t>
      </w:r>
    </w:p>
    <w:p w14:paraId="7A8A311A" w14:textId="77777777" w:rsidR="00F700F3" w:rsidRPr="00A53AD7" w:rsidRDefault="00F700F3" w:rsidP="00F700F3">
      <w:pPr>
        <w:jc w:val="center"/>
      </w:pPr>
      <w:r w:rsidRPr="00A53AD7">
        <w:rPr>
          <w:noProof/>
          <w:lang w:eastAsia="ru-RU"/>
        </w:rPr>
        <w:drawing>
          <wp:inline distT="0" distB="0" distL="0" distR="0" wp14:anchorId="1AB1F3D6" wp14:editId="37E41A01">
            <wp:extent cx="5377218" cy="1797533"/>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84597" cy="1800000"/>
                    </a:xfrm>
                    <a:prstGeom prst="rect">
                      <a:avLst/>
                    </a:prstGeom>
                    <a:noFill/>
                  </pic:spPr>
                </pic:pic>
              </a:graphicData>
            </a:graphic>
          </wp:inline>
        </w:drawing>
      </w:r>
    </w:p>
    <w:p w14:paraId="228A9A99" w14:textId="6C81D7D6" w:rsidR="00F700F3" w:rsidRPr="00A53AD7" w:rsidRDefault="00F700F3" w:rsidP="00FD2782">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31</w:t>
      </w:r>
      <w:r w:rsidRPr="00A53AD7">
        <w:rPr>
          <w:rFonts w:ascii="Times New Roman" w:hAnsi="Times New Roman"/>
          <w:b w:val="0"/>
          <w:sz w:val="24"/>
          <w:szCs w:val="24"/>
        </w:rPr>
        <w:fldChar w:fldCharType="end"/>
      </w:r>
      <w:r w:rsidRPr="00A53AD7">
        <w:rPr>
          <w:rFonts w:ascii="Times New Roman" w:hAnsi="Times New Roman"/>
          <w:b w:val="0"/>
          <w:sz w:val="24"/>
          <w:szCs w:val="24"/>
        </w:rPr>
        <w:t>. Внутренний долг бюджетов городских округов и муниципальных районов, с учетом поселений, с 01.01.2015 по 01.01.2020, млн.руб.</w:t>
      </w:r>
    </w:p>
    <w:p w14:paraId="3A59A5A4" w14:textId="77777777" w:rsidR="00F700F3" w:rsidRPr="00A53AD7" w:rsidRDefault="00F700F3" w:rsidP="00F700F3">
      <w:pPr>
        <w:rPr>
          <w:sz w:val="16"/>
          <w:szCs w:val="16"/>
          <w:highlight w:val="cyan"/>
        </w:rPr>
      </w:pPr>
    </w:p>
    <w:p w14:paraId="1C34580D" w14:textId="4BEAC293" w:rsidR="00F700F3" w:rsidRPr="00A53AD7" w:rsidRDefault="00F700F3" w:rsidP="00D02A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наибольший удельный вес в составе муниципального долга городских округов занимает задолженность МО «Город Архангельск» (1 499,0 млн.руб.) и МО «Северодвинск» (1 601,5 млн.руб.), который составляет 37,4 % и 39,9 %, соответственно в общей сумме внутреннего долга всех местных бюджетов.</w:t>
      </w:r>
    </w:p>
    <w:p w14:paraId="1F22AB8A" w14:textId="77777777" w:rsidR="00F700F3" w:rsidRPr="00A53AD7" w:rsidRDefault="00F700F3" w:rsidP="00315F10">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01.01.2020 в составе внутреннего долга муниципальных районов, с учетом поселений, наибольший удельный вес составила задолженность МО «Вельский район» (121,1 млн.руб. или 3,0 % в общей сумме) и МО «Няндомский район» (81,0 млн.руб. или 2,0 % в общей сумме).</w:t>
      </w:r>
    </w:p>
    <w:p w14:paraId="101B852F" w14:textId="733522E1" w:rsidR="00F700F3" w:rsidRPr="00A53AD7" w:rsidRDefault="00F700F3" w:rsidP="00315F1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Информация о внутреннем долге Вельского района, с учетом поселений за 2015 – 2019 годы представлена на рисунке </w:t>
      </w:r>
      <w:r w:rsidR="00E23937" w:rsidRPr="00A53AD7">
        <w:rPr>
          <w:rFonts w:ascii="Times New Roman" w:hAnsi="Times New Roman"/>
          <w:sz w:val="28"/>
          <w:szCs w:val="28"/>
        </w:rPr>
        <w:t>32</w:t>
      </w:r>
      <w:r w:rsidRPr="00A53AD7">
        <w:rPr>
          <w:rFonts w:ascii="Times New Roman" w:hAnsi="Times New Roman"/>
          <w:sz w:val="28"/>
          <w:szCs w:val="28"/>
        </w:rPr>
        <w:t>.</w:t>
      </w:r>
    </w:p>
    <w:p w14:paraId="108AEEB1" w14:textId="77777777" w:rsidR="00F700F3" w:rsidRPr="00A53AD7" w:rsidRDefault="00F700F3" w:rsidP="00F700F3">
      <w:pPr>
        <w:jc w:val="center"/>
        <w:rPr>
          <w:rFonts w:ascii="Times New Roman" w:hAnsi="Times New Roman"/>
        </w:rPr>
      </w:pPr>
      <w:r w:rsidRPr="00A53AD7">
        <w:rPr>
          <w:rFonts w:ascii="Times New Roman" w:hAnsi="Times New Roman"/>
          <w:noProof/>
          <w:lang w:eastAsia="ru-RU"/>
        </w:rPr>
        <w:drawing>
          <wp:inline distT="0" distB="0" distL="0" distR="0" wp14:anchorId="44C67A38" wp14:editId="0D4B98BA">
            <wp:extent cx="5486400" cy="1800076"/>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167" cy="1800000"/>
                    </a:xfrm>
                    <a:prstGeom prst="rect">
                      <a:avLst/>
                    </a:prstGeom>
                    <a:noFill/>
                  </pic:spPr>
                </pic:pic>
              </a:graphicData>
            </a:graphic>
          </wp:inline>
        </w:drawing>
      </w:r>
    </w:p>
    <w:p w14:paraId="3CF3BB04" w14:textId="7C7784ED" w:rsidR="00F700F3" w:rsidRPr="00A53AD7" w:rsidRDefault="00F700F3" w:rsidP="00552C8C">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32</w:t>
      </w:r>
      <w:r w:rsidRPr="00A53AD7">
        <w:rPr>
          <w:rFonts w:ascii="Times New Roman" w:hAnsi="Times New Roman"/>
          <w:b w:val="0"/>
          <w:sz w:val="24"/>
          <w:szCs w:val="24"/>
        </w:rPr>
        <w:fldChar w:fldCharType="end"/>
      </w:r>
      <w:r w:rsidRPr="00A53AD7">
        <w:rPr>
          <w:rFonts w:ascii="Times New Roman" w:hAnsi="Times New Roman"/>
          <w:b w:val="0"/>
          <w:sz w:val="24"/>
          <w:szCs w:val="24"/>
        </w:rPr>
        <w:t>. Внутренний долг консолидированного бюджета МО «Вельский муниципальный район» с 01.01.2015 по 01.01.2020, млн.руб.</w:t>
      </w:r>
    </w:p>
    <w:p w14:paraId="63ADE149" w14:textId="77777777" w:rsidR="00552C8C" w:rsidRPr="00A53AD7" w:rsidRDefault="00552C8C" w:rsidP="00552C8C">
      <w:pPr>
        <w:spacing w:after="0" w:line="240" w:lineRule="auto"/>
        <w:ind w:firstLine="851"/>
        <w:jc w:val="both"/>
        <w:rPr>
          <w:rFonts w:ascii="Times New Roman" w:hAnsi="Times New Roman"/>
          <w:sz w:val="28"/>
          <w:szCs w:val="28"/>
        </w:rPr>
      </w:pPr>
    </w:p>
    <w:p w14:paraId="3FAA86B8" w14:textId="0CF016BD" w:rsidR="00F700F3" w:rsidRPr="00A53AD7" w:rsidRDefault="00F700F3" w:rsidP="00552C8C">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За последние 5 лет внутренний долг Вельского района с учетом поселений, увеличился в 5,8 раза или на 100,1 млн.руб. и его среднегодовой рост составляет 20,0 млн.руб., в т.ч. в 2015 году рост составил 85,7 %, в 2016 – 2018 годах – от 38 % до 47 % ежегодно, а в 2019 году – на 4,8 %.</w:t>
      </w:r>
    </w:p>
    <w:p w14:paraId="0BFF20FB" w14:textId="5A13DD5E" w:rsidR="00F700F3" w:rsidRPr="00A53AD7" w:rsidRDefault="00F700F3" w:rsidP="00956A7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Сведения о внутреннем долге Няндомского района, с учетом поселений, представлены на рисунке </w:t>
      </w:r>
      <w:r w:rsidR="00E23937" w:rsidRPr="00A53AD7">
        <w:rPr>
          <w:rFonts w:ascii="Times New Roman" w:hAnsi="Times New Roman"/>
          <w:sz w:val="28"/>
          <w:szCs w:val="28"/>
        </w:rPr>
        <w:t>33</w:t>
      </w:r>
      <w:r w:rsidRPr="00A53AD7">
        <w:rPr>
          <w:rFonts w:ascii="Times New Roman" w:hAnsi="Times New Roman"/>
          <w:sz w:val="28"/>
          <w:szCs w:val="28"/>
        </w:rPr>
        <w:t>.</w:t>
      </w:r>
    </w:p>
    <w:p w14:paraId="1A7F7218" w14:textId="77777777" w:rsidR="00F700F3" w:rsidRPr="00A53AD7" w:rsidRDefault="00F700F3" w:rsidP="00F700F3">
      <w:pPr>
        <w:jc w:val="center"/>
      </w:pPr>
      <w:r w:rsidRPr="00A53AD7">
        <w:rPr>
          <w:noProof/>
          <w:lang w:eastAsia="ru-RU"/>
        </w:rPr>
        <w:drawing>
          <wp:inline distT="0" distB="0" distL="0" distR="0" wp14:anchorId="282EDE01" wp14:editId="29079C50">
            <wp:extent cx="5711588" cy="1794681"/>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8516" cy="1800000"/>
                    </a:xfrm>
                    <a:prstGeom prst="rect">
                      <a:avLst/>
                    </a:prstGeom>
                    <a:noFill/>
                  </pic:spPr>
                </pic:pic>
              </a:graphicData>
            </a:graphic>
          </wp:inline>
        </w:drawing>
      </w:r>
    </w:p>
    <w:p w14:paraId="2648CA0D" w14:textId="7C187A14" w:rsidR="00F700F3" w:rsidRPr="00A53AD7" w:rsidRDefault="00F700F3" w:rsidP="00956A7F">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33</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Внутренний долг консолидированного бюджета МО «Няндомский муниципальный район» с 01.01.2015 по 01.01.2020, </w:t>
      </w:r>
      <w:r w:rsidR="00956A7F" w:rsidRPr="00A53AD7">
        <w:rPr>
          <w:rFonts w:ascii="Times New Roman" w:hAnsi="Times New Roman"/>
          <w:b w:val="0"/>
          <w:sz w:val="24"/>
          <w:szCs w:val="24"/>
        </w:rPr>
        <w:t>м</w:t>
      </w:r>
      <w:r w:rsidRPr="00A53AD7">
        <w:rPr>
          <w:rFonts w:ascii="Times New Roman" w:hAnsi="Times New Roman"/>
          <w:b w:val="0"/>
          <w:sz w:val="24"/>
          <w:szCs w:val="24"/>
        </w:rPr>
        <w:t>лн.руб.</w:t>
      </w:r>
    </w:p>
    <w:p w14:paraId="7AD77048" w14:textId="77777777" w:rsidR="00956A7F" w:rsidRPr="00A53AD7" w:rsidRDefault="00956A7F" w:rsidP="00956A7F">
      <w:pPr>
        <w:spacing w:after="0" w:line="240" w:lineRule="auto"/>
        <w:ind w:firstLine="851"/>
        <w:jc w:val="both"/>
        <w:rPr>
          <w:rFonts w:ascii="Times New Roman" w:hAnsi="Times New Roman"/>
          <w:sz w:val="28"/>
          <w:szCs w:val="28"/>
        </w:rPr>
      </w:pPr>
    </w:p>
    <w:p w14:paraId="23A02129" w14:textId="77777777" w:rsidR="00F700F3" w:rsidRPr="00A53AD7" w:rsidRDefault="00F700F3" w:rsidP="00956A7F">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последние 5 лет внутренний долг Няндомского района, с учетом поселений, вырос в 22,8 % или на 15,0 млн.руб. и его среднегодовой рост составил 3,0 млн.руб., в т.ч. за 2014 – 2016 годы его рост составлял от 21 % до 32 %, в 2017 году – рост на 15,7 %, а в 2018 году – снижение на 0,6 % и в 2019 году – снижение на 31,9 %.</w:t>
      </w:r>
    </w:p>
    <w:p w14:paraId="5124E04F" w14:textId="5D4E5C77" w:rsidR="00F700F3" w:rsidRPr="00A53AD7" w:rsidRDefault="00F700F3" w:rsidP="00422B0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 01.01.2015 по 01.01.2020 муниципальный долг МО «Северодвинск» сократился на 0,6 </w:t>
      </w:r>
      <w:r w:rsidR="00BC3CCB" w:rsidRPr="00A53AD7">
        <w:rPr>
          <w:rFonts w:ascii="Times New Roman" w:hAnsi="Times New Roman"/>
          <w:sz w:val="28"/>
          <w:szCs w:val="28"/>
        </w:rPr>
        <w:t>%</w:t>
      </w:r>
      <w:r w:rsidRPr="00A53AD7">
        <w:rPr>
          <w:rFonts w:ascii="Times New Roman" w:hAnsi="Times New Roman"/>
          <w:sz w:val="28"/>
          <w:szCs w:val="28"/>
        </w:rPr>
        <w:t xml:space="preserve"> или на 10,0 млн.руб., а его среднегодовое снижение составляет 2,0 млн.руб.</w:t>
      </w:r>
    </w:p>
    <w:p w14:paraId="0EBE1C4E" w14:textId="5795EA88" w:rsidR="00F700F3" w:rsidRPr="00A53AD7" w:rsidRDefault="00F700F3" w:rsidP="00422B0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E23937" w:rsidRPr="00A53AD7">
        <w:rPr>
          <w:rFonts w:ascii="Times New Roman" w:hAnsi="Times New Roman"/>
          <w:sz w:val="28"/>
          <w:szCs w:val="28"/>
        </w:rPr>
        <w:t>34</w:t>
      </w:r>
      <w:r w:rsidRPr="00A53AD7">
        <w:rPr>
          <w:rFonts w:ascii="Times New Roman" w:hAnsi="Times New Roman"/>
          <w:sz w:val="28"/>
          <w:szCs w:val="28"/>
        </w:rPr>
        <w:t xml:space="preserve"> представлены сведения о внутреннем долге МО «Северодвинск» за последние 5 лет.</w:t>
      </w:r>
    </w:p>
    <w:p w14:paraId="656A5C0F" w14:textId="77777777" w:rsidR="00F700F3" w:rsidRPr="00A53AD7" w:rsidRDefault="00F700F3" w:rsidP="00F700F3">
      <w:pPr>
        <w:keepNext/>
        <w:jc w:val="center"/>
      </w:pPr>
      <w:r w:rsidRPr="00A53AD7">
        <w:rPr>
          <w:noProof/>
          <w:lang w:eastAsia="ru-RU"/>
        </w:rPr>
        <w:drawing>
          <wp:inline distT="0" distB="0" distL="0" distR="0" wp14:anchorId="24047BA3" wp14:editId="5B07D622">
            <wp:extent cx="5377218" cy="179812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82813" cy="1800000"/>
                    </a:xfrm>
                    <a:prstGeom prst="rect">
                      <a:avLst/>
                    </a:prstGeom>
                    <a:noFill/>
                  </pic:spPr>
                </pic:pic>
              </a:graphicData>
            </a:graphic>
          </wp:inline>
        </w:drawing>
      </w:r>
    </w:p>
    <w:p w14:paraId="3C5A8E21" w14:textId="1B23E15B" w:rsidR="00F700F3" w:rsidRPr="00A53AD7" w:rsidRDefault="00F700F3" w:rsidP="00325CBF">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34</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Внутренний долг МО «Северодвинск» с 01.01.2015 по 01.01.2020, </w:t>
      </w:r>
      <w:r w:rsidR="00325CBF" w:rsidRPr="00A53AD7">
        <w:rPr>
          <w:rFonts w:ascii="Times New Roman" w:hAnsi="Times New Roman"/>
          <w:b w:val="0"/>
          <w:sz w:val="24"/>
          <w:szCs w:val="24"/>
        </w:rPr>
        <w:t>м</w:t>
      </w:r>
      <w:r w:rsidRPr="00A53AD7">
        <w:rPr>
          <w:rFonts w:ascii="Times New Roman" w:hAnsi="Times New Roman"/>
          <w:b w:val="0"/>
          <w:sz w:val="24"/>
          <w:szCs w:val="24"/>
        </w:rPr>
        <w:t>лн.руб.</w:t>
      </w:r>
    </w:p>
    <w:p w14:paraId="790B6A4B" w14:textId="77777777" w:rsidR="00F700F3" w:rsidRPr="00A53AD7" w:rsidRDefault="00F700F3" w:rsidP="00F700F3">
      <w:pPr>
        <w:rPr>
          <w:sz w:val="16"/>
          <w:szCs w:val="16"/>
          <w:highlight w:val="cyan"/>
        </w:rPr>
      </w:pPr>
    </w:p>
    <w:p w14:paraId="3959FAB7" w14:textId="1986B77B" w:rsidR="00BC3CCB" w:rsidRPr="00A53AD7" w:rsidRDefault="00BC3CCB" w:rsidP="00BC3CC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обозначено выше, в составе муниципального долга МО «Северодвинск» бюджетный кредит из федерального бюджета составляет 711,5 млн.руб. (44,2 % в сумме внутреннего долга) со сроком гашения с 2023 по 2032 годы.</w:t>
      </w:r>
    </w:p>
    <w:p w14:paraId="153E9E0D" w14:textId="7264DF4C" w:rsidR="00F700F3" w:rsidRPr="00A53AD7" w:rsidRDefault="00F700F3" w:rsidP="00483809">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 xml:space="preserve">На рисунке </w:t>
      </w:r>
      <w:r w:rsidR="00E23937" w:rsidRPr="00A53AD7">
        <w:rPr>
          <w:rFonts w:ascii="Times New Roman" w:hAnsi="Times New Roman"/>
          <w:sz w:val="28"/>
          <w:szCs w:val="28"/>
        </w:rPr>
        <w:t>35</w:t>
      </w:r>
      <w:r w:rsidRPr="00A53AD7">
        <w:rPr>
          <w:rFonts w:ascii="Times New Roman" w:hAnsi="Times New Roman"/>
          <w:sz w:val="28"/>
          <w:szCs w:val="28"/>
        </w:rPr>
        <w:t xml:space="preserve"> представлены сведения о внутреннем долге МО «Город Архангельск» за последние 5 лет.</w:t>
      </w:r>
    </w:p>
    <w:p w14:paraId="66C0F35C" w14:textId="77777777" w:rsidR="00F700F3" w:rsidRPr="00A53AD7" w:rsidRDefault="00F700F3" w:rsidP="00F700F3">
      <w:pPr>
        <w:keepNext/>
        <w:jc w:val="center"/>
      </w:pPr>
      <w:r w:rsidRPr="00A53AD7">
        <w:rPr>
          <w:noProof/>
          <w:lang w:eastAsia="ru-RU"/>
        </w:rPr>
        <w:drawing>
          <wp:inline distT="0" distB="0" distL="0" distR="0" wp14:anchorId="56AEBFD9" wp14:editId="076A8504">
            <wp:extent cx="5669242" cy="1926771"/>
            <wp:effectExtent l="0" t="0" r="825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4825" cy="1932067"/>
                    </a:xfrm>
                    <a:prstGeom prst="rect">
                      <a:avLst/>
                    </a:prstGeom>
                    <a:noFill/>
                  </pic:spPr>
                </pic:pic>
              </a:graphicData>
            </a:graphic>
          </wp:inline>
        </w:drawing>
      </w:r>
    </w:p>
    <w:p w14:paraId="13450EE7" w14:textId="78E1FD17" w:rsidR="00F700F3" w:rsidRPr="00A53AD7" w:rsidRDefault="00F700F3" w:rsidP="002A6CB0">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35</w:t>
      </w:r>
      <w:r w:rsidRPr="00A53AD7">
        <w:rPr>
          <w:rFonts w:ascii="Times New Roman" w:hAnsi="Times New Roman"/>
          <w:b w:val="0"/>
          <w:sz w:val="24"/>
          <w:szCs w:val="24"/>
        </w:rPr>
        <w:fldChar w:fldCharType="end"/>
      </w:r>
      <w:r w:rsidRPr="00A53AD7">
        <w:rPr>
          <w:rFonts w:ascii="Times New Roman" w:hAnsi="Times New Roman"/>
          <w:b w:val="0"/>
          <w:sz w:val="24"/>
          <w:szCs w:val="24"/>
        </w:rPr>
        <w:t>. Внутренний долг МО «Город Архангельск» с 01.01.2015 по 01.01.2020, млн.руб.</w:t>
      </w:r>
    </w:p>
    <w:p w14:paraId="5B597EC5" w14:textId="77777777" w:rsidR="00F700F3" w:rsidRPr="00A53AD7" w:rsidRDefault="00F700F3" w:rsidP="002A6CB0">
      <w:pPr>
        <w:spacing w:after="0" w:line="240" w:lineRule="auto"/>
        <w:ind w:firstLine="851"/>
        <w:jc w:val="both"/>
        <w:rPr>
          <w:rFonts w:ascii="Times New Roman" w:hAnsi="Times New Roman"/>
          <w:sz w:val="28"/>
          <w:szCs w:val="28"/>
        </w:rPr>
      </w:pPr>
    </w:p>
    <w:p w14:paraId="13885A11" w14:textId="4B8F0FF6" w:rsidR="00F700F3" w:rsidRPr="00A53AD7" w:rsidRDefault="00F700F3" w:rsidP="002A6CB0">
      <w:pPr>
        <w:spacing w:after="0" w:line="240" w:lineRule="auto"/>
        <w:ind w:firstLine="851"/>
        <w:jc w:val="both"/>
        <w:rPr>
          <w:rFonts w:ascii="Times New Roman" w:hAnsi="Times New Roman"/>
          <w:sz w:val="28"/>
          <w:szCs w:val="28"/>
        </w:rPr>
      </w:pPr>
      <w:r w:rsidRPr="00A53AD7">
        <w:rPr>
          <w:rFonts w:ascii="Times New Roman" w:hAnsi="Times New Roman"/>
          <w:sz w:val="28"/>
          <w:szCs w:val="28"/>
        </w:rPr>
        <w:t>Муниципальный долг МО «Город Архангельск» за последние 5 лет вырос на 21,9 % или на 269,0 тыс.руб., среднегодовой рост составил 53,8 млн.руб.</w:t>
      </w:r>
      <w:r w:rsidR="00E645AC" w:rsidRPr="00A53AD7">
        <w:rPr>
          <w:rFonts w:ascii="Times New Roman" w:hAnsi="Times New Roman"/>
          <w:sz w:val="28"/>
          <w:szCs w:val="28"/>
        </w:rPr>
        <w:t xml:space="preserve"> </w:t>
      </w:r>
      <w:r w:rsidRPr="00A53AD7">
        <w:rPr>
          <w:rFonts w:ascii="Times New Roman" w:hAnsi="Times New Roman"/>
          <w:sz w:val="28"/>
          <w:szCs w:val="28"/>
        </w:rPr>
        <w:t>Однако, с 2017 года наблюдается тенденция к снижению внутреннего долга, в т.ч. за 2019 год – он сократился на 21,0 млн.руб. или на 1,45 %.</w:t>
      </w:r>
    </w:p>
    <w:p w14:paraId="28E8D452" w14:textId="07260DA2" w:rsidR="005C00DF" w:rsidRPr="00A53AD7" w:rsidRDefault="005C00DF" w:rsidP="005C00DF">
      <w:pPr>
        <w:spacing w:after="0" w:line="240" w:lineRule="auto"/>
        <w:jc w:val="center"/>
        <w:rPr>
          <w:rFonts w:ascii="Times New Roman" w:hAnsi="Times New Roman"/>
          <w:sz w:val="28"/>
          <w:szCs w:val="28"/>
        </w:rPr>
      </w:pPr>
      <w:r w:rsidRPr="00A53AD7">
        <w:rPr>
          <w:rFonts w:ascii="Times New Roman" w:hAnsi="Times New Roman"/>
          <w:sz w:val="28"/>
          <w:szCs w:val="28"/>
        </w:rPr>
        <w:t>* * *</w:t>
      </w:r>
    </w:p>
    <w:p w14:paraId="5811D648" w14:textId="56C5DC0C" w:rsidR="00F700F3" w:rsidRPr="00A53AD7" w:rsidRDefault="00F700F3" w:rsidP="005C00D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по дебиторской и кредиторской задолженности по ф. 0503369 дебиторская задолженность консолидированного бюджета Архангельской области с учетом казенных учреждений (без учета задолженности бюджетных и автономных учреждений и бюджета ТФОМС) на 01.01.2020 составила в общей сумме 96 743,2 млн.руб. и за 2019 год она увеличилась на 70 661,8 млн.руб. или на 3,7 раза (см. приложение № </w:t>
      </w:r>
      <w:r w:rsidR="00EF1154" w:rsidRPr="00A53AD7">
        <w:rPr>
          <w:rFonts w:ascii="Times New Roman" w:hAnsi="Times New Roman"/>
          <w:sz w:val="28"/>
          <w:szCs w:val="28"/>
        </w:rPr>
        <w:t>6 к настоящему заключению</w:t>
      </w:r>
      <w:r w:rsidRPr="00A53AD7">
        <w:rPr>
          <w:rFonts w:ascii="Times New Roman" w:hAnsi="Times New Roman"/>
          <w:sz w:val="28"/>
          <w:szCs w:val="28"/>
        </w:rPr>
        <w:t>).</w:t>
      </w:r>
    </w:p>
    <w:p w14:paraId="3F566465" w14:textId="77777777" w:rsidR="00F700F3" w:rsidRPr="00A53AD7" w:rsidRDefault="00F700F3" w:rsidP="00BA5D9E">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обозначенной выше суммы дебиторская задолженность в местных бюджетах на 01.01.2020 составила 5 986,7 млн.руб., и она увеличилась на 1 228,4 млн.руб. или на 25,8 %.</w:t>
      </w:r>
    </w:p>
    <w:p w14:paraId="7056412B" w14:textId="77777777" w:rsidR="00F700F3" w:rsidRPr="00A53AD7" w:rsidRDefault="00F700F3" w:rsidP="00BA5D9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областном бюджете дебиторская задолженность на 01.01.2020 составила 90 756,5 млн.руб., которая увеличилась на 69 433,4 млн.руб. или в 4,3 раза.</w:t>
      </w:r>
    </w:p>
    <w:p w14:paraId="380EFD97" w14:textId="77777777" w:rsidR="00F700F3" w:rsidRPr="00A53AD7" w:rsidRDefault="00F700F3" w:rsidP="00BA5D9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01.10.2020 наибольший удельный вес (без учета счета 205.51) составляет дебиторская задолженность по счету 205.23 «Расчеты по доходам от платежей при пользовании природными ресурсами» в сумме 24 504,4 млн.руб. и ее удельный вес в общей сумме дебиторской задолженности составляет 25,3 %, в т.ч.:</w:t>
      </w:r>
    </w:p>
    <w:p w14:paraId="32236425" w14:textId="3441798F" w:rsidR="00F700F3" w:rsidRPr="00A53AD7" w:rsidRDefault="00F700F3" w:rsidP="00135937">
      <w:pPr>
        <w:pStyle w:val="a0"/>
        <w:rPr>
          <w:lang w:eastAsia="ru-RU"/>
        </w:rPr>
      </w:pPr>
      <w:r w:rsidRPr="00A53AD7">
        <w:rPr>
          <w:lang w:eastAsia="ru-RU"/>
        </w:rPr>
        <w:t xml:space="preserve">в областной бюджет – 22 832,1 млн.руб., которая увеличилась на 5 522,1 млн.руб. или на 31,9 %. Из указанной суммы 22 805,9 млн.руб. (увеличилась на 5 529,5 млн.руб.) – задолженность по плате за использование лесов, расположенных на землях лесного фонда, в части, превышающей минимальный размер арендной платы, в которую включена задолженность по договорам аренды лесных участков в сумме за оставшийся срок действия договоров аренды (до 49 лет) в соответствии с федеральным стандартом </w:t>
      </w:r>
      <w:r w:rsidRPr="00A53AD7">
        <w:rPr>
          <w:lang w:eastAsia="ru-RU"/>
        </w:rPr>
        <w:lastRenderedPageBreak/>
        <w:t xml:space="preserve">бухгалтерского учета для организаций государственного сектора «Аренда». Из обозначенной выше суммы просроченная задолженность за неполное внесение арендных платежей арендаторами лесных участков на 01.10.2020 составляет 42,2 млн.руб., которая за 2019 год сократилась на 65,6 млн.руб. или на 60,9 %. В таблице </w:t>
      </w:r>
      <w:r w:rsidR="00E23937" w:rsidRPr="00A53AD7">
        <w:rPr>
          <w:lang w:eastAsia="ru-RU"/>
        </w:rPr>
        <w:t>18</w:t>
      </w:r>
      <w:r w:rsidRPr="00A53AD7">
        <w:rPr>
          <w:lang w:eastAsia="ru-RU"/>
        </w:rPr>
        <w:t xml:space="preserve"> представлена информация о просроченной дебиторской задолженности по счету 205.23 в областной бюджет.</w:t>
      </w:r>
    </w:p>
    <w:p w14:paraId="60340F02" w14:textId="77777777" w:rsidR="00D17AAA" w:rsidRPr="00A53AD7" w:rsidRDefault="00D17AAA" w:rsidP="00D17AAA">
      <w:pPr>
        <w:pStyle w:val="aff0"/>
        <w:spacing w:after="0" w:line="240" w:lineRule="auto"/>
        <w:rPr>
          <w:rFonts w:ascii="Times New Roman" w:hAnsi="Times New Roman"/>
          <w:b w:val="0"/>
          <w:sz w:val="24"/>
          <w:szCs w:val="24"/>
        </w:rPr>
      </w:pPr>
    </w:p>
    <w:p w14:paraId="45ACB8FA" w14:textId="0C3DD8D1" w:rsidR="00F700F3" w:rsidRPr="00A53AD7" w:rsidRDefault="00F700F3" w:rsidP="00D17AA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18</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дебиторская задолженность в областной бюджет по счету 205.23 «Расчеты по доходам от платежей при пользовании природными ресурсами», млн.руб.</w:t>
      </w:r>
    </w:p>
    <w:tbl>
      <w:tblPr>
        <w:tblW w:w="9231" w:type="dxa"/>
        <w:tblInd w:w="85" w:type="dxa"/>
        <w:tblLook w:val="04A0" w:firstRow="1" w:lastRow="0" w:firstColumn="1" w:lastColumn="0" w:noHBand="0" w:noVBand="1"/>
      </w:tblPr>
      <w:tblGrid>
        <w:gridCol w:w="5988"/>
        <w:gridCol w:w="1206"/>
        <w:gridCol w:w="1206"/>
        <w:gridCol w:w="831"/>
      </w:tblGrid>
      <w:tr w:rsidR="00A53AD7" w:rsidRPr="00A53AD7" w14:paraId="7FF9569E" w14:textId="77777777" w:rsidTr="00A354EE">
        <w:trPr>
          <w:trHeight w:val="18"/>
          <w:tblHeader/>
        </w:trPr>
        <w:tc>
          <w:tcPr>
            <w:tcW w:w="598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E411F4C" w14:textId="77777777" w:rsidR="00F700F3" w:rsidRPr="00A53AD7" w:rsidRDefault="00F700F3" w:rsidP="00A354EE">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735A5D3B" w14:textId="06ABB306" w:rsidR="00F700F3" w:rsidRPr="00A53AD7" w:rsidRDefault="00F700F3" w:rsidP="00A354EE">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 01.01.</w:t>
            </w:r>
            <w:r w:rsidR="00A354EE" w:rsidRPr="00A53AD7">
              <w:rPr>
                <w:rFonts w:ascii="Times New Roman" w:eastAsia="Times New Roman" w:hAnsi="Times New Roman"/>
                <w:bCs/>
                <w:lang w:eastAsia="ru-RU"/>
              </w:rPr>
              <w:t>20</w:t>
            </w:r>
            <w:r w:rsidRPr="00A53AD7">
              <w:rPr>
                <w:rFonts w:ascii="Times New Roman" w:eastAsia="Times New Roman" w:hAnsi="Times New Roman"/>
                <w:bCs/>
                <w:lang w:eastAsia="ru-RU"/>
              </w:rPr>
              <w:t>19</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6CB78A3B" w14:textId="03FFACA6" w:rsidR="00F700F3" w:rsidRPr="00A53AD7" w:rsidRDefault="00F700F3" w:rsidP="00A354EE">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 01.01.</w:t>
            </w:r>
            <w:r w:rsidR="00A354EE" w:rsidRPr="00A53AD7">
              <w:rPr>
                <w:rFonts w:ascii="Times New Roman" w:eastAsia="Times New Roman" w:hAnsi="Times New Roman"/>
                <w:bCs/>
                <w:lang w:eastAsia="ru-RU"/>
              </w:rPr>
              <w:t>20</w:t>
            </w:r>
            <w:r w:rsidRPr="00A53AD7">
              <w:rPr>
                <w:rFonts w:ascii="Times New Roman" w:eastAsia="Times New Roman" w:hAnsi="Times New Roman"/>
                <w:bCs/>
                <w:lang w:eastAsia="ru-RU"/>
              </w:rPr>
              <w:t>20</w:t>
            </w:r>
          </w:p>
        </w:tc>
        <w:tc>
          <w:tcPr>
            <w:tcW w:w="831" w:type="dxa"/>
            <w:tcBorders>
              <w:top w:val="double" w:sz="6" w:space="0" w:color="auto"/>
              <w:left w:val="nil"/>
              <w:bottom w:val="single" w:sz="4" w:space="0" w:color="auto"/>
              <w:right w:val="double" w:sz="6" w:space="0" w:color="auto"/>
            </w:tcBorders>
            <w:shd w:val="clear" w:color="auto" w:fill="auto"/>
            <w:vAlign w:val="center"/>
            <w:hideMark/>
          </w:tcPr>
          <w:p w14:paraId="583EE58E" w14:textId="77777777" w:rsidR="00F700F3" w:rsidRPr="00A53AD7" w:rsidRDefault="00F700F3" w:rsidP="00A354EE">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w:t>
            </w:r>
          </w:p>
        </w:tc>
      </w:tr>
      <w:tr w:rsidR="00A53AD7" w:rsidRPr="00A53AD7" w14:paraId="7FC29314" w14:textId="77777777" w:rsidTr="00A354EE">
        <w:trPr>
          <w:trHeight w:val="53"/>
        </w:trPr>
        <w:tc>
          <w:tcPr>
            <w:tcW w:w="5988" w:type="dxa"/>
            <w:tcBorders>
              <w:top w:val="nil"/>
              <w:left w:val="double" w:sz="6" w:space="0" w:color="auto"/>
              <w:bottom w:val="single" w:sz="4" w:space="0" w:color="auto"/>
              <w:right w:val="single" w:sz="4" w:space="0" w:color="auto"/>
            </w:tcBorders>
            <w:shd w:val="clear" w:color="auto" w:fill="auto"/>
            <w:vAlign w:val="center"/>
            <w:hideMark/>
          </w:tcPr>
          <w:p w14:paraId="1B7CEA08" w14:textId="77777777" w:rsidR="00F700F3" w:rsidRPr="00A53AD7" w:rsidRDefault="00F700F3" w:rsidP="00A354EE">
            <w:pPr>
              <w:spacing w:after="0" w:line="240" w:lineRule="auto"/>
              <w:rPr>
                <w:rFonts w:ascii="Times New Roman" w:eastAsia="Times New Roman" w:hAnsi="Times New Roman"/>
                <w:bCs/>
                <w:lang w:eastAsia="ru-RU"/>
              </w:rPr>
            </w:pPr>
            <w:r w:rsidRPr="00A53AD7">
              <w:rPr>
                <w:rFonts w:ascii="Times New Roman" w:eastAsia="Times New Roman" w:hAnsi="Times New Roman"/>
                <w:bCs/>
                <w:lang w:eastAsia="ru-RU"/>
              </w:rPr>
              <w:t>Всего просроченная по счету 205.23, из нее:</w:t>
            </w:r>
          </w:p>
        </w:tc>
        <w:tc>
          <w:tcPr>
            <w:tcW w:w="1206" w:type="dxa"/>
            <w:tcBorders>
              <w:top w:val="nil"/>
              <w:left w:val="nil"/>
              <w:bottom w:val="single" w:sz="4" w:space="0" w:color="auto"/>
              <w:right w:val="single" w:sz="4" w:space="0" w:color="auto"/>
            </w:tcBorders>
            <w:shd w:val="clear" w:color="auto" w:fill="auto"/>
            <w:vAlign w:val="center"/>
            <w:hideMark/>
          </w:tcPr>
          <w:p w14:paraId="222AE77C" w14:textId="77777777" w:rsidR="00F700F3" w:rsidRPr="00A53AD7" w:rsidRDefault="00F700F3" w:rsidP="00A354EE">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110,9 </w:t>
            </w:r>
          </w:p>
        </w:tc>
        <w:tc>
          <w:tcPr>
            <w:tcW w:w="1206" w:type="dxa"/>
            <w:tcBorders>
              <w:top w:val="nil"/>
              <w:left w:val="nil"/>
              <w:bottom w:val="single" w:sz="4" w:space="0" w:color="auto"/>
              <w:right w:val="single" w:sz="4" w:space="0" w:color="auto"/>
            </w:tcBorders>
            <w:shd w:val="clear" w:color="auto" w:fill="auto"/>
            <w:vAlign w:val="center"/>
            <w:hideMark/>
          </w:tcPr>
          <w:p w14:paraId="62FF4AD3" w14:textId="77777777" w:rsidR="00F700F3" w:rsidRPr="00A53AD7" w:rsidRDefault="00F700F3" w:rsidP="00A354EE">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45,2 </w:t>
            </w:r>
          </w:p>
        </w:tc>
        <w:tc>
          <w:tcPr>
            <w:tcW w:w="831" w:type="dxa"/>
            <w:tcBorders>
              <w:top w:val="nil"/>
              <w:left w:val="nil"/>
              <w:bottom w:val="single" w:sz="4" w:space="0" w:color="auto"/>
              <w:right w:val="double" w:sz="6" w:space="0" w:color="auto"/>
            </w:tcBorders>
            <w:shd w:val="clear" w:color="auto" w:fill="auto"/>
            <w:vAlign w:val="center"/>
            <w:hideMark/>
          </w:tcPr>
          <w:p w14:paraId="76E66521" w14:textId="77777777" w:rsidR="00F700F3" w:rsidRPr="00A53AD7" w:rsidRDefault="00F700F3" w:rsidP="00A354EE">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-65,7 </w:t>
            </w:r>
          </w:p>
        </w:tc>
      </w:tr>
      <w:tr w:rsidR="00A53AD7" w:rsidRPr="00A53AD7" w14:paraId="2622E481" w14:textId="77777777" w:rsidTr="00A354EE">
        <w:trPr>
          <w:trHeight w:val="53"/>
        </w:trPr>
        <w:tc>
          <w:tcPr>
            <w:tcW w:w="5988" w:type="dxa"/>
            <w:tcBorders>
              <w:top w:val="nil"/>
              <w:left w:val="double" w:sz="6" w:space="0" w:color="auto"/>
              <w:bottom w:val="single" w:sz="4" w:space="0" w:color="auto"/>
              <w:right w:val="single" w:sz="4" w:space="0" w:color="auto"/>
            </w:tcBorders>
            <w:shd w:val="clear" w:color="auto" w:fill="auto"/>
            <w:vAlign w:val="center"/>
            <w:hideMark/>
          </w:tcPr>
          <w:p w14:paraId="66915C47" w14:textId="77777777" w:rsidR="00F700F3" w:rsidRPr="00A53AD7" w:rsidRDefault="00F700F3" w:rsidP="00A354E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РФ)</w:t>
            </w:r>
          </w:p>
        </w:tc>
        <w:tc>
          <w:tcPr>
            <w:tcW w:w="1206" w:type="dxa"/>
            <w:tcBorders>
              <w:top w:val="nil"/>
              <w:left w:val="nil"/>
              <w:bottom w:val="single" w:sz="4" w:space="0" w:color="auto"/>
              <w:right w:val="single" w:sz="4" w:space="0" w:color="auto"/>
            </w:tcBorders>
            <w:shd w:val="clear" w:color="auto" w:fill="auto"/>
            <w:vAlign w:val="center"/>
            <w:hideMark/>
          </w:tcPr>
          <w:p w14:paraId="718DECED"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c>
          <w:tcPr>
            <w:tcW w:w="1206" w:type="dxa"/>
            <w:tcBorders>
              <w:top w:val="nil"/>
              <w:left w:val="nil"/>
              <w:bottom w:val="single" w:sz="4" w:space="0" w:color="auto"/>
              <w:right w:val="single" w:sz="4" w:space="0" w:color="auto"/>
            </w:tcBorders>
            <w:shd w:val="clear" w:color="auto" w:fill="auto"/>
            <w:vAlign w:val="center"/>
            <w:hideMark/>
          </w:tcPr>
          <w:p w14:paraId="6CC737D5"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 </w:t>
            </w:r>
          </w:p>
        </w:tc>
        <w:tc>
          <w:tcPr>
            <w:tcW w:w="831" w:type="dxa"/>
            <w:tcBorders>
              <w:top w:val="nil"/>
              <w:left w:val="nil"/>
              <w:bottom w:val="single" w:sz="4" w:space="0" w:color="auto"/>
              <w:right w:val="double" w:sz="6" w:space="0" w:color="auto"/>
            </w:tcBorders>
            <w:shd w:val="clear" w:color="auto" w:fill="auto"/>
            <w:vAlign w:val="center"/>
            <w:hideMark/>
          </w:tcPr>
          <w:p w14:paraId="31B5CA69"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w:t>
            </w:r>
          </w:p>
        </w:tc>
      </w:tr>
      <w:tr w:rsidR="00A53AD7" w:rsidRPr="00A53AD7" w14:paraId="5B44A5A0" w14:textId="77777777" w:rsidTr="00A354EE">
        <w:trPr>
          <w:trHeight w:val="53"/>
        </w:trPr>
        <w:tc>
          <w:tcPr>
            <w:tcW w:w="5988" w:type="dxa"/>
            <w:tcBorders>
              <w:top w:val="nil"/>
              <w:left w:val="double" w:sz="6" w:space="0" w:color="auto"/>
              <w:bottom w:val="single" w:sz="4" w:space="0" w:color="auto"/>
              <w:right w:val="single" w:sz="4" w:space="0" w:color="auto"/>
            </w:tcBorders>
            <w:shd w:val="clear" w:color="auto" w:fill="auto"/>
            <w:vAlign w:val="center"/>
            <w:hideMark/>
          </w:tcPr>
          <w:p w14:paraId="23A4F1D8" w14:textId="77777777" w:rsidR="00F700F3" w:rsidRPr="00A53AD7" w:rsidRDefault="00F700F3" w:rsidP="00A354E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w:t>
            </w:r>
          </w:p>
        </w:tc>
        <w:tc>
          <w:tcPr>
            <w:tcW w:w="1206" w:type="dxa"/>
            <w:tcBorders>
              <w:top w:val="nil"/>
              <w:left w:val="nil"/>
              <w:bottom w:val="single" w:sz="4" w:space="0" w:color="auto"/>
              <w:right w:val="single" w:sz="4" w:space="0" w:color="auto"/>
            </w:tcBorders>
            <w:shd w:val="clear" w:color="auto" w:fill="auto"/>
            <w:vAlign w:val="center"/>
            <w:hideMark/>
          </w:tcPr>
          <w:p w14:paraId="09DEC22A"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w:t>
            </w:r>
          </w:p>
        </w:tc>
        <w:tc>
          <w:tcPr>
            <w:tcW w:w="1206" w:type="dxa"/>
            <w:tcBorders>
              <w:top w:val="nil"/>
              <w:left w:val="nil"/>
              <w:bottom w:val="single" w:sz="4" w:space="0" w:color="auto"/>
              <w:right w:val="single" w:sz="4" w:space="0" w:color="auto"/>
            </w:tcBorders>
            <w:shd w:val="clear" w:color="auto" w:fill="auto"/>
            <w:vAlign w:val="center"/>
            <w:hideMark/>
          </w:tcPr>
          <w:p w14:paraId="41CB7ECE"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831" w:type="dxa"/>
            <w:tcBorders>
              <w:top w:val="nil"/>
              <w:left w:val="nil"/>
              <w:bottom w:val="single" w:sz="4" w:space="0" w:color="auto"/>
              <w:right w:val="double" w:sz="6" w:space="0" w:color="auto"/>
            </w:tcBorders>
            <w:shd w:val="clear" w:color="auto" w:fill="auto"/>
            <w:vAlign w:val="center"/>
            <w:hideMark/>
          </w:tcPr>
          <w:p w14:paraId="36CC6B7F"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w:t>
            </w:r>
          </w:p>
        </w:tc>
      </w:tr>
      <w:tr w:rsidR="00F700F3" w:rsidRPr="00A53AD7" w14:paraId="43D8CF99" w14:textId="77777777" w:rsidTr="00A354EE">
        <w:trPr>
          <w:trHeight w:val="53"/>
        </w:trPr>
        <w:tc>
          <w:tcPr>
            <w:tcW w:w="5988" w:type="dxa"/>
            <w:tcBorders>
              <w:top w:val="nil"/>
              <w:left w:val="double" w:sz="6" w:space="0" w:color="auto"/>
              <w:bottom w:val="double" w:sz="6" w:space="0" w:color="auto"/>
              <w:right w:val="single" w:sz="4" w:space="0" w:color="auto"/>
            </w:tcBorders>
            <w:shd w:val="clear" w:color="auto" w:fill="auto"/>
            <w:vAlign w:val="center"/>
            <w:hideMark/>
          </w:tcPr>
          <w:p w14:paraId="7392D7B1" w14:textId="77777777" w:rsidR="00F700F3" w:rsidRPr="00A53AD7" w:rsidRDefault="00F700F3" w:rsidP="00A354E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Плата за использование лесов, расположенных на землях лесного фонда, в части, превышающей минимальный размер арендной платы</w:t>
            </w:r>
          </w:p>
        </w:tc>
        <w:tc>
          <w:tcPr>
            <w:tcW w:w="1206" w:type="dxa"/>
            <w:tcBorders>
              <w:top w:val="nil"/>
              <w:left w:val="nil"/>
              <w:bottom w:val="double" w:sz="6" w:space="0" w:color="auto"/>
              <w:right w:val="single" w:sz="4" w:space="0" w:color="auto"/>
            </w:tcBorders>
            <w:shd w:val="clear" w:color="auto" w:fill="auto"/>
            <w:vAlign w:val="center"/>
            <w:hideMark/>
          </w:tcPr>
          <w:p w14:paraId="6369A912"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107,8 </w:t>
            </w:r>
          </w:p>
        </w:tc>
        <w:tc>
          <w:tcPr>
            <w:tcW w:w="1206" w:type="dxa"/>
            <w:tcBorders>
              <w:top w:val="nil"/>
              <w:left w:val="nil"/>
              <w:bottom w:val="double" w:sz="6" w:space="0" w:color="auto"/>
              <w:right w:val="single" w:sz="4" w:space="0" w:color="auto"/>
            </w:tcBorders>
            <w:shd w:val="clear" w:color="auto" w:fill="auto"/>
            <w:vAlign w:val="center"/>
            <w:hideMark/>
          </w:tcPr>
          <w:p w14:paraId="6787F679"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42,2 </w:t>
            </w:r>
          </w:p>
        </w:tc>
        <w:tc>
          <w:tcPr>
            <w:tcW w:w="831" w:type="dxa"/>
            <w:tcBorders>
              <w:top w:val="nil"/>
              <w:left w:val="nil"/>
              <w:bottom w:val="double" w:sz="6" w:space="0" w:color="auto"/>
              <w:right w:val="double" w:sz="6" w:space="0" w:color="auto"/>
            </w:tcBorders>
            <w:shd w:val="clear" w:color="auto" w:fill="auto"/>
            <w:vAlign w:val="center"/>
            <w:hideMark/>
          </w:tcPr>
          <w:p w14:paraId="66075F1D" w14:textId="77777777" w:rsidR="00F700F3" w:rsidRPr="00A53AD7" w:rsidRDefault="00F700F3" w:rsidP="00A354E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-65,6 </w:t>
            </w:r>
          </w:p>
        </w:tc>
      </w:tr>
    </w:tbl>
    <w:p w14:paraId="075948EB" w14:textId="77777777" w:rsidR="00A354EE" w:rsidRPr="00A53AD7" w:rsidRDefault="00A354EE" w:rsidP="00135937">
      <w:pPr>
        <w:pStyle w:val="a0"/>
        <w:numPr>
          <w:ilvl w:val="0"/>
          <w:numId w:val="0"/>
        </w:numPr>
        <w:ind w:left="720"/>
        <w:rPr>
          <w:lang w:eastAsia="ru-RU"/>
        </w:rPr>
      </w:pPr>
    </w:p>
    <w:p w14:paraId="0FC79AFC" w14:textId="77777777" w:rsidR="00F700F3" w:rsidRPr="00A53AD7" w:rsidRDefault="00F700F3" w:rsidP="00135937">
      <w:pPr>
        <w:pStyle w:val="a0"/>
        <w:rPr>
          <w:lang w:eastAsia="ru-RU"/>
        </w:rPr>
      </w:pPr>
      <w:r w:rsidRPr="00A53AD7">
        <w:rPr>
          <w:lang w:eastAsia="ru-RU"/>
        </w:rPr>
        <w:t>в местные бюджеты – 1 672,2 млн.руб., которая увеличилась на 15,4 млн.руб. или на 0,9 %, из них наибольшая в МО «Город Архангельск» - 987,1 млн.руб. (увеличилась на 202,5 млн.руб. или на 25,8 %) и в МО «Котлас» - 361,2 млн.руб. (уменьшилась на 108,5 млн.руб.). Муниципальными образованиями по данному счету в том числе отражены расчеты по арендной плате за земельные участки, собственность на которые не разграничена. Просроченная дебиторская задолженность на 01.01.2020 по указанному счету в местных бюджетах составляет 295,0 млн.руб., которая сократилась на 157,6 млн.руб. или на 34,8 %, из нее наибольшая в МО «Город Архангельск» - 176,8 млн.руб. (сократилась на 131,9 млн.руб.).</w:t>
      </w:r>
    </w:p>
    <w:p w14:paraId="77916D84" w14:textId="77777777" w:rsidR="00F700F3" w:rsidRPr="00A53AD7" w:rsidRDefault="00F700F3" w:rsidP="00DD2D9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счету 205.11 «Расчеты с плательщиками налоговых доходов» дебиторская задолженность на 01.10.2020 в консолидированный бюджет составляет 1 988,9 млн.руб. и за 2019 год она уменьшилась на 206,0 млн.руб. или на 9,4 %, из нее в областной бюджет – 1 511,9 млн.руб. (уменьшилась на 329,5 млн.руб. или на 17,9 %), в местные бюджеты – 477,0 млн.руб. (увеличилась на 123,5 млн.руб. или на 34,9 %).</w:t>
      </w:r>
    </w:p>
    <w:p w14:paraId="21235518" w14:textId="77777777" w:rsidR="00F700F3" w:rsidRPr="00A53AD7" w:rsidRDefault="00F700F3" w:rsidP="00C9070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обозначенных выше сумм просроченная дебиторская задолженность по счету 205.11 на конец отчетного периода составляет 1 987,4 млн.руб. (сократилась на 206,3 млн.руб. или на 9,4 %), в т.ч.:</w:t>
      </w:r>
    </w:p>
    <w:p w14:paraId="6384422C" w14:textId="797F5DED" w:rsidR="00F700F3" w:rsidRPr="00A53AD7" w:rsidRDefault="00F700F3" w:rsidP="00135937">
      <w:pPr>
        <w:pStyle w:val="a0"/>
        <w:rPr>
          <w:lang w:eastAsia="ru-RU"/>
        </w:rPr>
      </w:pPr>
      <w:r w:rsidRPr="00A53AD7">
        <w:rPr>
          <w:lang w:eastAsia="ru-RU"/>
        </w:rPr>
        <w:t xml:space="preserve">в областной бюджет – 1 511,9 млн.руб. (сократилась на 329,5 млн.руб.) или 100,0 % в общей сумме дебиторской задолженности. В таблице </w:t>
      </w:r>
      <w:r w:rsidR="00E23937" w:rsidRPr="00A53AD7">
        <w:rPr>
          <w:lang w:eastAsia="ru-RU"/>
        </w:rPr>
        <w:lastRenderedPageBreak/>
        <w:t>19</w:t>
      </w:r>
      <w:r w:rsidRPr="00A53AD7">
        <w:rPr>
          <w:lang w:eastAsia="ru-RU"/>
        </w:rPr>
        <w:t xml:space="preserve"> представлена информация о наибольши</w:t>
      </w:r>
      <w:r w:rsidR="00817EF5" w:rsidRPr="00A53AD7">
        <w:rPr>
          <w:lang w:eastAsia="ru-RU"/>
        </w:rPr>
        <w:t>х</w:t>
      </w:r>
      <w:r w:rsidRPr="00A53AD7">
        <w:rPr>
          <w:lang w:eastAsia="ru-RU"/>
        </w:rPr>
        <w:t xml:space="preserve"> суммах просроченной дебиторской задолженности в областной бюджет.</w:t>
      </w:r>
    </w:p>
    <w:p w14:paraId="5959C2B6" w14:textId="77777777" w:rsidR="00817EF5" w:rsidRPr="00A53AD7" w:rsidRDefault="00817EF5" w:rsidP="00817EF5">
      <w:pPr>
        <w:pStyle w:val="aff0"/>
        <w:spacing w:after="0" w:line="240" w:lineRule="auto"/>
        <w:rPr>
          <w:rFonts w:ascii="Times New Roman" w:hAnsi="Times New Roman"/>
          <w:b w:val="0"/>
          <w:sz w:val="24"/>
          <w:szCs w:val="24"/>
        </w:rPr>
      </w:pPr>
    </w:p>
    <w:p w14:paraId="5D4BC484" w14:textId="1A119B26" w:rsidR="00F700F3" w:rsidRPr="00A53AD7" w:rsidRDefault="00F700F3" w:rsidP="00817EF5">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19</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дебиторская задолженность в областной бюджет по счету 205.11 «Расчеты с плательщиками налоговых доходов», млн.руб.</w:t>
      </w:r>
    </w:p>
    <w:tbl>
      <w:tblPr>
        <w:tblW w:w="9193" w:type="dxa"/>
        <w:tblInd w:w="85" w:type="dxa"/>
        <w:tblLook w:val="04A0" w:firstRow="1" w:lastRow="0" w:firstColumn="1" w:lastColumn="0" w:noHBand="0" w:noVBand="1"/>
      </w:tblPr>
      <w:tblGrid>
        <w:gridCol w:w="5846"/>
        <w:gridCol w:w="1206"/>
        <w:gridCol w:w="1206"/>
        <w:gridCol w:w="935"/>
      </w:tblGrid>
      <w:tr w:rsidR="00A53AD7" w:rsidRPr="00A53AD7" w14:paraId="01DF72FB" w14:textId="77777777" w:rsidTr="00826DF8">
        <w:trPr>
          <w:trHeight w:val="18"/>
          <w:tblHeader/>
        </w:trPr>
        <w:tc>
          <w:tcPr>
            <w:tcW w:w="584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EBEE65A" w14:textId="77777777" w:rsidR="00F700F3" w:rsidRPr="00A53AD7" w:rsidRDefault="00F700F3" w:rsidP="00817EF5">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3C97E1D6" w14:textId="7330CB55" w:rsidR="00F700F3" w:rsidRPr="00A53AD7" w:rsidRDefault="00F700F3" w:rsidP="00817EF5">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 01.01.</w:t>
            </w:r>
            <w:r w:rsidR="00826DF8" w:rsidRPr="00A53AD7">
              <w:rPr>
                <w:rFonts w:ascii="Times New Roman" w:eastAsia="Times New Roman" w:hAnsi="Times New Roman"/>
                <w:bCs/>
                <w:lang w:eastAsia="ru-RU"/>
              </w:rPr>
              <w:t>20</w:t>
            </w:r>
            <w:r w:rsidRPr="00A53AD7">
              <w:rPr>
                <w:rFonts w:ascii="Times New Roman" w:eastAsia="Times New Roman" w:hAnsi="Times New Roman"/>
                <w:bCs/>
                <w:lang w:eastAsia="ru-RU"/>
              </w:rPr>
              <w:t>19</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29BFB219" w14:textId="31F55F63" w:rsidR="00F700F3" w:rsidRPr="00A53AD7" w:rsidRDefault="00F700F3" w:rsidP="00817EF5">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На 01.01.</w:t>
            </w:r>
            <w:r w:rsidR="00826DF8" w:rsidRPr="00A53AD7">
              <w:rPr>
                <w:rFonts w:ascii="Times New Roman" w:eastAsia="Times New Roman" w:hAnsi="Times New Roman"/>
                <w:bCs/>
                <w:lang w:eastAsia="ru-RU"/>
              </w:rPr>
              <w:t>20</w:t>
            </w:r>
            <w:r w:rsidRPr="00A53AD7">
              <w:rPr>
                <w:rFonts w:ascii="Times New Roman" w:eastAsia="Times New Roman" w:hAnsi="Times New Roman"/>
                <w:bCs/>
                <w:lang w:eastAsia="ru-RU"/>
              </w:rPr>
              <w:t>20</w:t>
            </w:r>
          </w:p>
        </w:tc>
        <w:tc>
          <w:tcPr>
            <w:tcW w:w="935" w:type="dxa"/>
            <w:tcBorders>
              <w:top w:val="double" w:sz="6" w:space="0" w:color="auto"/>
              <w:left w:val="nil"/>
              <w:bottom w:val="single" w:sz="4" w:space="0" w:color="auto"/>
              <w:right w:val="double" w:sz="6" w:space="0" w:color="auto"/>
            </w:tcBorders>
            <w:shd w:val="clear" w:color="auto" w:fill="auto"/>
            <w:vAlign w:val="center"/>
            <w:hideMark/>
          </w:tcPr>
          <w:p w14:paraId="3A203D61" w14:textId="77777777" w:rsidR="00F700F3" w:rsidRPr="00A53AD7" w:rsidRDefault="00F700F3" w:rsidP="00817EF5">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w:t>
            </w:r>
          </w:p>
        </w:tc>
      </w:tr>
      <w:tr w:rsidR="00A53AD7" w:rsidRPr="00A53AD7" w14:paraId="7CB00C0E" w14:textId="77777777" w:rsidTr="00826DF8">
        <w:trPr>
          <w:trHeight w:val="53"/>
        </w:trPr>
        <w:tc>
          <w:tcPr>
            <w:tcW w:w="5846" w:type="dxa"/>
            <w:tcBorders>
              <w:top w:val="nil"/>
              <w:left w:val="double" w:sz="6" w:space="0" w:color="auto"/>
              <w:bottom w:val="single" w:sz="4" w:space="0" w:color="auto"/>
              <w:right w:val="single" w:sz="4" w:space="0" w:color="auto"/>
            </w:tcBorders>
            <w:shd w:val="clear" w:color="auto" w:fill="auto"/>
            <w:vAlign w:val="center"/>
            <w:hideMark/>
          </w:tcPr>
          <w:p w14:paraId="744AB842" w14:textId="77777777" w:rsidR="00F700F3" w:rsidRPr="00A53AD7" w:rsidRDefault="00F700F3" w:rsidP="00817EF5">
            <w:pPr>
              <w:spacing w:after="0" w:line="240" w:lineRule="auto"/>
              <w:rPr>
                <w:rFonts w:ascii="Times New Roman" w:eastAsia="Times New Roman" w:hAnsi="Times New Roman"/>
                <w:bCs/>
                <w:lang w:eastAsia="ru-RU"/>
              </w:rPr>
            </w:pPr>
            <w:r w:rsidRPr="00A53AD7">
              <w:rPr>
                <w:rFonts w:ascii="Times New Roman" w:eastAsia="Times New Roman" w:hAnsi="Times New Roman"/>
                <w:bCs/>
                <w:lang w:eastAsia="ru-RU"/>
              </w:rPr>
              <w:t>Всего просроченная по счету 205.11, из нее:</w:t>
            </w:r>
          </w:p>
        </w:tc>
        <w:tc>
          <w:tcPr>
            <w:tcW w:w="1206" w:type="dxa"/>
            <w:tcBorders>
              <w:top w:val="nil"/>
              <w:left w:val="nil"/>
              <w:bottom w:val="single" w:sz="4" w:space="0" w:color="auto"/>
              <w:right w:val="single" w:sz="4" w:space="0" w:color="auto"/>
            </w:tcBorders>
            <w:shd w:val="clear" w:color="auto" w:fill="auto"/>
            <w:vAlign w:val="center"/>
            <w:hideMark/>
          </w:tcPr>
          <w:p w14:paraId="718BBB34" w14:textId="77777777" w:rsidR="00F700F3" w:rsidRPr="00A53AD7" w:rsidRDefault="00F700F3" w:rsidP="00817EF5">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1 841,4 </w:t>
            </w:r>
          </w:p>
        </w:tc>
        <w:tc>
          <w:tcPr>
            <w:tcW w:w="1206" w:type="dxa"/>
            <w:tcBorders>
              <w:top w:val="nil"/>
              <w:left w:val="nil"/>
              <w:bottom w:val="single" w:sz="4" w:space="0" w:color="auto"/>
              <w:right w:val="single" w:sz="4" w:space="0" w:color="auto"/>
            </w:tcBorders>
            <w:shd w:val="clear" w:color="auto" w:fill="auto"/>
            <w:vAlign w:val="center"/>
            <w:hideMark/>
          </w:tcPr>
          <w:p w14:paraId="1899BB25" w14:textId="77777777" w:rsidR="00F700F3" w:rsidRPr="00A53AD7" w:rsidRDefault="00F700F3" w:rsidP="00817EF5">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1 511,9 </w:t>
            </w:r>
          </w:p>
        </w:tc>
        <w:tc>
          <w:tcPr>
            <w:tcW w:w="935" w:type="dxa"/>
            <w:tcBorders>
              <w:top w:val="nil"/>
              <w:left w:val="nil"/>
              <w:bottom w:val="single" w:sz="4" w:space="0" w:color="auto"/>
              <w:right w:val="double" w:sz="6" w:space="0" w:color="auto"/>
            </w:tcBorders>
            <w:shd w:val="clear" w:color="auto" w:fill="auto"/>
            <w:vAlign w:val="center"/>
            <w:hideMark/>
          </w:tcPr>
          <w:p w14:paraId="5CAD3AA7" w14:textId="77777777" w:rsidR="00F700F3" w:rsidRPr="00A53AD7" w:rsidRDefault="00F700F3" w:rsidP="00817EF5">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 xml:space="preserve">-329,5 </w:t>
            </w:r>
          </w:p>
        </w:tc>
      </w:tr>
      <w:tr w:rsidR="00A53AD7" w:rsidRPr="00A53AD7" w14:paraId="4C3C1E65" w14:textId="77777777" w:rsidTr="00826DF8">
        <w:trPr>
          <w:trHeight w:val="53"/>
        </w:trPr>
        <w:tc>
          <w:tcPr>
            <w:tcW w:w="5846" w:type="dxa"/>
            <w:tcBorders>
              <w:top w:val="nil"/>
              <w:left w:val="double" w:sz="6" w:space="0" w:color="auto"/>
              <w:bottom w:val="single" w:sz="4" w:space="0" w:color="auto"/>
              <w:right w:val="single" w:sz="4" w:space="0" w:color="auto"/>
            </w:tcBorders>
            <w:shd w:val="clear" w:color="auto" w:fill="auto"/>
            <w:vAlign w:val="center"/>
            <w:hideMark/>
          </w:tcPr>
          <w:p w14:paraId="08CB6ACD" w14:textId="77777777" w:rsidR="00F700F3" w:rsidRPr="00A53AD7" w:rsidRDefault="00F700F3" w:rsidP="00817EF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 на прибыль организаций (за исключением консолидированных групп налогоплательщиков), зачисляемый в бюджеты РФ</w:t>
            </w:r>
          </w:p>
        </w:tc>
        <w:tc>
          <w:tcPr>
            <w:tcW w:w="1206" w:type="dxa"/>
            <w:tcBorders>
              <w:top w:val="nil"/>
              <w:left w:val="nil"/>
              <w:bottom w:val="single" w:sz="4" w:space="0" w:color="auto"/>
              <w:right w:val="single" w:sz="4" w:space="0" w:color="auto"/>
            </w:tcBorders>
            <w:shd w:val="clear" w:color="auto" w:fill="auto"/>
            <w:vAlign w:val="center"/>
            <w:hideMark/>
          </w:tcPr>
          <w:p w14:paraId="7ECCFBBB"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880,4 </w:t>
            </w:r>
          </w:p>
        </w:tc>
        <w:tc>
          <w:tcPr>
            <w:tcW w:w="1206" w:type="dxa"/>
            <w:tcBorders>
              <w:top w:val="nil"/>
              <w:left w:val="nil"/>
              <w:bottom w:val="single" w:sz="4" w:space="0" w:color="auto"/>
              <w:right w:val="single" w:sz="4" w:space="0" w:color="auto"/>
            </w:tcBorders>
            <w:shd w:val="clear" w:color="auto" w:fill="auto"/>
            <w:vAlign w:val="center"/>
            <w:hideMark/>
          </w:tcPr>
          <w:p w14:paraId="18E23D28"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676,4 </w:t>
            </w:r>
          </w:p>
        </w:tc>
        <w:tc>
          <w:tcPr>
            <w:tcW w:w="935" w:type="dxa"/>
            <w:tcBorders>
              <w:top w:val="nil"/>
              <w:left w:val="nil"/>
              <w:bottom w:val="single" w:sz="4" w:space="0" w:color="auto"/>
              <w:right w:val="double" w:sz="6" w:space="0" w:color="auto"/>
            </w:tcBorders>
            <w:shd w:val="clear" w:color="auto" w:fill="auto"/>
            <w:vAlign w:val="center"/>
            <w:hideMark/>
          </w:tcPr>
          <w:p w14:paraId="3A50E3B3"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-204,0 </w:t>
            </w:r>
          </w:p>
        </w:tc>
      </w:tr>
      <w:tr w:rsidR="00A53AD7" w:rsidRPr="00A53AD7" w14:paraId="351B1D5C" w14:textId="77777777" w:rsidTr="00826DF8">
        <w:trPr>
          <w:trHeight w:val="53"/>
        </w:trPr>
        <w:tc>
          <w:tcPr>
            <w:tcW w:w="5846" w:type="dxa"/>
            <w:tcBorders>
              <w:top w:val="nil"/>
              <w:left w:val="double" w:sz="6" w:space="0" w:color="auto"/>
              <w:bottom w:val="single" w:sz="4" w:space="0" w:color="auto"/>
              <w:right w:val="single" w:sz="4" w:space="0" w:color="auto"/>
            </w:tcBorders>
            <w:shd w:val="clear" w:color="auto" w:fill="auto"/>
            <w:vAlign w:val="center"/>
            <w:hideMark/>
          </w:tcPr>
          <w:p w14:paraId="3966F6C3" w14:textId="77777777" w:rsidR="00F700F3" w:rsidRPr="00A53AD7" w:rsidRDefault="00F700F3" w:rsidP="00817EF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Единый налог на вмененный доход </w:t>
            </w:r>
          </w:p>
        </w:tc>
        <w:tc>
          <w:tcPr>
            <w:tcW w:w="1206" w:type="dxa"/>
            <w:tcBorders>
              <w:top w:val="nil"/>
              <w:left w:val="nil"/>
              <w:bottom w:val="single" w:sz="4" w:space="0" w:color="auto"/>
              <w:right w:val="single" w:sz="4" w:space="0" w:color="auto"/>
            </w:tcBorders>
            <w:shd w:val="clear" w:color="auto" w:fill="auto"/>
            <w:vAlign w:val="center"/>
            <w:hideMark/>
          </w:tcPr>
          <w:p w14:paraId="3E156A29"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63,1 </w:t>
            </w:r>
          </w:p>
        </w:tc>
        <w:tc>
          <w:tcPr>
            <w:tcW w:w="1206" w:type="dxa"/>
            <w:tcBorders>
              <w:top w:val="nil"/>
              <w:left w:val="nil"/>
              <w:bottom w:val="single" w:sz="4" w:space="0" w:color="auto"/>
              <w:right w:val="single" w:sz="4" w:space="0" w:color="auto"/>
            </w:tcBorders>
            <w:shd w:val="clear" w:color="auto" w:fill="auto"/>
            <w:vAlign w:val="center"/>
            <w:hideMark/>
          </w:tcPr>
          <w:p w14:paraId="56968022"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58,4 </w:t>
            </w:r>
          </w:p>
        </w:tc>
        <w:tc>
          <w:tcPr>
            <w:tcW w:w="935" w:type="dxa"/>
            <w:tcBorders>
              <w:top w:val="nil"/>
              <w:left w:val="nil"/>
              <w:bottom w:val="single" w:sz="4" w:space="0" w:color="auto"/>
              <w:right w:val="double" w:sz="6" w:space="0" w:color="auto"/>
            </w:tcBorders>
            <w:shd w:val="clear" w:color="auto" w:fill="auto"/>
            <w:vAlign w:val="center"/>
            <w:hideMark/>
          </w:tcPr>
          <w:p w14:paraId="66BE7F00"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 </w:t>
            </w:r>
          </w:p>
        </w:tc>
      </w:tr>
      <w:tr w:rsidR="00A53AD7" w:rsidRPr="00A53AD7" w14:paraId="75CBC355" w14:textId="77777777" w:rsidTr="00826DF8">
        <w:trPr>
          <w:trHeight w:val="53"/>
        </w:trPr>
        <w:tc>
          <w:tcPr>
            <w:tcW w:w="5846" w:type="dxa"/>
            <w:tcBorders>
              <w:top w:val="nil"/>
              <w:left w:val="double" w:sz="6" w:space="0" w:color="auto"/>
              <w:bottom w:val="single" w:sz="4" w:space="0" w:color="auto"/>
              <w:right w:val="single" w:sz="4" w:space="0" w:color="auto"/>
            </w:tcBorders>
            <w:shd w:val="clear" w:color="auto" w:fill="auto"/>
            <w:vAlign w:val="center"/>
            <w:hideMark/>
          </w:tcPr>
          <w:p w14:paraId="6C421DA6" w14:textId="77777777" w:rsidR="00F700F3" w:rsidRPr="00A53AD7" w:rsidRDefault="00F700F3" w:rsidP="00817EF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 на имущество организаций по имуществу, не входящему в Единую систему газоснабжения</w:t>
            </w:r>
          </w:p>
        </w:tc>
        <w:tc>
          <w:tcPr>
            <w:tcW w:w="1206" w:type="dxa"/>
            <w:tcBorders>
              <w:top w:val="nil"/>
              <w:left w:val="nil"/>
              <w:bottom w:val="single" w:sz="4" w:space="0" w:color="auto"/>
              <w:right w:val="single" w:sz="4" w:space="0" w:color="auto"/>
            </w:tcBorders>
            <w:shd w:val="clear" w:color="auto" w:fill="auto"/>
            <w:vAlign w:val="center"/>
            <w:hideMark/>
          </w:tcPr>
          <w:p w14:paraId="3F78513B"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329,7 </w:t>
            </w:r>
          </w:p>
        </w:tc>
        <w:tc>
          <w:tcPr>
            <w:tcW w:w="1206" w:type="dxa"/>
            <w:tcBorders>
              <w:top w:val="nil"/>
              <w:left w:val="nil"/>
              <w:bottom w:val="single" w:sz="4" w:space="0" w:color="auto"/>
              <w:right w:val="single" w:sz="4" w:space="0" w:color="auto"/>
            </w:tcBorders>
            <w:shd w:val="clear" w:color="auto" w:fill="auto"/>
            <w:vAlign w:val="center"/>
            <w:hideMark/>
          </w:tcPr>
          <w:p w14:paraId="05D11BE1"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202,8 </w:t>
            </w:r>
          </w:p>
        </w:tc>
        <w:tc>
          <w:tcPr>
            <w:tcW w:w="935" w:type="dxa"/>
            <w:tcBorders>
              <w:top w:val="nil"/>
              <w:left w:val="nil"/>
              <w:bottom w:val="single" w:sz="4" w:space="0" w:color="auto"/>
              <w:right w:val="double" w:sz="6" w:space="0" w:color="auto"/>
            </w:tcBorders>
            <w:shd w:val="clear" w:color="auto" w:fill="auto"/>
            <w:vAlign w:val="center"/>
            <w:hideMark/>
          </w:tcPr>
          <w:p w14:paraId="4227393D"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-126,9 </w:t>
            </w:r>
          </w:p>
        </w:tc>
      </w:tr>
      <w:tr w:rsidR="00A53AD7" w:rsidRPr="00A53AD7" w14:paraId="5379A59C" w14:textId="77777777" w:rsidTr="00826DF8">
        <w:trPr>
          <w:trHeight w:val="53"/>
        </w:trPr>
        <w:tc>
          <w:tcPr>
            <w:tcW w:w="5846" w:type="dxa"/>
            <w:tcBorders>
              <w:top w:val="nil"/>
              <w:left w:val="double" w:sz="6" w:space="0" w:color="auto"/>
              <w:bottom w:val="nil"/>
              <w:right w:val="single" w:sz="4" w:space="0" w:color="auto"/>
            </w:tcBorders>
            <w:shd w:val="clear" w:color="auto" w:fill="auto"/>
            <w:vAlign w:val="center"/>
            <w:hideMark/>
          </w:tcPr>
          <w:p w14:paraId="25117C7B" w14:textId="77777777" w:rsidR="00F700F3" w:rsidRPr="00A53AD7" w:rsidRDefault="00F700F3" w:rsidP="00817EF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Транспортный налог с организаций</w:t>
            </w:r>
          </w:p>
        </w:tc>
        <w:tc>
          <w:tcPr>
            <w:tcW w:w="1206" w:type="dxa"/>
            <w:tcBorders>
              <w:top w:val="nil"/>
              <w:left w:val="nil"/>
              <w:bottom w:val="nil"/>
              <w:right w:val="single" w:sz="4" w:space="0" w:color="auto"/>
            </w:tcBorders>
            <w:shd w:val="clear" w:color="auto" w:fill="auto"/>
            <w:vAlign w:val="center"/>
            <w:hideMark/>
          </w:tcPr>
          <w:p w14:paraId="2AE1440A"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40,9 </w:t>
            </w:r>
          </w:p>
        </w:tc>
        <w:tc>
          <w:tcPr>
            <w:tcW w:w="1206" w:type="dxa"/>
            <w:tcBorders>
              <w:top w:val="nil"/>
              <w:left w:val="nil"/>
              <w:bottom w:val="nil"/>
              <w:right w:val="single" w:sz="4" w:space="0" w:color="auto"/>
            </w:tcBorders>
            <w:shd w:val="clear" w:color="auto" w:fill="auto"/>
            <w:vAlign w:val="center"/>
            <w:hideMark/>
          </w:tcPr>
          <w:p w14:paraId="1EFC06CE"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27,4 </w:t>
            </w:r>
          </w:p>
        </w:tc>
        <w:tc>
          <w:tcPr>
            <w:tcW w:w="935" w:type="dxa"/>
            <w:tcBorders>
              <w:top w:val="nil"/>
              <w:left w:val="nil"/>
              <w:bottom w:val="single" w:sz="4" w:space="0" w:color="auto"/>
              <w:right w:val="double" w:sz="6" w:space="0" w:color="auto"/>
            </w:tcBorders>
            <w:shd w:val="clear" w:color="auto" w:fill="auto"/>
            <w:vAlign w:val="center"/>
            <w:hideMark/>
          </w:tcPr>
          <w:p w14:paraId="459DD824"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-13,5 </w:t>
            </w:r>
          </w:p>
        </w:tc>
      </w:tr>
      <w:tr w:rsidR="00F700F3" w:rsidRPr="00A53AD7" w14:paraId="0E5F54F6" w14:textId="77777777" w:rsidTr="00826DF8">
        <w:trPr>
          <w:trHeight w:val="53"/>
        </w:trPr>
        <w:tc>
          <w:tcPr>
            <w:tcW w:w="5846"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7CD324EA" w14:textId="77777777" w:rsidR="00F700F3" w:rsidRPr="00A53AD7" w:rsidRDefault="00F700F3" w:rsidP="00817EF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Транспортный налог с физических лиц</w:t>
            </w:r>
          </w:p>
        </w:tc>
        <w:tc>
          <w:tcPr>
            <w:tcW w:w="1206" w:type="dxa"/>
            <w:tcBorders>
              <w:top w:val="single" w:sz="4" w:space="0" w:color="auto"/>
              <w:left w:val="nil"/>
              <w:bottom w:val="double" w:sz="6" w:space="0" w:color="auto"/>
              <w:right w:val="single" w:sz="4" w:space="0" w:color="auto"/>
            </w:tcBorders>
            <w:shd w:val="clear" w:color="auto" w:fill="auto"/>
            <w:vAlign w:val="center"/>
            <w:hideMark/>
          </w:tcPr>
          <w:p w14:paraId="4B3C1DA4"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521,6 </w:t>
            </w:r>
          </w:p>
        </w:tc>
        <w:tc>
          <w:tcPr>
            <w:tcW w:w="1206" w:type="dxa"/>
            <w:tcBorders>
              <w:top w:val="single" w:sz="4" w:space="0" w:color="auto"/>
              <w:left w:val="nil"/>
              <w:bottom w:val="double" w:sz="6" w:space="0" w:color="auto"/>
              <w:right w:val="single" w:sz="4" w:space="0" w:color="auto"/>
            </w:tcBorders>
            <w:shd w:val="clear" w:color="auto" w:fill="auto"/>
            <w:vAlign w:val="center"/>
            <w:hideMark/>
          </w:tcPr>
          <w:p w14:paraId="5C4A0780"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543,5 </w:t>
            </w:r>
          </w:p>
        </w:tc>
        <w:tc>
          <w:tcPr>
            <w:tcW w:w="935" w:type="dxa"/>
            <w:tcBorders>
              <w:top w:val="nil"/>
              <w:left w:val="nil"/>
              <w:bottom w:val="double" w:sz="6" w:space="0" w:color="auto"/>
              <w:right w:val="double" w:sz="6" w:space="0" w:color="auto"/>
            </w:tcBorders>
            <w:shd w:val="clear" w:color="auto" w:fill="auto"/>
            <w:vAlign w:val="center"/>
            <w:hideMark/>
          </w:tcPr>
          <w:p w14:paraId="1F0E9B0F" w14:textId="77777777" w:rsidR="00F700F3" w:rsidRPr="00A53AD7" w:rsidRDefault="00F700F3" w:rsidP="00817EF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21,8 </w:t>
            </w:r>
          </w:p>
        </w:tc>
      </w:tr>
    </w:tbl>
    <w:p w14:paraId="3CDCA3CB" w14:textId="77777777" w:rsidR="00A52CCF" w:rsidRPr="00A53AD7" w:rsidRDefault="00A52CCF" w:rsidP="00135937">
      <w:pPr>
        <w:pStyle w:val="a0"/>
        <w:numPr>
          <w:ilvl w:val="0"/>
          <w:numId w:val="0"/>
        </w:numPr>
        <w:rPr>
          <w:highlight w:val="cyan"/>
          <w:lang w:eastAsia="ru-RU"/>
        </w:rPr>
      </w:pPr>
    </w:p>
    <w:p w14:paraId="2CFB5930" w14:textId="77777777" w:rsidR="00F700F3" w:rsidRPr="00A53AD7" w:rsidRDefault="00F700F3" w:rsidP="00135937">
      <w:pPr>
        <w:pStyle w:val="a0"/>
        <w:rPr>
          <w:lang w:eastAsia="ru-RU"/>
        </w:rPr>
      </w:pPr>
      <w:r w:rsidRPr="00A53AD7">
        <w:rPr>
          <w:lang w:eastAsia="ru-RU"/>
        </w:rPr>
        <w:t>в местные бюджеты – 475,5 млн.руб. (рост на 123,2 млн.руб.), из нее наибольшая в бюджете: МО «Город Архангельск» - 313,1 млн.руб., которая выросла на 118,2 млн.руб.</w:t>
      </w:r>
    </w:p>
    <w:p w14:paraId="419940CF" w14:textId="77777777" w:rsidR="00F700F3" w:rsidRPr="00A53AD7" w:rsidRDefault="00F700F3" w:rsidP="00A52CC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Всего просроченная дебиторская задолженность на конец отчетного периода в консолидированном бюджете отражена в общей сумме 4 034,7 млн.руб. и 2019 год она выросла на 546,5 млн.руб. или на 15,7 %, а её удельный вес в общей сумме дебиторской задолженности составил 4,2 %, который за год снизился на 9,2 процентных пункта.</w:t>
      </w:r>
    </w:p>
    <w:p w14:paraId="2F580BC8" w14:textId="77777777" w:rsidR="00F700F3" w:rsidRPr="00A53AD7" w:rsidRDefault="00F700F3" w:rsidP="00A23240">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Просроченная дебиторская задолженность в областной бюджет на 01.01.2020 составляет 1 627,7 млн.руб., которая сократилась на 460,1 млн.руб. или на 22,0 %.</w:t>
      </w:r>
    </w:p>
    <w:p w14:paraId="5FC8D58A" w14:textId="77777777" w:rsidR="00F700F3" w:rsidRPr="00A53AD7" w:rsidRDefault="00F700F3" w:rsidP="00F05B1A">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Просроченная дебиторская задолженность местных бюджетов на 01.01.2020 составила 2 407,0 млн.руб., с ростом на 1 006,6 млн.руб. или на 71,9 %, из нее наибольший рост сложился по счету 205.11 «Расчеты с плательщиками налоговых доходов» (см. выше).</w:t>
      </w:r>
    </w:p>
    <w:p w14:paraId="36B4FFD3" w14:textId="77777777" w:rsidR="00F700F3" w:rsidRPr="00A53AD7" w:rsidRDefault="00F700F3" w:rsidP="00F05B1A">
      <w:pPr>
        <w:spacing w:after="0" w:line="240" w:lineRule="auto"/>
        <w:ind w:firstLine="851"/>
        <w:jc w:val="both"/>
        <w:rPr>
          <w:rFonts w:ascii="Times New Roman" w:hAnsi="Times New Roman"/>
          <w:sz w:val="28"/>
          <w:szCs w:val="28"/>
        </w:rPr>
      </w:pPr>
    </w:p>
    <w:p w14:paraId="58C722AF" w14:textId="16E185D1" w:rsidR="00F700F3" w:rsidRPr="00A53AD7" w:rsidRDefault="00F700F3" w:rsidP="00F05B1A">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кредиторской задолженности консолидированного бюджета Архангельской области (без учета задолженности бюджетных и автономных учреждений и бюджета ТФОМС) на 01.01.2020, согласно отчётам по форме 0503369, составил 13 489,9 млн.руб. и за отчетный период указанная задолженность увеличилась на 62,2 %</w:t>
      </w:r>
      <w:r w:rsidR="007467A6" w:rsidRPr="00A53AD7">
        <w:rPr>
          <w:rFonts w:ascii="Times New Roman" w:hAnsi="Times New Roman"/>
          <w:sz w:val="28"/>
          <w:szCs w:val="28"/>
        </w:rPr>
        <w:t xml:space="preserve"> </w:t>
      </w:r>
      <w:r w:rsidRPr="00A53AD7">
        <w:rPr>
          <w:rFonts w:ascii="Times New Roman" w:hAnsi="Times New Roman"/>
          <w:sz w:val="28"/>
          <w:szCs w:val="28"/>
        </w:rPr>
        <w:t>или на 5 175,5 млн.руб. (см. Приложение № </w:t>
      </w:r>
      <w:r w:rsidR="007467A6" w:rsidRPr="00A53AD7">
        <w:rPr>
          <w:rFonts w:ascii="Times New Roman" w:hAnsi="Times New Roman"/>
          <w:sz w:val="28"/>
          <w:szCs w:val="28"/>
        </w:rPr>
        <w:t>7</w:t>
      </w:r>
      <w:r w:rsidRPr="00A53AD7">
        <w:rPr>
          <w:rFonts w:ascii="Times New Roman" w:hAnsi="Times New Roman"/>
          <w:sz w:val="28"/>
          <w:szCs w:val="28"/>
        </w:rPr>
        <w:t xml:space="preserve"> к настоящему заключению).</w:t>
      </w:r>
    </w:p>
    <w:p w14:paraId="6A8A7607" w14:textId="66B732C1" w:rsidR="00F700F3" w:rsidRPr="00A53AD7" w:rsidRDefault="00F700F3" w:rsidP="007467A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указанной выше суммы кредиторская задолженность местных бюджетов на 01.01.2020 составила 980,0 млн.руб., и она уменьшилась на 13,7 % или на 155,3 млн.руб. В таблице </w:t>
      </w:r>
      <w:r w:rsidR="00E23937" w:rsidRPr="00A53AD7">
        <w:rPr>
          <w:rFonts w:ascii="Times New Roman" w:hAnsi="Times New Roman"/>
          <w:sz w:val="28"/>
          <w:szCs w:val="28"/>
        </w:rPr>
        <w:t>20</w:t>
      </w:r>
      <w:r w:rsidRPr="00A53AD7">
        <w:rPr>
          <w:rFonts w:ascii="Times New Roman" w:hAnsi="Times New Roman"/>
          <w:sz w:val="28"/>
          <w:szCs w:val="28"/>
        </w:rPr>
        <w:t xml:space="preserve"> представлены сведения о кредиторской задолженности местных бюджетов (с учетом поселений) по счетам бюджетного учета, отра</w:t>
      </w:r>
      <w:r w:rsidR="007467A6" w:rsidRPr="00A53AD7">
        <w:rPr>
          <w:rFonts w:ascii="Times New Roman" w:hAnsi="Times New Roman"/>
          <w:sz w:val="28"/>
          <w:szCs w:val="28"/>
        </w:rPr>
        <w:t>женные в отчетах по ф. 0503369.</w:t>
      </w:r>
    </w:p>
    <w:p w14:paraId="5CDEDE4E" w14:textId="77777777" w:rsidR="00F700F3" w:rsidRPr="00A53AD7" w:rsidRDefault="00F700F3" w:rsidP="00082886">
      <w:pPr>
        <w:pStyle w:val="aff0"/>
        <w:spacing w:after="0" w:line="240" w:lineRule="auto"/>
        <w:rPr>
          <w:rFonts w:ascii="Times New Roman" w:hAnsi="Times New Roman"/>
          <w:b w:val="0"/>
          <w:sz w:val="24"/>
          <w:szCs w:val="24"/>
        </w:rPr>
      </w:pPr>
    </w:p>
    <w:p w14:paraId="26435086" w14:textId="77777777" w:rsidR="00E23937" w:rsidRPr="00A53AD7" w:rsidRDefault="00E23937" w:rsidP="00082886">
      <w:pPr>
        <w:pStyle w:val="aff0"/>
        <w:spacing w:after="0" w:line="240" w:lineRule="auto"/>
        <w:rPr>
          <w:rFonts w:ascii="Times New Roman" w:hAnsi="Times New Roman"/>
          <w:b w:val="0"/>
          <w:sz w:val="24"/>
          <w:szCs w:val="24"/>
        </w:rPr>
      </w:pPr>
    </w:p>
    <w:p w14:paraId="6D034886" w14:textId="5BDFF188" w:rsidR="00F700F3" w:rsidRPr="00A53AD7" w:rsidRDefault="00F700F3" w:rsidP="00082886">
      <w:pPr>
        <w:pStyle w:val="aff0"/>
        <w:spacing w:after="0" w:line="240" w:lineRule="auto"/>
        <w:rPr>
          <w:rFonts w:ascii="Times New Roman" w:hAnsi="Times New Roman"/>
          <w:b w:val="0"/>
          <w:sz w:val="24"/>
          <w:szCs w:val="24"/>
        </w:rPr>
      </w:pPr>
      <w:r w:rsidRPr="00A53AD7">
        <w:rPr>
          <w:rFonts w:ascii="Times New Roman" w:hAnsi="Times New Roman"/>
          <w:b w:val="0"/>
          <w:sz w:val="24"/>
          <w:szCs w:val="24"/>
        </w:rPr>
        <w:lastRenderedPageBreak/>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20</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кредиторской задолженности консолидированных бюджетов муниципальных образований Архангельской области, отраженная в отчетах по ф. 0503369 на 01.01.2020, млн.руб.</w:t>
      </w:r>
    </w:p>
    <w:tbl>
      <w:tblPr>
        <w:tblW w:w="9248" w:type="dxa"/>
        <w:tblInd w:w="85" w:type="dxa"/>
        <w:tblLook w:val="04A0" w:firstRow="1" w:lastRow="0" w:firstColumn="1" w:lastColumn="0" w:noHBand="0" w:noVBand="1"/>
      </w:tblPr>
      <w:tblGrid>
        <w:gridCol w:w="559"/>
        <w:gridCol w:w="440"/>
        <w:gridCol w:w="4989"/>
        <w:gridCol w:w="1206"/>
        <w:gridCol w:w="1206"/>
        <w:gridCol w:w="848"/>
      </w:tblGrid>
      <w:tr w:rsidR="00A53AD7" w:rsidRPr="00A53AD7" w14:paraId="13A3F615" w14:textId="77777777" w:rsidTr="00653D75">
        <w:trPr>
          <w:trHeight w:val="18"/>
          <w:tblHeader/>
        </w:trPr>
        <w:tc>
          <w:tcPr>
            <w:tcW w:w="999"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320235FD" w14:textId="77777777" w:rsidR="00F700F3" w:rsidRPr="00A53AD7" w:rsidRDefault="00F700F3" w:rsidP="0008288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Счет</w:t>
            </w:r>
          </w:p>
        </w:tc>
        <w:tc>
          <w:tcPr>
            <w:tcW w:w="4989" w:type="dxa"/>
            <w:tcBorders>
              <w:top w:val="double" w:sz="6" w:space="0" w:color="auto"/>
              <w:left w:val="nil"/>
              <w:bottom w:val="single" w:sz="4" w:space="0" w:color="auto"/>
              <w:right w:val="single" w:sz="4" w:space="0" w:color="auto"/>
            </w:tcBorders>
            <w:shd w:val="clear" w:color="auto" w:fill="auto"/>
            <w:vAlign w:val="center"/>
            <w:hideMark/>
          </w:tcPr>
          <w:p w14:paraId="19DE07C0" w14:textId="77777777" w:rsidR="00F700F3" w:rsidRPr="00A53AD7" w:rsidRDefault="00F700F3" w:rsidP="0008288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75DC063F" w14:textId="7240EED3" w:rsidR="00F700F3" w:rsidRPr="00A53AD7" w:rsidRDefault="00F700F3" w:rsidP="0008288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CE64B5"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19</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14E89341" w14:textId="4016F9A8" w:rsidR="00F700F3" w:rsidRPr="00A53AD7" w:rsidRDefault="00F700F3" w:rsidP="0008288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CE64B5"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20</w:t>
            </w:r>
          </w:p>
        </w:tc>
        <w:tc>
          <w:tcPr>
            <w:tcW w:w="848" w:type="dxa"/>
            <w:tcBorders>
              <w:top w:val="double" w:sz="6" w:space="0" w:color="auto"/>
              <w:left w:val="nil"/>
              <w:bottom w:val="single" w:sz="4" w:space="0" w:color="auto"/>
              <w:right w:val="double" w:sz="6" w:space="0" w:color="auto"/>
            </w:tcBorders>
            <w:shd w:val="clear" w:color="auto" w:fill="auto"/>
            <w:vAlign w:val="center"/>
            <w:hideMark/>
          </w:tcPr>
          <w:p w14:paraId="3965DB89" w14:textId="77777777" w:rsidR="00F700F3" w:rsidRPr="00A53AD7" w:rsidRDefault="00F700F3" w:rsidP="0008288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w:t>
            </w:r>
          </w:p>
        </w:tc>
      </w:tr>
      <w:tr w:rsidR="00A53AD7" w:rsidRPr="00A53AD7" w14:paraId="3F1B5D97"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42438E8"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205</w:t>
            </w:r>
          </w:p>
        </w:tc>
        <w:tc>
          <w:tcPr>
            <w:tcW w:w="440" w:type="dxa"/>
            <w:tcBorders>
              <w:top w:val="nil"/>
              <w:left w:val="nil"/>
              <w:bottom w:val="single" w:sz="4" w:space="0" w:color="auto"/>
              <w:right w:val="single" w:sz="4" w:space="0" w:color="auto"/>
            </w:tcBorders>
            <w:shd w:val="clear" w:color="auto" w:fill="auto"/>
            <w:vAlign w:val="center"/>
            <w:hideMark/>
          </w:tcPr>
          <w:p w14:paraId="4CA7D560"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989" w:type="dxa"/>
            <w:tcBorders>
              <w:top w:val="nil"/>
              <w:left w:val="nil"/>
              <w:bottom w:val="single" w:sz="4" w:space="0" w:color="auto"/>
              <w:right w:val="single" w:sz="4" w:space="0" w:color="auto"/>
            </w:tcBorders>
            <w:shd w:val="clear" w:color="auto" w:fill="auto"/>
            <w:vAlign w:val="center"/>
            <w:hideMark/>
          </w:tcPr>
          <w:p w14:paraId="5DB1AD73"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доходам,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0457EBFF"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659,1 </w:t>
            </w:r>
          </w:p>
        </w:tc>
        <w:tc>
          <w:tcPr>
            <w:tcW w:w="1206" w:type="dxa"/>
            <w:tcBorders>
              <w:top w:val="nil"/>
              <w:left w:val="nil"/>
              <w:bottom w:val="single" w:sz="4" w:space="0" w:color="auto"/>
              <w:right w:val="single" w:sz="4" w:space="0" w:color="auto"/>
            </w:tcBorders>
            <w:shd w:val="clear" w:color="auto" w:fill="auto"/>
            <w:vAlign w:val="center"/>
            <w:hideMark/>
          </w:tcPr>
          <w:p w14:paraId="3C055999"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712,8 </w:t>
            </w:r>
          </w:p>
        </w:tc>
        <w:tc>
          <w:tcPr>
            <w:tcW w:w="848" w:type="dxa"/>
            <w:tcBorders>
              <w:top w:val="nil"/>
              <w:left w:val="nil"/>
              <w:bottom w:val="single" w:sz="4" w:space="0" w:color="auto"/>
              <w:right w:val="double" w:sz="6" w:space="0" w:color="auto"/>
            </w:tcBorders>
            <w:shd w:val="clear" w:color="auto" w:fill="auto"/>
            <w:vAlign w:val="center"/>
            <w:hideMark/>
          </w:tcPr>
          <w:p w14:paraId="344B12C2"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53,8 </w:t>
            </w:r>
          </w:p>
        </w:tc>
      </w:tr>
      <w:tr w:rsidR="00A53AD7" w:rsidRPr="00A53AD7" w14:paraId="5FFEF86D"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7E23DC7"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205</w:t>
            </w:r>
          </w:p>
        </w:tc>
        <w:tc>
          <w:tcPr>
            <w:tcW w:w="440" w:type="dxa"/>
            <w:tcBorders>
              <w:top w:val="nil"/>
              <w:left w:val="nil"/>
              <w:bottom w:val="single" w:sz="4" w:space="0" w:color="auto"/>
              <w:right w:val="single" w:sz="4" w:space="0" w:color="auto"/>
            </w:tcBorders>
            <w:shd w:val="clear" w:color="auto" w:fill="auto"/>
            <w:vAlign w:val="center"/>
            <w:hideMark/>
          </w:tcPr>
          <w:p w14:paraId="5D68BF8D"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11</w:t>
            </w:r>
          </w:p>
        </w:tc>
        <w:tc>
          <w:tcPr>
            <w:tcW w:w="4989" w:type="dxa"/>
            <w:tcBorders>
              <w:top w:val="nil"/>
              <w:left w:val="nil"/>
              <w:bottom w:val="single" w:sz="4" w:space="0" w:color="auto"/>
              <w:right w:val="single" w:sz="4" w:space="0" w:color="auto"/>
            </w:tcBorders>
            <w:shd w:val="clear" w:color="auto" w:fill="auto"/>
            <w:vAlign w:val="center"/>
            <w:hideMark/>
          </w:tcPr>
          <w:p w14:paraId="16897046"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плательщиками налоговых доходов</w:t>
            </w:r>
          </w:p>
        </w:tc>
        <w:tc>
          <w:tcPr>
            <w:tcW w:w="1206" w:type="dxa"/>
            <w:tcBorders>
              <w:top w:val="nil"/>
              <w:left w:val="nil"/>
              <w:bottom w:val="single" w:sz="4" w:space="0" w:color="auto"/>
              <w:right w:val="single" w:sz="4" w:space="0" w:color="auto"/>
            </w:tcBorders>
            <w:shd w:val="clear" w:color="auto" w:fill="auto"/>
            <w:vAlign w:val="center"/>
            <w:hideMark/>
          </w:tcPr>
          <w:p w14:paraId="31A4DE0F"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617,0 </w:t>
            </w:r>
          </w:p>
        </w:tc>
        <w:tc>
          <w:tcPr>
            <w:tcW w:w="1206" w:type="dxa"/>
            <w:tcBorders>
              <w:top w:val="nil"/>
              <w:left w:val="nil"/>
              <w:bottom w:val="single" w:sz="4" w:space="0" w:color="auto"/>
              <w:right w:val="single" w:sz="4" w:space="0" w:color="auto"/>
            </w:tcBorders>
            <w:shd w:val="clear" w:color="auto" w:fill="auto"/>
            <w:vAlign w:val="center"/>
            <w:hideMark/>
          </w:tcPr>
          <w:p w14:paraId="1CE7BADF"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678,0 </w:t>
            </w:r>
          </w:p>
        </w:tc>
        <w:tc>
          <w:tcPr>
            <w:tcW w:w="848" w:type="dxa"/>
            <w:tcBorders>
              <w:top w:val="nil"/>
              <w:left w:val="nil"/>
              <w:bottom w:val="single" w:sz="4" w:space="0" w:color="auto"/>
              <w:right w:val="double" w:sz="6" w:space="0" w:color="auto"/>
            </w:tcBorders>
            <w:shd w:val="clear" w:color="auto" w:fill="auto"/>
            <w:vAlign w:val="center"/>
            <w:hideMark/>
          </w:tcPr>
          <w:p w14:paraId="00F8B33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61,1 </w:t>
            </w:r>
          </w:p>
        </w:tc>
      </w:tr>
      <w:tr w:rsidR="00A53AD7" w:rsidRPr="00A53AD7" w14:paraId="7E44F255"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538D4C15"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208</w:t>
            </w:r>
          </w:p>
        </w:tc>
        <w:tc>
          <w:tcPr>
            <w:tcW w:w="440" w:type="dxa"/>
            <w:tcBorders>
              <w:top w:val="nil"/>
              <w:left w:val="nil"/>
              <w:bottom w:val="single" w:sz="4" w:space="0" w:color="auto"/>
              <w:right w:val="single" w:sz="4" w:space="0" w:color="auto"/>
            </w:tcBorders>
            <w:shd w:val="clear" w:color="auto" w:fill="auto"/>
            <w:vAlign w:val="center"/>
            <w:hideMark/>
          </w:tcPr>
          <w:p w14:paraId="6EACA8CD"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989" w:type="dxa"/>
            <w:tcBorders>
              <w:top w:val="nil"/>
              <w:left w:val="nil"/>
              <w:bottom w:val="single" w:sz="4" w:space="0" w:color="auto"/>
              <w:right w:val="single" w:sz="4" w:space="0" w:color="auto"/>
            </w:tcBorders>
            <w:shd w:val="clear" w:color="auto" w:fill="auto"/>
            <w:vAlign w:val="center"/>
            <w:hideMark/>
          </w:tcPr>
          <w:p w14:paraId="70D4C53E"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с подотчетными лицами,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2D9FD6A2"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2,0 </w:t>
            </w:r>
          </w:p>
        </w:tc>
        <w:tc>
          <w:tcPr>
            <w:tcW w:w="1206" w:type="dxa"/>
            <w:tcBorders>
              <w:top w:val="nil"/>
              <w:left w:val="nil"/>
              <w:bottom w:val="single" w:sz="4" w:space="0" w:color="auto"/>
              <w:right w:val="single" w:sz="4" w:space="0" w:color="auto"/>
            </w:tcBorders>
            <w:shd w:val="clear" w:color="auto" w:fill="auto"/>
            <w:vAlign w:val="center"/>
            <w:hideMark/>
          </w:tcPr>
          <w:p w14:paraId="67F9C91C"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0,6 </w:t>
            </w:r>
          </w:p>
        </w:tc>
        <w:tc>
          <w:tcPr>
            <w:tcW w:w="848" w:type="dxa"/>
            <w:tcBorders>
              <w:top w:val="nil"/>
              <w:left w:val="nil"/>
              <w:bottom w:val="single" w:sz="4" w:space="0" w:color="auto"/>
              <w:right w:val="double" w:sz="6" w:space="0" w:color="auto"/>
            </w:tcBorders>
            <w:shd w:val="clear" w:color="auto" w:fill="auto"/>
            <w:vAlign w:val="center"/>
            <w:hideMark/>
          </w:tcPr>
          <w:p w14:paraId="74A52337"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-1,4 </w:t>
            </w:r>
          </w:p>
        </w:tc>
      </w:tr>
      <w:tr w:rsidR="00A53AD7" w:rsidRPr="00A53AD7" w14:paraId="3AE9233F"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3611A2B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208</w:t>
            </w:r>
          </w:p>
        </w:tc>
        <w:tc>
          <w:tcPr>
            <w:tcW w:w="440" w:type="dxa"/>
            <w:tcBorders>
              <w:top w:val="nil"/>
              <w:left w:val="nil"/>
              <w:bottom w:val="single" w:sz="4" w:space="0" w:color="auto"/>
              <w:right w:val="single" w:sz="4" w:space="0" w:color="auto"/>
            </w:tcBorders>
            <w:shd w:val="clear" w:color="auto" w:fill="auto"/>
            <w:vAlign w:val="center"/>
            <w:hideMark/>
          </w:tcPr>
          <w:p w14:paraId="5D9CE9E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12</w:t>
            </w:r>
          </w:p>
        </w:tc>
        <w:tc>
          <w:tcPr>
            <w:tcW w:w="4989" w:type="dxa"/>
            <w:tcBorders>
              <w:top w:val="nil"/>
              <w:left w:val="nil"/>
              <w:bottom w:val="single" w:sz="4" w:space="0" w:color="auto"/>
              <w:right w:val="single" w:sz="4" w:space="0" w:color="auto"/>
            </w:tcBorders>
            <w:shd w:val="clear" w:color="auto" w:fill="auto"/>
            <w:vAlign w:val="center"/>
            <w:hideMark/>
          </w:tcPr>
          <w:p w14:paraId="67C51F9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 по прочим несоциальным выплатам персоналу в денежной форме</w:t>
            </w:r>
          </w:p>
        </w:tc>
        <w:tc>
          <w:tcPr>
            <w:tcW w:w="1206" w:type="dxa"/>
            <w:tcBorders>
              <w:top w:val="nil"/>
              <w:left w:val="nil"/>
              <w:bottom w:val="single" w:sz="4" w:space="0" w:color="auto"/>
              <w:right w:val="single" w:sz="4" w:space="0" w:color="auto"/>
            </w:tcBorders>
            <w:shd w:val="clear" w:color="auto" w:fill="auto"/>
            <w:vAlign w:val="center"/>
            <w:hideMark/>
          </w:tcPr>
          <w:p w14:paraId="10592525"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0,7 </w:t>
            </w:r>
          </w:p>
        </w:tc>
        <w:tc>
          <w:tcPr>
            <w:tcW w:w="1206" w:type="dxa"/>
            <w:tcBorders>
              <w:top w:val="nil"/>
              <w:left w:val="nil"/>
              <w:bottom w:val="single" w:sz="4" w:space="0" w:color="auto"/>
              <w:right w:val="single" w:sz="4" w:space="0" w:color="auto"/>
            </w:tcBorders>
            <w:shd w:val="clear" w:color="auto" w:fill="auto"/>
            <w:vAlign w:val="center"/>
            <w:hideMark/>
          </w:tcPr>
          <w:p w14:paraId="46F2AEA5"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848" w:type="dxa"/>
            <w:tcBorders>
              <w:top w:val="nil"/>
              <w:left w:val="nil"/>
              <w:bottom w:val="single" w:sz="4" w:space="0" w:color="auto"/>
              <w:right w:val="double" w:sz="6" w:space="0" w:color="auto"/>
            </w:tcBorders>
            <w:shd w:val="clear" w:color="auto" w:fill="auto"/>
            <w:vAlign w:val="center"/>
            <w:hideMark/>
          </w:tcPr>
          <w:p w14:paraId="6722BE3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-0,6 </w:t>
            </w:r>
          </w:p>
        </w:tc>
      </w:tr>
      <w:tr w:rsidR="00A53AD7" w:rsidRPr="00A53AD7" w14:paraId="5BD22E57"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CF9EFBF"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208</w:t>
            </w:r>
          </w:p>
        </w:tc>
        <w:tc>
          <w:tcPr>
            <w:tcW w:w="440" w:type="dxa"/>
            <w:tcBorders>
              <w:top w:val="nil"/>
              <w:left w:val="nil"/>
              <w:bottom w:val="single" w:sz="4" w:space="0" w:color="auto"/>
              <w:right w:val="single" w:sz="4" w:space="0" w:color="auto"/>
            </w:tcBorders>
            <w:shd w:val="clear" w:color="auto" w:fill="auto"/>
            <w:vAlign w:val="center"/>
            <w:hideMark/>
          </w:tcPr>
          <w:p w14:paraId="3B6F2D4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14</w:t>
            </w:r>
          </w:p>
        </w:tc>
        <w:tc>
          <w:tcPr>
            <w:tcW w:w="4989" w:type="dxa"/>
            <w:tcBorders>
              <w:top w:val="nil"/>
              <w:left w:val="nil"/>
              <w:bottom w:val="single" w:sz="4" w:space="0" w:color="auto"/>
              <w:right w:val="single" w:sz="4" w:space="0" w:color="auto"/>
            </w:tcBorders>
            <w:shd w:val="clear" w:color="auto" w:fill="auto"/>
            <w:vAlign w:val="center"/>
            <w:hideMark/>
          </w:tcPr>
          <w:p w14:paraId="3328F42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 по прочим несоциальным выплатам персоналу в натуральной форме</w:t>
            </w:r>
          </w:p>
        </w:tc>
        <w:tc>
          <w:tcPr>
            <w:tcW w:w="1206" w:type="dxa"/>
            <w:tcBorders>
              <w:top w:val="nil"/>
              <w:left w:val="nil"/>
              <w:bottom w:val="single" w:sz="4" w:space="0" w:color="auto"/>
              <w:right w:val="single" w:sz="4" w:space="0" w:color="auto"/>
            </w:tcBorders>
            <w:shd w:val="clear" w:color="auto" w:fill="auto"/>
            <w:vAlign w:val="center"/>
            <w:hideMark/>
          </w:tcPr>
          <w:p w14:paraId="452B6392"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1206" w:type="dxa"/>
            <w:tcBorders>
              <w:top w:val="nil"/>
              <w:left w:val="nil"/>
              <w:bottom w:val="single" w:sz="4" w:space="0" w:color="auto"/>
              <w:right w:val="single" w:sz="4" w:space="0" w:color="auto"/>
            </w:tcBorders>
            <w:shd w:val="clear" w:color="auto" w:fill="auto"/>
            <w:vAlign w:val="center"/>
            <w:hideMark/>
          </w:tcPr>
          <w:p w14:paraId="2C97A4FE"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848" w:type="dxa"/>
            <w:tcBorders>
              <w:top w:val="nil"/>
              <w:left w:val="nil"/>
              <w:bottom w:val="single" w:sz="4" w:space="0" w:color="auto"/>
              <w:right w:val="double" w:sz="6" w:space="0" w:color="auto"/>
            </w:tcBorders>
            <w:shd w:val="clear" w:color="auto" w:fill="auto"/>
            <w:vAlign w:val="center"/>
            <w:hideMark/>
          </w:tcPr>
          <w:p w14:paraId="50A16CA7"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r>
      <w:tr w:rsidR="00A53AD7" w:rsidRPr="00A53AD7" w14:paraId="02D1CFAA"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9489A1F"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208</w:t>
            </w:r>
          </w:p>
        </w:tc>
        <w:tc>
          <w:tcPr>
            <w:tcW w:w="440" w:type="dxa"/>
            <w:tcBorders>
              <w:top w:val="nil"/>
              <w:left w:val="nil"/>
              <w:bottom w:val="single" w:sz="4" w:space="0" w:color="auto"/>
              <w:right w:val="single" w:sz="4" w:space="0" w:color="auto"/>
            </w:tcBorders>
            <w:shd w:val="clear" w:color="auto" w:fill="auto"/>
            <w:vAlign w:val="center"/>
            <w:hideMark/>
          </w:tcPr>
          <w:p w14:paraId="614D5AE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34</w:t>
            </w:r>
          </w:p>
        </w:tc>
        <w:tc>
          <w:tcPr>
            <w:tcW w:w="4989" w:type="dxa"/>
            <w:tcBorders>
              <w:top w:val="nil"/>
              <w:left w:val="nil"/>
              <w:bottom w:val="single" w:sz="4" w:space="0" w:color="auto"/>
              <w:right w:val="single" w:sz="4" w:space="0" w:color="auto"/>
            </w:tcBorders>
            <w:shd w:val="clear" w:color="auto" w:fill="auto"/>
            <w:vAlign w:val="center"/>
            <w:hideMark/>
          </w:tcPr>
          <w:p w14:paraId="6FA5EA65"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 по приобретению материальных запасов</w:t>
            </w:r>
          </w:p>
        </w:tc>
        <w:tc>
          <w:tcPr>
            <w:tcW w:w="1206" w:type="dxa"/>
            <w:tcBorders>
              <w:top w:val="nil"/>
              <w:left w:val="nil"/>
              <w:bottom w:val="single" w:sz="4" w:space="0" w:color="auto"/>
              <w:right w:val="single" w:sz="4" w:space="0" w:color="auto"/>
            </w:tcBorders>
            <w:shd w:val="clear" w:color="auto" w:fill="auto"/>
            <w:vAlign w:val="center"/>
            <w:hideMark/>
          </w:tcPr>
          <w:p w14:paraId="4B1E1CA7"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0,7 </w:t>
            </w:r>
          </w:p>
        </w:tc>
        <w:tc>
          <w:tcPr>
            <w:tcW w:w="1206" w:type="dxa"/>
            <w:tcBorders>
              <w:top w:val="nil"/>
              <w:left w:val="nil"/>
              <w:bottom w:val="single" w:sz="4" w:space="0" w:color="auto"/>
              <w:right w:val="single" w:sz="4" w:space="0" w:color="auto"/>
            </w:tcBorders>
            <w:shd w:val="clear" w:color="auto" w:fill="auto"/>
            <w:vAlign w:val="center"/>
            <w:hideMark/>
          </w:tcPr>
          <w:p w14:paraId="5D3E052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848" w:type="dxa"/>
            <w:tcBorders>
              <w:top w:val="nil"/>
              <w:left w:val="nil"/>
              <w:bottom w:val="single" w:sz="4" w:space="0" w:color="auto"/>
              <w:right w:val="double" w:sz="6" w:space="0" w:color="auto"/>
            </w:tcBorders>
            <w:shd w:val="clear" w:color="auto" w:fill="auto"/>
            <w:vAlign w:val="center"/>
            <w:hideMark/>
          </w:tcPr>
          <w:p w14:paraId="2F58F59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-0,5 </w:t>
            </w:r>
          </w:p>
        </w:tc>
      </w:tr>
      <w:tr w:rsidR="00A53AD7" w:rsidRPr="00A53AD7" w14:paraId="22AB9FD9"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46185645"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2EB260AC"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989" w:type="dxa"/>
            <w:tcBorders>
              <w:top w:val="nil"/>
              <w:left w:val="nil"/>
              <w:bottom w:val="single" w:sz="4" w:space="0" w:color="auto"/>
              <w:right w:val="single" w:sz="4" w:space="0" w:color="auto"/>
            </w:tcBorders>
            <w:shd w:val="clear" w:color="auto" w:fill="auto"/>
            <w:vAlign w:val="center"/>
            <w:hideMark/>
          </w:tcPr>
          <w:p w14:paraId="0C337B88"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принятым обязательствам,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2E16CA1A"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444,0 </w:t>
            </w:r>
          </w:p>
        </w:tc>
        <w:tc>
          <w:tcPr>
            <w:tcW w:w="1206" w:type="dxa"/>
            <w:tcBorders>
              <w:top w:val="nil"/>
              <w:left w:val="nil"/>
              <w:bottom w:val="single" w:sz="4" w:space="0" w:color="auto"/>
              <w:right w:val="single" w:sz="4" w:space="0" w:color="auto"/>
            </w:tcBorders>
            <w:shd w:val="clear" w:color="auto" w:fill="auto"/>
            <w:vAlign w:val="center"/>
            <w:hideMark/>
          </w:tcPr>
          <w:p w14:paraId="3B541C0A"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244,9 </w:t>
            </w:r>
          </w:p>
        </w:tc>
        <w:tc>
          <w:tcPr>
            <w:tcW w:w="848" w:type="dxa"/>
            <w:tcBorders>
              <w:top w:val="nil"/>
              <w:left w:val="nil"/>
              <w:bottom w:val="single" w:sz="4" w:space="0" w:color="auto"/>
              <w:right w:val="double" w:sz="6" w:space="0" w:color="auto"/>
            </w:tcBorders>
            <w:shd w:val="clear" w:color="auto" w:fill="auto"/>
            <w:vAlign w:val="center"/>
            <w:hideMark/>
          </w:tcPr>
          <w:p w14:paraId="24C4883F"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-199,1 </w:t>
            </w:r>
          </w:p>
        </w:tc>
      </w:tr>
      <w:tr w:rsidR="00A53AD7" w:rsidRPr="00A53AD7" w14:paraId="60056E15"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D1FFBD5"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3F0CF677"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11</w:t>
            </w:r>
          </w:p>
        </w:tc>
        <w:tc>
          <w:tcPr>
            <w:tcW w:w="4989" w:type="dxa"/>
            <w:tcBorders>
              <w:top w:val="nil"/>
              <w:left w:val="nil"/>
              <w:bottom w:val="single" w:sz="4" w:space="0" w:color="auto"/>
              <w:right w:val="single" w:sz="4" w:space="0" w:color="auto"/>
            </w:tcBorders>
            <w:shd w:val="clear" w:color="auto" w:fill="auto"/>
            <w:vAlign w:val="center"/>
            <w:hideMark/>
          </w:tcPr>
          <w:p w14:paraId="6F58162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заработной плате</w:t>
            </w:r>
          </w:p>
        </w:tc>
        <w:tc>
          <w:tcPr>
            <w:tcW w:w="1206" w:type="dxa"/>
            <w:tcBorders>
              <w:top w:val="nil"/>
              <w:left w:val="nil"/>
              <w:bottom w:val="single" w:sz="4" w:space="0" w:color="auto"/>
              <w:right w:val="single" w:sz="4" w:space="0" w:color="auto"/>
            </w:tcBorders>
            <w:shd w:val="clear" w:color="auto" w:fill="auto"/>
            <w:vAlign w:val="center"/>
            <w:hideMark/>
          </w:tcPr>
          <w:p w14:paraId="21560D91"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14,2 </w:t>
            </w:r>
          </w:p>
        </w:tc>
        <w:tc>
          <w:tcPr>
            <w:tcW w:w="1206" w:type="dxa"/>
            <w:tcBorders>
              <w:top w:val="nil"/>
              <w:left w:val="nil"/>
              <w:bottom w:val="single" w:sz="4" w:space="0" w:color="auto"/>
              <w:right w:val="single" w:sz="4" w:space="0" w:color="auto"/>
            </w:tcBorders>
            <w:shd w:val="clear" w:color="auto" w:fill="auto"/>
            <w:vAlign w:val="center"/>
            <w:hideMark/>
          </w:tcPr>
          <w:p w14:paraId="7D5326D9"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10,8 </w:t>
            </w:r>
          </w:p>
        </w:tc>
        <w:tc>
          <w:tcPr>
            <w:tcW w:w="848" w:type="dxa"/>
            <w:tcBorders>
              <w:top w:val="nil"/>
              <w:left w:val="nil"/>
              <w:bottom w:val="single" w:sz="4" w:space="0" w:color="auto"/>
              <w:right w:val="double" w:sz="6" w:space="0" w:color="auto"/>
            </w:tcBorders>
            <w:shd w:val="clear" w:color="auto" w:fill="auto"/>
            <w:vAlign w:val="center"/>
            <w:hideMark/>
          </w:tcPr>
          <w:p w14:paraId="7A06555B"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 </w:t>
            </w:r>
          </w:p>
        </w:tc>
      </w:tr>
      <w:tr w:rsidR="00A53AD7" w:rsidRPr="00A53AD7" w14:paraId="7BA982D1"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4B5CF65E"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48644CB7"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23</w:t>
            </w:r>
          </w:p>
        </w:tc>
        <w:tc>
          <w:tcPr>
            <w:tcW w:w="4989" w:type="dxa"/>
            <w:tcBorders>
              <w:top w:val="nil"/>
              <w:left w:val="nil"/>
              <w:bottom w:val="single" w:sz="4" w:space="0" w:color="auto"/>
              <w:right w:val="single" w:sz="4" w:space="0" w:color="auto"/>
            </w:tcBorders>
            <w:shd w:val="clear" w:color="auto" w:fill="auto"/>
            <w:vAlign w:val="center"/>
            <w:hideMark/>
          </w:tcPr>
          <w:p w14:paraId="4ADFD6C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коммунальным услугам</w:t>
            </w:r>
          </w:p>
        </w:tc>
        <w:tc>
          <w:tcPr>
            <w:tcW w:w="1206" w:type="dxa"/>
            <w:tcBorders>
              <w:top w:val="nil"/>
              <w:left w:val="nil"/>
              <w:bottom w:val="single" w:sz="4" w:space="0" w:color="auto"/>
              <w:right w:val="single" w:sz="4" w:space="0" w:color="auto"/>
            </w:tcBorders>
            <w:shd w:val="clear" w:color="auto" w:fill="auto"/>
            <w:vAlign w:val="center"/>
            <w:hideMark/>
          </w:tcPr>
          <w:p w14:paraId="083F8961"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15,3 </w:t>
            </w:r>
          </w:p>
        </w:tc>
        <w:tc>
          <w:tcPr>
            <w:tcW w:w="1206" w:type="dxa"/>
            <w:tcBorders>
              <w:top w:val="nil"/>
              <w:left w:val="nil"/>
              <w:bottom w:val="single" w:sz="4" w:space="0" w:color="auto"/>
              <w:right w:val="single" w:sz="4" w:space="0" w:color="auto"/>
            </w:tcBorders>
            <w:shd w:val="clear" w:color="auto" w:fill="auto"/>
            <w:vAlign w:val="center"/>
            <w:hideMark/>
          </w:tcPr>
          <w:p w14:paraId="08861619"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15,4 </w:t>
            </w:r>
          </w:p>
        </w:tc>
        <w:tc>
          <w:tcPr>
            <w:tcW w:w="848" w:type="dxa"/>
            <w:tcBorders>
              <w:top w:val="nil"/>
              <w:left w:val="nil"/>
              <w:bottom w:val="single" w:sz="4" w:space="0" w:color="auto"/>
              <w:right w:val="double" w:sz="6" w:space="0" w:color="auto"/>
            </w:tcBorders>
            <w:shd w:val="clear" w:color="auto" w:fill="auto"/>
            <w:vAlign w:val="center"/>
            <w:hideMark/>
          </w:tcPr>
          <w:p w14:paraId="1B0A77F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r>
      <w:tr w:rsidR="00A53AD7" w:rsidRPr="00A53AD7" w14:paraId="1D381458"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310C7354"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45B12A7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24</w:t>
            </w:r>
          </w:p>
        </w:tc>
        <w:tc>
          <w:tcPr>
            <w:tcW w:w="4989" w:type="dxa"/>
            <w:tcBorders>
              <w:top w:val="nil"/>
              <w:left w:val="nil"/>
              <w:bottom w:val="single" w:sz="4" w:space="0" w:color="auto"/>
              <w:right w:val="single" w:sz="4" w:space="0" w:color="auto"/>
            </w:tcBorders>
            <w:shd w:val="clear" w:color="auto" w:fill="auto"/>
            <w:vAlign w:val="center"/>
            <w:hideMark/>
          </w:tcPr>
          <w:p w14:paraId="38B705FA"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арендной плате за пользование имуществом</w:t>
            </w:r>
          </w:p>
        </w:tc>
        <w:tc>
          <w:tcPr>
            <w:tcW w:w="1206" w:type="dxa"/>
            <w:tcBorders>
              <w:top w:val="nil"/>
              <w:left w:val="nil"/>
              <w:bottom w:val="single" w:sz="4" w:space="0" w:color="auto"/>
              <w:right w:val="single" w:sz="4" w:space="0" w:color="auto"/>
            </w:tcBorders>
            <w:shd w:val="clear" w:color="auto" w:fill="auto"/>
            <w:vAlign w:val="center"/>
            <w:hideMark/>
          </w:tcPr>
          <w:p w14:paraId="606D0D21"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 </w:t>
            </w:r>
          </w:p>
        </w:tc>
        <w:tc>
          <w:tcPr>
            <w:tcW w:w="1206" w:type="dxa"/>
            <w:tcBorders>
              <w:top w:val="nil"/>
              <w:left w:val="nil"/>
              <w:bottom w:val="single" w:sz="4" w:space="0" w:color="auto"/>
              <w:right w:val="single" w:sz="4" w:space="0" w:color="auto"/>
            </w:tcBorders>
            <w:shd w:val="clear" w:color="auto" w:fill="auto"/>
            <w:vAlign w:val="center"/>
            <w:hideMark/>
          </w:tcPr>
          <w:p w14:paraId="529D858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w:t>
            </w:r>
          </w:p>
        </w:tc>
        <w:tc>
          <w:tcPr>
            <w:tcW w:w="848" w:type="dxa"/>
            <w:tcBorders>
              <w:top w:val="nil"/>
              <w:left w:val="nil"/>
              <w:bottom w:val="single" w:sz="4" w:space="0" w:color="auto"/>
              <w:right w:val="double" w:sz="6" w:space="0" w:color="auto"/>
            </w:tcBorders>
            <w:shd w:val="clear" w:color="auto" w:fill="auto"/>
            <w:vAlign w:val="center"/>
            <w:hideMark/>
          </w:tcPr>
          <w:p w14:paraId="00176987"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r>
      <w:tr w:rsidR="00A53AD7" w:rsidRPr="00A53AD7" w14:paraId="4F6FD171"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0B71459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1386ABBD"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25</w:t>
            </w:r>
          </w:p>
        </w:tc>
        <w:tc>
          <w:tcPr>
            <w:tcW w:w="4989" w:type="dxa"/>
            <w:tcBorders>
              <w:top w:val="nil"/>
              <w:left w:val="nil"/>
              <w:bottom w:val="single" w:sz="4" w:space="0" w:color="auto"/>
              <w:right w:val="single" w:sz="4" w:space="0" w:color="auto"/>
            </w:tcBorders>
            <w:shd w:val="clear" w:color="auto" w:fill="auto"/>
            <w:vAlign w:val="center"/>
            <w:hideMark/>
          </w:tcPr>
          <w:p w14:paraId="30771FE4"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работам, услугам по содержанию имущества</w:t>
            </w:r>
          </w:p>
        </w:tc>
        <w:tc>
          <w:tcPr>
            <w:tcW w:w="1206" w:type="dxa"/>
            <w:tcBorders>
              <w:top w:val="nil"/>
              <w:left w:val="nil"/>
              <w:bottom w:val="single" w:sz="4" w:space="0" w:color="auto"/>
              <w:right w:val="single" w:sz="4" w:space="0" w:color="auto"/>
            </w:tcBorders>
            <w:shd w:val="clear" w:color="auto" w:fill="auto"/>
            <w:vAlign w:val="center"/>
            <w:hideMark/>
          </w:tcPr>
          <w:p w14:paraId="650F4A7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93,2 </w:t>
            </w:r>
          </w:p>
        </w:tc>
        <w:tc>
          <w:tcPr>
            <w:tcW w:w="1206" w:type="dxa"/>
            <w:tcBorders>
              <w:top w:val="nil"/>
              <w:left w:val="nil"/>
              <w:bottom w:val="single" w:sz="4" w:space="0" w:color="auto"/>
              <w:right w:val="single" w:sz="4" w:space="0" w:color="auto"/>
            </w:tcBorders>
            <w:shd w:val="clear" w:color="auto" w:fill="auto"/>
            <w:vAlign w:val="center"/>
            <w:hideMark/>
          </w:tcPr>
          <w:p w14:paraId="16A7980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41,5 </w:t>
            </w:r>
          </w:p>
        </w:tc>
        <w:tc>
          <w:tcPr>
            <w:tcW w:w="848" w:type="dxa"/>
            <w:tcBorders>
              <w:top w:val="nil"/>
              <w:left w:val="nil"/>
              <w:bottom w:val="single" w:sz="4" w:space="0" w:color="auto"/>
              <w:right w:val="double" w:sz="6" w:space="0" w:color="auto"/>
            </w:tcBorders>
            <w:shd w:val="clear" w:color="auto" w:fill="auto"/>
            <w:vAlign w:val="center"/>
            <w:hideMark/>
          </w:tcPr>
          <w:p w14:paraId="367F5F17"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-51,7 </w:t>
            </w:r>
          </w:p>
        </w:tc>
      </w:tr>
      <w:tr w:rsidR="00A53AD7" w:rsidRPr="00A53AD7" w14:paraId="45E2DE33"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0FC2BEF6"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3D248DDA"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26</w:t>
            </w:r>
          </w:p>
        </w:tc>
        <w:tc>
          <w:tcPr>
            <w:tcW w:w="4989" w:type="dxa"/>
            <w:tcBorders>
              <w:top w:val="nil"/>
              <w:left w:val="nil"/>
              <w:bottom w:val="single" w:sz="4" w:space="0" w:color="auto"/>
              <w:right w:val="single" w:sz="4" w:space="0" w:color="auto"/>
            </w:tcBorders>
            <w:shd w:val="clear" w:color="auto" w:fill="auto"/>
            <w:vAlign w:val="center"/>
            <w:hideMark/>
          </w:tcPr>
          <w:p w14:paraId="3E62BDA9"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прочим работам, услугам</w:t>
            </w:r>
          </w:p>
        </w:tc>
        <w:tc>
          <w:tcPr>
            <w:tcW w:w="1206" w:type="dxa"/>
            <w:tcBorders>
              <w:top w:val="nil"/>
              <w:left w:val="nil"/>
              <w:bottom w:val="single" w:sz="4" w:space="0" w:color="auto"/>
              <w:right w:val="single" w:sz="4" w:space="0" w:color="auto"/>
            </w:tcBorders>
            <w:shd w:val="clear" w:color="auto" w:fill="auto"/>
            <w:vAlign w:val="center"/>
            <w:hideMark/>
          </w:tcPr>
          <w:p w14:paraId="6D12D196"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16,8 </w:t>
            </w:r>
          </w:p>
        </w:tc>
        <w:tc>
          <w:tcPr>
            <w:tcW w:w="1206" w:type="dxa"/>
            <w:tcBorders>
              <w:top w:val="nil"/>
              <w:left w:val="nil"/>
              <w:bottom w:val="single" w:sz="4" w:space="0" w:color="auto"/>
              <w:right w:val="single" w:sz="4" w:space="0" w:color="auto"/>
            </w:tcBorders>
            <w:shd w:val="clear" w:color="auto" w:fill="auto"/>
            <w:vAlign w:val="center"/>
            <w:hideMark/>
          </w:tcPr>
          <w:p w14:paraId="05FF557E"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20,4 </w:t>
            </w:r>
          </w:p>
        </w:tc>
        <w:tc>
          <w:tcPr>
            <w:tcW w:w="848" w:type="dxa"/>
            <w:tcBorders>
              <w:top w:val="nil"/>
              <w:left w:val="nil"/>
              <w:bottom w:val="single" w:sz="4" w:space="0" w:color="auto"/>
              <w:right w:val="double" w:sz="6" w:space="0" w:color="auto"/>
            </w:tcBorders>
            <w:shd w:val="clear" w:color="auto" w:fill="auto"/>
            <w:vAlign w:val="center"/>
            <w:hideMark/>
          </w:tcPr>
          <w:p w14:paraId="2F7F68C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 </w:t>
            </w:r>
          </w:p>
        </w:tc>
      </w:tr>
      <w:tr w:rsidR="00A53AD7" w:rsidRPr="00A53AD7" w14:paraId="057B492A"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B7330CE"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7D242659"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31</w:t>
            </w:r>
          </w:p>
        </w:tc>
        <w:tc>
          <w:tcPr>
            <w:tcW w:w="4989" w:type="dxa"/>
            <w:tcBorders>
              <w:top w:val="nil"/>
              <w:left w:val="nil"/>
              <w:bottom w:val="single" w:sz="4" w:space="0" w:color="auto"/>
              <w:right w:val="single" w:sz="4" w:space="0" w:color="auto"/>
            </w:tcBorders>
            <w:shd w:val="clear" w:color="auto" w:fill="auto"/>
            <w:vAlign w:val="center"/>
            <w:hideMark/>
          </w:tcPr>
          <w:p w14:paraId="6EE02A87"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основных средств</w:t>
            </w:r>
          </w:p>
        </w:tc>
        <w:tc>
          <w:tcPr>
            <w:tcW w:w="1206" w:type="dxa"/>
            <w:tcBorders>
              <w:top w:val="nil"/>
              <w:left w:val="nil"/>
              <w:bottom w:val="single" w:sz="4" w:space="0" w:color="auto"/>
              <w:right w:val="single" w:sz="4" w:space="0" w:color="auto"/>
            </w:tcBorders>
            <w:shd w:val="clear" w:color="auto" w:fill="auto"/>
            <w:vAlign w:val="center"/>
            <w:hideMark/>
          </w:tcPr>
          <w:p w14:paraId="28CC632C"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105,1 </w:t>
            </w:r>
          </w:p>
        </w:tc>
        <w:tc>
          <w:tcPr>
            <w:tcW w:w="1206" w:type="dxa"/>
            <w:tcBorders>
              <w:top w:val="nil"/>
              <w:left w:val="nil"/>
              <w:bottom w:val="single" w:sz="4" w:space="0" w:color="auto"/>
              <w:right w:val="single" w:sz="4" w:space="0" w:color="auto"/>
            </w:tcBorders>
            <w:shd w:val="clear" w:color="auto" w:fill="auto"/>
            <w:vAlign w:val="center"/>
            <w:hideMark/>
          </w:tcPr>
          <w:p w14:paraId="440558A4"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39,3 </w:t>
            </w:r>
          </w:p>
        </w:tc>
        <w:tc>
          <w:tcPr>
            <w:tcW w:w="848" w:type="dxa"/>
            <w:tcBorders>
              <w:top w:val="nil"/>
              <w:left w:val="nil"/>
              <w:bottom w:val="single" w:sz="4" w:space="0" w:color="auto"/>
              <w:right w:val="double" w:sz="6" w:space="0" w:color="auto"/>
            </w:tcBorders>
            <w:shd w:val="clear" w:color="auto" w:fill="auto"/>
            <w:vAlign w:val="center"/>
            <w:hideMark/>
          </w:tcPr>
          <w:p w14:paraId="1C26544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-65,8 </w:t>
            </w:r>
          </w:p>
        </w:tc>
      </w:tr>
      <w:tr w:rsidR="00A53AD7" w:rsidRPr="00A53AD7" w14:paraId="73DC4516"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5B273E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0A161043"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41</w:t>
            </w:r>
          </w:p>
        </w:tc>
        <w:tc>
          <w:tcPr>
            <w:tcW w:w="4989" w:type="dxa"/>
            <w:tcBorders>
              <w:top w:val="nil"/>
              <w:left w:val="nil"/>
              <w:bottom w:val="single" w:sz="4" w:space="0" w:color="auto"/>
              <w:right w:val="single" w:sz="4" w:space="0" w:color="auto"/>
            </w:tcBorders>
            <w:shd w:val="clear" w:color="auto" w:fill="auto"/>
            <w:vAlign w:val="center"/>
            <w:hideMark/>
          </w:tcPr>
          <w:p w14:paraId="0B7A808F"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государственным (муниципальным) бюджетным и автономным учреждениям</w:t>
            </w:r>
          </w:p>
        </w:tc>
        <w:tc>
          <w:tcPr>
            <w:tcW w:w="1206" w:type="dxa"/>
            <w:tcBorders>
              <w:top w:val="nil"/>
              <w:left w:val="nil"/>
              <w:bottom w:val="single" w:sz="4" w:space="0" w:color="auto"/>
              <w:right w:val="single" w:sz="4" w:space="0" w:color="auto"/>
            </w:tcBorders>
            <w:shd w:val="clear" w:color="auto" w:fill="auto"/>
            <w:vAlign w:val="center"/>
            <w:hideMark/>
          </w:tcPr>
          <w:p w14:paraId="75A2937C"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42,7 </w:t>
            </w:r>
          </w:p>
        </w:tc>
        <w:tc>
          <w:tcPr>
            <w:tcW w:w="1206" w:type="dxa"/>
            <w:tcBorders>
              <w:top w:val="nil"/>
              <w:left w:val="nil"/>
              <w:bottom w:val="single" w:sz="4" w:space="0" w:color="auto"/>
              <w:right w:val="single" w:sz="4" w:space="0" w:color="auto"/>
            </w:tcBorders>
            <w:shd w:val="clear" w:color="auto" w:fill="auto"/>
            <w:vAlign w:val="center"/>
            <w:hideMark/>
          </w:tcPr>
          <w:p w14:paraId="7900FC52"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49,1 </w:t>
            </w:r>
          </w:p>
        </w:tc>
        <w:tc>
          <w:tcPr>
            <w:tcW w:w="848" w:type="dxa"/>
            <w:tcBorders>
              <w:top w:val="nil"/>
              <w:left w:val="nil"/>
              <w:bottom w:val="single" w:sz="4" w:space="0" w:color="auto"/>
              <w:right w:val="double" w:sz="6" w:space="0" w:color="auto"/>
            </w:tcBorders>
            <w:shd w:val="clear" w:color="auto" w:fill="auto"/>
            <w:vAlign w:val="center"/>
            <w:hideMark/>
          </w:tcPr>
          <w:p w14:paraId="35DCD4CB"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 </w:t>
            </w:r>
          </w:p>
        </w:tc>
      </w:tr>
      <w:tr w:rsidR="00A53AD7" w:rsidRPr="00A53AD7" w14:paraId="26701F8B"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45358E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6C87405B"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45</w:t>
            </w:r>
          </w:p>
        </w:tc>
        <w:tc>
          <w:tcPr>
            <w:tcW w:w="4989" w:type="dxa"/>
            <w:tcBorders>
              <w:top w:val="nil"/>
              <w:left w:val="nil"/>
              <w:bottom w:val="single" w:sz="4" w:space="0" w:color="auto"/>
              <w:right w:val="single" w:sz="4" w:space="0" w:color="auto"/>
            </w:tcBorders>
            <w:shd w:val="clear" w:color="auto" w:fill="auto"/>
            <w:vAlign w:val="center"/>
            <w:hideMark/>
          </w:tcPr>
          <w:p w14:paraId="1BBCCF1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производство</w:t>
            </w:r>
          </w:p>
        </w:tc>
        <w:tc>
          <w:tcPr>
            <w:tcW w:w="1206" w:type="dxa"/>
            <w:tcBorders>
              <w:top w:val="nil"/>
              <w:left w:val="nil"/>
              <w:bottom w:val="single" w:sz="4" w:space="0" w:color="auto"/>
              <w:right w:val="single" w:sz="4" w:space="0" w:color="auto"/>
            </w:tcBorders>
            <w:shd w:val="clear" w:color="auto" w:fill="auto"/>
            <w:vAlign w:val="center"/>
            <w:hideMark/>
          </w:tcPr>
          <w:p w14:paraId="356215F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12,1 </w:t>
            </w:r>
          </w:p>
        </w:tc>
        <w:tc>
          <w:tcPr>
            <w:tcW w:w="1206" w:type="dxa"/>
            <w:tcBorders>
              <w:top w:val="nil"/>
              <w:left w:val="nil"/>
              <w:bottom w:val="single" w:sz="4" w:space="0" w:color="auto"/>
              <w:right w:val="single" w:sz="4" w:space="0" w:color="auto"/>
            </w:tcBorders>
            <w:shd w:val="clear" w:color="auto" w:fill="auto"/>
            <w:vAlign w:val="center"/>
            <w:hideMark/>
          </w:tcPr>
          <w:p w14:paraId="0EF0EEA3"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848" w:type="dxa"/>
            <w:tcBorders>
              <w:top w:val="nil"/>
              <w:left w:val="nil"/>
              <w:bottom w:val="single" w:sz="4" w:space="0" w:color="auto"/>
              <w:right w:val="double" w:sz="6" w:space="0" w:color="auto"/>
            </w:tcBorders>
            <w:shd w:val="clear" w:color="auto" w:fill="auto"/>
            <w:vAlign w:val="center"/>
            <w:hideMark/>
          </w:tcPr>
          <w:p w14:paraId="4BFF9125"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-11,9 </w:t>
            </w:r>
          </w:p>
        </w:tc>
      </w:tr>
      <w:tr w:rsidR="00A53AD7" w:rsidRPr="00A53AD7" w14:paraId="289C74B4"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3676EEF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0BB9460E"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46</w:t>
            </w:r>
          </w:p>
        </w:tc>
        <w:tc>
          <w:tcPr>
            <w:tcW w:w="4989" w:type="dxa"/>
            <w:tcBorders>
              <w:top w:val="nil"/>
              <w:left w:val="nil"/>
              <w:bottom w:val="single" w:sz="4" w:space="0" w:color="auto"/>
              <w:right w:val="single" w:sz="4" w:space="0" w:color="auto"/>
            </w:tcBorders>
            <w:shd w:val="clear" w:color="auto" w:fill="auto"/>
            <w:vAlign w:val="center"/>
            <w:hideMark/>
          </w:tcPr>
          <w:p w14:paraId="5DC14AE5"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некоммерческим организациям и физическим лицам - производителям товаров, работ</w:t>
            </w:r>
          </w:p>
        </w:tc>
        <w:tc>
          <w:tcPr>
            <w:tcW w:w="1206" w:type="dxa"/>
            <w:tcBorders>
              <w:top w:val="nil"/>
              <w:left w:val="nil"/>
              <w:bottom w:val="single" w:sz="4" w:space="0" w:color="auto"/>
              <w:right w:val="single" w:sz="4" w:space="0" w:color="auto"/>
            </w:tcBorders>
            <w:shd w:val="clear" w:color="auto" w:fill="auto"/>
            <w:vAlign w:val="center"/>
            <w:hideMark/>
          </w:tcPr>
          <w:p w14:paraId="5B631BC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06" w:type="dxa"/>
            <w:tcBorders>
              <w:top w:val="nil"/>
              <w:left w:val="nil"/>
              <w:bottom w:val="single" w:sz="4" w:space="0" w:color="auto"/>
              <w:right w:val="single" w:sz="4" w:space="0" w:color="auto"/>
            </w:tcBorders>
            <w:shd w:val="clear" w:color="auto" w:fill="auto"/>
            <w:vAlign w:val="center"/>
            <w:hideMark/>
          </w:tcPr>
          <w:p w14:paraId="042E041B"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c>
          <w:tcPr>
            <w:tcW w:w="848" w:type="dxa"/>
            <w:tcBorders>
              <w:top w:val="nil"/>
              <w:left w:val="nil"/>
              <w:bottom w:val="single" w:sz="4" w:space="0" w:color="auto"/>
              <w:right w:val="double" w:sz="6" w:space="0" w:color="auto"/>
            </w:tcBorders>
            <w:shd w:val="clear" w:color="auto" w:fill="auto"/>
            <w:vAlign w:val="center"/>
            <w:hideMark/>
          </w:tcPr>
          <w:p w14:paraId="74602C9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r>
      <w:tr w:rsidR="00A53AD7" w:rsidRPr="00A53AD7" w14:paraId="77FD595A"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535E60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4FC541DA"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96</w:t>
            </w:r>
          </w:p>
        </w:tc>
        <w:tc>
          <w:tcPr>
            <w:tcW w:w="4989" w:type="dxa"/>
            <w:tcBorders>
              <w:top w:val="nil"/>
              <w:left w:val="nil"/>
              <w:bottom w:val="single" w:sz="4" w:space="0" w:color="auto"/>
              <w:right w:val="single" w:sz="4" w:space="0" w:color="auto"/>
            </w:tcBorders>
            <w:shd w:val="clear" w:color="auto" w:fill="auto"/>
            <w:vAlign w:val="center"/>
            <w:hideMark/>
          </w:tcPr>
          <w:p w14:paraId="5D7C165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иным выплатам текущего характера физическим лицам</w:t>
            </w:r>
          </w:p>
        </w:tc>
        <w:tc>
          <w:tcPr>
            <w:tcW w:w="1206" w:type="dxa"/>
            <w:tcBorders>
              <w:top w:val="nil"/>
              <w:left w:val="nil"/>
              <w:bottom w:val="single" w:sz="4" w:space="0" w:color="auto"/>
              <w:right w:val="single" w:sz="4" w:space="0" w:color="auto"/>
            </w:tcBorders>
            <w:shd w:val="clear" w:color="auto" w:fill="auto"/>
            <w:vAlign w:val="center"/>
            <w:hideMark/>
          </w:tcPr>
          <w:p w14:paraId="7C72191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69,4 </w:t>
            </w:r>
          </w:p>
        </w:tc>
        <w:tc>
          <w:tcPr>
            <w:tcW w:w="1206" w:type="dxa"/>
            <w:tcBorders>
              <w:top w:val="nil"/>
              <w:left w:val="nil"/>
              <w:bottom w:val="single" w:sz="4" w:space="0" w:color="auto"/>
              <w:right w:val="single" w:sz="4" w:space="0" w:color="auto"/>
            </w:tcBorders>
            <w:shd w:val="clear" w:color="auto" w:fill="auto"/>
            <w:vAlign w:val="center"/>
            <w:hideMark/>
          </w:tcPr>
          <w:p w14:paraId="403A63FF"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33,4 </w:t>
            </w:r>
          </w:p>
        </w:tc>
        <w:tc>
          <w:tcPr>
            <w:tcW w:w="848" w:type="dxa"/>
            <w:tcBorders>
              <w:top w:val="nil"/>
              <w:left w:val="nil"/>
              <w:bottom w:val="single" w:sz="4" w:space="0" w:color="auto"/>
              <w:right w:val="double" w:sz="6" w:space="0" w:color="auto"/>
            </w:tcBorders>
            <w:shd w:val="clear" w:color="auto" w:fill="auto"/>
            <w:vAlign w:val="center"/>
            <w:hideMark/>
          </w:tcPr>
          <w:p w14:paraId="1B1B0E39"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-36,1 </w:t>
            </w:r>
          </w:p>
        </w:tc>
      </w:tr>
      <w:tr w:rsidR="00A53AD7" w:rsidRPr="00A53AD7" w14:paraId="00D274DE"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4D59B7D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40" w:type="dxa"/>
            <w:tcBorders>
              <w:top w:val="nil"/>
              <w:left w:val="nil"/>
              <w:bottom w:val="single" w:sz="4" w:space="0" w:color="auto"/>
              <w:right w:val="single" w:sz="4" w:space="0" w:color="auto"/>
            </w:tcBorders>
            <w:shd w:val="clear" w:color="auto" w:fill="auto"/>
            <w:vAlign w:val="center"/>
            <w:hideMark/>
          </w:tcPr>
          <w:p w14:paraId="05EDE35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97</w:t>
            </w:r>
          </w:p>
        </w:tc>
        <w:tc>
          <w:tcPr>
            <w:tcW w:w="4989" w:type="dxa"/>
            <w:tcBorders>
              <w:top w:val="nil"/>
              <w:left w:val="nil"/>
              <w:bottom w:val="single" w:sz="4" w:space="0" w:color="auto"/>
              <w:right w:val="single" w:sz="4" w:space="0" w:color="auto"/>
            </w:tcBorders>
            <w:shd w:val="clear" w:color="auto" w:fill="auto"/>
            <w:vAlign w:val="center"/>
            <w:hideMark/>
          </w:tcPr>
          <w:p w14:paraId="1236166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иным выплатам текущего характера организациям</w:t>
            </w:r>
          </w:p>
        </w:tc>
        <w:tc>
          <w:tcPr>
            <w:tcW w:w="1206" w:type="dxa"/>
            <w:tcBorders>
              <w:top w:val="nil"/>
              <w:left w:val="nil"/>
              <w:bottom w:val="single" w:sz="4" w:space="0" w:color="auto"/>
              <w:right w:val="single" w:sz="4" w:space="0" w:color="auto"/>
            </w:tcBorders>
            <w:shd w:val="clear" w:color="auto" w:fill="auto"/>
            <w:vAlign w:val="center"/>
            <w:hideMark/>
          </w:tcPr>
          <w:p w14:paraId="4005686C"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51,5 </w:t>
            </w:r>
          </w:p>
        </w:tc>
        <w:tc>
          <w:tcPr>
            <w:tcW w:w="1206" w:type="dxa"/>
            <w:tcBorders>
              <w:top w:val="nil"/>
              <w:left w:val="nil"/>
              <w:bottom w:val="single" w:sz="4" w:space="0" w:color="auto"/>
              <w:right w:val="single" w:sz="4" w:space="0" w:color="auto"/>
            </w:tcBorders>
            <w:shd w:val="clear" w:color="auto" w:fill="auto"/>
            <w:vAlign w:val="center"/>
            <w:hideMark/>
          </w:tcPr>
          <w:p w14:paraId="2A83C144"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14,6 </w:t>
            </w:r>
          </w:p>
        </w:tc>
        <w:tc>
          <w:tcPr>
            <w:tcW w:w="848" w:type="dxa"/>
            <w:tcBorders>
              <w:top w:val="nil"/>
              <w:left w:val="nil"/>
              <w:bottom w:val="single" w:sz="4" w:space="0" w:color="auto"/>
              <w:right w:val="double" w:sz="6" w:space="0" w:color="auto"/>
            </w:tcBorders>
            <w:shd w:val="clear" w:color="auto" w:fill="auto"/>
            <w:vAlign w:val="center"/>
            <w:hideMark/>
          </w:tcPr>
          <w:p w14:paraId="1B9A12D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-36,9 </w:t>
            </w:r>
          </w:p>
        </w:tc>
      </w:tr>
      <w:tr w:rsidR="00A53AD7" w:rsidRPr="00A53AD7" w14:paraId="669D75E2"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4DA0E31"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303</w:t>
            </w:r>
          </w:p>
        </w:tc>
        <w:tc>
          <w:tcPr>
            <w:tcW w:w="440" w:type="dxa"/>
            <w:tcBorders>
              <w:top w:val="nil"/>
              <w:left w:val="nil"/>
              <w:bottom w:val="single" w:sz="4" w:space="0" w:color="auto"/>
              <w:right w:val="single" w:sz="4" w:space="0" w:color="auto"/>
            </w:tcBorders>
            <w:shd w:val="clear" w:color="auto" w:fill="auto"/>
            <w:vAlign w:val="center"/>
            <w:hideMark/>
          </w:tcPr>
          <w:p w14:paraId="5C5F215A"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989" w:type="dxa"/>
            <w:tcBorders>
              <w:top w:val="nil"/>
              <w:left w:val="nil"/>
              <w:bottom w:val="single" w:sz="4" w:space="0" w:color="auto"/>
              <w:right w:val="single" w:sz="4" w:space="0" w:color="auto"/>
            </w:tcBorders>
            <w:shd w:val="clear" w:color="auto" w:fill="auto"/>
            <w:vAlign w:val="center"/>
            <w:hideMark/>
          </w:tcPr>
          <w:p w14:paraId="488F5DD6" w14:textId="49A5D7E7" w:rsidR="00F700F3" w:rsidRPr="00A53AD7" w:rsidRDefault="00F700F3" w:rsidP="00CE64B5">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платежам в бюджеты,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3F0FBEB2"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28,7 </w:t>
            </w:r>
          </w:p>
        </w:tc>
        <w:tc>
          <w:tcPr>
            <w:tcW w:w="1206" w:type="dxa"/>
            <w:tcBorders>
              <w:top w:val="nil"/>
              <w:left w:val="nil"/>
              <w:bottom w:val="single" w:sz="4" w:space="0" w:color="auto"/>
              <w:right w:val="single" w:sz="4" w:space="0" w:color="auto"/>
            </w:tcBorders>
            <w:shd w:val="clear" w:color="auto" w:fill="auto"/>
            <w:vAlign w:val="center"/>
            <w:hideMark/>
          </w:tcPr>
          <w:p w14:paraId="5A139857"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20,6 </w:t>
            </w:r>
          </w:p>
        </w:tc>
        <w:tc>
          <w:tcPr>
            <w:tcW w:w="848" w:type="dxa"/>
            <w:tcBorders>
              <w:top w:val="nil"/>
              <w:left w:val="nil"/>
              <w:bottom w:val="single" w:sz="4" w:space="0" w:color="auto"/>
              <w:right w:val="double" w:sz="6" w:space="0" w:color="auto"/>
            </w:tcBorders>
            <w:shd w:val="clear" w:color="auto" w:fill="auto"/>
            <w:vAlign w:val="center"/>
            <w:hideMark/>
          </w:tcPr>
          <w:p w14:paraId="3CC82E1A"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-8,1 </w:t>
            </w:r>
          </w:p>
        </w:tc>
      </w:tr>
      <w:tr w:rsidR="00A53AD7" w:rsidRPr="00A53AD7" w14:paraId="0A09BAC9"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41C04228"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nil"/>
              <w:left w:val="nil"/>
              <w:bottom w:val="single" w:sz="4" w:space="0" w:color="auto"/>
              <w:right w:val="single" w:sz="4" w:space="0" w:color="auto"/>
            </w:tcBorders>
            <w:shd w:val="clear" w:color="auto" w:fill="auto"/>
            <w:vAlign w:val="center"/>
            <w:hideMark/>
          </w:tcPr>
          <w:p w14:paraId="07B6D752"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01</w:t>
            </w:r>
          </w:p>
        </w:tc>
        <w:tc>
          <w:tcPr>
            <w:tcW w:w="4989" w:type="dxa"/>
            <w:tcBorders>
              <w:top w:val="nil"/>
              <w:left w:val="nil"/>
              <w:bottom w:val="single" w:sz="4" w:space="0" w:color="auto"/>
              <w:right w:val="single" w:sz="4" w:space="0" w:color="auto"/>
            </w:tcBorders>
            <w:shd w:val="clear" w:color="auto" w:fill="auto"/>
            <w:vAlign w:val="center"/>
            <w:hideMark/>
          </w:tcPr>
          <w:p w14:paraId="0C6F0FA7"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налогу на доходы физических лиц</w:t>
            </w:r>
          </w:p>
        </w:tc>
        <w:tc>
          <w:tcPr>
            <w:tcW w:w="1206" w:type="dxa"/>
            <w:tcBorders>
              <w:top w:val="nil"/>
              <w:left w:val="nil"/>
              <w:bottom w:val="single" w:sz="4" w:space="0" w:color="auto"/>
              <w:right w:val="single" w:sz="4" w:space="0" w:color="auto"/>
            </w:tcBorders>
            <w:shd w:val="clear" w:color="auto" w:fill="auto"/>
            <w:vAlign w:val="center"/>
            <w:hideMark/>
          </w:tcPr>
          <w:p w14:paraId="1BB8294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 </w:t>
            </w:r>
          </w:p>
        </w:tc>
        <w:tc>
          <w:tcPr>
            <w:tcW w:w="1206" w:type="dxa"/>
            <w:tcBorders>
              <w:top w:val="nil"/>
              <w:left w:val="nil"/>
              <w:bottom w:val="single" w:sz="4" w:space="0" w:color="auto"/>
              <w:right w:val="single" w:sz="4" w:space="0" w:color="auto"/>
            </w:tcBorders>
            <w:shd w:val="clear" w:color="auto" w:fill="auto"/>
            <w:vAlign w:val="center"/>
            <w:hideMark/>
          </w:tcPr>
          <w:p w14:paraId="03133CD8"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 </w:t>
            </w:r>
          </w:p>
        </w:tc>
        <w:tc>
          <w:tcPr>
            <w:tcW w:w="848" w:type="dxa"/>
            <w:tcBorders>
              <w:top w:val="nil"/>
              <w:left w:val="nil"/>
              <w:bottom w:val="single" w:sz="4" w:space="0" w:color="auto"/>
              <w:right w:val="double" w:sz="6" w:space="0" w:color="auto"/>
            </w:tcBorders>
            <w:shd w:val="clear" w:color="auto" w:fill="auto"/>
            <w:vAlign w:val="center"/>
            <w:hideMark/>
          </w:tcPr>
          <w:p w14:paraId="1411CD9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w:t>
            </w:r>
          </w:p>
        </w:tc>
      </w:tr>
      <w:tr w:rsidR="00A53AD7" w:rsidRPr="00A53AD7" w14:paraId="7274492F"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324F64B9"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nil"/>
              <w:left w:val="nil"/>
              <w:bottom w:val="single" w:sz="4" w:space="0" w:color="auto"/>
              <w:right w:val="single" w:sz="4" w:space="0" w:color="auto"/>
            </w:tcBorders>
            <w:shd w:val="clear" w:color="auto" w:fill="auto"/>
            <w:vAlign w:val="center"/>
            <w:hideMark/>
          </w:tcPr>
          <w:p w14:paraId="2AD7CD6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04</w:t>
            </w:r>
          </w:p>
        </w:tc>
        <w:tc>
          <w:tcPr>
            <w:tcW w:w="4989" w:type="dxa"/>
            <w:tcBorders>
              <w:top w:val="nil"/>
              <w:left w:val="nil"/>
              <w:bottom w:val="single" w:sz="4" w:space="0" w:color="auto"/>
              <w:right w:val="single" w:sz="4" w:space="0" w:color="auto"/>
            </w:tcBorders>
            <w:shd w:val="clear" w:color="auto" w:fill="auto"/>
            <w:vAlign w:val="center"/>
            <w:hideMark/>
          </w:tcPr>
          <w:p w14:paraId="33F07543"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налогу на добавленную стоимость</w:t>
            </w:r>
          </w:p>
        </w:tc>
        <w:tc>
          <w:tcPr>
            <w:tcW w:w="1206" w:type="dxa"/>
            <w:tcBorders>
              <w:top w:val="nil"/>
              <w:left w:val="nil"/>
              <w:bottom w:val="single" w:sz="4" w:space="0" w:color="auto"/>
              <w:right w:val="single" w:sz="4" w:space="0" w:color="auto"/>
            </w:tcBorders>
            <w:shd w:val="clear" w:color="auto" w:fill="auto"/>
            <w:vAlign w:val="center"/>
            <w:hideMark/>
          </w:tcPr>
          <w:p w14:paraId="2ACF5AB1"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w:t>
            </w:r>
          </w:p>
        </w:tc>
        <w:tc>
          <w:tcPr>
            <w:tcW w:w="1206" w:type="dxa"/>
            <w:tcBorders>
              <w:top w:val="nil"/>
              <w:left w:val="nil"/>
              <w:bottom w:val="single" w:sz="4" w:space="0" w:color="auto"/>
              <w:right w:val="single" w:sz="4" w:space="0" w:color="auto"/>
            </w:tcBorders>
            <w:shd w:val="clear" w:color="auto" w:fill="auto"/>
            <w:vAlign w:val="center"/>
            <w:hideMark/>
          </w:tcPr>
          <w:p w14:paraId="6FD6F97C"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c>
          <w:tcPr>
            <w:tcW w:w="848" w:type="dxa"/>
            <w:tcBorders>
              <w:top w:val="nil"/>
              <w:left w:val="nil"/>
              <w:bottom w:val="single" w:sz="4" w:space="0" w:color="auto"/>
              <w:right w:val="double" w:sz="6" w:space="0" w:color="auto"/>
            </w:tcBorders>
            <w:shd w:val="clear" w:color="auto" w:fill="auto"/>
            <w:vAlign w:val="center"/>
            <w:hideMark/>
          </w:tcPr>
          <w:p w14:paraId="252E0B4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r>
      <w:tr w:rsidR="00A53AD7" w:rsidRPr="00A53AD7" w14:paraId="1FAA4C23"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2288376"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nil"/>
              <w:left w:val="nil"/>
              <w:bottom w:val="single" w:sz="4" w:space="0" w:color="auto"/>
              <w:right w:val="single" w:sz="4" w:space="0" w:color="auto"/>
            </w:tcBorders>
            <w:shd w:val="clear" w:color="auto" w:fill="auto"/>
            <w:vAlign w:val="center"/>
            <w:hideMark/>
          </w:tcPr>
          <w:p w14:paraId="17483B95"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07</w:t>
            </w:r>
          </w:p>
        </w:tc>
        <w:tc>
          <w:tcPr>
            <w:tcW w:w="4989" w:type="dxa"/>
            <w:tcBorders>
              <w:top w:val="nil"/>
              <w:left w:val="nil"/>
              <w:bottom w:val="single" w:sz="4" w:space="0" w:color="auto"/>
              <w:right w:val="single" w:sz="4" w:space="0" w:color="auto"/>
            </w:tcBorders>
            <w:shd w:val="clear" w:color="auto" w:fill="auto"/>
            <w:vAlign w:val="center"/>
            <w:hideMark/>
          </w:tcPr>
          <w:p w14:paraId="49228464"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страховым взносам на обязательное медицинское страхование в Федеральный ФОМС</w:t>
            </w:r>
          </w:p>
        </w:tc>
        <w:tc>
          <w:tcPr>
            <w:tcW w:w="1206" w:type="dxa"/>
            <w:tcBorders>
              <w:top w:val="nil"/>
              <w:left w:val="nil"/>
              <w:bottom w:val="single" w:sz="4" w:space="0" w:color="auto"/>
              <w:right w:val="single" w:sz="4" w:space="0" w:color="auto"/>
            </w:tcBorders>
            <w:shd w:val="clear" w:color="auto" w:fill="auto"/>
            <w:vAlign w:val="center"/>
            <w:hideMark/>
          </w:tcPr>
          <w:p w14:paraId="4C3DD22F"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 </w:t>
            </w:r>
          </w:p>
        </w:tc>
        <w:tc>
          <w:tcPr>
            <w:tcW w:w="1206" w:type="dxa"/>
            <w:tcBorders>
              <w:top w:val="nil"/>
              <w:left w:val="nil"/>
              <w:bottom w:val="single" w:sz="4" w:space="0" w:color="auto"/>
              <w:right w:val="single" w:sz="4" w:space="0" w:color="auto"/>
            </w:tcBorders>
            <w:shd w:val="clear" w:color="auto" w:fill="auto"/>
            <w:vAlign w:val="center"/>
            <w:hideMark/>
          </w:tcPr>
          <w:p w14:paraId="7AB53774"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 </w:t>
            </w:r>
          </w:p>
        </w:tc>
        <w:tc>
          <w:tcPr>
            <w:tcW w:w="848" w:type="dxa"/>
            <w:tcBorders>
              <w:top w:val="nil"/>
              <w:left w:val="nil"/>
              <w:bottom w:val="single" w:sz="4" w:space="0" w:color="auto"/>
              <w:right w:val="double" w:sz="6" w:space="0" w:color="auto"/>
            </w:tcBorders>
            <w:shd w:val="clear" w:color="auto" w:fill="auto"/>
            <w:vAlign w:val="center"/>
            <w:hideMark/>
          </w:tcPr>
          <w:p w14:paraId="151D49F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r>
      <w:tr w:rsidR="00A53AD7" w:rsidRPr="00A53AD7" w14:paraId="71E03B21" w14:textId="77777777" w:rsidTr="00653D75">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337AD49"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nil"/>
              <w:left w:val="nil"/>
              <w:bottom w:val="single" w:sz="4" w:space="0" w:color="auto"/>
              <w:right w:val="single" w:sz="4" w:space="0" w:color="auto"/>
            </w:tcBorders>
            <w:shd w:val="clear" w:color="auto" w:fill="auto"/>
            <w:vAlign w:val="center"/>
            <w:hideMark/>
          </w:tcPr>
          <w:p w14:paraId="69FFA9CD"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10</w:t>
            </w:r>
          </w:p>
        </w:tc>
        <w:tc>
          <w:tcPr>
            <w:tcW w:w="4989" w:type="dxa"/>
            <w:tcBorders>
              <w:top w:val="nil"/>
              <w:left w:val="nil"/>
              <w:bottom w:val="single" w:sz="4" w:space="0" w:color="auto"/>
              <w:right w:val="single" w:sz="4" w:space="0" w:color="auto"/>
            </w:tcBorders>
            <w:shd w:val="clear" w:color="auto" w:fill="auto"/>
            <w:vAlign w:val="center"/>
            <w:hideMark/>
          </w:tcPr>
          <w:p w14:paraId="102206FA"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страховым взносам на обязательное пенсионное страхование на выплату страховой части трудовой пенсии</w:t>
            </w:r>
          </w:p>
        </w:tc>
        <w:tc>
          <w:tcPr>
            <w:tcW w:w="1206" w:type="dxa"/>
            <w:tcBorders>
              <w:top w:val="nil"/>
              <w:left w:val="nil"/>
              <w:bottom w:val="single" w:sz="4" w:space="0" w:color="auto"/>
              <w:right w:val="single" w:sz="4" w:space="0" w:color="auto"/>
            </w:tcBorders>
            <w:shd w:val="clear" w:color="auto" w:fill="auto"/>
            <w:vAlign w:val="center"/>
            <w:hideMark/>
          </w:tcPr>
          <w:p w14:paraId="04724EB6"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16,2 </w:t>
            </w:r>
          </w:p>
        </w:tc>
        <w:tc>
          <w:tcPr>
            <w:tcW w:w="1206" w:type="dxa"/>
            <w:tcBorders>
              <w:top w:val="nil"/>
              <w:left w:val="nil"/>
              <w:bottom w:val="single" w:sz="4" w:space="0" w:color="auto"/>
              <w:right w:val="single" w:sz="4" w:space="0" w:color="auto"/>
            </w:tcBorders>
            <w:shd w:val="clear" w:color="auto" w:fill="auto"/>
            <w:vAlign w:val="center"/>
            <w:hideMark/>
          </w:tcPr>
          <w:p w14:paraId="30423DD6"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 </w:t>
            </w:r>
          </w:p>
        </w:tc>
        <w:tc>
          <w:tcPr>
            <w:tcW w:w="848" w:type="dxa"/>
            <w:tcBorders>
              <w:top w:val="nil"/>
              <w:left w:val="nil"/>
              <w:bottom w:val="single" w:sz="4" w:space="0" w:color="auto"/>
              <w:right w:val="double" w:sz="6" w:space="0" w:color="auto"/>
            </w:tcBorders>
            <w:shd w:val="clear" w:color="auto" w:fill="auto"/>
            <w:vAlign w:val="center"/>
            <w:hideMark/>
          </w:tcPr>
          <w:p w14:paraId="784B0A8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-6,0 </w:t>
            </w:r>
          </w:p>
        </w:tc>
      </w:tr>
      <w:tr w:rsidR="00A53AD7" w:rsidRPr="00A53AD7" w14:paraId="29336835" w14:textId="77777777" w:rsidTr="00653D75">
        <w:trPr>
          <w:trHeight w:val="53"/>
        </w:trPr>
        <w:tc>
          <w:tcPr>
            <w:tcW w:w="559" w:type="dxa"/>
            <w:tcBorders>
              <w:top w:val="nil"/>
              <w:left w:val="double" w:sz="6" w:space="0" w:color="auto"/>
              <w:bottom w:val="nil"/>
              <w:right w:val="single" w:sz="4" w:space="0" w:color="auto"/>
            </w:tcBorders>
            <w:shd w:val="clear" w:color="auto" w:fill="auto"/>
            <w:vAlign w:val="center"/>
            <w:hideMark/>
          </w:tcPr>
          <w:p w14:paraId="42494983"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nil"/>
              <w:left w:val="nil"/>
              <w:bottom w:val="nil"/>
              <w:right w:val="single" w:sz="4" w:space="0" w:color="auto"/>
            </w:tcBorders>
            <w:shd w:val="clear" w:color="auto" w:fill="auto"/>
            <w:vAlign w:val="center"/>
            <w:hideMark/>
          </w:tcPr>
          <w:p w14:paraId="10960F6B"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12</w:t>
            </w:r>
          </w:p>
        </w:tc>
        <w:tc>
          <w:tcPr>
            <w:tcW w:w="4989" w:type="dxa"/>
            <w:tcBorders>
              <w:top w:val="nil"/>
              <w:left w:val="nil"/>
              <w:bottom w:val="nil"/>
              <w:right w:val="single" w:sz="4" w:space="0" w:color="auto"/>
            </w:tcBorders>
            <w:shd w:val="clear" w:color="auto" w:fill="auto"/>
            <w:vAlign w:val="center"/>
            <w:hideMark/>
          </w:tcPr>
          <w:p w14:paraId="67DA33C4"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налогу на имущество организаций</w:t>
            </w:r>
          </w:p>
        </w:tc>
        <w:tc>
          <w:tcPr>
            <w:tcW w:w="1206" w:type="dxa"/>
            <w:tcBorders>
              <w:top w:val="nil"/>
              <w:left w:val="nil"/>
              <w:bottom w:val="nil"/>
              <w:right w:val="single" w:sz="4" w:space="0" w:color="auto"/>
            </w:tcBorders>
            <w:shd w:val="clear" w:color="auto" w:fill="auto"/>
            <w:vAlign w:val="center"/>
            <w:hideMark/>
          </w:tcPr>
          <w:p w14:paraId="3900D360"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1206" w:type="dxa"/>
            <w:tcBorders>
              <w:top w:val="nil"/>
              <w:left w:val="nil"/>
              <w:bottom w:val="nil"/>
              <w:right w:val="single" w:sz="4" w:space="0" w:color="auto"/>
            </w:tcBorders>
            <w:shd w:val="clear" w:color="auto" w:fill="auto"/>
            <w:vAlign w:val="center"/>
            <w:hideMark/>
          </w:tcPr>
          <w:p w14:paraId="6FB9D64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848" w:type="dxa"/>
            <w:tcBorders>
              <w:top w:val="nil"/>
              <w:left w:val="nil"/>
              <w:bottom w:val="single" w:sz="4" w:space="0" w:color="auto"/>
              <w:right w:val="double" w:sz="6" w:space="0" w:color="auto"/>
            </w:tcBorders>
            <w:shd w:val="clear" w:color="auto" w:fill="auto"/>
            <w:vAlign w:val="center"/>
            <w:hideMark/>
          </w:tcPr>
          <w:p w14:paraId="475F2C4D"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A53AD7" w:rsidRPr="00A53AD7" w14:paraId="12DA4AC0" w14:textId="77777777" w:rsidTr="00653D75">
        <w:trPr>
          <w:trHeight w:val="53"/>
        </w:trPr>
        <w:tc>
          <w:tcPr>
            <w:tcW w:w="559" w:type="dxa"/>
            <w:tcBorders>
              <w:top w:val="single" w:sz="4" w:space="0" w:color="auto"/>
              <w:left w:val="double" w:sz="6" w:space="0" w:color="auto"/>
              <w:bottom w:val="nil"/>
              <w:right w:val="single" w:sz="4" w:space="0" w:color="auto"/>
            </w:tcBorders>
            <w:shd w:val="clear" w:color="auto" w:fill="auto"/>
            <w:vAlign w:val="center"/>
            <w:hideMark/>
          </w:tcPr>
          <w:p w14:paraId="343171C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303</w:t>
            </w:r>
          </w:p>
        </w:tc>
        <w:tc>
          <w:tcPr>
            <w:tcW w:w="440" w:type="dxa"/>
            <w:tcBorders>
              <w:top w:val="single" w:sz="4" w:space="0" w:color="auto"/>
              <w:left w:val="nil"/>
              <w:bottom w:val="nil"/>
              <w:right w:val="single" w:sz="4" w:space="0" w:color="auto"/>
            </w:tcBorders>
            <w:shd w:val="clear" w:color="auto" w:fill="auto"/>
            <w:vAlign w:val="center"/>
            <w:hideMark/>
          </w:tcPr>
          <w:p w14:paraId="67E5AAF0"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13</w:t>
            </w:r>
          </w:p>
        </w:tc>
        <w:tc>
          <w:tcPr>
            <w:tcW w:w="4989" w:type="dxa"/>
            <w:tcBorders>
              <w:top w:val="single" w:sz="4" w:space="0" w:color="auto"/>
              <w:left w:val="nil"/>
              <w:bottom w:val="nil"/>
              <w:right w:val="single" w:sz="4" w:space="0" w:color="auto"/>
            </w:tcBorders>
            <w:shd w:val="clear" w:color="auto" w:fill="auto"/>
            <w:vAlign w:val="center"/>
            <w:hideMark/>
          </w:tcPr>
          <w:p w14:paraId="70DBB15F"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земельному налогу</w:t>
            </w:r>
          </w:p>
        </w:tc>
        <w:tc>
          <w:tcPr>
            <w:tcW w:w="1206" w:type="dxa"/>
            <w:tcBorders>
              <w:top w:val="single" w:sz="4" w:space="0" w:color="auto"/>
              <w:left w:val="nil"/>
              <w:bottom w:val="nil"/>
              <w:right w:val="single" w:sz="4" w:space="0" w:color="auto"/>
            </w:tcBorders>
            <w:shd w:val="clear" w:color="auto" w:fill="auto"/>
            <w:vAlign w:val="center"/>
            <w:hideMark/>
          </w:tcPr>
          <w:p w14:paraId="373070D7"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206" w:type="dxa"/>
            <w:tcBorders>
              <w:top w:val="single" w:sz="4" w:space="0" w:color="auto"/>
              <w:left w:val="nil"/>
              <w:bottom w:val="nil"/>
              <w:right w:val="single" w:sz="4" w:space="0" w:color="auto"/>
            </w:tcBorders>
            <w:shd w:val="clear" w:color="auto" w:fill="auto"/>
            <w:vAlign w:val="center"/>
            <w:hideMark/>
          </w:tcPr>
          <w:p w14:paraId="5865AE2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0,7 </w:t>
            </w:r>
          </w:p>
        </w:tc>
        <w:tc>
          <w:tcPr>
            <w:tcW w:w="848" w:type="dxa"/>
            <w:tcBorders>
              <w:top w:val="nil"/>
              <w:left w:val="nil"/>
              <w:bottom w:val="single" w:sz="4" w:space="0" w:color="auto"/>
              <w:right w:val="double" w:sz="6" w:space="0" w:color="auto"/>
            </w:tcBorders>
            <w:shd w:val="clear" w:color="auto" w:fill="auto"/>
            <w:vAlign w:val="center"/>
            <w:hideMark/>
          </w:tcPr>
          <w:p w14:paraId="4FD754BA" w14:textId="77777777" w:rsidR="00F700F3" w:rsidRPr="00A53AD7" w:rsidRDefault="00F700F3" w:rsidP="0008288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r>
      <w:tr w:rsidR="00F700F3" w:rsidRPr="00A53AD7" w14:paraId="7530DA54" w14:textId="77777777" w:rsidTr="00653D75">
        <w:trPr>
          <w:trHeight w:val="53"/>
        </w:trPr>
        <w:tc>
          <w:tcPr>
            <w:tcW w:w="55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5B725FCC"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 </w:t>
            </w:r>
          </w:p>
        </w:tc>
        <w:tc>
          <w:tcPr>
            <w:tcW w:w="440" w:type="dxa"/>
            <w:tcBorders>
              <w:top w:val="single" w:sz="4" w:space="0" w:color="auto"/>
              <w:left w:val="nil"/>
              <w:bottom w:val="double" w:sz="6" w:space="0" w:color="auto"/>
              <w:right w:val="single" w:sz="4" w:space="0" w:color="auto"/>
            </w:tcBorders>
            <w:shd w:val="clear" w:color="auto" w:fill="auto"/>
            <w:vAlign w:val="center"/>
            <w:hideMark/>
          </w:tcPr>
          <w:p w14:paraId="4DD1E9DA" w14:textId="77777777" w:rsidR="00F700F3" w:rsidRPr="00A53AD7" w:rsidRDefault="00F700F3" w:rsidP="000828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4989" w:type="dxa"/>
            <w:tcBorders>
              <w:top w:val="single" w:sz="4" w:space="0" w:color="auto"/>
              <w:left w:val="nil"/>
              <w:bottom w:val="double" w:sz="6" w:space="0" w:color="auto"/>
              <w:right w:val="single" w:sz="4" w:space="0" w:color="auto"/>
            </w:tcBorders>
            <w:shd w:val="clear" w:color="auto" w:fill="auto"/>
            <w:vAlign w:val="center"/>
            <w:hideMark/>
          </w:tcPr>
          <w:p w14:paraId="09053ABF" w14:textId="77777777" w:rsidR="00F700F3" w:rsidRPr="00A53AD7" w:rsidRDefault="00F700F3" w:rsidP="0008288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Всего кредиторская задолженность местных бюджетов</w:t>
            </w:r>
          </w:p>
        </w:tc>
        <w:tc>
          <w:tcPr>
            <w:tcW w:w="1206" w:type="dxa"/>
            <w:tcBorders>
              <w:top w:val="single" w:sz="4" w:space="0" w:color="auto"/>
              <w:left w:val="nil"/>
              <w:bottom w:val="double" w:sz="6" w:space="0" w:color="auto"/>
              <w:right w:val="single" w:sz="4" w:space="0" w:color="auto"/>
            </w:tcBorders>
            <w:shd w:val="clear" w:color="auto" w:fill="auto"/>
            <w:vAlign w:val="center"/>
            <w:hideMark/>
          </w:tcPr>
          <w:p w14:paraId="28AB701A"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1 135,2 </w:t>
            </w:r>
          </w:p>
        </w:tc>
        <w:tc>
          <w:tcPr>
            <w:tcW w:w="1206" w:type="dxa"/>
            <w:tcBorders>
              <w:top w:val="single" w:sz="4" w:space="0" w:color="auto"/>
              <w:left w:val="nil"/>
              <w:bottom w:val="double" w:sz="6" w:space="0" w:color="auto"/>
              <w:right w:val="single" w:sz="4" w:space="0" w:color="auto"/>
            </w:tcBorders>
            <w:shd w:val="clear" w:color="auto" w:fill="auto"/>
            <w:vAlign w:val="center"/>
            <w:hideMark/>
          </w:tcPr>
          <w:p w14:paraId="53F8708F"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980,0 </w:t>
            </w:r>
          </w:p>
        </w:tc>
        <w:tc>
          <w:tcPr>
            <w:tcW w:w="848" w:type="dxa"/>
            <w:tcBorders>
              <w:top w:val="nil"/>
              <w:left w:val="nil"/>
              <w:bottom w:val="double" w:sz="6" w:space="0" w:color="auto"/>
              <w:right w:val="double" w:sz="6" w:space="0" w:color="auto"/>
            </w:tcBorders>
            <w:shd w:val="clear" w:color="auto" w:fill="auto"/>
            <w:vAlign w:val="center"/>
            <w:hideMark/>
          </w:tcPr>
          <w:p w14:paraId="7D02F2FD" w14:textId="77777777" w:rsidR="00F700F3" w:rsidRPr="00A53AD7" w:rsidRDefault="00F700F3" w:rsidP="0008288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-155,3 </w:t>
            </w:r>
          </w:p>
        </w:tc>
      </w:tr>
    </w:tbl>
    <w:p w14:paraId="6E34C39F" w14:textId="77777777" w:rsidR="00F700F3" w:rsidRPr="00A53AD7" w:rsidRDefault="00F700F3" w:rsidP="00265B49">
      <w:pPr>
        <w:spacing w:after="0" w:line="240" w:lineRule="auto"/>
        <w:ind w:firstLine="851"/>
        <w:jc w:val="both"/>
        <w:rPr>
          <w:rFonts w:ascii="Times New Roman" w:hAnsi="Times New Roman"/>
          <w:sz w:val="28"/>
          <w:szCs w:val="28"/>
        </w:rPr>
      </w:pPr>
    </w:p>
    <w:p w14:paraId="79419562" w14:textId="77777777" w:rsidR="00F700F3" w:rsidRPr="00A53AD7" w:rsidRDefault="00F700F3" w:rsidP="00265B4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рост кредиторской задолженности местных бюджетов на 01.01.2020 наблюдается по счету 205.11 «Расчеты с плательщиками налоговых доходов» на 61,1 млн.руб., которая на конец отчетного периода составила 678,0 млн.руб. или увеличилась на 9,9 %, из нее:</w:t>
      </w:r>
    </w:p>
    <w:p w14:paraId="640CBCB9" w14:textId="77777777" w:rsidR="00F700F3" w:rsidRPr="00A53AD7" w:rsidRDefault="00F700F3" w:rsidP="00135937">
      <w:pPr>
        <w:pStyle w:val="a0"/>
        <w:rPr>
          <w:lang w:eastAsia="ru-RU"/>
        </w:rPr>
      </w:pPr>
      <w:r w:rsidRPr="00A53AD7">
        <w:rPr>
          <w:lang w:eastAsia="ru-RU"/>
        </w:rPr>
        <w:t>в МО «Северодвинск» она увеличилась на 13,5 млн.руб. и составила 173,0 тыс.руб.;</w:t>
      </w:r>
    </w:p>
    <w:p w14:paraId="57B0E33E" w14:textId="77777777" w:rsidR="00F700F3" w:rsidRPr="00A53AD7" w:rsidRDefault="00F700F3" w:rsidP="00135937">
      <w:pPr>
        <w:pStyle w:val="a0"/>
        <w:rPr>
          <w:lang w:eastAsia="ru-RU"/>
        </w:rPr>
      </w:pPr>
      <w:r w:rsidRPr="00A53AD7">
        <w:rPr>
          <w:lang w:eastAsia="ru-RU"/>
        </w:rPr>
        <w:t>в МО «Город Архангельск» увеличилась на 14,6 млн.руб. и составила 152,1 млн.руб.</w:t>
      </w:r>
    </w:p>
    <w:p w14:paraId="380A99CA" w14:textId="7490DC5E" w:rsidR="00F700F3" w:rsidRPr="00A53AD7" w:rsidRDefault="00F700F3" w:rsidP="00D854B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Просроченная кредиторская задолженность по счету 205.11, согласно представленной отчетности в муниципальных образованиях отсутствует.</w:t>
      </w:r>
    </w:p>
    <w:p w14:paraId="09BAB32D" w14:textId="77777777" w:rsidR="00F700F3" w:rsidRPr="00A53AD7" w:rsidRDefault="00F700F3" w:rsidP="00F7274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просроченной кредиторской задолженности местных бюджетов отражена ниже.</w:t>
      </w:r>
    </w:p>
    <w:p w14:paraId="5A788230" w14:textId="601691A0" w:rsidR="00F700F3" w:rsidRPr="00A53AD7" w:rsidRDefault="00F700F3" w:rsidP="00F7274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Кредиторская задолженность областного бюджета является текущей и составляет 12 509,9 млн.руб., за 2019 год она увеличилась на 5 330,8 млн.руб. или на 74,3 %. В таблице </w:t>
      </w:r>
      <w:r w:rsidR="00E23937" w:rsidRPr="00A53AD7">
        <w:rPr>
          <w:rFonts w:ascii="Times New Roman" w:hAnsi="Times New Roman"/>
          <w:sz w:val="28"/>
          <w:szCs w:val="28"/>
        </w:rPr>
        <w:t>21</w:t>
      </w:r>
      <w:r w:rsidRPr="00A53AD7">
        <w:rPr>
          <w:rFonts w:ascii="Times New Roman" w:hAnsi="Times New Roman"/>
          <w:sz w:val="28"/>
          <w:szCs w:val="28"/>
        </w:rPr>
        <w:t xml:space="preserve"> представлены сведения о кредиторской задолженности областного бюджета за 2019 год.</w:t>
      </w:r>
    </w:p>
    <w:p w14:paraId="2C61B9FA" w14:textId="77777777" w:rsidR="0080720B" w:rsidRPr="00A53AD7" w:rsidRDefault="0080720B" w:rsidP="0080720B">
      <w:pPr>
        <w:pStyle w:val="aff0"/>
        <w:spacing w:after="0" w:line="240" w:lineRule="auto"/>
        <w:rPr>
          <w:rFonts w:ascii="Times New Roman" w:hAnsi="Times New Roman"/>
          <w:b w:val="0"/>
          <w:sz w:val="24"/>
          <w:szCs w:val="24"/>
        </w:rPr>
      </w:pPr>
    </w:p>
    <w:p w14:paraId="6C6DE5DF" w14:textId="77D08AC1" w:rsidR="00F700F3" w:rsidRPr="00A53AD7" w:rsidRDefault="00F700F3" w:rsidP="0080720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21</w:t>
      </w:r>
      <w:r w:rsidRPr="00A53AD7">
        <w:rPr>
          <w:rFonts w:ascii="Times New Roman" w:hAnsi="Times New Roman"/>
          <w:b w:val="0"/>
          <w:sz w:val="24"/>
          <w:szCs w:val="24"/>
        </w:rPr>
        <w:fldChar w:fldCharType="end"/>
      </w:r>
      <w:r w:rsidRPr="00A53AD7">
        <w:rPr>
          <w:rFonts w:ascii="Times New Roman" w:hAnsi="Times New Roman"/>
          <w:b w:val="0"/>
          <w:sz w:val="24"/>
          <w:szCs w:val="24"/>
        </w:rPr>
        <w:t>. Кредиторская задолженность областного бюджета, отраженная в отчете по ф. 0503369 за 2019 год, млн.руб.</w:t>
      </w:r>
    </w:p>
    <w:tbl>
      <w:tblPr>
        <w:tblW w:w="9204" w:type="dxa"/>
        <w:tblInd w:w="85" w:type="dxa"/>
        <w:tblLook w:val="04A0" w:firstRow="1" w:lastRow="0" w:firstColumn="1" w:lastColumn="0" w:noHBand="0" w:noVBand="1"/>
      </w:tblPr>
      <w:tblGrid>
        <w:gridCol w:w="559"/>
        <w:gridCol w:w="485"/>
        <w:gridCol w:w="4802"/>
        <w:gridCol w:w="1206"/>
        <w:gridCol w:w="1206"/>
        <w:gridCol w:w="946"/>
      </w:tblGrid>
      <w:tr w:rsidR="00A53AD7" w:rsidRPr="00A53AD7" w14:paraId="7418D538" w14:textId="77777777" w:rsidTr="00B93F05">
        <w:trPr>
          <w:trHeight w:val="18"/>
          <w:tblHeader/>
        </w:trPr>
        <w:tc>
          <w:tcPr>
            <w:tcW w:w="1044"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4F189911"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Счет</w:t>
            </w:r>
          </w:p>
        </w:tc>
        <w:tc>
          <w:tcPr>
            <w:tcW w:w="4802" w:type="dxa"/>
            <w:tcBorders>
              <w:top w:val="double" w:sz="6" w:space="0" w:color="auto"/>
              <w:left w:val="nil"/>
              <w:bottom w:val="single" w:sz="4" w:space="0" w:color="auto"/>
              <w:right w:val="single" w:sz="4" w:space="0" w:color="auto"/>
            </w:tcBorders>
            <w:shd w:val="clear" w:color="auto" w:fill="auto"/>
            <w:vAlign w:val="center"/>
            <w:hideMark/>
          </w:tcPr>
          <w:p w14:paraId="7DB50128"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23FA4F86" w14:textId="4EE8461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C93D30"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19</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54C9820C" w14:textId="3FD5CA61"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C93D30"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20</w:t>
            </w:r>
          </w:p>
        </w:tc>
        <w:tc>
          <w:tcPr>
            <w:tcW w:w="946" w:type="dxa"/>
            <w:tcBorders>
              <w:top w:val="double" w:sz="6" w:space="0" w:color="auto"/>
              <w:left w:val="nil"/>
              <w:bottom w:val="single" w:sz="4" w:space="0" w:color="auto"/>
              <w:right w:val="double" w:sz="6" w:space="0" w:color="auto"/>
            </w:tcBorders>
            <w:shd w:val="clear" w:color="auto" w:fill="auto"/>
            <w:vAlign w:val="center"/>
            <w:hideMark/>
          </w:tcPr>
          <w:p w14:paraId="518EF34E"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w:t>
            </w:r>
          </w:p>
        </w:tc>
      </w:tr>
      <w:tr w:rsidR="00A53AD7" w:rsidRPr="00A53AD7" w14:paraId="2FF58A51"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7B8B608"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042C584E"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802" w:type="dxa"/>
            <w:tcBorders>
              <w:top w:val="nil"/>
              <w:left w:val="nil"/>
              <w:bottom w:val="single" w:sz="4" w:space="0" w:color="auto"/>
              <w:right w:val="single" w:sz="4" w:space="0" w:color="auto"/>
            </w:tcBorders>
            <w:shd w:val="clear" w:color="auto" w:fill="auto"/>
            <w:vAlign w:val="center"/>
            <w:hideMark/>
          </w:tcPr>
          <w:p w14:paraId="34446481"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доходам,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3ED07D3C"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2 280,8 </w:t>
            </w:r>
          </w:p>
        </w:tc>
        <w:tc>
          <w:tcPr>
            <w:tcW w:w="1206" w:type="dxa"/>
            <w:tcBorders>
              <w:top w:val="nil"/>
              <w:left w:val="nil"/>
              <w:bottom w:val="single" w:sz="4" w:space="0" w:color="auto"/>
              <w:right w:val="single" w:sz="4" w:space="0" w:color="auto"/>
            </w:tcBorders>
            <w:shd w:val="clear" w:color="auto" w:fill="auto"/>
            <w:vAlign w:val="center"/>
            <w:hideMark/>
          </w:tcPr>
          <w:p w14:paraId="5F612E80"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5 900,0 </w:t>
            </w:r>
          </w:p>
        </w:tc>
        <w:tc>
          <w:tcPr>
            <w:tcW w:w="946" w:type="dxa"/>
            <w:tcBorders>
              <w:top w:val="nil"/>
              <w:left w:val="nil"/>
              <w:bottom w:val="single" w:sz="4" w:space="0" w:color="auto"/>
              <w:right w:val="double" w:sz="6" w:space="0" w:color="auto"/>
            </w:tcBorders>
            <w:shd w:val="clear" w:color="auto" w:fill="auto"/>
            <w:vAlign w:val="center"/>
            <w:hideMark/>
          </w:tcPr>
          <w:p w14:paraId="2E41DE2F"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3 619,2 </w:t>
            </w:r>
          </w:p>
        </w:tc>
      </w:tr>
      <w:tr w:rsidR="00A53AD7" w:rsidRPr="00A53AD7" w14:paraId="2C163896"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9C805B6"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0990117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4802" w:type="dxa"/>
            <w:tcBorders>
              <w:top w:val="nil"/>
              <w:left w:val="nil"/>
              <w:bottom w:val="single" w:sz="4" w:space="0" w:color="auto"/>
              <w:right w:val="single" w:sz="4" w:space="0" w:color="auto"/>
            </w:tcBorders>
            <w:shd w:val="clear" w:color="auto" w:fill="auto"/>
            <w:vAlign w:val="center"/>
            <w:hideMark/>
          </w:tcPr>
          <w:p w14:paraId="76FB409F"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плательщиками налоговых доходов</w:t>
            </w:r>
          </w:p>
        </w:tc>
        <w:tc>
          <w:tcPr>
            <w:tcW w:w="1206" w:type="dxa"/>
            <w:tcBorders>
              <w:top w:val="nil"/>
              <w:left w:val="nil"/>
              <w:bottom w:val="single" w:sz="4" w:space="0" w:color="auto"/>
              <w:right w:val="single" w:sz="4" w:space="0" w:color="auto"/>
            </w:tcBorders>
            <w:shd w:val="clear" w:color="auto" w:fill="auto"/>
            <w:vAlign w:val="center"/>
            <w:hideMark/>
          </w:tcPr>
          <w:p w14:paraId="1FEB02A8"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2 082,1 </w:t>
            </w:r>
          </w:p>
        </w:tc>
        <w:tc>
          <w:tcPr>
            <w:tcW w:w="1206" w:type="dxa"/>
            <w:tcBorders>
              <w:top w:val="nil"/>
              <w:left w:val="nil"/>
              <w:bottom w:val="single" w:sz="4" w:space="0" w:color="auto"/>
              <w:right w:val="single" w:sz="4" w:space="0" w:color="auto"/>
            </w:tcBorders>
            <w:shd w:val="clear" w:color="auto" w:fill="auto"/>
            <w:vAlign w:val="center"/>
            <w:hideMark/>
          </w:tcPr>
          <w:p w14:paraId="15D1BA48"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2 156,4 </w:t>
            </w:r>
          </w:p>
        </w:tc>
        <w:tc>
          <w:tcPr>
            <w:tcW w:w="946" w:type="dxa"/>
            <w:tcBorders>
              <w:top w:val="nil"/>
              <w:left w:val="nil"/>
              <w:bottom w:val="single" w:sz="4" w:space="0" w:color="auto"/>
              <w:right w:val="double" w:sz="6" w:space="0" w:color="auto"/>
            </w:tcBorders>
            <w:shd w:val="clear" w:color="auto" w:fill="auto"/>
            <w:vAlign w:val="center"/>
            <w:hideMark/>
          </w:tcPr>
          <w:p w14:paraId="29E40811"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74,3 </w:t>
            </w:r>
          </w:p>
        </w:tc>
      </w:tr>
      <w:tr w:rsidR="00A53AD7" w:rsidRPr="00A53AD7" w14:paraId="01512A43"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B85A61C"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0142754A"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23</w:t>
            </w:r>
          </w:p>
        </w:tc>
        <w:tc>
          <w:tcPr>
            <w:tcW w:w="4802" w:type="dxa"/>
            <w:tcBorders>
              <w:top w:val="nil"/>
              <w:left w:val="nil"/>
              <w:bottom w:val="single" w:sz="4" w:space="0" w:color="auto"/>
              <w:right w:val="single" w:sz="4" w:space="0" w:color="auto"/>
            </w:tcBorders>
            <w:shd w:val="clear" w:color="auto" w:fill="auto"/>
            <w:vAlign w:val="center"/>
            <w:hideMark/>
          </w:tcPr>
          <w:p w14:paraId="6D9A47C2"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доходам от платежей при пользовании природными ресурсами</w:t>
            </w:r>
          </w:p>
        </w:tc>
        <w:tc>
          <w:tcPr>
            <w:tcW w:w="1206" w:type="dxa"/>
            <w:tcBorders>
              <w:top w:val="nil"/>
              <w:left w:val="nil"/>
              <w:bottom w:val="single" w:sz="4" w:space="0" w:color="auto"/>
              <w:right w:val="single" w:sz="4" w:space="0" w:color="auto"/>
            </w:tcBorders>
            <w:shd w:val="clear" w:color="auto" w:fill="auto"/>
            <w:vAlign w:val="center"/>
            <w:hideMark/>
          </w:tcPr>
          <w:p w14:paraId="52BFE04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11,5 </w:t>
            </w:r>
          </w:p>
        </w:tc>
        <w:tc>
          <w:tcPr>
            <w:tcW w:w="1206" w:type="dxa"/>
            <w:tcBorders>
              <w:top w:val="nil"/>
              <w:left w:val="nil"/>
              <w:bottom w:val="single" w:sz="4" w:space="0" w:color="auto"/>
              <w:right w:val="single" w:sz="4" w:space="0" w:color="auto"/>
            </w:tcBorders>
            <w:shd w:val="clear" w:color="auto" w:fill="auto"/>
            <w:vAlign w:val="center"/>
            <w:hideMark/>
          </w:tcPr>
          <w:p w14:paraId="260CD4E6"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 </w:t>
            </w:r>
          </w:p>
        </w:tc>
        <w:tc>
          <w:tcPr>
            <w:tcW w:w="946" w:type="dxa"/>
            <w:tcBorders>
              <w:top w:val="nil"/>
              <w:left w:val="nil"/>
              <w:bottom w:val="single" w:sz="4" w:space="0" w:color="auto"/>
              <w:right w:val="double" w:sz="6" w:space="0" w:color="auto"/>
            </w:tcBorders>
            <w:shd w:val="clear" w:color="auto" w:fill="auto"/>
            <w:vAlign w:val="center"/>
            <w:hideMark/>
          </w:tcPr>
          <w:p w14:paraId="555036BF"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-7,7 </w:t>
            </w:r>
          </w:p>
        </w:tc>
      </w:tr>
      <w:tr w:rsidR="00A53AD7" w:rsidRPr="00A53AD7" w14:paraId="0CE3E5B9"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1CEFCE5"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1CC8ABA5"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w:t>
            </w:r>
          </w:p>
        </w:tc>
        <w:tc>
          <w:tcPr>
            <w:tcW w:w="4802" w:type="dxa"/>
            <w:tcBorders>
              <w:top w:val="nil"/>
              <w:left w:val="nil"/>
              <w:bottom w:val="single" w:sz="4" w:space="0" w:color="auto"/>
              <w:right w:val="single" w:sz="4" w:space="0" w:color="auto"/>
            </w:tcBorders>
            <w:shd w:val="clear" w:color="auto" w:fill="auto"/>
            <w:vAlign w:val="center"/>
            <w:hideMark/>
          </w:tcPr>
          <w:p w14:paraId="596D9EBC"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поступлениям текущего характера от других бюджетов бюджетной системы РФ</w:t>
            </w:r>
          </w:p>
        </w:tc>
        <w:tc>
          <w:tcPr>
            <w:tcW w:w="1206" w:type="dxa"/>
            <w:tcBorders>
              <w:top w:val="nil"/>
              <w:left w:val="nil"/>
              <w:bottom w:val="single" w:sz="4" w:space="0" w:color="auto"/>
              <w:right w:val="single" w:sz="4" w:space="0" w:color="auto"/>
            </w:tcBorders>
            <w:shd w:val="clear" w:color="auto" w:fill="auto"/>
            <w:vAlign w:val="center"/>
            <w:hideMark/>
          </w:tcPr>
          <w:p w14:paraId="5D6F86EC"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17,1 </w:t>
            </w:r>
          </w:p>
        </w:tc>
        <w:tc>
          <w:tcPr>
            <w:tcW w:w="1206" w:type="dxa"/>
            <w:tcBorders>
              <w:top w:val="nil"/>
              <w:left w:val="nil"/>
              <w:bottom w:val="single" w:sz="4" w:space="0" w:color="auto"/>
              <w:right w:val="single" w:sz="4" w:space="0" w:color="auto"/>
            </w:tcBorders>
            <w:shd w:val="clear" w:color="auto" w:fill="auto"/>
            <w:vAlign w:val="center"/>
            <w:hideMark/>
          </w:tcPr>
          <w:p w14:paraId="1A97EE31"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1 742,3 </w:t>
            </w:r>
          </w:p>
        </w:tc>
        <w:tc>
          <w:tcPr>
            <w:tcW w:w="946" w:type="dxa"/>
            <w:tcBorders>
              <w:top w:val="nil"/>
              <w:left w:val="nil"/>
              <w:bottom w:val="single" w:sz="4" w:space="0" w:color="auto"/>
              <w:right w:val="double" w:sz="6" w:space="0" w:color="auto"/>
            </w:tcBorders>
            <w:shd w:val="clear" w:color="auto" w:fill="auto"/>
            <w:vAlign w:val="center"/>
            <w:hideMark/>
          </w:tcPr>
          <w:p w14:paraId="51999B33"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1 725,1 </w:t>
            </w:r>
          </w:p>
        </w:tc>
      </w:tr>
      <w:tr w:rsidR="00A53AD7" w:rsidRPr="00A53AD7" w14:paraId="3CE69047"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DF096C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31D5A025"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61</w:t>
            </w:r>
          </w:p>
        </w:tc>
        <w:tc>
          <w:tcPr>
            <w:tcW w:w="4802" w:type="dxa"/>
            <w:tcBorders>
              <w:top w:val="nil"/>
              <w:left w:val="nil"/>
              <w:bottom w:val="single" w:sz="4" w:space="0" w:color="auto"/>
              <w:right w:val="single" w:sz="4" w:space="0" w:color="auto"/>
            </w:tcBorders>
            <w:shd w:val="clear" w:color="auto" w:fill="auto"/>
            <w:vAlign w:val="center"/>
            <w:hideMark/>
          </w:tcPr>
          <w:p w14:paraId="6B6D8055"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поступлениям капитального характера от других бюджетов бюджетной системы Российской Федерации</w:t>
            </w:r>
          </w:p>
        </w:tc>
        <w:tc>
          <w:tcPr>
            <w:tcW w:w="1206" w:type="dxa"/>
            <w:tcBorders>
              <w:top w:val="nil"/>
              <w:left w:val="nil"/>
              <w:bottom w:val="single" w:sz="4" w:space="0" w:color="auto"/>
              <w:right w:val="single" w:sz="4" w:space="0" w:color="auto"/>
            </w:tcBorders>
            <w:shd w:val="clear" w:color="auto" w:fill="auto"/>
            <w:vAlign w:val="center"/>
            <w:hideMark/>
          </w:tcPr>
          <w:p w14:paraId="62E1355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167,4 </w:t>
            </w:r>
          </w:p>
        </w:tc>
        <w:tc>
          <w:tcPr>
            <w:tcW w:w="1206" w:type="dxa"/>
            <w:tcBorders>
              <w:top w:val="nil"/>
              <w:left w:val="nil"/>
              <w:bottom w:val="single" w:sz="4" w:space="0" w:color="auto"/>
              <w:right w:val="single" w:sz="4" w:space="0" w:color="auto"/>
            </w:tcBorders>
            <w:shd w:val="clear" w:color="auto" w:fill="auto"/>
            <w:vAlign w:val="center"/>
            <w:hideMark/>
          </w:tcPr>
          <w:p w14:paraId="74C90D9E"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1 996,1 </w:t>
            </w:r>
          </w:p>
        </w:tc>
        <w:tc>
          <w:tcPr>
            <w:tcW w:w="946" w:type="dxa"/>
            <w:tcBorders>
              <w:top w:val="nil"/>
              <w:left w:val="nil"/>
              <w:bottom w:val="single" w:sz="4" w:space="0" w:color="auto"/>
              <w:right w:val="double" w:sz="6" w:space="0" w:color="auto"/>
            </w:tcBorders>
            <w:shd w:val="clear" w:color="auto" w:fill="auto"/>
            <w:vAlign w:val="center"/>
            <w:hideMark/>
          </w:tcPr>
          <w:p w14:paraId="601C689F"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1 828,7 </w:t>
            </w:r>
          </w:p>
        </w:tc>
      </w:tr>
      <w:tr w:rsidR="00A53AD7" w:rsidRPr="00A53AD7" w14:paraId="568FA908"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439B893"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85" w:type="dxa"/>
            <w:tcBorders>
              <w:top w:val="nil"/>
              <w:left w:val="nil"/>
              <w:bottom w:val="single" w:sz="4" w:space="0" w:color="auto"/>
              <w:right w:val="single" w:sz="4" w:space="0" w:color="auto"/>
            </w:tcBorders>
            <w:shd w:val="clear" w:color="auto" w:fill="auto"/>
            <w:vAlign w:val="center"/>
            <w:hideMark/>
          </w:tcPr>
          <w:p w14:paraId="656AD5DD"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81</w:t>
            </w:r>
          </w:p>
        </w:tc>
        <w:tc>
          <w:tcPr>
            <w:tcW w:w="4802" w:type="dxa"/>
            <w:tcBorders>
              <w:top w:val="nil"/>
              <w:left w:val="nil"/>
              <w:bottom w:val="single" w:sz="4" w:space="0" w:color="auto"/>
              <w:right w:val="single" w:sz="4" w:space="0" w:color="auto"/>
            </w:tcBorders>
            <w:shd w:val="clear" w:color="auto" w:fill="auto"/>
            <w:vAlign w:val="center"/>
            <w:hideMark/>
          </w:tcPr>
          <w:p w14:paraId="4E9B5FDE"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невыясненным поступлениям</w:t>
            </w:r>
          </w:p>
        </w:tc>
        <w:tc>
          <w:tcPr>
            <w:tcW w:w="1206" w:type="dxa"/>
            <w:tcBorders>
              <w:top w:val="nil"/>
              <w:left w:val="nil"/>
              <w:bottom w:val="single" w:sz="4" w:space="0" w:color="auto"/>
              <w:right w:val="single" w:sz="4" w:space="0" w:color="auto"/>
            </w:tcBorders>
            <w:shd w:val="clear" w:color="auto" w:fill="auto"/>
            <w:vAlign w:val="center"/>
            <w:hideMark/>
          </w:tcPr>
          <w:p w14:paraId="39B9A6A9"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 </w:t>
            </w:r>
          </w:p>
        </w:tc>
        <w:tc>
          <w:tcPr>
            <w:tcW w:w="1206" w:type="dxa"/>
            <w:tcBorders>
              <w:top w:val="nil"/>
              <w:left w:val="nil"/>
              <w:bottom w:val="single" w:sz="4" w:space="0" w:color="auto"/>
              <w:right w:val="single" w:sz="4" w:space="0" w:color="auto"/>
            </w:tcBorders>
            <w:shd w:val="clear" w:color="auto" w:fill="auto"/>
            <w:vAlign w:val="center"/>
            <w:hideMark/>
          </w:tcPr>
          <w:p w14:paraId="223B6129"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0,6 </w:t>
            </w:r>
          </w:p>
        </w:tc>
        <w:tc>
          <w:tcPr>
            <w:tcW w:w="946" w:type="dxa"/>
            <w:tcBorders>
              <w:top w:val="nil"/>
              <w:left w:val="nil"/>
              <w:bottom w:val="single" w:sz="4" w:space="0" w:color="auto"/>
              <w:right w:val="double" w:sz="6" w:space="0" w:color="auto"/>
            </w:tcBorders>
            <w:shd w:val="clear" w:color="auto" w:fill="auto"/>
            <w:vAlign w:val="center"/>
            <w:hideMark/>
          </w:tcPr>
          <w:p w14:paraId="5B0B2B79"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r>
      <w:tr w:rsidR="00A53AD7" w:rsidRPr="00A53AD7" w14:paraId="0C1F2B89"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0547D35"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208</w:t>
            </w:r>
          </w:p>
        </w:tc>
        <w:tc>
          <w:tcPr>
            <w:tcW w:w="485" w:type="dxa"/>
            <w:tcBorders>
              <w:top w:val="nil"/>
              <w:left w:val="nil"/>
              <w:bottom w:val="single" w:sz="4" w:space="0" w:color="auto"/>
              <w:right w:val="single" w:sz="4" w:space="0" w:color="auto"/>
            </w:tcBorders>
            <w:shd w:val="clear" w:color="auto" w:fill="auto"/>
            <w:vAlign w:val="center"/>
            <w:hideMark/>
          </w:tcPr>
          <w:p w14:paraId="24544A46"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802" w:type="dxa"/>
            <w:tcBorders>
              <w:top w:val="nil"/>
              <w:left w:val="nil"/>
              <w:bottom w:val="single" w:sz="4" w:space="0" w:color="auto"/>
              <w:right w:val="single" w:sz="4" w:space="0" w:color="auto"/>
            </w:tcBorders>
            <w:shd w:val="clear" w:color="auto" w:fill="auto"/>
            <w:vAlign w:val="center"/>
            <w:hideMark/>
          </w:tcPr>
          <w:p w14:paraId="50B2281C"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с подотчетными лицами,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5DB99B5A"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3489BC17"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0,1 </w:t>
            </w:r>
          </w:p>
        </w:tc>
        <w:tc>
          <w:tcPr>
            <w:tcW w:w="946" w:type="dxa"/>
            <w:tcBorders>
              <w:top w:val="nil"/>
              <w:left w:val="nil"/>
              <w:bottom w:val="single" w:sz="4" w:space="0" w:color="auto"/>
              <w:right w:val="double" w:sz="6" w:space="0" w:color="auto"/>
            </w:tcBorders>
            <w:shd w:val="clear" w:color="auto" w:fill="auto"/>
            <w:vAlign w:val="center"/>
            <w:hideMark/>
          </w:tcPr>
          <w:p w14:paraId="23018384"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-0,0 </w:t>
            </w:r>
          </w:p>
        </w:tc>
      </w:tr>
      <w:tr w:rsidR="00A53AD7" w:rsidRPr="00A53AD7" w14:paraId="046E5833"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2D5CC50"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208</w:t>
            </w:r>
          </w:p>
        </w:tc>
        <w:tc>
          <w:tcPr>
            <w:tcW w:w="485" w:type="dxa"/>
            <w:tcBorders>
              <w:top w:val="nil"/>
              <w:left w:val="nil"/>
              <w:bottom w:val="single" w:sz="4" w:space="0" w:color="auto"/>
              <w:right w:val="single" w:sz="4" w:space="0" w:color="auto"/>
            </w:tcBorders>
            <w:shd w:val="clear" w:color="auto" w:fill="auto"/>
            <w:vAlign w:val="center"/>
            <w:hideMark/>
          </w:tcPr>
          <w:p w14:paraId="7F0BCC9C"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w:t>
            </w:r>
          </w:p>
        </w:tc>
        <w:tc>
          <w:tcPr>
            <w:tcW w:w="4802" w:type="dxa"/>
            <w:tcBorders>
              <w:top w:val="nil"/>
              <w:left w:val="nil"/>
              <w:bottom w:val="single" w:sz="4" w:space="0" w:color="auto"/>
              <w:right w:val="single" w:sz="4" w:space="0" w:color="auto"/>
            </w:tcBorders>
            <w:shd w:val="clear" w:color="auto" w:fill="auto"/>
            <w:vAlign w:val="center"/>
            <w:hideMark/>
          </w:tcPr>
          <w:p w14:paraId="02B57BAE"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 по оплате прочих работ, услуг</w:t>
            </w:r>
          </w:p>
        </w:tc>
        <w:tc>
          <w:tcPr>
            <w:tcW w:w="1206" w:type="dxa"/>
            <w:tcBorders>
              <w:top w:val="nil"/>
              <w:left w:val="nil"/>
              <w:bottom w:val="single" w:sz="4" w:space="0" w:color="auto"/>
              <w:right w:val="single" w:sz="4" w:space="0" w:color="auto"/>
            </w:tcBorders>
            <w:shd w:val="clear" w:color="auto" w:fill="auto"/>
            <w:vAlign w:val="center"/>
            <w:hideMark/>
          </w:tcPr>
          <w:p w14:paraId="07567132"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06" w:type="dxa"/>
            <w:tcBorders>
              <w:top w:val="nil"/>
              <w:left w:val="nil"/>
              <w:bottom w:val="single" w:sz="4" w:space="0" w:color="auto"/>
              <w:right w:val="single" w:sz="4" w:space="0" w:color="auto"/>
            </w:tcBorders>
            <w:shd w:val="clear" w:color="auto" w:fill="auto"/>
            <w:vAlign w:val="center"/>
            <w:hideMark/>
          </w:tcPr>
          <w:p w14:paraId="1A413A60"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946" w:type="dxa"/>
            <w:tcBorders>
              <w:top w:val="nil"/>
              <w:left w:val="nil"/>
              <w:bottom w:val="single" w:sz="4" w:space="0" w:color="auto"/>
              <w:right w:val="double" w:sz="6" w:space="0" w:color="auto"/>
            </w:tcBorders>
            <w:shd w:val="clear" w:color="auto" w:fill="auto"/>
            <w:vAlign w:val="center"/>
            <w:hideMark/>
          </w:tcPr>
          <w:p w14:paraId="5369299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A53AD7" w:rsidRPr="00A53AD7" w14:paraId="417A507A"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83A4464"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209</w:t>
            </w:r>
          </w:p>
        </w:tc>
        <w:tc>
          <w:tcPr>
            <w:tcW w:w="485" w:type="dxa"/>
            <w:tcBorders>
              <w:top w:val="nil"/>
              <w:left w:val="nil"/>
              <w:bottom w:val="single" w:sz="4" w:space="0" w:color="auto"/>
              <w:right w:val="single" w:sz="4" w:space="0" w:color="auto"/>
            </w:tcBorders>
            <w:shd w:val="clear" w:color="auto" w:fill="auto"/>
            <w:vAlign w:val="center"/>
            <w:hideMark/>
          </w:tcPr>
          <w:p w14:paraId="0E5E7C16"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802" w:type="dxa"/>
            <w:tcBorders>
              <w:top w:val="nil"/>
              <w:left w:val="nil"/>
              <w:bottom w:val="single" w:sz="4" w:space="0" w:color="auto"/>
              <w:right w:val="single" w:sz="4" w:space="0" w:color="auto"/>
            </w:tcBorders>
            <w:shd w:val="clear" w:color="auto" w:fill="auto"/>
            <w:vAlign w:val="center"/>
            <w:hideMark/>
          </w:tcPr>
          <w:p w14:paraId="59CAFD9B"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ущербу и иным доходам,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5B700431"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hideMark/>
          </w:tcPr>
          <w:p w14:paraId="735DA051"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42,5 </w:t>
            </w:r>
          </w:p>
        </w:tc>
        <w:tc>
          <w:tcPr>
            <w:tcW w:w="946" w:type="dxa"/>
            <w:tcBorders>
              <w:top w:val="nil"/>
              <w:left w:val="nil"/>
              <w:bottom w:val="single" w:sz="4" w:space="0" w:color="auto"/>
              <w:right w:val="double" w:sz="6" w:space="0" w:color="auto"/>
            </w:tcBorders>
            <w:shd w:val="clear" w:color="auto" w:fill="auto"/>
            <w:vAlign w:val="center"/>
            <w:hideMark/>
          </w:tcPr>
          <w:p w14:paraId="69DC3F6E"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42,5 </w:t>
            </w:r>
          </w:p>
        </w:tc>
      </w:tr>
      <w:tr w:rsidR="00A53AD7" w:rsidRPr="00A53AD7" w14:paraId="53578CEC"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0C6E3948"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209</w:t>
            </w:r>
          </w:p>
        </w:tc>
        <w:tc>
          <w:tcPr>
            <w:tcW w:w="485" w:type="dxa"/>
            <w:tcBorders>
              <w:top w:val="nil"/>
              <w:left w:val="nil"/>
              <w:bottom w:val="single" w:sz="4" w:space="0" w:color="auto"/>
              <w:right w:val="single" w:sz="4" w:space="0" w:color="auto"/>
            </w:tcBorders>
            <w:shd w:val="clear" w:color="auto" w:fill="auto"/>
            <w:vAlign w:val="center"/>
            <w:hideMark/>
          </w:tcPr>
          <w:p w14:paraId="7B983447"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w:t>
            </w:r>
          </w:p>
        </w:tc>
        <w:tc>
          <w:tcPr>
            <w:tcW w:w="4802" w:type="dxa"/>
            <w:tcBorders>
              <w:top w:val="nil"/>
              <w:left w:val="nil"/>
              <w:bottom w:val="single" w:sz="4" w:space="0" w:color="auto"/>
              <w:right w:val="single" w:sz="4" w:space="0" w:color="auto"/>
            </w:tcBorders>
            <w:shd w:val="clear" w:color="auto" w:fill="auto"/>
            <w:vAlign w:val="center"/>
            <w:hideMark/>
          </w:tcPr>
          <w:p w14:paraId="191A7FAE"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доходам от штрафных санкций за нарушение условий контрактов(договоров)</w:t>
            </w:r>
          </w:p>
        </w:tc>
        <w:tc>
          <w:tcPr>
            <w:tcW w:w="1206" w:type="dxa"/>
            <w:tcBorders>
              <w:top w:val="nil"/>
              <w:left w:val="nil"/>
              <w:bottom w:val="single" w:sz="4" w:space="0" w:color="auto"/>
              <w:right w:val="single" w:sz="4" w:space="0" w:color="auto"/>
            </w:tcBorders>
            <w:shd w:val="clear" w:color="auto" w:fill="auto"/>
            <w:vAlign w:val="center"/>
            <w:hideMark/>
          </w:tcPr>
          <w:p w14:paraId="28A101AA"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1206" w:type="dxa"/>
            <w:tcBorders>
              <w:top w:val="nil"/>
              <w:left w:val="nil"/>
              <w:bottom w:val="single" w:sz="4" w:space="0" w:color="auto"/>
              <w:right w:val="single" w:sz="4" w:space="0" w:color="auto"/>
            </w:tcBorders>
            <w:shd w:val="clear" w:color="auto" w:fill="auto"/>
            <w:vAlign w:val="center"/>
            <w:hideMark/>
          </w:tcPr>
          <w:p w14:paraId="43C9AD3A"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42,5 </w:t>
            </w:r>
          </w:p>
        </w:tc>
        <w:tc>
          <w:tcPr>
            <w:tcW w:w="946" w:type="dxa"/>
            <w:tcBorders>
              <w:top w:val="nil"/>
              <w:left w:val="nil"/>
              <w:bottom w:val="single" w:sz="4" w:space="0" w:color="auto"/>
              <w:right w:val="double" w:sz="6" w:space="0" w:color="auto"/>
            </w:tcBorders>
            <w:shd w:val="clear" w:color="auto" w:fill="auto"/>
            <w:vAlign w:val="center"/>
            <w:hideMark/>
          </w:tcPr>
          <w:p w14:paraId="2B075513"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42,5 </w:t>
            </w:r>
          </w:p>
        </w:tc>
      </w:tr>
      <w:tr w:rsidR="00A53AD7" w:rsidRPr="00A53AD7" w14:paraId="552475FD"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0C61D76"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2B652F01"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802" w:type="dxa"/>
            <w:tcBorders>
              <w:top w:val="nil"/>
              <w:left w:val="nil"/>
              <w:bottom w:val="single" w:sz="4" w:space="0" w:color="auto"/>
              <w:right w:val="single" w:sz="4" w:space="0" w:color="auto"/>
            </w:tcBorders>
            <w:shd w:val="clear" w:color="auto" w:fill="auto"/>
            <w:vAlign w:val="center"/>
            <w:hideMark/>
          </w:tcPr>
          <w:p w14:paraId="63C90BDC"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принятым обязательствам,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32D8D03D"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4 780,5 </w:t>
            </w:r>
          </w:p>
        </w:tc>
        <w:tc>
          <w:tcPr>
            <w:tcW w:w="1206" w:type="dxa"/>
            <w:tcBorders>
              <w:top w:val="nil"/>
              <w:left w:val="nil"/>
              <w:bottom w:val="single" w:sz="4" w:space="0" w:color="auto"/>
              <w:right w:val="single" w:sz="4" w:space="0" w:color="auto"/>
            </w:tcBorders>
            <w:shd w:val="clear" w:color="auto" w:fill="auto"/>
            <w:vAlign w:val="center"/>
            <w:hideMark/>
          </w:tcPr>
          <w:p w14:paraId="42B97B6B"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6 504,1 </w:t>
            </w:r>
          </w:p>
        </w:tc>
        <w:tc>
          <w:tcPr>
            <w:tcW w:w="946" w:type="dxa"/>
            <w:tcBorders>
              <w:top w:val="nil"/>
              <w:left w:val="nil"/>
              <w:bottom w:val="single" w:sz="4" w:space="0" w:color="auto"/>
              <w:right w:val="double" w:sz="6" w:space="0" w:color="auto"/>
            </w:tcBorders>
            <w:shd w:val="clear" w:color="auto" w:fill="auto"/>
            <w:vAlign w:val="center"/>
            <w:hideMark/>
          </w:tcPr>
          <w:p w14:paraId="60C087BE"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1 723,6 </w:t>
            </w:r>
          </w:p>
        </w:tc>
      </w:tr>
      <w:tr w:rsidR="00A53AD7" w:rsidRPr="00A53AD7" w14:paraId="52BE4C03"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2CF4F50"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16229931"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w:t>
            </w:r>
          </w:p>
        </w:tc>
        <w:tc>
          <w:tcPr>
            <w:tcW w:w="4802" w:type="dxa"/>
            <w:tcBorders>
              <w:top w:val="nil"/>
              <w:left w:val="nil"/>
              <w:bottom w:val="single" w:sz="4" w:space="0" w:color="auto"/>
              <w:right w:val="single" w:sz="4" w:space="0" w:color="auto"/>
            </w:tcBorders>
            <w:shd w:val="clear" w:color="auto" w:fill="auto"/>
            <w:vAlign w:val="center"/>
            <w:hideMark/>
          </w:tcPr>
          <w:p w14:paraId="485B9A48"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арендной плате за пользование имуществом</w:t>
            </w:r>
          </w:p>
        </w:tc>
        <w:tc>
          <w:tcPr>
            <w:tcW w:w="1206" w:type="dxa"/>
            <w:tcBorders>
              <w:top w:val="nil"/>
              <w:left w:val="nil"/>
              <w:bottom w:val="single" w:sz="4" w:space="0" w:color="auto"/>
              <w:right w:val="single" w:sz="4" w:space="0" w:color="auto"/>
            </w:tcBorders>
            <w:shd w:val="clear" w:color="auto" w:fill="auto"/>
            <w:vAlign w:val="center"/>
            <w:hideMark/>
          </w:tcPr>
          <w:p w14:paraId="7D3A9FCF"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23,7 </w:t>
            </w:r>
          </w:p>
        </w:tc>
        <w:tc>
          <w:tcPr>
            <w:tcW w:w="1206" w:type="dxa"/>
            <w:tcBorders>
              <w:top w:val="nil"/>
              <w:left w:val="nil"/>
              <w:bottom w:val="single" w:sz="4" w:space="0" w:color="auto"/>
              <w:right w:val="single" w:sz="4" w:space="0" w:color="auto"/>
            </w:tcBorders>
            <w:shd w:val="clear" w:color="auto" w:fill="auto"/>
            <w:vAlign w:val="center"/>
            <w:hideMark/>
          </w:tcPr>
          <w:p w14:paraId="4D11B85E"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15,0 </w:t>
            </w:r>
          </w:p>
        </w:tc>
        <w:tc>
          <w:tcPr>
            <w:tcW w:w="946" w:type="dxa"/>
            <w:tcBorders>
              <w:top w:val="nil"/>
              <w:left w:val="nil"/>
              <w:bottom w:val="single" w:sz="4" w:space="0" w:color="auto"/>
              <w:right w:val="double" w:sz="6" w:space="0" w:color="auto"/>
            </w:tcBorders>
            <w:shd w:val="clear" w:color="auto" w:fill="auto"/>
            <w:vAlign w:val="center"/>
            <w:hideMark/>
          </w:tcPr>
          <w:p w14:paraId="3BDAC4D7"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-8,7 </w:t>
            </w:r>
          </w:p>
        </w:tc>
      </w:tr>
      <w:tr w:rsidR="00A53AD7" w:rsidRPr="00A53AD7" w14:paraId="56174F07"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976FC1C"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14B2A307"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25</w:t>
            </w:r>
          </w:p>
        </w:tc>
        <w:tc>
          <w:tcPr>
            <w:tcW w:w="4802" w:type="dxa"/>
            <w:tcBorders>
              <w:top w:val="nil"/>
              <w:left w:val="nil"/>
              <w:bottom w:val="single" w:sz="4" w:space="0" w:color="auto"/>
              <w:right w:val="single" w:sz="4" w:space="0" w:color="auto"/>
            </w:tcBorders>
            <w:shd w:val="clear" w:color="auto" w:fill="auto"/>
            <w:vAlign w:val="center"/>
            <w:hideMark/>
          </w:tcPr>
          <w:p w14:paraId="242509C1"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работам, услугам по содержанию имущества</w:t>
            </w:r>
          </w:p>
        </w:tc>
        <w:tc>
          <w:tcPr>
            <w:tcW w:w="1206" w:type="dxa"/>
            <w:tcBorders>
              <w:top w:val="nil"/>
              <w:left w:val="nil"/>
              <w:bottom w:val="single" w:sz="4" w:space="0" w:color="auto"/>
              <w:right w:val="single" w:sz="4" w:space="0" w:color="auto"/>
            </w:tcBorders>
            <w:shd w:val="clear" w:color="auto" w:fill="auto"/>
            <w:vAlign w:val="center"/>
            <w:hideMark/>
          </w:tcPr>
          <w:p w14:paraId="3BF3EC28"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w:t>
            </w:r>
          </w:p>
        </w:tc>
        <w:tc>
          <w:tcPr>
            <w:tcW w:w="1206" w:type="dxa"/>
            <w:tcBorders>
              <w:top w:val="nil"/>
              <w:left w:val="nil"/>
              <w:bottom w:val="single" w:sz="4" w:space="0" w:color="auto"/>
              <w:right w:val="single" w:sz="4" w:space="0" w:color="auto"/>
            </w:tcBorders>
            <w:shd w:val="clear" w:color="auto" w:fill="auto"/>
            <w:vAlign w:val="center"/>
            <w:hideMark/>
          </w:tcPr>
          <w:p w14:paraId="17B79978"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w:t>
            </w:r>
          </w:p>
        </w:tc>
        <w:tc>
          <w:tcPr>
            <w:tcW w:w="946" w:type="dxa"/>
            <w:tcBorders>
              <w:top w:val="nil"/>
              <w:left w:val="nil"/>
              <w:bottom w:val="single" w:sz="4" w:space="0" w:color="auto"/>
              <w:right w:val="double" w:sz="6" w:space="0" w:color="auto"/>
            </w:tcBorders>
            <w:shd w:val="clear" w:color="auto" w:fill="auto"/>
            <w:vAlign w:val="center"/>
            <w:hideMark/>
          </w:tcPr>
          <w:p w14:paraId="79874963"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A53AD7" w:rsidRPr="00A53AD7" w14:paraId="12A63F8C"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573FA751"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lastRenderedPageBreak/>
              <w:t>302</w:t>
            </w:r>
          </w:p>
        </w:tc>
        <w:tc>
          <w:tcPr>
            <w:tcW w:w="485" w:type="dxa"/>
            <w:tcBorders>
              <w:top w:val="nil"/>
              <w:left w:val="nil"/>
              <w:bottom w:val="single" w:sz="4" w:space="0" w:color="auto"/>
              <w:right w:val="single" w:sz="4" w:space="0" w:color="auto"/>
            </w:tcBorders>
            <w:shd w:val="clear" w:color="auto" w:fill="auto"/>
            <w:vAlign w:val="center"/>
            <w:hideMark/>
          </w:tcPr>
          <w:p w14:paraId="4002BE38"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w:t>
            </w:r>
          </w:p>
        </w:tc>
        <w:tc>
          <w:tcPr>
            <w:tcW w:w="4802" w:type="dxa"/>
            <w:tcBorders>
              <w:top w:val="nil"/>
              <w:left w:val="nil"/>
              <w:bottom w:val="single" w:sz="4" w:space="0" w:color="auto"/>
              <w:right w:val="single" w:sz="4" w:space="0" w:color="auto"/>
            </w:tcBorders>
            <w:shd w:val="clear" w:color="auto" w:fill="auto"/>
            <w:vAlign w:val="center"/>
            <w:hideMark/>
          </w:tcPr>
          <w:p w14:paraId="4448447C"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основных средств</w:t>
            </w:r>
          </w:p>
        </w:tc>
        <w:tc>
          <w:tcPr>
            <w:tcW w:w="1206" w:type="dxa"/>
            <w:tcBorders>
              <w:top w:val="nil"/>
              <w:left w:val="nil"/>
              <w:bottom w:val="single" w:sz="4" w:space="0" w:color="auto"/>
              <w:right w:val="single" w:sz="4" w:space="0" w:color="auto"/>
            </w:tcBorders>
            <w:shd w:val="clear" w:color="auto" w:fill="auto"/>
            <w:vAlign w:val="center"/>
            <w:hideMark/>
          </w:tcPr>
          <w:p w14:paraId="2378103B"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326,6 </w:t>
            </w:r>
          </w:p>
        </w:tc>
        <w:tc>
          <w:tcPr>
            <w:tcW w:w="1206" w:type="dxa"/>
            <w:tcBorders>
              <w:top w:val="nil"/>
              <w:left w:val="nil"/>
              <w:bottom w:val="single" w:sz="4" w:space="0" w:color="auto"/>
              <w:right w:val="single" w:sz="4" w:space="0" w:color="auto"/>
            </w:tcBorders>
            <w:shd w:val="clear" w:color="auto" w:fill="auto"/>
            <w:vAlign w:val="center"/>
            <w:hideMark/>
          </w:tcPr>
          <w:p w14:paraId="50137057"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370,3 </w:t>
            </w:r>
          </w:p>
        </w:tc>
        <w:tc>
          <w:tcPr>
            <w:tcW w:w="946" w:type="dxa"/>
            <w:tcBorders>
              <w:top w:val="nil"/>
              <w:left w:val="nil"/>
              <w:bottom w:val="single" w:sz="4" w:space="0" w:color="auto"/>
              <w:right w:val="double" w:sz="6" w:space="0" w:color="auto"/>
            </w:tcBorders>
            <w:shd w:val="clear" w:color="auto" w:fill="auto"/>
            <w:vAlign w:val="center"/>
            <w:hideMark/>
          </w:tcPr>
          <w:p w14:paraId="14C98955"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43,7 </w:t>
            </w:r>
          </w:p>
        </w:tc>
      </w:tr>
      <w:tr w:rsidR="00A53AD7" w:rsidRPr="00A53AD7" w14:paraId="4CDD806A"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0EE0A425"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5B05E174"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34</w:t>
            </w:r>
          </w:p>
        </w:tc>
        <w:tc>
          <w:tcPr>
            <w:tcW w:w="4802" w:type="dxa"/>
            <w:tcBorders>
              <w:top w:val="nil"/>
              <w:left w:val="nil"/>
              <w:bottom w:val="single" w:sz="4" w:space="0" w:color="auto"/>
              <w:right w:val="single" w:sz="4" w:space="0" w:color="auto"/>
            </w:tcBorders>
            <w:shd w:val="clear" w:color="auto" w:fill="auto"/>
            <w:vAlign w:val="center"/>
            <w:hideMark/>
          </w:tcPr>
          <w:p w14:paraId="0BA6F9F5"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материальных запасов</w:t>
            </w:r>
          </w:p>
        </w:tc>
        <w:tc>
          <w:tcPr>
            <w:tcW w:w="1206" w:type="dxa"/>
            <w:tcBorders>
              <w:top w:val="nil"/>
              <w:left w:val="nil"/>
              <w:bottom w:val="single" w:sz="4" w:space="0" w:color="auto"/>
              <w:right w:val="single" w:sz="4" w:space="0" w:color="auto"/>
            </w:tcBorders>
            <w:shd w:val="clear" w:color="auto" w:fill="auto"/>
            <w:vAlign w:val="center"/>
            <w:hideMark/>
          </w:tcPr>
          <w:p w14:paraId="1FCFE52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0,5 </w:t>
            </w:r>
          </w:p>
        </w:tc>
        <w:tc>
          <w:tcPr>
            <w:tcW w:w="1206" w:type="dxa"/>
            <w:tcBorders>
              <w:top w:val="nil"/>
              <w:left w:val="nil"/>
              <w:bottom w:val="single" w:sz="4" w:space="0" w:color="auto"/>
              <w:right w:val="single" w:sz="4" w:space="0" w:color="auto"/>
            </w:tcBorders>
            <w:shd w:val="clear" w:color="auto" w:fill="auto"/>
            <w:vAlign w:val="center"/>
            <w:hideMark/>
          </w:tcPr>
          <w:p w14:paraId="0597B988"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5,8 </w:t>
            </w:r>
          </w:p>
        </w:tc>
        <w:tc>
          <w:tcPr>
            <w:tcW w:w="946" w:type="dxa"/>
            <w:tcBorders>
              <w:top w:val="nil"/>
              <w:left w:val="nil"/>
              <w:bottom w:val="single" w:sz="4" w:space="0" w:color="auto"/>
              <w:right w:val="double" w:sz="6" w:space="0" w:color="auto"/>
            </w:tcBorders>
            <w:shd w:val="clear" w:color="auto" w:fill="auto"/>
            <w:vAlign w:val="center"/>
            <w:hideMark/>
          </w:tcPr>
          <w:p w14:paraId="28B54324"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5,4 </w:t>
            </w:r>
          </w:p>
        </w:tc>
      </w:tr>
      <w:tr w:rsidR="00A53AD7" w:rsidRPr="00A53AD7" w14:paraId="7B4E21C0"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8942F28"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17E20AC5"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49</w:t>
            </w:r>
          </w:p>
        </w:tc>
        <w:tc>
          <w:tcPr>
            <w:tcW w:w="4802" w:type="dxa"/>
            <w:tcBorders>
              <w:top w:val="nil"/>
              <w:left w:val="nil"/>
              <w:bottom w:val="single" w:sz="4" w:space="0" w:color="auto"/>
              <w:right w:val="single" w:sz="4" w:space="0" w:color="auto"/>
            </w:tcBorders>
            <w:shd w:val="clear" w:color="auto" w:fill="auto"/>
            <w:vAlign w:val="center"/>
            <w:hideMark/>
          </w:tcPr>
          <w:p w14:paraId="55C3D6FF"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нефинансовым организациям государственного сектора на продукцию</w:t>
            </w:r>
          </w:p>
        </w:tc>
        <w:tc>
          <w:tcPr>
            <w:tcW w:w="1206" w:type="dxa"/>
            <w:tcBorders>
              <w:top w:val="nil"/>
              <w:left w:val="nil"/>
              <w:bottom w:val="single" w:sz="4" w:space="0" w:color="auto"/>
              <w:right w:val="single" w:sz="4" w:space="0" w:color="auto"/>
            </w:tcBorders>
            <w:shd w:val="clear" w:color="auto" w:fill="auto"/>
            <w:vAlign w:val="center"/>
            <w:hideMark/>
          </w:tcPr>
          <w:p w14:paraId="551BCDA7"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65,5 </w:t>
            </w:r>
          </w:p>
        </w:tc>
        <w:tc>
          <w:tcPr>
            <w:tcW w:w="1206" w:type="dxa"/>
            <w:tcBorders>
              <w:top w:val="nil"/>
              <w:left w:val="nil"/>
              <w:bottom w:val="single" w:sz="4" w:space="0" w:color="auto"/>
              <w:right w:val="single" w:sz="4" w:space="0" w:color="auto"/>
            </w:tcBorders>
            <w:shd w:val="clear" w:color="auto" w:fill="auto"/>
            <w:vAlign w:val="center"/>
            <w:hideMark/>
          </w:tcPr>
          <w:p w14:paraId="26AD516B"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50,7 </w:t>
            </w:r>
          </w:p>
        </w:tc>
        <w:tc>
          <w:tcPr>
            <w:tcW w:w="946" w:type="dxa"/>
            <w:tcBorders>
              <w:top w:val="nil"/>
              <w:left w:val="nil"/>
              <w:bottom w:val="single" w:sz="4" w:space="0" w:color="auto"/>
              <w:right w:val="double" w:sz="6" w:space="0" w:color="auto"/>
            </w:tcBorders>
            <w:shd w:val="clear" w:color="auto" w:fill="auto"/>
            <w:vAlign w:val="center"/>
            <w:hideMark/>
          </w:tcPr>
          <w:p w14:paraId="62192FD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-14,8 </w:t>
            </w:r>
          </w:p>
        </w:tc>
      </w:tr>
      <w:tr w:rsidR="00A53AD7" w:rsidRPr="00A53AD7" w14:paraId="4FE7AD0C"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7F71B53D"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4842D3F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4A</w:t>
            </w:r>
          </w:p>
        </w:tc>
        <w:tc>
          <w:tcPr>
            <w:tcW w:w="4802" w:type="dxa"/>
            <w:tcBorders>
              <w:top w:val="nil"/>
              <w:left w:val="nil"/>
              <w:bottom w:val="single" w:sz="4" w:space="0" w:color="auto"/>
              <w:right w:val="single" w:sz="4" w:space="0" w:color="auto"/>
            </w:tcBorders>
            <w:shd w:val="clear" w:color="auto" w:fill="auto"/>
            <w:vAlign w:val="center"/>
            <w:hideMark/>
          </w:tcPr>
          <w:p w14:paraId="46CB1089" w14:textId="6BD64897" w:rsidR="00F700F3" w:rsidRPr="00A53AD7" w:rsidRDefault="00F700F3" w:rsidP="00B93F0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продукцию</w:t>
            </w:r>
          </w:p>
        </w:tc>
        <w:tc>
          <w:tcPr>
            <w:tcW w:w="1206" w:type="dxa"/>
            <w:tcBorders>
              <w:top w:val="nil"/>
              <w:left w:val="nil"/>
              <w:bottom w:val="single" w:sz="4" w:space="0" w:color="auto"/>
              <w:right w:val="single" w:sz="4" w:space="0" w:color="auto"/>
            </w:tcBorders>
            <w:shd w:val="clear" w:color="auto" w:fill="auto"/>
            <w:vAlign w:val="center"/>
            <w:hideMark/>
          </w:tcPr>
          <w:p w14:paraId="77463521"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318,3 </w:t>
            </w:r>
          </w:p>
        </w:tc>
        <w:tc>
          <w:tcPr>
            <w:tcW w:w="1206" w:type="dxa"/>
            <w:tcBorders>
              <w:top w:val="nil"/>
              <w:left w:val="nil"/>
              <w:bottom w:val="single" w:sz="4" w:space="0" w:color="auto"/>
              <w:right w:val="single" w:sz="4" w:space="0" w:color="auto"/>
            </w:tcBorders>
            <w:shd w:val="clear" w:color="auto" w:fill="auto"/>
            <w:vAlign w:val="center"/>
            <w:hideMark/>
          </w:tcPr>
          <w:p w14:paraId="5B711944"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440,8 </w:t>
            </w:r>
          </w:p>
        </w:tc>
        <w:tc>
          <w:tcPr>
            <w:tcW w:w="946" w:type="dxa"/>
            <w:tcBorders>
              <w:top w:val="nil"/>
              <w:left w:val="nil"/>
              <w:bottom w:val="single" w:sz="4" w:space="0" w:color="auto"/>
              <w:right w:val="double" w:sz="6" w:space="0" w:color="auto"/>
            </w:tcBorders>
            <w:shd w:val="clear" w:color="auto" w:fill="auto"/>
            <w:vAlign w:val="center"/>
            <w:hideMark/>
          </w:tcPr>
          <w:p w14:paraId="1CE31D4C"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122,5 </w:t>
            </w:r>
          </w:p>
        </w:tc>
      </w:tr>
      <w:tr w:rsidR="00A53AD7" w:rsidRPr="00A53AD7" w14:paraId="303B451D"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05E6874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77E10B3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75</w:t>
            </w:r>
          </w:p>
        </w:tc>
        <w:tc>
          <w:tcPr>
            <w:tcW w:w="4802" w:type="dxa"/>
            <w:tcBorders>
              <w:top w:val="nil"/>
              <w:left w:val="nil"/>
              <w:bottom w:val="single" w:sz="4" w:space="0" w:color="auto"/>
              <w:right w:val="single" w:sz="4" w:space="0" w:color="auto"/>
            </w:tcBorders>
            <w:shd w:val="clear" w:color="auto" w:fill="auto"/>
            <w:vAlign w:val="center"/>
            <w:hideMark/>
          </w:tcPr>
          <w:p w14:paraId="0F78BF1D"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иных финансовых активов</w:t>
            </w:r>
          </w:p>
        </w:tc>
        <w:tc>
          <w:tcPr>
            <w:tcW w:w="1206" w:type="dxa"/>
            <w:tcBorders>
              <w:top w:val="nil"/>
              <w:left w:val="nil"/>
              <w:bottom w:val="single" w:sz="4" w:space="0" w:color="auto"/>
              <w:right w:val="single" w:sz="4" w:space="0" w:color="auto"/>
            </w:tcBorders>
            <w:shd w:val="clear" w:color="auto" w:fill="auto"/>
            <w:vAlign w:val="center"/>
            <w:hideMark/>
          </w:tcPr>
          <w:p w14:paraId="26486592"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4 033,6 </w:t>
            </w:r>
          </w:p>
        </w:tc>
        <w:tc>
          <w:tcPr>
            <w:tcW w:w="1206" w:type="dxa"/>
            <w:tcBorders>
              <w:top w:val="nil"/>
              <w:left w:val="nil"/>
              <w:bottom w:val="single" w:sz="4" w:space="0" w:color="auto"/>
              <w:right w:val="single" w:sz="4" w:space="0" w:color="auto"/>
            </w:tcBorders>
            <w:shd w:val="clear" w:color="auto" w:fill="auto"/>
            <w:vAlign w:val="center"/>
            <w:hideMark/>
          </w:tcPr>
          <w:p w14:paraId="426D680F"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5 598,9 </w:t>
            </w:r>
          </w:p>
        </w:tc>
        <w:tc>
          <w:tcPr>
            <w:tcW w:w="946" w:type="dxa"/>
            <w:tcBorders>
              <w:top w:val="nil"/>
              <w:left w:val="nil"/>
              <w:bottom w:val="single" w:sz="4" w:space="0" w:color="auto"/>
              <w:right w:val="double" w:sz="6" w:space="0" w:color="auto"/>
            </w:tcBorders>
            <w:shd w:val="clear" w:color="auto" w:fill="auto"/>
            <w:vAlign w:val="center"/>
            <w:hideMark/>
          </w:tcPr>
          <w:p w14:paraId="7A3DCF01"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1 565,3 </w:t>
            </w:r>
          </w:p>
        </w:tc>
      </w:tr>
      <w:tr w:rsidR="00A53AD7" w:rsidRPr="00A53AD7" w14:paraId="18A60C58"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6CD724CD"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85" w:type="dxa"/>
            <w:tcBorders>
              <w:top w:val="nil"/>
              <w:left w:val="nil"/>
              <w:bottom w:val="single" w:sz="4" w:space="0" w:color="auto"/>
              <w:right w:val="single" w:sz="4" w:space="0" w:color="auto"/>
            </w:tcBorders>
            <w:shd w:val="clear" w:color="auto" w:fill="auto"/>
            <w:vAlign w:val="center"/>
            <w:hideMark/>
          </w:tcPr>
          <w:p w14:paraId="14ABC051"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95</w:t>
            </w:r>
          </w:p>
        </w:tc>
        <w:tc>
          <w:tcPr>
            <w:tcW w:w="4802" w:type="dxa"/>
            <w:tcBorders>
              <w:top w:val="nil"/>
              <w:left w:val="nil"/>
              <w:bottom w:val="single" w:sz="4" w:space="0" w:color="auto"/>
              <w:right w:val="single" w:sz="4" w:space="0" w:color="auto"/>
            </w:tcBorders>
            <w:shd w:val="clear" w:color="auto" w:fill="auto"/>
            <w:vAlign w:val="center"/>
            <w:hideMark/>
          </w:tcPr>
          <w:p w14:paraId="1BFD9003"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другим экономическим санкциям</w:t>
            </w:r>
          </w:p>
        </w:tc>
        <w:tc>
          <w:tcPr>
            <w:tcW w:w="1206" w:type="dxa"/>
            <w:tcBorders>
              <w:top w:val="nil"/>
              <w:left w:val="nil"/>
              <w:bottom w:val="single" w:sz="4" w:space="0" w:color="auto"/>
              <w:right w:val="single" w:sz="4" w:space="0" w:color="auto"/>
            </w:tcBorders>
            <w:shd w:val="clear" w:color="auto" w:fill="auto"/>
            <w:vAlign w:val="center"/>
            <w:hideMark/>
          </w:tcPr>
          <w:p w14:paraId="698A797C"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 </w:t>
            </w:r>
          </w:p>
        </w:tc>
        <w:tc>
          <w:tcPr>
            <w:tcW w:w="1206" w:type="dxa"/>
            <w:tcBorders>
              <w:top w:val="nil"/>
              <w:left w:val="nil"/>
              <w:bottom w:val="single" w:sz="4" w:space="0" w:color="auto"/>
              <w:right w:val="single" w:sz="4" w:space="0" w:color="auto"/>
            </w:tcBorders>
            <w:shd w:val="clear" w:color="auto" w:fill="auto"/>
            <w:vAlign w:val="center"/>
            <w:hideMark/>
          </w:tcPr>
          <w:p w14:paraId="0063854F"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14,1 </w:t>
            </w:r>
          </w:p>
        </w:tc>
        <w:tc>
          <w:tcPr>
            <w:tcW w:w="946" w:type="dxa"/>
            <w:tcBorders>
              <w:top w:val="nil"/>
              <w:left w:val="nil"/>
              <w:bottom w:val="single" w:sz="4" w:space="0" w:color="auto"/>
              <w:right w:val="double" w:sz="6" w:space="0" w:color="auto"/>
            </w:tcBorders>
            <w:shd w:val="clear" w:color="auto" w:fill="auto"/>
            <w:vAlign w:val="center"/>
            <w:hideMark/>
          </w:tcPr>
          <w:p w14:paraId="04FDD376"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11,0 </w:t>
            </w:r>
          </w:p>
        </w:tc>
      </w:tr>
      <w:tr w:rsidR="00A53AD7" w:rsidRPr="00A53AD7" w14:paraId="21006B3B"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35344FD7"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303</w:t>
            </w:r>
          </w:p>
        </w:tc>
        <w:tc>
          <w:tcPr>
            <w:tcW w:w="485" w:type="dxa"/>
            <w:tcBorders>
              <w:top w:val="nil"/>
              <w:left w:val="nil"/>
              <w:bottom w:val="single" w:sz="4" w:space="0" w:color="auto"/>
              <w:right w:val="single" w:sz="4" w:space="0" w:color="auto"/>
            </w:tcBorders>
            <w:shd w:val="clear" w:color="auto" w:fill="auto"/>
            <w:vAlign w:val="center"/>
            <w:hideMark/>
          </w:tcPr>
          <w:p w14:paraId="32E7C3C9" w14:textId="77777777" w:rsidR="00F700F3" w:rsidRPr="00A53AD7" w:rsidRDefault="00F700F3" w:rsidP="00C93D30">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802" w:type="dxa"/>
            <w:tcBorders>
              <w:top w:val="nil"/>
              <w:left w:val="nil"/>
              <w:bottom w:val="single" w:sz="4" w:space="0" w:color="auto"/>
              <w:right w:val="single" w:sz="4" w:space="0" w:color="auto"/>
            </w:tcBorders>
            <w:shd w:val="clear" w:color="auto" w:fill="auto"/>
            <w:vAlign w:val="center"/>
            <w:hideMark/>
          </w:tcPr>
          <w:p w14:paraId="004EBB98"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Расчеты по платежам в бюджеты, из нее наибольшая:</w:t>
            </w:r>
          </w:p>
        </w:tc>
        <w:tc>
          <w:tcPr>
            <w:tcW w:w="1206" w:type="dxa"/>
            <w:tcBorders>
              <w:top w:val="nil"/>
              <w:left w:val="nil"/>
              <w:bottom w:val="single" w:sz="4" w:space="0" w:color="auto"/>
              <w:right w:val="single" w:sz="4" w:space="0" w:color="auto"/>
            </w:tcBorders>
            <w:shd w:val="clear" w:color="auto" w:fill="auto"/>
            <w:vAlign w:val="center"/>
            <w:hideMark/>
          </w:tcPr>
          <w:p w14:paraId="677F6F93"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117,7 </w:t>
            </w:r>
          </w:p>
        </w:tc>
        <w:tc>
          <w:tcPr>
            <w:tcW w:w="1206" w:type="dxa"/>
            <w:tcBorders>
              <w:top w:val="nil"/>
              <w:left w:val="nil"/>
              <w:bottom w:val="single" w:sz="4" w:space="0" w:color="auto"/>
              <w:right w:val="single" w:sz="4" w:space="0" w:color="auto"/>
            </w:tcBorders>
            <w:shd w:val="clear" w:color="auto" w:fill="auto"/>
            <w:vAlign w:val="center"/>
            <w:hideMark/>
          </w:tcPr>
          <w:p w14:paraId="1EE84930"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63,3 </w:t>
            </w:r>
          </w:p>
        </w:tc>
        <w:tc>
          <w:tcPr>
            <w:tcW w:w="946" w:type="dxa"/>
            <w:tcBorders>
              <w:top w:val="nil"/>
              <w:left w:val="nil"/>
              <w:bottom w:val="single" w:sz="4" w:space="0" w:color="auto"/>
              <w:right w:val="double" w:sz="6" w:space="0" w:color="auto"/>
            </w:tcBorders>
            <w:shd w:val="clear" w:color="auto" w:fill="auto"/>
            <w:vAlign w:val="center"/>
            <w:hideMark/>
          </w:tcPr>
          <w:p w14:paraId="504C7A66"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-54,4 </w:t>
            </w:r>
          </w:p>
        </w:tc>
      </w:tr>
      <w:tr w:rsidR="00A53AD7" w:rsidRPr="00A53AD7" w14:paraId="7FA92BFA"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281E778C"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303</w:t>
            </w:r>
          </w:p>
        </w:tc>
        <w:tc>
          <w:tcPr>
            <w:tcW w:w="485" w:type="dxa"/>
            <w:tcBorders>
              <w:top w:val="nil"/>
              <w:left w:val="nil"/>
              <w:bottom w:val="single" w:sz="4" w:space="0" w:color="auto"/>
              <w:right w:val="single" w:sz="4" w:space="0" w:color="auto"/>
            </w:tcBorders>
            <w:shd w:val="clear" w:color="auto" w:fill="auto"/>
            <w:vAlign w:val="center"/>
            <w:hideMark/>
          </w:tcPr>
          <w:p w14:paraId="33DD09C8"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w:t>
            </w:r>
          </w:p>
        </w:tc>
        <w:tc>
          <w:tcPr>
            <w:tcW w:w="4802" w:type="dxa"/>
            <w:tcBorders>
              <w:top w:val="nil"/>
              <w:left w:val="nil"/>
              <w:bottom w:val="single" w:sz="4" w:space="0" w:color="auto"/>
              <w:right w:val="single" w:sz="4" w:space="0" w:color="auto"/>
            </w:tcBorders>
            <w:shd w:val="clear" w:color="auto" w:fill="auto"/>
            <w:vAlign w:val="center"/>
            <w:hideMark/>
          </w:tcPr>
          <w:p w14:paraId="41CD01EB"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страховым взносам на обязательное пенсионное страхование на выплату страховой части трудовой пенсии</w:t>
            </w:r>
          </w:p>
        </w:tc>
        <w:tc>
          <w:tcPr>
            <w:tcW w:w="1206" w:type="dxa"/>
            <w:tcBorders>
              <w:top w:val="nil"/>
              <w:left w:val="nil"/>
              <w:bottom w:val="single" w:sz="4" w:space="0" w:color="auto"/>
              <w:right w:val="single" w:sz="4" w:space="0" w:color="auto"/>
            </w:tcBorders>
            <w:shd w:val="clear" w:color="auto" w:fill="auto"/>
            <w:vAlign w:val="center"/>
            <w:hideMark/>
          </w:tcPr>
          <w:p w14:paraId="70CF5A0D"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5,2 </w:t>
            </w:r>
          </w:p>
        </w:tc>
        <w:tc>
          <w:tcPr>
            <w:tcW w:w="1206" w:type="dxa"/>
            <w:tcBorders>
              <w:top w:val="nil"/>
              <w:left w:val="nil"/>
              <w:bottom w:val="single" w:sz="4" w:space="0" w:color="auto"/>
              <w:right w:val="single" w:sz="4" w:space="0" w:color="auto"/>
            </w:tcBorders>
            <w:shd w:val="clear" w:color="auto" w:fill="auto"/>
            <w:vAlign w:val="center"/>
            <w:hideMark/>
          </w:tcPr>
          <w:p w14:paraId="5DBEA214"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 </w:t>
            </w:r>
          </w:p>
        </w:tc>
        <w:tc>
          <w:tcPr>
            <w:tcW w:w="946" w:type="dxa"/>
            <w:tcBorders>
              <w:top w:val="nil"/>
              <w:left w:val="nil"/>
              <w:bottom w:val="single" w:sz="4" w:space="0" w:color="auto"/>
              <w:right w:val="double" w:sz="6" w:space="0" w:color="auto"/>
            </w:tcBorders>
            <w:shd w:val="clear" w:color="auto" w:fill="auto"/>
            <w:vAlign w:val="center"/>
            <w:hideMark/>
          </w:tcPr>
          <w:p w14:paraId="755CAEC2"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r>
      <w:tr w:rsidR="00A53AD7" w:rsidRPr="00A53AD7" w14:paraId="4133630A" w14:textId="77777777" w:rsidTr="00C93D30">
        <w:trPr>
          <w:trHeight w:val="53"/>
        </w:trPr>
        <w:tc>
          <w:tcPr>
            <w:tcW w:w="559" w:type="dxa"/>
            <w:tcBorders>
              <w:top w:val="nil"/>
              <w:left w:val="double" w:sz="6" w:space="0" w:color="auto"/>
              <w:bottom w:val="single" w:sz="4" w:space="0" w:color="auto"/>
              <w:right w:val="single" w:sz="4" w:space="0" w:color="auto"/>
            </w:tcBorders>
            <w:shd w:val="clear" w:color="auto" w:fill="auto"/>
            <w:vAlign w:val="center"/>
            <w:hideMark/>
          </w:tcPr>
          <w:p w14:paraId="18091E6B"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303</w:t>
            </w:r>
          </w:p>
        </w:tc>
        <w:tc>
          <w:tcPr>
            <w:tcW w:w="485" w:type="dxa"/>
            <w:tcBorders>
              <w:top w:val="nil"/>
              <w:left w:val="nil"/>
              <w:bottom w:val="single" w:sz="4" w:space="0" w:color="auto"/>
              <w:right w:val="single" w:sz="4" w:space="0" w:color="auto"/>
            </w:tcBorders>
            <w:shd w:val="clear" w:color="auto" w:fill="auto"/>
            <w:vAlign w:val="center"/>
            <w:hideMark/>
          </w:tcPr>
          <w:p w14:paraId="30E0A771" w14:textId="77777777" w:rsidR="00F700F3" w:rsidRPr="00A53AD7" w:rsidRDefault="00F700F3" w:rsidP="00C93D3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12</w:t>
            </w:r>
          </w:p>
        </w:tc>
        <w:tc>
          <w:tcPr>
            <w:tcW w:w="4802" w:type="dxa"/>
            <w:tcBorders>
              <w:top w:val="nil"/>
              <w:left w:val="nil"/>
              <w:bottom w:val="single" w:sz="4" w:space="0" w:color="auto"/>
              <w:right w:val="single" w:sz="4" w:space="0" w:color="auto"/>
            </w:tcBorders>
            <w:shd w:val="clear" w:color="auto" w:fill="auto"/>
            <w:vAlign w:val="center"/>
            <w:hideMark/>
          </w:tcPr>
          <w:p w14:paraId="35847936" w14:textId="77777777" w:rsidR="00F700F3" w:rsidRPr="00A53AD7" w:rsidRDefault="00F700F3" w:rsidP="00C93D30">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налогу на имущество организаций</w:t>
            </w:r>
          </w:p>
        </w:tc>
        <w:tc>
          <w:tcPr>
            <w:tcW w:w="1206" w:type="dxa"/>
            <w:tcBorders>
              <w:top w:val="nil"/>
              <w:left w:val="nil"/>
              <w:bottom w:val="single" w:sz="4" w:space="0" w:color="auto"/>
              <w:right w:val="single" w:sz="4" w:space="0" w:color="auto"/>
            </w:tcBorders>
            <w:shd w:val="clear" w:color="auto" w:fill="auto"/>
            <w:vAlign w:val="center"/>
            <w:hideMark/>
          </w:tcPr>
          <w:p w14:paraId="362ADA52"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110,7 </w:t>
            </w:r>
          </w:p>
        </w:tc>
        <w:tc>
          <w:tcPr>
            <w:tcW w:w="1206" w:type="dxa"/>
            <w:tcBorders>
              <w:top w:val="nil"/>
              <w:left w:val="nil"/>
              <w:bottom w:val="single" w:sz="4" w:space="0" w:color="auto"/>
              <w:right w:val="single" w:sz="4" w:space="0" w:color="auto"/>
            </w:tcBorders>
            <w:shd w:val="clear" w:color="auto" w:fill="auto"/>
            <w:vAlign w:val="center"/>
            <w:hideMark/>
          </w:tcPr>
          <w:p w14:paraId="25063D21"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57,5 </w:t>
            </w:r>
          </w:p>
        </w:tc>
        <w:tc>
          <w:tcPr>
            <w:tcW w:w="946" w:type="dxa"/>
            <w:tcBorders>
              <w:top w:val="nil"/>
              <w:left w:val="nil"/>
              <w:bottom w:val="single" w:sz="4" w:space="0" w:color="auto"/>
              <w:right w:val="double" w:sz="6" w:space="0" w:color="auto"/>
            </w:tcBorders>
            <w:shd w:val="clear" w:color="auto" w:fill="auto"/>
            <w:vAlign w:val="center"/>
            <w:hideMark/>
          </w:tcPr>
          <w:p w14:paraId="7B63DD72" w14:textId="77777777" w:rsidR="00F700F3" w:rsidRPr="00A53AD7" w:rsidRDefault="00F700F3" w:rsidP="00C93D30">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-53,1 </w:t>
            </w:r>
          </w:p>
        </w:tc>
      </w:tr>
      <w:tr w:rsidR="00F700F3" w:rsidRPr="00A53AD7" w14:paraId="7A2A8346" w14:textId="77777777" w:rsidTr="00C93D30">
        <w:trPr>
          <w:trHeight w:val="53"/>
        </w:trPr>
        <w:tc>
          <w:tcPr>
            <w:tcW w:w="5846" w:type="dxa"/>
            <w:gridSpan w:val="3"/>
            <w:tcBorders>
              <w:top w:val="single" w:sz="4" w:space="0" w:color="auto"/>
              <w:left w:val="double" w:sz="6" w:space="0" w:color="auto"/>
              <w:bottom w:val="double" w:sz="6" w:space="0" w:color="auto"/>
              <w:right w:val="single" w:sz="4" w:space="0" w:color="000000"/>
            </w:tcBorders>
            <w:shd w:val="clear" w:color="auto" w:fill="auto"/>
            <w:vAlign w:val="center"/>
            <w:hideMark/>
          </w:tcPr>
          <w:p w14:paraId="6B6B3D96" w14:textId="77777777" w:rsidR="00F700F3" w:rsidRPr="00A53AD7" w:rsidRDefault="00F700F3" w:rsidP="00C93D30">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Всего кредиторская задолженность областного бюджета</w:t>
            </w:r>
          </w:p>
        </w:tc>
        <w:tc>
          <w:tcPr>
            <w:tcW w:w="1206" w:type="dxa"/>
            <w:tcBorders>
              <w:top w:val="nil"/>
              <w:left w:val="nil"/>
              <w:bottom w:val="double" w:sz="6" w:space="0" w:color="auto"/>
              <w:right w:val="single" w:sz="4" w:space="0" w:color="auto"/>
            </w:tcBorders>
            <w:shd w:val="clear" w:color="auto" w:fill="auto"/>
            <w:vAlign w:val="center"/>
            <w:hideMark/>
          </w:tcPr>
          <w:p w14:paraId="0C26A439"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7 179,1 </w:t>
            </w:r>
          </w:p>
        </w:tc>
        <w:tc>
          <w:tcPr>
            <w:tcW w:w="1206" w:type="dxa"/>
            <w:tcBorders>
              <w:top w:val="nil"/>
              <w:left w:val="nil"/>
              <w:bottom w:val="double" w:sz="6" w:space="0" w:color="auto"/>
              <w:right w:val="single" w:sz="4" w:space="0" w:color="auto"/>
            </w:tcBorders>
            <w:shd w:val="clear" w:color="auto" w:fill="auto"/>
            <w:vAlign w:val="center"/>
            <w:hideMark/>
          </w:tcPr>
          <w:p w14:paraId="4176D495"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12 509,9 </w:t>
            </w:r>
          </w:p>
        </w:tc>
        <w:tc>
          <w:tcPr>
            <w:tcW w:w="946" w:type="dxa"/>
            <w:tcBorders>
              <w:top w:val="nil"/>
              <w:left w:val="nil"/>
              <w:bottom w:val="double" w:sz="6" w:space="0" w:color="auto"/>
              <w:right w:val="double" w:sz="6" w:space="0" w:color="auto"/>
            </w:tcBorders>
            <w:shd w:val="clear" w:color="auto" w:fill="auto"/>
            <w:vAlign w:val="center"/>
            <w:hideMark/>
          </w:tcPr>
          <w:p w14:paraId="06C6229D" w14:textId="77777777" w:rsidR="00F700F3" w:rsidRPr="00A53AD7" w:rsidRDefault="00F700F3" w:rsidP="00C93D30">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5 330,8 </w:t>
            </w:r>
          </w:p>
        </w:tc>
      </w:tr>
    </w:tbl>
    <w:p w14:paraId="4BFB1502" w14:textId="77777777" w:rsidR="00F700F3" w:rsidRPr="00A53AD7" w:rsidRDefault="00F700F3" w:rsidP="005354A2">
      <w:pPr>
        <w:spacing w:after="0" w:line="240" w:lineRule="auto"/>
        <w:ind w:firstLine="851"/>
        <w:jc w:val="both"/>
        <w:rPr>
          <w:rFonts w:ascii="Times New Roman" w:hAnsi="Times New Roman"/>
          <w:sz w:val="28"/>
          <w:szCs w:val="28"/>
        </w:rPr>
      </w:pPr>
    </w:p>
    <w:p w14:paraId="7A61BBE0" w14:textId="77777777" w:rsidR="00F700F3" w:rsidRPr="00A53AD7" w:rsidRDefault="00F700F3" w:rsidP="005354A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Наибольшая сумма кредиторской задолженности областного бюджета на 01.01.2020 сложилась:</w:t>
      </w:r>
    </w:p>
    <w:p w14:paraId="12716B87" w14:textId="040666DE" w:rsidR="00F700F3" w:rsidRPr="00A53AD7" w:rsidRDefault="00F700F3" w:rsidP="00135937">
      <w:pPr>
        <w:pStyle w:val="a0"/>
        <w:rPr>
          <w:lang w:eastAsia="ru-RU"/>
        </w:rPr>
      </w:pPr>
      <w:r w:rsidRPr="00A53AD7">
        <w:rPr>
          <w:lang w:eastAsia="ru-RU"/>
        </w:rPr>
        <w:t xml:space="preserve">по счету 302.75 «Расчеты по приобретению иных финансовых активов» в сумме 5 598,9 тыс.руб., которая за 2019 год увеличилась на 1 565,3 тыс.руб. или на 38,8 %. Удельный вес указанной кредиторской задолженности в общей сумме кредиторской задолженности составляет 44,8 %. </w:t>
      </w:r>
      <w:r w:rsidR="008E1E70" w:rsidRPr="00A53AD7">
        <w:rPr>
          <w:lang w:eastAsia="ru-RU"/>
        </w:rPr>
        <w:t>Задолженность отражена п</w:t>
      </w:r>
      <w:r w:rsidRPr="00A53AD7">
        <w:rPr>
          <w:lang w:eastAsia="ru-RU"/>
        </w:rPr>
        <w:t>о аналитическому счету, относящемуся к источникам финансирования областного бюджета по КБК «Операции по управлению остатками средств на единых счетах бюджетов»;</w:t>
      </w:r>
    </w:p>
    <w:p w14:paraId="2436C3EE" w14:textId="40CBB9E8" w:rsidR="00F700F3" w:rsidRPr="00A53AD7" w:rsidRDefault="00F700F3" w:rsidP="00135937">
      <w:pPr>
        <w:pStyle w:val="a0"/>
        <w:rPr>
          <w:lang w:eastAsia="ru-RU"/>
        </w:rPr>
      </w:pPr>
      <w:r w:rsidRPr="00A53AD7">
        <w:rPr>
          <w:lang w:eastAsia="ru-RU"/>
        </w:rPr>
        <w:t>по аналитическому счету 205.11 «Расчеты с плательщиками налоговых доходов», согласно отчету по ф. 0503169, представленному управлением Федеральной налоговой службы по Архангельской области и Ненецкому автономному округу, на 01.01.2020 составляет 2 156,4 млн.руб. и за отчетный период она увеличилась на 74,3 млн.руб., из нее наибольшая (более 100,0 млн.руб.):</w:t>
      </w:r>
    </w:p>
    <w:p w14:paraId="6407498A" w14:textId="05A7BADA" w:rsidR="00F700F3" w:rsidRPr="00A53AD7" w:rsidRDefault="001F521C" w:rsidP="001F521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а) </w:t>
      </w:r>
      <w:r w:rsidR="00F700F3" w:rsidRPr="00A53AD7">
        <w:rPr>
          <w:rFonts w:ascii="Times New Roman" w:hAnsi="Times New Roman"/>
          <w:sz w:val="28"/>
          <w:szCs w:val="28"/>
        </w:rPr>
        <w:t>налог на прибыль организаций, включая организации консолидированных групп налогоплательщиков – 1 597,1 млн.руб. (+126,0 млн.руб.);</w:t>
      </w:r>
    </w:p>
    <w:p w14:paraId="069D294C" w14:textId="05B62084" w:rsidR="00F700F3" w:rsidRPr="00A53AD7" w:rsidRDefault="001F521C" w:rsidP="001F521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 </w:t>
      </w:r>
      <w:r w:rsidR="00F700F3" w:rsidRPr="00A53AD7">
        <w:rPr>
          <w:rFonts w:ascii="Times New Roman" w:hAnsi="Times New Roman"/>
          <w:sz w:val="28"/>
          <w:szCs w:val="28"/>
        </w:rPr>
        <w:t>налог на имущество организаций по имуществу, не входящему в Единую систему газоснабжения – 199,8 млн.руб. (+30,6 млн.руб.);</w:t>
      </w:r>
    </w:p>
    <w:p w14:paraId="56460D3E" w14:textId="72851A2A" w:rsidR="00F700F3" w:rsidRPr="00A53AD7" w:rsidRDefault="001F521C" w:rsidP="001F521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w:t>
      </w:r>
      <w:r w:rsidR="00F700F3" w:rsidRPr="00A53AD7">
        <w:rPr>
          <w:rFonts w:ascii="Times New Roman" w:hAnsi="Times New Roman"/>
          <w:sz w:val="28"/>
          <w:szCs w:val="28"/>
        </w:rPr>
        <w:t>транспортный налог с организаций – 172,0 млн.руб. (+17,2 млн.руб.);</w:t>
      </w:r>
    </w:p>
    <w:p w14:paraId="5876EC0C" w14:textId="77777777" w:rsidR="00F700F3" w:rsidRPr="00A53AD7" w:rsidRDefault="00F700F3" w:rsidP="00156D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Наличие и рост обозначенной текущей кредиторской задолженности по налоговым доходам объясняется авансовыми платежами налогоплательщиков.</w:t>
      </w:r>
    </w:p>
    <w:p w14:paraId="73E21676" w14:textId="1F05A917" w:rsidR="00F700F3" w:rsidRPr="00A53AD7" w:rsidRDefault="00F700F3" w:rsidP="00156D97">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Согласно отчетам по ф. 0503369, общий объем просроченной кредиторской задолженности консолидированного бюджета Архангельской области по состоянию на 01.01.2020 (без учета задолженности бюджетных и автономных учреждений и бюджета ТФОМС) составил 51,0 млн.руб. – задолженность бюдж</w:t>
      </w:r>
      <w:r w:rsidR="00045D07" w:rsidRPr="00A53AD7">
        <w:rPr>
          <w:rFonts w:ascii="Times New Roman" w:hAnsi="Times New Roman"/>
          <w:sz w:val="28"/>
          <w:szCs w:val="28"/>
        </w:rPr>
        <w:t>етов муниципальных образований.</w:t>
      </w:r>
    </w:p>
    <w:p w14:paraId="43849E29" w14:textId="6400D0BC" w:rsidR="00F700F3" w:rsidRPr="00A53AD7" w:rsidRDefault="00F700F3" w:rsidP="00045D0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отчетный период объем просроченных обязательств консолидированного бюджета снизился </w:t>
      </w:r>
      <w:r w:rsidR="00D11F97" w:rsidRPr="00A53AD7">
        <w:rPr>
          <w:rFonts w:ascii="Times New Roman" w:hAnsi="Times New Roman"/>
          <w:sz w:val="28"/>
          <w:szCs w:val="28"/>
        </w:rPr>
        <w:t xml:space="preserve">на </w:t>
      </w:r>
      <w:r w:rsidRPr="00A53AD7">
        <w:rPr>
          <w:rFonts w:ascii="Times New Roman" w:hAnsi="Times New Roman"/>
          <w:sz w:val="28"/>
          <w:szCs w:val="28"/>
        </w:rPr>
        <w:t>77,9 % или на 179,3 млн.руб., в т.ч. в указанных показателях в местных бюджетах. Просроченная кредиторская задолженность областного бюджета отсутствует.</w:t>
      </w:r>
    </w:p>
    <w:p w14:paraId="51B456F2" w14:textId="535C4148" w:rsidR="00F700F3" w:rsidRPr="00A53AD7" w:rsidRDefault="00F700F3" w:rsidP="00D11F9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Удельный вес просроченной кредиторской задолженности местных бюджетов в общей сумме кредиторской задолженности указанных бюджетов на 01.01.2020 составил 5,2 % и </w:t>
      </w:r>
      <w:r w:rsidR="00D11F97" w:rsidRPr="00A53AD7">
        <w:rPr>
          <w:rFonts w:ascii="Times New Roman" w:hAnsi="Times New Roman"/>
          <w:sz w:val="28"/>
          <w:szCs w:val="28"/>
        </w:rPr>
        <w:t xml:space="preserve">за </w:t>
      </w:r>
      <w:r w:rsidRPr="00A53AD7">
        <w:rPr>
          <w:rFonts w:ascii="Times New Roman" w:hAnsi="Times New Roman"/>
          <w:sz w:val="28"/>
          <w:szCs w:val="28"/>
        </w:rPr>
        <w:t>2019 год он сократи</w:t>
      </w:r>
      <w:r w:rsidR="00D11F97" w:rsidRPr="00A53AD7">
        <w:rPr>
          <w:rFonts w:ascii="Times New Roman" w:hAnsi="Times New Roman"/>
          <w:sz w:val="28"/>
          <w:szCs w:val="28"/>
        </w:rPr>
        <w:t>лся на 15,1 процентных пунктов.</w:t>
      </w:r>
    </w:p>
    <w:p w14:paraId="0E7869C5" w14:textId="15F7BF08" w:rsidR="00F700F3" w:rsidRPr="00A53AD7" w:rsidRDefault="00F700F3" w:rsidP="00D11F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разрезе местных бюджетов сведения представлены в приложении № </w:t>
      </w:r>
      <w:r w:rsidR="002701E4" w:rsidRPr="00A53AD7">
        <w:rPr>
          <w:rFonts w:ascii="Times New Roman" w:hAnsi="Times New Roman"/>
          <w:sz w:val="28"/>
          <w:szCs w:val="28"/>
        </w:rPr>
        <w:t>7</w:t>
      </w:r>
      <w:r w:rsidRPr="00A53AD7">
        <w:rPr>
          <w:rFonts w:ascii="Times New Roman" w:hAnsi="Times New Roman"/>
          <w:sz w:val="28"/>
          <w:szCs w:val="28"/>
        </w:rPr>
        <w:t xml:space="preserve"> к настоящему заключению.</w:t>
      </w:r>
    </w:p>
    <w:p w14:paraId="3C7E549A" w14:textId="69698E17" w:rsidR="00F700F3" w:rsidRPr="00A53AD7" w:rsidRDefault="00F700F3" w:rsidP="002701E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счетам бюджетного учета просроченная кредиторская задолженность местных бюджетов на 01.01.2020, отраженная в отчетах по ф. 0503369, представлена в таблице </w:t>
      </w:r>
      <w:r w:rsidR="00F5645E" w:rsidRPr="00A53AD7">
        <w:rPr>
          <w:rFonts w:ascii="Times New Roman" w:hAnsi="Times New Roman"/>
          <w:sz w:val="28"/>
          <w:szCs w:val="28"/>
        </w:rPr>
        <w:t>22</w:t>
      </w:r>
      <w:r w:rsidRPr="00A53AD7">
        <w:rPr>
          <w:rFonts w:ascii="Times New Roman" w:hAnsi="Times New Roman"/>
          <w:sz w:val="28"/>
          <w:szCs w:val="28"/>
        </w:rPr>
        <w:t>.</w:t>
      </w:r>
    </w:p>
    <w:p w14:paraId="34168A52" w14:textId="77777777" w:rsidR="002701E4" w:rsidRPr="00A53AD7" w:rsidRDefault="002701E4" w:rsidP="002701E4">
      <w:pPr>
        <w:pStyle w:val="aff0"/>
        <w:spacing w:after="0" w:line="240" w:lineRule="auto"/>
        <w:rPr>
          <w:rFonts w:ascii="Times New Roman" w:hAnsi="Times New Roman"/>
          <w:b w:val="0"/>
          <w:sz w:val="24"/>
          <w:szCs w:val="24"/>
        </w:rPr>
      </w:pPr>
    </w:p>
    <w:p w14:paraId="3B07644A" w14:textId="77777777" w:rsidR="00F700F3" w:rsidRPr="00A53AD7" w:rsidRDefault="00F700F3" w:rsidP="002701E4">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22</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кредиторская задолженность бюджетов муниципальных образований, отраженная в отчетах по ф. 0503369 за 2019 год, млн.руб.</w:t>
      </w:r>
    </w:p>
    <w:tbl>
      <w:tblPr>
        <w:tblW w:w="8884" w:type="dxa"/>
        <w:jc w:val="center"/>
        <w:tblLook w:val="04A0" w:firstRow="1" w:lastRow="0" w:firstColumn="1" w:lastColumn="0" w:noHBand="0" w:noVBand="1"/>
      </w:tblPr>
      <w:tblGrid>
        <w:gridCol w:w="705"/>
        <w:gridCol w:w="4659"/>
        <w:gridCol w:w="1320"/>
        <w:gridCol w:w="1320"/>
        <w:gridCol w:w="880"/>
      </w:tblGrid>
      <w:tr w:rsidR="00A53AD7" w:rsidRPr="00A53AD7" w14:paraId="21F716D1" w14:textId="77777777" w:rsidTr="00AA7A89">
        <w:trPr>
          <w:trHeight w:val="18"/>
          <w:tblHeader/>
          <w:jc w:val="center"/>
        </w:trPr>
        <w:tc>
          <w:tcPr>
            <w:tcW w:w="70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59F3045" w14:textId="77777777" w:rsidR="00F700F3" w:rsidRPr="00A53AD7" w:rsidRDefault="00F700F3" w:rsidP="00AA7A8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Счет</w:t>
            </w:r>
          </w:p>
        </w:tc>
        <w:tc>
          <w:tcPr>
            <w:tcW w:w="4659" w:type="dxa"/>
            <w:tcBorders>
              <w:top w:val="double" w:sz="6" w:space="0" w:color="auto"/>
              <w:left w:val="nil"/>
              <w:bottom w:val="single" w:sz="4" w:space="0" w:color="auto"/>
              <w:right w:val="single" w:sz="4" w:space="0" w:color="auto"/>
            </w:tcBorders>
            <w:shd w:val="clear" w:color="auto" w:fill="auto"/>
            <w:vAlign w:val="center"/>
            <w:hideMark/>
          </w:tcPr>
          <w:p w14:paraId="670B822F" w14:textId="77777777" w:rsidR="00F700F3" w:rsidRPr="00A53AD7" w:rsidRDefault="00F700F3" w:rsidP="00AA7A8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320" w:type="dxa"/>
            <w:tcBorders>
              <w:top w:val="double" w:sz="6" w:space="0" w:color="auto"/>
              <w:left w:val="nil"/>
              <w:bottom w:val="single" w:sz="4" w:space="0" w:color="auto"/>
              <w:right w:val="single" w:sz="4" w:space="0" w:color="auto"/>
            </w:tcBorders>
            <w:shd w:val="clear" w:color="auto" w:fill="auto"/>
            <w:vAlign w:val="center"/>
            <w:hideMark/>
          </w:tcPr>
          <w:p w14:paraId="3F8E2AFA" w14:textId="7962E2CE" w:rsidR="00F700F3" w:rsidRPr="00A53AD7" w:rsidRDefault="00F700F3" w:rsidP="00AA7A8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AA7A89"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19</w:t>
            </w:r>
          </w:p>
        </w:tc>
        <w:tc>
          <w:tcPr>
            <w:tcW w:w="1320" w:type="dxa"/>
            <w:tcBorders>
              <w:top w:val="double" w:sz="6" w:space="0" w:color="auto"/>
              <w:left w:val="nil"/>
              <w:bottom w:val="single" w:sz="4" w:space="0" w:color="auto"/>
              <w:right w:val="single" w:sz="4" w:space="0" w:color="auto"/>
            </w:tcBorders>
            <w:shd w:val="clear" w:color="auto" w:fill="auto"/>
            <w:vAlign w:val="center"/>
            <w:hideMark/>
          </w:tcPr>
          <w:p w14:paraId="4C1393DC" w14:textId="61A3E987" w:rsidR="00F700F3" w:rsidRPr="00A53AD7" w:rsidRDefault="00F700F3" w:rsidP="00AA7A8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w:t>
            </w:r>
            <w:r w:rsidR="00AA7A89" w:rsidRPr="00A53AD7">
              <w:rPr>
                <w:rFonts w:ascii="Times New Roman" w:eastAsia="Times New Roman" w:hAnsi="Times New Roman"/>
                <w:b/>
                <w:bCs/>
                <w:lang w:eastAsia="ru-RU"/>
              </w:rPr>
              <w:t>20</w:t>
            </w:r>
          </w:p>
        </w:tc>
        <w:tc>
          <w:tcPr>
            <w:tcW w:w="880" w:type="dxa"/>
            <w:tcBorders>
              <w:top w:val="double" w:sz="6" w:space="0" w:color="auto"/>
              <w:left w:val="nil"/>
              <w:bottom w:val="single" w:sz="4" w:space="0" w:color="auto"/>
              <w:right w:val="double" w:sz="6" w:space="0" w:color="auto"/>
            </w:tcBorders>
            <w:shd w:val="clear" w:color="auto" w:fill="auto"/>
            <w:vAlign w:val="center"/>
            <w:hideMark/>
          </w:tcPr>
          <w:p w14:paraId="261C2D00" w14:textId="77777777" w:rsidR="00F700F3" w:rsidRPr="00A53AD7" w:rsidRDefault="00F700F3" w:rsidP="00AA7A8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w:t>
            </w:r>
          </w:p>
        </w:tc>
      </w:tr>
      <w:tr w:rsidR="00A53AD7" w:rsidRPr="00A53AD7" w14:paraId="43A7F57A" w14:textId="77777777" w:rsidTr="00AA7A89">
        <w:trPr>
          <w:trHeight w:val="53"/>
          <w:jc w:val="center"/>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1F332426" w14:textId="77777777" w:rsidR="00F700F3" w:rsidRPr="00A53AD7" w:rsidRDefault="00F700F3" w:rsidP="00AA7A8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w:t>
            </w:r>
          </w:p>
        </w:tc>
        <w:tc>
          <w:tcPr>
            <w:tcW w:w="4659" w:type="dxa"/>
            <w:tcBorders>
              <w:top w:val="nil"/>
              <w:left w:val="nil"/>
              <w:bottom w:val="single" w:sz="4" w:space="0" w:color="auto"/>
              <w:right w:val="single" w:sz="4" w:space="0" w:color="auto"/>
            </w:tcBorders>
            <w:shd w:val="clear" w:color="auto" w:fill="auto"/>
            <w:vAlign w:val="center"/>
            <w:hideMark/>
          </w:tcPr>
          <w:p w14:paraId="07FE7F94" w14:textId="77777777" w:rsidR="00F700F3" w:rsidRPr="00A53AD7" w:rsidRDefault="00F700F3" w:rsidP="00AA7A8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доходам</w:t>
            </w:r>
          </w:p>
        </w:tc>
        <w:tc>
          <w:tcPr>
            <w:tcW w:w="1320" w:type="dxa"/>
            <w:tcBorders>
              <w:top w:val="nil"/>
              <w:left w:val="nil"/>
              <w:bottom w:val="single" w:sz="4" w:space="0" w:color="auto"/>
              <w:right w:val="single" w:sz="4" w:space="0" w:color="auto"/>
            </w:tcBorders>
            <w:shd w:val="clear" w:color="auto" w:fill="auto"/>
            <w:vAlign w:val="center"/>
            <w:hideMark/>
          </w:tcPr>
          <w:p w14:paraId="497105F7"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1320" w:type="dxa"/>
            <w:tcBorders>
              <w:top w:val="nil"/>
              <w:left w:val="nil"/>
              <w:bottom w:val="single" w:sz="4" w:space="0" w:color="auto"/>
              <w:right w:val="single" w:sz="4" w:space="0" w:color="auto"/>
            </w:tcBorders>
            <w:shd w:val="clear" w:color="auto" w:fill="auto"/>
            <w:vAlign w:val="center"/>
            <w:hideMark/>
          </w:tcPr>
          <w:p w14:paraId="0FFEAD39"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w:t>
            </w:r>
          </w:p>
        </w:tc>
        <w:tc>
          <w:tcPr>
            <w:tcW w:w="880" w:type="dxa"/>
            <w:tcBorders>
              <w:top w:val="nil"/>
              <w:left w:val="nil"/>
              <w:bottom w:val="single" w:sz="4" w:space="0" w:color="auto"/>
              <w:right w:val="double" w:sz="6" w:space="0" w:color="auto"/>
            </w:tcBorders>
            <w:shd w:val="clear" w:color="auto" w:fill="auto"/>
            <w:vAlign w:val="center"/>
            <w:hideMark/>
          </w:tcPr>
          <w:p w14:paraId="38482B0A"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w:t>
            </w:r>
          </w:p>
        </w:tc>
      </w:tr>
      <w:tr w:rsidR="00A53AD7" w:rsidRPr="00A53AD7" w14:paraId="08BB95E3" w14:textId="77777777" w:rsidTr="00AA7A89">
        <w:trPr>
          <w:trHeight w:val="53"/>
          <w:jc w:val="center"/>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1D8110CE" w14:textId="77777777" w:rsidR="00F700F3" w:rsidRPr="00A53AD7" w:rsidRDefault="00F700F3" w:rsidP="00AA7A8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208</w:t>
            </w:r>
          </w:p>
        </w:tc>
        <w:tc>
          <w:tcPr>
            <w:tcW w:w="4659" w:type="dxa"/>
            <w:tcBorders>
              <w:top w:val="nil"/>
              <w:left w:val="nil"/>
              <w:bottom w:val="single" w:sz="4" w:space="0" w:color="auto"/>
              <w:right w:val="single" w:sz="4" w:space="0" w:color="auto"/>
            </w:tcBorders>
            <w:shd w:val="clear" w:color="auto" w:fill="auto"/>
            <w:vAlign w:val="center"/>
            <w:hideMark/>
          </w:tcPr>
          <w:p w14:paraId="7B6E6D3F" w14:textId="77777777" w:rsidR="00F700F3" w:rsidRPr="00A53AD7" w:rsidRDefault="00F700F3" w:rsidP="00AA7A8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w:t>
            </w:r>
          </w:p>
        </w:tc>
        <w:tc>
          <w:tcPr>
            <w:tcW w:w="1320" w:type="dxa"/>
            <w:tcBorders>
              <w:top w:val="nil"/>
              <w:left w:val="nil"/>
              <w:bottom w:val="single" w:sz="4" w:space="0" w:color="auto"/>
              <w:right w:val="single" w:sz="4" w:space="0" w:color="auto"/>
            </w:tcBorders>
            <w:shd w:val="clear" w:color="auto" w:fill="auto"/>
            <w:vAlign w:val="center"/>
            <w:hideMark/>
          </w:tcPr>
          <w:p w14:paraId="566215DA"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320" w:type="dxa"/>
            <w:tcBorders>
              <w:top w:val="nil"/>
              <w:left w:val="nil"/>
              <w:bottom w:val="single" w:sz="4" w:space="0" w:color="auto"/>
              <w:right w:val="single" w:sz="4" w:space="0" w:color="auto"/>
            </w:tcBorders>
            <w:shd w:val="clear" w:color="auto" w:fill="auto"/>
            <w:vAlign w:val="center"/>
            <w:hideMark/>
          </w:tcPr>
          <w:p w14:paraId="0BED31BA"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880" w:type="dxa"/>
            <w:tcBorders>
              <w:top w:val="nil"/>
              <w:left w:val="nil"/>
              <w:bottom w:val="single" w:sz="4" w:space="0" w:color="auto"/>
              <w:right w:val="double" w:sz="6" w:space="0" w:color="auto"/>
            </w:tcBorders>
            <w:shd w:val="clear" w:color="auto" w:fill="auto"/>
            <w:vAlign w:val="center"/>
            <w:hideMark/>
          </w:tcPr>
          <w:p w14:paraId="259964C5"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r>
      <w:tr w:rsidR="00A53AD7" w:rsidRPr="00A53AD7" w14:paraId="0B91247B" w14:textId="77777777" w:rsidTr="00AA7A89">
        <w:trPr>
          <w:trHeight w:val="53"/>
          <w:jc w:val="center"/>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1F71E169" w14:textId="77777777" w:rsidR="00F700F3" w:rsidRPr="00A53AD7" w:rsidRDefault="00F700F3" w:rsidP="00AA7A8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4659" w:type="dxa"/>
            <w:tcBorders>
              <w:top w:val="nil"/>
              <w:left w:val="nil"/>
              <w:bottom w:val="single" w:sz="4" w:space="0" w:color="auto"/>
              <w:right w:val="single" w:sz="4" w:space="0" w:color="auto"/>
            </w:tcBorders>
            <w:shd w:val="clear" w:color="auto" w:fill="auto"/>
            <w:vAlign w:val="center"/>
            <w:hideMark/>
          </w:tcPr>
          <w:p w14:paraId="6EE1389B" w14:textId="77777777" w:rsidR="00F700F3" w:rsidRPr="00A53AD7" w:rsidRDefault="00F700F3" w:rsidP="00AA7A8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принятым обязательствам</w:t>
            </w:r>
          </w:p>
        </w:tc>
        <w:tc>
          <w:tcPr>
            <w:tcW w:w="1320" w:type="dxa"/>
            <w:tcBorders>
              <w:top w:val="nil"/>
              <w:left w:val="nil"/>
              <w:bottom w:val="single" w:sz="4" w:space="0" w:color="auto"/>
              <w:right w:val="single" w:sz="4" w:space="0" w:color="auto"/>
            </w:tcBorders>
            <w:shd w:val="clear" w:color="auto" w:fill="auto"/>
            <w:vAlign w:val="center"/>
            <w:hideMark/>
          </w:tcPr>
          <w:p w14:paraId="51458CBE"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230,0 </w:t>
            </w:r>
          </w:p>
        </w:tc>
        <w:tc>
          <w:tcPr>
            <w:tcW w:w="1320" w:type="dxa"/>
            <w:tcBorders>
              <w:top w:val="nil"/>
              <w:left w:val="nil"/>
              <w:bottom w:val="single" w:sz="4" w:space="0" w:color="auto"/>
              <w:right w:val="single" w:sz="4" w:space="0" w:color="auto"/>
            </w:tcBorders>
            <w:shd w:val="clear" w:color="auto" w:fill="auto"/>
            <w:vAlign w:val="center"/>
            <w:hideMark/>
          </w:tcPr>
          <w:p w14:paraId="7435275E"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49,4 </w:t>
            </w:r>
          </w:p>
        </w:tc>
        <w:tc>
          <w:tcPr>
            <w:tcW w:w="880" w:type="dxa"/>
            <w:tcBorders>
              <w:top w:val="nil"/>
              <w:left w:val="nil"/>
              <w:bottom w:val="single" w:sz="4" w:space="0" w:color="auto"/>
              <w:right w:val="double" w:sz="6" w:space="0" w:color="auto"/>
            </w:tcBorders>
            <w:shd w:val="clear" w:color="auto" w:fill="auto"/>
            <w:vAlign w:val="center"/>
            <w:hideMark/>
          </w:tcPr>
          <w:p w14:paraId="363432E4"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-180,6 </w:t>
            </w:r>
          </w:p>
        </w:tc>
      </w:tr>
      <w:tr w:rsidR="00A53AD7" w:rsidRPr="00A53AD7" w14:paraId="62BC71F0" w14:textId="77777777" w:rsidTr="00AA7A89">
        <w:trPr>
          <w:trHeight w:val="53"/>
          <w:jc w:val="center"/>
        </w:trPr>
        <w:tc>
          <w:tcPr>
            <w:tcW w:w="705" w:type="dxa"/>
            <w:tcBorders>
              <w:top w:val="nil"/>
              <w:left w:val="double" w:sz="6" w:space="0" w:color="auto"/>
              <w:bottom w:val="single" w:sz="4" w:space="0" w:color="auto"/>
              <w:right w:val="single" w:sz="4" w:space="0" w:color="auto"/>
            </w:tcBorders>
            <w:shd w:val="clear" w:color="auto" w:fill="auto"/>
            <w:vAlign w:val="center"/>
            <w:hideMark/>
          </w:tcPr>
          <w:p w14:paraId="5A313961" w14:textId="77777777" w:rsidR="00F700F3" w:rsidRPr="00A53AD7" w:rsidRDefault="00F700F3" w:rsidP="00AA7A8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303</w:t>
            </w:r>
          </w:p>
        </w:tc>
        <w:tc>
          <w:tcPr>
            <w:tcW w:w="4659" w:type="dxa"/>
            <w:tcBorders>
              <w:top w:val="nil"/>
              <w:left w:val="nil"/>
              <w:bottom w:val="single" w:sz="4" w:space="0" w:color="auto"/>
              <w:right w:val="single" w:sz="4" w:space="0" w:color="auto"/>
            </w:tcBorders>
            <w:shd w:val="clear" w:color="auto" w:fill="auto"/>
            <w:vAlign w:val="center"/>
            <w:hideMark/>
          </w:tcPr>
          <w:p w14:paraId="2D732F02" w14:textId="77777777" w:rsidR="00F700F3" w:rsidRPr="00A53AD7" w:rsidRDefault="00F700F3" w:rsidP="00AA7A8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платежам в бюджеты</w:t>
            </w:r>
          </w:p>
        </w:tc>
        <w:tc>
          <w:tcPr>
            <w:tcW w:w="1320" w:type="dxa"/>
            <w:tcBorders>
              <w:top w:val="nil"/>
              <w:left w:val="nil"/>
              <w:bottom w:val="single" w:sz="4" w:space="0" w:color="auto"/>
              <w:right w:val="single" w:sz="4" w:space="0" w:color="auto"/>
            </w:tcBorders>
            <w:shd w:val="clear" w:color="auto" w:fill="auto"/>
            <w:vAlign w:val="center"/>
            <w:hideMark/>
          </w:tcPr>
          <w:p w14:paraId="36DF215D"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320" w:type="dxa"/>
            <w:tcBorders>
              <w:top w:val="nil"/>
              <w:left w:val="nil"/>
              <w:bottom w:val="single" w:sz="4" w:space="0" w:color="auto"/>
              <w:right w:val="single" w:sz="4" w:space="0" w:color="auto"/>
            </w:tcBorders>
            <w:shd w:val="clear" w:color="auto" w:fill="auto"/>
            <w:vAlign w:val="center"/>
            <w:hideMark/>
          </w:tcPr>
          <w:p w14:paraId="290FCB1F"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880" w:type="dxa"/>
            <w:tcBorders>
              <w:top w:val="nil"/>
              <w:left w:val="nil"/>
              <w:bottom w:val="single" w:sz="4" w:space="0" w:color="auto"/>
              <w:right w:val="double" w:sz="6" w:space="0" w:color="auto"/>
            </w:tcBorders>
            <w:shd w:val="clear" w:color="auto" w:fill="auto"/>
            <w:vAlign w:val="center"/>
            <w:hideMark/>
          </w:tcPr>
          <w:p w14:paraId="5DF03209" w14:textId="77777777" w:rsidR="00F700F3" w:rsidRPr="00A53AD7" w:rsidRDefault="00F700F3" w:rsidP="00AA7A8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F700F3" w:rsidRPr="00A53AD7" w14:paraId="0C79C9D0" w14:textId="77777777" w:rsidTr="00AA7A89">
        <w:trPr>
          <w:trHeight w:val="53"/>
          <w:jc w:val="center"/>
        </w:trPr>
        <w:tc>
          <w:tcPr>
            <w:tcW w:w="536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726BE8E3" w14:textId="77777777" w:rsidR="00F700F3" w:rsidRPr="00A53AD7" w:rsidRDefault="00F700F3" w:rsidP="00AA7A89">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320" w:type="dxa"/>
            <w:tcBorders>
              <w:top w:val="nil"/>
              <w:left w:val="nil"/>
              <w:bottom w:val="double" w:sz="6" w:space="0" w:color="auto"/>
              <w:right w:val="single" w:sz="4" w:space="0" w:color="auto"/>
            </w:tcBorders>
            <w:shd w:val="clear" w:color="auto" w:fill="auto"/>
            <w:vAlign w:val="center"/>
            <w:hideMark/>
          </w:tcPr>
          <w:p w14:paraId="30D25177" w14:textId="77777777" w:rsidR="00F700F3" w:rsidRPr="00A53AD7" w:rsidRDefault="00F700F3" w:rsidP="00AA7A89">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230,2 </w:t>
            </w:r>
          </w:p>
        </w:tc>
        <w:tc>
          <w:tcPr>
            <w:tcW w:w="1320" w:type="dxa"/>
            <w:tcBorders>
              <w:top w:val="nil"/>
              <w:left w:val="nil"/>
              <w:bottom w:val="double" w:sz="6" w:space="0" w:color="auto"/>
              <w:right w:val="single" w:sz="4" w:space="0" w:color="auto"/>
            </w:tcBorders>
            <w:shd w:val="clear" w:color="auto" w:fill="auto"/>
            <w:vAlign w:val="center"/>
            <w:hideMark/>
          </w:tcPr>
          <w:p w14:paraId="0F8C0598" w14:textId="77777777" w:rsidR="00F700F3" w:rsidRPr="00A53AD7" w:rsidRDefault="00F700F3" w:rsidP="00AA7A89">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51,0 </w:t>
            </w:r>
          </w:p>
        </w:tc>
        <w:tc>
          <w:tcPr>
            <w:tcW w:w="880" w:type="dxa"/>
            <w:tcBorders>
              <w:top w:val="nil"/>
              <w:left w:val="nil"/>
              <w:bottom w:val="double" w:sz="6" w:space="0" w:color="auto"/>
              <w:right w:val="double" w:sz="6" w:space="0" w:color="auto"/>
            </w:tcBorders>
            <w:shd w:val="clear" w:color="auto" w:fill="auto"/>
            <w:vAlign w:val="center"/>
            <w:hideMark/>
          </w:tcPr>
          <w:p w14:paraId="09BF5703" w14:textId="77777777" w:rsidR="00F700F3" w:rsidRPr="00A53AD7" w:rsidRDefault="00F700F3" w:rsidP="00AA7A89">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-179,3 </w:t>
            </w:r>
          </w:p>
        </w:tc>
      </w:tr>
    </w:tbl>
    <w:p w14:paraId="373FDB1F" w14:textId="77777777" w:rsidR="00F700F3" w:rsidRPr="00A53AD7" w:rsidRDefault="00F700F3" w:rsidP="00CA1196">
      <w:pPr>
        <w:spacing w:after="0" w:line="240" w:lineRule="auto"/>
        <w:ind w:firstLine="851"/>
        <w:jc w:val="both"/>
        <w:rPr>
          <w:rFonts w:ascii="Times New Roman" w:hAnsi="Times New Roman"/>
          <w:sz w:val="28"/>
          <w:szCs w:val="28"/>
        </w:rPr>
      </w:pPr>
    </w:p>
    <w:p w14:paraId="27C614B2" w14:textId="77777777" w:rsidR="00F700F3" w:rsidRPr="00A53AD7" w:rsidRDefault="00F700F3" w:rsidP="00CA11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счету 205 «Расчеты по доходам» просроченная кредиторская задолженность в муниципальных образованиях составляет 1,4 млн.руб. (на начало года отсутствовала), из нее по счету 205.23 «Расчеты по доходам от платежей при пользовании природными ресурсами» - 1,2 млн.руб., где в МО «Вельский район» - 0,2 млн.руб., в МО «Город Архангельск» - 1,0 млн.руб.</w:t>
      </w:r>
    </w:p>
    <w:p w14:paraId="7514C1BC" w14:textId="77777777" w:rsidR="00F700F3" w:rsidRPr="00A53AD7" w:rsidRDefault="00F700F3" w:rsidP="00CA11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просроченной кредиторской задолженности местных бюджетов составляет задолженность по счету 302 «Расчеты по принятым обязательствам», удельный вес которой на 01.01.2020 составил 96,9 %.</w:t>
      </w:r>
    </w:p>
    <w:p w14:paraId="385937AB" w14:textId="08E9BD7F" w:rsidR="00F700F3" w:rsidRPr="00A53AD7" w:rsidRDefault="00F700F3" w:rsidP="002F73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счетам бюджетного учета синтетического счета 302 просроченная кредиторская задолженность местных бюджетов за 9 месяцев 2019 года представлена в таблице </w:t>
      </w:r>
      <w:r w:rsidR="00F5645E" w:rsidRPr="00A53AD7">
        <w:rPr>
          <w:rFonts w:ascii="Times New Roman" w:hAnsi="Times New Roman"/>
          <w:sz w:val="28"/>
          <w:szCs w:val="28"/>
        </w:rPr>
        <w:t>23</w:t>
      </w:r>
      <w:r w:rsidRPr="00A53AD7">
        <w:rPr>
          <w:rFonts w:ascii="Times New Roman" w:hAnsi="Times New Roman"/>
          <w:sz w:val="28"/>
          <w:szCs w:val="28"/>
        </w:rPr>
        <w:t>.</w:t>
      </w:r>
    </w:p>
    <w:p w14:paraId="51B96407" w14:textId="77777777" w:rsidR="00F700F3" w:rsidRPr="00A53AD7" w:rsidRDefault="00F700F3" w:rsidP="002F7314">
      <w:pPr>
        <w:pStyle w:val="aff0"/>
        <w:spacing w:after="0" w:line="240" w:lineRule="auto"/>
        <w:rPr>
          <w:rFonts w:ascii="Times New Roman" w:hAnsi="Times New Roman"/>
          <w:b w:val="0"/>
          <w:sz w:val="24"/>
          <w:szCs w:val="24"/>
        </w:rPr>
      </w:pPr>
    </w:p>
    <w:p w14:paraId="503F3044" w14:textId="77777777" w:rsidR="00F700F3" w:rsidRPr="00A53AD7" w:rsidRDefault="00F700F3" w:rsidP="002F7314">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23</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кредиторская задолженность местных бюджетов за 2019 год по аналитическим счетам счета 302 «Расчеты по принятым обязательствам», млн.руб.</w:t>
      </w:r>
    </w:p>
    <w:tbl>
      <w:tblPr>
        <w:tblW w:w="9317" w:type="dxa"/>
        <w:tblInd w:w="85" w:type="dxa"/>
        <w:tblLook w:val="04A0" w:firstRow="1" w:lastRow="0" w:firstColumn="1" w:lastColumn="0" w:noHBand="0" w:noVBand="1"/>
      </w:tblPr>
      <w:tblGrid>
        <w:gridCol w:w="555"/>
        <w:gridCol w:w="436"/>
        <w:gridCol w:w="4997"/>
        <w:gridCol w:w="1206"/>
        <w:gridCol w:w="1206"/>
        <w:gridCol w:w="917"/>
      </w:tblGrid>
      <w:tr w:rsidR="00A53AD7" w:rsidRPr="00A53AD7" w14:paraId="666806F6" w14:textId="77777777" w:rsidTr="00C04C6E">
        <w:trPr>
          <w:trHeight w:val="18"/>
          <w:tblHeader/>
        </w:trPr>
        <w:tc>
          <w:tcPr>
            <w:tcW w:w="991"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232B84BC" w14:textId="77777777" w:rsidR="00F700F3" w:rsidRPr="00A53AD7" w:rsidRDefault="00F700F3" w:rsidP="002F731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Счет</w:t>
            </w:r>
          </w:p>
        </w:tc>
        <w:tc>
          <w:tcPr>
            <w:tcW w:w="4997" w:type="dxa"/>
            <w:tcBorders>
              <w:top w:val="double" w:sz="6" w:space="0" w:color="auto"/>
              <w:left w:val="nil"/>
              <w:bottom w:val="single" w:sz="4" w:space="0" w:color="auto"/>
              <w:right w:val="single" w:sz="4" w:space="0" w:color="auto"/>
            </w:tcBorders>
            <w:shd w:val="clear" w:color="auto" w:fill="auto"/>
            <w:vAlign w:val="center"/>
            <w:hideMark/>
          </w:tcPr>
          <w:p w14:paraId="578FE694" w14:textId="77777777" w:rsidR="00F700F3" w:rsidRPr="00A53AD7" w:rsidRDefault="00F700F3" w:rsidP="002F731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468DA424" w14:textId="68C63E25" w:rsidR="00F700F3" w:rsidRPr="00A53AD7" w:rsidRDefault="00F700F3" w:rsidP="002F731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w:t>
            </w:r>
            <w:r w:rsidR="00C04C6E" w:rsidRPr="00A53AD7">
              <w:rPr>
                <w:rFonts w:ascii="Times New Roman" w:eastAsia="Times New Roman" w:hAnsi="Times New Roman"/>
                <w:b/>
                <w:bCs/>
                <w:lang w:eastAsia="ru-RU"/>
              </w:rPr>
              <w:t>20</w:t>
            </w:r>
            <w:r w:rsidRPr="00A53AD7">
              <w:rPr>
                <w:rFonts w:ascii="Times New Roman" w:eastAsia="Times New Roman" w:hAnsi="Times New Roman"/>
                <w:b/>
                <w:bCs/>
                <w:lang w:eastAsia="ru-RU"/>
              </w:rPr>
              <w:t>19</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42DED3E4" w14:textId="184B0369" w:rsidR="00F700F3" w:rsidRPr="00A53AD7" w:rsidRDefault="00F700F3" w:rsidP="002F731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w:t>
            </w:r>
            <w:r w:rsidR="00C04C6E" w:rsidRPr="00A53AD7">
              <w:rPr>
                <w:rFonts w:ascii="Times New Roman" w:eastAsia="Times New Roman" w:hAnsi="Times New Roman"/>
                <w:b/>
                <w:bCs/>
                <w:lang w:eastAsia="ru-RU"/>
              </w:rPr>
              <w:t>20</w:t>
            </w:r>
          </w:p>
        </w:tc>
        <w:tc>
          <w:tcPr>
            <w:tcW w:w="917" w:type="dxa"/>
            <w:tcBorders>
              <w:top w:val="double" w:sz="6" w:space="0" w:color="auto"/>
              <w:left w:val="nil"/>
              <w:bottom w:val="single" w:sz="4" w:space="0" w:color="auto"/>
              <w:right w:val="double" w:sz="6" w:space="0" w:color="auto"/>
            </w:tcBorders>
            <w:shd w:val="clear" w:color="auto" w:fill="auto"/>
            <w:vAlign w:val="center"/>
            <w:hideMark/>
          </w:tcPr>
          <w:p w14:paraId="7973B15C" w14:textId="77777777" w:rsidR="00F700F3" w:rsidRPr="00A53AD7" w:rsidRDefault="00F700F3" w:rsidP="002F731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w:t>
            </w:r>
          </w:p>
        </w:tc>
      </w:tr>
      <w:tr w:rsidR="00A53AD7" w:rsidRPr="00A53AD7" w14:paraId="7DD2BBE8"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3FE004FA"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102BBD18"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21</w:t>
            </w:r>
          </w:p>
        </w:tc>
        <w:tc>
          <w:tcPr>
            <w:tcW w:w="4997" w:type="dxa"/>
            <w:tcBorders>
              <w:top w:val="nil"/>
              <w:left w:val="nil"/>
              <w:bottom w:val="single" w:sz="4" w:space="0" w:color="auto"/>
              <w:right w:val="single" w:sz="4" w:space="0" w:color="auto"/>
            </w:tcBorders>
            <w:shd w:val="clear" w:color="auto" w:fill="auto"/>
            <w:vAlign w:val="center"/>
            <w:hideMark/>
          </w:tcPr>
          <w:p w14:paraId="79020620"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услугам связи</w:t>
            </w:r>
          </w:p>
        </w:tc>
        <w:tc>
          <w:tcPr>
            <w:tcW w:w="1206" w:type="dxa"/>
            <w:tcBorders>
              <w:top w:val="nil"/>
              <w:left w:val="nil"/>
              <w:bottom w:val="single" w:sz="4" w:space="0" w:color="auto"/>
              <w:right w:val="single" w:sz="4" w:space="0" w:color="auto"/>
            </w:tcBorders>
            <w:shd w:val="clear" w:color="auto" w:fill="auto"/>
            <w:vAlign w:val="center"/>
            <w:hideMark/>
          </w:tcPr>
          <w:p w14:paraId="5DB1F39B"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c>
          <w:tcPr>
            <w:tcW w:w="1206" w:type="dxa"/>
            <w:tcBorders>
              <w:top w:val="nil"/>
              <w:left w:val="nil"/>
              <w:bottom w:val="single" w:sz="4" w:space="0" w:color="auto"/>
              <w:right w:val="single" w:sz="4" w:space="0" w:color="auto"/>
            </w:tcBorders>
            <w:shd w:val="clear" w:color="auto" w:fill="auto"/>
            <w:vAlign w:val="center"/>
            <w:hideMark/>
          </w:tcPr>
          <w:p w14:paraId="0EDB766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917" w:type="dxa"/>
            <w:tcBorders>
              <w:top w:val="nil"/>
              <w:left w:val="nil"/>
              <w:bottom w:val="single" w:sz="4" w:space="0" w:color="auto"/>
              <w:right w:val="double" w:sz="6" w:space="0" w:color="auto"/>
            </w:tcBorders>
            <w:shd w:val="clear" w:color="auto" w:fill="auto"/>
            <w:vAlign w:val="center"/>
            <w:hideMark/>
          </w:tcPr>
          <w:p w14:paraId="145AE368"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r>
      <w:tr w:rsidR="00A53AD7" w:rsidRPr="00A53AD7" w14:paraId="6D9F836D"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187FBD27"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77883D08"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22</w:t>
            </w:r>
          </w:p>
        </w:tc>
        <w:tc>
          <w:tcPr>
            <w:tcW w:w="4997" w:type="dxa"/>
            <w:tcBorders>
              <w:top w:val="nil"/>
              <w:left w:val="nil"/>
              <w:bottom w:val="single" w:sz="4" w:space="0" w:color="auto"/>
              <w:right w:val="single" w:sz="4" w:space="0" w:color="auto"/>
            </w:tcBorders>
            <w:shd w:val="clear" w:color="auto" w:fill="auto"/>
            <w:vAlign w:val="center"/>
            <w:hideMark/>
          </w:tcPr>
          <w:p w14:paraId="409A6121"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транспортным услугам</w:t>
            </w:r>
          </w:p>
        </w:tc>
        <w:tc>
          <w:tcPr>
            <w:tcW w:w="1206" w:type="dxa"/>
            <w:tcBorders>
              <w:top w:val="nil"/>
              <w:left w:val="nil"/>
              <w:bottom w:val="single" w:sz="4" w:space="0" w:color="auto"/>
              <w:right w:val="single" w:sz="4" w:space="0" w:color="auto"/>
            </w:tcBorders>
            <w:shd w:val="clear" w:color="auto" w:fill="auto"/>
            <w:vAlign w:val="center"/>
            <w:hideMark/>
          </w:tcPr>
          <w:p w14:paraId="7D8D0753"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206" w:type="dxa"/>
            <w:tcBorders>
              <w:top w:val="nil"/>
              <w:left w:val="nil"/>
              <w:bottom w:val="single" w:sz="4" w:space="0" w:color="auto"/>
              <w:right w:val="single" w:sz="4" w:space="0" w:color="auto"/>
            </w:tcBorders>
            <w:shd w:val="clear" w:color="auto" w:fill="auto"/>
            <w:vAlign w:val="center"/>
            <w:hideMark/>
          </w:tcPr>
          <w:p w14:paraId="265F0147"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17" w:type="dxa"/>
            <w:tcBorders>
              <w:top w:val="nil"/>
              <w:left w:val="nil"/>
              <w:bottom w:val="single" w:sz="4" w:space="0" w:color="auto"/>
              <w:right w:val="double" w:sz="6" w:space="0" w:color="auto"/>
            </w:tcBorders>
            <w:shd w:val="clear" w:color="auto" w:fill="auto"/>
            <w:vAlign w:val="center"/>
            <w:hideMark/>
          </w:tcPr>
          <w:p w14:paraId="25C0B9A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r>
      <w:tr w:rsidR="00A53AD7" w:rsidRPr="00A53AD7" w14:paraId="5C20AA0F"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1B81D02E"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302</w:t>
            </w:r>
          </w:p>
        </w:tc>
        <w:tc>
          <w:tcPr>
            <w:tcW w:w="436" w:type="dxa"/>
            <w:tcBorders>
              <w:top w:val="nil"/>
              <w:left w:val="nil"/>
              <w:bottom w:val="single" w:sz="4" w:space="0" w:color="auto"/>
              <w:right w:val="single" w:sz="4" w:space="0" w:color="auto"/>
            </w:tcBorders>
            <w:shd w:val="clear" w:color="auto" w:fill="auto"/>
            <w:vAlign w:val="center"/>
            <w:hideMark/>
          </w:tcPr>
          <w:p w14:paraId="5E1C379F"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23</w:t>
            </w:r>
          </w:p>
        </w:tc>
        <w:tc>
          <w:tcPr>
            <w:tcW w:w="4997" w:type="dxa"/>
            <w:tcBorders>
              <w:top w:val="nil"/>
              <w:left w:val="nil"/>
              <w:bottom w:val="single" w:sz="4" w:space="0" w:color="auto"/>
              <w:right w:val="single" w:sz="4" w:space="0" w:color="auto"/>
            </w:tcBorders>
            <w:shd w:val="clear" w:color="auto" w:fill="auto"/>
            <w:vAlign w:val="center"/>
            <w:hideMark/>
          </w:tcPr>
          <w:p w14:paraId="7B8EB077"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коммунальным услугам</w:t>
            </w:r>
          </w:p>
        </w:tc>
        <w:tc>
          <w:tcPr>
            <w:tcW w:w="1206" w:type="dxa"/>
            <w:tcBorders>
              <w:top w:val="nil"/>
              <w:left w:val="nil"/>
              <w:bottom w:val="single" w:sz="4" w:space="0" w:color="auto"/>
              <w:right w:val="single" w:sz="4" w:space="0" w:color="auto"/>
            </w:tcBorders>
            <w:shd w:val="clear" w:color="auto" w:fill="auto"/>
            <w:vAlign w:val="center"/>
            <w:hideMark/>
          </w:tcPr>
          <w:p w14:paraId="2C14C00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 </w:t>
            </w:r>
          </w:p>
        </w:tc>
        <w:tc>
          <w:tcPr>
            <w:tcW w:w="1206" w:type="dxa"/>
            <w:tcBorders>
              <w:top w:val="nil"/>
              <w:left w:val="nil"/>
              <w:bottom w:val="single" w:sz="4" w:space="0" w:color="auto"/>
              <w:right w:val="single" w:sz="4" w:space="0" w:color="auto"/>
            </w:tcBorders>
            <w:shd w:val="clear" w:color="auto" w:fill="auto"/>
            <w:vAlign w:val="center"/>
            <w:hideMark/>
          </w:tcPr>
          <w:p w14:paraId="33180E62"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917" w:type="dxa"/>
            <w:tcBorders>
              <w:top w:val="nil"/>
              <w:left w:val="nil"/>
              <w:bottom w:val="single" w:sz="4" w:space="0" w:color="auto"/>
              <w:right w:val="double" w:sz="6" w:space="0" w:color="auto"/>
            </w:tcBorders>
            <w:shd w:val="clear" w:color="auto" w:fill="auto"/>
            <w:vAlign w:val="center"/>
            <w:hideMark/>
          </w:tcPr>
          <w:p w14:paraId="3CEC9BC5"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-2,6 </w:t>
            </w:r>
          </w:p>
        </w:tc>
      </w:tr>
      <w:tr w:rsidR="00A53AD7" w:rsidRPr="00A53AD7" w14:paraId="62D08DF8"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6C28E4F4"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77E446DE"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25</w:t>
            </w:r>
          </w:p>
        </w:tc>
        <w:tc>
          <w:tcPr>
            <w:tcW w:w="4997" w:type="dxa"/>
            <w:tcBorders>
              <w:top w:val="nil"/>
              <w:left w:val="nil"/>
              <w:bottom w:val="single" w:sz="4" w:space="0" w:color="auto"/>
              <w:right w:val="single" w:sz="4" w:space="0" w:color="auto"/>
            </w:tcBorders>
            <w:shd w:val="clear" w:color="auto" w:fill="auto"/>
            <w:vAlign w:val="center"/>
            <w:hideMark/>
          </w:tcPr>
          <w:p w14:paraId="0B7FB7F3"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работам, услугам по содержанию имущества</w:t>
            </w:r>
          </w:p>
        </w:tc>
        <w:tc>
          <w:tcPr>
            <w:tcW w:w="1206" w:type="dxa"/>
            <w:tcBorders>
              <w:top w:val="nil"/>
              <w:left w:val="nil"/>
              <w:bottom w:val="single" w:sz="4" w:space="0" w:color="auto"/>
              <w:right w:val="single" w:sz="4" w:space="0" w:color="auto"/>
            </w:tcBorders>
            <w:shd w:val="clear" w:color="auto" w:fill="auto"/>
            <w:vAlign w:val="center"/>
            <w:hideMark/>
          </w:tcPr>
          <w:p w14:paraId="3DC09E26"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70,6 </w:t>
            </w:r>
          </w:p>
        </w:tc>
        <w:tc>
          <w:tcPr>
            <w:tcW w:w="1206" w:type="dxa"/>
            <w:tcBorders>
              <w:top w:val="nil"/>
              <w:left w:val="nil"/>
              <w:bottom w:val="single" w:sz="4" w:space="0" w:color="auto"/>
              <w:right w:val="single" w:sz="4" w:space="0" w:color="auto"/>
            </w:tcBorders>
            <w:shd w:val="clear" w:color="auto" w:fill="auto"/>
            <w:vAlign w:val="center"/>
            <w:hideMark/>
          </w:tcPr>
          <w:p w14:paraId="217FEC7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23,4 </w:t>
            </w:r>
          </w:p>
        </w:tc>
        <w:tc>
          <w:tcPr>
            <w:tcW w:w="917" w:type="dxa"/>
            <w:tcBorders>
              <w:top w:val="nil"/>
              <w:left w:val="nil"/>
              <w:bottom w:val="single" w:sz="4" w:space="0" w:color="auto"/>
              <w:right w:val="double" w:sz="6" w:space="0" w:color="auto"/>
            </w:tcBorders>
            <w:shd w:val="clear" w:color="auto" w:fill="auto"/>
            <w:vAlign w:val="center"/>
            <w:hideMark/>
          </w:tcPr>
          <w:p w14:paraId="439FC189"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-47,2 </w:t>
            </w:r>
          </w:p>
        </w:tc>
      </w:tr>
      <w:tr w:rsidR="00A53AD7" w:rsidRPr="00A53AD7" w14:paraId="1B78B01C"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75E33DD4"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29C7ECF2"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26</w:t>
            </w:r>
          </w:p>
        </w:tc>
        <w:tc>
          <w:tcPr>
            <w:tcW w:w="4997" w:type="dxa"/>
            <w:tcBorders>
              <w:top w:val="nil"/>
              <w:left w:val="nil"/>
              <w:bottom w:val="single" w:sz="4" w:space="0" w:color="auto"/>
              <w:right w:val="single" w:sz="4" w:space="0" w:color="auto"/>
            </w:tcBorders>
            <w:shd w:val="clear" w:color="auto" w:fill="auto"/>
            <w:vAlign w:val="center"/>
            <w:hideMark/>
          </w:tcPr>
          <w:p w14:paraId="75D9CE5C"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прочим работам, услугам</w:t>
            </w:r>
          </w:p>
        </w:tc>
        <w:tc>
          <w:tcPr>
            <w:tcW w:w="1206" w:type="dxa"/>
            <w:tcBorders>
              <w:top w:val="nil"/>
              <w:left w:val="nil"/>
              <w:bottom w:val="single" w:sz="4" w:space="0" w:color="auto"/>
              <w:right w:val="single" w:sz="4" w:space="0" w:color="auto"/>
            </w:tcBorders>
            <w:shd w:val="clear" w:color="auto" w:fill="auto"/>
            <w:vAlign w:val="center"/>
            <w:hideMark/>
          </w:tcPr>
          <w:p w14:paraId="3FCEA671"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10,2 </w:t>
            </w:r>
          </w:p>
        </w:tc>
        <w:tc>
          <w:tcPr>
            <w:tcW w:w="1206" w:type="dxa"/>
            <w:tcBorders>
              <w:top w:val="nil"/>
              <w:left w:val="nil"/>
              <w:bottom w:val="single" w:sz="4" w:space="0" w:color="auto"/>
              <w:right w:val="single" w:sz="4" w:space="0" w:color="auto"/>
            </w:tcBorders>
            <w:shd w:val="clear" w:color="auto" w:fill="auto"/>
            <w:vAlign w:val="center"/>
            <w:hideMark/>
          </w:tcPr>
          <w:p w14:paraId="75D4232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5,8 </w:t>
            </w:r>
          </w:p>
        </w:tc>
        <w:tc>
          <w:tcPr>
            <w:tcW w:w="917" w:type="dxa"/>
            <w:tcBorders>
              <w:top w:val="nil"/>
              <w:left w:val="nil"/>
              <w:bottom w:val="single" w:sz="4" w:space="0" w:color="auto"/>
              <w:right w:val="double" w:sz="6" w:space="0" w:color="auto"/>
            </w:tcBorders>
            <w:shd w:val="clear" w:color="auto" w:fill="auto"/>
            <w:vAlign w:val="center"/>
            <w:hideMark/>
          </w:tcPr>
          <w:p w14:paraId="6656654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-4,4 </w:t>
            </w:r>
          </w:p>
        </w:tc>
      </w:tr>
      <w:tr w:rsidR="00A53AD7" w:rsidRPr="00A53AD7" w14:paraId="7CDE9EDD"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0008EF0D"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71C78722"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31</w:t>
            </w:r>
          </w:p>
        </w:tc>
        <w:tc>
          <w:tcPr>
            <w:tcW w:w="4997" w:type="dxa"/>
            <w:tcBorders>
              <w:top w:val="nil"/>
              <w:left w:val="nil"/>
              <w:bottom w:val="single" w:sz="4" w:space="0" w:color="auto"/>
              <w:right w:val="single" w:sz="4" w:space="0" w:color="auto"/>
            </w:tcBorders>
            <w:shd w:val="clear" w:color="auto" w:fill="auto"/>
            <w:vAlign w:val="center"/>
            <w:hideMark/>
          </w:tcPr>
          <w:p w14:paraId="0E981326"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основных средств</w:t>
            </w:r>
          </w:p>
        </w:tc>
        <w:tc>
          <w:tcPr>
            <w:tcW w:w="1206" w:type="dxa"/>
            <w:tcBorders>
              <w:top w:val="nil"/>
              <w:left w:val="nil"/>
              <w:bottom w:val="single" w:sz="4" w:space="0" w:color="auto"/>
              <w:right w:val="single" w:sz="4" w:space="0" w:color="auto"/>
            </w:tcBorders>
            <w:shd w:val="clear" w:color="auto" w:fill="auto"/>
            <w:vAlign w:val="center"/>
            <w:hideMark/>
          </w:tcPr>
          <w:p w14:paraId="7B235A5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60,4 </w:t>
            </w:r>
          </w:p>
        </w:tc>
        <w:tc>
          <w:tcPr>
            <w:tcW w:w="1206" w:type="dxa"/>
            <w:tcBorders>
              <w:top w:val="nil"/>
              <w:left w:val="nil"/>
              <w:bottom w:val="single" w:sz="4" w:space="0" w:color="auto"/>
              <w:right w:val="single" w:sz="4" w:space="0" w:color="auto"/>
            </w:tcBorders>
            <w:shd w:val="clear" w:color="auto" w:fill="auto"/>
            <w:vAlign w:val="center"/>
            <w:hideMark/>
          </w:tcPr>
          <w:p w14:paraId="164E9F85"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c>
          <w:tcPr>
            <w:tcW w:w="917" w:type="dxa"/>
            <w:tcBorders>
              <w:top w:val="nil"/>
              <w:left w:val="nil"/>
              <w:bottom w:val="single" w:sz="4" w:space="0" w:color="auto"/>
              <w:right w:val="double" w:sz="6" w:space="0" w:color="auto"/>
            </w:tcBorders>
            <w:shd w:val="clear" w:color="auto" w:fill="auto"/>
            <w:vAlign w:val="center"/>
            <w:hideMark/>
          </w:tcPr>
          <w:p w14:paraId="614A5CFF"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-60,0 </w:t>
            </w:r>
          </w:p>
        </w:tc>
      </w:tr>
      <w:tr w:rsidR="00A53AD7" w:rsidRPr="00A53AD7" w14:paraId="651B5806"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03818AA3"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1BB0368E"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34</w:t>
            </w:r>
          </w:p>
        </w:tc>
        <w:tc>
          <w:tcPr>
            <w:tcW w:w="4997" w:type="dxa"/>
            <w:tcBorders>
              <w:top w:val="nil"/>
              <w:left w:val="nil"/>
              <w:bottom w:val="single" w:sz="4" w:space="0" w:color="auto"/>
              <w:right w:val="single" w:sz="4" w:space="0" w:color="auto"/>
            </w:tcBorders>
            <w:shd w:val="clear" w:color="auto" w:fill="auto"/>
            <w:vAlign w:val="center"/>
            <w:hideMark/>
          </w:tcPr>
          <w:p w14:paraId="5229A6EC"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приобретению материальных запасов</w:t>
            </w:r>
          </w:p>
        </w:tc>
        <w:tc>
          <w:tcPr>
            <w:tcW w:w="1206" w:type="dxa"/>
            <w:tcBorders>
              <w:top w:val="nil"/>
              <w:left w:val="nil"/>
              <w:bottom w:val="single" w:sz="4" w:space="0" w:color="auto"/>
              <w:right w:val="single" w:sz="4" w:space="0" w:color="auto"/>
            </w:tcBorders>
            <w:shd w:val="clear" w:color="auto" w:fill="auto"/>
            <w:vAlign w:val="center"/>
            <w:hideMark/>
          </w:tcPr>
          <w:p w14:paraId="22F59490"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w:t>
            </w:r>
          </w:p>
        </w:tc>
        <w:tc>
          <w:tcPr>
            <w:tcW w:w="1206" w:type="dxa"/>
            <w:tcBorders>
              <w:top w:val="nil"/>
              <w:left w:val="nil"/>
              <w:bottom w:val="single" w:sz="4" w:space="0" w:color="auto"/>
              <w:right w:val="single" w:sz="4" w:space="0" w:color="auto"/>
            </w:tcBorders>
            <w:shd w:val="clear" w:color="auto" w:fill="auto"/>
            <w:vAlign w:val="center"/>
            <w:hideMark/>
          </w:tcPr>
          <w:p w14:paraId="42511036"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917" w:type="dxa"/>
            <w:tcBorders>
              <w:top w:val="nil"/>
              <w:left w:val="nil"/>
              <w:bottom w:val="single" w:sz="4" w:space="0" w:color="auto"/>
              <w:right w:val="double" w:sz="6" w:space="0" w:color="auto"/>
            </w:tcBorders>
            <w:shd w:val="clear" w:color="auto" w:fill="auto"/>
            <w:vAlign w:val="center"/>
            <w:hideMark/>
          </w:tcPr>
          <w:p w14:paraId="3AE7AE6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w:t>
            </w:r>
          </w:p>
        </w:tc>
      </w:tr>
      <w:tr w:rsidR="00A53AD7" w:rsidRPr="00A53AD7" w14:paraId="458A063A"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650CC282"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358ED762"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41</w:t>
            </w:r>
          </w:p>
        </w:tc>
        <w:tc>
          <w:tcPr>
            <w:tcW w:w="4997" w:type="dxa"/>
            <w:tcBorders>
              <w:top w:val="nil"/>
              <w:left w:val="nil"/>
              <w:bottom w:val="single" w:sz="4" w:space="0" w:color="auto"/>
              <w:right w:val="single" w:sz="4" w:space="0" w:color="auto"/>
            </w:tcBorders>
            <w:shd w:val="clear" w:color="auto" w:fill="auto"/>
            <w:vAlign w:val="center"/>
            <w:hideMark/>
          </w:tcPr>
          <w:p w14:paraId="43E9A27E"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государственным (муниципальным) бюджетным и автономным учреждениям</w:t>
            </w:r>
          </w:p>
        </w:tc>
        <w:tc>
          <w:tcPr>
            <w:tcW w:w="1206" w:type="dxa"/>
            <w:tcBorders>
              <w:top w:val="nil"/>
              <w:left w:val="nil"/>
              <w:bottom w:val="single" w:sz="4" w:space="0" w:color="auto"/>
              <w:right w:val="single" w:sz="4" w:space="0" w:color="auto"/>
            </w:tcBorders>
            <w:shd w:val="clear" w:color="auto" w:fill="auto"/>
            <w:vAlign w:val="center"/>
            <w:hideMark/>
          </w:tcPr>
          <w:p w14:paraId="750B9815"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 </w:t>
            </w:r>
          </w:p>
        </w:tc>
        <w:tc>
          <w:tcPr>
            <w:tcW w:w="1206" w:type="dxa"/>
            <w:tcBorders>
              <w:top w:val="nil"/>
              <w:left w:val="nil"/>
              <w:bottom w:val="single" w:sz="4" w:space="0" w:color="auto"/>
              <w:right w:val="single" w:sz="4" w:space="0" w:color="auto"/>
            </w:tcBorders>
            <w:shd w:val="clear" w:color="auto" w:fill="auto"/>
            <w:vAlign w:val="center"/>
          </w:tcPr>
          <w:p w14:paraId="58D65570"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917" w:type="dxa"/>
            <w:tcBorders>
              <w:top w:val="nil"/>
              <w:left w:val="nil"/>
              <w:bottom w:val="single" w:sz="4" w:space="0" w:color="auto"/>
              <w:right w:val="double" w:sz="6" w:space="0" w:color="auto"/>
            </w:tcBorders>
            <w:shd w:val="clear" w:color="auto" w:fill="auto"/>
            <w:vAlign w:val="center"/>
            <w:hideMark/>
          </w:tcPr>
          <w:p w14:paraId="3198949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 </w:t>
            </w:r>
          </w:p>
        </w:tc>
      </w:tr>
      <w:tr w:rsidR="00A53AD7" w:rsidRPr="00A53AD7" w14:paraId="139DEE2E"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5B1DCBF1"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2125B378"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42</w:t>
            </w:r>
          </w:p>
        </w:tc>
        <w:tc>
          <w:tcPr>
            <w:tcW w:w="4997" w:type="dxa"/>
            <w:tcBorders>
              <w:top w:val="nil"/>
              <w:left w:val="nil"/>
              <w:bottom w:val="single" w:sz="4" w:space="0" w:color="auto"/>
              <w:right w:val="single" w:sz="4" w:space="0" w:color="auto"/>
            </w:tcBorders>
            <w:shd w:val="clear" w:color="auto" w:fill="auto"/>
            <w:vAlign w:val="center"/>
            <w:hideMark/>
          </w:tcPr>
          <w:p w14:paraId="3E62D10B"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финансовым организациям государственного сектора на производство</w:t>
            </w:r>
          </w:p>
        </w:tc>
        <w:tc>
          <w:tcPr>
            <w:tcW w:w="1206" w:type="dxa"/>
            <w:tcBorders>
              <w:top w:val="nil"/>
              <w:left w:val="nil"/>
              <w:bottom w:val="single" w:sz="4" w:space="0" w:color="auto"/>
              <w:right w:val="single" w:sz="4" w:space="0" w:color="auto"/>
            </w:tcBorders>
            <w:shd w:val="clear" w:color="auto" w:fill="auto"/>
            <w:vAlign w:val="center"/>
            <w:hideMark/>
          </w:tcPr>
          <w:p w14:paraId="6FFA73A7"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1206" w:type="dxa"/>
            <w:tcBorders>
              <w:top w:val="nil"/>
              <w:left w:val="nil"/>
              <w:bottom w:val="single" w:sz="4" w:space="0" w:color="auto"/>
              <w:right w:val="single" w:sz="4" w:space="0" w:color="auto"/>
            </w:tcBorders>
            <w:shd w:val="clear" w:color="auto" w:fill="auto"/>
            <w:vAlign w:val="center"/>
          </w:tcPr>
          <w:p w14:paraId="7633B3A4"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917" w:type="dxa"/>
            <w:tcBorders>
              <w:top w:val="nil"/>
              <w:left w:val="nil"/>
              <w:bottom w:val="single" w:sz="4" w:space="0" w:color="auto"/>
              <w:right w:val="double" w:sz="6" w:space="0" w:color="auto"/>
            </w:tcBorders>
            <w:shd w:val="clear" w:color="auto" w:fill="auto"/>
            <w:vAlign w:val="center"/>
            <w:hideMark/>
          </w:tcPr>
          <w:p w14:paraId="387FA306"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r>
      <w:tr w:rsidR="00A53AD7" w:rsidRPr="00A53AD7" w14:paraId="6048310E"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2CC71BC0"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6D8061B3"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45</w:t>
            </w:r>
          </w:p>
        </w:tc>
        <w:tc>
          <w:tcPr>
            <w:tcW w:w="4997" w:type="dxa"/>
            <w:tcBorders>
              <w:top w:val="nil"/>
              <w:left w:val="nil"/>
              <w:bottom w:val="single" w:sz="4" w:space="0" w:color="auto"/>
              <w:right w:val="single" w:sz="4" w:space="0" w:color="auto"/>
            </w:tcBorders>
            <w:shd w:val="clear" w:color="auto" w:fill="auto"/>
            <w:vAlign w:val="center"/>
            <w:hideMark/>
          </w:tcPr>
          <w:p w14:paraId="7130FEC5" w14:textId="3AF527EA" w:rsidR="00F700F3" w:rsidRPr="00A53AD7" w:rsidRDefault="00F700F3" w:rsidP="00C04C6E">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иным нефинансовым организациям (за исключением нефинансовых организаций государственного сектора) на производство</w:t>
            </w:r>
          </w:p>
        </w:tc>
        <w:tc>
          <w:tcPr>
            <w:tcW w:w="1206" w:type="dxa"/>
            <w:tcBorders>
              <w:top w:val="nil"/>
              <w:left w:val="nil"/>
              <w:bottom w:val="single" w:sz="4" w:space="0" w:color="auto"/>
              <w:right w:val="single" w:sz="4" w:space="0" w:color="auto"/>
            </w:tcBorders>
            <w:shd w:val="clear" w:color="auto" w:fill="auto"/>
            <w:vAlign w:val="center"/>
            <w:hideMark/>
          </w:tcPr>
          <w:p w14:paraId="7FAAB762"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12,1 </w:t>
            </w:r>
          </w:p>
        </w:tc>
        <w:tc>
          <w:tcPr>
            <w:tcW w:w="1206" w:type="dxa"/>
            <w:tcBorders>
              <w:top w:val="nil"/>
              <w:left w:val="nil"/>
              <w:bottom w:val="single" w:sz="4" w:space="0" w:color="auto"/>
              <w:right w:val="single" w:sz="4" w:space="0" w:color="auto"/>
            </w:tcBorders>
            <w:shd w:val="clear" w:color="auto" w:fill="auto"/>
            <w:vAlign w:val="center"/>
          </w:tcPr>
          <w:p w14:paraId="534A397D"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917" w:type="dxa"/>
            <w:tcBorders>
              <w:top w:val="nil"/>
              <w:left w:val="nil"/>
              <w:bottom w:val="single" w:sz="4" w:space="0" w:color="auto"/>
              <w:right w:val="double" w:sz="6" w:space="0" w:color="auto"/>
            </w:tcBorders>
            <w:shd w:val="clear" w:color="auto" w:fill="auto"/>
            <w:vAlign w:val="center"/>
            <w:hideMark/>
          </w:tcPr>
          <w:p w14:paraId="618C593C"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-12,1 </w:t>
            </w:r>
          </w:p>
        </w:tc>
      </w:tr>
      <w:tr w:rsidR="00A53AD7" w:rsidRPr="00A53AD7" w14:paraId="3EC1DE1C"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4C8ED342"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1E4B5768"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46</w:t>
            </w:r>
          </w:p>
        </w:tc>
        <w:tc>
          <w:tcPr>
            <w:tcW w:w="4997" w:type="dxa"/>
            <w:tcBorders>
              <w:top w:val="nil"/>
              <w:left w:val="nil"/>
              <w:bottom w:val="single" w:sz="4" w:space="0" w:color="auto"/>
              <w:right w:val="single" w:sz="4" w:space="0" w:color="auto"/>
            </w:tcBorders>
            <w:shd w:val="clear" w:color="auto" w:fill="auto"/>
            <w:vAlign w:val="center"/>
            <w:hideMark/>
          </w:tcPr>
          <w:p w14:paraId="4B64EEBF"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безвозмездным перечислениям текущего характера некоммерческим организациям и физическим лицам - производителям товаров, работ</w:t>
            </w:r>
          </w:p>
        </w:tc>
        <w:tc>
          <w:tcPr>
            <w:tcW w:w="1206" w:type="dxa"/>
            <w:tcBorders>
              <w:top w:val="nil"/>
              <w:left w:val="nil"/>
              <w:bottom w:val="single" w:sz="4" w:space="0" w:color="auto"/>
              <w:right w:val="single" w:sz="4" w:space="0" w:color="auto"/>
            </w:tcBorders>
            <w:shd w:val="clear" w:color="auto" w:fill="auto"/>
            <w:vAlign w:val="center"/>
            <w:hideMark/>
          </w:tcPr>
          <w:p w14:paraId="7A27F78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1206" w:type="dxa"/>
            <w:tcBorders>
              <w:top w:val="nil"/>
              <w:left w:val="nil"/>
              <w:bottom w:val="single" w:sz="4" w:space="0" w:color="auto"/>
              <w:right w:val="single" w:sz="4" w:space="0" w:color="auto"/>
            </w:tcBorders>
            <w:shd w:val="clear" w:color="auto" w:fill="auto"/>
            <w:vAlign w:val="center"/>
            <w:hideMark/>
          </w:tcPr>
          <w:p w14:paraId="6A506762"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c>
          <w:tcPr>
            <w:tcW w:w="917" w:type="dxa"/>
            <w:tcBorders>
              <w:top w:val="nil"/>
              <w:left w:val="nil"/>
              <w:bottom w:val="single" w:sz="4" w:space="0" w:color="auto"/>
              <w:right w:val="double" w:sz="6" w:space="0" w:color="auto"/>
            </w:tcBorders>
            <w:shd w:val="clear" w:color="auto" w:fill="auto"/>
            <w:vAlign w:val="center"/>
            <w:hideMark/>
          </w:tcPr>
          <w:p w14:paraId="299B1D5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w:t>
            </w:r>
          </w:p>
        </w:tc>
      </w:tr>
      <w:tr w:rsidR="00A53AD7" w:rsidRPr="00A53AD7" w14:paraId="23E33B4D"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2E72BEE6"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03125886"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93</w:t>
            </w:r>
          </w:p>
        </w:tc>
        <w:tc>
          <w:tcPr>
            <w:tcW w:w="4997" w:type="dxa"/>
            <w:tcBorders>
              <w:top w:val="nil"/>
              <w:left w:val="nil"/>
              <w:bottom w:val="single" w:sz="4" w:space="0" w:color="auto"/>
              <w:right w:val="single" w:sz="4" w:space="0" w:color="auto"/>
            </w:tcBorders>
            <w:shd w:val="clear" w:color="auto" w:fill="auto"/>
            <w:vAlign w:val="center"/>
            <w:hideMark/>
          </w:tcPr>
          <w:p w14:paraId="71DAAD6C"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штрафам за нарушение законодательства о закупках и нарушение условий контрактов (договоров)</w:t>
            </w:r>
          </w:p>
        </w:tc>
        <w:tc>
          <w:tcPr>
            <w:tcW w:w="1206" w:type="dxa"/>
            <w:tcBorders>
              <w:top w:val="nil"/>
              <w:left w:val="nil"/>
              <w:bottom w:val="single" w:sz="4" w:space="0" w:color="auto"/>
              <w:right w:val="single" w:sz="4" w:space="0" w:color="auto"/>
            </w:tcBorders>
            <w:shd w:val="clear" w:color="auto" w:fill="auto"/>
            <w:vAlign w:val="center"/>
            <w:hideMark/>
          </w:tcPr>
          <w:p w14:paraId="6D3BF089"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1206" w:type="dxa"/>
            <w:tcBorders>
              <w:top w:val="nil"/>
              <w:left w:val="nil"/>
              <w:bottom w:val="single" w:sz="4" w:space="0" w:color="auto"/>
              <w:right w:val="single" w:sz="4" w:space="0" w:color="auto"/>
            </w:tcBorders>
            <w:shd w:val="clear" w:color="auto" w:fill="auto"/>
            <w:vAlign w:val="center"/>
            <w:hideMark/>
          </w:tcPr>
          <w:p w14:paraId="2F87A2B2"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17" w:type="dxa"/>
            <w:tcBorders>
              <w:top w:val="nil"/>
              <w:left w:val="nil"/>
              <w:bottom w:val="single" w:sz="4" w:space="0" w:color="auto"/>
              <w:right w:val="double" w:sz="6" w:space="0" w:color="auto"/>
            </w:tcBorders>
            <w:shd w:val="clear" w:color="auto" w:fill="auto"/>
            <w:vAlign w:val="center"/>
            <w:hideMark/>
          </w:tcPr>
          <w:p w14:paraId="017941F0"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r>
      <w:tr w:rsidR="00A53AD7" w:rsidRPr="00A53AD7" w14:paraId="0298C27F"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5F66CBC5"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05A41EE5"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95</w:t>
            </w:r>
          </w:p>
        </w:tc>
        <w:tc>
          <w:tcPr>
            <w:tcW w:w="4997" w:type="dxa"/>
            <w:tcBorders>
              <w:top w:val="nil"/>
              <w:left w:val="nil"/>
              <w:bottom w:val="single" w:sz="4" w:space="0" w:color="auto"/>
              <w:right w:val="single" w:sz="4" w:space="0" w:color="auto"/>
            </w:tcBorders>
            <w:shd w:val="clear" w:color="auto" w:fill="auto"/>
            <w:vAlign w:val="center"/>
            <w:hideMark/>
          </w:tcPr>
          <w:p w14:paraId="0441FC94"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другим экономическим санкциям</w:t>
            </w:r>
          </w:p>
        </w:tc>
        <w:tc>
          <w:tcPr>
            <w:tcW w:w="1206" w:type="dxa"/>
            <w:tcBorders>
              <w:top w:val="nil"/>
              <w:left w:val="nil"/>
              <w:bottom w:val="single" w:sz="4" w:space="0" w:color="auto"/>
              <w:right w:val="single" w:sz="4" w:space="0" w:color="auto"/>
            </w:tcBorders>
            <w:shd w:val="clear" w:color="auto" w:fill="auto"/>
            <w:vAlign w:val="center"/>
            <w:hideMark/>
          </w:tcPr>
          <w:p w14:paraId="728374E2"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1206" w:type="dxa"/>
            <w:tcBorders>
              <w:top w:val="nil"/>
              <w:left w:val="nil"/>
              <w:bottom w:val="single" w:sz="4" w:space="0" w:color="auto"/>
              <w:right w:val="single" w:sz="4" w:space="0" w:color="auto"/>
            </w:tcBorders>
            <w:shd w:val="clear" w:color="auto" w:fill="auto"/>
            <w:vAlign w:val="center"/>
            <w:hideMark/>
          </w:tcPr>
          <w:p w14:paraId="3827E801"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0,6 </w:t>
            </w:r>
          </w:p>
        </w:tc>
        <w:tc>
          <w:tcPr>
            <w:tcW w:w="917" w:type="dxa"/>
            <w:tcBorders>
              <w:top w:val="nil"/>
              <w:left w:val="nil"/>
              <w:bottom w:val="single" w:sz="4" w:space="0" w:color="auto"/>
              <w:right w:val="double" w:sz="6" w:space="0" w:color="auto"/>
            </w:tcBorders>
            <w:shd w:val="clear" w:color="auto" w:fill="auto"/>
            <w:vAlign w:val="center"/>
            <w:hideMark/>
          </w:tcPr>
          <w:p w14:paraId="6DFC4966"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r>
      <w:tr w:rsidR="00A53AD7" w:rsidRPr="00A53AD7" w14:paraId="4B8E307C"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396A401A"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3C2A079B"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96</w:t>
            </w:r>
          </w:p>
        </w:tc>
        <w:tc>
          <w:tcPr>
            <w:tcW w:w="4997" w:type="dxa"/>
            <w:tcBorders>
              <w:top w:val="nil"/>
              <w:left w:val="nil"/>
              <w:bottom w:val="single" w:sz="4" w:space="0" w:color="auto"/>
              <w:right w:val="single" w:sz="4" w:space="0" w:color="auto"/>
            </w:tcBorders>
            <w:shd w:val="clear" w:color="auto" w:fill="auto"/>
            <w:vAlign w:val="center"/>
            <w:hideMark/>
          </w:tcPr>
          <w:p w14:paraId="33728DD7"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иным выплатам текущего характера физическим лицам</w:t>
            </w:r>
          </w:p>
        </w:tc>
        <w:tc>
          <w:tcPr>
            <w:tcW w:w="1206" w:type="dxa"/>
            <w:tcBorders>
              <w:top w:val="nil"/>
              <w:left w:val="nil"/>
              <w:bottom w:val="single" w:sz="4" w:space="0" w:color="auto"/>
              <w:right w:val="single" w:sz="4" w:space="0" w:color="auto"/>
            </w:tcBorders>
            <w:shd w:val="clear" w:color="auto" w:fill="auto"/>
            <w:vAlign w:val="center"/>
            <w:hideMark/>
          </w:tcPr>
          <w:p w14:paraId="4CB8445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28,4 </w:t>
            </w:r>
          </w:p>
        </w:tc>
        <w:tc>
          <w:tcPr>
            <w:tcW w:w="1206" w:type="dxa"/>
            <w:tcBorders>
              <w:top w:val="nil"/>
              <w:left w:val="nil"/>
              <w:bottom w:val="single" w:sz="4" w:space="0" w:color="auto"/>
              <w:right w:val="single" w:sz="4" w:space="0" w:color="auto"/>
            </w:tcBorders>
            <w:shd w:val="clear" w:color="auto" w:fill="auto"/>
            <w:vAlign w:val="center"/>
            <w:hideMark/>
          </w:tcPr>
          <w:p w14:paraId="542302F7"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9,1 </w:t>
            </w:r>
          </w:p>
        </w:tc>
        <w:tc>
          <w:tcPr>
            <w:tcW w:w="917" w:type="dxa"/>
            <w:tcBorders>
              <w:top w:val="nil"/>
              <w:left w:val="nil"/>
              <w:bottom w:val="single" w:sz="4" w:space="0" w:color="auto"/>
              <w:right w:val="double" w:sz="6" w:space="0" w:color="auto"/>
            </w:tcBorders>
            <w:shd w:val="clear" w:color="auto" w:fill="auto"/>
            <w:vAlign w:val="center"/>
            <w:hideMark/>
          </w:tcPr>
          <w:p w14:paraId="5E35A880"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-19,2 </w:t>
            </w:r>
          </w:p>
        </w:tc>
      </w:tr>
      <w:tr w:rsidR="00A53AD7" w:rsidRPr="00A53AD7" w14:paraId="476A056D" w14:textId="77777777" w:rsidTr="00C04C6E">
        <w:trPr>
          <w:trHeight w:val="53"/>
        </w:trPr>
        <w:tc>
          <w:tcPr>
            <w:tcW w:w="555" w:type="dxa"/>
            <w:tcBorders>
              <w:top w:val="nil"/>
              <w:left w:val="double" w:sz="6" w:space="0" w:color="auto"/>
              <w:bottom w:val="single" w:sz="4" w:space="0" w:color="auto"/>
              <w:right w:val="single" w:sz="4" w:space="0" w:color="auto"/>
            </w:tcBorders>
            <w:shd w:val="clear" w:color="auto" w:fill="auto"/>
            <w:vAlign w:val="center"/>
            <w:hideMark/>
          </w:tcPr>
          <w:p w14:paraId="28E6D3CC"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302</w:t>
            </w:r>
          </w:p>
        </w:tc>
        <w:tc>
          <w:tcPr>
            <w:tcW w:w="436" w:type="dxa"/>
            <w:tcBorders>
              <w:top w:val="nil"/>
              <w:left w:val="nil"/>
              <w:bottom w:val="single" w:sz="4" w:space="0" w:color="auto"/>
              <w:right w:val="single" w:sz="4" w:space="0" w:color="auto"/>
            </w:tcBorders>
            <w:shd w:val="clear" w:color="auto" w:fill="auto"/>
            <w:vAlign w:val="center"/>
            <w:hideMark/>
          </w:tcPr>
          <w:p w14:paraId="3A580F47"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97</w:t>
            </w:r>
          </w:p>
        </w:tc>
        <w:tc>
          <w:tcPr>
            <w:tcW w:w="4997" w:type="dxa"/>
            <w:tcBorders>
              <w:top w:val="nil"/>
              <w:left w:val="nil"/>
              <w:bottom w:val="single" w:sz="4" w:space="0" w:color="auto"/>
              <w:right w:val="single" w:sz="4" w:space="0" w:color="auto"/>
            </w:tcBorders>
            <w:shd w:val="clear" w:color="auto" w:fill="auto"/>
            <w:vAlign w:val="center"/>
            <w:hideMark/>
          </w:tcPr>
          <w:p w14:paraId="5F4EEC49" w14:textId="77777777" w:rsidR="00F700F3" w:rsidRPr="00A53AD7" w:rsidRDefault="00F700F3" w:rsidP="002F731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иным выплатам текущего характера организациям</w:t>
            </w:r>
          </w:p>
        </w:tc>
        <w:tc>
          <w:tcPr>
            <w:tcW w:w="1206" w:type="dxa"/>
            <w:tcBorders>
              <w:top w:val="nil"/>
              <w:left w:val="nil"/>
              <w:bottom w:val="single" w:sz="4" w:space="0" w:color="auto"/>
              <w:right w:val="single" w:sz="4" w:space="0" w:color="auto"/>
            </w:tcBorders>
            <w:shd w:val="clear" w:color="auto" w:fill="auto"/>
            <w:vAlign w:val="center"/>
            <w:hideMark/>
          </w:tcPr>
          <w:p w14:paraId="71CB9006"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38,6 </w:t>
            </w:r>
          </w:p>
        </w:tc>
        <w:tc>
          <w:tcPr>
            <w:tcW w:w="1206" w:type="dxa"/>
            <w:tcBorders>
              <w:top w:val="nil"/>
              <w:left w:val="nil"/>
              <w:bottom w:val="single" w:sz="4" w:space="0" w:color="auto"/>
              <w:right w:val="single" w:sz="4" w:space="0" w:color="auto"/>
            </w:tcBorders>
            <w:shd w:val="clear" w:color="auto" w:fill="auto"/>
            <w:vAlign w:val="center"/>
            <w:hideMark/>
          </w:tcPr>
          <w:p w14:paraId="2961186A"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8,6 </w:t>
            </w:r>
          </w:p>
        </w:tc>
        <w:tc>
          <w:tcPr>
            <w:tcW w:w="917" w:type="dxa"/>
            <w:tcBorders>
              <w:top w:val="nil"/>
              <w:left w:val="nil"/>
              <w:bottom w:val="single" w:sz="4" w:space="0" w:color="auto"/>
              <w:right w:val="double" w:sz="6" w:space="0" w:color="auto"/>
            </w:tcBorders>
            <w:shd w:val="clear" w:color="auto" w:fill="auto"/>
            <w:vAlign w:val="center"/>
            <w:hideMark/>
          </w:tcPr>
          <w:p w14:paraId="0CF25315" w14:textId="77777777" w:rsidR="00F700F3" w:rsidRPr="00A53AD7" w:rsidRDefault="00F700F3" w:rsidP="002F731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-30,0 </w:t>
            </w:r>
          </w:p>
        </w:tc>
      </w:tr>
      <w:tr w:rsidR="00F700F3" w:rsidRPr="00A53AD7" w14:paraId="1D837A2A" w14:textId="77777777" w:rsidTr="00C04C6E">
        <w:trPr>
          <w:trHeight w:val="53"/>
        </w:trPr>
        <w:tc>
          <w:tcPr>
            <w:tcW w:w="555" w:type="dxa"/>
            <w:tcBorders>
              <w:top w:val="nil"/>
              <w:left w:val="double" w:sz="6" w:space="0" w:color="auto"/>
              <w:bottom w:val="double" w:sz="6" w:space="0" w:color="auto"/>
              <w:right w:val="single" w:sz="4" w:space="0" w:color="auto"/>
            </w:tcBorders>
            <w:shd w:val="clear" w:color="auto" w:fill="auto"/>
            <w:vAlign w:val="center"/>
            <w:hideMark/>
          </w:tcPr>
          <w:p w14:paraId="495EF44C" w14:textId="77777777" w:rsidR="00F700F3" w:rsidRPr="00A53AD7" w:rsidRDefault="00F700F3" w:rsidP="002F7314">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302</w:t>
            </w:r>
          </w:p>
        </w:tc>
        <w:tc>
          <w:tcPr>
            <w:tcW w:w="436" w:type="dxa"/>
            <w:tcBorders>
              <w:top w:val="nil"/>
              <w:left w:val="nil"/>
              <w:bottom w:val="double" w:sz="6" w:space="0" w:color="auto"/>
              <w:right w:val="single" w:sz="4" w:space="0" w:color="auto"/>
            </w:tcBorders>
            <w:shd w:val="clear" w:color="auto" w:fill="auto"/>
            <w:vAlign w:val="center"/>
            <w:hideMark/>
          </w:tcPr>
          <w:p w14:paraId="5ACEEF4F" w14:textId="77777777" w:rsidR="00F700F3" w:rsidRPr="00A53AD7" w:rsidRDefault="00F700F3" w:rsidP="002F7314">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00</w:t>
            </w:r>
          </w:p>
        </w:tc>
        <w:tc>
          <w:tcPr>
            <w:tcW w:w="4997" w:type="dxa"/>
            <w:tcBorders>
              <w:top w:val="nil"/>
              <w:left w:val="nil"/>
              <w:bottom w:val="double" w:sz="6" w:space="0" w:color="auto"/>
              <w:right w:val="single" w:sz="4" w:space="0" w:color="auto"/>
            </w:tcBorders>
            <w:shd w:val="clear" w:color="auto" w:fill="auto"/>
            <w:vAlign w:val="center"/>
            <w:hideMark/>
          </w:tcPr>
          <w:p w14:paraId="4FBF9286" w14:textId="77777777" w:rsidR="00F700F3" w:rsidRPr="00A53AD7" w:rsidRDefault="00F700F3" w:rsidP="002F7314">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206" w:type="dxa"/>
            <w:tcBorders>
              <w:top w:val="nil"/>
              <w:left w:val="nil"/>
              <w:bottom w:val="double" w:sz="6" w:space="0" w:color="auto"/>
              <w:right w:val="single" w:sz="4" w:space="0" w:color="auto"/>
            </w:tcBorders>
            <w:shd w:val="clear" w:color="auto" w:fill="auto"/>
            <w:vAlign w:val="center"/>
            <w:hideMark/>
          </w:tcPr>
          <w:p w14:paraId="0364FCF2" w14:textId="77777777" w:rsidR="00F700F3" w:rsidRPr="00A53AD7" w:rsidRDefault="00F700F3" w:rsidP="002F731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230,0 </w:t>
            </w:r>
          </w:p>
        </w:tc>
        <w:tc>
          <w:tcPr>
            <w:tcW w:w="1206" w:type="dxa"/>
            <w:tcBorders>
              <w:top w:val="nil"/>
              <w:left w:val="nil"/>
              <w:bottom w:val="double" w:sz="6" w:space="0" w:color="auto"/>
              <w:right w:val="single" w:sz="4" w:space="0" w:color="auto"/>
            </w:tcBorders>
            <w:shd w:val="clear" w:color="auto" w:fill="auto"/>
            <w:vAlign w:val="center"/>
            <w:hideMark/>
          </w:tcPr>
          <w:p w14:paraId="5448705B" w14:textId="77777777" w:rsidR="00F700F3" w:rsidRPr="00A53AD7" w:rsidRDefault="00F700F3" w:rsidP="002F731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49,4 </w:t>
            </w:r>
          </w:p>
        </w:tc>
        <w:tc>
          <w:tcPr>
            <w:tcW w:w="917" w:type="dxa"/>
            <w:tcBorders>
              <w:top w:val="nil"/>
              <w:left w:val="nil"/>
              <w:bottom w:val="double" w:sz="6" w:space="0" w:color="auto"/>
              <w:right w:val="double" w:sz="6" w:space="0" w:color="auto"/>
            </w:tcBorders>
            <w:shd w:val="clear" w:color="auto" w:fill="auto"/>
            <w:vAlign w:val="center"/>
            <w:hideMark/>
          </w:tcPr>
          <w:p w14:paraId="7A0B45D8" w14:textId="77777777" w:rsidR="00F700F3" w:rsidRPr="00A53AD7" w:rsidRDefault="00F700F3" w:rsidP="002F731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-180,6 </w:t>
            </w:r>
          </w:p>
        </w:tc>
      </w:tr>
    </w:tbl>
    <w:p w14:paraId="57F25920" w14:textId="77777777" w:rsidR="00F700F3" w:rsidRPr="00A53AD7" w:rsidRDefault="00F700F3" w:rsidP="00D35B8D">
      <w:pPr>
        <w:spacing w:after="0" w:line="240" w:lineRule="auto"/>
        <w:ind w:firstLine="851"/>
        <w:jc w:val="both"/>
        <w:rPr>
          <w:rFonts w:ascii="Times New Roman" w:hAnsi="Times New Roman"/>
          <w:sz w:val="28"/>
          <w:szCs w:val="28"/>
        </w:rPr>
      </w:pPr>
    </w:p>
    <w:p w14:paraId="0751FF7D" w14:textId="77777777" w:rsidR="00F700F3" w:rsidRPr="00A53AD7" w:rsidRDefault="00F700F3" w:rsidP="00D35B8D">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в приведенной выше таблице, в составе просроченной кредиторской задолженности муниципальных образований по ф. 0503369 на 01.10.2019 по счету 302 преобладают следующие виды задолженности:</w:t>
      </w:r>
    </w:p>
    <w:p w14:paraId="6FC3103C" w14:textId="77777777" w:rsidR="00F700F3" w:rsidRPr="00A53AD7" w:rsidRDefault="00F700F3" w:rsidP="00D35B8D">
      <w:pPr>
        <w:spacing w:after="0" w:line="240" w:lineRule="auto"/>
        <w:ind w:firstLine="851"/>
        <w:jc w:val="both"/>
        <w:rPr>
          <w:rFonts w:ascii="Times New Roman" w:hAnsi="Times New Roman"/>
          <w:sz w:val="28"/>
          <w:szCs w:val="28"/>
        </w:rPr>
      </w:pPr>
      <w:r w:rsidRPr="00A53AD7">
        <w:rPr>
          <w:rFonts w:ascii="Times New Roman" w:hAnsi="Times New Roman"/>
          <w:sz w:val="28"/>
          <w:szCs w:val="28"/>
        </w:rPr>
        <w:t>а) по работам, услугам по содержанию имущества (счет 302.25) – 23,4 млн.руб., которая сократилась на 47,2 млн.руб. или в 3 раза, из нее наибольшая в:</w:t>
      </w:r>
    </w:p>
    <w:p w14:paraId="2952C5FC" w14:textId="77777777" w:rsidR="00F700F3" w:rsidRPr="00A53AD7" w:rsidRDefault="00F700F3" w:rsidP="00135937">
      <w:pPr>
        <w:pStyle w:val="a0"/>
        <w:rPr>
          <w:lang w:eastAsia="ru-RU"/>
        </w:rPr>
      </w:pPr>
      <w:r w:rsidRPr="00A53AD7">
        <w:rPr>
          <w:lang w:eastAsia="ru-RU"/>
        </w:rPr>
        <w:t>МО «Коношский район» - 8,2 млн.руб., сократилась на 3,9 млн.руб.;</w:t>
      </w:r>
    </w:p>
    <w:p w14:paraId="67821582" w14:textId="77777777" w:rsidR="00F700F3" w:rsidRPr="00A53AD7" w:rsidRDefault="00F700F3" w:rsidP="00135937">
      <w:pPr>
        <w:pStyle w:val="a0"/>
        <w:rPr>
          <w:lang w:eastAsia="ru-RU"/>
        </w:rPr>
      </w:pPr>
      <w:r w:rsidRPr="00A53AD7">
        <w:rPr>
          <w:lang w:eastAsia="ru-RU"/>
        </w:rPr>
        <w:t>МО «Ленский район» - 4,1 млн.руб., сократилась на 11,3 млн.руб.;</w:t>
      </w:r>
    </w:p>
    <w:p w14:paraId="04800894" w14:textId="77777777" w:rsidR="00F700F3" w:rsidRPr="00A53AD7" w:rsidRDefault="00F700F3" w:rsidP="00135937">
      <w:pPr>
        <w:pStyle w:val="a0"/>
        <w:rPr>
          <w:lang w:eastAsia="ru-RU"/>
        </w:rPr>
      </w:pPr>
      <w:r w:rsidRPr="00A53AD7">
        <w:rPr>
          <w:lang w:eastAsia="ru-RU"/>
        </w:rPr>
        <w:t>МО «Плесецкий район» - 6,5 млн.руб., сократилась на 4,6 млн.руб.;</w:t>
      </w:r>
    </w:p>
    <w:p w14:paraId="3ED5BBE8" w14:textId="77777777" w:rsidR="00F700F3" w:rsidRPr="00A53AD7" w:rsidRDefault="00F700F3" w:rsidP="000A3F73">
      <w:pPr>
        <w:spacing w:after="0" w:line="240" w:lineRule="auto"/>
        <w:ind w:firstLine="851"/>
        <w:jc w:val="both"/>
        <w:rPr>
          <w:rFonts w:ascii="Times New Roman" w:hAnsi="Times New Roman"/>
          <w:sz w:val="28"/>
          <w:szCs w:val="28"/>
        </w:rPr>
      </w:pPr>
      <w:r w:rsidRPr="00A53AD7">
        <w:rPr>
          <w:rFonts w:ascii="Times New Roman" w:hAnsi="Times New Roman"/>
          <w:sz w:val="28"/>
          <w:szCs w:val="28"/>
        </w:rPr>
        <w:t>б) по иным выплатам текущего характера физическим лицам (счет 302.96) – 9,1 млн.руб., сократилась на 19,2 млн.руб. или в 3,1 раза, из нее наибольшая в МО «Плесецкий район» - 4,4 млн.руб., которая сократилась на 15,0 млн.руб. или 4,4 раза и в МО «Приморский район» - 3,6 млн.руб., которая снизилась на 1,7 млн.руб. или на 31,8 %;</w:t>
      </w:r>
    </w:p>
    <w:p w14:paraId="28967838" w14:textId="77777777" w:rsidR="00F700F3" w:rsidRPr="00A53AD7" w:rsidRDefault="00F700F3" w:rsidP="000A3F7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по иным выплатам текущего характера организациям (счет 302.97) – 8,6 млн.руб., снизилась на 30,0 млн.руб. или в 4,5 раза, из нее наибольшая в </w:t>
      </w:r>
      <w:r w:rsidRPr="00A53AD7">
        <w:rPr>
          <w:rFonts w:ascii="Times New Roman" w:hAnsi="Times New Roman"/>
          <w:sz w:val="28"/>
          <w:szCs w:val="28"/>
        </w:rPr>
        <w:lastRenderedPageBreak/>
        <w:t>МО «Котласский муниципальный район» - 8,3 млн.руб., которая сократилась на 29,8 млн.руб. или в 4,6 раза.</w:t>
      </w:r>
    </w:p>
    <w:p w14:paraId="7A1D4E6E" w14:textId="6CB701B4" w:rsidR="00EC084E" w:rsidRPr="00A53AD7" w:rsidRDefault="00BE6D75" w:rsidP="00EC084E">
      <w:pPr>
        <w:pStyle w:val="10"/>
        <w:keepNext/>
        <w:keepLines/>
        <w:autoSpaceDE/>
        <w:autoSpaceDN/>
        <w:adjustRightInd/>
        <w:spacing w:before="240" w:after="120"/>
        <w:rPr>
          <w:rFonts w:ascii="Times New Roman" w:hAnsi="Times New Roman"/>
          <w:color w:val="auto"/>
          <w:sz w:val="28"/>
          <w:szCs w:val="28"/>
          <w:lang w:val="ru-RU" w:eastAsia="en-US"/>
        </w:rPr>
      </w:pPr>
      <w:bookmarkStart w:id="60" w:name="_3._Доходы_областного"/>
      <w:bookmarkStart w:id="61" w:name="_Toc42006716"/>
      <w:bookmarkEnd w:id="60"/>
      <w:r w:rsidRPr="00A53AD7">
        <w:rPr>
          <w:rFonts w:ascii="Times New Roman" w:hAnsi="Times New Roman"/>
          <w:color w:val="auto"/>
          <w:sz w:val="28"/>
          <w:szCs w:val="28"/>
          <w:lang w:val="ru-RU" w:eastAsia="en-US"/>
        </w:rPr>
        <w:t>3</w:t>
      </w:r>
      <w:r w:rsidR="00EC084E" w:rsidRPr="00A53AD7">
        <w:rPr>
          <w:rFonts w:ascii="Times New Roman" w:hAnsi="Times New Roman"/>
          <w:color w:val="auto"/>
          <w:sz w:val="28"/>
          <w:szCs w:val="28"/>
          <w:lang w:eastAsia="en-US"/>
        </w:rPr>
        <w:t xml:space="preserve">. Доходы областного бюджета </w:t>
      </w:r>
      <w:r w:rsidR="009357E9" w:rsidRPr="00A53AD7">
        <w:rPr>
          <w:rFonts w:ascii="Times New Roman" w:hAnsi="Times New Roman"/>
          <w:color w:val="auto"/>
          <w:sz w:val="28"/>
          <w:szCs w:val="28"/>
          <w:lang w:val="ru-RU" w:eastAsia="en-US"/>
        </w:rPr>
        <w:t>в</w:t>
      </w:r>
      <w:r w:rsidR="00EC084E" w:rsidRPr="00A53AD7">
        <w:rPr>
          <w:rFonts w:ascii="Times New Roman" w:hAnsi="Times New Roman"/>
          <w:color w:val="auto"/>
          <w:sz w:val="28"/>
          <w:szCs w:val="28"/>
          <w:lang w:eastAsia="en-US"/>
        </w:rPr>
        <w:t xml:space="preserve"> 201</w:t>
      </w:r>
      <w:r w:rsidR="00D377AB" w:rsidRPr="00A53AD7">
        <w:rPr>
          <w:rFonts w:ascii="Times New Roman" w:hAnsi="Times New Roman"/>
          <w:color w:val="auto"/>
          <w:sz w:val="28"/>
          <w:szCs w:val="28"/>
          <w:lang w:val="ru-RU" w:eastAsia="en-US"/>
        </w:rPr>
        <w:t>9</w:t>
      </w:r>
      <w:r w:rsidR="00EC084E" w:rsidRPr="00A53AD7">
        <w:rPr>
          <w:rFonts w:ascii="Times New Roman" w:hAnsi="Times New Roman"/>
          <w:color w:val="auto"/>
          <w:sz w:val="28"/>
          <w:szCs w:val="28"/>
          <w:lang w:eastAsia="en-US"/>
        </w:rPr>
        <w:t xml:space="preserve"> год</w:t>
      </w:r>
      <w:r w:rsidR="009357E9" w:rsidRPr="00A53AD7">
        <w:rPr>
          <w:rFonts w:ascii="Times New Roman" w:hAnsi="Times New Roman"/>
          <w:color w:val="auto"/>
          <w:sz w:val="28"/>
          <w:szCs w:val="28"/>
          <w:lang w:val="ru-RU" w:eastAsia="en-US"/>
        </w:rPr>
        <w:t>у</w:t>
      </w:r>
      <w:bookmarkEnd w:id="61"/>
    </w:p>
    <w:p w14:paraId="4F3DBD1D" w14:textId="36A8885A"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представленному Отчету доходы областного бюджета в 2019 году составили 92 287,6 млн.руб. или 101,5 % к показателям прогнозного поступления доходов, утвержденного законом «Об областном бюджете». Годовой кассовый план поступления доходов на отчетную дату выполнен на 100,3 %. В результате в областной бюджет сверх показателей, предусмотренных кассовым планом, получено доходов </w:t>
      </w:r>
      <w:r w:rsidR="00BA5523" w:rsidRPr="00A53AD7">
        <w:rPr>
          <w:rFonts w:ascii="Times New Roman" w:hAnsi="Times New Roman"/>
          <w:sz w:val="28"/>
          <w:szCs w:val="28"/>
        </w:rPr>
        <w:t xml:space="preserve">в сумме </w:t>
      </w:r>
      <w:r w:rsidRPr="00A53AD7">
        <w:rPr>
          <w:rFonts w:ascii="Times New Roman" w:hAnsi="Times New Roman"/>
          <w:sz w:val="28"/>
          <w:szCs w:val="28"/>
        </w:rPr>
        <w:t>270,0</w:t>
      </w:r>
      <w:r w:rsidR="00BA5523" w:rsidRPr="00A53AD7">
        <w:rPr>
          <w:rFonts w:ascii="Times New Roman" w:hAnsi="Times New Roman"/>
          <w:sz w:val="28"/>
          <w:szCs w:val="28"/>
        </w:rPr>
        <w:t xml:space="preserve"> млн.руб.</w:t>
      </w:r>
    </w:p>
    <w:p w14:paraId="0E8CDF93" w14:textId="5A8DD23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Прогноз поступления доходов на 2019 год </w:t>
      </w:r>
      <w:r w:rsidR="00822809" w:rsidRPr="00A53AD7">
        <w:rPr>
          <w:rFonts w:ascii="Times New Roman" w:hAnsi="Times New Roman"/>
          <w:sz w:val="28"/>
          <w:szCs w:val="28"/>
        </w:rPr>
        <w:t>кассовым планом утвержден в сумме 92 017,6 млн.руб., что на 1 115,8 млн.руб. превышает соответству</w:t>
      </w:r>
      <w:r w:rsidR="000C3037" w:rsidRPr="00A53AD7">
        <w:rPr>
          <w:rFonts w:ascii="Times New Roman" w:hAnsi="Times New Roman"/>
          <w:sz w:val="28"/>
          <w:szCs w:val="28"/>
        </w:rPr>
        <w:t xml:space="preserve">ющие показатели, утвержденные </w:t>
      </w:r>
      <w:r w:rsidRPr="00A53AD7">
        <w:rPr>
          <w:rFonts w:ascii="Times New Roman" w:hAnsi="Times New Roman"/>
          <w:sz w:val="28"/>
          <w:szCs w:val="28"/>
        </w:rPr>
        <w:t xml:space="preserve">законом «Об областном бюджете» </w:t>
      </w:r>
      <w:r w:rsidR="000C3037" w:rsidRPr="00A53AD7">
        <w:rPr>
          <w:rFonts w:ascii="Times New Roman" w:hAnsi="Times New Roman"/>
          <w:sz w:val="28"/>
          <w:szCs w:val="28"/>
        </w:rPr>
        <w:t>(9</w:t>
      </w:r>
      <w:r w:rsidRPr="00A53AD7">
        <w:rPr>
          <w:rFonts w:ascii="Times New Roman" w:hAnsi="Times New Roman"/>
          <w:sz w:val="28"/>
          <w:szCs w:val="28"/>
        </w:rPr>
        <w:t>0 901,8 млн.руб.</w:t>
      </w:r>
      <w:r w:rsidR="000C3037" w:rsidRPr="00A53AD7">
        <w:rPr>
          <w:rFonts w:ascii="Times New Roman" w:hAnsi="Times New Roman"/>
          <w:sz w:val="28"/>
          <w:szCs w:val="28"/>
        </w:rPr>
        <w:t>).</w:t>
      </w:r>
    </w:p>
    <w:p w14:paraId="61489F29" w14:textId="77777777" w:rsidR="001142BF" w:rsidRPr="00A53AD7" w:rsidRDefault="001142BF" w:rsidP="001142BF">
      <w:pPr>
        <w:spacing w:after="0" w:line="240" w:lineRule="auto"/>
        <w:ind w:firstLine="851"/>
        <w:jc w:val="both"/>
        <w:rPr>
          <w:rFonts w:ascii="Times New Roman" w:hAnsi="Times New Roman"/>
          <w:sz w:val="28"/>
          <w:szCs w:val="28"/>
        </w:rPr>
      </w:pPr>
      <w:bookmarkStart w:id="62" w:name="_Toc9262568"/>
      <w:r w:rsidRPr="00A53AD7">
        <w:rPr>
          <w:rFonts w:ascii="Times New Roman" w:hAnsi="Times New Roman"/>
          <w:sz w:val="28"/>
          <w:szCs w:val="28"/>
        </w:rPr>
        <w:t>Указанное превышение сложилось по следующим поступлениям:</w:t>
      </w:r>
    </w:p>
    <w:tbl>
      <w:tblPr>
        <w:tblStyle w:val="a7"/>
        <w:tblW w:w="919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782"/>
        <w:gridCol w:w="1417"/>
      </w:tblGrid>
      <w:tr w:rsidR="00A53AD7" w:rsidRPr="00A53AD7" w14:paraId="662A2D54" w14:textId="77777777" w:rsidTr="009D00A9">
        <w:trPr>
          <w:tblHeader/>
        </w:trPr>
        <w:tc>
          <w:tcPr>
            <w:tcW w:w="7782" w:type="dxa"/>
            <w:vAlign w:val="center"/>
          </w:tcPr>
          <w:p w14:paraId="3A0EC495" w14:textId="77777777" w:rsidR="001142BF" w:rsidRPr="00A53AD7" w:rsidRDefault="001142BF" w:rsidP="00D079DD">
            <w:pPr>
              <w:spacing w:after="0" w:line="240" w:lineRule="auto"/>
              <w:jc w:val="center"/>
              <w:rPr>
                <w:rFonts w:ascii="Times New Roman" w:hAnsi="Times New Roman"/>
              </w:rPr>
            </w:pPr>
            <w:r w:rsidRPr="00A53AD7">
              <w:rPr>
                <w:rFonts w:ascii="Times New Roman" w:hAnsi="Times New Roman"/>
              </w:rPr>
              <w:t>Превышение поступлений в областной бюджет</w:t>
            </w:r>
          </w:p>
        </w:tc>
        <w:tc>
          <w:tcPr>
            <w:tcW w:w="1417" w:type="dxa"/>
          </w:tcPr>
          <w:p w14:paraId="6398560D" w14:textId="77777777" w:rsidR="001142BF" w:rsidRPr="00A53AD7" w:rsidRDefault="001142BF" w:rsidP="00D079DD">
            <w:pPr>
              <w:spacing w:after="0" w:line="240" w:lineRule="auto"/>
              <w:jc w:val="center"/>
              <w:rPr>
                <w:rFonts w:ascii="Times New Roman" w:hAnsi="Times New Roman"/>
              </w:rPr>
            </w:pPr>
            <w:r w:rsidRPr="00A53AD7">
              <w:rPr>
                <w:rFonts w:ascii="Times New Roman" w:hAnsi="Times New Roman"/>
              </w:rPr>
              <w:t>Сумма увеличения, млн.руб.</w:t>
            </w:r>
          </w:p>
        </w:tc>
      </w:tr>
      <w:tr w:rsidR="00A53AD7" w:rsidRPr="00A53AD7" w14:paraId="1C414E93" w14:textId="77777777" w:rsidTr="009D00A9">
        <w:tc>
          <w:tcPr>
            <w:tcW w:w="7782" w:type="dxa"/>
          </w:tcPr>
          <w:p w14:paraId="7B19CBF9" w14:textId="77777777" w:rsidR="001142BF" w:rsidRPr="00A53AD7" w:rsidRDefault="001142BF" w:rsidP="009D00A9">
            <w:pPr>
              <w:spacing w:after="0" w:line="240" w:lineRule="auto"/>
              <w:rPr>
                <w:rFonts w:ascii="Times New Roman" w:hAnsi="Times New Roman"/>
              </w:rPr>
            </w:pPr>
            <w:r w:rsidRPr="00A53AD7">
              <w:rPr>
                <w:rFonts w:ascii="Times New Roman" w:hAnsi="Times New Roman"/>
              </w:rPr>
              <w:t>Доходы от компенсации затрат государства для обеспечения возврата дебиторской задолженности прошлых лет, возникшей за счет целевых средств</w:t>
            </w:r>
          </w:p>
        </w:tc>
        <w:tc>
          <w:tcPr>
            <w:tcW w:w="1417" w:type="dxa"/>
            <w:vAlign w:val="bottom"/>
          </w:tcPr>
          <w:p w14:paraId="27B31535" w14:textId="77777777" w:rsidR="001142BF" w:rsidRPr="00A53AD7" w:rsidRDefault="001142BF" w:rsidP="00D079DD">
            <w:pPr>
              <w:spacing w:after="0" w:line="240" w:lineRule="auto"/>
              <w:jc w:val="right"/>
              <w:rPr>
                <w:rFonts w:ascii="Times New Roman" w:hAnsi="Times New Roman"/>
              </w:rPr>
            </w:pPr>
            <w:r w:rsidRPr="00A53AD7">
              <w:rPr>
                <w:rFonts w:ascii="Times New Roman" w:hAnsi="Times New Roman"/>
              </w:rPr>
              <w:t>15,4</w:t>
            </w:r>
          </w:p>
        </w:tc>
      </w:tr>
      <w:tr w:rsidR="00A53AD7" w:rsidRPr="00A53AD7" w14:paraId="243BA82E" w14:textId="77777777" w:rsidTr="009D00A9">
        <w:tc>
          <w:tcPr>
            <w:tcW w:w="7782" w:type="dxa"/>
          </w:tcPr>
          <w:p w14:paraId="10701959" w14:textId="03563ADF" w:rsidR="001142BF" w:rsidRPr="00A53AD7" w:rsidRDefault="001142BF" w:rsidP="009D00A9">
            <w:pPr>
              <w:spacing w:after="0" w:line="240" w:lineRule="auto"/>
              <w:rPr>
                <w:rFonts w:ascii="Times New Roman" w:hAnsi="Times New Roman"/>
              </w:rPr>
            </w:pPr>
            <w:r w:rsidRPr="00A53AD7">
              <w:rPr>
                <w:rFonts w:ascii="Times New Roman" w:hAnsi="Times New Roman"/>
              </w:rPr>
              <w:t>Безвозмездные поступления</w:t>
            </w:r>
            <w:r w:rsidR="00A7440A" w:rsidRPr="00A53AD7">
              <w:rPr>
                <w:rFonts w:ascii="Times New Roman" w:hAnsi="Times New Roman"/>
              </w:rPr>
              <w:t xml:space="preserve"> из федерального бюджета</w:t>
            </w:r>
            <w:r w:rsidRPr="00A53AD7">
              <w:rPr>
                <w:rFonts w:ascii="Times New Roman" w:hAnsi="Times New Roman"/>
              </w:rPr>
              <w:t xml:space="preserve">, </w:t>
            </w:r>
            <w:r w:rsidRPr="00A53AD7">
              <w:rPr>
                <w:rFonts w:ascii="Times New Roman" w:hAnsi="Times New Roman"/>
                <w:i/>
              </w:rPr>
              <w:t>из них:</w:t>
            </w:r>
          </w:p>
        </w:tc>
        <w:tc>
          <w:tcPr>
            <w:tcW w:w="1417" w:type="dxa"/>
            <w:vAlign w:val="bottom"/>
          </w:tcPr>
          <w:p w14:paraId="37892ACC" w14:textId="77777777" w:rsidR="001142BF" w:rsidRPr="00A53AD7" w:rsidRDefault="001142BF" w:rsidP="00D079DD">
            <w:pPr>
              <w:spacing w:after="0" w:line="240" w:lineRule="auto"/>
              <w:jc w:val="right"/>
              <w:rPr>
                <w:rFonts w:ascii="Times New Roman" w:hAnsi="Times New Roman"/>
              </w:rPr>
            </w:pPr>
            <w:r w:rsidRPr="00A53AD7">
              <w:rPr>
                <w:rFonts w:ascii="Times New Roman" w:hAnsi="Times New Roman"/>
              </w:rPr>
              <w:t>1 100,4</w:t>
            </w:r>
          </w:p>
        </w:tc>
      </w:tr>
      <w:tr w:rsidR="00A53AD7" w:rsidRPr="00A53AD7" w14:paraId="709259BB" w14:textId="77777777" w:rsidTr="009D00A9">
        <w:tc>
          <w:tcPr>
            <w:tcW w:w="7782" w:type="dxa"/>
          </w:tcPr>
          <w:p w14:paraId="1FAFBEE9" w14:textId="77777777" w:rsidR="001142BF" w:rsidRPr="00A53AD7" w:rsidRDefault="001142BF" w:rsidP="009D00A9">
            <w:pPr>
              <w:spacing w:after="0" w:line="240" w:lineRule="auto"/>
              <w:ind w:left="708"/>
              <w:rPr>
                <w:rFonts w:ascii="Times New Roman" w:hAnsi="Times New Roman"/>
              </w:rPr>
            </w:pPr>
            <w:r w:rsidRPr="00A53AD7">
              <w:rPr>
                <w:rFonts w:ascii="Times New Roman" w:hAnsi="Times New Roman"/>
              </w:rPr>
              <w:t>субсидии</w:t>
            </w:r>
          </w:p>
        </w:tc>
        <w:tc>
          <w:tcPr>
            <w:tcW w:w="1417" w:type="dxa"/>
            <w:vAlign w:val="bottom"/>
          </w:tcPr>
          <w:p w14:paraId="343BAE16" w14:textId="77777777" w:rsidR="001142BF" w:rsidRPr="00A53AD7" w:rsidRDefault="001142BF" w:rsidP="00D079DD">
            <w:pPr>
              <w:spacing w:after="0" w:line="240" w:lineRule="auto"/>
              <w:jc w:val="right"/>
              <w:rPr>
                <w:rFonts w:ascii="Times New Roman" w:hAnsi="Times New Roman"/>
              </w:rPr>
            </w:pPr>
            <w:r w:rsidRPr="00A53AD7">
              <w:rPr>
                <w:rFonts w:ascii="Times New Roman" w:hAnsi="Times New Roman"/>
              </w:rPr>
              <w:t>37,0</w:t>
            </w:r>
          </w:p>
        </w:tc>
      </w:tr>
      <w:tr w:rsidR="00A53AD7" w:rsidRPr="00A53AD7" w14:paraId="310368D3" w14:textId="77777777" w:rsidTr="009D00A9">
        <w:tc>
          <w:tcPr>
            <w:tcW w:w="7782" w:type="dxa"/>
          </w:tcPr>
          <w:p w14:paraId="39894FAC" w14:textId="77777777" w:rsidR="001142BF" w:rsidRPr="00A53AD7" w:rsidRDefault="001142BF" w:rsidP="009D00A9">
            <w:pPr>
              <w:spacing w:after="0" w:line="240" w:lineRule="auto"/>
              <w:ind w:left="708"/>
              <w:rPr>
                <w:rFonts w:ascii="Times New Roman" w:hAnsi="Times New Roman"/>
              </w:rPr>
            </w:pPr>
            <w:r w:rsidRPr="00A53AD7">
              <w:rPr>
                <w:rFonts w:ascii="Times New Roman" w:hAnsi="Times New Roman"/>
              </w:rPr>
              <w:t>субвенции</w:t>
            </w:r>
          </w:p>
        </w:tc>
        <w:tc>
          <w:tcPr>
            <w:tcW w:w="1417" w:type="dxa"/>
            <w:vAlign w:val="bottom"/>
          </w:tcPr>
          <w:p w14:paraId="63C25352" w14:textId="77777777" w:rsidR="001142BF" w:rsidRPr="00A53AD7" w:rsidRDefault="001142BF" w:rsidP="00D079DD">
            <w:pPr>
              <w:spacing w:after="0" w:line="240" w:lineRule="auto"/>
              <w:jc w:val="right"/>
              <w:rPr>
                <w:rFonts w:ascii="Times New Roman" w:hAnsi="Times New Roman"/>
              </w:rPr>
            </w:pPr>
            <w:r w:rsidRPr="00A53AD7">
              <w:rPr>
                <w:rFonts w:ascii="Times New Roman" w:hAnsi="Times New Roman"/>
              </w:rPr>
              <w:t>133,9</w:t>
            </w:r>
          </w:p>
        </w:tc>
      </w:tr>
      <w:tr w:rsidR="001142BF" w:rsidRPr="00A53AD7" w14:paraId="1D60BA76" w14:textId="77777777" w:rsidTr="009D00A9">
        <w:tc>
          <w:tcPr>
            <w:tcW w:w="7782" w:type="dxa"/>
          </w:tcPr>
          <w:p w14:paraId="6AD9400A" w14:textId="77777777" w:rsidR="001142BF" w:rsidRPr="00A53AD7" w:rsidRDefault="001142BF" w:rsidP="009D00A9">
            <w:pPr>
              <w:spacing w:after="0" w:line="240" w:lineRule="auto"/>
              <w:ind w:left="708"/>
              <w:rPr>
                <w:rFonts w:ascii="Times New Roman" w:hAnsi="Times New Roman"/>
              </w:rPr>
            </w:pPr>
            <w:r w:rsidRPr="00A53AD7">
              <w:rPr>
                <w:rFonts w:ascii="Times New Roman" w:hAnsi="Times New Roman"/>
              </w:rPr>
              <w:t>иные межбюджетные трансферты</w:t>
            </w:r>
          </w:p>
        </w:tc>
        <w:tc>
          <w:tcPr>
            <w:tcW w:w="1417" w:type="dxa"/>
            <w:vAlign w:val="bottom"/>
          </w:tcPr>
          <w:p w14:paraId="2B7AB439" w14:textId="77777777" w:rsidR="001142BF" w:rsidRPr="00A53AD7" w:rsidRDefault="001142BF" w:rsidP="00D079DD">
            <w:pPr>
              <w:spacing w:after="0" w:line="240" w:lineRule="auto"/>
              <w:jc w:val="right"/>
              <w:rPr>
                <w:rFonts w:ascii="Times New Roman" w:hAnsi="Times New Roman"/>
              </w:rPr>
            </w:pPr>
            <w:r w:rsidRPr="00A53AD7">
              <w:rPr>
                <w:rFonts w:ascii="Times New Roman" w:hAnsi="Times New Roman"/>
              </w:rPr>
              <w:t>414,7</w:t>
            </w:r>
          </w:p>
        </w:tc>
      </w:tr>
    </w:tbl>
    <w:p w14:paraId="22DE0CD9" w14:textId="77777777" w:rsidR="001142BF" w:rsidRPr="00A53AD7" w:rsidRDefault="001142BF" w:rsidP="001142BF">
      <w:pPr>
        <w:spacing w:after="0" w:line="240" w:lineRule="auto"/>
        <w:ind w:firstLine="851"/>
        <w:jc w:val="both"/>
        <w:rPr>
          <w:rFonts w:ascii="Times New Roman" w:hAnsi="Times New Roman"/>
          <w:sz w:val="28"/>
          <w:szCs w:val="28"/>
          <w:highlight w:val="yellow"/>
        </w:rPr>
      </w:pPr>
    </w:p>
    <w:p w14:paraId="3B9F9B5A"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Субсидии увеличены в основном за счет следующих поступлений:</w:t>
      </w:r>
    </w:p>
    <w:tbl>
      <w:tblPr>
        <w:tblW w:w="9293" w:type="dxa"/>
        <w:tblInd w:w="-23" w:type="dxa"/>
        <w:tblLook w:val="04A0" w:firstRow="1" w:lastRow="0" w:firstColumn="1" w:lastColumn="0" w:noHBand="0" w:noVBand="1"/>
      </w:tblPr>
      <w:tblGrid>
        <w:gridCol w:w="7938"/>
        <w:gridCol w:w="1355"/>
      </w:tblGrid>
      <w:tr w:rsidR="00A53AD7" w:rsidRPr="00A53AD7" w14:paraId="534B4C47" w14:textId="77777777" w:rsidTr="009D00A9">
        <w:trPr>
          <w:trHeight w:val="464"/>
        </w:trPr>
        <w:tc>
          <w:tcPr>
            <w:tcW w:w="793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7517A036"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Увеличение поступлений субсидий (более 20,0 млн.руб.)</w:t>
            </w:r>
          </w:p>
        </w:tc>
        <w:tc>
          <w:tcPr>
            <w:tcW w:w="1355" w:type="dxa"/>
            <w:tcBorders>
              <w:top w:val="double" w:sz="6" w:space="0" w:color="auto"/>
              <w:left w:val="nil"/>
              <w:bottom w:val="single" w:sz="4" w:space="0" w:color="auto"/>
              <w:right w:val="double" w:sz="6" w:space="0" w:color="auto"/>
            </w:tcBorders>
            <w:shd w:val="clear" w:color="auto" w:fill="auto"/>
            <w:vAlign w:val="center"/>
            <w:hideMark/>
          </w:tcPr>
          <w:p w14:paraId="266A33A0"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увеличения, млн.руб.</w:t>
            </w:r>
          </w:p>
        </w:tc>
      </w:tr>
      <w:tr w:rsidR="00A53AD7" w:rsidRPr="00A53AD7" w14:paraId="5CDE92AE" w14:textId="77777777" w:rsidTr="009D00A9">
        <w:trPr>
          <w:trHeight w:val="507"/>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0ABA20C1" w14:textId="77777777" w:rsidR="001142BF" w:rsidRPr="00A53AD7" w:rsidRDefault="001142BF" w:rsidP="00D079DD">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на мероприятия федеральной целевой программы «Развитие водохозяйственного комплекса Российской Федерации в 2012 - 2020 годах»</w:t>
            </w:r>
          </w:p>
        </w:tc>
        <w:tc>
          <w:tcPr>
            <w:tcW w:w="1355" w:type="dxa"/>
            <w:tcBorders>
              <w:top w:val="nil"/>
              <w:left w:val="nil"/>
              <w:bottom w:val="single" w:sz="4" w:space="0" w:color="auto"/>
              <w:right w:val="double" w:sz="6" w:space="0" w:color="auto"/>
            </w:tcBorders>
            <w:shd w:val="clear" w:color="auto" w:fill="auto"/>
            <w:vAlign w:val="bottom"/>
            <w:hideMark/>
          </w:tcPr>
          <w:p w14:paraId="2187413D"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37,8 </w:t>
            </w:r>
          </w:p>
        </w:tc>
      </w:tr>
      <w:tr w:rsidR="00A53AD7" w:rsidRPr="00A53AD7" w14:paraId="62877C17" w14:textId="77777777" w:rsidTr="009D00A9">
        <w:trPr>
          <w:trHeight w:val="431"/>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61AE0F06"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мероприятия по стимулированию программ развития жилищного строительства субъектов Российской Федерации</w:t>
            </w:r>
          </w:p>
        </w:tc>
        <w:tc>
          <w:tcPr>
            <w:tcW w:w="1355" w:type="dxa"/>
            <w:tcBorders>
              <w:top w:val="nil"/>
              <w:left w:val="nil"/>
              <w:bottom w:val="single" w:sz="4" w:space="0" w:color="auto"/>
              <w:right w:val="double" w:sz="6" w:space="0" w:color="auto"/>
            </w:tcBorders>
            <w:shd w:val="clear" w:color="auto" w:fill="auto"/>
            <w:vAlign w:val="bottom"/>
            <w:hideMark/>
          </w:tcPr>
          <w:p w14:paraId="6D835602"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19,5 </w:t>
            </w:r>
          </w:p>
        </w:tc>
      </w:tr>
      <w:tr w:rsidR="00A53AD7" w:rsidRPr="00A53AD7" w14:paraId="32C743FF" w14:textId="77777777" w:rsidTr="009D00A9">
        <w:trPr>
          <w:trHeight w:val="1136"/>
        </w:trPr>
        <w:tc>
          <w:tcPr>
            <w:tcW w:w="7938" w:type="dxa"/>
            <w:tcBorders>
              <w:top w:val="nil"/>
              <w:left w:val="double" w:sz="6" w:space="0" w:color="auto"/>
              <w:bottom w:val="double" w:sz="6" w:space="0" w:color="auto"/>
              <w:right w:val="single" w:sz="4" w:space="0" w:color="auto"/>
            </w:tcBorders>
            <w:shd w:val="clear" w:color="auto" w:fill="auto"/>
            <w:vAlign w:val="center"/>
            <w:hideMark/>
          </w:tcPr>
          <w:p w14:paraId="02B077D1"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софинансирование капитальных вложений в объекты государственной (муниципальной) собственности субъектов Российской Федерации и (или) софинансирование мероприятий, не относящихся к капитальным вложениям в объекты государственной (муниципальной) собственности субъектов Российской Федерации</w:t>
            </w:r>
          </w:p>
        </w:tc>
        <w:tc>
          <w:tcPr>
            <w:tcW w:w="1355" w:type="dxa"/>
            <w:tcBorders>
              <w:top w:val="nil"/>
              <w:left w:val="nil"/>
              <w:bottom w:val="double" w:sz="6" w:space="0" w:color="auto"/>
              <w:right w:val="double" w:sz="6" w:space="0" w:color="auto"/>
            </w:tcBorders>
            <w:shd w:val="clear" w:color="auto" w:fill="auto"/>
            <w:vAlign w:val="bottom"/>
            <w:hideMark/>
          </w:tcPr>
          <w:p w14:paraId="46F15143"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112,7 </w:t>
            </w:r>
          </w:p>
        </w:tc>
      </w:tr>
    </w:tbl>
    <w:p w14:paraId="21885126" w14:textId="77777777" w:rsidR="001142BF" w:rsidRPr="00A53AD7" w:rsidRDefault="001142BF" w:rsidP="001142BF">
      <w:pPr>
        <w:spacing w:after="0" w:line="240" w:lineRule="auto"/>
        <w:ind w:firstLine="851"/>
        <w:jc w:val="both"/>
        <w:rPr>
          <w:rFonts w:ascii="Times New Roman" w:hAnsi="Times New Roman"/>
          <w:sz w:val="28"/>
          <w:szCs w:val="28"/>
        </w:rPr>
      </w:pPr>
    </w:p>
    <w:p w14:paraId="059DEB89"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Вместе с тем, ряд субсидий сокращен:</w:t>
      </w:r>
    </w:p>
    <w:tbl>
      <w:tblPr>
        <w:tblW w:w="9355" w:type="dxa"/>
        <w:tblInd w:w="-23" w:type="dxa"/>
        <w:tblLayout w:type="fixed"/>
        <w:tblLook w:val="04A0" w:firstRow="1" w:lastRow="0" w:firstColumn="1" w:lastColumn="0" w:noHBand="0" w:noVBand="1"/>
      </w:tblPr>
      <w:tblGrid>
        <w:gridCol w:w="7938"/>
        <w:gridCol w:w="1417"/>
      </w:tblGrid>
      <w:tr w:rsidR="00A53AD7" w:rsidRPr="00A53AD7" w14:paraId="47582B57" w14:textId="77777777" w:rsidTr="00A7440A">
        <w:trPr>
          <w:trHeight w:val="390"/>
        </w:trPr>
        <w:tc>
          <w:tcPr>
            <w:tcW w:w="793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6619A40"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Сокращение поступлений субсидий (более 20,0 млн.руб.)</w:t>
            </w:r>
          </w:p>
        </w:tc>
        <w:tc>
          <w:tcPr>
            <w:tcW w:w="1417" w:type="dxa"/>
            <w:tcBorders>
              <w:top w:val="double" w:sz="6" w:space="0" w:color="auto"/>
              <w:left w:val="nil"/>
              <w:bottom w:val="single" w:sz="4" w:space="0" w:color="auto"/>
              <w:right w:val="double" w:sz="6" w:space="0" w:color="auto"/>
            </w:tcBorders>
            <w:shd w:val="clear" w:color="auto" w:fill="auto"/>
            <w:vAlign w:val="center"/>
            <w:hideMark/>
          </w:tcPr>
          <w:p w14:paraId="3967348F"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сокращения, млн.руб.</w:t>
            </w:r>
          </w:p>
        </w:tc>
      </w:tr>
      <w:tr w:rsidR="00A53AD7" w:rsidRPr="00A53AD7" w14:paraId="18D00555" w14:textId="77777777" w:rsidTr="00A7440A">
        <w:trPr>
          <w:trHeight w:val="416"/>
        </w:trPr>
        <w:tc>
          <w:tcPr>
            <w:tcW w:w="7938" w:type="dxa"/>
            <w:tcBorders>
              <w:top w:val="nil"/>
              <w:left w:val="double" w:sz="6" w:space="0" w:color="auto"/>
              <w:bottom w:val="nil"/>
              <w:right w:val="single" w:sz="4" w:space="0" w:color="auto"/>
            </w:tcBorders>
            <w:shd w:val="clear" w:color="auto" w:fill="auto"/>
            <w:vAlign w:val="center"/>
            <w:hideMark/>
          </w:tcPr>
          <w:p w14:paraId="1C8376D5"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ежемесячную денежную выплату, назначаемую в случае рождения третьего ребенка или последующих детей до достижения ребенком возраста трех лет</w:t>
            </w:r>
          </w:p>
        </w:tc>
        <w:tc>
          <w:tcPr>
            <w:tcW w:w="1417" w:type="dxa"/>
            <w:tcBorders>
              <w:top w:val="nil"/>
              <w:left w:val="nil"/>
              <w:bottom w:val="nil"/>
              <w:right w:val="double" w:sz="6" w:space="0" w:color="auto"/>
            </w:tcBorders>
            <w:shd w:val="clear" w:color="auto" w:fill="auto"/>
            <w:vAlign w:val="bottom"/>
            <w:hideMark/>
          </w:tcPr>
          <w:p w14:paraId="7A729521"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49,7</w:t>
            </w:r>
          </w:p>
        </w:tc>
      </w:tr>
      <w:tr w:rsidR="00A53AD7" w:rsidRPr="00A53AD7" w14:paraId="7905C1F9" w14:textId="77777777" w:rsidTr="00A7440A">
        <w:trPr>
          <w:trHeight w:val="388"/>
        </w:trPr>
        <w:tc>
          <w:tcPr>
            <w:tcW w:w="7938"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7F69488B"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строительство и реконструкцию (модернизацию) объектов питьевого водоснабжения</w:t>
            </w:r>
          </w:p>
        </w:tc>
        <w:tc>
          <w:tcPr>
            <w:tcW w:w="1417" w:type="dxa"/>
            <w:tcBorders>
              <w:top w:val="single" w:sz="4" w:space="0" w:color="auto"/>
              <w:left w:val="nil"/>
              <w:bottom w:val="double" w:sz="6" w:space="0" w:color="auto"/>
              <w:right w:val="double" w:sz="6" w:space="0" w:color="auto"/>
            </w:tcBorders>
            <w:shd w:val="clear" w:color="auto" w:fill="auto"/>
            <w:vAlign w:val="bottom"/>
            <w:hideMark/>
          </w:tcPr>
          <w:p w14:paraId="05110552"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85,2 </w:t>
            </w:r>
          </w:p>
        </w:tc>
      </w:tr>
    </w:tbl>
    <w:p w14:paraId="6CEF6D95" w14:textId="77777777" w:rsidR="001142BF" w:rsidRPr="00A53AD7" w:rsidRDefault="001142BF" w:rsidP="001142BF">
      <w:pPr>
        <w:spacing w:after="0" w:line="240" w:lineRule="auto"/>
        <w:ind w:firstLine="851"/>
        <w:jc w:val="both"/>
        <w:rPr>
          <w:rFonts w:ascii="Times New Roman" w:hAnsi="Times New Roman"/>
          <w:sz w:val="28"/>
          <w:szCs w:val="28"/>
        </w:rPr>
      </w:pPr>
    </w:p>
    <w:p w14:paraId="384BDE59" w14:textId="542FEE5F"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Субвенции увеличены по девяти видам</w:t>
      </w:r>
      <w:r w:rsidR="00A7440A" w:rsidRPr="00A53AD7">
        <w:rPr>
          <w:rFonts w:ascii="Times New Roman" w:hAnsi="Times New Roman"/>
          <w:sz w:val="28"/>
          <w:szCs w:val="28"/>
        </w:rPr>
        <w:t xml:space="preserve"> и</w:t>
      </w:r>
      <w:r w:rsidRPr="00A53AD7">
        <w:rPr>
          <w:rFonts w:ascii="Times New Roman" w:hAnsi="Times New Roman"/>
          <w:sz w:val="28"/>
          <w:szCs w:val="28"/>
        </w:rPr>
        <w:t>, в основном, за счет:</w:t>
      </w:r>
    </w:p>
    <w:tbl>
      <w:tblPr>
        <w:tblW w:w="9355" w:type="dxa"/>
        <w:tblInd w:w="-23" w:type="dxa"/>
        <w:tblLook w:val="04A0" w:firstRow="1" w:lastRow="0" w:firstColumn="1" w:lastColumn="0" w:noHBand="0" w:noVBand="1"/>
      </w:tblPr>
      <w:tblGrid>
        <w:gridCol w:w="7938"/>
        <w:gridCol w:w="1417"/>
      </w:tblGrid>
      <w:tr w:rsidR="00A53AD7" w:rsidRPr="00A53AD7" w14:paraId="34CA0799" w14:textId="77777777" w:rsidTr="00B64010">
        <w:trPr>
          <w:trHeight w:val="442"/>
        </w:trPr>
        <w:tc>
          <w:tcPr>
            <w:tcW w:w="793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19DC17D"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lastRenderedPageBreak/>
              <w:t>Увеличение поступлений субвенций (более 20,0 млн.руб.)</w:t>
            </w:r>
          </w:p>
        </w:tc>
        <w:tc>
          <w:tcPr>
            <w:tcW w:w="1417" w:type="dxa"/>
            <w:tcBorders>
              <w:top w:val="double" w:sz="6" w:space="0" w:color="auto"/>
              <w:left w:val="nil"/>
              <w:bottom w:val="single" w:sz="4" w:space="0" w:color="auto"/>
              <w:right w:val="double" w:sz="6" w:space="0" w:color="auto"/>
            </w:tcBorders>
            <w:shd w:val="clear" w:color="auto" w:fill="auto"/>
            <w:vAlign w:val="center"/>
            <w:hideMark/>
          </w:tcPr>
          <w:p w14:paraId="2C14CB5A"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увеличения, млн.руб.</w:t>
            </w:r>
          </w:p>
        </w:tc>
      </w:tr>
      <w:tr w:rsidR="00A53AD7" w:rsidRPr="00A53AD7" w14:paraId="056B6991" w14:textId="77777777" w:rsidTr="00B64010">
        <w:trPr>
          <w:trHeight w:val="168"/>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4592527F"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оплату жилищно-коммунальных услуг отдельным категориям граждан</w:t>
            </w:r>
          </w:p>
        </w:tc>
        <w:tc>
          <w:tcPr>
            <w:tcW w:w="1417" w:type="dxa"/>
            <w:tcBorders>
              <w:top w:val="nil"/>
              <w:left w:val="nil"/>
              <w:bottom w:val="single" w:sz="4" w:space="0" w:color="auto"/>
              <w:right w:val="double" w:sz="6" w:space="0" w:color="auto"/>
            </w:tcBorders>
            <w:shd w:val="clear" w:color="auto" w:fill="auto"/>
            <w:vAlign w:val="bottom"/>
            <w:hideMark/>
          </w:tcPr>
          <w:p w14:paraId="1973AAC8"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138,0</w:t>
            </w:r>
          </w:p>
        </w:tc>
      </w:tr>
      <w:tr w:rsidR="00A53AD7" w:rsidRPr="00A53AD7" w14:paraId="7427D5E5" w14:textId="77777777" w:rsidTr="00B64010">
        <w:trPr>
          <w:trHeight w:val="1146"/>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04BD87EB"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417" w:type="dxa"/>
            <w:tcBorders>
              <w:top w:val="nil"/>
              <w:left w:val="nil"/>
              <w:bottom w:val="single" w:sz="4" w:space="0" w:color="auto"/>
              <w:right w:val="double" w:sz="6" w:space="0" w:color="auto"/>
            </w:tcBorders>
            <w:shd w:val="clear" w:color="auto" w:fill="auto"/>
            <w:vAlign w:val="bottom"/>
            <w:hideMark/>
          </w:tcPr>
          <w:p w14:paraId="7613E43C"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36,7</w:t>
            </w:r>
          </w:p>
        </w:tc>
      </w:tr>
      <w:tr w:rsidR="00A53AD7" w:rsidRPr="00A53AD7" w14:paraId="66CDE9E7" w14:textId="77777777" w:rsidTr="00B64010">
        <w:trPr>
          <w:trHeight w:val="582"/>
        </w:trPr>
        <w:tc>
          <w:tcPr>
            <w:tcW w:w="7938" w:type="dxa"/>
            <w:tcBorders>
              <w:top w:val="nil"/>
              <w:left w:val="double" w:sz="6" w:space="0" w:color="auto"/>
              <w:bottom w:val="double" w:sz="6" w:space="0" w:color="auto"/>
              <w:right w:val="single" w:sz="4" w:space="0" w:color="auto"/>
            </w:tcBorders>
            <w:shd w:val="clear" w:color="auto" w:fill="auto"/>
            <w:vAlign w:val="center"/>
            <w:hideMark/>
          </w:tcPr>
          <w:p w14:paraId="37459506"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оснащение специализированных учреждений органов государственной власти субъектов Российской Федерации лесопожарной техникой и оборудованием для проведения комплекса мероприятий по охране лесов от пожаров</w:t>
            </w:r>
          </w:p>
        </w:tc>
        <w:tc>
          <w:tcPr>
            <w:tcW w:w="1417" w:type="dxa"/>
            <w:tcBorders>
              <w:top w:val="nil"/>
              <w:left w:val="nil"/>
              <w:bottom w:val="double" w:sz="6" w:space="0" w:color="auto"/>
              <w:right w:val="double" w:sz="6" w:space="0" w:color="auto"/>
            </w:tcBorders>
            <w:shd w:val="clear" w:color="auto" w:fill="auto"/>
            <w:vAlign w:val="bottom"/>
            <w:hideMark/>
          </w:tcPr>
          <w:p w14:paraId="0372D123"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30,7</w:t>
            </w:r>
          </w:p>
        </w:tc>
      </w:tr>
    </w:tbl>
    <w:p w14:paraId="049339FC" w14:textId="77777777" w:rsidR="001142BF" w:rsidRPr="00A53AD7" w:rsidRDefault="001142BF" w:rsidP="001142BF">
      <w:pPr>
        <w:spacing w:after="0" w:line="240" w:lineRule="auto"/>
        <w:ind w:firstLine="851"/>
        <w:jc w:val="both"/>
        <w:rPr>
          <w:rFonts w:ascii="Times New Roman" w:hAnsi="Times New Roman"/>
          <w:sz w:val="28"/>
          <w:szCs w:val="28"/>
        </w:rPr>
      </w:pPr>
    </w:p>
    <w:p w14:paraId="1F241DB7"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были сокращены некоторые виды субвенций, из них: </w:t>
      </w:r>
    </w:p>
    <w:tbl>
      <w:tblPr>
        <w:tblW w:w="9355" w:type="dxa"/>
        <w:tblInd w:w="-23" w:type="dxa"/>
        <w:tblLook w:val="04A0" w:firstRow="1" w:lastRow="0" w:firstColumn="1" w:lastColumn="0" w:noHBand="0" w:noVBand="1"/>
      </w:tblPr>
      <w:tblGrid>
        <w:gridCol w:w="7938"/>
        <w:gridCol w:w="1417"/>
      </w:tblGrid>
      <w:tr w:rsidR="00A53AD7" w:rsidRPr="00A53AD7" w14:paraId="4F48F0FD" w14:textId="77777777" w:rsidTr="00B64010">
        <w:trPr>
          <w:trHeight w:val="584"/>
        </w:trPr>
        <w:tc>
          <w:tcPr>
            <w:tcW w:w="793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794AC8D"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Сокращение поступлений субвенций (более 20,0 млн.руб.)</w:t>
            </w:r>
          </w:p>
        </w:tc>
        <w:tc>
          <w:tcPr>
            <w:tcW w:w="1417" w:type="dxa"/>
            <w:tcBorders>
              <w:top w:val="double" w:sz="6" w:space="0" w:color="auto"/>
              <w:left w:val="nil"/>
              <w:bottom w:val="single" w:sz="4" w:space="0" w:color="auto"/>
              <w:right w:val="double" w:sz="6" w:space="0" w:color="auto"/>
            </w:tcBorders>
            <w:shd w:val="clear" w:color="auto" w:fill="auto"/>
            <w:vAlign w:val="center"/>
            <w:hideMark/>
          </w:tcPr>
          <w:p w14:paraId="2DAC8A78" w14:textId="77777777" w:rsidR="001142BF" w:rsidRPr="00A53AD7" w:rsidRDefault="001142BF" w:rsidP="00D079DD">
            <w:pPr>
              <w:spacing w:after="0" w:line="240" w:lineRule="auto"/>
              <w:ind w:right="-50"/>
              <w:jc w:val="center"/>
              <w:rPr>
                <w:rFonts w:ascii="Times New Roman" w:eastAsia="Times New Roman" w:hAnsi="Times New Roman"/>
                <w:lang w:eastAsia="ru-RU"/>
              </w:rPr>
            </w:pPr>
            <w:r w:rsidRPr="00A53AD7">
              <w:rPr>
                <w:rFonts w:ascii="Times New Roman" w:eastAsia="Times New Roman" w:hAnsi="Times New Roman"/>
                <w:lang w:eastAsia="ru-RU"/>
              </w:rPr>
              <w:t>Сумма сокращения, млн.руб.</w:t>
            </w:r>
          </w:p>
        </w:tc>
      </w:tr>
      <w:tr w:rsidR="00A53AD7" w:rsidRPr="00A53AD7" w14:paraId="6CC2D754" w14:textId="77777777" w:rsidTr="00B64010">
        <w:trPr>
          <w:trHeight w:val="556"/>
        </w:trPr>
        <w:tc>
          <w:tcPr>
            <w:tcW w:w="7938" w:type="dxa"/>
            <w:tcBorders>
              <w:top w:val="nil"/>
              <w:left w:val="double" w:sz="6" w:space="0" w:color="auto"/>
              <w:bottom w:val="double" w:sz="6" w:space="0" w:color="auto"/>
              <w:right w:val="single" w:sz="4" w:space="0" w:color="auto"/>
            </w:tcBorders>
            <w:shd w:val="clear" w:color="auto" w:fill="auto"/>
            <w:vAlign w:val="center"/>
            <w:hideMark/>
          </w:tcPr>
          <w:p w14:paraId="3C51FA1E"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w:t>
            </w:r>
          </w:p>
        </w:tc>
        <w:tc>
          <w:tcPr>
            <w:tcW w:w="1417" w:type="dxa"/>
            <w:tcBorders>
              <w:top w:val="nil"/>
              <w:left w:val="nil"/>
              <w:bottom w:val="double" w:sz="6" w:space="0" w:color="auto"/>
              <w:right w:val="double" w:sz="6" w:space="0" w:color="auto"/>
            </w:tcBorders>
            <w:shd w:val="clear" w:color="auto" w:fill="auto"/>
            <w:vAlign w:val="bottom"/>
            <w:hideMark/>
          </w:tcPr>
          <w:p w14:paraId="2FF5336E"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70,0</w:t>
            </w:r>
          </w:p>
        </w:tc>
      </w:tr>
    </w:tbl>
    <w:p w14:paraId="09CB9F97" w14:textId="77777777" w:rsidR="001142BF" w:rsidRPr="00A53AD7" w:rsidRDefault="001142BF" w:rsidP="001142BF">
      <w:pPr>
        <w:spacing w:after="0" w:line="240" w:lineRule="auto"/>
        <w:ind w:firstLine="851"/>
        <w:jc w:val="both"/>
        <w:rPr>
          <w:rFonts w:ascii="Times New Roman" w:hAnsi="Times New Roman"/>
          <w:sz w:val="28"/>
          <w:szCs w:val="28"/>
          <w:highlight w:val="yellow"/>
        </w:rPr>
      </w:pPr>
    </w:p>
    <w:p w14:paraId="63B610E3"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Поступления иных межбюджетных трансфертов увеличены, в основном, за счет следующих поступлений:</w:t>
      </w:r>
    </w:p>
    <w:tbl>
      <w:tblPr>
        <w:tblW w:w="9293" w:type="dxa"/>
        <w:tblInd w:w="-2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938"/>
        <w:gridCol w:w="1355"/>
      </w:tblGrid>
      <w:tr w:rsidR="00A53AD7" w:rsidRPr="00A53AD7" w14:paraId="266226D3" w14:textId="77777777" w:rsidTr="005F7DCB">
        <w:trPr>
          <w:trHeight w:val="576"/>
        </w:trPr>
        <w:tc>
          <w:tcPr>
            <w:tcW w:w="7938" w:type="dxa"/>
            <w:shd w:val="clear" w:color="auto" w:fill="auto"/>
            <w:vAlign w:val="center"/>
            <w:hideMark/>
          </w:tcPr>
          <w:p w14:paraId="5AB2B4AC"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Увеличение поступлений иных межбюджетных трансфертов (более 20,0 млн.руб.)</w:t>
            </w:r>
          </w:p>
        </w:tc>
        <w:tc>
          <w:tcPr>
            <w:tcW w:w="1355" w:type="dxa"/>
            <w:shd w:val="clear" w:color="auto" w:fill="auto"/>
            <w:vAlign w:val="center"/>
            <w:hideMark/>
          </w:tcPr>
          <w:p w14:paraId="14CA0D05"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увеличения, млн.руб.</w:t>
            </w:r>
          </w:p>
        </w:tc>
      </w:tr>
      <w:tr w:rsidR="00A53AD7" w:rsidRPr="00A53AD7" w14:paraId="5DC0D243" w14:textId="77777777" w:rsidTr="005F7DCB">
        <w:trPr>
          <w:trHeight w:val="948"/>
        </w:trPr>
        <w:tc>
          <w:tcPr>
            <w:tcW w:w="7938" w:type="dxa"/>
            <w:shd w:val="clear" w:color="auto" w:fill="auto"/>
            <w:vAlign w:val="center"/>
            <w:hideMark/>
          </w:tcPr>
          <w:p w14:paraId="1E78345C"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создание в субъектах Российской Федерации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w:t>
            </w:r>
          </w:p>
        </w:tc>
        <w:tc>
          <w:tcPr>
            <w:tcW w:w="1355" w:type="dxa"/>
            <w:shd w:val="clear" w:color="auto" w:fill="auto"/>
            <w:vAlign w:val="bottom"/>
            <w:hideMark/>
          </w:tcPr>
          <w:p w14:paraId="047D80BF"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344,0</w:t>
            </w:r>
          </w:p>
        </w:tc>
      </w:tr>
      <w:tr w:rsidR="00A53AD7" w:rsidRPr="00A53AD7" w14:paraId="5D72804B" w14:textId="77777777" w:rsidTr="005F7DCB">
        <w:trPr>
          <w:trHeight w:val="449"/>
        </w:trPr>
        <w:tc>
          <w:tcPr>
            <w:tcW w:w="7938" w:type="dxa"/>
            <w:shd w:val="clear" w:color="auto" w:fill="auto"/>
            <w:vAlign w:val="center"/>
            <w:hideMark/>
          </w:tcPr>
          <w:p w14:paraId="494F3AFE"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обеспечение деятельности депутатов Государственной Думы и их помощников в избирательных округах</w:t>
            </w:r>
          </w:p>
        </w:tc>
        <w:tc>
          <w:tcPr>
            <w:tcW w:w="1355" w:type="dxa"/>
            <w:shd w:val="clear" w:color="auto" w:fill="auto"/>
            <w:vAlign w:val="bottom"/>
            <w:hideMark/>
          </w:tcPr>
          <w:p w14:paraId="7F96F644"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22,3</w:t>
            </w:r>
          </w:p>
        </w:tc>
      </w:tr>
    </w:tbl>
    <w:p w14:paraId="06D6453B" w14:textId="77777777" w:rsidR="001142BF" w:rsidRPr="00A53AD7" w:rsidRDefault="001142BF" w:rsidP="001142BF">
      <w:pPr>
        <w:spacing w:after="0" w:line="240" w:lineRule="auto"/>
        <w:ind w:firstLine="851"/>
        <w:jc w:val="both"/>
        <w:rPr>
          <w:rFonts w:ascii="Times New Roman" w:hAnsi="Times New Roman"/>
          <w:sz w:val="28"/>
          <w:szCs w:val="28"/>
        </w:rPr>
      </w:pPr>
    </w:p>
    <w:p w14:paraId="652A8AE6"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Изменения в кассовом плане, касающиеся межбюджетных трансфертов из федерального бюджета, обусловлены решениями федеральных органов государственной власти, в том числе в соответствии с заключенными соглашениями.</w:t>
      </w:r>
    </w:p>
    <w:p w14:paraId="2C1F88AD" w14:textId="46B84EEB"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суммы фактических поступлений увеличены также </w:t>
      </w:r>
      <w:r w:rsidR="00B64010" w:rsidRPr="00A53AD7">
        <w:rPr>
          <w:rFonts w:ascii="Times New Roman" w:hAnsi="Times New Roman"/>
          <w:sz w:val="28"/>
          <w:szCs w:val="28"/>
        </w:rPr>
        <w:t>следующие</w:t>
      </w:r>
      <w:r w:rsidRPr="00A53AD7">
        <w:rPr>
          <w:rFonts w:ascii="Times New Roman" w:hAnsi="Times New Roman"/>
          <w:sz w:val="28"/>
          <w:szCs w:val="28"/>
        </w:rPr>
        <w:t xml:space="preserve"> безвозмездные поступления:</w:t>
      </w:r>
    </w:p>
    <w:tbl>
      <w:tblPr>
        <w:tblW w:w="9293" w:type="dxa"/>
        <w:tblInd w:w="-23" w:type="dxa"/>
        <w:tblLook w:val="04A0" w:firstRow="1" w:lastRow="0" w:firstColumn="1" w:lastColumn="0" w:noHBand="0" w:noVBand="1"/>
      </w:tblPr>
      <w:tblGrid>
        <w:gridCol w:w="7938"/>
        <w:gridCol w:w="1355"/>
      </w:tblGrid>
      <w:tr w:rsidR="00A53AD7" w:rsidRPr="00A53AD7" w14:paraId="45D95E29" w14:textId="77777777" w:rsidTr="00F5645E">
        <w:trPr>
          <w:trHeight w:val="532"/>
          <w:tblHeader/>
        </w:trPr>
        <w:tc>
          <w:tcPr>
            <w:tcW w:w="7938"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0CB16A2" w14:textId="061F4A0A" w:rsidR="001142BF" w:rsidRPr="00A53AD7" w:rsidRDefault="001142BF" w:rsidP="005F7DC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Увеличение поступлений иных </w:t>
            </w:r>
            <w:r w:rsidR="005F7DCB" w:rsidRPr="00A53AD7">
              <w:rPr>
                <w:rFonts w:ascii="Times New Roman" w:eastAsia="Times New Roman" w:hAnsi="Times New Roman"/>
                <w:lang w:eastAsia="ru-RU"/>
              </w:rPr>
              <w:t>безвозмездных поступлений</w:t>
            </w:r>
            <w:r w:rsidRPr="00A53AD7">
              <w:rPr>
                <w:rFonts w:ascii="Times New Roman" w:eastAsia="Times New Roman" w:hAnsi="Times New Roman"/>
                <w:lang w:eastAsia="ru-RU"/>
              </w:rPr>
              <w:t xml:space="preserve"> </w:t>
            </w:r>
          </w:p>
        </w:tc>
        <w:tc>
          <w:tcPr>
            <w:tcW w:w="1355" w:type="dxa"/>
            <w:tcBorders>
              <w:top w:val="double" w:sz="6" w:space="0" w:color="auto"/>
              <w:left w:val="nil"/>
              <w:bottom w:val="single" w:sz="4" w:space="0" w:color="auto"/>
              <w:right w:val="double" w:sz="6" w:space="0" w:color="auto"/>
            </w:tcBorders>
            <w:shd w:val="clear" w:color="auto" w:fill="auto"/>
            <w:vAlign w:val="center"/>
            <w:hideMark/>
          </w:tcPr>
          <w:p w14:paraId="1A303120" w14:textId="77777777" w:rsidR="001142BF" w:rsidRPr="00A53AD7" w:rsidRDefault="001142BF" w:rsidP="00D079D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увеличения, млн.руб.</w:t>
            </w:r>
          </w:p>
        </w:tc>
      </w:tr>
      <w:tr w:rsidR="00A53AD7" w:rsidRPr="00A53AD7" w14:paraId="032588FB" w14:textId="77777777" w:rsidTr="005F7DCB">
        <w:trPr>
          <w:trHeight w:val="699"/>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3EFE13F3"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от государственной корпорации – Фонда содействия реформированию жилищно-коммунального хозяйства на обеспечение мероприятий по переселению граждан из аварийного жилищного фонда</w:t>
            </w:r>
          </w:p>
        </w:tc>
        <w:tc>
          <w:tcPr>
            <w:tcW w:w="1355" w:type="dxa"/>
            <w:tcBorders>
              <w:top w:val="nil"/>
              <w:left w:val="nil"/>
              <w:bottom w:val="single" w:sz="4" w:space="0" w:color="auto"/>
              <w:right w:val="double" w:sz="6" w:space="0" w:color="auto"/>
            </w:tcBorders>
            <w:shd w:val="clear" w:color="auto" w:fill="auto"/>
            <w:vAlign w:val="bottom"/>
            <w:hideMark/>
          </w:tcPr>
          <w:p w14:paraId="34502EF0"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523,8</w:t>
            </w:r>
          </w:p>
        </w:tc>
      </w:tr>
      <w:tr w:rsidR="00A53AD7" w:rsidRPr="00A53AD7" w14:paraId="2BEB9303" w14:textId="77777777" w:rsidTr="005F7DCB">
        <w:trPr>
          <w:trHeight w:val="123"/>
        </w:trPr>
        <w:tc>
          <w:tcPr>
            <w:tcW w:w="7938" w:type="dxa"/>
            <w:tcBorders>
              <w:top w:val="nil"/>
              <w:left w:val="double" w:sz="6" w:space="0" w:color="auto"/>
              <w:bottom w:val="single" w:sz="4" w:space="0" w:color="auto"/>
              <w:right w:val="single" w:sz="4" w:space="0" w:color="auto"/>
            </w:tcBorders>
            <w:shd w:val="clear" w:color="auto" w:fill="auto"/>
            <w:vAlign w:val="center"/>
            <w:hideMark/>
          </w:tcPr>
          <w:p w14:paraId="5204A5DA"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 от негосударственных учреждений на суммы благотворительной помощи</w:t>
            </w:r>
          </w:p>
        </w:tc>
        <w:tc>
          <w:tcPr>
            <w:tcW w:w="1355" w:type="dxa"/>
            <w:tcBorders>
              <w:top w:val="nil"/>
              <w:left w:val="nil"/>
              <w:bottom w:val="single" w:sz="4" w:space="0" w:color="auto"/>
              <w:right w:val="double" w:sz="6" w:space="0" w:color="auto"/>
            </w:tcBorders>
            <w:shd w:val="clear" w:color="auto" w:fill="auto"/>
            <w:vAlign w:val="bottom"/>
            <w:hideMark/>
          </w:tcPr>
          <w:p w14:paraId="175B7D88"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0,9</w:t>
            </w:r>
          </w:p>
        </w:tc>
      </w:tr>
      <w:tr w:rsidR="00A53AD7" w:rsidRPr="00A53AD7" w14:paraId="27759A32" w14:textId="77777777" w:rsidTr="005F7DCB">
        <w:trPr>
          <w:trHeight w:val="573"/>
        </w:trPr>
        <w:tc>
          <w:tcPr>
            <w:tcW w:w="7938" w:type="dxa"/>
            <w:tcBorders>
              <w:top w:val="nil"/>
              <w:left w:val="double" w:sz="6" w:space="0" w:color="auto"/>
              <w:bottom w:val="single" w:sz="4" w:space="0" w:color="auto"/>
              <w:right w:val="single" w:sz="4" w:space="0" w:color="auto"/>
            </w:tcBorders>
            <w:shd w:val="clear" w:color="auto" w:fill="auto"/>
            <w:vAlign w:val="bottom"/>
            <w:hideMark/>
          </w:tcPr>
          <w:p w14:paraId="0773B44F"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оплату за выполнение работ по ответственному хранению материальных ценностей мобилизационного резерва (5,3 млн.руб.) и благотворительной помощи (0,2 млн.руб.)</w:t>
            </w:r>
          </w:p>
        </w:tc>
        <w:tc>
          <w:tcPr>
            <w:tcW w:w="1355" w:type="dxa"/>
            <w:tcBorders>
              <w:top w:val="nil"/>
              <w:left w:val="nil"/>
              <w:bottom w:val="single" w:sz="4" w:space="0" w:color="auto"/>
              <w:right w:val="double" w:sz="6" w:space="0" w:color="auto"/>
            </w:tcBorders>
            <w:shd w:val="clear" w:color="auto" w:fill="auto"/>
            <w:noWrap/>
            <w:vAlign w:val="bottom"/>
            <w:hideMark/>
          </w:tcPr>
          <w:p w14:paraId="7CD8E27C"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5,5</w:t>
            </w:r>
          </w:p>
        </w:tc>
      </w:tr>
      <w:tr w:rsidR="00A53AD7" w:rsidRPr="00A53AD7" w14:paraId="3BEC72A8" w14:textId="77777777" w:rsidTr="005F7DCB">
        <w:trPr>
          <w:trHeight w:val="507"/>
        </w:trPr>
        <w:tc>
          <w:tcPr>
            <w:tcW w:w="7938" w:type="dxa"/>
            <w:tcBorders>
              <w:top w:val="nil"/>
              <w:left w:val="double" w:sz="6" w:space="0" w:color="auto"/>
              <w:bottom w:val="double" w:sz="6" w:space="0" w:color="auto"/>
              <w:right w:val="single" w:sz="4" w:space="0" w:color="auto"/>
            </w:tcBorders>
            <w:shd w:val="clear" w:color="auto" w:fill="auto"/>
            <w:vAlign w:val="bottom"/>
            <w:hideMark/>
          </w:tcPr>
          <w:p w14:paraId="65A94069" w14:textId="77777777" w:rsidR="001142BF" w:rsidRPr="00A53AD7" w:rsidRDefault="001142BF" w:rsidP="00D079D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 xml:space="preserve">возврат в федеральный бюджет остатков целевых средств (с учетом возврата указанных средств из бюджетов муниципальных образований и от организаций) со знаком «минус» </w:t>
            </w:r>
          </w:p>
        </w:tc>
        <w:tc>
          <w:tcPr>
            <w:tcW w:w="1355" w:type="dxa"/>
            <w:tcBorders>
              <w:top w:val="nil"/>
              <w:left w:val="nil"/>
              <w:bottom w:val="double" w:sz="6" w:space="0" w:color="auto"/>
              <w:right w:val="double" w:sz="6" w:space="0" w:color="auto"/>
            </w:tcBorders>
            <w:shd w:val="clear" w:color="auto" w:fill="auto"/>
            <w:noWrap/>
            <w:vAlign w:val="bottom"/>
            <w:hideMark/>
          </w:tcPr>
          <w:p w14:paraId="2918EA97" w14:textId="77777777" w:rsidR="001142BF" w:rsidRPr="00A53AD7" w:rsidRDefault="001142BF" w:rsidP="00D079D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-15,4</w:t>
            </w:r>
          </w:p>
        </w:tc>
      </w:tr>
    </w:tbl>
    <w:p w14:paraId="78F75BAA" w14:textId="77777777" w:rsidR="001142BF" w:rsidRPr="00A53AD7" w:rsidRDefault="001142BF" w:rsidP="001142BF">
      <w:pPr>
        <w:spacing w:after="0" w:line="240" w:lineRule="auto"/>
        <w:ind w:firstLine="851"/>
        <w:jc w:val="both"/>
        <w:rPr>
          <w:rFonts w:ascii="Times New Roman" w:hAnsi="Times New Roman"/>
          <w:sz w:val="28"/>
          <w:szCs w:val="28"/>
        </w:rPr>
      </w:pPr>
    </w:p>
    <w:p w14:paraId="44847148" w14:textId="77777777" w:rsidR="001142BF" w:rsidRPr="00A53AD7" w:rsidRDefault="001142BF" w:rsidP="001142B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Изменения, внесенные в кассовый план по доходам по состоянию на отчетную дату, соответствуют положениям ст. 232 БК РФ и ст. 14 Закона «Об областном бюджете».</w:t>
      </w:r>
    </w:p>
    <w:p w14:paraId="71D3E481" w14:textId="77777777" w:rsidR="00D01D81" w:rsidRPr="00A53AD7" w:rsidRDefault="00D01D81" w:rsidP="00D01D81">
      <w:pPr>
        <w:pStyle w:val="2"/>
        <w:spacing w:before="120" w:after="0" w:line="240" w:lineRule="auto"/>
        <w:jc w:val="center"/>
        <w:rPr>
          <w:rFonts w:ascii="Times New Roman" w:hAnsi="Times New Roman"/>
          <w:lang w:val="ru-RU"/>
        </w:rPr>
      </w:pPr>
      <w:bookmarkStart w:id="63" w:name="_Toc42006717"/>
      <w:r w:rsidRPr="00A53AD7">
        <w:rPr>
          <w:rFonts w:ascii="Times New Roman" w:hAnsi="Times New Roman"/>
          <w:lang w:val="ru-RU"/>
        </w:rPr>
        <w:t>3.1. Налоговые и неналоговые доходы</w:t>
      </w:r>
      <w:bookmarkEnd w:id="62"/>
      <w:bookmarkEnd w:id="63"/>
    </w:p>
    <w:p w14:paraId="31C2BB23" w14:textId="77777777" w:rsidR="0029500C"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Основными доходными источниками бюджета области в 2019 году являются налоговые и неналоговые доходы, </w:t>
      </w:r>
      <w:r w:rsidR="0029500C" w:rsidRPr="00A53AD7">
        <w:rPr>
          <w:rFonts w:ascii="Times New Roman" w:hAnsi="Times New Roman"/>
          <w:sz w:val="28"/>
          <w:szCs w:val="28"/>
        </w:rPr>
        <w:t xml:space="preserve">которые поступили в сумме 63 568,7 млн.руб., и их </w:t>
      </w:r>
      <w:r w:rsidRPr="00A53AD7">
        <w:rPr>
          <w:rFonts w:ascii="Times New Roman" w:hAnsi="Times New Roman"/>
          <w:sz w:val="28"/>
          <w:szCs w:val="28"/>
        </w:rPr>
        <w:t>удельный вес в общем объеме поступлений составляет 68,9 %</w:t>
      </w:r>
      <w:r w:rsidR="0029500C" w:rsidRPr="00A53AD7">
        <w:rPr>
          <w:rFonts w:ascii="Times New Roman" w:hAnsi="Times New Roman"/>
          <w:sz w:val="28"/>
          <w:szCs w:val="28"/>
        </w:rPr>
        <w:t>.</w:t>
      </w:r>
    </w:p>
    <w:p w14:paraId="7DD743BF" w14:textId="77777777" w:rsidR="00570070" w:rsidRPr="00A53AD7" w:rsidRDefault="0029500C"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w:t>
      </w:r>
      <w:r w:rsidR="00D01D81" w:rsidRPr="00A53AD7">
        <w:rPr>
          <w:rFonts w:ascii="Times New Roman" w:hAnsi="Times New Roman"/>
          <w:sz w:val="28"/>
          <w:szCs w:val="28"/>
        </w:rPr>
        <w:t xml:space="preserve">алоговые доходы </w:t>
      </w:r>
      <w:r w:rsidRPr="00A53AD7">
        <w:rPr>
          <w:rFonts w:ascii="Times New Roman" w:hAnsi="Times New Roman"/>
          <w:sz w:val="28"/>
          <w:szCs w:val="28"/>
        </w:rPr>
        <w:t xml:space="preserve">поступили в сумме </w:t>
      </w:r>
      <w:r w:rsidR="00D01D81" w:rsidRPr="00A53AD7">
        <w:rPr>
          <w:rFonts w:ascii="Times New Roman" w:hAnsi="Times New Roman"/>
          <w:sz w:val="28"/>
          <w:szCs w:val="28"/>
        </w:rPr>
        <w:t>61 720,3 млн.руб. (их доля в общей сумме поступления налоговых и неналоговых доходов составляет 97,1 %), неналоговые доходы 1 848,3 млн.руб. (доля – 2,9</w:t>
      </w:r>
      <w:r w:rsidR="0073308D" w:rsidRPr="00A53AD7">
        <w:rPr>
          <w:rFonts w:ascii="Times New Roman" w:hAnsi="Times New Roman"/>
          <w:sz w:val="28"/>
          <w:szCs w:val="28"/>
        </w:rPr>
        <w:t xml:space="preserve"> </w:t>
      </w:r>
      <w:r w:rsidR="00D01D81" w:rsidRPr="00A53AD7">
        <w:rPr>
          <w:rFonts w:ascii="Times New Roman" w:hAnsi="Times New Roman"/>
          <w:sz w:val="28"/>
          <w:szCs w:val="28"/>
        </w:rPr>
        <w:t>%). В 2019 году налоговы</w:t>
      </w:r>
      <w:r w:rsidR="0073308D" w:rsidRPr="00A53AD7">
        <w:rPr>
          <w:rFonts w:ascii="Times New Roman" w:hAnsi="Times New Roman"/>
          <w:sz w:val="28"/>
          <w:szCs w:val="28"/>
        </w:rPr>
        <w:t>е</w:t>
      </w:r>
      <w:r w:rsidR="00D01D81" w:rsidRPr="00A53AD7">
        <w:rPr>
          <w:rFonts w:ascii="Times New Roman" w:hAnsi="Times New Roman"/>
          <w:sz w:val="28"/>
          <w:szCs w:val="28"/>
        </w:rPr>
        <w:t xml:space="preserve"> и неналоговы</w:t>
      </w:r>
      <w:r w:rsidR="0073308D" w:rsidRPr="00A53AD7">
        <w:rPr>
          <w:rFonts w:ascii="Times New Roman" w:hAnsi="Times New Roman"/>
          <w:sz w:val="28"/>
          <w:szCs w:val="28"/>
        </w:rPr>
        <w:t>е</w:t>
      </w:r>
      <w:r w:rsidR="00D01D81" w:rsidRPr="00A53AD7">
        <w:rPr>
          <w:rFonts w:ascii="Times New Roman" w:hAnsi="Times New Roman"/>
          <w:sz w:val="28"/>
          <w:szCs w:val="28"/>
        </w:rPr>
        <w:t xml:space="preserve"> доход</w:t>
      </w:r>
      <w:r w:rsidR="0073308D" w:rsidRPr="00A53AD7">
        <w:rPr>
          <w:rFonts w:ascii="Times New Roman" w:hAnsi="Times New Roman"/>
          <w:sz w:val="28"/>
          <w:szCs w:val="28"/>
        </w:rPr>
        <w:t>ы</w:t>
      </w:r>
      <w:r w:rsidR="00D01D81" w:rsidRPr="00A53AD7">
        <w:rPr>
          <w:rFonts w:ascii="Times New Roman" w:hAnsi="Times New Roman"/>
          <w:sz w:val="28"/>
          <w:szCs w:val="28"/>
        </w:rPr>
        <w:t xml:space="preserve"> поступил</w:t>
      </w:r>
      <w:r w:rsidR="0073308D" w:rsidRPr="00A53AD7">
        <w:rPr>
          <w:rFonts w:ascii="Times New Roman" w:hAnsi="Times New Roman"/>
          <w:sz w:val="28"/>
          <w:szCs w:val="28"/>
        </w:rPr>
        <w:t>и</w:t>
      </w:r>
      <w:r w:rsidR="00D01D81" w:rsidRPr="00A53AD7">
        <w:rPr>
          <w:rFonts w:ascii="Times New Roman" w:hAnsi="Times New Roman"/>
          <w:sz w:val="28"/>
          <w:szCs w:val="28"/>
        </w:rPr>
        <w:t xml:space="preserve"> в областной бюджет </w:t>
      </w:r>
      <w:r w:rsidR="0073308D" w:rsidRPr="00A53AD7">
        <w:rPr>
          <w:rFonts w:ascii="Times New Roman" w:hAnsi="Times New Roman"/>
          <w:sz w:val="28"/>
          <w:szCs w:val="28"/>
        </w:rPr>
        <w:t xml:space="preserve">в сумме </w:t>
      </w:r>
      <w:r w:rsidR="00D01D81" w:rsidRPr="00A53AD7">
        <w:rPr>
          <w:rFonts w:ascii="Times New Roman" w:hAnsi="Times New Roman"/>
          <w:sz w:val="28"/>
          <w:szCs w:val="28"/>
        </w:rPr>
        <w:t>на 4 435,5 млн.руб. или на 7,5 % больше, чем в 2018 году.</w:t>
      </w:r>
    </w:p>
    <w:p w14:paraId="68F227F1" w14:textId="5D14EAA0"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i/>
          <w:sz w:val="28"/>
          <w:szCs w:val="28"/>
        </w:rPr>
        <w:t>Для справки</w:t>
      </w:r>
      <w:r w:rsidRPr="00A53AD7">
        <w:rPr>
          <w:rFonts w:ascii="Times New Roman" w:hAnsi="Times New Roman"/>
          <w:sz w:val="28"/>
          <w:szCs w:val="28"/>
        </w:rPr>
        <w:t xml:space="preserve">: в 2018 году налоговые и неналоговые доходы поступили в сумме 59 133,2 млн.руб., их удельный вес составлял 75,1 % к общей сумме доходов областного бюджета, а в 2017 году аналогичные поступления составляли 51 747,5 млн.руб. или 74,1 % к общей сумме доходов областного бюджета. </w:t>
      </w:r>
    </w:p>
    <w:p w14:paraId="2CF324CA" w14:textId="302F0B5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налоговых и неналоговых доходов за 2019 год представлено в таблице </w:t>
      </w:r>
      <w:r w:rsidR="00F5645E" w:rsidRPr="00A53AD7">
        <w:rPr>
          <w:rFonts w:ascii="Times New Roman" w:hAnsi="Times New Roman"/>
          <w:sz w:val="28"/>
          <w:szCs w:val="28"/>
        </w:rPr>
        <w:t>24</w:t>
      </w:r>
      <w:r w:rsidRPr="00A53AD7">
        <w:rPr>
          <w:rFonts w:ascii="Times New Roman" w:hAnsi="Times New Roman"/>
          <w:sz w:val="28"/>
          <w:szCs w:val="28"/>
        </w:rPr>
        <w:t>.</w:t>
      </w:r>
    </w:p>
    <w:p w14:paraId="06D723DE" w14:textId="77777777" w:rsidR="00D01D81" w:rsidRPr="00A53AD7" w:rsidRDefault="00D01D81" w:rsidP="00D01D81">
      <w:pPr>
        <w:spacing w:after="0" w:line="240" w:lineRule="auto"/>
        <w:jc w:val="both"/>
        <w:rPr>
          <w:rFonts w:ascii="Times New Roman" w:hAnsi="Times New Roman"/>
          <w:sz w:val="24"/>
          <w:szCs w:val="24"/>
        </w:rPr>
      </w:pPr>
    </w:p>
    <w:p w14:paraId="06879DE5" w14:textId="3AFEDFDB" w:rsidR="00D01D81" w:rsidRPr="00A53AD7" w:rsidRDefault="00D42983" w:rsidP="00D42983">
      <w:pPr>
        <w:pStyle w:val="aff0"/>
        <w:keepNext/>
        <w:spacing w:after="0" w:line="240" w:lineRule="auto"/>
        <w:jc w:val="both"/>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24</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D01D81" w:rsidRPr="00A53AD7">
        <w:rPr>
          <w:rFonts w:ascii="Times New Roman" w:hAnsi="Times New Roman"/>
          <w:b w:val="0"/>
          <w:sz w:val="24"/>
          <w:szCs w:val="24"/>
        </w:rPr>
        <w:t xml:space="preserve">Поступление налоговых и неналоговых доходов за </w:t>
      </w:r>
      <w:r w:rsidR="004567A1" w:rsidRPr="00A53AD7">
        <w:rPr>
          <w:rFonts w:ascii="Times New Roman" w:hAnsi="Times New Roman"/>
          <w:b w:val="0"/>
          <w:sz w:val="24"/>
          <w:szCs w:val="24"/>
        </w:rPr>
        <w:t>2018 и 2019 годы</w:t>
      </w:r>
    </w:p>
    <w:tbl>
      <w:tblPr>
        <w:tblW w:w="9457" w:type="dxa"/>
        <w:tblInd w:w="-23" w:type="dxa"/>
        <w:tblLook w:val="04A0" w:firstRow="1" w:lastRow="0" w:firstColumn="1" w:lastColumn="0" w:noHBand="0" w:noVBand="1"/>
      </w:tblPr>
      <w:tblGrid>
        <w:gridCol w:w="2959"/>
        <w:gridCol w:w="1261"/>
        <w:gridCol w:w="1261"/>
        <w:gridCol w:w="1261"/>
        <w:gridCol w:w="1356"/>
        <w:gridCol w:w="1359"/>
      </w:tblGrid>
      <w:tr w:rsidR="00A53AD7" w:rsidRPr="00A53AD7" w14:paraId="02070EB9" w14:textId="77777777" w:rsidTr="00FF2E91">
        <w:trPr>
          <w:trHeight w:val="947"/>
          <w:tblHeader/>
        </w:trPr>
        <w:tc>
          <w:tcPr>
            <w:tcW w:w="2977"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BC10E0B"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1261" w:type="dxa"/>
            <w:tcBorders>
              <w:top w:val="double" w:sz="6" w:space="0" w:color="auto"/>
              <w:left w:val="nil"/>
              <w:bottom w:val="single" w:sz="4" w:space="0" w:color="auto"/>
              <w:right w:val="single" w:sz="4" w:space="0" w:color="auto"/>
            </w:tcBorders>
            <w:shd w:val="clear" w:color="auto" w:fill="auto"/>
            <w:vAlign w:val="center"/>
            <w:hideMark/>
          </w:tcPr>
          <w:p w14:paraId="58448A25" w14:textId="1C31FAA1" w:rsidR="00D01D81" w:rsidRPr="00A53AD7" w:rsidRDefault="004567A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Поступило в 2018 г.</w:t>
            </w:r>
            <w:r w:rsidR="00D01D81" w:rsidRPr="00A53AD7">
              <w:rPr>
                <w:rFonts w:ascii="Times New Roman" w:eastAsia="Times New Roman" w:hAnsi="Times New Roman"/>
                <w:lang w:eastAsia="ru-RU"/>
              </w:rPr>
              <w:t>, млн.руб.</w:t>
            </w:r>
          </w:p>
        </w:tc>
        <w:tc>
          <w:tcPr>
            <w:tcW w:w="1240" w:type="dxa"/>
            <w:tcBorders>
              <w:top w:val="double" w:sz="6" w:space="0" w:color="auto"/>
              <w:left w:val="nil"/>
              <w:bottom w:val="single" w:sz="4" w:space="0" w:color="auto"/>
              <w:right w:val="single" w:sz="4" w:space="0" w:color="auto"/>
            </w:tcBorders>
            <w:shd w:val="clear" w:color="auto" w:fill="auto"/>
            <w:vAlign w:val="center"/>
            <w:hideMark/>
          </w:tcPr>
          <w:p w14:paraId="58749896"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Кассовый план на 31.12.2019, млн.руб.</w:t>
            </w:r>
          </w:p>
        </w:tc>
        <w:tc>
          <w:tcPr>
            <w:tcW w:w="1261" w:type="dxa"/>
            <w:tcBorders>
              <w:top w:val="double" w:sz="6" w:space="0" w:color="auto"/>
              <w:left w:val="nil"/>
              <w:bottom w:val="single" w:sz="4" w:space="0" w:color="auto"/>
              <w:right w:val="single" w:sz="4" w:space="0" w:color="auto"/>
            </w:tcBorders>
            <w:shd w:val="clear" w:color="auto" w:fill="auto"/>
            <w:vAlign w:val="center"/>
            <w:hideMark/>
          </w:tcPr>
          <w:p w14:paraId="0C0EA8F5" w14:textId="11F04460" w:rsidR="00D01D81" w:rsidRPr="00A53AD7" w:rsidRDefault="004567A1" w:rsidP="004567A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Поступило в 2019 г.</w:t>
            </w:r>
            <w:r w:rsidR="00D01D81" w:rsidRPr="00A53AD7">
              <w:rPr>
                <w:rFonts w:ascii="Times New Roman" w:eastAsia="Times New Roman" w:hAnsi="Times New Roman"/>
                <w:lang w:eastAsia="ru-RU"/>
              </w:rPr>
              <w:t>, млн.руб.</w:t>
            </w:r>
          </w:p>
        </w:tc>
        <w:tc>
          <w:tcPr>
            <w:tcW w:w="1359" w:type="dxa"/>
            <w:tcBorders>
              <w:top w:val="double" w:sz="6" w:space="0" w:color="auto"/>
              <w:left w:val="nil"/>
              <w:bottom w:val="single" w:sz="4" w:space="0" w:color="auto"/>
              <w:right w:val="single" w:sz="4" w:space="0" w:color="auto"/>
            </w:tcBorders>
            <w:shd w:val="clear" w:color="auto" w:fill="auto"/>
            <w:vAlign w:val="center"/>
            <w:hideMark/>
          </w:tcPr>
          <w:p w14:paraId="29747926" w14:textId="77777777" w:rsidR="00D01D81" w:rsidRPr="00A53AD7" w:rsidRDefault="00D01D81" w:rsidP="00BA5523">
            <w:pPr>
              <w:spacing w:after="0" w:line="240" w:lineRule="auto"/>
              <w:ind w:left="-142" w:right="-90"/>
              <w:jc w:val="center"/>
              <w:rPr>
                <w:rFonts w:ascii="Times New Roman" w:eastAsia="Times New Roman" w:hAnsi="Times New Roman"/>
                <w:lang w:eastAsia="ru-RU"/>
              </w:rPr>
            </w:pPr>
            <w:r w:rsidRPr="00A53AD7">
              <w:rPr>
                <w:rFonts w:ascii="Times New Roman" w:eastAsia="Times New Roman" w:hAnsi="Times New Roman"/>
                <w:lang w:eastAsia="ru-RU"/>
              </w:rPr>
              <w:t xml:space="preserve">Исполнение к кассовому плану на 31.12.2019, % </w:t>
            </w:r>
          </w:p>
        </w:tc>
        <w:tc>
          <w:tcPr>
            <w:tcW w:w="1359" w:type="dxa"/>
            <w:tcBorders>
              <w:top w:val="double" w:sz="6" w:space="0" w:color="auto"/>
              <w:left w:val="nil"/>
              <w:bottom w:val="single" w:sz="4" w:space="0" w:color="auto"/>
              <w:right w:val="double" w:sz="6" w:space="0" w:color="auto"/>
            </w:tcBorders>
            <w:shd w:val="clear" w:color="auto" w:fill="auto"/>
            <w:vAlign w:val="center"/>
            <w:hideMark/>
          </w:tcPr>
          <w:p w14:paraId="74587ED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Исполнение за 2019 г. к 2018 г., %</w:t>
            </w:r>
            <w:r w:rsidRPr="00A53AD7">
              <w:rPr>
                <w:rFonts w:ascii="Times New Roman" w:eastAsia="Times New Roman" w:hAnsi="Times New Roman"/>
                <w:sz w:val="16"/>
                <w:szCs w:val="16"/>
                <w:lang w:eastAsia="ru-RU"/>
              </w:rPr>
              <w:t> </w:t>
            </w:r>
          </w:p>
        </w:tc>
      </w:tr>
      <w:tr w:rsidR="00A53AD7" w:rsidRPr="00A53AD7" w14:paraId="1AF21FA4" w14:textId="77777777" w:rsidTr="00FF2E91">
        <w:trPr>
          <w:trHeight w:val="114"/>
          <w:tblHeader/>
        </w:trPr>
        <w:tc>
          <w:tcPr>
            <w:tcW w:w="2977" w:type="dxa"/>
            <w:tcBorders>
              <w:top w:val="nil"/>
              <w:left w:val="double" w:sz="6" w:space="0" w:color="auto"/>
              <w:bottom w:val="single" w:sz="4" w:space="0" w:color="auto"/>
              <w:right w:val="single" w:sz="4" w:space="0" w:color="auto"/>
            </w:tcBorders>
            <w:shd w:val="clear" w:color="auto" w:fill="auto"/>
            <w:vAlign w:val="center"/>
            <w:hideMark/>
          </w:tcPr>
          <w:p w14:paraId="63CC7232"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1261" w:type="dxa"/>
            <w:tcBorders>
              <w:top w:val="nil"/>
              <w:left w:val="nil"/>
              <w:bottom w:val="single" w:sz="4" w:space="0" w:color="auto"/>
              <w:right w:val="single" w:sz="4" w:space="0" w:color="auto"/>
            </w:tcBorders>
            <w:shd w:val="clear" w:color="auto" w:fill="auto"/>
            <w:vAlign w:val="center"/>
            <w:hideMark/>
          </w:tcPr>
          <w:p w14:paraId="3545E1B3"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240" w:type="dxa"/>
            <w:tcBorders>
              <w:top w:val="nil"/>
              <w:left w:val="nil"/>
              <w:bottom w:val="single" w:sz="4" w:space="0" w:color="auto"/>
              <w:right w:val="single" w:sz="4" w:space="0" w:color="auto"/>
            </w:tcBorders>
            <w:shd w:val="clear" w:color="auto" w:fill="auto"/>
            <w:vAlign w:val="center"/>
            <w:hideMark/>
          </w:tcPr>
          <w:p w14:paraId="54F07255"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1261" w:type="dxa"/>
            <w:tcBorders>
              <w:top w:val="nil"/>
              <w:left w:val="nil"/>
              <w:bottom w:val="single" w:sz="4" w:space="0" w:color="auto"/>
              <w:right w:val="single" w:sz="4" w:space="0" w:color="auto"/>
            </w:tcBorders>
            <w:shd w:val="clear" w:color="auto" w:fill="auto"/>
            <w:vAlign w:val="center"/>
            <w:hideMark/>
          </w:tcPr>
          <w:p w14:paraId="275F0CB5"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1359" w:type="dxa"/>
            <w:tcBorders>
              <w:top w:val="nil"/>
              <w:left w:val="nil"/>
              <w:bottom w:val="single" w:sz="4" w:space="0" w:color="auto"/>
              <w:right w:val="single" w:sz="4" w:space="0" w:color="auto"/>
            </w:tcBorders>
            <w:shd w:val="clear" w:color="auto" w:fill="auto"/>
            <w:vAlign w:val="center"/>
            <w:hideMark/>
          </w:tcPr>
          <w:p w14:paraId="04774FD4"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4=3/2*100</w:t>
            </w:r>
          </w:p>
        </w:tc>
        <w:tc>
          <w:tcPr>
            <w:tcW w:w="1359" w:type="dxa"/>
            <w:tcBorders>
              <w:top w:val="nil"/>
              <w:left w:val="nil"/>
              <w:bottom w:val="single" w:sz="4" w:space="0" w:color="auto"/>
              <w:right w:val="double" w:sz="6" w:space="0" w:color="auto"/>
            </w:tcBorders>
            <w:shd w:val="clear" w:color="auto" w:fill="auto"/>
            <w:vAlign w:val="center"/>
            <w:hideMark/>
          </w:tcPr>
          <w:p w14:paraId="703E23D9"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5=3/1*100</w:t>
            </w:r>
          </w:p>
        </w:tc>
      </w:tr>
      <w:tr w:rsidR="00A53AD7" w:rsidRPr="00A53AD7" w14:paraId="25A0DF4A" w14:textId="77777777" w:rsidTr="00FF2E91">
        <w:trPr>
          <w:trHeight w:val="399"/>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55B487F4"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 на прибыль организаций</w:t>
            </w:r>
          </w:p>
        </w:tc>
        <w:tc>
          <w:tcPr>
            <w:tcW w:w="1261" w:type="dxa"/>
            <w:tcBorders>
              <w:top w:val="nil"/>
              <w:left w:val="nil"/>
              <w:bottom w:val="single" w:sz="4" w:space="0" w:color="auto"/>
              <w:right w:val="single" w:sz="4" w:space="0" w:color="auto"/>
            </w:tcBorders>
            <w:shd w:val="clear" w:color="auto" w:fill="auto"/>
            <w:vAlign w:val="bottom"/>
            <w:hideMark/>
          </w:tcPr>
          <w:p w14:paraId="09D0906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18 868,3 </w:t>
            </w:r>
          </w:p>
        </w:tc>
        <w:tc>
          <w:tcPr>
            <w:tcW w:w="1240" w:type="dxa"/>
            <w:tcBorders>
              <w:top w:val="nil"/>
              <w:left w:val="nil"/>
              <w:bottom w:val="single" w:sz="4" w:space="0" w:color="auto"/>
              <w:right w:val="single" w:sz="4" w:space="0" w:color="auto"/>
            </w:tcBorders>
            <w:shd w:val="clear" w:color="auto" w:fill="auto"/>
            <w:noWrap/>
            <w:vAlign w:val="bottom"/>
            <w:hideMark/>
          </w:tcPr>
          <w:p w14:paraId="213FB2E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18 841,5 </w:t>
            </w:r>
          </w:p>
        </w:tc>
        <w:tc>
          <w:tcPr>
            <w:tcW w:w="1261" w:type="dxa"/>
            <w:tcBorders>
              <w:top w:val="nil"/>
              <w:left w:val="nil"/>
              <w:bottom w:val="single" w:sz="4" w:space="0" w:color="auto"/>
              <w:right w:val="single" w:sz="4" w:space="0" w:color="auto"/>
            </w:tcBorders>
            <w:shd w:val="clear" w:color="auto" w:fill="auto"/>
            <w:noWrap/>
            <w:vAlign w:val="bottom"/>
            <w:hideMark/>
          </w:tcPr>
          <w:p w14:paraId="23C0183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20 584,6 </w:t>
            </w:r>
          </w:p>
        </w:tc>
        <w:tc>
          <w:tcPr>
            <w:tcW w:w="1359" w:type="dxa"/>
            <w:tcBorders>
              <w:top w:val="nil"/>
              <w:left w:val="nil"/>
              <w:bottom w:val="single" w:sz="4" w:space="0" w:color="auto"/>
              <w:right w:val="single" w:sz="4" w:space="0" w:color="auto"/>
            </w:tcBorders>
            <w:shd w:val="clear" w:color="auto" w:fill="auto"/>
            <w:vAlign w:val="bottom"/>
            <w:hideMark/>
          </w:tcPr>
          <w:p w14:paraId="1B6D17C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109,3 </w:t>
            </w:r>
          </w:p>
        </w:tc>
        <w:tc>
          <w:tcPr>
            <w:tcW w:w="1359" w:type="dxa"/>
            <w:tcBorders>
              <w:top w:val="nil"/>
              <w:left w:val="nil"/>
              <w:bottom w:val="single" w:sz="4" w:space="0" w:color="auto"/>
              <w:right w:val="double" w:sz="6" w:space="0" w:color="auto"/>
            </w:tcBorders>
            <w:shd w:val="clear" w:color="auto" w:fill="auto"/>
            <w:vAlign w:val="bottom"/>
            <w:hideMark/>
          </w:tcPr>
          <w:p w14:paraId="4336BA9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109,1 </w:t>
            </w:r>
          </w:p>
        </w:tc>
      </w:tr>
      <w:tr w:rsidR="00A53AD7" w:rsidRPr="00A53AD7" w14:paraId="4EF5CE9B" w14:textId="77777777" w:rsidTr="00BA5523">
        <w:trPr>
          <w:trHeight w:val="445"/>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27A2E8B6"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 на доходы физических лиц</w:t>
            </w:r>
          </w:p>
        </w:tc>
        <w:tc>
          <w:tcPr>
            <w:tcW w:w="1261" w:type="dxa"/>
            <w:tcBorders>
              <w:top w:val="nil"/>
              <w:left w:val="nil"/>
              <w:bottom w:val="single" w:sz="4" w:space="0" w:color="auto"/>
              <w:right w:val="single" w:sz="4" w:space="0" w:color="auto"/>
            </w:tcBorders>
            <w:shd w:val="clear" w:color="auto" w:fill="auto"/>
            <w:vAlign w:val="bottom"/>
            <w:hideMark/>
          </w:tcPr>
          <w:p w14:paraId="2FC644E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18 683,4 </w:t>
            </w:r>
          </w:p>
        </w:tc>
        <w:tc>
          <w:tcPr>
            <w:tcW w:w="1240" w:type="dxa"/>
            <w:tcBorders>
              <w:top w:val="nil"/>
              <w:left w:val="nil"/>
              <w:bottom w:val="single" w:sz="4" w:space="0" w:color="auto"/>
              <w:right w:val="single" w:sz="4" w:space="0" w:color="auto"/>
            </w:tcBorders>
            <w:shd w:val="clear" w:color="auto" w:fill="auto"/>
            <w:noWrap/>
            <w:vAlign w:val="bottom"/>
            <w:hideMark/>
          </w:tcPr>
          <w:p w14:paraId="644DB03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19 299,8 </w:t>
            </w:r>
          </w:p>
        </w:tc>
        <w:tc>
          <w:tcPr>
            <w:tcW w:w="1261" w:type="dxa"/>
            <w:tcBorders>
              <w:top w:val="nil"/>
              <w:left w:val="nil"/>
              <w:bottom w:val="single" w:sz="4" w:space="0" w:color="auto"/>
              <w:right w:val="single" w:sz="4" w:space="0" w:color="auto"/>
            </w:tcBorders>
            <w:shd w:val="clear" w:color="auto" w:fill="auto"/>
            <w:noWrap/>
            <w:vAlign w:val="bottom"/>
            <w:hideMark/>
          </w:tcPr>
          <w:p w14:paraId="136D786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19 648,8 </w:t>
            </w:r>
          </w:p>
        </w:tc>
        <w:tc>
          <w:tcPr>
            <w:tcW w:w="1359" w:type="dxa"/>
            <w:tcBorders>
              <w:top w:val="nil"/>
              <w:left w:val="nil"/>
              <w:bottom w:val="single" w:sz="4" w:space="0" w:color="auto"/>
              <w:right w:val="single" w:sz="4" w:space="0" w:color="auto"/>
            </w:tcBorders>
            <w:shd w:val="clear" w:color="auto" w:fill="auto"/>
            <w:vAlign w:val="bottom"/>
            <w:hideMark/>
          </w:tcPr>
          <w:p w14:paraId="69B10C7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101,8 </w:t>
            </w:r>
          </w:p>
        </w:tc>
        <w:tc>
          <w:tcPr>
            <w:tcW w:w="1359" w:type="dxa"/>
            <w:tcBorders>
              <w:top w:val="nil"/>
              <w:left w:val="nil"/>
              <w:bottom w:val="single" w:sz="4" w:space="0" w:color="auto"/>
              <w:right w:val="double" w:sz="6" w:space="0" w:color="auto"/>
            </w:tcBorders>
            <w:shd w:val="clear" w:color="auto" w:fill="auto"/>
            <w:vAlign w:val="bottom"/>
            <w:hideMark/>
          </w:tcPr>
          <w:p w14:paraId="4839080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105,2 </w:t>
            </w:r>
          </w:p>
        </w:tc>
      </w:tr>
      <w:tr w:rsidR="00A53AD7" w:rsidRPr="00A53AD7" w14:paraId="7645B07D" w14:textId="77777777" w:rsidTr="00BA5523">
        <w:trPr>
          <w:trHeight w:val="920"/>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4703F6E3" w14:textId="1365DF9D" w:rsidR="00D01D81" w:rsidRPr="00A53AD7" w:rsidRDefault="00D01D81" w:rsidP="00FF2E9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Акцизы по подакцизным товарам (продукции), производимым на территории Р</w:t>
            </w:r>
            <w:r w:rsidR="00FF2E91" w:rsidRPr="00A53AD7">
              <w:rPr>
                <w:rFonts w:ascii="Times New Roman" w:eastAsia="Times New Roman" w:hAnsi="Times New Roman"/>
                <w:lang w:eastAsia="ru-RU"/>
              </w:rPr>
              <w:t>Ф</w:t>
            </w:r>
          </w:p>
        </w:tc>
        <w:tc>
          <w:tcPr>
            <w:tcW w:w="1261" w:type="dxa"/>
            <w:tcBorders>
              <w:top w:val="nil"/>
              <w:left w:val="nil"/>
              <w:bottom w:val="single" w:sz="4" w:space="0" w:color="auto"/>
              <w:right w:val="single" w:sz="4" w:space="0" w:color="auto"/>
            </w:tcBorders>
            <w:shd w:val="clear" w:color="auto" w:fill="auto"/>
            <w:noWrap/>
            <w:vAlign w:val="bottom"/>
            <w:hideMark/>
          </w:tcPr>
          <w:p w14:paraId="7E232F7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4 184,5 </w:t>
            </w:r>
          </w:p>
        </w:tc>
        <w:tc>
          <w:tcPr>
            <w:tcW w:w="1240" w:type="dxa"/>
            <w:tcBorders>
              <w:top w:val="nil"/>
              <w:left w:val="nil"/>
              <w:bottom w:val="single" w:sz="4" w:space="0" w:color="auto"/>
              <w:right w:val="single" w:sz="4" w:space="0" w:color="auto"/>
            </w:tcBorders>
            <w:shd w:val="clear" w:color="auto" w:fill="auto"/>
            <w:noWrap/>
            <w:vAlign w:val="bottom"/>
            <w:hideMark/>
          </w:tcPr>
          <w:p w14:paraId="26E1C42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4 538,0 </w:t>
            </w:r>
          </w:p>
        </w:tc>
        <w:tc>
          <w:tcPr>
            <w:tcW w:w="1261" w:type="dxa"/>
            <w:tcBorders>
              <w:top w:val="nil"/>
              <w:left w:val="nil"/>
              <w:bottom w:val="single" w:sz="4" w:space="0" w:color="auto"/>
              <w:right w:val="single" w:sz="4" w:space="0" w:color="auto"/>
            </w:tcBorders>
            <w:shd w:val="clear" w:color="auto" w:fill="auto"/>
            <w:noWrap/>
            <w:vAlign w:val="bottom"/>
            <w:hideMark/>
          </w:tcPr>
          <w:p w14:paraId="3E2DC0E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4 838,3 </w:t>
            </w:r>
          </w:p>
        </w:tc>
        <w:tc>
          <w:tcPr>
            <w:tcW w:w="1359" w:type="dxa"/>
            <w:tcBorders>
              <w:top w:val="nil"/>
              <w:left w:val="nil"/>
              <w:bottom w:val="single" w:sz="4" w:space="0" w:color="auto"/>
              <w:right w:val="single" w:sz="4" w:space="0" w:color="auto"/>
            </w:tcBorders>
            <w:shd w:val="clear" w:color="auto" w:fill="auto"/>
            <w:vAlign w:val="bottom"/>
            <w:hideMark/>
          </w:tcPr>
          <w:p w14:paraId="7C4DA65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106,6 </w:t>
            </w:r>
          </w:p>
        </w:tc>
        <w:tc>
          <w:tcPr>
            <w:tcW w:w="1359" w:type="dxa"/>
            <w:tcBorders>
              <w:top w:val="nil"/>
              <w:left w:val="nil"/>
              <w:bottom w:val="single" w:sz="4" w:space="0" w:color="auto"/>
              <w:right w:val="double" w:sz="6" w:space="0" w:color="auto"/>
            </w:tcBorders>
            <w:shd w:val="clear" w:color="auto" w:fill="auto"/>
            <w:vAlign w:val="bottom"/>
            <w:hideMark/>
          </w:tcPr>
          <w:p w14:paraId="49F27A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115,6 </w:t>
            </w:r>
          </w:p>
        </w:tc>
      </w:tr>
      <w:tr w:rsidR="00A53AD7" w:rsidRPr="00A53AD7" w14:paraId="23CB148E" w14:textId="77777777" w:rsidTr="00BA5523">
        <w:trPr>
          <w:trHeight w:val="641"/>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6A90A8B0"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 взимаемый в связи с применением упрощенной системы налогообложения</w:t>
            </w:r>
          </w:p>
        </w:tc>
        <w:tc>
          <w:tcPr>
            <w:tcW w:w="1261" w:type="dxa"/>
            <w:tcBorders>
              <w:top w:val="nil"/>
              <w:left w:val="nil"/>
              <w:bottom w:val="single" w:sz="4" w:space="0" w:color="auto"/>
              <w:right w:val="single" w:sz="4" w:space="0" w:color="auto"/>
            </w:tcBorders>
            <w:shd w:val="clear" w:color="auto" w:fill="auto"/>
            <w:noWrap/>
            <w:vAlign w:val="bottom"/>
            <w:hideMark/>
          </w:tcPr>
          <w:p w14:paraId="4AA45CC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3 248,0 </w:t>
            </w:r>
          </w:p>
        </w:tc>
        <w:tc>
          <w:tcPr>
            <w:tcW w:w="1240" w:type="dxa"/>
            <w:tcBorders>
              <w:top w:val="nil"/>
              <w:left w:val="nil"/>
              <w:bottom w:val="single" w:sz="4" w:space="0" w:color="auto"/>
              <w:right w:val="single" w:sz="4" w:space="0" w:color="auto"/>
            </w:tcBorders>
            <w:shd w:val="clear" w:color="auto" w:fill="auto"/>
            <w:noWrap/>
            <w:vAlign w:val="bottom"/>
            <w:hideMark/>
          </w:tcPr>
          <w:p w14:paraId="1E87126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3 670,0 </w:t>
            </w:r>
          </w:p>
        </w:tc>
        <w:tc>
          <w:tcPr>
            <w:tcW w:w="1261" w:type="dxa"/>
            <w:tcBorders>
              <w:top w:val="nil"/>
              <w:left w:val="nil"/>
              <w:bottom w:val="single" w:sz="4" w:space="0" w:color="auto"/>
              <w:right w:val="single" w:sz="4" w:space="0" w:color="auto"/>
            </w:tcBorders>
            <w:shd w:val="clear" w:color="auto" w:fill="auto"/>
            <w:noWrap/>
            <w:vAlign w:val="bottom"/>
            <w:hideMark/>
          </w:tcPr>
          <w:p w14:paraId="3EDA05C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3 712,9 </w:t>
            </w:r>
          </w:p>
        </w:tc>
        <w:tc>
          <w:tcPr>
            <w:tcW w:w="1359" w:type="dxa"/>
            <w:tcBorders>
              <w:top w:val="nil"/>
              <w:left w:val="nil"/>
              <w:bottom w:val="single" w:sz="4" w:space="0" w:color="auto"/>
              <w:right w:val="single" w:sz="4" w:space="0" w:color="auto"/>
            </w:tcBorders>
            <w:shd w:val="clear" w:color="auto" w:fill="auto"/>
            <w:vAlign w:val="bottom"/>
            <w:hideMark/>
          </w:tcPr>
          <w:p w14:paraId="4D1BC57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101,2 </w:t>
            </w:r>
          </w:p>
        </w:tc>
        <w:tc>
          <w:tcPr>
            <w:tcW w:w="1359" w:type="dxa"/>
            <w:tcBorders>
              <w:top w:val="nil"/>
              <w:left w:val="nil"/>
              <w:bottom w:val="single" w:sz="4" w:space="0" w:color="auto"/>
              <w:right w:val="double" w:sz="6" w:space="0" w:color="auto"/>
            </w:tcBorders>
            <w:shd w:val="clear" w:color="auto" w:fill="auto"/>
            <w:vAlign w:val="bottom"/>
            <w:hideMark/>
          </w:tcPr>
          <w:p w14:paraId="3D73F00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114,3 </w:t>
            </w:r>
          </w:p>
        </w:tc>
      </w:tr>
      <w:tr w:rsidR="00A53AD7" w:rsidRPr="00A53AD7" w14:paraId="3D2F3D40" w14:textId="77777777" w:rsidTr="00FF2E91">
        <w:trPr>
          <w:trHeight w:val="160"/>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40E05C49"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Налоги на имущество</w:t>
            </w:r>
          </w:p>
        </w:tc>
        <w:tc>
          <w:tcPr>
            <w:tcW w:w="1261" w:type="dxa"/>
            <w:tcBorders>
              <w:top w:val="nil"/>
              <w:left w:val="nil"/>
              <w:bottom w:val="single" w:sz="4" w:space="0" w:color="auto"/>
              <w:right w:val="single" w:sz="4" w:space="0" w:color="auto"/>
            </w:tcBorders>
            <w:shd w:val="clear" w:color="auto" w:fill="auto"/>
            <w:noWrap/>
            <w:vAlign w:val="bottom"/>
            <w:hideMark/>
          </w:tcPr>
          <w:p w14:paraId="7A4128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9 204,2 </w:t>
            </w:r>
          </w:p>
        </w:tc>
        <w:tc>
          <w:tcPr>
            <w:tcW w:w="1240" w:type="dxa"/>
            <w:tcBorders>
              <w:top w:val="nil"/>
              <w:left w:val="nil"/>
              <w:bottom w:val="single" w:sz="4" w:space="0" w:color="auto"/>
              <w:right w:val="single" w:sz="4" w:space="0" w:color="auto"/>
            </w:tcBorders>
            <w:shd w:val="clear" w:color="auto" w:fill="auto"/>
            <w:noWrap/>
            <w:vAlign w:val="bottom"/>
            <w:hideMark/>
          </w:tcPr>
          <w:p w14:paraId="30AA31C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9 274,4 </w:t>
            </w:r>
          </w:p>
        </w:tc>
        <w:tc>
          <w:tcPr>
            <w:tcW w:w="1261" w:type="dxa"/>
            <w:tcBorders>
              <w:top w:val="nil"/>
              <w:left w:val="nil"/>
              <w:bottom w:val="single" w:sz="4" w:space="0" w:color="auto"/>
              <w:right w:val="single" w:sz="4" w:space="0" w:color="auto"/>
            </w:tcBorders>
            <w:shd w:val="clear" w:color="auto" w:fill="auto"/>
            <w:noWrap/>
            <w:vAlign w:val="bottom"/>
            <w:hideMark/>
          </w:tcPr>
          <w:p w14:paraId="0C45261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9 269,6 </w:t>
            </w:r>
          </w:p>
        </w:tc>
        <w:tc>
          <w:tcPr>
            <w:tcW w:w="1359" w:type="dxa"/>
            <w:tcBorders>
              <w:top w:val="nil"/>
              <w:left w:val="nil"/>
              <w:bottom w:val="single" w:sz="4" w:space="0" w:color="auto"/>
              <w:right w:val="single" w:sz="4" w:space="0" w:color="auto"/>
            </w:tcBorders>
            <w:shd w:val="clear" w:color="auto" w:fill="auto"/>
            <w:vAlign w:val="bottom"/>
            <w:hideMark/>
          </w:tcPr>
          <w:p w14:paraId="53D2348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1359" w:type="dxa"/>
            <w:tcBorders>
              <w:top w:val="nil"/>
              <w:left w:val="nil"/>
              <w:bottom w:val="single" w:sz="4" w:space="0" w:color="auto"/>
              <w:right w:val="double" w:sz="6" w:space="0" w:color="auto"/>
            </w:tcBorders>
            <w:shd w:val="clear" w:color="auto" w:fill="auto"/>
            <w:vAlign w:val="bottom"/>
            <w:hideMark/>
          </w:tcPr>
          <w:p w14:paraId="42366E3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100,7 </w:t>
            </w:r>
          </w:p>
        </w:tc>
      </w:tr>
      <w:tr w:rsidR="00A53AD7" w:rsidRPr="00A53AD7" w14:paraId="08D2B1F6" w14:textId="77777777" w:rsidTr="00BA5523">
        <w:trPr>
          <w:trHeight w:val="685"/>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584D9119"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Налоги, сборы и регулярные платежи за пользование природными ресурсами</w:t>
            </w:r>
          </w:p>
        </w:tc>
        <w:tc>
          <w:tcPr>
            <w:tcW w:w="1261" w:type="dxa"/>
            <w:tcBorders>
              <w:top w:val="nil"/>
              <w:left w:val="nil"/>
              <w:bottom w:val="single" w:sz="4" w:space="0" w:color="auto"/>
              <w:right w:val="single" w:sz="4" w:space="0" w:color="auto"/>
            </w:tcBorders>
            <w:shd w:val="clear" w:color="auto" w:fill="auto"/>
            <w:noWrap/>
            <w:vAlign w:val="bottom"/>
            <w:hideMark/>
          </w:tcPr>
          <w:p w14:paraId="32C4458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3 224,8 </w:t>
            </w:r>
          </w:p>
        </w:tc>
        <w:tc>
          <w:tcPr>
            <w:tcW w:w="1240" w:type="dxa"/>
            <w:tcBorders>
              <w:top w:val="nil"/>
              <w:left w:val="nil"/>
              <w:bottom w:val="single" w:sz="4" w:space="0" w:color="auto"/>
              <w:right w:val="single" w:sz="4" w:space="0" w:color="auto"/>
            </w:tcBorders>
            <w:shd w:val="clear" w:color="auto" w:fill="auto"/>
            <w:noWrap/>
            <w:vAlign w:val="bottom"/>
            <w:hideMark/>
          </w:tcPr>
          <w:p w14:paraId="2EACE10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3 273,5 </w:t>
            </w:r>
          </w:p>
        </w:tc>
        <w:tc>
          <w:tcPr>
            <w:tcW w:w="1261" w:type="dxa"/>
            <w:tcBorders>
              <w:top w:val="nil"/>
              <w:left w:val="nil"/>
              <w:bottom w:val="single" w:sz="4" w:space="0" w:color="auto"/>
              <w:right w:val="single" w:sz="4" w:space="0" w:color="auto"/>
            </w:tcBorders>
            <w:shd w:val="clear" w:color="auto" w:fill="auto"/>
            <w:noWrap/>
            <w:vAlign w:val="bottom"/>
            <w:hideMark/>
          </w:tcPr>
          <w:p w14:paraId="39429DB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3 505,5 </w:t>
            </w:r>
          </w:p>
        </w:tc>
        <w:tc>
          <w:tcPr>
            <w:tcW w:w="1359" w:type="dxa"/>
            <w:tcBorders>
              <w:top w:val="nil"/>
              <w:left w:val="nil"/>
              <w:bottom w:val="single" w:sz="4" w:space="0" w:color="auto"/>
              <w:right w:val="single" w:sz="4" w:space="0" w:color="auto"/>
            </w:tcBorders>
            <w:shd w:val="clear" w:color="auto" w:fill="auto"/>
            <w:vAlign w:val="bottom"/>
            <w:hideMark/>
          </w:tcPr>
          <w:p w14:paraId="4BA9683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107,1 </w:t>
            </w:r>
          </w:p>
        </w:tc>
        <w:tc>
          <w:tcPr>
            <w:tcW w:w="1359" w:type="dxa"/>
            <w:tcBorders>
              <w:top w:val="nil"/>
              <w:left w:val="nil"/>
              <w:bottom w:val="single" w:sz="4" w:space="0" w:color="auto"/>
              <w:right w:val="double" w:sz="6" w:space="0" w:color="auto"/>
            </w:tcBorders>
            <w:shd w:val="clear" w:color="auto" w:fill="auto"/>
            <w:vAlign w:val="bottom"/>
            <w:hideMark/>
          </w:tcPr>
          <w:p w14:paraId="3D0F238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108,7 </w:t>
            </w:r>
          </w:p>
        </w:tc>
      </w:tr>
      <w:tr w:rsidR="00A53AD7" w:rsidRPr="00A53AD7" w14:paraId="4FF5EDA0" w14:textId="77777777" w:rsidTr="00FF2E91">
        <w:trPr>
          <w:trHeight w:val="118"/>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1601DB86"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Государственная пошлина</w:t>
            </w:r>
          </w:p>
        </w:tc>
        <w:tc>
          <w:tcPr>
            <w:tcW w:w="1261" w:type="dxa"/>
            <w:tcBorders>
              <w:top w:val="nil"/>
              <w:left w:val="nil"/>
              <w:bottom w:val="single" w:sz="4" w:space="0" w:color="auto"/>
              <w:right w:val="single" w:sz="4" w:space="0" w:color="auto"/>
            </w:tcBorders>
            <w:shd w:val="clear" w:color="auto" w:fill="auto"/>
            <w:noWrap/>
            <w:vAlign w:val="bottom"/>
            <w:hideMark/>
          </w:tcPr>
          <w:p w14:paraId="604F5D2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161,3 </w:t>
            </w:r>
          </w:p>
        </w:tc>
        <w:tc>
          <w:tcPr>
            <w:tcW w:w="1240" w:type="dxa"/>
            <w:tcBorders>
              <w:top w:val="nil"/>
              <w:left w:val="nil"/>
              <w:bottom w:val="single" w:sz="4" w:space="0" w:color="auto"/>
              <w:right w:val="single" w:sz="4" w:space="0" w:color="auto"/>
            </w:tcBorders>
            <w:shd w:val="clear" w:color="auto" w:fill="auto"/>
            <w:noWrap/>
            <w:vAlign w:val="bottom"/>
            <w:hideMark/>
          </w:tcPr>
          <w:p w14:paraId="5FB560D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160,0 </w:t>
            </w:r>
          </w:p>
        </w:tc>
        <w:tc>
          <w:tcPr>
            <w:tcW w:w="1261" w:type="dxa"/>
            <w:tcBorders>
              <w:top w:val="nil"/>
              <w:left w:val="nil"/>
              <w:bottom w:val="single" w:sz="4" w:space="0" w:color="auto"/>
              <w:right w:val="single" w:sz="4" w:space="0" w:color="auto"/>
            </w:tcBorders>
            <w:shd w:val="clear" w:color="auto" w:fill="auto"/>
            <w:noWrap/>
            <w:vAlign w:val="bottom"/>
            <w:hideMark/>
          </w:tcPr>
          <w:p w14:paraId="4C519A88" w14:textId="6D11B196" w:rsidR="00D01D81" w:rsidRPr="00A53AD7" w:rsidRDefault="00992DCD"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160,6</w:t>
            </w:r>
          </w:p>
        </w:tc>
        <w:tc>
          <w:tcPr>
            <w:tcW w:w="1359" w:type="dxa"/>
            <w:tcBorders>
              <w:top w:val="nil"/>
              <w:left w:val="nil"/>
              <w:bottom w:val="single" w:sz="4" w:space="0" w:color="auto"/>
              <w:right w:val="single" w:sz="4" w:space="0" w:color="auto"/>
            </w:tcBorders>
            <w:shd w:val="clear" w:color="auto" w:fill="auto"/>
            <w:vAlign w:val="bottom"/>
            <w:hideMark/>
          </w:tcPr>
          <w:p w14:paraId="71A23F9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100,4 </w:t>
            </w:r>
          </w:p>
        </w:tc>
        <w:tc>
          <w:tcPr>
            <w:tcW w:w="1359" w:type="dxa"/>
            <w:tcBorders>
              <w:top w:val="nil"/>
              <w:left w:val="nil"/>
              <w:bottom w:val="single" w:sz="4" w:space="0" w:color="auto"/>
              <w:right w:val="double" w:sz="6" w:space="0" w:color="auto"/>
            </w:tcBorders>
            <w:shd w:val="clear" w:color="auto" w:fill="auto"/>
            <w:vAlign w:val="bottom"/>
            <w:hideMark/>
          </w:tcPr>
          <w:p w14:paraId="786EDBD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-0,4 </w:t>
            </w:r>
          </w:p>
        </w:tc>
      </w:tr>
      <w:tr w:rsidR="00A53AD7" w:rsidRPr="00A53AD7" w14:paraId="749FF1FD" w14:textId="77777777" w:rsidTr="00BA5523">
        <w:trPr>
          <w:trHeight w:val="984"/>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28A9F775"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Задолженность и перерасчеты по отмененным налогам, сборам и иным обязательствам</w:t>
            </w:r>
          </w:p>
        </w:tc>
        <w:tc>
          <w:tcPr>
            <w:tcW w:w="1261" w:type="dxa"/>
            <w:tcBorders>
              <w:top w:val="nil"/>
              <w:left w:val="nil"/>
              <w:bottom w:val="single" w:sz="4" w:space="0" w:color="auto"/>
              <w:right w:val="single" w:sz="4" w:space="0" w:color="auto"/>
            </w:tcBorders>
            <w:shd w:val="clear" w:color="auto" w:fill="auto"/>
            <w:noWrap/>
            <w:vAlign w:val="bottom"/>
            <w:hideMark/>
          </w:tcPr>
          <w:p w14:paraId="1B86FF4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w:t>
            </w:r>
          </w:p>
        </w:tc>
        <w:tc>
          <w:tcPr>
            <w:tcW w:w="1240" w:type="dxa"/>
            <w:tcBorders>
              <w:top w:val="nil"/>
              <w:left w:val="nil"/>
              <w:bottom w:val="single" w:sz="4" w:space="0" w:color="auto"/>
              <w:right w:val="single" w:sz="4" w:space="0" w:color="auto"/>
            </w:tcBorders>
            <w:shd w:val="clear" w:color="auto" w:fill="auto"/>
            <w:noWrap/>
            <w:vAlign w:val="bottom"/>
            <w:hideMark/>
          </w:tcPr>
          <w:p w14:paraId="24FCDE8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61" w:type="dxa"/>
            <w:tcBorders>
              <w:top w:val="nil"/>
              <w:left w:val="nil"/>
              <w:bottom w:val="single" w:sz="4" w:space="0" w:color="auto"/>
              <w:right w:val="single" w:sz="4" w:space="0" w:color="auto"/>
            </w:tcBorders>
            <w:shd w:val="clear" w:color="auto" w:fill="auto"/>
            <w:noWrap/>
            <w:vAlign w:val="bottom"/>
            <w:hideMark/>
          </w:tcPr>
          <w:p w14:paraId="13F0B0D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359" w:type="dxa"/>
            <w:tcBorders>
              <w:top w:val="nil"/>
              <w:left w:val="nil"/>
              <w:bottom w:val="single" w:sz="4" w:space="0" w:color="auto"/>
              <w:right w:val="single" w:sz="4" w:space="0" w:color="auto"/>
            </w:tcBorders>
            <w:shd w:val="clear" w:color="auto" w:fill="auto"/>
            <w:vAlign w:val="bottom"/>
            <w:hideMark/>
          </w:tcPr>
          <w:p w14:paraId="13BBED0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1359" w:type="dxa"/>
            <w:tcBorders>
              <w:top w:val="nil"/>
              <w:left w:val="nil"/>
              <w:bottom w:val="single" w:sz="4" w:space="0" w:color="auto"/>
              <w:right w:val="double" w:sz="6" w:space="0" w:color="auto"/>
            </w:tcBorders>
            <w:shd w:val="clear" w:color="auto" w:fill="auto"/>
            <w:vAlign w:val="bottom"/>
            <w:hideMark/>
          </w:tcPr>
          <w:p w14:paraId="2B805093" w14:textId="30B3346B" w:rsidR="00D01D81" w:rsidRPr="00A53AD7" w:rsidRDefault="00992DCD" w:rsidP="00992DC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r w:rsidR="00D01D81" w:rsidRPr="00A53AD7">
              <w:rPr>
                <w:rFonts w:ascii="Times New Roman" w:eastAsia="Times New Roman" w:hAnsi="Times New Roman"/>
                <w:lang w:eastAsia="ru-RU"/>
              </w:rPr>
              <w:t xml:space="preserve"> </w:t>
            </w:r>
          </w:p>
        </w:tc>
      </w:tr>
      <w:tr w:rsidR="00A53AD7" w:rsidRPr="00A53AD7" w14:paraId="36FCE505" w14:textId="77777777" w:rsidTr="00BA5523">
        <w:trPr>
          <w:trHeight w:val="1112"/>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371367E7"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 от использования имущества, находящегося в государственной и муниципальной собственности</w:t>
            </w:r>
          </w:p>
        </w:tc>
        <w:tc>
          <w:tcPr>
            <w:tcW w:w="1261" w:type="dxa"/>
            <w:tcBorders>
              <w:top w:val="nil"/>
              <w:left w:val="nil"/>
              <w:bottom w:val="single" w:sz="4" w:space="0" w:color="auto"/>
              <w:right w:val="single" w:sz="4" w:space="0" w:color="auto"/>
            </w:tcBorders>
            <w:shd w:val="clear" w:color="auto" w:fill="auto"/>
            <w:noWrap/>
            <w:vAlign w:val="bottom"/>
            <w:hideMark/>
          </w:tcPr>
          <w:p w14:paraId="7E85DF7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47,4 </w:t>
            </w:r>
          </w:p>
        </w:tc>
        <w:tc>
          <w:tcPr>
            <w:tcW w:w="1240" w:type="dxa"/>
            <w:tcBorders>
              <w:top w:val="nil"/>
              <w:left w:val="nil"/>
              <w:bottom w:val="single" w:sz="4" w:space="0" w:color="auto"/>
              <w:right w:val="single" w:sz="4" w:space="0" w:color="auto"/>
            </w:tcBorders>
            <w:shd w:val="clear" w:color="auto" w:fill="auto"/>
            <w:noWrap/>
            <w:vAlign w:val="bottom"/>
            <w:hideMark/>
          </w:tcPr>
          <w:p w14:paraId="70DA83D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55,4 </w:t>
            </w:r>
          </w:p>
        </w:tc>
        <w:tc>
          <w:tcPr>
            <w:tcW w:w="1261" w:type="dxa"/>
            <w:tcBorders>
              <w:top w:val="nil"/>
              <w:left w:val="nil"/>
              <w:bottom w:val="single" w:sz="4" w:space="0" w:color="auto"/>
              <w:right w:val="single" w:sz="4" w:space="0" w:color="auto"/>
            </w:tcBorders>
            <w:shd w:val="clear" w:color="auto" w:fill="auto"/>
            <w:noWrap/>
            <w:vAlign w:val="bottom"/>
            <w:hideMark/>
          </w:tcPr>
          <w:p w14:paraId="0A009E2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61,3 </w:t>
            </w:r>
          </w:p>
        </w:tc>
        <w:tc>
          <w:tcPr>
            <w:tcW w:w="1359" w:type="dxa"/>
            <w:tcBorders>
              <w:top w:val="nil"/>
              <w:left w:val="nil"/>
              <w:bottom w:val="single" w:sz="4" w:space="0" w:color="auto"/>
              <w:right w:val="single" w:sz="4" w:space="0" w:color="auto"/>
            </w:tcBorders>
            <w:shd w:val="clear" w:color="auto" w:fill="auto"/>
            <w:vAlign w:val="bottom"/>
            <w:hideMark/>
          </w:tcPr>
          <w:p w14:paraId="54C0304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110,6 </w:t>
            </w:r>
          </w:p>
        </w:tc>
        <w:tc>
          <w:tcPr>
            <w:tcW w:w="1359" w:type="dxa"/>
            <w:tcBorders>
              <w:top w:val="nil"/>
              <w:left w:val="nil"/>
              <w:bottom w:val="single" w:sz="4" w:space="0" w:color="auto"/>
              <w:right w:val="double" w:sz="6" w:space="0" w:color="auto"/>
            </w:tcBorders>
            <w:shd w:val="clear" w:color="auto" w:fill="auto"/>
            <w:vAlign w:val="bottom"/>
            <w:hideMark/>
          </w:tcPr>
          <w:p w14:paraId="6C092C7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129,2 </w:t>
            </w:r>
          </w:p>
        </w:tc>
      </w:tr>
      <w:tr w:rsidR="00A53AD7" w:rsidRPr="00A53AD7" w14:paraId="7704C7D6" w14:textId="77777777" w:rsidTr="00BA5523">
        <w:trPr>
          <w:trHeight w:val="521"/>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1EEAC56A"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Платежи при пользовании природными ресурсами</w:t>
            </w:r>
          </w:p>
        </w:tc>
        <w:tc>
          <w:tcPr>
            <w:tcW w:w="1261" w:type="dxa"/>
            <w:tcBorders>
              <w:top w:val="nil"/>
              <w:left w:val="nil"/>
              <w:bottom w:val="single" w:sz="4" w:space="0" w:color="auto"/>
              <w:right w:val="single" w:sz="4" w:space="0" w:color="auto"/>
            </w:tcBorders>
            <w:shd w:val="clear" w:color="auto" w:fill="auto"/>
            <w:noWrap/>
            <w:vAlign w:val="bottom"/>
            <w:hideMark/>
          </w:tcPr>
          <w:p w14:paraId="2FA429C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944,3 </w:t>
            </w:r>
          </w:p>
        </w:tc>
        <w:tc>
          <w:tcPr>
            <w:tcW w:w="1240" w:type="dxa"/>
            <w:tcBorders>
              <w:top w:val="nil"/>
              <w:left w:val="nil"/>
              <w:bottom w:val="single" w:sz="4" w:space="0" w:color="auto"/>
              <w:right w:val="single" w:sz="4" w:space="0" w:color="auto"/>
            </w:tcBorders>
            <w:shd w:val="clear" w:color="auto" w:fill="auto"/>
            <w:noWrap/>
            <w:vAlign w:val="bottom"/>
            <w:hideMark/>
          </w:tcPr>
          <w:p w14:paraId="47E2BE6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1 143,6 </w:t>
            </w:r>
          </w:p>
        </w:tc>
        <w:tc>
          <w:tcPr>
            <w:tcW w:w="1261" w:type="dxa"/>
            <w:tcBorders>
              <w:top w:val="nil"/>
              <w:left w:val="nil"/>
              <w:bottom w:val="single" w:sz="4" w:space="0" w:color="auto"/>
              <w:right w:val="single" w:sz="4" w:space="0" w:color="auto"/>
            </w:tcBorders>
            <w:shd w:val="clear" w:color="auto" w:fill="auto"/>
            <w:noWrap/>
            <w:vAlign w:val="bottom"/>
            <w:hideMark/>
          </w:tcPr>
          <w:p w14:paraId="60B082B0" w14:textId="233E4B59" w:rsidR="00D01D81" w:rsidRPr="00A53AD7" w:rsidRDefault="00992DCD"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1 128,1</w:t>
            </w:r>
          </w:p>
        </w:tc>
        <w:tc>
          <w:tcPr>
            <w:tcW w:w="1359" w:type="dxa"/>
            <w:tcBorders>
              <w:top w:val="nil"/>
              <w:left w:val="nil"/>
              <w:bottom w:val="single" w:sz="4" w:space="0" w:color="auto"/>
              <w:right w:val="single" w:sz="4" w:space="0" w:color="auto"/>
            </w:tcBorders>
            <w:shd w:val="clear" w:color="auto" w:fill="auto"/>
            <w:vAlign w:val="bottom"/>
            <w:hideMark/>
          </w:tcPr>
          <w:p w14:paraId="6E92760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w:t>
            </w:r>
          </w:p>
        </w:tc>
        <w:tc>
          <w:tcPr>
            <w:tcW w:w="1359" w:type="dxa"/>
            <w:tcBorders>
              <w:top w:val="nil"/>
              <w:left w:val="nil"/>
              <w:bottom w:val="single" w:sz="4" w:space="0" w:color="auto"/>
              <w:right w:val="double" w:sz="6" w:space="0" w:color="auto"/>
            </w:tcBorders>
            <w:shd w:val="clear" w:color="auto" w:fill="auto"/>
            <w:vAlign w:val="bottom"/>
            <w:hideMark/>
          </w:tcPr>
          <w:p w14:paraId="03C6A71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119,5 </w:t>
            </w:r>
          </w:p>
        </w:tc>
      </w:tr>
      <w:tr w:rsidR="00A53AD7" w:rsidRPr="00A53AD7" w14:paraId="7103CAAD" w14:textId="77777777" w:rsidTr="00BA5523">
        <w:trPr>
          <w:trHeight w:val="712"/>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0D735C93"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 от оказания платных услуг (работ) и компенсации затрат государства</w:t>
            </w:r>
          </w:p>
        </w:tc>
        <w:tc>
          <w:tcPr>
            <w:tcW w:w="1261" w:type="dxa"/>
            <w:tcBorders>
              <w:top w:val="nil"/>
              <w:left w:val="nil"/>
              <w:bottom w:val="single" w:sz="4" w:space="0" w:color="auto"/>
              <w:right w:val="single" w:sz="4" w:space="0" w:color="auto"/>
            </w:tcBorders>
            <w:shd w:val="clear" w:color="auto" w:fill="auto"/>
            <w:noWrap/>
            <w:vAlign w:val="bottom"/>
            <w:hideMark/>
          </w:tcPr>
          <w:p w14:paraId="1DB3226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146,5 </w:t>
            </w:r>
          </w:p>
        </w:tc>
        <w:tc>
          <w:tcPr>
            <w:tcW w:w="1240" w:type="dxa"/>
            <w:tcBorders>
              <w:top w:val="nil"/>
              <w:left w:val="nil"/>
              <w:bottom w:val="single" w:sz="4" w:space="0" w:color="auto"/>
              <w:right w:val="single" w:sz="4" w:space="0" w:color="auto"/>
            </w:tcBorders>
            <w:shd w:val="clear" w:color="auto" w:fill="auto"/>
            <w:noWrap/>
            <w:vAlign w:val="bottom"/>
            <w:hideMark/>
          </w:tcPr>
          <w:p w14:paraId="7C3ADF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225,4 </w:t>
            </w:r>
          </w:p>
        </w:tc>
        <w:tc>
          <w:tcPr>
            <w:tcW w:w="1261" w:type="dxa"/>
            <w:tcBorders>
              <w:top w:val="nil"/>
              <w:left w:val="nil"/>
              <w:bottom w:val="single" w:sz="4" w:space="0" w:color="auto"/>
              <w:right w:val="single" w:sz="4" w:space="0" w:color="auto"/>
            </w:tcBorders>
            <w:shd w:val="clear" w:color="auto" w:fill="auto"/>
            <w:noWrap/>
            <w:vAlign w:val="bottom"/>
            <w:hideMark/>
          </w:tcPr>
          <w:p w14:paraId="79905F1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228,2 </w:t>
            </w:r>
          </w:p>
        </w:tc>
        <w:tc>
          <w:tcPr>
            <w:tcW w:w="1359" w:type="dxa"/>
            <w:tcBorders>
              <w:top w:val="nil"/>
              <w:left w:val="nil"/>
              <w:bottom w:val="single" w:sz="4" w:space="0" w:color="auto"/>
              <w:right w:val="single" w:sz="4" w:space="0" w:color="auto"/>
            </w:tcBorders>
            <w:shd w:val="clear" w:color="auto" w:fill="auto"/>
            <w:vAlign w:val="bottom"/>
            <w:hideMark/>
          </w:tcPr>
          <w:p w14:paraId="329CF9E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101,3 </w:t>
            </w:r>
          </w:p>
        </w:tc>
        <w:tc>
          <w:tcPr>
            <w:tcW w:w="1359" w:type="dxa"/>
            <w:tcBorders>
              <w:top w:val="nil"/>
              <w:left w:val="nil"/>
              <w:bottom w:val="single" w:sz="4" w:space="0" w:color="auto"/>
              <w:right w:val="double" w:sz="6" w:space="0" w:color="auto"/>
            </w:tcBorders>
            <w:shd w:val="clear" w:color="auto" w:fill="auto"/>
            <w:vAlign w:val="bottom"/>
            <w:hideMark/>
          </w:tcPr>
          <w:p w14:paraId="4B2BF932" w14:textId="668BE27F" w:rsidR="00D01D81" w:rsidRPr="00A53AD7" w:rsidRDefault="00D01D81" w:rsidP="001B70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1,</w:t>
            </w:r>
            <w:r w:rsidR="001B7064" w:rsidRPr="00A53AD7">
              <w:rPr>
                <w:rFonts w:ascii="Times New Roman" w:eastAsia="Times New Roman" w:hAnsi="Times New Roman"/>
                <w:lang w:eastAsia="ru-RU"/>
              </w:rPr>
              <w:t>6</w:t>
            </w:r>
            <w:r w:rsidRPr="00A53AD7">
              <w:rPr>
                <w:rFonts w:ascii="Times New Roman" w:eastAsia="Times New Roman" w:hAnsi="Times New Roman"/>
                <w:lang w:eastAsia="ru-RU"/>
              </w:rPr>
              <w:t xml:space="preserve"> раза</w:t>
            </w:r>
          </w:p>
        </w:tc>
      </w:tr>
      <w:tr w:rsidR="00A53AD7" w:rsidRPr="00A53AD7" w14:paraId="2D1C402F" w14:textId="77777777" w:rsidTr="00BA5523">
        <w:trPr>
          <w:trHeight w:val="653"/>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3983550C"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 от продажи материальных и нематериальных активов</w:t>
            </w:r>
          </w:p>
        </w:tc>
        <w:tc>
          <w:tcPr>
            <w:tcW w:w="1261" w:type="dxa"/>
            <w:tcBorders>
              <w:top w:val="nil"/>
              <w:left w:val="nil"/>
              <w:bottom w:val="single" w:sz="4" w:space="0" w:color="auto"/>
              <w:right w:val="single" w:sz="4" w:space="0" w:color="auto"/>
            </w:tcBorders>
            <w:shd w:val="clear" w:color="auto" w:fill="auto"/>
            <w:noWrap/>
            <w:vAlign w:val="bottom"/>
            <w:hideMark/>
          </w:tcPr>
          <w:p w14:paraId="7E626D1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 </w:t>
            </w:r>
          </w:p>
        </w:tc>
        <w:tc>
          <w:tcPr>
            <w:tcW w:w="1240" w:type="dxa"/>
            <w:tcBorders>
              <w:top w:val="nil"/>
              <w:left w:val="nil"/>
              <w:bottom w:val="single" w:sz="4" w:space="0" w:color="auto"/>
              <w:right w:val="single" w:sz="4" w:space="0" w:color="auto"/>
            </w:tcBorders>
            <w:shd w:val="clear" w:color="auto" w:fill="auto"/>
            <w:noWrap/>
            <w:vAlign w:val="bottom"/>
            <w:hideMark/>
          </w:tcPr>
          <w:p w14:paraId="21012E3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19,4 </w:t>
            </w:r>
          </w:p>
        </w:tc>
        <w:tc>
          <w:tcPr>
            <w:tcW w:w="1261" w:type="dxa"/>
            <w:tcBorders>
              <w:top w:val="nil"/>
              <w:left w:val="nil"/>
              <w:bottom w:val="single" w:sz="4" w:space="0" w:color="auto"/>
              <w:right w:val="single" w:sz="4" w:space="0" w:color="auto"/>
            </w:tcBorders>
            <w:shd w:val="clear" w:color="auto" w:fill="auto"/>
            <w:noWrap/>
            <w:vAlign w:val="bottom"/>
            <w:hideMark/>
          </w:tcPr>
          <w:p w14:paraId="4556691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21,1 </w:t>
            </w:r>
          </w:p>
        </w:tc>
        <w:tc>
          <w:tcPr>
            <w:tcW w:w="1359" w:type="dxa"/>
            <w:tcBorders>
              <w:top w:val="nil"/>
              <w:left w:val="nil"/>
              <w:bottom w:val="single" w:sz="4" w:space="0" w:color="auto"/>
              <w:right w:val="single" w:sz="4" w:space="0" w:color="auto"/>
            </w:tcBorders>
            <w:shd w:val="clear" w:color="auto" w:fill="auto"/>
            <w:vAlign w:val="bottom"/>
            <w:hideMark/>
          </w:tcPr>
          <w:p w14:paraId="1F0B70C7" w14:textId="77777777" w:rsidR="00D01D81" w:rsidRPr="00A53AD7" w:rsidRDefault="00D01D81" w:rsidP="00BA5523">
            <w:pPr>
              <w:spacing w:after="0" w:line="240" w:lineRule="auto"/>
              <w:ind w:left="-142"/>
              <w:jc w:val="right"/>
              <w:rPr>
                <w:rFonts w:ascii="Times New Roman" w:eastAsia="Times New Roman" w:hAnsi="Times New Roman"/>
                <w:lang w:eastAsia="ru-RU"/>
              </w:rPr>
            </w:pPr>
            <w:r w:rsidRPr="00A53AD7">
              <w:rPr>
                <w:rFonts w:ascii="Times New Roman" w:eastAsia="Times New Roman" w:hAnsi="Times New Roman"/>
                <w:lang w:eastAsia="ru-RU"/>
              </w:rPr>
              <w:t xml:space="preserve">109,3 </w:t>
            </w:r>
          </w:p>
        </w:tc>
        <w:tc>
          <w:tcPr>
            <w:tcW w:w="1359" w:type="dxa"/>
            <w:tcBorders>
              <w:top w:val="nil"/>
              <w:left w:val="nil"/>
              <w:bottom w:val="single" w:sz="4" w:space="0" w:color="auto"/>
              <w:right w:val="double" w:sz="6" w:space="0" w:color="auto"/>
            </w:tcBorders>
            <w:shd w:val="clear" w:color="auto" w:fill="auto"/>
            <w:vAlign w:val="bottom"/>
            <w:hideMark/>
          </w:tcPr>
          <w:p w14:paraId="14F243B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3,3 раза</w:t>
            </w:r>
          </w:p>
        </w:tc>
      </w:tr>
      <w:tr w:rsidR="00A53AD7" w:rsidRPr="00A53AD7" w14:paraId="3B0513EB" w14:textId="77777777" w:rsidTr="00BA5523">
        <w:trPr>
          <w:trHeight w:val="451"/>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2FD72537"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Административные платежи и сборы</w:t>
            </w:r>
          </w:p>
        </w:tc>
        <w:tc>
          <w:tcPr>
            <w:tcW w:w="1261" w:type="dxa"/>
            <w:tcBorders>
              <w:top w:val="nil"/>
              <w:left w:val="nil"/>
              <w:bottom w:val="single" w:sz="4" w:space="0" w:color="auto"/>
              <w:right w:val="single" w:sz="4" w:space="0" w:color="auto"/>
            </w:tcBorders>
            <w:shd w:val="clear" w:color="auto" w:fill="auto"/>
            <w:noWrap/>
            <w:vAlign w:val="bottom"/>
            <w:hideMark/>
          </w:tcPr>
          <w:p w14:paraId="6BBB762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w:t>
            </w:r>
          </w:p>
        </w:tc>
        <w:tc>
          <w:tcPr>
            <w:tcW w:w="1240" w:type="dxa"/>
            <w:tcBorders>
              <w:top w:val="nil"/>
              <w:left w:val="nil"/>
              <w:bottom w:val="single" w:sz="4" w:space="0" w:color="auto"/>
              <w:right w:val="single" w:sz="4" w:space="0" w:color="auto"/>
            </w:tcBorders>
            <w:shd w:val="clear" w:color="auto" w:fill="auto"/>
            <w:noWrap/>
            <w:vAlign w:val="bottom"/>
            <w:hideMark/>
          </w:tcPr>
          <w:p w14:paraId="11B0F2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0,5 </w:t>
            </w:r>
          </w:p>
        </w:tc>
        <w:tc>
          <w:tcPr>
            <w:tcW w:w="1261" w:type="dxa"/>
            <w:tcBorders>
              <w:top w:val="nil"/>
              <w:left w:val="nil"/>
              <w:bottom w:val="single" w:sz="4" w:space="0" w:color="auto"/>
              <w:right w:val="single" w:sz="4" w:space="0" w:color="auto"/>
            </w:tcBorders>
            <w:shd w:val="clear" w:color="auto" w:fill="auto"/>
            <w:noWrap/>
            <w:vAlign w:val="bottom"/>
            <w:hideMark/>
          </w:tcPr>
          <w:p w14:paraId="4C47050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w:t>
            </w:r>
          </w:p>
        </w:tc>
        <w:tc>
          <w:tcPr>
            <w:tcW w:w="1359" w:type="dxa"/>
            <w:tcBorders>
              <w:top w:val="nil"/>
              <w:left w:val="nil"/>
              <w:bottom w:val="single" w:sz="4" w:space="0" w:color="auto"/>
              <w:right w:val="single" w:sz="4" w:space="0" w:color="auto"/>
            </w:tcBorders>
            <w:shd w:val="clear" w:color="auto" w:fill="auto"/>
            <w:vAlign w:val="bottom"/>
            <w:hideMark/>
          </w:tcPr>
          <w:p w14:paraId="5B99D515" w14:textId="1DEBDD2B" w:rsidR="00D01D81" w:rsidRPr="00A53AD7" w:rsidRDefault="00D01D81" w:rsidP="001B706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2,</w:t>
            </w:r>
            <w:r w:rsidR="001B7064" w:rsidRPr="00A53AD7">
              <w:rPr>
                <w:rFonts w:ascii="Times New Roman" w:eastAsia="Times New Roman" w:hAnsi="Times New Roman"/>
                <w:lang w:eastAsia="ru-RU"/>
              </w:rPr>
              <w:t>7</w:t>
            </w:r>
            <w:r w:rsidRPr="00A53AD7">
              <w:rPr>
                <w:rFonts w:ascii="Times New Roman" w:eastAsia="Times New Roman" w:hAnsi="Times New Roman"/>
                <w:lang w:eastAsia="ru-RU"/>
              </w:rPr>
              <w:t xml:space="preserve"> раза</w:t>
            </w:r>
          </w:p>
        </w:tc>
        <w:tc>
          <w:tcPr>
            <w:tcW w:w="1359" w:type="dxa"/>
            <w:tcBorders>
              <w:top w:val="nil"/>
              <w:left w:val="nil"/>
              <w:bottom w:val="single" w:sz="4" w:space="0" w:color="auto"/>
              <w:right w:val="double" w:sz="6" w:space="0" w:color="auto"/>
            </w:tcBorders>
            <w:shd w:val="clear" w:color="auto" w:fill="auto"/>
            <w:vAlign w:val="bottom"/>
            <w:hideMark/>
          </w:tcPr>
          <w:p w14:paraId="37906F2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-17,0 </w:t>
            </w:r>
          </w:p>
        </w:tc>
      </w:tr>
      <w:tr w:rsidR="00A53AD7" w:rsidRPr="00A53AD7" w14:paraId="6A14A044" w14:textId="77777777" w:rsidTr="00BA5523">
        <w:trPr>
          <w:trHeight w:val="381"/>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4CD9F5A9"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Штрафы, санкции, возмещение ущерба</w:t>
            </w:r>
          </w:p>
        </w:tc>
        <w:tc>
          <w:tcPr>
            <w:tcW w:w="1261" w:type="dxa"/>
            <w:tcBorders>
              <w:top w:val="nil"/>
              <w:left w:val="nil"/>
              <w:bottom w:val="single" w:sz="4" w:space="0" w:color="auto"/>
              <w:right w:val="single" w:sz="4" w:space="0" w:color="auto"/>
            </w:tcBorders>
            <w:shd w:val="clear" w:color="auto" w:fill="auto"/>
            <w:noWrap/>
            <w:vAlign w:val="bottom"/>
            <w:hideMark/>
          </w:tcPr>
          <w:p w14:paraId="60B245A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409,3 </w:t>
            </w:r>
          </w:p>
        </w:tc>
        <w:tc>
          <w:tcPr>
            <w:tcW w:w="1240" w:type="dxa"/>
            <w:tcBorders>
              <w:top w:val="nil"/>
              <w:left w:val="nil"/>
              <w:bottom w:val="single" w:sz="4" w:space="0" w:color="auto"/>
              <w:right w:val="single" w:sz="4" w:space="0" w:color="auto"/>
            </w:tcBorders>
            <w:shd w:val="clear" w:color="auto" w:fill="auto"/>
            <w:noWrap/>
            <w:vAlign w:val="bottom"/>
            <w:hideMark/>
          </w:tcPr>
          <w:p w14:paraId="32283CF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361,1 </w:t>
            </w:r>
          </w:p>
        </w:tc>
        <w:tc>
          <w:tcPr>
            <w:tcW w:w="1261" w:type="dxa"/>
            <w:tcBorders>
              <w:top w:val="nil"/>
              <w:left w:val="nil"/>
              <w:bottom w:val="single" w:sz="4" w:space="0" w:color="auto"/>
              <w:right w:val="single" w:sz="4" w:space="0" w:color="auto"/>
            </w:tcBorders>
            <w:shd w:val="clear" w:color="auto" w:fill="auto"/>
            <w:noWrap/>
            <w:vAlign w:val="bottom"/>
            <w:hideMark/>
          </w:tcPr>
          <w:p w14:paraId="4CB89DC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409,0 </w:t>
            </w:r>
          </w:p>
        </w:tc>
        <w:tc>
          <w:tcPr>
            <w:tcW w:w="1359" w:type="dxa"/>
            <w:tcBorders>
              <w:top w:val="nil"/>
              <w:left w:val="nil"/>
              <w:bottom w:val="single" w:sz="4" w:space="0" w:color="auto"/>
              <w:right w:val="single" w:sz="4" w:space="0" w:color="auto"/>
            </w:tcBorders>
            <w:shd w:val="clear" w:color="auto" w:fill="auto"/>
            <w:vAlign w:val="bottom"/>
            <w:hideMark/>
          </w:tcPr>
          <w:p w14:paraId="6189123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113,3 </w:t>
            </w:r>
          </w:p>
        </w:tc>
        <w:tc>
          <w:tcPr>
            <w:tcW w:w="1359" w:type="dxa"/>
            <w:tcBorders>
              <w:top w:val="nil"/>
              <w:left w:val="nil"/>
              <w:bottom w:val="single" w:sz="4" w:space="0" w:color="auto"/>
              <w:right w:val="double" w:sz="6" w:space="0" w:color="auto"/>
            </w:tcBorders>
            <w:shd w:val="clear" w:color="auto" w:fill="auto"/>
            <w:vAlign w:val="bottom"/>
            <w:hideMark/>
          </w:tcPr>
          <w:p w14:paraId="628D842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r>
      <w:tr w:rsidR="00A53AD7" w:rsidRPr="00A53AD7" w14:paraId="414B84CF" w14:textId="77777777" w:rsidTr="001B7064">
        <w:trPr>
          <w:trHeight w:val="174"/>
        </w:trPr>
        <w:tc>
          <w:tcPr>
            <w:tcW w:w="2977" w:type="dxa"/>
            <w:tcBorders>
              <w:top w:val="nil"/>
              <w:left w:val="double" w:sz="6" w:space="0" w:color="auto"/>
              <w:bottom w:val="single" w:sz="4" w:space="0" w:color="auto"/>
              <w:right w:val="single" w:sz="4" w:space="0" w:color="auto"/>
            </w:tcBorders>
            <w:shd w:val="clear" w:color="auto" w:fill="auto"/>
            <w:vAlign w:val="bottom"/>
            <w:hideMark/>
          </w:tcPr>
          <w:p w14:paraId="34553C73"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Прочие неналоговые доходы</w:t>
            </w:r>
          </w:p>
        </w:tc>
        <w:tc>
          <w:tcPr>
            <w:tcW w:w="1261" w:type="dxa"/>
            <w:tcBorders>
              <w:top w:val="nil"/>
              <w:left w:val="nil"/>
              <w:bottom w:val="single" w:sz="4" w:space="0" w:color="auto"/>
              <w:right w:val="single" w:sz="4" w:space="0" w:color="auto"/>
            </w:tcBorders>
            <w:shd w:val="clear" w:color="auto" w:fill="auto"/>
            <w:noWrap/>
            <w:vAlign w:val="bottom"/>
            <w:hideMark/>
          </w:tcPr>
          <w:p w14:paraId="44FCE94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 </w:t>
            </w:r>
          </w:p>
        </w:tc>
        <w:tc>
          <w:tcPr>
            <w:tcW w:w="1240" w:type="dxa"/>
            <w:tcBorders>
              <w:top w:val="nil"/>
              <w:left w:val="nil"/>
              <w:bottom w:val="single" w:sz="4" w:space="0" w:color="auto"/>
              <w:right w:val="single" w:sz="4" w:space="0" w:color="auto"/>
            </w:tcBorders>
            <w:shd w:val="clear" w:color="auto" w:fill="auto"/>
            <w:noWrap/>
            <w:vAlign w:val="bottom"/>
            <w:hideMark/>
          </w:tcPr>
          <w:p w14:paraId="358D6EE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61" w:type="dxa"/>
            <w:tcBorders>
              <w:top w:val="nil"/>
              <w:left w:val="nil"/>
              <w:bottom w:val="single" w:sz="4" w:space="0" w:color="auto"/>
              <w:right w:val="single" w:sz="4" w:space="0" w:color="auto"/>
            </w:tcBorders>
            <w:shd w:val="clear" w:color="auto" w:fill="auto"/>
            <w:noWrap/>
            <w:vAlign w:val="bottom"/>
            <w:hideMark/>
          </w:tcPr>
          <w:p w14:paraId="0DE388C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1359" w:type="dxa"/>
            <w:tcBorders>
              <w:top w:val="nil"/>
              <w:left w:val="nil"/>
              <w:bottom w:val="single" w:sz="4" w:space="0" w:color="auto"/>
              <w:right w:val="single" w:sz="4" w:space="0" w:color="auto"/>
            </w:tcBorders>
            <w:shd w:val="clear" w:color="auto" w:fill="auto"/>
            <w:vAlign w:val="bottom"/>
            <w:hideMark/>
          </w:tcPr>
          <w:p w14:paraId="6D03085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c>
          <w:tcPr>
            <w:tcW w:w="1359" w:type="dxa"/>
            <w:tcBorders>
              <w:top w:val="nil"/>
              <w:left w:val="nil"/>
              <w:bottom w:val="single" w:sz="4" w:space="0" w:color="auto"/>
              <w:right w:val="double" w:sz="6" w:space="0" w:color="auto"/>
            </w:tcBorders>
            <w:shd w:val="clear" w:color="auto" w:fill="auto"/>
            <w:vAlign w:val="bottom"/>
            <w:hideMark/>
          </w:tcPr>
          <w:p w14:paraId="2864E25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-38,4 </w:t>
            </w:r>
          </w:p>
        </w:tc>
      </w:tr>
      <w:tr w:rsidR="00A53AD7" w:rsidRPr="00A53AD7" w14:paraId="07ABA9DD" w14:textId="77777777" w:rsidTr="001B7064">
        <w:trPr>
          <w:trHeight w:val="334"/>
        </w:trPr>
        <w:tc>
          <w:tcPr>
            <w:tcW w:w="2977" w:type="dxa"/>
            <w:tcBorders>
              <w:top w:val="nil"/>
              <w:left w:val="double" w:sz="6" w:space="0" w:color="auto"/>
              <w:bottom w:val="double" w:sz="6" w:space="0" w:color="auto"/>
              <w:right w:val="single" w:sz="4" w:space="0" w:color="auto"/>
            </w:tcBorders>
            <w:shd w:val="clear" w:color="auto" w:fill="auto"/>
            <w:vAlign w:val="bottom"/>
            <w:hideMark/>
          </w:tcPr>
          <w:p w14:paraId="0932E04E"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 налоговые и неналоговые доходы</w:t>
            </w:r>
          </w:p>
        </w:tc>
        <w:tc>
          <w:tcPr>
            <w:tcW w:w="1261" w:type="dxa"/>
            <w:tcBorders>
              <w:top w:val="nil"/>
              <w:left w:val="nil"/>
              <w:bottom w:val="double" w:sz="6" w:space="0" w:color="auto"/>
              <w:right w:val="single" w:sz="4" w:space="0" w:color="auto"/>
            </w:tcBorders>
            <w:shd w:val="clear" w:color="auto" w:fill="auto"/>
            <w:noWrap/>
            <w:vAlign w:val="bottom"/>
            <w:hideMark/>
          </w:tcPr>
          <w:p w14:paraId="7FD3C16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59 133,2 </w:t>
            </w:r>
          </w:p>
        </w:tc>
        <w:tc>
          <w:tcPr>
            <w:tcW w:w="1240" w:type="dxa"/>
            <w:tcBorders>
              <w:top w:val="nil"/>
              <w:left w:val="nil"/>
              <w:bottom w:val="double" w:sz="6" w:space="0" w:color="auto"/>
              <w:right w:val="single" w:sz="4" w:space="0" w:color="auto"/>
            </w:tcBorders>
            <w:shd w:val="clear" w:color="auto" w:fill="auto"/>
            <w:noWrap/>
            <w:vAlign w:val="bottom"/>
            <w:hideMark/>
          </w:tcPr>
          <w:p w14:paraId="79AFD85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60 862,4 </w:t>
            </w:r>
          </w:p>
        </w:tc>
        <w:tc>
          <w:tcPr>
            <w:tcW w:w="1261" w:type="dxa"/>
            <w:tcBorders>
              <w:top w:val="nil"/>
              <w:left w:val="nil"/>
              <w:bottom w:val="double" w:sz="6" w:space="0" w:color="auto"/>
              <w:right w:val="single" w:sz="4" w:space="0" w:color="auto"/>
            </w:tcBorders>
            <w:shd w:val="clear" w:color="auto" w:fill="auto"/>
            <w:noWrap/>
            <w:vAlign w:val="bottom"/>
            <w:hideMark/>
          </w:tcPr>
          <w:p w14:paraId="6A0C9ED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63 568,7 </w:t>
            </w:r>
          </w:p>
        </w:tc>
        <w:tc>
          <w:tcPr>
            <w:tcW w:w="1359" w:type="dxa"/>
            <w:tcBorders>
              <w:top w:val="nil"/>
              <w:left w:val="nil"/>
              <w:bottom w:val="double" w:sz="6" w:space="0" w:color="auto"/>
              <w:right w:val="single" w:sz="4" w:space="0" w:color="auto"/>
            </w:tcBorders>
            <w:shd w:val="clear" w:color="auto" w:fill="auto"/>
            <w:vAlign w:val="bottom"/>
            <w:hideMark/>
          </w:tcPr>
          <w:p w14:paraId="013647F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104,4 </w:t>
            </w:r>
          </w:p>
        </w:tc>
        <w:tc>
          <w:tcPr>
            <w:tcW w:w="1359" w:type="dxa"/>
            <w:tcBorders>
              <w:top w:val="nil"/>
              <w:left w:val="nil"/>
              <w:bottom w:val="double" w:sz="6" w:space="0" w:color="auto"/>
              <w:right w:val="double" w:sz="6" w:space="0" w:color="auto"/>
            </w:tcBorders>
            <w:shd w:val="clear" w:color="auto" w:fill="auto"/>
            <w:vAlign w:val="bottom"/>
            <w:hideMark/>
          </w:tcPr>
          <w:p w14:paraId="1A74A35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107,5 </w:t>
            </w:r>
          </w:p>
        </w:tc>
      </w:tr>
    </w:tbl>
    <w:p w14:paraId="5FA02D0E" w14:textId="77777777" w:rsidR="00D01D81" w:rsidRPr="00A53AD7" w:rsidRDefault="00D01D81" w:rsidP="00D01D81">
      <w:pPr>
        <w:spacing w:after="0" w:line="240" w:lineRule="auto"/>
        <w:ind w:firstLine="851"/>
        <w:jc w:val="both"/>
        <w:rPr>
          <w:rFonts w:ascii="Times New Roman" w:hAnsi="Times New Roman"/>
          <w:sz w:val="28"/>
          <w:szCs w:val="28"/>
        </w:rPr>
      </w:pPr>
    </w:p>
    <w:p w14:paraId="1EED6943" w14:textId="242F800A"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Кассовый план по налоговым и неналоговым доходам на 2019 год выполнен на 104,4 %, в результате дополнительно получено 2 706,2 млн.руб. Основная сумма дополнительного поступления обусловлено перевыполнением прогнозных показателей</w:t>
      </w:r>
      <w:r w:rsidR="00160924" w:rsidRPr="00A53AD7">
        <w:rPr>
          <w:rFonts w:ascii="Times New Roman" w:hAnsi="Times New Roman"/>
          <w:sz w:val="28"/>
          <w:szCs w:val="28"/>
        </w:rPr>
        <w:t xml:space="preserve"> в основном </w:t>
      </w:r>
      <w:r w:rsidRPr="00A53AD7">
        <w:rPr>
          <w:rFonts w:ascii="Times New Roman" w:hAnsi="Times New Roman"/>
          <w:sz w:val="28"/>
          <w:szCs w:val="28"/>
        </w:rPr>
        <w:t>по следующим видам налоговых и неналоговых доходов:</w:t>
      </w:r>
    </w:p>
    <w:p w14:paraId="14EBF22E"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налог на прибыль организаций на 1 743,1 млн.руб. (+9,3 % к показателям кассового плана);</w:t>
      </w:r>
    </w:p>
    <w:p w14:paraId="3AB68316"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налог на доходы физических лиц на 349,0 млн.руб. (+1,8 %);</w:t>
      </w:r>
    </w:p>
    <w:p w14:paraId="06CFBB90"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акцизы на 300,3 млн.руб. (+6,6 %);</w:t>
      </w:r>
    </w:p>
    <w:p w14:paraId="6A5B2B3F"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налоги на совокупный доход на 42,9 млн.руб. (+1,2 %);</w:t>
      </w:r>
    </w:p>
    <w:p w14:paraId="469708F9"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налоги, сборы и регулярные платежи за пользование природными ресурсами на 232,0 млн.руб. (+7,1 %);</w:t>
      </w:r>
    </w:p>
    <w:p w14:paraId="49D1C66C" w14:textId="0A4894CA"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штрафы, санкции, возмещение ущ</w:t>
      </w:r>
      <w:r w:rsidR="00160924" w:rsidRPr="00A53AD7">
        <w:rPr>
          <w:rFonts w:ascii="Times New Roman" w:hAnsi="Times New Roman"/>
          <w:sz w:val="28"/>
          <w:szCs w:val="28"/>
        </w:rPr>
        <w:t>ерба на 47,9 млн.руб. (+13,3 %).</w:t>
      </w:r>
    </w:p>
    <w:p w14:paraId="0FB5EA30"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Вместе с тем имеют место случаи невыполнения кассового плана поступлений доходов:</w:t>
      </w:r>
    </w:p>
    <w:p w14:paraId="50E5FBD1"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налоги на имущество на 4,8 млн.руб. (</w:t>
      </w:r>
      <w:r w:rsidRPr="00A53AD7">
        <w:rPr>
          <w:rFonts w:ascii="Times New Roman" w:hAnsi="Times New Roman"/>
          <w:sz w:val="24"/>
          <w:szCs w:val="24"/>
        </w:rPr>
        <w:t>–</w:t>
      </w:r>
      <w:r w:rsidRPr="00A53AD7">
        <w:rPr>
          <w:rFonts w:ascii="Times New Roman" w:hAnsi="Times New Roman"/>
          <w:sz w:val="28"/>
          <w:szCs w:val="28"/>
        </w:rPr>
        <w:t>0,1 %);</w:t>
      </w:r>
    </w:p>
    <w:p w14:paraId="21FA6C9A" w14:textId="77777777" w:rsidR="00D01D81" w:rsidRPr="00A53AD7" w:rsidRDefault="00D01D81" w:rsidP="00D01D81">
      <w:pPr>
        <w:numPr>
          <w:ilvl w:val="0"/>
          <w:numId w:val="1"/>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платежи при пользовании природными ресурсами на 15,4 млн.руб. (</w:t>
      </w:r>
      <w:r w:rsidRPr="00A53AD7">
        <w:rPr>
          <w:rFonts w:ascii="Times New Roman" w:hAnsi="Times New Roman"/>
          <w:sz w:val="24"/>
          <w:szCs w:val="24"/>
        </w:rPr>
        <w:t>–</w:t>
      </w:r>
      <w:r w:rsidRPr="00A53AD7">
        <w:rPr>
          <w:rFonts w:ascii="Times New Roman" w:hAnsi="Times New Roman"/>
          <w:sz w:val="28"/>
          <w:szCs w:val="28"/>
        </w:rPr>
        <w:t>1,4 %).</w:t>
      </w:r>
    </w:p>
    <w:p w14:paraId="1F250419" w14:textId="6EE090A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Помесячное поступление налоговых и неналоговых доходов за 2019 год в сравнении с поступлением 2018 год</w:t>
      </w:r>
      <w:r w:rsidR="00BE3A4D" w:rsidRPr="00A53AD7">
        <w:rPr>
          <w:rFonts w:ascii="Times New Roman" w:hAnsi="Times New Roman"/>
          <w:sz w:val="28"/>
          <w:szCs w:val="28"/>
        </w:rPr>
        <w:t>а</w:t>
      </w:r>
      <w:r w:rsidRPr="00A53AD7">
        <w:rPr>
          <w:rFonts w:ascii="Times New Roman" w:hAnsi="Times New Roman"/>
          <w:sz w:val="28"/>
          <w:szCs w:val="28"/>
        </w:rPr>
        <w:t xml:space="preserve"> представлено на рисунке </w:t>
      </w:r>
      <w:r w:rsidR="00F5645E" w:rsidRPr="00A53AD7">
        <w:rPr>
          <w:rFonts w:ascii="Times New Roman" w:hAnsi="Times New Roman"/>
          <w:sz w:val="28"/>
          <w:szCs w:val="28"/>
        </w:rPr>
        <w:t>36</w:t>
      </w:r>
      <w:r w:rsidRPr="00A53AD7">
        <w:rPr>
          <w:rFonts w:ascii="Times New Roman" w:hAnsi="Times New Roman"/>
          <w:sz w:val="28"/>
          <w:szCs w:val="28"/>
        </w:rPr>
        <w:t>:</w:t>
      </w:r>
    </w:p>
    <w:p w14:paraId="6A1AF6BD" w14:textId="0506980D" w:rsidR="00D01D81" w:rsidRPr="00A53AD7" w:rsidRDefault="00A72837"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5D012F89" wp14:editId="6301B05E">
            <wp:extent cx="5975887" cy="2907324"/>
            <wp:effectExtent l="0" t="0" r="6350" b="762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95212" cy="2916726"/>
                    </a:xfrm>
                    <a:prstGeom prst="rect">
                      <a:avLst/>
                    </a:prstGeom>
                    <a:noFill/>
                  </pic:spPr>
                </pic:pic>
              </a:graphicData>
            </a:graphic>
          </wp:inline>
        </w:drawing>
      </w:r>
    </w:p>
    <w:p w14:paraId="2778B1B0" w14:textId="70A957EC" w:rsidR="00D01D81" w:rsidRPr="00A53AD7" w:rsidRDefault="00BE3A4D" w:rsidP="00BE3A4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36</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D01D81" w:rsidRPr="00A53AD7">
        <w:rPr>
          <w:rFonts w:ascii="Times New Roman" w:hAnsi="Times New Roman"/>
          <w:b w:val="0"/>
          <w:sz w:val="24"/>
          <w:szCs w:val="24"/>
        </w:rPr>
        <w:t>Поступление налоговых и неналоговых доходов областного бюджета за 2018 – 2019 годы, млн.руб.</w:t>
      </w:r>
    </w:p>
    <w:p w14:paraId="7CBF1090" w14:textId="77777777" w:rsidR="00BE3A4D" w:rsidRPr="00A53AD7" w:rsidRDefault="00BE3A4D" w:rsidP="00D01D81">
      <w:pPr>
        <w:spacing w:after="0" w:line="240" w:lineRule="auto"/>
        <w:ind w:firstLine="851"/>
        <w:jc w:val="both"/>
        <w:rPr>
          <w:rFonts w:ascii="Times New Roman" w:hAnsi="Times New Roman"/>
          <w:sz w:val="28"/>
          <w:szCs w:val="28"/>
        </w:rPr>
      </w:pPr>
    </w:p>
    <w:p w14:paraId="5C457E88"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отмечается прирост поступлений налоговых и неналоговых доходов в областной бюджет в январе, марте, апреле, июле, сентябре, октябре, декабре 2019 года к уровню поступлений за аналогичный период прошлого года, за исключением остальных месяцев.</w:t>
      </w:r>
    </w:p>
    <w:p w14:paraId="1E5AB551" w14:textId="12A42BE5" w:rsidR="00461F9E" w:rsidRPr="00A53AD7" w:rsidRDefault="00D01D81" w:rsidP="00550E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прирост ежемесячных поступлений в сравнении с 2018 годом зафиксирован</w:t>
      </w:r>
      <w:r w:rsidR="00796069" w:rsidRPr="00A53AD7">
        <w:rPr>
          <w:rFonts w:ascii="Times New Roman" w:hAnsi="Times New Roman"/>
          <w:sz w:val="28"/>
          <w:szCs w:val="28"/>
        </w:rPr>
        <w:t xml:space="preserve"> в марте на 1 191,6 млн.руб, апреле – на 2 743,6 млн.руб., </w:t>
      </w:r>
      <w:r w:rsidR="00496B6A" w:rsidRPr="00A53AD7">
        <w:rPr>
          <w:rFonts w:ascii="Times New Roman" w:hAnsi="Times New Roman"/>
          <w:sz w:val="28"/>
          <w:szCs w:val="28"/>
        </w:rPr>
        <w:t xml:space="preserve">в октябре – на </w:t>
      </w:r>
      <w:r w:rsidR="0063292D" w:rsidRPr="00A53AD7">
        <w:rPr>
          <w:rFonts w:ascii="Times New Roman" w:hAnsi="Times New Roman"/>
          <w:sz w:val="28"/>
          <w:szCs w:val="28"/>
        </w:rPr>
        <w:t>1 148,6 млн.руб., который, в основном, обеспечен следующими доходами</w:t>
      </w:r>
      <w:r w:rsidR="00F90B44" w:rsidRPr="00A53AD7">
        <w:rPr>
          <w:rFonts w:ascii="Times New Roman" w:hAnsi="Times New Roman"/>
          <w:sz w:val="28"/>
          <w:szCs w:val="28"/>
        </w:rPr>
        <w:t>:</w:t>
      </w:r>
    </w:p>
    <w:tbl>
      <w:tblPr>
        <w:tblStyle w:val="a7"/>
        <w:tblW w:w="9341"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222"/>
        <w:gridCol w:w="860"/>
        <w:gridCol w:w="1178"/>
        <w:gridCol w:w="1081"/>
      </w:tblGrid>
      <w:tr w:rsidR="00A53AD7" w:rsidRPr="00A53AD7" w14:paraId="5CDE62C5" w14:textId="77777777" w:rsidTr="003F1D09">
        <w:tc>
          <w:tcPr>
            <w:tcW w:w="6222" w:type="dxa"/>
            <w:vMerge w:val="restart"/>
            <w:vAlign w:val="center"/>
          </w:tcPr>
          <w:p w14:paraId="1F5CAEBA" w14:textId="77777777" w:rsidR="005F7068" w:rsidRPr="00A53AD7" w:rsidRDefault="005F7068" w:rsidP="003F1D09">
            <w:pPr>
              <w:spacing w:after="0" w:line="240" w:lineRule="auto"/>
              <w:jc w:val="center"/>
              <w:rPr>
                <w:rFonts w:ascii="Times New Roman" w:hAnsi="Times New Roman"/>
              </w:rPr>
            </w:pPr>
            <w:r w:rsidRPr="00A53AD7">
              <w:rPr>
                <w:rFonts w:ascii="Times New Roman" w:hAnsi="Times New Roman"/>
              </w:rPr>
              <w:t>Показатель</w:t>
            </w:r>
          </w:p>
        </w:tc>
        <w:tc>
          <w:tcPr>
            <w:tcW w:w="3119" w:type="dxa"/>
            <w:gridSpan w:val="3"/>
          </w:tcPr>
          <w:p w14:paraId="41A7C932" w14:textId="77777777" w:rsidR="005F7068" w:rsidRPr="00A53AD7" w:rsidRDefault="005F7068" w:rsidP="003F1D09">
            <w:pPr>
              <w:spacing w:after="0" w:line="240" w:lineRule="auto"/>
              <w:jc w:val="center"/>
              <w:rPr>
                <w:rFonts w:ascii="Times New Roman" w:hAnsi="Times New Roman"/>
              </w:rPr>
            </w:pPr>
            <w:r w:rsidRPr="00A53AD7">
              <w:rPr>
                <w:rFonts w:ascii="Times New Roman" w:hAnsi="Times New Roman"/>
              </w:rPr>
              <w:t>Сумма прироста, млн.руб.</w:t>
            </w:r>
          </w:p>
        </w:tc>
      </w:tr>
      <w:tr w:rsidR="00A53AD7" w:rsidRPr="00A53AD7" w14:paraId="61F7CA98" w14:textId="77777777" w:rsidTr="003F1D09">
        <w:tc>
          <w:tcPr>
            <w:tcW w:w="6222" w:type="dxa"/>
            <w:vMerge/>
          </w:tcPr>
          <w:p w14:paraId="5A801713" w14:textId="77777777" w:rsidR="005F7068" w:rsidRPr="00A53AD7" w:rsidRDefault="005F7068" w:rsidP="003F1D09">
            <w:pPr>
              <w:spacing w:after="0" w:line="240" w:lineRule="auto"/>
              <w:jc w:val="both"/>
              <w:rPr>
                <w:rFonts w:ascii="Times New Roman" w:hAnsi="Times New Roman"/>
              </w:rPr>
            </w:pPr>
          </w:p>
        </w:tc>
        <w:tc>
          <w:tcPr>
            <w:tcW w:w="860" w:type="dxa"/>
          </w:tcPr>
          <w:p w14:paraId="7F02293D" w14:textId="77777777" w:rsidR="005F7068" w:rsidRPr="00A53AD7" w:rsidRDefault="005F7068" w:rsidP="003F1D09">
            <w:pPr>
              <w:spacing w:after="0" w:line="240" w:lineRule="auto"/>
              <w:jc w:val="center"/>
              <w:rPr>
                <w:rFonts w:ascii="Times New Roman" w:hAnsi="Times New Roman"/>
              </w:rPr>
            </w:pPr>
            <w:r w:rsidRPr="00A53AD7">
              <w:rPr>
                <w:rFonts w:ascii="Times New Roman" w:hAnsi="Times New Roman"/>
              </w:rPr>
              <w:t>март</w:t>
            </w:r>
          </w:p>
        </w:tc>
        <w:tc>
          <w:tcPr>
            <w:tcW w:w="1178" w:type="dxa"/>
          </w:tcPr>
          <w:p w14:paraId="10F4F43C" w14:textId="77777777" w:rsidR="005F7068" w:rsidRPr="00A53AD7" w:rsidRDefault="005F7068" w:rsidP="003F1D09">
            <w:pPr>
              <w:spacing w:after="0" w:line="240" w:lineRule="auto"/>
              <w:jc w:val="center"/>
              <w:rPr>
                <w:rFonts w:ascii="Times New Roman" w:hAnsi="Times New Roman"/>
              </w:rPr>
            </w:pPr>
            <w:r w:rsidRPr="00A53AD7">
              <w:rPr>
                <w:rFonts w:ascii="Times New Roman" w:hAnsi="Times New Roman"/>
              </w:rPr>
              <w:t>апрель</w:t>
            </w:r>
          </w:p>
        </w:tc>
        <w:tc>
          <w:tcPr>
            <w:tcW w:w="1081" w:type="dxa"/>
          </w:tcPr>
          <w:p w14:paraId="204A6B01" w14:textId="77777777" w:rsidR="005F7068" w:rsidRPr="00A53AD7" w:rsidRDefault="005F7068" w:rsidP="003F1D09">
            <w:pPr>
              <w:spacing w:after="0" w:line="240" w:lineRule="auto"/>
              <w:jc w:val="center"/>
              <w:rPr>
                <w:rFonts w:ascii="Times New Roman" w:hAnsi="Times New Roman"/>
              </w:rPr>
            </w:pPr>
            <w:r w:rsidRPr="00A53AD7">
              <w:rPr>
                <w:rFonts w:ascii="Times New Roman" w:hAnsi="Times New Roman"/>
              </w:rPr>
              <w:t>октябрь</w:t>
            </w:r>
          </w:p>
        </w:tc>
      </w:tr>
      <w:tr w:rsidR="00A53AD7" w:rsidRPr="00A53AD7" w14:paraId="17CABCA8" w14:textId="77777777" w:rsidTr="003F1D09">
        <w:tc>
          <w:tcPr>
            <w:tcW w:w="6222" w:type="dxa"/>
          </w:tcPr>
          <w:p w14:paraId="7A242320" w14:textId="77777777" w:rsidR="005F7068" w:rsidRPr="00A53AD7" w:rsidRDefault="005F7068" w:rsidP="003F1D09">
            <w:pPr>
              <w:spacing w:after="0" w:line="240" w:lineRule="auto"/>
              <w:jc w:val="both"/>
              <w:rPr>
                <w:rFonts w:ascii="Times New Roman" w:hAnsi="Times New Roman"/>
              </w:rPr>
            </w:pPr>
            <w:r w:rsidRPr="00A53AD7">
              <w:rPr>
                <w:rFonts w:ascii="Times New Roman" w:hAnsi="Times New Roman"/>
              </w:rPr>
              <w:t>Налог на прибыль организаций</w:t>
            </w:r>
          </w:p>
        </w:tc>
        <w:tc>
          <w:tcPr>
            <w:tcW w:w="860" w:type="dxa"/>
            <w:vAlign w:val="bottom"/>
          </w:tcPr>
          <w:p w14:paraId="576470C5"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+745,5</w:t>
            </w:r>
          </w:p>
        </w:tc>
        <w:tc>
          <w:tcPr>
            <w:tcW w:w="1178" w:type="dxa"/>
            <w:vAlign w:val="bottom"/>
          </w:tcPr>
          <w:p w14:paraId="43471001"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+1 736,5</w:t>
            </w:r>
          </w:p>
        </w:tc>
        <w:tc>
          <w:tcPr>
            <w:tcW w:w="1081" w:type="dxa"/>
            <w:vAlign w:val="bottom"/>
          </w:tcPr>
          <w:p w14:paraId="183DD96C"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+503,7</w:t>
            </w:r>
          </w:p>
        </w:tc>
      </w:tr>
      <w:tr w:rsidR="00A53AD7" w:rsidRPr="00A53AD7" w14:paraId="0102F067" w14:textId="77777777" w:rsidTr="003F1D09">
        <w:tc>
          <w:tcPr>
            <w:tcW w:w="6222" w:type="dxa"/>
          </w:tcPr>
          <w:p w14:paraId="57B44A41" w14:textId="77777777" w:rsidR="005F7068" w:rsidRPr="00A53AD7" w:rsidRDefault="005F7068" w:rsidP="003F1D09">
            <w:pPr>
              <w:spacing w:after="0" w:line="240" w:lineRule="auto"/>
              <w:jc w:val="both"/>
              <w:rPr>
                <w:rFonts w:ascii="Times New Roman" w:hAnsi="Times New Roman"/>
              </w:rPr>
            </w:pPr>
            <w:r w:rsidRPr="00A53AD7">
              <w:rPr>
                <w:rFonts w:ascii="Times New Roman" w:hAnsi="Times New Roman"/>
              </w:rPr>
              <w:t>Налог на доходы физических лиц</w:t>
            </w:r>
          </w:p>
        </w:tc>
        <w:tc>
          <w:tcPr>
            <w:tcW w:w="860" w:type="dxa"/>
            <w:vAlign w:val="bottom"/>
          </w:tcPr>
          <w:p w14:paraId="3A91758F"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+132,9</w:t>
            </w:r>
          </w:p>
        </w:tc>
        <w:tc>
          <w:tcPr>
            <w:tcW w:w="1178" w:type="dxa"/>
            <w:vAlign w:val="bottom"/>
          </w:tcPr>
          <w:p w14:paraId="7957AF89"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+173,9</w:t>
            </w:r>
          </w:p>
        </w:tc>
        <w:tc>
          <w:tcPr>
            <w:tcW w:w="1081" w:type="dxa"/>
            <w:vAlign w:val="bottom"/>
          </w:tcPr>
          <w:p w14:paraId="33F60AA3"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+134,4</w:t>
            </w:r>
          </w:p>
        </w:tc>
      </w:tr>
      <w:tr w:rsidR="00A53AD7" w:rsidRPr="00A53AD7" w14:paraId="04F2E512" w14:textId="77777777" w:rsidTr="003F1D09">
        <w:tc>
          <w:tcPr>
            <w:tcW w:w="6222" w:type="dxa"/>
          </w:tcPr>
          <w:p w14:paraId="68CD4315" w14:textId="77777777" w:rsidR="005F7068" w:rsidRPr="00A53AD7" w:rsidRDefault="005F7068" w:rsidP="003F1D09">
            <w:pPr>
              <w:spacing w:after="0" w:line="240" w:lineRule="auto"/>
              <w:rPr>
                <w:rFonts w:ascii="Times New Roman" w:hAnsi="Times New Roman"/>
              </w:rPr>
            </w:pPr>
            <w:r w:rsidRPr="00A53AD7">
              <w:rPr>
                <w:rFonts w:ascii="Times New Roman" w:hAnsi="Times New Roman"/>
              </w:rPr>
              <w:t>Акцизы на подакцизные товары</w:t>
            </w:r>
          </w:p>
        </w:tc>
        <w:tc>
          <w:tcPr>
            <w:tcW w:w="860" w:type="dxa"/>
            <w:vAlign w:val="bottom"/>
          </w:tcPr>
          <w:p w14:paraId="25936827" w14:textId="77777777" w:rsidR="005F7068" w:rsidRPr="00A53AD7" w:rsidRDefault="005F7068" w:rsidP="003F1D09">
            <w:pPr>
              <w:spacing w:after="0" w:line="240" w:lineRule="auto"/>
              <w:jc w:val="right"/>
              <w:rPr>
                <w:rFonts w:ascii="Times New Roman" w:hAnsi="Times New Roman"/>
              </w:rPr>
            </w:pPr>
          </w:p>
        </w:tc>
        <w:tc>
          <w:tcPr>
            <w:tcW w:w="1178" w:type="dxa"/>
            <w:vAlign w:val="bottom"/>
          </w:tcPr>
          <w:p w14:paraId="230F7836"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+40,9</w:t>
            </w:r>
          </w:p>
        </w:tc>
        <w:tc>
          <w:tcPr>
            <w:tcW w:w="1081" w:type="dxa"/>
            <w:vAlign w:val="bottom"/>
          </w:tcPr>
          <w:p w14:paraId="23837381"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+74,0</w:t>
            </w:r>
          </w:p>
        </w:tc>
      </w:tr>
      <w:tr w:rsidR="00A53AD7" w:rsidRPr="00A53AD7" w14:paraId="38AA014F" w14:textId="77777777" w:rsidTr="003F1D09">
        <w:tc>
          <w:tcPr>
            <w:tcW w:w="6222" w:type="dxa"/>
          </w:tcPr>
          <w:p w14:paraId="754AA8C5" w14:textId="77777777" w:rsidR="005F7068" w:rsidRPr="00A53AD7" w:rsidRDefault="005F7068" w:rsidP="003F1D09">
            <w:pPr>
              <w:spacing w:after="0" w:line="240" w:lineRule="auto"/>
              <w:rPr>
                <w:rFonts w:ascii="Times New Roman" w:hAnsi="Times New Roman"/>
              </w:rPr>
            </w:pPr>
            <w:r w:rsidRPr="00A53AD7">
              <w:rPr>
                <w:rFonts w:ascii="Times New Roman" w:hAnsi="Times New Roman"/>
              </w:rPr>
              <w:t>Налоги на совокупный доход</w:t>
            </w:r>
          </w:p>
        </w:tc>
        <w:tc>
          <w:tcPr>
            <w:tcW w:w="860" w:type="dxa"/>
            <w:vAlign w:val="bottom"/>
          </w:tcPr>
          <w:p w14:paraId="4C398779"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+85,4</w:t>
            </w:r>
          </w:p>
        </w:tc>
        <w:tc>
          <w:tcPr>
            <w:tcW w:w="1178" w:type="dxa"/>
            <w:vAlign w:val="bottom"/>
          </w:tcPr>
          <w:p w14:paraId="560F1B2D"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+156,8</w:t>
            </w:r>
          </w:p>
        </w:tc>
        <w:tc>
          <w:tcPr>
            <w:tcW w:w="1081" w:type="dxa"/>
            <w:vAlign w:val="bottom"/>
          </w:tcPr>
          <w:p w14:paraId="1C926E9B"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+117,8</w:t>
            </w:r>
          </w:p>
        </w:tc>
      </w:tr>
      <w:tr w:rsidR="00A53AD7" w:rsidRPr="00A53AD7" w14:paraId="4D32D51D" w14:textId="77777777" w:rsidTr="003F1D09">
        <w:tc>
          <w:tcPr>
            <w:tcW w:w="6222" w:type="dxa"/>
          </w:tcPr>
          <w:p w14:paraId="6D00F4BC" w14:textId="77777777" w:rsidR="005F7068" w:rsidRPr="00A53AD7" w:rsidRDefault="005F7068" w:rsidP="003F1D09">
            <w:pPr>
              <w:spacing w:after="0" w:line="240" w:lineRule="auto"/>
              <w:rPr>
                <w:rFonts w:ascii="Times New Roman" w:hAnsi="Times New Roman"/>
              </w:rPr>
            </w:pPr>
            <w:r w:rsidRPr="00A53AD7">
              <w:rPr>
                <w:rFonts w:ascii="Times New Roman" w:hAnsi="Times New Roman"/>
              </w:rPr>
              <w:t>Налог на имущество организаций</w:t>
            </w:r>
          </w:p>
        </w:tc>
        <w:tc>
          <w:tcPr>
            <w:tcW w:w="860" w:type="dxa"/>
            <w:vAlign w:val="bottom"/>
          </w:tcPr>
          <w:p w14:paraId="58B9C39C" w14:textId="77777777" w:rsidR="005F7068" w:rsidRPr="00A53AD7" w:rsidRDefault="005F7068" w:rsidP="003F1D09">
            <w:pPr>
              <w:spacing w:after="0" w:line="240" w:lineRule="auto"/>
              <w:jc w:val="right"/>
              <w:rPr>
                <w:rFonts w:ascii="Times New Roman" w:hAnsi="Times New Roman"/>
              </w:rPr>
            </w:pPr>
          </w:p>
        </w:tc>
        <w:tc>
          <w:tcPr>
            <w:tcW w:w="1178" w:type="dxa"/>
            <w:vAlign w:val="bottom"/>
          </w:tcPr>
          <w:p w14:paraId="6992267D"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+547,2</w:t>
            </w:r>
          </w:p>
        </w:tc>
        <w:tc>
          <w:tcPr>
            <w:tcW w:w="1081" w:type="dxa"/>
            <w:vAlign w:val="bottom"/>
          </w:tcPr>
          <w:p w14:paraId="26DB7C0D"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+278,3</w:t>
            </w:r>
          </w:p>
        </w:tc>
      </w:tr>
      <w:tr w:rsidR="005F7068" w:rsidRPr="00A53AD7" w14:paraId="6BF82C9E" w14:textId="77777777" w:rsidTr="003F1D09">
        <w:tc>
          <w:tcPr>
            <w:tcW w:w="6222" w:type="dxa"/>
          </w:tcPr>
          <w:p w14:paraId="3226A3EF" w14:textId="77777777" w:rsidR="005F7068" w:rsidRPr="00A53AD7" w:rsidRDefault="005F7068" w:rsidP="003F1D09">
            <w:pPr>
              <w:spacing w:after="0" w:line="240" w:lineRule="auto"/>
              <w:rPr>
                <w:rFonts w:ascii="Times New Roman" w:hAnsi="Times New Roman"/>
              </w:rPr>
            </w:pPr>
            <w:r w:rsidRPr="00A53AD7">
              <w:rPr>
                <w:rFonts w:ascii="Times New Roman" w:hAnsi="Times New Roman"/>
              </w:rPr>
              <w:t>Налог на добычу полезных ископаемых в виде природных алмазов</w:t>
            </w:r>
          </w:p>
        </w:tc>
        <w:tc>
          <w:tcPr>
            <w:tcW w:w="860" w:type="dxa"/>
            <w:vAlign w:val="bottom"/>
          </w:tcPr>
          <w:p w14:paraId="0F6BDEF8"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+202,7</w:t>
            </w:r>
          </w:p>
        </w:tc>
        <w:tc>
          <w:tcPr>
            <w:tcW w:w="1178" w:type="dxa"/>
            <w:vAlign w:val="bottom"/>
          </w:tcPr>
          <w:p w14:paraId="38558D16"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+64,9</w:t>
            </w:r>
          </w:p>
        </w:tc>
        <w:tc>
          <w:tcPr>
            <w:tcW w:w="1081" w:type="dxa"/>
            <w:vAlign w:val="bottom"/>
          </w:tcPr>
          <w:p w14:paraId="45125949" w14:textId="77777777" w:rsidR="005F7068" w:rsidRPr="00A53AD7" w:rsidRDefault="005F7068" w:rsidP="003F1D09">
            <w:pPr>
              <w:spacing w:after="0" w:line="240" w:lineRule="auto"/>
              <w:jc w:val="right"/>
              <w:rPr>
                <w:rFonts w:ascii="Times New Roman" w:hAnsi="Times New Roman"/>
              </w:rPr>
            </w:pPr>
            <w:r w:rsidRPr="00A53AD7">
              <w:rPr>
                <w:rFonts w:ascii="Times New Roman" w:hAnsi="Times New Roman"/>
              </w:rPr>
              <w:t>+20,7</w:t>
            </w:r>
          </w:p>
        </w:tc>
      </w:tr>
    </w:tbl>
    <w:p w14:paraId="2AD4A734" w14:textId="77777777" w:rsidR="005F7068" w:rsidRPr="00A53AD7" w:rsidRDefault="005F7068" w:rsidP="005F7068">
      <w:pPr>
        <w:spacing w:after="0" w:line="240" w:lineRule="auto"/>
        <w:ind w:firstLine="851"/>
        <w:jc w:val="both"/>
        <w:rPr>
          <w:rFonts w:ascii="Times New Roman" w:hAnsi="Times New Roman"/>
          <w:sz w:val="28"/>
          <w:szCs w:val="28"/>
        </w:rPr>
      </w:pPr>
    </w:p>
    <w:p w14:paraId="66AEC77C" w14:textId="294E0704" w:rsidR="0037721A" w:rsidRPr="00A53AD7" w:rsidRDefault="0037721A" w:rsidP="0037721A">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Значительное снижение ежемесячных поступлений в сравнении с 2018 годом установлено в ноябре на 1 102,6 млн.руб, что, в основном, сложилось по следующим доходам:</w:t>
      </w:r>
    </w:p>
    <w:tbl>
      <w:tblPr>
        <w:tblStyle w:val="a7"/>
        <w:tblW w:w="9341"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506"/>
        <w:gridCol w:w="2835"/>
      </w:tblGrid>
      <w:tr w:rsidR="00A53AD7" w:rsidRPr="00A53AD7" w14:paraId="3189CC8E" w14:textId="77777777" w:rsidTr="003F1D09">
        <w:trPr>
          <w:trHeight w:val="253"/>
        </w:trPr>
        <w:tc>
          <w:tcPr>
            <w:tcW w:w="6506" w:type="dxa"/>
            <w:vAlign w:val="center"/>
          </w:tcPr>
          <w:p w14:paraId="5A27D190" w14:textId="77777777" w:rsidR="0037721A" w:rsidRPr="00A53AD7" w:rsidRDefault="0037721A" w:rsidP="003F1D09">
            <w:pPr>
              <w:spacing w:after="0" w:line="240" w:lineRule="auto"/>
              <w:jc w:val="center"/>
              <w:rPr>
                <w:rFonts w:ascii="Times New Roman" w:hAnsi="Times New Roman"/>
              </w:rPr>
            </w:pPr>
            <w:r w:rsidRPr="00A53AD7">
              <w:rPr>
                <w:rFonts w:ascii="Times New Roman" w:hAnsi="Times New Roman"/>
              </w:rPr>
              <w:t>Показатель</w:t>
            </w:r>
          </w:p>
        </w:tc>
        <w:tc>
          <w:tcPr>
            <w:tcW w:w="2835" w:type="dxa"/>
          </w:tcPr>
          <w:p w14:paraId="449F6245" w14:textId="77777777" w:rsidR="0037721A" w:rsidRPr="00A53AD7" w:rsidRDefault="0037721A" w:rsidP="003F1D09">
            <w:pPr>
              <w:spacing w:after="0" w:line="240" w:lineRule="auto"/>
              <w:jc w:val="center"/>
              <w:rPr>
                <w:rFonts w:ascii="Times New Roman" w:hAnsi="Times New Roman"/>
              </w:rPr>
            </w:pPr>
            <w:r w:rsidRPr="00A53AD7">
              <w:rPr>
                <w:rFonts w:ascii="Times New Roman" w:hAnsi="Times New Roman"/>
              </w:rPr>
              <w:t>Сумма снижения, млн.руб.</w:t>
            </w:r>
          </w:p>
        </w:tc>
      </w:tr>
      <w:tr w:rsidR="00A53AD7" w:rsidRPr="00A53AD7" w14:paraId="5A2A5697" w14:textId="77777777" w:rsidTr="003F1D09">
        <w:tc>
          <w:tcPr>
            <w:tcW w:w="6506" w:type="dxa"/>
            <w:vAlign w:val="bottom"/>
          </w:tcPr>
          <w:p w14:paraId="0E79351C" w14:textId="77777777" w:rsidR="0037721A" w:rsidRPr="00A53AD7" w:rsidRDefault="0037721A" w:rsidP="003F1D09">
            <w:pPr>
              <w:spacing w:after="0" w:line="240" w:lineRule="auto"/>
              <w:jc w:val="both"/>
              <w:rPr>
                <w:rFonts w:ascii="Times New Roman" w:hAnsi="Times New Roman"/>
              </w:rPr>
            </w:pPr>
            <w:r w:rsidRPr="00A53AD7">
              <w:rPr>
                <w:rFonts w:ascii="Times New Roman" w:hAnsi="Times New Roman"/>
              </w:rPr>
              <w:t>Налог на прибыль организаций</w:t>
            </w:r>
          </w:p>
        </w:tc>
        <w:tc>
          <w:tcPr>
            <w:tcW w:w="2835" w:type="dxa"/>
            <w:vAlign w:val="bottom"/>
          </w:tcPr>
          <w:p w14:paraId="5AF73EA0" w14:textId="77777777" w:rsidR="0037721A" w:rsidRPr="00A53AD7" w:rsidRDefault="0037721A" w:rsidP="003F1D09">
            <w:pPr>
              <w:spacing w:after="0" w:line="240" w:lineRule="auto"/>
              <w:jc w:val="right"/>
              <w:rPr>
                <w:rFonts w:ascii="Times New Roman" w:hAnsi="Times New Roman"/>
              </w:rPr>
            </w:pPr>
            <w:r w:rsidRPr="00A53AD7">
              <w:rPr>
                <w:rFonts w:ascii="Times New Roman" w:hAnsi="Times New Roman"/>
              </w:rPr>
              <w:t>–691,7</w:t>
            </w:r>
          </w:p>
        </w:tc>
      </w:tr>
      <w:tr w:rsidR="0037721A" w:rsidRPr="00A53AD7" w14:paraId="5574DC4D" w14:textId="77777777" w:rsidTr="003F1D09">
        <w:tc>
          <w:tcPr>
            <w:tcW w:w="6506" w:type="dxa"/>
            <w:vAlign w:val="bottom"/>
          </w:tcPr>
          <w:p w14:paraId="2548D039" w14:textId="77777777" w:rsidR="0037721A" w:rsidRPr="00A53AD7" w:rsidRDefault="0037721A" w:rsidP="003F1D09">
            <w:pPr>
              <w:spacing w:after="0" w:line="240" w:lineRule="auto"/>
              <w:rPr>
                <w:rFonts w:ascii="Times New Roman" w:hAnsi="Times New Roman"/>
              </w:rPr>
            </w:pPr>
            <w:r w:rsidRPr="00A53AD7">
              <w:rPr>
                <w:rFonts w:ascii="Times New Roman" w:hAnsi="Times New Roman"/>
              </w:rPr>
              <w:t>Налог на имущество организаций</w:t>
            </w:r>
          </w:p>
        </w:tc>
        <w:tc>
          <w:tcPr>
            <w:tcW w:w="2835" w:type="dxa"/>
            <w:vAlign w:val="bottom"/>
          </w:tcPr>
          <w:p w14:paraId="7568EDBA" w14:textId="77777777" w:rsidR="0037721A" w:rsidRPr="00A53AD7" w:rsidRDefault="0037721A" w:rsidP="003F1D09">
            <w:pPr>
              <w:spacing w:after="0" w:line="240" w:lineRule="auto"/>
              <w:jc w:val="right"/>
              <w:rPr>
                <w:rFonts w:ascii="Times New Roman" w:hAnsi="Times New Roman"/>
              </w:rPr>
            </w:pPr>
            <w:r w:rsidRPr="00A53AD7">
              <w:rPr>
                <w:rFonts w:ascii="Times New Roman" w:hAnsi="Times New Roman"/>
              </w:rPr>
              <w:t>–425,5</w:t>
            </w:r>
          </w:p>
        </w:tc>
      </w:tr>
    </w:tbl>
    <w:p w14:paraId="7F3446D1" w14:textId="77777777" w:rsidR="0037721A" w:rsidRPr="00A53AD7" w:rsidRDefault="0037721A" w:rsidP="0037721A">
      <w:pPr>
        <w:spacing w:after="0" w:line="240" w:lineRule="auto"/>
        <w:ind w:firstLine="851"/>
        <w:jc w:val="both"/>
        <w:rPr>
          <w:rFonts w:ascii="Times New Roman" w:hAnsi="Times New Roman"/>
          <w:sz w:val="28"/>
          <w:szCs w:val="28"/>
          <w:highlight w:val="cyan"/>
        </w:rPr>
      </w:pPr>
    </w:p>
    <w:p w14:paraId="2C23CA26" w14:textId="45BCEFA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Динамика поступления налоговых и неналоговых доходов в областной бюджет, исчисляемых и уплачиваемых плательщиками Архангельской области и Ненецкого автономного округа, представлена в таблице</w:t>
      </w:r>
      <w:r w:rsidR="00F5645E" w:rsidRPr="00A53AD7">
        <w:rPr>
          <w:rFonts w:ascii="Times New Roman" w:hAnsi="Times New Roman"/>
          <w:sz w:val="28"/>
          <w:szCs w:val="28"/>
        </w:rPr>
        <w:t xml:space="preserve"> 25</w:t>
      </w:r>
      <w:r w:rsidR="00980456" w:rsidRPr="00A53AD7">
        <w:rPr>
          <w:rFonts w:ascii="Times New Roman" w:hAnsi="Times New Roman"/>
          <w:sz w:val="28"/>
          <w:szCs w:val="28"/>
        </w:rPr>
        <w:t>:</w:t>
      </w:r>
    </w:p>
    <w:p w14:paraId="740EDF41" w14:textId="77777777" w:rsidR="00D01D81" w:rsidRPr="00A53AD7" w:rsidRDefault="00D01D81" w:rsidP="00D01D81">
      <w:pPr>
        <w:spacing w:after="0" w:line="240" w:lineRule="auto"/>
        <w:ind w:firstLine="851"/>
        <w:jc w:val="both"/>
        <w:rPr>
          <w:rFonts w:ascii="Times New Roman" w:hAnsi="Times New Roman"/>
          <w:sz w:val="28"/>
          <w:szCs w:val="28"/>
        </w:rPr>
      </w:pPr>
    </w:p>
    <w:p w14:paraId="7997BD71" w14:textId="7BA3D2DD" w:rsidR="00D01D81" w:rsidRPr="00A53AD7" w:rsidRDefault="00980456" w:rsidP="00980456">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b/>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b/>
          <w:sz w:val="24"/>
          <w:szCs w:val="24"/>
        </w:rPr>
        <w:fldChar w:fldCharType="separate"/>
      </w:r>
      <w:r w:rsidR="005351E5" w:rsidRPr="00A53AD7">
        <w:rPr>
          <w:rFonts w:ascii="Times New Roman" w:hAnsi="Times New Roman"/>
          <w:noProof/>
          <w:sz w:val="24"/>
          <w:szCs w:val="24"/>
        </w:rPr>
        <w:t>25</w:t>
      </w:r>
      <w:r w:rsidRPr="00A53AD7">
        <w:rPr>
          <w:rFonts w:ascii="Times New Roman" w:hAnsi="Times New Roman"/>
          <w:b/>
          <w:sz w:val="24"/>
          <w:szCs w:val="24"/>
        </w:rPr>
        <w:fldChar w:fldCharType="end"/>
      </w:r>
      <w:r w:rsidRPr="00A53AD7">
        <w:rPr>
          <w:rFonts w:ascii="Times New Roman" w:hAnsi="Times New Roman"/>
          <w:sz w:val="24"/>
          <w:szCs w:val="24"/>
        </w:rPr>
        <w:t xml:space="preserve">. </w:t>
      </w:r>
      <w:r w:rsidR="00D01D81" w:rsidRPr="00A53AD7">
        <w:rPr>
          <w:rFonts w:ascii="Times New Roman" w:hAnsi="Times New Roman"/>
          <w:sz w:val="24"/>
          <w:szCs w:val="24"/>
        </w:rPr>
        <w:t>Поступление налоговых и неналоговых доходов в 2017 - 2019 гг в областной бюджет, исчисляемых и уплачиваемых плательщиками Архангельской области и Ненецкого автономного округа</w:t>
      </w:r>
    </w:p>
    <w:tbl>
      <w:tblPr>
        <w:tblW w:w="9333" w:type="dxa"/>
        <w:tblLook w:val="04A0" w:firstRow="1" w:lastRow="0" w:firstColumn="1" w:lastColumn="0" w:noHBand="0" w:noVBand="1"/>
      </w:tblPr>
      <w:tblGrid>
        <w:gridCol w:w="2529"/>
        <w:gridCol w:w="1134"/>
        <w:gridCol w:w="1134"/>
        <w:gridCol w:w="1701"/>
        <w:gridCol w:w="1150"/>
        <w:gridCol w:w="1685"/>
      </w:tblGrid>
      <w:tr w:rsidR="00A53AD7" w:rsidRPr="00A53AD7" w14:paraId="1631DB3B" w14:textId="77777777" w:rsidTr="00BA5523">
        <w:trPr>
          <w:trHeight w:val="315"/>
        </w:trPr>
        <w:tc>
          <w:tcPr>
            <w:tcW w:w="2529"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4D4B899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Плательщики</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14:paraId="65E960B5"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 2017 год</w:t>
            </w:r>
          </w:p>
        </w:tc>
        <w:tc>
          <w:tcPr>
            <w:tcW w:w="1134" w:type="dxa"/>
            <w:tcBorders>
              <w:top w:val="double" w:sz="6" w:space="0" w:color="auto"/>
              <w:left w:val="nil"/>
              <w:bottom w:val="single" w:sz="4" w:space="0" w:color="auto"/>
              <w:right w:val="single" w:sz="4" w:space="0" w:color="auto"/>
            </w:tcBorders>
            <w:shd w:val="clear" w:color="auto" w:fill="auto"/>
            <w:noWrap/>
            <w:vAlign w:val="bottom"/>
            <w:hideMark/>
          </w:tcPr>
          <w:p w14:paraId="452FE236"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 2018 год</w:t>
            </w:r>
          </w:p>
        </w:tc>
        <w:tc>
          <w:tcPr>
            <w:tcW w:w="1701" w:type="dxa"/>
            <w:tcBorders>
              <w:top w:val="double" w:sz="6" w:space="0" w:color="auto"/>
              <w:left w:val="nil"/>
              <w:bottom w:val="single" w:sz="4" w:space="0" w:color="auto"/>
              <w:right w:val="single" w:sz="4" w:space="0" w:color="auto"/>
            </w:tcBorders>
            <w:shd w:val="clear" w:color="auto" w:fill="auto"/>
            <w:noWrap/>
            <w:vAlign w:val="bottom"/>
            <w:hideMark/>
          </w:tcPr>
          <w:p w14:paraId="5905FF0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2018 и 2017, %</w:t>
            </w:r>
          </w:p>
        </w:tc>
        <w:tc>
          <w:tcPr>
            <w:tcW w:w="1150" w:type="dxa"/>
            <w:tcBorders>
              <w:top w:val="double" w:sz="6" w:space="0" w:color="auto"/>
              <w:left w:val="nil"/>
              <w:bottom w:val="single" w:sz="4" w:space="0" w:color="auto"/>
              <w:right w:val="single" w:sz="4" w:space="0" w:color="auto"/>
            </w:tcBorders>
            <w:shd w:val="clear" w:color="auto" w:fill="auto"/>
            <w:noWrap/>
            <w:vAlign w:val="bottom"/>
            <w:hideMark/>
          </w:tcPr>
          <w:p w14:paraId="56152EA5"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 2019 год</w:t>
            </w:r>
          </w:p>
        </w:tc>
        <w:tc>
          <w:tcPr>
            <w:tcW w:w="1685" w:type="dxa"/>
            <w:tcBorders>
              <w:top w:val="double" w:sz="6" w:space="0" w:color="auto"/>
              <w:left w:val="nil"/>
              <w:bottom w:val="single" w:sz="4" w:space="0" w:color="auto"/>
              <w:right w:val="double" w:sz="6" w:space="0" w:color="auto"/>
            </w:tcBorders>
            <w:shd w:val="clear" w:color="auto" w:fill="auto"/>
            <w:noWrap/>
            <w:vAlign w:val="bottom"/>
            <w:hideMark/>
          </w:tcPr>
          <w:p w14:paraId="05AB42E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2019 и 2018, %</w:t>
            </w:r>
          </w:p>
        </w:tc>
      </w:tr>
      <w:tr w:rsidR="00A53AD7" w:rsidRPr="00A53AD7" w14:paraId="222A55CF" w14:textId="77777777" w:rsidTr="00980456">
        <w:trPr>
          <w:trHeight w:val="118"/>
        </w:trPr>
        <w:tc>
          <w:tcPr>
            <w:tcW w:w="2529" w:type="dxa"/>
            <w:vMerge/>
            <w:tcBorders>
              <w:top w:val="double" w:sz="6" w:space="0" w:color="auto"/>
              <w:left w:val="double" w:sz="6" w:space="0" w:color="auto"/>
              <w:bottom w:val="single" w:sz="4" w:space="0" w:color="000000"/>
              <w:right w:val="single" w:sz="4" w:space="0" w:color="auto"/>
            </w:tcBorders>
            <w:vAlign w:val="center"/>
            <w:hideMark/>
          </w:tcPr>
          <w:p w14:paraId="11B414F8"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tcBorders>
              <w:top w:val="nil"/>
              <w:left w:val="nil"/>
              <w:bottom w:val="single" w:sz="4" w:space="0" w:color="auto"/>
              <w:right w:val="single" w:sz="4" w:space="0" w:color="auto"/>
            </w:tcBorders>
            <w:shd w:val="clear" w:color="auto" w:fill="auto"/>
            <w:noWrap/>
            <w:vAlign w:val="bottom"/>
            <w:hideMark/>
          </w:tcPr>
          <w:p w14:paraId="449519D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134" w:type="dxa"/>
            <w:tcBorders>
              <w:top w:val="nil"/>
              <w:left w:val="nil"/>
              <w:bottom w:val="single" w:sz="4" w:space="0" w:color="auto"/>
              <w:right w:val="single" w:sz="4" w:space="0" w:color="auto"/>
            </w:tcBorders>
            <w:shd w:val="clear" w:color="auto" w:fill="auto"/>
            <w:noWrap/>
            <w:vAlign w:val="bottom"/>
            <w:hideMark/>
          </w:tcPr>
          <w:p w14:paraId="270D9D09"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701" w:type="dxa"/>
            <w:tcBorders>
              <w:top w:val="nil"/>
              <w:left w:val="nil"/>
              <w:bottom w:val="single" w:sz="4" w:space="0" w:color="auto"/>
              <w:right w:val="single" w:sz="4" w:space="0" w:color="auto"/>
            </w:tcBorders>
            <w:shd w:val="clear" w:color="auto" w:fill="auto"/>
            <w:noWrap/>
            <w:vAlign w:val="bottom"/>
            <w:hideMark/>
          </w:tcPr>
          <w:p w14:paraId="504E17C5"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3=2/1*100</w:t>
            </w:r>
          </w:p>
        </w:tc>
        <w:tc>
          <w:tcPr>
            <w:tcW w:w="1150" w:type="dxa"/>
            <w:tcBorders>
              <w:top w:val="nil"/>
              <w:left w:val="nil"/>
              <w:bottom w:val="single" w:sz="4" w:space="0" w:color="auto"/>
              <w:right w:val="single" w:sz="4" w:space="0" w:color="auto"/>
            </w:tcBorders>
            <w:shd w:val="clear" w:color="auto" w:fill="auto"/>
            <w:noWrap/>
            <w:vAlign w:val="bottom"/>
            <w:hideMark/>
          </w:tcPr>
          <w:p w14:paraId="5EF2AE9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1685" w:type="dxa"/>
            <w:tcBorders>
              <w:top w:val="nil"/>
              <w:left w:val="nil"/>
              <w:bottom w:val="single" w:sz="4" w:space="0" w:color="auto"/>
              <w:right w:val="double" w:sz="6" w:space="0" w:color="auto"/>
            </w:tcBorders>
            <w:shd w:val="clear" w:color="auto" w:fill="auto"/>
            <w:noWrap/>
            <w:vAlign w:val="bottom"/>
            <w:hideMark/>
          </w:tcPr>
          <w:p w14:paraId="1F1FCDE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5=4/2*100</w:t>
            </w:r>
          </w:p>
        </w:tc>
      </w:tr>
      <w:tr w:rsidR="00A53AD7" w:rsidRPr="00A53AD7" w14:paraId="6E67503B" w14:textId="77777777" w:rsidTr="00980456">
        <w:trPr>
          <w:trHeight w:hRule="exact" w:val="255"/>
        </w:trPr>
        <w:tc>
          <w:tcPr>
            <w:tcW w:w="2529" w:type="dxa"/>
            <w:tcBorders>
              <w:top w:val="nil"/>
              <w:left w:val="double" w:sz="6" w:space="0" w:color="auto"/>
              <w:bottom w:val="single" w:sz="4" w:space="0" w:color="auto"/>
              <w:right w:val="single" w:sz="4" w:space="0" w:color="auto"/>
            </w:tcBorders>
            <w:shd w:val="clear" w:color="auto" w:fill="auto"/>
            <w:vAlign w:val="bottom"/>
            <w:hideMark/>
          </w:tcPr>
          <w:p w14:paraId="4D2A9F98"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Архангельская область</w:t>
            </w:r>
          </w:p>
        </w:tc>
        <w:tc>
          <w:tcPr>
            <w:tcW w:w="1134" w:type="dxa"/>
            <w:tcBorders>
              <w:top w:val="nil"/>
              <w:left w:val="nil"/>
              <w:bottom w:val="single" w:sz="4" w:space="0" w:color="auto"/>
              <w:right w:val="single" w:sz="4" w:space="0" w:color="auto"/>
            </w:tcBorders>
            <w:shd w:val="clear" w:color="auto" w:fill="auto"/>
            <w:noWrap/>
            <w:vAlign w:val="bottom"/>
            <w:hideMark/>
          </w:tcPr>
          <w:p w14:paraId="7739694D" w14:textId="071C6BE4" w:rsidR="00D01D81" w:rsidRPr="00A53AD7" w:rsidRDefault="00D01D81" w:rsidP="003367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44</w:t>
            </w:r>
            <w:r w:rsidR="0033672F" w:rsidRPr="00A53AD7">
              <w:rPr>
                <w:rFonts w:ascii="Times New Roman" w:eastAsia="Times New Roman" w:hAnsi="Times New Roman"/>
                <w:lang w:eastAsia="ru-RU"/>
              </w:rPr>
              <w:t> </w:t>
            </w:r>
            <w:r w:rsidRPr="00A53AD7">
              <w:rPr>
                <w:rFonts w:ascii="Times New Roman" w:eastAsia="Times New Roman" w:hAnsi="Times New Roman"/>
                <w:lang w:eastAsia="ru-RU"/>
              </w:rPr>
              <w:t>6</w:t>
            </w:r>
            <w:r w:rsidR="0033672F" w:rsidRPr="00A53AD7">
              <w:rPr>
                <w:rFonts w:ascii="Times New Roman" w:eastAsia="Times New Roman" w:hAnsi="Times New Roman"/>
                <w:lang w:eastAsia="ru-RU"/>
              </w:rPr>
              <w:t>11,8</w:t>
            </w:r>
          </w:p>
        </w:tc>
        <w:tc>
          <w:tcPr>
            <w:tcW w:w="1134" w:type="dxa"/>
            <w:tcBorders>
              <w:top w:val="nil"/>
              <w:left w:val="nil"/>
              <w:bottom w:val="single" w:sz="4" w:space="0" w:color="auto"/>
              <w:right w:val="single" w:sz="4" w:space="0" w:color="auto"/>
            </w:tcBorders>
            <w:shd w:val="clear" w:color="auto" w:fill="auto"/>
            <w:noWrap/>
            <w:vAlign w:val="bottom"/>
            <w:hideMark/>
          </w:tcPr>
          <w:p w14:paraId="70899C1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51 548,7 </w:t>
            </w:r>
          </w:p>
        </w:tc>
        <w:tc>
          <w:tcPr>
            <w:tcW w:w="1701" w:type="dxa"/>
            <w:tcBorders>
              <w:top w:val="nil"/>
              <w:left w:val="nil"/>
              <w:bottom w:val="single" w:sz="4" w:space="0" w:color="auto"/>
              <w:right w:val="single" w:sz="4" w:space="0" w:color="auto"/>
            </w:tcBorders>
            <w:shd w:val="clear" w:color="auto" w:fill="auto"/>
            <w:noWrap/>
            <w:vAlign w:val="bottom"/>
            <w:hideMark/>
          </w:tcPr>
          <w:p w14:paraId="6A3523F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115,5 </w:t>
            </w:r>
          </w:p>
        </w:tc>
        <w:tc>
          <w:tcPr>
            <w:tcW w:w="1150" w:type="dxa"/>
            <w:tcBorders>
              <w:top w:val="nil"/>
              <w:left w:val="nil"/>
              <w:bottom w:val="single" w:sz="4" w:space="0" w:color="auto"/>
              <w:right w:val="single" w:sz="4" w:space="0" w:color="auto"/>
            </w:tcBorders>
            <w:shd w:val="clear" w:color="auto" w:fill="auto"/>
            <w:noWrap/>
            <w:vAlign w:val="bottom"/>
            <w:hideMark/>
          </w:tcPr>
          <w:p w14:paraId="13B2D62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55 706,1 </w:t>
            </w:r>
          </w:p>
        </w:tc>
        <w:tc>
          <w:tcPr>
            <w:tcW w:w="1685" w:type="dxa"/>
            <w:tcBorders>
              <w:top w:val="nil"/>
              <w:left w:val="nil"/>
              <w:bottom w:val="single" w:sz="4" w:space="0" w:color="auto"/>
              <w:right w:val="double" w:sz="6" w:space="0" w:color="auto"/>
            </w:tcBorders>
            <w:shd w:val="clear" w:color="auto" w:fill="auto"/>
            <w:noWrap/>
            <w:vAlign w:val="bottom"/>
            <w:hideMark/>
          </w:tcPr>
          <w:p w14:paraId="4ECECBA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108,1</w:t>
            </w:r>
          </w:p>
        </w:tc>
      </w:tr>
      <w:tr w:rsidR="00A53AD7" w:rsidRPr="00A53AD7" w14:paraId="3EE0B86D" w14:textId="77777777" w:rsidTr="00980456">
        <w:trPr>
          <w:trHeight w:hRule="exact" w:val="255"/>
        </w:trPr>
        <w:tc>
          <w:tcPr>
            <w:tcW w:w="2529" w:type="dxa"/>
            <w:tcBorders>
              <w:top w:val="nil"/>
              <w:left w:val="double" w:sz="6" w:space="0" w:color="auto"/>
              <w:bottom w:val="single" w:sz="4" w:space="0" w:color="auto"/>
              <w:right w:val="single" w:sz="4" w:space="0" w:color="auto"/>
            </w:tcBorders>
            <w:shd w:val="clear" w:color="auto" w:fill="auto"/>
            <w:vAlign w:val="bottom"/>
            <w:hideMark/>
          </w:tcPr>
          <w:p w14:paraId="0C7DD8BB"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НАО</w:t>
            </w:r>
          </w:p>
        </w:tc>
        <w:tc>
          <w:tcPr>
            <w:tcW w:w="1134" w:type="dxa"/>
            <w:tcBorders>
              <w:top w:val="nil"/>
              <w:left w:val="nil"/>
              <w:bottom w:val="single" w:sz="4" w:space="0" w:color="auto"/>
              <w:right w:val="single" w:sz="4" w:space="0" w:color="auto"/>
            </w:tcBorders>
            <w:shd w:val="clear" w:color="auto" w:fill="auto"/>
            <w:noWrap/>
            <w:vAlign w:val="bottom"/>
            <w:hideMark/>
          </w:tcPr>
          <w:p w14:paraId="52F0239F" w14:textId="53AA5ECB" w:rsidR="00D01D81" w:rsidRPr="00A53AD7" w:rsidRDefault="0033672F"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7 135,7</w:t>
            </w:r>
          </w:p>
        </w:tc>
        <w:tc>
          <w:tcPr>
            <w:tcW w:w="1134" w:type="dxa"/>
            <w:tcBorders>
              <w:top w:val="nil"/>
              <w:left w:val="nil"/>
              <w:bottom w:val="single" w:sz="4" w:space="0" w:color="auto"/>
              <w:right w:val="single" w:sz="4" w:space="0" w:color="auto"/>
            </w:tcBorders>
            <w:shd w:val="clear" w:color="auto" w:fill="auto"/>
            <w:noWrap/>
            <w:vAlign w:val="bottom"/>
            <w:hideMark/>
          </w:tcPr>
          <w:p w14:paraId="6193729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7 584,5 </w:t>
            </w:r>
          </w:p>
        </w:tc>
        <w:tc>
          <w:tcPr>
            <w:tcW w:w="1701" w:type="dxa"/>
            <w:tcBorders>
              <w:top w:val="nil"/>
              <w:left w:val="nil"/>
              <w:bottom w:val="single" w:sz="4" w:space="0" w:color="auto"/>
              <w:right w:val="single" w:sz="4" w:space="0" w:color="auto"/>
            </w:tcBorders>
            <w:shd w:val="clear" w:color="auto" w:fill="auto"/>
            <w:noWrap/>
            <w:vAlign w:val="bottom"/>
            <w:hideMark/>
          </w:tcPr>
          <w:p w14:paraId="70A0C16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106,3 </w:t>
            </w:r>
          </w:p>
        </w:tc>
        <w:tc>
          <w:tcPr>
            <w:tcW w:w="1150" w:type="dxa"/>
            <w:tcBorders>
              <w:top w:val="nil"/>
              <w:left w:val="nil"/>
              <w:bottom w:val="single" w:sz="4" w:space="0" w:color="auto"/>
              <w:right w:val="single" w:sz="4" w:space="0" w:color="auto"/>
            </w:tcBorders>
            <w:shd w:val="clear" w:color="auto" w:fill="auto"/>
            <w:noWrap/>
            <w:vAlign w:val="bottom"/>
            <w:hideMark/>
          </w:tcPr>
          <w:p w14:paraId="6229955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7 862,6 </w:t>
            </w:r>
          </w:p>
        </w:tc>
        <w:tc>
          <w:tcPr>
            <w:tcW w:w="1685" w:type="dxa"/>
            <w:tcBorders>
              <w:top w:val="nil"/>
              <w:left w:val="nil"/>
              <w:bottom w:val="single" w:sz="4" w:space="0" w:color="auto"/>
              <w:right w:val="double" w:sz="6" w:space="0" w:color="auto"/>
            </w:tcBorders>
            <w:shd w:val="clear" w:color="auto" w:fill="auto"/>
            <w:noWrap/>
            <w:vAlign w:val="bottom"/>
            <w:hideMark/>
          </w:tcPr>
          <w:p w14:paraId="7053188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103,7</w:t>
            </w:r>
          </w:p>
        </w:tc>
      </w:tr>
      <w:tr w:rsidR="00D01D81" w:rsidRPr="00A53AD7" w14:paraId="6F0CD23E" w14:textId="77777777" w:rsidTr="00980456">
        <w:trPr>
          <w:trHeight w:hRule="exact" w:val="255"/>
        </w:trPr>
        <w:tc>
          <w:tcPr>
            <w:tcW w:w="2529" w:type="dxa"/>
            <w:tcBorders>
              <w:top w:val="nil"/>
              <w:left w:val="double" w:sz="6" w:space="0" w:color="auto"/>
              <w:bottom w:val="double" w:sz="6" w:space="0" w:color="auto"/>
              <w:right w:val="single" w:sz="4" w:space="0" w:color="auto"/>
            </w:tcBorders>
            <w:shd w:val="clear" w:color="auto" w:fill="auto"/>
            <w:noWrap/>
            <w:vAlign w:val="bottom"/>
            <w:hideMark/>
          </w:tcPr>
          <w:p w14:paraId="4E100F3B"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134" w:type="dxa"/>
            <w:tcBorders>
              <w:top w:val="nil"/>
              <w:left w:val="nil"/>
              <w:bottom w:val="double" w:sz="6" w:space="0" w:color="auto"/>
              <w:right w:val="single" w:sz="4" w:space="0" w:color="auto"/>
            </w:tcBorders>
            <w:shd w:val="clear" w:color="auto" w:fill="auto"/>
            <w:noWrap/>
            <w:vAlign w:val="bottom"/>
            <w:hideMark/>
          </w:tcPr>
          <w:p w14:paraId="592517E9" w14:textId="597F243C" w:rsidR="00D01D81" w:rsidRPr="00A53AD7" w:rsidRDefault="0033672F"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51 747,5</w:t>
            </w:r>
          </w:p>
        </w:tc>
        <w:tc>
          <w:tcPr>
            <w:tcW w:w="1134" w:type="dxa"/>
            <w:tcBorders>
              <w:top w:val="nil"/>
              <w:left w:val="nil"/>
              <w:bottom w:val="double" w:sz="6" w:space="0" w:color="auto"/>
              <w:right w:val="single" w:sz="4" w:space="0" w:color="auto"/>
            </w:tcBorders>
            <w:shd w:val="clear" w:color="auto" w:fill="auto"/>
            <w:noWrap/>
            <w:vAlign w:val="bottom"/>
            <w:hideMark/>
          </w:tcPr>
          <w:p w14:paraId="7F13187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59 133,2 </w:t>
            </w:r>
          </w:p>
        </w:tc>
        <w:tc>
          <w:tcPr>
            <w:tcW w:w="1701" w:type="dxa"/>
            <w:tcBorders>
              <w:top w:val="nil"/>
              <w:left w:val="nil"/>
              <w:bottom w:val="double" w:sz="6" w:space="0" w:color="auto"/>
              <w:right w:val="single" w:sz="4" w:space="0" w:color="auto"/>
            </w:tcBorders>
            <w:shd w:val="clear" w:color="auto" w:fill="auto"/>
            <w:noWrap/>
            <w:vAlign w:val="bottom"/>
            <w:hideMark/>
          </w:tcPr>
          <w:p w14:paraId="1A9D75E1" w14:textId="305B8AEF" w:rsidR="00D01D81" w:rsidRPr="00A53AD7" w:rsidRDefault="0015152F"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114,3</w:t>
            </w:r>
            <w:r w:rsidR="00D01D81" w:rsidRPr="00A53AD7">
              <w:rPr>
                <w:rFonts w:ascii="Times New Roman" w:eastAsia="Times New Roman" w:hAnsi="Times New Roman"/>
                <w:lang w:eastAsia="ru-RU"/>
              </w:rPr>
              <w:t xml:space="preserve"> </w:t>
            </w:r>
          </w:p>
        </w:tc>
        <w:tc>
          <w:tcPr>
            <w:tcW w:w="1150" w:type="dxa"/>
            <w:tcBorders>
              <w:top w:val="nil"/>
              <w:left w:val="nil"/>
              <w:bottom w:val="double" w:sz="6" w:space="0" w:color="auto"/>
              <w:right w:val="single" w:sz="4" w:space="0" w:color="auto"/>
            </w:tcBorders>
            <w:shd w:val="clear" w:color="auto" w:fill="auto"/>
            <w:noWrap/>
            <w:vAlign w:val="bottom"/>
            <w:hideMark/>
          </w:tcPr>
          <w:p w14:paraId="25BFEF8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63 568,7 </w:t>
            </w:r>
          </w:p>
        </w:tc>
        <w:tc>
          <w:tcPr>
            <w:tcW w:w="1685" w:type="dxa"/>
            <w:tcBorders>
              <w:top w:val="nil"/>
              <w:left w:val="nil"/>
              <w:bottom w:val="double" w:sz="6" w:space="0" w:color="auto"/>
              <w:right w:val="double" w:sz="6" w:space="0" w:color="auto"/>
            </w:tcBorders>
            <w:shd w:val="clear" w:color="auto" w:fill="auto"/>
            <w:noWrap/>
            <w:vAlign w:val="bottom"/>
            <w:hideMark/>
          </w:tcPr>
          <w:p w14:paraId="4F5445F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107,5</w:t>
            </w:r>
          </w:p>
        </w:tc>
      </w:tr>
    </w:tbl>
    <w:p w14:paraId="3A10DBF8" w14:textId="77777777" w:rsidR="00980456" w:rsidRPr="00A53AD7" w:rsidRDefault="00980456" w:rsidP="00D01D81">
      <w:pPr>
        <w:spacing w:after="0" w:line="240" w:lineRule="auto"/>
        <w:ind w:firstLine="851"/>
        <w:jc w:val="both"/>
        <w:rPr>
          <w:rFonts w:ascii="Times New Roman" w:hAnsi="Times New Roman"/>
          <w:sz w:val="28"/>
          <w:szCs w:val="28"/>
        </w:rPr>
      </w:pPr>
    </w:p>
    <w:p w14:paraId="59EA9998" w14:textId="603DC61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Налоговые и неналоговые доходы, исчисляемые и уплачиваемые плательщиками Архангельской области, поступили в областной бюджет </w:t>
      </w:r>
      <w:r w:rsidR="00980456" w:rsidRPr="00A53AD7">
        <w:rPr>
          <w:rFonts w:ascii="Times New Roman" w:hAnsi="Times New Roman"/>
          <w:sz w:val="28"/>
          <w:szCs w:val="28"/>
        </w:rPr>
        <w:t xml:space="preserve">в отчетном году </w:t>
      </w:r>
      <w:r w:rsidRPr="00A53AD7">
        <w:rPr>
          <w:rFonts w:ascii="Times New Roman" w:hAnsi="Times New Roman"/>
          <w:sz w:val="28"/>
          <w:szCs w:val="28"/>
        </w:rPr>
        <w:t xml:space="preserve">в сумме 55 706,1 млн.руб., что на 8,1 % больше уровня 2018 года, от плательщиков Ненецкого автономного округа поступило </w:t>
      </w:r>
      <w:r w:rsidR="000C6362" w:rsidRPr="00A53AD7">
        <w:rPr>
          <w:rFonts w:ascii="Times New Roman" w:hAnsi="Times New Roman"/>
          <w:sz w:val="28"/>
          <w:szCs w:val="28"/>
        </w:rPr>
        <w:t>7 862,6</w:t>
      </w:r>
      <w:r w:rsidRPr="00A53AD7">
        <w:rPr>
          <w:rFonts w:ascii="Times New Roman" w:hAnsi="Times New Roman"/>
          <w:sz w:val="28"/>
          <w:szCs w:val="28"/>
        </w:rPr>
        <w:t xml:space="preserve"> млн.руб., что на 3,</w:t>
      </w:r>
      <w:r w:rsidR="000C6362" w:rsidRPr="00A53AD7">
        <w:rPr>
          <w:rFonts w:ascii="Times New Roman" w:hAnsi="Times New Roman"/>
          <w:sz w:val="28"/>
          <w:szCs w:val="28"/>
        </w:rPr>
        <w:t>7</w:t>
      </w:r>
      <w:r w:rsidRPr="00A53AD7">
        <w:rPr>
          <w:rFonts w:ascii="Times New Roman" w:hAnsi="Times New Roman"/>
          <w:sz w:val="28"/>
          <w:szCs w:val="28"/>
        </w:rPr>
        <w:t> % превышает поступления 2018 года.</w:t>
      </w:r>
    </w:p>
    <w:p w14:paraId="18134CD7" w14:textId="5007665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прирост поступлени</w:t>
      </w:r>
      <w:r w:rsidR="00307967" w:rsidRPr="00A53AD7">
        <w:rPr>
          <w:rFonts w:ascii="Times New Roman" w:hAnsi="Times New Roman"/>
          <w:sz w:val="28"/>
          <w:szCs w:val="28"/>
        </w:rPr>
        <w:t>й</w:t>
      </w:r>
      <w:r w:rsidRPr="00A53AD7">
        <w:rPr>
          <w:rFonts w:ascii="Times New Roman" w:hAnsi="Times New Roman"/>
          <w:sz w:val="28"/>
          <w:szCs w:val="28"/>
        </w:rPr>
        <w:t xml:space="preserve"> налоговых и неналоговых доходов </w:t>
      </w:r>
      <w:r w:rsidR="00307967" w:rsidRPr="00A53AD7">
        <w:rPr>
          <w:rFonts w:ascii="Times New Roman" w:hAnsi="Times New Roman"/>
          <w:sz w:val="28"/>
          <w:szCs w:val="28"/>
        </w:rPr>
        <w:t xml:space="preserve">от </w:t>
      </w:r>
      <w:r w:rsidRPr="00A53AD7">
        <w:rPr>
          <w:rFonts w:ascii="Times New Roman" w:hAnsi="Times New Roman"/>
          <w:sz w:val="28"/>
          <w:szCs w:val="28"/>
        </w:rPr>
        <w:t>плательщик</w:t>
      </w:r>
      <w:r w:rsidR="00307967" w:rsidRPr="00A53AD7">
        <w:rPr>
          <w:rFonts w:ascii="Times New Roman" w:hAnsi="Times New Roman"/>
          <w:sz w:val="28"/>
          <w:szCs w:val="28"/>
        </w:rPr>
        <w:t>ов</w:t>
      </w:r>
      <w:r w:rsidRPr="00A53AD7">
        <w:rPr>
          <w:rFonts w:ascii="Times New Roman" w:hAnsi="Times New Roman"/>
          <w:sz w:val="28"/>
          <w:szCs w:val="28"/>
        </w:rPr>
        <w:t xml:space="preserve"> Архангельской области и Ненецкого автономного округа в 2019 году к предыдущему году ниже, чем прирост указанных доходов в 2018 го</w:t>
      </w:r>
      <w:r w:rsidR="00307967" w:rsidRPr="00A53AD7">
        <w:rPr>
          <w:rFonts w:ascii="Times New Roman" w:hAnsi="Times New Roman"/>
          <w:sz w:val="28"/>
          <w:szCs w:val="28"/>
        </w:rPr>
        <w:t>ду к 2017 году.</w:t>
      </w:r>
    </w:p>
    <w:p w14:paraId="377787CF" w14:textId="77777777" w:rsidR="00D01D81" w:rsidRPr="00A53AD7" w:rsidRDefault="00D01D81" w:rsidP="00D01D81">
      <w:pPr>
        <w:spacing w:after="0" w:line="240" w:lineRule="auto"/>
        <w:ind w:firstLine="851"/>
        <w:jc w:val="both"/>
        <w:rPr>
          <w:rFonts w:ascii="Times New Roman" w:hAnsi="Times New Roman"/>
          <w:sz w:val="28"/>
          <w:szCs w:val="28"/>
          <w:highlight w:val="cyan"/>
        </w:rPr>
      </w:pPr>
    </w:p>
    <w:p w14:paraId="7872954F" w14:textId="77777777" w:rsidR="00307967"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 В структуре налоговых и неналоговых поступлений в областной бюджет за 2019 год удельный вес </w:t>
      </w:r>
      <w:r w:rsidRPr="00A53AD7">
        <w:rPr>
          <w:rFonts w:ascii="Times New Roman" w:hAnsi="Times New Roman"/>
          <w:sz w:val="28"/>
          <w:szCs w:val="28"/>
          <w:u w:val="single"/>
        </w:rPr>
        <w:t>налога на прибыль организаций</w:t>
      </w:r>
      <w:r w:rsidRPr="00A53AD7">
        <w:rPr>
          <w:rFonts w:ascii="Times New Roman" w:hAnsi="Times New Roman"/>
          <w:sz w:val="28"/>
          <w:szCs w:val="28"/>
        </w:rPr>
        <w:t xml:space="preserve"> составляет 32,4 %. Поступило налога в сумме 20 584,6 млн.руб., что на 1 743,1 млн.руб. или на 9,3 % превышает показатели кассового плана, из них от плательщиков Архангельской области получено 14 364,2 млн.руб. или 69,8 % от общей суммы поступившего налога, от плательщиков НАО – 6 220,4 млн.руб. или 30,2 %.</w:t>
      </w:r>
    </w:p>
    <w:p w14:paraId="7FA1D069" w14:textId="07CB4CF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2018 году налог на прибыль от организаций, осуществляющих свою деятельность на территории Архангельской области, поступил</w:t>
      </w:r>
      <w:r w:rsidR="00307967" w:rsidRPr="00A53AD7">
        <w:rPr>
          <w:rFonts w:ascii="Times New Roman" w:hAnsi="Times New Roman"/>
          <w:sz w:val="28"/>
          <w:szCs w:val="28"/>
        </w:rPr>
        <w:t xml:space="preserve"> в сумме</w:t>
      </w:r>
      <w:r w:rsidRPr="00A53AD7">
        <w:rPr>
          <w:rFonts w:ascii="Times New Roman" w:hAnsi="Times New Roman"/>
          <w:sz w:val="28"/>
          <w:szCs w:val="28"/>
        </w:rPr>
        <w:t xml:space="preserve"> 12 894,9 млн.руб. или 68,3 %, от плательщиков НАО – 5 973,4 млн.руб. или 31,7 %, а в целом поступление налога на прибыль от организаций </w:t>
      </w:r>
      <w:r w:rsidR="00307967" w:rsidRPr="00A53AD7">
        <w:rPr>
          <w:rFonts w:ascii="Times New Roman" w:hAnsi="Times New Roman"/>
          <w:sz w:val="28"/>
          <w:szCs w:val="28"/>
        </w:rPr>
        <w:t xml:space="preserve">в 2018 году </w:t>
      </w:r>
      <w:r w:rsidRPr="00A53AD7">
        <w:rPr>
          <w:rFonts w:ascii="Times New Roman" w:hAnsi="Times New Roman"/>
          <w:sz w:val="28"/>
          <w:szCs w:val="28"/>
        </w:rPr>
        <w:t>составило 18 868,3 млн.руб.</w:t>
      </w:r>
    </w:p>
    <w:p w14:paraId="4909CD28" w14:textId="6761791C" w:rsidR="00BE7FDC" w:rsidRPr="00A53AD7" w:rsidRDefault="00BE7FDC" w:rsidP="00BE7FD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Необходимо отметить, что в 2019 году три раза (в июле, ноябре и декабре) на 1 637,7 млн.руб. увеличен план поступления налога на прибыль организаций, в результате чего </w:t>
      </w:r>
      <w:r w:rsidR="00AD51D8" w:rsidRPr="00A53AD7">
        <w:rPr>
          <w:rFonts w:ascii="Times New Roman" w:hAnsi="Times New Roman"/>
          <w:sz w:val="28"/>
          <w:szCs w:val="28"/>
        </w:rPr>
        <w:t>он</w:t>
      </w:r>
      <w:r w:rsidRPr="00A53AD7">
        <w:rPr>
          <w:rFonts w:ascii="Times New Roman" w:hAnsi="Times New Roman"/>
          <w:sz w:val="28"/>
          <w:szCs w:val="28"/>
        </w:rPr>
        <w:t xml:space="preserve"> составил</w:t>
      </w:r>
      <w:r w:rsidR="00AD51D8" w:rsidRPr="00A53AD7">
        <w:rPr>
          <w:rFonts w:ascii="Times New Roman" w:hAnsi="Times New Roman"/>
          <w:sz w:val="28"/>
          <w:szCs w:val="28"/>
        </w:rPr>
        <w:t xml:space="preserve"> на отчетную дату</w:t>
      </w:r>
      <w:r w:rsidRPr="00A53AD7">
        <w:rPr>
          <w:rFonts w:ascii="Times New Roman" w:hAnsi="Times New Roman"/>
          <w:sz w:val="28"/>
          <w:szCs w:val="28"/>
        </w:rPr>
        <w:t xml:space="preserve"> 18 841,5 млн.руб. Увеличение обусловлено динамикой текущих поступлений и оперативными данными статистики в части сальдированного финансового результата организаций.</w:t>
      </w:r>
    </w:p>
    <w:p w14:paraId="13233A1F" w14:textId="4B6C9DC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кассового плана по налогу на прибыль организаций в 201</w:t>
      </w:r>
      <w:r w:rsidR="00AD51D8" w:rsidRPr="00A53AD7">
        <w:rPr>
          <w:rFonts w:ascii="Times New Roman" w:hAnsi="Times New Roman"/>
          <w:sz w:val="28"/>
          <w:szCs w:val="28"/>
        </w:rPr>
        <w:t>8</w:t>
      </w:r>
      <w:r w:rsidRPr="00A53AD7">
        <w:rPr>
          <w:rFonts w:ascii="Times New Roman" w:hAnsi="Times New Roman"/>
          <w:sz w:val="28"/>
          <w:szCs w:val="28"/>
        </w:rPr>
        <w:t xml:space="preserve"> – 201</w:t>
      </w:r>
      <w:r w:rsidR="00AD51D8" w:rsidRPr="00A53AD7">
        <w:rPr>
          <w:rFonts w:ascii="Times New Roman" w:hAnsi="Times New Roman"/>
          <w:sz w:val="28"/>
          <w:szCs w:val="28"/>
        </w:rPr>
        <w:t>9</w:t>
      </w:r>
      <w:r w:rsidRPr="00A53AD7">
        <w:rPr>
          <w:rFonts w:ascii="Times New Roman" w:hAnsi="Times New Roman"/>
          <w:sz w:val="28"/>
          <w:szCs w:val="28"/>
        </w:rPr>
        <w:t xml:space="preserve"> годах представлено в таблице </w:t>
      </w:r>
      <w:r w:rsidR="00F5645E" w:rsidRPr="00A53AD7">
        <w:rPr>
          <w:rFonts w:ascii="Times New Roman" w:hAnsi="Times New Roman"/>
          <w:sz w:val="28"/>
          <w:szCs w:val="28"/>
        </w:rPr>
        <w:t>26</w:t>
      </w:r>
      <w:r w:rsidRPr="00A53AD7">
        <w:rPr>
          <w:rFonts w:ascii="Times New Roman" w:hAnsi="Times New Roman"/>
          <w:sz w:val="28"/>
          <w:szCs w:val="28"/>
        </w:rPr>
        <w:t>:</w:t>
      </w:r>
    </w:p>
    <w:p w14:paraId="49797886" w14:textId="77777777" w:rsidR="00D01D81" w:rsidRPr="00A53AD7" w:rsidRDefault="00D01D81" w:rsidP="00D01D81">
      <w:pPr>
        <w:spacing w:after="0" w:line="240" w:lineRule="auto"/>
        <w:ind w:firstLine="851"/>
        <w:jc w:val="both"/>
        <w:rPr>
          <w:rFonts w:ascii="Times New Roman" w:hAnsi="Times New Roman"/>
          <w:sz w:val="28"/>
          <w:szCs w:val="28"/>
          <w:highlight w:val="cyan"/>
        </w:rPr>
      </w:pPr>
    </w:p>
    <w:p w14:paraId="20ED9E48" w14:textId="77777777" w:rsidR="00F5645E" w:rsidRPr="00A53AD7" w:rsidRDefault="00F5645E" w:rsidP="00D01D81">
      <w:pPr>
        <w:spacing w:after="0" w:line="240" w:lineRule="auto"/>
        <w:rPr>
          <w:rFonts w:ascii="Times New Roman" w:hAnsi="Times New Roman"/>
          <w:sz w:val="24"/>
          <w:szCs w:val="24"/>
        </w:rPr>
      </w:pPr>
    </w:p>
    <w:p w14:paraId="56DDF277" w14:textId="77777777" w:rsidR="00F5645E" w:rsidRPr="00A53AD7" w:rsidRDefault="00F5645E" w:rsidP="00D01D81">
      <w:pPr>
        <w:spacing w:after="0" w:line="240" w:lineRule="auto"/>
        <w:rPr>
          <w:rFonts w:ascii="Times New Roman" w:hAnsi="Times New Roman"/>
          <w:sz w:val="24"/>
          <w:szCs w:val="24"/>
        </w:rPr>
      </w:pPr>
    </w:p>
    <w:p w14:paraId="1BABB5EB" w14:textId="77777777" w:rsidR="00F5645E" w:rsidRPr="00A53AD7" w:rsidRDefault="00F5645E" w:rsidP="00D01D81">
      <w:pPr>
        <w:spacing w:after="0" w:line="240" w:lineRule="auto"/>
        <w:rPr>
          <w:rFonts w:ascii="Times New Roman" w:hAnsi="Times New Roman"/>
          <w:sz w:val="24"/>
          <w:szCs w:val="24"/>
        </w:rPr>
      </w:pPr>
    </w:p>
    <w:p w14:paraId="256EC76C" w14:textId="77777777" w:rsidR="00F5645E" w:rsidRPr="00A53AD7" w:rsidRDefault="00F5645E" w:rsidP="00D01D81">
      <w:pPr>
        <w:spacing w:after="0" w:line="240" w:lineRule="auto"/>
        <w:rPr>
          <w:rFonts w:ascii="Times New Roman" w:hAnsi="Times New Roman"/>
          <w:sz w:val="24"/>
          <w:szCs w:val="24"/>
        </w:rPr>
      </w:pPr>
    </w:p>
    <w:p w14:paraId="54118E89" w14:textId="463EEF43"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lastRenderedPageBreak/>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26</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Pr="00A53AD7">
        <w:rPr>
          <w:rFonts w:ascii="Times New Roman" w:hAnsi="Times New Roman"/>
          <w:sz w:val="24"/>
          <w:szCs w:val="24"/>
        </w:rPr>
        <w:t>Выполнение кассового плана поступлени</w:t>
      </w:r>
      <w:r w:rsidR="00307967" w:rsidRPr="00A53AD7">
        <w:rPr>
          <w:rFonts w:ascii="Times New Roman" w:hAnsi="Times New Roman"/>
          <w:sz w:val="24"/>
          <w:szCs w:val="24"/>
        </w:rPr>
        <w:t>я</w:t>
      </w:r>
      <w:r w:rsidRPr="00A53AD7">
        <w:rPr>
          <w:rFonts w:ascii="Times New Roman" w:hAnsi="Times New Roman"/>
          <w:sz w:val="24"/>
          <w:szCs w:val="24"/>
        </w:rPr>
        <w:t xml:space="preserve"> налога на прибыль организаций за 2019 год, млн.руб.</w:t>
      </w:r>
    </w:p>
    <w:tbl>
      <w:tblPr>
        <w:tblW w:w="9355" w:type="dxa"/>
        <w:tblLayout w:type="fixed"/>
        <w:tblLook w:val="04A0" w:firstRow="1" w:lastRow="0" w:firstColumn="1" w:lastColumn="0" w:noHBand="0" w:noVBand="1"/>
      </w:tblPr>
      <w:tblGrid>
        <w:gridCol w:w="1678"/>
        <w:gridCol w:w="1134"/>
        <w:gridCol w:w="1134"/>
        <w:gridCol w:w="1134"/>
        <w:gridCol w:w="1025"/>
        <w:gridCol w:w="1123"/>
        <w:gridCol w:w="1025"/>
        <w:gridCol w:w="1102"/>
      </w:tblGrid>
      <w:tr w:rsidR="00A53AD7" w:rsidRPr="00A53AD7" w14:paraId="6F9A8BC2" w14:textId="77777777" w:rsidTr="00307967">
        <w:trPr>
          <w:trHeight w:val="95"/>
        </w:trPr>
        <w:tc>
          <w:tcPr>
            <w:tcW w:w="167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0960027"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Категория плательщиков</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5909E99" w14:textId="4B493C64"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 2018</w:t>
            </w:r>
            <w:r w:rsidR="00307967"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82149E5" w14:textId="539EA33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Кассовый план 2019</w:t>
            </w:r>
            <w:r w:rsidR="00307967"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01CA8C4" w14:textId="07E85B7C"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 2019</w:t>
            </w:r>
            <w:r w:rsidR="00307967"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4275" w:type="dxa"/>
            <w:gridSpan w:val="4"/>
            <w:tcBorders>
              <w:top w:val="double" w:sz="6" w:space="0" w:color="auto"/>
              <w:left w:val="nil"/>
              <w:bottom w:val="single" w:sz="4" w:space="0" w:color="auto"/>
              <w:right w:val="double" w:sz="6" w:space="0" w:color="000000"/>
            </w:tcBorders>
            <w:shd w:val="clear" w:color="auto" w:fill="auto"/>
            <w:vAlign w:val="center"/>
            <w:hideMark/>
          </w:tcPr>
          <w:p w14:paraId="0683212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w:t>
            </w:r>
          </w:p>
        </w:tc>
      </w:tr>
      <w:tr w:rsidR="00A53AD7" w:rsidRPr="00A53AD7" w14:paraId="751AD15F" w14:textId="77777777" w:rsidTr="00AD51D8">
        <w:trPr>
          <w:trHeight w:val="347"/>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16F08817"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4A1A283"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67E4525B"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3D3853F0" w14:textId="77777777" w:rsidR="00D01D81" w:rsidRPr="00A53AD7" w:rsidRDefault="00D01D81" w:rsidP="00BA5523">
            <w:pPr>
              <w:spacing w:after="0" w:line="240" w:lineRule="auto"/>
              <w:rPr>
                <w:rFonts w:ascii="Times New Roman" w:eastAsia="Times New Roman" w:hAnsi="Times New Roman"/>
                <w:lang w:eastAsia="ru-RU"/>
              </w:rPr>
            </w:pPr>
          </w:p>
        </w:tc>
        <w:tc>
          <w:tcPr>
            <w:tcW w:w="2148" w:type="dxa"/>
            <w:gridSpan w:val="2"/>
            <w:tcBorders>
              <w:top w:val="single" w:sz="4" w:space="0" w:color="auto"/>
              <w:left w:val="nil"/>
              <w:bottom w:val="single" w:sz="4" w:space="0" w:color="auto"/>
              <w:right w:val="single" w:sz="4" w:space="0" w:color="auto"/>
            </w:tcBorders>
            <w:shd w:val="clear" w:color="auto" w:fill="auto"/>
            <w:vAlign w:val="center"/>
            <w:hideMark/>
          </w:tcPr>
          <w:p w14:paraId="34F8E0B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кассовому плану 2019 года</w:t>
            </w:r>
          </w:p>
        </w:tc>
        <w:tc>
          <w:tcPr>
            <w:tcW w:w="2127" w:type="dxa"/>
            <w:gridSpan w:val="2"/>
            <w:tcBorders>
              <w:top w:val="single" w:sz="4" w:space="0" w:color="auto"/>
              <w:left w:val="nil"/>
              <w:bottom w:val="single" w:sz="4" w:space="0" w:color="auto"/>
              <w:right w:val="double" w:sz="6" w:space="0" w:color="000000"/>
            </w:tcBorders>
            <w:shd w:val="clear" w:color="auto" w:fill="auto"/>
            <w:vAlign w:val="center"/>
            <w:hideMark/>
          </w:tcPr>
          <w:p w14:paraId="4AD1FE6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исполнению за 2018 год</w:t>
            </w:r>
          </w:p>
        </w:tc>
      </w:tr>
      <w:tr w:rsidR="00A53AD7" w:rsidRPr="00A53AD7" w14:paraId="3FFFEEE9" w14:textId="77777777" w:rsidTr="00307967">
        <w:trPr>
          <w:trHeight w:val="108"/>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20DF1CAE"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A5BF9BB"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5884F74"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795CEAC8" w14:textId="77777777" w:rsidR="00D01D81" w:rsidRPr="00A53AD7" w:rsidRDefault="00D01D81" w:rsidP="00BA5523">
            <w:pPr>
              <w:spacing w:after="0" w:line="240" w:lineRule="auto"/>
              <w:rPr>
                <w:rFonts w:ascii="Times New Roman" w:eastAsia="Times New Roman" w:hAnsi="Times New Roman"/>
                <w:lang w:eastAsia="ru-RU"/>
              </w:rPr>
            </w:pPr>
          </w:p>
        </w:tc>
        <w:tc>
          <w:tcPr>
            <w:tcW w:w="1025" w:type="dxa"/>
            <w:tcBorders>
              <w:top w:val="nil"/>
              <w:left w:val="nil"/>
              <w:bottom w:val="single" w:sz="4" w:space="0" w:color="auto"/>
              <w:right w:val="single" w:sz="4" w:space="0" w:color="auto"/>
            </w:tcBorders>
            <w:shd w:val="clear" w:color="auto" w:fill="auto"/>
            <w:vAlign w:val="center"/>
            <w:hideMark/>
          </w:tcPr>
          <w:p w14:paraId="7CA7EC1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1123" w:type="dxa"/>
            <w:tcBorders>
              <w:top w:val="nil"/>
              <w:left w:val="nil"/>
              <w:bottom w:val="single" w:sz="4" w:space="0" w:color="auto"/>
              <w:right w:val="single" w:sz="4" w:space="0" w:color="auto"/>
            </w:tcBorders>
            <w:shd w:val="clear" w:color="auto" w:fill="auto"/>
            <w:vAlign w:val="center"/>
            <w:hideMark/>
          </w:tcPr>
          <w:p w14:paraId="5119553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1025" w:type="dxa"/>
            <w:tcBorders>
              <w:top w:val="nil"/>
              <w:left w:val="nil"/>
              <w:bottom w:val="single" w:sz="4" w:space="0" w:color="auto"/>
              <w:right w:val="single" w:sz="4" w:space="0" w:color="auto"/>
            </w:tcBorders>
            <w:shd w:val="clear" w:color="auto" w:fill="auto"/>
            <w:vAlign w:val="center"/>
            <w:hideMark/>
          </w:tcPr>
          <w:p w14:paraId="53E732F7"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1102" w:type="dxa"/>
            <w:tcBorders>
              <w:top w:val="nil"/>
              <w:left w:val="nil"/>
              <w:bottom w:val="single" w:sz="4" w:space="0" w:color="auto"/>
              <w:right w:val="double" w:sz="6" w:space="0" w:color="auto"/>
            </w:tcBorders>
            <w:shd w:val="clear" w:color="auto" w:fill="auto"/>
            <w:vAlign w:val="center"/>
            <w:hideMark/>
          </w:tcPr>
          <w:p w14:paraId="679AFD9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026BBDE8" w14:textId="77777777" w:rsidTr="00BA5523">
        <w:trPr>
          <w:trHeight w:val="300"/>
        </w:trPr>
        <w:tc>
          <w:tcPr>
            <w:tcW w:w="1678" w:type="dxa"/>
            <w:tcBorders>
              <w:top w:val="nil"/>
              <w:left w:val="double" w:sz="6" w:space="0" w:color="auto"/>
              <w:bottom w:val="single" w:sz="4" w:space="0" w:color="auto"/>
              <w:right w:val="single" w:sz="4" w:space="0" w:color="auto"/>
            </w:tcBorders>
            <w:shd w:val="clear" w:color="auto" w:fill="auto"/>
            <w:vAlign w:val="bottom"/>
            <w:hideMark/>
          </w:tcPr>
          <w:p w14:paraId="587D450C"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А</w:t>
            </w:r>
          </w:p>
        </w:tc>
        <w:tc>
          <w:tcPr>
            <w:tcW w:w="1134" w:type="dxa"/>
            <w:tcBorders>
              <w:top w:val="nil"/>
              <w:left w:val="nil"/>
              <w:bottom w:val="single" w:sz="4" w:space="0" w:color="auto"/>
              <w:right w:val="single" w:sz="4" w:space="0" w:color="auto"/>
            </w:tcBorders>
            <w:shd w:val="clear" w:color="auto" w:fill="auto"/>
            <w:vAlign w:val="bottom"/>
            <w:hideMark/>
          </w:tcPr>
          <w:p w14:paraId="58CEC67C"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134" w:type="dxa"/>
            <w:tcBorders>
              <w:top w:val="nil"/>
              <w:left w:val="nil"/>
              <w:bottom w:val="single" w:sz="4" w:space="0" w:color="auto"/>
              <w:right w:val="single" w:sz="4" w:space="0" w:color="auto"/>
            </w:tcBorders>
            <w:shd w:val="clear" w:color="auto" w:fill="auto"/>
            <w:vAlign w:val="bottom"/>
            <w:hideMark/>
          </w:tcPr>
          <w:p w14:paraId="0FA156D2"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134" w:type="dxa"/>
            <w:tcBorders>
              <w:top w:val="nil"/>
              <w:left w:val="nil"/>
              <w:bottom w:val="single" w:sz="4" w:space="0" w:color="auto"/>
              <w:right w:val="single" w:sz="4" w:space="0" w:color="auto"/>
            </w:tcBorders>
            <w:shd w:val="clear" w:color="auto" w:fill="auto"/>
            <w:vAlign w:val="bottom"/>
            <w:hideMark/>
          </w:tcPr>
          <w:p w14:paraId="3B8C6C9D"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1025" w:type="dxa"/>
            <w:tcBorders>
              <w:top w:val="nil"/>
              <w:left w:val="nil"/>
              <w:bottom w:val="single" w:sz="4" w:space="0" w:color="auto"/>
              <w:right w:val="single" w:sz="4" w:space="0" w:color="auto"/>
            </w:tcBorders>
            <w:shd w:val="clear" w:color="auto" w:fill="auto"/>
            <w:vAlign w:val="bottom"/>
            <w:hideMark/>
          </w:tcPr>
          <w:p w14:paraId="152F90F7"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4=3-2</w:t>
            </w:r>
          </w:p>
        </w:tc>
        <w:tc>
          <w:tcPr>
            <w:tcW w:w="1123" w:type="dxa"/>
            <w:tcBorders>
              <w:top w:val="nil"/>
              <w:left w:val="nil"/>
              <w:bottom w:val="single" w:sz="4" w:space="0" w:color="auto"/>
              <w:right w:val="single" w:sz="4" w:space="0" w:color="auto"/>
            </w:tcBorders>
            <w:shd w:val="clear" w:color="auto" w:fill="auto"/>
            <w:vAlign w:val="bottom"/>
            <w:hideMark/>
          </w:tcPr>
          <w:p w14:paraId="5CD9039C" w14:textId="77777777" w:rsidR="00D01D81" w:rsidRPr="00A53AD7" w:rsidRDefault="00D01D81" w:rsidP="00BA5523">
            <w:pPr>
              <w:spacing w:after="0" w:line="240" w:lineRule="auto"/>
              <w:ind w:left="-119" w:right="-108"/>
              <w:jc w:val="center"/>
              <w:rPr>
                <w:rFonts w:ascii="Times New Roman" w:eastAsia="Times New Roman" w:hAnsi="Times New Roman"/>
                <w:lang w:eastAsia="ru-RU"/>
              </w:rPr>
            </w:pPr>
            <w:r w:rsidRPr="00A53AD7">
              <w:rPr>
                <w:rFonts w:ascii="Times New Roman" w:eastAsia="Times New Roman" w:hAnsi="Times New Roman"/>
                <w:lang w:eastAsia="ru-RU"/>
              </w:rPr>
              <w:t>5=3/2*100</w:t>
            </w:r>
          </w:p>
        </w:tc>
        <w:tc>
          <w:tcPr>
            <w:tcW w:w="1025" w:type="dxa"/>
            <w:tcBorders>
              <w:top w:val="nil"/>
              <w:left w:val="nil"/>
              <w:bottom w:val="single" w:sz="4" w:space="0" w:color="auto"/>
              <w:right w:val="single" w:sz="4" w:space="0" w:color="auto"/>
            </w:tcBorders>
            <w:shd w:val="clear" w:color="auto" w:fill="auto"/>
            <w:vAlign w:val="bottom"/>
            <w:hideMark/>
          </w:tcPr>
          <w:p w14:paraId="0C6C5423"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6=3-1</w:t>
            </w:r>
          </w:p>
        </w:tc>
        <w:tc>
          <w:tcPr>
            <w:tcW w:w="1102" w:type="dxa"/>
            <w:tcBorders>
              <w:top w:val="nil"/>
              <w:left w:val="nil"/>
              <w:bottom w:val="single" w:sz="4" w:space="0" w:color="auto"/>
              <w:right w:val="double" w:sz="6" w:space="0" w:color="auto"/>
            </w:tcBorders>
            <w:shd w:val="clear" w:color="auto" w:fill="auto"/>
            <w:vAlign w:val="bottom"/>
            <w:hideMark/>
          </w:tcPr>
          <w:p w14:paraId="32E47BBD" w14:textId="77777777" w:rsidR="00D01D81" w:rsidRPr="00A53AD7" w:rsidRDefault="00D01D81" w:rsidP="00BA5523">
            <w:pPr>
              <w:spacing w:after="0" w:line="240" w:lineRule="auto"/>
              <w:ind w:left="-140" w:right="-38"/>
              <w:jc w:val="center"/>
              <w:rPr>
                <w:rFonts w:ascii="Times New Roman" w:eastAsia="Times New Roman" w:hAnsi="Times New Roman"/>
                <w:lang w:eastAsia="ru-RU"/>
              </w:rPr>
            </w:pPr>
            <w:r w:rsidRPr="00A53AD7">
              <w:rPr>
                <w:rFonts w:ascii="Times New Roman" w:eastAsia="Times New Roman" w:hAnsi="Times New Roman"/>
                <w:lang w:eastAsia="ru-RU"/>
              </w:rPr>
              <w:t>7=3/1*100</w:t>
            </w:r>
          </w:p>
        </w:tc>
      </w:tr>
      <w:tr w:rsidR="00A53AD7" w:rsidRPr="00A53AD7" w14:paraId="77090654" w14:textId="77777777" w:rsidTr="00BA5523">
        <w:trPr>
          <w:trHeight w:val="476"/>
        </w:trPr>
        <w:tc>
          <w:tcPr>
            <w:tcW w:w="1678" w:type="dxa"/>
            <w:tcBorders>
              <w:top w:val="nil"/>
              <w:left w:val="double" w:sz="6" w:space="0" w:color="auto"/>
              <w:bottom w:val="single" w:sz="4" w:space="0" w:color="auto"/>
              <w:right w:val="single" w:sz="4" w:space="0" w:color="auto"/>
            </w:tcBorders>
            <w:shd w:val="clear" w:color="auto" w:fill="auto"/>
            <w:vAlign w:val="bottom"/>
            <w:hideMark/>
          </w:tcPr>
          <w:p w14:paraId="7A612241"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Архангельской области</w:t>
            </w:r>
          </w:p>
        </w:tc>
        <w:tc>
          <w:tcPr>
            <w:tcW w:w="1134" w:type="dxa"/>
            <w:tcBorders>
              <w:top w:val="nil"/>
              <w:left w:val="nil"/>
              <w:bottom w:val="single" w:sz="4" w:space="0" w:color="auto"/>
              <w:right w:val="single" w:sz="4" w:space="0" w:color="auto"/>
            </w:tcBorders>
            <w:shd w:val="clear" w:color="auto" w:fill="auto"/>
            <w:vAlign w:val="bottom"/>
            <w:hideMark/>
          </w:tcPr>
          <w:p w14:paraId="7B6C019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12 894,9 </w:t>
            </w:r>
          </w:p>
        </w:tc>
        <w:tc>
          <w:tcPr>
            <w:tcW w:w="1134" w:type="dxa"/>
            <w:tcBorders>
              <w:top w:val="nil"/>
              <w:left w:val="nil"/>
              <w:bottom w:val="single" w:sz="4" w:space="0" w:color="auto"/>
              <w:right w:val="single" w:sz="4" w:space="0" w:color="auto"/>
            </w:tcBorders>
            <w:shd w:val="clear" w:color="auto" w:fill="auto"/>
            <w:vAlign w:val="bottom"/>
            <w:hideMark/>
          </w:tcPr>
          <w:p w14:paraId="7984DC1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12 717,2 </w:t>
            </w:r>
          </w:p>
        </w:tc>
        <w:tc>
          <w:tcPr>
            <w:tcW w:w="1134" w:type="dxa"/>
            <w:tcBorders>
              <w:top w:val="nil"/>
              <w:left w:val="nil"/>
              <w:bottom w:val="single" w:sz="4" w:space="0" w:color="auto"/>
              <w:right w:val="single" w:sz="4" w:space="0" w:color="auto"/>
            </w:tcBorders>
            <w:shd w:val="clear" w:color="auto" w:fill="auto"/>
            <w:vAlign w:val="bottom"/>
            <w:hideMark/>
          </w:tcPr>
          <w:p w14:paraId="78FC0BA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14 364,2 </w:t>
            </w:r>
          </w:p>
        </w:tc>
        <w:tc>
          <w:tcPr>
            <w:tcW w:w="1025" w:type="dxa"/>
            <w:tcBorders>
              <w:top w:val="nil"/>
              <w:left w:val="nil"/>
              <w:bottom w:val="single" w:sz="4" w:space="0" w:color="auto"/>
              <w:right w:val="single" w:sz="4" w:space="0" w:color="auto"/>
            </w:tcBorders>
            <w:shd w:val="clear" w:color="auto" w:fill="auto"/>
            <w:vAlign w:val="bottom"/>
            <w:hideMark/>
          </w:tcPr>
          <w:p w14:paraId="785934B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1 647,0 </w:t>
            </w:r>
          </w:p>
        </w:tc>
        <w:tc>
          <w:tcPr>
            <w:tcW w:w="1123" w:type="dxa"/>
            <w:tcBorders>
              <w:top w:val="nil"/>
              <w:left w:val="nil"/>
              <w:bottom w:val="single" w:sz="4" w:space="0" w:color="auto"/>
              <w:right w:val="single" w:sz="4" w:space="0" w:color="auto"/>
            </w:tcBorders>
            <w:shd w:val="clear" w:color="auto" w:fill="auto"/>
            <w:vAlign w:val="bottom"/>
            <w:hideMark/>
          </w:tcPr>
          <w:p w14:paraId="1148C30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113,0 </w:t>
            </w:r>
          </w:p>
        </w:tc>
        <w:tc>
          <w:tcPr>
            <w:tcW w:w="1025" w:type="dxa"/>
            <w:tcBorders>
              <w:top w:val="nil"/>
              <w:left w:val="nil"/>
              <w:bottom w:val="single" w:sz="4" w:space="0" w:color="auto"/>
              <w:right w:val="single" w:sz="4" w:space="0" w:color="auto"/>
            </w:tcBorders>
            <w:shd w:val="clear" w:color="auto" w:fill="auto"/>
            <w:vAlign w:val="bottom"/>
            <w:hideMark/>
          </w:tcPr>
          <w:p w14:paraId="2F6E95F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1 469,3 </w:t>
            </w:r>
          </w:p>
        </w:tc>
        <w:tc>
          <w:tcPr>
            <w:tcW w:w="1102" w:type="dxa"/>
            <w:tcBorders>
              <w:top w:val="nil"/>
              <w:left w:val="nil"/>
              <w:bottom w:val="single" w:sz="4" w:space="0" w:color="auto"/>
              <w:right w:val="double" w:sz="6" w:space="0" w:color="auto"/>
            </w:tcBorders>
            <w:shd w:val="clear" w:color="auto" w:fill="auto"/>
            <w:vAlign w:val="bottom"/>
            <w:hideMark/>
          </w:tcPr>
          <w:p w14:paraId="407C2E4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111,4 </w:t>
            </w:r>
          </w:p>
        </w:tc>
      </w:tr>
      <w:tr w:rsidR="00A53AD7" w:rsidRPr="00A53AD7" w14:paraId="2E57F4D9" w14:textId="77777777" w:rsidTr="00BA5523">
        <w:trPr>
          <w:trHeight w:val="583"/>
        </w:trPr>
        <w:tc>
          <w:tcPr>
            <w:tcW w:w="1678" w:type="dxa"/>
            <w:tcBorders>
              <w:top w:val="nil"/>
              <w:left w:val="double" w:sz="6" w:space="0" w:color="auto"/>
              <w:bottom w:val="single" w:sz="4" w:space="0" w:color="auto"/>
              <w:right w:val="single" w:sz="4" w:space="0" w:color="auto"/>
            </w:tcBorders>
            <w:shd w:val="clear" w:color="auto" w:fill="auto"/>
            <w:vAlign w:val="bottom"/>
            <w:hideMark/>
          </w:tcPr>
          <w:p w14:paraId="3044B3DC"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Ненецкого автономного округа</w:t>
            </w:r>
          </w:p>
        </w:tc>
        <w:tc>
          <w:tcPr>
            <w:tcW w:w="1134" w:type="dxa"/>
            <w:tcBorders>
              <w:top w:val="nil"/>
              <w:left w:val="nil"/>
              <w:bottom w:val="single" w:sz="4" w:space="0" w:color="auto"/>
              <w:right w:val="single" w:sz="4" w:space="0" w:color="auto"/>
            </w:tcBorders>
            <w:shd w:val="clear" w:color="auto" w:fill="auto"/>
            <w:vAlign w:val="bottom"/>
            <w:hideMark/>
          </w:tcPr>
          <w:p w14:paraId="56B4D5C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5 973,4 </w:t>
            </w:r>
          </w:p>
        </w:tc>
        <w:tc>
          <w:tcPr>
            <w:tcW w:w="1134" w:type="dxa"/>
            <w:tcBorders>
              <w:top w:val="nil"/>
              <w:left w:val="nil"/>
              <w:bottom w:val="single" w:sz="4" w:space="0" w:color="auto"/>
              <w:right w:val="single" w:sz="4" w:space="0" w:color="auto"/>
            </w:tcBorders>
            <w:shd w:val="clear" w:color="auto" w:fill="auto"/>
            <w:vAlign w:val="bottom"/>
            <w:hideMark/>
          </w:tcPr>
          <w:p w14:paraId="727987A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6 124,3 </w:t>
            </w:r>
          </w:p>
        </w:tc>
        <w:tc>
          <w:tcPr>
            <w:tcW w:w="1134" w:type="dxa"/>
            <w:tcBorders>
              <w:top w:val="nil"/>
              <w:left w:val="nil"/>
              <w:bottom w:val="single" w:sz="4" w:space="0" w:color="auto"/>
              <w:right w:val="single" w:sz="4" w:space="0" w:color="auto"/>
            </w:tcBorders>
            <w:shd w:val="clear" w:color="auto" w:fill="auto"/>
            <w:vAlign w:val="bottom"/>
            <w:hideMark/>
          </w:tcPr>
          <w:p w14:paraId="3B57295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6 220,4 </w:t>
            </w:r>
          </w:p>
        </w:tc>
        <w:tc>
          <w:tcPr>
            <w:tcW w:w="1025" w:type="dxa"/>
            <w:tcBorders>
              <w:top w:val="nil"/>
              <w:left w:val="nil"/>
              <w:bottom w:val="single" w:sz="4" w:space="0" w:color="auto"/>
              <w:right w:val="single" w:sz="4" w:space="0" w:color="auto"/>
            </w:tcBorders>
            <w:shd w:val="clear" w:color="auto" w:fill="auto"/>
            <w:vAlign w:val="bottom"/>
            <w:hideMark/>
          </w:tcPr>
          <w:p w14:paraId="19DA476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96,1 </w:t>
            </w:r>
          </w:p>
        </w:tc>
        <w:tc>
          <w:tcPr>
            <w:tcW w:w="1123" w:type="dxa"/>
            <w:tcBorders>
              <w:top w:val="nil"/>
              <w:left w:val="nil"/>
              <w:bottom w:val="single" w:sz="4" w:space="0" w:color="auto"/>
              <w:right w:val="single" w:sz="4" w:space="0" w:color="auto"/>
            </w:tcBorders>
            <w:shd w:val="clear" w:color="auto" w:fill="auto"/>
            <w:vAlign w:val="bottom"/>
            <w:hideMark/>
          </w:tcPr>
          <w:p w14:paraId="65F0F402" w14:textId="77777777" w:rsidR="00D01D81" w:rsidRPr="00A53AD7" w:rsidRDefault="00D01D81" w:rsidP="00BA5523">
            <w:pPr>
              <w:spacing w:after="0" w:line="240" w:lineRule="auto"/>
              <w:ind w:left="-119"/>
              <w:jc w:val="right"/>
              <w:rPr>
                <w:rFonts w:ascii="Times New Roman" w:eastAsia="Times New Roman" w:hAnsi="Times New Roman"/>
                <w:lang w:eastAsia="ru-RU"/>
              </w:rPr>
            </w:pPr>
            <w:r w:rsidRPr="00A53AD7">
              <w:rPr>
                <w:rFonts w:ascii="Times New Roman" w:eastAsia="Times New Roman" w:hAnsi="Times New Roman"/>
                <w:lang w:eastAsia="ru-RU"/>
              </w:rPr>
              <w:t xml:space="preserve">101,6 </w:t>
            </w:r>
          </w:p>
        </w:tc>
        <w:tc>
          <w:tcPr>
            <w:tcW w:w="1025" w:type="dxa"/>
            <w:tcBorders>
              <w:top w:val="nil"/>
              <w:left w:val="nil"/>
              <w:bottom w:val="single" w:sz="4" w:space="0" w:color="auto"/>
              <w:right w:val="single" w:sz="4" w:space="0" w:color="auto"/>
            </w:tcBorders>
            <w:shd w:val="clear" w:color="auto" w:fill="auto"/>
            <w:vAlign w:val="bottom"/>
            <w:hideMark/>
          </w:tcPr>
          <w:p w14:paraId="67CDCB2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247,0 </w:t>
            </w:r>
          </w:p>
        </w:tc>
        <w:tc>
          <w:tcPr>
            <w:tcW w:w="1102" w:type="dxa"/>
            <w:tcBorders>
              <w:top w:val="nil"/>
              <w:left w:val="nil"/>
              <w:bottom w:val="single" w:sz="4" w:space="0" w:color="auto"/>
              <w:right w:val="double" w:sz="6" w:space="0" w:color="auto"/>
            </w:tcBorders>
            <w:shd w:val="clear" w:color="auto" w:fill="auto"/>
            <w:vAlign w:val="bottom"/>
            <w:hideMark/>
          </w:tcPr>
          <w:p w14:paraId="5CF7ED5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104,1 </w:t>
            </w:r>
          </w:p>
        </w:tc>
      </w:tr>
      <w:tr w:rsidR="00D01D81" w:rsidRPr="00A53AD7" w14:paraId="6A6C1800" w14:textId="77777777" w:rsidTr="00307967">
        <w:trPr>
          <w:trHeight w:val="225"/>
        </w:trPr>
        <w:tc>
          <w:tcPr>
            <w:tcW w:w="1678" w:type="dxa"/>
            <w:tcBorders>
              <w:top w:val="nil"/>
              <w:left w:val="double" w:sz="6" w:space="0" w:color="auto"/>
              <w:bottom w:val="double" w:sz="6" w:space="0" w:color="auto"/>
              <w:right w:val="single" w:sz="4" w:space="0" w:color="auto"/>
            </w:tcBorders>
            <w:shd w:val="clear" w:color="auto" w:fill="auto"/>
            <w:vAlign w:val="center"/>
            <w:hideMark/>
          </w:tcPr>
          <w:p w14:paraId="7F58FA0D"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137DC10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18 868,3 </w:t>
            </w:r>
          </w:p>
        </w:tc>
        <w:tc>
          <w:tcPr>
            <w:tcW w:w="1134" w:type="dxa"/>
            <w:tcBorders>
              <w:top w:val="nil"/>
              <w:left w:val="nil"/>
              <w:bottom w:val="double" w:sz="6" w:space="0" w:color="auto"/>
              <w:right w:val="single" w:sz="4" w:space="0" w:color="auto"/>
            </w:tcBorders>
            <w:shd w:val="clear" w:color="auto" w:fill="auto"/>
            <w:vAlign w:val="center"/>
            <w:hideMark/>
          </w:tcPr>
          <w:p w14:paraId="5A63109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18 841,5 </w:t>
            </w:r>
          </w:p>
        </w:tc>
        <w:tc>
          <w:tcPr>
            <w:tcW w:w="1134" w:type="dxa"/>
            <w:tcBorders>
              <w:top w:val="nil"/>
              <w:left w:val="nil"/>
              <w:bottom w:val="double" w:sz="6" w:space="0" w:color="auto"/>
              <w:right w:val="single" w:sz="4" w:space="0" w:color="auto"/>
            </w:tcBorders>
            <w:shd w:val="clear" w:color="auto" w:fill="auto"/>
            <w:vAlign w:val="center"/>
            <w:hideMark/>
          </w:tcPr>
          <w:p w14:paraId="257F818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20 584,6 </w:t>
            </w:r>
          </w:p>
        </w:tc>
        <w:tc>
          <w:tcPr>
            <w:tcW w:w="1025" w:type="dxa"/>
            <w:tcBorders>
              <w:top w:val="nil"/>
              <w:left w:val="nil"/>
              <w:bottom w:val="double" w:sz="6" w:space="0" w:color="auto"/>
              <w:right w:val="single" w:sz="4" w:space="0" w:color="auto"/>
            </w:tcBorders>
            <w:shd w:val="clear" w:color="auto" w:fill="auto"/>
            <w:vAlign w:val="center"/>
            <w:hideMark/>
          </w:tcPr>
          <w:p w14:paraId="27985B9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1 743,1 </w:t>
            </w:r>
          </w:p>
        </w:tc>
        <w:tc>
          <w:tcPr>
            <w:tcW w:w="1123" w:type="dxa"/>
            <w:tcBorders>
              <w:top w:val="nil"/>
              <w:left w:val="nil"/>
              <w:bottom w:val="double" w:sz="6" w:space="0" w:color="auto"/>
              <w:right w:val="single" w:sz="4" w:space="0" w:color="auto"/>
            </w:tcBorders>
            <w:shd w:val="clear" w:color="auto" w:fill="auto"/>
            <w:vAlign w:val="bottom"/>
            <w:hideMark/>
          </w:tcPr>
          <w:p w14:paraId="1AFE003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109,3 </w:t>
            </w:r>
          </w:p>
        </w:tc>
        <w:tc>
          <w:tcPr>
            <w:tcW w:w="1025" w:type="dxa"/>
            <w:tcBorders>
              <w:top w:val="nil"/>
              <w:left w:val="nil"/>
              <w:bottom w:val="double" w:sz="6" w:space="0" w:color="auto"/>
              <w:right w:val="single" w:sz="4" w:space="0" w:color="auto"/>
            </w:tcBorders>
            <w:shd w:val="clear" w:color="auto" w:fill="auto"/>
            <w:vAlign w:val="center"/>
            <w:hideMark/>
          </w:tcPr>
          <w:p w14:paraId="1D5A90A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1 716,3 </w:t>
            </w:r>
          </w:p>
        </w:tc>
        <w:tc>
          <w:tcPr>
            <w:tcW w:w="1102" w:type="dxa"/>
            <w:tcBorders>
              <w:top w:val="nil"/>
              <w:left w:val="nil"/>
              <w:bottom w:val="double" w:sz="6" w:space="0" w:color="auto"/>
              <w:right w:val="double" w:sz="6" w:space="0" w:color="auto"/>
            </w:tcBorders>
            <w:shd w:val="clear" w:color="auto" w:fill="auto"/>
            <w:vAlign w:val="bottom"/>
            <w:hideMark/>
          </w:tcPr>
          <w:p w14:paraId="366C0E4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109,1 </w:t>
            </w:r>
          </w:p>
        </w:tc>
      </w:tr>
    </w:tbl>
    <w:p w14:paraId="4FE194E9" w14:textId="77777777" w:rsidR="00D01D81" w:rsidRPr="00A53AD7" w:rsidRDefault="00D01D81" w:rsidP="00D01D81">
      <w:pPr>
        <w:spacing w:after="0" w:line="240" w:lineRule="auto"/>
        <w:ind w:firstLine="851"/>
        <w:jc w:val="both"/>
        <w:rPr>
          <w:rFonts w:ascii="Times New Roman" w:hAnsi="Times New Roman"/>
          <w:sz w:val="28"/>
          <w:szCs w:val="28"/>
          <w:highlight w:val="cyan"/>
        </w:rPr>
      </w:pPr>
    </w:p>
    <w:p w14:paraId="1C1A917A"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Кассовый план поступления налога на прибыль организаций за 2019 год </w:t>
      </w:r>
      <w:r w:rsidRPr="00A53AD7">
        <w:rPr>
          <w:rFonts w:ascii="Times New Roman" w:hAnsi="Times New Roman"/>
          <w:sz w:val="28"/>
          <w:szCs w:val="28"/>
          <w:u w:val="single"/>
        </w:rPr>
        <w:t>от плательщиков Архангельской области</w:t>
      </w:r>
      <w:r w:rsidRPr="00A53AD7">
        <w:rPr>
          <w:rFonts w:ascii="Times New Roman" w:hAnsi="Times New Roman"/>
          <w:sz w:val="28"/>
          <w:szCs w:val="28"/>
        </w:rPr>
        <w:t xml:space="preserve"> выполнен на 113,0 %, в результате дополнительно получено 1 647,0 млн.руб. Прогноз поступлений от плательщиков НАО выполнен на 101,6 %, в результате дополнительно получено налога 96,1 млн.руб.</w:t>
      </w:r>
    </w:p>
    <w:p w14:paraId="424BBF33"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Основными факторами, повлиявшими в отчетном году на динамику поступления налога на прибыль организаций, являются:</w:t>
      </w:r>
    </w:p>
    <w:p w14:paraId="6EF2E51C" w14:textId="352496DB"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положительная динамика деятельности предприятий. Показатель «Сальдо прибылей» организаций по оперативным данным «О финансовых результатах деятельности организаций в 2019 году», размещенный на официальном сайте Управления Федеральной службы государственной статистики по Архангельской области и Ненецкому автономному округу</w:t>
      </w:r>
      <w:r w:rsidR="00437712" w:rsidRPr="00A53AD7">
        <w:rPr>
          <w:rStyle w:val="afff1"/>
          <w:rFonts w:ascii="Times New Roman" w:hAnsi="Times New Roman"/>
          <w:sz w:val="28"/>
          <w:szCs w:val="28"/>
        </w:rPr>
        <w:footnoteReference w:id="20"/>
      </w:r>
      <w:r w:rsidRPr="00A53AD7">
        <w:rPr>
          <w:rFonts w:ascii="Times New Roman" w:hAnsi="Times New Roman"/>
          <w:sz w:val="28"/>
          <w:szCs w:val="28"/>
        </w:rPr>
        <w:t xml:space="preserve"> (далее – данные статистики), сальдированный финансовый результат организаций:</w:t>
      </w:r>
    </w:p>
    <w:p w14:paraId="642BBE44" w14:textId="77777777" w:rsidR="00675665" w:rsidRPr="00A53AD7" w:rsidRDefault="00675665" w:rsidP="00675665">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в Архангельской области сальдированный финансовый результат (прибыль минус убыток) организаций в действующих ценах составил +39 821,4 млн.руб. или 101,8 % к результату 2018 года. Прибыльные организации от общего их числа составили 69,9 %.</w:t>
      </w:r>
    </w:p>
    <w:p w14:paraId="271E1386" w14:textId="77777777" w:rsidR="009463FF" w:rsidRPr="00A53AD7" w:rsidRDefault="009463FF" w:rsidP="009463FF">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Значительный прирост прибыли установлен в сфере производства машин и оборудования… – в 3,1 раза к поступлению прибыли в 2018 году; добычи полезных ископаемых – 132,6 % к 2018 году; рыболовства и рыбоводства – 120,5 % к 2018 году; транспортировки и хранения – 146,3 % к 2018 году, производства напитков – 110,0 % к 2018 году.</w:t>
      </w:r>
    </w:p>
    <w:p w14:paraId="4186E171" w14:textId="77777777" w:rsidR="00DB1DA0" w:rsidRPr="00A53AD7" w:rsidRDefault="00DB1DA0" w:rsidP="00DB1DA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2) в Ненецком автономном округе сальдированный финансовый результат (прибыль минус убыток) организаций в действующих ценах составил +5 802,9 млн.руб., а в 2018 году убытки составили 4 996,1 млн.руб. Прибыльные организации в 2019 году от общего числа составили 47,5 %. </w:t>
      </w:r>
    </w:p>
    <w:p w14:paraId="63780EC2" w14:textId="2DBEFA3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Значительное поступление прибыли в отчетном году к 2018 году установлено в </w:t>
      </w:r>
      <w:r w:rsidR="00437712" w:rsidRPr="00A53AD7">
        <w:rPr>
          <w:rFonts w:ascii="Times New Roman" w:hAnsi="Times New Roman"/>
          <w:sz w:val="28"/>
          <w:szCs w:val="28"/>
        </w:rPr>
        <w:t xml:space="preserve">сфере </w:t>
      </w:r>
      <w:r w:rsidRPr="00A53AD7">
        <w:rPr>
          <w:rFonts w:ascii="Times New Roman" w:hAnsi="Times New Roman"/>
          <w:sz w:val="28"/>
          <w:szCs w:val="28"/>
        </w:rPr>
        <w:t>транспортировк</w:t>
      </w:r>
      <w:r w:rsidR="00437712" w:rsidRPr="00A53AD7">
        <w:rPr>
          <w:rFonts w:ascii="Times New Roman" w:hAnsi="Times New Roman"/>
          <w:sz w:val="28"/>
          <w:szCs w:val="28"/>
        </w:rPr>
        <w:t>и</w:t>
      </w:r>
      <w:r w:rsidRPr="00A53AD7">
        <w:rPr>
          <w:rFonts w:ascii="Times New Roman" w:hAnsi="Times New Roman"/>
          <w:sz w:val="28"/>
          <w:szCs w:val="28"/>
        </w:rPr>
        <w:t xml:space="preserve"> и хранени</w:t>
      </w:r>
      <w:r w:rsidR="00437712" w:rsidRPr="00A53AD7">
        <w:rPr>
          <w:rFonts w:ascii="Times New Roman" w:hAnsi="Times New Roman"/>
          <w:sz w:val="28"/>
          <w:szCs w:val="28"/>
        </w:rPr>
        <w:t>я</w:t>
      </w:r>
      <w:r w:rsidRPr="00A53AD7">
        <w:rPr>
          <w:rFonts w:ascii="Times New Roman" w:hAnsi="Times New Roman"/>
          <w:sz w:val="28"/>
          <w:szCs w:val="28"/>
        </w:rPr>
        <w:t xml:space="preserve"> – 120,8 %; обеспечени</w:t>
      </w:r>
      <w:r w:rsidR="00437712" w:rsidRPr="00A53AD7">
        <w:rPr>
          <w:rFonts w:ascii="Times New Roman" w:hAnsi="Times New Roman"/>
          <w:sz w:val="28"/>
          <w:szCs w:val="28"/>
        </w:rPr>
        <w:t>я</w:t>
      </w:r>
      <w:r w:rsidRPr="00A53AD7">
        <w:rPr>
          <w:rFonts w:ascii="Times New Roman" w:hAnsi="Times New Roman"/>
          <w:sz w:val="28"/>
          <w:szCs w:val="28"/>
        </w:rPr>
        <w:t xml:space="preserve"> электрической энергией, газом и паром; кондиционировани</w:t>
      </w:r>
      <w:r w:rsidR="00437712" w:rsidRPr="00A53AD7">
        <w:rPr>
          <w:rFonts w:ascii="Times New Roman" w:hAnsi="Times New Roman"/>
          <w:sz w:val="28"/>
          <w:szCs w:val="28"/>
        </w:rPr>
        <w:t>я</w:t>
      </w:r>
      <w:r w:rsidRPr="00A53AD7">
        <w:rPr>
          <w:rFonts w:ascii="Times New Roman" w:hAnsi="Times New Roman"/>
          <w:sz w:val="28"/>
          <w:szCs w:val="28"/>
        </w:rPr>
        <w:t xml:space="preserve"> воздуха – в 2,0 раза и другие.</w:t>
      </w:r>
    </w:p>
    <w:p w14:paraId="0FDB1C3E" w14:textId="077A0FAB"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lastRenderedPageBreak/>
        <w:t>–</w:t>
      </w:r>
      <w:r w:rsidRPr="00A53AD7">
        <w:rPr>
          <w:rFonts w:ascii="Times New Roman" w:hAnsi="Times New Roman"/>
          <w:sz w:val="28"/>
          <w:szCs w:val="28"/>
        </w:rPr>
        <w:tab/>
        <w:t xml:space="preserve">поступление платежей </w:t>
      </w:r>
      <w:r w:rsidR="004C1820" w:rsidRPr="00A53AD7">
        <w:rPr>
          <w:rFonts w:ascii="Times New Roman" w:hAnsi="Times New Roman"/>
          <w:sz w:val="28"/>
          <w:szCs w:val="28"/>
        </w:rPr>
        <w:t>от плательщиков</w:t>
      </w:r>
      <w:r w:rsidRPr="00A53AD7">
        <w:rPr>
          <w:rFonts w:ascii="Times New Roman" w:hAnsi="Times New Roman"/>
          <w:sz w:val="28"/>
          <w:szCs w:val="28"/>
        </w:rPr>
        <w:t xml:space="preserve"> Ненецкого автономного округа при выполнении Соглашения о разделе продукции </w:t>
      </w:r>
      <w:r w:rsidR="004C1820" w:rsidRPr="00A53AD7">
        <w:rPr>
          <w:rFonts w:ascii="Times New Roman" w:hAnsi="Times New Roman"/>
          <w:sz w:val="28"/>
          <w:szCs w:val="28"/>
        </w:rPr>
        <w:t xml:space="preserve">составило </w:t>
      </w:r>
      <w:r w:rsidRPr="00A53AD7">
        <w:rPr>
          <w:rFonts w:ascii="Times New Roman" w:hAnsi="Times New Roman"/>
          <w:sz w:val="28"/>
          <w:szCs w:val="28"/>
        </w:rPr>
        <w:t>1</w:t>
      </w:r>
      <w:r w:rsidRPr="00A53AD7">
        <w:rPr>
          <w:rFonts w:ascii="Times New Roman" w:hAnsi="Times New Roman"/>
          <w:sz w:val="28"/>
          <w:szCs w:val="28"/>
          <w:lang w:val="en-US"/>
        </w:rPr>
        <w:t> </w:t>
      </w:r>
      <w:r w:rsidRPr="00A53AD7">
        <w:rPr>
          <w:rFonts w:ascii="Times New Roman" w:hAnsi="Times New Roman"/>
          <w:sz w:val="28"/>
          <w:szCs w:val="28"/>
        </w:rPr>
        <w:t xml:space="preserve">219,7 млн.руб., </w:t>
      </w:r>
      <w:r w:rsidR="004C1820" w:rsidRPr="00A53AD7">
        <w:rPr>
          <w:rFonts w:ascii="Times New Roman" w:hAnsi="Times New Roman"/>
          <w:sz w:val="28"/>
          <w:szCs w:val="28"/>
        </w:rPr>
        <w:t>что</w:t>
      </w:r>
      <w:r w:rsidRPr="00A53AD7">
        <w:rPr>
          <w:rFonts w:ascii="Times New Roman" w:hAnsi="Times New Roman"/>
          <w:sz w:val="28"/>
          <w:szCs w:val="28"/>
        </w:rPr>
        <w:t xml:space="preserve"> на 136,</w:t>
      </w:r>
      <w:r w:rsidR="00326F25" w:rsidRPr="00A53AD7">
        <w:rPr>
          <w:rFonts w:ascii="Times New Roman" w:hAnsi="Times New Roman"/>
          <w:sz w:val="28"/>
          <w:szCs w:val="28"/>
        </w:rPr>
        <w:t>6</w:t>
      </w:r>
      <w:r w:rsidRPr="00A53AD7">
        <w:rPr>
          <w:rFonts w:ascii="Times New Roman" w:hAnsi="Times New Roman"/>
          <w:sz w:val="28"/>
          <w:szCs w:val="28"/>
        </w:rPr>
        <w:t xml:space="preserve"> млн.руб. меньше, чем в 2018 году (1 356,3 млн.руб.), что обусловлено ростом стоимости углеводородов на мировом рынке и ростом курса валют на момент конвертации;</w:t>
      </w:r>
    </w:p>
    <w:p w14:paraId="63D74259" w14:textId="76C8721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рост поступлени</w:t>
      </w:r>
      <w:r w:rsidR="00DA1442" w:rsidRPr="00A53AD7">
        <w:rPr>
          <w:rFonts w:ascii="Times New Roman" w:hAnsi="Times New Roman"/>
          <w:sz w:val="28"/>
          <w:szCs w:val="28"/>
        </w:rPr>
        <w:t>я</w:t>
      </w:r>
      <w:r w:rsidRPr="00A53AD7">
        <w:rPr>
          <w:rFonts w:ascii="Times New Roman" w:hAnsi="Times New Roman"/>
          <w:sz w:val="28"/>
          <w:szCs w:val="28"/>
        </w:rPr>
        <w:t xml:space="preserve"> </w:t>
      </w:r>
      <w:r w:rsidR="006F0B8D" w:rsidRPr="00A53AD7">
        <w:rPr>
          <w:rFonts w:ascii="Times New Roman" w:hAnsi="Times New Roman"/>
          <w:sz w:val="28"/>
          <w:szCs w:val="28"/>
        </w:rPr>
        <w:t>налога на прибыль на 601,8 млн.</w:t>
      </w:r>
      <w:r w:rsidRPr="00A53AD7">
        <w:rPr>
          <w:rFonts w:ascii="Times New Roman" w:hAnsi="Times New Roman"/>
          <w:sz w:val="28"/>
          <w:szCs w:val="28"/>
        </w:rPr>
        <w:t>руб. (+24,7 %) от организаций, входящих в консолидированны</w:t>
      </w:r>
      <w:r w:rsidR="00DA1442" w:rsidRPr="00A53AD7">
        <w:rPr>
          <w:rFonts w:ascii="Times New Roman" w:hAnsi="Times New Roman"/>
          <w:sz w:val="28"/>
          <w:szCs w:val="28"/>
        </w:rPr>
        <w:t>е</w:t>
      </w:r>
      <w:r w:rsidRPr="00A53AD7">
        <w:rPr>
          <w:rFonts w:ascii="Times New Roman" w:hAnsi="Times New Roman"/>
          <w:sz w:val="28"/>
          <w:szCs w:val="28"/>
        </w:rPr>
        <w:t xml:space="preserve"> группы налогоплательщиков, преобладающая часть которых относится к нефтегазовому сектору;</w:t>
      </w:r>
    </w:p>
    <w:p w14:paraId="541949A4" w14:textId="4F4AD8F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возврат налогоплательщикам переплат по налогу на прибыль за 2019 год составил 1 178,2 млн.руб.</w:t>
      </w:r>
      <w:r w:rsidR="00DA1442" w:rsidRPr="00A53AD7">
        <w:rPr>
          <w:rFonts w:ascii="Times New Roman" w:hAnsi="Times New Roman"/>
          <w:sz w:val="28"/>
          <w:szCs w:val="28"/>
        </w:rPr>
        <w:t xml:space="preserve"> (</w:t>
      </w:r>
      <w:r w:rsidRPr="00A53AD7">
        <w:rPr>
          <w:rFonts w:ascii="Times New Roman" w:hAnsi="Times New Roman"/>
          <w:sz w:val="28"/>
          <w:szCs w:val="28"/>
        </w:rPr>
        <w:t>в 2018 году – 1 675,6 млн.руб.</w:t>
      </w:r>
      <w:r w:rsidR="00DA1442" w:rsidRPr="00A53AD7">
        <w:rPr>
          <w:rFonts w:ascii="Times New Roman" w:hAnsi="Times New Roman"/>
          <w:sz w:val="28"/>
          <w:szCs w:val="28"/>
        </w:rPr>
        <w:t>).</w:t>
      </w:r>
    </w:p>
    <w:p w14:paraId="692AF556" w14:textId="77777777" w:rsidR="00D01D81" w:rsidRPr="00A53AD7" w:rsidRDefault="00D01D81" w:rsidP="00D01D81">
      <w:pPr>
        <w:spacing w:after="0" w:line="240" w:lineRule="auto"/>
        <w:ind w:firstLine="851"/>
        <w:jc w:val="both"/>
        <w:rPr>
          <w:rFonts w:ascii="Times New Roman" w:hAnsi="Times New Roman"/>
          <w:strike/>
          <w:sz w:val="28"/>
          <w:szCs w:val="28"/>
        </w:rPr>
      </w:pPr>
    </w:p>
    <w:p w14:paraId="3012DF80" w14:textId="1526697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Помесячное поступление налога на прибыль организаций в областной бюджет в 2019 и 2018 годах представлено на рисунке </w:t>
      </w:r>
      <w:r w:rsidR="00F5645E" w:rsidRPr="00A53AD7">
        <w:rPr>
          <w:rFonts w:ascii="Times New Roman" w:hAnsi="Times New Roman"/>
          <w:sz w:val="28"/>
          <w:szCs w:val="28"/>
        </w:rPr>
        <w:t>37</w:t>
      </w:r>
      <w:r w:rsidRPr="00A53AD7">
        <w:rPr>
          <w:rFonts w:ascii="Times New Roman" w:hAnsi="Times New Roman"/>
          <w:sz w:val="28"/>
          <w:szCs w:val="28"/>
        </w:rPr>
        <w:t>:</w:t>
      </w:r>
    </w:p>
    <w:p w14:paraId="5F15039F" w14:textId="1E1C1E11" w:rsidR="00D01D81" w:rsidRPr="00A53AD7" w:rsidRDefault="00DA1442"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4C376D35" wp14:editId="44DDFC69">
            <wp:extent cx="6160413" cy="28043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71103" cy="2809256"/>
                    </a:xfrm>
                    <a:prstGeom prst="rect">
                      <a:avLst/>
                    </a:prstGeom>
                    <a:noFill/>
                  </pic:spPr>
                </pic:pic>
              </a:graphicData>
            </a:graphic>
          </wp:inline>
        </w:drawing>
      </w:r>
    </w:p>
    <w:p w14:paraId="514E1472" w14:textId="77777777" w:rsidR="00D01D81" w:rsidRPr="00A53AD7" w:rsidRDefault="00D01D81" w:rsidP="00D01D81">
      <w:pPr>
        <w:spacing w:after="0" w:line="240" w:lineRule="auto"/>
        <w:rPr>
          <w:rFonts w:ascii="Times New Roman" w:eastAsia="Times New Roman" w:hAnsi="Times New Roman"/>
          <w:bCs/>
          <w:sz w:val="24"/>
          <w:szCs w:val="24"/>
          <w:lang w:eastAsia="ru-RU"/>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37</w:t>
      </w:r>
      <w:r w:rsidRPr="00A53AD7">
        <w:rPr>
          <w:rFonts w:ascii="Times New Roman" w:hAnsi="Times New Roman"/>
          <w:sz w:val="24"/>
          <w:szCs w:val="24"/>
        </w:rPr>
        <w:fldChar w:fldCharType="end"/>
      </w:r>
      <w:r w:rsidRPr="00A53AD7">
        <w:rPr>
          <w:rFonts w:ascii="Times New Roman" w:hAnsi="Times New Roman"/>
          <w:sz w:val="24"/>
          <w:szCs w:val="24"/>
        </w:rPr>
        <w:t>. Помесячное поступление налога на прибыль организаций в областной бюджет за 2018 – 2019 годы, млн.руб.</w:t>
      </w:r>
    </w:p>
    <w:p w14:paraId="3B73276A" w14:textId="77777777" w:rsidR="00D01D81" w:rsidRPr="00A53AD7" w:rsidRDefault="00D01D81" w:rsidP="00D01D81">
      <w:pPr>
        <w:spacing w:after="0" w:line="240" w:lineRule="auto"/>
        <w:ind w:firstLine="851"/>
        <w:jc w:val="both"/>
        <w:rPr>
          <w:rFonts w:ascii="Times New Roman" w:hAnsi="Times New Roman"/>
          <w:sz w:val="28"/>
          <w:szCs w:val="28"/>
        </w:rPr>
      </w:pPr>
    </w:p>
    <w:p w14:paraId="4BBBEAB8" w14:textId="7A31246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налога на прибыль организаций со снижением к аналогичным поступлениям в 2018 году </w:t>
      </w:r>
      <w:r w:rsidR="00DA77C2" w:rsidRPr="00A53AD7">
        <w:rPr>
          <w:rFonts w:ascii="Times New Roman" w:hAnsi="Times New Roman"/>
          <w:sz w:val="28"/>
          <w:szCs w:val="28"/>
        </w:rPr>
        <w:t xml:space="preserve">наблюдается </w:t>
      </w:r>
      <w:r w:rsidRPr="00A53AD7">
        <w:rPr>
          <w:rFonts w:ascii="Times New Roman" w:hAnsi="Times New Roman"/>
          <w:sz w:val="28"/>
          <w:szCs w:val="28"/>
        </w:rPr>
        <w:t xml:space="preserve">в январе, феврале, мае, июне, августе и ноябре, в остальных месяцах </w:t>
      </w:r>
      <w:r w:rsidRPr="00A53AD7">
        <w:rPr>
          <w:rFonts w:ascii="Times New Roman" w:hAnsi="Times New Roman"/>
          <w:sz w:val="24"/>
          <w:szCs w:val="24"/>
        </w:rPr>
        <w:t>–</w:t>
      </w:r>
      <w:r w:rsidRPr="00A53AD7">
        <w:rPr>
          <w:rFonts w:ascii="Times New Roman" w:hAnsi="Times New Roman"/>
          <w:sz w:val="28"/>
          <w:szCs w:val="28"/>
        </w:rPr>
        <w:t xml:space="preserve"> рост. Среднемесячный прирост поступления указанного налога в 2019 год составил 143,0 млн.руб.</w:t>
      </w:r>
    </w:p>
    <w:p w14:paraId="40F183D5" w14:textId="60D3596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налога на прибыль организаций от плательщиков Архангельской области за 2018 – 2019 годы в разрезе отдельных видов экономической деятельности представлено в таблице </w:t>
      </w:r>
      <w:r w:rsidR="00F5645E" w:rsidRPr="00A53AD7">
        <w:rPr>
          <w:rFonts w:ascii="Times New Roman" w:hAnsi="Times New Roman"/>
          <w:sz w:val="28"/>
          <w:szCs w:val="28"/>
        </w:rPr>
        <w:t>27</w:t>
      </w:r>
      <w:r w:rsidRPr="00A53AD7">
        <w:rPr>
          <w:rFonts w:ascii="Times New Roman" w:hAnsi="Times New Roman"/>
          <w:sz w:val="28"/>
          <w:szCs w:val="28"/>
        </w:rPr>
        <w:t>:</w:t>
      </w:r>
    </w:p>
    <w:p w14:paraId="0C5B6178" w14:textId="77777777" w:rsidR="00D01D81" w:rsidRPr="00A53AD7" w:rsidRDefault="00D01D81" w:rsidP="00D01D81">
      <w:pPr>
        <w:spacing w:after="0" w:line="240" w:lineRule="auto"/>
        <w:rPr>
          <w:rFonts w:ascii="Times New Roman" w:hAnsi="Times New Roman"/>
          <w:sz w:val="24"/>
          <w:szCs w:val="24"/>
        </w:rPr>
      </w:pPr>
    </w:p>
    <w:p w14:paraId="28B6EFF8" w14:textId="77777777"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27</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Pr="00A53AD7">
        <w:rPr>
          <w:rFonts w:ascii="Times New Roman" w:hAnsi="Times New Roman"/>
          <w:sz w:val="24"/>
          <w:szCs w:val="24"/>
        </w:rPr>
        <w:t>Поступление налога на прибыль организаций от плательщиков Архангельской области в разрезе отдельных видов экономической деятельности за 2018 – 2019 годы, млн.руб.</w:t>
      </w:r>
    </w:p>
    <w:tbl>
      <w:tblPr>
        <w:tblW w:w="936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5080"/>
        <w:gridCol w:w="992"/>
        <w:gridCol w:w="992"/>
        <w:gridCol w:w="1134"/>
        <w:gridCol w:w="1167"/>
      </w:tblGrid>
      <w:tr w:rsidR="00A53AD7" w:rsidRPr="00A53AD7" w14:paraId="430FBE09" w14:textId="77777777" w:rsidTr="00245265">
        <w:trPr>
          <w:trHeight w:val="495"/>
          <w:tblHeader/>
        </w:trPr>
        <w:tc>
          <w:tcPr>
            <w:tcW w:w="5080" w:type="dxa"/>
            <w:vMerge w:val="restart"/>
            <w:shd w:val="clear" w:color="auto" w:fill="auto"/>
            <w:vAlign w:val="center"/>
            <w:hideMark/>
          </w:tcPr>
          <w:p w14:paraId="0D20B97D" w14:textId="77777777" w:rsidR="00DA77C2" w:rsidRPr="00A53AD7" w:rsidRDefault="00DA77C2" w:rsidP="00BA5523">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Основные виды экономической деятельности</w:t>
            </w:r>
          </w:p>
          <w:p w14:paraId="3B78B352" w14:textId="1A5BD77F" w:rsidR="00DA77C2" w:rsidRPr="00A53AD7" w:rsidRDefault="00DA77C2" w:rsidP="00DA77C2">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 xml:space="preserve"> (форма 1-НОМ)</w:t>
            </w:r>
          </w:p>
        </w:tc>
        <w:tc>
          <w:tcPr>
            <w:tcW w:w="992" w:type="dxa"/>
            <w:vMerge w:val="restart"/>
            <w:shd w:val="clear" w:color="auto" w:fill="auto"/>
            <w:vAlign w:val="center"/>
            <w:hideMark/>
          </w:tcPr>
          <w:p w14:paraId="2084327F" w14:textId="77777777" w:rsidR="00DA77C2" w:rsidRPr="00A53AD7" w:rsidRDefault="00DA77C2" w:rsidP="00BA5523">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2018 год</w:t>
            </w:r>
          </w:p>
        </w:tc>
        <w:tc>
          <w:tcPr>
            <w:tcW w:w="992" w:type="dxa"/>
            <w:vMerge w:val="restart"/>
            <w:shd w:val="clear" w:color="auto" w:fill="auto"/>
            <w:vAlign w:val="center"/>
            <w:hideMark/>
          </w:tcPr>
          <w:p w14:paraId="0A920696" w14:textId="77777777" w:rsidR="00DA77C2" w:rsidRPr="00A53AD7" w:rsidRDefault="00DA77C2" w:rsidP="00BA5523">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2019 год</w:t>
            </w:r>
          </w:p>
        </w:tc>
        <w:tc>
          <w:tcPr>
            <w:tcW w:w="2301" w:type="dxa"/>
            <w:gridSpan w:val="2"/>
            <w:shd w:val="clear" w:color="auto" w:fill="auto"/>
            <w:vAlign w:val="center"/>
            <w:hideMark/>
          </w:tcPr>
          <w:p w14:paraId="1F1350CE" w14:textId="4C34DCF5" w:rsidR="00DA77C2" w:rsidRPr="00A53AD7" w:rsidRDefault="00DA77C2" w:rsidP="00DA77C2">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Изменение (+/-), 2019 к 2018 году</w:t>
            </w:r>
          </w:p>
        </w:tc>
      </w:tr>
      <w:tr w:rsidR="00A53AD7" w:rsidRPr="00A53AD7" w14:paraId="63C89B35" w14:textId="77777777" w:rsidTr="00245265">
        <w:trPr>
          <w:trHeight w:val="205"/>
          <w:tblHeader/>
        </w:trPr>
        <w:tc>
          <w:tcPr>
            <w:tcW w:w="5080" w:type="dxa"/>
            <w:vMerge/>
            <w:shd w:val="clear" w:color="auto" w:fill="auto"/>
            <w:vAlign w:val="center"/>
            <w:hideMark/>
          </w:tcPr>
          <w:p w14:paraId="4DFA38E2" w14:textId="230D7188" w:rsidR="00DA77C2" w:rsidRPr="00A53AD7" w:rsidRDefault="00DA77C2" w:rsidP="00BA5523">
            <w:pPr>
              <w:spacing w:after="0" w:line="240" w:lineRule="auto"/>
              <w:jc w:val="center"/>
              <w:rPr>
                <w:rFonts w:ascii="Times New Roman" w:eastAsia="Times New Roman" w:hAnsi="Times New Roman"/>
                <w:b/>
                <w:bCs/>
                <w:lang w:eastAsia="ru-RU"/>
              </w:rPr>
            </w:pPr>
          </w:p>
        </w:tc>
        <w:tc>
          <w:tcPr>
            <w:tcW w:w="992" w:type="dxa"/>
            <w:vMerge/>
            <w:shd w:val="clear" w:color="auto" w:fill="auto"/>
            <w:vAlign w:val="center"/>
            <w:hideMark/>
          </w:tcPr>
          <w:p w14:paraId="1365193C" w14:textId="55C92FAB" w:rsidR="00DA77C2" w:rsidRPr="00A53AD7" w:rsidRDefault="00DA77C2" w:rsidP="00BA5523">
            <w:pPr>
              <w:spacing w:after="0" w:line="240" w:lineRule="auto"/>
              <w:jc w:val="center"/>
              <w:rPr>
                <w:rFonts w:ascii="Times New Roman" w:eastAsia="Times New Roman" w:hAnsi="Times New Roman"/>
                <w:b/>
                <w:bCs/>
                <w:lang w:eastAsia="ru-RU"/>
              </w:rPr>
            </w:pPr>
          </w:p>
        </w:tc>
        <w:tc>
          <w:tcPr>
            <w:tcW w:w="992" w:type="dxa"/>
            <w:vMerge/>
            <w:shd w:val="clear" w:color="auto" w:fill="auto"/>
            <w:vAlign w:val="center"/>
            <w:hideMark/>
          </w:tcPr>
          <w:p w14:paraId="2885D230" w14:textId="223694FB" w:rsidR="00DA77C2" w:rsidRPr="00A53AD7" w:rsidRDefault="00DA77C2" w:rsidP="00BA5523">
            <w:pPr>
              <w:spacing w:after="0" w:line="240" w:lineRule="auto"/>
              <w:jc w:val="center"/>
              <w:rPr>
                <w:rFonts w:ascii="Times New Roman" w:eastAsia="Times New Roman" w:hAnsi="Times New Roman"/>
                <w:b/>
                <w:bCs/>
                <w:lang w:eastAsia="ru-RU"/>
              </w:rPr>
            </w:pPr>
          </w:p>
        </w:tc>
        <w:tc>
          <w:tcPr>
            <w:tcW w:w="1134" w:type="dxa"/>
            <w:shd w:val="clear" w:color="auto" w:fill="auto"/>
            <w:vAlign w:val="center"/>
            <w:hideMark/>
          </w:tcPr>
          <w:p w14:paraId="30DD488A" w14:textId="24CBB0B6" w:rsidR="00DA77C2" w:rsidRPr="00A53AD7" w:rsidRDefault="00DA77C2" w:rsidP="00BA5523">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Cs/>
                <w:lang w:eastAsia="ru-RU"/>
              </w:rPr>
              <w:t>млн.руб.</w:t>
            </w:r>
          </w:p>
        </w:tc>
        <w:tc>
          <w:tcPr>
            <w:tcW w:w="1167" w:type="dxa"/>
            <w:shd w:val="clear" w:color="auto" w:fill="auto"/>
            <w:vAlign w:val="center"/>
            <w:hideMark/>
          </w:tcPr>
          <w:p w14:paraId="3434AC74" w14:textId="48D55506" w:rsidR="00DA77C2" w:rsidRPr="00A53AD7" w:rsidRDefault="00DA77C2" w:rsidP="00BA5523">
            <w:pPr>
              <w:spacing w:after="0" w:line="240" w:lineRule="auto"/>
              <w:ind w:left="-75" w:right="-108"/>
              <w:jc w:val="center"/>
              <w:rPr>
                <w:rFonts w:ascii="Times New Roman" w:eastAsia="Times New Roman" w:hAnsi="Times New Roman"/>
                <w:b/>
                <w:bCs/>
                <w:lang w:eastAsia="ru-RU"/>
              </w:rPr>
            </w:pPr>
            <w:r w:rsidRPr="00A53AD7">
              <w:rPr>
                <w:rFonts w:ascii="Times New Roman" w:eastAsia="Times New Roman" w:hAnsi="Times New Roman"/>
                <w:bCs/>
                <w:lang w:eastAsia="ru-RU"/>
              </w:rPr>
              <w:t>%</w:t>
            </w:r>
          </w:p>
        </w:tc>
      </w:tr>
      <w:tr w:rsidR="00A53AD7" w:rsidRPr="00A53AD7" w14:paraId="0AB29A34" w14:textId="77777777" w:rsidTr="00DA77C2">
        <w:trPr>
          <w:trHeight w:val="205"/>
        </w:trPr>
        <w:tc>
          <w:tcPr>
            <w:tcW w:w="5080" w:type="dxa"/>
            <w:shd w:val="clear" w:color="auto" w:fill="auto"/>
            <w:vAlign w:val="center"/>
            <w:hideMark/>
          </w:tcPr>
          <w:p w14:paraId="268ECA80" w14:textId="77777777" w:rsidR="00DA77C2" w:rsidRPr="00A53AD7" w:rsidRDefault="00DA77C2" w:rsidP="00D104F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Cs/>
                <w:lang w:eastAsia="ru-RU"/>
              </w:rPr>
              <w:t>1</w:t>
            </w:r>
          </w:p>
        </w:tc>
        <w:tc>
          <w:tcPr>
            <w:tcW w:w="992" w:type="dxa"/>
            <w:shd w:val="clear" w:color="auto" w:fill="auto"/>
            <w:vAlign w:val="center"/>
            <w:hideMark/>
          </w:tcPr>
          <w:p w14:paraId="4EFB60AC" w14:textId="77777777" w:rsidR="00DA77C2" w:rsidRPr="00A53AD7" w:rsidRDefault="00DA77C2" w:rsidP="00D104F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Cs/>
                <w:lang w:eastAsia="ru-RU"/>
              </w:rPr>
              <w:t>2</w:t>
            </w:r>
          </w:p>
        </w:tc>
        <w:tc>
          <w:tcPr>
            <w:tcW w:w="992" w:type="dxa"/>
            <w:shd w:val="clear" w:color="auto" w:fill="auto"/>
            <w:vAlign w:val="center"/>
            <w:hideMark/>
          </w:tcPr>
          <w:p w14:paraId="1CB88DF6" w14:textId="77777777" w:rsidR="00DA77C2" w:rsidRPr="00A53AD7" w:rsidRDefault="00DA77C2" w:rsidP="00D104F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Cs/>
                <w:lang w:eastAsia="ru-RU"/>
              </w:rPr>
              <w:t>3</w:t>
            </w:r>
          </w:p>
        </w:tc>
        <w:tc>
          <w:tcPr>
            <w:tcW w:w="1134" w:type="dxa"/>
            <w:shd w:val="clear" w:color="auto" w:fill="auto"/>
            <w:vAlign w:val="center"/>
            <w:hideMark/>
          </w:tcPr>
          <w:p w14:paraId="6F2AEA49" w14:textId="77777777" w:rsidR="00DA77C2" w:rsidRPr="00A53AD7" w:rsidRDefault="00DA77C2" w:rsidP="00D104F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Cs/>
                <w:lang w:eastAsia="ru-RU"/>
              </w:rPr>
              <w:t>4=3-2</w:t>
            </w:r>
          </w:p>
        </w:tc>
        <w:tc>
          <w:tcPr>
            <w:tcW w:w="1167" w:type="dxa"/>
            <w:shd w:val="clear" w:color="auto" w:fill="auto"/>
            <w:vAlign w:val="center"/>
            <w:hideMark/>
          </w:tcPr>
          <w:p w14:paraId="5C6ADD24" w14:textId="2DF5A29A" w:rsidR="00DA77C2" w:rsidRPr="00A53AD7" w:rsidRDefault="00DA77C2" w:rsidP="00DA77C2">
            <w:pPr>
              <w:spacing w:after="0" w:line="240" w:lineRule="auto"/>
              <w:ind w:left="-75"/>
              <w:jc w:val="center"/>
              <w:rPr>
                <w:rFonts w:ascii="Times New Roman" w:eastAsia="Times New Roman" w:hAnsi="Times New Roman"/>
                <w:b/>
                <w:bCs/>
                <w:lang w:eastAsia="ru-RU"/>
              </w:rPr>
            </w:pPr>
            <w:r w:rsidRPr="00A53AD7">
              <w:rPr>
                <w:rFonts w:ascii="Times New Roman" w:eastAsia="Times New Roman" w:hAnsi="Times New Roman"/>
                <w:bCs/>
                <w:lang w:eastAsia="ru-RU"/>
              </w:rPr>
              <w:t>5=3/2*100</w:t>
            </w:r>
          </w:p>
        </w:tc>
      </w:tr>
      <w:tr w:rsidR="00A53AD7" w:rsidRPr="00A53AD7" w14:paraId="7A2FB498" w14:textId="77777777" w:rsidTr="00DA77C2">
        <w:trPr>
          <w:trHeight w:val="255"/>
        </w:trPr>
        <w:tc>
          <w:tcPr>
            <w:tcW w:w="5080" w:type="dxa"/>
            <w:shd w:val="clear" w:color="auto" w:fill="auto"/>
            <w:vAlign w:val="bottom"/>
            <w:hideMark/>
          </w:tcPr>
          <w:p w14:paraId="21F71B85"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 в том числе:</w:t>
            </w:r>
          </w:p>
        </w:tc>
        <w:tc>
          <w:tcPr>
            <w:tcW w:w="992" w:type="dxa"/>
            <w:shd w:val="clear" w:color="auto" w:fill="auto"/>
            <w:vAlign w:val="bottom"/>
            <w:hideMark/>
          </w:tcPr>
          <w:p w14:paraId="1FE779F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12 894,4</w:t>
            </w:r>
          </w:p>
        </w:tc>
        <w:tc>
          <w:tcPr>
            <w:tcW w:w="992" w:type="dxa"/>
            <w:shd w:val="clear" w:color="auto" w:fill="auto"/>
            <w:vAlign w:val="bottom"/>
            <w:hideMark/>
          </w:tcPr>
          <w:p w14:paraId="0E3D9DA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14 364,7</w:t>
            </w:r>
          </w:p>
        </w:tc>
        <w:tc>
          <w:tcPr>
            <w:tcW w:w="1134" w:type="dxa"/>
            <w:shd w:val="clear" w:color="auto" w:fill="auto"/>
            <w:noWrap/>
            <w:vAlign w:val="bottom"/>
            <w:hideMark/>
          </w:tcPr>
          <w:p w14:paraId="6CD571E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1 470,3</w:t>
            </w:r>
          </w:p>
        </w:tc>
        <w:tc>
          <w:tcPr>
            <w:tcW w:w="1167" w:type="dxa"/>
            <w:shd w:val="clear" w:color="auto" w:fill="auto"/>
            <w:noWrap/>
            <w:vAlign w:val="bottom"/>
            <w:hideMark/>
          </w:tcPr>
          <w:p w14:paraId="5380404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111,4</w:t>
            </w:r>
          </w:p>
        </w:tc>
      </w:tr>
      <w:tr w:rsidR="00A53AD7" w:rsidRPr="00A53AD7" w14:paraId="6A0CD8E4" w14:textId="77777777" w:rsidTr="00DA77C2">
        <w:trPr>
          <w:trHeight w:val="418"/>
        </w:trPr>
        <w:tc>
          <w:tcPr>
            <w:tcW w:w="5080" w:type="dxa"/>
            <w:shd w:val="clear" w:color="auto" w:fill="auto"/>
            <w:vAlign w:val="bottom"/>
            <w:hideMark/>
          </w:tcPr>
          <w:p w14:paraId="13301745"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lastRenderedPageBreak/>
              <w:t>Сельское, лесное хозяйство, охота, рыболовство, рыбоводство, из них:</w:t>
            </w:r>
          </w:p>
        </w:tc>
        <w:tc>
          <w:tcPr>
            <w:tcW w:w="992" w:type="dxa"/>
            <w:shd w:val="clear" w:color="auto" w:fill="auto"/>
            <w:vAlign w:val="bottom"/>
            <w:hideMark/>
          </w:tcPr>
          <w:p w14:paraId="36F962D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868,7</w:t>
            </w:r>
          </w:p>
        </w:tc>
        <w:tc>
          <w:tcPr>
            <w:tcW w:w="992" w:type="dxa"/>
            <w:shd w:val="clear" w:color="auto" w:fill="auto"/>
            <w:vAlign w:val="bottom"/>
            <w:hideMark/>
          </w:tcPr>
          <w:p w14:paraId="1851DBD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1 071,9</w:t>
            </w:r>
          </w:p>
        </w:tc>
        <w:tc>
          <w:tcPr>
            <w:tcW w:w="1134" w:type="dxa"/>
            <w:shd w:val="clear" w:color="auto" w:fill="auto"/>
            <w:noWrap/>
            <w:vAlign w:val="bottom"/>
            <w:hideMark/>
          </w:tcPr>
          <w:p w14:paraId="176B01F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203,2</w:t>
            </w:r>
          </w:p>
        </w:tc>
        <w:tc>
          <w:tcPr>
            <w:tcW w:w="1167" w:type="dxa"/>
            <w:shd w:val="clear" w:color="auto" w:fill="auto"/>
            <w:noWrap/>
            <w:vAlign w:val="bottom"/>
            <w:hideMark/>
          </w:tcPr>
          <w:p w14:paraId="7F36880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123,4</w:t>
            </w:r>
          </w:p>
        </w:tc>
      </w:tr>
      <w:tr w:rsidR="00A53AD7" w:rsidRPr="00A53AD7" w14:paraId="1106A089" w14:textId="77777777" w:rsidTr="00DA77C2">
        <w:trPr>
          <w:trHeight w:val="255"/>
        </w:trPr>
        <w:tc>
          <w:tcPr>
            <w:tcW w:w="5080" w:type="dxa"/>
            <w:shd w:val="clear" w:color="auto" w:fill="auto"/>
            <w:vAlign w:val="bottom"/>
            <w:hideMark/>
          </w:tcPr>
          <w:p w14:paraId="09E9A223"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рыболовство, рыбоводство</w:t>
            </w:r>
          </w:p>
        </w:tc>
        <w:tc>
          <w:tcPr>
            <w:tcW w:w="992" w:type="dxa"/>
            <w:shd w:val="clear" w:color="auto" w:fill="auto"/>
            <w:vAlign w:val="bottom"/>
            <w:hideMark/>
          </w:tcPr>
          <w:p w14:paraId="62FDBD2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517,2</w:t>
            </w:r>
          </w:p>
        </w:tc>
        <w:tc>
          <w:tcPr>
            <w:tcW w:w="992" w:type="dxa"/>
            <w:shd w:val="clear" w:color="auto" w:fill="auto"/>
            <w:vAlign w:val="bottom"/>
            <w:hideMark/>
          </w:tcPr>
          <w:p w14:paraId="3B4D7F7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788,4</w:t>
            </w:r>
          </w:p>
        </w:tc>
        <w:tc>
          <w:tcPr>
            <w:tcW w:w="1134" w:type="dxa"/>
            <w:shd w:val="clear" w:color="auto" w:fill="auto"/>
            <w:noWrap/>
            <w:vAlign w:val="bottom"/>
            <w:hideMark/>
          </w:tcPr>
          <w:p w14:paraId="271FE85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271,2</w:t>
            </w:r>
          </w:p>
        </w:tc>
        <w:tc>
          <w:tcPr>
            <w:tcW w:w="1167" w:type="dxa"/>
            <w:shd w:val="clear" w:color="auto" w:fill="auto"/>
            <w:noWrap/>
            <w:vAlign w:val="bottom"/>
            <w:hideMark/>
          </w:tcPr>
          <w:p w14:paraId="0E2087C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1,5 раза</w:t>
            </w:r>
          </w:p>
        </w:tc>
      </w:tr>
      <w:tr w:rsidR="00A53AD7" w:rsidRPr="00A53AD7" w14:paraId="5C55ABB3" w14:textId="77777777" w:rsidTr="00DA77C2">
        <w:trPr>
          <w:trHeight w:val="255"/>
        </w:trPr>
        <w:tc>
          <w:tcPr>
            <w:tcW w:w="5080" w:type="dxa"/>
            <w:shd w:val="clear" w:color="auto" w:fill="auto"/>
            <w:vAlign w:val="bottom"/>
            <w:hideMark/>
          </w:tcPr>
          <w:p w14:paraId="4649722C"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Добыча полезных ископаемых</w:t>
            </w:r>
          </w:p>
        </w:tc>
        <w:tc>
          <w:tcPr>
            <w:tcW w:w="992" w:type="dxa"/>
            <w:shd w:val="clear" w:color="auto" w:fill="auto"/>
            <w:vAlign w:val="bottom"/>
            <w:hideMark/>
          </w:tcPr>
          <w:p w14:paraId="0AADE9F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844,2</w:t>
            </w:r>
          </w:p>
        </w:tc>
        <w:tc>
          <w:tcPr>
            <w:tcW w:w="992" w:type="dxa"/>
            <w:shd w:val="clear" w:color="auto" w:fill="auto"/>
            <w:vAlign w:val="bottom"/>
            <w:hideMark/>
          </w:tcPr>
          <w:p w14:paraId="4CF646E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1 022,0</w:t>
            </w:r>
          </w:p>
        </w:tc>
        <w:tc>
          <w:tcPr>
            <w:tcW w:w="1134" w:type="dxa"/>
            <w:shd w:val="clear" w:color="auto" w:fill="auto"/>
            <w:noWrap/>
            <w:vAlign w:val="bottom"/>
            <w:hideMark/>
          </w:tcPr>
          <w:p w14:paraId="1F0A19E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177,8</w:t>
            </w:r>
          </w:p>
        </w:tc>
        <w:tc>
          <w:tcPr>
            <w:tcW w:w="1167" w:type="dxa"/>
            <w:shd w:val="clear" w:color="auto" w:fill="auto"/>
            <w:noWrap/>
            <w:vAlign w:val="bottom"/>
            <w:hideMark/>
          </w:tcPr>
          <w:p w14:paraId="618F95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121,1</w:t>
            </w:r>
          </w:p>
        </w:tc>
      </w:tr>
      <w:tr w:rsidR="00A53AD7" w:rsidRPr="00A53AD7" w14:paraId="10CC81EE" w14:textId="77777777" w:rsidTr="00DA77C2">
        <w:trPr>
          <w:trHeight w:val="255"/>
        </w:trPr>
        <w:tc>
          <w:tcPr>
            <w:tcW w:w="5080" w:type="dxa"/>
            <w:shd w:val="clear" w:color="auto" w:fill="auto"/>
            <w:vAlign w:val="bottom"/>
            <w:hideMark/>
          </w:tcPr>
          <w:p w14:paraId="5DA8D0A9"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Обрабатывающие производства, из них:</w:t>
            </w:r>
          </w:p>
        </w:tc>
        <w:tc>
          <w:tcPr>
            <w:tcW w:w="992" w:type="dxa"/>
            <w:shd w:val="clear" w:color="auto" w:fill="auto"/>
            <w:vAlign w:val="bottom"/>
            <w:hideMark/>
          </w:tcPr>
          <w:p w14:paraId="3059CD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6 222,2</w:t>
            </w:r>
          </w:p>
        </w:tc>
        <w:tc>
          <w:tcPr>
            <w:tcW w:w="992" w:type="dxa"/>
            <w:shd w:val="clear" w:color="auto" w:fill="auto"/>
            <w:vAlign w:val="bottom"/>
            <w:hideMark/>
          </w:tcPr>
          <w:p w14:paraId="001BFD2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6 797,9</w:t>
            </w:r>
          </w:p>
        </w:tc>
        <w:tc>
          <w:tcPr>
            <w:tcW w:w="1134" w:type="dxa"/>
            <w:shd w:val="clear" w:color="auto" w:fill="auto"/>
            <w:noWrap/>
            <w:vAlign w:val="bottom"/>
            <w:hideMark/>
          </w:tcPr>
          <w:p w14:paraId="4CCCB3E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575,7</w:t>
            </w:r>
          </w:p>
        </w:tc>
        <w:tc>
          <w:tcPr>
            <w:tcW w:w="1167" w:type="dxa"/>
            <w:shd w:val="clear" w:color="auto" w:fill="auto"/>
            <w:noWrap/>
            <w:vAlign w:val="bottom"/>
            <w:hideMark/>
          </w:tcPr>
          <w:p w14:paraId="641EE88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109,3</w:t>
            </w:r>
          </w:p>
        </w:tc>
      </w:tr>
      <w:tr w:rsidR="00A53AD7" w:rsidRPr="00A53AD7" w14:paraId="3E945666" w14:textId="77777777" w:rsidTr="00DA77C2">
        <w:trPr>
          <w:trHeight w:val="498"/>
        </w:trPr>
        <w:tc>
          <w:tcPr>
            <w:tcW w:w="5080" w:type="dxa"/>
            <w:shd w:val="clear" w:color="auto" w:fill="auto"/>
            <w:vAlign w:val="bottom"/>
            <w:hideMark/>
          </w:tcPr>
          <w:p w14:paraId="10A141FC"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обработка древесины и производство изделий из дерева и пробки, кроме мебели</w:t>
            </w:r>
          </w:p>
        </w:tc>
        <w:tc>
          <w:tcPr>
            <w:tcW w:w="992" w:type="dxa"/>
            <w:shd w:val="clear" w:color="auto" w:fill="auto"/>
            <w:vAlign w:val="bottom"/>
            <w:hideMark/>
          </w:tcPr>
          <w:p w14:paraId="156D0EB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395,4</w:t>
            </w:r>
          </w:p>
        </w:tc>
        <w:tc>
          <w:tcPr>
            <w:tcW w:w="992" w:type="dxa"/>
            <w:shd w:val="clear" w:color="auto" w:fill="auto"/>
            <w:vAlign w:val="bottom"/>
            <w:hideMark/>
          </w:tcPr>
          <w:p w14:paraId="13D9E50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31,4</w:t>
            </w:r>
          </w:p>
        </w:tc>
        <w:tc>
          <w:tcPr>
            <w:tcW w:w="1134" w:type="dxa"/>
            <w:shd w:val="clear" w:color="auto" w:fill="auto"/>
            <w:noWrap/>
            <w:vAlign w:val="bottom"/>
            <w:hideMark/>
          </w:tcPr>
          <w:p w14:paraId="2934555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-364,0</w:t>
            </w:r>
          </w:p>
        </w:tc>
        <w:tc>
          <w:tcPr>
            <w:tcW w:w="1167" w:type="dxa"/>
            <w:shd w:val="clear" w:color="auto" w:fill="auto"/>
            <w:noWrap/>
            <w:vAlign w:val="bottom"/>
            <w:hideMark/>
          </w:tcPr>
          <w:p w14:paraId="57BB115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-92,1</w:t>
            </w:r>
          </w:p>
        </w:tc>
      </w:tr>
      <w:tr w:rsidR="00A53AD7" w:rsidRPr="00A53AD7" w14:paraId="6CFDCD9F" w14:textId="77777777" w:rsidTr="00DA77C2">
        <w:trPr>
          <w:trHeight w:val="392"/>
        </w:trPr>
        <w:tc>
          <w:tcPr>
            <w:tcW w:w="5080" w:type="dxa"/>
            <w:shd w:val="clear" w:color="auto" w:fill="auto"/>
            <w:vAlign w:val="bottom"/>
            <w:hideMark/>
          </w:tcPr>
          <w:p w14:paraId="5BC35833"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производство бумаги и бумажных изделий (производство целлюлозы…)</w:t>
            </w:r>
          </w:p>
        </w:tc>
        <w:tc>
          <w:tcPr>
            <w:tcW w:w="992" w:type="dxa"/>
            <w:shd w:val="clear" w:color="auto" w:fill="auto"/>
            <w:vAlign w:val="bottom"/>
            <w:hideMark/>
          </w:tcPr>
          <w:p w14:paraId="701B91D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4 285,7</w:t>
            </w:r>
          </w:p>
        </w:tc>
        <w:tc>
          <w:tcPr>
            <w:tcW w:w="992" w:type="dxa"/>
            <w:shd w:val="clear" w:color="auto" w:fill="auto"/>
            <w:vAlign w:val="bottom"/>
            <w:hideMark/>
          </w:tcPr>
          <w:p w14:paraId="6CB7B65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2 566,7</w:t>
            </w:r>
          </w:p>
        </w:tc>
        <w:tc>
          <w:tcPr>
            <w:tcW w:w="1134" w:type="dxa"/>
            <w:shd w:val="clear" w:color="auto" w:fill="auto"/>
            <w:noWrap/>
            <w:vAlign w:val="bottom"/>
            <w:hideMark/>
          </w:tcPr>
          <w:p w14:paraId="5EDBB0A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-1 719,0</w:t>
            </w:r>
          </w:p>
        </w:tc>
        <w:tc>
          <w:tcPr>
            <w:tcW w:w="1167" w:type="dxa"/>
            <w:shd w:val="clear" w:color="auto" w:fill="auto"/>
            <w:noWrap/>
            <w:vAlign w:val="bottom"/>
            <w:hideMark/>
          </w:tcPr>
          <w:p w14:paraId="2D13D5C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-40,1</w:t>
            </w:r>
          </w:p>
        </w:tc>
      </w:tr>
      <w:tr w:rsidR="00A53AD7" w:rsidRPr="00A53AD7" w14:paraId="7FBC14BB" w14:textId="77777777" w:rsidTr="00DA77C2">
        <w:trPr>
          <w:trHeight w:val="355"/>
        </w:trPr>
        <w:tc>
          <w:tcPr>
            <w:tcW w:w="5080" w:type="dxa"/>
            <w:shd w:val="clear" w:color="auto" w:fill="auto"/>
            <w:vAlign w:val="bottom"/>
            <w:hideMark/>
          </w:tcPr>
          <w:p w14:paraId="5FC636C9"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 xml:space="preserve">производство прочих транспортных средств и оборудования </w:t>
            </w:r>
          </w:p>
        </w:tc>
        <w:tc>
          <w:tcPr>
            <w:tcW w:w="992" w:type="dxa"/>
            <w:shd w:val="clear" w:color="auto" w:fill="auto"/>
            <w:vAlign w:val="bottom"/>
            <w:hideMark/>
          </w:tcPr>
          <w:p w14:paraId="523097C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502,7</w:t>
            </w:r>
          </w:p>
        </w:tc>
        <w:tc>
          <w:tcPr>
            <w:tcW w:w="992" w:type="dxa"/>
            <w:shd w:val="clear" w:color="auto" w:fill="auto"/>
            <w:vAlign w:val="bottom"/>
            <w:hideMark/>
          </w:tcPr>
          <w:p w14:paraId="2D3AC6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3 591,4</w:t>
            </w:r>
          </w:p>
        </w:tc>
        <w:tc>
          <w:tcPr>
            <w:tcW w:w="1134" w:type="dxa"/>
            <w:shd w:val="clear" w:color="auto" w:fill="auto"/>
            <w:noWrap/>
            <w:vAlign w:val="bottom"/>
            <w:hideMark/>
          </w:tcPr>
          <w:p w14:paraId="42CC624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3 088,7</w:t>
            </w:r>
          </w:p>
        </w:tc>
        <w:tc>
          <w:tcPr>
            <w:tcW w:w="1167" w:type="dxa"/>
            <w:shd w:val="clear" w:color="auto" w:fill="auto"/>
            <w:noWrap/>
            <w:vAlign w:val="bottom"/>
            <w:hideMark/>
          </w:tcPr>
          <w:p w14:paraId="35E3D05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7,1 раз</w:t>
            </w:r>
          </w:p>
        </w:tc>
      </w:tr>
      <w:tr w:rsidR="00A53AD7" w:rsidRPr="00A53AD7" w14:paraId="6F5A2A15" w14:textId="77777777" w:rsidTr="00DA77C2">
        <w:trPr>
          <w:trHeight w:val="469"/>
        </w:trPr>
        <w:tc>
          <w:tcPr>
            <w:tcW w:w="5080" w:type="dxa"/>
            <w:shd w:val="clear" w:color="auto" w:fill="auto"/>
            <w:vAlign w:val="bottom"/>
            <w:hideMark/>
          </w:tcPr>
          <w:p w14:paraId="6D74518D"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Обеспечение электрической энергией, газом и паром; кондиционирование воздуха</w:t>
            </w:r>
          </w:p>
        </w:tc>
        <w:tc>
          <w:tcPr>
            <w:tcW w:w="992" w:type="dxa"/>
            <w:shd w:val="clear" w:color="auto" w:fill="auto"/>
            <w:vAlign w:val="bottom"/>
            <w:hideMark/>
          </w:tcPr>
          <w:p w14:paraId="226985B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351,2</w:t>
            </w:r>
          </w:p>
        </w:tc>
        <w:tc>
          <w:tcPr>
            <w:tcW w:w="992" w:type="dxa"/>
            <w:shd w:val="clear" w:color="auto" w:fill="auto"/>
            <w:vAlign w:val="bottom"/>
            <w:hideMark/>
          </w:tcPr>
          <w:p w14:paraId="453C4C5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241,3</w:t>
            </w:r>
          </w:p>
        </w:tc>
        <w:tc>
          <w:tcPr>
            <w:tcW w:w="1134" w:type="dxa"/>
            <w:shd w:val="clear" w:color="auto" w:fill="auto"/>
            <w:noWrap/>
            <w:vAlign w:val="bottom"/>
            <w:hideMark/>
          </w:tcPr>
          <w:p w14:paraId="3549BE0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-109,9</w:t>
            </w:r>
          </w:p>
        </w:tc>
        <w:tc>
          <w:tcPr>
            <w:tcW w:w="1167" w:type="dxa"/>
            <w:shd w:val="clear" w:color="auto" w:fill="auto"/>
            <w:noWrap/>
            <w:vAlign w:val="bottom"/>
            <w:hideMark/>
          </w:tcPr>
          <w:p w14:paraId="690B3E1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-31,3</w:t>
            </w:r>
          </w:p>
        </w:tc>
      </w:tr>
      <w:tr w:rsidR="00A53AD7" w:rsidRPr="00A53AD7" w14:paraId="125CCBE2" w14:textId="77777777" w:rsidTr="00DA77C2">
        <w:trPr>
          <w:trHeight w:val="681"/>
        </w:trPr>
        <w:tc>
          <w:tcPr>
            <w:tcW w:w="5080" w:type="dxa"/>
            <w:shd w:val="clear" w:color="auto" w:fill="auto"/>
            <w:vAlign w:val="bottom"/>
            <w:hideMark/>
          </w:tcPr>
          <w:p w14:paraId="710D6222"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Водоснабжение, водоотведение, организация сбора и утилизации отходов, деятельность и ликвидация загрязнений</w:t>
            </w:r>
          </w:p>
        </w:tc>
        <w:tc>
          <w:tcPr>
            <w:tcW w:w="992" w:type="dxa"/>
            <w:shd w:val="clear" w:color="auto" w:fill="auto"/>
            <w:vAlign w:val="bottom"/>
            <w:hideMark/>
          </w:tcPr>
          <w:p w14:paraId="297AB1F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70,5</w:t>
            </w:r>
          </w:p>
        </w:tc>
        <w:tc>
          <w:tcPr>
            <w:tcW w:w="992" w:type="dxa"/>
            <w:shd w:val="clear" w:color="auto" w:fill="auto"/>
            <w:vAlign w:val="bottom"/>
            <w:hideMark/>
          </w:tcPr>
          <w:p w14:paraId="6309C45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162,3</w:t>
            </w:r>
          </w:p>
        </w:tc>
        <w:tc>
          <w:tcPr>
            <w:tcW w:w="1134" w:type="dxa"/>
            <w:shd w:val="clear" w:color="auto" w:fill="auto"/>
            <w:noWrap/>
            <w:vAlign w:val="bottom"/>
            <w:hideMark/>
          </w:tcPr>
          <w:p w14:paraId="08BF251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91,8</w:t>
            </w:r>
          </w:p>
        </w:tc>
        <w:tc>
          <w:tcPr>
            <w:tcW w:w="1167" w:type="dxa"/>
            <w:shd w:val="clear" w:color="auto" w:fill="auto"/>
            <w:noWrap/>
            <w:vAlign w:val="bottom"/>
            <w:hideMark/>
          </w:tcPr>
          <w:p w14:paraId="27FF90A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2,3 раз</w:t>
            </w:r>
          </w:p>
        </w:tc>
      </w:tr>
      <w:tr w:rsidR="00A53AD7" w:rsidRPr="00A53AD7" w14:paraId="48045581" w14:textId="77777777" w:rsidTr="00DA77C2">
        <w:trPr>
          <w:trHeight w:val="255"/>
        </w:trPr>
        <w:tc>
          <w:tcPr>
            <w:tcW w:w="5080" w:type="dxa"/>
            <w:shd w:val="clear" w:color="auto" w:fill="auto"/>
            <w:vAlign w:val="bottom"/>
            <w:hideMark/>
          </w:tcPr>
          <w:p w14:paraId="0D064A96"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Строительство</w:t>
            </w:r>
          </w:p>
        </w:tc>
        <w:tc>
          <w:tcPr>
            <w:tcW w:w="992" w:type="dxa"/>
            <w:shd w:val="clear" w:color="auto" w:fill="auto"/>
            <w:vAlign w:val="bottom"/>
            <w:hideMark/>
          </w:tcPr>
          <w:p w14:paraId="456819C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198,8</w:t>
            </w:r>
          </w:p>
        </w:tc>
        <w:tc>
          <w:tcPr>
            <w:tcW w:w="992" w:type="dxa"/>
            <w:shd w:val="clear" w:color="auto" w:fill="auto"/>
            <w:vAlign w:val="bottom"/>
            <w:hideMark/>
          </w:tcPr>
          <w:p w14:paraId="45B1FDD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85,8</w:t>
            </w:r>
          </w:p>
        </w:tc>
        <w:tc>
          <w:tcPr>
            <w:tcW w:w="1134" w:type="dxa"/>
            <w:shd w:val="clear" w:color="auto" w:fill="auto"/>
            <w:noWrap/>
            <w:vAlign w:val="bottom"/>
            <w:hideMark/>
          </w:tcPr>
          <w:p w14:paraId="58635E4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-113,0</w:t>
            </w:r>
          </w:p>
        </w:tc>
        <w:tc>
          <w:tcPr>
            <w:tcW w:w="1167" w:type="dxa"/>
            <w:shd w:val="clear" w:color="auto" w:fill="auto"/>
            <w:noWrap/>
            <w:vAlign w:val="bottom"/>
            <w:hideMark/>
          </w:tcPr>
          <w:p w14:paraId="7724560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-56,8</w:t>
            </w:r>
          </w:p>
        </w:tc>
      </w:tr>
      <w:tr w:rsidR="00A53AD7" w:rsidRPr="00A53AD7" w14:paraId="7ECD513F" w14:textId="77777777" w:rsidTr="00DA77C2">
        <w:trPr>
          <w:trHeight w:val="255"/>
        </w:trPr>
        <w:tc>
          <w:tcPr>
            <w:tcW w:w="5080" w:type="dxa"/>
            <w:shd w:val="clear" w:color="auto" w:fill="auto"/>
            <w:vAlign w:val="bottom"/>
            <w:hideMark/>
          </w:tcPr>
          <w:p w14:paraId="69511A7D"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Торговля оптовая и розничная</w:t>
            </w:r>
          </w:p>
        </w:tc>
        <w:tc>
          <w:tcPr>
            <w:tcW w:w="992" w:type="dxa"/>
            <w:shd w:val="clear" w:color="auto" w:fill="auto"/>
            <w:vAlign w:val="bottom"/>
            <w:hideMark/>
          </w:tcPr>
          <w:p w14:paraId="67722B7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1 475,4</w:t>
            </w:r>
          </w:p>
        </w:tc>
        <w:tc>
          <w:tcPr>
            <w:tcW w:w="992" w:type="dxa"/>
            <w:shd w:val="clear" w:color="auto" w:fill="auto"/>
            <w:vAlign w:val="bottom"/>
            <w:hideMark/>
          </w:tcPr>
          <w:p w14:paraId="21F9557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1 624,2</w:t>
            </w:r>
          </w:p>
        </w:tc>
        <w:tc>
          <w:tcPr>
            <w:tcW w:w="1134" w:type="dxa"/>
            <w:shd w:val="clear" w:color="auto" w:fill="auto"/>
            <w:noWrap/>
            <w:vAlign w:val="bottom"/>
            <w:hideMark/>
          </w:tcPr>
          <w:p w14:paraId="7550475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148,8</w:t>
            </w:r>
          </w:p>
        </w:tc>
        <w:tc>
          <w:tcPr>
            <w:tcW w:w="1167" w:type="dxa"/>
            <w:shd w:val="clear" w:color="auto" w:fill="auto"/>
            <w:noWrap/>
            <w:vAlign w:val="bottom"/>
            <w:hideMark/>
          </w:tcPr>
          <w:p w14:paraId="23CCB1C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110,1</w:t>
            </w:r>
          </w:p>
        </w:tc>
      </w:tr>
      <w:tr w:rsidR="00A53AD7" w:rsidRPr="00A53AD7" w14:paraId="138160F3" w14:textId="77777777" w:rsidTr="00DA77C2">
        <w:trPr>
          <w:trHeight w:val="505"/>
        </w:trPr>
        <w:tc>
          <w:tcPr>
            <w:tcW w:w="5080" w:type="dxa"/>
            <w:shd w:val="clear" w:color="auto" w:fill="auto"/>
            <w:vAlign w:val="bottom"/>
            <w:hideMark/>
          </w:tcPr>
          <w:p w14:paraId="25B2C6F0"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торговля оптовая, кроме оптовой торговли автотранспортными средствами и мотоциклами</w:t>
            </w:r>
          </w:p>
        </w:tc>
        <w:tc>
          <w:tcPr>
            <w:tcW w:w="992" w:type="dxa"/>
            <w:shd w:val="clear" w:color="auto" w:fill="auto"/>
            <w:vAlign w:val="bottom"/>
            <w:hideMark/>
          </w:tcPr>
          <w:p w14:paraId="5686B22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1 174,1</w:t>
            </w:r>
          </w:p>
        </w:tc>
        <w:tc>
          <w:tcPr>
            <w:tcW w:w="992" w:type="dxa"/>
            <w:shd w:val="clear" w:color="auto" w:fill="auto"/>
            <w:vAlign w:val="bottom"/>
            <w:hideMark/>
          </w:tcPr>
          <w:p w14:paraId="086CD77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1 323,7</w:t>
            </w:r>
          </w:p>
        </w:tc>
        <w:tc>
          <w:tcPr>
            <w:tcW w:w="1134" w:type="dxa"/>
            <w:shd w:val="clear" w:color="auto" w:fill="auto"/>
            <w:noWrap/>
            <w:vAlign w:val="bottom"/>
            <w:hideMark/>
          </w:tcPr>
          <w:p w14:paraId="52928F2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149,6</w:t>
            </w:r>
          </w:p>
        </w:tc>
        <w:tc>
          <w:tcPr>
            <w:tcW w:w="1167" w:type="dxa"/>
            <w:shd w:val="clear" w:color="auto" w:fill="auto"/>
            <w:noWrap/>
            <w:vAlign w:val="bottom"/>
            <w:hideMark/>
          </w:tcPr>
          <w:p w14:paraId="5B8B8BD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112,7</w:t>
            </w:r>
          </w:p>
        </w:tc>
      </w:tr>
      <w:tr w:rsidR="00A53AD7" w:rsidRPr="00A53AD7" w14:paraId="57E37CCD" w14:textId="77777777" w:rsidTr="00DA77C2">
        <w:trPr>
          <w:trHeight w:val="255"/>
        </w:trPr>
        <w:tc>
          <w:tcPr>
            <w:tcW w:w="5080" w:type="dxa"/>
            <w:shd w:val="clear" w:color="auto" w:fill="auto"/>
            <w:vAlign w:val="bottom"/>
            <w:hideMark/>
          </w:tcPr>
          <w:p w14:paraId="6570FE93"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Транспортировка и хранение</w:t>
            </w:r>
          </w:p>
        </w:tc>
        <w:tc>
          <w:tcPr>
            <w:tcW w:w="992" w:type="dxa"/>
            <w:shd w:val="clear" w:color="auto" w:fill="auto"/>
            <w:vAlign w:val="bottom"/>
            <w:hideMark/>
          </w:tcPr>
          <w:p w14:paraId="3AE3455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864,7</w:t>
            </w:r>
          </w:p>
        </w:tc>
        <w:tc>
          <w:tcPr>
            <w:tcW w:w="992" w:type="dxa"/>
            <w:shd w:val="clear" w:color="auto" w:fill="auto"/>
            <w:vAlign w:val="bottom"/>
            <w:hideMark/>
          </w:tcPr>
          <w:p w14:paraId="3BE8D33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1 344,0</w:t>
            </w:r>
          </w:p>
        </w:tc>
        <w:tc>
          <w:tcPr>
            <w:tcW w:w="1134" w:type="dxa"/>
            <w:shd w:val="clear" w:color="auto" w:fill="auto"/>
            <w:noWrap/>
            <w:vAlign w:val="bottom"/>
            <w:hideMark/>
          </w:tcPr>
          <w:p w14:paraId="6DFB6A9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479,3</w:t>
            </w:r>
          </w:p>
        </w:tc>
        <w:tc>
          <w:tcPr>
            <w:tcW w:w="1167" w:type="dxa"/>
            <w:shd w:val="clear" w:color="auto" w:fill="auto"/>
            <w:noWrap/>
            <w:vAlign w:val="bottom"/>
            <w:hideMark/>
          </w:tcPr>
          <w:p w14:paraId="61356152" w14:textId="4B69FFA0" w:rsidR="00D01D81" w:rsidRPr="00A53AD7" w:rsidRDefault="00D01D81" w:rsidP="00F409A2">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в 1,</w:t>
            </w:r>
            <w:r w:rsidR="00F409A2" w:rsidRPr="00A53AD7">
              <w:rPr>
                <w:rFonts w:ascii="Times New Roman" w:eastAsia="Times New Roman" w:hAnsi="Times New Roman"/>
                <w:lang w:eastAsia="ru-RU"/>
              </w:rPr>
              <w:t>6</w:t>
            </w:r>
            <w:r w:rsidRPr="00A53AD7">
              <w:rPr>
                <w:rFonts w:ascii="Times New Roman" w:eastAsia="Times New Roman" w:hAnsi="Times New Roman"/>
                <w:lang w:eastAsia="ru-RU"/>
              </w:rPr>
              <w:t xml:space="preserve"> раза</w:t>
            </w:r>
          </w:p>
        </w:tc>
      </w:tr>
      <w:tr w:rsidR="00A53AD7" w:rsidRPr="00A53AD7" w14:paraId="45A9820B" w14:textId="77777777" w:rsidTr="00DA77C2">
        <w:trPr>
          <w:trHeight w:val="255"/>
        </w:trPr>
        <w:tc>
          <w:tcPr>
            <w:tcW w:w="5080" w:type="dxa"/>
            <w:shd w:val="clear" w:color="auto" w:fill="auto"/>
            <w:vAlign w:val="bottom"/>
            <w:hideMark/>
          </w:tcPr>
          <w:p w14:paraId="4D37A188"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Деятельность финансовая и страховая</w:t>
            </w:r>
          </w:p>
        </w:tc>
        <w:tc>
          <w:tcPr>
            <w:tcW w:w="992" w:type="dxa"/>
            <w:shd w:val="clear" w:color="auto" w:fill="auto"/>
            <w:vAlign w:val="bottom"/>
            <w:hideMark/>
          </w:tcPr>
          <w:p w14:paraId="6A3CCF2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1 524,8</w:t>
            </w:r>
          </w:p>
        </w:tc>
        <w:tc>
          <w:tcPr>
            <w:tcW w:w="992" w:type="dxa"/>
            <w:shd w:val="clear" w:color="auto" w:fill="auto"/>
            <w:vAlign w:val="bottom"/>
            <w:hideMark/>
          </w:tcPr>
          <w:p w14:paraId="39E4B2F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1 503,4</w:t>
            </w:r>
          </w:p>
        </w:tc>
        <w:tc>
          <w:tcPr>
            <w:tcW w:w="1134" w:type="dxa"/>
            <w:shd w:val="clear" w:color="auto" w:fill="auto"/>
            <w:noWrap/>
            <w:vAlign w:val="bottom"/>
            <w:hideMark/>
          </w:tcPr>
          <w:p w14:paraId="15B34BE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-21,4</w:t>
            </w:r>
          </w:p>
        </w:tc>
        <w:tc>
          <w:tcPr>
            <w:tcW w:w="1167" w:type="dxa"/>
            <w:shd w:val="clear" w:color="auto" w:fill="auto"/>
            <w:noWrap/>
            <w:vAlign w:val="bottom"/>
            <w:hideMark/>
          </w:tcPr>
          <w:p w14:paraId="1A72EAE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w:t>
            </w:r>
          </w:p>
        </w:tc>
      </w:tr>
      <w:tr w:rsidR="00D01D81" w:rsidRPr="00A53AD7" w14:paraId="38C3E156" w14:textId="77777777" w:rsidTr="00DA77C2">
        <w:trPr>
          <w:trHeight w:val="251"/>
        </w:trPr>
        <w:tc>
          <w:tcPr>
            <w:tcW w:w="5080" w:type="dxa"/>
            <w:shd w:val="clear" w:color="auto" w:fill="auto"/>
            <w:vAlign w:val="bottom"/>
            <w:hideMark/>
          </w:tcPr>
          <w:p w14:paraId="12EEC4B4"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Деятельность по операциям с недвижимым имуществом</w:t>
            </w:r>
          </w:p>
        </w:tc>
        <w:tc>
          <w:tcPr>
            <w:tcW w:w="992" w:type="dxa"/>
            <w:shd w:val="clear" w:color="auto" w:fill="auto"/>
            <w:vAlign w:val="bottom"/>
            <w:hideMark/>
          </w:tcPr>
          <w:p w14:paraId="6CFCE5A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129,1</w:t>
            </w:r>
          </w:p>
        </w:tc>
        <w:tc>
          <w:tcPr>
            <w:tcW w:w="992" w:type="dxa"/>
            <w:shd w:val="clear" w:color="auto" w:fill="auto"/>
            <w:vAlign w:val="bottom"/>
            <w:hideMark/>
          </w:tcPr>
          <w:p w14:paraId="3D036E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68,0 </w:t>
            </w:r>
          </w:p>
        </w:tc>
        <w:tc>
          <w:tcPr>
            <w:tcW w:w="1134" w:type="dxa"/>
            <w:shd w:val="clear" w:color="auto" w:fill="auto"/>
            <w:noWrap/>
            <w:vAlign w:val="bottom"/>
            <w:hideMark/>
          </w:tcPr>
          <w:p w14:paraId="47A17A5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-61,1</w:t>
            </w:r>
          </w:p>
        </w:tc>
        <w:tc>
          <w:tcPr>
            <w:tcW w:w="1167" w:type="dxa"/>
            <w:shd w:val="clear" w:color="auto" w:fill="auto"/>
            <w:noWrap/>
            <w:vAlign w:val="bottom"/>
            <w:hideMark/>
          </w:tcPr>
          <w:p w14:paraId="18DEDCA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-47,3</w:t>
            </w:r>
          </w:p>
        </w:tc>
      </w:tr>
    </w:tbl>
    <w:p w14:paraId="2D068F23" w14:textId="77777777" w:rsidR="00DA77C2" w:rsidRPr="00A53AD7" w:rsidRDefault="00DA77C2" w:rsidP="00D01D81">
      <w:pPr>
        <w:spacing w:after="0" w:line="240" w:lineRule="auto"/>
        <w:ind w:firstLine="851"/>
        <w:jc w:val="both"/>
        <w:rPr>
          <w:rFonts w:ascii="Times New Roman" w:hAnsi="Times New Roman"/>
          <w:sz w:val="28"/>
          <w:szCs w:val="28"/>
        </w:rPr>
      </w:pPr>
    </w:p>
    <w:p w14:paraId="23ABBC0D" w14:textId="77777777" w:rsidR="00276181" w:rsidRPr="00A53AD7" w:rsidRDefault="00276181" w:rsidP="002761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статистической налоговой отчетности УФНС по Архангельской области и НАО по состоянию на 01.01.2020 (форма № 1- НОМ «Отчет о поступлении налогов и сборов в консолидированный бюджет Российской Федерации по основным видам экономической деятельности») установлен рост поступления в областной бюджет налога на прибыль организаций на территории Архангельской области.</w:t>
      </w:r>
    </w:p>
    <w:p w14:paraId="0E5A11F9" w14:textId="77777777" w:rsidR="00276181" w:rsidRPr="00A53AD7" w:rsidRDefault="00276181" w:rsidP="002761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Основную долю в поступлении налога на прибыль организаций от плательщиков Архангельской области составляют поступление по виду экономической деятельности «Обрабатывающие производства», что составляет 6 797,9 млн.руб. или 47,3 %. В сфере обрабатывающих производств поступление налога на прибыль организаций в 2019 году увеличилось на 575,7 млн.руб. или на 9,3 % к аналогичным показателям 2018 года. </w:t>
      </w:r>
    </w:p>
    <w:p w14:paraId="5501168C" w14:textId="4C39360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Положительная динамика поступлений по налогу на прибыль организаций за 2019 год к показателям 2018 года отмечается и по виду деятельности «производство прочих транспортных средств и оборудования» на 3 088,7 млн.руб. или в 7</w:t>
      </w:r>
      <w:r w:rsidR="00B9092B" w:rsidRPr="00A53AD7">
        <w:rPr>
          <w:rFonts w:ascii="Times New Roman" w:hAnsi="Times New Roman"/>
          <w:sz w:val="28"/>
          <w:szCs w:val="28"/>
        </w:rPr>
        <w:t>,1 раз к показателям 2018 года.</w:t>
      </w:r>
    </w:p>
    <w:p w14:paraId="5F852FFC" w14:textId="7887A9C6" w:rsidR="00276181" w:rsidRPr="00A53AD7" w:rsidRDefault="00276181" w:rsidP="002761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Динамика поступления налога на прибыль организаций в части видов экономической деятельности в 2019 году неоднозначна. Так прирост установлен в </w:t>
      </w:r>
      <w:r w:rsidR="00A833D4" w:rsidRPr="00A53AD7">
        <w:rPr>
          <w:rFonts w:ascii="Times New Roman" w:hAnsi="Times New Roman"/>
          <w:sz w:val="28"/>
          <w:szCs w:val="28"/>
        </w:rPr>
        <w:t>сфере</w:t>
      </w:r>
      <w:r w:rsidRPr="00A53AD7">
        <w:rPr>
          <w:rFonts w:ascii="Times New Roman" w:hAnsi="Times New Roman"/>
          <w:sz w:val="28"/>
          <w:szCs w:val="28"/>
        </w:rPr>
        <w:t xml:space="preserve"> транспортировк</w:t>
      </w:r>
      <w:r w:rsidR="00A833D4" w:rsidRPr="00A53AD7">
        <w:rPr>
          <w:rFonts w:ascii="Times New Roman" w:hAnsi="Times New Roman"/>
          <w:sz w:val="28"/>
          <w:szCs w:val="28"/>
        </w:rPr>
        <w:t>и</w:t>
      </w:r>
      <w:r w:rsidRPr="00A53AD7">
        <w:rPr>
          <w:rFonts w:ascii="Times New Roman" w:hAnsi="Times New Roman"/>
          <w:sz w:val="28"/>
          <w:szCs w:val="28"/>
        </w:rPr>
        <w:t xml:space="preserve"> и хранени</w:t>
      </w:r>
      <w:r w:rsidR="00A833D4" w:rsidRPr="00A53AD7">
        <w:rPr>
          <w:rFonts w:ascii="Times New Roman" w:hAnsi="Times New Roman"/>
          <w:sz w:val="28"/>
          <w:szCs w:val="28"/>
        </w:rPr>
        <w:t>я</w:t>
      </w:r>
      <w:r w:rsidRPr="00A53AD7">
        <w:rPr>
          <w:rFonts w:ascii="Times New Roman" w:hAnsi="Times New Roman"/>
          <w:sz w:val="28"/>
          <w:szCs w:val="28"/>
        </w:rPr>
        <w:t xml:space="preserve"> на 479,3 млн.руб. или на 55,4 % к показателю 2018 года; рыболовств</w:t>
      </w:r>
      <w:r w:rsidR="00A833D4" w:rsidRPr="00A53AD7">
        <w:rPr>
          <w:rFonts w:ascii="Times New Roman" w:hAnsi="Times New Roman"/>
          <w:sz w:val="28"/>
          <w:szCs w:val="28"/>
        </w:rPr>
        <w:t>а</w:t>
      </w:r>
      <w:r w:rsidRPr="00A53AD7">
        <w:rPr>
          <w:rFonts w:ascii="Times New Roman" w:hAnsi="Times New Roman"/>
          <w:sz w:val="28"/>
          <w:szCs w:val="28"/>
        </w:rPr>
        <w:t>, рыбоводств</w:t>
      </w:r>
      <w:r w:rsidR="00A833D4" w:rsidRPr="00A53AD7">
        <w:rPr>
          <w:rFonts w:ascii="Times New Roman" w:hAnsi="Times New Roman"/>
          <w:sz w:val="28"/>
          <w:szCs w:val="28"/>
        </w:rPr>
        <w:t>а</w:t>
      </w:r>
      <w:r w:rsidRPr="00A53AD7">
        <w:rPr>
          <w:rFonts w:ascii="Times New Roman" w:hAnsi="Times New Roman"/>
          <w:sz w:val="28"/>
          <w:szCs w:val="28"/>
        </w:rPr>
        <w:t xml:space="preserve"> – на 271,2 млн.руб. или в 1,5 раза к показателю 2018 год</w:t>
      </w:r>
      <w:r w:rsidR="00A833D4" w:rsidRPr="00A53AD7">
        <w:rPr>
          <w:rFonts w:ascii="Times New Roman" w:hAnsi="Times New Roman"/>
          <w:sz w:val="28"/>
          <w:szCs w:val="28"/>
        </w:rPr>
        <w:t>а.</w:t>
      </w:r>
      <w:r w:rsidRPr="00A53AD7">
        <w:rPr>
          <w:rFonts w:ascii="Times New Roman" w:hAnsi="Times New Roman"/>
          <w:sz w:val="28"/>
          <w:szCs w:val="28"/>
        </w:rPr>
        <w:t xml:space="preserve"> </w:t>
      </w:r>
      <w:r w:rsidR="00A833D4" w:rsidRPr="00A53AD7">
        <w:rPr>
          <w:rFonts w:ascii="Times New Roman" w:hAnsi="Times New Roman"/>
          <w:sz w:val="28"/>
          <w:szCs w:val="28"/>
        </w:rPr>
        <w:t>О</w:t>
      </w:r>
      <w:r w:rsidRPr="00A53AD7">
        <w:rPr>
          <w:rFonts w:ascii="Times New Roman" w:hAnsi="Times New Roman"/>
          <w:sz w:val="28"/>
          <w:szCs w:val="28"/>
        </w:rPr>
        <w:t xml:space="preserve">трицательная динамика сложилась </w:t>
      </w:r>
      <w:r w:rsidR="00A833D4" w:rsidRPr="00A53AD7">
        <w:rPr>
          <w:rFonts w:ascii="Times New Roman" w:hAnsi="Times New Roman"/>
          <w:sz w:val="28"/>
          <w:szCs w:val="28"/>
        </w:rPr>
        <w:t xml:space="preserve">в </w:t>
      </w:r>
      <w:r w:rsidR="00A833D4" w:rsidRPr="00A53AD7">
        <w:rPr>
          <w:rFonts w:ascii="Times New Roman" w:hAnsi="Times New Roman"/>
          <w:sz w:val="28"/>
          <w:szCs w:val="28"/>
        </w:rPr>
        <w:lastRenderedPageBreak/>
        <w:t xml:space="preserve">сфере </w:t>
      </w:r>
      <w:r w:rsidRPr="00A53AD7">
        <w:rPr>
          <w:rFonts w:ascii="Times New Roman" w:hAnsi="Times New Roman"/>
          <w:sz w:val="28"/>
          <w:szCs w:val="28"/>
        </w:rPr>
        <w:t>производств</w:t>
      </w:r>
      <w:r w:rsidR="00A833D4" w:rsidRPr="00A53AD7">
        <w:rPr>
          <w:rFonts w:ascii="Times New Roman" w:hAnsi="Times New Roman"/>
          <w:sz w:val="28"/>
          <w:szCs w:val="28"/>
        </w:rPr>
        <w:t>а</w:t>
      </w:r>
      <w:r w:rsidRPr="00A53AD7">
        <w:rPr>
          <w:rFonts w:ascii="Times New Roman" w:hAnsi="Times New Roman"/>
          <w:sz w:val="28"/>
          <w:szCs w:val="28"/>
        </w:rPr>
        <w:t xml:space="preserve"> бумаги и бумажных изделий – на 1 719,0 млн.руб. или на 40,1 % к показателям 2018 года; обеспечени</w:t>
      </w:r>
      <w:r w:rsidR="00C1741C" w:rsidRPr="00A53AD7">
        <w:rPr>
          <w:rFonts w:ascii="Times New Roman" w:hAnsi="Times New Roman"/>
          <w:sz w:val="28"/>
          <w:szCs w:val="28"/>
        </w:rPr>
        <w:t>я</w:t>
      </w:r>
      <w:r w:rsidRPr="00A53AD7">
        <w:rPr>
          <w:rFonts w:ascii="Times New Roman" w:hAnsi="Times New Roman"/>
          <w:sz w:val="28"/>
          <w:szCs w:val="28"/>
        </w:rPr>
        <w:t xml:space="preserve"> электрической энергией, газом и паром; кондиционировани</w:t>
      </w:r>
      <w:r w:rsidR="00C1741C" w:rsidRPr="00A53AD7">
        <w:rPr>
          <w:rFonts w:ascii="Times New Roman" w:hAnsi="Times New Roman"/>
          <w:sz w:val="28"/>
          <w:szCs w:val="28"/>
        </w:rPr>
        <w:t>я</w:t>
      </w:r>
      <w:r w:rsidRPr="00A53AD7">
        <w:rPr>
          <w:rFonts w:ascii="Times New Roman" w:hAnsi="Times New Roman"/>
          <w:sz w:val="28"/>
          <w:szCs w:val="28"/>
        </w:rPr>
        <w:t xml:space="preserve"> воздуха – на 109,9 млн.руб. или на 31,3 % к показателю за 2018 год; </w:t>
      </w:r>
      <w:r w:rsidR="00C1741C" w:rsidRPr="00A53AD7">
        <w:rPr>
          <w:rFonts w:ascii="Times New Roman" w:hAnsi="Times New Roman"/>
          <w:sz w:val="28"/>
          <w:szCs w:val="28"/>
        </w:rPr>
        <w:t>с</w:t>
      </w:r>
      <w:r w:rsidRPr="00A53AD7">
        <w:rPr>
          <w:rFonts w:ascii="Times New Roman" w:hAnsi="Times New Roman"/>
          <w:sz w:val="28"/>
          <w:szCs w:val="28"/>
        </w:rPr>
        <w:t>троительств</w:t>
      </w:r>
      <w:r w:rsidR="00C1741C" w:rsidRPr="00A53AD7">
        <w:rPr>
          <w:rFonts w:ascii="Times New Roman" w:hAnsi="Times New Roman"/>
          <w:sz w:val="28"/>
          <w:szCs w:val="28"/>
        </w:rPr>
        <w:t>а</w:t>
      </w:r>
      <w:r w:rsidRPr="00A53AD7">
        <w:rPr>
          <w:rFonts w:ascii="Times New Roman" w:hAnsi="Times New Roman"/>
          <w:sz w:val="28"/>
          <w:szCs w:val="28"/>
        </w:rPr>
        <w:t xml:space="preserve"> – на 113,0 млн.руб. или на 56,8 % к показателю за 2018 год.</w:t>
      </w:r>
    </w:p>
    <w:p w14:paraId="5E55A09D" w14:textId="48A25E7A"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задолженности по налогам и сборам…в бюджетную систему Российской Федерации (ф. 4-НМ) по Архангельской области (без учета НАО) по состоянию на 01.01.2020 (далее – Отчет ф. 4-НМ), задолженность по налогу на прибыль организаций в части, зачисляемой в областной бюджет, сложилась в сумме 150,3 млн.руб., за год снизившись на 44,6 млн.руб. или на 22,9 % к показателям задолженности на 01.01.2019. Недоимка в общем объеме задолженности по налогу на прибыль на 01.01.20</w:t>
      </w:r>
      <w:r w:rsidR="00C1741C" w:rsidRPr="00A53AD7">
        <w:rPr>
          <w:rFonts w:ascii="Times New Roman" w:hAnsi="Times New Roman"/>
          <w:sz w:val="28"/>
          <w:szCs w:val="28"/>
        </w:rPr>
        <w:t>20</w:t>
      </w:r>
      <w:r w:rsidRPr="00A53AD7">
        <w:rPr>
          <w:rFonts w:ascii="Times New Roman" w:hAnsi="Times New Roman"/>
          <w:sz w:val="28"/>
          <w:szCs w:val="28"/>
        </w:rPr>
        <w:t xml:space="preserve"> составляет 117,4 млн.руб., также снизившись к показателям на 01.01.2019 на 12,3 млн.руб. или на 9,5 %.</w:t>
      </w:r>
    </w:p>
    <w:p w14:paraId="15FF8FDD" w14:textId="77777777" w:rsidR="00D01D81" w:rsidRPr="00A53AD7" w:rsidRDefault="00D01D81" w:rsidP="00D01D81">
      <w:pPr>
        <w:spacing w:after="0" w:line="240" w:lineRule="auto"/>
        <w:ind w:firstLine="851"/>
        <w:jc w:val="both"/>
        <w:rPr>
          <w:rFonts w:ascii="Times New Roman" w:hAnsi="Times New Roman"/>
          <w:sz w:val="28"/>
          <w:szCs w:val="28"/>
        </w:rPr>
      </w:pPr>
    </w:p>
    <w:p w14:paraId="083EC92F"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2. </w:t>
      </w:r>
      <w:r w:rsidRPr="00A53AD7">
        <w:rPr>
          <w:rFonts w:ascii="Times New Roman" w:hAnsi="Times New Roman"/>
          <w:sz w:val="28"/>
          <w:szCs w:val="28"/>
          <w:u w:val="single"/>
        </w:rPr>
        <w:t>Налог на доходы физических лиц</w:t>
      </w:r>
      <w:r w:rsidRPr="00A53AD7">
        <w:rPr>
          <w:rFonts w:ascii="Times New Roman" w:hAnsi="Times New Roman"/>
          <w:sz w:val="28"/>
          <w:szCs w:val="28"/>
        </w:rPr>
        <w:t xml:space="preserve"> в структуре налоговых и неналоговых доходов составляет 30,9 %. Сумма поступления в областной бюджет в 2019 году составила 19 648,8 млн.руб., что на 349,0 млн.руб. или на 101,8 % превышает плановые назначения и на 965,4 млн.руб. или на 5,2 % превышает показатели 2018 года.</w:t>
      </w:r>
    </w:p>
    <w:p w14:paraId="6BB8D6E1"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за 2019 год налога на доходы физических лиц практически соответствует ожидаемой оценке поступлений указанного налога в 2019 году, превысив ожидаемое поступление на 298,8 млн.руб. или на 1,5 %.</w:t>
      </w:r>
    </w:p>
    <w:p w14:paraId="4686C954" w14:textId="6A3743AF" w:rsidR="00DC5866" w:rsidRPr="00A53AD7" w:rsidRDefault="00DC5866"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в 2019 год прогноз поступления указанного налога не корректировался.</w:t>
      </w:r>
    </w:p>
    <w:p w14:paraId="2D186888" w14:textId="53D2A4F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Выполнение кассового плана по налогу на доходы физических лиц в 2018 – 2019 годах представлено в таблице </w:t>
      </w:r>
      <w:r w:rsidR="00F5645E" w:rsidRPr="00A53AD7">
        <w:rPr>
          <w:rFonts w:ascii="Times New Roman" w:hAnsi="Times New Roman"/>
          <w:sz w:val="28"/>
          <w:szCs w:val="28"/>
        </w:rPr>
        <w:t>28</w:t>
      </w:r>
      <w:r w:rsidRPr="00A53AD7">
        <w:rPr>
          <w:rFonts w:ascii="Times New Roman" w:hAnsi="Times New Roman"/>
          <w:sz w:val="28"/>
          <w:szCs w:val="28"/>
        </w:rPr>
        <w:t>:</w:t>
      </w:r>
    </w:p>
    <w:p w14:paraId="1C6EE760" w14:textId="77777777" w:rsidR="00D01D81" w:rsidRPr="00A53AD7" w:rsidRDefault="00D01D81" w:rsidP="00D01D81">
      <w:pPr>
        <w:spacing w:after="0" w:line="240" w:lineRule="auto"/>
        <w:ind w:firstLine="851"/>
        <w:jc w:val="both"/>
        <w:rPr>
          <w:rFonts w:ascii="Times New Roman" w:hAnsi="Times New Roman"/>
          <w:sz w:val="28"/>
          <w:szCs w:val="28"/>
        </w:rPr>
      </w:pPr>
    </w:p>
    <w:p w14:paraId="65AF09AA" w14:textId="1ACB177F" w:rsidR="00D01D81" w:rsidRPr="00A53AD7" w:rsidRDefault="00DC5866" w:rsidP="00D01D81">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28</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00D01D81" w:rsidRPr="00A53AD7">
        <w:rPr>
          <w:rFonts w:ascii="Times New Roman" w:hAnsi="Times New Roman"/>
          <w:sz w:val="24"/>
          <w:szCs w:val="24"/>
        </w:rPr>
        <w:t>Выполнение кассового плана поступлений налога на доходы физических лиц за 2018 – 2019 годы, млн.руб.</w:t>
      </w:r>
    </w:p>
    <w:tbl>
      <w:tblPr>
        <w:tblW w:w="9313" w:type="dxa"/>
        <w:tblLayout w:type="fixed"/>
        <w:tblLook w:val="04A0" w:firstRow="1" w:lastRow="0" w:firstColumn="1" w:lastColumn="0" w:noHBand="0" w:noVBand="1"/>
      </w:tblPr>
      <w:tblGrid>
        <w:gridCol w:w="1678"/>
        <w:gridCol w:w="1134"/>
        <w:gridCol w:w="1134"/>
        <w:gridCol w:w="1065"/>
        <w:gridCol w:w="1061"/>
        <w:gridCol w:w="1127"/>
        <w:gridCol w:w="987"/>
        <w:gridCol w:w="1127"/>
      </w:tblGrid>
      <w:tr w:rsidR="00A53AD7" w:rsidRPr="00A53AD7" w14:paraId="030B0513" w14:textId="77777777" w:rsidTr="00DC5866">
        <w:trPr>
          <w:trHeight w:val="108"/>
          <w:tblHeader/>
        </w:trPr>
        <w:tc>
          <w:tcPr>
            <w:tcW w:w="1678"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712BD0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Плательщики</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4E9F866" w14:textId="36C967FC"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Исполнено </w:t>
            </w:r>
            <w:r w:rsidR="00DC5866" w:rsidRPr="00A53AD7">
              <w:rPr>
                <w:rFonts w:ascii="Times New Roman" w:eastAsia="Times New Roman" w:hAnsi="Times New Roman"/>
                <w:lang w:eastAsia="ru-RU"/>
              </w:rPr>
              <w:t xml:space="preserve">за </w:t>
            </w:r>
            <w:r w:rsidRPr="00A53AD7">
              <w:rPr>
                <w:rFonts w:ascii="Times New Roman" w:eastAsia="Times New Roman" w:hAnsi="Times New Roman"/>
                <w:lang w:eastAsia="ru-RU"/>
              </w:rPr>
              <w:t>2018</w:t>
            </w:r>
            <w:r w:rsidR="00DC5866"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113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EEB58DD" w14:textId="73A908F4"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Кассовый план 2019</w:t>
            </w:r>
            <w:r w:rsidR="00DC5866"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106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5BD0135" w14:textId="0D8694D0"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w:t>
            </w:r>
            <w:r w:rsidR="00DC5866" w:rsidRPr="00A53AD7">
              <w:rPr>
                <w:rFonts w:ascii="Times New Roman" w:eastAsia="Times New Roman" w:hAnsi="Times New Roman"/>
                <w:lang w:eastAsia="ru-RU"/>
              </w:rPr>
              <w:t xml:space="preserve"> за</w:t>
            </w:r>
            <w:r w:rsidRPr="00A53AD7">
              <w:rPr>
                <w:rFonts w:ascii="Times New Roman" w:eastAsia="Times New Roman" w:hAnsi="Times New Roman"/>
                <w:lang w:eastAsia="ru-RU"/>
              </w:rPr>
              <w:t xml:space="preserve"> 2019</w:t>
            </w:r>
            <w:r w:rsidR="00DC5866"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c>
          <w:tcPr>
            <w:tcW w:w="4302" w:type="dxa"/>
            <w:gridSpan w:val="4"/>
            <w:tcBorders>
              <w:top w:val="double" w:sz="6" w:space="0" w:color="auto"/>
              <w:left w:val="nil"/>
              <w:bottom w:val="single" w:sz="4" w:space="0" w:color="auto"/>
              <w:right w:val="double" w:sz="6" w:space="0" w:color="000000"/>
            </w:tcBorders>
            <w:shd w:val="clear" w:color="auto" w:fill="auto"/>
            <w:vAlign w:val="center"/>
            <w:hideMark/>
          </w:tcPr>
          <w:p w14:paraId="2EE42FD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w:t>
            </w:r>
          </w:p>
        </w:tc>
      </w:tr>
      <w:tr w:rsidR="00A53AD7" w:rsidRPr="00A53AD7" w14:paraId="0943472F" w14:textId="77777777" w:rsidTr="00DC5866">
        <w:trPr>
          <w:trHeight w:val="242"/>
          <w:tblHeader/>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58CE5A74"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7F7108F4"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2E71704D" w14:textId="77777777" w:rsidR="00D01D81" w:rsidRPr="00A53AD7" w:rsidRDefault="00D01D81" w:rsidP="00BA5523">
            <w:pPr>
              <w:spacing w:after="0" w:line="240" w:lineRule="auto"/>
              <w:rPr>
                <w:rFonts w:ascii="Times New Roman" w:eastAsia="Times New Roman" w:hAnsi="Times New Roman"/>
                <w:lang w:eastAsia="ru-RU"/>
              </w:rPr>
            </w:pPr>
          </w:p>
        </w:tc>
        <w:tc>
          <w:tcPr>
            <w:tcW w:w="1065" w:type="dxa"/>
            <w:vMerge/>
            <w:tcBorders>
              <w:top w:val="double" w:sz="6" w:space="0" w:color="auto"/>
              <w:left w:val="single" w:sz="4" w:space="0" w:color="auto"/>
              <w:bottom w:val="single" w:sz="4" w:space="0" w:color="auto"/>
              <w:right w:val="single" w:sz="4" w:space="0" w:color="auto"/>
            </w:tcBorders>
            <w:vAlign w:val="center"/>
            <w:hideMark/>
          </w:tcPr>
          <w:p w14:paraId="50EE16F5" w14:textId="77777777" w:rsidR="00D01D81" w:rsidRPr="00A53AD7" w:rsidRDefault="00D01D81" w:rsidP="00BA5523">
            <w:pPr>
              <w:spacing w:after="0" w:line="240" w:lineRule="auto"/>
              <w:rPr>
                <w:rFonts w:ascii="Times New Roman" w:eastAsia="Times New Roman" w:hAnsi="Times New Roman"/>
                <w:lang w:eastAsia="ru-RU"/>
              </w:rPr>
            </w:pPr>
          </w:p>
        </w:tc>
        <w:tc>
          <w:tcPr>
            <w:tcW w:w="2188" w:type="dxa"/>
            <w:gridSpan w:val="2"/>
            <w:tcBorders>
              <w:top w:val="single" w:sz="4" w:space="0" w:color="auto"/>
              <w:left w:val="nil"/>
              <w:bottom w:val="single" w:sz="4" w:space="0" w:color="auto"/>
              <w:right w:val="single" w:sz="4" w:space="0" w:color="auto"/>
            </w:tcBorders>
            <w:shd w:val="clear" w:color="auto" w:fill="auto"/>
            <w:vAlign w:val="center"/>
            <w:hideMark/>
          </w:tcPr>
          <w:p w14:paraId="58F39ECD" w14:textId="0B1B6963" w:rsidR="00D01D81" w:rsidRPr="00A53AD7" w:rsidRDefault="00D01D81" w:rsidP="001E43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кассовому плану 2019</w:t>
            </w:r>
            <w:r w:rsidR="001E436D"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r w:rsidR="001E436D" w:rsidRPr="00A53AD7">
              <w:rPr>
                <w:rFonts w:ascii="Times New Roman" w:eastAsia="Times New Roman" w:hAnsi="Times New Roman"/>
                <w:lang w:eastAsia="ru-RU"/>
              </w:rPr>
              <w:t>ода</w:t>
            </w:r>
          </w:p>
        </w:tc>
        <w:tc>
          <w:tcPr>
            <w:tcW w:w="2114" w:type="dxa"/>
            <w:gridSpan w:val="2"/>
            <w:tcBorders>
              <w:top w:val="single" w:sz="4" w:space="0" w:color="auto"/>
              <w:left w:val="nil"/>
              <w:bottom w:val="single" w:sz="4" w:space="0" w:color="auto"/>
              <w:right w:val="double" w:sz="6" w:space="0" w:color="000000"/>
            </w:tcBorders>
            <w:shd w:val="clear" w:color="auto" w:fill="auto"/>
            <w:vAlign w:val="center"/>
            <w:hideMark/>
          </w:tcPr>
          <w:p w14:paraId="15200A99" w14:textId="63D7F2F0" w:rsidR="00D01D81" w:rsidRPr="00A53AD7" w:rsidRDefault="00D01D81" w:rsidP="001E436D">
            <w:pPr>
              <w:spacing w:after="0" w:line="240" w:lineRule="auto"/>
              <w:jc w:val="center"/>
              <w:rPr>
                <w:rFonts w:ascii="Times New Roman" w:eastAsia="Times New Roman" w:hAnsi="Times New Roman"/>
                <w:lang w:val="en-US" w:eastAsia="ru-RU"/>
              </w:rPr>
            </w:pPr>
            <w:r w:rsidRPr="00A53AD7">
              <w:rPr>
                <w:rFonts w:ascii="Times New Roman" w:eastAsia="Times New Roman" w:hAnsi="Times New Roman"/>
                <w:lang w:eastAsia="ru-RU"/>
              </w:rPr>
              <w:t>к исполнению 2018</w:t>
            </w:r>
            <w:r w:rsidR="001E436D"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r w:rsidR="001E436D" w:rsidRPr="00A53AD7">
              <w:rPr>
                <w:rFonts w:ascii="Times New Roman" w:eastAsia="Times New Roman" w:hAnsi="Times New Roman"/>
                <w:lang w:eastAsia="ru-RU"/>
              </w:rPr>
              <w:t>ода</w:t>
            </w:r>
          </w:p>
        </w:tc>
      </w:tr>
      <w:tr w:rsidR="00A53AD7" w:rsidRPr="00A53AD7" w14:paraId="5F31396C" w14:textId="77777777" w:rsidTr="00DC5866">
        <w:trPr>
          <w:trHeight w:val="107"/>
          <w:tblHeader/>
        </w:trPr>
        <w:tc>
          <w:tcPr>
            <w:tcW w:w="1678" w:type="dxa"/>
            <w:vMerge/>
            <w:tcBorders>
              <w:top w:val="double" w:sz="6" w:space="0" w:color="auto"/>
              <w:left w:val="double" w:sz="6" w:space="0" w:color="auto"/>
              <w:bottom w:val="single" w:sz="4" w:space="0" w:color="auto"/>
              <w:right w:val="single" w:sz="4" w:space="0" w:color="auto"/>
            </w:tcBorders>
            <w:vAlign w:val="center"/>
            <w:hideMark/>
          </w:tcPr>
          <w:p w14:paraId="750E8101"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487806A3" w14:textId="77777777" w:rsidR="00D01D81" w:rsidRPr="00A53AD7" w:rsidRDefault="00D01D81" w:rsidP="00BA5523">
            <w:pPr>
              <w:spacing w:after="0" w:line="240" w:lineRule="auto"/>
              <w:rPr>
                <w:rFonts w:ascii="Times New Roman" w:eastAsia="Times New Roman" w:hAnsi="Times New Roman"/>
                <w:lang w:eastAsia="ru-RU"/>
              </w:rPr>
            </w:pPr>
          </w:p>
        </w:tc>
        <w:tc>
          <w:tcPr>
            <w:tcW w:w="1134" w:type="dxa"/>
            <w:vMerge/>
            <w:tcBorders>
              <w:top w:val="double" w:sz="6" w:space="0" w:color="auto"/>
              <w:left w:val="single" w:sz="4" w:space="0" w:color="auto"/>
              <w:bottom w:val="single" w:sz="4" w:space="0" w:color="auto"/>
              <w:right w:val="single" w:sz="4" w:space="0" w:color="auto"/>
            </w:tcBorders>
            <w:vAlign w:val="center"/>
            <w:hideMark/>
          </w:tcPr>
          <w:p w14:paraId="3FA37E0C" w14:textId="77777777" w:rsidR="00D01D81" w:rsidRPr="00A53AD7" w:rsidRDefault="00D01D81" w:rsidP="00BA5523">
            <w:pPr>
              <w:spacing w:after="0" w:line="240" w:lineRule="auto"/>
              <w:rPr>
                <w:rFonts w:ascii="Times New Roman" w:eastAsia="Times New Roman" w:hAnsi="Times New Roman"/>
                <w:lang w:eastAsia="ru-RU"/>
              </w:rPr>
            </w:pPr>
          </w:p>
        </w:tc>
        <w:tc>
          <w:tcPr>
            <w:tcW w:w="1065" w:type="dxa"/>
            <w:vMerge/>
            <w:tcBorders>
              <w:top w:val="double" w:sz="6" w:space="0" w:color="auto"/>
              <w:left w:val="single" w:sz="4" w:space="0" w:color="auto"/>
              <w:bottom w:val="single" w:sz="4" w:space="0" w:color="auto"/>
              <w:right w:val="single" w:sz="4" w:space="0" w:color="auto"/>
            </w:tcBorders>
            <w:vAlign w:val="center"/>
            <w:hideMark/>
          </w:tcPr>
          <w:p w14:paraId="7E275C3C" w14:textId="77777777" w:rsidR="00D01D81" w:rsidRPr="00A53AD7" w:rsidRDefault="00D01D81" w:rsidP="00BA5523">
            <w:pPr>
              <w:spacing w:after="0" w:line="240" w:lineRule="auto"/>
              <w:rPr>
                <w:rFonts w:ascii="Times New Roman" w:eastAsia="Times New Roman" w:hAnsi="Times New Roman"/>
                <w:lang w:eastAsia="ru-RU"/>
              </w:rPr>
            </w:pPr>
          </w:p>
        </w:tc>
        <w:tc>
          <w:tcPr>
            <w:tcW w:w="1061" w:type="dxa"/>
            <w:tcBorders>
              <w:top w:val="nil"/>
              <w:left w:val="nil"/>
              <w:bottom w:val="single" w:sz="4" w:space="0" w:color="auto"/>
              <w:right w:val="single" w:sz="4" w:space="0" w:color="auto"/>
            </w:tcBorders>
            <w:shd w:val="clear" w:color="auto" w:fill="auto"/>
            <w:vAlign w:val="center"/>
            <w:hideMark/>
          </w:tcPr>
          <w:p w14:paraId="470A6DBF" w14:textId="77777777" w:rsidR="00D01D81" w:rsidRPr="00A53AD7" w:rsidRDefault="00D01D81" w:rsidP="00BA5523">
            <w:pPr>
              <w:spacing w:after="0" w:line="240" w:lineRule="auto"/>
              <w:ind w:left="-39" w:right="-108"/>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1127" w:type="dxa"/>
            <w:tcBorders>
              <w:top w:val="nil"/>
              <w:left w:val="nil"/>
              <w:bottom w:val="single" w:sz="4" w:space="0" w:color="auto"/>
              <w:right w:val="single" w:sz="4" w:space="0" w:color="auto"/>
            </w:tcBorders>
            <w:shd w:val="clear" w:color="auto" w:fill="auto"/>
            <w:vAlign w:val="center"/>
            <w:hideMark/>
          </w:tcPr>
          <w:p w14:paraId="76210D47"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87" w:type="dxa"/>
            <w:tcBorders>
              <w:top w:val="nil"/>
              <w:left w:val="nil"/>
              <w:bottom w:val="single" w:sz="4" w:space="0" w:color="auto"/>
              <w:right w:val="single" w:sz="4" w:space="0" w:color="auto"/>
            </w:tcBorders>
            <w:shd w:val="clear" w:color="auto" w:fill="auto"/>
            <w:vAlign w:val="center"/>
            <w:hideMark/>
          </w:tcPr>
          <w:p w14:paraId="6D075546" w14:textId="77777777" w:rsidR="00D01D81" w:rsidRPr="00A53AD7" w:rsidRDefault="00D01D81" w:rsidP="00BA5523">
            <w:pPr>
              <w:spacing w:after="0" w:line="240" w:lineRule="auto"/>
              <w:ind w:left="-101" w:right="-121"/>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1127" w:type="dxa"/>
            <w:tcBorders>
              <w:top w:val="nil"/>
              <w:left w:val="nil"/>
              <w:bottom w:val="single" w:sz="4" w:space="0" w:color="auto"/>
              <w:right w:val="double" w:sz="6" w:space="0" w:color="auto"/>
            </w:tcBorders>
            <w:shd w:val="clear" w:color="auto" w:fill="auto"/>
            <w:vAlign w:val="center"/>
            <w:hideMark/>
          </w:tcPr>
          <w:p w14:paraId="4D5F61A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394829F0" w14:textId="77777777" w:rsidTr="00BA5523">
        <w:trPr>
          <w:trHeight w:val="148"/>
        </w:trPr>
        <w:tc>
          <w:tcPr>
            <w:tcW w:w="1678" w:type="dxa"/>
            <w:tcBorders>
              <w:top w:val="nil"/>
              <w:left w:val="double" w:sz="6" w:space="0" w:color="auto"/>
              <w:bottom w:val="single" w:sz="4" w:space="0" w:color="auto"/>
              <w:right w:val="single" w:sz="4" w:space="0" w:color="auto"/>
            </w:tcBorders>
            <w:shd w:val="clear" w:color="auto" w:fill="auto"/>
            <w:vAlign w:val="center"/>
            <w:hideMark/>
          </w:tcPr>
          <w:p w14:paraId="7E74DF9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А</w:t>
            </w:r>
          </w:p>
        </w:tc>
        <w:tc>
          <w:tcPr>
            <w:tcW w:w="1134" w:type="dxa"/>
            <w:tcBorders>
              <w:top w:val="nil"/>
              <w:left w:val="nil"/>
              <w:bottom w:val="single" w:sz="4" w:space="0" w:color="auto"/>
              <w:right w:val="single" w:sz="4" w:space="0" w:color="auto"/>
            </w:tcBorders>
            <w:shd w:val="clear" w:color="auto" w:fill="auto"/>
            <w:vAlign w:val="center"/>
            <w:hideMark/>
          </w:tcPr>
          <w:p w14:paraId="64B196C3"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134" w:type="dxa"/>
            <w:tcBorders>
              <w:top w:val="nil"/>
              <w:left w:val="nil"/>
              <w:bottom w:val="single" w:sz="4" w:space="0" w:color="auto"/>
              <w:right w:val="single" w:sz="4" w:space="0" w:color="auto"/>
            </w:tcBorders>
            <w:shd w:val="clear" w:color="auto" w:fill="auto"/>
            <w:vAlign w:val="center"/>
            <w:hideMark/>
          </w:tcPr>
          <w:p w14:paraId="0BF1B5F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065" w:type="dxa"/>
            <w:tcBorders>
              <w:top w:val="nil"/>
              <w:left w:val="nil"/>
              <w:bottom w:val="single" w:sz="4" w:space="0" w:color="auto"/>
              <w:right w:val="single" w:sz="4" w:space="0" w:color="auto"/>
            </w:tcBorders>
            <w:shd w:val="clear" w:color="auto" w:fill="auto"/>
            <w:vAlign w:val="center"/>
            <w:hideMark/>
          </w:tcPr>
          <w:p w14:paraId="52DFB47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1061" w:type="dxa"/>
            <w:tcBorders>
              <w:top w:val="nil"/>
              <w:left w:val="nil"/>
              <w:bottom w:val="single" w:sz="4" w:space="0" w:color="auto"/>
              <w:right w:val="single" w:sz="4" w:space="0" w:color="auto"/>
            </w:tcBorders>
            <w:shd w:val="clear" w:color="auto" w:fill="auto"/>
            <w:vAlign w:val="center"/>
            <w:hideMark/>
          </w:tcPr>
          <w:p w14:paraId="6B1B990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4=3-2</w:t>
            </w:r>
          </w:p>
        </w:tc>
        <w:tc>
          <w:tcPr>
            <w:tcW w:w="1127" w:type="dxa"/>
            <w:tcBorders>
              <w:top w:val="nil"/>
              <w:left w:val="nil"/>
              <w:bottom w:val="single" w:sz="4" w:space="0" w:color="auto"/>
              <w:right w:val="single" w:sz="4" w:space="0" w:color="auto"/>
            </w:tcBorders>
            <w:shd w:val="clear" w:color="auto" w:fill="auto"/>
            <w:vAlign w:val="center"/>
            <w:hideMark/>
          </w:tcPr>
          <w:p w14:paraId="1CCB03FB" w14:textId="77777777" w:rsidR="00D01D81" w:rsidRPr="00A53AD7" w:rsidRDefault="00D01D81" w:rsidP="00BA5523">
            <w:pPr>
              <w:spacing w:after="0" w:line="240" w:lineRule="auto"/>
              <w:ind w:left="-108" w:right="-115"/>
              <w:jc w:val="center"/>
              <w:rPr>
                <w:rFonts w:ascii="Times New Roman" w:eastAsia="Times New Roman" w:hAnsi="Times New Roman"/>
                <w:lang w:eastAsia="ru-RU"/>
              </w:rPr>
            </w:pPr>
            <w:r w:rsidRPr="00A53AD7">
              <w:rPr>
                <w:rFonts w:ascii="Times New Roman" w:eastAsia="Times New Roman" w:hAnsi="Times New Roman"/>
                <w:lang w:eastAsia="ru-RU"/>
              </w:rPr>
              <w:t>5=3/2*100</w:t>
            </w:r>
          </w:p>
        </w:tc>
        <w:tc>
          <w:tcPr>
            <w:tcW w:w="987" w:type="dxa"/>
            <w:tcBorders>
              <w:top w:val="nil"/>
              <w:left w:val="nil"/>
              <w:bottom w:val="single" w:sz="4" w:space="0" w:color="auto"/>
              <w:right w:val="single" w:sz="4" w:space="0" w:color="auto"/>
            </w:tcBorders>
            <w:shd w:val="clear" w:color="auto" w:fill="auto"/>
            <w:vAlign w:val="center"/>
            <w:hideMark/>
          </w:tcPr>
          <w:p w14:paraId="336464AA"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6=3-1</w:t>
            </w:r>
          </w:p>
        </w:tc>
        <w:tc>
          <w:tcPr>
            <w:tcW w:w="1127" w:type="dxa"/>
            <w:tcBorders>
              <w:top w:val="nil"/>
              <w:left w:val="nil"/>
              <w:bottom w:val="single" w:sz="4" w:space="0" w:color="auto"/>
              <w:right w:val="double" w:sz="6" w:space="0" w:color="auto"/>
            </w:tcBorders>
            <w:shd w:val="clear" w:color="auto" w:fill="auto"/>
            <w:vAlign w:val="center"/>
            <w:hideMark/>
          </w:tcPr>
          <w:p w14:paraId="2D76953E" w14:textId="77777777" w:rsidR="00D01D81" w:rsidRPr="00A53AD7" w:rsidRDefault="00D01D81" w:rsidP="00BA5523">
            <w:pPr>
              <w:spacing w:after="0" w:line="240" w:lineRule="auto"/>
              <w:ind w:left="-95" w:right="-128"/>
              <w:jc w:val="center"/>
              <w:rPr>
                <w:rFonts w:ascii="Times New Roman" w:eastAsia="Times New Roman" w:hAnsi="Times New Roman"/>
                <w:lang w:eastAsia="ru-RU"/>
              </w:rPr>
            </w:pPr>
            <w:r w:rsidRPr="00A53AD7">
              <w:rPr>
                <w:rFonts w:ascii="Times New Roman" w:eastAsia="Times New Roman" w:hAnsi="Times New Roman"/>
                <w:lang w:eastAsia="ru-RU"/>
              </w:rPr>
              <w:t>7=3/1*100</w:t>
            </w:r>
          </w:p>
        </w:tc>
      </w:tr>
      <w:tr w:rsidR="00A53AD7" w:rsidRPr="00A53AD7" w14:paraId="01181517" w14:textId="77777777" w:rsidTr="00DC5866">
        <w:trPr>
          <w:trHeight w:val="414"/>
        </w:trPr>
        <w:tc>
          <w:tcPr>
            <w:tcW w:w="1678" w:type="dxa"/>
            <w:tcBorders>
              <w:top w:val="nil"/>
              <w:left w:val="double" w:sz="6" w:space="0" w:color="auto"/>
              <w:bottom w:val="single" w:sz="4" w:space="0" w:color="auto"/>
              <w:right w:val="single" w:sz="4" w:space="0" w:color="auto"/>
            </w:tcBorders>
            <w:shd w:val="clear" w:color="auto" w:fill="auto"/>
            <w:vAlign w:val="center"/>
            <w:hideMark/>
          </w:tcPr>
          <w:p w14:paraId="207DC1CB"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Архангельской области</w:t>
            </w:r>
          </w:p>
        </w:tc>
        <w:tc>
          <w:tcPr>
            <w:tcW w:w="1134" w:type="dxa"/>
            <w:tcBorders>
              <w:top w:val="nil"/>
              <w:left w:val="nil"/>
              <w:bottom w:val="single" w:sz="4" w:space="0" w:color="auto"/>
              <w:right w:val="single" w:sz="4" w:space="0" w:color="auto"/>
            </w:tcBorders>
            <w:shd w:val="clear" w:color="auto" w:fill="auto"/>
            <w:vAlign w:val="bottom"/>
            <w:hideMark/>
          </w:tcPr>
          <w:p w14:paraId="138047E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17 247,0 </w:t>
            </w:r>
          </w:p>
        </w:tc>
        <w:tc>
          <w:tcPr>
            <w:tcW w:w="1134" w:type="dxa"/>
            <w:tcBorders>
              <w:top w:val="nil"/>
              <w:left w:val="nil"/>
              <w:bottom w:val="single" w:sz="4" w:space="0" w:color="auto"/>
              <w:right w:val="single" w:sz="4" w:space="0" w:color="auto"/>
            </w:tcBorders>
            <w:shd w:val="clear" w:color="auto" w:fill="auto"/>
            <w:vAlign w:val="bottom"/>
            <w:hideMark/>
          </w:tcPr>
          <w:p w14:paraId="3B539434" w14:textId="77777777" w:rsidR="00D01D81" w:rsidRPr="00A53AD7" w:rsidRDefault="00D01D81" w:rsidP="00BA5523">
            <w:pPr>
              <w:tabs>
                <w:tab w:val="left" w:pos="918"/>
              </w:tabs>
              <w:spacing w:after="0" w:line="240" w:lineRule="auto"/>
              <w:ind w:left="-108"/>
              <w:jc w:val="right"/>
              <w:rPr>
                <w:rFonts w:ascii="Times New Roman" w:eastAsia="Times New Roman" w:hAnsi="Times New Roman"/>
                <w:lang w:eastAsia="ru-RU"/>
              </w:rPr>
            </w:pPr>
            <w:r w:rsidRPr="00A53AD7">
              <w:rPr>
                <w:rFonts w:ascii="Times New Roman" w:eastAsia="Times New Roman" w:hAnsi="Times New Roman"/>
                <w:lang w:eastAsia="ru-RU"/>
              </w:rPr>
              <w:t xml:space="preserve">17 808,8 </w:t>
            </w:r>
          </w:p>
        </w:tc>
        <w:tc>
          <w:tcPr>
            <w:tcW w:w="1065" w:type="dxa"/>
            <w:tcBorders>
              <w:top w:val="nil"/>
              <w:left w:val="nil"/>
              <w:bottom w:val="single" w:sz="4" w:space="0" w:color="auto"/>
              <w:right w:val="single" w:sz="4" w:space="0" w:color="auto"/>
            </w:tcBorders>
            <w:shd w:val="clear" w:color="auto" w:fill="auto"/>
            <w:vAlign w:val="bottom"/>
            <w:hideMark/>
          </w:tcPr>
          <w:p w14:paraId="1069719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18 191,5 </w:t>
            </w:r>
          </w:p>
        </w:tc>
        <w:tc>
          <w:tcPr>
            <w:tcW w:w="1061" w:type="dxa"/>
            <w:tcBorders>
              <w:top w:val="nil"/>
              <w:left w:val="nil"/>
              <w:bottom w:val="single" w:sz="4" w:space="0" w:color="auto"/>
              <w:right w:val="single" w:sz="4" w:space="0" w:color="auto"/>
            </w:tcBorders>
            <w:shd w:val="clear" w:color="auto" w:fill="auto"/>
            <w:vAlign w:val="bottom"/>
            <w:hideMark/>
          </w:tcPr>
          <w:p w14:paraId="3836D05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382,7 </w:t>
            </w:r>
          </w:p>
        </w:tc>
        <w:tc>
          <w:tcPr>
            <w:tcW w:w="1127" w:type="dxa"/>
            <w:tcBorders>
              <w:top w:val="nil"/>
              <w:left w:val="nil"/>
              <w:bottom w:val="single" w:sz="4" w:space="0" w:color="auto"/>
              <w:right w:val="single" w:sz="4" w:space="0" w:color="auto"/>
            </w:tcBorders>
            <w:shd w:val="clear" w:color="auto" w:fill="auto"/>
            <w:vAlign w:val="bottom"/>
            <w:hideMark/>
          </w:tcPr>
          <w:p w14:paraId="29E3A5C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102,1 </w:t>
            </w:r>
          </w:p>
        </w:tc>
        <w:tc>
          <w:tcPr>
            <w:tcW w:w="987" w:type="dxa"/>
            <w:tcBorders>
              <w:top w:val="nil"/>
              <w:left w:val="nil"/>
              <w:bottom w:val="single" w:sz="4" w:space="0" w:color="auto"/>
              <w:right w:val="single" w:sz="4" w:space="0" w:color="auto"/>
            </w:tcBorders>
            <w:shd w:val="clear" w:color="auto" w:fill="auto"/>
            <w:vAlign w:val="bottom"/>
            <w:hideMark/>
          </w:tcPr>
          <w:p w14:paraId="1D5C572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944,5 </w:t>
            </w:r>
          </w:p>
        </w:tc>
        <w:tc>
          <w:tcPr>
            <w:tcW w:w="1127" w:type="dxa"/>
            <w:tcBorders>
              <w:top w:val="nil"/>
              <w:left w:val="nil"/>
              <w:bottom w:val="single" w:sz="4" w:space="0" w:color="auto"/>
              <w:right w:val="double" w:sz="6" w:space="0" w:color="auto"/>
            </w:tcBorders>
            <w:shd w:val="clear" w:color="auto" w:fill="auto"/>
            <w:vAlign w:val="bottom"/>
            <w:hideMark/>
          </w:tcPr>
          <w:p w14:paraId="7A8951E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105,5 </w:t>
            </w:r>
          </w:p>
        </w:tc>
      </w:tr>
      <w:tr w:rsidR="00A53AD7" w:rsidRPr="00A53AD7" w14:paraId="0D903169" w14:textId="77777777" w:rsidTr="00DC5866">
        <w:trPr>
          <w:trHeight w:val="255"/>
        </w:trPr>
        <w:tc>
          <w:tcPr>
            <w:tcW w:w="1678" w:type="dxa"/>
            <w:tcBorders>
              <w:top w:val="nil"/>
              <w:left w:val="double" w:sz="6" w:space="0" w:color="auto"/>
              <w:bottom w:val="single" w:sz="4" w:space="0" w:color="auto"/>
              <w:right w:val="single" w:sz="4" w:space="0" w:color="auto"/>
            </w:tcBorders>
            <w:shd w:val="clear" w:color="auto" w:fill="auto"/>
            <w:vAlign w:val="center"/>
            <w:hideMark/>
          </w:tcPr>
          <w:p w14:paraId="13EDC4BC"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НАО</w:t>
            </w:r>
          </w:p>
        </w:tc>
        <w:tc>
          <w:tcPr>
            <w:tcW w:w="1134" w:type="dxa"/>
            <w:tcBorders>
              <w:top w:val="nil"/>
              <w:left w:val="nil"/>
              <w:bottom w:val="single" w:sz="4" w:space="0" w:color="auto"/>
              <w:right w:val="single" w:sz="4" w:space="0" w:color="auto"/>
            </w:tcBorders>
            <w:shd w:val="clear" w:color="auto" w:fill="auto"/>
            <w:vAlign w:val="bottom"/>
            <w:hideMark/>
          </w:tcPr>
          <w:p w14:paraId="23A12EA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1 436,4 </w:t>
            </w:r>
          </w:p>
        </w:tc>
        <w:tc>
          <w:tcPr>
            <w:tcW w:w="1134" w:type="dxa"/>
            <w:tcBorders>
              <w:top w:val="nil"/>
              <w:left w:val="nil"/>
              <w:bottom w:val="single" w:sz="4" w:space="0" w:color="auto"/>
              <w:right w:val="single" w:sz="4" w:space="0" w:color="auto"/>
            </w:tcBorders>
            <w:shd w:val="clear" w:color="auto" w:fill="auto"/>
            <w:vAlign w:val="bottom"/>
            <w:hideMark/>
          </w:tcPr>
          <w:p w14:paraId="798861A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1 491,0 </w:t>
            </w:r>
          </w:p>
        </w:tc>
        <w:tc>
          <w:tcPr>
            <w:tcW w:w="1065" w:type="dxa"/>
            <w:tcBorders>
              <w:top w:val="nil"/>
              <w:left w:val="nil"/>
              <w:bottom w:val="single" w:sz="4" w:space="0" w:color="auto"/>
              <w:right w:val="single" w:sz="4" w:space="0" w:color="auto"/>
            </w:tcBorders>
            <w:shd w:val="clear" w:color="auto" w:fill="auto"/>
            <w:vAlign w:val="bottom"/>
            <w:hideMark/>
          </w:tcPr>
          <w:p w14:paraId="0017FC3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1 457,3 </w:t>
            </w:r>
          </w:p>
        </w:tc>
        <w:tc>
          <w:tcPr>
            <w:tcW w:w="1061" w:type="dxa"/>
            <w:tcBorders>
              <w:top w:val="nil"/>
              <w:left w:val="nil"/>
              <w:bottom w:val="single" w:sz="4" w:space="0" w:color="auto"/>
              <w:right w:val="single" w:sz="4" w:space="0" w:color="auto"/>
            </w:tcBorders>
            <w:shd w:val="clear" w:color="auto" w:fill="auto"/>
            <w:vAlign w:val="bottom"/>
            <w:hideMark/>
          </w:tcPr>
          <w:p w14:paraId="3334458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-33,7 </w:t>
            </w:r>
          </w:p>
        </w:tc>
        <w:tc>
          <w:tcPr>
            <w:tcW w:w="1127" w:type="dxa"/>
            <w:tcBorders>
              <w:top w:val="nil"/>
              <w:left w:val="nil"/>
              <w:bottom w:val="single" w:sz="4" w:space="0" w:color="auto"/>
              <w:right w:val="single" w:sz="4" w:space="0" w:color="auto"/>
            </w:tcBorders>
            <w:shd w:val="clear" w:color="auto" w:fill="auto"/>
            <w:vAlign w:val="bottom"/>
            <w:hideMark/>
          </w:tcPr>
          <w:p w14:paraId="775BA9E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 </w:t>
            </w:r>
          </w:p>
        </w:tc>
        <w:tc>
          <w:tcPr>
            <w:tcW w:w="987" w:type="dxa"/>
            <w:tcBorders>
              <w:top w:val="nil"/>
              <w:left w:val="nil"/>
              <w:bottom w:val="single" w:sz="4" w:space="0" w:color="auto"/>
              <w:right w:val="single" w:sz="4" w:space="0" w:color="auto"/>
            </w:tcBorders>
            <w:shd w:val="clear" w:color="auto" w:fill="auto"/>
            <w:vAlign w:val="bottom"/>
            <w:hideMark/>
          </w:tcPr>
          <w:p w14:paraId="1290E47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20,9 </w:t>
            </w:r>
          </w:p>
        </w:tc>
        <w:tc>
          <w:tcPr>
            <w:tcW w:w="1127" w:type="dxa"/>
            <w:tcBorders>
              <w:top w:val="nil"/>
              <w:left w:val="nil"/>
              <w:bottom w:val="single" w:sz="4" w:space="0" w:color="auto"/>
              <w:right w:val="double" w:sz="6" w:space="0" w:color="auto"/>
            </w:tcBorders>
            <w:shd w:val="clear" w:color="auto" w:fill="auto"/>
            <w:vAlign w:val="bottom"/>
            <w:hideMark/>
          </w:tcPr>
          <w:p w14:paraId="5B98BCC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101,5 </w:t>
            </w:r>
          </w:p>
        </w:tc>
      </w:tr>
      <w:tr w:rsidR="00D01D81" w:rsidRPr="00A53AD7" w14:paraId="2023AD48" w14:textId="77777777" w:rsidTr="00DC5866">
        <w:trPr>
          <w:trHeight w:val="255"/>
        </w:trPr>
        <w:tc>
          <w:tcPr>
            <w:tcW w:w="1678" w:type="dxa"/>
            <w:tcBorders>
              <w:top w:val="nil"/>
              <w:left w:val="double" w:sz="6" w:space="0" w:color="auto"/>
              <w:bottom w:val="double" w:sz="6" w:space="0" w:color="auto"/>
              <w:right w:val="single" w:sz="4" w:space="0" w:color="auto"/>
            </w:tcBorders>
            <w:shd w:val="clear" w:color="auto" w:fill="auto"/>
            <w:vAlign w:val="center"/>
            <w:hideMark/>
          </w:tcPr>
          <w:p w14:paraId="6FC4454F"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134" w:type="dxa"/>
            <w:tcBorders>
              <w:top w:val="nil"/>
              <w:left w:val="nil"/>
              <w:bottom w:val="double" w:sz="6" w:space="0" w:color="auto"/>
              <w:right w:val="single" w:sz="4" w:space="0" w:color="auto"/>
            </w:tcBorders>
            <w:shd w:val="clear" w:color="auto" w:fill="auto"/>
            <w:vAlign w:val="bottom"/>
            <w:hideMark/>
          </w:tcPr>
          <w:p w14:paraId="57A3E26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18 683,4 </w:t>
            </w:r>
          </w:p>
        </w:tc>
        <w:tc>
          <w:tcPr>
            <w:tcW w:w="1134" w:type="dxa"/>
            <w:tcBorders>
              <w:top w:val="nil"/>
              <w:left w:val="nil"/>
              <w:bottom w:val="double" w:sz="6" w:space="0" w:color="auto"/>
              <w:right w:val="single" w:sz="4" w:space="0" w:color="auto"/>
            </w:tcBorders>
            <w:shd w:val="clear" w:color="auto" w:fill="auto"/>
            <w:vAlign w:val="bottom"/>
            <w:hideMark/>
          </w:tcPr>
          <w:p w14:paraId="4532842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19 299,8 </w:t>
            </w:r>
          </w:p>
        </w:tc>
        <w:tc>
          <w:tcPr>
            <w:tcW w:w="1065" w:type="dxa"/>
            <w:tcBorders>
              <w:top w:val="nil"/>
              <w:left w:val="nil"/>
              <w:bottom w:val="double" w:sz="6" w:space="0" w:color="auto"/>
              <w:right w:val="single" w:sz="4" w:space="0" w:color="auto"/>
            </w:tcBorders>
            <w:shd w:val="clear" w:color="auto" w:fill="auto"/>
            <w:vAlign w:val="bottom"/>
            <w:hideMark/>
          </w:tcPr>
          <w:p w14:paraId="3E05B9F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19 648,8 </w:t>
            </w:r>
          </w:p>
        </w:tc>
        <w:tc>
          <w:tcPr>
            <w:tcW w:w="1061" w:type="dxa"/>
            <w:tcBorders>
              <w:top w:val="nil"/>
              <w:left w:val="nil"/>
              <w:bottom w:val="double" w:sz="6" w:space="0" w:color="auto"/>
              <w:right w:val="single" w:sz="4" w:space="0" w:color="auto"/>
            </w:tcBorders>
            <w:shd w:val="clear" w:color="auto" w:fill="auto"/>
            <w:vAlign w:val="bottom"/>
            <w:hideMark/>
          </w:tcPr>
          <w:p w14:paraId="7CBC301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349,0 </w:t>
            </w:r>
          </w:p>
        </w:tc>
        <w:tc>
          <w:tcPr>
            <w:tcW w:w="1127" w:type="dxa"/>
            <w:tcBorders>
              <w:top w:val="nil"/>
              <w:left w:val="nil"/>
              <w:bottom w:val="double" w:sz="6" w:space="0" w:color="auto"/>
              <w:right w:val="single" w:sz="4" w:space="0" w:color="auto"/>
            </w:tcBorders>
            <w:shd w:val="clear" w:color="auto" w:fill="auto"/>
            <w:vAlign w:val="bottom"/>
            <w:hideMark/>
          </w:tcPr>
          <w:p w14:paraId="5A8DC9C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101,8 </w:t>
            </w:r>
          </w:p>
        </w:tc>
        <w:tc>
          <w:tcPr>
            <w:tcW w:w="987" w:type="dxa"/>
            <w:tcBorders>
              <w:top w:val="nil"/>
              <w:left w:val="nil"/>
              <w:bottom w:val="double" w:sz="6" w:space="0" w:color="auto"/>
              <w:right w:val="single" w:sz="4" w:space="0" w:color="auto"/>
            </w:tcBorders>
            <w:shd w:val="clear" w:color="auto" w:fill="auto"/>
            <w:vAlign w:val="bottom"/>
            <w:hideMark/>
          </w:tcPr>
          <w:p w14:paraId="0C81E46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965,4 </w:t>
            </w:r>
          </w:p>
        </w:tc>
        <w:tc>
          <w:tcPr>
            <w:tcW w:w="1127" w:type="dxa"/>
            <w:tcBorders>
              <w:top w:val="nil"/>
              <w:left w:val="nil"/>
              <w:bottom w:val="double" w:sz="6" w:space="0" w:color="auto"/>
              <w:right w:val="double" w:sz="6" w:space="0" w:color="auto"/>
            </w:tcBorders>
            <w:shd w:val="clear" w:color="auto" w:fill="auto"/>
            <w:vAlign w:val="bottom"/>
            <w:hideMark/>
          </w:tcPr>
          <w:p w14:paraId="6E25185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105,2 </w:t>
            </w:r>
          </w:p>
        </w:tc>
      </w:tr>
    </w:tbl>
    <w:p w14:paraId="7F07ADF9" w14:textId="77777777" w:rsidR="00DC5866" w:rsidRPr="00A53AD7" w:rsidRDefault="00DC5866" w:rsidP="00D01D81">
      <w:pPr>
        <w:spacing w:after="0" w:line="240" w:lineRule="auto"/>
        <w:ind w:firstLine="851"/>
        <w:jc w:val="both"/>
        <w:rPr>
          <w:rFonts w:ascii="Times New Roman" w:hAnsi="Times New Roman"/>
          <w:sz w:val="28"/>
          <w:szCs w:val="28"/>
        </w:rPr>
      </w:pPr>
    </w:p>
    <w:p w14:paraId="13BB5762"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Плательщиками Архангельской области перечислено в областной бюджет налога на доходы физических лиц за 2019 год 18 191,5 млн.руб. или 105,5 % к аналогичным платежам за 2018 год, плательщиками НАО – 1 457,3 млн.руб. или 101,5 % к 2018 году. Кассовый план поступления налога на доходы физических лиц за 2019 год от плательщиков Архангельской области выполнен на 102,1 %, в результате дополнительно получено 382,7 млн.руб.; от </w:t>
      </w:r>
      <w:r w:rsidRPr="00A53AD7">
        <w:rPr>
          <w:rFonts w:ascii="Times New Roman" w:hAnsi="Times New Roman"/>
          <w:sz w:val="28"/>
          <w:szCs w:val="28"/>
        </w:rPr>
        <w:lastRenderedPageBreak/>
        <w:t>плательщиков НАО на 97,7 %, в результате недополучено в бюджет 33,7 млн.руб.</w:t>
      </w:r>
    </w:p>
    <w:p w14:paraId="1514153C" w14:textId="51E5A14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положительную динамику поступления налога на доходы физических лиц в целом повлияли следующие факторы: увеличение фонда оплаты труда в регионе на 4,8 % (январь-ноябрь) по крупны</w:t>
      </w:r>
      <w:r w:rsidR="00614091" w:rsidRPr="00A53AD7">
        <w:rPr>
          <w:rFonts w:ascii="Times New Roman" w:hAnsi="Times New Roman"/>
          <w:sz w:val="28"/>
          <w:szCs w:val="28"/>
        </w:rPr>
        <w:t>м и средним налогоплательщикам.</w:t>
      </w:r>
    </w:p>
    <w:p w14:paraId="3E7F4EFA" w14:textId="17676A7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Ежемесячное поступление налога на доходы физических лиц за 2019 год в сравнении с поступлением в 2018 году представлено на рисунке </w:t>
      </w:r>
      <w:r w:rsidR="00F5645E" w:rsidRPr="00A53AD7">
        <w:rPr>
          <w:rFonts w:ascii="Times New Roman" w:hAnsi="Times New Roman"/>
          <w:sz w:val="28"/>
          <w:szCs w:val="28"/>
        </w:rPr>
        <w:t>38</w:t>
      </w:r>
      <w:r w:rsidRPr="00A53AD7">
        <w:rPr>
          <w:rFonts w:ascii="Times New Roman" w:hAnsi="Times New Roman"/>
          <w:sz w:val="28"/>
          <w:szCs w:val="28"/>
        </w:rPr>
        <w:t>.</w:t>
      </w:r>
    </w:p>
    <w:p w14:paraId="35059ECB" w14:textId="054BEFB0" w:rsidR="00D01D81" w:rsidRPr="00A53AD7" w:rsidRDefault="00614091"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49AEBEB5" wp14:editId="02F18800">
            <wp:extent cx="6108738" cy="2738916"/>
            <wp:effectExtent l="0" t="0" r="6350"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32635" cy="2749631"/>
                    </a:xfrm>
                    <a:prstGeom prst="rect">
                      <a:avLst/>
                    </a:prstGeom>
                    <a:noFill/>
                  </pic:spPr>
                </pic:pic>
              </a:graphicData>
            </a:graphic>
          </wp:inline>
        </w:drawing>
      </w:r>
    </w:p>
    <w:p w14:paraId="33A9A0A6" w14:textId="51D168A9"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38</w:t>
      </w:r>
      <w:r w:rsidRPr="00A53AD7">
        <w:rPr>
          <w:rFonts w:ascii="Times New Roman" w:hAnsi="Times New Roman"/>
          <w:sz w:val="24"/>
          <w:szCs w:val="24"/>
        </w:rPr>
        <w:fldChar w:fldCharType="end"/>
      </w:r>
      <w:r w:rsidRPr="00A53AD7">
        <w:rPr>
          <w:rFonts w:ascii="Times New Roman" w:hAnsi="Times New Roman"/>
          <w:sz w:val="24"/>
          <w:szCs w:val="24"/>
        </w:rPr>
        <w:t>. Поступление налога на доходы физических лиц в областной бюджет за 201</w:t>
      </w:r>
      <w:r w:rsidR="001A4A39" w:rsidRPr="00A53AD7">
        <w:rPr>
          <w:rFonts w:ascii="Times New Roman" w:hAnsi="Times New Roman"/>
          <w:sz w:val="24"/>
          <w:szCs w:val="24"/>
        </w:rPr>
        <w:t>8</w:t>
      </w:r>
      <w:r w:rsidRPr="00A53AD7">
        <w:rPr>
          <w:rFonts w:ascii="Times New Roman" w:hAnsi="Times New Roman"/>
          <w:sz w:val="24"/>
          <w:szCs w:val="24"/>
        </w:rPr>
        <w:t xml:space="preserve"> – 201</w:t>
      </w:r>
      <w:r w:rsidR="001A4A39" w:rsidRPr="00A53AD7">
        <w:rPr>
          <w:rFonts w:ascii="Times New Roman" w:hAnsi="Times New Roman"/>
          <w:sz w:val="24"/>
          <w:szCs w:val="24"/>
        </w:rPr>
        <w:t>9</w:t>
      </w:r>
      <w:r w:rsidRPr="00A53AD7">
        <w:rPr>
          <w:rFonts w:ascii="Times New Roman" w:hAnsi="Times New Roman"/>
          <w:sz w:val="24"/>
          <w:szCs w:val="24"/>
        </w:rPr>
        <w:t xml:space="preserve"> годы, млн.руб.</w:t>
      </w:r>
    </w:p>
    <w:p w14:paraId="0D84BE0D" w14:textId="77777777" w:rsidR="00D01D81" w:rsidRPr="00A53AD7" w:rsidRDefault="00D01D81" w:rsidP="00D01D81">
      <w:pPr>
        <w:spacing w:after="0" w:line="240" w:lineRule="auto"/>
        <w:jc w:val="both"/>
        <w:rPr>
          <w:rFonts w:ascii="Times New Roman" w:hAnsi="Times New Roman"/>
          <w:sz w:val="24"/>
          <w:szCs w:val="24"/>
        </w:rPr>
      </w:pPr>
    </w:p>
    <w:p w14:paraId="387B9F9C" w14:textId="616AB7C6" w:rsidR="00D01D81" w:rsidRPr="00A53AD7" w:rsidRDefault="00D01D81" w:rsidP="00D01D81">
      <w:pPr>
        <w:spacing w:after="0" w:line="240" w:lineRule="auto"/>
        <w:ind w:firstLine="851"/>
        <w:jc w:val="both"/>
        <w:rPr>
          <w:rFonts w:ascii="Times New Roman" w:hAnsi="Times New Roman"/>
          <w:sz w:val="28"/>
          <w:szCs w:val="28"/>
          <w:lang w:val="x-none"/>
        </w:rPr>
      </w:pPr>
      <w:r w:rsidRPr="00A53AD7">
        <w:rPr>
          <w:rFonts w:ascii="Times New Roman" w:hAnsi="Times New Roman"/>
          <w:sz w:val="28"/>
          <w:szCs w:val="28"/>
        </w:rPr>
        <w:t xml:space="preserve">В целом в отчетном году установлено поступление налога на доходы физических лиц с ежемесячным ростом к показателям 2018 года, кроме снижения в июне на 231,8 млн.руб. и незначительного снижения в августе и ноябре на 2,8 млн.руб. и 1,8 млн.руб., соответственно. Среднемесячный прирост поступлений налога в 2019 году составляет 80,5 млн.руб. (в 2018 году по отношению к 2017 году </w:t>
      </w:r>
      <w:r w:rsidR="00614091" w:rsidRPr="00A53AD7">
        <w:rPr>
          <w:rFonts w:ascii="Times New Roman" w:hAnsi="Times New Roman"/>
          <w:sz w:val="28"/>
          <w:szCs w:val="28"/>
        </w:rPr>
        <w:t xml:space="preserve">среднемесячный </w:t>
      </w:r>
      <w:r w:rsidRPr="00A53AD7">
        <w:rPr>
          <w:rFonts w:ascii="Times New Roman" w:hAnsi="Times New Roman"/>
          <w:sz w:val="28"/>
          <w:szCs w:val="28"/>
        </w:rPr>
        <w:t>прирост составлял 130,6 млн.руб.).</w:t>
      </w:r>
    </w:p>
    <w:p w14:paraId="79A707EC" w14:textId="561906E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Отчета по ф. 4-НМ на 01.01.2020 года недоимка по налогу на доходы физических лиц в областной бюджет плательщиков Архангельской области составила 137,4 млн.руб., что на 34,9 млн.руб. или на 20,2 % меньше недоимки по налогу на 01.01.2019 года (172,3 млн.руб.).</w:t>
      </w:r>
    </w:p>
    <w:p w14:paraId="17E7EA4A" w14:textId="77777777" w:rsidR="00D01D81" w:rsidRPr="00A53AD7" w:rsidRDefault="00D01D81" w:rsidP="00D01D81">
      <w:pPr>
        <w:spacing w:after="0" w:line="240" w:lineRule="auto"/>
        <w:ind w:firstLine="851"/>
        <w:jc w:val="both"/>
        <w:rPr>
          <w:rFonts w:ascii="Times New Roman" w:hAnsi="Times New Roman"/>
          <w:sz w:val="28"/>
          <w:szCs w:val="28"/>
        </w:rPr>
      </w:pPr>
    </w:p>
    <w:p w14:paraId="3713CE9B" w14:textId="08008DA0" w:rsidR="00D01D81" w:rsidRPr="00A53AD7" w:rsidRDefault="00D01D81" w:rsidP="00D01D81">
      <w:pPr>
        <w:spacing w:after="0" w:line="240" w:lineRule="auto"/>
        <w:ind w:firstLine="851"/>
        <w:jc w:val="both"/>
        <w:rPr>
          <w:rFonts w:ascii="Times New Roman" w:hAnsi="Times New Roman"/>
          <w:sz w:val="28"/>
          <w:szCs w:val="28"/>
          <w:lang w:val="x-none"/>
        </w:rPr>
      </w:pPr>
      <w:r w:rsidRPr="00A53AD7">
        <w:rPr>
          <w:rFonts w:ascii="Times New Roman" w:hAnsi="Times New Roman"/>
          <w:sz w:val="28"/>
          <w:szCs w:val="28"/>
        </w:rPr>
        <w:t xml:space="preserve">3. </w:t>
      </w:r>
      <w:r w:rsidR="00614091" w:rsidRPr="00A53AD7">
        <w:rPr>
          <w:rFonts w:ascii="Times New Roman" w:hAnsi="Times New Roman"/>
          <w:sz w:val="28"/>
          <w:szCs w:val="28"/>
        </w:rPr>
        <w:t>П</w:t>
      </w:r>
      <w:r w:rsidRPr="00A53AD7">
        <w:rPr>
          <w:rFonts w:ascii="Times New Roman" w:hAnsi="Times New Roman"/>
          <w:sz w:val="28"/>
          <w:szCs w:val="28"/>
        </w:rPr>
        <w:t xml:space="preserve">оступление </w:t>
      </w:r>
      <w:r w:rsidRPr="00A53AD7">
        <w:rPr>
          <w:rFonts w:ascii="Times New Roman" w:hAnsi="Times New Roman"/>
          <w:sz w:val="28"/>
          <w:szCs w:val="28"/>
          <w:u w:val="single"/>
        </w:rPr>
        <w:t xml:space="preserve">акцизов </w:t>
      </w:r>
      <w:r w:rsidRPr="00A53AD7">
        <w:rPr>
          <w:rFonts w:ascii="Times New Roman" w:hAnsi="Times New Roman"/>
          <w:sz w:val="28"/>
          <w:szCs w:val="28"/>
        </w:rPr>
        <w:t xml:space="preserve">в областной бюджет в отчетном году составило 4 838,3 млн.руб., что на 300,3 млн.руб. или на 6,6 % превышает плановые назначения, и на 653,8 млн.руб. или на 15,6 % больше поступлений 2018 года. Поступление акцизов по подакцизным товарам в отчетном году составило 107,3 % к ожидаемой оценке поступлений </w:t>
      </w:r>
      <w:r w:rsidR="00614091" w:rsidRPr="00A53AD7">
        <w:rPr>
          <w:rFonts w:ascii="Times New Roman" w:hAnsi="Times New Roman"/>
          <w:sz w:val="28"/>
          <w:szCs w:val="28"/>
        </w:rPr>
        <w:t xml:space="preserve">за 2019 год </w:t>
      </w:r>
      <w:r w:rsidR="00F1351A" w:rsidRPr="00A53AD7">
        <w:rPr>
          <w:rFonts w:ascii="Times New Roman" w:hAnsi="Times New Roman"/>
          <w:sz w:val="28"/>
          <w:szCs w:val="28"/>
        </w:rPr>
        <w:t xml:space="preserve">согласно </w:t>
      </w:r>
      <w:r w:rsidR="00AD6942" w:rsidRPr="00A53AD7">
        <w:rPr>
          <w:rFonts w:ascii="Times New Roman" w:hAnsi="Times New Roman"/>
          <w:sz w:val="28"/>
          <w:szCs w:val="28"/>
        </w:rPr>
        <w:t xml:space="preserve">документам и материалам к </w:t>
      </w:r>
      <w:r w:rsidR="00F1351A" w:rsidRPr="00A53AD7">
        <w:rPr>
          <w:rFonts w:ascii="Times New Roman" w:hAnsi="Times New Roman"/>
          <w:sz w:val="28"/>
          <w:szCs w:val="28"/>
        </w:rPr>
        <w:t xml:space="preserve">проекту областного закона «Об областном бюджете на 2020 год и на плановый период 2021 и 2022 годов» </w:t>
      </w:r>
      <w:r w:rsidR="00614091" w:rsidRPr="00A53AD7">
        <w:rPr>
          <w:rFonts w:ascii="Times New Roman" w:hAnsi="Times New Roman"/>
          <w:sz w:val="28"/>
          <w:szCs w:val="28"/>
        </w:rPr>
        <w:t>(4 510,9 млн.руб.).</w:t>
      </w:r>
    </w:p>
    <w:p w14:paraId="0DE9F338" w14:textId="038CDFF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Сведения о выполнении кассового плана поступления акцизов в 2019 году и сравнение с 2018 годом представлены в таблице </w:t>
      </w:r>
      <w:r w:rsidR="00F5645E" w:rsidRPr="00A53AD7">
        <w:rPr>
          <w:rFonts w:ascii="Times New Roman" w:hAnsi="Times New Roman"/>
          <w:sz w:val="28"/>
          <w:szCs w:val="28"/>
        </w:rPr>
        <w:t>29</w:t>
      </w:r>
      <w:r w:rsidRPr="00A53AD7">
        <w:rPr>
          <w:rFonts w:ascii="Times New Roman" w:hAnsi="Times New Roman"/>
          <w:sz w:val="28"/>
          <w:szCs w:val="28"/>
        </w:rPr>
        <w:t>:</w:t>
      </w:r>
    </w:p>
    <w:p w14:paraId="03FD7F7C" w14:textId="77777777" w:rsidR="00D01D81" w:rsidRPr="00A53AD7" w:rsidRDefault="00D01D81" w:rsidP="00D01D81">
      <w:pPr>
        <w:spacing w:after="0" w:line="240" w:lineRule="auto"/>
        <w:rPr>
          <w:rFonts w:ascii="Times New Roman" w:hAnsi="Times New Roman"/>
          <w:bCs/>
          <w:sz w:val="18"/>
          <w:szCs w:val="18"/>
        </w:rPr>
      </w:pPr>
    </w:p>
    <w:p w14:paraId="2F1066E1" w14:textId="4D75AA90" w:rsidR="00D01D81" w:rsidRPr="00A53AD7" w:rsidRDefault="00D01D81" w:rsidP="00614091">
      <w:pPr>
        <w:spacing w:after="0" w:line="240" w:lineRule="auto"/>
        <w:rPr>
          <w:rFonts w:ascii="Times New Roman" w:hAnsi="Times New Roman"/>
          <w:bCs/>
          <w:sz w:val="24"/>
          <w:szCs w:val="24"/>
        </w:rPr>
      </w:pPr>
      <w:r w:rsidRPr="00A53AD7">
        <w:rPr>
          <w:rFonts w:ascii="Times New Roman" w:hAnsi="Times New Roman"/>
          <w:sz w:val="24"/>
          <w:szCs w:val="24"/>
        </w:rPr>
        <w:lastRenderedPageBreak/>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29</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Выполнение кассового плана поступления акцизов в 2018 – 201</w:t>
      </w:r>
      <w:r w:rsidR="00AD6942" w:rsidRPr="00A53AD7">
        <w:rPr>
          <w:rFonts w:ascii="Times New Roman" w:hAnsi="Times New Roman"/>
          <w:bCs/>
          <w:sz w:val="24"/>
          <w:szCs w:val="24"/>
        </w:rPr>
        <w:t>9</w:t>
      </w:r>
      <w:r w:rsidRPr="00A53AD7">
        <w:rPr>
          <w:rFonts w:ascii="Times New Roman" w:hAnsi="Times New Roman"/>
          <w:bCs/>
          <w:sz w:val="24"/>
          <w:szCs w:val="24"/>
        </w:rPr>
        <w:t xml:space="preserve"> годах, млн.руб.</w:t>
      </w:r>
    </w:p>
    <w:tbl>
      <w:tblPr>
        <w:tblW w:w="9357" w:type="dxa"/>
        <w:tblInd w:w="-23" w:type="dxa"/>
        <w:tblLayout w:type="fixed"/>
        <w:tblLook w:val="04A0" w:firstRow="1" w:lastRow="0" w:firstColumn="1" w:lastColumn="0" w:noHBand="0" w:noVBand="1"/>
      </w:tblPr>
      <w:tblGrid>
        <w:gridCol w:w="2694"/>
        <w:gridCol w:w="992"/>
        <w:gridCol w:w="1082"/>
        <w:gridCol w:w="903"/>
        <w:gridCol w:w="992"/>
        <w:gridCol w:w="851"/>
        <w:gridCol w:w="895"/>
        <w:gridCol w:w="948"/>
      </w:tblGrid>
      <w:tr w:rsidR="00A53AD7" w:rsidRPr="00A53AD7" w14:paraId="52AB782A" w14:textId="77777777" w:rsidTr="00AD6942">
        <w:trPr>
          <w:trHeight w:val="431"/>
          <w:tblHeader/>
        </w:trPr>
        <w:tc>
          <w:tcPr>
            <w:tcW w:w="269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3478D5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B0741DE" w14:textId="77777777" w:rsidR="00D01D81" w:rsidRPr="00A53AD7" w:rsidRDefault="00D01D81" w:rsidP="00BA5523">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Исполнено за 2018 год</w:t>
            </w:r>
          </w:p>
        </w:tc>
        <w:tc>
          <w:tcPr>
            <w:tcW w:w="108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07698A6" w14:textId="77777777" w:rsidR="00D01D81" w:rsidRPr="00A53AD7" w:rsidRDefault="00D01D81" w:rsidP="00BA5523">
            <w:pPr>
              <w:spacing w:after="0" w:line="240" w:lineRule="auto"/>
              <w:ind w:left="-108" w:right="-160"/>
              <w:jc w:val="center"/>
              <w:rPr>
                <w:rFonts w:ascii="Times New Roman" w:eastAsia="Times New Roman" w:hAnsi="Times New Roman"/>
                <w:lang w:eastAsia="ru-RU"/>
              </w:rPr>
            </w:pPr>
            <w:r w:rsidRPr="00A53AD7">
              <w:rPr>
                <w:rFonts w:ascii="Times New Roman" w:eastAsia="Times New Roman" w:hAnsi="Times New Roman"/>
                <w:lang w:eastAsia="ru-RU"/>
              </w:rPr>
              <w:t>Кассовый план на 2019 год</w:t>
            </w:r>
          </w:p>
        </w:tc>
        <w:tc>
          <w:tcPr>
            <w:tcW w:w="903"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0CAD838" w14:textId="1FF7F610" w:rsidR="00D01D81" w:rsidRPr="00A53AD7" w:rsidRDefault="00D01D81" w:rsidP="00BA5523">
            <w:pPr>
              <w:spacing w:after="0" w:line="240" w:lineRule="auto"/>
              <w:ind w:left="-56" w:right="-108"/>
              <w:jc w:val="center"/>
              <w:rPr>
                <w:rFonts w:ascii="Times New Roman" w:eastAsia="Times New Roman" w:hAnsi="Times New Roman"/>
                <w:lang w:eastAsia="ru-RU"/>
              </w:rPr>
            </w:pPr>
            <w:r w:rsidRPr="00A53AD7">
              <w:rPr>
                <w:rFonts w:ascii="Times New Roman" w:eastAsia="Times New Roman" w:hAnsi="Times New Roman"/>
                <w:lang w:eastAsia="ru-RU"/>
              </w:rPr>
              <w:t xml:space="preserve">Исполнено </w:t>
            </w:r>
            <w:r w:rsidR="00614091" w:rsidRPr="00A53AD7">
              <w:rPr>
                <w:rFonts w:ascii="Times New Roman" w:eastAsia="Times New Roman" w:hAnsi="Times New Roman"/>
                <w:lang w:eastAsia="ru-RU"/>
              </w:rPr>
              <w:t xml:space="preserve">за </w:t>
            </w:r>
            <w:r w:rsidRPr="00A53AD7">
              <w:rPr>
                <w:rFonts w:ascii="Times New Roman" w:eastAsia="Times New Roman" w:hAnsi="Times New Roman"/>
                <w:lang w:eastAsia="ru-RU"/>
              </w:rPr>
              <w:t>2019 год</w:t>
            </w:r>
          </w:p>
        </w:tc>
        <w:tc>
          <w:tcPr>
            <w:tcW w:w="1843" w:type="dxa"/>
            <w:gridSpan w:val="2"/>
            <w:tcBorders>
              <w:top w:val="double" w:sz="6" w:space="0" w:color="auto"/>
              <w:left w:val="nil"/>
              <w:bottom w:val="single" w:sz="4" w:space="0" w:color="auto"/>
              <w:right w:val="single" w:sz="4" w:space="0" w:color="auto"/>
            </w:tcBorders>
            <w:shd w:val="clear" w:color="auto" w:fill="auto"/>
            <w:vAlign w:val="center"/>
            <w:hideMark/>
          </w:tcPr>
          <w:p w14:paraId="10D5B3DD" w14:textId="77777777" w:rsidR="00D01D81" w:rsidRPr="00A53AD7" w:rsidRDefault="00D01D81" w:rsidP="00BA5523">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Исполнение в 2019 году, (+/-)</w:t>
            </w:r>
          </w:p>
        </w:tc>
        <w:tc>
          <w:tcPr>
            <w:tcW w:w="1843" w:type="dxa"/>
            <w:gridSpan w:val="2"/>
            <w:tcBorders>
              <w:top w:val="double" w:sz="6" w:space="0" w:color="auto"/>
              <w:left w:val="nil"/>
              <w:bottom w:val="single" w:sz="4" w:space="0" w:color="auto"/>
              <w:right w:val="double" w:sz="6" w:space="0" w:color="000000"/>
            </w:tcBorders>
            <w:shd w:val="clear" w:color="auto" w:fill="auto"/>
            <w:vAlign w:val="center"/>
            <w:hideMark/>
          </w:tcPr>
          <w:p w14:paraId="7161DEC1" w14:textId="77777777" w:rsidR="00D01D81" w:rsidRPr="00A53AD7" w:rsidRDefault="00D01D81" w:rsidP="00BA5523">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Отклонение к 2018 году, (+/-)</w:t>
            </w:r>
          </w:p>
        </w:tc>
      </w:tr>
      <w:tr w:rsidR="00A53AD7" w:rsidRPr="00A53AD7" w14:paraId="4816C7C6" w14:textId="77777777" w:rsidTr="00AD6942">
        <w:trPr>
          <w:trHeight w:val="141"/>
          <w:tblHeader/>
        </w:trPr>
        <w:tc>
          <w:tcPr>
            <w:tcW w:w="2694" w:type="dxa"/>
            <w:vMerge/>
            <w:tcBorders>
              <w:top w:val="double" w:sz="6" w:space="0" w:color="auto"/>
              <w:left w:val="double" w:sz="6" w:space="0" w:color="auto"/>
              <w:bottom w:val="single" w:sz="4" w:space="0" w:color="auto"/>
              <w:right w:val="single" w:sz="4" w:space="0" w:color="auto"/>
            </w:tcBorders>
            <w:vAlign w:val="center"/>
            <w:hideMark/>
          </w:tcPr>
          <w:p w14:paraId="172DCC63" w14:textId="77777777" w:rsidR="00D01D81" w:rsidRPr="00A53AD7" w:rsidRDefault="00D01D81" w:rsidP="00BA5523">
            <w:pPr>
              <w:spacing w:after="0" w:line="240" w:lineRule="auto"/>
              <w:rPr>
                <w:rFonts w:ascii="Times New Roman" w:eastAsia="Times New Roman" w:hAnsi="Times New Roman"/>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53069F5F" w14:textId="77777777" w:rsidR="00D01D81" w:rsidRPr="00A53AD7" w:rsidRDefault="00D01D81" w:rsidP="00BA5523">
            <w:pPr>
              <w:spacing w:after="0" w:line="240" w:lineRule="auto"/>
              <w:rPr>
                <w:rFonts w:ascii="Times New Roman" w:eastAsia="Times New Roman" w:hAnsi="Times New Roman"/>
                <w:lang w:eastAsia="ru-RU"/>
              </w:rPr>
            </w:pPr>
          </w:p>
        </w:tc>
        <w:tc>
          <w:tcPr>
            <w:tcW w:w="1082" w:type="dxa"/>
            <w:vMerge/>
            <w:tcBorders>
              <w:top w:val="double" w:sz="6" w:space="0" w:color="auto"/>
              <w:left w:val="single" w:sz="4" w:space="0" w:color="auto"/>
              <w:bottom w:val="single" w:sz="4" w:space="0" w:color="auto"/>
              <w:right w:val="single" w:sz="4" w:space="0" w:color="auto"/>
            </w:tcBorders>
            <w:vAlign w:val="center"/>
            <w:hideMark/>
          </w:tcPr>
          <w:p w14:paraId="401CDC33" w14:textId="77777777" w:rsidR="00D01D81" w:rsidRPr="00A53AD7" w:rsidRDefault="00D01D81" w:rsidP="00BA5523">
            <w:pPr>
              <w:spacing w:after="0" w:line="240" w:lineRule="auto"/>
              <w:rPr>
                <w:rFonts w:ascii="Times New Roman" w:eastAsia="Times New Roman" w:hAnsi="Times New Roman"/>
                <w:lang w:eastAsia="ru-RU"/>
              </w:rPr>
            </w:pPr>
          </w:p>
        </w:tc>
        <w:tc>
          <w:tcPr>
            <w:tcW w:w="903" w:type="dxa"/>
            <w:vMerge/>
            <w:tcBorders>
              <w:top w:val="double" w:sz="6" w:space="0" w:color="auto"/>
              <w:left w:val="single" w:sz="4" w:space="0" w:color="auto"/>
              <w:bottom w:val="single" w:sz="4" w:space="0" w:color="auto"/>
              <w:right w:val="single" w:sz="4" w:space="0" w:color="auto"/>
            </w:tcBorders>
            <w:vAlign w:val="center"/>
            <w:hideMark/>
          </w:tcPr>
          <w:p w14:paraId="2E385E74" w14:textId="77777777" w:rsidR="00D01D81" w:rsidRPr="00A53AD7" w:rsidRDefault="00D01D81" w:rsidP="00BA5523">
            <w:pPr>
              <w:spacing w:after="0" w:line="240" w:lineRule="auto"/>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438C5E62" w14:textId="77777777" w:rsidR="00D01D81" w:rsidRPr="00A53AD7" w:rsidRDefault="00D01D81" w:rsidP="00BA5523">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851" w:type="dxa"/>
            <w:tcBorders>
              <w:top w:val="nil"/>
              <w:left w:val="nil"/>
              <w:bottom w:val="single" w:sz="4" w:space="0" w:color="auto"/>
              <w:right w:val="single" w:sz="4" w:space="0" w:color="auto"/>
            </w:tcBorders>
            <w:shd w:val="clear" w:color="auto" w:fill="auto"/>
            <w:vAlign w:val="center"/>
            <w:hideMark/>
          </w:tcPr>
          <w:p w14:paraId="7B0DB20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95" w:type="dxa"/>
            <w:tcBorders>
              <w:top w:val="nil"/>
              <w:left w:val="nil"/>
              <w:bottom w:val="single" w:sz="4" w:space="0" w:color="auto"/>
              <w:right w:val="single" w:sz="4" w:space="0" w:color="auto"/>
            </w:tcBorders>
            <w:shd w:val="clear" w:color="auto" w:fill="auto"/>
            <w:vAlign w:val="center"/>
            <w:hideMark/>
          </w:tcPr>
          <w:p w14:paraId="5774EF32" w14:textId="77777777" w:rsidR="00D01D81" w:rsidRPr="00A53AD7" w:rsidRDefault="00D01D81" w:rsidP="00BA5523">
            <w:pPr>
              <w:spacing w:after="0" w:line="240" w:lineRule="auto"/>
              <w:ind w:left="-108" w:right="-205"/>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948" w:type="dxa"/>
            <w:tcBorders>
              <w:top w:val="nil"/>
              <w:left w:val="nil"/>
              <w:bottom w:val="single" w:sz="4" w:space="0" w:color="auto"/>
              <w:right w:val="double" w:sz="6" w:space="0" w:color="auto"/>
            </w:tcBorders>
            <w:shd w:val="clear" w:color="auto" w:fill="auto"/>
            <w:vAlign w:val="center"/>
            <w:hideMark/>
          </w:tcPr>
          <w:p w14:paraId="3C0933D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017AE7FA" w14:textId="77777777" w:rsidTr="00BA5523">
        <w:trPr>
          <w:trHeight w:val="270"/>
        </w:trPr>
        <w:tc>
          <w:tcPr>
            <w:tcW w:w="2694" w:type="dxa"/>
            <w:tcBorders>
              <w:top w:val="nil"/>
              <w:left w:val="double" w:sz="6" w:space="0" w:color="auto"/>
              <w:bottom w:val="single" w:sz="4" w:space="0" w:color="auto"/>
              <w:right w:val="single" w:sz="4" w:space="0" w:color="auto"/>
            </w:tcBorders>
            <w:shd w:val="clear" w:color="auto" w:fill="auto"/>
            <w:vAlign w:val="bottom"/>
            <w:hideMark/>
          </w:tcPr>
          <w:p w14:paraId="2CFADCC2"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992" w:type="dxa"/>
            <w:tcBorders>
              <w:top w:val="nil"/>
              <w:left w:val="nil"/>
              <w:bottom w:val="single" w:sz="4" w:space="0" w:color="auto"/>
              <w:right w:val="single" w:sz="4" w:space="0" w:color="auto"/>
            </w:tcBorders>
            <w:shd w:val="clear" w:color="auto" w:fill="auto"/>
            <w:vAlign w:val="bottom"/>
            <w:hideMark/>
          </w:tcPr>
          <w:p w14:paraId="2EF3D28C"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082" w:type="dxa"/>
            <w:tcBorders>
              <w:top w:val="nil"/>
              <w:left w:val="nil"/>
              <w:bottom w:val="single" w:sz="4" w:space="0" w:color="auto"/>
              <w:right w:val="single" w:sz="4" w:space="0" w:color="auto"/>
            </w:tcBorders>
            <w:shd w:val="clear" w:color="auto" w:fill="auto"/>
            <w:vAlign w:val="bottom"/>
            <w:hideMark/>
          </w:tcPr>
          <w:p w14:paraId="5AE1170E"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903" w:type="dxa"/>
            <w:tcBorders>
              <w:top w:val="nil"/>
              <w:left w:val="nil"/>
              <w:bottom w:val="single" w:sz="4" w:space="0" w:color="auto"/>
              <w:right w:val="single" w:sz="4" w:space="0" w:color="auto"/>
            </w:tcBorders>
            <w:shd w:val="clear" w:color="auto" w:fill="auto"/>
            <w:vAlign w:val="bottom"/>
            <w:hideMark/>
          </w:tcPr>
          <w:p w14:paraId="083E57E5"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992" w:type="dxa"/>
            <w:tcBorders>
              <w:top w:val="nil"/>
              <w:left w:val="nil"/>
              <w:bottom w:val="single" w:sz="4" w:space="0" w:color="auto"/>
              <w:right w:val="single" w:sz="4" w:space="0" w:color="auto"/>
            </w:tcBorders>
            <w:shd w:val="clear" w:color="auto" w:fill="auto"/>
            <w:vAlign w:val="bottom"/>
            <w:hideMark/>
          </w:tcPr>
          <w:p w14:paraId="5ABE9D91"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4=3-2</w:t>
            </w:r>
          </w:p>
        </w:tc>
        <w:tc>
          <w:tcPr>
            <w:tcW w:w="851" w:type="dxa"/>
            <w:tcBorders>
              <w:top w:val="nil"/>
              <w:left w:val="nil"/>
              <w:bottom w:val="single" w:sz="4" w:space="0" w:color="auto"/>
              <w:right w:val="single" w:sz="4" w:space="0" w:color="auto"/>
            </w:tcBorders>
            <w:shd w:val="clear" w:color="auto" w:fill="auto"/>
            <w:vAlign w:val="bottom"/>
            <w:hideMark/>
          </w:tcPr>
          <w:p w14:paraId="5DAFB86A" w14:textId="77777777" w:rsidR="00D01D81" w:rsidRPr="00A53AD7" w:rsidRDefault="00D01D81" w:rsidP="00BA5523">
            <w:pPr>
              <w:spacing w:after="0" w:line="240" w:lineRule="auto"/>
              <w:ind w:left="-108" w:right="-108"/>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5=3/2*100</w:t>
            </w:r>
          </w:p>
        </w:tc>
        <w:tc>
          <w:tcPr>
            <w:tcW w:w="895" w:type="dxa"/>
            <w:tcBorders>
              <w:top w:val="nil"/>
              <w:left w:val="nil"/>
              <w:bottom w:val="single" w:sz="4" w:space="0" w:color="auto"/>
              <w:right w:val="single" w:sz="4" w:space="0" w:color="auto"/>
            </w:tcBorders>
            <w:shd w:val="clear" w:color="auto" w:fill="auto"/>
            <w:vAlign w:val="bottom"/>
            <w:hideMark/>
          </w:tcPr>
          <w:p w14:paraId="39429433"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6=3-1</w:t>
            </w:r>
          </w:p>
        </w:tc>
        <w:tc>
          <w:tcPr>
            <w:tcW w:w="948" w:type="dxa"/>
            <w:tcBorders>
              <w:top w:val="nil"/>
              <w:left w:val="nil"/>
              <w:bottom w:val="single" w:sz="4" w:space="0" w:color="auto"/>
              <w:right w:val="double" w:sz="6" w:space="0" w:color="auto"/>
            </w:tcBorders>
            <w:shd w:val="clear" w:color="auto" w:fill="auto"/>
            <w:vAlign w:val="bottom"/>
            <w:hideMark/>
          </w:tcPr>
          <w:p w14:paraId="4A3C2C43" w14:textId="77777777" w:rsidR="00D01D81" w:rsidRPr="00A53AD7" w:rsidRDefault="00D01D81" w:rsidP="00BA5523">
            <w:pPr>
              <w:spacing w:after="0" w:line="240" w:lineRule="auto"/>
              <w:ind w:left="-11" w:right="-63"/>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7=3/1*100</w:t>
            </w:r>
          </w:p>
        </w:tc>
      </w:tr>
      <w:tr w:rsidR="00A53AD7" w:rsidRPr="00A53AD7" w14:paraId="7F650435" w14:textId="77777777" w:rsidTr="00BA5523">
        <w:trPr>
          <w:trHeight w:val="811"/>
        </w:trPr>
        <w:tc>
          <w:tcPr>
            <w:tcW w:w="2694" w:type="dxa"/>
            <w:tcBorders>
              <w:top w:val="nil"/>
              <w:left w:val="double" w:sz="6" w:space="0" w:color="auto"/>
              <w:bottom w:val="single" w:sz="4" w:space="0" w:color="auto"/>
              <w:right w:val="single" w:sz="4" w:space="0" w:color="auto"/>
            </w:tcBorders>
            <w:shd w:val="clear" w:color="auto" w:fill="auto"/>
            <w:vAlign w:val="bottom"/>
            <w:hideMark/>
          </w:tcPr>
          <w:p w14:paraId="632208EE"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Акцизы на алкогольную продукцию с объемной долей этилового спирта свыше 9 %, а также пиво</w:t>
            </w:r>
          </w:p>
        </w:tc>
        <w:tc>
          <w:tcPr>
            <w:tcW w:w="992" w:type="dxa"/>
            <w:tcBorders>
              <w:top w:val="nil"/>
              <w:left w:val="nil"/>
              <w:bottom w:val="single" w:sz="4" w:space="0" w:color="auto"/>
              <w:right w:val="single" w:sz="4" w:space="0" w:color="auto"/>
            </w:tcBorders>
            <w:shd w:val="clear" w:color="auto" w:fill="auto"/>
            <w:vAlign w:val="bottom"/>
            <w:hideMark/>
          </w:tcPr>
          <w:p w14:paraId="2BBD8B9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1 494,5 </w:t>
            </w:r>
          </w:p>
        </w:tc>
        <w:tc>
          <w:tcPr>
            <w:tcW w:w="1082" w:type="dxa"/>
            <w:tcBorders>
              <w:top w:val="nil"/>
              <w:left w:val="nil"/>
              <w:bottom w:val="single" w:sz="4" w:space="0" w:color="auto"/>
              <w:right w:val="single" w:sz="4" w:space="0" w:color="auto"/>
            </w:tcBorders>
            <w:shd w:val="clear" w:color="auto" w:fill="auto"/>
            <w:vAlign w:val="bottom"/>
            <w:hideMark/>
          </w:tcPr>
          <w:p w14:paraId="21A22D0D" w14:textId="03EB75D7"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w:t>
            </w:r>
            <w:r w:rsidR="0015152F" w:rsidRPr="00A53AD7">
              <w:rPr>
                <w:rFonts w:ascii="Times New Roman" w:eastAsia="Times New Roman" w:hAnsi="Times New Roman"/>
                <w:lang w:eastAsia="ru-RU"/>
              </w:rPr>
              <w:t> </w:t>
            </w:r>
            <w:r w:rsidRPr="00A53AD7">
              <w:rPr>
                <w:rFonts w:ascii="Times New Roman" w:eastAsia="Times New Roman" w:hAnsi="Times New Roman"/>
                <w:lang w:eastAsia="ru-RU"/>
              </w:rPr>
              <w:t>7</w:t>
            </w:r>
            <w:r w:rsidR="0015152F" w:rsidRPr="00A53AD7">
              <w:rPr>
                <w:rFonts w:ascii="Times New Roman" w:eastAsia="Times New Roman" w:hAnsi="Times New Roman"/>
                <w:lang w:eastAsia="ru-RU"/>
              </w:rPr>
              <w:t>66,1</w:t>
            </w:r>
            <w:r w:rsidRPr="00A53AD7">
              <w:rPr>
                <w:rFonts w:ascii="Times New Roman" w:eastAsia="Times New Roman" w:hAnsi="Times New Roman"/>
                <w:lang w:eastAsia="ru-RU"/>
              </w:rPr>
              <w:t xml:space="preserve"> </w:t>
            </w:r>
          </w:p>
        </w:tc>
        <w:tc>
          <w:tcPr>
            <w:tcW w:w="903" w:type="dxa"/>
            <w:tcBorders>
              <w:top w:val="nil"/>
              <w:left w:val="nil"/>
              <w:bottom w:val="single" w:sz="4" w:space="0" w:color="auto"/>
              <w:right w:val="single" w:sz="4" w:space="0" w:color="auto"/>
            </w:tcBorders>
            <w:shd w:val="clear" w:color="auto" w:fill="auto"/>
            <w:vAlign w:val="bottom"/>
            <w:hideMark/>
          </w:tcPr>
          <w:p w14:paraId="65A720D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1 770,7 </w:t>
            </w:r>
          </w:p>
        </w:tc>
        <w:tc>
          <w:tcPr>
            <w:tcW w:w="992" w:type="dxa"/>
            <w:tcBorders>
              <w:top w:val="nil"/>
              <w:left w:val="nil"/>
              <w:bottom w:val="single" w:sz="4" w:space="0" w:color="auto"/>
              <w:right w:val="single" w:sz="4" w:space="0" w:color="auto"/>
            </w:tcBorders>
            <w:shd w:val="clear" w:color="auto" w:fill="auto"/>
            <w:vAlign w:val="bottom"/>
            <w:hideMark/>
          </w:tcPr>
          <w:p w14:paraId="57A3BF21" w14:textId="674A6EC5" w:rsidR="00D01D81" w:rsidRPr="00A53AD7" w:rsidRDefault="0015152F"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4,6</w:t>
            </w:r>
            <w:r w:rsidR="00D01D81" w:rsidRPr="00A53AD7">
              <w:rPr>
                <w:rFonts w:ascii="Times New Roman" w:eastAsia="Times New Roman" w:hAnsi="Times New Roman"/>
                <w:lang w:eastAsia="ru-RU"/>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3FE84BD3" w14:textId="6566243D"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w:t>
            </w:r>
            <w:r w:rsidR="0015152F" w:rsidRPr="00A53AD7">
              <w:rPr>
                <w:rFonts w:ascii="Times New Roman" w:eastAsia="Times New Roman" w:hAnsi="Times New Roman"/>
                <w:lang w:eastAsia="ru-RU"/>
              </w:rPr>
              <w:t>0</w:t>
            </w:r>
            <w:r w:rsidRPr="00A53AD7">
              <w:rPr>
                <w:rFonts w:ascii="Times New Roman" w:eastAsia="Times New Roman" w:hAnsi="Times New Roman"/>
                <w:lang w:eastAsia="ru-RU"/>
              </w:rPr>
              <w:t xml:space="preserve">,3 </w:t>
            </w:r>
          </w:p>
        </w:tc>
        <w:tc>
          <w:tcPr>
            <w:tcW w:w="895" w:type="dxa"/>
            <w:tcBorders>
              <w:top w:val="nil"/>
              <w:left w:val="nil"/>
              <w:bottom w:val="single" w:sz="4" w:space="0" w:color="auto"/>
              <w:right w:val="single" w:sz="4" w:space="0" w:color="auto"/>
            </w:tcBorders>
            <w:shd w:val="clear" w:color="auto" w:fill="auto"/>
            <w:noWrap/>
            <w:vAlign w:val="bottom"/>
            <w:hideMark/>
          </w:tcPr>
          <w:p w14:paraId="4DB1BAA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276,1 </w:t>
            </w:r>
          </w:p>
        </w:tc>
        <w:tc>
          <w:tcPr>
            <w:tcW w:w="948" w:type="dxa"/>
            <w:tcBorders>
              <w:top w:val="nil"/>
              <w:left w:val="nil"/>
              <w:bottom w:val="single" w:sz="4" w:space="0" w:color="auto"/>
              <w:right w:val="double" w:sz="6" w:space="0" w:color="auto"/>
            </w:tcBorders>
            <w:shd w:val="clear" w:color="auto" w:fill="auto"/>
            <w:noWrap/>
            <w:vAlign w:val="bottom"/>
            <w:hideMark/>
          </w:tcPr>
          <w:p w14:paraId="3651E90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118,5 </w:t>
            </w:r>
          </w:p>
        </w:tc>
      </w:tr>
      <w:tr w:rsidR="00A53AD7" w:rsidRPr="00A53AD7" w14:paraId="6B6603BB" w14:textId="77777777" w:rsidTr="00BA5523">
        <w:trPr>
          <w:trHeight w:val="300"/>
        </w:trPr>
        <w:tc>
          <w:tcPr>
            <w:tcW w:w="2694" w:type="dxa"/>
            <w:tcBorders>
              <w:top w:val="nil"/>
              <w:left w:val="double" w:sz="6" w:space="0" w:color="auto"/>
              <w:bottom w:val="single" w:sz="4" w:space="0" w:color="auto"/>
              <w:right w:val="single" w:sz="4" w:space="0" w:color="auto"/>
            </w:tcBorders>
            <w:shd w:val="clear" w:color="auto" w:fill="auto"/>
            <w:vAlign w:val="bottom"/>
            <w:hideMark/>
          </w:tcPr>
          <w:p w14:paraId="615F6993"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Акцизы на нефтепродукты</w:t>
            </w:r>
          </w:p>
        </w:tc>
        <w:tc>
          <w:tcPr>
            <w:tcW w:w="992" w:type="dxa"/>
            <w:tcBorders>
              <w:top w:val="nil"/>
              <w:left w:val="nil"/>
              <w:bottom w:val="single" w:sz="4" w:space="0" w:color="auto"/>
              <w:right w:val="single" w:sz="4" w:space="0" w:color="auto"/>
            </w:tcBorders>
            <w:shd w:val="clear" w:color="auto" w:fill="auto"/>
            <w:vAlign w:val="bottom"/>
            <w:hideMark/>
          </w:tcPr>
          <w:p w14:paraId="2462243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2 775,2 </w:t>
            </w:r>
          </w:p>
        </w:tc>
        <w:tc>
          <w:tcPr>
            <w:tcW w:w="1082" w:type="dxa"/>
            <w:tcBorders>
              <w:top w:val="nil"/>
              <w:left w:val="nil"/>
              <w:bottom w:val="single" w:sz="4" w:space="0" w:color="auto"/>
              <w:right w:val="single" w:sz="4" w:space="0" w:color="auto"/>
            </w:tcBorders>
            <w:shd w:val="clear" w:color="auto" w:fill="auto"/>
            <w:vAlign w:val="bottom"/>
            <w:hideMark/>
          </w:tcPr>
          <w:p w14:paraId="6414167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2 901,2 </w:t>
            </w:r>
          </w:p>
        </w:tc>
        <w:tc>
          <w:tcPr>
            <w:tcW w:w="903" w:type="dxa"/>
            <w:tcBorders>
              <w:top w:val="nil"/>
              <w:left w:val="nil"/>
              <w:bottom w:val="single" w:sz="4" w:space="0" w:color="auto"/>
              <w:right w:val="single" w:sz="4" w:space="0" w:color="auto"/>
            </w:tcBorders>
            <w:shd w:val="clear" w:color="auto" w:fill="auto"/>
            <w:vAlign w:val="bottom"/>
            <w:hideMark/>
          </w:tcPr>
          <w:p w14:paraId="71AEADD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3 197,0 </w:t>
            </w:r>
          </w:p>
        </w:tc>
        <w:tc>
          <w:tcPr>
            <w:tcW w:w="992" w:type="dxa"/>
            <w:tcBorders>
              <w:top w:val="nil"/>
              <w:left w:val="nil"/>
              <w:bottom w:val="single" w:sz="4" w:space="0" w:color="auto"/>
              <w:right w:val="single" w:sz="4" w:space="0" w:color="auto"/>
            </w:tcBorders>
            <w:shd w:val="clear" w:color="auto" w:fill="auto"/>
            <w:vAlign w:val="bottom"/>
            <w:hideMark/>
          </w:tcPr>
          <w:p w14:paraId="554F1BE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295,8 </w:t>
            </w:r>
          </w:p>
        </w:tc>
        <w:tc>
          <w:tcPr>
            <w:tcW w:w="851" w:type="dxa"/>
            <w:tcBorders>
              <w:top w:val="nil"/>
              <w:left w:val="nil"/>
              <w:bottom w:val="single" w:sz="4" w:space="0" w:color="auto"/>
              <w:right w:val="single" w:sz="4" w:space="0" w:color="auto"/>
            </w:tcBorders>
            <w:shd w:val="clear" w:color="auto" w:fill="auto"/>
            <w:noWrap/>
            <w:vAlign w:val="bottom"/>
            <w:hideMark/>
          </w:tcPr>
          <w:p w14:paraId="56EEDCE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110,2 </w:t>
            </w:r>
          </w:p>
        </w:tc>
        <w:tc>
          <w:tcPr>
            <w:tcW w:w="895" w:type="dxa"/>
            <w:tcBorders>
              <w:top w:val="nil"/>
              <w:left w:val="nil"/>
              <w:bottom w:val="single" w:sz="4" w:space="0" w:color="auto"/>
              <w:right w:val="single" w:sz="4" w:space="0" w:color="auto"/>
            </w:tcBorders>
            <w:shd w:val="clear" w:color="auto" w:fill="auto"/>
            <w:noWrap/>
            <w:vAlign w:val="bottom"/>
            <w:hideMark/>
          </w:tcPr>
          <w:p w14:paraId="249DCEF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421,7 </w:t>
            </w:r>
          </w:p>
        </w:tc>
        <w:tc>
          <w:tcPr>
            <w:tcW w:w="948" w:type="dxa"/>
            <w:tcBorders>
              <w:top w:val="nil"/>
              <w:left w:val="nil"/>
              <w:bottom w:val="single" w:sz="4" w:space="0" w:color="auto"/>
              <w:right w:val="double" w:sz="6" w:space="0" w:color="auto"/>
            </w:tcBorders>
            <w:shd w:val="clear" w:color="auto" w:fill="auto"/>
            <w:noWrap/>
            <w:vAlign w:val="bottom"/>
            <w:hideMark/>
          </w:tcPr>
          <w:p w14:paraId="551A421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115,2 </w:t>
            </w:r>
          </w:p>
        </w:tc>
      </w:tr>
      <w:tr w:rsidR="00A53AD7" w:rsidRPr="00A53AD7" w14:paraId="368C1CCD" w14:textId="77777777" w:rsidTr="00BA5523">
        <w:trPr>
          <w:trHeight w:val="300"/>
        </w:trPr>
        <w:tc>
          <w:tcPr>
            <w:tcW w:w="2694" w:type="dxa"/>
            <w:tcBorders>
              <w:top w:val="nil"/>
              <w:left w:val="double" w:sz="6" w:space="0" w:color="auto"/>
              <w:bottom w:val="single" w:sz="4" w:space="0" w:color="auto"/>
              <w:right w:val="single" w:sz="4" w:space="0" w:color="auto"/>
            </w:tcBorders>
            <w:shd w:val="clear" w:color="auto" w:fill="auto"/>
            <w:vAlign w:val="bottom"/>
            <w:hideMark/>
          </w:tcPr>
          <w:p w14:paraId="43AA108C"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Акцизы на средние дистилляты</w:t>
            </w:r>
          </w:p>
        </w:tc>
        <w:tc>
          <w:tcPr>
            <w:tcW w:w="992" w:type="dxa"/>
            <w:tcBorders>
              <w:top w:val="nil"/>
              <w:left w:val="nil"/>
              <w:bottom w:val="single" w:sz="4" w:space="0" w:color="auto"/>
              <w:right w:val="single" w:sz="4" w:space="0" w:color="auto"/>
            </w:tcBorders>
            <w:shd w:val="clear" w:color="auto" w:fill="auto"/>
            <w:vAlign w:val="bottom"/>
            <w:hideMark/>
          </w:tcPr>
          <w:p w14:paraId="6E49AF3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-85,3 </w:t>
            </w:r>
          </w:p>
        </w:tc>
        <w:tc>
          <w:tcPr>
            <w:tcW w:w="1082" w:type="dxa"/>
            <w:tcBorders>
              <w:top w:val="nil"/>
              <w:left w:val="nil"/>
              <w:bottom w:val="single" w:sz="4" w:space="0" w:color="auto"/>
              <w:right w:val="single" w:sz="4" w:space="0" w:color="auto"/>
            </w:tcBorders>
            <w:shd w:val="clear" w:color="auto" w:fill="auto"/>
            <w:vAlign w:val="bottom"/>
            <w:hideMark/>
          </w:tcPr>
          <w:p w14:paraId="1BD2A699" w14:textId="76456D92"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w:t>
            </w:r>
            <w:r w:rsidR="0015152F" w:rsidRPr="00A53AD7">
              <w:rPr>
                <w:rFonts w:ascii="Times New Roman" w:eastAsia="Times New Roman" w:hAnsi="Times New Roman"/>
                <w:lang w:eastAsia="ru-RU"/>
              </w:rPr>
              <w:t>29,3</w:t>
            </w:r>
            <w:r w:rsidRPr="00A53AD7">
              <w:rPr>
                <w:rFonts w:ascii="Times New Roman" w:eastAsia="Times New Roman" w:hAnsi="Times New Roman"/>
                <w:lang w:eastAsia="ru-RU"/>
              </w:rPr>
              <w:t xml:space="preserve"> </w:t>
            </w:r>
          </w:p>
        </w:tc>
        <w:tc>
          <w:tcPr>
            <w:tcW w:w="903" w:type="dxa"/>
            <w:tcBorders>
              <w:top w:val="nil"/>
              <w:left w:val="nil"/>
              <w:bottom w:val="single" w:sz="4" w:space="0" w:color="auto"/>
              <w:right w:val="single" w:sz="4" w:space="0" w:color="auto"/>
            </w:tcBorders>
            <w:shd w:val="clear" w:color="auto" w:fill="auto"/>
            <w:vAlign w:val="bottom"/>
            <w:hideMark/>
          </w:tcPr>
          <w:p w14:paraId="7B4DED4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-129,3 </w:t>
            </w:r>
          </w:p>
        </w:tc>
        <w:tc>
          <w:tcPr>
            <w:tcW w:w="992" w:type="dxa"/>
            <w:tcBorders>
              <w:top w:val="nil"/>
              <w:left w:val="nil"/>
              <w:bottom w:val="single" w:sz="4" w:space="0" w:color="auto"/>
              <w:right w:val="single" w:sz="4" w:space="0" w:color="auto"/>
            </w:tcBorders>
            <w:shd w:val="clear" w:color="auto" w:fill="auto"/>
            <w:vAlign w:val="bottom"/>
            <w:hideMark/>
          </w:tcPr>
          <w:p w14:paraId="7793E739" w14:textId="6E195D16" w:rsidR="00D01D81" w:rsidRPr="00A53AD7" w:rsidRDefault="0015152F"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w:t>
            </w:r>
            <w:r w:rsidR="00D01D81" w:rsidRPr="00A53AD7">
              <w:rPr>
                <w:rFonts w:ascii="Times New Roman" w:eastAsia="Times New Roman" w:hAnsi="Times New Roman"/>
                <w:lang w:eastAsia="ru-RU"/>
              </w:rPr>
              <w:t xml:space="preserve">,0 </w:t>
            </w:r>
          </w:p>
        </w:tc>
        <w:tc>
          <w:tcPr>
            <w:tcW w:w="851" w:type="dxa"/>
            <w:tcBorders>
              <w:top w:val="nil"/>
              <w:left w:val="nil"/>
              <w:bottom w:val="single" w:sz="4" w:space="0" w:color="auto"/>
              <w:right w:val="single" w:sz="4" w:space="0" w:color="auto"/>
            </w:tcBorders>
            <w:shd w:val="clear" w:color="auto" w:fill="auto"/>
            <w:noWrap/>
            <w:vAlign w:val="bottom"/>
            <w:hideMark/>
          </w:tcPr>
          <w:p w14:paraId="001A656E" w14:textId="39CF0E39"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w:t>
            </w:r>
            <w:r w:rsidR="0015152F" w:rsidRPr="00A53AD7">
              <w:rPr>
                <w:rFonts w:ascii="Times New Roman" w:eastAsia="Times New Roman" w:hAnsi="Times New Roman"/>
                <w:lang w:eastAsia="ru-RU"/>
              </w:rPr>
              <w:t>00,0</w:t>
            </w:r>
            <w:r w:rsidRPr="00A53AD7">
              <w:rPr>
                <w:rFonts w:ascii="Times New Roman" w:eastAsia="Times New Roman" w:hAnsi="Times New Roman"/>
                <w:lang w:eastAsia="ru-RU"/>
              </w:rPr>
              <w:t xml:space="preserve"> </w:t>
            </w:r>
          </w:p>
        </w:tc>
        <w:tc>
          <w:tcPr>
            <w:tcW w:w="895" w:type="dxa"/>
            <w:tcBorders>
              <w:top w:val="nil"/>
              <w:left w:val="nil"/>
              <w:bottom w:val="single" w:sz="4" w:space="0" w:color="auto"/>
              <w:right w:val="single" w:sz="4" w:space="0" w:color="auto"/>
            </w:tcBorders>
            <w:shd w:val="clear" w:color="auto" w:fill="auto"/>
            <w:noWrap/>
            <w:vAlign w:val="bottom"/>
            <w:hideMark/>
          </w:tcPr>
          <w:p w14:paraId="0FB1D9D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-44,0 </w:t>
            </w:r>
          </w:p>
        </w:tc>
        <w:tc>
          <w:tcPr>
            <w:tcW w:w="948" w:type="dxa"/>
            <w:tcBorders>
              <w:top w:val="nil"/>
              <w:left w:val="nil"/>
              <w:bottom w:val="single" w:sz="4" w:space="0" w:color="auto"/>
              <w:right w:val="double" w:sz="6" w:space="0" w:color="auto"/>
            </w:tcBorders>
            <w:shd w:val="clear" w:color="auto" w:fill="auto"/>
            <w:noWrap/>
            <w:vAlign w:val="bottom"/>
            <w:hideMark/>
          </w:tcPr>
          <w:p w14:paraId="34FF05B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151,6 </w:t>
            </w:r>
          </w:p>
        </w:tc>
      </w:tr>
      <w:tr w:rsidR="00A53AD7" w:rsidRPr="00A53AD7" w14:paraId="5D81413B" w14:textId="77777777" w:rsidTr="00AD6942">
        <w:trPr>
          <w:trHeight w:hRule="exact" w:val="255"/>
        </w:trPr>
        <w:tc>
          <w:tcPr>
            <w:tcW w:w="2694" w:type="dxa"/>
            <w:tcBorders>
              <w:top w:val="nil"/>
              <w:left w:val="double" w:sz="6" w:space="0" w:color="auto"/>
              <w:bottom w:val="double" w:sz="6" w:space="0" w:color="auto"/>
              <w:right w:val="single" w:sz="4" w:space="0" w:color="auto"/>
            </w:tcBorders>
            <w:shd w:val="clear" w:color="auto" w:fill="auto"/>
            <w:vAlign w:val="bottom"/>
            <w:hideMark/>
          </w:tcPr>
          <w:p w14:paraId="3839BB2A"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992" w:type="dxa"/>
            <w:tcBorders>
              <w:top w:val="nil"/>
              <w:left w:val="nil"/>
              <w:bottom w:val="double" w:sz="6" w:space="0" w:color="auto"/>
              <w:right w:val="single" w:sz="4" w:space="0" w:color="auto"/>
            </w:tcBorders>
            <w:shd w:val="clear" w:color="auto" w:fill="auto"/>
            <w:vAlign w:val="bottom"/>
            <w:hideMark/>
          </w:tcPr>
          <w:p w14:paraId="19CE1A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4 184,5 </w:t>
            </w:r>
          </w:p>
        </w:tc>
        <w:tc>
          <w:tcPr>
            <w:tcW w:w="1082" w:type="dxa"/>
            <w:tcBorders>
              <w:top w:val="nil"/>
              <w:left w:val="nil"/>
              <w:bottom w:val="double" w:sz="6" w:space="0" w:color="auto"/>
              <w:right w:val="single" w:sz="4" w:space="0" w:color="auto"/>
            </w:tcBorders>
            <w:shd w:val="clear" w:color="auto" w:fill="auto"/>
            <w:vAlign w:val="bottom"/>
            <w:hideMark/>
          </w:tcPr>
          <w:p w14:paraId="12CEAA48" w14:textId="43FE8B31"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w:t>
            </w:r>
            <w:r w:rsidR="0015152F" w:rsidRPr="00A53AD7">
              <w:rPr>
                <w:rFonts w:ascii="Times New Roman" w:eastAsia="Times New Roman" w:hAnsi="Times New Roman"/>
                <w:lang w:eastAsia="ru-RU"/>
              </w:rPr>
              <w:t> </w:t>
            </w:r>
            <w:r w:rsidRPr="00A53AD7">
              <w:rPr>
                <w:rFonts w:ascii="Times New Roman" w:eastAsia="Times New Roman" w:hAnsi="Times New Roman"/>
                <w:lang w:eastAsia="ru-RU"/>
              </w:rPr>
              <w:t>53</w:t>
            </w:r>
            <w:r w:rsidR="0015152F" w:rsidRPr="00A53AD7">
              <w:rPr>
                <w:rFonts w:ascii="Times New Roman" w:eastAsia="Times New Roman" w:hAnsi="Times New Roman"/>
                <w:lang w:eastAsia="ru-RU"/>
              </w:rPr>
              <w:t>7,9</w:t>
            </w:r>
            <w:r w:rsidRPr="00A53AD7">
              <w:rPr>
                <w:rFonts w:ascii="Times New Roman" w:eastAsia="Times New Roman" w:hAnsi="Times New Roman"/>
                <w:lang w:eastAsia="ru-RU"/>
              </w:rPr>
              <w:t xml:space="preserve"> </w:t>
            </w:r>
          </w:p>
        </w:tc>
        <w:tc>
          <w:tcPr>
            <w:tcW w:w="903" w:type="dxa"/>
            <w:tcBorders>
              <w:top w:val="nil"/>
              <w:left w:val="nil"/>
              <w:bottom w:val="double" w:sz="6" w:space="0" w:color="auto"/>
              <w:right w:val="single" w:sz="4" w:space="0" w:color="auto"/>
            </w:tcBorders>
            <w:shd w:val="clear" w:color="auto" w:fill="auto"/>
            <w:vAlign w:val="bottom"/>
            <w:hideMark/>
          </w:tcPr>
          <w:p w14:paraId="1D674AA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4 838,3 </w:t>
            </w:r>
          </w:p>
        </w:tc>
        <w:tc>
          <w:tcPr>
            <w:tcW w:w="992" w:type="dxa"/>
            <w:tcBorders>
              <w:top w:val="nil"/>
              <w:left w:val="nil"/>
              <w:bottom w:val="double" w:sz="6" w:space="0" w:color="auto"/>
              <w:right w:val="single" w:sz="4" w:space="0" w:color="auto"/>
            </w:tcBorders>
            <w:shd w:val="clear" w:color="auto" w:fill="auto"/>
            <w:vAlign w:val="bottom"/>
            <w:hideMark/>
          </w:tcPr>
          <w:p w14:paraId="1EA78884" w14:textId="7380A92A" w:rsidR="00D01D81" w:rsidRPr="00A53AD7" w:rsidRDefault="00D01D81" w:rsidP="0015152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300,</w:t>
            </w:r>
            <w:r w:rsidR="0015152F" w:rsidRPr="00A53AD7">
              <w:rPr>
                <w:rFonts w:ascii="Times New Roman" w:eastAsia="Times New Roman" w:hAnsi="Times New Roman"/>
                <w:lang w:eastAsia="ru-RU"/>
              </w:rPr>
              <w:t>4</w:t>
            </w:r>
            <w:r w:rsidRPr="00A53AD7">
              <w:rPr>
                <w:rFonts w:ascii="Times New Roman" w:eastAsia="Times New Roman" w:hAnsi="Times New Roman"/>
                <w:lang w:eastAsia="ru-RU"/>
              </w:rPr>
              <w:t xml:space="preserve"> </w:t>
            </w:r>
          </w:p>
        </w:tc>
        <w:tc>
          <w:tcPr>
            <w:tcW w:w="851" w:type="dxa"/>
            <w:tcBorders>
              <w:top w:val="nil"/>
              <w:left w:val="nil"/>
              <w:bottom w:val="double" w:sz="6" w:space="0" w:color="auto"/>
              <w:right w:val="single" w:sz="4" w:space="0" w:color="auto"/>
            </w:tcBorders>
            <w:shd w:val="clear" w:color="auto" w:fill="auto"/>
            <w:noWrap/>
            <w:vAlign w:val="bottom"/>
            <w:hideMark/>
          </w:tcPr>
          <w:p w14:paraId="1C2CEB0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106,6 </w:t>
            </w:r>
          </w:p>
        </w:tc>
        <w:tc>
          <w:tcPr>
            <w:tcW w:w="895" w:type="dxa"/>
            <w:tcBorders>
              <w:top w:val="nil"/>
              <w:left w:val="nil"/>
              <w:bottom w:val="double" w:sz="6" w:space="0" w:color="auto"/>
              <w:right w:val="single" w:sz="4" w:space="0" w:color="auto"/>
            </w:tcBorders>
            <w:shd w:val="clear" w:color="auto" w:fill="auto"/>
            <w:noWrap/>
            <w:vAlign w:val="bottom"/>
            <w:hideMark/>
          </w:tcPr>
          <w:p w14:paraId="0240179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653,8 </w:t>
            </w:r>
          </w:p>
        </w:tc>
        <w:tc>
          <w:tcPr>
            <w:tcW w:w="948" w:type="dxa"/>
            <w:tcBorders>
              <w:top w:val="nil"/>
              <w:left w:val="nil"/>
              <w:bottom w:val="double" w:sz="6" w:space="0" w:color="auto"/>
              <w:right w:val="double" w:sz="6" w:space="0" w:color="auto"/>
            </w:tcBorders>
            <w:shd w:val="clear" w:color="auto" w:fill="auto"/>
            <w:noWrap/>
            <w:vAlign w:val="bottom"/>
            <w:hideMark/>
          </w:tcPr>
          <w:p w14:paraId="6FD51B3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115,6 </w:t>
            </w:r>
          </w:p>
        </w:tc>
      </w:tr>
    </w:tbl>
    <w:p w14:paraId="1B9E38DB" w14:textId="77777777" w:rsidR="00614091" w:rsidRPr="00A53AD7" w:rsidRDefault="00614091" w:rsidP="00D01D81">
      <w:pPr>
        <w:spacing w:after="0" w:line="240" w:lineRule="auto"/>
        <w:ind w:firstLine="851"/>
        <w:jc w:val="both"/>
        <w:rPr>
          <w:rFonts w:ascii="Times New Roman" w:hAnsi="Times New Roman"/>
          <w:sz w:val="28"/>
          <w:szCs w:val="28"/>
        </w:rPr>
      </w:pPr>
    </w:p>
    <w:p w14:paraId="42B04CC6" w14:textId="2237EBB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Первоначальный утвержденный план поступления акцизов по подакцизным товарам (продукции), производимым на территории Российской Федерации на 2019</w:t>
      </w:r>
      <w:r w:rsidR="00614091" w:rsidRPr="00A53AD7">
        <w:rPr>
          <w:rFonts w:ascii="Times New Roman" w:hAnsi="Times New Roman"/>
          <w:sz w:val="28"/>
          <w:szCs w:val="28"/>
        </w:rPr>
        <w:t xml:space="preserve"> год составлял 4 814,5 млн.руб.</w:t>
      </w:r>
    </w:p>
    <w:p w14:paraId="007E27B1" w14:textId="3A60DB60"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апреле отчетного года план поступления акцизов уменьшен на 316,5 млн.руб. или на 6,5</w:t>
      </w:r>
      <w:r w:rsidR="00614091" w:rsidRPr="00A53AD7">
        <w:rPr>
          <w:rFonts w:ascii="Times New Roman" w:hAnsi="Times New Roman"/>
          <w:sz w:val="28"/>
          <w:szCs w:val="28"/>
        </w:rPr>
        <w:t> %</w:t>
      </w:r>
      <w:r w:rsidRPr="00A53AD7">
        <w:rPr>
          <w:rFonts w:ascii="Times New Roman" w:hAnsi="Times New Roman"/>
          <w:sz w:val="28"/>
          <w:szCs w:val="28"/>
        </w:rPr>
        <w:t>. Уменьшение обусловлено уточнением объема поступлений администратором доходов – Межрегиональным операционным управлением Федерального казначейства, уточнением нормативов распределения налоговых доходов, установленных Федеральн</w:t>
      </w:r>
      <w:r w:rsidR="00EB6DA7" w:rsidRPr="00A53AD7">
        <w:rPr>
          <w:rFonts w:ascii="Times New Roman" w:hAnsi="Times New Roman"/>
          <w:sz w:val="28"/>
          <w:szCs w:val="28"/>
        </w:rPr>
        <w:t>ым</w:t>
      </w:r>
      <w:r w:rsidRPr="00A53AD7">
        <w:rPr>
          <w:rFonts w:ascii="Times New Roman" w:hAnsi="Times New Roman"/>
          <w:sz w:val="28"/>
          <w:szCs w:val="28"/>
        </w:rPr>
        <w:t xml:space="preserve"> закон</w:t>
      </w:r>
      <w:r w:rsidR="00EB6DA7" w:rsidRPr="00A53AD7">
        <w:rPr>
          <w:rFonts w:ascii="Times New Roman" w:hAnsi="Times New Roman"/>
          <w:sz w:val="28"/>
          <w:szCs w:val="28"/>
        </w:rPr>
        <w:t>ом</w:t>
      </w:r>
      <w:r w:rsidRPr="00A53AD7">
        <w:rPr>
          <w:rFonts w:ascii="Times New Roman" w:hAnsi="Times New Roman"/>
          <w:sz w:val="28"/>
          <w:szCs w:val="28"/>
        </w:rPr>
        <w:t xml:space="preserve"> «О федеральном бюджете на 2019 год и на плановый период 2020 и 2021 годов», что составляет 4 498,0 млн.руб. В июле отчетного года с учетом сложившейся динамики поступления план акцизов увеличен на 40,0 млн.руб. </w:t>
      </w:r>
      <w:r w:rsidR="00EB6DA7" w:rsidRPr="00A53AD7">
        <w:rPr>
          <w:rFonts w:ascii="Times New Roman" w:hAnsi="Times New Roman"/>
          <w:sz w:val="28"/>
          <w:szCs w:val="28"/>
        </w:rPr>
        <w:t>В</w:t>
      </w:r>
      <w:r w:rsidRPr="00A53AD7">
        <w:rPr>
          <w:rFonts w:ascii="Times New Roman" w:hAnsi="Times New Roman"/>
          <w:sz w:val="28"/>
          <w:szCs w:val="28"/>
        </w:rPr>
        <w:t xml:space="preserve"> результате </w:t>
      </w:r>
      <w:r w:rsidR="00EB6DA7" w:rsidRPr="00A53AD7">
        <w:rPr>
          <w:rFonts w:ascii="Times New Roman" w:hAnsi="Times New Roman"/>
          <w:sz w:val="28"/>
          <w:szCs w:val="28"/>
        </w:rPr>
        <w:t>прогноз утвержден в сумме</w:t>
      </w:r>
      <w:r w:rsidRPr="00A53AD7">
        <w:rPr>
          <w:rFonts w:ascii="Times New Roman" w:hAnsi="Times New Roman"/>
          <w:sz w:val="28"/>
          <w:szCs w:val="28"/>
        </w:rPr>
        <w:t xml:space="preserve"> 4 538,0 млн.руб.</w:t>
      </w:r>
    </w:p>
    <w:p w14:paraId="02C56A07" w14:textId="17DB7E94"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Акциз</w:t>
      </w:r>
      <w:r w:rsidR="00EB6DA7" w:rsidRPr="00A53AD7">
        <w:rPr>
          <w:rFonts w:ascii="Times New Roman" w:hAnsi="Times New Roman"/>
          <w:sz w:val="28"/>
          <w:szCs w:val="28"/>
        </w:rPr>
        <w:t>ы</w:t>
      </w:r>
      <w:r w:rsidRPr="00A53AD7">
        <w:rPr>
          <w:rFonts w:ascii="Times New Roman" w:hAnsi="Times New Roman"/>
          <w:sz w:val="28"/>
          <w:szCs w:val="28"/>
        </w:rPr>
        <w:t xml:space="preserve"> на крепкий алкоголь и пиво в 2019 году поступил</w:t>
      </w:r>
      <w:r w:rsidR="00EB6DA7" w:rsidRPr="00A53AD7">
        <w:rPr>
          <w:rFonts w:ascii="Times New Roman" w:hAnsi="Times New Roman"/>
          <w:sz w:val="28"/>
          <w:szCs w:val="28"/>
        </w:rPr>
        <w:t>и</w:t>
      </w:r>
      <w:r w:rsidRPr="00A53AD7">
        <w:rPr>
          <w:rFonts w:ascii="Times New Roman" w:hAnsi="Times New Roman"/>
          <w:sz w:val="28"/>
          <w:szCs w:val="28"/>
        </w:rPr>
        <w:t xml:space="preserve"> больше на </w:t>
      </w:r>
      <w:r w:rsidR="007A144D" w:rsidRPr="00A53AD7">
        <w:rPr>
          <w:rFonts w:ascii="Times New Roman" w:hAnsi="Times New Roman"/>
          <w:sz w:val="28"/>
          <w:szCs w:val="28"/>
        </w:rPr>
        <w:t>4,6</w:t>
      </w:r>
      <w:r w:rsidRPr="00A53AD7">
        <w:rPr>
          <w:rFonts w:ascii="Times New Roman" w:hAnsi="Times New Roman"/>
          <w:sz w:val="28"/>
          <w:szCs w:val="28"/>
        </w:rPr>
        <w:t xml:space="preserve"> млн.руб. или на </w:t>
      </w:r>
      <w:r w:rsidR="007A144D" w:rsidRPr="00A53AD7">
        <w:rPr>
          <w:rFonts w:ascii="Times New Roman" w:hAnsi="Times New Roman"/>
          <w:sz w:val="28"/>
          <w:szCs w:val="28"/>
        </w:rPr>
        <w:t>0</w:t>
      </w:r>
      <w:r w:rsidRPr="00A53AD7">
        <w:rPr>
          <w:rFonts w:ascii="Times New Roman" w:hAnsi="Times New Roman"/>
          <w:sz w:val="28"/>
          <w:szCs w:val="28"/>
        </w:rPr>
        <w:t>,3 % уточненных плановых бюджетных назначений на год.</w:t>
      </w:r>
    </w:p>
    <w:p w14:paraId="6A812EE9" w14:textId="29CB7DA8"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части поступления акцизов на алкогольную продукцию по итогам 2019 года установлена положительная динамика к показателям 2018 год</w:t>
      </w:r>
      <w:r w:rsidR="00EB6DA7" w:rsidRPr="00A53AD7">
        <w:rPr>
          <w:rFonts w:ascii="Times New Roman" w:hAnsi="Times New Roman"/>
          <w:sz w:val="28"/>
          <w:szCs w:val="28"/>
        </w:rPr>
        <w:t>а</w:t>
      </w:r>
      <w:r w:rsidRPr="00A53AD7">
        <w:rPr>
          <w:rFonts w:ascii="Times New Roman" w:hAnsi="Times New Roman"/>
          <w:sz w:val="28"/>
          <w:szCs w:val="28"/>
        </w:rPr>
        <w:t xml:space="preserve">, что представлено на рисунке </w:t>
      </w:r>
      <w:r w:rsidR="00F5645E" w:rsidRPr="00A53AD7">
        <w:rPr>
          <w:rFonts w:ascii="Times New Roman" w:hAnsi="Times New Roman"/>
          <w:sz w:val="28"/>
          <w:szCs w:val="28"/>
        </w:rPr>
        <w:t>39</w:t>
      </w:r>
      <w:r w:rsidRPr="00A53AD7">
        <w:rPr>
          <w:rFonts w:ascii="Times New Roman" w:hAnsi="Times New Roman"/>
          <w:sz w:val="28"/>
          <w:szCs w:val="28"/>
        </w:rPr>
        <w:t>:</w:t>
      </w:r>
    </w:p>
    <w:p w14:paraId="608B8536" w14:textId="77777777" w:rsidR="00F5645E" w:rsidRPr="00A53AD7" w:rsidRDefault="00F5645E" w:rsidP="00F564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установлен ежемесячный прирост, кроме снижения в июле. Среднемесячный прирост поступлений указанных акцизов за 2019 год составил 23,0 млн.руб.</w:t>
      </w:r>
    </w:p>
    <w:p w14:paraId="638241A1" w14:textId="77777777" w:rsidR="00F5645E" w:rsidRPr="00A53AD7" w:rsidRDefault="00F5645E" w:rsidP="00F564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Увеличение поступления акцизов на алкогольную продукцию обусловлено увеличением норматива зачисления в бюджеты субъектов РФ (с 50,0 % до 80,0 %) в целях частичной компенсации выпадающих доходов регионов в связи с исключением движимого имущества из налогооблагаемой базы по налогу на имущество организаций; применением методики централизованного отчисления по нормативам от общероссийских сборов акцизов на алкогольную продукцию, при этом уменьшен норматив распределения в части компенсации по акцизам регионам, где производится алкогольная продукция, с 1,6898 до 1,5561 процента.</w:t>
      </w:r>
    </w:p>
    <w:p w14:paraId="4E7990BA" w14:textId="77777777" w:rsidR="00F5645E" w:rsidRPr="00A53AD7" w:rsidRDefault="00F5645E" w:rsidP="00D01D81">
      <w:pPr>
        <w:spacing w:after="0" w:line="240" w:lineRule="auto"/>
        <w:ind w:firstLine="851"/>
        <w:jc w:val="both"/>
        <w:rPr>
          <w:rFonts w:ascii="Times New Roman" w:hAnsi="Times New Roman"/>
          <w:sz w:val="28"/>
          <w:szCs w:val="28"/>
        </w:rPr>
      </w:pPr>
    </w:p>
    <w:p w14:paraId="78F197F6" w14:textId="16854BCD" w:rsidR="00D01D81" w:rsidRPr="00A53AD7" w:rsidRDefault="00EB6DA7"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0FD6E55" wp14:editId="38F52489">
            <wp:extent cx="6091220" cy="2818968"/>
            <wp:effectExtent l="0" t="0" r="508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941" cy="2830409"/>
                    </a:xfrm>
                    <a:prstGeom prst="rect">
                      <a:avLst/>
                    </a:prstGeom>
                    <a:noFill/>
                  </pic:spPr>
                </pic:pic>
              </a:graphicData>
            </a:graphic>
          </wp:inline>
        </w:drawing>
      </w:r>
    </w:p>
    <w:p w14:paraId="675FBEDD" w14:textId="77777777" w:rsidR="00D01D81" w:rsidRPr="00A53AD7" w:rsidRDefault="00D01D81" w:rsidP="00EB6DA7">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39</w:t>
      </w:r>
      <w:r w:rsidRPr="00A53AD7">
        <w:rPr>
          <w:rFonts w:ascii="Times New Roman" w:hAnsi="Times New Roman"/>
          <w:sz w:val="24"/>
          <w:szCs w:val="24"/>
        </w:rPr>
        <w:fldChar w:fldCharType="end"/>
      </w:r>
      <w:r w:rsidRPr="00A53AD7">
        <w:rPr>
          <w:rFonts w:ascii="Times New Roman" w:hAnsi="Times New Roman"/>
          <w:sz w:val="24"/>
          <w:szCs w:val="24"/>
        </w:rPr>
        <w:t>. Поступление налога акцизов на алкоголь в областной бюджет за 2018 – 2019 годы, млн.руб.</w:t>
      </w:r>
    </w:p>
    <w:p w14:paraId="5F29FFEC" w14:textId="77777777" w:rsidR="00D01D81" w:rsidRPr="00A53AD7" w:rsidRDefault="00D01D81" w:rsidP="00D01D81">
      <w:pPr>
        <w:spacing w:after="0" w:line="240" w:lineRule="auto"/>
        <w:jc w:val="both"/>
        <w:rPr>
          <w:rFonts w:ascii="Times New Roman" w:hAnsi="Times New Roman"/>
          <w:sz w:val="24"/>
          <w:szCs w:val="24"/>
        </w:rPr>
      </w:pPr>
    </w:p>
    <w:p w14:paraId="440FB717" w14:textId="1E5AA68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данным статистической налоговой отчетности Отчет о задолженности по налогам и сборам ф. 4-НМ на 01.01.2020 задолженность по поступлению доходов от акцизов сложилась в сумме 6,2 млн.руб., в том числе недоимка – 5,8 млн.руб. Указанная задолженность несколько увеличилась к показателю на 01.01.2019 </w:t>
      </w:r>
      <w:r w:rsidR="00EB6DA7" w:rsidRPr="00A53AD7">
        <w:rPr>
          <w:rFonts w:ascii="Times New Roman" w:hAnsi="Times New Roman"/>
          <w:sz w:val="28"/>
          <w:szCs w:val="28"/>
        </w:rPr>
        <w:t>(</w:t>
      </w:r>
      <w:r w:rsidRPr="00A53AD7">
        <w:rPr>
          <w:rFonts w:ascii="Times New Roman" w:hAnsi="Times New Roman"/>
          <w:sz w:val="28"/>
          <w:szCs w:val="28"/>
        </w:rPr>
        <w:t>на 1,8 млн.руб.</w:t>
      </w:r>
      <w:r w:rsidR="00EB6DA7" w:rsidRPr="00A53AD7">
        <w:rPr>
          <w:rFonts w:ascii="Times New Roman" w:hAnsi="Times New Roman"/>
          <w:sz w:val="28"/>
          <w:szCs w:val="28"/>
        </w:rPr>
        <w:t>)</w:t>
      </w:r>
      <w:r w:rsidRPr="00A53AD7">
        <w:rPr>
          <w:rFonts w:ascii="Times New Roman" w:hAnsi="Times New Roman"/>
          <w:sz w:val="28"/>
          <w:szCs w:val="28"/>
        </w:rPr>
        <w:t xml:space="preserve">, недоимка </w:t>
      </w:r>
      <w:r w:rsidR="00EB6DA7" w:rsidRPr="00A53AD7">
        <w:rPr>
          <w:rFonts w:ascii="Times New Roman" w:hAnsi="Times New Roman"/>
          <w:sz w:val="28"/>
          <w:szCs w:val="28"/>
        </w:rPr>
        <w:t>увеличилась</w:t>
      </w:r>
      <w:r w:rsidRPr="00A53AD7">
        <w:rPr>
          <w:rFonts w:ascii="Times New Roman" w:hAnsi="Times New Roman"/>
          <w:sz w:val="28"/>
          <w:szCs w:val="28"/>
        </w:rPr>
        <w:t xml:space="preserve"> на 1,5 млн.руб.</w:t>
      </w:r>
    </w:p>
    <w:p w14:paraId="29EFD7AE" w14:textId="77777777" w:rsidR="00D01D81" w:rsidRPr="00A53AD7" w:rsidRDefault="00D01D81" w:rsidP="00D01D81">
      <w:pPr>
        <w:spacing w:after="0" w:line="240" w:lineRule="auto"/>
        <w:ind w:firstLine="851"/>
        <w:jc w:val="both"/>
        <w:rPr>
          <w:rFonts w:ascii="Times New Roman" w:hAnsi="Times New Roman"/>
          <w:sz w:val="28"/>
          <w:szCs w:val="28"/>
        </w:rPr>
      </w:pPr>
    </w:p>
    <w:p w14:paraId="7131FE62" w14:textId="326F540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Ежемесячное поступление акцизов на нефтепродукты за 2018 – 2019 год представлено на рисунке </w:t>
      </w:r>
      <w:r w:rsidR="00F5645E" w:rsidRPr="00A53AD7">
        <w:rPr>
          <w:rFonts w:ascii="Times New Roman" w:hAnsi="Times New Roman"/>
          <w:sz w:val="28"/>
          <w:szCs w:val="28"/>
        </w:rPr>
        <w:t>40</w:t>
      </w:r>
      <w:r w:rsidRPr="00A53AD7">
        <w:rPr>
          <w:rFonts w:ascii="Times New Roman" w:hAnsi="Times New Roman"/>
          <w:sz w:val="28"/>
          <w:szCs w:val="28"/>
        </w:rPr>
        <w:t>:</w:t>
      </w:r>
    </w:p>
    <w:p w14:paraId="25F8DD14" w14:textId="7F141073" w:rsidR="00D01D81" w:rsidRPr="00A53AD7" w:rsidRDefault="00EB6DA7"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4EBBE686" wp14:editId="038A1C4C">
            <wp:extent cx="6104931" cy="240690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39552" cy="2420553"/>
                    </a:xfrm>
                    <a:prstGeom prst="rect">
                      <a:avLst/>
                    </a:prstGeom>
                    <a:noFill/>
                  </pic:spPr>
                </pic:pic>
              </a:graphicData>
            </a:graphic>
          </wp:inline>
        </w:drawing>
      </w:r>
    </w:p>
    <w:p w14:paraId="57461C42" w14:textId="77777777"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40</w:t>
      </w:r>
      <w:r w:rsidRPr="00A53AD7">
        <w:rPr>
          <w:rFonts w:ascii="Times New Roman" w:hAnsi="Times New Roman"/>
          <w:sz w:val="24"/>
          <w:szCs w:val="24"/>
        </w:rPr>
        <w:fldChar w:fldCharType="end"/>
      </w:r>
      <w:r w:rsidRPr="00A53AD7">
        <w:rPr>
          <w:rFonts w:ascii="Times New Roman" w:hAnsi="Times New Roman"/>
          <w:sz w:val="24"/>
          <w:szCs w:val="24"/>
        </w:rPr>
        <w:t>. Ежемесячное поступление акцизов на нефтепродукты в областной бюджет за 2018 – 2019 годов, млн.руб.</w:t>
      </w:r>
    </w:p>
    <w:p w14:paraId="37B70192" w14:textId="77777777" w:rsidR="00D01D81" w:rsidRPr="00A53AD7" w:rsidRDefault="00D01D81" w:rsidP="00D01D81">
      <w:pPr>
        <w:spacing w:after="0" w:line="240" w:lineRule="auto"/>
        <w:ind w:firstLine="851"/>
        <w:jc w:val="both"/>
        <w:rPr>
          <w:rFonts w:ascii="Times New Roman" w:hAnsi="Times New Roman"/>
          <w:sz w:val="28"/>
          <w:szCs w:val="28"/>
        </w:rPr>
      </w:pPr>
    </w:p>
    <w:p w14:paraId="02C3FF9B" w14:textId="29F2FED5" w:rsidR="00D01D81" w:rsidRPr="00A53AD7" w:rsidRDefault="00EB6DA7"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Динамика</w:t>
      </w:r>
      <w:r w:rsidR="00D01D81" w:rsidRPr="00A53AD7">
        <w:rPr>
          <w:rFonts w:ascii="Times New Roman" w:hAnsi="Times New Roman"/>
          <w:sz w:val="28"/>
          <w:szCs w:val="28"/>
        </w:rPr>
        <w:t xml:space="preserve"> ежемесячного поступления акцизов на нефтепродукты в 2019 году к поступлению за 2018 год положительная, за исключением снижения поступления в марте. Среднемесячный прирост указанных акцизов за </w:t>
      </w:r>
      <w:r w:rsidRPr="00A53AD7">
        <w:rPr>
          <w:rFonts w:ascii="Times New Roman" w:hAnsi="Times New Roman"/>
          <w:sz w:val="28"/>
          <w:szCs w:val="28"/>
        </w:rPr>
        <w:t>2019 год составил 35,1 млн.руб.</w:t>
      </w:r>
    </w:p>
    <w:p w14:paraId="34318E50"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Всего за отчетный период поступило акцизов на нефтепродукты больше на 295,8 млн.руб. или на 10,2 % уточненных плановых бюджетных назначений на год и на 421,7 млн.руб. или на 15,2 % больше поступлений 2018 года.</w:t>
      </w:r>
    </w:p>
    <w:p w14:paraId="6C2D64F6"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Основными факторами, повлиявшими на рост указанных поступлений, стало увеличение ставок на автомобильный бензин в отчетном году (с 8 213 руб. до 12 314 руб.) и дизельное топливо (с 5 665 руб. до 8 541 руб.), увеличение норматива отчисления от общероссийских сборов в бюджеты регионов (с 57,1 % до 86,65 % в январе и 58,1 % в феврале-декабре).</w:t>
      </w:r>
    </w:p>
    <w:p w14:paraId="2487104E" w14:textId="77777777" w:rsidR="00D01D81" w:rsidRPr="00A53AD7" w:rsidRDefault="00D01D81" w:rsidP="00D01D81">
      <w:pPr>
        <w:spacing w:after="0" w:line="240" w:lineRule="auto"/>
        <w:ind w:firstLine="851"/>
        <w:jc w:val="both"/>
        <w:rPr>
          <w:rFonts w:ascii="Times New Roman" w:hAnsi="Times New Roman"/>
          <w:sz w:val="28"/>
          <w:szCs w:val="28"/>
        </w:rPr>
      </w:pPr>
    </w:p>
    <w:p w14:paraId="6C893934" w14:textId="70C6678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4. </w:t>
      </w:r>
      <w:r w:rsidRPr="00A53AD7">
        <w:rPr>
          <w:rFonts w:ascii="Times New Roman" w:hAnsi="Times New Roman"/>
          <w:sz w:val="28"/>
          <w:szCs w:val="28"/>
          <w:u w:val="single"/>
        </w:rPr>
        <w:t>Налоги на совокупный доход</w:t>
      </w:r>
      <w:r w:rsidRPr="00A53AD7">
        <w:rPr>
          <w:rFonts w:ascii="Times New Roman" w:hAnsi="Times New Roman"/>
          <w:sz w:val="28"/>
          <w:szCs w:val="28"/>
        </w:rPr>
        <w:t xml:space="preserve"> (налог, взимаемый в связи с применением упрощенной системы налогообложения) поступили в областной бюджет в сумме 3 712,9 млн.руб или 101,2 % к показателям кассового плана на 2019 год. Дополнительно получено </w:t>
      </w:r>
      <w:r w:rsidR="000232FE" w:rsidRPr="00A53AD7">
        <w:rPr>
          <w:rFonts w:ascii="Times New Roman" w:hAnsi="Times New Roman"/>
          <w:sz w:val="28"/>
          <w:szCs w:val="28"/>
        </w:rPr>
        <w:t>в бюджет</w:t>
      </w:r>
      <w:r w:rsidRPr="00A53AD7">
        <w:rPr>
          <w:rFonts w:ascii="Times New Roman" w:hAnsi="Times New Roman"/>
          <w:sz w:val="28"/>
          <w:szCs w:val="28"/>
        </w:rPr>
        <w:t xml:space="preserve"> 42,9 млн.руб. По сравнению с 2018 годом поступление налога увеличилось на 464,8 млн.руб. или на 14,3 %. Дополнительное поступление налогов на совокупный доход в областной бюджет обусловлено увеличением доходов по расчетам за 2018 год и сумм авансовых платежей 2019 года, а также уплатой налога в связи с началом деятельности новых плательщиков, применяющих упро</w:t>
      </w:r>
      <w:r w:rsidR="000232FE" w:rsidRPr="00A53AD7">
        <w:rPr>
          <w:rFonts w:ascii="Times New Roman" w:hAnsi="Times New Roman"/>
          <w:sz w:val="28"/>
          <w:szCs w:val="28"/>
        </w:rPr>
        <w:t>щенную систему налогообложения.</w:t>
      </w:r>
    </w:p>
    <w:p w14:paraId="14CC9378" w14:textId="77777777" w:rsidR="00D01D81" w:rsidRPr="00A53AD7" w:rsidRDefault="00D01D81" w:rsidP="00D01D81">
      <w:pPr>
        <w:spacing w:after="0" w:line="240" w:lineRule="auto"/>
        <w:ind w:firstLine="851"/>
        <w:jc w:val="both"/>
        <w:rPr>
          <w:rFonts w:ascii="Times New Roman" w:hAnsi="Times New Roman"/>
          <w:sz w:val="28"/>
          <w:szCs w:val="28"/>
        </w:rPr>
      </w:pPr>
    </w:p>
    <w:p w14:paraId="07420D02" w14:textId="32D922ED"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5</w:t>
      </w:r>
      <w:r w:rsidRPr="00A53AD7">
        <w:rPr>
          <w:rFonts w:ascii="Times New Roman" w:hAnsi="Times New Roman"/>
          <w:sz w:val="28"/>
          <w:szCs w:val="28"/>
          <w:u w:val="single"/>
        </w:rPr>
        <w:t>. Налоги на имущество</w:t>
      </w:r>
      <w:r w:rsidRPr="00A53AD7">
        <w:rPr>
          <w:rFonts w:ascii="Times New Roman" w:hAnsi="Times New Roman"/>
          <w:sz w:val="28"/>
          <w:szCs w:val="28"/>
        </w:rPr>
        <w:t xml:space="preserve"> поступили в областной бюджет в сумме 9 269,6 млн.руб., что меньше на 4,8 млн.руб. или 0,1 % утвержденных бюджетных назначений. Указанное снижение обусловлено исключением движимого имущества из налогооблагаемой базы в соответствии с Ф</w:t>
      </w:r>
      <w:r w:rsidR="002E5A88" w:rsidRPr="00A53AD7">
        <w:rPr>
          <w:rFonts w:ascii="Times New Roman" w:hAnsi="Times New Roman"/>
          <w:sz w:val="28"/>
          <w:szCs w:val="28"/>
        </w:rPr>
        <w:t>едеральным законом</w:t>
      </w:r>
      <w:r w:rsidRPr="00A53AD7">
        <w:rPr>
          <w:rFonts w:ascii="Times New Roman" w:hAnsi="Times New Roman"/>
          <w:sz w:val="28"/>
          <w:szCs w:val="28"/>
        </w:rPr>
        <w:t xml:space="preserve"> от 03.08.2018 № 302-ФЗ. Объем указанных поступлений в отчетном году на 65,4 млн.руб. или 0,7 % превышает соответствующие показатели 2018 года.</w:t>
      </w:r>
    </w:p>
    <w:p w14:paraId="0BF9B1DD" w14:textId="42823FB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структуре поступивших в областной бюджет налоговых и неналоговых доходов удельный вес налогов </w:t>
      </w:r>
      <w:r w:rsidR="002E5A88" w:rsidRPr="00A53AD7">
        <w:rPr>
          <w:rFonts w:ascii="Times New Roman" w:hAnsi="Times New Roman"/>
          <w:sz w:val="28"/>
          <w:szCs w:val="28"/>
        </w:rPr>
        <w:t>на имущество составляет 14,6 %.</w:t>
      </w:r>
    </w:p>
    <w:p w14:paraId="05291E3E" w14:textId="5DCF59C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а</w:t>
      </w:r>
      <w:r w:rsidRPr="00A53AD7">
        <w:rPr>
          <w:rFonts w:ascii="Times New Roman" w:hAnsi="Times New Roman"/>
          <w:sz w:val="28"/>
          <w:szCs w:val="28"/>
          <w:u w:val="single"/>
        </w:rPr>
        <w:t>) Налог на имущество организаций</w:t>
      </w:r>
      <w:r w:rsidRPr="00A53AD7">
        <w:rPr>
          <w:rFonts w:ascii="Times New Roman" w:hAnsi="Times New Roman"/>
          <w:sz w:val="28"/>
          <w:szCs w:val="28"/>
        </w:rPr>
        <w:t xml:space="preserve"> поступил в сумме 8 025,6 млн.руб., что на 4,4 млн.руб. или на 0,1 % меньше показателей кассового плана. Поступление налога на имущество организаций в отчетном году практически соответствует поступлению прошлого года, с незначительным превышением на 11,5 млн.руб. или 0,1 % соответствующих поступлени</w:t>
      </w:r>
      <w:r w:rsidR="002E5A88" w:rsidRPr="00A53AD7">
        <w:rPr>
          <w:rFonts w:ascii="Times New Roman" w:hAnsi="Times New Roman"/>
          <w:sz w:val="28"/>
          <w:szCs w:val="28"/>
        </w:rPr>
        <w:t>й 2018 года (8 014,2 млн.руб.).</w:t>
      </w:r>
    </w:p>
    <w:p w14:paraId="1579D16B" w14:textId="0999EC28"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Отчета по ф. 4-НМ по Архангельской области (без НАО) задолженность по налогу на имущество организаций на 01.01.2020 составила 35,1 млн.руб. (в том числе недоимка – 11,0 млн.руб.) и по сравнению с показателем на 01.01.2019 (61,7 млн.руб., в том числе недоимка – 32,2 млн.руб.) указанная задолженность уменьшилась на 26,</w:t>
      </w:r>
      <w:r w:rsidR="00515C54" w:rsidRPr="00A53AD7">
        <w:rPr>
          <w:rFonts w:ascii="Times New Roman" w:hAnsi="Times New Roman"/>
          <w:sz w:val="28"/>
          <w:szCs w:val="28"/>
        </w:rPr>
        <w:t>6</w:t>
      </w:r>
      <w:r w:rsidRPr="00A53AD7">
        <w:rPr>
          <w:rFonts w:ascii="Times New Roman" w:hAnsi="Times New Roman"/>
          <w:sz w:val="28"/>
          <w:szCs w:val="28"/>
        </w:rPr>
        <w:t xml:space="preserve"> млн.руб. или на 43,2 %.</w:t>
      </w:r>
    </w:p>
    <w:p w14:paraId="7D63C5BE"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 </w:t>
      </w:r>
      <w:r w:rsidRPr="00A53AD7">
        <w:rPr>
          <w:rFonts w:ascii="Times New Roman" w:hAnsi="Times New Roman"/>
          <w:sz w:val="28"/>
          <w:szCs w:val="28"/>
          <w:u w:val="single"/>
        </w:rPr>
        <w:t>Транспортный налог</w:t>
      </w:r>
      <w:r w:rsidRPr="00A53AD7">
        <w:rPr>
          <w:rFonts w:ascii="Times New Roman" w:hAnsi="Times New Roman"/>
          <w:sz w:val="28"/>
          <w:szCs w:val="28"/>
        </w:rPr>
        <w:t xml:space="preserve"> поступил в сумме 1 241,0 млн.руб., что практически соответствует показателям кассового плана на 2019 год, в том числе: от организаций – 247,8 млн.руб., от физических лиц – 993,2 млн.руб. Поступление транспортного налога в отчетном году превышает поступление прошлого года на 53,7 млн.руб. или 4,5 %.</w:t>
      </w:r>
    </w:p>
    <w:p w14:paraId="77A5FBFC" w14:textId="54CFC6DA"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Ежемесячное поступление транспортного налога за 2018 и 2019 годы представлено на рисунке </w:t>
      </w:r>
      <w:r w:rsidR="00F5645E" w:rsidRPr="00A53AD7">
        <w:rPr>
          <w:rFonts w:ascii="Times New Roman" w:hAnsi="Times New Roman"/>
          <w:sz w:val="28"/>
          <w:szCs w:val="28"/>
        </w:rPr>
        <w:t>41</w:t>
      </w:r>
      <w:r w:rsidRPr="00A53AD7">
        <w:rPr>
          <w:rFonts w:ascii="Times New Roman" w:hAnsi="Times New Roman"/>
          <w:sz w:val="28"/>
          <w:szCs w:val="28"/>
        </w:rPr>
        <w:t>.</w:t>
      </w:r>
    </w:p>
    <w:p w14:paraId="35C0FD64" w14:textId="197D60A6" w:rsidR="00D01D81" w:rsidRPr="00A53AD7" w:rsidRDefault="002E5A88"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FEDC05E" wp14:editId="3A6DE93C">
            <wp:extent cx="6062093" cy="2699192"/>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0409" cy="2711800"/>
                    </a:xfrm>
                    <a:prstGeom prst="rect">
                      <a:avLst/>
                    </a:prstGeom>
                    <a:noFill/>
                  </pic:spPr>
                </pic:pic>
              </a:graphicData>
            </a:graphic>
          </wp:inline>
        </w:drawing>
      </w:r>
    </w:p>
    <w:p w14:paraId="47C5AF22" w14:textId="77777777"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41</w:t>
      </w:r>
      <w:r w:rsidRPr="00A53AD7">
        <w:rPr>
          <w:rFonts w:ascii="Times New Roman" w:hAnsi="Times New Roman"/>
          <w:sz w:val="24"/>
          <w:szCs w:val="24"/>
        </w:rPr>
        <w:fldChar w:fldCharType="end"/>
      </w:r>
      <w:r w:rsidRPr="00A53AD7">
        <w:rPr>
          <w:rFonts w:ascii="Times New Roman" w:hAnsi="Times New Roman"/>
          <w:sz w:val="24"/>
          <w:szCs w:val="24"/>
        </w:rPr>
        <w:t>. Поступление транспортного налога в областной бюджет за 2018 – 2019 годы, млн.руб.</w:t>
      </w:r>
    </w:p>
    <w:p w14:paraId="05DC81F9" w14:textId="77777777" w:rsidR="00D01D81" w:rsidRPr="00A53AD7" w:rsidRDefault="00D01D81" w:rsidP="00D01D81">
      <w:pPr>
        <w:spacing w:after="0" w:line="240" w:lineRule="auto"/>
        <w:ind w:firstLine="851"/>
        <w:jc w:val="both"/>
        <w:rPr>
          <w:rFonts w:ascii="Times New Roman" w:hAnsi="Times New Roman"/>
          <w:sz w:val="28"/>
          <w:szCs w:val="28"/>
        </w:rPr>
      </w:pPr>
    </w:p>
    <w:p w14:paraId="7772E008" w14:textId="2AC7E2B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Отмечается рост поступлений транспортного налога в областной бюджет в январе, феврале, марте, апреле, а также в июле, августе, сентябре к аналогичным поступлениям 2018 года, а в мае, июне, октябре, ноябре, декабре – с</w:t>
      </w:r>
      <w:r w:rsidR="0065001C" w:rsidRPr="00A53AD7">
        <w:rPr>
          <w:rFonts w:ascii="Times New Roman" w:hAnsi="Times New Roman"/>
          <w:sz w:val="28"/>
          <w:szCs w:val="28"/>
        </w:rPr>
        <w:t>нижение.</w:t>
      </w:r>
    </w:p>
    <w:p w14:paraId="0D09840D" w14:textId="5B4AE1C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транспортного налога за отчетный период, обеспечено платежами от юридических лиц (за 4 квартал 2018 года и 1−3 кварталы 2019 года) и поступлением платежей от физических лиц (по расчетам за 2018 год), а также от физических лиц в порядке погашения задолженности.</w:t>
      </w:r>
    </w:p>
    <w:p w14:paraId="411BA4FD" w14:textId="217C9DC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Положительная динамика поступления транспортного налога в областной бюджет также обусловлена увеличением количества транспортных средств. По данным «Отчета о налоговой базе и структуре начислений по транспортному налогу за 2018 год» (форма № 5-ТН) к 2017 году установлен рост количества транспортных средств, в отношении которых исчислен налог к уплате: физических лиц на 8 151 ед., а в отношении организаций установлено снижение количества транспортных средств, в отношении которых исчислен налог к уплате, на 302 ед.</w:t>
      </w:r>
    </w:p>
    <w:p w14:paraId="5C955593" w14:textId="44BCFB6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транспортного налога сложилось из платежей:</w:t>
      </w:r>
    </w:p>
    <w:p w14:paraId="6800D62C"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u w:val="single"/>
        </w:rPr>
        <w:t>от юридических лиц</w:t>
      </w:r>
      <w:r w:rsidRPr="00A53AD7">
        <w:rPr>
          <w:rFonts w:ascii="Times New Roman" w:hAnsi="Times New Roman"/>
          <w:sz w:val="28"/>
          <w:szCs w:val="28"/>
        </w:rPr>
        <w:t xml:space="preserve"> – владельцев автотранспортных средств в сумме 247,8 млн.руб. или на 111,3 % (+25,1 млн.руб.) к показателям кассового плана за отчетный период, превысив поступление за 2018 года на 17,7 млн.руб. (+7,7 %).</w:t>
      </w:r>
    </w:p>
    <w:p w14:paraId="032533CC" w14:textId="68D5130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транспортного налога от юридических лиц в областной бюджет за 2018 - 2019 годы представлено на рисунке </w:t>
      </w:r>
      <w:r w:rsidR="00F5645E" w:rsidRPr="00A53AD7">
        <w:rPr>
          <w:rFonts w:ascii="Times New Roman" w:hAnsi="Times New Roman"/>
          <w:sz w:val="28"/>
          <w:szCs w:val="28"/>
        </w:rPr>
        <w:t>42</w:t>
      </w:r>
      <w:r w:rsidRPr="00A53AD7">
        <w:rPr>
          <w:rFonts w:ascii="Times New Roman" w:hAnsi="Times New Roman"/>
          <w:sz w:val="28"/>
          <w:szCs w:val="28"/>
        </w:rPr>
        <w:t>:</w:t>
      </w:r>
    </w:p>
    <w:p w14:paraId="6456CCBF" w14:textId="3A178202" w:rsidR="00D01D81" w:rsidRPr="00A53AD7" w:rsidRDefault="008F20C3"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225D3D11" wp14:editId="7383E7E3">
            <wp:extent cx="6060298" cy="3397569"/>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66014" cy="3400773"/>
                    </a:xfrm>
                    <a:prstGeom prst="rect">
                      <a:avLst/>
                    </a:prstGeom>
                    <a:noFill/>
                  </pic:spPr>
                </pic:pic>
              </a:graphicData>
            </a:graphic>
          </wp:inline>
        </w:drawing>
      </w:r>
    </w:p>
    <w:p w14:paraId="70F9B478" w14:textId="77777777" w:rsidR="00D01D81" w:rsidRPr="00A53AD7" w:rsidRDefault="00D01D81" w:rsidP="00D01D81">
      <w:pPr>
        <w:spacing w:after="0" w:line="240" w:lineRule="auto"/>
        <w:jc w:val="both"/>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42</w:t>
      </w:r>
      <w:r w:rsidRPr="00A53AD7">
        <w:rPr>
          <w:rFonts w:ascii="Times New Roman" w:hAnsi="Times New Roman"/>
          <w:sz w:val="24"/>
          <w:szCs w:val="24"/>
        </w:rPr>
        <w:fldChar w:fldCharType="end"/>
      </w:r>
      <w:r w:rsidRPr="00A53AD7">
        <w:rPr>
          <w:rFonts w:ascii="Times New Roman" w:hAnsi="Times New Roman"/>
          <w:sz w:val="24"/>
          <w:szCs w:val="24"/>
        </w:rPr>
        <w:t>. Поступление транспортного налога от юридических лиц в областной бюджет за 2018 – 2019 годы, млн.руб.</w:t>
      </w:r>
    </w:p>
    <w:p w14:paraId="368D4DD0" w14:textId="77777777" w:rsidR="00D01D81" w:rsidRPr="00A53AD7" w:rsidRDefault="00D01D81" w:rsidP="00D01D81">
      <w:pPr>
        <w:spacing w:after="0" w:line="240" w:lineRule="auto"/>
        <w:ind w:firstLine="851"/>
        <w:jc w:val="both"/>
        <w:rPr>
          <w:rFonts w:ascii="Times New Roman" w:hAnsi="Times New Roman"/>
          <w:sz w:val="28"/>
          <w:szCs w:val="28"/>
        </w:rPr>
      </w:pPr>
    </w:p>
    <w:p w14:paraId="65EF05E4"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Динамика ежемесячных поступлений в отчетном периоде к аналогичным периодам 2018 года имеет тенденцию незначительного роста, кроме снижения в мае, июне, сентябре отчетного года. Среднемесячный прирост поступлений транспортного налога юридических лиц за 2019 год составил 1,5 млн.руб.;</w:t>
      </w:r>
    </w:p>
    <w:p w14:paraId="1DC1FA29"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u w:val="single"/>
        </w:rPr>
        <w:t>от физических лиц</w:t>
      </w:r>
      <w:r w:rsidRPr="00A53AD7">
        <w:rPr>
          <w:rFonts w:ascii="Times New Roman" w:hAnsi="Times New Roman"/>
          <w:sz w:val="28"/>
          <w:szCs w:val="28"/>
        </w:rPr>
        <w:t xml:space="preserve"> в сумме 993,2 млн.руб., что меньше на 25,0 млн.руб. или 2,5 % показателей кассового плана за отчетный период, но увеличившись к поступлениям за 2018 года на 36,0 млн.руб. или на 3,8 %.</w:t>
      </w:r>
    </w:p>
    <w:p w14:paraId="35A6B3D0" w14:textId="3EE1EA6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транспортного налога от физических лиц в областной бюджет за 2018 – 2019 годы представлено на рисунке </w:t>
      </w:r>
      <w:r w:rsidR="00D72ED2" w:rsidRPr="00A53AD7">
        <w:rPr>
          <w:rFonts w:ascii="Times New Roman" w:hAnsi="Times New Roman"/>
          <w:sz w:val="28"/>
          <w:szCs w:val="28"/>
        </w:rPr>
        <w:t>43</w:t>
      </w:r>
      <w:r w:rsidRPr="00A53AD7">
        <w:rPr>
          <w:rFonts w:ascii="Times New Roman" w:hAnsi="Times New Roman"/>
          <w:sz w:val="28"/>
          <w:szCs w:val="28"/>
        </w:rPr>
        <w:t>.</w:t>
      </w:r>
    </w:p>
    <w:p w14:paraId="33F417F0" w14:textId="77777777" w:rsidR="00D72ED2" w:rsidRPr="00A53AD7" w:rsidRDefault="00D72ED2" w:rsidP="00D72ED2">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Динамика ежемесячных поступлений в отчетном периоде к аналогичным периодам 2018 года характеризуется приростом поступлений в январе, марте, июле, августе, сентябре и снижением в остальных месяцах отчетного года. Среднемесячный прирост поступлений транспортного налога с физических лиц за 2019 год составил 3,0 млн.руб.</w:t>
      </w:r>
    </w:p>
    <w:p w14:paraId="36471E3E" w14:textId="77777777" w:rsidR="00D72ED2" w:rsidRPr="00A53AD7" w:rsidRDefault="00D72ED2" w:rsidP="00D72ED2">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четвертом квартале отчетного периода поступило в областной бюджет 64,6 % от годового поступления транспортного налога от физических лиц или 642,0 млн.руб., что обусловлено сроком уплаты налога в соответствии с действующим законодательством, на основании полученного </w:t>
      </w:r>
      <w:r w:rsidRPr="00A53AD7">
        <w:rPr>
          <w:rFonts w:ascii="Times New Roman" w:hAnsi="Times New Roman"/>
          <w:sz w:val="28"/>
          <w:szCs w:val="28"/>
          <w:lang w:eastAsia="ru-RU"/>
        </w:rPr>
        <w:t>налогового уведомления, направляемого налоговым органом.</w:t>
      </w:r>
    </w:p>
    <w:p w14:paraId="57996CE9" w14:textId="77777777" w:rsidR="00D72ED2" w:rsidRPr="00A53AD7" w:rsidRDefault="00D72ED2" w:rsidP="00D01D81">
      <w:pPr>
        <w:spacing w:after="0" w:line="240" w:lineRule="auto"/>
        <w:ind w:firstLine="851"/>
        <w:jc w:val="both"/>
        <w:rPr>
          <w:rFonts w:ascii="Times New Roman" w:hAnsi="Times New Roman"/>
          <w:sz w:val="28"/>
          <w:szCs w:val="28"/>
        </w:rPr>
      </w:pPr>
    </w:p>
    <w:p w14:paraId="574CFFE3" w14:textId="395FC1D8" w:rsidR="00D01D81" w:rsidRPr="00A53AD7" w:rsidRDefault="008F20C3" w:rsidP="00D01D81">
      <w:pPr>
        <w:spacing w:after="0" w:line="240" w:lineRule="auto"/>
        <w:jc w:val="both"/>
        <w:rPr>
          <w:rFonts w:ascii="Times New Roman" w:hAnsi="Times New Roman"/>
          <w:sz w:val="24"/>
          <w:szCs w:val="24"/>
        </w:rPr>
      </w:pPr>
      <w:r w:rsidRPr="00A53AD7">
        <w:rPr>
          <w:rFonts w:ascii="Times New Roman" w:hAnsi="Times New Roman"/>
          <w:noProof/>
          <w:sz w:val="24"/>
          <w:szCs w:val="24"/>
          <w:lang w:eastAsia="ru-RU"/>
        </w:rPr>
        <w:drawing>
          <wp:inline distT="0" distB="0" distL="0" distR="0" wp14:anchorId="55BB15D1" wp14:editId="37E6D843">
            <wp:extent cx="6118898" cy="3217901"/>
            <wp:effectExtent l="0" t="0" r="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34854" cy="3226292"/>
                    </a:xfrm>
                    <a:prstGeom prst="rect">
                      <a:avLst/>
                    </a:prstGeom>
                    <a:noFill/>
                  </pic:spPr>
                </pic:pic>
              </a:graphicData>
            </a:graphic>
          </wp:inline>
        </w:drawing>
      </w:r>
      <w:r w:rsidR="00D01D81" w:rsidRPr="00A53AD7">
        <w:rPr>
          <w:rFonts w:ascii="Times New Roman" w:hAnsi="Times New Roman"/>
          <w:sz w:val="24"/>
          <w:szCs w:val="24"/>
        </w:rPr>
        <w:t xml:space="preserve">Рисунок </w:t>
      </w:r>
      <w:r w:rsidR="00D01D81" w:rsidRPr="00A53AD7">
        <w:rPr>
          <w:rFonts w:ascii="Times New Roman" w:hAnsi="Times New Roman"/>
          <w:sz w:val="24"/>
          <w:szCs w:val="24"/>
        </w:rPr>
        <w:fldChar w:fldCharType="begin"/>
      </w:r>
      <w:r w:rsidR="00D01D81" w:rsidRPr="00A53AD7">
        <w:rPr>
          <w:rFonts w:ascii="Times New Roman" w:hAnsi="Times New Roman"/>
          <w:sz w:val="24"/>
          <w:szCs w:val="24"/>
        </w:rPr>
        <w:instrText xml:space="preserve"> SEQ Рисунок \* ARABIC </w:instrText>
      </w:r>
      <w:r w:rsidR="00D01D81" w:rsidRPr="00A53AD7">
        <w:rPr>
          <w:rFonts w:ascii="Times New Roman" w:hAnsi="Times New Roman"/>
          <w:sz w:val="24"/>
          <w:szCs w:val="24"/>
        </w:rPr>
        <w:fldChar w:fldCharType="separate"/>
      </w:r>
      <w:r w:rsidR="005351E5" w:rsidRPr="00A53AD7">
        <w:rPr>
          <w:rFonts w:ascii="Times New Roman" w:hAnsi="Times New Roman"/>
          <w:noProof/>
          <w:sz w:val="24"/>
          <w:szCs w:val="24"/>
        </w:rPr>
        <w:t>43</w:t>
      </w:r>
      <w:r w:rsidR="00D01D81" w:rsidRPr="00A53AD7">
        <w:rPr>
          <w:rFonts w:ascii="Times New Roman" w:hAnsi="Times New Roman"/>
          <w:sz w:val="24"/>
          <w:szCs w:val="24"/>
        </w:rPr>
        <w:fldChar w:fldCharType="end"/>
      </w:r>
      <w:r w:rsidR="00D01D81" w:rsidRPr="00A53AD7">
        <w:rPr>
          <w:rFonts w:ascii="Times New Roman" w:hAnsi="Times New Roman"/>
          <w:sz w:val="24"/>
          <w:szCs w:val="24"/>
        </w:rPr>
        <w:t>. Поступление транспортного налога от физических лиц в областной бюджет за 2018 – 2019 годы, млн.руб.</w:t>
      </w:r>
    </w:p>
    <w:p w14:paraId="400192B0" w14:textId="77777777" w:rsidR="00D01D81" w:rsidRPr="00A53AD7" w:rsidRDefault="00D01D81" w:rsidP="00D01D81">
      <w:pPr>
        <w:spacing w:after="0" w:line="240" w:lineRule="auto"/>
        <w:ind w:firstLine="851"/>
        <w:jc w:val="both"/>
        <w:rPr>
          <w:rFonts w:ascii="Times New Roman" w:hAnsi="Times New Roman"/>
          <w:sz w:val="28"/>
          <w:szCs w:val="28"/>
        </w:rPr>
      </w:pPr>
    </w:p>
    <w:p w14:paraId="7BAC6129" w14:textId="7BB705C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Отчету о задолженности по налогам и сборам ф. 4-НМ по Архангельской области (без учета НАО) в целом задолженность по транспортному налогу на 01.01.2020 составляет 518,8 млн.руб., в том числе: физических лиц – 507,2 млн.руб. и организаций – 11,6 млн.руб. Задолженность по транспортному налогу в целом за 2019 год к аналогичным показателям 2018 года увеличилась на 16,0 млн.руб. (+3,2 %), из них: задолженность по транспортному налогу с физических лиц увеличилась на 17,4 млн.руб. или на 3,6 %, задолженность организаций </w:t>
      </w:r>
      <w:r w:rsidR="007113D0" w:rsidRPr="00A53AD7">
        <w:rPr>
          <w:rFonts w:ascii="Times New Roman" w:hAnsi="Times New Roman"/>
          <w:sz w:val="28"/>
          <w:szCs w:val="28"/>
        </w:rPr>
        <w:t>сократилась</w:t>
      </w:r>
      <w:r w:rsidRPr="00A53AD7">
        <w:rPr>
          <w:rFonts w:ascii="Times New Roman" w:hAnsi="Times New Roman"/>
          <w:sz w:val="28"/>
          <w:szCs w:val="28"/>
        </w:rPr>
        <w:t xml:space="preserve"> на 1,4 млн.руб. или на 10,8 %.</w:t>
      </w:r>
    </w:p>
    <w:p w14:paraId="1F186EFD"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общей сумме задолженности по транспортному налогу по состоянию на 01.01.2020 недоимка составляет 382,9 млн.руб. или 73,8 %, в том числе:</w:t>
      </w:r>
    </w:p>
    <w:p w14:paraId="07669497"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физических лиц – 377,9 млн.руб., при этом снизившись к показателям недоимки на 01.01.2019 на 30,9 млн.руб. или на 7,6 %;</w:t>
      </w:r>
    </w:p>
    <w:p w14:paraId="055F0C92"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юридических лиц – 4,9 млн.руб., при этом снизившись к показателям недоимки на 01.01.2019 на 0,7 млн.руб. или на 12,5 %.</w:t>
      </w:r>
    </w:p>
    <w:p w14:paraId="2A71FADB" w14:textId="7F7EAAC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Собираемость задолженности по транспортному налогу физических лиц обеспечива</w:t>
      </w:r>
      <w:r w:rsidR="007113D0" w:rsidRPr="00A53AD7">
        <w:rPr>
          <w:rFonts w:ascii="Times New Roman" w:hAnsi="Times New Roman"/>
          <w:sz w:val="28"/>
          <w:szCs w:val="28"/>
        </w:rPr>
        <w:t>ю</w:t>
      </w:r>
      <w:r w:rsidRPr="00A53AD7">
        <w:rPr>
          <w:rFonts w:ascii="Times New Roman" w:hAnsi="Times New Roman"/>
          <w:sz w:val="28"/>
          <w:szCs w:val="28"/>
        </w:rPr>
        <w:t>т налогов</w:t>
      </w:r>
      <w:r w:rsidR="007113D0" w:rsidRPr="00A53AD7">
        <w:rPr>
          <w:rFonts w:ascii="Times New Roman" w:hAnsi="Times New Roman"/>
          <w:sz w:val="28"/>
          <w:szCs w:val="28"/>
        </w:rPr>
        <w:t>ые</w:t>
      </w:r>
      <w:r w:rsidRPr="00A53AD7">
        <w:rPr>
          <w:rFonts w:ascii="Times New Roman" w:hAnsi="Times New Roman"/>
          <w:sz w:val="28"/>
          <w:szCs w:val="28"/>
        </w:rPr>
        <w:t>, осуществляя рейды совместно с ГИБДД и судебными приставами.</w:t>
      </w:r>
    </w:p>
    <w:p w14:paraId="71B177C6" w14:textId="77777777" w:rsidR="00D01D81" w:rsidRPr="00A53AD7" w:rsidRDefault="00D01D81" w:rsidP="00D01D81">
      <w:pPr>
        <w:spacing w:after="0" w:line="240" w:lineRule="auto"/>
        <w:ind w:firstLine="851"/>
        <w:jc w:val="both"/>
        <w:rPr>
          <w:rFonts w:ascii="Times New Roman" w:hAnsi="Times New Roman"/>
          <w:sz w:val="28"/>
          <w:szCs w:val="28"/>
        </w:rPr>
      </w:pPr>
    </w:p>
    <w:p w14:paraId="404CED6D" w14:textId="509048E4"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6. За отчетный период </w:t>
      </w:r>
      <w:r w:rsidRPr="00A53AD7">
        <w:rPr>
          <w:rFonts w:ascii="Times New Roman" w:hAnsi="Times New Roman"/>
          <w:sz w:val="28"/>
          <w:szCs w:val="28"/>
          <w:u w:val="single"/>
        </w:rPr>
        <w:t>налогов, сборов и регулярных платежей за пользование природными ресурсами</w:t>
      </w:r>
      <w:r w:rsidRPr="00A53AD7">
        <w:rPr>
          <w:rFonts w:ascii="Times New Roman" w:hAnsi="Times New Roman"/>
          <w:sz w:val="28"/>
          <w:szCs w:val="28"/>
        </w:rPr>
        <w:t xml:space="preserve"> </w:t>
      </w:r>
      <w:r w:rsidR="007113D0" w:rsidRPr="00A53AD7">
        <w:rPr>
          <w:rFonts w:ascii="Times New Roman" w:hAnsi="Times New Roman"/>
          <w:sz w:val="28"/>
          <w:szCs w:val="28"/>
        </w:rPr>
        <w:t xml:space="preserve">поступило в областной бюджет в сумме </w:t>
      </w:r>
      <w:r w:rsidRPr="00A53AD7">
        <w:rPr>
          <w:rFonts w:ascii="Times New Roman" w:hAnsi="Times New Roman"/>
          <w:sz w:val="28"/>
          <w:szCs w:val="28"/>
        </w:rPr>
        <w:t>3 505,5 млн.руб., что составляет 107,1 % к показателям кассового плана 2019 года. По сравнению с 2018 год</w:t>
      </w:r>
      <w:r w:rsidR="007113D0" w:rsidRPr="00A53AD7">
        <w:rPr>
          <w:rFonts w:ascii="Times New Roman" w:hAnsi="Times New Roman"/>
          <w:sz w:val="28"/>
          <w:szCs w:val="28"/>
        </w:rPr>
        <w:t>ом</w:t>
      </w:r>
      <w:r w:rsidRPr="00A53AD7">
        <w:rPr>
          <w:rFonts w:ascii="Times New Roman" w:hAnsi="Times New Roman"/>
          <w:sz w:val="28"/>
          <w:szCs w:val="28"/>
        </w:rPr>
        <w:t xml:space="preserve"> указанные поступления увеличил</w:t>
      </w:r>
      <w:r w:rsidR="007113D0" w:rsidRPr="00A53AD7">
        <w:rPr>
          <w:rFonts w:ascii="Times New Roman" w:hAnsi="Times New Roman"/>
          <w:sz w:val="28"/>
          <w:szCs w:val="28"/>
        </w:rPr>
        <w:t>ись на 280,7 млн.руб. (+8,7 %).</w:t>
      </w:r>
    </w:p>
    <w:p w14:paraId="623D4A3C" w14:textId="4A4934A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Налог на добычу полезных ископаемых за 2019 год поступил в областной бюджет в сумме 3 358,3 млн.руб. или 107,5 % к годовым назначениям. Дополнительно поступило в областной бюджет 232,9 млн.руб.</w:t>
      </w:r>
    </w:p>
    <w:p w14:paraId="0026A33C" w14:textId="77777777" w:rsidR="00515C54" w:rsidRPr="00A53AD7" w:rsidRDefault="00515C54" w:rsidP="00515C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в общей сумме поступившего налога на добычу полезных ископаемых занимает налог на добычу полезных ископаемых в виде природных алмазов, что составляет 3 246,9 млн.руб. или 96,7 %. Годовые назначения исполнены на 106,6 %, дополнительно получено в бюджет 200,9 млн.руб. К показателям 2018 года установлен прирост поступлений указанного налога на 270,0 млн.руб. (+9,1 %).</w:t>
      </w:r>
    </w:p>
    <w:p w14:paraId="48970A30" w14:textId="4944E8A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Динамика поступления налога на добычу полезных ископаемых в виде природных алмазов за 2018 и 2019 годы представлена на рисунке </w:t>
      </w:r>
      <w:r w:rsidR="00D72ED2" w:rsidRPr="00A53AD7">
        <w:rPr>
          <w:rFonts w:ascii="Times New Roman" w:hAnsi="Times New Roman"/>
          <w:sz w:val="28"/>
          <w:szCs w:val="28"/>
        </w:rPr>
        <w:t>44</w:t>
      </w:r>
      <w:r w:rsidRPr="00A53AD7">
        <w:rPr>
          <w:rFonts w:ascii="Times New Roman" w:hAnsi="Times New Roman"/>
          <w:sz w:val="28"/>
          <w:szCs w:val="28"/>
        </w:rPr>
        <w:t>.</w:t>
      </w:r>
    </w:p>
    <w:p w14:paraId="656EAAA7" w14:textId="3D721A8C" w:rsidR="00D01D81" w:rsidRPr="00A53AD7" w:rsidRDefault="007113D0" w:rsidP="00D01D81">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01FAF03E" wp14:editId="7221435A">
            <wp:extent cx="6042982" cy="2421371"/>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68680" cy="2431668"/>
                    </a:xfrm>
                    <a:prstGeom prst="rect">
                      <a:avLst/>
                    </a:prstGeom>
                    <a:noFill/>
                  </pic:spPr>
                </pic:pic>
              </a:graphicData>
            </a:graphic>
          </wp:inline>
        </w:drawing>
      </w:r>
    </w:p>
    <w:p w14:paraId="6195B2FD" w14:textId="0B77F01A" w:rsidR="00D01D81" w:rsidRPr="00A53AD7" w:rsidRDefault="00D01D81" w:rsidP="00D01D81">
      <w:pPr>
        <w:spacing w:after="0" w:line="240" w:lineRule="auto"/>
        <w:rPr>
          <w:rFonts w:ascii="Times New Roman" w:hAnsi="Times New Roman"/>
          <w:sz w:val="28"/>
          <w:szCs w:val="28"/>
          <w:lang w:val="x-none"/>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44</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Pr="00A53AD7">
        <w:rPr>
          <w:rFonts w:ascii="Times New Roman" w:hAnsi="Times New Roman"/>
          <w:bCs/>
          <w:sz w:val="24"/>
          <w:szCs w:val="24"/>
        </w:rPr>
        <w:t>Динамика</w:t>
      </w:r>
      <w:r w:rsidRPr="00A53AD7">
        <w:rPr>
          <w:rFonts w:ascii="Times New Roman" w:hAnsi="Times New Roman"/>
          <w:sz w:val="24"/>
          <w:szCs w:val="24"/>
        </w:rPr>
        <w:t xml:space="preserve"> поступления налога на добычу полезных ископаемых в виде природных алмазов в областной бюджет в 2018 и 2019 годах, млн.руб</w:t>
      </w:r>
      <w:r w:rsidRPr="00A53AD7">
        <w:rPr>
          <w:rFonts w:ascii="Times New Roman" w:hAnsi="Times New Roman"/>
          <w:iCs/>
          <w:sz w:val="24"/>
          <w:szCs w:val="24"/>
        </w:rPr>
        <w:t>.</w:t>
      </w:r>
    </w:p>
    <w:p w14:paraId="47008A72" w14:textId="77777777" w:rsidR="00D01D81" w:rsidRPr="00A53AD7" w:rsidRDefault="00D01D81" w:rsidP="00D01D81">
      <w:pPr>
        <w:spacing w:after="0" w:line="240" w:lineRule="auto"/>
        <w:ind w:firstLine="851"/>
        <w:jc w:val="both"/>
        <w:rPr>
          <w:rFonts w:ascii="Times New Roman" w:hAnsi="Times New Roman"/>
          <w:sz w:val="28"/>
          <w:szCs w:val="28"/>
        </w:rPr>
      </w:pPr>
    </w:p>
    <w:p w14:paraId="7ACC1EE3"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как и на протяжении ряда лет, динамика поступления налога на добычу полезных ископаемых в виде природных алмазов в целом положительна. Отрицательная динамика поступлений в отчетном году установлена в январе, июне, сентябре, декабре. Среднемесячный прирост поступлений налога по сравнению с предыдущим годом составил 22,5 млн.руб.</w:t>
      </w:r>
    </w:p>
    <w:p w14:paraId="03C9E4C0" w14:textId="37B3B3B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о налоговой базе и структуре начислений по налогу на добычу полезных ископаемых» (ф. № 5-НДПИ) количество добытых алмазов на 31.12.2019 составило 1 329 375 граммов стоимостью 2</w:t>
      </w:r>
      <w:r w:rsidR="00E60F5A" w:rsidRPr="00A53AD7">
        <w:rPr>
          <w:rFonts w:ascii="Times New Roman" w:hAnsi="Times New Roman"/>
          <w:sz w:val="28"/>
          <w:szCs w:val="28"/>
        </w:rPr>
        <w:t>9,4</w:t>
      </w:r>
      <w:r w:rsidRPr="00A53AD7">
        <w:rPr>
          <w:rFonts w:ascii="Times New Roman" w:hAnsi="Times New Roman"/>
          <w:sz w:val="28"/>
          <w:szCs w:val="28"/>
        </w:rPr>
        <w:t xml:space="preserve"> </w:t>
      </w:r>
      <w:r w:rsidR="00E60F5A" w:rsidRPr="00A53AD7">
        <w:rPr>
          <w:rFonts w:ascii="Times New Roman" w:hAnsi="Times New Roman"/>
          <w:sz w:val="28"/>
          <w:szCs w:val="28"/>
        </w:rPr>
        <w:t>млрд</w:t>
      </w:r>
      <w:r w:rsidRPr="00A53AD7">
        <w:rPr>
          <w:rFonts w:ascii="Times New Roman" w:hAnsi="Times New Roman"/>
          <w:sz w:val="28"/>
          <w:szCs w:val="28"/>
        </w:rPr>
        <w:t>.руб. За 2018 год количество добытых алмазов составляло 1 625 913 граммов.</w:t>
      </w:r>
    </w:p>
    <w:p w14:paraId="73595E02" w14:textId="6039D20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Положительная динамика поступления налога на добычу полезных ископаемых в виде природных алмазов, как и прежде, обусловлена стабильной работой горно-обогатительных комбинатов на алмазных месторождениях. «Это связано с вовлечением в эксплуатацию более глубоких горизонтов обеих трубок, где более высокое содержание алмазов. Среднее содержание алмазов по сравнению с первым полугодием прошлого года выросло более чем на 25% – до 1,13 карата на тонну руды» (ПАО «Севералмаз»)</w:t>
      </w:r>
      <w:r w:rsidR="007113D0" w:rsidRPr="00A53AD7">
        <w:rPr>
          <w:rStyle w:val="afff1"/>
          <w:rFonts w:ascii="Times New Roman" w:hAnsi="Times New Roman"/>
          <w:sz w:val="28"/>
          <w:szCs w:val="28"/>
        </w:rPr>
        <w:footnoteReference w:id="21"/>
      </w:r>
      <w:r w:rsidR="007113D0" w:rsidRPr="00A53AD7">
        <w:rPr>
          <w:rFonts w:ascii="Times New Roman" w:hAnsi="Times New Roman"/>
          <w:sz w:val="28"/>
          <w:szCs w:val="28"/>
        </w:rPr>
        <w:t>.</w:t>
      </w:r>
    </w:p>
    <w:p w14:paraId="46785EC6" w14:textId="77777777" w:rsidR="00D01D81" w:rsidRPr="00A53AD7" w:rsidRDefault="00D01D81" w:rsidP="00D01D81">
      <w:pPr>
        <w:spacing w:after="0" w:line="240" w:lineRule="auto"/>
        <w:ind w:firstLine="851"/>
        <w:jc w:val="both"/>
        <w:rPr>
          <w:rFonts w:ascii="Times New Roman" w:hAnsi="Times New Roman"/>
          <w:sz w:val="28"/>
          <w:szCs w:val="28"/>
        </w:rPr>
      </w:pPr>
    </w:p>
    <w:p w14:paraId="12D8A913" w14:textId="785B3820"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Плановые объемы поступлений неналоговых доходов рассчитываются главными администраторами доходов в соответствии с утвержденными методикам прогнозирования поступления в бюджетную систему РФ доходов </w:t>
      </w:r>
      <w:r w:rsidR="007113D0" w:rsidRPr="00A53AD7">
        <w:rPr>
          <w:rFonts w:ascii="Times New Roman" w:hAnsi="Times New Roman"/>
          <w:sz w:val="28"/>
          <w:szCs w:val="28"/>
        </w:rPr>
        <w:t>в соответствии с</w:t>
      </w:r>
      <w:r w:rsidRPr="00A53AD7">
        <w:rPr>
          <w:rFonts w:ascii="Times New Roman" w:hAnsi="Times New Roman"/>
          <w:sz w:val="28"/>
          <w:szCs w:val="28"/>
        </w:rPr>
        <w:t xml:space="preserve"> требованиям</w:t>
      </w:r>
      <w:r w:rsidR="007113D0" w:rsidRPr="00A53AD7">
        <w:rPr>
          <w:rFonts w:ascii="Times New Roman" w:hAnsi="Times New Roman"/>
          <w:sz w:val="28"/>
          <w:szCs w:val="28"/>
        </w:rPr>
        <w:t>и</w:t>
      </w:r>
      <w:r w:rsidRPr="00A53AD7">
        <w:rPr>
          <w:rFonts w:ascii="Times New Roman" w:hAnsi="Times New Roman"/>
          <w:sz w:val="28"/>
          <w:szCs w:val="28"/>
        </w:rPr>
        <w:t xml:space="preserve"> постановления Правительства РФ от 23.06.2016 № 574 «Об общих требованиях к методике прогнозирования поступлений доходов в бюджеты бюджетной системы Российской Федерации».</w:t>
      </w:r>
    </w:p>
    <w:p w14:paraId="1CDAFAE5" w14:textId="4A3A254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7. В 2019 году </w:t>
      </w:r>
      <w:r w:rsidRPr="00A53AD7">
        <w:rPr>
          <w:rFonts w:ascii="Times New Roman" w:hAnsi="Times New Roman"/>
          <w:sz w:val="28"/>
          <w:szCs w:val="28"/>
          <w:u w:val="single"/>
        </w:rPr>
        <w:t>доходы от использования имущества</w:t>
      </w:r>
      <w:r w:rsidRPr="00A53AD7">
        <w:rPr>
          <w:rFonts w:ascii="Times New Roman" w:hAnsi="Times New Roman"/>
          <w:sz w:val="28"/>
          <w:szCs w:val="28"/>
        </w:rPr>
        <w:t xml:space="preserve">, находящегося в государственной собственности </w:t>
      </w:r>
      <w:r w:rsidR="007113D0" w:rsidRPr="00A53AD7">
        <w:rPr>
          <w:rFonts w:ascii="Times New Roman" w:hAnsi="Times New Roman"/>
          <w:sz w:val="28"/>
          <w:szCs w:val="28"/>
        </w:rPr>
        <w:t xml:space="preserve">поступили </w:t>
      </w:r>
      <w:r w:rsidRPr="00A53AD7">
        <w:rPr>
          <w:rFonts w:ascii="Times New Roman" w:hAnsi="Times New Roman"/>
          <w:sz w:val="28"/>
          <w:szCs w:val="28"/>
        </w:rPr>
        <w:t>в сумме 61,3 млн.руб. или 110,6 % к утвержденным бюджетным назначениям. Сверх утвержденного годового плана получено в областной бюджет 5,9 млн.руб. Доходов от использования государственного имущества в отчетном периоде в целом поступило на 13,9 млн.руб. или на 29,</w:t>
      </w:r>
      <w:r w:rsidR="007113D0" w:rsidRPr="00A53AD7">
        <w:rPr>
          <w:rFonts w:ascii="Times New Roman" w:hAnsi="Times New Roman"/>
          <w:sz w:val="28"/>
          <w:szCs w:val="28"/>
        </w:rPr>
        <w:t>2 % больше, чем за прошлый год.</w:t>
      </w:r>
    </w:p>
    <w:p w14:paraId="17D7F77D" w14:textId="44ABC55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Основная причина, обусловившая дополнительные поступления в отчетном году доходов от использования имущества, находящегося в государственной собственности, является увеличение поступлений доходов от дивидендов по акциям</w:t>
      </w:r>
      <w:r w:rsidR="00CD2688" w:rsidRPr="00A53AD7">
        <w:rPr>
          <w:rFonts w:ascii="Times New Roman" w:hAnsi="Times New Roman"/>
          <w:sz w:val="28"/>
          <w:szCs w:val="28"/>
        </w:rPr>
        <w:t>:</w:t>
      </w:r>
      <w:r w:rsidRPr="00A53AD7">
        <w:rPr>
          <w:rFonts w:ascii="Times New Roman" w:hAnsi="Times New Roman"/>
          <w:sz w:val="28"/>
          <w:szCs w:val="28"/>
        </w:rPr>
        <w:t xml:space="preserve"> увеличились поступления от АО «Агрофирм</w:t>
      </w:r>
      <w:r w:rsidR="00CD2688" w:rsidRPr="00A53AD7">
        <w:rPr>
          <w:rFonts w:ascii="Times New Roman" w:hAnsi="Times New Roman"/>
          <w:sz w:val="28"/>
          <w:szCs w:val="28"/>
        </w:rPr>
        <w:t>а</w:t>
      </w:r>
      <w:r w:rsidRPr="00A53AD7">
        <w:rPr>
          <w:rFonts w:ascii="Times New Roman" w:hAnsi="Times New Roman"/>
          <w:sz w:val="28"/>
          <w:szCs w:val="28"/>
        </w:rPr>
        <w:t xml:space="preserve"> Вельская» (+4,1 млн.руб.) и доход</w:t>
      </w:r>
      <w:r w:rsidR="00CD2688" w:rsidRPr="00A53AD7">
        <w:rPr>
          <w:rFonts w:ascii="Times New Roman" w:hAnsi="Times New Roman"/>
          <w:sz w:val="28"/>
          <w:szCs w:val="28"/>
        </w:rPr>
        <w:t>ы</w:t>
      </w:r>
      <w:r w:rsidRPr="00A53AD7">
        <w:rPr>
          <w:rFonts w:ascii="Times New Roman" w:hAnsi="Times New Roman"/>
          <w:sz w:val="28"/>
          <w:szCs w:val="28"/>
        </w:rPr>
        <w:t xml:space="preserve"> от сдачи в аренду имущества (+1,7 млн.руб.).</w:t>
      </w:r>
    </w:p>
    <w:p w14:paraId="533E3726"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Значительная доля указанных доходов администрируется министерством имущественных отношений Архангельской области (далее – Минимущество) или 56,1 млн.руб. (91,5 %) и обеспечена следующими поступлениями:</w:t>
      </w:r>
    </w:p>
    <w:p w14:paraId="14D68440" w14:textId="545C819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7.1. </w:t>
      </w:r>
      <w:r w:rsidRPr="00A53AD7">
        <w:rPr>
          <w:rFonts w:ascii="Times New Roman" w:hAnsi="Times New Roman"/>
          <w:sz w:val="28"/>
          <w:szCs w:val="28"/>
          <w:u w:val="single"/>
        </w:rPr>
        <w:t>Доходы в виде прибыли, приходящейся на доли в уставных</w:t>
      </w:r>
      <w:r w:rsidRPr="00A53AD7">
        <w:rPr>
          <w:rFonts w:ascii="Times New Roman" w:hAnsi="Times New Roman"/>
          <w:sz w:val="28"/>
          <w:szCs w:val="28"/>
        </w:rPr>
        <w:t xml:space="preserve"> (складочных) капиталах хозяйственных товариществ и обществ, или дивидендов по акциям, принадлежащим Архангельской области – 30,4 млн.руб., что на 4,1 млн.руб. (15,7 %) больше </w:t>
      </w:r>
      <w:r w:rsidR="00CD2688" w:rsidRPr="00A53AD7">
        <w:rPr>
          <w:rFonts w:ascii="Times New Roman" w:hAnsi="Times New Roman"/>
          <w:sz w:val="28"/>
          <w:szCs w:val="28"/>
        </w:rPr>
        <w:t>годовых прогнозных показателей.</w:t>
      </w:r>
    </w:p>
    <w:p w14:paraId="049C3DC1" w14:textId="5F1C57C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Первоначально бюджетные назначения на год составляли 11,7 млн.руб., в течение года два раза увеличены на 11,3 млн.руб. (</w:t>
      </w:r>
      <w:r w:rsidR="008F1391" w:rsidRPr="00A53AD7">
        <w:rPr>
          <w:rFonts w:ascii="Times New Roman" w:hAnsi="Times New Roman"/>
          <w:sz w:val="28"/>
          <w:szCs w:val="28"/>
        </w:rPr>
        <w:t xml:space="preserve">областной закон </w:t>
      </w:r>
      <w:r w:rsidRPr="00A53AD7">
        <w:rPr>
          <w:rFonts w:ascii="Times New Roman" w:hAnsi="Times New Roman"/>
          <w:sz w:val="28"/>
          <w:szCs w:val="28"/>
        </w:rPr>
        <w:t>от 19.11.2019 № 177-12-ОЗ) и на 3,3 млн.руб. (</w:t>
      </w:r>
      <w:r w:rsidR="008F1391" w:rsidRPr="00A53AD7">
        <w:rPr>
          <w:rFonts w:ascii="Times New Roman" w:hAnsi="Times New Roman"/>
          <w:sz w:val="28"/>
          <w:szCs w:val="28"/>
        </w:rPr>
        <w:t xml:space="preserve">областной закон от </w:t>
      </w:r>
      <w:r w:rsidRPr="00A53AD7">
        <w:rPr>
          <w:rFonts w:ascii="Times New Roman" w:hAnsi="Times New Roman"/>
          <w:sz w:val="28"/>
          <w:szCs w:val="28"/>
        </w:rPr>
        <w:t>13.12.2019 № 189-13-ОЗ), что в результате составило 26,3 млн.руб.</w:t>
      </w:r>
    </w:p>
    <w:p w14:paraId="78F9D8EC" w14:textId="7AB9DB2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предоставленной Минимуществом по запросу контрольно-счётной палаты, полученная сумма сложилась из дивидендов по итогам работы восьми акционерных обществ за 2018 год, из них: АО «Плесецкое дорожное управление» – 12,5 млн.руб., АО «Агрофирм</w:t>
      </w:r>
      <w:r w:rsidR="008F1391" w:rsidRPr="00A53AD7">
        <w:rPr>
          <w:rFonts w:ascii="Times New Roman" w:hAnsi="Times New Roman"/>
          <w:sz w:val="28"/>
          <w:szCs w:val="28"/>
        </w:rPr>
        <w:t>а</w:t>
      </w:r>
      <w:r w:rsidRPr="00A53AD7">
        <w:rPr>
          <w:rFonts w:ascii="Times New Roman" w:hAnsi="Times New Roman"/>
          <w:sz w:val="28"/>
          <w:szCs w:val="28"/>
        </w:rPr>
        <w:t xml:space="preserve"> Вельская» – 7,4 млн.руб., АО «Котласское ДРСУ» – 7,3 млн.руб., АО «Мезенское дорожное управление» – 2,7 млн.руб., АО «Корпорация развития Архангельской области» – 0,4 млн.руб., АО «Центр расчетов» – 0,05 млн.руб.</w:t>
      </w:r>
    </w:p>
    <w:p w14:paraId="2403BE56" w14:textId="2C6A8C6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2019 году увеличились поступления от АО «Агрофирмы Вельская» (+7,4 млн.руб.), от «Мезенское ДУ» (+0,1 млн.руб.), при этом поступило меньше, чем в прошлом году от </w:t>
      </w:r>
      <w:r w:rsidR="008F1391" w:rsidRPr="00A53AD7">
        <w:rPr>
          <w:rFonts w:ascii="Times New Roman" w:hAnsi="Times New Roman"/>
          <w:sz w:val="28"/>
          <w:szCs w:val="28"/>
        </w:rPr>
        <w:t>следующих организаций</w:t>
      </w:r>
      <w:r w:rsidRPr="00A53AD7">
        <w:rPr>
          <w:rFonts w:ascii="Times New Roman" w:hAnsi="Times New Roman"/>
          <w:sz w:val="28"/>
          <w:szCs w:val="28"/>
        </w:rPr>
        <w:t>: «Котласское ДРСУ» (–2,9 млн.руб.), «Плесецкое ДУ» (–0,7 млн.руб.), «Центр расчетов» (–0,3 млн.руб.), «Корпорации развития Архангельс</w:t>
      </w:r>
      <w:r w:rsidR="008F1391" w:rsidRPr="00A53AD7">
        <w:rPr>
          <w:rFonts w:ascii="Times New Roman" w:hAnsi="Times New Roman"/>
          <w:sz w:val="28"/>
          <w:szCs w:val="28"/>
        </w:rPr>
        <w:t>кой области» (–0,3 млн.руб.).</w:t>
      </w:r>
    </w:p>
    <w:p w14:paraId="3EA9B299"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по дебиторской и кредиторской задолженности (ф. 0503169) Минимущества по состоянию на 01.01.2020 дебиторская задолженность по дивидендам отсутствует.</w:t>
      </w:r>
    </w:p>
    <w:p w14:paraId="0F356AC1" w14:textId="77777777" w:rsidR="00D01D81" w:rsidRPr="00A53AD7" w:rsidRDefault="00D01D81" w:rsidP="00D01D81">
      <w:pPr>
        <w:spacing w:after="0" w:line="240" w:lineRule="auto"/>
        <w:ind w:firstLine="851"/>
        <w:jc w:val="both"/>
        <w:rPr>
          <w:rFonts w:ascii="Times New Roman" w:hAnsi="Times New Roman"/>
          <w:sz w:val="28"/>
          <w:szCs w:val="28"/>
        </w:rPr>
      </w:pPr>
    </w:p>
    <w:p w14:paraId="0F4D396B" w14:textId="2CB5E18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7.2</w:t>
      </w:r>
      <w:r w:rsidR="008F1391" w:rsidRPr="00A53AD7">
        <w:rPr>
          <w:rFonts w:ascii="Times New Roman" w:hAnsi="Times New Roman"/>
          <w:sz w:val="28"/>
          <w:szCs w:val="28"/>
        </w:rPr>
        <w:t>.</w:t>
      </w:r>
      <w:r w:rsidRPr="00A53AD7">
        <w:rPr>
          <w:rFonts w:ascii="Times New Roman" w:hAnsi="Times New Roman"/>
          <w:sz w:val="28"/>
          <w:szCs w:val="28"/>
        </w:rPr>
        <w:t xml:space="preserve"> Доходы, получаемые в </w:t>
      </w:r>
      <w:r w:rsidRPr="00A53AD7">
        <w:rPr>
          <w:rFonts w:ascii="Times New Roman" w:hAnsi="Times New Roman"/>
          <w:sz w:val="28"/>
          <w:szCs w:val="28"/>
          <w:u w:val="single"/>
        </w:rPr>
        <w:t>виде арендной платы, а также средства от продажи права на заключение договоров аренды за</w:t>
      </w:r>
      <w:r w:rsidRPr="00A53AD7">
        <w:rPr>
          <w:rFonts w:ascii="Times New Roman" w:hAnsi="Times New Roman"/>
          <w:sz w:val="28"/>
          <w:szCs w:val="28"/>
        </w:rPr>
        <w:t xml:space="preserve"> земли… поступили в областной бюджет в сумме 8,8 млн.руб., что несколько выше годовых прогнозных показателей (+0,6 млн.руб.), поступлений 2018 года на 0,</w:t>
      </w:r>
      <w:r w:rsidR="003D44BF" w:rsidRPr="00A53AD7">
        <w:rPr>
          <w:rFonts w:ascii="Times New Roman" w:hAnsi="Times New Roman"/>
          <w:sz w:val="28"/>
          <w:szCs w:val="28"/>
        </w:rPr>
        <w:t>8</w:t>
      </w:r>
      <w:r w:rsidRPr="00A53AD7">
        <w:rPr>
          <w:rFonts w:ascii="Times New Roman" w:hAnsi="Times New Roman"/>
          <w:sz w:val="28"/>
          <w:szCs w:val="28"/>
        </w:rPr>
        <w:t xml:space="preserve"> млн.руб. или </w:t>
      </w:r>
      <w:r w:rsidR="003D44BF" w:rsidRPr="00A53AD7">
        <w:rPr>
          <w:rFonts w:ascii="Times New Roman" w:hAnsi="Times New Roman"/>
          <w:sz w:val="28"/>
          <w:szCs w:val="28"/>
        </w:rPr>
        <w:t>1,1</w:t>
      </w:r>
      <w:r w:rsidRPr="00A53AD7">
        <w:rPr>
          <w:rFonts w:ascii="Times New Roman" w:hAnsi="Times New Roman"/>
          <w:sz w:val="28"/>
          <w:szCs w:val="28"/>
        </w:rPr>
        <w:t> %, и обусловлено увеличени</w:t>
      </w:r>
      <w:r w:rsidR="008F1391" w:rsidRPr="00A53AD7">
        <w:rPr>
          <w:rFonts w:ascii="Times New Roman" w:hAnsi="Times New Roman"/>
          <w:sz w:val="28"/>
          <w:szCs w:val="28"/>
        </w:rPr>
        <w:t>ем количества договоров аренды.</w:t>
      </w:r>
    </w:p>
    <w:p w14:paraId="20A08667" w14:textId="31E3E6E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представленной Минимуществом, на 01.01.2020 всего учтено 108 договоров аренды в отношении 116 участков земли, с учетом дополнительно заключ</w:t>
      </w:r>
      <w:r w:rsidR="00400C61" w:rsidRPr="00A53AD7">
        <w:rPr>
          <w:rFonts w:ascii="Times New Roman" w:hAnsi="Times New Roman"/>
          <w:sz w:val="28"/>
          <w:szCs w:val="28"/>
        </w:rPr>
        <w:t>енных 15 договоров в 2019 году.</w:t>
      </w:r>
    </w:p>
    <w:p w14:paraId="4950F0AA" w14:textId="5EE8321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Поступили значительные суммы: 2,1 млн.руб. – от ГУП АО «Фармация» по 31 договору в отношении 37 земельных участков; 1,1 млн.руб. – от ГУП АО «Фонд имущества и инвестиций» по 20 договорам в отношении 21 земельного участка, остальные денежные средства поступили от </w:t>
      </w:r>
      <w:r w:rsidR="00400C61" w:rsidRPr="00A53AD7">
        <w:rPr>
          <w:rFonts w:ascii="Times New Roman" w:hAnsi="Times New Roman"/>
          <w:sz w:val="28"/>
          <w:szCs w:val="28"/>
        </w:rPr>
        <w:t xml:space="preserve">иных </w:t>
      </w:r>
      <w:r w:rsidRPr="00A53AD7">
        <w:rPr>
          <w:rFonts w:ascii="Times New Roman" w:hAnsi="Times New Roman"/>
          <w:sz w:val="28"/>
          <w:szCs w:val="28"/>
        </w:rPr>
        <w:t>арендаторов в объемах</w:t>
      </w:r>
      <w:r w:rsidR="00400C61" w:rsidRPr="00A53AD7">
        <w:rPr>
          <w:rFonts w:ascii="Times New Roman" w:hAnsi="Times New Roman"/>
          <w:sz w:val="28"/>
          <w:szCs w:val="28"/>
        </w:rPr>
        <w:t>, установленных договорами.</w:t>
      </w:r>
    </w:p>
    <w:p w14:paraId="412D7C08" w14:textId="491A552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01.01.2019 всего было учтено 99 договоров аренды в отношении 109 земельных участков, с учетом дополнительно заключенных 5 договоров в 2018 году. Значительные суммы поступали от ГУП АО «Фармация» – 2,0 млн.руб. (31 договор/37 земельных участков), от ГУП АО «Фонд имущества и инвестиций» – 2,1 млн.руб., остальные денежные средства поступали от арендаторов в объ</w:t>
      </w:r>
      <w:r w:rsidR="00400C61" w:rsidRPr="00A53AD7">
        <w:rPr>
          <w:rFonts w:ascii="Times New Roman" w:hAnsi="Times New Roman"/>
          <w:sz w:val="28"/>
          <w:szCs w:val="28"/>
        </w:rPr>
        <w:t>емах, установленных договорами.</w:t>
      </w:r>
    </w:p>
    <w:p w14:paraId="08FC0352" w14:textId="77777777" w:rsidR="00D01D81" w:rsidRPr="00A53AD7" w:rsidRDefault="00D01D81" w:rsidP="00D01D81">
      <w:pPr>
        <w:spacing w:after="0" w:line="240" w:lineRule="auto"/>
        <w:ind w:firstLine="851"/>
        <w:jc w:val="both"/>
        <w:rPr>
          <w:rFonts w:ascii="Times New Roman" w:hAnsi="Times New Roman"/>
          <w:sz w:val="28"/>
          <w:szCs w:val="28"/>
        </w:rPr>
      </w:pPr>
    </w:p>
    <w:p w14:paraId="47180E0C" w14:textId="679C40D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7.3</w:t>
      </w:r>
      <w:r w:rsidR="00400C61" w:rsidRPr="00A53AD7">
        <w:rPr>
          <w:rFonts w:ascii="Times New Roman" w:hAnsi="Times New Roman"/>
          <w:sz w:val="28"/>
          <w:szCs w:val="28"/>
        </w:rPr>
        <w:t>.</w:t>
      </w:r>
      <w:r w:rsidRPr="00A53AD7">
        <w:rPr>
          <w:rFonts w:ascii="Times New Roman" w:hAnsi="Times New Roman"/>
          <w:sz w:val="28"/>
          <w:szCs w:val="28"/>
        </w:rPr>
        <w:t xml:space="preserve"> </w:t>
      </w:r>
      <w:r w:rsidRPr="00A53AD7">
        <w:rPr>
          <w:rFonts w:ascii="Times New Roman" w:hAnsi="Times New Roman"/>
          <w:sz w:val="28"/>
          <w:szCs w:val="28"/>
          <w:u w:val="single"/>
        </w:rPr>
        <w:t xml:space="preserve">Доходы от перечисления части прибыли государственных унитарных предприятий </w:t>
      </w:r>
      <w:r w:rsidRPr="00A53AD7">
        <w:rPr>
          <w:rFonts w:ascii="Times New Roman" w:hAnsi="Times New Roman"/>
          <w:sz w:val="28"/>
          <w:szCs w:val="28"/>
        </w:rPr>
        <w:t>поступили в областной бюджет в сумме 15,1 млн.руб., что соответствует годовым прогнозным показателям, из них: ГУП АО «Фармация» – 14,6 млн.руб., ГУП АО «Инвестиционная компания «Архангельск» – 0,5 млн.руб.</w:t>
      </w:r>
    </w:p>
    <w:p w14:paraId="00DFB11D" w14:textId="57FC3C4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течение отчетного периода увеличен план поступления доходов от перечисления части прибыли государственных унитарных предприятий Архангельской области с 2,7 млн.руб. до 15,1 млн.руб. (</w:t>
      </w:r>
      <w:r w:rsidR="00400C61" w:rsidRPr="00A53AD7">
        <w:rPr>
          <w:rFonts w:ascii="Times New Roman" w:hAnsi="Times New Roman"/>
          <w:sz w:val="28"/>
          <w:szCs w:val="28"/>
        </w:rPr>
        <w:t>областной закон</w:t>
      </w:r>
      <w:r w:rsidRPr="00A53AD7">
        <w:rPr>
          <w:rFonts w:ascii="Times New Roman" w:hAnsi="Times New Roman"/>
          <w:sz w:val="28"/>
          <w:szCs w:val="28"/>
        </w:rPr>
        <w:t xml:space="preserve"> от 13.12.2019 № 189-13-ОЗ).</w:t>
      </w:r>
    </w:p>
    <w:p w14:paraId="209A5557"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по ф. 0503169 Минимущества по состоянию на 01.01.2020 дебиторская задолженность по доходам от перечисления части прибыли государственных унитарных предприятий составляет 10,0 млн.руб. Указанная задолженность перед областным бюджетом сложилась у ГУП АО «Фонд имущества и инвестиций» на основании рассрочки платежей, предусмотренной договором купли-продажи имущества, приобретенного в апреле 2018 года.</w:t>
      </w:r>
    </w:p>
    <w:p w14:paraId="3F7E6E17" w14:textId="14EFC88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Информация о дебиторской задолженности, сложившейся на 01.01.2019 и на 01.01.2020 по счетам бюджетного учета Минимущества в части доходов от использования имущества, представлена в таблице </w:t>
      </w:r>
      <w:r w:rsidR="00D50411" w:rsidRPr="00A53AD7">
        <w:rPr>
          <w:rFonts w:ascii="Times New Roman" w:hAnsi="Times New Roman"/>
          <w:sz w:val="28"/>
          <w:szCs w:val="28"/>
        </w:rPr>
        <w:t>30</w:t>
      </w:r>
      <w:r w:rsidRPr="00A53AD7">
        <w:rPr>
          <w:rFonts w:ascii="Times New Roman" w:hAnsi="Times New Roman"/>
          <w:sz w:val="28"/>
          <w:szCs w:val="28"/>
        </w:rPr>
        <w:t>.</w:t>
      </w:r>
    </w:p>
    <w:p w14:paraId="705232D5" w14:textId="77777777" w:rsidR="00D01D81" w:rsidRPr="00A53AD7" w:rsidRDefault="00D01D81" w:rsidP="00D01D81">
      <w:pPr>
        <w:spacing w:after="0" w:line="240" w:lineRule="auto"/>
        <w:jc w:val="both"/>
        <w:rPr>
          <w:rFonts w:ascii="Times New Roman" w:hAnsi="Times New Roman"/>
          <w:b/>
          <w:noProof/>
        </w:rPr>
      </w:pPr>
    </w:p>
    <w:p w14:paraId="764B467A" w14:textId="77777777" w:rsidR="00D50411" w:rsidRPr="00A53AD7" w:rsidRDefault="00D50411" w:rsidP="00D01D81">
      <w:pPr>
        <w:spacing w:after="0" w:line="240" w:lineRule="auto"/>
        <w:rPr>
          <w:rFonts w:ascii="Times New Roman" w:hAnsi="Times New Roman"/>
          <w:bCs/>
          <w:sz w:val="24"/>
          <w:szCs w:val="24"/>
        </w:rPr>
      </w:pPr>
    </w:p>
    <w:p w14:paraId="40DBB4BA" w14:textId="77777777" w:rsidR="00D50411" w:rsidRPr="00A53AD7" w:rsidRDefault="00D50411" w:rsidP="00D01D81">
      <w:pPr>
        <w:spacing w:after="0" w:line="240" w:lineRule="auto"/>
        <w:rPr>
          <w:rFonts w:ascii="Times New Roman" w:hAnsi="Times New Roman"/>
          <w:bCs/>
          <w:sz w:val="24"/>
          <w:szCs w:val="24"/>
        </w:rPr>
      </w:pPr>
    </w:p>
    <w:p w14:paraId="47B10788" w14:textId="77777777" w:rsidR="00D50411" w:rsidRPr="00A53AD7" w:rsidRDefault="00D50411" w:rsidP="00D01D81">
      <w:pPr>
        <w:spacing w:after="0" w:line="240" w:lineRule="auto"/>
        <w:rPr>
          <w:rFonts w:ascii="Times New Roman" w:hAnsi="Times New Roman"/>
          <w:bCs/>
          <w:sz w:val="24"/>
          <w:szCs w:val="24"/>
        </w:rPr>
      </w:pPr>
    </w:p>
    <w:p w14:paraId="6D7ABC94" w14:textId="77777777" w:rsidR="00D50411" w:rsidRPr="00A53AD7" w:rsidRDefault="00D50411" w:rsidP="00D01D81">
      <w:pPr>
        <w:spacing w:after="0" w:line="240" w:lineRule="auto"/>
        <w:rPr>
          <w:rFonts w:ascii="Times New Roman" w:hAnsi="Times New Roman"/>
          <w:bCs/>
          <w:sz w:val="24"/>
          <w:szCs w:val="24"/>
        </w:rPr>
      </w:pPr>
    </w:p>
    <w:p w14:paraId="1C75045A" w14:textId="77777777"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bCs/>
          <w:sz w:val="24"/>
          <w:szCs w:val="24"/>
        </w:rPr>
        <w:t xml:space="preserve">Таблица </w:t>
      </w:r>
      <w:r w:rsidRPr="00A53AD7">
        <w:rPr>
          <w:rFonts w:ascii="Times New Roman" w:hAnsi="Times New Roman"/>
          <w:bCs/>
          <w:noProof/>
          <w:sz w:val="24"/>
          <w:szCs w:val="24"/>
        </w:rPr>
        <w:fldChar w:fldCharType="begin"/>
      </w:r>
      <w:r w:rsidRPr="00A53AD7">
        <w:rPr>
          <w:rFonts w:ascii="Times New Roman" w:hAnsi="Times New Roman"/>
          <w:bCs/>
          <w:noProof/>
          <w:sz w:val="24"/>
          <w:szCs w:val="24"/>
        </w:rPr>
        <w:instrText xml:space="preserve"> SEQ Таблица \* ARABIC </w:instrText>
      </w:r>
      <w:r w:rsidRPr="00A53AD7">
        <w:rPr>
          <w:rFonts w:ascii="Times New Roman" w:hAnsi="Times New Roman"/>
          <w:bCs/>
          <w:noProof/>
          <w:sz w:val="24"/>
          <w:szCs w:val="24"/>
        </w:rPr>
        <w:fldChar w:fldCharType="separate"/>
      </w:r>
      <w:r w:rsidR="005351E5" w:rsidRPr="00A53AD7">
        <w:rPr>
          <w:rFonts w:ascii="Times New Roman" w:hAnsi="Times New Roman"/>
          <w:bCs/>
          <w:noProof/>
          <w:sz w:val="24"/>
          <w:szCs w:val="24"/>
        </w:rPr>
        <w:t>30</w:t>
      </w:r>
      <w:r w:rsidRPr="00A53AD7">
        <w:rPr>
          <w:rFonts w:ascii="Times New Roman" w:hAnsi="Times New Roman"/>
          <w:bCs/>
          <w:noProof/>
          <w:sz w:val="24"/>
          <w:szCs w:val="24"/>
        </w:rPr>
        <w:fldChar w:fldCharType="end"/>
      </w:r>
      <w:r w:rsidRPr="00A53AD7">
        <w:rPr>
          <w:rFonts w:ascii="Times New Roman" w:hAnsi="Times New Roman"/>
          <w:bCs/>
          <w:sz w:val="24"/>
          <w:szCs w:val="24"/>
        </w:rPr>
        <w:t xml:space="preserve">. </w:t>
      </w:r>
      <w:r w:rsidRPr="00A53AD7">
        <w:rPr>
          <w:rFonts w:ascii="Times New Roman" w:hAnsi="Times New Roman"/>
          <w:sz w:val="24"/>
          <w:szCs w:val="24"/>
        </w:rPr>
        <w:t>Дебиторская задолженность по аналитическим счетам счета 205 «Расчеты по доходам», согласно отчету по ф. 0503169 на 01.01.2020, млн.руб.</w:t>
      </w:r>
    </w:p>
    <w:tbl>
      <w:tblPr>
        <w:tblW w:w="9366" w:type="dxa"/>
        <w:tblLayout w:type="fixed"/>
        <w:tblLook w:val="04A0" w:firstRow="1" w:lastRow="0" w:firstColumn="1" w:lastColumn="0" w:noHBand="0" w:noVBand="1"/>
      </w:tblPr>
      <w:tblGrid>
        <w:gridCol w:w="4088"/>
        <w:gridCol w:w="821"/>
        <w:gridCol w:w="1163"/>
        <w:gridCol w:w="1134"/>
        <w:gridCol w:w="992"/>
        <w:gridCol w:w="1168"/>
      </w:tblGrid>
      <w:tr w:rsidR="00A53AD7" w:rsidRPr="00A53AD7" w14:paraId="2CA116D6" w14:textId="77777777" w:rsidTr="00400C61">
        <w:trPr>
          <w:trHeight w:val="520"/>
          <w:tblHeader/>
        </w:trPr>
        <w:tc>
          <w:tcPr>
            <w:tcW w:w="4909" w:type="dxa"/>
            <w:gridSpan w:val="2"/>
            <w:vMerge w:val="restart"/>
            <w:tcBorders>
              <w:top w:val="double" w:sz="6" w:space="0" w:color="auto"/>
              <w:left w:val="double" w:sz="6" w:space="0" w:color="auto"/>
              <w:right w:val="single" w:sz="4" w:space="0" w:color="auto"/>
            </w:tcBorders>
            <w:shd w:val="clear" w:color="auto" w:fill="auto"/>
            <w:vAlign w:val="center"/>
            <w:hideMark/>
          </w:tcPr>
          <w:p w14:paraId="5034A49F" w14:textId="72FC64F3" w:rsidR="00400C61" w:rsidRPr="00A53AD7" w:rsidRDefault="00400C6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показателя / счет учета</w:t>
            </w:r>
          </w:p>
        </w:tc>
        <w:tc>
          <w:tcPr>
            <w:tcW w:w="1163" w:type="dxa"/>
            <w:vMerge w:val="restart"/>
            <w:tcBorders>
              <w:top w:val="double" w:sz="6" w:space="0" w:color="auto"/>
              <w:left w:val="nil"/>
              <w:right w:val="single" w:sz="4" w:space="0" w:color="auto"/>
            </w:tcBorders>
            <w:shd w:val="clear" w:color="auto" w:fill="auto"/>
            <w:vAlign w:val="center"/>
            <w:hideMark/>
          </w:tcPr>
          <w:p w14:paraId="0E9C3CE2" w14:textId="63FC3ED0" w:rsidR="00400C61" w:rsidRPr="00A53AD7" w:rsidRDefault="00400C61" w:rsidP="00BA5523">
            <w:pPr>
              <w:spacing w:after="0" w:line="240" w:lineRule="auto"/>
              <w:ind w:left="-79" w:right="-108"/>
              <w:jc w:val="center"/>
              <w:rPr>
                <w:rFonts w:ascii="Times New Roman" w:eastAsia="Times New Roman" w:hAnsi="Times New Roman"/>
                <w:lang w:eastAsia="ru-RU"/>
              </w:rPr>
            </w:pPr>
            <w:r w:rsidRPr="00A53AD7">
              <w:rPr>
                <w:rFonts w:ascii="Times New Roman" w:eastAsia="Times New Roman" w:hAnsi="Times New Roman"/>
                <w:lang w:eastAsia="ru-RU"/>
              </w:rPr>
              <w:t>На 01.01.2019</w:t>
            </w:r>
          </w:p>
        </w:tc>
        <w:tc>
          <w:tcPr>
            <w:tcW w:w="1134" w:type="dxa"/>
            <w:vMerge w:val="restart"/>
            <w:tcBorders>
              <w:top w:val="double" w:sz="6" w:space="0" w:color="auto"/>
              <w:left w:val="nil"/>
              <w:right w:val="single" w:sz="4" w:space="0" w:color="auto"/>
            </w:tcBorders>
            <w:shd w:val="clear" w:color="auto" w:fill="auto"/>
            <w:vAlign w:val="center"/>
            <w:hideMark/>
          </w:tcPr>
          <w:p w14:paraId="1AD86AC4" w14:textId="0425AC7E" w:rsidR="00400C61" w:rsidRPr="00A53AD7" w:rsidRDefault="00400C61" w:rsidP="00BA5523">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На 01.01.2020</w:t>
            </w:r>
          </w:p>
        </w:tc>
        <w:tc>
          <w:tcPr>
            <w:tcW w:w="2160" w:type="dxa"/>
            <w:gridSpan w:val="2"/>
            <w:tcBorders>
              <w:top w:val="double" w:sz="6" w:space="0" w:color="auto"/>
              <w:left w:val="nil"/>
              <w:bottom w:val="single" w:sz="4" w:space="0" w:color="auto"/>
              <w:right w:val="double" w:sz="6" w:space="0" w:color="000000"/>
            </w:tcBorders>
            <w:shd w:val="clear" w:color="auto" w:fill="auto"/>
            <w:vAlign w:val="center"/>
            <w:hideMark/>
          </w:tcPr>
          <w:p w14:paraId="7B84B1AC" w14:textId="77777777" w:rsidR="00400C61" w:rsidRPr="00A53AD7" w:rsidRDefault="00400C6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Изменение за год, (+,-)</w:t>
            </w:r>
          </w:p>
        </w:tc>
      </w:tr>
      <w:tr w:rsidR="00A53AD7" w:rsidRPr="00A53AD7" w14:paraId="686E0DB2" w14:textId="77777777" w:rsidTr="00400C61">
        <w:trPr>
          <w:trHeight w:val="142"/>
          <w:tblHeader/>
        </w:trPr>
        <w:tc>
          <w:tcPr>
            <w:tcW w:w="4909" w:type="dxa"/>
            <w:gridSpan w:val="2"/>
            <w:vMerge/>
            <w:tcBorders>
              <w:left w:val="double" w:sz="6" w:space="0" w:color="auto"/>
              <w:bottom w:val="single" w:sz="4" w:space="0" w:color="auto"/>
              <w:right w:val="single" w:sz="4" w:space="0" w:color="auto"/>
            </w:tcBorders>
            <w:shd w:val="clear" w:color="auto" w:fill="auto"/>
            <w:vAlign w:val="center"/>
          </w:tcPr>
          <w:p w14:paraId="03B63158" w14:textId="48820F38" w:rsidR="00400C61" w:rsidRPr="00A53AD7" w:rsidRDefault="00400C61" w:rsidP="00BA5523">
            <w:pPr>
              <w:spacing w:after="0" w:line="240" w:lineRule="auto"/>
              <w:jc w:val="center"/>
              <w:rPr>
                <w:rFonts w:ascii="Times New Roman" w:eastAsia="Times New Roman" w:hAnsi="Times New Roman"/>
                <w:sz w:val="20"/>
                <w:szCs w:val="20"/>
                <w:lang w:eastAsia="ru-RU"/>
              </w:rPr>
            </w:pPr>
          </w:p>
        </w:tc>
        <w:tc>
          <w:tcPr>
            <w:tcW w:w="1163" w:type="dxa"/>
            <w:vMerge/>
            <w:tcBorders>
              <w:left w:val="nil"/>
              <w:bottom w:val="single" w:sz="4" w:space="0" w:color="auto"/>
              <w:right w:val="single" w:sz="4" w:space="0" w:color="auto"/>
            </w:tcBorders>
            <w:shd w:val="clear" w:color="auto" w:fill="auto"/>
            <w:vAlign w:val="center"/>
          </w:tcPr>
          <w:p w14:paraId="7F8FB071" w14:textId="5C0F0D67" w:rsidR="00400C61" w:rsidRPr="00A53AD7" w:rsidRDefault="00400C61" w:rsidP="00BA5523">
            <w:pPr>
              <w:spacing w:after="0" w:line="240" w:lineRule="auto"/>
              <w:jc w:val="center"/>
              <w:rPr>
                <w:rFonts w:ascii="Times New Roman" w:eastAsia="Times New Roman" w:hAnsi="Times New Roman"/>
                <w:sz w:val="20"/>
                <w:szCs w:val="20"/>
                <w:lang w:eastAsia="ru-RU"/>
              </w:rPr>
            </w:pPr>
          </w:p>
        </w:tc>
        <w:tc>
          <w:tcPr>
            <w:tcW w:w="1134" w:type="dxa"/>
            <w:vMerge/>
            <w:tcBorders>
              <w:left w:val="nil"/>
              <w:bottom w:val="single" w:sz="4" w:space="0" w:color="auto"/>
              <w:right w:val="single" w:sz="4" w:space="0" w:color="auto"/>
            </w:tcBorders>
            <w:shd w:val="clear" w:color="auto" w:fill="auto"/>
            <w:vAlign w:val="center"/>
          </w:tcPr>
          <w:p w14:paraId="4670D716" w14:textId="5B621010" w:rsidR="00400C61" w:rsidRPr="00A53AD7" w:rsidRDefault="00400C61" w:rsidP="00BA5523">
            <w:pPr>
              <w:spacing w:after="0" w:line="240" w:lineRule="auto"/>
              <w:jc w:val="center"/>
              <w:rPr>
                <w:rFonts w:ascii="Times New Roman" w:eastAsia="Times New Roman" w:hAnsi="Times New Roman"/>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tcPr>
          <w:p w14:paraId="71F84087" w14:textId="3E669BC7" w:rsidR="00400C61" w:rsidRPr="00A53AD7" w:rsidRDefault="00400C6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1168" w:type="dxa"/>
            <w:tcBorders>
              <w:top w:val="nil"/>
              <w:left w:val="nil"/>
              <w:bottom w:val="single" w:sz="4" w:space="0" w:color="auto"/>
              <w:right w:val="double" w:sz="6" w:space="0" w:color="auto"/>
            </w:tcBorders>
            <w:shd w:val="clear" w:color="auto" w:fill="auto"/>
            <w:vAlign w:val="center"/>
          </w:tcPr>
          <w:p w14:paraId="5BD07D91" w14:textId="599DD2AA" w:rsidR="00400C61" w:rsidRPr="00A53AD7" w:rsidRDefault="00400C61" w:rsidP="00BA5523">
            <w:pPr>
              <w:spacing w:after="0" w:line="240" w:lineRule="auto"/>
              <w:ind w:left="-74" w:right="-108"/>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A53AD7" w:rsidRPr="00A53AD7" w14:paraId="07EFE3F0" w14:textId="77777777" w:rsidTr="00400C61">
        <w:trPr>
          <w:trHeight w:val="169"/>
          <w:tblHeader/>
        </w:trPr>
        <w:tc>
          <w:tcPr>
            <w:tcW w:w="4088" w:type="dxa"/>
            <w:tcBorders>
              <w:top w:val="nil"/>
              <w:left w:val="double" w:sz="6" w:space="0" w:color="auto"/>
              <w:bottom w:val="single" w:sz="4" w:space="0" w:color="auto"/>
              <w:right w:val="single" w:sz="4" w:space="0" w:color="auto"/>
            </w:tcBorders>
            <w:shd w:val="clear" w:color="auto" w:fill="auto"/>
            <w:vAlign w:val="center"/>
          </w:tcPr>
          <w:p w14:paraId="3CDC8189" w14:textId="15D63F74" w:rsidR="00400C61" w:rsidRPr="00A53AD7" w:rsidRDefault="00400C61" w:rsidP="00400C61">
            <w:pPr>
              <w:spacing w:after="0" w:line="240" w:lineRule="auto"/>
              <w:ind w:right="-108"/>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А</w:t>
            </w:r>
          </w:p>
        </w:tc>
        <w:tc>
          <w:tcPr>
            <w:tcW w:w="821" w:type="dxa"/>
            <w:tcBorders>
              <w:top w:val="nil"/>
              <w:left w:val="nil"/>
              <w:bottom w:val="single" w:sz="4" w:space="0" w:color="auto"/>
              <w:right w:val="single" w:sz="4" w:space="0" w:color="auto"/>
            </w:tcBorders>
            <w:shd w:val="clear" w:color="auto" w:fill="auto"/>
            <w:vAlign w:val="center"/>
          </w:tcPr>
          <w:p w14:paraId="72623FA8" w14:textId="574D01AE" w:rsidR="00400C61" w:rsidRPr="00A53AD7" w:rsidRDefault="00400C61" w:rsidP="00400C61">
            <w:pPr>
              <w:spacing w:after="0" w:line="240" w:lineRule="auto"/>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В</w:t>
            </w:r>
          </w:p>
        </w:tc>
        <w:tc>
          <w:tcPr>
            <w:tcW w:w="1163" w:type="dxa"/>
            <w:tcBorders>
              <w:top w:val="nil"/>
              <w:left w:val="nil"/>
              <w:bottom w:val="single" w:sz="4" w:space="0" w:color="auto"/>
              <w:right w:val="single" w:sz="4" w:space="0" w:color="auto"/>
            </w:tcBorders>
            <w:shd w:val="clear" w:color="auto" w:fill="auto"/>
            <w:vAlign w:val="center"/>
          </w:tcPr>
          <w:p w14:paraId="3E30F689" w14:textId="4046676C" w:rsidR="00400C61" w:rsidRPr="00A53AD7" w:rsidRDefault="00400C61" w:rsidP="00400C61">
            <w:pPr>
              <w:spacing w:after="0" w:line="240" w:lineRule="auto"/>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vAlign w:val="center"/>
          </w:tcPr>
          <w:p w14:paraId="776EABD3" w14:textId="67FA73B2" w:rsidR="00400C61" w:rsidRPr="00A53AD7" w:rsidRDefault="00400C61" w:rsidP="00400C61">
            <w:pPr>
              <w:spacing w:after="0" w:line="240" w:lineRule="auto"/>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vAlign w:val="center"/>
          </w:tcPr>
          <w:p w14:paraId="6BC2B77C" w14:textId="0E356F39" w:rsidR="00400C61" w:rsidRPr="00A53AD7" w:rsidRDefault="00400C61" w:rsidP="00400C61">
            <w:pPr>
              <w:spacing w:after="0" w:line="240" w:lineRule="auto"/>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3=2-1</w:t>
            </w:r>
          </w:p>
        </w:tc>
        <w:tc>
          <w:tcPr>
            <w:tcW w:w="1168" w:type="dxa"/>
            <w:tcBorders>
              <w:top w:val="nil"/>
              <w:left w:val="nil"/>
              <w:bottom w:val="single" w:sz="4" w:space="0" w:color="auto"/>
              <w:right w:val="double" w:sz="6" w:space="0" w:color="auto"/>
            </w:tcBorders>
            <w:shd w:val="clear" w:color="auto" w:fill="auto"/>
            <w:vAlign w:val="center"/>
          </w:tcPr>
          <w:p w14:paraId="2805F760" w14:textId="51BED647" w:rsidR="00400C61" w:rsidRPr="00A53AD7" w:rsidRDefault="00400C61" w:rsidP="00400C61">
            <w:pPr>
              <w:spacing w:after="0" w:line="240" w:lineRule="auto"/>
              <w:jc w:val="center"/>
              <w:rPr>
                <w:rFonts w:ascii="Times New Roman" w:eastAsia="Times New Roman" w:hAnsi="Times New Roman"/>
                <w:lang w:eastAsia="ru-RU"/>
              </w:rPr>
            </w:pPr>
            <w:r w:rsidRPr="00A53AD7">
              <w:rPr>
                <w:rFonts w:ascii="Times New Roman" w:eastAsia="Times New Roman" w:hAnsi="Times New Roman"/>
                <w:sz w:val="20"/>
                <w:szCs w:val="20"/>
                <w:lang w:eastAsia="ru-RU"/>
              </w:rPr>
              <w:t>4=2/1*100</w:t>
            </w:r>
            <w:r w:rsidR="008A415E" w:rsidRPr="00A53AD7">
              <w:rPr>
                <w:rFonts w:ascii="Times New Roman" w:eastAsia="Times New Roman" w:hAnsi="Times New Roman"/>
                <w:sz w:val="20"/>
                <w:szCs w:val="20"/>
                <w:lang w:eastAsia="ru-RU"/>
              </w:rPr>
              <w:t>-100</w:t>
            </w:r>
          </w:p>
        </w:tc>
      </w:tr>
      <w:tr w:rsidR="00A53AD7" w:rsidRPr="00A53AD7" w14:paraId="176B9CA1" w14:textId="77777777" w:rsidTr="00400C61">
        <w:trPr>
          <w:trHeight w:val="300"/>
        </w:trPr>
        <w:tc>
          <w:tcPr>
            <w:tcW w:w="4088" w:type="dxa"/>
            <w:tcBorders>
              <w:top w:val="nil"/>
              <w:left w:val="double" w:sz="6" w:space="0" w:color="auto"/>
              <w:bottom w:val="single" w:sz="4" w:space="0" w:color="auto"/>
              <w:right w:val="single" w:sz="4" w:space="0" w:color="auto"/>
            </w:tcBorders>
            <w:shd w:val="clear" w:color="auto" w:fill="auto"/>
            <w:vAlign w:val="center"/>
            <w:hideMark/>
          </w:tcPr>
          <w:p w14:paraId="611066B0" w14:textId="77777777" w:rsidR="00D01D81" w:rsidRPr="00A53AD7" w:rsidRDefault="00D01D81" w:rsidP="00BA5523">
            <w:pPr>
              <w:spacing w:after="0" w:line="240" w:lineRule="auto"/>
              <w:ind w:right="-108"/>
              <w:rPr>
                <w:rFonts w:ascii="Times New Roman" w:eastAsia="Times New Roman" w:hAnsi="Times New Roman"/>
                <w:lang w:eastAsia="ru-RU"/>
              </w:rPr>
            </w:pPr>
            <w:r w:rsidRPr="00A53AD7">
              <w:rPr>
                <w:rFonts w:ascii="Times New Roman" w:eastAsia="Times New Roman" w:hAnsi="Times New Roman"/>
                <w:lang w:eastAsia="ru-RU"/>
              </w:rPr>
              <w:t>Доходы от использования имущества, из них:</w:t>
            </w:r>
          </w:p>
        </w:tc>
        <w:tc>
          <w:tcPr>
            <w:tcW w:w="821" w:type="dxa"/>
            <w:tcBorders>
              <w:top w:val="nil"/>
              <w:left w:val="nil"/>
              <w:bottom w:val="single" w:sz="4" w:space="0" w:color="auto"/>
              <w:right w:val="single" w:sz="4" w:space="0" w:color="auto"/>
            </w:tcBorders>
            <w:shd w:val="clear" w:color="auto" w:fill="auto"/>
            <w:vAlign w:val="bottom"/>
            <w:hideMark/>
          </w:tcPr>
          <w:p w14:paraId="4D4065E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205.00</w:t>
            </w:r>
          </w:p>
        </w:tc>
        <w:tc>
          <w:tcPr>
            <w:tcW w:w="1163" w:type="dxa"/>
            <w:tcBorders>
              <w:top w:val="nil"/>
              <w:left w:val="nil"/>
              <w:bottom w:val="single" w:sz="4" w:space="0" w:color="auto"/>
              <w:right w:val="single" w:sz="4" w:space="0" w:color="auto"/>
            </w:tcBorders>
            <w:shd w:val="clear" w:color="auto" w:fill="auto"/>
            <w:vAlign w:val="bottom"/>
            <w:hideMark/>
          </w:tcPr>
          <w:p w14:paraId="3A91FAF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30,8 </w:t>
            </w:r>
          </w:p>
        </w:tc>
        <w:tc>
          <w:tcPr>
            <w:tcW w:w="1134" w:type="dxa"/>
            <w:tcBorders>
              <w:top w:val="nil"/>
              <w:left w:val="nil"/>
              <w:bottom w:val="single" w:sz="4" w:space="0" w:color="auto"/>
              <w:right w:val="single" w:sz="4" w:space="0" w:color="auto"/>
            </w:tcBorders>
            <w:shd w:val="clear" w:color="auto" w:fill="auto"/>
            <w:vAlign w:val="bottom"/>
            <w:hideMark/>
          </w:tcPr>
          <w:p w14:paraId="0D561B2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39,6 </w:t>
            </w:r>
          </w:p>
        </w:tc>
        <w:tc>
          <w:tcPr>
            <w:tcW w:w="992" w:type="dxa"/>
            <w:tcBorders>
              <w:top w:val="nil"/>
              <w:left w:val="nil"/>
              <w:bottom w:val="single" w:sz="4" w:space="0" w:color="auto"/>
              <w:right w:val="single" w:sz="4" w:space="0" w:color="auto"/>
            </w:tcBorders>
            <w:shd w:val="clear" w:color="auto" w:fill="auto"/>
            <w:vAlign w:val="bottom"/>
            <w:hideMark/>
          </w:tcPr>
          <w:p w14:paraId="3B5D0C0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8,8 </w:t>
            </w:r>
          </w:p>
        </w:tc>
        <w:tc>
          <w:tcPr>
            <w:tcW w:w="1168" w:type="dxa"/>
            <w:tcBorders>
              <w:top w:val="nil"/>
              <w:left w:val="nil"/>
              <w:bottom w:val="single" w:sz="4" w:space="0" w:color="auto"/>
              <w:right w:val="double" w:sz="6" w:space="0" w:color="auto"/>
            </w:tcBorders>
            <w:shd w:val="clear" w:color="auto" w:fill="auto"/>
            <w:vAlign w:val="bottom"/>
            <w:hideMark/>
          </w:tcPr>
          <w:p w14:paraId="7BA22B7F" w14:textId="5CF1255D" w:rsidR="00D01D81" w:rsidRPr="00A53AD7" w:rsidRDefault="00203D76"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28,6</w:t>
            </w:r>
            <w:r w:rsidR="00D01D81" w:rsidRPr="00A53AD7">
              <w:rPr>
                <w:rFonts w:ascii="Times New Roman" w:eastAsia="Times New Roman" w:hAnsi="Times New Roman"/>
                <w:lang w:eastAsia="ru-RU"/>
              </w:rPr>
              <w:t xml:space="preserve"> </w:t>
            </w:r>
          </w:p>
        </w:tc>
      </w:tr>
      <w:tr w:rsidR="00A53AD7" w:rsidRPr="00A53AD7" w14:paraId="2B2728B1" w14:textId="77777777" w:rsidTr="00400C61">
        <w:trPr>
          <w:trHeight w:val="415"/>
        </w:trPr>
        <w:tc>
          <w:tcPr>
            <w:tcW w:w="4088" w:type="dxa"/>
            <w:tcBorders>
              <w:top w:val="nil"/>
              <w:left w:val="double" w:sz="6" w:space="0" w:color="auto"/>
              <w:bottom w:val="single" w:sz="4" w:space="0" w:color="auto"/>
              <w:right w:val="single" w:sz="4" w:space="0" w:color="auto"/>
            </w:tcBorders>
            <w:shd w:val="clear" w:color="auto" w:fill="auto"/>
            <w:vAlign w:val="center"/>
            <w:hideMark/>
          </w:tcPr>
          <w:p w14:paraId="166478C6" w14:textId="77777777" w:rsidR="00D01D81" w:rsidRPr="00A53AD7" w:rsidRDefault="00D01D81" w:rsidP="00BA5523">
            <w:pPr>
              <w:spacing w:after="0" w:line="240" w:lineRule="auto"/>
              <w:ind w:left="11" w:firstLine="284"/>
              <w:rPr>
                <w:rFonts w:ascii="Times New Roman" w:eastAsia="Times New Roman" w:hAnsi="Times New Roman"/>
                <w:lang w:eastAsia="ru-RU"/>
              </w:rPr>
            </w:pPr>
            <w:r w:rsidRPr="00A53AD7">
              <w:rPr>
                <w:rFonts w:ascii="Times New Roman" w:eastAsia="Times New Roman" w:hAnsi="Times New Roman"/>
                <w:lang w:eastAsia="ru-RU"/>
              </w:rPr>
              <w:t>Доходы, получаемые в виде арендной платы, а также средства от продажи права на заключение договоров аренды за земли…)</w:t>
            </w:r>
          </w:p>
        </w:tc>
        <w:tc>
          <w:tcPr>
            <w:tcW w:w="821" w:type="dxa"/>
            <w:vMerge w:val="restart"/>
            <w:tcBorders>
              <w:top w:val="nil"/>
              <w:left w:val="single" w:sz="4" w:space="0" w:color="auto"/>
              <w:bottom w:val="single" w:sz="4" w:space="0" w:color="000000"/>
              <w:right w:val="single" w:sz="4" w:space="0" w:color="auto"/>
            </w:tcBorders>
            <w:shd w:val="clear" w:color="auto" w:fill="auto"/>
            <w:vAlign w:val="center"/>
            <w:hideMark/>
          </w:tcPr>
          <w:p w14:paraId="277A04D2"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205.23</w:t>
            </w:r>
          </w:p>
        </w:tc>
        <w:tc>
          <w:tcPr>
            <w:tcW w:w="1163" w:type="dxa"/>
            <w:tcBorders>
              <w:top w:val="nil"/>
              <w:left w:val="nil"/>
              <w:bottom w:val="single" w:sz="4" w:space="0" w:color="auto"/>
              <w:right w:val="single" w:sz="4" w:space="0" w:color="auto"/>
            </w:tcBorders>
            <w:shd w:val="clear" w:color="auto" w:fill="auto"/>
            <w:vAlign w:val="bottom"/>
            <w:hideMark/>
          </w:tcPr>
          <w:p w14:paraId="0F17AB4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25,5 </w:t>
            </w:r>
          </w:p>
        </w:tc>
        <w:tc>
          <w:tcPr>
            <w:tcW w:w="1134" w:type="dxa"/>
            <w:tcBorders>
              <w:top w:val="nil"/>
              <w:left w:val="nil"/>
              <w:bottom w:val="single" w:sz="4" w:space="0" w:color="auto"/>
              <w:right w:val="single" w:sz="4" w:space="0" w:color="auto"/>
            </w:tcBorders>
            <w:shd w:val="clear" w:color="auto" w:fill="auto"/>
            <w:vAlign w:val="bottom"/>
            <w:hideMark/>
          </w:tcPr>
          <w:p w14:paraId="1A139FF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24,7 </w:t>
            </w:r>
          </w:p>
        </w:tc>
        <w:tc>
          <w:tcPr>
            <w:tcW w:w="992" w:type="dxa"/>
            <w:tcBorders>
              <w:top w:val="nil"/>
              <w:left w:val="nil"/>
              <w:bottom w:val="single" w:sz="4" w:space="0" w:color="auto"/>
              <w:right w:val="single" w:sz="4" w:space="0" w:color="auto"/>
            </w:tcBorders>
            <w:shd w:val="clear" w:color="auto" w:fill="auto"/>
            <w:vAlign w:val="bottom"/>
            <w:hideMark/>
          </w:tcPr>
          <w:p w14:paraId="7DEC64E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1168" w:type="dxa"/>
            <w:tcBorders>
              <w:top w:val="nil"/>
              <w:left w:val="nil"/>
              <w:bottom w:val="single" w:sz="4" w:space="0" w:color="auto"/>
              <w:right w:val="double" w:sz="6" w:space="0" w:color="auto"/>
            </w:tcBorders>
            <w:shd w:val="clear" w:color="auto" w:fill="auto"/>
            <w:vAlign w:val="bottom"/>
            <w:hideMark/>
          </w:tcPr>
          <w:p w14:paraId="70E8B9A7" w14:textId="323F33A4" w:rsidR="00D01D81" w:rsidRPr="00A53AD7" w:rsidRDefault="00D01D81" w:rsidP="008A415E">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w:t>
            </w:r>
            <w:r w:rsidR="008A415E" w:rsidRPr="00A53AD7">
              <w:rPr>
                <w:rFonts w:ascii="Times New Roman" w:eastAsia="Times New Roman" w:hAnsi="Times New Roman"/>
                <w:lang w:eastAsia="ru-RU"/>
              </w:rPr>
              <w:t>1</w:t>
            </w:r>
            <w:r w:rsidRPr="00A53AD7">
              <w:rPr>
                <w:rFonts w:ascii="Times New Roman" w:eastAsia="Times New Roman" w:hAnsi="Times New Roman"/>
                <w:lang w:eastAsia="ru-RU"/>
              </w:rPr>
              <w:t xml:space="preserve"> </w:t>
            </w:r>
          </w:p>
        </w:tc>
      </w:tr>
      <w:tr w:rsidR="00A53AD7" w:rsidRPr="00A53AD7" w14:paraId="14D60BBF" w14:textId="77777777" w:rsidTr="00400C61">
        <w:trPr>
          <w:trHeight w:val="903"/>
        </w:trPr>
        <w:tc>
          <w:tcPr>
            <w:tcW w:w="4088" w:type="dxa"/>
            <w:tcBorders>
              <w:top w:val="nil"/>
              <w:left w:val="double" w:sz="6" w:space="0" w:color="auto"/>
              <w:bottom w:val="single" w:sz="4" w:space="0" w:color="auto"/>
              <w:right w:val="single" w:sz="4" w:space="0" w:color="auto"/>
            </w:tcBorders>
            <w:shd w:val="clear" w:color="auto" w:fill="auto"/>
            <w:vAlign w:val="center"/>
            <w:hideMark/>
          </w:tcPr>
          <w:p w14:paraId="1850CCDE"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Плата по соглашениям об установлении сервитута, заключенным органами исполнительной власти субъектов…</w:t>
            </w:r>
          </w:p>
        </w:tc>
        <w:tc>
          <w:tcPr>
            <w:tcW w:w="821" w:type="dxa"/>
            <w:vMerge/>
            <w:tcBorders>
              <w:top w:val="nil"/>
              <w:left w:val="single" w:sz="4" w:space="0" w:color="auto"/>
              <w:bottom w:val="single" w:sz="4" w:space="0" w:color="000000"/>
              <w:right w:val="single" w:sz="4" w:space="0" w:color="auto"/>
            </w:tcBorders>
            <w:vAlign w:val="center"/>
            <w:hideMark/>
          </w:tcPr>
          <w:p w14:paraId="6ED02DD2" w14:textId="77777777" w:rsidR="00D01D81" w:rsidRPr="00A53AD7" w:rsidRDefault="00D01D81" w:rsidP="00BA5523">
            <w:pPr>
              <w:spacing w:after="0" w:line="240" w:lineRule="auto"/>
              <w:rPr>
                <w:rFonts w:ascii="Times New Roman" w:eastAsia="Times New Roman" w:hAnsi="Times New Roman"/>
                <w:lang w:eastAsia="ru-RU"/>
              </w:rPr>
            </w:pPr>
          </w:p>
        </w:tc>
        <w:tc>
          <w:tcPr>
            <w:tcW w:w="1163" w:type="dxa"/>
            <w:tcBorders>
              <w:top w:val="nil"/>
              <w:left w:val="nil"/>
              <w:bottom w:val="single" w:sz="4" w:space="0" w:color="auto"/>
              <w:right w:val="single" w:sz="4" w:space="0" w:color="auto"/>
            </w:tcBorders>
            <w:shd w:val="clear" w:color="auto" w:fill="auto"/>
            <w:vAlign w:val="bottom"/>
            <w:hideMark/>
          </w:tcPr>
          <w:p w14:paraId="437AD4F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w:t>
            </w:r>
          </w:p>
        </w:tc>
        <w:tc>
          <w:tcPr>
            <w:tcW w:w="1134" w:type="dxa"/>
            <w:tcBorders>
              <w:top w:val="nil"/>
              <w:left w:val="nil"/>
              <w:bottom w:val="single" w:sz="4" w:space="0" w:color="auto"/>
              <w:right w:val="single" w:sz="4" w:space="0" w:color="auto"/>
            </w:tcBorders>
            <w:shd w:val="clear" w:color="auto" w:fill="auto"/>
            <w:vAlign w:val="bottom"/>
            <w:hideMark/>
          </w:tcPr>
          <w:p w14:paraId="5A47DA9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 </w:t>
            </w:r>
          </w:p>
        </w:tc>
        <w:tc>
          <w:tcPr>
            <w:tcW w:w="992" w:type="dxa"/>
            <w:tcBorders>
              <w:top w:val="nil"/>
              <w:left w:val="nil"/>
              <w:bottom w:val="single" w:sz="4" w:space="0" w:color="auto"/>
              <w:right w:val="single" w:sz="4" w:space="0" w:color="auto"/>
            </w:tcBorders>
            <w:shd w:val="clear" w:color="auto" w:fill="auto"/>
            <w:vAlign w:val="bottom"/>
            <w:hideMark/>
          </w:tcPr>
          <w:p w14:paraId="1198F5A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168" w:type="dxa"/>
            <w:tcBorders>
              <w:top w:val="nil"/>
              <w:left w:val="nil"/>
              <w:bottom w:val="single" w:sz="4" w:space="0" w:color="auto"/>
              <w:right w:val="double" w:sz="6" w:space="0" w:color="auto"/>
            </w:tcBorders>
            <w:shd w:val="clear" w:color="auto" w:fill="auto"/>
            <w:vAlign w:val="bottom"/>
            <w:hideMark/>
          </w:tcPr>
          <w:p w14:paraId="34149648" w14:textId="2407BDBE"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A53AD7" w:rsidRPr="00A53AD7" w14:paraId="654F0A29" w14:textId="77777777" w:rsidTr="00400C61">
        <w:trPr>
          <w:trHeight w:val="1002"/>
        </w:trPr>
        <w:tc>
          <w:tcPr>
            <w:tcW w:w="4088" w:type="dxa"/>
            <w:tcBorders>
              <w:top w:val="nil"/>
              <w:left w:val="double" w:sz="6" w:space="0" w:color="auto"/>
              <w:bottom w:val="single" w:sz="4" w:space="0" w:color="auto"/>
              <w:right w:val="single" w:sz="4" w:space="0" w:color="auto"/>
            </w:tcBorders>
            <w:shd w:val="clear" w:color="auto" w:fill="auto"/>
            <w:vAlign w:val="center"/>
            <w:hideMark/>
          </w:tcPr>
          <w:p w14:paraId="728D4BB7" w14:textId="77777777" w:rsidR="00D01D81" w:rsidRPr="00A53AD7" w:rsidRDefault="00D01D81" w:rsidP="00400C61">
            <w:pPr>
              <w:spacing w:after="0" w:line="240" w:lineRule="auto"/>
              <w:ind w:firstLine="295"/>
              <w:rPr>
                <w:rFonts w:ascii="Times New Roman" w:eastAsia="Times New Roman" w:hAnsi="Times New Roman"/>
                <w:lang w:eastAsia="ru-RU"/>
              </w:rPr>
            </w:pPr>
            <w:r w:rsidRPr="00A53AD7">
              <w:rPr>
                <w:rFonts w:ascii="Times New Roman" w:eastAsia="Times New Roman" w:hAnsi="Times New Roman"/>
                <w:lang w:eastAsia="ru-RU"/>
              </w:rPr>
              <w:t>Доходы от сдачи в аренду имущества, находящегося в оперативном управлении органов государственной власти субъектов …</w:t>
            </w:r>
          </w:p>
        </w:tc>
        <w:tc>
          <w:tcPr>
            <w:tcW w:w="821" w:type="dxa"/>
            <w:vMerge w:val="restart"/>
            <w:tcBorders>
              <w:top w:val="nil"/>
              <w:left w:val="single" w:sz="4" w:space="0" w:color="auto"/>
              <w:bottom w:val="single" w:sz="4" w:space="0" w:color="000000"/>
              <w:right w:val="single" w:sz="4" w:space="0" w:color="auto"/>
            </w:tcBorders>
            <w:shd w:val="clear" w:color="auto" w:fill="auto"/>
            <w:vAlign w:val="center"/>
            <w:hideMark/>
          </w:tcPr>
          <w:p w14:paraId="319EA79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205.21</w:t>
            </w:r>
          </w:p>
        </w:tc>
        <w:tc>
          <w:tcPr>
            <w:tcW w:w="1163" w:type="dxa"/>
            <w:tcBorders>
              <w:top w:val="nil"/>
              <w:left w:val="nil"/>
              <w:bottom w:val="single" w:sz="4" w:space="0" w:color="auto"/>
              <w:right w:val="single" w:sz="4" w:space="0" w:color="auto"/>
            </w:tcBorders>
            <w:shd w:val="clear" w:color="auto" w:fill="auto"/>
            <w:vAlign w:val="bottom"/>
            <w:hideMark/>
          </w:tcPr>
          <w:p w14:paraId="2E8F115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c>
          <w:tcPr>
            <w:tcW w:w="1134" w:type="dxa"/>
            <w:tcBorders>
              <w:top w:val="nil"/>
              <w:left w:val="nil"/>
              <w:bottom w:val="single" w:sz="4" w:space="0" w:color="auto"/>
              <w:right w:val="single" w:sz="4" w:space="0" w:color="auto"/>
            </w:tcBorders>
            <w:shd w:val="clear" w:color="auto" w:fill="auto"/>
            <w:vAlign w:val="bottom"/>
            <w:hideMark/>
          </w:tcPr>
          <w:p w14:paraId="4199CC4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c>
          <w:tcPr>
            <w:tcW w:w="992" w:type="dxa"/>
            <w:tcBorders>
              <w:top w:val="nil"/>
              <w:left w:val="nil"/>
              <w:bottom w:val="single" w:sz="4" w:space="0" w:color="auto"/>
              <w:right w:val="single" w:sz="4" w:space="0" w:color="auto"/>
            </w:tcBorders>
            <w:shd w:val="clear" w:color="auto" w:fill="auto"/>
            <w:vAlign w:val="bottom"/>
            <w:hideMark/>
          </w:tcPr>
          <w:p w14:paraId="443F12D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168" w:type="dxa"/>
            <w:tcBorders>
              <w:top w:val="nil"/>
              <w:left w:val="nil"/>
              <w:bottom w:val="single" w:sz="4" w:space="0" w:color="auto"/>
              <w:right w:val="double" w:sz="6" w:space="0" w:color="auto"/>
            </w:tcBorders>
            <w:shd w:val="clear" w:color="auto" w:fill="auto"/>
            <w:vAlign w:val="bottom"/>
            <w:hideMark/>
          </w:tcPr>
          <w:p w14:paraId="42C39C46" w14:textId="19CEDA73"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A53AD7" w:rsidRPr="00A53AD7" w14:paraId="348FE211" w14:textId="77777777" w:rsidTr="00400C61">
        <w:trPr>
          <w:trHeight w:val="900"/>
        </w:trPr>
        <w:tc>
          <w:tcPr>
            <w:tcW w:w="4088" w:type="dxa"/>
            <w:tcBorders>
              <w:top w:val="nil"/>
              <w:left w:val="double" w:sz="6" w:space="0" w:color="auto"/>
              <w:bottom w:val="single" w:sz="4" w:space="0" w:color="auto"/>
              <w:right w:val="single" w:sz="4" w:space="0" w:color="auto"/>
            </w:tcBorders>
            <w:shd w:val="clear" w:color="auto" w:fill="auto"/>
            <w:vAlign w:val="center"/>
            <w:hideMark/>
          </w:tcPr>
          <w:p w14:paraId="2445B3D8"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Доходы от сдачи в аренду имущества, составляющего казну субъекта Российской Федерации (за исключением земельных участков)</w:t>
            </w:r>
          </w:p>
        </w:tc>
        <w:tc>
          <w:tcPr>
            <w:tcW w:w="821" w:type="dxa"/>
            <w:vMerge/>
            <w:tcBorders>
              <w:top w:val="nil"/>
              <w:left w:val="single" w:sz="4" w:space="0" w:color="auto"/>
              <w:bottom w:val="single" w:sz="4" w:space="0" w:color="000000"/>
              <w:right w:val="single" w:sz="4" w:space="0" w:color="auto"/>
            </w:tcBorders>
            <w:vAlign w:val="center"/>
            <w:hideMark/>
          </w:tcPr>
          <w:p w14:paraId="21111CFE" w14:textId="77777777" w:rsidR="00D01D81" w:rsidRPr="00A53AD7" w:rsidRDefault="00D01D81" w:rsidP="00BA5523">
            <w:pPr>
              <w:spacing w:after="0" w:line="240" w:lineRule="auto"/>
              <w:rPr>
                <w:rFonts w:ascii="Times New Roman" w:eastAsia="Times New Roman" w:hAnsi="Times New Roman"/>
                <w:lang w:eastAsia="ru-RU"/>
              </w:rPr>
            </w:pPr>
          </w:p>
        </w:tc>
        <w:tc>
          <w:tcPr>
            <w:tcW w:w="1163" w:type="dxa"/>
            <w:tcBorders>
              <w:top w:val="nil"/>
              <w:left w:val="nil"/>
              <w:bottom w:val="single" w:sz="4" w:space="0" w:color="auto"/>
              <w:right w:val="single" w:sz="4" w:space="0" w:color="auto"/>
            </w:tcBorders>
            <w:shd w:val="clear" w:color="auto" w:fill="auto"/>
            <w:vAlign w:val="bottom"/>
            <w:hideMark/>
          </w:tcPr>
          <w:p w14:paraId="2892069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 </w:t>
            </w:r>
          </w:p>
        </w:tc>
        <w:tc>
          <w:tcPr>
            <w:tcW w:w="1134" w:type="dxa"/>
            <w:tcBorders>
              <w:top w:val="nil"/>
              <w:left w:val="nil"/>
              <w:bottom w:val="single" w:sz="4" w:space="0" w:color="auto"/>
              <w:right w:val="single" w:sz="4" w:space="0" w:color="auto"/>
            </w:tcBorders>
            <w:shd w:val="clear" w:color="auto" w:fill="auto"/>
            <w:vAlign w:val="bottom"/>
            <w:hideMark/>
          </w:tcPr>
          <w:p w14:paraId="051422F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c>
          <w:tcPr>
            <w:tcW w:w="992" w:type="dxa"/>
            <w:tcBorders>
              <w:top w:val="nil"/>
              <w:left w:val="nil"/>
              <w:bottom w:val="single" w:sz="4" w:space="0" w:color="auto"/>
              <w:right w:val="single" w:sz="4" w:space="0" w:color="auto"/>
            </w:tcBorders>
            <w:shd w:val="clear" w:color="auto" w:fill="auto"/>
            <w:vAlign w:val="bottom"/>
            <w:hideMark/>
          </w:tcPr>
          <w:p w14:paraId="708EB34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-0,5 </w:t>
            </w:r>
          </w:p>
        </w:tc>
        <w:tc>
          <w:tcPr>
            <w:tcW w:w="1168" w:type="dxa"/>
            <w:tcBorders>
              <w:top w:val="nil"/>
              <w:left w:val="nil"/>
              <w:bottom w:val="single" w:sz="4" w:space="0" w:color="auto"/>
              <w:right w:val="double" w:sz="6" w:space="0" w:color="auto"/>
            </w:tcBorders>
            <w:shd w:val="clear" w:color="auto" w:fill="auto"/>
            <w:vAlign w:val="bottom"/>
            <w:hideMark/>
          </w:tcPr>
          <w:p w14:paraId="2D807832" w14:textId="5F1D6523" w:rsidR="00D01D81" w:rsidRPr="00A53AD7" w:rsidRDefault="00D01D81" w:rsidP="004062C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w:t>
            </w:r>
            <w:r w:rsidR="004062C4" w:rsidRPr="00A53AD7">
              <w:rPr>
                <w:rFonts w:ascii="Times New Roman" w:eastAsia="Times New Roman" w:hAnsi="Times New Roman"/>
                <w:lang w:eastAsia="ru-RU"/>
              </w:rPr>
              <w:t>7,4</w:t>
            </w:r>
            <w:r w:rsidRPr="00A53AD7">
              <w:rPr>
                <w:rFonts w:ascii="Times New Roman" w:eastAsia="Times New Roman" w:hAnsi="Times New Roman"/>
                <w:lang w:eastAsia="ru-RU"/>
              </w:rPr>
              <w:t xml:space="preserve"> </w:t>
            </w:r>
          </w:p>
        </w:tc>
      </w:tr>
      <w:tr w:rsidR="00D01D81" w:rsidRPr="00A53AD7" w14:paraId="34EB88CB" w14:textId="77777777" w:rsidTr="00400C61">
        <w:trPr>
          <w:trHeight w:val="1215"/>
        </w:trPr>
        <w:tc>
          <w:tcPr>
            <w:tcW w:w="4088" w:type="dxa"/>
            <w:tcBorders>
              <w:top w:val="nil"/>
              <w:left w:val="double" w:sz="6" w:space="0" w:color="auto"/>
              <w:bottom w:val="double" w:sz="6" w:space="0" w:color="auto"/>
              <w:right w:val="single" w:sz="4" w:space="0" w:color="auto"/>
            </w:tcBorders>
            <w:shd w:val="clear" w:color="auto" w:fill="auto"/>
            <w:vAlign w:val="center"/>
            <w:hideMark/>
          </w:tcPr>
          <w:p w14:paraId="0EE08018"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821" w:type="dxa"/>
            <w:tcBorders>
              <w:top w:val="nil"/>
              <w:left w:val="nil"/>
              <w:bottom w:val="double" w:sz="6" w:space="0" w:color="auto"/>
              <w:right w:val="single" w:sz="4" w:space="0" w:color="auto"/>
            </w:tcBorders>
            <w:shd w:val="clear" w:color="auto" w:fill="auto"/>
            <w:vAlign w:val="center"/>
            <w:hideMark/>
          </w:tcPr>
          <w:p w14:paraId="559ECAFF"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205.27</w:t>
            </w:r>
          </w:p>
        </w:tc>
        <w:tc>
          <w:tcPr>
            <w:tcW w:w="1163" w:type="dxa"/>
            <w:tcBorders>
              <w:top w:val="nil"/>
              <w:left w:val="nil"/>
              <w:bottom w:val="double" w:sz="6" w:space="0" w:color="auto"/>
              <w:right w:val="single" w:sz="4" w:space="0" w:color="auto"/>
            </w:tcBorders>
            <w:shd w:val="clear" w:color="auto" w:fill="auto"/>
            <w:vAlign w:val="bottom"/>
            <w:hideMark/>
          </w:tcPr>
          <w:p w14:paraId="47DE6DE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134" w:type="dxa"/>
            <w:tcBorders>
              <w:top w:val="nil"/>
              <w:left w:val="nil"/>
              <w:bottom w:val="double" w:sz="6" w:space="0" w:color="auto"/>
              <w:right w:val="single" w:sz="4" w:space="0" w:color="auto"/>
            </w:tcBorders>
            <w:shd w:val="clear" w:color="auto" w:fill="auto"/>
            <w:vAlign w:val="bottom"/>
            <w:hideMark/>
          </w:tcPr>
          <w:p w14:paraId="3B2B2BE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 </w:t>
            </w:r>
          </w:p>
        </w:tc>
        <w:tc>
          <w:tcPr>
            <w:tcW w:w="992" w:type="dxa"/>
            <w:tcBorders>
              <w:top w:val="nil"/>
              <w:left w:val="nil"/>
              <w:bottom w:val="double" w:sz="6" w:space="0" w:color="auto"/>
              <w:right w:val="single" w:sz="4" w:space="0" w:color="auto"/>
            </w:tcBorders>
            <w:shd w:val="clear" w:color="auto" w:fill="auto"/>
            <w:vAlign w:val="bottom"/>
            <w:hideMark/>
          </w:tcPr>
          <w:p w14:paraId="023F455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 </w:t>
            </w:r>
          </w:p>
        </w:tc>
        <w:tc>
          <w:tcPr>
            <w:tcW w:w="1168" w:type="dxa"/>
            <w:tcBorders>
              <w:top w:val="nil"/>
              <w:left w:val="nil"/>
              <w:bottom w:val="double" w:sz="6" w:space="0" w:color="auto"/>
              <w:right w:val="double" w:sz="6" w:space="0" w:color="auto"/>
            </w:tcBorders>
            <w:shd w:val="clear" w:color="auto" w:fill="auto"/>
            <w:vAlign w:val="bottom"/>
            <w:hideMark/>
          </w:tcPr>
          <w:p w14:paraId="5053AB9D" w14:textId="091BB1A6" w:rsidR="00D01D81" w:rsidRPr="00A53AD7" w:rsidRDefault="008A415E" w:rsidP="008A415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bl>
    <w:p w14:paraId="5D4FE81B" w14:textId="77777777" w:rsidR="00400C61" w:rsidRPr="00A53AD7" w:rsidRDefault="00400C61" w:rsidP="00D01D81">
      <w:pPr>
        <w:spacing w:after="0" w:line="240" w:lineRule="auto"/>
        <w:ind w:firstLine="851"/>
        <w:jc w:val="both"/>
        <w:rPr>
          <w:rFonts w:ascii="Times New Roman" w:hAnsi="Times New Roman"/>
          <w:sz w:val="28"/>
          <w:szCs w:val="28"/>
        </w:rPr>
      </w:pPr>
    </w:p>
    <w:p w14:paraId="0A531FBC" w14:textId="1379A8CB"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w:t>
      </w:r>
      <w:r w:rsidR="004062C4" w:rsidRPr="00A53AD7">
        <w:rPr>
          <w:rFonts w:ascii="Times New Roman" w:hAnsi="Times New Roman"/>
          <w:sz w:val="28"/>
          <w:szCs w:val="28"/>
        </w:rPr>
        <w:t>отчетный</w:t>
      </w:r>
      <w:r w:rsidRPr="00A53AD7">
        <w:rPr>
          <w:rFonts w:ascii="Times New Roman" w:hAnsi="Times New Roman"/>
          <w:sz w:val="28"/>
          <w:szCs w:val="28"/>
        </w:rPr>
        <w:t xml:space="preserve"> год дебиторская задолженность по счету 205 «Расчеты по доходам» увеличилась на 8,8 млн.руб. или на 28,</w:t>
      </w:r>
      <w:r w:rsidR="00203D76" w:rsidRPr="00A53AD7">
        <w:rPr>
          <w:rFonts w:ascii="Times New Roman" w:hAnsi="Times New Roman"/>
          <w:sz w:val="28"/>
          <w:szCs w:val="28"/>
        </w:rPr>
        <w:t>6</w:t>
      </w:r>
      <w:r w:rsidRPr="00A53AD7">
        <w:rPr>
          <w:rFonts w:ascii="Times New Roman" w:hAnsi="Times New Roman"/>
          <w:sz w:val="28"/>
          <w:szCs w:val="28"/>
        </w:rPr>
        <w:t> % и составила 39,6 млн.руб., из них 15,1 млн.руб. просроченная дебиторская задолженность, которая также увеличилась на 11,6 млн.руб. в 4,2 раза.</w:t>
      </w:r>
    </w:p>
    <w:p w14:paraId="31F53787" w14:textId="009EF6CB"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w:t>
      </w:r>
      <w:r w:rsidR="000735E3" w:rsidRPr="00A53AD7">
        <w:rPr>
          <w:rFonts w:ascii="Times New Roman" w:hAnsi="Times New Roman"/>
          <w:sz w:val="28"/>
          <w:szCs w:val="28"/>
        </w:rPr>
        <w:t>разрезе поступлений</w:t>
      </w:r>
      <w:r w:rsidRPr="00A53AD7">
        <w:rPr>
          <w:rFonts w:ascii="Times New Roman" w:hAnsi="Times New Roman"/>
          <w:sz w:val="28"/>
          <w:szCs w:val="28"/>
        </w:rPr>
        <w:t xml:space="preserve"> дебиторская задолженность </w:t>
      </w:r>
      <w:r w:rsidR="000735E3" w:rsidRPr="00A53AD7">
        <w:rPr>
          <w:rFonts w:ascii="Times New Roman" w:hAnsi="Times New Roman"/>
          <w:sz w:val="28"/>
          <w:szCs w:val="28"/>
        </w:rPr>
        <w:t xml:space="preserve">на 01.01.2020 </w:t>
      </w:r>
      <w:r w:rsidRPr="00A53AD7">
        <w:rPr>
          <w:rFonts w:ascii="Times New Roman" w:hAnsi="Times New Roman"/>
          <w:sz w:val="28"/>
          <w:szCs w:val="28"/>
        </w:rPr>
        <w:t>сложилась следующим образом:</w:t>
      </w:r>
    </w:p>
    <w:p w14:paraId="56F18455" w14:textId="05BAD172" w:rsidR="00203D76" w:rsidRPr="00A53AD7" w:rsidRDefault="00203D76" w:rsidP="00203D76">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по</w:t>
      </w:r>
      <w:r w:rsidR="00564F11" w:rsidRPr="00A53AD7">
        <w:rPr>
          <w:rFonts w:ascii="Times New Roman" w:hAnsi="Times New Roman"/>
          <w:sz w:val="28"/>
          <w:szCs w:val="28"/>
        </w:rPr>
        <w:t xml:space="preserve"> доходам от аренды имущества</w:t>
      </w:r>
      <w:r w:rsidRPr="00A53AD7">
        <w:rPr>
          <w:rFonts w:ascii="Times New Roman" w:hAnsi="Times New Roman"/>
          <w:sz w:val="28"/>
          <w:szCs w:val="28"/>
        </w:rPr>
        <w:t xml:space="preserve"> дебиторская задолженность составляет 3,7 млн.руб., в том числе 2,3 млн.руб. просроченная задолженность. За отчетный период дебиторская задолженность уменьшилась на 0,5 млн.руб. или на 1</w:t>
      </w:r>
      <w:r w:rsidR="00B14099" w:rsidRPr="00A53AD7">
        <w:rPr>
          <w:rFonts w:ascii="Times New Roman" w:hAnsi="Times New Roman"/>
          <w:sz w:val="28"/>
          <w:szCs w:val="28"/>
        </w:rPr>
        <w:t>1</w:t>
      </w:r>
      <w:r w:rsidRPr="00A53AD7">
        <w:rPr>
          <w:rFonts w:ascii="Times New Roman" w:hAnsi="Times New Roman"/>
          <w:sz w:val="28"/>
          <w:szCs w:val="28"/>
        </w:rPr>
        <w:t>,9 %, просроченная задолженность осталась без изменений;</w:t>
      </w:r>
    </w:p>
    <w:p w14:paraId="0FAA9810" w14:textId="1974FF7C" w:rsidR="00A32677" w:rsidRPr="00A53AD7" w:rsidRDefault="00A32677" w:rsidP="00A32677">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доходам от платежей при пользовании природными ресурсами дебиторская задолженность составила 25,8 млн.руб., просроченная задолженность – 2,8 млн.руб. За отчетный период дебиторская задолженность уменьшилась на 0,8 млн.руб. или на 3,0</w:t>
      </w:r>
      <w:r w:rsidR="0004261C" w:rsidRPr="00A53AD7">
        <w:rPr>
          <w:rFonts w:ascii="Times New Roman" w:hAnsi="Times New Roman"/>
          <w:sz w:val="28"/>
          <w:szCs w:val="28"/>
        </w:rPr>
        <w:t xml:space="preserve"> </w:t>
      </w:r>
      <w:r w:rsidRPr="00A53AD7">
        <w:rPr>
          <w:rFonts w:ascii="Times New Roman" w:hAnsi="Times New Roman"/>
          <w:sz w:val="28"/>
          <w:szCs w:val="28"/>
        </w:rPr>
        <w:t>%, при этом просроченная задолженность увеличилась на 1,6 млн.руб. или в 2,3 раза.</w:t>
      </w:r>
    </w:p>
    <w:p w14:paraId="4B445CF0" w14:textId="06DA5848" w:rsidR="0004261C" w:rsidRPr="00A53AD7" w:rsidRDefault="0004261C" w:rsidP="005A4FAB">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 xml:space="preserve">по </w:t>
      </w:r>
      <w:r w:rsidR="005A4FAB" w:rsidRPr="00A53AD7">
        <w:rPr>
          <w:rFonts w:ascii="Times New Roman" w:hAnsi="Times New Roman"/>
          <w:sz w:val="28"/>
          <w:szCs w:val="28"/>
        </w:rPr>
        <w:t>доходам от перечисления части прибыли, остающейся после уплаты налогов и иных обязательных платежей государственных унитарных предприятий субъектов РФ</w:t>
      </w:r>
      <w:r w:rsidRPr="00A53AD7">
        <w:rPr>
          <w:rFonts w:ascii="Times New Roman" w:hAnsi="Times New Roman"/>
          <w:sz w:val="28"/>
          <w:szCs w:val="28"/>
        </w:rPr>
        <w:t xml:space="preserve"> при отсутствии на начало года задолженность </w:t>
      </w:r>
      <w:r w:rsidR="005A4FAB" w:rsidRPr="00A53AD7">
        <w:rPr>
          <w:rFonts w:ascii="Times New Roman" w:hAnsi="Times New Roman"/>
          <w:sz w:val="28"/>
          <w:szCs w:val="28"/>
        </w:rPr>
        <w:t xml:space="preserve">на 01.01.2020 </w:t>
      </w:r>
      <w:r w:rsidRPr="00A53AD7">
        <w:rPr>
          <w:rFonts w:ascii="Times New Roman" w:hAnsi="Times New Roman"/>
          <w:sz w:val="28"/>
          <w:szCs w:val="28"/>
        </w:rPr>
        <w:t xml:space="preserve">составила 10,0 млн.руб., которая на конец года </w:t>
      </w:r>
      <w:r w:rsidR="005A4FAB" w:rsidRPr="00A53AD7">
        <w:rPr>
          <w:rFonts w:ascii="Times New Roman" w:hAnsi="Times New Roman"/>
          <w:sz w:val="28"/>
          <w:szCs w:val="28"/>
        </w:rPr>
        <w:t>является просроченной.</w:t>
      </w:r>
    </w:p>
    <w:p w14:paraId="023C6590" w14:textId="47281EAD" w:rsidR="00D01D81" w:rsidRPr="00A53AD7" w:rsidRDefault="00126FF7"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D01D81" w:rsidRPr="00A53AD7">
        <w:rPr>
          <w:rFonts w:ascii="Times New Roman" w:hAnsi="Times New Roman"/>
          <w:sz w:val="28"/>
          <w:szCs w:val="28"/>
        </w:rPr>
        <w:t>ложившиеся показатели дебиторской задолженности на 01.01.2020 указывают на возможные резервы при исполнении дох</w:t>
      </w:r>
      <w:r w:rsidRPr="00A53AD7">
        <w:rPr>
          <w:rFonts w:ascii="Times New Roman" w:hAnsi="Times New Roman"/>
          <w:sz w:val="28"/>
          <w:szCs w:val="28"/>
        </w:rPr>
        <w:t>одной части областного бюджета.</w:t>
      </w:r>
    </w:p>
    <w:p w14:paraId="6210F364" w14:textId="4C07C97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Минимуществ</w:t>
      </w:r>
      <w:r w:rsidR="00126FF7" w:rsidRPr="00A53AD7">
        <w:rPr>
          <w:rFonts w:ascii="Times New Roman" w:hAnsi="Times New Roman"/>
          <w:sz w:val="28"/>
          <w:szCs w:val="28"/>
        </w:rPr>
        <w:t>о</w:t>
      </w:r>
      <w:r w:rsidRPr="00A53AD7">
        <w:rPr>
          <w:rFonts w:ascii="Times New Roman" w:hAnsi="Times New Roman"/>
          <w:sz w:val="28"/>
          <w:szCs w:val="28"/>
        </w:rPr>
        <w:t xml:space="preserve"> </w:t>
      </w:r>
      <w:r w:rsidR="00126FF7" w:rsidRPr="00A53AD7">
        <w:rPr>
          <w:rFonts w:ascii="Times New Roman" w:hAnsi="Times New Roman"/>
          <w:sz w:val="28"/>
          <w:szCs w:val="28"/>
        </w:rPr>
        <w:t>принимает меры для</w:t>
      </w:r>
      <w:r w:rsidRPr="00A53AD7">
        <w:rPr>
          <w:rFonts w:ascii="Times New Roman" w:hAnsi="Times New Roman"/>
          <w:sz w:val="28"/>
          <w:szCs w:val="28"/>
        </w:rPr>
        <w:t xml:space="preserve"> погашения дебиторской задолженности: в отчетном году направлено 19 исковых заявлений о взыскании задолженности на сумму 4,6 млн.руб., в том числе 4,4 млн.руб. сумма основного долга и 0,2 млн.руб. пени. Получено 20 решений с учетом иска, поданного в 2018 году, на сумму 1,8 млн.руб., в том числе основной долг – 1,7 млн.руб., пени – 0,1 млн.руб.</w:t>
      </w:r>
    </w:p>
    <w:p w14:paraId="3F56385E"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п.п. 12 ст. 30 областного закона о бюджетном процессе в составе годового отчета об исполнении областного бюджета за 2019 год представлен отчет министерства имущественных отношений Архангельской области о доходах, полученных от использования государственного имущества Архангельской области… и о состоянии задолженности по указанным поступлениям.</w:t>
      </w:r>
    </w:p>
    <w:p w14:paraId="69BD5459" w14:textId="77777777" w:rsidR="00D01D81" w:rsidRPr="00A53AD7" w:rsidRDefault="00D01D81" w:rsidP="00D01D81">
      <w:pPr>
        <w:spacing w:after="0" w:line="240" w:lineRule="auto"/>
        <w:ind w:firstLine="851"/>
        <w:jc w:val="both"/>
        <w:rPr>
          <w:rFonts w:ascii="Times New Roman" w:hAnsi="Times New Roman"/>
          <w:sz w:val="28"/>
          <w:szCs w:val="28"/>
        </w:rPr>
      </w:pPr>
    </w:p>
    <w:p w14:paraId="1F59D13F" w14:textId="4B286EA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8. Платежи при </w:t>
      </w:r>
      <w:r w:rsidRPr="00A53AD7">
        <w:rPr>
          <w:rFonts w:ascii="Times New Roman" w:hAnsi="Times New Roman"/>
          <w:sz w:val="28"/>
          <w:szCs w:val="28"/>
          <w:u w:val="single"/>
        </w:rPr>
        <w:t>пользовании природными ресурсами</w:t>
      </w:r>
      <w:r w:rsidRPr="00A53AD7">
        <w:rPr>
          <w:rFonts w:ascii="Times New Roman" w:hAnsi="Times New Roman"/>
          <w:sz w:val="28"/>
          <w:szCs w:val="28"/>
        </w:rPr>
        <w:t xml:space="preserve"> за 2019 год поступили в сумме 1</w:t>
      </w:r>
      <w:r w:rsidR="00126FF7" w:rsidRPr="00A53AD7">
        <w:rPr>
          <w:rFonts w:ascii="Times New Roman" w:hAnsi="Times New Roman"/>
          <w:sz w:val="28"/>
          <w:szCs w:val="28"/>
        </w:rPr>
        <w:t> </w:t>
      </w:r>
      <w:r w:rsidRPr="00A53AD7">
        <w:rPr>
          <w:rFonts w:ascii="Times New Roman" w:hAnsi="Times New Roman"/>
          <w:sz w:val="28"/>
          <w:szCs w:val="28"/>
        </w:rPr>
        <w:t xml:space="preserve">128,1 млн.руб., что на 15,4 млн.руб. или на 1,4 % меньше годовых бюджетных назначений. За отчетный период указанные поступления увеличились на 183,8 млн.руб. или </w:t>
      </w:r>
      <w:r w:rsidR="00126FF7" w:rsidRPr="00A53AD7">
        <w:rPr>
          <w:rFonts w:ascii="Times New Roman" w:hAnsi="Times New Roman"/>
          <w:sz w:val="28"/>
          <w:szCs w:val="28"/>
        </w:rPr>
        <w:t xml:space="preserve">на </w:t>
      </w:r>
      <w:r w:rsidRPr="00A53AD7">
        <w:rPr>
          <w:rFonts w:ascii="Times New Roman" w:hAnsi="Times New Roman"/>
          <w:sz w:val="28"/>
          <w:szCs w:val="28"/>
        </w:rPr>
        <w:t xml:space="preserve">19,5 % по сравнению с </w:t>
      </w:r>
      <w:r w:rsidR="00126FF7" w:rsidRPr="00A53AD7">
        <w:rPr>
          <w:rFonts w:ascii="Times New Roman" w:hAnsi="Times New Roman"/>
          <w:sz w:val="28"/>
          <w:szCs w:val="28"/>
        </w:rPr>
        <w:t>прошлым годом.</w:t>
      </w:r>
    </w:p>
    <w:p w14:paraId="53BD1B7A" w14:textId="22A0FDD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Поступление платежей при пользовании природными ресурсами за отчетный год представлено в таблице</w:t>
      </w:r>
      <w:r w:rsidR="00D50411" w:rsidRPr="00A53AD7">
        <w:rPr>
          <w:rFonts w:ascii="Times New Roman" w:hAnsi="Times New Roman"/>
          <w:sz w:val="28"/>
          <w:szCs w:val="28"/>
        </w:rPr>
        <w:t xml:space="preserve"> 31</w:t>
      </w:r>
      <w:r w:rsidR="00126FF7" w:rsidRPr="00A53AD7">
        <w:rPr>
          <w:rFonts w:ascii="Times New Roman" w:hAnsi="Times New Roman"/>
          <w:sz w:val="28"/>
          <w:szCs w:val="28"/>
        </w:rPr>
        <w:t>.</w:t>
      </w:r>
    </w:p>
    <w:p w14:paraId="18D3FD00" w14:textId="77777777" w:rsidR="00D01D81" w:rsidRPr="00A53AD7" w:rsidRDefault="00D01D81" w:rsidP="00D01D81">
      <w:pPr>
        <w:spacing w:after="0" w:line="240" w:lineRule="auto"/>
        <w:jc w:val="both"/>
        <w:rPr>
          <w:rFonts w:ascii="Times New Roman" w:hAnsi="Times New Roman"/>
          <w:sz w:val="24"/>
          <w:szCs w:val="24"/>
        </w:rPr>
      </w:pPr>
    </w:p>
    <w:p w14:paraId="179DAF23" w14:textId="7FCA5912" w:rsidR="00D01D81" w:rsidRPr="00A53AD7" w:rsidRDefault="00D01D81" w:rsidP="00D01D81">
      <w:pPr>
        <w:spacing w:after="0" w:line="240" w:lineRule="auto"/>
        <w:rPr>
          <w:rFonts w:ascii="Times New Roman" w:hAnsi="Times New Roman"/>
          <w:bCs/>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31</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Поступление платежей при пользовании природными ресурсами в 2018 – 2019 год</w:t>
      </w:r>
      <w:r w:rsidR="00126FF7" w:rsidRPr="00A53AD7">
        <w:rPr>
          <w:rFonts w:ascii="Times New Roman" w:hAnsi="Times New Roman"/>
          <w:bCs/>
          <w:sz w:val="24"/>
          <w:szCs w:val="24"/>
        </w:rPr>
        <w:t>ах,</w:t>
      </w:r>
      <w:r w:rsidRPr="00A53AD7">
        <w:rPr>
          <w:rFonts w:ascii="Times New Roman" w:hAnsi="Times New Roman"/>
          <w:bCs/>
          <w:sz w:val="24"/>
          <w:szCs w:val="24"/>
        </w:rPr>
        <w:t xml:space="preserve"> млн.руб.</w:t>
      </w:r>
    </w:p>
    <w:tbl>
      <w:tblPr>
        <w:tblW w:w="9404" w:type="dxa"/>
        <w:tblLayout w:type="fixed"/>
        <w:tblLook w:val="04A0" w:firstRow="1" w:lastRow="0" w:firstColumn="1" w:lastColumn="0" w:noHBand="0" w:noVBand="1"/>
      </w:tblPr>
      <w:tblGrid>
        <w:gridCol w:w="2812"/>
        <w:gridCol w:w="993"/>
        <w:gridCol w:w="992"/>
        <w:gridCol w:w="993"/>
        <w:gridCol w:w="1025"/>
        <w:gridCol w:w="1242"/>
        <w:gridCol w:w="1347"/>
      </w:tblGrid>
      <w:tr w:rsidR="00A53AD7" w:rsidRPr="00A53AD7" w14:paraId="43EB569F" w14:textId="77777777" w:rsidTr="00177C4C">
        <w:trPr>
          <w:trHeight w:val="678"/>
          <w:tblHeader/>
        </w:trPr>
        <w:tc>
          <w:tcPr>
            <w:tcW w:w="281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75485CB"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показателя</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209D797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 год</w:t>
            </w:r>
          </w:p>
        </w:tc>
        <w:tc>
          <w:tcPr>
            <w:tcW w:w="1985" w:type="dxa"/>
            <w:gridSpan w:val="2"/>
            <w:tcBorders>
              <w:top w:val="double" w:sz="6" w:space="0" w:color="auto"/>
              <w:left w:val="nil"/>
              <w:bottom w:val="single" w:sz="4" w:space="0" w:color="auto"/>
              <w:right w:val="single" w:sz="4" w:space="0" w:color="auto"/>
            </w:tcBorders>
            <w:shd w:val="clear" w:color="auto" w:fill="auto"/>
            <w:vAlign w:val="center"/>
            <w:hideMark/>
          </w:tcPr>
          <w:p w14:paraId="54489C79"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год</w:t>
            </w:r>
          </w:p>
        </w:tc>
        <w:tc>
          <w:tcPr>
            <w:tcW w:w="2267" w:type="dxa"/>
            <w:gridSpan w:val="2"/>
            <w:tcBorders>
              <w:top w:val="double" w:sz="6" w:space="0" w:color="auto"/>
              <w:left w:val="nil"/>
              <w:bottom w:val="single" w:sz="4" w:space="0" w:color="auto"/>
              <w:right w:val="single" w:sz="4" w:space="0" w:color="auto"/>
            </w:tcBorders>
            <w:shd w:val="clear" w:color="auto" w:fill="auto"/>
            <w:vAlign w:val="center"/>
            <w:hideMark/>
          </w:tcPr>
          <w:p w14:paraId="00A79F2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2019 факт к плану</w:t>
            </w:r>
          </w:p>
        </w:tc>
        <w:tc>
          <w:tcPr>
            <w:tcW w:w="1347" w:type="dxa"/>
            <w:tcBorders>
              <w:top w:val="double" w:sz="6" w:space="0" w:color="auto"/>
              <w:left w:val="nil"/>
              <w:bottom w:val="single" w:sz="4" w:space="0" w:color="auto"/>
              <w:right w:val="double" w:sz="6" w:space="0" w:color="auto"/>
            </w:tcBorders>
            <w:shd w:val="clear" w:color="auto" w:fill="auto"/>
            <w:vAlign w:val="center"/>
            <w:hideMark/>
          </w:tcPr>
          <w:p w14:paraId="39927DA8" w14:textId="27EED282"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факт 2019</w:t>
            </w:r>
            <w:r w:rsidR="006E1465"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 к 2018</w:t>
            </w:r>
            <w:r w:rsidR="006E1465"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г.</w:t>
            </w:r>
          </w:p>
        </w:tc>
      </w:tr>
      <w:tr w:rsidR="00A53AD7" w:rsidRPr="00A53AD7" w14:paraId="7B1DFEE8" w14:textId="77777777" w:rsidTr="00177C4C">
        <w:trPr>
          <w:trHeight w:val="136"/>
          <w:tblHeader/>
        </w:trPr>
        <w:tc>
          <w:tcPr>
            <w:tcW w:w="2812" w:type="dxa"/>
            <w:vMerge/>
            <w:tcBorders>
              <w:top w:val="double" w:sz="6" w:space="0" w:color="auto"/>
              <w:left w:val="double" w:sz="6" w:space="0" w:color="auto"/>
              <w:bottom w:val="single" w:sz="4" w:space="0" w:color="auto"/>
              <w:right w:val="single" w:sz="4" w:space="0" w:color="auto"/>
            </w:tcBorders>
            <w:vAlign w:val="center"/>
            <w:hideMark/>
          </w:tcPr>
          <w:p w14:paraId="3666E6BB" w14:textId="77777777" w:rsidR="00D01D81" w:rsidRPr="00A53AD7" w:rsidRDefault="00D01D81" w:rsidP="00BA5523">
            <w:pPr>
              <w:spacing w:after="0" w:line="240" w:lineRule="auto"/>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24AE6D06"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w:t>
            </w:r>
          </w:p>
        </w:tc>
        <w:tc>
          <w:tcPr>
            <w:tcW w:w="992" w:type="dxa"/>
            <w:tcBorders>
              <w:top w:val="nil"/>
              <w:left w:val="nil"/>
              <w:bottom w:val="single" w:sz="4" w:space="0" w:color="auto"/>
              <w:right w:val="single" w:sz="4" w:space="0" w:color="auto"/>
            </w:tcBorders>
            <w:shd w:val="clear" w:color="auto" w:fill="auto"/>
            <w:vAlign w:val="center"/>
            <w:hideMark/>
          </w:tcPr>
          <w:p w14:paraId="529957E5"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план </w:t>
            </w:r>
          </w:p>
        </w:tc>
        <w:tc>
          <w:tcPr>
            <w:tcW w:w="993" w:type="dxa"/>
            <w:tcBorders>
              <w:top w:val="nil"/>
              <w:left w:val="nil"/>
              <w:bottom w:val="single" w:sz="4" w:space="0" w:color="auto"/>
              <w:right w:val="single" w:sz="4" w:space="0" w:color="auto"/>
            </w:tcBorders>
            <w:shd w:val="clear" w:color="auto" w:fill="auto"/>
            <w:vAlign w:val="center"/>
            <w:hideMark/>
          </w:tcPr>
          <w:p w14:paraId="5FCDC86D" w14:textId="77777777" w:rsidR="00D01D81" w:rsidRPr="00A53AD7" w:rsidRDefault="00D01D81" w:rsidP="00BA5523">
            <w:pPr>
              <w:spacing w:after="0" w:line="240" w:lineRule="auto"/>
              <w:ind w:left="-173" w:firstLine="173"/>
              <w:jc w:val="center"/>
              <w:rPr>
                <w:rFonts w:ascii="Times New Roman" w:eastAsia="Times New Roman" w:hAnsi="Times New Roman"/>
                <w:lang w:eastAsia="ru-RU"/>
              </w:rPr>
            </w:pPr>
            <w:r w:rsidRPr="00A53AD7">
              <w:rPr>
                <w:rFonts w:ascii="Times New Roman" w:eastAsia="Times New Roman" w:hAnsi="Times New Roman"/>
                <w:lang w:eastAsia="ru-RU"/>
              </w:rPr>
              <w:t>факт</w:t>
            </w:r>
          </w:p>
        </w:tc>
        <w:tc>
          <w:tcPr>
            <w:tcW w:w="1025" w:type="dxa"/>
            <w:tcBorders>
              <w:top w:val="nil"/>
              <w:left w:val="nil"/>
              <w:bottom w:val="single" w:sz="4" w:space="0" w:color="auto"/>
              <w:right w:val="single" w:sz="4" w:space="0" w:color="auto"/>
            </w:tcBorders>
            <w:shd w:val="clear" w:color="auto" w:fill="auto"/>
            <w:vAlign w:val="center"/>
            <w:hideMark/>
          </w:tcPr>
          <w:p w14:paraId="748EEE7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1242" w:type="dxa"/>
            <w:tcBorders>
              <w:top w:val="nil"/>
              <w:left w:val="nil"/>
              <w:bottom w:val="single" w:sz="4" w:space="0" w:color="auto"/>
              <w:right w:val="single" w:sz="4" w:space="0" w:color="auto"/>
            </w:tcBorders>
            <w:shd w:val="clear" w:color="auto" w:fill="auto"/>
            <w:vAlign w:val="center"/>
            <w:hideMark/>
          </w:tcPr>
          <w:p w14:paraId="2A5E2DA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1347" w:type="dxa"/>
            <w:tcBorders>
              <w:top w:val="nil"/>
              <w:left w:val="nil"/>
              <w:bottom w:val="single" w:sz="4" w:space="0" w:color="auto"/>
              <w:right w:val="double" w:sz="6" w:space="0" w:color="auto"/>
            </w:tcBorders>
            <w:shd w:val="clear" w:color="auto" w:fill="auto"/>
            <w:vAlign w:val="center"/>
            <w:hideMark/>
          </w:tcPr>
          <w:p w14:paraId="7A0A605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r>
      <w:tr w:rsidR="00A53AD7" w:rsidRPr="00A53AD7" w14:paraId="6D2EF783" w14:textId="77777777" w:rsidTr="00BA5523">
        <w:trPr>
          <w:trHeight w:val="104"/>
        </w:trPr>
        <w:tc>
          <w:tcPr>
            <w:tcW w:w="2812" w:type="dxa"/>
            <w:tcBorders>
              <w:top w:val="nil"/>
              <w:left w:val="double" w:sz="6" w:space="0" w:color="auto"/>
              <w:bottom w:val="single" w:sz="4" w:space="0" w:color="auto"/>
              <w:right w:val="single" w:sz="4" w:space="0" w:color="auto"/>
            </w:tcBorders>
            <w:shd w:val="clear" w:color="auto" w:fill="auto"/>
            <w:vAlign w:val="center"/>
            <w:hideMark/>
          </w:tcPr>
          <w:p w14:paraId="48C8F14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А</w:t>
            </w:r>
          </w:p>
        </w:tc>
        <w:tc>
          <w:tcPr>
            <w:tcW w:w="993" w:type="dxa"/>
            <w:tcBorders>
              <w:top w:val="nil"/>
              <w:left w:val="nil"/>
              <w:bottom w:val="single" w:sz="4" w:space="0" w:color="auto"/>
              <w:right w:val="single" w:sz="4" w:space="0" w:color="auto"/>
            </w:tcBorders>
            <w:shd w:val="clear" w:color="auto" w:fill="auto"/>
            <w:vAlign w:val="center"/>
            <w:hideMark/>
          </w:tcPr>
          <w:p w14:paraId="5FDE343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6A8738D7"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993" w:type="dxa"/>
            <w:tcBorders>
              <w:top w:val="nil"/>
              <w:left w:val="nil"/>
              <w:bottom w:val="single" w:sz="4" w:space="0" w:color="auto"/>
              <w:right w:val="single" w:sz="4" w:space="0" w:color="auto"/>
            </w:tcBorders>
            <w:shd w:val="clear" w:color="auto" w:fill="auto"/>
            <w:vAlign w:val="center"/>
            <w:hideMark/>
          </w:tcPr>
          <w:p w14:paraId="609C75C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1025" w:type="dxa"/>
            <w:tcBorders>
              <w:top w:val="nil"/>
              <w:left w:val="nil"/>
              <w:bottom w:val="single" w:sz="4" w:space="0" w:color="auto"/>
              <w:right w:val="single" w:sz="4" w:space="0" w:color="auto"/>
            </w:tcBorders>
            <w:shd w:val="clear" w:color="auto" w:fill="auto"/>
            <w:vAlign w:val="center"/>
            <w:hideMark/>
          </w:tcPr>
          <w:p w14:paraId="6D5F6626"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5=4-3</w:t>
            </w:r>
          </w:p>
        </w:tc>
        <w:tc>
          <w:tcPr>
            <w:tcW w:w="1242" w:type="dxa"/>
            <w:tcBorders>
              <w:top w:val="nil"/>
              <w:left w:val="nil"/>
              <w:bottom w:val="single" w:sz="4" w:space="0" w:color="auto"/>
              <w:right w:val="single" w:sz="4" w:space="0" w:color="auto"/>
            </w:tcBorders>
            <w:shd w:val="clear" w:color="auto" w:fill="auto"/>
            <w:vAlign w:val="center"/>
            <w:hideMark/>
          </w:tcPr>
          <w:p w14:paraId="7FDEC09A" w14:textId="041BAEAE"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5=4/3*100</w:t>
            </w:r>
            <w:r w:rsidR="004208F7" w:rsidRPr="00A53AD7">
              <w:rPr>
                <w:rFonts w:ascii="Times New Roman" w:eastAsia="Times New Roman" w:hAnsi="Times New Roman"/>
                <w:lang w:eastAsia="ru-RU"/>
              </w:rPr>
              <w:t>-100</w:t>
            </w:r>
          </w:p>
        </w:tc>
        <w:tc>
          <w:tcPr>
            <w:tcW w:w="1347" w:type="dxa"/>
            <w:tcBorders>
              <w:top w:val="nil"/>
              <w:left w:val="nil"/>
              <w:bottom w:val="single" w:sz="4" w:space="0" w:color="auto"/>
              <w:right w:val="double" w:sz="6" w:space="0" w:color="auto"/>
            </w:tcBorders>
            <w:shd w:val="clear" w:color="auto" w:fill="auto"/>
            <w:vAlign w:val="center"/>
            <w:hideMark/>
          </w:tcPr>
          <w:p w14:paraId="1F8FDD71"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6=4-2</w:t>
            </w:r>
          </w:p>
        </w:tc>
      </w:tr>
      <w:tr w:rsidR="00A53AD7" w:rsidRPr="00A53AD7" w14:paraId="2B22B750" w14:textId="77777777" w:rsidTr="006E1465">
        <w:trPr>
          <w:trHeight w:val="619"/>
        </w:trPr>
        <w:tc>
          <w:tcPr>
            <w:tcW w:w="2812" w:type="dxa"/>
            <w:tcBorders>
              <w:top w:val="nil"/>
              <w:left w:val="double" w:sz="6" w:space="0" w:color="auto"/>
              <w:bottom w:val="single" w:sz="4" w:space="0" w:color="auto"/>
              <w:right w:val="single" w:sz="4" w:space="0" w:color="auto"/>
            </w:tcBorders>
            <w:shd w:val="clear" w:color="auto" w:fill="auto"/>
            <w:vAlign w:val="center"/>
            <w:hideMark/>
          </w:tcPr>
          <w:p w14:paraId="3DDA5706"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Платежи при пользовании природными ресурсами, в том числе:</w:t>
            </w:r>
          </w:p>
        </w:tc>
        <w:tc>
          <w:tcPr>
            <w:tcW w:w="993" w:type="dxa"/>
            <w:tcBorders>
              <w:top w:val="nil"/>
              <w:left w:val="nil"/>
              <w:bottom w:val="single" w:sz="4" w:space="0" w:color="auto"/>
              <w:right w:val="single" w:sz="4" w:space="0" w:color="auto"/>
            </w:tcBorders>
            <w:shd w:val="clear" w:color="auto" w:fill="auto"/>
            <w:vAlign w:val="bottom"/>
            <w:hideMark/>
          </w:tcPr>
          <w:p w14:paraId="7C49538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944,3 </w:t>
            </w:r>
          </w:p>
        </w:tc>
        <w:tc>
          <w:tcPr>
            <w:tcW w:w="992" w:type="dxa"/>
            <w:tcBorders>
              <w:top w:val="nil"/>
              <w:left w:val="nil"/>
              <w:bottom w:val="single" w:sz="4" w:space="0" w:color="auto"/>
              <w:right w:val="single" w:sz="4" w:space="0" w:color="auto"/>
            </w:tcBorders>
            <w:shd w:val="clear" w:color="auto" w:fill="auto"/>
            <w:vAlign w:val="bottom"/>
            <w:hideMark/>
          </w:tcPr>
          <w:p w14:paraId="24162D6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1 143,6 </w:t>
            </w:r>
          </w:p>
        </w:tc>
        <w:tc>
          <w:tcPr>
            <w:tcW w:w="993" w:type="dxa"/>
            <w:tcBorders>
              <w:top w:val="nil"/>
              <w:left w:val="nil"/>
              <w:bottom w:val="single" w:sz="4" w:space="0" w:color="auto"/>
              <w:right w:val="single" w:sz="4" w:space="0" w:color="auto"/>
            </w:tcBorders>
            <w:shd w:val="clear" w:color="auto" w:fill="auto"/>
            <w:vAlign w:val="bottom"/>
            <w:hideMark/>
          </w:tcPr>
          <w:p w14:paraId="01D957E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1 128,1 </w:t>
            </w:r>
          </w:p>
        </w:tc>
        <w:tc>
          <w:tcPr>
            <w:tcW w:w="1025" w:type="dxa"/>
            <w:tcBorders>
              <w:top w:val="nil"/>
              <w:left w:val="nil"/>
              <w:bottom w:val="single" w:sz="4" w:space="0" w:color="auto"/>
              <w:right w:val="single" w:sz="4" w:space="0" w:color="auto"/>
            </w:tcBorders>
            <w:shd w:val="clear" w:color="auto" w:fill="auto"/>
            <w:vAlign w:val="bottom"/>
            <w:hideMark/>
          </w:tcPr>
          <w:p w14:paraId="0A0D56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-15,4 </w:t>
            </w:r>
          </w:p>
        </w:tc>
        <w:tc>
          <w:tcPr>
            <w:tcW w:w="1242" w:type="dxa"/>
            <w:tcBorders>
              <w:top w:val="nil"/>
              <w:left w:val="nil"/>
              <w:bottom w:val="single" w:sz="4" w:space="0" w:color="auto"/>
              <w:right w:val="single" w:sz="4" w:space="0" w:color="auto"/>
            </w:tcBorders>
            <w:shd w:val="clear" w:color="auto" w:fill="auto"/>
            <w:vAlign w:val="bottom"/>
            <w:hideMark/>
          </w:tcPr>
          <w:p w14:paraId="3CAF53A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w:t>
            </w:r>
          </w:p>
        </w:tc>
        <w:tc>
          <w:tcPr>
            <w:tcW w:w="1347" w:type="dxa"/>
            <w:tcBorders>
              <w:top w:val="nil"/>
              <w:left w:val="nil"/>
              <w:bottom w:val="single" w:sz="4" w:space="0" w:color="auto"/>
              <w:right w:val="double" w:sz="6" w:space="0" w:color="auto"/>
            </w:tcBorders>
            <w:shd w:val="clear" w:color="auto" w:fill="auto"/>
            <w:vAlign w:val="bottom"/>
            <w:hideMark/>
          </w:tcPr>
          <w:p w14:paraId="2D29796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183,9 </w:t>
            </w:r>
          </w:p>
        </w:tc>
      </w:tr>
      <w:tr w:rsidR="00A53AD7" w:rsidRPr="00A53AD7" w14:paraId="7E00FC56" w14:textId="77777777" w:rsidTr="006E1465">
        <w:trPr>
          <w:trHeight w:val="701"/>
        </w:trPr>
        <w:tc>
          <w:tcPr>
            <w:tcW w:w="2812" w:type="dxa"/>
            <w:tcBorders>
              <w:top w:val="nil"/>
              <w:left w:val="double" w:sz="6" w:space="0" w:color="auto"/>
              <w:bottom w:val="single" w:sz="4" w:space="0" w:color="auto"/>
              <w:right w:val="single" w:sz="4" w:space="0" w:color="auto"/>
            </w:tcBorders>
            <w:shd w:val="clear" w:color="auto" w:fill="auto"/>
            <w:vAlign w:val="center"/>
            <w:hideMark/>
          </w:tcPr>
          <w:p w14:paraId="6DDF4490"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плата за негативное воздействие на окружающую среду</w:t>
            </w:r>
          </w:p>
        </w:tc>
        <w:tc>
          <w:tcPr>
            <w:tcW w:w="993" w:type="dxa"/>
            <w:tcBorders>
              <w:top w:val="nil"/>
              <w:left w:val="nil"/>
              <w:bottom w:val="single" w:sz="4" w:space="0" w:color="auto"/>
              <w:right w:val="single" w:sz="4" w:space="0" w:color="auto"/>
            </w:tcBorders>
            <w:shd w:val="clear" w:color="auto" w:fill="auto"/>
            <w:vAlign w:val="bottom"/>
            <w:hideMark/>
          </w:tcPr>
          <w:p w14:paraId="2956339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58,8 </w:t>
            </w:r>
          </w:p>
        </w:tc>
        <w:tc>
          <w:tcPr>
            <w:tcW w:w="992" w:type="dxa"/>
            <w:tcBorders>
              <w:top w:val="nil"/>
              <w:left w:val="nil"/>
              <w:bottom w:val="single" w:sz="4" w:space="0" w:color="auto"/>
              <w:right w:val="single" w:sz="4" w:space="0" w:color="auto"/>
            </w:tcBorders>
            <w:shd w:val="clear" w:color="auto" w:fill="auto"/>
            <w:vAlign w:val="bottom"/>
            <w:hideMark/>
          </w:tcPr>
          <w:p w14:paraId="6B06C5B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47,9 </w:t>
            </w:r>
          </w:p>
        </w:tc>
        <w:tc>
          <w:tcPr>
            <w:tcW w:w="993" w:type="dxa"/>
            <w:tcBorders>
              <w:top w:val="nil"/>
              <w:left w:val="nil"/>
              <w:bottom w:val="single" w:sz="4" w:space="0" w:color="auto"/>
              <w:right w:val="single" w:sz="4" w:space="0" w:color="auto"/>
            </w:tcBorders>
            <w:shd w:val="clear" w:color="auto" w:fill="auto"/>
            <w:vAlign w:val="bottom"/>
            <w:hideMark/>
          </w:tcPr>
          <w:p w14:paraId="7DDB890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49,7 </w:t>
            </w:r>
          </w:p>
        </w:tc>
        <w:tc>
          <w:tcPr>
            <w:tcW w:w="1025" w:type="dxa"/>
            <w:tcBorders>
              <w:top w:val="nil"/>
              <w:left w:val="nil"/>
              <w:bottom w:val="single" w:sz="4" w:space="0" w:color="auto"/>
              <w:right w:val="single" w:sz="4" w:space="0" w:color="auto"/>
            </w:tcBorders>
            <w:shd w:val="clear" w:color="auto" w:fill="auto"/>
            <w:vAlign w:val="bottom"/>
            <w:hideMark/>
          </w:tcPr>
          <w:p w14:paraId="6A245DC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w:t>
            </w:r>
          </w:p>
        </w:tc>
        <w:tc>
          <w:tcPr>
            <w:tcW w:w="1242" w:type="dxa"/>
            <w:tcBorders>
              <w:top w:val="nil"/>
              <w:left w:val="nil"/>
              <w:bottom w:val="single" w:sz="4" w:space="0" w:color="auto"/>
              <w:right w:val="single" w:sz="4" w:space="0" w:color="auto"/>
            </w:tcBorders>
            <w:shd w:val="clear" w:color="auto" w:fill="auto"/>
            <w:vAlign w:val="bottom"/>
            <w:hideMark/>
          </w:tcPr>
          <w:p w14:paraId="102DA655" w14:textId="35C9F27D"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3,8 </w:t>
            </w:r>
          </w:p>
        </w:tc>
        <w:tc>
          <w:tcPr>
            <w:tcW w:w="1347" w:type="dxa"/>
            <w:tcBorders>
              <w:top w:val="nil"/>
              <w:left w:val="nil"/>
              <w:bottom w:val="single" w:sz="4" w:space="0" w:color="auto"/>
              <w:right w:val="double" w:sz="6" w:space="0" w:color="auto"/>
            </w:tcBorders>
            <w:shd w:val="clear" w:color="auto" w:fill="auto"/>
            <w:vAlign w:val="bottom"/>
            <w:hideMark/>
          </w:tcPr>
          <w:p w14:paraId="4252CFF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-9,1 </w:t>
            </w:r>
          </w:p>
        </w:tc>
      </w:tr>
      <w:tr w:rsidR="00A53AD7" w:rsidRPr="00A53AD7" w14:paraId="3B47855A" w14:textId="77777777" w:rsidTr="006E1465">
        <w:trPr>
          <w:trHeight w:val="357"/>
        </w:trPr>
        <w:tc>
          <w:tcPr>
            <w:tcW w:w="2812" w:type="dxa"/>
            <w:tcBorders>
              <w:top w:val="nil"/>
              <w:left w:val="double" w:sz="6" w:space="0" w:color="auto"/>
              <w:bottom w:val="single" w:sz="4" w:space="0" w:color="auto"/>
              <w:right w:val="single" w:sz="4" w:space="0" w:color="auto"/>
            </w:tcBorders>
            <w:shd w:val="clear" w:color="auto" w:fill="auto"/>
            <w:vAlign w:val="center"/>
            <w:hideMark/>
          </w:tcPr>
          <w:p w14:paraId="06DD65A2"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платежи при пользовании недрами</w:t>
            </w:r>
          </w:p>
        </w:tc>
        <w:tc>
          <w:tcPr>
            <w:tcW w:w="993" w:type="dxa"/>
            <w:tcBorders>
              <w:top w:val="nil"/>
              <w:left w:val="nil"/>
              <w:bottom w:val="single" w:sz="4" w:space="0" w:color="auto"/>
              <w:right w:val="single" w:sz="4" w:space="0" w:color="auto"/>
            </w:tcBorders>
            <w:shd w:val="clear" w:color="auto" w:fill="auto"/>
            <w:vAlign w:val="bottom"/>
            <w:hideMark/>
          </w:tcPr>
          <w:p w14:paraId="7690AB0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70,6 </w:t>
            </w:r>
          </w:p>
        </w:tc>
        <w:tc>
          <w:tcPr>
            <w:tcW w:w="992" w:type="dxa"/>
            <w:tcBorders>
              <w:top w:val="nil"/>
              <w:left w:val="nil"/>
              <w:bottom w:val="single" w:sz="4" w:space="0" w:color="auto"/>
              <w:right w:val="single" w:sz="4" w:space="0" w:color="auto"/>
            </w:tcBorders>
            <w:shd w:val="clear" w:color="auto" w:fill="auto"/>
            <w:vAlign w:val="bottom"/>
            <w:hideMark/>
          </w:tcPr>
          <w:p w14:paraId="26FE07B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165,7 </w:t>
            </w:r>
          </w:p>
        </w:tc>
        <w:tc>
          <w:tcPr>
            <w:tcW w:w="993" w:type="dxa"/>
            <w:tcBorders>
              <w:top w:val="nil"/>
              <w:left w:val="nil"/>
              <w:bottom w:val="single" w:sz="4" w:space="0" w:color="auto"/>
              <w:right w:val="single" w:sz="4" w:space="0" w:color="auto"/>
            </w:tcBorders>
            <w:shd w:val="clear" w:color="auto" w:fill="auto"/>
            <w:vAlign w:val="bottom"/>
            <w:hideMark/>
          </w:tcPr>
          <w:p w14:paraId="7A7A6E6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165,9 </w:t>
            </w:r>
          </w:p>
        </w:tc>
        <w:tc>
          <w:tcPr>
            <w:tcW w:w="1025" w:type="dxa"/>
            <w:tcBorders>
              <w:top w:val="nil"/>
              <w:left w:val="nil"/>
              <w:bottom w:val="single" w:sz="4" w:space="0" w:color="auto"/>
              <w:right w:val="single" w:sz="4" w:space="0" w:color="auto"/>
            </w:tcBorders>
            <w:shd w:val="clear" w:color="auto" w:fill="auto"/>
            <w:vAlign w:val="bottom"/>
            <w:hideMark/>
          </w:tcPr>
          <w:p w14:paraId="45EAB32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0,2 </w:t>
            </w:r>
          </w:p>
        </w:tc>
        <w:tc>
          <w:tcPr>
            <w:tcW w:w="1242" w:type="dxa"/>
            <w:tcBorders>
              <w:top w:val="nil"/>
              <w:left w:val="nil"/>
              <w:bottom w:val="single" w:sz="4" w:space="0" w:color="auto"/>
              <w:right w:val="single" w:sz="4" w:space="0" w:color="auto"/>
            </w:tcBorders>
            <w:shd w:val="clear" w:color="auto" w:fill="auto"/>
            <w:vAlign w:val="bottom"/>
            <w:hideMark/>
          </w:tcPr>
          <w:p w14:paraId="57E870BB" w14:textId="05769C7B"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1347" w:type="dxa"/>
            <w:tcBorders>
              <w:top w:val="nil"/>
              <w:left w:val="nil"/>
              <w:bottom w:val="single" w:sz="4" w:space="0" w:color="auto"/>
              <w:right w:val="double" w:sz="6" w:space="0" w:color="auto"/>
            </w:tcBorders>
            <w:shd w:val="clear" w:color="auto" w:fill="auto"/>
            <w:vAlign w:val="bottom"/>
            <w:hideMark/>
          </w:tcPr>
          <w:p w14:paraId="0B39964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95,3 </w:t>
            </w:r>
          </w:p>
        </w:tc>
      </w:tr>
      <w:tr w:rsidR="00D01D81" w:rsidRPr="00A53AD7" w14:paraId="2B8D4475" w14:textId="77777777" w:rsidTr="006E1465">
        <w:trPr>
          <w:trHeight w:val="407"/>
        </w:trPr>
        <w:tc>
          <w:tcPr>
            <w:tcW w:w="2812" w:type="dxa"/>
            <w:tcBorders>
              <w:top w:val="nil"/>
              <w:left w:val="double" w:sz="6" w:space="0" w:color="auto"/>
              <w:bottom w:val="double" w:sz="6" w:space="0" w:color="auto"/>
              <w:right w:val="single" w:sz="4" w:space="0" w:color="auto"/>
            </w:tcBorders>
            <w:shd w:val="clear" w:color="auto" w:fill="auto"/>
            <w:vAlign w:val="center"/>
            <w:hideMark/>
          </w:tcPr>
          <w:p w14:paraId="41D399D3" w14:textId="77777777" w:rsidR="00D01D81" w:rsidRPr="00A53AD7" w:rsidRDefault="00D01D81" w:rsidP="00BA5523">
            <w:pPr>
              <w:spacing w:after="0" w:line="240" w:lineRule="auto"/>
              <w:ind w:firstLineChars="100" w:firstLine="220"/>
              <w:rPr>
                <w:rFonts w:ascii="Times New Roman" w:eastAsia="Times New Roman" w:hAnsi="Times New Roman"/>
                <w:lang w:eastAsia="ru-RU"/>
              </w:rPr>
            </w:pPr>
            <w:r w:rsidRPr="00A53AD7">
              <w:rPr>
                <w:rFonts w:ascii="Times New Roman" w:eastAsia="Times New Roman" w:hAnsi="Times New Roman"/>
                <w:lang w:eastAsia="ru-RU"/>
              </w:rPr>
              <w:t>плата за использование лесов</w:t>
            </w:r>
          </w:p>
        </w:tc>
        <w:tc>
          <w:tcPr>
            <w:tcW w:w="993" w:type="dxa"/>
            <w:tcBorders>
              <w:top w:val="nil"/>
              <w:left w:val="nil"/>
              <w:bottom w:val="double" w:sz="6" w:space="0" w:color="auto"/>
              <w:right w:val="single" w:sz="4" w:space="0" w:color="auto"/>
            </w:tcBorders>
            <w:shd w:val="clear" w:color="auto" w:fill="auto"/>
            <w:vAlign w:val="bottom"/>
            <w:hideMark/>
          </w:tcPr>
          <w:p w14:paraId="6DC0FC1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814,9 </w:t>
            </w:r>
          </w:p>
        </w:tc>
        <w:tc>
          <w:tcPr>
            <w:tcW w:w="992" w:type="dxa"/>
            <w:tcBorders>
              <w:top w:val="nil"/>
              <w:left w:val="nil"/>
              <w:bottom w:val="double" w:sz="6" w:space="0" w:color="auto"/>
              <w:right w:val="single" w:sz="4" w:space="0" w:color="auto"/>
            </w:tcBorders>
            <w:shd w:val="clear" w:color="auto" w:fill="auto"/>
            <w:vAlign w:val="bottom"/>
            <w:hideMark/>
          </w:tcPr>
          <w:p w14:paraId="1F948A7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930,0 </w:t>
            </w:r>
          </w:p>
        </w:tc>
        <w:tc>
          <w:tcPr>
            <w:tcW w:w="993" w:type="dxa"/>
            <w:tcBorders>
              <w:top w:val="nil"/>
              <w:left w:val="nil"/>
              <w:bottom w:val="double" w:sz="6" w:space="0" w:color="auto"/>
              <w:right w:val="single" w:sz="4" w:space="0" w:color="auto"/>
            </w:tcBorders>
            <w:shd w:val="clear" w:color="auto" w:fill="auto"/>
            <w:vAlign w:val="bottom"/>
            <w:hideMark/>
          </w:tcPr>
          <w:p w14:paraId="2090345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912,6 </w:t>
            </w:r>
          </w:p>
        </w:tc>
        <w:tc>
          <w:tcPr>
            <w:tcW w:w="1025" w:type="dxa"/>
            <w:tcBorders>
              <w:top w:val="nil"/>
              <w:left w:val="nil"/>
              <w:bottom w:val="double" w:sz="6" w:space="0" w:color="auto"/>
              <w:right w:val="single" w:sz="4" w:space="0" w:color="auto"/>
            </w:tcBorders>
            <w:shd w:val="clear" w:color="auto" w:fill="auto"/>
            <w:vAlign w:val="bottom"/>
            <w:hideMark/>
          </w:tcPr>
          <w:p w14:paraId="5733FFC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-17,4 </w:t>
            </w:r>
          </w:p>
        </w:tc>
        <w:tc>
          <w:tcPr>
            <w:tcW w:w="1242" w:type="dxa"/>
            <w:tcBorders>
              <w:top w:val="nil"/>
              <w:left w:val="nil"/>
              <w:bottom w:val="double" w:sz="6" w:space="0" w:color="auto"/>
              <w:right w:val="single" w:sz="4" w:space="0" w:color="auto"/>
            </w:tcBorders>
            <w:shd w:val="clear" w:color="auto" w:fill="auto"/>
            <w:vAlign w:val="bottom"/>
            <w:hideMark/>
          </w:tcPr>
          <w:p w14:paraId="00E7AAB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-1,9 </w:t>
            </w:r>
          </w:p>
        </w:tc>
        <w:tc>
          <w:tcPr>
            <w:tcW w:w="1347" w:type="dxa"/>
            <w:tcBorders>
              <w:top w:val="nil"/>
              <w:left w:val="nil"/>
              <w:bottom w:val="double" w:sz="6" w:space="0" w:color="auto"/>
              <w:right w:val="double" w:sz="6" w:space="0" w:color="auto"/>
            </w:tcBorders>
            <w:shd w:val="clear" w:color="auto" w:fill="auto"/>
            <w:vAlign w:val="bottom"/>
            <w:hideMark/>
          </w:tcPr>
          <w:p w14:paraId="528DF8C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97,7 </w:t>
            </w:r>
          </w:p>
        </w:tc>
      </w:tr>
    </w:tbl>
    <w:p w14:paraId="658805DB" w14:textId="77777777" w:rsidR="00D01D81" w:rsidRPr="00A53AD7" w:rsidRDefault="00D01D81" w:rsidP="00D01D81">
      <w:pPr>
        <w:spacing w:after="0" w:line="240" w:lineRule="auto"/>
        <w:ind w:firstLine="851"/>
        <w:jc w:val="both"/>
        <w:rPr>
          <w:rFonts w:ascii="Times New Roman" w:hAnsi="Times New Roman"/>
          <w:sz w:val="28"/>
          <w:szCs w:val="28"/>
        </w:rPr>
      </w:pPr>
    </w:p>
    <w:p w14:paraId="2E559C18"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Значительную долю платежей при пользовании природными ресурсами администрирует министерство природных ресурсов и лесопромышленного комплекса Архангельской области (далее –Минприроды), что составляет 921,9 млн.руб. или 81,7 % указанных поступлений за отчетный период. </w:t>
      </w:r>
    </w:p>
    <w:p w14:paraId="25521006"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8.1. В составе платежей при пользовании природными ресурсами основную долю занимает </w:t>
      </w:r>
      <w:r w:rsidRPr="00A53AD7">
        <w:rPr>
          <w:rFonts w:ascii="Times New Roman" w:hAnsi="Times New Roman"/>
          <w:sz w:val="28"/>
          <w:szCs w:val="28"/>
          <w:u w:val="single"/>
        </w:rPr>
        <w:t>плата за использование лесов</w:t>
      </w:r>
      <w:r w:rsidRPr="00A53AD7">
        <w:rPr>
          <w:rFonts w:ascii="Times New Roman" w:hAnsi="Times New Roman"/>
          <w:sz w:val="28"/>
          <w:szCs w:val="28"/>
        </w:rPr>
        <w:t xml:space="preserve"> – 912,6 млн.руб. или 80,9 %. К годовым назначениям установлено отставание на 17,4 млн.руб., прирост указанных поступлений к 2018 году составил 97,7 млн.руб. (+12,0 %).</w:t>
      </w:r>
    </w:p>
    <w:p w14:paraId="583D7EB6" w14:textId="66695F4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Необходимо отметить, что первоначально утвержденный план поступления платы за использование лесов на 2019 год составлял 816,2 млн.руб., в течение отчетного года </w:t>
      </w:r>
      <w:r w:rsidR="006E1465" w:rsidRPr="00A53AD7">
        <w:rPr>
          <w:rFonts w:ascii="Times New Roman" w:hAnsi="Times New Roman"/>
          <w:sz w:val="28"/>
          <w:szCs w:val="28"/>
        </w:rPr>
        <w:t xml:space="preserve">дважды </w:t>
      </w:r>
      <w:r w:rsidRPr="00A53AD7">
        <w:rPr>
          <w:rFonts w:ascii="Times New Roman" w:hAnsi="Times New Roman"/>
          <w:sz w:val="28"/>
          <w:szCs w:val="28"/>
        </w:rPr>
        <w:t xml:space="preserve">внесены уточнения (на 58,2 млн.руб. </w:t>
      </w:r>
      <w:r w:rsidR="006E1465" w:rsidRPr="00A53AD7">
        <w:rPr>
          <w:rFonts w:ascii="Times New Roman" w:hAnsi="Times New Roman"/>
          <w:sz w:val="28"/>
          <w:szCs w:val="28"/>
        </w:rPr>
        <w:t xml:space="preserve">областным законом </w:t>
      </w:r>
      <w:r w:rsidRPr="00A53AD7">
        <w:rPr>
          <w:rFonts w:ascii="Times New Roman" w:hAnsi="Times New Roman"/>
          <w:sz w:val="28"/>
          <w:szCs w:val="28"/>
        </w:rPr>
        <w:t xml:space="preserve">от 19.11.2019 № 177-12-ОЗ и на 55,6 млн.руб. </w:t>
      </w:r>
      <w:r w:rsidR="006E1465" w:rsidRPr="00A53AD7">
        <w:rPr>
          <w:rFonts w:ascii="Times New Roman" w:hAnsi="Times New Roman"/>
          <w:sz w:val="28"/>
          <w:szCs w:val="28"/>
        </w:rPr>
        <w:t xml:space="preserve">областным законом </w:t>
      </w:r>
      <w:r w:rsidRPr="00A53AD7">
        <w:rPr>
          <w:rFonts w:ascii="Times New Roman" w:hAnsi="Times New Roman"/>
          <w:sz w:val="28"/>
          <w:szCs w:val="28"/>
        </w:rPr>
        <w:t>от 13.12.2019 № 189-13-ОЗ), что обусловлено ростом средней таксовой стоимости древесины по договорам купли-продажи лесных насаждений и ростом отпуска древесины над запланированным объемом по договорам купли-продажи лесных насаждений для собственных нужд, соответственно, в результате уточненные годовые назначения составили 930,0 млн.руб.</w:t>
      </w:r>
    </w:p>
    <w:p w14:paraId="4A32DF5D"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Фактическое поступление платежей при пользовании природными ресурсами за 2019 года обусловлено увеличением объема отпуска древесины; увеличением ставок, сложившихся за единицу объема лесных насаждений в части превышающей минимальный размер арендной платы и в части платы по договору купли-продажи лесных насаждений для собственных нужд; а также погашением задолженности прошлых лет арендаторами лесных участков.</w:t>
      </w:r>
    </w:p>
    <w:p w14:paraId="1CAFC50F" w14:textId="5D68711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отпущено древесины 18 556,7 тыс.куб.м, что составляет 99,4 % от ожидаемого объема отпуска древесины за год (18 670,0 тыс.куб.м). За аналогичный период прошлого года было отпущено древесины на 2 210,1 тыс.куб.м. или на 13,5 % меньше (16 346,6 тыс.куб.м).</w:t>
      </w:r>
    </w:p>
    <w:p w14:paraId="1E2794DC" w14:textId="36B3AFF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Сведения об объемах отпуска древесины, средней таксовой стоимости и платежах за использование лесов, расположенных на землях лесного фонда за 2018 – 2019 годах представлены в таблице </w:t>
      </w:r>
      <w:r w:rsidR="00D50411" w:rsidRPr="00A53AD7">
        <w:rPr>
          <w:rFonts w:ascii="Times New Roman" w:hAnsi="Times New Roman"/>
          <w:sz w:val="28"/>
          <w:szCs w:val="28"/>
        </w:rPr>
        <w:t>32</w:t>
      </w:r>
      <w:r w:rsidRPr="00A53AD7">
        <w:rPr>
          <w:rFonts w:ascii="Times New Roman" w:hAnsi="Times New Roman"/>
          <w:sz w:val="28"/>
          <w:szCs w:val="28"/>
        </w:rPr>
        <w:t>.</w:t>
      </w:r>
    </w:p>
    <w:p w14:paraId="6F868F8A" w14:textId="77777777" w:rsidR="00D01D81" w:rsidRPr="00A53AD7" w:rsidRDefault="00D01D81" w:rsidP="00463E48">
      <w:pPr>
        <w:spacing w:after="0" w:line="240" w:lineRule="auto"/>
        <w:ind w:firstLine="851"/>
        <w:rPr>
          <w:rFonts w:ascii="Times New Roman" w:hAnsi="Times New Roman"/>
          <w:sz w:val="28"/>
          <w:szCs w:val="28"/>
        </w:rPr>
      </w:pPr>
    </w:p>
    <w:p w14:paraId="183D9640" w14:textId="3EADA805" w:rsidR="00D01D81" w:rsidRPr="00A53AD7" w:rsidRDefault="00D01D81" w:rsidP="00463E48">
      <w:pPr>
        <w:spacing w:after="0" w:line="240" w:lineRule="auto"/>
        <w:rPr>
          <w:rFonts w:ascii="Times New Roman" w:hAnsi="Times New Roman"/>
          <w:bCs/>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32</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Информация об объемах отпуска древесины и платежах за использование лесов, расположенных на землях лесного фонда за 2018 – 2019 годах (по информации Минприроды</w:t>
      </w:r>
      <w:r w:rsidR="00463E48" w:rsidRPr="00A53AD7">
        <w:rPr>
          <w:rFonts w:ascii="Times New Roman" w:hAnsi="Times New Roman"/>
          <w:bCs/>
          <w:sz w:val="24"/>
          <w:szCs w:val="24"/>
        </w:rPr>
        <w:t xml:space="preserve"> АО</w:t>
      </w:r>
      <w:r w:rsidRPr="00A53AD7">
        <w:rPr>
          <w:rFonts w:ascii="Times New Roman" w:hAnsi="Times New Roman"/>
          <w:bCs/>
          <w:sz w:val="24"/>
          <w:szCs w:val="24"/>
        </w:rPr>
        <w:t>)</w:t>
      </w:r>
    </w:p>
    <w:tbl>
      <w:tblPr>
        <w:tblW w:w="9342" w:type="dxa"/>
        <w:tblInd w:w="-23" w:type="dxa"/>
        <w:tblLook w:val="04A0" w:firstRow="1" w:lastRow="0" w:firstColumn="1" w:lastColumn="0" w:noHBand="0" w:noVBand="1"/>
      </w:tblPr>
      <w:tblGrid>
        <w:gridCol w:w="2127"/>
        <w:gridCol w:w="1275"/>
        <w:gridCol w:w="1120"/>
        <w:gridCol w:w="1290"/>
        <w:gridCol w:w="1120"/>
        <w:gridCol w:w="1290"/>
        <w:gridCol w:w="1120"/>
      </w:tblGrid>
      <w:tr w:rsidR="00A53AD7" w:rsidRPr="00A53AD7" w14:paraId="3ADBA2D7" w14:textId="77777777" w:rsidTr="00616BA6">
        <w:trPr>
          <w:trHeight w:val="238"/>
          <w:tblHeader/>
        </w:trPr>
        <w:tc>
          <w:tcPr>
            <w:tcW w:w="2127"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DB9C522"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показателя</w:t>
            </w:r>
          </w:p>
        </w:tc>
        <w:tc>
          <w:tcPr>
            <w:tcW w:w="2395" w:type="dxa"/>
            <w:gridSpan w:val="2"/>
            <w:tcBorders>
              <w:top w:val="double" w:sz="6" w:space="0" w:color="auto"/>
              <w:left w:val="nil"/>
              <w:bottom w:val="single" w:sz="4" w:space="0" w:color="auto"/>
              <w:right w:val="single" w:sz="4" w:space="0" w:color="auto"/>
            </w:tcBorders>
            <w:shd w:val="clear" w:color="auto" w:fill="auto"/>
            <w:vAlign w:val="center"/>
            <w:hideMark/>
          </w:tcPr>
          <w:p w14:paraId="2ACC5F7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 год</w:t>
            </w:r>
          </w:p>
        </w:tc>
        <w:tc>
          <w:tcPr>
            <w:tcW w:w="2410" w:type="dxa"/>
            <w:gridSpan w:val="2"/>
            <w:tcBorders>
              <w:top w:val="double" w:sz="6" w:space="0" w:color="auto"/>
              <w:left w:val="nil"/>
              <w:bottom w:val="single" w:sz="4" w:space="0" w:color="auto"/>
              <w:right w:val="single" w:sz="4" w:space="0" w:color="auto"/>
            </w:tcBorders>
            <w:shd w:val="clear" w:color="auto" w:fill="auto"/>
            <w:vAlign w:val="center"/>
            <w:hideMark/>
          </w:tcPr>
          <w:p w14:paraId="7D769E2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год</w:t>
            </w:r>
          </w:p>
        </w:tc>
        <w:tc>
          <w:tcPr>
            <w:tcW w:w="2410" w:type="dxa"/>
            <w:gridSpan w:val="2"/>
            <w:tcBorders>
              <w:top w:val="double" w:sz="6" w:space="0" w:color="auto"/>
              <w:left w:val="nil"/>
              <w:bottom w:val="single" w:sz="4" w:space="0" w:color="auto"/>
              <w:right w:val="double" w:sz="6" w:space="0" w:color="000000"/>
            </w:tcBorders>
            <w:shd w:val="clear" w:color="auto" w:fill="auto"/>
            <w:vAlign w:val="center"/>
            <w:hideMark/>
          </w:tcPr>
          <w:p w14:paraId="4A9E6D8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2019 к 2018</w:t>
            </w:r>
          </w:p>
        </w:tc>
      </w:tr>
      <w:tr w:rsidR="00A53AD7" w:rsidRPr="00A53AD7" w14:paraId="49CD9818" w14:textId="77777777" w:rsidTr="00616BA6">
        <w:trPr>
          <w:trHeight w:val="675"/>
          <w:tblHeader/>
        </w:trPr>
        <w:tc>
          <w:tcPr>
            <w:tcW w:w="2127" w:type="dxa"/>
            <w:vMerge/>
            <w:tcBorders>
              <w:top w:val="double" w:sz="6" w:space="0" w:color="auto"/>
              <w:left w:val="double" w:sz="6" w:space="0" w:color="auto"/>
              <w:bottom w:val="single" w:sz="4" w:space="0" w:color="auto"/>
              <w:right w:val="single" w:sz="4" w:space="0" w:color="auto"/>
            </w:tcBorders>
            <w:vAlign w:val="center"/>
            <w:hideMark/>
          </w:tcPr>
          <w:p w14:paraId="1702D5B2" w14:textId="77777777" w:rsidR="00D01D81" w:rsidRPr="00A53AD7" w:rsidRDefault="00D01D81" w:rsidP="00BA5523">
            <w:pPr>
              <w:spacing w:after="0" w:line="240" w:lineRule="auto"/>
              <w:rPr>
                <w:rFonts w:ascii="Times New Roman" w:eastAsia="Times New Roman" w:hAnsi="Times New Roman"/>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62CCBAFE"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отпуск древесины, тыс. кбм</w:t>
            </w:r>
          </w:p>
        </w:tc>
        <w:tc>
          <w:tcPr>
            <w:tcW w:w="1120" w:type="dxa"/>
            <w:tcBorders>
              <w:top w:val="nil"/>
              <w:left w:val="nil"/>
              <w:bottom w:val="single" w:sz="4" w:space="0" w:color="auto"/>
              <w:right w:val="single" w:sz="4" w:space="0" w:color="auto"/>
            </w:tcBorders>
            <w:shd w:val="clear" w:color="auto" w:fill="auto"/>
            <w:vAlign w:val="center"/>
            <w:hideMark/>
          </w:tcPr>
          <w:p w14:paraId="632E9E5A" w14:textId="77777777" w:rsidR="00D01D81" w:rsidRPr="00A53AD7" w:rsidRDefault="00D01D81" w:rsidP="00BA5523">
            <w:pPr>
              <w:spacing w:after="0" w:line="240" w:lineRule="auto"/>
              <w:ind w:left="-108" w:right="-122"/>
              <w:jc w:val="center"/>
              <w:rPr>
                <w:rFonts w:ascii="Times New Roman" w:eastAsia="Times New Roman" w:hAnsi="Times New Roman"/>
                <w:lang w:eastAsia="ru-RU"/>
              </w:rPr>
            </w:pPr>
            <w:r w:rsidRPr="00A53AD7">
              <w:rPr>
                <w:rFonts w:ascii="Times New Roman" w:eastAsia="Times New Roman" w:hAnsi="Times New Roman"/>
                <w:lang w:eastAsia="ru-RU"/>
              </w:rPr>
              <w:t>плата, млн.руб.</w:t>
            </w:r>
          </w:p>
        </w:tc>
        <w:tc>
          <w:tcPr>
            <w:tcW w:w="1290" w:type="dxa"/>
            <w:tcBorders>
              <w:top w:val="nil"/>
              <w:left w:val="nil"/>
              <w:bottom w:val="single" w:sz="4" w:space="0" w:color="auto"/>
              <w:right w:val="single" w:sz="4" w:space="0" w:color="auto"/>
            </w:tcBorders>
            <w:shd w:val="clear" w:color="auto" w:fill="auto"/>
            <w:vAlign w:val="center"/>
            <w:hideMark/>
          </w:tcPr>
          <w:p w14:paraId="0E7DDB1C"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отпуск древесины, тыс. кбм</w:t>
            </w:r>
          </w:p>
        </w:tc>
        <w:tc>
          <w:tcPr>
            <w:tcW w:w="1120" w:type="dxa"/>
            <w:tcBorders>
              <w:top w:val="nil"/>
              <w:left w:val="nil"/>
              <w:bottom w:val="single" w:sz="4" w:space="0" w:color="auto"/>
              <w:right w:val="single" w:sz="4" w:space="0" w:color="auto"/>
            </w:tcBorders>
            <w:shd w:val="clear" w:color="auto" w:fill="auto"/>
            <w:vAlign w:val="center"/>
            <w:hideMark/>
          </w:tcPr>
          <w:p w14:paraId="0D4B70AE" w14:textId="77777777" w:rsidR="00D01D81" w:rsidRPr="00A53AD7" w:rsidRDefault="00D01D81" w:rsidP="00BA5523">
            <w:pPr>
              <w:spacing w:after="0" w:line="240" w:lineRule="auto"/>
              <w:ind w:left="-108" w:right="-122"/>
              <w:jc w:val="center"/>
              <w:rPr>
                <w:rFonts w:ascii="Times New Roman" w:eastAsia="Times New Roman" w:hAnsi="Times New Roman"/>
                <w:lang w:eastAsia="ru-RU"/>
              </w:rPr>
            </w:pPr>
            <w:r w:rsidRPr="00A53AD7">
              <w:rPr>
                <w:rFonts w:ascii="Times New Roman" w:eastAsia="Times New Roman" w:hAnsi="Times New Roman"/>
                <w:lang w:eastAsia="ru-RU"/>
              </w:rPr>
              <w:t>плата, млн.руб.</w:t>
            </w:r>
          </w:p>
        </w:tc>
        <w:tc>
          <w:tcPr>
            <w:tcW w:w="1290" w:type="dxa"/>
            <w:tcBorders>
              <w:top w:val="nil"/>
              <w:left w:val="nil"/>
              <w:bottom w:val="single" w:sz="4" w:space="0" w:color="auto"/>
              <w:right w:val="single" w:sz="4" w:space="0" w:color="auto"/>
            </w:tcBorders>
            <w:shd w:val="clear" w:color="auto" w:fill="auto"/>
            <w:vAlign w:val="center"/>
            <w:hideMark/>
          </w:tcPr>
          <w:p w14:paraId="222E7CD5" w14:textId="77777777" w:rsidR="00D01D81" w:rsidRPr="00A53AD7" w:rsidRDefault="00D01D81" w:rsidP="00BA5523">
            <w:pPr>
              <w:spacing w:after="0" w:line="240" w:lineRule="auto"/>
              <w:ind w:left="-94" w:right="-108"/>
              <w:jc w:val="center"/>
              <w:rPr>
                <w:rFonts w:ascii="Times New Roman" w:eastAsia="Times New Roman" w:hAnsi="Times New Roman"/>
                <w:lang w:eastAsia="ru-RU"/>
              </w:rPr>
            </w:pPr>
            <w:r w:rsidRPr="00A53AD7">
              <w:rPr>
                <w:rFonts w:ascii="Times New Roman" w:eastAsia="Times New Roman" w:hAnsi="Times New Roman"/>
                <w:lang w:eastAsia="ru-RU"/>
              </w:rPr>
              <w:t>отпуск древесины, тыс. кбм</w:t>
            </w:r>
          </w:p>
        </w:tc>
        <w:tc>
          <w:tcPr>
            <w:tcW w:w="1120" w:type="dxa"/>
            <w:tcBorders>
              <w:top w:val="nil"/>
              <w:left w:val="nil"/>
              <w:bottom w:val="single" w:sz="4" w:space="0" w:color="auto"/>
              <w:right w:val="double" w:sz="6" w:space="0" w:color="auto"/>
            </w:tcBorders>
            <w:shd w:val="clear" w:color="auto" w:fill="auto"/>
            <w:vAlign w:val="center"/>
            <w:hideMark/>
          </w:tcPr>
          <w:p w14:paraId="6C77C501" w14:textId="77777777" w:rsidR="00D01D81" w:rsidRPr="00A53AD7" w:rsidRDefault="00D01D81" w:rsidP="00BA5523">
            <w:pPr>
              <w:spacing w:after="0" w:line="240" w:lineRule="auto"/>
              <w:ind w:left="-108" w:right="-122"/>
              <w:jc w:val="center"/>
              <w:rPr>
                <w:rFonts w:ascii="Times New Roman" w:eastAsia="Times New Roman" w:hAnsi="Times New Roman"/>
                <w:lang w:eastAsia="ru-RU"/>
              </w:rPr>
            </w:pPr>
            <w:r w:rsidRPr="00A53AD7">
              <w:rPr>
                <w:rFonts w:ascii="Times New Roman" w:eastAsia="Times New Roman" w:hAnsi="Times New Roman"/>
                <w:lang w:eastAsia="ru-RU"/>
              </w:rPr>
              <w:t>плата, млн.руб.</w:t>
            </w:r>
          </w:p>
        </w:tc>
      </w:tr>
      <w:tr w:rsidR="00A53AD7" w:rsidRPr="00A53AD7" w14:paraId="2F29BE44" w14:textId="77777777" w:rsidTr="00463E48">
        <w:trPr>
          <w:trHeight w:val="184"/>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6F50BDBD"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А</w:t>
            </w:r>
          </w:p>
        </w:tc>
        <w:tc>
          <w:tcPr>
            <w:tcW w:w="1275" w:type="dxa"/>
            <w:tcBorders>
              <w:top w:val="nil"/>
              <w:left w:val="nil"/>
              <w:bottom w:val="single" w:sz="4" w:space="0" w:color="auto"/>
              <w:right w:val="single" w:sz="4" w:space="0" w:color="auto"/>
            </w:tcBorders>
            <w:shd w:val="clear" w:color="auto" w:fill="auto"/>
            <w:vAlign w:val="center"/>
            <w:hideMark/>
          </w:tcPr>
          <w:p w14:paraId="078BE084"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120" w:type="dxa"/>
            <w:tcBorders>
              <w:top w:val="nil"/>
              <w:left w:val="nil"/>
              <w:bottom w:val="single" w:sz="4" w:space="0" w:color="auto"/>
              <w:right w:val="single" w:sz="4" w:space="0" w:color="auto"/>
            </w:tcBorders>
            <w:shd w:val="clear" w:color="auto" w:fill="auto"/>
            <w:vAlign w:val="center"/>
            <w:hideMark/>
          </w:tcPr>
          <w:p w14:paraId="1C30EE50"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290" w:type="dxa"/>
            <w:tcBorders>
              <w:top w:val="nil"/>
              <w:left w:val="nil"/>
              <w:bottom w:val="single" w:sz="4" w:space="0" w:color="auto"/>
              <w:right w:val="single" w:sz="4" w:space="0" w:color="auto"/>
            </w:tcBorders>
            <w:shd w:val="clear" w:color="auto" w:fill="auto"/>
            <w:vAlign w:val="center"/>
            <w:hideMark/>
          </w:tcPr>
          <w:p w14:paraId="1C333C0C"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1120" w:type="dxa"/>
            <w:tcBorders>
              <w:top w:val="nil"/>
              <w:left w:val="nil"/>
              <w:bottom w:val="single" w:sz="4" w:space="0" w:color="auto"/>
              <w:right w:val="single" w:sz="4" w:space="0" w:color="auto"/>
            </w:tcBorders>
            <w:shd w:val="clear" w:color="auto" w:fill="auto"/>
            <w:vAlign w:val="center"/>
            <w:hideMark/>
          </w:tcPr>
          <w:p w14:paraId="749348AF"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1290" w:type="dxa"/>
            <w:tcBorders>
              <w:top w:val="nil"/>
              <w:left w:val="nil"/>
              <w:bottom w:val="single" w:sz="4" w:space="0" w:color="auto"/>
              <w:right w:val="single" w:sz="4" w:space="0" w:color="auto"/>
            </w:tcBorders>
            <w:shd w:val="clear" w:color="auto" w:fill="auto"/>
            <w:noWrap/>
            <w:vAlign w:val="center"/>
            <w:hideMark/>
          </w:tcPr>
          <w:p w14:paraId="515867D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5=3-1</w:t>
            </w:r>
          </w:p>
        </w:tc>
        <w:tc>
          <w:tcPr>
            <w:tcW w:w="1120" w:type="dxa"/>
            <w:tcBorders>
              <w:top w:val="nil"/>
              <w:left w:val="nil"/>
              <w:bottom w:val="single" w:sz="4" w:space="0" w:color="auto"/>
              <w:right w:val="double" w:sz="6" w:space="0" w:color="auto"/>
            </w:tcBorders>
            <w:shd w:val="clear" w:color="auto" w:fill="auto"/>
            <w:noWrap/>
            <w:vAlign w:val="center"/>
            <w:hideMark/>
          </w:tcPr>
          <w:p w14:paraId="4794B67D"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6=4-2</w:t>
            </w:r>
          </w:p>
        </w:tc>
      </w:tr>
      <w:tr w:rsidR="00A53AD7" w:rsidRPr="00A53AD7" w14:paraId="5F079B86" w14:textId="77777777" w:rsidTr="00BA5523">
        <w:trPr>
          <w:trHeight w:val="2010"/>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6F74FCE9"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плата за использование лесов, в части, превышающей минимальный размер платы по договорам купли-продажи лесных насаждений</w:t>
            </w:r>
          </w:p>
        </w:tc>
        <w:tc>
          <w:tcPr>
            <w:tcW w:w="1275" w:type="dxa"/>
            <w:tcBorders>
              <w:top w:val="nil"/>
              <w:left w:val="nil"/>
              <w:bottom w:val="single" w:sz="4" w:space="0" w:color="auto"/>
              <w:right w:val="single" w:sz="4" w:space="0" w:color="auto"/>
            </w:tcBorders>
            <w:shd w:val="clear" w:color="auto" w:fill="auto"/>
            <w:vAlign w:val="bottom"/>
            <w:hideMark/>
          </w:tcPr>
          <w:p w14:paraId="7617580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1 452,5 </w:t>
            </w:r>
          </w:p>
        </w:tc>
        <w:tc>
          <w:tcPr>
            <w:tcW w:w="1120" w:type="dxa"/>
            <w:tcBorders>
              <w:top w:val="nil"/>
              <w:left w:val="nil"/>
              <w:bottom w:val="single" w:sz="4" w:space="0" w:color="auto"/>
              <w:right w:val="single" w:sz="4" w:space="0" w:color="auto"/>
            </w:tcBorders>
            <w:shd w:val="clear" w:color="auto" w:fill="auto"/>
            <w:vAlign w:val="bottom"/>
            <w:hideMark/>
          </w:tcPr>
          <w:p w14:paraId="7899C9A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252,4 </w:t>
            </w:r>
          </w:p>
        </w:tc>
        <w:tc>
          <w:tcPr>
            <w:tcW w:w="1290" w:type="dxa"/>
            <w:tcBorders>
              <w:top w:val="nil"/>
              <w:left w:val="nil"/>
              <w:bottom w:val="single" w:sz="4" w:space="0" w:color="auto"/>
              <w:right w:val="single" w:sz="4" w:space="0" w:color="auto"/>
            </w:tcBorders>
            <w:shd w:val="clear" w:color="auto" w:fill="auto"/>
            <w:vAlign w:val="bottom"/>
            <w:hideMark/>
          </w:tcPr>
          <w:p w14:paraId="3EDA114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1 423,2 </w:t>
            </w:r>
          </w:p>
        </w:tc>
        <w:tc>
          <w:tcPr>
            <w:tcW w:w="1120" w:type="dxa"/>
            <w:tcBorders>
              <w:top w:val="nil"/>
              <w:left w:val="nil"/>
              <w:bottom w:val="single" w:sz="4" w:space="0" w:color="auto"/>
              <w:right w:val="single" w:sz="4" w:space="0" w:color="auto"/>
            </w:tcBorders>
            <w:shd w:val="clear" w:color="auto" w:fill="auto"/>
            <w:vAlign w:val="bottom"/>
            <w:hideMark/>
          </w:tcPr>
          <w:p w14:paraId="4ED53272"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238,1 </w:t>
            </w:r>
          </w:p>
        </w:tc>
        <w:tc>
          <w:tcPr>
            <w:tcW w:w="1290" w:type="dxa"/>
            <w:tcBorders>
              <w:top w:val="nil"/>
              <w:left w:val="nil"/>
              <w:bottom w:val="single" w:sz="4" w:space="0" w:color="auto"/>
              <w:right w:val="single" w:sz="4" w:space="0" w:color="auto"/>
            </w:tcBorders>
            <w:shd w:val="clear" w:color="auto" w:fill="auto"/>
            <w:noWrap/>
            <w:vAlign w:val="bottom"/>
            <w:hideMark/>
          </w:tcPr>
          <w:p w14:paraId="63FD29F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-29,3 </w:t>
            </w:r>
          </w:p>
        </w:tc>
        <w:tc>
          <w:tcPr>
            <w:tcW w:w="1120" w:type="dxa"/>
            <w:tcBorders>
              <w:top w:val="nil"/>
              <w:left w:val="nil"/>
              <w:bottom w:val="single" w:sz="4" w:space="0" w:color="auto"/>
              <w:right w:val="double" w:sz="6" w:space="0" w:color="auto"/>
            </w:tcBorders>
            <w:shd w:val="clear" w:color="auto" w:fill="auto"/>
            <w:noWrap/>
            <w:vAlign w:val="bottom"/>
            <w:hideMark/>
          </w:tcPr>
          <w:p w14:paraId="023FA77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-14,3 </w:t>
            </w:r>
          </w:p>
        </w:tc>
      </w:tr>
      <w:tr w:rsidR="00A53AD7" w:rsidRPr="00A53AD7" w14:paraId="302D2511" w14:textId="77777777" w:rsidTr="00BA5523">
        <w:trPr>
          <w:trHeight w:val="1200"/>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41E65F17"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плата за использование лесов, в части, превышающей минимальный размер арендной платы </w:t>
            </w:r>
          </w:p>
        </w:tc>
        <w:tc>
          <w:tcPr>
            <w:tcW w:w="1275" w:type="dxa"/>
            <w:tcBorders>
              <w:top w:val="nil"/>
              <w:left w:val="nil"/>
              <w:bottom w:val="single" w:sz="4" w:space="0" w:color="auto"/>
              <w:right w:val="single" w:sz="4" w:space="0" w:color="auto"/>
            </w:tcBorders>
            <w:shd w:val="clear" w:color="auto" w:fill="auto"/>
            <w:vAlign w:val="bottom"/>
            <w:hideMark/>
          </w:tcPr>
          <w:p w14:paraId="3DDAC60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14 451,4 </w:t>
            </w:r>
          </w:p>
        </w:tc>
        <w:tc>
          <w:tcPr>
            <w:tcW w:w="1120" w:type="dxa"/>
            <w:tcBorders>
              <w:top w:val="nil"/>
              <w:left w:val="nil"/>
              <w:bottom w:val="single" w:sz="4" w:space="0" w:color="auto"/>
              <w:right w:val="single" w:sz="4" w:space="0" w:color="auto"/>
            </w:tcBorders>
            <w:shd w:val="clear" w:color="auto" w:fill="auto"/>
            <w:vAlign w:val="bottom"/>
            <w:hideMark/>
          </w:tcPr>
          <w:p w14:paraId="0CECD29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528,6 </w:t>
            </w:r>
          </w:p>
        </w:tc>
        <w:tc>
          <w:tcPr>
            <w:tcW w:w="1290" w:type="dxa"/>
            <w:tcBorders>
              <w:top w:val="nil"/>
              <w:left w:val="nil"/>
              <w:bottom w:val="single" w:sz="4" w:space="0" w:color="auto"/>
              <w:right w:val="single" w:sz="4" w:space="0" w:color="auto"/>
            </w:tcBorders>
            <w:shd w:val="clear" w:color="auto" w:fill="auto"/>
            <w:vAlign w:val="bottom"/>
            <w:hideMark/>
          </w:tcPr>
          <w:p w14:paraId="7458AE7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16 680,4 </w:t>
            </w:r>
          </w:p>
        </w:tc>
        <w:tc>
          <w:tcPr>
            <w:tcW w:w="1120" w:type="dxa"/>
            <w:tcBorders>
              <w:top w:val="nil"/>
              <w:left w:val="nil"/>
              <w:bottom w:val="single" w:sz="4" w:space="0" w:color="auto"/>
              <w:right w:val="single" w:sz="4" w:space="0" w:color="auto"/>
            </w:tcBorders>
            <w:shd w:val="clear" w:color="auto" w:fill="auto"/>
            <w:vAlign w:val="bottom"/>
            <w:hideMark/>
          </w:tcPr>
          <w:p w14:paraId="092A1ED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635,0 </w:t>
            </w:r>
          </w:p>
        </w:tc>
        <w:tc>
          <w:tcPr>
            <w:tcW w:w="1290" w:type="dxa"/>
            <w:tcBorders>
              <w:top w:val="nil"/>
              <w:left w:val="nil"/>
              <w:bottom w:val="single" w:sz="4" w:space="0" w:color="auto"/>
              <w:right w:val="single" w:sz="4" w:space="0" w:color="auto"/>
            </w:tcBorders>
            <w:shd w:val="clear" w:color="auto" w:fill="auto"/>
            <w:noWrap/>
            <w:vAlign w:val="bottom"/>
            <w:hideMark/>
          </w:tcPr>
          <w:p w14:paraId="2FEDF1A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2 229,0 </w:t>
            </w:r>
          </w:p>
        </w:tc>
        <w:tc>
          <w:tcPr>
            <w:tcW w:w="1120" w:type="dxa"/>
            <w:tcBorders>
              <w:top w:val="nil"/>
              <w:left w:val="nil"/>
              <w:bottom w:val="single" w:sz="4" w:space="0" w:color="auto"/>
              <w:right w:val="double" w:sz="6" w:space="0" w:color="auto"/>
            </w:tcBorders>
            <w:shd w:val="clear" w:color="auto" w:fill="auto"/>
            <w:noWrap/>
            <w:vAlign w:val="bottom"/>
            <w:hideMark/>
          </w:tcPr>
          <w:p w14:paraId="565C5B7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106,4 </w:t>
            </w:r>
          </w:p>
        </w:tc>
      </w:tr>
      <w:tr w:rsidR="00A53AD7" w:rsidRPr="00A53AD7" w14:paraId="2A3E0119" w14:textId="77777777" w:rsidTr="00BA5523">
        <w:trPr>
          <w:trHeight w:val="1590"/>
        </w:trPr>
        <w:tc>
          <w:tcPr>
            <w:tcW w:w="2127" w:type="dxa"/>
            <w:tcBorders>
              <w:top w:val="nil"/>
              <w:left w:val="double" w:sz="6" w:space="0" w:color="auto"/>
              <w:bottom w:val="single" w:sz="4" w:space="0" w:color="auto"/>
              <w:right w:val="single" w:sz="4" w:space="0" w:color="auto"/>
            </w:tcBorders>
            <w:shd w:val="clear" w:color="auto" w:fill="auto"/>
            <w:vAlign w:val="center"/>
            <w:hideMark/>
          </w:tcPr>
          <w:p w14:paraId="4EF3D24B"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плата за использование лесов, в части платы по договору купли-продажи лесных насаждений для собственных нужд</w:t>
            </w:r>
          </w:p>
        </w:tc>
        <w:tc>
          <w:tcPr>
            <w:tcW w:w="1275" w:type="dxa"/>
            <w:tcBorders>
              <w:top w:val="nil"/>
              <w:left w:val="nil"/>
              <w:bottom w:val="single" w:sz="4" w:space="0" w:color="auto"/>
              <w:right w:val="single" w:sz="4" w:space="0" w:color="auto"/>
            </w:tcBorders>
            <w:shd w:val="clear" w:color="auto" w:fill="auto"/>
            <w:vAlign w:val="bottom"/>
            <w:hideMark/>
          </w:tcPr>
          <w:p w14:paraId="7AD76E4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442,7 </w:t>
            </w:r>
          </w:p>
        </w:tc>
        <w:tc>
          <w:tcPr>
            <w:tcW w:w="1120" w:type="dxa"/>
            <w:tcBorders>
              <w:top w:val="nil"/>
              <w:left w:val="nil"/>
              <w:bottom w:val="single" w:sz="4" w:space="0" w:color="auto"/>
              <w:right w:val="single" w:sz="4" w:space="0" w:color="auto"/>
            </w:tcBorders>
            <w:shd w:val="clear" w:color="auto" w:fill="auto"/>
            <w:vAlign w:val="bottom"/>
            <w:hideMark/>
          </w:tcPr>
          <w:p w14:paraId="35AE43E7"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33,9 </w:t>
            </w:r>
          </w:p>
        </w:tc>
        <w:tc>
          <w:tcPr>
            <w:tcW w:w="1290" w:type="dxa"/>
            <w:tcBorders>
              <w:top w:val="nil"/>
              <w:left w:val="nil"/>
              <w:bottom w:val="single" w:sz="4" w:space="0" w:color="auto"/>
              <w:right w:val="single" w:sz="4" w:space="0" w:color="auto"/>
            </w:tcBorders>
            <w:shd w:val="clear" w:color="auto" w:fill="auto"/>
            <w:vAlign w:val="bottom"/>
            <w:hideMark/>
          </w:tcPr>
          <w:p w14:paraId="796FD20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453,1 </w:t>
            </w:r>
          </w:p>
        </w:tc>
        <w:tc>
          <w:tcPr>
            <w:tcW w:w="1120" w:type="dxa"/>
            <w:tcBorders>
              <w:top w:val="nil"/>
              <w:left w:val="nil"/>
              <w:bottom w:val="single" w:sz="4" w:space="0" w:color="auto"/>
              <w:right w:val="single" w:sz="4" w:space="0" w:color="auto"/>
            </w:tcBorders>
            <w:shd w:val="clear" w:color="auto" w:fill="auto"/>
            <w:vAlign w:val="bottom"/>
            <w:hideMark/>
          </w:tcPr>
          <w:p w14:paraId="51DA347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39,5 </w:t>
            </w:r>
          </w:p>
        </w:tc>
        <w:tc>
          <w:tcPr>
            <w:tcW w:w="1290" w:type="dxa"/>
            <w:tcBorders>
              <w:top w:val="nil"/>
              <w:left w:val="nil"/>
              <w:bottom w:val="single" w:sz="4" w:space="0" w:color="auto"/>
              <w:right w:val="single" w:sz="4" w:space="0" w:color="auto"/>
            </w:tcBorders>
            <w:shd w:val="clear" w:color="auto" w:fill="auto"/>
            <w:noWrap/>
            <w:vAlign w:val="bottom"/>
            <w:hideMark/>
          </w:tcPr>
          <w:p w14:paraId="3B1B508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10,4 </w:t>
            </w:r>
          </w:p>
        </w:tc>
        <w:tc>
          <w:tcPr>
            <w:tcW w:w="1120" w:type="dxa"/>
            <w:tcBorders>
              <w:top w:val="nil"/>
              <w:left w:val="nil"/>
              <w:bottom w:val="single" w:sz="4" w:space="0" w:color="auto"/>
              <w:right w:val="double" w:sz="6" w:space="0" w:color="auto"/>
            </w:tcBorders>
            <w:shd w:val="clear" w:color="auto" w:fill="auto"/>
            <w:noWrap/>
            <w:vAlign w:val="bottom"/>
            <w:hideMark/>
          </w:tcPr>
          <w:p w14:paraId="21ED5E0E"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5,6 </w:t>
            </w:r>
          </w:p>
        </w:tc>
      </w:tr>
      <w:tr w:rsidR="00D01D81" w:rsidRPr="00A53AD7" w14:paraId="7E1FF5C3" w14:textId="77777777" w:rsidTr="00463E48">
        <w:trPr>
          <w:trHeight w:val="203"/>
        </w:trPr>
        <w:tc>
          <w:tcPr>
            <w:tcW w:w="2127" w:type="dxa"/>
            <w:tcBorders>
              <w:top w:val="nil"/>
              <w:left w:val="double" w:sz="6" w:space="0" w:color="auto"/>
              <w:bottom w:val="double" w:sz="6" w:space="0" w:color="auto"/>
              <w:right w:val="single" w:sz="4" w:space="0" w:color="auto"/>
            </w:tcBorders>
            <w:shd w:val="clear" w:color="auto" w:fill="auto"/>
            <w:vAlign w:val="center"/>
            <w:hideMark/>
          </w:tcPr>
          <w:p w14:paraId="27BCF6E6"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275" w:type="dxa"/>
            <w:tcBorders>
              <w:top w:val="nil"/>
              <w:left w:val="nil"/>
              <w:bottom w:val="double" w:sz="6" w:space="0" w:color="auto"/>
              <w:right w:val="single" w:sz="4" w:space="0" w:color="auto"/>
            </w:tcBorders>
            <w:shd w:val="clear" w:color="auto" w:fill="auto"/>
            <w:noWrap/>
            <w:vAlign w:val="center"/>
            <w:hideMark/>
          </w:tcPr>
          <w:p w14:paraId="17588EBA"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16 346,6 </w:t>
            </w:r>
          </w:p>
        </w:tc>
        <w:tc>
          <w:tcPr>
            <w:tcW w:w="1120" w:type="dxa"/>
            <w:tcBorders>
              <w:top w:val="nil"/>
              <w:left w:val="nil"/>
              <w:bottom w:val="double" w:sz="6" w:space="0" w:color="auto"/>
              <w:right w:val="single" w:sz="4" w:space="0" w:color="auto"/>
            </w:tcBorders>
            <w:shd w:val="clear" w:color="auto" w:fill="auto"/>
            <w:noWrap/>
            <w:vAlign w:val="center"/>
            <w:hideMark/>
          </w:tcPr>
          <w:p w14:paraId="3B683FC0"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814,9 </w:t>
            </w:r>
          </w:p>
        </w:tc>
        <w:tc>
          <w:tcPr>
            <w:tcW w:w="1290" w:type="dxa"/>
            <w:tcBorders>
              <w:top w:val="nil"/>
              <w:left w:val="nil"/>
              <w:bottom w:val="double" w:sz="6" w:space="0" w:color="auto"/>
              <w:right w:val="single" w:sz="4" w:space="0" w:color="auto"/>
            </w:tcBorders>
            <w:shd w:val="clear" w:color="auto" w:fill="auto"/>
            <w:noWrap/>
            <w:vAlign w:val="center"/>
            <w:hideMark/>
          </w:tcPr>
          <w:p w14:paraId="29627BD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18 556,7 </w:t>
            </w:r>
          </w:p>
        </w:tc>
        <w:tc>
          <w:tcPr>
            <w:tcW w:w="1120" w:type="dxa"/>
            <w:tcBorders>
              <w:top w:val="nil"/>
              <w:left w:val="nil"/>
              <w:bottom w:val="double" w:sz="6" w:space="0" w:color="auto"/>
              <w:right w:val="single" w:sz="4" w:space="0" w:color="auto"/>
            </w:tcBorders>
            <w:shd w:val="clear" w:color="auto" w:fill="auto"/>
            <w:noWrap/>
            <w:vAlign w:val="center"/>
            <w:hideMark/>
          </w:tcPr>
          <w:p w14:paraId="4235F82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912,6 </w:t>
            </w:r>
          </w:p>
        </w:tc>
        <w:tc>
          <w:tcPr>
            <w:tcW w:w="1290" w:type="dxa"/>
            <w:tcBorders>
              <w:top w:val="nil"/>
              <w:left w:val="nil"/>
              <w:bottom w:val="double" w:sz="6" w:space="0" w:color="auto"/>
              <w:right w:val="single" w:sz="4" w:space="0" w:color="auto"/>
            </w:tcBorders>
            <w:shd w:val="clear" w:color="auto" w:fill="auto"/>
            <w:noWrap/>
            <w:vAlign w:val="center"/>
            <w:hideMark/>
          </w:tcPr>
          <w:p w14:paraId="2B7E5646"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2 210,1 </w:t>
            </w:r>
          </w:p>
        </w:tc>
        <w:tc>
          <w:tcPr>
            <w:tcW w:w="1120" w:type="dxa"/>
            <w:tcBorders>
              <w:top w:val="nil"/>
              <w:left w:val="nil"/>
              <w:bottom w:val="double" w:sz="6" w:space="0" w:color="auto"/>
              <w:right w:val="double" w:sz="6" w:space="0" w:color="auto"/>
            </w:tcBorders>
            <w:shd w:val="clear" w:color="auto" w:fill="auto"/>
            <w:noWrap/>
            <w:vAlign w:val="center"/>
            <w:hideMark/>
          </w:tcPr>
          <w:p w14:paraId="28C08E4D"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97,7 </w:t>
            </w:r>
          </w:p>
        </w:tc>
      </w:tr>
    </w:tbl>
    <w:p w14:paraId="3FA7C62D" w14:textId="77777777" w:rsidR="00463E48" w:rsidRPr="00A53AD7" w:rsidRDefault="00463E48" w:rsidP="00D01D81">
      <w:pPr>
        <w:spacing w:after="0" w:line="240" w:lineRule="auto"/>
        <w:ind w:firstLine="851"/>
        <w:jc w:val="both"/>
        <w:rPr>
          <w:rFonts w:ascii="Times New Roman" w:hAnsi="Times New Roman"/>
          <w:sz w:val="28"/>
          <w:szCs w:val="28"/>
        </w:rPr>
      </w:pPr>
    </w:p>
    <w:p w14:paraId="2B243938"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Платежи за использование лесов сложились из следующих поступлений:</w:t>
      </w:r>
    </w:p>
    <w:p w14:paraId="27B3EB18" w14:textId="2C51A1FF"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плата за использование лесов, расположенных на землях лесного фонда, в части, превышающей минимальный размер платы по договору купли-продажи лесных насаждений – 238,1 млн.руб., что на 52,5 млн.руб. или на 18,1 % меньше плановых назначений отчетного года и на 14,3 млн.руб. или на 5,7 % меньше поступлений 2018 года). Итоговая динамика поступления платежей обусловлена снижением средней ставки платы, сложившейся по результатам проведенных аукционов на право заключения договоров купли-продажи лесных насаждений на 7,4 % (план – 180,5 руб./к</w:t>
      </w:r>
      <w:r w:rsidR="00463E48" w:rsidRPr="00A53AD7">
        <w:rPr>
          <w:rFonts w:ascii="Times New Roman" w:hAnsi="Times New Roman"/>
          <w:sz w:val="28"/>
          <w:szCs w:val="28"/>
        </w:rPr>
        <w:t>у</w:t>
      </w:r>
      <w:r w:rsidRPr="00A53AD7">
        <w:rPr>
          <w:rFonts w:ascii="Times New Roman" w:hAnsi="Times New Roman"/>
          <w:sz w:val="28"/>
          <w:szCs w:val="28"/>
        </w:rPr>
        <w:t>б</w:t>
      </w:r>
      <w:r w:rsidR="00463E48" w:rsidRPr="00A53AD7">
        <w:rPr>
          <w:rFonts w:ascii="Times New Roman" w:hAnsi="Times New Roman"/>
          <w:sz w:val="28"/>
          <w:szCs w:val="28"/>
        </w:rPr>
        <w:t>.</w:t>
      </w:r>
      <w:r w:rsidRPr="00A53AD7">
        <w:rPr>
          <w:rFonts w:ascii="Times New Roman" w:hAnsi="Times New Roman"/>
          <w:sz w:val="28"/>
          <w:szCs w:val="28"/>
        </w:rPr>
        <w:t>м, факт – 167,2 руб./к</w:t>
      </w:r>
      <w:r w:rsidR="00463E48" w:rsidRPr="00A53AD7">
        <w:rPr>
          <w:rFonts w:ascii="Times New Roman" w:hAnsi="Times New Roman"/>
          <w:sz w:val="28"/>
          <w:szCs w:val="28"/>
        </w:rPr>
        <w:t>у</w:t>
      </w:r>
      <w:r w:rsidRPr="00A53AD7">
        <w:rPr>
          <w:rFonts w:ascii="Times New Roman" w:hAnsi="Times New Roman"/>
          <w:sz w:val="28"/>
          <w:szCs w:val="28"/>
        </w:rPr>
        <w:t>б</w:t>
      </w:r>
      <w:r w:rsidR="00463E48" w:rsidRPr="00A53AD7">
        <w:rPr>
          <w:rFonts w:ascii="Times New Roman" w:hAnsi="Times New Roman"/>
          <w:sz w:val="28"/>
          <w:szCs w:val="28"/>
        </w:rPr>
        <w:t>.</w:t>
      </w:r>
      <w:r w:rsidRPr="00A53AD7">
        <w:rPr>
          <w:rFonts w:ascii="Times New Roman" w:hAnsi="Times New Roman"/>
          <w:sz w:val="28"/>
          <w:szCs w:val="28"/>
        </w:rPr>
        <w:t>м) в связи с уменьшением спроса на заготовку древесины по договорам купли-продажи из-за высокой начальной (стартовой) цены лотов при проведении аукционов, низким качеством древесины и отсутствием транспортных путей для вывоза заготовленной древесины;</w:t>
      </w:r>
    </w:p>
    <w:p w14:paraId="3C4EB1B7" w14:textId="27292241"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плата за использование лесов, расположенных на землях лесного фонда, в части, превышающей минимальный размер арендной платы – 635,0 млн.руб. (на 28,0 млн.руб. или на 4,6 % превышает кассовы</w:t>
      </w:r>
      <w:r w:rsidR="00463E48" w:rsidRPr="00A53AD7">
        <w:rPr>
          <w:rFonts w:ascii="Times New Roman" w:hAnsi="Times New Roman"/>
          <w:sz w:val="28"/>
          <w:szCs w:val="28"/>
        </w:rPr>
        <w:t>й</w:t>
      </w:r>
      <w:r w:rsidRPr="00A53AD7">
        <w:rPr>
          <w:rFonts w:ascii="Times New Roman" w:hAnsi="Times New Roman"/>
          <w:sz w:val="28"/>
          <w:szCs w:val="28"/>
        </w:rPr>
        <w:t xml:space="preserve"> </w:t>
      </w:r>
      <w:r w:rsidR="00463E48" w:rsidRPr="00A53AD7">
        <w:rPr>
          <w:rFonts w:ascii="Times New Roman" w:hAnsi="Times New Roman"/>
          <w:sz w:val="28"/>
          <w:szCs w:val="28"/>
        </w:rPr>
        <w:t>план</w:t>
      </w:r>
      <w:r w:rsidRPr="00A53AD7">
        <w:rPr>
          <w:rFonts w:ascii="Times New Roman" w:hAnsi="Times New Roman"/>
          <w:sz w:val="28"/>
          <w:szCs w:val="28"/>
        </w:rPr>
        <w:t xml:space="preserve"> и на 106,4 млн.руб. или в 1,2 раза превышает поступления 2018 года). Динамика поступления обеспечена ростом средней сложившейся ставки за единицу лесных насаждений в части превышающей минимальный размер на 9,9 % (план – 34,5 руб./к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 факт – 37,9 руб./к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 а также фактически сложившимся отпуском древесины по договорам аренды лесных насаждений, погашением задолженности прошлых лет (+2,7 млн.руб. из них: ООО «Северная ЛОС», ООО «ПК БиС», ООО «Онего-Вельск», ООО Норд-Лес», «Теллура» и другие арендаторы);</w:t>
      </w:r>
    </w:p>
    <w:p w14:paraId="32048396" w14:textId="4936B630"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плата за использование лесов, расположенных на землях лесного фонда, в части платы по договору купли-продажи лесных насаждений для собственных нужд – 39,5 млн.руб. (превышение кассовых назначений отчетного года на 7,1 млн.руб. или на 22,0 % и превышение поступлений 2018 года на 5,6 млн.руб. или на 16,5 %). Динамика поступления обеспечена ростом средней сложившейся ставки за единицу лесных насаждений в части превышающей минимальный размер на 2,5 % (план – 85,4 руб./к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 факт – 87,5 руб./к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 а также фактически сложившимся отпуском древесины – 453,1 тыс.к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 (в 2018 году – 442,7 тыс.к</w:t>
      </w:r>
      <w:r w:rsidR="00ED4FC5" w:rsidRPr="00A53AD7">
        <w:rPr>
          <w:rFonts w:ascii="Times New Roman" w:hAnsi="Times New Roman"/>
          <w:sz w:val="28"/>
          <w:szCs w:val="28"/>
        </w:rPr>
        <w:t>у</w:t>
      </w:r>
      <w:r w:rsidRPr="00A53AD7">
        <w:rPr>
          <w:rFonts w:ascii="Times New Roman" w:hAnsi="Times New Roman"/>
          <w:sz w:val="28"/>
          <w:szCs w:val="28"/>
        </w:rPr>
        <w:t>б</w:t>
      </w:r>
      <w:r w:rsidR="00ED4FC5" w:rsidRPr="00A53AD7">
        <w:rPr>
          <w:rFonts w:ascii="Times New Roman" w:hAnsi="Times New Roman"/>
          <w:sz w:val="28"/>
          <w:szCs w:val="28"/>
        </w:rPr>
        <w:t>.</w:t>
      </w:r>
      <w:r w:rsidRPr="00A53AD7">
        <w:rPr>
          <w:rFonts w:ascii="Times New Roman" w:hAnsi="Times New Roman"/>
          <w:sz w:val="28"/>
          <w:szCs w:val="28"/>
        </w:rPr>
        <w:t>м).</w:t>
      </w:r>
    </w:p>
    <w:p w14:paraId="7238DD9E" w14:textId="77777777" w:rsidR="00D01D81" w:rsidRPr="00A53AD7" w:rsidRDefault="00D01D81" w:rsidP="00D01D81">
      <w:pPr>
        <w:spacing w:after="0" w:line="240" w:lineRule="auto"/>
        <w:ind w:left="851"/>
        <w:jc w:val="both"/>
        <w:rPr>
          <w:rFonts w:ascii="Times New Roman" w:hAnsi="Times New Roman"/>
          <w:sz w:val="28"/>
          <w:szCs w:val="28"/>
        </w:rPr>
      </w:pPr>
    </w:p>
    <w:p w14:paraId="0A9AE539" w14:textId="52399DE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8.2. Платеж</w:t>
      </w:r>
      <w:r w:rsidR="00ED4FC5" w:rsidRPr="00A53AD7">
        <w:rPr>
          <w:rFonts w:ascii="Times New Roman" w:hAnsi="Times New Roman"/>
          <w:sz w:val="28"/>
          <w:szCs w:val="28"/>
        </w:rPr>
        <w:t>и</w:t>
      </w:r>
      <w:r w:rsidRPr="00A53AD7">
        <w:rPr>
          <w:rFonts w:ascii="Times New Roman" w:hAnsi="Times New Roman"/>
          <w:sz w:val="28"/>
          <w:szCs w:val="28"/>
        </w:rPr>
        <w:t xml:space="preserve"> </w:t>
      </w:r>
      <w:r w:rsidRPr="00A53AD7">
        <w:rPr>
          <w:rFonts w:ascii="Times New Roman" w:hAnsi="Times New Roman"/>
          <w:sz w:val="28"/>
          <w:szCs w:val="28"/>
          <w:u w:val="single"/>
        </w:rPr>
        <w:t>при пользовании недрами</w:t>
      </w:r>
      <w:r w:rsidRPr="00A53AD7">
        <w:rPr>
          <w:rFonts w:ascii="Times New Roman" w:hAnsi="Times New Roman"/>
          <w:sz w:val="28"/>
          <w:szCs w:val="28"/>
        </w:rPr>
        <w:t xml:space="preserve"> поступил</w:t>
      </w:r>
      <w:r w:rsidR="00ED4FC5" w:rsidRPr="00A53AD7">
        <w:rPr>
          <w:rFonts w:ascii="Times New Roman" w:hAnsi="Times New Roman"/>
          <w:sz w:val="28"/>
          <w:szCs w:val="28"/>
        </w:rPr>
        <w:t>и</w:t>
      </w:r>
      <w:r w:rsidRPr="00A53AD7">
        <w:rPr>
          <w:rFonts w:ascii="Times New Roman" w:hAnsi="Times New Roman"/>
          <w:sz w:val="28"/>
          <w:szCs w:val="28"/>
        </w:rPr>
        <w:t xml:space="preserve"> в областной бюджет </w:t>
      </w:r>
      <w:r w:rsidR="00ED4FC5" w:rsidRPr="00A53AD7">
        <w:rPr>
          <w:rFonts w:ascii="Times New Roman" w:hAnsi="Times New Roman"/>
          <w:sz w:val="28"/>
          <w:szCs w:val="28"/>
        </w:rPr>
        <w:t xml:space="preserve">в сумме </w:t>
      </w:r>
      <w:r w:rsidRPr="00A53AD7">
        <w:rPr>
          <w:rFonts w:ascii="Times New Roman" w:hAnsi="Times New Roman"/>
          <w:sz w:val="28"/>
          <w:szCs w:val="28"/>
        </w:rPr>
        <w:t>165,9 млн.руб., что соответствует годовым назначениям (100,</w:t>
      </w:r>
      <w:r w:rsidR="004208F7" w:rsidRPr="00A53AD7">
        <w:rPr>
          <w:rFonts w:ascii="Times New Roman" w:hAnsi="Times New Roman"/>
          <w:sz w:val="28"/>
          <w:szCs w:val="28"/>
        </w:rPr>
        <w:t>1</w:t>
      </w:r>
      <w:r w:rsidRPr="00A53AD7">
        <w:rPr>
          <w:rFonts w:ascii="Times New Roman" w:hAnsi="Times New Roman"/>
          <w:sz w:val="28"/>
          <w:szCs w:val="28"/>
        </w:rPr>
        <w:t> %), при этом поступления в отчетном году больше на 95,3 млн.руб. или в 2,3 раза аналогичных поступлений 2018 года (70,6 млн.руб.). Доля указанных поступлений в объеме платежей при пользовании природными ресурсами составляет 14,7 %.</w:t>
      </w:r>
    </w:p>
    <w:p w14:paraId="735861B1" w14:textId="7CFCB4D8"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первоначально утвержденный план поступления платежей при пользовании недрами на 2019 год составлял 11,3 млн.руб., в течение отчетного года план увеличен на 154,4 млн.руб. (</w:t>
      </w:r>
      <w:r w:rsidR="00ED4FC5" w:rsidRPr="00A53AD7">
        <w:rPr>
          <w:rFonts w:ascii="Times New Roman" w:hAnsi="Times New Roman"/>
          <w:sz w:val="28"/>
          <w:szCs w:val="28"/>
        </w:rPr>
        <w:t xml:space="preserve">областной закон </w:t>
      </w:r>
      <w:r w:rsidRPr="00A53AD7">
        <w:rPr>
          <w:rFonts w:ascii="Times New Roman" w:hAnsi="Times New Roman"/>
          <w:sz w:val="28"/>
          <w:szCs w:val="28"/>
        </w:rPr>
        <w:t>от 02.07.2019 № 121-9-ОЗ), что обеспечено фактическим поступлением разового платежа по результатам проведенного аукциона Департаментом по недропользованию по Северо-Западному федеральному округу на континентальном шельфе и в Мировом океане (Севзапнедра) за пользование недрами с целью геологического изучения и разведки алмазов из коренных месторождений Архангельской области. Администратор указанных поступлений – Федеральное агентство по недропользованию, данный платеж при формировании прогнозных объемов на 2019 года не планиро</w:t>
      </w:r>
      <w:r w:rsidR="00ED4FC5" w:rsidRPr="00A53AD7">
        <w:rPr>
          <w:rFonts w:ascii="Times New Roman" w:hAnsi="Times New Roman"/>
          <w:sz w:val="28"/>
          <w:szCs w:val="28"/>
        </w:rPr>
        <w:t>вался.</w:t>
      </w:r>
    </w:p>
    <w:p w14:paraId="20A8C707" w14:textId="28B261C3"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итогам проведенных 6 аукционов и 2 конкурса, в областной бюджет за отчетный период получено 8,7 млн.руб., что на 1,3 млн.руб. или на 12,8 % меньше плановых назначений 2019 года. Отклонение от плана в меньшую сторону связано с тем, что в отчетном периоде не состоялся конкурс на право пользования участком недр Участок-2 месторождения Савинское (Запад). Участие в аукционах и конкурсах носит заявительный характер, что не позволило однозначно спрогнозировать количество аукционов и участников аукционов </w:t>
      </w:r>
      <w:r w:rsidR="0064381A" w:rsidRPr="00A53AD7">
        <w:rPr>
          <w:rFonts w:ascii="Times New Roman" w:hAnsi="Times New Roman"/>
          <w:sz w:val="28"/>
          <w:szCs w:val="28"/>
        </w:rPr>
        <w:t>и оценить поступление платежей.</w:t>
      </w:r>
    </w:p>
    <w:p w14:paraId="05E8179C" w14:textId="6CFF196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Крупнейшими плательщиками данно</w:t>
      </w:r>
      <w:r w:rsidR="0064381A" w:rsidRPr="00A53AD7">
        <w:rPr>
          <w:rFonts w:ascii="Times New Roman" w:hAnsi="Times New Roman"/>
          <w:sz w:val="28"/>
          <w:szCs w:val="28"/>
        </w:rPr>
        <w:t>го</w:t>
      </w:r>
      <w:r w:rsidRPr="00A53AD7">
        <w:rPr>
          <w:rFonts w:ascii="Times New Roman" w:hAnsi="Times New Roman"/>
          <w:sz w:val="28"/>
          <w:szCs w:val="28"/>
        </w:rPr>
        <w:t xml:space="preserve"> дохода являются: ООО «СудСтройСнаб» (3,7 млн.руб.), ООО «Севзапдорстрой» (1,2 млн.руб.), ООО «Севзапметалл» (0,9 млн.руб.), ООО «Альянс-Инвест» (0,5 млн.руб.).</w:t>
      </w:r>
    </w:p>
    <w:p w14:paraId="33DE7AC3" w14:textId="7E29598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Разовые платежи 2,2 млн.руб. поступили в областной бюджет по фактам открытия 5 новых месторождений, занесенных в Электронный каталог геологических документов</w:t>
      </w:r>
      <w:r w:rsidR="0064381A" w:rsidRPr="00A53AD7">
        <w:rPr>
          <w:rStyle w:val="afff1"/>
          <w:rFonts w:ascii="Times New Roman" w:hAnsi="Times New Roman"/>
          <w:sz w:val="28"/>
          <w:szCs w:val="28"/>
        </w:rPr>
        <w:footnoteReference w:id="22"/>
      </w:r>
      <w:r w:rsidRPr="00A53AD7">
        <w:rPr>
          <w:rFonts w:ascii="Times New Roman" w:hAnsi="Times New Roman"/>
          <w:sz w:val="28"/>
          <w:szCs w:val="28"/>
        </w:rPr>
        <w:t>: месторождени</w:t>
      </w:r>
      <w:r w:rsidR="0064381A" w:rsidRPr="00A53AD7">
        <w:rPr>
          <w:rFonts w:ascii="Times New Roman" w:hAnsi="Times New Roman"/>
          <w:sz w:val="28"/>
          <w:szCs w:val="28"/>
        </w:rPr>
        <w:t>я</w:t>
      </w:r>
      <w:r w:rsidRPr="00A53AD7">
        <w:rPr>
          <w:rFonts w:ascii="Times New Roman" w:hAnsi="Times New Roman"/>
          <w:sz w:val="28"/>
          <w:szCs w:val="28"/>
        </w:rPr>
        <w:t xml:space="preserve"> Кальтино-2, Самыловское-1, Южный Котлас-1, Кехта-1 (песок строительный, Пески строительные), участок Северный-1 месторождения Усальские Боры. В основном это пески, песчано-гравийная смесь.</w:t>
      </w:r>
    </w:p>
    <w:p w14:paraId="7918626E"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отчетный период получено 0,5 млн.руб. за проведение 31-й государственной экспертизы запасов полезных ископаемых, что несколько превышает плановые назначения 2019 года.</w:t>
      </w:r>
    </w:p>
    <w:p w14:paraId="3784FCC3" w14:textId="77777777" w:rsidR="00D01D81" w:rsidRPr="00A53AD7" w:rsidRDefault="00D01D81" w:rsidP="00D01D81">
      <w:pPr>
        <w:spacing w:after="0" w:line="240" w:lineRule="auto"/>
        <w:ind w:firstLine="851"/>
        <w:jc w:val="both"/>
        <w:rPr>
          <w:rFonts w:ascii="Times New Roman" w:hAnsi="Times New Roman"/>
          <w:sz w:val="28"/>
          <w:szCs w:val="28"/>
        </w:rPr>
      </w:pPr>
    </w:p>
    <w:p w14:paraId="03E1A6C6" w14:textId="135C9891"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8.3. </w:t>
      </w:r>
      <w:r w:rsidRPr="00A53AD7">
        <w:rPr>
          <w:rFonts w:ascii="Times New Roman" w:hAnsi="Times New Roman"/>
          <w:sz w:val="28"/>
          <w:szCs w:val="28"/>
          <w:u w:val="single"/>
        </w:rPr>
        <w:t xml:space="preserve">Платежей за негативное воздействие на окружающую среду </w:t>
      </w:r>
      <w:r w:rsidRPr="00A53AD7">
        <w:rPr>
          <w:rFonts w:ascii="Times New Roman" w:hAnsi="Times New Roman"/>
          <w:sz w:val="28"/>
          <w:szCs w:val="28"/>
        </w:rPr>
        <w:t>поступило за отчетный год в сумме 49,7 млн.руб., что на 1,8 млн.руб. или на 3,7</w:t>
      </w:r>
      <w:r w:rsidRPr="00A53AD7">
        <w:t>%</w:t>
      </w:r>
      <w:r w:rsidRPr="00A53AD7">
        <w:rPr>
          <w:rFonts w:ascii="Times New Roman" w:hAnsi="Times New Roman"/>
          <w:sz w:val="28"/>
          <w:szCs w:val="28"/>
        </w:rPr>
        <w:t xml:space="preserve"> превышает показатели кассового плана 2019 года, при этом на 9,1 млн.руб. или на 15,5 % меньше поступлений 2018 года (58,8 млн.руб.). Доля указанных поступлений в объеме платежей при пользовании природными ресурсами составляет 4,4 %. Администратор указанных поступлений – Федеральная служба по надзору в сфере природопользования.</w:t>
      </w:r>
    </w:p>
    <w:p w14:paraId="483B3076" w14:textId="12805E98" w:rsidR="00223E7F" w:rsidRPr="00A53AD7" w:rsidRDefault="00223E7F" w:rsidP="00223E7F">
      <w:pPr>
        <w:pStyle w:val="ad"/>
        <w:ind w:firstLine="851"/>
        <w:jc w:val="both"/>
        <w:rPr>
          <w:rFonts w:ascii="Times New Roman" w:hAnsi="Times New Roman"/>
          <w:sz w:val="28"/>
          <w:szCs w:val="28"/>
        </w:rPr>
      </w:pPr>
      <w:r w:rsidRPr="00A53AD7">
        <w:rPr>
          <w:rFonts w:ascii="Times New Roman" w:hAnsi="Times New Roman"/>
          <w:sz w:val="28"/>
          <w:szCs w:val="28"/>
        </w:rPr>
        <w:t>Согласно Сведениям по дебиторской и кредиторской задолженности (ф. 0503169) Минприроды АО дебиторская задолженность в связи с неполным внесением платы на 01.01.2019 по счету 205.23</w:t>
      </w:r>
      <w:r w:rsidRPr="00A53AD7">
        <w:rPr>
          <w:rFonts w:ascii="Times New Roman" w:hAnsi="Times New Roman"/>
          <w:i/>
          <w:sz w:val="28"/>
          <w:szCs w:val="28"/>
        </w:rPr>
        <w:t xml:space="preserve"> </w:t>
      </w:r>
      <w:r w:rsidRPr="00A53AD7">
        <w:rPr>
          <w:rFonts w:ascii="Times New Roman" w:hAnsi="Times New Roman"/>
          <w:sz w:val="28"/>
          <w:szCs w:val="28"/>
        </w:rPr>
        <w:t xml:space="preserve">«Расчеты по доходам от платежей при пользовании природными ресурсами» составляла 17 283,3 млн.руб. (в том числе просроченная задолженность – 109,7 млн.руб.), увеличившись на 01.01.2020 до 22 806,3 млн.руб. (+32,0 %), при этом просроченная задолженность снизилась на 67,3 млн.руб. </w:t>
      </w:r>
      <w:r w:rsidR="001D5D0F" w:rsidRPr="00A53AD7">
        <w:rPr>
          <w:rFonts w:ascii="Times New Roman" w:hAnsi="Times New Roman"/>
          <w:sz w:val="28"/>
          <w:szCs w:val="28"/>
        </w:rPr>
        <w:t xml:space="preserve">или на 61,3 % </w:t>
      </w:r>
      <w:r w:rsidRPr="00A53AD7">
        <w:rPr>
          <w:rFonts w:ascii="Times New Roman" w:hAnsi="Times New Roman"/>
          <w:sz w:val="28"/>
          <w:szCs w:val="28"/>
        </w:rPr>
        <w:t>и составила 42,4 млн.руб. Без учета долгосрочной указанная задолженность на 01.01.2019 составляла 1 729,7 млн.руб. (в том числе просроченная задолженность – 109,7 млн.руб.), уменьшившись на 01.01.2020 до 690,3 млн.руб. (–60,1 %).</w:t>
      </w:r>
    </w:p>
    <w:p w14:paraId="03291AE7" w14:textId="4624450E"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 xml:space="preserve">В целом на снижение дебиторской задолженности оказали влияние </w:t>
      </w:r>
      <w:r w:rsidR="0064381A" w:rsidRPr="00A53AD7">
        <w:rPr>
          <w:rFonts w:ascii="Times New Roman" w:hAnsi="Times New Roman"/>
          <w:sz w:val="28"/>
          <w:szCs w:val="28"/>
        </w:rPr>
        <w:t>следующие</w:t>
      </w:r>
      <w:r w:rsidRPr="00A53AD7">
        <w:rPr>
          <w:rFonts w:ascii="Times New Roman" w:hAnsi="Times New Roman"/>
          <w:sz w:val="28"/>
          <w:szCs w:val="28"/>
        </w:rPr>
        <w:t xml:space="preserve"> факторы: перечисление в областной бюджет задолженности по аукционным платежам, числящимся по состоянию на 01.01.2019; урегулирование в отчетном периоде вопросов по коэффициентам превышения в договорах аренды, предоставленных для реализации инвестиционных проектов; списание безнадежной к взысканию задолженности перед областным бюджетом в размере 20,0 млн.руб. согласно распоряжению Минприроды, изданно</w:t>
      </w:r>
      <w:r w:rsidR="0064381A" w:rsidRPr="00A53AD7">
        <w:rPr>
          <w:rFonts w:ascii="Times New Roman" w:hAnsi="Times New Roman"/>
          <w:sz w:val="28"/>
          <w:szCs w:val="28"/>
        </w:rPr>
        <w:t>му</w:t>
      </w:r>
      <w:r w:rsidRPr="00A53AD7">
        <w:rPr>
          <w:rFonts w:ascii="Times New Roman" w:hAnsi="Times New Roman"/>
          <w:sz w:val="28"/>
          <w:szCs w:val="28"/>
        </w:rPr>
        <w:t xml:space="preserve"> на основании протокола заседания комиссии министерства по признанию и списанию безнадежной к взысканию задолженности по платежам в бюджетную систему РФ. Причина списания – признание ООО «Управляющая компания «Соломбалалес» банкротом решением</w:t>
      </w:r>
      <w:r w:rsidR="0064381A" w:rsidRPr="00A53AD7">
        <w:rPr>
          <w:rFonts w:ascii="Times New Roman" w:hAnsi="Times New Roman"/>
          <w:sz w:val="28"/>
          <w:szCs w:val="28"/>
        </w:rPr>
        <w:t xml:space="preserve"> Арбитражного суда:</w:t>
      </w:r>
    </w:p>
    <w:p w14:paraId="5AF9CF9B" w14:textId="78D738A7" w:rsidR="00D01D81" w:rsidRPr="00A53AD7" w:rsidRDefault="0064381A" w:rsidP="00BB09B8">
      <w:pPr>
        <w:pStyle w:val="a8"/>
        <w:numPr>
          <w:ilvl w:val="0"/>
          <w:numId w:val="14"/>
        </w:numPr>
        <w:ind w:left="0" w:firstLine="851"/>
        <w:jc w:val="both"/>
        <w:rPr>
          <w:sz w:val="28"/>
          <w:szCs w:val="28"/>
        </w:rPr>
      </w:pPr>
      <w:r w:rsidRPr="00A53AD7">
        <w:rPr>
          <w:sz w:val="28"/>
          <w:szCs w:val="28"/>
        </w:rPr>
        <w:t>з</w:t>
      </w:r>
      <w:r w:rsidR="00D01D81" w:rsidRPr="00A53AD7">
        <w:rPr>
          <w:sz w:val="28"/>
          <w:szCs w:val="28"/>
        </w:rPr>
        <w:t xml:space="preserve">адолженность в части платы за использование лесов, расположенных на землях лесного фонда, в части, превышающей минимальный размер платы по </w:t>
      </w:r>
      <w:r w:rsidR="00D01D81" w:rsidRPr="00A53AD7">
        <w:rPr>
          <w:sz w:val="28"/>
          <w:szCs w:val="28"/>
          <w:u w:val="single"/>
        </w:rPr>
        <w:t>договору купли-продажи лесных</w:t>
      </w:r>
      <w:r w:rsidR="00D01D81" w:rsidRPr="00A53AD7">
        <w:rPr>
          <w:sz w:val="28"/>
          <w:szCs w:val="28"/>
        </w:rPr>
        <w:t xml:space="preserve"> насаждений по состоянию на 01.01.2019 составляла 1,8 млн.руб. (в том числе просроченная </w:t>
      </w:r>
      <w:r w:rsidRPr="00A53AD7">
        <w:rPr>
          <w:sz w:val="28"/>
          <w:szCs w:val="28"/>
        </w:rPr>
        <w:t xml:space="preserve">– </w:t>
      </w:r>
      <w:r w:rsidR="00D01D81" w:rsidRPr="00A53AD7">
        <w:rPr>
          <w:sz w:val="28"/>
          <w:szCs w:val="28"/>
        </w:rPr>
        <w:t xml:space="preserve">1,8 млн.руб.). По состоянию на 01.01.2020 дебиторская задолженность составила 0,2 млн.руб. (в том числе просроченная </w:t>
      </w:r>
      <w:r w:rsidRPr="00A53AD7">
        <w:rPr>
          <w:sz w:val="28"/>
          <w:szCs w:val="28"/>
        </w:rPr>
        <w:t xml:space="preserve">– </w:t>
      </w:r>
      <w:r w:rsidR="00D01D81" w:rsidRPr="00A53AD7">
        <w:rPr>
          <w:sz w:val="28"/>
          <w:szCs w:val="28"/>
        </w:rPr>
        <w:t>0,2 млн.руб.) (–</w:t>
      </w:r>
      <w:r w:rsidR="000B6DBC" w:rsidRPr="00A53AD7">
        <w:rPr>
          <w:sz w:val="28"/>
          <w:szCs w:val="28"/>
        </w:rPr>
        <w:t>88,9</w:t>
      </w:r>
      <w:r w:rsidR="00D01D81" w:rsidRPr="00A53AD7">
        <w:rPr>
          <w:sz w:val="28"/>
          <w:szCs w:val="28"/>
        </w:rPr>
        <w:t> %), что обусловлено перечислением в областной бюджет задолженности по аукционным платежам, числящ</w:t>
      </w:r>
      <w:r w:rsidRPr="00A53AD7">
        <w:rPr>
          <w:sz w:val="28"/>
          <w:szCs w:val="28"/>
        </w:rPr>
        <w:t>имся по состоянию на 01.01.2019.</w:t>
      </w:r>
    </w:p>
    <w:p w14:paraId="3C9E5649" w14:textId="317CEA1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 xml:space="preserve">задолженность в части платы за использование лесов, расположенных на землях лесного фонда, в части, превышающей минимальный </w:t>
      </w:r>
      <w:r w:rsidRPr="00A53AD7">
        <w:rPr>
          <w:rFonts w:ascii="Times New Roman" w:hAnsi="Times New Roman"/>
          <w:sz w:val="28"/>
          <w:szCs w:val="28"/>
          <w:u w:val="single"/>
        </w:rPr>
        <w:t>размер арендной платы</w:t>
      </w:r>
      <w:r w:rsidRPr="00A53AD7">
        <w:rPr>
          <w:rFonts w:ascii="Times New Roman" w:hAnsi="Times New Roman"/>
          <w:sz w:val="28"/>
          <w:szCs w:val="28"/>
        </w:rPr>
        <w:t xml:space="preserve"> по состоянию на 01.01.2019 составляла 17 276,4 млн.руб. (в том числе просроченная </w:t>
      </w:r>
      <w:r w:rsidR="00FF1DBA" w:rsidRPr="00A53AD7">
        <w:rPr>
          <w:rFonts w:ascii="Times New Roman" w:hAnsi="Times New Roman"/>
          <w:sz w:val="28"/>
          <w:szCs w:val="28"/>
        </w:rPr>
        <w:t xml:space="preserve">– </w:t>
      </w:r>
      <w:r w:rsidRPr="00A53AD7">
        <w:rPr>
          <w:rFonts w:ascii="Times New Roman" w:hAnsi="Times New Roman"/>
          <w:sz w:val="28"/>
          <w:szCs w:val="28"/>
        </w:rPr>
        <w:t>107,8 млн.руб.). По состоянию на 01.01.2020 дебиторская задолженность увеличилась на 5 529,5 млн.руб. (+3</w:t>
      </w:r>
      <w:r w:rsidR="0074170A" w:rsidRPr="00A53AD7">
        <w:rPr>
          <w:rFonts w:ascii="Times New Roman" w:hAnsi="Times New Roman"/>
          <w:sz w:val="28"/>
          <w:szCs w:val="28"/>
        </w:rPr>
        <w:t>2</w:t>
      </w:r>
      <w:r w:rsidRPr="00A53AD7">
        <w:rPr>
          <w:rFonts w:ascii="Times New Roman" w:hAnsi="Times New Roman"/>
          <w:sz w:val="28"/>
          <w:szCs w:val="28"/>
        </w:rPr>
        <w:t>,0 %) и составила 22 805,9 млн.руб. (в том числе просроченная – 42,2 млн.руб., которая сократилась за отчетный период на 65,6 млн.руб. (–60,9 %);</w:t>
      </w:r>
    </w:p>
    <w:p w14:paraId="21610B5C" w14:textId="52AF228D"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Значительные суммы задолженности за использование лесов, расположенных на землях лесного фонда, в части, превышающей минимальный размер арендной платы сложились у ООО «Онего- Вельск» - 1,5 млн.руб.</w:t>
      </w:r>
      <w:r w:rsidRPr="00A53AD7">
        <w:t xml:space="preserve"> </w:t>
      </w:r>
      <w:r w:rsidRPr="00A53AD7">
        <w:rPr>
          <w:rFonts w:ascii="Times New Roman" w:hAnsi="Times New Roman"/>
          <w:sz w:val="28"/>
          <w:szCs w:val="28"/>
        </w:rPr>
        <w:t>ООО «Северная ЛОС» - 0,7 млн.руб., ООО «Зеленник-Лес» - 0,4 млн.руб., ООО «Мошинское лесное хозя</w:t>
      </w:r>
      <w:r w:rsidR="00FF1DBA" w:rsidRPr="00A53AD7">
        <w:rPr>
          <w:rFonts w:ascii="Times New Roman" w:hAnsi="Times New Roman"/>
          <w:sz w:val="28"/>
          <w:szCs w:val="28"/>
        </w:rPr>
        <w:t>йство» - 0,3 млн.руб. и другие.</w:t>
      </w:r>
    </w:p>
    <w:p w14:paraId="22FD7DEC" w14:textId="157B3320" w:rsidR="00D01D81" w:rsidRPr="00A53AD7" w:rsidRDefault="00FF1DBA" w:rsidP="00D01D81">
      <w:pPr>
        <w:pStyle w:val="ad"/>
        <w:ind w:firstLine="851"/>
        <w:jc w:val="both"/>
        <w:rPr>
          <w:rFonts w:ascii="Times New Roman" w:hAnsi="Times New Roman"/>
          <w:sz w:val="28"/>
          <w:szCs w:val="28"/>
        </w:rPr>
      </w:pPr>
      <w:r w:rsidRPr="00A53AD7">
        <w:rPr>
          <w:rFonts w:ascii="Times New Roman" w:hAnsi="Times New Roman"/>
          <w:sz w:val="28"/>
          <w:szCs w:val="28"/>
        </w:rPr>
        <w:t>П</w:t>
      </w:r>
      <w:r w:rsidR="00D01D81" w:rsidRPr="00A53AD7">
        <w:rPr>
          <w:rFonts w:ascii="Times New Roman" w:hAnsi="Times New Roman"/>
          <w:sz w:val="28"/>
          <w:szCs w:val="28"/>
        </w:rPr>
        <w:t>росроченн</w:t>
      </w:r>
      <w:r w:rsidRPr="00A53AD7">
        <w:rPr>
          <w:rFonts w:ascii="Times New Roman" w:hAnsi="Times New Roman"/>
          <w:sz w:val="28"/>
          <w:szCs w:val="28"/>
        </w:rPr>
        <w:t>ая</w:t>
      </w:r>
      <w:r w:rsidR="00D01D81" w:rsidRPr="00A53AD7">
        <w:rPr>
          <w:rFonts w:ascii="Times New Roman" w:hAnsi="Times New Roman"/>
          <w:sz w:val="28"/>
          <w:szCs w:val="28"/>
        </w:rPr>
        <w:t xml:space="preserve"> задолженност</w:t>
      </w:r>
      <w:r w:rsidRPr="00A53AD7">
        <w:rPr>
          <w:rFonts w:ascii="Times New Roman" w:hAnsi="Times New Roman"/>
          <w:sz w:val="28"/>
          <w:szCs w:val="28"/>
        </w:rPr>
        <w:t>ь</w:t>
      </w:r>
      <w:r w:rsidR="00D01D81" w:rsidRPr="00A53AD7">
        <w:rPr>
          <w:rFonts w:ascii="Times New Roman" w:hAnsi="Times New Roman"/>
          <w:sz w:val="28"/>
          <w:szCs w:val="28"/>
        </w:rPr>
        <w:t xml:space="preserve"> за использование лесов, расположенных на землях лесного фонда, в части, превышающей минимальный размер арендной платы</w:t>
      </w:r>
      <w:r w:rsidRPr="00A53AD7">
        <w:rPr>
          <w:rFonts w:ascii="Times New Roman" w:hAnsi="Times New Roman"/>
          <w:sz w:val="28"/>
          <w:szCs w:val="28"/>
        </w:rPr>
        <w:t>:</w:t>
      </w:r>
      <w:r w:rsidR="00D01D81" w:rsidRPr="00A53AD7">
        <w:rPr>
          <w:rFonts w:ascii="Times New Roman" w:hAnsi="Times New Roman"/>
          <w:sz w:val="28"/>
          <w:szCs w:val="28"/>
        </w:rPr>
        <w:t xml:space="preserve"> суммы с различными сроками платежей сложились у ООО «Поморский лесной технопарк» - 12,1 млн.руб.; ООО «СВ плюс» - 5,4 млн.руб.;</w:t>
      </w:r>
      <w:r w:rsidR="00D01D81" w:rsidRPr="00A53AD7">
        <w:t xml:space="preserve"> </w:t>
      </w:r>
      <w:r w:rsidR="00D01D81" w:rsidRPr="00A53AD7">
        <w:rPr>
          <w:rFonts w:ascii="Times New Roman" w:hAnsi="Times New Roman"/>
          <w:sz w:val="28"/>
          <w:szCs w:val="28"/>
        </w:rPr>
        <w:t>ООО «Русские Лесные Пеллеты Карелия» – 4,4 млн.руб. и другие.</w:t>
      </w:r>
    </w:p>
    <w:p w14:paraId="71D494BB" w14:textId="0CE3926E"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 xml:space="preserve">в части </w:t>
      </w:r>
      <w:r w:rsidRPr="00A53AD7">
        <w:rPr>
          <w:rFonts w:ascii="Times New Roman" w:hAnsi="Times New Roman"/>
          <w:sz w:val="28"/>
          <w:szCs w:val="28"/>
          <w:u w:val="single"/>
        </w:rPr>
        <w:t>разовых платежей за пользование недрами</w:t>
      </w:r>
      <w:r w:rsidRPr="00A53AD7">
        <w:rPr>
          <w:rFonts w:ascii="Times New Roman" w:hAnsi="Times New Roman"/>
          <w:sz w:val="28"/>
          <w:szCs w:val="28"/>
        </w:rPr>
        <w:t xml:space="preserve">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 на 01.</w:t>
      </w:r>
      <w:r w:rsidR="00ED1404" w:rsidRPr="00A53AD7">
        <w:rPr>
          <w:rFonts w:ascii="Times New Roman" w:hAnsi="Times New Roman"/>
          <w:sz w:val="28"/>
          <w:szCs w:val="28"/>
        </w:rPr>
        <w:t>01</w:t>
      </w:r>
      <w:r w:rsidRPr="00A53AD7">
        <w:rPr>
          <w:rFonts w:ascii="Times New Roman" w:hAnsi="Times New Roman"/>
          <w:sz w:val="28"/>
          <w:szCs w:val="28"/>
        </w:rPr>
        <w:t>.20</w:t>
      </w:r>
      <w:r w:rsidR="00223E7F" w:rsidRPr="00A53AD7">
        <w:rPr>
          <w:rFonts w:ascii="Times New Roman" w:hAnsi="Times New Roman"/>
          <w:sz w:val="28"/>
          <w:szCs w:val="28"/>
        </w:rPr>
        <w:t>20</w:t>
      </w:r>
      <w:r w:rsidRPr="00A53AD7">
        <w:rPr>
          <w:rFonts w:ascii="Times New Roman" w:hAnsi="Times New Roman"/>
          <w:sz w:val="28"/>
          <w:szCs w:val="28"/>
        </w:rPr>
        <w:t xml:space="preserve"> дебиторская задолженность составила 0,1 млн.руб. (просроченная задолженность отсутствует). В связи с поздней подачей документов от недропользователя платеж поступил в 2020 году.</w:t>
      </w:r>
    </w:p>
    <w:p w14:paraId="035ACD83" w14:textId="77777777"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Согласно представленной информации Минприроды на 01.01.2020 по искам министерства на рассмотрении в Арбитражном суде Архангельской области находится 177 дел на сумму 111,6 млн.руб., в том числе на 89,8 млн.руб., подлежащих поступлению в областной бюджет.</w:t>
      </w:r>
    </w:p>
    <w:p w14:paraId="4D8ACC91" w14:textId="2482559C"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На исполнении у судебных приставов находится 42 исполнительных производств</w:t>
      </w:r>
      <w:r w:rsidR="00D104F4" w:rsidRPr="00A53AD7">
        <w:rPr>
          <w:rFonts w:ascii="Times New Roman" w:hAnsi="Times New Roman"/>
          <w:sz w:val="28"/>
          <w:szCs w:val="28"/>
        </w:rPr>
        <w:t>а</w:t>
      </w:r>
      <w:r w:rsidRPr="00A53AD7">
        <w:rPr>
          <w:rFonts w:ascii="Times New Roman" w:hAnsi="Times New Roman"/>
          <w:sz w:val="28"/>
          <w:szCs w:val="28"/>
        </w:rPr>
        <w:t xml:space="preserve"> по взысканию арендной платы на сумму 49,2 млн.руб., в том числе 19,4 млн.руб. в областной бюджет, что соответствует требованиям Порядка администрирования исполнительными органами государственной власти Архангельской области неналоговых доходов, поступающих в областной бюджет, утвержденного постановлением администрации Архангельской области от 21.10.2008 № 232-па/37.</w:t>
      </w:r>
    </w:p>
    <w:p w14:paraId="60D6B66F" w14:textId="77777777"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Комиссией Минприроды по работе с недоимкой в части мер по сокращению дебиторской задолженности ведется претензионно-исковая работа.</w:t>
      </w:r>
    </w:p>
    <w:p w14:paraId="28219F69" w14:textId="77777777"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В целом сложившиеся показатели просроченной дебиторской задолженности на 01.01.2020 в части платы за использование лесов указывают на резервы при исполнении доходной части областного бюджета.</w:t>
      </w:r>
    </w:p>
    <w:p w14:paraId="2CED45E1" w14:textId="77777777" w:rsidR="00D01D81" w:rsidRPr="00A53AD7" w:rsidRDefault="00D01D81" w:rsidP="00D01D81">
      <w:pPr>
        <w:spacing w:after="0" w:line="240" w:lineRule="auto"/>
        <w:ind w:firstLine="851"/>
        <w:jc w:val="both"/>
        <w:rPr>
          <w:rFonts w:ascii="Times New Roman" w:hAnsi="Times New Roman"/>
          <w:sz w:val="28"/>
          <w:szCs w:val="28"/>
        </w:rPr>
      </w:pPr>
    </w:p>
    <w:p w14:paraId="259E8E33" w14:textId="2534EB30"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9. </w:t>
      </w:r>
      <w:r w:rsidRPr="00A53AD7">
        <w:rPr>
          <w:rFonts w:ascii="Times New Roman" w:hAnsi="Times New Roman"/>
          <w:sz w:val="28"/>
          <w:szCs w:val="28"/>
          <w:u w:val="single"/>
        </w:rPr>
        <w:t>Доходы областного бюджета от оказания платных услуг (работ) и компенсации затрат государства</w:t>
      </w:r>
      <w:r w:rsidRPr="00A53AD7">
        <w:rPr>
          <w:rFonts w:ascii="Times New Roman" w:hAnsi="Times New Roman"/>
          <w:sz w:val="28"/>
          <w:szCs w:val="28"/>
        </w:rPr>
        <w:t xml:space="preserve"> составили 228,2 млн.руб или 101,3 % (+2,9</w:t>
      </w:r>
      <w:r w:rsidRPr="00A53AD7">
        <w:rPr>
          <w:rFonts w:ascii="Times New Roman" w:hAnsi="Times New Roman"/>
          <w:sz w:val="28"/>
          <w:szCs w:val="28"/>
          <w:lang w:val="en-US"/>
        </w:rPr>
        <w:t> </w:t>
      </w:r>
      <w:r w:rsidRPr="00A53AD7">
        <w:rPr>
          <w:rFonts w:ascii="Times New Roman" w:hAnsi="Times New Roman"/>
          <w:sz w:val="28"/>
          <w:szCs w:val="28"/>
        </w:rPr>
        <w:t>млн.руб.) к показателям кассового плана 2019 года и 108,7 % к показателям прогнозного поступления доходов, утвержденного законом «Об областном бюджете» (210,0 млн.руб.). За отчетный период получено указанных доходов в областной бюджет на 81,7 млн.руб. или в 1,5 раза больше, чем з</w:t>
      </w:r>
      <w:r w:rsidR="00D104F4" w:rsidRPr="00A53AD7">
        <w:rPr>
          <w:rFonts w:ascii="Times New Roman" w:hAnsi="Times New Roman"/>
          <w:sz w:val="28"/>
          <w:szCs w:val="28"/>
        </w:rPr>
        <w:t>а аналогичный период 2018 года.</w:t>
      </w:r>
    </w:p>
    <w:p w14:paraId="4EC1FC9D" w14:textId="3C25789C"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Первоначально бюджетные назначения составляли 65,7 млн.руб., а в результате увеличения в июле на 120,7 млн.руб. (</w:t>
      </w:r>
      <w:r w:rsidR="00D104F4" w:rsidRPr="00A53AD7">
        <w:rPr>
          <w:rFonts w:ascii="Times New Roman" w:hAnsi="Times New Roman"/>
          <w:sz w:val="28"/>
          <w:szCs w:val="28"/>
        </w:rPr>
        <w:t xml:space="preserve">областной закон </w:t>
      </w:r>
      <w:r w:rsidRPr="00A53AD7">
        <w:rPr>
          <w:rFonts w:ascii="Times New Roman" w:hAnsi="Times New Roman"/>
          <w:sz w:val="28"/>
          <w:szCs w:val="28"/>
        </w:rPr>
        <w:t>от 02.07.2019 № 121-9-ОЗ) и в декабре на 23,6 млн.руб. (</w:t>
      </w:r>
      <w:r w:rsidR="00D104F4" w:rsidRPr="00A53AD7">
        <w:rPr>
          <w:rFonts w:ascii="Times New Roman" w:hAnsi="Times New Roman"/>
          <w:sz w:val="28"/>
          <w:szCs w:val="28"/>
        </w:rPr>
        <w:t xml:space="preserve">областной закон </w:t>
      </w:r>
      <w:r w:rsidRPr="00A53AD7">
        <w:rPr>
          <w:rFonts w:ascii="Times New Roman" w:hAnsi="Times New Roman"/>
          <w:sz w:val="28"/>
          <w:szCs w:val="28"/>
        </w:rPr>
        <w:t>от 13.12.2019 № 189-13-ОЗ) назн</w:t>
      </w:r>
      <w:r w:rsidR="00D104F4" w:rsidRPr="00A53AD7">
        <w:rPr>
          <w:rFonts w:ascii="Times New Roman" w:hAnsi="Times New Roman"/>
          <w:sz w:val="28"/>
          <w:szCs w:val="28"/>
        </w:rPr>
        <w:t>ачения составили 210,0 млн.руб.</w:t>
      </w:r>
    </w:p>
    <w:p w14:paraId="0304F4D2" w14:textId="4EDC09A4"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Поступление доходов от оказания платных услуг и компенсаций затрат государства представлено в таблице </w:t>
      </w:r>
      <w:r w:rsidR="00616BA6" w:rsidRPr="00A53AD7">
        <w:rPr>
          <w:rFonts w:ascii="Times New Roman" w:hAnsi="Times New Roman"/>
          <w:sz w:val="28"/>
          <w:szCs w:val="28"/>
        </w:rPr>
        <w:t>33</w:t>
      </w:r>
      <w:r w:rsidRPr="00A53AD7">
        <w:rPr>
          <w:rFonts w:ascii="Times New Roman" w:hAnsi="Times New Roman"/>
          <w:sz w:val="28"/>
          <w:szCs w:val="28"/>
        </w:rPr>
        <w:t>.</w:t>
      </w:r>
    </w:p>
    <w:p w14:paraId="7030D156" w14:textId="77777777" w:rsidR="00D01D81" w:rsidRPr="00A53AD7" w:rsidRDefault="00D01D81" w:rsidP="00D01D81">
      <w:pPr>
        <w:spacing w:after="0" w:line="240" w:lineRule="auto"/>
        <w:ind w:firstLine="851"/>
        <w:jc w:val="both"/>
        <w:rPr>
          <w:rFonts w:ascii="Times New Roman" w:hAnsi="Times New Roman"/>
          <w:sz w:val="28"/>
          <w:szCs w:val="28"/>
        </w:rPr>
      </w:pPr>
    </w:p>
    <w:p w14:paraId="1BDBC12A" w14:textId="26409DF3"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33</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Pr="00A53AD7">
        <w:rPr>
          <w:rFonts w:ascii="Times New Roman" w:hAnsi="Times New Roman"/>
          <w:sz w:val="24"/>
          <w:szCs w:val="24"/>
        </w:rPr>
        <w:t>Поступление доходов от оказания платных услуг и компенсации затрат государства в 201</w:t>
      </w:r>
      <w:r w:rsidR="00223E7F" w:rsidRPr="00A53AD7">
        <w:rPr>
          <w:rFonts w:ascii="Times New Roman" w:hAnsi="Times New Roman"/>
          <w:sz w:val="24"/>
          <w:szCs w:val="24"/>
        </w:rPr>
        <w:t>8</w:t>
      </w:r>
      <w:r w:rsidR="00D104F4" w:rsidRPr="00A53AD7">
        <w:rPr>
          <w:rFonts w:ascii="Times New Roman" w:hAnsi="Times New Roman"/>
          <w:sz w:val="24"/>
          <w:szCs w:val="24"/>
        </w:rPr>
        <w:t xml:space="preserve"> – </w:t>
      </w:r>
      <w:r w:rsidRPr="00A53AD7">
        <w:rPr>
          <w:rFonts w:ascii="Times New Roman" w:hAnsi="Times New Roman"/>
          <w:sz w:val="24"/>
          <w:szCs w:val="24"/>
        </w:rPr>
        <w:t>201</w:t>
      </w:r>
      <w:r w:rsidR="00223E7F" w:rsidRPr="00A53AD7">
        <w:rPr>
          <w:rFonts w:ascii="Times New Roman" w:hAnsi="Times New Roman"/>
          <w:sz w:val="24"/>
          <w:szCs w:val="24"/>
        </w:rPr>
        <w:t>9</w:t>
      </w:r>
      <w:r w:rsidRPr="00A53AD7">
        <w:rPr>
          <w:rFonts w:ascii="Times New Roman" w:hAnsi="Times New Roman"/>
          <w:sz w:val="24"/>
          <w:szCs w:val="24"/>
        </w:rPr>
        <w:t xml:space="preserve"> годах, млн.руб.</w:t>
      </w:r>
    </w:p>
    <w:tbl>
      <w:tblPr>
        <w:tblW w:w="9341" w:type="dxa"/>
        <w:tblLayout w:type="fixed"/>
        <w:tblLook w:val="04A0" w:firstRow="1" w:lastRow="0" w:firstColumn="1" w:lastColumn="0" w:noHBand="0" w:noVBand="1"/>
      </w:tblPr>
      <w:tblGrid>
        <w:gridCol w:w="3387"/>
        <w:gridCol w:w="901"/>
        <w:gridCol w:w="1133"/>
        <w:gridCol w:w="845"/>
        <w:gridCol w:w="948"/>
        <w:gridCol w:w="805"/>
        <w:gridCol w:w="1322"/>
      </w:tblGrid>
      <w:tr w:rsidR="00A53AD7" w:rsidRPr="00A53AD7" w14:paraId="3CB2F7CF" w14:textId="77777777" w:rsidTr="00BA5523">
        <w:trPr>
          <w:trHeight w:val="477"/>
          <w:tblHeader/>
        </w:trPr>
        <w:tc>
          <w:tcPr>
            <w:tcW w:w="3387" w:type="dxa"/>
            <w:vMerge w:val="restart"/>
            <w:tcBorders>
              <w:top w:val="double" w:sz="4" w:space="0" w:color="auto"/>
              <w:left w:val="double" w:sz="4" w:space="0" w:color="auto"/>
              <w:right w:val="single" w:sz="4" w:space="0" w:color="auto"/>
            </w:tcBorders>
            <w:shd w:val="clear" w:color="auto" w:fill="auto"/>
            <w:vAlign w:val="center"/>
            <w:hideMark/>
          </w:tcPr>
          <w:p w14:paraId="588E2878" w14:textId="77777777" w:rsidR="00D01D81" w:rsidRPr="00A53AD7" w:rsidRDefault="00D01D81" w:rsidP="00BA552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показателя</w:t>
            </w:r>
          </w:p>
        </w:tc>
        <w:tc>
          <w:tcPr>
            <w:tcW w:w="901" w:type="dxa"/>
            <w:vMerge w:val="restart"/>
            <w:tcBorders>
              <w:top w:val="double" w:sz="4" w:space="0" w:color="auto"/>
              <w:left w:val="nil"/>
              <w:right w:val="single" w:sz="4" w:space="0" w:color="auto"/>
            </w:tcBorders>
            <w:shd w:val="clear" w:color="auto" w:fill="auto"/>
            <w:vAlign w:val="center"/>
            <w:hideMark/>
          </w:tcPr>
          <w:p w14:paraId="60B376FB" w14:textId="77777777" w:rsidR="00D01D81" w:rsidRPr="00A53AD7" w:rsidRDefault="00D01D81" w:rsidP="00BA5523">
            <w:pPr>
              <w:spacing w:after="0" w:line="240" w:lineRule="auto"/>
              <w:ind w:left="-87"/>
              <w:jc w:val="center"/>
              <w:rPr>
                <w:rFonts w:ascii="Times New Roman" w:eastAsia="Times New Roman" w:hAnsi="Times New Roman"/>
                <w:lang w:eastAsia="ru-RU"/>
              </w:rPr>
            </w:pPr>
            <w:r w:rsidRPr="00A53AD7">
              <w:rPr>
                <w:rFonts w:ascii="Times New Roman" w:eastAsia="Times New Roman" w:hAnsi="Times New Roman"/>
                <w:lang w:eastAsia="ru-RU"/>
              </w:rPr>
              <w:t>2018 факт</w:t>
            </w:r>
          </w:p>
        </w:tc>
        <w:tc>
          <w:tcPr>
            <w:tcW w:w="1133" w:type="dxa"/>
            <w:vMerge w:val="restart"/>
            <w:tcBorders>
              <w:top w:val="double" w:sz="4" w:space="0" w:color="auto"/>
              <w:left w:val="nil"/>
              <w:right w:val="single" w:sz="4" w:space="0" w:color="auto"/>
            </w:tcBorders>
            <w:shd w:val="clear" w:color="auto" w:fill="auto"/>
            <w:vAlign w:val="center"/>
            <w:hideMark/>
          </w:tcPr>
          <w:p w14:paraId="5FE870E5" w14:textId="77777777" w:rsidR="00D01D81" w:rsidRPr="00A53AD7" w:rsidRDefault="00D01D81" w:rsidP="00BA5523">
            <w:pPr>
              <w:spacing w:after="0" w:line="240" w:lineRule="auto"/>
              <w:ind w:left="-109" w:right="-108"/>
              <w:jc w:val="center"/>
              <w:rPr>
                <w:rFonts w:ascii="Times New Roman" w:eastAsia="Times New Roman" w:hAnsi="Times New Roman"/>
                <w:lang w:eastAsia="ru-RU"/>
              </w:rPr>
            </w:pPr>
            <w:r w:rsidRPr="00A53AD7">
              <w:rPr>
                <w:rFonts w:ascii="Times New Roman" w:eastAsia="Times New Roman" w:hAnsi="Times New Roman"/>
                <w:lang w:eastAsia="ru-RU"/>
              </w:rPr>
              <w:t xml:space="preserve">2019 год кассовый план </w:t>
            </w:r>
          </w:p>
        </w:tc>
        <w:tc>
          <w:tcPr>
            <w:tcW w:w="845" w:type="dxa"/>
            <w:vMerge w:val="restart"/>
            <w:tcBorders>
              <w:top w:val="double" w:sz="4" w:space="0" w:color="auto"/>
              <w:left w:val="nil"/>
              <w:right w:val="single" w:sz="4" w:space="0" w:color="auto"/>
            </w:tcBorders>
            <w:shd w:val="clear" w:color="auto" w:fill="auto"/>
            <w:vAlign w:val="center"/>
            <w:hideMark/>
          </w:tcPr>
          <w:p w14:paraId="733FE8BD" w14:textId="77777777" w:rsidR="00D01D81" w:rsidRPr="00A53AD7" w:rsidRDefault="00D01D81" w:rsidP="00BA5523">
            <w:pPr>
              <w:spacing w:after="0" w:line="240" w:lineRule="auto"/>
              <w:ind w:left="-114" w:right="-52"/>
              <w:jc w:val="center"/>
              <w:rPr>
                <w:rFonts w:ascii="Times New Roman" w:eastAsia="Times New Roman" w:hAnsi="Times New Roman"/>
                <w:lang w:eastAsia="ru-RU"/>
              </w:rPr>
            </w:pPr>
            <w:r w:rsidRPr="00A53AD7">
              <w:rPr>
                <w:rFonts w:ascii="Times New Roman" w:eastAsia="Times New Roman" w:hAnsi="Times New Roman"/>
                <w:lang w:eastAsia="ru-RU"/>
              </w:rPr>
              <w:t>2019 факт</w:t>
            </w:r>
          </w:p>
        </w:tc>
        <w:tc>
          <w:tcPr>
            <w:tcW w:w="1753" w:type="dxa"/>
            <w:gridSpan w:val="2"/>
            <w:tcBorders>
              <w:top w:val="double" w:sz="4" w:space="0" w:color="auto"/>
              <w:left w:val="nil"/>
              <w:bottom w:val="single" w:sz="4" w:space="0" w:color="auto"/>
              <w:right w:val="single" w:sz="4" w:space="0" w:color="auto"/>
            </w:tcBorders>
            <w:shd w:val="clear" w:color="auto" w:fill="auto"/>
            <w:vAlign w:val="center"/>
            <w:hideMark/>
          </w:tcPr>
          <w:p w14:paraId="75D09BE9" w14:textId="77777777" w:rsidR="00D01D81" w:rsidRPr="00A53AD7" w:rsidRDefault="00D01D81" w:rsidP="00BA5523">
            <w:pPr>
              <w:spacing w:after="0" w:line="240" w:lineRule="auto"/>
              <w:ind w:left="-108"/>
              <w:jc w:val="center"/>
              <w:rPr>
                <w:rFonts w:ascii="Times New Roman" w:eastAsia="Times New Roman" w:hAnsi="Times New Roman"/>
                <w:lang w:eastAsia="ru-RU"/>
              </w:rPr>
            </w:pPr>
            <w:r w:rsidRPr="00A53AD7">
              <w:rPr>
                <w:rFonts w:ascii="Times New Roman" w:eastAsia="Times New Roman" w:hAnsi="Times New Roman"/>
                <w:lang w:eastAsia="ru-RU"/>
              </w:rPr>
              <w:t>2019 исполнение</w:t>
            </w:r>
          </w:p>
        </w:tc>
        <w:tc>
          <w:tcPr>
            <w:tcW w:w="1322" w:type="dxa"/>
            <w:vMerge w:val="restart"/>
            <w:tcBorders>
              <w:top w:val="double" w:sz="4" w:space="0" w:color="auto"/>
              <w:left w:val="nil"/>
              <w:right w:val="double" w:sz="4" w:space="0" w:color="auto"/>
            </w:tcBorders>
            <w:shd w:val="clear" w:color="auto" w:fill="auto"/>
            <w:vAlign w:val="center"/>
            <w:hideMark/>
          </w:tcPr>
          <w:p w14:paraId="5EFA2038" w14:textId="77777777" w:rsidR="00D01D81" w:rsidRPr="00A53AD7" w:rsidRDefault="00D01D81" w:rsidP="00BA5523">
            <w:pPr>
              <w:spacing w:after="0" w:line="240" w:lineRule="auto"/>
              <w:ind w:left="-62" w:right="-108"/>
              <w:jc w:val="center"/>
              <w:rPr>
                <w:rFonts w:ascii="Times New Roman" w:eastAsia="Times New Roman" w:hAnsi="Times New Roman"/>
                <w:lang w:eastAsia="ru-RU"/>
              </w:rPr>
            </w:pPr>
            <w:r w:rsidRPr="00A53AD7">
              <w:rPr>
                <w:rFonts w:ascii="Times New Roman" w:eastAsia="Times New Roman" w:hAnsi="Times New Roman"/>
                <w:lang w:eastAsia="ru-RU"/>
              </w:rPr>
              <w:t>Отклонение 2019 к 2018, (+,-)</w:t>
            </w:r>
          </w:p>
        </w:tc>
      </w:tr>
      <w:tr w:rsidR="00A53AD7" w:rsidRPr="00A53AD7" w14:paraId="04BE770C" w14:textId="77777777" w:rsidTr="00BA5523">
        <w:trPr>
          <w:trHeight w:val="122"/>
          <w:tblHeader/>
        </w:trPr>
        <w:tc>
          <w:tcPr>
            <w:tcW w:w="3387" w:type="dxa"/>
            <w:vMerge/>
            <w:tcBorders>
              <w:left w:val="double" w:sz="4" w:space="0" w:color="auto"/>
              <w:bottom w:val="single" w:sz="4" w:space="0" w:color="auto"/>
              <w:right w:val="single" w:sz="4" w:space="0" w:color="auto"/>
            </w:tcBorders>
            <w:shd w:val="clear" w:color="auto" w:fill="auto"/>
            <w:vAlign w:val="center"/>
          </w:tcPr>
          <w:p w14:paraId="38D99684" w14:textId="77777777" w:rsidR="00D01D81" w:rsidRPr="00A53AD7" w:rsidRDefault="00D01D81" w:rsidP="00BA5523">
            <w:pPr>
              <w:spacing w:after="0" w:line="240" w:lineRule="auto"/>
              <w:jc w:val="center"/>
              <w:rPr>
                <w:rFonts w:ascii="Times New Roman" w:eastAsia="Times New Roman" w:hAnsi="Times New Roman"/>
                <w:lang w:eastAsia="ru-RU"/>
              </w:rPr>
            </w:pPr>
          </w:p>
        </w:tc>
        <w:tc>
          <w:tcPr>
            <w:tcW w:w="901" w:type="dxa"/>
            <w:vMerge/>
            <w:tcBorders>
              <w:left w:val="nil"/>
              <w:bottom w:val="single" w:sz="4" w:space="0" w:color="auto"/>
              <w:right w:val="single" w:sz="4" w:space="0" w:color="auto"/>
            </w:tcBorders>
            <w:shd w:val="clear" w:color="auto" w:fill="auto"/>
            <w:vAlign w:val="center"/>
          </w:tcPr>
          <w:p w14:paraId="0E702963" w14:textId="77777777" w:rsidR="00D01D81" w:rsidRPr="00A53AD7" w:rsidRDefault="00D01D81" w:rsidP="00BA5523">
            <w:pPr>
              <w:spacing w:after="0" w:line="240" w:lineRule="auto"/>
              <w:ind w:left="-87"/>
              <w:jc w:val="center"/>
              <w:rPr>
                <w:rFonts w:ascii="Times New Roman" w:eastAsia="Times New Roman" w:hAnsi="Times New Roman"/>
                <w:lang w:eastAsia="ru-RU"/>
              </w:rPr>
            </w:pPr>
          </w:p>
        </w:tc>
        <w:tc>
          <w:tcPr>
            <w:tcW w:w="1133" w:type="dxa"/>
            <w:vMerge/>
            <w:tcBorders>
              <w:left w:val="nil"/>
              <w:bottom w:val="single" w:sz="4" w:space="0" w:color="auto"/>
              <w:right w:val="single" w:sz="4" w:space="0" w:color="auto"/>
            </w:tcBorders>
            <w:shd w:val="clear" w:color="auto" w:fill="auto"/>
            <w:vAlign w:val="center"/>
          </w:tcPr>
          <w:p w14:paraId="7FF06FDC" w14:textId="77777777" w:rsidR="00D01D81" w:rsidRPr="00A53AD7" w:rsidRDefault="00D01D81" w:rsidP="00BA5523">
            <w:pPr>
              <w:spacing w:after="0" w:line="240" w:lineRule="auto"/>
              <w:ind w:left="-109" w:right="-108"/>
              <w:jc w:val="center"/>
              <w:rPr>
                <w:rFonts w:ascii="Times New Roman" w:eastAsia="Times New Roman" w:hAnsi="Times New Roman"/>
                <w:lang w:eastAsia="ru-RU"/>
              </w:rPr>
            </w:pPr>
          </w:p>
        </w:tc>
        <w:tc>
          <w:tcPr>
            <w:tcW w:w="845" w:type="dxa"/>
            <w:vMerge/>
            <w:tcBorders>
              <w:left w:val="nil"/>
              <w:bottom w:val="single" w:sz="4" w:space="0" w:color="auto"/>
              <w:right w:val="single" w:sz="4" w:space="0" w:color="auto"/>
            </w:tcBorders>
            <w:shd w:val="clear" w:color="auto" w:fill="auto"/>
            <w:vAlign w:val="center"/>
          </w:tcPr>
          <w:p w14:paraId="46005444" w14:textId="77777777" w:rsidR="00D01D81" w:rsidRPr="00A53AD7" w:rsidRDefault="00D01D81" w:rsidP="00BA5523">
            <w:pPr>
              <w:spacing w:after="0" w:line="240" w:lineRule="auto"/>
              <w:ind w:left="-114" w:right="-52"/>
              <w:jc w:val="center"/>
              <w:rPr>
                <w:rFonts w:ascii="Times New Roman" w:eastAsia="Times New Roman" w:hAnsi="Times New Roman"/>
                <w:lang w:eastAsia="ru-RU"/>
              </w:rPr>
            </w:pPr>
          </w:p>
        </w:tc>
        <w:tc>
          <w:tcPr>
            <w:tcW w:w="948" w:type="dxa"/>
            <w:tcBorders>
              <w:top w:val="single" w:sz="4" w:space="0" w:color="auto"/>
              <w:left w:val="nil"/>
              <w:bottom w:val="single" w:sz="4" w:space="0" w:color="auto"/>
              <w:right w:val="single" w:sz="4" w:space="0" w:color="auto"/>
            </w:tcBorders>
            <w:shd w:val="clear" w:color="auto" w:fill="auto"/>
            <w:vAlign w:val="center"/>
          </w:tcPr>
          <w:p w14:paraId="15AD8C99" w14:textId="77777777" w:rsidR="00D01D81" w:rsidRPr="00A53AD7" w:rsidRDefault="00D01D81" w:rsidP="00BA5523">
            <w:pPr>
              <w:spacing w:after="0" w:line="240" w:lineRule="auto"/>
              <w:ind w:left="-108"/>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805" w:type="dxa"/>
            <w:tcBorders>
              <w:top w:val="single" w:sz="4" w:space="0" w:color="auto"/>
              <w:left w:val="nil"/>
              <w:bottom w:val="single" w:sz="4" w:space="0" w:color="auto"/>
              <w:right w:val="single" w:sz="4" w:space="0" w:color="auto"/>
            </w:tcBorders>
            <w:shd w:val="clear" w:color="auto" w:fill="auto"/>
            <w:vAlign w:val="center"/>
          </w:tcPr>
          <w:p w14:paraId="3DF77F88" w14:textId="77777777" w:rsidR="00D01D81" w:rsidRPr="00A53AD7" w:rsidRDefault="00D01D81" w:rsidP="00BA5523">
            <w:pPr>
              <w:spacing w:after="0" w:line="240" w:lineRule="auto"/>
              <w:ind w:left="-108"/>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1322" w:type="dxa"/>
            <w:vMerge/>
            <w:tcBorders>
              <w:left w:val="nil"/>
              <w:bottom w:val="single" w:sz="4" w:space="0" w:color="auto"/>
              <w:right w:val="double" w:sz="4" w:space="0" w:color="auto"/>
            </w:tcBorders>
            <w:shd w:val="clear" w:color="auto" w:fill="auto"/>
            <w:vAlign w:val="center"/>
          </w:tcPr>
          <w:p w14:paraId="5AE455DA" w14:textId="77777777" w:rsidR="00D01D81" w:rsidRPr="00A53AD7" w:rsidRDefault="00D01D81" w:rsidP="00BA5523">
            <w:pPr>
              <w:spacing w:after="0" w:line="240" w:lineRule="auto"/>
              <w:jc w:val="center"/>
              <w:rPr>
                <w:rFonts w:ascii="Times New Roman" w:eastAsia="Times New Roman" w:hAnsi="Times New Roman"/>
                <w:lang w:eastAsia="ru-RU"/>
              </w:rPr>
            </w:pPr>
          </w:p>
        </w:tc>
      </w:tr>
      <w:tr w:rsidR="00A53AD7" w:rsidRPr="00A53AD7" w14:paraId="3A614C31" w14:textId="77777777" w:rsidTr="00BA5523">
        <w:trPr>
          <w:trHeight w:val="210"/>
          <w:tblHeader/>
        </w:trPr>
        <w:tc>
          <w:tcPr>
            <w:tcW w:w="3387" w:type="dxa"/>
            <w:tcBorders>
              <w:top w:val="nil"/>
              <w:left w:val="double" w:sz="4" w:space="0" w:color="auto"/>
              <w:bottom w:val="single" w:sz="4" w:space="0" w:color="auto"/>
              <w:right w:val="single" w:sz="4" w:space="0" w:color="auto"/>
            </w:tcBorders>
            <w:shd w:val="clear" w:color="auto" w:fill="auto"/>
            <w:vAlign w:val="center"/>
            <w:hideMark/>
          </w:tcPr>
          <w:p w14:paraId="19E9BB96"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901" w:type="dxa"/>
            <w:tcBorders>
              <w:top w:val="nil"/>
              <w:left w:val="nil"/>
              <w:bottom w:val="single" w:sz="4" w:space="0" w:color="auto"/>
              <w:right w:val="single" w:sz="4" w:space="0" w:color="auto"/>
            </w:tcBorders>
            <w:shd w:val="clear" w:color="auto" w:fill="auto"/>
            <w:vAlign w:val="center"/>
            <w:hideMark/>
          </w:tcPr>
          <w:p w14:paraId="36CE341F"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133" w:type="dxa"/>
            <w:tcBorders>
              <w:top w:val="nil"/>
              <w:left w:val="nil"/>
              <w:bottom w:val="single" w:sz="4" w:space="0" w:color="auto"/>
              <w:right w:val="single" w:sz="4" w:space="0" w:color="auto"/>
            </w:tcBorders>
            <w:shd w:val="clear" w:color="auto" w:fill="auto"/>
            <w:vAlign w:val="center"/>
            <w:hideMark/>
          </w:tcPr>
          <w:p w14:paraId="1FB25FCE"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845" w:type="dxa"/>
            <w:tcBorders>
              <w:top w:val="nil"/>
              <w:left w:val="nil"/>
              <w:bottom w:val="single" w:sz="4" w:space="0" w:color="auto"/>
              <w:right w:val="single" w:sz="4" w:space="0" w:color="auto"/>
            </w:tcBorders>
            <w:shd w:val="clear" w:color="auto" w:fill="auto"/>
            <w:vAlign w:val="center"/>
            <w:hideMark/>
          </w:tcPr>
          <w:p w14:paraId="191233CF"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948" w:type="dxa"/>
            <w:tcBorders>
              <w:top w:val="nil"/>
              <w:left w:val="nil"/>
              <w:bottom w:val="single" w:sz="4" w:space="0" w:color="auto"/>
              <w:right w:val="single" w:sz="4" w:space="0" w:color="auto"/>
            </w:tcBorders>
            <w:shd w:val="clear" w:color="auto" w:fill="auto"/>
            <w:vAlign w:val="center"/>
            <w:hideMark/>
          </w:tcPr>
          <w:p w14:paraId="6A5A5B19"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4=3-2</w:t>
            </w:r>
          </w:p>
        </w:tc>
        <w:tc>
          <w:tcPr>
            <w:tcW w:w="805" w:type="dxa"/>
            <w:tcBorders>
              <w:top w:val="nil"/>
              <w:left w:val="nil"/>
              <w:bottom w:val="single" w:sz="4" w:space="0" w:color="auto"/>
              <w:right w:val="single" w:sz="4" w:space="0" w:color="auto"/>
            </w:tcBorders>
            <w:shd w:val="clear" w:color="auto" w:fill="auto"/>
            <w:vAlign w:val="center"/>
            <w:hideMark/>
          </w:tcPr>
          <w:p w14:paraId="2765B230"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5=3/2*100</w:t>
            </w:r>
          </w:p>
        </w:tc>
        <w:tc>
          <w:tcPr>
            <w:tcW w:w="1322" w:type="dxa"/>
            <w:tcBorders>
              <w:top w:val="nil"/>
              <w:left w:val="nil"/>
              <w:bottom w:val="single" w:sz="4" w:space="0" w:color="auto"/>
              <w:right w:val="double" w:sz="4" w:space="0" w:color="auto"/>
            </w:tcBorders>
            <w:shd w:val="clear" w:color="auto" w:fill="auto"/>
            <w:noWrap/>
            <w:vAlign w:val="center"/>
            <w:hideMark/>
          </w:tcPr>
          <w:p w14:paraId="0371A8B1" w14:textId="77777777" w:rsidR="00D01D81" w:rsidRPr="00A53AD7" w:rsidRDefault="00D01D81" w:rsidP="00BA5523">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6=3-1</w:t>
            </w:r>
          </w:p>
        </w:tc>
      </w:tr>
      <w:tr w:rsidR="00A53AD7" w:rsidRPr="00A53AD7" w14:paraId="6654D08C" w14:textId="77777777" w:rsidTr="00BA5523">
        <w:trPr>
          <w:trHeight w:val="680"/>
        </w:trPr>
        <w:tc>
          <w:tcPr>
            <w:tcW w:w="3387" w:type="dxa"/>
            <w:tcBorders>
              <w:top w:val="nil"/>
              <w:left w:val="double" w:sz="4" w:space="0" w:color="auto"/>
              <w:bottom w:val="single" w:sz="4" w:space="0" w:color="auto"/>
              <w:right w:val="single" w:sz="4" w:space="0" w:color="auto"/>
            </w:tcBorders>
            <w:shd w:val="clear" w:color="auto" w:fill="auto"/>
            <w:vAlign w:val="center"/>
            <w:hideMark/>
          </w:tcPr>
          <w:p w14:paraId="41B4CEFD" w14:textId="77777777" w:rsidR="00D01D81" w:rsidRPr="00A53AD7" w:rsidRDefault="00D01D81" w:rsidP="00BA5523">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 от оказания платных услуг (работ) и компенсации затрат государства, в том числе:</w:t>
            </w:r>
          </w:p>
        </w:tc>
        <w:tc>
          <w:tcPr>
            <w:tcW w:w="901" w:type="dxa"/>
            <w:tcBorders>
              <w:top w:val="nil"/>
              <w:left w:val="nil"/>
              <w:bottom w:val="single" w:sz="4" w:space="0" w:color="auto"/>
              <w:right w:val="single" w:sz="4" w:space="0" w:color="auto"/>
            </w:tcBorders>
            <w:shd w:val="clear" w:color="auto" w:fill="auto"/>
            <w:vAlign w:val="bottom"/>
            <w:hideMark/>
          </w:tcPr>
          <w:p w14:paraId="50759BE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146,5</w:t>
            </w:r>
          </w:p>
        </w:tc>
        <w:tc>
          <w:tcPr>
            <w:tcW w:w="1133" w:type="dxa"/>
            <w:tcBorders>
              <w:top w:val="nil"/>
              <w:left w:val="nil"/>
              <w:bottom w:val="single" w:sz="4" w:space="0" w:color="auto"/>
              <w:right w:val="single" w:sz="4" w:space="0" w:color="auto"/>
            </w:tcBorders>
            <w:shd w:val="clear" w:color="auto" w:fill="auto"/>
            <w:vAlign w:val="bottom"/>
            <w:hideMark/>
          </w:tcPr>
          <w:p w14:paraId="4AEB88A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225,4</w:t>
            </w:r>
          </w:p>
        </w:tc>
        <w:tc>
          <w:tcPr>
            <w:tcW w:w="845" w:type="dxa"/>
            <w:tcBorders>
              <w:top w:val="nil"/>
              <w:left w:val="nil"/>
              <w:bottom w:val="single" w:sz="4" w:space="0" w:color="auto"/>
              <w:right w:val="single" w:sz="4" w:space="0" w:color="auto"/>
            </w:tcBorders>
            <w:shd w:val="clear" w:color="auto" w:fill="auto"/>
            <w:vAlign w:val="bottom"/>
            <w:hideMark/>
          </w:tcPr>
          <w:p w14:paraId="48E7037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228,2</w:t>
            </w:r>
          </w:p>
        </w:tc>
        <w:tc>
          <w:tcPr>
            <w:tcW w:w="948" w:type="dxa"/>
            <w:tcBorders>
              <w:top w:val="nil"/>
              <w:left w:val="nil"/>
              <w:bottom w:val="single" w:sz="4" w:space="0" w:color="auto"/>
              <w:right w:val="single" w:sz="4" w:space="0" w:color="auto"/>
            </w:tcBorders>
            <w:shd w:val="clear" w:color="auto" w:fill="auto"/>
            <w:noWrap/>
            <w:vAlign w:val="bottom"/>
            <w:hideMark/>
          </w:tcPr>
          <w:p w14:paraId="617C523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w:t>
            </w:r>
          </w:p>
        </w:tc>
        <w:tc>
          <w:tcPr>
            <w:tcW w:w="805" w:type="dxa"/>
            <w:tcBorders>
              <w:top w:val="nil"/>
              <w:left w:val="nil"/>
              <w:bottom w:val="single" w:sz="4" w:space="0" w:color="auto"/>
              <w:right w:val="single" w:sz="4" w:space="0" w:color="auto"/>
            </w:tcBorders>
            <w:shd w:val="clear" w:color="auto" w:fill="auto"/>
            <w:noWrap/>
            <w:vAlign w:val="bottom"/>
            <w:hideMark/>
          </w:tcPr>
          <w:p w14:paraId="796B7A2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101,3</w:t>
            </w:r>
          </w:p>
        </w:tc>
        <w:tc>
          <w:tcPr>
            <w:tcW w:w="1322" w:type="dxa"/>
            <w:tcBorders>
              <w:top w:val="nil"/>
              <w:left w:val="nil"/>
              <w:bottom w:val="single" w:sz="4" w:space="0" w:color="auto"/>
              <w:right w:val="double" w:sz="4" w:space="0" w:color="auto"/>
            </w:tcBorders>
            <w:shd w:val="clear" w:color="auto" w:fill="auto"/>
            <w:noWrap/>
            <w:vAlign w:val="bottom"/>
            <w:hideMark/>
          </w:tcPr>
          <w:p w14:paraId="2B39E00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116,3</w:t>
            </w:r>
          </w:p>
        </w:tc>
      </w:tr>
      <w:tr w:rsidR="00A53AD7" w:rsidRPr="00A53AD7" w14:paraId="1433CF0A" w14:textId="77777777" w:rsidTr="00BA5523">
        <w:trPr>
          <w:trHeight w:val="338"/>
        </w:trPr>
        <w:tc>
          <w:tcPr>
            <w:tcW w:w="3387" w:type="dxa"/>
            <w:tcBorders>
              <w:top w:val="nil"/>
              <w:left w:val="double" w:sz="4" w:space="0" w:color="auto"/>
              <w:bottom w:val="single" w:sz="4" w:space="0" w:color="auto"/>
              <w:right w:val="single" w:sz="4" w:space="0" w:color="auto"/>
            </w:tcBorders>
            <w:shd w:val="clear" w:color="auto" w:fill="auto"/>
            <w:vAlign w:val="center"/>
            <w:hideMark/>
          </w:tcPr>
          <w:p w14:paraId="5ED180CC" w14:textId="77777777" w:rsidR="00D01D81" w:rsidRPr="00A53AD7" w:rsidRDefault="00D01D81" w:rsidP="00BA5523">
            <w:pPr>
              <w:spacing w:after="0" w:line="240" w:lineRule="auto"/>
              <w:ind w:firstLineChars="200" w:firstLine="440"/>
              <w:rPr>
                <w:rFonts w:ascii="Times New Roman" w:eastAsia="Times New Roman" w:hAnsi="Times New Roman"/>
                <w:lang w:eastAsia="ru-RU"/>
              </w:rPr>
            </w:pPr>
            <w:r w:rsidRPr="00A53AD7">
              <w:rPr>
                <w:rFonts w:ascii="Times New Roman" w:eastAsia="Times New Roman" w:hAnsi="Times New Roman"/>
                <w:lang w:eastAsia="ru-RU"/>
              </w:rPr>
              <w:t>доходы от оказания платных услуг (работ)</w:t>
            </w:r>
          </w:p>
        </w:tc>
        <w:tc>
          <w:tcPr>
            <w:tcW w:w="901" w:type="dxa"/>
            <w:tcBorders>
              <w:top w:val="nil"/>
              <w:left w:val="nil"/>
              <w:bottom w:val="single" w:sz="4" w:space="0" w:color="auto"/>
              <w:right w:val="single" w:sz="4" w:space="0" w:color="auto"/>
            </w:tcBorders>
            <w:shd w:val="clear" w:color="auto" w:fill="auto"/>
            <w:vAlign w:val="bottom"/>
            <w:hideMark/>
          </w:tcPr>
          <w:p w14:paraId="2646E834"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8,2</w:t>
            </w:r>
          </w:p>
        </w:tc>
        <w:tc>
          <w:tcPr>
            <w:tcW w:w="1133" w:type="dxa"/>
            <w:tcBorders>
              <w:top w:val="nil"/>
              <w:left w:val="nil"/>
              <w:bottom w:val="single" w:sz="4" w:space="0" w:color="auto"/>
              <w:right w:val="single" w:sz="4" w:space="0" w:color="auto"/>
            </w:tcBorders>
            <w:shd w:val="clear" w:color="auto" w:fill="auto"/>
            <w:vAlign w:val="bottom"/>
            <w:hideMark/>
          </w:tcPr>
          <w:p w14:paraId="0946E16B"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6,5</w:t>
            </w:r>
          </w:p>
        </w:tc>
        <w:tc>
          <w:tcPr>
            <w:tcW w:w="845" w:type="dxa"/>
            <w:tcBorders>
              <w:top w:val="nil"/>
              <w:left w:val="nil"/>
              <w:bottom w:val="single" w:sz="4" w:space="0" w:color="auto"/>
              <w:right w:val="single" w:sz="4" w:space="0" w:color="auto"/>
            </w:tcBorders>
            <w:shd w:val="clear" w:color="auto" w:fill="auto"/>
            <w:vAlign w:val="bottom"/>
            <w:hideMark/>
          </w:tcPr>
          <w:p w14:paraId="7F42872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w:t>
            </w:r>
          </w:p>
        </w:tc>
        <w:tc>
          <w:tcPr>
            <w:tcW w:w="948" w:type="dxa"/>
            <w:tcBorders>
              <w:top w:val="nil"/>
              <w:left w:val="nil"/>
              <w:bottom w:val="single" w:sz="4" w:space="0" w:color="auto"/>
              <w:right w:val="single" w:sz="4" w:space="0" w:color="auto"/>
            </w:tcBorders>
            <w:shd w:val="clear" w:color="auto" w:fill="auto"/>
            <w:noWrap/>
            <w:vAlign w:val="bottom"/>
            <w:hideMark/>
          </w:tcPr>
          <w:p w14:paraId="3647053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0,3</w:t>
            </w:r>
          </w:p>
        </w:tc>
        <w:tc>
          <w:tcPr>
            <w:tcW w:w="805" w:type="dxa"/>
            <w:tcBorders>
              <w:top w:val="nil"/>
              <w:left w:val="nil"/>
              <w:bottom w:val="single" w:sz="4" w:space="0" w:color="auto"/>
              <w:right w:val="single" w:sz="4" w:space="0" w:color="auto"/>
            </w:tcBorders>
            <w:shd w:val="clear" w:color="auto" w:fill="auto"/>
            <w:noWrap/>
            <w:vAlign w:val="bottom"/>
            <w:hideMark/>
          </w:tcPr>
          <w:p w14:paraId="5D9FA4C8"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105,2</w:t>
            </w:r>
          </w:p>
        </w:tc>
        <w:tc>
          <w:tcPr>
            <w:tcW w:w="1322" w:type="dxa"/>
            <w:tcBorders>
              <w:top w:val="nil"/>
              <w:left w:val="nil"/>
              <w:bottom w:val="single" w:sz="4" w:space="0" w:color="auto"/>
              <w:right w:val="double" w:sz="4" w:space="0" w:color="auto"/>
            </w:tcBorders>
            <w:shd w:val="clear" w:color="auto" w:fill="auto"/>
            <w:noWrap/>
            <w:vAlign w:val="bottom"/>
            <w:hideMark/>
          </w:tcPr>
          <w:p w14:paraId="50818763"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-0,4</w:t>
            </w:r>
          </w:p>
        </w:tc>
      </w:tr>
      <w:tr w:rsidR="00D01D81" w:rsidRPr="00A53AD7" w14:paraId="5DC96D64" w14:textId="77777777" w:rsidTr="00BA5523">
        <w:trPr>
          <w:trHeight w:val="388"/>
        </w:trPr>
        <w:tc>
          <w:tcPr>
            <w:tcW w:w="3387" w:type="dxa"/>
            <w:tcBorders>
              <w:top w:val="nil"/>
              <w:left w:val="double" w:sz="4" w:space="0" w:color="auto"/>
              <w:bottom w:val="double" w:sz="4" w:space="0" w:color="auto"/>
              <w:right w:val="single" w:sz="4" w:space="0" w:color="auto"/>
            </w:tcBorders>
            <w:shd w:val="clear" w:color="auto" w:fill="auto"/>
            <w:vAlign w:val="center"/>
            <w:hideMark/>
          </w:tcPr>
          <w:p w14:paraId="229A5F98" w14:textId="77777777" w:rsidR="00D01D81" w:rsidRPr="00A53AD7" w:rsidRDefault="00D01D81" w:rsidP="00BA5523">
            <w:pPr>
              <w:spacing w:after="0" w:line="240" w:lineRule="auto"/>
              <w:ind w:firstLineChars="200" w:firstLine="440"/>
              <w:rPr>
                <w:rFonts w:ascii="Times New Roman" w:eastAsia="Times New Roman" w:hAnsi="Times New Roman"/>
                <w:lang w:eastAsia="ru-RU"/>
              </w:rPr>
            </w:pPr>
            <w:r w:rsidRPr="00A53AD7">
              <w:rPr>
                <w:rFonts w:ascii="Times New Roman" w:eastAsia="Times New Roman" w:hAnsi="Times New Roman"/>
                <w:lang w:eastAsia="ru-RU"/>
              </w:rPr>
              <w:t>доходы от компенсации затрат государства</w:t>
            </w:r>
          </w:p>
        </w:tc>
        <w:tc>
          <w:tcPr>
            <w:tcW w:w="901" w:type="dxa"/>
            <w:tcBorders>
              <w:top w:val="nil"/>
              <w:left w:val="nil"/>
              <w:bottom w:val="double" w:sz="4" w:space="0" w:color="auto"/>
              <w:right w:val="single" w:sz="4" w:space="0" w:color="auto"/>
            </w:tcBorders>
            <w:shd w:val="clear" w:color="auto" w:fill="auto"/>
            <w:vAlign w:val="bottom"/>
            <w:hideMark/>
          </w:tcPr>
          <w:p w14:paraId="1751FD19"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138,3</w:t>
            </w:r>
          </w:p>
        </w:tc>
        <w:tc>
          <w:tcPr>
            <w:tcW w:w="1133" w:type="dxa"/>
            <w:tcBorders>
              <w:top w:val="nil"/>
              <w:left w:val="nil"/>
              <w:bottom w:val="double" w:sz="4" w:space="0" w:color="auto"/>
              <w:right w:val="single" w:sz="4" w:space="0" w:color="auto"/>
            </w:tcBorders>
            <w:shd w:val="clear" w:color="auto" w:fill="auto"/>
            <w:vAlign w:val="bottom"/>
            <w:hideMark/>
          </w:tcPr>
          <w:p w14:paraId="3F67685F"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218,9</w:t>
            </w:r>
          </w:p>
        </w:tc>
        <w:tc>
          <w:tcPr>
            <w:tcW w:w="845" w:type="dxa"/>
            <w:tcBorders>
              <w:top w:val="nil"/>
              <w:left w:val="nil"/>
              <w:bottom w:val="double" w:sz="4" w:space="0" w:color="auto"/>
              <w:right w:val="single" w:sz="4" w:space="0" w:color="auto"/>
            </w:tcBorders>
            <w:shd w:val="clear" w:color="auto" w:fill="auto"/>
            <w:vAlign w:val="bottom"/>
            <w:hideMark/>
          </w:tcPr>
          <w:p w14:paraId="7D1BD88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221,4</w:t>
            </w:r>
          </w:p>
        </w:tc>
        <w:tc>
          <w:tcPr>
            <w:tcW w:w="948" w:type="dxa"/>
            <w:tcBorders>
              <w:top w:val="nil"/>
              <w:left w:val="nil"/>
              <w:bottom w:val="double" w:sz="4" w:space="0" w:color="auto"/>
              <w:right w:val="single" w:sz="4" w:space="0" w:color="auto"/>
            </w:tcBorders>
            <w:shd w:val="clear" w:color="auto" w:fill="auto"/>
            <w:noWrap/>
            <w:vAlign w:val="bottom"/>
            <w:hideMark/>
          </w:tcPr>
          <w:p w14:paraId="304DBE75"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w:t>
            </w:r>
          </w:p>
        </w:tc>
        <w:tc>
          <w:tcPr>
            <w:tcW w:w="805" w:type="dxa"/>
            <w:tcBorders>
              <w:top w:val="nil"/>
              <w:left w:val="nil"/>
              <w:bottom w:val="double" w:sz="4" w:space="0" w:color="auto"/>
              <w:right w:val="single" w:sz="4" w:space="0" w:color="auto"/>
            </w:tcBorders>
            <w:shd w:val="clear" w:color="auto" w:fill="auto"/>
            <w:noWrap/>
            <w:vAlign w:val="bottom"/>
            <w:hideMark/>
          </w:tcPr>
          <w:p w14:paraId="31905011"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101,2</w:t>
            </w:r>
          </w:p>
        </w:tc>
        <w:tc>
          <w:tcPr>
            <w:tcW w:w="1322" w:type="dxa"/>
            <w:tcBorders>
              <w:top w:val="nil"/>
              <w:left w:val="nil"/>
              <w:bottom w:val="double" w:sz="4" w:space="0" w:color="auto"/>
              <w:right w:val="double" w:sz="4" w:space="0" w:color="auto"/>
            </w:tcBorders>
            <w:shd w:val="clear" w:color="auto" w:fill="auto"/>
            <w:noWrap/>
            <w:vAlign w:val="bottom"/>
            <w:hideMark/>
          </w:tcPr>
          <w:p w14:paraId="085C738C" w14:textId="77777777" w:rsidR="00D01D81" w:rsidRPr="00A53AD7" w:rsidRDefault="00D01D81" w:rsidP="00BA5523">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116,7</w:t>
            </w:r>
          </w:p>
        </w:tc>
      </w:tr>
    </w:tbl>
    <w:p w14:paraId="4C126A3B" w14:textId="77777777" w:rsidR="00D104F4" w:rsidRPr="00A53AD7" w:rsidRDefault="00D104F4" w:rsidP="00D01D81">
      <w:pPr>
        <w:spacing w:after="0" w:line="240" w:lineRule="auto"/>
        <w:ind w:firstLine="851"/>
        <w:jc w:val="both"/>
        <w:rPr>
          <w:rFonts w:ascii="Times New Roman" w:hAnsi="Times New Roman"/>
          <w:sz w:val="28"/>
          <w:szCs w:val="28"/>
        </w:rPr>
      </w:pPr>
    </w:p>
    <w:p w14:paraId="137683A0" w14:textId="1337F321"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удельный вес в структуре указанных доходов занимают доходы от компенсации </w:t>
      </w:r>
      <w:r w:rsidR="00D104F4" w:rsidRPr="00A53AD7">
        <w:rPr>
          <w:rFonts w:ascii="Times New Roman" w:hAnsi="Times New Roman"/>
          <w:sz w:val="28"/>
          <w:szCs w:val="28"/>
        </w:rPr>
        <w:t>государства</w:t>
      </w:r>
      <w:r w:rsidRPr="00A53AD7">
        <w:rPr>
          <w:rFonts w:ascii="Times New Roman" w:hAnsi="Times New Roman"/>
          <w:sz w:val="28"/>
          <w:szCs w:val="28"/>
        </w:rPr>
        <w:t xml:space="preserve"> – 221,4 млн.руб. или 97,0 %.</w:t>
      </w:r>
    </w:p>
    <w:p w14:paraId="44A452FD"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Значительная сумма доходов </w:t>
      </w:r>
      <w:r w:rsidRPr="00A53AD7">
        <w:rPr>
          <w:rFonts w:ascii="Times New Roman" w:hAnsi="Times New Roman"/>
          <w:sz w:val="28"/>
          <w:szCs w:val="28"/>
          <w:u w:val="single"/>
        </w:rPr>
        <w:t>от компенсации затрат государства</w:t>
      </w:r>
      <w:r w:rsidRPr="00A53AD7">
        <w:rPr>
          <w:rFonts w:ascii="Times New Roman" w:hAnsi="Times New Roman"/>
          <w:sz w:val="28"/>
          <w:szCs w:val="28"/>
        </w:rPr>
        <w:t xml:space="preserve"> поступила на восстановление в областном бюджете по решению суда дотации на поддержку закрытого административно-территориального образования и дотации на выравнивание бюджетной обеспеченности, неправомерно сокращенных Минфином России в 2015 году, что составляет 120,7 млн.руб. (54,5 % от общей суммы указанных поступлений).</w:t>
      </w:r>
    </w:p>
    <w:p w14:paraId="6F1080C9" w14:textId="26E1B848"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Кроме этого, доход</w:t>
      </w:r>
      <w:r w:rsidR="00D104F4" w:rsidRPr="00A53AD7">
        <w:rPr>
          <w:rFonts w:ascii="Times New Roman" w:hAnsi="Times New Roman"/>
          <w:sz w:val="28"/>
          <w:szCs w:val="28"/>
        </w:rPr>
        <w:t>ы</w:t>
      </w:r>
      <w:r w:rsidRPr="00A53AD7">
        <w:rPr>
          <w:rFonts w:ascii="Times New Roman" w:hAnsi="Times New Roman"/>
          <w:sz w:val="28"/>
          <w:szCs w:val="28"/>
        </w:rPr>
        <w:t xml:space="preserve"> от компенсации затрат государства получены </w:t>
      </w:r>
      <w:r w:rsidR="00D104F4" w:rsidRPr="00A53AD7">
        <w:rPr>
          <w:rFonts w:ascii="Times New Roman" w:hAnsi="Times New Roman"/>
          <w:sz w:val="28"/>
          <w:szCs w:val="28"/>
        </w:rPr>
        <w:t xml:space="preserve">в том числе </w:t>
      </w:r>
      <w:r w:rsidRPr="00A53AD7">
        <w:rPr>
          <w:rFonts w:ascii="Times New Roman" w:hAnsi="Times New Roman"/>
          <w:sz w:val="28"/>
          <w:szCs w:val="28"/>
        </w:rPr>
        <w:t>следующими главными администраторами доходов:</w:t>
      </w:r>
    </w:p>
    <w:p w14:paraId="672986CB" w14:textId="618E4E7E"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министерством здравоохранения Архангельской области – 33,7 млн.руб. или 112,4 % годовых бюджетных назначений, из них возврат государственными медицинскими учреждениями здравоохранения субсидий на финансовое обеспечение выполнения государственного задания – 22,1 млн.руб.</w:t>
      </w:r>
      <w:r w:rsidR="00D104F4" w:rsidRPr="00A53AD7">
        <w:rPr>
          <w:rFonts w:ascii="Times New Roman" w:hAnsi="Times New Roman"/>
          <w:sz w:val="28"/>
          <w:szCs w:val="28"/>
        </w:rPr>
        <w:t>,</w:t>
      </w:r>
      <w:r w:rsidRPr="00A53AD7">
        <w:rPr>
          <w:rFonts w:ascii="Times New Roman" w:hAnsi="Times New Roman"/>
          <w:sz w:val="28"/>
          <w:szCs w:val="28"/>
        </w:rPr>
        <w:t xml:space="preserve"> субсидий на иные цели в результате недостижения установленных показателей – 4,6 млн.руб.; единовременных компенсационных выплат отдельным категориям медицинских работников, переехавших на работу в сельские населенные пункты либо рабочие поселки Архангельской области – 6,5 млн.руб.;</w:t>
      </w:r>
    </w:p>
    <w:p w14:paraId="3F25099D"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министерством топливно-энергетического комплекса и жилищно-коммунального хозяйства Архангельской области – 20,1 млн.руб. или 116,7 % годовых бюджетных назначений, что обеспечено возвратом ресурсоснабжающими организациями и муниципальными образованиями необоснованно полученных средств субсидии по результатам проверок, взысканием задолженности по исполнительным листам службой судебных приставов;</w:t>
      </w:r>
    </w:p>
    <w:p w14:paraId="0AEEAD25" w14:textId="193E01A4"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министерством строительства и архитектуры Архангельской области – 13,2 млн.руб. или 104,6 % годовых бюджетных назначений, из них: 1,2 млн.руб. за счет поступления средств по решению Арбитражного суда А05-17459/2017 за просрочку исполнения обязательств по контракту и возврат переплаты по контракту; платежи в связи с перерасчетом объема выполненных работ. Поступ</w:t>
      </w:r>
      <w:r w:rsidR="00650651" w:rsidRPr="00A53AD7">
        <w:rPr>
          <w:rFonts w:ascii="Times New Roman" w:hAnsi="Times New Roman"/>
          <w:sz w:val="28"/>
          <w:szCs w:val="28"/>
        </w:rPr>
        <w:t>ил</w:t>
      </w:r>
      <w:r w:rsidRPr="00A53AD7">
        <w:rPr>
          <w:rFonts w:ascii="Times New Roman" w:hAnsi="Times New Roman"/>
          <w:sz w:val="28"/>
          <w:szCs w:val="28"/>
        </w:rPr>
        <w:t xml:space="preserve"> платеж</w:t>
      </w:r>
      <w:r w:rsidR="00650651" w:rsidRPr="00A53AD7">
        <w:rPr>
          <w:rFonts w:ascii="Times New Roman" w:hAnsi="Times New Roman"/>
          <w:sz w:val="28"/>
          <w:szCs w:val="28"/>
        </w:rPr>
        <w:t xml:space="preserve"> в сумме</w:t>
      </w:r>
      <w:r w:rsidRPr="00A53AD7">
        <w:rPr>
          <w:rFonts w:ascii="Times New Roman" w:hAnsi="Times New Roman"/>
          <w:sz w:val="28"/>
          <w:szCs w:val="28"/>
        </w:rPr>
        <w:t xml:space="preserve"> 12,0 млн.руб. от ФГУП «Архангельское» ФСИН в соответствие с графиком погашения задолженности на основании решения Арбитражного суда Архангельской области от 27.10.2016 по делу № А05-3752/2016 по исковому заявлению ГКУ </w:t>
      </w:r>
      <w:r w:rsidR="00650651" w:rsidRPr="00A53AD7">
        <w:rPr>
          <w:rFonts w:ascii="Times New Roman" w:hAnsi="Times New Roman"/>
          <w:sz w:val="28"/>
          <w:szCs w:val="28"/>
        </w:rPr>
        <w:t xml:space="preserve">АО </w:t>
      </w:r>
      <w:r w:rsidRPr="00A53AD7">
        <w:rPr>
          <w:rFonts w:ascii="Times New Roman" w:hAnsi="Times New Roman"/>
          <w:sz w:val="28"/>
          <w:szCs w:val="28"/>
        </w:rPr>
        <w:t>«ГУКС» к ФГУП «Архангельское» ФСИН о расторжении гражданско-правового договора № 72 от 30.09.2013, заключенного с целью приобретения административного здания, предназначенного для содержания иностранных граждан и лиц без гражданства, подлежащих выдворению за пределы РФ или депортации, расположенного по адресу: г. Архангельск, ул. Заводская.</w:t>
      </w:r>
    </w:p>
    <w:p w14:paraId="01752782"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министерством агропромышленного комплекса и торговли Архангельской области – 4,6 млн.руб. от возврата субсидий, выделенных на повышение продуктивности в молочном скотоводстве, на поддержку начинающим фермерам, в соответствии с исполнительными листами, и превышает в 1,6 раза годовые бюджетные назначения, что обусловлено возвратом задолженности за 2016, 2018 годы;</w:t>
      </w:r>
    </w:p>
    <w:p w14:paraId="025970E2" w14:textId="77777777" w:rsidR="00223E7F" w:rsidRPr="00A53AD7" w:rsidRDefault="00223E7F" w:rsidP="00223E7F">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министерством труда, занятости и социального развития Архангельской области получено доходов от компенсации затрат государства – 6,1 млн.руб. или 22,8 % годовых бюджетных назначений, из них: 4,0 млн.руб. – возврат пособий, единовременных выплат и компенсаций отдельным категориям граждан; 1,7 млн.руб. – возврат средств на приобретение жилья работникам бюджетной сферы, не выполнившим установленные условия соглашения;</w:t>
      </w:r>
    </w:p>
    <w:p w14:paraId="75F7DCA4"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инспекция государственного строительного надзора Архангельской области – 3,3 млн.руб. возврат средств по результатам проверки финансово-хозяйственной деятельности учреждения.</w:t>
      </w:r>
    </w:p>
    <w:p w14:paraId="40D880DD" w14:textId="77777777" w:rsidR="00D01D81" w:rsidRPr="00A53AD7" w:rsidRDefault="00D01D81" w:rsidP="00D01D81">
      <w:pPr>
        <w:spacing w:after="0" w:line="240" w:lineRule="auto"/>
        <w:ind w:left="839"/>
        <w:jc w:val="both"/>
        <w:rPr>
          <w:rFonts w:ascii="Times New Roman" w:hAnsi="Times New Roman"/>
          <w:sz w:val="28"/>
          <w:szCs w:val="28"/>
        </w:rPr>
      </w:pPr>
    </w:p>
    <w:p w14:paraId="4CD46D7C" w14:textId="53979809"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 xml:space="preserve">Из 6,8 млн.руб. доходов от оказания платных услуг (работ) 4,3 млн.руб. или 63,2 % суммы указанных поступлений получено от реализации продовольственных и непродовольственных товаров, находящихся в резервах материальных ресурсов для ликвидации чрезвычайных ситуаций межмуниципального и регионального характера на территории Архангельской области агентством государственной противопожарной службы и гражданской защиты Архангельской области при отсутствии плановых назначений </w:t>
      </w:r>
      <w:r w:rsidR="00650651" w:rsidRPr="00A53AD7">
        <w:rPr>
          <w:rFonts w:ascii="Times New Roman" w:hAnsi="Times New Roman"/>
          <w:sz w:val="28"/>
          <w:szCs w:val="28"/>
        </w:rPr>
        <w:t xml:space="preserve">на основании </w:t>
      </w:r>
      <w:r w:rsidRPr="00A53AD7">
        <w:rPr>
          <w:rFonts w:ascii="Times New Roman" w:hAnsi="Times New Roman"/>
          <w:sz w:val="28"/>
          <w:szCs w:val="28"/>
        </w:rPr>
        <w:t>Протокол</w:t>
      </w:r>
      <w:r w:rsidR="00650651" w:rsidRPr="00A53AD7">
        <w:rPr>
          <w:rFonts w:ascii="Times New Roman" w:hAnsi="Times New Roman"/>
          <w:sz w:val="28"/>
          <w:szCs w:val="28"/>
        </w:rPr>
        <w:t>а</w:t>
      </w:r>
      <w:r w:rsidRPr="00A53AD7">
        <w:rPr>
          <w:rFonts w:ascii="Times New Roman" w:hAnsi="Times New Roman"/>
          <w:sz w:val="28"/>
          <w:szCs w:val="28"/>
        </w:rPr>
        <w:t xml:space="preserve"> заседания комиссии Архангельской области по предупреждению и ликвидации чрезвычайных ситуаций и обеспечению пожарной безопасности.</w:t>
      </w:r>
    </w:p>
    <w:p w14:paraId="0C7907AA" w14:textId="77777777"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Методикой прогнозирования поступления доходов прогнозный план доходов от оказания платных услуг и компенсации затрат государства определен с применением метода экстраполяции. В силу того, что указанные поступления не имеют постоянного характера, однозначно рассчитать ожидаемый объем затруднительно.</w:t>
      </w:r>
    </w:p>
    <w:p w14:paraId="1A27C187" w14:textId="77777777" w:rsidR="00D01D81" w:rsidRPr="00A53AD7" w:rsidRDefault="00D01D81" w:rsidP="00D01D81">
      <w:pPr>
        <w:pStyle w:val="ad"/>
        <w:ind w:firstLine="851"/>
        <w:jc w:val="both"/>
        <w:rPr>
          <w:rFonts w:ascii="Times New Roman" w:hAnsi="Times New Roman"/>
          <w:sz w:val="28"/>
          <w:szCs w:val="28"/>
        </w:rPr>
      </w:pPr>
    </w:p>
    <w:p w14:paraId="02381770" w14:textId="6C16AA1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10. В отчетном году в областной бюджет поступили</w:t>
      </w:r>
      <w:r w:rsidRPr="00A53AD7">
        <w:rPr>
          <w:rFonts w:ascii="Times New Roman" w:hAnsi="Times New Roman"/>
          <w:sz w:val="28"/>
          <w:szCs w:val="28"/>
          <w:u w:val="single"/>
        </w:rPr>
        <w:t xml:space="preserve"> доходы от продажи материальных и нематериальных активов</w:t>
      </w:r>
      <w:r w:rsidRPr="00A53AD7">
        <w:rPr>
          <w:rFonts w:ascii="Times New Roman" w:hAnsi="Times New Roman"/>
          <w:sz w:val="28"/>
          <w:szCs w:val="28"/>
        </w:rPr>
        <w:t xml:space="preserve"> на сумму 21,1 млн.руб., что на 1,8 млн.руб. или на 9,3 % больше годовых прогнозных показателей. К показателям 2018 года также </w:t>
      </w:r>
      <w:r w:rsidR="00650651" w:rsidRPr="00A53AD7">
        <w:rPr>
          <w:rFonts w:ascii="Times New Roman" w:hAnsi="Times New Roman"/>
          <w:sz w:val="28"/>
          <w:szCs w:val="28"/>
        </w:rPr>
        <w:t>зафиксирован</w:t>
      </w:r>
      <w:r w:rsidRPr="00A53AD7">
        <w:rPr>
          <w:rFonts w:ascii="Times New Roman" w:hAnsi="Times New Roman"/>
          <w:sz w:val="28"/>
          <w:szCs w:val="28"/>
        </w:rPr>
        <w:t xml:space="preserve"> рост поступлений на 14,8 млн.руб. или в 3,3 раза. Администратором указанных платежей является Минимущество.</w:t>
      </w:r>
    </w:p>
    <w:p w14:paraId="3CE7CA6D" w14:textId="191C60C1"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Первоначально утвержденный план поступления доходов от продажи материальных и нематериальных активов на 2019 год составлял 14,3 млн.руб, в том числе 0,1 млн.руб. доходов от продажи земельных участков, находящихся в государственной и муниципальной собственности. </w:t>
      </w:r>
      <w:r w:rsidR="00CB5718" w:rsidRPr="00A53AD7">
        <w:rPr>
          <w:rFonts w:ascii="Times New Roman" w:hAnsi="Times New Roman"/>
          <w:sz w:val="28"/>
          <w:szCs w:val="28"/>
        </w:rPr>
        <w:t xml:space="preserve">Областным законом </w:t>
      </w:r>
      <w:r w:rsidRPr="00A53AD7">
        <w:rPr>
          <w:rFonts w:ascii="Times New Roman" w:hAnsi="Times New Roman"/>
          <w:sz w:val="28"/>
          <w:szCs w:val="28"/>
        </w:rPr>
        <w:t xml:space="preserve">от 13.12.2019 № 189-13-ОЗ прогнозный план доходов от продажи земельных участков, находящихся в государственной и муниципальной собственности, увеличен на 5,1 млн.руб., что в результате составило 5,2 млн.руб., и в целом уточненные годовые назначения доходов от продажи материальных и нематериальных активов составили 19,4 млн.руб. </w:t>
      </w:r>
    </w:p>
    <w:p w14:paraId="7505666C" w14:textId="2CDB5F58" w:rsidR="00223E7F" w:rsidRPr="00A53AD7" w:rsidRDefault="00223E7F" w:rsidP="00223E7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в части поступления доходов от продажи 14 земельных участков площадью 20,2676 гектаров, находящихся в государственной и муниципальной собственности, составило 14,4 млн.руб., что на 9,2 млн.руб. или в 2,7 раза превышает плановые назначения. Основными плательщиками являлись: «Норд Экспо» – 2,5 млн.руб.; физические лица (г.</w:t>
      </w:r>
      <w:r w:rsidR="00E26597" w:rsidRPr="00A53AD7">
        <w:rPr>
          <w:rFonts w:ascii="Times New Roman" w:hAnsi="Times New Roman"/>
          <w:sz w:val="28"/>
          <w:szCs w:val="28"/>
        </w:rPr>
        <w:t xml:space="preserve"> </w:t>
      </w:r>
      <w:r w:rsidRPr="00A53AD7">
        <w:rPr>
          <w:rFonts w:ascii="Times New Roman" w:hAnsi="Times New Roman"/>
          <w:sz w:val="28"/>
          <w:szCs w:val="28"/>
        </w:rPr>
        <w:t>Архангельск) – 3,9 млн.руб.; (г. Котлас) – 4,5 млн.руб.</w:t>
      </w:r>
    </w:p>
    <w:p w14:paraId="714A4470" w14:textId="3F86B08E"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Итоговая сумма доходов от продажи материальных и нематериальных активов сложилась и за счет </w:t>
      </w:r>
      <w:r w:rsidR="00AC24A8" w:rsidRPr="00A53AD7">
        <w:rPr>
          <w:rFonts w:ascii="Times New Roman" w:hAnsi="Times New Roman"/>
          <w:sz w:val="28"/>
          <w:szCs w:val="28"/>
        </w:rPr>
        <w:t>следующих</w:t>
      </w:r>
      <w:r w:rsidRPr="00A53AD7">
        <w:rPr>
          <w:rFonts w:ascii="Times New Roman" w:hAnsi="Times New Roman"/>
          <w:sz w:val="28"/>
          <w:szCs w:val="28"/>
        </w:rPr>
        <w:t xml:space="preserve"> поступлений: </w:t>
      </w:r>
    </w:p>
    <w:p w14:paraId="4930753F" w14:textId="162EA920" w:rsidR="00D01D81" w:rsidRPr="00A53AD7" w:rsidRDefault="004508A2"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1,9 млн.</w:t>
      </w:r>
      <w:r w:rsidR="00D01D81" w:rsidRPr="00A53AD7">
        <w:rPr>
          <w:rFonts w:ascii="Times New Roman" w:hAnsi="Times New Roman"/>
          <w:sz w:val="28"/>
          <w:szCs w:val="28"/>
        </w:rPr>
        <w:t xml:space="preserve">руб. – от реализации имущества, находящегося в оперативном управлении </w:t>
      </w:r>
      <w:r w:rsidR="00AC24A8" w:rsidRPr="00A53AD7">
        <w:rPr>
          <w:rFonts w:ascii="Times New Roman" w:hAnsi="Times New Roman"/>
          <w:sz w:val="28"/>
          <w:szCs w:val="28"/>
        </w:rPr>
        <w:t xml:space="preserve">государственных казенных </w:t>
      </w:r>
      <w:r w:rsidR="00D01D81" w:rsidRPr="00A53AD7">
        <w:rPr>
          <w:rFonts w:ascii="Times New Roman" w:hAnsi="Times New Roman"/>
          <w:sz w:val="28"/>
          <w:szCs w:val="28"/>
        </w:rPr>
        <w:t>учреждений в части реализации материальных запасов по указанному имуществу (доход от сдачи лома черных металлов) при отсутствии плановых назначений;</w:t>
      </w:r>
    </w:p>
    <w:p w14:paraId="630ED5C4" w14:textId="19FF59A8"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4,8 млн.руб. – от реализации иного имущества... что в 2,9 раза меньше запланированного (14,2 млн.руб.), что обусловлено отсутствием состоявшихся аукционов по продаже 36 объектов недвижимости (низколиквидные объекты собственности). Данный факт отмечался и по итогам 2018 года, тогда поступления сложились в четыре раза меньше, чем запланированные суммы, что также объяснялось отсутствием состоявшихся аукционов по продаже 13 объектов недвижимост</w:t>
      </w:r>
      <w:r w:rsidR="002027A8" w:rsidRPr="00A53AD7">
        <w:rPr>
          <w:rFonts w:ascii="Times New Roman" w:hAnsi="Times New Roman"/>
          <w:sz w:val="28"/>
          <w:szCs w:val="28"/>
        </w:rPr>
        <w:t>и.</w:t>
      </w:r>
    </w:p>
    <w:p w14:paraId="4B2B9EEA" w14:textId="77777777" w:rsidR="00D01D81" w:rsidRPr="00A53AD7" w:rsidRDefault="00D01D81" w:rsidP="00D01D81">
      <w:pPr>
        <w:spacing w:after="0" w:line="240" w:lineRule="auto"/>
        <w:ind w:firstLine="851"/>
        <w:jc w:val="both"/>
        <w:rPr>
          <w:rFonts w:ascii="Times New Roman" w:hAnsi="Times New Roman"/>
          <w:sz w:val="28"/>
          <w:szCs w:val="28"/>
          <w:u w:val="single"/>
        </w:rPr>
      </w:pPr>
    </w:p>
    <w:p w14:paraId="637C4143" w14:textId="741F4B4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11. В отчетном году поступление </w:t>
      </w:r>
      <w:r w:rsidRPr="00A53AD7">
        <w:rPr>
          <w:rFonts w:ascii="Times New Roman" w:hAnsi="Times New Roman"/>
          <w:sz w:val="28"/>
          <w:szCs w:val="28"/>
          <w:u w:val="single"/>
        </w:rPr>
        <w:t xml:space="preserve">штрафов, санкций, возмещения ущерба </w:t>
      </w:r>
      <w:r w:rsidRPr="00A53AD7">
        <w:rPr>
          <w:rFonts w:ascii="Times New Roman" w:hAnsi="Times New Roman"/>
          <w:sz w:val="28"/>
          <w:szCs w:val="28"/>
        </w:rPr>
        <w:t>в областной бюджет составил</w:t>
      </w:r>
      <w:r w:rsidR="002027A8" w:rsidRPr="00A53AD7">
        <w:rPr>
          <w:rFonts w:ascii="Times New Roman" w:hAnsi="Times New Roman"/>
          <w:sz w:val="28"/>
          <w:szCs w:val="28"/>
        </w:rPr>
        <w:t>о</w:t>
      </w:r>
      <w:r w:rsidRPr="00A53AD7">
        <w:rPr>
          <w:rFonts w:ascii="Times New Roman" w:hAnsi="Times New Roman"/>
          <w:sz w:val="28"/>
          <w:szCs w:val="28"/>
        </w:rPr>
        <w:t xml:space="preserve"> 409,0 млн.руб., что больше на 13,3 % или на 47,9 млн.руб. показателей кассового плана 2019 года. За отчетный период указанных доходов получено в областной бюджет лишь на 0,3 млн.руб. меньше, чем за 2018 год.</w:t>
      </w:r>
    </w:p>
    <w:p w14:paraId="30E08168" w14:textId="77777777"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Основной объем поступлений обеспечен штрафами за правонарушения в области дорожного движения – 362,6 млн.руб. или 88,7 % от общей суммы поступивших штрафов. За отчетный период получено указанных доходов в областной бюджет на 28,4 млн.руб. или на 8,5 % больше, чем за аналогичный период 2018 года (334,2 млн.руб.).</w:t>
      </w:r>
    </w:p>
    <w:p w14:paraId="2FD132FF" w14:textId="62C001D0"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По предоставленной УМВД Р</w:t>
      </w:r>
      <w:r w:rsidR="002027A8" w:rsidRPr="00A53AD7">
        <w:rPr>
          <w:rFonts w:ascii="Times New Roman" w:hAnsi="Times New Roman"/>
          <w:sz w:val="28"/>
          <w:szCs w:val="28"/>
        </w:rPr>
        <w:t>оссии</w:t>
      </w:r>
      <w:r w:rsidRPr="00A53AD7">
        <w:rPr>
          <w:rFonts w:ascii="Times New Roman" w:hAnsi="Times New Roman"/>
          <w:sz w:val="28"/>
          <w:szCs w:val="28"/>
        </w:rPr>
        <w:t xml:space="preserve"> по Архангельской области </w:t>
      </w:r>
      <w:r w:rsidR="002027A8" w:rsidRPr="00A53AD7">
        <w:rPr>
          <w:rFonts w:ascii="Times New Roman" w:hAnsi="Times New Roman"/>
          <w:sz w:val="28"/>
          <w:szCs w:val="28"/>
        </w:rPr>
        <w:t xml:space="preserve">информации </w:t>
      </w:r>
      <w:r w:rsidRPr="00A53AD7">
        <w:rPr>
          <w:rFonts w:ascii="Times New Roman" w:hAnsi="Times New Roman"/>
          <w:sz w:val="28"/>
          <w:szCs w:val="28"/>
        </w:rPr>
        <w:t xml:space="preserve">по запросу </w:t>
      </w:r>
      <w:r w:rsidR="002027A8" w:rsidRPr="00A53AD7">
        <w:rPr>
          <w:rFonts w:ascii="Times New Roman" w:hAnsi="Times New Roman"/>
          <w:sz w:val="28"/>
          <w:szCs w:val="28"/>
        </w:rPr>
        <w:t>контрольно-счетной палаты</w:t>
      </w:r>
      <w:r w:rsidRPr="00A53AD7">
        <w:rPr>
          <w:rFonts w:ascii="Times New Roman" w:hAnsi="Times New Roman"/>
          <w:sz w:val="28"/>
          <w:szCs w:val="28"/>
        </w:rPr>
        <w:t xml:space="preserve"> в 2019 году составлен 460 351 протокол об административном правонарушении в области дорожного движения по 32 основаниям, в соответствии с которыми начислено 387,7 млн.руб; в отчетно</w:t>
      </w:r>
      <w:r w:rsidR="002027A8" w:rsidRPr="00A53AD7">
        <w:rPr>
          <w:rFonts w:ascii="Times New Roman" w:hAnsi="Times New Roman"/>
          <w:sz w:val="28"/>
          <w:szCs w:val="28"/>
        </w:rPr>
        <w:t>м году поступило 358,0 млн.руб.</w:t>
      </w:r>
    </w:p>
    <w:p w14:paraId="71331724" w14:textId="77777777" w:rsidR="002027A8"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 xml:space="preserve">Значительные суммы штрафов поступили за </w:t>
      </w:r>
      <w:r w:rsidR="002027A8" w:rsidRPr="00A53AD7">
        <w:rPr>
          <w:rFonts w:ascii="Times New Roman" w:hAnsi="Times New Roman"/>
          <w:sz w:val="28"/>
          <w:szCs w:val="28"/>
        </w:rPr>
        <w:t>следующие</w:t>
      </w:r>
      <w:r w:rsidRPr="00A53AD7">
        <w:rPr>
          <w:rFonts w:ascii="Times New Roman" w:hAnsi="Times New Roman"/>
          <w:sz w:val="28"/>
          <w:szCs w:val="28"/>
        </w:rPr>
        <w:t xml:space="preserve"> </w:t>
      </w:r>
      <w:r w:rsidR="002027A8" w:rsidRPr="00A53AD7">
        <w:rPr>
          <w:rFonts w:ascii="Times New Roman" w:hAnsi="Times New Roman"/>
          <w:sz w:val="28"/>
          <w:szCs w:val="28"/>
        </w:rPr>
        <w:t>право</w:t>
      </w:r>
      <w:r w:rsidRPr="00A53AD7">
        <w:rPr>
          <w:rFonts w:ascii="Times New Roman" w:hAnsi="Times New Roman"/>
          <w:sz w:val="28"/>
          <w:szCs w:val="28"/>
        </w:rPr>
        <w:t>нарушения:</w:t>
      </w:r>
    </w:p>
    <w:tbl>
      <w:tblPr>
        <w:tblStyle w:val="a7"/>
        <w:tblW w:w="935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8217"/>
        <w:gridCol w:w="1134"/>
      </w:tblGrid>
      <w:tr w:rsidR="00A53AD7" w:rsidRPr="00A53AD7" w14:paraId="49F96A37" w14:textId="77777777" w:rsidTr="007E2067">
        <w:trPr>
          <w:tblHeader/>
        </w:trPr>
        <w:tc>
          <w:tcPr>
            <w:tcW w:w="8217" w:type="dxa"/>
          </w:tcPr>
          <w:p w14:paraId="4E5C5CE3" w14:textId="702C4E76" w:rsidR="002027A8" w:rsidRPr="00A53AD7" w:rsidRDefault="002027A8" w:rsidP="002027A8">
            <w:pPr>
              <w:pStyle w:val="ad"/>
              <w:jc w:val="center"/>
              <w:rPr>
                <w:rFonts w:ascii="Times New Roman" w:hAnsi="Times New Roman"/>
              </w:rPr>
            </w:pPr>
            <w:r w:rsidRPr="00A53AD7">
              <w:rPr>
                <w:rFonts w:ascii="Times New Roman" w:hAnsi="Times New Roman"/>
              </w:rPr>
              <w:t>Вид правонарушения</w:t>
            </w:r>
          </w:p>
        </w:tc>
        <w:tc>
          <w:tcPr>
            <w:tcW w:w="1134" w:type="dxa"/>
          </w:tcPr>
          <w:p w14:paraId="486446B5" w14:textId="73564D88" w:rsidR="002027A8" w:rsidRPr="00A53AD7" w:rsidRDefault="002027A8" w:rsidP="002027A8">
            <w:pPr>
              <w:pStyle w:val="ad"/>
              <w:jc w:val="center"/>
              <w:rPr>
                <w:rFonts w:ascii="Times New Roman" w:hAnsi="Times New Roman"/>
              </w:rPr>
            </w:pPr>
            <w:r w:rsidRPr="00A53AD7">
              <w:rPr>
                <w:rFonts w:ascii="Times New Roman" w:hAnsi="Times New Roman"/>
              </w:rPr>
              <w:t>Сумма, млн.руб.</w:t>
            </w:r>
          </w:p>
        </w:tc>
      </w:tr>
      <w:tr w:rsidR="00A53AD7" w:rsidRPr="00A53AD7" w14:paraId="16B1F8AB" w14:textId="77777777" w:rsidTr="007E2067">
        <w:tc>
          <w:tcPr>
            <w:tcW w:w="8217" w:type="dxa"/>
          </w:tcPr>
          <w:p w14:paraId="006C9F5E" w14:textId="1F40D634" w:rsidR="002027A8" w:rsidRPr="00A53AD7" w:rsidRDefault="007E2067" w:rsidP="007E2067">
            <w:pPr>
              <w:pStyle w:val="ad"/>
              <w:rPr>
                <w:rFonts w:ascii="Times New Roman" w:hAnsi="Times New Roman"/>
              </w:rPr>
            </w:pPr>
            <w:r w:rsidRPr="00A53AD7">
              <w:rPr>
                <w:rFonts w:ascii="Times New Roman" w:hAnsi="Times New Roman"/>
              </w:rPr>
              <w:t>П</w:t>
            </w:r>
            <w:r w:rsidR="002027A8" w:rsidRPr="00A53AD7">
              <w:rPr>
                <w:rFonts w:ascii="Times New Roman" w:hAnsi="Times New Roman"/>
              </w:rPr>
              <w:t>ревышение установленной скорости движения (ст.</w:t>
            </w:r>
            <w:r w:rsidR="007A734D" w:rsidRPr="00A53AD7">
              <w:rPr>
                <w:rFonts w:ascii="Times New Roman" w:hAnsi="Times New Roman"/>
              </w:rPr>
              <w:t xml:space="preserve"> </w:t>
            </w:r>
            <w:r w:rsidR="002027A8" w:rsidRPr="00A53AD7">
              <w:rPr>
                <w:rFonts w:ascii="Times New Roman" w:hAnsi="Times New Roman"/>
              </w:rPr>
              <w:t>12.9 КоАП РФ)</w:t>
            </w:r>
          </w:p>
        </w:tc>
        <w:tc>
          <w:tcPr>
            <w:tcW w:w="1134" w:type="dxa"/>
          </w:tcPr>
          <w:p w14:paraId="622A9564" w14:textId="7ED3D1AB" w:rsidR="002027A8" w:rsidRPr="00A53AD7" w:rsidRDefault="002027A8" w:rsidP="002027A8">
            <w:pPr>
              <w:pStyle w:val="ad"/>
              <w:jc w:val="right"/>
              <w:rPr>
                <w:rFonts w:ascii="Times New Roman" w:hAnsi="Times New Roman"/>
              </w:rPr>
            </w:pPr>
            <w:r w:rsidRPr="00A53AD7">
              <w:rPr>
                <w:rFonts w:ascii="Times New Roman" w:hAnsi="Times New Roman"/>
              </w:rPr>
              <w:t>149,4</w:t>
            </w:r>
          </w:p>
        </w:tc>
      </w:tr>
      <w:tr w:rsidR="00A53AD7" w:rsidRPr="00A53AD7" w14:paraId="373D34C5" w14:textId="77777777" w:rsidTr="007E2067">
        <w:tc>
          <w:tcPr>
            <w:tcW w:w="8217" w:type="dxa"/>
          </w:tcPr>
          <w:p w14:paraId="449D872C" w14:textId="15665758" w:rsidR="002027A8" w:rsidRPr="00A53AD7" w:rsidRDefault="007E2067" w:rsidP="007E2067">
            <w:pPr>
              <w:pStyle w:val="ad"/>
              <w:rPr>
                <w:rFonts w:ascii="Times New Roman" w:hAnsi="Times New Roman"/>
              </w:rPr>
            </w:pPr>
            <w:r w:rsidRPr="00A53AD7">
              <w:rPr>
                <w:rFonts w:ascii="Times New Roman" w:hAnsi="Times New Roman"/>
              </w:rPr>
              <w:t>У</w:t>
            </w:r>
            <w:r w:rsidR="002027A8" w:rsidRPr="00A53AD7">
              <w:rPr>
                <w:rFonts w:ascii="Times New Roman" w:hAnsi="Times New Roman"/>
              </w:rPr>
              <w:t>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(ст.</w:t>
            </w:r>
            <w:r w:rsidR="007A734D" w:rsidRPr="00A53AD7">
              <w:rPr>
                <w:rFonts w:ascii="Times New Roman" w:hAnsi="Times New Roman"/>
              </w:rPr>
              <w:t xml:space="preserve"> </w:t>
            </w:r>
            <w:r w:rsidR="002027A8" w:rsidRPr="00A53AD7">
              <w:rPr>
                <w:rFonts w:ascii="Times New Roman" w:hAnsi="Times New Roman"/>
              </w:rPr>
              <w:t>12.8 КоАП РФ)</w:t>
            </w:r>
          </w:p>
        </w:tc>
        <w:tc>
          <w:tcPr>
            <w:tcW w:w="1134" w:type="dxa"/>
          </w:tcPr>
          <w:p w14:paraId="6A576EA9" w14:textId="385D6025" w:rsidR="002027A8" w:rsidRPr="00A53AD7" w:rsidRDefault="002027A8" w:rsidP="002027A8">
            <w:pPr>
              <w:pStyle w:val="ad"/>
              <w:jc w:val="right"/>
              <w:rPr>
                <w:rFonts w:ascii="Times New Roman" w:hAnsi="Times New Roman"/>
              </w:rPr>
            </w:pPr>
            <w:r w:rsidRPr="00A53AD7">
              <w:rPr>
                <w:rFonts w:ascii="Times New Roman" w:hAnsi="Times New Roman"/>
              </w:rPr>
              <w:t>46,0</w:t>
            </w:r>
          </w:p>
        </w:tc>
      </w:tr>
      <w:tr w:rsidR="00A53AD7" w:rsidRPr="00A53AD7" w14:paraId="0C1B1B39" w14:textId="77777777" w:rsidTr="007E2067">
        <w:tc>
          <w:tcPr>
            <w:tcW w:w="8217" w:type="dxa"/>
          </w:tcPr>
          <w:p w14:paraId="421E2835" w14:textId="12318544" w:rsidR="002027A8" w:rsidRPr="00A53AD7" w:rsidRDefault="007E2067" w:rsidP="007E2067">
            <w:pPr>
              <w:pStyle w:val="ad"/>
              <w:rPr>
                <w:rFonts w:ascii="Times New Roman" w:hAnsi="Times New Roman"/>
              </w:rPr>
            </w:pPr>
            <w:r w:rsidRPr="00A53AD7">
              <w:rPr>
                <w:rFonts w:ascii="Times New Roman" w:hAnsi="Times New Roman"/>
              </w:rPr>
              <w:t>П</w:t>
            </w:r>
            <w:r w:rsidR="002027A8" w:rsidRPr="00A53AD7">
              <w:rPr>
                <w:rFonts w:ascii="Times New Roman" w:hAnsi="Times New Roman"/>
              </w:rPr>
              <w:t>роезд на запрещающий сигнал светофора или на запрещающий жест регулировщика (ст.</w:t>
            </w:r>
            <w:r w:rsidR="007A734D" w:rsidRPr="00A53AD7">
              <w:rPr>
                <w:rFonts w:ascii="Times New Roman" w:hAnsi="Times New Roman"/>
              </w:rPr>
              <w:t xml:space="preserve"> </w:t>
            </w:r>
            <w:r w:rsidR="002027A8" w:rsidRPr="00A53AD7">
              <w:rPr>
                <w:rFonts w:ascii="Times New Roman" w:hAnsi="Times New Roman"/>
              </w:rPr>
              <w:t>12.12 КоАП РФ)</w:t>
            </w:r>
          </w:p>
        </w:tc>
        <w:tc>
          <w:tcPr>
            <w:tcW w:w="1134" w:type="dxa"/>
          </w:tcPr>
          <w:p w14:paraId="19F94D67" w14:textId="6DBF5099" w:rsidR="002027A8" w:rsidRPr="00A53AD7" w:rsidRDefault="002027A8" w:rsidP="002027A8">
            <w:pPr>
              <w:pStyle w:val="ad"/>
              <w:jc w:val="right"/>
              <w:rPr>
                <w:rFonts w:ascii="Times New Roman" w:hAnsi="Times New Roman"/>
              </w:rPr>
            </w:pPr>
            <w:r w:rsidRPr="00A53AD7">
              <w:rPr>
                <w:rFonts w:ascii="Times New Roman" w:hAnsi="Times New Roman"/>
              </w:rPr>
              <w:t>37,0</w:t>
            </w:r>
          </w:p>
        </w:tc>
      </w:tr>
      <w:tr w:rsidR="00A53AD7" w:rsidRPr="00A53AD7" w14:paraId="5C8FDD3F" w14:textId="77777777" w:rsidTr="007E2067">
        <w:tc>
          <w:tcPr>
            <w:tcW w:w="8217" w:type="dxa"/>
          </w:tcPr>
          <w:p w14:paraId="06F01308" w14:textId="10D24152" w:rsidR="002027A8" w:rsidRPr="00A53AD7" w:rsidRDefault="007E2067" w:rsidP="007E2067">
            <w:pPr>
              <w:pStyle w:val="ad"/>
              <w:rPr>
                <w:rFonts w:ascii="Times New Roman" w:hAnsi="Times New Roman"/>
              </w:rPr>
            </w:pPr>
            <w:r w:rsidRPr="00A53AD7">
              <w:rPr>
                <w:rFonts w:ascii="Times New Roman" w:hAnsi="Times New Roman"/>
              </w:rPr>
              <w:t>У</w:t>
            </w:r>
            <w:r w:rsidR="002027A8" w:rsidRPr="00A53AD7">
              <w:rPr>
                <w:rFonts w:ascii="Times New Roman" w:hAnsi="Times New Roman"/>
              </w:rPr>
              <w:t>правление транспортным средством водителем, не имеющим права управления транспортным средством (ст.</w:t>
            </w:r>
            <w:r w:rsidR="007A734D" w:rsidRPr="00A53AD7">
              <w:rPr>
                <w:rFonts w:ascii="Times New Roman" w:hAnsi="Times New Roman"/>
              </w:rPr>
              <w:t xml:space="preserve"> </w:t>
            </w:r>
            <w:r w:rsidR="002027A8" w:rsidRPr="00A53AD7">
              <w:rPr>
                <w:rFonts w:ascii="Times New Roman" w:hAnsi="Times New Roman"/>
              </w:rPr>
              <w:t>12.7 КоАП РФ)</w:t>
            </w:r>
          </w:p>
        </w:tc>
        <w:tc>
          <w:tcPr>
            <w:tcW w:w="1134" w:type="dxa"/>
          </w:tcPr>
          <w:p w14:paraId="4316CBA9" w14:textId="7A711651" w:rsidR="002027A8" w:rsidRPr="00A53AD7" w:rsidRDefault="002027A8" w:rsidP="002027A8">
            <w:pPr>
              <w:pStyle w:val="ad"/>
              <w:jc w:val="right"/>
              <w:rPr>
                <w:rFonts w:ascii="Times New Roman" w:hAnsi="Times New Roman"/>
              </w:rPr>
            </w:pPr>
            <w:r w:rsidRPr="00A53AD7">
              <w:rPr>
                <w:rFonts w:ascii="Times New Roman" w:hAnsi="Times New Roman"/>
              </w:rPr>
              <w:t>26,5</w:t>
            </w:r>
          </w:p>
        </w:tc>
      </w:tr>
      <w:tr w:rsidR="00A53AD7" w:rsidRPr="00A53AD7" w14:paraId="07611039" w14:textId="77777777" w:rsidTr="007E2067">
        <w:tc>
          <w:tcPr>
            <w:tcW w:w="8217" w:type="dxa"/>
          </w:tcPr>
          <w:p w14:paraId="1627A556" w14:textId="6D20A26E" w:rsidR="002027A8" w:rsidRPr="00A53AD7" w:rsidRDefault="007E2067" w:rsidP="007E2067">
            <w:pPr>
              <w:pStyle w:val="ad"/>
              <w:rPr>
                <w:rFonts w:ascii="Times New Roman" w:hAnsi="Times New Roman"/>
              </w:rPr>
            </w:pPr>
            <w:r w:rsidRPr="00A53AD7">
              <w:rPr>
                <w:rFonts w:ascii="Times New Roman" w:hAnsi="Times New Roman"/>
              </w:rPr>
              <w:t>Н</w:t>
            </w:r>
            <w:r w:rsidR="002027A8" w:rsidRPr="00A53AD7">
              <w:rPr>
                <w:rFonts w:ascii="Times New Roman" w:hAnsi="Times New Roman"/>
              </w:rPr>
              <w:t>есоблюдение требований об обязательном страховании гражданской ответственности владельцев транспортных средств (ст.</w:t>
            </w:r>
            <w:r w:rsidR="007A734D" w:rsidRPr="00A53AD7">
              <w:rPr>
                <w:rFonts w:ascii="Times New Roman" w:hAnsi="Times New Roman"/>
              </w:rPr>
              <w:t xml:space="preserve"> </w:t>
            </w:r>
            <w:r w:rsidR="002027A8" w:rsidRPr="00A53AD7">
              <w:rPr>
                <w:rFonts w:ascii="Times New Roman" w:hAnsi="Times New Roman"/>
              </w:rPr>
              <w:t>12.37 РФ)</w:t>
            </w:r>
          </w:p>
        </w:tc>
        <w:tc>
          <w:tcPr>
            <w:tcW w:w="1134" w:type="dxa"/>
          </w:tcPr>
          <w:p w14:paraId="09FE99DB" w14:textId="0D3D0F8B" w:rsidR="002027A8" w:rsidRPr="00A53AD7" w:rsidRDefault="002027A8" w:rsidP="002027A8">
            <w:pPr>
              <w:pStyle w:val="ad"/>
              <w:jc w:val="right"/>
              <w:rPr>
                <w:rFonts w:ascii="Times New Roman" w:hAnsi="Times New Roman"/>
              </w:rPr>
            </w:pPr>
            <w:r w:rsidRPr="00A53AD7">
              <w:rPr>
                <w:rFonts w:ascii="Times New Roman" w:hAnsi="Times New Roman"/>
              </w:rPr>
              <w:t>12,6</w:t>
            </w:r>
          </w:p>
        </w:tc>
      </w:tr>
      <w:tr w:rsidR="00A53AD7" w:rsidRPr="00A53AD7" w14:paraId="08C7BB38" w14:textId="77777777" w:rsidTr="007E2067">
        <w:tc>
          <w:tcPr>
            <w:tcW w:w="8217" w:type="dxa"/>
          </w:tcPr>
          <w:p w14:paraId="31B80DE2" w14:textId="18044648" w:rsidR="002027A8" w:rsidRPr="00A53AD7" w:rsidRDefault="007E2067" w:rsidP="007E2067">
            <w:pPr>
              <w:pStyle w:val="ad"/>
              <w:rPr>
                <w:rFonts w:ascii="Times New Roman" w:hAnsi="Times New Roman"/>
              </w:rPr>
            </w:pPr>
            <w:r w:rsidRPr="00A53AD7">
              <w:rPr>
                <w:rFonts w:ascii="Times New Roman" w:hAnsi="Times New Roman"/>
              </w:rPr>
              <w:t>Невыполнение водителем транспортного средства требования о прохождении медицинского освидетельствования на состояние опьянения (ст.</w:t>
            </w:r>
            <w:r w:rsidR="007A734D" w:rsidRPr="00A53AD7">
              <w:rPr>
                <w:rFonts w:ascii="Times New Roman" w:hAnsi="Times New Roman"/>
              </w:rPr>
              <w:t xml:space="preserve"> </w:t>
            </w:r>
            <w:r w:rsidRPr="00A53AD7">
              <w:rPr>
                <w:rFonts w:ascii="Times New Roman" w:hAnsi="Times New Roman"/>
              </w:rPr>
              <w:t>12.26 КоАП РФ)</w:t>
            </w:r>
          </w:p>
        </w:tc>
        <w:tc>
          <w:tcPr>
            <w:tcW w:w="1134" w:type="dxa"/>
          </w:tcPr>
          <w:p w14:paraId="7CF97343" w14:textId="43791AF3" w:rsidR="002027A8" w:rsidRPr="00A53AD7" w:rsidRDefault="007E2067" w:rsidP="002027A8">
            <w:pPr>
              <w:pStyle w:val="ad"/>
              <w:jc w:val="right"/>
              <w:rPr>
                <w:rFonts w:ascii="Times New Roman" w:hAnsi="Times New Roman"/>
              </w:rPr>
            </w:pPr>
            <w:r w:rsidRPr="00A53AD7">
              <w:rPr>
                <w:rFonts w:ascii="Times New Roman" w:hAnsi="Times New Roman"/>
              </w:rPr>
              <w:t>12,3</w:t>
            </w:r>
          </w:p>
        </w:tc>
      </w:tr>
      <w:tr w:rsidR="00A53AD7" w:rsidRPr="00A53AD7" w14:paraId="48ED0CCF" w14:textId="77777777" w:rsidTr="007E2067">
        <w:tc>
          <w:tcPr>
            <w:tcW w:w="8217" w:type="dxa"/>
          </w:tcPr>
          <w:p w14:paraId="39D82DAC" w14:textId="7708F66B" w:rsidR="002027A8" w:rsidRPr="00A53AD7" w:rsidRDefault="007E2067" w:rsidP="007E2067">
            <w:pPr>
              <w:pStyle w:val="ad"/>
              <w:rPr>
                <w:rFonts w:ascii="Times New Roman" w:hAnsi="Times New Roman"/>
              </w:rPr>
            </w:pPr>
            <w:r w:rsidRPr="00A53AD7">
              <w:rPr>
                <w:rFonts w:ascii="Times New Roman" w:hAnsi="Times New Roman"/>
              </w:rPr>
              <w:t>Несоблюдение требований, предписанных дорожными знаками или разметкой проезжей части дороги (ст.</w:t>
            </w:r>
            <w:r w:rsidR="007A734D" w:rsidRPr="00A53AD7">
              <w:rPr>
                <w:rFonts w:ascii="Times New Roman" w:hAnsi="Times New Roman"/>
              </w:rPr>
              <w:t xml:space="preserve"> </w:t>
            </w:r>
            <w:r w:rsidRPr="00A53AD7">
              <w:rPr>
                <w:rFonts w:ascii="Times New Roman" w:hAnsi="Times New Roman"/>
              </w:rPr>
              <w:t>12.16 КоАП РФ)</w:t>
            </w:r>
          </w:p>
        </w:tc>
        <w:tc>
          <w:tcPr>
            <w:tcW w:w="1134" w:type="dxa"/>
          </w:tcPr>
          <w:p w14:paraId="355CEC96" w14:textId="47BA72B8" w:rsidR="002027A8" w:rsidRPr="00A53AD7" w:rsidRDefault="007E2067" w:rsidP="002027A8">
            <w:pPr>
              <w:pStyle w:val="ad"/>
              <w:jc w:val="right"/>
              <w:rPr>
                <w:rFonts w:ascii="Times New Roman" w:hAnsi="Times New Roman"/>
              </w:rPr>
            </w:pPr>
            <w:r w:rsidRPr="00A53AD7">
              <w:rPr>
                <w:rFonts w:ascii="Times New Roman" w:hAnsi="Times New Roman"/>
              </w:rPr>
              <w:t>11,4</w:t>
            </w:r>
          </w:p>
        </w:tc>
      </w:tr>
      <w:tr w:rsidR="007E2067" w:rsidRPr="00A53AD7" w14:paraId="35FC29BD" w14:textId="77777777" w:rsidTr="007E2067">
        <w:tc>
          <w:tcPr>
            <w:tcW w:w="8217" w:type="dxa"/>
          </w:tcPr>
          <w:p w14:paraId="6FD5902A" w14:textId="2DE264E7" w:rsidR="007E2067" w:rsidRPr="00A53AD7" w:rsidRDefault="007E2067" w:rsidP="007E2067">
            <w:pPr>
              <w:pStyle w:val="ad"/>
              <w:rPr>
                <w:rFonts w:ascii="Times New Roman" w:hAnsi="Times New Roman"/>
              </w:rPr>
            </w:pPr>
            <w:r w:rsidRPr="00A53AD7">
              <w:rPr>
                <w:rFonts w:ascii="Times New Roman" w:hAnsi="Times New Roman"/>
              </w:rPr>
              <w:t>Нарушение правил применения ремней безопасности или мотошлемов (ст.</w:t>
            </w:r>
            <w:r w:rsidR="007A734D" w:rsidRPr="00A53AD7">
              <w:rPr>
                <w:rFonts w:ascii="Times New Roman" w:hAnsi="Times New Roman"/>
              </w:rPr>
              <w:t xml:space="preserve"> </w:t>
            </w:r>
            <w:r w:rsidRPr="00A53AD7">
              <w:rPr>
                <w:rFonts w:ascii="Times New Roman" w:hAnsi="Times New Roman"/>
              </w:rPr>
              <w:t>12.6 КоАП РФ)</w:t>
            </w:r>
          </w:p>
        </w:tc>
        <w:tc>
          <w:tcPr>
            <w:tcW w:w="1134" w:type="dxa"/>
          </w:tcPr>
          <w:p w14:paraId="6F088C52" w14:textId="5BFB93B8" w:rsidR="007E2067" w:rsidRPr="00A53AD7" w:rsidRDefault="007E2067" w:rsidP="002027A8">
            <w:pPr>
              <w:pStyle w:val="ad"/>
              <w:jc w:val="right"/>
              <w:rPr>
                <w:rFonts w:ascii="Times New Roman" w:hAnsi="Times New Roman"/>
              </w:rPr>
            </w:pPr>
            <w:r w:rsidRPr="00A53AD7">
              <w:rPr>
                <w:rFonts w:ascii="Times New Roman" w:hAnsi="Times New Roman"/>
              </w:rPr>
              <w:t>10,6</w:t>
            </w:r>
          </w:p>
        </w:tc>
      </w:tr>
    </w:tbl>
    <w:p w14:paraId="6BA8F540" w14:textId="77777777" w:rsidR="002027A8" w:rsidRPr="00A53AD7" w:rsidRDefault="002027A8" w:rsidP="00D01D81">
      <w:pPr>
        <w:pStyle w:val="ad"/>
        <w:ind w:firstLine="851"/>
        <w:jc w:val="both"/>
        <w:rPr>
          <w:rFonts w:ascii="Times New Roman" w:hAnsi="Times New Roman"/>
          <w:sz w:val="28"/>
          <w:szCs w:val="28"/>
        </w:rPr>
      </w:pPr>
    </w:p>
    <w:p w14:paraId="5A4AA21B" w14:textId="0A034901"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В 2018 году было составлено 439 238 протоколов об административном правонарушении в области дорожного движения, по которым начислено 435,4 млн.ру</w:t>
      </w:r>
      <w:r w:rsidR="007E2067" w:rsidRPr="00A53AD7">
        <w:rPr>
          <w:rFonts w:ascii="Times New Roman" w:hAnsi="Times New Roman"/>
          <w:sz w:val="28"/>
          <w:szCs w:val="28"/>
        </w:rPr>
        <w:t>б. и поступило – 329,1 млн.руб.</w:t>
      </w:r>
    </w:p>
    <w:p w14:paraId="7C39CD5B" w14:textId="1ABA6AEC" w:rsidR="00D01D81" w:rsidRPr="00A53AD7" w:rsidRDefault="00D01D81" w:rsidP="00D01D81">
      <w:pPr>
        <w:pStyle w:val="ad"/>
        <w:ind w:firstLine="851"/>
        <w:jc w:val="both"/>
        <w:rPr>
          <w:rFonts w:ascii="Times New Roman" w:hAnsi="Times New Roman"/>
          <w:sz w:val="28"/>
          <w:szCs w:val="28"/>
        </w:rPr>
      </w:pPr>
      <w:r w:rsidRPr="00A53AD7">
        <w:rPr>
          <w:rFonts w:ascii="Times New Roman" w:hAnsi="Times New Roman"/>
          <w:sz w:val="28"/>
          <w:szCs w:val="28"/>
        </w:rPr>
        <w:t>Кроме того, объем поступлений штрафов, санкций, возмещени</w:t>
      </w:r>
      <w:r w:rsidR="007E2067" w:rsidRPr="00A53AD7">
        <w:rPr>
          <w:rFonts w:ascii="Times New Roman" w:hAnsi="Times New Roman"/>
          <w:sz w:val="28"/>
          <w:szCs w:val="28"/>
        </w:rPr>
        <w:t>й</w:t>
      </w:r>
      <w:r w:rsidRPr="00A53AD7">
        <w:rPr>
          <w:rFonts w:ascii="Times New Roman" w:hAnsi="Times New Roman"/>
          <w:sz w:val="28"/>
          <w:szCs w:val="28"/>
        </w:rPr>
        <w:t xml:space="preserve"> ущерба за отчетный период представлен следующими платежами:</w:t>
      </w:r>
    </w:p>
    <w:p w14:paraId="50881D4F" w14:textId="7D0F115E"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w:t>
      </w:r>
      <w:r w:rsidR="007E2067" w:rsidRPr="00A53AD7">
        <w:rPr>
          <w:rFonts w:ascii="Times New Roman" w:hAnsi="Times New Roman"/>
          <w:sz w:val="28"/>
          <w:szCs w:val="28"/>
        </w:rPr>
        <w:t xml:space="preserve"> РФ</w:t>
      </w:r>
      <w:r w:rsidRPr="00A53AD7">
        <w:rPr>
          <w:rFonts w:ascii="Times New Roman" w:hAnsi="Times New Roman"/>
          <w:sz w:val="28"/>
          <w:szCs w:val="28"/>
        </w:rPr>
        <w:t xml:space="preserve"> в сумме 17,0 млн.руб. что на 15,6 млн.руб. или в 12 раз превышает назначения на год (1,4 млн.руб.). Указанное превышение обеспечено значительной суммой налагаемого штрафа и увеличением количества рассмотренных дел об административных правонарушениях. Основные плательщики: АО «Группа «Илим» – 14,9 млн.руб.; ФКУ ОИУ ОУХД-2 УФСИН России по Архангельской области – 0,3 млн.руб.; МУП «Водоочистка» – 0,2 млн.руб. и другие;</w:t>
      </w:r>
    </w:p>
    <w:p w14:paraId="10D94647" w14:textId="5BF0671B"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денежные взыскания (штрафы) за нарушение законодательства РФ о пожарной безопасности – 2,5 млн.руб., что составляет 138,9 % прогноза поступлений на год и незначительно превышает поступления прошлог</w:t>
      </w:r>
      <w:r w:rsidR="007E2067" w:rsidRPr="00A53AD7">
        <w:rPr>
          <w:rFonts w:ascii="Times New Roman" w:hAnsi="Times New Roman"/>
          <w:sz w:val="28"/>
          <w:szCs w:val="28"/>
        </w:rPr>
        <w:t>о года на 0,4 млн.руб. (+19,0%);</w:t>
      </w:r>
    </w:p>
    <w:p w14:paraId="7A69DED1" w14:textId="3F75A2C0"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 xml:space="preserve">суммы в возмещение вреда, причиняемого автомобильным дорогам регионального значения транспортными средствами, осуществляющими перевозки тяжеловесных и (или) крупногабаритных грузов в сумме 13,3 млн.руб., что составляет 78,2 % назначений на год. По сравнению с предыдущим годом поступление указанных штрафов уменьшилось на 3,6 млн.руб. </w:t>
      </w:r>
      <w:r w:rsidR="0078547E" w:rsidRPr="00A53AD7">
        <w:rPr>
          <w:rFonts w:ascii="Times New Roman" w:hAnsi="Times New Roman"/>
          <w:sz w:val="28"/>
          <w:szCs w:val="28"/>
        </w:rPr>
        <w:t>или в 1,2 раза (16,9 млн.руб.).</w:t>
      </w:r>
    </w:p>
    <w:p w14:paraId="4A95EDA3" w14:textId="70D6EB8E" w:rsidR="00D01D81" w:rsidRPr="00A53AD7" w:rsidRDefault="00D01D81" w:rsidP="0078547E">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представленным в </w:t>
      </w:r>
      <w:r w:rsidR="0078547E" w:rsidRPr="00A53AD7">
        <w:rPr>
          <w:rFonts w:ascii="Times New Roman" w:hAnsi="Times New Roman"/>
          <w:sz w:val="28"/>
          <w:szCs w:val="28"/>
        </w:rPr>
        <w:t>контрольно-счетную палату</w:t>
      </w:r>
      <w:r w:rsidRPr="00A53AD7">
        <w:rPr>
          <w:rFonts w:ascii="Times New Roman" w:hAnsi="Times New Roman"/>
          <w:sz w:val="28"/>
          <w:szCs w:val="28"/>
        </w:rPr>
        <w:t xml:space="preserve"> </w:t>
      </w:r>
      <w:r w:rsidR="0078547E" w:rsidRPr="00A53AD7">
        <w:rPr>
          <w:rFonts w:ascii="Times New Roman" w:hAnsi="Times New Roman"/>
          <w:sz w:val="28"/>
          <w:szCs w:val="28"/>
        </w:rPr>
        <w:t>сведениям</w:t>
      </w:r>
      <w:r w:rsidRPr="00A53AD7">
        <w:rPr>
          <w:rFonts w:ascii="Times New Roman" w:hAnsi="Times New Roman"/>
          <w:sz w:val="28"/>
          <w:szCs w:val="28"/>
        </w:rPr>
        <w:t xml:space="preserve"> министерства транспорта Архангельской области указанное снижение обусловлено следующими факторами: прекращением совместных мероприятий весового контроля сотрудников подразделений ГИБДД УМВД Р</w:t>
      </w:r>
      <w:r w:rsidR="0078547E" w:rsidRPr="00A53AD7">
        <w:rPr>
          <w:rFonts w:ascii="Times New Roman" w:hAnsi="Times New Roman"/>
          <w:sz w:val="28"/>
          <w:szCs w:val="28"/>
        </w:rPr>
        <w:t>оссии</w:t>
      </w:r>
      <w:r w:rsidRPr="00A53AD7">
        <w:rPr>
          <w:rFonts w:ascii="Times New Roman" w:hAnsi="Times New Roman"/>
          <w:sz w:val="28"/>
          <w:szCs w:val="28"/>
        </w:rPr>
        <w:t xml:space="preserve"> по Архангельской области с привлечением передвижных пунктов весогабаритного контроля ГБУ АО «Региональная транспортная служба»; проводимой работой, направленной на своевременное оформление специальных разрешений и согласований на движение по автомобильным дорогам транспортных средств, осуществляющих перевозки тяжеловесных и (или) крупнога</w:t>
      </w:r>
      <w:r w:rsidR="0078547E" w:rsidRPr="00A53AD7">
        <w:rPr>
          <w:rFonts w:ascii="Times New Roman" w:hAnsi="Times New Roman"/>
          <w:sz w:val="28"/>
          <w:szCs w:val="28"/>
        </w:rPr>
        <w:t>баритных грузов;</w:t>
      </w:r>
    </w:p>
    <w:p w14:paraId="74CA6DD6" w14:textId="77777777" w:rsidR="00D01D81" w:rsidRPr="00A53AD7" w:rsidRDefault="00D01D81" w:rsidP="00F35229">
      <w:pPr>
        <w:numPr>
          <w:ilvl w:val="0"/>
          <w:numId w:val="5"/>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прочие поступления от денежных взысканий (штрафов) и иных сумм в возмещение ущерба, зачисляемые в областной бюджет – 8,7 млн.руб. что составляет 75,9 % прогноза поступлений на год.</w:t>
      </w:r>
    </w:p>
    <w:p w14:paraId="1067F9D6" w14:textId="77777777" w:rsidR="00731F44" w:rsidRPr="00A53AD7" w:rsidRDefault="00731F44" w:rsidP="00731F44">
      <w:pPr>
        <w:spacing w:after="0" w:line="240" w:lineRule="auto"/>
        <w:ind w:firstLine="851"/>
        <w:jc w:val="both"/>
        <w:rPr>
          <w:rFonts w:ascii="Times New Roman" w:hAnsi="Times New Roman"/>
          <w:sz w:val="28"/>
          <w:szCs w:val="28"/>
        </w:rPr>
      </w:pPr>
      <w:bookmarkStart w:id="64" w:name="_Toc9262569"/>
      <w:r w:rsidRPr="00A53AD7">
        <w:rPr>
          <w:rFonts w:ascii="Times New Roman" w:hAnsi="Times New Roman"/>
          <w:sz w:val="28"/>
          <w:szCs w:val="28"/>
        </w:rPr>
        <w:t xml:space="preserve">В целом в 2019 году установлена положительная динамика поступлений по налоговым и неналоговым доходам в областной бюджет. </w:t>
      </w:r>
    </w:p>
    <w:p w14:paraId="14E4B2F7" w14:textId="77777777" w:rsidR="00D01D81" w:rsidRPr="00A53AD7" w:rsidRDefault="00D01D81" w:rsidP="00D01D81">
      <w:pPr>
        <w:pStyle w:val="2"/>
        <w:spacing w:before="120" w:after="0" w:line="240" w:lineRule="auto"/>
        <w:jc w:val="center"/>
        <w:rPr>
          <w:rFonts w:ascii="Times New Roman" w:hAnsi="Times New Roman"/>
          <w:lang w:val="ru-RU"/>
        </w:rPr>
      </w:pPr>
      <w:bookmarkStart w:id="65" w:name="_3.2._Безвозмездные_поступления"/>
      <w:bookmarkStart w:id="66" w:name="_Toc42006718"/>
      <w:bookmarkEnd w:id="65"/>
      <w:r w:rsidRPr="00A53AD7">
        <w:rPr>
          <w:rFonts w:ascii="Times New Roman" w:hAnsi="Times New Roman"/>
          <w:lang w:val="ru-RU"/>
        </w:rPr>
        <w:t>3.2. Безвозмездные поступления</w:t>
      </w:r>
      <w:bookmarkEnd w:id="64"/>
      <w:bookmarkEnd w:id="66"/>
    </w:p>
    <w:p w14:paraId="24B269E6" w14:textId="4D5A40A1"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Безвозмездны</w:t>
      </w:r>
      <w:r w:rsidR="00B0392B" w:rsidRPr="00A53AD7">
        <w:rPr>
          <w:rFonts w:ascii="Times New Roman" w:hAnsi="Times New Roman"/>
          <w:sz w:val="28"/>
          <w:szCs w:val="28"/>
        </w:rPr>
        <w:t>е</w:t>
      </w:r>
      <w:r w:rsidRPr="00A53AD7">
        <w:rPr>
          <w:rFonts w:ascii="Times New Roman" w:hAnsi="Times New Roman"/>
          <w:sz w:val="28"/>
          <w:szCs w:val="28"/>
        </w:rPr>
        <w:t xml:space="preserve"> поступлени</w:t>
      </w:r>
      <w:r w:rsidR="00B0392B" w:rsidRPr="00A53AD7">
        <w:rPr>
          <w:rFonts w:ascii="Times New Roman" w:hAnsi="Times New Roman"/>
          <w:sz w:val="28"/>
          <w:szCs w:val="28"/>
        </w:rPr>
        <w:t>я</w:t>
      </w:r>
      <w:r w:rsidRPr="00A53AD7">
        <w:rPr>
          <w:rFonts w:ascii="Times New Roman" w:hAnsi="Times New Roman"/>
          <w:sz w:val="28"/>
          <w:szCs w:val="28"/>
        </w:rPr>
        <w:t xml:space="preserve"> за счет всех источников в 2019 году </w:t>
      </w:r>
      <w:r w:rsidR="00B0392B" w:rsidRPr="00A53AD7">
        <w:rPr>
          <w:rFonts w:ascii="Times New Roman" w:hAnsi="Times New Roman"/>
          <w:sz w:val="28"/>
          <w:szCs w:val="28"/>
        </w:rPr>
        <w:t xml:space="preserve">поступили в сумме </w:t>
      </w:r>
      <w:r w:rsidRPr="00A53AD7">
        <w:rPr>
          <w:rFonts w:ascii="Times New Roman" w:hAnsi="Times New Roman"/>
          <w:sz w:val="28"/>
          <w:szCs w:val="28"/>
        </w:rPr>
        <w:t>28 718,9 млн.руб., что превышает поступления за предыдущий год на 9</w:t>
      </w:r>
      <w:r w:rsidRPr="00A53AD7">
        <w:rPr>
          <w:rFonts w:ascii="Times New Roman" w:hAnsi="Times New Roman"/>
          <w:sz w:val="28"/>
          <w:szCs w:val="28"/>
          <w:lang w:val="en-US"/>
        </w:rPr>
        <w:t> </w:t>
      </w:r>
      <w:r w:rsidRPr="00A53AD7">
        <w:rPr>
          <w:rFonts w:ascii="Times New Roman" w:hAnsi="Times New Roman"/>
          <w:sz w:val="28"/>
          <w:szCs w:val="28"/>
        </w:rPr>
        <w:t>140,3 млн.руб. или на 46,7 % (19 578,6 млн.руб.).</w:t>
      </w:r>
    </w:p>
    <w:p w14:paraId="6B9570EC"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в составе безвозмездных поступлений за 2019 год занимают безвозмездные поступления от других бюджетов: 26 333,2 млн.руб. или 91,7 % в структуре безвозмездных поступлений, в том числе:</w:t>
      </w:r>
    </w:p>
    <w:p w14:paraId="5F19FBCD" w14:textId="77777777"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дотации поступили в сумме 10 928,2 млн.руб. или 100,0 % показателей годового кассового плана;</w:t>
      </w:r>
    </w:p>
    <w:p w14:paraId="41591E0E" w14:textId="77777777" w:rsidR="00782AC7" w:rsidRPr="00A53AD7" w:rsidRDefault="00782AC7" w:rsidP="00782AC7">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субсидии – в сумме 5 256,0 млн.руб., что на 1 801,6 млн.руб. или на 25,5 % меньше годовых назначений;</w:t>
      </w:r>
    </w:p>
    <w:p w14:paraId="7C7D3584" w14:textId="77777777" w:rsidR="00F07432" w:rsidRPr="00A53AD7" w:rsidRDefault="00F07432" w:rsidP="00F07432">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субвенции на исполнение отдельных государственных полномочий Российской Федерации – в сумме 3 824,6 млн.руб., что на 58,6 млн.руб. или на 1,5 % меньше годовых назначений;</w:t>
      </w:r>
    </w:p>
    <w:p w14:paraId="07C7C79D" w14:textId="77777777" w:rsidR="00F07432" w:rsidRPr="00A53AD7" w:rsidRDefault="00F07432" w:rsidP="00F07432">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иные межбюджетные трансферты – 6 324,4 млн.руб., что на 604,4 млн.руб. или на 8,7 % меньше годовых назначений.</w:t>
      </w:r>
    </w:p>
    <w:p w14:paraId="35760F8C" w14:textId="634D704F"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Безвозмездные поступления от других бюджетов бюджетной системы Российской Федерации за 2018 и 2019 годы представлены в таблице </w:t>
      </w:r>
      <w:r w:rsidR="00616BA6" w:rsidRPr="00A53AD7">
        <w:rPr>
          <w:rFonts w:ascii="Times New Roman" w:hAnsi="Times New Roman"/>
          <w:sz w:val="28"/>
          <w:szCs w:val="28"/>
        </w:rPr>
        <w:t>34</w:t>
      </w:r>
      <w:r w:rsidRPr="00A53AD7">
        <w:rPr>
          <w:rFonts w:ascii="Times New Roman" w:hAnsi="Times New Roman"/>
          <w:sz w:val="28"/>
          <w:szCs w:val="28"/>
        </w:rPr>
        <w:t xml:space="preserve"> и на рисунке </w:t>
      </w:r>
      <w:r w:rsidR="00616BA6" w:rsidRPr="00A53AD7">
        <w:rPr>
          <w:rFonts w:ascii="Times New Roman" w:hAnsi="Times New Roman"/>
          <w:sz w:val="28"/>
          <w:szCs w:val="28"/>
        </w:rPr>
        <w:t>45</w:t>
      </w:r>
      <w:r w:rsidR="009875EE" w:rsidRPr="00A53AD7">
        <w:rPr>
          <w:rFonts w:ascii="Times New Roman" w:hAnsi="Times New Roman"/>
          <w:sz w:val="28"/>
          <w:szCs w:val="28"/>
        </w:rPr>
        <w:t>.</w:t>
      </w:r>
    </w:p>
    <w:p w14:paraId="0D3F2C81" w14:textId="77777777" w:rsidR="00D01D81" w:rsidRPr="00A53AD7" w:rsidRDefault="00D01D81" w:rsidP="00D01D81">
      <w:pPr>
        <w:spacing w:after="0" w:line="240" w:lineRule="auto"/>
        <w:ind w:firstLine="851"/>
        <w:jc w:val="both"/>
        <w:rPr>
          <w:rFonts w:ascii="Times New Roman" w:hAnsi="Times New Roman"/>
          <w:sz w:val="28"/>
          <w:szCs w:val="28"/>
        </w:rPr>
      </w:pPr>
    </w:p>
    <w:p w14:paraId="3FB765F5" w14:textId="4D671075" w:rsidR="00A569BD" w:rsidRPr="00A53AD7" w:rsidRDefault="00A569BD" w:rsidP="00A569BD">
      <w:pPr>
        <w:spacing w:after="0" w:line="240" w:lineRule="auto"/>
        <w:rPr>
          <w:rFonts w:ascii="Times New Roman" w:hAnsi="Times New Roman"/>
          <w:bCs/>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34</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Безвозмездные поступления от других бюджетов бюджетной системы Российской Федерации за 2018 и 2019 годы, млн.руб.</w:t>
      </w:r>
    </w:p>
    <w:tbl>
      <w:tblPr>
        <w:tblW w:w="9553"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4A0" w:firstRow="1" w:lastRow="0" w:firstColumn="1" w:lastColumn="0" w:noHBand="0" w:noVBand="1"/>
      </w:tblPr>
      <w:tblGrid>
        <w:gridCol w:w="1701"/>
        <w:gridCol w:w="993"/>
        <w:gridCol w:w="708"/>
        <w:gridCol w:w="918"/>
        <w:gridCol w:w="1020"/>
        <w:gridCol w:w="756"/>
        <w:gridCol w:w="932"/>
        <w:gridCol w:w="910"/>
        <w:gridCol w:w="905"/>
        <w:gridCol w:w="710"/>
      </w:tblGrid>
      <w:tr w:rsidR="00A53AD7" w:rsidRPr="00A53AD7" w14:paraId="486BCD6C" w14:textId="77777777" w:rsidTr="003F1D09">
        <w:trPr>
          <w:trHeight w:val="525"/>
        </w:trPr>
        <w:tc>
          <w:tcPr>
            <w:tcW w:w="1701" w:type="dxa"/>
            <w:vMerge w:val="restart"/>
            <w:shd w:val="clear" w:color="auto" w:fill="auto"/>
            <w:vAlign w:val="center"/>
            <w:hideMark/>
          </w:tcPr>
          <w:p w14:paraId="79CF4F2D" w14:textId="77777777" w:rsidR="00A569BD" w:rsidRPr="00A53AD7" w:rsidRDefault="00A569BD" w:rsidP="003F1D09">
            <w:pPr>
              <w:spacing w:after="0" w:line="240" w:lineRule="auto"/>
              <w:ind w:right="-108"/>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993" w:type="dxa"/>
            <w:vMerge w:val="restart"/>
            <w:shd w:val="clear" w:color="auto" w:fill="auto"/>
            <w:vAlign w:val="center"/>
            <w:hideMark/>
          </w:tcPr>
          <w:p w14:paraId="211D761F"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2018, факт</w:t>
            </w:r>
          </w:p>
        </w:tc>
        <w:tc>
          <w:tcPr>
            <w:tcW w:w="708" w:type="dxa"/>
            <w:vMerge w:val="restart"/>
            <w:shd w:val="clear" w:color="auto" w:fill="auto"/>
            <w:vAlign w:val="center"/>
            <w:hideMark/>
          </w:tcPr>
          <w:p w14:paraId="02495802" w14:textId="77777777" w:rsidR="00A569BD" w:rsidRPr="00A53AD7" w:rsidRDefault="00A569BD" w:rsidP="003F1D09">
            <w:pPr>
              <w:spacing w:after="0" w:line="240" w:lineRule="auto"/>
              <w:ind w:left="-108" w:right="-108"/>
              <w:jc w:val="center"/>
              <w:rPr>
                <w:rFonts w:ascii="Times New Roman" w:eastAsia="Times New Roman" w:hAnsi="Times New Roman"/>
                <w:lang w:eastAsia="ru-RU"/>
              </w:rPr>
            </w:pPr>
            <w:r w:rsidRPr="00A53AD7">
              <w:rPr>
                <w:rFonts w:ascii="Times New Roman" w:eastAsia="Times New Roman" w:hAnsi="Times New Roman"/>
                <w:lang w:eastAsia="ru-RU"/>
              </w:rPr>
              <w:t>Уд. вес к итогу, %</w:t>
            </w:r>
          </w:p>
        </w:tc>
        <w:tc>
          <w:tcPr>
            <w:tcW w:w="918" w:type="dxa"/>
            <w:vMerge w:val="restart"/>
            <w:shd w:val="clear" w:color="auto" w:fill="auto"/>
            <w:vAlign w:val="center"/>
            <w:hideMark/>
          </w:tcPr>
          <w:p w14:paraId="52C208E9"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План 2019 год</w:t>
            </w:r>
          </w:p>
        </w:tc>
        <w:tc>
          <w:tcPr>
            <w:tcW w:w="1020" w:type="dxa"/>
            <w:vMerge w:val="restart"/>
            <w:vAlign w:val="center"/>
          </w:tcPr>
          <w:p w14:paraId="78DCB7B9"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факт</w:t>
            </w:r>
          </w:p>
        </w:tc>
        <w:tc>
          <w:tcPr>
            <w:tcW w:w="756" w:type="dxa"/>
            <w:vMerge w:val="restart"/>
            <w:vAlign w:val="center"/>
          </w:tcPr>
          <w:p w14:paraId="46812653" w14:textId="77777777" w:rsidR="00A569BD" w:rsidRPr="00A53AD7" w:rsidRDefault="00A569BD" w:rsidP="003F1D09">
            <w:pPr>
              <w:spacing w:after="0" w:line="240" w:lineRule="auto"/>
              <w:ind w:left="-61" w:right="-127"/>
              <w:jc w:val="center"/>
              <w:rPr>
                <w:rFonts w:ascii="Times New Roman" w:eastAsia="Times New Roman" w:hAnsi="Times New Roman"/>
                <w:lang w:eastAsia="ru-RU"/>
              </w:rPr>
            </w:pPr>
            <w:r w:rsidRPr="00A53AD7">
              <w:rPr>
                <w:rFonts w:ascii="Times New Roman" w:eastAsia="Times New Roman" w:hAnsi="Times New Roman"/>
                <w:lang w:eastAsia="ru-RU"/>
              </w:rPr>
              <w:t>Уд. вес к итогу, %</w:t>
            </w:r>
          </w:p>
        </w:tc>
        <w:tc>
          <w:tcPr>
            <w:tcW w:w="1842" w:type="dxa"/>
            <w:gridSpan w:val="2"/>
            <w:shd w:val="clear" w:color="auto" w:fill="auto"/>
            <w:vAlign w:val="center"/>
            <w:hideMark/>
          </w:tcPr>
          <w:p w14:paraId="63A80A34"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факт 2019 к плану</w:t>
            </w:r>
          </w:p>
        </w:tc>
        <w:tc>
          <w:tcPr>
            <w:tcW w:w="1615" w:type="dxa"/>
            <w:gridSpan w:val="2"/>
            <w:shd w:val="clear" w:color="auto" w:fill="auto"/>
            <w:vAlign w:val="center"/>
            <w:hideMark/>
          </w:tcPr>
          <w:p w14:paraId="409C54BE" w14:textId="77777777" w:rsidR="00A569BD" w:rsidRPr="00A53AD7" w:rsidRDefault="00A569BD" w:rsidP="003F1D09">
            <w:pPr>
              <w:spacing w:after="0" w:line="240" w:lineRule="auto"/>
              <w:ind w:left="-89" w:right="-71"/>
              <w:jc w:val="center"/>
              <w:rPr>
                <w:rFonts w:ascii="Times New Roman" w:eastAsia="Times New Roman" w:hAnsi="Times New Roman"/>
                <w:lang w:eastAsia="ru-RU"/>
              </w:rPr>
            </w:pPr>
            <w:r w:rsidRPr="00A53AD7">
              <w:rPr>
                <w:rFonts w:ascii="Times New Roman" w:eastAsia="Times New Roman" w:hAnsi="Times New Roman"/>
                <w:lang w:eastAsia="ru-RU"/>
              </w:rPr>
              <w:t>Изменение 2019/2018 (+ / -)</w:t>
            </w:r>
          </w:p>
        </w:tc>
      </w:tr>
      <w:tr w:rsidR="00A53AD7" w:rsidRPr="00A53AD7" w14:paraId="677B3C14" w14:textId="77777777" w:rsidTr="003F1D09">
        <w:trPr>
          <w:trHeight w:val="186"/>
        </w:trPr>
        <w:tc>
          <w:tcPr>
            <w:tcW w:w="1701" w:type="dxa"/>
            <w:vMerge/>
            <w:vAlign w:val="center"/>
            <w:hideMark/>
          </w:tcPr>
          <w:p w14:paraId="6AB47E40" w14:textId="77777777" w:rsidR="00A569BD" w:rsidRPr="00A53AD7" w:rsidRDefault="00A569BD" w:rsidP="003F1D09">
            <w:pPr>
              <w:spacing w:after="0" w:line="240" w:lineRule="auto"/>
              <w:rPr>
                <w:rFonts w:ascii="Times New Roman" w:eastAsia="Times New Roman" w:hAnsi="Times New Roman"/>
                <w:lang w:eastAsia="ru-RU"/>
              </w:rPr>
            </w:pPr>
          </w:p>
        </w:tc>
        <w:tc>
          <w:tcPr>
            <w:tcW w:w="993" w:type="dxa"/>
            <w:vMerge/>
            <w:vAlign w:val="center"/>
            <w:hideMark/>
          </w:tcPr>
          <w:p w14:paraId="295C4B2C" w14:textId="77777777" w:rsidR="00A569BD" w:rsidRPr="00A53AD7" w:rsidRDefault="00A569BD" w:rsidP="003F1D09">
            <w:pPr>
              <w:spacing w:after="0" w:line="240" w:lineRule="auto"/>
              <w:rPr>
                <w:rFonts w:ascii="Times New Roman" w:eastAsia="Times New Roman" w:hAnsi="Times New Roman"/>
                <w:lang w:eastAsia="ru-RU"/>
              </w:rPr>
            </w:pPr>
          </w:p>
        </w:tc>
        <w:tc>
          <w:tcPr>
            <w:tcW w:w="708" w:type="dxa"/>
            <w:vMerge/>
            <w:vAlign w:val="center"/>
            <w:hideMark/>
          </w:tcPr>
          <w:p w14:paraId="54BC9C5E" w14:textId="77777777" w:rsidR="00A569BD" w:rsidRPr="00A53AD7" w:rsidRDefault="00A569BD" w:rsidP="003F1D09">
            <w:pPr>
              <w:spacing w:after="0" w:line="240" w:lineRule="auto"/>
              <w:rPr>
                <w:rFonts w:ascii="Times New Roman" w:eastAsia="Times New Roman" w:hAnsi="Times New Roman"/>
                <w:lang w:eastAsia="ru-RU"/>
              </w:rPr>
            </w:pPr>
          </w:p>
        </w:tc>
        <w:tc>
          <w:tcPr>
            <w:tcW w:w="918" w:type="dxa"/>
            <w:vMerge/>
            <w:vAlign w:val="center"/>
            <w:hideMark/>
          </w:tcPr>
          <w:p w14:paraId="62C7A3A1" w14:textId="77777777" w:rsidR="00A569BD" w:rsidRPr="00A53AD7" w:rsidRDefault="00A569BD" w:rsidP="003F1D09">
            <w:pPr>
              <w:spacing w:after="0" w:line="240" w:lineRule="auto"/>
              <w:rPr>
                <w:rFonts w:ascii="Times New Roman" w:eastAsia="Times New Roman" w:hAnsi="Times New Roman"/>
                <w:lang w:eastAsia="ru-RU"/>
              </w:rPr>
            </w:pPr>
          </w:p>
        </w:tc>
        <w:tc>
          <w:tcPr>
            <w:tcW w:w="1020" w:type="dxa"/>
            <w:vMerge/>
            <w:vAlign w:val="center"/>
          </w:tcPr>
          <w:p w14:paraId="1FDD3D65" w14:textId="77777777" w:rsidR="00A569BD" w:rsidRPr="00A53AD7" w:rsidRDefault="00A569BD" w:rsidP="003F1D09">
            <w:pPr>
              <w:spacing w:after="0" w:line="240" w:lineRule="auto"/>
              <w:rPr>
                <w:rFonts w:ascii="Times New Roman" w:eastAsia="Times New Roman" w:hAnsi="Times New Roman"/>
                <w:lang w:eastAsia="ru-RU"/>
              </w:rPr>
            </w:pPr>
          </w:p>
        </w:tc>
        <w:tc>
          <w:tcPr>
            <w:tcW w:w="756" w:type="dxa"/>
            <w:vMerge/>
            <w:vAlign w:val="center"/>
          </w:tcPr>
          <w:p w14:paraId="0589005F" w14:textId="77777777" w:rsidR="00A569BD" w:rsidRPr="00A53AD7" w:rsidRDefault="00A569BD" w:rsidP="003F1D09">
            <w:pPr>
              <w:spacing w:after="0" w:line="240" w:lineRule="auto"/>
              <w:ind w:left="-61" w:right="-127"/>
              <w:rPr>
                <w:rFonts w:ascii="Times New Roman" w:eastAsia="Times New Roman" w:hAnsi="Times New Roman"/>
                <w:lang w:eastAsia="ru-RU"/>
              </w:rPr>
            </w:pPr>
          </w:p>
        </w:tc>
        <w:tc>
          <w:tcPr>
            <w:tcW w:w="932" w:type="dxa"/>
            <w:shd w:val="clear" w:color="auto" w:fill="auto"/>
            <w:vAlign w:val="center"/>
            <w:hideMark/>
          </w:tcPr>
          <w:p w14:paraId="73DFE439" w14:textId="77777777" w:rsidR="00A569BD" w:rsidRPr="00A53AD7" w:rsidRDefault="00A569BD" w:rsidP="003F1D09">
            <w:pPr>
              <w:spacing w:after="0" w:line="240" w:lineRule="auto"/>
              <w:ind w:right="-108"/>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910" w:type="dxa"/>
            <w:shd w:val="clear" w:color="auto" w:fill="auto"/>
            <w:vAlign w:val="center"/>
            <w:hideMark/>
          </w:tcPr>
          <w:p w14:paraId="6F4342E2"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05" w:type="dxa"/>
            <w:shd w:val="clear" w:color="auto" w:fill="auto"/>
            <w:vAlign w:val="center"/>
            <w:hideMark/>
          </w:tcPr>
          <w:p w14:paraId="0269D2C3" w14:textId="77777777" w:rsidR="00A569BD" w:rsidRPr="00A53AD7" w:rsidRDefault="00A569BD" w:rsidP="003F1D09">
            <w:pPr>
              <w:spacing w:after="0" w:line="240" w:lineRule="auto"/>
              <w:ind w:left="-195" w:right="-90"/>
              <w:jc w:val="center"/>
              <w:rPr>
                <w:rFonts w:ascii="Times New Roman" w:eastAsia="Times New Roman" w:hAnsi="Times New Roman"/>
                <w:lang w:eastAsia="ru-RU"/>
              </w:rPr>
            </w:pPr>
            <w:r w:rsidRPr="00A53AD7">
              <w:rPr>
                <w:rFonts w:ascii="Times New Roman" w:eastAsia="Times New Roman" w:hAnsi="Times New Roman"/>
                <w:lang w:eastAsia="ru-RU"/>
              </w:rPr>
              <w:t>млн.руб.</w:t>
            </w:r>
          </w:p>
        </w:tc>
        <w:tc>
          <w:tcPr>
            <w:tcW w:w="710" w:type="dxa"/>
            <w:shd w:val="clear" w:color="auto" w:fill="auto"/>
            <w:vAlign w:val="center"/>
            <w:hideMark/>
          </w:tcPr>
          <w:p w14:paraId="30C743A7" w14:textId="77777777" w:rsidR="00A569BD" w:rsidRPr="00A53AD7" w:rsidRDefault="00A569BD" w:rsidP="003F1D0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п.п</w:t>
            </w:r>
          </w:p>
        </w:tc>
      </w:tr>
      <w:tr w:rsidR="00A53AD7" w:rsidRPr="00A53AD7" w14:paraId="77A35C44" w14:textId="77777777" w:rsidTr="003F1D09">
        <w:trPr>
          <w:trHeight w:val="123"/>
        </w:trPr>
        <w:tc>
          <w:tcPr>
            <w:tcW w:w="1701" w:type="dxa"/>
            <w:shd w:val="clear" w:color="auto" w:fill="auto"/>
            <w:vAlign w:val="bottom"/>
            <w:hideMark/>
          </w:tcPr>
          <w:p w14:paraId="7DBCB702"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993" w:type="dxa"/>
            <w:shd w:val="clear" w:color="auto" w:fill="auto"/>
            <w:vAlign w:val="bottom"/>
            <w:hideMark/>
          </w:tcPr>
          <w:p w14:paraId="4BC5CF92"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708" w:type="dxa"/>
            <w:shd w:val="clear" w:color="auto" w:fill="auto"/>
            <w:vAlign w:val="bottom"/>
            <w:hideMark/>
          </w:tcPr>
          <w:p w14:paraId="7EB8FA03"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918" w:type="dxa"/>
            <w:shd w:val="clear" w:color="auto" w:fill="auto"/>
            <w:vAlign w:val="bottom"/>
            <w:hideMark/>
          </w:tcPr>
          <w:p w14:paraId="195C4D76"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1020" w:type="dxa"/>
            <w:vAlign w:val="bottom"/>
          </w:tcPr>
          <w:p w14:paraId="051471D3"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p>
        </w:tc>
        <w:tc>
          <w:tcPr>
            <w:tcW w:w="756" w:type="dxa"/>
            <w:vAlign w:val="bottom"/>
          </w:tcPr>
          <w:p w14:paraId="7C5F69D7" w14:textId="77777777" w:rsidR="00A569BD" w:rsidRPr="00A53AD7" w:rsidRDefault="00A569BD" w:rsidP="003F1D09">
            <w:pPr>
              <w:spacing w:after="0" w:line="240" w:lineRule="auto"/>
              <w:ind w:left="-61" w:right="-127"/>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932" w:type="dxa"/>
            <w:shd w:val="clear" w:color="auto" w:fill="auto"/>
            <w:vAlign w:val="bottom"/>
            <w:hideMark/>
          </w:tcPr>
          <w:p w14:paraId="736C542A" w14:textId="77777777" w:rsidR="00A569BD" w:rsidRPr="00A53AD7" w:rsidRDefault="00A569BD" w:rsidP="003F1D09">
            <w:pPr>
              <w:spacing w:after="0" w:line="240" w:lineRule="auto"/>
              <w:ind w:left="-168"/>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6=4-3</w:t>
            </w:r>
          </w:p>
        </w:tc>
        <w:tc>
          <w:tcPr>
            <w:tcW w:w="910" w:type="dxa"/>
            <w:shd w:val="clear" w:color="auto" w:fill="auto"/>
            <w:vAlign w:val="bottom"/>
            <w:hideMark/>
          </w:tcPr>
          <w:p w14:paraId="1DE5C13A" w14:textId="77777777" w:rsidR="00A569BD" w:rsidRPr="00A53AD7" w:rsidRDefault="00A569BD" w:rsidP="003F1D09">
            <w:pPr>
              <w:spacing w:after="0" w:line="240" w:lineRule="auto"/>
              <w:ind w:left="-108" w:right="-70"/>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7=4/3*100</w:t>
            </w:r>
          </w:p>
        </w:tc>
        <w:tc>
          <w:tcPr>
            <w:tcW w:w="905" w:type="dxa"/>
            <w:shd w:val="clear" w:color="auto" w:fill="auto"/>
            <w:vAlign w:val="bottom"/>
            <w:hideMark/>
          </w:tcPr>
          <w:p w14:paraId="12328C30" w14:textId="77777777" w:rsidR="00A569BD" w:rsidRPr="00A53AD7" w:rsidRDefault="00A569BD" w:rsidP="003F1D09">
            <w:pPr>
              <w:spacing w:after="0" w:line="240" w:lineRule="auto"/>
              <w:ind w:left="-195" w:right="-90"/>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8=4-1</w:t>
            </w:r>
          </w:p>
        </w:tc>
        <w:tc>
          <w:tcPr>
            <w:tcW w:w="710" w:type="dxa"/>
            <w:shd w:val="clear" w:color="auto" w:fill="auto"/>
            <w:vAlign w:val="bottom"/>
            <w:hideMark/>
          </w:tcPr>
          <w:p w14:paraId="3838D72B" w14:textId="77777777" w:rsidR="00A569BD" w:rsidRPr="00A53AD7" w:rsidRDefault="00A569BD" w:rsidP="003F1D0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9=5-2</w:t>
            </w:r>
          </w:p>
        </w:tc>
      </w:tr>
      <w:tr w:rsidR="00A53AD7" w:rsidRPr="00A53AD7" w14:paraId="685A6A35" w14:textId="77777777" w:rsidTr="00A569BD">
        <w:trPr>
          <w:trHeight w:val="255"/>
        </w:trPr>
        <w:tc>
          <w:tcPr>
            <w:tcW w:w="1701" w:type="dxa"/>
            <w:shd w:val="clear" w:color="auto" w:fill="auto"/>
            <w:vAlign w:val="bottom"/>
            <w:hideMark/>
          </w:tcPr>
          <w:p w14:paraId="5117A020" w14:textId="77777777" w:rsidR="00A569BD" w:rsidRPr="00A53AD7" w:rsidRDefault="00A569BD" w:rsidP="003F1D09">
            <w:pPr>
              <w:spacing w:after="0" w:line="240" w:lineRule="auto"/>
              <w:ind w:right="-108"/>
              <w:rPr>
                <w:rFonts w:ascii="Times New Roman" w:eastAsia="Times New Roman" w:hAnsi="Times New Roman"/>
                <w:lang w:eastAsia="ru-RU"/>
              </w:rPr>
            </w:pPr>
            <w:r w:rsidRPr="00A53AD7">
              <w:rPr>
                <w:rFonts w:ascii="Times New Roman" w:eastAsia="Times New Roman" w:hAnsi="Times New Roman"/>
                <w:lang w:eastAsia="ru-RU"/>
              </w:rPr>
              <w:t>Дотации</w:t>
            </w:r>
          </w:p>
        </w:tc>
        <w:tc>
          <w:tcPr>
            <w:tcW w:w="993" w:type="dxa"/>
            <w:shd w:val="clear" w:color="auto" w:fill="auto"/>
            <w:vAlign w:val="bottom"/>
            <w:hideMark/>
          </w:tcPr>
          <w:p w14:paraId="1266DC8C" w14:textId="77777777" w:rsidR="00A569BD" w:rsidRPr="00A53AD7" w:rsidRDefault="00A569BD" w:rsidP="003F1D09">
            <w:pPr>
              <w:spacing w:after="0" w:line="240" w:lineRule="auto"/>
              <w:ind w:left="-111"/>
              <w:jc w:val="right"/>
              <w:rPr>
                <w:rFonts w:ascii="Times New Roman" w:eastAsia="Times New Roman" w:hAnsi="Times New Roman"/>
                <w:lang w:eastAsia="ru-RU"/>
              </w:rPr>
            </w:pPr>
            <w:r w:rsidRPr="00A53AD7">
              <w:rPr>
                <w:rFonts w:ascii="Times New Roman" w:eastAsia="Times New Roman" w:hAnsi="Times New Roman"/>
                <w:lang w:eastAsia="ru-RU"/>
              </w:rPr>
              <w:t>11 808,3</w:t>
            </w:r>
          </w:p>
        </w:tc>
        <w:tc>
          <w:tcPr>
            <w:tcW w:w="708" w:type="dxa"/>
            <w:shd w:val="clear" w:color="auto" w:fill="auto"/>
            <w:vAlign w:val="bottom"/>
            <w:hideMark/>
          </w:tcPr>
          <w:p w14:paraId="0F279013" w14:textId="77777777" w:rsidR="00A569BD" w:rsidRPr="00A53AD7" w:rsidRDefault="00A569BD" w:rsidP="003F1D09">
            <w:pPr>
              <w:spacing w:after="0" w:line="240" w:lineRule="auto"/>
              <w:ind w:left="-129"/>
              <w:jc w:val="right"/>
              <w:rPr>
                <w:rFonts w:ascii="Times New Roman" w:eastAsia="Times New Roman" w:hAnsi="Times New Roman"/>
                <w:lang w:eastAsia="ru-RU"/>
              </w:rPr>
            </w:pPr>
            <w:r w:rsidRPr="00A53AD7">
              <w:rPr>
                <w:rFonts w:ascii="Times New Roman" w:eastAsia="Times New Roman" w:hAnsi="Times New Roman"/>
                <w:lang w:eastAsia="ru-RU"/>
              </w:rPr>
              <w:t>60,9</w:t>
            </w:r>
          </w:p>
        </w:tc>
        <w:tc>
          <w:tcPr>
            <w:tcW w:w="918" w:type="dxa"/>
            <w:shd w:val="clear" w:color="auto" w:fill="auto"/>
            <w:vAlign w:val="bottom"/>
            <w:hideMark/>
          </w:tcPr>
          <w:p w14:paraId="7BCED8A1" w14:textId="77777777" w:rsidR="00A569BD" w:rsidRPr="00A53AD7" w:rsidRDefault="00A569BD" w:rsidP="003F1D09">
            <w:pPr>
              <w:spacing w:after="0" w:line="240" w:lineRule="auto"/>
              <w:ind w:left="-75"/>
              <w:jc w:val="right"/>
              <w:rPr>
                <w:rFonts w:ascii="Times New Roman" w:eastAsia="Times New Roman" w:hAnsi="Times New Roman"/>
                <w:lang w:eastAsia="ru-RU"/>
              </w:rPr>
            </w:pPr>
            <w:r w:rsidRPr="00A53AD7">
              <w:rPr>
                <w:rFonts w:ascii="Times New Roman" w:eastAsia="Times New Roman" w:hAnsi="Times New Roman"/>
                <w:lang w:eastAsia="ru-RU"/>
              </w:rPr>
              <w:t>10 928,2</w:t>
            </w:r>
          </w:p>
        </w:tc>
        <w:tc>
          <w:tcPr>
            <w:tcW w:w="1020" w:type="dxa"/>
            <w:vAlign w:val="bottom"/>
          </w:tcPr>
          <w:p w14:paraId="49598D60"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10 928,2</w:t>
            </w:r>
          </w:p>
        </w:tc>
        <w:tc>
          <w:tcPr>
            <w:tcW w:w="756" w:type="dxa"/>
            <w:vAlign w:val="bottom"/>
          </w:tcPr>
          <w:p w14:paraId="0B918381" w14:textId="77777777" w:rsidR="00A569BD" w:rsidRPr="00A53AD7" w:rsidRDefault="00A569BD" w:rsidP="003F1D09">
            <w:pPr>
              <w:spacing w:after="0" w:line="240" w:lineRule="auto"/>
              <w:ind w:left="-203" w:right="-108"/>
              <w:jc w:val="right"/>
              <w:rPr>
                <w:rFonts w:ascii="Times New Roman" w:eastAsia="Times New Roman" w:hAnsi="Times New Roman"/>
                <w:lang w:eastAsia="ru-RU"/>
              </w:rPr>
            </w:pPr>
            <w:r w:rsidRPr="00A53AD7">
              <w:rPr>
                <w:rFonts w:ascii="Times New Roman" w:eastAsia="Times New Roman" w:hAnsi="Times New Roman"/>
                <w:lang w:eastAsia="ru-RU"/>
              </w:rPr>
              <w:t>41,5</w:t>
            </w:r>
          </w:p>
        </w:tc>
        <w:tc>
          <w:tcPr>
            <w:tcW w:w="932" w:type="dxa"/>
            <w:shd w:val="clear" w:color="auto" w:fill="auto"/>
            <w:vAlign w:val="bottom"/>
            <w:hideMark/>
          </w:tcPr>
          <w:p w14:paraId="686EA75B" w14:textId="77777777" w:rsidR="00A569BD" w:rsidRPr="00A53AD7" w:rsidRDefault="00A569BD" w:rsidP="003F1D09">
            <w:pPr>
              <w:spacing w:after="0" w:line="240" w:lineRule="auto"/>
              <w:ind w:left="-168"/>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910" w:type="dxa"/>
            <w:shd w:val="clear" w:color="auto" w:fill="auto"/>
            <w:vAlign w:val="bottom"/>
            <w:hideMark/>
          </w:tcPr>
          <w:p w14:paraId="78173070" w14:textId="77777777" w:rsidR="00A569BD" w:rsidRPr="00A53AD7" w:rsidRDefault="00A569BD" w:rsidP="003F1D09">
            <w:pPr>
              <w:spacing w:after="0" w:line="240" w:lineRule="auto"/>
              <w:ind w:left="-108" w:right="32"/>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905" w:type="dxa"/>
            <w:shd w:val="clear" w:color="auto" w:fill="auto"/>
            <w:vAlign w:val="bottom"/>
            <w:hideMark/>
          </w:tcPr>
          <w:p w14:paraId="2CAA257C" w14:textId="77777777" w:rsidR="00A569BD" w:rsidRPr="00A53AD7" w:rsidRDefault="00A569BD" w:rsidP="003F1D09">
            <w:pPr>
              <w:spacing w:after="0" w:line="240" w:lineRule="auto"/>
              <w:ind w:left="-195" w:right="32"/>
              <w:jc w:val="right"/>
              <w:rPr>
                <w:rFonts w:ascii="Times New Roman" w:eastAsia="Times New Roman" w:hAnsi="Times New Roman"/>
                <w:lang w:eastAsia="ru-RU"/>
              </w:rPr>
            </w:pPr>
            <w:r w:rsidRPr="00A53AD7">
              <w:rPr>
                <w:rFonts w:ascii="Times New Roman" w:eastAsia="Times New Roman" w:hAnsi="Times New Roman"/>
                <w:lang w:eastAsia="ru-RU"/>
              </w:rPr>
              <w:t>-880,0</w:t>
            </w:r>
          </w:p>
        </w:tc>
        <w:tc>
          <w:tcPr>
            <w:tcW w:w="710" w:type="dxa"/>
            <w:shd w:val="clear" w:color="auto" w:fill="auto"/>
            <w:vAlign w:val="bottom"/>
            <w:hideMark/>
          </w:tcPr>
          <w:p w14:paraId="166CD600"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-19,4</w:t>
            </w:r>
          </w:p>
        </w:tc>
      </w:tr>
      <w:tr w:rsidR="00A53AD7" w:rsidRPr="00A53AD7" w14:paraId="76C19835" w14:textId="77777777" w:rsidTr="00A569BD">
        <w:trPr>
          <w:trHeight w:val="255"/>
        </w:trPr>
        <w:tc>
          <w:tcPr>
            <w:tcW w:w="1701" w:type="dxa"/>
            <w:shd w:val="clear" w:color="auto" w:fill="auto"/>
            <w:vAlign w:val="bottom"/>
            <w:hideMark/>
          </w:tcPr>
          <w:p w14:paraId="6FA95389" w14:textId="77777777" w:rsidR="00A569BD" w:rsidRPr="00A53AD7" w:rsidRDefault="00A569BD" w:rsidP="003F1D09">
            <w:pPr>
              <w:spacing w:after="0" w:line="240" w:lineRule="auto"/>
              <w:ind w:right="-108"/>
              <w:rPr>
                <w:rFonts w:ascii="Times New Roman" w:eastAsia="Times New Roman" w:hAnsi="Times New Roman"/>
                <w:lang w:eastAsia="ru-RU"/>
              </w:rPr>
            </w:pPr>
            <w:r w:rsidRPr="00A53AD7">
              <w:rPr>
                <w:rFonts w:ascii="Times New Roman" w:eastAsia="Times New Roman" w:hAnsi="Times New Roman"/>
                <w:lang w:eastAsia="ru-RU"/>
              </w:rPr>
              <w:t>Субсидии</w:t>
            </w:r>
          </w:p>
        </w:tc>
        <w:tc>
          <w:tcPr>
            <w:tcW w:w="993" w:type="dxa"/>
            <w:shd w:val="clear" w:color="auto" w:fill="auto"/>
            <w:vAlign w:val="bottom"/>
            <w:hideMark/>
          </w:tcPr>
          <w:p w14:paraId="4DF69845" w14:textId="77777777" w:rsidR="00A569BD" w:rsidRPr="00A53AD7" w:rsidRDefault="00A569BD" w:rsidP="003F1D09">
            <w:pPr>
              <w:spacing w:after="0" w:line="240" w:lineRule="auto"/>
              <w:ind w:left="-111"/>
              <w:jc w:val="right"/>
              <w:rPr>
                <w:rFonts w:ascii="Times New Roman" w:eastAsia="Times New Roman" w:hAnsi="Times New Roman"/>
                <w:lang w:eastAsia="ru-RU"/>
              </w:rPr>
            </w:pPr>
            <w:r w:rsidRPr="00A53AD7">
              <w:rPr>
                <w:rFonts w:ascii="Times New Roman" w:eastAsia="Times New Roman" w:hAnsi="Times New Roman"/>
                <w:lang w:eastAsia="ru-RU"/>
              </w:rPr>
              <w:t>2 920,6</w:t>
            </w:r>
          </w:p>
        </w:tc>
        <w:tc>
          <w:tcPr>
            <w:tcW w:w="708" w:type="dxa"/>
            <w:shd w:val="clear" w:color="auto" w:fill="auto"/>
            <w:vAlign w:val="bottom"/>
            <w:hideMark/>
          </w:tcPr>
          <w:p w14:paraId="083C5F51" w14:textId="77777777" w:rsidR="00A569BD" w:rsidRPr="00A53AD7" w:rsidRDefault="00A569BD" w:rsidP="003F1D09">
            <w:pPr>
              <w:spacing w:after="0" w:line="240" w:lineRule="auto"/>
              <w:ind w:left="-129"/>
              <w:jc w:val="right"/>
              <w:rPr>
                <w:rFonts w:ascii="Times New Roman" w:eastAsia="Times New Roman" w:hAnsi="Times New Roman"/>
                <w:lang w:eastAsia="ru-RU"/>
              </w:rPr>
            </w:pPr>
            <w:r w:rsidRPr="00A53AD7">
              <w:rPr>
                <w:rFonts w:ascii="Times New Roman" w:eastAsia="Times New Roman" w:hAnsi="Times New Roman"/>
                <w:lang w:eastAsia="ru-RU"/>
              </w:rPr>
              <w:t>15,1</w:t>
            </w:r>
          </w:p>
        </w:tc>
        <w:tc>
          <w:tcPr>
            <w:tcW w:w="918" w:type="dxa"/>
            <w:shd w:val="clear" w:color="auto" w:fill="auto"/>
            <w:vAlign w:val="bottom"/>
            <w:hideMark/>
          </w:tcPr>
          <w:p w14:paraId="0F216E83" w14:textId="77777777" w:rsidR="00A569BD" w:rsidRPr="00A53AD7" w:rsidRDefault="00A569BD" w:rsidP="003F1D09">
            <w:pPr>
              <w:spacing w:after="0" w:line="240" w:lineRule="auto"/>
              <w:ind w:left="-75"/>
              <w:jc w:val="right"/>
              <w:rPr>
                <w:rFonts w:ascii="Times New Roman" w:eastAsia="Times New Roman" w:hAnsi="Times New Roman"/>
                <w:lang w:eastAsia="ru-RU"/>
              </w:rPr>
            </w:pPr>
            <w:r w:rsidRPr="00A53AD7">
              <w:rPr>
                <w:rFonts w:ascii="Times New Roman" w:eastAsia="Times New Roman" w:hAnsi="Times New Roman"/>
                <w:lang w:eastAsia="ru-RU"/>
              </w:rPr>
              <w:t>7 057,6</w:t>
            </w:r>
          </w:p>
        </w:tc>
        <w:tc>
          <w:tcPr>
            <w:tcW w:w="1020" w:type="dxa"/>
            <w:vAlign w:val="bottom"/>
          </w:tcPr>
          <w:p w14:paraId="10994107"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5 256,0</w:t>
            </w:r>
          </w:p>
        </w:tc>
        <w:tc>
          <w:tcPr>
            <w:tcW w:w="756" w:type="dxa"/>
            <w:vAlign w:val="bottom"/>
          </w:tcPr>
          <w:p w14:paraId="62606E2D" w14:textId="77777777" w:rsidR="00A569BD" w:rsidRPr="00A53AD7" w:rsidRDefault="00A569BD" w:rsidP="003F1D09">
            <w:pPr>
              <w:spacing w:after="0" w:line="240" w:lineRule="auto"/>
              <w:ind w:left="-203" w:right="-108"/>
              <w:jc w:val="right"/>
              <w:rPr>
                <w:rFonts w:ascii="Times New Roman" w:eastAsia="Times New Roman" w:hAnsi="Times New Roman"/>
                <w:lang w:eastAsia="ru-RU"/>
              </w:rPr>
            </w:pPr>
            <w:r w:rsidRPr="00A53AD7">
              <w:rPr>
                <w:rFonts w:ascii="Times New Roman" w:eastAsia="Times New Roman" w:hAnsi="Times New Roman"/>
                <w:lang w:eastAsia="ru-RU"/>
              </w:rPr>
              <w:t>20,0</w:t>
            </w:r>
          </w:p>
        </w:tc>
        <w:tc>
          <w:tcPr>
            <w:tcW w:w="932" w:type="dxa"/>
            <w:shd w:val="clear" w:color="auto" w:fill="auto"/>
            <w:vAlign w:val="bottom"/>
            <w:hideMark/>
          </w:tcPr>
          <w:p w14:paraId="286F9CE0" w14:textId="77777777" w:rsidR="00A569BD" w:rsidRPr="00A53AD7" w:rsidRDefault="00A569BD" w:rsidP="003F1D09">
            <w:pPr>
              <w:spacing w:after="0" w:line="240" w:lineRule="auto"/>
              <w:ind w:left="-168"/>
              <w:jc w:val="right"/>
              <w:rPr>
                <w:rFonts w:ascii="Times New Roman" w:eastAsia="Times New Roman" w:hAnsi="Times New Roman"/>
                <w:lang w:eastAsia="ru-RU"/>
              </w:rPr>
            </w:pPr>
            <w:r w:rsidRPr="00A53AD7">
              <w:rPr>
                <w:rFonts w:ascii="Times New Roman" w:eastAsia="Times New Roman" w:hAnsi="Times New Roman"/>
                <w:lang w:eastAsia="ru-RU"/>
              </w:rPr>
              <w:t>-1 801,6</w:t>
            </w:r>
          </w:p>
        </w:tc>
        <w:tc>
          <w:tcPr>
            <w:tcW w:w="910" w:type="dxa"/>
            <w:shd w:val="clear" w:color="auto" w:fill="auto"/>
            <w:vAlign w:val="bottom"/>
            <w:hideMark/>
          </w:tcPr>
          <w:p w14:paraId="5CE1FFC3" w14:textId="77777777" w:rsidR="00A569BD" w:rsidRPr="00A53AD7" w:rsidRDefault="00A569BD" w:rsidP="003F1D09">
            <w:pPr>
              <w:spacing w:after="0" w:line="240" w:lineRule="auto"/>
              <w:ind w:left="-108" w:right="32"/>
              <w:jc w:val="right"/>
              <w:rPr>
                <w:rFonts w:ascii="Times New Roman" w:eastAsia="Times New Roman" w:hAnsi="Times New Roman"/>
                <w:lang w:eastAsia="ru-RU"/>
              </w:rPr>
            </w:pPr>
            <w:r w:rsidRPr="00A53AD7">
              <w:rPr>
                <w:rFonts w:ascii="Times New Roman" w:eastAsia="Times New Roman" w:hAnsi="Times New Roman"/>
                <w:lang w:eastAsia="ru-RU"/>
              </w:rPr>
              <w:t>-25,5</w:t>
            </w:r>
          </w:p>
        </w:tc>
        <w:tc>
          <w:tcPr>
            <w:tcW w:w="905" w:type="dxa"/>
            <w:shd w:val="clear" w:color="auto" w:fill="auto"/>
            <w:vAlign w:val="bottom"/>
            <w:hideMark/>
          </w:tcPr>
          <w:p w14:paraId="651DB321" w14:textId="77777777" w:rsidR="00A569BD" w:rsidRPr="00A53AD7" w:rsidRDefault="00A569BD" w:rsidP="003F1D09">
            <w:pPr>
              <w:spacing w:after="0" w:line="240" w:lineRule="auto"/>
              <w:ind w:left="-195" w:right="32"/>
              <w:jc w:val="right"/>
              <w:rPr>
                <w:rFonts w:ascii="Times New Roman" w:eastAsia="Times New Roman" w:hAnsi="Times New Roman"/>
                <w:lang w:eastAsia="ru-RU"/>
              </w:rPr>
            </w:pPr>
            <w:r w:rsidRPr="00A53AD7">
              <w:rPr>
                <w:rFonts w:ascii="Times New Roman" w:eastAsia="Times New Roman" w:hAnsi="Times New Roman"/>
                <w:lang w:eastAsia="ru-RU"/>
              </w:rPr>
              <w:t>2 335,4</w:t>
            </w:r>
          </w:p>
        </w:tc>
        <w:tc>
          <w:tcPr>
            <w:tcW w:w="710" w:type="dxa"/>
            <w:shd w:val="clear" w:color="auto" w:fill="auto"/>
            <w:vAlign w:val="bottom"/>
            <w:hideMark/>
          </w:tcPr>
          <w:p w14:paraId="3F6DEA48"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4,9</w:t>
            </w:r>
          </w:p>
        </w:tc>
      </w:tr>
      <w:tr w:rsidR="00A53AD7" w:rsidRPr="00A53AD7" w14:paraId="091008D5" w14:textId="77777777" w:rsidTr="00A569BD">
        <w:trPr>
          <w:trHeight w:val="255"/>
        </w:trPr>
        <w:tc>
          <w:tcPr>
            <w:tcW w:w="1701" w:type="dxa"/>
            <w:shd w:val="clear" w:color="auto" w:fill="auto"/>
            <w:vAlign w:val="bottom"/>
            <w:hideMark/>
          </w:tcPr>
          <w:p w14:paraId="7BF9111A" w14:textId="77777777" w:rsidR="00A569BD" w:rsidRPr="00A53AD7" w:rsidRDefault="00A569BD" w:rsidP="003F1D09">
            <w:pPr>
              <w:spacing w:after="0" w:line="240" w:lineRule="auto"/>
              <w:ind w:right="-108"/>
              <w:rPr>
                <w:rFonts w:ascii="Times New Roman" w:eastAsia="Times New Roman" w:hAnsi="Times New Roman"/>
                <w:lang w:eastAsia="ru-RU"/>
              </w:rPr>
            </w:pPr>
            <w:r w:rsidRPr="00A53AD7">
              <w:rPr>
                <w:rFonts w:ascii="Times New Roman" w:eastAsia="Times New Roman" w:hAnsi="Times New Roman"/>
                <w:lang w:eastAsia="ru-RU"/>
              </w:rPr>
              <w:t>Субвенции</w:t>
            </w:r>
          </w:p>
        </w:tc>
        <w:tc>
          <w:tcPr>
            <w:tcW w:w="993" w:type="dxa"/>
            <w:shd w:val="clear" w:color="auto" w:fill="auto"/>
            <w:vAlign w:val="bottom"/>
            <w:hideMark/>
          </w:tcPr>
          <w:p w14:paraId="1D12095C" w14:textId="77777777" w:rsidR="00A569BD" w:rsidRPr="00A53AD7" w:rsidRDefault="00A569BD" w:rsidP="003F1D09">
            <w:pPr>
              <w:spacing w:after="0" w:line="240" w:lineRule="auto"/>
              <w:ind w:left="-111"/>
              <w:jc w:val="right"/>
              <w:rPr>
                <w:rFonts w:ascii="Times New Roman" w:eastAsia="Times New Roman" w:hAnsi="Times New Roman"/>
                <w:lang w:eastAsia="ru-RU"/>
              </w:rPr>
            </w:pPr>
            <w:r w:rsidRPr="00A53AD7">
              <w:rPr>
                <w:rFonts w:ascii="Times New Roman" w:eastAsia="Times New Roman" w:hAnsi="Times New Roman"/>
                <w:lang w:eastAsia="ru-RU"/>
              </w:rPr>
              <w:t>3 283,2</w:t>
            </w:r>
          </w:p>
        </w:tc>
        <w:tc>
          <w:tcPr>
            <w:tcW w:w="708" w:type="dxa"/>
            <w:shd w:val="clear" w:color="auto" w:fill="auto"/>
            <w:vAlign w:val="bottom"/>
            <w:hideMark/>
          </w:tcPr>
          <w:p w14:paraId="57FDCC16" w14:textId="77777777" w:rsidR="00A569BD" w:rsidRPr="00A53AD7" w:rsidRDefault="00A569BD" w:rsidP="003F1D09">
            <w:pPr>
              <w:spacing w:after="0" w:line="240" w:lineRule="auto"/>
              <w:ind w:left="-129"/>
              <w:jc w:val="right"/>
              <w:rPr>
                <w:rFonts w:ascii="Times New Roman" w:eastAsia="Times New Roman" w:hAnsi="Times New Roman"/>
                <w:lang w:eastAsia="ru-RU"/>
              </w:rPr>
            </w:pPr>
            <w:r w:rsidRPr="00A53AD7">
              <w:rPr>
                <w:rFonts w:ascii="Times New Roman" w:eastAsia="Times New Roman" w:hAnsi="Times New Roman"/>
                <w:lang w:eastAsia="ru-RU"/>
              </w:rPr>
              <w:t>16,9</w:t>
            </w:r>
          </w:p>
        </w:tc>
        <w:tc>
          <w:tcPr>
            <w:tcW w:w="918" w:type="dxa"/>
            <w:shd w:val="clear" w:color="auto" w:fill="auto"/>
            <w:vAlign w:val="bottom"/>
            <w:hideMark/>
          </w:tcPr>
          <w:p w14:paraId="3E8B54A3" w14:textId="77777777" w:rsidR="00A569BD" w:rsidRPr="00A53AD7" w:rsidRDefault="00A569BD" w:rsidP="003F1D09">
            <w:pPr>
              <w:spacing w:after="0" w:line="240" w:lineRule="auto"/>
              <w:ind w:left="-75"/>
              <w:jc w:val="right"/>
              <w:rPr>
                <w:rFonts w:ascii="Times New Roman" w:eastAsia="Times New Roman" w:hAnsi="Times New Roman"/>
                <w:lang w:eastAsia="ru-RU"/>
              </w:rPr>
            </w:pPr>
            <w:r w:rsidRPr="00A53AD7">
              <w:rPr>
                <w:rFonts w:ascii="Times New Roman" w:eastAsia="Times New Roman" w:hAnsi="Times New Roman"/>
                <w:lang w:eastAsia="ru-RU"/>
              </w:rPr>
              <w:t>3 883,3</w:t>
            </w:r>
          </w:p>
        </w:tc>
        <w:tc>
          <w:tcPr>
            <w:tcW w:w="1020" w:type="dxa"/>
            <w:vAlign w:val="bottom"/>
          </w:tcPr>
          <w:p w14:paraId="023AD998"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3 824,6</w:t>
            </w:r>
          </w:p>
        </w:tc>
        <w:tc>
          <w:tcPr>
            <w:tcW w:w="756" w:type="dxa"/>
            <w:vAlign w:val="bottom"/>
          </w:tcPr>
          <w:p w14:paraId="26BA50AC" w14:textId="77777777" w:rsidR="00A569BD" w:rsidRPr="00A53AD7" w:rsidRDefault="00A569BD" w:rsidP="003F1D09">
            <w:pPr>
              <w:spacing w:after="0" w:line="240" w:lineRule="auto"/>
              <w:ind w:left="-203" w:right="-108"/>
              <w:jc w:val="right"/>
              <w:rPr>
                <w:rFonts w:ascii="Times New Roman" w:eastAsia="Times New Roman" w:hAnsi="Times New Roman"/>
                <w:lang w:eastAsia="ru-RU"/>
              </w:rPr>
            </w:pPr>
            <w:r w:rsidRPr="00A53AD7">
              <w:rPr>
                <w:rFonts w:ascii="Times New Roman" w:eastAsia="Times New Roman" w:hAnsi="Times New Roman"/>
                <w:lang w:eastAsia="ru-RU"/>
              </w:rPr>
              <w:t>14,5</w:t>
            </w:r>
          </w:p>
        </w:tc>
        <w:tc>
          <w:tcPr>
            <w:tcW w:w="932" w:type="dxa"/>
            <w:shd w:val="clear" w:color="auto" w:fill="auto"/>
            <w:vAlign w:val="bottom"/>
            <w:hideMark/>
          </w:tcPr>
          <w:p w14:paraId="54B58FA8" w14:textId="77777777" w:rsidR="00A569BD" w:rsidRPr="00A53AD7" w:rsidRDefault="00A569BD" w:rsidP="003F1D09">
            <w:pPr>
              <w:spacing w:after="0" w:line="240" w:lineRule="auto"/>
              <w:ind w:left="-168"/>
              <w:jc w:val="right"/>
              <w:rPr>
                <w:rFonts w:ascii="Times New Roman" w:eastAsia="Times New Roman" w:hAnsi="Times New Roman"/>
                <w:lang w:eastAsia="ru-RU"/>
              </w:rPr>
            </w:pPr>
            <w:r w:rsidRPr="00A53AD7">
              <w:rPr>
                <w:rFonts w:ascii="Times New Roman" w:eastAsia="Times New Roman" w:hAnsi="Times New Roman"/>
                <w:lang w:eastAsia="ru-RU"/>
              </w:rPr>
              <w:t>-58,6</w:t>
            </w:r>
          </w:p>
        </w:tc>
        <w:tc>
          <w:tcPr>
            <w:tcW w:w="910" w:type="dxa"/>
            <w:shd w:val="clear" w:color="auto" w:fill="auto"/>
            <w:vAlign w:val="bottom"/>
            <w:hideMark/>
          </w:tcPr>
          <w:p w14:paraId="54550136" w14:textId="77777777" w:rsidR="00A569BD" w:rsidRPr="00A53AD7" w:rsidRDefault="00A569BD" w:rsidP="003F1D09">
            <w:pPr>
              <w:spacing w:after="0" w:line="240" w:lineRule="auto"/>
              <w:ind w:left="-108" w:right="32"/>
              <w:jc w:val="right"/>
              <w:rPr>
                <w:rFonts w:ascii="Times New Roman" w:eastAsia="Times New Roman" w:hAnsi="Times New Roman"/>
                <w:lang w:eastAsia="ru-RU"/>
              </w:rPr>
            </w:pPr>
            <w:r w:rsidRPr="00A53AD7">
              <w:rPr>
                <w:rFonts w:ascii="Times New Roman" w:eastAsia="Times New Roman" w:hAnsi="Times New Roman"/>
                <w:lang w:eastAsia="ru-RU"/>
              </w:rPr>
              <w:t>-1,5</w:t>
            </w:r>
          </w:p>
        </w:tc>
        <w:tc>
          <w:tcPr>
            <w:tcW w:w="905" w:type="dxa"/>
            <w:shd w:val="clear" w:color="auto" w:fill="auto"/>
            <w:vAlign w:val="bottom"/>
            <w:hideMark/>
          </w:tcPr>
          <w:p w14:paraId="5C1C6502" w14:textId="77777777" w:rsidR="00A569BD" w:rsidRPr="00A53AD7" w:rsidRDefault="00A569BD" w:rsidP="003F1D09">
            <w:pPr>
              <w:spacing w:after="0" w:line="240" w:lineRule="auto"/>
              <w:ind w:left="-195" w:right="32"/>
              <w:jc w:val="right"/>
              <w:rPr>
                <w:rFonts w:ascii="Times New Roman" w:eastAsia="Times New Roman" w:hAnsi="Times New Roman"/>
                <w:lang w:eastAsia="ru-RU"/>
              </w:rPr>
            </w:pPr>
            <w:r w:rsidRPr="00A53AD7">
              <w:rPr>
                <w:rFonts w:ascii="Times New Roman" w:eastAsia="Times New Roman" w:hAnsi="Times New Roman"/>
                <w:lang w:eastAsia="ru-RU"/>
              </w:rPr>
              <w:t>541,5</w:t>
            </w:r>
          </w:p>
        </w:tc>
        <w:tc>
          <w:tcPr>
            <w:tcW w:w="710" w:type="dxa"/>
            <w:shd w:val="clear" w:color="auto" w:fill="auto"/>
            <w:vAlign w:val="bottom"/>
            <w:hideMark/>
          </w:tcPr>
          <w:p w14:paraId="485BE940"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w:t>
            </w:r>
          </w:p>
        </w:tc>
      </w:tr>
      <w:tr w:rsidR="00A53AD7" w:rsidRPr="00A53AD7" w14:paraId="69BF4002" w14:textId="77777777" w:rsidTr="003F1D09">
        <w:trPr>
          <w:trHeight w:val="825"/>
        </w:trPr>
        <w:tc>
          <w:tcPr>
            <w:tcW w:w="1701" w:type="dxa"/>
            <w:shd w:val="clear" w:color="auto" w:fill="auto"/>
            <w:vAlign w:val="bottom"/>
            <w:hideMark/>
          </w:tcPr>
          <w:p w14:paraId="472F78EB" w14:textId="77777777" w:rsidR="00A569BD" w:rsidRPr="00A53AD7" w:rsidRDefault="00A569BD" w:rsidP="003F1D09">
            <w:pPr>
              <w:spacing w:after="0" w:line="240" w:lineRule="auto"/>
              <w:ind w:right="-108"/>
              <w:rPr>
                <w:rFonts w:ascii="Times New Roman" w:eastAsia="Times New Roman" w:hAnsi="Times New Roman"/>
                <w:lang w:eastAsia="ru-RU"/>
              </w:rPr>
            </w:pPr>
            <w:r w:rsidRPr="00A53AD7">
              <w:rPr>
                <w:rFonts w:ascii="Times New Roman" w:eastAsia="Times New Roman" w:hAnsi="Times New Roman"/>
                <w:lang w:eastAsia="ru-RU"/>
              </w:rPr>
              <w:t>Иные межбюджетные трансферты</w:t>
            </w:r>
          </w:p>
        </w:tc>
        <w:tc>
          <w:tcPr>
            <w:tcW w:w="993" w:type="dxa"/>
            <w:shd w:val="clear" w:color="auto" w:fill="auto"/>
            <w:vAlign w:val="bottom"/>
            <w:hideMark/>
          </w:tcPr>
          <w:p w14:paraId="033EA94A" w14:textId="77777777" w:rsidR="00A569BD" w:rsidRPr="00A53AD7" w:rsidRDefault="00A569BD" w:rsidP="003F1D09">
            <w:pPr>
              <w:spacing w:after="0" w:line="240" w:lineRule="auto"/>
              <w:ind w:left="-111"/>
              <w:jc w:val="right"/>
              <w:rPr>
                <w:rFonts w:ascii="Times New Roman" w:eastAsia="Times New Roman" w:hAnsi="Times New Roman"/>
                <w:lang w:eastAsia="ru-RU"/>
              </w:rPr>
            </w:pPr>
            <w:r w:rsidRPr="00A53AD7">
              <w:rPr>
                <w:rFonts w:ascii="Times New Roman" w:eastAsia="Times New Roman" w:hAnsi="Times New Roman"/>
                <w:lang w:eastAsia="ru-RU"/>
              </w:rPr>
              <w:t>1 376,4</w:t>
            </w:r>
          </w:p>
        </w:tc>
        <w:tc>
          <w:tcPr>
            <w:tcW w:w="708" w:type="dxa"/>
            <w:shd w:val="clear" w:color="auto" w:fill="auto"/>
            <w:vAlign w:val="bottom"/>
            <w:hideMark/>
          </w:tcPr>
          <w:p w14:paraId="15F12E2A" w14:textId="77777777" w:rsidR="00A569BD" w:rsidRPr="00A53AD7" w:rsidRDefault="00A569BD" w:rsidP="003F1D09">
            <w:pPr>
              <w:spacing w:after="0" w:line="240" w:lineRule="auto"/>
              <w:ind w:left="-129"/>
              <w:jc w:val="right"/>
              <w:rPr>
                <w:rFonts w:ascii="Times New Roman" w:eastAsia="Times New Roman" w:hAnsi="Times New Roman"/>
                <w:lang w:eastAsia="ru-RU"/>
              </w:rPr>
            </w:pPr>
            <w:r w:rsidRPr="00A53AD7">
              <w:rPr>
                <w:rFonts w:ascii="Times New Roman" w:eastAsia="Times New Roman" w:hAnsi="Times New Roman"/>
                <w:lang w:eastAsia="ru-RU"/>
              </w:rPr>
              <w:t>7,1</w:t>
            </w:r>
          </w:p>
        </w:tc>
        <w:tc>
          <w:tcPr>
            <w:tcW w:w="918" w:type="dxa"/>
            <w:shd w:val="clear" w:color="auto" w:fill="auto"/>
            <w:vAlign w:val="bottom"/>
            <w:hideMark/>
          </w:tcPr>
          <w:p w14:paraId="6084B02A" w14:textId="77777777" w:rsidR="00A569BD" w:rsidRPr="00A53AD7" w:rsidRDefault="00A569BD" w:rsidP="003F1D09">
            <w:pPr>
              <w:spacing w:after="0" w:line="240" w:lineRule="auto"/>
              <w:ind w:left="-75"/>
              <w:jc w:val="right"/>
              <w:rPr>
                <w:rFonts w:ascii="Times New Roman" w:eastAsia="Times New Roman" w:hAnsi="Times New Roman"/>
                <w:lang w:eastAsia="ru-RU"/>
              </w:rPr>
            </w:pPr>
            <w:r w:rsidRPr="00A53AD7">
              <w:rPr>
                <w:rFonts w:ascii="Times New Roman" w:eastAsia="Times New Roman" w:hAnsi="Times New Roman"/>
                <w:lang w:eastAsia="ru-RU"/>
              </w:rPr>
              <w:t>6 928,8</w:t>
            </w:r>
          </w:p>
        </w:tc>
        <w:tc>
          <w:tcPr>
            <w:tcW w:w="1020" w:type="dxa"/>
            <w:vAlign w:val="bottom"/>
          </w:tcPr>
          <w:p w14:paraId="5D6720DC"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6 324,4</w:t>
            </w:r>
          </w:p>
        </w:tc>
        <w:tc>
          <w:tcPr>
            <w:tcW w:w="756" w:type="dxa"/>
            <w:vAlign w:val="bottom"/>
          </w:tcPr>
          <w:p w14:paraId="58647D73" w14:textId="77777777" w:rsidR="00A569BD" w:rsidRPr="00A53AD7" w:rsidRDefault="00A569BD" w:rsidP="003F1D09">
            <w:pPr>
              <w:spacing w:after="0" w:line="240" w:lineRule="auto"/>
              <w:ind w:left="-203" w:right="-108"/>
              <w:jc w:val="right"/>
              <w:rPr>
                <w:rFonts w:ascii="Times New Roman" w:eastAsia="Times New Roman" w:hAnsi="Times New Roman"/>
                <w:lang w:eastAsia="ru-RU"/>
              </w:rPr>
            </w:pPr>
            <w:r w:rsidRPr="00A53AD7">
              <w:rPr>
                <w:rFonts w:ascii="Times New Roman" w:eastAsia="Times New Roman" w:hAnsi="Times New Roman"/>
                <w:lang w:eastAsia="ru-RU"/>
              </w:rPr>
              <w:t>24,0</w:t>
            </w:r>
          </w:p>
        </w:tc>
        <w:tc>
          <w:tcPr>
            <w:tcW w:w="932" w:type="dxa"/>
            <w:shd w:val="clear" w:color="auto" w:fill="auto"/>
            <w:vAlign w:val="bottom"/>
            <w:hideMark/>
          </w:tcPr>
          <w:p w14:paraId="222D8357" w14:textId="77777777" w:rsidR="00A569BD" w:rsidRPr="00A53AD7" w:rsidRDefault="00A569BD" w:rsidP="003F1D09">
            <w:pPr>
              <w:spacing w:after="0" w:line="240" w:lineRule="auto"/>
              <w:ind w:left="-168"/>
              <w:jc w:val="right"/>
              <w:rPr>
                <w:rFonts w:ascii="Times New Roman" w:eastAsia="Times New Roman" w:hAnsi="Times New Roman"/>
                <w:lang w:eastAsia="ru-RU"/>
              </w:rPr>
            </w:pPr>
            <w:r w:rsidRPr="00A53AD7">
              <w:rPr>
                <w:rFonts w:ascii="Times New Roman" w:eastAsia="Times New Roman" w:hAnsi="Times New Roman"/>
                <w:lang w:eastAsia="ru-RU"/>
              </w:rPr>
              <w:t>-604,4</w:t>
            </w:r>
          </w:p>
        </w:tc>
        <w:tc>
          <w:tcPr>
            <w:tcW w:w="910" w:type="dxa"/>
            <w:shd w:val="clear" w:color="auto" w:fill="auto"/>
            <w:vAlign w:val="bottom"/>
            <w:hideMark/>
          </w:tcPr>
          <w:p w14:paraId="47145CEC" w14:textId="77777777" w:rsidR="00A569BD" w:rsidRPr="00A53AD7" w:rsidRDefault="00A569BD" w:rsidP="003F1D09">
            <w:pPr>
              <w:spacing w:after="0" w:line="240" w:lineRule="auto"/>
              <w:ind w:left="-108" w:right="32"/>
              <w:jc w:val="right"/>
              <w:rPr>
                <w:rFonts w:ascii="Times New Roman" w:eastAsia="Times New Roman" w:hAnsi="Times New Roman"/>
                <w:lang w:eastAsia="ru-RU"/>
              </w:rPr>
            </w:pPr>
            <w:r w:rsidRPr="00A53AD7">
              <w:rPr>
                <w:rFonts w:ascii="Times New Roman" w:eastAsia="Times New Roman" w:hAnsi="Times New Roman"/>
                <w:lang w:eastAsia="ru-RU"/>
              </w:rPr>
              <w:t>-8,7</w:t>
            </w:r>
          </w:p>
        </w:tc>
        <w:tc>
          <w:tcPr>
            <w:tcW w:w="905" w:type="dxa"/>
            <w:shd w:val="clear" w:color="auto" w:fill="auto"/>
            <w:vAlign w:val="bottom"/>
            <w:hideMark/>
          </w:tcPr>
          <w:p w14:paraId="733DAC0A" w14:textId="77777777" w:rsidR="00A569BD" w:rsidRPr="00A53AD7" w:rsidRDefault="00A569BD" w:rsidP="003F1D09">
            <w:pPr>
              <w:spacing w:after="0" w:line="240" w:lineRule="auto"/>
              <w:ind w:left="-195" w:right="32"/>
              <w:jc w:val="right"/>
              <w:rPr>
                <w:rFonts w:ascii="Times New Roman" w:eastAsia="Times New Roman" w:hAnsi="Times New Roman"/>
                <w:lang w:eastAsia="ru-RU"/>
              </w:rPr>
            </w:pPr>
            <w:r w:rsidRPr="00A53AD7">
              <w:rPr>
                <w:rFonts w:ascii="Times New Roman" w:eastAsia="Times New Roman" w:hAnsi="Times New Roman"/>
                <w:lang w:eastAsia="ru-RU"/>
              </w:rPr>
              <w:t>4 948,0</w:t>
            </w:r>
          </w:p>
        </w:tc>
        <w:tc>
          <w:tcPr>
            <w:tcW w:w="710" w:type="dxa"/>
            <w:shd w:val="clear" w:color="auto" w:fill="auto"/>
            <w:vAlign w:val="bottom"/>
            <w:hideMark/>
          </w:tcPr>
          <w:p w14:paraId="1FFDE176"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16,9</w:t>
            </w:r>
          </w:p>
        </w:tc>
      </w:tr>
      <w:tr w:rsidR="00A53AD7" w:rsidRPr="00A53AD7" w14:paraId="1AD06737" w14:textId="77777777" w:rsidTr="00A569BD">
        <w:trPr>
          <w:trHeight w:val="255"/>
        </w:trPr>
        <w:tc>
          <w:tcPr>
            <w:tcW w:w="1701" w:type="dxa"/>
            <w:shd w:val="clear" w:color="auto" w:fill="auto"/>
            <w:vAlign w:val="bottom"/>
            <w:hideMark/>
          </w:tcPr>
          <w:p w14:paraId="69078C41" w14:textId="77777777" w:rsidR="00A569BD" w:rsidRPr="00A53AD7" w:rsidRDefault="00A569BD" w:rsidP="003F1D0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993" w:type="dxa"/>
            <w:shd w:val="clear" w:color="auto" w:fill="auto"/>
            <w:vAlign w:val="bottom"/>
            <w:hideMark/>
          </w:tcPr>
          <w:p w14:paraId="619C794C" w14:textId="77777777" w:rsidR="00A569BD" w:rsidRPr="00A53AD7" w:rsidRDefault="00A569BD" w:rsidP="003F1D09">
            <w:pPr>
              <w:spacing w:after="0" w:line="240" w:lineRule="auto"/>
              <w:ind w:left="-111"/>
              <w:jc w:val="right"/>
              <w:rPr>
                <w:rFonts w:ascii="Times New Roman" w:eastAsia="Times New Roman" w:hAnsi="Times New Roman"/>
                <w:lang w:eastAsia="ru-RU"/>
              </w:rPr>
            </w:pPr>
            <w:r w:rsidRPr="00A53AD7">
              <w:rPr>
                <w:rFonts w:ascii="Times New Roman" w:eastAsia="Times New Roman" w:hAnsi="Times New Roman"/>
                <w:lang w:eastAsia="ru-RU"/>
              </w:rPr>
              <w:t>19 388,4</w:t>
            </w:r>
          </w:p>
        </w:tc>
        <w:tc>
          <w:tcPr>
            <w:tcW w:w="708" w:type="dxa"/>
            <w:shd w:val="clear" w:color="auto" w:fill="auto"/>
            <w:vAlign w:val="bottom"/>
            <w:hideMark/>
          </w:tcPr>
          <w:p w14:paraId="4AE630BA" w14:textId="77777777" w:rsidR="00A569BD" w:rsidRPr="00A53AD7" w:rsidRDefault="00A569BD" w:rsidP="003F1D09">
            <w:pPr>
              <w:spacing w:after="0" w:line="240" w:lineRule="auto"/>
              <w:ind w:left="-129"/>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918" w:type="dxa"/>
            <w:shd w:val="clear" w:color="auto" w:fill="auto"/>
            <w:vAlign w:val="bottom"/>
            <w:hideMark/>
          </w:tcPr>
          <w:p w14:paraId="7BE81A6C" w14:textId="77777777" w:rsidR="00A569BD" w:rsidRPr="00A53AD7" w:rsidRDefault="00A569BD" w:rsidP="003F1D09">
            <w:pPr>
              <w:spacing w:after="0" w:line="240" w:lineRule="auto"/>
              <w:ind w:left="-75"/>
              <w:jc w:val="right"/>
              <w:rPr>
                <w:rFonts w:ascii="Times New Roman" w:eastAsia="Times New Roman" w:hAnsi="Times New Roman"/>
                <w:lang w:eastAsia="ru-RU"/>
              </w:rPr>
            </w:pPr>
            <w:r w:rsidRPr="00A53AD7">
              <w:rPr>
                <w:rFonts w:ascii="Times New Roman" w:eastAsia="Times New Roman" w:hAnsi="Times New Roman"/>
                <w:lang w:eastAsia="ru-RU"/>
              </w:rPr>
              <w:t>28 797,9</w:t>
            </w:r>
          </w:p>
        </w:tc>
        <w:tc>
          <w:tcPr>
            <w:tcW w:w="1020" w:type="dxa"/>
            <w:vAlign w:val="bottom"/>
          </w:tcPr>
          <w:p w14:paraId="124A8CAF"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26 333,2</w:t>
            </w:r>
          </w:p>
        </w:tc>
        <w:tc>
          <w:tcPr>
            <w:tcW w:w="756" w:type="dxa"/>
            <w:vAlign w:val="bottom"/>
          </w:tcPr>
          <w:p w14:paraId="5103DB55" w14:textId="77777777" w:rsidR="00A569BD" w:rsidRPr="00A53AD7" w:rsidRDefault="00A569BD" w:rsidP="003F1D09">
            <w:pPr>
              <w:spacing w:after="0" w:line="240" w:lineRule="auto"/>
              <w:ind w:left="-203" w:right="-108"/>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932" w:type="dxa"/>
            <w:shd w:val="clear" w:color="auto" w:fill="auto"/>
            <w:vAlign w:val="bottom"/>
            <w:hideMark/>
          </w:tcPr>
          <w:p w14:paraId="1C0229D7" w14:textId="77777777" w:rsidR="00A569BD" w:rsidRPr="00A53AD7" w:rsidRDefault="00A569BD" w:rsidP="003F1D09">
            <w:pPr>
              <w:spacing w:after="0" w:line="240" w:lineRule="auto"/>
              <w:ind w:left="-168"/>
              <w:jc w:val="right"/>
              <w:rPr>
                <w:rFonts w:ascii="Times New Roman" w:eastAsia="Times New Roman" w:hAnsi="Times New Roman"/>
                <w:lang w:eastAsia="ru-RU"/>
              </w:rPr>
            </w:pPr>
            <w:r w:rsidRPr="00A53AD7">
              <w:rPr>
                <w:rFonts w:ascii="Times New Roman" w:eastAsia="Times New Roman" w:hAnsi="Times New Roman"/>
                <w:lang w:eastAsia="ru-RU"/>
              </w:rPr>
              <w:t>-2 464,7</w:t>
            </w:r>
          </w:p>
        </w:tc>
        <w:tc>
          <w:tcPr>
            <w:tcW w:w="910" w:type="dxa"/>
            <w:shd w:val="clear" w:color="auto" w:fill="auto"/>
            <w:vAlign w:val="bottom"/>
            <w:hideMark/>
          </w:tcPr>
          <w:p w14:paraId="1A0BEE68" w14:textId="77777777" w:rsidR="00A569BD" w:rsidRPr="00A53AD7" w:rsidRDefault="00A569BD" w:rsidP="003F1D09">
            <w:pPr>
              <w:spacing w:after="0" w:line="240" w:lineRule="auto"/>
              <w:ind w:left="-108" w:right="32"/>
              <w:jc w:val="right"/>
              <w:rPr>
                <w:rFonts w:ascii="Times New Roman" w:eastAsia="Times New Roman" w:hAnsi="Times New Roman"/>
                <w:lang w:eastAsia="ru-RU"/>
              </w:rPr>
            </w:pPr>
            <w:r w:rsidRPr="00A53AD7">
              <w:rPr>
                <w:rFonts w:ascii="Times New Roman" w:eastAsia="Times New Roman" w:hAnsi="Times New Roman"/>
                <w:lang w:eastAsia="ru-RU"/>
              </w:rPr>
              <w:t>-8,6</w:t>
            </w:r>
          </w:p>
        </w:tc>
        <w:tc>
          <w:tcPr>
            <w:tcW w:w="905" w:type="dxa"/>
            <w:shd w:val="clear" w:color="auto" w:fill="auto"/>
            <w:vAlign w:val="bottom"/>
            <w:hideMark/>
          </w:tcPr>
          <w:p w14:paraId="56C5C254" w14:textId="77777777" w:rsidR="00A569BD" w:rsidRPr="00A53AD7" w:rsidRDefault="00A569BD" w:rsidP="003F1D09">
            <w:pPr>
              <w:spacing w:after="0" w:line="240" w:lineRule="auto"/>
              <w:ind w:left="-195" w:right="32"/>
              <w:jc w:val="right"/>
              <w:rPr>
                <w:rFonts w:ascii="Times New Roman" w:eastAsia="Times New Roman" w:hAnsi="Times New Roman"/>
                <w:lang w:eastAsia="ru-RU"/>
              </w:rPr>
            </w:pPr>
            <w:r w:rsidRPr="00A53AD7">
              <w:rPr>
                <w:rFonts w:ascii="Times New Roman" w:eastAsia="Times New Roman" w:hAnsi="Times New Roman"/>
                <w:lang w:eastAsia="ru-RU"/>
              </w:rPr>
              <w:t>6 944,8</w:t>
            </w:r>
          </w:p>
        </w:tc>
        <w:tc>
          <w:tcPr>
            <w:tcW w:w="710" w:type="dxa"/>
            <w:shd w:val="clear" w:color="auto" w:fill="auto"/>
            <w:vAlign w:val="bottom"/>
            <w:hideMark/>
          </w:tcPr>
          <w:p w14:paraId="7BBCF358" w14:textId="77777777" w:rsidR="00A569BD" w:rsidRPr="00A53AD7" w:rsidRDefault="00A569BD" w:rsidP="003F1D0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х</w:t>
            </w:r>
          </w:p>
        </w:tc>
      </w:tr>
    </w:tbl>
    <w:p w14:paraId="496A5B25" w14:textId="6B31512C" w:rsidR="00D01D81" w:rsidRPr="00A53AD7" w:rsidRDefault="009875EE" w:rsidP="009875EE">
      <w:pPr>
        <w:spacing w:after="0" w:line="240" w:lineRule="auto"/>
        <w:jc w:val="center"/>
        <w:rPr>
          <w:rFonts w:ascii="Times New Roman" w:hAnsi="Times New Roman"/>
          <w:bCs/>
          <w:sz w:val="24"/>
          <w:szCs w:val="24"/>
        </w:rPr>
      </w:pPr>
      <w:r w:rsidRPr="00A53AD7">
        <w:rPr>
          <w:rFonts w:ascii="Times New Roman" w:hAnsi="Times New Roman"/>
          <w:bCs/>
          <w:noProof/>
          <w:sz w:val="24"/>
          <w:szCs w:val="24"/>
          <w:lang w:eastAsia="ru-RU"/>
        </w:rPr>
        <w:drawing>
          <wp:inline distT="0" distB="0" distL="0" distR="0" wp14:anchorId="34E60C2C" wp14:editId="4E8D10F7">
            <wp:extent cx="5343091" cy="2183808"/>
            <wp:effectExtent l="0" t="0" r="0"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61660" cy="2191397"/>
                    </a:xfrm>
                    <a:prstGeom prst="rect">
                      <a:avLst/>
                    </a:prstGeom>
                    <a:noFill/>
                  </pic:spPr>
                </pic:pic>
              </a:graphicData>
            </a:graphic>
          </wp:inline>
        </w:drawing>
      </w:r>
    </w:p>
    <w:p w14:paraId="103772DC" w14:textId="77777777" w:rsidR="00D01D81" w:rsidRPr="00A53AD7" w:rsidRDefault="00D01D81" w:rsidP="00D01D81">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45</w:t>
      </w:r>
      <w:r w:rsidRPr="00A53AD7">
        <w:rPr>
          <w:rFonts w:ascii="Times New Roman" w:hAnsi="Times New Roman"/>
          <w:sz w:val="24"/>
          <w:szCs w:val="24"/>
        </w:rPr>
        <w:fldChar w:fldCharType="end"/>
      </w:r>
      <w:r w:rsidRPr="00A53AD7">
        <w:rPr>
          <w:rFonts w:ascii="Times New Roman" w:hAnsi="Times New Roman"/>
          <w:sz w:val="24"/>
          <w:szCs w:val="24"/>
        </w:rPr>
        <w:t>. Безвозмездные поступления от других бюджетов бюджетной системы Российской Федерации за 2018 – 2019 годы, млн.руб.</w:t>
      </w:r>
    </w:p>
    <w:p w14:paraId="3A3E2249" w14:textId="77777777" w:rsidR="00D01D81" w:rsidRPr="00A53AD7" w:rsidRDefault="00D01D81" w:rsidP="00D01D81">
      <w:pPr>
        <w:spacing w:after="0" w:line="240" w:lineRule="auto"/>
        <w:jc w:val="both"/>
        <w:rPr>
          <w:rFonts w:ascii="Times New Roman" w:hAnsi="Times New Roman"/>
          <w:sz w:val="28"/>
          <w:szCs w:val="28"/>
          <w:highlight w:val="cyan"/>
        </w:rPr>
      </w:pPr>
    </w:p>
    <w:p w14:paraId="7CB6257B" w14:textId="2CFA4494" w:rsidR="00D01D81" w:rsidRPr="00A53AD7" w:rsidRDefault="00D01D81" w:rsidP="0040765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 В целом </w:t>
      </w:r>
      <w:r w:rsidR="00407656" w:rsidRPr="00A53AD7">
        <w:rPr>
          <w:rFonts w:ascii="Times New Roman" w:hAnsi="Times New Roman"/>
          <w:sz w:val="28"/>
          <w:szCs w:val="28"/>
        </w:rPr>
        <w:t xml:space="preserve">безвозмездные </w:t>
      </w:r>
      <w:r w:rsidRPr="00A53AD7">
        <w:rPr>
          <w:rFonts w:ascii="Times New Roman" w:hAnsi="Times New Roman"/>
          <w:sz w:val="28"/>
          <w:szCs w:val="28"/>
        </w:rPr>
        <w:t>поступления от других бюджетов увеличились на 6 944,8 млн.руб. (+35,8%) по сравнению с 2018 годом, в том числе:</w:t>
      </w:r>
    </w:p>
    <w:p w14:paraId="72C8CD27" w14:textId="28D9F02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1.1. Объем поступления дотаций за отчетный год </w:t>
      </w:r>
      <w:r w:rsidR="00407656" w:rsidRPr="00A53AD7">
        <w:rPr>
          <w:rFonts w:ascii="Times New Roman" w:hAnsi="Times New Roman"/>
          <w:sz w:val="28"/>
          <w:szCs w:val="28"/>
        </w:rPr>
        <w:t>сократился</w:t>
      </w:r>
      <w:r w:rsidRPr="00A53AD7">
        <w:rPr>
          <w:rFonts w:ascii="Times New Roman" w:hAnsi="Times New Roman"/>
          <w:sz w:val="28"/>
          <w:szCs w:val="28"/>
        </w:rPr>
        <w:t xml:space="preserve"> на 880,0 млн.руб. (–7,</w:t>
      </w:r>
      <w:r w:rsidR="00407656" w:rsidRPr="00A53AD7">
        <w:rPr>
          <w:rFonts w:ascii="Times New Roman" w:hAnsi="Times New Roman"/>
          <w:sz w:val="28"/>
          <w:szCs w:val="28"/>
        </w:rPr>
        <w:t>5 %), из них:</w:t>
      </w:r>
    </w:p>
    <w:p w14:paraId="1C73398C" w14:textId="742C9A3E" w:rsidR="00D01D81" w:rsidRPr="00A53AD7" w:rsidRDefault="00D01D81"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увеличил</w:t>
      </w:r>
      <w:r w:rsidR="00407656" w:rsidRPr="00A53AD7">
        <w:rPr>
          <w:rFonts w:ascii="Times New Roman" w:hAnsi="Times New Roman"/>
          <w:sz w:val="28"/>
          <w:szCs w:val="28"/>
        </w:rPr>
        <w:t>о</w:t>
      </w:r>
      <w:r w:rsidRPr="00A53AD7">
        <w:rPr>
          <w:rFonts w:ascii="Times New Roman" w:hAnsi="Times New Roman"/>
          <w:sz w:val="28"/>
          <w:szCs w:val="28"/>
        </w:rPr>
        <w:t xml:space="preserve">сь </w:t>
      </w:r>
      <w:r w:rsidR="00407656" w:rsidRPr="00A53AD7">
        <w:rPr>
          <w:rFonts w:ascii="Times New Roman" w:hAnsi="Times New Roman"/>
          <w:sz w:val="28"/>
          <w:szCs w:val="28"/>
        </w:rPr>
        <w:t xml:space="preserve">поступление </w:t>
      </w:r>
      <w:r w:rsidRPr="00A53AD7">
        <w:rPr>
          <w:rFonts w:ascii="Times New Roman" w:hAnsi="Times New Roman"/>
          <w:sz w:val="28"/>
          <w:szCs w:val="28"/>
        </w:rPr>
        <w:t>дотации на выравнивание бюджетной обеспеченности на 234,2 млн.руб. или на 2,7 %</w:t>
      </w:r>
      <w:r w:rsidR="00407656" w:rsidRPr="00A53AD7">
        <w:rPr>
          <w:rFonts w:ascii="Times New Roman" w:hAnsi="Times New Roman"/>
          <w:sz w:val="28"/>
          <w:szCs w:val="28"/>
        </w:rPr>
        <w:t>;</w:t>
      </w:r>
      <w:r w:rsidRPr="00A53AD7">
        <w:rPr>
          <w:rFonts w:ascii="Times New Roman" w:hAnsi="Times New Roman"/>
          <w:sz w:val="28"/>
          <w:szCs w:val="28"/>
        </w:rPr>
        <w:t xml:space="preserve"> на частичную компенсацию дополнительных расходов на повышение оплаты труда работников бюджетной сферы на 810,1</w:t>
      </w:r>
      <w:r w:rsidR="00407656" w:rsidRPr="00A53AD7">
        <w:rPr>
          <w:rFonts w:ascii="Times New Roman" w:hAnsi="Times New Roman"/>
          <w:sz w:val="28"/>
          <w:szCs w:val="28"/>
        </w:rPr>
        <w:t xml:space="preserve"> млн.руб. (в 1,9 раза);</w:t>
      </w:r>
    </w:p>
    <w:p w14:paraId="0B736463" w14:textId="7FD2D3E8" w:rsidR="00D01D81" w:rsidRPr="00A53AD7" w:rsidRDefault="00407656" w:rsidP="00F35229">
      <w:pPr>
        <w:numPr>
          <w:ilvl w:val="0"/>
          <w:numId w:val="5"/>
        </w:numPr>
        <w:spacing w:after="0" w:line="240" w:lineRule="auto"/>
        <w:ind w:left="0" w:firstLine="839"/>
        <w:jc w:val="both"/>
        <w:rPr>
          <w:rFonts w:ascii="Times New Roman" w:hAnsi="Times New Roman"/>
          <w:sz w:val="28"/>
          <w:szCs w:val="28"/>
        </w:rPr>
      </w:pPr>
      <w:r w:rsidRPr="00A53AD7">
        <w:rPr>
          <w:rFonts w:ascii="Times New Roman" w:hAnsi="Times New Roman"/>
          <w:sz w:val="28"/>
          <w:szCs w:val="28"/>
        </w:rPr>
        <w:t>сократилась</w:t>
      </w:r>
      <w:r w:rsidR="00D01D81" w:rsidRPr="00A53AD7">
        <w:rPr>
          <w:rFonts w:ascii="Times New Roman" w:hAnsi="Times New Roman"/>
          <w:sz w:val="28"/>
          <w:szCs w:val="28"/>
        </w:rPr>
        <w:t xml:space="preserve"> дотаци</w:t>
      </w:r>
      <w:r w:rsidRPr="00A53AD7">
        <w:rPr>
          <w:rFonts w:ascii="Times New Roman" w:hAnsi="Times New Roman"/>
          <w:sz w:val="28"/>
          <w:szCs w:val="28"/>
        </w:rPr>
        <w:t>я</w:t>
      </w:r>
      <w:r w:rsidR="00D01D81" w:rsidRPr="00A53AD7">
        <w:rPr>
          <w:rFonts w:ascii="Times New Roman" w:hAnsi="Times New Roman"/>
          <w:sz w:val="28"/>
          <w:szCs w:val="28"/>
        </w:rPr>
        <w:t>, связанн</w:t>
      </w:r>
      <w:r w:rsidRPr="00A53AD7">
        <w:rPr>
          <w:rFonts w:ascii="Times New Roman" w:hAnsi="Times New Roman"/>
          <w:sz w:val="28"/>
          <w:szCs w:val="28"/>
        </w:rPr>
        <w:t>ая</w:t>
      </w:r>
      <w:r w:rsidR="00D01D81" w:rsidRPr="00A53AD7">
        <w:rPr>
          <w:rFonts w:ascii="Times New Roman" w:hAnsi="Times New Roman"/>
          <w:sz w:val="28"/>
          <w:szCs w:val="28"/>
        </w:rPr>
        <w:t xml:space="preserve"> с особым режимом функционирования</w:t>
      </w:r>
      <w:r w:rsidRPr="00A53AD7">
        <w:rPr>
          <w:rFonts w:ascii="Times New Roman" w:hAnsi="Times New Roman"/>
          <w:sz w:val="28"/>
          <w:szCs w:val="28"/>
        </w:rPr>
        <w:t xml:space="preserve"> ЗАТО на 8,5 млн.руб. или на 5,1 %.</w:t>
      </w:r>
    </w:p>
    <w:p w14:paraId="64DEEA1A" w14:textId="51690F16"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году не предусмотрены дотаци</w:t>
      </w:r>
      <w:r w:rsidR="00407656" w:rsidRPr="00A53AD7">
        <w:rPr>
          <w:rFonts w:ascii="Times New Roman" w:hAnsi="Times New Roman"/>
          <w:sz w:val="28"/>
          <w:szCs w:val="28"/>
        </w:rPr>
        <w:t>и</w:t>
      </w:r>
      <w:r w:rsidRPr="00A53AD7">
        <w:rPr>
          <w:rFonts w:ascii="Times New Roman" w:hAnsi="Times New Roman"/>
          <w:sz w:val="28"/>
          <w:szCs w:val="28"/>
        </w:rPr>
        <w:t xml:space="preserve"> на поддержку мер по обеспечению сбалансированности бюджетов (в 2018 году – 1 826,6 млн.руб.), </w:t>
      </w:r>
      <w:r w:rsidR="00407656" w:rsidRPr="00A53AD7">
        <w:rPr>
          <w:rFonts w:ascii="Times New Roman" w:hAnsi="Times New Roman"/>
          <w:sz w:val="28"/>
          <w:szCs w:val="28"/>
        </w:rPr>
        <w:t xml:space="preserve">дотации </w:t>
      </w:r>
      <w:r w:rsidRPr="00A53AD7">
        <w:rPr>
          <w:rFonts w:ascii="Times New Roman" w:hAnsi="Times New Roman"/>
          <w:sz w:val="28"/>
          <w:szCs w:val="28"/>
        </w:rPr>
        <w:t xml:space="preserve">в целях стимулирования роста налогового потенциала по налогу на прибыль организаций (в 2018 году – 39,2 млн.руб.), </w:t>
      </w:r>
      <w:r w:rsidR="00407656" w:rsidRPr="00A53AD7">
        <w:rPr>
          <w:rFonts w:ascii="Times New Roman" w:hAnsi="Times New Roman"/>
          <w:sz w:val="28"/>
          <w:szCs w:val="28"/>
        </w:rPr>
        <w:t xml:space="preserve">дотации </w:t>
      </w:r>
      <w:r w:rsidRPr="00A53AD7">
        <w:rPr>
          <w:rFonts w:ascii="Times New Roman" w:hAnsi="Times New Roman"/>
          <w:sz w:val="28"/>
          <w:szCs w:val="28"/>
        </w:rPr>
        <w:t>в целях реализации проектов создания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(в 2018 году – 50,0 млн.руб.).</w:t>
      </w:r>
    </w:p>
    <w:p w14:paraId="56C7D3DE"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сравнению с 2018 годом доля дотаций бюджету Архангельской области в структуре безвозмездных поступлений от других бюджетов бюджетной системы РФ уменьшилась на 19,4 процентных пункта и составила 41,5 %.</w:t>
      </w:r>
    </w:p>
    <w:p w14:paraId="4B17BF1E" w14:textId="4CF1AC02"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1.2. Объем поступления субсидий за отчетный год увеличился на 2</w:t>
      </w:r>
      <w:r w:rsidRPr="00A53AD7">
        <w:rPr>
          <w:rFonts w:ascii="Times New Roman" w:hAnsi="Times New Roman"/>
          <w:sz w:val="28"/>
          <w:szCs w:val="28"/>
          <w:lang w:val="en-US"/>
        </w:rPr>
        <w:t> </w:t>
      </w:r>
      <w:r w:rsidRPr="00A53AD7">
        <w:rPr>
          <w:rFonts w:ascii="Times New Roman" w:hAnsi="Times New Roman"/>
          <w:sz w:val="28"/>
          <w:szCs w:val="28"/>
        </w:rPr>
        <w:t>335,4 млн.руб. (в 1,7 раза), из них за счет увеличения поступления отдельных видов (+1 061,8 млн.руб.) и поступления новых видов (+2 726,4 млн.руб.) субсидий, из них наиболее значительные суммы</w:t>
      </w:r>
      <w:r w:rsidR="00E070FD" w:rsidRPr="00A53AD7">
        <w:rPr>
          <w:rFonts w:ascii="Times New Roman" w:hAnsi="Times New Roman"/>
          <w:sz w:val="28"/>
          <w:szCs w:val="28"/>
        </w:rPr>
        <w:t xml:space="preserve"> (</w:t>
      </w:r>
      <w:r w:rsidR="00F7633E" w:rsidRPr="00A53AD7">
        <w:rPr>
          <w:rFonts w:ascii="Times New Roman" w:hAnsi="Times New Roman"/>
          <w:sz w:val="28"/>
          <w:szCs w:val="28"/>
        </w:rPr>
        <w:t>свыше</w:t>
      </w:r>
      <w:r w:rsidR="00E070FD" w:rsidRPr="00A53AD7">
        <w:rPr>
          <w:rFonts w:ascii="Times New Roman" w:hAnsi="Times New Roman"/>
          <w:sz w:val="28"/>
          <w:szCs w:val="28"/>
        </w:rPr>
        <w:t xml:space="preserve"> 40,0 млн.руб.)</w:t>
      </w:r>
      <w:r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933"/>
        <w:gridCol w:w="1355"/>
      </w:tblGrid>
      <w:tr w:rsidR="00A53AD7" w:rsidRPr="00A53AD7" w14:paraId="7DB1305A" w14:textId="77777777" w:rsidTr="00E070FD">
        <w:trPr>
          <w:tblHeader/>
        </w:trPr>
        <w:tc>
          <w:tcPr>
            <w:tcW w:w="7933" w:type="dxa"/>
          </w:tcPr>
          <w:p w14:paraId="1AA71AC7" w14:textId="30D8FBB4" w:rsidR="00407656" w:rsidRPr="00A53AD7" w:rsidRDefault="00407656" w:rsidP="00407656">
            <w:pPr>
              <w:spacing w:after="0" w:line="240" w:lineRule="auto"/>
              <w:jc w:val="center"/>
              <w:rPr>
                <w:rFonts w:ascii="Times New Roman" w:hAnsi="Times New Roman"/>
              </w:rPr>
            </w:pPr>
            <w:r w:rsidRPr="00A53AD7">
              <w:rPr>
                <w:rFonts w:ascii="Times New Roman" w:hAnsi="Times New Roman"/>
              </w:rPr>
              <w:t>Цель предоставления субсидии</w:t>
            </w:r>
          </w:p>
        </w:tc>
        <w:tc>
          <w:tcPr>
            <w:tcW w:w="1355" w:type="dxa"/>
          </w:tcPr>
          <w:p w14:paraId="17BB0B67" w14:textId="4D170A77" w:rsidR="00407656" w:rsidRPr="00A53AD7" w:rsidRDefault="00407656" w:rsidP="00407656">
            <w:pPr>
              <w:spacing w:after="0" w:line="240" w:lineRule="auto"/>
              <w:jc w:val="center"/>
              <w:rPr>
                <w:rFonts w:ascii="Times New Roman" w:hAnsi="Times New Roman"/>
              </w:rPr>
            </w:pPr>
            <w:r w:rsidRPr="00A53AD7">
              <w:rPr>
                <w:rFonts w:ascii="Times New Roman" w:hAnsi="Times New Roman"/>
              </w:rPr>
              <w:t>Сумма увеличения, млн.руб.</w:t>
            </w:r>
          </w:p>
        </w:tc>
      </w:tr>
      <w:tr w:rsidR="00A53AD7" w:rsidRPr="00A53AD7" w14:paraId="55682414" w14:textId="77777777" w:rsidTr="00407656">
        <w:tc>
          <w:tcPr>
            <w:tcW w:w="7933" w:type="dxa"/>
          </w:tcPr>
          <w:p w14:paraId="1198E6E8" w14:textId="447DE50A" w:rsidR="00407656" w:rsidRPr="00A53AD7" w:rsidRDefault="00407656" w:rsidP="00407656">
            <w:pPr>
              <w:spacing w:after="0" w:line="240" w:lineRule="auto"/>
              <w:rPr>
                <w:rFonts w:ascii="Times New Roman" w:hAnsi="Times New Roman"/>
              </w:rPr>
            </w:pPr>
            <w:r w:rsidRPr="00A53AD7">
              <w:rPr>
                <w:rFonts w:ascii="Times New Roman" w:hAnsi="Times New Roman"/>
              </w:rPr>
              <w:t>Мероприятия по стимулированию программ развития жилищного строительства субъектов РФ</w:t>
            </w:r>
          </w:p>
        </w:tc>
        <w:tc>
          <w:tcPr>
            <w:tcW w:w="1355" w:type="dxa"/>
          </w:tcPr>
          <w:p w14:paraId="31DF0FA6" w14:textId="6D6C8196" w:rsidR="00407656" w:rsidRPr="00A53AD7" w:rsidRDefault="00407656" w:rsidP="00407656">
            <w:pPr>
              <w:spacing w:after="0" w:line="240" w:lineRule="auto"/>
              <w:jc w:val="right"/>
              <w:rPr>
                <w:rFonts w:ascii="Times New Roman" w:hAnsi="Times New Roman"/>
              </w:rPr>
            </w:pPr>
            <w:r w:rsidRPr="00A53AD7">
              <w:rPr>
                <w:rFonts w:ascii="Times New Roman" w:hAnsi="Times New Roman"/>
              </w:rPr>
              <w:t>104,5</w:t>
            </w:r>
          </w:p>
        </w:tc>
      </w:tr>
      <w:tr w:rsidR="00A53AD7" w:rsidRPr="00A53AD7" w14:paraId="46E81CCA" w14:textId="77777777" w:rsidTr="00407656">
        <w:tc>
          <w:tcPr>
            <w:tcW w:w="7933" w:type="dxa"/>
          </w:tcPr>
          <w:p w14:paraId="173CE5C4" w14:textId="02F7C8F1" w:rsidR="00407656" w:rsidRPr="00A53AD7" w:rsidRDefault="00407656" w:rsidP="00407656">
            <w:pPr>
              <w:spacing w:after="0" w:line="240" w:lineRule="auto"/>
              <w:rPr>
                <w:rFonts w:ascii="Times New Roman" w:hAnsi="Times New Roman"/>
              </w:rPr>
            </w:pPr>
            <w:r w:rsidRPr="00A53AD7">
              <w:rPr>
                <w:rFonts w:ascii="Times New Roman" w:hAnsi="Times New Roman"/>
              </w:rPr>
              <w:t>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p>
        </w:tc>
        <w:tc>
          <w:tcPr>
            <w:tcW w:w="1355" w:type="dxa"/>
          </w:tcPr>
          <w:p w14:paraId="16474328" w14:textId="76B43CB8" w:rsidR="00407656" w:rsidRPr="00A53AD7" w:rsidRDefault="00407656" w:rsidP="00407656">
            <w:pPr>
              <w:spacing w:after="0" w:line="240" w:lineRule="auto"/>
              <w:jc w:val="right"/>
              <w:rPr>
                <w:rFonts w:ascii="Times New Roman" w:hAnsi="Times New Roman"/>
              </w:rPr>
            </w:pPr>
            <w:r w:rsidRPr="00A53AD7">
              <w:rPr>
                <w:rFonts w:ascii="Times New Roman" w:hAnsi="Times New Roman"/>
              </w:rPr>
              <w:t>293,9</w:t>
            </w:r>
          </w:p>
        </w:tc>
      </w:tr>
      <w:tr w:rsidR="00A53AD7" w:rsidRPr="00A53AD7" w14:paraId="2AA59F88" w14:textId="77777777" w:rsidTr="00407656">
        <w:tc>
          <w:tcPr>
            <w:tcW w:w="7933" w:type="dxa"/>
          </w:tcPr>
          <w:p w14:paraId="6F314628" w14:textId="367D9CF9" w:rsidR="00407656" w:rsidRPr="00A53AD7" w:rsidRDefault="009E560C" w:rsidP="009E560C">
            <w:pPr>
              <w:spacing w:after="0" w:line="240" w:lineRule="auto"/>
              <w:rPr>
                <w:rFonts w:ascii="Times New Roman" w:hAnsi="Times New Roman"/>
              </w:rPr>
            </w:pPr>
            <w:r w:rsidRPr="00A53AD7">
              <w:rPr>
                <w:rFonts w:ascii="Times New Roman" w:hAnsi="Times New Roman"/>
              </w:rPr>
              <w:t>Государственная поддержка малого и среднего предпринимательства, включая крестьянские (фермерские) хозяйства, а также на реализацию мероприятий по поддержке молодежного предпринимательства</w:t>
            </w:r>
          </w:p>
        </w:tc>
        <w:tc>
          <w:tcPr>
            <w:tcW w:w="1355" w:type="dxa"/>
          </w:tcPr>
          <w:p w14:paraId="505D6983" w14:textId="6338E30F" w:rsidR="00407656" w:rsidRPr="00A53AD7" w:rsidRDefault="009E560C" w:rsidP="00407656">
            <w:pPr>
              <w:spacing w:after="0" w:line="240" w:lineRule="auto"/>
              <w:jc w:val="right"/>
              <w:rPr>
                <w:rFonts w:ascii="Times New Roman" w:hAnsi="Times New Roman"/>
              </w:rPr>
            </w:pPr>
            <w:r w:rsidRPr="00A53AD7">
              <w:rPr>
                <w:rFonts w:ascii="Times New Roman" w:hAnsi="Times New Roman"/>
              </w:rPr>
              <w:t>412,8</w:t>
            </w:r>
          </w:p>
        </w:tc>
      </w:tr>
      <w:tr w:rsidR="00A53AD7" w:rsidRPr="00A53AD7" w14:paraId="1AFC13E6" w14:textId="77777777" w:rsidTr="00407656">
        <w:tc>
          <w:tcPr>
            <w:tcW w:w="7933" w:type="dxa"/>
          </w:tcPr>
          <w:p w14:paraId="42B68AA3" w14:textId="035A47CC" w:rsidR="009E560C" w:rsidRPr="00A53AD7" w:rsidRDefault="009E560C" w:rsidP="009E560C">
            <w:pPr>
              <w:spacing w:after="0" w:line="240" w:lineRule="auto"/>
              <w:rPr>
                <w:rFonts w:ascii="Times New Roman" w:hAnsi="Times New Roman"/>
              </w:rPr>
            </w:pPr>
            <w:r w:rsidRPr="00A53AD7">
              <w:rPr>
                <w:rFonts w:ascii="Times New Roman" w:hAnsi="Times New Roman"/>
              </w:rPr>
              <w:t>Реализация программ формирования современной городской среды</w:t>
            </w:r>
          </w:p>
        </w:tc>
        <w:tc>
          <w:tcPr>
            <w:tcW w:w="1355" w:type="dxa"/>
          </w:tcPr>
          <w:p w14:paraId="6FF166A7" w14:textId="3980FEE7"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121,0</w:t>
            </w:r>
          </w:p>
        </w:tc>
      </w:tr>
      <w:tr w:rsidR="00A53AD7" w:rsidRPr="00A53AD7" w14:paraId="26B43448" w14:textId="77777777" w:rsidTr="00407656">
        <w:tc>
          <w:tcPr>
            <w:tcW w:w="7933" w:type="dxa"/>
          </w:tcPr>
          <w:p w14:paraId="26E19D1A" w14:textId="7FB4CA06" w:rsidR="009E560C" w:rsidRPr="00A53AD7" w:rsidRDefault="009E560C" w:rsidP="009E560C">
            <w:pPr>
              <w:spacing w:after="0" w:line="240" w:lineRule="auto"/>
              <w:rPr>
                <w:rFonts w:ascii="Times New Roman" w:hAnsi="Times New Roman"/>
              </w:rPr>
            </w:pPr>
            <w:r w:rsidRPr="00A53AD7">
              <w:rPr>
                <w:rFonts w:ascii="Times New Roman" w:hAnsi="Times New Roman"/>
              </w:rPr>
              <w:t>Обеспечение устойчивого развития сельских территорий</w:t>
            </w:r>
          </w:p>
        </w:tc>
        <w:tc>
          <w:tcPr>
            <w:tcW w:w="1355" w:type="dxa"/>
          </w:tcPr>
          <w:p w14:paraId="3854C271" w14:textId="55B74250"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58,6</w:t>
            </w:r>
          </w:p>
        </w:tc>
      </w:tr>
      <w:tr w:rsidR="00A53AD7" w:rsidRPr="00A53AD7" w14:paraId="48705B54" w14:textId="77777777" w:rsidTr="00407656">
        <w:tc>
          <w:tcPr>
            <w:tcW w:w="7933" w:type="dxa"/>
          </w:tcPr>
          <w:p w14:paraId="3ABF9284" w14:textId="1B1123ED" w:rsidR="009E560C" w:rsidRPr="00A53AD7" w:rsidRDefault="009E560C" w:rsidP="009E560C">
            <w:pPr>
              <w:spacing w:after="0" w:line="240" w:lineRule="auto"/>
              <w:rPr>
                <w:rFonts w:ascii="Times New Roman" w:hAnsi="Times New Roman"/>
              </w:rPr>
            </w:pPr>
            <w:r w:rsidRPr="00A53AD7">
              <w:rPr>
                <w:rFonts w:ascii="Times New Roman" w:hAnsi="Times New Roman"/>
              </w:rPr>
              <w:t>Реализация региональных проектов «Создание единого цифрового контура в здравоохранении на основе единой государственной информационной системы здравоохранения (ЕГИСЗ)»</w:t>
            </w:r>
          </w:p>
        </w:tc>
        <w:tc>
          <w:tcPr>
            <w:tcW w:w="1355" w:type="dxa"/>
          </w:tcPr>
          <w:p w14:paraId="626499E2" w14:textId="7B9BFB75"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148,3</w:t>
            </w:r>
          </w:p>
        </w:tc>
      </w:tr>
      <w:tr w:rsidR="00A53AD7" w:rsidRPr="00A53AD7" w14:paraId="2F545A28" w14:textId="77777777" w:rsidTr="00407656">
        <w:tc>
          <w:tcPr>
            <w:tcW w:w="7933" w:type="dxa"/>
          </w:tcPr>
          <w:p w14:paraId="2C5A2B3D" w14:textId="76291B25" w:rsidR="009E560C" w:rsidRPr="00A53AD7" w:rsidRDefault="009E560C" w:rsidP="009E560C">
            <w:pPr>
              <w:spacing w:after="0" w:line="240" w:lineRule="auto"/>
              <w:rPr>
                <w:rFonts w:ascii="Times New Roman" w:hAnsi="Times New Roman"/>
              </w:rPr>
            </w:pPr>
            <w:r w:rsidRPr="00A53AD7">
              <w:rPr>
                <w:rFonts w:ascii="Times New Roman" w:hAnsi="Times New Roman"/>
              </w:rPr>
              <w:t>Развитие материально-технической базы детских поликлиник и детских поликлинических отделений медицинских организаций, оказывающих первичную медико-санитарную помощь</w:t>
            </w:r>
          </w:p>
        </w:tc>
        <w:tc>
          <w:tcPr>
            <w:tcW w:w="1355" w:type="dxa"/>
          </w:tcPr>
          <w:p w14:paraId="1A399D4D" w14:textId="220361D7"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115,8</w:t>
            </w:r>
          </w:p>
        </w:tc>
      </w:tr>
      <w:tr w:rsidR="00A53AD7" w:rsidRPr="00A53AD7" w14:paraId="08565E04" w14:textId="77777777" w:rsidTr="00407656">
        <w:tc>
          <w:tcPr>
            <w:tcW w:w="7933" w:type="dxa"/>
          </w:tcPr>
          <w:p w14:paraId="720BD92C" w14:textId="67F959E9" w:rsidR="009E560C" w:rsidRPr="00A53AD7" w:rsidRDefault="009E560C" w:rsidP="009E560C">
            <w:pPr>
              <w:spacing w:after="0" w:line="240" w:lineRule="auto"/>
              <w:rPr>
                <w:rFonts w:ascii="Times New Roman" w:hAnsi="Times New Roman"/>
              </w:rPr>
            </w:pPr>
            <w:r w:rsidRPr="00A53AD7">
              <w:rPr>
                <w:rFonts w:ascii="Times New Roman" w:hAnsi="Times New Roman"/>
              </w:rPr>
              <w:t>Создание детских технопарков «Кванториум»</w:t>
            </w:r>
          </w:p>
        </w:tc>
        <w:tc>
          <w:tcPr>
            <w:tcW w:w="1355" w:type="dxa"/>
          </w:tcPr>
          <w:p w14:paraId="4B9759A1" w14:textId="424CE480"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71,6</w:t>
            </w:r>
          </w:p>
        </w:tc>
      </w:tr>
      <w:tr w:rsidR="00A53AD7" w:rsidRPr="00A53AD7" w14:paraId="132EB954" w14:textId="77777777" w:rsidTr="00407656">
        <w:tc>
          <w:tcPr>
            <w:tcW w:w="7933" w:type="dxa"/>
          </w:tcPr>
          <w:p w14:paraId="467FD00F" w14:textId="1E223703" w:rsidR="009E560C" w:rsidRPr="00A53AD7" w:rsidRDefault="009E560C" w:rsidP="009E560C">
            <w:pPr>
              <w:spacing w:after="0" w:line="240" w:lineRule="auto"/>
              <w:rPr>
                <w:rFonts w:ascii="Times New Roman" w:hAnsi="Times New Roman"/>
              </w:rPr>
            </w:pPr>
            <w:r w:rsidRPr="00A53AD7">
              <w:rPr>
                <w:rFonts w:ascii="Times New Roman" w:hAnsi="Times New Roman"/>
              </w:rPr>
              <w:t>Развитие паллиативной медицинской помощи</w:t>
            </w:r>
          </w:p>
        </w:tc>
        <w:tc>
          <w:tcPr>
            <w:tcW w:w="1355" w:type="dxa"/>
          </w:tcPr>
          <w:p w14:paraId="305DA279" w14:textId="07189BE4"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40,6</w:t>
            </w:r>
          </w:p>
        </w:tc>
      </w:tr>
      <w:tr w:rsidR="00A53AD7" w:rsidRPr="00A53AD7" w14:paraId="2D08DAB7" w14:textId="77777777" w:rsidTr="00407656">
        <w:tc>
          <w:tcPr>
            <w:tcW w:w="7933" w:type="dxa"/>
          </w:tcPr>
          <w:p w14:paraId="2EFBBB89" w14:textId="23A9D982" w:rsidR="009E560C" w:rsidRPr="00A53AD7" w:rsidRDefault="009E560C" w:rsidP="009E560C">
            <w:pPr>
              <w:spacing w:after="0" w:line="240" w:lineRule="auto"/>
              <w:rPr>
                <w:rFonts w:ascii="Times New Roman" w:hAnsi="Times New Roman"/>
              </w:rPr>
            </w:pPr>
            <w:r w:rsidRPr="00A53AD7">
              <w:rPr>
                <w:rFonts w:ascii="Times New Roman" w:hAnsi="Times New Roman"/>
              </w:rPr>
              <w:t>Создание дополнительных мест для детей в возрасте от 1,5 до 3 лет в образовательных организациях, осуществляющих образовательную деятельность по образовательным программам дошкольного образования</w:t>
            </w:r>
          </w:p>
        </w:tc>
        <w:tc>
          <w:tcPr>
            <w:tcW w:w="1355" w:type="dxa"/>
          </w:tcPr>
          <w:p w14:paraId="0A565508" w14:textId="460A05E0"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68,8</w:t>
            </w:r>
          </w:p>
        </w:tc>
      </w:tr>
      <w:tr w:rsidR="00A53AD7" w:rsidRPr="00A53AD7" w14:paraId="5E99B055" w14:textId="77777777" w:rsidTr="00407656">
        <w:tc>
          <w:tcPr>
            <w:tcW w:w="7933" w:type="dxa"/>
          </w:tcPr>
          <w:p w14:paraId="53CC84D4" w14:textId="61F9EE38" w:rsidR="009E560C" w:rsidRPr="00A53AD7" w:rsidRDefault="009E560C" w:rsidP="009E560C">
            <w:pPr>
              <w:spacing w:after="0" w:line="240" w:lineRule="auto"/>
              <w:rPr>
                <w:rFonts w:ascii="Times New Roman" w:hAnsi="Times New Roman"/>
              </w:rPr>
            </w:pPr>
            <w:r w:rsidRPr="00A53AD7">
              <w:rPr>
                <w:rFonts w:ascii="Times New Roman" w:hAnsi="Times New Roman"/>
              </w:rPr>
              <w:t>Реализация федеральной целевой программы «Развитие физической культуры и спорта в Российской Федерации на 2016 - 2020 годы»</w:t>
            </w:r>
          </w:p>
        </w:tc>
        <w:tc>
          <w:tcPr>
            <w:tcW w:w="1355" w:type="dxa"/>
          </w:tcPr>
          <w:p w14:paraId="6810910E" w14:textId="4C34B801"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59,6</w:t>
            </w:r>
          </w:p>
        </w:tc>
      </w:tr>
      <w:tr w:rsidR="00A53AD7" w:rsidRPr="00A53AD7" w14:paraId="71CA9CBE" w14:textId="77777777" w:rsidTr="00407656">
        <w:tc>
          <w:tcPr>
            <w:tcW w:w="7933" w:type="dxa"/>
          </w:tcPr>
          <w:p w14:paraId="5EEA72DC" w14:textId="56BD9C96" w:rsidR="009E560C" w:rsidRPr="00A53AD7" w:rsidRDefault="009E560C" w:rsidP="00E070FD">
            <w:pPr>
              <w:spacing w:after="0" w:line="240" w:lineRule="auto"/>
              <w:rPr>
                <w:rFonts w:ascii="Times New Roman" w:hAnsi="Times New Roman"/>
              </w:rPr>
            </w:pPr>
            <w:r w:rsidRPr="00A53AD7">
              <w:rPr>
                <w:rFonts w:ascii="Times New Roman" w:hAnsi="Times New Roman"/>
              </w:rPr>
              <w:t>Софинансирование капитальных вложений в объекты государственной (муниципальной) собственности в рамках строительства (реконструкции) объектов обеспечивающей инфраструктуры с длительным сроком окупаемости, входящих в состав инвестиционных проектов по созданию в субъектах Р</w:t>
            </w:r>
            <w:r w:rsidR="00E070FD" w:rsidRPr="00A53AD7">
              <w:rPr>
                <w:rFonts w:ascii="Times New Roman" w:hAnsi="Times New Roman"/>
              </w:rPr>
              <w:t>Ф</w:t>
            </w:r>
            <w:r w:rsidRPr="00A53AD7">
              <w:rPr>
                <w:rFonts w:ascii="Times New Roman" w:hAnsi="Times New Roman"/>
              </w:rPr>
              <w:t xml:space="preserve"> туристских кластеров</w:t>
            </w:r>
          </w:p>
        </w:tc>
        <w:tc>
          <w:tcPr>
            <w:tcW w:w="1355" w:type="dxa"/>
          </w:tcPr>
          <w:p w14:paraId="634539E3" w14:textId="2A200089" w:rsidR="009E560C" w:rsidRPr="00A53AD7" w:rsidRDefault="009E560C" w:rsidP="00407656">
            <w:pPr>
              <w:spacing w:after="0" w:line="240" w:lineRule="auto"/>
              <w:jc w:val="right"/>
              <w:rPr>
                <w:rFonts w:ascii="Times New Roman" w:hAnsi="Times New Roman"/>
              </w:rPr>
            </w:pPr>
            <w:r w:rsidRPr="00A53AD7">
              <w:rPr>
                <w:rFonts w:ascii="Times New Roman" w:hAnsi="Times New Roman"/>
              </w:rPr>
              <w:t>293,1</w:t>
            </w:r>
          </w:p>
        </w:tc>
      </w:tr>
      <w:tr w:rsidR="00A53AD7" w:rsidRPr="00A53AD7" w14:paraId="09724A2D" w14:textId="77777777" w:rsidTr="00407656">
        <w:tc>
          <w:tcPr>
            <w:tcW w:w="7933" w:type="dxa"/>
          </w:tcPr>
          <w:p w14:paraId="031085AD" w14:textId="1D5C94CF" w:rsidR="009E560C" w:rsidRPr="00A53AD7" w:rsidRDefault="00E070FD" w:rsidP="009E560C">
            <w:pPr>
              <w:spacing w:after="0" w:line="240" w:lineRule="auto"/>
              <w:rPr>
                <w:rFonts w:ascii="Times New Roman" w:hAnsi="Times New Roman"/>
              </w:rPr>
            </w:pPr>
            <w:r w:rsidRPr="00A53AD7">
              <w:rPr>
                <w:rFonts w:ascii="Times New Roman" w:hAnsi="Times New Roman"/>
              </w:rPr>
              <w:t>Софинансирование капитальных вложений в объекты государственной (муниципальной) собственности в рамках реализации подпрограммы «Гражданская авиация и аэронавигационное обслуживание» государственной программы Российской Федерации «Развитие транспортной системы»</w:t>
            </w:r>
          </w:p>
        </w:tc>
        <w:tc>
          <w:tcPr>
            <w:tcW w:w="1355" w:type="dxa"/>
          </w:tcPr>
          <w:p w14:paraId="2BE4F406" w14:textId="103B6269" w:rsidR="009E560C" w:rsidRPr="00A53AD7" w:rsidRDefault="00E070FD" w:rsidP="00407656">
            <w:pPr>
              <w:spacing w:after="0" w:line="240" w:lineRule="auto"/>
              <w:jc w:val="right"/>
              <w:rPr>
                <w:rFonts w:ascii="Times New Roman" w:hAnsi="Times New Roman"/>
              </w:rPr>
            </w:pPr>
            <w:r w:rsidRPr="00A53AD7">
              <w:rPr>
                <w:rFonts w:ascii="Times New Roman" w:hAnsi="Times New Roman"/>
              </w:rPr>
              <w:t>1 100,0</w:t>
            </w:r>
          </w:p>
        </w:tc>
      </w:tr>
      <w:tr w:rsidR="00A53AD7" w:rsidRPr="00A53AD7" w14:paraId="40E62168" w14:textId="77777777" w:rsidTr="00407656">
        <w:tc>
          <w:tcPr>
            <w:tcW w:w="7933" w:type="dxa"/>
          </w:tcPr>
          <w:p w14:paraId="5C44FE2D" w14:textId="104B073E" w:rsidR="009E560C" w:rsidRPr="00A53AD7" w:rsidRDefault="00E070FD" w:rsidP="009E560C">
            <w:pPr>
              <w:spacing w:after="0" w:line="240" w:lineRule="auto"/>
              <w:rPr>
                <w:rFonts w:ascii="Times New Roman" w:hAnsi="Times New Roman"/>
              </w:rPr>
            </w:pPr>
            <w:r w:rsidRPr="00A53AD7">
              <w:rPr>
                <w:rFonts w:ascii="Times New Roman" w:hAnsi="Times New Roman"/>
              </w:rPr>
              <w:t>Софинансирование капитальных вложений в объекты государственной (муниципальной) собственности в рамках реализации мероприятий федеральной целевой программы «Развитие космодромов на период 2017 - 2025 годов в обеспечение космической деятельности Российской Федерации»</w:t>
            </w:r>
          </w:p>
        </w:tc>
        <w:tc>
          <w:tcPr>
            <w:tcW w:w="1355" w:type="dxa"/>
          </w:tcPr>
          <w:p w14:paraId="5DD7F530" w14:textId="3FF7B094" w:rsidR="009E560C" w:rsidRPr="00A53AD7" w:rsidRDefault="00E070FD" w:rsidP="00407656">
            <w:pPr>
              <w:spacing w:after="0" w:line="240" w:lineRule="auto"/>
              <w:jc w:val="right"/>
              <w:rPr>
                <w:rFonts w:ascii="Times New Roman" w:hAnsi="Times New Roman"/>
              </w:rPr>
            </w:pPr>
            <w:r w:rsidRPr="00A53AD7">
              <w:rPr>
                <w:rFonts w:ascii="Times New Roman" w:hAnsi="Times New Roman"/>
              </w:rPr>
              <w:t>539,6</w:t>
            </w:r>
          </w:p>
        </w:tc>
      </w:tr>
      <w:tr w:rsidR="009E560C" w:rsidRPr="00A53AD7" w14:paraId="03412A5B" w14:textId="77777777" w:rsidTr="00407656">
        <w:tc>
          <w:tcPr>
            <w:tcW w:w="7933" w:type="dxa"/>
          </w:tcPr>
          <w:p w14:paraId="68D84A2A" w14:textId="786BA612" w:rsidR="009E560C" w:rsidRPr="00A53AD7" w:rsidRDefault="00E070FD" w:rsidP="009E560C">
            <w:pPr>
              <w:spacing w:after="0" w:line="240" w:lineRule="auto"/>
              <w:rPr>
                <w:rFonts w:ascii="Times New Roman" w:hAnsi="Times New Roman"/>
              </w:rPr>
            </w:pPr>
            <w:r w:rsidRPr="00A53AD7">
              <w:rPr>
                <w:rFonts w:ascii="Times New Roman" w:hAnsi="Times New Roman"/>
              </w:rPr>
              <w:t>Софинансирование капитальных вложений в объекты государственной (муниципальной) собственности в рамках обеспечения устойчивого развития сельских территорий</w:t>
            </w:r>
          </w:p>
        </w:tc>
        <w:tc>
          <w:tcPr>
            <w:tcW w:w="1355" w:type="dxa"/>
          </w:tcPr>
          <w:p w14:paraId="4CA223B8" w14:textId="54CEF846" w:rsidR="009E560C" w:rsidRPr="00A53AD7" w:rsidRDefault="00E070FD" w:rsidP="00407656">
            <w:pPr>
              <w:spacing w:after="0" w:line="240" w:lineRule="auto"/>
              <w:jc w:val="right"/>
              <w:rPr>
                <w:rFonts w:ascii="Times New Roman" w:hAnsi="Times New Roman"/>
              </w:rPr>
            </w:pPr>
            <w:r w:rsidRPr="00A53AD7">
              <w:rPr>
                <w:rFonts w:ascii="Times New Roman" w:hAnsi="Times New Roman"/>
              </w:rPr>
              <w:t>113,0</w:t>
            </w:r>
          </w:p>
        </w:tc>
      </w:tr>
    </w:tbl>
    <w:p w14:paraId="5FF0DD04" w14:textId="77777777" w:rsidR="00407656" w:rsidRPr="00A53AD7" w:rsidRDefault="00407656" w:rsidP="00D01D81">
      <w:pPr>
        <w:spacing w:after="0" w:line="240" w:lineRule="auto"/>
        <w:ind w:firstLine="851"/>
        <w:jc w:val="both"/>
        <w:rPr>
          <w:rFonts w:ascii="Times New Roman" w:hAnsi="Times New Roman"/>
          <w:sz w:val="28"/>
          <w:szCs w:val="28"/>
        </w:rPr>
      </w:pPr>
    </w:p>
    <w:p w14:paraId="3C5C350C" w14:textId="2F4A9C79"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w:t>
      </w:r>
      <w:r w:rsidR="00E070FD" w:rsidRPr="00A53AD7">
        <w:rPr>
          <w:rFonts w:ascii="Times New Roman" w:hAnsi="Times New Roman"/>
          <w:sz w:val="28"/>
          <w:szCs w:val="28"/>
        </w:rPr>
        <w:t>сократился</w:t>
      </w:r>
      <w:r w:rsidRPr="00A53AD7">
        <w:rPr>
          <w:rFonts w:ascii="Times New Roman" w:hAnsi="Times New Roman"/>
          <w:sz w:val="28"/>
          <w:szCs w:val="28"/>
        </w:rPr>
        <w:t xml:space="preserve"> объем поступления субсидий </w:t>
      </w:r>
      <w:r w:rsidR="00E070FD" w:rsidRPr="00A53AD7">
        <w:rPr>
          <w:rFonts w:ascii="Times New Roman" w:hAnsi="Times New Roman"/>
          <w:sz w:val="28"/>
          <w:szCs w:val="28"/>
        </w:rPr>
        <w:t xml:space="preserve">на </w:t>
      </w:r>
      <w:r w:rsidRPr="00A53AD7">
        <w:rPr>
          <w:rFonts w:ascii="Times New Roman" w:hAnsi="Times New Roman"/>
          <w:sz w:val="28"/>
          <w:szCs w:val="28"/>
        </w:rPr>
        <w:t>1 452,8 млн.руб.), из них наиболее крупные</w:t>
      </w:r>
      <w:r w:rsidR="009E50CD" w:rsidRPr="00A53AD7">
        <w:rPr>
          <w:rFonts w:ascii="Times New Roman" w:hAnsi="Times New Roman"/>
          <w:sz w:val="28"/>
          <w:szCs w:val="28"/>
        </w:rPr>
        <w:t xml:space="preserve"> (свыше 20,0 млн.руб.)</w:t>
      </w:r>
      <w:r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927"/>
        <w:gridCol w:w="1397"/>
      </w:tblGrid>
      <w:tr w:rsidR="00A53AD7" w:rsidRPr="00A53AD7" w14:paraId="7FFA85C6" w14:textId="77777777" w:rsidTr="009E50CD">
        <w:trPr>
          <w:tblHeader/>
        </w:trPr>
        <w:tc>
          <w:tcPr>
            <w:tcW w:w="7927" w:type="dxa"/>
          </w:tcPr>
          <w:p w14:paraId="15EB83C2" w14:textId="77777777" w:rsidR="009E50CD" w:rsidRPr="00A53AD7" w:rsidRDefault="009E50CD" w:rsidP="008F58A0">
            <w:pPr>
              <w:spacing w:after="0" w:line="240" w:lineRule="auto"/>
              <w:jc w:val="center"/>
              <w:rPr>
                <w:rFonts w:ascii="Times New Roman" w:hAnsi="Times New Roman"/>
              </w:rPr>
            </w:pPr>
            <w:r w:rsidRPr="00A53AD7">
              <w:rPr>
                <w:rFonts w:ascii="Times New Roman" w:hAnsi="Times New Roman"/>
              </w:rPr>
              <w:t>Цель предоставления субсидии</w:t>
            </w:r>
          </w:p>
        </w:tc>
        <w:tc>
          <w:tcPr>
            <w:tcW w:w="1397" w:type="dxa"/>
          </w:tcPr>
          <w:p w14:paraId="072A61E7" w14:textId="457AE763" w:rsidR="009E50CD" w:rsidRPr="00A53AD7" w:rsidRDefault="009E50CD" w:rsidP="009E50CD">
            <w:pPr>
              <w:spacing w:after="0" w:line="240" w:lineRule="auto"/>
              <w:jc w:val="center"/>
              <w:rPr>
                <w:rFonts w:ascii="Times New Roman" w:hAnsi="Times New Roman"/>
              </w:rPr>
            </w:pPr>
            <w:r w:rsidRPr="00A53AD7">
              <w:rPr>
                <w:rFonts w:ascii="Times New Roman" w:hAnsi="Times New Roman"/>
              </w:rPr>
              <w:t>Сумма сокращения, млн.руб.</w:t>
            </w:r>
          </w:p>
        </w:tc>
      </w:tr>
      <w:tr w:rsidR="00A53AD7" w:rsidRPr="00A53AD7" w14:paraId="4E51597F" w14:textId="77777777" w:rsidTr="009E50CD">
        <w:tc>
          <w:tcPr>
            <w:tcW w:w="7927" w:type="dxa"/>
          </w:tcPr>
          <w:p w14:paraId="5652DCC3" w14:textId="3BFF4E47" w:rsidR="009E50CD" w:rsidRPr="00A53AD7" w:rsidRDefault="009E50CD" w:rsidP="009E50CD">
            <w:pPr>
              <w:spacing w:after="0" w:line="240" w:lineRule="auto"/>
              <w:rPr>
                <w:rFonts w:ascii="Times New Roman" w:hAnsi="Times New Roman"/>
              </w:rPr>
            </w:pPr>
            <w:r w:rsidRPr="00A53AD7">
              <w:rPr>
                <w:rFonts w:ascii="Times New Roman" w:hAnsi="Times New Roman"/>
              </w:rPr>
              <w:t>Реализация отдельных мероприятий государственной программы Российской Федерации «Развитие здравоохранения»</w:t>
            </w:r>
          </w:p>
        </w:tc>
        <w:tc>
          <w:tcPr>
            <w:tcW w:w="1397" w:type="dxa"/>
          </w:tcPr>
          <w:p w14:paraId="43EBF636" w14:textId="4C6AD9A0" w:rsidR="009E50CD" w:rsidRPr="00A53AD7" w:rsidRDefault="009E50CD" w:rsidP="008F58A0">
            <w:pPr>
              <w:spacing w:after="0" w:line="240" w:lineRule="auto"/>
              <w:jc w:val="right"/>
              <w:rPr>
                <w:rFonts w:ascii="Times New Roman" w:hAnsi="Times New Roman"/>
              </w:rPr>
            </w:pPr>
            <w:r w:rsidRPr="00A53AD7">
              <w:rPr>
                <w:rFonts w:ascii="Times New Roman" w:hAnsi="Times New Roman"/>
              </w:rPr>
              <w:t>35,2</w:t>
            </w:r>
          </w:p>
        </w:tc>
      </w:tr>
      <w:tr w:rsidR="00A53AD7" w:rsidRPr="00A53AD7" w14:paraId="17382C0F" w14:textId="77777777" w:rsidTr="009E50CD">
        <w:tc>
          <w:tcPr>
            <w:tcW w:w="7927" w:type="dxa"/>
          </w:tcPr>
          <w:p w14:paraId="21E33BD9" w14:textId="4FF8C9F5" w:rsidR="009E50CD" w:rsidRPr="00A53AD7" w:rsidRDefault="009E50CD" w:rsidP="009E50CD">
            <w:pPr>
              <w:spacing w:after="0" w:line="240" w:lineRule="auto"/>
              <w:rPr>
                <w:rFonts w:ascii="Times New Roman" w:hAnsi="Times New Roman"/>
              </w:rPr>
            </w:pPr>
            <w:r w:rsidRPr="00A53AD7">
              <w:rPr>
                <w:rFonts w:ascii="Times New Roman" w:hAnsi="Times New Roman"/>
              </w:rPr>
              <w:t>Реализация мероприятий по созданию в субъектах РФ новых мест в общеобразовательных организациях</w:t>
            </w:r>
          </w:p>
        </w:tc>
        <w:tc>
          <w:tcPr>
            <w:tcW w:w="1397" w:type="dxa"/>
          </w:tcPr>
          <w:p w14:paraId="257BBE17" w14:textId="1668A2A9" w:rsidR="009E50CD" w:rsidRPr="00A53AD7" w:rsidRDefault="009E50CD" w:rsidP="008F58A0">
            <w:pPr>
              <w:spacing w:after="0" w:line="240" w:lineRule="auto"/>
              <w:jc w:val="right"/>
              <w:rPr>
                <w:rFonts w:ascii="Times New Roman" w:hAnsi="Times New Roman"/>
              </w:rPr>
            </w:pPr>
            <w:r w:rsidRPr="00A53AD7">
              <w:rPr>
                <w:rFonts w:ascii="Times New Roman" w:hAnsi="Times New Roman"/>
              </w:rPr>
              <w:t>156,8</w:t>
            </w:r>
          </w:p>
        </w:tc>
      </w:tr>
      <w:tr w:rsidR="00A53AD7" w:rsidRPr="00A53AD7" w14:paraId="06D3A083" w14:textId="77777777" w:rsidTr="009E50CD">
        <w:tc>
          <w:tcPr>
            <w:tcW w:w="7927" w:type="dxa"/>
          </w:tcPr>
          <w:p w14:paraId="1FD550B4" w14:textId="44F068AF" w:rsidR="009E50CD" w:rsidRPr="00A53AD7" w:rsidRDefault="009E50CD" w:rsidP="009E50CD">
            <w:pPr>
              <w:spacing w:after="0" w:line="240" w:lineRule="auto"/>
              <w:rPr>
                <w:rFonts w:ascii="Times New Roman" w:hAnsi="Times New Roman"/>
              </w:rPr>
            </w:pPr>
            <w:r w:rsidRPr="00A53AD7">
              <w:rPr>
                <w:rFonts w:ascii="Times New Roman" w:hAnsi="Times New Roman"/>
              </w:rPr>
              <w:t>Реализация федеральных целевых программ</w:t>
            </w:r>
          </w:p>
        </w:tc>
        <w:tc>
          <w:tcPr>
            <w:tcW w:w="1397" w:type="dxa"/>
          </w:tcPr>
          <w:p w14:paraId="5585BDEA" w14:textId="2E8B9308" w:rsidR="009E50CD" w:rsidRPr="00A53AD7" w:rsidRDefault="009E50CD" w:rsidP="008F58A0">
            <w:pPr>
              <w:spacing w:after="0" w:line="240" w:lineRule="auto"/>
              <w:jc w:val="right"/>
              <w:rPr>
                <w:rFonts w:ascii="Times New Roman" w:hAnsi="Times New Roman"/>
              </w:rPr>
            </w:pPr>
            <w:r w:rsidRPr="00A53AD7">
              <w:rPr>
                <w:rFonts w:ascii="Times New Roman" w:hAnsi="Times New Roman"/>
              </w:rPr>
              <w:t>105,2</w:t>
            </w:r>
          </w:p>
        </w:tc>
      </w:tr>
      <w:tr w:rsidR="00A53AD7" w:rsidRPr="00A53AD7" w14:paraId="790C9941" w14:textId="77777777" w:rsidTr="009E50CD">
        <w:tc>
          <w:tcPr>
            <w:tcW w:w="7927" w:type="dxa"/>
          </w:tcPr>
          <w:p w14:paraId="7FC187A5" w14:textId="183D422C" w:rsidR="009E50CD" w:rsidRPr="00A53AD7" w:rsidRDefault="00BE5B8D" w:rsidP="008F58A0">
            <w:pPr>
              <w:spacing w:after="0" w:line="240" w:lineRule="auto"/>
              <w:rPr>
                <w:rFonts w:ascii="Times New Roman" w:hAnsi="Times New Roman"/>
              </w:rPr>
            </w:pPr>
            <w:r w:rsidRPr="00A53AD7">
              <w:rPr>
                <w:rFonts w:ascii="Times New Roman" w:hAnsi="Times New Roman"/>
              </w:rPr>
              <w:t>Софинансирование капитальных вложений в объекты государственной собственности</w:t>
            </w:r>
          </w:p>
        </w:tc>
        <w:tc>
          <w:tcPr>
            <w:tcW w:w="1397" w:type="dxa"/>
          </w:tcPr>
          <w:p w14:paraId="3E7DBEC6" w14:textId="329622E2" w:rsidR="009E50CD" w:rsidRPr="00A53AD7" w:rsidRDefault="009E50CD" w:rsidP="008F58A0">
            <w:pPr>
              <w:spacing w:after="0" w:line="240" w:lineRule="auto"/>
              <w:jc w:val="right"/>
              <w:rPr>
                <w:rFonts w:ascii="Times New Roman" w:hAnsi="Times New Roman"/>
              </w:rPr>
            </w:pPr>
            <w:r w:rsidRPr="00A53AD7">
              <w:rPr>
                <w:rFonts w:ascii="Times New Roman" w:hAnsi="Times New Roman"/>
              </w:rPr>
              <w:t>955,2</w:t>
            </w:r>
          </w:p>
        </w:tc>
      </w:tr>
      <w:tr w:rsidR="009E50CD" w:rsidRPr="00A53AD7" w14:paraId="641AD93A" w14:textId="77777777" w:rsidTr="009E50CD">
        <w:tc>
          <w:tcPr>
            <w:tcW w:w="7927" w:type="dxa"/>
          </w:tcPr>
          <w:p w14:paraId="5895CF9A" w14:textId="34A85FA9" w:rsidR="009E50CD" w:rsidRPr="00A53AD7" w:rsidRDefault="009E50CD" w:rsidP="008F58A0">
            <w:pPr>
              <w:spacing w:after="0" w:line="240" w:lineRule="auto"/>
              <w:rPr>
                <w:rFonts w:ascii="Times New Roman" w:hAnsi="Times New Roman"/>
              </w:rPr>
            </w:pPr>
            <w:r w:rsidRPr="00A53AD7">
              <w:rPr>
                <w:rFonts w:ascii="Times New Roman" w:hAnsi="Times New Roman"/>
              </w:rPr>
              <w:t>Софинансирование государственных программ субъектов Российской Федерации, содержащих мероприятия по развитию материально-технической базы детских поликлиник и детских поликлинических отделений медицинских организаций</w:t>
            </w:r>
          </w:p>
        </w:tc>
        <w:tc>
          <w:tcPr>
            <w:tcW w:w="1397" w:type="dxa"/>
          </w:tcPr>
          <w:p w14:paraId="064A1BD8" w14:textId="3A6AA97E" w:rsidR="009E50CD" w:rsidRPr="00A53AD7" w:rsidRDefault="009E50CD" w:rsidP="008F58A0">
            <w:pPr>
              <w:spacing w:after="0" w:line="240" w:lineRule="auto"/>
              <w:jc w:val="right"/>
              <w:rPr>
                <w:rFonts w:ascii="Times New Roman" w:hAnsi="Times New Roman"/>
              </w:rPr>
            </w:pPr>
            <w:r w:rsidRPr="00A53AD7">
              <w:rPr>
                <w:rFonts w:ascii="Times New Roman" w:hAnsi="Times New Roman"/>
              </w:rPr>
              <w:t>119,8</w:t>
            </w:r>
          </w:p>
        </w:tc>
      </w:tr>
    </w:tbl>
    <w:p w14:paraId="5321D0B0" w14:textId="77777777" w:rsidR="00E070FD" w:rsidRPr="00A53AD7" w:rsidRDefault="00E070FD" w:rsidP="00D01D81">
      <w:pPr>
        <w:spacing w:after="0" w:line="240" w:lineRule="auto"/>
        <w:ind w:firstLine="851"/>
        <w:jc w:val="both"/>
        <w:rPr>
          <w:rFonts w:ascii="Times New Roman" w:hAnsi="Times New Roman"/>
          <w:sz w:val="28"/>
          <w:szCs w:val="28"/>
        </w:rPr>
      </w:pPr>
    </w:p>
    <w:p w14:paraId="18141EF9"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Доля субсидий в структуре безвозмездных поступлений от других бюджетов бюджетной системы отчетного года составила 20,0 %, что по сравнению с 2018 годом больше на 4,9 процентных пункта.</w:t>
      </w:r>
    </w:p>
    <w:p w14:paraId="56F50761" w14:textId="77777777" w:rsidR="00D01D81" w:rsidRPr="00A53AD7" w:rsidRDefault="00D01D81" w:rsidP="00D01D81">
      <w:pPr>
        <w:spacing w:after="0" w:line="240" w:lineRule="auto"/>
        <w:ind w:firstLine="851"/>
        <w:jc w:val="both"/>
        <w:rPr>
          <w:rFonts w:ascii="Times New Roman" w:hAnsi="Times New Roman"/>
          <w:sz w:val="28"/>
          <w:szCs w:val="28"/>
        </w:rPr>
      </w:pPr>
    </w:p>
    <w:p w14:paraId="1128F4AD" w14:textId="68622295"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1.3. Объем поступления субвенций за отчетный год в целом увеличился на 541,5 млн.руб. (+16,5 %), из них за счет увеличения отдельных видов (513,8 млн.руб.) и поступления новых видов (103,5 млн.руб.) субвенций, из ни</w:t>
      </w:r>
      <w:r w:rsidR="00615F38" w:rsidRPr="00A53AD7">
        <w:rPr>
          <w:rFonts w:ascii="Times New Roman" w:hAnsi="Times New Roman"/>
          <w:sz w:val="28"/>
          <w:szCs w:val="28"/>
        </w:rPr>
        <w:t>х</w:t>
      </w:r>
      <w:r w:rsidRPr="00A53AD7">
        <w:rPr>
          <w:rFonts w:ascii="Times New Roman" w:hAnsi="Times New Roman"/>
          <w:sz w:val="28"/>
          <w:szCs w:val="28"/>
        </w:rPr>
        <w:t xml:space="preserve"> наиболее значительные</w:t>
      </w:r>
      <w:r w:rsidR="00F90BE0" w:rsidRPr="00A53AD7">
        <w:rPr>
          <w:rFonts w:ascii="Times New Roman" w:hAnsi="Times New Roman"/>
          <w:sz w:val="28"/>
          <w:szCs w:val="28"/>
        </w:rPr>
        <w:t xml:space="preserve"> (свыше 10,0 млн.руб.)</w:t>
      </w:r>
      <w:r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933"/>
        <w:gridCol w:w="1355"/>
      </w:tblGrid>
      <w:tr w:rsidR="00A53AD7" w:rsidRPr="00A53AD7" w14:paraId="1DAD90C9" w14:textId="77777777" w:rsidTr="00F90BE0">
        <w:trPr>
          <w:tblHeader/>
        </w:trPr>
        <w:tc>
          <w:tcPr>
            <w:tcW w:w="7933" w:type="dxa"/>
          </w:tcPr>
          <w:p w14:paraId="7758F9F9" w14:textId="43FDE561" w:rsidR="00F90BE0" w:rsidRPr="00A53AD7" w:rsidRDefault="00F90BE0" w:rsidP="00F90BE0">
            <w:pPr>
              <w:spacing w:after="0" w:line="240" w:lineRule="auto"/>
              <w:jc w:val="center"/>
              <w:rPr>
                <w:rFonts w:ascii="Times New Roman" w:hAnsi="Times New Roman"/>
              </w:rPr>
            </w:pPr>
            <w:r w:rsidRPr="00A53AD7">
              <w:rPr>
                <w:rFonts w:ascii="Times New Roman" w:hAnsi="Times New Roman"/>
              </w:rPr>
              <w:t>Назначение субвенции</w:t>
            </w:r>
          </w:p>
        </w:tc>
        <w:tc>
          <w:tcPr>
            <w:tcW w:w="1355" w:type="dxa"/>
          </w:tcPr>
          <w:p w14:paraId="2B7AB63A" w14:textId="4D9E422A" w:rsidR="00F90BE0" w:rsidRPr="00A53AD7" w:rsidRDefault="00F90BE0" w:rsidP="00F90BE0">
            <w:pPr>
              <w:spacing w:after="0" w:line="240" w:lineRule="auto"/>
              <w:jc w:val="center"/>
              <w:rPr>
                <w:rFonts w:ascii="Times New Roman" w:hAnsi="Times New Roman"/>
              </w:rPr>
            </w:pPr>
            <w:r w:rsidRPr="00A53AD7">
              <w:rPr>
                <w:rFonts w:ascii="Times New Roman" w:hAnsi="Times New Roman"/>
              </w:rPr>
              <w:t>Сумма увеличения, млн.руб.</w:t>
            </w:r>
          </w:p>
        </w:tc>
      </w:tr>
      <w:tr w:rsidR="00A53AD7" w:rsidRPr="00A53AD7" w14:paraId="1495AEDD" w14:textId="77777777" w:rsidTr="00F90BE0">
        <w:tc>
          <w:tcPr>
            <w:tcW w:w="7933" w:type="dxa"/>
          </w:tcPr>
          <w:p w14:paraId="26982DF6" w14:textId="74473598" w:rsidR="00F90BE0" w:rsidRPr="00A53AD7" w:rsidRDefault="00F90BE0" w:rsidP="00F90BE0">
            <w:pPr>
              <w:spacing w:after="0" w:line="240" w:lineRule="auto"/>
              <w:rPr>
                <w:rFonts w:ascii="Times New Roman" w:hAnsi="Times New Roman"/>
              </w:rPr>
            </w:pPr>
            <w:r w:rsidRPr="00A53AD7">
              <w:rPr>
                <w:rFonts w:ascii="Times New Roman" w:hAnsi="Times New Roman"/>
              </w:rPr>
              <w:t>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p>
        </w:tc>
        <w:tc>
          <w:tcPr>
            <w:tcW w:w="1355" w:type="dxa"/>
          </w:tcPr>
          <w:p w14:paraId="37280006" w14:textId="6ADFF2FE"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16,8</w:t>
            </w:r>
          </w:p>
        </w:tc>
      </w:tr>
      <w:tr w:rsidR="00A53AD7" w:rsidRPr="00A53AD7" w14:paraId="47F92544" w14:textId="77777777" w:rsidTr="00F90BE0">
        <w:tc>
          <w:tcPr>
            <w:tcW w:w="7933" w:type="dxa"/>
          </w:tcPr>
          <w:p w14:paraId="4D620F1A" w14:textId="1ECB0825" w:rsidR="00F90BE0" w:rsidRPr="00A53AD7" w:rsidRDefault="00F90BE0" w:rsidP="00F90BE0">
            <w:pPr>
              <w:spacing w:after="0" w:line="240" w:lineRule="auto"/>
              <w:rPr>
                <w:rFonts w:ascii="Times New Roman" w:hAnsi="Times New Roman"/>
              </w:rPr>
            </w:pPr>
            <w:r w:rsidRPr="00A53AD7">
              <w:rPr>
                <w:rFonts w:ascii="Times New Roman" w:hAnsi="Times New Roman"/>
              </w:rPr>
              <w:t>Осуществление полномочий по обеспечению жильем отдельных категорий граждан, установленных Федеральным законом от 24 ноября 1995 года № 181-ФЗ «О социальной защите инвалидов в Российской Федерации»</w:t>
            </w:r>
          </w:p>
        </w:tc>
        <w:tc>
          <w:tcPr>
            <w:tcW w:w="1355" w:type="dxa"/>
          </w:tcPr>
          <w:p w14:paraId="45EA48D6" w14:textId="6E04487C"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14,2</w:t>
            </w:r>
          </w:p>
        </w:tc>
      </w:tr>
      <w:tr w:rsidR="00A53AD7" w:rsidRPr="00A53AD7" w14:paraId="7F7FF55C" w14:textId="77777777" w:rsidTr="00F90BE0">
        <w:tc>
          <w:tcPr>
            <w:tcW w:w="7933" w:type="dxa"/>
          </w:tcPr>
          <w:p w14:paraId="3C176E48" w14:textId="31F0AC55" w:rsidR="00F90BE0" w:rsidRPr="00A53AD7" w:rsidRDefault="00615F38" w:rsidP="00F90BE0">
            <w:pPr>
              <w:spacing w:after="0" w:line="240" w:lineRule="auto"/>
              <w:rPr>
                <w:rFonts w:ascii="Times New Roman" w:hAnsi="Times New Roman"/>
              </w:rPr>
            </w:pPr>
            <w:r w:rsidRPr="00A53AD7">
              <w:rPr>
                <w:rFonts w:ascii="Times New Roman" w:hAnsi="Times New Roman"/>
              </w:rPr>
              <w:t>Реализация полномочий Российской Федерации по осуществлению социальных выплат безработным гражданам</w:t>
            </w:r>
          </w:p>
        </w:tc>
        <w:tc>
          <w:tcPr>
            <w:tcW w:w="1355" w:type="dxa"/>
          </w:tcPr>
          <w:p w14:paraId="69EE8C0E" w14:textId="34EC2BF4"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245,6</w:t>
            </w:r>
          </w:p>
        </w:tc>
      </w:tr>
      <w:tr w:rsidR="00A53AD7" w:rsidRPr="00A53AD7" w14:paraId="729C0631" w14:textId="77777777" w:rsidTr="00F90BE0">
        <w:tc>
          <w:tcPr>
            <w:tcW w:w="7933" w:type="dxa"/>
          </w:tcPr>
          <w:p w14:paraId="6AF4C96C" w14:textId="59A090AB" w:rsidR="00F90BE0" w:rsidRPr="00A53AD7" w:rsidRDefault="00F90BE0" w:rsidP="00F90BE0">
            <w:pPr>
              <w:spacing w:after="0" w:line="240" w:lineRule="auto"/>
              <w:rPr>
                <w:rFonts w:ascii="Times New Roman" w:hAnsi="Times New Roman"/>
              </w:rPr>
            </w:pPr>
            <w:r w:rsidRPr="00A53AD7">
              <w:rPr>
                <w:rFonts w:ascii="Times New Roman" w:hAnsi="Times New Roman"/>
              </w:rPr>
              <w:t>Осуществление ежемесячной выплаты в связи с рождением (усыновлением) первого ребенка</w:t>
            </w:r>
          </w:p>
        </w:tc>
        <w:tc>
          <w:tcPr>
            <w:tcW w:w="1355" w:type="dxa"/>
          </w:tcPr>
          <w:p w14:paraId="4BE02FF1" w14:textId="7FDACE3A"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212,6</w:t>
            </w:r>
          </w:p>
        </w:tc>
      </w:tr>
      <w:tr w:rsidR="00A53AD7" w:rsidRPr="00A53AD7" w14:paraId="0317C3F2" w14:textId="77777777" w:rsidTr="00F90BE0">
        <w:tc>
          <w:tcPr>
            <w:tcW w:w="7933" w:type="dxa"/>
          </w:tcPr>
          <w:p w14:paraId="66A6773D" w14:textId="295FD600" w:rsidR="00F90BE0" w:rsidRPr="00A53AD7" w:rsidRDefault="00F90BE0" w:rsidP="00F90BE0">
            <w:pPr>
              <w:spacing w:after="0" w:line="240" w:lineRule="auto"/>
              <w:rPr>
                <w:rFonts w:ascii="Times New Roman" w:hAnsi="Times New Roman"/>
              </w:rPr>
            </w:pPr>
            <w:r w:rsidRPr="00A53AD7">
              <w:rPr>
                <w:rFonts w:ascii="Times New Roman" w:hAnsi="Times New Roman"/>
              </w:rPr>
              <w:t>Увеличение площади лесовосстановления</w:t>
            </w:r>
          </w:p>
        </w:tc>
        <w:tc>
          <w:tcPr>
            <w:tcW w:w="1355" w:type="dxa"/>
          </w:tcPr>
          <w:p w14:paraId="1B395FAA" w14:textId="5CA192F8"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15,6</w:t>
            </w:r>
          </w:p>
        </w:tc>
      </w:tr>
      <w:tr w:rsidR="00A53AD7" w:rsidRPr="00A53AD7" w14:paraId="33A26E21" w14:textId="77777777" w:rsidTr="00F90BE0">
        <w:tc>
          <w:tcPr>
            <w:tcW w:w="7933" w:type="dxa"/>
          </w:tcPr>
          <w:p w14:paraId="47C9CD9F" w14:textId="5A3DF135" w:rsidR="00F90BE0" w:rsidRPr="00A53AD7" w:rsidRDefault="00F90BE0" w:rsidP="00F90BE0">
            <w:pPr>
              <w:spacing w:after="0" w:line="240" w:lineRule="auto"/>
              <w:rPr>
                <w:rFonts w:ascii="Times New Roman" w:hAnsi="Times New Roman"/>
              </w:rPr>
            </w:pPr>
            <w:r w:rsidRPr="00A53AD7">
              <w:rPr>
                <w:rFonts w:ascii="Times New Roman" w:hAnsi="Times New Roman"/>
              </w:rPr>
              <w:t>Оснащение учреждений, выполняющих мероприятия по воспроизводству лесов, специализированной лесохозяйственной техникой и оборудованием для проведения комплекса мероприятий по лесовосстановлению и лесоразведению</w:t>
            </w:r>
          </w:p>
        </w:tc>
        <w:tc>
          <w:tcPr>
            <w:tcW w:w="1355" w:type="dxa"/>
          </w:tcPr>
          <w:p w14:paraId="23E2173E" w14:textId="155B625C"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18,0</w:t>
            </w:r>
          </w:p>
        </w:tc>
      </w:tr>
      <w:tr w:rsidR="00F90BE0" w:rsidRPr="00A53AD7" w14:paraId="10F07784" w14:textId="77777777" w:rsidTr="00F90BE0">
        <w:tc>
          <w:tcPr>
            <w:tcW w:w="7933" w:type="dxa"/>
          </w:tcPr>
          <w:p w14:paraId="2AF151DB" w14:textId="7871F50C" w:rsidR="00F90BE0" w:rsidRPr="00A53AD7" w:rsidRDefault="00F90BE0" w:rsidP="00F90BE0">
            <w:pPr>
              <w:spacing w:after="0" w:line="240" w:lineRule="auto"/>
              <w:rPr>
                <w:rFonts w:ascii="Times New Roman" w:hAnsi="Times New Roman"/>
              </w:rPr>
            </w:pPr>
            <w:r w:rsidRPr="00A53AD7">
              <w:rPr>
                <w:rFonts w:ascii="Times New Roman" w:hAnsi="Times New Roman"/>
              </w:rPr>
              <w:t>Оснащение специализированных учреждений органов государственной власти субъектов РФ лесопожарной техникой и оборудованием для проведения комплекса мероприятий по охране лесов от пожаров</w:t>
            </w:r>
          </w:p>
        </w:tc>
        <w:tc>
          <w:tcPr>
            <w:tcW w:w="1355" w:type="dxa"/>
          </w:tcPr>
          <w:p w14:paraId="06DE15A1" w14:textId="46D2B7C2" w:rsidR="00F90BE0" w:rsidRPr="00A53AD7" w:rsidRDefault="00F90BE0" w:rsidP="00F90BE0">
            <w:pPr>
              <w:spacing w:after="0" w:line="240" w:lineRule="auto"/>
              <w:jc w:val="right"/>
              <w:rPr>
                <w:rFonts w:ascii="Times New Roman" w:hAnsi="Times New Roman"/>
              </w:rPr>
            </w:pPr>
            <w:r w:rsidRPr="00A53AD7">
              <w:rPr>
                <w:rFonts w:ascii="Times New Roman" w:hAnsi="Times New Roman"/>
              </w:rPr>
              <w:t>69,9</w:t>
            </w:r>
          </w:p>
        </w:tc>
      </w:tr>
    </w:tbl>
    <w:p w14:paraId="52001C6B" w14:textId="77777777" w:rsidR="00F90BE0" w:rsidRPr="00A53AD7" w:rsidRDefault="00F90BE0" w:rsidP="00D01D81">
      <w:pPr>
        <w:spacing w:after="0" w:line="240" w:lineRule="auto"/>
        <w:ind w:firstLine="851"/>
        <w:jc w:val="both"/>
        <w:rPr>
          <w:rFonts w:ascii="Times New Roman" w:hAnsi="Times New Roman"/>
          <w:sz w:val="28"/>
          <w:szCs w:val="28"/>
        </w:rPr>
      </w:pPr>
    </w:p>
    <w:p w14:paraId="37FF7894" w14:textId="2D27173A" w:rsidR="00D01D81" w:rsidRPr="00A53AD7" w:rsidRDefault="00F90BE0"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Одновременно</w:t>
      </w:r>
      <w:r w:rsidR="00D01D81" w:rsidRPr="00A53AD7">
        <w:rPr>
          <w:rFonts w:ascii="Times New Roman" w:hAnsi="Times New Roman"/>
          <w:sz w:val="28"/>
          <w:szCs w:val="28"/>
        </w:rPr>
        <w:t xml:space="preserve"> </w:t>
      </w:r>
      <w:r w:rsidRPr="00A53AD7">
        <w:rPr>
          <w:rFonts w:ascii="Times New Roman" w:hAnsi="Times New Roman"/>
          <w:sz w:val="28"/>
          <w:szCs w:val="28"/>
        </w:rPr>
        <w:t xml:space="preserve">на 75,5 млн.руб. </w:t>
      </w:r>
      <w:r w:rsidR="00D01D81" w:rsidRPr="00A53AD7">
        <w:rPr>
          <w:rFonts w:ascii="Times New Roman" w:hAnsi="Times New Roman"/>
          <w:sz w:val="28"/>
          <w:szCs w:val="28"/>
        </w:rPr>
        <w:t>сократились поступления по ряду субвенций</w:t>
      </w:r>
      <w:r w:rsidR="00E354F2" w:rsidRPr="00A53AD7">
        <w:rPr>
          <w:rFonts w:ascii="Times New Roman" w:hAnsi="Times New Roman"/>
          <w:sz w:val="28"/>
          <w:szCs w:val="28"/>
        </w:rPr>
        <w:t xml:space="preserve"> (от 10,0 млн.руб. и выше)</w:t>
      </w:r>
      <w:r w:rsidR="00D01D81"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927"/>
        <w:gridCol w:w="1397"/>
      </w:tblGrid>
      <w:tr w:rsidR="00A53AD7" w:rsidRPr="00A53AD7" w14:paraId="218DA3AE" w14:textId="77777777" w:rsidTr="00E354F2">
        <w:trPr>
          <w:tblHeader/>
        </w:trPr>
        <w:tc>
          <w:tcPr>
            <w:tcW w:w="7927" w:type="dxa"/>
          </w:tcPr>
          <w:p w14:paraId="5E1879F7" w14:textId="77777777" w:rsidR="00F90BE0" w:rsidRPr="00A53AD7" w:rsidRDefault="00F90BE0" w:rsidP="008F58A0">
            <w:pPr>
              <w:spacing w:after="0" w:line="240" w:lineRule="auto"/>
              <w:jc w:val="center"/>
              <w:rPr>
                <w:rFonts w:ascii="Times New Roman" w:hAnsi="Times New Roman"/>
              </w:rPr>
            </w:pPr>
            <w:r w:rsidRPr="00A53AD7">
              <w:rPr>
                <w:rFonts w:ascii="Times New Roman" w:hAnsi="Times New Roman"/>
              </w:rPr>
              <w:t>Назначение субвенции</w:t>
            </w:r>
          </w:p>
        </w:tc>
        <w:tc>
          <w:tcPr>
            <w:tcW w:w="1397" w:type="dxa"/>
          </w:tcPr>
          <w:p w14:paraId="6C0BF39C" w14:textId="3B822A49" w:rsidR="00F90BE0" w:rsidRPr="00A53AD7" w:rsidRDefault="00F90BE0" w:rsidP="00E354F2">
            <w:pPr>
              <w:spacing w:after="0" w:line="240" w:lineRule="auto"/>
              <w:jc w:val="center"/>
              <w:rPr>
                <w:rFonts w:ascii="Times New Roman" w:hAnsi="Times New Roman"/>
              </w:rPr>
            </w:pPr>
            <w:r w:rsidRPr="00A53AD7">
              <w:rPr>
                <w:rFonts w:ascii="Times New Roman" w:hAnsi="Times New Roman"/>
              </w:rPr>
              <w:t xml:space="preserve">Сумма </w:t>
            </w:r>
            <w:r w:rsidR="00E354F2" w:rsidRPr="00A53AD7">
              <w:rPr>
                <w:rFonts w:ascii="Times New Roman" w:hAnsi="Times New Roman"/>
              </w:rPr>
              <w:t>сокращения</w:t>
            </w:r>
            <w:r w:rsidRPr="00A53AD7">
              <w:rPr>
                <w:rFonts w:ascii="Times New Roman" w:hAnsi="Times New Roman"/>
              </w:rPr>
              <w:t>, млн.руб.</w:t>
            </w:r>
          </w:p>
        </w:tc>
      </w:tr>
      <w:tr w:rsidR="00A53AD7" w:rsidRPr="00A53AD7" w14:paraId="3C4D6183" w14:textId="77777777" w:rsidTr="00E354F2">
        <w:tc>
          <w:tcPr>
            <w:tcW w:w="7927" w:type="dxa"/>
          </w:tcPr>
          <w:p w14:paraId="51CD155D" w14:textId="07C16193" w:rsidR="00F90BE0" w:rsidRPr="00A53AD7" w:rsidRDefault="00F90BE0" w:rsidP="008F58A0">
            <w:pPr>
              <w:spacing w:after="0" w:line="240" w:lineRule="auto"/>
              <w:rPr>
                <w:rFonts w:ascii="Times New Roman" w:hAnsi="Times New Roman"/>
              </w:rPr>
            </w:pPr>
            <w:r w:rsidRPr="00A53AD7">
              <w:rPr>
                <w:rFonts w:ascii="Times New Roman" w:hAnsi="Times New Roman"/>
              </w:rPr>
              <w:t>Осуществление отдельных полномочий в области лесных отношений</w:t>
            </w:r>
          </w:p>
        </w:tc>
        <w:tc>
          <w:tcPr>
            <w:tcW w:w="1397" w:type="dxa"/>
          </w:tcPr>
          <w:p w14:paraId="43B971BE" w14:textId="20C90033" w:rsidR="00F90BE0" w:rsidRPr="00A53AD7" w:rsidRDefault="00F90BE0" w:rsidP="008F58A0">
            <w:pPr>
              <w:spacing w:after="0" w:line="240" w:lineRule="auto"/>
              <w:jc w:val="right"/>
              <w:rPr>
                <w:rFonts w:ascii="Times New Roman" w:hAnsi="Times New Roman"/>
              </w:rPr>
            </w:pPr>
            <w:r w:rsidRPr="00A53AD7">
              <w:rPr>
                <w:rFonts w:ascii="Times New Roman" w:hAnsi="Times New Roman"/>
              </w:rPr>
              <w:t>27,5</w:t>
            </w:r>
          </w:p>
        </w:tc>
      </w:tr>
      <w:tr w:rsidR="00A53AD7" w:rsidRPr="00A53AD7" w14:paraId="6E2AC86D" w14:textId="77777777" w:rsidTr="00E354F2">
        <w:tc>
          <w:tcPr>
            <w:tcW w:w="7927" w:type="dxa"/>
          </w:tcPr>
          <w:p w14:paraId="3106DF1D" w14:textId="7D71D8D0" w:rsidR="00F90BE0" w:rsidRPr="00A53AD7" w:rsidRDefault="00F90BE0" w:rsidP="00F90BE0">
            <w:pPr>
              <w:spacing w:after="0" w:line="240" w:lineRule="auto"/>
              <w:rPr>
                <w:rFonts w:ascii="Times New Roman" w:hAnsi="Times New Roman"/>
              </w:rPr>
            </w:pPr>
            <w:r w:rsidRPr="00A53AD7">
              <w:rPr>
                <w:rFonts w:ascii="Times New Roman" w:hAnsi="Times New Roman"/>
              </w:rPr>
              <w:t>Выплата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ликвидацией организаций (прекращением деятельности, полномочий физическими лицами)</w:t>
            </w:r>
          </w:p>
        </w:tc>
        <w:tc>
          <w:tcPr>
            <w:tcW w:w="1397" w:type="dxa"/>
          </w:tcPr>
          <w:p w14:paraId="6FAA2A6F" w14:textId="13979AC7" w:rsidR="00F90BE0" w:rsidRPr="00A53AD7" w:rsidRDefault="00F90BE0" w:rsidP="008F58A0">
            <w:pPr>
              <w:spacing w:after="0" w:line="240" w:lineRule="auto"/>
              <w:jc w:val="right"/>
              <w:rPr>
                <w:rFonts w:ascii="Times New Roman" w:hAnsi="Times New Roman"/>
              </w:rPr>
            </w:pPr>
            <w:r w:rsidRPr="00A53AD7">
              <w:rPr>
                <w:rFonts w:ascii="Times New Roman" w:hAnsi="Times New Roman"/>
              </w:rPr>
              <w:t>12,4</w:t>
            </w:r>
          </w:p>
        </w:tc>
      </w:tr>
      <w:tr w:rsidR="00A53AD7" w:rsidRPr="00A53AD7" w14:paraId="5A0B8E25" w14:textId="77777777" w:rsidTr="00E354F2">
        <w:tc>
          <w:tcPr>
            <w:tcW w:w="7927" w:type="dxa"/>
          </w:tcPr>
          <w:p w14:paraId="7A57F135" w14:textId="2D915026" w:rsidR="00F90BE0" w:rsidRPr="00A53AD7" w:rsidRDefault="00E354F2" w:rsidP="008F58A0">
            <w:pPr>
              <w:spacing w:after="0" w:line="240" w:lineRule="auto"/>
              <w:rPr>
                <w:rFonts w:ascii="Times New Roman" w:hAnsi="Times New Roman"/>
              </w:rPr>
            </w:pPr>
            <w:r w:rsidRPr="00A53AD7">
              <w:rPr>
                <w:rFonts w:ascii="Times New Roman" w:hAnsi="Times New Roman"/>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рецептам на медицинские изделия, а также специализированными продуктами лечебного питания для детей-инвалидов</w:t>
            </w:r>
          </w:p>
        </w:tc>
        <w:tc>
          <w:tcPr>
            <w:tcW w:w="1397" w:type="dxa"/>
          </w:tcPr>
          <w:p w14:paraId="1ACD88F3" w14:textId="3ABC7FC5" w:rsidR="00F90BE0" w:rsidRPr="00A53AD7" w:rsidRDefault="00E354F2" w:rsidP="008F58A0">
            <w:pPr>
              <w:spacing w:after="0" w:line="240" w:lineRule="auto"/>
              <w:jc w:val="right"/>
              <w:rPr>
                <w:rFonts w:ascii="Times New Roman" w:hAnsi="Times New Roman"/>
              </w:rPr>
            </w:pPr>
            <w:r w:rsidRPr="00A53AD7">
              <w:rPr>
                <w:rFonts w:ascii="Times New Roman" w:hAnsi="Times New Roman"/>
              </w:rPr>
              <w:t>10,0</w:t>
            </w:r>
          </w:p>
        </w:tc>
      </w:tr>
      <w:tr w:rsidR="00F90BE0" w:rsidRPr="00A53AD7" w14:paraId="545BB714" w14:textId="77777777" w:rsidTr="00E354F2">
        <w:tc>
          <w:tcPr>
            <w:tcW w:w="7927" w:type="dxa"/>
          </w:tcPr>
          <w:p w14:paraId="0859004E" w14:textId="29186974" w:rsidR="00F90BE0" w:rsidRPr="00A53AD7" w:rsidRDefault="00E354F2" w:rsidP="008F58A0">
            <w:pPr>
              <w:spacing w:after="0" w:line="240" w:lineRule="auto"/>
              <w:rPr>
                <w:rFonts w:ascii="Times New Roman" w:hAnsi="Times New Roman"/>
              </w:rPr>
            </w:pPr>
            <w:r w:rsidRPr="00A53AD7">
              <w:rPr>
                <w:rFonts w:ascii="Times New Roman" w:hAnsi="Times New Roman"/>
              </w:rPr>
              <w:t>Обеспечение жильем граждан, уволенных с военной службы (службы), и приравненных к ним лиц</w:t>
            </w:r>
          </w:p>
        </w:tc>
        <w:tc>
          <w:tcPr>
            <w:tcW w:w="1397" w:type="dxa"/>
          </w:tcPr>
          <w:p w14:paraId="596D6229" w14:textId="2892621B" w:rsidR="00F90BE0" w:rsidRPr="00A53AD7" w:rsidRDefault="00E354F2" w:rsidP="008F58A0">
            <w:pPr>
              <w:spacing w:after="0" w:line="240" w:lineRule="auto"/>
              <w:jc w:val="right"/>
              <w:rPr>
                <w:rFonts w:ascii="Times New Roman" w:hAnsi="Times New Roman"/>
              </w:rPr>
            </w:pPr>
            <w:r w:rsidRPr="00A53AD7">
              <w:rPr>
                <w:rFonts w:ascii="Times New Roman" w:hAnsi="Times New Roman"/>
              </w:rPr>
              <w:t>11,0</w:t>
            </w:r>
          </w:p>
        </w:tc>
      </w:tr>
    </w:tbl>
    <w:p w14:paraId="2BD064E1" w14:textId="77777777" w:rsidR="00F90BE0" w:rsidRPr="00A53AD7" w:rsidRDefault="00F90BE0" w:rsidP="00D01D81">
      <w:pPr>
        <w:spacing w:after="0" w:line="240" w:lineRule="auto"/>
        <w:ind w:firstLine="851"/>
        <w:jc w:val="both"/>
        <w:rPr>
          <w:rFonts w:ascii="Times New Roman" w:hAnsi="Times New Roman"/>
          <w:sz w:val="28"/>
          <w:szCs w:val="28"/>
        </w:rPr>
      </w:pPr>
    </w:p>
    <w:p w14:paraId="0D65C56F" w14:textId="4FB2DCD8"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Доля субвенций в структуре безвозмездных поступлений от других бюджетов бюджетной системы снизилась на 2,4 процентный пункт</w:t>
      </w:r>
      <w:r w:rsidR="00E354F2" w:rsidRPr="00A53AD7">
        <w:rPr>
          <w:rFonts w:ascii="Times New Roman" w:hAnsi="Times New Roman"/>
          <w:sz w:val="28"/>
          <w:szCs w:val="28"/>
        </w:rPr>
        <w:t>а</w:t>
      </w:r>
      <w:r w:rsidRPr="00A53AD7">
        <w:rPr>
          <w:rFonts w:ascii="Times New Roman" w:hAnsi="Times New Roman"/>
          <w:sz w:val="28"/>
          <w:szCs w:val="28"/>
        </w:rPr>
        <w:t xml:space="preserve"> и составила 14,5 % (в 2017 году – 16,9 %).</w:t>
      </w:r>
    </w:p>
    <w:p w14:paraId="1453E1DC" w14:textId="77777777" w:rsidR="00D01D81" w:rsidRPr="00A53AD7" w:rsidRDefault="00D01D81" w:rsidP="00D01D81">
      <w:pPr>
        <w:spacing w:after="0" w:line="240" w:lineRule="auto"/>
        <w:ind w:firstLine="851"/>
        <w:jc w:val="both"/>
        <w:rPr>
          <w:rFonts w:ascii="Times New Roman" w:hAnsi="Times New Roman"/>
          <w:sz w:val="28"/>
          <w:szCs w:val="28"/>
        </w:rPr>
      </w:pPr>
    </w:p>
    <w:p w14:paraId="710C60AD" w14:textId="137CF55A"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1.4. Объем поступления иных межбюджетных трансфертов за отчетный год увеличился на 4 948,0 млн.руб. (в 4,5 раза). Доля иных межбюджетных трансфертов в структуре безвозмездных поступлений от других бюджетов бюджетной системы составила 24,0 %, увеличившись на 16,9 процентных пункта по сра</w:t>
      </w:r>
      <w:r w:rsidR="00E354F2" w:rsidRPr="00A53AD7">
        <w:rPr>
          <w:rFonts w:ascii="Times New Roman" w:hAnsi="Times New Roman"/>
          <w:sz w:val="28"/>
          <w:szCs w:val="28"/>
        </w:rPr>
        <w:t>внению с прошлым годом (7,1 %).</w:t>
      </w:r>
    </w:p>
    <w:p w14:paraId="3BDD29E7" w14:textId="6AA51C5D" w:rsidR="00E354F2"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Основной причиной является увеличение и поступления новых видов</w:t>
      </w:r>
      <w:r w:rsidR="00C636C8" w:rsidRPr="00A53AD7">
        <w:rPr>
          <w:rFonts w:ascii="Times New Roman" w:hAnsi="Times New Roman"/>
          <w:sz w:val="28"/>
          <w:szCs w:val="28"/>
        </w:rPr>
        <w:t xml:space="preserve"> иных </w:t>
      </w:r>
      <w:r w:rsidRPr="00A53AD7">
        <w:rPr>
          <w:rFonts w:ascii="Times New Roman" w:hAnsi="Times New Roman"/>
          <w:sz w:val="28"/>
          <w:szCs w:val="28"/>
        </w:rPr>
        <w:t>межбюджетных трансфертов, из них</w:t>
      </w:r>
      <w:r w:rsidR="00E354F2" w:rsidRPr="00A53AD7">
        <w:rPr>
          <w:rFonts w:ascii="Times New Roman" w:hAnsi="Times New Roman"/>
          <w:sz w:val="28"/>
          <w:szCs w:val="28"/>
        </w:rPr>
        <w:t xml:space="preserve"> наибольшее</w:t>
      </w:r>
      <w:r w:rsidR="00C636C8" w:rsidRPr="00A53AD7">
        <w:rPr>
          <w:rFonts w:ascii="Times New Roman" w:hAnsi="Times New Roman"/>
          <w:sz w:val="28"/>
          <w:szCs w:val="28"/>
        </w:rPr>
        <w:t xml:space="preserve"> (свыше 10,0 млн.руб.)</w:t>
      </w:r>
      <w:r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933"/>
        <w:gridCol w:w="1355"/>
      </w:tblGrid>
      <w:tr w:rsidR="00A53AD7" w:rsidRPr="00A53AD7" w14:paraId="2F411544" w14:textId="77777777" w:rsidTr="00D11204">
        <w:trPr>
          <w:tblHeader/>
        </w:trPr>
        <w:tc>
          <w:tcPr>
            <w:tcW w:w="7933" w:type="dxa"/>
          </w:tcPr>
          <w:p w14:paraId="0CB0AE1D" w14:textId="589F1999" w:rsidR="00E354F2" w:rsidRPr="00A53AD7" w:rsidRDefault="00E354F2" w:rsidP="00E354F2">
            <w:pPr>
              <w:spacing w:after="0" w:line="240" w:lineRule="auto"/>
              <w:jc w:val="center"/>
              <w:rPr>
                <w:rFonts w:ascii="Times New Roman" w:hAnsi="Times New Roman"/>
              </w:rPr>
            </w:pPr>
            <w:r w:rsidRPr="00A53AD7">
              <w:rPr>
                <w:rFonts w:ascii="Times New Roman" w:hAnsi="Times New Roman"/>
              </w:rPr>
              <w:t>Цель предоставления</w:t>
            </w:r>
          </w:p>
        </w:tc>
        <w:tc>
          <w:tcPr>
            <w:tcW w:w="1355" w:type="dxa"/>
          </w:tcPr>
          <w:p w14:paraId="711434F9" w14:textId="14B8B607" w:rsidR="00E354F2" w:rsidRPr="00A53AD7" w:rsidRDefault="00E354F2" w:rsidP="00E354F2">
            <w:pPr>
              <w:spacing w:after="0" w:line="240" w:lineRule="auto"/>
              <w:jc w:val="center"/>
              <w:rPr>
                <w:rFonts w:ascii="Times New Roman" w:hAnsi="Times New Roman"/>
              </w:rPr>
            </w:pPr>
            <w:r w:rsidRPr="00A53AD7">
              <w:rPr>
                <w:rFonts w:ascii="Times New Roman" w:hAnsi="Times New Roman"/>
              </w:rPr>
              <w:t>Сумма увеличения, млн.руб.</w:t>
            </w:r>
          </w:p>
        </w:tc>
      </w:tr>
      <w:tr w:rsidR="00A53AD7" w:rsidRPr="00A53AD7" w14:paraId="20FB0618" w14:textId="77777777" w:rsidTr="00C636C8">
        <w:tc>
          <w:tcPr>
            <w:tcW w:w="7933" w:type="dxa"/>
          </w:tcPr>
          <w:p w14:paraId="6ED99F40" w14:textId="637A9DCB" w:rsidR="00E354F2" w:rsidRPr="00A53AD7" w:rsidRDefault="00E354F2" w:rsidP="00D01D81">
            <w:pPr>
              <w:spacing w:after="0" w:line="240" w:lineRule="auto"/>
              <w:jc w:val="both"/>
              <w:rPr>
                <w:rFonts w:ascii="Times New Roman" w:hAnsi="Times New Roman"/>
              </w:rPr>
            </w:pPr>
            <w:r w:rsidRPr="00A53AD7">
              <w:rPr>
                <w:rFonts w:ascii="Times New Roman" w:hAnsi="Times New Roman"/>
              </w:rPr>
              <w:t>Финансовое обеспечение дорожной деятельности</w:t>
            </w:r>
          </w:p>
        </w:tc>
        <w:tc>
          <w:tcPr>
            <w:tcW w:w="1355" w:type="dxa"/>
          </w:tcPr>
          <w:p w14:paraId="2DBF5A61" w14:textId="4D0AD53B" w:rsidR="00E354F2" w:rsidRPr="00A53AD7" w:rsidRDefault="00E354F2" w:rsidP="00E354F2">
            <w:pPr>
              <w:spacing w:after="0" w:line="240" w:lineRule="auto"/>
              <w:jc w:val="right"/>
              <w:rPr>
                <w:rFonts w:ascii="Times New Roman" w:hAnsi="Times New Roman"/>
              </w:rPr>
            </w:pPr>
            <w:r w:rsidRPr="00A53AD7">
              <w:rPr>
                <w:rFonts w:ascii="Times New Roman" w:hAnsi="Times New Roman"/>
              </w:rPr>
              <w:t>1 981,2</w:t>
            </w:r>
          </w:p>
        </w:tc>
      </w:tr>
      <w:tr w:rsidR="00A53AD7" w:rsidRPr="00A53AD7" w14:paraId="3FA2A4B5" w14:textId="77777777" w:rsidTr="003F1D09">
        <w:tc>
          <w:tcPr>
            <w:tcW w:w="7933" w:type="dxa"/>
          </w:tcPr>
          <w:p w14:paraId="2EF5B51B" w14:textId="1CC1B35C" w:rsidR="00D11204" w:rsidRPr="00A53AD7" w:rsidRDefault="00D11204" w:rsidP="00D11204">
            <w:pPr>
              <w:spacing w:after="0" w:line="240" w:lineRule="auto"/>
              <w:rPr>
                <w:rFonts w:ascii="Times New Roman" w:hAnsi="Times New Roman"/>
              </w:rPr>
            </w:pPr>
            <w:r w:rsidRPr="00A53AD7">
              <w:rPr>
                <w:rFonts w:ascii="Times New Roman" w:hAnsi="Times New Roman"/>
              </w:rPr>
              <w:t>По соглашению между Правительством Архангельской области и Правительством города Москвы в целях социально-экономического развития Архангельской области</w:t>
            </w:r>
          </w:p>
        </w:tc>
        <w:tc>
          <w:tcPr>
            <w:tcW w:w="1355" w:type="dxa"/>
            <w:vAlign w:val="bottom"/>
          </w:tcPr>
          <w:p w14:paraId="2331915F" w14:textId="4E0AA2C4" w:rsidR="00D11204" w:rsidRPr="00A53AD7" w:rsidRDefault="00D11204" w:rsidP="00D11204">
            <w:pPr>
              <w:spacing w:after="0" w:line="240" w:lineRule="auto"/>
              <w:jc w:val="right"/>
              <w:rPr>
                <w:rFonts w:ascii="Times New Roman" w:hAnsi="Times New Roman"/>
              </w:rPr>
            </w:pPr>
            <w:r w:rsidRPr="00A53AD7">
              <w:rPr>
                <w:rFonts w:ascii="Times New Roman" w:hAnsi="Times New Roman"/>
              </w:rPr>
              <w:t>2 000,0</w:t>
            </w:r>
          </w:p>
        </w:tc>
      </w:tr>
      <w:tr w:rsidR="00A53AD7" w:rsidRPr="00A53AD7" w14:paraId="5F699C70" w14:textId="77777777" w:rsidTr="00C636C8">
        <w:tc>
          <w:tcPr>
            <w:tcW w:w="7933" w:type="dxa"/>
          </w:tcPr>
          <w:p w14:paraId="59258BCD" w14:textId="1D4A44BB" w:rsidR="00E354F2" w:rsidRPr="00A53AD7" w:rsidRDefault="00E354F2" w:rsidP="00E354F2">
            <w:pPr>
              <w:spacing w:after="0" w:line="240" w:lineRule="auto"/>
              <w:jc w:val="both"/>
              <w:rPr>
                <w:rFonts w:ascii="Times New Roman" w:hAnsi="Times New Roman"/>
              </w:rPr>
            </w:pPr>
            <w:r w:rsidRPr="00A53AD7">
              <w:rPr>
                <w:rFonts w:ascii="Times New Roman" w:hAnsi="Times New Roman"/>
              </w:rPr>
              <w:t>Выплата региональной доплаты к пенсии</w:t>
            </w:r>
          </w:p>
        </w:tc>
        <w:tc>
          <w:tcPr>
            <w:tcW w:w="1355" w:type="dxa"/>
          </w:tcPr>
          <w:p w14:paraId="10712373" w14:textId="453B8C5B" w:rsidR="00E354F2" w:rsidRPr="00A53AD7" w:rsidRDefault="00E354F2" w:rsidP="00E354F2">
            <w:pPr>
              <w:spacing w:after="0" w:line="240" w:lineRule="auto"/>
              <w:jc w:val="right"/>
              <w:rPr>
                <w:rFonts w:ascii="Times New Roman" w:hAnsi="Times New Roman"/>
              </w:rPr>
            </w:pPr>
            <w:r w:rsidRPr="00A53AD7">
              <w:rPr>
                <w:rFonts w:ascii="Times New Roman" w:hAnsi="Times New Roman"/>
              </w:rPr>
              <w:t>141,0</w:t>
            </w:r>
          </w:p>
        </w:tc>
      </w:tr>
      <w:tr w:rsidR="00A53AD7" w:rsidRPr="00A53AD7" w14:paraId="20A63876" w14:textId="77777777" w:rsidTr="00C636C8">
        <w:tc>
          <w:tcPr>
            <w:tcW w:w="7933" w:type="dxa"/>
          </w:tcPr>
          <w:p w14:paraId="71A34E39" w14:textId="02DB75A9" w:rsidR="00E354F2" w:rsidRPr="00A53AD7" w:rsidRDefault="00C636C8" w:rsidP="00C636C8">
            <w:pPr>
              <w:spacing w:after="0" w:line="240" w:lineRule="auto"/>
              <w:rPr>
                <w:rFonts w:ascii="Times New Roman" w:hAnsi="Times New Roman"/>
              </w:rPr>
            </w:pPr>
            <w:r w:rsidRPr="00A53AD7">
              <w:rPr>
                <w:rFonts w:ascii="Times New Roman" w:hAnsi="Times New Roman"/>
              </w:rPr>
              <w:t>С</w:t>
            </w:r>
            <w:r w:rsidR="00E354F2" w:rsidRPr="00A53AD7">
              <w:rPr>
                <w:rFonts w:ascii="Times New Roman" w:hAnsi="Times New Roman"/>
              </w:rPr>
              <w:t xml:space="preserve">оздание дополнительных мест для детей в возрасте от 2 месяцев до 3 лет в </w:t>
            </w:r>
            <w:r w:rsidR="003558B8" w:rsidRPr="00A53AD7">
              <w:rPr>
                <w:rFonts w:ascii="Times New Roman" w:hAnsi="Times New Roman"/>
              </w:rPr>
              <w:t>о</w:t>
            </w:r>
            <w:r w:rsidR="00E354F2" w:rsidRPr="00A53AD7">
              <w:rPr>
                <w:rFonts w:ascii="Times New Roman" w:hAnsi="Times New Roman"/>
              </w:rPr>
              <w:t>бразовательных организациях, осуществляющих образовательную деятельность по образовательным программам дошкольного образования</w:t>
            </w:r>
          </w:p>
        </w:tc>
        <w:tc>
          <w:tcPr>
            <w:tcW w:w="1355" w:type="dxa"/>
          </w:tcPr>
          <w:p w14:paraId="20FCE33C" w14:textId="6F60A606" w:rsidR="00E354F2" w:rsidRPr="00A53AD7" w:rsidRDefault="00C636C8" w:rsidP="00E354F2">
            <w:pPr>
              <w:spacing w:after="0" w:line="240" w:lineRule="auto"/>
              <w:jc w:val="right"/>
              <w:rPr>
                <w:rFonts w:ascii="Times New Roman" w:hAnsi="Times New Roman"/>
              </w:rPr>
            </w:pPr>
            <w:r w:rsidRPr="00A53AD7">
              <w:rPr>
                <w:rFonts w:ascii="Times New Roman" w:hAnsi="Times New Roman"/>
              </w:rPr>
              <w:t>539,4</w:t>
            </w:r>
          </w:p>
        </w:tc>
      </w:tr>
      <w:tr w:rsidR="00A53AD7" w:rsidRPr="00A53AD7" w14:paraId="0AF860C5" w14:textId="77777777" w:rsidTr="00C636C8">
        <w:tc>
          <w:tcPr>
            <w:tcW w:w="7933" w:type="dxa"/>
          </w:tcPr>
          <w:p w14:paraId="23D0BB2B" w14:textId="3B9AD0DC" w:rsidR="00E354F2" w:rsidRPr="00A53AD7" w:rsidRDefault="00C636C8" w:rsidP="00C636C8">
            <w:pPr>
              <w:spacing w:after="0" w:line="240" w:lineRule="auto"/>
              <w:jc w:val="both"/>
              <w:rPr>
                <w:rFonts w:ascii="Times New Roman" w:hAnsi="Times New Roman"/>
              </w:rPr>
            </w:pPr>
            <w:r w:rsidRPr="00A53AD7">
              <w:rPr>
                <w:rFonts w:ascii="Times New Roman" w:hAnsi="Times New Roman"/>
              </w:rPr>
              <w:t>Модернизация отрасли «здравоохранение»</w:t>
            </w:r>
          </w:p>
        </w:tc>
        <w:tc>
          <w:tcPr>
            <w:tcW w:w="1355" w:type="dxa"/>
          </w:tcPr>
          <w:p w14:paraId="19A93238" w14:textId="3D4B5EEA" w:rsidR="00E354F2" w:rsidRPr="00A53AD7" w:rsidRDefault="00C636C8" w:rsidP="00E354F2">
            <w:pPr>
              <w:spacing w:after="0" w:line="240" w:lineRule="auto"/>
              <w:jc w:val="right"/>
              <w:rPr>
                <w:rFonts w:ascii="Times New Roman" w:hAnsi="Times New Roman"/>
              </w:rPr>
            </w:pPr>
            <w:r w:rsidRPr="00A53AD7">
              <w:rPr>
                <w:rFonts w:ascii="Times New Roman" w:hAnsi="Times New Roman"/>
              </w:rPr>
              <w:t>498,1</w:t>
            </w:r>
          </w:p>
        </w:tc>
      </w:tr>
      <w:tr w:rsidR="00A53AD7" w:rsidRPr="00A53AD7" w14:paraId="3315DDAF" w14:textId="77777777" w:rsidTr="00C636C8">
        <w:tc>
          <w:tcPr>
            <w:tcW w:w="7933" w:type="dxa"/>
          </w:tcPr>
          <w:p w14:paraId="1F8E92DB" w14:textId="230F54BB" w:rsidR="00C636C8" w:rsidRPr="00A53AD7" w:rsidRDefault="00C636C8" w:rsidP="00C636C8">
            <w:pPr>
              <w:spacing w:after="0" w:line="240" w:lineRule="auto"/>
              <w:rPr>
                <w:rFonts w:ascii="Times New Roman" w:hAnsi="Times New Roman"/>
              </w:rPr>
            </w:pPr>
            <w:r w:rsidRPr="00A53AD7">
              <w:rPr>
                <w:rFonts w:ascii="Times New Roman" w:hAnsi="Times New Roman"/>
              </w:rPr>
              <w:t>Организация профессионального обучения и дополнительного профессионального образования лиц предпенсионного возраста</w:t>
            </w:r>
          </w:p>
        </w:tc>
        <w:tc>
          <w:tcPr>
            <w:tcW w:w="1355" w:type="dxa"/>
          </w:tcPr>
          <w:p w14:paraId="3BA48F2F" w14:textId="1E325A7C" w:rsidR="00C636C8" w:rsidRPr="00A53AD7" w:rsidRDefault="00C636C8" w:rsidP="00E354F2">
            <w:pPr>
              <w:spacing w:after="0" w:line="240" w:lineRule="auto"/>
              <w:jc w:val="right"/>
              <w:rPr>
                <w:rFonts w:ascii="Times New Roman" w:hAnsi="Times New Roman"/>
              </w:rPr>
            </w:pPr>
            <w:r w:rsidRPr="00A53AD7">
              <w:rPr>
                <w:rFonts w:ascii="Times New Roman" w:hAnsi="Times New Roman"/>
              </w:rPr>
              <w:t>10,7</w:t>
            </w:r>
          </w:p>
        </w:tc>
      </w:tr>
      <w:tr w:rsidR="00C636C8" w:rsidRPr="00A53AD7" w14:paraId="24F2D06F" w14:textId="77777777" w:rsidTr="00C636C8">
        <w:tc>
          <w:tcPr>
            <w:tcW w:w="7933" w:type="dxa"/>
          </w:tcPr>
          <w:p w14:paraId="521B62C8" w14:textId="585352E9" w:rsidR="00C636C8" w:rsidRPr="00A53AD7" w:rsidRDefault="00C636C8" w:rsidP="00D01D81">
            <w:pPr>
              <w:spacing w:after="0" w:line="240" w:lineRule="auto"/>
              <w:jc w:val="both"/>
              <w:rPr>
                <w:rFonts w:ascii="Times New Roman" w:hAnsi="Times New Roman"/>
              </w:rPr>
            </w:pPr>
            <w:r w:rsidRPr="00A53AD7">
              <w:rPr>
                <w:rFonts w:ascii="Times New Roman" w:hAnsi="Times New Roman"/>
              </w:rPr>
              <w:t>Приобретение автотранспорта</w:t>
            </w:r>
          </w:p>
        </w:tc>
        <w:tc>
          <w:tcPr>
            <w:tcW w:w="1355" w:type="dxa"/>
          </w:tcPr>
          <w:p w14:paraId="7FA98225" w14:textId="0FA0936F" w:rsidR="00C636C8" w:rsidRPr="00A53AD7" w:rsidRDefault="00C636C8" w:rsidP="00E354F2">
            <w:pPr>
              <w:spacing w:after="0" w:line="240" w:lineRule="auto"/>
              <w:jc w:val="right"/>
              <w:rPr>
                <w:rFonts w:ascii="Times New Roman" w:hAnsi="Times New Roman"/>
              </w:rPr>
            </w:pPr>
            <w:r w:rsidRPr="00A53AD7">
              <w:rPr>
                <w:rFonts w:ascii="Times New Roman" w:hAnsi="Times New Roman"/>
              </w:rPr>
              <w:t>32,5</w:t>
            </w:r>
          </w:p>
        </w:tc>
      </w:tr>
    </w:tbl>
    <w:p w14:paraId="48F5F979" w14:textId="77777777" w:rsidR="00E354F2" w:rsidRPr="00A53AD7" w:rsidRDefault="00E354F2" w:rsidP="00D01D81">
      <w:pPr>
        <w:spacing w:after="0" w:line="240" w:lineRule="auto"/>
        <w:ind w:firstLine="851"/>
        <w:jc w:val="both"/>
        <w:rPr>
          <w:rFonts w:ascii="Times New Roman" w:hAnsi="Times New Roman"/>
          <w:sz w:val="28"/>
          <w:szCs w:val="28"/>
        </w:rPr>
      </w:pPr>
    </w:p>
    <w:p w14:paraId="7CC66DDB"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объем поступлений по отдельным видам межбюджетных трансфертов уменьшен, из них: за счет средств резервного фонда Правительства Российской Федерации – на 167,9 млн.руб.; на возмещение части прямых понесенных затрат на создание и (или) модернизацию объектов агропромышленного комплекса – 97,7 млн.руб.</w:t>
      </w:r>
    </w:p>
    <w:p w14:paraId="63716092" w14:textId="77777777" w:rsidR="00D01D81" w:rsidRPr="00A53AD7" w:rsidRDefault="00D01D81" w:rsidP="00D01D81">
      <w:pPr>
        <w:spacing w:after="0" w:line="240" w:lineRule="auto"/>
        <w:ind w:firstLine="851"/>
        <w:jc w:val="both"/>
        <w:rPr>
          <w:rFonts w:ascii="Times New Roman" w:hAnsi="Times New Roman"/>
          <w:sz w:val="28"/>
          <w:szCs w:val="28"/>
        </w:rPr>
      </w:pPr>
    </w:p>
    <w:p w14:paraId="66DCA663" w14:textId="77777777" w:rsidR="00D11204" w:rsidRPr="00A53AD7" w:rsidRDefault="00D11204" w:rsidP="00D11204">
      <w:pPr>
        <w:spacing w:after="0" w:line="240" w:lineRule="auto"/>
        <w:ind w:firstLine="851"/>
        <w:jc w:val="both"/>
        <w:rPr>
          <w:rFonts w:ascii="Times New Roman" w:hAnsi="Times New Roman"/>
          <w:sz w:val="28"/>
          <w:szCs w:val="28"/>
        </w:rPr>
      </w:pPr>
      <w:r w:rsidRPr="00A53AD7">
        <w:rPr>
          <w:rFonts w:ascii="Times New Roman" w:hAnsi="Times New Roman"/>
          <w:sz w:val="28"/>
          <w:szCs w:val="28"/>
        </w:rPr>
        <w:t>2. Безвозмездные поступления от государственных организаций за отчетный период составили 2 272,3 млн.руб., из них поступления от Фонда содействия реформированию ЖКХ (далее – Фонд ЖКХ) составили 2 271,8 млн.руб. (с учетом возврата 10,1 млн.руб.) на обеспечение мероприятий по переселению граждан из аварийного жилищного фонда с учетом необходимости развития малоэтажного жилищного строительства. По сравнению с 2018 годом указанные поступления в областной бюджет увеличились на 2 214,9 млн.руб. или в 39,5 раз (за счет средств Фонда ЖКХ).</w:t>
      </w:r>
    </w:p>
    <w:p w14:paraId="06CAF5B9" w14:textId="77777777" w:rsidR="00D01D81" w:rsidRPr="00A53AD7" w:rsidRDefault="00D01D81" w:rsidP="00D01D81">
      <w:pPr>
        <w:spacing w:after="0" w:line="240" w:lineRule="auto"/>
        <w:ind w:firstLine="851"/>
        <w:jc w:val="both"/>
        <w:rPr>
          <w:rFonts w:ascii="Times New Roman" w:hAnsi="Times New Roman"/>
          <w:sz w:val="28"/>
          <w:szCs w:val="28"/>
          <w:u w:val="single"/>
        </w:rPr>
      </w:pPr>
    </w:p>
    <w:p w14:paraId="57EDC1AE" w14:textId="77777777" w:rsidR="00C36517" w:rsidRPr="00A53AD7" w:rsidRDefault="00C36517" w:rsidP="00C36517">
      <w:pPr>
        <w:spacing w:after="0" w:line="240" w:lineRule="auto"/>
        <w:ind w:firstLine="851"/>
        <w:jc w:val="both"/>
        <w:rPr>
          <w:rFonts w:ascii="Times New Roman" w:hAnsi="Times New Roman"/>
          <w:sz w:val="28"/>
          <w:szCs w:val="28"/>
        </w:rPr>
      </w:pPr>
      <w:r w:rsidRPr="00A53AD7">
        <w:rPr>
          <w:rFonts w:ascii="Times New Roman" w:hAnsi="Times New Roman"/>
          <w:sz w:val="28"/>
          <w:szCs w:val="28"/>
        </w:rPr>
        <w:t>3. Безвозмездные поступления от негосударственных организаций поступили в соответствии с показателями годового кассового плана и составили 0,9 млн.руб. от пожертвований негосударственных организаций для ГКУЗ АО «Специализированный дом ребенка» г. Архангельск.</w:t>
      </w:r>
    </w:p>
    <w:p w14:paraId="719AD2EA" w14:textId="77777777" w:rsidR="00D01D81" w:rsidRPr="00A53AD7" w:rsidRDefault="00D01D81" w:rsidP="00D01D81">
      <w:pPr>
        <w:spacing w:after="0" w:line="240" w:lineRule="auto"/>
        <w:ind w:firstLine="851"/>
        <w:jc w:val="both"/>
        <w:rPr>
          <w:rFonts w:ascii="Times New Roman" w:hAnsi="Times New Roman"/>
          <w:sz w:val="28"/>
          <w:szCs w:val="28"/>
        </w:rPr>
      </w:pPr>
    </w:p>
    <w:p w14:paraId="3D6A8ADE" w14:textId="0A6A5FCA" w:rsidR="008F58A0"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4. Прочие безвозмездные поступления </w:t>
      </w:r>
      <w:r w:rsidR="008F58A0" w:rsidRPr="00A53AD7">
        <w:rPr>
          <w:rFonts w:ascii="Times New Roman" w:hAnsi="Times New Roman"/>
          <w:sz w:val="28"/>
          <w:szCs w:val="28"/>
        </w:rPr>
        <w:t xml:space="preserve">в областной бюджет </w:t>
      </w:r>
      <w:r w:rsidRPr="00A53AD7">
        <w:rPr>
          <w:rFonts w:ascii="Times New Roman" w:hAnsi="Times New Roman"/>
          <w:sz w:val="28"/>
          <w:szCs w:val="28"/>
        </w:rPr>
        <w:t>составили 56,4 млн.руб.</w:t>
      </w:r>
      <w:r w:rsidR="008F58A0" w:rsidRPr="00A53AD7">
        <w:rPr>
          <w:rFonts w:ascii="Times New Roman" w:hAnsi="Times New Roman"/>
          <w:sz w:val="28"/>
          <w:szCs w:val="28"/>
        </w:rPr>
        <w:t xml:space="preserve"> или</w:t>
      </w:r>
      <w:r w:rsidRPr="00A53AD7">
        <w:rPr>
          <w:rFonts w:ascii="Times New Roman" w:hAnsi="Times New Roman"/>
          <w:sz w:val="28"/>
          <w:szCs w:val="28"/>
        </w:rPr>
        <w:t xml:space="preserve"> 105,4 % </w:t>
      </w:r>
      <w:r w:rsidR="008F58A0" w:rsidRPr="00A53AD7">
        <w:rPr>
          <w:rFonts w:ascii="Times New Roman" w:hAnsi="Times New Roman"/>
          <w:sz w:val="28"/>
          <w:szCs w:val="28"/>
        </w:rPr>
        <w:t xml:space="preserve">к </w:t>
      </w:r>
      <w:r w:rsidRPr="00A53AD7">
        <w:rPr>
          <w:rFonts w:ascii="Times New Roman" w:hAnsi="Times New Roman"/>
          <w:sz w:val="28"/>
          <w:szCs w:val="28"/>
        </w:rPr>
        <w:t>показател</w:t>
      </w:r>
      <w:r w:rsidR="008F58A0" w:rsidRPr="00A53AD7">
        <w:rPr>
          <w:rFonts w:ascii="Times New Roman" w:hAnsi="Times New Roman"/>
          <w:sz w:val="28"/>
          <w:szCs w:val="28"/>
        </w:rPr>
        <w:t>ям</w:t>
      </w:r>
      <w:r w:rsidRPr="00A53AD7">
        <w:rPr>
          <w:rFonts w:ascii="Times New Roman" w:hAnsi="Times New Roman"/>
          <w:sz w:val="28"/>
          <w:szCs w:val="28"/>
        </w:rPr>
        <w:t xml:space="preserve"> годового кассового плана, </w:t>
      </w:r>
      <w:r w:rsidR="008F58A0" w:rsidRPr="00A53AD7">
        <w:rPr>
          <w:rFonts w:ascii="Times New Roman" w:hAnsi="Times New Roman"/>
          <w:sz w:val="28"/>
          <w:szCs w:val="28"/>
        </w:rPr>
        <w:t>в том числе</w:t>
      </w:r>
      <w:r w:rsidRPr="00A53AD7">
        <w:rPr>
          <w:rFonts w:ascii="Times New Roman" w:hAnsi="Times New Roman"/>
          <w:sz w:val="28"/>
          <w:szCs w:val="28"/>
        </w:rPr>
        <w:t>:</w:t>
      </w:r>
    </w:p>
    <w:p w14:paraId="59ADEB38" w14:textId="77777777" w:rsidR="008F58A0" w:rsidRPr="00A53AD7" w:rsidRDefault="00D01D81" w:rsidP="00BB09B8">
      <w:pPr>
        <w:pStyle w:val="a8"/>
        <w:numPr>
          <w:ilvl w:val="0"/>
          <w:numId w:val="15"/>
        </w:numPr>
        <w:ind w:left="0" w:firstLine="839"/>
        <w:jc w:val="both"/>
        <w:rPr>
          <w:sz w:val="28"/>
          <w:szCs w:val="28"/>
        </w:rPr>
      </w:pPr>
      <w:r w:rsidRPr="00A53AD7">
        <w:rPr>
          <w:sz w:val="28"/>
          <w:szCs w:val="28"/>
        </w:rPr>
        <w:t>30,0 млн.руб. – на финансовое обеспечение дорожной деятельности на территории Устьянского муниципального образования от ООО «Устьянская лесоперерабатывающая компания»;</w:t>
      </w:r>
    </w:p>
    <w:p w14:paraId="57BAA722" w14:textId="77777777" w:rsidR="008F58A0" w:rsidRPr="00A53AD7" w:rsidRDefault="00D01D81" w:rsidP="00BB09B8">
      <w:pPr>
        <w:pStyle w:val="a8"/>
        <w:numPr>
          <w:ilvl w:val="0"/>
          <w:numId w:val="15"/>
        </w:numPr>
        <w:ind w:left="0" w:firstLine="839"/>
        <w:jc w:val="both"/>
        <w:rPr>
          <w:sz w:val="28"/>
          <w:szCs w:val="28"/>
        </w:rPr>
      </w:pPr>
      <w:r w:rsidRPr="00A53AD7">
        <w:rPr>
          <w:sz w:val="28"/>
          <w:szCs w:val="28"/>
        </w:rPr>
        <w:t xml:space="preserve">20,9 млн.руб. – на осуществление мероприятий, направленных на социально-экономическое развитие региона, которые поступили от филиала АО «Группа «Илим» г. Коряжма – 9,2 млн.руб., ООО «Группа компаний «УЛК» – 4,6 млн.руб., ООО «Северный лес» – 4,4 млн.руб., </w:t>
      </w:r>
      <w:r w:rsidR="008F58A0" w:rsidRPr="00A53AD7">
        <w:rPr>
          <w:sz w:val="28"/>
          <w:szCs w:val="28"/>
        </w:rPr>
        <w:t>О</w:t>
      </w:r>
      <w:r w:rsidRPr="00A53AD7">
        <w:rPr>
          <w:sz w:val="28"/>
          <w:szCs w:val="28"/>
        </w:rPr>
        <w:t>ОО «Карпогорылес» – 1,2 млн.руб. и других организаций в соответствии с заключенными соглашениями;</w:t>
      </w:r>
    </w:p>
    <w:p w14:paraId="4EB47CB5" w14:textId="77777777" w:rsidR="00C36517" w:rsidRPr="00A53AD7" w:rsidRDefault="00C36517" w:rsidP="00BB09B8">
      <w:pPr>
        <w:pStyle w:val="a8"/>
        <w:numPr>
          <w:ilvl w:val="0"/>
          <w:numId w:val="15"/>
        </w:numPr>
        <w:ind w:left="0" w:firstLine="851"/>
        <w:jc w:val="both"/>
        <w:rPr>
          <w:sz w:val="28"/>
          <w:szCs w:val="28"/>
        </w:rPr>
      </w:pPr>
      <w:r w:rsidRPr="00A53AD7">
        <w:rPr>
          <w:sz w:val="28"/>
          <w:szCs w:val="28"/>
        </w:rPr>
        <w:t>5,3 млн.руб. поступило от Управления Росрезерва по Северо-Западному федеральному округу за выполнение работ по ответственному хранению материальных ценностей мобилизационного резерва;</w:t>
      </w:r>
    </w:p>
    <w:p w14:paraId="465676B9" w14:textId="77777777" w:rsidR="009268BC" w:rsidRPr="00A53AD7" w:rsidRDefault="009268BC" w:rsidP="00BB09B8">
      <w:pPr>
        <w:pStyle w:val="a8"/>
        <w:numPr>
          <w:ilvl w:val="0"/>
          <w:numId w:val="15"/>
        </w:numPr>
        <w:ind w:left="0" w:firstLine="851"/>
        <w:jc w:val="both"/>
        <w:rPr>
          <w:sz w:val="28"/>
          <w:szCs w:val="28"/>
        </w:rPr>
      </w:pPr>
      <w:r w:rsidRPr="00A53AD7">
        <w:rPr>
          <w:sz w:val="28"/>
          <w:szCs w:val="28"/>
        </w:rPr>
        <w:t>0,2 млн.руб. – пожертвования от физических лиц для ГКУЗ АО «Специализированный дом ребенка» г. Архангельск и ГКУЗ АО «Северодвинский дом ребенка».</w:t>
      </w:r>
    </w:p>
    <w:p w14:paraId="49541343" w14:textId="1ADD9175" w:rsidR="00D01D81" w:rsidRPr="00A53AD7" w:rsidRDefault="00D01D81" w:rsidP="00C4670C">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Перечисление межбюджетных трансфертов из федерального бюджета бюджету субъекта Р</w:t>
      </w:r>
      <w:r w:rsidR="00C4670C" w:rsidRPr="00A53AD7">
        <w:rPr>
          <w:rFonts w:ascii="Times New Roman" w:hAnsi="Times New Roman"/>
          <w:sz w:val="28"/>
          <w:szCs w:val="28"/>
        </w:rPr>
        <w:t>Ф</w:t>
      </w:r>
      <w:r w:rsidRPr="00A53AD7">
        <w:rPr>
          <w:rFonts w:ascii="Times New Roman" w:hAnsi="Times New Roman"/>
          <w:sz w:val="28"/>
          <w:szCs w:val="28"/>
        </w:rPr>
        <w:t xml:space="preserve"> в форме субсидий, субвенций и иных межбюджетных трансфертов, имеющих целевое назначение, за исключением межбюджетных трансфертов, включенных в перечень, утвержденный Правительством Российской Федерации, осуществляется в порядке, установленном Федеральным казначейством, в пределах сумм, необходим</w:t>
      </w:r>
      <w:r w:rsidR="00C4670C" w:rsidRPr="00A53AD7">
        <w:rPr>
          <w:rFonts w:ascii="Times New Roman" w:hAnsi="Times New Roman"/>
          <w:sz w:val="28"/>
          <w:szCs w:val="28"/>
        </w:rPr>
        <w:t>ых</w:t>
      </w:r>
      <w:r w:rsidRPr="00A53AD7">
        <w:rPr>
          <w:rFonts w:ascii="Times New Roman" w:hAnsi="Times New Roman"/>
          <w:sz w:val="28"/>
          <w:szCs w:val="28"/>
        </w:rPr>
        <w:t xml:space="preserve"> для оплаты денежных обязательств по расходам получателей средств бюджета субъекта </w:t>
      </w:r>
      <w:r w:rsidR="00C4670C" w:rsidRPr="00A53AD7">
        <w:rPr>
          <w:rFonts w:ascii="Times New Roman" w:hAnsi="Times New Roman"/>
          <w:sz w:val="28"/>
          <w:szCs w:val="28"/>
        </w:rPr>
        <w:t>РФ</w:t>
      </w:r>
      <w:r w:rsidRPr="00A53AD7">
        <w:rPr>
          <w:rFonts w:ascii="Times New Roman" w:hAnsi="Times New Roman"/>
          <w:sz w:val="28"/>
          <w:szCs w:val="28"/>
        </w:rPr>
        <w:t xml:space="preserve"> при исполнении расходных обязательств субъекта </w:t>
      </w:r>
      <w:r w:rsidR="00C4670C" w:rsidRPr="00A53AD7">
        <w:rPr>
          <w:rFonts w:ascii="Times New Roman" w:hAnsi="Times New Roman"/>
          <w:sz w:val="28"/>
          <w:szCs w:val="28"/>
        </w:rPr>
        <w:t>РФ</w:t>
      </w:r>
      <w:r w:rsidRPr="00A53AD7">
        <w:rPr>
          <w:rFonts w:ascii="Times New Roman" w:hAnsi="Times New Roman"/>
          <w:sz w:val="28"/>
          <w:szCs w:val="28"/>
        </w:rPr>
        <w:t>, в целях финансового обеспечения или софинансирования которых предоставляются такие межбюджетные трансферты, что соответствует п. 6 ст. 130 Бюджетного кодекса РФ.</w:t>
      </w:r>
    </w:p>
    <w:p w14:paraId="3973DEE3" w14:textId="003216AB" w:rsidR="00D01D81" w:rsidRPr="00A53AD7" w:rsidRDefault="00CB421E"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5. </w:t>
      </w:r>
      <w:r w:rsidR="00D01D81" w:rsidRPr="00A53AD7">
        <w:rPr>
          <w:rFonts w:ascii="Times New Roman" w:hAnsi="Times New Roman"/>
          <w:sz w:val="28"/>
          <w:szCs w:val="28"/>
        </w:rPr>
        <w:t xml:space="preserve">Доходы бюджетов бюджетной системы Российской Федерации от возврата остатков субсидии, субвенций и иных межбюджетных трансфертов, имеющих целевое назначение, прошлых лет с учетом </w:t>
      </w:r>
      <w:r w:rsidRPr="00A53AD7">
        <w:rPr>
          <w:rFonts w:ascii="Times New Roman" w:hAnsi="Times New Roman"/>
          <w:sz w:val="28"/>
          <w:szCs w:val="28"/>
        </w:rPr>
        <w:t>возврата</w:t>
      </w:r>
      <w:r w:rsidR="00D01D81" w:rsidRPr="00A53AD7">
        <w:rPr>
          <w:rFonts w:ascii="Times New Roman" w:hAnsi="Times New Roman"/>
          <w:sz w:val="28"/>
          <w:szCs w:val="28"/>
        </w:rPr>
        <w:t xml:space="preserve"> из областного бюджета </w:t>
      </w:r>
      <w:r w:rsidRPr="00A53AD7">
        <w:rPr>
          <w:rFonts w:ascii="Times New Roman" w:hAnsi="Times New Roman"/>
          <w:sz w:val="28"/>
          <w:szCs w:val="28"/>
        </w:rPr>
        <w:t xml:space="preserve">в федеральный бюджет </w:t>
      </w:r>
      <w:r w:rsidR="00D01D81" w:rsidRPr="00A53AD7">
        <w:rPr>
          <w:rFonts w:ascii="Times New Roman" w:hAnsi="Times New Roman"/>
          <w:sz w:val="28"/>
          <w:szCs w:val="28"/>
        </w:rPr>
        <w:t>составил</w:t>
      </w:r>
      <w:r w:rsidRPr="00A53AD7">
        <w:rPr>
          <w:rFonts w:ascii="Times New Roman" w:hAnsi="Times New Roman"/>
          <w:sz w:val="28"/>
          <w:szCs w:val="28"/>
        </w:rPr>
        <w:t>и</w:t>
      </w:r>
      <w:r w:rsidR="00D01D81" w:rsidRPr="00A53AD7">
        <w:rPr>
          <w:rFonts w:ascii="Times New Roman" w:hAnsi="Times New Roman"/>
          <w:sz w:val="28"/>
          <w:szCs w:val="28"/>
        </w:rPr>
        <w:t xml:space="preserve"> 56,2 млн.руб.</w:t>
      </w:r>
    </w:p>
    <w:p w14:paraId="2D3A735F" w14:textId="77777777" w:rsidR="00D01D81" w:rsidRPr="00A53AD7" w:rsidRDefault="00D01D81" w:rsidP="00D01D81">
      <w:pPr>
        <w:spacing w:after="0" w:line="240" w:lineRule="auto"/>
        <w:ind w:firstLine="851"/>
        <w:jc w:val="both"/>
        <w:rPr>
          <w:rFonts w:ascii="Times New Roman" w:hAnsi="Times New Roman"/>
          <w:sz w:val="28"/>
          <w:szCs w:val="28"/>
        </w:rPr>
      </w:pPr>
    </w:p>
    <w:p w14:paraId="3668D33D" w14:textId="77777777" w:rsidR="00D01D81" w:rsidRPr="00A53AD7" w:rsidRDefault="00D01D81" w:rsidP="00D01D8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об остатках средств областного бюджета на 01.01.2020 и их целевой направленности, представленной в составе пояснительной записки, остаток средств на счете областного бюджета составил 6 916,1 млн.руб, из них:</w:t>
      </w:r>
    </w:p>
    <w:p w14:paraId="59F677FD" w14:textId="77777777" w:rsidR="00667130" w:rsidRPr="00A53AD7" w:rsidRDefault="00667130" w:rsidP="00BB09B8">
      <w:pPr>
        <w:pStyle w:val="a8"/>
        <w:numPr>
          <w:ilvl w:val="0"/>
          <w:numId w:val="15"/>
        </w:numPr>
        <w:ind w:left="0" w:firstLine="839"/>
        <w:jc w:val="both"/>
        <w:rPr>
          <w:sz w:val="28"/>
          <w:szCs w:val="28"/>
        </w:rPr>
      </w:pPr>
      <w:r w:rsidRPr="00A53AD7">
        <w:rPr>
          <w:sz w:val="28"/>
          <w:szCs w:val="28"/>
        </w:rPr>
        <w:t>целевые средства федерального бюджета – 3,0 млн.руб., из них: субсидии на содействие достижению целевых показателей региональных программ развития агропромышленного комплекса – 2,7 млн.руб;</w:t>
      </w:r>
    </w:p>
    <w:p w14:paraId="3A99F34D" w14:textId="60C914FF" w:rsidR="00D01D81" w:rsidRPr="00A53AD7" w:rsidRDefault="00D01D81" w:rsidP="00BB09B8">
      <w:pPr>
        <w:pStyle w:val="a8"/>
        <w:numPr>
          <w:ilvl w:val="0"/>
          <w:numId w:val="15"/>
        </w:numPr>
        <w:ind w:left="0" w:firstLine="839"/>
        <w:jc w:val="both"/>
        <w:rPr>
          <w:sz w:val="28"/>
          <w:szCs w:val="28"/>
        </w:rPr>
      </w:pPr>
      <w:r w:rsidRPr="00A53AD7">
        <w:rPr>
          <w:sz w:val="28"/>
          <w:szCs w:val="28"/>
        </w:rPr>
        <w:t xml:space="preserve">средства Фонда </w:t>
      </w:r>
      <w:r w:rsidR="005C2D0A" w:rsidRPr="00A53AD7">
        <w:rPr>
          <w:sz w:val="28"/>
          <w:szCs w:val="28"/>
        </w:rPr>
        <w:t>ЖКХ</w:t>
      </w:r>
      <w:r w:rsidRPr="00A53AD7">
        <w:rPr>
          <w:sz w:val="28"/>
          <w:szCs w:val="28"/>
        </w:rPr>
        <w:t xml:space="preserve"> – 1 989,0 млн.руб.;</w:t>
      </w:r>
    </w:p>
    <w:p w14:paraId="00EA62FF" w14:textId="44D90C8C" w:rsidR="00667130" w:rsidRPr="00A53AD7" w:rsidRDefault="00667130" w:rsidP="00BB09B8">
      <w:pPr>
        <w:pStyle w:val="a8"/>
        <w:numPr>
          <w:ilvl w:val="0"/>
          <w:numId w:val="15"/>
        </w:numPr>
        <w:ind w:left="0" w:firstLine="851"/>
        <w:jc w:val="both"/>
        <w:rPr>
          <w:sz w:val="28"/>
          <w:szCs w:val="28"/>
        </w:rPr>
      </w:pPr>
      <w:r w:rsidRPr="00A53AD7">
        <w:rPr>
          <w:sz w:val="28"/>
          <w:szCs w:val="28"/>
        </w:rPr>
        <w:t>остатки федеральной целевой дотации, предназначенной для реконструкции Университетской Ломоносовской гимназии – 20,7 млн.руб.;</w:t>
      </w:r>
    </w:p>
    <w:p w14:paraId="14F763F4" w14:textId="77777777" w:rsidR="00563644" w:rsidRPr="00A53AD7" w:rsidRDefault="00563644" w:rsidP="00BB09B8">
      <w:pPr>
        <w:pStyle w:val="a8"/>
        <w:numPr>
          <w:ilvl w:val="0"/>
          <w:numId w:val="15"/>
        </w:numPr>
        <w:ind w:left="0" w:firstLine="839"/>
        <w:jc w:val="both"/>
        <w:rPr>
          <w:sz w:val="28"/>
          <w:szCs w:val="28"/>
        </w:rPr>
      </w:pPr>
      <w:r w:rsidRPr="00A53AD7">
        <w:rPr>
          <w:sz w:val="28"/>
          <w:szCs w:val="28"/>
        </w:rPr>
        <w:t>средства бюджета г. Москвы, поступившие в целях социально-экономического развития Архангельской области – 1 733,6 млн.руб.;</w:t>
      </w:r>
    </w:p>
    <w:p w14:paraId="06531198" w14:textId="032DF8E9" w:rsidR="00D01D81" w:rsidRPr="00A53AD7" w:rsidRDefault="00D01D81" w:rsidP="00BB09B8">
      <w:pPr>
        <w:pStyle w:val="a8"/>
        <w:numPr>
          <w:ilvl w:val="0"/>
          <w:numId w:val="15"/>
        </w:numPr>
        <w:ind w:left="0" w:firstLine="839"/>
        <w:jc w:val="both"/>
        <w:rPr>
          <w:sz w:val="28"/>
          <w:szCs w:val="28"/>
        </w:rPr>
      </w:pPr>
      <w:r w:rsidRPr="00A53AD7">
        <w:rPr>
          <w:sz w:val="28"/>
          <w:szCs w:val="28"/>
        </w:rPr>
        <w:t>средства областного бюджета – 3 169,6 млн.руб., в том числе: остатки дорожного фонда Архангельской области – 359,2 млн.руб.</w:t>
      </w:r>
    </w:p>
    <w:p w14:paraId="73D69ED7" w14:textId="77777777" w:rsidR="00251448" w:rsidRPr="00A53AD7" w:rsidRDefault="00251448" w:rsidP="00251448">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целом в 2019 году установлена положительная динамика безвозмездных поступлений (за исключением поступления дотаций) в областной бюджет. </w:t>
      </w:r>
    </w:p>
    <w:p w14:paraId="39AD94AB" w14:textId="30EB62B5" w:rsidR="00925401" w:rsidRPr="00A53AD7" w:rsidRDefault="00BE6D75" w:rsidP="00925401">
      <w:pPr>
        <w:pStyle w:val="10"/>
        <w:keepNext/>
        <w:keepLines/>
        <w:autoSpaceDE/>
        <w:autoSpaceDN/>
        <w:adjustRightInd/>
        <w:spacing w:before="240" w:after="120"/>
        <w:rPr>
          <w:rFonts w:ascii="Times New Roman" w:hAnsi="Times New Roman"/>
          <w:color w:val="auto"/>
          <w:sz w:val="28"/>
          <w:szCs w:val="28"/>
          <w:lang w:val="ru-RU" w:eastAsia="en-US"/>
        </w:rPr>
      </w:pPr>
      <w:bookmarkStart w:id="67" w:name="_Toc42006719"/>
      <w:r w:rsidRPr="00A53AD7">
        <w:rPr>
          <w:rFonts w:ascii="Times New Roman" w:hAnsi="Times New Roman"/>
          <w:color w:val="auto"/>
          <w:sz w:val="28"/>
          <w:szCs w:val="28"/>
          <w:lang w:val="ru-RU" w:eastAsia="en-US"/>
        </w:rPr>
        <w:t>4</w:t>
      </w:r>
      <w:r w:rsidR="00925401" w:rsidRPr="00A53AD7">
        <w:rPr>
          <w:rFonts w:ascii="Times New Roman" w:hAnsi="Times New Roman"/>
          <w:color w:val="auto"/>
          <w:sz w:val="28"/>
          <w:szCs w:val="28"/>
          <w:lang w:eastAsia="en-US"/>
        </w:rPr>
        <w:t xml:space="preserve">. </w:t>
      </w:r>
      <w:r w:rsidR="0044270C" w:rsidRPr="00A53AD7">
        <w:rPr>
          <w:rFonts w:ascii="Times New Roman" w:hAnsi="Times New Roman"/>
          <w:color w:val="auto"/>
          <w:sz w:val="28"/>
          <w:szCs w:val="28"/>
          <w:lang w:eastAsia="en-US"/>
        </w:rPr>
        <w:t xml:space="preserve">Расходы областного бюджета </w:t>
      </w:r>
      <w:r w:rsidR="00592234" w:rsidRPr="00A53AD7">
        <w:rPr>
          <w:rFonts w:ascii="Times New Roman" w:hAnsi="Times New Roman"/>
          <w:color w:val="auto"/>
          <w:sz w:val="28"/>
          <w:szCs w:val="28"/>
          <w:lang w:val="ru-RU" w:eastAsia="en-US"/>
        </w:rPr>
        <w:t>в</w:t>
      </w:r>
      <w:r w:rsidR="0044270C" w:rsidRPr="00A53AD7">
        <w:rPr>
          <w:rFonts w:ascii="Times New Roman" w:hAnsi="Times New Roman"/>
          <w:color w:val="auto"/>
          <w:sz w:val="28"/>
          <w:szCs w:val="28"/>
          <w:lang w:eastAsia="en-US"/>
        </w:rPr>
        <w:t xml:space="preserve"> 201</w:t>
      </w:r>
      <w:r w:rsidR="00DE77D7" w:rsidRPr="00A53AD7">
        <w:rPr>
          <w:rFonts w:ascii="Times New Roman" w:hAnsi="Times New Roman"/>
          <w:color w:val="auto"/>
          <w:sz w:val="28"/>
          <w:szCs w:val="28"/>
          <w:lang w:val="ru-RU" w:eastAsia="en-US"/>
        </w:rPr>
        <w:t>9</w:t>
      </w:r>
      <w:r w:rsidR="0044270C" w:rsidRPr="00A53AD7">
        <w:rPr>
          <w:rFonts w:ascii="Times New Roman" w:hAnsi="Times New Roman"/>
          <w:color w:val="auto"/>
          <w:sz w:val="28"/>
          <w:szCs w:val="28"/>
          <w:lang w:eastAsia="en-US"/>
        </w:rPr>
        <w:t xml:space="preserve"> год</w:t>
      </w:r>
      <w:r w:rsidR="00592234" w:rsidRPr="00A53AD7">
        <w:rPr>
          <w:rFonts w:ascii="Times New Roman" w:hAnsi="Times New Roman"/>
          <w:color w:val="auto"/>
          <w:sz w:val="28"/>
          <w:szCs w:val="28"/>
          <w:lang w:val="ru-RU" w:eastAsia="en-US"/>
        </w:rPr>
        <w:t>у</w:t>
      </w:r>
      <w:bookmarkEnd w:id="67"/>
    </w:p>
    <w:p w14:paraId="2762CDB7" w14:textId="6FE13A06"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31.12.2019 сводная бюджетная роспись расходов областного бюджета утверждена в сумме 95 345,5 млн.руб., что на 1 115,8 млн.руб. превышает показатели закона «Об областном бюджете» в редакции от 13.12.2019.</w:t>
      </w:r>
      <w:r w:rsidR="006A6A0C" w:rsidRPr="00A53AD7">
        <w:rPr>
          <w:rFonts w:ascii="Times New Roman" w:hAnsi="Times New Roman"/>
          <w:sz w:val="28"/>
          <w:szCs w:val="28"/>
        </w:rPr>
        <w:t xml:space="preserve"> Причины указанного превышения изложены в разделе «Доходы областного бюджета в 2019 году.</w:t>
      </w:r>
    </w:p>
    <w:p w14:paraId="147ABF19" w14:textId="37093E80"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2019 год министерством финансов Архангельской области доведены объемы финансирования расходов до главных распорядителей средств областного бюджета в сумме 89 828,4 млн.руб. при показателях кассового плана выплат на </w:t>
      </w:r>
      <w:r w:rsidR="00D12083" w:rsidRPr="00A53AD7">
        <w:rPr>
          <w:rFonts w:ascii="Times New Roman" w:hAnsi="Times New Roman"/>
          <w:sz w:val="28"/>
          <w:szCs w:val="28"/>
        </w:rPr>
        <w:t>год</w:t>
      </w:r>
      <w:r w:rsidRPr="00A53AD7">
        <w:rPr>
          <w:rFonts w:ascii="Times New Roman" w:hAnsi="Times New Roman"/>
          <w:sz w:val="28"/>
          <w:szCs w:val="28"/>
        </w:rPr>
        <w:t xml:space="preserve"> в сумме 95 345,5 млн.руб.</w:t>
      </w:r>
    </w:p>
    <w:p w14:paraId="4401DED9" w14:textId="21280CCD"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областного бюджета за отчетный период составили 89 455,4 млн.руб. или 93,8 % к утвержденным показателям сводной бюджетной росписи и показателям кассового плана на 2019 год, а также 99,6 % к доведенным объемам финансирования.</w:t>
      </w:r>
    </w:p>
    <w:p w14:paraId="16CF1096"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Объем невыполненных бюджетных ассигнований за 2019 год в общей сумме составил 5 890,1 млн.руб. или 6,2 % от утвержденных показателей сводной бюджетной росписи по состоянию на 31.12.2019. </w:t>
      </w:r>
    </w:p>
    <w:p w14:paraId="20BC1798"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Наиболее низкий уровень (менее 90%) исполнения расходов на 2019 год по отдельным направлениям наблюдается по следующим главным распорядителям средств областного бюджета:</w:t>
      </w:r>
    </w:p>
    <w:p w14:paraId="3C111F8A" w14:textId="77777777" w:rsidR="00DC7320" w:rsidRPr="00A53AD7" w:rsidRDefault="00DC7320" w:rsidP="00BB09B8">
      <w:pPr>
        <w:pStyle w:val="a8"/>
        <w:numPr>
          <w:ilvl w:val="0"/>
          <w:numId w:val="16"/>
        </w:numPr>
        <w:ind w:left="0" w:firstLine="851"/>
        <w:jc w:val="both"/>
        <w:rPr>
          <w:rFonts w:eastAsia="Calibri"/>
          <w:sz w:val="28"/>
          <w:szCs w:val="28"/>
        </w:rPr>
      </w:pPr>
      <w:r w:rsidRPr="00A53AD7">
        <w:rPr>
          <w:rFonts w:eastAsia="Calibri"/>
          <w:sz w:val="28"/>
          <w:szCs w:val="28"/>
        </w:rPr>
        <w:t>агентство по развитию Соловецкого архипелага Архангельской области – 15,3 %, из них по направлению расходов «разработка (корректировка) архитектурно-планировочных решений, проведение оценки воздействия на выдающуюся универсальную ценность объекта всемирного наследия ЮНЕСКО в отношении объектов на территории Соловецкого архипелага (ГП АО «Развитие инфраструктуры Соловецкого архипелага») – 15,0 %;</w:t>
      </w:r>
    </w:p>
    <w:p w14:paraId="7A088332" w14:textId="08785ED5" w:rsidR="00826714" w:rsidRPr="00A53AD7" w:rsidRDefault="00826714" w:rsidP="00BB09B8">
      <w:pPr>
        <w:pStyle w:val="a8"/>
        <w:numPr>
          <w:ilvl w:val="0"/>
          <w:numId w:val="16"/>
        </w:numPr>
        <w:ind w:left="0" w:firstLine="851"/>
        <w:jc w:val="both"/>
        <w:rPr>
          <w:rFonts w:eastAsia="Calibri"/>
          <w:sz w:val="28"/>
          <w:szCs w:val="28"/>
        </w:rPr>
      </w:pPr>
      <w:r w:rsidRPr="00A53AD7">
        <w:rPr>
          <w:rFonts w:eastAsia="Calibri"/>
          <w:sz w:val="28"/>
          <w:szCs w:val="28"/>
        </w:rPr>
        <w:t>министерств</w:t>
      </w:r>
      <w:r w:rsidR="0076267A" w:rsidRPr="00A53AD7">
        <w:rPr>
          <w:rFonts w:eastAsia="Calibri"/>
          <w:sz w:val="28"/>
          <w:szCs w:val="28"/>
        </w:rPr>
        <w:t>о</w:t>
      </w:r>
      <w:r w:rsidRPr="00A53AD7">
        <w:rPr>
          <w:rFonts w:eastAsia="Calibri"/>
          <w:sz w:val="28"/>
          <w:szCs w:val="28"/>
        </w:rPr>
        <w:t xml:space="preserve"> строительства и архитектуры Архангельской области – 27,6 %, из них 14,7% по направлению расходов – обеспечение мероприятий по переселению граждан из аварийного жилищного фонда и переселению граждан из аварийного жилищного фонда с учетом необходимости развития малоэтажного жилищного строительства и 16,9% по ряду направлений расходов ГП АО «Охрана окружающей среды, воспроизводство и использование природных ресурсов Архангельской области»;</w:t>
      </w:r>
    </w:p>
    <w:p w14:paraId="339E16DE" w14:textId="77777777" w:rsidR="00826714" w:rsidRPr="00A53AD7" w:rsidRDefault="00826714" w:rsidP="00BB09B8">
      <w:pPr>
        <w:pStyle w:val="a8"/>
        <w:numPr>
          <w:ilvl w:val="0"/>
          <w:numId w:val="16"/>
        </w:numPr>
        <w:ind w:left="0" w:firstLine="851"/>
        <w:jc w:val="both"/>
        <w:rPr>
          <w:rFonts w:eastAsia="Calibri"/>
          <w:sz w:val="28"/>
          <w:szCs w:val="28"/>
        </w:rPr>
      </w:pPr>
      <w:r w:rsidRPr="00A53AD7">
        <w:rPr>
          <w:rFonts w:eastAsia="Calibri"/>
          <w:sz w:val="28"/>
          <w:szCs w:val="28"/>
        </w:rPr>
        <w:t>по Архангельскому областному Собранию депутатов – 34,8%, из них возмещение расходов депутатов Архангельского областного Собрания депутатов в избирательных округах – 14,4%.</w:t>
      </w:r>
    </w:p>
    <w:p w14:paraId="52E0064F" w14:textId="332700EF" w:rsidR="00826714" w:rsidRPr="00A53AD7" w:rsidRDefault="00826714" w:rsidP="00CB5EC7">
      <w:pPr>
        <w:pStyle w:val="a8"/>
        <w:ind w:left="0" w:firstLine="851"/>
        <w:jc w:val="both"/>
        <w:rPr>
          <w:rFonts w:eastAsia="Calibri"/>
          <w:sz w:val="28"/>
          <w:szCs w:val="28"/>
        </w:rPr>
      </w:pPr>
      <w:r w:rsidRPr="00A53AD7">
        <w:rPr>
          <w:rFonts w:eastAsia="Calibri"/>
          <w:sz w:val="28"/>
          <w:szCs w:val="28"/>
        </w:rPr>
        <w:t>По ряду главных распорядителей средств областного бюджета наблюдается неисполнение бюджетных ассигнований, предусмотренных на 2019 год в общей сумме 617,</w:t>
      </w:r>
      <w:r w:rsidR="005F600A" w:rsidRPr="00A53AD7">
        <w:rPr>
          <w:rFonts w:eastAsia="Calibri"/>
          <w:sz w:val="28"/>
          <w:szCs w:val="28"/>
        </w:rPr>
        <w:t>2</w:t>
      </w:r>
      <w:r w:rsidRPr="00A53AD7">
        <w:rPr>
          <w:rFonts w:eastAsia="Calibri"/>
          <w:sz w:val="28"/>
          <w:szCs w:val="28"/>
        </w:rPr>
        <w:t xml:space="preserve"> млн.руб., из них министерство строительства и архитектуры Архангельской области – 481,5 млн.руб. или 77,9 % от общей суммы неисполненных бюджетных ассигнований на 2019 год.</w:t>
      </w:r>
    </w:p>
    <w:p w14:paraId="775EDF5C" w14:textId="05F273AF" w:rsidR="00826714" w:rsidRPr="00A53AD7" w:rsidRDefault="00826714" w:rsidP="00CB5EC7">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Более подробная информация о неисполненных бюджетных ассигнованиях и о низком уровне (менее 90%) исполнения расходов на 2019 год по отдельным направлениям расходов приведена в приложени</w:t>
      </w:r>
      <w:r w:rsidR="003864BF" w:rsidRPr="00A53AD7">
        <w:rPr>
          <w:rFonts w:ascii="Times New Roman" w:hAnsi="Times New Roman"/>
          <w:sz w:val="28"/>
          <w:szCs w:val="28"/>
        </w:rPr>
        <w:t>ях</w:t>
      </w:r>
      <w:r w:rsidRPr="00A53AD7">
        <w:rPr>
          <w:rFonts w:ascii="Times New Roman" w:hAnsi="Times New Roman"/>
          <w:sz w:val="28"/>
          <w:szCs w:val="28"/>
        </w:rPr>
        <w:t xml:space="preserve"> №</w:t>
      </w:r>
      <w:r w:rsidR="003864BF" w:rsidRPr="00A53AD7">
        <w:rPr>
          <w:rFonts w:ascii="Times New Roman" w:hAnsi="Times New Roman"/>
          <w:sz w:val="28"/>
          <w:szCs w:val="28"/>
        </w:rPr>
        <w:t>№</w:t>
      </w:r>
      <w:r w:rsidRPr="00A53AD7">
        <w:rPr>
          <w:rFonts w:ascii="Times New Roman" w:hAnsi="Times New Roman"/>
          <w:sz w:val="28"/>
          <w:szCs w:val="28"/>
        </w:rPr>
        <w:t xml:space="preserve"> </w:t>
      </w:r>
      <w:r w:rsidR="003864BF" w:rsidRPr="00A53AD7">
        <w:rPr>
          <w:rFonts w:ascii="Times New Roman" w:hAnsi="Times New Roman"/>
          <w:sz w:val="28"/>
          <w:szCs w:val="28"/>
        </w:rPr>
        <w:t>8 и 9</w:t>
      </w:r>
      <w:r w:rsidRPr="00A53AD7">
        <w:rPr>
          <w:rFonts w:ascii="Times New Roman" w:hAnsi="Times New Roman"/>
          <w:sz w:val="28"/>
          <w:szCs w:val="28"/>
        </w:rPr>
        <w:t xml:space="preserve"> к настоящему заключению</w:t>
      </w:r>
      <w:r w:rsidR="00251142" w:rsidRPr="00A53AD7">
        <w:rPr>
          <w:rFonts w:ascii="Times New Roman" w:hAnsi="Times New Roman"/>
          <w:sz w:val="28"/>
          <w:szCs w:val="28"/>
        </w:rPr>
        <w:t>.</w:t>
      </w:r>
    </w:p>
    <w:p w14:paraId="0DABC463"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сравнению с 2018 годом расходы областного бюджета увеличились на 13 919,1 млн.руб. или на 18,4 %.</w:t>
      </w:r>
    </w:p>
    <w:p w14:paraId="1199B61A" w14:textId="152CB693"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Группировка расходов областного бюджета по разделам и подразделам функциональной классификации расходов бюджета за 2018 и 2019 годы представлена на рисунке </w:t>
      </w:r>
      <w:r w:rsidR="00616BA6" w:rsidRPr="00A53AD7">
        <w:rPr>
          <w:rFonts w:ascii="Times New Roman" w:hAnsi="Times New Roman"/>
          <w:sz w:val="28"/>
          <w:szCs w:val="28"/>
        </w:rPr>
        <w:t>46</w:t>
      </w:r>
      <w:r w:rsidRPr="00A53AD7">
        <w:rPr>
          <w:rFonts w:ascii="Times New Roman" w:hAnsi="Times New Roman"/>
          <w:sz w:val="28"/>
          <w:szCs w:val="28"/>
        </w:rPr>
        <w:t>.</w:t>
      </w:r>
    </w:p>
    <w:p w14:paraId="71BA7ACF" w14:textId="6AB42789" w:rsidR="008A5BCF" w:rsidRPr="00A53AD7" w:rsidRDefault="008A5BCF" w:rsidP="004F72C0">
      <w:pPr>
        <w:spacing w:after="0" w:line="240" w:lineRule="auto"/>
        <w:jc w:val="center"/>
        <w:rPr>
          <w:rFonts w:ascii="Times New Roman" w:hAnsi="Times New Roman"/>
          <w:sz w:val="24"/>
          <w:szCs w:val="24"/>
        </w:rPr>
      </w:pPr>
      <w:r w:rsidRPr="00A53AD7">
        <w:rPr>
          <w:rFonts w:ascii="Times New Roman" w:hAnsi="Times New Roman"/>
          <w:noProof/>
          <w:sz w:val="24"/>
          <w:szCs w:val="24"/>
          <w:lang w:eastAsia="ru-RU"/>
        </w:rPr>
        <w:drawing>
          <wp:inline distT="0" distB="0" distL="0" distR="0" wp14:anchorId="365BF186" wp14:editId="3441F5E2">
            <wp:extent cx="5267393" cy="24828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2910" cy="2485451"/>
                    </a:xfrm>
                    <a:prstGeom prst="rect">
                      <a:avLst/>
                    </a:prstGeom>
                    <a:noFill/>
                  </pic:spPr>
                </pic:pic>
              </a:graphicData>
            </a:graphic>
          </wp:inline>
        </w:drawing>
      </w:r>
    </w:p>
    <w:p w14:paraId="7DC12E4F" w14:textId="724DE6A8" w:rsidR="00826714" w:rsidRPr="00A53AD7" w:rsidRDefault="00A14A5C" w:rsidP="00A14A5C">
      <w:pPr>
        <w:pStyle w:val="aff0"/>
        <w:spacing w:after="0" w:line="240" w:lineRule="auto"/>
        <w:rPr>
          <w:rFonts w:ascii="Times New Roman" w:hAnsi="Times New Roman"/>
          <w:b w:val="0"/>
          <w:bCs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46</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826714" w:rsidRPr="00A53AD7">
        <w:rPr>
          <w:rFonts w:ascii="Times New Roman" w:hAnsi="Times New Roman"/>
          <w:b w:val="0"/>
          <w:sz w:val="24"/>
          <w:szCs w:val="24"/>
        </w:rPr>
        <w:t>Расходы областного бюджета по разделам и подразделам функциональной классификации расходов бюджетов, млн.руб.</w:t>
      </w:r>
    </w:p>
    <w:p w14:paraId="771A82EF" w14:textId="77777777" w:rsidR="00826714" w:rsidRPr="00A53AD7" w:rsidRDefault="00826714" w:rsidP="00826714">
      <w:pPr>
        <w:spacing w:after="0" w:line="240" w:lineRule="auto"/>
        <w:ind w:firstLine="851"/>
        <w:jc w:val="both"/>
        <w:rPr>
          <w:rFonts w:ascii="Times New Roman" w:hAnsi="Times New Roman"/>
          <w:sz w:val="28"/>
          <w:szCs w:val="28"/>
        </w:rPr>
      </w:pPr>
    </w:p>
    <w:p w14:paraId="4F1DFCF0"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объем расходов в 2019 году приходится на социальную сферу (образование, культура, здравоохранение, социальная политика, физическая культура и спорт): 56 715,5 млн.руб. или 63,4 % всех расходов областного бюджета. Расходы в сфере национальной экономики и жилищно-коммунального хозяйства произведены в сумме 20 105,7 млн.руб. или 22,5 % от общего объема расходов. В совокупности указанные расходы составляют 85,9 % всех произведенных расходов.</w:t>
      </w:r>
    </w:p>
    <w:p w14:paraId="4C7D759A"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Рост кассовых расходов на социальную сферу по сравнению с 2018 годом составил 6 089,5 млн.руб. или 12,0 %. Расходы на национальную экономику и ЖКХ также увеличились на 5 545,2 млн.руб. или почти в 1,4 раза.</w:t>
      </w:r>
    </w:p>
    <w:p w14:paraId="04157CCD" w14:textId="47A092BC"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расходы областного бюджета на предоставление межбюджетны</w:t>
      </w:r>
      <w:r w:rsidR="00955B79" w:rsidRPr="00A53AD7">
        <w:rPr>
          <w:rFonts w:ascii="Times New Roman" w:hAnsi="Times New Roman"/>
          <w:sz w:val="28"/>
          <w:szCs w:val="28"/>
        </w:rPr>
        <w:t>х</w:t>
      </w:r>
      <w:r w:rsidRPr="00A53AD7">
        <w:rPr>
          <w:rFonts w:ascii="Times New Roman" w:hAnsi="Times New Roman"/>
          <w:sz w:val="28"/>
          <w:szCs w:val="28"/>
        </w:rPr>
        <w:t xml:space="preserve"> трансферт</w:t>
      </w:r>
      <w:r w:rsidR="00955B79" w:rsidRPr="00A53AD7">
        <w:rPr>
          <w:rFonts w:ascii="Times New Roman" w:hAnsi="Times New Roman"/>
          <w:sz w:val="28"/>
          <w:szCs w:val="28"/>
        </w:rPr>
        <w:t>ов</w:t>
      </w:r>
      <w:r w:rsidRPr="00A53AD7">
        <w:rPr>
          <w:rFonts w:ascii="Times New Roman" w:hAnsi="Times New Roman"/>
          <w:sz w:val="28"/>
          <w:szCs w:val="28"/>
        </w:rPr>
        <w:t xml:space="preserve"> общего характера также увеличились на 2 090,2 млн.руб. или </w:t>
      </w:r>
      <w:r w:rsidR="00C9029C" w:rsidRPr="00A53AD7">
        <w:rPr>
          <w:rFonts w:ascii="Times New Roman" w:hAnsi="Times New Roman"/>
          <w:sz w:val="28"/>
          <w:szCs w:val="28"/>
        </w:rPr>
        <w:t xml:space="preserve">на </w:t>
      </w:r>
      <w:r w:rsidRPr="00A53AD7">
        <w:rPr>
          <w:rFonts w:ascii="Times New Roman" w:hAnsi="Times New Roman"/>
          <w:sz w:val="28"/>
          <w:szCs w:val="28"/>
        </w:rPr>
        <w:t>48,4 % по сравнению с аналогичным периодом прошлого года и составили 6 715,2 млн.руб. или 7,5 % от общего объема расходов.</w:t>
      </w:r>
    </w:p>
    <w:p w14:paraId="47616E82"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Увеличение ассигнований </w:t>
      </w:r>
      <w:r w:rsidRPr="00A53AD7">
        <w:rPr>
          <w:rFonts w:ascii="Times New Roman" w:hAnsi="Times New Roman"/>
          <w:bCs/>
          <w:sz w:val="28"/>
          <w:szCs w:val="28"/>
        </w:rPr>
        <w:t>по отдельным разделам функциональной классификации расходов бюджетов</w:t>
      </w:r>
      <w:r w:rsidRPr="00A53AD7">
        <w:rPr>
          <w:rFonts w:ascii="Times New Roman" w:hAnsi="Times New Roman"/>
          <w:sz w:val="28"/>
          <w:szCs w:val="28"/>
        </w:rPr>
        <w:t xml:space="preserve"> за 2019 год к показателям прошлого финансового года составляет 19,9 % или 14 940,0 млн.руб., из них по следующим разделам функциональной классификации расходов бюджета:</w:t>
      </w:r>
    </w:p>
    <w:p w14:paraId="7FD9473E" w14:textId="77777777" w:rsidR="00826714" w:rsidRPr="00A53AD7" w:rsidRDefault="00826714" w:rsidP="00DC413D">
      <w:pPr>
        <w:pStyle w:val="a8"/>
        <w:ind w:left="1277" w:hanging="426"/>
        <w:jc w:val="both"/>
        <w:rPr>
          <w:rFonts w:eastAsia="Calibri"/>
          <w:sz w:val="28"/>
          <w:szCs w:val="28"/>
        </w:rPr>
      </w:pPr>
      <w:r w:rsidRPr="00A53AD7">
        <w:rPr>
          <w:rFonts w:eastAsia="Calibri"/>
          <w:sz w:val="28"/>
          <w:szCs w:val="28"/>
        </w:rPr>
        <w:t>а) национальная экономика – 4 604,2 млн.руб. или 48,6</w:t>
      </w:r>
      <w:r w:rsidRPr="00A53AD7">
        <w:rPr>
          <w:rFonts w:eastAsia="Calibri"/>
          <w:bCs/>
          <w:sz w:val="28"/>
          <w:szCs w:val="28"/>
        </w:rPr>
        <w:t>;</w:t>
      </w:r>
    </w:p>
    <w:p w14:paraId="4D8F0371" w14:textId="77777777" w:rsidR="00826714" w:rsidRPr="00A53AD7" w:rsidRDefault="00826714" w:rsidP="00DC413D">
      <w:pPr>
        <w:pStyle w:val="a8"/>
        <w:ind w:left="1277" w:hanging="426"/>
        <w:jc w:val="both"/>
        <w:rPr>
          <w:rFonts w:eastAsia="Calibri"/>
          <w:sz w:val="28"/>
          <w:szCs w:val="28"/>
        </w:rPr>
      </w:pPr>
      <w:r w:rsidRPr="00A53AD7">
        <w:rPr>
          <w:rFonts w:eastAsia="Calibri"/>
          <w:sz w:val="28"/>
          <w:szCs w:val="28"/>
        </w:rPr>
        <w:t>б) образование – 2 524,5 млн.руб. или 12,6 %;</w:t>
      </w:r>
    </w:p>
    <w:p w14:paraId="0283F1E0" w14:textId="77777777" w:rsidR="00826714" w:rsidRPr="00A53AD7" w:rsidRDefault="00826714" w:rsidP="00DC413D">
      <w:pPr>
        <w:spacing w:after="0" w:line="240" w:lineRule="auto"/>
        <w:ind w:left="1277" w:hanging="426"/>
        <w:contextualSpacing/>
        <w:jc w:val="both"/>
        <w:rPr>
          <w:rFonts w:ascii="Times New Roman" w:hAnsi="Times New Roman"/>
          <w:sz w:val="28"/>
          <w:szCs w:val="28"/>
        </w:rPr>
      </w:pPr>
      <w:r w:rsidRPr="00A53AD7">
        <w:rPr>
          <w:rFonts w:ascii="Times New Roman" w:hAnsi="Times New Roman"/>
          <w:sz w:val="28"/>
          <w:szCs w:val="28"/>
        </w:rPr>
        <w:t xml:space="preserve">в) здравоохранение – 2 411,2 млн.руб. или 35,3 %; </w:t>
      </w:r>
    </w:p>
    <w:p w14:paraId="1AE2E077" w14:textId="77777777" w:rsidR="00826714" w:rsidRPr="00A53AD7" w:rsidRDefault="00826714" w:rsidP="00DC413D">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rPr>
        <w:t xml:space="preserve">г) </w:t>
      </w:r>
      <w:r w:rsidRPr="00A53AD7">
        <w:rPr>
          <w:rFonts w:ascii="Times New Roman" w:hAnsi="Times New Roman"/>
          <w:sz w:val="28"/>
          <w:szCs w:val="28"/>
          <w:lang w:val="x-none" w:eastAsia="x-none"/>
        </w:rPr>
        <w:t>межбюджетные трансферты общего характера</w:t>
      </w:r>
      <w:r w:rsidRPr="00A53AD7">
        <w:rPr>
          <w:rFonts w:ascii="Times New Roman" w:hAnsi="Times New Roman"/>
          <w:sz w:val="28"/>
          <w:szCs w:val="28"/>
          <w:lang w:eastAsia="x-none"/>
        </w:rPr>
        <w:t xml:space="preserve"> </w:t>
      </w:r>
      <w:r w:rsidRPr="00A53AD7">
        <w:rPr>
          <w:rFonts w:ascii="Times New Roman" w:hAnsi="Times New Roman"/>
          <w:sz w:val="28"/>
          <w:szCs w:val="28"/>
          <w:lang w:val="x-none" w:eastAsia="x-none"/>
        </w:rPr>
        <w:t xml:space="preserve">– </w:t>
      </w:r>
      <w:r w:rsidRPr="00A53AD7">
        <w:rPr>
          <w:rFonts w:ascii="Times New Roman" w:hAnsi="Times New Roman"/>
          <w:sz w:val="28"/>
          <w:szCs w:val="28"/>
          <w:lang w:eastAsia="x-none"/>
        </w:rPr>
        <w:t>2 090,2</w:t>
      </w:r>
      <w:r w:rsidRPr="00A53AD7">
        <w:rPr>
          <w:rFonts w:ascii="Times New Roman" w:hAnsi="Times New Roman"/>
          <w:sz w:val="28"/>
          <w:szCs w:val="28"/>
          <w:lang w:val="x-none" w:eastAsia="x-none"/>
        </w:rPr>
        <w:t xml:space="preserve"> млн.руб. или </w:t>
      </w:r>
      <w:r w:rsidRPr="00A53AD7">
        <w:rPr>
          <w:rFonts w:ascii="Times New Roman" w:hAnsi="Times New Roman"/>
          <w:sz w:val="28"/>
          <w:szCs w:val="28"/>
          <w:lang w:eastAsia="x-none"/>
        </w:rPr>
        <w:t>на 45,2</w:t>
      </w:r>
      <w:r w:rsidRPr="00A53AD7">
        <w:rPr>
          <w:rFonts w:ascii="Times New Roman" w:hAnsi="Times New Roman"/>
          <w:sz w:val="28"/>
          <w:szCs w:val="28"/>
          <w:lang w:val="x-none" w:eastAsia="x-none"/>
        </w:rPr>
        <w:t xml:space="preserve"> %</w:t>
      </w:r>
      <w:r w:rsidRPr="00A53AD7">
        <w:rPr>
          <w:rFonts w:ascii="Times New Roman" w:hAnsi="Times New Roman"/>
          <w:sz w:val="28"/>
          <w:szCs w:val="28"/>
          <w:lang w:eastAsia="x-none"/>
        </w:rPr>
        <w:t>;</w:t>
      </w:r>
    </w:p>
    <w:p w14:paraId="0CC9F0A8" w14:textId="77777777" w:rsidR="00826714" w:rsidRPr="00A53AD7" w:rsidRDefault="00826714" w:rsidP="00DC413D">
      <w:pPr>
        <w:spacing w:after="0" w:line="240" w:lineRule="auto"/>
        <w:ind w:firstLine="851"/>
        <w:contextualSpacing/>
        <w:jc w:val="both"/>
        <w:rPr>
          <w:rFonts w:ascii="Times New Roman" w:hAnsi="Times New Roman"/>
          <w:sz w:val="28"/>
          <w:szCs w:val="28"/>
        </w:rPr>
      </w:pPr>
      <w:r w:rsidRPr="00A53AD7">
        <w:rPr>
          <w:rFonts w:ascii="Times New Roman" w:hAnsi="Times New Roman"/>
          <w:sz w:val="28"/>
          <w:szCs w:val="28"/>
          <w:lang w:eastAsia="x-none"/>
        </w:rPr>
        <w:t xml:space="preserve">д) </w:t>
      </w:r>
      <w:r w:rsidRPr="00A53AD7">
        <w:rPr>
          <w:rFonts w:ascii="Times New Roman" w:hAnsi="Times New Roman"/>
          <w:sz w:val="28"/>
          <w:szCs w:val="28"/>
        </w:rPr>
        <w:t>социальная политика – 1 343,8 млн.руб. или 6,3 %;</w:t>
      </w:r>
    </w:p>
    <w:p w14:paraId="3A2202B9" w14:textId="77777777" w:rsidR="00826714" w:rsidRPr="00A53AD7" w:rsidRDefault="00826714" w:rsidP="00DC413D">
      <w:pPr>
        <w:spacing w:after="0" w:line="240" w:lineRule="auto"/>
        <w:ind w:firstLine="851"/>
        <w:contextualSpacing/>
        <w:jc w:val="both"/>
        <w:rPr>
          <w:rFonts w:ascii="Times New Roman" w:hAnsi="Times New Roman"/>
          <w:sz w:val="28"/>
          <w:szCs w:val="28"/>
        </w:rPr>
      </w:pPr>
      <w:r w:rsidRPr="00A53AD7">
        <w:rPr>
          <w:rFonts w:ascii="Times New Roman" w:hAnsi="Times New Roman"/>
          <w:sz w:val="28"/>
          <w:szCs w:val="28"/>
        </w:rPr>
        <w:t xml:space="preserve">е) </w:t>
      </w:r>
      <w:r w:rsidRPr="00A53AD7">
        <w:rPr>
          <w:rFonts w:ascii="Times New Roman" w:eastAsia="Times New Roman" w:hAnsi="Times New Roman"/>
          <w:sz w:val="28"/>
          <w:szCs w:val="28"/>
          <w:lang w:eastAsia="ru-RU"/>
        </w:rPr>
        <w:t>жилищно-коммунальное хозяйство – 941,0 млн.руб. или 18,5%.</w:t>
      </w:r>
    </w:p>
    <w:p w14:paraId="45CF34B2" w14:textId="77777777" w:rsidR="00826714" w:rsidRPr="00A53AD7" w:rsidRDefault="00826714" w:rsidP="00DC41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ряду разделов функциональной классификации расходов имеет место снижения кассовых расходов за 2019 год к показателям за аналогичный период прошлого года на общую сумму 1 020,9 млн.руб. из них:</w:t>
      </w:r>
    </w:p>
    <w:p w14:paraId="39256110" w14:textId="7FAB5277" w:rsidR="00826714" w:rsidRPr="00A53AD7" w:rsidRDefault="00826714" w:rsidP="00DC41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а) обслуживание государственного долга – 574,6 млн.руб. или на 45,2</w:t>
      </w:r>
      <w:r w:rsidR="00DC413D" w:rsidRPr="00A53AD7">
        <w:rPr>
          <w:rFonts w:ascii="Times New Roman" w:hAnsi="Times New Roman"/>
          <w:sz w:val="28"/>
          <w:szCs w:val="28"/>
        </w:rPr>
        <w:t> </w:t>
      </w:r>
      <w:r w:rsidRPr="00A53AD7">
        <w:rPr>
          <w:rFonts w:ascii="Times New Roman" w:hAnsi="Times New Roman"/>
          <w:sz w:val="28"/>
          <w:szCs w:val="28"/>
        </w:rPr>
        <w:t>%;</w:t>
      </w:r>
    </w:p>
    <w:p w14:paraId="6A0978D4" w14:textId="77777777" w:rsidR="00826714" w:rsidRPr="00A53AD7" w:rsidRDefault="00826714" w:rsidP="00DC41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б) культура, кинематография – 446,3 млн.руб. или 24,4%.</w:t>
      </w:r>
    </w:p>
    <w:p w14:paraId="086D4AF0" w14:textId="77777777" w:rsidR="00826714" w:rsidRPr="00A53AD7" w:rsidRDefault="00826714" w:rsidP="00826714">
      <w:pPr>
        <w:spacing w:after="0" w:line="240" w:lineRule="auto"/>
        <w:ind w:firstLine="708"/>
        <w:jc w:val="both"/>
        <w:rPr>
          <w:rFonts w:ascii="Times New Roman" w:hAnsi="Times New Roman"/>
          <w:sz w:val="28"/>
          <w:szCs w:val="28"/>
        </w:rPr>
      </w:pPr>
    </w:p>
    <w:p w14:paraId="63E09E92" w14:textId="59BE554E"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616BA6" w:rsidRPr="00A53AD7">
        <w:rPr>
          <w:rFonts w:ascii="Times New Roman" w:hAnsi="Times New Roman"/>
          <w:sz w:val="28"/>
          <w:szCs w:val="28"/>
        </w:rPr>
        <w:t>47</w:t>
      </w:r>
      <w:r w:rsidRPr="00A53AD7">
        <w:rPr>
          <w:rFonts w:ascii="Times New Roman" w:hAnsi="Times New Roman"/>
          <w:sz w:val="28"/>
          <w:szCs w:val="28"/>
        </w:rPr>
        <w:t xml:space="preserve"> представлена группировка расходов областного бюджета за 2018 и 2019 годы по видам расходов классификации расходов бюджетов.</w:t>
      </w:r>
    </w:p>
    <w:p w14:paraId="1704BD66" w14:textId="7891579C" w:rsidR="0040225C" w:rsidRPr="00A53AD7" w:rsidRDefault="0040225C" w:rsidP="00616BA6">
      <w:pPr>
        <w:spacing w:after="0" w:line="240" w:lineRule="auto"/>
        <w:jc w:val="center"/>
        <w:rPr>
          <w:rFonts w:ascii="Times New Roman" w:hAnsi="Times New Roman"/>
          <w:bCs/>
          <w:sz w:val="24"/>
          <w:szCs w:val="24"/>
        </w:rPr>
      </w:pPr>
      <w:r w:rsidRPr="00A53AD7">
        <w:rPr>
          <w:rFonts w:ascii="Times New Roman" w:hAnsi="Times New Roman"/>
          <w:bCs/>
          <w:noProof/>
          <w:sz w:val="24"/>
          <w:szCs w:val="24"/>
          <w:lang w:eastAsia="ru-RU"/>
        </w:rPr>
        <w:drawing>
          <wp:inline distT="0" distB="0" distL="0" distR="0" wp14:anchorId="339E656E" wp14:editId="76A215C0">
            <wp:extent cx="4991428" cy="2241869"/>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25230" cy="2257051"/>
                    </a:xfrm>
                    <a:prstGeom prst="rect">
                      <a:avLst/>
                    </a:prstGeom>
                    <a:noFill/>
                  </pic:spPr>
                </pic:pic>
              </a:graphicData>
            </a:graphic>
          </wp:inline>
        </w:drawing>
      </w:r>
    </w:p>
    <w:p w14:paraId="0DA89CAE" w14:textId="34096FE1" w:rsidR="00826714" w:rsidRPr="00A53AD7" w:rsidRDefault="0040225C" w:rsidP="00826714">
      <w:pPr>
        <w:spacing w:after="0" w:line="240" w:lineRule="auto"/>
        <w:rPr>
          <w:rFonts w:ascii="Times New Roman" w:hAnsi="Times New Roman"/>
          <w:bCs/>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47</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826714" w:rsidRPr="00A53AD7">
        <w:rPr>
          <w:rFonts w:ascii="Times New Roman" w:hAnsi="Times New Roman"/>
          <w:bCs/>
          <w:sz w:val="24"/>
          <w:szCs w:val="24"/>
        </w:rPr>
        <w:t>Расходы областного бюджета по видам расходов классификации расходов бюджетов за 2018 и 2019 год, млн.руб.</w:t>
      </w:r>
    </w:p>
    <w:p w14:paraId="188F7D08" w14:textId="77777777" w:rsidR="00826714" w:rsidRPr="00A53AD7" w:rsidRDefault="00826714" w:rsidP="00826714">
      <w:pPr>
        <w:spacing w:after="0" w:line="240" w:lineRule="auto"/>
        <w:ind w:firstLine="851"/>
        <w:jc w:val="both"/>
        <w:rPr>
          <w:rFonts w:ascii="Times New Roman" w:hAnsi="Times New Roman"/>
          <w:sz w:val="28"/>
          <w:szCs w:val="28"/>
        </w:rPr>
      </w:pPr>
    </w:p>
    <w:p w14:paraId="53BC49C3"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объем расходов областного бюджета в отчетном периоде составили расходы на </w:t>
      </w:r>
      <w:r w:rsidRPr="00A53AD7">
        <w:rPr>
          <w:rFonts w:ascii="Times New Roman" w:hAnsi="Times New Roman"/>
          <w:sz w:val="28"/>
          <w:szCs w:val="28"/>
          <w:u w:val="single"/>
        </w:rPr>
        <w:t xml:space="preserve">предоставление межбюджетных трансфертов </w:t>
      </w:r>
      <w:r w:rsidRPr="00A53AD7">
        <w:rPr>
          <w:rFonts w:ascii="Times New Roman" w:hAnsi="Times New Roman"/>
          <w:sz w:val="28"/>
          <w:szCs w:val="28"/>
        </w:rPr>
        <w:t>бюджетам муниципальных образований Архангельской области, в сумме 28 737,0 млн.руб. или 32,1 % всех расходов. Рост в сравнении с аналогичным периодом прошлого финансового года составил 5 558,1 млн.руб. или 24,0 %.</w:t>
      </w:r>
    </w:p>
    <w:p w14:paraId="79669DF8" w14:textId="219CB940"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w:t>
      </w:r>
      <w:r w:rsidRPr="00A53AD7">
        <w:rPr>
          <w:rFonts w:ascii="Times New Roman" w:hAnsi="Times New Roman"/>
          <w:sz w:val="28"/>
          <w:szCs w:val="28"/>
          <w:u w:val="single"/>
        </w:rPr>
        <w:t>на социальное обеспечение и иные выплаты населению</w:t>
      </w:r>
      <w:r w:rsidRPr="00A53AD7">
        <w:rPr>
          <w:rFonts w:ascii="Times New Roman" w:hAnsi="Times New Roman"/>
          <w:sz w:val="28"/>
          <w:szCs w:val="28"/>
        </w:rPr>
        <w:t xml:space="preserve"> за 2019 года составили 19 507,4 млн.руб. или 21,8 % всех расходов. В сравнении с аналогичным периодом предыдущего года рост данных расходов составил 911,1 млн.руб. или 4,9 %.</w:t>
      </w:r>
    </w:p>
    <w:p w14:paraId="70C73504" w14:textId="3336815E"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u w:val="single"/>
        </w:rPr>
        <w:t>Субсиди</w:t>
      </w:r>
      <w:r w:rsidR="007E096F" w:rsidRPr="00A53AD7">
        <w:rPr>
          <w:rFonts w:ascii="Times New Roman" w:hAnsi="Times New Roman"/>
          <w:sz w:val="28"/>
          <w:szCs w:val="28"/>
          <w:u w:val="single"/>
        </w:rPr>
        <w:t>и</w:t>
      </w:r>
      <w:r w:rsidRPr="00A53AD7">
        <w:rPr>
          <w:rFonts w:ascii="Times New Roman" w:hAnsi="Times New Roman"/>
          <w:sz w:val="28"/>
          <w:szCs w:val="28"/>
          <w:u w:val="single"/>
        </w:rPr>
        <w:t xml:space="preserve"> бюджетным, автономным учреждениям и иным некоммерческим организациям </w:t>
      </w:r>
      <w:r w:rsidRPr="00A53AD7">
        <w:rPr>
          <w:rFonts w:ascii="Times New Roman" w:hAnsi="Times New Roman"/>
          <w:sz w:val="28"/>
          <w:szCs w:val="28"/>
        </w:rPr>
        <w:t>в отчетном периоде предоставлены в общей сумме 19 989,7 млн.руб. или 22,3 % всех произведенных расходов областного бюджета. Рост указанных расходов к показателям 2018 года соста</w:t>
      </w:r>
      <w:r w:rsidR="007E096F" w:rsidRPr="00A53AD7">
        <w:rPr>
          <w:rFonts w:ascii="Times New Roman" w:hAnsi="Times New Roman"/>
          <w:sz w:val="28"/>
          <w:szCs w:val="28"/>
        </w:rPr>
        <w:t>вил 4 229,1 млн.руб. или 26,8%.</w:t>
      </w:r>
    </w:p>
    <w:p w14:paraId="2549D975" w14:textId="7A212023" w:rsidR="00826714" w:rsidRPr="00A53AD7" w:rsidRDefault="00826714" w:rsidP="00826714">
      <w:pPr>
        <w:spacing w:after="0" w:line="240" w:lineRule="auto"/>
        <w:ind w:firstLine="851"/>
        <w:contextualSpacing/>
        <w:jc w:val="both"/>
        <w:rPr>
          <w:rFonts w:ascii="Times New Roman" w:eastAsia="Times New Roman" w:hAnsi="Times New Roman"/>
          <w:sz w:val="28"/>
          <w:szCs w:val="28"/>
          <w:lang w:val="x-none" w:eastAsia="x-none"/>
        </w:rPr>
      </w:pPr>
      <w:r w:rsidRPr="00A53AD7">
        <w:rPr>
          <w:rFonts w:ascii="Times New Roman" w:eastAsia="Times New Roman" w:hAnsi="Times New Roman"/>
          <w:sz w:val="28"/>
          <w:szCs w:val="28"/>
          <w:lang w:val="x-none" w:eastAsia="x-none"/>
        </w:rPr>
        <w:t xml:space="preserve">Расходы на </w:t>
      </w:r>
      <w:r w:rsidRPr="00A53AD7">
        <w:rPr>
          <w:rFonts w:ascii="Times New Roman" w:eastAsia="Times New Roman" w:hAnsi="Times New Roman"/>
          <w:sz w:val="28"/>
          <w:szCs w:val="28"/>
          <w:u w:val="single"/>
          <w:lang w:val="x-none" w:eastAsia="x-none"/>
        </w:rPr>
        <w:t>осуществление капитальных вложений</w:t>
      </w:r>
      <w:r w:rsidRPr="00A53AD7">
        <w:rPr>
          <w:rFonts w:ascii="Times New Roman" w:eastAsia="Times New Roman" w:hAnsi="Times New Roman"/>
          <w:sz w:val="28"/>
          <w:szCs w:val="28"/>
          <w:lang w:val="x-none" w:eastAsia="x-none"/>
        </w:rPr>
        <w:t xml:space="preserve"> в объекты государственной собственности в отчетном периоде составили 2</w:t>
      </w:r>
      <w:r w:rsidR="007E096F" w:rsidRPr="00A53AD7">
        <w:rPr>
          <w:rFonts w:ascii="Times New Roman" w:eastAsia="Times New Roman" w:hAnsi="Times New Roman"/>
          <w:sz w:val="28"/>
          <w:szCs w:val="28"/>
          <w:lang w:val="x-none" w:eastAsia="x-none"/>
        </w:rPr>
        <w:t> </w:t>
      </w:r>
      <w:r w:rsidRPr="00A53AD7">
        <w:rPr>
          <w:rFonts w:ascii="Times New Roman" w:eastAsia="Times New Roman" w:hAnsi="Times New Roman"/>
          <w:sz w:val="28"/>
          <w:szCs w:val="28"/>
          <w:lang w:val="x-none" w:eastAsia="x-none"/>
        </w:rPr>
        <w:t>585,9 млн.руб., что на 1</w:t>
      </w:r>
      <w:r w:rsidR="007E096F" w:rsidRPr="00A53AD7">
        <w:rPr>
          <w:rFonts w:ascii="Times New Roman" w:eastAsia="Times New Roman" w:hAnsi="Times New Roman"/>
          <w:sz w:val="28"/>
          <w:szCs w:val="28"/>
          <w:lang w:val="x-none" w:eastAsia="x-none"/>
        </w:rPr>
        <w:t> </w:t>
      </w:r>
      <w:r w:rsidRPr="00A53AD7">
        <w:rPr>
          <w:rFonts w:ascii="Times New Roman" w:eastAsia="Times New Roman" w:hAnsi="Times New Roman"/>
          <w:sz w:val="28"/>
          <w:szCs w:val="28"/>
          <w:lang w:val="x-none" w:eastAsia="x-none"/>
        </w:rPr>
        <w:t>110,7 млн.руб. больше, чем произведено расходов за аналогичный период предыдущего года.</w:t>
      </w:r>
    </w:p>
    <w:p w14:paraId="1D2832DA" w14:textId="1C318767" w:rsidR="00826714" w:rsidRPr="00A53AD7" w:rsidRDefault="00826714" w:rsidP="00826714">
      <w:pPr>
        <w:spacing w:after="0" w:line="240" w:lineRule="auto"/>
        <w:ind w:firstLine="709"/>
        <w:jc w:val="both"/>
        <w:rPr>
          <w:rFonts w:ascii="Times New Roman" w:hAnsi="Times New Roman"/>
          <w:sz w:val="28"/>
          <w:szCs w:val="28"/>
        </w:rPr>
      </w:pPr>
      <w:r w:rsidRPr="00A53AD7">
        <w:rPr>
          <w:rFonts w:ascii="Times New Roman" w:hAnsi="Times New Roman"/>
          <w:sz w:val="28"/>
          <w:szCs w:val="28"/>
        </w:rPr>
        <w:t xml:space="preserve">Расходов </w:t>
      </w:r>
      <w:r w:rsidRPr="00A53AD7">
        <w:rPr>
          <w:rFonts w:ascii="Times New Roman" w:hAnsi="Times New Roman"/>
          <w:sz w:val="28"/>
          <w:szCs w:val="28"/>
          <w:u w:val="single"/>
        </w:rPr>
        <w:t>по закупкам товаров, работ и услуг</w:t>
      </w:r>
      <w:r w:rsidRPr="00A53AD7">
        <w:rPr>
          <w:rFonts w:ascii="Times New Roman" w:hAnsi="Times New Roman"/>
          <w:sz w:val="28"/>
          <w:szCs w:val="28"/>
        </w:rPr>
        <w:t xml:space="preserve"> за 2019 года составили 7 188,8 млн.руб., что на 2</w:t>
      </w:r>
      <w:r w:rsidR="000C0B29" w:rsidRPr="00A53AD7">
        <w:rPr>
          <w:rFonts w:ascii="Times New Roman" w:hAnsi="Times New Roman"/>
          <w:sz w:val="28"/>
          <w:szCs w:val="28"/>
        </w:rPr>
        <w:t> </w:t>
      </w:r>
      <w:r w:rsidRPr="00A53AD7">
        <w:rPr>
          <w:rFonts w:ascii="Times New Roman" w:hAnsi="Times New Roman"/>
          <w:sz w:val="28"/>
          <w:szCs w:val="28"/>
        </w:rPr>
        <w:t xml:space="preserve">049,9 млн.руб. или 39,9 % больше чем за аналогичный период прошлого года. </w:t>
      </w:r>
    </w:p>
    <w:p w14:paraId="2A338467"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u w:val="single"/>
        </w:rPr>
        <w:t>На оплату труда, начисления на выплаты по оплате труда</w:t>
      </w:r>
      <w:r w:rsidRPr="00A53AD7">
        <w:rPr>
          <w:rFonts w:ascii="Times New Roman" w:hAnsi="Times New Roman"/>
          <w:sz w:val="28"/>
          <w:szCs w:val="28"/>
        </w:rPr>
        <w:t xml:space="preserve"> и иные выплаты персоналу непосредственно из областного бюджета в отчетном периоде направлено 4 397,6 млн.руб. Также согласно сводному Отчету об исполнении учреждением плана его финансово-хозяйственной деятельности (ф. 0503737) по состоянию на 01.01.2020, бюджетными и автономными учреждениями произведены расходы на оплату труда, начисления на выплаты по оплате труда и иные выплаты персоналу за счет средств субсидий на выполнение государственного задания и субсидий на иные цели в сумме 10 313,6 млн.руб. Таким образом, общая сумма расходов на оплату труда с начислениями и иные выплаты персоналу составила в отчетном периоде 14 711,2 млн.руб. (4 397,6 + 10 313,6).</w:t>
      </w:r>
    </w:p>
    <w:p w14:paraId="156B2788"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на оплату труда с начислениями и на иные выплаты персоналу в отчетном периоде увеличились на 1 114,3 млн.руб. или на 8,2 %, в том числе выплаты непосредственно из областного бюджета увеличились на 300,8 млн.руб. или 7,3%, за счет субсидий на финансовое обеспечение выполнения государственного задания и субсидий на иные цели увеличилось на 813,5 млн.руб. или 8,6%.</w:t>
      </w:r>
    </w:p>
    <w:p w14:paraId="4AD84427" w14:textId="3A90F05A"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по остальным видам расходов в отчетном периоде осталось практически на уровне аналогичного периода предыдущего года.</w:t>
      </w:r>
    </w:p>
    <w:p w14:paraId="65BB6B66" w14:textId="533F4A74"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Более подробная информация по основным причинам изменений расходов бюджета по отношению к исполнению за 201</w:t>
      </w:r>
      <w:r w:rsidR="005F600A" w:rsidRPr="00A53AD7">
        <w:rPr>
          <w:rFonts w:ascii="Times New Roman" w:hAnsi="Times New Roman"/>
          <w:sz w:val="28"/>
          <w:szCs w:val="28"/>
        </w:rPr>
        <w:t>8</w:t>
      </w:r>
      <w:r w:rsidRPr="00A53AD7">
        <w:rPr>
          <w:rFonts w:ascii="Times New Roman" w:hAnsi="Times New Roman"/>
          <w:sz w:val="28"/>
          <w:szCs w:val="28"/>
        </w:rPr>
        <w:t xml:space="preserve"> год приведена в приложении № </w:t>
      </w:r>
      <w:r w:rsidR="00271D33" w:rsidRPr="00A53AD7">
        <w:rPr>
          <w:rFonts w:ascii="Times New Roman" w:hAnsi="Times New Roman"/>
          <w:sz w:val="28"/>
          <w:szCs w:val="28"/>
        </w:rPr>
        <w:t>10</w:t>
      </w:r>
      <w:r w:rsidRPr="00A53AD7">
        <w:rPr>
          <w:rFonts w:ascii="Times New Roman" w:hAnsi="Times New Roman"/>
          <w:sz w:val="28"/>
          <w:szCs w:val="28"/>
        </w:rPr>
        <w:t xml:space="preserve"> к настоящему заключению.</w:t>
      </w:r>
    </w:p>
    <w:p w14:paraId="62142316"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Наиболее низкий уровень использования бюджетных ассигнований сложился по следующим разделам:</w:t>
      </w:r>
    </w:p>
    <w:p w14:paraId="3992E693" w14:textId="77777777" w:rsidR="00826714" w:rsidRPr="00A53AD7" w:rsidRDefault="00826714" w:rsidP="00BB09B8">
      <w:pPr>
        <w:pStyle w:val="a8"/>
        <w:numPr>
          <w:ilvl w:val="0"/>
          <w:numId w:val="17"/>
        </w:numPr>
        <w:ind w:left="0" w:firstLine="851"/>
        <w:jc w:val="both"/>
        <w:rPr>
          <w:rFonts w:eastAsia="Calibri"/>
          <w:sz w:val="28"/>
          <w:szCs w:val="28"/>
        </w:rPr>
      </w:pPr>
      <w:r w:rsidRPr="00A53AD7">
        <w:rPr>
          <w:rFonts w:eastAsia="Calibri"/>
          <w:sz w:val="28"/>
          <w:szCs w:val="28"/>
        </w:rPr>
        <w:t>водное хозяйство – 28,1% от утвержденных бюджетных ассигнований. Низкий уровень исполнения бюджетных ассигнований обусловлен невыполнением ряда мероприятий ГП АО «Охрана окружающей среды, воспроизводство и использование природных ресурсов Архангельской области» по причине нарушения подрядными организациями сроков исполнения государственных контрактов;</w:t>
      </w:r>
    </w:p>
    <w:p w14:paraId="53A4583D" w14:textId="3E80DD79" w:rsidR="00826714" w:rsidRPr="00A53AD7" w:rsidRDefault="00826714" w:rsidP="00BB09B8">
      <w:pPr>
        <w:pStyle w:val="a8"/>
        <w:numPr>
          <w:ilvl w:val="0"/>
          <w:numId w:val="17"/>
        </w:numPr>
        <w:ind w:left="0" w:firstLine="851"/>
        <w:jc w:val="both"/>
        <w:rPr>
          <w:rFonts w:eastAsia="Calibri"/>
          <w:sz w:val="28"/>
          <w:szCs w:val="28"/>
        </w:rPr>
      </w:pPr>
      <w:r w:rsidRPr="00A53AD7">
        <w:rPr>
          <w:rFonts w:eastAsia="Calibri"/>
          <w:sz w:val="28"/>
          <w:szCs w:val="28"/>
        </w:rPr>
        <w:t>жилищное хозяйство</w:t>
      </w:r>
      <w:r w:rsidR="00AD50B3" w:rsidRPr="00A53AD7">
        <w:rPr>
          <w:rFonts w:eastAsia="Calibri"/>
          <w:sz w:val="28"/>
          <w:szCs w:val="28"/>
        </w:rPr>
        <w:t xml:space="preserve"> </w:t>
      </w:r>
      <w:r w:rsidRPr="00A53AD7">
        <w:rPr>
          <w:rFonts w:eastAsia="Calibri"/>
          <w:sz w:val="28"/>
          <w:szCs w:val="28"/>
        </w:rPr>
        <w:t>– 37,1 % от утвержденных бюджетных ассигнований. Низкий уровень исполнения бюджетных ассигнований в основном приходиться по направлению расходов «обеспечение мероприятий по переселению граждан из аварийного жилищного фонда</w:t>
      </w:r>
      <w:r w:rsidR="00A65D35" w:rsidRPr="00A53AD7">
        <w:rPr>
          <w:rFonts w:eastAsia="Calibri"/>
          <w:sz w:val="28"/>
          <w:szCs w:val="28"/>
        </w:rPr>
        <w:t>…</w:t>
      </w:r>
      <w:r w:rsidRPr="00A53AD7">
        <w:rPr>
          <w:rFonts w:eastAsia="Calibri"/>
          <w:sz w:val="28"/>
          <w:szCs w:val="28"/>
        </w:rPr>
        <w:t>», что обусловлено перечислению межбюджетных трансфертов в пределах сумм, необходимых для оплаты денежных обязательств по расходам;</w:t>
      </w:r>
    </w:p>
    <w:p w14:paraId="62D9F6E6" w14:textId="42310A97" w:rsidR="00826714" w:rsidRPr="00A53AD7" w:rsidRDefault="00826714" w:rsidP="00BB09B8">
      <w:pPr>
        <w:pStyle w:val="a8"/>
        <w:numPr>
          <w:ilvl w:val="0"/>
          <w:numId w:val="17"/>
        </w:numPr>
        <w:ind w:left="0" w:firstLine="851"/>
        <w:jc w:val="both"/>
        <w:rPr>
          <w:rFonts w:eastAsia="Calibri"/>
          <w:sz w:val="28"/>
          <w:szCs w:val="28"/>
        </w:rPr>
      </w:pPr>
      <w:r w:rsidRPr="00A53AD7">
        <w:rPr>
          <w:rFonts w:eastAsia="Calibri"/>
          <w:sz w:val="28"/>
          <w:szCs w:val="28"/>
        </w:rPr>
        <w:t>дошкольно</w:t>
      </w:r>
      <w:r w:rsidR="00AD50B3" w:rsidRPr="00A53AD7">
        <w:rPr>
          <w:rFonts w:eastAsia="Calibri"/>
          <w:sz w:val="28"/>
          <w:szCs w:val="28"/>
        </w:rPr>
        <w:t>е</w:t>
      </w:r>
      <w:r w:rsidRPr="00A53AD7">
        <w:rPr>
          <w:rFonts w:eastAsia="Calibri"/>
          <w:sz w:val="28"/>
          <w:szCs w:val="28"/>
        </w:rPr>
        <w:t xml:space="preserve"> образовани</w:t>
      </w:r>
      <w:r w:rsidR="00AD50B3" w:rsidRPr="00A53AD7">
        <w:rPr>
          <w:rFonts w:eastAsia="Calibri"/>
          <w:sz w:val="28"/>
          <w:szCs w:val="28"/>
        </w:rPr>
        <w:t>е</w:t>
      </w:r>
      <w:r w:rsidRPr="00A53AD7">
        <w:rPr>
          <w:rFonts w:eastAsia="Calibri"/>
          <w:sz w:val="28"/>
          <w:szCs w:val="28"/>
        </w:rPr>
        <w:t xml:space="preserve"> – 41,2% от утвержденных бюджетных ассигнований. Низкий уровень использования бюджетных средств по данному подразделу обусловлен невыполнением плана реализации мероприятия «Строительство, приобретение и реконструкция дошкольных образовательных учреждений в Архангельской области» ГП АО «Развитие образования и науки Архангельской области» (31.12.2019). Более подробная информация в разрезе объектов и причин нарушения плана реализации мероприятия ГП АО приведена в приложении № </w:t>
      </w:r>
      <w:r w:rsidR="00271D33" w:rsidRPr="00A53AD7">
        <w:rPr>
          <w:rFonts w:eastAsia="Calibri"/>
          <w:sz w:val="28"/>
          <w:szCs w:val="28"/>
        </w:rPr>
        <w:t>11</w:t>
      </w:r>
      <w:r w:rsidRPr="00A53AD7">
        <w:rPr>
          <w:rFonts w:eastAsia="Calibri"/>
          <w:sz w:val="28"/>
          <w:szCs w:val="28"/>
        </w:rPr>
        <w:t xml:space="preserve"> к настоящему заключению;</w:t>
      </w:r>
    </w:p>
    <w:p w14:paraId="5EE1AE1E" w14:textId="17EAB501" w:rsidR="00826714" w:rsidRPr="00A53AD7" w:rsidRDefault="00826714" w:rsidP="00BB09B8">
      <w:pPr>
        <w:pStyle w:val="a8"/>
        <w:numPr>
          <w:ilvl w:val="0"/>
          <w:numId w:val="17"/>
        </w:numPr>
        <w:ind w:left="0" w:firstLine="851"/>
        <w:jc w:val="both"/>
        <w:rPr>
          <w:rFonts w:eastAsia="Calibri"/>
          <w:sz w:val="28"/>
          <w:szCs w:val="28"/>
        </w:rPr>
      </w:pPr>
      <w:r w:rsidRPr="00A53AD7">
        <w:rPr>
          <w:rFonts w:eastAsia="Calibri"/>
          <w:sz w:val="28"/>
          <w:szCs w:val="28"/>
        </w:rPr>
        <w:t>другие вопросы в области жилищно-коммунального хозяйства – 48,5%, от утвержденных бюджетных ассигнований. Низкий уровень использования бюджетных ассигнований сложился по мероприятию «Реализация проекта «Поэзия купеческого дела в г. Каргополе» ГП АО «Формирование современной городской среды в Архангельской области» в сумме 9,2 млн.руб. при запланированных 139,0 млн.руб., средства направлены на разработ</w:t>
      </w:r>
      <w:r w:rsidR="00445E93" w:rsidRPr="00A53AD7">
        <w:rPr>
          <w:rFonts w:eastAsia="Calibri"/>
          <w:sz w:val="28"/>
          <w:szCs w:val="28"/>
        </w:rPr>
        <w:t>ку</w:t>
      </w:r>
      <w:r w:rsidRPr="00A53AD7">
        <w:rPr>
          <w:rFonts w:eastAsia="Calibri"/>
          <w:sz w:val="28"/>
          <w:szCs w:val="28"/>
        </w:rPr>
        <w:t xml:space="preserve"> ПСД по заключенным муниципальным контрактам, получены соответствующие согласования и заключения по четырем разделам проекта. Срок завершения реализации проекта установлен не позднее 31.12.2020 года. Финансовое обеспечение </w:t>
      </w:r>
      <w:r w:rsidR="005A31EB" w:rsidRPr="00A53AD7">
        <w:rPr>
          <w:rFonts w:eastAsia="Calibri"/>
          <w:sz w:val="28"/>
          <w:szCs w:val="28"/>
        </w:rPr>
        <w:t>м</w:t>
      </w:r>
      <w:r w:rsidRPr="00A53AD7">
        <w:rPr>
          <w:rFonts w:eastAsia="Calibri"/>
          <w:sz w:val="28"/>
          <w:szCs w:val="28"/>
        </w:rPr>
        <w:t>ероприяти</w:t>
      </w:r>
      <w:r w:rsidR="005A31EB" w:rsidRPr="00A53AD7">
        <w:rPr>
          <w:rFonts w:eastAsia="Calibri"/>
          <w:sz w:val="28"/>
          <w:szCs w:val="28"/>
        </w:rPr>
        <w:t>й</w:t>
      </w:r>
      <w:r w:rsidRPr="00A53AD7">
        <w:rPr>
          <w:rFonts w:eastAsia="Calibri"/>
          <w:sz w:val="28"/>
          <w:szCs w:val="28"/>
        </w:rPr>
        <w:t>, направленны</w:t>
      </w:r>
      <w:r w:rsidR="005A31EB" w:rsidRPr="00A53AD7">
        <w:rPr>
          <w:rFonts w:eastAsia="Calibri"/>
          <w:sz w:val="28"/>
          <w:szCs w:val="28"/>
        </w:rPr>
        <w:t>х</w:t>
      </w:r>
      <w:r w:rsidRPr="00A53AD7">
        <w:rPr>
          <w:rFonts w:eastAsia="Calibri"/>
          <w:sz w:val="28"/>
          <w:szCs w:val="28"/>
        </w:rPr>
        <w:t xml:space="preserve"> на компенсацию дополнительных расходов организаций жилищно-коммунального хозяйства Архангельской области, связанных с ростом цен на топливо ГП АО «Развитие энергетики и жилищно-коммунального хозяйства Архангельской области» запланировано в сумме 186,0 млн.руб. кассовое исполнение на 31.12.2019 составило 120,6 млн.руб., неисполнение связано с тем, что мероприятие носит заявительный характер субсидирования.</w:t>
      </w:r>
    </w:p>
    <w:p w14:paraId="7632CC08" w14:textId="4EAD7E5D" w:rsidR="00826714" w:rsidRPr="00A53AD7" w:rsidRDefault="000310CF" w:rsidP="005A31EB">
      <w:pPr>
        <w:pStyle w:val="2"/>
        <w:spacing w:line="240" w:lineRule="auto"/>
        <w:jc w:val="center"/>
        <w:rPr>
          <w:b w:val="0"/>
          <w:lang w:val="ru-RU"/>
        </w:rPr>
      </w:pPr>
      <w:bookmarkStart w:id="68" w:name="_Toc42006720"/>
      <w:r w:rsidRPr="00A53AD7">
        <w:rPr>
          <w:b w:val="0"/>
          <w:lang w:val="ru-RU"/>
        </w:rPr>
        <w:t xml:space="preserve">4.1. </w:t>
      </w:r>
      <w:r w:rsidR="00826714" w:rsidRPr="00A53AD7">
        <w:rPr>
          <w:b w:val="0"/>
          <w:lang w:val="ru-RU"/>
        </w:rPr>
        <w:t>Расходы на содержание государственных органов и обеспечение их функций</w:t>
      </w:r>
      <w:bookmarkEnd w:id="68"/>
    </w:p>
    <w:p w14:paraId="15CA3D21" w14:textId="4E11DE08"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на содержание государственных органов и обеспечение их функция </w:t>
      </w:r>
      <w:r w:rsidR="00D01B79" w:rsidRPr="00A53AD7">
        <w:rPr>
          <w:rFonts w:ascii="Times New Roman" w:hAnsi="Times New Roman"/>
          <w:sz w:val="28"/>
          <w:szCs w:val="28"/>
        </w:rPr>
        <w:t>за счет средств областного бюджета в</w:t>
      </w:r>
      <w:r w:rsidRPr="00A53AD7">
        <w:rPr>
          <w:rFonts w:ascii="Times New Roman" w:hAnsi="Times New Roman"/>
          <w:sz w:val="28"/>
          <w:szCs w:val="28"/>
        </w:rPr>
        <w:t xml:space="preserve"> 2019 год</w:t>
      </w:r>
      <w:r w:rsidR="00D01B79" w:rsidRPr="00A53AD7">
        <w:rPr>
          <w:rFonts w:ascii="Times New Roman" w:hAnsi="Times New Roman"/>
          <w:sz w:val="28"/>
          <w:szCs w:val="28"/>
        </w:rPr>
        <w:t>у</w:t>
      </w:r>
      <w:r w:rsidRPr="00A53AD7">
        <w:rPr>
          <w:rFonts w:ascii="Times New Roman" w:hAnsi="Times New Roman"/>
          <w:sz w:val="28"/>
          <w:szCs w:val="28"/>
        </w:rPr>
        <w:t xml:space="preserve"> составили 1 868,9 млн.руб., из них на выплаты персоналу – 1 701,4 млн.руб., закупку товаров, работ и услуг 164,3 и прочие расходы – 3,2 млн.руб.</w:t>
      </w:r>
    </w:p>
    <w:p w14:paraId="7DF7EFF7" w14:textId="1C547C09" w:rsidR="00826714" w:rsidRPr="00A53AD7" w:rsidRDefault="00826714" w:rsidP="00F2580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Группировка по разделам функциональной классификации расходов на содержание государственных органов и обеспечение их функций за 2019 год представлена на рисунке </w:t>
      </w:r>
      <w:r w:rsidR="0090096C" w:rsidRPr="00A53AD7">
        <w:rPr>
          <w:rFonts w:ascii="Times New Roman" w:hAnsi="Times New Roman"/>
          <w:sz w:val="28"/>
          <w:szCs w:val="28"/>
        </w:rPr>
        <w:t>48</w:t>
      </w:r>
      <w:r w:rsidRPr="00A53AD7">
        <w:rPr>
          <w:rFonts w:ascii="Times New Roman" w:hAnsi="Times New Roman"/>
          <w:sz w:val="28"/>
          <w:szCs w:val="28"/>
        </w:rPr>
        <w:t>:</w:t>
      </w:r>
    </w:p>
    <w:p w14:paraId="2BBDE060" w14:textId="10F034F2" w:rsidR="00826714" w:rsidRPr="00A53AD7" w:rsidRDefault="00826714" w:rsidP="00826714">
      <w:pPr>
        <w:rPr>
          <w:rFonts w:ascii="Times New Roman" w:hAnsi="Times New Roman"/>
          <w:sz w:val="28"/>
          <w:szCs w:val="28"/>
          <w:highlight w:val="cyan"/>
        </w:rPr>
      </w:pPr>
    </w:p>
    <w:p w14:paraId="6C0D083E" w14:textId="6C7170E6" w:rsidR="00E334E4" w:rsidRPr="00A53AD7" w:rsidRDefault="00A65919" w:rsidP="00A65919">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5EE8F5C9" wp14:editId="039164CA">
            <wp:extent cx="4887595" cy="2942554"/>
            <wp:effectExtent l="0" t="0" r="825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04411" cy="2952678"/>
                    </a:xfrm>
                    <a:prstGeom prst="rect">
                      <a:avLst/>
                    </a:prstGeom>
                    <a:noFill/>
                  </pic:spPr>
                </pic:pic>
              </a:graphicData>
            </a:graphic>
          </wp:inline>
        </w:drawing>
      </w:r>
    </w:p>
    <w:p w14:paraId="238CBF9F" w14:textId="44E4F596" w:rsidR="00826714" w:rsidRPr="00A53AD7" w:rsidRDefault="00E334E4" w:rsidP="00E334E4">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48</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826714" w:rsidRPr="00A53AD7">
        <w:rPr>
          <w:rFonts w:ascii="Times New Roman" w:hAnsi="Times New Roman"/>
          <w:sz w:val="24"/>
          <w:szCs w:val="24"/>
        </w:rPr>
        <w:t>Расходы на содержание государственных органов за 2019 год по разделам функциональной классификации, млн.руб.</w:t>
      </w:r>
    </w:p>
    <w:p w14:paraId="1EAE5256" w14:textId="77777777" w:rsidR="00E334E4" w:rsidRPr="00A53AD7" w:rsidRDefault="00E334E4" w:rsidP="00826714">
      <w:pPr>
        <w:spacing w:after="0" w:line="240" w:lineRule="auto"/>
        <w:ind w:firstLine="851"/>
        <w:jc w:val="both"/>
        <w:rPr>
          <w:rFonts w:ascii="Times New Roman" w:hAnsi="Times New Roman"/>
          <w:sz w:val="28"/>
          <w:szCs w:val="28"/>
          <w:highlight w:val="cyan"/>
        </w:rPr>
      </w:pPr>
    </w:p>
    <w:p w14:paraId="69A009B5" w14:textId="77777777"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занимают расходы по разделу «Общегосударственные вопросы» или 58,5 % в общей сумме расходов на содержание государственных органов и обеспечение их функций, по разделу «Национальная экономика» - 26.6 %.</w:t>
      </w:r>
    </w:p>
    <w:p w14:paraId="3BA14184" w14:textId="25B9D8FA"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разделам и подразделам функциональной классификации расходов областного бюджета на содержание государственных органов и обеспечение их функций за 2018 и 2019 год представлены в приложении № </w:t>
      </w:r>
      <w:r w:rsidR="00D80401" w:rsidRPr="00A53AD7">
        <w:rPr>
          <w:rFonts w:ascii="Times New Roman" w:hAnsi="Times New Roman"/>
          <w:sz w:val="28"/>
          <w:szCs w:val="28"/>
        </w:rPr>
        <w:t>12</w:t>
      </w:r>
      <w:r w:rsidRPr="00A53AD7">
        <w:rPr>
          <w:rFonts w:ascii="Times New Roman" w:hAnsi="Times New Roman"/>
          <w:sz w:val="28"/>
          <w:szCs w:val="28"/>
        </w:rPr>
        <w:t xml:space="preserve"> к настоящему заключению.</w:t>
      </w:r>
    </w:p>
    <w:p w14:paraId="345B39D9" w14:textId="7B39D71B" w:rsidR="00826714" w:rsidRPr="00A53AD7" w:rsidRDefault="00826714" w:rsidP="008267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произведенные из областного бюджета на содержание государственных органов и обеспечение их функций </w:t>
      </w:r>
      <w:r w:rsidR="00BB0F28" w:rsidRPr="00A53AD7">
        <w:rPr>
          <w:rFonts w:ascii="Times New Roman" w:hAnsi="Times New Roman"/>
          <w:sz w:val="28"/>
          <w:szCs w:val="28"/>
        </w:rPr>
        <w:t>в</w:t>
      </w:r>
      <w:r w:rsidRPr="00A53AD7">
        <w:rPr>
          <w:rFonts w:ascii="Times New Roman" w:hAnsi="Times New Roman"/>
          <w:sz w:val="28"/>
          <w:szCs w:val="28"/>
        </w:rPr>
        <w:t xml:space="preserve"> 2015 – 2019 год</w:t>
      </w:r>
      <w:r w:rsidR="006874B9" w:rsidRPr="00A53AD7">
        <w:rPr>
          <w:rFonts w:ascii="Times New Roman" w:hAnsi="Times New Roman"/>
          <w:sz w:val="28"/>
          <w:szCs w:val="28"/>
        </w:rPr>
        <w:t>ах</w:t>
      </w:r>
      <w:r w:rsidRPr="00A53AD7">
        <w:rPr>
          <w:rFonts w:ascii="Times New Roman" w:hAnsi="Times New Roman"/>
          <w:sz w:val="28"/>
          <w:szCs w:val="28"/>
        </w:rPr>
        <w:t xml:space="preserve"> представлены на рисунке </w:t>
      </w:r>
      <w:r w:rsidR="0090096C" w:rsidRPr="00A53AD7">
        <w:rPr>
          <w:rFonts w:ascii="Times New Roman" w:hAnsi="Times New Roman"/>
          <w:sz w:val="28"/>
          <w:szCs w:val="28"/>
        </w:rPr>
        <w:t>49</w:t>
      </w:r>
      <w:r w:rsidRPr="00A53AD7">
        <w:rPr>
          <w:rFonts w:ascii="Times New Roman" w:hAnsi="Times New Roman"/>
          <w:sz w:val="28"/>
          <w:szCs w:val="28"/>
        </w:rPr>
        <w:t>.</w:t>
      </w:r>
    </w:p>
    <w:p w14:paraId="18E26266" w14:textId="17590E7B" w:rsidR="006874B9" w:rsidRPr="00A53AD7" w:rsidRDefault="006874B9" w:rsidP="00337D36">
      <w:pPr>
        <w:spacing w:after="0" w:line="240" w:lineRule="auto"/>
        <w:jc w:val="center"/>
        <w:rPr>
          <w:rFonts w:ascii="Times New Roman" w:hAnsi="Times New Roman"/>
          <w:sz w:val="24"/>
          <w:szCs w:val="24"/>
        </w:rPr>
      </w:pPr>
      <w:r w:rsidRPr="00A53AD7">
        <w:rPr>
          <w:rFonts w:ascii="Times New Roman" w:hAnsi="Times New Roman"/>
          <w:noProof/>
          <w:sz w:val="24"/>
          <w:szCs w:val="24"/>
          <w:lang w:eastAsia="ru-RU"/>
        </w:rPr>
        <w:drawing>
          <wp:inline distT="0" distB="0" distL="0" distR="0" wp14:anchorId="67E918C3" wp14:editId="0FB527B8">
            <wp:extent cx="5507181" cy="1378447"/>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19966" cy="1381647"/>
                    </a:xfrm>
                    <a:prstGeom prst="rect">
                      <a:avLst/>
                    </a:prstGeom>
                    <a:noFill/>
                  </pic:spPr>
                </pic:pic>
              </a:graphicData>
            </a:graphic>
          </wp:inline>
        </w:drawing>
      </w:r>
    </w:p>
    <w:p w14:paraId="10A86030" w14:textId="6035E652" w:rsidR="00826714" w:rsidRPr="00A53AD7" w:rsidRDefault="006874B9" w:rsidP="006874B9">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49</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826714" w:rsidRPr="00A53AD7">
        <w:rPr>
          <w:rFonts w:ascii="Times New Roman" w:hAnsi="Times New Roman"/>
          <w:sz w:val="24"/>
          <w:szCs w:val="24"/>
        </w:rPr>
        <w:t>Расходы на содержание государственных органов и обеспечение</w:t>
      </w:r>
      <w:r w:rsidRPr="00A53AD7">
        <w:rPr>
          <w:rFonts w:ascii="Times New Roman" w:hAnsi="Times New Roman"/>
          <w:sz w:val="24"/>
          <w:szCs w:val="24"/>
        </w:rPr>
        <w:t xml:space="preserve"> их функций за 2015 – 2019 годы</w:t>
      </w:r>
    </w:p>
    <w:p w14:paraId="708C0B72" w14:textId="77777777" w:rsidR="006874B9" w:rsidRPr="00A53AD7" w:rsidRDefault="006874B9" w:rsidP="00826714">
      <w:pPr>
        <w:spacing w:after="0" w:line="240" w:lineRule="auto"/>
        <w:ind w:firstLine="709"/>
        <w:jc w:val="both"/>
        <w:rPr>
          <w:rFonts w:ascii="Times New Roman" w:hAnsi="Times New Roman"/>
          <w:sz w:val="28"/>
          <w:szCs w:val="28"/>
        </w:rPr>
      </w:pPr>
    </w:p>
    <w:p w14:paraId="267EB914" w14:textId="3C2F8F22" w:rsidR="00826714" w:rsidRPr="00A53AD7" w:rsidRDefault="00826714" w:rsidP="009C6148">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за 2019 год в сравнении с произведенными расходами 2016 года увеличились на 9,4 %, на 13,7 % к расходам 2017 года и к расходам 2018 года на 4,9</w:t>
      </w:r>
      <w:r w:rsidR="00CC1956" w:rsidRPr="00A53AD7">
        <w:rPr>
          <w:rFonts w:ascii="Times New Roman" w:hAnsi="Times New Roman"/>
          <w:sz w:val="28"/>
          <w:szCs w:val="28"/>
        </w:rPr>
        <w:t xml:space="preserve"> </w:t>
      </w:r>
      <w:r w:rsidRPr="00A53AD7">
        <w:rPr>
          <w:rFonts w:ascii="Times New Roman" w:hAnsi="Times New Roman"/>
          <w:sz w:val="28"/>
          <w:szCs w:val="28"/>
        </w:rPr>
        <w:t>%.</w:t>
      </w:r>
    </w:p>
    <w:p w14:paraId="668EEB1C" w14:textId="77777777" w:rsidR="00826714" w:rsidRPr="00A53AD7" w:rsidRDefault="00826714" w:rsidP="009C6148">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Основную долю указанных расходов составляют расходы на выплаты персоналу, в которые включаются расходы на выплату денежного содержания (денежного вознаграждения, заработной платы), с учетом страховых взносов в государственные внебюджетные фонды, а также командировочные и иные выплаты.</w:t>
      </w:r>
    </w:p>
    <w:p w14:paraId="13DE8FE1" w14:textId="76B13661" w:rsidR="00826714" w:rsidRPr="00A53AD7" w:rsidRDefault="00826714" w:rsidP="00AD41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по данному показателю за 2019 год составля</w:t>
      </w:r>
      <w:r w:rsidR="008C19A7" w:rsidRPr="00A53AD7">
        <w:rPr>
          <w:rFonts w:ascii="Times New Roman" w:hAnsi="Times New Roman"/>
          <w:sz w:val="28"/>
          <w:szCs w:val="28"/>
        </w:rPr>
        <w:t>ю</w:t>
      </w:r>
      <w:r w:rsidRPr="00A53AD7">
        <w:rPr>
          <w:rFonts w:ascii="Times New Roman" w:hAnsi="Times New Roman"/>
          <w:sz w:val="28"/>
          <w:szCs w:val="28"/>
        </w:rPr>
        <w:t>т 1 701,4 млн.руб., что на 11,5 % выше уровня исполнения за 2016 год, на 13,0 % кассовых расходов 2017 года и на 4,4 % выше уровня 2018 года</w:t>
      </w:r>
    </w:p>
    <w:p w14:paraId="5C426422" w14:textId="44785271" w:rsidR="00826714" w:rsidRPr="00A53AD7" w:rsidRDefault="00826714" w:rsidP="00AD41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областного бюджета на выплаты персоналу государственных органов с 2015 года по 20</w:t>
      </w:r>
      <w:r w:rsidR="00AD4197" w:rsidRPr="00A53AD7">
        <w:rPr>
          <w:rFonts w:ascii="Times New Roman" w:hAnsi="Times New Roman"/>
          <w:sz w:val="28"/>
          <w:szCs w:val="28"/>
        </w:rPr>
        <w:t xml:space="preserve">18 год представлены на рисунке </w:t>
      </w:r>
      <w:r w:rsidR="00337D36" w:rsidRPr="00A53AD7">
        <w:rPr>
          <w:rFonts w:ascii="Times New Roman" w:hAnsi="Times New Roman"/>
          <w:sz w:val="28"/>
          <w:szCs w:val="28"/>
        </w:rPr>
        <w:t>50</w:t>
      </w:r>
      <w:r w:rsidRPr="00A53AD7">
        <w:rPr>
          <w:rFonts w:ascii="Times New Roman" w:hAnsi="Times New Roman"/>
          <w:sz w:val="28"/>
          <w:szCs w:val="28"/>
        </w:rPr>
        <w:t>.</w:t>
      </w:r>
    </w:p>
    <w:p w14:paraId="7C57B2AA" w14:textId="42D3EC59" w:rsidR="0033795D" w:rsidRPr="00A53AD7" w:rsidRDefault="0033795D" w:rsidP="0033795D">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2ECCCAD6" wp14:editId="706DAAAE">
            <wp:extent cx="4655127" cy="1624257"/>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3860" cy="1641261"/>
                    </a:xfrm>
                    <a:prstGeom prst="rect">
                      <a:avLst/>
                    </a:prstGeom>
                    <a:noFill/>
                  </pic:spPr>
                </pic:pic>
              </a:graphicData>
            </a:graphic>
          </wp:inline>
        </w:drawing>
      </w:r>
    </w:p>
    <w:p w14:paraId="2B42CE6C" w14:textId="43B5F7B8" w:rsidR="00826714" w:rsidRPr="00A53AD7" w:rsidRDefault="00242E16" w:rsidP="00242E16">
      <w:pPr>
        <w:spacing w:after="0" w:line="240" w:lineRule="auto"/>
        <w:rPr>
          <w:rFonts w:ascii="Times New Roman" w:hAnsi="Times New Roman"/>
          <w:sz w:val="24"/>
          <w:szCs w:val="24"/>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50</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826714" w:rsidRPr="00A53AD7">
        <w:rPr>
          <w:rFonts w:ascii="Times New Roman" w:hAnsi="Times New Roman"/>
          <w:sz w:val="24"/>
          <w:szCs w:val="24"/>
        </w:rPr>
        <w:t>Расходы из областного бюджета на выплаты персоналу государственных органов за 2015 – 2019 годы.</w:t>
      </w:r>
    </w:p>
    <w:p w14:paraId="36ED23B6" w14:textId="77777777" w:rsidR="00242E16" w:rsidRPr="00A53AD7" w:rsidRDefault="00242E16" w:rsidP="00242E16">
      <w:pPr>
        <w:spacing w:after="0" w:line="240" w:lineRule="auto"/>
        <w:ind w:firstLine="851"/>
        <w:jc w:val="both"/>
        <w:rPr>
          <w:rFonts w:ascii="Times New Roman" w:hAnsi="Times New Roman"/>
          <w:sz w:val="28"/>
          <w:szCs w:val="28"/>
        </w:rPr>
      </w:pPr>
    </w:p>
    <w:p w14:paraId="3CF5CAB2" w14:textId="6A401F45" w:rsidR="00826714" w:rsidRPr="00A53AD7" w:rsidRDefault="00826714" w:rsidP="00242E1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на закупку товаров, работ, услуг в отчетном периоде в сравнении с предыдущим финансовым годом увеличились на 12 %, а прочие расходы сократились на 1,4 %.</w:t>
      </w:r>
    </w:p>
    <w:p w14:paraId="3C6DD0C0" w14:textId="338C0FF7" w:rsidR="00826714" w:rsidRPr="00A53AD7" w:rsidRDefault="00826714" w:rsidP="00242E1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w:t>
      </w:r>
      <w:r w:rsidR="00660406" w:rsidRPr="00A53AD7">
        <w:rPr>
          <w:rFonts w:ascii="Times New Roman" w:hAnsi="Times New Roman"/>
          <w:sz w:val="28"/>
          <w:szCs w:val="28"/>
        </w:rPr>
        <w:t>при</w:t>
      </w:r>
      <w:r w:rsidRPr="00A53AD7">
        <w:rPr>
          <w:rFonts w:ascii="Times New Roman" w:hAnsi="Times New Roman"/>
          <w:sz w:val="28"/>
          <w:szCs w:val="28"/>
        </w:rPr>
        <w:t xml:space="preserve">рост расходов в 2019 году на содержание государственных органов в сравнении с 2018 годом приходится на подраздел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 и составляет 37,4 млн.руб. или 12,5%. Данный </w:t>
      </w:r>
      <w:r w:rsidR="00660406" w:rsidRPr="00A53AD7">
        <w:rPr>
          <w:rFonts w:ascii="Times New Roman" w:hAnsi="Times New Roman"/>
          <w:sz w:val="28"/>
          <w:szCs w:val="28"/>
        </w:rPr>
        <w:t>при</w:t>
      </w:r>
      <w:r w:rsidRPr="00A53AD7">
        <w:rPr>
          <w:rFonts w:ascii="Times New Roman" w:hAnsi="Times New Roman"/>
          <w:sz w:val="28"/>
          <w:szCs w:val="28"/>
        </w:rPr>
        <w:t>рост</w:t>
      </w:r>
      <w:r w:rsidR="00660406" w:rsidRPr="00A53AD7">
        <w:rPr>
          <w:rFonts w:ascii="Times New Roman" w:hAnsi="Times New Roman"/>
          <w:sz w:val="28"/>
          <w:szCs w:val="28"/>
        </w:rPr>
        <w:t>,</w:t>
      </w:r>
      <w:r w:rsidRPr="00A53AD7">
        <w:rPr>
          <w:rFonts w:ascii="Times New Roman" w:hAnsi="Times New Roman"/>
          <w:sz w:val="28"/>
          <w:szCs w:val="28"/>
        </w:rPr>
        <w:t xml:space="preserve"> в основном</w:t>
      </w:r>
      <w:r w:rsidR="00660406" w:rsidRPr="00A53AD7">
        <w:rPr>
          <w:rFonts w:ascii="Times New Roman" w:hAnsi="Times New Roman"/>
          <w:sz w:val="28"/>
          <w:szCs w:val="28"/>
        </w:rPr>
        <w:t>,</w:t>
      </w:r>
      <w:r w:rsidRPr="00A53AD7">
        <w:rPr>
          <w:rFonts w:ascii="Times New Roman" w:hAnsi="Times New Roman"/>
          <w:sz w:val="28"/>
          <w:szCs w:val="28"/>
        </w:rPr>
        <w:t xml:space="preserve"> вызван увеличением командировочных расходов (в связи с увеличением количества служебных командировок) и проезда к месту отдыха и обратно сотрудникам аппарата (в связи с увеличением получателей компенсации)</w:t>
      </w:r>
      <w:r w:rsidR="00660406" w:rsidRPr="00A53AD7">
        <w:rPr>
          <w:rFonts w:ascii="Times New Roman" w:hAnsi="Times New Roman"/>
          <w:sz w:val="28"/>
          <w:szCs w:val="28"/>
        </w:rPr>
        <w:t>, а также</w:t>
      </w:r>
      <w:r w:rsidRPr="00A53AD7">
        <w:rPr>
          <w:rFonts w:ascii="Times New Roman" w:hAnsi="Times New Roman"/>
          <w:sz w:val="28"/>
          <w:szCs w:val="28"/>
        </w:rPr>
        <w:t xml:space="preserve"> приобретение</w:t>
      </w:r>
      <w:r w:rsidR="00660406" w:rsidRPr="00A53AD7">
        <w:rPr>
          <w:rFonts w:ascii="Times New Roman" w:hAnsi="Times New Roman"/>
          <w:sz w:val="28"/>
          <w:szCs w:val="28"/>
        </w:rPr>
        <w:t>м</w:t>
      </w:r>
      <w:r w:rsidRPr="00A53AD7">
        <w:rPr>
          <w:rFonts w:ascii="Times New Roman" w:hAnsi="Times New Roman"/>
          <w:sz w:val="28"/>
          <w:szCs w:val="28"/>
        </w:rPr>
        <w:t xml:space="preserve"> оргтехники, коммуникационного оборудования, мебели.</w:t>
      </w:r>
    </w:p>
    <w:p w14:paraId="5BEE3788" w14:textId="544FDE5D" w:rsidR="00826714" w:rsidRPr="00A53AD7" w:rsidRDefault="00826714" w:rsidP="003C3839">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Рост расходов по подразделу 0401 «Общеэкономические вопросы» в отчетном периоде в сравнении прошлым финансовым годом составил 19,1 млн.руб. или 8,3%, что</w:t>
      </w:r>
      <w:r w:rsidR="00E63ED0" w:rsidRPr="00A53AD7">
        <w:rPr>
          <w:rFonts w:ascii="Times New Roman" w:hAnsi="Times New Roman"/>
          <w:sz w:val="28"/>
          <w:szCs w:val="28"/>
        </w:rPr>
        <w:t>,</w:t>
      </w:r>
      <w:r w:rsidRPr="00A53AD7">
        <w:rPr>
          <w:rFonts w:ascii="Times New Roman" w:hAnsi="Times New Roman"/>
          <w:sz w:val="28"/>
          <w:szCs w:val="28"/>
        </w:rPr>
        <w:t xml:space="preserve"> в основном</w:t>
      </w:r>
      <w:r w:rsidR="00E63ED0" w:rsidRPr="00A53AD7">
        <w:rPr>
          <w:rFonts w:ascii="Times New Roman" w:hAnsi="Times New Roman"/>
          <w:sz w:val="28"/>
          <w:szCs w:val="28"/>
        </w:rPr>
        <w:t>,</w:t>
      </w:r>
      <w:r w:rsidRPr="00A53AD7">
        <w:rPr>
          <w:rFonts w:ascii="Times New Roman" w:hAnsi="Times New Roman"/>
          <w:sz w:val="28"/>
          <w:szCs w:val="28"/>
        </w:rPr>
        <w:t xml:space="preserve"> вызвано увеличением в 2019 году численности государственных гражданских служащих агентства по тарифам и ценам Архангельской области на 6 единиц и министерства природных ресурсов и лесопромышленного комплекса Архангельской области на 2 единицы.</w:t>
      </w:r>
    </w:p>
    <w:p w14:paraId="5CD537D1" w14:textId="231C24E8" w:rsidR="00826714" w:rsidRPr="00A53AD7" w:rsidRDefault="00826714" w:rsidP="003C383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Наибольшее сокращение расходов на содержание государственных органов в 2019 году, по сравнению с прошлым финансовым годом приходится на подраздел 0103 «Функционирование законодательных (представительных) органов власти и представительных органов муниципальных образований» и составляет 20,0 млн.руб. </w:t>
      </w:r>
      <w:r w:rsidR="003C3839" w:rsidRPr="00A53AD7">
        <w:rPr>
          <w:rFonts w:ascii="Times New Roman" w:hAnsi="Times New Roman"/>
          <w:sz w:val="28"/>
          <w:szCs w:val="28"/>
        </w:rPr>
        <w:t xml:space="preserve">или </w:t>
      </w:r>
      <w:r w:rsidRPr="00A53AD7">
        <w:rPr>
          <w:rFonts w:ascii="Times New Roman" w:hAnsi="Times New Roman"/>
          <w:sz w:val="28"/>
          <w:szCs w:val="28"/>
        </w:rPr>
        <w:t>11,1 %. Данное снижение обусловлено окончани</w:t>
      </w:r>
      <w:r w:rsidR="003C3839" w:rsidRPr="00A53AD7">
        <w:rPr>
          <w:rFonts w:ascii="Times New Roman" w:hAnsi="Times New Roman"/>
          <w:sz w:val="28"/>
          <w:szCs w:val="28"/>
        </w:rPr>
        <w:t>ем</w:t>
      </w:r>
      <w:r w:rsidRPr="00A53AD7">
        <w:rPr>
          <w:rFonts w:ascii="Times New Roman" w:hAnsi="Times New Roman"/>
          <w:sz w:val="28"/>
          <w:szCs w:val="28"/>
        </w:rPr>
        <w:t xml:space="preserve"> в 2018 году полномочий депутатского корпуса Архангельского областного Собрания депутатов и необходимостью выплат за неиспользованный отпуск при увольнении в связи с истечением срока полномочий.</w:t>
      </w:r>
      <w:r w:rsidR="004F72C0" w:rsidRPr="00A53AD7">
        <w:rPr>
          <w:rFonts w:ascii="Times New Roman" w:hAnsi="Times New Roman"/>
          <w:sz w:val="28"/>
          <w:szCs w:val="28"/>
        </w:rPr>
        <w:t xml:space="preserve"> В 2019 году указанные расходы отсутствовали.</w:t>
      </w:r>
    </w:p>
    <w:p w14:paraId="203279E0" w14:textId="522EC33B" w:rsidR="00096B0A" w:rsidRPr="00A53AD7" w:rsidRDefault="00BE6D75" w:rsidP="00096B0A">
      <w:pPr>
        <w:pStyle w:val="2"/>
        <w:spacing w:line="240" w:lineRule="auto"/>
        <w:jc w:val="center"/>
        <w:rPr>
          <w:b w:val="0"/>
          <w:lang w:val="ru-RU"/>
        </w:rPr>
      </w:pPr>
      <w:bookmarkStart w:id="69" w:name="_Toc42006721"/>
      <w:r w:rsidRPr="00A53AD7">
        <w:rPr>
          <w:b w:val="0"/>
          <w:lang w:val="ru-RU"/>
        </w:rPr>
        <w:t>4</w:t>
      </w:r>
      <w:r w:rsidR="00ED1198" w:rsidRPr="00A53AD7">
        <w:rPr>
          <w:b w:val="0"/>
          <w:lang w:val="ru-RU"/>
        </w:rPr>
        <w:t>.</w:t>
      </w:r>
      <w:r w:rsidRPr="00A53AD7">
        <w:rPr>
          <w:b w:val="0"/>
          <w:lang w:val="ru-RU"/>
        </w:rPr>
        <w:t>2</w:t>
      </w:r>
      <w:r w:rsidR="00ED1198" w:rsidRPr="00A53AD7">
        <w:rPr>
          <w:b w:val="0"/>
          <w:lang w:val="ru-RU"/>
        </w:rPr>
        <w:t xml:space="preserve">. </w:t>
      </w:r>
      <w:r w:rsidR="00032828" w:rsidRPr="00A53AD7">
        <w:rPr>
          <w:b w:val="0"/>
          <w:lang w:val="ru-RU"/>
        </w:rPr>
        <w:t>Х</w:t>
      </w:r>
      <w:r w:rsidR="0058768A" w:rsidRPr="00A53AD7">
        <w:rPr>
          <w:b w:val="0"/>
          <w:lang w:val="ru-RU"/>
        </w:rPr>
        <w:t xml:space="preserve">арактеристика расходов областного бюджета </w:t>
      </w:r>
      <w:r w:rsidR="00593C09" w:rsidRPr="00A53AD7">
        <w:rPr>
          <w:b w:val="0"/>
          <w:lang w:val="ru-RU"/>
        </w:rPr>
        <w:t xml:space="preserve">на </w:t>
      </w:r>
      <w:r w:rsidR="0058768A" w:rsidRPr="00A53AD7">
        <w:rPr>
          <w:b w:val="0"/>
          <w:lang w:val="ru-RU"/>
        </w:rPr>
        <w:t>р</w:t>
      </w:r>
      <w:r w:rsidR="00096B0A" w:rsidRPr="00A53AD7">
        <w:rPr>
          <w:b w:val="0"/>
          <w:lang w:val="ru-RU"/>
        </w:rPr>
        <w:t>еализаци</w:t>
      </w:r>
      <w:r w:rsidR="00593C09" w:rsidRPr="00A53AD7">
        <w:rPr>
          <w:b w:val="0"/>
          <w:lang w:val="ru-RU"/>
        </w:rPr>
        <w:t>ю</w:t>
      </w:r>
      <w:r w:rsidR="00096B0A" w:rsidRPr="00A53AD7">
        <w:rPr>
          <w:b w:val="0"/>
        </w:rPr>
        <w:t xml:space="preserve"> программ</w:t>
      </w:r>
      <w:r w:rsidR="003D4504" w:rsidRPr="00A53AD7">
        <w:rPr>
          <w:b w:val="0"/>
          <w:lang w:val="ru-RU"/>
        </w:rPr>
        <w:t xml:space="preserve"> Архангельской области</w:t>
      </w:r>
      <w:bookmarkEnd w:id="69"/>
    </w:p>
    <w:p w14:paraId="74B44D8A"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31.12.2019 в областном бюджете предусмотрены ассигнования на реализацию 23 государственных программ Архангельской области (далее - ГП АО). Также областным бюджетом предусмотрены ассигнования на реализацию адресной программы Архангельской области «Обеспечение мероприятий по капитальному ремонту многоквартирных домов, переселению граждан из аварийного жилищного фонда и переселению граждан из аварийного жилищного фонда с учетом необходимости развития малоэтажного жилищного строительства» и программы, относящиеся к иным программам Архангельской области.</w:t>
      </w:r>
    </w:p>
    <w:p w14:paraId="440F93C7" w14:textId="0346CE3A"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Приложению № 5 </w:t>
      </w:r>
      <w:r w:rsidR="00D80401" w:rsidRPr="00A53AD7">
        <w:rPr>
          <w:rFonts w:ascii="Times New Roman" w:hAnsi="Times New Roman"/>
          <w:sz w:val="28"/>
          <w:szCs w:val="28"/>
        </w:rPr>
        <w:t>к п</w:t>
      </w:r>
      <w:r w:rsidRPr="00A53AD7">
        <w:rPr>
          <w:rFonts w:ascii="Times New Roman" w:hAnsi="Times New Roman"/>
          <w:sz w:val="28"/>
          <w:szCs w:val="28"/>
        </w:rPr>
        <w:t>ояснительной записк</w:t>
      </w:r>
      <w:r w:rsidR="00D80401" w:rsidRPr="00A53AD7">
        <w:rPr>
          <w:rFonts w:ascii="Times New Roman" w:hAnsi="Times New Roman"/>
          <w:sz w:val="28"/>
          <w:szCs w:val="28"/>
        </w:rPr>
        <w:t>е</w:t>
      </w:r>
      <w:r w:rsidRPr="00A53AD7">
        <w:rPr>
          <w:rFonts w:ascii="Times New Roman" w:hAnsi="Times New Roman"/>
          <w:sz w:val="28"/>
          <w:szCs w:val="28"/>
        </w:rPr>
        <w:t xml:space="preserve"> к отчету об исполнении бюджета, сведения об исполнении областного бюджета в части указанных выше программ приведены в таблице </w:t>
      </w:r>
      <w:r w:rsidR="00E63ED0" w:rsidRPr="00A53AD7">
        <w:rPr>
          <w:rFonts w:ascii="Times New Roman" w:hAnsi="Times New Roman"/>
          <w:sz w:val="28"/>
          <w:szCs w:val="28"/>
        </w:rPr>
        <w:t>35</w:t>
      </w:r>
      <w:r w:rsidRPr="00A53AD7">
        <w:rPr>
          <w:rFonts w:ascii="Times New Roman" w:hAnsi="Times New Roman"/>
          <w:sz w:val="28"/>
          <w:szCs w:val="28"/>
        </w:rPr>
        <w:t>.</w:t>
      </w:r>
    </w:p>
    <w:p w14:paraId="24A521D2" w14:textId="77777777" w:rsidR="00914F14" w:rsidRPr="00A53AD7" w:rsidRDefault="00914F14" w:rsidP="00914F14">
      <w:pPr>
        <w:spacing w:after="0" w:line="240" w:lineRule="auto"/>
        <w:jc w:val="both"/>
        <w:rPr>
          <w:rFonts w:ascii="Times New Roman" w:hAnsi="Times New Roman"/>
          <w:sz w:val="24"/>
          <w:szCs w:val="24"/>
          <w:highlight w:val="cyan"/>
        </w:rPr>
      </w:pPr>
    </w:p>
    <w:p w14:paraId="6E0F37AC" w14:textId="7F6EA3B1" w:rsidR="00914F14" w:rsidRPr="00A53AD7" w:rsidRDefault="00263C8B" w:rsidP="00914F14">
      <w:pPr>
        <w:spacing w:after="0" w:line="240" w:lineRule="auto"/>
        <w:jc w:val="both"/>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35</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00914F14" w:rsidRPr="00A53AD7">
        <w:rPr>
          <w:rFonts w:ascii="Times New Roman" w:hAnsi="Times New Roman"/>
          <w:sz w:val="24"/>
          <w:szCs w:val="24"/>
        </w:rPr>
        <w:t>Расходы областного бюджета за 2019 год на реализацию программ, млн.руб.</w:t>
      </w:r>
    </w:p>
    <w:tbl>
      <w:tblPr>
        <w:tblW w:w="9208"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111"/>
        <w:gridCol w:w="1746"/>
        <w:gridCol w:w="1634"/>
        <w:gridCol w:w="1717"/>
      </w:tblGrid>
      <w:tr w:rsidR="00A53AD7" w:rsidRPr="00A53AD7" w14:paraId="2756F50B" w14:textId="77777777" w:rsidTr="004D1E45">
        <w:trPr>
          <w:trHeight w:val="1104"/>
          <w:tblHeader/>
        </w:trPr>
        <w:tc>
          <w:tcPr>
            <w:tcW w:w="4111" w:type="dxa"/>
            <w:shd w:val="clear" w:color="auto" w:fill="auto"/>
            <w:vAlign w:val="center"/>
            <w:hideMark/>
          </w:tcPr>
          <w:p w14:paraId="58D7BF23" w14:textId="77777777" w:rsidR="00914F14" w:rsidRPr="00A53AD7" w:rsidRDefault="00914F14" w:rsidP="004D1E45">
            <w:pPr>
              <w:spacing w:after="0" w:line="240" w:lineRule="auto"/>
              <w:ind w:left="34"/>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1746" w:type="dxa"/>
            <w:shd w:val="clear" w:color="auto" w:fill="auto"/>
            <w:vAlign w:val="center"/>
            <w:hideMark/>
          </w:tcPr>
          <w:p w14:paraId="67CC9314" w14:textId="77777777" w:rsidR="00914F14" w:rsidRPr="00A53AD7" w:rsidRDefault="00914F14" w:rsidP="004D1E45">
            <w:pPr>
              <w:spacing w:after="0" w:line="240" w:lineRule="auto"/>
              <w:ind w:left="44"/>
              <w:jc w:val="center"/>
              <w:rPr>
                <w:rFonts w:ascii="Times New Roman" w:eastAsia="Times New Roman" w:hAnsi="Times New Roman"/>
                <w:lang w:eastAsia="ru-RU"/>
              </w:rPr>
            </w:pPr>
            <w:r w:rsidRPr="00A53AD7">
              <w:rPr>
                <w:rFonts w:ascii="Times New Roman" w:eastAsia="Times New Roman" w:hAnsi="Times New Roman"/>
                <w:lang w:eastAsia="ru-RU"/>
              </w:rPr>
              <w:t>Утверждено сводной бюджетной росписью</w:t>
            </w:r>
          </w:p>
        </w:tc>
        <w:tc>
          <w:tcPr>
            <w:tcW w:w="1634" w:type="dxa"/>
            <w:shd w:val="clear" w:color="auto" w:fill="auto"/>
            <w:vAlign w:val="center"/>
            <w:hideMark/>
          </w:tcPr>
          <w:p w14:paraId="2E335FA7" w14:textId="77777777" w:rsidR="00914F14" w:rsidRPr="00A53AD7" w:rsidRDefault="00914F14" w:rsidP="004D1E4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w:t>
            </w:r>
          </w:p>
        </w:tc>
        <w:tc>
          <w:tcPr>
            <w:tcW w:w="1717" w:type="dxa"/>
            <w:shd w:val="clear" w:color="auto" w:fill="auto"/>
            <w:vAlign w:val="center"/>
            <w:hideMark/>
          </w:tcPr>
          <w:p w14:paraId="03E9470A" w14:textId="77777777" w:rsidR="00914F14" w:rsidRPr="00A53AD7" w:rsidRDefault="00914F14" w:rsidP="004D1E4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исполнения</w:t>
            </w:r>
          </w:p>
        </w:tc>
      </w:tr>
      <w:tr w:rsidR="00A53AD7" w:rsidRPr="00A53AD7" w14:paraId="4637051E" w14:textId="77777777" w:rsidTr="004D1E45">
        <w:trPr>
          <w:trHeight w:hRule="exact" w:val="284"/>
        </w:trPr>
        <w:tc>
          <w:tcPr>
            <w:tcW w:w="4111" w:type="dxa"/>
            <w:shd w:val="clear" w:color="auto" w:fill="auto"/>
            <w:vAlign w:val="bottom"/>
            <w:hideMark/>
          </w:tcPr>
          <w:p w14:paraId="4E03797E" w14:textId="77777777" w:rsidR="00914F14" w:rsidRPr="00A53AD7" w:rsidRDefault="00914F14" w:rsidP="004D1E4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Государственные программы</w:t>
            </w:r>
          </w:p>
        </w:tc>
        <w:tc>
          <w:tcPr>
            <w:tcW w:w="1746" w:type="dxa"/>
            <w:shd w:val="clear" w:color="auto" w:fill="auto"/>
            <w:noWrap/>
            <w:vAlign w:val="bottom"/>
          </w:tcPr>
          <w:p w14:paraId="7658B016"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91 854,6</w:t>
            </w:r>
          </w:p>
        </w:tc>
        <w:tc>
          <w:tcPr>
            <w:tcW w:w="1634" w:type="dxa"/>
            <w:shd w:val="clear" w:color="auto" w:fill="auto"/>
            <w:noWrap/>
            <w:vAlign w:val="bottom"/>
          </w:tcPr>
          <w:p w14:paraId="4368299D"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88 044,0</w:t>
            </w:r>
          </w:p>
        </w:tc>
        <w:tc>
          <w:tcPr>
            <w:tcW w:w="1717" w:type="dxa"/>
            <w:shd w:val="clear" w:color="auto" w:fill="auto"/>
            <w:noWrap/>
            <w:vAlign w:val="bottom"/>
          </w:tcPr>
          <w:p w14:paraId="0E113BFD"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95,9</w:t>
            </w:r>
          </w:p>
        </w:tc>
      </w:tr>
      <w:tr w:rsidR="00A53AD7" w:rsidRPr="00A53AD7" w14:paraId="6AF8A69A" w14:textId="77777777" w:rsidTr="004D1E45">
        <w:trPr>
          <w:trHeight w:val="118"/>
        </w:trPr>
        <w:tc>
          <w:tcPr>
            <w:tcW w:w="4111" w:type="dxa"/>
            <w:shd w:val="clear" w:color="auto" w:fill="auto"/>
            <w:vAlign w:val="bottom"/>
          </w:tcPr>
          <w:p w14:paraId="47CC302E" w14:textId="77777777" w:rsidR="00914F14" w:rsidRPr="00A53AD7" w:rsidRDefault="00914F14" w:rsidP="004D1E4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Адресные программы</w:t>
            </w:r>
          </w:p>
        </w:tc>
        <w:tc>
          <w:tcPr>
            <w:tcW w:w="1746" w:type="dxa"/>
            <w:shd w:val="clear" w:color="auto" w:fill="auto"/>
            <w:noWrap/>
            <w:vAlign w:val="bottom"/>
          </w:tcPr>
          <w:p w14:paraId="7F613E35"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2 524,2</w:t>
            </w:r>
          </w:p>
        </w:tc>
        <w:tc>
          <w:tcPr>
            <w:tcW w:w="1634" w:type="dxa"/>
            <w:shd w:val="clear" w:color="auto" w:fill="auto"/>
            <w:noWrap/>
            <w:vAlign w:val="bottom"/>
          </w:tcPr>
          <w:p w14:paraId="509C6DDD"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469,8</w:t>
            </w:r>
          </w:p>
        </w:tc>
        <w:tc>
          <w:tcPr>
            <w:tcW w:w="1717" w:type="dxa"/>
            <w:shd w:val="clear" w:color="auto" w:fill="auto"/>
            <w:noWrap/>
            <w:vAlign w:val="bottom"/>
          </w:tcPr>
          <w:p w14:paraId="1C2FA5CF"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18,6</w:t>
            </w:r>
          </w:p>
        </w:tc>
      </w:tr>
      <w:tr w:rsidR="00A53AD7" w:rsidRPr="00A53AD7" w14:paraId="2DADAF34" w14:textId="77777777" w:rsidTr="004D1E45">
        <w:trPr>
          <w:trHeight w:val="264"/>
        </w:trPr>
        <w:tc>
          <w:tcPr>
            <w:tcW w:w="4111" w:type="dxa"/>
            <w:shd w:val="clear" w:color="auto" w:fill="auto"/>
            <w:vAlign w:val="bottom"/>
          </w:tcPr>
          <w:p w14:paraId="601C48D2" w14:textId="77777777" w:rsidR="00914F14" w:rsidRPr="00A53AD7" w:rsidRDefault="00914F14" w:rsidP="004D1E4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Иные программы</w:t>
            </w:r>
          </w:p>
        </w:tc>
        <w:tc>
          <w:tcPr>
            <w:tcW w:w="1746" w:type="dxa"/>
            <w:shd w:val="clear" w:color="auto" w:fill="auto"/>
            <w:noWrap/>
            <w:vAlign w:val="bottom"/>
          </w:tcPr>
          <w:p w14:paraId="38228944"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4,0</w:t>
            </w:r>
          </w:p>
        </w:tc>
        <w:tc>
          <w:tcPr>
            <w:tcW w:w="1634" w:type="dxa"/>
            <w:shd w:val="clear" w:color="auto" w:fill="auto"/>
            <w:noWrap/>
            <w:vAlign w:val="bottom"/>
          </w:tcPr>
          <w:p w14:paraId="1FF8BB8A"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4,0</w:t>
            </w:r>
          </w:p>
        </w:tc>
        <w:tc>
          <w:tcPr>
            <w:tcW w:w="1717" w:type="dxa"/>
            <w:shd w:val="clear" w:color="auto" w:fill="auto"/>
            <w:noWrap/>
            <w:vAlign w:val="bottom"/>
          </w:tcPr>
          <w:p w14:paraId="243F5BB3" w14:textId="77777777" w:rsidR="00914F14" w:rsidRPr="00A53AD7" w:rsidRDefault="00914F14" w:rsidP="004D1E45">
            <w:pPr>
              <w:spacing w:after="0" w:line="240" w:lineRule="auto"/>
              <w:ind w:left="426"/>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914F14" w:rsidRPr="00A53AD7" w14:paraId="008BBE58" w14:textId="77777777" w:rsidTr="004D1E45">
        <w:trPr>
          <w:trHeight w:hRule="exact" w:val="284"/>
        </w:trPr>
        <w:tc>
          <w:tcPr>
            <w:tcW w:w="4111" w:type="dxa"/>
            <w:shd w:val="clear" w:color="auto" w:fill="auto"/>
            <w:vAlign w:val="bottom"/>
            <w:hideMark/>
          </w:tcPr>
          <w:p w14:paraId="7B273B2C" w14:textId="77777777" w:rsidR="00914F14" w:rsidRPr="00A53AD7" w:rsidRDefault="00914F14" w:rsidP="004D1E45">
            <w:pPr>
              <w:spacing w:after="0" w:line="240" w:lineRule="auto"/>
              <w:rPr>
                <w:rFonts w:ascii="Times New Roman" w:eastAsia="Times New Roman" w:hAnsi="Times New Roman"/>
                <w:b/>
                <w:lang w:eastAsia="ru-RU"/>
              </w:rPr>
            </w:pPr>
            <w:r w:rsidRPr="00A53AD7">
              <w:rPr>
                <w:rFonts w:ascii="Times New Roman" w:eastAsia="Times New Roman" w:hAnsi="Times New Roman"/>
                <w:b/>
                <w:lang w:eastAsia="ru-RU"/>
              </w:rPr>
              <w:t>Итого</w:t>
            </w:r>
          </w:p>
        </w:tc>
        <w:tc>
          <w:tcPr>
            <w:tcW w:w="1746" w:type="dxa"/>
            <w:shd w:val="clear" w:color="auto" w:fill="auto"/>
            <w:noWrap/>
            <w:vAlign w:val="bottom"/>
          </w:tcPr>
          <w:p w14:paraId="2B160CA8" w14:textId="77777777" w:rsidR="00914F14" w:rsidRPr="00A53AD7" w:rsidRDefault="00914F14" w:rsidP="004D1E45">
            <w:pPr>
              <w:spacing w:after="0" w:line="240" w:lineRule="auto"/>
              <w:ind w:left="426"/>
              <w:jc w:val="right"/>
              <w:rPr>
                <w:rFonts w:ascii="Times New Roman" w:eastAsia="Times New Roman" w:hAnsi="Times New Roman"/>
                <w:b/>
                <w:lang w:eastAsia="ru-RU"/>
              </w:rPr>
            </w:pPr>
            <w:r w:rsidRPr="00A53AD7">
              <w:rPr>
                <w:rFonts w:ascii="Times New Roman" w:eastAsia="Times New Roman" w:hAnsi="Times New Roman"/>
                <w:b/>
                <w:lang w:eastAsia="ru-RU"/>
              </w:rPr>
              <w:t>94 382,8</w:t>
            </w:r>
          </w:p>
        </w:tc>
        <w:tc>
          <w:tcPr>
            <w:tcW w:w="1634" w:type="dxa"/>
            <w:shd w:val="clear" w:color="auto" w:fill="auto"/>
            <w:noWrap/>
            <w:vAlign w:val="bottom"/>
          </w:tcPr>
          <w:p w14:paraId="07F064AC" w14:textId="77777777" w:rsidR="00914F14" w:rsidRPr="00A53AD7" w:rsidRDefault="00914F14" w:rsidP="004D1E45">
            <w:pPr>
              <w:spacing w:after="0" w:line="240" w:lineRule="auto"/>
              <w:ind w:left="426"/>
              <w:jc w:val="right"/>
              <w:rPr>
                <w:rFonts w:ascii="Times New Roman" w:eastAsia="Times New Roman" w:hAnsi="Times New Roman"/>
                <w:b/>
                <w:lang w:eastAsia="ru-RU"/>
              </w:rPr>
            </w:pPr>
            <w:r w:rsidRPr="00A53AD7">
              <w:rPr>
                <w:rFonts w:ascii="Times New Roman" w:eastAsia="Times New Roman" w:hAnsi="Times New Roman"/>
                <w:b/>
                <w:lang w:eastAsia="ru-RU"/>
              </w:rPr>
              <w:t>88 517,8</w:t>
            </w:r>
          </w:p>
        </w:tc>
        <w:tc>
          <w:tcPr>
            <w:tcW w:w="1717" w:type="dxa"/>
            <w:shd w:val="clear" w:color="auto" w:fill="auto"/>
            <w:noWrap/>
            <w:vAlign w:val="bottom"/>
          </w:tcPr>
          <w:p w14:paraId="2C52D395" w14:textId="77777777" w:rsidR="00914F14" w:rsidRPr="00A53AD7" w:rsidRDefault="00914F14" w:rsidP="004D1E45">
            <w:pPr>
              <w:spacing w:after="0" w:line="240" w:lineRule="auto"/>
              <w:ind w:left="426"/>
              <w:jc w:val="right"/>
              <w:rPr>
                <w:rFonts w:ascii="Times New Roman" w:eastAsia="Times New Roman" w:hAnsi="Times New Roman"/>
                <w:b/>
                <w:lang w:eastAsia="ru-RU"/>
              </w:rPr>
            </w:pPr>
            <w:r w:rsidRPr="00A53AD7">
              <w:rPr>
                <w:rFonts w:ascii="Times New Roman" w:eastAsia="Times New Roman" w:hAnsi="Times New Roman"/>
                <w:b/>
                <w:lang w:eastAsia="ru-RU"/>
              </w:rPr>
              <w:t>93,8</w:t>
            </w:r>
          </w:p>
        </w:tc>
      </w:tr>
    </w:tbl>
    <w:p w14:paraId="0C11E6D3" w14:textId="77777777" w:rsidR="00914F14" w:rsidRPr="00A53AD7" w:rsidRDefault="00914F14" w:rsidP="00914F14">
      <w:pPr>
        <w:spacing w:after="0" w:line="240" w:lineRule="auto"/>
        <w:ind w:firstLine="851"/>
        <w:jc w:val="both"/>
        <w:rPr>
          <w:rFonts w:ascii="Times New Roman" w:hAnsi="Times New Roman"/>
          <w:sz w:val="28"/>
          <w:szCs w:val="28"/>
        </w:rPr>
      </w:pPr>
    </w:p>
    <w:p w14:paraId="25D0F09E" w14:textId="1B0A9304"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Средства областного бюджета, формируемые в рамках программ, на отчетную дату утверждены бюджетной росписью расходов в сумме 94 382,8 млн.руб. или 99,0% в общем объеме расходов областного бюджета. Кассовые расходы на реализацию программ за 2019 год составили 88 517,8 млн.руб. или 93,8 % от предусмотренных бюджетных ассигнований и 99,6 % от доведенных объемов финансирования</w:t>
      </w:r>
      <w:r w:rsidR="00DD573E" w:rsidRPr="00A53AD7">
        <w:rPr>
          <w:rFonts w:ascii="Times New Roman" w:hAnsi="Times New Roman"/>
          <w:sz w:val="28"/>
          <w:szCs w:val="28"/>
        </w:rPr>
        <w:t xml:space="preserve"> </w:t>
      </w:r>
      <w:r w:rsidRPr="00A53AD7">
        <w:rPr>
          <w:rFonts w:ascii="Times New Roman" w:hAnsi="Times New Roman"/>
          <w:sz w:val="28"/>
          <w:szCs w:val="28"/>
        </w:rPr>
        <w:t>(см. приложени</w:t>
      </w:r>
      <w:r w:rsidR="00D80401" w:rsidRPr="00A53AD7">
        <w:rPr>
          <w:rFonts w:ascii="Times New Roman" w:hAnsi="Times New Roman"/>
          <w:sz w:val="28"/>
          <w:szCs w:val="28"/>
        </w:rPr>
        <w:t>я</w:t>
      </w:r>
      <w:r w:rsidRPr="00A53AD7">
        <w:rPr>
          <w:rFonts w:ascii="Times New Roman" w:hAnsi="Times New Roman"/>
          <w:sz w:val="28"/>
          <w:szCs w:val="28"/>
        </w:rPr>
        <w:t xml:space="preserve"> №</w:t>
      </w:r>
      <w:r w:rsidR="00D80401" w:rsidRPr="00A53AD7">
        <w:rPr>
          <w:rFonts w:ascii="Times New Roman" w:hAnsi="Times New Roman"/>
          <w:sz w:val="28"/>
          <w:szCs w:val="28"/>
        </w:rPr>
        <w:t>№ 13 и 14</w:t>
      </w:r>
      <w:r w:rsidRPr="00A53AD7">
        <w:rPr>
          <w:rFonts w:ascii="Times New Roman" w:hAnsi="Times New Roman"/>
          <w:sz w:val="28"/>
          <w:szCs w:val="28"/>
        </w:rPr>
        <w:t xml:space="preserve"> к настоящему заключению).</w:t>
      </w:r>
    </w:p>
    <w:p w14:paraId="5BAB92B5"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на реализацию адресной программы Архангельской области «Обеспечение мероприятий по капитальному ремонту многоквартирных домов, переселению граждан из аварийного жилищного фонда и переселению граждан из аварийного жилищного фонда с учетом необходимости развития малоэтажного жилищного строительства» за 2019 год составили 469,8 млн.руб. (18,6 % к плану на год и к плану кассовых выплат на 2019 года). Из общей суммы произведенных расходов, расходы за счет Фонда ЖКХ составили 453,9 млн.руб. из 2 445,4 млн.руб. запланированных на год, за счет средств областного бюджета – 15,9 млн.руб. из 78,8 млн.руб. запланированных на год.</w:t>
      </w:r>
    </w:p>
    <w:p w14:paraId="7E5BCF1B" w14:textId="37AD46BC"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наблюдается рост кассовых расходов к предусмотренным бюджетным ассигнованиям в сравнении с 2018 годом по государственной программе «Экономическое развитие и инвестиционная деятельность в Архангельской области»: 2019 год – 99,6%, 2018 год – 86,8 %. В 2019 году на реализацию данной государственной программы предусмотрено финансирование в сумме 859,3 млн.руб., из них 465,0 млн.руб. – средства федерального бюджета, 394,3 млн.руб. – средства областного бюджета. Согласно отчету, об исполнении мероприятий государственной программы, кассовое исполнение за 2019 год составило 856,3 млн.руб. или 99,6 % от общей суммы запланированных бюджетных ассигнований, из них 465,0 млн.руб. – средства федерального бюджета и 391,3 млн.руб. – средства областного бюджета.</w:t>
      </w:r>
    </w:p>
    <w:p w14:paraId="23252CE1" w14:textId="40947FFD"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Также рост наблюдается по государственной программе «Развитие инфраструктуры Соловецкого архипелага»: 2019 год – 82,3% и 2018 год – 70,4</w:t>
      </w:r>
      <w:r w:rsidR="00EA5AB1" w:rsidRPr="00A53AD7">
        <w:rPr>
          <w:rFonts w:ascii="Times New Roman" w:hAnsi="Times New Roman"/>
          <w:sz w:val="28"/>
          <w:szCs w:val="28"/>
        </w:rPr>
        <w:t> </w:t>
      </w:r>
      <w:r w:rsidRPr="00A53AD7">
        <w:rPr>
          <w:rFonts w:ascii="Times New Roman" w:hAnsi="Times New Roman"/>
          <w:sz w:val="28"/>
          <w:szCs w:val="28"/>
        </w:rPr>
        <w:t>%. В 2019 году на реализацию данной государственной программы предусмотрено финансирование в сумме 1</w:t>
      </w:r>
      <w:r w:rsidR="00EA5AB1" w:rsidRPr="00A53AD7">
        <w:rPr>
          <w:rFonts w:ascii="Times New Roman" w:hAnsi="Times New Roman"/>
          <w:sz w:val="28"/>
          <w:szCs w:val="28"/>
        </w:rPr>
        <w:t> </w:t>
      </w:r>
      <w:r w:rsidRPr="00A53AD7">
        <w:rPr>
          <w:rFonts w:ascii="Times New Roman" w:hAnsi="Times New Roman"/>
          <w:sz w:val="28"/>
          <w:szCs w:val="28"/>
        </w:rPr>
        <w:t>851,9 млн.руб., из них 1</w:t>
      </w:r>
      <w:r w:rsidR="00EA5AB1" w:rsidRPr="00A53AD7">
        <w:rPr>
          <w:rFonts w:ascii="Times New Roman" w:hAnsi="Times New Roman"/>
          <w:sz w:val="28"/>
          <w:szCs w:val="28"/>
        </w:rPr>
        <w:t> </w:t>
      </w:r>
      <w:r w:rsidRPr="00A53AD7">
        <w:rPr>
          <w:rFonts w:ascii="Times New Roman" w:hAnsi="Times New Roman"/>
          <w:sz w:val="28"/>
          <w:szCs w:val="28"/>
        </w:rPr>
        <w:t>386,2 млн.руб. – средства федерального бюджета, 465,7 млн.руб. – средства областного бюджета. Согласно отчету, об исполнении мероприятий государственной программы, кассовое исполнение за 2019 год составило 1</w:t>
      </w:r>
      <w:r w:rsidR="006840FB" w:rsidRPr="00A53AD7">
        <w:rPr>
          <w:rFonts w:ascii="Times New Roman" w:hAnsi="Times New Roman"/>
          <w:sz w:val="28"/>
          <w:szCs w:val="28"/>
        </w:rPr>
        <w:t> </w:t>
      </w:r>
      <w:r w:rsidRPr="00A53AD7">
        <w:rPr>
          <w:rFonts w:ascii="Times New Roman" w:hAnsi="Times New Roman"/>
          <w:sz w:val="28"/>
          <w:szCs w:val="28"/>
        </w:rPr>
        <w:t>524,8 млн.руб. или 82,3 % от общей суммы запланированных бюджетных ассигнований, из них 1</w:t>
      </w:r>
      <w:r w:rsidR="006840FB" w:rsidRPr="00A53AD7">
        <w:rPr>
          <w:rFonts w:ascii="Times New Roman" w:hAnsi="Times New Roman"/>
          <w:sz w:val="28"/>
          <w:szCs w:val="28"/>
        </w:rPr>
        <w:t> </w:t>
      </w:r>
      <w:r w:rsidRPr="00A53AD7">
        <w:rPr>
          <w:rFonts w:ascii="Times New Roman" w:hAnsi="Times New Roman"/>
          <w:sz w:val="28"/>
          <w:szCs w:val="28"/>
        </w:rPr>
        <w:t>100,0 млн.руб. – средства федерального бюджета и 424,8 млн.руб. – средства областного бюджета.</w:t>
      </w:r>
    </w:p>
    <w:p w14:paraId="64378722" w14:textId="732BD232"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Снижение уровня кассовых расходов к предусмотренным бюджетным ассигнованиям в 2019 году в сравнении с 2018 годом наблюдается по государственной программе «Развитие местного самоуправления в Архангельской области и государственная поддержка социально ориентированных некоммерческих организаций» - 2019 год – 55,9</w:t>
      </w:r>
      <w:r w:rsidR="006840FB" w:rsidRPr="00A53AD7">
        <w:rPr>
          <w:rFonts w:ascii="Times New Roman" w:hAnsi="Times New Roman"/>
          <w:sz w:val="28"/>
          <w:szCs w:val="28"/>
        </w:rPr>
        <w:t xml:space="preserve"> </w:t>
      </w:r>
      <w:r w:rsidRPr="00A53AD7">
        <w:rPr>
          <w:rFonts w:ascii="Times New Roman" w:hAnsi="Times New Roman"/>
          <w:sz w:val="28"/>
          <w:szCs w:val="28"/>
        </w:rPr>
        <w:t>%, 2018 год – 99,7 % и по государственной программе «Формирование современной городской среды в Архангельской области» - 2019 год – 74,0</w:t>
      </w:r>
      <w:r w:rsidR="006840FB" w:rsidRPr="00A53AD7">
        <w:rPr>
          <w:rFonts w:ascii="Times New Roman" w:hAnsi="Times New Roman"/>
          <w:sz w:val="28"/>
          <w:szCs w:val="28"/>
        </w:rPr>
        <w:t xml:space="preserve"> </w:t>
      </w:r>
      <w:r w:rsidRPr="00A53AD7">
        <w:rPr>
          <w:rFonts w:ascii="Times New Roman" w:hAnsi="Times New Roman"/>
          <w:sz w:val="28"/>
          <w:szCs w:val="28"/>
        </w:rPr>
        <w:t>%, 2018 год – 99,7</w:t>
      </w:r>
      <w:r w:rsidR="006840FB" w:rsidRPr="00A53AD7">
        <w:rPr>
          <w:rFonts w:ascii="Times New Roman" w:hAnsi="Times New Roman"/>
          <w:sz w:val="28"/>
          <w:szCs w:val="28"/>
        </w:rPr>
        <w:t> </w:t>
      </w:r>
      <w:r w:rsidRPr="00A53AD7">
        <w:rPr>
          <w:rFonts w:ascii="Times New Roman" w:hAnsi="Times New Roman"/>
          <w:sz w:val="28"/>
          <w:szCs w:val="28"/>
        </w:rPr>
        <w:t>%.</w:t>
      </w:r>
    </w:p>
    <w:p w14:paraId="4148038F"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Наиболее низкие показатели оценки эффективности реализации государственной программы сложились по:</w:t>
      </w:r>
    </w:p>
    <w:p w14:paraId="02BD677C" w14:textId="77777777" w:rsidR="00914F14" w:rsidRPr="00A53AD7" w:rsidRDefault="00914F14" w:rsidP="00BB09B8">
      <w:pPr>
        <w:pStyle w:val="a8"/>
        <w:numPr>
          <w:ilvl w:val="0"/>
          <w:numId w:val="9"/>
        </w:numPr>
        <w:ind w:left="0" w:firstLine="839"/>
        <w:jc w:val="both"/>
        <w:rPr>
          <w:sz w:val="28"/>
          <w:szCs w:val="28"/>
        </w:rPr>
      </w:pPr>
      <w:r w:rsidRPr="00A53AD7">
        <w:rPr>
          <w:sz w:val="28"/>
          <w:szCs w:val="28"/>
        </w:rPr>
        <w:t>ГП АО «Развитие местного самоуправления Архангельской области и государственная поддержка социально ориентированных некоммерческих организаций» – 56,6;</w:t>
      </w:r>
    </w:p>
    <w:p w14:paraId="3737AE0E" w14:textId="77777777" w:rsidR="00914F14" w:rsidRPr="00A53AD7" w:rsidRDefault="00914F14" w:rsidP="00BB09B8">
      <w:pPr>
        <w:pStyle w:val="a8"/>
        <w:numPr>
          <w:ilvl w:val="0"/>
          <w:numId w:val="9"/>
        </w:numPr>
        <w:ind w:left="0" w:firstLine="851"/>
        <w:jc w:val="both"/>
        <w:rPr>
          <w:sz w:val="28"/>
          <w:szCs w:val="28"/>
        </w:rPr>
      </w:pPr>
      <w:r w:rsidRPr="00A53AD7">
        <w:rPr>
          <w:sz w:val="28"/>
          <w:szCs w:val="28"/>
        </w:rPr>
        <w:t>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 74,6;</w:t>
      </w:r>
    </w:p>
    <w:p w14:paraId="6E1D16CB" w14:textId="77777777" w:rsidR="00914F14" w:rsidRPr="00A53AD7" w:rsidRDefault="00914F14" w:rsidP="00BB09B8">
      <w:pPr>
        <w:pStyle w:val="a8"/>
        <w:numPr>
          <w:ilvl w:val="0"/>
          <w:numId w:val="9"/>
        </w:numPr>
        <w:ind w:left="0" w:firstLine="851"/>
        <w:jc w:val="both"/>
        <w:rPr>
          <w:sz w:val="28"/>
          <w:szCs w:val="28"/>
        </w:rPr>
      </w:pPr>
      <w:r w:rsidRPr="00A53AD7">
        <w:rPr>
          <w:sz w:val="28"/>
          <w:szCs w:val="28"/>
        </w:rPr>
        <w:t>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 – 78,6.</w:t>
      </w:r>
    </w:p>
    <w:p w14:paraId="6D005411"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Наиболее высокое значение оценки эффективности показателя оценки реализации государственных программ достигнуто по ГП АО «Управление государственными финансами и государственным долгом Архангельской области» и составило 97,9.</w:t>
      </w:r>
    </w:p>
    <w:p w14:paraId="40A606CA"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Положению об оценке эффективности реализации государственных программ Архангельской области, утвержденному постановлением Правительства Архангельской области от 10.07.2012 № 299-пп (далее – Положение об оценке), оценка эффективности реализации государственной программы проводиться на основании результатов оценки реализации государственной программы по ответственному исполнителю и соисполнителю государственной программы, а также оценки качества планирования и управления реализацией государственной программы.</w:t>
      </w:r>
    </w:p>
    <w:p w14:paraId="3C5F3B8A"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Значения оценки эффективности деятельности исполнителя, качества планирования и управления реализацией государственной программой и эффективности реализации государственной программы признается высоким, если данное значение составляет не менее 90, средним, если значение составляет не менее 80, удовлетворительным, если значение составляет не менее 70. В остальных случаях эффективность реализации ГП АО признается неудовлетворительной.</w:t>
      </w:r>
    </w:p>
    <w:p w14:paraId="2C7BF3E7" w14:textId="38AAA2D8"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эффективность реализации 7 государственных программ из 23-х в 2019 году признается высокой, 13 государственных программ – средней и 2 государственных программ удовлетворительной</w:t>
      </w:r>
      <w:r w:rsidR="00EE5559" w:rsidRPr="00A53AD7">
        <w:rPr>
          <w:rFonts w:ascii="Times New Roman" w:hAnsi="Times New Roman"/>
          <w:sz w:val="28"/>
          <w:szCs w:val="28"/>
        </w:rPr>
        <w:t>.</w:t>
      </w:r>
      <w:r w:rsidRPr="00A53AD7">
        <w:rPr>
          <w:rFonts w:ascii="Times New Roman" w:hAnsi="Times New Roman"/>
          <w:sz w:val="28"/>
          <w:szCs w:val="28"/>
        </w:rPr>
        <w:t xml:space="preserve"> </w:t>
      </w:r>
      <w:r w:rsidR="00EE5559" w:rsidRPr="00A53AD7">
        <w:rPr>
          <w:rFonts w:ascii="Times New Roman" w:hAnsi="Times New Roman"/>
          <w:sz w:val="28"/>
          <w:szCs w:val="28"/>
        </w:rPr>
        <w:t>Оценка эффективности реализации одной</w:t>
      </w:r>
      <w:r w:rsidRPr="00A53AD7">
        <w:rPr>
          <w:rFonts w:ascii="Times New Roman" w:hAnsi="Times New Roman"/>
          <w:sz w:val="28"/>
          <w:szCs w:val="28"/>
        </w:rPr>
        <w:t xml:space="preserve"> государственной программы являются неудовлетворительной.</w:t>
      </w:r>
    </w:p>
    <w:p w14:paraId="2A48A56F" w14:textId="77777777" w:rsidR="00914F14" w:rsidRPr="00A53AD7" w:rsidRDefault="00914F14" w:rsidP="00914F1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уровень оценки эффективности реализации ГП АО «Развитие местного самоуправления в Архангельской области и государственная поддержка социально ориентированных некоммерческих организаций» за 2019 год, согласно данным приведенным в КИАС Архангельской области повлияло невыполнение, нарушение сроков или частичное выполнение следующих мероприятий:</w:t>
      </w:r>
    </w:p>
    <w:p w14:paraId="31FBB1A0" w14:textId="77777777" w:rsidR="00C23810" w:rsidRPr="00A53AD7" w:rsidRDefault="00C23810" w:rsidP="00C23810">
      <w:pPr>
        <w:pStyle w:val="a8"/>
        <w:numPr>
          <w:ilvl w:val="0"/>
          <w:numId w:val="19"/>
        </w:numPr>
        <w:ind w:left="0" w:firstLine="851"/>
        <w:jc w:val="both"/>
        <w:rPr>
          <w:sz w:val="28"/>
          <w:szCs w:val="28"/>
        </w:rPr>
      </w:pPr>
      <w:r w:rsidRPr="00A53AD7">
        <w:rPr>
          <w:sz w:val="28"/>
          <w:szCs w:val="28"/>
        </w:rPr>
        <w:t>предоставление субсидий бюджетам городских округов на поддержку ТОС. Мероприятие выполнено с нарушением сроков реализации. Так проведение муниципальных конкурсов проектов ТОС в рамках субсидирования планировалось завершить 01.07.2019 фактическое завершение 02.12.2019. Проведение итогового конкурса планировалось на 31.07.2019, фактическое завершение состоялось 10.12.2019.</w:t>
      </w:r>
    </w:p>
    <w:p w14:paraId="1FDA0DDC" w14:textId="77777777" w:rsidR="00C23810" w:rsidRPr="00A53AD7" w:rsidRDefault="00C23810" w:rsidP="00C23810">
      <w:pPr>
        <w:pStyle w:val="a8"/>
        <w:ind w:left="0" w:firstLine="851"/>
        <w:jc w:val="both"/>
        <w:rPr>
          <w:rFonts w:eastAsia="Calibri"/>
          <w:sz w:val="28"/>
          <w:szCs w:val="28"/>
          <w:lang w:eastAsia="en-US"/>
        </w:rPr>
      </w:pPr>
      <w:r w:rsidRPr="00A53AD7">
        <w:rPr>
          <w:rFonts w:eastAsia="Calibri"/>
          <w:sz w:val="28"/>
          <w:szCs w:val="28"/>
          <w:lang w:eastAsia="en-US"/>
        </w:rPr>
        <w:t>Срок реализации нарушен в связи с поздним поступлением заявки о предоставлении субсидии от муниципального образования «Северодвинск» (29.08.2019), соглашение заключено – 04.09.2019. По всем остальным городским округам соглашения заключены 21.05.2019.</w:t>
      </w:r>
    </w:p>
    <w:p w14:paraId="0B527662" w14:textId="77777777" w:rsidR="00C23810" w:rsidRPr="00A53AD7" w:rsidRDefault="00C23810" w:rsidP="00C23810">
      <w:pPr>
        <w:pStyle w:val="a8"/>
        <w:numPr>
          <w:ilvl w:val="0"/>
          <w:numId w:val="19"/>
        </w:numPr>
        <w:ind w:left="0" w:firstLine="851"/>
        <w:jc w:val="both"/>
        <w:rPr>
          <w:sz w:val="28"/>
          <w:szCs w:val="28"/>
        </w:rPr>
      </w:pPr>
      <w:r w:rsidRPr="00A53AD7">
        <w:rPr>
          <w:sz w:val="28"/>
          <w:szCs w:val="28"/>
        </w:rPr>
        <w:t>проектирование и строительство начальной школы на 320 мест в селе Яренск, мероприятие не выполнено. Причиной невыполнения мероприятия послужило невыполнение работ по разработке обоснования инвестиций и получению положительного заключения технологического и ценового аудита в связи с многочисленными замечаниями ГАУ АО «Управление государственной экспертизы» в процессе проведения аудита (получено отрицательное заключение). В настоящее время администрацией Ленского муниципального района Архангельской области формируется дополнительное соглашение по продлению срока исполнения контракта;</w:t>
      </w:r>
    </w:p>
    <w:p w14:paraId="75944FAF" w14:textId="77777777" w:rsidR="00C23810" w:rsidRPr="00A53AD7" w:rsidRDefault="00C23810" w:rsidP="00C23810">
      <w:pPr>
        <w:pStyle w:val="a8"/>
        <w:numPr>
          <w:ilvl w:val="0"/>
          <w:numId w:val="19"/>
        </w:numPr>
        <w:ind w:left="0" w:firstLine="851"/>
        <w:jc w:val="both"/>
        <w:rPr>
          <w:sz w:val="28"/>
          <w:szCs w:val="28"/>
        </w:rPr>
      </w:pPr>
      <w:r w:rsidRPr="00A53AD7">
        <w:rPr>
          <w:sz w:val="28"/>
          <w:szCs w:val="28"/>
        </w:rPr>
        <w:t>проектирование и строительство автомобильной дороги общего пользования регионального значения Заболотье – Сольвычегодск – Яренск на участке Фоминская – Слободчиково. Мероприятие выполнено частично, расходы по мероприятию включены в областной бюджет в поздние сроки, что не позволило предусмотреть условиями государственного контракта выполнение полного комплекса работ по разработке проектной документации;</w:t>
      </w:r>
    </w:p>
    <w:p w14:paraId="55C1F4B8" w14:textId="77777777" w:rsidR="00C23810" w:rsidRPr="00A53AD7" w:rsidRDefault="00C23810" w:rsidP="00C23810">
      <w:pPr>
        <w:pStyle w:val="a8"/>
        <w:numPr>
          <w:ilvl w:val="0"/>
          <w:numId w:val="19"/>
        </w:numPr>
        <w:ind w:left="0" w:firstLine="851"/>
        <w:jc w:val="both"/>
        <w:rPr>
          <w:sz w:val="28"/>
          <w:szCs w:val="28"/>
        </w:rPr>
      </w:pPr>
      <w:r w:rsidRPr="00A53AD7">
        <w:rPr>
          <w:sz w:val="28"/>
          <w:szCs w:val="28"/>
        </w:rPr>
        <w:t>разработка рабочей документации и проведение противоаварийных работ на объекте культурного наследия народов Российской Федерации регионального значения «Церковь Спасс-Преображения». Мероприятие выполнено не в полном объеме. Договор на проведение противоаварийных работ заключен в ноябре 2019 года со сроком исполнения работ до июля 2020 года. Проведение ряда работ в осенне-зимний период технологически невозможно, в связи с чем сложился низкий показатель выполнения мероприятия;</w:t>
      </w:r>
    </w:p>
    <w:p w14:paraId="0CD61256" w14:textId="77777777" w:rsidR="00C23810" w:rsidRPr="00A53AD7" w:rsidRDefault="00C23810" w:rsidP="00C23810">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разработка научно-проектной документации на проведение ремонтно-реставрационных работ и реставрация, ремонт объекта культурного наследия народов Российской Федерации регионального значения «Церковь Спасс-Преображения». Мероприятие выполнено не в полном объеме по причине позднего проведения конкурсных процедур, 27.08.2019 государственным автономным учреждением культуры Архангельской области «Научно-производственный центр по охране памятников истории и культуры», заключен контракт на выполнение работ по разработке научно-проектной документации для реставрации и приспособления памятника. Окончание работ запланировано на июнь 2020 года;</w:t>
      </w:r>
    </w:p>
    <w:p w14:paraId="0B8A1868" w14:textId="77777777" w:rsidR="00C23810" w:rsidRPr="00A53AD7" w:rsidRDefault="00C23810" w:rsidP="00C23810">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проектирование и строительство физкультурно-оздоровительного комплекса в селе Яренск, мероприятие не выполнено. Не выполнены работы по разработке обоснования инвестиций и получению положительного заключения технологического и ценового аудита в связи с проработкой администрацией муниципального образования вопроса по подбору альтернативного проекта физкультурно-оздоровительного комплекса с бассейном меньшей площадью;</w:t>
      </w:r>
    </w:p>
    <w:p w14:paraId="4BD6F2DF" w14:textId="77777777" w:rsidR="00C23810" w:rsidRPr="00A53AD7" w:rsidRDefault="00C23810" w:rsidP="00C23810">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реконструкция системы водоснабжения в селе Яренск, мероприятие не выполнено. В связи с получением отрицательного заключения государственной экспертизы на реконструкцию системы водоснабжения в с. Яренске. 10.12.2019 в ГАУ АО «Управление государственной экспертизы» поступило обращение от ООО «ГеоНед» о продлении срока проведения государственной экспертизы, на основании которого срок продлен до 30.01.2020. 24.01.2020 также получено отрицательное заключение государственной экспертизы. Требуется проведение экологической экспертизы.</w:t>
      </w:r>
    </w:p>
    <w:p w14:paraId="29298816" w14:textId="77777777" w:rsidR="00914F14" w:rsidRPr="00A53AD7" w:rsidRDefault="00914F14" w:rsidP="000756A2">
      <w:pPr>
        <w:pStyle w:val="a8"/>
        <w:ind w:left="0" w:firstLine="851"/>
        <w:jc w:val="both"/>
        <w:rPr>
          <w:rFonts w:eastAsia="Calibri"/>
          <w:sz w:val="28"/>
          <w:szCs w:val="28"/>
          <w:lang w:eastAsia="en-US"/>
        </w:rPr>
      </w:pPr>
      <w:r w:rsidRPr="00A53AD7">
        <w:rPr>
          <w:rFonts w:eastAsia="Calibri"/>
          <w:sz w:val="28"/>
          <w:szCs w:val="28"/>
          <w:lang w:eastAsia="en-US"/>
        </w:rPr>
        <w:t>Согласно приведенным данным в КИАС Архангельской области по 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в 2019 году не выполнены или выполнены с нарушением срока реализации следующие мероприятия:</w:t>
      </w:r>
    </w:p>
    <w:p w14:paraId="39566D3D" w14:textId="2A743505" w:rsidR="00914F14" w:rsidRPr="00A53AD7" w:rsidRDefault="00914F14"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проектирование и строительство здания специального учреждения УФМС в г. Архангельске. Мероприятие не выполнено</w:t>
      </w:r>
      <w:r w:rsidR="00E64ACF" w:rsidRPr="00A53AD7">
        <w:rPr>
          <w:rFonts w:eastAsia="Calibri"/>
          <w:sz w:val="28"/>
          <w:szCs w:val="28"/>
          <w:lang w:eastAsia="en-US"/>
        </w:rPr>
        <w:t>.</w:t>
      </w:r>
      <w:r w:rsidRPr="00A53AD7">
        <w:rPr>
          <w:rFonts w:eastAsia="Calibri"/>
          <w:sz w:val="28"/>
          <w:szCs w:val="28"/>
          <w:lang w:eastAsia="en-US"/>
        </w:rPr>
        <w:t xml:space="preserve"> </w:t>
      </w:r>
      <w:r w:rsidR="00E64ACF" w:rsidRPr="00A53AD7">
        <w:rPr>
          <w:rFonts w:eastAsia="Calibri"/>
          <w:sz w:val="28"/>
          <w:szCs w:val="28"/>
          <w:lang w:eastAsia="en-US"/>
        </w:rPr>
        <w:t>В</w:t>
      </w:r>
      <w:r w:rsidRPr="00A53AD7">
        <w:rPr>
          <w:rFonts w:eastAsia="Calibri"/>
          <w:sz w:val="28"/>
          <w:szCs w:val="28"/>
          <w:lang w:eastAsia="en-US"/>
        </w:rPr>
        <w:t xml:space="preserve"> ходе выполнения подготовительных работ по объекту выявлено расхождение фактических и проектных высотных отметок, представленных в техническом отчете по инженерно-геодезическим изысканиям, что потребовало проведения повторных изысканий по выделенному участку, уточнения проектных решений и прохождения повторной государственной экспертизы. В связи с этим производство работ на </w:t>
      </w:r>
      <w:r w:rsidR="000756A2" w:rsidRPr="00A53AD7">
        <w:rPr>
          <w:rFonts w:eastAsia="Calibri"/>
          <w:sz w:val="28"/>
          <w:szCs w:val="28"/>
          <w:lang w:eastAsia="en-US"/>
        </w:rPr>
        <w:t>объекте было приостановлено.</w:t>
      </w:r>
    </w:p>
    <w:p w14:paraId="43A98E4F" w14:textId="7FDC07AD" w:rsidR="00914F14" w:rsidRPr="00A53AD7" w:rsidRDefault="00914F14"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 xml:space="preserve">установка и обслуживание систем видеонаблюдения в муниципальных образовательных организациях муниципальных образований в Архангельской области. Мероприятие выполнено с нарушением срока реализации, плановый срок реализации работ – 30.08.2019, фактический – 30.12.2019. </w:t>
      </w:r>
      <w:r w:rsidR="00F152D2" w:rsidRPr="00A53AD7">
        <w:rPr>
          <w:rFonts w:eastAsia="Calibri"/>
          <w:sz w:val="28"/>
          <w:szCs w:val="28"/>
          <w:lang w:eastAsia="en-US"/>
        </w:rPr>
        <w:t>Нарушение сроков реализации вызвано поздним проведением конкурсных процедур</w:t>
      </w:r>
      <w:r w:rsidRPr="00A53AD7">
        <w:rPr>
          <w:rFonts w:eastAsia="Calibri"/>
          <w:sz w:val="28"/>
          <w:szCs w:val="28"/>
          <w:lang w:eastAsia="en-US"/>
        </w:rPr>
        <w:t>.</w:t>
      </w:r>
    </w:p>
    <w:p w14:paraId="5AC53BAC" w14:textId="77777777" w:rsidR="00914F14" w:rsidRPr="00A53AD7" w:rsidRDefault="00914F14" w:rsidP="00A14B1B">
      <w:pPr>
        <w:pStyle w:val="a8"/>
        <w:ind w:left="0" w:firstLine="851"/>
        <w:jc w:val="both"/>
        <w:rPr>
          <w:rFonts w:eastAsia="Calibri"/>
          <w:sz w:val="28"/>
          <w:szCs w:val="28"/>
          <w:lang w:eastAsia="en-US"/>
        </w:rPr>
      </w:pPr>
      <w:r w:rsidRPr="00A53AD7">
        <w:rPr>
          <w:rFonts w:eastAsia="Calibri"/>
          <w:sz w:val="28"/>
          <w:szCs w:val="28"/>
          <w:lang w:eastAsia="en-US"/>
        </w:rPr>
        <w:t>По ГП АО «Защита населения и территорий Архангельской области от чрезвычайных ситуаций, обеспечение пожарной безопасности и безопасности на водных объектах» в отчетном периоде не выполнено мероприятие «обеспечение работоспособности и развития АПК «Безопасный город» на территории Архангельской области» (срок реализации 30.06.2019).</w:t>
      </w:r>
    </w:p>
    <w:p w14:paraId="5B8F208E" w14:textId="77777777" w:rsidR="00914F14" w:rsidRPr="00A53AD7" w:rsidRDefault="00914F14" w:rsidP="003B6E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Мероприятие не выполнено по причине отказа МУП «Горсвет» в предоставлении технических условий в связи с началом реализации федерального проекта «Чистое небо» (исх. от 21.08.2019 года № 1389/04), в связи с чем камера в районе выставочного центра «НОРД-ЭКСПО» не установлена. Проработан вопрос установки камеры по ул. Папанина на опорах наружного освещения, принадлежащих ФКУ Упрдор «Холмогоры», запрошены технические условия, получен отказ в связи с плановой реконструкцией федеральной автомобильной дороги (исх. от 11.06.2019 № 124/1). С целью организации видеонаблюдения в районе выставочного центра «Норд-Экспо» заключен договор с ООО «Бюро судебно-строительной экспертизы» на разработку проектно-сметной документации сегмента системы видеонаблюдения аппаратно-программного комплекса «Безопасный город» в г. Архангельске в районе выставочного центра «НОРД-ЭКСПО» от 07.11.2019 № 2013/2019.</w:t>
      </w:r>
    </w:p>
    <w:p w14:paraId="1CE0D715" w14:textId="77777777" w:rsidR="00914F14" w:rsidRPr="00A53AD7" w:rsidRDefault="00914F14" w:rsidP="008C68B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Пунктом 3 ст. 179 БК РФ определено, что по результатам оценки эффективности реализации государственных программ может быть принято решение о необходимости прекращения или об изменении начиная с очередного финансового года ранее утвержденной государственной программы, в том числе необходимости изменения объема бюджетных ассигнований на финансовое обеспечение реализации государственной программы.</w:t>
      </w:r>
    </w:p>
    <w:p w14:paraId="78A7FEE4" w14:textId="77777777" w:rsidR="00914F14" w:rsidRPr="00A53AD7" w:rsidRDefault="00914F14" w:rsidP="008C68B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Положением об оценке установлена возможность принятия Правительством Архангельской области решения о необходимости прекращения или об изменении начиная с очередного финансового года ранее утвержденной государственной программы, в том числе о необходимости изменения объема бюджетных ассигнований на финансовое обеспечение реализации государственной программы.</w:t>
      </w:r>
    </w:p>
    <w:p w14:paraId="5FEA6EDB" w14:textId="77777777" w:rsidR="00914F14" w:rsidRPr="00A53AD7" w:rsidRDefault="00914F14" w:rsidP="00D17F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Случаи принятия приведенных выше решений на основании проведенной оценки эффективности реализации, полученной по итогам выполнения государственной программы за отчетный финансовый год не установлены.</w:t>
      </w:r>
    </w:p>
    <w:p w14:paraId="3FABB57B" w14:textId="54A87D54" w:rsidR="00914F14" w:rsidRPr="00A53AD7" w:rsidRDefault="00914F14" w:rsidP="00774DE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Оценк</w:t>
      </w:r>
      <w:r w:rsidR="00774DE1" w:rsidRPr="00A53AD7">
        <w:rPr>
          <w:rFonts w:ascii="Times New Roman" w:hAnsi="Times New Roman"/>
          <w:sz w:val="28"/>
          <w:szCs w:val="28"/>
        </w:rPr>
        <w:t>а</w:t>
      </w:r>
      <w:r w:rsidRPr="00A53AD7">
        <w:rPr>
          <w:rFonts w:ascii="Times New Roman" w:hAnsi="Times New Roman"/>
          <w:sz w:val="28"/>
          <w:szCs w:val="28"/>
        </w:rPr>
        <w:t xml:space="preserve"> эффективности реализации государственных программ при отсутствии в приведенном выше положении случаев принятия дальнейших решений носит формальны</w:t>
      </w:r>
      <w:r w:rsidR="00774DE1" w:rsidRPr="00A53AD7">
        <w:rPr>
          <w:rFonts w:ascii="Times New Roman" w:hAnsi="Times New Roman"/>
          <w:sz w:val="28"/>
          <w:szCs w:val="28"/>
        </w:rPr>
        <w:t>й</w:t>
      </w:r>
      <w:r w:rsidRPr="00A53AD7">
        <w:rPr>
          <w:rFonts w:ascii="Times New Roman" w:hAnsi="Times New Roman"/>
          <w:sz w:val="28"/>
          <w:szCs w:val="28"/>
        </w:rPr>
        <w:t xml:space="preserve"> характер, не влекущий за собой качественных изменений, направленных на повышение эффективности реализации программы в дальнейшем.</w:t>
      </w:r>
    </w:p>
    <w:p w14:paraId="395DF511" w14:textId="3834776D" w:rsidR="00914F14" w:rsidRPr="00A53AD7" w:rsidRDefault="00914F14" w:rsidP="00774DE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основании вышеизложенного контрольно-счетная палата предлагает в Положении об оценке установить в зависимости от сложившегося результата оценки эффективности реализации государственной программы принятие решений о необходимости прекращения или об изменении начиная с очередного финансового года ранее утвержденной государственной программы, в том числе необходимости изменения объема бюджетных ассигнований на финансовое обеспечение государственной программы (п. 3 ст. 179 БК РФ).</w:t>
      </w:r>
    </w:p>
    <w:p w14:paraId="6D9508EE" w14:textId="36B9F82A" w:rsidR="00914F14" w:rsidRPr="00A53AD7" w:rsidRDefault="00914F14" w:rsidP="00A80039">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Более подробн</w:t>
      </w:r>
      <w:r w:rsidR="00A80039" w:rsidRPr="00A53AD7">
        <w:rPr>
          <w:rFonts w:ascii="Times New Roman" w:hAnsi="Times New Roman"/>
          <w:sz w:val="28"/>
          <w:szCs w:val="28"/>
        </w:rPr>
        <w:t>ая</w:t>
      </w:r>
      <w:r w:rsidRPr="00A53AD7">
        <w:rPr>
          <w:rFonts w:ascii="Times New Roman" w:hAnsi="Times New Roman"/>
          <w:sz w:val="28"/>
          <w:szCs w:val="28"/>
        </w:rPr>
        <w:t xml:space="preserve"> информация о невыполненных или выполненных не в полном объеме мероприятий государственных программ Архангельской области представлены в приложении № </w:t>
      </w:r>
      <w:r w:rsidR="000D3859" w:rsidRPr="00A53AD7">
        <w:rPr>
          <w:rFonts w:ascii="Times New Roman" w:hAnsi="Times New Roman"/>
          <w:sz w:val="28"/>
          <w:szCs w:val="28"/>
        </w:rPr>
        <w:t>11</w:t>
      </w:r>
      <w:r w:rsidRPr="00A53AD7">
        <w:rPr>
          <w:rFonts w:ascii="Times New Roman" w:hAnsi="Times New Roman"/>
          <w:sz w:val="28"/>
          <w:szCs w:val="28"/>
        </w:rPr>
        <w:t xml:space="preserve"> к настоящему заключению.</w:t>
      </w:r>
    </w:p>
    <w:p w14:paraId="5CAA1C65" w14:textId="77777777" w:rsidR="0022694F" w:rsidRPr="00A53AD7" w:rsidRDefault="0022694F" w:rsidP="0022694F">
      <w:pPr>
        <w:pStyle w:val="a8"/>
        <w:ind w:left="0"/>
        <w:jc w:val="both"/>
        <w:rPr>
          <w:sz w:val="28"/>
          <w:szCs w:val="28"/>
        </w:rPr>
      </w:pPr>
    </w:p>
    <w:p w14:paraId="0510325A" w14:textId="09BF5E1F" w:rsidR="0022694F" w:rsidRPr="00A53AD7" w:rsidRDefault="0022694F" w:rsidP="0022694F">
      <w:pPr>
        <w:pStyle w:val="a8"/>
        <w:ind w:left="0" w:firstLine="851"/>
        <w:jc w:val="both"/>
        <w:rPr>
          <w:sz w:val="28"/>
          <w:szCs w:val="28"/>
        </w:rPr>
      </w:pPr>
      <w:r w:rsidRPr="00A53AD7">
        <w:rPr>
          <w:sz w:val="28"/>
          <w:szCs w:val="28"/>
        </w:rPr>
        <w:t>Ниже приведены анализ и оценка реализации в 201</w:t>
      </w:r>
      <w:r w:rsidR="00A80039" w:rsidRPr="00A53AD7">
        <w:rPr>
          <w:sz w:val="28"/>
          <w:szCs w:val="28"/>
        </w:rPr>
        <w:t>9</w:t>
      </w:r>
      <w:r w:rsidRPr="00A53AD7">
        <w:rPr>
          <w:sz w:val="28"/>
          <w:szCs w:val="28"/>
        </w:rPr>
        <w:t xml:space="preserve"> году отдельных государственных программ Архангельской области.</w:t>
      </w:r>
    </w:p>
    <w:p w14:paraId="1EAE1FAD" w14:textId="231646D3" w:rsidR="00A67DEE" w:rsidRPr="00A53AD7" w:rsidRDefault="00A67DEE" w:rsidP="00A67DEE">
      <w:pPr>
        <w:pStyle w:val="3"/>
        <w:spacing w:line="240" w:lineRule="auto"/>
        <w:jc w:val="center"/>
        <w:rPr>
          <w:rFonts w:ascii="Times New Roman" w:hAnsi="Times New Roman"/>
          <w:b w:val="0"/>
          <w:sz w:val="28"/>
          <w:szCs w:val="28"/>
          <w:u w:val="single"/>
        </w:rPr>
      </w:pPr>
      <w:bookmarkStart w:id="70" w:name="_Toc42006722"/>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1</w:t>
      </w:r>
      <w:r w:rsidRPr="00A53AD7">
        <w:rPr>
          <w:rFonts w:ascii="Times New Roman" w:hAnsi="Times New Roman"/>
          <w:b w:val="0"/>
          <w:sz w:val="28"/>
          <w:szCs w:val="28"/>
          <w:u w:val="single"/>
        </w:rPr>
        <w:t xml:space="preserve">. Государственная программа </w:t>
      </w:r>
      <w:r w:rsidRPr="00A53AD7">
        <w:rPr>
          <w:rFonts w:ascii="Times New Roman" w:hAnsi="Times New Roman"/>
          <w:b w:val="0"/>
          <w:sz w:val="28"/>
          <w:szCs w:val="28"/>
          <w:u w:val="single"/>
          <w:lang w:val="ru-RU"/>
        </w:rPr>
        <w:t xml:space="preserve">Архангельской области </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Развитие здравоохранения Архангельской области</w:t>
      </w:r>
      <w:r w:rsidRPr="00A53AD7">
        <w:rPr>
          <w:rFonts w:ascii="Times New Roman" w:hAnsi="Times New Roman"/>
          <w:b w:val="0"/>
          <w:sz w:val="28"/>
          <w:szCs w:val="28"/>
          <w:u w:val="single"/>
        </w:rPr>
        <w:t>»</w:t>
      </w:r>
      <w:bookmarkEnd w:id="70"/>
    </w:p>
    <w:p w14:paraId="7A9E65CD" w14:textId="01622072" w:rsidR="00A67DEE" w:rsidRPr="00A53AD7" w:rsidRDefault="00A67DEE" w:rsidP="00A67DEE">
      <w:pPr>
        <w:pStyle w:val="a8"/>
        <w:ind w:left="0" w:firstLine="851"/>
        <w:jc w:val="both"/>
        <w:rPr>
          <w:sz w:val="28"/>
          <w:szCs w:val="28"/>
        </w:rPr>
      </w:pPr>
      <w:r w:rsidRPr="00A53AD7">
        <w:rPr>
          <w:sz w:val="28"/>
          <w:szCs w:val="28"/>
        </w:rPr>
        <w:t>Областным законом о бюджете (в редакции от 13.12.2019) на реализацию государственной программы «Развитие здравоохранения Архангельской области» (далее – госпрограмма), предусмотрены ассигнования в сумме 18 065,9 млн.руб., уточненной сводной бюджетной росписью на 2019 год – 18 127,9 млн.руб., кассовые расходы произведены на общую сумму 18 062,3 млн.руб. (99,6 % к показателям уточненной сводной бюджетной росписи на 2019 год). Рост расходов по сравнению с 2</w:t>
      </w:r>
      <w:r w:rsidR="004508A2" w:rsidRPr="00A53AD7">
        <w:rPr>
          <w:sz w:val="28"/>
          <w:szCs w:val="28"/>
        </w:rPr>
        <w:t>018 годом составил 2 746,9 млн.</w:t>
      </w:r>
      <w:r w:rsidRPr="00A53AD7">
        <w:rPr>
          <w:sz w:val="28"/>
          <w:szCs w:val="28"/>
        </w:rPr>
        <w:t>руб. или 17,9%.</w:t>
      </w:r>
    </w:p>
    <w:p w14:paraId="29B46050" w14:textId="71C22FDA" w:rsidR="00A67DEE" w:rsidRPr="00A53AD7" w:rsidRDefault="00A67DEE" w:rsidP="00A67DEE">
      <w:pPr>
        <w:pStyle w:val="a8"/>
        <w:ind w:left="0" w:firstLine="851"/>
        <w:jc w:val="both"/>
        <w:rPr>
          <w:sz w:val="28"/>
          <w:szCs w:val="28"/>
        </w:rPr>
      </w:pPr>
      <w:r w:rsidRPr="00A53AD7">
        <w:rPr>
          <w:sz w:val="28"/>
          <w:szCs w:val="28"/>
        </w:rPr>
        <w:t xml:space="preserve">Сведения об исполнении госпрограммы за 2019 год по разделам и подразделам классификации расходов бюджетов приведены в таблице </w:t>
      </w:r>
      <w:r w:rsidR="00E63ED0" w:rsidRPr="00A53AD7">
        <w:rPr>
          <w:sz w:val="28"/>
          <w:szCs w:val="28"/>
        </w:rPr>
        <w:t>36</w:t>
      </w:r>
      <w:r w:rsidRPr="00A53AD7">
        <w:rPr>
          <w:sz w:val="28"/>
          <w:szCs w:val="28"/>
        </w:rPr>
        <w:t>:</w:t>
      </w:r>
    </w:p>
    <w:p w14:paraId="437E61DC" w14:textId="77777777" w:rsidR="00D45E70" w:rsidRPr="00A53AD7" w:rsidRDefault="00D45E70" w:rsidP="00D45E70">
      <w:pPr>
        <w:spacing w:after="0" w:line="240" w:lineRule="auto"/>
        <w:rPr>
          <w:rFonts w:ascii="Times New Roman" w:hAnsi="Times New Roman"/>
          <w:sz w:val="24"/>
          <w:szCs w:val="24"/>
        </w:rPr>
      </w:pPr>
    </w:p>
    <w:p w14:paraId="07DFAAC4" w14:textId="3B3D8E06" w:rsidR="00A67DEE" w:rsidRPr="00A53AD7" w:rsidRDefault="00D45E70" w:rsidP="00D45E70">
      <w:pPr>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36</w:t>
      </w:r>
      <w:r w:rsidRPr="00A53AD7">
        <w:rPr>
          <w:rFonts w:ascii="Times New Roman" w:hAnsi="Times New Roman"/>
          <w:noProof/>
          <w:sz w:val="24"/>
          <w:szCs w:val="24"/>
        </w:rPr>
        <w:fldChar w:fldCharType="end"/>
      </w:r>
      <w:r w:rsidRPr="00A53AD7">
        <w:rPr>
          <w:rFonts w:ascii="Times New Roman" w:hAnsi="Times New Roman"/>
          <w:noProof/>
          <w:sz w:val="24"/>
          <w:szCs w:val="24"/>
        </w:rPr>
        <w:t>.</w:t>
      </w:r>
      <w:r w:rsidRPr="00A53AD7">
        <w:rPr>
          <w:rFonts w:ascii="Times New Roman" w:hAnsi="Times New Roman"/>
          <w:bCs/>
          <w:sz w:val="24"/>
          <w:szCs w:val="24"/>
        </w:rPr>
        <w:t xml:space="preserve"> </w:t>
      </w:r>
      <w:r w:rsidR="00A67DEE" w:rsidRPr="00A53AD7">
        <w:rPr>
          <w:rFonts w:ascii="Times New Roman" w:eastAsia="Times New Roman" w:hAnsi="Times New Roman"/>
          <w:sz w:val="24"/>
          <w:szCs w:val="24"/>
          <w:lang w:eastAsia="x-none"/>
        </w:rPr>
        <w:t xml:space="preserve">Исполнение госпрограммы </w:t>
      </w:r>
      <w:r w:rsidR="00A67DEE" w:rsidRPr="00A53AD7">
        <w:rPr>
          <w:rFonts w:ascii="Times New Roman" w:hAnsi="Times New Roman"/>
          <w:sz w:val="24"/>
          <w:szCs w:val="24"/>
        </w:rPr>
        <w:t xml:space="preserve">по </w:t>
      </w:r>
      <w:r w:rsidR="00A67DEE" w:rsidRPr="00A53AD7">
        <w:rPr>
          <w:rFonts w:ascii="Times New Roman" w:eastAsia="Times New Roman" w:hAnsi="Times New Roman"/>
          <w:sz w:val="24"/>
          <w:szCs w:val="24"/>
          <w:lang w:eastAsia="x-none"/>
        </w:rPr>
        <w:t xml:space="preserve">разделам и подразделам классификации расходов, </w:t>
      </w:r>
      <w:r w:rsidR="00A67DEE" w:rsidRPr="00A53AD7">
        <w:rPr>
          <w:rFonts w:ascii="Times New Roman" w:eastAsia="Times New Roman" w:hAnsi="Times New Roman"/>
          <w:sz w:val="24"/>
          <w:szCs w:val="24"/>
          <w:lang w:eastAsia="ru-RU"/>
        </w:rPr>
        <w:t>млн.руб.</w:t>
      </w:r>
    </w:p>
    <w:tbl>
      <w:tblPr>
        <w:tblW w:w="919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13"/>
        <w:gridCol w:w="1417"/>
        <w:gridCol w:w="1355"/>
        <w:gridCol w:w="1275"/>
        <w:gridCol w:w="1339"/>
      </w:tblGrid>
      <w:tr w:rsidR="00A53AD7" w:rsidRPr="00A53AD7" w14:paraId="7B5009CF" w14:textId="77777777" w:rsidTr="00085B59">
        <w:trPr>
          <w:trHeight w:val="948"/>
          <w:tblHeader/>
          <w:jc w:val="center"/>
        </w:trPr>
        <w:tc>
          <w:tcPr>
            <w:tcW w:w="3813" w:type="dxa"/>
            <w:shd w:val="clear" w:color="auto" w:fill="auto"/>
            <w:vAlign w:val="center"/>
          </w:tcPr>
          <w:p w14:paraId="2AA6E28B"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Наименование</w:t>
            </w:r>
          </w:p>
        </w:tc>
        <w:tc>
          <w:tcPr>
            <w:tcW w:w="1417" w:type="dxa"/>
            <w:shd w:val="clear" w:color="auto" w:fill="auto"/>
            <w:vAlign w:val="center"/>
          </w:tcPr>
          <w:p w14:paraId="5F4DB0F5"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 xml:space="preserve">Утверждено областным законом на 2019 год (в ред. </w:t>
            </w:r>
            <w:r w:rsidRPr="00A53AD7">
              <w:rPr>
                <w:rFonts w:ascii="Times New Roman" w:hAnsi="Times New Roman"/>
              </w:rPr>
              <w:t>от 13.12.2019</w:t>
            </w:r>
            <w:r w:rsidRPr="00A53AD7">
              <w:rPr>
                <w:rFonts w:ascii="Times New Roman" w:hAnsi="Times New Roman"/>
                <w:lang w:eastAsia="ru-RU"/>
              </w:rPr>
              <w:t>)</w:t>
            </w:r>
          </w:p>
        </w:tc>
        <w:tc>
          <w:tcPr>
            <w:tcW w:w="1355" w:type="dxa"/>
            <w:shd w:val="clear" w:color="auto" w:fill="auto"/>
            <w:vAlign w:val="center"/>
          </w:tcPr>
          <w:p w14:paraId="428A8544"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Уточненная сводная бюджетная роспись на 2019 год</w:t>
            </w:r>
          </w:p>
        </w:tc>
        <w:tc>
          <w:tcPr>
            <w:tcW w:w="1275" w:type="dxa"/>
            <w:shd w:val="clear" w:color="auto" w:fill="auto"/>
            <w:vAlign w:val="center"/>
          </w:tcPr>
          <w:p w14:paraId="57274882"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Исполнено за 2019 год</w:t>
            </w:r>
          </w:p>
        </w:tc>
        <w:tc>
          <w:tcPr>
            <w:tcW w:w="1339" w:type="dxa"/>
            <w:shd w:val="clear" w:color="auto" w:fill="auto"/>
            <w:vAlign w:val="center"/>
          </w:tcPr>
          <w:p w14:paraId="19159605"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w:t>
            </w:r>
          </w:p>
          <w:p w14:paraId="6C28FBC8" w14:textId="77777777" w:rsidR="00A67DEE" w:rsidRPr="00A53AD7" w:rsidRDefault="00A67DEE" w:rsidP="00085B59">
            <w:pPr>
              <w:spacing w:after="0" w:line="240" w:lineRule="auto"/>
              <w:jc w:val="center"/>
              <w:rPr>
                <w:rFonts w:ascii="Times New Roman" w:hAnsi="Times New Roman"/>
                <w:lang w:eastAsia="ru-RU"/>
              </w:rPr>
            </w:pPr>
            <w:r w:rsidRPr="00A53AD7">
              <w:rPr>
                <w:rFonts w:ascii="Times New Roman" w:hAnsi="Times New Roman"/>
                <w:lang w:eastAsia="ru-RU"/>
              </w:rPr>
              <w:t>исполнения к уточненной сводной бюджетной росписи</w:t>
            </w:r>
          </w:p>
        </w:tc>
      </w:tr>
      <w:tr w:rsidR="00A53AD7" w:rsidRPr="00A53AD7" w14:paraId="28420BFA" w14:textId="77777777" w:rsidTr="00085B59">
        <w:trPr>
          <w:jc w:val="center"/>
        </w:trPr>
        <w:tc>
          <w:tcPr>
            <w:tcW w:w="3813" w:type="dxa"/>
            <w:shd w:val="clear" w:color="auto" w:fill="auto"/>
          </w:tcPr>
          <w:p w14:paraId="4895489A" w14:textId="77777777" w:rsidR="00A67DEE" w:rsidRPr="00A53AD7" w:rsidRDefault="00A67DEE" w:rsidP="00085B59">
            <w:pPr>
              <w:spacing w:after="0" w:line="240" w:lineRule="auto"/>
              <w:rPr>
                <w:rFonts w:ascii="Times New Roman" w:hAnsi="Times New Roman"/>
                <w:i/>
                <w:lang w:eastAsia="ru-RU"/>
              </w:rPr>
            </w:pPr>
            <w:r w:rsidRPr="00A53AD7">
              <w:rPr>
                <w:rFonts w:ascii="Times New Roman" w:hAnsi="Times New Roman"/>
                <w:i/>
                <w:lang w:eastAsia="ru-RU"/>
              </w:rPr>
              <w:t>Раздел «Жилищно-коммунальное хозяйство»</w:t>
            </w:r>
          </w:p>
        </w:tc>
        <w:tc>
          <w:tcPr>
            <w:tcW w:w="1417" w:type="dxa"/>
            <w:shd w:val="clear" w:color="auto" w:fill="auto"/>
            <w:vAlign w:val="center"/>
          </w:tcPr>
          <w:p w14:paraId="220F2645"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8,6</w:t>
            </w:r>
          </w:p>
        </w:tc>
        <w:tc>
          <w:tcPr>
            <w:tcW w:w="1355" w:type="dxa"/>
            <w:shd w:val="clear" w:color="auto" w:fill="auto"/>
            <w:vAlign w:val="center"/>
          </w:tcPr>
          <w:p w14:paraId="3A3BF53E"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8,6</w:t>
            </w:r>
          </w:p>
        </w:tc>
        <w:tc>
          <w:tcPr>
            <w:tcW w:w="1275" w:type="dxa"/>
            <w:shd w:val="clear" w:color="auto" w:fill="auto"/>
            <w:vAlign w:val="center"/>
          </w:tcPr>
          <w:p w14:paraId="293C0CA3"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8,6</w:t>
            </w:r>
          </w:p>
        </w:tc>
        <w:tc>
          <w:tcPr>
            <w:tcW w:w="1339" w:type="dxa"/>
            <w:shd w:val="clear" w:color="auto" w:fill="auto"/>
            <w:vAlign w:val="center"/>
          </w:tcPr>
          <w:p w14:paraId="7FBD9D22"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100,0</w:t>
            </w:r>
          </w:p>
        </w:tc>
      </w:tr>
      <w:tr w:rsidR="00A53AD7" w:rsidRPr="00A53AD7" w14:paraId="3D5FC59C" w14:textId="77777777" w:rsidTr="00085B59">
        <w:trPr>
          <w:jc w:val="center"/>
        </w:trPr>
        <w:tc>
          <w:tcPr>
            <w:tcW w:w="3813" w:type="dxa"/>
            <w:shd w:val="clear" w:color="auto" w:fill="auto"/>
          </w:tcPr>
          <w:p w14:paraId="08D23B95" w14:textId="77777777" w:rsidR="00A67DEE" w:rsidRPr="00A53AD7" w:rsidRDefault="00A67DEE" w:rsidP="00085B59">
            <w:pPr>
              <w:spacing w:after="0" w:line="240" w:lineRule="auto"/>
              <w:rPr>
                <w:rFonts w:ascii="Times New Roman" w:hAnsi="Times New Roman"/>
                <w:lang w:eastAsia="ru-RU"/>
              </w:rPr>
            </w:pPr>
            <w:r w:rsidRPr="00A53AD7">
              <w:rPr>
                <w:rFonts w:ascii="Times New Roman" w:hAnsi="Times New Roman"/>
                <w:lang w:eastAsia="ru-RU"/>
              </w:rPr>
              <w:t>Жилищное хозяйство</w:t>
            </w:r>
          </w:p>
        </w:tc>
        <w:tc>
          <w:tcPr>
            <w:tcW w:w="1417" w:type="dxa"/>
            <w:shd w:val="clear" w:color="auto" w:fill="auto"/>
            <w:vAlign w:val="center"/>
          </w:tcPr>
          <w:p w14:paraId="04447ABB"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8,6</w:t>
            </w:r>
          </w:p>
        </w:tc>
        <w:tc>
          <w:tcPr>
            <w:tcW w:w="1355" w:type="dxa"/>
            <w:shd w:val="clear" w:color="auto" w:fill="auto"/>
            <w:vAlign w:val="center"/>
          </w:tcPr>
          <w:p w14:paraId="522502DE"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8,6</w:t>
            </w:r>
          </w:p>
        </w:tc>
        <w:tc>
          <w:tcPr>
            <w:tcW w:w="1275" w:type="dxa"/>
            <w:shd w:val="clear" w:color="auto" w:fill="auto"/>
            <w:vAlign w:val="center"/>
          </w:tcPr>
          <w:p w14:paraId="70EBDB8F"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8,6</w:t>
            </w:r>
          </w:p>
        </w:tc>
        <w:tc>
          <w:tcPr>
            <w:tcW w:w="1339" w:type="dxa"/>
            <w:shd w:val="clear" w:color="auto" w:fill="auto"/>
            <w:vAlign w:val="center"/>
          </w:tcPr>
          <w:p w14:paraId="2352DFC8"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3971F0E7" w14:textId="77777777" w:rsidTr="00085B59">
        <w:trPr>
          <w:jc w:val="center"/>
        </w:trPr>
        <w:tc>
          <w:tcPr>
            <w:tcW w:w="3813" w:type="dxa"/>
            <w:shd w:val="clear" w:color="auto" w:fill="auto"/>
          </w:tcPr>
          <w:p w14:paraId="1E2CD63A" w14:textId="77777777" w:rsidR="00A67DEE" w:rsidRPr="00A53AD7" w:rsidRDefault="00A67DEE" w:rsidP="00085B59">
            <w:pPr>
              <w:spacing w:after="0" w:line="240" w:lineRule="auto"/>
              <w:rPr>
                <w:rFonts w:ascii="Times New Roman" w:hAnsi="Times New Roman"/>
                <w:i/>
                <w:lang w:eastAsia="ru-RU"/>
              </w:rPr>
            </w:pPr>
            <w:r w:rsidRPr="00A53AD7">
              <w:rPr>
                <w:rFonts w:ascii="Times New Roman" w:hAnsi="Times New Roman"/>
                <w:i/>
                <w:lang w:eastAsia="ru-RU"/>
              </w:rPr>
              <w:t>Раздел «Образование», всего, в том числе:</w:t>
            </w:r>
          </w:p>
        </w:tc>
        <w:tc>
          <w:tcPr>
            <w:tcW w:w="1417" w:type="dxa"/>
            <w:shd w:val="clear" w:color="auto" w:fill="auto"/>
            <w:vAlign w:val="center"/>
          </w:tcPr>
          <w:p w14:paraId="39233FC5"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84,3</w:t>
            </w:r>
          </w:p>
        </w:tc>
        <w:tc>
          <w:tcPr>
            <w:tcW w:w="1355" w:type="dxa"/>
            <w:shd w:val="clear" w:color="auto" w:fill="auto"/>
            <w:vAlign w:val="center"/>
          </w:tcPr>
          <w:p w14:paraId="18523419"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84,9</w:t>
            </w:r>
          </w:p>
        </w:tc>
        <w:tc>
          <w:tcPr>
            <w:tcW w:w="1275" w:type="dxa"/>
            <w:shd w:val="clear" w:color="auto" w:fill="auto"/>
            <w:vAlign w:val="center"/>
          </w:tcPr>
          <w:p w14:paraId="24A55A28"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84,9</w:t>
            </w:r>
          </w:p>
        </w:tc>
        <w:tc>
          <w:tcPr>
            <w:tcW w:w="1339" w:type="dxa"/>
            <w:shd w:val="clear" w:color="auto" w:fill="auto"/>
            <w:vAlign w:val="center"/>
          </w:tcPr>
          <w:p w14:paraId="76807769"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100,0</w:t>
            </w:r>
          </w:p>
        </w:tc>
      </w:tr>
      <w:tr w:rsidR="00A53AD7" w:rsidRPr="00A53AD7" w14:paraId="3D973590" w14:textId="77777777" w:rsidTr="00085B59">
        <w:trPr>
          <w:jc w:val="center"/>
        </w:trPr>
        <w:tc>
          <w:tcPr>
            <w:tcW w:w="3813" w:type="dxa"/>
            <w:shd w:val="clear" w:color="auto" w:fill="auto"/>
          </w:tcPr>
          <w:p w14:paraId="6333AE33" w14:textId="77777777" w:rsidR="00A67DEE" w:rsidRPr="00A53AD7" w:rsidRDefault="00A67DEE" w:rsidP="00085B59">
            <w:pPr>
              <w:spacing w:after="0" w:line="240" w:lineRule="auto"/>
              <w:ind w:left="161"/>
              <w:rPr>
                <w:rFonts w:ascii="Times New Roman" w:hAnsi="Times New Roman"/>
                <w:lang w:eastAsia="ru-RU"/>
              </w:rPr>
            </w:pPr>
            <w:r w:rsidRPr="00A53AD7">
              <w:rPr>
                <w:rFonts w:ascii="Times New Roman" w:hAnsi="Times New Roman"/>
                <w:lang w:eastAsia="ru-RU"/>
              </w:rPr>
              <w:t>Среднее профессиональное образование</w:t>
            </w:r>
          </w:p>
        </w:tc>
        <w:tc>
          <w:tcPr>
            <w:tcW w:w="1417" w:type="dxa"/>
            <w:shd w:val="clear" w:color="auto" w:fill="auto"/>
            <w:vAlign w:val="center"/>
          </w:tcPr>
          <w:p w14:paraId="50AEC407"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val="en-US" w:eastAsia="ru-RU"/>
              </w:rPr>
              <w:t>79</w:t>
            </w:r>
            <w:r w:rsidRPr="00A53AD7">
              <w:rPr>
                <w:rFonts w:ascii="Times New Roman" w:hAnsi="Times New Roman"/>
                <w:lang w:eastAsia="ru-RU"/>
              </w:rPr>
              <w:t>,6</w:t>
            </w:r>
          </w:p>
        </w:tc>
        <w:tc>
          <w:tcPr>
            <w:tcW w:w="1355" w:type="dxa"/>
            <w:shd w:val="clear" w:color="auto" w:fill="auto"/>
            <w:vAlign w:val="center"/>
          </w:tcPr>
          <w:p w14:paraId="5BA310CA"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79,8</w:t>
            </w:r>
          </w:p>
        </w:tc>
        <w:tc>
          <w:tcPr>
            <w:tcW w:w="1275" w:type="dxa"/>
            <w:shd w:val="clear" w:color="auto" w:fill="auto"/>
            <w:vAlign w:val="center"/>
          </w:tcPr>
          <w:p w14:paraId="19C803D4"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79,8</w:t>
            </w:r>
          </w:p>
        </w:tc>
        <w:tc>
          <w:tcPr>
            <w:tcW w:w="1339" w:type="dxa"/>
            <w:shd w:val="clear" w:color="auto" w:fill="auto"/>
            <w:vAlign w:val="center"/>
          </w:tcPr>
          <w:p w14:paraId="2947ABD1"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1AD4CA15" w14:textId="77777777" w:rsidTr="00085B59">
        <w:trPr>
          <w:jc w:val="center"/>
        </w:trPr>
        <w:tc>
          <w:tcPr>
            <w:tcW w:w="3813" w:type="dxa"/>
            <w:shd w:val="clear" w:color="auto" w:fill="auto"/>
          </w:tcPr>
          <w:p w14:paraId="6CEE9779" w14:textId="77777777" w:rsidR="00A67DEE" w:rsidRPr="00A53AD7" w:rsidRDefault="00A67DEE" w:rsidP="00085B59">
            <w:pPr>
              <w:spacing w:after="0" w:line="240" w:lineRule="auto"/>
              <w:ind w:left="161"/>
              <w:rPr>
                <w:rFonts w:ascii="Times New Roman" w:hAnsi="Times New Roman"/>
                <w:lang w:eastAsia="ru-RU"/>
              </w:rPr>
            </w:pPr>
            <w:r w:rsidRPr="00A53AD7">
              <w:rPr>
                <w:rFonts w:ascii="Times New Roman" w:hAnsi="Times New Roman"/>
                <w:lang w:eastAsia="ru-RU"/>
              </w:rPr>
              <w:t>Профессиональная подготовка, переподготовка и повышение квалификации</w:t>
            </w:r>
          </w:p>
        </w:tc>
        <w:tc>
          <w:tcPr>
            <w:tcW w:w="1417" w:type="dxa"/>
            <w:shd w:val="clear" w:color="auto" w:fill="auto"/>
            <w:vAlign w:val="center"/>
          </w:tcPr>
          <w:p w14:paraId="1835E5B6"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4,7</w:t>
            </w:r>
          </w:p>
        </w:tc>
        <w:tc>
          <w:tcPr>
            <w:tcW w:w="1355" w:type="dxa"/>
            <w:shd w:val="clear" w:color="auto" w:fill="auto"/>
            <w:vAlign w:val="center"/>
          </w:tcPr>
          <w:p w14:paraId="66BA2831"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5,1</w:t>
            </w:r>
          </w:p>
        </w:tc>
        <w:tc>
          <w:tcPr>
            <w:tcW w:w="1275" w:type="dxa"/>
            <w:shd w:val="clear" w:color="auto" w:fill="auto"/>
            <w:vAlign w:val="center"/>
          </w:tcPr>
          <w:p w14:paraId="0EA4DF08"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5,1</w:t>
            </w:r>
          </w:p>
        </w:tc>
        <w:tc>
          <w:tcPr>
            <w:tcW w:w="1339" w:type="dxa"/>
            <w:shd w:val="clear" w:color="auto" w:fill="auto"/>
            <w:vAlign w:val="center"/>
          </w:tcPr>
          <w:p w14:paraId="660CF9B7" w14:textId="77777777" w:rsidR="00A67DEE" w:rsidRPr="00A53AD7" w:rsidRDefault="00A67DEE" w:rsidP="00085B59">
            <w:pPr>
              <w:spacing w:after="0" w:line="240" w:lineRule="auto"/>
              <w:jc w:val="right"/>
              <w:rPr>
                <w:rFonts w:ascii="Times New Roman" w:hAnsi="Times New Roman"/>
                <w:lang w:val="en-US" w:eastAsia="ru-RU"/>
              </w:rPr>
            </w:pPr>
            <w:r w:rsidRPr="00A53AD7">
              <w:rPr>
                <w:rFonts w:ascii="Times New Roman" w:hAnsi="Times New Roman"/>
                <w:lang w:eastAsia="ru-RU"/>
              </w:rPr>
              <w:t>100,0</w:t>
            </w:r>
          </w:p>
        </w:tc>
      </w:tr>
      <w:tr w:rsidR="00A53AD7" w:rsidRPr="00A53AD7" w14:paraId="09F6722A" w14:textId="77777777" w:rsidTr="00085B59">
        <w:trPr>
          <w:jc w:val="center"/>
        </w:trPr>
        <w:tc>
          <w:tcPr>
            <w:tcW w:w="3813" w:type="dxa"/>
            <w:shd w:val="clear" w:color="auto" w:fill="auto"/>
          </w:tcPr>
          <w:p w14:paraId="705950FB" w14:textId="77777777" w:rsidR="00A67DEE" w:rsidRPr="00A53AD7" w:rsidRDefault="00A67DEE" w:rsidP="00085B59">
            <w:pPr>
              <w:spacing w:after="0" w:line="240" w:lineRule="auto"/>
              <w:rPr>
                <w:rFonts w:ascii="Times New Roman" w:hAnsi="Times New Roman"/>
                <w:i/>
                <w:lang w:eastAsia="ru-RU"/>
              </w:rPr>
            </w:pPr>
            <w:r w:rsidRPr="00A53AD7">
              <w:rPr>
                <w:rFonts w:ascii="Times New Roman" w:hAnsi="Times New Roman"/>
                <w:i/>
                <w:lang w:eastAsia="ru-RU"/>
              </w:rPr>
              <w:t>Раздел «Здравоохранение», всего, в том числе:</w:t>
            </w:r>
          </w:p>
        </w:tc>
        <w:tc>
          <w:tcPr>
            <w:tcW w:w="1417" w:type="dxa"/>
            <w:shd w:val="clear" w:color="auto" w:fill="auto"/>
            <w:vAlign w:val="center"/>
          </w:tcPr>
          <w:p w14:paraId="2D84A6B8"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9 170,8</w:t>
            </w:r>
          </w:p>
        </w:tc>
        <w:tc>
          <w:tcPr>
            <w:tcW w:w="1355" w:type="dxa"/>
            <w:shd w:val="clear" w:color="auto" w:fill="auto"/>
            <w:vAlign w:val="center"/>
          </w:tcPr>
          <w:p w14:paraId="54FCAC4C"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9 232,4</w:t>
            </w:r>
          </w:p>
        </w:tc>
        <w:tc>
          <w:tcPr>
            <w:tcW w:w="1275" w:type="dxa"/>
            <w:shd w:val="clear" w:color="auto" w:fill="auto"/>
            <w:vAlign w:val="center"/>
          </w:tcPr>
          <w:p w14:paraId="7C6AB613"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9 181,0</w:t>
            </w:r>
          </w:p>
        </w:tc>
        <w:tc>
          <w:tcPr>
            <w:tcW w:w="1339" w:type="dxa"/>
            <w:shd w:val="clear" w:color="auto" w:fill="auto"/>
            <w:vAlign w:val="center"/>
          </w:tcPr>
          <w:p w14:paraId="24D7E845"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99,4</w:t>
            </w:r>
          </w:p>
        </w:tc>
      </w:tr>
      <w:tr w:rsidR="00A53AD7" w:rsidRPr="00A53AD7" w14:paraId="5260A8DF" w14:textId="77777777" w:rsidTr="00085B59">
        <w:trPr>
          <w:jc w:val="center"/>
        </w:trPr>
        <w:tc>
          <w:tcPr>
            <w:tcW w:w="3813" w:type="dxa"/>
            <w:shd w:val="clear" w:color="auto" w:fill="auto"/>
          </w:tcPr>
          <w:p w14:paraId="4E867998" w14:textId="77777777" w:rsidR="00A67DEE" w:rsidRPr="00A53AD7" w:rsidRDefault="00A67DEE" w:rsidP="00085B59">
            <w:pPr>
              <w:spacing w:after="0" w:line="240" w:lineRule="auto"/>
              <w:ind w:left="161"/>
              <w:rPr>
                <w:rFonts w:ascii="Times New Roman" w:hAnsi="Times New Roman"/>
                <w:lang w:eastAsia="ru-RU"/>
              </w:rPr>
            </w:pPr>
            <w:r w:rsidRPr="00A53AD7">
              <w:rPr>
                <w:rFonts w:ascii="Times New Roman" w:hAnsi="Times New Roman"/>
                <w:lang w:eastAsia="ru-RU"/>
              </w:rPr>
              <w:t>Стационарная медицинская помощь</w:t>
            </w:r>
          </w:p>
        </w:tc>
        <w:tc>
          <w:tcPr>
            <w:tcW w:w="1417" w:type="dxa"/>
            <w:shd w:val="clear" w:color="auto" w:fill="auto"/>
            <w:vAlign w:val="center"/>
          </w:tcPr>
          <w:p w14:paraId="17F388E0" w14:textId="14DAA9B5" w:rsidR="00A67DEE" w:rsidRPr="00A53AD7" w:rsidRDefault="00A67DEE" w:rsidP="00085B59">
            <w:pPr>
              <w:spacing w:after="0" w:line="240" w:lineRule="auto"/>
              <w:jc w:val="right"/>
              <w:rPr>
                <w:rFonts w:ascii="Times New Roman" w:hAnsi="Times New Roman"/>
                <w:lang w:val="en-US" w:eastAsia="ru-RU"/>
              </w:rPr>
            </w:pPr>
            <w:r w:rsidRPr="00A53AD7">
              <w:rPr>
                <w:rFonts w:ascii="Times New Roman" w:hAnsi="Times New Roman"/>
                <w:lang w:eastAsia="ru-RU"/>
              </w:rPr>
              <w:t>3</w:t>
            </w:r>
            <w:r w:rsidR="00FD1445" w:rsidRPr="00A53AD7">
              <w:rPr>
                <w:rFonts w:ascii="Times New Roman" w:hAnsi="Times New Roman"/>
                <w:lang w:eastAsia="ru-RU"/>
              </w:rPr>
              <w:t xml:space="preserve"> </w:t>
            </w:r>
            <w:r w:rsidRPr="00A53AD7">
              <w:rPr>
                <w:rFonts w:ascii="Times New Roman" w:hAnsi="Times New Roman"/>
                <w:lang w:eastAsia="ru-RU"/>
              </w:rPr>
              <w:t>900,9</w:t>
            </w:r>
          </w:p>
        </w:tc>
        <w:tc>
          <w:tcPr>
            <w:tcW w:w="1355" w:type="dxa"/>
            <w:shd w:val="clear" w:color="auto" w:fill="auto"/>
            <w:vAlign w:val="center"/>
          </w:tcPr>
          <w:p w14:paraId="74D6A5E1"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3 892,4</w:t>
            </w:r>
          </w:p>
        </w:tc>
        <w:tc>
          <w:tcPr>
            <w:tcW w:w="1275" w:type="dxa"/>
            <w:shd w:val="clear" w:color="auto" w:fill="auto"/>
            <w:vAlign w:val="center"/>
          </w:tcPr>
          <w:p w14:paraId="69A6A4E4"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val="en-US" w:eastAsia="ru-RU"/>
              </w:rPr>
              <w:t>3</w:t>
            </w:r>
            <w:r w:rsidRPr="00A53AD7">
              <w:rPr>
                <w:rFonts w:ascii="Times New Roman" w:hAnsi="Times New Roman"/>
                <w:lang w:eastAsia="ru-RU"/>
              </w:rPr>
              <w:t xml:space="preserve"> </w:t>
            </w:r>
            <w:r w:rsidRPr="00A53AD7">
              <w:rPr>
                <w:rFonts w:ascii="Times New Roman" w:hAnsi="Times New Roman"/>
                <w:lang w:val="en-US" w:eastAsia="ru-RU"/>
              </w:rPr>
              <w:t>886</w:t>
            </w:r>
            <w:r w:rsidRPr="00A53AD7">
              <w:rPr>
                <w:rFonts w:ascii="Times New Roman" w:hAnsi="Times New Roman"/>
                <w:lang w:eastAsia="ru-RU"/>
              </w:rPr>
              <w:t>,9</w:t>
            </w:r>
          </w:p>
        </w:tc>
        <w:tc>
          <w:tcPr>
            <w:tcW w:w="1339" w:type="dxa"/>
            <w:shd w:val="clear" w:color="auto" w:fill="auto"/>
            <w:vAlign w:val="center"/>
          </w:tcPr>
          <w:p w14:paraId="3910BE48"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99,9</w:t>
            </w:r>
          </w:p>
        </w:tc>
      </w:tr>
      <w:tr w:rsidR="00A53AD7" w:rsidRPr="00A53AD7" w14:paraId="10A68FD6" w14:textId="77777777" w:rsidTr="00085B59">
        <w:trPr>
          <w:jc w:val="center"/>
        </w:trPr>
        <w:tc>
          <w:tcPr>
            <w:tcW w:w="3813" w:type="dxa"/>
            <w:shd w:val="clear" w:color="auto" w:fill="auto"/>
          </w:tcPr>
          <w:p w14:paraId="613B4F3F"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Амбулаторная помощь</w:t>
            </w:r>
          </w:p>
        </w:tc>
        <w:tc>
          <w:tcPr>
            <w:tcW w:w="1417" w:type="dxa"/>
            <w:shd w:val="clear" w:color="auto" w:fill="auto"/>
            <w:vAlign w:val="center"/>
          </w:tcPr>
          <w:p w14:paraId="3B5C14BB" w14:textId="4883B366"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w:t>
            </w:r>
            <w:r w:rsidR="00FD1445" w:rsidRPr="00A53AD7">
              <w:rPr>
                <w:rFonts w:ascii="Times New Roman" w:hAnsi="Times New Roman"/>
                <w:lang w:eastAsia="ru-RU"/>
              </w:rPr>
              <w:t xml:space="preserve"> </w:t>
            </w:r>
            <w:r w:rsidRPr="00A53AD7">
              <w:rPr>
                <w:rFonts w:ascii="Times New Roman" w:hAnsi="Times New Roman"/>
                <w:lang w:eastAsia="ru-RU"/>
              </w:rPr>
              <w:t>126,7</w:t>
            </w:r>
          </w:p>
        </w:tc>
        <w:tc>
          <w:tcPr>
            <w:tcW w:w="1355" w:type="dxa"/>
            <w:shd w:val="clear" w:color="auto" w:fill="auto"/>
            <w:vAlign w:val="center"/>
          </w:tcPr>
          <w:p w14:paraId="5694128A"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3 122,5</w:t>
            </w:r>
          </w:p>
        </w:tc>
        <w:tc>
          <w:tcPr>
            <w:tcW w:w="1275" w:type="dxa"/>
            <w:shd w:val="clear" w:color="auto" w:fill="auto"/>
            <w:vAlign w:val="center"/>
          </w:tcPr>
          <w:p w14:paraId="0998125A"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3 091,5</w:t>
            </w:r>
          </w:p>
        </w:tc>
        <w:tc>
          <w:tcPr>
            <w:tcW w:w="1339" w:type="dxa"/>
            <w:shd w:val="clear" w:color="auto" w:fill="auto"/>
            <w:vAlign w:val="center"/>
          </w:tcPr>
          <w:p w14:paraId="2A04AE7C"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99,0</w:t>
            </w:r>
          </w:p>
        </w:tc>
      </w:tr>
      <w:tr w:rsidR="00A53AD7" w:rsidRPr="00A53AD7" w14:paraId="2639A703" w14:textId="77777777" w:rsidTr="00085B59">
        <w:trPr>
          <w:jc w:val="center"/>
        </w:trPr>
        <w:tc>
          <w:tcPr>
            <w:tcW w:w="3813" w:type="dxa"/>
            <w:shd w:val="clear" w:color="auto" w:fill="auto"/>
          </w:tcPr>
          <w:p w14:paraId="60E8AE7A"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Медицинская помощь в дневных стационарах всех типов</w:t>
            </w:r>
          </w:p>
        </w:tc>
        <w:tc>
          <w:tcPr>
            <w:tcW w:w="1417" w:type="dxa"/>
            <w:shd w:val="clear" w:color="auto" w:fill="auto"/>
            <w:vAlign w:val="center"/>
          </w:tcPr>
          <w:p w14:paraId="597A5ED4"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70,2</w:t>
            </w:r>
          </w:p>
        </w:tc>
        <w:tc>
          <w:tcPr>
            <w:tcW w:w="1355" w:type="dxa"/>
            <w:shd w:val="clear" w:color="auto" w:fill="auto"/>
            <w:vAlign w:val="center"/>
          </w:tcPr>
          <w:p w14:paraId="4694C30E"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32,6</w:t>
            </w:r>
          </w:p>
        </w:tc>
        <w:tc>
          <w:tcPr>
            <w:tcW w:w="1275" w:type="dxa"/>
            <w:shd w:val="clear" w:color="auto" w:fill="auto"/>
            <w:vAlign w:val="center"/>
          </w:tcPr>
          <w:p w14:paraId="540BDA55"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32,6</w:t>
            </w:r>
          </w:p>
        </w:tc>
        <w:tc>
          <w:tcPr>
            <w:tcW w:w="1339" w:type="dxa"/>
            <w:shd w:val="clear" w:color="auto" w:fill="auto"/>
            <w:vAlign w:val="center"/>
          </w:tcPr>
          <w:p w14:paraId="65C3DE72"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79B25032" w14:textId="77777777" w:rsidTr="00085B59">
        <w:trPr>
          <w:jc w:val="center"/>
        </w:trPr>
        <w:tc>
          <w:tcPr>
            <w:tcW w:w="3813" w:type="dxa"/>
            <w:shd w:val="clear" w:color="auto" w:fill="auto"/>
          </w:tcPr>
          <w:p w14:paraId="0CC8F1A3"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Скорая медицинская помощь</w:t>
            </w:r>
          </w:p>
        </w:tc>
        <w:tc>
          <w:tcPr>
            <w:tcW w:w="1417" w:type="dxa"/>
            <w:shd w:val="clear" w:color="auto" w:fill="auto"/>
            <w:vAlign w:val="center"/>
          </w:tcPr>
          <w:p w14:paraId="13EAC200"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564,8</w:t>
            </w:r>
          </w:p>
        </w:tc>
        <w:tc>
          <w:tcPr>
            <w:tcW w:w="1355" w:type="dxa"/>
            <w:shd w:val="clear" w:color="auto" w:fill="auto"/>
            <w:vAlign w:val="center"/>
          </w:tcPr>
          <w:p w14:paraId="30212DED"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621,3</w:t>
            </w:r>
          </w:p>
        </w:tc>
        <w:tc>
          <w:tcPr>
            <w:tcW w:w="1275" w:type="dxa"/>
            <w:shd w:val="clear" w:color="auto" w:fill="auto"/>
            <w:vAlign w:val="center"/>
          </w:tcPr>
          <w:p w14:paraId="03EBB238"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621,3</w:t>
            </w:r>
          </w:p>
        </w:tc>
        <w:tc>
          <w:tcPr>
            <w:tcW w:w="1339" w:type="dxa"/>
            <w:shd w:val="clear" w:color="auto" w:fill="auto"/>
            <w:vAlign w:val="center"/>
          </w:tcPr>
          <w:p w14:paraId="0420CF03"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78D79B77" w14:textId="77777777" w:rsidTr="00085B59">
        <w:trPr>
          <w:jc w:val="center"/>
        </w:trPr>
        <w:tc>
          <w:tcPr>
            <w:tcW w:w="3813" w:type="dxa"/>
            <w:shd w:val="clear" w:color="auto" w:fill="auto"/>
          </w:tcPr>
          <w:p w14:paraId="48BB9183"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Санаторно-оздоровительная помощь</w:t>
            </w:r>
          </w:p>
        </w:tc>
        <w:tc>
          <w:tcPr>
            <w:tcW w:w="1417" w:type="dxa"/>
            <w:shd w:val="clear" w:color="auto" w:fill="auto"/>
            <w:vAlign w:val="center"/>
          </w:tcPr>
          <w:p w14:paraId="5ECA3876"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142,2</w:t>
            </w:r>
          </w:p>
        </w:tc>
        <w:tc>
          <w:tcPr>
            <w:tcW w:w="1355" w:type="dxa"/>
            <w:shd w:val="clear" w:color="auto" w:fill="auto"/>
            <w:vAlign w:val="center"/>
          </w:tcPr>
          <w:p w14:paraId="0EE4F9F6"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163,2</w:t>
            </w:r>
          </w:p>
        </w:tc>
        <w:tc>
          <w:tcPr>
            <w:tcW w:w="1275" w:type="dxa"/>
            <w:shd w:val="clear" w:color="auto" w:fill="auto"/>
            <w:vAlign w:val="center"/>
          </w:tcPr>
          <w:p w14:paraId="015605D9"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163,2</w:t>
            </w:r>
          </w:p>
        </w:tc>
        <w:tc>
          <w:tcPr>
            <w:tcW w:w="1339" w:type="dxa"/>
            <w:shd w:val="clear" w:color="auto" w:fill="auto"/>
            <w:vAlign w:val="center"/>
          </w:tcPr>
          <w:p w14:paraId="5C2B0124"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14604180" w14:textId="77777777" w:rsidTr="00085B59">
        <w:trPr>
          <w:trHeight w:val="567"/>
          <w:jc w:val="center"/>
        </w:trPr>
        <w:tc>
          <w:tcPr>
            <w:tcW w:w="3813" w:type="dxa"/>
            <w:shd w:val="clear" w:color="auto" w:fill="auto"/>
          </w:tcPr>
          <w:p w14:paraId="02742449"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Заготовка, переработка, хранение и обеспечение безопасности донорской крови и ее компонентов</w:t>
            </w:r>
          </w:p>
        </w:tc>
        <w:tc>
          <w:tcPr>
            <w:tcW w:w="1417" w:type="dxa"/>
            <w:shd w:val="clear" w:color="auto" w:fill="auto"/>
            <w:vAlign w:val="center"/>
          </w:tcPr>
          <w:p w14:paraId="3CA0C855"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149,3</w:t>
            </w:r>
          </w:p>
        </w:tc>
        <w:tc>
          <w:tcPr>
            <w:tcW w:w="1355" w:type="dxa"/>
            <w:shd w:val="clear" w:color="auto" w:fill="auto"/>
            <w:vAlign w:val="center"/>
          </w:tcPr>
          <w:p w14:paraId="7F32271D"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161,5</w:t>
            </w:r>
          </w:p>
        </w:tc>
        <w:tc>
          <w:tcPr>
            <w:tcW w:w="1275" w:type="dxa"/>
            <w:shd w:val="clear" w:color="auto" w:fill="auto"/>
            <w:vAlign w:val="center"/>
          </w:tcPr>
          <w:p w14:paraId="42138A42"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161,5</w:t>
            </w:r>
          </w:p>
        </w:tc>
        <w:tc>
          <w:tcPr>
            <w:tcW w:w="1339" w:type="dxa"/>
            <w:shd w:val="clear" w:color="auto" w:fill="auto"/>
            <w:vAlign w:val="center"/>
          </w:tcPr>
          <w:p w14:paraId="02ABD03C"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73C0CED3" w14:textId="77777777" w:rsidTr="00085B59">
        <w:trPr>
          <w:jc w:val="center"/>
        </w:trPr>
        <w:tc>
          <w:tcPr>
            <w:tcW w:w="3813" w:type="dxa"/>
            <w:shd w:val="clear" w:color="auto" w:fill="auto"/>
          </w:tcPr>
          <w:p w14:paraId="4BBD8BB7"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Другие вопросы в области здравоохранения</w:t>
            </w:r>
          </w:p>
        </w:tc>
        <w:tc>
          <w:tcPr>
            <w:tcW w:w="1417" w:type="dxa"/>
            <w:shd w:val="clear" w:color="auto" w:fill="auto"/>
            <w:vAlign w:val="center"/>
          </w:tcPr>
          <w:p w14:paraId="41A5CF83"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1 216,7</w:t>
            </w:r>
          </w:p>
        </w:tc>
        <w:tc>
          <w:tcPr>
            <w:tcW w:w="1355" w:type="dxa"/>
            <w:shd w:val="clear" w:color="auto" w:fill="auto"/>
            <w:vAlign w:val="center"/>
          </w:tcPr>
          <w:p w14:paraId="11169AE0"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1 238,9</w:t>
            </w:r>
          </w:p>
        </w:tc>
        <w:tc>
          <w:tcPr>
            <w:tcW w:w="1275" w:type="dxa"/>
            <w:shd w:val="clear" w:color="auto" w:fill="auto"/>
            <w:vAlign w:val="center"/>
          </w:tcPr>
          <w:p w14:paraId="2B404563"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1 224,0</w:t>
            </w:r>
          </w:p>
        </w:tc>
        <w:tc>
          <w:tcPr>
            <w:tcW w:w="1339" w:type="dxa"/>
            <w:shd w:val="clear" w:color="auto" w:fill="auto"/>
            <w:vAlign w:val="center"/>
          </w:tcPr>
          <w:p w14:paraId="5BB2C1C7"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98,9</w:t>
            </w:r>
          </w:p>
        </w:tc>
      </w:tr>
      <w:tr w:rsidR="00A53AD7" w:rsidRPr="00A53AD7" w14:paraId="4B27070B" w14:textId="77777777" w:rsidTr="00085B59">
        <w:trPr>
          <w:jc w:val="center"/>
        </w:trPr>
        <w:tc>
          <w:tcPr>
            <w:tcW w:w="3813" w:type="dxa"/>
            <w:shd w:val="clear" w:color="auto" w:fill="auto"/>
          </w:tcPr>
          <w:p w14:paraId="46CB6532" w14:textId="77777777" w:rsidR="00A67DEE" w:rsidRPr="00A53AD7" w:rsidRDefault="00A67DEE" w:rsidP="00085B59">
            <w:pPr>
              <w:spacing w:after="0" w:line="240" w:lineRule="auto"/>
              <w:rPr>
                <w:rFonts w:ascii="Times New Roman" w:hAnsi="Times New Roman"/>
                <w:i/>
              </w:rPr>
            </w:pPr>
            <w:r w:rsidRPr="00A53AD7">
              <w:rPr>
                <w:rFonts w:ascii="Times New Roman" w:hAnsi="Times New Roman"/>
                <w:i/>
              </w:rPr>
              <w:t>Раздел «Социальная политика», всего, в том числе:</w:t>
            </w:r>
          </w:p>
        </w:tc>
        <w:tc>
          <w:tcPr>
            <w:tcW w:w="1417" w:type="dxa"/>
            <w:shd w:val="clear" w:color="auto" w:fill="auto"/>
            <w:vAlign w:val="center"/>
          </w:tcPr>
          <w:p w14:paraId="03F6026A"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8 802,2</w:t>
            </w:r>
          </w:p>
        </w:tc>
        <w:tc>
          <w:tcPr>
            <w:tcW w:w="1355" w:type="dxa"/>
            <w:shd w:val="clear" w:color="auto" w:fill="auto"/>
            <w:vAlign w:val="center"/>
          </w:tcPr>
          <w:p w14:paraId="0FC7486B"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8 802,2</w:t>
            </w:r>
          </w:p>
        </w:tc>
        <w:tc>
          <w:tcPr>
            <w:tcW w:w="1275" w:type="dxa"/>
            <w:shd w:val="clear" w:color="auto" w:fill="auto"/>
            <w:vAlign w:val="center"/>
          </w:tcPr>
          <w:p w14:paraId="6B31F547"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8 787,9</w:t>
            </w:r>
          </w:p>
        </w:tc>
        <w:tc>
          <w:tcPr>
            <w:tcW w:w="1339" w:type="dxa"/>
            <w:shd w:val="clear" w:color="auto" w:fill="auto"/>
            <w:vAlign w:val="center"/>
          </w:tcPr>
          <w:p w14:paraId="769B9EC6" w14:textId="77777777" w:rsidR="00A67DEE" w:rsidRPr="00A53AD7" w:rsidRDefault="00A67DEE" w:rsidP="00085B59">
            <w:pPr>
              <w:spacing w:after="0" w:line="240" w:lineRule="auto"/>
              <w:jc w:val="right"/>
              <w:rPr>
                <w:rFonts w:ascii="Times New Roman" w:hAnsi="Times New Roman"/>
                <w:i/>
                <w:lang w:eastAsia="ru-RU"/>
              </w:rPr>
            </w:pPr>
            <w:r w:rsidRPr="00A53AD7">
              <w:rPr>
                <w:rFonts w:ascii="Times New Roman" w:hAnsi="Times New Roman"/>
                <w:i/>
                <w:lang w:eastAsia="ru-RU"/>
              </w:rPr>
              <w:t>99,8</w:t>
            </w:r>
          </w:p>
        </w:tc>
      </w:tr>
      <w:tr w:rsidR="00A53AD7" w:rsidRPr="00A53AD7" w14:paraId="6570999C" w14:textId="77777777" w:rsidTr="00085B59">
        <w:trPr>
          <w:jc w:val="center"/>
        </w:trPr>
        <w:tc>
          <w:tcPr>
            <w:tcW w:w="3813" w:type="dxa"/>
            <w:shd w:val="clear" w:color="auto" w:fill="auto"/>
          </w:tcPr>
          <w:p w14:paraId="3346073D"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Социальное обеспечение населения</w:t>
            </w:r>
          </w:p>
        </w:tc>
        <w:tc>
          <w:tcPr>
            <w:tcW w:w="1417" w:type="dxa"/>
            <w:shd w:val="clear" w:color="auto" w:fill="auto"/>
            <w:vAlign w:val="center"/>
          </w:tcPr>
          <w:p w14:paraId="20908BA0"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8 757,6</w:t>
            </w:r>
          </w:p>
        </w:tc>
        <w:tc>
          <w:tcPr>
            <w:tcW w:w="1355" w:type="dxa"/>
            <w:shd w:val="clear" w:color="auto" w:fill="auto"/>
            <w:vAlign w:val="center"/>
          </w:tcPr>
          <w:p w14:paraId="64493225"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8 757,6</w:t>
            </w:r>
          </w:p>
        </w:tc>
        <w:tc>
          <w:tcPr>
            <w:tcW w:w="1275" w:type="dxa"/>
            <w:shd w:val="clear" w:color="auto" w:fill="auto"/>
            <w:vAlign w:val="center"/>
          </w:tcPr>
          <w:p w14:paraId="6715980C"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8 757,6</w:t>
            </w:r>
          </w:p>
        </w:tc>
        <w:tc>
          <w:tcPr>
            <w:tcW w:w="1339" w:type="dxa"/>
            <w:shd w:val="clear" w:color="auto" w:fill="auto"/>
            <w:vAlign w:val="center"/>
          </w:tcPr>
          <w:p w14:paraId="4276DFB2"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100,0</w:t>
            </w:r>
          </w:p>
        </w:tc>
      </w:tr>
      <w:tr w:rsidR="00A53AD7" w:rsidRPr="00A53AD7" w14:paraId="1DFBA70E" w14:textId="77777777" w:rsidTr="00085B59">
        <w:trPr>
          <w:jc w:val="center"/>
        </w:trPr>
        <w:tc>
          <w:tcPr>
            <w:tcW w:w="3813" w:type="dxa"/>
            <w:shd w:val="clear" w:color="auto" w:fill="auto"/>
          </w:tcPr>
          <w:p w14:paraId="2BC1EFBB" w14:textId="77777777" w:rsidR="00A67DEE" w:rsidRPr="00A53AD7" w:rsidRDefault="00A67DEE" w:rsidP="00085B59">
            <w:pPr>
              <w:spacing w:after="0" w:line="240" w:lineRule="auto"/>
              <w:ind w:left="161"/>
              <w:rPr>
                <w:rFonts w:ascii="Times New Roman" w:hAnsi="Times New Roman"/>
              </w:rPr>
            </w:pPr>
            <w:r w:rsidRPr="00A53AD7">
              <w:rPr>
                <w:rFonts w:ascii="Times New Roman" w:hAnsi="Times New Roman"/>
              </w:rPr>
              <w:t>Охрана семьи и детства</w:t>
            </w:r>
          </w:p>
        </w:tc>
        <w:tc>
          <w:tcPr>
            <w:tcW w:w="1417" w:type="dxa"/>
            <w:shd w:val="clear" w:color="auto" w:fill="auto"/>
            <w:vAlign w:val="center"/>
          </w:tcPr>
          <w:p w14:paraId="4A16AEA7"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44,6</w:t>
            </w:r>
          </w:p>
        </w:tc>
        <w:tc>
          <w:tcPr>
            <w:tcW w:w="1355" w:type="dxa"/>
            <w:shd w:val="clear" w:color="auto" w:fill="auto"/>
            <w:vAlign w:val="center"/>
          </w:tcPr>
          <w:p w14:paraId="63370EB6"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44,6</w:t>
            </w:r>
          </w:p>
        </w:tc>
        <w:tc>
          <w:tcPr>
            <w:tcW w:w="1275" w:type="dxa"/>
            <w:shd w:val="clear" w:color="auto" w:fill="auto"/>
            <w:vAlign w:val="center"/>
          </w:tcPr>
          <w:p w14:paraId="523C5859"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30,3</w:t>
            </w:r>
          </w:p>
        </w:tc>
        <w:tc>
          <w:tcPr>
            <w:tcW w:w="1339" w:type="dxa"/>
            <w:shd w:val="clear" w:color="auto" w:fill="auto"/>
            <w:vAlign w:val="center"/>
          </w:tcPr>
          <w:p w14:paraId="70162E50" w14:textId="77777777" w:rsidR="00A67DEE" w:rsidRPr="00A53AD7" w:rsidRDefault="00A67DEE" w:rsidP="00085B59">
            <w:pPr>
              <w:spacing w:after="0" w:line="240" w:lineRule="auto"/>
              <w:jc w:val="right"/>
              <w:rPr>
                <w:rFonts w:ascii="Times New Roman" w:hAnsi="Times New Roman"/>
                <w:lang w:eastAsia="ru-RU"/>
              </w:rPr>
            </w:pPr>
            <w:r w:rsidRPr="00A53AD7">
              <w:rPr>
                <w:rFonts w:ascii="Times New Roman" w:hAnsi="Times New Roman"/>
                <w:lang w:eastAsia="ru-RU"/>
              </w:rPr>
              <w:t>67,9</w:t>
            </w:r>
          </w:p>
        </w:tc>
      </w:tr>
      <w:tr w:rsidR="00A67DEE" w:rsidRPr="00A53AD7" w14:paraId="0F2C70B7" w14:textId="77777777" w:rsidTr="00085B59">
        <w:trPr>
          <w:jc w:val="center"/>
        </w:trPr>
        <w:tc>
          <w:tcPr>
            <w:tcW w:w="3813" w:type="dxa"/>
            <w:shd w:val="clear" w:color="auto" w:fill="auto"/>
          </w:tcPr>
          <w:p w14:paraId="5A447E74" w14:textId="77777777" w:rsidR="00A67DEE" w:rsidRPr="00A53AD7" w:rsidRDefault="00A67DEE" w:rsidP="00085B59">
            <w:pPr>
              <w:spacing w:after="0" w:line="240" w:lineRule="auto"/>
              <w:rPr>
                <w:rFonts w:ascii="Times New Roman" w:hAnsi="Times New Roman"/>
                <w:lang w:eastAsia="ru-RU"/>
              </w:rPr>
            </w:pPr>
            <w:r w:rsidRPr="00A53AD7">
              <w:rPr>
                <w:rFonts w:ascii="Times New Roman" w:hAnsi="Times New Roman"/>
                <w:lang w:eastAsia="ru-RU"/>
              </w:rPr>
              <w:t>ИТОГО по госпрограмме</w:t>
            </w:r>
          </w:p>
        </w:tc>
        <w:tc>
          <w:tcPr>
            <w:tcW w:w="1417" w:type="dxa"/>
            <w:shd w:val="clear" w:color="auto" w:fill="auto"/>
            <w:vAlign w:val="center"/>
          </w:tcPr>
          <w:p w14:paraId="10B41517" w14:textId="77777777" w:rsidR="00A67DEE" w:rsidRPr="00A53AD7" w:rsidRDefault="00A67DEE" w:rsidP="00085B59">
            <w:pPr>
              <w:spacing w:after="0" w:line="240" w:lineRule="auto"/>
              <w:jc w:val="right"/>
              <w:rPr>
                <w:rFonts w:ascii="Times New Roman" w:hAnsi="Times New Roman"/>
                <w:b/>
                <w:lang w:eastAsia="ru-RU"/>
              </w:rPr>
            </w:pPr>
            <w:r w:rsidRPr="00A53AD7">
              <w:rPr>
                <w:rFonts w:ascii="Times New Roman" w:hAnsi="Times New Roman"/>
                <w:b/>
                <w:lang w:val="en-US" w:eastAsia="ru-RU"/>
              </w:rPr>
              <w:t>18 065</w:t>
            </w:r>
            <w:r w:rsidRPr="00A53AD7">
              <w:rPr>
                <w:rFonts w:ascii="Times New Roman" w:hAnsi="Times New Roman"/>
                <w:b/>
                <w:lang w:eastAsia="ru-RU"/>
              </w:rPr>
              <w:t>,9</w:t>
            </w:r>
          </w:p>
        </w:tc>
        <w:tc>
          <w:tcPr>
            <w:tcW w:w="1355" w:type="dxa"/>
            <w:shd w:val="clear" w:color="auto" w:fill="auto"/>
            <w:vAlign w:val="center"/>
          </w:tcPr>
          <w:p w14:paraId="6799CAE0" w14:textId="77777777" w:rsidR="00A67DEE" w:rsidRPr="00A53AD7" w:rsidRDefault="00A67DEE" w:rsidP="00085B59">
            <w:pPr>
              <w:spacing w:after="0" w:line="240" w:lineRule="auto"/>
              <w:jc w:val="right"/>
              <w:rPr>
                <w:rFonts w:ascii="Times New Roman" w:hAnsi="Times New Roman"/>
                <w:b/>
                <w:lang w:eastAsia="ru-RU"/>
              </w:rPr>
            </w:pPr>
            <w:r w:rsidRPr="00A53AD7">
              <w:rPr>
                <w:rFonts w:ascii="Times New Roman" w:hAnsi="Times New Roman"/>
                <w:b/>
                <w:lang w:eastAsia="ru-RU"/>
              </w:rPr>
              <w:t>18 127,9</w:t>
            </w:r>
          </w:p>
        </w:tc>
        <w:tc>
          <w:tcPr>
            <w:tcW w:w="1275" w:type="dxa"/>
            <w:shd w:val="clear" w:color="auto" w:fill="auto"/>
            <w:vAlign w:val="center"/>
          </w:tcPr>
          <w:p w14:paraId="1208E412" w14:textId="77777777" w:rsidR="00A67DEE" w:rsidRPr="00A53AD7" w:rsidRDefault="00A67DEE" w:rsidP="00085B59">
            <w:pPr>
              <w:spacing w:after="0" w:line="240" w:lineRule="auto"/>
              <w:jc w:val="right"/>
              <w:rPr>
                <w:rFonts w:ascii="Times New Roman" w:hAnsi="Times New Roman"/>
                <w:b/>
                <w:lang w:eastAsia="ru-RU"/>
              </w:rPr>
            </w:pPr>
            <w:r w:rsidRPr="00A53AD7">
              <w:rPr>
                <w:rFonts w:ascii="Times New Roman" w:hAnsi="Times New Roman"/>
                <w:b/>
                <w:lang w:eastAsia="ru-RU"/>
              </w:rPr>
              <w:t>18 062,3</w:t>
            </w:r>
          </w:p>
        </w:tc>
        <w:tc>
          <w:tcPr>
            <w:tcW w:w="1339" w:type="dxa"/>
            <w:shd w:val="clear" w:color="auto" w:fill="auto"/>
            <w:vAlign w:val="center"/>
          </w:tcPr>
          <w:p w14:paraId="7A224134" w14:textId="77777777" w:rsidR="00A67DEE" w:rsidRPr="00A53AD7" w:rsidRDefault="00A67DEE" w:rsidP="00085B59">
            <w:pPr>
              <w:spacing w:after="0" w:line="240" w:lineRule="auto"/>
              <w:jc w:val="right"/>
              <w:rPr>
                <w:rFonts w:ascii="Times New Roman" w:hAnsi="Times New Roman"/>
                <w:b/>
                <w:lang w:eastAsia="ru-RU"/>
              </w:rPr>
            </w:pPr>
            <w:r w:rsidRPr="00A53AD7">
              <w:rPr>
                <w:rFonts w:ascii="Times New Roman" w:hAnsi="Times New Roman"/>
                <w:b/>
                <w:lang w:eastAsia="ru-RU"/>
              </w:rPr>
              <w:t>99,6</w:t>
            </w:r>
          </w:p>
        </w:tc>
      </w:tr>
    </w:tbl>
    <w:p w14:paraId="36ECC3AB" w14:textId="77777777" w:rsidR="00A67DEE" w:rsidRPr="00A53AD7" w:rsidRDefault="00A67DEE" w:rsidP="00D45E70">
      <w:pPr>
        <w:pStyle w:val="a8"/>
        <w:ind w:left="0" w:firstLine="851"/>
        <w:jc w:val="both"/>
        <w:rPr>
          <w:sz w:val="28"/>
          <w:szCs w:val="28"/>
        </w:rPr>
      </w:pPr>
    </w:p>
    <w:p w14:paraId="341B50E3" w14:textId="77777777" w:rsidR="00A67DEE" w:rsidRPr="00A53AD7" w:rsidRDefault="00A67DEE" w:rsidP="00D45E70">
      <w:pPr>
        <w:pStyle w:val="a8"/>
        <w:ind w:left="0" w:firstLine="851"/>
        <w:jc w:val="both"/>
        <w:rPr>
          <w:sz w:val="28"/>
          <w:szCs w:val="28"/>
        </w:rPr>
      </w:pPr>
      <w:r w:rsidRPr="00A53AD7">
        <w:rPr>
          <w:sz w:val="28"/>
          <w:szCs w:val="28"/>
        </w:rPr>
        <w:t>Отклонение утвержденных показателей сводной бюджетной росписи по госпрограмме от утвержденных областным законом о бюджете составило 71,0 млн.руб., связано с поступлением средств от других бюджетов сверх утвержденного плана областным законом о бюджете на 2019 год.</w:t>
      </w:r>
    </w:p>
    <w:p w14:paraId="16FADF2C" w14:textId="77777777" w:rsidR="00A67DEE" w:rsidRPr="00A53AD7" w:rsidRDefault="00A67DEE" w:rsidP="00D45E70">
      <w:pPr>
        <w:pStyle w:val="a8"/>
        <w:ind w:left="0" w:firstLine="851"/>
        <w:jc w:val="both"/>
        <w:rPr>
          <w:sz w:val="28"/>
          <w:szCs w:val="28"/>
        </w:rPr>
      </w:pPr>
      <w:r w:rsidRPr="00A53AD7">
        <w:rPr>
          <w:sz w:val="28"/>
          <w:szCs w:val="28"/>
        </w:rPr>
        <w:t>По главным распорядителям бюджетных средств (ГРБС) - ответственным исполнителям (соисполнителям) госпрограммы, исполнение за 2019 год сложилось следующим образом:</w:t>
      </w:r>
    </w:p>
    <w:p w14:paraId="41B2C18B" w14:textId="77777777" w:rsidR="00E63ED0" w:rsidRPr="00A53AD7" w:rsidRDefault="00E63ED0" w:rsidP="00A67DEE">
      <w:pPr>
        <w:spacing w:after="0" w:line="240" w:lineRule="auto"/>
        <w:jc w:val="right"/>
        <w:rPr>
          <w:rFonts w:ascii="Times New Roman" w:eastAsia="Times New Roman" w:hAnsi="Times New Roman"/>
          <w:sz w:val="24"/>
          <w:szCs w:val="24"/>
          <w:lang w:eastAsia="ru-RU"/>
        </w:rPr>
      </w:pPr>
    </w:p>
    <w:p w14:paraId="01B7DB60" w14:textId="77777777" w:rsidR="00E63ED0" w:rsidRPr="00A53AD7" w:rsidRDefault="00E63ED0" w:rsidP="00A67DEE">
      <w:pPr>
        <w:spacing w:after="0" w:line="240" w:lineRule="auto"/>
        <w:jc w:val="right"/>
        <w:rPr>
          <w:rFonts w:ascii="Times New Roman" w:eastAsia="Times New Roman" w:hAnsi="Times New Roman"/>
          <w:sz w:val="24"/>
          <w:szCs w:val="24"/>
          <w:lang w:eastAsia="ru-RU"/>
        </w:rPr>
      </w:pPr>
    </w:p>
    <w:p w14:paraId="0567983E" w14:textId="77777777" w:rsidR="00E63ED0" w:rsidRPr="00A53AD7" w:rsidRDefault="00E63ED0" w:rsidP="00A67DEE">
      <w:pPr>
        <w:spacing w:after="0" w:line="240" w:lineRule="auto"/>
        <w:jc w:val="right"/>
        <w:rPr>
          <w:rFonts w:ascii="Times New Roman" w:eastAsia="Times New Roman" w:hAnsi="Times New Roman"/>
          <w:sz w:val="24"/>
          <w:szCs w:val="24"/>
          <w:lang w:eastAsia="ru-RU"/>
        </w:rPr>
      </w:pPr>
    </w:p>
    <w:p w14:paraId="72483600" w14:textId="77777777" w:rsidR="00E63ED0" w:rsidRPr="00A53AD7" w:rsidRDefault="00E63ED0" w:rsidP="00A67DEE">
      <w:pPr>
        <w:spacing w:after="0" w:line="240" w:lineRule="auto"/>
        <w:jc w:val="right"/>
        <w:rPr>
          <w:rFonts w:ascii="Times New Roman" w:eastAsia="Times New Roman" w:hAnsi="Times New Roman"/>
          <w:sz w:val="24"/>
          <w:szCs w:val="24"/>
          <w:lang w:eastAsia="ru-RU"/>
        </w:rPr>
      </w:pPr>
    </w:p>
    <w:p w14:paraId="31505222" w14:textId="77777777" w:rsidR="00A67DEE" w:rsidRPr="00A53AD7" w:rsidRDefault="00A67DEE" w:rsidP="00A67DEE">
      <w:pPr>
        <w:spacing w:after="0" w:line="240" w:lineRule="auto"/>
        <w:jc w:val="right"/>
        <w:rPr>
          <w:rFonts w:ascii="Times New Roman" w:hAnsi="Times New Roman"/>
          <w:sz w:val="24"/>
          <w:szCs w:val="24"/>
        </w:rPr>
      </w:pPr>
      <w:r w:rsidRPr="00A53AD7">
        <w:rPr>
          <w:rFonts w:ascii="Times New Roman" w:eastAsia="Times New Roman" w:hAnsi="Times New Roman"/>
          <w:sz w:val="24"/>
          <w:szCs w:val="24"/>
          <w:lang w:eastAsia="ru-RU"/>
        </w:rPr>
        <w:t>млн.руб.</w:t>
      </w:r>
    </w:p>
    <w:tbl>
      <w:tblPr>
        <w:tblW w:w="925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671"/>
        <w:gridCol w:w="1418"/>
        <w:gridCol w:w="1351"/>
        <w:gridCol w:w="1254"/>
        <w:gridCol w:w="1557"/>
      </w:tblGrid>
      <w:tr w:rsidR="00A53AD7" w:rsidRPr="00A53AD7" w14:paraId="7F5A3A0A" w14:textId="77777777" w:rsidTr="00085B59">
        <w:trPr>
          <w:trHeight w:val="948"/>
          <w:tblHeader/>
          <w:jc w:val="center"/>
        </w:trPr>
        <w:tc>
          <w:tcPr>
            <w:tcW w:w="3671" w:type="dxa"/>
            <w:shd w:val="clear" w:color="auto" w:fill="auto"/>
            <w:vAlign w:val="center"/>
          </w:tcPr>
          <w:p w14:paraId="716BB033"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Наименование ГРБС - ответственных исполнителей (соисполнителей) госпрограммы</w:t>
            </w:r>
          </w:p>
        </w:tc>
        <w:tc>
          <w:tcPr>
            <w:tcW w:w="1418" w:type="dxa"/>
            <w:shd w:val="clear" w:color="auto" w:fill="auto"/>
            <w:vAlign w:val="center"/>
          </w:tcPr>
          <w:p w14:paraId="4B538A2A"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Утверждено областным законом на 2019 год (</w:t>
            </w:r>
            <w:r w:rsidRPr="00A53AD7">
              <w:rPr>
                <w:rFonts w:ascii="Times New Roman" w:hAnsi="Times New Roman"/>
                <w:sz w:val="20"/>
                <w:szCs w:val="20"/>
              </w:rPr>
              <w:t>от 13.12.2019</w:t>
            </w:r>
            <w:r w:rsidRPr="00A53AD7">
              <w:rPr>
                <w:rFonts w:ascii="Times New Roman" w:hAnsi="Times New Roman"/>
                <w:sz w:val="20"/>
                <w:szCs w:val="20"/>
                <w:lang w:eastAsia="ru-RU"/>
              </w:rPr>
              <w:t>)</w:t>
            </w:r>
          </w:p>
        </w:tc>
        <w:tc>
          <w:tcPr>
            <w:tcW w:w="1351" w:type="dxa"/>
            <w:shd w:val="clear" w:color="auto" w:fill="auto"/>
            <w:vAlign w:val="center"/>
          </w:tcPr>
          <w:p w14:paraId="5EE84DFD"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Уточненная сводная бюджетная роспись на 2019 год</w:t>
            </w:r>
          </w:p>
        </w:tc>
        <w:tc>
          <w:tcPr>
            <w:tcW w:w="1254" w:type="dxa"/>
            <w:shd w:val="clear" w:color="auto" w:fill="auto"/>
            <w:vAlign w:val="center"/>
          </w:tcPr>
          <w:p w14:paraId="1104CFDC"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Исполнено</w:t>
            </w:r>
          </w:p>
          <w:p w14:paraId="00A6E273"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за 2019 год</w:t>
            </w:r>
          </w:p>
        </w:tc>
        <w:tc>
          <w:tcPr>
            <w:tcW w:w="1557" w:type="dxa"/>
            <w:shd w:val="clear" w:color="auto" w:fill="auto"/>
            <w:vAlign w:val="center"/>
          </w:tcPr>
          <w:p w14:paraId="1D49F9BF" w14:textId="77777777" w:rsidR="00A67DEE" w:rsidRPr="00A53AD7" w:rsidRDefault="00A67DEE" w:rsidP="00085B59">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w:t>
            </w:r>
          </w:p>
          <w:p w14:paraId="39FECF0F" w14:textId="14BC456F" w:rsidR="00A67DEE" w:rsidRPr="00A53AD7" w:rsidRDefault="00A67DEE" w:rsidP="00FB33D7">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исполнения к уточненной сводной бюджетной росписи на 2019 год</w:t>
            </w:r>
          </w:p>
        </w:tc>
      </w:tr>
      <w:tr w:rsidR="00A53AD7" w:rsidRPr="00A53AD7" w14:paraId="3A2F8857" w14:textId="77777777" w:rsidTr="00085B59">
        <w:trPr>
          <w:trHeight w:val="279"/>
          <w:jc w:val="center"/>
        </w:trPr>
        <w:tc>
          <w:tcPr>
            <w:tcW w:w="3671" w:type="dxa"/>
            <w:shd w:val="clear" w:color="auto" w:fill="auto"/>
          </w:tcPr>
          <w:p w14:paraId="43719402" w14:textId="77777777" w:rsidR="00A67DEE" w:rsidRPr="00A53AD7" w:rsidRDefault="00A67DEE" w:rsidP="00085B59">
            <w:pPr>
              <w:spacing w:after="0" w:line="240" w:lineRule="auto"/>
              <w:rPr>
                <w:rFonts w:ascii="Times New Roman" w:hAnsi="Times New Roman"/>
                <w:i/>
                <w:sz w:val="20"/>
                <w:szCs w:val="20"/>
                <w:lang w:eastAsia="ru-RU"/>
              </w:rPr>
            </w:pPr>
            <w:r w:rsidRPr="00A53AD7">
              <w:rPr>
                <w:rFonts w:ascii="Times New Roman" w:hAnsi="Times New Roman"/>
                <w:bCs/>
                <w:sz w:val="20"/>
                <w:szCs w:val="20"/>
              </w:rPr>
              <w:t>ВСЕГО по госпрограмме</w:t>
            </w:r>
          </w:p>
        </w:tc>
        <w:tc>
          <w:tcPr>
            <w:tcW w:w="1418" w:type="dxa"/>
            <w:shd w:val="clear" w:color="auto" w:fill="auto"/>
            <w:vAlign w:val="center"/>
          </w:tcPr>
          <w:p w14:paraId="7747ECA9"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18 065,9</w:t>
            </w:r>
          </w:p>
        </w:tc>
        <w:tc>
          <w:tcPr>
            <w:tcW w:w="1351" w:type="dxa"/>
            <w:shd w:val="clear" w:color="auto" w:fill="auto"/>
            <w:vAlign w:val="center"/>
          </w:tcPr>
          <w:p w14:paraId="1D4F0ABB"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18 127,9</w:t>
            </w:r>
          </w:p>
        </w:tc>
        <w:tc>
          <w:tcPr>
            <w:tcW w:w="1254" w:type="dxa"/>
            <w:shd w:val="clear" w:color="auto" w:fill="auto"/>
            <w:vAlign w:val="center"/>
          </w:tcPr>
          <w:p w14:paraId="7C5B5ACE"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18 062,3</w:t>
            </w:r>
          </w:p>
        </w:tc>
        <w:tc>
          <w:tcPr>
            <w:tcW w:w="1557" w:type="dxa"/>
            <w:shd w:val="clear" w:color="auto" w:fill="auto"/>
            <w:vAlign w:val="center"/>
          </w:tcPr>
          <w:p w14:paraId="57B79DDA"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99,6</w:t>
            </w:r>
          </w:p>
        </w:tc>
      </w:tr>
      <w:tr w:rsidR="00A53AD7" w:rsidRPr="00A53AD7" w14:paraId="6A632B62" w14:textId="77777777" w:rsidTr="00085B59">
        <w:trPr>
          <w:trHeight w:val="372"/>
          <w:jc w:val="center"/>
        </w:trPr>
        <w:tc>
          <w:tcPr>
            <w:tcW w:w="3671" w:type="dxa"/>
            <w:shd w:val="clear" w:color="auto" w:fill="auto"/>
          </w:tcPr>
          <w:p w14:paraId="4C8E4AC5" w14:textId="77777777" w:rsidR="00A67DEE" w:rsidRPr="00A53AD7" w:rsidRDefault="00A67DEE" w:rsidP="00085B59">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Министерство здравоохранения Архангельской области</w:t>
            </w:r>
          </w:p>
        </w:tc>
        <w:tc>
          <w:tcPr>
            <w:tcW w:w="1418" w:type="dxa"/>
            <w:shd w:val="clear" w:color="auto" w:fill="auto"/>
            <w:vAlign w:val="center"/>
          </w:tcPr>
          <w:p w14:paraId="09D74741"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17 921,3</w:t>
            </w:r>
          </w:p>
        </w:tc>
        <w:tc>
          <w:tcPr>
            <w:tcW w:w="1351" w:type="dxa"/>
            <w:shd w:val="clear" w:color="auto" w:fill="auto"/>
            <w:vAlign w:val="center"/>
          </w:tcPr>
          <w:p w14:paraId="22D53A5E"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17 983,3</w:t>
            </w:r>
          </w:p>
        </w:tc>
        <w:tc>
          <w:tcPr>
            <w:tcW w:w="1254" w:type="dxa"/>
            <w:shd w:val="clear" w:color="auto" w:fill="auto"/>
            <w:vAlign w:val="center"/>
          </w:tcPr>
          <w:p w14:paraId="692CF300"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17 924,3</w:t>
            </w:r>
          </w:p>
        </w:tc>
        <w:tc>
          <w:tcPr>
            <w:tcW w:w="1557" w:type="dxa"/>
            <w:shd w:val="clear" w:color="auto" w:fill="auto"/>
            <w:vAlign w:val="center"/>
          </w:tcPr>
          <w:p w14:paraId="7C733272"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99,7</w:t>
            </w:r>
          </w:p>
        </w:tc>
      </w:tr>
      <w:tr w:rsidR="00A67DEE" w:rsidRPr="00A53AD7" w14:paraId="20CE37E2" w14:textId="77777777" w:rsidTr="00085B59">
        <w:trPr>
          <w:trHeight w:val="385"/>
          <w:jc w:val="center"/>
        </w:trPr>
        <w:tc>
          <w:tcPr>
            <w:tcW w:w="3671" w:type="dxa"/>
            <w:shd w:val="clear" w:color="auto" w:fill="auto"/>
          </w:tcPr>
          <w:p w14:paraId="7984450F" w14:textId="77777777" w:rsidR="00A67DEE" w:rsidRPr="00A53AD7" w:rsidRDefault="00A67DEE" w:rsidP="00085B59">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Министерство строительства и архитектуры Архангельской области</w:t>
            </w:r>
          </w:p>
        </w:tc>
        <w:tc>
          <w:tcPr>
            <w:tcW w:w="1418" w:type="dxa"/>
            <w:shd w:val="clear" w:color="auto" w:fill="auto"/>
            <w:vAlign w:val="center"/>
          </w:tcPr>
          <w:p w14:paraId="625A5752"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144,6</w:t>
            </w:r>
          </w:p>
        </w:tc>
        <w:tc>
          <w:tcPr>
            <w:tcW w:w="1351" w:type="dxa"/>
            <w:shd w:val="clear" w:color="auto" w:fill="auto"/>
            <w:vAlign w:val="center"/>
          </w:tcPr>
          <w:p w14:paraId="3ED4BCD5"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144,6</w:t>
            </w:r>
          </w:p>
        </w:tc>
        <w:tc>
          <w:tcPr>
            <w:tcW w:w="1254" w:type="dxa"/>
            <w:shd w:val="clear" w:color="auto" w:fill="auto"/>
            <w:vAlign w:val="center"/>
          </w:tcPr>
          <w:p w14:paraId="025CFB45"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138,0</w:t>
            </w:r>
          </w:p>
        </w:tc>
        <w:tc>
          <w:tcPr>
            <w:tcW w:w="1557" w:type="dxa"/>
            <w:shd w:val="clear" w:color="auto" w:fill="auto"/>
            <w:vAlign w:val="center"/>
          </w:tcPr>
          <w:p w14:paraId="442028E8" w14:textId="77777777" w:rsidR="00A67DEE" w:rsidRPr="00A53AD7" w:rsidRDefault="00A67DEE" w:rsidP="00085B59">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96,2</w:t>
            </w:r>
          </w:p>
        </w:tc>
      </w:tr>
    </w:tbl>
    <w:p w14:paraId="22429D4A" w14:textId="77777777" w:rsidR="00A67DEE" w:rsidRPr="00A53AD7" w:rsidRDefault="00A67DEE" w:rsidP="00FB33D7">
      <w:pPr>
        <w:pStyle w:val="a8"/>
        <w:ind w:left="0" w:firstLine="851"/>
        <w:jc w:val="both"/>
        <w:rPr>
          <w:sz w:val="28"/>
          <w:szCs w:val="28"/>
        </w:rPr>
      </w:pPr>
    </w:p>
    <w:p w14:paraId="7098DE98" w14:textId="23042BA0" w:rsidR="00A67DEE" w:rsidRPr="00A53AD7" w:rsidRDefault="00A67DEE" w:rsidP="00FB33D7">
      <w:pPr>
        <w:pStyle w:val="a8"/>
        <w:ind w:left="0" w:firstLine="851"/>
        <w:jc w:val="both"/>
        <w:rPr>
          <w:sz w:val="28"/>
          <w:szCs w:val="28"/>
        </w:rPr>
      </w:pPr>
      <w:r w:rsidRPr="00A53AD7">
        <w:rPr>
          <w:sz w:val="28"/>
          <w:szCs w:val="28"/>
        </w:rPr>
        <w:t>Информация об исполнении госпрограммы за 2019 год в разрезе подпрограмм представлена в приложении</w:t>
      </w:r>
      <w:r w:rsidR="00C71E17" w:rsidRPr="00A53AD7">
        <w:rPr>
          <w:sz w:val="28"/>
          <w:szCs w:val="28"/>
        </w:rPr>
        <w:t xml:space="preserve"> 14</w:t>
      </w:r>
      <w:r w:rsidR="00FB33D7" w:rsidRPr="00A53AD7">
        <w:rPr>
          <w:sz w:val="28"/>
          <w:szCs w:val="28"/>
        </w:rPr>
        <w:t xml:space="preserve"> к настоящему заключению</w:t>
      </w:r>
      <w:r w:rsidRPr="00A53AD7">
        <w:rPr>
          <w:sz w:val="28"/>
          <w:szCs w:val="28"/>
        </w:rPr>
        <w:t>:</w:t>
      </w:r>
    </w:p>
    <w:p w14:paraId="33A06EB2" w14:textId="06E9324D" w:rsidR="00A67DEE" w:rsidRPr="00A53AD7" w:rsidRDefault="00A67DEE" w:rsidP="00FB33D7">
      <w:pPr>
        <w:pStyle w:val="a8"/>
        <w:ind w:left="0" w:firstLine="851"/>
        <w:jc w:val="both"/>
        <w:rPr>
          <w:sz w:val="28"/>
          <w:szCs w:val="28"/>
        </w:rPr>
      </w:pPr>
      <w:r w:rsidRPr="00A53AD7">
        <w:rPr>
          <w:sz w:val="28"/>
          <w:szCs w:val="28"/>
        </w:rPr>
        <w:t>За 2019 год не выполнены плановые бюджетные назначения, утвержденные сводной бюджетной росписью, по подпрограммам «Охрана здоровья матери и ребенка»</w:t>
      </w:r>
      <w:r w:rsidR="00FD1445" w:rsidRPr="00A53AD7">
        <w:rPr>
          <w:sz w:val="28"/>
          <w:szCs w:val="28"/>
        </w:rPr>
        <w:t xml:space="preserve"> </w:t>
      </w:r>
      <w:r w:rsidRPr="00A53AD7">
        <w:rPr>
          <w:sz w:val="28"/>
          <w:szCs w:val="28"/>
        </w:rPr>
        <w:t>– 97,2% и «Совершенствование системы лекарственного обеспечения, в том числе в амбулаторных условиях»</w:t>
      </w:r>
      <w:r w:rsidR="00FD1445" w:rsidRPr="00A53AD7">
        <w:rPr>
          <w:sz w:val="28"/>
          <w:szCs w:val="28"/>
        </w:rPr>
        <w:t xml:space="preserve"> </w:t>
      </w:r>
      <w:r w:rsidRPr="00A53AD7">
        <w:rPr>
          <w:sz w:val="28"/>
          <w:szCs w:val="28"/>
        </w:rPr>
        <w:t>– 98,3%.</w:t>
      </w:r>
    </w:p>
    <w:p w14:paraId="2CC377B6" w14:textId="5DD82121" w:rsidR="00A67DEE" w:rsidRPr="00A53AD7" w:rsidRDefault="00A67DEE" w:rsidP="00FB33D7">
      <w:pPr>
        <w:pStyle w:val="a8"/>
        <w:ind w:left="0" w:firstLine="851"/>
        <w:jc w:val="both"/>
        <w:rPr>
          <w:sz w:val="28"/>
          <w:szCs w:val="28"/>
        </w:rPr>
      </w:pPr>
      <w:r w:rsidRPr="00A53AD7">
        <w:rPr>
          <w:sz w:val="28"/>
          <w:szCs w:val="28"/>
        </w:rPr>
        <w:t>По подпрограмме №</w:t>
      </w:r>
      <w:r w:rsidR="00FD1445" w:rsidRPr="00A53AD7">
        <w:rPr>
          <w:sz w:val="28"/>
          <w:szCs w:val="28"/>
        </w:rPr>
        <w:t xml:space="preserve"> </w:t>
      </w:r>
      <w:r w:rsidRPr="00A53AD7">
        <w:rPr>
          <w:sz w:val="28"/>
          <w:szCs w:val="28"/>
        </w:rPr>
        <w:t>8 «Совершенствование системы лекарственного обеспечения, в том числе в амбулаторных условиях» плановые бюджетные назначения не исполняются на протяжении ряда лет (2017 год – 91,7%, 2018 год – 97,2%).</w:t>
      </w:r>
    </w:p>
    <w:p w14:paraId="61D43ACF" w14:textId="29C899DD" w:rsidR="00A67DEE" w:rsidRPr="00A53AD7" w:rsidRDefault="00A67DEE" w:rsidP="00FB33D7">
      <w:pPr>
        <w:pStyle w:val="a8"/>
        <w:ind w:left="0" w:firstLine="851"/>
        <w:jc w:val="both"/>
        <w:rPr>
          <w:sz w:val="28"/>
          <w:szCs w:val="28"/>
        </w:rPr>
      </w:pPr>
      <w:r w:rsidRPr="00A53AD7">
        <w:rPr>
          <w:sz w:val="28"/>
          <w:szCs w:val="28"/>
        </w:rPr>
        <w:t>Отмечаем, что</w:t>
      </w:r>
      <w:r w:rsidR="00FD1445" w:rsidRPr="00A53AD7">
        <w:rPr>
          <w:sz w:val="28"/>
          <w:szCs w:val="28"/>
        </w:rPr>
        <w:t xml:space="preserve"> </w:t>
      </w:r>
      <w:r w:rsidRPr="00A53AD7">
        <w:rPr>
          <w:sz w:val="28"/>
          <w:szCs w:val="28"/>
        </w:rPr>
        <w:t>по данной подпрограмме одним из установленных показателей является целевой показатель «Удовлетворение потребности отдельных категорий граждан в необходимых лекарственных препаратах и медицинских изделиях, а также специализированных продуктов лечебного питания, обеспечение которыми осуществляется за счет средств бюджета Архангельской области. Установленное значение на 2019 год ‒ 35,1 процентов (от числа лиц, имеющих право на получение лекарственных препаратов, медицинских изделий, специализированных продуктов лечебного питания по рецептам врачей бесплатно). Отмечаем, что целевой показатель госпрограммы по данному показателю изменен по фактическому исполнению</w:t>
      </w:r>
      <w:r w:rsidR="00FD1445" w:rsidRPr="00A53AD7">
        <w:rPr>
          <w:sz w:val="28"/>
          <w:szCs w:val="28"/>
        </w:rPr>
        <w:t xml:space="preserve"> </w:t>
      </w:r>
      <w:r w:rsidRPr="00A53AD7">
        <w:rPr>
          <w:sz w:val="28"/>
          <w:szCs w:val="28"/>
        </w:rPr>
        <w:t>‒ снижен с 45 процентов до 35,1.</w:t>
      </w:r>
    </w:p>
    <w:p w14:paraId="4674B225" w14:textId="77777777" w:rsidR="0053572C" w:rsidRPr="00A53AD7" w:rsidRDefault="0053572C" w:rsidP="0053572C">
      <w:pPr>
        <w:pStyle w:val="a8"/>
        <w:ind w:left="0" w:firstLine="851"/>
        <w:jc w:val="both"/>
        <w:rPr>
          <w:sz w:val="28"/>
          <w:szCs w:val="28"/>
        </w:rPr>
      </w:pPr>
      <w:r w:rsidRPr="00A53AD7">
        <w:rPr>
          <w:sz w:val="28"/>
          <w:szCs w:val="28"/>
        </w:rPr>
        <w:t>В течение 2019 года в программу вносились изменения 13 раз, в том числе в связи:</w:t>
      </w:r>
    </w:p>
    <w:p w14:paraId="05E3102F" w14:textId="77777777" w:rsidR="0053572C" w:rsidRPr="00A53AD7" w:rsidRDefault="0053572C" w:rsidP="0053572C">
      <w:pPr>
        <w:pStyle w:val="a8"/>
        <w:ind w:left="0" w:firstLine="851"/>
        <w:jc w:val="both"/>
        <w:rPr>
          <w:sz w:val="28"/>
          <w:szCs w:val="28"/>
        </w:rPr>
      </w:pPr>
      <w:r w:rsidRPr="00A53AD7">
        <w:rPr>
          <w:sz w:val="28"/>
          <w:szCs w:val="28"/>
        </w:rPr>
        <w:t>‒</w:t>
      </w:r>
      <w:r w:rsidRPr="00A53AD7">
        <w:rPr>
          <w:sz w:val="28"/>
          <w:szCs w:val="28"/>
        </w:rPr>
        <w:tab/>
        <w:t>с приведением объемов финансирования в соответствие с областными законами «О внесении изменений и дополнений в областной закон «Об областном бюджете на 2019 год и на плановый период 2020 и 2021 годов»;</w:t>
      </w:r>
    </w:p>
    <w:p w14:paraId="72F08D46" w14:textId="77777777" w:rsidR="0053572C" w:rsidRPr="00A53AD7" w:rsidRDefault="0053572C" w:rsidP="0053572C">
      <w:pPr>
        <w:pStyle w:val="a8"/>
        <w:ind w:left="0" w:firstLine="851"/>
        <w:jc w:val="both"/>
        <w:rPr>
          <w:sz w:val="28"/>
          <w:szCs w:val="28"/>
        </w:rPr>
      </w:pPr>
      <w:r w:rsidRPr="00A53AD7">
        <w:rPr>
          <w:sz w:val="28"/>
          <w:szCs w:val="28"/>
        </w:rPr>
        <w:t>‒</w:t>
      </w:r>
      <w:r w:rsidRPr="00A53AD7">
        <w:rPr>
          <w:sz w:val="28"/>
          <w:szCs w:val="28"/>
        </w:rPr>
        <w:tab/>
        <w:t>с выделением расходов на мероприятия, реализуемые в рамках национального проекта «Здравоохранение», в отдельные мероприятия программы;</w:t>
      </w:r>
    </w:p>
    <w:p w14:paraId="1168AB19" w14:textId="77777777" w:rsidR="0053572C" w:rsidRPr="00A53AD7" w:rsidRDefault="0053572C" w:rsidP="0053572C">
      <w:pPr>
        <w:pStyle w:val="a8"/>
        <w:ind w:left="0" w:firstLine="851"/>
        <w:jc w:val="both"/>
        <w:rPr>
          <w:sz w:val="28"/>
          <w:szCs w:val="28"/>
        </w:rPr>
      </w:pPr>
      <w:r w:rsidRPr="00A53AD7">
        <w:rPr>
          <w:sz w:val="28"/>
          <w:szCs w:val="28"/>
        </w:rPr>
        <w:t>‒</w:t>
      </w:r>
      <w:r w:rsidRPr="00A53AD7">
        <w:rPr>
          <w:sz w:val="28"/>
          <w:szCs w:val="28"/>
        </w:rPr>
        <w:tab/>
        <w:t>с изменением значения целевых показателей на 2019 и последующие годы.</w:t>
      </w:r>
    </w:p>
    <w:p w14:paraId="46826524" w14:textId="77777777" w:rsidR="00A67DEE" w:rsidRPr="00A53AD7" w:rsidRDefault="00A67DEE" w:rsidP="00FB33D7">
      <w:pPr>
        <w:pStyle w:val="a8"/>
        <w:ind w:left="0" w:firstLine="851"/>
        <w:jc w:val="both"/>
        <w:rPr>
          <w:sz w:val="28"/>
          <w:szCs w:val="28"/>
        </w:rPr>
      </w:pPr>
      <w:r w:rsidRPr="00A53AD7">
        <w:rPr>
          <w:sz w:val="28"/>
          <w:szCs w:val="28"/>
        </w:rPr>
        <w:t>Внесены изменения в значения целевых показателей программы: исключен 1 показатель, вновь введено 11 показателей, изменено 4 показателя (в сторону уменьшения).</w:t>
      </w:r>
    </w:p>
    <w:p w14:paraId="136F0367" w14:textId="77777777" w:rsidR="00A67DEE" w:rsidRPr="00A53AD7" w:rsidRDefault="00A67DEE" w:rsidP="00FB33D7">
      <w:pPr>
        <w:pStyle w:val="a8"/>
        <w:ind w:left="0" w:firstLine="851"/>
        <w:jc w:val="both"/>
        <w:rPr>
          <w:sz w:val="28"/>
          <w:szCs w:val="28"/>
        </w:rPr>
      </w:pPr>
      <w:r w:rsidRPr="00A53AD7">
        <w:rPr>
          <w:sz w:val="28"/>
          <w:szCs w:val="28"/>
        </w:rPr>
        <w:t>Согласно Оценке эффективности реализации государственной программы за 2019 год, размещенной в КИАС Архангельской области (по состоянию на 07.05.2020), по итогам 2019 года интегральная оценка эффективности реализации госпрограммы в целом составила 88,3 баллов, эффективность реализации госпрограммы, на основании п. 7 Положения об оценке, признается средней. Оценка качества планирования и управления реализацией госпрограммы – 68,9 баллов.</w:t>
      </w:r>
    </w:p>
    <w:p w14:paraId="24E23A6C" w14:textId="77777777" w:rsidR="00A67DEE" w:rsidRPr="00A53AD7" w:rsidRDefault="00A67DEE" w:rsidP="00FB33D7">
      <w:pPr>
        <w:pStyle w:val="a8"/>
        <w:ind w:left="0" w:firstLine="851"/>
        <w:jc w:val="both"/>
        <w:rPr>
          <w:sz w:val="28"/>
          <w:szCs w:val="28"/>
        </w:rPr>
      </w:pPr>
      <w:r w:rsidRPr="00A53AD7">
        <w:rPr>
          <w:sz w:val="28"/>
          <w:szCs w:val="28"/>
        </w:rPr>
        <w:t>Оценка реализации госпрограммы по исполнителям выглядит следующим образом:</w:t>
      </w:r>
    </w:p>
    <w:p w14:paraId="15E7F6F6" w14:textId="77777777"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минздрав АО – 93,</w:t>
      </w:r>
      <w:r w:rsidRPr="00A53AD7">
        <w:rPr>
          <w:rFonts w:ascii="Times New Roman" w:hAnsi="Times New Roman"/>
          <w:sz w:val="28"/>
          <w:szCs w:val="28"/>
          <w:lang w:val="en-US"/>
        </w:rPr>
        <w:t>1</w:t>
      </w:r>
      <w:r w:rsidRPr="00A53AD7">
        <w:rPr>
          <w:rFonts w:ascii="Times New Roman" w:hAnsi="Times New Roman"/>
          <w:sz w:val="28"/>
          <w:szCs w:val="28"/>
        </w:rPr>
        <w:t xml:space="preserve"> баллов;</w:t>
      </w:r>
    </w:p>
    <w:p w14:paraId="7EF9F7E8" w14:textId="77777777"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минстрой АО – 50,5 баллов.</w:t>
      </w:r>
    </w:p>
    <w:p w14:paraId="2E4EA3B6" w14:textId="77777777" w:rsidR="0053572C" w:rsidRPr="00A53AD7" w:rsidRDefault="0053572C" w:rsidP="0053572C">
      <w:pPr>
        <w:pStyle w:val="a8"/>
        <w:ind w:left="0" w:firstLine="851"/>
        <w:jc w:val="both"/>
        <w:rPr>
          <w:sz w:val="28"/>
          <w:szCs w:val="28"/>
        </w:rPr>
      </w:pPr>
      <w:r w:rsidRPr="00A53AD7">
        <w:rPr>
          <w:sz w:val="28"/>
          <w:szCs w:val="28"/>
        </w:rPr>
        <w:t>Согласно сведениям о достижении целевых показателей государственной программы, минздравом АО как ответственным исполнителем госпрограммы, в 2019 году не обеспечено достижение запланированных значений ряда показателей как по госпрограмме в целом, так и по подпрограммам, в том числе:</w:t>
      </w:r>
    </w:p>
    <w:p w14:paraId="19EB4B32"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в целом по госпрограмме – по 9 показателям из 19 установленных или 47,4 %;</w:t>
      </w:r>
    </w:p>
    <w:p w14:paraId="72B07AFA"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1 - по 3 показателям из 16 установленных или 18,8 %;</w:t>
      </w:r>
    </w:p>
    <w:p w14:paraId="776AC366"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2 - по 6 показателям из 18 установленных или 33,3 %;</w:t>
      </w:r>
    </w:p>
    <w:p w14:paraId="55D7268D"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3 - по 1 показателю из 5 установленных или 20%;</w:t>
      </w:r>
    </w:p>
    <w:p w14:paraId="39EECADC"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4 - по 8 показателям из 19 установленных или 42,1 2%;</w:t>
      </w:r>
    </w:p>
    <w:p w14:paraId="18E93962"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7 - по 5 показателям из 30 установленных или 16,7%;</w:t>
      </w:r>
    </w:p>
    <w:p w14:paraId="464B27D0" w14:textId="77777777" w:rsidR="0053572C" w:rsidRPr="00A53AD7" w:rsidRDefault="0053572C"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 подпрограмме № 10 – по 2 показателям из 4 установленных или 50%.</w:t>
      </w:r>
    </w:p>
    <w:p w14:paraId="4F338697" w14:textId="77777777" w:rsidR="00A67DEE" w:rsidRPr="00A53AD7" w:rsidRDefault="00A67DEE" w:rsidP="00FD1445">
      <w:pPr>
        <w:pStyle w:val="a8"/>
        <w:ind w:left="0" w:firstLine="851"/>
        <w:jc w:val="both"/>
        <w:rPr>
          <w:sz w:val="28"/>
          <w:szCs w:val="28"/>
        </w:rPr>
      </w:pPr>
      <w:r w:rsidRPr="00A53AD7">
        <w:rPr>
          <w:sz w:val="28"/>
          <w:szCs w:val="28"/>
        </w:rPr>
        <w:t>Главным результатом деятельности системы здравоохранения на всех уровнях является рост продолжительности жизни населения Российской Федерации. Рост продолжительности жизни значительно связан со снижением смертности лиц трудоспособного возраста.</w:t>
      </w:r>
    </w:p>
    <w:p w14:paraId="06BF40FA" w14:textId="698BF03F" w:rsidR="00A67DEE" w:rsidRPr="00A53AD7" w:rsidRDefault="00FD1445" w:rsidP="00FD1445">
      <w:pPr>
        <w:pStyle w:val="a8"/>
        <w:ind w:left="0" w:firstLine="851"/>
        <w:jc w:val="both"/>
        <w:rPr>
          <w:sz w:val="28"/>
          <w:szCs w:val="28"/>
        </w:rPr>
      </w:pPr>
      <w:r w:rsidRPr="00A53AD7">
        <w:rPr>
          <w:sz w:val="28"/>
          <w:szCs w:val="28"/>
        </w:rPr>
        <w:t xml:space="preserve"> </w:t>
      </w:r>
      <w:r w:rsidR="00A67DEE" w:rsidRPr="00A53AD7">
        <w:rPr>
          <w:sz w:val="28"/>
          <w:szCs w:val="28"/>
        </w:rPr>
        <w:t>Однако по госпрограмме за 2019 год значения отдельных целевых показателей не достигнуты:</w:t>
      </w:r>
    </w:p>
    <w:p w14:paraId="722C5C6E" w14:textId="0338619F" w:rsidR="00A67DEE" w:rsidRPr="00A53AD7" w:rsidRDefault="00A67DEE" w:rsidP="00FD1445">
      <w:pPr>
        <w:pStyle w:val="a8"/>
        <w:ind w:left="0" w:firstLine="851"/>
        <w:jc w:val="both"/>
        <w:rPr>
          <w:sz w:val="28"/>
          <w:szCs w:val="28"/>
        </w:rPr>
      </w:pPr>
      <w:r w:rsidRPr="00A53AD7">
        <w:rPr>
          <w:sz w:val="28"/>
          <w:szCs w:val="28"/>
        </w:rPr>
        <w:t>1) Не достигнут по итогам 2019 года целевой показатель «Смертность от всех причин» (человек на 1000 населения), показатель выполнен на 99,2%, при плановом значении 13,1</w:t>
      </w:r>
      <w:r w:rsidR="00FD1445" w:rsidRPr="00A53AD7">
        <w:rPr>
          <w:sz w:val="28"/>
          <w:szCs w:val="28"/>
        </w:rPr>
        <w:t xml:space="preserve"> </w:t>
      </w:r>
      <w:r w:rsidRPr="00A53AD7">
        <w:rPr>
          <w:sz w:val="28"/>
          <w:szCs w:val="28"/>
        </w:rPr>
        <w:t xml:space="preserve">чел., фактические значения составили 13,2 чел. </w:t>
      </w:r>
    </w:p>
    <w:p w14:paraId="2AE2EF35" w14:textId="77777777" w:rsidR="00A67DEE" w:rsidRPr="00A53AD7" w:rsidRDefault="00A67DEE" w:rsidP="00FD1445">
      <w:pPr>
        <w:pStyle w:val="a8"/>
        <w:ind w:left="0" w:firstLine="851"/>
        <w:jc w:val="both"/>
        <w:rPr>
          <w:sz w:val="28"/>
          <w:szCs w:val="28"/>
        </w:rPr>
      </w:pPr>
      <w:r w:rsidRPr="00A53AD7">
        <w:rPr>
          <w:sz w:val="28"/>
          <w:szCs w:val="28"/>
        </w:rPr>
        <w:t xml:space="preserve">2) Не достигнут по итогам 2019 года целевой показатель «Смертность от болезней системы кровообращения» (при плане 727,0 случаев на 100 тыс. населения, факт – 759,2 или 95,8%). </w:t>
      </w:r>
    </w:p>
    <w:p w14:paraId="5EFF98D9" w14:textId="77777777" w:rsidR="00A67DEE" w:rsidRPr="00A53AD7" w:rsidRDefault="00A67DEE" w:rsidP="00FD1445">
      <w:pPr>
        <w:pStyle w:val="a8"/>
        <w:ind w:left="0" w:firstLine="851"/>
        <w:jc w:val="both"/>
        <w:rPr>
          <w:sz w:val="28"/>
          <w:szCs w:val="28"/>
        </w:rPr>
      </w:pPr>
      <w:r w:rsidRPr="00A53AD7">
        <w:rPr>
          <w:sz w:val="28"/>
          <w:szCs w:val="28"/>
        </w:rPr>
        <w:t>3) Не достигнут по итогам 2019 года целевой показатель «Смертность населения трудоспособного возраста», показатель выполнен на 97% (при плане 536,8 случаев на 100 тыс. населения, факт – 553,3 случая).</w:t>
      </w:r>
    </w:p>
    <w:p w14:paraId="0E979972" w14:textId="77777777" w:rsidR="00A67DEE" w:rsidRPr="00A53AD7" w:rsidRDefault="00A67DEE" w:rsidP="00FD1445">
      <w:pPr>
        <w:pStyle w:val="a8"/>
        <w:ind w:left="0" w:firstLine="851"/>
        <w:jc w:val="both"/>
        <w:rPr>
          <w:sz w:val="28"/>
          <w:szCs w:val="28"/>
        </w:rPr>
      </w:pPr>
      <w:r w:rsidRPr="00A53AD7">
        <w:rPr>
          <w:sz w:val="28"/>
          <w:szCs w:val="28"/>
        </w:rPr>
        <w:t>4) Не достигнут по итогам 2019 года целевой показатель «Младенческая смертность» (национальный проект «Здравоохранение»), показатель выполнен на 93,1 % (при плане 5,4 случаев на 1000 родившихся живыми, факт – 5,8).</w:t>
      </w:r>
    </w:p>
    <w:p w14:paraId="4644271E" w14:textId="77777777" w:rsidR="00C23810" w:rsidRPr="00A53AD7" w:rsidRDefault="00C23810" w:rsidP="00C23810">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Учитывая ежегодную отрицательную динамику вышеперечисленных показателей, вероятность достижения Архангельской областью к 2024 году значений показателей (увеличение ожидаемой продолжительности здоровой жизни до 67 лет, смертности от новообразований, в том числе от злокачественных до 185 случаев на 100 тыс. населения и иных показателей), установленных Указом Президента РФ от 07.05.2018 № 204 «О национальных целях и стратегических задачах развития РФ на период до 2024 года», крайне низкая.</w:t>
      </w:r>
    </w:p>
    <w:p w14:paraId="6B9823DF" w14:textId="77777777"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Отметим положительные результаты достижения плановых значений целевых индикаторов демографических показателей в 2019 году:</w:t>
      </w:r>
    </w:p>
    <w:p w14:paraId="1B632CFA" w14:textId="77777777" w:rsidR="0053572C" w:rsidRPr="00A53AD7" w:rsidRDefault="0053572C" w:rsidP="0053572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Целевой показатель «Материнская смертность» при плановом значении 9,8 случаев на 100 тыс. родившихся живыми, факт – 0. </w:t>
      </w:r>
    </w:p>
    <w:p w14:paraId="4874A5D9" w14:textId="1760B41E"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Целевой показатель «Смертность от дорожно-транспортных происшествий»</w:t>
      </w:r>
      <w:r w:rsidR="00FD1445" w:rsidRPr="00A53AD7">
        <w:rPr>
          <w:rFonts w:ascii="Times New Roman" w:hAnsi="Times New Roman"/>
          <w:sz w:val="28"/>
          <w:szCs w:val="28"/>
        </w:rPr>
        <w:t xml:space="preserve"> </w:t>
      </w:r>
      <w:r w:rsidRPr="00A53AD7">
        <w:rPr>
          <w:rFonts w:ascii="Times New Roman" w:hAnsi="Times New Roman"/>
          <w:sz w:val="28"/>
          <w:szCs w:val="28"/>
        </w:rPr>
        <w:t>при плановом значении 14,1 человек на 100 тыс. человек, факт – 11,1.</w:t>
      </w:r>
    </w:p>
    <w:p w14:paraId="3E0B4DA6" w14:textId="77777777"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Целевой показатель «Смертность от туберкулеза» при плановом значении 5,5 человек на 100 тыс. населения, факт – 1,4.</w:t>
      </w:r>
    </w:p>
    <w:p w14:paraId="52AEAEA6" w14:textId="77777777"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Целевой показатель «Потребление алкогольной продукции (в перерасчете на абсолютный алкоголь) при плановом значении 10,2 литров на душу населения в год, факт – 9.</w:t>
      </w:r>
    </w:p>
    <w:p w14:paraId="126EEBE0" w14:textId="77777777"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анализируя исполнение госпрограммы, необходимо отметить следующее.</w:t>
      </w:r>
    </w:p>
    <w:p w14:paraId="445BB47C" w14:textId="73DD8B17" w:rsidR="00A67DEE" w:rsidRPr="00A53AD7" w:rsidRDefault="00A67DEE" w:rsidP="008779BD">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Рост объема расходов на выполнение госпрограммы по сравнению с 2014 годом составил</w:t>
      </w:r>
      <w:r w:rsidR="00FD1445" w:rsidRPr="00A53AD7">
        <w:rPr>
          <w:rFonts w:ascii="Times New Roman" w:hAnsi="Times New Roman"/>
          <w:sz w:val="28"/>
          <w:szCs w:val="28"/>
        </w:rPr>
        <w:t xml:space="preserve"> </w:t>
      </w:r>
      <w:r w:rsidRPr="00A53AD7">
        <w:rPr>
          <w:rFonts w:ascii="Times New Roman" w:hAnsi="Times New Roman"/>
          <w:sz w:val="28"/>
          <w:szCs w:val="28"/>
        </w:rPr>
        <w:t>5 747,3 млн.руб. или 46,7%.</w:t>
      </w:r>
      <w:r w:rsidR="00FD1445" w:rsidRPr="00A53AD7">
        <w:rPr>
          <w:rFonts w:ascii="Times New Roman" w:hAnsi="Times New Roman"/>
          <w:sz w:val="28"/>
          <w:szCs w:val="28"/>
        </w:rPr>
        <w:t xml:space="preserve"> </w:t>
      </w:r>
      <w:r w:rsidRPr="00A53AD7">
        <w:rPr>
          <w:rFonts w:ascii="Times New Roman" w:hAnsi="Times New Roman"/>
          <w:sz w:val="28"/>
          <w:szCs w:val="28"/>
        </w:rPr>
        <w:t>Информация об изменении</w:t>
      </w:r>
      <w:r w:rsidR="00FD1445" w:rsidRPr="00A53AD7">
        <w:rPr>
          <w:rFonts w:ascii="Times New Roman" w:hAnsi="Times New Roman"/>
          <w:sz w:val="28"/>
          <w:szCs w:val="28"/>
        </w:rPr>
        <w:t xml:space="preserve"> </w:t>
      </w:r>
      <w:r w:rsidRPr="00A53AD7">
        <w:rPr>
          <w:rFonts w:ascii="Times New Roman" w:hAnsi="Times New Roman"/>
          <w:sz w:val="28"/>
          <w:szCs w:val="28"/>
        </w:rPr>
        <w:t>расходов на реализацию госпрограммы</w:t>
      </w:r>
      <w:r w:rsidR="00FD1445" w:rsidRPr="00A53AD7">
        <w:rPr>
          <w:rFonts w:ascii="Times New Roman" w:hAnsi="Times New Roman"/>
          <w:sz w:val="28"/>
          <w:szCs w:val="28"/>
        </w:rPr>
        <w:t xml:space="preserve"> </w:t>
      </w:r>
      <w:r w:rsidR="008779BD" w:rsidRPr="00A53AD7">
        <w:rPr>
          <w:rFonts w:ascii="Times New Roman" w:hAnsi="Times New Roman"/>
          <w:sz w:val="28"/>
          <w:szCs w:val="28"/>
        </w:rPr>
        <w:t>представлена ниже:</w:t>
      </w:r>
    </w:p>
    <w:p w14:paraId="6FFEC804" w14:textId="448AD734" w:rsidR="00805948" w:rsidRPr="00A53AD7" w:rsidRDefault="00805948" w:rsidP="00805948">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5E93AEAA" wp14:editId="32DF9AF9">
            <wp:extent cx="4600910" cy="2247900"/>
            <wp:effectExtent l="0" t="0" r="952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09523" cy="2252108"/>
                    </a:xfrm>
                    <a:prstGeom prst="rect">
                      <a:avLst/>
                    </a:prstGeom>
                    <a:noFill/>
                  </pic:spPr>
                </pic:pic>
              </a:graphicData>
            </a:graphic>
          </wp:inline>
        </w:drawing>
      </w:r>
    </w:p>
    <w:p w14:paraId="4C75F8C4" w14:textId="480A27F5" w:rsidR="00A67DEE" w:rsidRPr="00A53AD7" w:rsidRDefault="00A67DEE" w:rsidP="00DA733A">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Несмотря на значительное увеличение расходов на здравоохранение</w:t>
      </w:r>
      <w:r w:rsidR="00FD1445" w:rsidRPr="00A53AD7">
        <w:rPr>
          <w:rFonts w:ascii="Times New Roman" w:hAnsi="Times New Roman"/>
          <w:sz w:val="28"/>
          <w:szCs w:val="28"/>
        </w:rPr>
        <w:t xml:space="preserve"> </w:t>
      </w:r>
      <w:r w:rsidRPr="00A53AD7">
        <w:rPr>
          <w:rFonts w:ascii="Times New Roman" w:hAnsi="Times New Roman"/>
          <w:sz w:val="28"/>
          <w:szCs w:val="28"/>
        </w:rPr>
        <w:t>положительная</w:t>
      </w:r>
      <w:r w:rsidR="00FD1445" w:rsidRPr="00A53AD7">
        <w:rPr>
          <w:rFonts w:ascii="Times New Roman" w:hAnsi="Times New Roman"/>
          <w:sz w:val="28"/>
          <w:szCs w:val="28"/>
        </w:rPr>
        <w:t xml:space="preserve"> </w:t>
      </w:r>
      <w:r w:rsidRPr="00A53AD7">
        <w:rPr>
          <w:rFonts w:ascii="Times New Roman" w:hAnsi="Times New Roman"/>
          <w:sz w:val="28"/>
          <w:szCs w:val="28"/>
        </w:rPr>
        <w:t>динамика по отдельным целевым индикаторам, влияющим на демографические показатели,</w:t>
      </w:r>
      <w:r w:rsidR="00FD1445" w:rsidRPr="00A53AD7">
        <w:rPr>
          <w:rFonts w:ascii="Times New Roman" w:hAnsi="Times New Roman"/>
          <w:sz w:val="28"/>
          <w:szCs w:val="28"/>
        </w:rPr>
        <w:t xml:space="preserve"> </w:t>
      </w:r>
      <w:r w:rsidRPr="00A53AD7">
        <w:rPr>
          <w:rFonts w:ascii="Times New Roman" w:hAnsi="Times New Roman"/>
          <w:sz w:val="28"/>
          <w:szCs w:val="28"/>
        </w:rPr>
        <w:t>отсутствует.</w:t>
      </w:r>
    </w:p>
    <w:p w14:paraId="0C833D05" w14:textId="77777777" w:rsidR="00662F52" w:rsidRPr="00A53AD7" w:rsidRDefault="00662F52" w:rsidP="00662F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2019 года фактические значения отдельных показателей ухудшились либо остались на уровне 2014 года, что представлено на рисунках ниже:</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4"/>
        <w:gridCol w:w="4330"/>
      </w:tblGrid>
      <w:tr w:rsidR="00A53AD7" w:rsidRPr="00A53AD7" w14:paraId="38360341" w14:textId="77777777" w:rsidTr="000540B3">
        <w:tc>
          <w:tcPr>
            <w:tcW w:w="5014" w:type="dxa"/>
          </w:tcPr>
          <w:p w14:paraId="79A900F8" w14:textId="461C8D18" w:rsidR="00866D66" w:rsidRPr="00A53AD7" w:rsidRDefault="00F228DE" w:rsidP="002529F4">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7AD68F3B" wp14:editId="6EFEEF0F">
                  <wp:extent cx="2489200" cy="1833590"/>
                  <wp:effectExtent l="0" t="0" r="635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99551" cy="1841214"/>
                          </a:xfrm>
                          <a:prstGeom prst="rect">
                            <a:avLst/>
                          </a:prstGeom>
                          <a:noFill/>
                        </pic:spPr>
                      </pic:pic>
                    </a:graphicData>
                  </a:graphic>
                </wp:inline>
              </w:drawing>
            </w:r>
          </w:p>
        </w:tc>
        <w:tc>
          <w:tcPr>
            <w:tcW w:w="4330" w:type="dxa"/>
          </w:tcPr>
          <w:p w14:paraId="63972367" w14:textId="3618C55E" w:rsidR="00866D66" w:rsidRPr="00A53AD7" w:rsidRDefault="00F228DE" w:rsidP="002529F4">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6F587273" wp14:editId="4753C76A">
                  <wp:extent cx="2463800" cy="1820320"/>
                  <wp:effectExtent l="0" t="0" r="0" b="889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72782" cy="1826956"/>
                          </a:xfrm>
                          <a:prstGeom prst="rect">
                            <a:avLst/>
                          </a:prstGeom>
                          <a:noFill/>
                        </pic:spPr>
                      </pic:pic>
                    </a:graphicData>
                  </a:graphic>
                </wp:inline>
              </w:drawing>
            </w:r>
          </w:p>
        </w:tc>
      </w:tr>
      <w:tr w:rsidR="00A53AD7" w:rsidRPr="00A53AD7" w14:paraId="71C154FF" w14:textId="77777777" w:rsidTr="000540B3">
        <w:tc>
          <w:tcPr>
            <w:tcW w:w="5014" w:type="dxa"/>
          </w:tcPr>
          <w:p w14:paraId="0B27B07B" w14:textId="3F1B1BF4" w:rsidR="00866D66" w:rsidRPr="00A53AD7" w:rsidRDefault="00444B04" w:rsidP="00C32759">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1BDA9AD3" wp14:editId="6D9F908E">
                  <wp:extent cx="2524422" cy="1867535"/>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35971" cy="1876079"/>
                          </a:xfrm>
                          <a:prstGeom prst="rect">
                            <a:avLst/>
                          </a:prstGeom>
                          <a:noFill/>
                        </pic:spPr>
                      </pic:pic>
                    </a:graphicData>
                  </a:graphic>
                </wp:inline>
              </w:drawing>
            </w:r>
          </w:p>
        </w:tc>
        <w:tc>
          <w:tcPr>
            <w:tcW w:w="4330" w:type="dxa"/>
          </w:tcPr>
          <w:p w14:paraId="0CAA0653" w14:textId="67EE2DD8" w:rsidR="00866D66" w:rsidRPr="00A53AD7" w:rsidRDefault="00444B04" w:rsidP="00C32759">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5CD5114C" wp14:editId="49D2A74F">
                  <wp:extent cx="2510249" cy="1867535"/>
                  <wp:effectExtent l="0" t="0" r="444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17156" cy="1872674"/>
                          </a:xfrm>
                          <a:prstGeom prst="rect">
                            <a:avLst/>
                          </a:prstGeom>
                          <a:noFill/>
                        </pic:spPr>
                      </pic:pic>
                    </a:graphicData>
                  </a:graphic>
                </wp:inline>
              </w:drawing>
            </w:r>
          </w:p>
        </w:tc>
      </w:tr>
      <w:tr w:rsidR="00444B04" w:rsidRPr="00A53AD7" w14:paraId="7ED994BC" w14:textId="77777777" w:rsidTr="000540B3">
        <w:tc>
          <w:tcPr>
            <w:tcW w:w="5014" w:type="dxa"/>
          </w:tcPr>
          <w:p w14:paraId="20E6B958" w14:textId="3766EB40" w:rsidR="00866D66" w:rsidRPr="00A53AD7" w:rsidRDefault="00444B04" w:rsidP="000540B3">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31FACE08" wp14:editId="050CA911">
                  <wp:extent cx="2635250" cy="1945757"/>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46967" cy="1954409"/>
                          </a:xfrm>
                          <a:prstGeom prst="rect">
                            <a:avLst/>
                          </a:prstGeom>
                          <a:noFill/>
                        </pic:spPr>
                      </pic:pic>
                    </a:graphicData>
                  </a:graphic>
                </wp:inline>
              </w:drawing>
            </w:r>
          </w:p>
        </w:tc>
        <w:tc>
          <w:tcPr>
            <w:tcW w:w="4330" w:type="dxa"/>
          </w:tcPr>
          <w:p w14:paraId="4E611E70" w14:textId="2FC94C06" w:rsidR="00866D66" w:rsidRPr="00A53AD7" w:rsidRDefault="000540B3" w:rsidP="00A67DEE">
            <w:pPr>
              <w:spacing w:after="0" w:line="240" w:lineRule="auto"/>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1B437AE2" wp14:editId="796076B0">
                  <wp:extent cx="2612673" cy="194373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18861" cy="1948338"/>
                          </a:xfrm>
                          <a:prstGeom prst="rect">
                            <a:avLst/>
                          </a:prstGeom>
                          <a:noFill/>
                        </pic:spPr>
                      </pic:pic>
                    </a:graphicData>
                  </a:graphic>
                </wp:inline>
              </w:drawing>
            </w:r>
          </w:p>
        </w:tc>
      </w:tr>
    </w:tbl>
    <w:p w14:paraId="78B08CBC" w14:textId="77777777" w:rsidR="00CD4464" w:rsidRPr="00A53AD7" w:rsidRDefault="00CD4464" w:rsidP="00A67DEE">
      <w:pPr>
        <w:spacing w:after="0" w:line="240" w:lineRule="auto"/>
        <w:ind w:firstLine="709"/>
        <w:jc w:val="both"/>
        <w:rPr>
          <w:rFonts w:ascii="Times New Roman" w:hAnsi="Times New Roman"/>
          <w:sz w:val="28"/>
          <w:szCs w:val="28"/>
          <w:highlight w:val="cyan"/>
        </w:rPr>
      </w:pPr>
    </w:p>
    <w:p w14:paraId="061A0B5C" w14:textId="77777777"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Смертность от всех причин на территории Архангельской области в 2019 году по сравнению с 2014 годом снизилась только на 2% (с 13,4 до 13,1 на 1000 населения).</w:t>
      </w:r>
    </w:p>
    <w:p w14:paraId="30327442" w14:textId="7F801D11"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Смертность от болезней системы кровообращения на территории Архангельской области по сравнению с 2014 годом осталась на прежнем уровне (759,2</w:t>
      </w:r>
      <w:r w:rsidR="00FD1445" w:rsidRPr="00A53AD7">
        <w:rPr>
          <w:rFonts w:ascii="Times New Roman" w:hAnsi="Times New Roman"/>
          <w:sz w:val="28"/>
          <w:szCs w:val="28"/>
        </w:rPr>
        <w:t xml:space="preserve"> </w:t>
      </w:r>
      <w:r w:rsidRPr="00A53AD7">
        <w:rPr>
          <w:rFonts w:ascii="Times New Roman" w:hAnsi="Times New Roman"/>
          <w:sz w:val="28"/>
          <w:szCs w:val="28"/>
        </w:rPr>
        <w:t>человека на 100 тыс. населения в 2019 году).</w:t>
      </w:r>
    </w:p>
    <w:p w14:paraId="1AA2C56C" w14:textId="77777777"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Смертность от злокачественных образований на территории Архангельской области по сравнению с 2014 годом увеличилась на 16% (с 226,6 до 240,4 на 100 тыс. населения).</w:t>
      </w:r>
    </w:p>
    <w:p w14:paraId="717C719C" w14:textId="1415AA24"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Обеспеченность врачами по сравнению</w:t>
      </w:r>
      <w:r w:rsidR="00FD1445" w:rsidRPr="00A53AD7">
        <w:rPr>
          <w:rFonts w:ascii="Times New Roman" w:hAnsi="Times New Roman"/>
          <w:sz w:val="28"/>
          <w:szCs w:val="28"/>
        </w:rPr>
        <w:t xml:space="preserve"> </w:t>
      </w:r>
      <w:r w:rsidRPr="00A53AD7">
        <w:rPr>
          <w:rFonts w:ascii="Times New Roman" w:hAnsi="Times New Roman"/>
          <w:sz w:val="28"/>
          <w:szCs w:val="28"/>
        </w:rPr>
        <w:t>с 2014 годом снизилась на 5% (с 42 до 40 на 10 тыс. населения).</w:t>
      </w:r>
    </w:p>
    <w:p w14:paraId="4E1F6269" w14:textId="3BC8F43D"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результат, ожидаемая продолжительность жизни увеличилась только до 72,5</w:t>
      </w:r>
      <w:r w:rsidR="00FD1445" w:rsidRPr="00A53AD7">
        <w:rPr>
          <w:rFonts w:ascii="Times New Roman" w:hAnsi="Times New Roman"/>
          <w:sz w:val="28"/>
          <w:szCs w:val="28"/>
        </w:rPr>
        <w:t xml:space="preserve"> </w:t>
      </w:r>
      <w:r w:rsidRPr="00A53AD7">
        <w:rPr>
          <w:rFonts w:ascii="Times New Roman" w:hAnsi="Times New Roman"/>
          <w:sz w:val="28"/>
          <w:szCs w:val="28"/>
        </w:rPr>
        <w:t xml:space="preserve">лет в 2019 году при плановом показателе 73,1. </w:t>
      </w:r>
    </w:p>
    <w:p w14:paraId="250F2FFC" w14:textId="673788A2" w:rsidR="00A67DEE" w:rsidRPr="00A53AD7" w:rsidRDefault="00A67DEE" w:rsidP="00CD44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Отрицательной тенденцией в сфере здравоохранения является снижение удовлетворенности населения качеством медицинской помощи</w:t>
      </w:r>
      <w:r w:rsidR="00FD1445" w:rsidRPr="00A53AD7">
        <w:rPr>
          <w:rFonts w:ascii="Times New Roman" w:hAnsi="Times New Roman"/>
          <w:sz w:val="28"/>
          <w:szCs w:val="28"/>
        </w:rPr>
        <w:t xml:space="preserve"> </w:t>
      </w:r>
      <w:r w:rsidRPr="00A53AD7">
        <w:rPr>
          <w:rFonts w:ascii="Times New Roman" w:hAnsi="Times New Roman"/>
          <w:sz w:val="28"/>
          <w:szCs w:val="28"/>
        </w:rPr>
        <w:t>на 13,5 п.п.</w:t>
      </w:r>
      <w:r w:rsidR="00FD1445" w:rsidRPr="00A53AD7">
        <w:rPr>
          <w:rFonts w:ascii="Times New Roman" w:hAnsi="Times New Roman"/>
          <w:sz w:val="28"/>
          <w:szCs w:val="28"/>
        </w:rPr>
        <w:t xml:space="preserve"> </w:t>
      </w:r>
      <w:r w:rsidRPr="00A53AD7">
        <w:rPr>
          <w:rFonts w:ascii="Times New Roman" w:hAnsi="Times New Roman"/>
          <w:sz w:val="28"/>
          <w:szCs w:val="28"/>
        </w:rPr>
        <w:t>по сравнению с 2014 годом</w:t>
      </w:r>
      <w:r w:rsidR="00FD1445" w:rsidRPr="00A53AD7">
        <w:rPr>
          <w:rFonts w:ascii="Times New Roman" w:hAnsi="Times New Roman"/>
          <w:sz w:val="28"/>
          <w:szCs w:val="28"/>
        </w:rPr>
        <w:t xml:space="preserve"> </w:t>
      </w:r>
      <w:r w:rsidRPr="00A53AD7">
        <w:rPr>
          <w:rFonts w:ascii="Times New Roman" w:hAnsi="Times New Roman"/>
          <w:sz w:val="28"/>
          <w:szCs w:val="28"/>
        </w:rPr>
        <w:t>(с 52,1 до 38,6%) – в 2014 год данный показатель учитывался как «Удовлетворенность населения медицинской помощью по итогам реализации территориальной программы государственных гарантий бесплатного оказания гражданам медицинской</w:t>
      </w:r>
      <w:r w:rsidR="00FD1445" w:rsidRPr="00A53AD7">
        <w:rPr>
          <w:rFonts w:ascii="Times New Roman" w:hAnsi="Times New Roman"/>
          <w:sz w:val="28"/>
          <w:szCs w:val="28"/>
        </w:rPr>
        <w:t xml:space="preserve"> </w:t>
      </w:r>
      <w:r w:rsidRPr="00A53AD7">
        <w:rPr>
          <w:rFonts w:ascii="Times New Roman" w:hAnsi="Times New Roman"/>
          <w:sz w:val="28"/>
          <w:szCs w:val="28"/>
        </w:rPr>
        <w:t>помощи в Архангельской области на соответствующий год». Граждане достаточно низко оценили качество услуг в здравоохранении на территории Архангельской области в 2019 году.</w:t>
      </w:r>
    </w:p>
    <w:p w14:paraId="06A870B5" w14:textId="77777777" w:rsidR="00DC7732" w:rsidRPr="00A53AD7" w:rsidRDefault="00DC7732" w:rsidP="00DC773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минздрава АО «О работе с обращениями граждан в министерстве здравоохранения Архангельской области за 2019 год» (далее – отчет по обращениям граждан за 2019 год) в минздрав АО поступило в 2019 году 2 618 письменных обращений, что на 48 обращений (1,87%) больше, чем в 2018 году. Более 70% поступивших обращений – это обращения граждан по поводу объема и качества оказания медицинской помощи населению.</w:t>
      </w:r>
    </w:p>
    <w:p w14:paraId="5E3245BB" w14:textId="7F7640D4" w:rsidR="00A67DEE" w:rsidRPr="00A53AD7" w:rsidRDefault="00A67DEE" w:rsidP="008F6087">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Правительству Архангельской области совместно с министерством здравоохранения Архангельской области необходимо принять исчерпывающие меры для повышения качества медицинских услуг с учетом Принципов модернизации первичного звена здравоохранения Российской Федерации,</w:t>
      </w:r>
      <w:r w:rsidR="00FD1445" w:rsidRPr="00A53AD7">
        <w:rPr>
          <w:rFonts w:ascii="Times New Roman" w:hAnsi="Times New Roman"/>
          <w:sz w:val="28"/>
          <w:szCs w:val="28"/>
        </w:rPr>
        <w:t xml:space="preserve"> </w:t>
      </w:r>
      <w:r w:rsidRPr="00A53AD7">
        <w:rPr>
          <w:rFonts w:ascii="Times New Roman" w:hAnsi="Times New Roman"/>
          <w:sz w:val="28"/>
          <w:szCs w:val="28"/>
        </w:rPr>
        <w:t>утвержденных Постановлением Правительства РФ от 9 октября 2019 г. № 1304.</w:t>
      </w:r>
    </w:p>
    <w:p w14:paraId="49AA0B86" w14:textId="77777777" w:rsidR="00A67DEE" w:rsidRPr="00A53AD7" w:rsidRDefault="00A67DEE" w:rsidP="00A67DEE">
      <w:pPr>
        <w:spacing w:after="0" w:line="240" w:lineRule="auto"/>
        <w:ind w:firstLine="709"/>
        <w:jc w:val="both"/>
        <w:rPr>
          <w:rFonts w:ascii="Times New Roman" w:hAnsi="Times New Roman"/>
          <w:sz w:val="28"/>
          <w:szCs w:val="28"/>
          <w:highlight w:val="cyan"/>
        </w:rPr>
      </w:pPr>
    </w:p>
    <w:p w14:paraId="1B88DF6F" w14:textId="77777777" w:rsidR="00A67DEE" w:rsidRPr="00A53AD7" w:rsidRDefault="00A67DEE" w:rsidP="00A67DEE">
      <w:pPr>
        <w:spacing w:after="0" w:line="240" w:lineRule="auto"/>
        <w:jc w:val="center"/>
        <w:rPr>
          <w:rFonts w:ascii="Times New Roman" w:hAnsi="Times New Roman"/>
          <w:sz w:val="28"/>
          <w:szCs w:val="28"/>
          <w:u w:val="single"/>
        </w:rPr>
      </w:pPr>
      <w:r w:rsidRPr="00A53AD7">
        <w:rPr>
          <w:rFonts w:ascii="Times New Roman" w:hAnsi="Times New Roman"/>
          <w:sz w:val="28"/>
          <w:szCs w:val="28"/>
          <w:u w:val="single"/>
        </w:rPr>
        <w:t>Выполнение установленных государственных заданий государственными учреждениями здравоохранения Архангельской области за 2019 год</w:t>
      </w:r>
    </w:p>
    <w:p w14:paraId="6CF0714D" w14:textId="45B56306" w:rsidR="00A67DEE" w:rsidRPr="00A53AD7" w:rsidRDefault="00A67DEE" w:rsidP="007127D7">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отчетам по форме 0503737 «Отчет о выполнении учреждением плана его финансово-хозяйственной деятельности» за 2019 год, размещенных в программном комплексе «Свод-СМАРТ», учреждениями получено субсидий на финансовое обеспечение выполнения государственного задания из областного бюджета в общей сумме 3 866,2 млн.руб. Расходы учреждений составили 3 747,6 млн.руб. или 97 % к утвержденным плановым на</w:t>
      </w:r>
      <w:r w:rsidR="004508A2" w:rsidRPr="00A53AD7">
        <w:rPr>
          <w:rFonts w:ascii="Times New Roman" w:hAnsi="Times New Roman"/>
          <w:sz w:val="28"/>
          <w:szCs w:val="28"/>
        </w:rPr>
        <w:t>значениям, из них: 3 503,3 млн.</w:t>
      </w:r>
      <w:r w:rsidRPr="00A53AD7">
        <w:rPr>
          <w:rFonts w:ascii="Times New Roman" w:hAnsi="Times New Roman"/>
          <w:sz w:val="28"/>
          <w:szCs w:val="28"/>
        </w:rPr>
        <w:t>руб. расходы бюджетных учреждений, 244,3 – расходы автономных учреждений.</w:t>
      </w:r>
    </w:p>
    <w:p w14:paraId="5F3777DA" w14:textId="77777777" w:rsidR="00A67DEE" w:rsidRPr="00A53AD7" w:rsidRDefault="00A67DEE" w:rsidP="007127D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Распоряжением минздрава АО от 31.01.2020 № 57-рд (с изменениями, внесенными распоряжением от 05.02.2020 № 61-рд) определены объемы субсидий на финансовое обеспечение выполнения государственного задания, подлежащие возврату в областной бюджет в 2020 году и перечень государственных учреждений, которыми не были достигнуты в 2019 году установленные показатели объема государственных услуг (работ).</w:t>
      </w:r>
    </w:p>
    <w:p w14:paraId="6DFDE126" w14:textId="77777777" w:rsidR="00A67DEE" w:rsidRPr="00A53AD7" w:rsidRDefault="00A67DEE" w:rsidP="007127D7">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распоряжению минздрава от 31.01.2020 № 57-рд, не в полном объеме достигнуты показатели установленного объема государственных услуг (работ) за 2019 год 18 учреждениями. Руководителям данных учреждений подлежит возвратить в областной бюджет в 2020 году 5,7 млн.руб. или 0,1 % от полученной субсидии.</w:t>
      </w:r>
    </w:p>
    <w:p w14:paraId="3FB371C8" w14:textId="3A295F36" w:rsidR="00A67DEE" w:rsidRPr="00A53AD7" w:rsidRDefault="00A67DEE" w:rsidP="007127D7">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например, за 2019 год не достигнуты показатели объема государственных услуг (работ), установленные в государственном задании (с учетом допустимых (возможных) отклонений от установленных показателей объема государственных услуг (работ), в пределах которых государственное задание считается выполн</w:t>
      </w:r>
      <w:r w:rsidR="007127D7" w:rsidRPr="00A53AD7">
        <w:rPr>
          <w:rFonts w:ascii="Times New Roman" w:hAnsi="Times New Roman"/>
          <w:sz w:val="28"/>
          <w:szCs w:val="28"/>
        </w:rPr>
        <w:t>енным) следующими учреждениями:</w:t>
      </w:r>
    </w:p>
    <w:p w14:paraId="6220CC9D" w14:textId="283A8E67"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ГБУЗ АО «Коношская ЦРБ» по 4 наименованиям государственных услуг (работ), подлежит возврату в областной бюджет субсидия на финансовое обеспечение выполнения государственного задания в объеме 0,74 млн.руб. За 2018 год учреждением не достигнуты показатели объема государственных услуг (работ) по 5 наименованиям государственных услуг (работ), возвращено в бюджет в 2019 году – 1,4 млн.руб.;</w:t>
      </w:r>
    </w:p>
    <w:p w14:paraId="1F567D67" w14:textId="6687A0BD"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ГБУЗ АО «Устьянская ЦРБ» по 4 наименованиям государственных услуг (работ), подлежит возврату в областной бюджет субсидия на финансовое обеспечение выполнения государственного задания в объеме 0,5 млн.руб.;</w:t>
      </w:r>
    </w:p>
    <w:p w14:paraId="54158E24" w14:textId="18E30909"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ГБУЗ Архангельской области</w:t>
      </w:r>
      <w:r w:rsidR="00FD1445" w:rsidRPr="00A53AD7">
        <w:rPr>
          <w:rFonts w:ascii="Times New Roman" w:hAnsi="Times New Roman"/>
          <w:sz w:val="28"/>
          <w:szCs w:val="28"/>
        </w:rPr>
        <w:t xml:space="preserve"> </w:t>
      </w:r>
      <w:r w:rsidRPr="00A53AD7">
        <w:rPr>
          <w:rFonts w:ascii="Times New Roman" w:hAnsi="Times New Roman"/>
          <w:sz w:val="28"/>
          <w:szCs w:val="28"/>
        </w:rPr>
        <w:t>«Котласская центральная городская больница имени святителя Луки (В.Ф. Войно-Ясенецкого)» по 3 наименованиям государственных услуг (работ), подлежит возврату в областной бюджет субсидия на финансовое обеспечение выполнения государственного задания в объеме 0,96 млн.руб.</w:t>
      </w:r>
    </w:p>
    <w:p w14:paraId="59FADDFB" w14:textId="77777777" w:rsidR="00A67DEE" w:rsidRPr="00A53AD7" w:rsidRDefault="00A67DEE" w:rsidP="00033D3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сравнению с предыдущим годом, в отчетном периоде уменьшилось количество государственных учреждений (на 2 ед.), которыми не достигнуты показатели объема государственных услуг (работ), а также объем средств субсидии, подлежащий возврату в областной бюджет - на 0,9 млн.руб.</w:t>
      </w:r>
    </w:p>
    <w:p w14:paraId="0822DD66" w14:textId="47CF6935" w:rsidR="00A67DEE" w:rsidRPr="00A53AD7" w:rsidRDefault="00A67DEE" w:rsidP="00033D3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отчетам по форме 0503779 «Сведения об остатках денежных средств учреждения» за 2019 год, остатки средств субсидии на финансовое обеспечение выполнения государственного задания счетах учреждений на 01.01.2020 сос</w:t>
      </w:r>
      <w:r w:rsidR="002647AB" w:rsidRPr="00A53AD7">
        <w:rPr>
          <w:rFonts w:ascii="Times New Roman" w:hAnsi="Times New Roman"/>
          <w:sz w:val="28"/>
          <w:szCs w:val="28"/>
        </w:rPr>
        <w:t>тавили в общей сумме 440,0 млн.</w:t>
      </w:r>
      <w:r w:rsidRPr="00A53AD7">
        <w:rPr>
          <w:rFonts w:ascii="Times New Roman" w:hAnsi="Times New Roman"/>
          <w:sz w:val="28"/>
          <w:szCs w:val="28"/>
        </w:rPr>
        <w:t>руб., из них: 4</w:t>
      </w:r>
      <w:r w:rsidR="002647AB" w:rsidRPr="00A53AD7">
        <w:rPr>
          <w:rFonts w:ascii="Times New Roman" w:hAnsi="Times New Roman"/>
          <w:sz w:val="28"/>
          <w:szCs w:val="28"/>
        </w:rPr>
        <w:t>35,3 млн.</w:t>
      </w:r>
      <w:r w:rsidRPr="00A53AD7">
        <w:rPr>
          <w:rFonts w:ascii="Times New Roman" w:hAnsi="Times New Roman"/>
          <w:sz w:val="28"/>
          <w:szCs w:val="28"/>
        </w:rPr>
        <w:t>руб. – денежные средства</w:t>
      </w:r>
      <w:r w:rsidR="002647AB" w:rsidRPr="00A53AD7">
        <w:rPr>
          <w:rFonts w:ascii="Times New Roman" w:hAnsi="Times New Roman"/>
          <w:sz w:val="28"/>
          <w:szCs w:val="28"/>
        </w:rPr>
        <w:t xml:space="preserve"> бюджетных учреждений, 4,7 млн.</w:t>
      </w:r>
      <w:r w:rsidRPr="00A53AD7">
        <w:rPr>
          <w:rFonts w:ascii="Times New Roman" w:hAnsi="Times New Roman"/>
          <w:sz w:val="28"/>
          <w:szCs w:val="28"/>
        </w:rPr>
        <w:t xml:space="preserve">руб. – автономных учреждений. По отношению к показателю на 01.01.2019 размер остатков средств на 01.01.2020 увеличился на </w:t>
      </w:r>
      <w:r w:rsidR="00033D32" w:rsidRPr="00A53AD7">
        <w:rPr>
          <w:rFonts w:ascii="Times New Roman" w:hAnsi="Times New Roman"/>
          <w:sz w:val="28"/>
          <w:szCs w:val="28"/>
        </w:rPr>
        <w:t>105,9 млн.</w:t>
      </w:r>
      <w:r w:rsidRPr="00A53AD7">
        <w:rPr>
          <w:rFonts w:ascii="Times New Roman" w:hAnsi="Times New Roman"/>
          <w:sz w:val="28"/>
          <w:szCs w:val="28"/>
        </w:rPr>
        <w:t>руб.</w:t>
      </w:r>
    </w:p>
    <w:p w14:paraId="3C944528" w14:textId="77777777" w:rsidR="00A67DEE" w:rsidRPr="00A53AD7" w:rsidRDefault="00A67DEE" w:rsidP="00A67DEE">
      <w:pPr>
        <w:spacing w:after="0" w:line="240" w:lineRule="auto"/>
        <w:ind w:firstLine="709"/>
        <w:jc w:val="both"/>
        <w:rPr>
          <w:rFonts w:ascii="Times New Roman" w:hAnsi="Times New Roman"/>
          <w:sz w:val="28"/>
          <w:szCs w:val="28"/>
          <w:highlight w:val="cyan"/>
        </w:rPr>
      </w:pPr>
    </w:p>
    <w:p w14:paraId="1F2DE4BA" w14:textId="77777777" w:rsidR="00A67DEE" w:rsidRPr="00A53AD7" w:rsidRDefault="00A67DEE" w:rsidP="00A67DEE">
      <w:pPr>
        <w:spacing w:after="0" w:line="240" w:lineRule="auto"/>
        <w:jc w:val="center"/>
        <w:rPr>
          <w:rFonts w:ascii="Times New Roman" w:hAnsi="Times New Roman"/>
          <w:sz w:val="28"/>
          <w:szCs w:val="28"/>
          <w:u w:val="single"/>
        </w:rPr>
      </w:pPr>
      <w:r w:rsidRPr="00A53AD7">
        <w:rPr>
          <w:rFonts w:ascii="Times New Roman" w:hAnsi="Times New Roman"/>
          <w:sz w:val="28"/>
          <w:szCs w:val="28"/>
          <w:u w:val="single"/>
        </w:rPr>
        <w:t>Расходование субсидии на иные цели, не связанные с финансовым обеспечения выполнения государственного задания</w:t>
      </w:r>
    </w:p>
    <w:p w14:paraId="79FF463D" w14:textId="79FBB462"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отчетам по форме 0503737 «Отчет о выполнении учреждением плана его финансово-хозяйственной деятельности» за 2019 год, размещенных в программном комплексе «Свод-СМАРТ», учреждениями получено субсидий на иные цели, не связанные с финансовым обеспечением выполнения государственного задания из областного бюджета в общей сумме 2 723,7 млн.руб. Расходы учреждений составили 1 851,8 млн.руб. или 68 % к утвержденным плановым на</w:t>
      </w:r>
      <w:r w:rsidR="004508A2" w:rsidRPr="00A53AD7">
        <w:rPr>
          <w:rFonts w:ascii="Times New Roman" w:hAnsi="Times New Roman"/>
          <w:sz w:val="28"/>
          <w:szCs w:val="28"/>
        </w:rPr>
        <w:t>значениям, из них: 1 808,4 млн.</w:t>
      </w:r>
      <w:r w:rsidRPr="00A53AD7">
        <w:rPr>
          <w:rFonts w:ascii="Times New Roman" w:hAnsi="Times New Roman"/>
          <w:sz w:val="28"/>
          <w:szCs w:val="28"/>
        </w:rPr>
        <w:t xml:space="preserve">руб. расходы бюджетных учреждений, 43,4 – расходы автономных учреждений. </w:t>
      </w:r>
    </w:p>
    <w:p w14:paraId="513695E2" w14:textId="01635CDA"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том числе по мероприятию 14 «Погашение кредиторской задолженности в целях оказания медицинской помощи в соответствии с территориальной программой государственных гарантий бесплатного оказания гражданам медицинской помощи в Архангельской области» подпрограммы 2 расходы областного бюджета составили 289 млн.руб.</w:t>
      </w:r>
    </w:p>
    <w:p w14:paraId="3620E588" w14:textId="5FD9C901"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отчетам по форме 0503779 «Сведения об остатках денежных средств учреждения» за 2019 год, остатки средств субсидии на иные цели на счетах учреждений на 01.01.2020 составили в общей сумме 1 192,5 и по отношению к остаткам на 01.01</w:t>
      </w:r>
      <w:r w:rsidR="002647AB" w:rsidRPr="00A53AD7">
        <w:rPr>
          <w:rFonts w:ascii="Times New Roman" w:hAnsi="Times New Roman"/>
          <w:sz w:val="28"/>
          <w:szCs w:val="28"/>
        </w:rPr>
        <w:t>.2019 увеличились на 869,6 млн.</w:t>
      </w:r>
      <w:r w:rsidRPr="00A53AD7">
        <w:rPr>
          <w:rFonts w:ascii="Times New Roman" w:hAnsi="Times New Roman"/>
          <w:sz w:val="28"/>
          <w:szCs w:val="28"/>
        </w:rPr>
        <w:t>руб. или в 3,6 раза.</w:t>
      </w:r>
    </w:p>
    <w:p w14:paraId="2712517F" w14:textId="77777777"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Остатки денежных средств на счетах бюджетных учреждений в размере 1 171,7 млн.руб., (увеличились на 857,1 млн.руб.), автономных учреждений – 20,8 млн.руб. (увеличились на 12,4 млн.руб.).</w:t>
      </w:r>
    </w:p>
    <w:p w14:paraId="04CD4CBB" w14:textId="76231E4E"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объем остатков </w:t>
      </w:r>
      <w:r w:rsidR="004508A2" w:rsidRPr="00A53AD7">
        <w:rPr>
          <w:rFonts w:ascii="Times New Roman" w:hAnsi="Times New Roman"/>
          <w:sz w:val="28"/>
          <w:szCs w:val="28"/>
        </w:rPr>
        <w:t>денежных средств – 1 095,4 млн.</w:t>
      </w:r>
      <w:r w:rsidRPr="00A53AD7">
        <w:rPr>
          <w:rFonts w:ascii="Times New Roman" w:hAnsi="Times New Roman"/>
          <w:sz w:val="28"/>
          <w:szCs w:val="28"/>
        </w:rPr>
        <w:t>руб. или 92% сформировался по подпрограмме № 10</w:t>
      </w:r>
      <w:r w:rsidR="00FD1445" w:rsidRPr="00A53AD7">
        <w:rPr>
          <w:rFonts w:ascii="Times New Roman" w:hAnsi="Times New Roman"/>
          <w:sz w:val="28"/>
          <w:szCs w:val="28"/>
        </w:rPr>
        <w:t xml:space="preserve"> </w:t>
      </w:r>
      <w:r w:rsidRPr="00A53AD7">
        <w:rPr>
          <w:rFonts w:ascii="Times New Roman" w:hAnsi="Times New Roman"/>
          <w:sz w:val="28"/>
          <w:szCs w:val="28"/>
        </w:rPr>
        <w:t>«Совершенствование системы территориального планирования Архангельской области».</w:t>
      </w:r>
    </w:p>
    <w:p w14:paraId="5305625F" w14:textId="2C8AAE1F"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Остаток денежных средств по указанной подп</w:t>
      </w:r>
      <w:r w:rsidR="004508A2" w:rsidRPr="00A53AD7">
        <w:rPr>
          <w:rFonts w:ascii="Times New Roman" w:hAnsi="Times New Roman"/>
          <w:sz w:val="28"/>
          <w:szCs w:val="28"/>
        </w:rPr>
        <w:t>рограмме в размере 1 095,4 млн.</w:t>
      </w:r>
      <w:r w:rsidRPr="00A53AD7">
        <w:rPr>
          <w:rFonts w:ascii="Times New Roman" w:hAnsi="Times New Roman"/>
          <w:sz w:val="28"/>
          <w:szCs w:val="28"/>
        </w:rPr>
        <w:t>руб. или 10,3% от кассовых расходов предполагается к разрешению на использование в 2020 году.</w:t>
      </w:r>
    </w:p>
    <w:p w14:paraId="109BB872" w14:textId="77C9AE31"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например, остаток неиспользованных средств по указанной подпрограмме у ГБУЗ Архангельской области «Архангельская областная детская клиническая больница имени П.Г.</w:t>
      </w:r>
      <w:r w:rsidR="005908C4" w:rsidRPr="00A53AD7">
        <w:rPr>
          <w:rFonts w:ascii="Times New Roman" w:hAnsi="Times New Roman"/>
          <w:sz w:val="28"/>
          <w:szCs w:val="28"/>
        </w:rPr>
        <w:t xml:space="preserve"> </w:t>
      </w:r>
      <w:r w:rsidRPr="00A53AD7">
        <w:rPr>
          <w:rFonts w:ascii="Times New Roman" w:hAnsi="Times New Roman"/>
          <w:sz w:val="28"/>
          <w:szCs w:val="28"/>
        </w:rPr>
        <w:t>Выжлецова</w:t>
      </w:r>
      <w:r w:rsidR="004508A2" w:rsidRPr="00A53AD7">
        <w:rPr>
          <w:rFonts w:ascii="Times New Roman" w:hAnsi="Times New Roman"/>
          <w:sz w:val="28"/>
          <w:szCs w:val="28"/>
        </w:rPr>
        <w:t>» сложился в размере 148,1 млн.</w:t>
      </w:r>
      <w:r w:rsidRPr="00A53AD7">
        <w:rPr>
          <w:rFonts w:ascii="Times New Roman" w:hAnsi="Times New Roman"/>
          <w:sz w:val="28"/>
          <w:szCs w:val="28"/>
        </w:rPr>
        <w:t>руб., в том числе по мероприятию подпрограммы «Проведение текущих и капитальных ремонтов, обследований строительных конструкций, технологических присоединений линий электроснабжения, разработка проектно-сметной документации в государственных медицинских организациях» остаток денежных средств составил 1</w:t>
      </w:r>
      <w:r w:rsidR="004508A2" w:rsidRPr="00A53AD7">
        <w:rPr>
          <w:rFonts w:ascii="Times New Roman" w:hAnsi="Times New Roman"/>
          <w:sz w:val="28"/>
          <w:szCs w:val="28"/>
        </w:rPr>
        <w:t>00, млн.</w:t>
      </w:r>
      <w:r w:rsidRPr="00A53AD7">
        <w:rPr>
          <w:rFonts w:ascii="Times New Roman" w:hAnsi="Times New Roman"/>
          <w:sz w:val="28"/>
          <w:szCs w:val="28"/>
        </w:rPr>
        <w:t xml:space="preserve">руб. </w:t>
      </w:r>
    </w:p>
    <w:p w14:paraId="40FFB066" w14:textId="49442439" w:rsidR="00A67DEE" w:rsidRPr="00A53AD7" w:rsidRDefault="00A67DEE" w:rsidP="00F5695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учреждения «Сведения об исполнении мероприятий в рамках субсидий на иные цели и на цели осуществления капитальных вложений»</w:t>
      </w:r>
      <w:r w:rsidR="00FD1445" w:rsidRPr="00A53AD7">
        <w:rPr>
          <w:rFonts w:ascii="Times New Roman" w:hAnsi="Times New Roman"/>
          <w:sz w:val="28"/>
          <w:szCs w:val="28"/>
        </w:rPr>
        <w:t xml:space="preserve"> </w:t>
      </w:r>
      <w:r w:rsidRPr="00A53AD7">
        <w:rPr>
          <w:rFonts w:ascii="Times New Roman" w:hAnsi="Times New Roman"/>
          <w:sz w:val="28"/>
          <w:szCs w:val="28"/>
        </w:rPr>
        <w:t>(ф. 0503766) причинами неисполнения является позднее поступление финансирования (декабрь 2019 года), а также отсутствие кассовых расходов учреждения.</w:t>
      </w:r>
    </w:p>
    <w:p w14:paraId="6FE4F85A" w14:textId="77777777" w:rsidR="00DC7732" w:rsidRPr="00A53AD7" w:rsidRDefault="00DC7732" w:rsidP="00DC7732">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мероприятия 2.1 «Приобретение оборудования и мебели для государственных медицинских организаций» подпрограммы 10 Отчет о выполнении госпрограммы содержит информацию, в том числе, о приобретении стоматологических установок для ГАУЗ Архангельской области «Котласская городская стоматологическая поликлиника», а также заключении контрактов на приобретение аппаратов ИВЛ для государственных медицинских организаций Архангельской области.</w:t>
      </w:r>
    </w:p>
    <w:p w14:paraId="3E188B88" w14:textId="3B592DCC" w:rsidR="00DC7732" w:rsidRPr="00A53AD7" w:rsidRDefault="00DC7732" w:rsidP="00DC7732">
      <w:pPr>
        <w:spacing w:after="0" w:line="240" w:lineRule="auto"/>
        <w:ind w:firstLine="709"/>
        <w:jc w:val="both"/>
        <w:rPr>
          <w:rFonts w:ascii="Times New Roman" w:hAnsi="Times New Roman"/>
          <w:sz w:val="28"/>
          <w:szCs w:val="28"/>
        </w:rPr>
      </w:pPr>
      <w:r w:rsidRPr="00A53AD7">
        <w:rPr>
          <w:rFonts w:ascii="Times New Roman" w:hAnsi="Times New Roman"/>
          <w:sz w:val="28"/>
          <w:szCs w:val="28"/>
        </w:rPr>
        <w:t>Фактически, по указанному мероприятию остатки неиспользованных денежных средств сложились у 32 учреждений</w:t>
      </w:r>
      <w:r w:rsidR="004508A2" w:rsidRPr="00A53AD7">
        <w:rPr>
          <w:rFonts w:ascii="Times New Roman" w:hAnsi="Times New Roman"/>
          <w:sz w:val="28"/>
          <w:szCs w:val="28"/>
        </w:rPr>
        <w:t>, в том числе 404,8 млн.</w:t>
      </w:r>
      <w:r w:rsidRPr="00A53AD7">
        <w:rPr>
          <w:rFonts w:ascii="Times New Roman" w:hAnsi="Times New Roman"/>
          <w:sz w:val="28"/>
          <w:szCs w:val="28"/>
        </w:rPr>
        <w:t>руб. по следующим направлениям расходования:</w:t>
      </w:r>
    </w:p>
    <w:p w14:paraId="4EADBD8B" w14:textId="6E418E02"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45,8 млн.</w:t>
      </w:r>
      <w:r w:rsidR="00DC7732" w:rsidRPr="00A53AD7">
        <w:rPr>
          <w:rFonts w:ascii="Times New Roman" w:hAnsi="Times New Roman"/>
          <w:sz w:val="28"/>
          <w:szCs w:val="28"/>
        </w:rPr>
        <w:t>руб. на приобретение медицинского оборудования, в том числе аппаратов ИВЛ (14 учреждений – Вельская ЦРБ, Котласская ЦГБ, Архангельская клиническая областная детская больница и др.);</w:t>
      </w:r>
    </w:p>
    <w:p w14:paraId="7A4D4EDD" w14:textId="4E069F63"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87,6 млн.</w:t>
      </w:r>
      <w:r w:rsidR="00DC7732" w:rsidRPr="00A53AD7">
        <w:rPr>
          <w:rFonts w:ascii="Times New Roman" w:hAnsi="Times New Roman"/>
          <w:sz w:val="28"/>
          <w:szCs w:val="28"/>
        </w:rPr>
        <w:t>руб. приобретение медицинского оборудования, в том числе наркозно-дыхательных аппаратов и монитора пациентов (13 учреждений – Коряжемская городская больница, Шенкурская ЦРБ и др.);</w:t>
      </w:r>
    </w:p>
    <w:p w14:paraId="02D77E88" w14:textId="5942A991"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41,0 млн.</w:t>
      </w:r>
      <w:r w:rsidR="00DC7732" w:rsidRPr="00A53AD7">
        <w:rPr>
          <w:rFonts w:ascii="Times New Roman" w:hAnsi="Times New Roman"/>
          <w:sz w:val="28"/>
          <w:szCs w:val="28"/>
        </w:rPr>
        <w:t>руб. – ремонт гамма-терапевтических аппаратов и линейного ускорителя, разрядка источника, демонтаж и транспортировка гамма-терапевтических аппаратов, приобретение медицинского оборудования (Архангельский клинический онкологический диспансер);</w:t>
      </w:r>
    </w:p>
    <w:p w14:paraId="201DDFD4" w14:textId="7B4B540E"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32,0 млн.</w:t>
      </w:r>
      <w:r w:rsidR="00DC7732" w:rsidRPr="00A53AD7">
        <w:rPr>
          <w:rFonts w:ascii="Times New Roman" w:hAnsi="Times New Roman"/>
          <w:sz w:val="28"/>
          <w:szCs w:val="28"/>
        </w:rPr>
        <w:t>руб. ‒ приобретение медицинского оборудования, в том числе рентгеновского аппарата на 2 рабочих места (Ильинская ЦРБ,</w:t>
      </w:r>
      <w:r w:rsidR="00DC7732" w:rsidRPr="00A53AD7">
        <w:t xml:space="preserve"> </w:t>
      </w:r>
      <w:r w:rsidR="00DC7732" w:rsidRPr="00A53AD7">
        <w:rPr>
          <w:rFonts w:ascii="Times New Roman" w:hAnsi="Times New Roman"/>
          <w:sz w:val="28"/>
          <w:szCs w:val="28"/>
        </w:rPr>
        <w:t>Архангельская городская клиническая поликлиника № 2);</w:t>
      </w:r>
    </w:p>
    <w:p w14:paraId="3520993E" w14:textId="77777777" w:rsidR="00DC7732" w:rsidRPr="00A53AD7" w:rsidRDefault="00DC773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120,0 млн.руб. ‒ приобретение медицинского оборудования, в том числе рентгеновского аппарата на 3 рабочих места (5 учреждений – Онежская ЦРБ, Шенкурская ЦРБ и др.);</w:t>
      </w:r>
    </w:p>
    <w:p w14:paraId="3EA3A61B" w14:textId="419312BD"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24,0 млн.</w:t>
      </w:r>
      <w:r w:rsidR="00DC7732" w:rsidRPr="00A53AD7">
        <w:rPr>
          <w:rFonts w:ascii="Times New Roman" w:hAnsi="Times New Roman"/>
          <w:sz w:val="28"/>
          <w:szCs w:val="28"/>
        </w:rPr>
        <w:t xml:space="preserve">руб. – приобретение медицинского оборудования, в том числе эндовидеосистемы диагностической (5 учреждений – Котласская ЦГБ, </w:t>
      </w:r>
      <w:r w:rsidR="007A2FA7" w:rsidRPr="00A53AD7">
        <w:rPr>
          <w:rFonts w:ascii="Times New Roman" w:hAnsi="Times New Roman"/>
          <w:sz w:val="28"/>
          <w:szCs w:val="28"/>
        </w:rPr>
        <w:t>Вельская ЦРБ и др.</w:t>
      </w:r>
      <w:r w:rsidR="00DC7732" w:rsidRPr="00A53AD7">
        <w:rPr>
          <w:rFonts w:ascii="Times New Roman" w:hAnsi="Times New Roman"/>
          <w:sz w:val="28"/>
          <w:szCs w:val="28"/>
        </w:rPr>
        <w:t>);</w:t>
      </w:r>
    </w:p>
    <w:p w14:paraId="272837B2" w14:textId="127A5408" w:rsidR="00DC7732" w:rsidRPr="00A53AD7" w:rsidRDefault="004508A2" w:rsidP="00CA1DDD">
      <w:pPr>
        <w:numPr>
          <w:ilvl w:val="0"/>
          <w:numId w:val="37"/>
        </w:numPr>
        <w:spacing w:after="0" w:line="240" w:lineRule="auto"/>
        <w:ind w:left="0" w:firstLine="709"/>
        <w:jc w:val="both"/>
        <w:rPr>
          <w:rFonts w:ascii="Times New Roman" w:hAnsi="Times New Roman"/>
          <w:sz w:val="28"/>
          <w:szCs w:val="28"/>
        </w:rPr>
      </w:pPr>
      <w:r w:rsidRPr="00A53AD7">
        <w:rPr>
          <w:rFonts w:ascii="Times New Roman" w:hAnsi="Times New Roman"/>
          <w:sz w:val="28"/>
          <w:szCs w:val="28"/>
        </w:rPr>
        <w:t>36,4 млн.</w:t>
      </w:r>
      <w:r w:rsidR="00DC7732" w:rsidRPr="00A53AD7">
        <w:rPr>
          <w:rFonts w:ascii="Times New Roman" w:hAnsi="Times New Roman"/>
          <w:sz w:val="28"/>
          <w:szCs w:val="28"/>
        </w:rPr>
        <w:t>руб. – приобретение медицинского оборудования, в том числе холтеров и систем мониторинга артериального давления (27 учреждений – Яренская ЦРБ, Приморская ЦРБ, Новодвинская ЦГБ и др.);</w:t>
      </w:r>
    </w:p>
    <w:p w14:paraId="4CED71FE" w14:textId="7E2DD9D4" w:rsidR="00DC7732" w:rsidRPr="00A53AD7" w:rsidRDefault="004508A2"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18,0 млн.</w:t>
      </w:r>
      <w:r w:rsidR="00DC7732" w:rsidRPr="00A53AD7">
        <w:rPr>
          <w:rFonts w:ascii="Times New Roman" w:hAnsi="Times New Roman"/>
          <w:sz w:val="28"/>
          <w:szCs w:val="28"/>
        </w:rPr>
        <w:t>руб. ‒ приобретение медицинского оборудования, в том числе для травматологического отделения. Ремонт медицинского оборудования, в том числе ремонт ангиографа (Архангельская областная клиническая больница).</w:t>
      </w:r>
    </w:p>
    <w:p w14:paraId="4C3AFE4E" w14:textId="77777777" w:rsidR="00DC7732" w:rsidRPr="00A53AD7" w:rsidRDefault="00DC7732" w:rsidP="00DC7732">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мероприятия 3.1 «Приобретение автотранспорта для государственных медицинских организаций, в том числе в рамках федерального проекта «Безопасность дорожного движения» национального проекта «Безопасные и качественные автомобильные дороги» Отчет о выполнении госпрограммы содержит информацию о приобретении автомобилей скорой медицинской помощи в количестве 15 единиц, санитарные автомобили в количестве восьми единиц.</w:t>
      </w:r>
    </w:p>
    <w:p w14:paraId="0E3AD8CC" w14:textId="72A59E42" w:rsidR="00DC7732" w:rsidRPr="00A53AD7" w:rsidRDefault="00DC7732" w:rsidP="00DC773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ГБУЗ АО «Архангельская областная клиническая станция скорой медицинской помощи» «Сведения об исполнении мероприятий в рамках субсидий на иные цели и на цели осуществления капитальных вложений» (ф. 0503766) остаток денежных средств на 01.01.2020 на реализацию мероприятия</w:t>
      </w:r>
      <w:r w:rsidR="004508A2" w:rsidRPr="00A53AD7">
        <w:rPr>
          <w:rFonts w:ascii="Times New Roman" w:hAnsi="Times New Roman"/>
          <w:sz w:val="28"/>
          <w:szCs w:val="28"/>
        </w:rPr>
        <w:t xml:space="preserve"> пункта 3.1. составил 30,0 млн.</w:t>
      </w:r>
      <w:r w:rsidRPr="00A53AD7">
        <w:rPr>
          <w:rFonts w:ascii="Times New Roman" w:hAnsi="Times New Roman"/>
          <w:sz w:val="28"/>
          <w:szCs w:val="28"/>
        </w:rPr>
        <w:t>руб. причинами неисполнения является позднее поступление финансирования (25 декабря 2019 года). Контракт на поставку 10 автомобилей скорой медицинской помощи класса В 28575-02 заключен 25.02.2020 года.</w:t>
      </w:r>
    </w:p>
    <w:p w14:paraId="5F62F6AC" w14:textId="77777777" w:rsidR="00A67DEE" w:rsidRPr="00A53AD7" w:rsidRDefault="00A67DEE" w:rsidP="00A67DEE">
      <w:pPr>
        <w:spacing w:after="0" w:line="240" w:lineRule="auto"/>
        <w:jc w:val="center"/>
        <w:rPr>
          <w:rFonts w:ascii="Times New Roman" w:hAnsi="Times New Roman"/>
          <w:sz w:val="28"/>
          <w:szCs w:val="28"/>
          <w:highlight w:val="cyan"/>
          <w:u w:val="single"/>
        </w:rPr>
      </w:pPr>
    </w:p>
    <w:p w14:paraId="703CB8AD" w14:textId="77777777" w:rsidR="00A67DEE" w:rsidRPr="00A53AD7" w:rsidRDefault="00A67DEE" w:rsidP="00A67DEE">
      <w:pPr>
        <w:autoSpaceDE w:val="0"/>
        <w:autoSpaceDN w:val="0"/>
        <w:adjustRightInd w:val="0"/>
        <w:spacing w:after="0" w:line="240" w:lineRule="auto"/>
        <w:jc w:val="center"/>
        <w:rPr>
          <w:rFonts w:ascii="Times New Roman" w:eastAsia="Times New Roman" w:hAnsi="Times New Roman"/>
          <w:bCs/>
          <w:sz w:val="28"/>
          <w:szCs w:val="28"/>
          <w:u w:val="single"/>
          <w:lang w:eastAsia="ru-RU"/>
        </w:rPr>
      </w:pPr>
      <w:r w:rsidRPr="00A53AD7">
        <w:rPr>
          <w:rFonts w:ascii="Times New Roman" w:eastAsia="Times New Roman" w:hAnsi="Times New Roman"/>
          <w:bCs/>
          <w:sz w:val="28"/>
          <w:szCs w:val="28"/>
          <w:u w:val="single"/>
          <w:lang w:eastAsia="ru-RU"/>
        </w:rPr>
        <w:t>Исполнение Указа Президента РФ от 07.05.2012 № 597 «О мероприятиях по реализации государственной социальной политики»</w:t>
      </w:r>
    </w:p>
    <w:p w14:paraId="6485B46A" w14:textId="6F737640"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Прогнозный среднемесячный доход от трудовой деятельности в Архангельской области итогам 2019</w:t>
      </w:r>
      <w:r w:rsidR="00FD1445" w:rsidRPr="00A53AD7">
        <w:rPr>
          <w:rFonts w:ascii="Times New Roman" w:hAnsi="Times New Roman"/>
          <w:sz w:val="28"/>
          <w:szCs w:val="28"/>
        </w:rPr>
        <w:t xml:space="preserve"> </w:t>
      </w:r>
      <w:r w:rsidRPr="00A53AD7">
        <w:rPr>
          <w:rFonts w:ascii="Times New Roman" w:hAnsi="Times New Roman"/>
          <w:sz w:val="28"/>
          <w:szCs w:val="28"/>
        </w:rPr>
        <w:t>года сложился в размере 42 105,0</w:t>
      </w:r>
      <w:r w:rsidR="00FD1445" w:rsidRPr="00A53AD7">
        <w:rPr>
          <w:rFonts w:ascii="Times New Roman" w:hAnsi="Times New Roman"/>
          <w:sz w:val="28"/>
          <w:szCs w:val="28"/>
        </w:rPr>
        <w:t xml:space="preserve"> </w:t>
      </w:r>
      <w:r w:rsidRPr="00A53AD7">
        <w:rPr>
          <w:rFonts w:ascii="Times New Roman" w:hAnsi="Times New Roman"/>
          <w:sz w:val="28"/>
          <w:szCs w:val="28"/>
        </w:rPr>
        <w:t>руб.</w:t>
      </w:r>
    </w:p>
    <w:p w14:paraId="7867322D" w14:textId="77777777"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выполнении индикативных значений средней заработной платы работников государственных медицинских учреждений Архангельской области по категориям медицинского персонала, за 2019 год представлена в таблице ниже:</w:t>
      </w:r>
    </w:p>
    <w:tbl>
      <w:tblPr>
        <w:tblW w:w="9266" w:type="dxa"/>
        <w:tblInd w:w="93" w:type="dxa"/>
        <w:tblLayout w:type="fixed"/>
        <w:tblLook w:val="04A0" w:firstRow="1" w:lastRow="0" w:firstColumn="1" w:lastColumn="0" w:noHBand="0" w:noVBand="1"/>
      </w:tblPr>
      <w:tblGrid>
        <w:gridCol w:w="3861"/>
        <w:gridCol w:w="1011"/>
        <w:gridCol w:w="973"/>
        <w:gridCol w:w="1153"/>
        <w:gridCol w:w="1134"/>
        <w:gridCol w:w="1134"/>
      </w:tblGrid>
      <w:tr w:rsidR="00A53AD7" w:rsidRPr="00A53AD7" w14:paraId="75267721" w14:textId="77777777" w:rsidTr="00085B59">
        <w:trPr>
          <w:trHeight w:val="1521"/>
          <w:tblHeader/>
        </w:trPr>
        <w:tc>
          <w:tcPr>
            <w:tcW w:w="3861" w:type="dxa"/>
            <w:vMerge w:val="restart"/>
            <w:tcBorders>
              <w:top w:val="double" w:sz="4" w:space="0" w:color="auto"/>
              <w:left w:val="double" w:sz="4" w:space="0" w:color="auto"/>
              <w:bottom w:val="nil"/>
              <w:right w:val="single" w:sz="4" w:space="0" w:color="auto"/>
            </w:tcBorders>
            <w:shd w:val="clear" w:color="auto" w:fill="auto"/>
            <w:vAlign w:val="center"/>
            <w:hideMark/>
          </w:tcPr>
          <w:p w14:paraId="29FCE93A"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Категория работников</w:t>
            </w:r>
          </w:p>
        </w:tc>
        <w:tc>
          <w:tcPr>
            <w:tcW w:w="1984" w:type="dxa"/>
            <w:gridSpan w:val="2"/>
            <w:tcBorders>
              <w:top w:val="double" w:sz="4" w:space="0" w:color="auto"/>
              <w:left w:val="single" w:sz="4" w:space="0" w:color="auto"/>
              <w:bottom w:val="single" w:sz="4" w:space="0" w:color="000000"/>
              <w:right w:val="single" w:sz="4" w:space="0" w:color="auto"/>
            </w:tcBorders>
            <w:shd w:val="clear" w:color="auto" w:fill="auto"/>
            <w:vAlign w:val="center"/>
            <w:hideMark/>
          </w:tcPr>
          <w:p w14:paraId="668C19BB"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hAnsi="Times New Roman"/>
                <w:sz w:val="20"/>
                <w:szCs w:val="20"/>
              </w:rPr>
              <w:t>Отношение средней заработной платы медицинских работников к среднемесячному доходу от трудовой деятельности в АО, %</w:t>
            </w:r>
          </w:p>
        </w:tc>
        <w:tc>
          <w:tcPr>
            <w:tcW w:w="1153" w:type="dxa"/>
            <w:vMerge w:val="restart"/>
            <w:tcBorders>
              <w:top w:val="double" w:sz="4" w:space="0" w:color="auto"/>
              <w:left w:val="single" w:sz="4" w:space="0" w:color="auto"/>
              <w:right w:val="single" w:sz="4" w:space="0" w:color="auto"/>
            </w:tcBorders>
            <w:shd w:val="clear" w:color="auto" w:fill="auto"/>
            <w:vAlign w:val="center"/>
            <w:hideMark/>
          </w:tcPr>
          <w:p w14:paraId="27C3F599"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выполнения</w:t>
            </w:r>
          </w:p>
        </w:tc>
        <w:tc>
          <w:tcPr>
            <w:tcW w:w="2268" w:type="dxa"/>
            <w:gridSpan w:val="2"/>
            <w:tcBorders>
              <w:top w:val="double" w:sz="4" w:space="0" w:color="auto"/>
              <w:left w:val="single" w:sz="4" w:space="0" w:color="auto"/>
              <w:bottom w:val="single" w:sz="4" w:space="0" w:color="000000"/>
              <w:right w:val="single" w:sz="4" w:space="0" w:color="auto"/>
            </w:tcBorders>
            <w:shd w:val="clear" w:color="auto" w:fill="auto"/>
            <w:vAlign w:val="center"/>
            <w:hideMark/>
          </w:tcPr>
          <w:p w14:paraId="23B1C02E"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Средняя заработная плата медицинских работников за 2019 год, руб.</w:t>
            </w:r>
          </w:p>
        </w:tc>
      </w:tr>
      <w:tr w:rsidR="00A53AD7" w:rsidRPr="00A53AD7" w14:paraId="73FC7590" w14:textId="77777777" w:rsidTr="00085B59">
        <w:trPr>
          <w:trHeight w:val="227"/>
          <w:tblHeader/>
        </w:trPr>
        <w:tc>
          <w:tcPr>
            <w:tcW w:w="3861" w:type="dxa"/>
            <w:vMerge/>
            <w:tcBorders>
              <w:left w:val="double" w:sz="4" w:space="0" w:color="auto"/>
              <w:bottom w:val="single" w:sz="4" w:space="0" w:color="auto"/>
              <w:right w:val="single" w:sz="4" w:space="0" w:color="auto"/>
            </w:tcBorders>
            <w:vAlign w:val="center"/>
          </w:tcPr>
          <w:p w14:paraId="5FB525B2"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p>
        </w:tc>
        <w:tc>
          <w:tcPr>
            <w:tcW w:w="1011" w:type="dxa"/>
            <w:tcBorders>
              <w:top w:val="single" w:sz="4" w:space="0" w:color="auto"/>
              <w:left w:val="single" w:sz="4" w:space="0" w:color="auto"/>
              <w:bottom w:val="single" w:sz="4" w:space="0" w:color="000000"/>
              <w:right w:val="single" w:sz="4" w:space="0" w:color="auto"/>
            </w:tcBorders>
            <w:vAlign w:val="center"/>
          </w:tcPr>
          <w:p w14:paraId="43740F7B"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973" w:type="dxa"/>
            <w:tcBorders>
              <w:top w:val="single" w:sz="4" w:space="0" w:color="auto"/>
              <w:left w:val="single" w:sz="4" w:space="0" w:color="auto"/>
              <w:bottom w:val="single" w:sz="4" w:space="0" w:color="000000"/>
              <w:right w:val="single" w:sz="4" w:space="0" w:color="auto"/>
            </w:tcBorders>
            <w:vAlign w:val="center"/>
          </w:tcPr>
          <w:p w14:paraId="5682B826"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c>
          <w:tcPr>
            <w:tcW w:w="1153" w:type="dxa"/>
            <w:vMerge/>
            <w:tcBorders>
              <w:left w:val="single" w:sz="4" w:space="0" w:color="auto"/>
              <w:bottom w:val="single" w:sz="4" w:space="0" w:color="000000"/>
              <w:right w:val="single" w:sz="4" w:space="0" w:color="auto"/>
            </w:tcBorders>
            <w:vAlign w:val="center"/>
          </w:tcPr>
          <w:p w14:paraId="6FDF7B2B"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p>
        </w:tc>
        <w:tc>
          <w:tcPr>
            <w:tcW w:w="1134" w:type="dxa"/>
            <w:tcBorders>
              <w:top w:val="single" w:sz="4" w:space="0" w:color="auto"/>
              <w:left w:val="single" w:sz="4" w:space="0" w:color="auto"/>
              <w:bottom w:val="single" w:sz="4" w:space="0" w:color="000000"/>
              <w:right w:val="single" w:sz="4" w:space="0" w:color="auto"/>
            </w:tcBorders>
            <w:vAlign w:val="center"/>
          </w:tcPr>
          <w:p w14:paraId="6B851A01"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1134" w:type="dxa"/>
            <w:tcBorders>
              <w:top w:val="single" w:sz="4" w:space="0" w:color="auto"/>
              <w:left w:val="single" w:sz="4" w:space="0" w:color="auto"/>
              <w:bottom w:val="single" w:sz="4" w:space="0" w:color="000000"/>
              <w:right w:val="single" w:sz="4" w:space="0" w:color="auto"/>
            </w:tcBorders>
            <w:vAlign w:val="center"/>
          </w:tcPr>
          <w:p w14:paraId="6C437C17" w14:textId="77777777" w:rsidR="00A67DEE" w:rsidRPr="00A53AD7" w:rsidRDefault="00A67DEE" w:rsidP="00085B5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r>
      <w:tr w:rsidR="00A53AD7" w:rsidRPr="00A53AD7" w14:paraId="0B56A46E" w14:textId="77777777" w:rsidTr="00E56137">
        <w:trPr>
          <w:trHeight w:val="429"/>
        </w:trPr>
        <w:tc>
          <w:tcPr>
            <w:tcW w:w="3861" w:type="dxa"/>
            <w:tcBorders>
              <w:top w:val="nil"/>
              <w:left w:val="double" w:sz="4" w:space="0" w:color="auto"/>
              <w:bottom w:val="single" w:sz="4" w:space="0" w:color="auto"/>
              <w:right w:val="single" w:sz="4" w:space="0" w:color="auto"/>
            </w:tcBorders>
            <w:shd w:val="clear" w:color="auto" w:fill="auto"/>
            <w:hideMark/>
          </w:tcPr>
          <w:p w14:paraId="37371537" w14:textId="77777777" w:rsidR="00A67DEE" w:rsidRPr="00A53AD7" w:rsidRDefault="00A67DEE" w:rsidP="00085B5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Врачи и работники медицинских организаций, имеющие высшее медицинское (фармацевтическое) или иное высшее образование, предоставляющие медицинские услуги (обеспечивающие предоставление медицинских услуг)</w:t>
            </w:r>
          </w:p>
        </w:tc>
        <w:tc>
          <w:tcPr>
            <w:tcW w:w="1011" w:type="dxa"/>
            <w:tcBorders>
              <w:top w:val="nil"/>
              <w:left w:val="nil"/>
              <w:bottom w:val="single" w:sz="4" w:space="0" w:color="auto"/>
              <w:right w:val="single" w:sz="4" w:space="0" w:color="auto"/>
            </w:tcBorders>
            <w:shd w:val="clear" w:color="auto" w:fill="auto"/>
            <w:noWrap/>
            <w:vAlign w:val="center"/>
          </w:tcPr>
          <w:p w14:paraId="5735BB37"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200</w:t>
            </w:r>
          </w:p>
        </w:tc>
        <w:tc>
          <w:tcPr>
            <w:tcW w:w="973" w:type="dxa"/>
            <w:tcBorders>
              <w:top w:val="nil"/>
              <w:left w:val="nil"/>
              <w:bottom w:val="single" w:sz="4" w:space="0" w:color="auto"/>
              <w:right w:val="single" w:sz="4" w:space="0" w:color="auto"/>
            </w:tcBorders>
            <w:shd w:val="clear" w:color="auto" w:fill="auto"/>
            <w:noWrap/>
            <w:vAlign w:val="center"/>
          </w:tcPr>
          <w:p w14:paraId="435C1DD3"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199,9</w:t>
            </w:r>
          </w:p>
        </w:tc>
        <w:tc>
          <w:tcPr>
            <w:tcW w:w="1153" w:type="dxa"/>
            <w:tcBorders>
              <w:top w:val="nil"/>
              <w:left w:val="nil"/>
              <w:bottom w:val="single" w:sz="4" w:space="0" w:color="auto"/>
              <w:right w:val="single" w:sz="4" w:space="0" w:color="auto"/>
            </w:tcBorders>
            <w:shd w:val="clear" w:color="auto" w:fill="auto"/>
            <w:noWrap/>
            <w:vAlign w:val="center"/>
          </w:tcPr>
          <w:p w14:paraId="3FF0F042"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99,95</w:t>
            </w:r>
          </w:p>
        </w:tc>
        <w:tc>
          <w:tcPr>
            <w:tcW w:w="1134" w:type="dxa"/>
            <w:tcBorders>
              <w:top w:val="nil"/>
              <w:left w:val="nil"/>
              <w:bottom w:val="single" w:sz="4" w:space="0" w:color="auto"/>
              <w:right w:val="single" w:sz="4" w:space="0" w:color="auto"/>
            </w:tcBorders>
            <w:shd w:val="clear" w:color="auto" w:fill="auto"/>
            <w:noWrap/>
            <w:vAlign w:val="center"/>
          </w:tcPr>
          <w:p w14:paraId="193DEE31"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84 210,0</w:t>
            </w:r>
          </w:p>
        </w:tc>
        <w:tc>
          <w:tcPr>
            <w:tcW w:w="1134" w:type="dxa"/>
            <w:tcBorders>
              <w:top w:val="nil"/>
              <w:left w:val="nil"/>
              <w:bottom w:val="single" w:sz="4" w:space="0" w:color="auto"/>
              <w:right w:val="single" w:sz="4" w:space="0" w:color="auto"/>
            </w:tcBorders>
            <w:shd w:val="clear" w:color="auto" w:fill="auto"/>
            <w:noWrap/>
            <w:vAlign w:val="center"/>
          </w:tcPr>
          <w:p w14:paraId="77E79BF3"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84 169,0</w:t>
            </w:r>
          </w:p>
        </w:tc>
      </w:tr>
      <w:tr w:rsidR="00A53AD7" w:rsidRPr="00A53AD7" w14:paraId="4C35C6A9" w14:textId="77777777" w:rsidTr="00085B59">
        <w:trPr>
          <w:trHeight w:val="885"/>
        </w:trPr>
        <w:tc>
          <w:tcPr>
            <w:tcW w:w="3861" w:type="dxa"/>
            <w:tcBorders>
              <w:top w:val="nil"/>
              <w:left w:val="double" w:sz="4" w:space="0" w:color="auto"/>
              <w:bottom w:val="single" w:sz="4" w:space="0" w:color="auto"/>
              <w:right w:val="single" w:sz="4" w:space="0" w:color="auto"/>
            </w:tcBorders>
            <w:shd w:val="clear" w:color="auto" w:fill="auto"/>
            <w:hideMark/>
          </w:tcPr>
          <w:p w14:paraId="15EEB9D9" w14:textId="77777777" w:rsidR="00A67DEE" w:rsidRPr="00A53AD7" w:rsidRDefault="00A67DEE" w:rsidP="00085B5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Средний медицинский (фармацевтический) персонал (персонал, обеспечивающий условия для предоставления медицинских услуг)</w:t>
            </w:r>
          </w:p>
        </w:tc>
        <w:tc>
          <w:tcPr>
            <w:tcW w:w="1011" w:type="dxa"/>
            <w:tcBorders>
              <w:top w:val="nil"/>
              <w:left w:val="nil"/>
              <w:bottom w:val="single" w:sz="4" w:space="0" w:color="auto"/>
              <w:right w:val="single" w:sz="4" w:space="0" w:color="auto"/>
            </w:tcBorders>
            <w:shd w:val="clear" w:color="auto" w:fill="auto"/>
            <w:noWrap/>
            <w:vAlign w:val="center"/>
          </w:tcPr>
          <w:p w14:paraId="025C81EB"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73" w:type="dxa"/>
            <w:tcBorders>
              <w:top w:val="nil"/>
              <w:left w:val="nil"/>
              <w:bottom w:val="single" w:sz="4" w:space="0" w:color="auto"/>
              <w:right w:val="single" w:sz="4" w:space="0" w:color="auto"/>
            </w:tcBorders>
            <w:shd w:val="clear" w:color="auto" w:fill="auto"/>
            <w:noWrap/>
            <w:vAlign w:val="center"/>
          </w:tcPr>
          <w:p w14:paraId="31F0BDCF"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100,9</w:t>
            </w:r>
          </w:p>
        </w:tc>
        <w:tc>
          <w:tcPr>
            <w:tcW w:w="1153" w:type="dxa"/>
            <w:tcBorders>
              <w:top w:val="nil"/>
              <w:left w:val="nil"/>
              <w:bottom w:val="single" w:sz="4" w:space="0" w:color="auto"/>
              <w:right w:val="single" w:sz="4" w:space="0" w:color="auto"/>
            </w:tcBorders>
            <w:shd w:val="clear" w:color="auto" w:fill="auto"/>
            <w:noWrap/>
            <w:vAlign w:val="center"/>
          </w:tcPr>
          <w:p w14:paraId="7BAE72D5"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100,88</w:t>
            </w:r>
          </w:p>
        </w:tc>
        <w:tc>
          <w:tcPr>
            <w:tcW w:w="1134" w:type="dxa"/>
            <w:tcBorders>
              <w:top w:val="nil"/>
              <w:left w:val="nil"/>
              <w:bottom w:val="single" w:sz="4" w:space="0" w:color="auto"/>
              <w:right w:val="single" w:sz="4" w:space="0" w:color="auto"/>
            </w:tcBorders>
            <w:shd w:val="clear" w:color="auto" w:fill="auto"/>
            <w:noWrap/>
            <w:vAlign w:val="center"/>
          </w:tcPr>
          <w:p w14:paraId="6E7854E8"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42 105,0</w:t>
            </w:r>
          </w:p>
        </w:tc>
        <w:tc>
          <w:tcPr>
            <w:tcW w:w="1134" w:type="dxa"/>
            <w:tcBorders>
              <w:top w:val="nil"/>
              <w:left w:val="nil"/>
              <w:bottom w:val="single" w:sz="4" w:space="0" w:color="auto"/>
              <w:right w:val="single" w:sz="4" w:space="0" w:color="auto"/>
            </w:tcBorders>
            <w:shd w:val="clear" w:color="auto" w:fill="auto"/>
            <w:noWrap/>
            <w:vAlign w:val="center"/>
          </w:tcPr>
          <w:p w14:paraId="195E281E"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42 476,0</w:t>
            </w:r>
          </w:p>
        </w:tc>
      </w:tr>
      <w:tr w:rsidR="00A67DEE" w:rsidRPr="00A53AD7" w14:paraId="54E6DEAB" w14:textId="77777777" w:rsidTr="00085B59">
        <w:trPr>
          <w:trHeight w:val="675"/>
        </w:trPr>
        <w:tc>
          <w:tcPr>
            <w:tcW w:w="3861" w:type="dxa"/>
            <w:tcBorders>
              <w:top w:val="nil"/>
              <w:left w:val="double" w:sz="4" w:space="0" w:color="auto"/>
              <w:bottom w:val="double" w:sz="4" w:space="0" w:color="auto"/>
              <w:right w:val="single" w:sz="4" w:space="0" w:color="auto"/>
            </w:tcBorders>
            <w:shd w:val="clear" w:color="auto" w:fill="auto"/>
            <w:hideMark/>
          </w:tcPr>
          <w:p w14:paraId="46133156" w14:textId="77777777" w:rsidR="00A67DEE" w:rsidRPr="00A53AD7" w:rsidRDefault="00A67DEE" w:rsidP="00085B5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Младший медицинский (фармацевтический) персонал (персонал, обеспечивающий условия для предоставления медицинских услуг)</w:t>
            </w:r>
          </w:p>
        </w:tc>
        <w:tc>
          <w:tcPr>
            <w:tcW w:w="1011" w:type="dxa"/>
            <w:tcBorders>
              <w:top w:val="nil"/>
              <w:left w:val="nil"/>
              <w:bottom w:val="double" w:sz="4" w:space="0" w:color="auto"/>
              <w:right w:val="single" w:sz="4" w:space="0" w:color="auto"/>
            </w:tcBorders>
            <w:shd w:val="clear" w:color="auto" w:fill="auto"/>
            <w:noWrap/>
            <w:vAlign w:val="center"/>
          </w:tcPr>
          <w:p w14:paraId="69589851"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73" w:type="dxa"/>
            <w:tcBorders>
              <w:top w:val="nil"/>
              <w:left w:val="nil"/>
              <w:bottom w:val="double" w:sz="4" w:space="0" w:color="auto"/>
              <w:right w:val="single" w:sz="4" w:space="0" w:color="auto"/>
            </w:tcBorders>
            <w:shd w:val="clear" w:color="auto" w:fill="auto"/>
            <w:noWrap/>
            <w:vAlign w:val="center"/>
          </w:tcPr>
          <w:p w14:paraId="06D840BC"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99,0</w:t>
            </w:r>
          </w:p>
        </w:tc>
        <w:tc>
          <w:tcPr>
            <w:tcW w:w="1153" w:type="dxa"/>
            <w:tcBorders>
              <w:top w:val="nil"/>
              <w:left w:val="nil"/>
              <w:bottom w:val="double" w:sz="4" w:space="0" w:color="auto"/>
              <w:right w:val="single" w:sz="4" w:space="0" w:color="auto"/>
            </w:tcBorders>
            <w:shd w:val="clear" w:color="auto" w:fill="auto"/>
            <w:noWrap/>
            <w:vAlign w:val="center"/>
          </w:tcPr>
          <w:p w14:paraId="31380F97"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99,04</w:t>
            </w:r>
          </w:p>
        </w:tc>
        <w:tc>
          <w:tcPr>
            <w:tcW w:w="1134" w:type="dxa"/>
            <w:tcBorders>
              <w:top w:val="nil"/>
              <w:left w:val="nil"/>
              <w:bottom w:val="double" w:sz="4" w:space="0" w:color="auto"/>
              <w:right w:val="single" w:sz="4" w:space="0" w:color="auto"/>
            </w:tcBorders>
            <w:shd w:val="clear" w:color="auto" w:fill="auto"/>
            <w:noWrap/>
            <w:vAlign w:val="center"/>
          </w:tcPr>
          <w:p w14:paraId="4EBADC89"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42 105,0</w:t>
            </w:r>
          </w:p>
        </w:tc>
        <w:tc>
          <w:tcPr>
            <w:tcW w:w="1134" w:type="dxa"/>
            <w:tcBorders>
              <w:top w:val="nil"/>
              <w:left w:val="nil"/>
              <w:bottom w:val="double" w:sz="4" w:space="0" w:color="auto"/>
              <w:right w:val="single" w:sz="4" w:space="0" w:color="auto"/>
            </w:tcBorders>
            <w:shd w:val="clear" w:color="auto" w:fill="auto"/>
            <w:noWrap/>
            <w:vAlign w:val="center"/>
          </w:tcPr>
          <w:p w14:paraId="71AB54F3" w14:textId="77777777" w:rsidR="00A67DEE" w:rsidRPr="00A53AD7" w:rsidRDefault="00A67DEE" w:rsidP="00085B5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41 702,0</w:t>
            </w:r>
          </w:p>
        </w:tc>
      </w:tr>
    </w:tbl>
    <w:p w14:paraId="37F931A5" w14:textId="77777777" w:rsidR="00A67DEE" w:rsidRPr="00A53AD7" w:rsidRDefault="00A67DEE" w:rsidP="00E034C4">
      <w:pPr>
        <w:spacing w:after="0" w:line="240" w:lineRule="auto"/>
        <w:ind w:firstLine="851"/>
        <w:jc w:val="both"/>
        <w:rPr>
          <w:rFonts w:ascii="Times New Roman" w:hAnsi="Times New Roman"/>
          <w:sz w:val="28"/>
          <w:szCs w:val="28"/>
        </w:rPr>
      </w:pPr>
    </w:p>
    <w:p w14:paraId="6DF25384" w14:textId="156EC14E"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таблицы следует, что по итогам 2019 года, целевые значения соотношений средней заработной платы, установленные Указом Президента РФ от 07.05.2012 № 597, в целом по государственным медицинским учреждениям Архангельской области, подведомственным минздраву АО, достигнуты только по категории</w:t>
      </w:r>
      <w:r w:rsidR="00FD1445" w:rsidRPr="00A53AD7">
        <w:rPr>
          <w:rFonts w:ascii="Times New Roman" w:hAnsi="Times New Roman"/>
          <w:sz w:val="28"/>
          <w:szCs w:val="28"/>
        </w:rPr>
        <w:t xml:space="preserve"> </w:t>
      </w:r>
      <w:r w:rsidRPr="00A53AD7">
        <w:rPr>
          <w:rFonts w:ascii="Times New Roman" w:hAnsi="Times New Roman"/>
          <w:sz w:val="28"/>
          <w:szCs w:val="28"/>
        </w:rPr>
        <w:t>медицинского персонала «Средний медицинский (фармацевтический) персонал (персонал, обеспечивающий условия для предоставления медицинских услуг)».</w:t>
      </w:r>
    </w:p>
    <w:p w14:paraId="047AE139" w14:textId="77777777" w:rsidR="00A67DEE" w:rsidRPr="00A53AD7" w:rsidRDefault="00A67DEE" w:rsidP="00E034C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недостижение показателей также повлияло превышение на 1,6 процента фактически сложившегося показателя по среднемесячному доходу от трудовой деятельности за 2019 год по региону над прогнозным показателем (41 428,50 рублей – прогнозный показатель, 42 105 рублей – сложился по году по статистическим данным).</w:t>
      </w:r>
    </w:p>
    <w:p w14:paraId="791EFB54" w14:textId="77777777" w:rsidR="00A67DEE" w:rsidRPr="00A53AD7" w:rsidRDefault="00A67DEE" w:rsidP="00A67DEE">
      <w:pPr>
        <w:spacing w:after="0" w:line="240" w:lineRule="auto"/>
        <w:ind w:firstLine="851"/>
        <w:jc w:val="both"/>
        <w:rPr>
          <w:rFonts w:ascii="Times New Roman" w:hAnsi="Times New Roman"/>
          <w:sz w:val="28"/>
          <w:szCs w:val="28"/>
        </w:rPr>
      </w:pPr>
    </w:p>
    <w:p w14:paraId="349CCB7D" w14:textId="77777777"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не достигли целевого значения соотношения среднемесячной заработной платы:</w:t>
      </w:r>
    </w:p>
    <w:p w14:paraId="7E374B8E" w14:textId="2BF27D4B"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u w:val="single"/>
        </w:rPr>
        <w:t>по категории «врачи»:</w:t>
      </w:r>
      <w:r w:rsidRPr="00A53AD7">
        <w:rPr>
          <w:rFonts w:ascii="Times New Roman" w:hAnsi="Times New Roman"/>
          <w:sz w:val="28"/>
          <w:szCs w:val="28"/>
        </w:rPr>
        <w:t xml:space="preserve"> 35 учреждений из 60 или 58,3%. Наибольшее отставание допустили: ГАУЗ АО «Архангельская областная клиническая стоматологическая поликлиника» (159,25% против 200%),</w:t>
      </w:r>
      <w:r w:rsidR="00FD1445" w:rsidRPr="00A53AD7">
        <w:rPr>
          <w:rFonts w:ascii="Times New Roman" w:hAnsi="Times New Roman"/>
          <w:sz w:val="28"/>
          <w:szCs w:val="28"/>
        </w:rPr>
        <w:t xml:space="preserve"> </w:t>
      </w:r>
      <w:r w:rsidRPr="00A53AD7">
        <w:rPr>
          <w:rFonts w:ascii="Times New Roman" w:hAnsi="Times New Roman"/>
          <w:sz w:val="28"/>
          <w:szCs w:val="28"/>
        </w:rPr>
        <w:t>ГБУЗ АО «Архангельская городская клиническая больница № 7» (159,98% против 200%), ГБУЗ АО «Ильинская ЦРБ» (151,2% против 200%), ГБУЗ АО «Верхнетоемская ЦРБ» (171,99% против 200%) и другие. Значительно перевыполнены соотношения среднемесячной заработной платы по категории «врачи»: в ГБУЗ АО «Котласский психоневрологический диспансер» (254,3%), ГБУЗ АО «Северодвинская станция скорой медицинской помощи» (247,65%), ГАУЗ АО «Архангельская областная офтальмологическая больница (231,81%) и другие.</w:t>
      </w:r>
    </w:p>
    <w:p w14:paraId="2A5A7BED" w14:textId="37E88375"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u w:val="single"/>
        </w:rPr>
        <w:t>по категории «средний медицинский персонал»:</w:t>
      </w:r>
      <w:r w:rsidRPr="00A53AD7">
        <w:rPr>
          <w:rFonts w:ascii="Times New Roman" w:hAnsi="Times New Roman"/>
          <w:sz w:val="28"/>
          <w:szCs w:val="28"/>
        </w:rPr>
        <w:t xml:space="preserve"> 30 учреждений из 60 или 50%. Наибольшее отставание допустили: ГБУЗ АО «Няндомская ЦРБ» (75,13 % против 100%),</w:t>
      </w:r>
      <w:r w:rsidR="00FD1445" w:rsidRPr="00A53AD7">
        <w:rPr>
          <w:rFonts w:ascii="Times New Roman" w:hAnsi="Times New Roman"/>
          <w:sz w:val="28"/>
          <w:szCs w:val="28"/>
        </w:rPr>
        <w:t xml:space="preserve"> </w:t>
      </w:r>
      <w:r w:rsidRPr="00A53AD7">
        <w:rPr>
          <w:rFonts w:ascii="Times New Roman" w:hAnsi="Times New Roman"/>
          <w:sz w:val="28"/>
          <w:szCs w:val="28"/>
        </w:rPr>
        <w:t>ГБУЗ АО «Ильинская ЦРБ» (75,47 % против 100%), ГАУЗ АО «Вельская стоматологическая поликлиника» (77,86% против 100%),</w:t>
      </w:r>
      <w:r w:rsidR="00FD1445" w:rsidRPr="00A53AD7">
        <w:rPr>
          <w:rFonts w:ascii="Times New Roman" w:hAnsi="Times New Roman"/>
          <w:sz w:val="28"/>
          <w:szCs w:val="28"/>
        </w:rPr>
        <w:t xml:space="preserve"> </w:t>
      </w:r>
      <w:r w:rsidRPr="00A53AD7">
        <w:rPr>
          <w:rFonts w:ascii="Times New Roman" w:hAnsi="Times New Roman"/>
          <w:sz w:val="28"/>
          <w:szCs w:val="28"/>
        </w:rPr>
        <w:t>ГБУЗ АО «Холмогорская центральная районная больница» (86,42% против 100%) и другие. Перевыполнены соотношения среднемесячной заработной платы по категории «средний медицинский персонал»: в ГБУЗ АО «Северодвинская станция скорой медицинской помощи» (126,16%), ГБУЗ АО «Архангельская городская клиническая поликлиника №1» (123,36%) и другие.</w:t>
      </w:r>
    </w:p>
    <w:p w14:paraId="6C50F7F4" w14:textId="47C429FD" w:rsidR="00A67DEE" w:rsidRPr="00A53AD7" w:rsidRDefault="00A67DEE" w:rsidP="00CA1DDD">
      <w:pPr>
        <w:numPr>
          <w:ilvl w:val="0"/>
          <w:numId w:val="3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u w:val="single"/>
        </w:rPr>
        <w:t>по категории «младший медицинский персонал»:</w:t>
      </w:r>
      <w:r w:rsidRPr="00A53AD7">
        <w:rPr>
          <w:rFonts w:ascii="Times New Roman" w:hAnsi="Times New Roman"/>
          <w:sz w:val="28"/>
          <w:szCs w:val="28"/>
        </w:rPr>
        <w:t xml:space="preserve"> 11 учреждений из 17, в которых штатными расписаниями предусмотрены должности, относящиеся к младшему медицинскому персоналу или 64,7%. Наибольшее отставание допустили:</w:t>
      </w:r>
      <w:r w:rsidR="00FD1445" w:rsidRPr="00A53AD7">
        <w:rPr>
          <w:rFonts w:ascii="Times New Roman" w:hAnsi="Times New Roman"/>
          <w:sz w:val="28"/>
          <w:szCs w:val="28"/>
        </w:rPr>
        <w:t xml:space="preserve"> </w:t>
      </w:r>
      <w:r w:rsidRPr="00A53AD7">
        <w:rPr>
          <w:rFonts w:ascii="Times New Roman" w:hAnsi="Times New Roman"/>
          <w:sz w:val="28"/>
          <w:szCs w:val="28"/>
        </w:rPr>
        <w:t>ГБУЗ АО допустили «Мезенская центральная районная больница» (60,92 % против 100%),</w:t>
      </w:r>
      <w:r w:rsidR="00FD1445" w:rsidRPr="00A53AD7">
        <w:rPr>
          <w:rFonts w:ascii="Times New Roman" w:hAnsi="Times New Roman"/>
          <w:sz w:val="28"/>
          <w:szCs w:val="28"/>
        </w:rPr>
        <w:t xml:space="preserve"> </w:t>
      </w:r>
      <w:r w:rsidRPr="00A53AD7">
        <w:rPr>
          <w:rFonts w:ascii="Times New Roman" w:hAnsi="Times New Roman"/>
          <w:sz w:val="28"/>
          <w:szCs w:val="28"/>
        </w:rPr>
        <w:t>ГБУЗ АО «Архангельская городская клиническая поликлиника №2» (73,05% против 100%)</w:t>
      </w:r>
      <w:r w:rsidR="00FD1445" w:rsidRPr="00A53AD7">
        <w:rPr>
          <w:rFonts w:ascii="Times New Roman" w:hAnsi="Times New Roman"/>
          <w:sz w:val="28"/>
          <w:szCs w:val="28"/>
        </w:rPr>
        <w:t xml:space="preserve"> </w:t>
      </w:r>
      <w:r w:rsidRPr="00A53AD7">
        <w:rPr>
          <w:rFonts w:ascii="Times New Roman" w:hAnsi="Times New Roman"/>
          <w:sz w:val="28"/>
          <w:szCs w:val="28"/>
        </w:rPr>
        <w:t>и другие.</w:t>
      </w:r>
    </w:p>
    <w:p w14:paraId="79454911" w14:textId="77E0C5AD"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w:t>
      </w:r>
      <w:r w:rsidR="00FD1445" w:rsidRPr="00A53AD7">
        <w:rPr>
          <w:rFonts w:ascii="Times New Roman" w:hAnsi="Times New Roman"/>
          <w:sz w:val="28"/>
          <w:szCs w:val="28"/>
        </w:rPr>
        <w:t xml:space="preserve"> </w:t>
      </w:r>
      <w:r w:rsidRPr="00A53AD7">
        <w:rPr>
          <w:rFonts w:ascii="Times New Roman" w:hAnsi="Times New Roman"/>
          <w:sz w:val="28"/>
          <w:szCs w:val="28"/>
        </w:rPr>
        <w:t>значительную дифференциацию заработных плат медицинских работников в медицинских организациях, относящихся к одинаковому уровню.</w:t>
      </w:r>
    </w:p>
    <w:p w14:paraId="72111413" w14:textId="77777777" w:rsidR="00A67DEE" w:rsidRPr="00A53AD7" w:rsidRDefault="00A67DEE" w:rsidP="00A67DEE">
      <w:pPr>
        <w:spacing w:after="0" w:line="240" w:lineRule="auto"/>
        <w:ind w:firstLine="851"/>
        <w:jc w:val="both"/>
        <w:rPr>
          <w:rFonts w:ascii="Times New Roman" w:hAnsi="Times New Roman"/>
          <w:sz w:val="28"/>
          <w:szCs w:val="28"/>
        </w:rPr>
      </w:pPr>
    </w:p>
    <w:p w14:paraId="4E757A03" w14:textId="77777777" w:rsidR="00E56137" w:rsidRPr="00A53AD7" w:rsidRDefault="00E56137" w:rsidP="00E56137">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Кадровое обеспечение медицинских организаций (форма 62) представлено ниже.</w:t>
      </w:r>
    </w:p>
    <w:tbl>
      <w:tblPr>
        <w:tblW w:w="9248" w:type="dxa"/>
        <w:tblInd w:w="85" w:type="dxa"/>
        <w:tblLook w:val="04A0" w:firstRow="1" w:lastRow="0" w:firstColumn="1" w:lastColumn="0" w:noHBand="0" w:noVBand="1"/>
      </w:tblPr>
      <w:tblGrid>
        <w:gridCol w:w="2302"/>
        <w:gridCol w:w="1187"/>
        <w:gridCol w:w="1134"/>
        <w:gridCol w:w="1194"/>
        <w:gridCol w:w="1163"/>
        <w:gridCol w:w="1131"/>
        <w:gridCol w:w="1137"/>
      </w:tblGrid>
      <w:tr w:rsidR="00A53AD7" w:rsidRPr="00A53AD7" w14:paraId="73E044E3" w14:textId="77777777" w:rsidTr="00E56137">
        <w:trPr>
          <w:trHeight w:val="130"/>
        </w:trPr>
        <w:tc>
          <w:tcPr>
            <w:tcW w:w="2302" w:type="dxa"/>
            <w:vMerge w:val="restart"/>
            <w:tcBorders>
              <w:top w:val="double" w:sz="6" w:space="0" w:color="auto"/>
              <w:left w:val="double" w:sz="6" w:space="0" w:color="auto"/>
              <w:bottom w:val="single" w:sz="4" w:space="0" w:color="000000"/>
              <w:right w:val="single" w:sz="4" w:space="0" w:color="auto"/>
            </w:tcBorders>
            <w:shd w:val="clear" w:color="auto" w:fill="auto"/>
            <w:vAlign w:val="center"/>
            <w:hideMark/>
          </w:tcPr>
          <w:p w14:paraId="44BE3512"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наименование специальности</w:t>
            </w:r>
          </w:p>
        </w:tc>
        <w:tc>
          <w:tcPr>
            <w:tcW w:w="2321" w:type="dxa"/>
            <w:gridSpan w:val="2"/>
            <w:tcBorders>
              <w:top w:val="double" w:sz="6" w:space="0" w:color="auto"/>
              <w:left w:val="nil"/>
              <w:bottom w:val="single" w:sz="4" w:space="0" w:color="auto"/>
              <w:right w:val="single" w:sz="4" w:space="0" w:color="auto"/>
            </w:tcBorders>
            <w:shd w:val="clear" w:color="auto" w:fill="auto"/>
            <w:vAlign w:val="center"/>
            <w:hideMark/>
          </w:tcPr>
          <w:p w14:paraId="5006D2B3"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Штатные должности</w:t>
            </w:r>
          </w:p>
        </w:tc>
        <w:tc>
          <w:tcPr>
            <w:tcW w:w="2357" w:type="dxa"/>
            <w:gridSpan w:val="2"/>
            <w:tcBorders>
              <w:top w:val="double" w:sz="6" w:space="0" w:color="auto"/>
              <w:left w:val="nil"/>
              <w:bottom w:val="single" w:sz="4" w:space="0" w:color="auto"/>
              <w:right w:val="single" w:sz="4" w:space="0" w:color="auto"/>
            </w:tcBorders>
            <w:shd w:val="clear" w:color="auto" w:fill="auto"/>
            <w:vAlign w:val="center"/>
            <w:hideMark/>
          </w:tcPr>
          <w:p w14:paraId="30CDEABB"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Занятые должности</w:t>
            </w:r>
          </w:p>
        </w:tc>
        <w:tc>
          <w:tcPr>
            <w:tcW w:w="2268" w:type="dxa"/>
            <w:gridSpan w:val="2"/>
            <w:tcBorders>
              <w:top w:val="double" w:sz="6" w:space="0" w:color="auto"/>
              <w:left w:val="nil"/>
              <w:bottom w:val="single" w:sz="4" w:space="0" w:color="auto"/>
              <w:right w:val="double" w:sz="6" w:space="0" w:color="000000"/>
            </w:tcBorders>
            <w:shd w:val="clear" w:color="auto" w:fill="auto"/>
            <w:vAlign w:val="center"/>
            <w:hideMark/>
          </w:tcPr>
          <w:p w14:paraId="66B2C945"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Физические лица</w:t>
            </w:r>
          </w:p>
        </w:tc>
      </w:tr>
      <w:tr w:rsidR="00A53AD7" w:rsidRPr="00A53AD7" w14:paraId="069A2002" w14:textId="77777777" w:rsidTr="00E56137">
        <w:trPr>
          <w:trHeight w:val="35"/>
        </w:trPr>
        <w:tc>
          <w:tcPr>
            <w:tcW w:w="2302" w:type="dxa"/>
            <w:vMerge/>
            <w:tcBorders>
              <w:top w:val="double" w:sz="6" w:space="0" w:color="auto"/>
              <w:left w:val="double" w:sz="6" w:space="0" w:color="auto"/>
              <w:bottom w:val="single" w:sz="4" w:space="0" w:color="000000"/>
              <w:right w:val="single" w:sz="4" w:space="0" w:color="auto"/>
            </w:tcBorders>
            <w:vAlign w:val="center"/>
            <w:hideMark/>
          </w:tcPr>
          <w:p w14:paraId="7DBFBD16" w14:textId="77777777" w:rsidR="00E56137" w:rsidRPr="00A53AD7" w:rsidRDefault="00E56137" w:rsidP="00BB4597">
            <w:pPr>
              <w:spacing w:after="0" w:line="240" w:lineRule="auto"/>
              <w:rPr>
                <w:rFonts w:ascii="Times New Roman" w:eastAsia="Times New Roman" w:hAnsi="Times New Roman"/>
                <w:sz w:val="16"/>
                <w:szCs w:val="16"/>
                <w:lang w:eastAsia="ru-RU"/>
              </w:rPr>
            </w:pPr>
          </w:p>
        </w:tc>
        <w:tc>
          <w:tcPr>
            <w:tcW w:w="1187" w:type="dxa"/>
            <w:tcBorders>
              <w:top w:val="nil"/>
              <w:left w:val="nil"/>
              <w:bottom w:val="single" w:sz="4" w:space="0" w:color="auto"/>
              <w:right w:val="single" w:sz="4" w:space="0" w:color="auto"/>
            </w:tcBorders>
            <w:shd w:val="clear" w:color="auto" w:fill="auto"/>
            <w:vAlign w:val="center"/>
            <w:hideMark/>
          </w:tcPr>
          <w:p w14:paraId="3FC5E250"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2018 год</w:t>
            </w:r>
          </w:p>
        </w:tc>
        <w:tc>
          <w:tcPr>
            <w:tcW w:w="1134" w:type="dxa"/>
            <w:tcBorders>
              <w:top w:val="nil"/>
              <w:left w:val="nil"/>
              <w:bottom w:val="single" w:sz="4" w:space="0" w:color="auto"/>
              <w:right w:val="single" w:sz="4" w:space="0" w:color="auto"/>
            </w:tcBorders>
            <w:shd w:val="clear" w:color="auto" w:fill="auto"/>
            <w:vAlign w:val="center"/>
            <w:hideMark/>
          </w:tcPr>
          <w:p w14:paraId="2587F181"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c>
          <w:tcPr>
            <w:tcW w:w="1194" w:type="dxa"/>
            <w:tcBorders>
              <w:top w:val="nil"/>
              <w:left w:val="nil"/>
              <w:bottom w:val="single" w:sz="4" w:space="0" w:color="auto"/>
              <w:right w:val="single" w:sz="4" w:space="0" w:color="auto"/>
            </w:tcBorders>
            <w:shd w:val="clear" w:color="auto" w:fill="auto"/>
            <w:vAlign w:val="center"/>
            <w:hideMark/>
          </w:tcPr>
          <w:p w14:paraId="6B489E8E"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2018 год</w:t>
            </w:r>
          </w:p>
        </w:tc>
        <w:tc>
          <w:tcPr>
            <w:tcW w:w="1163" w:type="dxa"/>
            <w:tcBorders>
              <w:top w:val="nil"/>
              <w:left w:val="nil"/>
              <w:bottom w:val="single" w:sz="4" w:space="0" w:color="auto"/>
              <w:right w:val="single" w:sz="4" w:space="0" w:color="auto"/>
            </w:tcBorders>
            <w:shd w:val="clear" w:color="auto" w:fill="auto"/>
            <w:vAlign w:val="center"/>
            <w:hideMark/>
          </w:tcPr>
          <w:p w14:paraId="5BF78C5E"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c>
          <w:tcPr>
            <w:tcW w:w="1131" w:type="dxa"/>
            <w:tcBorders>
              <w:top w:val="nil"/>
              <w:left w:val="nil"/>
              <w:bottom w:val="single" w:sz="4" w:space="0" w:color="auto"/>
              <w:right w:val="single" w:sz="4" w:space="0" w:color="auto"/>
            </w:tcBorders>
            <w:shd w:val="clear" w:color="auto" w:fill="auto"/>
            <w:vAlign w:val="center"/>
            <w:hideMark/>
          </w:tcPr>
          <w:p w14:paraId="42D0E9CF"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2018 год</w:t>
            </w:r>
          </w:p>
        </w:tc>
        <w:tc>
          <w:tcPr>
            <w:tcW w:w="1137" w:type="dxa"/>
            <w:tcBorders>
              <w:top w:val="nil"/>
              <w:left w:val="nil"/>
              <w:bottom w:val="single" w:sz="4" w:space="0" w:color="auto"/>
              <w:right w:val="double" w:sz="6" w:space="0" w:color="auto"/>
            </w:tcBorders>
            <w:shd w:val="clear" w:color="auto" w:fill="auto"/>
            <w:vAlign w:val="center"/>
            <w:hideMark/>
          </w:tcPr>
          <w:p w14:paraId="63A6871C" w14:textId="77777777" w:rsidR="00E56137" w:rsidRPr="00A53AD7" w:rsidRDefault="00E56137" w:rsidP="00BB459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r>
      <w:tr w:rsidR="00A53AD7" w:rsidRPr="00A53AD7" w14:paraId="15C6C7EE" w14:textId="77777777" w:rsidTr="00E56137">
        <w:trPr>
          <w:trHeight w:val="130"/>
        </w:trPr>
        <w:tc>
          <w:tcPr>
            <w:tcW w:w="2302" w:type="dxa"/>
            <w:tcBorders>
              <w:top w:val="nil"/>
              <w:left w:val="double" w:sz="6" w:space="0" w:color="auto"/>
              <w:bottom w:val="single" w:sz="4" w:space="0" w:color="auto"/>
              <w:right w:val="single" w:sz="4" w:space="0" w:color="auto"/>
            </w:tcBorders>
            <w:shd w:val="clear" w:color="auto" w:fill="auto"/>
            <w:vAlign w:val="center"/>
            <w:hideMark/>
          </w:tcPr>
          <w:p w14:paraId="61CA903E" w14:textId="77777777" w:rsidR="00E56137" w:rsidRPr="00A53AD7" w:rsidRDefault="00E56137" w:rsidP="00BB459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врачи</w:t>
            </w:r>
          </w:p>
        </w:tc>
        <w:tc>
          <w:tcPr>
            <w:tcW w:w="1187" w:type="dxa"/>
            <w:tcBorders>
              <w:top w:val="nil"/>
              <w:left w:val="nil"/>
              <w:bottom w:val="single" w:sz="4" w:space="0" w:color="auto"/>
              <w:right w:val="single" w:sz="4" w:space="0" w:color="auto"/>
            </w:tcBorders>
            <w:shd w:val="clear" w:color="auto" w:fill="auto"/>
            <w:vAlign w:val="center"/>
            <w:hideMark/>
          </w:tcPr>
          <w:p w14:paraId="330C781C"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8 091,00</w:t>
            </w:r>
          </w:p>
        </w:tc>
        <w:tc>
          <w:tcPr>
            <w:tcW w:w="1134" w:type="dxa"/>
            <w:tcBorders>
              <w:top w:val="nil"/>
              <w:left w:val="nil"/>
              <w:bottom w:val="single" w:sz="4" w:space="0" w:color="auto"/>
              <w:right w:val="single" w:sz="4" w:space="0" w:color="auto"/>
            </w:tcBorders>
            <w:shd w:val="clear" w:color="auto" w:fill="auto"/>
            <w:vAlign w:val="center"/>
            <w:hideMark/>
          </w:tcPr>
          <w:p w14:paraId="00689EFF"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8071,50</w:t>
            </w:r>
          </w:p>
        </w:tc>
        <w:tc>
          <w:tcPr>
            <w:tcW w:w="1194" w:type="dxa"/>
            <w:tcBorders>
              <w:top w:val="nil"/>
              <w:left w:val="nil"/>
              <w:bottom w:val="single" w:sz="4" w:space="0" w:color="auto"/>
              <w:right w:val="single" w:sz="4" w:space="0" w:color="auto"/>
            </w:tcBorders>
            <w:shd w:val="clear" w:color="auto" w:fill="auto"/>
            <w:vAlign w:val="center"/>
            <w:hideMark/>
          </w:tcPr>
          <w:p w14:paraId="48A8416D"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6 428,55</w:t>
            </w:r>
          </w:p>
        </w:tc>
        <w:tc>
          <w:tcPr>
            <w:tcW w:w="1163" w:type="dxa"/>
            <w:tcBorders>
              <w:top w:val="nil"/>
              <w:left w:val="nil"/>
              <w:bottom w:val="single" w:sz="4" w:space="0" w:color="auto"/>
              <w:right w:val="single" w:sz="4" w:space="0" w:color="auto"/>
            </w:tcBorders>
            <w:shd w:val="clear" w:color="auto" w:fill="auto"/>
            <w:vAlign w:val="center"/>
            <w:hideMark/>
          </w:tcPr>
          <w:p w14:paraId="79E2D38E"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6 298,65</w:t>
            </w:r>
          </w:p>
        </w:tc>
        <w:tc>
          <w:tcPr>
            <w:tcW w:w="1131" w:type="dxa"/>
            <w:tcBorders>
              <w:top w:val="nil"/>
              <w:left w:val="nil"/>
              <w:bottom w:val="single" w:sz="4" w:space="0" w:color="auto"/>
              <w:right w:val="single" w:sz="4" w:space="0" w:color="auto"/>
            </w:tcBorders>
            <w:shd w:val="clear" w:color="auto" w:fill="auto"/>
            <w:vAlign w:val="center"/>
            <w:hideMark/>
          </w:tcPr>
          <w:p w14:paraId="0DDAD877"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5 449,00</w:t>
            </w:r>
          </w:p>
        </w:tc>
        <w:tc>
          <w:tcPr>
            <w:tcW w:w="1137" w:type="dxa"/>
            <w:tcBorders>
              <w:top w:val="nil"/>
              <w:left w:val="nil"/>
              <w:bottom w:val="single" w:sz="4" w:space="0" w:color="auto"/>
              <w:right w:val="double" w:sz="6" w:space="0" w:color="auto"/>
            </w:tcBorders>
            <w:shd w:val="clear" w:color="auto" w:fill="auto"/>
            <w:vAlign w:val="center"/>
            <w:hideMark/>
          </w:tcPr>
          <w:p w14:paraId="1FAEF3AC"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5 405,00</w:t>
            </w:r>
          </w:p>
        </w:tc>
      </w:tr>
      <w:tr w:rsidR="00A53AD7" w:rsidRPr="00A53AD7" w14:paraId="04BB195C" w14:textId="77777777" w:rsidTr="00E56137">
        <w:trPr>
          <w:trHeight w:val="450"/>
        </w:trPr>
        <w:tc>
          <w:tcPr>
            <w:tcW w:w="2302" w:type="dxa"/>
            <w:tcBorders>
              <w:top w:val="nil"/>
              <w:left w:val="double" w:sz="6" w:space="0" w:color="auto"/>
              <w:bottom w:val="single" w:sz="4" w:space="0" w:color="auto"/>
              <w:right w:val="single" w:sz="4" w:space="0" w:color="auto"/>
            </w:tcBorders>
            <w:shd w:val="clear" w:color="auto" w:fill="auto"/>
            <w:vAlign w:val="center"/>
            <w:hideMark/>
          </w:tcPr>
          <w:p w14:paraId="05F0C304" w14:textId="77777777" w:rsidR="00E56137" w:rsidRPr="00A53AD7" w:rsidRDefault="00E56137" w:rsidP="00BB459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средний медицинский персонал</w:t>
            </w:r>
          </w:p>
        </w:tc>
        <w:tc>
          <w:tcPr>
            <w:tcW w:w="1187" w:type="dxa"/>
            <w:tcBorders>
              <w:top w:val="nil"/>
              <w:left w:val="nil"/>
              <w:bottom w:val="single" w:sz="4" w:space="0" w:color="auto"/>
              <w:right w:val="single" w:sz="4" w:space="0" w:color="auto"/>
            </w:tcBorders>
            <w:shd w:val="clear" w:color="auto" w:fill="auto"/>
            <w:vAlign w:val="center"/>
            <w:hideMark/>
          </w:tcPr>
          <w:p w14:paraId="007623DC"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16 307,75</w:t>
            </w:r>
          </w:p>
        </w:tc>
        <w:tc>
          <w:tcPr>
            <w:tcW w:w="1134" w:type="dxa"/>
            <w:tcBorders>
              <w:top w:val="nil"/>
              <w:left w:val="nil"/>
              <w:bottom w:val="single" w:sz="4" w:space="0" w:color="auto"/>
              <w:right w:val="single" w:sz="4" w:space="0" w:color="auto"/>
            </w:tcBorders>
            <w:shd w:val="clear" w:color="auto" w:fill="auto"/>
            <w:vAlign w:val="center"/>
            <w:hideMark/>
          </w:tcPr>
          <w:p w14:paraId="4F4A5343"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15 964,50</w:t>
            </w:r>
          </w:p>
        </w:tc>
        <w:tc>
          <w:tcPr>
            <w:tcW w:w="1194" w:type="dxa"/>
            <w:tcBorders>
              <w:top w:val="nil"/>
              <w:left w:val="nil"/>
              <w:bottom w:val="single" w:sz="4" w:space="0" w:color="auto"/>
              <w:right w:val="single" w:sz="4" w:space="0" w:color="auto"/>
            </w:tcBorders>
            <w:shd w:val="clear" w:color="auto" w:fill="auto"/>
            <w:vAlign w:val="center"/>
            <w:hideMark/>
          </w:tcPr>
          <w:p w14:paraId="71690ED9"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14 059,70</w:t>
            </w:r>
          </w:p>
        </w:tc>
        <w:tc>
          <w:tcPr>
            <w:tcW w:w="1163" w:type="dxa"/>
            <w:tcBorders>
              <w:top w:val="nil"/>
              <w:left w:val="nil"/>
              <w:bottom w:val="single" w:sz="4" w:space="0" w:color="auto"/>
              <w:right w:val="single" w:sz="4" w:space="0" w:color="auto"/>
            </w:tcBorders>
            <w:shd w:val="clear" w:color="auto" w:fill="auto"/>
            <w:vAlign w:val="center"/>
            <w:hideMark/>
          </w:tcPr>
          <w:p w14:paraId="666B9A82"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13 604,05</w:t>
            </w:r>
          </w:p>
        </w:tc>
        <w:tc>
          <w:tcPr>
            <w:tcW w:w="1131" w:type="dxa"/>
            <w:tcBorders>
              <w:top w:val="nil"/>
              <w:left w:val="nil"/>
              <w:bottom w:val="single" w:sz="4" w:space="0" w:color="auto"/>
              <w:right w:val="single" w:sz="4" w:space="0" w:color="auto"/>
            </w:tcBorders>
            <w:shd w:val="clear" w:color="auto" w:fill="auto"/>
            <w:vAlign w:val="center"/>
            <w:hideMark/>
          </w:tcPr>
          <w:p w14:paraId="49135AD9"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12 657,00</w:t>
            </w:r>
          </w:p>
        </w:tc>
        <w:tc>
          <w:tcPr>
            <w:tcW w:w="1137" w:type="dxa"/>
            <w:tcBorders>
              <w:top w:val="nil"/>
              <w:left w:val="nil"/>
              <w:bottom w:val="single" w:sz="4" w:space="0" w:color="auto"/>
              <w:right w:val="double" w:sz="6" w:space="0" w:color="auto"/>
            </w:tcBorders>
            <w:shd w:val="clear" w:color="auto" w:fill="auto"/>
            <w:vAlign w:val="center"/>
            <w:hideMark/>
          </w:tcPr>
          <w:p w14:paraId="069106B6"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12 371,00</w:t>
            </w:r>
          </w:p>
        </w:tc>
      </w:tr>
      <w:tr w:rsidR="00E56137" w:rsidRPr="00A53AD7" w14:paraId="6B58ADA2" w14:textId="77777777" w:rsidTr="00E56137">
        <w:trPr>
          <w:trHeight w:val="409"/>
        </w:trPr>
        <w:tc>
          <w:tcPr>
            <w:tcW w:w="2302" w:type="dxa"/>
            <w:tcBorders>
              <w:top w:val="nil"/>
              <w:left w:val="double" w:sz="6" w:space="0" w:color="auto"/>
              <w:bottom w:val="double" w:sz="6" w:space="0" w:color="auto"/>
              <w:right w:val="single" w:sz="4" w:space="0" w:color="auto"/>
            </w:tcBorders>
            <w:shd w:val="clear" w:color="auto" w:fill="auto"/>
            <w:vAlign w:val="center"/>
            <w:hideMark/>
          </w:tcPr>
          <w:p w14:paraId="18C89C77" w14:textId="77777777" w:rsidR="00E56137" w:rsidRPr="00A53AD7" w:rsidRDefault="00E56137" w:rsidP="00BB459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младший медицинский персонал</w:t>
            </w:r>
          </w:p>
        </w:tc>
        <w:tc>
          <w:tcPr>
            <w:tcW w:w="1187" w:type="dxa"/>
            <w:tcBorders>
              <w:top w:val="nil"/>
              <w:left w:val="nil"/>
              <w:bottom w:val="double" w:sz="6" w:space="0" w:color="auto"/>
              <w:right w:val="single" w:sz="4" w:space="0" w:color="auto"/>
            </w:tcBorders>
            <w:shd w:val="clear" w:color="auto" w:fill="auto"/>
            <w:vAlign w:val="center"/>
            <w:hideMark/>
          </w:tcPr>
          <w:p w14:paraId="632743FD"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625,50</w:t>
            </w:r>
          </w:p>
        </w:tc>
        <w:tc>
          <w:tcPr>
            <w:tcW w:w="1134" w:type="dxa"/>
            <w:tcBorders>
              <w:top w:val="nil"/>
              <w:left w:val="nil"/>
              <w:bottom w:val="double" w:sz="6" w:space="0" w:color="auto"/>
              <w:right w:val="single" w:sz="4" w:space="0" w:color="auto"/>
            </w:tcBorders>
            <w:shd w:val="clear" w:color="auto" w:fill="auto"/>
            <w:vAlign w:val="center"/>
            <w:hideMark/>
          </w:tcPr>
          <w:p w14:paraId="74683B0A"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596,36</w:t>
            </w:r>
          </w:p>
        </w:tc>
        <w:tc>
          <w:tcPr>
            <w:tcW w:w="1194" w:type="dxa"/>
            <w:tcBorders>
              <w:top w:val="nil"/>
              <w:left w:val="nil"/>
              <w:bottom w:val="double" w:sz="6" w:space="0" w:color="auto"/>
              <w:right w:val="single" w:sz="4" w:space="0" w:color="auto"/>
            </w:tcBorders>
            <w:shd w:val="clear" w:color="auto" w:fill="auto"/>
            <w:vAlign w:val="center"/>
            <w:hideMark/>
          </w:tcPr>
          <w:p w14:paraId="5DADF1AE"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536,35</w:t>
            </w:r>
          </w:p>
        </w:tc>
        <w:tc>
          <w:tcPr>
            <w:tcW w:w="1163" w:type="dxa"/>
            <w:tcBorders>
              <w:top w:val="nil"/>
              <w:left w:val="nil"/>
              <w:bottom w:val="double" w:sz="6" w:space="0" w:color="auto"/>
              <w:right w:val="single" w:sz="4" w:space="0" w:color="auto"/>
            </w:tcBorders>
            <w:shd w:val="clear" w:color="auto" w:fill="auto"/>
            <w:vAlign w:val="center"/>
            <w:hideMark/>
          </w:tcPr>
          <w:p w14:paraId="751D9492"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506,41</w:t>
            </w:r>
          </w:p>
        </w:tc>
        <w:tc>
          <w:tcPr>
            <w:tcW w:w="1131" w:type="dxa"/>
            <w:tcBorders>
              <w:top w:val="nil"/>
              <w:left w:val="nil"/>
              <w:bottom w:val="double" w:sz="6" w:space="0" w:color="auto"/>
              <w:right w:val="single" w:sz="4" w:space="0" w:color="auto"/>
            </w:tcBorders>
            <w:shd w:val="clear" w:color="auto" w:fill="auto"/>
            <w:vAlign w:val="center"/>
            <w:hideMark/>
          </w:tcPr>
          <w:p w14:paraId="0AD9A89E"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499,00</w:t>
            </w:r>
          </w:p>
        </w:tc>
        <w:tc>
          <w:tcPr>
            <w:tcW w:w="1137" w:type="dxa"/>
            <w:tcBorders>
              <w:top w:val="nil"/>
              <w:left w:val="nil"/>
              <w:bottom w:val="double" w:sz="6" w:space="0" w:color="auto"/>
              <w:right w:val="double" w:sz="6" w:space="0" w:color="auto"/>
            </w:tcBorders>
            <w:shd w:val="clear" w:color="auto" w:fill="auto"/>
            <w:vAlign w:val="center"/>
            <w:hideMark/>
          </w:tcPr>
          <w:p w14:paraId="5B266760" w14:textId="77777777" w:rsidR="00E56137" w:rsidRPr="00A53AD7" w:rsidRDefault="00E56137" w:rsidP="00BB45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479,00</w:t>
            </w:r>
          </w:p>
        </w:tc>
      </w:tr>
    </w:tbl>
    <w:p w14:paraId="4409FEF0" w14:textId="77777777" w:rsidR="00E56137" w:rsidRPr="00A53AD7" w:rsidRDefault="00E56137" w:rsidP="00E56137">
      <w:pPr>
        <w:spacing w:after="0" w:line="240" w:lineRule="auto"/>
        <w:ind w:firstLine="851"/>
        <w:jc w:val="both"/>
        <w:rPr>
          <w:rFonts w:ascii="Times New Roman" w:hAnsi="Times New Roman"/>
          <w:sz w:val="28"/>
          <w:szCs w:val="28"/>
        </w:rPr>
      </w:pPr>
    </w:p>
    <w:p w14:paraId="61A2D232" w14:textId="77777777"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представленным в таблице, количество работников (физических лиц) по категориям медицинского персонала на территории Архангельской области значительно меньше количества штатных ставок.</w:t>
      </w:r>
    </w:p>
    <w:p w14:paraId="3E66AEB4" w14:textId="77777777" w:rsidR="00A67DEE" w:rsidRPr="00A53AD7" w:rsidRDefault="00A67DEE" w:rsidP="00A67DEE">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количество работников (физических лиц) по состоянию на 01.01.2020:</w:t>
      </w:r>
    </w:p>
    <w:p w14:paraId="04490C28" w14:textId="3550E74D" w:rsidR="00A67DEE" w:rsidRPr="00A53AD7" w:rsidRDefault="00A67DEE" w:rsidP="009E7C4F">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занимающих врачебные должности – 5 405,0 ед. или 67 % от</w:t>
      </w:r>
      <w:r w:rsidR="00FD1445" w:rsidRPr="00A53AD7">
        <w:rPr>
          <w:rFonts w:ascii="Times New Roman" w:hAnsi="Times New Roman"/>
          <w:sz w:val="28"/>
          <w:szCs w:val="28"/>
        </w:rPr>
        <w:t xml:space="preserve"> </w:t>
      </w:r>
      <w:r w:rsidRPr="00A53AD7">
        <w:rPr>
          <w:rFonts w:ascii="Times New Roman" w:hAnsi="Times New Roman"/>
          <w:sz w:val="28"/>
          <w:szCs w:val="28"/>
        </w:rPr>
        <w:t>штатных должностей;</w:t>
      </w:r>
    </w:p>
    <w:p w14:paraId="01640911" w14:textId="3EA6BB0F" w:rsidR="00A67DEE" w:rsidRPr="00A53AD7" w:rsidRDefault="00A67DEE" w:rsidP="009E7C4F">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занимающих должности среднего медицинского персонала – 12 371 ед.</w:t>
      </w:r>
      <w:r w:rsidR="008D493D" w:rsidRPr="00A53AD7">
        <w:rPr>
          <w:rFonts w:ascii="Times New Roman" w:hAnsi="Times New Roman"/>
          <w:sz w:val="28"/>
          <w:szCs w:val="28"/>
        </w:rPr>
        <w:t xml:space="preserve"> </w:t>
      </w:r>
      <w:r w:rsidRPr="00A53AD7">
        <w:rPr>
          <w:rFonts w:ascii="Times New Roman" w:hAnsi="Times New Roman"/>
          <w:sz w:val="28"/>
          <w:szCs w:val="28"/>
        </w:rPr>
        <w:t>или 77,5 % от штатных</w:t>
      </w:r>
      <w:r w:rsidR="00FD1445" w:rsidRPr="00A53AD7">
        <w:rPr>
          <w:rFonts w:ascii="Times New Roman" w:hAnsi="Times New Roman"/>
          <w:sz w:val="28"/>
          <w:szCs w:val="28"/>
        </w:rPr>
        <w:t xml:space="preserve"> </w:t>
      </w:r>
      <w:r w:rsidRPr="00A53AD7">
        <w:rPr>
          <w:rFonts w:ascii="Times New Roman" w:hAnsi="Times New Roman"/>
          <w:sz w:val="28"/>
          <w:szCs w:val="28"/>
        </w:rPr>
        <w:t>должностей;</w:t>
      </w:r>
    </w:p>
    <w:p w14:paraId="75BC7CEE" w14:textId="5D5A6971" w:rsidR="00A67DEE" w:rsidRPr="00A53AD7" w:rsidRDefault="00A67DEE" w:rsidP="009E7C4F">
      <w:pPr>
        <w:spacing w:after="0" w:line="240" w:lineRule="auto"/>
        <w:ind w:firstLine="851"/>
        <w:jc w:val="both"/>
        <w:rPr>
          <w:rFonts w:ascii="Times New Roman" w:hAnsi="Times New Roman"/>
          <w:sz w:val="28"/>
          <w:szCs w:val="28"/>
        </w:rPr>
      </w:pPr>
      <w:r w:rsidRPr="00A53AD7">
        <w:rPr>
          <w:rFonts w:ascii="Times New Roman" w:hAnsi="Times New Roman"/>
          <w:sz w:val="28"/>
          <w:szCs w:val="28"/>
        </w:rPr>
        <w:t>‒</w:t>
      </w:r>
      <w:r w:rsidRPr="00A53AD7">
        <w:rPr>
          <w:rFonts w:ascii="Times New Roman" w:hAnsi="Times New Roman"/>
          <w:sz w:val="28"/>
          <w:szCs w:val="28"/>
        </w:rPr>
        <w:tab/>
        <w:t>занимающих должности младшего медицинского персонала – 479 ед. или 80,3 %</w:t>
      </w:r>
      <w:r w:rsidR="00FD1445" w:rsidRPr="00A53AD7">
        <w:rPr>
          <w:rFonts w:ascii="Times New Roman" w:hAnsi="Times New Roman"/>
          <w:sz w:val="28"/>
          <w:szCs w:val="28"/>
        </w:rPr>
        <w:t xml:space="preserve"> </w:t>
      </w:r>
      <w:r w:rsidRPr="00A53AD7">
        <w:rPr>
          <w:rFonts w:ascii="Times New Roman" w:hAnsi="Times New Roman"/>
          <w:sz w:val="28"/>
          <w:szCs w:val="28"/>
        </w:rPr>
        <w:t>от штатных должностей.</w:t>
      </w:r>
    </w:p>
    <w:p w14:paraId="5B11B9A9" w14:textId="77777777" w:rsidR="00A67DEE" w:rsidRPr="00A53AD7" w:rsidRDefault="00A67DEE" w:rsidP="009E7C4F">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врачебные должности и должности медицинского персонала обрабатываются в основном путем совмещения (внутреннего и внешнего) и за счет выполнения работ по совмещению профессий, увеличения объема работ по вакантным должностям за отсутствующего работника.</w:t>
      </w:r>
    </w:p>
    <w:p w14:paraId="66DBBAC3" w14:textId="1F248EF9" w:rsidR="003F5D50" w:rsidRPr="00A53AD7" w:rsidRDefault="003F5D50" w:rsidP="003F5D50">
      <w:pPr>
        <w:pStyle w:val="3"/>
        <w:spacing w:line="240" w:lineRule="auto"/>
        <w:jc w:val="center"/>
        <w:rPr>
          <w:rFonts w:ascii="Times New Roman" w:hAnsi="Times New Roman"/>
          <w:b w:val="0"/>
          <w:sz w:val="28"/>
          <w:szCs w:val="28"/>
          <w:u w:val="single"/>
        </w:rPr>
      </w:pPr>
      <w:bookmarkStart w:id="71" w:name="_Toc42006723"/>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 xml:space="preserve">. Государственная программа </w:t>
      </w:r>
      <w:r w:rsidRPr="00A53AD7">
        <w:rPr>
          <w:rFonts w:ascii="Times New Roman" w:hAnsi="Times New Roman"/>
          <w:b w:val="0"/>
          <w:sz w:val="28"/>
          <w:szCs w:val="28"/>
          <w:u w:val="single"/>
          <w:lang w:val="ru-RU"/>
        </w:rPr>
        <w:t xml:space="preserve">Архангельской области </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Развитие образования и науки Архангельской области</w:t>
      </w:r>
      <w:r w:rsidRPr="00A53AD7">
        <w:rPr>
          <w:rFonts w:ascii="Times New Roman" w:hAnsi="Times New Roman"/>
          <w:b w:val="0"/>
          <w:sz w:val="28"/>
          <w:szCs w:val="28"/>
          <w:u w:val="single"/>
        </w:rPr>
        <w:t>»</w:t>
      </w:r>
      <w:bookmarkEnd w:id="71"/>
    </w:p>
    <w:p w14:paraId="7A4F2C62"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Основной объем расходов по разделу «Образование» приходится на реализацию государственной программы «Развитие образования и науки Архангельской области».</w:t>
      </w:r>
    </w:p>
    <w:p w14:paraId="4A66B1CC"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Государственная программа Архангельской области «Развитие образования и науки Архангельской области утверждена постановлением правительства Архангельской области от 12.10.2012 № 463-пп (далее – госпрограмма).</w:t>
      </w:r>
    </w:p>
    <w:p w14:paraId="60BFC53C"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госпрограмме в редакции, действующей на 01.01.2019, на 2019 год утверждено 22 278,4 млн.руб., в том числе средства федерального бюджета – 1 335,8 млн.руб., средства областного бюджета – 20 640,3 млн.руб., средства местных бюджетов – 48,1 млн.руб., внебюджетные источники – 254,2 млн.руб. </w:t>
      </w:r>
    </w:p>
    <w:p w14:paraId="37FE7EBE" w14:textId="7B40B149"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госпрограмме на 2019 год в редакции, действующей на 31.12.2019, на реализацию мероприятий госпрограммы предусмотрено 24 572,3 млн.руб. </w:t>
      </w:r>
      <w:r w:rsidRPr="00A53AD7">
        <w:rPr>
          <w:rFonts w:ascii="Times New Roman" w:hAnsi="Times New Roman"/>
          <w:sz w:val="28"/>
          <w:szCs w:val="28"/>
        </w:rPr>
        <w:br/>
        <w:t xml:space="preserve">В таблице </w:t>
      </w:r>
      <w:r w:rsidR="004D73C3" w:rsidRPr="00A53AD7">
        <w:rPr>
          <w:rFonts w:ascii="Times New Roman" w:hAnsi="Times New Roman"/>
          <w:sz w:val="28"/>
          <w:szCs w:val="28"/>
        </w:rPr>
        <w:t>37</w:t>
      </w:r>
      <w:r w:rsidRPr="00A53AD7">
        <w:rPr>
          <w:rFonts w:ascii="Times New Roman" w:hAnsi="Times New Roman"/>
          <w:sz w:val="28"/>
          <w:szCs w:val="28"/>
        </w:rPr>
        <w:t xml:space="preserve"> представлены бюджетные ассигнования на реализацию мероприятий госпрограммы на 2019 год в разрезе источников финансирования.</w:t>
      </w:r>
    </w:p>
    <w:p w14:paraId="395100BC" w14:textId="77777777" w:rsidR="00332CFA" w:rsidRPr="00A53AD7" w:rsidRDefault="00332CFA" w:rsidP="00332CFA">
      <w:pPr>
        <w:spacing w:after="0" w:line="240" w:lineRule="auto"/>
        <w:ind w:firstLine="851"/>
        <w:jc w:val="both"/>
        <w:rPr>
          <w:rFonts w:ascii="Times New Roman" w:hAnsi="Times New Roman"/>
          <w:sz w:val="28"/>
          <w:szCs w:val="28"/>
          <w:highlight w:val="cyan"/>
        </w:rPr>
      </w:pPr>
    </w:p>
    <w:p w14:paraId="73961199" w14:textId="7AFDE602" w:rsidR="00332CFA" w:rsidRPr="00A53AD7" w:rsidRDefault="00332CFA" w:rsidP="00332CFA">
      <w:pPr>
        <w:widowControl w:val="0"/>
        <w:autoSpaceDE w:val="0"/>
        <w:autoSpaceDN w:val="0"/>
        <w:spacing w:after="0" w:line="240" w:lineRule="auto"/>
        <w:jc w:val="both"/>
        <w:rPr>
          <w:rFonts w:ascii="Times New Roman" w:eastAsia="Times New Roman" w:hAnsi="Times New Roman" w:cs="Calibri"/>
          <w:sz w:val="24"/>
          <w:szCs w:val="24"/>
          <w:lang w:eastAsia="ru-RU"/>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37</w:t>
      </w:r>
      <w:r w:rsidRPr="00A53AD7">
        <w:rPr>
          <w:rFonts w:ascii="Times New Roman" w:hAnsi="Times New Roman"/>
          <w:noProof/>
          <w:sz w:val="24"/>
          <w:szCs w:val="24"/>
        </w:rPr>
        <w:fldChar w:fldCharType="end"/>
      </w:r>
      <w:r w:rsidRPr="00A53AD7">
        <w:rPr>
          <w:rFonts w:ascii="Times New Roman" w:hAnsi="Times New Roman"/>
          <w:noProof/>
          <w:sz w:val="24"/>
          <w:szCs w:val="24"/>
        </w:rPr>
        <w:t xml:space="preserve">. </w:t>
      </w:r>
      <w:r w:rsidRPr="00A53AD7">
        <w:rPr>
          <w:rFonts w:ascii="Times New Roman" w:eastAsia="Times New Roman" w:hAnsi="Times New Roman" w:cs="Calibri"/>
          <w:sz w:val="24"/>
          <w:szCs w:val="24"/>
          <w:lang w:eastAsia="ru-RU"/>
        </w:rPr>
        <w:t>Объем финансирования на реализацию мероприятий госпрограммы</w:t>
      </w:r>
    </w:p>
    <w:tbl>
      <w:tblPr>
        <w:tblW w:w="937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5"/>
        <w:gridCol w:w="1985"/>
        <w:gridCol w:w="1700"/>
      </w:tblGrid>
      <w:tr w:rsidR="00A53AD7" w:rsidRPr="00A53AD7" w14:paraId="5C8E879E" w14:textId="77777777" w:rsidTr="00332CFA">
        <w:trPr>
          <w:trHeight w:val="399"/>
          <w:tblHeader/>
        </w:trPr>
        <w:tc>
          <w:tcPr>
            <w:tcW w:w="5685" w:type="dxa"/>
            <w:tcBorders>
              <w:top w:val="double" w:sz="4" w:space="0" w:color="auto"/>
              <w:left w:val="double" w:sz="4" w:space="0" w:color="auto"/>
            </w:tcBorders>
            <w:shd w:val="clear" w:color="auto" w:fill="auto"/>
            <w:vAlign w:val="center"/>
            <w:hideMark/>
          </w:tcPr>
          <w:p w14:paraId="5F2E0A99" w14:textId="77777777" w:rsidR="00332CFA" w:rsidRPr="00A53AD7" w:rsidRDefault="00332CFA" w:rsidP="00332CF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Объем финансирования на 2018 год на реализацию мероприятий госпрограммы</w:t>
            </w:r>
          </w:p>
        </w:tc>
        <w:tc>
          <w:tcPr>
            <w:tcW w:w="1985" w:type="dxa"/>
            <w:tcBorders>
              <w:top w:val="double" w:sz="4" w:space="0" w:color="auto"/>
            </w:tcBorders>
            <w:shd w:val="clear" w:color="auto" w:fill="auto"/>
            <w:vAlign w:val="center"/>
            <w:hideMark/>
          </w:tcPr>
          <w:p w14:paraId="04597EB4" w14:textId="77777777" w:rsidR="00332CFA" w:rsidRPr="00A53AD7" w:rsidRDefault="00332CFA" w:rsidP="00332CF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01.01.2019</w:t>
            </w:r>
          </w:p>
        </w:tc>
        <w:tc>
          <w:tcPr>
            <w:tcW w:w="1700" w:type="dxa"/>
            <w:tcBorders>
              <w:top w:val="double" w:sz="4" w:space="0" w:color="auto"/>
              <w:right w:val="double" w:sz="4" w:space="0" w:color="auto"/>
            </w:tcBorders>
            <w:shd w:val="clear" w:color="auto" w:fill="auto"/>
            <w:vAlign w:val="center"/>
            <w:hideMark/>
          </w:tcPr>
          <w:p w14:paraId="785E812D" w14:textId="77777777" w:rsidR="00332CFA" w:rsidRPr="00A53AD7" w:rsidRDefault="00332CFA" w:rsidP="00332CF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31.12.2019</w:t>
            </w:r>
          </w:p>
        </w:tc>
      </w:tr>
      <w:tr w:rsidR="00A53AD7" w:rsidRPr="00A53AD7" w14:paraId="21A38FDD" w14:textId="77777777" w:rsidTr="00332CFA">
        <w:trPr>
          <w:trHeight w:val="205"/>
        </w:trPr>
        <w:tc>
          <w:tcPr>
            <w:tcW w:w="5685" w:type="dxa"/>
            <w:tcBorders>
              <w:left w:val="double" w:sz="4" w:space="0" w:color="auto"/>
            </w:tcBorders>
            <w:shd w:val="clear" w:color="auto" w:fill="auto"/>
            <w:noWrap/>
            <w:vAlign w:val="bottom"/>
            <w:hideMark/>
          </w:tcPr>
          <w:p w14:paraId="62F5A45E" w14:textId="77777777" w:rsidR="00332CFA" w:rsidRPr="00A53AD7" w:rsidRDefault="00332CFA" w:rsidP="00332CF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1985" w:type="dxa"/>
            <w:shd w:val="clear" w:color="auto" w:fill="auto"/>
            <w:noWrap/>
            <w:vAlign w:val="bottom"/>
            <w:hideMark/>
          </w:tcPr>
          <w:p w14:paraId="04AFA08A"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1 335,8</w:t>
            </w:r>
          </w:p>
        </w:tc>
        <w:tc>
          <w:tcPr>
            <w:tcW w:w="1700" w:type="dxa"/>
            <w:tcBorders>
              <w:right w:val="double" w:sz="4" w:space="0" w:color="auto"/>
            </w:tcBorders>
            <w:shd w:val="clear" w:color="auto" w:fill="auto"/>
            <w:noWrap/>
            <w:vAlign w:val="bottom"/>
            <w:hideMark/>
          </w:tcPr>
          <w:p w14:paraId="60AE814F"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3 002,7</w:t>
            </w:r>
          </w:p>
        </w:tc>
      </w:tr>
      <w:tr w:rsidR="00A53AD7" w:rsidRPr="00A53AD7" w14:paraId="188776CE" w14:textId="77777777" w:rsidTr="00332CFA">
        <w:trPr>
          <w:trHeight w:val="238"/>
        </w:trPr>
        <w:tc>
          <w:tcPr>
            <w:tcW w:w="5685" w:type="dxa"/>
            <w:tcBorders>
              <w:left w:val="double" w:sz="4" w:space="0" w:color="auto"/>
            </w:tcBorders>
            <w:shd w:val="clear" w:color="auto" w:fill="auto"/>
            <w:noWrap/>
            <w:vAlign w:val="bottom"/>
            <w:hideMark/>
          </w:tcPr>
          <w:p w14:paraId="1AD2D4CC" w14:textId="77777777" w:rsidR="00332CFA" w:rsidRPr="00A53AD7" w:rsidRDefault="00332CFA" w:rsidP="00332CF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1985" w:type="dxa"/>
            <w:shd w:val="clear" w:color="auto" w:fill="auto"/>
            <w:noWrap/>
            <w:vAlign w:val="bottom"/>
            <w:hideMark/>
          </w:tcPr>
          <w:p w14:paraId="253A62D7"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20 640,3</w:t>
            </w:r>
          </w:p>
        </w:tc>
        <w:tc>
          <w:tcPr>
            <w:tcW w:w="1700" w:type="dxa"/>
            <w:tcBorders>
              <w:right w:val="double" w:sz="4" w:space="0" w:color="auto"/>
            </w:tcBorders>
            <w:shd w:val="clear" w:color="auto" w:fill="auto"/>
            <w:noWrap/>
            <w:vAlign w:val="bottom"/>
            <w:hideMark/>
          </w:tcPr>
          <w:p w14:paraId="4BEE8595"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21 185,6</w:t>
            </w:r>
          </w:p>
        </w:tc>
      </w:tr>
      <w:tr w:rsidR="00A53AD7" w:rsidRPr="00A53AD7" w14:paraId="738D0BF1" w14:textId="77777777" w:rsidTr="00332CFA">
        <w:trPr>
          <w:trHeight w:val="114"/>
        </w:trPr>
        <w:tc>
          <w:tcPr>
            <w:tcW w:w="5685" w:type="dxa"/>
            <w:tcBorders>
              <w:left w:val="double" w:sz="4" w:space="0" w:color="auto"/>
            </w:tcBorders>
            <w:shd w:val="clear" w:color="auto" w:fill="auto"/>
            <w:noWrap/>
            <w:vAlign w:val="bottom"/>
            <w:hideMark/>
          </w:tcPr>
          <w:p w14:paraId="1FE56FDD" w14:textId="77777777" w:rsidR="00332CFA" w:rsidRPr="00A53AD7" w:rsidRDefault="00332CFA" w:rsidP="00332CF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Местные бюджеты</w:t>
            </w:r>
          </w:p>
        </w:tc>
        <w:tc>
          <w:tcPr>
            <w:tcW w:w="1985" w:type="dxa"/>
            <w:shd w:val="clear" w:color="auto" w:fill="auto"/>
            <w:noWrap/>
            <w:vAlign w:val="bottom"/>
            <w:hideMark/>
          </w:tcPr>
          <w:p w14:paraId="40013F83"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48,1</w:t>
            </w:r>
          </w:p>
        </w:tc>
        <w:tc>
          <w:tcPr>
            <w:tcW w:w="1700" w:type="dxa"/>
            <w:tcBorders>
              <w:right w:val="double" w:sz="4" w:space="0" w:color="auto"/>
            </w:tcBorders>
            <w:shd w:val="clear" w:color="auto" w:fill="auto"/>
            <w:noWrap/>
            <w:vAlign w:val="bottom"/>
            <w:hideMark/>
          </w:tcPr>
          <w:p w14:paraId="0AEE5059"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96,5</w:t>
            </w:r>
          </w:p>
        </w:tc>
      </w:tr>
      <w:tr w:rsidR="00A53AD7" w:rsidRPr="00A53AD7" w14:paraId="69537051" w14:textId="77777777" w:rsidTr="00332CFA">
        <w:trPr>
          <w:trHeight w:val="132"/>
        </w:trPr>
        <w:tc>
          <w:tcPr>
            <w:tcW w:w="5685" w:type="dxa"/>
            <w:tcBorders>
              <w:left w:val="double" w:sz="4" w:space="0" w:color="auto"/>
              <w:bottom w:val="single" w:sz="4" w:space="0" w:color="auto"/>
            </w:tcBorders>
            <w:shd w:val="clear" w:color="auto" w:fill="auto"/>
            <w:noWrap/>
            <w:vAlign w:val="bottom"/>
            <w:hideMark/>
          </w:tcPr>
          <w:p w14:paraId="051023CD" w14:textId="77777777" w:rsidR="00332CFA" w:rsidRPr="00A53AD7" w:rsidRDefault="00332CFA" w:rsidP="00332CF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источники</w:t>
            </w:r>
          </w:p>
        </w:tc>
        <w:tc>
          <w:tcPr>
            <w:tcW w:w="1985" w:type="dxa"/>
            <w:tcBorders>
              <w:bottom w:val="single" w:sz="4" w:space="0" w:color="auto"/>
            </w:tcBorders>
            <w:shd w:val="clear" w:color="auto" w:fill="auto"/>
            <w:noWrap/>
            <w:vAlign w:val="bottom"/>
            <w:hideMark/>
          </w:tcPr>
          <w:p w14:paraId="573A1DB4"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254,2</w:t>
            </w:r>
          </w:p>
        </w:tc>
        <w:tc>
          <w:tcPr>
            <w:tcW w:w="1700" w:type="dxa"/>
            <w:tcBorders>
              <w:bottom w:val="single" w:sz="4" w:space="0" w:color="auto"/>
              <w:right w:val="double" w:sz="4" w:space="0" w:color="auto"/>
            </w:tcBorders>
            <w:shd w:val="clear" w:color="auto" w:fill="auto"/>
            <w:noWrap/>
            <w:vAlign w:val="bottom"/>
            <w:hideMark/>
          </w:tcPr>
          <w:p w14:paraId="6B925F00"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287,5</w:t>
            </w:r>
          </w:p>
        </w:tc>
      </w:tr>
      <w:tr w:rsidR="00332CFA" w:rsidRPr="00A53AD7" w14:paraId="14C4A75F" w14:textId="77777777" w:rsidTr="00332CFA">
        <w:trPr>
          <w:trHeight w:val="149"/>
        </w:trPr>
        <w:tc>
          <w:tcPr>
            <w:tcW w:w="5685" w:type="dxa"/>
            <w:tcBorders>
              <w:left w:val="double" w:sz="4" w:space="0" w:color="auto"/>
              <w:bottom w:val="double" w:sz="4" w:space="0" w:color="auto"/>
            </w:tcBorders>
            <w:shd w:val="clear" w:color="auto" w:fill="auto"/>
            <w:noWrap/>
            <w:vAlign w:val="bottom"/>
            <w:hideMark/>
          </w:tcPr>
          <w:p w14:paraId="4108D43A" w14:textId="77777777" w:rsidR="00332CFA" w:rsidRPr="00A53AD7" w:rsidRDefault="00332CFA" w:rsidP="00332CF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985" w:type="dxa"/>
            <w:tcBorders>
              <w:bottom w:val="double" w:sz="4" w:space="0" w:color="auto"/>
            </w:tcBorders>
            <w:shd w:val="clear" w:color="auto" w:fill="auto"/>
            <w:noWrap/>
            <w:vAlign w:val="bottom"/>
            <w:hideMark/>
          </w:tcPr>
          <w:p w14:paraId="0AC29821"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22 278,4</w:t>
            </w:r>
          </w:p>
        </w:tc>
        <w:tc>
          <w:tcPr>
            <w:tcW w:w="1700" w:type="dxa"/>
            <w:tcBorders>
              <w:bottom w:val="double" w:sz="4" w:space="0" w:color="auto"/>
              <w:right w:val="double" w:sz="4" w:space="0" w:color="auto"/>
            </w:tcBorders>
            <w:shd w:val="clear" w:color="auto" w:fill="auto"/>
            <w:noWrap/>
            <w:vAlign w:val="bottom"/>
            <w:hideMark/>
          </w:tcPr>
          <w:p w14:paraId="6652E268" w14:textId="77777777" w:rsidR="00332CFA" w:rsidRPr="00A53AD7" w:rsidRDefault="00332CFA" w:rsidP="00332CF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24 572,3</w:t>
            </w:r>
          </w:p>
        </w:tc>
      </w:tr>
    </w:tbl>
    <w:p w14:paraId="57559717" w14:textId="77777777" w:rsidR="00332CFA" w:rsidRPr="00A53AD7" w:rsidRDefault="00332CFA" w:rsidP="002306BD">
      <w:pPr>
        <w:spacing w:after="0" w:line="240" w:lineRule="auto"/>
        <w:ind w:firstLine="851"/>
        <w:jc w:val="both"/>
        <w:rPr>
          <w:rFonts w:ascii="Times New Roman" w:hAnsi="Times New Roman"/>
          <w:sz w:val="28"/>
          <w:szCs w:val="28"/>
        </w:rPr>
      </w:pPr>
    </w:p>
    <w:p w14:paraId="138ABE24" w14:textId="5ED88875" w:rsidR="002D57E8" w:rsidRPr="00A53AD7" w:rsidRDefault="002D57E8" w:rsidP="002D57E8">
      <w:pPr>
        <w:spacing w:after="0" w:line="240" w:lineRule="auto"/>
        <w:ind w:firstLine="851"/>
        <w:jc w:val="both"/>
        <w:rPr>
          <w:rFonts w:ascii="Times New Roman" w:hAnsi="Times New Roman"/>
          <w:sz w:val="28"/>
          <w:szCs w:val="28"/>
          <w:lang w:val="x-none"/>
        </w:rPr>
      </w:pPr>
      <w:r w:rsidRPr="00A53AD7">
        <w:rPr>
          <w:rFonts w:ascii="Times New Roman" w:hAnsi="Times New Roman"/>
          <w:sz w:val="28"/>
          <w:szCs w:val="28"/>
        </w:rPr>
        <w:t>В течение 2019 года постановлениями Правительства Архангельской области в госпрограмму вносились изменения 12 раз</w:t>
      </w:r>
      <w:r w:rsidR="00E56137" w:rsidRPr="00A53AD7">
        <w:rPr>
          <w:rFonts w:ascii="Times New Roman" w:hAnsi="Times New Roman"/>
          <w:sz w:val="28"/>
          <w:szCs w:val="28"/>
        </w:rPr>
        <w:t>, в том числе:</w:t>
      </w:r>
    </w:p>
    <w:p w14:paraId="245CCBB5" w14:textId="77777777" w:rsidR="00E56137" w:rsidRPr="00A53AD7" w:rsidRDefault="00E56137" w:rsidP="00CA1DDD">
      <w:pPr>
        <w:pStyle w:val="a8"/>
        <w:numPr>
          <w:ilvl w:val="0"/>
          <w:numId w:val="51"/>
        </w:numPr>
        <w:ind w:left="0" w:firstLine="839"/>
        <w:jc w:val="both"/>
        <w:rPr>
          <w:sz w:val="28"/>
          <w:szCs w:val="28"/>
        </w:rPr>
      </w:pPr>
      <w:r w:rsidRPr="00A53AD7">
        <w:rPr>
          <w:sz w:val="28"/>
          <w:szCs w:val="28"/>
        </w:rPr>
        <w:t>с приведением объемов финансирования в соответствие с областными законами «О внесении изменений и дополнений в областной закон «Об областном бюджете на 2019 год и на плановый период 2020 и 2021 годов»;</w:t>
      </w:r>
    </w:p>
    <w:p w14:paraId="16FFB034" w14:textId="77777777" w:rsidR="00E56137" w:rsidRPr="00A53AD7" w:rsidRDefault="00E56137" w:rsidP="00CA1DDD">
      <w:pPr>
        <w:pStyle w:val="a8"/>
        <w:numPr>
          <w:ilvl w:val="0"/>
          <w:numId w:val="51"/>
        </w:numPr>
        <w:ind w:left="0" w:firstLine="839"/>
        <w:jc w:val="both"/>
        <w:rPr>
          <w:sz w:val="28"/>
          <w:szCs w:val="28"/>
        </w:rPr>
      </w:pPr>
      <w:r w:rsidRPr="00A53AD7">
        <w:rPr>
          <w:sz w:val="28"/>
          <w:szCs w:val="28"/>
        </w:rPr>
        <w:t>с выделением расходов на мероприятия, реализуемые в рамках национальных проектов «Образование», «Демография» в отдельные мероприятия программы;</w:t>
      </w:r>
    </w:p>
    <w:p w14:paraId="6A177F5F" w14:textId="77777777" w:rsidR="00E56137" w:rsidRPr="00A53AD7" w:rsidRDefault="00E56137" w:rsidP="00CA1DDD">
      <w:pPr>
        <w:pStyle w:val="a8"/>
        <w:numPr>
          <w:ilvl w:val="0"/>
          <w:numId w:val="51"/>
        </w:numPr>
        <w:ind w:left="0" w:firstLine="839"/>
        <w:jc w:val="both"/>
        <w:rPr>
          <w:sz w:val="28"/>
          <w:szCs w:val="28"/>
        </w:rPr>
      </w:pPr>
      <w:r w:rsidRPr="00A53AD7">
        <w:rPr>
          <w:sz w:val="28"/>
          <w:szCs w:val="28"/>
        </w:rPr>
        <w:t>с изменением значения целевых показателей на 2019 и последующие годы.</w:t>
      </w:r>
    </w:p>
    <w:p w14:paraId="48ED8434" w14:textId="43B9FDB6"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Проверкой КСП Архангельской области установлено, что приложением № 14 к Закону «Об областном бюджете» (в редакции от 02.07.2019) бюджетные ассигнования на реализацию госпрограммы предусмотрены в размере 23 729,8 млн.руб., дата вступления в силу – 03.07.2019 (период действия редакции с 03.07.2019 по 25.09.2019).</w:t>
      </w:r>
    </w:p>
    <w:p w14:paraId="5AF59FFF"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04.09.2019 госпрограмма действовала в редакции от 13.08.2019 № 435-пп (период действия редакции с 21.08.2019 по 10.09.2019), согласно которой общая сумма средств федерального и областного бюджетов на реализацию мероприятий программы составляла 23 830,1 млн.руб.</w:t>
      </w:r>
    </w:p>
    <w:p w14:paraId="1C07E310"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требований пункта 4 статьи 10 областного закона о бюджетном процессе, пункта 22 Порядка № 299-пп, госпрограмма была приведена в соответствие с областным законом об областном бюджете с нарушением двухмесячного срока на общую сумму средств областного бюджета 100,3 млн.руб.</w:t>
      </w:r>
    </w:p>
    <w:p w14:paraId="759EA617" w14:textId="77777777" w:rsidR="00332CFA" w:rsidRPr="00A53AD7" w:rsidRDefault="00332CFA" w:rsidP="00332CFA">
      <w:pPr>
        <w:spacing w:after="0" w:line="240" w:lineRule="auto"/>
        <w:ind w:firstLine="851"/>
        <w:jc w:val="both"/>
        <w:rPr>
          <w:rFonts w:ascii="Times New Roman" w:hAnsi="Times New Roman"/>
          <w:sz w:val="28"/>
          <w:szCs w:val="28"/>
        </w:rPr>
      </w:pPr>
    </w:p>
    <w:p w14:paraId="6256B2EB" w14:textId="6E7B047A"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Бюджетные ассигнования на 2019 год на реализацию государственной программы уточненной бюджетной росписью ут</w:t>
      </w:r>
      <w:r w:rsidR="00480614" w:rsidRPr="00A53AD7">
        <w:rPr>
          <w:rFonts w:ascii="Times New Roman" w:hAnsi="Times New Roman"/>
          <w:sz w:val="28"/>
          <w:szCs w:val="28"/>
        </w:rPr>
        <w:t xml:space="preserve">верждены в сумме </w:t>
      </w:r>
      <w:r w:rsidR="00480614" w:rsidRPr="00A53AD7">
        <w:rPr>
          <w:rFonts w:ascii="Times New Roman" w:hAnsi="Times New Roman"/>
          <w:sz w:val="28"/>
          <w:szCs w:val="28"/>
        </w:rPr>
        <w:br/>
        <w:t>24 552,4 млн.</w:t>
      </w:r>
      <w:r w:rsidRPr="00A53AD7">
        <w:rPr>
          <w:rFonts w:ascii="Times New Roman" w:hAnsi="Times New Roman"/>
          <w:sz w:val="28"/>
          <w:szCs w:val="28"/>
        </w:rPr>
        <w:t>руб. Исполнение расходов в рамках госпр</w:t>
      </w:r>
      <w:r w:rsidR="00480614" w:rsidRPr="00A53AD7">
        <w:rPr>
          <w:rFonts w:ascii="Times New Roman" w:hAnsi="Times New Roman"/>
          <w:sz w:val="28"/>
          <w:szCs w:val="28"/>
        </w:rPr>
        <w:t>ограммы составило 22 594,6 млн.</w:t>
      </w:r>
      <w:r w:rsidRPr="00A53AD7">
        <w:rPr>
          <w:rFonts w:ascii="Times New Roman" w:hAnsi="Times New Roman"/>
          <w:sz w:val="28"/>
          <w:szCs w:val="28"/>
        </w:rPr>
        <w:t>руб. или 92% к уточнё</w:t>
      </w:r>
      <w:r w:rsidR="00AD7BFB" w:rsidRPr="00A53AD7">
        <w:rPr>
          <w:rFonts w:ascii="Times New Roman" w:hAnsi="Times New Roman"/>
          <w:sz w:val="28"/>
          <w:szCs w:val="28"/>
        </w:rPr>
        <w:t>нной сводной бюджетной росписи.</w:t>
      </w:r>
    </w:p>
    <w:p w14:paraId="331AD73C"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в 2019 году госпрограммы исполнение мероприятий следующее:</w:t>
      </w:r>
    </w:p>
    <w:p w14:paraId="27BFE7EC" w14:textId="24AD09F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1 «Развитие общего и дополнительного образования» предусмотрено финансовых средств в размере 15 408,1 млн.руб., из них средства: фе</w:t>
      </w:r>
      <w:r w:rsidR="00480614" w:rsidRPr="00A53AD7">
        <w:rPr>
          <w:rFonts w:eastAsia="Calibri"/>
          <w:sz w:val="28"/>
          <w:szCs w:val="28"/>
        </w:rPr>
        <w:t>дерального бюджета – 107,0 млн.</w:t>
      </w:r>
      <w:r w:rsidRPr="00A53AD7">
        <w:rPr>
          <w:rFonts w:eastAsia="Calibri"/>
          <w:sz w:val="28"/>
          <w:szCs w:val="28"/>
        </w:rPr>
        <w:t>руб., областного бюджета – 15 195,5 млн.руб., местных бюджетов – 50,3 млн.руб., внебюджетных источников – 55,3 млн.руб.</w:t>
      </w:r>
    </w:p>
    <w:p w14:paraId="08311B62" w14:textId="23F40D98"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Израсходовано 15 390,1 млн.руб., из них средства: фе</w:t>
      </w:r>
      <w:r w:rsidR="00480614" w:rsidRPr="00A53AD7">
        <w:rPr>
          <w:rFonts w:ascii="Times New Roman" w:hAnsi="Times New Roman"/>
          <w:sz w:val="28"/>
          <w:szCs w:val="28"/>
        </w:rPr>
        <w:t>дерального бюджета – 107,0 млн.</w:t>
      </w:r>
      <w:r w:rsidRPr="00A53AD7">
        <w:rPr>
          <w:rFonts w:ascii="Times New Roman" w:hAnsi="Times New Roman"/>
          <w:sz w:val="28"/>
          <w:szCs w:val="28"/>
        </w:rPr>
        <w:t xml:space="preserve">руб., областного бюджета – 15 184,1 млн.руб., местных бюджетов – 50,0 млн.руб., внебюджетных источников (средства учреждений) – 49,0 млн.руб. </w:t>
      </w:r>
    </w:p>
    <w:p w14:paraId="5EF43F7D" w14:textId="64BA3C4F"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израсходованы средства областного бюджета в размере 11,4 млн.руб., в том числе 9,6</w:t>
      </w:r>
      <w:r w:rsidR="00E46634" w:rsidRPr="00A53AD7">
        <w:rPr>
          <w:rFonts w:ascii="Times New Roman" w:hAnsi="Times New Roman"/>
          <w:sz w:val="28"/>
          <w:szCs w:val="28"/>
        </w:rPr>
        <w:t xml:space="preserve"> </w:t>
      </w:r>
      <w:r w:rsidRPr="00A53AD7">
        <w:rPr>
          <w:rFonts w:ascii="Times New Roman" w:hAnsi="Times New Roman"/>
          <w:sz w:val="28"/>
          <w:szCs w:val="28"/>
        </w:rPr>
        <w:t>млн.руб. в связи с неподтверждением расходов и возвратом муниципальными образованиями Архангельской области средств на компенсацию части платы, взимаемой с родителей (законных представителей) за присмотр и уход за детьми в образовательных организациях, реализующих образовательную программу дошкольного образования, и на обеспечение питанием обучающихся по программам начального общего, основного общего, среднего общего образования в муниципальных общеобразовательных организациях муниципальных образований Архангельской области, проживающих в интернате.</w:t>
      </w:r>
    </w:p>
    <w:p w14:paraId="5B3483C9" w14:textId="2C89DD8D" w:rsidR="00332CFA" w:rsidRPr="00A53AD7" w:rsidRDefault="00332CFA" w:rsidP="007515E3">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Контрольно-счетная палата Архангельской области отмечает следующее. Национальный проект «Образование» ставит своими целями обеспечение глобальной конкурентоспособности российского образования, вхождение Российской Федерации в число 10 ведущих стран мира по качеству общего образова</w:t>
      </w:r>
      <w:r w:rsidR="007515E3" w:rsidRPr="00A53AD7">
        <w:rPr>
          <w:rFonts w:ascii="Times New Roman" w:hAnsi="Times New Roman"/>
          <w:sz w:val="28"/>
          <w:szCs w:val="28"/>
        </w:rPr>
        <w:t>ния.</w:t>
      </w:r>
    </w:p>
    <w:p w14:paraId="08B0AD02" w14:textId="77777777" w:rsidR="00332CFA" w:rsidRPr="00A53AD7" w:rsidRDefault="00332CFA" w:rsidP="00990E0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паспортом нацпроекта в субъектах Российской Федерации должна быть проведена оценка качества общего образования на основе практики международных исследований качества подготовки обучающихся. Приказом Федеральной службы по надзору в сфере образования и науки и Министерства просвещения РФ от 06.05.2019 № 590/219 утверждена Методология и критерии оценки качества общего образования в общеобразовательных организациях на основе практики международных исследований качества подготовки обучающихся.</w:t>
      </w:r>
    </w:p>
    <w:p w14:paraId="319650A3" w14:textId="77777777" w:rsidR="00C31667" w:rsidRPr="00A53AD7" w:rsidRDefault="00332CFA" w:rsidP="002D57E8">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уровне госпрограммы утвержден целевой показатель «Удовлетворенность населения качеством общего и дополнительного образования детей Архангельской области», для достижения которого ГАУ АО «Центр оценки качества образования» осуществляет реализацию мероприятия пункта 3.4 «Реализация региональных полномочий в области оценки качества образования на территории Архангельской области, включая информационно-аналитическое,</w:t>
      </w:r>
      <w:r w:rsidR="00D415E3" w:rsidRPr="00A53AD7">
        <w:rPr>
          <w:rFonts w:ascii="Times New Roman" w:hAnsi="Times New Roman"/>
          <w:sz w:val="28"/>
          <w:szCs w:val="28"/>
        </w:rPr>
        <w:t xml:space="preserve"> </w:t>
      </w:r>
      <w:r w:rsidRPr="00A53AD7">
        <w:rPr>
          <w:rFonts w:ascii="Times New Roman" w:hAnsi="Times New Roman"/>
          <w:sz w:val="28"/>
          <w:szCs w:val="28"/>
        </w:rPr>
        <w:t>организационно-технологическое,</w:t>
      </w:r>
      <w:r w:rsidR="00D415E3" w:rsidRPr="00A53AD7">
        <w:rPr>
          <w:rFonts w:ascii="Times New Roman" w:hAnsi="Times New Roman"/>
          <w:sz w:val="28"/>
          <w:szCs w:val="28"/>
        </w:rPr>
        <w:t xml:space="preserve"> </w:t>
      </w:r>
      <w:r w:rsidRPr="00A53AD7">
        <w:rPr>
          <w:rFonts w:ascii="Times New Roman" w:hAnsi="Times New Roman"/>
          <w:sz w:val="28"/>
          <w:szCs w:val="28"/>
        </w:rPr>
        <w:t xml:space="preserve">информационно-методическое, консультационное обеспечение оценочных процедур, статистического наблюдения за деятельностью образовательных организаций, оценки и анализа условий организации образовательной деятельности на региональном уровне» подпрограммы № 1 госпрограммы. </w:t>
      </w:r>
      <w:r w:rsidR="002D57E8" w:rsidRPr="00A53AD7">
        <w:rPr>
          <w:rFonts w:ascii="Times New Roman" w:hAnsi="Times New Roman"/>
          <w:sz w:val="28"/>
          <w:szCs w:val="28"/>
        </w:rPr>
        <w:tab/>
        <w:t>Средства на реализацию указанного мероприятия предоставляются, в том числе, за счет субсидии на выполнение государственного задания.</w:t>
      </w:r>
    </w:p>
    <w:p w14:paraId="0BB9D944" w14:textId="77777777" w:rsidR="00C31667" w:rsidRPr="00A53AD7" w:rsidRDefault="00C31667" w:rsidP="00C31667">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Фактическое значение показателя за период 2015-2018 годы составило: 2015 г. – 55%, 2016 г. – 55,7%, 2017 г. – 56,4 %, 2018 г. – 57,1%.</w:t>
      </w:r>
    </w:p>
    <w:p w14:paraId="73D0C457" w14:textId="3A2D7FF4" w:rsidR="00C31667" w:rsidRPr="00A53AD7" w:rsidRDefault="00C31667" w:rsidP="00C3166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Утвержденные значения показателя «Удовлетворенность населения качеством общего и дополнительного образования детей Архангельской области» утверждены на 2019 г. – 63,1%, 2020 г. – 63,3%, 2021 г. – 63,5%, 2022</w:t>
      </w:r>
      <w:r w:rsidR="007F19FD" w:rsidRPr="00A53AD7">
        <w:rPr>
          <w:rFonts w:ascii="Times New Roman" w:hAnsi="Times New Roman"/>
          <w:sz w:val="28"/>
          <w:szCs w:val="28"/>
        </w:rPr>
        <w:t> </w:t>
      </w:r>
      <w:r w:rsidRPr="00A53AD7">
        <w:rPr>
          <w:rFonts w:ascii="Times New Roman" w:hAnsi="Times New Roman"/>
          <w:sz w:val="28"/>
          <w:szCs w:val="28"/>
        </w:rPr>
        <w:t>г.– 63,7%, 2023 г.– 63,9%, 2024 г. – 64,3%, 2025 г. – 64,5%.</w:t>
      </w:r>
    </w:p>
    <w:p w14:paraId="34CDD414" w14:textId="120F600B" w:rsidR="00332CFA" w:rsidRPr="00A53AD7" w:rsidRDefault="00332CFA" w:rsidP="00990E00">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фактически на период реализации национального проекта (2019-2024 гг.) госпрограммой Архангельской области предусматривается увеличение значения показателя удовлетворенности населения качеством общего и дополнительного образования детей в Архангельской области</w:t>
      </w:r>
      <w:r w:rsidR="00FD1445" w:rsidRPr="00A53AD7">
        <w:rPr>
          <w:rFonts w:ascii="Times New Roman" w:hAnsi="Times New Roman"/>
          <w:sz w:val="28"/>
          <w:szCs w:val="28"/>
        </w:rPr>
        <w:t xml:space="preserve"> </w:t>
      </w:r>
      <w:r w:rsidRPr="00A53AD7">
        <w:rPr>
          <w:rFonts w:ascii="Times New Roman" w:hAnsi="Times New Roman"/>
          <w:sz w:val="28"/>
          <w:szCs w:val="28"/>
        </w:rPr>
        <w:t>всего на 1,2%, что позволяет сделать вывод о занижении целевого показателя.</w:t>
      </w:r>
    </w:p>
    <w:p w14:paraId="574DC9EC" w14:textId="7AF62047" w:rsidR="00332CFA" w:rsidRPr="00A53AD7" w:rsidRDefault="00332CFA" w:rsidP="00A8222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Подпрограммой 1 предусмотрена реализация мероприятия пункта 2.2. «Укрепление материально-технической базы развития государственных образовательных организаций, реализующих образовательные программы дополнительного образования детей, как системообразующих центров в работе по выявлению и поддержке </w:t>
      </w:r>
      <w:r w:rsidR="00A82227" w:rsidRPr="00A53AD7">
        <w:rPr>
          <w:rFonts w:ascii="Times New Roman" w:hAnsi="Times New Roman"/>
          <w:sz w:val="28"/>
          <w:szCs w:val="28"/>
        </w:rPr>
        <w:t>одаренных и талантливых детей».</w:t>
      </w:r>
    </w:p>
    <w:p w14:paraId="709AF652" w14:textId="79A11F0E" w:rsidR="00642E1E" w:rsidRPr="00A53AD7" w:rsidRDefault="00642E1E" w:rsidP="00642E1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указанного мер</w:t>
      </w:r>
      <w:r w:rsidR="00480614" w:rsidRPr="00A53AD7">
        <w:rPr>
          <w:rFonts w:ascii="Times New Roman" w:hAnsi="Times New Roman"/>
          <w:sz w:val="28"/>
          <w:szCs w:val="28"/>
        </w:rPr>
        <w:t>оприятия предусмотрено 6,9 млн.</w:t>
      </w:r>
      <w:r w:rsidRPr="00A53AD7">
        <w:rPr>
          <w:rFonts w:ascii="Times New Roman" w:hAnsi="Times New Roman"/>
          <w:sz w:val="28"/>
          <w:szCs w:val="28"/>
        </w:rPr>
        <w:t>руб. Кассовый расход минобрнауки АО составил 6,9 млн.руб. или 100%; указанные средства доведены 2 подведомственным учреждениям</w:t>
      </w:r>
      <w:r w:rsidR="0010644B" w:rsidRPr="00A53AD7">
        <w:rPr>
          <w:rFonts w:ascii="Times New Roman" w:hAnsi="Times New Roman"/>
          <w:sz w:val="28"/>
          <w:szCs w:val="28"/>
        </w:rPr>
        <w:t>:</w:t>
      </w:r>
      <w:r w:rsidRPr="00A53AD7">
        <w:rPr>
          <w:rFonts w:ascii="Times New Roman" w:hAnsi="Times New Roman"/>
          <w:sz w:val="28"/>
          <w:szCs w:val="28"/>
        </w:rPr>
        <w:t xml:space="preserve"> </w:t>
      </w:r>
      <w:r w:rsidR="0010644B" w:rsidRPr="00A53AD7">
        <w:rPr>
          <w:rFonts w:ascii="Times New Roman" w:hAnsi="Times New Roman"/>
          <w:sz w:val="28"/>
          <w:szCs w:val="28"/>
        </w:rPr>
        <w:t>ГБОУ «ДДЮТ» и ГБОУ ДО АО «Детская Школа Народных Ремесел» в</w:t>
      </w:r>
      <w:r w:rsidRPr="00A53AD7">
        <w:rPr>
          <w:rFonts w:ascii="Times New Roman" w:hAnsi="Times New Roman"/>
          <w:sz w:val="28"/>
          <w:szCs w:val="28"/>
        </w:rPr>
        <w:t xml:space="preserve"> виде субсидии на иные цели. Фактически, в отчетном периоде расходы подведомственных организаций на реализацию указанного мероприятия составили 0,5 тыс.руб. или 7%.</w:t>
      </w:r>
    </w:p>
    <w:p w14:paraId="15EF3211"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2 «Содержание, обучение,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 предусмотрено финансовых средств в размере 2 746,5 млн.руб., из них средства: федерального бюджета – 128,8 млн.руб., областного бюджета – 2 613,8 млн.руб., местных бюджетов – 0,1 млн.руб., внебюджетных источников – 3,8 млн.руб.</w:t>
      </w:r>
    </w:p>
    <w:p w14:paraId="14607139"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Израсходовано 2 703,1 млн.руб., из них средства: федерального бюджета – 127,5 млн.руб., областного бюджета – 2 571,7 млн.руб., местных бюджетов – 0,1 млн.руб., внебюджетных источников (средства учреждений) – 3,8 млн.руб. </w:t>
      </w:r>
    </w:p>
    <w:p w14:paraId="52E45047" w14:textId="6BAED711"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израсходованы средства федерального бюджета в размере 1,3 млн.руб., средства областного бюджета в размере 42,1 млн.руб., в том числе не израсходованы средства областного бюджета в рамках мероприятия 4.4 «Предоставление жилых помещений специализированного жилищного фонда детям-сиротам и детям, оставшимся без попечения родителей, лицам из числа детей-сирот и детей, оставшихся без попечения родителей, мер социальной поддержки по оплате жилого помещения и коммунальных услуг, а также по освобождению от задолженности по оплате жилого помещения и коммунальных услуг, дополнительной меры социальной поддержки детям-сиротам и детям, оставшимся без попечения родителей, в виде единовременной денежной выплаты на ремонт жилых помещений, находящихся в собственности детей-сирот и детей, оставшихся без попечения</w:t>
      </w:r>
      <w:r w:rsidR="0010644B" w:rsidRPr="00A53AD7">
        <w:rPr>
          <w:rFonts w:ascii="Times New Roman" w:hAnsi="Times New Roman"/>
          <w:sz w:val="28"/>
          <w:szCs w:val="28"/>
        </w:rPr>
        <w:t xml:space="preserve"> родителей» в размере 37,5 млн.</w:t>
      </w:r>
      <w:r w:rsidRPr="00A53AD7">
        <w:rPr>
          <w:rFonts w:ascii="Times New Roman" w:hAnsi="Times New Roman"/>
          <w:sz w:val="28"/>
          <w:szCs w:val="28"/>
        </w:rPr>
        <w:t>руб.</w:t>
      </w:r>
    </w:p>
    <w:p w14:paraId="3D28B8E0" w14:textId="669C1C0C" w:rsidR="0010644B" w:rsidRPr="00A53AD7" w:rsidRDefault="0010644B" w:rsidP="001064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в 2019 году сохраняется общий рост числа количества детей-сирот и лиц из их числа, включенных в список. Также сохраняется тенденция роста количества детей-сирот, у которых право на получение жилого помещения возникло и не реализовано, в отношении которых вступили в силу и не исполнены судебные решения о предоставлении жилых помещений (по состоянию на 1 октября 2019 года) в наличии 645 судебных решений).</w:t>
      </w:r>
    </w:p>
    <w:p w14:paraId="5E4937E6" w14:textId="54003F3F" w:rsidR="0010644B" w:rsidRPr="00A53AD7" w:rsidRDefault="0010644B" w:rsidP="001064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численность детей-сирот, обеспеченных жилыми помещениями специализированного жилищного фонда – 305 человек (аналогичный показатель 2018 года составил 140 чел</w:t>
      </w:r>
      <w:r w:rsidR="007F19FD" w:rsidRPr="00A53AD7">
        <w:rPr>
          <w:rFonts w:ascii="Times New Roman" w:hAnsi="Times New Roman"/>
          <w:sz w:val="28"/>
          <w:szCs w:val="28"/>
        </w:rPr>
        <w:t>.</w:t>
      </w:r>
      <w:r w:rsidRPr="00A53AD7">
        <w:rPr>
          <w:rFonts w:ascii="Times New Roman" w:hAnsi="Times New Roman"/>
          <w:sz w:val="28"/>
          <w:szCs w:val="28"/>
        </w:rPr>
        <w:t>).</w:t>
      </w:r>
    </w:p>
    <w:p w14:paraId="445A6857"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Подпрограммой 2 предусмотрена реализация мероприятия пункта 1.4. «Выполнение текущих и капитальных ремонтов объектов, закрепленных за государственными образовательными организациями, с учетом требований законодательства в области энергосбережения и повышения энергетической эффективности, а также своевременное устранение предписаний надзорных органов, разработка проектно-сметной документации, установка приобретенного оборудования». Показателем результативности указанного мероприятия в период с 2019 по 2025 годы не установлено конкретное значение показателя, при том, что в 2018 значение показателя составило 32 образовательных организации.</w:t>
      </w:r>
    </w:p>
    <w:p w14:paraId="11EAF4DD" w14:textId="50C879F9" w:rsidR="00563E50" w:rsidRPr="00A53AD7" w:rsidRDefault="00563E50" w:rsidP="00563E5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указанного мероприятия предусмотрено 50,7 млн.руб. Кассовый расход ми</w:t>
      </w:r>
      <w:r w:rsidR="007F19FD" w:rsidRPr="00A53AD7">
        <w:rPr>
          <w:rFonts w:ascii="Times New Roman" w:hAnsi="Times New Roman"/>
          <w:sz w:val="28"/>
          <w:szCs w:val="28"/>
        </w:rPr>
        <w:t>нобрнауки АО составил 50,7 млн.</w:t>
      </w:r>
      <w:r w:rsidRPr="00A53AD7">
        <w:rPr>
          <w:rFonts w:ascii="Times New Roman" w:hAnsi="Times New Roman"/>
          <w:sz w:val="28"/>
          <w:szCs w:val="28"/>
        </w:rPr>
        <w:t xml:space="preserve">руб. или 100%; указанные средства доведены 30 подведомственным организациям в виде субсидии на иные цели. Фактически, в отчетном периоде расходы подведомственных организаций на реализацию указанного мероприятия составили 29,5 </w:t>
      </w:r>
      <w:r w:rsidR="0000528C" w:rsidRPr="00A53AD7">
        <w:rPr>
          <w:rFonts w:ascii="Times New Roman" w:hAnsi="Times New Roman"/>
          <w:sz w:val="28"/>
          <w:szCs w:val="28"/>
        </w:rPr>
        <w:t>млн</w:t>
      </w:r>
      <w:r w:rsidRPr="00A53AD7">
        <w:rPr>
          <w:rFonts w:ascii="Times New Roman" w:hAnsi="Times New Roman"/>
          <w:sz w:val="28"/>
          <w:szCs w:val="28"/>
        </w:rPr>
        <w:t>.руб. или 58,2%.</w:t>
      </w:r>
    </w:p>
    <w:p w14:paraId="4F0ECE29"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 подпрограмме № 3 «Развитие среднего профессионального образования» предусмотрено финансовых средств в размере 2 878,8 млн.руб., из них средства: федерального бюджета – 21,7 млн.руб., областного бюджета – 2 637,5 млн.руб., внебюджетных источников – 219,6 млн.руб. Израсходовано 2 876,7 млн.руб. или 100%.</w:t>
      </w:r>
    </w:p>
    <w:p w14:paraId="0607D928" w14:textId="6FD29437" w:rsidR="00332CFA" w:rsidRPr="00A53AD7" w:rsidRDefault="00332CFA" w:rsidP="005173D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реализации мероприятия пункта 1.1. «Реализация основных общеобразовательных и профессиональных образовательных программ» подпрограммы № 3 «Развитие среднего профессионального образования» контрольно-счетная палата Архангельской области неоднократно отмечала следующее.</w:t>
      </w:r>
    </w:p>
    <w:p w14:paraId="76229A56" w14:textId="61D42E64" w:rsidR="00332CFA" w:rsidRPr="00A53AD7" w:rsidRDefault="00332CFA" w:rsidP="005173D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абзацем 2 пункта 7 Порядка формирования госзаданий № 338-пп</w:t>
      </w:r>
      <w:r w:rsidR="00E46634" w:rsidRPr="00A53AD7">
        <w:rPr>
          <w:rFonts w:ascii="Times New Roman" w:hAnsi="Times New Roman"/>
          <w:sz w:val="28"/>
          <w:szCs w:val="28"/>
        </w:rPr>
        <w:t xml:space="preserve"> </w:t>
      </w:r>
      <w:r w:rsidRPr="00A53AD7">
        <w:rPr>
          <w:rFonts w:ascii="Times New Roman" w:hAnsi="Times New Roman"/>
          <w:sz w:val="28"/>
          <w:szCs w:val="28"/>
        </w:rPr>
        <w:t xml:space="preserve">значения показателей, характеризующих объемы государственных услуг для государственных образовательных организаций Архангельской области, осуществляющих образовательную деятельность по образовательным программам среднего профессионального образования, устанавливаются на плановый период на уровне очередного финансового года и корректируются ежегодно в соответствии с методикой формирования государственного задания на оказание образовательных услуг в сфере высшего и среднего профессионального образования на очередной финансовый год и плановый период, утверждаемой Министерством просвещения Российской Федерации, с учетом результатов ежегодного конкурса распределения контрольных цифр приема граждан и численности обучающихся, определенной за год (среднегодовой контингент). </w:t>
      </w:r>
    </w:p>
    <w:p w14:paraId="06DEEAD8" w14:textId="77777777" w:rsidR="009B7AAC" w:rsidRPr="00A53AD7" w:rsidRDefault="009B7AAC" w:rsidP="009B7AAC">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определении расчета среднегодового контингента обучающихся в профессиональных образовательных учреждениях Архангельской области, находящихся в ведении минобрнауки АО, по основным профессиональным образовательным программам среднего профессионального образования, основным образовательным программам профессионального обучения за счет ассигнований областного бюджета, устанавливаемых профессиональным организациям на очередной финансовый год и плановый период, а также определении расчета среднегодового контингента обучающихся, значение которого включается в Отчет о выполнении государственного задания профессиональных образовательных организаций в минобрнауки АО в нарушение пункта 7 Порядка формирования госзаданий № 338-пп Методика формирования государственного задания на оказание государственных услуг по реализации образовательных программ высшего и среднего профессионального образования на очередной финансовый год и плановый период, утвержденная приказом Минобрнауки России от 17 мая 2016 г. № 581, не применялась, что привело к необоснованному установлению плановых значений объемов государственных услуг, а также определению фактического значения показателей объема государственных услуг (среднегодовой контингент) учреждениями.</w:t>
      </w:r>
    </w:p>
    <w:p w14:paraId="4FE242F4" w14:textId="77777777" w:rsidR="00332CFA" w:rsidRPr="00A53AD7" w:rsidRDefault="00332CFA" w:rsidP="00213FD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Подпрограммой 3 предусмотрена реализация мероприятия пункта 1.2. «Поддержка материально-технической базы профессиональных образовательных организаций, находящихся в ведении министерства образования и науки Архангельской области». Показателем результативности указанного мероприятия является: «Создание и оснащение на базе 15 профессиональных образовательных организаций ресурсных центров профессионального образования; создание 3 центров опережающей профессиональной подготовки, 60 лабораторий (мастерских), оснащенных современной материально-технической базой, с учетом опыта Союза Ворлдскиллс Россия, 6 центров коллективного пользования учебным оборудованием и электронными образовательными ресурсами». </w:t>
      </w:r>
    </w:p>
    <w:p w14:paraId="74A08814" w14:textId="77777777" w:rsidR="009B7AAC" w:rsidRPr="00A53AD7" w:rsidRDefault="009B7AAC" w:rsidP="009B7AAC">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Целевой показатель, характеризующий конкретный результат реализации мероприятия, устанавливающий сроки реализации и количество профессиональных образовательных организаций, на уровне госпрограммы (подпрограммы) не утвержден.</w:t>
      </w:r>
    </w:p>
    <w:p w14:paraId="52E99775" w14:textId="38157048" w:rsidR="00332CFA" w:rsidRPr="00A53AD7" w:rsidRDefault="00332CFA" w:rsidP="002B680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указанного меро</w:t>
      </w:r>
      <w:r w:rsidR="00480614" w:rsidRPr="00A53AD7">
        <w:rPr>
          <w:rFonts w:ascii="Times New Roman" w:hAnsi="Times New Roman"/>
          <w:sz w:val="28"/>
          <w:szCs w:val="28"/>
        </w:rPr>
        <w:t>приятия предусмотрено 36,9 млн.</w:t>
      </w:r>
      <w:r w:rsidRPr="00A53AD7">
        <w:rPr>
          <w:rFonts w:ascii="Times New Roman" w:hAnsi="Times New Roman"/>
          <w:sz w:val="28"/>
          <w:szCs w:val="28"/>
        </w:rPr>
        <w:t>руб. Кассовый расход ми</w:t>
      </w:r>
      <w:r w:rsidR="00480614" w:rsidRPr="00A53AD7">
        <w:rPr>
          <w:rFonts w:ascii="Times New Roman" w:hAnsi="Times New Roman"/>
          <w:sz w:val="28"/>
          <w:szCs w:val="28"/>
        </w:rPr>
        <w:t>нобрнауки АО составил 36,9 млн.</w:t>
      </w:r>
      <w:r w:rsidRPr="00A53AD7">
        <w:rPr>
          <w:rFonts w:ascii="Times New Roman" w:hAnsi="Times New Roman"/>
          <w:sz w:val="28"/>
          <w:szCs w:val="28"/>
        </w:rPr>
        <w:t>руб. или 100%; указанные средства перечислены подведомственным организациям.</w:t>
      </w:r>
      <w:r w:rsidR="00E46634" w:rsidRPr="00A53AD7">
        <w:rPr>
          <w:rFonts w:ascii="Times New Roman" w:hAnsi="Times New Roman"/>
          <w:sz w:val="28"/>
          <w:szCs w:val="28"/>
        </w:rPr>
        <w:t xml:space="preserve"> </w:t>
      </w:r>
      <w:r w:rsidRPr="00A53AD7">
        <w:rPr>
          <w:rFonts w:ascii="Times New Roman" w:hAnsi="Times New Roman"/>
          <w:sz w:val="28"/>
          <w:szCs w:val="28"/>
        </w:rPr>
        <w:t>Фактически, в отчетном периоде расходы подведомственных организаций на реализацию указанного мероприятия сос</w:t>
      </w:r>
      <w:r w:rsidR="002B6800" w:rsidRPr="00A53AD7">
        <w:rPr>
          <w:rFonts w:ascii="Times New Roman" w:hAnsi="Times New Roman"/>
          <w:sz w:val="28"/>
          <w:szCs w:val="28"/>
        </w:rPr>
        <w:t>тавили 13,8 млн.руб. или 37,4%.</w:t>
      </w:r>
    </w:p>
    <w:p w14:paraId="66645312" w14:textId="77777777" w:rsidR="00332CFA" w:rsidRPr="00A53AD7" w:rsidRDefault="00332CFA" w:rsidP="000C7CD2">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Отсутствие информативного целевого показателя мероприятия пункта 1.2 подпрограммы, не позволяет сделать вывод о результативности проведенного мероприятия.</w:t>
      </w:r>
    </w:p>
    <w:p w14:paraId="330C3535" w14:textId="3C77D6F1"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Для реализации мероприятия пункта 1.3. «Обеспечение подведомственными министерству образования и науки Архангельской области государственными профессиональными образовательными организациями безопасных условий для работников и обучающихся» Госпрограммой (в редакции утв. постановлением Правительства Архангельской области от 10.10.2019 № 560-пп) на реализацию мероприятия предусмотрено 46,7 млн.руб.</w:t>
      </w:r>
      <w:r w:rsidR="008D4148" w:rsidRPr="00A53AD7">
        <w:rPr>
          <w:rFonts w:ascii="Times New Roman" w:hAnsi="Times New Roman"/>
          <w:sz w:val="28"/>
          <w:szCs w:val="28"/>
        </w:rPr>
        <w:t xml:space="preserve"> </w:t>
      </w:r>
    </w:p>
    <w:p w14:paraId="76620E7D" w14:textId="77777777"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Утвержденной бюджетной росписью на отчетный финансовый год на реализацию мероприятия предусмотрено 126,8 млн.руб. средств областного бюджета, при этом увеличение ассигнований на реализацию мероприятия произведено областными законами «О внесении изменений и дополнений в областной закон «Об областном бюджете на 2019 год и на плановый период 2020 и 2021 годов» № 177-12-ОЗ от 19.11.2019 и № 189-13-ОЗ от 13.12.2019.</w:t>
      </w:r>
    </w:p>
    <w:p w14:paraId="2AD2C241" w14:textId="309FCC5C"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связи с поздним выделением ассигнований, а также заключений дополнительных соглашений к соглашениям о предоставлении субсидии из областного бюджета с учреждениями, подведомственными минобрнауки АО, фактически, кассовый расход подведомственных учреждений составил 43,0 млн.руб. или 34%.</w:t>
      </w:r>
    </w:p>
    <w:p w14:paraId="7273005E" w14:textId="77777777"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Средства направлены в виде субсидии на иные цели в 28 подведомственных организаций СПО на выполнение текущих и капитальных ремонтов, видеонаблюдение, разработку проектной документации проведение ремонтных работ в рамках проведения чемпионата «Молодые профессионалы» (Ворлдскиллс Россия), устранение нарушений требований надзорных органов.</w:t>
      </w:r>
    </w:p>
    <w:p w14:paraId="40E1FE4D" w14:textId="6201897D"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Для оценки эффективности реализации мероприятия пункта 1.3. на уровне подпрограммы утвержден целевой показатель «Доля подведомственных министерству образования и науки Архангельской области государственных профессиональных образовательных организаций Архангельской области, не имеющих предписаний надзорных органов, связанных с нарушениями безопасных условий при организации образовательного процесса» значения целевого показателя утверждены в 2019 г. – 43%, 2020 г. – 45%, 2021 г. – 47,5%, 2022 г.– 49,5%, 2023 г.– 51%, 2024 г. – 53%, 2025 г. – 55%. В 2019 году фактическое значение целевого показателя перевыполнено и согласно данным минобрнауки АО составило 66% при этом кассовый расход подведомственных учреждений составил 4</w:t>
      </w:r>
      <w:r w:rsidR="00480614" w:rsidRPr="00A53AD7">
        <w:rPr>
          <w:rFonts w:ascii="Times New Roman" w:hAnsi="Times New Roman"/>
          <w:sz w:val="28"/>
          <w:szCs w:val="28"/>
        </w:rPr>
        <w:t>3,0 млн.</w:t>
      </w:r>
      <w:r w:rsidRPr="00A53AD7">
        <w:rPr>
          <w:rFonts w:ascii="Times New Roman" w:hAnsi="Times New Roman"/>
          <w:sz w:val="28"/>
          <w:szCs w:val="28"/>
        </w:rPr>
        <w:t>руб. или 34% от предусмотренных ассигнований.</w:t>
      </w:r>
    </w:p>
    <w:p w14:paraId="38E59608" w14:textId="77777777"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Контрольно-счетная палата Архангельской области отмечает отсутствие информативности в утвержденной формулировке целевого показателя мероприятия пункта 1.3 подпрограммы, которая не позволяет сделать вывод о качественных характеристиках результативности мероприятия.</w:t>
      </w:r>
    </w:p>
    <w:p w14:paraId="5AB98460" w14:textId="7D6FC268"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учреждения «Сведения об исполнении мероприятий в рамках субсидий на иные цели и на цели осуществления капитальных вложений» (ф. 0503766) остатки неиспользованных денежных средств субсидии, сложились у следующих учреждений:</w:t>
      </w:r>
    </w:p>
    <w:p w14:paraId="1A183E0E" w14:textId="72EA30B4"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а) 8,3 млн.руб. ГАПОУ </w:t>
      </w:r>
      <w:r w:rsidR="00480614" w:rsidRPr="00A53AD7">
        <w:rPr>
          <w:rFonts w:ascii="Times New Roman" w:hAnsi="Times New Roman"/>
          <w:sz w:val="28"/>
          <w:szCs w:val="28"/>
        </w:rPr>
        <w:t>АО «АТЭК», в том числе 4,3 млн.</w:t>
      </w:r>
      <w:r w:rsidRPr="00A53AD7">
        <w:rPr>
          <w:rFonts w:ascii="Times New Roman" w:hAnsi="Times New Roman"/>
          <w:sz w:val="28"/>
          <w:szCs w:val="28"/>
        </w:rPr>
        <w:t>руб. предусмотрено на разработку проектно-сметной документации, монтаж автоматической установки пожарной сигнализации, системы оповещения и управления эвакуацией людей при пожаре в рамках дополнительного соглашения к соглашению о предоставлении субсидии из областного бюджета от 10.12.2019 № 8.</w:t>
      </w:r>
    </w:p>
    <w:p w14:paraId="2F115722" w14:textId="3EAFC116" w:rsidR="00390AD0" w:rsidRPr="00A53AD7" w:rsidRDefault="00390AD0" w:rsidP="00390A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б) 7,5 млн.руб. ГБПОУ АО «Архангельский аграрный техникум»;</w:t>
      </w:r>
    </w:p>
    <w:p w14:paraId="09AE32A3"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4 «Совершенствование системы предоставления услуг в сфере образования» предусмотрено финансовых средств в размере 748,8 млн.руб., из них средства: федерального бюджета – 37,8 млн.руб., областного бюджета – 693,0 млн.руб., внебюджетных источников – 18,0 млн.руб.</w:t>
      </w:r>
    </w:p>
    <w:p w14:paraId="7AD94152" w14:textId="77777777" w:rsidR="00332CFA" w:rsidRPr="00A53AD7" w:rsidRDefault="00332CFA" w:rsidP="000C7CD2">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Израсходовано 745,0 млн.руб., из них средства: федерального бюджета – 37,6 млн.руб., областного бюджета – 687,1 млн.руб., внебюджетных источников – 20,3 млн.руб. Не израсходованы средства федерального бюджета в размере 0,02 млн.руб., средства областного бюджета в размере 5,8 млн.руб., в том числе 3,5 млн.руб. из средств областного бюджета – неподтверждение расходов и возврат муниципальными образованиями Архангельской области средств на предоставление компенсации расходов на оплату жилых помещений, отопления и освещения педагогическим работникам муниципальных образовательных организаций муниципальных образований Архангельской области, расположенных в сельской местности, рабочих поселках (поселках городского типа.</w:t>
      </w:r>
    </w:p>
    <w:p w14:paraId="7BABEA23"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5 «Развитие научного потенциала Архангельской области» предусмотрено финансовых средств в размере 22,4 млн.руб., из них средства: областного бюджета – 13,5 млн.руб., внебюджетных источников – 9 млн.руб. Израсходовано 22,1 млн.руб. или 98,7%;</w:t>
      </w:r>
    </w:p>
    <w:p w14:paraId="0D422A98"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6 «Наследие М.В. Ломоносова в социально-экономическом и социокультурном развитии Архангельской области» предусмотрено финансовых средств в размере 11 млн.руб., из них средства: областного бюджета – 10,7 млн.руб., внебюджетных источников – 0,3 млн.руб. Израсходовано 11 млн.руб. или 100%;</w:t>
      </w:r>
    </w:p>
    <w:p w14:paraId="3E68AFA8" w14:textId="77777777" w:rsidR="00332CFA" w:rsidRPr="00A53AD7" w:rsidRDefault="00332CFA" w:rsidP="00CA1DDD">
      <w:pPr>
        <w:pStyle w:val="a8"/>
        <w:numPr>
          <w:ilvl w:val="0"/>
          <w:numId w:val="31"/>
        </w:numPr>
        <w:ind w:left="0" w:firstLine="851"/>
        <w:jc w:val="both"/>
        <w:rPr>
          <w:rFonts w:eastAsia="Calibri"/>
          <w:sz w:val="28"/>
          <w:szCs w:val="28"/>
        </w:rPr>
      </w:pPr>
      <w:r w:rsidRPr="00A53AD7">
        <w:rPr>
          <w:rFonts w:eastAsia="Calibri"/>
          <w:sz w:val="28"/>
          <w:szCs w:val="28"/>
        </w:rPr>
        <w:t>подпрограмма № 7 «Строительство и капитальный ремонт объектов инфраструктуры системы образования в Архангельской области» предусмотрено финансовых средств в размере 3 119,8 млн.руб., из них средства: федерального бюджета – 2 704,1 млн.руб., областного бюджета – 389,0 млн.руб., местных бюджетов – 26,7 млн.руб.</w:t>
      </w:r>
    </w:p>
    <w:p w14:paraId="5127A0D6" w14:textId="244BE1F5"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Израсходовано 1 223,1 млн.руб. из них средства: фе</w:t>
      </w:r>
      <w:r w:rsidR="00480614" w:rsidRPr="00A53AD7">
        <w:rPr>
          <w:rFonts w:ascii="Times New Roman" w:hAnsi="Times New Roman"/>
          <w:sz w:val="28"/>
          <w:szCs w:val="28"/>
        </w:rPr>
        <w:t>дерального бюджета – 950,6 млн.</w:t>
      </w:r>
      <w:r w:rsidRPr="00A53AD7">
        <w:rPr>
          <w:rFonts w:ascii="Times New Roman" w:hAnsi="Times New Roman"/>
          <w:sz w:val="28"/>
          <w:szCs w:val="28"/>
        </w:rPr>
        <w:t>руб., областного бюджета 247,5 млн.р</w:t>
      </w:r>
      <w:r w:rsidR="00480614" w:rsidRPr="00A53AD7">
        <w:rPr>
          <w:rFonts w:ascii="Times New Roman" w:hAnsi="Times New Roman"/>
          <w:sz w:val="28"/>
          <w:szCs w:val="28"/>
        </w:rPr>
        <w:t>уб., местных бюджетов 25,0 млн.</w:t>
      </w:r>
      <w:r w:rsidRPr="00A53AD7">
        <w:rPr>
          <w:rFonts w:ascii="Times New Roman" w:hAnsi="Times New Roman"/>
          <w:sz w:val="28"/>
          <w:szCs w:val="28"/>
        </w:rPr>
        <w:t>руб.</w:t>
      </w:r>
    </w:p>
    <w:p w14:paraId="785225A7" w14:textId="425C195E"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 израсходованы </w:t>
      </w:r>
      <w:r w:rsidR="00480614" w:rsidRPr="00A53AD7">
        <w:rPr>
          <w:rFonts w:ascii="Times New Roman" w:hAnsi="Times New Roman"/>
          <w:sz w:val="28"/>
          <w:szCs w:val="28"/>
        </w:rPr>
        <w:t>средства в размере 1 896,7 млн.</w:t>
      </w:r>
      <w:r w:rsidRPr="00A53AD7">
        <w:rPr>
          <w:rFonts w:ascii="Times New Roman" w:hAnsi="Times New Roman"/>
          <w:sz w:val="28"/>
          <w:szCs w:val="28"/>
        </w:rPr>
        <w:t xml:space="preserve">руб. или 60,8 % от общего объема ассигнований, из них </w:t>
      </w:r>
      <w:r w:rsidR="00443F37" w:rsidRPr="00A53AD7">
        <w:rPr>
          <w:rFonts w:ascii="Times New Roman" w:hAnsi="Times New Roman"/>
          <w:sz w:val="28"/>
          <w:szCs w:val="28"/>
        </w:rPr>
        <w:t>1 753,4 млн.</w:t>
      </w:r>
      <w:r w:rsidRPr="00A53AD7">
        <w:rPr>
          <w:rFonts w:ascii="Times New Roman" w:hAnsi="Times New Roman"/>
          <w:sz w:val="28"/>
          <w:szCs w:val="28"/>
        </w:rPr>
        <w:t>руб. - средства ф</w:t>
      </w:r>
      <w:r w:rsidR="00480614" w:rsidRPr="00A53AD7">
        <w:rPr>
          <w:rFonts w:ascii="Times New Roman" w:hAnsi="Times New Roman"/>
          <w:sz w:val="28"/>
          <w:szCs w:val="28"/>
        </w:rPr>
        <w:t>едерального бюджета, 141,5 млн.</w:t>
      </w:r>
      <w:r w:rsidRPr="00A53AD7">
        <w:rPr>
          <w:rFonts w:ascii="Times New Roman" w:hAnsi="Times New Roman"/>
          <w:sz w:val="28"/>
          <w:szCs w:val="28"/>
        </w:rPr>
        <w:t>руб. - средства областного бюджета, 1,8 млн.руб. - средства местных бюджетов).</w:t>
      </w:r>
    </w:p>
    <w:p w14:paraId="027B77CD"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рамках реализации подпрограммы № 7 «Строительство и капитальный ремонт объектов инфраструктуры системы образования в Архангельской области» следует отметить низкий уровень кассового исполнения расходов (30,8% показателя сводной бюджетной росписи) в рамках федерального проекта «Создание условий для осуществления трудовой деятельности женщин, имеющих детей, включая достижение 100-процентной доступности (к 2021 году) дошкольного образования для детей в возрасте до трех лет» национального проекта «Демография». </w:t>
      </w:r>
    </w:p>
    <w:p w14:paraId="55AF97F6" w14:textId="04CC63A5"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Более подробная информация приведена в разделе по реализации национальных проектов</w:t>
      </w:r>
      <w:r w:rsidR="00443F37" w:rsidRPr="00A53AD7">
        <w:rPr>
          <w:rFonts w:ascii="Times New Roman" w:hAnsi="Times New Roman"/>
          <w:sz w:val="28"/>
          <w:szCs w:val="28"/>
        </w:rPr>
        <w:t xml:space="preserve"> настоящего заключения</w:t>
      </w:r>
      <w:r w:rsidRPr="00A53AD7">
        <w:rPr>
          <w:rFonts w:ascii="Times New Roman" w:hAnsi="Times New Roman"/>
          <w:sz w:val="28"/>
          <w:szCs w:val="28"/>
        </w:rPr>
        <w:t>.</w:t>
      </w:r>
    </w:p>
    <w:p w14:paraId="724A6589" w14:textId="77777777" w:rsidR="00332CFA" w:rsidRPr="00A53AD7" w:rsidRDefault="00332CFA" w:rsidP="00332CFA">
      <w:pPr>
        <w:spacing w:after="0" w:line="240" w:lineRule="auto"/>
        <w:ind w:firstLine="851"/>
        <w:jc w:val="both"/>
        <w:rPr>
          <w:rFonts w:ascii="Times New Roman" w:hAnsi="Times New Roman"/>
          <w:sz w:val="28"/>
          <w:szCs w:val="28"/>
        </w:rPr>
      </w:pPr>
    </w:p>
    <w:p w14:paraId="2B262617" w14:textId="13DB6212" w:rsidR="00332CFA" w:rsidRPr="00A53AD7" w:rsidRDefault="00E46634" w:rsidP="00443F3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w:t>
      </w:r>
      <w:r w:rsidR="00332CFA" w:rsidRPr="00A53AD7">
        <w:rPr>
          <w:rFonts w:ascii="Times New Roman" w:hAnsi="Times New Roman"/>
          <w:sz w:val="28"/>
          <w:szCs w:val="28"/>
        </w:rPr>
        <w:t>Информация о достижении целевых показателей, закрепленных указом Президента Российской Федерации от 07.05.2012 года № 597 «О мероприятиях по реализации государственной социальной политики», а также указами Президента Российской Федерации от 01 июня 2012 года № 761</w:t>
      </w:r>
      <w:r w:rsidR="00C13F07" w:rsidRPr="00A53AD7">
        <w:rPr>
          <w:rFonts w:ascii="Times New Roman" w:hAnsi="Times New Roman"/>
          <w:sz w:val="28"/>
          <w:szCs w:val="28"/>
        </w:rPr>
        <w:t xml:space="preserve"> </w:t>
      </w:r>
      <w:r w:rsidR="00332CFA" w:rsidRPr="00A53AD7">
        <w:rPr>
          <w:rFonts w:ascii="Times New Roman" w:hAnsi="Times New Roman"/>
          <w:sz w:val="28"/>
          <w:szCs w:val="28"/>
        </w:rPr>
        <w:t>«О национальной стратегии действий в интересах детей на 2012 – 2017 годы» и от 28 декабря 2012 года № 1688 «О некоторых мерах по реализации государственной политики в сфере защиты детей – сирот и детей, оставшихся без попечения родителей», министерством образования и науки Архангельской области за 2019 год:</w:t>
      </w:r>
    </w:p>
    <w:tbl>
      <w:tblPr>
        <w:tblW w:w="9334" w:type="dxa"/>
        <w:tblInd w:w="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3503"/>
        <w:gridCol w:w="993"/>
        <w:gridCol w:w="1275"/>
        <w:gridCol w:w="851"/>
        <w:gridCol w:w="1153"/>
        <w:gridCol w:w="1559"/>
      </w:tblGrid>
      <w:tr w:rsidR="00A53AD7" w:rsidRPr="00A53AD7" w14:paraId="72575E40" w14:textId="77777777" w:rsidTr="00C13F07">
        <w:trPr>
          <w:tblHeader/>
        </w:trPr>
        <w:tc>
          <w:tcPr>
            <w:tcW w:w="3503" w:type="dxa"/>
            <w:vMerge w:val="restart"/>
            <w:tcBorders>
              <w:top w:val="double" w:sz="4" w:space="0" w:color="auto"/>
              <w:bottom w:val="single" w:sz="4" w:space="0" w:color="auto"/>
            </w:tcBorders>
            <w:vAlign w:val="center"/>
          </w:tcPr>
          <w:p w14:paraId="71901ACB"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Категории работников</w:t>
            </w:r>
          </w:p>
        </w:tc>
        <w:tc>
          <w:tcPr>
            <w:tcW w:w="993" w:type="dxa"/>
            <w:vMerge w:val="restart"/>
            <w:tcBorders>
              <w:top w:val="double" w:sz="4" w:space="0" w:color="auto"/>
              <w:bottom w:val="single" w:sz="4" w:space="0" w:color="auto"/>
            </w:tcBorders>
            <w:vAlign w:val="center"/>
          </w:tcPr>
          <w:p w14:paraId="4060C0CD"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b/>
                <w:bCs/>
                <w:sz w:val="18"/>
                <w:szCs w:val="18"/>
              </w:rPr>
              <w:t>2018 год</w:t>
            </w:r>
            <w:r w:rsidRPr="00A53AD7">
              <w:rPr>
                <w:rFonts w:ascii="Times New Roman" w:hAnsi="Times New Roman"/>
                <w:sz w:val="18"/>
                <w:szCs w:val="18"/>
              </w:rPr>
              <w:t>, рублей</w:t>
            </w:r>
          </w:p>
        </w:tc>
        <w:tc>
          <w:tcPr>
            <w:tcW w:w="2126" w:type="dxa"/>
            <w:gridSpan w:val="2"/>
            <w:tcBorders>
              <w:top w:val="double" w:sz="4" w:space="0" w:color="auto"/>
              <w:bottom w:val="single" w:sz="4" w:space="0" w:color="auto"/>
            </w:tcBorders>
            <w:vAlign w:val="center"/>
          </w:tcPr>
          <w:p w14:paraId="5AD15768"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 xml:space="preserve">Целевой показатель </w:t>
            </w:r>
            <w:r w:rsidRPr="00A53AD7">
              <w:rPr>
                <w:rFonts w:ascii="Times New Roman" w:hAnsi="Times New Roman"/>
                <w:sz w:val="18"/>
                <w:szCs w:val="18"/>
              </w:rPr>
              <w:br/>
              <w:t xml:space="preserve">на </w:t>
            </w:r>
            <w:r w:rsidRPr="00A53AD7">
              <w:rPr>
                <w:rFonts w:ascii="Times New Roman" w:hAnsi="Times New Roman"/>
                <w:b/>
                <w:bCs/>
                <w:sz w:val="18"/>
                <w:szCs w:val="18"/>
              </w:rPr>
              <w:t>2019 год</w:t>
            </w:r>
          </w:p>
        </w:tc>
        <w:tc>
          <w:tcPr>
            <w:tcW w:w="2712" w:type="dxa"/>
            <w:gridSpan w:val="2"/>
            <w:tcBorders>
              <w:top w:val="double" w:sz="4" w:space="0" w:color="auto"/>
              <w:bottom w:val="single" w:sz="4" w:space="0" w:color="auto"/>
            </w:tcBorders>
          </w:tcPr>
          <w:p w14:paraId="2C130FF1"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Фактические значения в 2019 году</w:t>
            </w:r>
            <w:r w:rsidRPr="00A53AD7">
              <w:rPr>
                <w:rFonts w:ascii="Times New Roman" w:hAnsi="Times New Roman"/>
                <w:b/>
                <w:bCs/>
                <w:sz w:val="18"/>
                <w:szCs w:val="18"/>
              </w:rPr>
              <w:t xml:space="preserve"> </w:t>
            </w:r>
            <w:r w:rsidRPr="00A53AD7">
              <w:rPr>
                <w:rFonts w:ascii="Times New Roman" w:hAnsi="Times New Roman"/>
                <w:bCs/>
                <w:sz w:val="18"/>
                <w:szCs w:val="18"/>
              </w:rPr>
              <w:t>(Росстат)***</w:t>
            </w:r>
          </w:p>
        </w:tc>
      </w:tr>
      <w:tr w:rsidR="00A53AD7" w:rsidRPr="00A53AD7" w14:paraId="6B055610" w14:textId="77777777" w:rsidTr="00C13F07">
        <w:trPr>
          <w:tblHeader/>
        </w:trPr>
        <w:tc>
          <w:tcPr>
            <w:tcW w:w="3503" w:type="dxa"/>
            <w:vMerge/>
            <w:tcBorders>
              <w:top w:val="single" w:sz="4" w:space="0" w:color="auto"/>
              <w:bottom w:val="double" w:sz="4" w:space="0" w:color="auto"/>
            </w:tcBorders>
          </w:tcPr>
          <w:p w14:paraId="1CC7A4F4" w14:textId="77777777" w:rsidR="00332CFA" w:rsidRPr="00A53AD7" w:rsidRDefault="00332CFA" w:rsidP="00C13F07">
            <w:pPr>
              <w:spacing w:after="0" w:line="240" w:lineRule="auto"/>
              <w:jc w:val="center"/>
              <w:rPr>
                <w:rFonts w:ascii="Times New Roman" w:hAnsi="Times New Roman"/>
                <w:sz w:val="18"/>
                <w:szCs w:val="18"/>
              </w:rPr>
            </w:pPr>
          </w:p>
        </w:tc>
        <w:tc>
          <w:tcPr>
            <w:tcW w:w="993" w:type="dxa"/>
            <w:vMerge/>
            <w:tcBorders>
              <w:top w:val="single" w:sz="4" w:space="0" w:color="auto"/>
              <w:bottom w:val="double" w:sz="4" w:space="0" w:color="auto"/>
            </w:tcBorders>
          </w:tcPr>
          <w:p w14:paraId="320FE71A" w14:textId="77777777" w:rsidR="00332CFA" w:rsidRPr="00A53AD7" w:rsidRDefault="00332CFA" w:rsidP="00C13F07">
            <w:pPr>
              <w:spacing w:after="0" w:line="240" w:lineRule="auto"/>
              <w:jc w:val="center"/>
              <w:rPr>
                <w:rFonts w:ascii="Times New Roman" w:hAnsi="Times New Roman"/>
                <w:sz w:val="18"/>
                <w:szCs w:val="18"/>
              </w:rPr>
            </w:pPr>
          </w:p>
        </w:tc>
        <w:tc>
          <w:tcPr>
            <w:tcW w:w="1275" w:type="dxa"/>
            <w:tcBorders>
              <w:top w:val="single" w:sz="4" w:space="0" w:color="auto"/>
              <w:bottom w:val="double" w:sz="4" w:space="0" w:color="auto"/>
            </w:tcBorders>
            <w:vAlign w:val="center"/>
          </w:tcPr>
          <w:p w14:paraId="2721AEB5"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рублей</w:t>
            </w:r>
          </w:p>
        </w:tc>
        <w:tc>
          <w:tcPr>
            <w:tcW w:w="851" w:type="dxa"/>
            <w:tcBorders>
              <w:top w:val="single" w:sz="4" w:space="0" w:color="auto"/>
              <w:bottom w:val="double" w:sz="4" w:space="0" w:color="auto"/>
            </w:tcBorders>
            <w:vAlign w:val="center"/>
          </w:tcPr>
          <w:p w14:paraId="52381C8F"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 xml:space="preserve">отношение </w:t>
            </w:r>
            <w:r w:rsidRPr="00A53AD7">
              <w:rPr>
                <w:rFonts w:ascii="Times New Roman" w:hAnsi="Times New Roman"/>
                <w:sz w:val="18"/>
                <w:szCs w:val="18"/>
              </w:rPr>
              <w:br/>
              <w:t xml:space="preserve">к средней ЗП </w:t>
            </w:r>
            <w:r w:rsidRPr="00A53AD7">
              <w:rPr>
                <w:rFonts w:ascii="Times New Roman" w:hAnsi="Times New Roman"/>
                <w:sz w:val="18"/>
                <w:szCs w:val="18"/>
              </w:rPr>
              <w:br/>
              <w:t xml:space="preserve">по экономике, % </w:t>
            </w:r>
          </w:p>
        </w:tc>
        <w:tc>
          <w:tcPr>
            <w:tcW w:w="1153" w:type="dxa"/>
            <w:tcBorders>
              <w:top w:val="single" w:sz="4" w:space="0" w:color="auto"/>
              <w:bottom w:val="double" w:sz="4" w:space="0" w:color="auto"/>
            </w:tcBorders>
            <w:vAlign w:val="center"/>
          </w:tcPr>
          <w:p w14:paraId="4DAC8CBD"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рублей</w:t>
            </w:r>
          </w:p>
        </w:tc>
        <w:tc>
          <w:tcPr>
            <w:tcW w:w="1559" w:type="dxa"/>
            <w:tcBorders>
              <w:top w:val="single" w:sz="4" w:space="0" w:color="auto"/>
              <w:bottom w:val="double" w:sz="4" w:space="0" w:color="auto"/>
            </w:tcBorders>
            <w:vAlign w:val="center"/>
          </w:tcPr>
          <w:p w14:paraId="6FA012FD"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 xml:space="preserve">отношение </w:t>
            </w:r>
            <w:r w:rsidRPr="00A53AD7">
              <w:rPr>
                <w:rFonts w:ascii="Times New Roman" w:hAnsi="Times New Roman"/>
                <w:sz w:val="18"/>
                <w:szCs w:val="18"/>
              </w:rPr>
              <w:br/>
              <w:t xml:space="preserve">к средней ЗП по экономике, % </w:t>
            </w:r>
          </w:p>
        </w:tc>
      </w:tr>
      <w:tr w:rsidR="00A53AD7" w:rsidRPr="00A53AD7" w14:paraId="1CFFF5BB" w14:textId="77777777" w:rsidTr="00C13F07">
        <w:trPr>
          <w:trHeight w:val="293"/>
        </w:trPr>
        <w:tc>
          <w:tcPr>
            <w:tcW w:w="3503" w:type="dxa"/>
            <w:tcBorders>
              <w:top w:val="double" w:sz="4" w:space="0" w:color="auto"/>
            </w:tcBorders>
          </w:tcPr>
          <w:p w14:paraId="46C3A237" w14:textId="77777777" w:rsidR="00332CFA" w:rsidRPr="00A53AD7" w:rsidRDefault="00332CFA" w:rsidP="00C13F07">
            <w:pPr>
              <w:spacing w:after="0" w:line="240" w:lineRule="auto"/>
              <w:rPr>
                <w:rFonts w:ascii="Times New Roman" w:hAnsi="Times New Roman"/>
                <w:sz w:val="18"/>
                <w:szCs w:val="18"/>
              </w:rPr>
            </w:pPr>
            <w:r w:rsidRPr="00A53AD7">
              <w:rPr>
                <w:rFonts w:ascii="Times New Roman" w:hAnsi="Times New Roman"/>
                <w:sz w:val="18"/>
                <w:szCs w:val="18"/>
              </w:rPr>
              <w:t>Педагогические работники дошкольных образовательных учреждений</w:t>
            </w:r>
          </w:p>
        </w:tc>
        <w:tc>
          <w:tcPr>
            <w:tcW w:w="993" w:type="dxa"/>
            <w:tcBorders>
              <w:top w:val="double" w:sz="4" w:space="0" w:color="auto"/>
            </w:tcBorders>
          </w:tcPr>
          <w:p w14:paraId="5A33024D"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33 061,0</w:t>
            </w:r>
          </w:p>
        </w:tc>
        <w:tc>
          <w:tcPr>
            <w:tcW w:w="1275" w:type="dxa"/>
            <w:tcBorders>
              <w:top w:val="double" w:sz="4" w:space="0" w:color="auto"/>
            </w:tcBorders>
          </w:tcPr>
          <w:p w14:paraId="71EC3A82"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36 480,0</w:t>
            </w:r>
          </w:p>
        </w:tc>
        <w:tc>
          <w:tcPr>
            <w:tcW w:w="851" w:type="dxa"/>
            <w:tcBorders>
              <w:top w:val="double" w:sz="4" w:space="0" w:color="auto"/>
            </w:tcBorders>
          </w:tcPr>
          <w:p w14:paraId="0E8D74B5"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1153" w:type="dxa"/>
            <w:tcBorders>
              <w:top w:val="double" w:sz="4" w:space="0" w:color="auto"/>
            </w:tcBorders>
          </w:tcPr>
          <w:p w14:paraId="63C2F162"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36 280</w:t>
            </w:r>
          </w:p>
        </w:tc>
        <w:tc>
          <w:tcPr>
            <w:tcW w:w="1559" w:type="dxa"/>
            <w:tcBorders>
              <w:top w:val="double" w:sz="4" w:space="0" w:color="auto"/>
            </w:tcBorders>
          </w:tcPr>
          <w:p w14:paraId="48B32E31"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99,5</w:t>
            </w:r>
          </w:p>
        </w:tc>
      </w:tr>
      <w:tr w:rsidR="00A53AD7" w:rsidRPr="00A53AD7" w14:paraId="68ECC766" w14:textId="77777777" w:rsidTr="00C13F07">
        <w:trPr>
          <w:trHeight w:val="427"/>
        </w:trPr>
        <w:tc>
          <w:tcPr>
            <w:tcW w:w="3503" w:type="dxa"/>
          </w:tcPr>
          <w:p w14:paraId="2282B7F0" w14:textId="77777777" w:rsidR="00332CFA" w:rsidRPr="00A53AD7" w:rsidRDefault="00332CFA" w:rsidP="00C13F07">
            <w:pPr>
              <w:spacing w:after="0" w:line="240" w:lineRule="auto"/>
              <w:rPr>
                <w:rFonts w:ascii="Times New Roman" w:hAnsi="Times New Roman"/>
                <w:sz w:val="18"/>
                <w:szCs w:val="18"/>
              </w:rPr>
            </w:pPr>
            <w:r w:rsidRPr="00A53AD7">
              <w:rPr>
                <w:rFonts w:ascii="Times New Roman" w:hAnsi="Times New Roman"/>
                <w:sz w:val="18"/>
                <w:szCs w:val="18"/>
              </w:rPr>
              <w:t xml:space="preserve">Педагогические работники образовательных организаций </w:t>
            </w:r>
          </w:p>
        </w:tc>
        <w:tc>
          <w:tcPr>
            <w:tcW w:w="993" w:type="dxa"/>
          </w:tcPr>
          <w:p w14:paraId="0BD74416"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38 393,9</w:t>
            </w:r>
          </w:p>
        </w:tc>
        <w:tc>
          <w:tcPr>
            <w:tcW w:w="1275" w:type="dxa"/>
          </w:tcPr>
          <w:p w14:paraId="5C5BC7EC"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42 105,0</w:t>
            </w:r>
          </w:p>
        </w:tc>
        <w:tc>
          <w:tcPr>
            <w:tcW w:w="851" w:type="dxa"/>
          </w:tcPr>
          <w:p w14:paraId="481190F6"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1153" w:type="dxa"/>
          </w:tcPr>
          <w:p w14:paraId="64F2FA3E" w14:textId="77777777" w:rsidR="00332CFA" w:rsidRPr="00A53AD7" w:rsidRDefault="00332CFA" w:rsidP="00C13F07">
            <w:pPr>
              <w:spacing w:after="0" w:line="240" w:lineRule="auto"/>
              <w:ind w:left="252" w:hanging="252"/>
              <w:jc w:val="center"/>
              <w:rPr>
                <w:rFonts w:ascii="Times New Roman" w:hAnsi="Times New Roman"/>
                <w:sz w:val="18"/>
                <w:szCs w:val="18"/>
              </w:rPr>
            </w:pPr>
            <w:r w:rsidRPr="00A53AD7">
              <w:rPr>
                <w:rFonts w:ascii="Times New Roman" w:hAnsi="Times New Roman"/>
                <w:sz w:val="18"/>
                <w:szCs w:val="18"/>
              </w:rPr>
              <w:t>41 745</w:t>
            </w:r>
          </w:p>
        </w:tc>
        <w:tc>
          <w:tcPr>
            <w:tcW w:w="1559" w:type="dxa"/>
          </w:tcPr>
          <w:p w14:paraId="5877044C" w14:textId="77777777" w:rsidR="00332CFA" w:rsidRPr="00A53AD7" w:rsidRDefault="00332CFA" w:rsidP="00C13F07">
            <w:pPr>
              <w:spacing w:after="0" w:line="240" w:lineRule="auto"/>
              <w:ind w:left="249" w:hanging="249"/>
              <w:jc w:val="center"/>
              <w:rPr>
                <w:rFonts w:ascii="Times New Roman" w:hAnsi="Times New Roman"/>
                <w:sz w:val="18"/>
                <w:szCs w:val="18"/>
              </w:rPr>
            </w:pPr>
            <w:r w:rsidRPr="00A53AD7">
              <w:rPr>
                <w:rFonts w:ascii="Times New Roman" w:hAnsi="Times New Roman"/>
                <w:sz w:val="18"/>
                <w:szCs w:val="18"/>
              </w:rPr>
              <w:t>99,1</w:t>
            </w:r>
          </w:p>
        </w:tc>
      </w:tr>
      <w:tr w:rsidR="00A53AD7" w:rsidRPr="00A53AD7" w14:paraId="0D8E2376" w14:textId="77777777" w:rsidTr="00C13F07">
        <w:trPr>
          <w:trHeight w:val="419"/>
        </w:trPr>
        <w:tc>
          <w:tcPr>
            <w:tcW w:w="3503" w:type="dxa"/>
          </w:tcPr>
          <w:p w14:paraId="5EAA948E" w14:textId="77777777" w:rsidR="00332CFA" w:rsidRPr="00A53AD7" w:rsidRDefault="00332CFA" w:rsidP="00C13F07">
            <w:pPr>
              <w:spacing w:after="0" w:line="240" w:lineRule="auto"/>
              <w:rPr>
                <w:rFonts w:ascii="Times New Roman" w:hAnsi="Times New Roman"/>
                <w:sz w:val="18"/>
                <w:szCs w:val="18"/>
              </w:rPr>
            </w:pPr>
            <w:r w:rsidRPr="00A53AD7">
              <w:rPr>
                <w:rFonts w:ascii="Times New Roman" w:hAnsi="Times New Roman"/>
                <w:sz w:val="18"/>
                <w:szCs w:val="18"/>
              </w:rPr>
              <w:t>Педагогические работники учреждений дополнительного образования детей</w:t>
            </w:r>
          </w:p>
        </w:tc>
        <w:tc>
          <w:tcPr>
            <w:tcW w:w="993" w:type="dxa"/>
          </w:tcPr>
          <w:p w14:paraId="5111F921"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39 262,9</w:t>
            </w:r>
          </w:p>
        </w:tc>
        <w:tc>
          <w:tcPr>
            <w:tcW w:w="1275" w:type="dxa"/>
          </w:tcPr>
          <w:p w14:paraId="398F5642"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42 550,0</w:t>
            </w:r>
          </w:p>
        </w:tc>
        <w:tc>
          <w:tcPr>
            <w:tcW w:w="851" w:type="dxa"/>
          </w:tcPr>
          <w:p w14:paraId="4AECF1B3"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1153" w:type="dxa"/>
          </w:tcPr>
          <w:p w14:paraId="7F01440E"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42 630</w:t>
            </w:r>
          </w:p>
        </w:tc>
        <w:tc>
          <w:tcPr>
            <w:tcW w:w="1559" w:type="dxa"/>
          </w:tcPr>
          <w:p w14:paraId="6E9CB9BB"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100,2</w:t>
            </w:r>
          </w:p>
        </w:tc>
      </w:tr>
      <w:tr w:rsidR="00A53AD7" w:rsidRPr="00A53AD7" w14:paraId="5B19009A" w14:textId="77777777" w:rsidTr="00C13F07">
        <w:trPr>
          <w:trHeight w:val="651"/>
        </w:trPr>
        <w:tc>
          <w:tcPr>
            <w:tcW w:w="3503" w:type="dxa"/>
          </w:tcPr>
          <w:p w14:paraId="20F32855" w14:textId="77777777" w:rsidR="00332CFA" w:rsidRPr="00A53AD7" w:rsidRDefault="00332CFA" w:rsidP="00C13F07">
            <w:pPr>
              <w:spacing w:after="0" w:line="240" w:lineRule="auto"/>
              <w:rPr>
                <w:rFonts w:ascii="Times New Roman" w:hAnsi="Times New Roman"/>
                <w:sz w:val="18"/>
                <w:szCs w:val="18"/>
              </w:rPr>
            </w:pPr>
            <w:r w:rsidRPr="00A53AD7">
              <w:rPr>
                <w:rFonts w:ascii="Times New Roman" w:hAnsi="Times New Roman"/>
                <w:sz w:val="18"/>
                <w:szCs w:val="18"/>
              </w:rPr>
              <w:t xml:space="preserve">Педагогические работники организаций для детей сирот и детей, оставшихся без попечения родителей </w:t>
            </w:r>
          </w:p>
        </w:tc>
        <w:tc>
          <w:tcPr>
            <w:tcW w:w="993" w:type="dxa"/>
          </w:tcPr>
          <w:p w14:paraId="2B5EFCC7"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38 714,1</w:t>
            </w:r>
          </w:p>
        </w:tc>
        <w:tc>
          <w:tcPr>
            <w:tcW w:w="1275" w:type="dxa"/>
          </w:tcPr>
          <w:p w14:paraId="76142519"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42 105,0</w:t>
            </w:r>
          </w:p>
        </w:tc>
        <w:tc>
          <w:tcPr>
            <w:tcW w:w="851" w:type="dxa"/>
          </w:tcPr>
          <w:p w14:paraId="7DE022DE"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1153" w:type="dxa"/>
          </w:tcPr>
          <w:p w14:paraId="1AA6A958"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41 880</w:t>
            </w:r>
          </w:p>
        </w:tc>
        <w:tc>
          <w:tcPr>
            <w:tcW w:w="1559" w:type="dxa"/>
          </w:tcPr>
          <w:p w14:paraId="06BB50D7"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99,5</w:t>
            </w:r>
          </w:p>
        </w:tc>
      </w:tr>
      <w:tr w:rsidR="00A53AD7" w:rsidRPr="00A53AD7" w14:paraId="553CED59" w14:textId="77777777" w:rsidTr="00C13F07">
        <w:trPr>
          <w:trHeight w:val="746"/>
        </w:trPr>
        <w:tc>
          <w:tcPr>
            <w:tcW w:w="3503" w:type="dxa"/>
          </w:tcPr>
          <w:p w14:paraId="6938EC22" w14:textId="66DBFA2E" w:rsidR="00332CFA" w:rsidRPr="00A53AD7" w:rsidRDefault="00332CFA" w:rsidP="00C13F07">
            <w:pPr>
              <w:spacing w:after="0" w:line="240" w:lineRule="auto"/>
              <w:rPr>
                <w:rFonts w:ascii="Times New Roman" w:hAnsi="Times New Roman"/>
                <w:sz w:val="18"/>
                <w:szCs w:val="18"/>
              </w:rPr>
            </w:pPr>
            <w:r w:rsidRPr="00A53AD7">
              <w:rPr>
                <w:rFonts w:ascii="Times New Roman" w:hAnsi="Times New Roman"/>
                <w:sz w:val="18"/>
                <w:szCs w:val="18"/>
              </w:rPr>
              <w:t>Преподаватели и мастера производственного обучения профессиональных образовательных организаций</w:t>
            </w:r>
            <w:r w:rsidR="00E46634" w:rsidRPr="00A53AD7">
              <w:rPr>
                <w:rFonts w:ascii="Times New Roman" w:hAnsi="Times New Roman"/>
                <w:sz w:val="18"/>
                <w:szCs w:val="18"/>
              </w:rPr>
              <w:t xml:space="preserve"> </w:t>
            </w:r>
          </w:p>
        </w:tc>
        <w:tc>
          <w:tcPr>
            <w:tcW w:w="993" w:type="dxa"/>
          </w:tcPr>
          <w:p w14:paraId="47C7CC89"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38 957,9</w:t>
            </w:r>
          </w:p>
        </w:tc>
        <w:tc>
          <w:tcPr>
            <w:tcW w:w="1275" w:type="dxa"/>
          </w:tcPr>
          <w:p w14:paraId="56FE8B18" w14:textId="77777777" w:rsidR="00332CFA" w:rsidRPr="00A53AD7" w:rsidRDefault="00332CFA" w:rsidP="00C13F07">
            <w:pPr>
              <w:spacing w:after="0" w:line="240" w:lineRule="auto"/>
              <w:jc w:val="center"/>
              <w:rPr>
                <w:rFonts w:ascii="Times New Roman" w:hAnsi="Times New Roman"/>
                <w:bCs/>
                <w:sz w:val="18"/>
                <w:szCs w:val="18"/>
              </w:rPr>
            </w:pPr>
            <w:r w:rsidRPr="00A53AD7">
              <w:rPr>
                <w:rFonts w:ascii="Times New Roman" w:hAnsi="Times New Roman"/>
                <w:bCs/>
                <w:sz w:val="18"/>
                <w:szCs w:val="18"/>
              </w:rPr>
              <w:t>42 105,0</w:t>
            </w:r>
          </w:p>
        </w:tc>
        <w:tc>
          <w:tcPr>
            <w:tcW w:w="851" w:type="dxa"/>
          </w:tcPr>
          <w:p w14:paraId="7E2B0410"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1153" w:type="dxa"/>
          </w:tcPr>
          <w:p w14:paraId="5347CCAD"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42 238</w:t>
            </w:r>
          </w:p>
        </w:tc>
        <w:tc>
          <w:tcPr>
            <w:tcW w:w="1559" w:type="dxa"/>
          </w:tcPr>
          <w:p w14:paraId="0483F439" w14:textId="77777777" w:rsidR="00332CFA" w:rsidRPr="00A53AD7" w:rsidRDefault="00332CFA" w:rsidP="00C13F07">
            <w:pPr>
              <w:spacing w:after="0" w:line="240" w:lineRule="auto"/>
              <w:jc w:val="center"/>
              <w:rPr>
                <w:rFonts w:ascii="Times New Roman" w:hAnsi="Times New Roman"/>
                <w:sz w:val="18"/>
                <w:szCs w:val="18"/>
              </w:rPr>
            </w:pPr>
            <w:r w:rsidRPr="00A53AD7">
              <w:rPr>
                <w:rFonts w:ascii="Times New Roman" w:hAnsi="Times New Roman"/>
                <w:sz w:val="18"/>
                <w:szCs w:val="18"/>
              </w:rPr>
              <w:t>100,0</w:t>
            </w:r>
          </w:p>
        </w:tc>
      </w:tr>
    </w:tbl>
    <w:p w14:paraId="1D6A437B" w14:textId="77777777" w:rsidR="00332CFA" w:rsidRPr="00A53AD7" w:rsidRDefault="00332CFA" w:rsidP="00332CFA">
      <w:pPr>
        <w:widowControl w:val="0"/>
        <w:autoSpaceDE w:val="0"/>
        <w:autoSpaceDN w:val="0"/>
        <w:adjustRightInd w:val="0"/>
        <w:spacing w:after="0" w:line="240" w:lineRule="auto"/>
        <w:ind w:firstLine="708"/>
        <w:jc w:val="both"/>
        <w:rPr>
          <w:rFonts w:ascii="Times New Roman" w:hAnsi="Times New Roman"/>
          <w:sz w:val="20"/>
          <w:szCs w:val="20"/>
        </w:rPr>
      </w:pPr>
      <w:r w:rsidRPr="00A53AD7">
        <w:rPr>
          <w:rFonts w:ascii="Times New Roman" w:hAnsi="Times New Roman"/>
          <w:iCs/>
          <w:sz w:val="20"/>
          <w:szCs w:val="20"/>
        </w:rPr>
        <w:t>* к средней ЗП в общем образовании</w:t>
      </w:r>
      <w:r w:rsidRPr="00A53AD7">
        <w:rPr>
          <w:rFonts w:ascii="Times New Roman" w:hAnsi="Times New Roman"/>
          <w:iCs/>
        </w:rPr>
        <w:t xml:space="preserve">. </w:t>
      </w:r>
      <w:r w:rsidRPr="00A53AD7">
        <w:rPr>
          <w:rFonts w:ascii="Times New Roman" w:hAnsi="Times New Roman"/>
          <w:sz w:val="20"/>
          <w:szCs w:val="20"/>
        </w:rPr>
        <w:t>Уровень средней заработной платы в общем образовании Архангельской области на 2019 год – 36 480 рублей (факт);</w:t>
      </w:r>
    </w:p>
    <w:p w14:paraId="10AB787D" w14:textId="150F663E" w:rsidR="00332CFA" w:rsidRPr="00A53AD7" w:rsidRDefault="00332CFA" w:rsidP="00332CFA">
      <w:pPr>
        <w:spacing w:after="0" w:line="240" w:lineRule="auto"/>
        <w:ind w:firstLine="708"/>
        <w:jc w:val="both"/>
        <w:rPr>
          <w:rFonts w:ascii="Times New Roman" w:hAnsi="Times New Roman"/>
          <w:sz w:val="28"/>
          <w:szCs w:val="28"/>
        </w:rPr>
      </w:pPr>
      <w:r w:rsidRPr="00A53AD7">
        <w:rPr>
          <w:rFonts w:ascii="Times New Roman" w:hAnsi="Times New Roman"/>
          <w:iCs/>
          <w:sz w:val="20"/>
          <w:szCs w:val="20"/>
        </w:rPr>
        <w:t>** к средней ЗП учителей.</w:t>
      </w:r>
      <w:r w:rsidR="00E46634" w:rsidRPr="00A53AD7">
        <w:rPr>
          <w:rFonts w:ascii="Times New Roman" w:hAnsi="Times New Roman"/>
          <w:iCs/>
        </w:rPr>
        <w:t xml:space="preserve"> </w:t>
      </w:r>
      <w:r w:rsidRPr="00A53AD7">
        <w:rPr>
          <w:rFonts w:ascii="Times New Roman" w:hAnsi="Times New Roman"/>
          <w:sz w:val="20"/>
          <w:szCs w:val="20"/>
        </w:rPr>
        <w:t>Уровень средней заработной платы учителей Архангельской области в 2019 году составил 42 549,7 рубля (план).</w:t>
      </w:r>
    </w:p>
    <w:p w14:paraId="1D3A0CBC" w14:textId="77777777" w:rsidR="00332CFA" w:rsidRPr="00A53AD7" w:rsidRDefault="00332CFA" w:rsidP="00332CFA">
      <w:pPr>
        <w:spacing w:after="0" w:line="240" w:lineRule="auto"/>
        <w:jc w:val="both"/>
        <w:rPr>
          <w:rFonts w:ascii="Times New Roman" w:hAnsi="Times New Roman"/>
          <w:sz w:val="28"/>
          <w:szCs w:val="28"/>
        </w:rPr>
      </w:pPr>
      <w:r w:rsidRPr="00A53AD7">
        <w:rPr>
          <w:rFonts w:ascii="Times New Roman" w:hAnsi="Times New Roman"/>
          <w:sz w:val="28"/>
          <w:szCs w:val="28"/>
        </w:rPr>
        <w:tab/>
      </w:r>
      <w:r w:rsidRPr="00A53AD7">
        <w:rPr>
          <w:rFonts w:ascii="Times New Roman" w:hAnsi="Times New Roman"/>
          <w:iCs/>
          <w:sz w:val="20"/>
          <w:szCs w:val="20"/>
        </w:rPr>
        <w:t>***по опубликованным данным Росстата.</w:t>
      </w:r>
    </w:p>
    <w:p w14:paraId="51BA97AB" w14:textId="77777777" w:rsidR="00903468" w:rsidRPr="00A53AD7" w:rsidRDefault="00903468" w:rsidP="00332CFA">
      <w:pPr>
        <w:spacing w:after="0" w:line="240" w:lineRule="auto"/>
        <w:ind w:firstLine="851"/>
        <w:jc w:val="both"/>
        <w:rPr>
          <w:rFonts w:ascii="Times New Roman" w:hAnsi="Times New Roman"/>
          <w:sz w:val="28"/>
          <w:szCs w:val="28"/>
        </w:rPr>
      </w:pPr>
    </w:p>
    <w:p w14:paraId="57073A0C"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Указу Президента РФ от 07.05.2012 № 597 «О мероприятиях по реализации государственной социальной политики» (далее – Указ Президента РФ от 07.05.2012 № 597), необходимо обеспечить доведение к 2018 году средней заработной платы преподавателей и мастеров производственного обучения образовательных учреждений начального и среднего профессионального образования до средней заработной платы в соответствующем регионе (далее – целевой показатель).</w:t>
      </w:r>
    </w:p>
    <w:p w14:paraId="4B4ACF93"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Необходимо отметить, что в соответствии с письмом минэкономразвития АО от 11.01.2019 № 206-02/11, средняя заработная плата в регионе по прогнозу за 2019 год (консервативный вариант) составит – </w:t>
      </w:r>
      <w:r w:rsidRPr="00A53AD7">
        <w:rPr>
          <w:rFonts w:ascii="Times New Roman" w:hAnsi="Times New Roman"/>
          <w:sz w:val="28"/>
          <w:szCs w:val="28"/>
        </w:rPr>
        <w:br/>
        <w:t>40 076,00 руб.</w:t>
      </w:r>
    </w:p>
    <w:p w14:paraId="100A25DA" w14:textId="3EF69B0F"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письмом Министерства экономического развития РФ от 29 ноября 2019 г. № Д14и-41543 «Об уточнении значений среднемесячного дохода от трудовой деятельности» уточненное значение среднемесячного дохода от трудовой деятельности в 2019 году в Архангельской области составляет 41 428,5 руб.</w:t>
      </w:r>
    </w:p>
    <w:p w14:paraId="705AE1CD" w14:textId="16D54A6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В ходе проверки ГАПОУ Архангельской области «Вельский сельскохозяйственный техникум имени Г.И. Шибанова» выявлено, что согласно пункту 4.3.5.3 Соглашения по субсидии на госзадание от 09.01.20189 № 01к-13/27 (в редакции дополнительного соглашения № 2 от 22.11.2019) учреждению в 2019 году установлены значения показателя результативности предоставления субсидии по достижению среднемесячной заработной платы преподавателей и мастеров производственного обучения за счет средств областного бюджета в сумме 31 547,00 руб. и 750,00 руб. за счет средств от предпринимательской деятельности, итого – 32</w:t>
      </w:r>
      <w:r w:rsidR="00903468" w:rsidRPr="00A53AD7">
        <w:rPr>
          <w:rFonts w:ascii="Times New Roman" w:hAnsi="Times New Roman"/>
          <w:sz w:val="28"/>
          <w:szCs w:val="28"/>
        </w:rPr>
        <w:t> </w:t>
      </w:r>
      <w:r w:rsidRPr="00A53AD7">
        <w:rPr>
          <w:rFonts w:ascii="Times New Roman" w:hAnsi="Times New Roman"/>
          <w:sz w:val="28"/>
          <w:szCs w:val="28"/>
        </w:rPr>
        <w:t>297,00 руб., которые учреждение обязано обеспечить.</w:t>
      </w:r>
    </w:p>
    <w:p w14:paraId="69956BDB" w14:textId="77777777"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Следовательно, минобрнауки АО до учреждения доведен целевой показатель на 2019 год ниже средней заработной платы в регионе, рассчитанной по прогнозу на 2019 год (консервативный вариант) и установленной положениями Указа Президента РФ от 07.05.2012 № 597.</w:t>
      </w:r>
    </w:p>
    <w:p w14:paraId="14ACC193" w14:textId="77777777" w:rsidR="009B7AAC" w:rsidRPr="00A53AD7" w:rsidRDefault="009B7AAC" w:rsidP="009B7AAC">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Аналогично, минобрнауки АО доведен целевой показатель на 2019 год ниже средней заработной платы в регионе следующим образовательным организациям:</w:t>
      </w:r>
    </w:p>
    <w:p w14:paraId="53197B07" w14:textId="32AE27BA" w:rsidR="00332CFA" w:rsidRPr="00A53AD7" w:rsidRDefault="00332CFA" w:rsidP="00332CFA">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ГАПОУ АО «Вельский индустриально-экономический колледж» - 33 652,00 руб.,</w:t>
      </w:r>
      <w:r w:rsidR="00E46634" w:rsidRPr="00A53AD7">
        <w:rPr>
          <w:rFonts w:ascii="Times New Roman" w:hAnsi="Times New Roman"/>
          <w:sz w:val="28"/>
          <w:szCs w:val="28"/>
        </w:rPr>
        <w:t xml:space="preserve"> </w:t>
      </w:r>
      <w:r w:rsidRPr="00A53AD7">
        <w:rPr>
          <w:rFonts w:ascii="Times New Roman" w:hAnsi="Times New Roman"/>
          <w:sz w:val="28"/>
          <w:szCs w:val="28"/>
        </w:rPr>
        <w:t>ГБПОУ АО «Онежский индустриальный техникум» - 34 491,00 руб., ГБПОУ АО «Березниковский индустриальный техникум» - 33 774,00 руб. ГБПОУ АО «Архангельский аграрный техникум» - 30 950,00 руб., ГБПОУ АО «Северный техникум транспорта и технологий» - 31 738,00 руб., ГБПОУ АО «Каргопольс</w:t>
      </w:r>
      <w:r w:rsidR="00AB4BD9" w:rsidRPr="00A53AD7">
        <w:rPr>
          <w:rFonts w:ascii="Times New Roman" w:hAnsi="Times New Roman"/>
          <w:sz w:val="28"/>
          <w:szCs w:val="28"/>
        </w:rPr>
        <w:t>к</w:t>
      </w:r>
      <w:r w:rsidRPr="00A53AD7">
        <w:rPr>
          <w:rFonts w:ascii="Times New Roman" w:hAnsi="Times New Roman"/>
          <w:sz w:val="28"/>
          <w:szCs w:val="28"/>
        </w:rPr>
        <w:t>ий педагогический колледж» - 36 300,00 руб., ГБПОУ АО «Архангельский педагогический колледж» - 35 065,00 руб., ГАПОУ АО «Новодвинский индустриальный техникум» - 36 642,00 руб.</w:t>
      </w:r>
    </w:p>
    <w:p w14:paraId="2DD54DBF" w14:textId="5C344C50" w:rsidR="00E82694" w:rsidRPr="00A53AD7" w:rsidRDefault="00E82694" w:rsidP="00E82694">
      <w:pPr>
        <w:pStyle w:val="3"/>
        <w:spacing w:line="240" w:lineRule="auto"/>
        <w:jc w:val="center"/>
        <w:rPr>
          <w:rFonts w:ascii="Times New Roman" w:hAnsi="Times New Roman"/>
          <w:b w:val="0"/>
          <w:sz w:val="28"/>
          <w:szCs w:val="28"/>
          <w:u w:val="single"/>
        </w:rPr>
      </w:pPr>
      <w:bookmarkStart w:id="72" w:name="_Toc42006724"/>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00ED1404" w:rsidRPr="00A53AD7">
        <w:rPr>
          <w:rFonts w:ascii="Times New Roman" w:hAnsi="Times New Roman"/>
          <w:b w:val="0"/>
          <w:sz w:val="28"/>
          <w:szCs w:val="28"/>
          <w:u w:val="single"/>
          <w:lang w:val="ru-RU"/>
        </w:rPr>
        <w:t>3</w:t>
      </w:r>
      <w:r w:rsidRPr="00A53AD7">
        <w:rPr>
          <w:rFonts w:ascii="Times New Roman" w:hAnsi="Times New Roman"/>
          <w:b w:val="0"/>
          <w:sz w:val="28"/>
          <w:szCs w:val="28"/>
          <w:u w:val="single"/>
        </w:rPr>
        <w:t xml:space="preserve">. Государственная программа </w:t>
      </w:r>
      <w:r w:rsidRPr="00A53AD7">
        <w:rPr>
          <w:rFonts w:ascii="Times New Roman" w:hAnsi="Times New Roman"/>
          <w:b w:val="0"/>
          <w:sz w:val="28"/>
          <w:szCs w:val="28"/>
          <w:u w:val="single"/>
          <w:lang w:val="ru-RU"/>
        </w:rPr>
        <w:t xml:space="preserve">Архангельской области </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Социальная поддержка граждан в Архангельской области</w:t>
      </w:r>
      <w:r w:rsidRPr="00A53AD7">
        <w:rPr>
          <w:rFonts w:ascii="Times New Roman" w:hAnsi="Times New Roman"/>
          <w:b w:val="0"/>
          <w:sz w:val="28"/>
          <w:szCs w:val="28"/>
          <w:u w:val="single"/>
        </w:rPr>
        <w:t>»</w:t>
      </w:r>
      <w:bookmarkEnd w:id="72"/>
    </w:p>
    <w:p w14:paraId="6F59B4DC"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Государственная программа «Социальная поддержка граждан в Архангельской области» (далее-госпрограмма) утверждена постановлением Правительства Архангельской области от 12.10.2012 № 464-пп. Ответственный исполнитель госпрограммы - министерство труда, занятости и социального развития Архангельской области. </w:t>
      </w:r>
    </w:p>
    <w:p w14:paraId="5F7C55C1"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Соисполнителями госпрограммы в 2019 году являлись: министерство здравоохранения Архангельской области; министерство образования и науки Архангельской области; администрация Губернатора Архангельской области и Правительства Архангельской области; министерство строительства и архитектуры Архангельской области; агентство по спорту Архангельской области; министерство связи и информационных технологий Архангельской области; министерство культуры Архангельской области.</w:t>
      </w:r>
    </w:p>
    <w:p w14:paraId="3FF2B471" w14:textId="0B5CE6AA"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 по уточненной бюджетной росписи на 31.12.2019 составил 12 360,0 млн.руб. Общее исполнение по госпрограмме за отчетный период составило 12 194,8 млн.руб.</w:t>
      </w:r>
      <w:r w:rsidR="00E46634" w:rsidRPr="00A53AD7">
        <w:rPr>
          <w:rFonts w:ascii="Times New Roman" w:hAnsi="Times New Roman"/>
          <w:sz w:val="28"/>
          <w:szCs w:val="28"/>
        </w:rPr>
        <w:t xml:space="preserve"> </w:t>
      </w:r>
      <w:r w:rsidRPr="00A53AD7">
        <w:rPr>
          <w:rFonts w:ascii="Times New Roman" w:hAnsi="Times New Roman"/>
          <w:sz w:val="28"/>
          <w:szCs w:val="28"/>
        </w:rPr>
        <w:t>или 98,7 % к уточненной бюджетной росписи.</w:t>
      </w:r>
    </w:p>
    <w:p w14:paraId="5D011908" w14:textId="1D579689"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Информация по уровню исполнения госпрограммы </w:t>
      </w:r>
      <w:r w:rsidR="00C71E17" w:rsidRPr="00A53AD7">
        <w:rPr>
          <w:rFonts w:ascii="Times New Roman" w:hAnsi="Times New Roman"/>
          <w:sz w:val="28"/>
          <w:szCs w:val="28"/>
        </w:rPr>
        <w:t xml:space="preserve">в </w:t>
      </w:r>
      <w:r w:rsidRPr="00A53AD7">
        <w:rPr>
          <w:rFonts w:ascii="Times New Roman" w:hAnsi="Times New Roman"/>
          <w:sz w:val="28"/>
          <w:szCs w:val="28"/>
        </w:rPr>
        <w:t xml:space="preserve">разрезе подпрограмм приведена в приложении № </w:t>
      </w:r>
      <w:r w:rsidR="00C71E17" w:rsidRPr="00A53AD7">
        <w:rPr>
          <w:rFonts w:ascii="Times New Roman" w:hAnsi="Times New Roman"/>
          <w:sz w:val="28"/>
          <w:szCs w:val="28"/>
        </w:rPr>
        <w:t>14</w:t>
      </w:r>
      <w:r w:rsidRPr="00A53AD7">
        <w:rPr>
          <w:rFonts w:ascii="Times New Roman" w:hAnsi="Times New Roman"/>
          <w:sz w:val="28"/>
          <w:szCs w:val="28"/>
        </w:rPr>
        <w:t xml:space="preserve"> к настоящему заключению.</w:t>
      </w:r>
    </w:p>
    <w:p w14:paraId="0E2A3AC6"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структуре финансирования госпрограмм наибольшие объемы финансового обеспечения приходятся на подпрограммы «Меры социальной поддержки отдельным категориям граждан, проживающим на территории Архангельской области» – 70,6%, «Организация работы по социальному обслуживанию граждан и социальной защите населения в Архангельской области» – 24,8 %, «Развитие системы отдыха и оздоровления детей» – 3,5%.</w:t>
      </w:r>
    </w:p>
    <w:p w14:paraId="051D82DE"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госпрограммы за 2019 год, размещенному в КИАС Архангельской области, по итогам 2019 года:</w:t>
      </w:r>
    </w:p>
    <w:p w14:paraId="58323652"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подпрограмме №1 «Организация работы по социальному обслуживанию и социальной защите населения в Архангельской области». </w:t>
      </w:r>
    </w:p>
    <w:p w14:paraId="195AC00F"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12 мероприятий подпрограммы направлено 3 062,2 млн.руб. (99,9%), из них средства областного бюджета 3 062,2 млн.руб.</w:t>
      </w:r>
    </w:p>
    <w:p w14:paraId="4986B1E0" w14:textId="77777777" w:rsidR="00B744D5" w:rsidRPr="00A53AD7" w:rsidRDefault="00B744D5" w:rsidP="00B744D5">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не исполнены мероприятия:</w:t>
      </w:r>
    </w:p>
    <w:p w14:paraId="4F62C194" w14:textId="0343E0AC"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«Перевозка несовершеннолетних, самовольно ушедших из семей, организаций для детей-сирот и детей, оставшихся без попечения родителей, специальных учебно-воспитательных учреждений открытого типа или иных организаций, осуществляющих образовательную деятельность», неисполнение составило 25,0 тыс. руб. или 100% от утвержденных назначений в связи с отсутствием потребности в перевозке несовершеннолетних.</w:t>
      </w:r>
    </w:p>
    <w:p w14:paraId="15FA3C9B" w14:textId="1B610CC7" w:rsidR="005804B3" w:rsidRPr="00A53AD7" w:rsidRDefault="005804B3" w:rsidP="00CA1DDD">
      <w:pPr>
        <w:pStyle w:val="a8"/>
        <w:numPr>
          <w:ilvl w:val="0"/>
          <w:numId w:val="31"/>
        </w:numPr>
        <w:ind w:left="0" w:firstLine="851"/>
        <w:jc w:val="both"/>
        <w:rPr>
          <w:sz w:val="28"/>
          <w:szCs w:val="28"/>
        </w:rPr>
      </w:pPr>
      <w:r w:rsidRPr="00A53AD7">
        <w:rPr>
          <w:rFonts w:eastAsia="Calibri"/>
          <w:sz w:val="28"/>
          <w:szCs w:val="28"/>
        </w:rPr>
        <w:t xml:space="preserve">«Разработка проектно-сметной документации и проведение капитального ремонта государственных организаций социального обслуживания», </w:t>
      </w:r>
      <w:r w:rsidR="00163D1C" w:rsidRPr="00A53AD7">
        <w:rPr>
          <w:rFonts w:eastAsia="Calibri"/>
          <w:sz w:val="28"/>
          <w:szCs w:val="28"/>
        </w:rPr>
        <w:t>неисполнение составило 2,9 млн.</w:t>
      </w:r>
      <w:r w:rsidRPr="00A53AD7">
        <w:rPr>
          <w:rFonts w:eastAsia="Calibri"/>
          <w:sz w:val="28"/>
          <w:szCs w:val="28"/>
        </w:rPr>
        <w:t xml:space="preserve">руб. или 100% от утвержденных назначений. Средства направлены ГБСУ АО «Ширшинский психоневрологический интернат» в рамках соглашения на предоставление субсидии на иные цели. Средства предоставлены на выполнение работ по замене лифта. Учреждением заявка на проведение закупочных процедур подана в контрактное агентство Архангельской области в декабре 2019 на бумажном носителе, в то время как ее подача должна была осуществлена через </w:t>
      </w:r>
      <w:r w:rsidRPr="00A53AD7">
        <w:rPr>
          <w:sz w:val="28"/>
          <w:szCs w:val="28"/>
        </w:rPr>
        <w:t>государственную информационную систему Архангельской области «Региональная информационная система управления закупками Архангельской области, интегрированная с единой информационной системой в сфере закупок» в связи с чем последняя была возвращена учреждению, а торги по определению поставщика перенесены на 2020 год.</w:t>
      </w:r>
    </w:p>
    <w:p w14:paraId="3BF3B224" w14:textId="4C1EB253" w:rsidR="005804B3" w:rsidRPr="00A53AD7" w:rsidRDefault="005804B3" w:rsidP="005804B3">
      <w:pPr>
        <w:spacing w:after="0" w:line="240" w:lineRule="auto"/>
        <w:ind w:firstLine="851"/>
        <w:contextualSpacing/>
        <w:jc w:val="both"/>
        <w:rPr>
          <w:rFonts w:ascii="Times New Roman" w:hAnsi="Times New Roman"/>
          <w:sz w:val="28"/>
          <w:szCs w:val="28"/>
          <w:lang w:eastAsia="ru-RU"/>
        </w:rPr>
      </w:pPr>
      <w:r w:rsidRPr="00A53AD7">
        <w:rPr>
          <w:rFonts w:ascii="Times New Roman" w:hAnsi="Times New Roman"/>
          <w:sz w:val="28"/>
          <w:szCs w:val="28"/>
          <w:lang w:eastAsia="ru-RU"/>
        </w:rPr>
        <w:t xml:space="preserve"> Использование средств субсидии на 2020 год согласовано распоряжением минтрудсоцразвития АО от 10.02.2020 № 48-р;</w:t>
      </w:r>
    </w:p>
    <w:p w14:paraId="68C27F63" w14:textId="0C83F858" w:rsidR="00B744D5" w:rsidRPr="00A53AD7" w:rsidRDefault="009B7AAC" w:rsidP="00CA1DDD">
      <w:pPr>
        <w:pStyle w:val="a8"/>
        <w:numPr>
          <w:ilvl w:val="0"/>
          <w:numId w:val="31"/>
        </w:numPr>
        <w:ind w:left="0" w:firstLine="851"/>
        <w:jc w:val="both"/>
        <w:rPr>
          <w:rFonts w:eastAsia="Calibri"/>
          <w:sz w:val="28"/>
          <w:szCs w:val="28"/>
        </w:rPr>
      </w:pPr>
      <w:r w:rsidRPr="00A53AD7">
        <w:rPr>
          <w:rFonts w:eastAsia="Calibri"/>
          <w:sz w:val="28"/>
          <w:szCs w:val="28"/>
        </w:rPr>
        <w:t xml:space="preserve"> </w:t>
      </w:r>
      <w:r w:rsidR="00B744D5" w:rsidRPr="00A53AD7">
        <w:rPr>
          <w:rFonts w:eastAsia="Calibri"/>
          <w:sz w:val="28"/>
          <w:szCs w:val="28"/>
        </w:rPr>
        <w:t>«Разработка проектно-сметной документации, снос здания и рекультивация земельного участка государственного бюджетного учреждения Архангельской области «Центр социальной адаптации для лиц без определенного места жительства и занятий», неисполнение составило 0,6 млн.руб. или 1</w:t>
      </w:r>
      <w:r w:rsidR="008957A2" w:rsidRPr="00A53AD7">
        <w:rPr>
          <w:rFonts w:eastAsia="Calibri"/>
          <w:sz w:val="28"/>
          <w:szCs w:val="28"/>
        </w:rPr>
        <w:t>00% от утвержденных назначений.</w:t>
      </w:r>
    </w:p>
    <w:p w14:paraId="089DF606" w14:textId="70C3132C" w:rsidR="00B744D5" w:rsidRPr="00A53AD7" w:rsidRDefault="00B744D5" w:rsidP="008957A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28 мероприятий подпрограммы №2 «Меры социальной поддержки отдельным категориям граждан, проживающим на территории Архангельской области» направлено 8 570,7 млн.руб. (98,2%), из них: средства феде</w:t>
      </w:r>
      <w:r w:rsidR="008957A2" w:rsidRPr="00A53AD7">
        <w:rPr>
          <w:rFonts w:ascii="Times New Roman" w:hAnsi="Times New Roman"/>
          <w:sz w:val="28"/>
          <w:szCs w:val="28"/>
        </w:rPr>
        <w:t>рального бюджета – 3 329,2 млн.</w:t>
      </w:r>
      <w:r w:rsidRPr="00A53AD7">
        <w:rPr>
          <w:rFonts w:ascii="Times New Roman" w:hAnsi="Times New Roman"/>
          <w:sz w:val="28"/>
          <w:szCs w:val="28"/>
        </w:rPr>
        <w:t>руб., средства областного бюджета – 5 241,5 млн.руб.</w:t>
      </w:r>
    </w:p>
    <w:p w14:paraId="2EF3FDBA" w14:textId="22427831" w:rsidR="00B744D5" w:rsidRPr="00A53AD7" w:rsidRDefault="00B744D5" w:rsidP="008957A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исполнены показатели по следующим видам социальных выплат (мероприятиям):</w:t>
      </w:r>
    </w:p>
    <w:p w14:paraId="61598F3A" w14:textId="1CF6BC93"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«Субсидии на оплату жилищно-коммунальных услуг» (постановление Правительства Российской Федерации от 14</w:t>
      </w:r>
      <w:r w:rsidR="00CC1EF7" w:rsidRPr="00A53AD7">
        <w:rPr>
          <w:rFonts w:eastAsia="Calibri"/>
          <w:sz w:val="28"/>
          <w:szCs w:val="28"/>
        </w:rPr>
        <w:t>.12.</w:t>
      </w:r>
      <w:r w:rsidRPr="00A53AD7">
        <w:rPr>
          <w:rFonts w:eastAsia="Calibri"/>
          <w:sz w:val="28"/>
          <w:szCs w:val="28"/>
        </w:rPr>
        <w:t>2005 № 761 «О предоставлении субсидий на оплату жилого помещения и коммунальных услуг») предоставлены 21 636 гражданам или 86,5%. (Причина отклонения - меры социальной поддержки носят заявительный характер. На снижение численности получателей также повлиял рост реальных доходов населения, в том числе за счет увеличения (индексации) пенси</w:t>
      </w:r>
      <w:r w:rsidR="008957A2" w:rsidRPr="00A53AD7">
        <w:rPr>
          <w:rFonts w:eastAsia="Calibri"/>
          <w:sz w:val="28"/>
          <w:szCs w:val="28"/>
        </w:rPr>
        <w:t>й, зарплат, социальных выплат).</w:t>
      </w:r>
    </w:p>
    <w:p w14:paraId="43D888ED" w14:textId="1ABE03A4" w:rsidR="00B744D5" w:rsidRPr="00A53AD7" w:rsidRDefault="00B744D5" w:rsidP="00CC1EF7">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связи с не полным выполнением данного мероприятия в установленном объеме, в отчетном периоде не выполнен целевой показатель</w:t>
      </w:r>
      <w:r w:rsidR="00CC1EF7" w:rsidRPr="00A53AD7">
        <w:rPr>
          <w:rFonts w:ascii="Times New Roman" w:hAnsi="Times New Roman"/>
          <w:sz w:val="28"/>
          <w:szCs w:val="28"/>
        </w:rPr>
        <w:t>,</w:t>
      </w:r>
      <w:r w:rsidRPr="00A53AD7">
        <w:rPr>
          <w:rFonts w:ascii="Times New Roman" w:hAnsi="Times New Roman"/>
          <w:sz w:val="28"/>
          <w:szCs w:val="28"/>
        </w:rPr>
        <w:t xml:space="preserve"> установленный госпрограммой «Удельный вес семей, получающих субсидии на оплату жилого помещения и коммунальных услуг, от общего количества семей, проживающих в Архангельской области».</w:t>
      </w:r>
    </w:p>
    <w:p w14:paraId="6509B24E" w14:textId="336A2092"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«Обеспечение равной доступности услуг общественного транспорта» (статьи 2 и 4 Федерального закона от 12 января 1995 г. № 5-ФЗ «О ветеранах») предоставлены 11 298 гражданам или 80,5%. (Причина отклонения - получатели данного вида мер социальной поддержки относятся к категории граждан преклонного возраста, на снижение численности получателей влияет естественная убыль населения).</w:t>
      </w:r>
    </w:p>
    <w:p w14:paraId="400A3BBE" w14:textId="1E99208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«Единовременная денежная выплата женщинам, родившим первого ребенка в возрасте от 22 до 24 лет включительно», предоставлена 343 гражданам или 85,8%. (Причина отклонения - меры социальной поддержки носят заявительный характер. На снижение численности получателей повлияло, в том числе падение рождаемости, миграционный отток населения из региона).</w:t>
      </w:r>
    </w:p>
    <w:p w14:paraId="63A2C6F5" w14:textId="4D67A8ED"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«Выплаты многодетным семьям взамен предоставления им земельных участков», предоставлены 316 гражданам или 63,2%. (Причина отклонения - меры социальной поддержки носят заявительный характер).</w:t>
      </w:r>
    </w:p>
    <w:p w14:paraId="76B78429" w14:textId="4FCA708C"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«Предоставление компенсации расходов на приобретение комплекта оборудования для непосредственного приема сигналов телевизионного спутникового вещания отдельным категориям граждан, проживающих в населенных пунктах Архангельской области, территории которых не входят в зону охвата объектов сети цифрового эфирного телерадиовещания», предоставлены 1058 гражданам или 62,2%. (Причина отклонения - меры социальной поддержки носят заявительный характер).</w:t>
      </w:r>
    </w:p>
    <w:p w14:paraId="79560CF5" w14:textId="77777777" w:rsidR="00B744D5" w:rsidRPr="00A53AD7" w:rsidRDefault="00B744D5" w:rsidP="00EB4B8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реализацию 14 мероприятий подпрограммы №4 «Развитие системы отдыха и оздоровления детей» в отчетном периоде направлено 429,7 млн.руб. (99,9 %) за счет средств областного бюджета. </w:t>
      </w:r>
    </w:p>
    <w:p w14:paraId="753BFAC7" w14:textId="77777777" w:rsidR="00B744D5" w:rsidRPr="00A53AD7" w:rsidRDefault="00B744D5" w:rsidP="00EB4B8D">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Данные о количестве детей, отдохнувших в загородных оздоровительных лагерях (санаториях, лагерях палаточного типа) и в лагерях с дневным пребыванием в 2019 году в сравнении с 2018 годом, представлены ниже:</w:t>
      </w:r>
    </w:p>
    <w:tbl>
      <w:tblPr>
        <w:tblW w:w="9161" w:type="dxa"/>
        <w:tblInd w:w="1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600"/>
        <w:gridCol w:w="1060"/>
        <w:gridCol w:w="1160"/>
        <w:gridCol w:w="1341"/>
      </w:tblGrid>
      <w:tr w:rsidR="00A53AD7" w:rsidRPr="00A53AD7" w14:paraId="451B7AB1" w14:textId="77777777" w:rsidTr="001C59FD">
        <w:trPr>
          <w:trHeight w:val="431"/>
          <w:tblHeader/>
        </w:trPr>
        <w:tc>
          <w:tcPr>
            <w:tcW w:w="5600" w:type="dxa"/>
            <w:shd w:val="clear" w:color="auto" w:fill="auto"/>
            <w:noWrap/>
            <w:vAlign w:val="center"/>
            <w:hideMark/>
          </w:tcPr>
          <w:p w14:paraId="0918FE32"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1060" w:type="dxa"/>
            <w:shd w:val="clear" w:color="auto" w:fill="auto"/>
            <w:vAlign w:val="center"/>
            <w:hideMark/>
          </w:tcPr>
          <w:p w14:paraId="1EDC8C2C"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2018 год </w:t>
            </w:r>
          </w:p>
        </w:tc>
        <w:tc>
          <w:tcPr>
            <w:tcW w:w="1160" w:type="dxa"/>
            <w:shd w:val="clear" w:color="auto" w:fill="auto"/>
            <w:vAlign w:val="center"/>
            <w:hideMark/>
          </w:tcPr>
          <w:p w14:paraId="0DFA3CD1"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 год</w:t>
            </w:r>
          </w:p>
        </w:tc>
        <w:tc>
          <w:tcPr>
            <w:tcW w:w="1341" w:type="dxa"/>
            <w:shd w:val="clear" w:color="auto" w:fill="auto"/>
            <w:vAlign w:val="center"/>
            <w:hideMark/>
          </w:tcPr>
          <w:p w14:paraId="01CD895E" w14:textId="1B486BCB" w:rsidR="001C59FD" w:rsidRPr="00A53AD7" w:rsidRDefault="001C59FD" w:rsidP="001C59F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Изменения 2019 г к 2018 г. %</w:t>
            </w:r>
          </w:p>
        </w:tc>
      </w:tr>
      <w:tr w:rsidR="00A53AD7" w:rsidRPr="00A53AD7" w14:paraId="5F9F2844" w14:textId="77777777" w:rsidTr="001C59FD">
        <w:trPr>
          <w:trHeight w:val="243"/>
        </w:trPr>
        <w:tc>
          <w:tcPr>
            <w:tcW w:w="5600" w:type="dxa"/>
            <w:shd w:val="clear" w:color="auto" w:fill="auto"/>
            <w:noWrap/>
            <w:vAlign w:val="center"/>
            <w:hideMark/>
          </w:tcPr>
          <w:p w14:paraId="4A3EC433" w14:textId="77777777" w:rsidR="001C59FD" w:rsidRPr="00A53AD7" w:rsidRDefault="001C59FD" w:rsidP="00992DCD">
            <w:pPr>
              <w:spacing w:after="0" w:line="240" w:lineRule="auto"/>
              <w:rPr>
                <w:rFonts w:ascii="Times New Roman" w:eastAsia="Times New Roman" w:hAnsi="Times New Roman"/>
                <w:i/>
                <w:iCs/>
                <w:lang w:eastAsia="ru-RU"/>
              </w:rPr>
            </w:pPr>
            <w:r w:rsidRPr="00A53AD7">
              <w:rPr>
                <w:rFonts w:ascii="Times New Roman" w:eastAsia="Times New Roman" w:hAnsi="Times New Roman"/>
                <w:i/>
                <w:iCs/>
                <w:lang w:eastAsia="ru-RU"/>
              </w:rPr>
              <w:t>Общая численность детей в субъекте РФ</w:t>
            </w:r>
          </w:p>
        </w:tc>
        <w:tc>
          <w:tcPr>
            <w:tcW w:w="1060" w:type="dxa"/>
            <w:shd w:val="clear" w:color="auto" w:fill="auto"/>
            <w:noWrap/>
            <w:vAlign w:val="center"/>
            <w:hideMark/>
          </w:tcPr>
          <w:p w14:paraId="64F9B895"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127 014</w:t>
            </w:r>
          </w:p>
        </w:tc>
        <w:tc>
          <w:tcPr>
            <w:tcW w:w="1160" w:type="dxa"/>
            <w:shd w:val="clear" w:color="auto" w:fill="auto"/>
            <w:noWrap/>
            <w:vAlign w:val="center"/>
            <w:hideMark/>
          </w:tcPr>
          <w:p w14:paraId="5B2B2716"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127 891</w:t>
            </w:r>
          </w:p>
        </w:tc>
        <w:tc>
          <w:tcPr>
            <w:tcW w:w="1341" w:type="dxa"/>
            <w:shd w:val="clear" w:color="auto" w:fill="auto"/>
            <w:vAlign w:val="center"/>
            <w:hideMark/>
          </w:tcPr>
          <w:p w14:paraId="2187539B"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r>
      <w:tr w:rsidR="00A53AD7" w:rsidRPr="00A53AD7" w14:paraId="56A62CA7" w14:textId="77777777" w:rsidTr="001C59FD">
        <w:trPr>
          <w:trHeight w:val="276"/>
        </w:trPr>
        <w:tc>
          <w:tcPr>
            <w:tcW w:w="5600" w:type="dxa"/>
            <w:shd w:val="clear" w:color="auto" w:fill="auto"/>
            <w:noWrap/>
            <w:vAlign w:val="center"/>
            <w:hideMark/>
          </w:tcPr>
          <w:p w14:paraId="77D89310" w14:textId="77777777" w:rsidR="001C59FD" w:rsidRPr="00A53AD7" w:rsidRDefault="001C59FD" w:rsidP="00992DCD">
            <w:pPr>
              <w:spacing w:after="0" w:line="240" w:lineRule="auto"/>
              <w:rPr>
                <w:rFonts w:ascii="Times New Roman" w:eastAsia="Times New Roman" w:hAnsi="Times New Roman"/>
                <w:i/>
                <w:iCs/>
                <w:lang w:eastAsia="ru-RU"/>
              </w:rPr>
            </w:pPr>
            <w:r w:rsidRPr="00A53AD7">
              <w:rPr>
                <w:rFonts w:ascii="Times New Roman" w:eastAsia="Times New Roman" w:hAnsi="Times New Roman"/>
                <w:i/>
                <w:iCs/>
                <w:lang w:eastAsia="ru-RU"/>
              </w:rPr>
              <w:t>Процент охвата</w:t>
            </w:r>
          </w:p>
        </w:tc>
        <w:tc>
          <w:tcPr>
            <w:tcW w:w="1060" w:type="dxa"/>
            <w:shd w:val="clear" w:color="auto" w:fill="auto"/>
            <w:noWrap/>
            <w:vAlign w:val="center"/>
            <w:hideMark/>
          </w:tcPr>
          <w:p w14:paraId="4A8ECF43"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49,3</w:t>
            </w:r>
          </w:p>
        </w:tc>
        <w:tc>
          <w:tcPr>
            <w:tcW w:w="1160" w:type="dxa"/>
            <w:shd w:val="clear" w:color="auto" w:fill="auto"/>
            <w:noWrap/>
            <w:vAlign w:val="center"/>
            <w:hideMark/>
          </w:tcPr>
          <w:p w14:paraId="63B22051"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41,5</w:t>
            </w:r>
          </w:p>
        </w:tc>
        <w:tc>
          <w:tcPr>
            <w:tcW w:w="1341" w:type="dxa"/>
            <w:shd w:val="clear" w:color="auto" w:fill="auto"/>
            <w:vAlign w:val="center"/>
            <w:hideMark/>
          </w:tcPr>
          <w:p w14:paraId="438EC19B"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w:t>
            </w:r>
          </w:p>
        </w:tc>
      </w:tr>
      <w:tr w:rsidR="00A53AD7" w:rsidRPr="00A53AD7" w14:paraId="372BAECC" w14:textId="77777777" w:rsidTr="001C59FD">
        <w:trPr>
          <w:trHeight w:val="407"/>
        </w:trPr>
        <w:tc>
          <w:tcPr>
            <w:tcW w:w="5600" w:type="dxa"/>
            <w:shd w:val="clear" w:color="auto" w:fill="auto"/>
            <w:vAlign w:val="center"/>
            <w:hideMark/>
          </w:tcPr>
          <w:p w14:paraId="400BD83D" w14:textId="77777777" w:rsidR="001C59FD" w:rsidRPr="00A53AD7" w:rsidRDefault="001C59FD" w:rsidP="00992DCD">
            <w:pPr>
              <w:spacing w:after="0" w:line="240" w:lineRule="auto"/>
              <w:rPr>
                <w:rFonts w:ascii="Times New Roman" w:eastAsia="Times New Roman" w:hAnsi="Times New Roman"/>
                <w:i/>
                <w:iCs/>
                <w:lang w:eastAsia="ru-RU"/>
              </w:rPr>
            </w:pPr>
            <w:r w:rsidRPr="00A53AD7">
              <w:rPr>
                <w:rFonts w:ascii="Times New Roman" w:eastAsia="Times New Roman" w:hAnsi="Times New Roman"/>
                <w:i/>
                <w:iCs/>
                <w:lang w:eastAsia="ru-RU"/>
              </w:rPr>
              <w:t>Всего охвачено отдыхом и оздоровлением детей субъекта РФ, в том числе:</w:t>
            </w:r>
          </w:p>
        </w:tc>
        <w:tc>
          <w:tcPr>
            <w:tcW w:w="1060" w:type="dxa"/>
            <w:shd w:val="clear" w:color="auto" w:fill="auto"/>
            <w:noWrap/>
            <w:vAlign w:val="center"/>
            <w:hideMark/>
          </w:tcPr>
          <w:p w14:paraId="21736046"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55 925</w:t>
            </w:r>
          </w:p>
        </w:tc>
        <w:tc>
          <w:tcPr>
            <w:tcW w:w="1160" w:type="dxa"/>
            <w:shd w:val="clear" w:color="auto" w:fill="auto"/>
            <w:noWrap/>
            <w:vAlign w:val="center"/>
            <w:hideMark/>
          </w:tcPr>
          <w:p w14:paraId="6241152D"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52 384</w:t>
            </w:r>
          </w:p>
        </w:tc>
        <w:tc>
          <w:tcPr>
            <w:tcW w:w="1341" w:type="dxa"/>
            <w:shd w:val="clear" w:color="auto" w:fill="auto"/>
            <w:noWrap/>
            <w:vAlign w:val="center"/>
            <w:hideMark/>
          </w:tcPr>
          <w:p w14:paraId="75D63E94"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r>
      <w:tr w:rsidR="00A53AD7" w:rsidRPr="00A53AD7" w14:paraId="5D3D57CA" w14:textId="77777777" w:rsidTr="001C59FD">
        <w:trPr>
          <w:trHeight w:val="274"/>
        </w:trPr>
        <w:tc>
          <w:tcPr>
            <w:tcW w:w="5600" w:type="dxa"/>
            <w:shd w:val="clear" w:color="auto" w:fill="auto"/>
            <w:noWrap/>
            <w:vAlign w:val="center"/>
            <w:hideMark/>
          </w:tcPr>
          <w:p w14:paraId="21DDABD7"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на территории субъекта РФ</w:t>
            </w:r>
          </w:p>
        </w:tc>
        <w:tc>
          <w:tcPr>
            <w:tcW w:w="1060" w:type="dxa"/>
            <w:shd w:val="clear" w:color="auto" w:fill="auto"/>
            <w:noWrap/>
            <w:vAlign w:val="center"/>
            <w:hideMark/>
          </w:tcPr>
          <w:p w14:paraId="501627E1"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48 443</w:t>
            </w:r>
          </w:p>
        </w:tc>
        <w:tc>
          <w:tcPr>
            <w:tcW w:w="1160" w:type="dxa"/>
            <w:shd w:val="clear" w:color="auto" w:fill="auto"/>
            <w:noWrap/>
            <w:vAlign w:val="center"/>
            <w:hideMark/>
          </w:tcPr>
          <w:p w14:paraId="7D04B53B"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44 328</w:t>
            </w:r>
          </w:p>
        </w:tc>
        <w:tc>
          <w:tcPr>
            <w:tcW w:w="1341" w:type="dxa"/>
            <w:shd w:val="clear" w:color="auto" w:fill="auto"/>
            <w:noWrap/>
            <w:vAlign w:val="center"/>
            <w:hideMark/>
          </w:tcPr>
          <w:p w14:paraId="38A9981D"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w:t>
            </w:r>
          </w:p>
        </w:tc>
      </w:tr>
      <w:tr w:rsidR="00A53AD7" w:rsidRPr="00A53AD7" w14:paraId="53851F15" w14:textId="77777777" w:rsidTr="001C59FD">
        <w:trPr>
          <w:trHeight w:val="263"/>
        </w:trPr>
        <w:tc>
          <w:tcPr>
            <w:tcW w:w="5600" w:type="dxa"/>
            <w:tcBorders>
              <w:bottom w:val="single" w:sz="4" w:space="0" w:color="auto"/>
            </w:tcBorders>
            <w:shd w:val="clear" w:color="auto" w:fill="auto"/>
            <w:noWrap/>
            <w:vAlign w:val="center"/>
            <w:hideMark/>
          </w:tcPr>
          <w:p w14:paraId="155DD69F"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 территории субъекта РФ, из них:</w:t>
            </w:r>
          </w:p>
        </w:tc>
        <w:tc>
          <w:tcPr>
            <w:tcW w:w="1060" w:type="dxa"/>
            <w:tcBorders>
              <w:bottom w:val="single" w:sz="4" w:space="0" w:color="auto"/>
            </w:tcBorders>
            <w:shd w:val="clear" w:color="auto" w:fill="auto"/>
            <w:noWrap/>
            <w:vAlign w:val="center"/>
            <w:hideMark/>
          </w:tcPr>
          <w:p w14:paraId="4BFF5D5D"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7 482</w:t>
            </w:r>
          </w:p>
        </w:tc>
        <w:tc>
          <w:tcPr>
            <w:tcW w:w="1160" w:type="dxa"/>
            <w:tcBorders>
              <w:bottom w:val="single" w:sz="4" w:space="0" w:color="auto"/>
            </w:tcBorders>
            <w:shd w:val="clear" w:color="auto" w:fill="auto"/>
            <w:noWrap/>
            <w:vAlign w:val="center"/>
            <w:hideMark/>
          </w:tcPr>
          <w:p w14:paraId="1EAD9D31"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8 056</w:t>
            </w:r>
          </w:p>
        </w:tc>
        <w:tc>
          <w:tcPr>
            <w:tcW w:w="1341" w:type="dxa"/>
            <w:tcBorders>
              <w:bottom w:val="single" w:sz="4" w:space="0" w:color="auto"/>
            </w:tcBorders>
            <w:shd w:val="clear" w:color="auto" w:fill="auto"/>
            <w:noWrap/>
            <w:vAlign w:val="center"/>
            <w:hideMark/>
          </w:tcPr>
          <w:p w14:paraId="05742391"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w:t>
            </w:r>
          </w:p>
        </w:tc>
      </w:tr>
      <w:tr w:rsidR="00A53AD7" w:rsidRPr="00A53AD7" w14:paraId="360ED2B0" w14:textId="77777777" w:rsidTr="001C59FD">
        <w:trPr>
          <w:trHeight w:val="410"/>
        </w:trPr>
        <w:tc>
          <w:tcPr>
            <w:tcW w:w="5600" w:type="dxa"/>
            <w:tcBorders>
              <w:top w:val="single" w:sz="4" w:space="0" w:color="auto"/>
              <w:bottom w:val="single" w:sz="4" w:space="0" w:color="auto"/>
            </w:tcBorders>
            <w:shd w:val="clear" w:color="auto" w:fill="auto"/>
            <w:vAlign w:val="center"/>
            <w:hideMark/>
          </w:tcPr>
          <w:p w14:paraId="35064551"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охват детей, находящихся в трудной жизненной ситуации, отдыхом и оздоровлением</w:t>
            </w:r>
          </w:p>
        </w:tc>
        <w:tc>
          <w:tcPr>
            <w:tcW w:w="1060" w:type="dxa"/>
            <w:tcBorders>
              <w:top w:val="single" w:sz="4" w:space="0" w:color="auto"/>
              <w:bottom w:val="single" w:sz="4" w:space="0" w:color="auto"/>
            </w:tcBorders>
            <w:shd w:val="clear" w:color="auto" w:fill="auto"/>
            <w:noWrap/>
            <w:vAlign w:val="center"/>
            <w:hideMark/>
          </w:tcPr>
          <w:p w14:paraId="4C9E025A"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12 658</w:t>
            </w:r>
          </w:p>
        </w:tc>
        <w:tc>
          <w:tcPr>
            <w:tcW w:w="1160" w:type="dxa"/>
            <w:tcBorders>
              <w:top w:val="single" w:sz="4" w:space="0" w:color="auto"/>
              <w:bottom w:val="single" w:sz="4" w:space="0" w:color="auto"/>
            </w:tcBorders>
            <w:shd w:val="clear" w:color="auto" w:fill="auto"/>
            <w:noWrap/>
            <w:vAlign w:val="center"/>
            <w:hideMark/>
          </w:tcPr>
          <w:p w14:paraId="64CD0CF0"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11 217</w:t>
            </w:r>
          </w:p>
        </w:tc>
        <w:tc>
          <w:tcPr>
            <w:tcW w:w="1341" w:type="dxa"/>
            <w:tcBorders>
              <w:top w:val="single" w:sz="4" w:space="0" w:color="auto"/>
              <w:bottom w:val="single" w:sz="4" w:space="0" w:color="auto"/>
            </w:tcBorders>
            <w:shd w:val="clear" w:color="auto" w:fill="auto"/>
            <w:noWrap/>
            <w:vAlign w:val="center"/>
            <w:hideMark/>
          </w:tcPr>
          <w:p w14:paraId="29762FA7"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r>
      <w:tr w:rsidR="00A53AD7" w:rsidRPr="00A53AD7" w14:paraId="77B2CD39" w14:textId="77777777" w:rsidTr="001C59FD">
        <w:trPr>
          <w:trHeight w:val="515"/>
        </w:trPr>
        <w:tc>
          <w:tcPr>
            <w:tcW w:w="5600" w:type="dxa"/>
            <w:tcBorders>
              <w:top w:val="single" w:sz="4" w:space="0" w:color="auto"/>
            </w:tcBorders>
            <w:shd w:val="clear" w:color="auto" w:fill="auto"/>
            <w:vAlign w:val="center"/>
            <w:hideMark/>
          </w:tcPr>
          <w:p w14:paraId="71B58C8A" w14:textId="77777777" w:rsidR="001C59FD" w:rsidRPr="00A53AD7" w:rsidRDefault="001C59FD" w:rsidP="00992DCD">
            <w:pPr>
              <w:spacing w:after="0" w:line="240" w:lineRule="auto"/>
              <w:rPr>
                <w:rFonts w:ascii="Times New Roman" w:eastAsia="Times New Roman" w:hAnsi="Times New Roman"/>
                <w:i/>
                <w:iCs/>
                <w:lang w:eastAsia="ru-RU"/>
              </w:rPr>
            </w:pPr>
            <w:r w:rsidRPr="00A53AD7">
              <w:rPr>
                <w:rFonts w:ascii="Times New Roman" w:eastAsia="Times New Roman" w:hAnsi="Times New Roman"/>
                <w:i/>
                <w:iCs/>
                <w:lang w:eastAsia="ru-RU"/>
              </w:rPr>
              <w:t>Охват отдыхом и оздоровлением детей субъекта РФ по типу лагеря:</w:t>
            </w:r>
          </w:p>
        </w:tc>
        <w:tc>
          <w:tcPr>
            <w:tcW w:w="1060" w:type="dxa"/>
            <w:tcBorders>
              <w:top w:val="single" w:sz="4" w:space="0" w:color="auto"/>
            </w:tcBorders>
            <w:shd w:val="clear" w:color="auto" w:fill="auto"/>
            <w:noWrap/>
            <w:vAlign w:val="center"/>
            <w:hideMark/>
          </w:tcPr>
          <w:p w14:paraId="5CDD8BD5"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 </w:t>
            </w:r>
          </w:p>
        </w:tc>
        <w:tc>
          <w:tcPr>
            <w:tcW w:w="1160" w:type="dxa"/>
            <w:tcBorders>
              <w:top w:val="single" w:sz="4" w:space="0" w:color="auto"/>
            </w:tcBorders>
            <w:shd w:val="clear" w:color="auto" w:fill="auto"/>
            <w:vAlign w:val="center"/>
            <w:hideMark/>
          </w:tcPr>
          <w:p w14:paraId="3A4A5467" w14:textId="77777777" w:rsidR="001C59FD" w:rsidRPr="00A53AD7" w:rsidRDefault="001C59FD" w:rsidP="00992DCD">
            <w:pPr>
              <w:spacing w:after="0" w:line="240" w:lineRule="auto"/>
              <w:jc w:val="center"/>
              <w:rPr>
                <w:rFonts w:ascii="Times New Roman" w:eastAsia="Times New Roman" w:hAnsi="Times New Roman"/>
                <w:i/>
                <w:iCs/>
                <w:lang w:eastAsia="ru-RU"/>
              </w:rPr>
            </w:pPr>
            <w:r w:rsidRPr="00A53AD7">
              <w:rPr>
                <w:rFonts w:ascii="Times New Roman" w:eastAsia="Times New Roman" w:hAnsi="Times New Roman"/>
                <w:i/>
                <w:iCs/>
                <w:lang w:eastAsia="ru-RU"/>
              </w:rPr>
              <w:t> </w:t>
            </w:r>
          </w:p>
        </w:tc>
        <w:tc>
          <w:tcPr>
            <w:tcW w:w="1341" w:type="dxa"/>
            <w:tcBorders>
              <w:top w:val="single" w:sz="4" w:space="0" w:color="auto"/>
            </w:tcBorders>
            <w:shd w:val="clear" w:color="auto" w:fill="auto"/>
            <w:noWrap/>
            <w:vAlign w:val="center"/>
            <w:hideMark/>
          </w:tcPr>
          <w:p w14:paraId="5094CE15"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r>
      <w:tr w:rsidR="00A53AD7" w:rsidRPr="00A53AD7" w14:paraId="764EF563" w14:textId="77777777" w:rsidTr="001C59FD">
        <w:trPr>
          <w:trHeight w:hRule="exact" w:val="255"/>
        </w:trPr>
        <w:tc>
          <w:tcPr>
            <w:tcW w:w="5600" w:type="dxa"/>
            <w:shd w:val="clear" w:color="auto" w:fill="auto"/>
            <w:vAlign w:val="center"/>
            <w:hideMark/>
          </w:tcPr>
          <w:p w14:paraId="2177FC7E"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загородный оздоровительный</w:t>
            </w:r>
          </w:p>
        </w:tc>
        <w:tc>
          <w:tcPr>
            <w:tcW w:w="1060" w:type="dxa"/>
            <w:shd w:val="clear" w:color="auto" w:fill="auto"/>
            <w:noWrap/>
            <w:vAlign w:val="center"/>
            <w:hideMark/>
          </w:tcPr>
          <w:p w14:paraId="131E401F"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17 317</w:t>
            </w:r>
          </w:p>
        </w:tc>
        <w:tc>
          <w:tcPr>
            <w:tcW w:w="1160" w:type="dxa"/>
            <w:shd w:val="clear" w:color="auto" w:fill="auto"/>
            <w:noWrap/>
            <w:vAlign w:val="center"/>
            <w:hideMark/>
          </w:tcPr>
          <w:p w14:paraId="0A8EB0A5"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16 368</w:t>
            </w:r>
          </w:p>
        </w:tc>
        <w:tc>
          <w:tcPr>
            <w:tcW w:w="1341" w:type="dxa"/>
            <w:shd w:val="clear" w:color="auto" w:fill="auto"/>
            <w:noWrap/>
            <w:vAlign w:val="center"/>
            <w:hideMark/>
          </w:tcPr>
          <w:p w14:paraId="1F1B5314"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w:t>
            </w:r>
          </w:p>
        </w:tc>
      </w:tr>
      <w:tr w:rsidR="00A53AD7" w:rsidRPr="00A53AD7" w14:paraId="6819D295" w14:textId="77777777" w:rsidTr="001C59FD">
        <w:trPr>
          <w:trHeight w:hRule="exact" w:val="255"/>
        </w:trPr>
        <w:tc>
          <w:tcPr>
            <w:tcW w:w="5600" w:type="dxa"/>
            <w:shd w:val="clear" w:color="auto" w:fill="auto"/>
            <w:vAlign w:val="center"/>
            <w:hideMark/>
          </w:tcPr>
          <w:p w14:paraId="4E28CFF9"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санаторно-оздоровительный</w:t>
            </w:r>
          </w:p>
        </w:tc>
        <w:tc>
          <w:tcPr>
            <w:tcW w:w="1060" w:type="dxa"/>
            <w:shd w:val="clear" w:color="auto" w:fill="auto"/>
            <w:noWrap/>
            <w:vAlign w:val="center"/>
            <w:hideMark/>
          </w:tcPr>
          <w:p w14:paraId="0EBF6AC9"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2 991</w:t>
            </w:r>
          </w:p>
        </w:tc>
        <w:tc>
          <w:tcPr>
            <w:tcW w:w="1160" w:type="dxa"/>
            <w:shd w:val="clear" w:color="auto" w:fill="auto"/>
            <w:noWrap/>
            <w:vAlign w:val="center"/>
            <w:hideMark/>
          </w:tcPr>
          <w:p w14:paraId="60706700"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3 076</w:t>
            </w:r>
          </w:p>
        </w:tc>
        <w:tc>
          <w:tcPr>
            <w:tcW w:w="1341" w:type="dxa"/>
            <w:shd w:val="clear" w:color="auto" w:fill="auto"/>
            <w:noWrap/>
            <w:vAlign w:val="center"/>
            <w:hideMark/>
          </w:tcPr>
          <w:p w14:paraId="532C5DDD"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r>
      <w:tr w:rsidR="00A53AD7" w:rsidRPr="00A53AD7" w14:paraId="6FDA24D4" w14:textId="77777777" w:rsidTr="001C59FD">
        <w:trPr>
          <w:trHeight w:hRule="exact" w:val="255"/>
        </w:trPr>
        <w:tc>
          <w:tcPr>
            <w:tcW w:w="5600" w:type="dxa"/>
            <w:shd w:val="clear" w:color="auto" w:fill="auto"/>
            <w:vAlign w:val="center"/>
            <w:hideMark/>
          </w:tcPr>
          <w:p w14:paraId="41B07C2A"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оздоровительный с дневным пребыванием</w:t>
            </w:r>
          </w:p>
        </w:tc>
        <w:tc>
          <w:tcPr>
            <w:tcW w:w="1060" w:type="dxa"/>
            <w:shd w:val="clear" w:color="auto" w:fill="auto"/>
            <w:noWrap/>
            <w:vAlign w:val="center"/>
            <w:hideMark/>
          </w:tcPr>
          <w:p w14:paraId="2A982F86"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34 484</w:t>
            </w:r>
          </w:p>
        </w:tc>
        <w:tc>
          <w:tcPr>
            <w:tcW w:w="1160" w:type="dxa"/>
            <w:shd w:val="clear" w:color="auto" w:fill="auto"/>
            <w:noWrap/>
            <w:vAlign w:val="center"/>
            <w:hideMark/>
          </w:tcPr>
          <w:p w14:paraId="2B640079"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31 887</w:t>
            </w:r>
          </w:p>
        </w:tc>
        <w:tc>
          <w:tcPr>
            <w:tcW w:w="1341" w:type="dxa"/>
            <w:shd w:val="clear" w:color="auto" w:fill="auto"/>
            <w:noWrap/>
            <w:vAlign w:val="center"/>
            <w:hideMark/>
          </w:tcPr>
          <w:p w14:paraId="3672DECD"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r>
      <w:tr w:rsidR="00A53AD7" w:rsidRPr="00A53AD7" w14:paraId="40D983CC" w14:textId="77777777" w:rsidTr="001C59FD">
        <w:trPr>
          <w:trHeight w:hRule="exact" w:val="255"/>
        </w:trPr>
        <w:tc>
          <w:tcPr>
            <w:tcW w:w="5600" w:type="dxa"/>
            <w:shd w:val="clear" w:color="auto" w:fill="auto"/>
            <w:vAlign w:val="center"/>
            <w:hideMark/>
          </w:tcPr>
          <w:p w14:paraId="1EC3C85D"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труда и отдыха</w:t>
            </w:r>
          </w:p>
        </w:tc>
        <w:tc>
          <w:tcPr>
            <w:tcW w:w="1060" w:type="dxa"/>
            <w:shd w:val="clear" w:color="auto" w:fill="auto"/>
            <w:noWrap/>
            <w:vAlign w:val="center"/>
            <w:hideMark/>
          </w:tcPr>
          <w:p w14:paraId="57EA4843"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1160" w:type="dxa"/>
            <w:shd w:val="clear" w:color="auto" w:fill="auto"/>
            <w:noWrap/>
            <w:vAlign w:val="center"/>
            <w:hideMark/>
          </w:tcPr>
          <w:p w14:paraId="51E3202F"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1341" w:type="dxa"/>
            <w:shd w:val="clear" w:color="auto" w:fill="auto"/>
            <w:noWrap/>
            <w:vAlign w:val="center"/>
            <w:hideMark/>
          </w:tcPr>
          <w:p w14:paraId="11568FDB"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3D388D6E" w14:textId="77777777" w:rsidTr="001C59FD">
        <w:trPr>
          <w:trHeight w:hRule="exact" w:val="255"/>
        </w:trPr>
        <w:tc>
          <w:tcPr>
            <w:tcW w:w="5600" w:type="dxa"/>
            <w:shd w:val="clear" w:color="auto" w:fill="auto"/>
            <w:vAlign w:val="center"/>
            <w:hideMark/>
          </w:tcPr>
          <w:p w14:paraId="73A20EA2"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палаточный лагерь</w:t>
            </w:r>
          </w:p>
        </w:tc>
        <w:tc>
          <w:tcPr>
            <w:tcW w:w="1060" w:type="dxa"/>
            <w:shd w:val="clear" w:color="auto" w:fill="auto"/>
            <w:noWrap/>
            <w:vAlign w:val="center"/>
            <w:hideMark/>
          </w:tcPr>
          <w:p w14:paraId="2B1861C7"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1 133</w:t>
            </w:r>
          </w:p>
        </w:tc>
        <w:tc>
          <w:tcPr>
            <w:tcW w:w="1160" w:type="dxa"/>
            <w:shd w:val="clear" w:color="auto" w:fill="auto"/>
            <w:noWrap/>
            <w:vAlign w:val="center"/>
            <w:hideMark/>
          </w:tcPr>
          <w:p w14:paraId="616BCBC2"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1 053</w:t>
            </w:r>
          </w:p>
        </w:tc>
        <w:tc>
          <w:tcPr>
            <w:tcW w:w="1341" w:type="dxa"/>
            <w:shd w:val="clear" w:color="auto" w:fill="auto"/>
            <w:noWrap/>
            <w:vAlign w:val="center"/>
            <w:hideMark/>
          </w:tcPr>
          <w:p w14:paraId="7F74C1B7"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r>
      <w:tr w:rsidR="00A53AD7" w:rsidRPr="00A53AD7" w14:paraId="3E5BD8DC" w14:textId="77777777" w:rsidTr="001C59FD">
        <w:trPr>
          <w:trHeight w:val="717"/>
        </w:trPr>
        <w:tc>
          <w:tcPr>
            <w:tcW w:w="5600" w:type="dxa"/>
            <w:shd w:val="clear" w:color="auto" w:fill="auto"/>
            <w:vAlign w:val="center"/>
            <w:hideMark/>
          </w:tcPr>
          <w:p w14:paraId="3D9689DB" w14:textId="77777777" w:rsidR="001C59FD" w:rsidRPr="00A53AD7" w:rsidRDefault="001C59FD" w:rsidP="00992DC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малозатратные формы отдыха (походы, экспедиции, спортивно-туристские и культурно-образовательные мероприятия)**</w:t>
            </w:r>
          </w:p>
        </w:tc>
        <w:tc>
          <w:tcPr>
            <w:tcW w:w="1060" w:type="dxa"/>
            <w:shd w:val="clear" w:color="auto" w:fill="auto"/>
            <w:noWrap/>
            <w:vAlign w:val="center"/>
            <w:hideMark/>
          </w:tcPr>
          <w:p w14:paraId="533368AE"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6 763</w:t>
            </w:r>
          </w:p>
        </w:tc>
        <w:tc>
          <w:tcPr>
            <w:tcW w:w="1160" w:type="dxa"/>
            <w:shd w:val="clear" w:color="auto" w:fill="auto"/>
            <w:noWrap/>
            <w:vAlign w:val="center"/>
            <w:hideMark/>
          </w:tcPr>
          <w:p w14:paraId="7643B80B"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33 948</w:t>
            </w:r>
          </w:p>
        </w:tc>
        <w:tc>
          <w:tcPr>
            <w:tcW w:w="1341" w:type="dxa"/>
            <w:shd w:val="clear" w:color="auto" w:fill="auto"/>
            <w:noWrap/>
            <w:vAlign w:val="center"/>
            <w:hideMark/>
          </w:tcPr>
          <w:p w14:paraId="1EF88039" w14:textId="77777777" w:rsidR="001C59FD" w:rsidRPr="00A53AD7" w:rsidRDefault="001C59FD" w:rsidP="00992DC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r>
    </w:tbl>
    <w:p w14:paraId="649B34B4" w14:textId="77777777" w:rsidR="001C59FD" w:rsidRPr="00A53AD7" w:rsidRDefault="001C59FD" w:rsidP="001C59FD">
      <w:pPr>
        <w:spacing w:after="0" w:line="240" w:lineRule="auto"/>
        <w:ind w:firstLine="709"/>
        <w:jc w:val="both"/>
        <w:rPr>
          <w:rFonts w:ascii="Times New Roman" w:hAnsi="Times New Roman"/>
          <w:sz w:val="20"/>
          <w:szCs w:val="20"/>
        </w:rPr>
      </w:pPr>
      <w:r w:rsidRPr="00A53AD7">
        <w:rPr>
          <w:rFonts w:ascii="Times New Roman" w:hAnsi="Times New Roman"/>
          <w:sz w:val="20"/>
          <w:szCs w:val="20"/>
        </w:rPr>
        <w:t>* количество оздоровленных детей за 2019 год, указано в соответствии с отчетом о реализации в 2019 году государственной программы Архангельской области «Социальная поддержка граждан в Архангельской области»</w:t>
      </w:r>
    </w:p>
    <w:p w14:paraId="3141D3DA" w14:textId="77777777" w:rsidR="001C59FD" w:rsidRPr="00A53AD7" w:rsidRDefault="001C59FD" w:rsidP="001C59FD">
      <w:pPr>
        <w:spacing w:after="0" w:line="240" w:lineRule="auto"/>
        <w:ind w:firstLine="709"/>
        <w:jc w:val="both"/>
        <w:rPr>
          <w:rFonts w:ascii="Times New Roman" w:hAnsi="Times New Roman"/>
          <w:sz w:val="20"/>
          <w:szCs w:val="20"/>
        </w:rPr>
      </w:pPr>
      <w:r w:rsidRPr="00A53AD7">
        <w:rPr>
          <w:rFonts w:ascii="Times New Roman" w:hAnsi="Times New Roman"/>
          <w:sz w:val="20"/>
          <w:szCs w:val="20"/>
        </w:rPr>
        <w:t>** не включено в общее количество оздоровленных детей.</w:t>
      </w:r>
    </w:p>
    <w:p w14:paraId="07131DBF" w14:textId="77777777" w:rsidR="00192754" w:rsidRPr="00A53AD7" w:rsidRDefault="00192754" w:rsidP="00B744D5">
      <w:pPr>
        <w:spacing w:after="0" w:line="240" w:lineRule="auto"/>
        <w:ind w:firstLine="709"/>
        <w:jc w:val="both"/>
        <w:rPr>
          <w:rFonts w:ascii="Times New Roman" w:hAnsi="Times New Roman"/>
          <w:sz w:val="28"/>
          <w:szCs w:val="28"/>
          <w:highlight w:val="cyan"/>
        </w:rPr>
      </w:pPr>
    </w:p>
    <w:p w14:paraId="68385569" w14:textId="47699EA4"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произошло снижение охвата общей численности оздоровленных детей по сравнению с 2018 годом с 49,3% до 41,5%. Количество оздоровленных (отдохнувших) детей снизил</w:t>
      </w:r>
      <w:r w:rsidR="00192754" w:rsidRPr="00A53AD7">
        <w:rPr>
          <w:rFonts w:ascii="Times New Roman" w:hAnsi="Times New Roman"/>
          <w:sz w:val="28"/>
          <w:szCs w:val="28"/>
        </w:rPr>
        <w:t>ось на 3 541 чел. (или на 6%).</w:t>
      </w:r>
    </w:p>
    <w:p w14:paraId="54319448"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общего количества отдохнувших детей в течение отчетного периода:</w:t>
      </w:r>
    </w:p>
    <w:p w14:paraId="0D1260A8"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31 887 чел. (60,8%) отдыхали в оздоровительных лагерях с дневным пребыванием;</w:t>
      </w:r>
    </w:p>
    <w:p w14:paraId="1512BFFC"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16 368 чел. (31,2%) отдыхали в загородных оздоровительных лагерях.</w:t>
      </w:r>
    </w:p>
    <w:p w14:paraId="0B5BEDCF"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числа направленных в 2019 году в детские оздоровительные лагеря 44 328 детей (84,6%) на территории Архангельской области и 8 056 ребенка (15,4%) отдыхали за пределами Архангельской области.</w:t>
      </w:r>
    </w:p>
    <w:p w14:paraId="60BEC7B5"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Данные о направлении средств на отдых и оздоровление детей Архангельской области в 2019 году в сравнении с 2018 годом представлены ниже:</w:t>
      </w:r>
    </w:p>
    <w:tbl>
      <w:tblPr>
        <w:tblW w:w="9275" w:type="dxa"/>
        <w:tblInd w:w="1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85"/>
        <w:gridCol w:w="1236"/>
        <w:gridCol w:w="1236"/>
        <w:gridCol w:w="1091"/>
        <w:gridCol w:w="727"/>
      </w:tblGrid>
      <w:tr w:rsidR="00A53AD7" w:rsidRPr="00A53AD7" w14:paraId="01EB3D9A" w14:textId="77777777" w:rsidTr="009B7AAC">
        <w:trPr>
          <w:trHeight w:val="315"/>
          <w:tblHeader/>
        </w:trPr>
        <w:tc>
          <w:tcPr>
            <w:tcW w:w="4985" w:type="dxa"/>
            <w:vMerge w:val="restart"/>
            <w:shd w:val="clear" w:color="auto" w:fill="auto"/>
            <w:noWrap/>
            <w:vAlign w:val="center"/>
            <w:hideMark/>
          </w:tcPr>
          <w:p w14:paraId="12005CB9"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Направление бюджетных средств</w:t>
            </w:r>
          </w:p>
        </w:tc>
        <w:tc>
          <w:tcPr>
            <w:tcW w:w="1236" w:type="dxa"/>
            <w:vMerge w:val="restart"/>
            <w:shd w:val="clear" w:color="auto" w:fill="auto"/>
            <w:vAlign w:val="center"/>
            <w:hideMark/>
          </w:tcPr>
          <w:p w14:paraId="32F1E340"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Направлено в 2018 году </w:t>
            </w:r>
          </w:p>
        </w:tc>
        <w:tc>
          <w:tcPr>
            <w:tcW w:w="1236" w:type="dxa"/>
            <w:vMerge w:val="restart"/>
            <w:shd w:val="clear" w:color="auto" w:fill="auto"/>
            <w:vAlign w:val="center"/>
            <w:hideMark/>
          </w:tcPr>
          <w:p w14:paraId="04A7D104"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Направлено в 2019 г.</w:t>
            </w:r>
          </w:p>
        </w:tc>
        <w:tc>
          <w:tcPr>
            <w:tcW w:w="1818" w:type="dxa"/>
            <w:gridSpan w:val="2"/>
            <w:vMerge w:val="restart"/>
            <w:shd w:val="clear" w:color="auto" w:fill="auto"/>
            <w:vAlign w:val="center"/>
            <w:hideMark/>
          </w:tcPr>
          <w:p w14:paraId="350A33DC"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Изменение </w:t>
            </w:r>
          </w:p>
          <w:p w14:paraId="63745B9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 2018 г.</w:t>
            </w:r>
          </w:p>
        </w:tc>
      </w:tr>
      <w:tr w:rsidR="00A53AD7" w:rsidRPr="00A53AD7" w14:paraId="6F22A597" w14:textId="77777777" w:rsidTr="009B7AAC">
        <w:trPr>
          <w:trHeight w:val="269"/>
          <w:tblHeader/>
        </w:trPr>
        <w:tc>
          <w:tcPr>
            <w:tcW w:w="4985" w:type="dxa"/>
            <w:vMerge/>
            <w:vAlign w:val="center"/>
            <w:hideMark/>
          </w:tcPr>
          <w:p w14:paraId="38A6ECD3"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236" w:type="dxa"/>
            <w:vMerge/>
            <w:vAlign w:val="center"/>
            <w:hideMark/>
          </w:tcPr>
          <w:p w14:paraId="76D8371D"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236" w:type="dxa"/>
            <w:vMerge/>
            <w:vAlign w:val="center"/>
            <w:hideMark/>
          </w:tcPr>
          <w:p w14:paraId="5FC749EC"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818" w:type="dxa"/>
            <w:gridSpan w:val="2"/>
            <w:vMerge/>
            <w:vAlign w:val="center"/>
            <w:hideMark/>
          </w:tcPr>
          <w:p w14:paraId="7B6BBC45" w14:textId="77777777" w:rsidR="00B744D5" w:rsidRPr="00A53AD7" w:rsidRDefault="00B744D5" w:rsidP="00B744D5">
            <w:pPr>
              <w:spacing w:after="0" w:line="240" w:lineRule="auto"/>
              <w:rPr>
                <w:rFonts w:ascii="Times New Roman" w:eastAsia="Times New Roman" w:hAnsi="Times New Roman"/>
                <w:sz w:val="20"/>
                <w:szCs w:val="20"/>
                <w:lang w:eastAsia="ru-RU"/>
              </w:rPr>
            </w:pPr>
          </w:p>
        </w:tc>
      </w:tr>
      <w:tr w:rsidR="00A53AD7" w:rsidRPr="00A53AD7" w14:paraId="78A6ABF3" w14:textId="77777777" w:rsidTr="009B7AAC">
        <w:trPr>
          <w:trHeight w:val="124"/>
          <w:tblHeader/>
        </w:trPr>
        <w:tc>
          <w:tcPr>
            <w:tcW w:w="4985" w:type="dxa"/>
            <w:vMerge/>
            <w:tcBorders>
              <w:bottom w:val="single" w:sz="4" w:space="0" w:color="auto"/>
            </w:tcBorders>
            <w:vAlign w:val="center"/>
            <w:hideMark/>
          </w:tcPr>
          <w:p w14:paraId="1F377BE2"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236" w:type="dxa"/>
            <w:vMerge/>
            <w:tcBorders>
              <w:bottom w:val="single" w:sz="4" w:space="0" w:color="auto"/>
            </w:tcBorders>
            <w:vAlign w:val="center"/>
            <w:hideMark/>
          </w:tcPr>
          <w:p w14:paraId="2E98417A"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236" w:type="dxa"/>
            <w:vMerge/>
            <w:tcBorders>
              <w:bottom w:val="single" w:sz="4" w:space="0" w:color="auto"/>
            </w:tcBorders>
            <w:vAlign w:val="center"/>
            <w:hideMark/>
          </w:tcPr>
          <w:p w14:paraId="2214BDE3" w14:textId="77777777" w:rsidR="00B744D5" w:rsidRPr="00A53AD7" w:rsidRDefault="00B744D5" w:rsidP="00B744D5">
            <w:pPr>
              <w:spacing w:after="0" w:line="240" w:lineRule="auto"/>
              <w:rPr>
                <w:rFonts w:ascii="Times New Roman" w:eastAsia="Times New Roman" w:hAnsi="Times New Roman"/>
                <w:sz w:val="20"/>
                <w:szCs w:val="20"/>
                <w:lang w:eastAsia="ru-RU"/>
              </w:rPr>
            </w:pPr>
          </w:p>
        </w:tc>
        <w:tc>
          <w:tcPr>
            <w:tcW w:w="1091" w:type="dxa"/>
            <w:tcBorders>
              <w:bottom w:val="single" w:sz="4" w:space="0" w:color="auto"/>
            </w:tcBorders>
            <w:shd w:val="clear" w:color="auto" w:fill="auto"/>
            <w:vAlign w:val="center"/>
            <w:hideMark/>
          </w:tcPr>
          <w:p w14:paraId="10C57BC5" w14:textId="66B042F7" w:rsidR="00B744D5" w:rsidRPr="00A53AD7" w:rsidRDefault="00163D1C"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w:t>
            </w:r>
            <w:r w:rsidR="00B744D5" w:rsidRPr="00A53AD7">
              <w:rPr>
                <w:rFonts w:ascii="Times New Roman" w:eastAsia="Times New Roman" w:hAnsi="Times New Roman"/>
                <w:sz w:val="20"/>
                <w:szCs w:val="20"/>
                <w:lang w:eastAsia="ru-RU"/>
              </w:rPr>
              <w:t>руб.</w:t>
            </w:r>
          </w:p>
        </w:tc>
        <w:tc>
          <w:tcPr>
            <w:tcW w:w="727" w:type="dxa"/>
            <w:tcBorders>
              <w:bottom w:val="single" w:sz="4" w:space="0" w:color="auto"/>
            </w:tcBorders>
            <w:shd w:val="clear" w:color="auto" w:fill="auto"/>
            <w:noWrap/>
            <w:vAlign w:val="center"/>
            <w:hideMark/>
          </w:tcPr>
          <w:p w14:paraId="0329E0EE"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A53AD7" w:rsidRPr="00A53AD7" w14:paraId="722D8D43" w14:textId="77777777" w:rsidTr="00222A63">
        <w:trPr>
          <w:trHeight w:val="169"/>
        </w:trPr>
        <w:tc>
          <w:tcPr>
            <w:tcW w:w="4985" w:type="dxa"/>
            <w:tcBorders>
              <w:top w:val="single" w:sz="4" w:space="0" w:color="auto"/>
              <w:bottom w:val="single" w:sz="4" w:space="0" w:color="auto"/>
            </w:tcBorders>
            <w:shd w:val="clear" w:color="auto" w:fill="auto"/>
            <w:noWrap/>
            <w:vAlign w:val="center"/>
            <w:hideMark/>
          </w:tcPr>
          <w:p w14:paraId="2D1F90E7" w14:textId="77777777" w:rsidR="00B744D5" w:rsidRPr="00A53AD7" w:rsidRDefault="00B744D5" w:rsidP="00B744D5">
            <w:pPr>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за счет областного бюджета</w:t>
            </w:r>
          </w:p>
        </w:tc>
        <w:tc>
          <w:tcPr>
            <w:tcW w:w="1236" w:type="dxa"/>
            <w:tcBorders>
              <w:top w:val="single" w:sz="4" w:space="0" w:color="auto"/>
              <w:bottom w:val="single" w:sz="4" w:space="0" w:color="auto"/>
            </w:tcBorders>
            <w:shd w:val="clear" w:color="auto" w:fill="auto"/>
            <w:vAlign w:val="center"/>
            <w:hideMark/>
          </w:tcPr>
          <w:p w14:paraId="2F06AFA2"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372,7</w:t>
            </w:r>
          </w:p>
        </w:tc>
        <w:tc>
          <w:tcPr>
            <w:tcW w:w="1236" w:type="dxa"/>
            <w:tcBorders>
              <w:top w:val="single" w:sz="4" w:space="0" w:color="auto"/>
              <w:bottom w:val="single" w:sz="4" w:space="0" w:color="auto"/>
            </w:tcBorders>
            <w:shd w:val="clear" w:color="auto" w:fill="auto"/>
            <w:vAlign w:val="center"/>
            <w:hideMark/>
          </w:tcPr>
          <w:p w14:paraId="2E8C98C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429,7</w:t>
            </w:r>
          </w:p>
        </w:tc>
        <w:tc>
          <w:tcPr>
            <w:tcW w:w="1091" w:type="dxa"/>
            <w:tcBorders>
              <w:top w:val="single" w:sz="4" w:space="0" w:color="auto"/>
              <w:bottom w:val="single" w:sz="4" w:space="0" w:color="auto"/>
            </w:tcBorders>
            <w:shd w:val="clear" w:color="auto" w:fill="auto"/>
            <w:noWrap/>
            <w:vAlign w:val="center"/>
            <w:hideMark/>
          </w:tcPr>
          <w:p w14:paraId="62CE6D66"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57,0</w:t>
            </w:r>
          </w:p>
        </w:tc>
        <w:tc>
          <w:tcPr>
            <w:tcW w:w="727" w:type="dxa"/>
            <w:tcBorders>
              <w:top w:val="single" w:sz="4" w:space="0" w:color="auto"/>
              <w:bottom w:val="single" w:sz="4" w:space="0" w:color="auto"/>
            </w:tcBorders>
            <w:shd w:val="clear" w:color="auto" w:fill="auto"/>
            <w:noWrap/>
            <w:vAlign w:val="center"/>
            <w:hideMark/>
          </w:tcPr>
          <w:p w14:paraId="2447D11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w:t>
            </w:r>
          </w:p>
        </w:tc>
      </w:tr>
      <w:tr w:rsidR="00A53AD7" w:rsidRPr="00A53AD7" w14:paraId="10A26B6F" w14:textId="77777777" w:rsidTr="00222A63">
        <w:trPr>
          <w:trHeight w:val="1215"/>
        </w:trPr>
        <w:tc>
          <w:tcPr>
            <w:tcW w:w="4985" w:type="dxa"/>
            <w:tcBorders>
              <w:top w:val="single" w:sz="4" w:space="0" w:color="auto"/>
              <w:bottom w:val="single" w:sz="4" w:space="0" w:color="auto"/>
            </w:tcBorders>
            <w:shd w:val="clear" w:color="auto" w:fill="auto"/>
            <w:vAlign w:val="center"/>
            <w:hideMark/>
          </w:tcPr>
          <w:p w14:paraId="589133BB"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на оплату путевок для детей, в том числе находящихся в трудной жизненной ситуации, детей, имеющих хронические заболевания, в том числе детей-сирот и детей, оставшихся без попечения родителей, воспитывающихся в государственных образовательных организациях Архангельской области</w:t>
            </w:r>
          </w:p>
        </w:tc>
        <w:tc>
          <w:tcPr>
            <w:tcW w:w="1236" w:type="dxa"/>
            <w:tcBorders>
              <w:top w:val="single" w:sz="4" w:space="0" w:color="auto"/>
              <w:bottom w:val="single" w:sz="4" w:space="0" w:color="auto"/>
            </w:tcBorders>
            <w:shd w:val="clear" w:color="auto" w:fill="auto"/>
            <w:vAlign w:val="center"/>
            <w:hideMark/>
          </w:tcPr>
          <w:p w14:paraId="557A7874"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237,4</w:t>
            </w:r>
          </w:p>
        </w:tc>
        <w:tc>
          <w:tcPr>
            <w:tcW w:w="1236" w:type="dxa"/>
            <w:tcBorders>
              <w:top w:val="single" w:sz="4" w:space="0" w:color="auto"/>
              <w:bottom w:val="single" w:sz="4" w:space="0" w:color="auto"/>
            </w:tcBorders>
            <w:shd w:val="clear" w:color="auto" w:fill="auto"/>
            <w:vAlign w:val="center"/>
            <w:hideMark/>
          </w:tcPr>
          <w:p w14:paraId="566BED14"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252,1</w:t>
            </w:r>
          </w:p>
        </w:tc>
        <w:tc>
          <w:tcPr>
            <w:tcW w:w="1091" w:type="dxa"/>
            <w:tcBorders>
              <w:top w:val="single" w:sz="4" w:space="0" w:color="auto"/>
              <w:bottom w:val="single" w:sz="4" w:space="0" w:color="auto"/>
            </w:tcBorders>
            <w:shd w:val="clear" w:color="auto" w:fill="auto"/>
            <w:noWrap/>
            <w:vAlign w:val="center"/>
            <w:hideMark/>
          </w:tcPr>
          <w:p w14:paraId="05730A89"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14,7</w:t>
            </w:r>
          </w:p>
        </w:tc>
        <w:tc>
          <w:tcPr>
            <w:tcW w:w="727" w:type="dxa"/>
            <w:tcBorders>
              <w:top w:val="single" w:sz="4" w:space="0" w:color="auto"/>
              <w:bottom w:val="single" w:sz="4" w:space="0" w:color="auto"/>
            </w:tcBorders>
            <w:shd w:val="clear" w:color="auto" w:fill="auto"/>
            <w:noWrap/>
            <w:vAlign w:val="center"/>
            <w:hideMark/>
          </w:tcPr>
          <w:p w14:paraId="2967DD52"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w:t>
            </w:r>
          </w:p>
        </w:tc>
      </w:tr>
      <w:tr w:rsidR="00A53AD7" w:rsidRPr="00A53AD7" w14:paraId="4E4E515E" w14:textId="77777777" w:rsidTr="00222A63">
        <w:trPr>
          <w:trHeight w:val="765"/>
        </w:trPr>
        <w:tc>
          <w:tcPr>
            <w:tcW w:w="4985" w:type="dxa"/>
            <w:tcBorders>
              <w:top w:val="single" w:sz="4" w:space="0" w:color="auto"/>
            </w:tcBorders>
            <w:shd w:val="clear" w:color="auto" w:fill="auto"/>
            <w:vAlign w:val="center"/>
            <w:hideMark/>
          </w:tcPr>
          <w:p w14:paraId="4200303B"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Общий размер межбюджетных трансфертов из областного бюджета органам местного самоуправления муниципальных образований на организацию отдыха детей в каникулярное время </w:t>
            </w:r>
          </w:p>
        </w:tc>
        <w:tc>
          <w:tcPr>
            <w:tcW w:w="1236" w:type="dxa"/>
            <w:tcBorders>
              <w:top w:val="single" w:sz="4" w:space="0" w:color="auto"/>
            </w:tcBorders>
            <w:shd w:val="clear" w:color="auto" w:fill="auto"/>
            <w:vAlign w:val="center"/>
            <w:hideMark/>
          </w:tcPr>
          <w:p w14:paraId="1C471609"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69,5</w:t>
            </w:r>
          </w:p>
        </w:tc>
        <w:tc>
          <w:tcPr>
            <w:tcW w:w="1236" w:type="dxa"/>
            <w:tcBorders>
              <w:top w:val="single" w:sz="4" w:space="0" w:color="auto"/>
            </w:tcBorders>
            <w:shd w:val="clear" w:color="auto" w:fill="auto"/>
            <w:vAlign w:val="center"/>
            <w:hideMark/>
          </w:tcPr>
          <w:p w14:paraId="6E251F7F"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70,5</w:t>
            </w:r>
          </w:p>
        </w:tc>
        <w:tc>
          <w:tcPr>
            <w:tcW w:w="1091" w:type="dxa"/>
            <w:tcBorders>
              <w:top w:val="single" w:sz="4" w:space="0" w:color="auto"/>
            </w:tcBorders>
            <w:shd w:val="clear" w:color="auto" w:fill="auto"/>
            <w:noWrap/>
            <w:vAlign w:val="center"/>
            <w:hideMark/>
          </w:tcPr>
          <w:p w14:paraId="21364F3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727" w:type="dxa"/>
            <w:tcBorders>
              <w:top w:val="single" w:sz="4" w:space="0" w:color="auto"/>
            </w:tcBorders>
            <w:shd w:val="clear" w:color="auto" w:fill="auto"/>
            <w:noWrap/>
            <w:vAlign w:val="center"/>
            <w:hideMark/>
          </w:tcPr>
          <w:p w14:paraId="3B8A93A1"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r>
      <w:tr w:rsidR="00A53AD7" w:rsidRPr="00A53AD7" w14:paraId="18EEE88D" w14:textId="77777777" w:rsidTr="00222A63">
        <w:trPr>
          <w:trHeight w:val="510"/>
        </w:trPr>
        <w:tc>
          <w:tcPr>
            <w:tcW w:w="4985" w:type="dxa"/>
            <w:tcBorders>
              <w:bottom w:val="single" w:sz="4" w:space="0" w:color="auto"/>
            </w:tcBorders>
            <w:shd w:val="clear" w:color="auto" w:fill="auto"/>
            <w:vAlign w:val="center"/>
            <w:hideMark/>
          </w:tcPr>
          <w:p w14:paraId="2D9460BC"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Организация отдыха и оздоровления детей, находящихся в трудной жизненной ситуации, в ГАУ АО «Центр детского отдыха «Северный Артек» </w:t>
            </w:r>
          </w:p>
        </w:tc>
        <w:tc>
          <w:tcPr>
            <w:tcW w:w="1236" w:type="dxa"/>
            <w:tcBorders>
              <w:bottom w:val="single" w:sz="4" w:space="0" w:color="auto"/>
            </w:tcBorders>
            <w:shd w:val="clear" w:color="auto" w:fill="auto"/>
            <w:vAlign w:val="center"/>
            <w:hideMark/>
          </w:tcPr>
          <w:p w14:paraId="304FE11E"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39,2</w:t>
            </w:r>
          </w:p>
        </w:tc>
        <w:tc>
          <w:tcPr>
            <w:tcW w:w="1236" w:type="dxa"/>
            <w:tcBorders>
              <w:bottom w:val="single" w:sz="4" w:space="0" w:color="auto"/>
            </w:tcBorders>
            <w:shd w:val="clear" w:color="auto" w:fill="auto"/>
            <w:vAlign w:val="center"/>
            <w:hideMark/>
          </w:tcPr>
          <w:p w14:paraId="037C070E"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39,7</w:t>
            </w:r>
          </w:p>
        </w:tc>
        <w:tc>
          <w:tcPr>
            <w:tcW w:w="1091" w:type="dxa"/>
            <w:tcBorders>
              <w:bottom w:val="single" w:sz="4" w:space="0" w:color="auto"/>
            </w:tcBorders>
            <w:shd w:val="clear" w:color="auto" w:fill="auto"/>
            <w:noWrap/>
            <w:vAlign w:val="center"/>
            <w:hideMark/>
          </w:tcPr>
          <w:p w14:paraId="48275EAE"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0,5</w:t>
            </w:r>
          </w:p>
        </w:tc>
        <w:tc>
          <w:tcPr>
            <w:tcW w:w="727" w:type="dxa"/>
            <w:tcBorders>
              <w:bottom w:val="single" w:sz="4" w:space="0" w:color="auto"/>
            </w:tcBorders>
            <w:shd w:val="clear" w:color="auto" w:fill="auto"/>
            <w:noWrap/>
            <w:vAlign w:val="center"/>
            <w:hideMark/>
          </w:tcPr>
          <w:p w14:paraId="296814B3"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r>
      <w:tr w:rsidR="00A53AD7" w:rsidRPr="00A53AD7" w14:paraId="6C339CC7" w14:textId="77777777" w:rsidTr="00222A63">
        <w:trPr>
          <w:trHeight w:val="510"/>
        </w:trPr>
        <w:tc>
          <w:tcPr>
            <w:tcW w:w="4985" w:type="dxa"/>
            <w:tcBorders>
              <w:top w:val="single" w:sz="4" w:space="0" w:color="auto"/>
              <w:bottom w:val="single" w:sz="4" w:space="0" w:color="auto"/>
            </w:tcBorders>
            <w:shd w:val="clear" w:color="auto" w:fill="auto"/>
            <w:vAlign w:val="center"/>
            <w:hideMark/>
          </w:tcPr>
          <w:p w14:paraId="205C34AD"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Предоставление работникам ГАУ АО «Центр детского отдыха «Северный Артек» оплаты проезда к месту отдыха и обратно</w:t>
            </w:r>
          </w:p>
        </w:tc>
        <w:tc>
          <w:tcPr>
            <w:tcW w:w="1236" w:type="dxa"/>
            <w:tcBorders>
              <w:top w:val="single" w:sz="4" w:space="0" w:color="auto"/>
              <w:bottom w:val="single" w:sz="4" w:space="0" w:color="auto"/>
            </w:tcBorders>
            <w:shd w:val="clear" w:color="auto" w:fill="auto"/>
            <w:vAlign w:val="center"/>
            <w:hideMark/>
          </w:tcPr>
          <w:p w14:paraId="0C5DA752"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0,4</w:t>
            </w:r>
          </w:p>
        </w:tc>
        <w:tc>
          <w:tcPr>
            <w:tcW w:w="1236" w:type="dxa"/>
            <w:tcBorders>
              <w:top w:val="single" w:sz="4" w:space="0" w:color="auto"/>
              <w:bottom w:val="single" w:sz="4" w:space="0" w:color="auto"/>
            </w:tcBorders>
            <w:shd w:val="clear" w:color="auto" w:fill="auto"/>
            <w:vAlign w:val="center"/>
            <w:hideMark/>
          </w:tcPr>
          <w:p w14:paraId="7FE8996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1091" w:type="dxa"/>
            <w:tcBorders>
              <w:top w:val="single" w:sz="4" w:space="0" w:color="auto"/>
              <w:bottom w:val="single" w:sz="4" w:space="0" w:color="auto"/>
            </w:tcBorders>
            <w:shd w:val="clear" w:color="auto" w:fill="auto"/>
            <w:noWrap/>
            <w:vAlign w:val="center"/>
            <w:hideMark/>
          </w:tcPr>
          <w:p w14:paraId="1952E3FC"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727" w:type="dxa"/>
            <w:tcBorders>
              <w:top w:val="single" w:sz="4" w:space="0" w:color="auto"/>
              <w:bottom w:val="single" w:sz="4" w:space="0" w:color="auto"/>
            </w:tcBorders>
            <w:shd w:val="clear" w:color="auto" w:fill="auto"/>
            <w:noWrap/>
            <w:vAlign w:val="center"/>
            <w:hideMark/>
          </w:tcPr>
          <w:p w14:paraId="1C00F7E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-66%</w:t>
            </w:r>
          </w:p>
        </w:tc>
      </w:tr>
      <w:tr w:rsidR="00A53AD7" w:rsidRPr="00A53AD7" w14:paraId="232D8F1E" w14:textId="77777777" w:rsidTr="00222A63">
        <w:trPr>
          <w:trHeight w:val="765"/>
        </w:trPr>
        <w:tc>
          <w:tcPr>
            <w:tcW w:w="4985" w:type="dxa"/>
            <w:tcBorders>
              <w:top w:val="single" w:sz="4" w:space="0" w:color="auto"/>
            </w:tcBorders>
            <w:shd w:val="clear" w:color="auto" w:fill="auto"/>
            <w:vAlign w:val="center"/>
            <w:hideMark/>
          </w:tcPr>
          <w:p w14:paraId="13127728"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Организация и обеспечение сопровождения к месту отдыха и оздоровления детей, находящихся в трудной жизненной ситуации, в составе организованной группы и обратно</w:t>
            </w:r>
          </w:p>
        </w:tc>
        <w:tc>
          <w:tcPr>
            <w:tcW w:w="1236" w:type="dxa"/>
            <w:tcBorders>
              <w:top w:val="single" w:sz="4" w:space="0" w:color="auto"/>
            </w:tcBorders>
            <w:shd w:val="clear" w:color="auto" w:fill="auto"/>
            <w:vAlign w:val="center"/>
            <w:hideMark/>
          </w:tcPr>
          <w:p w14:paraId="4671EC8F"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w:t>
            </w:r>
          </w:p>
        </w:tc>
        <w:tc>
          <w:tcPr>
            <w:tcW w:w="1236" w:type="dxa"/>
            <w:tcBorders>
              <w:top w:val="single" w:sz="4" w:space="0" w:color="auto"/>
            </w:tcBorders>
            <w:shd w:val="clear" w:color="auto" w:fill="auto"/>
            <w:vAlign w:val="center"/>
            <w:hideMark/>
          </w:tcPr>
          <w:p w14:paraId="1B8CF82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w:t>
            </w:r>
          </w:p>
        </w:tc>
        <w:tc>
          <w:tcPr>
            <w:tcW w:w="1091" w:type="dxa"/>
            <w:tcBorders>
              <w:top w:val="single" w:sz="4" w:space="0" w:color="auto"/>
            </w:tcBorders>
            <w:shd w:val="clear" w:color="auto" w:fill="auto"/>
            <w:noWrap/>
            <w:vAlign w:val="center"/>
            <w:hideMark/>
          </w:tcPr>
          <w:p w14:paraId="0A19A21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-0,6</w:t>
            </w:r>
          </w:p>
        </w:tc>
        <w:tc>
          <w:tcPr>
            <w:tcW w:w="727" w:type="dxa"/>
            <w:tcBorders>
              <w:top w:val="single" w:sz="4" w:space="0" w:color="auto"/>
            </w:tcBorders>
            <w:shd w:val="clear" w:color="auto" w:fill="auto"/>
            <w:noWrap/>
            <w:vAlign w:val="center"/>
            <w:hideMark/>
          </w:tcPr>
          <w:p w14:paraId="146C8B6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-46%</w:t>
            </w:r>
          </w:p>
        </w:tc>
      </w:tr>
      <w:tr w:rsidR="00A53AD7" w:rsidRPr="00A53AD7" w14:paraId="7DDF248C" w14:textId="77777777" w:rsidTr="00222A63">
        <w:trPr>
          <w:trHeight w:val="510"/>
        </w:trPr>
        <w:tc>
          <w:tcPr>
            <w:tcW w:w="4985" w:type="dxa"/>
            <w:shd w:val="clear" w:color="auto" w:fill="auto"/>
            <w:vAlign w:val="center"/>
            <w:hideMark/>
          </w:tcPr>
          <w:p w14:paraId="25D8466B"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Проведение мероприятий в сфере отдыха детей и из оздоровления, в том числе регионального форума организатор Детского отдых «ЛЕТО ПЛЮС»</w:t>
            </w:r>
          </w:p>
        </w:tc>
        <w:tc>
          <w:tcPr>
            <w:tcW w:w="1236" w:type="dxa"/>
            <w:shd w:val="clear" w:color="auto" w:fill="auto"/>
            <w:vAlign w:val="center"/>
            <w:hideMark/>
          </w:tcPr>
          <w:p w14:paraId="75124C83"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w:t>
            </w:r>
          </w:p>
        </w:tc>
        <w:tc>
          <w:tcPr>
            <w:tcW w:w="1236" w:type="dxa"/>
            <w:shd w:val="clear" w:color="auto" w:fill="auto"/>
            <w:vAlign w:val="center"/>
            <w:hideMark/>
          </w:tcPr>
          <w:p w14:paraId="5A0E2F08"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w:t>
            </w:r>
          </w:p>
        </w:tc>
        <w:tc>
          <w:tcPr>
            <w:tcW w:w="1091" w:type="dxa"/>
            <w:shd w:val="clear" w:color="auto" w:fill="auto"/>
            <w:noWrap/>
            <w:vAlign w:val="center"/>
            <w:hideMark/>
          </w:tcPr>
          <w:p w14:paraId="6D2F200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0,6</w:t>
            </w:r>
          </w:p>
        </w:tc>
        <w:tc>
          <w:tcPr>
            <w:tcW w:w="727" w:type="dxa"/>
            <w:shd w:val="clear" w:color="auto" w:fill="auto"/>
            <w:noWrap/>
            <w:vAlign w:val="center"/>
            <w:hideMark/>
          </w:tcPr>
          <w:p w14:paraId="43ED338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рост в 7 раз</w:t>
            </w:r>
          </w:p>
        </w:tc>
      </w:tr>
      <w:tr w:rsidR="00A53AD7" w:rsidRPr="00A53AD7" w14:paraId="5C4F63E0" w14:textId="77777777" w:rsidTr="00222A63">
        <w:trPr>
          <w:trHeight w:val="765"/>
        </w:trPr>
        <w:tc>
          <w:tcPr>
            <w:tcW w:w="4985" w:type="dxa"/>
            <w:shd w:val="clear" w:color="auto" w:fill="auto"/>
            <w:vAlign w:val="center"/>
            <w:hideMark/>
          </w:tcPr>
          <w:p w14:paraId="748A12E1"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Оздоровление детей в оздоровительных лагерях с дневным пребыванием, лагерях палаточного типа, организованных государственными учреждениями социального обслуживания</w:t>
            </w:r>
          </w:p>
        </w:tc>
        <w:tc>
          <w:tcPr>
            <w:tcW w:w="1236" w:type="dxa"/>
            <w:shd w:val="clear" w:color="auto" w:fill="auto"/>
            <w:vAlign w:val="center"/>
            <w:hideMark/>
          </w:tcPr>
          <w:p w14:paraId="70034409"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w:t>
            </w:r>
          </w:p>
        </w:tc>
        <w:tc>
          <w:tcPr>
            <w:tcW w:w="1236" w:type="dxa"/>
            <w:shd w:val="clear" w:color="auto" w:fill="auto"/>
            <w:vAlign w:val="center"/>
            <w:hideMark/>
          </w:tcPr>
          <w:p w14:paraId="485608A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w:t>
            </w:r>
          </w:p>
        </w:tc>
        <w:tc>
          <w:tcPr>
            <w:tcW w:w="1091" w:type="dxa"/>
            <w:shd w:val="clear" w:color="auto" w:fill="auto"/>
            <w:noWrap/>
            <w:vAlign w:val="center"/>
            <w:hideMark/>
          </w:tcPr>
          <w:p w14:paraId="2797B4FC"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727" w:type="dxa"/>
            <w:shd w:val="clear" w:color="auto" w:fill="auto"/>
            <w:noWrap/>
            <w:vAlign w:val="center"/>
            <w:hideMark/>
          </w:tcPr>
          <w:p w14:paraId="0206DCC0"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рост в 3 раза</w:t>
            </w:r>
          </w:p>
        </w:tc>
      </w:tr>
      <w:tr w:rsidR="00A53AD7" w:rsidRPr="00A53AD7" w14:paraId="52FA6ED1" w14:textId="77777777" w:rsidTr="00222A63">
        <w:trPr>
          <w:trHeight w:val="765"/>
        </w:trPr>
        <w:tc>
          <w:tcPr>
            <w:tcW w:w="4985" w:type="dxa"/>
            <w:shd w:val="clear" w:color="auto" w:fill="auto"/>
            <w:vAlign w:val="center"/>
            <w:hideMark/>
          </w:tcPr>
          <w:p w14:paraId="6CB77612"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Укрепление материально-технической базы организаций отдыха детей и их оздоровления, в том числе ГАУ АО «Центр детского отдыха «Северный Артек» (детские оздоровительные лагеря "Северный Артек", "Лесная поляна")</w:t>
            </w:r>
          </w:p>
        </w:tc>
        <w:tc>
          <w:tcPr>
            <w:tcW w:w="1236" w:type="dxa"/>
            <w:shd w:val="clear" w:color="auto" w:fill="auto"/>
            <w:vAlign w:val="center"/>
            <w:hideMark/>
          </w:tcPr>
          <w:p w14:paraId="55397E62"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24,1</w:t>
            </w:r>
          </w:p>
        </w:tc>
        <w:tc>
          <w:tcPr>
            <w:tcW w:w="1236" w:type="dxa"/>
            <w:shd w:val="clear" w:color="auto" w:fill="auto"/>
            <w:vAlign w:val="center"/>
            <w:hideMark/>
          </w:tcPr>
          <w:p w14:paraId="19B25A88"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63,4</w:t>
            </w:r>
          </w:p>
        </w:tc>
        <w:tc>
          <w:tcPr>
            <w:tcW w:w="1091" w:type="dxa"/>
            <w:shd w:val="clear" w:color="auto" w:fill="auto"/>
            <w:noWrap/>
            <w:vAlign w:val="center"/>
            <w:hideMark/>
          </w:tcPr>
          <w:p w14:paraId="6A47E095"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39,3</w:t>
            </w:r>
          </w:p>
        </w:tc>
        <w:tc>
          <w:tcPr>
            <w:tcW w:w="727" w:type="dxa"/>
            <w:shd w:val="clear" w:color="auto" w:fill="auto"/>
            <w:noWrap/>
            <w:vAlign w:val="center"/>
            <w:hideMark/>
          </w:tcPr>
          <w:p w14:paraId="627F916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рост в 2,6 раза</w:t>
            </w:r>
          </w:p>
        </w:tc>
      </w:tr>
      <w:tr w:rsidR="00B744D5" w:rsidRPr="00A53AD7" w14:paraId="02A00D9F" w14:textId="77777777" w:rsidTr="00222A63">
        <w:trPr>
          <w:trHeight w:val="222"/>
        </w:trPr>
        <w:tc>
          <w:tcPr>
            <w:tcW w:w="4985" w:type="dxa"/>
            <w:shd w:val="clear" w:color="auto" w:fill="auto"/>
            <w:vAlign w:val="center"/>
            <w:hideMark/>
          </w:tcPr>
          <w:p w14:paraId="6C7A2390"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1236" w:type="dxa"/>
            <w:shd w:val="clear" w:color="auto" w:fill="auto"/>
            <w:vAlign w:val="center"/>
            <w:hideMark/>
          </w:tcPr>
          <w:p w14:paraId="24B32AC6"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372,7</w:t>
            </w:r>
          </w:p>
        </w:tc>
        <w:tc>
          <w:tcPr>
            <w:tcW w:w="1236" w:type="dxa"/>
            <w:shd w:val="clear" w:color="auto" w:fill="auto"/>
            <w:vAlign w:val="center"/>
            <w:hideMark/>
          </w:tcPr>
          <w:p w14:paraId="087CB14B"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429,7</w:t>
            </w:r>
          </w:p>
        </w:tc>
        <w:tc>
          <w:tcPr>
            <w:tcW w:w="1091" w:type="dxa"/>
            <w:shd w:val="clear" w:color="auto" w:fill="auto"/>
            <w:noWrap/>
            <w:vAlign w:val="center"/>
            <w:hideMark/>
          </w:tcPr>
          <w:p w14:paraId="32AA490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57,0 </w:t>
            </w:r>
          </w:p>
        </w:tc>
        <w:tc>
          <w:tcPr>
            <w:tcW w:w="727" w:type="dxa"/>
            <w:shd w:val="clear" w:color="auto" w:fill="auto"/>
            <w:noWrap/>
            <w:vAlign w:val="center"/>
            <w:hideMark/>
          </w:tcPr>
          <w:p w14:paraId="49C0C05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w:t>
            </w:r>
          </w:p>
        </w:tc>
      </w:tr>
    </w:tbl>
    <w:p w14:paraId="37064D93" w14:textId="77777777" w:rsidR="00192754" w:rsidRPr="00A53AD7" w:rsidRDefault="00192754" w:rsidP="00192754">
      <w:pPr>
        <w:spacing w:after="0" w:line="240" w:lineRule="auto"/>
        <w:ind w:firstLine="851"/>
        <w:jc w:val="both"/>
        <w:rPr>
          <w:rFonts w:ascii="Times New Roman" w:hAnsi="Times New Roman"/>
          <w:sz w:val="28"/>
          <w:szCs w:val="28"/>
        </w:rPr>
      </w:pPr>
    </w:p>
    <w:p w14:paraId="513746D5"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целом за счет средств областного бюджета на реализацию программ отдыха и оздоровления детей направлено 429,7 млн.руб., что на 57,0 млн.руб. больше по сравнению с 2018 годом.</w:t>
      </w:r>
    </w:p>
    <w:p w14:paraId="50A52A74"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Всего в 2019 году оздоровлено 11 217 детей, находящихся в трудной жизненной ситуации.</w:t>
      </w:r>
    </w:p>
    <w:p w14:paraId="6B5A8326" w14:textId="77777777" w:rsidR="00B744D5" w:rsidRPr="00A53AD7" w:rsidRDefault="00B744D5" w:rsidP="0019275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исполнены показатели по следующим видам отдыха и оздоровления детей, находящихся в трудной жизненной ситуации:</w:t>
      </w:r>
    </w:p>
    <w:p w14:paraId="46DED260" w14:textId="26C8FBBE" w:rsidR="00AD184B" w:rsidRPr="00A53AD7" w:rsidRDefault="00AD184B" w:rsidP="00CA1DDD">
      <w:pPr>
        <w:pStyle w:val="a8"/>
        <w:numPr>
          <w:ilvl w:val="0"/>
          <w:numId w:val="31"/>
        </w:numPr>
        <w:ind w:left="0" w:firstLine="851"/>
        <w:jc w:val="both"/>
        <w:rPr>
          <w:rFonts w:eastAsia="Calibri"/>
          <w:sz w:val="28"/>
          <w:szCs w:val="28"/>
        </w:rPr>
      </w:pPr>
      <w:r w:rsidRPr="00A53AD7">
        <w:rPr>
          <w:rFonts w:eastAsia="Calibri"/>
          <w:sz w:val="28"/>
          <w:szCs w:val="28"/>
        </w:rPr>
        <w:t>3 503 ребенка (или 89,2% от запланированного) в загородных стационарных детских оздоровительных лагерях и детских санаторных оздоровительных лагерях круглогодичного действия (причина отклонения - меры социальной поддержки носят заявительный характер. Законные представители отказываются предоставлять документы для подтверждения трудной жизненной ситуации). Обратившимся оказана услуга в рамках мероприятия иного мероприятия.</w:t>
      </w:r>
    </w:p>
    <w:p w14:paraId="0D23507B" w14:textId="1AF5C2D8"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 xml:space="preserve">647 </w:t>
      </w:r>
      <w:r w:rsidR="009B7AAC" w:rsidRPr="00A53AD7">
        <w:rPr>
          <w:rFonts w:eastAsia="Calibri"/>
          <w:sz w:val="28"/>
          <w:szCs w:val="28"/>
        </w:rPr>
        <w:t>детей</w:t>
      </w:r>
      <w:r w:rsidRPr="00A53AD7">
        <w:rPr>
          <w:rFonts w:eastAsia="Calibri"/>
          <w:sz w:val="28"/>
          <w:szCs w:val="28"/>
        </w:rPr>
        <w:t xml:space="preserve"> (или 95,1 % от запланированного) в детских санаториях, детских санаторных оздоровительных лагерях круглогодичного действия (причина отклонения - в 2019 году в перечень организаций отдыха детей и их оздоровления, организующих отдых и оздоровление детей с полной (частичной) оплатой за счет средств областного бюджета, учреждений санаторного типа заявилось меньше, что повлекло снижение количества детей, которым могла быть оказана данная услуга).</w:t>
      </w:r>
    </w:p>
    <w:p w14:paraId="60640573" w14:textId="77777777" w:rsidR="00AD184B" w:rsidRPr="00A53AD7" w:rsidRDefault="00AD184B" w:rsidP="00AD184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Контрольно-счетная плата отмечает, что в связи с изменением системы организации детского отдыха (введения сертификатов) с 2017 года наблюдается ежегодное снижение числа оздоровленных детей, что в свою очередь ведет к снижению удовлетворенности граждан полнотой и качеством государственных услуг, оказываемых в области отдыха и оздоровления детей. </w:t>
      </w:r>
    </w:p>
    <w:p w14:paraId="2A659BF8" w14:textId="054F5EC3" w:rsidR="00B744D5" w:rsidRPr="00A53AD7" w:rsidRDefault="00B744D5" w:rsidP="00DC26C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Предлагаем Правительству Архангельской области, министерству труда, занятости и социального развития Архангельской области обратить внимание на недостаточность мер, принимаемых органами государственной власти Архангельской области в целях обеспечения отдыха детей и их оздоровления, определить и устранить причины, влияющие на ежегодное снижение числа оздоровленных детей.</w:t>
      </w:r>
    </w:p>
    <w:p w14:paraId="171D4320" w14:textId="77777777" w:rsidR="00B744D5" w:rsidRPr="00A53AD7" w:rsidRDefault="00B744D5" w:rsidP="00DC26CB">
      <w:pPr>
        <w:spacing w:after="0" w:line="240" w:lineRule="auto"/>
        <w:ind w:firstLine="851"/>
        <w:jc w:val="both"/>
        <w:rPr>
          <w:rFonts w:ascii="Times New Roman" w:hAnsi="Times New Roman"/>
          <w:sz w:val="28"/>
          <w:szCs w:val="28"/>
        </w:rPr>
      </w:pPr>
    </w:p>
    <w:p w14:paraId="58A4E7C8" w14:textId="4D941C07" w:rsidR="00B744D5" w:rsidRPr="00A53AD7" w:rsidRDefault="00B744D5" w:rsidP="007417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10 мероприятий подпрограммы №</w:t>
      </w:r>
      <w:r w:rsidR="00852202" w:rsidRPr="00A53AD7">
        <w:rPr>
          <w:rFonts w:ascii="Times New Roman" w:hAnsi="Times New Roman"/>
          <w:sz w:val="28"/>
          <w:szCs w:val="28"/>
        </w:rPr>
        <w:t xml:space="preserve"> </w:t>
      </w:r>
      <w:r w:rsidRPr="00A53AD7">
        <w:rPr>
          <w:rFonts w:ascii="Times New Roman" w:hAnsi="Times New Roman"/>
          <w:sz w:val="28"/>
          <w:szCs w:val="28"/>
        </w:rPr>
        <w:t>5 «Семья и дети в Архангельской области» направлено 47,9 млн.руб. (100%) за счет средств областного бюджета.</w:t>
      </w:r>
    </w:p>
    <w:p w14:paraId="495CD699" w14:textId="5AFCBA62" w:rsidR="00B744D5" w:rsidRPr="00A53AD7" w:rsidRDefault="00B744D5" w:rsidP="007417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Перечень мероприятий, выполненных с нарушением плана реализ</w:t>
      </w:r>
      <w:r w:rsidR="00741752" w:rsidRPr="00A53AD7">
        <w:rPr>
          <w:rFonts w:ascii="Times New Roman" w:hAnsi="Times New Roman"/>
          <w:sz w:val="28"/>
          <w:szCs w:val="28"/>
        </w:rPr>
        <w:t>ации государственной программы:</w:t>
      </w:r>
    </w:p>
    <w:p w14:paraId="09A1777D" w14:textId="6C9F2444"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«Обеспечение работы служб детского телефона доверия в государственных организациях социального обслуживания семьи и детей», количество поступивших звонков 3</w:t>
      </w:r>
      <w:r w:rsidR="00852202" w:rsidRPr="00A53AD7">
        <w:rPr>
          <w:rFonts w:eastAsia="Calibri"/>
          <w:sz w:val="28"/>
          <w:szCs w:val="28"/>
        </w:rPr>
        <w:t> </w:t>
      </w:r>
      <w:r w:rsidRPr="00A53AD7">
        <w:rPr>
          <w:rFonts w:eastAsia="Calibri"/>
          <w:sz w:val="28"/>
          <w:szCs w:val="28"/>
        </w:rPr>
        <w:t>480</w:t>
      </w:r>
      <w:r w:rsidR="00852202" w:rsidRPr="00A53AD7">
        <w:rPr>
          <w:rFonts w:eastAsia="Calibri"/>
          <w:sz w:val="28"/>
          <w:szCs w:val="28"/>
        </w:rPr>
        <w:t xml:space="preserve"> </w:t>
      </w:r>
      <w:r w:rsidRPr="00A53AD7">
        <w:rPr>
          <w:rFonts w:eastAsia="Calibri"/>
          <w:sz w:val="28"/>
          <w:szCs w:val="28"/>
        </w:rPr>
        <w:t>или 87,0%, количество детей, получивших консультативную помощь 1 118 или 55,9% (причина отклонения – заявительный характер).</w:t>
      </w:r>
    </w:p>
    <w:p w14:paraId="1271A9F7" w14:textId="41D39887" w:rsidR="00B744D5" w:rsidRPr="00A53AD7" w:rsidRDefault="00B744D5" w:rsidP="007417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полное</w:t>
      </w:r>
      <w:r w:rsidR="00E46634" w:rsidRPr="00A53AD7">
        <w:rPr>
          <w:rFonts w:ascii="Times New Roman" w:hAnsi="Times New Roman"/>
          <w:sz w:val="28"/>
          <w:szCs w:val="28"/>
        </w:rPr>
        <w:t xml:space="preserve"> </w:t>
      </w:r>
      <w:r w:rsidRPr="00A53AD7">
        <w:rPr>
          <w:rFonts w:ascii="Times New Roman" w:hAnsi="Times New Roman"/>
          <w:sz w:val="28"/>
          <w:szCs w:val="28"/>
        </w:rPr>
        <w:t>выполнение</w:t>
      </w:r>
      <w:r w:rsidR="00E46634" w:rsidRPr="00A53AD7">
        <w:rPr>
          <w:rFonts w:ascii="Times New Roman" w:hAnsi="Times New Roman"/>
          <w:sz w:val="28"/>
          <w:szCs w:val="28"/>
        </w:rPr>
        <w:t xml:space="preserve"> </w:t>
      </w:r>
      <w:r w:rsidRPr="00A53AD7">
        <w:rPr>
          <w:rFonts w:ascii="Times New Roman" w:hAnsi="Times New Roman"/>
          <w:sz w:val="28"/>
          <w:szCs w:val="28"/>
        </w:rPr>
        <w:t>данного мероприятия в установленном объеме повлекло за собой неисполнение целевого показателя «Удельный вес несовершеннолетних, получивших социальные услуги в государственных организациях социального обслуживания семьи и детей, в общей численности несовершеннолетних Архангельской области», установленного госпрограммой.</w:t>
      </w:r>
    </w:p>
    <w:p w14:paraId="2D921B02" w14:textId="77777777" w:rsidR="00B744D5" w:rsidRPr="00A53AD7" w:rsidRDefault="00B744D5" w:rsidP="00741752">
      <w:pPr>
        <w:spacing w:after="0" w:line="240" w:lineRule="auto"/>
        <w:ind w:firstLine="851"/>
        <w:jc w:val="both"/>
        <w:rPr>
          <w:rFonts w:ascii="Times New Roman" w:hAnsi="Times New Roman"/>
          <w:sz w:val="28"/>
          <w:szCs w:val="28"/>
        </w:rPr>
      </w:pPr>
    </w:p>
    <w:p w14:paraId="5922F0FE" w14:textId="2F261906" w:rsidR="00B744D5" w:rsidRPr="00A53AD7" w:rsidRDefault="00B744D5" w:rsidP="007417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10 мероприятий подпрограммы №</w:t>
      </w:r>
      <w:r w:rsidR="00741752" w:rsidRPr="00A53AD7">
        <w:rPr>
          <w:rFonts w:ascii="Times New Roman" w:hAnsi="Times New Roman"/>
          <w:sz w:val="28"/>
          <w:szCs w:val="28"/>
        </w:rPr>
        <w:t xml:space="preserve"> </w:t>
      </w:r>
      <w:r w:rsidRPr="00A53AD7">
        <w:rPr>
          <w:rFonts w:ascii="Times New Roman" w:hAnsi="Times New Roman"/>
          <w:sz w:val="28"/>
          <w:szCs w:val="28"/>
        </w:rPr>
        <w:t>6 «Повышение качества жизни граждан пожилого возраста и инвалидов в Архангельской области» кассовые расходы составили 47,1 млн.руб.</w:t>
      </w:r>
      <w:r w:rsidR="00E46634" w:rsidRPr="00A53AD7">
        <w:rPr>
          <w:rFonts w:ascii="Times New Roman" w:hAnsi="Times New Roman"/>
          <w:sz w:val="28"/>
          <w:szCs w:val="28"/>
        </w:rPr>
        <w:t xml:space="preserve"> </w:t>
      </w:r>
      <w:r w:rsidRPr="00A53AD7">
        <w:rPr>
          <w:rFonts w:ascii="Times New Roman" w:hAnsi="Times New Roman"/>
          <w:sz w:val="28"/>
          <w:szCs w:val="28"/>
        </w:rPr>
        <w:t>(98,8%), из них за счет средств федерального бюджета 32,5 млн.руб., за счет средств областного бюджета 14,6 млн.руб.</w:t>
      </w:r>
    </w:p>
    <w:p w14:paraId="2C84353D" w14:textId="77777777" w:rsidR="00B744D5" w:rsidRPr="00A53AD7" w:rsidRDefault="00B744D5" w:rsidP="0074175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Перечень невыполненных мероприятий, а также мероприятий, выполненных с нарушением плана реализации государственной программы:</w:t>
      </w:r>
    </w:p>
    <w:p w14:paraId="66FB2D64" w14:textId="0B792D5F"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«Улучшение социально-бытового положения отдельных категорий», а именно подмероприятия «улучшение социально-бытового положения отдельных категорий граждан из числа ветеранов и инвалидов Великой Отечественной войны, не имеющих оснований для обеспечения жильем» предоставлена 40 человекам или 80 % (ветеранам Великой Отечественной войны (тружеников тыла), 6 человекам или 60 % (ветеранов боевых действий) (причина отклонения – заявительный характер).</w:t>
      </w:r>
    </w:p>
    <w:p w14:paraId="0556CD08" w14:textId="6287C992" w:rsidR="00362026" w:rsidRPr="00A53AD7" w:rsidRDefault="00362026" w:rsidP="00CA1DDD">
      <w:pPr>
        <w:pStyle w:val="a8"/>
        <w:numPr>
          <w:ilvl w:val="0"/>
          <w:numId w:val="31"/>
        </w:numPr>
        <w:ind w:left="0" w:firstLine="851"/>
        <w:jc w:val="both"/>
        <w:rPr>
          <w:rFonts w:eastAsia="Calibri"/>
          <w:sz w:val="28"/>
          <w:szCs w:val="28"/>
        </w:rPr>
      </w:pPr>
      <w:r w:rsidRPr="00A53AD7">
        <w:rPr>
          <w:rFonts w:eastAsia="Calibri"/>
          <w:sz w:val="28"/>
          <w:szCs w:val="28"/>
        </w:rPr>
        <w:t>«Приобретение автотранспорта и комплектующих для оснащения стационарных государственных организаций социального обслуживания»</w:t>
      </w:r>
      <w:r w:rsidR="00163D1C" w:rsidRPr="00A53AD7">
        <w:rPr>
          <w:rFonts w:eastAsia="Calibri"/>
          <w:sz w:val="28"/>
          <w:szCs w:val="28"/>
        </w:rPr>
        <w:t>, неисполнение составило 1 млн.</w:t>
      </w:r>
      <w:r w:rsidRPr="00A53AD7">
        <w:rPr>
          <w:rFonts w:eastAsia="Calibri"/>
          <w:sz w:val="28"/>
          <w:szCs w:val="28"/>
        </w:rPr>
        <w:t>руб. или 100% от утвержденных назначений. Средства направлены ГБСУ АО «Няндомский дом-интернат для престарелых и инвалидов» в рамках соглашения на предоставление субсидии на иные цели. В связи с поздним поступлением средств учреждению (декабрь 2019 г.) торги по определению поставщика перенесены на 2020 год. Использование средств субсидии на 2020 год согласовано распоряжением минтрудсоцразвития АО от 10.02.2020 № 48</w:t>
      </w:r>
      <w:r w:rsidRPr="00A53AD7">
        <w:rPr>
          <w:rFonts w:eastAsia="Calibri"/>
          <w:sz w:val="28"/>
          <w:szCs w:val="28"/>
        </w:rPr>
        <w:noBreakHyphen/>
        <w:t xml:space="preserve">р. </w:t>
      </w:r>
    </w:p>
    <w:p w14:paraId="74F8CF91" w14:textId="765A7740" w:rsidR="00B744D5" w:rsidRPr="00A53AD7" w:rsidRDefault="009B7AAC" w:rsidP="00CA1DDD">
      <w:pPr>
        <w:pStyle w:val="a8"/>
        <w:numPr>
          <w:ilvl w:val="0"/>
          <w:numId w:val="31"/>
        </w:numPr>
        <w:ind w:left="0" w:firstLine="851"/>
        <w:jc w:val="both"/>
        <w:rPr>
          <w:rFonts w:eastAsia="Calibri"/>
          <w:sz w:val="28"/>
          <w:szCs w:val="28"/>
        </w:rPr>
      </w:pPr>
      <w:r w:rsidRPr="00A53AD7">
        <w:rPr>
          <w:rFonts w:eastAsia="Calibri"/>
          <w:sz w:val="28"/>
          <w:szCs w:val="28"/>
        </w:rPr>
        <w:t xml:space="preserve"> </w:t>
      </w:r>
      <w:r w:rsidR="00B744D5" w:rsidRPr="00A53AD7">
        <w:rPr>
          <w:rFonts w:eastAsia="Calibri"/>
          <w:sz w:val="28"/>
          <w:szCs w:val="28"/>
        </w:rPr>
        <w:t>«Транспортное обслуживание инвалидов и детей-инвалидов специализированным транспортом государственных бюджетных учреждений социального обслуживания населения Архангельской области», услуга предоставлена 576 человекам или 85,3% (инвалидам и детям-инвалидам). (Причина отклонения - изменением схемы учета граждан. При предоставлении транспортного обслуживания на бесплатной основе одному и тому же гражданину несколько раз в отчетном периоде (год, квартал), в отчете данный гражданин отражается 1 раз (изменяется только количество выездов).</w:t>
      </w:r>
    </w:p>
    <w:p w14:paraId="083FD6F4" w14:textId="5053B00C"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 xml:space="preserve">«Осуществление доставки лиц старше 65 лет, проживающих в сельской местности, в медицинские организации, расположенные в Архангельской области, в том числе для проведения дополнительных скринингов на выявление отдельных социально значимых неинфекционных заболеваний, оказывающих вклад в структуру смертности населения, в рамках реализации федерального проекта «Разработка и реализация программы системной поддержки и повышения качества жизни граждан старшего поколения «Старшее поколение» национального проекта «Демография», предоставлена 217 человекам или 13,2%. (Причина отклонения - мероприятие по осуществлению доставки лиц старше 65 лет, проживающих в сельской местности, в медицинские организации, расположенные в Архангельской </w:t>
      </w:r>
      <w:r w:rsidR="008E2E80" w:rsidRPr="00A53AD7">
        <w:rPr>
          <w:rFonts w:eastAsia="Calibri"/>
          <w:sz w:val="28"/>
          <w:szCs w:val="28"/>
        </w:rPr>
        <w:t>о</w:t>
      </w:r>
      <w:r w:rsidRPr="00A53AD7">
        <w:rPr>
          <w:rFonts w:eastAsia="Calibri"/>
          <w:sz w:val="28"/>
          <w:szCs w:val="28"/>
        </w:rPr>
        <w:t>бласти</w:t>
      </w:r>
      <w:r w:rsidR="008E2E80" w:rsidRPr="00A53AD7">
        <w:rPr>
          <w:rFonts w:eastAsia="Calibri"/>
          <w:sz w:val="28"/>
          <w:szCs w:val="28"/>
        </w:rPr>
        <w:t>,</w:t>
      </w:r>
      <w:r w:rsidRPr="00A53AD7">
        <w:rPr>
          <w:rFonts w:eastAsia="Calibri"/>
          <w:sz w:val="28"/>
          <w:szCs w:val="28"/>
        </w:rPr>
        <w:t xml:space="preserve"> реализуется с 4 квартала 2019 года. Не все организации социального обслуживания одновременно начали реализацию мероприятия. Требовалось внесение изменений в Уставы учреждений, утверждение формы договора и акта об оказании транспортной услуги, налаживание взаимодействия с медицинскими организациями Архангельской области).</w:t>
      </w:r>
    </w:p>
    <w:p w14:paraId="57A4F43F" w14:textId="77777777" w:rsidR="00362026" w:rsidRPr="00A53AD7" w:rsidRDefault="00362026" w:rsidP="00362026">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связи с не полным выполнением данного мероприятия в установленном объеме, в отчетном периоде не выполнен целевой показатель, установленный госпрограммой «Удельный вес лиц старше 65 лет, проживающих в сельской местности, доставленных в медицинские организации, расположенные на территории Архангельской области». Фактического значение достижения целевого показателя составило 0,5% при плановом 3,8%.</w:t>
      </w:r>
    </w:p>
    <w:p w14:paraId="125CBCDD" w14:textId="77777777" w:rsidR="00B744D5" w:rsidRPr="00A53AD7" w:rsidRDefault="00B744D5" w:rsidP="008E2E80">
      <w:pPr>
        <w:spacing w:after="0" w:line="240" w:lineRule="auto"/>
        <w:ind w:firstLine="851"/>
        <w:jc w:val="both"/>
        <w:rPr>
          <w:rFonts w:ascii="Times New Roman" w:hAnsi="Times New Roman"/>
          <w:sz w:val="28"/>
          <w:szCs w:val="28"/>
        </w:rPr>
      </w:pPr>
    </w:p>
    <w:p w14:paraId="0AC634D8" w14:textId="30504FDF" w:rsidR="00B744D5" w:rsidRPr="00A53AD7" w:rsidRDefault="00B744D5" w:rsidP="003E6D4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2 мероприятий подпрограммы № 7 «Приоритетные социально значимые мероприятия в сфере социальной политики Архангельской области» кассовые расходы составили 1,9 млн.руб.</w:t>
      </w:r>
      <w:r w:rsidR="00E46634" w:rsidRPr="00A53AD7">
        <w:rPr>
          <w:rFonts w:ascii="Times New Roman" w:hAnsi="Times New Roman"/>
          <w:sz w:val="28"/>
          <w:szCs w:val="28"/>
        </w:rPr>
        <w:t xml:space="preserve"> </w:t>
      </w:r>
      <w:r w:rsidRPr="00A53AD7">
        <w:rPr>
          <w:rFonts w:ascii="Times New Roman" w:hAnsi="Times New Roman"/>
          <w:sz w:val="28"/>
          <w:szCs w:val="28"/>
        </w:rPr>
        <w:t>(98,4%), за счет средств областного бюджета.</w:t>
      </w:r>
    </w:p>
    <w:p w14:paraId="70E5EBAD" w14:textId="77777777" w:rsidR="00B744D5" w:rsidRPr="00A53AD7" w:rsidRDefault="00B744D5" w:rsidP="003E6D4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Перечень невыполненных мероприятий, а также мероприятий, выполненных с нарушением плана реализации государственной программы:</w:t>
      </w:r>
    </w:p>
    <w:p w14:paraId="3F8F484E" w14:textId="1E8543EA"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«Обеспечение отделений социальной защиты населения бланочной продукцией» - неисполнение составило 31,4 тыс.руб. или 100 %, по причине отсутствия потребности отделений социальной защиты населения в бланочной продукции. В декабре 2019 года осуществлен перенос указанного объема средств на иное мероприятие.</w:t>
      </w:r>
    </w:p>
    <w:p w14:paraId="76D5A6EF" w14:textId="77777777" w:rsidR="00B744D5" w:rsidRPr="00A53AD7" w:rsidRDefault="00B744D5" w:rsidP="00D0634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Сводные данные о перечислении министерством труда, занятости и социального развития Архангельской области бюджетных средств, в форме субсидии на госзадание и расходовании подведомственными учреждениями субсидий по состоянию на 01.01.2020 (ф. 0503127, ф. 0503737) представлены ниже:</w:t>
      </w:r>
    </w:p>
    <w:p w14:paraId="7D720D6A" w14:textId="77777777" w:rsidR="00B744D5" w:rsidRPr="00A53AD7" w:rsidRDefault="00B744D5" w:rsidP="00D06340">
      <w:pPr>
        <w:spacing w:after="0" w:line="240" w:lineRule="auto"/>
        <w:ind w:firstLine="851"/>
        <w:jc w:val="right"/>
        <w:rPr>
          <w:rFonts w:ascii="Times New Roman" w:hAnsi="Times New Roman"/>
          <w:sz w:val="28"/>
          <w:szCs w:val="28"/>
        </w:rPr>
      </w:pPr>
      <w:r w:rsidRPr="00A53AD7">
        <w:rPr>
          <w:rFonts w:ascii="Times New Roman" w:hAnsi="Times New Roman"/>
          <w:sz w:val="28"/>
          <w:szCs w:val="28"/>
        </w:rPr>
        <w:t>млн.руб.</w:t>
      </w:r>
    </w:p>
    <w:tbl>
      <w:tblPr>
        <w:tblW w:w="923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004"/>
        <w:gridCol w:w="1275"/>
        <w:gridCol w:w="1418"/>
        <w:gridCol w:w="1559"/>
        <w:gridCol w:w="1418"/>
        <w:gridCol w:w="1559"/>
      </w:tblGrid>
      <w:tr w:rsidR="00A53AD7" w:rsidRPr="00A53AD7" w14:paraId="5F6267F5" w14:textId="77777777" w:rsidTr="00E8055D">
        <w:trPr>
          <w:trHeight w:val="900"/>
        </w:trPr>
        <w:tc>
          <w:tcPr>
            <w:tcW w:w="2004" w:type="dxa"/>
            <w:shd w:val="clear" w:color="auto" w:fill="auto"/>
            <w:noWrap/>
            <w:vAlign w:val="center"/>
            <w:hideMark/>
          </w:tcPr>
          <w:p w14:paraId="1B799F9C"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Виды субсидий</w:t>
            </w:r>
          </w:p>
        </w:tc>
        <w:tc>
          <w:tcPr>
            <w:tcW w:w="1275" w:type="dxa"/>
            <w:shd w:val="clear" w:color="auto" w:fill="auto"/>
            <w:vAlign w:val="center"/>
            <w:hideMark/>
          </w:tcPr>
          <w:p w14:paraId="23ECE024"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Кассовый план на 01.01.2020 года</w:t>
            </w:r>
          </w:p>
        </w:tc>
        <w:tc>
          <w:tcPr>
            <w:tcW w:w="1418" w:type="dxa"/>
            <w:shd w:val="clear" w:color="auto" w:fill="auto"/>
            <w:vAlign w:val="center"/>
            <w:hideMark/>
          </w:tcPr>
          <w:p w14:paraId="515F8EF5"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Перечислено министерством</w:t>
            </w:r>
          </w:p>
        </w:tc>
        <w:tc>
          <w:tcPr>
            <w:tcW w:w="1559" w:type="dxa"/>
            <w:shd w:val="clear" w:color="auto" w:fill="auto"/>
            <w:vAlign w:val="center"/>
            <w:hideMark/>
          </w:tcPr>
          <w:p w14:paraId="59FC2A97" w14:textId="676EE4D0"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Остаток на 01.01.2019 г.</w:t>
            </w:r>
            <w:r w:rsidR="00FD1445"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у подведомствен</w:t>
            </w:r>
            <w:r w:rsidR="00B818A0" w:rsidRPr="00A53AD7">
              <w:rPr>
                <w:rFonts w:ascii="Times New Roman" w:eastAsia="Times New Roman" w:hAnsi="Times New Roman"/>
                <w:sz w:val="20"/>
                <w:szCs w:val="20"/>
                <w:lang w:eastAsia="ru-RU"/>
              </w:rPr>
              <w:t>н</w:t>
            </w:r>
            <w:r w:rsidRPr="00A53AD7">
              <w:rPr>
                <w:rFonts w:ascii="Times New Roman" w:eastAsia="Times New Roman" w:hAnsi="Times New Roman"/>
                <w:sz w:val="20"/>
                <w:szCs w:val="20"/>
                <w:lang w:eastAsia="ru-RU"/>
              </w:rPr>
              <w:t>ых учреждений</w:t>
            </w:r>
          </w:p>
        </w:tc>
        <w:tc>
          <w:tcPr>
            <w:tcW w:w="1418" w:type="dxa"/>
            <w:shd w:val="clear" w:color="auto" w:fill="auto"/>
            <w:vAlign w:val="center"/>
            <w:hideMark/>
          </w:tcPr>
          <w:p w14:paraId="39FAB7AD"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Кассовый расход подведомственных учреждений</w:t>
            </w:r>
          </w:p>
        </w:tc>
        <w:tc>
          <w:tcPr>
            <w:tcW w:w="1559" w:type="dxa"/>
            <w:shd w:val="clear" w:color="auto" w:fill="auto"/>
            <w:vAlign w:val="center"/>
            <w:hideMark/>
          </w:tcPr>
          <w:p w14:paraId="62653300" w14:textId="0B8C2776"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Остаток на 01.01.2020 г.</w:t>
            </w:r>
            <w:r w:rsidR="0039742D"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у подведомственных учреждений</w:t>
            </w:r>
          </w:p>
        </w:tc>
      </w:tr>
      <w:tr w:rsidR="00B744D5" w:rsidRPr="00A53AD7" w14:paraId="3E35A3BD" w14:textId="77777777" w:rsidTr="00E8055D">
        <w:trPr>
          <w:trHeight w:val="885"/>
        </w:trPr>
        <w:tc>
          <w:tcPr>
            <w:tcW w:w="2004" w:type="dxa"/>
            <w:shd w:val="clear" w:color="auto" w:fill="auto"/>
            <w:vAlign w:val="bottom"/>
            <w:hideMark/>
          </w:tcPr>
          <w:p w14:paraId="5D3AFD7D" w14:textId="77777777" w:rsidR="00B744D5" w:rsidRPr="00A53AD7" w:rsidRDefault="00B744D5" w:rsidP="00B744D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субсидии на финансовое обеспечение государственного задания на оказание государственных услуг</w:t>
            </w:r>
          </w:p>
        </w:tc>
        <w:tc>
          <w:tcPr>
            <w:tcW w:w="1275" w:type="dxa"/>
            <w:shd w:val="clear" w:color="auto" w:fill="auto"/>
            <w:noWrap/>
            <w:vAlign w:val="center"/>
            <w:hideMark/>
          </w:tcPr>
          <w:p w14:paraId="3B1B9C4C"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2 350, 9</w:t>
            </w:r>
          </w:p>
        </w:tc>
        <w:tc>
          <w:tcPr>
            <w:tcW w:w="1418" w:type="dxa"/>
            <w:shd w:val="clear" w:color="auto" w:fill="auto"/>
            <w:noWrap/>
            <w:vAlign w:val="center"/>
            <w:hideMark/>
          </w:tcPr>
          <w:p w14:paraId="2D47DB10"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2 350, 9</w:t>
            </w:r>
          </w:p>
        </w:tc>
        <w:tc>
          <w:tcPr>
            <w:tcW w:w="1559" w:type="dxa"/>
            <w:shd w:val="clear" w:color="auto" w:fill="auto"/>
            <w:noWrap/>
            <w:vAlign w:val="center"/>
            <w:hideMark/>
          </w:tcPr>
          <w:p w14:paraId="38ABCB48"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34,6</w:t>
            </w:r>
          </w:p>
        </w:tc>
        <w:tc>
          <w:tcPr>
            <w:tcW w:w="1418" w:type="dxa"/>
            <w:shd w:val="clear" w:color="auto" w:fill="auto"/>
            <w:noWrap/>
            <w:vAlign w:val="center"/>
            <w:hideMark/>
          </w:tcPr>
          <w:p w14:paraId="31A25429"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2 364,1 </w:t>
            </w:r>
          </w:p>
        </w:tc>
        <w:tc>
          <w:tcPr>
            <w:tcW w:w="1559" w:type="dxa"/>
            <w:shd w:val="clear" w:color="auto" w:fill="auto"/>
            <w:noWrap/>
            <w:vAlign w:val="center"/>
            <w:hideMark/>
          </w:tcPr>
          <w:p w14:paraId="3B837BEA" w14:textId="77777777" w:rsidR="00B744D5" w:rsidRPr="00A53AD7" w:rsidRDefault="00B744D5" w:rsidP="00B744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21,5</w:t>
            </w:r>
          </w:p>
        </w:tc>
      </w:tr>
    </w:tbl>
    <w:p w14:paraId="2924DC61" w14:textId="77777777" w:rsidR="00E8055D" w:rsidRPr="00A53AD7" w:rsidRDefault="00E8055D" w:rsidP="00E8055D">
      <w:pPr>
        <w:spacing w:after="0" w:line="240" w:lineRule="auto"/>
        <w:ind w:firstLine="851"/>
        <w:jc w:val="both"/>
        <w:rPr>
          <w:rFonts w:ascii="Times New Roman" w:hAnsi="Times New Roman"/>
          <w:sz w:val="28"/>
          <w:szCs w:val="28"/>
        </w:rPr>
      </w:pPr>
    </w:p>
    <w:p w14:paraId="2AD75A6F" w14:textId="42683728" w:rsidR="00B744D5" w:rsidRPr="00A53AD7" w:rsidRDefault="00B744D5" w:rsidP="00E8055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утвержденных планами финансово-хозяйственной деятельности показателей в части субсидий на выполнение государственного задания составило 100 % к плану. Остаток средств субсидий на 01.01.2020 составил 21,5 млн.руб. Государственное задание подведомственными учреждениями в отчетном периоде выполнено в полном объеме с учетом допустимого утвержденного откло</w:t>
      </w:r>
      <w:r w:rsidR="00E8055D" w:rsidRPr="00A53AD7">
        <w:rPr>
          <w:rFonts w:ascii="Times New Roman" w:hAnsi="Times New Roman"/>
          <w:sz w:val="28"/>
          <w:szCs w:val="28"/>
        </w:rPr>
        <w:t>нения.</w:t>
      </w:r>
    </w:p>
    <w:p w14:paraId="22B526D3" w14:textId="77777777" w:rsidR="00B744D5" w:rsidRPr="00A53AD7" w:rsidRDefault="00B744D5" w:rsidP="00E8055D">
      <w:pPr>
        <w:spacing w:after="0" w:line="240" w:lineRule="auto"/>
        <w:ind w:firstLine="851"/>
        <w:jc w:val="both"/>
        <w:rPr>
          <w:rFonts w:ascii="Times New Roman" w:hAnsi="Times New Roman"/>
          <w:sz w:val="28"/>
          <w:szCs w:val="28"/>
        </w:rPr>
      </w:pPr>
    </w:p>
    <w:p w14:paraId="1A9F1F9B" w14:textId="77777777" w:rsidR="00B744D5" w:rsidRPr="00A53AD7" w:rsidRDefault="00B744D5" w:rsidP="00E8055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достигнутых результатах по выполнению показателей по заработной плате отдельных категорий работников, определенных в Указах Президента Российской Федерации от 7 мая 2012 г. № 597 и от 28 декабря 2012 г. № 1688, по состоянию на 1 января 2020 г. представлена ниже:</w:t>
      </w:r>
    </w:p>
    <w:tbl>
      <w:tblPr>
        <w:tblW w:w="937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843"/>
        <w:gridCol w:w="1275"/>
        <w:gridCol w:w="1402"/>
        <w:gridCol w:w="1433"/>
        <w:gridCol w:w="1418"/>
      </w:tblGrid>
      <w:tr w:rsidR="00A53AD7" w:rsidRPr="00A53AD7" w14:paraId="6064ED0E" w14:textId="77777777" w:rsidTr="00B744D5">
        <w:trPr>
          <w:trHeight w:val="667"/>
        </w:trPr>
        <w:tc>
          <w:tcPr>
            <w:tcW w:w="3843" w:type="dxa"/>
            <w:vMerge w:val="restart"/>
            <w:shd w:val="clear" w:color="auto" w:fill="auto"/>
            <w:vAlign w:val="center"/>
            <w:hideMark/>
          </w:tcPr>
          <w:p w14:paraId="658C4490"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учреждения</w:t>
            </w:r>
          </w:p>
        </w:tc>
        <w:tc>
          <w:tcPr>
            <w:tcW w:w="2677" w:type="dxa"/>
            <w:gridSpan w:val="2"/>
            <w:shd w:val="clear" w:color="auto" w:fill="auto"/>
            <w:vAlign w:val="center"/>
            <w:hideMark/>
          </w:tcPr>
          <w:p w14:paraId="512F3E8C"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Значения целевых показателей на 2019 г.</w:t>
            </w:r>
          </w:p>
        </w:tc>
        <w:tc>
          <w:tcPr>
            <w:tcW w:w="2851" w:type="dxa"/>
            <w:gridSpan w:val="2"/>
            <w:shd w:val="clear" w:color="auto" w:fill="auto"/>
            <w:vAlign w:val="center"/>
            <w:hideMark/>
          </w:tcPr>
          <w:p w14:paraId="1C7F72D4"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Фактические значения на 1 января 2020 г.</w:t>
            </w:r>
          </w:p>
        </w:tc>
      </w:tr>
      <w:tr w:rsidR="00A53AD7" w:rsidRPr="00A53AD7" w14:paraId="6B975C67" w14:textId="77777777" w:rsidTr="00E8055D">
        <w:trPr>
          <w:trHeight w:val="555"/>
        </w:trPr>
        <w:tc>
          <w:tcPr>
            <w:tcW w:w="3843" w:type="dxa"/>
            <w:vMerge/>
            <w:vAlign w:val="center"/>
            <w:hideMark/>
          </w:tcPr>
          <w:p w14:paraId="1AE71B37" w14:textId="77777777" w:rsidR="00B744D5" w:rsidRPr="00A53AD7" w:rsidRDefault="00B744D5" w:rsidP="00B744D5">
            <w:pPr>
              <w:spacing w:after="0" w:line="240" w:lineRule="auto"/>
              <w:rPr>
                <w:rFonts w:ascii="Times New Roman" w:eastAsia="Times New Roman" w:hAnsi="Times New Roman"/>
                <w:lang w:eastAsia="ru-RU"/>
              </w:rPr>
            </w:pPr>
          </w:p>
        </w:tc>
        <w:tc>
          <w:tcPr>
            <w:tcW w:w="1275" w:type="dxa"/>
            <w:vMerge w:val="restart"/>
            <w:shd w:val="clear" w:color="auto" w:fill="auto"/>
            <w:noWrap/>
            <w:vAlign w:val="center"/>
            <w:hideMark/>
          </w:tcPr>
          <w:p w14:paraId="2F0BBA63"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руб.</w:t>
            </w:r>
          </w:p>
        </w:tc>
        <w:tc>
          <w:tcPr>
            <w:tcW w:w="1402" w:type="dxa"/>
            <w:shd w:val="clear" w:color="auto" w:fill="auto"/>
            <w:vAlign w:val="center"/>
            <w:hideMark/>
          </w:tcPr>
          <w:p w14:paraId="6FFA44A6"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отношение к средней зарплате, %</w:t>
            </w:r>
          </w:p>
        </w:tc>
        <w:tc>
          <w:tcPr>
            <w:tcW w:w="1433" w:type="dxa"/>
            <w:vMerge w:val="restart"/>
            <w:shd w:val="clear" w:color="auto" w:fill="auto"/>
            <w:noWrap/>
            <w:vAlign w:val="center"/>
            <w:hideMark/>
          </w:tcPr>
          <w:p w14:paraId="6F288897"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руб.</w:t>
            </w:r>
          </w:p>
        </w:tc>
        <w:tc>
          <w:tcPr>
            <w:tcW w:w="1418" w:type="dxa"/>
            <w:shd w:val="clear" w:color="auto" w:fill="auto"/>
            <w:vAlign w:val="center"/>
            <w:hideMark/>
          </w:tcPr>
          <w:p w14:paraId="010D0577"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отношение к средней зарплате, %</w:t>
            </w:r>
          </w:p>
        </w:tc>
      </w:tr>
      <w:tr w:rsidR="00A53AD7" w:rsidRPr="00A53AD7" w14:paraId="49336F4F" w14:textId="77777777" w:rsidTr="00DF253D">
        <w:trPr>
          <w:trHeight w:val="199"/>
        </w:trPr>
        <w:tc>
          <w:tcPr>
            <w:tcW w:w="3843" w:type="dxa"/>
            <w:vMerge/>
            <w:vAlign w:val="center"/>
            <w:hideMark/>
          </w:tcPr>
          <w:p w14:paraId="28C0C1C6" w14:textId="77777777" w:rsidR="00B744D5" w:rsidRPr="00A53AD7" w:rsidRDefault="00B744D5" w:rsidP="00B744D5">
            <w:pPr>
              <w:spacing w:after="0" w:line="240" w:lineRule="auto"/>
              <w:rPr>
                <w:rFonts w:ascii="Times New Roman" w:eastAsia="Times New Roman" w:hAnsi="Times New Roman"/>
                <w:lang w:eastAsia="ru-RU"/>
              </w:rPr>
            </w:pPr>
          </w:p>
        </w:tc>
        <w:tc>
          <w:tcPr>
            <w:tcW w:w="1275" w:type="dxa"/>
            <w:vMerge/>
            <w:vAlign w:val="center"/>
            <w:hideMark/>
          </w:tcPr>
          <w:p w14:paraId="05D68C98" w14:textId="77777777" w:rsidR="00B744D5" w:rsidRPr="00A53AD7" w:rsidRDefault="00B744D5" w:rsidP="00B744D5">
            <w:pPr>
              <w:spacing w:after="0" w:line="240" w:lineRule="auto"/>
              <w:rPr>
                <w:rFonts w:ascii="Times New Roman" w:eastAsia="Times New Roman" w:hAnsi="Times New Roman"/>
                <w:lang w:eastAsia="ru-RU"/>
              </w:rPr>
            </w:pPr>
          </w:p>
        </w:tc>
        <w:tc>
          <w:tcPr>
            <w:tcW w:w="1402" w:type="dxa"/>
            <w:shd w:val="clear" w:color="auto" w:fill="auto"/>
            <w:vAlign w:val="center"/>
            <w:hideMark/>
          </w:tcPr>
          <w:p w14:paraId="12DC5786"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41 428,50</w:t>
            </w:r>
          </w:p>
        </w:tc>
        <w:tc>
          <w:tcPr>
            <w:tcW w:w="1433" w:type="dxa"/>
            <w:vMerge/>
            <w:vAlign w:val="center"/>
            <w:hideMark/>
          </w:tcPr>
          <w:p w14:paraId="2A165AEA" w14:textId="77777777" w:rsidR="00B744D5" w:rsidRPr="00A53AD7" w:rsidRDefault="00B744D5" w:rsidP="00B744D5">
            <w:pPr>
              <w:spacing w:after="0" w:line="240" w:lineRule="auto"/>
              <w:rPr>
                <w:rFonts w:ascii="Times New Roman" w:eastAsia="Times New Roman" w:hAnsi="Times New Roman"/>
                <w:lang w:eastAsia="ru-RU"/>
              </w:rPr>
            </w:pPr>
          </w:p>
        </w:tc>
        <w:tc>
          <w:tcPr>
            <w:tcW w:w="1418" w:type="dxa"/>
            <w:shd w:val="clear" w:color="auto" w:fill="auto"/>
            <w:vAlign w:val="center"/>
            <w:hideMark/>
          </w:tcPr>
          <w:p w14:paraId="36AA956E" w14:textId="77777777" w:rsidR="00B744D5" w:rsidRPr="00A53AD7" w:rsidRDefault="00B744D5" w:rsidP="00B744D5">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42 105,00</w:t>
            </w:r>
          </w:p>
        </w:tc>
      </w:tr>
      <w:tr w:rsidR="00A53AD7" w:rsidRPr="00A53AD7" w14:paraId="22C622F9" w14:textId="77777777" w:rsidTr="00DF253D">
        <w:trPr>
          <w:trHeight w:val="255"/>
        </w:trPr>
        <w:tc>
          <w:tcPr>
            <w:tcW w:w="3843" w:type="dxa"/>
            <w:shd w:val="clear" w:color="auto" w:fill="auto"/>
            <w:vAlign w:val="center"/>
            <w:hideMark/>
          </w:tcPr>
          <w:p w14:paraId="5541F513" w14:textId="77777777" w:rsidR="00B744D5" w:rsidRPr="00A53AD7" w:rsidRDefault="00B744D5" w:rsidP="00B744D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социальным работникам</w:t>
            </w:r>
          </w:p>
        </w:tc>
        <w:tc>
          <w:tcPr>
            <w:tcW w:w="1275" w:type="dxa"/>
            <w:shd w:val="clear" w:color="auto" w:fill="auto"/>
            <w:noWrap/>
            <w:vAlign w:val="center"/>
            <w:hideMark/>
          </w:tcPr>
          <w:p w14:paraId="5E63CFC3"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41 428,50</w:t>
            </w:r>
          </w:p>
        </w:tc>
        <w:tc>
          <w:tcPr>
            <w:tcW w:w="1402" w:type="dxa"/>
            <w:shd w:val="clear" w:color="auto" w:fill="auto"/>
            <w:noWrap/>
            <w:vAlign w:val="center"/>
            <w:hideMark/>
          </w:tcPr>
          <w:p w14:paraId="36266154"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433" w:type="dxa"/>
            <w:shd w:val="clear" w:color="auto" w:fill="auto"/>
            <w:noWrap/>
            <w:vAlign w:val="center"/>
            <w:hideMark/>
          </w:tcPr>
          <w:p w14:paraId="7970A629"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41 627,1 </w:t>
            </w:r>
          </w:p>
        </w:tc>
        <w:tc>
          <w:tcPr>
            <w:tcW w:w="1418" w:type="dxa"/>
            <w:shd w:val="clear" w:color="auto" w:fill="auto"/>
            <w:noWrap/>
            <w:vAlign w:val="center"/>
            <w:hideMark/>
          </w:tcPr>
          <w:p w14:paraId="71A35A25"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98,9</w:t>
            </w:r>
          </w:p>
        </w:tc>
      </w:tr>
      <w:tr w:rsidR="00A53AD7" w:rsidRPr="00A53AD7" w14:paraId="45892947" w14:textId="77777777" w:rsidTr="00DF253D">
        <w:trPr>
          <w:trHeight w:val="255"/>
        </w:trPr>
        <w:tc>
          <w:tcPr>
            <w:tcW w:w="3843" w:type="dxa"/>
            <w:shd w:val="clear" w:color="auto" w:fill="auto"/>
            <w:vAlign w:val="center"/>
            <w:hideMark/>
          </w:tcPr>
          <w:p w14:paraId="263862BB" w14:textId="77777777" w:rsidR="00B744D5" w:rsidRPr="00A53AD7" w:rsidRDefault="00B744D5" w:rsidP="00B744D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врачам</w:t>
            </w:r>
          </w:p>
        </w:tc>
        <w:tc>
          <w:tcPr>
            <w:tcW w:w="1275" w:type="dxa"/>
            <w:shd w:val="clear" w:color="auto" w:fill="auto"/>
            <w:noWrap/>
            <w:vAlign w:val="center"/>
            <w:hideMark/>
          </w:tcPr>
          <w:p w14:paraId="5C306338"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82 857,00</w:t>
            </w:r>
          </w:p>
        </w:tc>
        <w:tc>
          <w:tcPr>
            <w:tcW w:w="1402" w:type="dxa"/>
            <w:shd w:val="clear" w:color="auto" w:fill="auto"/>
            <w:noWrap/>
            <w:vAlign w:val="center"/>
            <w:hideMark/>
          </w:tcPr>
          <w:p w14:paraId="475B3987"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200,0</w:t>
            </w:r>
          </w:p>
        </w:tc>
        <w:tc>
          <w:tcPr>
            <w:tcW w:w="1433" w:type="dxa"/>
            <w:shd w:val="clear" w:color="auto" w:fill="auto"/>
            <w:noWrap/>
            <w:vAlign w:val="center"/>
            <w:hideMark/>
          </w:tcPr>
          <w:p w14:paraId="11BAD640"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84 300,00</w:t>
            </w:r>
          </w:p>
        </w:tc>
        <w:tc>
          <w:tcPr>
            <w:tcW w:w="1418" w:type="dxa"/>
            <w:shd w:val="clear" w:color="auto" w:fill="auto"/>
            <w:noWrap/>
            <w:vAlign w:val="center"/>
            <w:hideMark/>
          </w:tcPr>
          <w:p w14:paraId="47B9FF6F"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200,2</w:t>
            </w:r>
          </w:p>
        </w:tc>
      </w:tr>
      <w:tr w:rsidR="00A53AD7" w:rsidRPr="00A53AD7" w14:paraId="704C8845" w14:textId="77777777" w:rsidTr="00DF253D">
        <w:trPr>
          <w:trHeight w:val="255"/>
        </w:trPr>
        <w:tc>
          <w:tcPr>
            <w:tcW w:w="3843" w:type="dxa"/>
            <w:shd w:val="clear" w:color="auto" w:fill="auto"/>
            <w:vAlign w:val="center"/>
            <w:hideMark/>
          </w:tcPr>
          <w:p w14:paraId="3A016E79" w14:textId="77777777" w:rsidR="00B744D5" w:rsidRPr="00A53AD7" w:rsidRDefault="00B744D5" w:rsidP="00B744D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среднему медицинскому персоналу</w:t>
            </w:r>
          </w:p>
        </w:tc>
        <w:tc>
          <w:tcPr>
            <w:tcW w:w="1275" w:type="dxa"/>
            <w:shd w:val="clear" w:color="auto" w:fill="auto"/>
            <w:noWrap/>
            <w:vAlign w:val="center"/>
            <w:hideMark/>
          </w:tcPr>
          <w:p w14:paraId="63F7DE17"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41 428,50</w:t>
            </w:r>
          </w:p>
        </w:tc>
        <w:tc>
          <w:tcPr>
            <w:tcW w:w="1402" w:type="dxa"/>
            <w:shd w:val="clear" w:color="auto" w:fill="auto"/>
            <w:noWrap/>
            <w:vAlign w:val="center"/>
            <w:hideMark/>
          </w:tcPr>
          <w:p w14:paraId="370FF2CB"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433" w:type="dxa"/>
            <w:shd w:val="clear" w:color="auto" w:fill="auto"/>
            <w:noWrap/>
            <w:vAlign w:val="center"/>
            <w:hideMark/>
          </w:tcPr>
          <w:p w14:paraId="79E238CC"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42 404,6 </w:t>
            </w:r>
          </w:p>
        </w:tc>
        <w:tc>
          <w:tcPr>
            <w:tcW w:w="1418" w:type="dxa"/>
            <w:shd w:val="clear" w:color="auto" w:fill="auto"/>
            <w:noWrap/>
            <w:vAlign w:val="center"/>
            <w:hideMark/>
          </w:tcPr>
          <w:p w14:paraId="76A9EF41"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100,7</w:t>
            </w:r>
          </w:p>
        </w:tc>
      </w:tr>
      <w:tr w:rsidR="00A53AD7" w:rsidRPr="00A53AD7" w14:paraId="21586532" w14:textId="77777777" w:rsidTr="00DF253D">
        <w:trPr>
          <w:trHeight w:val="412"/>
        </w:trPr>
        <w:tc>
          <w:tcPr>
            <w:tcW w:w="3843" w:type="dxa"/>
            <w:shd w:val="clear" w:color="auto" w:fill="auto"/>
            <w:vAlign w:val="center"/>
            <w:hideMark/>
          </w:tcPr>
          <w:p w14:paraId="4314C26A" w14:textId="77777777" w:rsidR="00B744D5" w:rsidRPr="00A53AD7" w:rsidRDefault="00B744D5" w:rsidP="00B744D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младшему медицинскому персоналу</w:t>
            </w:r>
          </w:p>
        </w:tc>
        <w:tc>
          <w:tcPr>
            <w:tcW w:w="1275" w:type="dxa"/>
            <w:shd w:val="clear" w:color="auto" w:fill="auto"/>
            <w:noWrap/>
            <w:vAlign w:val="center"/>
            <w:hideMark/>
          </w:tcPr>
          <w:p w14:paraId="0E734663"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41 428,50</w:t>
            </w:r>
          </w:p>
        </w:tc>
        <w:tc>
          <w:tcPr>
            <w:tcW w:w="1402" w:type="dxa"/>
            <w:shd w:val="clear" w:color="auto" w:fill="auto"/>
            <w:noWrap/>
            <w:vAlign w:val="center"/>
            <w:hideMark/>
          </w:tcPr>
          <w:p w14:paraId="775FEA53"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433" w:type="dxa"/>
            <w:shd w:val="clear" w:color="auto" w:fill="auto"/>
            <w:noWrap/>
            <w:vAlign w:val="center"/>
            <w:hideMark/>
          </w:tcPr>
          <w:p w14:paraId="35AD725B"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41 534,00</w:t>
            </w:r>
          </w:p>
        </w:tc>
        <w:tc>
          <w:tcPr>
            <w:tcW w:w="1418" w:type="dxa"/>
            <w:shd w:val="clear" w:color="auto" w:fill="auto"/>
            <w:noWrap/>
            <w:vAlign w:val="center"/>
            <w:hideMark/>
          </w:tcPr>
          <w:p w14:paraId="5A08DECE"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98,6</w:t>
            </w:r>
          </w:p>
        </w:tc>
      </w:tr>
      <w:tr w:rsidR="00B744D5" w:rsidRPr="00A53AD7" w14:paraId="1A4F2495" w14:textId="77777777" w:rsidTr="00DF253D">
        <w:trPr>
          <w:trHeight w:val="255"/>
        </w:trPr>
        <w:tc>
          <w:tcPr>
            <w:tcW w:w="3843" w:type="dxa"/>
            <w:shd w:val="clear" w:color="auto" w:fill="auto"/>
            <w:noWrap/>
            <w:vAlign w:val="center"/>
            <w:hideMark/>
          </w:tcPr>
          <w:p w14:paraId="572EF944" w14:textId="77777777" w:rsidR="00B744D5" w:rsidRPr="00A53AD7" w:rsidRDefault="00B744D5" w:rsidP="00B744D5">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педагогическим работникам</w:t>
            </w:r>
          </w:p>
        </w:tc>
        <w:tc>
          <w:tcPr>
            <w:tcW w:w="1275" w:type="dxa"/>
            <w:shd w:val="clear" w:color="auto" w:fill="auto"/>
            <w:noWrap/>
            <w:vAlign w:val="center"/>
            <w:hideMark/>
          </w:tcPr>
          <w:p w14:paraId="401D9832"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41 428,50</w:t>
            </w:r>
          </w:p>
        </w:tc>
        <w:tc>
          <w:tcPr>
            <w:tcW w:w="1402" w:type="dxa"/>
            <w:shd w:val="clear" w:color="auto" w:fill="auto"/>
            <w:noWrap/>
            <w:vAlign w:val="center"/>
            <w:hideMark/>
          </w:tcPr>
          <w:p w14:paraId="4A647E9F"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433" w:type="dxa"/>
            <w:shd w:val="clear" w:color="auto" w:fill="auto"/>
            <w:noWrap/>
            <w:vAlign w:val="center"/>
            <w:hideMark/>
          </w:tcPr>
          <w:p w14:paraId="0C5A660B"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41 972,20</w:t>
            </w:r>
          </w:p>
        </w:tc>
        <w:tc>
          <w:tcPr>
            <w:tcW w:w="1418" w:type="dxa"/>
            <w:shd w:val="clear" w:color="auto" w:fill="auto"/>
            <w:noWrap/>
            <w:vAlign w:val="center"/>
            <w:hideMark/>
          </w:tcPr>
          <w:p w14:paraId="03096407" w14:textId="77777777" w:rsidR="00B744D5" w:rsidRPr="00A53AD7" w:rsidRDefault="00B744D5" w:rsidP="00B744D5">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99,7</w:t>
            </w:r>
          </w:p>
        </w:tc>
      </w:tr>
    </w:tbl>
    <w:p w14:paraId="5D68877D" w14:textId="77777777" w:rsidR="00DF253D" w:rsidRPr="00A53AD7" w:rsidRDefault="00DF253D" w:rsidP="00DF253D">
      <w:pPr>
        <w:spacing w:after="0" w:line="240" w:lineRule="auto"/>
        <w:ind w:firstLine="851"/>
        <w:jc w:val="both"/>
        <w:rPr>
          <w:rFonts w:ascii="Times New Roman" w:hAnsi="Times New Roman"/>
          <w:sz w:val="28"/>
          <w:szCs w:val="28"/>
        </w:rPr>
      </w:pPr>
    </w:p>
    <w:p w14:paraId="693B18E8" w14:textId="77777777" w:rsidR="00B744D5" w:rsidRPr="00A53AD7" w:rsidRDefault="00B744D5" w:rsidP="00DF25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2019 года средняя заработная плата в подведомственных учреждениях министерства труда занятости и социального развития составила:</w:t>
      </w:r>
    </w:p>
    <w:p w14:paraId="1B3776A4"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социальных работников 41 627,1 руб. и 98,9% к среднемесячному доходу от трудовой деятельности в Архангельской области;</w:t>
      </w:r>
    </w:p>
    <w:p w14:paraId="39CF3CCF"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врачам 84 300,0 руб. и 200,2%;</w:t>
      </w:r>
    </w:p>
    <w:p w14:paraId="5E5C92C3"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среднего медицинского персонала 42 404,6 руб. и 100,7%;</w:t>
      </w:r>
    </w:p>
    <w:p w14:paraId="20771A35"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младшего медицинского персонала 41 534,0 руб. и 98,6%;</w:t>
      </w:r>
    </w:p>
    <w:p w14:paraId="14353527" w14:textId="77777777" w:rsidR="00B744D5" w:rsidRPr="00A53AD7" w:rsidRDefault="00B744D5" w:rsidP="00CA1DDD">
      <w:pPr>
        <w:pStyle w:val="a8"/>
        <w:numPr>
          <w:ilvl w:val="0"/>
          <w:numId w:val="31"/>
        </w:numPr>
        <w:ind w:left="0" w:firstLine="851"/>
        <w:jc w:val="both"/>
        <w:rPr>
          <w:rFonts w:eastAsia="Calibri"/>
          <w:sz w:val="28"/>
          <w:szCs w:val="28"/>
        </w:rPr>
      </w:pPr>
      <w:r w:rsidRPr="00A53AD7">
        <w:rPr>
          <w:rFonts w:eastAsia="Calibri"/>
          <w:sz w:val="28"/>
          <w:szCs w:val="28"/>
        </w:rPr>
        <w:t>педагогических работников 41 972,2 руб. и 99,7%.</w:t>
      </w:r>
    </w:p>
    <w:p w14:paraId="5844E119" w14:textId="128D55DA" w:rsidR="00B744D5" w:rsidRPr="00A53AD7" w:rsidRDefault="00B744D5" w:rsidP="00DF25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Причиной недостижения показателя в 2019 году по ряду категорий работников является превышение на 1,6 процента фактически сложившегося показателя по среднемесячному доходу от трудовой деятельности за 2019 год по региону над установленным плановым показателем (41 428,50 рублей – установлено учреждениям, 42</w:t>
      </w:r>
      <w:r w:rsidR="00DF253D" w:rsidRPr="00A53AD7">
        <w:rPr>
          <w:rFonts w:ascii="Times New Roman" w:hAnsi="Times New Roman"/>
          <w:sz w:val="28"/>
          <w:szCs w:val="28"/>
        </w:rPr>
        <w:t> </w:t>
      </w:r>
      <w:r w:rsidRPr="00A53AD7">
        <w:rPr>
          <w:rFonts w:ascii="Times New Roman" w:hAnsi="Times New Roman"/>
          <w:sz w:val="28"/>
          <w:szCs w:val="28"/>
        </w:rPr>
        <w:t>105</w:t>
      </w:r>
      <w:r w:rsidR="00DF253D" w:rsidRPr="00A53AD7">
        <w:rPr>
          <w:rFonts w:ascii="Times New Roman" w:hAnsi="Times New Roman"/>
          <w:sz w:val="28"/>
          <w:szCs w:val="28"/>
        </w:rPr>
        <w:t xml:space="preserve"> </w:t>
      </w:r>
      <w:r w:rsidRPr="00A53AD7">
        <w:rPr>
          <w:rFonts w:ascii="Times New Roman" w:hAnsi="Times New Roman"/>
          <w:sz w:val="28"/>
          <w:szCs w:val="28"/>
        </w:rPr>
        <w:t>рублей – сложился по году по статистическим данным).</w:t>
      </w:r>
    </w:p>
    <w:p w14:paraId="267AAEA1" w14:textId="576FC1BC" w:rsidR="00CF472C" w:rsidRPr="00A53AD7" w:rsidRDefault="00CF472C" w:rsidP="00CF472C">
      <w:pPr>
        <w:pStyle w:val="3"/>
        <w:spacing w:line="240" w:lineRule="auto"/>
        <w:jc w:val="center"/>
        <w:rPr>
          <w:rFonts w:ascii="Times New Roman" w:hAnsi="Times New Roman"/>
          <w:b w:val="0"/>
          <w:sz w:val="28"/>
          <w:szCs w:val="28"/>
          <w:u w:val="single"/>
        </w:rPr>
      </w:pPr>
      <w:bookmarkStart w:id="73" w:name="_Toc42006725"/>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00ED1404"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 xml:space="preserve">. Государственная программа </w:t>
      </w:r>
      <w:r w:rsidRPr="00A53AD7">
        <w:rPr>
          <w:rFonts w:ascii="Times New Roman" w:hAnsi="Times New Roman"/>
          <w:b w:val="0"/>
          <w:sz w:val="28"/>
          <w:szCs w:val="28"/>
          <w:u w:val="single"/>
          <w:lang w:val="ru-RU"/>
        </w:rPr>
        <w:t xml:space="preserve">Архангельской области </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Культура Русского Севера</w:t>
      </w:r>
      <w:r w:rsidRPr="00A53AD7">
        <w:rPr>
          <w:rFonts w:ascii="Times New Roman" w:hAnsi="Times New Roman"/>
          <w:b w:val="0"/>
          <w:sz w:val="28"/>
          <w:szCs w:val="28"/>
          <w:u w:val="single"/>
        </w:rPr>
        <w:t>»</w:t>
      </w:r>
      <w:bookmarkEnd w:id="73"/>
    </w:p>
    <w:p w14:paraId="124B202D" w14:textId="69EC0EA0" w:rsidR="00CF472C" w:rsidRPr="00A53AD7" w:rsidRDefault="00CF472C" w:rsidP="0030116D">
      <w:pPr>
        <w:pStyle w:val="a8"/>
        <w:ind w:left="0" w:firstLine="851"/>
        <w:jc w:val="both"/>
        <w:rPr>
          <w:sz w:val="28"/>
          <w:szCs w:val="28"/>
        </w:rPr>
      </w:pPr>
      <w:r w:rsidRPr="00A53AD7">
        <w:rPr>
          <w:sz w:val="28"/>
          <w:szCs w:val="28"/>
        </w:rPr>
        <w:t>Государственная программа Архангельской области «Культура Русского Север</w:t>
      </w:r>
      <w:r w:rsidR="0030116D" w:rsidRPr="00A53AD7">
        <w:rPr>
          <w:sz w:val="28"/>
          <w:szCs w:val="28"/>
        </w:rPr>
        <w:t>а</w:t>
      </w:r>
      <w:r w:rsidRPr="00A53AD7">
        <w:rPr>
          <w:sz w:val="28"/>
          <w:szCs w:val="28"/>
        </w:rPr>
        <w:t>» утверждена постановлением Правительства Архангельской области от 12.10.2012 № 461-пп (далее – госпрограмма № 461-пп).</w:t>
      </w:r>
    </w:p>
    <w:p w14:paraId="671E1DCF" w14:textId="77777777" w:rsidR="00CF472C" w:rsidRPr="00A53AD7" w:rsidRDefault="00CF472C" w:rsidP="0030116D">
      <w:pPr>
        <w:pStyle w:val="a8"/>
        <w:ind w:left="0" w:firstLine="851"/>
        <w:jc w:val="both"/>
        <w:rPr>
          <w:sz w:val="28"/>
          <w:szCs w:val="28"/>
        </w:rPr>
      </w:pPr>
      <w:r w:rsidRPr="00A53AD7">
        <w:rPr>
          <w:sz w:val="28"/>
          <w:szCs w:val="28"/>
        </w:rPr>
        <w:t>Министерство культуры является ответственным исполнителем указанной государственной программы. Соисполнителями государственной программы в 2019 году являются: министерство строительства и архитектуры Архангельской области, инспекция по охране объектов культурного наследия АО.</w:t>
      </w:r>
    </w:p>
    <w:p w14:paraId="096A88A3" w14:textId="11DD1A8F" w:rsidR="00CF472C" w:rsidRPr="00A53AD7" w:rsidRDefault="00CF472C" w:rsidP="0030116D">
      <w:pPr>
        <w:pStyle w:val="a8"/>
        <w:ind w:left="0" w:firstLine="851"/>
        <w:jc w:val="both"/>
        <w:rPr>
          <w:sz w:val="28"/>
          <w:szCs w:val="28"/>
        </w:rPr>
      </w:pPr>
      <w:r w:rsidRPr="00A53AD7">
        <w:rPr>
          <w:sz w:val="28"/>
          <w:szCs w:val="28"/>
        </w:rPr>
        <w:t>Общий объем финансирования на 2019 год утвержден в общей сумме 2</w:t>
      </w:r>
      <w:r w:rsidR="0030116D" w:rsidRPr="00A53AD7">
        <w:rPr>
          <w:sz w:val="28"/>
          <w:szCs w:val="28"/>
        </w:rPr>
        <w:t> </w:t>
      </w:r>
      <w:r w:rsidRPr="00A53AD7">
        <w:rPr>
          <w:sz w:val="28"/>
          <w:szCs w:val="28"/>
        </w:rPr>
        <w:t>152,8 млн.руб. (в редакции постановления Правительства АО от 24.12.2019 № 739-пп).</w:t>
      </w:r>
      <w:r w:rsidR="00E46634" w:rsidRPr="00A53AD7">
        <w:rPr>
          <w:sz w:val="28"/>
          <w:szCs w:val="28"/>
        </w:rPr>
        <w:t xml:space="preserve"> </w:t>
      </w:r>
      <w:r w:rsidRPr="00A53AD7">
        <w:rPr>
          <w:sz w:val="28"/>
          <w:szCs w:val="28"/>
        </w:rPr>
        <w:t>В течение 2019 года в госпрограмму внесены изменения 15 раз, в том числе в связи:</w:t>
      </w:r>
    </w:p>
    <w:p w14:paraId="5708810C" w14:textId="09F1B1C2"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 приведением объемов финансирования в соответствие с областными законами «О внесении изменений и дополнений в областной закон «Об областном бюджете на 2019 год и на плановый период 2020 и 2021 годов»;</w:t>
      </w:r>
    </w:p>
    <w:p w14:paraId="7C4B8D29" w14:textId="2FFCA278"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 выделением расходов на мероприятия, реализуемые в рамках национального проекта «Культура», в отдельные мероприятия программы;</w:t>
      </w:r>
    </w:p>
    <w:p w14:paraId="79735BFF" w14:textId="3E87EBFD"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 изменением значения целевых показателей на 2019 и последующие годы.</w:t>
      </w:r>
    </w:p>
    <w:p w14:paraId="047B2B59" w14:textId="77777777" w:rsidR="00B011F4" w:rsidRPr="00A53AD7" w:rsidRDefault="00B011F4" w:rsidP="00B011F4">
      <w:pPr>
        <w:pStyle w:val="a8"/>
        <w:ind w:left="0" w:firstLine="851"/>
        <w:jc w:val="both"/>
        <w:rPr>
          <w:sz w:val="28"/>
          <w:szCs w:val="28"/>
        </w:rPr>
      </w:pPr>
      <w:r w:rsidRPr="00A53AD7">
        <w:rPr>
          <w:sz w:val="28"/>
          <w:szCs w:val="28"/>
        </w:rPr>
        <w:t>В течение года внесены изменения в 5 целевых показателей и дополнительно введены 5 целевых показателей:</w:t>
      </w:r>
    </w:p>
    <w:tbl>
      <w:tblPr>
        <w:tblW w:w="9498" w:type="dxa"/>
        <w:tblInd w:w="-23" w:type="dxa"/>
        <w:tblLook w:val="04A0" w:firstRow="1" w:lastRow="0" w:firstColumn="1" w:lastColumn="0" w:noHBand="0" w:noVBand="1"/>
      </w:tblPr>
      <w:tblGrid>
        <w:gridCol w:w="3856"/>
        <w:gridCol w:w="945"/>
        <w:gridCol w:w="931"/>
        <w:gridCol w:w="931"/>
        <w:gridCol w:w="931"/>
        <w:gridCol w:w="973"/>
        <w:gridCol w:w="931"/>
      </w:tblGrid>
      <w:tr w:rsidR="00A53AD7" w:rsidRPr="00A53AD7" w14:paraId="209A4400" w14:textId="77777777" w:rsidTr="006A339D">
        <w:trPr>
          <w:trHeight w:val="266"/>
          <w:tblHeader/>
        </w:trPr>
        <w:tc>
          <w:tcPr>
            <w:tcW w:w="4111" w:type="dxa"/>
            <w:tcBorders>
              <w:top w:val="double" w:sz="4" w:space="0" w:color="auto"/>
              <w:left w:val="double" w:sz="4" w:space="0" w:color="auto"/>
              <w:bottom w:val="single" w:sz="4" w:space="0" w:color="auto"/>
              <w:right w:val="single" w:sz="4" w:space="0" w:color="auto"/>
            </w:tcBorders>
            <w:shd w:val="clear" w:color="auto" w:fill="auto"/>
            <w:vAlign w:val="center"/>
            <w:hideMark/>
          </w:tcPr>
          <w:p w14:paraId="7FD82E82"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Редакция ГП</w:t>
            </w:r>
          </w:p>
        </w:tc>
        <w:tc>
          <w:tcPr>
            <w:tcW w:w="946" w:type="dxa"/>
            <w:tcBorders>
              <w:top w:val="double" w:sz="4" w:space="0" w:color="auto"/>
              <w:left w:val="nil"/>
              <w:bottom w:val="single" w:sz="4" w:space="0" w:color="auto"/>
              <w:right w:val="single" w:sz="4" w:space="0" w:color="auto"/>
            </w:tcBorders>
            <w:shd w:val="clear" w:color="auto" w:fill="auto"/>
            <w:vAlign w:val="center"/>
            <w:hideMark/>
          </w:tcPr>
          <w:p w14:paraId="237D1E2D"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2019</w:t>
            </w:r>
          </w:p>
        </w:tc>
        <w:tc>
          <w:tcPr>
            <w:tcW w:w="866" w:type="dxa"/>
            <w:tcBorders>
              <w:top w:val="double" w:sz="4" w:space="0" w:color="auto"/>
              <w:left w:val="nil"/>
              <w:bottom w:val="single" w:sz="4" w:space="0" w:color="auto"/>
              <w:right w:val="single" w:sz="4" w:space="0" w:color="auto"/>
            </w:tcBorders>
            <w:shd w:val="clear" w:color="auto" w:fill="auto"/>
            <w:vAlign w:val="center"/>
            <w:hideMark/>
          </w:tcPr>
          <w:p w14:paraId="11FB5C06"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2020</w:t>
            </w:r>
          </w:p>
        </w:tc>
        <w:tc>
          <w:tcPr>
            <w:tcW w:w="866" w:type="dxa"/>
            <w:tcBorders>
              <w:top w:val="double" w:sz="4" w:space="0" w:color="auto"/>
              <w:left w:val="nil"/>
              <w:bottom w:val="single" w:sz="4" w:space="0" w:color="auto"/>
              <w:right w:val="single" w:sz="4" w:space="0" w:color="auto"/>
            </w:tcBorders>
            <w:shd w:val="clear" w:color="auto" w:fill="auto"/>
            <w:vAlign w:val="center"/>
            <w:hideMark/>
          </w:tcPr>
          <w:p w14:paraId="73060414"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2021</w:t>
            </w:r>
          </w:p>
        </w:tc>
        <w:tc>
          <w:tcPr>
            <w:tcW w:w="866" w:type="dxa"/>
            <w:tcBorders>
              <w:top w:val="double" w:sz="4" w:space="0" w:color="auto"/>
              <w:left w:val="nil"/>
              <w:bottom w:val="single" w:sz="4" w:space="0" w:color="auto"/>
              <w:right w:val="single" w:sz="4" w:space="0" w:color="auto"/>
            </w:tcBorders>
            <w:shd w:val="clear" w:color="auto" w:fill="auto"/>
            <w:vAlign w:val="center"/>
            <w:hideMark/>
          </w:tcPr>
          <w:p w14:paraId="48D7726B"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2022</w:t>
            </w:r>
          </w:p>
        </w:tc>
        <w:tc>
          <w:tcPr>
            <w:tcW w:w="977" w:type="dxa"/>
            <w:tcBorders>
              <w:top w:val="double" w:sz="4" w:space="0" w:color="auto"/>
              <w:left w:val="nil"/>
              <w:bottom w:val="single" w:sz="4" w:space="0" w:color="auto"/>
              <w:right w:val="single" w:sz="4" w:space="0" w:color="auto"/>
            </w:tcBorders>
            <w:shd w:val="clear" w:color="auto" w:fill="auto"/>
            <w:vAlign w:val="center"/>
            <w:hideMark/>
          </w:tcPr>
          <w:p w14:paraId="0C4D5628"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2023</w:t>
            </w:r>
          </w:p>
        </w:tc>
        <w:tc>
          <w:tcPr>
            <w:tcW w:w="866" w:type="dxa"/>
            <w:tcBorders>
              <w:top w:val="double" w:sz="4" w:space="0" w:color="auto"/>
              <w:left w:val="nil"/>
              <w:bottom w:val="single" w:sz="4" w:space="0" w:color="auto"/>
              <w:right w:val="double" w:sz="4" w:space="0" w:color="auto"/>
            </w:tcBorders>
            <w:shd w:val="clear" w:color="auto" w:fill="auto"/>
            <w:vAlign w:val="center"/>
            <w:hideMark/>
          </w:tcPr>
          <w:p w14:paraId="0DEEE37F"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2024</w:t>
            </w:r>
          </w:p>
        </w:tc>
      </w:tr>
      <w:tr w:rsidR="00A53AD7" w:rsidRPr="00A53AD7" w14:paraId="0A3729C8" w14:textId="77777777" w:rsidTr="00BD3FD3">
        <w:trPr>
          <w:trHeight w:val="27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592F64B4" w14:textId="77777777" w:rsidR="00CF472C" w:rsidRPr="00A53AD7" w:rsidRDefault="00CF472C" w:rsidP="00BD3FD3">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 Увеличение численности граждан Российской Федерации, размещенных в коллективных средствах размещения Архангельской области», тыс.чел., исполнитель министерство культуры</w:t>
            </w:r>
          </w:p>
        </w:tc>
      </w:tr>
      <w:tr w:rsidR="00A53AD7" w:rsidRPr="00A53AD7" w14:paraId="621EE0C2" w14:textId="77777777" w:rsidTr="00BD3FD3">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14A8FB6"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2477F97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388</w:t>
            </w:r>
          </w:p>
        </w:tc>
        <w:tc>
          <w:tcPr>
            <w:tcW w:w="866" w:type="dxa"/>
            <w:tcBorders>
              <w:top w:val="nil"/>
              <w:left w:val="nil"/>
              <w:bottom w:val="single" w:sz="4" w:space="0" w:color="auto"/>
              <w:right w:val="single" w:sz="4" w:space="0" w:color="auto"/>
            </w:tcBorders>
            <w:shd w:val="clear" w:color="auto" w:fill="auto"/>
            <w:vAlign w:val="center"/>
            <w:hideMark/>
          </w:tcPr>
          <w:p w14:paraId="29AABEA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397</w:t>
            </w:r>
          </w:p>
        </w:tc>
        <w:tc>
          <w:tcPr>
            <w:tcW w:w="866" w:type="dxa"/>
            <w:tcBorders>
              <w:top w:val="nil"/>
              <w:left w:val="nil"/>
              <w:bottom w:val="single" w:sz="4" w:space="0" w:color="auto"/>
              <w:right w:val="single" w:sz="4" w:space="0" w:color="auto"/>
            </w:tcBorders>
            <w:shd w:val="clear" w:color="auto" w:fill="auto"/>
            <w:vAlign w:val="center"/>
            <w:hideMark/>
          </w:tcPr>
          <w:p w14:paraId="1660B8E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406</w:t>
            </w:r>
          </w:p>
        </w:tc>
        <w:tc>
          <w:tcPr>
            <w:tcW w:w="866" w:type="dxa"/>
            <w:tcBorders>
              <w:top w:val="nil"/>
              <w:left w:val="nil"/>
              <w:bottom w:val="single" w:sz="4" w:space="0" w:color="auto"/>
              <w:right w:val="single" w:sz="4" w:space="0" w:color="auto"/>
            </w:tcBorders>
            <w:shd w:val="clear" w:color="auto" w:fill="auto"/>
            <w:vAlign w:val="center"/>
            <w:hideMark/>
          </w:tcPr>
          <w:p w14:paraId="17A2B99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415</w:t>
            </w:r>
          </w:p>
        </w:tc>
        <w:tc>
          <w:tcPr>
            <w:tcW w:w="977" w:type="dxa"/>
            <w:tcBorders>
              <w:top w:val="nil"/>
              <w:left w:val="nil"/>
              <w:bottom w:val="single" w:sz="4" w:space="0" w:color="auto"/>
              <w:right w:val="single" w:sz="4" w:space="0" w:color="auto"/>
            </w:tcBorders>
            <w:shd w:val="clear" w:color="auto" w:fill="auto"/>
            <w:vAlign w:val="center"/>
            <w:hideMark/>
          </w:tcPr>
          <w:p w14:paraId="58B6D07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424</w:t>
            </w:r>
          </w:p>
        </w:tc>
        <w:tc>
          <w:tcPr>
            <w:tcW w:w="866" w:type="dxa"/>
            <w:tcBorders>
              <w:top w:val="nil"/>
              <w:left w:val="nil"/>
              <w:bottom w:val="single" w:sz="4" w:space="0" w:color="auto"/>
              <w:right w:val="double" w:sz="4" w:space="0" w:color="auto"/>
            </w:tcBorders>
            <w:shd w:val="clear" w:color="auto" w:fill="auto"/>
            <w:vAlign w:val="center"/>
            <w:hideMark/>
          </w:tcPr>
          <w:p w14:paraId="7868A8C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433</w:t>
            </w:r>
          </w:p>
        </w:tc>
      </w:tr>
      <w:tr w:rsidR="00A53AD7" w:rsidRPr="00A53AD7" w14:paraId="4038D40E" w14:textId="77777777" w:rsidTr="00BD3FD3">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5A15B00"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2A2CF7C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416,3</w:t>
            </w:r>
          </w:p>
        </w:tc>
        <w:tc>
          <w:tcPr>
            <w:tcW w:w="866" w:type="dxa"/>
            <w:tcBorders>
              <w:top w:val="nil"/>
              <w:left w:val="nil"/>
              <w:bottom w:val="single" w:sz="4" w:space="0" w:color="auto"/>
              <w:right w:val="single" w:sz="4" w:space="0" w:color="auto"/>
            </w:tcBorders>
            <w:shd w:val="clear" w:color="auto" w:fill="auto"/>
            <w:vAlign w:val="center"/>
            <w:hideMark/>
          </w:tcPr>
          <w:p w14:paraId="1A29580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426,2</w:t>
            </w:r>
          </w:p>
        </w:tc>
        <w:tc>
          <w:tcPr>
            <w:tcW w:w="866" w:type="dxa"/>
            <w:tcBorders>
              <w:top w:val="nil"/>
              <w:left w:val="nil"/>
              <w:bottom w:val="single" w:sz="4" w:space="0" w:color="auto"/>
              <w:right w:val="single" w:sz="4" w:space="0" w:color="auto"/>
            </w:tcBorders>
            <w:shd w:val="clear" w:color="auto" w:fill="auto"/>
            <w:vAlign w:val="center"/>
            <w:hideMark/>
          </w:tcPr>
          <w:p w14:paraId="3F2368E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436</w:t>
            </w:r>
          </w:p>
        </w:tc>
        <w:tc>
          <w:tcPr>
            <w:tcW w:w="866" w:type="dxa"/>
            <w:tcBorders>
              <w:top w:val="nil"/>
              <w:left w:val="nil"/>
              <w:bottom w:val="single" w:sz="4" w:space="0" w:color="auto"/>
              <w:right w:val="single" w:sz="4" w:space="0" w:color="auto"/>
            </w:tcBorders>
            <w:shd w:val="clear" w:color="auto" w:fill="auto"/>
            <w:vAlign w:val="center"/>
            <w:hideMark/>
          </w:tcPr>
          <w:p w14:paraId="4C7D182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415</w:t>
            </w:r>
          </w:p>
        </w:tc>
        <w:tc>
          <w:tcPr>
            <w:tcW w:w="977" w:type="dxa"/>
            <w:tcBorders>
              <w:top w:val="nil"/>
              <w:left w:val="nil"/>
              <w:bottom w:val="single" w:sz="4" w:space="0" w:color="auto"/>
              <w:right w:val="single" w:sz="4" w:space="0" w:color="auto"/>
            </w:tcBorders>
            <w:shd w:val="clear" w:color="auto" w:fill="auto"/>
            <w:vAlign w:val="center"/>
            <w:hideMark/>
          </w:tcPr>
          <w:p w14:paraId="761451A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424</w:t>
            </w:r>
          </w:p>
        </w:tc>
        <w:tc>
          <w:tcPr>
            <w:tcW w:w="866" w:type="dxa"/>
            <w:tcBorders>
              <w:top w:val="nil"/>
              <w:left w:val="nil"/>
              <w:bottom w:val="single" w:sz="4" w:space="0" w:color="auto"/>
              <w:right w:val="double" w:sz="4" w:space="0" w:color="auto"/>
            </w:tcBorders>
            <w:shd w:val="clear" w:color="auto" w:fill="auto"/>
            <w:vAlign w:val="center"/>
            <w:hideMark/>
          </w:tcPr>
          <w:p w14:paraId="048D6A6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433</w:t>
            </w:r>
          </w:p>
        </w:tc>
      </w:tr>
      <w:tr w:rsidR="00A53AD7" w:rsidRPr="00A53AD7" w14:paraId="5EFF9275" w14:textId="77777777" w:rsidTr="00BD3FD3">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F2BEB9C"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32FAA74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28,3</w:t>
            </w:r>
          </w:p>
        </w:tc>
        <w:tc>
          <w:tcPr>
            <w:tcW w:w="866" w:type="dxa"/>
            <w:tcBorders>
              <w:top w:val="nil"/>
              <w:left w:val="nil"/>
              <w:bottom w:val="single" w:sz="4" w:space="0" w:color="auto"/>
              <w:right w:val="single" w:sz="4" w:space="0" w:color="auto"/>
            </w:tcBorders>
            <w:shd w:val="clear" w:color="auto" w:fill="auto"/>
            <w:vAlign w:val="center"/>
            <w:hideMark/>
          </w:tcPr>
          <w:p w14:paraId="54F0F07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29,2</w:t>
            </w:r>
          </w:p>
        </w:tc>
        <w:tc>
          <w:tcPr>
            <w:tcW w:w="866" w:type="dxa"/>
            <w:tcBorders>
              <w:top w:val="nil"/>
              <w:left w:val="nil"/>
              <w:bottom w:val="single" w:sz="4" w:space="0" w:color="auto"/>
              <w:right w:val="single" w:sz="4" w:space="0" w:color="auto"/>
            </w:tcBorders>
            <w:shd w:val="clear" w:color="auto" w:fill="auto"/>
            <w:vAlign w:val="center"/>
            <w:hideMark/>
          </w:tcPr>
          <w:p w14:paraId="3A45E79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w:t>
            </w:r>
          </w:p>
        </w:tc>
        <w:tc>
          <w:tcPr>
            <w:tcW w:w="866" w:type="dxa"/>
            <w:tcBorders>
              <w:top w:val="nil"/>
              <w:left w:val="nil"/>
              <w:bottom w:val="single" w:sz="4" w:space="0" w:color="auto"/>
              <w:right w:val="single" w:sz="4" w:space="0" w:color="auto"/>
            </w:tcBorders>
            <w:shd w:val="clear" w:color="auto" w:fill="auto"/>
            <w:vAlign w:val="center"/>
            <w:hideMark/>
          </w:tcPr>
          <w:p w14:paraId="26D3387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102A238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3BA25E1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2D7C029D" w14:textId="77777777" w:rsidTr="00CF2AD0">
        <w:trPr>
          <w:trHeight w:val="238"/>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0DA27C02" w14:textId="77777777" w:rsidR="00CF472C" w:rsidRPr="00A53AD7" w:rsidRDefault="00CF472C" w:rsidP="00CF2AD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 Увеличение численности иностранных граждан, размещенных в коллективных средствах размещения Архангельской области», тыс.чел., исполнитель министерство культуры</w:t>
            </w:r>
          </w:p>
        </w:tc>
      </w:tr>
      <w:tr w:rsidR="00A53AD7" w:rsidRPr="00A53AD7" w14:paraId="1247BB36" w14:textId="77777777" w:rsidTr="00CF2AD0">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97D091F"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1CD393B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7,7</w:t>
            </w:r>
          </w:p>
        </w:tc>
        <w:tc>
          <w:tcPr>
            <w:tcW w:w="866" w:type="dxa"/>
            <w:tcBorders>
              <w:top w:val="nil"/>
              <w:left w:val="nil"/>
              <w:bottom w:val="single" w:sz="4" w:space="0" w:color="auto"/>
              <w:right w:val="single" w:sz="4" w:space="0" w:color="auto"/>
            </w:tcBorders>
            <w:shd w:val="clear" w:color="auto" w:fill="auto"/>
            <w:vAlign w:val="center"/>
            <w:hideMark/>
          </w:tcPr>
          <w:p w14:paraId="7BD5FEA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w:t>
            </w:r>
          </w:p>
        </w:tc>
        <w:tc>
          <w:tcPr>
            <w:tcW w:w="866" w:type="dxa"/>
            <w:tcBorders>
              <w:top w:val="nil"/>
              <w:left w:val="nil"/>
              <w:bottom w:val="single" w:sz="4" w:space="0" w:color="auto"/>
              <w:right w:val="single" w:sz="4" w:space="0" w:color="auto"/>
            </w:tcBorders>
            <w:shd w:val="clear" w:color="auto" w:fill="auto"/>
            <w:vAlign w:val="center"/>
            <w:hideMark/>
          </w:tcPr>
          <w:p w14:paraId="5B9781E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8,1</w:t>
            </w:r>
          </w:p>
        </w:tc>
        <w:tc>
          <w:tcPr>
            <w:tcW w:w="866" w:type="dxa"/>
            <w:tcBorders>
              <w:top w:val="nil"/>
              <w:left w:val="nil"/>
              <w:bottom w:val="single" w:sz="4" w:space="0" w:color="auto"/>
              <w:right w:val="single" w:sz="4" w:space="0" w:color="auto"/>
            </w:tcBorders>
            <w:shd w:val="clear" w:color="auto" w:fill="auto"/>
            <w:vAlign w:val="center"/>
            <w:hideMark/>
          </w:tcPr>
          <w:p w14:paraId="5E5FFD3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8,2</w:t>
            </w:r>
          </w:p>
        </w:tc>
        <w:tc>
          <w:tcPr>
            <w:tcW w:w="977" w:type="dxa"/>
            <w:tcBorders>
              <w:top w:val="nil"/>
              <w:left w:val="nil"/>
              <w:bottom w:val="single" w:sz="4" w:space="0" w:color="auto"/>
              <w:right w:val="single" w:sz="4" w:space="0" w:color="auto"/>
            </w:tcBorders>
            <w:shd w:val="clear" w:color="auto" w:fill="auto"/>
            <w:vAlign w:val="center"/>
            <w:hideMark/>
          </w:tcPr>
          <w:p w14:paraId="2381456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8,3</w:t>
            </w:r>
          </w:p>
        </w:tc>
        <w:tc>
          <w:tcPr>
            <w:tcW w:w="866" w:type="dxa"/>
            <w:tcBorders>
              <w:top w:val="nil"/>
              <w:left w:val="nil"/>
              <w:bottom w:val="single" w:sz="4" w:space="0" w:color="auto"/>
              <w:right w:val="double" w:sz="4" w:space="0" w:color="auto"/>
            </w:tcBorders>
            <w:shd w:val="clear" w:color="auto" w:fill="auto"/>
            <w:vAlign w:val="center"/>
            <w:hideMark/>
          </w:tcPr>
          <w:p w14:paraId="31512D6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8,4</w:t>
            </w:r>
          </w:p>
        </w:tc>
      </w:tr>
      <w:tr w:rsidR="00A53AD7" w:rsidRPr="00A53AD7" w14:paraId="75C86A9B" w14:textId="77777777" w:rsidTr="00CF2AD0">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64E5C495"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5DB36A4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9,7</w:t>
            </w:r>
          </w:p>
        </w:tc>
        <w:tc>
          <w:tcPr>
            <w:tcW w:w="866" w:type="dxa"/>
            <w:tcBorders>
              <w:top w:val="nil"/>
              <w:left w:val="nil"/>
              <w:bottom w:val="single" w:sz="4" w:space="0" w:color="auto"/>
              <w:right w:val="single" w:sz="4" w:space="0" w:color="auto"/>
            </w:tcBorders>
            <w:shd w:val="clear" w:color="auto" w:fill="auto"/>
            <w:vAlign w:val="center"/>
            <w:hideMark/>
          </w:tcPr>
          <w:p w14:paraId="47014A6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w:t>
            </w:r>
          </w:p>
        </w:tc>
        <w:tc>
          <w:tcPr>
            <w:tcW w:w="866" w:type="dxa"/>
            <w:tcBorders>
              <w:top w:val="nil"/>
              <w:left w:val="nil"/>
              <w:bottom w:val="single" w:sz="4" w:space="0" w:color="auto"/>
              <w:right w:val="single" w:sz="4" w:space="0" w:color="auto"/>
            </w:tcBorders>
            <w:shd w:val="clear" w:color="auto" w:fill="auto"/>
            <w:vAlign w:val="center"/>
            <w:hideMark/>
          </w:tcPr>
          <w:p w14:paraId="17907A7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10,3</w:t>
            </w:r>
          </w:p>
        </w:tc>
        <w:tc>
          <w:tcPr>
            <w:tcW w:w="866" w:type="dxa"/>
            <w:tcBorders>
              <w:top w:val="nil"/>
              <w:left w:val="nil"/>
              <w:bottom w:val="single" w:sz="4" w:space="0" w:color="auto"/>
              <w:right w:val="single" w:sz="4" w:space="0" w:color="auto"/>
            </w:tcBorders>
            <w:shd w:val="clear" w:color="auto" w:fill="auto"/>
            <w:vAlign w:val="center"/>
            <w:hideMark/>
          </w:tcPr>
          <w:p w14:paraId="1CB6ABF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8,2</w:t>
            </w:r>
          </w:p>
        </w:tc>
        <w:tc>
          <w:tcPr>
            <w:tcW w:w="977" w:type="dxa"/>
            <w:tcBorders>
              <w:top w:val="nil"/>
              <w:left w:val="nil"/>
              <w:bottom w:val="single" w:sz="4" w:space="0" w:color="auto"/>
              <w:right w:val="single" w:sz="4" w:space="0" w:color="auto"/>
            </w:tcBorders>
            <w:shd w:val="clear" w:color="auto" w:fill="auto"/>
            <w:vAlign w:val="center"/>
            <w:hideMark/>
          </w:tcPr>
          <w:p w14:paraId="26EF742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8,3</w:t>
            </w:r>
          </w:p>
        </w:tc>
        <w:tc>
          <w:tcPr>
            <w:tcW w:w="866" w:type="dxa"/>
            <w:tcBorders>
              <w:top w:val="nil"/>
              <w:left w:val="nil"/>
              <w:bottom w:val="single" w:sz="4" w:space="0" w:color="auto"/>
              <w:right w:val="double" w:sz="4" w:space="0" w:color="auto"/>
            </w:tcBorders>
            <w:shd w:val="clear" w:color="auto" w:fill="auto"/>
            <w:vAlign w:val="center"/>
            <w:hideMark/>
          </w:tcPr>
          <w:p w14:paraId="4B46CA3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8,4</w:t>
            </w:r>
          </w:p>
        </w:tc>
      </w:tr>
      <w:tr w:rsidR="00A53AD7" w:rsidRPr="00A53AD7" w14:paraId="195518B1" w14:textId="77777777" w:rsidTr="00CF2AD0">
        <w:trPr>
          <w:trHeigh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4AEB937"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5E04450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866" w:type="dxa"/>
            <w:tcBorders>
              <w:top w:val="nil"/>
              <w:left w:val="nil"/>
              <w:bottom w:val="single" w:sz="4" w:space="0" w:color="auto"/>
              <w:right w:val="single" w:sz="4" w:space="0" w:color="auto"/>
            </w:tcBorders>
            <w:shd w:val="clear" w:color="auto" w:fill="auto"/>
            <w:vAlign w:val="center"/>
            <w:hideMark/>
          </w:tcPr>
          <w:p w14:paraId="64D8F36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866" w:type="dxa"/>
            <w:tcBorders>
              <w:top w:val="nil"/>
              <w:left w:val="nil"/>
              <w:bottom w:val="single" w:sz="4" w:space="0" w:color="auto"/>
              <w:right w:val="single" w:sz="4" w:space="0" w:color="auto"/>
            </w:tcBorders>
            <w:shd w:val="clear" w:color="auto" w:fill="auto"/>
            <w:vAlign w:val="center"/>
            <w:hideMark/>
          </w:tcPr>
          <w:p w14:paraId="71FEE32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w:t>
            </w:r>
          </w:p>
        </w:tc>
        <w:tc>
          <w:tcPr>
            <w:tcW w:w="866" w:type="dxa"/>
            <w:tcBorders>
              <w:top w:val="nil"/>
              <w:left w:val="nil"/>
              <w:bottom w:val="single" w:sz="4" w:space="0" w:color="auto"/>
              <w:right w:val="single" w:sz="4" w:space="0" w:color="auto"/>
            </w:tcBorders>
            <w:shd w:val="clear" w:color="auto" w:fill="auto"/>
            <w:vAlign w:val="center"/>
            <w:hideMark/>
          </w:tcPr>
          <w:p w14:paraId="5A5C369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1EA805C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2EF21D2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6CD4E985" w14:textId="77777777" w:rsidTr="00BD3FD3">
        <w:trPr>
          <w:trHeight w:val="679"/>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0A108A1" w14:textId="77777777" w:rsidR="00CF472C" w:rsidRPr="00A53AD7" w:rsidRDefault="00CF472C" w:rsidP="00CF2AD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 Количество объектов культурного наследия, в отношении которых проведены научно-исследовательские, изыскательские, проектные, противоаварийные, ремонтно-реставрационные работы», ед., исполнитель министерство культуры</w:t>
            </w:r>
          </w:p>
        </w:tc>
      </w:tr>
      <w:tr w:rsidR="00A53AD7" w:rsidRPr="00A53AD7" w14:paraId="465EE520"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3F0F75D9"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4F28DA4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866" w:type="dxa"/>
            <w:tcBorders>
              <w:top w:val="nil"/>
              <w:left w:val="nil"/>
              <w:bottom w:val="single" w:sz="4" w:space="0" w:color="auto"/>
              <w:right w:val="single" w:sz="4" w:space="0" w:color="auto"/>
            </w:tcBorders>
            <w:shd w:val="clear" w:color="auto" w:fill="auto"/>
            <w:vAlign w:val="center"/>
            <w:hideMark/>
          </w:tcPr>
          <w:p w14:paraId="6D4AA47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63945EC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4E056B6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40F76B6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6EE0EFD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453C190F"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188CF92"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388FF0C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866" w:type="dxa"/>
            <w:tcBorders>
              <w:top w:val="nil"/>
              <w:left w:val="nil"/>
              <w:bottom w:val="single" w:sz="4" w:space="0" w:color="auto"/>
              <w:right w:val="single" w:sz="4" w:space="0" w:color="auto"/>
            </w:tcBorders>
            <w:shd w:val="clear" w:color="auto" w:fill="auto"/>
            <w:vAlign w:val="center"/>
            <w:hideMark/>
          </w:tcPr>
          <w:p w14:paraId="0515BD5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2E0E914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7FE7E0E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7DABD9C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44CE9BC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100BCDC2"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D9A2B84"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0E84435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0318390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53505B8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14:paraId="4CD4BE7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c>
          <w:tcPr>
            <w:tcW w:w="977" w:type="dxa"/>
            <w:tcBorders>
              <w:top w:val="nil"/>
              <w:left w:val="nil"/>
              <w:bottom w:val="single" w:sz="4" w:space="0" w:color="auto"/>
              <w:right w:val="single" w:sz="4" w:space="0" w:color="auto"/>
            </w:tcBorders>
            <w:shd w:val="clear" w:color="auto" w:fill="auto"/>
            <w:vAlign w:val="center"/>
            <w:hideMark/>
          </w:tcPr>
          <w:p w14:paraId="189B92F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c>
          <w:tcPr>
            <w:tcW w:w="866" w:type="dxa"/>
            <w:tcBorders>
              <w:top w:val="nil"/>
              <w:left w:val="nil"/>
              <w:bottom w:val="single" w:sz="4" w:space="0" w:color="auto"/>
              <w:right w:val="double" w:sz="4" w:space="0" w:color="auto"/>
            </w:tcBorders>
            <w:shd w:val="clear" w:color="auto" w:fill="auto"/>
            <w:vAlign w:val="center"/>
            <w:hideMark/>
          </w:tcPr>
          <w:p w14:paraId="2362600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r>
      <w:tr w:rsidR="00A53AD7" w:rsidRPr="00A53AD7" w14:paraId="70AE977F" w14:textId="77777777" w:rsidTr="00BD3FD3">
        <w:trPr>
          <w:trHeight w:val="797"/>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2FE148B2" w14:textId="77777777" w:rsidR="00CF472C" w:rsidRPr="00A53AD7" w:rsidRDefault="00CF472C" w:rsidP="00CF2AD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 Количество объектов культуры, образования в сфере культуры, архивных учреждений и объектов туристской и обеспечивающей инфраструктуры, на которых осуществлено строительство, реконструкция, капитальный ремонт» ед.</w:t>
            </w:r>
          </w:p>
        </w:tc>
      </w:tr>
      <w:tr w:rsidR="00A53AD7" w:rsidRPr="00A53AD7" w14:paraId="3E9ED0CD" w14:textId="77777777" w:rsidTr="00CF2AD0">
        <w:trPr>
          <w:trHeight w:hRule="exact" w:val="25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4F6E43C" w14:textId="77777777" w:rsidR="00CF472C" w:rsidRPr="00A53AD7" w:rsidRDefault="00CF472C" w:rsidP="00CF2AD0">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исполнитель министерство строительства и архитектуры</w:t>
            </w:r>
          </w:p>
        </w:tc>
      </w:tr>
      <w:tr w:rsidR="00A53AD7" w:rsidRPr="00A53AD7" w14:paraId="1E09B6B2"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6DBD1DD0"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0B2DB07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72D8BC6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866" w:type="dxa"/>
            <w:tcBorders>
              <w:top w:val="nil"/>
              <w:left w:val="nil"/>
              <w:bottom w:val="single" w:sz="4" w:space="0" w:color="auto"/>
              <w:right w:val="single" w:sz="4" w:space="0" w:color="auto"/>
            </w:tcBorders>
            <w:shd w:val="clear" w:color="auto" w:fill="auto"/>
            <w:vAlign w:val="center"/>
            <w:hideMark/>
          </w:tcPr>
          <w:p w14:paraId="7FC05AB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1165DBC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977" w:type="dxa"/>
            <w:tcBorders>
              <w:top w:val="nil"/>
              <w:left w:val="nil"/>
              <w:bottom w:val="single" w:sz="4" w:space="0" w:color="auto"/>
              <w:right w:val="single" w:sz="4" w:space="0" w:color="auto"/>
            </w:tcBorders>
            <w:shd w:val="clear" w:color="auto" w:fill="auto"/>
            <w:vAlign w:val="center"/>
            <w:hideMark/>
          </w:tcPr>
          <w:p w14:paraId="0BAE2AE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double" w:sz="4" w:space="0" w:color="auto"/>
            </w:tcBorders>
            <w:shd w:val="clear" w:color="auto" w:fill="auto"/>
            <w:vAlign w:val="center"/>
            <w:hideMark/>
          </w:tcPr>
          <w:p w14:paraId="33B0BB2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r>
      <w:tr w:rsidR="00A53AD7" w:rsidRPr="00A53AD7" w14:paraId="4A40A857"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75B27C1D"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5B50603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3589002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63D83CB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799D790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977" w:type="dxa"/>
            <w:tcBorders>
              <w:top w:val="nil"/>
              <w:left w:val="nil"/>
              <w:bottom w:val="single" w:sz="4" w:space="0" w:color="auto"/>
              <w:right w:val="single" w:sz="4" w:space="0" w:color="auto"/>
            </w:tcBorders>
            <w:shd w:val="clear" w:color="auto" w:fill="auto"/>
            <w:vAlign w:val="center"/>
            <w:hideMark/>
          </w:tcPr>
          <w:p w14:paraId="29386E1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double" w:sz="4" w:space="0" w:color="auto"/>
            </w:tcBorders>
            <w:shd w:val="clear" w:color="auto" w:fill="auto"/>
            <w:vAlign w:val="center"/>
            <w:hideMark/>
          </w:tcPr>
          <w:p w14:paraId="74E32CF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r>
      <w:tr w:rsidR="00A53AD7" w:rsidRPr="00A53AD7" w14:paraId="39E421A9"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D86FCD4"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2E9E281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04748A0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3</w:t>
            </w:r>
          </w:p>
        </w:tc>
        <w:tc>
          <w:tcPr>
            <w:tcW w:w="866" w:type="dxa"/>
            <w:tcBorders>
              <w:top w:val="nil"/>
              <w:left w:val="nil"/>
              <w:bottom w:val="single" w:sz="4" w:space="0" w:color="auto"/>
              <w:right w:val="single" w:sz="4" w:space="0" w:color="auto"/>
            </w:tcBorders>
            <w:shd w:val="clear" w:color="auto" w:fill="auto"/>
            <w:vAlign w:val="center"/>
            <w:hideMark/>
          </w:tcPr>
          <w:p w14:paraId="05DF93D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6D38925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2E5447D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7254CA5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2000A9C9" w14:textId="77777777" w:rsidTr="00CF2AD0">
        <w:trPr>
          <w:trHeight w:hRule="exact" w:val="25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FEC1C25"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исполнитель министерство культуры</w:t>
            </w:r>
          </w:p>
        </w:tc>
      </w:tr>
      <w:tr w:rsidR="00A53AD7" w:rsidRPr="00A53AD7" w14:paraId="77D1842E"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47E3EB0" w14:textId="77777777" w:rsidR="00CF472C" w:rsidRPr="00A53AD7" w:rsidRDefault="00CF472C" w:rsidP="006A339D">
            <w:pPr>
              <w:tabs>
                <w:tab w:val="left" w:pos="1700"/>
              </w:tabs>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0A37C86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866" w:type="dxa"/>
            <w:tcBorders>
              <w:top w:val="nil"/>
              <w:left w:val="nil"/>
              <w:bottom w:val="single" w:sz="4" w:space="0" w:color="auto"/>
              <w:right w:val="single" w:sz="4" w:space="0" w:color="auto"/>
            </w:tcBorders>
            <w:shd w:val="clear" w:color="auto" w:fill="auto"/>
            <w:vAlign w:val="center"/>
            <w:hideMark/>
          </w:tcPr>
          <w:p w14:paraId="190F981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064A9C8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776479C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64A1B09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2A00B2A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20288603"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3BC8D3AB"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226D23C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866" w:type="dxa"/>
            <w:tcBorders>
              <w:top w:val="nil"/>
              <w:left w:val="nil"/>
              <w:bottom w:val="single" w:sz="4" w:space="0" w:color="auto"/>
              <w:right w:val="single" w:sz="4" w:space="0" w:color="auto"/>
            </w:tcBorders>
            <w:shd w:val="clear" w:color="auto" w:fill="auto"/>
            <w:vAlign w:val="center"/>
            <w:hideMark/>
          </w:tcPr>
          <w:p w14:paraId="50038A2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866" w:type="dxa"/>
            <w:tcBorders>
              <w:top w:val="nil"/>
              <w:left w:val="nil"/>
              <w:bottom w:val="single" w:sz="4" w:space="0" w:color="auto"/>
              <w:right w:val="single" w:sz="4" w:space="0" w:color="auto"/>
            </w:tcBorders>
            <w:shd w:val="clear" w:color="auto" w:fill="auto"/>
            <w:vAlign w:val="center"/>
            <w:hideMark/>
          </w:tcPr>
          <w:p w14:paraId="32D6C3D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7424F81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494F298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7CFA0F4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0CC92FBE" w14:textId="77777777" w:rsidTr="00CF2AD0">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DA9E08E"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09187BA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0B4CAE3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866" w:type="dxa"/>
            <w:tcBorders>
              <w:top w:val="nil"/>
              <w:left w:val="nil"/>
              <w:bottom w:val="single" w:sz="4" w:space="0" w:color="auto"/>
              <w:right w:val="single" w:sz="4" w:space="0" w:color="auto"/>
            </w:tcBorders>
            <w:shd w:val="clear" w:color="auto" w:fill="auto"/>
            <w:vAlign w:val="center"/>
            <w:hideMark/>
          </w:tcPr>
          <w:p w14:paraId="17C4CAE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73A7CB1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07280C4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266BB34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3834A3F3" w14:textId="77777777" w:rsidTr="00BD3FD3">
        <w:trPr>
          <w:trHeight w:val="76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1D393F0D"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«23. Количество оборудованных рабочих мест для функционирования единой архивной информационной системы Архангельской области», ед. исполнитель министерство связи и информационных технологий Архангельской области</w:t>
            </w:r>
          </w:p>
        </w:tc>
      </w:tr>
      <w:tr w:rsidR="00A53AD7" w:rsidRPr="00A53AD7" w14:paraId="6265F536"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6826D07"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649D97E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18,2</w:t>
            </w:r>
          </w:p>
        </w:tc>
        <w:tc>
          <w:tcPr>
            <w:tcW w:w="866" w:type="dxa"/>
            <w:tcBorders>
              <w:top w:val="nil"/>
              <w:left w:val="nil"/>
              <w:bottom w:val="single" w:sz="4" w:space="0" w:color="auto"/>
              <w:right w:val="single" w:sz="4" w:space="0" w:color="auto"/>
            </w:tcBorders>
            <w:shd w:val="clear" w:color="auto" w:fill="auto"/>
            <w:vAlign w:val="center"/>
            <w:hideMark/>
          </w:tcPr>
          <w:p w14:paraId="0CD899F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6C982D1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2505BAD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67DCD57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1DF5310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72764D12"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7C7D1080"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64EEF05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866" w:type="dxa"/>
            <w:tcBorders>
              <w:top w:val="nil"/>
              <w:left w:val="nil"/>
              <w:bottom w:val="single" w:sz="4" w:space="0" w:color="auto"/>
              <w:right w:val="single" w:sz="4" w:space="0" w:color="auto"/>
            </w:tcBorders>
            <w:shd w:val="clear" w:color="auto" w:fill="auto"/>
            <w:vAlign w:val="center"/>
            <w:hideMark/>
          </w:tcPr>
          <w:p w14:paraId="3D8629F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5F04E11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593B181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4B17750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5DF09AF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0BEFCEC4"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3F77AD17"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6D38277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«-»14,2</w:t>
            </w:r>
          </w:p>
        </w:tc>
        <w:tc>
          <w:tcPr>
            <w:tcW w:w="866" w:type="dxa"/>
            <w:tcBorders>
              <w:top w:val="nil"/>
              <w:left w:val="nil"/>
              <w:bottom w:val="single" w:sz="4" w:space="0" w:color="auto"/>
              <w:right w:val="single" w:sz="4" w:space="0" w:color="auto"/>
            </w:tcBorders>
            <w:shd w:val="clear" w:color="auto" w:fill="auto"/>
            <w:vAlign w:val="center"/>
            <w:hideMark/>
          </w:tcPr>
          <w:p w14:paraId="1E4DFCF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30EE13D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387C6BA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183B079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2B9EF37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550146CE" w14:textId="77777777" w:rsidTr="00BD3FD3">
        <w:trPr>
          <w:trHeight w:val="76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09DBEC34"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«24. Количество сканированных и индексированных архивных документов, внесенных в единую государственную информационную систему Архангельской области», тыс.лист, исполнитель министерство культуры</w:t>
            </w:r>
          </w:p>
        </w:tc>
      </w:tr>
      <w:tr w:rsidR="00A53AD7" w:rsidRPr="00A53AD7" w14:paraId="65FDABDA"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D06245B"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5FAD708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1BC2D11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1BDC6EB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728F687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02A8B51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1D371A6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00F3D11A"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FB6BC63"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3065F4E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w:t>
            </w:r>
          </w:p>
        </w:tc>
        <w:tc>
          <w:tcPr>
            <w:tcW w:w="866" w:type="dxa"/>
            <w:tcBorders>
              <w:top w:val="nil"/>
              <w:left w:val="nil"/>
              <w:bottom w:val="single" w:sz="4" w:space="0" w:color="auto"/>
              <w:right w:val="single" w:sz="4" w:space="0" w:color="auto"/>
            </w:tcBorders>
            <w:shd w:val="clear" w:color="auto" w:fill="auto"/>
            <w:vAlign w:val="center"/>
            <w:hideMark/>
          </w:tcPr>
          <w:p w14:paraId="52716B6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200</w:t>
            </w:r>
          </w:p>
        </w:tc>
        <w:tc>
          <w:tcPr>
            <w:tcW w:w="866" w:type="dxa"/>
            <w:tcBorders>
              <w:top w:val="nil"/>
              <w:left w:val="nil"/>
              <w:bottom w:val="single" w:sz="4" w:space="0" w:color="auto"/>
              <w:right w:val="single" w:sz="4" w:space="0" w:color="auto"/>
            </w:tcBorders>
            <w:shd w:val="clear" w:color="auto" w:fill="auto"/>
            <w:vAlign w:val="center"/>
            <w:hideMark/>
          </w:tcPr>
          <w:p w14:paraId="643249A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784143F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7AD95DE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7FF54F6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3A48018C"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24A98C38"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1774F58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w:t>
            </w:r>
          </w:p>
        </w:tc>
        <w:tc>
          <w:tcPr>
            <w:tcW w:w="866" w:type="dxa"/>
            <w:tcBorders>
              <w:top w:val="nil"/>
              <w:left w:val="nil"/>
              <w:bottom w:val="single" w:sz="4" w:space="0" w:color="auto"/>
              <w:right w:val="single" w:sz="4" w:space="0" w:color="auto"/>
            </w:tcBorders>
            <w:shd w:val="clear" w:color="auto" w:fill="auto"/>
            <w:vAlign w:val="center"/>
            <w:hideMark/>
          </w:tcPr>
          <w:p w14:paraId="7CFCB97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200</w:t>
            </w:r>
          </w:p>
        </w:tc>
        <w:tc>
          <w:tcPr>
            <w:tcW w:w="866" w:type="dxa"/>
            <w:tcBorders>
              <w:top w:val="nil"/>
              <w:left w:val="nil"/>
              <w:bottom w:val="single" w:sz="4" w:space="0" w:color="auto"/>
              <w:right w:val="single" w:sz="4" w:space="0" w:color="auto"/>
            </w:tcBorders>
            <w:shd w:val="clear" w:color="auto" w:fill="auto"/>
            <w:vAlign w:val="center"/>
            <w:hideMark/>
          </w:tcPr>
          <w:p w14:paraId="0664C66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single" w:sz="4" w:space="0" w:color="auto"/>
            </w:tcBorders>
            <w:shd w:val="clear" w:color="auto" w:fill="auto"/>
            <w:vAlign w:val="center"/>
            <w:hideMark/>
          </w:tcPr>
          <w:p w14:paraId="631BC19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977" w:type="dxa"/>
            <w:tcBorders>
              <w:top w:val="nil"/>
              <w:left w:val="nil"/>
              <w:bottom w:val="single" w:sz="4" w:space="0" w:color="auto"/>
              <w:right w:val="single" w:sz="4" w:space="0" w:color="auto"/>
            </w:tcBorders>
            <w:shd w:val="clear" w:color="auto" w:fill="auto"/>
            <w:vAlign w:val="center"/>
            <w:hideMark/>
          </w:tcPr>
          <w:p w14:paraId="3ADFBBB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c>
          <w:tcPr>
            <w:tcW w:w="866" w:type="dxa"/>
            <w:tcBorders>
              <w:top w:val="nil"/>
              <w:left w:val="nil"/>
              <w:bottom w:val="single" w:sz="4" w:space="0" w:color="auto"/>
              <w:right w:val="double" w:sz="4" w:space="0" w:color="auto"/>
            </w:tcBorders>
            <w:shd w:val="clear" w:color="auto" w:fill="auto"/>
            <w:vAlign w:val="center"/>
            <w:hideMark/>
          </w:tcPr>
          <w:p w14:paraId="3430415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w:t>
            </w:r>
          </w:p>
        </w:tc>
      </w:tr>
      <w:tr w:rsidR="00A53AD7" w:rsidRPr="00A53AD7" w14:paraId="24C541FF" w14:textId="77777777" w:rsidTr="006A339D">
        <w:trPr>
          <w:trHeight w:val="547"/>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7702841"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«25. Количество созданных (реконструированных) и капитально отремонтированных объектов организаций культуры (нарастающим итогом к 2018 году) в рамках реализации национального проекта «Культура», ед., исполнитель министерство культуры</w:t>
            </w:r>
          </w:p>
        </w:tc>
      </w:tr>
      <w:tr w:rsidR="00A53AD7" w:rsidRPr="00A53AD7" w14:paraId="2971A712"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3E819B32"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0D2B928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5BA1E65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6D0E7D8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5FF1BF4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584361D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2C0DD358"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1583ECE5"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82317B0"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45506C9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866" w:type="dxa"/>
            <w:tcBorders>
              <w:top w:val="nil"/>
              <w:left w:val="nil"/>
              <w:bottom w:val="single" w:sz="4" w:space="0" w:color="auto"/>
              <w:right w:val="single" w:sz="4" w:space="0" w:color="auto"/>
            </w:tcBorders>
            <w:shd w:val="clear" w:color="auto" w:fill="auto"/>
            <w:vAlign w:val="center"/>
            <w:hideMark/>
          </w:tcPr>
          <w:p w14:paraId="3963AD4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w:t>
            </w:r>
          </w:p>
        </w:tc>
        <w:tc>
          <w:tcPr>
            <w:tcW w:w="866" w:type="dxa"/>
            <w:tcBorders>
              <w:top w:val="nil"/>
              <w:left w:val="nil"/>
              <w:bottom w:val="single" w:sz="4" w:space="0" w:color="auto"/>
              <w:right w:val="single" w:sz="4" w:space="0" w:color="auto"/>
            </w:tcBorders>
            <w:shd w:val="clear" w:color="auto" w:fill="auto"/>
            <w:vAlign w:val="center"/>
            <w:hideMark/>
          </w:tcPr>
          <w:p w14:paraId="3FFB92B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w:t>
            </w:r>
          </w:p>
        </w:tc>
        <w:tc>
          <w:tcPr>
            <w:tcW w:w="866" w:type="dxa"/>
            <w:tcBorders>
              <w:top w:val="nil"/>
              <w:left w:val="nil"/>
              <w:bottom w:val="single" w:sz="4" w:space="0" w:color="auto"/>
              <w:right w:val="single" w:sz="4" w:space="0" w:color="auto"/>
            </w:tcBorders>
            <w:shd w:val="clear" w:color="auto" w:fill="auto"/>
            <w:vAlign w:val="center"/>
            <w:hideMark/>
          </w:tcPr>
          <w:p w14:paraId="3138AEC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w:t>
            </w:r>
          </w:p>
        </w:tc>
        <w:tc>
          <w:tcPr>
            <w:tcW w:w="977" w:type="dxa"/>
            <w:tcBorders>
              <w:top w:val="nil"/>
              <w:left w:val="nil"/>
              <w:bottom w:val="single" w:sz="4" w:space="0" w:color="auto"/>
              <w:right w:val="single" w:sz="4" w:space="0" w:color="auto"/>
            </w:tcBorders>
            <w:shd w:val="clear" w:color="auto" w:fill="auto"/>
            <w:vAlign w:val="center"/>
            <w:hideMark/>
          </w:tcPr>
          <w:p w14:paraId="6696E86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c>
          <w:tcPr>
            <w:tcW w:w="866" w:type="dxa"/>
            <w:tcBorders>
              <w:top w:val="nil"/>
              <w:left w:val="nil"/>
              <w:bottom w:val="single" w:sz="4" w:space="0" w:color="auto"/>
              <w:right w:val="double" w:sz="4" w:space="0" w:color="auto"/>
            </w:tcBorders>
            <w:shd w:val="clear" w:color="auto" w:fill="auto"/>
            <w:vAlign w:val="center"/>
            <w:hideMark/>
          </w:tcPr>
          <w:p w14:paraId="465DBF6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r>
      <w:tr w:rsidR="00A53AD7" w:rsidRPr="00A53AD7" w14:paraId="3018E9BC"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123BBF3"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52EE19F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866" w:type="dxa"/>
            <w:tcBorders>
              <w:top w:val="nil"/>
              <w:left w:val="nil"/>
              <w:bottom w:val="single" w:sz="4" w:space="0" w:color="auto"/>
              <w:right w:val="single" w:sz="4" w:space="0" w:color="auto"/>
            </w:tcBorders>
            <w:shd w:val="clear" w:color="auto" w:fill="auto"/>
            <w:vAlign w:val="center"/>
            <w:hideMark/>
          </w:tcPr>
          <w:p w14:paraId="1366030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w:t>
            </w:r>
          </w:p>
        </w:tc>
        <w:tc>
          <w:tcPr>
            <w:tcW w:w="866" w:type="dxa"/>
            <w:tcBorders>
              <w:top w:val="nil"/>
              <w:left w:val="nil"/>
              <w:bottom w:val="single" w:sz="4" w:space="0" w:color="auto"/>
              <w:right w:val="single" w:sz="4" w:space="0" w:color="auto"/>
            </w:tcBorders>
            <w:shd w:val="clear" w:color="auto" w:fill="auto"/>
            <w:vAlign w:val="center"/>
            <w:hideMark/>
          </w:tcPr>
          <w:p w14:paraId="4B8EE5A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w:t>
            </w:r>
          </w:p>
        </w:tc>
        <w:tc>
          <w:tcPr>
            <w:tcW w:w="866" w:type="dxa"/>
            <w:tcBorders>
              <w:top w:val="nil"/>
              <w:left w:val="nil"/>
              <w:bottom w:val="single" w:sz="4" w:space="0" w:color="auto"/>
              <w:right w:val="single" w:sz="4" w:space="0" w:color="auto"/>
            </w:tcBorders>
            <w:shd w:val="clear" w:color="auto" w:fill="auto"/>
            <w:vAlign w:val="center"/>
            <w:hideMark/>
          </w:tcPr>
          <w:p w14:paraId="440C334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w:t>
            </w:r>
          </w:p>
        </w:tc>
        <w:tc>
          <w:tcPr>
            <w:tcW w:w="977" w:type="dxa"/>
            <w:tcBorders>
              <w:top w:val="nil"/>
              <w:left w:val="nil"/>
              <w:bottom w:val="single" w:sz="4" w:space="0" w:color="auto"/>
              <w:right w:val="single" w:sz="4" w:space="0" w:color="auto"/>
            </w:tcBorders>
            <w:shd w:val="clear" w:color="auto" w:fill="auto"/>
            <w:vAlign w:val="center"/>
            <w:hideMark/>
          </w:tcPr>
          <w:p w14:paraId="2317B97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c>
          <w:tcPr>
            <w:tcW w:w="866" w:type="dxa"/>
            <w:tcBorders>
              <w:top w:val="nil"/>
              <w:left w:val="nil"/>
              <w:bottom w:val="single" w:sz="4" w:space="0" w:color="auto"/>
              <w:right w:val="double" w:sz="4" w:space="0" w:color="auto"/>
            </w:tcBorders>
            <w:shd w:val="clear" w:color="auto" w:fill="auto"/>
            <w:vAlign w:val="center"/>
            <w:hideMark/>
          </w:tcPr>
          <w:p w14:paraId="60336E3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r>
      <w:tr w:rsidR="00A53AD7" w:rsidRPr="00A53AD7" w14:paraId="0DE175DB" w14:textId="77777777" w:rsidTr="00BD3FD3">
        <w:trPr>
          <w:trHeight w:val="510"/>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46CBA764"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 Количество организаций культуры, получивших современное оборудование (нарастающим итогом</w:t>
            </w:r>
          </w:p>
        </w:tc>
      </w:tr>
      <w:tr w:rsidR="00A53AD7" w:rsidRPr="00A53AD7" w14:paraId="62CC4125" w14:textId="77777777" w:rsidTr="00BD3FD3">
        <w:trPr>
          <w:trHeight w:val="510"/>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1D7313D3"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2018 году) в рамках реализации национального проекта «Культура»», ед., исполнитель министерство культуры</w:t>
            </w:r>
          </w:p>
        </w:tc>
      </w:tr>
      <w:tr w:rsidR="00A53AD7" w:rsidRPr="00A53AD7" w14:paraId="6AFB968B"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0EC0AD2"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0A68071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53E4A6F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05E53E2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468D0B8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2C00BCF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335F52E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6E836F8C"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50CB48A8"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21AF401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866" w:type="dxa"/>
            <w:tcBorders>
              <w:top w:val="nil"/>
              <w:left w:val="nil"/>
              <w:bottom w:val="single" w:sz="4" w:space="0" w:color="auto"/>
              <w:right w:val="single" w:sz="4" w:space="0" w:color="auto"/>
            </w:tcBorders>
            <w:shd w:val="clear" w:color="auto" w:fill="auto"/>
            <w:vAlign w:val="center"/>
            <w:hideMark/>
          </w:tcPr>
          <w:p w14:paraId="5B3B14F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866" w:type="dxa"/>
            <w:tcBorders>
              <w:top w:val="nil"/>
              <w:left w:val="nil"/>
              <w:bottom w:val="single" w:sz="4" w:space="0" w:color="auto"/>
              <w:right w:val="single" w:sz="4" w:space="0" w:color="auto"/>
            </w:tcBorders>
            <w:shd w:val="clear" w:color="auto" w:fill="auto"/>
            <w:vAlign w:val="center"/>
            <w:hideMark/>
          </w:tcPr>
          <w:p w14:paraId="049F1FD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866" w:type="dxa"/>
            <w:tcBorders>
              <w:top w:val="nil"/>
              <w:left w:val="nil"/>
              <w:bottom w:val="single" w:sz="4" w:space="0" w:color="auto"/>
              <w:right w:val="single" w:sz="4" w:space="0" w:color="auto"/>
            </w:tcBorders>
            <w:shd w:val="clear" w:color="auto" w:fill="auto"/>
            <w:vAlign w:val="center"/>
            <w:hideMark/>
          </w:tcPr>
          <w:p w14:paraId="67946C9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977" w:type="dxa"/>
            <w:tcBorders>
              <w:top w:val="nil"/>
              <w:left w:val="nil"/>
              <w:bottom w:val="single" w:sz="4" w:space="0" w:color="auto"/>
              <w:right w:val="single" w:sz="4" w:space="0" w:color="auto"/>
            </w:tcBorders>
            <w:shd w:val="clear" w:color="auto" w:fill="auto"/>
            <w:vAlign w:val="center"/>
            <w:hideMark/>
          </w:tcPr>
          <w:p w14:paraId="4416CAA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w:t>
            </w:r>
          </w:p>
        </w:tc>
        <w:tc>
          <w:tcPr>
            <w:tcW w:w="866" w:type="dxa"/>
            <w:tcBorders>
              <w:top w:val="nil"/>
              <w:left w:val="nil"/>
              <w:bottom w:val="single" w:sz="4" w:space="0" w:color="auto"/>
              <w:right w:val="double" w:sz="4" w:space="0" w:color="auto"/>
            </w:tcBorders>
            <w:shd w:val="clear" w:color="auto" w:fill="auto"/>
            <w:vAlign w:val="center"/>
            <w:hideMark/>
          </w:tcPr>
          <w:p w14:paraId="396839F0"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w:t>
            </w:r>
          </w:p>
        </w:tc>
      </w:tr>
      <w:tr w:rsidR="00A53AD7" w:rsidRPr="00A53AD7" w14:paraId="42932BCA"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435B3303"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1CC0DC5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866" w:type="dxa"/>
            <w:tcBorders>
              <w:top w:val="nil"/>
              <w:left w:val="nil"/>
              <w:bottom w:val="single" w:sz="4" w:space="0" w:color="auto"/>
              <w:right w:val="single" w:sz="4" w:space="0" w:color="auto"/>
            </w:tcBorders>
            <w:shd w:val="clear" w:color="auto" w:fill="auto"/>
            <w:vAlign w:val="center"/>
            <w:hideMark/>
          </w:tcPr>
          <w:p w14:paraId="2DD114A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866" w:type="dxa"/>
            <w:tcBorders>
              <w:top w:val="nil"/>
              <w:left w:val="nil"/>
              <w:bottom w:val="single" w:sz="4" w:space="0" w:color="auto"/>
              <w:right w:val="single" w:sz="4" w:space="0" w:color="auto"/>
            </w:tcBorders>
            <w:shd w:val="clear" w:color="auto" w:fill="auto"/>
            <w:vAlign w:val="center"/>
            <w:hideMark/>
          </w:tcPr>
          <w:p w14:paraId="4911FC7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866" w:type="dxa"/>
            <w:tcBorders>
              <w:top w:val="nil"/>
              <w:left w:val="nil"/>
              <w:bottom w:val="single" w:sz="4" w:space="0" w:color="auto"/>
              <w:right w:val="single" w:sz="4" w:space="0" w:color="auto"/>
            </w:tcBorders>
            <w:shd w:val="clear" w:color="auto" w:fill="auto"/>
            <w:vAlign w:val="center"/>
            <w:hideMark/>
          </w:tcPr>
          <w:p w14:paraId="521065F5"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977" w:type="dxa"/>
            <w:tcBorders>
              <w:top w:val="nil"/>
              <w:left w:val="nil"/>
              <w:bottom w:val="single" w:sz="4" w:space="0" w:color="auto"/>
              <w:right w:val="single" w:sz="4" w:space="0" w:color="auto"/>
            </w:tcBorders>
            <w:shd w:val="clear" w:color="auto" w:fill="auto"/>
            <w:vAlign w:val="center"/>
            <w:hideMark/>
          </w:tcPr>
          <w:p w14:paraId="5A244F5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w:t>
            </w:r>
          </w:p>
        </w:tc>
        <w:tc>
          <w:tcPr>
            <w:tcW w:w="866" w:type="dxa"/>
            <w:tcBorders>
              <w:top w:val="nil"/>
              <w:left w:val="nil"/>
              <w:bottom w:val="single" w:sz="4" w:space="0" w:color="auto"/>
              <w:right w:val="double" w:sz="4" w:space="0" w:color="auto"/>
            </w:tcBorders>
            <w:shd w:val="clear" w:color="auto" w:fill="auto"/>
            <w:vAlign w:val="center"/>
            <w:hideMark/>
          </w:tcPr>
          <w:p w14:paraId="3E0435D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w:t>
            </w:r>
          </w:p>
        </w:tc>
      </w:tr>
      <w:tr w:rsidR="00A53AD7" w:rsidRPr="00A53AD7" w14:paraId="5E836676" w14:textId="77777777" w:rsidTr="00BD3FD3">
        <w:trPr>
          <w:trHeight w:val="527"/>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2303A952"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«27. Увеличение числа посещений организаций культуры по отношению к 2017 году (нарастающим итогом) в рамках реализации национального проекта «Культура», %, исполнитель министерство культуры</w:t>
            </w:r>
          </w:p>
        </w:tc>
      </w:tr>
      <w:tr w:rsidR="00A53AD7" w:rsidRPr="00A53AD7" w14:paraId="3BF178C6"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71FE9521"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4EAC122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3A40D25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63D2E0B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2C04EA9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53A939B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1E18E40D"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39D99857"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39B32AA8"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297849F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06BB82B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866" w:type="dxa"/>
            <w:tcBorders>
              <w:top w:val="nil"/>
              <w:left w:val="nil"/>
              <w:bottom w:val="single" w:sz="4" w:space="0" w:color="auto"/>
              <w:right w:val="single" w:sz="4" w:space="0" w:color="auto"/>
            </w:tcBorders>
            <w:shd w:val="clear" w:color="auto" w:fill="auto"/>
            <w:vAlign w:val="center"/>
            <w:hideMark/>
          </w:tcPr>
          <w:p w14:paraId="62939B5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w:t>
            </w:r>
          </w:p>
        </w:tc>
        <w:tc>
          <w:tcPr>
            <w:tcW w:w="866" w:type="dxa"/>
            <w:tcBorders>
              <w:top w:val="nil"/>
              <w:left w:val="nil"/>
              <w:bottom w:val="single" w:sz="4" w:space="0" w:color="auto"/>
              <w:right w:val="single" w:sz="4" w:space="0" w:color="auto"/>
            </w:tcBorders>
            <w:shd w:val="clear" w:color="auto" w:fill="auto"/>
            <w:vAlign w:val="center"/>
            <w:hideMark/>
          </w:tcPr>
          <w:p w14:paraId="53BA92F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977" w:type="dxa"/>
            <w:tcBorders>
              <w:top w:val="nil"/>
              <w:left w:val="nil"/>
              <w:bottom w:val="single" w:sz="4" w:space="0" w:color="auto"/>
              <w:right w:val="single" w:sz="4" w:space="0" w:color="auto"/>
            </w:tcBorders>
            <w:shd w:val="clear" w:color="auto" w:fill="auto"/>
            <w:vAlign w:val="center"/>
            <w:hideMark/>
          </w:tcPr>
          <w:p w14:paraId="37A6244B"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w:t>
            </w:r>
          </w:p>
        </w:tc>
        <w:tc>
          <w:tcPr>
            <w:tcW w:w="866" w:type="dxa"/>
            <w:tcBorders>
              <w:top w:val="nil"/>
              <w:left w:val="nil"/>
              <w:bottom w:val="single" w:sz="4" w:space="0" w:color="auto"/>
              <w:right w:val="double" w:sz="4" w:space="0" w:color="auto"/>
            </w:tcBorders>
            <w:shd w:val="clear" w:color="auto" w:fill="auto"/>
            <w:vAlign w:val="center"/>
            <w:hideMark/>
          </w:tcPr>
          <w:p w14:paraId="7BCB1B0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r>
      <w:tr w:rsidR="00A53AD7" w:rsidRPr="00A53AD7" w14:paraId="6969067E"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6BB61A8B"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single" w:sz="4" w:space="0" w:color="auto"/>
              <w:right w:val="single" w:sz="4" w:space="0" w:color="auto"/>
            </w:tcBorders>
            <w:shd w:val="clear" w:color="auto" w:fill="auto"/>
            <w:vAlign w:val="center"/>
            <w:hideMark/>
          </w:tcPr>
          <w:p w14:paraId="442537A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66" w:type="dxa"/>
            <w:tcBorders>
              <w:top w:val="nil"/>
              <w:left w:val="nil"/>
              <w:bottom w:val="single" w:sz="4" w:space="0" w:color="auto"/>
              <w:right w:val="single" w:sz="4" w:space="0" w:color="auto"/>
            </w:tcBorders>
            <w:shd w:val="clear" w:color="auto" w:fill="auto"/>
            <w:vAlign w:val="center"/>
            <w:hideMark/>
          </w:tcPr>
          <w:p w14:paraId="62D44CD7"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866" w:type="dxa"/>
            <w:tcBorders>
              <w:top w:val="nil"/>
              <w:left w:val="nil"/>
              <w:bottom w:val="single" w:sz="4" w:space="0" w:color="auto"/>
              <w:right w:val="single" w:sz="4" w:space="0" w:color="auto"/>
            </w:tcBorders>
            <w:shd w:val="clear" w:color="auto" w:fill="auto"/>
            <w:vAlign w:val="center"/>
            <w:hideMark/>
          </w:tcPr>
          <w:p w14:paraId="0594D22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w:t>
            </w:r>
          </w:p>
        </w:tc>
        <w:tc>
          <w:tcPr>
            <w:tcW w:w="866" w:type="dxa"/>
            <w:tcBorders>
              <w:top w:val="nil"/>
              <w:left w:val="nil"/>
              <w:bottom w:val="single" w:sz="4" w:space="0" w:color="auto"/>
              <w:right w:val="single" w:sz="4" w:space="0" w:color="auto"/>
            </w:tcBorders>
            <w:shd w:val="clear" w:color="auto" w:fill="auto"/>
            <w:vAlign w:val="center"/>
            <w:hideMark/>
          </w:tcPr>
          <w:p w14:paraId="394E501F"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977" w:type="dxa"/>
            <w:tcBorders>
              <w:top w:val="nil"/>
              <w:left w:val="nil"/>
              <w:bottom w:val="single" w:sz="4" w:space="0" w:color="auto"/>
              <w:right w:val="single" w:sz="4" w:space="0" w:color="auto"/>
            </w:tcBorders>
            <w:shd w:val="clear" w:color="auto" w:fill="auto"/>
            <w:vAlign w:val="center"/>
            <w:hideMark/>
          </w:tcPr>
          <w:p w14:paraId="0C64931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w:t>
            </w:r>
          </w:p>
        </w:tc>
        <w:tc>
          <w:tcPr>
            <w:tcW w:w="866" w:type="dxa"/>
            <w:tcBorders>
              <w:top w:val="nil"/>
              <w:left w:val="nil"/>
              <w:bottom w:val="single" w:sz="4" w:space="0" w:color="auto"/>
              <w:right w:val="double" w:sz="4" w:space="0" w:color="auto"/>
            </w:tcBorders>
            <w:shd w:val="clear" w:color="auto" w:fill="auto"/>
            <w:vAlign w:val="center"/>
            <w:hideMark/>
          </w:tcPr>
          <w:p w14:paraId="096B034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r>
      <w:tr w:rsidR="00A53AD7" w:rsidRPr="00A53AD7" w14:paraId="738D2F7A" w14:textId="77777777" w:rsidTr="00BD3FD3">
        <w:trPr>
          <w:trHeight w:val="765"/>
        </w:trPr>
        <w:tc>
          <w:tcPr>
            <w:tcW w:w="9498"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D2AF1DA" w14:textId="77777777" w:rsidR="00CF472C" w:rsidRPr="00A53AD7" w:rsidRDefault="00CF472C" w:rsidP="006A339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28. Увеличение числа обращений к цифровым ресурсам культуры (нарастающим итогом к 2017 году) в рамках реализации национального проекта «Культура» ед., исполнитель министерство культуры</w:t>
            </w:r>
          </w:p>
        </w:tc>
      </w:tr>
      <w:tr w:rsidR="00A53AD7" w:rsidRPr="00A53AD7" w14:paraId="5ECD3AC9"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A63621F"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26.12.18 № 637-пп</w:t>
            </w:r>
          </w:p>
        </w:tc>
        <w:tc>
          <w:tcPr>
            <w:tcW w:w="946" w:type="dxa"/>
            <w:tcBorders>
              <w:top w:val="nil"/>
              <w:left w:val="nil"/>
              <w:bottom w:val="single" w:sz="4" w:space="0" w:color="auto"/>
              <w:right w:val="single" w:sz="4" w:space="0" w:color="auto"/>
            </w:tcBorders>
            <w:shd w:val="clear" w:color="auto" w:fill="auto"/>
            <w:vAlign w:val="center"/>
            <w:hideMark/>
          </w:tcPr>
          <w:p w14:paraId="21B7EA0C"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279A9D5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7192B0F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single" w:sz="4" w:space="0" w:color="auto"/>
            </w:tcBorders>
            <w:shd w:val="clear" w:color="auto" w:fill="auto"/>
            <w:vAlign w:val="center"/>
            <w:hideMark/>
          </w:tcPr>
          <w:p w14:paraId="239B49C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977" w:type="dxa"/>
            <w:tcBorders>
              <w:top w:val="nil"/>
              <w:left w:val="nil"/>
              <w:bottom w:val="single" w:sz="4" w:space="0" w:color="auto"/>
              <w:right w:val="single" w:sz="4" w:space="0" w:color="auto"/>
            </w:tcBorders>
            <w:shd w:val="clear" w:color="auto" w:fill="auto"/>
            <w:vAlign w:val="center"/>
            <w:hideMark/>
          </w:tcPr>
          <w:p w14:paraId="1769EF33"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66" w:type="dxa"/>
            <w:tcBorders>
              <w:top w:val="nil"/>
              <w:left w:val="nil"/>
              <w:bottom w:val="single" w:sz="4" w:space="0" w:color="auto"/>
              <w:right w:val="double" w:sz="4" w:space="0" w:color="auto"/>
            </w:tcBorders>
            <w:shd w:val="clear" w:color="auto" w:fill="auto"/>
            <w:vAlign w:val="center"/>
            <w:hideMark/>
          </w:tcPr>
          <w:p w14:paraId="560A28D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A53AD7" w:rsidRPr="00A53AD7" w14:paraId="706508BB" w14:textId="77777777" w:rsidTr="006A339D">
        <w:trPr>
          <w:trHeight w:hRule="exact" w:val="255"/>
        </w:trPr>
        <w:tc>
          <w:tcPr>
            <w:tcW w:w="4111" w:type="dxa"/>
            <w:tcBorders>
              <w:top w:val="nil"/>
              <w:left w:val="double" w:sz="4" w:space="0" w:color="auto"/>
              <w:bottom w:val="single" w:sz="4" w:space="0" w:color="auto"/>
              <w:right w:val="single" w:sz="4" w:space="0" w:color="auto"/>
            </w:tcBorders>
            <w:shd w:val="clear" w:color="auto" w:fill="auto"/>
            <w:vAlign w:val="center"/>
            <w:hideMark/>
          </w:tcPr>
          <w:p w14:paraId="02550ED5"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от 24.12.19 №739-пп</w:t>
            </w:r>
          </w:p>
        </w:tc>
        <w:tc>
          <w:tcPr>
            <w:tcW w:w="946" w:type="dxa"/>
            <w:tcBorders>
              <w:top w:val="nil"/>
              <w:left w:val="nil"/>
              <w:bottom w:val="single" w:sz="4" w:space="0" w:color="auto"/>
              <w:right w:val="single" w:sz="4" w:space="0" w:color="auto"/>
            </w:tcBorders>
            <w:shd w:val="clear" w:color="auto" w:fill="auto"/>
            <w:vAlign w:val="center"/>
            <w:hideMark/>
          </w:tcPr>
          <w:p w14:paraId="1426C4BE"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362,632</w:t>
            </w:r>
          </w:p>
        </w:tc>
        <w:tc>
          <w:tcPr>
            <w:tcW w:w="866" w:type="dxa"/>
            <w:tcBorders>
              <w:top w:val="nil"/>
              <w:left w:val="nil"/>
              <w:bottom w:val="single" w:sz="4" w:space="0" w:color="auto"/>
              <w:right w:val="single" w:sz="4" w:space="0" w:color="auto"/>
            </w:tcBorders>
            <w:shd w:val="clear" w:color="auto" w:fill="auto"/>
            <w:vAlign w:val="center"/>
            <w:hideMark/>
          </w:tcPr>
          <w:p w14:paraId="2E566BD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512,632</w:t>
            </w:r>
          </w:p>
        </w:tc>
        <w:tc>
          <w:tcPr>
            <w:tcW w:w="866" w:type="dxa"/>
            <w:tcBorders>
              <w:top w:val="nil"/>
              <w:left w:val="nil"/>
              <w:bottom w:val="single" w:sz="4" w:space="0" w:color="auto"/>
              <w:right w:val="single" w:sz="4" w:space="0" w:color="auto"/>
            </w:tcBorders>
            <w:shd w:val="clear" w:color="auto" w:fill="auto"/>
            <w:vAlign w:val="center"/>
            <w:hideMark/>
          </w:tcPr>
          <w:p w14:paraId="447303A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662,632</w:t>
            </w:r>
          </w:p>
        </w:tc>
        <w:tc>
          <w:tcPr>
            <w:tcW w:w="866" w:type="dxa"/>
            <w:tcBorders>
              <w:top w:val="nil"/>
              <w:left w:val="nil"/>
              <w:bottom w:val="single" w:sz="4" w:space="0" w:color="auto"/>
              <w:right w:val="single" w:sz="4" w:space="0" w:color="auto"/>
            </w:tcBorders>
            <w:shd w:val="clear" w:color="auto" w:fill="auto"/>
            <w:vAlign w:val="center"/>
            <w:hideMark/>
          </w:tcPr>
          <w:p w14:paraId="0B5FBF2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812,632</w:t>
            </w:r>
          </w:p>
        </w:tc>
        <w:tc>
          <w:tcPr>
            <w:tcW w:w="977" w:type="dxa"/>
            <w:tcBorders>
              <w:top w:val="nil"/>
              <w:left w:val="nil"/>
              <w:bottom w:val="single" w:sz="4" w:space="0" w:color="auto"/>
              <w:right w:val="single" w:sz="4" w:space="0" w:color="auto"/>
            </w:tcBorders>
            <w:shd w:val="clear" w:color="auto" w:fill="auto"/>
            <w:vAlign w:val="center"/>
            <w:hideMark/>
          </w:tcPr>
          <w:p w14:paraId="73356926"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962,632</w:t>
            </w:r>
          </w:p>
        </w:tc>
        <w:tc>
          <w:tcPr>
            <w:tcW w:w="866" w:type="dxa"/>
            <w:tcBorders>
              <w:top w:val="nil"/>
              <w:left w:val="nil"/>
              <w:bottom w:val="single" w:sz="4" w:space="0" w:color="auto"/>
              <w:right w:val="double" w:sz="4" w:space="0" w:color="auto"/>
            </w:tcBorders>
            <w:shd w:val="clear" w:color="auto" w:fill="auto"/>
            <w:vAlign w:val="center"/>
            <w:hideMark/>
          </w:tcPr>
          <w:p w14:paraId="630FCE2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1063,16</w:t>
            </w:r>
          </w:p>
        </w:tc>
      </w:tr>
      <w:tr w:rsidR="00CF472C" w:rsidRPr="00A53AD7" w14:paraId="4201C16D" w14:textId="77777777" w:rsidTr="006A339D">
        <w:trPr>
          <w:trHeight w:hRule="exact" w:val="255"/>
        </w:trPr>
        <w:tc>
          <w:tcPr>
            <w:tcW w:w="4111" w:type="dxa"/>
            <w:tcBorders>
              <w:top w:val="nil"/>
              <w:left w:val="double" w:sz="4" w:space="0" w:color="auto"/>
              <w:bottom w:val="double" w:sz="4" w:space="0" w:color="auto"/>
              <w:right w:val="single" w:sz="4" w:space="0" w:color="auto"/>
            </w:tcBorders>
            <w:shd w:val="clear" w:color="auto" w:fill="auto"/>
            <w:vAlign w:val="center"/>
            <w:hideMark/>
          </w:tcPr>
          <w:p w14:paraId="6F0CE837" w14:textId="77777777" w:rsidR="00CF472C" w:rsidRPr="00A53AD7" w:rsidRDefault="00CF472C" w:rsidP="00744D1E">
            <w:pPr>
              <w:spacing w:after="0" w:line="240" w:lineRule="auto"/>
              <w:jc w:val="both"/>
              <w:rPr>
                <w:rFonts w:ascii="Times New Roman" w:eastAsia="Times New Roman" w:hAnsi="Times New Roman"/>
                <w:lang w:eastAsia="ru-RU"/>
              </w:rPr>
            </w:pPr>
            <w:r w:rsidRPr="00A53AD7">
              <w:rPr>
                <w:rFonts w:ascii="Times New Roman" w:eastAsia="Times New Roman" w:hAnsi="Times New Roman"/>
                <w:lang w:eastAsia="ru-RU"/>
              </w:rPr>
              <w:t>Изменения</w:t>
            </w:r>
          </w:p>
        </w:tc>
        <w:tc>
          <w:tcPr>
            <w:tcW w:w="946" w:type="dxa"/>
            <w:tcBorders>
              <w:top w:val="nil"/>
              <w:left w:val="nil"/>
              <w:bottom w:val="double" w:sz="4" w:space="0" w:color="auto"/>
              <w:right w:val="single" w:sz="4" w:space="0" w:color="auto"/>
            </w:tcBorders>
            <w:shd w:val="clear" w:color="auto" w:fill="auto"/>
            <w:vAlign w:val="center"/>
            <w:hideMark/>
          </w:tcPr>
          <w:p w14:paraId="5D35709A"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362,632</w:t>
            </w:r>
          </w:p>
        </w:tc>
        <w:tc>
          <w:tcPr>
            <w:tcW w:w="866" w:type="dxa"/>
            <w:tcBorders>
              <w:top w:val="nil"/>
              <w:left w:val="nil"/>
              <w:bottom w:val="double" w:sz="4" w:space="0" w:color="auto"/>
              <w:right w:val="single" w:sz="4" w:space="0" w:color="auto"/>
            </w:tcBorders>
            <w:shd w:val="clear" w:color="auto" w:fill="auto"/>
            <w:vAlign w:val="center"/>
            <w:hideMark/>
          </w:tcPr>
          <w:p w14:paraId="662DB011"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512,632</w:t>
            </w:r>
          </w:p>
        </w:tc>
        <w:tc>
          <w:tcPr>
            <w:tcW w:w="866" w:type="dxa"/>
            <w:tcBorders>
              <w:top w:val="nil"/>
              <w:left w:val="nil"/>
              <w:bottom w:val="double" w:sz="4" w:space="0" w:color="auto"/>
              <w:right w:val="single" w:sz="4" w:space="0" w:color="auto"/>
            </w:tcBorders>
            <w:shd w:val="clear" w:color="auto" w:fill="auto"/>
            <w:vAlign w:val="center"/>
            <w:hideMark/>
          </w:tcPr>
          <w:p w14:paraId="01C85A24"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662,632</w:t>
            </w:r>
          </w:p>
        </w:tc>
        <w:tc>
          <w:tcPr>
            <w:tcW w:w="866" w:type="dxa"/>
            <w:tcBorders>
              <w:top w:val="nil"/>
              <w:left w:val="nil"/>
              <w:bottom w:val="double" w:sz="4" w:space="0" w:color="auto"/>
              <w:right w:val="single" w:sz="4" w:space="0" w:color="auto"/>
            </w:tcBorders>
            <w:shd w:val="clear" w:color="auto" w:fill="auto"/>
            <w:vAlign w:val="center"/>
            <w:hideMark/>
          </w:tcPr>
          <w:p w14:paraId="7E36C20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812,632</w:t>
            </w:r>
          </w:p>
        </w:tc>
        <w:tc>
          <w:tcPr>
            <w:tcW w:w="977" w:type="dxa"/>
            <w:tcBorders>
              <w:top w:val="nil"/>
              <w:left w:val="nil"/>
              <w:bottom w:val="double" w:sz="4" w:space="0" w:color="auto"/>
              <w:right w:val="single" w:sz="4" w:space="0" w:color="auto"/>
            </w:tcBorders>
            <w:shd w:val="clear" w:color="auto" w:fill="auto"/>
            <w:vAlign w:val="center"/>
            <w:hideMark/>
          </w:tcPr>
          <w:p w14:paraId="15BDCA02"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962,632</w:t>
            </w:r>
          </w:p>
        </w:tc>
        <w:tc>
          <w:tcPr>
            <w:tcW w:w="866" w:type="dxa"/>
            <w:tcBorders>
              <w:top w:val="nil"/>
              <w:left w:val="nil"/>
              <w:bottom w:val="double" w:sz="4" w:space="0" w:color="auto"/>
              <w:right w:val="double" w:sz="4" w:space="0" w:color="auto"/>
            </w:tcBorders>
            <w:shd w:val="clear" w:color="auto" w:fill="auto"/>
            <w:vAlign w:val="center"/>
            <w:hideMark/>
          </w:tcPr>
          <w:p w14:paraId="2CFB5BE9" w14:textId="77777777" w:rsidR="00CF472C" w:rsidRPr="00A53AD7" w:rsidRDefault="00CF472C" w:rsidP="00744D1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1063,16</w:t>
            </w:r>
          </w:p>
        </w:tc>
      </w:tr>
    </w:tbl>
    <w:p w14:paraId="0BFF15F4" w14:textId="77777777" w:rsidR="006A339D" w:rsidRPr="00A53AD7" w:rsidRDefault="006A339D" w:rsidP="006A339D">
      <w:pPr>
        <w:pStyle w:val="a8"/>
        <w:ind w:left="0" w:firstLine="851"/>
        <w:jc w:val="both"/>
        <w:rPr>
          <w:sz w:val="28"/>
          <w:szCs w:val="28"/>
        </w:rPr>
      </w:pPr>
    </w:p>
    <w:p w14:paraId="58664CE3" w14:textId="77777777" w:rsidR="00CF472C" w:rsidRPr="00A53AD7" w:rsidRDefault="00CF472C" w:rsidP="006A339D">
      <w:pPr>
        <w:pStyle w:val="a8"/>
        <w:ind w:left="0" w:firstLine="851"/>
        <w:jc w:val="both"/>
        <w:rPr>
          <w:sz w:val="28"/>
          <w:szCs w:val="28"/>
        </w:rPr>
      </w:pPr>
      <w:r w:rsidRPr="00A53AD7">
        <w:rPr>
          <w:sz w:val="28"/>
          <w:szCs w:val="28"/>
        </w:rPr>
        <w:t>Изменены следующие показатели:</w:t>
      </w:r>
    </w:p>
    <w:p w14:paraId="67A07595" w14:textId="6BD345F7" w:rsidR="00CF472C" w:rsidRPr="00A53AD7" w:rsidRDefault="006A339D" w:rsidP="00CA1DDD">
      <w:pPr>
        <w:pStyle w:val="a8"/>
        <w:numPr>
          <w:ilvl w:val="0"/>
          <w:numId w:val="29"/>
        </w:numPr>
        <w:ind w:left="0" w:firstLine="851"/>
        <w:jc w:val="both"/>
        <w:rPr>
          <w:sz w:val="28"/>
          <w:szCs w:val="28"/>
        </w:rPr>
      </w:pPr>
      <w:r w:rsidRPr="00A53AD7">
        <w:rPr>
          <w:sz w:val="28"/>
          <w:szCs w:val="28"/>
        </w:rPr>
        <w:t>Ц</w:t>
      </w:r>
      <w:r w:rsidR="00CF472C" w:rsidRPr="00A53AD7">
        <w:rPr>
          <w:sz w:val="28"/>
          <w:szCs w:val="28"/>
        </w:rPr>
        <w:t xml:space="preserve">елевой показатель «Количество объектов культуры, образования в сфере культуры, архивных учреждений и объектов туристской и обеспечивающей инфраструктуры, на которых осуществлено строительство, реконструкция, капитальный ремонт» - в 2019 году по министерству строительства и архитектуры Архангельской области увеличен показатель в связи с проведением реконструкции крыши культурно-досугового центра в пос. </w:t>
      </w:r>
      <w:r w:rsidR="000C0AD2" w:rsidRPr="00A53AD7">
        <w:rPr>
          <w:sz w:val="28"/>
          <w:szCs w:val="28"/>
        </w:rPr>
        <w:t>Березник Виноградовского района.</w:t>
      </w:r>
    </w:p>
    <w:p w14:paraId="11CBBC29" w14:textId="7D20F0F5" w:rsidR="00CF472C" w:rsidRPr="00A53AD7" w:rsidRDefault="000C0AD2" w:rsidP="00CA1DDD">
      <w:pPr>
        <w:pStyle w:val="a8"/>
        <w:numPr>
          <w:ilvl w:val="0"/>
          <w:numId w:val="29"/>
        </w:numPr>
        <w:ind w:left="0" w:firstLine="851"/>
        <w:jc w:val="both"/>
        <w:rPr>
          <w:sz w:val="28"/>
          <w:szCs w:val="28"/>
        </w:rPr>
      </w:pPr>
      <w:r w:rsidRPr="00A53AD7">
        <w:rPr>
          <w:sz w:val="28"/>
          <w:szCs w:val="28"/>
        </w:rPr>
        <w:t>Ц</w:t>
      </w:r>
      <w:r w:rsidR="00CF472C" w:rsidRPr="00A53AD7">
        <w:rPr>
          <w:sz w:val="28"/>
          <w:szCs w:val="28"/>
        </w:rPr>
        <w:t>елевой показатель «Увеличение численности граждан Российской Федерации, размещенных в коллективных средствах размещения Ар</w:t>
      </w:r>
      <w:r w:rsidR="00732536" w:rsidRPr="00A53AD7">
        <w:rPr>
          <w:sz w:val="28"/>
          <w:szCs w:val="28"/>
        </w:rPr>
        <w:t>хангельской области» с 388 тыс.</w:t>
      </w:r>
      <w:r w:rsidR="00CF472C" w:rsidRPr="00A53AD7">
        <w:rPr>
          <w:sz w:val="28"/>
          <w:szCs w:val="28"/>
        </w:rPr>
        <w:t xml:space="preserve">чел. </w:t>
      </w:r>
      <w:r w:rsidR="00732536" w:rsidRPr="00A53AD7">
        <w:rPr>
          <w:sz w:val="28"/>
          <w:szCs w:val="28"/>
        </w:rPr>
        <w:t>до 416,3 тыс.</w:t>
      </w:r>
      <w:r w:rsidR="00CF472C" w:rsidRPr="00A53AD7">
        <w:rPr>
          <w:sz w:val="28"/>
          <w:szCs w:val="28"/>
        </w:rPr>
        <w:t>чел., «Увеличение численности иностранных граждан, размещенных в коллективных средствах размещения Ар</w:t>
      </w:r>
      <w:r w:rsidR="00732536" w:rsidRPr="00A53AD7">
        <w:rPr>
          <w:sz w:val="28"/>
          <w:szCs w:val="28"/>
        </w:rPr>
        <w:t>хангельской области» с 7,7 тыс.</w:t>
      </w:r>
      <w:r w:rsidR="00CF472C" w:rsidRPr="00A53AD7">
        <w:rPr>
          <w:sz w:val="28"/>
          <w:szCs w:val="28"/>
        </w:rPr>
        <w:t xml:space="preserve">чел. до </w:t>
      </w:r>
      <w:r w:rsidR="00732536" w:rsidRPr="00A53AD7">
        <w:rPr>
          <w:sz w:val="28"/>
          <w:szCs w:val="28"/>
        </w:rPr>
        <w:t>9,7 тыс.</w:t>
      </w:r>
      <w:r w:rsidR="00CF472C" w:rsidRPr="00A53AD7">
        <w:rPr>
          <w:sz w:val="28"/>
          <w:szCs w:val="28"/>
        </w:rPr>
        <w:t>чел.</w:t>
      </w:r>
    </w:p>
    <w:p w14:paraId="4FFE1B01" w14:textId="3AFD10C9" w:rsidR="00CF472C" w:rsidRPr="00A53AD7" w:rsidRDefault="00CF472C" w:rsidP="00732536">
      <w:pPr>
        <w:pStyle w:val="a8"/>
        <w:ind w:left="0" w:firstLine="851"/>
        <w:jc w:val="both"/>
        <w:rPr>
          <w:sz w:val="28"/>
          <w:szCs w:val="28"/>
        </w:rPr>
      </w:pPr>
      <w:r w:rsidRPr="00A53AD7">
        <w:rPr>
          <w:sz w:val="28"/>
          <w:szCs w:val="28"/>
        </w:rPr>
        <w:t xml:space="preserve"> Данные изменения внесены в соответствии с показателями результативности, установленными в соглашении между Федеральным агентством по туризму и министерством культуры Архангельской области о предоставлении субсидий из федерального бюджета на софинансирование строительство (реконструкции) объектов обеспечивающей инфраструктуры с длительным сроком окупаемости, входящих в состав инвестиционных проектов по созданию в субъектах Российской</w:t>
      </w:r>
      <w:r w:rsidR="00732536" w:rsidRPr="00A53AD7">
        <w:rPr>
          <w:sz w:val="28"/>
          <w:szCs w:val="28"/>
        </w:rPr>
        <w:t xml:space="preserve"> Федерации туристских кластеров.</w:t>
      </w:r>
    </w:p>
    <w:p w14:paraId="625ED259" w14:textId="1EE71504" w:rsidR="00CF472C" w:rsidRPr="00A53AD7" w:rsidRDefault="005C69DA" w:rsidP="00CA1DDD">
      <w:pPr>
        <w:pStyle w:val="a8"/>
        <w:numPr>
          <w:ilvl w:val="0"/>
          <w:numId w:val="29"/>
        </w:numPr>
        <w:ind w:left="0" w:firstLine="851"/>
        <w:jc w:val="both"/>
        <w:rPr>
          <w:sz w:val="28"/>
          <w:szCs w:val="28"/>
        </w:rPr>
      </w:pPr>
      <w:r w:rsidRPr="00A53AD7">
        <w:rPr>
          <w:sz w:val="28"/>
          <w:szCs w:val="28"/>
        </w:rPr>
        <w:t>Ц</w:t>
      </w:r>
      <w:r w:rsidR="00CF472C" w:rsidRPr="00A53AD7">
        <w:rPr>
          <w:sz w:val="28"/>
          <w:szCs w:val="28"/>
        </w:rPr>
        <w:t>елевой показатель «Количество архивных документов (описей дел), переведенных в цифровой формат и внесенных в единую государственную информационную систему Архангельской области 18,2 тыс.ед. изменен на целевой показатель «Количество оборудованных рабочих мест для функционирования единой архивной информационной системы Архангельской области» - 4 единицы. Средства областного бюджета на реализацию данного мероприятия предоставляются в виде субсидий на иные цели ГАУ Архангельской области «Управление информационно-коммуникационных технологий Архангельской области», подведомственному министерству связи и информационных технологий, на приобретение оборудования для создания рабочих мест для функционирования единой архивной информационной системы Архангельской области.</w:t>
      </w:r>
    </w:p>
    <w:p w14:paraId="6AB88A21" w14:textId="77777777" w:rsidR="00CF472C" w:rsidRPr="00A53AD7" w:rsidRDefault="00CF472C" w:rsidP="005C69DA">
      <w:pPr>
        <w:pStyle w:val="a8"/>
        <w:ind w:left="0" w:firstLine="851"/>
        <w:jc w:val="both"/>
        <w:rPr>
          <w:sz w:val="28"/>
          <w:szCs w:val="28"/>
        </w:rPr>
      </w:pPr>
      <w:r w:rsidRPr="00A53AD7">
        <w:rPr>
          <w:sz w:val="28"/>
          <w:szCs w:val="28"/>
        </w:rPr>
        <w:t>Введены новые целевые показатели, установленные паспортом региональной составляющей национального проекта «Культура»:</w:t>
      </w:r>
    </w:p>
    <w:p w14:paraId="4498001C" w14:textId="4852682E"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 xml:space="preserve"> «Количество созданных (реконструированных) и капитально отремонтированных объектов организаций культуры (нарастающим итогом к 2018 году) в рамках реализации националь</w:t>
      </w:r>
      <w:r w:rsidR="0090623B" w:rsidRPr="00A53AD7">
        <w:rPr>
          <w:rFonts w:eastAsia="Calibri"/>
          <w:sz w:val="28"/>
          <w:szCs w:val="28"/>
          <w:lang w:eastAsia="en-US"/>
        </w:rPr>
        <w:t>ного проекта «Культура»;</w:t>
      </w:r>
    </w:p>
    <w:p w14:paraId="16491023" w14:textId="149C3C51"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«Увеличение числа обращений к цифровым ресурсам культуры по отношению к 2017 году в рамках реализации на</w:t>
      </w:r>
      <w:r w:rsidR="0090623B" w:rsidRPr="00A53AD7">
        <w:rPr>
          <w:rFonts w:eastAsia="Calibri"/>
          <w:sz w:val="28"/>
          <w:szCs w:val="28"/>
          <w:lang w:eastAsia="en-US"/>
        </w:rPr>
        <w:t>ционального проекта «Культура»;</w:t>
      </w:r>
    </w:p>
    <w:p w14:paraId="0BFCB9A7" w14:textId="7D3FCB1A"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«Увеличение числа посещений организаций культуры по отношению к 2017 году в рамках реализации н</w:t>
      </w:r>
      <w:r w:rsidR="0090623B" w:rsidRPr="00A53AD7">
        <w:rPr>
          <w:rFonts w:eastAsia="Calibri"/>
          <w:sz w:val="28"/>
          <w:szCs w:val="28"/>
          <w:lang w:eastAsia="en-US"/>
        </w:rPr>
        <w:t>ационального проекта «Культура»;</w:t>
      </w:r>
    </w:p>
    <w:p w14:paraId="796AF236" w14:textId="5745A973"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«Увеличение числа обращений к цифровым ресурсам культуры (нарастающим итогом к 2017 году) в рамках реализации н</w:t>
      </w:r>
      <w:r w:rsidR="0090623B" w:rsidRPr="00A53AD7">
        <w:rPr>
          <w:rFonts w:eastAsia="Calibri"/>
          <w:sz w:val="28"/>
          <w:szCs w:val="28"/>
          <w:lang w:eastAsia="en-US"/>
        </w:rPr>
        <w:t>ационального проекта «Культура».</w:t>
      </w:r>
    </w:p>
    <w:p w14:paraId="16DB0AD0" w14:textId="7749FE11" w:rsidR="00CF472C" w:rsidRPr="00A53AD7" w:rsidRDefault="00CF472C" w:rsidP="0090623B">
      <w:pPr>
        <w:pStyle w:val="a8"/>
        <w:ind w:left="0" w:firstLine="851"/>
        <w:jc w:val="both"/>
        <w:rPr>
          <w:sz w:val="28"/>
          <w:szCs w:val="28"/>
        </w:rPr>
      </w:pPr>
      <w:r w:rsidRPr="00A53AD7">
        <w:rPr>
          <w:sz w:val="28"/>
          <w:szCs w:val="28"/>
        </w:rPr>
        <w:t>Кроме этого, введен целевой показатель «Количество сканированных и индексированных архивных документов, внесенных в единую государственную информационную систему Архангельской области» (тыс. листов)</w:t>
      </w:r>
      <w:r w:rsidR="00E46634" w:rsidRPr="00A53AD7">
        <w:rPr>
          <w:sz w:val="28"/>
          <w:szCs w:val="28"/>
        </w:rPr>
        <w:t xml:space="preserve"> </w:t>
      </w:r>
      <w:r w:rsidRPr="00A53AD7">
        <w:rPr>
          <w:sz w:val="28"/>
          <w:szCs w:val="28"/>
        </w:rPr>
        <w:t>в рамках мероприятий региональной составляющей федерального проекта «Цифровое государственное управление».</w:t>
      </w:r>
    </w:p>
    <w:p w14:paraId="4666357E" w14:textId="77777777" w:rsidR="0090623B" w:rsidRPr="00A53AD7" w:rsidRDefault="0090623B" w:rsidP="0090623B">
      <w:pPr>
        <w:pStyle w:val="a8"/>
        <w:ind w:left="0" w:firstLine="851"/>
        <w:jc w:val="both"/>
        <w:rPr>
          <w:sz w:val="28"/>
          <w:szCs w:val="28"/>
        </w:rPr>
      </w:pPr>
    </w:p>
    <w:p w14:paraId="1ED38782" w14:textId="7201352B" w:rsidR="00CF472C" w:rsidRPr="00A53AD7" w:rsidRDefault="00CF472C" w:rsidP="0090623B">
      <w:pPr>
        <w:pStyle w:val="a8"/>
        <w:ind w:left="0" w:firstLine="851"/>
        <w:jc w:val="both"/>
        <w:rPr>
          <w:sz w:val="28"/>
          <w:szCs w:val="28"/>
        </w:rPr>
      </w:pPr>
      <w:r w:rsidRPr="00A53AD7">
        <w:rPr>
          <w:sz w:val="28"/>
          <w:szCs w:val="28"/>
        </w:rPr>
        <w:t>Согласно отчету о реализации мероприятий госпрограммы за 2019 год, размещенному в КИАС Архангельской области, годовые плановые назначения составляют 2 002,5 млн.руб., в т.ч. за счет федерального бюджета – 375,6 млн.руб., област</w:t>
      </w:r>
      <w:r w:rsidR="001C3E5D" w:rsidRPr="00A53AD7">
        <w:rPr>
          <w:sz w:val="28"/>
          <w:szCs w:val="28"/>
        </w:rPr>
        <w:t>ного бюджета – 1 626,9 млн.руб.</w:t>
      </w:r>
    </w:p>
    <w:p w14:paraId="34025713" w14:textId="41870EE8" w:rsidR="00CF472C" w:rsidRPr="00A53AD7" w:rsidRDefault="00CF472C" w:rsidP="0090623B">
      <w:pPr>
        <w:pStyle w:val="a8"/>
        <w:ind w:left="0" w:firstLine="851"/>
        <w:jc w:val="both"/>
        <w:rPr>
          <w:sz w:val="28"/>
          <w:szCs w:val="28"/>
        </w:rPr>
      </w:pPr>
      <w:r w:rsidRPr="00A53AD7">
        <w:rPr>
          <w:sz w:val="28"/>
          <w:szCs w:val="28"/>
        </w:rPr>
        <w:t>Исполнение мероприятий программы за 2019 год за счет федерального и областного бюджетов составило в общей сумме 1 990,3 мл</w:t>
      </w:r>
      <w:r w:rsidR="001C3E5D" w:rsidRPr="00A53AD7">
        <w:rPr>
          <w:sz w:val="28"/>
          <w:szCs w:val="28"/>
        </w:rPr>
        <w:t>н.руб. или 99,4 % к плану года.</w:t>
      </w:r>
    </w:p>
    <w:p w14:paraId="58D34D5E" w14:textId="77777777" w:rsidR="00CF472C" w:rsidRPr="00A53AD7" w:rsidRDefault="00CF472C" w:rsidP="0090623B">
      <w:pPr>
        <w:pStyle w:val="a8"/>
        <w:ind w:left="0" w:firstLine="851"/>
        <w:jc w:val="both"/>
        <w:rPr>
          <w:sz w:val="28"/>
          <w:szCs w:val="28"/>
        </w:rPr>
      </w:pPr>
      <w:r w:rsidRPr="00A53AD7">
        <w:rPr>
          <w:sz w:val="28"/>
          <w:szCs w:val="28"/>
        </w:rPr>
        <w:t>Информация об исполнении госпрограммы в разрезе исполнителей – главных распорядителей бюджетных средств за 2019 год представлена ниже:</w:t>
      </w:r>
    </w:p>
    <w:p w14:paraId="3D4BE458" w14:textId="09362FDA" w:rsidR="00CF472C" w:rsidRPr="00A53AD7" w:rsidRDefault="00CF472C" w:rsidP="001C3E5D">
      <w:pPr>
        <w:widowControl w:val="0"/>
        <w:autoSpaceDE w:val="0"/>
        <w:autoSpaceDN w:val="0"/>
        <w:spacing w:after="0" w:line="240" w:lineRule="auto"/>
        <w:jc w:val="right"/>
        <w:rPr>
          <w:rFonts w:ascii="Times New Roman" w:hAnsi="Times New Roman"/>
          <w:sz w:val="24"/>
          <w:szCs w:val="24"/>
        </w:rPr>
      </w:pPr>
      <w:r w:rsidRPr="00A53AD7">
        <w:rPr>
          <w:rFonts w:ascii="Times New Roman" w:hAnsi="Times New Roman"/>
          <w:sz w:val="24"/>
          <w:szCs w:val="24"/>
        </w:rPr>
        <w:t>млн.руб.</w:t>
      </w:r>
      <w:r w:rsidR="00E46634" w:rsidRPr="00A53AD7">
        <w:rPr>
          <w:rFonts w:ascii="Times New Roman" w:hAnsi="Times New Roman"/>
          <w:sz w:val="24"/>
          <w:szCs w:val="24"/>
        </w:rPr>
        <w:t xml:space="preserve"> </w:t>
      </w:r>
    </w:p>
    <w:tbl>
      <w:tblPr>
        <w:tblW w:w="9494" w:type="dxa"/>
        <w:tblInd w:w="-23" w:type="dxa"/>
        <w:tblLayout w:type="fixed"/>
        <w:tblLook w:val="04A0" w:firstRow="1" w:lastRow="0" w:firstColumn="1" w:lastColumn="0" w:noHBand="0" w:noVBand="1"/>
      </w:tblPr>
      <w:tblGrid>
        <w:gridCol w:w="4395"/>
        <w:gridCol w:w="1369"/>
        <w:gridCol w:w="1339"/>
        <w:gridCol w:w="1254"/>
        <w:gridCol w:w="1137"/>
      </w:tblGrid>
      <w:tr w:rsidR="00A53AD7" w:rsidRPr="00A53AD7" w14:paraId="120DC5C4" w14:textId="77777777" w:rsidTr="00295FA4">
        <w:trPr>
          <w:trHeight w:val="1324"/>
          <w:tblHeader/>
        </w:trPr>
        <w:tc>
          <w:tcPr>
            <w:tcW w:w="4395"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2383CB9A" w14:textId="77777777" w:rsidR="00CF472C" w:rsidRPr="00A53AD7" w:rsidRDefault="00CF472C" w:rsidP="00FE153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Исполнитель</w:t>
            </w:r>
          </w:p>
        </w:tc>
        <w:tc>
          <w:tcPr>
            <w:tcW w:w="1369" w:type="dxa"/>
            <w:tcBorders>
              <w:top w:val="double" w:sz="6" w:space="0" w:color="auto"/>
              <w:left w:val="nil"/>
              <w:bottom w:val="single" w:sz="4" w:space="0" w:color="auto"/>
              <w:right w:val="single" w:sz="4" w:space="0" w:color="auto"/>
            </w:tcBorders>
            <w:shd w:val="clear" w:color="000000" w:fill="FFFFFF"/>
            <w:vAlign w:val="center"/>
            <w:hideMark/>
          </w:tcPr>
          <w:p w14:paraId="12269F4D" w14:textId="12CCDEF3" w:rsidR="00CF472C" w:rsidRPr="00A53AD7" w:rsidRDefault="00CF472C" w:rsidP="00FE153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Утверждено на год</w:t>
            </w:r>
          </w:p>
          <w:p w14:paraId="6EBA03F8" w14:textId="0FCBA6DB" w:rsidR="00CF472C" w:rsidRPr="00A53AD7" w:rsidRDefault="00CF472C" w:rsidP="00FE153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 ред</w:t>
            </w:r>
            <w:r w:rsidR="00FE153D" w:rsidRPr="00A53AD7">
              <w:rPr>
                <w:rFonts w:ascii="Times New Roman" w:eastAsia="Times New Roman" w:hAnsi="Times New Roman"/>
                <w:lang w:eastAsia="ru-RU"/>
              </w:rPr>
              <w:t>.</w:t>
            </w:r>
            <w:r w:rsidRPr="00A53AD7">
              <w:rPr>
                <w:rFonts w:ascii="Times New Roman" w:eastAsia="Times New Roman" w:hAnsi="Times New Roman"/>
                <w:lang w:eastAsia="ru-RU"/>
              </w:rPr>
              <w:t xml:space="preserve"> 13.12.2019 № 189-13-ОЗ)</w:t>
            </w:r>
          </w:p>
        </w:tc>
        <w:tc>
          <w:tcPr>
            <w:tcW w:w="1339" w:type="dxa"/>
            <w:tcBorders>
              <w:top w:val="double" w:sz="6" w:space="0" w:color="auto"/>
              <w:left w:val="nil"/>
              <w:bottom w:val="single" w:sz="4" w:space="0" w:color="auto"/>
              <w:right w:val="single" w:sz="4" w:space="0" w:color="auto"/>
            </w:tcBorders>
            <w:shd w:val="clear" w:color="auto" w:fill="auto"/>
            <w:vAlign w:val="center"/>
            <w:hideMark/>
          </w:tcPr>
          <w:p w14:paraId="7137275E" w14:textId="5891DD61" w:rsidR="00CF472C" w:rsidRPr="00A53AD7" w:rsidRDefault="00CF472C" w:rsidP="00FE153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Уточненная сводная бюджетная роспись на 2019 год</w:t>
            </w:r>
          </w:p>
        </w:tc>
        <w:tc>
          <w:tcPr>
            <w:tcW w:w="1254" w:type="dxa"/>
            <w:tcBorders>
              <w:top w:val="double" w:sz="6" w:space="0" w:color="auto"/>
              <w:left w:val="nil"/>
              <w:bottom w:val="single" w:sz="4" w:space="0" w:color="auto"/>
              <w:right w:val="single" w:sz="4" w:space="0" w:color="auto"/>
            </w:tcBorders>
            <w:shd w:val="clear" w:color="auto" w:fill="auto"/>
            <w:vAlign w:val="center"/>
            <w:hideMark/>
          </w:tcPr>
          <w:p w14:paraId="6BEE3F1A" w14:textId="6EE6A88E" w:rsidR="00CF472C" w:rsidRPr="00A53AD7" w:rsidRDefault="00CF472C" w:rsidP="00FE153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w:t>
            </w:r>
          </w:p>
        </w:tc>
        <w:tc>
          <w:tcPr>
            <w:tcW w:w="1137" w:type="dxa"/>
            <w:tcBorders>
              <w:top w:val="double" w:sz="6" w:space="0" w:color="auto"/>
              <w:left w:val="nil"/>
              <w:bottom w:val="single" w:sz="4" w:space="0" w:color="auto"/>
              <w:right w:val="double" w:sz="6" w:space="0" w:color="auto"/>
            </w:tcBorders>
            <w:shd w:val="clear" w:color="auto" w:fill="auto"/>
            <w:vAlign w:val="center"/>
            <w:hideMark/>
          </w:tcPr>
          <w:p w14:paraId="2DF7AF53" w14:textId="6BED6599" w:rsidR="00CF472C" w:rsidRPr="00A53AD7" w:rsidRDefault="000916E1" w:rsidP="000916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и</w:t>
            </w:r>
            <w:r w:rsidR="00CF472C" w:rsidRPr="00A53AD7">
              <w:rPr>
                <w:rFonts w:ascii="Times New Roman" w:eastAsia="Times New Roman" w:hAnsi="Times New Roman"/>
                <w:lang w:eastAsia="ru-RU"/>
              </w:rPr>
              <w:t>сполнен</w:t>
            </w:r>
            <w:r w:rsidRPr="00A53AD7">
              <w:rPr>
                <w:rFonts w:ascii="Times New Roman" w:eastAsia="Times New Roman" w:hAnsi="Times New Roman"/>
                <w:lang w:eastAsia="ru-RU"/>
              </w:rPr>
              <w:t>ия</w:t>
            </w:r>
          </w:p>
        </w:tc>
      </w:tr>
      <w:tr w:rsidR="00A53AD7" w:rsidRPr="00A53AD7" w14:paraId="5F914D2B" w14:textId="77777777" w:rsidTr="00295FA4">
        <w:trPr>
          <w:trHeight w:hRule="exact" w:val="255"/>
        </w:trPr>
        <w:tc>
          <w:tcPr>
            <w:tcW w:w="4395" w:type="dxa"/>
            <w:tcBorders>
              <w:top w:val="nil"/>
              <w:left w:val="double" w:sz="6" w:space="0" w:color="auto"/>
              <w:bottom w:val="single" w:sz="4" w:space="0" w:color="auto"/>
              <w:right w:val="single" w:sz="4" w:space="0" w:color="auto"/>
            </w:tcBorders>
            <w:shd w:val="clear" w:color="auto" w:fill="auto"/>
            <w:noWrap/>
            <w:vAlign w:val="center"/>
            <w:hideMark/>
          </w:tcPr>
          <w:p w14:paraId="3568B60A"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 в том числе</w:t>
            </w:r>
          </w:p>
        </w:tc>
        <w:tc>
          <w:tcPr>
            <w:tcW w:w="1369" w:type="dxa"/>
            <w:tcBorders>
              <w:top w:val="nil"/>
              <w:left w:val="nil"/>
              <w:bottom w:val="single" w:sz="4" w:space="0" w:color="auto"/>
              <w:right w:val="single" w:sz="4" w:space="0" w:color="auto"/>
            </w:tcBorders>
            <w:shd w:val="clear" w:color="auto" w:fill="auto"/>
            <w:noWrap/>
            <w:vAlign w:val="bottom"/>
            <w:hideMark/>
          </w:tcPr>
          <w:p w14:paraId="0D1C5C34"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1 992,5</w:t>
            </w:r>
          </w:p>
        </w:tc>
        <w:tc>
          <w:tcPr>
            <w:tcW w:w="1339" w:type="dxa"/>
            <w:tcBorders>
              <w:top w:val="nil"/>
              <w:left w:val="nil"/>
              <w:bottom w:val="single" w:sz="4" w:space="0" w:color="auto"/>
              <w:right w:val="single" w:sz="4" w:space="0" w:color="auto"/>
            </w:tcBorders>
            <w:shd w:val="clear" w:color="auto" w:fill="auto"/>
            <w:noWrap/>
            <w:vAlign w:val="bottom"/>
            <w:hideMark/>
          </w:tcPr>
          <w:p w14:paraId="1409DDB5"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2 002,5</w:t>
            </w:r>
          </w:p>
        </w:tc>
        <w:tc>
          <w:tcPr>
            <w:tcW w:w="1254" w:type="dxa"/>
            <w:tcBorders>
              <w:top w:val="nil"/>
              <w:left w:val="nil"/>
              <w:bottom w:val="single" w:sz="4" w:space="0" w:color="auto"/>
              <w:right w:val="single" w:sz="4" w:space="0" w:color="auto"/>
            </w:tcBorders>
            <w:shd w:val="clear" w:color="auto" w:fill="auto"/>
            <w:noWrap/>
            <w:vAlign w:val="bottom"/>
            <w:hideMark/>
          </w:tcPr>
          <w:p w14:paraId="598B1FAD"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1 990,3</w:t>
            </w:r>
          </w:p>
        </w:tc>
        <w:tc>
          <w:tcPr>
            <w:tcW w:w="1137" w:type="dxa"/>
            <w:tcBorders>
              <w:top w:val="nil"/>
              <w:left w:val="nil"/>
              <w:bottom w:val="single" w:sz="4" w:space="0" w:color="auto"/>
              <w:right w:val="double" w:sz="6" w:space="0" w:color="auto"/>
            </w:tcBorders>
            <w:shd w:val="clear" w:color="auto" w:fill="auto"/>
            <w:noWrap/>
            <w:vAlign w:val="bottom"/>
            <w:hideMark/>
          </w:tcPr>
          <w:p w14:paraId="494B0F28"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99,4</w:t>
            </w:r>
          </w:p>
        </w:tc>
      </w:tr>
      <w:tr w:rsidR="00A53AD7" w:rsidRPr="00A53AD7" w14:paraId="748D983A" w14:textId="77777777" w:rsidTr="00295FA4">
        <w:trPr>
          <w:trHeight w:hRule="exact" w:val="255"/>
        </w:trPr>
        <w:tc>
          <w:tcPr>
            <w:tcW w:w="4395" w:type="dxa"/>
            <w:tcBorders>
              <w:top w:val="nil"/>
              <w:left w:val="double" w:sz="6" w:space="0" w:color="auto"/>
              <w:bottom w:val="single" w:sz="4" w:space="0" w:color="auto"/>
              <w:right w:val="single" w:sz="4" w:space="0" w:color="auto"/>
            </w:tcBorders>
            <w:shd w:val="clear" w:color="auto" w:fill="auto"/>
            <w:noWrap/>
            <w:vAlign w:val="center"/>
            <w:hideMark/>
          </w:tcPr>
          <w:p w14:paraId="644A4A14"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строительства и архитектуры</w:t>
            </w:r>
          </w:p>
        </w:tc>
        <w:tc>
          <w:tcPr>
            <w:tcW w:w="1369" w:type="dxa"/>
            <w:tcBorders>
              <w:top w:val="nil"/>
              <w:left w:val="nil"/>
              <w:bottom w:val="single" w:sz="4" w:space="0" w:color="auto"/>
              <w:right w:val="single" w:sz="4" w:space="0" w:color="auto"/>
            </w:tcBorders>
            <w:shd w:val="clear" w:color="auto" w:fill="auto"/>
            <w:noWrap/>
            <w:vAlign w:val="bottom"/>
            <w:hideMark/>
          </w:tcPr>
          <w:p w14:paraId="1108CAD8"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39,7</w:t>
            </w:r>
          </w:p>
        </w:tc>
        <w:tc>
          <w:tcPr>
            <w:tcW w:w="1339" w:type="dxa"/>
            <w:tcBorders>
              <w:top w:val="nil"/>
              <w:left w:val="nil"/>
              <w:bottom w:val="single" w:sz="4" w:space="0" w:color="auto"/>
              <w:right w:val="single" w:sz="4" w:space="0" w:color="auto"/>
            </w:tcBorders>
            <w:shd w:val="clear" w:color="auto" w:fill="auto"/>
            <w:noWrap/>
            <w:vAlign w:val="bottom"/>
            <w:hideMark/>
          </w:tcPr>
          <w:p w14:paraId="195A7153"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39,7</w:t>
            </w:r>
          </w:p>
        </w:tc>
        <w:tc>
          <w:tcPr>
            <w:tcW w:w="1254" w:type="dxa"/>
            <w:tcBorders>
              <w:top w:val="nil"/>
              <w:left w:val="nil"/>
              <w:bottom w:val="single" w:sz="4" w:space="0" w:color="auto"/>
              <w:right w:val="single" w:sz="4" w:space="0" w:color="auto"/>
            </w:tcBorders>
            <w:shd w:val="clear" w:color="auto" w:fill="auto"/>
            <w:noWrap/>
            <w:vAlign w:val="bottom"/>
            <w:hideMark/>
          </w:tcPr>
          <w:p w14:paraId="3DBA411D"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39,7</w:t>
            </w:r>
          </w:p>
        </w:tc>
        <w:tc>
          <w:tcPr>
            <w:tcW w:w="1137" w:type="dxa"/>
            <w:tcBorders>
              <w:top w:val="nil"/>
              <w:left w:val="nil"/>
              <w:bottom w:val="single" w:sz="4" w:space="0" w:color="auto"/>
              <w:right w:val="double" w:sz="6" w:space="0" w:color="auto"/>
            </w:tcBorders>
            <w:shd w:val="clear" w:color="auto" w:fill="auto"/>
            <w:noWrap/>
            <w:vAlign w:val="bottom"/>
            <w:hideMark/>
          </w:tcPr>
          <w:p w14:paraId="2D60C5B6"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A53AD7" w:rsidRPr="00A53AD7" w14:paraId="3345FD68" w14:textId="77777777" w:rsidTr="00FE153D">
        <w:trPr>
          <w:trHeight w:val="300"/>
        </w:trPr>
        <w:tc>
          <w:tcPr>
            <w:tcW w:w="4395" w:type="dxa"/>
            <w:tcBorders>
              <w:top w:val="nil"/>
              <w:left w:val="double" w:sz="6" w:space="0" w:color="auto"/>
              <w:bottom w:val="single" w:sz="4" w:space="0" w:color="auto"/>
              <w:right w:val="single" w:sz="4" w:space="0" w:color="auto"/>
            </w:tcBorders>
            <w:shd w:val="clear" w:color="auto" w:fill="auto"/>
            <w:noWrap/>
            <w:vAlign w:val="center"/>
            <w:hideMark/>
          </w:tcPr>
          <w:p w14:paraId="7715E35A"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Инспекция по охране объектов культурного наследия</w:t>
            </w:r>
          </w:p>
        </w:tc>
        <w:tc>
          <w:tcPr>
            <w:tcW w:w="1369" w:type="dxa"/>
            <w:tcBorders>
              <w:top w:val="nil"/>
              <w:left w:val="nil"/>
              <w:bottom w:val="single" w:sz="4" w:space="0" w:color="auto"/>
              <w:right w:val="single" w:sz="4" w:space="0" w:color="auto"/>
            </w:tcBorders>
            <w:shd w:val="clear" w:color="auto" w:fill="auto"/>
            <w:noWrap/>
            <w:vAlign w:val="bottom"/>
            <w:hideMark/>
          </w:tcPr>
          <w:p w14:paraId="1DBFDE52"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69,7</w:t>
            </w:r>
          </w:p>
        </w:tc>
        <w:tc>
          <w:tcPr>
            <w:tcW w:w="1339" w:type="dxa"/>
            <w:tcBorders>
              <w:top w:val="nil"/>
              <w:left w:val="nil"/>
              <w:bottom w:val="single" w:sz="4" w:space="0" w:color="auto"/>
              <w:right w:val="single" w:sz="4" w:space="0" w:color="auto"/>
            </w:tcBorders>
            <w:shd w:val="clear" w:color="auto" w:fill="auto"/>
            <w:noWrap/>
            <w:vAlign w:val="bottom"/>
            <w:hideMark/>
          </w:tcPr>
          <w:p w14:paraId="64C0B58C"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69,7</w:t>
            </w:r>
          </w:p>
        </w:tc>
        <w:tc>
          <w:tcPr>
            <w:tcW w:w="1254" w:type="dxa"/>
            <w:tcBorders>
              <w:top w:val="nil"/>
              <w:left w:val="nil"/>
              <w:bottom w:val="single" w:sz="4" w:space="0" w:color="auto"/>
              <w:right w:val="single" w:sz="4" w:space="0" w:color="auto"/>
            </w:tcBorders>
            <w:shd w:val="clear" w:color="auto" w:fill="auto"/>
            <w:noWrap/>
            <w:vAlign w:val="bottom"/>
            <w:hideMark/>
          </w:tcPr>
          <w:p w14:paraId="500199D2"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67,6</w:t>
            </w:r>
          </w:p>
        </w:tc>
        <w:tc>
          <w:tcPr>
            <w:tcW w:w="1137" w:type="dxa"/>
            <w:tcBorders>
              <w:top w:val="nil"/>
              <w:left w:val="nil"/>
              <w:bottom w:val="single" w:sz="4" w:space="0" w:color="auto"/>
              <w:right w:val="double" w:sz="6" w:space="0" w:color="auto"/>
            </w:tcBorders>
            <w:shd w:val="clear" w:color="auto" w:fill="auto"/>
            <w:noWrap/>
            <w:vAlign w:val="bottom"/>
            <w:hideMark/>
          </w:tcPr>
          <w:p w14:paraId="6876DE96"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96,9</w:t>
            </w:r>
          </w:p>
        </w:tc>
      </w:tr>
      <w:tr w:rsidR="00A53AD7" w:rsidRPr="00A53AD7" w14:paraId="098950E2" w14:textId="77777777" w:rsidTr="00295FA4">
        <w:trPr>
          <w:trHeight w:hRule="exact" w:val="255"/>
        </w:trPr>
        <w:tc>
          <w:tcPr>
            <w:tcW w:w="4395" w:type="dxa"/>
            <w:tcBorders>
              <w:top w:val="nil"/>
              <w:left w:val="double" w:sz="6" w:space="0" w:color="auto"/>
              <w:bottom w:val="single" w:sz="4" w:space="0" w:color="auto"/>
              <w:right w:val="single" w:sz="4" w:space="0" w:color="auto"/>
            </w:tcBorders>
            <w:shd w:val="clear" w:color="auto" w:fill="auto"/>
            <w:noWrap/>
            <w:vAlign w:val="center"/>
            <w:hideMark/>
          </w:tcPr>
          <w:p w14:paraId="1F173B40"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культуры</w:t>
            </w:r>
          </w:p>
        </w:tc>
        <w:tc>
          <w:tcPr>
            <w:tcW w:w="1369" w:type="dxa"/>
            <w:tcBorders>
              <w:top w:val="nil"/>
              <w:left w:val="nil"/>
              <w:bottom w:val="single" w:sz="4" w:space="0" w:color="auto"/>
              <w:right w:val="single" w:sz="4" w:space="0" w:color="auto"/>
            </w:tcBorders>
            <w:shd w:val="clear" w:color="auto" w:fill="auto"/>
            <w:noWrap/>
            <w:vAlign w:val="bottom"/>
            <w:hideMark/>
          </w:tcPr>
          <w:p w14:paraId="5948D021"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1 523,4</w:t>
            </w:r>
          </w:p>
        </w:tc>
        <w:tc>
          <w:tcPr>
            <w:tcW w:w="1339" w:type="dxa"/>
            <w:tcBorders>
              <w:top w:val="nil"/>
              <w:left w:val="nil"/>
              <w:bottom w:val="single" w:sz="4" w:space="0" w:color="auto"/>
              <w:right w:val="single" w:sz="4" w:space="0" w:color="auto"/>
            </w:tcBorders>
            <w:shd w:val="clear" w:color="auto" w:fill="auto"/>
            <w:noWrap/>
            <w:vAlign w:val="bottom"/>
            <w:hideMark/>
          </w:tcPr>
          <w:p w14:paraId="59655F93"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1 533,4</w:t>
            </w:r>
          </w:p>
        </w:tc>
        <w:tc>
          <w:tcPr>
            <w:tcW w:w="1254" w:type="dxa"/>
            <w:tcBorders>
              <w:top w:val="nil"/>
              <w:left w:val="nil"/>
              <w:bottom w:val="single" w:sz="4" w:space="0" w:color="auto"/>
              <w:right w:val="single" w:sz="4" w:space="0" w:color="auto"/>
            </w:tcBorders>
            <w:shd w:val="clear" w:color="auto" w:fill="auto"/>
            <w:noWrap/>
            <w:vAlign w:val="bottom"/>
            <w:hideMark/>
          </w:tcPr>
          <w:p w14:paraId="21105F39"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1 523,4</w:t>
            </w:r>
          </w:p>
        </w:tc>
        <w:tc>
          <w:tcPr>
            <w:tcW w:w="1137" w:type="dxa"/>
            <w:tcBorders>
              <w:top w:val="nil"/>
              <w:left w:val="nil"/>
              <w:bottom w:val="single" w:sz="4" w:space="0" w:color="auto"/>
              <w:right w:val="double" w:sz="6" w:space="0" w:color="auto"/>
            </w:tcBorders>
            <w:shd w:val="clear" w:color="auto" w:fill="auto"/>
            <w:noWrap/>
            <w:vAlign w:val="bottom"/>
            <w:hideMark/>
          </w:tcPr>
          <w:p w14:paraId="0C21D8DD"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r>
      <w:tr w:rsidR="00A53AD7" w:rsidRPr="00A53AD7" w14:paraId="777544CC" w14:textId="77777777" w:rsidTr="00FE153D">
        <w:trPr>
          <w:trHeight w:val="300"/>
        </w:trPr>
        <w:tc>
          <w:tcPr>
            <w:tcW w:w="4395" w:type="dxa"/>
            <w:tcBorders>
              <w:top w:val="nil"/>
              <w:left w:val="double" w:sz="6" w:space="0" w:color="auto"/>
              <w:bottom w:val="single" w:sz="4" w:space="0" w:color="auto"/>
              <w:right w:val="single" w:sz="4" w:space="0" w:color="auto"/>
            </w:tcBorders>
            <w:shd w:val="clear" w:color="auto" w:fill="auto"/>
            <w:noWrap/>
            <w:vAlign w:val="center"/>
            <w:hideMark/>
          </w:tcPr>
          <w:p w14:paraId="73F0A339"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Министерство связи и информационных технологий </w:t>
            </w:r>
          </w:p>
        </w:tc>
        <w:tc>
          <w:tcPr>
            <w:tcW w:w="1369" w:type="dxa"/>
            <w:tcBorders>
              <w:top w:val="nil"/>
              <w:left w:val="nil"/>
              <w:bottom w:val="single" w:sz="4" w:space="0" w:color="auto"/>
              <w:right w:val="single" w:sz="4" w:space="0" w:color="auto"/>
            </w:tcBorders>
            <w:shd w:val="clear" w:color="auto" w:fill="auto"/>
            <w:noWrap/>
            <w:vAlign w:val="bottom"/>
            <w:hideMark/>
          </w:tcPr>
          <w:p w14:paraId="71B2B997"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34,0</w:t>
            </w:r>
          </w:p>
        </w:tc>
        <w:tc>
          <w:tcPr>
            <w:tcW w:w="1339" w:type="dxa"/>
            <w:tcBorders>
              <w:top w:val="nil"/>
              <w:left w:val="nil"/>
              <w:bottom w:val="single" w:sz="4" w:space="0" w:color="auto"/>
              <w:right w:val="single" w:sz="4" w:space="0" w:color="auto"/>
            </w:tcBorders>
            <w:shd w:val="clear" w:color="auto" w:fill="auto"/>
            <w:noWrap/>
            <w:vAlign w:val="bottom"/>
            <w:hideMark/>
          </w:tcPr>
          <w:p w14:paraId="7086C7AB"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34,0</w:t>
            </w:r>
          </w:p>
        </w:tc>
        <w:tc>
          <w:tcPr>
            <w:tcW w:w="1254" w:type="dxa"/>
            <w:tcBorders>
              <w:top w:val="nil"/>
              <w:left w:val="nil"/>
              <w:bottom w:val="single" w:sz="4" w:space="0" w:color="auto"/>
              <w:right w:val="single" w:sz="4" w:space="0" w:color="auto"/>
            </w:tcBorders>
            <w:shd w:val="clear" w:color="auto" w:fill="auto"/>
            <w:noWrap/>
            <w:vAlign w:val="bottom"/>
            <w:hideMark/>
          </w:tcPr>
          <w:p w14:paraId="7DA6E806"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34,0</w:t>
            </w:r>
          </w:p>
        </w:tc>
        <w:tc>
          <w:tcPr>
            <w:tcW w:w="1137" w:type="dxa"/>
            <w:tcBorders>
              <w:top w:val="nil"/>
              <w:left w:val="nil"/>
              <w:bottom w:val="single" w:sz="4" w:space="0" w:color="auto"/>
              <w:right w:val="double" w:sz="6" w:space="0" w:color="auto"/>
            </w:tcBorders>
            <w:shd w:val="clear" w:color="auto" w:fill="auto"/>
            <w:noWrap/>
            <w:vAlign w:val="bottom"/>
            <w:hideMark/>
          </w:tcPr>
          <w:p w14:paraId="07202698"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CF472C" w:rsidRPr="00A53AD7" w14:paraId="4ADC6856" w14:textId="77777777" w:rsidTr="00295FA4">
        <w:trPr>
          <w:trHeight w:hRule="exact" w:val="255"/>
        </w:trPr>
        <w:tc>
          <w:tcPr>
            <w:tcW w:w="4395" w:type="dxa"/>
            <w:tcBorders>
              <w:top w:val="nil"/>
              <w:left w:val="double" w:sz="6" w:space="0" w:color="auto"/>
              <w:bottom w:val="double" w:sz="6" w:space="0" w:color="auto"/>
              <w:right w:val="single" w:sz="4" w:space="0" w:color="auto"/>
            </w:tcBorders>
            <w:shd w:val="clear" w:color="auto" w:fill="auto"/>
            <w:noWrap/>
            <w:vAlign w:val="center"/>
            <w:hideMark/>
          </w:tcPr>
          <w:p w14:paraId="68DD2D0F" w14:textId="77777777" w:rsidR="00CF472C" w:rsidRPr="00A53AD7" w:rsidRDefault="00CF472C" w:rsidP="00295FA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Министерство транспорта </w:t>
            </w:r>
          </w:p>
        </w:tc>
        <w:tc>
          <w:tcPr>
            <w:tcW w:w="1369" w:type="dxa"/>
            <w:tcBorders>
              <w:top w:val="nil"/>
              <w:left w:val="nil"/>
              <w:bottom w:val="double" w:sz="6" w:space="0" w:color="auto"/>
              <w:right w:val="single" w:sz="4" w:space="0" w:color="auto"/>
            </w:tcBorders>
            <w:shd w:val="clear" w:color="auto" w:fill="auto"/>
            <w:noWrap/>
            <w:vAlign w:val="bottom"/>
            <w:hideMark/>
          </w:tcPr>
          <w:p w14:paraId="08168879"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325,7</w:t>
            </w:r>
          </w:p>
        </w:tc>
        <w:tc>
          <w:tcPr>
            <w:tcW w:w="1339" w:type="dxa"/>
            <w:tcBorders>
              <w:top w:val="nil"/>
              <w:left w:val="nil"/>
              <w:bottom w:val="double" w:sz="6" w:space="0" w:color="auto"/>
              <w:right w:val="single" w:sz="4" w:space="0" w:color="auto"/>
            </w:tcBorders>
            <w:shd w:val="clear" w:color="auto" w:fill="auto"/>
            <w:noWrap/>
            <w:vAlign w:val="bottom"/>
            <w:hideMark/>
          </w:tcPr>
          <w:p w14:paraId="637E2C46"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325,7</w:t>
            </w:r>
          </w:p>
        </w:tc>
        <w:tc>
          <w:tcPr>
            <w:tcW w:w="1254" w:type="dxa"/>
            <w:tcBorders>
              <w:top w:val="nil"/>
              <w:left w:val="nil"/>
              <w:bottom w:val="double" w:sz="6" w:space="0" w:color="auto"/>
              <w:right w:val="single" w:sz="4" w:space="0" w:color="auto"/>
            </w:tcBorders>
            <w:shd w:val="clear" w:color="auto" w:fill="auto"/>
            <w:noWrap/>
            <w:vAlign w:val="bottom"/>
            <w:hideMark/>
          </w:tcPr>
          <w:p w14:paraId="7A755A9C"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325,7</w:t>
            </w:r>
          </w:p>
        </w:tc>
        <w:tc>
          <w:tcPr>
            <w:tcW w:w="1137" w:type="dxa"/>
            <w:tcBorders>
              <w:top w:val="nil"/>
              <w:left w:val="nil"/>
              <w:bottom w:val="double" w:sz="6" w:space="0" w:color="auto"/>
              <w:right w:val="double" w:sz="6" w:space="0" w:color="auto"/>
            </w:tcBorders>
            <w:shd w:val="clear" w:color="auto" w:fill="auto"/>
            <w:noWrap/>
            <w:vAlign w:val="bottom"/>
            <w:hideMark/>
          </w:tcPr>
          <w:p w14:paraId="03220311" w14:textId="77777777" w:rsidR="00CF472C" w:rsidRPr="00A53AD7" w:rsidRDefault="00CF472C" w:rsidP="00295FA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bl>
    <w:p w14:paraId="049B77D3" w14:textId="77777777" w:rsidR="00CF472C" w:rsidRPr="00A53AD7" w:rsidRDefault="00CF472C" w:rsidP="00295FA4">
      <w:pPr>
        <w:pStyle w:val="a8"/>
        <w:ind w:left="0" w:firstLine="851"/>
        <w:jc w:val="both"/>
        <w:rPr>
          <w:sz w:val="28"/>
          <w:szCs w:val="28"/>
        </w:rPr>
      </w:pPr>
    </w:p>
    <w:p w14:paraId="5B509631" w14:textId="77777777" w:rsidR="00CF472C" w:rsidRPr="00A53AD7" w:rsidRDefault="00CF472C" w:rsidP="00295FA4">
      <w:pPr>
        <w:pStyle w:val="a8"/>
        <w:ind w:left="0" w:firstLine="851"/>
        <w:jc w:val="both"/>
        <w:rPr>
          <w:sz w:val="28"/>
          <w:szCs w:val="28"/>
        </w:rPr>
      </w:pPr>
      <w:r w:rsidRPr="00A53AD7">
        <w:rPr>
          <w:sz w:val="28"/>
          <w:szCs w:val="28"/>
        </w:rPr>
        <w:t>По итогам реализации госпрограммы отмечается неисполнение бюджетных ассигнований на сумму 12,2 млн.руб. или 0,6%. Не в полном объеме исполнены бюджетные ассигнования инспекцией по охране объектов культурного наследия (96,9 % показателя сводной бюджетной росписи), министерством культуры (99,3 % показателя сводной бюджетной росписи).</w:t>
      </w:r>
    </w:p>
    <w:p w14:paraId="3D9ECD03" w14:textId="77777777" w:rsidR="00CF472C" w:rsidRPr="00A53AD7" w:rsidRDefault="00CF472C" w:rsidP="00295FA4">
      <w:pPr>
        <w:pStyle w:val="a8"/>
        <w:ind w:left="0" w:firstLine="851"/>
        <w:jc w:val="both"/>
        <w:rPr>
          <w:sz w:val="28"/>
          <w:szCs w:val="28"/>
        </w:rPr>
      </w:pPr>
      <w:r w:rsidRPr="00A53AD7">
        <w:rPr>
          <w:sz w:val="28"/>
          <w:szCs w:val="28"/>
        </w:rPr>
        <w:t>Согласно отчету о реализации госпрограммы по итогам 2019 года не в полном объеме использованы предусмотренные объемы финансового обеспечения инспекции по охране объектов культурного наследия Архангельской области для выполнения мероприятий «Реализация мер популяризации и государственной охраны объектов культурного наследия» - 95,7%, «Обеспечение деятельности инспекции по охране объектов культурного наследия Архангельской области» - 88,5% по причине сложившейся экономии на содержание инспекции по охране объектов культурного наследия Архангельской области.</w:t>
      </w:r>
    </w:p>
    <w:p w14:paraId="102BC58F" w14:textId="77777777" w:rsidR="00CF472C" w:rsidRPr="00A53AD7" w:rsidRDefault="00CF472C" w:rsidP="00295FA4">
      <w:pPr>
        <w:pStyle w:val="a8"/>
        <w:ind w:left="0" w:firstLine="851"/>
        <w:jc w:val="both"/>
        <w:rPr>
          <w:sz w:val="28"/>
          <w:szCs w:val="28"/>
        </w:rPr>
      </w:pPr>
      <w:r w:rsidRPr="00A53AD7">
        <w:rPr>
          <w:sz w:val="28"/>
          <w:szCs w:val="28"/>
        </w:rPr>
        <w:t>Отсутствуют кассовые расходы, предусмотренные министерству культуры Архангельской области на реализацию мероприятия «Поддержка проектов в сфере развития туризма» (10 млн.руб.) – в рамках данного мероприятия планировалось предоставление субсидии Благотворительному Фонду развития сообщества «Гарант» (далее − Фонд) в части улучшения объектов придорожного сервиса. В целях реализации мероприятия потребовалось внесение изменений в учредительные документы Фонда. Данные изменения не были согласованы Управлением Минюста России по Архангельской области и Ненецкому автономному округу. В этой связи средства не были освоены.</w:t>
      </w:r>
    </w:p>
    <w:p w14:paraId="7A46ADC7" w14:textId="77777777" w:rsidR="00CF472C" w:rsidRPr="00A53AD7" w:rsidRDefault="00CF472C" w:rsidP="00286FE8">
      <w:pPr>
        <w:pStyle w:val="a8"/>
        <w:ind w:left="0" w:firstLine="851"/>
        <w:jc w:val="both"/>
        <w:rPr>
          <w:sz w:val="28"/>
          <w:szCs w:val="28"/>
        </w:rPr>
      </w:pPr>
    </w:p>
    <w:p w14:paraId="0485994B" w14:textId="77777777" w:rsidR="00CF472C" w:rsidRPr="00A53AD7" w:rsidRDefault="00CF472C" w:rsidP="00286FE8">
      <w:pPr>
        <w:pStyle w:val="a8"/>
        <w:ind w:left="0" w:firstLine="851"/>
        <w:jc w:val="both"/>
        <w:rPr>
          <w:sz w:val="28"/>
          <w:szCs w:val="28"/>
        </w:rPr>
      </w:pPr>
      <w:r w:rsidRPr="00A53AD7">
        <w:rPr>
          <w:sz w:val="28"/>
          <w:szCs w:val="28"/>
        </w:rPr>
        <w:t>Субсидии бюджетными учреждениями, подведомственными министерству культуры, на иные цели исполнены на уровне 50%, на выполнение государственных заданий на 98,8%:</w:t>
      </w:r>
    </w:p>
    <w:tbl>
      <w:tblPr>
        <w:tblW w:w="9421" w:type="dxa"/>
        <w:tblInd w:w="-23" w:type="dxa"/>
        <w:tblLook w:val="04A0" w:firstRow="1" w:lastRow="0" w:firstColumn="1" w:lastColumn="0" w:noHBand="0" w:noVBand="1"/>
      </w:tblPr>
      <w:tblGrid>
        <w:gridCol w:w="3189"/>
        <w:gridCol w:w="1042"/>
        <w:gridCol w:w="878"/>
        <w:gridCol w:w="804"/>
        <w:gridCol w:w="878"/>
        <w:gridCol w:w="1450"/>
        <w:gridCol w:w="1180"/>
      </w:tblGrid>
      <w:tr w:rsidR="00A53AD7" w:rsidRPr="00A53AD7" w14:paraId="4D4D7B50" w14:textId="77777777" w:rsidTr="00C11DCB">
        <w:trPr>
          <w:trHeight w:val="98"/>
        </w:trPr>
        <w:tc>
          <w:tcPr>
            <w:tcW w:w="340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456783D"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1733"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544F7328"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 года</w:t>
            </w:r>
          </w:p>
        </w:tc>
        <w:tc>
          <w:tcPr>
            <w:tcW w:w="1659"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0701ABD0"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w:t>
            </w:r>
          </w:p>
        </w:tc>
        <w:tc>
          <w:tcPr>
            <w:tcW w:w="2627" w:type="dxa"/>
            <w:gridSpan w:val="2"/>
            <w:tcBorders>
              <w:top w:val="double" w:sz="6" w:space="0" w:color="auto"/>
              <w:left w:val="single" w:sz="4" w:space="0" w:color="auto"/>
              <w:bottom w:val="single" w:sz="4" w:space="0" w:color="auto"/>
              <w:right w:val="double" w:sz="6" w:space="0" w:color="000000"/>
            </w:tcBorders>
            <w:shd w:val="clear" w:color="auto" w:fill="auto"/>
            <w:vAlign w:val="center"/>
            <w:hideMark/>
          </w:tcPr>
          <w:p w14:paraId="6628FBB7"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A53AD7" w:rsidRPr="00A53AD7" w14:paraId="2CDE26C9" w14:textId="77777777" w:rsidTr="00286FE8">
        <w:trPr>
          <w:trHeight w:val="675"/>
        </w:trPr>
        <w:tc>
          <w:tcPr>
            <w:tcW w:w="3402" w:type="dxa"/>
            <w:vMerge/>
            <w:tcBorders>
              <w:top w:val="single" w:sz="4" w:space="0" w:color="auto"/>
              <w:left w:val="double" w:sz="6" w:space="0" w:color="auto"/>
              <w:bottom w:val="single" w:sz="4" w:space="0" w:color="auto"/>
              <w:right w:val="single" w:sz="4" w:space="0" w:color="auto"/>
            </w:tcBorders>
            <w:vAlign w:val="center"/>
            <w:hideMark/>
          </w:tcPr>
          <w:p w14:paraId="3080921E" w14:textId="77777777" w:rsidR="00CF472C" w:rsidRPr="00A53AD7" w:rsidRDefault="00CF472C" w:rsidP="00286FE8">
            <w:pPr>
              <w:spacing w:after="0" w:line="240" w:lineRule="auto"/>
              <w:rPr>
                <w:rFonts w:ascii="Times New Roman" w:eastAsia="Times New Roman" w:hAnsi="Times New Roman"/>
                <w:sz w:val="20"/>
                <w:szCs w:val="20"/>
                <w:lang w:eastAsia="ru-RU"/>
              </w:rPr>
            </w:pPr>
          </w:p>
        </w:tc>
        <w:tc>
          <w:tcPr>
            <w:tcW w:w="9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24B82"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иные цели/ кап.влож.</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7A66C"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гос. задание</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86229"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иные цели</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AB281"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гос. задание</w:t>
            </w: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F098E"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иные цели/кап.влож</w:t>
            </w:r>
          </w:p>
        </w:tc>
        <w:tc>
          <w:tcPr>
            <w:tcW w:w="1217"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46AE6ED1"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гос. задание</w:t>
            </w:r>
          </w:p>
        </w:tc>
      </w:tr>
      <w:tr w:rsidR="00CF472C" w:rsidRPr="00A53AD7" w14:paraId="72505C83" w14:textId="77777777" w:rsidTr="00C11DCB">
        <w:trPr>
          <w:trHeight w:val="47"/>
        </w:trPr>
        <w:tc>
          <w:tcPr>
            <w:tcW w:w="3402"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6182C535" w14:textId="77777777" w:rsidR="00CF472C" w:rsidRPr="00A53AD7" w:rsidRDefault="00CF472C" w:rsidP="00286FE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Итого</w:t>
            </w:r>
          </w:p>
        </w:tc>
        <w:tc>
          <w:tcPr>
            <w:tcW w:w="915"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70D47A70"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293,7</w:t>
            </w:r>
          </w:p>
        </w:tc>
        <w:tc>
          <w:tcPr>
            <w:tcW w:w="818"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226A0204"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1 143,5</w:t>
            </w:r>
          </w:p>
        </w:tc>
        <w:tc>
          <w:tcPr>
            <w:tcW w:w="821"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57DC1983"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146,6</w:t>
            </w:r>
          </w:p>
        </w:tc>
        <w:tc>
          <w:tcPr>
            <w:tcW w:w="838"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31CB8A10"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1 129,4</w:t>
            </w:r>
          </w:p>
        </w:tc>
        <w:tc>
          <w:tcPr>
            <w:tcW w:w="141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687C48A0"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49,9 /100</w:t>
            </w:r>
          </w:p>
        </w:tc>
        <w:tc>
          <w:tcPr>
            <w:tcW w:w="1217" w:type="dxa"/>
            <w:tcBorders>
              <w:top w:val="single" w:sz="4" w:space="0" w:color="auto"/>
              <w:left w:val="single" w:sz="4" w:space="0" w:color="auto"/>
              <w:bottom w:val="double" w:sz="6" w:space="0" w:color="auto"/>
              <w:right w:val="double" w:sz="6" w:space="0" w:color="auto"/>
            </w:tcBorders>
            <w:shd w:val="clear" w:color="auto" w:fill="auto"/>
            <w:vAlign w:val="center"/>
            <w:hideMark/>
          </w:tcPr>
          <w:p w14:paraId="02FB008A" w14:textId="77777777" w:rsidR="00CF472C" w:rsidRPr="00A53AD7" w:rsidRDefault="00CF472C" w:rsidP="00286FE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98,8</w:t>
            </w:r>
          </w:p>
        </w:tc>
      </w:tr>
    </w:tbl>
    <w:p w14:paraId="0FF9F825" w14:textId="77777777" w:rsidR="00CF472C" w:rsidRPr="00A53AD7" w:rsidRDefault="00CF472C" w:rsidP="00C11DCB">
      <w:pPr>
        <w:pStyle w:val="a8"/>
        <w:ind w:left="0" w:firstLine="851"/>
        <w:jc w:val="both"/>
        <w:rPr>
          <w:sz w:val="28"/>
          <w:szCs w:val="28"/>
        </w:rPr>
      </w:pPr>
    </w:p>
    <w:p w14:paraId="03B152E0" w14:textId="180430F4" w:rsidR="00CF472C" w:rsidRPr="00A53AD7" w:rsidRDefault="00CF472C" w:rsidP="00C11DCB">
      <w:pPr>
        <w:pStyle w:val="a8"/>
        <w:ind w:left="0" w:firstLine="851"/>
        <w:jc w:val="both"/>
        <w:rPr>
          <w:sz w:val="28"/>
          <w:szCs w:val="28"/>
        </w:rPr>
      </w:pPr>
      <w:r w:rsidRPr="00A53AD7">
        <w:rPr>
          <w:sz w:val="28"/>
          <w:szCs w:val="28"/>
        </w:rPr>
        <w:t>Не в полном объеме освоены бюджетные ассигнования, выделенные на выполнение государственного задания ГБУ АО «Туристско-информационный центр Архангельской области» – 84,2%, ГБУ ДО АО «ДМШ № 1 Баренцева региона» ‒ 88,2%, ГАУК АО «Архангельский областной театр кукол» ‒ 97,1%</w:t>
      </w:r>
      <w:r w:rsidR="00C11DCB" w:rsidRPr="00A53AD7">
        <w:rPr>
          <w:sz w:val="28"/>
          <w:szCs w:val="28"/>
        </w:rPr>
        <w:t>.</w:t>
      </w:r>
    </w:p>
    <w:p w14:paraId="44C50E07" w14:textId="2C1216DC" w:rsidR="00CF472C" w:rsidRPr="00A53AD7" w:rsidRDefault="00CF472C" w:rsidP="00C11DCB">
      <w:pPr>
        <w:pStyle w:val="a8"/>
        <w:ind w:left="0" w:firstLine="851"/>
        <w:jc w:val="both"/>
        <w:rPr>
          <w:sz w:val="28"/>
          <w:szCs w:val="28"/>
        </w:rPr>
      </w:pPr>
      <w:r w:rsidRPr="00A53AD7">
        <w:rPr>
          <w:sz w:val="28"/>
          <w:szCs w:val="28"/>
        </w:rPr>
        <w:t>Согласно представленных отчетов о выполнении государственного задания</w:t>
      </w:r>
      <w:r w:rsidR="00C11DCB" w:rsidRPr="00A53AD7">
        <w:rPr>
          <w:sz w:val="28"/>
          <w:szCs w:val="28"/>
        </w:rPr>
        <w:t xml:space="preserve"> утвержденные объемы выполнены.</w:t>
      </w:r>
    </w:p>
    <w:p w14:paraId="5D49F19E" w14:textId="77777777" w:rsidR="00043333" w:rsidRPr="00A53AD7" w:rsidRDefault="00043333" w:rsidP="00043333">
      <w:pPr>
        <w:pStyle w:val="a8"/>
        <w:ind w:left="0" w:firstLine="851"/>
        <w:jc w:val="both"/>
        <w:rPr>
          <w:sz w:val="28"/>
          <w:szCs w:val="28"/>
        </w:rPr>
      </w:pPr>
      <w:r w:rsidRPr="00A53AD7">
        <w:rPr>
          <w:sz w:val="28"/>
          <w:szCs w:val="28"/>
        </w:rPr>
        <w:t>Данные об остатках средств субсидии на иные цели и субсидии на выполнение государственного задания приведены ниже:</w:t>
      </w:r>
    </w:p>
    <w:p w14:paraId="78C72C49" w14:textId="77777777" w:rsidR="00043333" w:rsidRPr="00A53AD7" w:rsidRDefault="00043333" w:rsidP="00043333">
      <w:pPr>
        <w:pStyle w:val="a8"/>
        <w:ind w:left="0" w:firstLine="851"/>
        <w:jc w:val="right"/>
      </w:pPr>
      <w:r w:rsidRPr="00A53AD7">
        <w:t>млн.руб.</w:t>
      </w:r>
    </w:p>
    <w:tbl>
      <w:tblPr>
        <w:tblW w:w="9333" w:type="dxa"/>
        <w:tblLook w:val="04A0" w:firstRow="1" w:lastRow="0" w:firstColumn="1" w:lastColumn="0" w:noHBand="0" w:noVBand="1"/>
      </w:tblPr>
      <w:tblGrid>
        <w:gridCol w:w="1555"/>
        <w:gridCol w:w="1257"/>
        <w:gridCol w:w="1134"/>
        <w:gridCol w:w="993"/>
        <w:gridCol w:w="992"/>
        <w:gridCol w:w="1984"/>
        <w:gridCol w:w="1418"/>
      </w:tblGrid>
      <w:tr w:rsidR="00A53AD7" w:rsidRPr="00A53AD7" w14:paraId="66DAB9C0" w14:textId="77777777" w:rsidTr="006A21A7">
        <w:trPr>
          <w:trHeight w:val="89"/>
        </w:trPr>
        <w:tc>
          <w:tcPr>
            <w:tcW w:w="1555"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BFAF05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Наименование</w:t>
            </w:r>
          </w:p>
        </w:tc>
        <w:tc>
          <w:tcPr>
            <w:tcW w:w="7778" w:type="dxa"/>
            <w:gridSpan w:val="6"/>
            <w:tcBorders>
              <w:top w:val="double" w:sz="6" w:space="0" w:color="auto"/>
              <w:left w:val="nil"/>
              <w:bottom w:val="single" w:sz="4" w:space="0" w:color="auto"/>
              <w:right w:val="single" w:sz="4" w:space="0" w:color="auto"/>
            </w:tcBorders>
            <w:shd w:val="clear" w:color="auto" w:fill="auto"/>
            <w:vAlign w:val="center"/>
            <w:hideMark/>
          </w:tcPr>
          <w:p w14:paraId="34E240BF"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Остаток</w:t>
            </w:r>
          </w:p>
        </w:tc>
      </w:tr>
      <w:tr w:rsidR="00A53AD7" w:rsidRPr="00A53AD7" w14:paraId="7C11C0A1" w14:textId="77777777" w:rsidTr="006A21A7">
        <w:trPr>
          <w:trHeight w:val="107"/>
        </w:trPr>
        <w:tc>
          <w:tcPr>
            <w:tcW w:w="1555" w:type="dxa"/>
            <w:vMerge/>
            <w:tcBorders>
              <w:top w:val="double" w:sz="6" w:space="0" w:color="auto"/>
              <w:left w:val="double" w:sz="6" w:space="0" w:color="auto"/>
              <w:bottom w:val="single" w:sz="4" w:space="0" w:color="auto"/>
              <w:right w:val="single" w:sz="4" w:space="0" w:color="auto"/>
            </w:tcBorders>
            <w:vAlign w:val="center"/>
            <w:hideMark/>
          </w:tcPr>
          <w:p w14:paraId="7014D6D6" w14:textId="77777777" w:rsidR="00043333" w:rsidRPr="00A53AD7" w:rsidRDefault="00043333" w:rsidP="006A21A7">
            <w:pPr>
              <w:spacing w:after="0" w:line="240" w:lineRule="auto"/>
              <w:rPr>
                <w:rFonts w:ascii="Times New Roman" w:eastAsia="Times New Roman" w:hAnsi="Times New Roman"/>
                <w:bCs/>
                <w:sz w:val="20"/>
                <w:szCs w:val="20"/>
                <w:lang w:eastAsia="ru-RU"/>
              </w:rPr>
            </w:pPr>
          </w:p>
        </w:tc>
        <w:tc>
          <w:tcPr>
            <w:tcW w:w="3384" w:type="dxa"/>
            <w:gridSpan w:val="3"/>
            <w:tcBorders>
              <w:top w:val="single" w:sz="4" w:space="0" w:color="auto"/>
              <w:left w:val="nil"/>
              <w:bottom w:val="single" w:sz="4" w:space="0" w:color="auto"/>
              <w:right w:val="single" w:sz="4" w:space="0" w:color="auto"/>
            </w:tcBorders>
            <w:shd w:val="clear" w:color="auto" w:fill="auto"/>
            <w:vAlign w:val="center"/>
            <w:hideMark/>
          </w:tcPr>
          <w:p w14:paraId="6A82B2A5"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на 01.01.2019</w:t>
            </w:r>
          </w:p>
        </w:tc>
        <w:tc>
          <w:tcPr>
            <w:tcW w:w="4394" w:type="dxa"/>
            <w:gridSpan w:val="3"/>
            <w:tcBorders>
              <w:top w:val="single" w:sz="4" w:space="0" w:color="auto"/>
              <w:left w:val="nil"/>
              <w:bottom w:val="single" w:sz="4" w:space="0" w:color="auto"/>
              <w:right w:val="single" w:sz="4" w:space="0" w:color="auto"/>
            </w:tcBorders>
            <w:shd w:val="clear" w:color="auto" w:fill="auto"/>
            <w:vAlign w:val="center"/>
            <w:hideMark/>
          </w:tcPr>
          <w:p w14:paraId="330C5B27"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на 01.01.2020</w:t>
            </w:r>
          </w:p>
        </w:tc>
      </w:tr>
      <w:tr w:rsidR="00A53AD7" w:rsidRPr="00A53AD7" w14:paraId="33A3980A" w14:textId="77777777" w:rsidTr="006A21A7">
        <w:trPr>
          <w:trHeight w:val="111"/>
        </w:trPr>
        <w:tc>
          <w:tcPr>
            <w:tcW w:w="1555" w:type="dxa"/>
            <w:vMerge/>
            <w:tcBorders>
              <w:top w:val="double" w:sz="6" w:space="0" w:color="auto"/>
              <w:left w:val="double" w:sz="6" w:space="0" w:color="auto"/>
              <w:bottom w:val="single" w:sz="4" w:space="0" w:color="auto"/>
              <w:right w:val="single" w:sz="4" w:space="0" w:color="auto"/>
            </w:tcBorders>
            <w:vAlign w:val="center"/>
            <w:hideMark/>
          </w:tcPr>
          <w:p w14:paraId="5017DC0B" w14:textId="77777777" w:rsidR="00043333" w:rsidRPr="00A53AD7" w:rsidRDefault="00043333" w:rsidP="006A21A7">
            <w:pPr>
              <w:spacing w:after="0" w:line="240" w:lineRule="auto"/>
              <w:rPr>
                <w:rFonts w:ascii="Times New Roman" w:eastAsia="Times New Roman" w:hAnsi="Times New Roman"/>
                <w:bCs/>
                <w:sz w:val="20"/>
                <w:szCs w:val="20"/>
                <w:lang w:eastAsia="ru-RU"/>
              </w:rPr>
            </w:pPr>
          </w:p>
        </w:tc>
        <w:tc>
          <w:tcPr>
            <w:tcW w:w="1257" w:type="dxa"/>
            <w:vMerge w:val="restart"/>
            <w:tcBorders>
              <w:top w:val="nil"/>
              <w:left w:val="single" w:sz="4" w:space="0" w:color="auto"/>
              <w:bottom w:val="single" w:sz="4" w:space="0" w:color="auto"/>
              <w:right w:val="single" w:sz="4" w:space="0" w:color="auto"/>
            </w:tcBorders>
            <w:shd w:val="clear" w:color="auto" w:fill="auto"/>
            <w:vAlign w:val="center"/>
            <w:hideMark/>
          </w:tcPr>
          <w:p w14:paraId="3E618011"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Всего</w:t>
            </w: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14:paraId="3D7ADF7F"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из них:</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2DDCE461"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всего</w:t>
            </w:r>
          </w:p>
        </w:tc>
        <w:tc>
          <w:tcPr>
            <w:tcW w:w="3402" w:type="dxa"/>
            <w:gridSpan w:val="2"/>
            <w:tcBorders>
              <w:top w:val="single" w:sz="4" w:space="0" w:color="auto"/>
              <w:left w:val="nil"/>
              <w:bottom w:val="single" w:sz="4" w:space="0" w:color="auto"/>
              <w:right w:val="single" w:sz="4" w:space="0" w:color="auto"/>
            </w:tcBorders>
            <w:shd w:val="clear" w:color="auto" w:fill="auto"/>
            <w:vAlign w:val="center"/>
            <w:hideMark/>
          </w:tcPr>
          <w:p w14:paraId="0E321D88"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из них:</w:t>
            </w:r>
          </w:p>
        </w:tc>
      </w:tr>
      <w:tr w:rsidR="00A53AD7" w:rsidRPr="00A53AD7" w14:paraId="4A6E9B32" w14:textId="77777777" w:rsidTr="006A21A7">
        <w:trPr>
          <w:trHeight w:val="271"/>
        </w:trPr>
        <w:tc>
          <w:tcPr>
            <w:tcW w:w="1555" w:type="dxa"/>
            <w:vMerge/>
            <w:tcBorders>
              <w:top w:val="double" w:sz="6" w:space="0" w:color="auto"/>
              <w:left w:val="double" w:sz="6" w:space="0" w:color="auto"/>
              <w:bottom w:val="single" w:sz="4" w:space="0" w:color="auto"/>
              <w:right w:val="single" w:sz="4" w:space="0" w:color="auto"/>
            </w:tcBorders>
            <w:vAlign w:val="center"/>
            <w:hideMark/>
          </w:tcPr>
          <w:p w14:paraId="260C82DD" w14:textId="77777777" w:rsidR="00043333" w:rsidRPr="00A53AD7" w:rsidRDefault="00043333" w:rsidP="006A21A7">
            <w:pPr>
              <w:spacing w:after="0" w:line="240" w:lineRule="auto"/>
              <w:rPr>
                <w:rFonts w:ascii="Times New Roman" w:eastAsia="Times New Roman" w:hAnsi="Times New Roman"/>
                <w:bCs/>
                <w:sz w:val="20"/>
                <w:szCs w:val="20"/>
                <w:lang w:eastAsia="ru-RU"/>
              </w:rPr>
            </w:pPr>
          </w:p>
        </w:tc>
        <w:tc>
          <w:tcPr>
            <w:tcW w:w="1257" w:type="dxa"/>
            <w:vMerge/>
            <w:tcBorders>
              <w:top w:val="nil"/>
              <w:left w:val="single" w:sz="4" w:space="0" w:color="auto"/>
              <w:bottom w:val="single" w:sz="4" w:space="0" w:color="auto"/>
              <w:right w:val="single" w:sz="4" w:space="0" w:color="auto"/>
            </w:tcBorders>
            <w:vAlign w:val="center"/>
            <w:hideMark/>
          </w:tcPr>
          <w:p w14:paraId="490519D9" w14:textId="77777777" w:rsidR="00043333" w:rsidRPr="00A53AD7" w:rsidRDefault="00043333" w:rsidP="006A21A7">
            <w:pPr>
              <w:spacing w:after="0" w:line="240" w:lineRule="auto"/>
              <w:rPr>
                <w:rFonts w:ascii="Times New Roman" w:eastAsia="Times New Roman" w:hAnsi="Times New Roman"/>
                <w:bCs/>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63BD713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иные цели</w:t>
            </w:r>
          </w:p>
        </w:tc>
        <w:tc>
          <w:tcPr>
            <w:tcW w:w="993" w:type="dxa"/>
            <w:tcBorders>
              <w:top w:val="nil"/>
              <w:left w:val="nil"/>
              <w:bottom w:val="single" w:sz="4" w:space="0" w:color="auto"/>
              <w:right w:val="single" w:sz="4" w:space="0" w:color="auto"/>
            </w:tcBorders>
            <w:shd w:val="clear" w:color="auto" w:fill="auto"/>
            <w:vAlign w:val="center"/>
            <w:hideMark/>
          </w:tcPr>
          <w:p w14:paraId="75AC836C"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гос. задание</w:t>
            </w:r>
          </w:p>
        </w:tc>
        <w:tc>
          <w:tcPr>
            <w:tcW w:w="992" w:type="dxa"/>
            <w:vMerge/>
            <w:tcBorders>
              <w:top w:val="nil"/>
              <w:left w:val="single" w:sz="4" w:space="0" w:color="auto"/>
              <w:bottom w:val="single" w:sz="4" w:space="0" w:color="auto"/>
              <w:right w:val="single" w:sz="4" w:space="0" w:color="auto"/>
            </w:tcBorders>
            <w:vAlign w:val="center"/>
            <w:hideMark/>
          </w:tcPr>
          <w:p w14:paraId="763AB487" w14:textId="77777777" w:rsidR="00043333" w:rsidRPr="00A53AD7" w:rsidRDefault="00043333" w:rsidP="006A21A7">
            <w:pPr>
              <w:spacing w:after="0" w:line="240" w:lineRule="auto"/>
              <w:rPr>
                <w:rFonts w:ascii="Times New Roman" w:eastAsia="Times New Roman" w:hAnsi="Times New Roman"/>
                <w:bCs/>
                <w:sz w:val="20"/>
                <w:szCs w:val="20"/>
                <w:lang w:eastAsia="ru-RU"/>
              </w:rPr>
            </w:pPr>
          </w:p>
        </w:tc>
        <w:tc>
          <w:tcPr>
            <w:tcW w:w="1984" w:type="dxa"/>
            <w:tcBorders>
              <w:top w:val="nil"/>
              <w:left w:val="nil"/>
              <w:bottom w:val="single" w:sz="4" w:space="0" w:color="auto"/>
              <w:right w:val="single" w:sz="4" w:space="0" w:color="auto"/>
            </w:tcBorders>
            <w:shd w:val="clear" w:color="auto" w:fill="auto"/>
            <w:vAlign w:val="center"/>
            <w:hideMark/>
          </w:tcPr>
          <w:p w14:paraId="452C8745"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иные цели</w:t>
            </w:r>
          </w:p>
        </w:tc>
        <w:tc>
          <w:tcPr>
            <w:tcW w:w="1418" w:type="dxa"/>
            <w:tcBorders>
              <w:top w:val="nil"/>
              <w:left w:val="nil"/>
              <w:bottom w:val="single" w:sz="4" w:space="0" w:color="auto"/>
              <w:right w:val="single" w:sz="4" w:space="0" w:color="auto"/>
            </w:tcBorders>
            <w:shd w:val="clear" w:color="auto" w:fill="auto"/>
            <w:vAlign w:val="center"/>
            <w:hideMark/>
          </w:tcPr>
          <w:p w14:paraId="584E2F04"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гос. задание</w:t>
            </w:r>
          </w:p>
        </w:tc>
      </w:tr>
      <w:tr w:rsidR="00043333" w:rsidRPr="00A53AD7" w14:paraId="57C69397" w14:textId="77777777" w:rsidTr="006A21A7">
        <w:trPr>
          <w:trHeight w:val="270"/>
        </w:trPr>
        <w:tc>
          <w:tcPr>
            <w:tcW w:w="1555" w:type="dxa"/>
            <w:tcBorders>
              <w:top w:val="nil"/>
              <w:left w:val="double" w:sz="6" w:space="0" w:color="auto"/>
              <w:bottom w:val="double" w:sz="6" w:space="0" w:color="auto"/>
              <w:right w:val="single" w:sz="4" w:space="0" w:color="auto"/>
            </w:tcBorders>
            <w:shd w:val="clear" w:color="auto" w:fill="auto"/>
            <w:vAlign w:val="center"/>
            <w:hideMark/>
          </w:tcPr>
          <w:p w14:paraId="1044B8D7" w14:textId="77777777" w:rsidR="00043333" w:rsidRPr="00A53AD7" w:rsidRDefault="00043333" w:rsidP="006A21A7">
            <w:pPr>
              <w:spacing w:after="0" w:line="240" w:lineRule="auto"/>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Всего</w:t>
            </w:r>
          </w:p>
        </w:tc>
        <w:tc>
          <w:tcPr>
            <w:tcW w:w="1257" w:type="dxa"/>
            <w:tcBorders>
              <w:top w:val="nil"/>
              <w:left w:val="nil"/>
              <w:bottom w:val="double" w:sz="6" w:space="0" w:color="auto"/>
              <w:right w:val="single" w:sz="4" w:space="0" w:color="auto"/>
            </w:tcBorders>
            <w:shd w:val="clear" w:color="auto" w:fill="auto"/>
            <w:vAlign w:val="center"/>
            <w:hideMark/>
          </w:tcPr>
          <w:p w14:paraId="3773C44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116,9</w:t>
            </w:r>
          </w:p>
        </w:tc>
        <w:tc>
          <w:tcPr>
            <w:tcW w:w="1134" w:type="dxa"/>
            <w:tcBorders>
              <w:top w:val="nil"/>
              <w:left w:val="nil"/>
              <w:bottom w:val="double" w:sz="6" w:space="0" w:color="auto"/>
              <w:right w:val="single" w:sz="4" w:space="0" w:color="auto"/>
            </w:tcBorders>
            <w:shd w:val="clear" w:color="auto" w:fill="auto"/>
            <w:vAlign w:val="center"/>
            <w:hideMark/>
          </w:tcPr>
          <w:p w14:paraId="6F3CDBA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112,2</w:t>
            </w:r>
          </w:p>
        </w:tc>
        <w:tc>
          <w:tcPr>
            <w:tcW w:w="993" w:type="dxa"/>
            <w:tcBorders>
              <w:top w:val="nil"/>
              <w:left w:val="nil"/>
              <w:bottom w:val="double" w:sz="6" w:space="0" w:color="auto"/>
              <w:right w:val="single" w:sz="4" w:space="0" w:color="auto"/>
            </w:tcBorders>
            <w:shd w:val="clear" w:color="auto" w:fill="auto"/>
            <w:vAlign w:val="center"/>
            <w:hideMark/>
          </w:tcPr>
          <w:p w14:paraId="0CC2D6E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4, 6</w:t>
            </w:r>
          </w:p>
        </w:tc>
        <w:tc>
          <w:tcPr>
            <w:tcW w:w="992" w:type="dxa"/>
            <w:tcBorders>
              <w:top w:val="nil"/>
              <w:left w:val="nil"/>
              <w:bottom w:val="double" w:sz="6" w:space="0" w:color="auto"/>
              <w:right w:val="single" w:sz="4" w:space="0" w:color="auto"/>
            </w:tcBorders>
            <w:shd w:val="clear" w:color="auto" w:fill="auto"/>
            <w:vAlign w:val="center"/>
            <w:hideMark/>
          </w:tcPr>
          <w:p w14:paraId="29BA477D"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160,6</w:t>
            </w:r>
          </w:p>
        </w:tc>
        <w:tc>
          <w:tcPr>
            <w:tcW w:w="1984" w:type="dxa"/>
            <w:tcBorders>
              <w:top w:val="nil"/>
              <w:left w:val="nil"/>
              <w:bottom w:val="double" w:sz="6" w:space="0" w:color="auto"/>
              <w:right w:val="single" w:sz="4" w:space="0" w:color="auto"/>
            </w:tcBorders>
            <w:shd w:val="clear" w:color="auto" w:fill="auto"/>
            <w:vAlign w:val="center"/>
            <w:hideMark/>
          </w:tcPr>
          <w:p w14:paraId="6A554067"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146,5</w:t>
            </w:r>
          </w:p>
        </w:tc>
        <w:tc>
          <w:tcPr>
            <w:tcW w:w="1418" w:type="dxa"/>
            <w:tcBorders>
              <w:top w:val="nil"/>
              <w:left w:val="nil"/>
              <w:bottom w:val="double" w:sz="6" w:space="0" w:color="auto"/>
              <w:right w:val="single" w:sz="4" w:space="0" w:color="auto"/>
            </w:tcBorders>
            <w:shd w:val="clear" w:color="auto" w:fill="auto"/>
            <w:vAlign w:val="center"/>
            <w:hideMark/>
          </w:tcPr>
          <w:p w14:paraId="63949FE2" w14:textId="77777777" w:rsidR="00043333" w:rsidRPr="00A53AD7" w:rsidRDefault="00043333" w:rsidP="006A21A7">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14,2</w:t>
            </w:r>
          </w:p>
        </w:tc>
      </w:tr>
    </w:tbl>
    <w:p w14:paraId="7818F6AC" w14:textId="77777777" w:rsidR="00043333" w:rsidRPr="00A53AD7" w:rsidRDefault="00043333" w:rsidP="00043333">
      <w:pPr>
        <w:pStyle w:val="a8"/>
        <w:ind w:left="0" w:firstLine="851"/>
        <w:jc w:val="both"/>
        <w:rPr>
          <w:sz w:val="28"/>
          <w:szCs w:val="28"/>
        </w:rPr>
      </w:pPr>
    </w:p>
    <w:p w14:paraId="70BC171F" w14:textId="77777777" w:rsidR="00043333" w:rsidRPr="00A53AD7" w:rsidRDefault="00043333" w:rsidP="00043333">
      <w:pPr>
        <w:pStyle w:val="a8"/>
        <w:ind w:left="0" w:firstLine="851"/>
        <w:jc w:val="both"/>
        <w:rPr>
          <w:sz w:val="28"/>
          <w:szCs w:val="28"/>
        </w:rPr>
      </w:pPr>
      <w:r w:rsidRPr="00A53AD7">
        <w:rPr>
          <w:sz w:val="28"/>
          <w:szCs w:val="28"/>
        </w:rPr>
        <w:t>По состоянию на 01.01.2020 остатки средств составили по субсидии на государственное задание 14,2 млн.руб., по субсидии на иные цели 146,5 млн.руб.</w:t>
      </w:r>
    </w:p>
    <w:p w14:paraId="7ACFFD2A" w14:textId="77777777" w:rsidR="00043333" w:rsidRPr="00A53AD7" w:rsidRDefault="00043333" w:rsidP="00043333">
      <w:pPr>
        <w:pStyle w:val="a8"/>
        <w:ind w:left="0" w:firstLine="851"/>
        <w:jc w:val="both"/>
        <w:rPr>
          <w:sz w:val="28"/>
          <w:szCs w:val="28"/>
        </w:rPr>
      </w:pPr>
      <w:r w:rsidRPr="00A53AD7">
        <w:rPr>
          <w:sz w:val="28"/>
          <w:szCs w:val="28"/>
        </w:rPr>
        <w:t>Наибольшие остатки по субсидии на выполнение государственного задания сложились у ГБУ ДО АО «ДМШ № 1 Баренцева региона» - 7,1 млн.руб. и ГАУК АО «Архангельский театр кукол» - 2,1 млн.руб., по субсидии на иные цели у ГБУК АО «Государственное музейное объединение «Художественная культура Русского Севера» - 29,2 млн.руб., ГБУК АО «Архангельская областная научная ордена «Знак Почета» библиотека им. Н.А. Добролюбова» - 25,6 млн.руб., ГБУК АО «Архангельский театр драмы имени М.В. Ломоносова» - 10,2 млн.руб., ГБУК АО «Государственный академический Северный русский народный хор» - 13,9 млн.руб., ГБУК АО «Дом народного творчества» - 19,8 млн.руб., ГБУК АО «Государственный архив Архангельской области» – 13,6 млн.руб.</w:t>
      </w:r>
    </w:p>
    <w:p w14:paraId="18302CAC" w14:textId="77777777" w:rsidR="00043333" w:rsidRPr="00A53AD7" w:rsidRDefault="00043333" w:rsidP="00043333">
      <w:pPr>
        <w:pStyle w:val="a8"/>
        <w:ind w:left="0" w:firstLine="851"/>
        <w:jc w:val="both"/>
        <w:rPr>
          <w:sz w:val="28"/>
          <w:szCs w:val="28"/>
        </w:rPr>
      </w:pPr>
      <w:r w:rsidRPr="00A53AD7">
        <w:rPr>
          <w:sz w:val="28"/>
          <w:szCs w:val="28"/>
        </w:rPr>
        <w:t>Данные остатки сложились по субсидиям, выделенным на выполнение мероприятий госпрограммы «капитальный ремонт, реконструкция, строительство и противоаварийные работы, техническое перевооружение, благоустройство объектов - государственных учреждений, подведомственных министерству культуры, и муниципальных учреждений культуры и образования в сфере культуры и искусства Архангельской области» и «модернизация и развитие, обследование и ремонт государственных учреждений, подведомственных министерству культуры, муниципальных учреждений культуры, школ искусств, образовательных организаций в сфере культуры и искусства».</w:t>
      </w:r>
    </w:p>
    <w:p w14:paraId="3FA3406B" w14:textId="77777777" w:rsidR="00CF472C" w:rsidRPr="00A53AD7" w:rsidRDefault="00CF472C" w:rsidP="005F5DCD">
      <w:pPr>
        <w:pStyle w:val="a8"/>
        <w:ind w:left="0" w:firstLine="851"/>
        <w:jc w:val="both"/>
        <w:rPr>
          <w:sz w:val="28"/>
          <w:szCs w:val="28"/>
        </w:rPr>
      </w:pPr>
      <w:r w:rsidRPr="00A53AD7">
        <w:rPr>
          <w:sz w:val="28"/>
          <w:szCs w:val="28"/>
        </w:rPr>
        <w:t>Информация о достигнутом уровне заработной платы работников государственных учреждений культуры за 2019 год представлена ниже:</w:t>
      </w:r>
    </w:p>
    <w:tbl>
      <w:tblPr>
        <w:tblW w:w="9498" w:type="dxa"/>
        <w:tblInd w:w="-23" w:type="dxa"/>
        <w:tblLayout w:type="fixed"/>
        <w:tblLook w:val="04A0" w:firstRow="1" w:lastRow="0" w:firstColumn="1" w:lastColumn="0" w:noHBand="0" w:noVBand="1"/>
      </w:tblPr>
      <w:tblGrid>
        <w:gridCol w:w="3119"/>
        <w:gridCol w:w="1843"/>
        <w:gridCol w:w="1275"/>
        <w:gridCol w:w="2268"/>
        <w:gridCol w:w="993"/>
      </w:tblGrid>
      <w:tr w:rsidR="00A53AD7" w:rsidRPr="00A53AD7" w14:paraId="7B0B2691" w14:textId="77777777" w:rsidTr="00BF4EBD">
        <w:trPr>
          <w:trHeight w:val="804"/>
        </w:trPr>
        <w:tc>
          <w:tcPr>
            <w:tcW w:w="3119" w:type="dxa"/>
            <w:tcBorders>
              <w:top w:val="double" w:sz="6" w:space="0" w:color="auto"/>
              <w:left w:val="double" w:sz="6" w:space="0" w:color="auto"/>
              <w:bottom w:val="single" w:sz="4" w:space="0" w:color="auto"/>
              <w:right w:val="single" w:sz="4" w:space="0" w:color="auto"/>
            </w:tcBorders>
            <w:shd w:val="clear" w:color="000000" w:fill="FFFFFF"/>
            <w:vAlign w:val="center"/>
            <w:hideMark/>
          </w:tcPr>
          <w:p w14:paraId="74EB2BB3"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Категория работников</w:t>
            </w:r>
          </w:p>
        </w:tc>
        <w:tc>
          <w:tcPr>
            <w:tcW w:w="1843" w:type="dxa"/>
            <w:tcBorders>
              <w:top w:val="double" w:sz="6" w:space="0" w:color="auto"/>
              <w:left w:val="nil"/>
              <w:bottom w:val="single" w:sz="4" w:space="0" w:color="auto"/>
              <w:right w:val="single" w:sz="4" w:space="0" w:color="auto"/>
            </w:tcBorders>
            <w:shd w:val="clear" w:color="000000" w:fill="FFFFFF"/>
            <w:vAlign w:val="center"/>
            <w:hideMark/>
          </w:tcPr>
          <w:p w14:paraId="7CF86244"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Средняя заработная плата, руб. в учреждениях </w:t>
            </w:r>
          </w:p>
        </w:tc>
        <w:tc>
          <w:tcPr>
            <w:tcW w:w="1275" w:type="dxa"/>
            <w:tcBorders>
              <w:top w:val="double" w:sz="6" w:space="0" w:color="auto"/>
              <w:left w:val="nil"/>
              <w:bottom w:val="single" w:sz="4" w:space="0" w:color="auto"/>
              <w:right w:val="single" w:sz="4" w:space="0" w:color="auto"/>
            </w:tcBorders>
            <w:shd w:val="clear" w:color="auto" w:fill="auto"/>
            <w:vAlign w:val="center"/>
            <w:hideMark/>
          </w:tcPr>
          <w:p w14:paraId="5FDECECD"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2268" w:type="dxa"/>
            <w:tcBorders>
              <w:top w:val="double" w:sz="6" w:space="0" w:color="auto"/>
              <w:left w:val="nil"/>
              <w:bottom w:val="single" w:sz="4" w:space="0" w:color="auto"/>
              <w:right w:val="single" w:sz="4" w:space="0" w:color="auto"/>
            </w:tcBorders>
            <w:shd w:val="clear" w:color="auto" w:fill="auto"/>
            <w:vAlign w:val="center"/>
            <w:hideMark/>
          </w:tcPr>
          <w:p w14:paraId="01B0714F" w14:textId="1E6D8693" w:rsidR="00CF472C" w:rsidRPr="00A53AD7" w:rsidRDefault="00CF472C" w:rsidP="009D63DC">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Среднемесячный доход от трудовой деятельности за 2019 год, руб.* (стат</w:t>
            </w:r>
            <w:r w:rsidR="009D63DC" w:rsidRPr="00A53AD7">
              <w:rPr>
                <w:rFonts w:ascii="Times New Roman" w:eastAsia="Times New Roman" w:hAnsi="Times New Roman"/>
                <w:sz w:val="20"/>
                <w:szCs w:val="20"/>
                <w:lang w:eastAsia="ru-RU"/>
              </w:rPr>
              <w:t>. д</w:t>
            </w:r>
            <w:r w:rsidRPr="00A53AD7">
              <w:rPr>
                <w:rFonts w:ascii="Times New Roman" w:eastAsia="Times New Roman" w:hAnsi="Times New Roman"/>
                <w:sz w:val="20"/>
                <w:szCs w:val="20"/>
                <w:lang w:eastAsia="ru-RU"/>
              </w:rPr>
              <w:t>анные)</w:t>
            </w:r>
          </w:p>
        </w:tc>
        <w:tc>
          <w:tcPr>
            <w:tcW w:w="993" w:type="dxa"/>
            <w:tcBorders>
              <w:top w:val="double" w:sz="6" w:space="0" w:color="auto"/>
              <w:left w:val="nil"/>
              <w:bottom w:val="single" w:sz="4" w:space="0" w:color="auto"/>
              <w:right w:val="double" w:sz="6" w:space="0" w:color="auto"/>
            </w:tcBorders>
            <w:shd w:val="clear" w:color="000000" w:fill="FFFFFF"/>
            <w:vAlign w:val="center"/>
            <w:hideMark/>
          </w:tcPr>
          <w:p w14:paraId="68F78737" w14:textId="6E3AA813"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Соотношение, %</w:t>
            </w:r>
            <w:r w:rsidR="00E46634" w:rsidRPr="00A53AD7">
              <w:rPr>
                <w:rFonts w:ascii="Times New Roman" w:eastAsia="Times New Roman" w:hAnsi="Times New Roman"/>
                <w:sz w:val="20"/>
                <w:szCs w:val="20"/>
                <w:lang w:eastAsia="ru-RU"/>
              </w:rPr>
              <w:t xml:space="preserve"> </w:t>
            </w:r>
          </w:p>
        </w:tc>
      </w:tr>
      <w:tr w:rsidR="00A53AD7" w:rsidRPr="00A53AD7" w14:paraId="11EAFA54" w14:textId="77777777" w:rsidTr="00BF4EBD">
        <w:trPr>
          <w:trHeight w:hRule="exact" w:val="255"/>
        </w:trPr>
        <w:tc>
          <w:tcPr>
            <w:tcW w:w="3119" w:type="dxa"/>
            <w:tcBorders>
              <w:top w:val="nil"/>
              <w:left w:val="double" w:sz="6" w:space="0" w:color="auto"/>
              <w:bottom w:val="single" w:sz="4" w:space="0" w:color="auto"/>
              <w:right w:val="single" w:sz="4" w:space="0" w:color="auto"/>
            </w:tcBorders>
            <w:shd w:val="clear" w:color="000000" w:fill="FFFFFF"/>
            <w:vAlign w:val="center"/>
            <w:hideMark/>
          </w:tcPr>
          <w:p w14:paraId="75D3747F" w14:textId="77777777" w:rsidR="00CF472C" w:rsidRPr="00A53AD7" w:rsidRDefault="00CF472C" w:rsidP="00BF4EB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Работники учреждений культуры</w:t>
            </w:r>
          </w:p>
        </w:tc>
        <w:tc>
          <w:tcPr>
            <w:tcW w:w="1843" w:type="dxa"/>
            <w:tcBorders>
              <w:top w:val="nil"/>
              <w:left w:val="nil"/>
              <w:bottom w:val="single" w:sz="4" w:space="0" w:color="auto"/>
              <w:right w:val="single" w:sz="4" w:space="0" w:color="auto"/>
            </w:tcBorders>
            <w:shd w:val="clear" w:color="000000" w:fill="FFFFFF"/>
            <w:vAlign w:val="center"/>
            <w:hideMark/>
          </w:tcPr>
          <w:p w14:paraId="4C2914A9"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41 776,20</w:t>
            </w:r>
          </w:p>
        </w:tc>
        <w:tc>
          <w:tcPr>
            <w:tcW w:w="1275" w:type="dxa"/>
            <w:tcBorders>
              <w:top w:val="nil"/>
              <w:left w:val="nil"/>
              <w:bottom w:val="single" w:sz="4" w:space="0" w:color="auto"/>
              <w:right w:val="single" w:sz="4" w:space="0" w:color="auto"/>
            </w:tcBorders>
            <w:shd w:val="clear" w:color="000000" w:fill="FFFFFF"/>
            <w:vAlign w:val="center"/>
            <w:hideMark/>
          </w:tcPr>
          <w:p w14:paraId="5F0A8038"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41 428,50</w:t>
            </w:r>
          </w:p>
        </w:tc>
        <w:tc>
          <w:tcPr>
            <w:tcW w:w="2268" w:type="dxa"/>
            <w:tcBorders>
              <w:top w:val="nil"/>
              <w:left w:val="nil"/>
              <w:bottom w:val="single" w:sz="4" w:space="0" w:color="auto"/>
              <w:right w:val="single" w:sz="4" w:space="0" w:color="auto"/>
            </w:tcBorders>
            <w:shd w:val="clear" w:color="000000" w:fill="FFFFFF"/>
            <w:vAlign w:val="center"/>
            <w:hideMark/>
          </w:tcPr>
          <w:p w14:paraId="30E5C29B"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42 105,00</w:t>
            </w:r>
          </w:p>
        </w:tc>
        <w:tc>
          <w:tcPr>
            <w:tcW w:w="993" w:type="dxa"/>
            <w:tcBorders>
              <w:top w:val="nil"/>
              <w:left w:val="nil"/>
              <w:bottom w:val="single" w:sz="4" w:space="0" w:color="auto"/>
              <w:right w:val="double" w:sz="6" w:space="0" w:color="auto"/>
            </w:tcBorders>
            <w:shd w:val="clear" w:color="000000" w:fill="FFFFFF"/>
            <w:vAlign w:val="center"/>
            <w:hideMark/>
          </w:tcPr>
          <w:p w14:paraId="79677B1D"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99,2</w:t>
            </w:r>
          </w:p>
        </w:tc>
      </w:tr>
      <w:tr w:rsidR="00A53AD7" w:rsidRPr="00A53AD7" w14:paraId="7A579E75" w14:textId="77777777" w:rsidTr="00BF4EBD">
        <w:trPr>
          <w:trHeight w:hRule="exact" w:val="255"/>
        </w:trPr>
        <w:tc>
          <w:tcPr>
            <w:tcW w:w="3119" w:type="dxa"/>
            <w:tcBorders>
              <w:top w:val="nil"/>
              <w:left w:val="double" w:sz="6" w:space="0" w:color="auto"/>
              <w:bottom w:val="double" w:sz="6" w:space="0" w:color="auto"/>
              <w:right w:val="single" w:sz="4" w:space="0" w:color="auto"/>
            </w:tcBorders>
            <w:shd w:val="clear" w:color="000000" w:fill="FFFFFF"/>
            <w:vAlign w:val="center"/>
            <w:hideMark/>
          </w:tcPr>
          <w:p w14:paraId="7E92267A" w14:textId="77777777" w:rsidR="00CF472C" w:rsidRPr="00A53AD7" w:rsidRDefault="00CF472C" w:rsidP="00BF4EB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Педагогические работники ДШИ</w:t>
            </w:r>
          </w:p>
        </w:tc>
        <w:tc>
          <w:tcPr>
            <w:tcW w:w="1843" w:type="dxa"/>
            <w:tcBorders>
              <w:top w:val="nil"/>
              <w:left w:val="nil"/>
              <w:bottom w:val="double" w:sz="6" w:space="0" w:color="auto"/>
              <w:right w:val="single" w:sz="4" w:space="0" w:color="auto"/>
            </w:tcBorders>
            <w:shd w:val="clear" w:color="000000" w:fill="FFFFFF"/>
            <w:vAlign w:val="center"/>
            <w:hideMark/>
          </w:tcPr>
          <w:p w14:paraId="47DB1ED7"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42 563,75</w:t>
            </w:r>
          </w:p>
        </w:tc>
        <w:tc>
          <w:tcPr>
            <w:tcW w:w="1275" w:type="dxa"/>
            <w:tcBorders>
              <w:top w:val="nil"/>
              <w:left w:val="nil"/>
              <w:bottom w:val="double" w:sz="6" w:space="0" w:color="auto"/>
              <w:right w:val="single" w:sz="4" w:space="0" w:color="auto"/>
            </w:tcBorders>
            <w:shd w:val="clear" w:color="000000" w:fill="FFFFFF"/>
            <w:vAlign w:val="center"/>
            <w:hideMark/>
          </w:tcPr>
          <w:p w14:paraId="3C3AF626"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42 549,7</w:t>
            </w:r>
          </w:p>
        </w:tc>
        <w:tc>
          <w:tcPr>
            <w:tcW w:w="2268" w:type="dxa"/>
            <w:tcBorders>
              <w:top w:val="nil"/>
              <w:left w:val="nil"/>
              <w:bottom w:val="double" w:sz="6" w:space="0" w:color="auto"/>
              <w:right w:val="single" w:sz="4" w:space="0" w:color="auto"/>
            </w:tcBorders>
            <w:shd w:val="clear" w:color="000000" w:fill="FFFFFF"/>
            <w:vAlign w:val="center"/>
            <w:hideMark/>
          </w:tcPr>
          <w:p w14:paraId="3D01D3B1"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42 549,70</w:t>
            </w:r>
          </w:p>
        </w:tc>
        <w:tc>
          <w:tcPr>
            <w:tcW w:w="993" w:type="dxa"/>
            <w:tcBorders>
              <w:top w:val="nil"/>
              <w:left w:val="nil"/>
              <w:bottom w:val="double" w:sz="6" w:space="0" w:color="auto"/>
              <w:right w:val="double" w:sz="6" w:space="0" w:color="auto"/>
            </w:tcBorders>
            <w:shd w:val="clear" w:color="000000" w:fill="FFFFFF"/>
            <w:vAlign w:val="center"/>
            <w:hideMark/>
          </w:tcPr>
          <w:p w14:paraId="0A22F682" w14:textId="77777777" w:rsidR="00CF472C" w:rsidRPr="00A53AD7" w:rsidRDefault="00CF472C" w:rsidP="00BF4EB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0E66E86A" w14:textId="77777777" w:rsidR="00CF472C" w:rsidRPr="00A53AD7" w:rsidRDefault="00CF472C" w:rsidP="00255E2C">
      <w:pPr>
        <w:spacing w:after="0" w:line="240" w:lineRule="auto"/>
        <w:jc w:val="both"/>
        <w:rPr>
          <w:rFonts w:ascii="Times New Roman" w:hAnsi="Times New Roman"/>
          <w:sz w:val="20"/>
          <w:szCs w:val="20"/>
        </w:rPr>
      </w:pPr>
      <w:r w:rsidRPr="00A53AD7">
        <w:rPr>
          <w:rFonts w:ascii="Times New Roman" w:hAnsi="Times New Roman"/>
          <w:sz w:val="20"/>
          <w:szCs w:val="20"/>
        </w:rPr>
        <w:t>Примечание: *по педагогическим работникам ДШИ используется показатель среднемесячная заработная плата учителей в Архангельской области</w:t>
      </w:r>
    </w:p>
    <w:p w14:paraId="03236A45" w14:textId="77777777" w:rsidR="00255E2C" w:rsidRPr="00A53AD7" w:rsidRDefault="00255E2C" w:rsidP="00255E2C">
      <w:pPr>
        <w:pStyle w:val="a8"/>
        <w:ind w:left="0" w:firstLine="851"/>
        <w:jc w:val="both"/>
        <w:rPr>
          <w:sz w:val="28"/>
          <w:szCs w:val="28"/>
        </w:rPr>
      </w:pPr>
    </w:p>
    <w:p w14:paraId="1CEEF25E" w14:textId="7044AC4A" w:rsidR="00CF472C" w:rsidRPr="00A53AD7" w:rsidRDefault="00CF472C" w:rsidP="00255E2C">
      <w:pPr>
        <w:pStyle w:val="a8"/>
        <w:ind w:left="0" w:firstLine="851"/>
        <w:jc w:val="both"/>
        <w:rPr>
          <w:sz w:val="28"/>
          <w:szCs w:val="28"/>
        </w:rPr>
      </w:pPr>
      <w:r w:rsidRPr="00A53AD7">
        <w:rPr>
          <w:sz w:val="28"/>
          <w:szCs w:val="28"/>
        </w:rPr>
        <w:t xml:space="preserve">Причиной недостижения показателя в 2019 году является превышение на 1,6 </w:t>
      </w:r>
      <w:r w:rsidR="00255E2C" w:rsidRPr="00A53AD7">
        <w:rPr>
          <w:sz w:val="28"/>
          <w:szCs w:val="28"/>
        </w:rPr>
        <w:t>%</w:t>
      </w:r>
      <w:r w:rsidRPr="00A53AD7">
        <w:rPr>
          <w:sz w:val="28"/>
          <w:szCs w:val="28"/>
        </w:rPr>
        <w:t xml:space="preserve"> фактически сложившегося показателя по среднемесячному доходу от трудовой деятельности за 2019 год по региону над установленным плановым показателем (41 428,50 рублей – установлено учреждениям, 42 105 рублей – сложился по году по статистическим данным).</w:t>
      </w:r>
    </w:p>
    <w:p w14:paraId="15D4BB0C" w14:textId="77777777" w:rsidR="00CF472C" w:rsidRPr="00A53AD7" w:rsidRDefault="00CF472C" w:rsidP="00255E2C">
      <w:pPr>
        <w:pStyle w:val="a8"/>
        <w:ind w:left="0" w:firstLine="851"/>
        <w:jc w:val="both"/>
        <w:rPr>
          <w:sz w:val="28"/>
          <w:szCs w:val="28"/>
        </w:rPr>
      </w:pPr>
    </w:p>
    <w:p w14:paraId="1D1865FF" w14:textId="77777777" w:rsidR="00CF472C" w:rsidRPr="00A53AD7" w:rsidRDefault="00CF472C" w:rsidP="00255E2C">
      <w:pPr>
        <w:pStyle w:val="a8"/>
        <w:ind w:left="0" w:firstLine="851"/>
        <w:jc w:val="both"/>
        <w:rPr>
          <w:sz w:val="28"/>
          <w:szCs w:val="28"/>
        </w:rPr>
      </w:pPr>
      <w:r w:rsidRPr="00A53AD7">
        <w:rPr>
          <w:sz w:val="28"/>
          <w:szCs w:val="28"/>
        </w:rPr>
        <w:t>Органам местного самоуправления муниципальных образований Архангельской области в рамках межбюджетных отношений в соответствии с заключенными соглашениями перечислено средств в сумме 150,8 млн.руб. (100%) на поддержку отрасли культуры.</w:t>
      </w:r>
    </w:p>
    <w:p w14:paraId="788B6A11" w14:textId="77777777" w:rsidR="0027613D" w:rsidRPr="00A53AD7" w:rsidRDefault="0027613D" w:rsidP="0027613D">
      <w:pPr>
        <w:pStyle w:val="a8"/>
        <w:ind w:left="0" w:firstLine="851"/>
        <w:jc w:val="both"/>
        <w:rPr>
          <w:sz w:val="28"/>
          <w:szCs w:val="28"/>
        </w:rPr>
      </w:pPr>
      <w:r w:rsidRPr="00A53AD7">
        <w:rPr>
          <w:sz w:val="28"/>
          <w:szCs w:val="28"/>
        </w:rPr>
        <w:t>По итогам отчетного года не достигли установленных в указанных соглашениях показателей результативности использования федеральных и областных средств следующие муниципальные образования Архангельской области:</w:t>
      </w:r>
    </w:p>
    <w:tbl>
      <w:tblPr>
        <w:tblW w:w="9498" w:type="dxa"/>
        <w:tblInd w:w="-23" w:type="dxa"/>
        <w:tblLook w:val="04A0" w:firstRow="1" w:lastRow="0" w:firstColumn="1" w:lastColumn="0" w:noHBand="0" w:noVBand="1"/>
      </w:tblPr>
      <w:tblGrid>
        <w:gridCol w:w="6074"/>
        <w:gridCol w:w="1002"/>
        <w:gridCol w:w="1291"/>
        <w:gridCol w:w="1131"/>
      </w:tblGrid>
      <w:tr w:rsidR="00A53AD7" w:rsidRPr="00A53AD7" w14:paraId="6F460952" w14:textId="77777777" w:rsidTr="006A21A7">
        <w:trPr>
          <w:trHeight w:val="315"/>
          <w:tblHeader/>
        </w:trPr>
        <w:tc>
          <w:tcPr>
            <w:tcW w:w="607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770F488" w14:textId="77777777" w:rsidR="0027613D" w:rsidRPr="00A53AD7" w:rsidRDefault="0027613D" w:rsidP="006A21A7">
            <w:pPr>
              <w:spacing w:after="0" w:line="240" w:lineRule="auto"/>
              <w:jc w:val="center"/>
              <w:rPr>
                <w:rFonts w:ascii="Times New Roman" w:eastAsia="Times New Roman" w:hAnsi="Times New Roman"/>
                <w:sz w:val="19"/>
                <w:szCs w:val="19"/>
                <w:lang w:eastAsia="ru-RU"/>
              </w:rPr>
            </w:pPr>
            <w:r w:rsidRPr="00A53AD7">
              <w:rPr>
                <w:rFonts w:ascii="Times New Roman" w:eastAsia="Times New Roman" w:hAnsi="Times New Roman"/>
                <w:sz w:val="19"/>
                <w:szCs w:val="19"/>
                <w:lang w:eastAsia="ru-RU"/>
              </w:rPr>
              <w:t xml:space="preserve">Муниципальное образование </w:t>
            </w:r>
          </w:p>
        </w:tc>
        <w:tc>
          <w:tcPr>
            <w:tcW w:w="2293" w:type="dxa"/>
            <w:gridSpan w:val="2"/>
            <w:tcBorders>
              <w:top w:val="double" w:sz="6" w:space="0" w:color="auto"/>
              <w:left w:val="nil"/>
              <w:bottom w:val="single" w:sz="4" w:space="0" w:color="auto"/>
              <w:right w:val="single" w:sz="4" w:space="0" w:color="auto"/>
            </w:tcBorders>
            <w:shd w:val="clear" w:color="auto" w:fill="auto"/>
            <w:vAlign w:val="center"/>
            <w:hideMark/>
          </w:tcPr>
          <w:p w14:paraId="6361BDAD" w14:textId="77777777" w:rsidR="0027613D" w:rsidRPr="00A53AD7" w:rsidRDefault="0027613D" w:rsidP="006A21A7">
            <w:pPr>
              <w:spacing w:after="0" w:line="240" w:lineRule="auto"/>
              <w:jc w:val="center"/>
              <w:rPr>
                <w:rFonts w:ascii="Times New Roman" w:eastAsia="Times New Roman" w:hAnsi="Times New Roman"/>
                <w:sz w:val="19"/>
                <w:szCs w:val="19"/>
                <w:lang w:eastAsia="ru-RU"/>
              </w:rPr>
            </w:pPr>
            <w:r w:rsidRPr="00A53AD7">
              <w:rPr>
                <w:rFonts w:ascii="Times New Roman" w:eastAsia="Times New Roman" w:hAnsi="Times New Roman"/>
                <w:sz w:val="19"/>
                <w:szCs w:val="19"/>
                <w:lang w:eastAsia="ru-RU"/>
              </w:rPr>
              <w:t>Значения показателя результативности</w:t>
            </w:r>
          </w:p>
        </w:tc>
        <w:tc>
          <w:tcPr>
            <w:tcW w:w="1131"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37B67F7F" w14:textId="77777777" w:rsidR="0027613D" w:rsidRPr="00A53AD7" w:rsidRDefault="0027613D" w:rsidP="006A21A7">
            <w:pPr>
              <w:spacing w:after="0" w:line="240" w:lineRule="auto"/>
              <w:jc w:val="center"/>
              <w:rPr>
                <w:rFonts w:ascii="Times New Roman" w:eastAsia="Times New Roman" w:hAnsi="Times New Roman"/>
                <w:sz w:val="19"/>
                <w:szCs w:val="19"/>
                <w:lang w:eastAsia="ru-RU"/>
              </w:rPr>
            </w:pPr>
            <w:r w:rsidRPr="00A53AD7">
              <w:rPr>
                <w:rFonts w:ascii="Times New Roman" w:eastAsia="Times New Roman" w:hAnsi="Times New Roman"/>
                <w:sz w:val="19"/>
                <w:szCs w:val="19"/>
                <w:lang w:eastAsia="ru-RU"/>
              </w:rPr>
              <w:t>Степень дости-жения показа-теля, процентов</w:t>
            </w:r>
          </w:p>
        </w:tc>
      </w:tr>
      <w:tr w:rsidR="00A53AD7" w:rsidRPr="00A53AD7" w14:paraId="7E369AC8" w14:textId="77777777" w:rsidTr="006A21A7">
        <w:trPr>
          <w:trHeight w:val="507"/>
        </w:trPr>
        <w:tc>
          <w:tcPr>
            <w:tcW w:w="6074" w:type="dxa"/>
            <w:vMerge/>
            <w:tcBorders>
              <w:top w:val="double" w:sz="6" w:space="0" w:color="auto"/>
              <w:left w:val="double" w:sz="6" w:space="0" w:color="auto"/>
              <w:bottom w:val="single" w:sz="4" w:space="0" w:color="auto"/>
              <w:right w:val="single" w:sz="4" w:space="0" w:color="auto"/>
            </w:tcBorders>
            <w:vAlign w:val="center"/>
            <w:hideMark/>
          </w:tcPr>
          <w:p w14:paraId="6CE074FD" w14:textId="77777777" w:rsidR="0027613D" w:rsidRPr="00A53AD7" w:rsidRDefault="0027613D" w:rsidP="006A21A7">
            <w:pPr>
              <w:spacing w:after="0" w:line="240" w:lineRule="auto"/>
              <w:rPr>
                <w:rFonts w:ascii="Times New Roman" w:eastAsia="Times New Roman" w:hAnsi="Times New Roman"/>
                <w:sz w:val="19"/>
                <w:szCs w:val="19"/>
                <w:lang w:eastAsia="ru-RU"/>
              </w:rPr>
            </w:pPr>
          </w:p>
        </w:tc>
        <w:tc>
          <w:tcPr>
            <w:tcW w:w="1002" w:type="dxa"/>
            <w:vMerge w:val="restart"/>
            <w:tcBorders>
              <w:top w:val="nil"/>
              <w:left w:val="single" w:sz="4" w:space="0" w:color="auto"/>
              <w:bottom w:val="single" w:sz="4" w:space="0" w:color="auto"/>
              <w:right w:val="single" w:sz="4" w:space="0" w:color="auto"/>
            </w:tcBorders>
            <w:shd w:val="clear" w:color="auto" w:fill="auto"/>
            <w:vAlign w:val="center"/>
            <w:hideMark/>
          </w:tcPr>
          <w:p w14:paraId="79F504D1"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плановое</w:t>
            </w:r>
          </w:p>
        </w:tc>
        <w:tc>
          <w:tcPr>
            <w:tcW w:w="1291" w:type="dxa"/>
            <w:vMerge w:val="restart"/>
            <w:tcBorders>
              <w:top w:val="nil"/>
              <w:left w:val="single" w:sz="4" w:space="0" w:color="auto"/>
              <w:bottom w:val="single" w:sz="4" w:space="0" w:color="000000"/>
              <w:right w:val="single" w:sz="4" w:space="0" w:color="auto"/>
            </w:tcBorders>
            <w:shd w:val="clear" w:color="auto" w:fill="auto"/>
            <w:vAlign w:val="center"/>
            <w:hideMark/>
          </w:tcPr>
          <w:p w14:paraId="47C6D051"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фактическое</w:t>
            </w:r>
          </w:p>
        </w:tc>
        <w:tc>
          <w:tcPr>
            <w:tcW w:w="1131" w:type="dxa"/>
            <w:vMerge/>
            <w:tcBorders>
              <w:top w:val="double" w:sz="6" w:space="0" w:color="auto"/>
              <w:left w:val="single" w:sz="4" w:space="0" w:color="auto"/>
              <w:bottom w:val="single" w:sz="4" w:space="0" w:color="auto"/>
              <w:right w:val="double" w:sz="6" w:space="0" w:color="auto"/>
            </w:tcBorders>
            <w:vAlign w:val="center"/>
            <w:hideMark/>
          </w:tcPr>
          <w:p w14:paraId="3132A026" w14:textId="77777777" w:rsidR="0027613D" w:rsidRPr="00A53AD7" w:rsidRDefault="0027613D" w:rsidP="006A21A7">
            <w:pPr>
              <w:spacing w:after="0" w:line="240" w:lineRule="auto"/>
              <w:rPr>
                <w:rFonts w:ascii="Times New Roman" w:eastAsia="Times New Roman" w:hAnsi="Times New Roman"/>
                <w:sz w:val="19"/>
                <w:szCs w:val="19"/>
                <w:lang w:eastAsia="ru-RU"/>
              </w:rPr>
            </w:pPr>
          </w:p>
        </w:tc>
      </w:tr>
      <w:tr w:rsidR="00A53AD7" w:rsidRPr="00A53AD7" w14:paraId="4C978B03" w14:textId="77777777" w:rsidTr="006A21A7">
        <w:trPr>
          <w:trHeight w:val="269"/>
        </w:trPr>
        <w:tc>
          <w:tcPr>
            <w:tcW w:w="6074" w:type="dxa"/>
            <w:vMerge/>
            <w:tcBorders>
              <w:top w:val="double" w:sz="6" w:space="0" w:color="auto"/>
              <w:left w:val="double" w:sz="6" w:space="0" w:color="auto"/>
              <w:bottom w:val="single" w:sz="4" w:space="0" w:color="auto"/>
              <w:right w:val="single" w:sz="4" w:space="0" w:color="auto"/>
            </w:tcBorders>
            <w:vAlign w:val="center"/>
            <w:hideMark/>
          </w:tcPr>
          <w:p w14:paraId="0FDCE7B7" w14:textId="77777777" w:rsidR="0027613D" w:rsidRPr="00A53AD7" w:rsidRDefault="0027613D" w:rsidP="006A21A7">
            <w:pPr>
              <w:spacing w:after="0" w:line="240" w:lineRule="auto"/>
              <w:rPr>
                <w:rFonts w:ascii="Times New Roman" w:eastAsia="Times New Roman" w:hAnsi="Times New Roman"/>
                <w:sz w:val="19"/>
                <w:szCs w:val="19"/>
                <w:lang w:eastAsia="ru-RU"/>
              </w:rPr>
            </w:pPr>
          </w:p>
        </w:tc>
        <w:tc>
          <w:tcPr>
            <w:tcW w:w="1002" w:type="dxa"/>
            <w:vMerge/>
            <w:tcBorders>
              <w:top w:val="nil"/>
              <w:left w:val="single" w:sz="4" w:space="0" w:color="auto"/>
              <w:bottom w:val="single" w:sz="4" w:space="0" w:color="auto"/>
              <w:right w:val="single" w:sz="4" w:space="0" w:color="auto"/>
            </w:tcBorders>
            <w:vAlign w:val="center"/>
            <w:hideMark/>
          </w:tcPr>
          <w:p w14:paraId="28B2111A" w14:textId="77777777" w:rsidR="0027613D" w:rsidRPr="00A53AD7" w:rsidRDefault="0027613D" w:rsidP="006A21A7">
            <w:pPr>
              <w:spacing w:after="0" w:line="240" w:lineRule="auto"/>
              <w:rPr>
                <w:rFonts w:ascii="Times New Roman" w:eastAsia="Times New Roman" w:hAnsi="Times New Roman"/>
                <w:sz w:val="20"/>
                <w:szCs w:val="20"/>
                <w:lang w:eastAsia="ru-RU"/>
              </w:rPr>
            </w:pPr>
          </w:p>
        </w:tc>
        <w:tc>
          <w:tcPr>
            <w:tcW w:w="1291" w:type="dxa"/>
            <w:vMerge/>
            <w:tcBorders>
              <w:top w:val="nil"/>
              <w:left w:val="single" w:sz="4" w:space="0" w:color="auto"/>
              <w:bottom w:val="single" w:sz="4" w:space="0" w:color="000000"/>
              <w:right w:val="single" w:sz="4" w:space="0" w:color="auto"/>
            </w:tcBorders>
            <w:vAlign w:val="center"/>
            <w:hideMark/>
          </w:tcPr>
          <w:p w14:paraId="5246E012" w14:textId="77777777" w:rsidR="0027613D" w:rsidRPr="00A53AD7" w:rsidRDefault="0027613D" w:rsidP="006A21A7">
            <w:pPr>
              <w:spacing w:after="0" w:line="240" w:lineRule="auto"/>
              <w:rPr>
                <w:rFonts w:ascii="Times New Roman" w:eastAsia="Times New Roman" w:hAnsi="Times New Roman"/>
                <w:sz w:val="20"/>
                <w:szCs w:val="20"/>
                <w:lang w:eastAsia="ru-RU"/>
              </w:rPr>
            </w:pPr>
          </w:p>
        </w:tc>
        <w:tc>
          <w:tcPr>
            <w:tcW w:w="1131" w:type="dxa"/>
            <w:vMerge/>
            <w:tcBorders>
              <w:top w:val="double" w:sz="6" w:space="0" w:color="auto"/>
              <w:left w:val="single" w:sz="4" w:space="0" w:color="auto"/>
              <w:bottom w:val="single" w:sz="4" w:space="0" w:color="auto"/>
              <w:right w:val="double" w:sz="6" w:space="0" w:color="auto"/>
            </w:tcBorders>
            <w:vAlign w:val="center"/>
            <w:hideMark/>
          </w:tcPr>
          <w:p w14:paraId="040EF347" w14:textId="77777777" w:rsidR="0027613D" w:rsidRPr="00A53AD7" w:rsidRDefault="0027613D" w:rsidP="006A21A7">
            <w:pPr>
              <w:spacing w:after="0" w:line="240" w:lineRule="auto"/>
              <w:rPr>
                <w:rFonts w:ascii="Times New Roman" w:eastAsia="Times New Roman" w:hAnsi="Times New Roman"/>
                <w:sz w:val="19"/>
                <w:szCs w:val="19"/>
                <w:lang w:eastAsia="ru-RU"/>
              </w:rPr>
            </w:pPr>
          </w:p>
        </w:tc>
      </w:tr>
      <w:tr w:rsidR="00A53AD7" w:rsidRPr="00A53AD7" w14:paraId="22837427" w14:textId="77777777" w:rsidTr="006A21A7">
        <w:trPr>
          <w:trHeight w:val="1504"/>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6CBCCFF9" w14:textId="77777777" w:rsidR="0027613D" w:rsidRPr="00A53AD7" w:rsidRDefault="0027613D" w:rsidP="006A21A7">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Субсидия на предоставление субсидий бюджету муниципального образования Архангельской области из областного бюджета на поддержку отрасли культуры (комплектование книжных фондов муниципальных общедоступных библиотек и государственных центральных библиотек субъектов Российской Федерации, государственная поддержка лучших сельских учреждений культуры, подключение муниципальных общедоступных библиотек и государственных центральных библиотек в субъектах Российской Федерации (далее – библиотеки) к информационно-телекоммуникационной сети «Интернет» и развитие библиотечного дела с учетом задачи расширения информационных технологий и оцифровки)</w:t>
            </w:r>
          </w:p>
        </w:tc>
      </w:tr>
      <w:tr w:rsidR="00A53AD7" w:rsidRPr="00A53AD7" w14:paraId="64721232" w14:textId="77777777" w:rsidTr="006A21A7">
        <w:trPr>
          <w:trHeight w:hRule="exact" w:val="255"/>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280BB6D7"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 "Количество посещений организаций культуры по отношению к уровню 2010 года, %"</w:t>
            </w:r>
          </w:p>
        </w:tc>
      </w:tr>
      <w:tr w:rsidR="00A53AD7" w:rsidRPr="00A53AD7" w14:paraId="78312E0E"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0730FBEF"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«Красноборский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7D3DA549"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114,4</w:t>
            </w:r>
          </w:p>
        </w:tc>
        <w:tc>
          <w:tcPr>
            <w:tcW w:w="1291" w:type="dxa"/>
            <w:tcBorders>
              <w:top w:val="nil"/>
              <w:left w:val="nil"/>
              <w:bottom w:val="single" w:sz="4" w:space="0" w:color="auto"/>
              <w:right w:val="single" w:sz="4" w:space="0" w:color="auto"/>
            </w:tcBorders>
            <w:shd w:val="clear" w:color="auto" w:fill="auto"/>
            <w:vAlign w:val="center"/>
            <w:hideMark/>
          </w:tcPr>
          <w:p w14:paraId="40FADAD4"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113,7</w:t>
            </w:r>
          </w:p>
        </w:tc>
        <w:tc>
          <w:tcPr>
            <w:tcW w:w="1131" w:type="dxa"/>
            <w:tcBorders>
              <w:top w:val="nil"/>
              <w:left w:val="nil"/>
              <w:bottom w:val="single" w:sz="4" w:space="0" w:color="auto"/>
              <w:right w:val="double" w:sz="6" w:space="0" w:color="auto"/>
            </w:tcBorders>
            <w:shd w:val="clear" w:color="auto" w:fill="auto"/>
            <w:vAlign w:val="center"/>
            <w:hideMark/>
          </w:tcPr>
          <w:p w14:paraId="72A9D3D9"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99,4</w:t>
            </w:r>
          </w:p>
        </w:tc>
      </w:tr>
      <w:tr w:rsidR="00A53AD7" w:rsidRPr="00A53AD7" w14:paraId="29AD62C1"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11C0C39A"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«Онежский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2B1CAFCE"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115,9</w:t>
            </w:r>
          </w:p>
        </w:tc>
        <w:tc>
          <w:tcPr>
            <w:tcW w:w="1291" w:type="dxa"/>
            <w:tcBorders>
              <w:top w:val="nil"/>
              <w:left w:val="nil"/>
              <w:bottom w:val="single" w:sz="4" w:space="0" w:color="auto"/>
              <w:right w:val="single" w:sz="4" w:space="0" w:color="auto"/>
            </w:tcBorders>
            <w:shd w:val="clear" w:color="auto" w:fill="auto"/>
            <w:vAlign w:val="center"/>
            <w:hideMark/>
          </w:tcPr>
          <w:p w14:paraId="069148E8"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112,4</w:t>
            </w:r>
          </w:p>
        </w:tc>
        <w:tc>
          <w:tcPr>
            <w:tcW w:w="1131" w:type="dxa"/>
            <w:tcBorders>
              <w:top w:val="nil"/>
              <w:left w:val="nil"/>
              <w:bottom w:val="single" w:sz="4" w:space="0" w:color="auto"/>
              <w:right w:val="double" w:sz="6" w:space="0" w:color="auto"/>
            </w:tcBorders>
            <w:shd w:val="clear" w:color="auto" w:fill="auto"/>
            <w:vAlign w:val="center"/>
            <w:hideMark/>
          </w:tcPr>
          <w:p w14:paraId="0EA6A24F"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w:t>
            </w:r>
          </w:p>
        </w:tc>
      </w:tr>
      <w:tr w:rsidR="00A53AD7" w:rsidRPr="00A53AD7" w14:paraId="48FEA6BA"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7BB24679"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«Пинежский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0146914A"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131,2</w:t>
            </w:r>
          </w:p>
        </w:tc>
        <w:tc>
          <w:tcPr>
            <w:tcW w:w="1291" w:type="dxa"/>
            <w:tcBorders>
              <w:top w:val="nil"/>
              <w:left w:val="nil"/>
              <w:bottom w:val="single" w:sz="4" w:space="0" w:color="auto"/>
              <w:right w:val="single" w:sz="4" w:space="0" w:color="auto"/>
            </w:tcBorders>
            <w:shd w:val="clear" w:color="auto" w:fill="auto"/>
            <w:vAlign w:val="center"/>
            <w:hideMark/>
          </w:tcPr>
          <w:p w14:paraId="0B4064C8"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128,3</w:t>
            </w:r>
          </w:p>
        </w:tc>
        <w:tc>
          <w:tcPr>
            <w:tcW w:w="1131" w:type="dxa"/>
            <w:tcBorders>
              <w:top w:val="nil"/>
              <w:left w:val="nil"/>
              <w:bottom w:val="single" w:sz="4" w:space="0" w:color="auto"/>
              <w:right w:val="double" w:sz="6" w:space="0" w:color="auto"/>
            </w:tcBorders>
            <w:shd w:val="clear" w:color="auto" w:fill="auto"/>
            <w:vAlign w:val="center"/>
            <w:hideMark/>
          </w:tcPr>
          <w:p w14:paraId="4066F62B"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97,8</w:t>
            </w:r>
          </w:p>
        </w:tc>
      </w:tr>
      <w:tr w:rsidR="00A53AD7" w:rsidRPr="00A53AD7" w14:paraId="38C7CABD"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6C4EFA4B"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«Холмогорский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2CE50F73"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65,2</w:t>
            </w:r>
          </w:p>
        </w:tc>
        <w:tc>
          <w:tcPr>
            <w:tcW w:w="1291" w:type="dxa"/>
            <w:tcBorders>
              <w:top w:val="nil"/>
              <w:left w:val="nil"/>
              <w:bottom w:val="single" w:sz="4" w:space="0" w:color="auto"/>
              <w:right w:val="single" w:sz="4" w:space="0" w:color="auto"/>
            </w:tcBorders>
            <w:shd w:val="clear" w:color="auto" w:fill="auto"/>
            <w:vAlign w:val="center"/>
            <w:hideMark/>
          </w:tcPr>
          <w:p w14:paraId="6A8E8086"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62,2</w:t>
            </w:r>
          </w:p>
        </w:tc>
        <w:tc>
          <w:tcPr>
            <w:tcW w:w="1131" w:type="dxa"/>
            <w:tcBorders>
              <w:top w:val="nil"/>
              <w:left w:val="nil"/>
              <w:bottom w:val="single" w:sz="4" w:space="0" w:color="auto"/>
              <w:right w:val="double" w:sz="6" w:space="0" w:color="auto"/>
            </w:tcBorders>
            <w:shd w:val="clear" w:color="auto" w:fill="auto"/>
            <w:vAlign w:val="center"/>
            <w:hideMark/>
          </w:tcPr>
          <w:p w14:paraId="77E57509"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95,4</w:t>
            </w:r>
          </w:p>
        </w:tc>
      </w:tr>
      <w:tr w:rsidR="00A53AD7" w:rsidRPr="00A53AD7" w14:paraId="0CCE080B"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63B980DC"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«Город Коряжма»</w:t>
            </w:r>
          </w:p>
        </w:tc>
        <w:tc>
          <w:tcPr>
            <w:tcW w:w="1002" w:type="dxa"/>
            <w:tcBorders>
              <w:top w:val="nil"/>
              <w:left w:val="nil"/>
              <w:bottom w:val="single" w:sz="4" w:space="0" w:color="auto"/>
              <w:right w:val="single" w:sz="4" w:space="0" w:color="auto"/>
            </w:tcBorders>
            <w:shd w:val="clear" w:color="auto" w:fill="auto"/>
            <w:vAlign w:val="center"/>
            <w:hideMark/>
          </w:tcPr>
          <w:p w14:paraId="5E916DB5"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109,1</w:t>
            </w:r>
          </w:p>
        </w:tc>
        <w:tc>
          <w:tcPr>
            <w:tcW w:w="1291" w:type="dxa"/>
            <w:tcBorders>
              <w:top w:val="nil"/>
              <w:left w:val="nil"/>
              <w:bottom w:val="single" w:sz="4" w:space="0" w:color="auto"/>
              <w:right w:val="single" w:sz="4" w:space="0" w:color="auto"/>
            </w:tcBorders>
            <w:shd w:val="clear" w:color="auto" w:fill="auto"/>
            <w:vAlign w:val="center"/>
            <w:hideMark/>
          </w:tcPr>
          <w:p w14:paraId="0C2AA747"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107,1</w:t>
            </w:r>
          </w:p>
        </w:tc>
        <w:tc>
          <w:tcPr>
            <w:tcW w:w="1131" w:type="dxa"/>
            <w:tcBorders>
              <w:top w:val="nil"/>
              <w:left w:val="nil"/>
              <w:bottom w:val="single" w:sz="4" w:space="0" w:color="auto"/>
              <w:right w:val="double" w:sz="6" w:space="0" w:color="auto"/>
            </w:tcBorders>
            <w:shd w:val="clear" w:color="auto" w:fill="auto"/>
            <w:vAlign w:val="center"/>
            <w:hideMark/>
          </w:tcPr>
          <w:p w14:paraId="5B5FFF32"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98,2</w:t>
            </w:r>
          </w:p>
        </w:tc>
      </w:tr>
      <w:tr w:rsidR="00A53AD7" w:rsidRPr="00A53AD7" w14:paraId="0D918AA8"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57175088"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«Котлас»</w:t>
            </w:r>
          </w:p>
        </w:tc>
        <w:tc>
          <w:tcPr>
            <w:tcW w:w="1002" w:type="dxa"/>
            <w:tcBorders>
              <w:top w:val="nil"/>
              <w:left w:val="nil"/>
              <w:bottom w:val="single" w:sz="4" w:space="0" w:color="auto"/>
              <w:right w:val="single" w:sz="4" w:space="0" w:color="auto"/>
            </w:tcBorders>
            <w:shd w:val="clear" w:color="auto" w:fill="auto"/>
            <w:vAlign w:val="center"/>
            <w:hideMark/>
          </w:tcPr>
          <w:p w14:paraId="347956A3"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96,6</w:t>
            </w:r>
          </w:p>
        </w:tc>
        <w:tc>
          <w:tcPr>
            <w:tcW w:w="1291" w:type="dxa"/>
            <w:tcBorders>
              <w:top w:val="nil"/>
              <w:left w:val="nil"/>
              <w:bottom w:val="single" w:sz="4" w:space="0" w:color="auto"/>
              <w:right w:val="single" w:sz="4" w:space="0" w:color="auto"/>
            </w:tcBorders>
            <w:shd w:val="clear" w:color="auto" w:fill="auto"/>
            <w:vAlign w:val="center"/>
            <w:hideMark/>
          </w:tcPr>
          <w:p w14:paraId="2DFD6DE7"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93,1</w:t>
            </w:r>
          </w:p>
        </w:tc>
        <w:tc>
          <w:tcPr>
            <w:tcW w:w="1131" w:type="dxa"/>
            <w:tcBorders>
              <w:top w:val="nil"/>
              <w:left w:val="nil"/>
              <w:bottom w:val="single" w:sz="4" w:space="0" w:color="auto"/>
              <w:right w:val="double" w:sz="6" w:space="0" w:color="auto"/>
            </w:tcBorders>
            <w:shd w:val="clear" w:color="auto" w:fill="auto"/>
            <w:vAlign w:val="center"/>
            <w:hideMark/>
          </w:tcPr>
          <w:p w14:paraId="6E6E03B8"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96,4</w:t>
            </w:r>
          </w:p>
        </w:tc>
      </w:tr>
      <w:tr w:rsidR="00A53AD7" w:rsidRPr="00A53AD7" w14:paraId="06DFB052"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2380F639"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«Лешуконский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25729C1C"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111,4</w:t>
            </w:r>
          </w:p>
        </w:tc>
        <w:tc>
          <w:tcPr>
            <w:tcW w:w="1291" w:type="dxa"/>
            <w:tcBorders>
              <w:top w:val="nil"/>
              <w:left w:val="nil"/>
              <w:bottom w:val="single" w:sz="4" w:space="0" w:color="auto"/>
              <w:right w:val="single" w:sz="4" w:space="0" w:color="auto"/>
            </w:tcBorders>
            <w:shd w:val="clear" w:color="000000" w:fill="FFFFFF"/>
            <w:vAlign w:val="center"/>
            <w:hideMark/>
          </w:tcPr>
          <w:p w14:paraId="38DBA8E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107,4</w:t>
            </w:r>
          </w:p>
        </w:tc>
        <w:tc>
          <w:tcPr>
            <w:tcW w:w="1131" w:type="dxa"/>
            <w:tcBorders>
              <w:top w:val="nil"/>
              <w:left w:val="nil"/>
              <w:bottom w:val="single" w:sz="4" w:space="0" w:color="auto"/>
              <w:right w:val="double" w:sz="6" w:space="0" w:color="auto"/>
            </w:tcBorders>
            <w:shd w:val="clear" w:color="000000" w:fill="FFFFFF"/>
            <w:vAlign w:val="center"/>
            <w:hideMark/>
          </w:tcPr>
          <w:p w14:paraId="5DEA76E2"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96,4</w:t>
            </w:r>
          </w:p>
        </w:tc>
      </w:tr>
      <w:tr w:rsidR="00A53AD7" w:rsidRPr="00A53AD7" w14:paraId="01B4CD9D" w14:textId="77777777" w:rsidTr="006A21A7">
        <w:trPr>
          <w:trHeight w:val="228"/>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4E7BE2B3" w14:textId="77777777" w:rsidR="0027613D" w:rsidRPr="00A53AD7" w:rsidRDefault="0027613D" w:rsidP="006A21A7">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Субсидия на комплектование книжных фондов библиотек муниципальных образований Архангельской области и подписку на периодическую печать</w:t>
            </w:r>
          </w:p>
        </w:tc>
      </w:tr>
      <w:tr w:rsidR="00A53AD7" w:rsidRPr="00A53AD7" w14:paraId="1DF9D158" w14:textId="77777777" w:rsidTr="006A21A7">
        <w:trPr>
          <w:trHeight w:hRule="exact" w:val="255"/>
        </w:trPr>
        <w:tc>
          <w:tcPr>
            <w:tcW w:w="9498"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1040B8AF"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 "Количество посещений организаций культуры по отношению к уровню 2010 года, %"</w:t>
            </w:r>
          </w:p>
        </w:tc>
      </w:tr>
      <w:tr w:rsidR="00A53AD7" w:rsidRPr="00A53AD7" w14:paraId="1A881121"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13E0D731"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«Город Котлас»</w:t>
            </w:r>
          </w:p>
        </w:tc>
        <w:tc>
          <w:tcPr>
            <w:tcW w:w="1002" w:type="dxa"/>
            <w:tcBorders>
              <w:top w:val="nil"/>
              <w:left w:val="nil"/>
              <w:bottom w:val="single" w:sz="4" w:space="0" w:color="auto"/>
              <w:right w:val="single" w:sz="4" w:space="0" w:color="auto"/>
            </w:tcBorders>
            <w:shd w:val="clear" w:color="000000" w:fill="FFFFFF"/>
            <w:vAlign w:val="center"/>
            <w:hideMark/>
          </w:tcPr>
          <w:p w14:paraId="33AC2B73"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96,6</w:t>
            </w:r>
          </w:p>
        </w:tc>
        <w:tc>
          <w:tcPr>
            <w:tcW w:w="1291" w:type="dxa"/>
            <w:tcBorders>
              <w:top w:val="nil"/>
              <w:left w:val="nil"/>
              <w:bottom w:val="single" w:sz="4" w:space="0" w:color="auto"/>
              <w:right w:val="single" w:sz="4" w:space="0" w:color="auto"/>
            </w:tcBorders>
            <w:shd w:val="clear" w:color="000000" w:fill="FFFFFF"/>
            <w:vAlign w:val="center"/>
            <w:hideMark/>
          </w:tcPr>
          <w:p w14:paraId="6F0B9A8A"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93,1</w:t>
            </w:r>
          </w:p>
        </w:tc>
        <w:tc>
          <w:tcPr>
            <w:tcW w:w="1131" w:type="dxa"/>
            <w:tcBorders>
              <w:top w:val="nil"/>
              <w:left w:val="nil"/>
              <w:bottom w:val="single" w:sz="4" w:space="0" w:color="auto"/>
              <w:right w:val="double" w:sz="6" w:space="0" w:color="auto"/>
            </w:tcBorders>
            <w:shd w:val="clear" w:color="000000" w:fill="FFFFFF"/>
            <w:vAlign w:val="center"/>
            <w:hideMark/>
          </w:tcPr>
          <w:p w14:paraId="2B349014"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96,4</w:t>
            </w:r>
          </w:p>
        </w:tc>
      </w:tr>
      <w:tr w:rsidR="00A53AD7" w:rsidRPr="00A53AD7" w14:paraId="25669ED5"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7105EBDD"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«Красноборский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0B36651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114,4</w:t>
            </w:r>
          </w:p>
        </w:tc>
        <w:tc>
          <w:tcPr>
            <w:tcW w:w="1291" w:type="dxa"/>
            <w:tcBorders>
              <w:top w:val="nil"/>
              <w:left w:val="nil"/>
              <w:bottom w:val="single" w:sz="4" w:space="0" w:color="auto"/>
              <w:right w:val="single" w:sz="4" w:space="0" w:color="auto"/>
            </w:tcBorders>
            <w:shd w:val="clear" w:color="000000" w:fill="FFFFFF"/>
            <w:vAlign w:val="center"/>
            <w:hideMark/>
          </w:tcPr>
          <w:p w14:paraId="40CFE051"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113,7</w:t>
            </w:r>
          </w:p>
        </w:tc>
        <w:tc>
          <w:tcPr>
            <w:tcW w:w="1131" w:type="dxa"/>
            <w:tcBorders>
              <w:top w:val="nil"/>
              <w:left w:val="nil"/>
              <w:bottom w:val="single" w:sz="4" w:space="0" w:color="auto"/>
              <w:right w:val="double" w:sz="6" w:space="0" w:color="auto"/>
            </w:tcBorders>
            <w:shd w:val="clear" w:color="000000" w:fill="FFFFFF"/>
            <w:vAlign w:val="center"/>
            <w:hideMark/>
          </w:tcPr>
          <w:p w14:paraId="01DD6489"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99,4</w:t>
            </w:r>
          </w:p>
        </w:tc>
      </w:tr>
      <w:tr w:rsidR="00A53AD7" w:rsidRPr="00A53AD7" w14:paraId="71ED611D"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6CE81AA9"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«Лешуконский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1F53A89A"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111,5</w:t>
            </w:r>
          </w:p>
        </w:tc>
        <w:tc>
          <w:tcPr>
            <w:tcW w:w="1291" w:type="dxa"/>
            <w:tcBorders>
              <w:top w:val="nil"/>
              <w:left w:val="nil"/>
              <w:bottom w:val="single" w:sz="4" w:space="0" w:color="auto"/>
              <w:right w:val="single" w:sz="4" w:space="0" w:color="auto"/>
            </w:tcBorders>
            <w:shd w:val="clear" w:color="000000" w:fill="FFFFFF"/>
            <w:vAlign w:val="center"/>
            <w:hideMark/>
          </w:tcPr>
          <w:p w14:paraId="6777E24D"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107,4</w:t>
            </w:r>
          </w:p>
        </w:tc>
        <w:tc>
          <w:tcPr>
            <w:tcW w:w="1131" w:type="dxa"/>
            <w:tcBorders>
              <w:top w:val="nil"/>
              <w:left w:val="nil"/>
              <w:bottom w:val="single" w:sz="4" w:space="0" w:color="auto"/>
              <w:right w:val="double" w:sz="6" w:space="0" w:color="auto"/>
            </w:tcBorders>
            <w:shd w:val="clear" w:color="000000" w:fill="FFFFFF"/>
            <w:vAlign w:val="center"/>
            <w:hideMark/>
          </w:tcPr>
          <w:p w14:paraId="7D31935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96,3</w:t>
            </w:r>
          </w:p>
        </w:tc>
      </w:tr>
      <w:tr w:rsidR="00A53AD7" w:rsidRPr="00A53AD7" w14:paraId="3F21E576"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3AB39BE2"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«Онежский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176FFACE"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115,9</w:t>
            </w:r>
          </w:p>
        </w:tc>
        <w:tc>
          <w:tcPr>
            <w:tcW w:w="1291" w:type="dxa"/>
            <w:tcBorders>
              <w:top w:val="nil"/>
              <w:left w:val="nil"/>
              <w:bottom w:val="single" w:sz="4" w:space="0" w:color="auto"/>
              <w:right w:val="single" w:sz="4" w:space="0" w:color="auto"/>
            </w:tcBorders>
            <w:shd w:val="clear" w:color="auto" w:fill="auto"/>
            <w:vAlign w:val="center"/>
            <w:hideMark/>
          </w:tcPr>
          <w:p w14:paraId="3DF5722D"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112,4</w:t>
            </w:r>
          </w:p>
        </w:tc>
        <w:tc>
          <w:tcPr>
            <w:tcW w:w="1131" w:type="dxa"/>
            <w:tcBorders>
              <w:top w:val="nil"/>
              <w:left w:val="nil"/>
              <w:bottom w:val="single" w:sz="4" w:space="0" w:color="auto"/>
              <w:right w:val="double" w:sz="6" w:space="0" w:color="auto"/>
            </w:tcBorders>
            <w:shd w:val="clear" w:color="auto" w:fill="auto"/>
            <w:vAlign w:val="center"/>
            <w:hideMark/>
          </w:tcPr>
          <w:p w14:paraId="0C29EAD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w:t>
            </w:r>
          </w:p>
        </w:tc>
      </w:tr>
      <w:tr w:rsidR="00A53AD7" w:rsidRPr="00A53AD7" w14:paraId="5F5CEE9D"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auto" w:fill="auto"/>
            <w:vAlign w:val="center"/>
            <w:hideMark/>
          </w:tcPr>
          <w:p w14:paraId="126CA6AD"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«Пинежский муниципальный район»</w:t>
            </w:r>
          </w:p>
        </w:tc>
        <w:tc>
          <w:tcPr>
            <w:tcW w:w="1002" w:type="dxa"/>
            <w:tcBorders>
              <w:top w:val="nil"/>
              <w:left w:val="nil"/>
              <w:bottom w:val="single" w:sz="4" w:space="0" w:color="auto"/>
              <w:right w:val="single" w:sz="4" w:space="0" w:color="auto"/>
            </w:tcBorders>
            <w:shd w:val="clear" w:color="auto" w:fill="auto"/>
            <w:vAlign w:val="center"/>
            <w:hideMark/>
          </w:tcPr>
          <w:p w14:paraId="6D430746"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131,2</w:t>
            </w:r>
          </w:p>
        </w:tc>
        <w:tc>
          <w:tcPr>
            <w:tcW w:w="1291" w:type="dxa"/>
            <w:tcBorders>
              <w:top w:val="nil"/>
              <w:left w:val="nil"/>
              <w:bottom w:val="single" w:sz="4" w:space="0" w:color="auto"/>
              <w:right w:val="single" w:sz="4" w:space="0" w:color="auto"/>
            </w:tcBorders>
            <w:shd w:val="clear" w:color="auto" w:fill="auto"/>
            <w:vAlign w:val="center"/>
            <w:hideMark/>
          </w:tcPr>
          <w:p w14:paraId="3F7AECC2"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128,3</w:t>
            </w:r>
          </w:p>
        </w:tc>
        <w:tc>
          <w:tcPr>
            <w:tcW w:w="1131" w:type="dxa"/>
            <w:tcBorders>
              <w:top w:val="nil"/>
              <w:left w:val="nil"/>
              <w:bottom w:val="single" w:sz="4" w:space="0" w:color="auto"/>
              <w:right w:val="double" w:sz="6" w:space="0" w:color="auto"/>
            </w:tcBorders>
            <w:shd w:val="clear" w:color="auto" w:fill="auto"/>
            <w:vAlign w:val="center"/>
            <w:hideMark/>
          </w:tcPr>
          <w:p w14:paraId="69D9B0B5"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97,8</w:t>
            </w:r>
          </w:p>
        </w:tc>
      </w:tr>
      <w:tr w:rsidR="00A53AD7" w:rsidRPr="00A53AD7" w14:paraId="6B12E3E4" w14:textId="77777777" w:rsidTr="006A21A7">
        <w:trPr>
          <w:trHeight w:val="510"/>
        </w:trPr>
        <w:tc>
          <w:tcPr>
            <w:tcW w:w="9498" w:type="dxa"/>
            <w:gridSpan w:val="4"/>
            <w:tcBorders>
              <w:top w:val="single" w:sz="4" w:space="0" w:color="auto"/>
              <w:left w:val="double" w:sz="6" w:space="0" w:color="auto"/>
              <w:bottom w:val="single" w:sz="4" w:space="0" w:color="auto"/>
              <w:right w:val="double" w:sz="6" w:space="0" w:color="000000"/>
            </w:tcBorders>
            <w:shd w:val="clear" w:color="000000" w:fill="FFFFFF"/>
            <w:vAlign w:val="center"/>
            <w:hideMark/>
          </w:tcPr>
          <w:p w14:paraId="0B3AD53B" w14:textId="77777777" w:rsidR="0027613D" w:rsidRPr="00A53AD7" w:rsidRDefault="0027613D" w:rsidP="006A21A7">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Субсидия бюджетам муниципальных образований Архангельской области на обеспечение развития и укрепления материально-технической базы домов культуры в населенных пунктах с числом жителей до 50 тысяч человек</w:t>
            </w:r>
          </w:p>
        </w:tc>
      </w:tr>
      <w:tr w:rsidR="00A53AD7" w:rsidRPr="00A53AD7" w14:paraId="58438997" w14:textId="77777777" w:rsidTr="006A21A7">
        <w:trPr>
          <w:trHeight w:val="366"/>
        </w:trPr>
        <w:tc>
          <w:tcPr>
            <w:tcW w:w="9498" w:type="dxa"/>
            <w:gridSpan w:val="4"/>
            <w:tcBorders>
              <w:top w:val="single" w:sz="4" w:space="0" w:color="auto"/>
              <w:left w:val="double" w:sz="6" w:space="0" w:color="auto"/>
              <w:bottom w:val="single" w:sz="4" w:space="0" w:color="auto"/>
              <w:right w:val="double" w:sz="6" w:space="0" w:color="000000"/>
            </w:tcBorders>
            <w:shd w:val="clear" w:color="000000" w:fill="FFFFFF"/>
            <w:vAlign w:val="center"/>
            <w:hideMark/>
          </w:tcPr>
          <w:p w14:paraId="4EBD8927"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 "Средняя численность участников клубных формирований (в муниципальных домах культуры) в расчете на 1 тысячу человек"</w:t>
            </w:r>
          </w:p>
        </w:tc>
      </w:tr>
      <w:tr w:rsidR="00A53AD7" w:rsidRPr="00A53AD7" w14:paraId="27A36AA8"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32023954"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«Котласский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1A5E0C55"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w:t>
            </w:r>
          </w:p>
        </w:tc>
        <w:tc>
          <w:tcPr>
            <w:tcW w:w="1291" w:type="dxa"/>
            <w:tcBorders>
              <w:top w:val="nil"/>
              <w:left w:val="nil"/>
              <w:bottom w:val="single" w:sz="4" w:space="0" w:color="auto"/>
              <w:right w:val="single" w:sz="4" w:space="0" w:color="auto"/>
            </w:tcBorders>
            <w:shd w:val="clear" w:color="000000" w:fill="FFFFFF"/>
            <w:vAlign w:val="center"/>
            <w:hideMark/>
          </w:tcPr>
          <w:p w14:paraId="250BD0ED"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86</w:t>
            </w:r>
          </w:p>
        </w:tc>
        <w:tc>
          <w:tcPr>
            <w:tcW w:w="1131" w:type="dxa"/>
            <w:tcBorders>
              <w:top w:val="nil"/>
              <w:left w:val="nil"/>
              <w:bottom w:val="single" w:sz="4" w:space="0" w:color="auto"/>
              <w:right w:val="double" w:sz="6" w:space="0" w:color="auto"/>
            </w:tcBorders>
            <w:shd w:val="clear" w:color="000000" w:fill="FFFFFF"/>
            <w:vAlign w:val="center"/>
            <w:hideMark/>
          </w:tcPr>
          <w:p w14:paraId="515AE8D7"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91,5</w:t>
            </w:r>
          </w:p>
        </w:tc>
      </w:tr>
      <w:tr w:rsidR="00A53AD7" w:rsidRPr="00A53AD7" w14:paraId="2B371A0D"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433F6DBF"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«Холмогорский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7362137F"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103</w:t>
            </w:r>
          </w:p>
        </w:tc>
        <w:tc>
          <w:tcPr>
            <w:tcW w:w="1291" w:type="dxa"/>
            <w:tcBorders>
              <w:top w:val="nil"/>
              <w:left w:val="nil"/>
              <w:bottom w:val="single" w:sz="4" w:space="0" w:color="auto"/>
              <w:right w:val="single" w:sz="4" w:space="0" w:color="auto"/>
            </w:tcBorders>
            <w:shd w:val="clear" w:color="000000" w:fill="FFFFFF"/>
            <w:vAlign w:val="center"/>
            <w:hideMark/>
          </w:tcPr>
          <w:p w14:paraId="1492EA8C"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w:t>
            </w:r>
          </w:p>
        </w:tc>
        <w:tc>
          <w:tcPr>
            <w:tcW w:w="1131" w:type="dxa"/>
            <w:tcBorders>
              <w:top w:val="nil"/>
              <w:left w:val="nil"/>
              <w:bottom w:val="single" w:sz="4" w:space="0" w:color="auto"/>
              <w:right w:val="double" w:sz="6" w:space="0" w:color="auto"/>
            </w:tcBorders>
            <w:shd w:val="clear" w:color="000000" w:fill="FFFFFF"/>
            <w:vAlign w:val="center"/>
            <w:hideMark/>
          </w:tcPr>
          <w:p w14:paraId="633CB6A1"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w:t>
            </w:r>
          </w:p>
        </w:tc>
      </w:tr>
      <w:tr w:rsidR="00A53AD7" w:rsidRPr="00A53AD7" w14:paraId="33832D9F"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7BEF3D36"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6"/>
                <w:sz w:val="20"/>
                <w:szCs w:val="20"/>
                <w:lang w:eastAsia="ru-RU"/>
              </w:rPr>
              <w:t>МО «Лешуконский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240C2E5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168</w:t>
            </w:r>
          </w:p>
        </w:tc>
        <w:tc>
          <w:tcPr>
            <w:tcW w:w="1291" w:type="dxa"/>
            <w:tcBorders>
              <w:top w:val="nil"/>
              <w:left w:val="nil"/>
              <w:bottom w:val="single" w:sz="4" w:space="0" w:color="auto"/>
              <w:right w:val="single" w:sz="4" w:space="0" w:color="auto"/>
            </w:tcBorders>
            <w:shd w:val="clear" w:color="000000" w:fill="FFFFFF"/>
            <w:vAlign w:val="center"/>
            <w:hideMark/>
          </w:tcPr>
          <w:p w14:paraId="025989E9"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149</w:t>
            </w:r>
          </w:p>
        </w:tc>
        <w:tc>
          <w:tcPr>
            <w:tcW w:w="1131" w:type="dxa"/>
            <w:tcBorders>
              <w:top w:val="nil"/>
              <w:left w:val="nil"/>
              <w:bottom w:val="single" w:sz="4" w:space="0" w:color="auto"/>
              <w:right w:val="double" w:sz="6" w:space="0" w:color="auto"/>
            </w:tcBorders>
            <w:shd w:val="clear" w:color="000000" w:fill="FFFFFF"/>
            <w:vAlign w:val="center"/>
            <w:hideMark/>
          </w:tcPr>
          <w:p w14:paraId="400C50C3"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88,7</w:t>
            </w:r>
          </w:p>
        </w:tc>
      </w:tr>
      <w:tr w:rsidR="00A53AD7" w:rsidRPr="00A53AD7" w14:paraId="45D219D3" w14:textId="77777777" w:rsidTr="006A21A7">
        <w:trPr>
          <w:trHeight w:val="635"/>
        </w:trPr>
        <w:tc>
          <w:tcPr>
            <w:tcW w:w="9498" w:type="dxa"/>
            <w:gridSpan w:val="4"/>
            <w:tcBorders>
              <w:top w:val="single" w:sz="4" w:space="0" w:color="auto"/>
              <w:left w:val="double" w:sz="6" w:space="0" w:color="auto"/>
              <w:bottom w:val="single" w:sz="4" w:space="0" w:color="auto"/>
              <w:right w:val="double" w:sz="6" w:space="0" w:color="000000"/>
            </w:tcBorders>
            <w:shd w:val="clear" w:color="000000" w:fill="FFFFFF"/>
            <w:vAlign w:val="center"/>
            <w:hideMark/>
          </w:tcPr>
          <w:p w14:paraId="4A7A0301" w14:textId="77777777" w:rsidR="0027613D" w:rsidRPr="00A53AD7" w:rsidRDefault="0027613D" w:rsidP="006A21A7">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Субсидия бюджетам муниципальных районов и городских округов Архангельской области на софинансирование мероприятий по проведению ремонтов зданий муниципальных учреждений культуры муниципальных образований Архангельской области</w:t>
            </w:r>
          </w:p>
        </w:tc>
      </w:tr>
      <w:tr w:rsidR="00A53AD7" w:rsidRPr="00A53AD7" w14:paraId="2A56A2E0" w14:textId="77777777" w:rsidTr="006A21A7">
        <w:trPr>
          <w:trHeight w:hRule="exact" w:val="255"/>
        </w:trPr>
        <w:tc>
          <w:tcPr>
            <w:tcW w:w="9498" w:type="dxa"/>
            <w:gridSpan w:val="4"/>
            <w:tcBorders>
              <w:top w:val="single" w:sz="4" w:space="0" w:color="auto"/>
              <w:left w:val="double" w:sz="6" w:space="0" w:color="auto"/>
              <w:bottom w:val="single" w:sz="4" w:space="0" w:color="auto"/>
              <w:right w:val="double" w:sz="6" w:space="0" w:color="000000"/>
            </w:tcBorders>
            <w:shd w:val="clear" w:color="000000" w:fill="FFFFFF"/>
            <w:vAlign w:val="center"/>
            <w:hideMark/>
          </w:tcPr>
          <w:p w14:paraId="2835930A"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 "Прирост посещений муниципальных библиотек по отношению к уровню 2017 года, %"</w:t>
            </w:r>
          </w:p>
        </w:tc>
      </w:tr>
      <w:tr w:rsidR="00A53AD7" w:rsidRPr="00A53AD7" w14:paraId="1A7CA4DA" w14:textId="77777777" w:rsidTr="006A21A7">
        <w:trPr>
          <w:trHeight w:hRule="exact" w:val="255"/>
        </w:trPr>
        <w:tc>
          <w:tcPr>
            <w:tcW w:w="6074" w:type="dxa"/>
            <w:tcBorders>
              <w:top w:val="nil"/>
              <w:left w:val="double" w:sz="6" w:space="0" w:color="auto"/>
              <w:bottom w:val="single" w:sz="4" w:space="0" w:color="auto"/>
              <w:right w:val="single" w:sz="4" w:space="0" w:color="auto"/>
            </w:tcBorders>
            <w:shd w:val="clear" w:color="000000" w:fill="FFFFFF"/>
            <w:vAlign w:val="center"/>
            <w:hideMark/>
          </w:tcPr>
          <w:p w14:paraId="58B346B6"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«Пинежский муниципальный район»</w:t>
            </w:r>
          </w:p>
        </w:tc>
        <w:tc>
          <w:tcPr>
            <w:tcW w:w="1002" w:type="dxa"/>
            <w:tcBorders>
              <w:top w:val="nil"/>
              <w:left w:val="nil"/>
              <w:bottom w:val="single" w:sz="4" w:space="0" w:color="auto"/>
              <w:right w:val="single" w:sz="4" w:space="0" w:color="auto"/>
            </w:tcBorders>
            <w:shd w:val="clear" w:color="000000" w:fill="FFFFFF"/>
            <w:vAlign w:val="center"/>
            <w:hideMark/>
          </w:tcPr>
          <w:p w14:paraId="70AC9E1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101</w:t>
            </w:r>
          </w:p>
        </w:tc>
        <w:tc>
          <w:tcPr>
            <w:tcW w:w="1291" w:type="dxa"/>
            <w:tcBorders>
              <w:top w:val="nil"/>
              <w:left w:val="nil"/>
              <w:bottom w:val="single" w:sz="4" w:space="0" w:color="auto"/>
              <w:right w:val="single" w:sz="4" w:space="0" w:color="auto"/>
            </w:tcBorders>
            <w:shd w:val="clear" w:color="000000" w:fill="FFFFFF"/>
            <w:vAlign w:val="center"/>
            <w:hideMark/>
          </w:tcPr>
          <w:p w14:paraId="2938C5DF"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99,5</w:t>
            </w:r>
          </w:p>
        </w:tc>
        <w:tc>
          <w:tcPr>
            <w:tcW w:w="1131" w:type="dxa"/>
            <w:tcBorders>
              <w:top w:val="nil"/>
              <w:left w:val="nil"/>
              <w:bottom w:val="single" w:sz="4" w:space="0" w:color="auto"/>
              <w:right w:val="double" w:sz="6" w:space="0" w:color="auto"/>
            </w:tcBorders>
            <w:shd w:val="clear" w:color="000000" w:fill="FFFFFF"/>
            <w:vAlign w:val="center"/>
            <w:hideMark/>
          </w:tcPr>
          <w:p w14:paraId="020BD1CF"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98,5</w:t>
            </w:r>
          </w:p>
        </w:tc>
      </w:tr>
      <w:tr w:rsidR="00A53AD7" w:rsidRPr="00A53AD7" w14:paraId="680FE4E9" w14:textId="77777777" w:rsidTr="006A21A7">
        <w:trPr>
          <w:trHeight w:hRule="exact" w:val="255"/>
        </w:trPr>
        <w:tc>
          <w:tcPr>
            <w:tcW w:w="9498" w:type="dxa"/>
            <w:gridSpan w:val="4"/>
            <w:tcBorders>
              <w:top w:val="single" w:sz="4" w:space="0" w:color="auto"/>
              <w:left w:val="double" w:sz="6" w:space="0" w:color="auto"/>
              <w:bottom w:val="single" w:sz="4" w:space="0" w:color="auto"/>
              <w:right w:val="double" w:sz="6" w:space="0" w:color="000000"/>
            </w:tcBorders>
            <w:shd w:val="clear" w:color="000000" w:fill="FFFFFF"/>
            <w:vAlign w:val="center"/>
            <w:hideMark/>
          </w:tcPr>
          <w:p w14:paraId="3ACD10F2"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 "Количество посещений организаций культуры по отношению к уровню 2017 года, %"</w:t>
            </w:r>
          </w:p>
        </w:tc>
      </w:tr>
      <w:tr w:rsidR="00D470B6" w:rsidRPr="00A53AD7" w14:paraId="21BFF5B9" w14:textId="77777777" w:rsidTr="006A21A7">
        <w:trPr>
          <w:trHeight w:val="255"/>
        </w:trPr>
        <w:tc>
          <w:tcPr>
            <w:tcW w:w="6074" w:type="dxa"/>
            <w:tcBorders>
              <w:top w:val="nil"/>
              <w:left w:val="double" w:sz="6" w:space="0" w:color="auto"/>
              <w:bottom w:val="double" w:sz="6" w:space="0" w:color="auto"/>
              <w:right w:val="single" w:sz="4" w:space="0" w:color="auto"/>
            </w:tcBorders>
            <w:shd w:val="clear" w:color="000000" w:fill="FFFFFF"/>
            <w:vAlign w:val="center"/>
            <w:hideMark/>
          </w:tcPr>
          <w:p w14:paraId="44CDA60C" w14:textId="77777777" w:rsidR="0027613D" w:rsidRPr="00A53AD7" w:rsidRDefault="0027613D" w:rsidP="006A21A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«Город Котлас»</w:t>
            </w:r>
          </w:p>
        </w:tc>
        <w:tc>
          <w:tcPr>
            <w:tcW w:w="1002" w:type="dxa"/>
            <w:tcBorders>
              <w:top w:val="nil"/>
              <w:left w:val="nil"/>
              <w:bottom w:val="double" w:sz="6" w:space="0" w:color="auto"/>
              <w:right w:val="single" w:sz="4" w:space="0" w:color="auto"/>
            </w:tcBorders>
            <w:shd w:val="clear" w:color="000000" w:fill="FFFFFF"/>
            <w:vAlign w:val="center"/>
            <w:hideMark/>
          </w:tcPr>
          <w:p w14:paraId="2067E750"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w:t>
            </w:r>
          </w:p>
        </w:tc>
        <w:tc>
          <w:tcPr>
            <w:tcW w:w="1291" w:type="dxa"/>
            <w:tcBorders>
              <w:top w:val="nil"/>
              <w:left w:val="nil"/>
              <w:bottom w:val="double" w:sz="6" w:space="0" w:color="auto"/>
              <w:right w:val="single" w:sz="4" w:space="0" w:color="auto"/>
            </w:tcBorders>
            <w:shd w:val="clear" w:color="000000" w:fill="FFFFFF"/>
            <w:vAlign w:val="center"/>
            <w:hideMark/>
          </w:tcPr>
          <w:p w14:paraId="4D21B071"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97,4</w:t>
            </w:r>
          </w:p>
        </w:tc>
        <w:tc>
          <w:tcPr>
            <w:tcW w:w="1131" w:type="dxa"/>
            <w:tcBorders>
              <w:top w:val="nil"/>
              <w:left w:val="nil"/>
              <w:bottom w:val="double" w:sz="6" w:space="0" w:color="auto"/>
              <w:right w:val="double" w:sz="6" w:space="0" w:color="auto"/>
            </w:tcBorders>
            <w:shd w:val="clear" w:color="000000" w:fill="FFFFFF"/>
            <w:vAlign w:val="center"/>
            <w:hideMark/>
          </w:tcPr>
          <w:p w14:paraId="207ACABA" w14:textId="77777777" w:rsidR="0027613D" w:rsidRPr="00A53AD7" w:rsidRDefault="0027613D" w:rsidP="006A21A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95,5</w:t>
            </w:r>
          </w:p>
        </w:tc>
      </w:tr>
    </w:tbl>
    <w:p w14:paraId="5C427DDE" w14:textId="77777777" w:rsidR="0027613D" w:rsidRPr="00A53AD7" w:rsidRDefault="0027613D" w:rsidP="0027613D">
      <w:pPr>
        <w:pStyle w:val="a8"/>
        <w:ind w:left="0" w:firstLine="851"/>
        <w:jc w:val="both"/>
        <w:rPr>
          <w:sz w:val="28"/>
          <w:szCs w:val="28"/>
        </w:rPr>
      </w:pPr>
    </w:p>
    <w:p w14:paraId="049A5A1B" w14:textId="77777777" w:rsidR="00CF472C" w:rsidRPr="00A53AD7" w:rsidRDefault="00CF472C" w:rsidP="00A766A2">
      <w:pPr>
        <w:pStyle w:val="a8"/>
        <w:ind w:left="0" w:firstLine="851"/>
        <w:jc w:val="both"/>
        <w:rPr>
          <w:sz w:val="28"/>
          <w:szCs w:val="28"/>
        </w:rPr>
      </w:pPr>
      <w:r w:rsidRPr="00A53AD7">
        <w:rPr>
          <w:sz w:val="28"/>
          <w:szCs w:val="28"/>
        </w:rPr>
        <w:t>По итогам отчетного года не достигли установленных в указанных соглашениях показателей результативности использования федеральных и областных средств муниципальные образования Архангельской области:</w:t>
      </w:r>
    </w:p>
    <w:p w14:paraId="307F764E" w14:textId="3F229B4C"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 показателю «Количество посещений организаций культуры по отношению к уровню 2010 года, %» (субсидия на поддержку отрасли культуры и на комплектование книжных фондов библиотек муниципальных образований Архангельской области и подписку на периодическую печать) - 7 муниципальных образований</w:t>
      </w:r>
      <w:r w:rsidR="00A766A2" w:rsidRPr="00A53AD7">
        <w:rPr>
          <w:rFonts w:eastAsia="Calibri"/>
          <w:sz w:val="28"/>
          <w:szCs w:val="28"/>
          <w:lang w:eastAsia="en-US"/>
        </w:rPr>
        <w:t>;</w:t>
      </w:r>
    </w:p>
    <w:p w14:paraId="24EA6687" w14:textId="4CEBA819"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 показателю «Средняя численность участников клубных формирований (в муниципальных домах культуры) в расчете на 1 тысячу человек» (субсидия на обеспечение развития и укрепления материально-технической базы домов культуры в населенных пунктах с числом жителей до 50 тысяч человек) - 3 муниципальных образования</w:t>
      </w:r>
      <w:r w:rsidR="00A766A2" w:rsidRPr="00A53AD7">
        <w:rPr>
          <w:rFonts w:eastAsia="Calibri"/>
          <w:sz w:val="28"/>
          <w:szCs w:val="28"/>
          <w:lang w:eastAsia="en-US"/>
        </w:rPr>
        <w:t>;</w:t>
      </w:r>
    </w:p>
    <w:p w14:paraId="4F6C1ADD" w14:textId="77777777"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 показателю «Прирост посещений муниципальных библиотек по отношению к уровню 2017 года, %» (субсидия на софинансирование мероприятий по проведению ремонтов зданий муниципальных учреждений культуры муниципальных образований Архангельской области) - 1 муниципальное образование;</w:t>
      </w:r>
    </w:p>
    <w:p w14:paraId="014F779E" w14:textId="77777777"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 показателю «Количество посещений организаций культуры по отношению к уровню 2017 года, %» (субсидия на софинансирование мероприятий по проведению ремонтов зданий муниципальных учреждений культуры муниципальных образований Архангельской области) – 1 муниципальное образование.</w:t>
      </w:r>
    </w:p>
    <w:p w14:paraId="31ABBE30" w14:textId="55C100A5" w:rsidR="00CF472C" w:rsidRPr="00A53AD7" w:rsidRDefault="00CF472C" w:rsidP="00CF472C">
      <w:pPr>
        <w:pStyle w:val="ConsPlusNonformat"/>
        <w:ind w:firstLine="709"/>
        <w:jc w:val="both"/>
        <w:rPr>
          <w:rFonts w:ascii="Times New Roman" w:hAnsi="Times New Roman" w:cs="Times New Roman"/>
          <w:sz w:val="28"/>
          <w:szCs w:val="28"/>
          <w:highlight w:val="cyan"/>
        </w:rPr>
      </w:pPr>
    </w:p>
    <w:p w14:paraId="24AC0D75" w14:textId="77777777" w:rsidR="00CF472C" w:rsidRPr="00A53AD7" w:rsidRDefault="00CF472C" w:rsidP="002617F7">
      <w:pPr>
        <w:pStyle w:val="a8"/>
        <w:ind w:left="0" w:firstLine="851"/>
        <w:jc w:val="both"/>
        <w:rPr>
          <w:sz w:val="28"/>
          <w:szCs w:val="28"/>
        </w:rPr>
      </w:pPr>
      <w:r w:rsidRPr="00A53AD7">
        <w:rPr>
          <w:sz w:val="28"/>
          <w:szCs w:val="28"/>
        </w:rPr>
        <w:t>Достижение поставленных целей и решение задач программы осуществлялось посредством реализации запланированных на отчетный год 22 мероприятий, 19 из которых выполнены в полном объеме, что составляет 86,4 % от общего их числа.</w:t>
      </w:r>
    </w:p>
    <w:p w14:paraId="778D090F" w14:textId="77777777" w:rsidR="00CF472C" w:rsidRPr="00A53AD7" w:rsidRDefault="00CF472C" w:rsidP="002617F7">
      <w:pPr>
        <w:pStyle w:val="a8"/>
        <w:ind w:left="0" w:firstLine="851"/>
        <w:jc w:val="both"/>
        <w:rPr>
          <w:sz w:val="28"/>
          <w:szCs w:val="28"/>
        </w:rPr>
      </w:pPr>
      <w:r w:rsidRPr="00A53AD7">
        <w:rPr>
          <w:sz w:val="28"/>
          <w:szCs w:val="28"/>
        </w:rPr>
        <w:t xml:space="preserve">Согласно отчету о реализации госпрограммы по итогам 2019 года не выполнены или выполнены с нарушением срока следующие мероприятия: </w:t>
      </w:r>
    </w:p>
    <w:p w14:paraId="78A17031" w14:textId="5355F585"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«Обеспечение деятельности инспекции по охране объектов культурного наследия Архангельской области» - в связи с внеплановой проверкой Министерством культуры Российской Федерации по Северо-Западному федеральному округу, которая привела к необходимости переноса сроков проведения заседания межведомственной рабочей группы;</w:t>
      </w:r>
    </w:p>
    <w:p w14:paraId="645A0FCB" w14:textId="3825DF1D"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«Проектирование и строительство театра на 380 мест в г. Котласе» -</w:t>
      </w:r>
      <w:r w:rsidR="00E46634" w:rsidRPr="00A53AD7">
        <w:rPr>
          <w:rFonts w:eastAsia="Calibri"/>
          <w:sz w:val="28"/>
          <w:szCs w:val="28"/>
          <w:lang w:eastAsia="en-US"/>
        </w:rPr>
        <w:t xml:space="preserve"> </w:t>
      </w:r>
      <w:r w:rsidRPr="00A53AD7">
        <w:rPr>
          <w:rFonts w:eastAsia="Calibri"/>
          <w:sz w:val="28"/>
          <w:szCs w:val="28"/>
          <w:lang w:eastAsia="en-US"/>
        </w:rPr>
        <w:t>не выполнен срок установления границ земельного участка в связи с внесением изменений в генеральный план города «Котлас» администрацией муниципального образования «Котлас», работы по установлению границ земельного участка перенесены на 2020 год и установлен новый срок 10 апреля 2020 года;</w:t>
      </w:r>
    </w:p>
    <w:p w14:paraId="6E1CD2A8" w14:textId="693CA005" w:rsidR="00CF472C" w:rsidRPr="00A53AD7" w:rsidRDefault="00CF472C" w:rsidP="00BB09B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«Сканирование и индексация архивных документов для функционирования единой архивной информационной системы Архангельской области» -</w:t>
      </w:r>
      <w:r w:rsidR="00E46634" w:rsidRPr="00A53AD7">
        <w:rPr>
          <w:rFonts w:eastAsia="Calibri"/>
          <w:sz w:val="28"/>
          <w:szCs w:val="28"/>
          <w:lang w:eastAsia="en-US"/>
        </w:rPr>
        <w:t xml:space="preserve"> </w:t>
      </w:r>
      <w:r w:rsidRPr="00A53AD7">
        <w:rPr>
          <w:rFonts w:eastAsia="Calibri"/>
          <w:sz w:val="28"/>
          <w:szCs w:val="28"/>
          <w:lang w:eastAsia="en-US"/>
        </w:rPr>
        <w:t>длительные процедуры закупки оборудования и программного обеспечения привели к поздним срокам начала проведения работ по внедрению программного продукта «Единой архивной информационной системы Архангельской области». Проведение работ по внедрения программного продукта «Единой архивной информационной системы Архангельской области» планируется завершить в мае 2020 года</w:t>
      </w:r>
      <w:r w:rsidR="00447418" w:rsidRPr="00A53AD7">
        <w:rPr>
          <w:rFonts w:eastAsia="Calibri"/>
          <w:sz w:val="28"/>
          <w:szCs w:val="28"/>
          <w:lang w:eastAsia="en-US"/>
        </w:rPr>
        <w:t>.</w:t>
      </w:r>
    </w:p>
    <w:p w14:paraId="62CA7728" w14:textId="3A7CE60D" w:rsidR="00CF472C" w:rsidRPr="00A53AD7" w:rsidRDefault="00CF472C" w:rsidP="00447418">
      <w:pPr>
        <w:pStyle w:val="a8"/>
        <w:ind w:left="0" w:firstLine="851"/>
        <w:jc w:val="both"/>
        <w:rPr>
          <w:sz w:val="28"/>
          <w:szCs w:val="28"/>
        </w:rPr>
      </w:pPr>
      <w:r w:rsidRPr="00A53AD7">
        <w:rPr>
          <w:sz w:val="28"/>
          <w:szCs w:val="28"/>
        </w:rPr>
        <w:t>В отчетном году в рамках госпрограммы было запланировано достижение 28 целевых показателей. Согласно проведенной оценке достижения целевых показателей установлено, что 26 целевых показателей достигнуты на 100 % и выше, не достигнуто 2 показателя</w:t>
      </w:r>
      <w:r w:rsidR="00907CAD" w:rsidRPr="00A53AD7">
        <w:rPr>
          <w:sz w:val="28"/>
          <w:szCs w:val="28"/>
        </w:rPr>
        <w:t>:</w:t>
      </w:r>
      <w:r w:rsidRPr="00A53AD7">
        <w:rPr>
          <w:sz w:val="28"/>
          <w:szCs w:val="28"/>
        </w:rPr>
        <w:t xml:space="preserve"> «Объем документов, принятых на постоянное хранение» -</w:t>
      </w:r>
      <w:r w:rsidR="00E46634" w:rsidRPr="00A53AD7">
        <w:rPr>
          <w:sz w:val="28"/>
          <w:szCs w:val="28"/>
        </w:rPr>
        <w:t xml:space="preserve"> </w:t>
      </w:r>
      <w:r w:rsidRPr="00A53AD7">
        <w:rPr>
          <w:sz w:val="28"/>
          <w:szCs w:val="28"/>
        </w:rPr>
        <w:t>99,9% и «Удовлетворенность населения Архангельской области качеством услуг в сфере культуры» - 76,4%. Причина невыполнения целевого показателя «Удовлетворенность населения Архангельской области качеством услуг в сфере культуры» указана «территориальная удаленность учреждений, недостаточное материально-техническое оснащение сельских учреждений повлияло объем и разнообразие предлагаемых населению услуг».</w:t>
      </w:r>
    </w:p>
    <w:p w14:paraId="4033FB7B" w14:textId="3B713557" w:rsidR="00C746B8" w:rsidRPr="00A53AD7" w:rsidRDefault="00C746B8" w:rsidP="00C746B8">
      <w:pPr>
        <w:pStyle w:val="3"/>
        <w:spacing w:line="240" w:lineRule="auto"/>
        <w:jc w:val="center"/>
        <w:rPr>
          <w:rFonts w:ascii="Times New Roman" w:hAnsi="Times New Roman"/>
          <w:b w:val="0"/>
          <w:sz w:val="28"/>
          <w:szCs w:val="28"/>
          <w:u w:val="single"/>
        </w:rPr>
      </w:pPr>
      <w:bookmarkStart w:id="74" w:name="_Toc42006726"/>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00ED1404" w:rsidRPr="00A53AD7">
        <w:rPr>
          <w:rFonts w:ascii="Times New Roman" w:hAnsi="Times New Roman"/>
          <w:b w:val="0"/>
          <w:sz w:val="28"/>
          <w:szCs w:val="28"/>
          <w:u w:val="single"/>
          <w:lang w:val="ru-RU"/>
        </w:rPr>
        <w:t>5</w:t>
      </w:r>
      <w:r w:rsidRPr="00A53AD7">
        <w:rPr>
          <w:rFonts w:ascii="Times New Roman" w:hAnsi="Times New Roman"/>
          <w:b w:val="0"/>
          <w:sz w:val="28"/>
          <w:szCs w:val="28"/>
          <w:u w:val="single"/>
        </w:rPr>
        <w:t xml:space="preserve">. </w:t>
      </w:r>
      <w:r w:rsidR="004327CE" w:rsidRPr="00A53AD7">
        <w:rPr>
          <w:rFonts w:ascii="Times New Roman" w:hAnsi="Times New Roman"/>
          <w:b w:val="0"/>
          <w:sz w:val="28"/>
          <w:szCs w:val="28"/>
          <w:u w:val="single"/>
        </w:rPr>
        <w:t>Государственная программа развития сельского хозяйства и регулирования рынков сельскохозяйственной продукции, сырья и продовольствия Архангельской области</w:t>
      </w:r>
      <w:bookmarkEnd w:id="74"/>
    </w:p>
    <w:p w14:paraId="37427FA6" w14:textId="4E8D7EBF" w:rsidR="00687A6A" w:rsidRPr="00A53AD7" w:rsidRDefault="00274B0A" w:rsidP="00274B0A">
      <w:pPr>
        <w:pStyle w:val="a8"/>
        <w:ind w:left="0" w:firstLine="851"/>
        <w:jc w:val="both"/>
        <w:rPr>
          <w:sz w:val="28"/>
          <w:szCs w:val="28"/>
        </w:rPr>
      </w:pPr>
      <w:r w:rsidRPr="00A53AD7">
        <w:rPr>
          <w:sz w:val="28"/>
          <w:szCs w:val="28"/>
        </w:rPr>
        <w:t>Государственная программа утверждена постановлением Правительства Архангельской области от 09.10.2012 N 436-пп</w:t>
      </w:r>
      <w:r w:rsidR="00CF045B" w:rsidRPr="00A53AD7">
        <w:rPr>
          <w:sz w:val="28"/>
          <w:szCs w:val="28"/>
        </w:rPr>
        <w:t>.</w:t>
      </w:r>
    </w:p>
    <w:p w14:paraId="1C05F38D" w14:textId="77777777" w:rsidR="00687A6A" w:rsidRPr="00A53AD7" w:rsidRDefault="00687A6A" w:rsidP="00274B0A">
      <w:pPr>
        <w:pStyle w:val="a8"/>
        <w:ind w:left="0" w:firstLine="851"/>
        <w:jc w:val="both"/>
        <w:rPr>
          <w:sz w:val="28"/>
          <w:szCs w:val="28"/>
        </w:rPr>
      </w:pPr>
      <w:r w:rsidRPr="00A53AD7">
        <w:rPr>
          <w:sz w:val="28"/>
          <w:szCs w:val="28"/>
        </w:rPr>
        <w:t>Финансирование мероприятий государственной программы развития сельского хозяйства и регулирования рынков сельскохозяйственной продукции, сырья и продовольствия Архангельской области (далее – ГП АО № 436-пп) в 2019 году составило 6 030,6 млн.руб., или 100,2 % к предусмотренному программой объему, в том числе за счет внебюджетных источников – 4 911,4 млн.руб. (100,5%).</w:t>
      </w:r>
    </w:p>
    <w:p w14:paraId="2B5D17DF" w14:textId="77777777" w:rsidR="00687A6A" w:rsidRPr="00A53AD7" w:rsidRDefault="00687A6A" w:rsidP="00274B0A">
      <w:pPr>
        <w:pStyle w:val="a8"/>
        <w:ind w:left="0" w:firstLine="851"/>
        <w:jc w:val="both"/>
        <w:rPr>
          <w:sz w:val="28"/>
          <w:szCs w:val="28"/>
        </w:rPr>
      </w:pPr>
      <w:r w:rsidRPr="00A53AD7">
        <w:rPr>
          <w:sz w:val="28"/>
          <w:szCs w:val="28"/>
        </w:rPr>
        <w:t>Превышение расходов за счет внебюджетных источников сложилось по нескольким мероприятиям программы, в тоже время, по отдельным мероприятиям плановые показатели не выполнены (поддержка укрепления и развития кадрового потенциала АПК (из 6,0 млн.руб. направлено 3,4 млн.руб.), поддержка крестьянских (фермерских) хозяйств (из 1,7 млн.руб. направлено 1,2 млн.руб.), проведение гидромелиоративных мероприятий (из 194,3 млн.руб. направлено всего 1,1 млн.руб.).</w:t>
      </w:r>
    </w:p>
    <w:p w14:paraId="431FE9BE" w14:textId="26EA06FF" w:rsidR="00687A6A" w:rsidRPr="00A53AD7" w:rsidRDefault="00687A6A" w:rsidP="00274B0A">
      <w:pPr>
        <w:pStyle w:val="a8"/>
        <w:ind w:left="0" w:firstLine="851"/>
        <w:jc w:val="both"/>
        <w:rPr>
          <w:sz w:val="28"/>
          <w:szCs w:val="28"/>
        </w:rPr>
      </w:pPr>
      <w:r w:rsidRPr="00A53AD7">
        <w:rPr>
          <w:sz w:val="28"/>
          <w:szCs w:val="28"/>
        </w:rPr>
        <w:t xml:space="preserve">Так, согласно приложению № 8 </w:t>
      </w:r>
      <w:r w:rsidR="00C71E17" w:rsidRPr="00A53AD7">
        <w:rPr>
          <w:sz w:val="28"/>
          <w:szCs w:val="28"/>
        </w:rPr>
        <w:t xml:space="preserve">к </w:t>
      </w:r>
      <w:r w:rsidRPr="00A53AD7">
        <w:rPr>
          <w:sz w:val="28"/>
          <w:szCs w:val="28"/>
        </w:rPr>
        <w:t>Порядк</w:t>
      </w:r>
      <w:r w:rsidR="00C71E17" w:rsidRPr="00A53AD7">
        <w:rPr>
          <w:sz w:val="28"/>
          <w:szCs w:val="28"/>
        </w:rPr>
        <w:t>у</w:t>
      </w:r>
      <w:r w:rsidRPr="00A53AD7">
        <w:rPr>
          <w:sz w:val="28"/>
          <w:szCs w:val="28"/>
        </w:rPr>
        <w:t xml:space="preserve"> № 299-пп в форме годовой отчетности отражается информация о плановых и фактических объемах финансирования (в разрезе источников), источниках использованных внебюджетных средств. Сведения о причинах отклонения фактических объемов финансирования от плановых (в разрезе источников), а также об объемах и причинах неосвоения финансовых средств в разрезе источников финансирования.</w:t>
      </w:r>
    </w:p>
    <w:p w14:paraId="3A56E6F8" w14:textId="201D8731" w:rsidR="00687A6A" w:rsidRPr="00A53AD7" w:rsidRDefault="00687A6A" w:rsidP="00274B0A">
      <w:pPr>
        <w:pStyle w:val="a8"/>
        <w:ind w:left="0" w:firstLine="851"/>
        <w:jc w:val="both"/>
        <w:rPr>
          <w:sz w:val="28"/>
          <w:szCs w:val="28"/>
        </w:rPr>
      </w:pPr>
      <w:r w:rsidRPr="00A53AD7">
        <w:rPr>
          <w:sz w:val="28"/>
          <w:szCs w:val="28"/>
        </w:rPr>
        <w:t xml:space="preserve">Из 11 установленных ГП АО № 436-пп общих целевых показателей не выполнено 3 показателя (27%): </w:t>
      </w:r>
    </w:p>
    <w:p w14:paraId="32E77815" w14:textId="0278E40B" w:rsidR="00687A6A" w:rsidRPr="00A53AD7" w:rsidRDefault="00687A6A" w:rsidP="001A0D3B">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показатель «Индекс производства продукции сельского хозяйства в хозяйствах всех категорий (в сопоставимых ценах) к предыдущему году» (план 99,8%, факт 96,4%);</w:t>
      </w:r>
    </w:p>
    <w:p w14:paraId="74F69C1C" w14:textId="5FB8B663" w:rsidR="00687A6A" w:rsidRPr="00A53AD7" w:rsidRDefault="00687A6A" w:rsidP="001A0D3B">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показатель «Индекс производства продукции растениеводства в хозяйствах всех категорий (в сопоставимых ценах) к предыдущему году» (план 98,6%, факт 94,6%);</w:t>
      </w:r>
    </w:p>
    <w:p w14:paraId="33CFE040" w14:textId="613FE201" w:rsidR="00687A6A" w:rsidRPr="00A53AD7" w:rsidRDefault="00687A6A" w:rsidP="001A0D3B">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показатель «Индекс производства продукции животноводства в хозяйствах всех категорий (в сопоставимых ценах) к предыдущему году» (план 101,6, факт 98,6%).</w:t>
      </w:r>
    </w:p>
    <w:p w14:paraId="48DAB750" w14:textId="77777777" w:rsidR="00687A6A" w:rsidRPr="00A53AD7" w:rsidRDefault="00687A6A" w:rsidP="001A0D3B">
      <w:pPr>
        <w:pStyle w:val="a8"/>
        <w:ind w:left="0" w:firstLine="851"/>
        <w:jc w:val="both"/>
        <w:rPr>
          <w:sz w:val="28"/>
          <w:szCs w:val="28"/>
        </w:rPr>
      </w:pPr>
      <w:r w:rsidRPr="00A53AD7">
        <w:rPr>
          <w:sz w:val="28"/>
          <w:szCs w:val="28"/>
        </w:rPr>
        <w:t>Причинами невыполнения общих показателей результативности ГП АО № 436-пп являются:</w:t>
      </w:r>
    </w:p>
    <w:p w14:paraId="09B75D85" w14:textId="461DCD38" w:rsidR="00687A6A" w:rsidRPr="00A53AD7" w:rsidRDefault="00687A6A" w:rsidP="00EF03B5">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сокращение производства зерна, картофеля и овощей, в том числе и за счет снижения урожайности и снижения размера посевных площадей (ниже отражены данные статистической отчетности за 2019 год</w:t>
      </w:r>
      <w:r w:rsidR="00EF03B5" w:rsidRPr="00A53AD7">
        <w:rPr>
          <w:rFonts w:eastAsia="Calibri"/>
          <w:sz w:val="28"/>
          <w:szCs w:val="28"/>
          <w:lang w:eastAsia="en-US"/>
        </w:rPr>
        <w:t xml:space="preserve"> (см. таблицу </w:t>
      </w:r>
      <w:r w:rsidR="00854646" w:rsidRPr="00A53AD7">
        <w:rPr>
          <w:rFonts w:eastAsia="Calibri"/>
          <w:sz w:val="28"/>
          <w:szCs w:val="28"/>
          <w:lang w:eastAsia="en-US"/>
        </w:rPr>
        <w:t>38</w:t>
      </w:r>
      <w:r w:rsidR="00EF03B5" w:rsidRPr="00A53AD7">
        <w:rPr>
          <w:rFonts w:eastAsia="Calibri"/>
          <w:sz w:val="28"/>
          <w:szCs w:val="28"/>
          <w:lang w:eastAsia="en-US"/>
        </w:rPr>
        <w:t>):</w:t>
      </w:r>
    </w:p>
    <w:p w14:paraId="5A8B688B" w14:textId="77777777" w:rsidR="00687A6A" w:rsidRPr="00A53AD7" w:rsidRDefault="00687A6A" w:rsidP="00687A6A">
      <w:pPr>
        <w:pStyle w:val="ad"/>
        <w:ind w:firstLine="567"/>
        <w:jc w:val="center"/>
        <w:rPr>
          <w:rFonts w:ascii="Times New Roman" w:hAnsi="Times New Roman"/>
          <w:sz w:val="28"/>
          <w:szCs w:val="28"/>
          <w:highlight w:val="cyan"/>
        </w:rPr>
      </w:pPr>
    </w:p>
    <w:p w14:paraId="1357DC8B" w14:textId="38DC082D" w:rsidR="00687A6A" w:rsidRPr="00A53AD7" w:rsidRDefault="00EF03B5" w:rsidP="00EF03B5">
      <w:pPr>
        <w:pStyle w:val="aff0"/>
        <w:spacing w:after="0" w:line="240" w:lineRule="auto"/>
        <w:rPr>
          <w:rFonts w:ascii="Times New Roman" w:hAnsi="Times New Roman"/>
          <w:sz w:val="28"/>
          <w:szCs w:val="28"/>
          <w:highlight w:val="cyan"/>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38</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687A6A" w:rsidRPr="00A53AD7">
        <w:rPr>
          <w:rFonts w:ascii="Times New Roman" w:hAnsi="Times New Roman"/>
          <w:b w:val="0"/>
          <w:sz w:val="24"/>
          <w:szCs w:val="24"/>
        </w:rPr>
        <w:t>Отдельные показатели социально-экономического положения Архангельской области без НАО за 2019 год</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42"/>
        <w:gridCol w:w="3092"/>
        <w:gridCol w:w="3090"/>
      </w:tblGrid>
      <w:tr w:rsidR="00A53AD7" w:rsidRPr="00A53AD7" w14:paraId="1D3DE170" w14:textId="77777777" w:rsidTr="00F152D2">
        <w:tc>
          <w:tcPr>
            <w:tcW w:w="3190" w:type="dxa"/>
          </w:tcPr>
          <w:p w14:paraId="2CB4837C" w14:textId="706F71D2" w:rsidR="00687A6A" w:rsidRPr="00A53AD7" w:rsidRDefault="00F152D2" w:rsidP="00F152D2">
            <w:pPr>
              <w:spacing w:after="0" w:line="240" w:lineRule="auto"/>
              <w:jc w:val="center"/>
              <w:rPr>
                <w:rFonts w:ascii="Times New Roman" w:hAnsi="Times New Roman"/>
                <w:sz w:val="20"/>
                <w:szCs w:val="20"/>
              </w:rPr>
            </w:pPr>
            <w:r w:rsidRPr="00A53AD7">
              <w:rPr>
                <w:rFonts w:ascii="Times New Roman" w:hAnsi="Times New Roman"/>
                <w:sz w:val="20"/>
                <w:szCs w:val="20"/>
              </w:rPr>
              <w:t>Показатель</w:t>
            </w:r>
          </w:p>
        </w:tc>
        <w:tc>
          <w:tcPr>
            <w:tcW w:w="3190" w:type="dxa"/>
          </w:tcPr>
          <w:p w14:paraId="2424EE5C" w14:textId="77777777" w:rsidR="00687A6A" w:rsidRPr="00A53AD7" w:rsidRDefault="00687A6A" w:rsidP="00F152D2">
            <w:pPr>
              <w:spacing w:after="0" w:line="240" w:lineRule="auto"/>
              <w:jc w:val="center"/>
              <w:rPr>
                <w:rFonts w:ascii="Times New Roman" w:hAnsi="Times New Roman"/>
                <w:sz w:val="18"/>
                <w:szCs w:val="18"/>
              </w:rPr>
            </w:pPr>
            <w:r w:rsidRPr="00A53AD7">
              <w:rPr>
                <w:rFonts w:ascii="Times New Roman" w:hAnsi="Times New Roman"/>
                <w:sz w:val="18"/>
                <w:szCs w:val="18"/>
              </w:rPr>
              <w:t>2019 год</w:t>
            </w:r>
          </w:p>
        </w:tc>
        <w:tc>
          <w:tcPr>
            <w:tcW w:w="3191" w:type="dxa"/>
          </w:tcPr>
          <w:p w14:paraId="37D90FBF" w14:textId="77777777" w:rsidR="00687A6A" w:rsidRPr="00A53AD7" w:rsidRDefault="00687A6A" w:rsidP="00F152D2">
            <w:pPr>
              <w:spacing w:after="0" w:line="240" w:lineRule="auto"/>
              <w:jc w:val="center"/>
              <w:rPr>
                <w:rFonts w:ascii="Times New Roman" w:hAnsi="Times New Roman"/>
                <w:sz w:val="18"/>
                <w:szCs w:val="18"/>
              </w:rPr>
            </w:pPr>
            <w:r w:rsidRPr="00A53AD7">
              <w:rPr>
                <w:rFonts w:ascii="Times New Roman" w:hAnsi="Times New Roman"/>
                <w:sz w:val="18"/>
                <w:szCs w:val="18"/>
              </w:rPr>
              <w:t>2019 к 2018 году, в %</w:t>
            </w:r>
          </w:p>
        </w:tc>
      </w:tr>
      <w:tr w:rsidR="00A53AD7" w:rsidRPr="00A53AD7" w14:paraId="43B45AEA" w14:textId="77777777" w:rsidTr="00F152D2">
        <w:tc>
          <w:tcPr>
            <w:tcW w:w="3190" w:type="dxa"/>
          </w:tcPr>
          <w:p w14:paraId="69FE515D"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Валовой сбор зерна (тыс.тонн)</w:t>
            </w:r>
          </w:p>
        </w:tc>
        <w:tc>
          <w:tcPr>
            <w:tcW w:w="3190" w:type="dxa"/>
          </w:tcPr>
          <w:p w14:paraId="5C844828"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1,2</w:t>
            </w:r>
          </w:p>
        </w:tc>
        <w:tc>
          <w:tcPr>
            <w:tcW w:w="3191" w:type="dxa"/>
          </w:tcPr>
          <w:p w14:paraId="59D10B89"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59,1</w:t>
            </w:r>
          </w:p>
        </w:tc>
      </w:tr>
      <w:tr w:rsidR="00A53AD7" w:rsidRPr="00A53AD7" w14:paraId="0338E1E3" w14:textId="77777777" w:rsidTr="00F152D2">
        <w:tc>
          <w:tcPr>
            <w:tcW w:w="3190" w:type="dxa"/>
          </w:tcPr>
          <w:p w14:paraId="79109C2B"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Урожайность, ц с 1 га убранной площади</w:t>
            </w:r>
          </w:p>
        </w:tc>
        <w:tc>
          <w:tcPr>
            <w:tcW w:w="3190" w:type="dxa"/>
          </w:tcPr>
          <w:p w14:paraId="0D4423AC"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17,6</w:t>
            </w:r>
          </w:p>
        </w:tc>
        <w:tc>
          <w:tcPr>
            <w:tcW w:w="3191" w:type="dxa"/>
          </w:tcPr>
          <w:p w14:paraId="0A192F51"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94,0</w:t>
            </w:r>
          </w:p>
        </w:tc>
      </w:tr>
      <w:tr w:rsidR="00A53AD7" w:rsidRPr="00A53AD7" w14:paraId="3E7FA91A" w14:textId="77777777" w:rsidTr="00F152D2">
        <w:tc>
          <w:tcPr>
            <w:tcW w:w="3190" w:type="dxa"/>
          </w:tcPr>
          <w:p w14:paraId="383E826E"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Валовой сбор картофель (тыс.тонн)</w:t>
            </w:r>
          </w:p>
        </w:tc>
        <w:tc>
          <w:tcPr>
            <w:tcW w:w="3190" w:type="dxa"/>
          </w:tcPr>
          <w:p w14:paraId="511E7BF2"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80,3</w:t>
            </w:r>
          </w:p>
        </w:tc>
        <w:tc>
          <w:tcPr>
            <w:tcW w:w="3191" w:type="dxa"/>
          </w:tcPr>
          <w:p w14:paraId="1985D66C"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88,2</w:t>
            </w:r>
          </w:p>
        </w:tc>
      </w:tr>
      <w:tr w:rsidR="00A53AD7" w:rsidRPr="00A53AD7" w14:paraId="684DF69C" w14:textId="77777777" w:rsidTr="00F152D2">
        <w:tc>
          <w:tcPr>
            <w:tcW w:w="3190" w:type="dxa"/>
          </w:tcPr>
          <w:p w14:paraId="4287294E"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Урожайность, ц с 1 га убранной площади</w:t>
            </w:r>
          </w:p>
        </w:tc>
        <w:tc>
          <w:tcPr>
            <w:tcW w:w="3190" w:type="dxa"/>
          </w:tcPr>
          <w:p w14:paraId="56486D87"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135,4</w:t>
            </w:r>
          </w:p>
        </w:tc>
        <w:tc>
          <w:tcPr>
            <w:tcW w:w="3191" w:type="dxa"/>
          </w:tcPr>
          <w:p w14:paraId="339EA5DE"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95,5</w:t>
            </w:r>
          </w:p>
        </w:tc>
      </w:tr>
      <w:tr w:rsidR="00A53AD7" w:rsidRPr="00A53AD7" w14:paraId="7DD2F03D" w14:textId="77777777" w:rsidTr="00F152D2">
        <w:tc>
          <w:tcPr>
            <w:tcW w:w="3190" w:type="dxa"/>
          </w:tcPr>
          <w:p w14:paraId="11FAAB05"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Валовой сбор овощи (тыс.тонн)</w:t>
            </w:r>
          </w:p>
        </w:tc>
        <w:tc>
          <w:tcPr>
            <w:tcW w:w="3190" w:type="dxa"/>
          </w:tcPr>
          <w:p w14:paraId="587FAB51"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25,5</w:t>
            </w:r>
          </w:p>
        </w:tc>
        <w:tc>
          <w:tcPr>
            <w:tcW w:w="3191" w:type="dxa"/>
          </w:tcPr>
          <w:p w14:paraId="34DC2DB9"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96,6</w:t>
            </w:r>
          </w:p>
        </w:tc>
      </w:tr>
      <w:tr w:rsidR="00A53AD7" w:rsidRPr="00A53AD7" w14:paraId="2DBBC8F1" w14:textId="77777777" w:rsidTr="00F152D2">
        <w:tc>
          <w:tcPr>
            <w:tcW w:w="3190" w:type="dxa"/>
          </w:tcPr>
          <w:p w14:paraId="205752CB"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sz w:val="18"/>
                <w:szCs w:val="18"/>
              </w:rPr>
              <w:t>Урожайность, ц с 1 га убранной площади</w:t>
            </w:r>
          </w:p>
        </w:tc>
        <w:tc>
          <w:tcPr>
            <w:tcW w:w="3190" w:type="dxa"/>
          </w:tcPr>
          <w:p w14:paraId="510FE852"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223,3</w:t>
            </w:r>
          </w:p>
        </w:tc>
        <w:tc>
          <w:tcPr>
            <w:tcW w:w="3191" w:type="dxa"/>
          </w:tcPr>
          <w:p w14:paraId="6A5082EE"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99,0</w:t>
            </w:r>
          </w:p>
        </w:tc>
      </w:tr>
      <w:tr w:rsidR="00A53AD7" w:rsidRPr="00A53AD7" w14:paraId="55831CF5" w14:textId="77777777" w:rsidTr="00F152D2">
        <w:tc>
          <w:tcPr>
            <w:tcW w:w="3190" w:type="dxa"/>
          </w:tcPr>
          <w:p w14:paraId="18188F48" w14:textId="77777777" w:rsidR="00687A6A" w:rsidRPr="00A53AD7" w:rsidRDefault="00687A6A" w:rsidP="00F152D2">
            <w:pPr>
              <w:spacing w:after="0" w:line="240" w:lineRule="auto"/>
              <w:rPr>
                <w:rFonts w:ascii="Times New Roman" w:hAnsi="Times New Roman"/>
                <w:sz w:val="18"/>
                <w:szCs w:val="18"/>
              </w:rPr>
            </w:pPr>
            <w:r w:rsidRPr="00A53AD7">
              <w:rPr>
                <w:rFonts w:ascii="Times New Roman" w:hAnsi="Times New Roman"/>
                <w:bCs/>
                <w:sz w:val="18"/>
                <w:szCs w:val="18"/>
                <w:shd w:val="clear" w:color="auto" w:fill="FFFFFF"/>
              </w:rPr>
              <w:t>Посевные площади сельскохозяйственных культур в хозяйствах всех категорий, тыс. гектар</w:t>
            </w:r>
          </w:p>
        </w:tc>
        <w:tc>
          <w:tcPr>
            <w:tcW w:w="3190" w:type="dxa"/>
          </w:tcPr>
          <w:p w14:paraId="013D8CCF"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66,0</w:t>
            </w:r>
          </w:p>
        </w:tc>
        <w:tc>
          <w:tcPr>
            <w:tcW w:w="3191" w:type="dxa"/>
          </w:tcPr>
          <w:p w14:paraId="314F97E6"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95,2</w:t>
            </w:r>
          </w:p>
        </w:tc>
      </w:tr>
      <w:tr w:rsidR="00687A6A" w:rsidRPr="00A53AD7" w14:paraId="1C19C453" w14:textId="77777777" w:rsidTr="00F152D2">
        <w:tc>
          <w:tcPr>
            <w:tcW w:w="3190" w:type="dxa"/>
          </w:tcPr>
          <w:p w14:paraId="21FAD682" w14:textId="77777777" w:rsidR="00687A6A" w:rsidRPr="00A53AD7" w:rsidRDefault="00687A6A" w:rsidP="00F152D2">
            <w:pPr>
              <w:spacing w:after="0" w:line="240" w:lineRule="auto"/>
              <w:rPr>
                <w:rFonts w:ascii="Times New Roman" w:hAnsi="Times New Roman"/>
                <w:bCs/>
                <w:sz w:val="18"/>
                <w:szCs w:val="18"/>
                <w:shd w:val="clear" w:color="auto" w:fill="FFFFFF"/>
              </w:rPr>
            </w:pPr>
            <w:r w:rsidRPr="00A53AD7">
              <w:rPr>
                <w:rFonts w:ascii="Times New Roman" w:hAnsi="Times New Roman"/>
                <w:bCs/>
                <w:sz w:val="18"/>
                <w:szCs w:val="18"/>
                <w:shd w:val="clear" w:color="auto" w:fill="FFFFFF"/>
              </w:rPr>
              <w:t>в т.ч. картофель</w:t>
            </w:r>
          </w:p>
        </w:tc>
        <w:tc>
          <w:tcPr>
            <w:tcW w:w="3190" w:type="dxa"/>
          </w:tcPr>
          <w:p w14:paraId="2F03FFCF" w14:textId="77777777" w:rsidR="00687A6A" w:rsidRPr="00A53AD7" w:rsidRDefault="00687A6A" w:rsidP="00F152D2">
            <w:pPr>
              <w:spacing w:after="0" w:line="240" w:lineRule="auto"/>
              <w:jc w:val="center"/>
              <w:rPr>
                <w:rFonts w:ascii="Times New Roman" w:hAnsi="Times New Roman"/>
                <w:sz w:val="20"/>
                <w:szCs w:val="20"/>
              </w:rPr>
            </w:pPr>
            <w:r w:rsidRPr="00A53AD7">
              <w:rPr>
                <w:rFonts w:ascii="Times New Roman" w:hAnsi="Times New Roman"/>
                <w:sz w:val="20"/>
                <w:szCs w:val="20"/>
              </w:rPr>
              <w:t>6,1</w:t>
            </w:r>
          </w:p>
        </w:tc>
        <w:tc>
          <w:tcPr>
            <w:tcW w:w="3191" w:type="dxa"/>
          </w:tcPr>
          <w:p w14:paraId="47798616" w14:textId="0056BC22" w:rsidR="00687A6A" w:rsidRPr="00A53AD7" w:rsidRDefault="00687A6A" w:rsidP="00854646">
            <w:pPr>
              <w:spacing w:after="0" w:line="240" w:lineRule="auto"/>
              <w:jc w:val="center"/>
              <w:rPr>
                <w:rFonts w:ascii="Times New Roman" w:hAnsi="Times New Roman"/>
                <w:sz w:val="20"/>
                <w:szCs w:val="20"/>
              </w:rPr>
            </w:pPr>
            <w:r w:rsidRPr="00A53AD7">
              <w:rPr>
                <w:rFonts w:ascii="Times New Roman" w:hAnsi="Times New Roman"/>
                <w:sz w:val="20"/>
                <w:szCs w:val="20"/>
              </w:rPr>
              <w:t>95,3</w:t>
            </w:r>
          </w:p>
        </w:tc>
      </w:tr>
    </w:tbl>
    <w:p w14:paraId="238D5ED3" w14:textId="77777777" w:rsidR="00687A6A" w:rsidRPr="00A53AD7" w:rsidRDefault="00687A6A" w:rsidP="00687A6A">
      <w:pPr>
        <w:pStyle w:val="ad"/>
        <w:ind w:firstLine="567"/>
        <w:jc w:val="both"/>
        <w:rPr>
          <w:rFonts w:ascii="Times New Roman" w:hAnsi="Times New Roman"/>
          <w:sz w:val="28"/>
          <w:szCs w:val="28"/>
          <w:highlight w:val="cyan"/>
          <w:shd w:val="clear" w:color="auto" w:fill="FFFFFF"/>
          <w:lang w:eastAsia="ru-RU"/>
        </w:rPr>
      </w:pPr>
    </w:p>
    <w:p w14:paraId="017B80C0" w14:textId="298D2A4B" w:rsidR="00687A6A" w:rsidRPr="00A53AD7" w:rsidRDefault="00687A6A" w:rsidP="00F152D2">
      <w:pPr>
        <w:pStyle w:val="a8"/>
        <w:ind w:left="0" w:firstLine="851"/>
        <w:jc w:val="both"/>
        <w:rPr>
          <w:sz w:val="28"/>
          <w:szCs w:val="28"/>
        </w:rPr>
      </w:pPr>
      <w:r w:rsidRPr="00A53AD7">
        <w:rPr>
          <w:sz w:val="28"/>
          <w:szCs w:val="28"/>
        </w:rPr>
        <w:t>По информации министерства АПК АО, факторами, влияющими на выполнение установленных показателей</w:t>
      </w:r>
      <w:r w:rsidR="00F152D2" w:rsidRPr="00A53AD7">
        <w:rPr>
          <w:sz w:val="28"/>
          <w:szCs w:val="28"/>
        </w:rPr>
        <w:t>,</w:t>
      </w:r>
      <w:r w:rsidRPr="00A53AD7">
        <w:rPr>
          <w:sz w:val="28"/>
          <w:szCs w:val="28"/>
        </w:rPr>
        <w:t xml:space="preserve"> стали неблагоприятные погодные условия, которые оказали негативное влияние на валовой сбор зерна и картофеля – «гибель сельскохозяйственных культур в результате опасного агрометеорологического яв</w:t>
      </w:r>
      <w:r w:rsidR="00F152D2" w:rsidRPr="00A53AD7">
        <w:rPr>
          <w:sz w:val="28"/>
          <w:szCs w:val="28"/>
        </w:rPr>
        <w:t>ления - "переувлаженние почвы"»;</w:t>
      </w:r>
    </w:p>
    <w:p w14:paraId="7A06ECC9" w14:textId="55689E49" w:rsidR="00687A6A" w:rsidRPr="00A53AD7" w:rsidRDefault="00687A6A" w:rsidP="00F152D2">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сокращение производства скота и птицы на убой в живом весе в 2019 году на 0,9 тыс. тонн по сравнению с 2018 годом (к 2018 году 88,5%).</w:t>
      </w:r>
    </w:p>
    <w:p w14:paraId="5118CAC0" w14:textId="77777777" w:rsidR="0027613D" w:rsidRPr="00A53AD7" w:rsidRDefault="0027613D" w:rsidP="0027613D">
      <w:pPr>
        <w:pStyle w:val="a8"/>
        <w:ind w:left="0" w:firstLine="851"/>
        <w:jc w:val="both"/>
        <w:rPr>
          <w:sz w:val="28"/>
          <w:szCs w:val="28"/>
        </w:rPr>
      </w:pPr>
      <w:r w:rsidRPr="00A53AD7">
        <w:rPr>
          <w:sz w:val="28"/>
          <w:szCs w:val="28"/>
        </w:rPr>
        <w:t>Кроме того, из 40 целевых показателей, характеризующих эффективность реализации четырех подпрограмм ГП АО № 436-пп, в 2019 году не достигнуто 15 показателей, что составляет 37% к общему количеству, информация о не выполненных показателях представлена в таблице:</w:t>
      </w:r>
    </w:p>
    <w:tbl>
      <w:tblPr>
        <w:tblW w:w="9355" w:type="dxa"/>
        <w:tblInd w:w="93" w:type="dxa"/>
        <w:tblLayout w:type="fixed"/>
        <w:tblLook w:val="04A0" w:firstRow="1" w:lastRow="0" w:firstColumn="1" w:lastColumn="0" w:noHBand="0" w:noVBand="1"/>
      </w:tblPr>
      <w:tblGrid>
        <w:gridCol w:w="5137"/>
        <w:gridCol w:w="709"/>
        <w:gridCol w:w="709"/>
        <w:gridCol w:w="708"/>
        <w:gridCol w:w="709"/>
        <w:gridCol w:w="709"/>
        <w:gridCol w:w="674"/>
      </w:tblGrid>
      <w:tr w:rsidR="00A53AD7" w:rsidRPr="00A53AD7" w14:paraId="10A63315" w14:textId="77777777" w:rsidTr="00224FB8">
        <w:trPr>
          <w:trHeight w:val="769"/>
          <w:tblHeader/>
        </w:trPr>
        <w:tc>
          <w:tcPr>
            <w:tcW w:w="5137" w:type="dxa"/>
            <w:vMerge w:val="restart"/>
            <w:tcBorders>
              <w:top w:val="double" w:sz="4" w:space="0" w:color="auto"/>
              <w:left w:val="double" w:sz="4" w:space="0" w:color="auto"/>
              <w:bottom w:val="single" w:sz="4" w:space="0" w:color="000000"/>
              <w:right w:val="single" w:sz="4" w:space="0" w:color="auto"/>
            </w:tcBorders>
            <w:shd w:val="clear" w:color="auto" w:fill="auto"/>
            <w:vAlign w:val="center"/>
            <w:hideMark/>
          </w:tcPr>
          <w:p w14:paraId="2C12143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Наименование целевого показателя</w:t>
            </w:r>
          </w:p>
        </w:tc>
        <w:tc>
          <w:tcPr>
            <w:tcW w:w="709"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4C9F08D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Единица измерения</w:t>
            </w:r>
          </w:p>
        </w:tc>
        <w:tc>
          <w:tcPr>
            <w:tcW w:w="70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C228E5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План</w:t>
            </w:r>
          </w:p>
          <w:p w14:paraId="24BBC44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 2019 год</w:t>
            </w:r>
          </w:p>
        </w:tc>
        <w:tc>
          <w:tcPr>
            <w:tcW w:w="70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2667AE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факт за 2019 год</w:t>
            </w:r>
          </w:p>
        </w:tc>
        <w:tc>
          <w:tcPr>
            <w:tcW w:w="709"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40854A2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 исполнения </w:t>
            </w:r>
          </w:p>
        </w:tc>
        <w:tc>
          <w:tcPr>
            <w:tcW w:w="70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47AA56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выполнения к 2017 году</w:t>
            </w:r>
          </w:p>
        </w:tc>
        <w:tc>
          <w:tcPr>
            <w:tcW w:w="674"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0027C46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выполнения к 2018 году</w:t>
            </w:r>
          </w:p>
        </w:tc>
      </w:tr>
      <w:tr w:rsidR="00A53AD7" w:rsidRPr="00A53AD7" w14:paraId="36050D6D" w14:textId="77777777" w:rsidTr="0027613D">
        <w:trPr>
          <w:trHeight w:val="269"/>
        </w:trPr>
        <w:tc>
          <w:tcPr>
            <w:tcW w:w="5137" w:type="dxa"/>
            <w:vMerge/>
            <w:tcBorders>
              <w:top w:val="single" w:sz="4" w:space="0" w:color="auto"/>
              <w:left w:val="double" w:sz="4" w:space="0" w:color="auto"/>
              <w:bottom w:val="single" w:sz="4" w:space="0" w:color="000000"/>
              <w:right w:val="single" w:sz="4" w:space="0" w:color="auto"/>
            </w:tcBorders>
            <w:vAlign w:val="center"/>
            <w:hideMark/>
          </w:tcPr>
          <w:p w14:paraId="53025EAE"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14:paraId="1CF72E4F"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B8445F"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23C8C7"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8DA5315"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B22FD6" w14:textId="77777777" w:rsidR="00687A6A" w:rsidRPr="00A53AD7" w:rsidRDefault="00687A6A" w:rsidP="00274B0A">
            <w:pPr>
              <w:spacing w:after="0" w:line="240" w:lineRule="auto"/>
              <w:rPr>
                <w:rFonts w:ascii="Times New Roman" w:eastAsia="Times New Roman" w:hAnsi="Times New Roman"/>
                <w:sz w:val="16"/>
                <w:szCs w:val="16"/>
                <w:lang w:eastAsia="ru-RU"/>
              </w:rPr>
            </w:pPr>
          </w:p>
        </w:tc>
        <w:tc>
          <w:tcPr>
            <w:tcW w:w="674" w:type="dxa"/>
            <w:vMerge/>
            <w:tcBorders>
              <w:top w:val="single" w:sz="4" w:space="0" w:color="auto"/>
              <w:left w:val="single" w:sz="4" w:space="0" w:color="auto"/>
              <w:bottom w:val="single" w:sz="4" w:space="0" w:color="auto"/>
              <w:right w:val="double" w:sz="4" w:space="0" w:color="auto"/>
            </w:tcBorders>
            <w:vAlign w:val="center"/>
            <w:hideMark/>
          </w:tcPr>
          <w:p w14:paraId="40E1EB1A" w14:textId="77777777" w:rsidR="00687A6A" w:rsidRPr="00A53AD7" w:rsidRDefault="00687A6A" w:rsidP="00274B0A">
            <w:pPr>
              <w:spacing w:after="0" w:line="240" w:lineRule="auto"/>
              <w:rPr>
                <w:rFonts w:ascii="Times New Roman" w:eastAsia="Times New Roman" w:hAnsi="Times New Roman"/>
                <w:sz w:val="16"/>
                <w:szCs w:val="16"/>
                <w:lang w:eastAsia="ru-RU"/>
              </w:rPr>
            </w:pPr>
          </w:p>
        </w:tc>
      </w:tr>
      <w:tr w:rsidR="00A53AD7" w:rsidRPr="00A53AD7" w14:paraId="20C927CB" w14:textId="77777777" w:rsidTr="00F152D2">
        <w:trPr>
          <w:trHeight w:val="255"/>
        </w:trPr>
        <w:tc>
          <w:tcPr>
            <w:tcW w:w="9355" w:type="dxa"/>
            <w:gridSpan w:val="7"/>
            <w:tcBorders>
              <w:top w:val="single" w:sz="4" w:space="0" w:color="auto"/>
              <w:left w:val="double" w:sz="4" w:space="0" w:color="auto"/>
              <w:bottom w:val="single" w:sz="4" w:space="0" w:color="auto"/>
              <w:right w:val="double" w:sz="4" w:space="0" w:color="auto"/>
            </w:tcBorders>
            <w:shd w:val="clear" w:color="auto" w:fill="auto"/>
            <w:noWrap/>
            <w:vAlign w:val="center"/>
            <w:hideMark/>
          </w:tcPr>
          <w:p w14:paraId="7AE0E549" w14:textId="77777777" w:rsidR="00687A6A" w:rsidRPr="00A53AD7" w:rsidRDefault="00687A6A" w:rsidP="00274B0A">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Подпрограмма № 1 "Развитие агропромышленного комплекса Архангельской области"</w:t>
            </w:r>
          </w:p>
        </w:tc>
      </w:tr>
      <w:tr w:rsidR="00A53AD7" w:rsidRPr="00A53AD7" w14:paraId="16B2C766" w14:textId="77777777" w:rsidTr="00F152D2">
        <w:trPr>
          <w:trHeight w:val="560"/>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60085D67" w14:textId="46D59DBF" w:rsidR="00687A6A" w:rsidRPr="00A53AD7" w:rsidRDefault="00687A6A" w:rsidP="005005D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Валовой сбор зерновых и зернобобовых культур в сельскохозяйственных организациях, крестьянских (фермерских) хозяйствах, включая индивидуальных предпринимателей</w:t>
            </w:r>
          </w:p>
        </w:tc>
        <w:tc>
          <w:tcPr>
            <w:tcW w:w="709" w:type="dxa"/>
            <w:tcBorders>
              <w:top w:val="nil"/>
              <w:left w:val="nil"/>
              <w:bottom w:val="single" w:sz="4" w:space="0" w:color="auto"/>
              <w:right w:val="single" w:sz="4" w:space="0" w:color="auto"/>
            </w:tcBorders>
            <w:shd w:val="clear" w:color="auto" w:fill="auto"/>
            <w:vAlign w:val="center"/>
            <w:hideMark/>
          </w:tcPr>
          <w:p w14:paraId="3BF41D4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1F13CCA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4,20</w:t>
            </w:r>
          </w:p>
        </w:tc>
        <w:tc>
          <w:tcPr>
            <w:tcW w:w="708" w:type="dxa"/>
            <w:tcBorders>
              <w:top w:val="nil"/>
              <w:left w:val="nil"/>
              <w:bottom w:val="single" w:sz="4" w:space="0" w:color="auto"/>
              <w:right w:val="single" w:sz="4" w:space="0" w:color="auto"/>
            </w:tcBorders>
            <w:shd w:val="clear" w:color="auto" w:fill="auto"/>
            <w:vAlign w:val="center"/>
            <w:hideMark/>
          </w:tcPr>
          <w:p w14:paraId="559E6A9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1,20</w:t>
            </w:r>
          </w:p>
        </w:tc>
        <w:tc>
          <w:tcPr>
            <w:tcW w:w="709" w:type="dxa"/>
            <w:tcBorders>
              <w:top w:val="nil"/>
              <w:left w:val="nil"/>
              <w:bottom w:val="single" w:sz="4" w:space="0" w:color="auto"/>
              <w:right w:val="single" w:sz="4" w:space="0" w:color="auto"/>
            </w:tcBorders>
            <w:shd w:val="clear" w:color="000000" w:fill="FFFFFF"/>
            <w:vAlign w:val="center"/>
            <w:hideMark/>
          </w:tcPr>
          <w:p w14:paraId="396D34B2"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28,60</w:t>
            </w:r>
          </w:p>
        </w:tc>
        <w:tc>
          <w:tcPr>
            <w:tcW w:w="709" w:type="dxa"/>
            <w:tcBorders>
              <w:top w:val="nil"/>
              <w:left w:val="nil"/>
              <w:bottom w:val="single" w:sz="4" w:space="0" w:color="auto"/>
              <w:right w:val="single" w:sz="4" w:space="0" w:color="auto"/>
            </w:tcBorders>
            <w:shd w:val="clear" w:color="auto" w:fill="auto"/>
            <w:noWrap/>
            <w:vAlign w:val="center"/>
            <w:hideMark/>
          </w:tcPr>
          <w:p w14:paraId="2D8B6FD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674" w:type="dxa"/>
            <w:tcBorders>
              <w:top w:val="nil"/>
              <w:left w:val="nil"/>
              <w:bottom w:val="single" w:sz="4" w:space="0" w:color="auto"/>
              <w:right w:val="double" w:sz="4" w:space="0" w:color="auto"/>
            </w:tcBorders>
            <w:shd w:val="clear" w:color="auto" w:fill="auto"/>
            <w:noWrap/>
            <w:vAlign w:val="center"/>
            <w:hideMark/>
          </w:tcPr>
          <w:p w14:paraId="594DBF5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r w:rsidR="00A53AD7" w:rsidRPr="00A53AD7" w14:paraId="33C01C2F" w14:textId="77777777" w:rsidTr="00F152D2">
        <w:trPr>
          <w:trHeight w:val="426"/>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63985684"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Валовой сбор картофеля в сельскохозяйственных организациях, крестьянских (фермерских) хозяйствах, включая индивидуальных предпринимателей</w:t>
            </w:r>
          </w:p>
        </w:tc>
        <w:tc>
          <w:tcPr>
            <w:tcW w:w="709" w:type="dxa"/>
            <w:tcBorders>
              <w:top w:val="nil"/>
              <w:left w:val="nil"/>
              <w:bottom w:val="single" w:sz="4" w:space="0" w:color="auto"/>
              <w:right w:val="single" w:sz="4" w:space="0" w:color="auto"/>
            </w:tcBorders>
            <w:shd w:val="clear" w:color="auto" w:fill="auto"/>
            <w:vAlign w:val="center"/>
            <w:hideMark/>
          </w:tcPr>
          <w:p w14:paraId="663BE43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22AED8C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22,40</w:t>
            </w:r>
          </w:p>
        </w:tc>
        <w:tc>
          <w:tcPr>
            <w:tcW w:w="708" w:type="dxa"/>
            <w:tcBorders>
              <w:top w:val="nil"/>
              <w:left w:val="nil"/>
              <w:bottom w:val="single" w:sz="4" w:space="0" w:color="auto"/>
              <w:right w:val="single" w:sz="4" w:space="0" w:color="auto"/>
            </w:tcBorders>
            <w:shd w:val="clear" w:color="auto" w:fill="auto"/>
            <w:vAlign w:val="center"/>
            <w:hideMark/>
          </w:tcPr>
          <w:p w14:paraId="28BF89D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17,70</w:t>
            </w:r>
          </w:p>
        </w:tc>
        <w:tc>
          <w:tcPr>
            <w:tcW w:w="709" w:type="dxa"/>
            <w:tcBorders>
              <w:top w:val="nil"/>
              <w:left w:val="nil"/>
              <w:bottom w:val="single" w:sz="4" w:space="0" w:color="auto"/>
              <w:right w:val="single" w:sz="4" w:space="0" w:color="auto"/>
            </w:tcBorders>
            <w:shd w:val="clear" w:color="000000" w:fill="FFFFFF"/>
            <w:vAlign w:val="center"/>
            <w:hideMark/>
          </w:tcPr>
          <w:p w14:paraId="5716AE8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79,00</w:t>
            </w:r>
          </w:p>
        </w:tc>
        <w:tc>
          <w:tcPr>
            <w:tcW w:w="709" w:type="dxa"/>
            <w:tcBorders>
              <w:top w:val="nil"/>
              <w:left w:val="nil"/>
              <w:bottom w:val="single" w:sz="4" w:space="0" w:color="auto"/>
              <w:right w:val="single" w:sz="4" w:space="0" w:color="auto"/>
            </w:tcBorders>
            <w:shd w:val="clear" w:color="auto" w:fill="auto"/>
            <w:noWrap/>
            <w:vAlign w:val="center"/>
            <w:hideMark/>
          </w:tcPr>
          <w:p w14:paraId="1C32533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163,9</w:t>
            </w:r>
          </w:p>
        </w:tc>
        <w:tc>
          <w:tcPr>
            <w:tcW w:w="674" w:type="dxa"/>
            <w:tcBorders>
              <w:top w:val="nil"/>
              <w:left w:val="nil"/>
              <w:bottom w:val="single" w:sz="4" w:space="0" w:color="auto"/>
              <w:right w:val="double" w:sz="4" w:space="0" w:color="auto"/>
            </w:tcBorders>
            <w:shd w:val="clear" w:color="auto" w:fill="auto"/>
            <w:noWrap/>
            <w:vAlign w:val="center"/>
            <w:hideMark/>
          </w:tcPr>
          <w:p w14:paraId="51AEA36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82,7</w:t>
            </w:r>
          </w:p>
        </w:tc>
      </w:tr>
      <w:tr w:rsidR="00A53AD7" w:rsidRPr="00A53AD7" w14:paraId="3E98A507" w14:textId="77777777" w:rsidTr="00F152D2">
        <w:trPr>
          <w:trHeight w:val="277"/>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6C060885"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Производство скота и птицы на убой в хозяйствах всех категорий (в живом весе)</w:t>
            </w:r>
          </w:p>
        </w:tc>
        <w:tc>
          <w:tcPr>
            <w:tcW w:w="709" w:type="dxa"/>
            <w:tcBorders>
              <w:top w:val="nil"/>
              <w:left w:val="nil"/>
              <w:bottom w:val="single" w:sz="4" w:space="0" w:color="auto"/>
              <w:right w:val="single" w:sz="4" w:space="0" w:color="auto"/>
            </w:tcBorders>
            <w:shd w:val="clear" w:color="auto" w:fill="auto"/>
            <w:vAlign w:val="center"/>
            <w:hideMark/>
          </w:tcPr>
          <w:p w14:paraId="3E81C12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12DC430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7,40</w:t>
            </w:r>
          </w:p>
        </w:tc>
        <w:tc>
          <w:tcPr>
            <w:tcW w:w="708" w:type="dxa"/>
            <w:tcBorders>
              <w:top w:val="nil"/>
              <w:left w:val="nil"/>
              <w:bottom w:val="single" w:sz="4" w:space="0" w:color="auto"/>
              <w:right w:val="single" w:sz="4" w:space="0" w:color="auto"/>
            </w:tcBorders>
            <w:shd w:val="clear" w:color="auto" w:fill="auto"/>
            <w:vAlign w:val="center"/>
            <w:hideMark/>
          </w:tcPr>
          <w:p w14:paraId="2703093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7,30</w:t>
            </w:r>
          </w:p>
        </w:tc>
        <w:tc>
          <w:tcPr>
            <w:tcW w:w="709" w:type="dxa"/>
            <w:tcBorders>
              <w:top w:val="nil"/>
              <w:left w:val="nil"/>
              <w:bottom w:val="single" w:sz="4" w:space="0" w:color="auto"/>
              <w:right w:val="single" w:sz="4" w:space="0" w:color="auto"/>
            </w:tcBorders>
            <w:shd w:val="clear" w:color="000000" w:fill="FFFFFF"/>
            <w:vAlign w:val="center"/>
            <w:hideMark/>
          </w:tcPr>
          <w:p w14:paraId="3A84DE31"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98,70</w:t>
            </w:r>
          </w:p>
        </w:tc>
        <w:tc>
          <w:tcPr>
            <w:tcW w:w="709" w:type="dxa"/>
            <w:tcBorders>
              <w:top w:val="nil"/>
              <w:left w:val="nil"/>
              <w:bottom w:val="single" w:sz="4" w:space="0" w:color="auto"/>
              <w:right w:val="single" w:sz="4" w:space="0" w:color="auto"/>
            </w:tcBorders>
            <w:shd w:val="clear" w:color="auto" w:fill="auto"/>
            <w:noWrap/>
            <w:vAlign w:val="center"/>
            <w:hideMark/>
          </w:tcPr>
          <w:p w14:paraId="164CD08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80,2</w:t>
            </w:r>
          </w:p>
        </w:tc>
        <w:tc>
          <w:tcPr>
            <w:tcW w:w="674" w:type="dxa"/>
            <w:tcBorders>
              <w:top w:val="nil"/>
              <w:left w:val="nil"/>
              <w:bottom w:val="single" w:sz="4" w:space="0" w:color="auto"/>
              <w:right w:val="double" w:sz="4" w:space="0" w:color="auto"/>
            </w:tcBorders>
            <w:shd w:val="clear" w:color="auto" w:fill="auto"/>
            <w:noWrap/>
            <w:vAlign w:val="center"/>
            <w:hideMark/>
          </w:tcPr>
          <w:p w14:paraId="1BE86C8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93,6</w:t>
            </w:r>
          </w:p>
        </w:tc>
      </w:tr>
      <w:tr w:rsidR="00A53AD7" w:rsidRPr="00A53AD7" w14:paraId="2F8CC7B7" w14:textId="77777777" w:rsidTr="00F152D2">
        <w:trPr>
          <w:trHeight w:val="467"/>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00FFCE8B"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производство скота и птицы на убой в живом весе в сельскохозяйственных организациях, крестьянских (фермерских) хозяйствах, включая индивидуальных предпринимателей</w:t>
            </w:r>
          </w:p>
        </w:tc>
        <w:tc>
          <w:tcPr>
            <w:tcW w:w="709" w:type="dxa"/>
            <w:tcBorders>
              <w:top w:val="nil"/>
              <w:left w:val="nil"/>
              <w:bottom w:val="single" w:sz="4" w:space="0" w:color="auto"/>
              <w:right w:val="single" w:sz="4" w:space="0" w:color="auto"/>
            </w:tcBorders>
            <w:shd w:val="clear" w:color="auto" w:fill="auto"/>
            <w:vAlign w:val="center"/>
            <w:hideMark/>
          </w:tcPr>
          <w:p w14:paraId="70A36B8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486133B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5,60</w:t>
            </w:r>
          </w:p>
        </w:tc>
        <w:tc>
          <w:tcPr>
            <w:tcW w:w="708" w:type="dxa"/>
            <w:tcBorders>
              <w:top w:val="nil"/>
              <w:left w:val="nil"/>
              <w:bottom w:val="single" w:sz="4" w:space="0" w:color="auto"/>
              <w:right w:val="single" w:sz="4" w:space="0" w:color="auto"/>
            </w:tcBorders>
            <w:shd w:val="clear" w:color="auto" w:fill="auto"/>
            <w:vAlign w:val="center"/>
            <w:hideMark/>
          </w:tcPr>
          <w:p w14:paraId="540A143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5,40</w:t>
            </w:r>
          </w:p>
        </w:tc>
        <w:tc>
          <w:tcPr>
            <w:tcW w:w="709" w:type="dxa"/>
            <w:tcBorders>
              <w:top w:val="nil"/>
              <w:left w:val="nil"/>
              <w:bottom w:val="single" w:sz="4" w:space="0" w:color="auto"/>
              <w:right w:val="single" w:sz="4" w:space="0" w:color="auto"/>
            </w:tcBorders>
            <w:shd w:val="clear" w:color="000000" w:fill="FFFFFF"/>
            <w:vAlign w:val="center"/>
            <w:hideMark/>
          </w:tcPr>
          <w:p w14:paraId="21B5DA1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96,43</w:t>
            </w:r>
          </w:p>
        </w:tc>
        <w:tc>
          <w:tcPr>
            <w:tcW w:w="709" w:type="dxa"/>
            <w:tcBorders>
              <w:top w:val="nil"/>
              <w:left w:val="nil"/>
              <w:bottom w:val="single" w:sz="4" w:space="0" w:color="auto"/>
              <w:right w:val="single" w:sz="4" w:space="0" w:color="auto"/>
            </w:tcBorders>
            <w:shd w:val="clear" w:color="auto" w:fill="auto"/>
            <w:noWrap/>
            <w:vAlign w:val="center"/>
            <w:hideMark/>
          </w:tcPr>
          <w:p w14:paraId="587D98D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674" w:type="dxa"/>
            <w:tcBorders>
              <w:top w:val="nil"/>
              <w:left w:val="nil"/>
              <w:bottom w:val="single" w:sz="4" w:space="0" w:color="auto"/>
              <w:right w:val="double" w:sz="4" w:space="0" w:color="auto"/>
            </w:tcBorders>
            <w:shd w:val="clear" w:color="auto" w:fill="auto"/>
            <w:noWrap/>
            <w:vAlign w:val="center"/>
            <w:hideMark/>
          </w:tcPr>
          <w:p w14:paraId="655CAE0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r w:rsidR="00A53AD7" w:rsidRPr="00A53AD7" w14:paraId="1B0C46B7" w14:textId="77777777" w:rsidTr="00F152D2">
        <w:trPr>
          <w:trHeight w:val="489"/>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46D67F69"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Размер посевных площадей, занятых зерновыми, зернобобовыми и кормовыми сельскохозяйственными культурами в Архангельской области</w:t>
            </w:r>
          </w:p>
        </w:tc>
        <w:tc>
          <w:tcPr>
            <w:tcW w:w="709" w:type="dxa"/>
            <w:tcBorders>
              <w:top w:val="nil"/>
              <w:left w:val="nil"/>
              <w:bottom w:val="single" w:sz="4" w:space="0" w:color="auto"/>
              <w:right w:val="single" w:sz="4" w:space="0" w:color="auto"/>
            </w:tcBorders>
            <w:shd w:val="clear" w:color="auto" w:fill="auto"/>
            <w:vAlign w:val="center"/>
            <w:hideMark/>
          </w:tcPr>
          <w:p w14:paraId="2DE2C75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гектаров</w:t>
            </w:r>
          </w:p>
        </w:tc>
        <w:tc>
          <w:tcPr>
            <w:tcW w:w="709" w:type="dxa"/>
            <w:tcBorders>
              <w:top w:val="nil"/>
              <w:left w:val="nil"/>
              <w:bottom w:val="single" w:sz="4" w:space="0" w:color="auto"/>
              <w:right w:val="single" w:sz="4" w:space="0" w:color="auto"/>
            </w:tcBorders>
            <w:shd w:val="clear" w:color="auto" w:fill="auto"/>
            <w:vAlign w:val="center"/>
            <w:hideMark/>
          </w:tcPr>
          <w:p w14:paraId="7007546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63,00</w:t>
            </w:r>
          </w:p>
        </w:tc>
        <w:tc>
          <w:tcPr>
            <w:tcW w:w="708" w:type="dxa"/>
            <w:tcBorders>
              <w:top w:val="nil"/>
              <w:left w:val="nil"/>
              <w:bottom w:val="single" w:sz="4" w:space="0" w:color="auto"/>
              <w:right w:val="single" w:sz="4" w:space="0" w:color="auto"/>
            </w:tcBorders>
            <w:shd w:val="clear" w:color="auto" w:fill="auto"/>
            <w:vAlign w:val="center"/>
            <w:hideMark/>
          </w:tcPr>
          <w:p w14:paraId="643D41B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58,65</w:t>
            </w:r>
          </w:p>
        </w:tc>
        <w:tc>
          <w:tcPr>
            <w:tcW w:w="709" w:type="dxa"/>
            <w:tcBorders>
              <w:top w:val="nil"/>
              <w:left w:val="nil"/>
              <w:bottom w:val="single" w:sz="4" w:space="0" w:color="auto"/>
              <w:right w:val="single" w:sz="4" w:space="0" w:color="auto"/>
            </w:tcBorders>
            <w:shd w:val="clear" w:color="000000" w:fill="FFFFFF"/>
            <w:vAlign w:val="center"/>
            <w:hideMark/>
          </w:tcPr>
          <w:p w14:paraId="1D0FDF8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93,10</w:t>
            </w:r>
          </w:p>
        </w:tc>
        <w:tc>
          <w:tcPr>
            <w:tcW w:w="709" w:type="dxa"/>
            <w:tcBorders>
              <w:top w:val="nil"/>
              <w:left w:val="nil"/>
              <w:bottom w:val="single" w:sz="4" w:space="0" w:color="auto"/>
              <w:right w:val="single" w:sz="4" w:space="0" w:color="auto"/>
            </w:tcBorders>
            <w:shd w:val="clear" w:color="auto" w:fill="auto"/>
            <w:noWrap/>
            <w:vAlign w:val="center"/>
            <w:hideMark/>
          </w:tcPr>
          <w:p w14:paraId="04FF1F2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93,4</w:t>
            </w:r>
          </w:p>
        </w:tc>
        <w:tc>
          <w:tcPr>
            <w:tcW w:w="674" w:type="dxa"/>
            <w:tcBorders>
              <w:top w:val="nil"/>
              <w:left w:val="nil"/>
              <w:bottom w:val="single" w:sz="4" w:space="0" w:color="auto"/>
              <w:right w:val="double" w:sz="4" w:space="0" w:color="auto"/>
            </w:tcBorders>
            <w:shd w:val="clear" w:color="auto" w:fill="auto"/>
            <w:noWrap/>
            <w:vAlign w:val="center"/>
            <w:hideMark/>
          </w:tcPr>
          <w:p w14:paraId="4A5ADE3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95,1</w:t>
            </w:r>
          </w:p>
        </w:tc>
      </w:tr>
      <w:tr w:rsidR="00A53AD7" w:rsidRPr="00A53AD7" w14:paraId="2A352D80" w14:textId="77777777" w:rsidTr="00F152D2">
        <w:trPr>
          <w:trHeight w:val="199"/>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4101A6AF"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Производство масла сливочного</w:t>
            </w:r>
          </w:p>
        </w:tc>
        <w:tc>
          <w:tcPr>
            <w:tcW w:w="709" w:type="dxa"/>
            <w:tcBorders>
              <w:top w:val="nil"/>
              <w:left w:val="nil"/>
              <w:bottom w:val="single" w:sz="4" w:space="0" w:color="auto"/>
              <w:right w:val="single" w:sz="4" w:space="0" w:color="auto"/>
            </w:tcBorders>
            <w:shd w:val="clear" w:color="auto" w:fill="auto"/>
            <w:vAlign w:val="center"/>
            <w:hideMark/>
          </w:tcPr>
          <w:p w14:paraId="776456F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5F6A632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1,90</w:t>
            </w:r>
          </w:p>
        </w:tc>
        <w:tc>
          <w:tcPr>
            <w:tcW w:w="708" w:type="dxa"/>
            <w:tcBorders>
              <w:top w:val="nil"/>
              <w:left w:val="nil"/>
              <w:bottom w:val="single" w:sz="4" w:space="0" w:color="auto"/>
              <w:right w:val="single" w:sz="4" w:space="0" w:color="auto"/>
            </w:tcBorders>
            <w:shd w:val="clear" w:color="auto" w:fill="auto"/>
            <w:vAlign w:val="center"/>
            <w:hideMark/>
          </w:tcPr>
          <w:p w14:paraId="0F6ACC6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1,67</w:t>
            </w:r>
          </w:p>
        </w:tc>
        <w:tc>
          <w:tcPr>
            <w:tcW w:w="709" w:type="dxa"/>
            <w:tcBorders>
              <w:top w:val="nil"/>
              <w:left w:val="nil"/>
              <w:bottom w:val="single" w:sz="4" w:space="0" w:color="auto"/>
              <w:right w:val="single" w:sz="4" w:space="0" w:color="auto"/>
            </w:tcBorders>
            <w:shd w:val="clear" w:color="000000" w:fill="FFFFFF"/>
            <w:vAlign w:val="center"/>
            <w:hideMark/>
          </w:tcPr>
          <w:p w14:paraId="0F2F465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88,10</w:t>
            </w:r>
          </w:p>
        </w:tc>
        <w:tc>
          <w:tcPr>
            <w:tcW w:w="709" w:type="dxa"/>
            <w:tcBorders>
              <w:top w:val="nil"/>
              <w:left w:val="nil"/>
              <w:bottom w:val="single" w:sz="4" w:space="0" w:color="auto"/>
              <w:right w:val="single" w:sz="4" w:space="0" w:color="auto"/>
            </w:tcBorders>
            <w:shd w:val="clear" w:color="auto" w:fill="auto"/>
            <w:noWrap/>
            <w:vAlign w:val="center"/>
            <w:hideMark/>
          </w:tcPr>
          <w:p w14:paraId="23AAF5D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92,9</w:t>
            </w:r>
          </w:p>
        </w:tc>
        <w:tc>
          <w:tcPr>
            <w:tcW w:w="674" w:type="dxa"/>
            <w:tcBorders>
              <w:top w:val="nil"/>
              <w:left w:val="nil"/>
              <w:bottom w:val="single" w:sz="4" w:space="0" w:color="auto"/>
              <w:right w:val="double" w:sz="4" w:space="0" w:color="auto"/>
            </w:tcBorders>
            <w:shd w:val="clear" w:color="auto" w:fill="auto"/>
            <w:noWrap/>
            <w:vAlign w:val="center"/>
            <w:hideMark/>
          </w:tcPr>
          <w:p w14:paraId="70A5F85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98,4</w:t>
            </w:r>
          </w:p>
        </w:tc>
      </w:tr>
      <w:tr w:rsidR="00A53AD7" w:rsidRPr="00A53AD7" w14:paraId="439E64FE" w14:textId="77777777" w:rsidTr="00F152D2">
        <w:trPr>
          <w:trHeight w:val="247"/>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551F3FC5"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Производство сыров и сырных продуктов</w:t>
            </w:r>
          </w:p>
        </w:tc>
        <w:tc>
          <w:tcPr>
            <w:tcW w:w="709" w:type="dxa"/>
            <w:tcBorders>
              <w:top w:val="nil"/>
              <w:left w:val="nil"/>
              <w:bottom w:val="single" w:sz="4" w:space="0" w:color="auto"/>
              <w:right w:val="single" w:sz="4" w:space="0" w:color="auto"/>
            </w:tcBorders>
            <w:shd w:val="clear" w:color="auto" w:fill="auto"/>
            <w:vAlign w:val="center"/>
            <w:hideMark/>
          </w:tcPr>
          <w:p w14:paraId="2ADE523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тонн</w:t>
            </w:r>
          </w:p>
        </w:tc>
        <w:tc>
          <w:tcPr>
            <w:tcW w:w="709" w:type="dxa"/>
            <w:tcBorders>
              <w:top w:val="nil"/>
              <w:left w:val="nil"/>
              <w:bottom w:val="single" w:sz="4" w:space="0" w:color="auto"/>
              <w:right w:val="single" w:sz="4" w:space="0" w:color="auto"/>
            </w:tcBorders>
            <w:shd w:val="clear" w:color="auto" w:fill="auto"/>
            <w:vAlign w:val="center"/>
            <w:hideMark/>
          </w:tcPr>
          <w:p w14:paraId="2E04E62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0,20</w:t>
            </w:r>
          </w:p>
        </w:tc>
        <w:tc>
          <w:tcPr>
            <w:tcW w:w="708" w:type="dxa"/>
            <w:tcBorders>
              <w:top w:val="nil"/>
              <w:left w:val="nil"/>
              <w:bottom w:val="single" w:sz="4" w:space="0" w:color="auto"/>
              <w:right w:val="single" w:sz="4" w:space="0" w:color="auto"/>
            </w:tcBorders>
            <w:shd w:val="clear" w:color="auto" w:fill="auto"/>
            <w:vAlign w:val="center"/>
            <w:hideMark/>
          </w:tcPr>
          <w:p w14:paraId="0CFEBF7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0,07</w:t>
            </w:r>
          </w:p>
        </w:tc>
        <w:tc>
          <w:tcPr>
            <w:tcW w:w="709" w:type="dxa"/>
            <w:tcBorders>
              <w:top w:val="nil"/>
              <w:left w:val="nil"/>
              <w:bottom w:val="single" w:sz="4" w:space="0" w:color="auto"/>
              <w:right w:val="single" w:sz="4" w:space="0" w:color="auto"/>
            </w:tcBorders>
            <w:shd w:val="clear" w:color="000000" w:fill="FFFFFF"/>
            <w:vAlign w:val="center"/>
            <w:hideMark/>
          </w:tcPr>
          <w:p w14:paraId="2403E26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37,00</w:t>
            </w:r>
          </w:p>
        </w:tc>
        <w:tc>
          <w:tcPr>
            <w:tcW w:w="709" w:type="dxa"/>
            <w:tcBorders>
              <w:top w:val="nil"/>
              <w:left w:val="nil"/>
              <w:bottom w:val="single" w:sz="4" w:space="0" w:color="auto"/>
              <w:right w:val="single" w:sz="4" w:space="0" w:color="auto"/>
            </w:tcBorders>
            <w:shd w:val="clear" w:color="auto" w:fill="auto"/>
            <w:noWrap/>
            <w:vAlign w:val="center"/>
            <w:hideMark/>
          </w:tcPr>
          <w:p w14:paraId="4411E07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8,2</w:t>
            </w:r>
          </w:p>
        </w:tc>
        <w:tc>
          <w:tcPr>
            <w:tcW w:w="674" w:type="dxa"/>
            <w:tcBorders>
              <w:top w:val="nil"/>
              <w:left w:val="nil"/>
              <w:bottom w:val="single" w:sz="4" w:space="0" w:color="auto"/>
              <w:right w:val="double" w:sz="4" w:space="0" w:color="auto"/>
            </w:tcBorders>
            <w:shd w:val="clear" w:color="auto" w:fill="auto"/>
            <w:noWrap/>
            <w:vAlign w:val="center"/>
            <w:hideMark/>
          </w:tcPr>
          <w:p w14:paraId="7CDCF48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91,4</w:t>
            </w:r>
          </w:p>
        </w:tc>
      </w:tr>
      <w:tr w:rsidR="00A53AD7" w:rsidRPr="00A53AD7" w14:paraId="349FEA02" w14:textId="77777777" w:rsidTr="00F152D2">
        <w:trPr>
          <w:trHeight w:val="579"/>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2E953EB7"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Количество работников, зарегистрированных в Пенсионном фонде Российской Федерации, принятых крестьянскими (фермерскими) хозяйствами, осуществляющими проекты создания и развития своих хозяйств с помощью грантовой поддержки (единиц)</w:t>
            </w:r>
          </w:p>
        </w:tc>
        <w:tc>
          <w:tcPr>
            <w:tcW w:w="709" w:type="dxa"/>
            <w:tcBorders>
              <w:top w:val="nil"/>
              <w:left w:val="nil"/>
              <w:bottom w:val="single" w:sz="4" w:space="0" w:color="auto"/>
              <w:right w:val="single" w:sz="4" w:space="0" w:color="auto"/>
            </w:tcBorders>
            <w:shd w:val="clear" w:color="auto" w:fill="auto"/>
            <w:vAlign w:val="center"/>
            <w:hideMark/>
          </w:tcPr>
          <w:p w14:paraId="2E93AF2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единиц</w:t>
            </w:r>
          </w:p>
        </w:tc>
        <w:tc>
          <w:tcPr>
            <w:tcW w:w="709" w:type="dxa"/>
            <w:tcBorders>
              <w:top w:val="nil"/>
              <w:left w:val="nil"/>
              <w:bottom w:val="single" w:sz="4" w:space="0" w:color="auto"/>
              <w:right w:val="single" w:sz="4" w:space="0" w:color="auto"/>
            </w:tcBorders>
            <w:shd w:val="clear" w:color="auto" w:fill="auto"/>
            <w:vAlign w:val="center"/>
            <w:hideMark/>
          </w:tcPr>
          <w:p w14:paraId="72B409C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21,00</w:t>
            </w:r>
          </w:p>
        </w:tc>
        <w:tc>
          <w:tcPr>
            <w:tcW w:w="708" w:type="dxa"/>
            <w:tcBorders>
              <w:top w:val="nil"/>
              <w:left w:val="nil"/>
              <w:bottom w:val="single" w:sz="4" w:space="0" w:color="auto"/>
              <w:right w:val="single" w:sz="4" w:space="0" w:color="auto"/>
            </w:tcBorders>
            <w:shd w:val="clear" w:color="auto" w:fill="auto"/>
            <w:vAlign w:val="center"/>
            <w:hideMark/>
          </w:tcPr>
          <w:p w14:paraId="7FE79BC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17,00</w:t>
            </w:r>
          </w:p>
        </w:tc>
        <w:tc>
          <w:tcPr>
            <w:tcW w:w="709" w:type="dxa"/>
            <w:tcBorders>
              <w:top w:val="nil"/>
              <w:left w:val="nil"/>
              <w:bottom w:val="single" w:sz="4" w:space="0" w:color="auto"/>
              <w:right w:val="single" w:sz="4" w:space="0" w:color="auto"/>
            </w:tcBorders>
            <w:shd w:val="clear" w:color="000000" w:fill="FFFFFF"/>
            <w:vAlign w:val="center"/>
            <w:hideMark/>
          </w:tcPr>
          <w:p w14:paraId="73506A5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81,00</w:t>
            </w:r>
          </w:p>
        </w:tc>
        <w:tc>
          <w:tcPr>
            <w:tcW w:w="709" w:type="dxa"/>
            <w:tcBorders>
              <w:top w:val="nil"/>
              <w:left w:val="nil"/>
              <w:bottom w:val="single" w:sz="4" w:space="0" w:color="auto"/>
              <w:right w:val="single" w:sz="4" w:space="0" w:color="auto"/>
            </w:tcBorders>
            <w:shd w:val="clear" w:color="auto" w:fill="auto"/>
            <w:noWrap/>
            <w:vAlign w:val="center"/>
            <w:hideMark/>
          </w:tcPr>
          <w:p w14:paraId="6F0BD92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68</w:t>
            </w:r>
          </w:p>
        </w:tc>
        <w:tc>
          <w:tcPr>
            <w:tcW w:w="674" w:type="dxa"/>
            <w:tcBorders>
              <w:top w:val="nil"/>
              <w:left w:val="nil"/>
              <w:bottom w:val="single" w:sz="4" w:space="0" w:color="auto"/>
              <w:right w:val="double" w:sz="4" w:space="0" w:color="auto"/>
            </w:tcBorders>
            <w:shd w:val="clear" w:color="auto" w:fill="auto"/>
            <w:noWrap/>
            <w:vAlign w:val="center"/>
            <w:hideMark/>
          </w:tcPr>
          <w:p w14:paraId="34978A4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81,0</w:t>
            </w:r>
          </w:p>
        </w:tc>
      </w:tr>
      <w:tr w:rsidR="00A53AD7" w:rsidRPr="00A53AD7" w14:paraId="56EFD61A" w14:textId="77777777" w:rsidTr="00F152D2">
        <w:trPr>
          <w:trHeight w:val="510"/>
        </w:trPr>
        <w:tc>
          <w:tcPr>
            <w:tcW w:w="9355"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75E11502" w14:textId="77777777" w:rsidR="00687A6A" w:rsidRPr="00A53AD7" w:rsidRDefault="00687A6A" w:rsidP="00274B0A">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Показатели федерального проекта «Создание системы поддержки фермеров и развитие сельской кооперации» национального проекта «Малое и среднее предпринимательство и поддержка индивидуальной предпринимательской инициативы» по Архангельской области:</w:t>
            </w:r>
          </w:p>
        </w:tc>
      </w:tr>
      <w:tr w:rsidR="00A53AD7" w:rsidRPr="00A53AD7" w14:paraId="0B5EDA36" w14:textId="77777777" w:rsidTr="00F152D2">
        <w:trPr>
          <w:trHeight w:val="838"/>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49F57E55" w14:textId="6F3B18BB" w:rsidR="00687A6A" w:rsidRPr="00A53AD7" w:rsidRDefault="00687A6A" w:rsidP="00F152D2">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Количество вовлеченных в субъекты МСП, осуществляющие деятельность в сфере сельского</w:t>
            </w:r>
            <w:r w:rsidR="00F152D2" w:rsidRPr="00A53AD7">
              <w:rPr>
                <w:rFonts w:ascii="Times New Roman" w:eastAsia="Times New Roman" w:hAnsi="Times New Roman"/>
                <w:sz w:val="16"/>
                <w:szCs w:val="16"/>
                <w:lang w:eastAsia="ru-RU"/>
              </w:rPr>
              <w:t xml:space="preserve"> </w:t>
            </w:r>
            <w:r w:rsidRPr="00A53AD7">
              <w:rPr>
                <w:rFonts w:ascii="Times New Roman" w:eastAsia="Times New Roman" w:hAnsi="Times New Roman"/>
                <w:sz w:val="16"/>
                <w:szCs w:val="16"/>
                <w:lang w:eastAsia="ru-RU"/>
              </w:rPr>
              <w:t>хозяйства, в том числе за счет средств государственной поддержки, в рамках федерального проекта "Создание системы поддержки фермеров и развитие сельской кооперации"</w:t>
            </w:r>
          </w:p>
        </w:tc>
        <w:tc>
          <w:tcPr>
            <w:tcW w:w="709" w:type="dxa"/>
            <w:tcBorders>
              <w:top w:val="nil"/>
              <w:left w:val="nil"/>
              <w:bottom w:val="single" w:sz="4" w:space="0" w:color="auto"/>
              <w:right w:val="single" w:sz="4" w:space="0" w:color="auto"/>
            </w:tcBorders>
            <w:shd w:val="clear" w:color="auto" w:fill="auto"/>
            <w:vAlign w:val="center"/>
            <w:hideMark/>
          </w:tcPr>
          <w:p w14:paraId="69FC6961"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человек</w:t>
            </w:r>
          </w:p>
        </w:tc>
        <w:tc>
          <w:tcPr>
            <w:tcW w:w="709" w:type="dxa"/>
            <w:tcBorders>
              <w:top w:val="nil"/>
              <w:left w:val="nil"/>
              <w:bottom w:val="single" w:sz="4" w:space="0" w:color="auto"/>
              <w:right w:val="single" w:sz="4" w:space="0" w:color="auto"/>
            </w:tcBorders>
            <w:shd w:val="clear" w:color="auto" w:fill="auto"/>
            <w:vAlign w:val="center"/>
            <w:hideMark/>
          </w:tcPr>
          <w:p w14:paraId="13639AA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17,00</w:t>
            </w:r>
          </w:p>
        </w:tc>
        <w:tc>
          <w:tcPr>
            <w:tcW w:w="708" w:type="dxa"/>
            <w:tcBorders>
              <w:top w:val="nil"/>
              <w:left w:val="nil"/>
              <w:bottom w:val="single" w:sz="4" w:space="0" w:color="auto"/>
              <w:right w:val="single" w:sz="4" w:space="0" w:color="auto"/>
            </w:tcBorders>
            <w:shd w:val="clear" w:color="auto" w:fill="auto"/>
            <w:vAlign w:val="center"/>
            <w:hideMark/>
          </w:tcPr>
          <w:p w14:paraId="6F3118D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8,00</w:t>
            </w:r>
          </w:p>
        </w:tc>
        <w:tc>
          <w:tcPr>
            <w:tcW w:w="709" w:type="dxa"/>
            <w:tcBorders>
              <w:top w:val="nil"/>
              <w:left w:val="nil"/>
              <w:bottom w:val="single" w:sz="4" w:space="0" w:color="auto"/>
              <w:right w:val="single" w:sz="4" w:space="0" w:color="auto"/>
            </w:tcBorders>
            <w:shd w:val="clear" w:color="000000" w:fill="FFFFFF"/>
            <w:vAlign w:val="center"/>
            <w:hideMark/>
          </w:tcPr>
          <w:p w14:paraId="4993BD7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47,10</w:t>
            </w:r>
          </w:p>
        </w:tc>
        <w:tc>
          <w:tcPr>
            <w:tcW w:w="709" w:type="dxa"/>
            <w:tcBorders>
              <w:top w:val="nil"/>
              <w:left w:val="nil"/>
              <w:bottom w:val="single" w:sz="4" w:space="0" w:color="auto"/>
              <w:right w:val="single" w:sz="4" w:space="0" w:color="auto"/>
            </w:tcBorders>
            <w:shd w:val="clear" w:color="auto" w:fill="auto"/>
            <w:noWrap/>
            <w:vAlign w:val="center"/>
            <w:hideMark/>
          </w:tcPr>
          <w:p w14:paraId="43D8365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674" w:type="dxa"/>
            <w:tcBorders>
              <w:top w:val="nil"/>
              <w:left w:val="nil"/>
              <w:bottom w:val="single" w:sz="4" w:space="0" w:color="auto"/>
              <w:right w:val="double" w:sz="4" w:space="0" w:color="auto"/>
            </w:tcBorders>
            <w:shd w:val="clear" w:color="auto" w:fill="auto"/>
            <w:noWrap/>
            <w:vAlign w:val="center"/>
            <w:hideMark/>
          </w:tcPr>
          <w:p w14:paraId="58A9F66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r w:rsidR="00A53AD7" w:rsidRPr="00A53AD7" w14:paraId="4C660B75" w14:textId="77777777" w:rsidTr="00F152D2">
        <w:trPr>
          <w:trHeight w:val="610"/>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50E608B5"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Количество принятых членов сельскохозяйственных потребительских кооперативов (кроме кредитных) из числа субъектов МСП, включая личных подсобных хозяйств и крестьянских (фермерских) хозяйств, в году предоставления государственной поддержки</w:t>
            </w:r>
          </w:p>
        </w:tc>
        <w:tc>
          <w:tcPr>
            <w:tcW w:w="709" w:type="dxa"/>
            <w:tcBorders>
              <w:top w:val="nil"/>
              <w:left w:val="nil"/>
              <w:bottom w:val="single" w:sz="4" w:space="0" w:color="auto"/>
              <w:right w:val="single" w:sz="4" w:space="0" w:color="auto"/>
            </w:tcBorders>
            <w:shd w:val="clear" w:color="auto" w:fill="auto"/>
            <w:vAlign w:val="center"/>
            <w:hideMark/>
          </w:tcPr>
          <w:p w14:paraId="23E8DF5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единиц</w:t>
            </w:r>
          </w:p>
        </w:tc>
        <w:tc>
          <w:tcPr>
            <w:tcW w:w="709" w:type="dxa"/>
            <w:tcBorders>
              <w:top w:val="nil"/>
              <w:left w:val="nil"/>
              <w:bottom w:val="single" w:sz="4" w:space="0" w:color="auto"/>
              <w:right w:val="single" w:sz="4" w:space="0" w:color="auto"/>
            </w:tcBorders>
            <w:shd w:val="clear" w:color="auto" w:fill="auto"/>
            <w:vAlign w:val="center"/>
            <w:hideMark/>
          </w:tcPr>
          <w:p w14:paraId="37CD19C5"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11,00</w:t>
            </w:r>
          </w:p>
        </w:tc>
        <w:tc>
          <w:tcPr>
            <w:tcW w:w="708" w:type="dxa"/>
            <w:tcBorders>
              <w:top w:val="nil"/>
              <w:left w:val="nil"/>
              <w:bottom w:val="single" w:sz="4" w:space="0" w:color="auto"/>
              <w:right w:val="single" w:sz="4" w:space="0" w:color="auto"/>
            </w:tcBorders>
            <w:shd w:val="clear" w:color="auto" w:fill="auto"/>
            <w:vAlign w:val="center"/>
            <w:hideMark/>
          </w:tcPr>
          <w:p w14:paraId="52627C7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0,00</w:t>
            </w:r>
          </w:p>
        </w:tc>
        <w:tc>
          <w:tcPr>
            <w:tcW w:w="709" w:type="dxa"/>
            <w:tcBorders>
              <w:top w:val="nil"/>
              <w:left w:val="nil"/>
              <w:bottom w:val="single" w:sz="4" w:space="0" w:color="auto"/>
              <w:right w:val="single" w:sz="4" w:space="0" w:color="auto"/>
            </w:tcBorders>
            <w:shd w:val="clear" w:color="000000" w:fill="FFFFFF"/>
            <w:vAlign w:val="center"/>
            <w:hideMark/>
          </w:tcPr>
          <w:p w14:paraId="274EFD7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center"/>
            <w:hideMark/>
          </w:tcPr>
          <w:p w14:paraId="1C5F66B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674" w:type="dxa"/>
            <w:tcBorders>
              <w:top w:val="nil"/>
              <w:left w:val="nil"/>
              <w:bottom w:val="single" w:sz="4" w:space="0" w:color="auto"/>
              <w:right w:val="double" w:sz="4" w:space="0" w:color="auto"/>
            </w:tcBorders>
            <w:shd w:val="clear" w:color="auto" w:fill="auto"/>
            <w:noWrap/>
            <w:vAlign w:val="center"/>
            <w:hideMark/>
          </w:tcPr>
          <w:p w14:paraId="12F4978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r w:rsidR="00A53AD7" w:rsidRPr="00A53AD7" w14:paraId="7CCDF714" w14:textId="77777777" w:rsidTr="00F152D2">
        <w:trPr>
          <w:trHeight w:val="255"/>
        </w:trPr>
        <w:tc>
          <w:tcPr>
            <w:tcW w:w="9355" w:type="dxa"/>
            <w:gridSpan w:val="7"/>
            <w:tcBorders>
              <w:top w:val="single" w:sz="4" w:space="0" w:color="auto"/>
              <w:left w:val="double" w:sz="4" w:space="0" w:color="auto"/>
              <w:bottom w:val="single" w:sz="4" w:space="0" w:color="auto"/>
              <w:right w:val="double" w:sz="4" w:space="0" w:color="auto"/>
            </w:tcBorders>
            <w:shd w:val="clear" w:color="auto" w:fill="auto"/>
            <w:noWrap/>
            <w:vAlign w:val="center"/>
            <w:hideMark/>
          </w:tcPr>
          <w:p w14:paraId="01D25330" w14:textId="77777777" w:rsidR="00687A6A" w:rsidRPr="00A53AD7" w:rsidRDefault="00687A6A" w:rsidP="00274B0A">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Подпрограмма № 2 "Развитие рыбохозяйственного комплекса Архангельской области"</w:t>
            </w:r>
          </w:p>
        </w:tc>
      </w:tr>
      <w:tr w:rsidR="00A53AD7" w:rsidRPr="00A53AD7" w14:paraId="6369A691" w14:textId="77777777" w:rsidTr="00F152D2">
        <w:trPr>
          <w:trHeight w:val="571"/>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048CC5A3"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Объем экспорта рыбы и морепродуктов (в рамках федерального проекта "Экспорт продукции АПК" национального проекта «Международная кооперация и экспорт»)</w:t>
            </w:r>
          </w:p>
        </w:tc>
        <w:tc>
          <w:tcPr>
            <w:tcW w:w="709" w:type="dxa"/>
            <w:tcBorders>
              <w:top w:val="nil"/>
              <w:left w:val="nil"/>
              <w:bottom w:val="single" w:sz="4" w:space="0" w:color="auto"/>
              <w:right w:val="single" w:sz="4" w:space="0" w:color="auto"/>
            </w:tcBorders>
            <w:shd w:val="clear" w:color="auto" w:fill="auto"/>
            <w:vAlign w:val="center"/>
            <w:hideMark/>
          </w:tcPr>
          <w:p w14:paraId="2786C31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млн. долл. США</w:t>
            </w:r>
          </w:p>
        </w:tc>
        <w:tc>
          <w:tcPr>
            <w:tcW w:w="709" w:type="dxa"/>
            <w:tcBorders>
              <w:top w:val="nil"/>
              <w:left w:val="nil"/>
              <w:bottom w:val="single" w:sz="4" w:space="0" w:color="auto"/>
              <w:right w:val="single" w:sz="4" w:space="0" w:color="auto"/>
            </w:tcBorders>
            <w:shd w:val="clear" w:color="auto" w:fill="auto"/>
            <w:vAlign w:val="center"/>
            <w:hideMark/>
          </w:tcPr>
          <w:p w14:paraId="77F686F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170,00</w:t>
            </w:r>
          </w:p>
        </w:tc>
        <w:tc>
          <w:tcPr>
            <w:tcW w:w="708" w:type="dxa"/>
            <w:tcBorders>
              <w:top w:val="nil"/>
              <w:left w:val="nil"/>
              <w:bottom w:val="single" w:sz="4" w:space="0" w:color="auto"/>
              <w:right w:val="single" w:sz="4" w:space="0" w:color="auto"/>
            </w:tcBorders>
            <w:shd w:val="clear" w:color="auto" w:fill="auto"/>
            <w:vAlign w:val="center"/>
            <w:hideMark/>
          </w:tcPr>
          <w:p w14:paraId="47A4B47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160,60</w:t>
            </w:r>
          </w:p>
        </w:tc>
        <w:tc>
          <w:tcPr>
            <w:tcW w:w="709" w:type="dxa"/>
            <w:tcBorders>
              <w:top w:val="nil"/>
              <w:left w:val="nil"/>
              <w:bottom w:val="single" w:sz="4" w:space="0" w:color="auto"/>
              <w:right w:val="single" w:sz="4" w:space="0" w:color="auto"/>
            </w:tcBorders>
            <w:shd w:val="clear" w:color="000000" w:fill="FFFFFF"/>
            <w:vAlign w:val="center"/>
            <w:hideMark/>
          </w:tcPr>
          <w:p w14:paraId="14ACAB2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94,50</w:t>
            </w:r>
          </w:p>
        </w:tc>
        <w:tc>
          <w:tcPr>
            <w:tcW w:w="709" w:type="dxa"/>
            <w:tcBorders>
              <w:top w:val="nil"/>
              <w:left w:val="nil"/>
              <w:bottom w:val="single" w:sz="4" w:space="0" w:color="auto"/>
              <w:right w:val="single" w:sz="4" w:space="0" w:color="auto"/>
            </w:tcBorders>
            <w:shd w:val="clear" w:color="auto" w:fill="auto"/>
            <w:noWrap/>
            <w:vAlign w:val="center"/>
            <w:hideMark/>
          </w:tcPr>
          <w:p w14:paraId="3F2FA4A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674" w:type="dxa"/>
            <w:tcBorders>
              <w:top w:val="nil"/>
              <w:left w:val="nil"/>
              <w:bottom w:val="single" w:sz="4" w:space="0" w:color="auto"/>
              <w:right w:val="double" w:sz="4" w:space="0" w:color="auto"/>
            </w:tcBorders>
            <w:shd w:val="clear" w:color="auto" w:fill="auto"/>
            <w:noWrap/>
            <w:vAlign w:val="center"/>
            <w:hideMark/>
          </w:tcPr>
          <w:p w14:paraId="21CD7E0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r w:rsidR="00A53AD7" w:rsidRPr="00A53AD7" w14:paraId="48914B68" w14:textId="77777777" w:rsidTr="00F152D2">
        <w:trPr>
          <w:trHeight w:val="577"/>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6727ED74"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Динамика объема добычи (вылова) водных биологических ресурсов при осуществлении промышленного, спортивного и любительского рыболовства во внутренних пресноводных водных объектах (к базовому периоду - 2013 год)</w:t>
            </w:r>
          </w:p>
        </w:tc>
        <w:tc>
          <w:tcPr>
            <w:tcW w:w="709" w:type="dxa"/>
            <w:tcBorders>
              <w:top w:val="nil"/>
              <w:left w:val="nil"/>
              <w:bottom w:val="single" w:sz="4" w:space="0" w:color="auto"/>
              <w:right w:val="single" w:sz="4" w:space="0" w:color="auto"/>
            </w:tcBorders>
            <w:shd w:val="clear" w:color="auto" w:fill="auto"/>
            <w:vAlign w:val="center"/>
            <w:hideMark/>
          </w:tcPr>
          <w:p w14:paraId="01CD60B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процентов к базовому году</w:t>
            </w:r>
          </w:p>
        </w:tc>
        <w:tc>
          <w:tcPr>
            <w:tcW w:w="709" w:type="dxa"/>
            <w:tcBorders>
              <w:top w:val="nil"/>
              <w:left w:val="nil"/>
              <w:bottom w:val="single" w:sz="4" w:space="0" w:color="auto"/>
              <w:right w:val="single" w:sz="4" w:space="0" w:color="auto"/>
            </w:tcBorders>
            <w:shd w:val="clear" w:color="auto" w:fill="auto"/>
            <w:vAlign w:val="center"/>
            <w:hideMark/>
          </w:tcPr>
          <w:p w14:paraId="3F053E8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102,60</w:t>
            </w:r>
          </w:p>
        </w:tc>
        <w:tc>
          <w:tcPr>
            <w:tcW w:w="708" w:type="dxa"/>
            <w:tcBorders>
              <w:top w:val="nil"/>
              <w:left w:val="nil"/>
              <w:bottom w:val="single" w:sz="4" w:space="0" w:color="auto"/>
              <w:right w:val="single" w:sz="4" w:space="0" w:color="auto"/>
            </w:tcBorders>
            <w:shd w:val="clear" w:color="auto" w:fill="auto"/>
            <w:vAlign w:val="center"/>
            <w:hideMark/>
          </w:tcPr>
          <w:p w14:paraId="473D85C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55,90</w:t>
            </w:r>
          </w:p>
        </w:tc>
        <w:tc>
          <w:tcPr>
            <w:tcW w:w="709" w:type="dxa"/>
            <w:tcBorders>
              <w:top w:val="nil"/>
              <w:left w:val="nil"/>
              <w:bottom w:val="single" w:sz="4" w:space="0" w:color="auto"/>
              <w:right w:val="single" w:sz="4" w:space="0" w:color="auto"/>
            </w:tcBorders>
            <w:shd w:val="clear" w:color="000000" w:fill="FFFFFF"/>
            <w:vAlign w:val="center"/>
            <w:hideMark/>
          </w:tcPr>
          <w:p w14:paraId="1E42435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54,50</w:t>
            </w:r>
          </w:p>
        </w:tc>
        <w:tc>
          <w:tcPr>
            <w:tcW w:w="709" w:type="dxa"/>
            <w:tcBorders>
              <w:top w:val="nil"/>
              <w:left w:val="nil"/>
              <w:bottom w:val="single" w:sz="4" w:space="0" w:color="auto"/>
              <w:right w:val="single" w:sz="4" w:space="0" w:color="auto"/>
            </w:tcBorders>
            <w:shd w:val="clear" w:color="auto" w:fill="auto"/>
            <w:noWrap/>
            <w:vAlign w:val="center"/>
            <w:hideMark/>
          </w:tcPr>
          <w:p w14:paraId="6F1E39D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44,5</w:t>
            </w:r>
          </w:p>
        </w:tc>
        <w:tc>
          <w:tcPr>
            <w:tcW w:w="674" w:type="dxa"/>
            <w:tcBorders>
              <w:top w:val="nil"/>
              <w:left w:val="nil"/>
              <w:bottom w:val="single" w:sz="4" w:space="0" w:color="auto"/>
              <w:right w:val="double" w:sz="4" w:space="0" w:color="auto"/>
            </w:tcBorders>
            <w:shd w:val="clear" w:color="auto" w:fill="auto"/>
            <w:noWrap/>
            <w:vAlign w:val="center"/>
            <w:hideMark/>
          </w:tcPr>
          <w:p w14:paraId="759DFA1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42,7</w:t>
            </w:r>
          </w:p>
        </w:tc>
      </w:tr>
      <w:tr w:rsidR="00A53AD7" w:rsidRPr="00A53AD7" w14:paraId="604EDC77" w14:textId="77777777" w:rsidTr="00F152D2">
        <w:trPr>
          <w:trHeight w:val="255"/>
        </w:trPr>
        <w:tc>
          <w:tcPr>
            <w:tcW w:w="9355" w:type="dxa"/>
            <w:gridSpan w:val="7"/>
            <w:tcBorders>
              <w:top w:val="single" w:sz="4" w:space="0" w:color="auto"/>
              <w:left w:val="double" w:sz="4" w:space="0" w:color="auto"/>
              <w:bottom w:val="single" w:sz="4" w:space="0" w:color="auto"/>
              <w:right w:val="double" w:sz="4" w:space="0" w:color="auto"/>
            </w:tcBorders>
            <w:shd w:val="clear" w:color="auto" w:fill="auto"/>
            <w:noWrap/>
            <w:vAlign w:val="center"/>
            <w:hideMark/>
          </w:tcPr>
          <w:p w14:paraId="0906AE06" w14:textId="77777777" w:rsidR="00687A6A" w:rsidRPr="00A53AD7" w:rsidRDefault="00687A6A" w:rsidP="00274B0A">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Подпрограмма № 3 "Создание условий для реализации государственной программы"</w:t>
            </w:r>
          </w:p>
        </w:tc>
      </w:tr>
      <w:tr w:rsidR="00A53AD7" w:rsidRPr="00A53AD7" w14:paraId="2593ACCF" w14:textId="77777777" w:rsidTr="00F152D2">
        <w:trPr>
          <w:trHeight w:val="225"/>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4C6CBB97"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Объем средств, привлекаемых из федерального бюджета</w:t>
            </w:r>
          </w:p>
        </w:tc>
        <w:tc>
          <w:tcPr>
            <w:tcW w:w="709" w:type="dxa"/>
            <w:tcBorders>
              <w:top w:val="nil"/>
              <w:left w:val="nil"/>
              <w:bottom w:val="single" w:sz="4" w:space="0" w:color="auto"/>
              <w:right w:val="single" w:sz="4" w:space="0" w:color="auto"/>
            </w:tcBorders>
            <w:shd w:val="clear" w:color="auto" w:fill="auto"/>
            <w:vAlign w:val="center"/>
            <w:hideMark/>
          </w:tcPr>
          <w:p w14:paraId="02655B1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млн. руб.</w:t>
            </w:r>
          </w:p>
        </w:tc>
        <w:tc>
          <w:tcPr>
            <w:tcW w:w="709" w:type="dxa"/>
            <w:tcBorders>
              <w:top w:val="nil"/>
              <w:left w:val="nil"/>
              <w:bottom w:val="single" w:sz="4" w:space="0" w:color="auto"/>
              <w:right w:val="single" w:sz="4" w:space="0" w:color="auto"/>
            </w:tcBorders>
            <w:shd w:val="clear" w:color="auto" w:fill="auto"/>
            <w:vAlign w:val="center"/>
            <w:hideMark/>
          </w:tcPr>
          <w:p w14:paraId="05641C8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300,00</w:t>
            </w:r>
          </w:p>
        </w:tc>
        <w:tc>
          <w:tcPr>
            <w:tcW w:w="708" w:type="dxa"/>
            <w:tcBorders>
              <w:top w:val="nil"/>
              <w:left w:val="nil"/>
              <w:bottom w:val="single" w:sz="4" w:space="0" w:color="auto"/>
              <w:right w:val="single" w:sz="4" w:space="0" w:color="auto"/>
            </w:tcBorders>
            <w:shd w:val="clear" w:color="auto" w:fill="auto"/>
            <w:vAlign w:val="center"/>
            <w:hideMark/>
          </w:tcPr>
          <w:p w14:paraId="6CA84AF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291,20</w:t>
            </w:r>
          </w:p>
        </w:tc>
        <w:tc>
          <w:tcPr>
            <w:tcW w:w="709" w:type="dxa"/>
            <w:tcBorders>
              <w:top w:val="nil"/>
              <w:left w:val="nil"/>
              <w:bottom w:val="single" w:sz="4" w:space="0" w:color="auto"/>
              <w:right w:val="single" w:sz="4" w:space="0" w:color="auto"/>
            </w:tcBorders>
            <w:shd w:val="clear" w:color="000000" w:fill="FFFFFF"/>
            <w:vAlign w:val="center"/>
            <w:hideMark/>
          </w:tcPr>
          <w:p w14:paraId="0F505B8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97,10</w:t>
            </w:r>
          </w:p>
        </w:tc>
        <w:tc>
          <w:tcPr>
            <w:tcW w:w="709" w:type="dxa"/>
            <w:tcBorders>
              <w:top w:val="nil"/>
              <w:left w:val="nil"/>
              <w:bottom w:val="single" w:sz="4" w:space="0" w:color="auto"/>
              <w:right w:val="single" w:sz="4" w:space="0" w:color="auto"/>
            </w:tcBorders>
            <w:shd w:val="clear" w:color="auto" w:fill="auto"/>
            <w:noWrap/>
            <w:vAlign w:val="center"/>
            <w:hideMark/>
          </w:tcPr>
          <w:p w14:paraId="18D4468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64,7</w:t>
            </w:r>
          </w:p>
        </w:tc>
        <w:tc>
          <w:tcPr>
            <w:tcW w:w="674" w:type="dxa"/>
            <w:tcBorders>
              <w:top w:val="nil"/>
              <w:left w:val="nil"/>
              <w:bottom w:val="single" w:sz="4" w:space="0" w:color="auto"/>
              <w:right w:val="double" w:sz="4" w:space="0" w:color="auto"/>
            </w:tcBorders>
            <w:shd w:val="clear" w:color="auto" w:fill="auto"/>
            <w:noWrap/>
            <w:vAlign w:val="center"/>
            <w:hideMark/>
          </w:tcPr>
          <w:p w14:paraId="22A16B0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69,5</w:t>
            </w:r>
          </w:p>
        </w:tc>
      </w:tr>
      <w:tr w:rsidR="00A53AD7" w:rsidRPr="00A53AD7" w14:paraId="537A34AE" w14:textId="77777777" w:rsidTr="00F152D2">
        <w:trPr>
          <w:trHeight w:val="255"/>
        </w:trPr>
        <w:tc>
          <w:tcPr>
            <w:tcW w:w="9355" w:type="dxa"/>
            <w:gridSpan w:val="7"/>
            <w:tcBorders>
              <w:top w:val="single" w:sz="4" w:space="0" w:color="auto"/>
              <w:left w:val="double" w:sz="4" w:space="0" w:color="auto"/>
              <w:bottom w:val="single" w:sz="4" w:space="0" w:color="auto"/>
              <w:right w:val="double" w:sz="4" w:space="0" w:color="auto"/>
            </w:tcBorders>
            <w:shd w:val="clear" w:color="auto" w:fill="auto"/>
            <w:noWrap/>
            <w:vAlign w:val="center"/>
            <w:hideMark/>
          </w:tcPr>
          <w:p w14:paraId="2D593CB2" w14:textId="77777777" w:rsidR="00687A6A" w:rsidRPr="00A53AD7" w:rsidRDefault="00687A6A" w:rsidP="00274B0A">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Подпрограмма № 4 "Развитие мелиорации земель сельскохозяйственного назначения Архангельской области"</w:t>
            </w:r>
          </w:p>
        </w:tc>
      </w:tr>
      <w:tr w:rsidR="00A53AD7" w:rsidRPr="00A53AD7" w14:paraId="144D8C39" w14:textId="77777777" w:rsidTr="00F152D2">
        <w:trPr>
          <w:trHeight w:val="589"/>
        </w:trPr>
        <w:tc>
          <w:tcPr>
            <w:tcW w:w="5137" w:type="dxa"/>
            <w:tcBorders>
              <w:top w:val="nil"/>
              <w:left w:val="double" w:sz="4" w:space="0" w:color="auto"/>
              <w:bottom w:val="single" w:sz="4" w:space="0" w:color="auto"/>
              <w:right w:val="single" w:sz="4" w:space="0" w:color="auto"/>
            </w:tcBorders>
            <w:shd w:val="clear" w:color="auto" w:fill="auto"/>
            <w:vAlign w:val="center"/>
            <w:hideMark/>
          </w:tcPr>
          <w:p w14:paraId="1243E403"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Ввод в эксплуатацию мелиорируемых земель за счет реконструкции, технического перевооружения и строительства новых мелиоративных систем общего и индивидуального пользования</w:t>
            </w:r>
          </w:p>
        </w:tc>
        <w:tc>
          <w:tcPr>
            <w:tcW w:w="709" w:type="dxa"/>
            <w:tcBorders>
              <w:top w:val="nil"/>
              <w:left w:val="nil"/>
              <w:bottom w:val="single" w:sz="4" w:space="0" w:color="auto"/>
              <w:right w:val="single" w:sz="4" w:space="0" w:color="auto"/>
            </w:tcBorders>
            <w:shd w:val="clear" w:color="auto" w:fill="auto"/>
            <w:vAlign w:val="center"/>
            <w:hideMark/>
          </w:tcPr>
          <w:p w14:paraId="518EF0A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гектаров</w:t>
            </w:r>
          </w:p>
        </w:tc>
        <w:tc>
          <w:tcPr>
            <w:tcW w:w="709" w:type="dxa"/>
            <w:tcBorders>
              <w:top w:val="nil"/>
              <w:left w:val="nil"/>
              <w:bottom w:val="single" w:sz="4" w:space="0" w:color="auto"/>
              <w:right w:val="single" w:sz="4" w:space="0" w:color="auto"/>
            </w:tcBorders>
            <w:shd w:val="clear" w:color="auto" w:fill="auto"/>
            <w:vAlign w:val="center"/>
            <w:hideMark/>
          </w:tcPr>
          <w:p w14:paraId="73B3EF6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2,812</w:t>
            </w:r>
          </w:p>
        </w:tc>
        <w:tc>
          <w:tcPr>
            <w:tcW w:w="708" w:type="dxa"/>
            <w:tcBorders>
              <w:top w:val="nil"/>
              <w:left w:val="nil"/>
              <w:bottom w:val="single" w:sz="4" w:space="0" w:color="auto"/>
              <w:right w:val="single" w:sz="4" w:space="0" w:color="auto"/>
            </w:tcBorders>
            <w:shd w:val="clear" w:color="auto" w:fill="auto"/>
            <w:vAlign w:val="center"/>
            <w:hideMark/>
          </w:tcPr>
          <w:p w14:paraId="58F4BC2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2,514</w:t>
            </w:r>
          </w:p>
        </w:tc>
        <w:tc>
          <w:tcPr>
            <w:tcW w:w="709" w:type="dxa"/>
            <w:tcBorders>
              <w:top w:val="nil"/>
              <w:left w:val="nil"/>
              <w:bottom w:val="single" w:sz="4" w:space="0" w:color="auto"/>
              <w:right w:val="single" w:sz="4" w:space="0" w:color="auto"/>
            </w:tcBorders>
            <w:shd w:val="clear" w:color="000000" w:fill="FFFFFF"/>
            <w:vAlign w:val="center"/>
            <w:hideMark/>
          </w:tcPr>
          <w:p w14:paraId="3FE30DB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89,40</w:t>
            </w:r>
          </w:p>
        </w:tc>
        <w:tc>
          <w:tcPr>
            <w:tcW w:w="709" w:type="dxa"/>
            <w:tcBorders>
              <w:top w:val="nil"/>
              <w:left w:val="nil"/>
              <w:bottom w:val="single" w:sz="4" w:space="0" w:color="auto"/>
              <w:right w:val="single" w:sz="4" w:space="0" w:color="auto"/>
            </w:tcBorders>
            <w:shd w:val="clear" w:color="auto" w:fill="auto"/>
            <w:noWrap/>
            <w:vAlign w:val="center"/>
            <w:hideMark/>
          </w:tcPr>
          <w:p w14:paraId="0493093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183,8</w:t>
            </w:r>
          </w:p>
        </w:tc>
        <w:tc>
          <w:tcPr>
            <w:tcW w:w="674" w:type="dxa"/>
            <w:tcBorders>
              <w:top w:val="nil"/>
              <w:left w:val="nil"/>
              <w:bottom w:val="single" w:sz="4" w:space="0" w:color="auto"/>
              <w:right w:val="double" w:sz="4" w:space="0" w:color="auto"/>
            </w:tcBorders>
            <w:shd w:val="clear" w:color="auto" w:fill="auto"/>
            <w:noWrap/>
            <w:vAlign w:val="center"/>
            <w:hideMark/>
          </w:tcPr>
          <w:p w14:paraId="17D6537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122,8</w:t>
            </w:r>
          </w:p>
        </w:tc>
      </w:tr>
      <w:tr w:rsidR="00D470B6" w:rsidRPr="00A53AD7" w14:paraId="7B68C456" w14:textId="77777777" w:rsidTr="00F152D2">
        <w:trPr>
          <w:trHeight w:val="413"/>
        </w:trPr>
        <w:tc>
          <w:tcPr>
            <w:tcW w:w="5137" w:type="dxa"/>
            <w:tcBorders>
              <w:top w:val="nil"/>
              <w:left w:val="double" w:sz="4" w:space="0" w:color="auto"/>
              <w:bottom w:val="double" w:sz="4" w:space="0" w:color="auto"/>
              <w:right w:val="single" w:sz="4" w:space="0" w:color="auto"/>
            </w:tcBorders>
            <w:shd w:val="clear" w:color="auto" w:fill="auto"/>
            <w:vAlign w:val="center"/>
            <w:hideMark/>
          </w:tcPr>
          <w:p w14:paraId="7E0927D1"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Вовлечение в оборот выбывших мелиоративных сельскохозяйственных угодий за счет проведения культуртехнических мероприятий</w:t>
            </w:r>
          </w:p>
        </w:tc>
        <w:tc>
          <w:tcPr>
            <w:tcW w:w="709" w:type="dxa"/>
            <w:tcBorders>
              <w:top w:val="nil"/>
              <w:left w:val="nil"/>
              <w:bottom w:val="double" w:sz="4" w:space="0" w:color="auto"/>
              <w:right w:val="single" w:sz="4" w:space="0" w:color="auto"/>
            </w:tcBorders>
            <w:shd w:val="clear" w:color="auto" w:fill="auto"/>
            <w:vAlign w:val="center"/>
            <w:hideMark/>
          </w:tcPr>
          <w:p w14:paraId="4049773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тыс. гектаров</w:t>
            </w:r>
          </w:p>
        </w:tc>
        <w:tc>
          <w:tcPr>
            <w:tcW w:w="709" w:type="dxa"/>
            <w:tcBorders>
              <w:top w:val="nil"/>
              <w:left w:val="nil"/>
              <w:bottom w:val="double" w:sz="4" w:space="0" w:color="auto"/>
              <w:right w:val="single" w:sz="4" w:space="0" w:color="auto"/>
            </w:tcBorders>
            <w:shd w:val="clear" w:color="auto" w:fill="auto"/>
            <w:vAlign w:val="center"/>
            <w:hideMark/>
          </w:tcPr>
          <w:p w14:paraId="5D6F16E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0,55</w:t>
            </w:r>
          </w:p>
        </w:tc>
        <w:tc>
          <w:tcPr>
            <w:tcW w:w="708" w:type="dxa"/>
            <w:tcBorders>
              <w:top w:val="nil"/>
              <w:left w:val="nil"/>
              <w:bottom w:val="double" w:sz="4" w:space="0" w:color="auto"/>
              <w:right w:val="single" w:sz="4" w:space="0" w:color="auto"/>
            </w:tcBorders>
            <w:shd w:val="clear" w:color="auto" w:fill="auto"/>
            <w:vAlign w:val="center"/>
            <w:hideMark/>
          </w:tcPr>
          <w:p w14:paraId="09CD7B6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0,31</w:t>
            </w:r>
          </w:p>
        </w:tc>
        <w:tc>
          <w:tcPr>
            <w:tcW w:w="709" w:type="dxa"/>
            <w:tcBorders>
              <w:top w:val="nil"/>
              <w:left w:val="nil"/>
              <w:bottom w:val="double" w:sz="4" w:space="0" w:color="auto"/>
              <w:right w:val="single" w:sz="4" w:space="0" w:color="auto"/>
            </w:tcBorders>
            <w:shd w:val="clear" w:color="000000" w:fill="FFFFFF"/>
            <w:vAlign w:val="center"/>
            <w:hideMark/>
          </w:tcPr>
          <w:p w14:paraId="2B04B53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56,50</w:t>
            </w:r>
          </w:p>
        </w:tc>
        <w:tc>
          <w:tcPr>
            <w:tcW w:w="709" w:type="dxa"/>
            <w:tcBorders>
              <w:top w:val="nil"/>
              <w:left w:val="nil"/>
              <w:bottom w:val="double" w:sz="4" w:space="0" w:color="auto"/>
              <w:right w:val="single" w:sz="4" w:space="0" w:color="auto"/>
            </w:tcBorders>
            <w:shd w:val="clear" w:color="auto" w:fill="auto"/>
            <w:noWrap/>
            <w:vAlign w:val="center"/>
            <w:hideMark/>
          </w:tcPr>
          <w:p w14:paraId="6EA9477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10,3</w:t>
            </w:r>
          </w:p>
        </w:tc>
        <w:tc>
          <w:tcPr>
            <w:tcW w:w="674" w:type="dxa"/>
            <w:tcBorders>
              <w:top w:val="nil"/>
              <w:left w:val="nil"/>
              <w:bottom w:val="double" w:sz="4" w:space="0" w:color="auto"/>
              <w:right w:val="double" w:sz="4" w:space="0" w:color="auto"/>
            </w:tcBorders>
            <w:shd w:val="clear" w:color="auto" w:fill="auto"/>
            <w:noWrap/>
            <w:vAlign w:val="center"/>
            <w:hideMark/>
          </w:tcPr>
          <w:p w14:paraId="6F2862F2"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r>
    </w:tbl>
    <w:p w14:paraId="7D412321" w14:textId="77777777" w:rsidR="00687A6A" w:rsidRPr="00A53AD7" w:rsidRDefault="00687A6A" w:rsidP="00224FB8">
      <w:pPr>
        <w:pStyle w:val="a8"/>
        <w:ind w:left="0" w:firstLine="851"/>
        <w:jc w:val="both"/>
        <w:rPr>
          <w:sz w:val="28"/>
          <w:szCs w:val="28"/>
        </w:rPr>
      </w:pPr>
    </w:p>
    <w:p w14:paraId="65C787FE" w14:textId="77777777" w:rsidR="004F4D9F" w:rsidRPr="00A53AD7" w:rsidRDefault="004F4D9F" w:rsidP="004F4D9F">
      <w:pPr>
        <w:pStyle w:val="a8"/>
        <w:ind w:left="0" w:firstLine="851"/>
        <w:jc w:val="both"/>
        <w:rPr>
          <w:sz w:val="28"/>
          <w:szCs w:val="28"/>
        </w:rPr>
      </w:pPr>
      <w:r w:rsidRPr="00A53AD7">
        <w:rPr>
          <w:sz w:val="28"/>
          <w:szCs w:val="28"/>
        </w:rPr>
        <w:t xml:space="preserve">Министерство экономического развития Архангельской области, в соответствии Порядком № 299-пп оценило эффективность реализации ГП АО № 436-пп в 82,7%, что соответствует уровню «средняя». Эффективность деятельности исполнителей в части выполнения программных мероприятий оценена в 81,9% или ближе к удовлетворительной (70 &lt;= KPIj &lt;80 - удовлетворительная), в части оценки качества планирования и управления реализацией государственной программы в 85,7%. </w:t>
      </w:r>
    </w:p>
    <w:p w14:paraId="27388646" w14:textId="0113E3A0" w:rsidR="00687A6A" w:rsidRPr="00A53AD7" w:rsidRDefault="00687A6A" w:rsidP="0078411E">
      <w:pPr>
        <w:pStyle w:val="a8"/>
        <w:ind w:left="0" w:firstLine="851"/>
        <w:jc w:val="both"/>
        <w:rPr>
          <w:sz w:val="28"/>
          <w:szCs w:val="28"/>
        </w:rPr>
      </w:pPr>
      <w:r w:rsidRPr="00A53AD7">
        <w:rPr>
          <w:sz w:val="28"/>
          <w:szCs w:val="28"/>
        </w:rPr>
        <w:t>В то</w:t>
      </w:r>
      <w:r w:rsidR="00FB3767" w:rsidRPr="00A53AD7">
        <w:rPr>
          <w:sz w:val="28"/>
          <w:szCs w:val="28"/>
        </w:rPr>
        <w:t xml:space="preserve"> </w:t>
      </w:r>
      <w:r w:rsidRPr="00A53AD7">
        <w:rPr>
          <w:sz w:val="28"/>
          <w:szCs w:val="28"/>
        </w:rPr>
        <w:t>же время, необходимо отметить, что при сложившейся динамике выполнения достижения показателей (по 43 целевым показателям) за 2019 год по сравнению с исполнением за 2018 год процент выполнения составил всего 53,5%, из чего следует вывод о низком уровне эффективн</w:t>
      </w:r>
      <w:r w:rsidR="00FB3767" w:rsidRPr="00A53AD7">
        <w:rPr>
          <w:sz w:val="28"/>
          <w:szCs w:val="28"/>
        </w:rPr>
        <w:t>ости реализации ГП АО № 436-пп</w:t>
      </w:r>
      <w:r w:rsidRPr="00A53AD7">
        <w:rPr>
          <w:sz w:val="28"/>
          <w:szCs w:val="28"/>
        </w:rPr>
        <w:t>.</w:t>
      </w:r>
    </w:p>
    <w:p w14:paraId="3E83EA38" w14:textId="77777777" w:rsidR="00687A6A" w:rsidRPr="00A53AD7" w:rsidRDefault="00687A6A" w:rsidP="0078411E">
      <w:pPr>
        <w:pStyle w:val="a8"/>
        <w:ind w:left="0" w:firstLine="851"/>
        <w:jc w:val="both"/>
        <w:rPr>
          <w:sz w:val="28"/>
          <w:szCs w:val="28"/>
        </w:rPr>
      </w:pPr>
      <w:r w:rsidRPr="00A53AD7">
        <w:rPr>
          <w:sz w:val="28"/>
          <w:szCs w:val="28"/>
        </w:rPr>
        <w:t>В соответствии с ожидаемыми результатами госпрограммы: в целом оценка социально-экономической эффективности реализации государственной программы будет производиться на основе системы целевых показателей, которые выражены в количественных и качественных характеристиках. Система целевых показателей обеспечит мониторинг реализации поставленных задач и достижение намеченных в рамках государственной программы целей за отчетный период, а также позволит своевременно вносить уточнения или изменения в государственную программу.</w:t>
      </w:r>
    </w:p>
    <w:p w14:paraId="39DB478A" w14:textId="77777777" w:rsidR="004F4D9F" w:rsidRPr="00A53AD7" w:rsidRDefault="004F4D9F" w:rsidP="004F4D9F">
      <w:pPr>
        <w:pStyle w:val="a8"/>
        <w:ind w:left="0" w:firstLine="851"/>
        <w:jc w:val="both"/>
        <w:rPr>
          <w:sz w:val="28"/>
          <w:szCs w:val="28"/>
        </w:rPr>
      </w:pPr>
      <w:r w:rsidRPr="00A53AD7">
        <w:rPr>
          <w:sz w:val="28"/>
          <w:szCs w:val="28"/>
        </w:rPr>
        <w:t>В рамках государственной программы в 2013-2016 годах (первоначальная редакция, периодом реализации в 4 года – с 2013 по 2016 гг.) планируется:</w:t>
      </w:r>
    </w:p>
    <w:p w14:paraId="2C543DEB"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увеличение объемов производства в коллективных хозяйствах в Архангельской области к уровню 2012 года:</w:t>
      </w:r>
    </w:p>
    <w:p w14:paraId="36D83078"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а) молока - на 7,7 % (до 94,8 тыс. тонн);</w:t>
      </w:r>
    </w:p>
    <w:p w14:paraId="1EC84C1B"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б) мяса скота и птицы - на 7,8 % (до 40,2 тыс. тонн);</w:t>
      </w:r>
    </w:p>
    <w:p w14:paraId="051C597D"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в) яиц - на 7,7 % (до 246 млн. штук);</w:t>
      </w:r>
    </w:p>
    <w:p w14:paraId="2BA1D44C"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г) картофеля - на 4,9 % (до 21,5 тыс. тонн);</w:t>
      </w:r>
    </w:p>
    <w:p w14:paraId="7A5A30D0" w14:textId="77777777" w:rsidR="004F4D9F" w:rsidRPr="00A53AD7" w:rsidRDefault="004F4D9F" w:rsidP="004F4D9F">
      <w:pPr>
        <w:pStyle w:val="a8"/>
        <w:ind w:left="0" w:firstLine="851"/>
        <w:jc w:val="both"/>
        <w:rPr>
          <w:rFonts w:eastAsia="Calibri"/>
          <w:sz w:val="28"/>
          <w:szCs w:val="28"/>
          <w:lang w:eastAsia="en-US"/>
        </w:rPr>
      </w:pPr>
      <w:r w:rsidRPr="00A53AD7">
        <w:rPr>
          <w:rFonts w:eastAsia="Calibri"/>
          <w:sz w:val="28"/>
          <w:szCs w:val="28"/>
          <w:lang w:eastAsia="en-US"/>
        </w:rPr>
        <w:t>д) овощей - на 92,3 % (до 2,5 тыс. тонн);</w:t>
      </w:r>
    </w:p>
    <w:p w14:paraId="710F8728"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обеспечение доли прибыльных коллективных хозяйств в Архангельской области к общему количеству коллективных хозяйств на уровне 87,5 %;</w:t>
      </w:r>
    </w:p>
    <w:p w14:paraId="7BC10370"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ежегодное увеличение индекса физического объема инвестиций в основной капитал сельского хозяйства Архангельской области на 5 % к предыдущему году.</w:t>
      </w:r>
    </w:p>
    <w:p w14:paraId="36ADCDE8" w14:textId="77777777" w:rsidR="004F4D9F" w:rsidRPr="00A53AD7" w:rsidRDefault="004F4D9F" w:rsidP="004F4D9F">
      <w:pPr>
        <w:pStyle w:val="a8"/>
        <w:ind w:left="0" w:firstLine="851"/>
        <w:jc w:val="both"/>
        <w:rPr>
          <w:sz w:val="28"/>
          <w:szCs w:val="28"/>
        </w:rPr>
      </w:pPr>
      <w:r w:rsidRPr="00A53AD7">
        <w:rPr>
          <w:sz w:val="28"/>
          <w:szCs w:val="28"/>
        </w:rPr>
        <w:t>Объем финансирования ГП АО № 436-пп в первоначальной редакции составлял 33 217,3 млн.руб., в том числе средства федерального и областного бюджетов в сумме 6 089,6 млн.руб.</w:t>
      </w:r>
    </w:p>
    <w:p w14:paraId="44C11E9D" w14:textId="77777777" w:rsidR="004F4D9F" w:rsidRPr="00A53AD7" w:rsidRDefault="004F4D9F" w:rsidP="004F4D9F">
      <w:pPr>
        <w:pStyle w:val="a8"/>
        <w:ind w:left="0" w:firstLine="851"/>
        <w:jc w:val="both"/>
        <w:rPr>
          <w:sz w:val="28"/>
          <w:szCs w:val="28"/>
        </w:rPr>
      </w:pPr>
      <w:r w:rsidRPr="00A53AD7">
        <w:rPr>
          <w:sz w:val="28"/>
          <w:szCs w:val="28"/>
        </w:rPr>
        <w:t>В настоящее время ресурсное обеспечение ГП АО № 436-пп (в редакции на 25.12.2019) предусматривает финансирование реализации программных мероприятий за период действия программы с 2013 по 2022 гг. с общим объемом средств 70 532,7 млн.руб., в том числе средств федерального и областного бюджетов в сумме 12 483,9 млн.руб., то есть финансирование увеличено по сравнению первоначальной редакцией в 2,1 раза, в тоже время, при увеличении объема финансирования реализации программных мероприятий ожидаемые (необходимые к достижению) целевые показатели не изменились:</w:t>
      </w:r>
    </w:p>
    <w:p w14:paraId="3FC04500"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увеличение объемов производства в коллективных хозяйствах в Архангельской области к уровню 2012 года:</w:t>
      </w:r>
    </w:p>
    <w:p w14:paraId="4E23F448"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а) молока - на 7,7 % (до 94,8 тыс. тонн);</w:t>
      </w:r>
    </w:p>
    <w:p w14:paraId="545F3B7B"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б) мяса скота и птицы - на 7,8 % (до 40,2 тыс. тонн);</w:t>
      </w:r>
    </w:p>
    <w:p w14:paraId="6479C8E7"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в) яиц - на 7,7 % (до 246 млн. штук);</w:t>
      </w:r>
    </w:p>
    <w:p w14:paraId="2F1D4359" w14:textId="77777777" w:rsidR="004F4D9F" w:rsidRPr="00A53AD7" w:rsidRDefault="004F4D9F" w:rsidP="004F4D9F">
      <w:pPr>
        <w:pStyle w:val="a8"/>
        <w:ind w:left="851"/>
        <w:jc w:val="both"/>
        <w:rPr>
          <w:rFonts w:eastAsia="Calibri"/>
          <w:sz w:val="28"/>
          <w:szCs w:val="28"/>
          <w:lang w:eastAsia="en-US"/>
        </w:rPr>
      </w:pPr>
      <w:r w:rsidRPr="00A53AD7">
        <w:rPr>
          <w:rFonts w:eastAsia="Calibri"/>
          <w:sz w:val="28"/>
          <w:szCs w:val="28"/>
          <w:lang w:eastAsia="en-US"/>
        </w:rPr>
        <w:t>г) картофеля - на 4,9 % (до 21,5 тыс. тонн);</w:t>
      </w:r>
    </w:p>
    <w:p w14:paraId="10AD89B9" w14:textId="77777777" w:rsidR="004F4D9F" w:rsidRPr="00A53AD7" w:rsidRDefault="004F4D9F" w:rsidP="004F4D9F">
      <w:pPr>
        <w:pStyle w:val="a8"/>
        <w:ind w:left="0" w:firstLine="851"/>
        <w:jc w:val="both"/>
        <w:rPr>
          <w:rFonts w:eastAsia="Calibri"/>
          <w:sz w:val="28"/>
          <w:szCs w:val="28"/>
          <w:lang w:eastAsia="en-US"/>
        </w:rPr>
      </w:pPr>
      <w:r w:rsidRPr="00A53AD7">
        <w:rPr>
          <w:rFonts w:eastAsia="Calibri"/>
          <w:sz w:val="28"/>
          <w:szCs w:val="28"/>
          <w:lang w:eastAsia="en-US"/>
        </w:rPr>
        <w:t>д) овощей - на 92,3 % (до 2,5 тыс. тонн);</w:t>
      </w:r>
    </w:p>
    <w:p w14:paraId="6C893042"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обеспечение доли прибыльных коллективных хозяйств в Архангельской области к общему количеству коллективных хозяйств на уровне 87,5 %;</w:t>
      </w:r>
    </w:p>
    <w:p w14:paraId="660D3AB4" w14:textId="77777777" w:rsidR="004F4D9F" w:rsidRPr="00A53AD7" w:rsidRDefault="004F4D9F" w:rsidP="004F4D9F">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ежегодное увеличение индекса физического объема инвестиций в основной капитал сельского хозяйства Архангельской области на 5 % к предыдущему году.</w:t>
      </w:r>
    </w:p>
    <w:p w14:paraId="2491E66E" w14:textId="77777777" w:rsidR="004F4D9F" w:rsidRPr="00A53AD7" w:rsidRDefault="004F4D9F" w:rsidP="004F4D9F">
      <w:pPr>
        <w:pStyle w:val="a8"/>
        <w:ind w:left="0" w:firstLine="851"/>
        <w:jc w:val="both"/>
        <w:rPr>
          <w:sz w:val="28"/>
          <w:szCs w:val="28"/>
        </w:rPr>
      </w:pPr>
      <w:r w:rsidRPr="00A53AD7">
        <w:rPr>
          <w:sz w:val="28"/>
          <w:szCs w:val="28"/>
        </w:rPr>
        <w:t>Указанный факт свидетельствует об отсутствии взаимосвязи между объемами финансирования программных мероприятий и ожидаемыми показателями ГП АО № 436-пп, для достижения целевых величин которых предусматривается ресурсное обеспечение в предусмотренных объемах.</w:t>
      </w:r>
    </w:p>
    <w:p w14:paraId="37BBCEA6" w14:textId="2DBB2939" w:rsidR="00687A6A" w:rsidRPr="00A53AD7" w:rsidRDefault="00687A6A" w:rsidP="000179FB">
      <w:pPr>
        <w:pStyle w:val="a8"/>
        <w:ind w:left="0" w:firstLine="851"/>
        <w:jc w:val="both"/>
        <w:rPr>
          <w:sz w:val="28"/>
          <w:szCs w:val="28"/>
        </w:rPr>
      </w:pPr>
      <w:r w:rsidRPr="00A53AD7">
        <w:rPr>
          <w:sz w:val="28"/>
          <w:szCs w:val="28"/>
        </w:rPr>
        <w:t>При этом также необходимо отметить, что значения целевых показателей на 2022 год, установленных приложением №</w:t>
      </w:r>
      <w:r w:rsidR="00C71E17" w:rsidRPr="00A53AD7">
        <w:rPr>
          <w:sz w:val="28"/>
          <w:szCs w:val="28"/>
        </w:rPr>
        <w:t xml:space="preserve"> </w:t>
      </w:r>
      <w:r w:rsidRPr="00A53AD7">
        <w:rPr>
          <w:sz w:val="28"/>
          <w:szCs w:val="28"/>
        </w:rPr>
        <w:t>1.1. к ГП АО № 436-пп, не соответствуют показателям, планируемым к достижению и обозначенным в разделе III Ожидаемые результаты госпрограммы</w:t>
      </w:r>
      <w:r w:rsidR="00B818A0" w:rsidRPr="00A53AD7">
        <w:rPr>
          <w:sz w:val="28"/>
          <w:szCs w:val="28"/>
        </w:rPr>
        <w:t>,</w:t>
      </w:r>
      <w:r w:rsidRPr="00A53AD7">
        <w:rPr>
          <w:sz w:val="28"/>
          <w:szCs w:val="28"/>
        </w:rPr>
        <w:t xml:space="preserve"> или их значение вовсе отсутствует (исключены в связи с их недостижением).</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677"/>
        <w:gridCol w:w="3111"/>
        <w:gridCol w:w="2536"/>
      </w:tblGrid>
      <w:tr w:rsidR="00A53AD7" w:rsidRPr="00A53AD7" w14:paraId="402D9B38" w14:textId="77777777" w:rsidTr="000179FB">
        <w:tc>
          <w:tcPr>
            <w:tcW w:w="3681" w:type="dxa"/>
          </w:tcPr>
          <w:p w14:paraId="3AF392B1"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p>
        </w:tc>
        <w:tc>
          <w:tcPr>
            <w:tcW w:w="3114" w:type="dxa"/>
          </w:tcPr>
          <w:p w14:paraId="2D4F68B8" w14:textId="1DC41248"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Ожидаемые результаты, планируемые в рамках государственной программы</w:t>
            </w:r>
          </w:p>
        </w:tc>
        <w:tc>
          <w:tcPr>
            <w:tcW w:w="2539" w:type="dxa"/>
          </w:tcPr>
          <w:p w14:paraId="5A711B35"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Установлено к 2022 году (приложение 1.1.)</w:t>
            </w:r>
          </w:p>
        </w:tc>
      </w:tr>
      <w:tr w:rsidR="00A53AD7" w:rsidRPr="00A53AD7" w14:paraId="50FB62D3" w14:textId="77777777" w:rsidTr="002F666C">
        <w:trPr>
          <w:trHeight w:val="140"/>
        </w:trPr>
        <w:tc>
          <w:tcPr>
            <w:tcW w:w="3681" w:type="dxa"/>
          </w:tcPr>
          <w:p w14:paraId="30A87A74"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Объем производства молока, тыс.тонн</w:t>
            </w:r>
          </w:p>
        </w:tc>
        <w:tc>
          <w:tcPr>
            <w:tcW w:w="3114" w:type="dxa"/>
          </w:tcPr>
          <w:p w14:paraId="4A6E7614"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до 94,8</w:t>
            </w:r>
          </w:p>
        </w:tc>
        <w:tc>
          <w:tcPr>
            <w:tcW w:w="2539" w:type="dxa"/>
          </w:tcPr>
          <w:p w14:paraId="0AB4B11D"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112,6</w:t>
            </w:r>
          </w:p>
        </w:tc>
      </w:tr>
      <w:tr w:rsidR="00A53AD7" w:rsidRPr="00A53AD7" w14:paraId="2C86647D" w14:textId="77777777" w:rsidTr="000179FB">
        <w:tc>
          <w:tcPr>
            <w:tcW w:w="3681" w:type="dxa"/>
          </w:tcPr>
          <w:p w14:paraId="570B28D2"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Объем производства скота и птицы, тыс.тонн</w:t>
            </w:r>
          </w:p>
        </w:tc>
        <w:tc>
          <w:tcPr>
            <w:tcW w:w="3114" w:type="dxa"/>
          </w:tcPr>
          <w:p w14:paraId="6229D6E8"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до 40,2</w:t>
            </w:r>
          </w:p>
        </w:tc>
        <w:tc>
          <w:tcPr>
            <w:tcW w:w="2539" w:type="dxa"/>
          </w:tcPr>
          <w:p w14:paraId="7A265B38"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5,6</w:t>
            </w:r>
          </w:p>
        </w:tc>
      </w:tr>
      <w:tr w:rsidR="00A53AD7" w:rsidRPr="00A53AD7" w14:paraId="3C657F4F" w14:textId="77777777" w:rsidTr="000179FB">
        <w:tc>
          <w:tcPr>
            <w:tcW w:w="3681" w:type="dxa"/>
          </w:tcPr>
          <w:p w14:paraId="3AC9CDAD"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 xml:space="preserve">Объем производства яиц, млн. штук </w:t>
            </w:r>
          </w:p>
        </w:tc>
        <w:tc>
          <w:tcPr>
            <w:tcW w:w="3114" w:type="dxa"/>
          </w:tcPr>
          <w:p w14:paraId="6AE43D83"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до 246</w:t>
            </w:r>
          </w:p>
        </w:tc>
        <w:tc>
          <w:tcPr>
            <w:tcW w:w="2539" w:type="dxa"/>
          </w:tcPr>
          <w:p w14:paraId="5118B85C"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Не установлен (исключен)</w:t>
            </w:r>
          </w:p>
        </w:tc>
      </w:tr>
      <w:tr w:rsidR="00A53AD7" w:rsidRPr="00A53AD7" w14:paraId="7B935352" w14:textId="77777777" w:rsidTr="000179FB">
        <w:tc>
          <w:tcPr>
            <w:tcW w:w="3681" w:type="dxa"/>
          </w:tcPr>
          <w:p w14:paraId="1CD1C408"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Объем производства картофеля, тыс.тонн</w:t>
            </w:r>
          </w:p>
        </w:tc>
        <w:tc>
          <w:tcPr>
            <w:tcW w:w="3114" w:type="dxa"/>
          </w:tcPr>
          <w:p w14:paraId="365A2193"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до 21,5</w:t>
            </w:r>
          </w:p>
        </w:tc>
        <w:tc>
          <w:tcPr>
            <w:tcW w:w="2539" w:type="dxa"/>
          </w:tcPr>
          <w:p w14:paraId="3AC6E6DC"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21,4</w:t>
            </w:r>
          </w:p>
        </w:tc>
      </w:tr>
      <w:tr w:rsidR="00A53AD7" w:rsidRPr="00A53AD7" w14:paraId="24C14AA5" w14:textId="77777777" w:rsidTr="000179FB">
        <w:tc>
          <w:tcPr>
            <w:tcW w:w="3681" w:type="dxa"/>
          </w:tcPr>
          <w:p w14:paraId="5DF062FA"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Объем производства овощей, тыс.тонн</w:t>
            </w:r>
          </w:p>
        </w:tc>
        <w:tc>
          <w:tcPr>
            <w:tcW w:w="3114" w:type="dxa"/>
          </w:tcPr>
          <w:p w14:paraId="6A120A21"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до 2,5</w:t>
            </w:r>
          </w:p>
        </w:tc>
        <w:tc>
          <w:tcPr>
            <w:tcW w:w="2539" w:type="dxa"/>
          </w:tcPr>
          <w:p w14:paraId="511B70C0"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1,35</w:t>
            </w:r>
          </w:p>
        </w:tc>
      </w:tr>
      <w:tr w:rsidR="00687A6A" w:rsidRPr="00A53AD7" w14:paraId="1A1483A0" w14:textId="77777777" w:rsidTr="000179FB">
        <w:tc>
          <w:tcPr>
            <w:tcW w:w="3681" w:type="dxa"/>
          </w:tcPr>
          <w:p w14:paraId="26596E11" w14:textId="77777777" w:rsidR="00687A6A" w:rsidRPr="00A53AD7" w:rsidRDefault="00687A6A" w:rsidP="000179FB">
            <w:pPr>
              <w:autoSpaceDE w:val="0"/>
              <w:autoSpaceDN w:val="0"/>
              <w:adjustRightInd w:val="0"/>
              <w:spacing w:after="60" w:line="240" w:lineRule="auto"/>
              <w:rPr>
                <w:rFonts w:ascii="Times New Roman" w:hAnsi="Times New Roman"/>
                <w:sz w:val="20"/>
                <w:szCs w:val="20"/>
              </w:rPr>
            </w:pPr>
            <w:r w:rsidRPr="00A53AD7">
              <w:rPr>
                <w:rFonts w:ascii="Times New Roman" w:hAnsi="Times New Roman"/>
                <w:sz w:val="20"/>
                <w:szCs w:val="20"/>
              </w:rPr>
              <w:t>ежегодное увеличение индекса физического объема инвестиций в основной капитал агропромышленного комплекса</w:t>
            </w:r>
          </w:p>
        </w:tc>
        <w:tc>
          <w:tcPr>
            <w:tcW w:w="3114" w:type="dxa"/>
          </w:tcPr>
          <w:p w14:paraId="4FE038A6"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на 5 %</w:t>
            </w:r>
          </w:p>
        </w:tc>
        <w:tc>
          <w:tcPr>
            <w:tcW w:w="2539" w:type="dxa"/>
          </w:tcPr>
          <w:p w14:paraId="67EA142A" w14:textId="77777777" w:rsidR="00687A6A" w:rsidRPr="00A53AD7" w:rsidRDefault="00687A6A" w:rsidP="000179FB">
            <w:pPr>
              <w:autoSpaceDE w:val="0"/>
              <w:autoSpaceDN w:val="0"/>
              <w:adjustRightInd w:val="0"/>
              <w:spacing w:after="60" w:line="240" w:lineRule="auto"/>
              <w:jc w:val="center"/>
              <w:rPr>
                <w:rFonts w:ascii="Times New Roman" w:hAnsi="Times New Roman"/>
                <w:sz w:val="20"/>
                <w:szCs w:val="20"/>
              </w:rPr>
            </w:pPr>
            <w:r w:rsidRPr="00A53AD7">
              <w:rPr>
                <w:rFonts w:ascii="Times New Roman" w:hAnsi="Times New Roman"/>
                <w:sz w:val="20"/>
                <w:szCs w:val="20"/>
              </w:rPr>
              <w:t>Не установлен (исключен)</w:t>
            </w:r>
          </w:p>
        </w:tc>
      </w:tr>
    </w:tbl>
    <w:p w14:paraId="200A47FA" w14:textId="77777777" w:rsidR="00687A6A" w:rsidRPr="00A53AD7" w:rsidRDefault="00687A6A" w:rsidP="002F666C">
      <w:pPr>
        <w:pStyle w:val="a8"/>
        <w:ind w:left="0" w:firstLine="851"/>
        <w:jc w:val="both"/>
        <w:rPr>
          <w:sz w:val="28"/>
          <w:szCs w:val="28"/>
        </w:rPr>
      </w:pPr>
    </w:p>
    <w:p w14:paraId="7EB1CAE4" w14:textId="77777777" w:rsidR="007934BA" w:rsidRPr="00A53AD7" w:rsidRDefault="007934BA" w:rsidP="007934BA">
      <w:pPr>
        <w:pStyle w:val="a8"/>
        <w:ind w:left="0" w:firstLine="851"/>
        <w:jc w:val="both"/>
        <w:rPr>
          <w:sz w:val="28"/>
          <w:szCs w:val="28"/>
        </w:rPr>
      </w:pPr>
      <w:r w:rsidRPr="00A53AD7">
        <w:rPr>
          <w:sz w:val="28"/>
          <w:szCs w:val="28"/>
        </w:rPr>
        <w:t xml:space="preserve">Согласно </w:t>
      </w:r>
      <w:hyperlink w:anchor="sub_10000" w:history="1">
        <w:r w:rsidRPr="00A53AD7">
          <w:rPr>
            <w:sz w:val="28"/>
            <w:szCs w:val="28"/>
          </w:rPr>
          <w:t>Стратегии</w:t>
        </w:r>
      </w:hyperlink>
      <w:r w:rsidRPr="00A53AD7">
        <w:rPr>
          <w:sz w:val="28"/>
          <w:szCs w:val="28"/>
        </w:rPr>
        <w:t xml:space="preserve"> социально-экономического развития Архангельской области до 2035 года в результате реализации проекта "Поддержка традиционных отраслей экономики и развитие малого предпринимательства" предусмотрено, что к 2030 году индекс производства продукции сельского хозяйства в хозяйствах всех категорий будет превышать 105,5%, доля крестьянских (фермерских) хозяйств и индивидуальных предпринимателей в производстве продукции сельского хозяйства составит не менее 20 %, темп роста выручки от продажи товаров, продукции, работ, услуг сельскохозяйственных потребительских кооперативов (в сопоставимых ценах) к предыдущему году превысит 112 %.</w:t>
      </w:r>
    </w:p>
    <w:p w14:paraId="05C192CE" w14:textId="77777777" w:rsidR="007934BA" w:rsidRPr="00A53AD7" w:rsidRDefault="007934BA" w:rsidP="007934BA">
      <w:pPr>
        <w:pStyle w:val="a8"/>
        <w:ind w:left="0" w:firstLine="851"/>
        <w:jc w:val="both"/>
        <w:rPr>
          <w:sz w:val="28"/>
          <w:szCs w:val="28"/>
        </w:rPr>
      </w:pPr>
      <w:r w:rsidRPr="00A53AD7">
        <w:rPr>
          <w:sz w:val="28"/>
          <w:szCs w:val="28"/>
        </w:rPr>
        <w:t>Приложением № 2 к Стратегии социально-экономического развития Архангельской области до 2035 года утвержден прогноз ключевых показателей для мониторинга реализации Стратегии, согласно которому индекс производства продукции сельского хозяйства в хозяйствах всех категориях установлен на 2019 год в размере 100,38%, на 2020 год – 100,43%, на 2021 год – 100,36%, на 2022 год – 100,75%. Указанный показатель в количественном выражении не соответствует показателям, установленным ГП АО № 436-п: на 2019 год 99,8%, на 2020 год – 98,9%, на 2021 год – 99,2%, на 2022 год – 99,6%.</w:t>
      </w:r>
    </w:p>
    <w:p w14:paraId="6E29939E" w14:textId="77777777" w:rsidR="007934BA" w:rsidRPr="00A53AD7" w:rsidRDefault="007934BA" w:rsidP="007934BA">
      <w:pPr>
        <w:pStyle w:val="a8"/>
        <w:ind w:left="0" w:firstLine="851"/>
        <w:jc w:val="both"/>
        <w:rPr>
          <w:sz w:val="28"/>
          <w:szCs w:val="28"/>
        </w:rPr>
      </w:pPr>
      <w:r w:rsidRPr="00A53AD7">
        <w:rPr>
          <w:sz w:val="28"/>
          <w:szCs w:val="28"/>
        </w:rPr>
        <w:t>Данный факт свидетельствует об отсутствии сопоставимости (взаимосвязи) показателей государственной программы и стратегического документа Архангельской области (плановые показатели индикаторов государственной программы и плановые показатели основного стратегического документа имеют отклонения).</w:t>
      </w:r>
    </w:p>
    <w:p w14:paraId="64D62207" w14:textId="77777777" w:rsidR="00687A6A" w:rsidRPr="00A53AD7" w:rsidRDefault="00687A6A" w:rsidP="002F666C">
      <w:pPr>
        <w:pStyle w:val="a8"/>
        <w:ind w:left="0" w:firstLine="851"/>
        <w:jc w:val="both"/>
        <w:rPr>
          <w:sz w:val="28"/>
          <w:szCs w:val="28"/>
        </w:rPr>
      </w:pPr>
    </w:p>
    <w:p w14:paraId="05E4525E" w14:textId="77777777" w:rsidR="00687A6A" w:rsidRPr="00A53AD7" w:rsidRDefault="00687A6A" w:rsidP="002F666C">
      <w:pPr>
        <w:pStyle w:val="a8"/>
        <w:ind w:left="0" w:firstLine="851"/>
        <w:jc w:val="both"/>
        <w:rPr>
          <w:sz w:val="28"/>
          <w:szCs w:val="28"/>
        </w:rPr>
      </w:pPr>
      <w:r w:rsidRPr="00A53AD7">
        <w:rPr>
          <w:sz w:val="28"/>
          <w:szCs w:val="28"/>
        </w:rPr>
        <w:t>В течение 2019 года областными законами «О внесении изменений в областной бюджет на 2019 год» бюджетные ассигнования ГП АО № 436-пп неоднократно корректировались, общее увеличение на 156,0 млн.руб. (к бюджетной росписи + 162,6 млн.руб.), в том числе за счет дополнительных поступлений межбюджетных трансфертов из федерального бюджета, а также за счет увеличения бюджетных ассигнований на выплату субсидий сельхозтоваропроизводителям на повышение продуктивности в молочном скотоводстве (на 131 млн.руб.), субсидий на поддержку племенного животноводства, субсидий на компенсацию части затрат на газ, использованный на производство овощей защищенного грунта тепличными хозяйствами и субсидий на поддержку овощеводства защищенного грунта.</w:t>
      </w:r>
    </w:p>
    <w:p w14:paraId="59ACBA9A" w14:textId="77777777" w:rsidR="005A3B0A" w:rsidRPr="00A53AD7" w:rsidRDefault="005A3B0A" w:rsidP="005A3B0A">
      <w:pPr>
        <w:pStyle w:val="a8"/>
        <w:ind w:left="0" w:firstLine="851"/>
        <w:jc w:val="both"/>
        <w:rPr>
          <w:sz w:val="28"/>
          <w:szCs w:val="28"/>
        </w:rPr>
      </w:pPr>
      <w:r w:rsidRPr="00A53AD7">
        <w:rPr>
          <w:sz w:val="28"/>
          <w:szCs w:val="28"/>
        </w:rPr>
        <w:t>Необходимо отметить, что при увеличении объемов финансирования мероприятий (на 17%), обеспечивающих поддержку сельскохозяйственных товаропроизводителей, целевые показатели программы на 2019 год не уточняются, остаются на прежнем уровне:</w:t>
      </w:r>
    </w:p>
    <w:tbl>
      <w:tblPr>
        <w:tblW w:w="9209" w:type="dxa"/>
        <w:tblInd w:w="1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091"/>
        <w:gridCol w:w="992"/>
        <w:gridCol w:w="992"/>
        <w:gridCol w:w="1134"/>
      </w:tblGrid>
      <w:tr w:rsidR="00A53AD7" w:rsidRPr="00A53AD7" w14:paraId="3F2EC15A" w14:textId="77777777" w:rsidTr="006A21A7">
        <w:trPr>
          <w:trHeight w:val="973"/>
        </w:trPr>
        <w:tc>
          <w:tcPr>
            <w:tcW w:w="6091" w:type="dxa"/>
            <w:shd w:val="clear" w:color="auto" w:fill="auto"/>
            <w:vAlign w:val="center"/>
            <w:hideMark/>
          </w:tcPr>
          <w:p w14:paraId="527F84E1"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Отдельные целевые показатели </w:t>
            </w:r>
          </w:p>
        </w:tc>
        <w:tc>
          <w:tcPr>
            <w:tcW w:w="992" w:type="dxa"/>
            <w:shd w:val="clear" w:color="auto" w:fill="auto"/>
            <w:vAlign w:val="center"/>
            <w:hideMark/>
          </w:tcPr>
          <w:p w14:paraId="01198AE7"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ГП АО № 36-пп в редакции от 05.03.2019</w:t>
            </w:r>
          </w:p>
        </w:tc>
        <w:tc>
          <w:tcPr>
            <w:tcW w:w="992" w:type="dxa"/>
            <w:shd w:val="clear" w:color="auto" w:fill="auto"/>
            <w:vAlign w:val="center"/>
            <w:hideMark/>
          </w:tcPr>
          <w:p w14:paraId="4BF26741"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ГП АО № 436-пп в редакции от 25.12.2019</w:t>
            </w:r>
          </w:p>
        </w:tc>
        <w:tc>
          <w:tcPr>
            <w:tcW w:w="1134" w:type="dxa"/>
            <w:shd w:val="clear" w:color="auto" w:fill="auto"/>
            <w:vAlign w:val="center"/>
            <w:hideMark/>
          </w:tcPr>
          <w:p w14:paraId="2D701051"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Отклонения </w:t>
            </w:r>
          </w:p>
        </w:tc>
      </w:tr>
      <w:tr w:rsidR="00A53AD7" w:rsidRPr="00A53AD7" w14:paraId="67B2128F" w14:textId="77777777" w:rsidTr="006A21A7">
        <w:trPr>
          <w:trHeight w:val="283"/>
        </w:trPr>
        <w:tc>
          <w:tcPr>
            <w:tcW w:w="6091" w:type="dxa"/>
            <w:shd w:val="clear" w:color="auto" w:fill="auto"/>
            <w:vAlign w:val="center"/>
            <w:hideMark/>
          </w:tcPr>
          <w:p w14:paraId="7FBC6FEF" w14:textId="77777777" w:rsidR="005A3B0A" w:rsidRPr="00A53AD7" w:rsidRDefault="005A3B0A" w:rsidP="006A21A7">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Индекс производства продукции сельского хозяйства в хозяйствах всех категорий (в сопоставимых ценах) к предыдущему году</w:t>
            </w:r>
          </w:p>
        </w:tc>
        <w:tc>
          <w:tcPr>
            <w:tcW w:w="992" w:type="dxa"/>
            <w:shd w:val="clear" w:color="auto" w:fill="auto"/>
            <w:vAlign w:val="center"/>
            <w:hideMark/>
          </w:tcPr>
          <w:p w14:paraId="7B1F26A5"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99,80</w:t>
            </w:r>
          </w:p>
        </w:tc>
        <w:tc>
          <w:tcPr>
            <w:tcW w:w="992" w:type="dxa"/>
            <w:shd w:val="clear" w:color="auto" w:fill="auto"/>
            <w:vAlign w:val="center"/>
            <w:hideMark/>
          </w:tcPr>
          <w:p w14:paraId="751A8DD6"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99,80</w:t>
            </w:r>
          </w:p>
        </w:tc>
        <w:tc>
          <w:tcPr>
            <w:tcW w:w="1134" w:type="dxa"/>
            <w:shd w:val="clear" w:color="auto" w:fill="auto"/>
            <w:vAlign w:val="center"/>
            <w:hideMark/>
          </w:tcPr>
          <w:p w14:paraId="16C03B5D"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0,00</w:t>
            </w:r>
          </w:p>
        </w:tc>
      </w:tr>
      <w:tr w:rsidR="00A53AD7" w:rsidRPr="00A53AD7" w14:paraId="30C31CA9" w14:textId="77777777" w:rsidTr="006A21A7">
        <w:trPr>
          <w:trHeight w:val="225"/>
        </w:trPr>
        <w:tc>
          <w:tcPr>
            <w:tcW w:w="6091" w:type="dxa"/>
            <w:shd w:val="clear" w:color="auto" w:fill="auto"/>
            <w:vAlign w:val="center"/>
            <w:hideMark/>
          </w:tcPr>
          <w:p w14:paraId="357EE57F" w14:textId="77777777" w:rsidR="005A3B0A" w:rsidRPr="00A53AD7" w:rsidRDefault="005A3B0A" w:rsidP="006A21A7">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Индекс производительности труда к предыдущему году</w:t>
            </w:r>
          </w:p>
        </w:tc>
        <w:tc>
          <w:tcPr>
            <w:tcW w:w="992" w:type="dxa"/>
            <w:shd w:val="clear" w:color="auto" w:fill="auto"/>
            <w:vAlign w:val="center"/>
            <w:hideMark/>
          </w:tcPr>
          <w:p w14:paraId="6037020A"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98,70</w:t>
            </w:r>
          </w:p>
        </w:tc>
        <w:tc>
          <w:tcPr>
            <w:tcW w:w="992" w:type="dxa"/>
            <w:shd w:val="clear" w:color="auto" w:fill="auto"/>
            <w:vAlign w:val="center"/>
            <w:hideMark/>
          </w:tcPr>
          <w:p w14:paraId="39562FB8"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98,70</w:t>
            </w:r>
          </w:p>
        </w:tc>
        <w:tc>
          <w:tcPr>
            <w:tcW w:w="1134" w:type="dxa"/>
            <w:shd w:val="clear" w:color="auto" w:fill="auto"/>
            <w:vAlign w:val="center"/>
            <w:hideMark/>
          </w:tcPr>
          <w:p w14:paraId="3A7189E0" w14:textId="77777777" w:rsidR="005A3B0A" w:rsidRPr="00A53AD7" w:rsidRDefault="005A3B0A" w:rsidP="006A21A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0,00</w:t>
            </w:r>
          </w:p>
        </w:tc>
      </w:tr>
      <w:tr w:rsidR="00A53AD7" w:rsidRPr="00A53AD7" w14:paraId="4597C557" w14:textId="77777777" w:rsidTr="006A21A7">
        <w:trPr>
          <w:trHeight w:val="140"/>
        </w:trPr>
        <w:tc>
          <w:tcPr>
            <w:tcW w:w="6091" w:type="dxa"/>
            <w:shd w:val="clear" w:color="auto" w:fill="auto"/>
            <w:vAlign w:val="center"/>
            <w:hideMark/>
          </w:tcPr>
          <w:p w14:paraId="482F4168"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5. Рентабельность сельскохозяйственных организаций (с учетом субсидий)</w:t>
            </w:r>
          </w:p>
        </w:tc>
        <w:tc>
          <w:tcPr>
            <w:tcW w:w="992" w:type="dxa"/>
            <w:shd w:val="clear" w:color="auto" w:fill="auto"/>
            <w:vAlign w:val="center"/>
            <w:hideMark/>
          </w:tcPr>
          <w:p w14:paraId="57ED0D98"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8,30</w:t>
            </w:r>
          </w:p>
        </w:tc>
        <w:tc>
          <w:tcPr>
            <w:tcW w:w="992" w:type="dxa"/>
            <w:shd w:val="clear" w:color="auto" w:fill="auto"/>
            <w:vAlign w:val="center"/>
            <w:hideMark/>
          </w:tcPr>
          <w:p w14:paraId="3C2F5FC1"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8,30</w:t>
            </w:r>
          </w:p>
        </w:tc>
        <w:tc>
          <w:tcPr>
            <w:tcW w:w="1134" w:type="dxa"/>
            <w:shd w:val="clear" w:color="auto" w:fill="auto"/>
            <w:vAlign w:val="center"/>
            <w:hideMark/>
          </w:tcPr>
          <w:p w14:paraId="0079394C"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166356B0" w14:textId="77777777" w:rsidTr="006A21A7">
        <w:trPr>
          <w:trHeight w:val="369"/>
        </w:trPr>
        <w:tc>
          <w:tcPr>
            <w:tcW w:w="6091" w:type="dxa"/>
            <w:shd w:val="clear" w:color="auto" w:fill="auto"/>
            <w:vAlign w:val="center"/>
            <w:hideMark/>
          </w:tcPr>
          <w:p w14:paraId="6A7A854D"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7. Индекс производства продукции растениеводства в хозяйствах всех категорий (в сопоставимых ценах) к предыдущему году</w:t>
            </w:r>
          </w:p>
        </w:tc>
        <w:tc>
          <w:tcPr>
            <w:tcW w:w="992" w:type="dxa"/>
            <w:shd w:val="clear" w:color="auto" w:fill="auto"/>
            <w:vAlign w:val="center"/>
            <w:hideMark/>
          </w:tcPr>
          <w:p w14:paraId="7958D973"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98,60</w:t>
            </w:r>
          </w:p>
        </w:tc>
        <w:tc>
          <w:tcPr>
            <w:tcW w:w="992" w:type="dxa"/>
            <w:shd w:val="clear" w:color="auto" w:fill="auto"/>
            <w:vAlign w:val="center"/>
            <w:hideMark/>
          </w:tcPr>
          <w:p w14:paraId="609B01FE"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98,60</w:t>
            </w:r>
          </w:p>
        </w:tc>
        <w:tc>
          <w:tcPr>
            <w:tcW w:w="1134" w:type="dxa"/>
            <w:shd w:val="clear" w:color="auto" w:fill="auto"/>
            <w:vAlign w:val="center"/>
            <w:hideMark/>
          </w:tcPr>
          <w:p w14:paraId="35A858CC"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283BAE88" w14:textId="77777777" w:rsidTr="006A21A7">
        <w:trPr>
          <w:trHeight w:val="347"/>
        </w:trPr>
        <w:tc>
          <w:tcPr>
            <w:tcW w:w="6091" w:type="dxa"/>
            <w:shd w:val="clear" w:color="auto" w:fill="auto"/>
            <w:vAlign w:val="center"/>
            <w:hideMark/>
          </w:tcPr>
          <w:p w14:paraId="7C0169D6"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8. Индекс производства продукции животноводства в хозяйствах всех категорий (в сопоставимых ценах) к предыдущему году</w:t>
            </w:r>
          </w:p>
        </w:tc>
        <w:tc>
          <w:tcPr>
            <w:tcW w:w="992" w:type="dxa"/>
            <w:shd w:val="clear" w:color="auto" w:fill="auto"/>
            <w:vAlign w:val="center"/>
            <w:hideMark/>
          </w:tcPr>
          <w:p w14:paraId="5D463705"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101,60</w:t>
            </w:r>
          </w:p>
        </w:tc>
        <w:tc>
          <w:tcPr>
            <w:tcW w:w="992" w:type="dxa"/>
            <w:shd w:val="clear" w:color="auto" w:fill="auto"/>
            <w:vAlign w:val="center"/>
            <w:hideMark/>
          </w:tcPr>
          <w:p w14:paraId="69B99374"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101,60</w:t>
            </w:r>
          </w:p>
        </w:tc>
        <w:tc>
          <w:tcPr>
            <w:tcW w:w="1134" w:type="dxa"/>
            <w:shd w:val="clear" w:color="auto" w:fill="auto"/>
            <w:vAlign w:val="center"/>
            <w:hideMark/>
          </w:tcPr>
          <w:p w14:paraId="0F5AC4C7"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560E686B" w14:textId="77777777" w:rsidTr="006A21A7">
        <w:trPr>
          <w:trHeight w:val="487"/>
        </w:trPr>
        <w:tc>
          <w:tcPr>
            <w:tcW w:w="6091" w:type="dxa"/>
            <w:shd w:val="clear" w:color="auto" w:fill="auto"/>
            <w:vAlign w:val="center"/>
            <w:hideMark/>
          </w:tcPr>
          <w:p w14:paraId="14A35FA4"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17. Валовой сбор овощей в зимних теплицах в сельскохозяйственных организациях, крестьянских (фермерских) хозяйствах, включая индивидуальных предпринимателей</w:t>
            </w:r>
          </w:p>
        </w:tc>
        <w:tc>
          <w:tcPr>
            <w:tcW w:w="992" w:type="dxa"/>
            <w:shd w:val="clear" w:color="auto" w:fill="auto"/>
            <w:vAlign w:val="center"/>
            <w:hideMark/>
          </w:tcPr>
          <w:p w14:paraId="5A98CDF3"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0,85</w:t>
            </w:r>
          </w:p>
        </w:tc>
        <w:tc>
          <w:tcPr>
            <w:tcW w:w="992" w:type="dxa"/>
            <w:shd w:val="clear" w:color="auto" w:fill="auto"/>
            <w:vAlign w:val="center"/>
            <w:hideMark/>
          </w:tcPr>
          <w:p w14:paraId="3321C609"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0,85</w:t>
            </w:r>
          </w:p>
        </w:tc>
        <w:tc>
          <w:tcPr>
            <w:tcW w:w="1134" w:type="dxa"/>
            <w:shd w:val="clear" w:color="auto" w:fill="auto"/>
            <w:vAlign w:val="center"/>
            <w:hideMark/>
          </w:tcPr>
          <w:p w14:paraId="31B70A2F"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39CC7100" w14:textId="77777777" w:rsidTr="006A21A7">
        <w:trPr>
          <w:trHeight w:val="281"/>
        </w:trPr>
        <w:tc>
          <w:tcPr>
            <w:tcW w:w="6091" w:type="dxa"/>
            <w:shd w:val="clear" w:color="auto" w:fill="auto"/>
            <w:vAlign w:val="center"/>
            <w:hideMark/>
          </w:tcPr>
          <w:p w14:paraId="01C8A552"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18. Производство скота и птицы на убой в хозяйствах всех категорий (в живом весе)</w:t>
            </w:r>
          </w:p>
        </w:tc>
        <w:tc>
          <w:tcPr>
            <w:tcW w:w="992" w:type="dxa"/>
            <w:shd w:val="clear" w:color="auto" w:fill="auto"/>
            <w:vAlign w:val="center"/>
            <w:hideMark/>
          </w:tcPr>
          <w:p w14:paraId="097AE31B"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7,40</w:t>
            </w:r>
          </w:p>
        </w:tc>
        <w:tc>
          <w:tcPr>
            <w:tcW w:w="992" w:type="dxa"/>
            <w:shd w:val="clear" w:color="auto" w:fill="auto"/>
            <w:vAlign w:val="center"/>
            <w:hideMark/>
          </w:tcPr>
          <w:p w14:paraId="4A672BA6"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7,40</w:t>
            </w:r>
          </w:p>
        </w:tc>
        <w:tc>
          <w:tcPr>
            <w:tcW w:w="1134" w:type="dxa"/>
            <w:shd w:val="clear" w:color="auto" w:fill="auto"/>
            <w:vAlign w:val="center"/>
            <w:hideMark/>
          </w:tcPr>
          <w:p w14:paraId="7302498C"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3A211E03" w14:textId="77777777" w:rsidTr="006A21A7">
        <w:trPr>
          <w:trHeight w:val="95"/>
        </w:trPr>
        <w:tc>
          <w:tcPr>
            <w:tcW w:w="6091" w:type="dxa"/>
            <w:shd w:val="clear" w:color="auto" w:fill="auto"/>
            <w:vAlign w:val="center"/>
            <w:hideMark/>
          </w:tcPr>
          <w:p w14:paraId="7317F1A0"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19. Производство молока в хозяйствах всех категорий</w:t>
            </w:r>
          </w:p>
        </w:tc>
        <w:tc>
          <w:tcPr>
            <w:tcW w:w="992" w:type="dxa"/>
            <w:shd w:val="clear" w:color="auto" w:fill="auto"/>
            <w:vAlign w:val="center"/>
            <w:hideMark/>
          </w:tcPr>
          <w:p w14:paraId="789D8527"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124,20</w:t>
            </w:r>
          </w:p>
        </w:tc>
        <w:tc>
          <w:tcPr>
            <w:tcW w:w="992" w:type="dxa"/>
            <w:shd w:val="clear" w:color="auto" w:fill="auto"/>
            <w:vAlign w:val="center"/>
            <w:hideMark/>
          </w:tcPr>
          <w:p w14:paraId="4E0A1716"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124,20</w:t>
            </w:r>
          </w:p>
        </w:tc>
        <w:tc>
          <w:tcPr>
            <w:tcW w:w="1134" w:type="dxa"/>
            <w:shd w:val="clear" w:color="auto" w:fill="auto"/>
            <w:vAlign w:val="center"/>
            <w:hideMark/>
          </w:tcPr>
          <w:p w14:paraId="742492D0"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476F80DB" w14:textId="77777777" w:rsidTr="006A21A7">
        <w:trPr>
          <w:trHeight w:val="326"/>
        </w:trPr>
        <w:tc>
          <w:tcPr>
            <w:tcW w:w="6091" w:type="dxa"/>
            <w:shd w:val="clear" w:color="auto" w:fill="auto"/>
            <w:vAlign w:val="center"/>
            <w:hideMark/>
          </w:tcPr>
          <w:p w14:paraId="23893B06" w14:textId="77777777" w:rsidR="005A3B0A" w:rsidRPr="00A53AD7" w:rsidRDefault="005A3B0A" w:rsidP="006A21A7">
            <w:pPr>
              <w:spacing w:after="0" w:line="240" w:lineRule="auto"/>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20. Производство молока в сельскохозяйственных организациях, крестьянских (фермерских) хозяйствах, включая индивидуальных предпринимателей</w:t>
            </w:r>
          </w:p>
        </w:tc>
        <w:tc>
          <w:tcPr>
            <w:tcW w:w="992" w:type="dxa"/>
            <w:shd w:val="clear" w:color="auto" w:fill="auto"/>
            <w:vAlign w:val="center"/>
            <w:hideMark/>
          </w:tcPr>
          <w:p w14:paraId="62AA182A"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110,50</w:t>
            </w:r>
          </w:p>
        </w:tc>
        <w:tc>
          <w:tcPr>
            <w:tcW w:w="992" w:type="dxa"/>
            <w:shd w:val="clear" w:color="auto" w:fill="auto"/>
            <w:vAlign w:val="center"/>
            <w:hideMark/>
          </w:tcPr>
          <w:p w14:paraId="326DEBEF"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110,50</w:t>
            </w:r>
          </w:p>
        </w:tc>
        <w:tc>
          <w:tcPr>
            <w:tcW w:w="1134" w:type="dxa"/>
            <w:shd w:val="clear" w:color="auto" w:fill="auto"/>
            <w:vAlign w:val="center"/>
            <w:hideMark/>
          </w:tcPr>
          <w:p w14:paraId="3E010026" w14:textId="77777777" w:rsidR="005A3B0A" w:rsidRPr="00A53AD7" w:rsidRDefault="005A3B0A" w:rsidP="006A21A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0,00</w:t>
            </w:r>
          </w:p>
        </w:tc>
      </w:tr>
      <w:tr w:rsidR="00A53AD7" w:rsidRPr="00A53AD7" w14:paraId="7FCDC63A" w14:textId="77777777" w:rsidTr="006A21A7">
        <w:trPr>
          <w:trHeight w:val="134"/>
        </w:trPr>
        <w:tc>
          <w:tcPr>
            <w:tcW w:w="6091" w:type="dxa"/>
            <w:shd w:val="clear" w:color="auto" w:fill="auto"/>
            <w:vAlign w:val="center"/>
            <w:hideMark/>
          </w:tcPr>
          <w:p w14:paraId="1BAF1D3D" w14:textId="77777777" w:rsidR="005A3B0A" w:rsidRPr="00A53AD7" w:rsidRDefault="005A3B0A" w:rsidP="006A21A7">
            <w:pPr>
              <w:spacing w:after="0" w:line="240" w:lineRule="auto"/>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Объем финансирования программы за счет средств бюджета, млн.руб.</w:t>
            </w:r>
          </w:p>
        </w:tc>
        <w:tc>
          <w:tcPr>
            <w:tcW w:w="992" w:type="dxa"/>
            <w:shd w:val="clear" w:color="auto" w:fill="auto"/>
            <w:vAlign w:val="center"/>
            <w:hideMark/>
          </w:tcPr>
          <w:p w14:paraId="2801722C"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967,80</w:t>
            </w:r>
          </w:p>
        </w:tc>
        <w:tc>
          <w:tcPr>
            <w:tcW w:w="992" w:type="dxa"/>
            <w:shd w:val="clear" w:color="auto" w:fill="auto"/>
            <w:vAlign w:val="center"/>
            <w:hideMark/>
          </w:tcPr>
          <w:p w14:paraId="5A85C0A0"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1130,10</w:t>
            </w:r>
          </w:p>
        </w:tc>
        <w:tc>
          <w:tcPr>
            <w:tcW w:w="1134" w:type="dxa"/>
            <w:shd w:val="clear" w:color="auto" w:fill="auto"/>
            <w:vAlign w:val="center"/>
            <w:hideMark/>
          </w:tcPr>
          <w:p w14:paraId="583B8E45"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162,30</w:t>
            </w:r>
          </w:p>
        </w:tc>
      </w:tr>
      <w:tr w:rsidR="005A3B0A" w:rsidRPr="00A53AD7" w14:paraId="5E536FD4" w14:textId="77777777" w:rsidTr="006A21A7">
        <w:trPr>
          <w:trHeight w:val="225"/>
        </w:trPr>
        <w:tc>
          <w:tcPr>
            <w:tcW w:w="6091" w:type="dxa"/>
            <w:shd w:val="clear" w:color="auto" w:fill="auto"/>
            <w:vAlign w:val="center"/>
            <w:hideMark/>
          </w:tcPr>
          <w:p w14:paraId="143AA51F" w14:textId="77777777" w:rsidR="005A3B0A" w:rsidRPr="00A53AD7" w:rsidRDefault="005A3B0A" w:rsidP="006A21A7">
            <w:pPr>
              <w:spacing w:after="0" w:line="240" w:lineRule="auto"/>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Объем финансирования программы, в целом, млн.руб.</w:t>
            </w:r>
          </w:p>
        </w:tc>
        <w:tc>
          <w:tcPr>
            <w:tcW w:w="992" w:type="dxa"/>
            <w:shd w:val="clear" w:color="auto" w:fill="auto"/>
            <w:vAlign w:val="center"/>
            <w:hideMark/>
          </w:tcPr>
          <w:p w14:paraId="28DD4817"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5 856,1</w:t>
            </w:r>
          </w:p>
        </w:tc>
        <w:tc>
          <w:tcPr>
            <w:tcW w:w="992" w:type="dxa"/>
            <w:shd w:val="clear" w:color="auto" w:fill="auto"/>
            <w:vAlign w:val="center"/>
            <w:hideMark/>
          </w:tcPr>
          <w:p w14:paraId="4C236C2D"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6 018,4</w:t>
            </w:r>
          </w:p>
        </w:tc>
        <w:tc>
          <w:tcPr>
            <w:tcW w:w="1134" w:type="dxa"/>
            <w:shd w:val="clear" w:color="auto" w:fill="auto"/>
            <w:vAlign w:val="center"/>
            <w:hideMark/>
          </w:tcPr>
          <w:p w14:paraId="05F9E1AD" w14:textId="77777777" w:rsidR="005A3B0A" w:rsidRPr="00A53AD7" w:rsidRDefault="005A3B0A" w:rsidP="006A21A7">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162,3</w:t>
            </w:r>
          </w:p>
        </w:tc>
      </w:tr>
    </w:tbl>
    <w:p w14:paraId="41F60AE2" w14:textId="77777777" w:rsidR="005A3B0A" w:rsidRPr="00A53AD7" w:rsidRDefault="005A3B0A" w:rsidP="005A3B0A">
      <w:pPr>
        <w:pStyle w:val="a8"/>
        <w:ind w:left="0" w:firstLine="851"/>
        <w:jc w:val="both"/>
        <w:rPr>
          <w:sz w:val="28"/>
          <w:szCs w:val="28"/>
        </w:rPr>
      </w:pPr>
    </w:p>
    <w:p w14:paraId="170C450A" w14:textId="490EF066" w:rsidR="005A3B0A" w:rsidRPr="00A53AD7" w:rsidRDefault="005A3B0A" w:rsidP="005A3B0A">
      <w:pPr>
        <w:pStyle w:val="a8"/>
        <w:ind w:left="0" w:firstLine="851"/>
        <w:jc w:val="both"/>
        <w:rPr>
          <w:sz w:val="28"/>
          <w:szCs w:val="28"/>
        </w:rPr>
      </w:pPr>
      <w:r w:rsidRPr="00A53AD7">
        <w:rPr>
          <w:sz w:val="28"/>
          <w:szCs w:val="28"/>
        </w:rPr>
        <w:t>Следует также отметить, что по итогам 2019 года показатель «рентабельность сельскохозяйственных организаций (с учетом субсидий)» составил 13,2%, причиной перевыполнения, согласно пояснени</w:t>
      </w:r>
      <w:r w:rsidR="004073E7" w:rsidRPr="00A53AD7">
        <w:rPr>
          <w:sz w:val="28"/>
          <w:szCs w:val="28"/>
        </w:rPr>
        <w:t>ям</w:t>
      </w:r>
      <w:r w:rsidRPr="00A53AD7">
        <w:rPr>
          <w:sz w:val="28"/>
          <w:szCs w:val="28"/>
        </w:rPr>
        <w:t xml:space="preserve"> министерства АПК АО, является своевременная и в полном объеме выплата субсидий. По итогам за 2017 и 2018 г.г. указанный показатель составил 24,1% и 20%, соответственно.</w:t>
      </w:r>
    </w:p>
    <w:p w14:paraId="69681B79" w14:textId="6AFFA8D4" w:rsidR="00687A6A" w:rsidRPr="00A53AD7" w:rsidRDefault="00F35ED5" w:rsidP="00FB7E82">
      <w:pPr>
        <w:pStyle w:val="a8"/>
        <w:ind w:left="0" w:firstLine="851"/>
        <w:jc w:val="both"/>
        <w:rPr>
          <w:sz w:val="28"/>
          <w:szCs w:val="28"/>
        </w:rPr>
      </w:pPr>
      <w:r w:rsidRPr="00A53AD7">
        <w:rPr>
          <w:sz w:val="28"/>
          <w:szCs w:val="28"/>
        </w:rPr>
        <w:t>Н</w:t>
      </w:r>
      <w:r w:rsidR="00687A6A" w:rsidRPr="00A53AD7">
        <w:rPr>
          <w:sz w:val="28"/>
          <w:szCs w:val="28"/>
        </w:rPr>
        <w:t>е выполнен показатель «доля прибыльных коллективных хозяйств», показатель установлен в размере 87,5%, по итогам 2019 года фактически составил 71,4%. Указанный показатель результативности планировалось достичь при реализации мероприятия «Создание условий по обеспечению финансовой устойчивости сельскохозяйственных товаропроизводителей». Причиной невыполнения является ухудшение финансового состояния сельскохозяйственных товаропроизводителей вследствие увеличения себестоимости животноводческой продукции за счет увеличения стоимости кормов.</w:t>
      </w:r>
    </w:p>
    <w:p w14:paraId="59F2CDDE" w14:textId="7736B230" w:rsidR="00687A6A" w:rsidRPr="00A53AD7" w:rsidRDefault="00687A6A" w:rsidP="00FB7E82">
      <w:pPr>
        <w:pStyle w:val="a8"/>
        <w:ind w:left="0" w:firstLine="851"/>
        <w:jc w:val="both"/>
        <w:rPr>
          <w:sz w:val="28"/>
          <w:szCs w:val="28"/>
        </w:rPr>
      </w:pPr>
      <w:r w:rsidRPr="00A53AD7">
        <w:rPr>
          <w:sz w:val="28"/>
          <w:szCs w:val="28"/>
        </w:rPr>
        <w:t>Также по итогам 2019 года не выполнен показатель результативности реализации мероприятия «Поддержка элитного семеноводства»: приобретение элитных семян картофеля предусмотрено 400 тонн, факт 56,5 тонн; приобретение элитных семян зерновых культур - 40 тонн, факт 8 тонн.</w:t>
      </w:r>
      <w:r w:rsidR="00E46634" w:rsidRPr="00A53AD7">
        <w:rPr>
          <w:sz w:val="28"/>
          <w:szCs w:val="28"/>
        </w:rPr>
        <w:t xml:space="preserve"> </w:t>
      </w:r>
      <w:r w:rsidRPr="00A53AD7">
        <w:rPr>
          <w:sz w:val="28"/>
          <w:szCs w:val="28"/>
        </w:rPr>
        <w:t xml:space="preserve">При этом, предусмотренные ГП АО № 436-пп бюджетные средства в сумме 3,4 млн.руб. освоены в полном объеме, за счет внебюджетных источников (собственных средств сельхозпроизводителей) освоено 10,8 млн.руб., что составляет 91,9% </w:t>
      </w:r>
    </w:p>
    <w:p w14:paraId="52D0A07A" w14:textId="77777777" w:rsidR="00687A6A" w:rsidRPr="00A53AD7" w:rsidRDefault="00687A6A" w:rsidP="00FB7E82">
      <w:pPr>
        <w:pStyle w:val="a8"/>
        <w:ind w:left="0" w:firstLine="851"/>
        <w:jc w:val="both"/>
        <w:rPr>
          <w:sz w:val="28"/>
          <w:szCs w:val="28"/>
        </w:rPr>
      </w:pPr>
    </w:p>
    <w:p w14:paraId="28A95891" w14:textId="77777777" w:rsidR="00687A6A" w:rsidRPr="00A53AD7" w:rsidRDefault="00687A6A" w:rsidP="00FB7E82">
      <w:pPr>
        <w:pStyle w:val="a8"/>
        <w:ind w:left="0" w:firstLine="851"/>
        <w:jc w:val="both"/>
        <w:rPr>
          <w:sz w:val="28"/>
          <w:szCs w:val="28"/>
        </w:rPr>
      </w:pPr>
      <w:r w:rsidRPr="00A53AD7">
        <w:rPr>
          <w:sz w:val="28"/>
          <w:szCs w:val="28"/>
        </w:rPr>
        <w:t>В целом на реализацию мероприятий ГП АО № 436-пп за счет средств федерального и областного бюджетов направлено в 2019 году 1 114,8 млн.руб., что составляет 98,6% к уточненной сводной бюджетной росписи, в том числе по главным распорядителям:</w:t>
      </w:r>
    </w:p>
    <w:p w14:paraId="03B769E7" w14:textId="2EECAF23" w:rsidR="00687A6A" w:rsidRPr="00A53AD7" w:rsidRDefault="00687A6A" w:rsidP="00FE15F6">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министерство АПК и торговли АО – 900,2 млн.руб., что составляет 98,5 % к уточненной сводной бюджетной росписи,</w:t>
      </w:r>
    </w:p>
    <w:p w14:paraId="2E667160" w14:textId="43B53622" w:rsidR="00687A6A" w:rsidRPr="00A53AD7" w:rsidRDefault="00687A6A" w:rsidP="00FE15F6">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министерство транспорта АО – 8,2 млн.руб. (88,4%),</w:t>
      </w:r>
    </w:p>
    <w:p w14:paraId="2B183B08" w14:textId="55882689" w:rsidR="00687A6A" w:rsidRPr="00A53AD7" w:rsidRDefault="00687A6A" w:rsidP="00FE15F6">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инспекция по ветеринарному надзору АО – 156,2 млн.руб. (99,7%).</w:t>
      </w:r>
    </w:p>
    <w:p w14:paraId="5B9D5C80" w14:textId="77777777" w:rsidR="00687A6A" w:rsidRPr="00A53AD7" w:rsidRDefault="00687A6A" w:rsidP="00FE15F6">
      <w:pPr>
        <w:pStyle w:val="a8"/>
        <w:ind w:left="0" w:firstLine="851"/>
        <w:jc w:val="both"/>
        <w:rPr>
          <w:sz w:val="28"/>
          <w:szCs w:val="28"/>
        </w:rPr>
      </w:pPr>
      <w:r w:rsidRPr="00A53AD7">
        <w:rPr>
          <w:sz w:val="28"/>
          <w:szCs w:val="28"/>
        </w:rPr>
        <w:t xml:space="preserve">ГП АО № 436-пп включает в себя четыре подпрограммы. Исполнение мероприятий за 2019 год осуществлялось по всем подпрограммам. По двум подпрограммам процент исполнения составил менее 95,0%: «Развитие рыбохозяйственного комплекса Архангельской области" (86,8% к уточненной сводной бюджетной росписи) и «Развитие мелиорации земель сельскохозяйственного назначения Архангельской области" (91,4%). </w:t>
      </w:r>
    </w:p>
    <w:p w14:paraId="76A53C6E" w14:textId="777B7A8A" w:rsidR="00687A6A" w:rsidRPr="00A53AD7" w:rsidRDefault="00687A6A" w:rsidP="00FE15F6">
      <w:pPr>
        <w:pStyle w:val="a8"/>
        <w:ind w:left="0" w:firstLine="851"/>
        <w:jc w:val="both"/>
        <w:rPr>
          <w:sz w:val="28"/>
          <w:szCs w:val="28"/>
          <w:highlight w:val="cyan"/>
        </w:rPr>
      </w:pPr>
      <w:r w:rsidRPr="00A53AD7">
        <w:rPr>
          <w:sz w:val="28"/>
          <w:szCs w:val="28"/>
        </w:rPr>
        <w:t>В целом по ГП АО № 436-пп за счет средств федерального и областного бюджетов в 2019 году расходы в полном объеме были исполнены по 18</w:t>
      </w:r>
      <w:r w:rsidR="00B818A0" w:rsidRPr="00A53AD7">
        <w:rPr>
          <w:sz w:val="28"/>
          <w:szCs w:val="28"/>
        </w:rPr>
        <w:t xml:space="preserve"> </w:t>
      </w:r>
      <w:r w:rsidRPr="00A53AD7">
        <w:rPr>
          <w:sz w:val="28"/>
          <w:szCs w:val="28"/>
        </w:rPr>
        <w:t>из 29 реализуемых мероприятий, отраженных по целевым статьям, по 9 мероприятиям расходы исполнены от 63,4 до 99,8 %, по двум – ис</w:t>
      </w:r>
      <w:r w:rsidR="00FE15F6" w:rsidRPr="00A53AD7">
        <w:rPr>
          <w:sz w:val="28"/>
          <w:szCs w:val="28"/>
        </w:rPr>
        <w:t>полнение - 0 (см. таблицу ниже).</w:t>
      </w:r>
    </w:p>
    <w:tbl>
      <w:tblPr>
        <w:tblW w:w="937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092"/>
        <w:gridCol w:w="1011"/>
        <w:gridCol w:w="1248"/>
        <w:gridCol w:w="1020"/>
      </w:tblGrid>
      <w:tr w:rsidR="00A53AD7" w:rsidRPr="00A53AD7" w14:paraId="2C4EE858" w14:textId="77777777" w:rsidTr="00FE15F6">
        <w:trPr>
          <w:trHeight w:val="1155"/>
          <w:tblHeader/>
        </w:trPr>
        <w:tc>
          <w:tcPr>
            <w:tcW w:w="6092" w:type="dxa"/>
            <w:shd w:val="clear" w:color="auto" w:fill="auto"/>
            <w:noWrap/>
            <w:vAlign w:val="center"/>
            <w:hideMark/>
          </w:tcPr>
          <w:p w14:paraId="3C0C39C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Наименование, целевая статья </w:t>
            </w:r>
          </w:p>
        </w:tc>
        <w:tc>
          <w:tcPr>
            <w:tcW w:w="1011" w:type="dxa"/>
            <w:shd w:val="clear" w:color="auto" w:fill="auto"/>
            <w:vAlign w:val="center"/>
            <w:hideMark/>
          </w:tcPr>
          <w:p w14:paraId="3C115DD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Исполнено, тыс.руб. </w:t>
            </w:r>
          </w:p>
        </w:tc>
        <w:tc>
          <w:tcPr>
            <w:tcW w:w="1248" w:type="dxa"/>
            <w:shd w:val="clear" w:color="auto" w:fill="auto"/>
            <w:vAlign w:val="center"/>
            <w:hideMark/>
          </w:tcPr>
          <w:p w14:paraId="0149ACB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Отклонение от уточненной сводной бюджетной росписи, тыс.руб.</w:t>
            </w:r>
          </w:p>
        </w:tc>
        <w:tc>
          <w:tcPr>
            <w:tcW w:w="1020" w:type="dxa"/>
            <w:shd w:val="clear" w:color="auto" w:fill="auto"/>
            <w:vAlign w:val="center"/>
            <w:hideMark/>
          </w:tcPr>
          <w:p w14:paraId="0273B762"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 уточненной сводной бюджетной росписи на год</w:t>
            </w:r>
          </w:p>
        </w:tc>
      </w:tr>
      <w:tr w:rsidR="00A53AD7" w:rsidRPr="00A53AD7" w14:paraId="7A8ACD50" w14:textId="77777777" w:rsidTr="00FE15F6">
        <w:trPr>
          <w:trHeight w:val="409"/>
        </w:trPr>
        <w:tc>
          <w:tcPr>
            <w:tcW w:w="6092" w:type="dxa"/>
            <w:shd w:val="clear" w:color="auto" w:fill="auto"/>
            <w:vAlign w:val="center"/>
            <w:hideMark/>
          </w:tcPr>
          <w:p w14:paraId="6A3450B7" w14:textId="100F1ABC"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Создание системы поддержки фермеров и развитие сельской кооперации,</w:t>
            </w:r>
            <w:r w:rsidR="00FD1445" w:rsidRPr="00A53AD7">
              <w:rPr>
                <w:rFonts w:ascii="Times New Roman" w:eastAsia="Times New Roman" w:hAnsi="Times New Roman"/>
                <w:sz w:val="16"/>
                <w:szCs w:val="16"/>
                <w:lang w:eastAsia="ru-RU"/>
              </w:rPr>
              <w:t xml:space="preserve"> </w:t>
            </w:r>
          </w:p>
          <w:p w14:paraId="74097EBE"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 05 1 00 54800</w:t>
            </w:r>
          </w:p>
        </w:tc>
        <w:tc>
          <w:tcPr>
            <w:tcW w:w="1011" w:type="dxa"/>
            <w:shd w:val="clear" w:color="auto" w:fill="auto"/>
            <w:noWrap/>
            <w:vAlign w:val="center"/>
            <w:hideMark/>
          </w:tcPr>
          <w:p w14:paraId="2B5023B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5 585,5</w:t>
            </w:r>
          </w:p>
        </w:tc>
        <w:tc>
          <w:tcPr>
            <w:tcW w:w="1248" w:type="dxa"/>
            <w:shd w:val="clear" w:color="auto" w:fill="auto"/>
            <w:noWrap/>
            <w:vAlign w:val="center"/>
            <w:hideMark/>
          </w:tcPr>
          <w:p w14:paraId="3C777535"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-3 224,2</w:t>
            </w:r>
          </w:p>
        </w:tc>
        <w:tc>
          <w:tcPr>
            <w:tcW w:w="1020" w:type="dxa"/>
            <w:shd w:val="clear" w:color="000000" w:fill="FFFFFF"/>
            <w:noWrap/>
            <w:vAlign w:val="center"/>
            <w:hideMark/>
          </w:tcPr>
          <w:p w14:paraId="4DD8358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63,4</w:t>
            </w:r>
          </w:p>
        </w:tc>
      </w:tr>
      <w:tr w:rsidR="00A53AD7" w:rsidRPr="00A53AD7" w14:paraId="74D80818" w14:textId="77777777" w:rsidTr="00FE15F6">
        <w:trPr>
          <w:trHeight w:val="537"/>
        </w:trPr>
        <w:tc>
          <w:tcPr>
            <w:tcW w:w="6092" w:type="dxa"/>
            <w:shd w:val="clear" w:color="auto" w:fill="auto"/>
            <w:vAlign w:val="center"/>
            <w:hideMark/>
          </w:tcPr>
          <w:p w14:paraId="39F382A1"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Обеспечение деятельности центра компетенций в сфере сельскохозяйственной кооперации и поддержки фермеров автономной некоммерческой организации Архангельской области "Агентство регионального развития", 05 1 00 72200</w:t>
            </w:r>
          </w:p>
        </w:tc>
        <w:tc>
          <w:tcPr>
            <w:tcW w:w="1011" w:type="dxa"/>
            <w:shd w:val="clear" w:color="auto" w:fill="auto"/>
            <w:noWrap/>
            <w:vAlign w:val="center"/>
            <w:hideMark/>
          </w:tcPr>
          <w:p w14:paraId="4DE72B0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569,1</w:t>
            </w:r>
          </w:p>
        </w:tc>
        <w:tc>
          <w:tcPr>
            <w:tcW w:w="1248" w:type="dxa"/>
            <w:shd w:val="clear" w:color="auto" w:fill="auto"/>
            <w:noWrap/>
            <w:vAlign w:val="center"/>
            <w:hideMark/>
          </w:tcPr>
          <w:p w14:paraId="386ADC3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w:t>
            </w:r>
          </w:p>
        </w:tc>
        <w:tc>
          <w:tcPr>
            <w:tcW w:w="1020" w:type="dxa"/>
            <w:shd w:val="clear" w:color="000000" w:fill="FFFFFF"/>
            <w:noWrap/>
            <w:vAlign w:val="center"/>
            <w:hideMark/>
          </w:tcPr>
          <w:p w14:paraId="768F5C62"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99,6</w:t>
            </w:r>
          </w:p>
        </w:tc>
      </w:tr>
      <w:tr w:rsidR="00A53AD7" w:rsidRPr="00A53AD7" w14:paraId="141A8E87" w14:textId="77777777" w:rsidTr="00FE15F6">
        <w:trPr>
          <w:trHeight w:val="389"/>
        </w:trPr>
        <w:tc>
          <w:tcPr>
            <w:tcW w:w="6092" w:type="dxa"/>
            <w:shd w:val="clear" w:color="auto" w:fill="auto"/>
            <w:vAlign w:val="center"/>
            <w:hideMark/>
          </w:tcPr>
          <w:p w14:paraId="1EBB8186"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Возмещение части прямых понесенных затрат на создание и модернизацию объектов агропромышленного комплекса, а также на приобретение техники и оборудования (областной бюджет), 05 1 00 72550</w:t>
            </w:r>
          </w:p>
        </w:tc>
        <w:tc>
          <w:tcPr>
            <w:tcW w:w="1011" w:type="dxa"/>
            <w:shd w:val="clear" w:color="auto" w:fill="auto"/>
            <w:noWrap/>
            <w:vAlign w:val="center"/>
            <w:hideMark/>
          </w:tcPr>
          <w:p w14:paraId="1A64AE7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602,9</w:t>
            </w:r>
          </w:p>
        </w:tc>
        <w:tc>
          <w:tcPr>
            <w:tcW w:w="1248" w:type="dxa"/>
            <w:shd w:val="clear" w:color="auto" w:fill="auto"/>
            <w:noWrap/>
            <w:vAlign w:val="center"/>
            <w:hideMark/>
          </w:tcPr>
          <w:p w14:paraId="2385312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w:t>
            </w:r>
          </w:p>
        </w:tc>
        <w:tc>
          <w:tcPr>
            <w:tcW w:w="1020" w:type="dxa"/>
            <w:shd w:val="clear" w:color="000000" w:fill="FFFFFF"/>
            <w:noWrap/>
            <w:vAlign w:val="center"/>
            <w:hideMark/>
          </w:tcPr>
          <w:p w14:paraId="47BC0BB9"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99,8</w:t>
            </w:r>
          </w:p>
        </w:tc>
      </w:tr>
      <w:tr w:rsidR="00A53AD7" w:rsidRPr="00A53AD7" w14:paraId="1081C429" w14:textId="77777777" w:rsidTr="00FE15F6">
        <w:trPr>
          <w:trHeight w:val="563"/>
        </w:trPr>
        <w:tc>
          <w:tcPr>
            <w:tcW w:w="6092" w:type="dxa"/>
            <w:shd w:val="clear" w:color="auto" w:fill="auto"/>
            <w:vAlign w:val="center"/>
            <w:hideMark/>
          </w:tcPr>
          <w:p w14:paraId="59DA8E1C"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Возмещение части процентной ставки по инвестиционным кредитам (займам) в агропромышленном комплексе (областной бюджет), </w:t>
            </w:r>
          </w:p>
          <w:p w14:paraId="308AA370"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05 1 00 72580</w:t>
            </w:r>
          </w:p>
        </w:tc>
        <w:tc>
          <w:tcPr>
            <w:tcW w:w="1011" w:type="dxa"/>
            <w:shd w:val="clear" w:color="auto" w:fill="auto"/>
            <w:noWrap/>
            <w:vAlign w:val="center"/>
            <w:hideMark/>
          </w:tcPr>
          <w:p w14:paraId="51ACBC4E"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3 603,2</w:t>
            </w:r>
          </w:p>
        </w:tc>
        <w:tc>
          <w:tcPr>
            <w:tcW w:w="1248" w:type="dxa"/>
            <w:shd w:val="clear" w:color="auto" w:fill="auto"/>
            <w:noWrap/>
            <w:vAlign w:val="center"/>
            <w:hideMark/>
          </w:tcPr>
          <w:p w14:paraId="6AC0D426"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-171,0</w:t>
            </w:r>
          </w:p>
        </w:tc>
        <w:tc>
          <w:tcPr>
            <w:tcW w:w="1020" w:type="dxa"/>
            <w:shd w:val="clear" w:color="000000" w:fill="FFFFFF"/>
            <w:noWrap/>
            <w:vAlign w:val="center"/>
            <w:hideMark/>
          </w:tcPr>
          <w:p w14:paraId="0297B18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95,5</w:t>
            </w:r>
          </w:p>
        </w:tc>
      </w:tr>
      <w:tr w:rsidR="00A53AD7" w:rsidRPr="00A53AD7" w14:paraId="7336936C" w14:textId="77777777" w:rsidTr="00FE15F6">
        <w:trPr>
          <w:trHeight w:val="401"/>
        </w:trPr>
        <w:tc>
          <w:tcPr>
            <w:tcW w:w="6092" w:type="dxa"/>
            <w:shd w:val="clear" w:color="auto" w:fill="auto"/>
            <w:vAlign w:val="center"/>
            <w:hideMark/>
          </w:tcPr>
          <w:p w14:paraId="5D4F1D01"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Содействие достижению целевых показателей региональных программ развития агропромышленного комплекса, 05 1 00 R5430</w:t>
            </w:r>
          </w:p>
        </w:tc>
        <w:tc>
          <w:tcPr>
            <w:tcW w:w="1011" w:type="dxa"/>
            <w:shd w:val="clear" w:color="auto" w:fill="auto"/>
            <w:noWrap/>
            <w:vAlign w:val="center"/>
            <w:hideMark/>
          </w:tcPr>
          <w:p w14:paraId="3F18A47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128 505,6</w:t>
            </w:r>
          </w:p>
        </w:tc>
        <w:tc>
          <w:tcPr>
            <w:tcW w:w="1248" w:type="dxa"/>
            <w:shd w:val="clear" w:color="auto" w:fill="auto"/>
            <w:noWrap/>
            <w:vAlign w:val="center"/>
            <w:hideMark/>
          </w:tcPr>
          <w:p w14:paraId="2F6AB27D"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-3 000,0</w:t>
            </w:r>
          </w:p>
        </w:tc>
        <w:tc>
          <w:tcPr>
            <w:tcW w:w="1020" w:type="dxa"/>
            <w:shd w:val="clear" w:color="000000" w:fill="FFFFFF"/>
            <w:noWrap/>
            <w:vAlign w:val="center"/>
            <w:hideMark/>
          </w:tcPr>
          <w:p w14:paraId="2B4E3AE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97,7</w:t>
            </w:r>
          </w:p>
        </w:tc>
      </w:tr>
      <w:tr w:rsidR="00A53AD7" w:rsidRPr="00A53AD7" w14:paraId="71F6A75A" w14:textId="77777777" w:rsidTr="00FE15F6">
        <w:trPr>
          <w:trHeight w:val="420"/>
        </w:trPr>
        <w:tc>
          <w:tcPr>
            <w:tcW w:w="6092" w:type="dxa"/>
            <w:shd w:val="clear" w:color="auto" w:fill="auto"/>
            <w:vAlign w:val="center"/>
            <w:hideMark/>
          </w:tcPr>
          <w:p w14:paraId="0FC27878"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Расходы на содержание государственных органов и обеспечение их функций, </w:t>
            </w:r>
          </w:p>
          <w:p w14:paraId="32944C2A"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05 3 00 70010</w:t>
            </w:r>
          </w:p>
        </w:tc>
        <w:tc>
          <w:tcPr>
            <w:tcW w:w="1011" w:type="dxa"/>
            <w:shd w:val="clear" w:color="auto" w:fill="auto"/>
            <w:noWrap/>
            <w:vAlign w:val="center"/>
            <w:hideMark/>
          </w:tcPr>
          <w:p w14:paraId="7E3AC66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52 878,7</w:t>
            </w:r>
          </w:p>
        </w:tc>
        <w:tc>
          <w:tcPr>
            <w:tcW w:w="1248" w:type="dxa"/>
            <w:shd w:val="clear" w:color="auto" w:fill="auto"/>
            <w:noWrap/>
            <w:vAlign w:val="center"/>
            <w:hideMark/>
          </w:tcPr>
          <w:p w14:paraId="2FDAC49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-195,0</w:t>
            </w:r>
          </w:p>
        </w:tc>
        <w:tc>
          <w:tcPr>
            <w:tcW w:w="1020" w:type="dxa"/>
            <w:shd w:val="clear" w:color="000000" w:fill="FFFFFF"/>
            <w:noWrap/>
            <w:vAlign w:val="center"/>
            <w:hideMark/>
          </w:tcPr>
          <w:p w14:paraId="76B3FCD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99,6</w:t>
            </w:r>
          </w:p>
        </w:tc>
      </w:tr>
      <w:tr w:rsidR="00A53AD7" w:rsidRPr="00A53AD7" w14:paraId="4CC11926" w14:textId="77777777" w:rsidTr="00FE15F6">
        <w:trPr>
          <w:trHeight w:val="271"/>
        </w:trPr>
        <w:tc>
          <w:tcPr>
            <w:tcW w:w="6092" w:type="dxa"/>
            <w:shd w:val="clear" w:color="auto" w:fill="auto"/>
            <w:vAlign w:val="center"/>
            <w:hideMark/>
          </w:tcPr>
          <w:p w14:paraId="1E7F2833"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Реализация мероприятий в области мелиорации земель сельскохозяйственного назначения (областной бюджет), 05 4 00 72590</w:t>
            </w:r>
          </w:p>
        </w:tc>
        <w:tc>
          <w:tcPr>
            <w:tcW w:w="1011" w:type="dxa"/>
            <w:shd w:val="clear" w:color="auto" w:fill="auto"/>
            <w:noWrap/>
            <w:vAlign w:val="center"/>
            <w:hideMark/>
          </w:tcPr>
          <w:p w14:paraId="0F35F3CA"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1248" w:type="dxa"/>
            <w:shd w:val="clear" w:color="auto" w:fill="auto"/>
            <w:noWrap/>
            <w:vAlign w:val="center"/>
            <w:hideMark/>
          </w:tcPr>
          <w:p w14:paraId="23D635E5"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-3 267,3</w:t>
            </w:r>
          </w:p>
        </w:tc>
        <w:tc>
          <w:tcPr>
            <w:tcW w:w="1020" w:type="dxa"/>
            <w:shd w:val="clear" w:color="000000" w:fill="FFFFFF"/>
            <w:noWrap/>
            <w:vAlign w:val="center"/>
            <w:hideMark/>
          </w:tcPr>
          <w:p w14:paraId="6BDE5DC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r>
      <w:tr w:rsidR="00A53AD7" w:rsidRPr="00A53AD7" w14:paraId="131377AF" w14:textId="77777777" w:rsidTr="00FE15F6">
        <w:trPr>
          <w:trHeight w:val="319"/>
        </w:trPr>
        <w:tc>
          <w:tcPr>
            <w:tcW w:w="6092" w:type="dxa"/>
            <w:shd w:val="clear" w:color="auto" w:fill="auto"/>
            <w:vAlign w:val="center"/>
            <w:hideMark/>
          </w:tcPr>
          <w:p w14:paraId="26EEAFEE"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Реализация мероприятий в области мелиорации земель сельскохозяйственного назначения, 05 4 00 R5680</w:t>
            </w:r>
          </w:p>
        </w:tc>
        <w:tc>
          <w:tcPr>
            <w:tcW w:w="1011" w:type="dxa"/>
            <w:shd w:val="clear" w:color="auto" w:fill="auto"/>
            <w:noWrap/>
            <w:vAlign w:val="center"/>
            <w:hideMark/>
          </w:tcPr>
          <w:p w14:paraId="2DE0113B"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66 730,5</w:t>
            </w:r>
          </w:p>
        </w:tc>
        <w:tc>
          <w:tcPr>
            <w:tcW w:w="1248" w:type="dxa"/>
            <w:shd w:val="clear" w:color="auto" w:fill="auto"/>
            <w:noWrap/>
            <w:vAlign w:val="center"/>
            <w:hideMark/>
          </w:tcPr>
          <w:p w14:paraId="0801E12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-2 975,2</w:t>
            </w:r>
          </w:p>
        </w:tc>
        <w:tc>
          <w:tcPr>
            <w:tcW w:w="1020" w:type="dxa"/>
            <w:shd w:val="clear" w:color="000000" w:fill="FFFFFF"/>
            <w:noWrap/>
            <w:vAlign w:val="center"/>
            <w:hideMark/>
          </w:tcPr>
          <w:p w14:paraId="4B26303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95,7</w:t>
            </w:r>
          </w:p>
        </w:tc>
      </w:tr>
      <w:tr w:rsidR="00A53AD7" w:rsidRPr="00A53AD7" w14:paraId="6C2F0AF8" w14:textId="77777777" w:rsidTr="00FE15F6">
        <w:trPr>
          <w:trHeight w:val="843"/>
        </w:trPr>
        <w:tc>
          <w:tcPr>
            <w:tcW w:w="6092" w:type="dxa"/>
            <w:shd w:val="clear" w:color="auto" w:fill="auto"/>
            <w:vAlign w:val="center"/>
            <w:hideMark/>
          </w:tcPr>
          <w:p w14:paraId="6CE32AAC"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Осуществление переданных органам государственной власти субъектов Российской Федерации в соответствии с частью первой статьи 6 Федерального закона от 24 апреля 1995 года № 52-ФЗ "О животном мире" полномочий Российской Федерации в области организации, регулирования и охраны водных биологических ресурсов, </w:t>
            </w:r>
          </w:p>
          <w:p w14:paraId="61E8E7DE"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05 2 00 59100</w:t>
            </w:r>
          </w:p>
        </w:tc>
        <w:tc>
          <w:tcPr>
            <w:tcW w:w="1011" w:type="dxa"/>
            <w:shd w:val="clear" w:color="auto" w:fill="auto"/>
            <w:noWrap/>
            <w:vAlign w:val="center"/>
            <w:hideMark/>
          </w:tcPr>
          <w:p w14:paraId="3F141254"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1248" w:type="dxa"/>
            <w:shd w:val="clear" w:color="auto" w:fill="auto"/>
            <w:noWrap/>
            <w:vAlign w:val="center"/>
            <w:hideMark/>
          </w:tcPr>
          <w:p w14:paraId="001002D3"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-770,3</w:t>
            </w:r>
          </w:p>
        </w:tc>
        <w:tc>
          <w:tcPr>
            <w:tcW w:w="1020" w:type="dxa"/>
            <w:shd w:val="clear" w:color="000000" w:fill="FFFFFF"/>
            <w:noWrap/>
            <w:vAlign w:val="center"/>
            <w:hideMark/>
          </w:tcPr>
          <w:p w14:paraId="0149181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r>
      <w:tr w:rsidR="00A53AD7" w:rsidRPr="00A53AD7" w14:paraId="0DCBC050" w14:textId="77777777" w:rsidTr="00FE15F6">
        <w:trPr>
          <w:trHeight w:val="295"/>
        </w:trPr>
        <w:tc>
          <w:tcPr>
            <w:tcW w:w="6092" w:type="dxa"/>
            <w:shd w:val="clear" w:color="auto" w:fill="auto"/>
            <w:vAlign w:val="center"/>
            <w:hideMark/>
          </w:tcPr>
          <w:p w14:paraId="63C4ABF1"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Поддержка садоводческих, огороднических и дачных некоммерческих объединений граждан, 05 1 00 78950</w:t>
            </w:r>
          </w:p>
        </w:tc>
        <w:tc>
          <w:tcPr>
            <w:tcW w:w="1011" w:type="dxa"/>
            <w:shd w:val="clear" w:color="auto" w:fill="auto"/>
            <w:noWrap/>
            <w:vAlign w:val="center"/>
            <w:hideMark/>
          </w:tcPr>
          <w:p w14:paraId="0B0535B7"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8 220,3</w:t>
            </w:r>
          </w:p>
        </w:tc>
        <w:tc>
          <w:tcPr>
            <w:tcW w:w="1248" w:type="dxa"/>
            <w:shd w:val="clear" w:color="auto" w:fill="auto"/>
            <w:noWrap/>
            <w:vAlign w:val="center"/>
            <w:hideMark/>
          </w:tcPr>
          <w:p w14:paraId="61EA55F1"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-1 083,0</w:t>
            </w:r>
          </w:p>
        </w:tc>
        <w:tc>
          <w:tcPr>
            <w:tcW w:w="1020" w:type="dxa"/>
            <w:shd w:val="clear" w:color="000000" w:fill="FFFFFF"/>
            <w:noWrap/>
            <w:vAlign w:val="center"/>
            <w:hideMark/>
          </w:tcPr>
          <w:p w14:paraId="75EFDBAF"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88,4</w:t>
            </w:r>
          </w:p>
        </w:tc>
      </w:tr>
      <w:tr w:rsidR="00D470B6" w:rsidRPr="00A53AD7" w14:paraId="60D71F8B" w14:textId="77777777" w:rsidTr="00FE15F6">
        <w:trPr>
          <w:trHeight w:val="134"/>
        </w:trPr>
        <w:tc>
          <w:tcPr>
            <w:tcW w:w="6092" w:type="dxa"/>
            <w:shd w:val="clear" w:color="auto" w:fill="auto"/>
            <w:vAlign w:val="center"/>
            <w:hideMark/>
          </w:tcPr>
          <w:p w14:paraId="5C9D7ABA" w14:textId="77777777" w:rsidR="00687A6A" w:rsidRPr="00A53AD7" w:rsidRDefault="00687A6A" w:rsidP="00274B0A">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Проведение противоэпизоотических мероприятий, 05 1 00 72450</w:t>
            </w:r>
          </w:p>
        </w:tc>
        <w:tc>
          <w:tcPr>
            <w:tcW w:w="1011" w:type="dxa"/>
            <w:shd w:val="clear" w:color="auto" w:fill="auto"/>
            <w:noWrap/>
            <w:vAlign w:val="center"/>
            <w:hideMark/>
          </w:tcPr>
          <w:p w14:paraId="207A1E38"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4 122,8</w:t>
            </w:r>
          </w:p>
        </w:tc>
        <w:tc>
          <w:tcPr>
            <w:tcW w:w="1248" w:type="dxa"/>
            <w:shd w:val="clear" w:color="auto" w:fill="auto"/>
            <w:noWrap/>
            <w:vAlign w:val="center"/>
            <w:hideMark/>
          </w:tcPr>
          <w:p w14:paraId="07E60C5C"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-632,0</w:t>
            </w:r>
          </w:p>
        </w:tc>
        <w:tc>
          <w:tcPr>
            <w:tcW w:w="1020" w:type="dxa"/>
            <w:shd w:val="clear" w:color="000000" w:fill="FFFFFF"/>
            <w:noWrap/>
            <w:vAlign w:val="center"/>
            <w:hideMark/>
          </w:tcPr>
          <w:p w14:paraId="1F74D9E0" w14:textId="77777777" w:rsidR="00687A6A" w:rsidRPr="00A53AD7" w:rsidRDefault="00687A6A" w:rsidP="00274B0A">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86,7</w:t>
            </w:r>
          </w:p>
        </w:tc>
      </w:tr>
    </w:tbl>
    <w:p w14:paraId="37E2080A" w14:textId="77777777" w:rsidR="00687A6A" w:rsidRPr="00A53AD7" w:rsidRDefault="00687A6A" w:rsidP="00687A6A">
      <w:pPr>
        <w:pStyle w:val="ad"/>
        <w:ind w:firstLine="709"/>
        <w:jc w:val="both"/>
        <w:rPr>
          <w:rFonts w:ascii="Times New Roman" w:hAnsi="Times New Roman"/>
          <w:sz w:val="20"/>
          <w:szCs w:val="20"/>
          <w:highlight w:val="cyan"/>
        </w:rPr>
      </w:pPr>
    </w:p>
    <w:p w14:paraId="755B3ABA" w14:textId="690D88E6" w:rsidR="00687A6A" w:rsidRPr="00A53AD7" w:rsidRDefault="00687A6A" w:rsidP="00FE15F6">
      <w:pPr>
        <w:pStyle w:val="a8"/>
        <w:ind w:left="0" w:firstLine="851"/>
        <w:jc w:val="both"/>
        <w:rPr>
          <w:sz w:val="28"/>
          <w:szCs w:val="28"/>
        </w:rPr>
      </w:pPr>
      <w:r w:rsidRPr="00A53AD7">
        <w:rPr>
          <w:sz w:val="28"/>
          <w:szCs w:val="28"/>
        </w:rPr>
        <w:t xml:space="preserve">Низкий </w:t>
      </w:r>
      <w:r w:rsidR="00FE15F6" w:rsidRPr="00A53AD7">
        <w:rPr>
          <w:sz w:val="28"/>
          <w:szCs w:val="28"/>
        </w:rPr>
        <w:t>уровень</w:t>
      </w:r>
      <w:r w:rsidRPr="00A53AD7">
        <w:rPr>
          <w:sz w:val="28"/>
          <w:szCs w:val="28"/>
        </w:rPr>
        <w:t xml:space="preserve"> освоения, а также отсутствие расходов по отдельным мероприятиям ГП АО № 436-пп обусловлено отсутствием потребности у заявителей (заявительным характер</w:t>
      </w:r>
      <w:r w:rsidR="00FE15F6" w:rsidRPr="00A53AD7">
        <w:rPr>
          <w:sz w:val="28"/>
          <w:szCs w:val="28"/>
        </w:rPr>
        <w:t>ом субсидирования организаций).</w:t>
      </w:r>
    </w:p>
    <w:p w14:paraId="47E8DC45" w14:textId="4D8A872F" w:rsidR="00687A6A" w:rsidRPr="00A53AD7" w:rsidRDefault="00687A6A" w:rsidP="00FE15F6">
      <w:pPr>
        <w:pStyle w:val="a8"/>
        <w:ind w:left="0" w:firstLine="851"/>
        <w:jc w:val="both"/>
        <w:rPr>
          <w:sz w:val="28"/>
          <w:szCs w:val="28"/>
        </w:rPr>
      </w:pPr>
      <w:r w:rsidRPr="00A53AD7">
        <w:rPr>
          <w:sz w:val="28"/>
          <w:szCs w:val="28"/>
        </w:rPr>
        <w:t>Субвенция на осуществление переданных органам государственной власти субъектов Российской Федерации в соответствии с частью первой статьи 6 Федерального закона от 24 апреля 1995 года № 52-ФЗ «О животном мире» полномочий Российской Федерации в области организации, регулирования и охраны водных биологических ресурсов не перечислена в связи с тем, что проведенные работы по государственному контракту от 04.06.2019, заключенному с индивидуальным предпринимателем на выполнение рыбоводно-биологического обоснования рационального</w:t>
      </w:r>
      <w:r w:rsidR="00E46634" w:rsidRPr="00A53AD7">
        <w:rPr>
          <w:sz w:val="28"/>
          <w:szCs w:val="28"/>
        </w:rPr>
        <w:t xml:space="preserve"> </w:t>
      </w:r>
      <w:r w:rsidRPr="00A53AD7">
        <w:rPr>
          <w:sz w:val="28"/>
          <w:szCs w:val="28"/>
        </w:rPr>
        <w:t>и эффективного размещения</w:t>
      </w:r>
      <w:r w:rsidR="00E46634" w:rsidRPr="00A53AD7">
        <w:rPr>
          <w:sz w:val="28"/>
          <w:szCs w:val="28"/>
        </w:rPr>
        <w:t xml:space="preserve"> </w:t>
      </w:r>
      <w:r w:rsidRPr="00A53AD7">
        <w:rPr>
          <w:sz w:val="28"/>
          <w:szCs w:val="28"/>
        </w:rPr>
        <w:t>объектов аквакультуры на водоемах Вельского и Устьянского районов Архангельской области на сумму 0,77 млн.руб. признаны министерством АПК АО не соответствующими утвержденному техническому заданию.</w:t>
      </w:r>
    </w:p>
    <w:p w14:paraId="4B570FB8" w14:textId="744B72FD" w:rsidR="00687A6A" w:rsidRPr="00A53AD7" w:rsidRDefault="00687A6A" w:rsidP="00FE15F6">
      <w:pPr>
        <w:pStyle w:val="a8"/>
        <w:ind w:left="0" w:firstLine="851"/>
        <w:jc w:val="both"/>
        <w:rPr>
          <w:sz w:val="28"/>
          <w:szCs w:val="28"/>
        </w:rPr>
      </w:pPr>
      <w:r w:rsidRPr="00A53AD7">
        <w:rPr>
          <w:sz w:val="28"/>
          <w:szCs w:val="28"/>
        </w:rPr>
        <w:t xml:space="preserve">В настоящее время, предприниматель обратился в Арбитражный суд Архангельской области с исковым заявлением к министерству АПК АО о взыскании 770 300 руб. стоимости </w:t>
      </w:r>
      <w:r w:rsidR="00FE15F6" w:rsidRPr="00A53AD7">
        <w:rPr>
          <w:sz w:val="28"/>
          <w:szCs w:val="28"/>
        </w:rPr>
        <w:t>выполненных работ по контракту.</w:t>
      </w:r>
    </w:p>
    <w:p w14:paraId="6602D8B6" w14:textId="0D873D43" w:rsidR="00687A6A" w:rsidRPr="00A53AD7" w:rsidRDefault="00687A6A" w:rsidP="00FE15F6">
      <w:pPr>
        <w:pStyle w:val="a8"/>
        <w:ind w:left="0" w:firstLine="851"/>
        <w:jc w:val="both"/>
        <w:rPr>
          <w:sz w:val="28"/>
          <w:szCs w:val="28"/>
        </w:rPr>
      </w:pPr>
      <w:r w:rsidRPr="00A53AD7">
        <w:rPr>
          <w:sz w:val="28"/>
          <w:szCs w:val="28"/>
        </w:rPr>
        <w:t>В 2019 году между Министерством сельского хозяйства РФ и Правительством Архангельской области в лице министра АПК АО заключено 12 соглашений о предоставлении межбюджетных трансфертов из федерального бюджета, из них на реализацию мероприятий ГП АО № 436</w:t>
      </w:r>
      <w:r w:rsidR="00FE15F6" w:rsidRPr="00A53AD7">
        <w:rPr>
          <w:sz w:val="28"/>
          <w:szCs w:val="28"/>
        </w:rPr>
        <w:t>-</w:t>
      </w:r>
      <w:r w:rsidRPr="00A53AD7">
        <w:rPr>
          <w:sz w:val="28"/>
          <w:szCs w:val="28"/>
        </w:rPr>
        <w:t>пп – 7 соглашений.</w:t>
      </w:r>
    </w:p>
    <w:p w14:paraId="1640BA47" w14:textId="77777777" w:rsidR="00687A6A" w:rsidRPr="00A53AD7" w:rsidRDefault="00687A6A" w:rsidP="00FE15F6">
      <w:pPr>
        <w:pStyle w:val="a8"/>
        <w:ind w:left="0" w:firstLine="851"/>
        <w:jc w:val="both"/>
        <w:rPr>
          <w:sz w:val="28"/>
          <w:szCs w:val="28"/>
        </w:rPr>
      </w:pPr>
      <w:r w:rsidRPr="00A53AD7">
        <w:rPr>
          <w:sz w:val="28"/>
          <w:szCs w:val="28"/>
        </w:rPr>
        <w:t>Из федерального бюджета, в рамках заключенных соглашений, средства выделены на создание системы поддержки фермеров и развитие сельской кооперации (размер финансовой помощи – 8,6 млн.руб.); на оказание несвязанной поддержки сельскохозяйственным товаропроизводителям в области растениеводства (размер финансовой помощи – 17,7 млн.руб.); на повышение продуктивности в молочном скотоводстве (72,3 млн.руб.); на возмещение части затрат на уплату процентов по инвестиционным кредитам (займам) в агропромышленном комплексе (13,2 млн.руб.); на реализацию мероприятий в области мелиорации земель сельскохозяйственного назначения (62,7 млн.руб.); на содействие достижению целевых показателей региональных программ развития агропромышленного комплекса (118,4 млн.руб.); на возмещение части прямых понесенных затрат на создание и (или) модернизацию объектов агропромышленного комплекса (6,8 млн.руб.).</w:t>
      </w:r>
    </w:p>
    <w:p w14:paraId="4C36E872" w14:textId="77777777" w:rsidR="00687A6A" w:rsidRPr="00A53AD7" w:rsidRDefault="00687A6A" w:rsidP="00FE15F6">
      <w:pPr>
        <w:pStyle w:val="a8"/>
        <w:ind w:left="0" w:firstLine="851"/>
        <w:jc w:val="both"/>
        <w:rPr>
          <w:sz w:val="28"/>
          <w:szCs w:val="28"/>
        </w:rPr>
      </w:pPr>
      <w:r w:rsidRPr="00A53AD7">
        <w:rPr>
          <w:sz w:val="28"/>
          <w:szCs w:val="28"/>
        </w:rPr>
        <w:t>Всего из федерального бюджета в 2019 году поступило 293,9 млн.руб., или 98,1 % к определенным соглашениям суммам (299,7 млн.руб.). Кассовые расходы за счет средств федерального бюджета в 2019 году составили 291,2 млн.руб., остаток средств на конец года – 2,65 млн.руб. (субсидии на оказание содействия достижению целевых показателей региональных программ развития агропромышленного комплекса).</w:t>
      </w:r>
    </w:p>
    <w:p w14:paraId="5D9E1840" w14:textId="182902AC" w:rsidR="00687A6A" w:rsidRPr="00A53AD7" w:rsidRDefault="00687A6A" w:rsidP="00FE15F6">
      <w:pPr>
        <w:pStyle w:val="a8"/>
        <w:ind w:left="0" w:firstLine="851"/>
        <w:jc w:val="both"/>
        <w:rPr>
          <w:sz w:val="28"/>
          <w:szCs w:val="28"/>
          <w:highlight w:val="cyan"/>
        </w:rPr>
      </w:pPr>
      <w:r w:rsidRPr="00A53AD7">
        <w:rPr>
          <w:sz w:val="28"/>
          <w:szCs w:val="28"/>
        </w:rPr>
        <w:t>Из 24 целевых показателей результативности, характеризующих эффективность реализации подпрограмм ГП АО № 436-пп и обозначенных в рамках заключенных Соглашений, в 2019 году не достигнуто 8 показателей (33% от общего количества), информация о невыполненных показателях представлена в таблице:</w:t>
      </w:r>
    </w:p>
    <w:tbl>
      <w:tblPr>
        <w:tblW w:w="0" w:type="auto"/>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812"/>
        <w:gridCol w:w="869"/>
        <w:gridCol w:w="621"/>
        <w:gridCol w:w="846"/>
        <w:gridCol w:w="1158"/>
      </w:tblGrid>
      <w:tr w:rsidR="00A53AD7" w:rsidRPr="00A53AD7" w14:paraId="1877C0C0" w14:textId="77777777" w:rsidTr="004A321B">
        <w:trPr>
          <w:trHeight w:val="639"/>
        </w:trPr>
        <w:tc>
          <w:tcPr>
            <w:tcW w:w="5812" w:type="dxa"/>
            <w:shd w:val="clear" w:color="000000" w:fill="FFFFFF"/>
            <w:vAlign w:val="center"/>
            <w:hideMark/>
          </w:tcPr>
          <w:p w14:paraId="15153FDF"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Наименование показателя результативности</w:t>
            </w:r>
          </w:p>
        </w:tc>
        <w:tc>
          <w:tcPr>
            <w:tcW w:w="869" w:type="dxa"/>
            <w:shd w:val="clear" w:color="000000" w:fill="FFFFFF"/>
            <w:noWrap/>
            <w:vAlign w:val="center"/>
            <w:hideMark/>
          </w:tcPr>
          <w:p w14:paraId="6B4001B6"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 изм.</w:t>
            </w:r>
          </w:p>
        </w:tc>
        <w:tc>
          <w:tcPr>
            <w:tcW w:w="621" w:type="dxa"/>
            <w:shd w:val="clear" w:color="000000" w:fill="FFFFFF"/>
            <w:noWrap/>
            <w:vAlign w:val="center"/>
            <w:hideMark/>
          </w:tcPr>
          <w:p w14:paraId="118E89B2"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план</w:t>
            </w:r>
          </w:p>
        </w:tc>
        <w:tc>
          <w:tcPr>
            <w:tcW w:w="846" w:type="dxa"/>
            <w:shd w:val="clear" w:color="000000" w:fill="FFFFFF"/>
            <w:noWrap/>
            <w:vAlign w:val="center"/>
            <w:hideMark/>
          </w:tcPr>
          <w:p w14:paraId="24453EC4"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факт</w:t>
            </w:r>
          </w:p>
        </w:tc>
        <w:tc>
          <w:tcPr>
            <w:tcW w:w="1158" w:type="dxa"/>
            <w:shd w:val="clear" w:color="000000" w:fill="FFFFFF"/>
            <w:vAlign w:val="center"/>
            <w:hideMark/>
          </w:tcPr>
          <w:p w14:paraId="0F85BB86"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исполнения</w:t>
            </w:r>
          </w:p>
        </w:tc>
      </w:tr>
      <w:tr w:rsidR="00A53AD7" w:rsidRPr="00A53AD7" w14:paraId="6887A762" w14:textId="77777777" w:rsidTr="004A321B">
        <w:trPr>
          <w:trHeight w:val="701"/>
        </w:trPr>
        <w:tc>
          <w:tcPr>
            <w:tcW w:w="5812" w:type="dxa"/>
            <w:shd w:val="clear" w:color="000000" w:fill="FFFFFF"/>
            <w:vAlign w:val="center"/>
            <w:hideMark/>
          </w:tcPr>
          <w:p w14:paraId="452A3AA6"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Размер посевных площадей, занятых зерновыми, зернобобовыми и кормовыми сельскохозяйственными культурами в субъекте Российской Федерации</w:t>
            </w:r>
          </w:p>
        </w:tc>
        <w:tc>
          <w:tcPr>
            <w:tcW w:w="869" w:type="dxa"/>
            <w:shd w:val="clear" w:color="000000" w:fill="FFFFFF"/>
            <w:noWrap/>
            <w:vAlign w:val="center"/>
            <w:hideMark/>
          </w:tcPr>
          <w:p w14:paraId="0018D54A"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тысяч гектар</w:t>
            </w:r>
          </w:p>
        </w:tc>
        <w:tc>
          <w:tcPr>
            <w:tcW w:w="621" w:type="dxa"/>
            <w:shd w:val="clear" w:color="000000" w:fill="FFFFFF"/>
            <w:noWrap/>
            <w:vAlign w:val="center"/>
            <w:hideMark/>
          </w:tcPr>
          <w:p w14:paraId="53BB2956"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63</w:t>
            </w:r>
          </w:p>
        </w:tc>
        <w:tc>
          <w:tcPr>
            <w:tcW w:w="846" w:type="dxa"/>
            <w:shd w:val="clear" w:color="000000" w:fill="FFFFFF"/>
            <w:noWrap/>
            <w:vAlign w:val="center"/>
            <w:hideMark/>
          </w:tcPr>
          <w:p w14:paraId="4E2D9D96" w14:textId="77777777" w:rsidR="00687A6A" w:rsidRPr="00A53AD7" w:rsidRDefault="00687A6A" w:rsidP="00274B0A">
            <w:pPr>
              <w:spacing w:after="0" w:line="240" w:lineRule="auto"/>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58,655</w:t>
            </w:r>
          </w:p>
        </w:tc>
        <w:tc>
          <w:tcPr>
            <w:tcW w:w="1158" w:type="dxa"/>
            <w:shd w:val="clear" w:color="000000" w:fill="FFFFFF"/>
            <w:vAlign w:val="center"/>
            <w:hideMark/>
          </w:tcPr>
          <w:p w14:paraId="470366B2"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93,1</w:t>
            </w:r>
          </w:p>
        </w:tc>
      </w:tr>
      <w:tr w:rsidR="00A53AD7" w:rsidRPr="00A53AD7" w14:paraId="252E5FB7" w14:textId="77777777" w:rsidTr="004A321B">
        <w:trPr>
          <w:trHeight w:val="697"/>
        </w:trPr>
        <w:tc>
          <w:tcPr>
            <w:tcW w:w="5812" w:type="dxa"/>
            <w:shd w:val="clear" w:color="000000" w:fill="FFFFFF"/>
            <w:vAlign w:val="center"/>
            <w:hideMark/>
          </w:tcPr>
          <w:p w14:paraId="372D49F2"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Площадь введенных в эксплуатацию мелиорируемых земель за счет реконструкции, технического перевооружения и строительства новых мелиоративных систем общего и индивидуального пользования</w:t>
            </w:r>
          </w:p>
        </w:tc>
        <w:tc>
          <w:tcPr>
            <w:tcW w:w="869" w:type="dxa"/>
            <w:shd w:val="clear" w:color="000000" w:fill="FFFFFF"/>
            <w:noWrap/>
            <w:vAlign w:val="center"/>
            <w:hideMark/>
          </w:tcPr>
          <w:p w14:paraId="5F7A9F9B" w14:textId="77777777" w:rsidR="00687A6A" w:rsidRPr="00A53AD7" w:rsidRDefault="00687A6A" w:rsidP="00274B0A">
            <w:pPr>
              <w:spacing w:after="0" w:line="240" w:lineRule="auto"/>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гектар</w:t>
            </w:r>
          </w:p>
        </w:tc>
        <w:tc>
          <w:tcPr>
            <w:tcW w:w="621" w:type="dxa"/>
            <w:shd w:val="clear" w:color="000000" w:fill="FFFFFF"/>
            <w:noWrap/>
            <w:vAlign w:val="center"/>
            <w:hideMark/>
          </w:tcPr>
          <w:p w14:paraId="7E49DD37" w14:textId="77777777" w:rsidR="00687A6A" w:rsidRPr="00A53AD7" w:rsidRDefault="00687A6A" w:rsidP="00274B0A">
            <w:pPr>
              <w:spacing w:after="0" w:line="240" w:lineRule="auto"/>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2 812</w:t>
            </w:r>
          </w:p>
        </w:tc>
        <w:tc>
          <w:tcPr>
            <w:tcW w:w="846" w:type="dxa"/>
            <w:shd w:val="clear" w:color="000000" w:fill="FFFFFF"/>
            <w:noWrap/>
            <w:vAlign w:val="center"/>
            <w:hideMark/>
          </w:tcPr>
          <w:p w14:paraId="72B87400" w14:textId="77777777" w:rsidR="00687A6A" w:rsidRPr="00A53AD7" w:rsidRDefault="00687A6A" w:rsidP="00274B0A">
            <w:pPr>
              <w:spacing w:after="0" w:line="240" w:lineRule="auto"/>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2 514,75</w:t>
            </w:r>
          </w:p>
        </w:tc>
        <w:tc>
          <w:tcPr>
            <w:tcW w:w="1158" w:type="dxa"/>
            <w:shd w:val="clear" w:color="000000" w:fill="FFFFFF"/>
            <w:vAlign w:val="center"/>
            <w:hideMark/>
          </w:tcPr>
          <w:p w14:paraId="294708EE"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89,4</w:t>
            </w:r>
          </w:p>
        </w:tc>
      </w:tr>
      <w:tr w:rsidR="00A53AD7" w:rsidRPr="00A53AD7" w14:paraId="63096204" w14:textId="77777777" w:rsidTr="004A321B">
        <w:trPr>
          <w:trHeight w:val="469"/>
        </w:trPr>
        <w:tc>
          <w:tcPr>
            <w:tcW w:w="5812" w:type="dxa"/>
            <w:shd w:val="clear" w:color="000000" w:fill="FFFFFF"/>
            <w:vAlign w:val="center"/>
            <w:hideMark/>
          </w:tcPr>
          <w:p w14:paraId="7F1AAD5E"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Вовлечение в оборот выбывших сельскохозяйственных угодий за счет проведения культуртехнических мероприятий</w:t>
            </w:r>
          </w:p>
        </w:tc>
        <w:tc>
          <w:tcPr>
            <w:tcW w:w="869" w:type="dxa"/>
            <w:shd w:val="clear" w:color="000000" w:fill="FFFFFF"/>
            <w:noWrap/>
            <w:vAlign w:val="center"/>
            <w:hideMark/>
          </w:tcPr>
          <w:p w14:paraId="3D79F0B3" w14:textId="77777777" w:rsidR="00687A6A" w:rsidRPr="00A53AD7" w:rsidRDefault="00687A6A" w:rsidP="00274B0A">
            <w:pPr>
              <w:spacing w:after="0" w:line="240" w:lineRule="auto"/>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гектар</w:t>
            </w:r>
          </w:p>
        </w:tc>
        <w:tc>
          <w:tcPr>
            <w:tcW w:w="621" w:type="dxa"/>
            <w:shd w:val="clear" w:color="000000" w:fill="FFFFFF"/>
            <w:noWrap/>
            <w:vAlign w:val="center"/>
            <w:hideMark/>
          </w:tcPr>
          <w:p w14:paraId="0A13DF1E" w14:textId="77777777" w:rsidR="00687A6A" w:rsidRPr="00A53AD7" w:rsidRDefault="00687A6A" w:rsidP="00274B0A">
            <w:pPr>
              <w:spacing w:after="0" w:line="240" w:lineRule="auto"/>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550</w:t>
            </w:r>
          </w:p>
        </w:tc>
        <w:tc>
          <w:tcPr>
            <w:tcW w:w="846" w:type="dxa"/>
            <w:shd w:val="clear" w:color="000000" w:fill="FFFFFF"/>
            <w:noWrap/>
            <w:vAlign w:val="center"/>
            <w:hideMark/>
          </w:tcPr>
          <w:p w14:paraId="37633E71" w14:textId="77777777" w:rsidR="00687A6A" w:rsidRPr="00A53AD7" w:rsidRDefault="00687A6A" w:rsidP="00274B0A">
            <w:pPr>
              <w:spacing w:after="0" w:line="240" w:lineRule="auto"/>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310,4</w:t>
            </w:r>
          </w:p>
        </w:tc>
        <w:tc>
          <w:tcPr>
            <w:tcW w:w="1158" w:type="dxa"/>
            <w:shd w:val="clear" w:color="000000" w:fill="FFFFFF"/>
            <w:vAlign w:val="center"/>
            <w:hideMark/>
          </w:tcPr>
          <w:p w14:paraId="755F45E5"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56,4</w:t>
            </w:r>
          </w:p>
        </w:tc>
      </w:tr>
      <w:tr w:rsidR="00A53AD7" w:rsidRPr="00A53AD7" w14:paraId="4226198E" w14:textId="77777777" w:rsidTr="004A321B">
        <w:trPr>
          <w:trHeight w:val="575"/>
        </w:trPr>
        <w:tc>
          <w:tcPr>
            <w:tcW w:w="5812" w:type="dxa"/>
            <w:shd w:val="clear" w:color="000000" w:fill="FFFFFF"/>
            <w:vAlign w:val="center"/>
            <w:hideMark/>
          </w:tcPr>
          <w:p w14:paraId="7A022F28"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Валовой сбор картофеля в сельскохозяйственных организациях, крестьянских (фермерских) хозяйствах, включая индивидуальных предпринимателей</w:t>
            </w:r>
          </w:p>
        </w:tc>
        <w:tc>
          <w:tcPr>
            <w:tcW w:w="869" w:type="dxa"/>
            <w:shd w:val="clear" w:color="000000" w:fill="FFFFFF"/>
            <w:noWrap/>
            <w:vAlign w:val="center"/>
            <w:hideMark/>
          </w:tcPr>
          <w:p w14:paraId="40D80D7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тысяч тонн</w:t>
            </w:r>
          </w:p>
        </w:tc>
        <w:tc>
          <w:tcPr>
            <w:tcW w:w="621" w:type="dxa"/>
            <w:shd w:val="clear" w:color="000000" w:fill="FFFFFF"/>
            <w:noWrap/>
            <w:vAlign w:val="center"/>
            <w:hideMark/>
          </w:tcPr>
          <w:p w14:paraId="3B89527E"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22,4</w:t>
            </w:r>
          </w:p>
        </w:tc>
        <w:tc>
          <w:tcPr>
            <w:tcW w:w="846" w:type="dxa"/>
            <w:shd w:val="clear" w:color="000000" w:fill="FFFFFF"/>
            <w:noWrap/>
            <w:vAlign w:val="center"/>
            <w:hideMark/>
          </w:tcPr>
          <w:p w14:paraId="1E2E7176"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17,7</w:t>
            </w:r>
          </w:p>
        </w:tc>
        <w:tc>
          <w:tcPr>
            <w:tcW w:w="1158" w:type="dxa"/>
            <w:shd w:val="clear" w:color="000000" w:fill="FFFFFF"/>
            <w:vAlign w:val="center"/>
            <w:hideMark/>
          </w:tcPr>
          <w:p w14:paraId="76C36C7E"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79,0</w:t>
            </w:r>
          </w:p>
        </w:tc>
      </w:tr>
      <w:tr w:rsidR="00A53AD7" w:rsidRPr="00A53AD7" w14:paraId="0700CC8D" w14:textId="77777777" w:rsidTr="004A321B">
        <w:trPr>
          <w:trHeight w:val="429"/>
        </w:trPr>
        <w:tc>
          <w:tcPr>
            <w:tcW w:w="5812" w:type="dxa"/>
            <w:shd w:val="clear" w:color="000000" w:fill="FFFFFF"/>
            <w:vAlign w:val="center"/>
          </w:tcPr>
          <w:p w14:paraId="4AAF391F"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Производство скота и птицы на убой в хозяйствах всех категорий (в живом весе)</w:t>
            </w:r>
          </w:p>
        </w:tc>
        <w:tc>
          <w:tcPr>
            <w:tcW w:w="869" w:type="dxa"/>
            <w:shd w:val="clear" w:color="000000" w:fill="FFFFFF"/>
            <w:noWrap/>
            <w:vAlign w:val="center"/>
          </w:tcPr>
          <w:p w14:paraId="3F2F409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тысяч тонн</w:t>
            </w:r>
          </w:p>
        </w:tc>
        <w:tc>
          <w:tcPr>
            <w:tcW w:w="621" w:type="dxa"/>
            <w:shd w:val="clear" w:color="000000" w:fill="FFFFFF"/>
            <w:noWrap/>
            <w:vAlign w:val="center"/>
          </w:tcPr>
          <w:p w14:paraId="12CEA586"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7,4</w:t>
            </w:r>
          </w:p>
        </w:tc>
        <w:tc>
          <w:tcPr>
            <w:tcW w:w="846" w:type="dxa"/>
            <w:shd w:val="clear" w:color="000000" w:fill="FFFFFF"/>
            <w:noWrap/>
            <w:vAlign w:val="center"/>
          </w:tcPr>
          <w:p w14:paraId="1CB0BB08"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7,298</w:t>
            </w:r>
          </w:p>
        </w:tc>
        <w:tc>
          <w:tcPr>
            <w:tcW w:w="1158" w:type="dxa"/>
            <w:shd w:val="clear" w:color="000000" w:fill="FFFFFF"/>
            <w:vAlign w:val="center"/>
          </w:tcPr>
          <w:p w14:paraId="4303E1F8"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98,6</w:t>
            </w:r>
          </w:p>
        </w:tc>
      </w:tr>
      <w:tr w:rsidR="00A53AD7" w:rsidRPr="00A53AD7" w14:paraId="2D636787" w14:textId="77777777" w:rsidTr="004A321B">
        <w:trPr>
          <w:trHeight w:val="251"/>
        </w:trPr>
        <w:tc>
          <w:tcPr>
            <w:tcW w:w="5812" w:type="dxa"/>
            <w:shd w:val="clear" w:color="000000" w:fill="FFFFFF"/>
            <w:vAlign w:val="center"/>
            <w:hideMark/>
          </w:tcPr>
          <w:p w14:paraId="44B3EE73"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Валовой сбор зерновых и зернобобовых в хозяйствах всех категорий</w:t>
            </w:r>
          </w:p>
        </w:tc>
        <w:tc>
          <w:tcPr>
            <w:tcW w:w="869" w:type="dxa"/>
            <w:shd w:val="clear" w:color="000000" w:fill="FFFFFF"/>
            <w:noWrap/>
            <w:vAlign w:val="center"/>
            <w:hideMark/>
          </w:tcPr>
          <w:p w14:paraId="45CF9894"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тысяч тонн </w:t>
            </w:r>
          </w:p>
        </w:tc>
        <w:tc>
          <w:tcPr>
            <w:tcW w:w="621" w:type="dxa"/>
            <w:shd w:val="clear" w:color="000000" w:fill="FFFFFF"/>
            <w:noWrap/>
            <w:vAlign w:val="center"/>
            <w:hideMark/>
          </w:tcPr>
          <w:p w14:paraId="481D47B2"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4,2</w:t>
            </w:r>
          </w:p>
        </w:tc>
        <w:tc>
          <w:tcPr>
            <w:tcW w:w="846" w:type="dxa"/>
            <w:shd w:val="clear" w:color="000000" w:fill="FFFFFF"/>
            <w:noWrap/>
            <w:vAlign w:val="center"/>
            <w:hideMark/>
          </w:tcPr>
          <w:p w14:paraId="26546104"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w:t>
            </w:r>
          </w:p>
        </w:tc>
        <w:tc>
          <w:tcPr>
            <w:tcW w:w="1158" w:type="dxa"/>
            <w:shd w:val="clear" w:color="000000" w:fill="FFFFFF"/>
            <w:vAlign w:val="center"/>
            <w:hideMark/>
          </w:tcPr>
          <w:p w14:paraId="0E1A98C5"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28,6</w:t>
            </w:r>
          </w:p>
        </w:tc>
      </w:tr>
      <w:tr w:rsidR="00A53AD7" w:rsidRPr="00A53AD7" w14:paraId="55CDAEB4" w14:textId="77777777" w:rsidTr="004A321B">
        <w:trPr>
          <w:trHeight w:val="777"/>
        </w:trPr>
        <w:tc>
          <w:tcPr>
            <w:tcW w:w="5812" w:type="dxa"/>
            <w:shd w:val="clear" w:color="000000" w:fill="FFFFFF"/>
            <w:vAlign w:val="center"/>
          </w:tcPr>
          <w:p w14:paraId="59877517"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крестьянских (фермерских) хозяйств и сельскохозяйственных потребительских кооперативов, получивших государственную поддержку, в том числе в рамках федерального проекта "Создание системы поддержки фермеров и развитие сельской кооперации"</w:t>
            </w:r>
          </w:p>
        </w:tc>
        <w:tc>
          <w:tcPr>
            <w:tcW w:w="869" w:type="dxa"/>
            <w:shd w:val="clear" w:color="000000" w:fill="FFFFFF"/>
            <w:noWrap/>
            <w:vAlign w:val="center"/>
          </w:tcPr>
          <w:p w14:paraId="3CA3E566"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единиц</w:t>
            </w:r>
          </w:p>
        </w:tc>
        <w:tc>
          <w:tcPr>
            <w:tcW w:w="621" w:type="dxa"/>
            <w:shd w:val="clear" w:color="000000" w:fill="FFFFFF"/>
            <w:noWrap/>
            <w:vAlign w:val="center"/>
          </w:tcPr>
          <w:p w14:paraId="76A43F10"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w:t>
            </w:r>
          </w:p>
        </w:tc>
        <w:tc>
          <w:tcPr>
            <w:tcW w:w="846" w:type="dxa"/>
            <w:shd w:val="clear" w:color="000000" w:fill="FFFFFF"/>
            <w:noWrap/>
            <w:vAlign w:val="center"/>
          </w:tcPr>
          <w:p w14:paraId="16142DD2"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1158" w:type="dxa"/>
            <w:shd w:val="clear" w:color="000000" w:fill="FFFFFF"/>
            <w:vAlign w:val="center"/>
          </w:tcPr>
          <w:p w14:paraId="1F2E7F13"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66,7</w:t>
            </w:r>
          </w:p>
        </w:tc>
      </w:tr>
      <w:tr w:rsidR="00D470B6" w:rsidRPr="00A53AD7" w14:paraId="2F58A138" w14:textId="77777777" w:rsidTr="004A321B">
        <w:trPr>
          <w:trHeight w:val="758"/>
        </w:trPr>
        <w:tc>
          <w:tcPr>
            <w:tcW w:w="5812" w:type="dxa"/>
            <w:shd w:val="clear" w:color="000000" w:fill="FFFFFF"/>
            <w:vAlign w:val="center"/>
            <w:hideMark/>
          </w:tcPr>
          <w:p w14:paraId="4EB40F13"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новых постоянных рабочих мест, созданных в году получения гранта в крестьянских (фермерских) хозяйствах, осуществляющих проекты создания и развития своих хозяйств с помощью грантовой поддержки</w:t>
            </w:r>
          </w:p>
        </w:tc>
        <w:tc>
          <w:tcPr>
            <w:tcW w:w="869" w:type="dxa"/>
            <w:shd w:val="clear" w:color="000000" w:fill="FFFFFF"/>
            <w:noWrap/>
            <w:vAlign w:val="center"/>
            <w:hideMark/>
          </w:tcPr>
          <w:p w14:paraId="6CB32404"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единиц</w:t>
            </w:r>
          </w:p>
        </w:tc>
        <w:tc>
          <w:tcPr>
            <w:tcW w:w="621" w:type="dxa"/>
            <w:shd w:val="clear" w:color="000000" w:fill="FFFFFF"/>
            <w:noWrap/>
            <w:vAlign w:val="center"/>
            <w:hideMark/>
          </w:tcPr>
          <w:p w14:paraId="2F799EAC"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21</w:t>
            </w:r>
          </w:p>
        </w:tc>
        <w:tc>
          <w:tcPr>
            <w:tcW w:w="846" w:type="dxa"/>
            <w:shd w:val="clear" w:color="000000" w:fill="FFFFFF"/>
            <w:noWrap/>
            <w:vAlign w:val="center"/>
            <w:hideMark/>
          </w:tcPr>
          <w:p w14:paraId="67C8F1A4"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17</w:t>
            </w:r>
          </w:p>
        </w:tc>
        <w:tc>
          <w:tcPr>
            <w:tcW w:w="1158" w:type="dxa"/>
            <w:shd w:val="clear" w:color="000000" w:fill="FFFFFF"/>
            <w:vAlign w:val="center"/>
            <w:hideMark/>
          </w:tcPr>
          <w:p w14:paraId="22EB1385"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81,0</w:t>
            </w:r>
          </w:p>
        </w:tc>
      </w:tr>
    </w:tbl>
    <w:p w14:paraId="25865AAB" w14:textId="77777777" w:rsidR="00FE15F6" w:rsidRPr="00A53AD7" w:rsidRDefault="00FE15F6" w:rsidP="00FE15F6">
      <w:pPr>
        <w:pStyle w:val="a8"/>
        <w:ind w:left="0" w:firstLine="851"/>
        <w:jc w:val="both"/>
        <w:rPr>
          <w:sz w:val="28"/>
          <w:szCs w:val="28"/>
        </w:rPr>
      </w:pPr>
    </w:p>
    <w:p w14:paraId="762DBB41" w14:textId="77777777" w:rsidR="00687A6A" w:rsidRPr="00A53AD7" w:rsidRDefault="00687A6A" w:rsidP="00FE15F6">
      <w:pPr>
        <w:pStyle w:val="a8"/>
        <w:ind w:left="0" w:firstLine="851"/>
        <w:jc w:val="both"/>
        <w:rPr>
          <w:sz w:val="28"/>
          <w:szCs w:val="28"/>
        </w:rPr>
      </w:pPr>
      <w:r w:rsidRPr="00A53AD7">
        <w:rPr>
          <w:sz w:val="28"/>
          <w:szCs w:val="28"/>
        </w:rPr>
        <w:t>Недостижение пяти целевых показателей объясняется чрезвычайной ситуацией природного характера (переувлажнение почвы) на территории Архангельской области. Указом Губернатора Архангельской области от 24.10.2019 № 85-у «О введении режима чрезвычайной ситуации регионального (межмуниципального) характера на территориях Котласского, Приморского и Устьянского муниципальных районов Архангельской области» введен режим чрезвычайной ситуации в связи с гибелью сельскохозяйственных и кормовых культур в результате опасного агрометеорологического явления (переувлажнение почвы) в отдельных муниципальных районах Архангельской области.</w:t>
      </w:r>
    </w:p>
    <w:p w14:paraId="3D4B5AB7" w14:textId="77777777" w:rsidR="004A3F38" w:rsidRPr="00A53AD7" w:rsidRDefault="004A3F38" w:rsidP="004A3F38">
      <w:pPr>
        <w:pStyle w:val="a8"/>
        <w:ind w:left="0" w:firstLine="851"/>
        <w:jc w:val="both"/>
        <w:rPr>
          <w:sz w:val="28"/>
          <w:szCs w:val="28"/>
        </w:rPr>
      </w:pPr>
      <w:r w:rsidRPr="00A53AD7">
        <w:rPr>
          <w:sz w:val="28"/>
          <w:szCs w:val="28"/>
        </w:rPr>
        <w:t>Также, в связи с добровольным возвратом гранта главой К(Ф)Х Каменевой С.С., получившей грант в первом полугодии 2019 года (по условиям соглашения грантополучатель создает новые рабочие места) не выполнен показатель по количеству новых постоянных рабочих мест, созданных в году получения гранта в К(Ф)Х, осуществляющих проекты создания и развития своих хозяйств с помощью грантовой поддержки.</w:t>
      </w:r>
    </w:p>
    <w:p w14:paraId="6445A1BD" w14:textId="47FB1B4C" w:rsidR="00687A6A" w:rsidRPr="00A53AD7" w:rsidRDefault="00687A6A" w:rsidP="00FE15F6">
      <w:pPr>
        <w:pStyle w:val="a8"/>
        <w:ind w:left="0" w:firstLine="851"/>
        <w:jc w:val="both"/>
        <w:rPr>
          <w:sz w:val="28"/>
          <w:szCs w:val="28"/>
        </w:rPr>
      </w:pPr>
      <w:r w:rsidRPr="00A53AD7">
        <w:rPr>
          <w:sz w:val="28"/>
          <w:szCs w:val="28"/>
        </w:rPr>
        <w:t>По условиям заключенных с Министерством сельского хозяйства РФ Соглашений установлено, что в случае если Архангельской областью по состоянию на 31 декабря года предоставления субсидий допущены нарушения обязательств в части обеспечения достижения значений показателей результативности использования субсидии, и в срок до первой даты представления отчетности о достижении значений показателей результативности в году, следующем за годом предоставления субсидии, установленной в соответствии с Правилами предоставления субсидии, указанные нарушения не устранены, Министерству сельского хозяйства РФ</w:t>
      </w:r>
      <w:r w:rsidR="00E46634" w:rsidRPr="00A53AD7">
        <w:rPr>
          <w:sz w:val="28"/>
          <w:szCs w:val="28"/>
        </w:rPr>
        <w:t xml:space="preserve"> </w:t>
      </w:r>
      <w:r w:rsidRPr="00A53AD7">
        <w:rPr>
          <w:sz w:val="28"/>
          <w:szCs w:val="28"/>
        </w:rPr>
        <w:t>необходимо рассчитать в соответствии с пунктами 16-18 Правил формирования, предоставления и распределения субсидий объем средств, подлежащий возврату из бюджета Архангельской области в федеральный бюджет, и направить Субъекту требование о возврате средств Субсидии в федеральный бюджет в указанном объеме.</w:t>
      </w:r>
    </w:p>
    <w:p w14:paraId="4AF940F8" w14:textId="0D86F98E" w:rsidR="004A3F38" w:rsidRPr="00A53AD7" w:rsidRDefault="004A3F38" w:rsidP="004A3F38">
      <w:pPr>
        <w:pStyle w:val="a8"/>
        <w:ind w:left="0" w:firstLine="851"/>
        <w:jc w:val="both"/>
        <w:rPr>
          <w:sz w:val="28"/>
          <w:szCs w:val="28"/>
        </w:rPr>
      </w:pPr>
      <w:r w:rsidRPr="00A53AD7">
        <w:rPr>
          <w:sz w:val="28"/>
          <w:szCs w:val="28"/>
        </w:rPr>
        <w:t>По предварительным расчетам (информация об объемах средств, подлежащих возврату из региональных бюджетов в федеральный бюджет в связи с недостижением значений показателей результативности предоставления субсидий на содействие достижению целевых показателей региональных программ развития агропромышленного комплекса за 2019 год ("Единая" субсидия) размещена на сайте Министерства сельского хозяйства РФ на 24.03.2020) объем средств, подлежащий возврату в федеральный бюджет, рассчитанный в соответствии с Правилами формирования, предоставления и распределения субсидий из федерального бюджета бюджетам субъектов РФ, утвержденных постановлением Правительства РФ от 30.09.2014 № 999, по Архангельской области составил 1,1 млн.руб.</w:t>
      </w:r>
    </w:p>
    <w:p w14:paraId="5C414A54" w14:textId="77777777" w:rsidR="00687A6A" w:rsidRPr="00A53AD7" w:rsidRDefault="00687A6A" w:rsidP="00FE15F6">
      <w:pPr>
        <w:pStyle w:val="a8"/>
        <w:ind w:left="0" w:firstLine="851"/>
        <w:jc w:val="both"/>
        <w:rPr>
          <w:sz w:val="28"/>
          <w:szCs w:val="28"/>
        </w:rPr>
      </w:pPr>
      <w:r w:rsidRPr="00A53AD7">
        <w:rPr>
          <w:sz w:val="28"/>
          <w:szCs w:val="28"/>
        </w:rPr>
        <w:t>Субсидию на содействие достижению целевых показателей региональных программ развития агропромышленного комплекса в общей сумме 128,5 млн.руб.(средства ФБ и ОБ) получили 50 сельскохозяйственных товаропроизводителя.</w:t>
      </w:r>
    </w:p>
    <w:p w14:paraId="4FCD56A0" w14:textId="187EA48A" w:rsidR="00687A6A" w:rsidRPr="00A53AD7" w:rsidRDefault="00687A6A" w:rsidP="00FE15F6">
      <w:pPr>
        <w:pStyle w:val="a8"/>
        <w:ind w:left="0" w:firstLine="851"/>
        <w:jc w:val="both"/>
        <w:rPr>
          <w:sz w:val="28"/>
          <w:szCs w:val="28"/>
        </w:rPr>
      </w:pPr>
      <w:r w:rsidRPr="00A53AD7">
        <w:rPr>
          <w:sz w:val="28"/>
          <w:szCs w:val="28"/>
        </w:rPr>
        <w:t>По предварительным расчетам (информация об объемах средств, подлежащих возврату из региональных бюджетов в федеральный бюджет в связи с недостижением значений показателей результативности предоставления субсидий на оказание несвязанной поддержки сельскохозяйственным товаропроизводителям в области растениеводства (Несвязанная поддержка) размещена на сайте Министерства сельского хозяйства РФ на 07.04.2020) объем средств, подлежащий возврату в федеральный бюджет, рассчитанный</w:t>
      </w:r>
      <w:r w:rsidR="00E46634" w:rsidRPr="00A53AD7">
        <w:rPr>
          <w:sz w:val="28"/>
          <w:szCs w:val="28"/>
        </w:rPr>
        <w:t xml:space="preserve"> </w:t>
      </w:r>
      <w:r w:rsidRPr="00A53AD7">
        <w:rPr>
          <w:sz w:val="28"/>
          <w:szCs w:val="28"/>
        </w:rPr>
        <w:t>в соответствии с Правилами формирования, предоставления и распределения субсидий из федерального бюджета бюджетам субъектов РФ, утвержденных постановлением Правительства РФ от 30.09.2014 №</w:t>
      </w:r>
      <w:r w:rsidR="006E1061" w:rsidRPr="00A53AD7">
        <w:rPr>
          <w:sz w:val="28"/>
          <w:szCs w:val="28"/>
        </w:rPr>
        <w:t xml:space="preserve"> </w:t>
      </w:r>
      <w:r w:rsidRPr="00A53AD7">
        <w:rPr>
          <w:sz w:val="28"/>
          <w:szCs w:val="28"/>
        </w:rPr>
        <w:t>999, по Архангельской области составил 0,024 млн.руб.</w:t>
      </w:r>
    </w:p>
    <w:p w14:paraId="1381175D" w14:textId="77777777" w:rsidR="00687A6A" w:rsidRPr="00A53AD7" w:rsidRDefault="00687A6A" w:rsidP="00FE15F6">
      <w:pPr>
        <w:pStyle w:val="a8"/>
        <w:ind w:left="0" w:firstLine="851"/>
        <w:jc w:val="both"/>
        <w:rPr>
          <w:sz w:val="28"/>
          <w:szCs w:val="28"/>
        </w:rPr>
      </w:pPr>
      <w:r w:rsidRPr="00A53AD7">
        <w:rPr>
          <w:sz w:val="28"/>
          <w:szCs w:val="28"/>
        </w:rPr>
        <w:t>Субсидию на оказание несвязанной поддержки сельскохозяйственным товаропроизводителям в области растениеводств в общей сумме 19,7 млн.руб.(средства ФБ и ОБ) получили 45 сельскохозяйственных товаропроизводителей.</w:t>
      </w:r>
    </w:p>
    <w:p w14:paraId="5A69F917" w14:textId="00A3398E" w:rsidR="00687A6A" w:rsidRPr="00A53AD7" w:rsidRDefault="00687A6A" w:rsidP="00FE15F6">
      <w:pPr>
        <w:pStyle w:val="a8"/>
        <w:ind w:left="0" w:firstLine="851"/>
        <w:jc w:val="both"/>
        <w:rPr>
          <w:sz w:val="28"/>
          <w:szCs w:val="28"/>
        </w:rPr>
      </w:pPr>
      <w:r w:rsidRPr="00A53AD7">
        <w:rPr>
          <w:sz w:val="28"/>
          <w:szCs w:val="28"/>
        </w:rPr>
        <w:t>Согласно условиям соглашений с сельскохозяйственными товаропроизводителями о предоставлении из федерального и областного бюджетов субсидий сельскохозяйственному товаропроизводителю, в случае недостижения Архангельской областью показателей результативности, установленных соглашением, заключенным между Правительством Архангельской области и Министерством сельского хозяйства Российской Федерации, по данным направлениям субсидирования, в отношении сельскохозяйственного товаропроизводителя - получателя субсидий, допустившего недостижение показателей результативности, установленных соглашениями,</w:t>
      </w:r>
      <w:r w:rsidR="00E46634" w:rsidRPr="00A53AD7">
        <w:rPr>
          <w:sz w:val="28"/>
          <w:szCs w:val="28"/>
        </w:rPr>
        <w:t xml:space="preserve"> </w:t>
      </w:r>
      <w:r w:rsidRPr="00A53AD7">
        <w:rPr>
          <w:sz w:val="28"/>
          <w:szCs w:val="28"/>
        </w:rPr>
        <w:t>применяются штрафные санкции.</w:t>
      </w:r>
    </w:p>
    <w:p w14:paraId="2E85CAF0" w14:textId="77777777" w:rsidR="00687A6A" w:rsidRPr="00A53AD7" w:rsidRDefault="00687A6A" w:rsidP="00FE15F6">
      <w:pPr>
        <w:pStyle w:val="a8"/>
        <w:ind w:left="0" w:firstLine="851"/>
        <w:jc w:val="both"/>
        <w:rPr>
          <w:sz w:val="28"/>
          <w:szCs w:val="28"/>
        </w:rPr>
      </w:pPr>
    </w:p>
    <w:p w14:paraId="5DC71C06" w14:textId="77777777" w:rsidR="00687A6A" w:rsidRPr="00A53AD7" w:rsidRDefault="00687A6A" w:rsidP="00FE15F6">
      <w:pPr>
        <w:pStyle w:val="a8"/>
        <w:ind w:left="0" w:firstLine="851"/>
        <w:jc w:val="both"/>
        <w:rPr>
          <w:sz w:val="28"/>
          <w:szCs w:val="28"/>
        </w:rPr>
      </w:pPr>
      <w:r w:rsidRPr="00A53AD7">
        <w:rPr>
          <w:sz w:val="28"/>
          <w:szCs w:val="28"/>
        </w:rPr>
        <w:t>В целом, кассовые расходы по предоставлению субсидий юридическим лицам, индивидуальным предпринимателям, физическим лицам - производителям товаров, работ, услуг и некоммерческим организациям за 2019 год составили 846,0 млн.руб., или 98,5% к уточненной сводной бюджетной росписи.</w:t>
      </w:r>
    </w:p>
    <w:p w14:paraId="3A8AECEB" w14:textId="77777777" w:rsidR="00687A6A" w:rsidRPr="00A53AD7" w:rsidRDefault="00687A6A" w:rsidP="00FE15F6">
      <w:pPr>
        <w:pStyle w:val="a8"/>
        <w:ind w:left="0" w:firstLine="851"/>
        <w:jc w:val="both"/>
        <w:rPr>
          <w:sz w:val="28"/>
          <w:szCs w:val="28"/>
        </w:rPr>
      </w:pPr>
      <w:r w:rsidRPr="00A53AD7">
        <w:rPr>
          <w:sz w:val="28"/>
          <w:szCs w:val="28"/>
        </w:rPr>
        <w:t>Основная часть бюджетных средств направлена на предоставление субсидий на повышение продуктивности в молочном скотоводстве, общая сумма выплаченных средств за 2019 год составила – 486,2 млн.руб., субсидию получили 48 сельскохозяйственных товаропроизводителя, включая К(Ф)Х, просубсидировано за счет федерального бюджета 75,8 тысяч тонн молока, за счет областного бюджета – 99,2 тысяч тонн, за аналогичный период прошлого года 77,9 тысяч тонн и 100,3 тысяч тонн, соответственно, получено государственной поддержки в 2018 году по указанному направлению 433,2 млн.руб.</w:t>
      </w:r>
    </w:p>
    <w:p w14:paraId="484A40BC" w14:textId="77777777" w:rsidR="004A3F38" w:rsidRPr="00A53AD7" w:rsidRDefault="004A3F38" w:rsidP="004A3F38">
      <w:pPr>
        <w:pStyle w:val="a8"/>
        <w:ind w:left="0" w:firstLine="851"/>
        <w:jc w:val="both"/>
        <w:rPr>
          <w:sz w:val="28"/>
          <w:szCs w:val="28"/>
        </w:rPr>
      </w:pPr>
      <w:r w:rsidRPr="00A53AD7">
        <w:rPr>
          <w:sz w:val="28"/>
          <w:szCs w:val="28"/>
        </w:rPr>
        <w:t>На возмещение части прямых понесенных затрат на создание и модернизацию объектов агропромышленного комплекса направлено 8,1 млн.руб., в том числе за счет федерального бюджета 6,8 млн.руб., государственную поддержку получило предприятие ООО «Ростово» (Устьянский район»), сметная стоимость объекта – 27,1 млн.руб.</w:t>
      </w:r>
    </w:p>
    <w:p w14:paraId="63A25904" w14:textId="77777777" w:rsidR="004A3F38" w:rsidRPr="00A53AD7" w:rsidRDefault="004A3F38" w:rsidP="004A3F38">
      <w:pPr>
        <w:pStyle w:val="a8"/>
        <w:ind w:left="0" w:firstLine="851"/>
        <w:jc w:val="both"/>
        <w:rPr>
          <w:sz w:val="28"/>
          <w:szCs w:val="28"/>
        </w:rPr>
      </w:pPr>
      <w:r w:rsidRPr="00A53AD7">
        <w:rPr>
          <w:sz w:val="28"/>
          <w:szCs w:val="28"/>
        </w:rPr>
        <w:t>На реализацию мероприятий в области мелиорации земель сельскохозяйственного назначения направлено 66,7 млн.руб., в том числе за счет федерального бюджета – 60,1 млн.руб., субсидию получили семь сельскохозяйственных предприятий (АО "Агрофирма "Вельская", ООО «Пежма», ООО «Агрофирма Судромская», ООО "Агропромышленная компания", СПК "Сельскохозяйственная артель (колхоз) "Ступинское", ООО "Ростово", ООО "Устьянская молочная компания"). Согласно отчету о расходах по субсидии на реализацию мероприятий ФЦП «Развитие мелиорации земель сельскохозяйственного назначения России на 2014-2020 годы» на 01.01.2020 фактические затраты указанных сельскохозяйственных предприятий на гидромелиоративные и культуртехнические мероприятия составили 100,1 млн.руб., из бюджета, в целом, компенсировано 66,63% затрат. На проведение гидромелиоративных мероприятий направлено 64,6 млн.руб. или 66,6% от затрат (96,9 млн.руб.).</w:t>
      </w:r>
    </w:p>
    <w:p w14:paraId="6EFA8234" w14:textId="77777777" w:rsidR="00687A6A" w:rsidRPr="00A53AD7" w:rsidRDefault="00687A6A" w:rsidP="006E1061">
      <w:pPr>
        <w:pStyle w:val="a8"/>
        <w:ind w:left="0" w:firstLine="851"/>
        <w:jc w:val="both"/>
        <w:rPr>
          <w:sz w:val="28"/>
          <w:szCs w:val="28"/>
        </w:rPr>
      </w:pPr>
      <w:r w:rsidRPr="00A53AD7">
        <w:rPr>
          <w:sz w:val="28"/>
          <w:szCs w:val="28"/>
        </w:rPr>
        <w:t>Согласно Порядку предоставления субсидий, на реализацию мероприятий в области мелиорации земель сельскохозяйственного назначения, утвержденного в составе ГП АО № 436-пп, субсидии предусматривают возмещение части фактически осуществленных заявителями расходов, в том числе по гидромелиоративным мероприятиям. Доля внебюджетных источников финансирования мероприятия в общем объеме финансового обеспечения должна составлять не менее 30%, возмещение из федерального и областного бюджетов должно составлять не более 70 % фактически осуществленных сельскохозяйственными товаропроизводителями расходов, что не соответствует процентным соотношениям, установленным в части ресурсного обеспечения указанных мероприятий ГП АО № 436-пп (ФБ – 23,05%, ОБ – 3,79%, внебюджетные источники – 73,16%).</w:t>
      </w:r>
    </w:p>
    <w:p w14:paraId="1B61FA15" w14:textId="77777777" w:rsidR="00687A6A" w:rsidRPr="00A53AD7" w:rsidRDefault="00687A6A" w:rsidP="006E1061">
      <w:pPr>
        <w:pStyle w:val="a8"/>
        <w:ind w:left="0" w:firstLine="851"/>
        <w:jc w:val="both"/>
        <w:rPr>
          <w:sz w:val="28"/>
          <w:szCs w:val="28"/>
        </w:rPr>
      </w:pPr>
      <w:r w:rsidRPr="00A53AD7">
        <w:rPr>
          <w:sz w:val="28"/>
          <w:szCs w:val="28"/>
        </w:rPr>
        <w:t>Размер субсидии определяется по ставкам на 1 га мелиорируемых земель, утверждаемым постановлением министерства АПК АО, стимулирующим привлечение средств из внебюджетных источников.</w:t>
      </w:r>
    </w:p>
    <w:p w14:paraId="18C3AE67" w14:textId="77777777" w:rsidR="00687A6A" w:rsidRPr="00A53AD7" w:rsidRDefault="00687A6A" w:rsidP="006E1061">
      <w:pPr>
        <w:pStyle w:val="a8"/>
        <w:ind w:left="0" w:firstLine="851"/>
        <w:jc w:val="both"/>
        <w:rPr>
          <w:sz w:val="28"/>
          <w:szCs w:val="28"/>
        </w:rPr>
      </w:pPr>
      <w:r w:rsidRPr="00A53AD7">
        <w:rPr>
          <w:sz w:val="28"/>
          <w:szCs w:val="28"/>
        </w:rPr>
        <w:t>Ставки субсидий на реализацию мероприятий в рамках ведомственной программы Министерства сельского хозяйства Российской Федерации "Развитие мелиоративного комплекса России" на один гектар мелиорируемых земель в 2019 году установлены постановлением министерства АПК АО от 18 марта 2019 г. № 11-п</w:t>
      </w:r>
    </w:p>
    <w:p w14:paraId="260676CB" w14:textId="77777777" w:rsidR="00687A6A" w:rsidRPr="00A53AD7" w:rsidRDefault="00687A6A" w:rsidP="006E1061">
      <w:pPr>
        <w:pStyle w:val="a8"/>
        <w:ind w:left="0" w:firstLine="851"/>
        <w:jc w:val="both"/>
        <w:rPr>
          <w:sz w:val="28"/>
          <w:szCs w:val="28"/>
        </w:rPr>
      </w:pPr>
      <w:bookmarkStart w:id="75" w:name="sub_11"/>
      <w:r w:rsidRPr="00A53AD7">
        <w:rPr>
          <w:sz w:val="28"/>
          <w:szCs w:val="28"/>
        </w:rPr>
        <w:t>1) по направлению гидромелиоративные мероприятия:</w:t>
      </w:r>
    </w:p>
    <w:bookmarkEnd w:id="75"/>
    <w:p w14:paraId="61080743" w14:textId="77777777" w:rsidR="00687A6A" w:rsidRPr="00A53AD7" w:rsidRDefault="00687A6A" w:rsidP="004A321B">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из федерального бюджета – в сумме 21 765,72 руб., но не более 60 процентов от фактически произведенных затрат без учета налога на добавленную стоимость;</w:t>
      </w:r>
    </w:p>
    <w:p w14:paraId="0C0B740D" w14:textId="77777777" w:rsidR="00687A6A" w:rsidRPr="00A53AD7" w:rsidRDefault="00687A6A" w:rsidP="004A321B">
      <w:pPr>
        <w:pStyle w:val="a8"/>
        <w:numPr>
          <w:ilvl w:val="0"/>
          <w:numId w:val="20"/>
        </w:numPr>
        <w:ind w:left="0" w:firstLine="851"/>
        <w:jc w:val="both"/>
        <w:rPr>
          <w:rFonts w:eastAsia="Calibri"/>
          <w:sz w:val="28"/>
          <w:szCs w:val="28"/>
          <w:lang w:eastAsia="en-US"/>
        </w:rPr>
      </w:pPr>
      <w:bookmarkStart w:id="76" w:name="sub_113"/>
      <w:r w:rsidRPr="00A53AD7">
        <w:rPr>
          <w:rFonts w:eastAsia="Calibri"/>
          <w:sz w:val="28"/>
          <w:szCs w:val="28"/>
          <w:lang w:eastAsia="en-US"/>
        </w:rPr>
        <w:t>из областного бюджета –2 418,42 руб., но не более 10 процентов от фактически произведенных затрат без учета налога на добавленную стоимость.</w:t>
      </w:r>
    </w:p>
    <w:bookmarkEnd w:id="76"/>
    <w:p w14:paraId="2E6FE0FA" w14:textId="77777777" w:rsidR="00687A6A" w:rsidRPr="00A53AD7" w:rsidRDefault="00687A6A" w:rsidP="004A321B">
      <w:pPr>
        <w:pStyle w:val="a8"/>
        <w:ind w:left="0" w:firstLine="851"/>
        <w:jc w:val="both"/>
        <w:rPr>
          <w:sz w:val="28"/>
          <w:szCs w:val="28"/>
        </w:rPr>
      </w:pPr>
      <w:r w:rsidRPr="00A53AD7">
        <w:rPr>
          <w:sz w:val="28"/>
          <w:szCs w:val="28"/>
        </w:rPr>
        <w:t xml:space="preserve">Постановлением министерства АПК АО от 19 декабря 2019 г. № 40-п ставки увеличены в 7,7 раза и составили; </w:t>
      </w:r>
      <w:bookmarkStart w:id="77" w:name="sub_112"/>
      <w:r w:rsidRPr="00A53AD7">
        <w:rPr>
          <w:sz w:val="28"/>
          <w:szCs w:val="28"/>
        </w:rPr>
        <w:t xml:space="preserve">из федерального бюджета - 168 430,00 рублей, но не более 60 процентов от фактически произведенных затрат без учета налога на добавленную стоимость; </w:t>
      </w:r>
      <w:bookmarkEnd w:id="77"/>
      <w:r w:rsidRPr="00A53AD7">
        <w:rPr>
          <w:sz w:val="28"/>
          <w:szCs w:val="28"/>
        </w:rPr>
        <w:t>из областного бюджета - 18 714,47 рублей, но не более 10 процентов от фактически произведенных затрат без учета налога на добавленную стоимость.</w:t>
      </w:r>
    </w:p>
    <w:p w14:paraId="1516B0E3" w14:textId="77777777" w:rsidR="00687A6A" w:rsidRPr="00A53AD7" w:rsidRDefault="00687A6A" w:rsidP="004A321B">
      <w:pPr>
        <w:pStyle w:val="a8"/>
        <w:ind w:left="0" w:firstLine="851"/>
        <w:jc w:val="both"/>
        <w:rPr>
          <w:sz w:val="28"/>
          <w:szCs w:val="28"/>
        </w:rPr>
      </w:pPr>
      <w:r w:rsidRPr="00A53AD7">
        <w:rPr>
          <w:sz w:val="28"/>
          <w:szCs w:val="28"/>
        </w:rPr>
        <w:t>Причиной принятия решения об увеличении ставок, согласно пояснений министерства АПК АО, является образовавшийся остаток средств федерального и областного бюджета на конец года, что свидетельствует об отсутствии экономических расчетов по определению повышенной в 7,7 раза ставки.</w:t>
      </w:r>
    </w:p>
    <w:p w14:paraId="228CB4AE" w14:textId="4440A57A" w:rsidR="00687A6A" w:rsidRPr="00A53AD7" w:rsidRDefault="00687A6A" w:rsidP="004A321B">
      <w:pPr>
        <w:pStyle w:val="a8"/>
        <w:ind w:left="0" w:firstLine="851"/>
        <w:jc w:val="both"/>
        <w:rPr>
          <w:sz w:val="28"/>
          <w:szCs w:val="28"/>
        </w:rPr>
      </w:pPr>
      <w:r w:rsidRPr="00A53AD7">
        <w:rPr>
          <w:sz w:val="28"/>
          <w:szCs w:val="28"/>
        </w:rPr>
        <w:t>При этом, с учетом увеличения ставок из федерального и областного бюджетов и, соответственно, за счет внебюджетных источников (с учетом, согласно порядку, не менее 30%) и установленного целевого показателя ввода в эксплуатацию мелиорируемых земель</w:t>
      </w:r>
      <w:r w:rsidR="00E46634" w:rsidRPr="00A53AD7">
        <w:rPr>
          <w:sz w:val="28"/>
          <w:szCs w:val="28"/>
        </w:rPr>
        <w:t xml:space="preserve"> </w:t>
      </w:r>
      <w:r w:rsidRPr="00A53AD7">
        <w:rPr>
          <w:sz w:val="28"/>
          <w:szCs w:val="28"/>
        </w:rPr>
        <w:t>в размере 2, 815 тыс.га, объем финансирования мероприятия 2.1. Проведение гидромелиоративных мероприятий подпрограммы IV ГП АО № 436-пп, как минимум, должен быть увеличен до 751,8 млн.руб., в отличие от установленного госпрограммой в размере 265,6 млн.руб.</w:t>
      </w:r>
    </w:p>
    <w:p w14:paraId="0AD2A783" w14:textId="72258110" w:rsidR="00687A6A" w:rsidRPr="00A53AD7" w:rsidRDefault="00687A6A" w:rsidP="004A321B">
      <w:pPr>
        <w:pStyle w:val="a8"/>
        <w:ind w:left="0" w:firstLine="851"/>
        <w:jc w:val="both"/>
        <w:rPr>
          <w:sz w:val="28"/>
          <w:szCs w:val="28"/>
          <w:highlight w:val="cyan"/>
        </w:rPr>
      </w:pPr>
      <w:r w:rsidRPr="00A53AD7">
        <w:rPr>
          <w:sz w:val="28"/>
          <w:szCs w:val="28"/>
        </w:rPr>
        <w:t>Согласно объемов финансирования, предусмотренных по мероприятию ГП АО № 436-пп плановый процент возмещения за счет средств федерального и областного бюджетов на проведение гидромелиоративных мероприятий от всех затрат составил 26,8% (71,3/265,6), за счет внебюджетных источников 73,2%, с учетом установленных в ГП АО № 436-пп процентных соотношений 26,8% и 73,2%, размер субсидии из федерального и областного бюджетов должен составить 26,0 млн.руб., что на 38,8 млн.руб.</w:t>
      </w:r>
      <w:r w:rsidR="00E46634" w:rsidRPr="00A53AD7">
        <w:rPr>
          <w:sz w:val="28"/>
          <w:szCs w:val="28"/>
        </w:rPr>
        <w:t xml:space="preserve"> </w:t>
      </w:r>
      <w:r w:rsidRPr="00A53AD7">
        <w:rPr>
          <w:sz w:val="28"/>
          <w:szCs w:val="28"/>
        </w:rPr>
        <w:t>(35,8 +3,0) меньше, чем направлено (см. таблицу ниже).</w:t>
      </w:r>
    </w:p>
    <w:tbl>
      <w:tblPr>
        <w:tblW w:w="9297" w:type="dxa"/>
        <w:tblInd w:w="-5" w:type="dxa"/>
        <w:tblLook w:val="04A0" w:firstRow="1" w:lastRow="0" w:firstColumn="1" w:lastColumn="0" w:noHBand="0" w:noVBand="1"/>
      </w:tblPr>
      <w:tblGrid>
        <w:gridCol w:w="1966"/>
        <w:gridCol w:w="2135"/>
        <w:gridCol w:w="1130"/>
        <w:gridCol w:w="1400"/>
        <w:gridCol w:w="1453"/>
        <w:gridCol w:w="1213"/>
      </w:tblGrid>
      <w:tr w:rsidR="00A53AD7" w:rsidRPr="00A53AD7" w14:paraId="15AD54A0" w14:textId="77777777" w:rsidTr="004A321B">
        <w:trPr>
          <w:trHeight w:val="623"/>
        </w:trPr>
        <w:tc>
          <w:tcPr>
            <w:tcW w:w="1966"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4E710DC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3265" w:type="dxa"/>
            <w:gridSpan w:val="2"/>
            <w:tcBorders>
              <w:top w:val="double" w:sz="4" w:space="0" w:color="auto"/>
              <w:left w:val="nil"/>
              <w:bottom w:val="single" w:sz="4" w:space="0" w:color="auto"/>
              <w:right w:val="single" w:sz="4" w:space="0" w:color="auto"/>
            </w:tcBorders>
            <w:shd w:val="clear" w:color="auto" w:fill="auto"/>
            <w:vAlign w:val="center"/>
            <w:hideMark/>
          </w:tcPr>
          <w:p w14:paraId="622A662E"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Предусмотрено ГП АО № 436-пп по мероприятию 2.1. Ввод в эксплуатацию мелиорируемых земель</w:t>
            </w:r>
          </w:p>
        </w:tc>
        <w:tc>
          <w:tcPr>
            <w:tcW w:w="140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F9ED93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Объем фактически произведенных затрат (по информации министерства АПК АО) млн.руб.</w:t>
            </w:r>
          </w:p>
        </w:tc>
        <w:tc>
          <w:tcPr>
            <w:tcW w:w="145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5BFFD909"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Расчетный размер субсидии исходя из установленных ГП АО №436-пп процентных соотношений</w:t>
            </w:r>
          </w:p>
        </w:tc>
        <w:tc>
          <w:tcPr>
            <w:tcW w:w="1213"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0136281B"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Отклонение, млн.руб.</w:t>
            </w:r>
          </w:p>
        </w:tc>
      </w:tr>
      <w:tr w:rsidR="00A53AD7" w:rsidRPr="00A53AD7" w14:paraId="0D2E539C" w14:textId="77777777" w:rsidTr="004A321B">
        <w:trPr>
          <w:trHeight w:val="960"/>
        </w:trPr>
        <w:tc>
          <w:tcPr>
            <w:tcW w:w="1966" w:type="dxa"/>
            <w:vMerge/>
            <w:tcBorders>
              <w:top w:val="single" w:sz="4" w:space="0" w:color="auto"/>
              <w:left w:val="double" w:sz="4" w:space="0" w:color="auto"/>
              <w:bottom w:val="single" w:sz="4" w:space="0" w:color="auto"/>
              <w:right w:val="single" w:sz="4" w:space="0" w:color="auto"/>
            </w:tcBorders>
            <w:vAlign w:val="center"/>
            <w:hideMark/>
          </w:tcPr>
          <w:p w14:paraId="3594362C" w14:textId="77777777" w:rsidR="00687A6A" w:rsidRPr="00A53AD7" w:rsidRDefault="00687A6A" w:rsidP="00274B0A">
            <w:pPr>
              <w:spacing w:after="0" w:line="240" w:lineRule="auto"/>
              <w:rPr>
                <w:rFonts w:ascii="Times New Roman" w:eastAsia="Times New Roman" w:hAnsi="Times New Roman"/>
                <w:sz w:val="18"/>
                <w:szCs w:val="18"/>
                <w:lang w:eastAsia="ru-RU"/>
              </w:rPr>
            </w:pPr>
          </w:p>
        </w:tc>
        <w:tc>
          <w:tcPr>
            <w:tcW w:w="2135" w:type="dxa"/>
            <w:tcBorders>
              <w:top w:val="nil"/>
              <w:left w:val="nil"/>
              <w:bottom w:val="single" w:sz="4" w:space="0" w:color="auto"/>
              <w:right w:val="single" w:sz="4" w:space="0" w:color="auto"/>
            </w:tcBorders>
            <w:shd w:val="clear" w:color="auto" w:fill="auto"/>
            <w:vAlign w:val="center"/>
            <w:hideMark/>
          </w:tcPr>
          <w:p w14:paraId="11EF163C"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Объем финансирования на 2019 год, млн.руб.</w:t>
            </w:r>
          </w:p>
        </w:tc>
        <w:tc>
          <w:tcPr>
            <w:tcW w:w="1130" w:type="dxa"/>
            <w:tcBorders>
              <w:top w:val="nil"/>
              <w:left w:val="nil"/>
              <w:bottom w:val="single" w:sz="4" w:space="0" w:color="auto"/>
              <w:right w:val="single" w:sz="4" w:space="0" w:color="auto"/>
            </w:tcBorders>
            <w:shd w:val="clear" w:color="auto" w:fill="auto"/>
            <w:vAlign w:val="center"/>
            <w:hideMark/>
          </w:tcPr>
          <w:p w14:paraId="1C34A84F"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Расчетная ставка, руб./га</w:t>
            </w:r>
          </w:p>
        </w:tc>
        <w:tc>
          <w:tcPr>
            <w:tcW w:w="1400" w:type="dxa"/>
            <w:vMerge/>
            <w:tcBorders>
              <w:top w:val="single" w:sz="4" w:space="0" w:color="auto"/>
              <w:left w:val="single" w:sz="4" w:space="0" w:color="auto"/>
              <w:bottom w:val="single" w:sz="4" w:space="0" w:color="auto"/>
              <w:right w:val="single" w:sz="4" w:space="0" w:color="auto"/>
            </w:tcBorders>
            <w:vAlign w:val="center"/>
            <w:hideMark/>
          </w:tcPr>
          <w:p w14:paraId="2B298E21" w14:textId="77777777" w:rsidR="00687A6A" w:rsidRPr="00A53AD7" w:rsidRDefault="00687A6A" w:rsidP="00274B0A">
            <w:pPr>
              <w:spacing w:after="0" w:line="240" w:lineRule="auto"/>
              <w:rPr>
                <w:rFonts w:ascii="Times New Roman" w:eastAsia="Times New Roman" w:hAnsi="Times New Roman"/>
                <w:sz w:val="18"/>
                <w:szCs w:val="18"/>
                <w:lang w:eastAsia="ru-RU"/>
              </w:rPr>
            </w:pPr>
          </w:p>
        </w:tc>
        <w:tc>
          <w:tcPr>
            <w:tcW w:w="1453" w:type="dxa"/>
            <w:vMerge/>
            <w:tcBorders>
              <w:top w:val="single" w:sz="4" w:space="0" w:color="auto"/>
              <w:left w:val="single" w:sz="4" w:space="0" w:color="auto"/>
              <w:bottom w:val="single" w:sz="4" w:space="0" w:color="auto"/>
              <w:right w:val="single" w:sz="4" w:space="0" w:color="auto"/>
            </w:tcBorders>
            <w:vAlign w:val="center"/>
            <w:hideMark/>
          </w:tcPr>
          <w:p w14:paraId="743E6100" w14:textId="77777777" w:rsidR="00687A6A" w:rsidRPr="00A53AD7" w:rsidRDefault="00687A6A" w:rsidP="00274B0A">
            <w:pPr>
              <w:spacing w:after="0" w:line="240" w:lineRule="auto"/>
              <w:rPr>
                <w:rFonts w:ascii="Times New Roman" w:eastAsia="Times New Roman" w:hAnsi="Times New Roman"/>
                <w:sz w:val="18"/>
                <w:szCs w:val="18"/>
                <w:lang w:eastAsia="ru-RU"/>
              </w:rPr>
            </w:pPr>
          </w:p>
        </w:tc>
        <w:tc>
          <w:tcPr>
            <w:tcW w:w="1213" w:type="dxa"/>
            <w:vMerge/>
            <w:tcBorders>
              <w:top w:val="single" w:sz="4" w:space="0" w:color="auto"/>
              <w:left w:val="single" w:sz="4" w:space="0" w:color="auto"/>
              <w:bottom w:val="single" w:sz="4" w:space="0" w:color="auto"/>
              <w:right w:val="double" w:sz="4" w:space="0" w:color="auto"/>
            </w:tcBorders>
            <w:vAlign w:val="center"/>
            <w:hideMark/>
          </w:tcPr>
          <w:p w14:paraId="181C351D" w14:textId="77777777" w:rsidR="00687A6A" w:rsidRPr="00A53AD7" w:rsidRDefault="00687A6A" w:rsidP="00274B0A">
            <w:pPr>
              <w:spacing w:after="0" w:line="240" w:lineRule="auto"/>
              <w:rPr>
                <w:rFonts w:ascii="Times New Roman" w:eastAsia="Times New Roman" w:hAnsi="Times New Roman"/>
                <w:sz w:val="18"/>
                <w:szCs w:val="18"/>
                <w:lang w:eastAsia="ru-RU"/>
              </w:rPr>
            </w:pPr>
          </w:p>
        </w:tc>
      </w:tr>
      <w:tr w:rsidR="00A53AD7" w:rsidRPr="00A53AD7" w14:paraId="0263DCE4"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vAlign w:val="center"/>
            <w:hideMark/>
          </w:tcPr>
          <w:p w14:paraId="454A3262" w14:textId="77777777" w:rsidR="00687A6A" w:rsidRPr="00A53AD7" w:rsidRDefault="00687A6A" w:rsidP="00274B0A">
            <w:pPr>
              <w:spacing w:after="0" w:line="240" w:lineRule="auto"/>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Всего</w:t>
            </w:r>
          </w:p>
        </w:tc>
        <w:tc>
          <w:tcPr>
            <w:tcW w:w="2135" w:type="dxa"/>
            <w:tcBorders>
              <w:top w:val="nil"/>
              <w:left w:val="nil"/>
              <w:bottom w:val="single" w:sz="4" w:space="0" w:color="auto"/>
              <w:right w:val="single" w:sz="4" w:space="0" w:color="auto"/>
            </w:tcBorders>
            <w:shd w:val="clear" w:color="auto" w:fill="auto"/>
            <w:vAlign w:val="center"/>
            <w:hideMark/>
          </w:tcPr>
          <w:p w14:paraId="4A7BA19B"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265,6</w:t>
            </w:r>
          </w:p>
        </w:tc>
        <w:tc>
          <w:tcPr>
            <w:tcW w:w="1130" w:type="dxa"/>
            <w:tcBorders>
              <w:top w:val="nil"/>
              <w:left w:val="nil"/>
              <w:bottom w:val="single" w:sz="4" w:space="0" w:color="auto"/>
              <w:right w:val="single" w:sz="4" w:space="0" w:color="auto"/>
            </w:tcBorders>
            <w:shd w:val="clear" w:color="auto" w:fill="auto"/>
            <w:vAlign w:val="center"/>
            <w:hideMark/>
          </w:tcPr>
          <w:p w14:paraId="03F3A682"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94 445,95</w:t>
            </w:r>
          </w:p>
        </w:tc>
        <w:tc>
          <w:tcPr>
            <w:tcW w:w="1400" w:type="dxa"/>
            <w:tcBorders>
              <w:top w:val="nil"/>
              <w:left w:val="nil"/>
              <w:bottom w:val="single" w:sz="4" w:space="0" w:color="auto"/>
              <w:right w:val="single" w:sz="4" w:space="0" w:color="auto"/>
            </w:tcBorders>
            <w:shd w:val="clear" w:color="auto" w:fill="auto"/>
            <w:vAlign w:val="center"/>
            <w:hideMark/>
          </w:tcPr>
          <w:p w14:paraId="35476B9F"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96,9</w:t>
            </w:r>
          </w:p>
        </w:tc>
        <w:tc>
          <w:tcPr>
            <w:tcW w:w="1453" w:type="dxa"/>
            <w:tcBorders>
              <w:top w:val="nil"/>
              <w:left w:val="nil"/>
              <w:bottom w:val="single" w:sz="4" w:space="0" w:color="auto"/>
              <w:right w:val="single" w:sz="4" w:space="0" w:color="auto"/>
            </w:tcBorders>
            <w:shd w:val="clear" w:color="auto" w:fill="auto"/>
            <w:vAlign w:val="center"/>
            <w:hideMark/>
          </w:tcPr>
          <w:p w14:paraId="0FF8748D"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96,9</w:t>
            </w:r>
          </w:p>
        </w:tc>
        <w:tc>
          <w:tcPr>
            <w:tcW w:w="1213" w:type="dxa"/>
            <w:tcBorders>
              <w:top w:val="nil"/>
              <w:left w:val="nil"/>
              <w:bottom w:val="single" w:sz="4" w:space="0" w:color="auto"/>
              <w:right w:val="double" w:sz="4" w:space="0" w:color="auto"/>
            </w:tcBorders>
            <w:shd w:val="clear" w:color="auto" w:fill="auto"/>
            <w:vAlign w:val="center"/>
            <w:hideMark/>
          </w:tcPr>
          <w:p w14:paraId="499C0B21" w14:textId="77777777" w:rsidR="00687A6A" w:rsidRPr="00A53AD7" w:rsidRDefault="00687A6A" w:rsidP="00274B0A">
            <w:pPr>
              <w:spacing w:after="0" w:line="240" w:lineRule="auto"/>
              <w:jc w:val="center"/>
              <w:rPr>
                <w:rFonts w:ascii="Times New Roman" w:eastAsia="Times New Roman" w:hAnsi="Times New Roman"/>
                <w:b/>
                <w:bCs/>
                <w:sz w:val="18"/>
                <w:szCs w:val="18"/>
                <w:lang w:eastAsia="ru-RU"/>
              </w:rPr>
            </w:pPr>
          </w:p>
        </w:tc>
      </w:tr>
      <w:tr w:rsidR="00A53AD7" w:rsidRPr="00A53AD7" w14:paraId="525B4D9F"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4C1DB985"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том числе</w:t>
            </w:r>
          </w:p>
        </w:tc>
        <w:tc>
          <w:tcPr>
            <w:tcW w:w="2135" w:type="dxa"/>
            <w:tcBorders>
              <w:top w:val="nil"/>
              <w:left w:val="nil"/>
              <w:bottom w:val="single" w:sz="4" w:space="0" w:color="auto"/>
              <w:right w:val="single" w:sz="4" w:space="0" w:color="auto"/>
            </w:tcBorders>
            <w:shd w:val="clear" w:color="auto" w:fill="auto"/>
            <w:noWrap/>
            <w:vAlign w:val="bottom"/>
            <w:hideMark/>
          </w:tcPr>
          <w:p w14:paraId="2B6300FB"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130" w:type="dxa"/>
            <w:tcBorders>
              <w:top w:val="nil"/>
              <w:left w:val="nil"/>
              <w:bottom w:val="single" w:sz="4" w:space="0" w:color="auto"/>
              <w:right w:val="single" w:sz="4" w:space="0" w:color="auto"/>
            </w:tcBorders>
            <w:shd w:val="clear" w:color="auto" w:fill="auto"/>
            <w:noWrap/>
            <w:vAlign w:val="bottom"/>
            <w:hideMark/>
          </w:tcPr>
          <w:p w14:paraId="1029699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400" w:type="dxa"/>
            <w:tcBorders>
              <w:top w:val="nil"/>
              <w:left w:val="nil"/>
              <w:bottom w:val="single" w:sz="4" w:space="0" w:color="auto"/>
              <w:right w:val="single" w:sz="4" w:space="0" w:color="auto"/>
            </w:tcBorders>
            <w:shd w:val="clear" w:color="auto" w:fill="auto"/>
            <w:noWrap/>
            <w:vAlign w:val="bottom"/>
            <w:hideMark/>
          </w:tcPr>
          <w:p w14:paraId="1FC56A01"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453" w:type="dxa"/>
            <w:tcBorders>
              <w:top w:val="nil"/>
              <w:left w:val="nil"/>
              <w:bottom w:val="single" w:sz="4" w:space="0" w:color="auto"/>
              <w:right w:val="single" w:sz="4" w:space="0" w:color="auto"/>
            </w:tcBorders>
            <w:shd w:val="clear" w:color="auto" w:fill="auto"/>
            <w:noWrap/>
            <w:vAlign w:val="bottom"/>
            <w:hideMark/>
          </w:tcPr>
          <w:p w14:paraId="7380642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213" w:type="dxa"/>
            <w:tcBorders>
              <w:top w:val="nil"/>
              <w:left w:val="nil"/>
              <w:bottom w:val="single" w:sz="4" w:space="0" w:color="auto"/>
              <w:right w:val="double" w:sz="4" w:space="0" w:color="auto"/>
            </w:tcBorders>
            <w:shd w:val="clear" w:color="auto" w:fill="auto"/>
            <w:noWrap/>
            <w:vAlign w:val="bottom"/>
            <w:hideMark/>
          </w:tcPr>
          <w:p w14:paraId="1F8F2A6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A53AD7" w:rsidRPr="00A53AD7" w14:paraId="490C34A5"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13BDA52E"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федеральный бюджет</w:t>
            </w:r>
          </w:p>
        </w:tc>
        <w:tc>
          <w:tcPr>
            <w:tcW w:w="2135" w:type="dxa"/>
            <w:tcBorders>
              <w:top w:val="nil"/>
              <w:left w:val="nil"/>
              <w:bottom w:val="single" w:sz="4" w:space="0" w:color="auto"/>
              <w:right w:val="single" w:sz="4" w:space="0" w:color="auto"/>
            </w:tcBorders>
            <w:shd w:val="clear" w:color="auto" w:fill="auto"/>
            <w:noWrap/>
            <w:vAlign w:val="bottom"/>
            <w:hideMark/>
          </w:tcPr>
          <w:p w14:paraId="6D769612"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61,2</w:t>
            </w:r>
          </w:p>
        </w:tc>
        <w:tc>
          <w:tcPr>
            <w:tcW w:w="1130" w:type="dxa"/>
            <w:tcBorders>
              <w:top w:val="nil"/>
              <w:left w:val="nil"/>
              <w:bottom w:val="single" w:sz="4" w:space="0" w:color="auto"/>
              <w:right w:val="single" w:sz="4" w:space="0" w:color="auto"/>
            </w:tcBorders>
            <w:shd w:val="clear" w:color="auto" w:fill="auto"/>
            <w:noWrap/>
            <w:vAlign w:val="bottom"/>
            <w:hideMark/>
          </w:tcPr>
          <w:p w14:paraId="796831DD" w14:textId="77777777" w:rsidR="00687A6A" w:rsidRPr="00A53AD7" w:rsidRDefault="00687A6A" w:rsidP="00274B0A">
            <w:pPr>
              <w:spacing w:after="0" w:line="240" w:lineRule="auto"/>
              <w:jc w:val="center"/>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21 765,65</w:t>
            </w:r>
          </w:p>
        </w:tc>
        <w:tc>
          <w:tcPr>
            <w:tcW w:w="1400" w:type="dxa"/>
            <w:tcBorders>
              <w:top w:val="nil"/>
              <w:left w:val="nil"/>
              <w:bottom w:val="single" w:sz="4" w:space="0" w:color="auto"/>
              <w:right w:val="single" w:sz="4" w:space="0" w:color="auto"/>
            </w:tcBorders>
            <w:shd w:val="clear" w:color="auto" w:fill="auto"/>
            <w:noWrap/>
            <w:vAlign w:val="bottom"/>
            <w:hideMark/>
          </w:tcPr>
          <w:p w14:paraId="2D4DD8E8"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58,1</w:t>
            </w:r>
          </w:p>
        </w:tc>
        <w:tc>
          <w:tcPr>
            <w:tcW w:w="1453" w:type="dxa"/>
            <w:tcBorders>
              <w:top w:val="nil"/>
              <w:left w:val="nil"/>
              <w:bottom w:val="single" w:sz="4" w:space="0" w:color="auto"/>
              <w:right w:val="single" w:sz="4" w:space="0" w:color="auto"/>
            </w:tcBorders>
            <w:shd w:val="clear" w:color="auto" w:fill="auto"/>
            <w:noWrap/>
            <w:vAlign w:val="bottom"/>
            <w:hideMark/>
          </w:tcPr>
          <w:p w14:paraId="1E870C3B" w14:textId="77777777" w:rsidR="00687A6A" w:rsidRPr="00A53AD7" w:rsidRDefault="00687A6A" w:rsidP="00274B0A">
            <w:pPr>
              <w:spacing w:after="0" w:line="240" w:lineRule="auto"/>
              <w:jc w:val="center"/>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22,3</w:t>
            </w:r>
          </w:p>
        </w:tc>
        <w:tc>
          <w:tcPr>
            <w:tcW w:w="1213" w:type="dxa"/>
            <w:tcBorders>
              <w:top w:val="nil"/>
              <w:left w:val="nil"/>
              <w:bottom w:val="single" w:sz="4" w:space="0" w:color="auto"/>
              <w:right w:val="double" w:sz="4" w:space="0" w:color="auto"/>
            </w:tcBorders>
            <w:shd w:val="clear" w:color="auto" w:fill="auto"/>
            <w:noWrap/>
            <w:vAlign w:val="bottom"/>
            <w:hideMark/>
          </w:tcPr>
          <w:p w14:paraId="3DED0601" w14:textId="77777777" w:rsidR="00687A6A" w:rsidRPr="00A53AD7" w:rsidRDefault="00687A6A" w:rsidP="00274B0A">
            <w:pPr>
              <w:spacing w:after="0" w:line="240" w:lineRule="auto"/>
              <w:jc w:val="center"/>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35,8</w:t>
            </w:r>
          </w:p>
        </w:tc>
      </w:tr>
      <w:tr w:rsidR="00A53AD7" w:rsidRPr="00A53AD7" w14:paraId="4616F26D"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744C8770"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доля, в %</w:t>
            </w:r>
          </w:p>
        </w:tc>
        <w:tc>
          <w:tcPr>
            <w:tcW w:w="2135" w:type="dxa"/>
            <w:tcBorders>
              <w:top w:val="nil"/>
              <w:left w:val="nil"/>
              <w:bottom w:val="single" w:sz="4" w:space="0" w:color="auto"/>
              <w:right w:val="single" w:sz="4" w:space="0" w:color="auto"/>
            </w:tcBorders>
            <w:shd w:val="clear" w:color="auto" w:fill="auto"/>
            <w:noWrap/>
            <w:vAlign w:val="bottom"/>
            <w:hideMark/>
          </w:tcPr>
          <w:p w14:paraId="36F4CA4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23,05</w:t>
            </w:r>
          </w:p>
        </w:tc>
        <w:tc>
          <w:tcPr>
            <w:tcW w:w="1130" w:type="dxa"/>
            <w:tcBorders>
              <w:top w:val="nil"/>
              <w:left w:val="nil"/>
              <w:bottom w:val="single" w:sz="4" w:space="0" w:color="auto"/>
              <w:right w:val="single" w:sz="4" w:space="0" w:color="auto"/>
            </w:tcBorders>
            <w:shd w:val="clear" w:color="auto" w:fill="auto"/>
            <w:noWrap/>
            <w:vAlign w:val="bottom"/>
            <w:hideMark/>
          </w:tcPr>
          <w:p w14:paraId="6801B420"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23,05</w:t>
            </w:r>
          </w:p>
        </w:tc>
        <w:tc>
          <w:tcPr>
            <w:tcW w:w="1400" w:type="dxa"/>
            <w:tcBorders>
              <w:top w:val="nil"/>
              <w:left w:val="nil"/>
              <w:bottom w:val="single" w:sz="4" w:space="0" w:color="auto"/>
              <w:right w:val="single" w:sz="4" w:space="0" w:color="auto"/>
            </w:tcBorders>
            <w:shd w:val="clear" w:color="auto" w:fill="auto"/>
            <w:noWrap/>
            <w:vAlign w:val="bottom"/>
            <w:hideMark/>
          </w:tcPr>
          <w:p w14:paraId="24682CC2"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60,00</w:t>
            </w:r>
          </w:p>
        </w:tc>
        <w:tc>
          <w:tcPr>
            <w:tcW w:w="1453" w:type="dxa"/>
            <w:tcBorders>
              <w:top w:val="nil"/>
              <w:left w:val="nil"/>
              <w:bottom w:val="single" w:sz="4" w:space="0" w:color="auto"/>
              <w:right w:val="single" w:sz="4" w:space="0" w:color="auto"/>
            </w:tcBorders>
            <w:shd w:val="clear" w:color="auto" w:fill="auto"/>
            <w:noWrap/>
            <w:vAlign w:val="bottom"/>
            <w:hideMark/>
          </w:tcPr>
          <w:p w14:paraId="4B89CEF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23,05</w:t>
            </w:r>
          </w:p>
        </w:tc>
        <w:tc>
          <w:tcPr>
            <w:tcW w:w="1213" w:type="dxa"/>
            <w:tcBorders>
              <w:top w:val="nil"/>
              <w:left w:val="nil"/>
              <w:bottom w:val="single" w:sz="4" w:space="0" w:color="auto"/>
              <w:right w:val="double" w:sz="4" w:space="0" w:color="auto"/>
            </w:tcBorders>
            <w:shd w:val="clear" w:color="auto" w:fill="auto"/>
            <w:noWrap/>
            <w:vAlign w:val="bottom"/>
            <w:hideMark/>
          </w:tcPr>
          <w:p w14:paraId="00D6A8D0"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A53AD7" w:rsidRPr="00A53AD7" w14:paraId="0A5862E5"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795F28A5"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областной бюджет</w:t>
            </w:r>
          </w:p>
        </w:tc>
        <w:tc>
          <w:tcPr>
            <w:tcW w:w="2135" w:type="dxa"/>
            <w:tcBorders>
              <w:top w:val="nil"/>
              <w:left w:val="nil"/>
              <w:bottom w:val="single" w:sz="4" w:space="0" w:color="auto"/>
              <w:right w:val="single" w:sz="4" w:space="0" w:color="auto"/>
            </w:tcBorders>
            <w:shd w:val="clear" w:color="auto" w:fill="auto"/>
            <w:noWrap/>
            <w:vAlign w:val="bottom"/>
            <w:hideMark/>
          </w:tcPr>
          <w:p w14:paraId="52A74092"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10,1</w:t>
            </w:r>
          </w:p>
        </w:tc>
        <w:tc>
          <w:tcPr>
            <w:tcW w:w="1130" w:type="dxa"/>
            <w:tcBorders>
              <w:top w:val="nil"/>
              <w:left w:val="nil"/>
              <w:bottom w:val="single" w:sz="4" w:space="0" w:color="auto"/>
              <w:right w:val="single" w:sz="4" w:space="0" w:color="auto"/>
            </w:tcBorders>
            <w:shd w:val="clear" w:color="auto" w:fill="auto"/>
            <w:noWrap/>
            <w:vAlign w:val="bottom"/>
            <w:hideMark/>
          </w:tcPr>
          <w:p w14:paraId="7564F9FA"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3 580,01</w:t>
            </w:r>
          </w:p>
        </w:tc>
        <w:tc>
          <w:tcPr>
            <w:tcW w:w="1400" w:type="dxa"/>
            <w:tcBorders>
              <w:top w:val="nil"/>
              <w:left w:val="nil"/>
              <w:bottom w:val="single" w:sz="4" w:space="0" w:color="auto"/>
              <w:right w:val="single" w:sz="4" w:space="0" w:color="auto"/>
            </w:tcBorders>
            <w:shd w:val="clear" w:color="auto" w:fill="auto"/>
            <w:noWrap/>
            <w:vAlign w:val="bottom"/>
            <w:hideMark/>
          </w:tcPr>
          <w:p w14:paraId="3DD6DCF6"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6,7</w:t>
            </w:r>
          </w:p>
        </w:tc>
        <w:tc>
          <w:tcPr>
            <w:tcW w:w="1453" w:type="dxa"/>
            <w:tcBorders>
              <w:top w:val="nil"/>
              <w:left w:val="nil"/>
              <w:bottom w:val="single" w:sz="4" w:space="0" w:color="auto"/>
              <w:right w:val="single" w:sz="4" w:space="0" w:color="auto"/>
            </w:tcBorders>
            <w:shd w:val="clear" w:color="auto" w:fill="auto"/>
            <w:noWrap/>
            <w:vAlign w:val="bottom"/>
            <w:hideMark/>
          </w:tcPr>
          <w:p w14:paraId="76E7ADFE" w14:textId="77777777" w:rsidR="00687A6A" w:rsidRPr="00A53AD7" w:rsidRDefault="00687A6A" w:rsidP="00274B0A">
            <w:pPr>
              <w:spacing w:after="0" w:line="240" w:lineRule="auto"/>
              <w:jc w:val="center"/>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3,7</w:t>
            </w:r>
          </w:p>
        </w:tc>
        <w:tc>
          <w:tcPr>
            <w:tcW w:w="1213" w:type="dxa"/>
            <w:tcBorders>
              <w:top w:val="nil"/>
              <w:left w:val="nil"/>
              <w:bottom w:val="single" w:sz="4" w:space="0" w:color="auto"/>
              <w:right w:val="double" w:sz="4" w:space="0" w:color="auto"/>
            </w:tcBorders>
            <w:shd w:val="clear" w:color="auto" w:fill="auto"/>
            <w:noWrap/>
            <w:vAlign w:val="bottom"/>
            <w:hideMark/>
          </w:tcPr>
          <w:p w14:paraId="310AE74E" w14:textId="77777777" w:rsidR="00687A6A" w:rsidRPr="00A53AD7" w:rsidRDefault="00687A6A" w:rsidP="00274B0A">
            <w:pPr>
              <w:spacing w:after="0" w:line="240" w:lineRule="auto"/>
              <w:jc w:val="center"/>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3,0</w:t>
            </w:r>
          </w:p>
        </w:tc>
      </w:tr>
      <w:tr w:rsidR="00A53AD7" w:rsidRPr="00A53AD7" w14:paraId="49D7036E"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7BD6B092"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доля, в %</w:t>
            </w:r>
          </w:p>
        </w:tc>
        <w:tc>
          <w:tcPr>
            <w:tcW w:w="2135" w:type="dxa"/>
            <w:tcBorders>
              <w:top w:val="nil"/>
              <w:left w:val="nil"/>
              <w:bottom w:val="single" w:sz="4" w:space="0" w:color="auto"/>
              <w:right w:val="single" w:sz="4" w:space="0" w:color="auto"/>
            </w:tcBorders>
            <w:shd w:val="clear" w:color="auto" w:fill="auto"/>
            <w:noWrap/>
            <w:vAlign w:val="bottom"/>
            <w:hideMark/>
          </w:tcPr>
          <w:p w14:paraId="7640D8E2"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3,79</w:t>
            </w:r>
          </w:p>
        </w:tc>
        <w:tc>
          <w:tcPr>
            <w:tcW w:w="1130" w:type="dxa"/>
            <w:tcBorders>
              <w:top w:val="nil"/>
              <w:left w:val="nil"/>
              <w:bottom w:val="single" w:sz="4" w:space="0" w:color="auto"/>
              <w:right w:val="single" w:sz="4" w:space="0" w:color="auto"/>
            </w:tcBorders>
            <w:shd w:val="clear" w:color="auto" w:fill="auto"/>
            <w:noWrap/>
            <w:vAlign w:val="bottom"/>
            <w:hideMark/>
          </w:tcPr>
          <w:p w14:paraId="30CD3C15"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3,79</w:t>
            </w:r>
          </w:p>
        </w:tc>
        <w:tc>
          <w:tcPr>
            <w:tcW w:w="1400" w:type="dxa"/>
            <w:tcBorders>
              <w:top w:val="nil"/>
              <w:left w:val="nil"/>
              <w:bottom w:val="single" w:sz="4" w:space="0" w:color="auto"/>
              <w:right w:val="single" w:sz="4" w:space="0" w:color="auto"/>
            </w:tcBorders>
            <w:shd w:val="clear" w:color="auto" w:fill="auto"/>
            <w:noWrap/>
            <w:vAlign w:val="bottom"/>
            <w:hideMark/>
          </w:tcPr>
          <w:p w14:paraId="4C86AD59"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6,88</w:t>
            </w:r>
          </w:p>
        </w:tc>
        <w:tc>
          <w:tcPr>
            <w:tcW w:w="1453" w:type="dxa"/>
            <w:tcBorders>
              <w:top w:val="nil"/>
              <w:left w:val="nil"/>
              <w:bottom w:val="single" w:sz="4" w:space="0" w:color="auto"/>
              <w:right w:val="single" w:sz="4" w:space="0" w:color="auto"/>
            </w:tcBorders>
            <w:shd w:val="clear" w:color="auto" w:fill="auto"/>
            <w:noWrap/>
            <w:vAlign w:val="bottom"/>
            <w:hideMark/>
          </w:tcPr>
          <w:p w14:paraId="65B50041"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3,79</w:t>
            </w:r>
          </w:p>
        </w:tc>
        <w:tc>
          <w:tcPr>
            <w:tcW w:w="1213" w:type="dxa"/>
            <w:tcBorders>
              <w:top w:val="nil"/>
              <w:left w:val="nil"/>
              <w:bottom w:val="single" w:sz="4" w:space="0" w:color="auto"/>
              <w:right w:val="double" w:sz="4" w:space="0" w:color="auto"/>
            </w:tcBorders>
            <w:shd w:val="clear" w:color="auto" w:fill="auto"/>
            <w:noWrap/>
            <w:vAlign w:val="bottom"/>
            <w:hideMark/>
          </w:tcPr>
          <w:p w14:paraId="6BD79E0B"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A53AD7" w:rsidRPr="00A53AD7" w14:paraId="31D762E5" w14:textId="77777777" w:rsidTr="004A321B">
        <w:trPr>
          <w:trHeight w:val="300"/>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58AB817B"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внебюджетные источники</w:t>
            </w:r>
          </w:p>
        </w:tc>
        <w:tc>
          <w:tcPr>
            <w:tcW w:w="2135" w:type="dxa"/>
            <w:tcBorders>
              <w:top w:val="nil"/>
              <w:left w:val="nil"/>
              <w:bottom w:val="single" w:sz="4" w:space="0" w:color="auto"/>
              <w:right w:val="single" w:sz="4" w:space="0" w:color="auto"/>
            </w:tcBorders>
            <w:shd w:val="clear" w:color="auto" w:fill="auto"/>
            <w:noWrap/>
            <w:vAlign w:val="bottom"/>
            <w:hideMark/>
          </w:tcPr>
          <w:p w14:paraId="46932273"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194,3</w:t>
            </w:r>
          </w:p>
        </w:tc>
        <w:tc>
          <w:tcPr>
            <w:tcW w:w="1130" w:type="dxa"/>
            <w:tcBorders>
              <w:top w:val="nil"/>
              <w:left w:val="nil"/>
              <w:bottom w:val="single" w:sz="4" w:space="0" w:color="auto"/>
              <w:right w:val="single" w:sz="4" w:space="0" w:color="auto"/>
            </w:tcBorders>
            <w:shd w:val="clear" w:color="auto" w:fill="auto"/>
            <w:noWrap/>
            <w:vAlign w:val="bottom"/>
            <w:hideMark/>
          </w:tcPr>
          <w:p w14:paraId="159D7CA8"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69 099,93</w:t>
            </w:r>
          </w:p>
        </w:tc>
        <w:tc>
          <w:tcPr>
            <w:tcW w:w="1400" w:type="dxa"/>
            <w:tcBorders>
              <w:top w:val="nil"/>
              <w:left w:val="nil"/>
              <w:bottom w:val="single" w:sz="4" w:space="0" w:color="auto"/>
              <w:right w:val="single" w:sz="4" w:space="0" w:color="auto"/>
            </w:tcBorders>
            <w:shd w:val="clear" w:color="auto" w:fill="auto"/>
            <w:noWrap/>
            <w:vAlign w:val="bottom"/>
            <w:hideMark/>
          </w:tcPr>
          <w:p w14:paraId="55C3FB91"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32,1</w:t>
            </w:r>
          </w:p>
        </w:tc>
        <w:tc>
          <w:tcPr>
            <w:tcW w:w="1453" w:type="dxa"/>
            <w:tcBorders>
              <w:top w:val="nil"/>
              <w:left w:val="nil"/>
              <w:bottom w:val="single" w:sz="4" w:space="0" w:color="auto"/>
              <w:right w:val="single" w:sz="4" w:space="0" w:color="auto"/>
            </w:tcBorders>
            <w:shd w:val="clear" w:color="auto" w:fill="auto"/>
            <w:noWrap/>
            <w:vAlign w:val="bottom"/>
            <w:hideMark/>
          </w:tcPr>
          <w:p w14:paraId="5A96CEE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70,9</w:t>
            </w:r>
          </w:p>
        </w:tc>
        <w:tc>
          <w:tcPr>
            <w:tcW w:w="1213" w:type="dxa"/>
            <w:tcBorders>
              <w:top w:val="nil"/>
              <w:left w:val="nil"/>
              <w:bottom w:val="single" w:sz="4" w:space="0" w:color="auto"/>
              <w:right w:val="double" w:sz="4" w:space="0" w:color="auto"/>
            </w:tcBorders>
            <w:shd w:val="clear" w:color="auto" w:fill="auto"/>
            <w:noWrap/>
            <w:vAlign w:val="bottom"/>
            <w:hideMark/>
          </w:tcPr>
          <w:p w14:paraId="668C5CF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A53AD7" w:rsidRPr="00A53AD7" w14:paraId="25FF9465" w14:textId="77777777" w:rsidTr="004A321B">
        <w:trPr>
          <w:trHeight w:hRule="exact" w:val="255"/>
        </w:trPr>
        <w:tc>
          <w:tcPr>
            <w:tcW w:w="1966" w:type="dxa"/>
            <w:tcBorders>
              <w:top w:val="nil"/>
              <w:left w:val="double" w:sz="4" w:space="0" w:color="auto"/>
              <w:bottom w:val="single" w:sz="4" w:space="0" w:color="auto"/>
              <w:right w:val="single" w:sz="4" w:space="0" w:color="auto"/>
            </w:tcBorders>
            <w:shd w:val="clear" w:color="auto" w:fill="auto"/>
            <w:noWrap/>
            <w:vAlign w:val="bottom"/>
            <w:hideMark/>
          </w:tcPr>
          <w:p w14:paraId="2EF9CC00"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доля, в %</w:t>
            </w:r>
          </w:p>
        </w:tc>
        <w:tc>
          <w:tcPr>
            <w:tcW w:w="2135" w:type="dxa"/>
            <w:tcBorders>
              <w:top w:val="nil"/>
              <w:left w:val="nil"/>
              <w:bottom w:val="single" w:sz="4" w:space="0" w:color="auto"/>
              <w:right w:val="single" w:sz="4" w:space="0" w:color="auto"/>
            </w:tcBorders>
            <w:shd w:val="clear" w:color="auto" w:fill="auto"/>
            <w:noWrap/>
            <w:vAlign w:val="bottom"/>
            <w:hideMark/>
          </w:tcPr>
          <w:p w14:paraId="4013E98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73,16</w:t>
            </w:r>
          </w:p>
        </w:tc>
        <w:tc>
          <w:tcPr>
            <w:tcW w:w="1130" w:type="dxa"/>
            <w:tcBorders>
              <w:top w:val="nil"/>
              <w:left w:val="nil"/>
              <w:bottom w:val="single" w:sz="4" w:space="0" w:color="auto"/>
              <w:right w:val="single" w:sz="4" w:space="0" w:color="auto"/>
            </w:tcBorders>
            <w:shd w:val="clear" w:color="auto" w:fill="auto"/>
            <w:noWrap/>
            <w:vAlign w:val="bottom"/>
            <w:hideMark/>
          </w:tcPr>
          <w:p w14:paraId="56F39FFC"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73,16</w:t>
            </w:r>
          </w:p>
        </w:tc>
        <w:tc>
          <w:tcPr>
            <w:tcW w:w="1400" w:type="dxa"/>
            <w:tcBorders>
              <w:top w:val="nil"/>
              <w:left w:val="nil"/>
              <w:bottom w:val="single" w:sz="4" w:space="0" w:color="auto"/>
              <w:right w:val="single" w:sz="4" w:space="0" w:color="auto"/>
            </w:tcBorders>
            <w:shd w:val="clear" w:color="auto" w:fill="auto"/>
            <w:noWrap/>
            <w:vAlign w:val="bottom"/>
            <w:hideMark/>
          </w:tcPr>
          <w:p w14:paraId="5B4D779D"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33,12</w:t>
            </w:r>
          </w:p>
        </w:tc>
        <w:tc>
          <w:tcPr>
            <w:tcW w:w="1453" w:type="dxa"/>
            <w:tcBorders>
              <w:top w:val="nil"/>
              <w:left w:val="nil"/>
              <w:bottom w:val="single" w:sz="4" w:space="0" w:color="auto"/>
              <w:right w:val="single" w:sz="4" w:space="0" w:color="auto"/>
            </w:tcBorders>
            <w:shd w:val="clear" w:color="auto" w:fill="auto"/>
            <w:noWrap/>
            <w:vAlign w:val="bottom"/>
            <w:hideMark/>
          </w:tcPr>
          <w:p w14:paraId="45F29F8C"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73,16</w:t>
            </w:r>
          </w:p>
        </w:tc>
        <w:tc>
          <w:tcPr>
            <w:tcW w:w="1213" w:type="dxa"/>
            <w:tcBorders>
              <w:top w:val="nil"/>
              <w:left w:val="nil"/>
              <w:bottom w:val="single" w:sz="4" w:space="0" w:color="auto"/>
              <w:right w:val="double" w:sz="4" w:space="0" w:color="auto"/>
            </w:tcBorders>
            <w:shd w:val="clear" w:color="auto" w:fill="auto"/>
            <w:noWrap/>
            <w:vAlign w:val="bottom"/>
            <w:hideMark/>
          </w:tcPr>
          <w:p w14:paraId="07DF8BB7"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687A6A" w:rsidRPr="00A53AD7" w14:paraId="16606821" w14:textId="77777777" w:rsidTr="004A321B">
        <w:trPr>
          <w:trHeight w:val="720"/>
        </w:trPr>
        <w:tc>
          <w:tcPr>
            <w:tcW w:w="1966" w:type="dxa"/>
            <w:tcBorders>
              <w:top w:val="nil"/>
              <w:left w:val="double" w:sz="4" w:space="0" w:color="auto"/>
              <w:bottom w:val="double" w:sz="4" w:space="0" w:color="auto"/>
              <w:right w:val="single" w:sz="4" w:space="0" w:color="auto"/>
            </w:tcBorders>
            <w:shd w:val="clear" w:color="auto" w:fill="auto"/>
            <w:vAlign w:val="center"/>
            <w:hideMark/>
          </w:tcPr>
          <w:p w14:paraId="58ECA0E9" w14:textId="77777777" w:rsidR="00687A6A" w:rsidRPr="00A53AD7" w:rsidRDefault="00687A6A" w:rsidP="00274B0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Ввод в эксплуатацию мелиорируемых земель, гектар</w:t>
            </w:r>
          </w:p>
        </w:tc>
        <w:tc>
          <w:tcPr>
            <w:tcW w:w="2135" w:type="dxa"/>
            <w:tcBorders>
              <w:top w:val="nil"/>
              <w:left w:val="nil"/>
              <w:bottom w:val="double" w:sz="4" w:space="0" w:color="auto"/>
              <w:right w:val="single" w:sz="4" w:space="0" w:color="auto"/>
            </w:tcBorders>
            <w:shd w:val="clear" w:color="auto" w:fill="auto"/>
            <w:noWrap/>
            <w:vAlign w:val="bottom"/>
            <w:hideMark/>
          </w:tcPr>
          <w:p w14:paraId="08E5E9A8"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2 812,0</w:t>
            </w:r>
          </w:p>
        </w:tc>
        <w:tc>
          <w:tcPr>
            <w:tcW w:w="1130" w:type="dxa"/>
            <w:tcBorders>
              <w:top w:val="nil"/>
              <w:left w:val="nil"/>
              <w:bottom w:val="double" w:sz="4" w:space="0" w:color="auto"/>
              <w:right w:val="single" w:sz="4" w:space="0" w:color="auto"/>
            </w:tcBorders>
            <w:shd w:val="clear" w:color="auto" w:fill="auto"/>
            <w:noWrap/>
            <w:vAlign w:val="bottom"/>
            <w:hideMark/>
          </w:tcPr>
          <w:p w14:paraId="774191CB"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400" w:type="dxa"/>
            <w:tcBorders>
              <w:top w:val="nil"/>
              <w:left w:val="nil"/>
              <w:bottom w:val="double" w:sz="4" w:space="0" w:color="auto"/>
              <w:right w:val="single" w:sz="4" w:space="0" w:color="auto"/>
            </w:tcBorders>
            <w:shd w:val="clear" w:color="auto" w:fill="auto"/>
            <w:noWrap/>
            <w:vAlign w:val="bottom"/>
            <w:hideMark/>
          </w:tcPr>
          <w:p w14:paraId="298308B1"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2 510,0</w:t>
            </w:r>
          </w:p>
        </w:tc>
        <w:tc>
          <w:tcPr>
            <w:tcW w:w="1453" w:type="dxa"/>
            <w:tcBorders>
              <w:top w:val="nil"/>
              <w:left w:val="nil"/>
              <w:bottom w:val="double" w:sz="4" w:space="0" w:color="auto"/>
              <w:right w:val="single" w:sz="4" w:space="0" w:color="auto"/>
            </w:tcBorders>
            <w:shd w:val="clear" w:color="auto" w:fill="auto"/>
            <w:noWrap/>
            <w:vAlign w:val="bottom"/>
            <w:hideMark/>
          </w:tcPr>
          <w:p w14:paraId="22F1302A"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c>
          <w:tcPr>
            <w:tcW w:w="1213" w:type="dxa"/>
            <w:tcBorders>
              <w:top w:val="nil"/>
              <w:left w:val="nil"/>
              <w:bottom w:val="double" w:sz="4" w:space="0" w:color="auto"/>
              <w:right w:val="double" w:sz="4" w:space="0" w:color="auto"/>
            </w:tcBorders>
            <w:shd w:val="clear" w:color="auto" w:fill="auto"/>
            <w:noWrap/>
            <w:vAlign w:val="bottom"/>
            <w:hideMark/>
          </w:tcPr>
          <w:p w14:paraId="19D18823" w14:textId="77777777" w:rsidR="00687A6A" w:rsidRPr="00A53AD7" w:rsidRDefault="00687A6A" w:rsidP="00274B0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bl>
    <w:p w14:paraId="1E9BF688" w14:textId="77777777" w:rsidR="004A321B" w:rsidRPr="00A53AD7" w:rsidRDefault="004A321B" w:rsidP="004A321B">
      <w:pPr>
        <w:pStyle w:val="a8"/>
        <w:ind w:left="0" w:firstLine="851"/>
        <w:jc w:val="both"/>
        <w:rPr>
          <w:sz w:val="28"/>
          <w:szCs w:val="28"/>
        </w:rPr>
      </w:pPr>
    </w:p>
    <w:p w14:paraId="0B87836C" w14:textId="77777777" w:rsidR="00687A6A" w:rsidRPr="00A53AD7" w:rsidRDefault="00687A6A" w:rsidP="004A321B">
      <w:pPr>
        <w:pStyle w:val="a8"/>
        <w:ind w:left="0" w:firstLine="851"/>
        <w:jc w:val="both"/>
        <w:rPr>
          <w:sz w:val="28"/>
          <w:szCs w:val="28"/>
        </w:rPr>
      </w:pPr>
      <w:r w:rsidRPr="00A53AD7">
        <w:rPr>
          <w:sz w:val="28"/>
          <w:szCs w:val="28"/>
        </w:rPr>
        <w:t xml:space="preserve">С учетом того, что фактически сложившаяся по итогам 2019 года расчетная ставка по проведению гидромелиоративных мероприятий составила 38,6 тыс.руб. за 1 гектар (96,9 млн.руб./2510 га), в отличие, от плановой 94,4 тыс.руб. за 1 гектар, вызывает сомнение реальность и обоснованность плановых объемов финансирования, предусмотренных программой. Указанный вод подтвержден экономическими расчетами. </w:t>
      </w:r>
    </w:p>
    <w:p w14:paraId="68C97A02" w14:textId="77777777" w:rsidR="00687A6A" w:rsidRPr="00A53AD7" w:rsidRDefault="00687A6A" w:rsidP="004A321B">
      <w:pPr>
        <w:pStyle w:val="a8"/>
        <w:ind w:left="0" w:firstLine="851"/>
        <w:jc w:val="both"/>
        <w:rPr>
          <w:sz w:val="28"/>
          <w:szCs w:val="28"/>
        </w:rPr>
      </w:pPr>
    </w:p>
    <w:p w14:paraId="474D7CE9" w14:textId="77777777" w:rsidR="004A3F38" w:rsidRPr="00A53AD7" w:rsidRDefault="004A3F38" w:rsidP="004A3F38">
      <w:pPr>
        <w:pStyle w:val="a8"/>
        <w:ind w:left="0" w:firstLine="851"/>
        <w:jc w:val="both"/>
        <w:rPr>
          <w:sz w:val="28"/>
          <w:szCs w:val="28"/>
        </w:rPr>
      </w:pPr>
      <w:r w:rsidRPr="00A53AD7">
        <w:rPr>
          <w:sz w:val="28"/>
          <w:szCs w:val="28"/>
        </w:rPr>
        <w:t>На поддержку начинающим фермерам направлено 10,7 млн.руб., государственную поддержку получило 5 К(Ф)Х, осуществляющих свою деятельность в Вельском, Котласском, Красноборском, Приморском, Шенкурском районах.</w:t>
      </w:r>
    </w:p>
    <w:p w14:paraId="02BDC3E6" w14:textId="77777777" w:rsidR="004A3F38" w:rsidRPr="00A53AD7" w:rsidRDefault="004A3F38" w:rsidP="004A3F38">
      <w:pPr>
        <w:pStyle w:val="a8"/>
        <w:ind w:left="0" w:firstLine="851"/>
        <w:jc w:val="both"/>
        <w:rPr>
          <w:sz w:val="28"/>
          <w:szCs w:val="28"/>
        </w:rPr>
      </w:pPr>
      <w:r w:rsidRPr="00A53AD7">
        <w:rPr>
          <w:sz w:val="28"/>
          <w:szCs w:val="28"/>
        </w:rPr>
        <w:t>На развитие животноводческих ферм направлено 11,6 млн.руб., государственную поддержку получило одно К(Ф)Х (Коношский район).</w:t>
      </w:r>
    </w:p>
    <w:p w14:paraId="45110C72" w14:textId="77777777" w:rsidR="004A3F38" w:rsidRPr="00A53AD7" w:rsidRDefault="004A3F38" w:rsidP="004A3F38">
      <w:pPr>
        <w:pStyle w:val="a8"/>
        <w:ind w:left="0" w:firstLine="851"/>
        <w:jc w:val="both"/>
        <w:rPr>
          <w:sz w:val="28"/>
          <w:szCs w:val="28"/>
        </w:rPr>
      </w:pPr>
      <w:r w:rsidRPr="00A53AD7">
        <w:rPr>
          <w:sz w:val="28"/>
          <w:szCs w:val="28"/>
        </w:rPr>
        <w:t>СПОК «Надпорожский» получил грантовую поддержку в сумме 12,0 млн.руб. на развитие материально-технической базы сельскохозяйственных потребительских кооперативов.</w:t>
      </w:r>
    </w:p>
    <w:p w14:paraId="3A174C9B" w14:textId="77777777" w:rsidR="004A3F38" w:rsidRPr="00A53AD7" w:rsidRDefault="004A3F38" w:rsidP="004A3F38">
      <w:pPr>
        <w:pStyle w:val="a8"/>
        <w:ind w:left="0" w:firstLine="851"/>
        <w:jc w:val="both"/>
        <w:rPr>
          <w:sz w:val="28"/>
          <w:szCs w:val="28"/>
        </w:rPr>
      </w:pPr>
      <w:r w:rsidRPr="00A53AD7">
        <w:rPr>
          <w:sz w:val="28"/>
          <w:szCs w:val="28"/>
        </w:rPr>
        <w:t>Основными получателями государственной поддержки (субсидий) за 2019 год, как и в предыдущие годы, являются:</w:t>
      </w:r>
    </w:p>
    <w:p w14:paraId="2AE2A2F6"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ООО «Устьянская молочная компания» - 189,4 млн.руб. (доля 22,4%),</w:t>
      </w:r>
    </w:p>
    <w:p w14:paraId="53928A3D"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АО «Агрофирма «Вельская» - 111,8 млн.руб. (доля 13,2%),</w:t>
      </w:r>
    </w:p>
    <w:p w14:paraId="37CE1BF4"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 xml:space="preserve">АО «Важское» - 95,0 млн.руб. (11,2%), </w:t>
      </w:r>
    </w:p>
    <w:p w14:paraId="791338A7"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ООО «Пежма» 52,7 млн.руб. (6,2%),</w:t>
      </w:r>
    </w:p>
    <w:p w14:paraId="717156C6"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ООО «Агрофирма «Судромская» - 41,3 млн.руб. (4,9%),</w:t>
      </w:r>
    </w:p>
    <w:p w14:paraId="241AF0BA" w14:textId="77777777" w:rsidR="004A3F38" w:rsidRPr="00A53AD7" w:rsidRDefault="004A3F38" w:rsidP="004A3F38">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ООО «Ростово» - 46,7 млн.руб. (5,5%).</w:t>
      </w:r>
    </w:p>
    <w:p w14:paraId="29D557BD" w14:textId="77777777" w:rsidR="00687A6A" w:rsidRPr="00A53AD7" w:rsidRDefault="00687A6A" w:rsidP="00687A6A">
      <w:pPr>
        <w:autoSpaceDE w:val="0"/>
        <w:autoSpaceDN w:val="0"/>
        <w:adjustRightInd w:val="0"/>
        <w:spacing w:after="0" w:line="240" w:lineRule="auto"/>
        <w:ind w:firstLine="709"/>
        <w:jc w:val="both"/>
        <w:rPr>
          <w:rFonts w:ascii="Times New Roman" w:hAnsi="Times New Roman"/>
          <w:sz w:val="28"/>
          <w:szCs w:val="28"/>
          <w:highlight w:val="cyan"/>
        </w:rPr>
      </w:pPr>
    </w:p>
    <w:p w14:paraId="7893BE0E" w14:textId="06E97016" w:rsidR="00687A6A" w:rsidRPr="00A53AD7" w:rsidRDefault="00687A6A" w:rsidP="00D1355A">
      <w:pPr>
        <w:pStyle w:val="a8"/>
        <w:ind w:left="0" w:firstLine="851"/>
        <w:jc w:val="both"/>
        <w:rPr>
          <w:sz w:val="28"/>
          <w:szCs w:val="28"/>
        </w:rPr>
      </w:pPr>
      <w:r w:rsidRPr="00A53AD7">
        <w:rPr>
          <w:sz w:val="28"/>
          <w:szCs w:val="28"/>
        </w:rPr>
        <w:t>На выполнение мероприятий, предусмотренных ГП АО № 436-пп инспекции по ветеринарному надзору АО (далее – Инспекция), Инспекцией по итогам 2019 года направлено 206,4 млн.руб. что составляет 99,7% к показат</w:t>
      </w:r>
      <w:r w:rsidR="00D1355A" w:rsidRPr="00A53AD7">
        <w:rPr>
          <w:sz w:val="28"/>
          <w:szCs w:val="28"/>
        </w:rPr>
        <w:t>елям сводной бюджетной росписи.</w:t>
      </w:r>
    </w:p>
    <w:p w14:paraId="56EF1B77" w14:textId="77777777" w:rsidR="00687A6A" w:rsidRPr="00A53AD7" w:rsidRDefault="00687A6A" w:rsidP="00D1355A">
      <w:pPr>
        <w:pStyle w:val="a8"/>
        <w:ind w:left="0" w:firstLine="851"/>
        <w:jc w:val="both"/>
        <w:rPr>
          <w:sz w:val="28"/>
          <w:szCs w:val="28"/>
        </w:rPr>
      </w:pPr>
      <w:r w:rsidRPr="00A53AD7">
        <w:rPr>
          <w:sz w:val="28"/>
          <w:szCs w:val="28"/>
        </w:rPr>
        <w:t>Основная часть расходов - это расходы на обеспечение деятельности подведомственных учреждений (190,0 млн.руб.). Бюджетные средства учреждениям ветеринарии направлены на оказание государственных услуг в сфере ветеринарии; организацию на территории Архангельской области мероприятий по предупреждению и ликвидации болезней животных (в том числе африканской чумы свиней), их лечению, защите населения от болезней, общих для человека и животных; предоставление мер социальной поддержки и обеспечение иных выплат работникам государственных бюджетных учреждений ветеринарии.</w:t>
      </w:r>
    </w:p>
    <w:p w14:paraId="3D1B859E" w14:textId="77777777" w:rsidR="004A3F38" w:rsidRPr="00A53AD7" w:rsidRDefault="004A3F38" w:rsidP="004A3F38">
      <w:pPr>
        <w:pStyle w:val="a8"/>
        <w:ind w:left="0" w:firstLine="851"/>
        <w:jc w:val="both"/>
        <w:rPr>
          <w:sz w:val="28"/>
          <w:szCs w:val="28"/>
        </w:rPr>
      </w:pPr>
      <w:r w:rsidRPr="00A53AD7">
        <w:rPr>
          <w:sz w:val="28"/>
          <w:szCs w:val="28"/>
        </w:rPr>
        <w:t>В рамках государственного задания государственные услуги оказаны по девяти видам государственных услуг на общую сумму 171,2 млн.руб., по информации Инспекции о выполнении государственного задания ГБУ все плановые показатели по итогам 2019 года перевыполнены на 13 и более процентов, по отдельным - в 7 раз (оформление и выдача ветеринарных сопроводительных документов на бумажном носителе) и в 2,7 раза (оформление и выдача ветеринарных сопроводительных документов на электронном носителе).</w:t>
      </w:r>
    </w:p>
    <w:p w14:paraId="73DCA78C" w14:textId="2764E1E0" w:rsidR="00687A6A" w:rsidRPr="00A53AD7" w:rsidRDefault="00687A6A" w:rsidP="00D1355A">
      <w:pPr>
        <w:pStyle w:val="a8"/>
        <w:ind w:left="0" w:firstLine="851"/>
        <w:jc w:val="both"/>
        <w:rPr>
          <w:sz w:val="28"/>
          <w:szCs w:val="28"/>
        </w:rPr>
      </w:pPr>
      <w:r w:rsidRPr="00A53AD7">
        <w:rPr>
          <w:sz w:val="28"/>
          <w:szCs w:val="28"/>
        </w:rPr>
        <w:t xml:space="preserve">По информации Инспекции в рамках мероприятия по организации на территории Архангельской области мероприятий по предупреждению и ликвидации болезней животных (в том числе африканской чумы свиней), их лечению, защите населения от болезней, общих для человека и животных средства направлены учреждениям ветеринарии на приобретение автомобилей в сумме 7,6 млн.руб. (закуплено 11 автомобилей), на приведение скотомогильников (биотермических ям) в соответствие с требованиями ветеринарно-санитарных правил сбора, утилизации и уничтожения биологических отходов в сумме 0,8 млн.руб. (обустроено 8 объектов, при плане 9), на приобретение лабораторного оборудования для учреждений ветеринарии в сумме 2,7 млн.руб., на демонтаж списанных объектов для учреждений ветеринарии в сумме 0,9 млн.руб. </w:t>
      </w:r>
      <w:r w:rsidR="00D1355A" w:rsidRPr="00A53AD7">
        <w:rPr>
          <w:sz w:val="28"/>
          <w:szCs w:val="28"/>
        </w:rPr>
        <w:t>(выполнен демонтаж 6 объектов).</w:t>
      </w:r>
    </w:p>
    <w:p w14:paraId="7314ADB4" w14:textId="77777777" w:rsidR="00687A6A" w:rsidRPr="00A53AD7" w:rsidRDefault="00687A6A" w:rsidP="00D1355A">
      <w:pPr>
        <w:pStyle w:val="a8"/>
        <w:ind w:left="0" w:firstLine="851"/>
        <w:jc w:val="both"/>
        <w:rPr>
          <w:sz w:val="28"/>
          <w:szCs w:val="28"/>
        </w:rPr>
      </w:pPr>
      <w:r w:rsidRPr="00A53AD7">
        <w:rPr>
          <w:sz w:val="28"/>
          <w:szCs w:val="28"/>
        </w:rPr>
        <w:t>Сравнительный анализ показателей 2019 года, принятых в расчетах к бюджету и фактически сложившихся, показал, что не обеспечено выполнение расходов, предусмотренных в сумме 0,6 млн.руб. на курсы повышения квалификации. По информации Инспекции, в связи с повышением цен на автомобили, средства перераспределены на покупку транспортных средств.</w:t>
      </w:r>
    </w:p>
    <w:p w14:paraId="7B58B85D" w14:textId="643A1E66" w:rsidR="00687A6A" w:rsidRPr="00A53AD7" w:rsidRDefault="00687A6A" w:rsidP="00D1355A">
      <w:pPr>
        <w:pStyle w:val="a8"/>
        <w:ind w:left="0" w:firstLine="851"/>
        <w:jc w:val="both"/>
        <w:rPr>
          <w:sz w:val="28"/>
          <w:szCs w:val="28"/>
        </w:rPr>
      </w:pPr>
      <w:r w:rsidRPr="00A53AD7">
        <w:rPr>
          <w:sz w:val="28"/>
          <w:szCs w:val="28"/>
        </w:rPr>
        <w:t>Кассовые расходы учреждений ветеринарии по данному мероприятию по итогам 2019 года составили 11,95 млн.руб., по состоянию на 01.01.2020 остаток целевых средств на счетах учреждений ветеринарии составил 0,3 млн.руб. (ГБУ АО «Вельская райСББЖ»). Согласно пояснений Инспекции остаток субсидии на приведение скотомогильников (биотермических ям) образовался в связи с отсутствием возможности проведения берегоукрепительных работ на реке Елюга в районе деревни Алексинская МО "Хозьминское" Архангельской области из-за высокого уровня воды р. Елюга (берегоукрепительные работы на данном объекте возможно проводить только при низком уровне воды, так как подъезд специализированной техники возможен только по руслу реки).</w:t>
      </w:r>
    </w:p>
    <w:p w14:paraId="1532386F" w14:textId="77777777" w:rsidR="00687A6A" w:rsidRPr="00A53AD7" w:rsidRDefault="00687A6A" w:rsidP="00D1355A">
      <w:pPr>
        <w:pStyle w:val="a8"/>
        <w:ind w:left="0" w:firstLine="851"/>
        <w:jc w:val="both"/>
        <w:rPr>
          <w:sz w:val="28"/>
          <w:szCs w:val="28"/>
        </w:rPr>
      </w:pPr>
      <w:r w:rsidRPr="00A53AD7">
        <w:rPr>
          <w:sz w:val="28"/>
          <w:szCs w:val="28"/>
        </w:rPr>
        <w:t>В целом, расходы по мероприятию «Ремонт и содержание подъездных автомобильных дорог общего пользования местного значения к территориям садоводческих и огороднических некоммерческих товариществ» составили 10,6 млн.руб., в том числе перечислено двум муниципальным образованиям (Вельский, Приморский) субсидий из областного бюджета в сумме 8,2 млн.руб. Бюджетные ассигнования предусмотрены министерству транспорта Архангельской области.</w:t>
      </w:r>
    </w:p>
    <w:p w14:paraId="42ABBB5D" w14:textId="77777777" w:rsidR="00687A6A" w:rsidRPr="00A53AD7" w:rsidRDefault="00687A6A" w:rsidP="00D1355A">
      <w:pPr>
        <w:pStyle w:val="a8"/>
        <w:ind w:left="0" w:firstLine="851"/>
        <w:jc w:val="both"/>
        <w:rPr>
          <w:sz w:val="28"/>
          <w:szCs w:val="28"/>
        </w:rPr>
      </w:pPr>
      <w:r w:rsidRPr="00A53AD7">
        <w:rPr>
          <w:sz w:val="28"/>
          <w:szCs w:val="28"/>
        </w:rPr>
        <w:t xml:space="preserve">На выполнение работ по объекту: «Ремонт подъезда к СНТ "Катунинец" (в сторону АБЗ Приморского филиала ООО "Автодороги" вдоль границ СНТ "Катунинец") заключен муниципальный контракт с ООО «Автодороги», цена контракта 9,7 млн.руб., строительная длина 0,8 км. </w:t>
      </w:r>
    </w:p>
    <w:p w14:paraId="513FABBC" w14:textId="77777777" w:rsidR="00687A6A" w:rsidRPr="00A53AD7" w:rsidRDefault="00687A6A" w:rsidP="00D1355A">
      <w:pPr>
        <w:pStyle w:val="a8"/>
        <w:ind w:left="0" w:firstLine="851"/>
        <w:jc w:val="both"/>
        <w:rPr>
          <w:sz w:val="28"/>
          <w:szCs w:val="28"/>
        </w:rPr>
      </w:pPr>
      <w:r w:rsidRPr="00A53AD7">
        <w:rPr>
          <w:sz w:val="28"/>
          <w:szCs w:val="28"/>
        </w:rPr>
        <w:t>При проверке законности расходовании средств областного бюджета, направленных на реализацию мероприятия, в МО «Приморский муниципальный район», КСП АО установлены нарушения требования ФЗ от 05.04.2013 № 44-ФЗ «О контрактной системе в сфере закупок товаров, работ, услуг для государственных и муниципальных нужд», а также факты ненадлежащего исполнения подрядчиком принятых обязательств (в ненадлежащем состоянии находятся обочины дороги).</w:t>
      </w:r>
    </w:p>
    <w:p w14:paraId="7D7275F4" w14:textId="0D12A22F" w:rsidR="00ED1404" w:rsidRPr="00A53AD7" w:rsidRDefault="00ED1404" w:rsidP="00ED1404">
      <w:pPr>
        <w:pStyle w:val="3"/>
        <w:spacing w:line="240" w:lineRule="auto"/>
        <w:jc w:val="center"/>
        <w:rPr>
          <w:rFonts w:ascii="Times New Roman" w:hAnsi="Times New Roman"/>
          <w:b w:val="0"/>
          <w:sz w:val="28"/>
          <w:szCs w:val="28"/>
          <w:u w:val="single"/>
        </w:rPr>
      </w:pPr>
      <w:bookmarkStart w:id="78" w:name="_Toc42006727"/>
      <w:r w:rsidRPr="00A53AD7">
        <w:rPr>
          <w:rFonts w:ascii="Times New Roman" w:hAnsi="Times New Roman"/>
          <w:b w:val="0"/>
          <w:sz w:val="28"/>
          <w:szCs w:val="28"/>
          <w:u w:val="single"/>
          <w:lang w:val="ru-RU"/>
        </w:rPr>
        <w:t>4</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6</w:t>
      </w:r>
      <w:r w:rsidRPr="00A53AD7">
        <w:rPr>
          <w:rFonts w:ascii="Times New Roman" w:hAnsi="Times New Roman"/>
          <w:b w:val="0"/>
          <w:sz w:val="28"/>
          <w:szCs w:val="28"/>
          <w:u w:val="single"/>
        </w:rPr>
        <w:t>. Государственная программа «Обеспечение качественным, доступным жильем и объектами инженерной инфраструктуры населения Архангельской области»</w:t>
      </w:r>
      <w:bookmarkEnd w:id="78"/>
    </w:p>
    <w:p w14:paraId="3B8DB600" w14:textId="207AB6DB" w:rsidR="008D493D" w:rsidRPr="00A53AD7" w:rsidRDefault="008D493D" w:rsidP="008D493D">
      <w:pPr>
        <w:pStyle w:val="a8"/>
        <w:ind w:left="0" w:firstLine="851"/>
        <w:jc w:val="both"/>
        <w:rPr>
          <w:sz w:val="28"/>
          <w:szCs w:val="28"/>
        </w:rPr>
      </w:pPr>
      <w:r w:rsidRPr="00A53AD7">
        <w:rPr>
          <w:sz w:val="28"/>
          <w:szCs w:val="28"/>
        </w:rPr>
        <w:t>Государственная программа Архангельской области «Обеспечение качественным, доступным жильем и объектами инженерной инфраструктуры населения Архангельской области» утверждена постановлением Правительства Архангельской области от 11.10.2013 № 475-пп (далее – ГП АО № 475-пп).</w:t>
      </w:r>
    </w:p>
    <w:p w14:paraId="468BF4EB" w14:textId="3EBCFFDC" w:rsidR="008D493D" w:rsidRPr="00A53AD7" w:rsidRDefault="008D493D" w:rsidP="008D493D">
      <w:pPr>
        <w:pStyle w:val="a8"/>
        <w:ind w:left="0" w:firstLine="851"/>
        <w:jc w:val="both"/>
        <w:rPr>
          <w:sz w:val="28"/>
          <w:szCs w:val="28"/>
        </w:rPr>
      </w:pPr>
      <w:r w:rsidRPr="00A53AD7">
        <w:rPr>
          <w:sz w:val="28"/>
          <w:szCs w:val="28"/>
        </w:rPr>
        <w:t>Согласно паспорту ГП АО № 475-пп ответственным исполнителем программы является министерство строительства и архитектуры Архангельской области (далее – Минстрой АО).</w:t>
      </w:r>
    </w:p>
    <w:p w14:paraId="023FA9D3" w14:textId="710B69CF" w:rsidR="008D493D" w:rsidRPr="00A53AD7" w:rsidRDefault="008D493D" w:rsidP="008D493D">
      <w:pPr>
        <w:pStyle w:val="a8"/>
        <w:ind w:left="0" w:firstLine="851"/>
        <w:jc w:val="both"/>
        <w:rPr>
          <w:sz w:val="28"/>
          <w:szCs w:val="28"/>
        </w:rPr>
      </w:pPr>
      <w:r w:rsidRPr="00A53AD7">
        <w:rPr>
          <w:sz w:val="28"/>
          <w:szCs w:val="28"/>
        </w:rPr>
        <w:t>По данным отчета о реализации ГП АО № 475-пп за 2019 год, размещенного в КИАС</w:t>
      </w:r>
      <w:r w:rsidR="0032488F" w:rsidRPr="00A53AD7">
        <w:rPr>
          <w:sz w:val="28"/>
          <w:szCs w:val="28"/>
        </w:rPr>
        <w:t xml:space="preserve"> Архангельской области</w:t>
      </w:r>
      <w:r w:rsidRPr="00A53AD7">
        <w:rPr>
          <w:sz w:val="28"/>
          <w:szCs w:val="28"/>
        </w:rPr>
        <w:t xml:space="preserve"> мероприятия программы (в редакции госпрограммы от 21.02.2020 № 87-пп), исполнены следующим образом:</w:t>
      </w:r>
    </w:p>
    <w:tbl>
      <w:tblPr>
        <w:tblW w:w="94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817"/>
        <w:gridCol w:w="5387"/>
        <w:gridCol w:w="869"/>
        <w:gridCol w:w="850"/>
        <w:gridCol w:w="709"/>
        <w:gridCol w:w="816"/>
      </w:tblGrid>
      <w:tr w:rsidR="00A53AD7" w:rsidRPr="00A53AD7" w14:paraId="5DD7A2A6" w14:textId="77777777" w:rsidTr="00A41948">
        <w:trPr>
          <w:trHeight w:hRule="exact" w:val="255"/>
          <w:tblHeader/>
        </w:trPr>
        <w:tc>
          <w:tcPr>
            <w:tcW w:w="817" w:type="dxa"/>
            <w:vMerge w:val="restart"/>
          </w:tcPr>
          <w:p w14:paraId="5F62BDF2"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 мероприятия ГП</w:t>
            </w:r>
          </w:p>
          <w:p w14:paraId="6A1DD2E4" w14:textId="77777777" w:rsidR="008D493D" w:rsidRPr="00A53AD7" w:rsidRDefault="008D493D" w:rsidP="008D493D">
            <w:pPr>
              <w:spacing w:after="0" w:line="240" w:lineRule="auto"/>
              <w:jc w:val="center"/>
              <w:rPr>
                <w:rFonts w:ascii="Times New Roman" w:hAnsi="Times New Roman"/>
                <w:b/>
                <w:sz w:val="20"/>
                <w:szCs w:val="20"/>
              </w:rPr>
            </w:pPr>
          </w:p>
        </w:tc>
        <w:tc>
          <w:tcPr>
            <w:tcW w:w="5387" w:type="dxa"/>
            <w:vMerge w:val="restart"/>
          </w:tcPr>
          <w:p w14:paraId="15306DD7" w14:textId="77DC9216"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Наименование мероприятия</w:t>
            </w:r>
          </w:p>
        </w:tc>
        <w:tc>
          <w:tcPr>
            <w:tcW w:w="3244" w:type="dxa"/>
            <w:gridSpan w:val="4"/>
          </w:tcPr>
          <w:p w14:paraId="7DF291FD"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Объем финансирования, (исполнения) млн. руб.</w:t>
            </w:r>
          </w:p>
        </w:tc>
      </w:tr>
      <w:tr w:rsidR="00A53AD7" w:rsidRPr="00A53AD7" w14:paraId="348595EC" w14:textId="77777777" w:rsidTr="00A41948">
        <w:trPr>
          <w:trHeight w:hRule="exact" w:val="677"/>
          <w:tblHeader/>
        </w:trPr>
        <w:tc>
          <w:tcPr>
            <w:tcW w:w="817" w:type="dxa"/>
            <w:vMerge/>
          </w:tcPr>
          <w:p w14:paraId="3487B15E" w14:textId="77777777" w:rsidR="008D493D" w:rsidRPr="00A53AD7" w:rsidRDefault="008D493D" w:rsidP="008D493D">
            <w:pPr>
              <w:spacing w:after="0" w:line="240" w:lineRule="auto"/>
              <w:jc w:val="center"/>
              <w:rPr>
                <w:rFonts w:ascii="Times New Roman" w:hAnsi="Times New Roman"/>
                <w:b/>
                <w:sz w:val="20"/>
                <w:szCs w:val="20"/>
              </w:rPr>
            </w:pPr>
          </w:p>
        </w:tc>
        <w:tc>
          <w:tcPr>
            <w:tcW w:w="5387" w:type="dxa"/>
            <w:vMerge/>
          </w:tcPr>
          <w:p w14:paraId="54AC2EAD" w14:textId="77777777" w:rsidR="008D493D" w:rsidRPr="00A53AD7" w:rsidRDefault="008D493D" w:rsidP="008D493D">
            <w:pPr>
              <w:spacing w:after="0" w:line="240" w:lineRule="auto"/>
              <w:jc w:val="center"/>
              <w:rPr>
                <w:rFonts w:ascii="Times New Roman" w:hAnsi="Times New Roman"/>
                <w:b/>
                <w:sz w:val="20"/>
                <w:szCs w:val="20"/>
              </w:rPr>
            </w:pPr>
          </w:p>
        </w:tc>
        <w:tc>
          <w:tcPr>
            <w:tcW w:w="869" w:type="dxa"/>
          </w:tcPr>
          <w:p w14:paraId="6C878048"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Всего, </w:t>
            </w:r>
          </w:p>
          <w:p w14:paraId="25513767"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в том числе</w:t>
            </w:r>
          </w:p>
        </w:tc>
        <w:tc>
          <w:tcPr>
            <w:tcW w:w="850" w:type="dxa"/>
          </w:tcPr>
          <w:p w14:paraId="37C73DF7" w14:textId="77777777" w:rsidR="008D493D" w:rsidRPr="00A53AD7" w:rsidRDefault="008D493D" w:rsidP="008D493D">
            <w:pPr>
              <w:spacing w:after="0" w:line="240" w:lineRule="auto"/>
              <w:jc w:val="center"/>
              <w:rPr>
                <w:rFonts w:ascii="Times New Roman" w:hAnsi="Times New Roman"/>
                <w:b/>
                <w:sz w:val="20"/>
                <w:szCs w:val="20"/>
              </w:rPr>
            </w:pPr>
          </w:p>
          <w:p w14:paraId="71A0F482"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ФБ</w:t>
            </w:r>
          </w:p>
        </w:tc>
        <w:tc>
          <w:tcPr>
            <w:tcW w:w="709" w:type="dxa"/>
          </w:tcPr>
          <w:p w14:paraId="46D11FE1" w14:textId="77777777" w:rsidR="008D493D" w:rsidRPr="00A53AD7" w:rsidRDefault="008D493D" w:rsidP="008D493D">
            <w:pPr>
              <w:spacing w:after="0" w:line="240" w:lineRule="auto"/>
              <w:jc w:val="center"/>
              <w:rPr>
                <w:rFonts w:ascii="Times New Roman" w:hAnsi="Times New Roman"/>
                <w:b/>
                <w:sz w:val="20"/>
                <w:szCs w:val="20"/>
              </w:rPr>
            </w:pPr>
          </w:p>
          <w:p w14:paraId="5FC0CFEE"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ОБ</w:t>
            </w:r>
          </w:p>
        </w:tc>
        <w:tc>
          <w:tcPr>
            <w:tcW w:w="816" w:type="dxa"/>
          </w:tcPr>
          <w:p w14:paraId="02F5CB76" w14:textId="77777777" w:rsidR="008D493D" w:rsidRPr="00A53AD7" w:rsidRDefault="008D493D" w:rsidP="008D493D">
            <w:pPr>
              <w:spacing w:after="0" w:line="240" w:lineRule="auto"/>
              <w:jc w:val="center"/>
              <w:rPr>
                <w:rFonts w:ascii="Times New Roman" w:hAnsi="Times New Roman"/>
                <w:b/>
                <w:sz w:val="20"/>
                <w:szCs w:val="20"/>
              </w:rPr>
            </w:pPr>
          </w:p>
          <w:p w14:paraId="2A8B13DC"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МБ</w:t>
            </w:r>
          </w:p>
        </w:tc>
      </w:tr>
      <w:tr w:rsidR="00A53AD7" w:rsidRPr="00A53AD7" w14:paraId="02AE7D8F" w14:textId="77777777" w:rsidTr="0032488F">
        <w:tc>
          <w:tcPr>
            <w:tcW w:w="9448" w:type="dxa"/>
            <w:gridSpan w:val="6"/>
          </w:tcPr>
          <w:p w14:paraId="2A43B61F"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Подпрограмма №1 "Создание условий для обеспечения доступным и комфортным жильем жителей Архангельской области"</w:t>
            </w:r>
          </w:p>
        </w:tc>
      </w:tr>
      <w:tr w:rsidR="00A53AD7" w:rsidRPr="00A53AD7" w14:paraId="02E9AEEE" w14:textId="77777777" w:rsidTr="0032488F">
        <w:tc>
          <w:tcPr>
            <w:tcW w:w="817" w:type="dxa"/>
          </w:tcPr>
          <w:p w14:paraId="7B13968F"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1.2</w:t>
            </w:r>
          </w:p>
        </w:tc>
        <w:tc>
          <w:tcPr>
            <w:tcW w:w="5387" w:type="dxa"/>
          </w:tcPr>
          <w:p w14:paraId="3983F452" w14:textId="77777777" w:rsidR="008D493D" w:rsidRPr="00A53AD7" w:rsidRDefault="008D493D" w:rsidP="0032488F">
            <w:pPr>
              <w:spacing w:after="0" w:line="240" w:lineRule="auto"/>
              <w:rPr>
                <w:rFonts w:ascii="Times New Roman" w:hAnsi="Times New Roman"/>
                <w:sz w:val="20"/>
                <w:szCs w:val="20"/>
              </w:rPr>
            </w:pPr>
            <w:r w:rsidRPr="00A53AD7">
              <w:rPr>
                <w:rFonts w:ascii="Times New Roman" w:hAnsi="Times New Roman"/>
                <w:sz w:val="20"/>
                <w:szCs w:val="20"/>
              </w:rPr>
              <w:t xml:space="preserve"> Предоставление доступного и комфортного жилья 60 процентам семей, проживающих в Архангельской области и желающих улучшить свои жилищные условия, включая граждан - членов жилищно-строительных кооперативов, и ветеранам Великой Отечественной войны (строительство и приобретение жилья, в том числе для использования в качестве маневренного жилищного фонда, и объектов инженерной инфраструктуры), план </w:t>
            </w:r>
          </w:p>
        </w:tc>
        <w:tc>
          <w:tcPr>
            <w:tcW w:w="869" w:type="dxa"/>
          </w:tcPr>
          <w:p w14:paraId="1640CED3" w14:textId="77777777" w:rsidR="008D493D" w:rsidRPr="00A53AD7" w:rsidRDefault="008D493D" w:rsidP="008D493D">
            <w:pPr>
              <w:spacing w:after="0" w:line="240" w:lineRule="auto"/>
              <w:jc w:val="center"/>
              <w:rPr>
                <w:rFonts w:ascii="Times New Roman" w:hAnsi="Times New Roman"/>
                <w:sz w:val="20"/>
                <w:szCs w:val="20"/>
              </w:rPr>
            </w:pPr>
          </w:p>
          <w:p w14:paraId="4F4B30BF" w14:textId="77777777" w:rsidR="008D493D" w:rsidRPr="00A53AD7" w:rsidRDefault="008D493D" w:rsidP="008D493D">
            <w:pPr>
              <w:spacing w:after="0" w:line="240" w:lineRule="auto"/>
              <w:jc w:val="center"/>
              <w:rPr>
                <w:rFonts w:ascii="Times New Roman" w:hAnsi="Times New Roman"/>
                <w:sz w:val="20"/>
                <w:szCs w:val="20"/>
              </w:rPr>
            </w:pPr>
          </w:p>
          <w:p w14:paraId="1299DCCA" w14:textId="77777777" w:rsidR="008D493D" w:rsidRPr="00A53AD7" w:rsidRDefault="008D493D" w:rsidP="008D493D">
            <w:pPr>
              <w:spacing w:after="0" w:line="240" w:lineRule="auto"/>
              <w:jc w:val="center"/>
              <w:rPr>
                <w:rFonts w:ascii="Times New Roman" w:hAnsi="Times New Roman"/>
                <w:sz w:val="20"/>
                <w:szCs w:val="20"/>
              </w:rPr>
            </w:pPr>
          </w:p>
          <w:p w14:paraId="33B7FD36" w14:textId="77777777" w:rsidR="008D493D" w:rsidRPr="00A53AD7" w:rsidRDefault="008D493D" w:rsidP="008D493D">
            <w:pPr>
              <w:spacing w:after="0" w:line="240" w:lineRule="auto"/>
              <w:jc w:val="center"/>
              <w:rPr>
                <w:rFonts w:ascii="Times New Roman" w:hAnsi="Times New Roman"/>
                <w:sz w:val="20"/>
                <w:szCs w:val="20"/>
              </w:rPr>
            </w:pPr>
          </w:p>
          <w:p w14:paraId="3479D390" w14:textId="77777777" w:rsidR="008D493D" w:rsidRPr="00A53AD7" w:rsidRDefault="008D493D" w:rsidP="008D493D">
            <w:pPr>
              <w:spacing w:after="0" w:line="240" w:lineRule="auto"/>
              <w:jc w:val="center"/>
              <w:rPr>
                <w:rFonts w:ascii="Times New Roman" w:hAnsi="Times New Roman"/>
                <w:sz w:val="20"/>
                <w:szCs w:val="20"/>
              </w:rPr>
            </w:pPr>
          </w:p>
          <w:p w14:paraId="40B61813" w14:textId="77777777" w:rsidR="008D493D" w:rsidRPr="00A53AD7" w:rsidRDefault="008D493D" w:rsidP="008D493D">
            <w:pPr>
              <w:spacing w:after="0" w:line="240" w:lineRule="auto"/>
              <w:jc w:val="center"/>
              <w:rPr>
                <w:rFonts w:ascii="Times New Roman" w:hAnsi="Times New Roman"/>
                <w:sz w:val="20"/>
                <w:szCs w:val="20"/>
              </w:rPr>
            </w:pPr>
          </w:p>
          <w:p w14:paraId="24C665C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688,0</w:t>
            </w:r>
          </w:p>
        </w:tc>
        <w:tc>
          <w:tcPr>
            <w:tcW w:w="850" w:type="dxa"/>
          </w:tcPr>
          <w:p w14:paraId="6A3C153B" w14:textId="77777777" w:rsidR="008D493D" w:rsidRPr="00A53AD7" w:rsidRDefault="008D493D" w:rsidP="008D493D">
            <w:pPr>
              <w:spacing w:after="0" w:line="240" w:lineRule="auto"/>
              <w:jc w:val="center"/>
              <w:rPr>
                <w:rFonts w:ascii="Times New Roman" w:hAnsi="Times New Roman"/>
                <w:sz w:val="20"/>
                <w:szCs w:val="20"/>
              </w:rPr>
            </w:pPr>
          </w:p>
          <w:p w14:paraId="1E075546" w14:textId="77777777" w:rsidR="008D493D" w:rsidRPr="00A53AD7" w:rsidRDefault="008D493D" w:rsidP="008D493D">
            <w:pPr>
              <w:spacing w:after="0" w:line="240" w:lineRule="auto"/>
              <w:jc w:val="center"/>
              <w:rPr>
                <w:rFonts w:ascii="Times New Roman" w:hAnsi="Times New Roman"/>
                <w:sz w:val="20"/>
                <w:szCs w:val="20"/>
              </w:rPr>
            </w:pPr>
          </w:p>
          <w:p w14:paraId="1A5F13EE" w14:textId="77777777" w:rsidR="008D493D" w:rsidRPr="00A53AD7" w:rsidRDefault="008D493D" w:rsidP="008D493D">
            <w:pPr>
              <w:spacing w:after="0" w:line="240" w:lineRule="auto"/>
              <w:jc w:val="center"/>
              <w:rPr>
                <w:rFonts w:ascii="Times New Roman" w:hAnsi="Times New Roman"/>
                <w:sz w:val="20"/>
                <w:szCs w:val="20"/>
              </w:rPr>
            </w:pPr>
          </w:p>
          <w:p w14:paraId="4C8C5F76" w14:textId="77777777" w:rsidR="008D493D" w:rsidRPr="00A53AD7" w:rsidRDefault="008D493D" w:rsidP="008D493D">
            <w:pPr>
              <w:spacing w:after="0" w:line="240" w:lineRule="auto"/>
              <w:jc w:val="center"/>
              <w:rPr>
                <w:rFonts w:ascii="Times New Roman" w:hAnsi="Times New Roman"/>
                <w:sz w:val="20"/>
                <w:szCs w:val="20"/>
              </w:rPr>
            </w:pPr>
          </w:p>
          <w:p w14:paraId="40370F14" w14:textId="77777777" w:rsidR="008D493D" w:rsidRPr="00A53AD7" w:rsidRDefault="008D493D" w:rsidP="008D493D">
            <w:pPr>
              <w:spacing w:after="0" w:line="240" w:lineRule="auto"/>
              <w:jc w:val="center"/>
              <w:rPr>
                <w:rFonts w:ascii="Times New Roman" w:hAnsi="Times New Roman"/>
                <w:sz w:val="20"/>
                <w:szCs w:val="20"/>
              </w:rPr>
            </w:pPr>
          </w:p>
          <w:p w14:paraId="1B4A4A9C" w14:textId="77777777" w:rsidR="008D493D" w:rsidRPr="00A53AD7" w:rsidRDefault="008D493D" w:rsidP="008D493D">
            <w:pPr>
              <w:spacing w:after="0" w:line="240" w:lineRule="auto"/>
              <w:jc w:val="center"/>
              <w:rPr>
                <w:rFonts w:ascii="Times New Roman" w:hAnsi="Times New Roman"/>
                <w:sz w:val="20"/>
                <w:szCs w:val="20"/>
              </w:rPr>
            </w:pPr>
          </w:p>
          <w:p w14:paraId="0C1CFC1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529,4</w:t>
            </w:r>
          </w:p>
        </w:tc>
        <w:tc>
          <w:tcPr>
            <w:tcW w:w="709" w:type="dxa"/>
          </w:tcPr>
          <w:p w14:paraId="4EFEF742" w14:textId="77777777" w:rsidR="008D493D" w:rsidRPr="00A53AD7" w:rsidRDefault="008D493D" w:rsidP="008D493D">
            <w:pPr>
              <w:spacing w:after="0" w:line="240" w:lineRule="auto"/>
              <w:jc w:val="center"/>
              <w:rPr>
                <w:rFonts w:ascii="Times New Roman" w:hAnsi="Times New Roman"/>
                <w:sz w:val="20"/>
                <w:szCs w:val="20"/>
              </w:rPr>
            </w:pPr>
          </w:p>
          <w:p w14:paraId="26608C13" w14:textId="77777777" w:rsidR="008D493D" w:rsidRPr="00A53AD7" w:rsidRDefault="008D493D" w:rsidP="008D493D">
            <w:pPr>
              <w:spacing w:after="0" w:line="240" w:lineRule="auto"/>
              <w:jc w:val="center"/>
              <w:rPr>
                <w:rFonts w:ascii="Times New Roman" w:hAnsi="Times New Roman"/>
                <w:sz w:val="20"/>
                <w:szCs w:val="20"/>
              </w:rPr>
            </w:pPr>
          </w:p>
          <w:p w14:paraId="60EA7A5C" w14:textId="77777777" w:rsidR="008D493D" w:rsidRPr="00A53AD7" w:rsidRDefault="008D493D" w:rsidP="008D493D">
            <w:pPr>
              <w:spacing w:after="0" w:line="240" w:lineRule="auto"/>
              <w:jc w:val="center"/>
              <w:rPr>
                <w:rFonts w:ascii="Times New Roman" w:hAnsi="Times New Roman"/>
                <w:sz w:val="20"/>
                <w:szCs w:val="20"/>
              </w:rPr>
            </w:pPr>
          </w:p>
          <w:p w14:paraId="1E6503E0" w14:textId="77777777" w:rsidR="008D493D" w:rsidRPr="00A53AD7" w:rsidRDefault="008D493D" w:rsidP="008D493D">
            <w:pPr>
              <w:spacing w:after="0" w:line="240" w:lineRule="auto"/>
              <w:jc w:val="center"/>
              <w:rPr>
                <w:rFonts w:ascii="Times New Roman" w:hAnsi="Times New Roman"/>
                <w:sz w:val="20"/>
                <w:szCs w:val="20"/>
              </w:rPr>
            </w:pPr>
          </w:p>
          <w:p w14:paraId="245263CC" w14:textId="77777777" w:rsidR="008D493D" w:rsidRPr="00A53AD7" w:rsidRDefault="008D493D" w:rsidP="008D493D">
            <w:pPr>
              <w:spacing w:after="0" w:line="240" w:lineRule="auto"/>
              <w:jc w:val="center"/>
              <w:rPr>
                <w:rFonts w:ascii="Times New Roman" w:hAnsi="Times New Roman"/>
                <w:sz w:val="20"/>
                <w:szCs w:val="20"/>
              </w:rPr>
            </w:pPr>
          </w:p>
          <w:p w14:paraId="07CB3E2A" w14:textId="77777777" w:rsidR="008D493D" w:rsidRPr="00A53AD7" w:rsidRDefault="008D493D" w:rsidP="008D493D">
            <w:pPr>
              <w:spacing w:after="0" w:line="240" w:lineRule="auto"/>
              <w:jc w:val="center"/>
              <w:rPr>
                <w:rFonts w:ascii="Times New Roman" w:hAnsi="Times New Roman"/>
                <w:sz w:val="20"/>
                <w:szCs w:val="20"/>
              </w:rPr>
            </w:pPr>
          </w:p>
          <w:p w14:paraId="1B1C757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158,0</w:t>
            </w:r>
          </w:p>
        </w:tc>
        <w:tc>
          <w:tcPr>
            <w:tcW w:w="816" w:type="dxa"/>
          </w:tcPr>
          <w:p w14:paraId="2DD28C5A" w14:textId="77777777" w:rsidR="008D493D" w:rsidRPr="00A53AD7" w:rsidRDefault="008D493D" w:rsidP="008D493D">
            <w:pPr>
              <w:spacing w:after="0" w:line="240" w:lineRule="auto"/>
              <w:jc w:val="center"/>
              <w:rPr>
                <w:rFonts w:ascii="Times New Roman" w:hAnsi="Times New Roman"/>
                <w:sz w:val="20"/>
                <w:szCs w:val="20"/>
              </w:rPr>
            </w:pPr>
          </w:p>
          <w:p w14:paraId="015F2ECB" w14:textId="77777777" w:rsidR="008D493D" w:rsidRPr="00A53AD7" w:rsidRDefault="008D493D" w:rsidP="008D493D">
            <w:pPr>
              <w:spacing w:after="0" w:line="240" w:lineRule="auto"/>
              <w:jc w:val="center"/>
              <w:rPr>
                <w:rFonts w:ascii="Times New Roman" w:hAnsi="Times New Roman"/>
                <w:sz w:val="20"/>
                <w:szCs w:val="20"/>
              </w:rPr>
            </w:pPr>
          </w:p>
          <w:p w14:paraId="3B92C9E9" w14:textId="77777777" w:rsidR="008D493D" w:rsidRPr="00A53AD7" w:rsidRDefault="008D493D" w:rsidP="008D493D">
            <w:pPr>
              <w:spacing w:after="0" w:line="240" w:lineRule="auto"/>
              <w:jc w:val="center"/>
              <w:rPr>
                <w:rFonts w:ascii="Times New Roman" w:hAnsi="Times New Roman"/>
                <w:sz w:val="20"/>
                <w:szCs w:val="20"/>
              </w:rPr>
            </w:pPr>
          </w:p>
          <w:p w14:paraId="0958B0E9" w14:textId="77777777" w:rsidR="008D493D" w:rsidRPr="00A53AD7" w:rsidRDefault="008D493D" w:rsidP="008D493D">
            <w:pPr>
              <w:spacing w:after="0" w:line="240" w:lineRule="auto"/>
              <w:jc w:val="center"/>
              <w:rPr>
                <w:rFonts w:ascii="Times New Roman" w:hAnsi="Times New Roman"/>
                <w:sz w:val="20"/>
                <w:szCs w:val="20"/>
              </w:rPr>
            </w:pPr>
          </w:p>
          <w:p w14:paraId="2A87A19A" w14:textId="77777777" w:rsidR="008D493D" w:rsidRPr="00A53AD7" w:rsidRDefault="008D493D" w:rsidP="008D493D">
            <w:pPr>
              <w:spacing w:after="0" w:line="240" w:lineRule="auto"/>
              <w:jc w:val="center"/>
              <w:rPr>
                <w:rFonts w:ascii="Times New Roman" w:hAnsi="Times New Roman"/>
                <w:sz w:val="20"/>
                <w:szCs w:val="20"/>
              </w:rPr>
            </w:pPr>
          </w:p>
          <w:p w14:paraId="304F6B4F" w14:textId="77777777" w:rsidR="008D493D" w:rsidRPr="00A53AD7" w:rsidRDefault="008D493D" w:rsidP="008D493D">
            <w:pPr>
              <w:spacing w:after="0" w:line="240" w:lineRule="auto"/>
              <w:jc w:val="center"/>
              <w:rPr>
                <w:rFonts w:ascii="Times New Roman" w:hAnsi="Times New Roman"/>
                <w:sz w:val="20"/>
                <w:szCs w:val="20"/>
              </w:rPr>
            </w:pPr>
          </w:p>
          <w:p w14:paraId="71D491C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0,6</w:t>
            </w:r>
          </w:p>
        </w:tc>
      </w:tr>
      <w:tr w:rsidR="00A53AD7" w:rsidRPr="00A53AD7" w14:paraId="4C0A0699" w14:textId="77777777" w:rsidTr="0032488F">
        <w:tc>
          <w:tcPr>
            <w:tcW w:w="817" w:type="dxa"/>
            <w:vMerge w:val="restart"/>
            <w:shd w:val="clear" w:color="auto" w:fill="F2F2F2"/>
          </w:tcPr>
          <w:p w14:paraId="59E88AF2"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49273F61" w14:textId="43658B6E" w:rsidR="008D493D" w:rsidRPr="00A53AD7" w:rsidRDefault="00374BE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Исполнение:</w:t>
            </w:r>
          </w:p>
        </w:tc>
        <w:tc>
          <w:tcPr>
            <w:tcW w:w="869" w:type="dxa"/>
            <w:shd w:val="clear" w:color="auto" w:fill="F2F2F2"/>
          </w:tcPr>
          <w:p w14:paraId="01B7587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610,9</w:t>
            </w:r>
          </w:p>
        </w:tc>
        <w:tc>
          <w:tcPr>
            <w:tcW w:w="850" w:type="dxa"/>
            <w:shd w:val="clear" w:color="auto" w:fill="F2F2F2"/>
          </w:tcPr>
          <w:p w14:paraId="71C87F4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506,4</w:t>
            </w:r>
          </w:p>
        </w:tc>
        <w:tc>
          <w:tcPr>
            <w:tcW w:w="709" w:type="dxa"/>
            <w:shd w:val="clear" w:color="auto" w:fill="F2F2F2"/>
          </w:tcPr>
          <w:p w14:paraId="33C6ADC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103,9</w:t>
            </w:r>
          </w:p>
        </w:tc>
        <w:tc>
          <w:tcPr>
            <w:tcW w:w="816" w:type="dxa"/>
            <w:shd w:val="clear" w:color="auto" w:fill="F2F2F2"/>
          </w:tcPr>
          <w:p w14:paraId="680612B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0,6</w:t>
            </w:r>
          </w:p>
        </w:tc>
      </w:tr>
      <w:tr w:rsidR="00A53AD7" w:rsidRPr="00A53AD7" w14:paraId="208E20CE" w14:textId="77777777" w:rsidTr="0032488F">
        <w:trPr>
          <w:trHeight w:val="282"/>
        </w:trPr>
        <w:tc>
          <w:tcPr>
            <w:tcW w:w="817" w:type="dxa"/>
            <w:vMerge/>
            <w:shd w:val="clear" w:color="auto" w:fill="F2F2F2"/>
          </w:tcPr>
          <w:p w14:paraId="37ABF3EC"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5AB9847E"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5A5322A7" w14:textId="0918D4D8" w:rsidR="008D493D" w:rsidRPr="00A53AD7" w:rsidRDefault="008D493D" w:rsidP="0032488F">
            <w:pPr>
              <w:spacing w:after="0" w:line="240" w:lineRule="auto"/>
              <w:jc w:val="center"/>
              <w:rPr>
                <w:rFonts w:ascii="Times New Roman" w:hAnsi="Times New Roman"/>
                <w:sz w:val="18"/>
                <w:szCs w:val="18"/>
              </w:rPr>
            </w:pPr>
            <w:r w:rsidRPr="00A53AD7">
              <w:rPr>
                <w:rFonts w:ascii="Times New Roman" w:hAnsi="Times New Roman"/>
                <w:sz w:val="18"/>
                <w:szCs w:val="18"/>
              </w:rPr>
              <w:t>88,8%</w:t>
            </w:r>
          </w:p>
        </w:tc>
        <w:tc>
          <w:tcPr>
            <w:tcW w:w="850" w:type="dxa"/>
            <w:shd w:val="clear" w:color="auto" w:fill="F2F2F2"/>
          </w:tcPr>
          <w:p w14:paraId="42654C7D"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95,7%</w:t>
            </w:r>
          </w:p>
        </w:tc>
        <w:tc>
          <w:tcPr>
            <w:tcW w:w="709" w:type="dxa"/>
            <w:shd w:val="clear" w:color="auto" w:fill="F2F2F2"/>
          </w:tcPr>
          <w:p w14:paraId="43343FDC"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65,8%</w:t>
            </w:r>
          </w:p>
        </w:tc>
        <w:tc>
          <w:tcPr>
            <w:tcW w:w="816" w:type="dxa"/>
            <w:shd w:val="clear" w:color="auto" w:fill="F2F2F2"/>
          </w:tcPr>
          <w:p w14:paraId="4682BCB4"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r>
      <w:tr w:rsidR="00A53AD7" w:rsidRPr="00A53AD7" w14:paraId="7DFC3672" w14:textId="77777777" w:rsidTr="006A436F">
        <w:trPr>
          <w:trHeight w:val="413"/>
        </w:trPr>
        <w:tc>
          <w:tcPr>
            <w:tcW w:w="817" w:type="dxa"/>
          </w:tcPr>
          <w:p w14:paraId="078D4965"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1.3</w:t>
            </w:r>
          </w:p>
        </w:tc>
        <w:tc>
          <w:tcPr>
            <w:tcW w:w="5387" w:type="dxa"/>
          </w:tcPr>
          <w:p w14:paraId="524550E7"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 Обеспечение жильем отдельных категорий граждан, в том числе установленных законодательством РФ</w:t>
            </w:r>
          </w:p>
        </w:tc>
        <w:tc>
          <w:tcPr>
            <w:tcW w:w="869" w:type="dxa"/>
          </w:tcPr>
          <w:p w14:paraId="483D8403" w14:textId="77777777" w:rsidR="008D493D" w:rsidRPr="00A53AD7" w:rsidRDefault="008D493D" w:rsidP="008D493D">
            <w:pPr>
              <w:spacing w:after="0" w:line="240" w:lineRule="auto"/>
              <w:jc w:val="center"/>
              <w:rPr>
                <w:rFonts w:ascii="Times New Roman" w:hAnsi="Times New Roman"/>
                <w:sz w:val="20"/>
                <w:szCs w:val="20"/>
              </w:rPr>
            </w:pPr>
          </w:p>
          <w:p w14:paraId="7AFE359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118,6</w:t>
            </w:r>
          </w:p>
        </w:tc>
        <w:tc>
          <w:tcPr>
            <w:tcW w:w="850" w:type="dxa"/>
          </w:tcPr>
          <w:p w14:paraId="055BAFAA" w14:textId="77777777" w:rsidR="008D493D" w:rsidRPr="00A53AD7" w:rsidRDefault="008D493D" w:rsidP="008D493D">
            <w:pPr>
              <w:spacing w:after="0" w:line="240" w:lineRule="auto"/>
              <w:jc w:val="center"/>
              <w:rPr>
                <w:rFonts w:ascii="Times New Roman" w:hAnsi="Times New Roman"/>
                <w:sz w:val="20"/>
                <w:szCs w:val="20"/>
              </w:rPr>
            </w:pPr>
          </w:p>
          <w:p w14:paraId="296EC85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118,6</w:t>
            </w:r>
          </w:p>
        </w:tc>
        <w:tc>
          <w:tcPr>
            <w:tcW w:w="709" w:type="dxa"/>
          </w:tcPr>
          <w:p w14:paraId="1A080181" w14:textId="77777777" w:rsidR="008D493D" w:rsidRPr="00A53AD7" w:rsidRDefault="008D493D" w:rsidP="008D493D">
            <w:pPr>
              <w:spacing w:after="0" w:line="240" w:lineRule="auto"/>
              <w:jc w:val="center"/>
              <w:rPr>
                <w:rFonts w:ascii="Times New Roman" w:hAnsi="Times New Roman"/>
                <w:sz w:val="20"/>
                <w:szCs w:val="20"/>
              </w:rPr>
            </w:pPr>
          </w:p>
          <w:p w14:paraId="402E742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16" w:type="dxa"/>
          </w:tcPr>
          <w:p w14:paraId="512BB2AC" w14:textId="77777777" w:rsidR="008D493D" w:rsidRPr="00A53AD7" w:rsidRDefault="008D493D" w:rsidP="008D493D">
            <w:pPr>
              <w:spacing w:after="0" w:line="240" w:lineRule="auto"/>
              <w:jc w:val="center"/>
              <w:rPr>
                <w:rFonts w:ascii="Times New Roman" w:hAnsi="Times New Roman"/>
                <w:sz w:val="20"/>
                <w:szCs w:val="20"/>
              </w:rPr>
            </w:pPr>
          </w:p>
          <w:p w14:paraId="14723F8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30A18AA5" w14:textId="77777777" w:rsidTr="0032488F">
        <w:tc>
          <w:tcPr>
            <w:tcW w:w="817" w:type="dxa"/>
            <w:vMerge w:val="restart"/>
            <w:shd w:val="clear" w:color="auto" w:fill="F2F2F2"/>
          </w:tcPr>
          <w:p w14:paraId="4FC19EC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51F56A19" w14:textId="66D32DC1" w:rsidR="008D493D" w:rsidRPr="00A53AD7" w:rsidRDefault="00374BE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Исполнение:</w:t>
            </w:r>
          </w:p>
        </w:tc>
        <w:tc>
          <w:tcPr>
            <w:tcW w:w="869" w:type="dxa"/>
            <w:shd w:val="clear" w:color="auto" w:fill="F2F2F2"/>
          </w:tcPr>
          <w:p w14:paraId="4EF41C3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117,6</w:t>
            </w:r>
          </w:p>
        </w:tc>
        <w:tc>
          <w:tcPr>
            <w:tcW w:w="850" w:type="dxa"/>
            <w:shd w:val="clear" w:color="auto" w:fill="F2F2F2"/>
          </w:tcPr>
          <w:p w14:paraId="05EA7F3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117,6</w:t>
            </w:r>
          </w:p>
        </w:tc>
        <w:tc>
          <w:tcPr>
            <w:tcW w:w="709" w:type="dxa"/>
            <w:shd w:val="clear" w:color="auto" w:fill="F2F2F2"/>
          </w:tcPr>
          <w:p w14:paraId="101EF45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16" w:type="dxa"/>
            <w:shd w:val="clear" w:color="auto" w:fill="F2F2F2"/>
          </w:tcPr>
          <w:p w14:paraId="0E8F75A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17DD4D6F" w14:textId="77777777" w:rsidTr="0032488F">
        <w:tc>
          <w:tcPr>
            <w:tcW w:w="817" w:type="dxa"/>
            <w:vMerge/>
            <w:shd w:val="clear" w:color="auto" w:fill="F2F2F2"/>
          </w:tcPr>
          <w:p w14:paraId="4050A2E6"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70862BEA"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1A7E157D" w14:textId="69BABFCC"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99,2%</w:t>
            </w:r>
          </w:p>
        </w:tc>
        <w:tc>
          <w:tcPr>
            <w:tcW w:w="850" w:type="dxa"/>
            <w:shd w:val="clear" w:color="auto" w:fill="F2F2F2"/>
          </w:tcPr>
          <w:p w14:paraId="720B0DDC"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99,2%</w:t>
            </w:r>
          </w:p>
        </w:tc>
        <w:tc>
          <w:tcPr>
            <w:tcW w:w="709" w:type="dxa"/>
            <w:shd w:val="clear" w:color="auto" w:fill="F2F2F2"/>
          </w:tcPr>
          <w:p w14:paraId="2D1FACA1"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816" w:type="dxa"/>
            <w:shd w:val="clear" w:color="auto" w:fill="F2F2F2"/>
          </w:tcPr>
          <w:p w14:paraId="332E7222"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57259C3F" w14:textId="77777777" w:rsidTr="0032488F">
        <w:tc>
          <w:tcPr>
            <w:tcW w:w="817" w:type="dxa"/>
          </w:tcPr>
          <w:p w14:paraId="1FF04EF4"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1.7</w:t>
            </w:r>
          </w:p>
        </w:tc>
        <w:tc>
          <w:tcPr>
            <w:tcW w:w="5387" w:type="dxa"/>
          </w:tcPr>
          <w:p w14:paraId="61119FE2"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Комплексное освоение территории VI - VII микрорайонов с целью развития жилищного строительства в г. Архангельске (в рамках реализации ФП "Жилье" НП "Жилье и городская среда»)</w:t>
            </w:r>
          </w:p>
        </w:tc>
        <w:tc>
          <w:tcPr>
            <w:tcW w:w="869" w:type="dxa"/>
          </w:tcPr>
          <w:p w14:paraId="7C2F989C" w14:textId="77777777" w:rsidR="008D493D" w:rsidRPr="00A53AD7" w:rsidRDefault="008D493D" w:rsidP="008D493D">
            <w:pPr>
              <w:spacing w:after="0" w:line="240" w:lineRule="auto"/>
              <w:jc w:val="center"/>
              <w:rPr>
                <w:rFonts w:ascii="Times New Roman" w:hAnsi="Times New Roman"/>
                <w:sz w:val="20"/>
                <w:szCs w:val="20"/>
              </w:rPr>
            </w:pPr>
          </w:p>
          <w:p w14:paraId="48FE8E02" w14:textId="77777777" w:rsidR="008D493D" w:rsidRPr="00A53AD7" w:rsidRDefault="008D493D" w:rsidP="008D493D">
            <w:pPr>
              <w:spacing w:after="0" w:line="240" w:lineRule="auto"/>
              <w:jc w:val="center"/>
              <w:rPr>
                <w:rFonts w:ascii="Times New Roman" w:hAnsi="Times New Roman"/>
                <w:sz w:val="20"/>
                <w:szCs w:val="20"/>
              </w:rPr>
            </w:pPr>
          </w:p>
          <w:p w14:paraId="689ACDF2" w14:textId="77777777" w:rsidR="008D493D" w:rsidRPr="00A53AD7" w:rsidRDefault="008D493D" w:rsidP="008D493D">
            <w:pPr>
              <w:spacing w:after="0" w:line="240" w:lineRule="auto"/>
              <w:jc w:val="center"/>
              <w:rPr>
                <w:rFonts w:ascii="Times New Roman" w:hAnsi="Times New Roman"/>
                <w:sz w:val="20"/>
                <w:szCs w:val="20"/>
              </w:rPr>
            </w:pPr>
          </w:p>
          <w:p w14:paraId="15DBBA5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150,4</w:t>
            </w:r>
          </w:p>
        </w:tc>
        <w:tc>
          <w:tcPr>
            <w:tcW w:w="850" w:type="dxa"/>
          </w:tcPr>
          <w:p w14:paraId="29889E5B" w14:textId="77777777" w:rsidR="008D493D" w:rsidRPr="00A53AD7" w:rsidRDefault="008D493D" w:rsidP="008D493D">
            <w:pPr>
              <w:spacing w:after="0" w:line="240" w:lineRule="auto"/>
              <w:jc w:val="center"/>
              <w:rPr>
                <w:rFonts w:ascii="Times New Roman" w:hAnsi="Times New Roman"/>
                <w:sz w:val="20"/>
                <w:szCs w:val="20"/>
              </w:rPr>
            </w:pPr>
          </w:p>
          <w:p w14:paraId="792FE179" w14:textId="77777777" w:rsidR="008D493D" w:rsidRPr="00A53AD7" w:rsidRDefault="008D493D" w:rsidP="008D493D">
            <w:pPr>
              <w:spacing w:after="0" w:line="240" w:lineRule="auto"/>
              <w:jc w:val="center"/>
              <w:rPr>
                <w:rFonts w:ascii="Times New Roman" w:hAnsi="Times New Roman"/>
                <w:sz w:val="20"/>
                <w:szCs w:val="20"/>
              </w:rPr>
            </w:pPr>
          </w:p>
          <w:p w14:paraId="3CE9C5AF" w14:textId="77777777" w:rsidR="008D493D" w:rsidRPr="00A53AD7" w:rsidRDefault="008D493D" w:rsidP="008D493D">
            <w:pPr>
              <w:spacing w:after="0" w:line="240" w:lineRule="auto"/>
              <w:jc w:val="center"/>
              <w:rPr>
                <w:rFonts w:ascii="Times New Roman" w:hAnsi="Times New Roman"/>
                <w:sz w:val="20"/>
                <w:szCs w:val="20"/>
              </w:rPr>
            </w:pPr>
          </w:p>
          <w:p w14:paraId="6F51A59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109,0</w:t>
            </w:r>
          </w:p>
        </w:tc>
        <w:tc>
          <w:tcPr>
            <w:tcW w:w="709" w:type="dxa"/>
          </w:tcPr>
          <w:p w14:paraId="2A4B461D" w14:textId="77777777" w:rsidR="008D493D" w:rsidRPr="00A53AD7" w:rsidRDefault="008D493D" w:rsidP="008D493D">
            <w:pPr>
              <w:spacing w:after="0" w:line="240" w:lineRule="auto"/>
              <w:jc w:val="center"/>
              <w:rPr>
                <w:rFonts w:ascii="Times New Roman" w:hAnsi="Times New Roman"/>
                <w:sz w:val="20"/>
                <w:szCs w:val="20"/>
              </w:rPr>
            </w:pPr>
          </w:p>
          <w:p w14:paraId="24CD8481" w14:textId="77777777" w:rsidR="008D493D" w:rsidRPr="00A53AD7" w:rsidRDefault="008D493D" w:rsidP="008D493D">
            <w:pPr>
              <w:spacing w:after="0" w:line="240" w:lineRule="auto"/>
              <w:jc w:val="center"/>
              <w:rPr>
                <w:rFonts w:ascii="Times New Roman" w:hAnsi="Times New Roman"/>
                <w:sz w:val="20"/>
                <w:szCs w:val="20"/>
              </w:rPr>
            </w:pPr>
          </w:p>
          <w:p w14:paraId="7B6104A7" w14:textId="77777777" w:rsidR="008D493D" w:rsidRPr="00A53AD7" w:rsidRDefault="008D493D" w:rsidP="008D493D">
            <w:pPr>
              <w:spacing w:after="0" w:line="240" w:lineRule="auto"/>
              <w:jc w:val="center"/>
              <w:rPr>
                <w:rFonts w:ascii="Times New Roman" w:hAnsi="Times New Roman"/>
                <w:sz w:val="20"/>
                <w:szCs w:val="20"/>
              </w:rPr>
            </w:pPr>
          </w:p>
          <w:p w14:paraId="53FC78E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41,2</w:t>
            </w:r>
          </w:p>
        </w:tc>
        <w:tc>
          <w:tcPr>
            <w:tcW w:w="816" w:type="dxa"/>
          </w:tcPr>
          <w:p w14:paraId="17B7D220" w14:textId="77777777" w:rsidR="008D493D" w:rsidRPr="00A53AD7" w:rsidRDefault="008D493D" w:rsidP="008D493D">
            <w:pPr>
              <w:spacing w:after="0" w:line="240" w:lineRule="auto"/>
              <w:jc w:val="center"/>
              <w:rPr>
                <w:rFonts w:ascii="Times New Roman" w:hAnsi="Times New Roman"/>
                <w:sz w:val="20"/>
                <w:szCs w:val="20"/>
              </w:rPr>
            </w:pPr>
          </w:p>
          <w:p w14:paraId="0204C7AE" w14:textId="77777777" w:rsidR="008D493D" w:rsidRPr="00A53AD7" w:rsidRDefault="008D493D" w:rsidP="008D493D">
            <w:pPr>
              <w:spacing w:after="0" w:line="240" w:lineRule="auto"/>
              <w:jc w:val="center"/>
              <w:rPr>
                <w:rFonts w:ascii="Times New Roman" w:hAnsi="Times New Roman"/>
                <w:sz w:val="20"/>
                <w:szCs w:val="20"/>
              </w:rPr>
            </w:pPr>
          </w:p>
          <w:p w14:paraId="0C6D1E94" w14:textId="77777777" w:rsidR="008D493D" w:rsidRPr="00A53AD7" w:rsidRDefault="008D493D" w:rsidP="008D493D">
            <w:pPr>
              <w:spacing w:after="0" w:line="240" w:lineRule="auto"/>
              <w:jc w:val="center"/>
              <w:rPr>
                <w:rFonts w:ascii="Times New Roman" w:hAnsi="Times New Roman"/>
                <w:sz w:val="20"/>
                <w:szCs w:val="20"/>
              </w:rPr>
            </w:pPr>
          </w:p>
          <w:p w14:paraId="513AC85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0,2</w:t>
            </w:r>
          </w:p>
        </w:tc>
      </w:tr>
      <w:tr w:rsidR="00A53AD7" w:rsidRPr="00A53AD7" w14:paraId="6C607B1A" w14:textId="77777777" w:rsidTr="0032488F">
        <w:tc>
          <w:tcPr>
            <w:tcW w:w="817" w:type="dxa"/>
            <w:vMerge w:val="restart"/>
            <w:shd w:val="clear" w:color="auto" w:fill="F2F2F2"/>
          </w:tcPr>
          <w:p w14:paraId="58E81333"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5A355E19" w14:textId="67777C36" w:rsidR="008D493D" w:rsidRPr="00A53AD7" w:rsidRDefault="00374BE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Исполнение:</w:t>
            </w:r>
          </w:p>
        </w:tc>
        <w:tc>
          <w:tcPr>
            <w:tcW w:w="869" w:type="dxa"/>
            <w:shd w:val="clear" w:color="auto" w:fill="F2F2F2"/>
          </w:tcPr>
          <w:p w14:paraId="4C67C55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124,2</w:t>
            </w:r>
          </w:p>
        </w:tc>
        <w:tc>
          <w:tcPr>
            <w:tcW w:w="850" w:type="dxa"/>
            <w:shd w:val="clear" w:color="auto" w:fill="F2F2F2"/>
          </w:tcPr>
          <w:p w14:paraId="440B6A4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88,9</w:t>
            </w:r>
          </w:p>
        </w:tc>
        <w:tc>
          <w:tcPr>
            <w:tcW w:w="709" w:type="dxa"/>
            <w:shd w:val="clear" w:color="auto" w:fill="F2F2F2"/>
          </w:tcPr>
          <w:p w14:paraId="04F942C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35,0</w:t>
            </w:r>
          </w:p>
        </w:tc>
        <w:tc>
          <w:tcPr>
            <w:tcW w:w="816" w:type="dxa"/>
            <w:shd w:val="clear" w:color="auto" w:fill="F2F2F2"/>
          </w:tcPr>
          <w:p w14:paraId="698347A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0,2</w:t>
            </w:r>
          </w:p>
        </w:tc>
      </w:tr>
      <w:tr w:rsidR="00A53AD7" w:rsidRPr="00A53AD7" w14:paraId="0B526FCA" w14:textId="77777777" w:rsidTr="0032488F">
        <w:tc>
          <w:tcPr>
            <w:tcW w:w="817" w:type="dxa"/>
            <w:vMerge/>
            <w:shd w:val="clear" w:color="auto" w:fill="F2F2F2"/>
          </w:tcPr>
          <w:p w14:paraId="4C5F7F71"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06A8FA94"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1BA1C228"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82,6%</w:t>
            </w:r>
          </w:p>
        </w:tc>
        <w:tc>
          <w:tcPr>
            <w:tcW w:w="850" w:type="dxa"/>
            <w:shd w:val="clear" w:color="auto" w:fill="F2F2F2"/>
          </w:tcPr>
          <w:p w14:paraId="27A22976"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81,6%</w:t>
            </w:r>
          </w:p>
        </w:tc>
        <w:tc>
          <w:tcPr>
            <w:tcW w:w="709" w:type="dxa"/>
            <w:shd w:val="clear" w:color="auto" w:fill="F2F2F2"/>
          </w:tcPr>
          <w:p w14:paraId="131D5ECC"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85,0%</w:t>
            </w:r>
          </w:p>
        </w:tc>
        <w:tc>
          <w:tcPr>
            <w:tcW w:w="816" w:type="dxa"/>
            <w:shd w:val="clear" w:color="auto" w:fill="F2F2F2"/>
          </w:tcPr>
          <w:p w14:paraId="3C3D00BF" w14:textId="3C5CEA26"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100%</w:t>
            </w:r>
          </w:p>
        </w:tc>
      </w:tr>
      <w:tr w:rsidR="00A53AD7" w:rsidRPr="00A53AD7" w14:paraId="56546AE2" w14:textId="77777777" w:rsidTr="0032488F">
        <w:tc>
          <w:tcPr>
            <w:tcW w:w="817" w:type="dxa"/>
          </w:tcPr>
          <w:p w14:paraId="74974809"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1.8</w:t>
            </w:r>
          </w:p>
        </w:tc>
        <w:tc>
          <w:tcPr>
            <w:tcW w:w="5387" w:type="dxa"/>
          </w:tcPr>
          <w:p w14:paraId="6AB36F30"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проверки экономической целесообразности реконструкции или капитального ремонта многоквартирного дома (части дома), в котором проживает инвалид, в целях приспособления жилого помещения инвалида и (или) общего имущества в многоквартирном доме, в котором проживает инвалид, с учетом потребностей инвалида и обеспечения условий их доступности для инвалида</w:t>
            </w:r>
          </w:p>
        </w:tc>
        <w:tc>
          <w:tcPr>
            <w:tcW w:w="869" w:type="dxa"/>
          </w:tcPr>
          <w:p w14:paraId="00BD7043" w14:textId="77777777" w:rsidR="008D493D" w:rsidRPr="00A53AD7" w:rsidRDefault="008D493D" w:rsidP="008D493D">
            <w:pPr>
              <w:spacing w:after="0" w:line="240" w:lineRule="auto"/>
              <w:jc w:val="center"/>
              <w:rPr>
                <w:rFonts w:ascii="Times New Roman" w:hAnsi="Times New Roman"/>
                <w:sz w:val="20"/>
                <w:szCs w:val="20"/>
              </w:rPr>
            </w:pPr>
          </w:p>
          <w:p w14:paraId="7E887C6C" w14:textId="77777777" w:rsidR="008D493D" w:rsidRPr="00A53AD7" w:rsidRDefault="008D493D" w:rsidP="008D493D">
            <w:pPr>
              <w:spacing w:after="0" w:line="240" w:lineRule="auto"/>
              <w:jc w:val="center"/>
              <w:rPr>
                <w:rFonts w:ascii="Times New Roman" w:hAnsi="Times New Roman"/>
                <w:sz w:val="20"/>
                <w:szCs w:val="20"/>
              </w:rPr>
            </w:pPr>
          </w:p>
          <w:p w14:paraId="551A4361" w14:textId="77777777" w:rsidR="008D493D" w:rsidRPr="00A53AD7" w:rsidRDefault="008D493D" w:rsidP="008D493D">
            <w:pPr>
              <w:spacing w:after="0" w:line="240" w:lineRule="auto"/>
              <w:jc w:val="center"/>
              <w:rPr>
                <w:rFonts w:ascii="Times New Roman" w:hAnsi="Times New Roman"/>
                <w:sz w:val="20"/>
                <w:szCs w:val="20"/>
              </w:rPr>
            </w:pPr>
          </w:p>
          <w:p w14:paraId="6B97C743" w14:textId="77777777" w:rsidR="008D493D" w:rsidRPr="00A53AD7" w:rsidRDefault="008D493D" w:rsidP="008D493D">
            <w:pPr>
              <w:spacing w:after="0" w:line="240" w:lineRule="auto"/>
              <w:jc w:val="center"/>
              <w:rPr>
                <w:rFonts w:ascii="Times New Roman" w:hAnsi="Times New Roman"/>
                <w:sz w:val="20"/>
                <w:szCs w:val="20"/>
              </w:rPr>
            </w:pPr>
          </w:p>
          <w:p w14:paraId="38C44C2D" w14:textId="77777777" w:rsidR="008D493D" w:rsidRPr="00A53AD7" w:rsidRDefault="008D493D" w:rsidP="008D493D">
            <w:pPr>
              <w:spacing w:after="0" w:line="240" w:lineRule="auto"/>
              <w:jc w:val="center"/>
              <w:rPr>
                <w:rFonts w:ascii="Times New Roman" w:hAnsi="Times New Roman"/>
                <w:sz w:val="20"/>
                <w:szCs w:val="20"/>
              </w:rPr>
            </w:pPr>
          </w:p>
          <w:p w14:paraId="5DAB377B" w14:textId="77777777" w:rsidR="008D493D" w:rsidRPr="00A53AD7" w:rsidRDefault="008D493D" w:rsidP="008D493D">
            <w:pPr>
              <w:spacing w:after="0" w:line="240" w:lineRule="auto"/>
              <w:jc w:val="center"/>
              <w:rPr>
                <w:rFonts w:ascii="Times New Roman" w:hAnsi="Times New Roman"/>
                <w:sz w:val="20"/>
                <w:szCs w:val="20"/>
              </w:rPr>
            </w:pPr>
          </w:p>
          <w:p w14:paraId="0C7C616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0,7</w:t>
            </w:r>
          </w:p>
        </w:tc>
        <w:tc>
          <w:tcPr>
            <w:tcW w:w="850" w:type="dxa"/>
          </w:tcPr>
          <w:p w14:paraId="1AB229C1" w14:textId="77777777" w:rsidR="008D493D" w:rsidRPr="00A53AD7" w:rsidRDefault="008D493D" w:rsidP="008D493D">
            <w:pPr>
              <w:spacing w:after="0" w:line="240" w:lineRule="auto"/>
              <w:jc w:val="center"/>
              <w:rPr>
                <w:rFonts w:ascii="Times New Roman" w:hAnsi="Times New Roman"/>
                <w:sz w:val="20"/>
                <w:szCs w:val="20"/>
              </w:rPr>
            </w:pPr>
          </w:p>
          <w:p w14:paraId="3FF88976" w14:textId="77777777" w:rsidR="008D493D" w:rsidRPr="00A53AD7" w:rsidRDefault="008D493D" w:rsidP="008D493D">
            <w:pPr>
              <w:spacing w:after="0" w:line="240" w:lineRule="auto"/>
              <w:jc w:val="center"/>
              <w:rPr>
                <w:rFonts w:ascii="Times New Roman" w:hAnsi="Times New Roman"/>
                <w:sz w:val="20"/>
                <w:szCs w:val="20"/>
              </w:rPr>
            </w:pPr>
          </w:p>
          <w:p w14:paraId="3CBE3E1F" w14:textId="77777777" w:rsidR="008D493D" w:rsidRPr="00A53AD7" w:rsidRDefault="008D493D" w:rsidP="008D493D">
            <w:pPr>
              <w:spacing w:after="0" w:line="240" w:lineRule="auto"/>
              <w:jc w:val="center"/>
              <w:rPr>
                <w:rFonts w:ascii="Times New Roman" w:hAnsi="Times New Roman"/>
                <w:sz w:val="20"/>
                <w:szCs w:val="20"/>
              </w:rPr>
            </w:pPr>
          </w:p>
          <w:p w14:paraId="69620553" w14:textId="77777777" w:rsidR="008D493D" w:rsidRPr="00A53AD7" w:rsidRDefault="008D493D" w:rsidP="008D493D">
            <w:pPr>
              <w:spacing w:after="0" w:line="240" w:lineRule="auto"/>
              <w:jc w:val="center"/>
              <w:rPr>
                <w:rFonts w:ascii="Times New Roman" w:hAnsi="Times New Roman"/>
                <w:sz w:val="20"/>
                <w:szCs w:val="20"/>
              </w:rPr>
            </w:pPr>
          </w:p>
          <w:p w14:paraId="707327BA" w14:textId="77777777" w:rsidR="008D493D" w:rsidRPr="00A53AD7" w:rsidRDefault="008D493D" w:rsidP="008D493D">
            <w:pPr>
              <w:spacing w:after="0" w:line="240" w:lineRule="auto"/>
              <w:jc w:val="center"/>
              <w:rPr>
                <w:rFonts w:ascii="Times New Roman" w:hAnsi="Times New Roman"/>
                <w:sz w:val="20"/>
                <w:szCs w:val="20"/>
              </w:rPr>
            </w:pPr>
          </w:p>
          <w:p w14:paraId="0CC7FDF7" w14:textId="77777777" w:rsidR="008D493D" w:rsidRPr="00A53AD7" w:rsidRDefault="008D493D" w:rsidP="008D493D">
            <w:pPr>
              <w:spacing w:after="0" w:line="240" w:lineRule="auto"/>
              <w:jc w:val="center"/>
              <w:rPr>
                <w:rFonts w:ascii="Times New Roman" w:hAnsi="Times New Roman"/>
                <w:sz w:val="20"/>
                <w:szCs w:val="20"/>
              </w:rPr>
            </w:pPr>
          </w:p>
          <w:p w14:paraId="6F6695B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4D8A7508" w14:textId="77777777" w:rsidR="008D493D" w:rsidRPr="00A53AD7" w:rsidRDefault="008D493D" w:rsidP="008D493D">
            <w:pPr>
              <w:spacing w:after="0" w:line="240" w:lineRule="auto"/>
              <w:jc w:val="center"/>
              <w:rPr>
                <w:rFonts w:ascii="Times New Roman" w:hAnsi="Times New Roman"/>
                <w:sz w:val="20"/>
                <w:szCs w:val="20"/>
              </w:rPr>
            </w:pPr>
          </w:p>
          <w:p w14:paraId="53B88EF1" w14:textId="77777777" w:rsidR="008D493D" w:rsidRPr="00A53AD7" w:rsidRDefault="008D493D" w:rsidP="008D493D">
            <w:pPr>
              <w:spacing w:after="0" w:line="240" w:lineRule="auto"/>
              <w:jc w:val="center"/>
              <w:rPr>
                <w:rFonts w:ascii="Times New Roman" w:hAnsi="Times New Roman"/>
                <w:sz w:val="20"/>
                <w:szCs w:val="20"/>
              </w:rPr>
            </w:pPr>
          </w:p>
          <w:p w14:paraId="6A50A7FD" w14:textId="77777777" w:rsidR="008D493D" w:rsidRPr="00A53AD7" w:rsidRDefault="008D493D" w:rsidP="008D493D">
            <w:pPr>
              <w:spacing w:after="0" w:line="240" w:lineRule="auto"/>
              <w:jc w:val="center"/>
              <w:rPr>
                <w:rFonts w:ascii="Times New Roman" w:hAnsi="Times New Roman"/>
                <w:sz w:val="20"/>
                <w:szCs w:val="20"/>
              </w:rPr>
            </w:pPr>
          </w:p>
          <w:p w14:paraId="33497917" w14:textId="77777777" w:rsidR="008D493D" w:rsidRPr="00A53AD7" w:rsidRDefault="008D493D" w:rsidP="008D493D">
            <w:pPr>
              <w:spacing w:after="0" w:line="240" w:lineRule="auto"/>
              <w:jc w:val="center"/>
              <w:rPr>
                <w:rFonts w:ascii="Times New Roman" w:hAnsi="Times New Roman"/>
                <w:sz w:val="20"/>
                <w:szCs w:val="20"/>
              </w:rPr>
            </w:pPr>
          </w:p>
          <w:p w14:paraId="24B73B94" w14:textId="77777777" w:rsidR="008D493D" w:rsidRPr="00A53AD7" w:rsidRDefault="008D493D" w:rsidP="008D493D">
            <w:pPr>
              <w:spacing w:after="0" w:line="240" w:lineRule="auto"/>
              <w:jc w:val="center"/>
              <w:rPr>
                <w:rFonts w:ascii="Times New Roman" w:hAnsi="Times New Roman"/>
                <w:sz w:val="20"/>
                <w:szCs w:val="20"/>
              </w:rPr>
            </w:pPr>
          </w:p>
          <w:p w14:paraId="2475568A" w14:textId="77777777" w:rsidR="008D493D" w:rsidRPr="00A53AD7" w:rsidRDefault="008D493D" w:rsidP="008D493D">
            <w:pPr>
              <w:spacing w:after="0" w:line="240" w:lineRule="auto"/>
              <w:jc w:val="center"/>
              <w:rPr>
                <w:rFonts w:ascii="Times New Roman" w:hAnsi="Times New Roman"/>
                <w:sz w:val="20"/>
                <w:szCs w:val="20"/>
              </w:rPr>
            </w:pPr>
          </w:p>
          <w:p w14:paraId="4485A15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0,7</w:t>
            </w:r>
          </w:p>
        </w:tc>
        <w:tc>
          <w:tcPr>
            <w:tcW w:w="816" w:type="dxa"/>
          </w:tcPr>
          <w:p w14:paraId="558B125E" w14:textId="77777777" w:rsidR="008D493D" w:rsidRPr="00A53AD7" w:rsidRDefault="008D493D" w:rsidP="008D493D">
            <w:pPr>
              <w:spacing w:after="0" w:line="240" w:lineRule="auto"/>
              <w:jc w:val="center"/>
              <w:rPr>
                <w:rFonts w:ascii="Times New Roman" w:hAnsi="Times New Roman"/>
                <w:sz w:val="20"/>
                <w:szCs w:val="20"/>
              </w:rPr>
            </w:pPr>
          </w:p>
          <w:p w14:paraId="534C8DD8" w14:textId="77777777" w:rsidR="008D493D" w:rsidRPr="00A53AD7" w:rsidRDefault="008D493D" w:rsidP="008D493D">
            <w:pPr>
              <w:spacing w:after="0" w:line="240" w:lineRule="auto"/>
              <w:jc w:val="center"/>
              <w:rPr>
                <w:rFonts w:ascii="Times New Roman" w:hAnsi="Times New Roman"/>
                <w:sz w:val="20"/>
                <w:szCs w:val="20"/>
              </w:rPr>
            </w:pPr>
          </w:p>
          <w:p w14:paraId="3AEA6E50" w14:textId="77777777" w:rsidR="008D493D" w:rsidRPr="00A53AD7" w:rsidRDefault="008D493D" w:rsidP="008D493D">
            <w:pPr>
              <w:spacing w:after="0" w:line="240" w:lineRule="auto"/>
              <w:jc w:val="center"/>
              <w:rPr>
                <w:rFonts w:ascii="Times New Roman" w:hAnsi="Times New Roman"/>
                <w:sz w:val="20"/>
                <w:szCs w:val="20"/>
              </w:rPr>
            </w:pPr>
          </w:p>
          <w:p w14:paraId="4E96BA8B" w14:textId="77777777" w:rsidR="008D493D" w:rsidRPr="00A53AD7" w:rsidRDefault="008D493D" w:rsidP="008D493D">
            <w:pPr>
              <w:spacing w:after="0" w:line="240" w:lineRule="auto"/>
              <w:jc w:val="center"/>
              <w:rPr>
                <w:rFonts w:ascii="Times New Roman" w:hAnsi="Times New Roman"/>
                <w:sz w:val="20"/>
                <w:szCs w:val="20"/>
              </w:rPr>
            </w:pPr>
          </w:p>
          <w:p w14:paraId="077F4B47" w14:textId="77777777" w:rsidR="008D493D" w:rsidRPr="00A53AD7" w:rsidRDefault="008D493D" w:rsidP="008D493D">
            <w:pPr>
              <w:spacing w:after="0" w:line="240" w:lineRule="auto"/>
              <w:jc w:val="center"/>
              <w:rPr>
                <w:rFonts w:ascii="Times New Roman" w:hAnsi="Times New Roman"/>
                <w:sz w:val="20"/>
                <w:szCs w:val="20"/>
              </w:rPr>
            </w:pPr>
          </w:p>
          <w:p w14:paraId="3977A208" w14:textId="77777777" w:rsidR="008D493D" w:rsidRPr="00A53AD7" w:rsidRDefault="008D493D" w:rsidP="008D493D">
            <w:pPr>
              <w:spacing w:after="0" w:line="240" w:lineRule="auto"/>
              <w:jc w:val="center"/>
              <w:rPr>
                <w:rFonts w:ascii="Times New Roman" w:hAnsi="Times New Roman"/>
                <w:sz w:val="20"/>
                <w:szCs w:val="20"/>
              </w:rPr>
            </w:pPr>
          </w:p>
          <w:p w14:paraId="3D8FF26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1ECEC6A9" w14:textId="77777777" w:rsidTr="0032488F">
        <w:tc>
          <w:tcPr>
            <w:tcW w:w="817" w:type="dxa"/>
            <w:vMerge w:val="restart"/>
            <w:shd w:val="clear" w:color="auto" w:fill="F2F2F2"/>
          </w:tcPr>
          <w:p w14:paraId="7F9542C7"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1C2FD4F7" w14:textId="06EA4B83" w:rsidR="008D493D" w:rsidRPr="00A53AD7" w:rsidRDefault="00374BE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Исполнение:</w:t>
            </w:r>
          </w:p>
        </w:tc>
        <w:tc>
          <w:tcPr>
            <w:tcW w:w="869" w:type="dxa"/>
            <w:shd w:val="clear" w:color="auto" w:fill="F2F2F2"/>
          </w:tcPr>
          <w:p w14:paraId="7209C73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0,5</w:t>
            </w:r>
          </w:p>
        </w:tc>
        <w:tc>
          <w:tcPr>
            <w:tcW w:w="850" w:type="dxa"/>
            <w:shd w:val="clear" w:color="auto" w:fill="F2F2F2"/>
          </w:tcPr>
          <w:p w14:paraId="7C2B9D3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303BD92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0,5</w:t>
            </w:r>
          </w:p>
        </w:tc>
        <w:tc>
          <w:tcPr>
            <w:tcW w:w="816" w:type="dxa"/>
            <w:shd w:val="clear" w:color="auto" w:fill="F2F2F2"/>
          </w:tcPr>
          <w:p w14:paraId="03062BE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174AE0E1" w14:textId="77777777" w:rsidTr="0032488F">
        <w:tc>
          <w:tcPr>
            <w:tcW w:w="817" w:type="dxa"/>
            <w:vMerge/>
            <w:shd w:val="clear" w:color="auto" w:fill="F2F2F2"/>
          </w:tcPr>
          <w:p w14:paraId="7DA80C66"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32F08F14"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51ADCD01"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75,7%</w:t>
            </w:r>
          </w:p>
        </w:tc>
        <w:tc>
          <w:tcPr>
            <w:tcW w:w="850" w:type="dxa"/>
            <w:shd w:val="clear" w:color="auto" w:fill="F2F2F2"/>
          </w:tcPr>
          <w:p w14:paraId="139E77EE"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416BB3C3"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75,7%</w:t>
            </w:r>
          </w:p>
        </w:tc>
        <w:tc>
          <w:tcPr>
            <w:tcW w:w="816" w:type="dxa"/>
            <w:shd w:val="clear" w:color="auto" w:fill="F2F2F2"/>
          </w:tcPr>
          <w:p w14:paraId="24C0E62C" w14:textId="538F8301"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49F0D753" w14:textId="77777777" w:rsidTr="0032488F">
        <w:tc>
          <w:tcPr>
            <w:tcW w:w="817" w:type="dxa"/>
          </w:tcPr>
          <w:p w14:paraId="2EA1E8BD"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1.9</w:t>
            </w:r>
          </w:p>
        </w:tc>
        <w:tc>
          <w:tcPr>
            <w:tcW w:w="5387" w:type="dxa"/>
          </w:tcPr>
          <w:p w14:paraId="146A5BB3"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Комплексное освоение территории 7 и 10 кварталов Южного района с целью развития жилищного строительства в г. Котласе (в рамках реализации федерального проекта "Жилье" национального проекта "Жилье и городская среда")</w:t>
            </w:r>
          </w:p>
        </w:tc>
        <w:tc>
          <w:tcPr>
            <w:tcW w:w="869" w:type="dxa"/>
          </w:tcPr>
          <w:p w14:paraId="4F4CAEFA" w14:textId="77777777" w:rsidR="008D493D" w:rsidRPr="00A53AD7" w:rsidRDefault="008D493D" w:rsidP="008D493D">
            <w:pPr>
              <w:spacing w:after="0" w:line="240" w:lineRule="auto"/>
              <w:jc w:val="center"/>
              <w:rPr>
                <w:rFonts w:ascii="Times New Roman" w:hAnsi="Times New Roman"/>
                <w:sz w:val="20"/>
                <w:szCs w:val="20"/>
              </w:rPr>
            </w:pPr>
          </w:p>
          <w:p w14:paraId="4BE19B90" w14:textId="77777777" w:rsidR="008D493D" w:rsidRPr="00A53AD7" w:rsidRDefault="008D493D" w:rsidP="008D493D">
            <w:pPr>
              <w:spacing w:after="0" w:line="240" w:lineRule="auto"/>
              <w:jc w:val="center"/>
              <w:rPr>
                <w:rFonts w:ascii="Times New Roman" w:hAnsi="Times New Roman"/>
                <w:sz w:val="20"/>
                <w:szCs w:val="20"/>
              </w:rPr>
            </w:pPr>
          </w:p>
          <w:p w14:paraId="2919CEFC" w14:textId="77777777" w:rsidR="008D493D" w:rsidRPr="00A53AD7" w:rsidRDefault="008D493D" w:rsidP="008D493D">
            <w:pPr>
              <w:spacing w:after="0" w:line="240" w:lineRule="auto"/>
              <w:jc w:val="center"/>
              <w:rPr>
                <w:rFonts w:ascii="Times New Roman" w:hAnsi="Times New Roman"/>
                <w:sz w:val="20"/>
                <w:szCs w:val="20"/>
              </w:rPr>
            </w:pPr>
          </w:p>
          <w:p w14:paraId="5E26740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101,8</w:t>
            </w:r>
          </w:p>
        </w:tc>
        <w:tc>
          <w:tcPr>
            <w:tcW w:w="850" w:type="dxa"/>
          </w:tcPr>
          <w:p w14:paraId="043F4D7A" w14:textId="77777777" w:rsidR="008D493D" w:rsidRPr="00A53AD7" w:rsidRDefault="008D493D" w:rsidP="008D493D">
            <w:pPr>
              <w:spacing w:after="0" w:line="240" w:lineRule="auto"/>
              <w:jc w:val="center"/>
              <w:rPr>
                <w:rFonts w:ascii="Times New Roman" w:hAnsi="Times New Roman"/>
                <w:sz w:val="20"/>
                <w:szCs w:val="20"/>
              </w:rPr>
            </w:pPr>
          </w:p>
          <w:p w14:paraId="0B8BF5A0" w14:textId="77777777" w:rsidR="008D493D" w:rsidRPr="00A53AD7" w:rsidRDefault="008D493D" w:rsidP="008D493D">
            <w:pPr>
              <w:spacing w:after="0" w:line="240" w:lineRule="auto"/>
              <w:jc w:val="center"/>
              <w:rPr>
                <w:rFonts w:ascii="Times New Roman" w:hAnsi="Times New Roman"/>
                <w:sz w:val="20"/>
                <w:szCs w:val="20"/>
              </w:rPr>
            </w:pPr>
          </w:p>
          <w:p w14:paraId="135AA65D" w14:textId="77777777" w:rsidR="008D493D" w:rsidRPr="00A53AD7" w:rsidRDefault="008D493D" w:rsidP="008D493D">
            <w:pPr>
              <w:spacing w:after="0" w:line="240" w:lineRule="auto"/>
              <w:jc w:val="center"/>
              <w:rPr>
                <w:rFonts w:ascii="Times New Roman" w:hAnsi="Times New Roman"/>
                <w:sz w:val="20"/>
                <w:szCs w:val="20"/>
              </w:rPr>
            </w:pPr>
          </w:p>
          <w:p w14:paraId="17ACE9D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91,5</w:t>
            </w:r>
          </w:p>
        </w:tc>
        <w:tc>
          <w:tcPr>
            <w:tcW w:w="709" w:type="dxa"/>
          </w:tcPr>
          <w:p w14:paraId="5F93D5D0" w14:textId="77777777" w:rsidR="008D493D" w:rsidRPr="00A53AD7" w:rsidRDefault="008D493D" w:rsidP="008D493D">
            <w:pPr>
              <w:spacing w:after="0" w:line="240" w:lineRule="auto"/>
              <w:jc w:val="center"/>
              <w:rPr>
                <w:rFonts w:ascii="Times New Roman" w:hAnsi="Times New Roman"/>
                <w:sz w:val="20"/>
                <w:szCs w:val="20"/>
              </w:rPr>
            </w:pPr>
          </w:p>
          <w:p w14:paraId="457E7E4E" w14:textId="77777777" w:rsidR="008D493D" w:rsidRPr="00A53AD7" w:rsidRDefault="008D493D" w:rsidP="008D493D">
            <w:pPr>
              <w:spacing w:after="0" w:line="240" w:lineRule="auto"/>
              <w:jc w:val="center"/>
              <w:rPr>
                <w:rFonts w:ascii="Times New Roman" w:hAnsi="Times New Roman"/>
                <w:sz w:val="20"/>
                <w:szCs w:val="20"/>
              </w:rPr>
            </w:pPr>
          </w:p>
          <w:p w14:paraId="20C045D6" w14:textId="77777777" w:rsidR="008D493D" w:rsidRPr="00A53AD7" w:rsidRDefault="008D493D" w:rsidP="008D493D">
            <w:pPr>
              <w:spacing w:after="0" w:line="240" w:lineRule="auto"/>
              <w:jc w:val="center"/>
              <w:rPr>
                <w:rFonts w:ascii="Times New Roman" w:hAnsi="Times New Roman"/>
                <w:sz w:val="20"/>
                <w:szCs w:val="20"/>
              </w:rPr>
            </w:pPr>
          </w:p>
          <w:p w14:paraId="0B43F1D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10,2</w:t>
            </w:r>
          </w:p>
        </w:tc>
        <w:tc>
          <w:tcPr>
            <w:tcW w:w="816" w:type="dxa"/>
          </w:tcPr>
          <w:p w14:paraId="48A2A44B" w14:textId="77777777" w:rsidR="008D493D" w:rsidRPr="00A53AD7" w:rsidRDefault="008D493D" w:rsidP="008D493D">
            <w:pPr>
              <w:spacing w:after="0" w:line="240" w:lineRule="auto"/>
              <w:jc w:val="center"/>
              <w:rPr>
                <w:rFonts w:ascii="Times New Roman" w:hAnsi="Times New Roman"/>
                <w:sz w:val="20"/>
                <w:szCs w:val="20"/>
              </w:rPr>
            </w:pPr>
          </w:p>
          <w:p w14:paraId="2285B880" w14:textId="77777777" w:rsidR="008D493D" w:rsidRPr="00A53AD7" w:rsidRDefault="008D493D" w:rsidP="008D493D">
            <w:pPr>
              <w:spacing w:after="0" w:line="240" w:lineRule="auto"/>
              <w:jc w:val="center"/>
              <w:rPr>
                <w:rFonts w:ascii="Times New Roman" w:hAnsi="Times New Roman"/>
                <w:sz w:val="20"/>
                <w:szCs w:val="20"/>
              </w:rPr>
            </w:pPr>
          </w:p>
          <w:p w14:paraId="7F03C583" w14:textId="77777777" w:rsidR="008D493D" w:rsidRPr="00A53AD7" w:rsidRDefault="008D493D" w:rsidP="008D493D">
            <w:pPr>
              <w:spacing w:after="0" w:line="240" w:lineRule="auto"/>
              <w:jc w:val="center"/>
              <w:rPr>
                <w:rFonts w:ascii="Times New Roman" w:hAnsi="Times New Roman"/>
                <w:sz w:val="20"/>
                <w:szCs w:val="20"/>
              </w:rPr>
            </w:pPr>
          </w:p>
          <w:p w14:paraId="4EBD299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0,1</w:t>
            </w:r>
          </w:p>
        </w:tc>
      </w:tr>
      <w:tr w:rsidR="00A53AD7" w:rsidRPr="00A53AD7" w14:paraId="1ED954B4" w14:textId="77777777" w:rsidTr="0032488F">
        <w:tc>
          <w:tcPr>
            <w:tcW w:w="817" w:type="dxa"/>
            <w:vMerge w:val="restart"/>
            <w:shd w:val="clear" w:color="auto" w:fill="F2F2F2"/>
          </w:tcPr>
          <w:p w14:paraId="37816CB6"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7B34489F" w14:textId="20A8CBDD" w:rsidR="008D493D" w:rsidRPr="00A53AD7" w:rsidRDefault="00374BE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Исполнение:</w:t>
            </w:r>
          </w:p>
        </w:tc>
        <w:tc>
          <w:tcPr>
            <w:tcW w:w="869" w:type="dxa"/>
            <w:shd w:val="clear" w:color="auto" w:fill="F2F2F2"/>
          </w:tcPr>
          <w:p w14:paraId="1FD2F90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101,8</w:t>
            </w:r>
          </w:p>
        </w:tc>
        <w:tc>
          <w:tcPr>
            <w:tcW w:w="850" w:type="dxa"/>
            <w:shd w:val="clear" w:color="auto" w:fill="F2F2F2"/>
          </w:tcPr>
          <w:p w14:paraId="7BA8E97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91,5</w:t>
            </w:r>
          </w:p>
        </w:tc>
        <w:tc>
          <w:tcPr>
            <w:tcW w:w="709" w:type="dxa"/>
            <w:shd w:val="clear" w:color="auto" w:fill="F2F2F2"/>
          </w:tcPr>
          <w:p w14:paraId="1A109B1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10,2</w:t>
            </w:r>
          </w:p>
        </w:tc>
        <w:tc>
          <w:tcPr>
            <w:tcW w:w="816" w:type="dxa"/>
            <w:shd w:val="clear" w:color="auto" w:fill="F2F2F2"/>
          </w:tcPr>
          <w:p w14:paraId="0A19E7A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0,1</w:t>
            </w:r>
          </w:p>
        </w:tc>
      </w:tr>
      <w:tr w:rsidR="00A53AD7" w:rsidRPr="00A53AD7" w14:paraId="7EBA0914" w14:textId="77777777" w:rsidTr="0032488F">
        <w:tc>
          <w:tcPr>
            <w:tcW w:w="817" w:type="dxa"/>
            <w:vMerge/>
            <w:shd w:val="clear" w:color="auto" w:fill="F2F2F2"/>
          </w:tcPr>
          <w:p w14:paraId="12933F1B"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35E8ADC0"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3A5E6868"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52D82676" w14:textId="77777777" w:rsidR="008D493D" w:rsidRPr="00A53AD7" w:rsidRDefault="008D493D" w:rsidP="008D493D">
            <w:pPr>
              <w:spacing w:after="0" w:line="240" w:lineRule="auto"/>
            </w:pPr>
            <w:r w:rsidRPr="00A53AD7">
              <w:rPr>
                <w:rFonts w:ascii="Times New Roman" w:hAnsi="Times New Roman"/>
                <w:sz w:val="18"/>
                <w:szCs w:val="18"/>
              </w:rPr>
              <w:t>100%</w:t>
            </w:r>
          </w:p>
        </w:tc>
        <w:tc>
          <w:tcPr>
            <w:tcW w:w="709" w:type="dxa"/>
            <w:shd w:val="clear" w:color="auto" w:fill="F2F2F2"/>
          </w:tcPr>
          <w:p w14:paraId="49485E0D" w14:textId="77777777" w:rsidR="008D493D" w:rsidRPr="00A53AD7" w:rsidRDefault="008D493D" w:rsidP="008D493D">
            <w:pPr>
              <w:spacing w:after="0" w:line="240" w:lineRule="auto"/>
            </w:pPr>
            <w:r w:rsidRPr="00A53AD7">
              <w:rPr>
                <w:rFonts w:ascii="Times New Roman" w:hAnsi="Times New Roman"/>
                <w:sz w:val="18"/>
                <w:szCs w:val="18"/>
              </w:rPr>
              <w:t>100%</w:t>
            </w:r>
          </w:p>
        </w:tc>
        <w:tc>
          <w:tcPr>
            <w:tcW w:w="816" w:type="dxa"/>
            <w:shd w:val="clear" w:color="auto" w:fill="F2F2F2"/>
          </w:tcPr>
          <w:p w14:paraId="38A3CB46" w14:textId="43A196FA" w:rsidR="008D493D" w:rsidRPr="00A53AD7" w:rsidRDefault="008D493D" w:rsidP="006A436F">
            <w:pPr>
              <w:spacing w:after="0" w:line="240" w:lineRule="auto"/>
            </w:pPr>
            <w:r w:rsidRPr="00A53AD7">
              <w:rPr>
                <w:rFonts w:ascii="Times New Roman" w:hAnsi="Times New Roman"/>
                <w:sz w:val="18"/>
                <w:szCs w:val="18"/>
              </w:rPr>
              <w:t>100%</w:t>
            </w:r>
          </w:p>
        </w:tc>
      </w:tr>
      <w:tr w:rsidR="00A53AD7" w:rsidRPr="00A53AD7" w14:paraId="68008B6F" w14:textId="77777777" w:rsidTr="0032488F">
        <w:tc>
          <w:tcPr>
            <w:tcW w:w="817" w:type="dxa"/>
          </w:tcPr>
          <w:p w14:paraId="41FB3D80"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1.13</w:t>
            </w:r>
          </w:p>
        </w:tc>
        <w:tc>
          <w:tcPr>
            <w:tcW w:w="5387" w:type="dxa"/>
          </w:tcPr>
          <w:p w14:paraId="5E732D71"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Обеспечение деятельности фонда "Фонд защиты прав граждан - участников долевого строительства в Архангельской области"</w:t>
            </w:r>
          </w:p>
        </w:tc>
        <w:tc>
          <w:tcPr>
            <w:tcW w:w="869" w:type="dxa"/>
          </w:tcPr>
          <w:p w14:paraId="03A32F02" w14:textId="77777777" w:rsidR="008D493D" w:rsidRPr="00A53AD7" w:rsidRDefault="008D493D" w:rsidP="008D493D">
            <w:pPr>
              <w:spacing w:after="0" w:line="240" w:lineRule="auto"/>
              <w:jc w:val="center"/>
              <w:rPr>
                <w:rFonts w:ascii="Times New Roman" w:hAnsi="Times New Roman"/>
                <w:sz w:val="20"/>
                <w:szCs w:val="20"/>
              </w:rPr>
            </w:pPr>
          </w:p>
          <w:p w14:paraId="264F02D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4,7</w:t>
            </w:r>
          </w:p>
        </w:tc>
        <w:tc>
          <w:tcPr>
            <w:tcW w:w="850" w:type="dxa"/>
          </w:tcPr>
          <w:p w14:paraId="402DDFC1" w14:textId="77777777" w:rsidR="008D493D" w:rsidRPr="00A53AD7" w:rsidRDefault="008D493D" w:rsidP="008D493D">
            <w:pPr>
              <w:spacing w:after="0" w:line="240" w:lineRule="auto"/>
              <w:jc w:val="center"/>
              <w:rPr>
                <w:rFonts w:ascii="Times New Roman" w:hAnsi="Times New Roman"/>
                <w:sz w:val="20"/>
                <w:szCs w:val="20"/>
              </w:rPr>
            </w:pPr>
          </w:p>
          <w:p w14:paraId="3AEDD88A"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5198EF69" w14:textId="77777777" w:rsidR="008D493D" w:rsidRPr="00A53AD7" w:rsidRDefault="008D493D" w:rsidP="008D493D">
            <w:pPr>
              <w:spacing w:after="0" w:line="240" w:lineRule="auto"/>
              <w:jc w:val="center"/>
              <w:rPr>
                <w:rFonts w:ascii="Times New Roman" w:hAnsi="Times New Roman"/>
                <w:sz w:val="20"/>
                <w:szCs w:val="20"/>
              </w:rPr>
            </w:pPr>
          </w:p>
          <w:p w14:paraId="732581B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4,7</w:t>
            </w:r>
          </w:p>
        </w:tc>
        <w:tc>
          <w:tcPr>
            <w:tcW w:w="816" w:type="dxa"/>
          </w:tcPr>
          <w:p w14:paraId="00EDF28C" w14:textId="77777777" w:rsidR="008D493D" w:rsidRPr="00A53AD7" w:rsidRDefault="008D493D" w:rsidP="008D493D">
            <w:pPr>
              <w:spacing w:after="0" w:line="240" w:lineRule="auto"/>
              <w:jc w:val="center"/>
              <w:rPr>
                <w:rFonts w:ascii="Times New Roman" w:hAnsi="Times New Roman"/>
                <w:sz w:val="20"/>
                <w:szCs w:val="20"/>
              </w:rPr>
            </w:pPr>
          </w:p>
          <w:p w14:paraId="437E86A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317DD918" w14:textId="77777777" w:rsidTr="0032488F">
        <w:tc>
          <w:tcPr>
            <w:tcW w:w="817" w:type="dxa"/>
            <w:vMerge w:val="restart"/>
            <w:shd w:val="clear" w:color="auto" w:fill="F2F2F2"/>
          </w:tcPr>
          <w:p w14:paraId="77F213A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1CE941A4" w14:textId="039A835B"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3B88052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4,7</w:t>
            </w:r>
          </w:p>
        </w:tc>
        <w:tc>
          <w:tcPr>
            <w:tcW w:w="850" w:type="dxa"/>
            <w:shd w:val="clear" w:color="auto" w:fill="F2F2F2"/>
          </w:tcPr>
          <w:p w14:paraId="6C3B459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38E9C58A"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4,7</w:t>
            </w:r>
          </w:p>
        </w:tc>
        <w:tc>
          <w:tcPr>
            <w:tcW w:w="816" w:type="dxa"/>
            <w:shd w:val="clear" w:color="auto" w:fill="F2F2F2"/>
          </w:tcPr>
          <w:p w14:paraId="7B4C199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048B1BE9" w14:textId="77777777" w:rsidTr="0032488F">
        <w:tc>
          <w:tcPr>
            <w:tcW w:w="817" w:type="dxa"/>
            <w:vMerge/>
            <w:shd w:val="clear" w:color="auto" w:fill="F2F2F2"/>
          </w:tcPr>
          <w:p w14:paraId="43FE4CA7"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0DCF81D5"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6CB46FB7"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612EA72E"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39ACFE08" w14:textId="2929D7F4"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16" w:type="dxa"/>
            <w:shd w:val="clear" w:color="auto" w:fill="F2F2F2"/>
          </w:tcPr>
          <w:p w14:paraId="3C9A3FB7"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20F91618" w14:textId="77777777" w:rsidTr="0032488F">
        <w:tc>
          <w:tcPr>
            <w:tcW w:w="817" w:type="dxa"/>
          </w:tcPr>
          <w:p w14:paraId="67BA779C"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2.4</w:t>
            </w:r>
          </w:p>
        </w:tc>
        <w:tc>
          <w:tcPr>
            <w:tcW w:w="5387" w:type="dxa"/>
          </w:tcPr>
          <w:p w14:paraId="778B7DD3"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Обеспечение земельных участков, предоставляемых многодетным семьям и кооперативам, созданным многодетными семьями, для индивидуального жилищного строительства и ведения личного подсобного хозяйства, объектами инженерной инфраструктуры</w:t>
            </w:r>
          </w:p>
        </w:tc>
        <w:tc>
          <w:tcPr>
            <w:tcW w:w="869" w:type="dxa"/>
          </w:tcPr>
          <w:p w14:paraId="3D6705E8" w14:textId="77777777" w:rsidR="008D493D" w:rsidRPr="00A53AD7" w:rsidRDefault="008D493D" w:rsidP="008D493D">
            <w:pPr>
              <w:spacing w:after="0" w:line="240" w:lineRule="auto"/>
              <w:rPr>
                <w:rFonts w:ascii="Times New Roman" w:hAnsi="Times New Roman"/>
                <w:sz w:val="20"/>
                <w:szCs w:val="20"/>
              </w:rPr>
            </w:pPr>
          </w:p>
          <w:p w14:paraId="345A71AB" w14:textId="77777777" w:rsidR="008D493D" w:rsidRPr="00A53AD7" w:rsidRDefault="008D493D" w:rsidP="008D493D">
            <w:pPr>
              <w:spacing w:after="0" w:line="240" w:lineRule="auto"/>
              <w:rPr>
                <w:rFonts w:ascii="Times New Roman" w:hAnsi="Times New Roman"/>
                <w:sz w:val="20"/>
                <w:szCs w:val="20"/>
              </w:rPr>
            </w:pPr>
          </w:p>
          <w:p w14:paraId="0CC7858A" w14:textId="77777777" w:rsidR="008D493D" w:rsidRPr="00A53AD7" w:rsidRDefault="008D493D" w:rsidP="008D493D">
            <w:pPr>
              <w:spacing w:after="0" w:line="240" w:lineRule="auto"/>
              <w:rPr>
                <w:rFonts w:ascii="Times New Roman" w:hAnsi="Times New Roman"/>
                <w:sz w:val="20"/>
                <w:szCs w:val="20"/>
              </w:rPr>
            </w:pPr>
          </w:p>
          <w:p w14:paraId="5D5ABF7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6,8</w:t>
            </w:r>
          </w:p>
        </w:tc>
        <w:tc>
          <w:tcPr>
            <w:tcW w:w="850" w:type="dxa"/>
          </w:tcPr>
          <w:p w14:paraId="7D714619" w14:textId="77777777" w:rsidR="008D493D" w:rsidRPr="00A53AD7" w:rsidRDefault="008D493D" w:rsidP="008D493D">
            <w:pPr>
              <w:spacing w:after="0" w:line="240" w:lineRule="auto"/>
              <w:jc w:val="center"/>
              <w:rPr>
                <w:rFonts w:ascii="Times New Roman" w:hAnsi="Times New Roman"/>
                <w:sz w:val="20"/>
                <w:szCs w:val="20"/>
              </w:rPr>
            </w:pPr>
          </w:p>
          <w:p w14:paraId="7D9B1A8D" w14:textId="77777777" w:rsidR="008D493D" w:rsidRPr="00A53AD7" w:rsidRDefault="008D493D" w:rsidP="008D493D">
            <w:pPr>
              <w:spacing w:after="0" w:line="240" w:lineRule="auto"/>
              <w:jc w:val="center"/>
              <w:rPr>
                <w:rFonts w:ascii="Times New Roman" w:hAnsi="Times New Roman"/>
                <w:sz w:val="20"/>
                <w:szCs w:val="20"/>
              </w:rPr>
            </w:pPr>
          </w:p>
          <w:p w14:paraId="42567B99" w14:textId="77777777" w:rsidR="008D493D" w:rsidRPr="00A53AD7" w:rsidRDefault="008D493D" w:rsidP="008D493D">
            <w:pPr>
              <w:spacing w:after="0" w:line="240" w:lineRule="auto"/>
              <w:rPr>
                <w:rFonts w:ascii="Times New Roman" w:hAnsi="Times New Roman"/>
                <w:sz w:val="20"/>
                <w:szCs w:val="20"/>
              </w:rPr>
            </w:pPr>
          </w:p>
          <w:p w14:paraId="0AD0777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7A841D18" w14:textId="77777777" w:rsidR="008D493D" w:rsidRPr="00A53AD7" w:rsidRDefault="008D493D" w:rsidP="008D493D">
            <w:pPr>
              <w:spacing w:after="0" w:line="240" w:lineRule="auto"/>
              <w:jc w:val="center"/>
              <w:rPr>
                <w:rFonts w:ascii="Times New Roman" w:hAnsi="Times New Roman"/>
                <w:sz w:val="20"/>
                <w:szCs w:val="20"/>
              </w:rPr>
            </w:pPr>
          </w:p>
          <w:p w14:paraId="395D0E24" w14:textId="77777777" w:rsidR="008D493D" w:rsidRPr="00A53AD7" w:rsidRDefault="008D493D" w:rsidP="008D493D">
            <w:pPr>
              <w:spacing w:after="0" w:line="240" w:lineRule="auto"/>
              <w:jc w:val="center"/>
              <w:rPr>
                <w:rFonts w:ascii="Times New Roman" w:hAnsi="Times New Roman"/>
                <w:sz w:val="20"/>
                <w:szCs w:val="20"/>
              </w:rPr>
            </w:pPr>
          </w:p>
          <w:p w14:paraId="41F44EA0" w14:textId="77777777" w:rsidR="008D493D" w:rsidRPr="00A53AD7" w:rsidRDefault="008D493D" w:rsidP="008D493D">
            <w:pPr>
              <w:spacing w:after="0" w:line="240" w:lineRule="auto"/>
              <w:jc w:val="center"/>
              <w:rPr>
                <w:rFonts w:ascii="Times New Roman" w:hAnsi="Times New Roman"/>
                <w:sz w:val="20"/>
                <w:szCs w:val="20"/>
              </w:rPr>
            </w:pPr>
          </w:p>
          <w:p w14:paraId="547917E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6,5</w:t>
            </w:r>
          </w:p>
        </w:tc>
        <w:tc>
          <w:tcPr>
            <w:tcW w:w="816" w:type="dxa"/>
          </w:tcPr>
          <w:p w14:paraId="4496F992" w14:textId="77777777" w:rsidR="008D493D" w:rsidRPr="00A53AD7" w:rsidRDefault="008D493D" w:rsidP="008D493D">
            <w:pPr>
              <w:spacing w:after="0" w:line="240" w:lineRule="auto"/>
              <w:jc w:val="center"/>
              <w:rPr>
                <w:rFonts w:ascii="Times New Roman" w:hAnsi="Times New Roman"/>
                <w:sz w:val="20"/>
                <w:szCs w:val="20"/>
              </w:rPr>
            </w:pPr>
          </w:p>
          <w:p w14:paraId="6EF12B28" w14:textId="77777777" w:rsidR="008D493D" w:rsidRPr="00A53AD7" w:rsidRDefault="008D493D" w:rsidP="008D493D">
            <w:pPr>
              <w:spacing w:after="0" w:line="240" w:lineRule="auto"/>
              <w:jc w:val="center"/>
              <w:rPr>
                <w:rFonts w:ascii="Times New Roman" w:hAnsi="Times New Roman"/>
                <w:sz w:val="20"/>
                <w:szCs w:val="20"/>
              </w:rPr>
            </w:pPr>
          </w:p>
          <w:p w14:paraId="3511848F" w14:textId="77777777" w:rsidR="008D493D" w:rsidRPr="00A53AD7" w:rsidRDefault="008D493D" w:rsidP="008D493D">
            <w:pPr>
              <w:spacing w:after="0" w:line="240" w:lineRule="auto"/>
              <w:jc w:val="center"/>
              <w:rPr>
                <w:rFonts w:ascii="Times New Roman" w:hAnsi="Times New Roman"/>
                <w:sz w:val="20"/>
                <w:szCs w:val="20"/>
              </w:rPr>
            </w:pPr>
          </w:p>
          <w:p w14:paraId="7C17327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r>
      <w:tr w:rsidR="00A53AD7" w:rsidRPr="00A53AD7" w14:paraId="7B7DFFD7" w14:textId="77777777" w:rsidTr="0032488F">
        <w:tc>
          <w:tcPr>
            <w:tcW w:w="817" w:type="dxa"/>
            <w:vMerge w:val="restart"/>
            <w:shd w:val="clear" w:color="auto" w:fill="F2F2F2"/>
          </w:tcPr>
          <w:p w14:paraId="0ED15630"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0FE41D26" w14:textId="01F9E160"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3D3EE6A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6,8</w:t>
            </w:r>
          </w:p>
        </w:tc>
        <w:tc>
          <w:tcPr>
            <w:tcW w:w="850" w:type="dxa"/>
            <w:shd w:val="clear" w:color="auto" w:fill="F2F2F2"/>
          </w:tcPr>
          <w:p w14:paraId="3122DF0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21D29A8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6,5</w:t>
            </w:r>
          </w:p>
        </w:tc>
        <w:tc>
          <w:tcPr>
            <w:tcW w:w="816" w:type="dxa"/>
            <w:shd w:val="clear" w:color="auto" w:fill="F2F2F2"/>
          </w:tcPr>
          <w:p w14:paraId="27802E5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r>
      <w:tr w:rsidR="00A53AD7" w:rsidRPr="00A53AD7" w14:paraId="74263565" w14:textId="77777777" w:rsidTr="0032488F">
        <w:tc>
          <w:tcPr>
            <w:tcW w:w="817" w:type="dxa"/>
            <w:vMerge/>
            <w:shd w:val="clear" w:color="auto" w:fill="F2F2F2"/>
          </w:tcPr>
          <w:p w14:paraId="2BCCC535"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69B63D85"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0F630B29"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65AFD053"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24D7F558"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16" w:type="dxa"/>
            <w:shd w:val="clear" w:color="auto" w:fill="F2F2F2"/>
          </w:tcPr>
          <w:p w14:paraId="0BEBE7BF"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r>
      <w:tr w:rsidR="00A53AD7" w:rsidRPr="00A53AD7" w14:paraId="1B472DAC" w14:textId="77777777" w:rsidTr="0032488F">
        <w:tc>
          <w:tcPr>
            <w:tcW w:w="817" w:type="dxa"/>
          </w:tcPr>
          <w:p w14:paraId="78DB4791"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4.3.</w:t>
            </w:r>
          </w:p>
        </w:tc>
        <w:tc>
          <w:tcPr>
            <w:tcW w:w="5387" w:type="dxa"/>
          </w:tcPr>
          <w:p w14:paraId="0F558AD4"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Возмещение российским кредитным организациям недополученных доходов в части процентов, начисленных за пользование жилищными кредитами, выданными физическим лицам на приобретение жилья на первичном или вторичном рынках жилья в Архангельской области</w:t>
            </w:r>
          </w:p>
        </w:tc>
        <w:tc>
          <w:tcPr>
            <w:tcW w:w="869" w:type="dxa"/>
          </w:tcPr>
          <w:p w14:paraId="5FBB91F3" w14:textId="77777777" w:rsidR="008D493D" w:rsidRPr="00A53AD7" w:rsidRDefault="008D493D" w:rsidP="008D493D">
            <w:pPr>
              <w:spacing w:after="0" w:line="240" w:lineRule="auto"/>
              <w:jc w:val="center"/>
              <w:rPr>
                <w:rFonts w:ascii="Times New Roman" w:hAnsi="Times New Roman"/>
                <w:sz w:val="20"/>
                <w:szCs w:val="20"/>
              </w:rPr>
            </w:pPr>
          </w:p>
          <w:p w14:paraId="39DAF430" w14:textId="77777777" w:rsidR="008D493D" w:rsidRPr="00A53AD7" w:rsidRDefault="008D493D" w:rsidP="008D493D">
            <w:pPr>
              <w:spacing w:after="0" w:line="240" w:lineRule="auto"/>
              <w:jc w:val="center"/>
              <w:rPr>
                <w:rFonts w:ascii="Times New Roman" w:hAnsi="Times New Roman"/>
                <w:sz w:val="20"/>
                <w:szCs w:val="20"/>
              </w:rPr>
            </w:pPr>
          </w:p>
          <w:p w14:paraId="1FD6B845" w14:textId="77777777" w:rsidR="008D493D" w:rsidRPr="00A53AD7" w:rsidRDefault="008D493D" w:rsidP="008D493D">
            <w:pPr>
              <w:spacing w:after="0" w:line="240" w:lineRule="auto"/>
              <w:jc w:val="center"/>
              <w:rPr>
                <w:rFonts w:ascii="Times New Roman" w:hAnsi="Times New Roman"/>
                <w:sz w:val="20"/>
                <w:szCs w:val="20"/>
              </w:rPr>
            </w:pPr>
          </w:p>
          <w:p w14:paraId="0B67F8F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4,5</w:t>
            </w:r>
          </w:p>
        </w:tc>
        <w:tc>
          <w:tcPr>
            <w:tcW w:w="850" w:type="dxa"/>
          </w:tcPr>
          <w:p w14:paraId="2EC63980" w14:textId="77777777" w:rsidR="008D493D" w:rsidRPr="00A53AD7" w:rsidRDefault="008D493D" w:rsidP="008D493D">
            <w:pPr>
              <w:spacing w:after="0" w:line="240" w:lineRule="auto"/>
              <w:jc w:val="center"/>
              <w:rPr>
                <w:rFonts w:ascii="Times New Roman" w:hAnsi="Times New Roman"/>
                <w:sz w:val="20"/>
                <w:szCs w:val="20"/>
              </w:rPr>
            </w:pPr>
          </w:p>
          <w:p w14:paraId="0598B853" w14:textId="77777777" w:rsidR="008D493D" w:rsidRPr="00A53AD7" w:rsidRDefault="008D493D" w:rsidP="008D493D">
            <w:pPr>
              <w:spacing w:after="0" w:line="240" w:lineRule="auto"/>
              <w:jc w:val="center"/>
              <w:rPr>
                <w:rFonts w:ascii="Times New Roman" w:hAnsi="Times New Roman"/>
                <w:sz w:val="20"/>
                <w:szCs w:val="20"/>
              </w:rPr>
            </w:pPr>
          </w:p>
          <w:p w14:paraId="4EE3ECF1" w14:textId="77777777" w:rsidR="008D493D" w:rsidRPr="00A53AD7" w:rsidRDefault="008D493D" w:rsidP="008D493D">
            <w:pPr>
              <w:spacing w:after="0" w:line="240" w:lineRule="auto"/>
              <w:jc w:val="center"/>
              <w:rPr>
                <w:rFonts w:ascii="Times New Roman" w:hAnsi="Times New Roman"/>
                <w:sz w:val="20"/>
                <w:szCs w:val="20"/>
              </w:rPr>
            </w:pPr>
          </w:p>
          <w:p w14:paraId="1905BA8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0BD0E8B8" w14:textId="77777777" w:rsidR="008D493D" w:rsidRPr="00A53AD7" w:rsidRDefault="008D493D" w:rsidP="008D493D">
            <w:pPr>
              <w:spacing w:after="0" w:line="240" w:lineRule="auto"/>
              <w:jc w:val="center"/>
              <w:rPr>
                <w:rFonts w:ascii="Times New Roman" w:hAnsi="Times New Roman"/>
                <w:sz w:val="20"/>
                <w:szCs w:val="20"/>
              </w:rPr>
            </w:pPr>
          </w:p>
          <w:p w14:paraId="687C8600" w14:textId="77777777" w:rsidR="008D493D" w:rsidRPr="00A53AD7" w:rsidRDefault="008D493D" w:rsidP="008D493D">
            <w:pPr>
              <w:spacing w:after="0" w:line="240" w:lineRule="auto"/>
              <w:jc w:val="center"/>
              <w:rPr>
                <w:rFonts w:ascii="Times New Roman" w:hAnsi="Times New Roman"/>
                <w:sz w:val="20"/>
                <w:szCs w:val="20"/>
              </w:rPr>
            </w:pPr>
          </w:p>
          <w:p w14:paraId="0C2D9FD2" w14:textId="77777777" w:rsidR="008D493D" w:rsidRPr="00A53AD7" w:rsidRDefault="008D493D" w:rsidP="008D493D">
            <w:pPr>
              <w:spacing w:after="0" w:line="240" w:lineRule="auto"/>
              <w:jc w:val="center"/>
              <w:rPr>
                <w:rFonts w:ascii="Times New Roman" w:hAnsi="Times New Roman"/>
                <w:sz w:val="20"/>
                <w:szCs w:val="20"/>
              </w:rPr>
            </w:pPr>
          </w:p>
          <w:p w14:paraId="4D58EB6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4,5</w:t>
            </w:r>
          </w:p>
        </w:tc>
        <w:tc>
          <w:tcPr>
            <w:tcW w:w="816" w:type="dxa"/>
          </w:tcPr>
          <w:p w14:paraId="674B4CB1" w14:textId="77777777" w:rsidR="008D493D" w:rsidRPr="00A53AD7" w:rsidRDefault="008D493D" w:rsidP="008D493D">
            <w:pPr>
              <w:spacing w:after="0" w:line="240" w:lineRule="auto"/>
              <w:jc w:val="center"/>
              <w:rPr>
                <w:rFonts w:ascii="Times New Roman" w:hAnsi="Times New Roman"/>
                <w:sz w:val="20"/>
                <w:szCs w:val="20"/>
              </w:rPr>
            </w:pPr>
          </w:p>
          <w:p w14:paraId="4ECA1BAF" w14:textId="77777777" w:rsidR="008D493D" w:rsidRPr="00A53AD7" w:rsidRDefault="008D493D" w:rsidP="008D493D">
            <w:pPr>
              <w:spacing w:after="0" w:line="240" w:lineRule="auto"/>
              <w:jc w:val="center"/>
              <w:rPr>
                <w:rFonts w:ascii="Times New Roman" w:hAnsi="Times New Roman"/>
                <w:sz w:val="20"/>
                <w:szCs w:val="20"/>
              </w:rPr>
            </w:pPr>
          </w:p>
          <w:p w14:paraId="3A94EC4E" w14:textId="77777777" w:rsidR="008D493D" w:rsidRPr="00A53AD7" w:rsidRDefault="008D493D" w:rsidP="008D493D">
            <w:pPr>
              <w:spacing w:after="0" w:line="240" w:lineRule="auto"/>
              <w:jc w:val="center"/>
              <w:rPr>
                <w:rFonts w:ascii="Times New Roman" w:hAnsi="Times New Roman"/>
                <w:sz w:val="20"/>
                <w:szCs w:val="20"/>
              </w:rPr>
            </w:pPr>
          </w:p>
          <w:p w14:paraId="7E3A3D1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4D758D4C" w14:textId="77777777" w:rsidTr="0032488F">
        <w:tc>
          <w:tcPr>
            <w:tcW w:w="817" w:type="dxa"/>
            <w:vMerge w:val="restart"/>
            <w:shd w:val="clear" w:color="auto" w:fill="F2F2F2"/>
          </w:tcPr>
          <w:p w14:paraId="14AFD283"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382BB9D1" w14:textId="5F6A420B"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008452A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4,4</w:t>
            </w:r>
          </w:p>
        </w:tc>
        <w:tc>
          <w:tcPr>
            <w:tcW w:w="850" w:type="dxa"/>
            <w:shd w:val="clear" w:color="auto" w:fill="F2F2F2"/>
          </w:tcPr>
          <w:p w14:paraId="6F64A93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03BB775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4,4</w:t>
            </w:r>
          </w:p>
        </w:tc>
        <w:tc>
          <w:tcPr>
            <w:tcW w:w="816" w:type="dxa"/>
            <w:shd w:val="clear" w:color="auto" w:fill="F2F2F2"/>
          </w:tcPr>
          <w:p w14:paraId="49DD64E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0D8F86B3" w14:textId="77777777" w:rsidTr="0032488F">
        <w:tc>
          <w:tcPr>
            <w:tcW w:w="817" w:type="dxa"/>
            <w:vMerge/>
            <w:shd w:val="clear" w:color="auto" w:fill="F2F2F2"/>
          </w:tcPr>
          <w:p w14:paraId="31BA751A"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592B2DC7"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68880222"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99,0%</w:t>
            </w:r>
          </w:p>
        </w:tc>
        <w:tc>
          <w:tcPr>
            <w:tcW w:w="850" w:type="dxa"/>
            <w:shd w:val="clear" w:color="auto" w:fill="F2F2F2"/>
          </w:tcPr>
          <w:p w14:paraId="44C6C032"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17C822F2"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99,0%</w:t>
            </w:r>
          </w:p>
        </w:tc>
        <w:tc>
          <w:tcPr>
            <w:tcW w:w="816" w:type="dxa"/>
            <w:shd w:val="clear" w:color="auto" w:fill="F2F2F2"/>
          </w:tcPr>
          <w:p w14:paraId="73F15D27"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57380740" w14:textId="77777777" w:rsidTr="0032488F">
        <w:tc>
          <w:tcPr>
            <w:tcW w:w="817" w:type="dxa"/>
          </w:tcPr>
          <w:p w14:paraId="562F394C"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5.1</w:t>
            </w:r>
          </w:p>
        </w:tc>
        <w:tc>
          <w:tcPr>
            <w:tcW w:w="5387" w:type="dxa"/>
          </w:tcPr>
          <w:p w14:paraId="6CB60242"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Разработка документов территориального планирования и градостроительного зонирования муниципальных образований Архангельской области (внесение в них изменений), внесение изменений в схему территориального планирования Архангельской области, координатное описание границ Архангельской области, муниципальных образований Архангельской области</w:t>
            </w:r>
          </w:p>
        </w:tc>
        <w:tc>
          <w:tcPr>
            <w:tcW w:w="869" w:type="dxa"/>
          </w:tcPr>
          <w:p w14:paraId="1D817C2A" w14:textId="77777777" w:rsidR="008D493D" w:rsidRPr="00A53AD7" w:rsidRDefault="008D493D" w:rsidP="008D493D">
            <w:pPr>
              <w:spacing w:after="0" w:line="240" w:lineRule="auto"/>
              <w:jc w:val="center"/>
              <w:rPr>
                <w:rFonts w:ascii="Times New Roman" w:hAnsi="Times New Roman"/>
                <w:sz w:val="20"/>
                <w:szCs w:val="20"/>
              </w:rPr>
            </w:pPr>
          </w:p>
          <w:p w14:paraId="0B85172D" w14:textId="77777777" w:rsidR="008D493D" w:rsidRPr="00A53AD7" w:rsidRDefault="008D493D" w:rsidP="008D493D">
            <w:pPr>
              <w:spacing w:after="0" w:line="240" w:lineRule="auto"/>
              <w:jc w:val="center"/>
              <w:rPr>
                <w:rFonts w:ascii="Times New Roman" w:hAnsi="Times New Roman"/>
                <w:sz w:val="20"/>
                <w:szCs w:val="20"/>
              </w:rPr>
            </w:pPr>
          </w:p>
          <w:p w14:paraId="0BD6CA81" w14:textId="77777777" w:rsidR="008D493D" w:rsidRPr="00A53AD7" w:rsidRDefault="008D493D" w:rsidP="008D493D">
            <w:pPr>
              <w:spacing w:after="0" w:line="240" w:lineRule="auto"/>
              <w:jc w:val="center"/>
              <w:rPr>
                <w:rFonts w:ascii="Times New Roman" w:hAnsi="Times New Roman"/>
                <w:sz w:val="20"/>
                <w:szCs w:val="20"/>
              </w:rPr>
            </w:pPr>
          </w:p>
          <w:p w14:paraId="4A237055" w14:textId="77777777" w:rsidR="008D493D" w:rsidRPr="00A53AD7" w:rsidRDefault="008D493D" w:rsidP="008D493D">
            <w:pPr>
              <w:spacing w:after="0" w:line="240" w:lineRule="auto"/>
              <w:jc w:val="center"/>
              <w:rPr>
                <w:rFonts w:ascii="Times New Roman" w:hAnsi="Times New Roman"/>
                <w:sz w:val="20"/>
                <w:szCs w:val="20"/>
              </w:rPr>
            </w:pPr>
          </w:p>
          <w:p w14:paraId="4C9952E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68,7</w:t>
            </w:r>
          </w:p>
        </w:tc>
        <w:tc>
          <w:tcPr>
            <w:tcW w:w="850" w:type="dxa"/>
          </w:tcPr>
          <w:p w14:paraId="310F5D70" w14:textId="77777777" w:rsidR="008D493D" w:rsidRPr="00A53AD7" w:rsidRDefault="008D493D" w:rsidP="008D493D">
            <w:pPr>
              <w:spacing w:after="0" w:line="240" w:lineRule="auto"/>
              <w:jc w:val="center"/>
              <w:rPr>
                <w:rFonts w:ascii="Times New Roman" w:hAnsi="Times New Roman"/>
                <w:sz w:val="20"/>
                <w:szCs w:val="20"/>
              </w:rPr>
            </w:pPr>
          </w:p>
          <w:p w14:paraId="35805786" w14:textId="77777777" w:rsidR="008D493D" w:rsidRPr="00A53AD7" w:rsidRDefault="008D493D" w:rsidP="008D493D">
            <w:pPr>
              <w:spacing w:after="0" w:line="240" w:lineRule="auto"/>
              <w:jc w:val="center"/>
              <w:rPr>
                <w:rFonts w:ascii="Times New Roman" w:hAnsi="Times New Roman"/>
                <w:sz w:val="20"/>
                <w:szCs w:val="20"/>
              </w:rPr>
            </w:pPr>
          </w:p>
          <w:p w14:paraId="17AA6E3F" w14:textId="77777777" w:rsidR="008D493D" w:rsidRPr="00A53AD7" w:rsidRDefault="008D493D" w:rsidP="008D493D">
            <w:pPr>
              <w:spacing w:after="0" w:line="240" w:lineRule="auto"/>
              <w:jc w:val="center"/>
              <w:rPr>
                <w:rFonts w:ascii="Times New Roman" w:hAnsi="Times New Roman"/>
                <w:sz w:val="20"/>
                <w:szCs w:val="20"/>
              </w:rPr>
            </w:pPr>
          </w:p>
          <w:p w14:paraId="00543411" w14:textId="77777777" w:rsidR="008D493D" w:rsidRPr="00A53AD7" w:rsidRDefault="008D493D" w:rsidP="008D493D">
            <w:pPr>
              <w:spacing w:after="0" w:line="240" w:lineRule="auto"/>
              <w:jc w:val="center"/>
              <w:rPr>
                <w:rFonts w:ascii="Times New Roman" w:hAnsi="Times New Roman"/>
                <w:sz w:val="20"/>
                <w:szCs w:val="20"/>
              </w:rPr>
            </w:pPr>
          </w:p>
          <w:p w14:paraId="395E271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6C0EC964" w14:textId="77777777" w:rsidR="008D493D" w:rsidRPr="00A53AD7" w:rsidRDefault="008D493D" w:rsidP="008D493D">
            <w:pPr>
              <w:spacing w:after="0" w:line="240" w:lineRule="auto"/>
              <w:jc w:val="center"/>
              <w:rPr>
                <w:rFonts w:ascii="Times New Roman" w:hAnsi="Times New Roman"/>
                <w:sz w:val="20"/>
                <w:szCs w:val="20"/>
              </w:rPr>
            </w:pPr>
          </w:p>
          <w:p w14:paraId="0E50EB5B" w14:textId="77777777" w:rsidR="008D493D" w:rsidRPr="00A53AD7" w:rsidRDefault="008D493D" w:rsidP="008D493D">
            <w:pPr>
              <w:spacing w:after="0" w:line="240" w:lineRule="auto"/>
              <w:jc w:val="center"/>
              <w:rPr>
                <w:rFonts w:ascii="Times New Roman" w:hAnsi="Times New Roman"/>
                <w:sz w:val="20"/>
                <w:szCs w:val="20"/>
              </w:rPr>
            </w:pPr>
          </w:p>
          <w:p w14:paraId="5161B66F" w14:textId="77777777" w:rsidR="008D493D" w:rsidRPr="00A53AD7" w:rsidRDefault="008D493D" w:rsidP="008D493D">
            <w:pPr>
              <w:spacing w:after="0" w:line="240" w:lineRule="auto"/>
              <w:jc w:val="center"/>
              <w:rPr>
                <w:rFonts w:ascii="Times New Roman" w:hAnsi="Times New Roman"/>
                <w:sz w:val="20"/>
                <w:szCs w:val="20"/>
              </w:rPr>
            </w:pPr>
          </w:p>
          <w:p w14:paraId="2CA098E4" w14:textId="77777777" w:rsidR="008D493D" w:rsidRPr="00A53AD7" w:rsidRDefault="008D493D" w:rsidP="008D493D">
            <w:pPr>
              <w:spacing w:after="0" w:line="240" w:lineRule="auto"/>
              <w:jc w:val="center"/>
              <w:rPr>
                <w:rFonts w:ascii="Times New Roman" w:hAnsi="Times New Roman"/>
                <w:sz w:val="20"/>
                <w:szCs w:val="20"/>
              </w:rPr>
            </w:pPr>
          </w:p>
          <w:p w14:paraId="2816312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68,7</w:t>
            </w:r>
          </w:p>
        </w:tc>
        <w:tc>
          <w:tcPr>
            <w:tcW w:w="816" w:type="dxa"/>
          </w:tcPr>
          <w:p w14:paraId="766791B5" w14:textId="77777777" w:rsidR="008D493D" w:rsidRPr="00A53AD7" w:rsidRDefault="008D493D" w:rsidP="008D493D">
            <w:pPr>
              <w:spacing w:after="0" w:line="240" w:lineRule="auto"/>
              <w:jc w:val="center"/>
              <w:rPr>
                <w:rFonts w:ascii="Times New Roman" w:hAnsi="Times New Roman"/>
                <w:sz w:val="20"/>
                <w:szCs w:val="20"/>
              </w:rPr>
            </w:pPr>
          </w:p>
          <w:p w14:paraId="7E4DBAF8" w14:textId="77777777" w:rsidR="008D493D" w:rsidRPr="00A53AD7" w:rsidRDefault="008D493D" w:rsidP="008D493D">
            <w:pPr>
              <w:spacing w:after="0" w:line="240" w:lineRule="auto"/>
              <w:jc w:val="center"/>
              <w:rPr>
                <w:rFonts w:ascii="Times New Roman" w:hAnsi="Times New Roman"/>
                <w:sz w:val="20"/>
                <w:szCs w:val="20"/>
              </w:rPr>
            </w:pPr>
          </w:p>
          <w:p w14:paraId="070AC3CB" w14:textId="77777777" w:rsidR="008D493D" w:rsidRPr="00A53AD7" w:rsidRDefault="008D493D" w:rsidP="008D493D">
            <w:pPr>
              <w:spacing w:after="0" w:line="240" w:lineRule="auto"/>
              <w:jc w:val="center"/>
              <w:rPr>
                <w:rFonts w:ascii="Times New Roman" w:hAnsi="Times New Roman"/>
                <w:sz w:val="20"/>
                <w:szCs w:val="20"/>
              </w:rPr>
            </w:pPr>
          </w:p>
          <w:p w14:paraId="4305F46C" w14:textId="77777777" w:rsidR="008D493D" w:rsidRPr="00A53AD7" w:rsidRDefault="008D493D" w:rsidP="008D493D">
            <w:pPr>
              <w:spacing w:after="0" w:line="240" w:lineRule="auto"/>
              <w:jc w:val="center"/>
              <w:rPr>
                <w:rFonts w:ascii="Times New Roman" w:hAnsi="Times New Roman"/>
                <w:sz w:val="20"/>
                <w:szCs w:val="20"/>
              </w:rPr>
            </w:pPr>
          </w:p>
          <w:p w14:paraId="567EBD7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05D13B1A" w14:textId="77777777" w:rsidTr="0032488F">
        <w:tc>
          <w:tcPr>
            <w:tcW w:w="817" w:type="dxa"/>
            <w:vMerge w:val="restart"/>
            <w:shd w:val="clear" w:color="auto" w:fill="F2F2F2"/>
          </w:tcPr>
          <w:p w14:paraId="1B7B0DD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5ACF1160" w14:textId="321C70C9"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54DA7E0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62,0</w:t>
            </w:r>
          </w:p>
        </w:tc>
        <w:tc>
          <w:tcPr>
            <w:tcW w:w="850" w:type="dxa"/>
            <w:shd w:val="clear" w:color="auto" w:fill="F2F2F2"/>
          </w:tcPr>
          <w:p w14:paraId="5D21601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6470C0E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62,0</w:t>
            </w:r>
          </w:p>
        </w:tc>
        <w:tc>
          <w:tcPr>
            <w:tcW w:w="816" w:type="dxa"/>
            <w:shd w:val="clear" w:color="auto" w:fill="F2F2F2"/>
          </w:tcPr>
          <w:p w14:paraId="54A62B2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5563D643" w14:textId="77777777" w:rsidTr="006A436F">
        <w:trPr>
          <w:trHeight w:val="303"/>
        </w:trPr>
        <w:tc>
          <w:tcPr>
            <w:tcW w:w="817" w:type="dxa"/>
            <w:vMerge/>
            <w:shd w:val="clear" w:color="auto" w:fill="F2F2F2"/>
          </w:tcPr>
          <w:p w14:paraId="46D50B11"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761674F9"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488FEBCD" w14:textId="454E6B08"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90,3%</w:t>
            </w:r>
          </w:p>
        </w:tc>
        <w:tc>
          <w:tcPr>
            <w:tcW w:w="850" w:type="dxa"/>
            <w:shd w:val="clear" w:color="auto" w:fill="F2F2F2"/>
          </w:tcPr>
          <w:p w14:paraId="5455EFBD"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0F6064FC" w14:textId="3474A3A4" w:rsidR="008D493D" w:rsidRPr="00A53AD7" w:rsidRDefault="008D493D" w:rsidP="006A436F">
            <w:pPr>
              <w:spacing w:after="0" w:line="240" w:lineRule="auto"/>
              <w:jc w:val="center"/>
              <w:rPr>
                <w:rFonts w:ascii="Times New Roman" w:hAnsi="Times New Roman"/>
                <w:sz w:val="18"/>
                <w:szCs w:val="18"/>
              </w:rPr>
            </w:pPr>
            <w:r w:rsidRPr="00A53AD7">
              <w:rPr>
                <w:rFonts w:ascii="Times New Roman" w:hAnsi="Times New Roman"/>
                <w:sz w:val="18"/>
                <w:szCs w:val="18"/>
              </w:rPr>
              <w:t>90,3%</w:t>
            </w:r>
          </w:p>
        </w:tc>
        <w:tc>
          <w:tcPr>
            <w:tcW w:w="816" w:type="dxa"/>
            <w:shd w:val="clear" w:color="auto" w:fill="F2F2F2"/>
          </w:tcPr>
          <w:p w14:paraId="000EDDE9"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4325D7D5" w14:textId="77777777" w:rsidTr="0032488F">
        <w:tc>
          <w:tcPr>
            <w:tcW w:w="817" w:type="dxa"/>
          </w:tcPr>
          <w:p w14:paraId="721F9F08" w14:textId="77777777" w:rsidR="008D493D" w:rsidRPr="00A53AD7" w:rsidRDefault="008D493D" w:rsidP="008D493D">
            <w:pPr>
              <w:spacing w:after="0" w:line="240" w:lineRule="auto"/>
              <w:jc w:val="both"/>
              <w:rPr>
                <w:rFonts w:ascii="Times New Roman" w:hAnsi="Times New Roman"/>
                <w:sz w:val="20"/>
                <w:szCs w:val="20"/>
              </w:rPr>
            </w:pPr>
          </w:p>
        </w:tc>
        <w:tc>
          <w:tcPr>
            <w:tcW w:w="5387" w:type="dxa"/>
          </w:tcPr>
          <w:p w14:paraId="4224E374" w14:textId="77777777"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Итого по подпрограмме №1</w:t>
            </w:r>
          </w:p>
        </w:tc>
        <w:tc>
          <w:tcPr>
            <w:tcW w:w="869" w:type="dxa"/>
          </w:tcPr>
          <w:p w14:paraId="1C36A233"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1 144,2</w:t>
            </w:r>
          </w:p>
        </w:tc>
        <w:tc>
          <w:tcPr>
            <w:tcW w:w="850" w:type="dxa"/>
          </w:tcPr>
          <w:p w14:paraId="76F935D2"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848,5</w:t>
            </w:r>
          </w:p>
        </w:tc>
        <w:tc>
          <w:tcPr>
            <w:tcW w:w="709" w:type="dxa"/>
          </w:tcPr>
          <w:p w14:paraId="5192BB70"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294,5</w:t>
            </w:r>
          </w:p>
        </w:tc>
        <w:tc>
          <w:tcPr>
            <w:tcW w:w="816" w:type="dxa"/>
          </w:tcPr>
          <w:p w14:paraId="052DA529"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1,2</w:t>
            </w:r>
          </w:p>
        </w:tc>
      </w:tr>
      <w:tr w:rsidR="00A53AD7" w:rsidRPr="00A53AD7" w14:paraId="4128767F" w14:textId="77777777" w:rsidTr="0032488F">
        <w:tc>
          <w:tcPr>
            <w:tcW w:w="817" w:type="dxa"/>
            <w:vMerge w:val="restart"/>
            <w:shd w:val="clear" w:color="auto" w:fill="F2F2F2"/>
          </w:tcPr>
          <w:p w14:paraId="1DD5DA3A"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3021A05D" w14:textId="77777777" w:rsidR="008D493D" w:rsidRPr="00A53AD7" w:rsidRDefault="008D493D" w:rsidP="008D493D">
            <w:pPr>
              <w:spacing w:after="0" w:line="240" w:lineRule="auto"/>
              <w:jc w:val="both"/>
              <w:rPr>
                <w:rFonts w:ascii="Times New Roman" w:hAnsi="Times New Roman"/>
                <w:sz w:val="20"/>
                <w:szCs w:val="20"/>
              </w:rPr>
            </w:pPr>
          </w:p>
          <w:p w14:paraId="1511D998" w14:textId="3F9B48BE"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 xml:space="preserve">Исполнение: </w:t>
            </w:r>
          </w:p>
        </w:tc>
        <w:tc>
          <w:tcPr>
            <w:tcW w:w="869" w:type="dxa"/>
            <w:shd w:val="clear" w:color="auto" w:fill="F2F2F2"/>
          </w:tcPr>
          <w:p w14:paraId="59E396E5"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1033,0</w:t>
            </w:r>
          </w:p>
        </w:tc>
        <w:tc>
          <w:tcPr>
            <w:tcW w:w="850" w:type="dxa"/>
            <w:shd w:val="clear" w:color="auto" w:fill="F2F2F2"/>
          </w:tcPr>
          <w:p w14:paraId="027F615D"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804,5</w:t>
            </w:r>
          </w:p>
        </w:tc>
        <w:tc>
          <w:tcPr>
            <w:tcW w:w="709" w:type="dxa"/>
            <w:shd w:val="clear" w:color="auto" w:fill="F2F2F2"/>
          </w:tcPr>
          <w:p w14:paraId="452C37D2"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227,3</w:t>
            </w:r>
          </w:p>
        </w:tc>
        <w:tc>
          <w:tcPr>
            <w:tcW w:w="816" w:type="dxa"/>
            <w:shd w:val="clear" w:color="auto" w:fill="F2F2F2"/>
          </w:tcPr>
          <w:p w14:paraId="09D8119D"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1,2</w:t>
            </w:r>
          </w:p>
        </w:tc>
      </w:tr>
      <w:tr w:rsidR="00A53AD7" w:rsidRPr="00A53AD7" w14:paraId="61E8ED60" w14:textId="77777777" w:rsidTr="0032488F">
        <w:tc>
          <w:tcPr>
            <w:tcW w:w="817" w:type="dxa"/>
            <w:vMerge/>
            <w:shd w:val="clear" w:color="auto" w:fill="F2F2F2"/>
          </w:tcPr>
          <w:p w14:paraId="4856C465"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43B943DD" w14:textId="77777777" w:rsidR="008D493D" w:rsidRPr="00A53AD7" w:rsidRDefault="008D493D" w:rsidP="008D493D">
            <w:pPr>
              <w:spacing w:after="0" w:line="240" w:lineRule="auto"/>
              <w:jc w:val="both"/>
              <w:rPr>
                <w:rFonts w:ascii="Times New Roman" w:hAnsi="Times New Roman"/>
                <w:b/>
                <w:sz w:val="20"/>
                <w:szCs w:val="20"/>
              </w:rPr>
            </w:pPr>
          </w:p>
        </w:tc>
        <w:tc>
          <w:tcPr>
            <w:tcW w:w="869" w:type="dxa"/>
            <w:shd w:val="clear" w:color="auto" w:fill="F2F2F2"/>
          </w:tcPr>
          <w:p w14:paraId="3B7EC772" w14:textId="4ACC3C0E" w:rsidR="008D493D" w:rsidRPr="00A53AD7" w:rsidRDefault="008D493D" w:rsidP="00D724B7">
            <w:pPr>
              <w:spacing w:after="0" w:line="240" w:lineRule="auto"/>
              <w:jc w:val="center"/>
              <w:rPr>
                <w:rFonts w:ascii="Times New Roman" w:hAnsi="Times New Roman"/>
                <w:b/>
                <w:sz w:val="18"/>
                <w:szCs w:val="18"/>
              </w:rPr>
            </w:pPr>
            <w:r w:rsidRPr="00A53AD7">
              <w:rPr>
                <w:rFonts w:ascii="Times New Roman" w:hAnsi="Times New Roman"/>
                <w:b/>
                <w:sz w:val="18"/>
                <w:szCs w:val="18"/>
              </w:rPr>
              <w:t>90,3%</w:t>
            </w:r>
          </w:p>
        </w:tc>
        <w:tc>
          <w:tcPr>
            <w:tcW w:w="850" w:type="dxa"/>
            <w:shd w:val="clear" w:color="auto" w:fill="F2F2F2"/>
          </w:tcPr>
          <w:p w14:paraId="09B64293"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94,8%</w:t>
            </w:r>
          </w:p>
        </w:tc>
        <w:tc>
          <w:tcPr>
            <w:tcW w:w="709" w:type="dxa"/>
            <w:shd w:val="clear" w:color="auto" w:fill="F2F2F2"/>
          </w:tcPr>
          <w:p w14:paraId="3024B2EE" w14:textId="77777777" w:rsidR="008D493D" w:rsidRPr="00A53AD7" w:rsidRDefault="008D493D" w:rsidP="008D493D">
            <w:pPr>
              <w:spacing w:after="0" w:line="240" w:lineRule="auto"/>
              <w:rPr>
                <w:rFonts w:ascii="Times New Roman" w:hAnsi="Times New Roman"/>
                <w:b/>
                <w:sz w:val="17"/>
                <w:szCs w:val="17"/>
              </w:rPr>
            </w:pPr>
            <w:r w:rsidRPr="00A53AD7">
              <w:rPr>
                <w:rFonts w:ascii="Times New Roman" w:hAnsi="Times New Roman"/>
                <w:b/>
                <w:sz w:val="17"/>
                <w:szCs w:val="17"/>
              </w:rPr>
              <w:t>77,2%</w:t>
            </w:r>
          </w:p>
        </w:tc>
        <w:tc>
          <w:tcPr>
            <w:tcW w:w="816" w:type="dxa"/>
            <w:shd w:val="clear" w:color="auto" w:fill="F2F2F2"/>
          </w:tcPr>
          <w:p w14:paraId="0AF130C7"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100%</w:t>
            </w:r>
          </w:p>
        </w:tc>
      </w:tr>
      <w:tr w:rsidR="00A53AD7" w:rsidRPr="00A53AD7" w14:paraId="2B5CA1CC" w14:textId="77777777" w:rsidTr="0032488F">
        <w:tc>
          <w:tcPr>
            <w:tcW w:w="9448" w:type="dxa"/>
            <w:gridSpan w:val="6"/>
          </w:tcPr>
          <w:p w14:paraId="3FE766B9"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Подпрограмма №2 "Обеспечение жильем молодых семей"</w:t>
            </w:r>
          </w:p>
        </w:tc>
      </w:tr>
      <w:tr w:rsidR="00A53AD7" w:rsidRPr="00A53AD7" w14:paraId="508925E4" w14:textId="77777777" w:rsidTr="0032488F">
        <w:tc>
          <w:tcPr>
            <w:tcW w:w="817" w:type="dxa"/>
          </w:tcPr>
          <w:p w14:paraId="1BB7D9BE"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1.1</w:t>
            </w:r>
          </w:p>
        </w:tc>
        <w:tc>
          <w:tcPr>
            <w:tcW w:w="5387" w:type="dxa"/>
          </w:tcPr>
          <w:p w14:paraId="7728FE33"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Предоставление социальных выплат молодым семьям</w:t>
            </w:r>
          </w:p>
        </w:tc>
        <w:tc>
          <w:tcPr>
            <w:tcW w:w="869" w:type="dxa"/>
          </w:tcPr>
          <w:p w14:paraId="7AACE2D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189,3</w:t>
            </w:r>
          </w:p>
        </w:tc>
        <w:tc>
          <w:tcPr>
            <w:tcW w:w="850" w:type="dxa"/>
          </w:tcPr>
          <w:p w14:paraId="5588075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83,8</w:t>
            </w:r>
          </w:p>
        </w:tc>
        <w:tc>
          <w:tcPr>
            <w:tcW w:w="709" w:type="dxa"/>
          </w:tcPr>
          <w:p w14:paraId="5E8E39F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50,9</w:t>
            </w:r>
          </w:p>
        </w:tc>
        <w:tc>
          <w:tcPr>
            <w:tcW w:w="816" w:type="dxa"/>
          </w:tcPr>
          <w:p w14:paraId="53B7E2EB" w14:textId="1828CA2B" w:rsidR="008D493D" w:rsidRPr="00A53AD7" w:rsidRDefault="008D493D" w:rsidP="00D724B7">
            <w:pPr>
              <w:spacing w:after="0" w:line="240" w:lineRule="auto"/>
              <w:jc w:val="center"/>
              <w:rPr>
                <w:rFonts w:ascii="Times New Roman" w:hAnsi="Times New Roman"/>
                <w:sz w:val="20"/>
                <w:szCs w:val="20"/>
              </w:rPr>
            </w:pPr>
            <w:r w:rsidRPr="00A53AD7">
              <w:rPr>
                <w:rFonts w:ascii="Times New Roman" w:hAnsi="Times New Roman"/>
                <w:sz w:val="20"/>
                <w:szCs w:val="20"/>
              </w:rPr>
              <w:t>54,6</w:t>
            </w:r>
          </w:p>
        </w:tc>
      </w:tr>
      <w:tr w:rsidR="00A53AD7" w:rsidRPr="00A53AD7" w14:paraId="392D6D4C" w14:textId="77777777" w:rsidTr="0032488F">
        <w:tc>
          <w:tcPr>
            <w:tcW w:w="817" w:type="dxa"/>
            <w:vMerge w:val="restart"/>
            <w:shd w:val="clear" w:color="auto" w:fill="F2F2F2"/>
          </w:tcPr>
          <w:p w14:paraId="387F717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0C30FA0A" w14:textId="69AF5399"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4DF5054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187,0</w:t>
            </w:r>
          </w:p>
        </w:tc>
        <w:tc>
          <w:tcPr>
            <w:tcW w:w="850" w:type="dxa"/>
            <w:shd w:val="clear" w:color="auto" w:fill="F2F2F2"/>
          </w:tcPr>
          <w:p w14:paraId="4BD7949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83,7</w:t>
            </w:r>
          </w:p>
        </w:tc>
        <w:tc>
          <w:tcPr>
            <w:tcW w:w="709" w:type="dxa"/>
            <w:shd w:val="clear" w:color="auto" w:fill="F2F2F2"/>
          </w:tcPr>
          <w:p w14:paraId="286C0FA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50,7</w:t>
            </w:r>
          </w:p>
        </w:tc>
        <w:tc>
          <w:tcPr>
            <w:tcW w:w="816" w:type="dxa"/>
            <w:shd w:val="clear" w:color="auto" w:fill="F2F2F2"/>
          </w:tcPr>
          <w:p w14:paraId="54A0D58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52,7</w:t>
            </w:r>
          </w:p>
        </w:tc>
      </w:tr>
      <w:tr w:rsidR="00A53AD7" w:rsidRPr="00A53AD7" w14:paraId="0191F032" w14:textId="77777777" w:rsidTr="0032488F">
        <w:tc>
          <w:tcPr>
            <w:tcW w:w="817" w:type="dxa"/>
            <w:vMerge/>
            <w:shd w:val="clear" w:color="auto" w:fill="F2F2F2"/>
          </w:tcPr>
          <w:p w14:paraId="1EC6C5BE"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4A9CC84A"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0CE866A2" w14:textId="6FE0885E"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98,7%</w:t>
            </w:r>
          </w:p>
        </w:tc>
        <w:tc>
          <w:tcPr>
            <w:tcW w:w="850" w:type="dxa"/>
            <w:shd w:val="clear" w:color="auto" w:fill="F2F2F2"/>
          </w:tcPr>
          <w:p w14:paraId="4AB60C60"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99,9%</w:t>
            </w:r>
          </w:p>
        </w:tc>
        <w:tc>
          <w:tcPr>
            <w:tcW w:w="709" w:type="dxa"/>
            <w:shd w:val="clear" w:color="auto" w:fill="F2F2F2"/>
          </w:tcPr>
          <w:p w14:paraId="45058934"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99,6%</w:t>
            </w:r>
          </w:p>
        </w:tc>
        <w:tc>
          <w:tcPr>
            <w:tcW w:w="816" w:type="dxa"/>
            <w:shd w:val="clear" w:color="auto" w:fill="F2F2F2"/>
          </w:tcPr>
          <w:p w14:paraId="006D70ED"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96,5%</w:t>
            </w:r>
          </w:p>
        </w:tc>
      </w:tr>
      <w:tr w:rsidR="00A53AD7" w:rsidRPr="00A53AD7" w14:paraId="07A87B2B" w14:textId="77777777" w:rsidTr="0032488F">
        <w:tc>
          <w:tcPr>
            <w:tcW w:w="817" w:type="dxa"/>
          </w:tcPr>
          <w:p w14:paraId="56B85534"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2.1</w:t>
            </w:r>
          </w:p>
        </w:tc>
        <w:tc>
          <w:tcPr>
            <w:tcW w:w="5387" w:type="dxa"/>
          </w:tcPr>
          <w:p w14:paraId="78A98337"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Издание информационных материалов о реализации подпрограммы N 2</w:t>
            </w:r>
          </w:p>
        </w:tc>
        <w:tc>
          <w:tcPr>
            <w:tcW w:w="869" w:type="dxa"/>
          </w:tcPr>
          <w:p w14:paraId="1A1BC5FA"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0,07</w:t>
            </w:r>
          </w:p>
        </w:tc>
        <w:tc>
          <w:tcPr>
            <w:tcW w:w="850" w:type="dxa"/>
          </w:tcPr>
          <w:p w14:paraId="3686B80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694DA9F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0,07</w:t>
            </w:r>
          </w:p>
        </w:tc>
        <w:tc>
          <w:tcPr>
            <w:tcW w:w="816" w:type="dxa"/>
          </w:tcPr>
          <w:p w14:paraId="637E845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6D4844F0" w14:textId="77777777" w:rsidTr="0032488F">
        <w:tc>
          <w:tcPr>
            <w:tcW w:w="817" w:type="dxa"/>
            <w:vMerge w:val="restart"/>
            <w:shd w:val="clear" w:color="auto" w:fill="F2F2F2"/>
          </w:tcPr>
          <w:p w14:paraId="6589C782"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71B7AA7A" w14:textId="24B4106D"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2E140BD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0,07</w:t>
            </w:r>
          </w:p>
        </w:tc>
        <w:tc>
          <w:tcPr>
            <w:tcW w:w="850" w:type="dxa"/>
            <w:shd w:val="clear" w:color="auto" w:fill="F2F2F2"/>
          </w:tcPr>
          <w:p w14:paraId="5218461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08460FF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0,07</w:t>
            </w:r>
          </w:p>
        </w:tc>
        <w:tc>
          <w:tcPr>
            <w:tcW w:w="816" w:type="dxa"/>
            <w:shd w:val="clear" w:color="auto" w:fill="F2F2F2"/>
          </w:tcPr>
          <w:p w14:paraId="02E02DC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2B35A6CC" w14:textId="77777777" w:rsidTr="0032488F">
        <w:tc>
          <w:tcPr>
            <w:tcW w:w="817" w:type="dxa"/>
            <w:vMerge/>
            <w:shd w:val="clear" w:color="auto" w:fill="F2F2F2"/>
          </w:tcPr>
          <w:p w14:paraId="0889A6C0"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23CECC06"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7425446A" w14:textId="13DC798F"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54BE7CB6"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2AC322AB"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16" w:type="dxa"/>
            <w:shd w:val="clear" w:color="auto" w:fill="F2F2F2"/>
          </w:tcPr>
          <w:p w14:paraId="1B15B7B7"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6F527309" w14:textId="77777777" w:rsidTr="0032488F">
        <w:tc>
          <w:tcPr>
            <w:tcW w:w="817" w:type="dxa"/>
          </w:tcPr>
          <w:p w14:paraId="444CA63E"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2.2</w:t>
            </w:r>
          </w:p>
        </w:tc>
        <w:tc>
          <w:tcPr>
            <w:tcW w:w="5387" w:type="dxa"/>
          </w:tcPr>
          <w:p w14:paraId="4B9272F6"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Изготовление свидетельств о праве на получение социальной выплаты и приобретение (строительство) жилья на территории Архангельской области</w:t>
            </w:r>
          </w:p>
        </w:tc>
        <w:tc>
          <w:tcPr>
            <w:tcW w:w="869" w:type="dxa"/>
          </w:tcPr>
          <w:p w14:paraId="4C512A6C" w14:textId="77777777" w:rsidR="008D493D" w:rsidRPr="00A53AD7" w:rsidRDefault="008D493D" w:rsidP="008D493D">
            <w:pPr>
              <w:spacing w:after="0" w:line="240" w:lineRule="auto"/>
              <w:jc w:val="center"/>
              <w:rPr>
                <w:rFonts w:ascii="Times New Roman" w:hAnsi="Times New Roman"/>
                <w:sz w:val="20"/>
                <w:szCs w:val="20"/>
              </w:rPr>
            </w:pPr>
          </w:p>
          <w:p w14:paraId="60D5500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0,01</w:t>
            </w:r>
          </w:p>
        </w:tc>
        <w:tc>
          <w:tcPr>
            <w:tcW w:w="850" w:type="dxa"/>
          </w:tcPr>
          <w:p w14:paraId="726BA109" w14:textId="77777777" w:rsidR="008D493D" w:rsidRPr="00A53AD7" w:rsidRDefault="008D493D" w:rsidP="008D493D">
            <w:pPr>
              <w:spacing w:after="0" w:line="240" w:lineRule="auto"/>
              <w:jc w:val="center"/>
              <w:rPr>
                <w:rFonts w:ascii="Times New Roman" w:hAnsi="Times New Roman"/>
                <w:sz w:val="20"/>
                <w:szCs w:val="20"/>
              </w:rPr>
            </w:pPr>
          </w:p>
          <w:p w14:paraId="260DD29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7B54386D" w14:textId="77777777" w:rsidR="008D493D" w:rsidRPr="00A53AD7" w:rsidRDefault="008D493D" w:rsidP="008D493D">
            <w:pPr>
              <w:spacing w:after="0" w:line="240" w:lineRule="auto"/>
              <w:jc w:val="center"/>
              <w:rPr>
                <w:rFonts w:ascii="Times New Roman" w:hAnsi="Times New Roman"/>
                <w:sz w:val="20"/>
                <w:szCs w:val="20"/>
              </w:rPr>
            </w:pPr>
          </w:p>
          <w:p w14:paraId="6905A46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0,01</w:t>
            </w:r>
          </w:p>
        </w:tc>
        <w:tc>
          <w:tcPr>
            <w:tcW w:w="816" w:type="dxa"/>
          </w:tcPr>
          <w:p w14:paraId="18821376" w14:textId="77777777" w:rsidR="008D493D" w:rsidRPr="00A53AD7" w:rsidRDefault="008D493D" w:rsidP="008D493D">
            <w:pPr>
              <w:spacing w:after="0" w:line="240" w:lineRule="auto"/>
              <w:jc w:val="center"/>
              <w:rPr>
                <w:rFonts w:ascii="Times New Roman" w:hAnsi="Times New Roman"/>
                <w:sz w:val="20"/>
                <w:szCs w:val="20"/>
              </w:rPr>
            </w:pPr>
          </w:p>
          <w:p w14:paraId="5131673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344E4E1A" w14:textId="77777777" w:rsidTr="0032488F">
        <w:tc>
          <w:tcPr>
            <w:tcW w:w="817" w:type="dxa"/>
            <w:vMerge w:val="restart"/>
            <w:shd w:val="clear" w:color="auto" w:fill="F2F2F2"/>
          </w:tcPr>
          <w:p w14:paraId="49142558"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24E96B3A" w14:textId="77AF023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29C343C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0,004</w:t>
            </w:r>
          </w:p>
        </w:tc>
        <w:tc>
          <w:tcPr>
            <w:tcW w:w="850" w:type="dxa"/>
            <w:shd w:val="clear" w:color="auto" w:fill="F2F2F2"/>
          </w:tcPr>
          <w:p w14:paraId="430BC32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354A2F7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0,004</w:t>
            </w:r>
          </w:p>
        </w:tc>
        <w:tc>
          <w:tcPr>
            <w:tcW w:w="816" w:type="dxa"/>
            <w:shd w:val="clear" w:color="auto" w:fill="F2F2F2"/>
          </w:tcPr>
          <w:p w14:paraId="7A0BDDF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23BE163F" w14:textId="77777777" w:rsidTr="0032488F">
        <w:tc>
          <w:tcPr>
            <w:tcW w:w="817" w:type="dxa"/>
            <w:vMerge/>
            <w:shd w:val="clear" w:color="auto" w:fill="F2F2F2"/>
          </w:tcPr>
          <w:p w14:paraId="3B17167C"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7FC6611E"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3231B159" w14:textId="0C301CB9"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43,0%</w:t>
            </w:r>
          </w:p>
        </w:tc>
        <w:tc>
          <w:tcPr>
            <w:tcW w:w="850" w:type="dxa"/>
            <w:shd w:val="clear" w:color="auto" w:fill="F2F2F2"/>
          </w:tcPr>
          <w:p w14:paraId="376D6425"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102B28F1" w14:textId="2CCA9A68"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43,0%</w:t>
            </w:r>
          </w:p>
        </w:tc>
        <w:tc>
          <w:tcPr>
            <w:tcW w:w="816" w:type="dxa"/>
            <w:shd w:val="clear" w:color="auto" w:fill="F2F2F2"/>
          </w:tcPr>
          <w:p w14:paraId="62CE69CF"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7D0E1E7C" w14:textId="77777777" w:rsidTr="0032488F">
        <w:tc>
          <w:tcPr>
            <w:tcW w:w="817" w:type="dxa"/>
          </w:tcPr>
          <w:p w14:paraId="4E6845E1" w14:textId="77777777" w:rsidR="008D493D" w:rsidRPr="00A53AD7" w:rsidRDefault="008D493D" w:rsidP="008D493D">
            <w:pPr>
              <w:spacing w:after="0" w:line="240" w:lineRule="auto"/>
              <w:jc w:val="both"/>
              <w:rPr>
                <w:rFonts w:ascii="Times New Roman" w:hAnsi="Times New Roman"/>
                <w:sz w:val="20"/>
                <w:szCs w:val="20"/>
              </w:rPr>
            </w:pPr>
          </w:p>
        </w:tc>
        <w:tc>
          <w:tcPr>
            <w:tcW w:w="5387" w:type="dxa"/>
          </w:tcPr>
          <w:p w14:paraId="114D9E29" w14:textId="77777777"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Итого по подпрограмме №2</w:t>
            </w:r>
          </w:p>
        </w:tc>
        <w:tc>
          <w:tcPr>
            <w:tcW w:w="869" w:type="dxa"/>
          </w:tcPr>
          <w:p w14:paraId="69B94111"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189,4</w:t>
            </w:r>
          </w:p>
        </w:tc>
        <w:tc>
          <w:tcPr>
            <w:tcW w:w="850" w:type="dxa"/>
          </w:tcPr>
          <w:p w14:paraId="03020F88"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83,8</w:t>
            </w:r>
          </w:p>
        </w:tc>
        <w:tc>
          <w:tcPr>
            <w:tcW w:w="709" w:type="dxa"/>
          </w:tcPr>
          <w:p w14:paraId="011A8C88"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51,0</w:t>
            </w:r>
          </w:p>
        </w:tc>
        <w:tc>
          <w:tcPr>
            <w:tcW w:w="816" w:type="dxa"/>
          </w:tcPr>
          <w:p w14:paraId="4AA6D389" w14:textId="73926045" w:rsidR="008D493D" w:rsidRPr="00A53AD7" w:rsidRDefault="008D493D" w:rsidP="00D724B7">
            <w:pPr>
              <w:spacing w:after="0" w:line="240" w:lineRule="auto"/>
              <w:jc w:val="center"/>
              <w:rPr>
                <w:rFonts w:ascii="Times New Roman" w:hAnsi="Times New Roman"/>
                <w:b/>
                <w:sz w:val="20"/>
                <w:szCs w:val="20"/>
              </w:rPr>
            </w:pPr>
            <w:r w:rsidRPr="00A53AD7">
              <w:rPr>
                <w:rFonts w:ascii="Times New Roman" w:hAnsi="Times New Roman"/>
                <w:b/>
                <w:sz w:val="20"/>
                <w:szCs w:val="20"/>
              </w:rPr>
              <w:t>54,6</w:t>
            </w:r>
          </w:p>
        </w:tc>
      </w:tr>
      <w:tr w:rsidR="00A53AD7" w:rsidRPr="00A53AD7" w14:paraId="696CC990" w14:textId="77777777" w:rsidTr="0032488F">
        <w:tc>
          <w:tcPr>
            <w:tcW w:w="817" w:type="dxa"/>
            <w:vMerge w:val="restart"/>
            <w:shd w:val="clear" w:color="auto" w:fill="F2F2F2"/>
          </w:tcPr>
          <w:p w14:paraId="21B47495"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22E94395" w14:textId="419A6F00"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69D28198"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187,0</w:t>
            </w:r>
          </w:p>
        </w:tc>
        <w:tc>
          <w:tcPr>
            <w:tcW w:w="850" w:type="dxa"/>
            <w:shd w:val="clear" w:color="auto" w:fill="F2F2F2"/>
          </w:tcPr>
          <w:p w14:paraId="4BC29596"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83,7</w:t>
            </w:r>
          </w:p>
        </w:tc>
        <w:tc>
          <w:tcPr>
            <w:tcW w:w="709" w:type="dxa"/>
            <w:shd w:val="clear" w:color="auto" w:fill="F2F2F2"/>
          </w:tcPr>
          <w:p w14:paraId="02F16E84"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50,7</w:t>
            </w:r>
          </w:p>
        </w:tc>
        <w:tc>
          <w:tcPr>
            <w:tcW w:w="816" w:type="dxa"/>
            <w:shd w:val="clear" w:color="auto" w:fill="F2F2F2"/>
          </w:tcPr>
          <w:p w14:paraId="03297B53"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52,6</w:t>
            </w:r>
          </w:p>
        </w:tc>
      </w:tr>
      <w:tr w:rsidR="00A53AD7" w:rsidRPr="00A53AD7" w14:paraId="124AF6B3" w14:textId="77777777" w:rsidTr="0032488F">
        <w:tc>
          <w:tcPr>
            <w:tcW w:w="817" w:type="dxa"/>
            <w:vMerge/>
            <w:shd w:val="clear" w:color="auto" w:fill="F2F2F2"/>
          </w:tcPr>
          <w:p w14:paraId="0D7D82CF"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231007CF" w14:textId="77777777" w:rsidR="008D493D" w:rsidRPr="00A53AD7" w:rsidRDefault="008D493D" w:rsidP="008D493D">
            <w:pPr>
              <w:spacing w:after="0" w:line="240" w:lineRule="auto"/>
              <w:jc w:val="both"/>
              <w:rPr>
                <w:rFonts w:ascii="Times New Roman" w:hAnsi="Times New Roman"/>
                <w:b/>
                <w:sz w:val="20"/>
                <w:szCs w:val="20"/>
              </w:rPr>
            </w:pPr>
          </w:p>
        </w:tc>
        <w:tc>
          <w:tcPr>
            <w:tcW w:w="869" w:type="dxa"/>
            <w:shd w:val="clear" w:color="auto" w:fill="F2F2F2"/>
          </w:tcPr>
          <w:p w14:paraId="0D2774E0" w14:textId="518424C3" w:rsidR="008D493D" w:rsidRPr="00A53AD7" w:rsidRDefault="008D493D" w:rsidP="00D724B7">
            <w:pPr>
              <w:spacing w:after="0" w:line="240" w:lineRule="auto"/>
              <w:jc w:val="center"/>
              <w:rPr>
                <w:rFonts w:ascii="Times New Roman" w:hAnsi="Times New Roman"/>
                <w:b/>
                <w:sz w:val="18"/>
                <w:szCs w:val="18"/>
              </w:rPr>
            </w:pPr>
            <w:r w:rsidRPr="00A53AD7">
              <w:rPr>
                <w:rFonts w:ascii="Times New Roman" w:hAnsi="Times New Roman"/>
                <w:b/>
                <w:sz w:val="18"/>
                <w:szCs w:val="18"/>
              </w:rPr>
              <w:t>98,7%</w:t>
            </w:r>
          </w:p>
        </w:tc>
        <w:tc>
          <w:tcPr>
            <w:tcW w:w="850" w:type="dxa"/>
            <w:shd w:val="clear" w:color="auto" w:fill="F2F2F2"/>
          </w:tcPr>
          <w:p w14:paraId="3DBB7A29"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99,9%</w:t>
            </w:r>
          </w:p>
        </w:tc>
        <w:tc>
          <w:tcPr>
            <w:tcW w:w="709" w:type="dxa"/>
            <w:shd w:val="clear" w:color="auto" w:fill="F2F2F2"/>
          </w:tcPr>
          <w:p w14:paraId="5C4A46FE" w14:textId="77777777" w:rsidR="008D493D" w:rsidRPr="00A53AD7" w:rsidRDefault="008D493D" w:rsidP="008D493D">
            <w:pPr>
              <w:spacing w:after="0" w:line="240" w:lineRule="auto"/>
              <w:jc w:val="center"/>
              <w:rPr>
                <w:rFonts w:ascii="Times New Roman" w:hAnsi="Times New Roman"/>
                <w:b/>
                <w:sz w:val="17"/>
                <w:szCs w:val="17"/>
              </w:rPr>
            </w:pPr>
            <w:r w:rsidRPr="00A53AD7">
              <w:rPr>
                <w:rFonts w:ascii="Times New Roman" w:hAnsi="Times New Roman"/>
                <w:b/>
                <w:sz w:val="17"/>
                <w:szCs w:val="17"/>
              </w:rPr>
              <w:t>99,4%</w:t>
            </w:r>
          </w:p>
        </w:tc>
        <w:tc>
          <w:tcPr>
            <w:tcW w:w="816" w:type="dxa"/>
            <w:shd w:val="clear" w:color="auto" w:fill="F2F2F2"/>
          </w:tcPr>
          <w:p w14:paraId="28925EC8"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96,3%</w:t>
            </w:r>
          </w:p>
        </w:tc>
      </w:tr>
      <w:tr w:rsidR="00A53AD7" w:rsidRPr="00A53AD7" w14:paraId="174E7E37" w14:textId="77777777" w:rsidTr="0032488F">
        <w:tc>
          <w:tcPr>
            <w:tcW w:w="9448" w:type="dxa"/>
            <w:gridSpan w:val="6"/>
          </w:tcPr>
          <w:p w14:paraId="60E6F4E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b/>
                <w:sz w:val="20"/>
                <w:szCs w:val="20"/>
              </w:rPr>
              <w:t>Подпрограмма №3 "Развитие промышленности строительных материалов в Архангельской области"</w:t>
            </w:r>
          </w:p>
        </w:tc>
      </w:tr>
      <w:tr w:rsidR="00A53AD7" w:rsidRPr="00A53AD7" w14:paraId="2EDB6BC8" w14:textId="77777777" w:rsidTr="0032488F">
        <w:tc>
          <w:tcPr>
            <w:tcW w:w="817" w:type="dxa"/>
          </w:tcPr>
          <w:p w14:paraId="394CC937" w14:textId="77777777" w:rsidR="008D493D" w:rsidRPr="00A53AD7" w:rsidRDefault="008D493D" w:rsidP="008D493D">
            <w:pPr>
              <w:spacing w:after="0" w:line="240" w:lineRule="auto"/>
              <w:jc w:val="both"/>
              <w:rPr>
                <w:rFonts w:ascii="Times New Roman" w:hAnsi="Times New Roman"/>
                <w:sz w:val="20"/>
                <w:szCs w:val="20"/>
              </w:rPr>
            </w:pPr>
          </w:p>
        </w:tc>
        <w:tc>
          <w:tcPr>
            <w:tcW w:w="5387" w:type="dxa"/>
          </w:tcPr>
          <w:p w14:paraId="36FD00D3" w14:textId="558323AE" w:rsidR="008D493D" w:rsidRPr="00A53AD7" w:rsidRDefault="008D493D" w:rsidP="00D724B7">
            <w:pPr>
              <w:spacing w:after="0" w:line="240" w:lineRule="auto"/>
              <w:jc w:val="both"/>
              <w:rPr>
                <w:rFonts w:ascii="Times New Roman" w:hAnsi="Times New Roman"/>
                <w:sz w:val="20"/>
                <w:szCs w:val="20"/>
              </w:rPr>
            </w:pPr>
            <w:r w:rsidRPr="00A53AD7">
              <w:rPr>
                <w:rFonts w:ascii="Times New Roman" w:hAnsi="Times New Roman"/>
                <w:sz w:val="20"/>
                <w:szCs w:val="20"/>
              </w:rPr>
              <w:t>Мероприятия на 2019 год не предусмотрены</w:t>
            </w:r>
          </w:p>
        </w:tc>
        <w:tc>
          <w:tcPr>
            <w:tcW w:w="869" w:type="dxa"/>
          </w:tcPr>
          <w:p w14:paraId="231578F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850" w:type="dxa"/>
          </w:tcPr>
          <w:p w14:paraId="09CD8AA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09" w:type="dxa"/>
          </w:tcPr>
          <w:p w14:paraId="2D4DA92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816" w:type="dxa"/>
          </w:tcPr>
          <w:p w14:paraId="175EE74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r>
      <w:tr w:rsidR="00A53AD7" w:rsidRPr="00A53AD7" w14:paraId="6EC4AD79" w14:textId="77777777" w:rsidTr="0032488F">
        <w:tc>
          <w:tcPr>
            <w:tcW w:w="9448" w:type="dxa"/>
            <w:gridSpan w:val="6"/>
          </w:tcPr>
          <w:p w14:paraId="32C29B1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b/>
                <w:sz w:val="20"/>
                <w:szCs w:val="20"/>
              </w:rPr>
              <w:t>Подпрограмма №4 "Создание условий для реализации государственной программы"</w:t>
            </w:r>
          </w:p>
        </w:tc>
      </w:tr>
      <w:tr w:rsidR="00A53AD7" w:rsidRPr="00A53AD7" w14:paraId="2C1EE005" w14:textId="77777777" w:rsidTr="0032488F">
        <w:tc>
          <w:tcPr>
            <w:tcW w:w="817" w:type="dxa"/>
          </w:tcPr>
          <w:p w14:paraId="0A3FFF49"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1.1</w:t>
            </w:r>
          </w:p>
        </w:tc>
        <w:tc>
          <w:tcPr>
            <w:tcW w:w="5387" w:type="dxa"/>
          </w:tcPr>
          <w:p w14:paraId="54313E9A"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государственных функций в сфере капитального строительства министерством строительства и архитектуры</w:t>
            </w:r>
          </w:p>
        </w:tc>
        <w:tc>
          <w:tcPr>
            <w:tcW w:w="869" w:type="dxa"/>
          </w:tcPr>
          <w:p w14:paraId="003B84CC" w14:textId="77777777" w:rsidR="008D493D" w:rsidRPr="00A53AD7" w:rsidRDefault="008D493D" w:rsidP="008D493D">
            <w:pPr>
              <w:spacing w:after="0" w:line="240" w:lineRule="auto"/>
              <w:jc w:val="center"/>
              <w:rPr>
                <w:rFonts w:ascii="Times New Roman" w:hAnsi="Times New Roman"/>
                <w:sz w:val="20"/>
                <w:szCs w:val="20"/>
              </w:rPr>
            </w:pPr>
          </w:p>
          <w:p w14:paraId="06623A5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49,0</w:t>
            </w:r>
          </w:p>
        </w:tc>
        <w:tc>
          <w:tcPr>
            <w:tcW w:w="850" w:type="dxa"/>
          </w:tcPr>
          <w:p w14:paraId="0164BFE0" w14:textId="77777777" w:rsidR="008D493D" w:rsidRPr="00A53AD7" w:rsidRDefault="008D493D" w:rsidP="008D493D">
            <w:pPr>
              <w:spacing w:after="0" w:line="240" w:lineRule="auto"/>
              <w:jc w:val="center"/>
              <w:rPr>
                <w:rFonts w:ascii="Times New Roman" w:hAnsi="Times New Roman"/>
                <w:sz w:val="20"/>
                <w:szCs w:val="20"/>
              </w:rPr>
            </w:pPr>
          </w:p>
          <w:p w14:paraId="1121B2E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54DA0AC0" w14:textId="77777777" w:rsidR="008D493D" w:rsidRPr="00A53AD7" w:rsidRDefault="008D493D" w:rsidP="008D493D">
            <w:pPr>
              <w:spacing w:after="0" w:line="240" w:lineRule="auto"/>
              <w:jc w:val="center"/>
              <w:rPr>
                <w:rFonts w:ascii="Times New Roman" w:hAnsi="Times New Roman"/>
                <w:sz w:val="20"/>
                <w:szCs w:val="20"/>
              </w:rPr>
            </w:pPr>
          </w:p>
          <w:p w14:paraId="4BDB587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49,0</w:t>
            </w:r>
          </w:p>
        </w:tc>
        <w:tc>
          <w:tcPr>
            <w:tcW w:w="816" w:type="dxa"/>
          </w:tcPr>
          <w:p w14:paraId="38DEF001" w14:textId="77777777" w:rsidR="008D493D" w:rsidRPr="00A53AD7" w:rsidRDefault="008D493D" w:rsidP="008D493D">
            <w:pPr>
              <w:spacing w:after="0" w:line="240" w:lineRule="auto"/>
              <w:jc w:val="center"/>
              <w:rPr>
                <w:rFonts w:ascii="Times New Roman" w:hAnsi="Times New Roman"/>
                <w:sz w:val="20"/>
                <w:szCs w:val="20"/>
              </w:rPr>
            </w:pPr>
          </w:p>
          <w:p w14:paraId="5BAA377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3AA82492" w14:textId="77777777" w:rsidTr="0032488F">
        <w:tc>
          <w:tcPr>
            <w:tcW w:w="817" w:type="dxa"/>
            <w:vMerge w:val="restart"/>
            <w:shd w:val="clear" w:color="auto" w:fill="F2F2F2"/>
          </w:tcPr>
          <w:p w14:paraId="3784E91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00EF304A" w14:textId="5AB3CABE"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731C2FF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46,0</w:t>
            </w:r>
          </w:p>
        </w:tc>
        <w:tc>
          <w:tcPr>
            <w:tcW w:w="850" w:type="dxa"/>
            <w:shd w:val="clear" w:color="auto" w:fill="F2F2F2"/>
          </w:tcPr>
          <w:p w14:paraId="1B681F1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047CD7E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46,0</w:t>
            </w:r>
          </w:p>
        </w:tc>
        <w:tc>
          <w:tcPr>
            <w:tcW w:w="816" w:type="dxa"/>
            <w:shd w:val="clear" w:color="auto" w:fill="F2F2F2"/>
          </w:tcPr>
          <w:p w14:paraId="44743F2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1D6F5F87" w14:textId="77777777" w:rsidTr="0032488F">
        <w:tc>
          <w:tcPr>
            <w:tcW w:w="817" w:type="dxa"/>
            <w:vMerge/>
            <w:shd w:val="clear" w:color="auto" w:fill="F2F2F2"/>
          </w:tcPr>
          <w:p w14:paraId="5F8FC79C"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29E98BF5"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7FAAF923"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93,9%</w:t>
            </w:r>
          </w:p>
        </w:tc>
        <w:tc>
          <w:tcPr>
            <w:tcW w:w="850" w:type="dxa"/>
            <w:shd w:val="clear" w:color="auto" w:fill="F2F2F2"/>
          </w:tcPr>
          <w:p w14:paraId="5D24AA53"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62A720AB"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93,9%</w:t>
            </w:r>
          </w:p>
        </w:tc>
        <w:tc>
          <w:tcPr>
            <w:tcW w:w="816" w:type="dxa"/>
            <w:shd w:val="clear" w:color="auto" w:fill="F2F2F2"/>
          </w:tcPr>
          <w:p w14:paraId="6B43A720" w14:textId="22FCB80F"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15E22AF5" w14:textId="77777777" w:rsidTr="0032488F">
        <w:tc>
          <w:tcPr>
            <w:tcW w:w="817" w:type="dxa"/>
          </w:tcPr>
          <w:p w14:paraId="54B07CE8"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1.2</w:t>
            </w:r>
          </w:p>
        </w:tc>
        <w:tc>
          <w:tcPr>
            <w:tcW w:w="5387" w:type="dxa"/>
          </w:tcPr>
          <w:p w14:paraId="11B4B955"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государственным казенным учреждением Архангельской области "Главное управление капитального строительства" государственных функций технического заказчика по объектам капитального строительства, а также оплата услуг по охране, коммунальных услуг и других платежей по жилым помещениям, заказчиком работ по которым является учреждение, и земельным участкам, на которые зарегистрировано право постоянного бессрочного пользования</w:t>
            </w:r>
          </w:p>
        </w:tc>
        <w:tc>
          <w:tcPr>
            <w:tcW w:w="869" w:type="dxa"/>
          </w:tcPr>
          <w:p w14:paraId="5D36BEAE" w14:textId="77777777" w:rsidR="008D493D" w:rsidRPr="00A53AD7" w:rsidRDefault="008D493D" w:rsidP="008D493D">
            <w:pPr>
              <w:spacing w:after="0" w:line="240" w:lineRule="auto"/>
              <w:jc w:val="center"/>
              <w:rPr>
                <w:rFonts w:ascii="Times New Roman" w:hAnsi="Times New Roman"/>
                <w:sz w:val="20"/>
                <w:szCs w:val="20"/>
              </w:rPr>
            </w:pPr>
          </w:p>
          <w:p w14:paraId="183DFA05" w14:textId="77777777" w:rsidR="008D493D" w:rsidRPr="00A53AD7" w:rsidRDefault="008D493D" w:rsidP="008D493D">
            <w:pPr>
              <w:spacing w:after="0" w:line="240" w:lineRule="auto"/>
              <w:jc w:val="center"/>
              <w:rPr>
                <w:rFonts w:ascii="Times New Roman" w:hAnsi="Times New Roman"/>
                <w:sz w:val="20"/>
                <w:szCs w:val="20"/>
              </w:rPr>
            </w:pPr>
          </w:p>
          <w:p w14:paraId="1CAD5F5F" w14:textId="77777777" w:rsidR="008D493D" w:rsidRPr="00A53AD7" w:rsidRDefault="008D493D" w:rsidP="008D493D">
            <w:pPr>
              <w:spacing w:after="0" w:line="240" w:lineRule="auto"/>
              <w:jc w:val="center"/>
              <w:rPr>
                <w:rFonts w:ascii="Times New Roman" w:hAnsi="Times New Roman"/>
                <w:sz w:val="20"/>
                <w:szCs w:val="20"/>
              </w:rPr>
            </w:pPr>
          </w:p>
          <w:p w14:paraId="423072EA" w14:textId="77777777" w:rsidR="008D493D" w:rsidRPr="00A53AD7" w:rsidRDefault="008D493D" w:rsidP="008D493D">
            <w:pPr>
              <w:spacing w:after="0" w:line="240" w:lineRule="auto"/>
              <w:jc w:val="center"/>
              <w:rPr>
                <w:rFonts w:ascii="Times New Roman" w:hAnsi="Times New Roman"/>
                <w:sz w:val="20"/>
                <w:szCs w:val="20"/>
              </w:rPr>
            </w:pPr>
          </w:p>
          <w:p w14:paraId="57B545B6" w14:textId="77777777" w:rsidR="008D493D" w:rsidRPr="00A53AD7" w:rsidRDefault="008D493D" w:rsidP="008D493D">
            <w:pPr>
              <w:spacing w:after="0" w:line="240" w:lineRule="auto"/>
              <w:jc w:val="center"/>
              <w:rPr>
                <w:rFonts w:ascii="Times New Roman" w:hAnsi="Times New Roman"/>
                <w:sz w:val="20"/>
                <w:szCs w:val="20"/>
              </w:rPr>
            </w:pPr>
          </w:p>
          <w:p w14:paraId="604034A0" w14:textId="77777777" w:rsidR="008D493D" w:rsidRPr="00A53AD7" w:rsidRDefault="008D493D" w:rsidP="008D493D">
            <w:pPr>
              <w:spacing w:after="0" w:line="240" w:lineRule="auto"/>
              <w:jc w:val="center"/>
              <w:rPr>
                <w:rFonts w:ascii="Times New Roman" w:hAnsi="Times New Roman"/>
                <w:sz w:val="20"/>
                <w:szCs w:val="20"/>
              </w:rPr>
            </w:pPr>
          </w:p>
          <w:p w14:paraId="1A2FD257" w14:textId="77777777" w:rsidR="008D493D" w:rsidRPr="00A53AD7" w:rsidRDefault="008D493D" w:rsidP="008D493D">
            <w:pPr>
              <w:spacing w:after="0" w:line="240" w:lineRule="auto"/>
              <w:jc w:val="center"/>
              <w:rPr>
                <w:rFonts w:ascii="Times New Roman" w:hAnsi="Times New Roman"/>
                <w:sz w:val="20"/>
                <w:szCs w:val="20"/>
              </w:rPr>
            </w:pPr>
          </w:p>
          <w:p w14:paraId="37A522E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82,5</w:t>
            </w:r>
          </w:p>
        </w:tc>
        <w:tc>
          <w:tcPr>
            <w:tcW w:w="850" w:type="dxa"/>
          </w:tcPr>
          <w:p w14:paraId="5537F252" w14:textId="77777777" w:rsidR="008D493D" w:rsidRPr="00A53AD7" w:rsidRDefault="008D493D" w:rsidP="008D493D">
            <w:pPr>
              <w:spacing w:after="0" w:line="240" w:lineRule="auto"/>
              <w:jc w:val="center"/>
              <w:rPr>
                <w:rFonts w:ascii="Times New Roman" w:hAnsi="Times New Roman"/>
                <w:sz w:val="20"/>
                <w:szCs w:val="20"/>
              </w:rPr>
            </w:pPr>
          </w:p>
          <w:p w14:paraId="5E5812CC" w14:textId="77777777" w:rsidR="008D493D" w:rsidRPr="00A53AD7" w:rsidRDefault="008D493D" w:rsidP="008D493D">
            <w:pPr>
              <w:spacing w:after="0" w:line="240" w:lineRule="auto"/>
              <w:jc w:val="center"/>
              <w:rPr>
                <w:rFonts w:ascii="Times New Roman" w:hAnsi="Times New Roman"/>
                <w:sz w:val="20"/>
                <w:szCs w:val="20"/>
              </w:rPr>
            </w:pPr>
          </w:p>
          <w:p w14:paraId="73D6023C" w14:textId="77777777" w:rsidR="008D493D" w:rsidRPr="00A53AD7" w:rsidRDefault="008D493D" w:rsidP="008D493D">
            <w:pPr>
              <w:spacing w:after="0" w:line="240" w:lineRule="auto"/>
              <w:jc w:val="center"/>
              <w:rPr>
                <w:rFonts w:ascii="Times New Roman" w:hAnsi="Times New Roman"/>
                <w:sz w:val="20"/>
                <w:szCs w:val="20"/>
              </w:rPr>
            </w:pPr>
          </w:p>
          <w:p w14:paraId="7420A7BD" w14:textId="77777777" w:rsidR="008D493D" w:rsidRPr="00A53AD7" w:rsidRDefault="008D493D" w:rsidP="008D493D">
            <w:pPr>
              <w:spacing w:after="0" w:line="240" w:lineRule="auto"/>
              <w:jc w:val="center"/>
              <w:rPr>
                <w:rFonts w:ascii="Times New Roman" w:hAnsi="Times New Roman"/>
                <w:sz w:val="20"/>
                <w:szCs w:val="20"/>
              </w:rPr>
            </w:pPr>
          </w:p>
          <w:p w14:paraId="23CFE5E3" w14:textId="77777777" w:rsidR="008D493D" w:rsidRPr="00A53AD7" w:rsidRDefault="008D493D" w:rsidP="008D493D">
            <w:pPr>
              <w:spacing w:after="0" w:line="240" w:lineRule="auto"/>
              <w:jc w:val="center"/>
              <w:rPr>
                <w:rFonts w:ascii="Times New Roman" w:hAnsi="Times New Roman"/>
                <w:sz w:val="20"/>
                <w:szCs w:val="20"/>
              </w:rPr>
            </w:pPr>
          </w:p>
          <w:p w14:paraId="79B3026A" w14:textId="77777777" w:rsidR="008D493D" w:rsidRPr="00A53AD7" w:rsidRDefault="008D493D" w:rsidP="008D493D">
            <w:pPr>
              <w:spacing w:after="0" w:line="240" w:lineRule="auto"/>
              <w:jc w:val="center"/>
              <w:rPr>
                <w:rFonts w:ascii="Times New Roman" w:hAnsi="Times New Roman"/>
                <w:sz w:val="20"/>
                <w:szCs w:val="20"/>
              </w:rPr>
            </w:pPr>
          </w:p>
          <w:p w14:paraId="63708B40" w14:textId="77777777" w:rsidR="008D493D" w:rsidRPr="00A53AD7" w:rsidRDefault="008D493D" w:rsidP="008D493D">
            <w:pPr>
              <w:spacing w:after="0" w:line="240" w:lineRule="auto"/>
              <w:jc w:val="center"/>
              <w:rPr>
                <w:rFonts w:ascii="Times New Roman" w:hAnsi="Times New Roman"/>
                <w:sz w:val="20"/>
                <w:szCs w:val="20"/>
              </w:rPr>
            </w:pPr>
          </w:p>
          <w:p w14:paraId="6F9B021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28AB54FE" w14:textId="77777777" w:rsidR="008D493D" w:rsidRPr="00A53AD7" w:rsidRDefault="008D493D" w:rsidP="008D493D">
            <w:pPr>
              <w:spacing w:after="0" w:line="240" w:lineRule="auto"/>
              <w:jc w:val="center"/>
              <w:rPr>
                <w:rFonts w:ascii="Times New Roman" w:hAnsi="Times New Roman"/>
                <w:sz w:val="20"/>
                <w:szCs w:val="20"/>
              </w:rPr>
            </w:pPr>
          </w:p>
          <w:p w14:paraId="4FE84FD7" w14:textId="77777777" w:rsidR="008D493D" w:rsidRPr="00A53AD7" w:rsidRDefault="008D493D" w:rsidP="008D493D">
            <w:pPr>
              <w:spacing w:after="0" w:line="240" w:lineRule="auto"/>
              <w:jc w:val="center"/>
              <w:rPr>
                <w:rFonts w:ascii="Times New Roman" w:hAnsi="Times New Roman"/>
                <w:sz w:val="20"/>
                <w:szCs w:val="20"/>
              </w:rPr>
            </w:pPr>
          </w:p>
          <w:p w14:paraId="1E4BD475" w14:textId="77777777" w:rsidR="008D493D" w:rsidRPr="00A53AD7" w:rsidRDefault="008D493D" w:rsidP="008D493D">
            <w:pPr>
              <w:spacing w:after="0" w:line="240" w:lineRule="auto"/>
              <w:jc w:val="center"/>
              <w:rPr>
                <w:rFonts w:ascii="Times New Roman" w:hAnsi="Times New Roman"/>
                <w:sz w:val="20"/>
                <w:szCs w:val="20"/>
              </w:rPr>
            </w:pPr>
          </w:p>
          <w:p w14:paraId="5E224ED0" w14:textId="77777777" w:rsidR="008D493D" w:rsidRPr="00A53AD7" w:rsidRDefault="008D493D" w:rsidP="008D493D">
            <w:pPr>
              <w:spacing w:after="0" w:line="240" w:lineRule="auto"/>
              <w:jc w:val="center"/>
              <w:rPr>
                <w:rFonts w:ascii="Times New Roman" w:hAnsi="Times New Roman"/>
                <w:sz w:val="20"/>
                <w:szCs w:val="20"/>
              </w:rPr>
            </w:pPr>
          </w:p>
          <w:p w14:paraId="6536783F" w14:textId="77777777" w:rsidR="008D493D" w:rsidRPr="00A53AD7" w:rsidRDefault="008D493D" w:rsidP="008D493D">
            <w:pPr>
              <w:spacing w:after="0" w:line="240" w:lineRule="auto"/>
              <w:jc w:val="center"/>
              <w:rPr>
                <w:rFonts w:ascii="Times New Roman" w:hAnsi="Times New Roman"/>
                <w:sz w:val="20"/>
                <w:szCs w:val="20"/>
              </w:rPr>
            </w:pPr>
          </w:p>
          <w:p w14:paraId="75AFFE4C" w14:textId="77777777" w:rsidR="008D493D" w:rsidRPr="00A53AD7" w:rsidRDefault="008D493D" w:rsidP="008D493D">
            <w:pPr>
              <w:spacing w:after="0" w:line="240" w:lineRule="auto"/>
              <w:jc w:val="center"/>
              <w:rPr>
                <w:rFonts w:ascii="Times New Roman" w:hAnsi="Times New Roman"/>
                <w:sz w:val="20"/>
                <w:szCs w:val="20"/>
              </w:rPr>
            </w:pPr>
          </w:p>
          <w:p w14:paraId="7BBB9BA6" w14:textId="77777777" w:rsidR="008D493D" w:rsidRPr="00A53AD7" w:rsidRDefault="008D493D" w:rsidP="008D493D">
            <w:pPr>
              <w:spacing w:after="0" w:line="240" w:lineRule="auto"/>
              <w:jc w:val="center"/>
              <w:rPr>
                <w:rFonts w:ascii="Times New Roman" w:hAnsi="Times New Roman"/>
                <w:sz w:val="20"/>
                <w:szCs w:val="20"/>
              </w:rPr>
            </w:pPr>
          </w:p>
          <w:p w14:paraId="674F1AD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82,5</w:t>
            </w:r>
          </w:p>
        </w:tc>
        <w:tc>
          <w:tcPr>
            <w:tcW w:w="816" w:type="dxa"/>
          </w:tcPr>
          <w:p w14:paraId="60C503AA" w14:textId="77777777" w:rsidR="008D493D" w:rsidRPr="00A53AD7" w:rsidRDefault="008D493D" w:rsidP="008D493D">
            <w:pPr>
              <w:spacing w:after="0" w:line="240" w:lineRule="auto"/>
              <w:jc w:val="center"/>
              <w:rPr>
                <w:rFonts w:ascii="Times New Roman" w:hAnsi="Times New Roman"/>
                <w:sz w:val="20"/>
                <w:szCs w:val="20"/>
              </w:rPr>
            </w:pPr>
          </w:p>
          <w:p w14:paraId="012A89FF" w14:textId="77777777" w:rsidR="008D493D" w:rsidRPr="00A53AD7" w:rsidRDefault="008D493D" w:rsidP="008D493D">
            <w:pPr>
              <w:spacing w:after="0" w:line="240" w:lineRule="auto"/>
              <w:jc w:val="center"/>
              <w:rPr>
                <w:rFonts w:ascii="Times New Roman" w:hAnsi="Times New Roman"/>
                <w:sz w:val="20"/>
                <w:szCs w:val="20"/>
              </w:rPr>
            </w:pPr>
          </w:p>
          <w:p w14:paraId="57FCAB11" w14:textId="77777777" w:rsidR="008D493D" w:rsidRPr="00A53AD7" w:rsidRDefault="008D493D" w:rsidP="008D493D">
            <w:pPr>
              <w:spacing w:after="0" w:line="240" w:lineRule="auto"/>
              <w:jc w:val="center"/>
              <w:rPr>
                <w:rFonts w:ascii="Times New Roman" w:hAnsi="Times New Roman"/>
                <w:sz w:val="20"/>
                <w:szCs w:val="20"/>
              </w:rPr>
            </w:pPr>
          </w:p>
          <w:p w14:paraId="133B8432" w14:textId="77777777" w:rsidR="008D493D" w:rsidRPr="00A53AD7" w:rsidRDefault="008D493D" w:rsidP="008D493D">
            <w:pPr>
              <w:spacing w:after="0" w:line="240" w:lineRule="auto"/>
              <w:jc w:val="center"/>
              <w:rPr>
                <w:rFonts w:ascii="Times New Roman" w:hAnsi="Times New Roman"/>
                <w:sz w:val="20"/>
                <w:szCs w:val="20"/>
              </w:rPr>
            </w:pPr>
          </w:p>
          <w:p w14:paraId="6D4B2902" w14:textId="77777777" w:rsidR="008D493D" w:rsidRPr="00A53AD7" w:rsidRDefault="008D493D" w:rsidP="008D493D">
            <w:pPr>
              <w:spacing w:after="0" w:line="240" w:lineRule="auto"/>
              <w:jc w:val="center"/>
              <w:rPr>
                <w:rFonts w:ascii="Times New Roman" w:hAnsi="Times New Roman"/>
                <w:sz w:val="20"/>
                <w:szCs w:val="20"/>
              </w:rPr>
            </w:pPr>
          </w:p>
          <w:p w14:paraId="7771306D" w14:textId="77777777" w:rsidR="008D493D" w:rsidRPr="00A53AD7" w:rsidRDefault="008D493D" w:rsidP="008D493D">
            <w:pPr>
              <w:spacing w:after="0" w:line="240" w:lineRule="auto"/>
              <w:jc w:val="center"/>
              <w:rPr>
                <w:rFonts w:ascii="Times New Roman" w:hAnsi="Times New Roman"/>
                <w:sz w:val="20"/>
                <w:szCs w:val="20"/>
              </w:rPr>
            </w:pPr>
          </w:p>
          <w:p w14:paraId="4C5BCBCB" w14:textId="77777777" w:rsidR="008D493D" w:rsidRPr="00A53AD7" w:rsidRDefault="008D493D" w:rsidP="008D493D">
            <w:pPr>
              <w:spacing w:after="0" w:line="240" w:lineRule="auto"/>
              <w:jc w:val="center"/>
              <w:rPr>
                <w:rFonts w:ascii="Times New Roman" w:hAnsi="Times New Roman"/>
                <w:sz w:val="20"/>
                <w:szCs w:val="20"/>
              </w:rPr>
            </w:pPr>
          </w:p>
          <w:p w14:paraId="78A610D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3624EDEA" w14:textId="77777777" w:rsidTr="0032488F">
        <w:tc>
          <w:tcPr>
            <w:tcW w:w="817" w:type="dxa"/>
            <w:vMerge w:val="restart"/>
            <w:shd w:val="clear" w:color="auto" w:fill="F2F2F2"/>
          </w:tcPr>
          <w:p w14:paraId="2096BADE"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518BA386" w14:textId="445D9752"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750D337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80,4</w:t>
            </w:r>
          </w:p>
        </w:tc>
        <w:tc>
          <w:tcPr>
            <w:tcW w:w="850" w:type="dxa"/>
            <w:shd w:val="clear" w:color="auto" w:fill="F2F2F2"/>
          </w:tcPr>
          <w:p w14:paraId="167BD8F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283E22F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80,4</w:t>
            </w:r>
          </w:p>
        </w:tc>
        <w:tc>
          <w:tcPr>
            <w:tcW w:w="816" w:type="dxa"/>
            <w:shd w:val="clear" w:color="auto" w:fill="F2F2F2"/>
          </w:tcPr>
          <w:p w14:paraId="72D024E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4A1A5B67" w14:textId="77777777" w:rsidTr="0032488F">
        <w:tc>
          <w:tcPr>
            <w:tcW w:w="817" w:type="dxa"/>
            <w:vMerge/>
            <w:shd w:val="clear" w:color="auto" w:fill="F2F2F2"/>
          </w:tcPr>
          <w:p w14:paraId="41C7F9CF"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2FC73ED6"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09C259E8"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97,5%</w:t>
            </w:r>
          </w:p>
        </w:tc>
        <w:tc>
          <w:tcPr>
            <w:tcW w:w="850" w:type="dxa"/>
            <w:shd w:val="clear" w:color="auto" w:fill="F2F2F2"/>
          </w:tcPr>
          <w:p w14:paraId="7FFFDBAA"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159B066A"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97,5%</w:t>
            </w:r>
          </w:p>
        </w:tc>
        <w:tc>
          <w:tcPr>
            <w:tcW w:w="816" w:type="dxa"/>
            <w:shd w:val="clear" w:color="auto" w:fill="F2F2F2"/>
          </w:tcPr>
          <w:p w14:paraId="1A5F039D" w14:textId="542DD5DD"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37AB9047" w14:textId="77777777" w:rsidTr="0032488F">
        <w:tc>
          <w:tcPr>
            <w:tcW w:w="817" w:type="dxa"/>
          </w:tcPr>
          <w:p w14:paraId="70314F30"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1.3</w:t>
            </w:r>
          </w:p>
        </w:tc>
        <w:tc>
          <w:tcPr>
            <w:tcW w:w="5387" w:type="dxa"/>
          </w:tcPr>
          <w:p w14:paraId="5EB185FF" w14:textId="5D294854" w:rsidR="008D493D" w:rsidRPr="00A53AD7" w:rsidRDefault="008D493D" w:rsidP="004073E7">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государственных функций в сфере ценообразования и сметного нормирования в строительстве государственным автономным учреждением Архангельской области "Архангельский региональный центр по ценообразованию в строительстве</w:t>
            </w:r>
          </w:p>
        </w:tc>
        <w:tc>
          <w:tcPr>
            <w:tcW w:w="869" w:type="dxa"/>
          </w:tcPr>
          <w:p w14:paraId="5B6E7C39" w14:textId="77777777" w:rsidR="008D493D" w:rsidRPr="00A53AD7" w:rsidRDefault="008D493D" w:rsidP="008D493D">
            <w:pPr>
              <w:spacing w:after="0" w:line="240" w:lineRule="auto"/>
              <w:jc w:val="center"/>
              <w:rPr>
                <w:rFonts w:ascii="Times New Roman" w:hAnsi="Times New Roman"/>
                <w:sz w:val="20"/>
                <w:szCs w:val="20"/>
              </w:rPr>
            </w:pPr>
          </w:p>
          <w:p w14:paraId="38A088D3" w14:textId="77777777" w:rsidR="008D493D" w:rsidRPr="00A53AD7" w:rsidRDefault="008D493D" w:rsidP="008D493D">
            <w:pPr>
              <w:spacing w:after="0" w:line="240" w:lineRule="auto"/>
              <w:jc w:val="center"/>
              <w:rPr>
                <w:rFonts w:ascii="Times New Roman" w:hAnsi="Times New Roman"/>
                <w:sz w:val="20"/>
                <w:szCs w:val="20"/>
              </w:rPr>
            </w:pPr>
          </w:p>
          <w:p w14:paraId="01ADD2A2" w14:textId="77777777" w:rsidR="008D493D" w:rsidRPr="00A53AD7" w:rsidRDefault="008D493D" w:rsidP="008D493D">
            <w:pPr>
              <w:spacing w:after="0" w:line="240" w:lineRule="auto"/>
              <w:jc w:val="center"/>
              <w:rPr>
                <w:rFonts w:ascii="Times New Roman" w:hAnsi="Times New Roman"/>
                <w:sz w:val="20"/>
                <w:szCs w:val="20"/>
              </w:rPr>
            </w:pPr>
          </w:p>
          <w:p w14:paraId="04764B60" w14:textId="77777777" w:rsidR="008D493D" w:rsidRPr="00A53AD7" w:rsidRDefault="008D493D" w:rsidP="008D493D">
            <w:pPr>
              <w:spacing w:after="0" w:line="240" w:lineRule="auto"/>
              <w:jc w:val="center"/>
              <w:rPr>
                <w:rFonts w:ascii="Times New Roman" w:hAnsi="Times New Roman"/>
                <w:sz w:val="20"/>
                <w:szCs w:val="20"/>
              </w:rPr>
            </w:pPr>
          </w:p>
          <w:p w14:paraId="4936500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21,1</w:t>
            </w:r>
          </w:p>
        </w:tc>
        <w:tc>
          <w:tcPr>
            <w:tcW w:w="850" w:type="dxa"/>
          </w:tcPr>
          <w:p w14:paraId="43A92F8B" w14:textId="77777777" w:rsidR="008D493D" w:rsidRPr="00A53AD7" w:rsidRDefault="008D493D" w:rsidP="008D493D">
            <w:pPr>
              <w:spacing w:after="0" w:line="240" w:lineRule="auto"/>
              <w:jc w:val="center"/>
              <w:rPr>
                <w:rFonts w:ascii="Times New Roman" w:hAnsi="Times New Roman"/>
                <w:sz w:val="20"/>
                <w:szCs w:val="20"/>
              </w:rPr>
            </w:pPr>
          </w:p>
          <w:p w14:paraId="4C91C096" w14:textId="77777777" w:rsidR="008D493D" w:rsidRPr="00A53AD7" w:rsidRDefault="008D493D" w:rsidP="008D493D">
            <w:pPr>
              <w:spacing w:after="0" w:line="240" w:lineRule="auto"/>
              <w:jc w:val="center"/>
              <w:rPr>
                <w:rFonts w:ascii="Times New Roman" w:hAnsi="Times New Roman"/>
                <w:sz w:val="20"/>
                <w:szCs w:val="20"/>
              </w:rPr>
            </w:pPr>
          </w:p>
          <w:p w14:paraId="0E961336" w14:textId="77777777" w:rsidR="008D493D" w:rsidRPr="00A53AD7" w:rsidRDefault="008D493D" w:rsidP="008D493D">
            <w:pPr>
              <w:spacing w:after="0" w:line="240" w:lineRule="auto"/>
              <w:jc w:val="center"/>
              <w:rPr>
                <w:rFonts w:ascii="Times New Roman" w:hAnsi="Times New Roman"/>
                <w:sz w:val="20"/>
                <w:szCs w:val="20"/>
              </w:rPr>
            </w:pPr>
          </w:p>
          <w:p w14:paraId="2E6BB47E" w14:textId="77777777" w:rsidR="008D493D" w:rsidRPr="00A53AD7" w:rsidRDefault="008D493D" w:rsidP="008D493D">
            <w:pPr>
              <w:spacing w:after="0" w:line="240" w:lineRule="auto"/>
              <w:jc w:val="center"/>
              <w:rPr>
                <w:rFonts w:ascii="Times New Roman" w:hAnsi="Times New Roman"/>
                <w:sz w:val="20"/>
                <w:szCs w:val="20"/>
              </w:rPr>
            </w:pPr>
          </w:p>
          <w:p w14:paraId="74F8104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6B945637" w14:textId="77777777" w:rsidR="008D493D" w:rsidRPr="00A53AD7" w:rsidRDefault="008D493D" w:rsidP="008D493D">
            <w:pPr>
              <w:spacing w:after="0" w:line="240" w:lineRule="auto"/>
              <w:jc w:val="center"/>
              <w:rPr>
                <w:rFonts w:ascii="Times New Roman" w:hAnsi="Times New Roman"/>
                <w:sz w:val="20"/>
                <w:szCs w:val="20"/>
              </w:rPr>
            </w:pPr>
          </w:p>
          <w:p w14:paraId="34BC7CA2" w14:textId="77777777" w:rsidR="008D493D" w:rsidRPr="00A53AD7" w:rsidRDefault="008D493D" w:rsidP="008D493D">
            <w:pPr>
              <w:spacing w:after="0" w:line="240" w:lineRule="auto"/>
              <w:jc w:val="center"/>
              <w:rPr>
                <w:rFonts w:ascii="Times New Roman" w:hAnsi="Times New Roman"/>
                <w:sz w:val="20"/>
                <w:szCs w:val="20"/>
              </w:rPr>
            </w:pPr>
          </w:p>
          <w:p w14:paraId="3E06280C" w14:textId="77777777" w:rsidR="008D493D" w:rsidRPr="00A53AD7" w:rsidRDefault="008D493D" w:rsidP="008D493D">
            <w:pPr>
              <w:spacing w:after="0" w:line="240" w:lineRule="auto"/>
              <w:jc w:val="center"/>
              <w:rPr>
                <w:rFonts w:ascii="Times New Roman" w:hAnsi="Times New Roman"/>
                <w:sz w:val="20"/>
                <w:szCs w:val="20"/>
              </w:rPr>
            </w:pPr>
          </w:p>
          <w:p w14:paraId="0D3B1BFF" w14:textId="77777777" w:rsidR="008D493D" w:rsidRPr="00A53AD7" w:rsidRDefault="008D493D" w:rsidP="008D493D">
            <w:pPr>
              <w:spacing w:after="0" w:line="240" w:lineRule="auto"/>
              <w:jc w:val="center"/>
              <w:rPr>
                <w:rFonts w:ascii="Times New Roman" w:hAnsi="Times New Roman"/>
                <w:sz w:val="20"/>
                <w:szCs w:val="20"/>
              </w:rPr>
            </w:pPr>
          </w:p>
          <w:p w14:paraId="2FADABA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21,1</w:t>
            </w:r>
          </w:p>
        </w:tc>
        <w:tc>
          <w:tcPr>
            <w:tcW w:w="816" w:type="dxa"/>
          </w:tcPr>
          <w:p w14:paraId="349DF67D" w14:textId="77777777" w:rsidR="008D493D" w:rsidRPr="00A53AD7" w:rsidRDefault="008D493D" w:rsidP="008D493D">
            <w:pPr>
              <w:spacing w:after="0" w:line="240" w:lineRule="auto"/>
              <w:jc w:val="center"/>
              <w:rPr>
                <w:rFonts w:ascii="Times New Roman" w:hAnsi="Times New Roman"/>
                <w:sz w:val="20"/>
                <w:szCs w:val="20"/>
              </w:rPr>
            </w:pPr>
          </w:p>
          <w:p w14:paraId="2B05D953" w14:textId="77777777" w:rsidR="008D493D" w:rsidRPr="00A53AD7" w:rsidRDefault="008D493D" w:rsidP="008D493D">
            <w:pPr>
              <w:spacing w:after="0" w:line="240" w:lineRule="auto"/>
              <w:jc w:val="center"/>
              <w:rPr>
                <w:rFonts w:ascii="Times New Roman" w:hAnsi="Times New Roman"/>
                <w:sz w:val="20"/>
                <w:szCs w:val="20"/>
              </w:rPr>
            </w:pPr>
          </w:p>
          <w:p w14:paraId="1A6F1CAC" w14:textId="77777777" w:rsidR="008D493D" w:rsidRPr="00A53AD7" w:rsidRDefault="008D493D" w:rsidP="008D493D">
            <w:pPr>
              <w:spacing w:after="0" w:line="240" w:lineRule="auto"/>
              <w:jc w:val="center"/>
              <w:rPr>
                <w:rFonts w:ascii="Times New Roman" w:hAnsi="Times New Roman"/>
                <w:sz w:val="20"/>
                <w:szCs w:val="20"/>
              </w:rPr>
            </w:pPr>
          </w:p>
          <w:p w14:paraId="33ABABF5" w14:textId="77777777" w:rsidR="008D493D" w:rsidRPr="00A53AD7" w:rsidRDefault="008D493D" w:rsidP="008D493D">
            <w:pPr>
              <w:spacing w:after="0" w:line="240" w:lineRule="auto"/>
              <w:jc w:val="center"/>
              <w:rPr>
                <w:rFonts w:ascii="Times New Roman" w:hAnsi="Times New Roman"/>
                <w:sz w:val="20"/>
                <w:szCs w:val="20"/>
              </w:rPr>
            </w:pPr>
          </w:p>
          <w:p w14:paraId="5BF095B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683A53D3" w14:textId="77777777" w:rsidTr="0032488F">
        <w:tc>
          <w:tcPr>
            <w:tcW w:w="817" w:type="dxa"/>
            <w:vMerge w:val="restart"/>
            <w:shd w:val="clear" w:color="auto" w:fill="F2F2F2"/>
          </w:tcPr>
          <w:p w14:paraId="4BCAB9A0"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3B40140E" w14:textId="1C2D46A6"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244E2A4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20,3</w:t>
            </w:r>
          </w:p>
        </w:tc>
        <w:tc>
          <w:tcPr>
            <w:tcW w:w="850" w:type="dxa"/>
            <w:shd w:val="clear" w:color="auto" w:fill="F2F2F2"/>
          </w:tcPr>
          <w:p w14:paraId="65B829A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6521BE6F"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20,3</w:t>
            </w:r>
          </w:p>
        </w:tc>
        <w:tc>
          <w:tcPr>
            <w:tcW w:w="816" w:type="dxa"/>
            <w:shd w:val="clear" w:color="auto" w:fill="F2F2F2"/>
          </w:tcPr>
          <w:p w14:paraId="5A9383F6"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75049E4D" w14:textId="77777777" w:rsidTr="0032488F">
        <w:tc>
          <w:tcPr>
            <w:tcW w:w="817" w:type="dxa"/>
            <w:vMerge/>
            <w:shd w:val="clear" w:color="auto" w:fill="F2F2F2"/>
          </w:tcPr>
          <w:p w14:paraId="20AEAF3B"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68851B49"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77A493A4" w14:textId="7D7264E2"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96,3%</w:t>
            </w:r>
          </w:p>
        </w:tc>
        <w:tc>
          <w:tcPr>
            <w:tcW w:w="850" w:type="dxa"/>
            <w:shd w:val="clear" w:color="auto" w:fill="F2F2F2"/>
          </w:tcPr>
          <w:p w14:paraId="7FC0E20D"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79F57BEE" w14:textId="28953DFF"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96,3%</w:t>
            </w:r>
          </w:p>
        </w:tc>
        <w:tc>
          <w:tcPr>
            <w:tcW w:w="816" w:type="dxa"/>
            <w:shd w:val="clear" w:color="auto" w:fill="F2F2F2"/>
          </w:tcPr>
          <w:p w14:paraId="59A0485B"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2C1C1BB4" w14:textId="77777777" w:rsidTr="0032488F">
        <w:tc>
          <w:tcPr>
            <w:tcW w:w="817" w:type="dxa"/>
          </w:tcPr>
          <w:p w14:paraId="4D39E89B"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1.4</w:t>
            </w:r>
          </w:p>
        </w:tc>
        <w:tc>
          <w:tcPr>
            <w:tcW w:w="5387" w:type="dxa"/>
          </w:tcPr>
          <w:p w14:paraId="419D6D3B"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государственных полномочий по регистрации и учету граждан, имеющих право на получение жилищных субсидий в связи с переселением из районов Крайнего Севера и приравненных к ним местностей</w:t>
            </w:r>
          </w:p>
        </w:tc>
        <w:tc>
          <w:tcPr>
            <w:tcW w:w="869" w:type="dxa"/>
          </w:tcPr>
          <w:p w14:paraId="4F7451FD" w14:textId="77777777" w:rsidR="008D493D" w:rsidRPr="00A53AD7" w:rsidRDefault="008D493D" w:rsidP="008D493D">
            <w:pPr>
              <w:spacing w:after="0" w:line="240" w:lineRule="auto"/>
              <w:jc w:val="center"/>
              <w:rPr>
                <w:rFonts w:ascii="Times New Roman" w:hAnsi="Times New Roman"/>
                <w:sz w:val="20"/>
                <w:szCs w:val="20"/>
              </w:rPr>
            </w:pPr>
          </w:p>
          <w:p w14:paraId="3C7A43C8" w14:textId="77777777" w:rsidR="008D493D" w:rsidRPr="00A53AD7" w:rsidRDefault="008D493D" w:rsidP="008D493D">
            <w:pPr>
              <w:spacing w:after="0" w:line="240" w:lineRule="auto"/>
              <w:jc w:val="center"/>
              <w:rPr>
                <w:rFonts w:ascii="Times New Roman" w:hAnsi="Times New Roman"/>
                <w:sz w:val="20"/>
                <w:szCs w:val="20"/>
              </w:rPr>
            </w:pPr>
          </w:p>
          <w:p w14:paraId="39872693" w14:textId="77777777" w:rsidR="008D493D" w:rsidRPr="00A53AD7" w:rsidRDefault="008D493D" w:rsidP="008D493D">
            <w:pPr>
              <w:spacing w:after="0" w:line="240" w:lineRule="auto"/>
              <w:jc w:val="center"/>
              <w:rPr>
                <w:rFonts w:ascii="Times New Roman" w:hAnsi="Times New Roman"/>
                <w:sz w:val="20"/>
                <w:szCs w:val="20"/>
              </w:rPr>
            </w:pPr>
          </w:p>
          <w:p w14:paraId="10DFA3D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c>
          <w:tcPr>
            <w:tcW w:w="850" w:type="dxa"/>
          </w:tcPr>
          <w:p w14:paraId="6E9DC2DA" w14:textId="77777777" w:rsidR="008D493D" w:rsidRPr="00A53AD7" w:rsidRDefault="008D493D" w:rsidP="008D493D">
            <w:pPr>
              <w:spacing w:after="0" w:line="240" w:lineRule="auto"/>
              <w:jc w:val="center"/>
              <w:rPr>
                <w:rFonts w:ascii="Times New Roman" w:hAnsi="Times New Roman"/>
                <w:sz w:val="20"/>
                <w:szCs w:val="20"/>
              </w:rPr>
            </w:pPr>
          </w:p>
          <w:p w14:paraId="35490B2C" w14:textId="77777777" w:rsidR="008D493D" w:rsidRPr="00A53AD7" w:rsidRDefault="008D493D" w:rsidP="008D493D">
            <w:pPr>
              <w:spacing w:after="0" w:line="240" w:lineRule="auto"/>
              <w:jc w:val="center"/>
              <w:rPr>
                <w:rFonts w:ascii="Times New Roman" w:hAnsi="Times New Roman"/>
                <w:sz w:val="20"/>
                <w:szCs w:val="20"/>
              </w:rPr>
            </w:pPr>
          </w:p>
          <w:p w14:paraId="4E3E7911" w14:textId="77777777" w:rsidR="008D493D" w:rsidRPr="00A53AD7" w:rsidRDefault="008D493D" w:rsidP="008D493D">
            <w:pPr>
              <w:spacing w:after="0" w:line="240" w:lineRule="auto"/>
              <w:jc w:val="center"/>
              <w:rPr>
                <w:rFonts w:ascii="Times New Roman" w:hAnsi="Times New Roman"/>
                <w:sz w:val="20"/>
                <w:szCs w:val="20"/>
              </w:rPr>
            </w:pPr>
          </w:p>
          <w:p w14:paraId="4DB7521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0CD56985" w14:textId="77777777" w:rsidR="008D493D" w:rsidRPr="00A53AD7" w:rsidRDefault="008D493D" w:rsidP="008D493D">
            <w:pPr>
              <w:spacing w:after="0" w:line="240" w:lineRule="auto"/>
              <w:jc w:val="center"/>
              <w:rPr>
                <w:rFonts w:ascii="Times New Roman" w:hAnsi="Times New Roman"/>
                <w:sz w:val="20"/>
                <w:szCs w:val="20"/>
              </w:rPr>
            </w:pPr>
          </w:p>
          <w:p w14:paraId="723DBE06" w14:textId="77777777" w:rsidR="008D493D" w:rsidRPr="00A53AD7" w:rsidRDefault="008D493D" w:rsidP="008D493D">
            <w:pPr>
              <w:spacing w:after="0" w:line="240" w:lineRule="auto"/>
              <w:jc w:val="center"/>
              <w:rPr>
                <w:rFonts w:ascii="Times New Roman" w:hAnsi="Times New Roman"/>
                <w:sz w:val="20"/>
                <w:szCs w:val="20"/>
              </w:rPr>
            </w:pPr>
          </w:p>
          <w:p w14:paraId="45AFDA8D" w14:textId="77777777" w:rsidR="008D493D" w:rsidRPr="00A53AD7" w:rsidRDefault="008D493D" w:rsidP="008D493D">
            <w:pPr>
              <w:spacing w:after="0" w:line="240" w:lineRule="auto"/>
              <w:jc w:val="center"/>
              <w:rPr>
                <w:rFonts w:ascii="Times New Roman" w:hAnsi="Times New Roman"/>
                <w:sz w:val="20"/>
                <w:szCs w:val="20"/>
              </w:rPr>
            </w:pPr>
          </w:p>
          <w:p w14:paraId="06601C2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c>
          <w:tcPr>
            <w:tcW w:w="816" w:type="dxa"/>
          </w:tcPr>
          <w:p w14:paraId="3023EDB7" w14:textId="77777777" w:rsidR="008D493D" w:rsidRPr="00A53AD7" w:rsidRDefault="008D493D" w:rsidP="008D493D">
            <w:pPr>
              <w:spacing w:after="0" w:line="240" w:lineRule="auto"/>
              <w:jc w:val="center"/>
              <w:rPr>
                <w:rFonts w:ascii="Times New Roman" w:hAnsi="Times New Roman"/>
                <w:sz w:val="20"/>
                <w:szCs w:val="20"/>
              </w:rPr>
            </w:pPr>
          </w:p>
          <w:p w14:paraId="6D634325" w14:textId="77777777" w:rsidR="008D493D" w:rsidRPr="00A53AD7" w:rsidRDefault="008D493D" w:rsidP="008D493D">
            <w:pPr>
              <w:spacing w:after="0" w:line="240" w:lineRule="auto"/>
              <w:jc w:val="center"/>
              <w:rPr>
                <w:rFonts w:ascii="Times New Roman" w:hAnsi="Times New Roman"/>
                <w:sz w:val="20"/>
                <w:szCs w:val="20"/>
              </w:rPr>
            </w:pPr>
          </w:p>
          <w:p w14:paraId="1413CF17" w14:textId="77777777" w:rsidR="008D493D" w:rsidRPr="00A53AD7" w:rsidRDefault="008D493D" w:rsidP="008D493D">
            <w:pPr>
              <w:spacing w:after="0" w:line="240" w:lineRule="auto"/>
              <w:jc w:val="center"/>
              <w:rPr>
                <w:rFonts w:ascii="Times New Roman" w:hAnsi="Times New Roman"/>
                <w:sz w:val="20"/>
                <w:szCs w:val="20"/>
              </w:rPr>
            </w:pPr>
          </w:p>
          <w:p w14:paraId="56FC678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61DF4AC1" w14:textId="77777777" w:rsidTr="0032488F">
        <w:tc>
          <w:tcPr>
            <w:tcW w:w="817" w:type="dxa"/>
            <w:vMerge w:val="restart"/>
            <w:shd w:val="clear" w:color="auto" w:fill="F2F2F2"/>
          </w:tcPr>
          <w:p w14:paraId="4D5F9FAE"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687DC780" w14:textId="51F9E609"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3C5B6BEB"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c>
          <w:tcPr>
            <w:tcW w:w="850" w:type="dxa"/>
            <w:shd w:val="clear" w:color="auto" w:fill="F2F2F2"/>
          </w:tcPr>
          <w:p w14:paraId="1A47D7DC"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5130E35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0,3</w:t>
            </w:r>
          </w:p>
        </w:tc>
        <w:tc>
          <w:tcPr>
            <w:tcW w:w="816" w:type="dxa"/>
            <w:shd w:val="clear" w:color="auto" w:fill="F2F2F2"/>
          </w:tcPr>
          <w:p w14:paraId="5B8D96C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47F3B10B" w14:textId="77777777" w:rsidTr="0032488F">
        <w:tc>
          <w:tcPr>
            <w:tcW w:w="817" w:type="dxa"/>
            <w:vMerge/>
            <w:shd w:val="clear" w:color="auto" w:fill="F2F2F2"/>
          </w:tcPr>
          <w:p w14:paraId="4E43B9DC"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173E0E68"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42BB6B52"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2B1103D4"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46CCAA17"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16" w:type="dxa"/>
            <w:shd w:val="clear" w:color="auto" w:fill="F2F2F2"/>
          </w:tcPr>
          <w:p w14:paraId="630813FD" w14:textId="007817E9"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A53AD7" w:rsidRPr="00A53AD7" w14:paraId="45727E55" w14:textId="77777777" w:rsidTr="0032488F">
        <w:tc>
          <w:tcPr>
            <w:tcW w:w="817" w:type="dxa"/>
          </w:tcPr>
          <w:p w14:paraId="6ADBCE8E"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3.1</w:t>
            </w:r>
          </w:p>
        </w:tc>
        <w:tc>
          <w:tcPr>
            <w:tcW w:w="5387" w:type="dxa"/>
          </w:tcPr>
          <w:p w14:paraId="0D901C71"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Осуществление государственных функций в сфере регионального государственного строительного надзора и государственного контроля (надзора) в области долевого строительства многоквартирных домов и (или) иных объектов недвижимости, в том числе за деятельностью жилищно-строительных кооперативов, связанной со строительством многоквартирных домов, на территории Архангельской области</w:t>
            </w:r>
          </w:p>
        </w:tc>
        <w:tc>
          <w:tcPr>
            <w:tcW w:w="869" w:type="dxa"/>
          </w:tcPr>
          <w:p w14:paraId="6C9FE274" w14:textId="77777777" w:rsidR="008D493D" w:rsidRPr="00A53AD7" w:rsidRDefault="008D493D" w:rsidP="008D493D">
            <w:pPr>
              <w:spacing w:after="0" w:line="240" w:lineRule="auto"/>
              <w:jc w:val="center"/>
              <w:rPr>
                <w:rFonts w:ascii="Times New Roman" w:hAnsi="Times New Roman"/>
                <w:sz w:val="20"/>
                <w:szCs w:val="20"/>
              </w:rPr>
            </w:pPr>
          </w:p>
          <w:p w14:paraId="4CBF8050" w14:textId="77777777" w:rsidR="008D493D" w:rsidRPr="00A53AD7" w:rsidRDefault="008D493D" w:rsidP="008D493D">
            <w:pPr>
              <w:spacing w:after="0" w:line="240" w:lineRule="auto"/>
              <w:jc w:val="center"/>
              <w:rPr>
                <w:rFonts w:ascii="Times New Roman" w:hAnsi="Times New Roman"/>
                <w:sz w:val="20"/>
                <w:szCs w:val="20"/>
              </w:rPr>
            </w:pPr>
          </w:p>
          <w:p w14:paraId="69AA66C9" w14:textId="77777777" w:rsidR="008D493D" w:rsidRPr="00A53AD7" w:rsidRDefault="008D493D" w:rsidP="008D493D">
            <w:pPr>
              <w:spacing w:after="0" w:line="240" w:lineRule="auto"/>
              <w:jc w:val="center"/>
              <w:rPr>
                <w:rFonts w:ascii="Times New Roman" w:hAnsi="Times New Roman"/>
                <w:sz w:val="20"/>
                <w:szCs w:val="20"/>
              </w:rPr>
            </w:pPr>
          </w:p>
          <w:p w14:paraId="4936122C" w14:textId="77777777" w:rsidR="008D493D" w:rsidRPr="00A53AD7" w:rsidRDefault="008D493D" w:rsidP="008D493D">
            <w:pPr>
              <w:spacing w:after="0" w:line="240" w:lineRule="auto"/>
              <w:jc w:val="center"/>
              <w:rPr>
                <w:rFonts w:ascii="Times New Roman" w:hAnsi="Times New Roman"/>
                <w:sz w:val="20"/>
                <w:szCs w:val="20"/>
              </w:rPr>
            </w:pPr>
          </w:p>
          <w:p w14:paraId="3A640411" w14:textId="77777777" w:rsidR="008D493D" w:rsidRPr="00A53AD7" w:rsidRDefault="008D493D" w:rsidP="008D493D">
            <w:pPr>
              <w:spacing w:after="0" w:line="240" w:lineRule="auto"/>
              <w:jc w:val="center"/>
              <w:rPr>
                <w:rFonts w:ascii="Times New Roman" w:hAnsi="Times New Roman"/>
                <w:sz w:val="20"/>
                <w:szCs w:val="20"/>
              </w:rPr>
            </w:pPr>
          </w:p>
          <w:p w14:paraId="29FCD11A" w14:textId="77777777" w:rsidR="008D493D" w:rsidRPr="00A53AD7" w:rsidRDefault="008D493D" w:rsidP="008D493D">
            <w:pPr>
              <w:spacing w:after="0" w:line="240" w:lineRule="auto"/>
              <w:jc w:val="center"/>
              <w:rPr>
                <w:rFonts w:ascii="Times New Roman" w:hAnsi="Times New Roman"/>
                <w:sz w:val="20"/>
                <w:szCs w:val="20"/>
              </w:rPr>
            </w:pPr>
          </w:p>
          <w:p w14:paraId="62EE8C83"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26,0</w:t>
            </w:r>
          </w:p>
        </w:tc>
        <w:tc>
          <w:tcPr>
            <w:tcW w:w="850" w:type="dxa"/>
          </w:tcPr>
          <w:p w14:paraId="74917506" w14:textId="77777777" w:rsidR="008D493D" w:rsidRPr="00A53AD7" w:rsidRDefault="008D493D" w:rsidP="008D493D">
            <w:pPr>
              <w:spacing w:after="0" w:line="240" w:lineRule="auto"/>
              <w:jc w:val="center"/>
              <w:rPr>
                <w:rFonts w:ascii="Times New Roman" w:hAnsi="Times New Roman"/>
                <w:sz w:val="20"/>
                <w:szCs w:val="20"/>
              </w:rPr>
            </w:pPr>
          </w:p>
          <w:p w14:paraId="0B43558D" w14:textId="77777777" w:rsidR="008D493D" w:rsidRPr="00A53AD7" w:rsidRDefault="008D493D" w:rsidP="008D493D">
            <w:pPr>
              <w:spacing w:after="0" w:line="240" w:lineRule="auto"/>
              <w:jc w:val="center"/>
              <w:rPr>
                <w:rFonts w:ascii="Times New Roman" w:hAnsi="Times New Roman"/>
                <w:sz w:val="20"/>
                <w:szCs w:val="20"/>
              </w:rPr>
            </w:pPr>
          </w:p>
          <w:p w14:paraId="3135CB21" w14:textId="77777777" w:rsidR="008D493D" w:rsidRPr="00A53AD7" w:rsidRDefault="008D493D" w:rsidP="008D493D">
            <w:pPr>
              <w:spacing w:after="0" w:line="240" w:lineRule="auto"/>
              <w:jc w:val="center"/>
              <w:rPr>
                <w:rFonts w:ascii="Times New Roman" w:hAnsi="Times New Roman"/>
                <w:sz w:val="20"/>
                <w:szCs w:val="20"/>
              </w:rPr>
            </w:pPr>
          </w:p>
          <w:p w14:paraId="77BE80B5" w14:textId="77777777" w:rsidR="008D493D" w:rsidRPr="00A53AD7" w:rsidRDefault="008D493D" w:rsidP="008D493D">
            <w:pPr>
              <w:spacing w:after="0" w:line="240" w:lineRule="auto"/>
              <w:jc w:val="center"/>
              <w:rPr>
                <w:rFonts w:ascii="Times New Roman" w:hAnsi="Times New Roman"/>
                <w:sz w:val="20"/>
                <w:szCs w:val="20"/>
              </w:rPr>
            </w:pPr>
          </w:p>
          <w:p w14:paraId="625CAA25" w14:textId="77777777" w:rsidR="008D493D" w:rsidRPr="00A53AD7" w:rsidRDefault="008D493D" w:rsidP="008D493D">
            <w:pPr>
              <w:spacing w:after="0" w:line="240" w:lineRule="auto"/>
              <w:jc w:val="center"/>
              <w:rPr>
                <w:rFonts w:ascii="Times New Roman" w:hAnsi="Times New Roman"/>
                <w:sz w:val="20"/>
                <w:szCs w:val="20"/>
              </w:rPr>
            </w:pPr>
          </w:p>
          <w:p w14:paraId="17F83A2A" w14:textId="77777777" w:rsidR="008D493D" w:rsidRPr="00A53AD7" w:rsidRDefault="008D493D" w:rsidP="008D493D">
            <w:pPr>
              <w:spacing w:after="0" w:line="240" w:lineRule="auto"/>
              <w:jc w:val="center"/>
              <w:rPr>
                <w:rFonts w:ascii="Times New Roman" w:hAnsi="Times New Roman"/>
                <w:sz w:val="20"/>
                <w:szCs w:val="20"/>
              </w:rPr>
            </w:pPr>
          </w:p>
          <w:p w14:paraId="28DC263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tcPr>
          <w:p w14:paraId="20B3C8DB" w14:textId="77777777" w:rsidR="008D493D" w:rsidRPr="00A53AD7" w:rsidRDefault="008D493D" w:rsidP="008D493D">
            <w:pPr>
              <w:spacing w:after="0" w:line="240" w:lineRule="auto"/>
              <w:jc w:val="center"/>
              <w:rPr>
                <w:rFonts w:ascii="Times New Roman" w:hAnsi="Times New Roman"/>
                <w:sz w:val="20"/>
                <w:szCs w:val="20"/>
              </w:rPr>
            </w:pPr>
          </w:p>
          <w:p w14:paraId="2C2D331B" w14:textId="77777777" w:rsidR="008D493D" w:rsidRPr="00A53AD7" w:rsidRDefault="008D493D" w:rsidP="008D493D">
            <w:pPr>
              <w:spacing w:after="0" w:line="240" w:lineRule="auto"/>
              <w:jc w:val="center"/>
              <w:rPr>
                <w:rFonts w:ascii="Times New Roman" w:hAnsi="Times New Roman"/>
                <w:sz w:val="20"/>
                <w:szCs w:val="20"/>
              </w:rPr>
            </w:pPr>
          </w:p>
          <w:p w14:paraId="5D0E5977" w14:textId="77777777" w:rsidR="008D493D" w:rsidRPr="00A53AD7" w:rsidRDefault="008D493D" w:rsidP="008D493D">
            <w:pPr>
              <w:spacing w:after="0" w:line="240" w:lineRule="auto"/>
              <w:jc w:val="center"/>
              <w:rPr>
                <w:rFonts w:ascii="Times New Roman" w:hAnsi="Times New Roman"/>
                <w:sz w:val="20"/>
                <w:szCs w:val="20"/>
              </w:rPr>
            </w:pPr>
          </w:p>
          <w:p w14:paraId="0A8B0F16" w14:textId="77777777" w:rsidR="008D493D" w:rsidRPr="00A53AD7" w:rsidRDefault="008D493D" w:rsidP="008D493D">
            <w:pPr>
              <w:spacing w:after="0" w:line="240" w:lineRule="auto"/>
              <w:jc w:val="center"/>
              <w:rPr>
                <w:rFonts w:ascii="Times New Roman" w:hAnsi="Times New Roman"/>
                <w:sz w:val="20"/>
                <w:szCs w:val="20"/>
              </w:rPr>
            </w:pPr>
          </w:p>
          <w:p w14:paraId="13CE8534" w14:textId="77777777" w:rsidR="008D493D" w:rsidRPr="00A53AD7" w:rsidRDefault="008D493D" w:rsidP="008D493D">
            <w:pPr>
              <w:spacing w:after="0" w:line="240" w:lineRule="auto"/>
              <w:jc w:val="center"/>
              <w:rPr>
                <w:rFonts w:ascii="Times New Roman" w:hAnsi="Times New Roman"/>
                <w:sz w:val="20"/>
                <w:szCs w:val="20"/>
              </w:rPr>
            </w:pPr>
          </w:p>
          <w:p w14:paraId="74D8D6EE" w14:textId="77777777" w:rsidR="008D493D" w:rsidRPr="00A53AD7" w:rsidRDefault="008D493D" w:rsidP="008D493D">
            <w:pPr>
              <w:spacing w:after="0" w:line="240" w:lineRule="auto"/>
              <w:jc w:val="center"/>
              <w:rPr>
                <w:rFonts w:ascii="Times New Roman" w:hAnsi="Times New Roman"/>
                <w:sz w:val="20"/>
                <w:szCs w:val="20"/>
              </w:rPr>
            </w:pPr>
          </w:p>
          <w:p w14:paraId="3DBA6DC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26,0</w:t>
            </w:r>
          </w:p>
        </w:tc>
        <w:tc>
          <w:tcPr>
            <w:tcW w:w="816" w:type="dxa"/>
          </w:tcPr>
          <w:p w14:paraId="34118AB6" w14:textId="77777777" w:rsidR="008D493D" w:rsidRPr="00A53AD7" w:rsidRDefault="008D493D" w:rsidP="008D493D">
            <w:pPr>
              <w:spacing w:after="0" w:line="240" w:lineRule="auto"/>
              <w:jc w:val="center"/>
              <w:rPr>
                <w:rFonts w:ascii="Times New Roman" w:hAnsi="Times New Roman"/>
                <w:sz w:val="20"/>
                <w:szCs w:val="20"/>
              </w:rPr>
            </w:pPr>
          </w:p>
          <w:p w14:paraId="20033CCA" w14:textId="77777777" w:rsidR="008D493D" w:rsidRPr="00A53AD7" w:rsidRDefault="008D493D" w:rsidP="008D493D">
            <w:pPr>
              <w:spacing w:after="0" w:line="240" w:lineRule="auto"/>
              <w:jc w:val="center"/>
              <w:rPr>
                <w:rFonts w:ascii="Times New Roman" w:hAnsi="Times New Roman"/>
                <w:sz w:val="20"/>
                <w:szCs w:val="20"/>
              </w:rPr>
            </w:pPr>
          </w:p>
          <w:p w14:paraId="373FCE9A" w14:textId="77777777" w:rsidR="008D493D" w:rsidRPr="00A53AD7" w:rsidRDefault="008D493D" w:rsidP="008D493D">
            <w:pPr>
              <w:spacing w:after="0" w:line="240" w:lineRule="auto"/>
              <w:jc w:val="center"/>
              <w:rPr>
                <w:rFonts w:ascii="Times New Roman" w:hAnsi="Times New Roman"/>
                <w:sz w:val="20"/>
                <w:szCs w:val="20"/>
              </w:rPr>
            </w:pPr>
          </w:p>
          <w:p w14:paraId="25E5ACC9" w14:textId="77777777" w:rsidR="008D493D" w:rsidRPr="00A53AD7" w:rsidRDefault="008D493D" w:rsidP="008D493D">
            <w:pPr>
              <w:spacing w:after="0" w:line="240" w:lineRule="auto"/>
              <w:jc w:val="center"/>
              <w:rPr>
                <w:rFonts w:ascii="Times New Roman" w:hAnsi="Times New Roman"/>
                <w:sz w:val="20"/>
                <w:szCs w:val="20"/>
              </w:rPr>
            </w:pPr>
          </w:p>
          <w:p w14:paraId="77224F64" w14:textId="77777777" w:rsidR="008D493D" w:rsidRPr="00A53AD7" w:rsidRDefault="008D493D" w:rsidP="008D493D">
            <w:pPr>
              <w:spacing w:after="0" w:line="240" w:lineRule="auto"/>
              <w:jc w:val="center"/>
              <w:rPr>
                <w:rFonts w:ascii="Times New Roman" w:hAnsi="Times New Roman"/>
                <w:sz w:val="20"/>
                <w:szCs w:val="20"/>
              </w:rPr>
            </w:pPr>
          </w:p>
          <w:p w14:paraId="7A4CAE41" w14:textId="77777777" w:rsidR="008D493D" w:rsidRPr="00A53AD7" w:rsidRDefault="008D493D" w:rsidP="008D493D">
            <w:pPr>
              <w:spacing w:after="0" w:line="240" w:lineRule="auto"/>
              <w:jc w:val="center"/>
              <w:rPr>
                <w:rFonts w:ascii="Times New Roman" w:hAnsi="Times New Roman"/>
                <w:sz w:val="20"/>
                <w:szCs w:val="20"/>
              </w:rPr>
            </w:pPr>
          </w:p>
          <w:p w14:paraId="6AC5E86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7BE94E8A" w14:textId="77777777" w:rsidTr="0032488F">
        <w:tc>
          <w:tcPr>
            <w:tcW w:w="817" w:type="dxa"/>
            <w:vMerge w:val="restart"/>
            <w:shd w:val="clear" w:color="auto" w:fill="F2F2F2"/>
          </w:tcPr>
          <w:p w14:paraId="54654989" w14:textId="77777777" w:rsidR="008D493D" w:rsidRPr="00A53AD7" w:rsidRDefault="008D493D" w:rsidP="008D493D">
            <w:pPr>
              <w:tabs>
                <w:tab w:val="left" w:pos="601"/>
              </w:tabs>
              <w:spacing w:after="0" w:line="240" w:lineRule="auto"/>
              <w:jc w:val="both"/>
              <w:rPr>
                <w:rFonts w:ascii="Times New Roman" w:hAnsi="Times New Roman"/>
                <w:sz w:val="20"/>
                <w:szCs w:val="20"/>
              </w:rPr>
            </w:pPr>
            <w:r w:rsidRPr="00A53AD7">
              <w:rPr>
                <w:rFonts w:ascii="Times New Roman" w:hAnsi="Times New Roman"/>
                <w:sz w:val="20"/>
                <w:szCs w:val="20"/>
              </w:rPr>
              <w:tab/>
            </w:r>
          </w:p>
        </w:tc>
        <w:tc>
          <w:tcPr>
            <w:tcW w:w="5387" w:type="dxa"/>
            <w:vMerge w:val="restart"/>
            <w:shd w:val="clear" w:color="auto" w:fill="F2F2F2"/>
          </w:tcPr>
          <w:p w14:paraId="4CC2F19F" w14:textId="0050A68A"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 xml:space="preserve">Исполнение: </w:t>
            </w:r>
          </w:p>
        </w:tc>
        <w:tc>
          <w:tcPr>
            <w:tcW w:w="869" w:type="dxa"/>
            <w:shd w:val="clear" w:color="auto" w:fill="F2F2F2"/>
          </w:tcPr>
          <w:p w14:paraId="6DBC4D5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26,0</w:t>
            </w:r>
          </w:p>
        </w:tc>
        <w:tc>
          <w:tcPr>
            <w:tcW w:w="850" w:type="dxa"/>
            <w:shd w:val="clear" w:color="auto" w:fill="F2F2F2"/>
          </w:tcPr>
          <w:p w14:paraId="6BEF974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709" w:type="dxa"/>
            <w:shd w:val="clear" w:color="auto" w:fill="F2F2F2"/>
          </w:tcPr>
          <w:p w14:paraId="618BAA7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26,0</w:t>
            </w:r>
          </w:p>
        </w:tc>
        <w:tc>
          <w:tcPr>
            <w:tcW w:w="816" w:type="dxa"/>
            <w:shd w:val="clear" w:color="auto" w:fill="F2F2F2"/>
          </w:tcPr>
          <w:p w14:paraId="4617036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A53AD7" w:rsidRPr="00A53AD7" w14:paraId="6814A29E" w14:textId="77777777" w:rsidTr="0032488F">
        <w:tc>
          <w:tcPr>
            <w:tcW w:w="817" w:type="dxa"/>
            <w:vMerge/>
            <w:shd w:val="clear" w:color="auto" w:fill="F2F2F2"/>
          </w:tcPr>
          <w:p w14:paraId="40770E13"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3263D82E" w14:textId="77777777" w:rsidR="008D493D" w:rsidRPr="00A53AD7" w:rsidRDefault="008D493D" w:rsidP="008D493D">
            <w:pPr>
              <w:autoSpaceDE w:val="0"/>
              <w:autoSpaceDN w:val="0"/>
              <w:adjustRightInd w:val="0"/>
              <w:spacing w:after="0" w:line="240" w:lineRule="auto"/>
              <w:rPr>
                <w:rFonts w:ascii="Times New Roman" w:hAnsi="Times New Roman"/>
                <w:sz w:val="20"/>
                <w:szCs w:val="20"/>
              </w:rPr>
            </w:pPr>
          </w:p>
        </w:tc>
        <w:tc>
          <w:tcPr>
            <w:tcW w:w="869" w:type="dxa"/>
            <w:shd w:val="clear" w:color="auto" w:fill="F2F2F2"/>
          </w:tcPr>
          <w:p w14:paraId="3B69180E"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50" w:type="dxa"/>
            <w:shd w:val="clear" w:color="auto" w:fill="F2F2F2"/>
          </w:tcPr>
          <w:p w14:paraId="49CCA588"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709" w:type="dxa"/>
            <w:shd w:val="clear" w:color="auto" w:fill="F2F2F2"/>
          </w:tcPr>
          <w:p w14:paraId="4AF72115" w14:textId="77777777" w:rsidR="008D493D" w:rsidRPr="00A53AD7" w:rsidRDefault="008D493D" w:rsidP="008D493D">
            <w:pPr>
              <w:spacing w:after="0" w:line="240" w:lineRule="auto"/>
              <w:jc w:val="center"/>
              <w:rPr>
                <w:rFonts w:ascii="Times New Roman" w:hAnsi="Times New Roman"/>
                <w:sz w:val="18"/>
                <w:szCs w:val="18"/>
              </w:rPr>
            </w:pPr>
            <w:r w:rsidRPr="00A53AD7">
              <w:rPr>
                <w:rFonts w:ascii="Times New Roman" w:hAnsi="Times New Roman"/>
                <w:sz w:val="18"/>
                <w:szCs w:val="18"/>
              </w:rPr>
              <w:t>100%</w:t>
            </w:r>
          </w:p>
        </w:tc>
        <w:tc>
          <w:tcPr>
            <w:tcW w:w="816" w:type="dxa"/>
            <w:shd w:val="clear" w:color="auto" w:fill="F2F2F2"/>
          </w:tcPr>
          <w:p w14:paraId="3C962BA1" w14:textId="1A3A08EF" w:rsidR="008D493D" w:rsidRPr="00A53AD7" w:rsidRDefault="008D493D" w:rsidP="00D724B7">
            <w:pPr>
              <w:spacing w:after="0" w:line="240" w:lineRule="auto"/>
              <w:jc w:val="center"/>
              <w:rPr>
                <w:rFonts w:ascii="Times New Roman" w:hAnsi="Times New Roman"/>
                <w:sz w:val="18"/>
                <w:szCs w:val="18"/>
              </w:rPr>
            </w:pPr>
            <w:r w:rsidRPr="00A53AD7">
              <w:rPr>
                <w:rFonts w:ascii="Times New Roman" w:hAnsi="Times New Roman"/>
                <w:sz w:val="18"/>
                <w:szCs w:val="18"/>
              </w:rPr>
              <w:t>-</w:t>
            </w:r>
          </w:p>
        </w:tc>
      </w:tr>
      <w:tr w:rsidR="00D470B6" w:rsidRPr="00A53AD7" w14:paraId="53F7A417" w14:textId="77777777" w:rsidTr="0032488F">
        <w:tc>
          <w:tcPr>
            <w:tcW w:w="817" w:type="dxa"/>
          </w:tcPr>
          <w:p w14:paraId="7AAF6D26" w14:textId="77777777" w:rsidR="008D493D" w:rsidRPr="00A53AD7" w:rsidRDefault="008D493D" w:rsidP="008D493D">
            <w:pPr>
              <w:spacing w:after="0" w:line="240" w:lineRule="auto"/>
              <w:jc w:val="both"/>
              <w:rPr>
                <w:rFonts w:ascii="Times New Roman" w:hAnsi="Times New Roman"/>
                <w:sz w:val="20"/>
                <w:szCs w:val="20"/>
              </w:rPr>
            </w:pPr>
          </w:p>
        </w:tc>
        <w:tc>
          <w:tcPr>
            <w:tcW w:w="5387" w:type="dxa"/>
          </w:tcPr>
          <w:p w14:paraId="36FB3E45" w14:textId="77777777"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Итого по подпрограмме №4</w:t>
            </w:r>
          </w:p>
        </w:tc>
        <w:tc>
          <w:tcPr>
            <w:tcW w:w="869" w:type="dxa"/>
          </w:tcPr>
          <w:p w14:paraId="5F90B375"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178,9</w:t>
            </w:r>
          </w:p>
        </w:tc>
        <w:tc>
          <w:tcPr>
            <w:tcW w:w="850" w:type="dxa"/>
          </w:tcPr>
          <w:p w14:paraId="4D4179E7"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0,0</w:t>
            </w:r>
          </w:p>
        </w:tc>
        <w:tc>
          <w:tcPr>
            <w:tcW w:w="709" w:type="dxa"/>
          </w:tcPr>
          <w:p w14:paraId="63EE6A0F"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178,9</w:t>
            </w:r>
          </w:p>
        </w:tc>
        <w:tc>
          <w:tcPr>
            <w:tcW w:w="816" w:type="dxa"/>
          </w:tcPr>
          <w:p w14:paraId="3F2A4721" w14:textId="02A22A18" w:rsidR="008D493D" w:rsidRPr="00A53AD7" w:rsidRDefault="008D493D" w:rsidP="00A41948">
            <w:pPr>
              <w:spacing w:after="0" w:line="240" w:lineRule="auto"/>
              <w:jc w:val="center"/>
              <w:rPr>
                <w:rFonts w:ascii="Times New Roman" w:hAnsi="Times New Roman"/>
                <w:b/>
                <w:sz w:val="20"/>
                <w:szCs w:val="20"/>
              </w:rPr>
            </w:pPr>
            <w:r w:rsidRPr="00A53AD7">
              <w:rPr>
                <w:rFonts w:ascii="Times New Roman" w:hAnsi="Times New Roman"/>
                <w:b/>
                <w:sz w:val="20"/>
                <w:szCs w:val="20"/>
              </w:rPr>
              <w:t>0,0</w:t>
            </w:r>
          </w:p>
        </w:tc>
      </w:tr>
      <w:tr w:rsidR="00D470B6" w:rsidRPr="00A53AD7" w14:paraId="5A344247" w14:textId="77777777" w:rsidTr="0032488F">
        <w:tc>
          <w:tcPr>
            <w:tcW w:w="817" w:type="dxa"/>
            <w:vMerge w:val="restart"/>
            <w:shd w:val="clear" w:color="auto" w:fill="F2F2F2"/>
          </w:tcPr>
          <w:p w14:paraId="5E5EDDCC"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786FB3F9" w14:textId="0CECD7F9"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 xml:space="preserve">Исполнение: </w:t>
            </w:r>
          </w:p>
        </w:tc>
        <w:tc>
          <w:tcPr>
            <w:tcW w:w="869" w:type="dxa"/>
            <w:shd w:val="clear" w:color="auto" w:fill="F2F2F2"/>
          </w:tcPr>
          <w:p w14:paraId="705841A1"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173,0</w:t>
            </w:r>
          </w:p>
        </w:tc>
        <w:tc>
          <w:tcPr>
            <w:tcW w:w="850" w:type="dxa"/>
            <w:shd w:val="clear" w:color="auto" w:fill="F2F2F2"/>
          </w:tcPr>
          <w:p w14:paraId="04DAA62B"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0,0</w:t>
            </w:r>
          </w:p>
        </w:tc>
        <w:tc>
          <w:tcPr>
            <w:tcW w:w="709" w:type="dxa"/>
            <w:shd w:val="clear" w:color="auto" w:fill="F2F2F2"/>
          </w:tcPr>
          <w:p w14:paraId="532569A8"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173,0</w:t>
            </w:r>
          </w:p>
        </w:tc>
        <w:tc>
          <w:tcPr>
            <w:tcW w:w="816" w:type="dxa"/>
            <w:shd w:val="clear" w:color="auto" w:fill="F2F2F2"/>
          </w:tcPr>
          <w:p w14:paraId="5D53280C"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0,0</w:t>
            </w:r>
          </w:p>
        </w:tc>
      </w:tr>
      <w:tr w:rsidR="00D470B6" w:rsidRPr="00A53AD7" w14:paraId="3C923AFD" w14:textId="77777777" w:rsidTr="0032488F">
        <w:tc>
          <w:tcPr>
            <w:tcW w:w="817" w:type="dxa"/>
            <w:vMerge/>
            <w:shd w:val="clear" w:color="auto" w:fill="F2F2F2"/>
          </w:tcPr>
          <w:p w14:paraId="21DF898B"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17AC549E" w14:textId="77777777" w:rsidR="008D493D" w:rsidRPr="00A53AD7" w:rsidRDefault="008D493D" w:rsidP="008D493D">
            <w:pPr>
              <w:spacing w:after="0" w:line="240" w:lineRule="auto"/>
              <w:jc w:val="both"/>
              <w:rPr>
                <w:rFonts w:ascii="Times New Roman" w:hAnsi="Times New Roman"/>
                <w:b/>
                <w:sz w:val="20"/>
                <w:szCs w:val="20"/>
              </w:rPr>
            </w:pPr>
          </w:p>
        </w:tc>
        <w:tc>
          <w:tcPr>
            <w:tcW w:w="869" w:type="dxa"/>
            <w:shd w:val="clear" w:color="auto" w:fill="F2F2F2"/>
          </w:tcPr>
          <w:p w14:paraId="5BC60239" w14:textId="3F7570A6" w:rsidR="008D493D" w:rsidRPr="00A53AD7" w:rsidRDefault="008D493D" w:rsidP="00D724B7">
            <w:pPr>
              <w:spacing w:after="0" w:line="240" w:lineRule="auto"/>
              <w:jc w:val="center"/>
              <w:rPr>
                <w:rFonts w:ascii="Times New Roman" w:hAnsi="Times New Roman"/>
                <w:b/>
                <w:sz w:val="18"/>
                <w:szCs w:val="18"/>
              </w:rPr>
            </w:pPr>
            <w:r w:rsidRPr="00A53AD7">
              <w:rPr>
                <w:rFonts w:ascii="Times New Roman" w:hAnsi="Times New Roman"/>
                <w:b/>
                <w:sz w:val="18"/>
                <w:szCs w:val="18"/>
              </w:rPr>
              <w:t>96,7%</w:t>
            </w:r>
          </w:p>
        </w:tc>
        <w:tc>
          <w:tcPr>
            <w:tcW w:w="850" w:type="dxa"/>
            <w:shd w:val="clear" w:color="auto" w:fill="F2F2F2"/>
          </w:tcPr>
          <w:p w14:paraId="56503925"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w:t>
            </w:r>
          </w:p>
        </w:tc>
        <w:tc>
          <w:tcPr>
            <w:tcW w:w="709" w:type="dxa"/>
            <w:shd w:val="clear" w:color="auto" w:fill="F2F2F2"/>
          </w:tcPr>
          <w:p w14:paraId="3362BBFB" w14:textId="176F5BA6" w:rsidR="008D493D" w:rsidRPr="00A53AD7" w:rsidRDefault="008D493D" w:rsidP="00D724B7">
            <w:pPr>
              <w:spacing w:after="0" w:line="240" w:lineRule="auto"/>
              <w:jc w:val="center"/>
              <w:rPr>
                <w:rFonts w:ascii="Times New Roman" w:hAnsi="Times New Roman"/>
                <w:b/>
                <w:sz w:val="18"/>
                <w:szCs w:val="18"/>
              </w:rPr>
            </w:pPr>
            <w:r w:rsidRPr="00A53AD7">
              <w:rPr>
                <w:rFonts w:ascii="Times New Roman" w:hAnsi="Times New Roman"/>
                <w:b/>
                <w:sz w:val="17"/>
                <w:szCs w:val="17"/>
              </w:rPr>
              <w:t>96,7%</w:t>
            </w:r>
          </w:p>
        </w:tc>
        <w:tc>
          <w:tcPr>
            <w:tcW w:w="816" w:type="dxa"/>
            <w:shd w:val="clear" w:color="auto" w:fill="F2F2F2"/>
          </w:tcPr>
          <w:p w14:paraId="6DD26C50"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w:t>
            </w:r>
          </w:p>
        </w:tc>
      </w:tr>
      <w:tr w:rsidR="00D470B6" w:rsidRPr="00A53AD7" w14:paraId="516E2776" w14:textId="77777777" w:rsidTr="0032488F">
        <w:tc>
          <w:tcPr>
            <w:tcW w:w="817" w:type="dxa"/>
          </w:tcPr>
          <w:p w14:paraId="50EDD48D" w14:textId="77777777" w:rsidR="008D493D" w:rsidRPr="00A53AD7" w:rsidRDefault="008D493D" w:rsidP="008D493D">
            <w:pPr>
              <w:spacing w:after="0" w:line="240" w:lineRule="auto"/>
              <w:jc w:val="both"/>
              <w:rPr>
                <w:rFonts w:ascii="Times New Roman" w:hAnsi="Times New Roman"/>
                <w:sz w:val="20"/>
                <w:szCs w:val="20"/>
              </w:rPr>
            </w:pPr>
          </w:p>
        </w:tc>
        <w:tc>
          <w:tcPr>
            <w:tcW w:w="5387" w:type="dxa"/>
          </w:tcPr>
          <w:p w14:paraId="4EFFFA7E" w14:textId="77777777"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ИТОГО по программе</w:t>
            </w:r>
          </w:p>
        </w:tc>
        <w:tc>
          <w:tcPr>
            <w:tcW w:w="869" w:type="dxa"/>
          </w:tcPr>
          <w:p w14:paraId="4D39825F"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1512,5</w:t>
            </w:r>
          </w:p>
        </w:tc>
        <w:tc>
          <w:tcPr>
            <w:tcW w:w="850" w:type="dxa"/>
          </w:tcPr>
          <w:p w14:paraId="324B651B"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932,3</w:t>
            </w:r>
          </w:p>
        </w:tc>
        <w:tc>
          <w:tcPr>
            <w:tcW w:w="709" w:type="dxa"/>
          </w:tcPr>
          <w:p w14:paraId="11729A8C"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524,4</w:t>
            </w:r>
          </w:p>
        </w:tc>
        <w:tc>
          <w:tcPr>
            <w:tcW w:w="816" w:type="dxa"/>
          </w:tcPr>
          <w:p w14:paraId="2C2CE587" w14:textId="261BA81A" w:rsidR="008D493D" w:rsidRPr="00A53AD7" w:rsidRDefault="008D493D" w:rsidP="00D724B7">
            <w:pPr>
              <w:spacing w:after="0" w:line="240" w:lineRule="auto"/>
              <w:jc w:val="center"/>
              <w:rPr>
                <w:rFonts w:ascii="Times New Roman" w:hAnsi="Times New Roman"/>
                <w:b/>
                <w:sz w:val="20"/>
                <w:szCs w:val="20"/>
              </w:rPr>
            </w:pPr>
            <w:r w:rsidRPr="00A53AD7">
              <w:rPr>
                <w:rFonts w:ascii="Times New Roman" w:hAnsi="Times New Roman"/>
                <w:b/>
                <w:sz w:val="20"/>
                <w:szCs w:val="20"/>
              </w:rPr>
              <w:t>55,8</w:t>
            </w:r>
          </w:p>
        </w:tc>
      </w:tr>
      <w:tr w:rsidR="00D470B6" w:rsidRPr="00A53AD7" w14:paraId="27B0682B" w14:textId="77777777" w:rsidTr="0032488F">
        <w:tc>
          <w:tcPr>
            <w:tcW w:w="817" w:type="dxa"/>
            <w:vMerge w:val="restart"/>
            <w:shd w:val="clear" w:color="auto" w:fill="F2F2F2"/>
          </w:tcPr>
          <w:p w14:paraId="09ECB549"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val="restart"/>
            <w:shd w:val="clear" w:color="auto" w:fill="F2F2F2"/>
          </w:tcPr>
          <w:p w14:paraId="58F355B5" w14:textId="5186539E" w:rsidR="008D493D" w:rsidRPr="00A53AD7" w:rsidRDefault="008D493D" w:rsidP="008D493D">
            <w:pPr>
              <w:spacing w:after="0" w:line="240" w:lineRule="auto"/>
              <w:jc w:val="both"/>
              <w:rPr>
                <w:rFonts w:ascii="Times New Roman" w:hAnsi="Times New Roman"/>
                <w:b/>
                <w:sz w:val="20"/>
                <w:szCs w:val="20"/>
              </w:rPr>
            </w:pPr>
            <w:r w:rsidRPr="00A53AD7">
              <w:rPr>
                <w:rFonts w:ascii="Times New Roman" w:hAnsi="Times New Roman"/>
                <w:b/>
                <w:sz w:val="20"/>
                <w:szCs w:val="20"/>
              </w:rPr>
              <w:t xml:space="preserve">Исполнение: </w:t>
            </w:r>
          </w:p>
        </w:tc>
        <w:tc>
          <w:tcPr>
            <w:tcW w:w="869" w:type="dxa"/>
            <w:shd w:val="clear" w:color="auto" w:fill="F2F2F2"/>
          </w:tcPr>
          <w:p w14:paraId="0A2BF6B2"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1 393,1</w:t>
            </w:r>
          </w:p>
        </w:tc>
        <w:tc>
          <w:tcPr>
            <w:tcW w:w="850" w:type="dxa"/>
            <w:shd w:val="clear" w:color="auto" w:fill="F2F2F2"/>
          </w:tcPr>
          <w:p w14:paraId="53A3BA64"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888,2</w:t>
            </w:r>
          </w:p>
        </w:tc>
        <w:tc>
          <w:tcPr>
            <w:tcW w:w="709" w:type="dxa"/>
            <w:shd w:val="clear" w:color="auto" w:fill="F2F2F2"/>
          </w:tcPr>
          <w:p w14:paraId="4B328337"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451,0</w:t>
            </w:r>
          </w:p>
        </w:tc>
        <w:tc>
          <w:tcPr>
            <w:tcW w:w="816" w:type="dxa"/>
            <w:shd w:val="clear" w:color="auto" w:fill="F2F2F2"/>
          </w:tcPr>
          <w:p w14:paraId="6BE0BC9B" w14:textId="77777777" w:rsidR="008D493D" w:rsidRPr="00A53AD7" w:rsidRDefault="008D493D" w:rsidP="008D493D">
            <w:pPr>
              <w:spacing w:after="0" w:line="240" w:lineRule="auto"/>
              <w:jc w:val="center"/>
              <w:rPr>
                <w:rFonts w:ascii="Times New Roman" w:hAnsi="Times New Roman"/>
                <w:b/>
                <w:sz w:val="20"/>
                <w:szCs w:val="20"/>
              </w:rPr>
            </w:pPr>
            <w:r w:rsidRPr="00A53AD7">
              <w:rPr>
                <w:rFonts w:ascii="Times New Roman" w:hAnsi="Times New Roman"/>
                <w:b/>
                <w:sz w:val="20"/>
                <w:szCs w:val="20"/>
              </w:rPr>
              <w:t>53,8</w:t>
            </w:r>
          </w:p>
        </w:tc>
      </w:tr>
      <w:tr w:rsidR="00D470B6" w:rsidRPr="00A53AD7" w14:paraId="6F89FC4C" w14:textId="77777777" w:rsidTr="0032488F">
        <w:tc>
          <w:tcPr>
            <w:tcW w:w="817" w:type="dxa"/>
            <w:vMerge/>
            <w:shd w:val="clear" w:color="auto" w:fill="F2F2F2"/>
          </w:tcPr>
          <w:p w14:paraId="3598F5CA" w14:textId="77777777" w:rsidR="008D493D" w:rsidRPr="00A53AD7" w:rsidRDefault="008D493D" w:rsidP="008D493D">
            <w:pPr>
              <w:spacing w:after="0" w:line="240" w:lineRule="auto"/>
              <w:jc w:val="both"/>
              <w:rPr>
                <w:rFonts w:ascii="Times New Roman" w:hAnsi="Times New Roman"/>
                <w:sz w:val="20"/>
                <w:szCs w:val="20"/>
              </w:rPr>
            </w:pPr>
          </w:p>
        </w:tc>
        <w:tc>
          <w:tcPr>
            <w:tcW w:w="5387" w:type="dxa"/>
            <w:vMerge/>
            <w:shd w:val="clear" w:color="auto" w:fill="F2F2F2"/>
          </w:tcPr>
          <w:p w14:paraId="481A1AC0" w14:textId="77777777" w:rsidR="008D493D" w:rsidRPr="00A53AD7" w:rsidRDefault="008D493D" w:rsidP="008D493D">
            <w:pPr>
              <w:spacing w:after="0" w:line="240" w:lineRule="auto"/>
              <w:jc w:val="both"/>
              <w:rPr>
                <w:rFonts w:ascii="Times New Roman" w:hAnsi="Times New Roman"/>
                <w:b/>
                <w:sz w:val="20"/>
                <w:szCs w:val="20"/>
              </w:rPr>
            </w:pPr>
          </w:p>
        </w:tc>
        <w:tc>
          <w:tcPr>
            <w:tcW w:w="869" w:type="dxa"/>
            <w:shd w:val="clear" w:color="auto" w:fill="F2F2F2"/>
          </w:tcPr>
          <w:p w14:paraId="7194BC9B" w14:textId="22359B75" w:rsidR="008D493D" w:rsidRPr="00A53AD7" w:rsidRDefault="008D493D" w:rsidP="00A41948">
            <w:pPr>
              <w:spacing w:after="0" w:line="240" w:lineRule="auto"/>
              <w:jc w:val="center"/>
              <w:rPr>
                <w:rFonts w:ascii="Times New Roman" w:hAnsi="Times New Roman"/>
                <w:b/>
                <w:sz w:val="18"/>
                <w:szCs w:val="18"/>
              </w:rPr>
            </w:pPr>
            <w:r w:rsidRPr="00A53AD7">
              <w:rPr>
                <w:rFonts w:ascii="Times New Roman" w:hAnsi="Times New Roman"/>
                <w:b/>
                <w:sz w:val="18"/>
                <w:szCs w:val="18"/>
              </w:rPr>
              <w:t>92,1%</w:t>
            </w:r>
          </w:p>
        </w:tc>
        <w:tc>
          <w:tcPr>
            <w:tcW w:w="850" w:type="dxa"/>
            <w:shd w:val="clear" w:color="auto" w:fill="F2F2F2"/>
          </w:tcPr>
          <w:p w14:paraId="721485E9"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95,3%</w:t>
            </w:r>
          </w:p>
        </w:tc>
        <w:tc>
          <w:tcPr>
            <w:tcW w:w="709" w:type="dxa"/>
            <w:shd w:val="clear" w:color="auto" w:fill="F2F2F2"/>
          </w:tcPr>
          <w:p w14:paraId="18622260" w14:textId="77777777" w:rsidR="008D493D" w:rsidRPr="00A53AD7" w:rsidRDefault="008D493D" w:rsidP="008D493D">
            <w:pPr>
              <w:spacing w:after="0" w:line="240" w:lineRule="auto"/>
              <w:jc w:val="center"/>
              <w:rPr>
                <w:rFonts w:ascii="Times New Roman" w:hAnsi="Times New Roman"/>
                <w:b/>
                <w:sz w:val="17"/>
                <w:szCs w:val="17"/>
              </w:rPr>
            </w:pPr>
            <w:r w:rsidRPr="00A53AD7">
              <w:rPr>
                <w:rFonts w:ascii="Times New Roman" w:hAnsi="Times New Roman"/>
                <w:b/>
                <w:sz w:val="17"/>
                <w:szCs w:val="17"/>
              </w:rPr>
              <w:t>86,0%</w:t>
            </w:r>
          </w:p>
        </w:tc>
        <w:tc>
          <w:tcPr>
            <w:tcW w:w="816" w:type="dxa"/>
            <w:shd w:val="clear" w:color="auto" w:fill="F2F2F2"/>
          </w:tcPr>
          <w:p w14:paraId="07CD718E" w14:textId="77777777" w:rsidR="008D493D" w:rsidRPr="00A53AD7" w:rsidRDefault="008D493D" w:rsidP="008D493D">
            <w:pPr>
              <w:spacing w:after="0" w:line="240" w:lineRule="auto"/>
              <w:jc w:val="center"/>
              <w:rPr>
                <w:rFonts w:ascii="Times New Roman" w:hAnsi="Times New Roman"/>
                <w:b/>
                <w:sz w:val="18"/>
                <w:szCs w:val="18"/>
              </w:rPr>
            </w:pPr>
            <w:r w:rsidRPr="00A53AD7">
              <w:rPr>
                <w:rFonts w:ascii="Times New Roman" w:hAnsi="Times New Roman"/>
                <w:b/>
                <w:sz w:val="18"/>
                <w:szCs w:val="18"/>
              </w:rPr>
              <w:t>96,4%</w:t>
            </w:r>
          </w:p>
        </w:tc>
      </w:tr>
    </w:tbl>
    <w:p w14:paraId="1BA0D3CB" w14:textId="77777777" w:rsidR="008D493D" w:rsidRPr="00A53AD7" w:rsidRDefault="008D493D" w:rsidP="008D493D">
      <w:pPr>
        <w:spacing w:after="0" w:line="240" w:lineRule="auto"/>
        <w:ind w:firstLine="709"/>
        <w:jc w:val="both"/>
        <w:rPr>
          <w:rFonts w:ascii="Times New Roman" w:hAnsi="Times New Roman"/>
          <w:sz w:val="28"/>
          <w:szCs w:val="28"/>
          <w:highlight w:val="cyan"/>
        </w:rPr>
      </w:pPr>
    </w:p>
    <w:p w14:paraId="03E9C0AE" w14:textId="77777777" w:rsidR="008D493D" w:rsidRPr="00A53AD7" w:rsidRDefault="008D493D" w:rsidP="00DC11FB">
      <w:pPr>
        <w:pStyle w:val="a8"/>
        <w:ind w:left="0" w:firstLine="851"/>
        <w:jc w:val="both"/>
        <w:rPr>
          <w:sz w:val="28"/>
          <w:szCs w:val="28"/>
        </w:rPr>
      </w:pPr>
      <w:r w:rsidRPr="00A53AD7">
        <w:rPr>
          <w:sz w:val="28"/>
          <w:szCs w:val="28"/>
        </w:rPr>
        <w:t>В полном объеме выполнены мероприятия:</w:t>
      </w:r>
    </w:p>
    <w:p w14:paraId="399193F3" w14:textId="77777777" w:rsidR="008D493D" w:rsidRPr="00A53AD7" w:rsidRDefault="008D493D" w:rsidP="00DC11FB">
      <w:pPr>
        <w:pStyle w:val="a8"/>
        <w:ind w:left="0" w:firstLine="851"/>
        <w:jc w:val="both"/>
        <w:rPr>
          <w:sz w:val="28"/>
          <w:szCs w:val="28"/>
        </w:rPr>
      </w:pPr>
      <w:r w:rsidRPr="00A53AD7">
        <w:rPr>
          <w:sz w:val="28"/>
          <w:szCs w:val="28"/>
        </w:rPr>
        <w:t>Подпрограммы №1:</w:t>
      </w:r>
    </w:p>
    <w:p w14:paraId="20E5A8B9" w14:textId="77777777" w:rsidR="008D493D" w:rsidRPr="00A53AD7" w:rsidRDefault="008D493D" w:rsidP="00CA1DDD">
      <w:pPr>
        <w:pStyle w:val="a8"/>
        <w:numPr>
          <w:ilvl w:val="0"/>
          <w:numId w:val="40"/>
        </w:numPr>
        <w:ind w:left="0" w:firstLine="839"/>
        <w:jc w:val="both"/>
        <w:rPr>
          <w:sz w:val="28"/>
          <w:szCs w:val="28"/>
        </w:rPr>
      </w:pPr>
      <w:r w:rsidRPr="00A53AD7">
        <w:rPr>
          <w:sz w:val="28"/>
          <w:szCs w:val="28"/>
        </w:rPr>
        <w:t>1.9. Комплексное освоение территории 7 и 10 кварталов Южного района с целью развития жилищного строительства в г. Котласе (в рамках реализации федерального проекта "Жилье" национального проекта "Жилье и городская среда");</w:t>
      </w:r>
    </w:p>
    <w:p w14:paraId="258673B6" w14:textId="77777777" w:rsidR="008D493D" w:rsidRPr="00A53AD7" w:rsidRDefault="008D493D" w:rsidP="00CA1DDD">
      <w:pPr>
        <w:pStyle w:val="a8"/>
        <w:numPr>
          <w:ilvl w:val="0"/>
          <w:numId w:val="40"/>
        </w:numPr>
        <w:ind w:left="0" w:firstLine="839"/>
        <w:jc w:val="both"/>
        <w:rPr>
          <w:sz w:val="28"/>
          <w:szCs w:val="28"/>
        </w:rPr>
      </w:pPr>
      <w:r w:rsidRPr="00A53AD7">
        <w:rPr>
          <w:sz w:val="28"/>
          <w:szCs w:val="28"/>
        </w:rPr>
        <w:t>1.13. Обеспечение деятельности фонда "Фонд защиты прав граждан - участников долевого строительства в Архангельской области";</w:t>
      </w:r>
    </w:p>
    <w:p w14:paraId="3211D0EE" w14:textId="77777777" w:rsidR="008D493D" w:rsidRPr="00A53AD7" w:rsidRDefault="008D493D" w:rsidP="00DC11FB">
      <w:pPr>
        <w:pStyle w:val="a8"/>
        <w:ind w:left="0" w:firstLine="851"/>
        <w:jc w:val="both"/>
        <w:rPr>
          <w:sz w:val="28"/>
          <w:szCs w:val="28"/>
        </w:rPr>
      </w:pPr>
      <w:r w:rsidRPr="00A53AD7">
        <w:rPr>
          <w:sz w:val="28"/>
          <w:szCs w:val="28"/>
        </w:rPr>
        <w:t>Подпрограммы №2:</w:t>
      </w:r>
    </w:p>
    <w:p w14:paraId="7088FCB2" w14:textId="77777777" w:rsidR="008D493D" w:rsidRPr="00A53AD7" w:rsidRDefault="008D493D" w:rsidP="00CA1DDD">
      <w:pPr>
        <w:pStyle w:val="a8"/>
        <w:numPr>
          <w:ilvl w:val="0"/>
          <w:numId w:val="40"/>
        </w:numPr>
        <w:ind w:left="0" w:firstLine="839"/>
        <w:jc w:val="both"/>
        <w:rPr>
          <w:sz w:val="28"/>
          <w:szCs w:val="28"/>
        </w:rPr>
      </w:pPr>
      <w:r w:rsidRPr="00A53AD7">
        <w:rPr>
          <w:sz w:val="28"/>
          <w:szCs w:val="28"/>
        </w:rPr>
        <w:t>2.1 Издание информационных материалов о реализации подпрограммы № 2;</w:t>
      </w:r>
    </w:p>
    <w:p w14:paraId="52532862" w14:textId="77777777" w:rsidR="008D493D" w:rsidRPr="00A53AD7" w:rsidRDefault="008D493D" w:rsidP="00DC11FB">
      <w:pPr>
        <w:pStyle w:val="a8"/>
        <w:ind w:left="0" w:firstLine="851"/>
        <w:jc w:val="both"/>
        <w:rPr>
          <w:sz w:val="28"/>
          <w:szCs w:val="28"/>
        </w:rPr>
      </w:pPr>
      <w:r w:rsidRPr="00A53AD7">
        <w:rPr>
          <w:sz w:val="28"/>
          <w:szCs w:val="28"/>
        </w:rPr>
        <w:t>Подпрограммы № 4:</w:t>
      </w:r>
    </w:p>
    <w:p w14:paraId="5B410AD8" w14:textId="77777777" w:rsidR="008D493D" w:rsidRPr="00A53AD7" w:rsidRDefault="008D493D" w:rsidP="00CA1DDD">
      <w:pPr>
        <w:pStyle w:val="a8"/>
        <w:numPr>
          <w:ilvl w:val="0"/>
          <w:numId w:val="40"/>
        </w:numPr>
        <w:ind w:left="0" w:firstLine="839"/>
        <w:jc w:val="both"/>
        <w:rPr>
          <w:sz w:val="28"/>
          <w:szCs w:val="28"/>
        </w:rPr>
      </w:pPr>
      <w:r w:rsidRPr="00A53AD7">
        <w:rPr>
          <w:sz w:val="28"/>
          <w:szCs w:val="28"/>
        </w:rPr>
        <w:t>1.4. Осуществление государственных полномочий по регистрации и учету граждан, имеющих право на получение жилищных субсидий в связи с переселением из районов Крайнего Севера и приравненных к ним местностей;</w:t>
      </w:r>
    </w:p>
    <w:p w14:paraId="6949F91A" w14:textId="77777777" w:rsidR="008D493D" w:rsidRPr="00A53AD7" w:rsidRDefault="008D493D" w:rsidP="00CA1DDD">
      <w:pPr>
        <w:pStyle w:val="a8"/>
        <w:numPr>
          <w:ilvl w:val="0"/>
          <w:numId w:val="40"/>
        </w:numPr>
        <w:ind w:left="0" w:firstLine="839"/>
        <w:jc w:val="both"/>
        <w:rPr>
          <w:sz w:val="28"/>
          <w:szCs w:val="28"/>
        </w:rPr>
      </w:pPr>
      <w:r w:rsidRPr="00A53AD7">
        <w:rPr>
          <w:sz w:val="28"/>
          <w:szCs w:val="28"/>
        </w:rPr>
        <w:t>3.1. Осуществление государственных функций в сфере регионального государственного строительного надзора и государственного контроля (надзора) в области долевого строительства многоквартирных домов и (или) иных объектов недвижимости, в том числе за деятельностью жилищно-строительных кооперативов, связанной со строительством многоквартирных домов, на территории Архангельской области.</w:t>
      </w:r>
    </w:p>
    <w:p w14:paraId="55E64538" w14:textId="77777777" w:rsidR="008D493D" w:rsidRPr="00A53AD7" w:rsidRDefault="008D493D" w:rsidP="00DC11FB">
      <w:pPr>
        <w:pStyle w:val="a8"/>
        <w:ind w:left="0" w:firstLine="851"/>
        <w:jc w:val="both"/>
        <w:rPr>
          <w:sz w:val="28"/>
          <w:szCs w:val="28"/>
        </w:rPr>
      </w:pPr>
      <w:r w:rsidRPr="00A53AD7">
        <w:rPr>
          <w:sz w:val="28"/>
          <w:szCs w:val="28"/>
        </w:rPr>
        <w:t>По остальным мероприятиям имеются отклонения от плановых значений (исполнение менее 100%).</w:t>
      </w:r>
    </w:p>
    <w:p w14:paraId="05CDFA7C" w14:textId="7DF940C6" w:rsidR="008D493D" w:rsidRPr="00A53AD7" w:rsidRDefault="008D493D" w:rsidP="00DC11FB">
      <w:pPr>
        <w:pStyle w:val="a8"/>
        <w:ind w:left="0" w:firstLine="851"/>
        <w:jc w:val="both"/>
        <w:rPr>
          <w:sz w:val="26"/>
          <w:szCs w:val="26"/>
          <w:highlight w:val="cyan"/>
        </w:rPr>
      </w:pPr>
      <w:r w:rsidRPr="00A53AD7">
        <w:rPr>
          <w:sz w:val="28"/>
          <w:szCs w:val="28"/>
        </w:rPr>
        <w:t>Согласно пояснительной записке к отчету исполнение госпрограммы за отчетны</w:t>
      </w:r>
      <w:r w:rsidR="00163D1C" w:rsidRPr="00A53AD7">
        <w:rPr>
          <w:sz w:val="28"/>
          <w:szCs w:val="28"/>
        </w:rPr>
        <w:t>й период составило 1 221,7 млн.</w:t>
      </w:r>
      <w:r w:rsidRPr="00A53AD7">
        <w:rPr>
          <w:sz w:val="28"/>
          <w:szCs w:val="28"/>
        </w:rPr>
        <w:t>руб. или 92,7 % к уточненному плану года и 91,3 % к уточненной св</w:t>
      </w:r>
      <w:r w:rsidR="00DC11FB" w:rsidRPr="00A53AD7">
        <w:rPr>
          <w:sz w:val="28"/>
          <w:szCs w:val="28"/>
        </w:rPr>
        <w:t>одной бюджетной росписи на год.</w:t>
      </w:r>
    </w:p>
    <w:tbl>
      <w:tblPr>
        <w:tblW w:w="93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62"/>
        <w:gridCol w:w="1564"/>
        <w:gridCol w:w="1417"/>
        <w:gridCol w:w="1421"/>
      </w:tblGrid>
      <w:tr w:rsidR="00D470B6" w:rsidRPr="00A53AD7" w14:paraId="289377EB" w14:textId="77777777" w:rsidTr="00DC11FB">
        <w:trPr>
          <w:trHeight w:val="1072"/>
          <w:tblHeader/>
          <w:jc w:val="center"/>
        </w:trPr>
        <w:tc>
          <w:tcPr>
            <w:tcW w:w="4962" w:type="dxa"/>
            <w:vAlign w:val="center"/>
          </w:tcPr>
          <w:p w14:paraId="4A0F16ED" w14:textId="77777777" w:rsidR="008D493D" w:rsidRPr="00A53AD7" w:rsidRDefault="008D493D" w:rsidP="00DC11FB">
            <w:pPr>
              <w:spacing w:after="0" w:line="240" w:lineRule="auto"/>
              <w:ind w:left="-113"/>
              <w:jc w:val="center"/>
              <w:rPr>
                <w:rFonts w:ascii="Times New Roman" w:hAnsi="Times New Roman"/>
              </w:rPr>
            </w:pPr>
            <w:r w:rsidRPr="00A53AD7">
              <w:rPr>
                <w:rFonts w:ascii="Times New Roman" w:hAnsi="Times New Roman"/>
              </w:rPr>
              <w:t>Наименование</w:t>
            </w:r>
          </w:p>
        </w:tc>
        <w:tc>
          <w:tcPr>
            <w:tcW w:w="1564" w:type="dxa"/>
            <w:vAlign w:val="center"/>
          </w:tcPr>
          <w:p w14:paraId="3FEF5E8F" w14:textId="77777777" w:rsidR="008D493D" w:rsidRPr="00A53AD7" w:rsidRDefault="008D493D" w:rsidP="00DC11FB">
            <w:pPr>
              <w:spacing w:after="0" w:line="240" w:lineRule="auto"/>
              <w:jc w:val="center"/>
              <w:rPr>
                <w:rFonts w:ascii="Times New Roman" w:hAnsi="Times New Roman"/>
              </w:rPr>
            </w:pPr>
            <w:r w:rsidRPr="00A53AD7">
              <w:rPr>
                <w:rFonts w:ascii="Times New Roman" w:hAnsi="Times New Roman"/>
              </w:rPr>
              <w:t xml:space="preserve">Уточненный план </w:t>
            </w:r>
          </w:p>
          <w:p w14:paraId="5D0B7355" w14:textId="77777777" w:rsidR="008D493D" w:rsidRPr="00A53AD7" w:rsidRDefault="008D493D" w:rsidP="00DC11FB">
            <w:pPr>
              <w:spacing w:after="0" w:line="240" w:lineRule="auto"/>
              <w:jc w:val="center"/>
              <w:rPr>
                <w:rFonts w:ascii="Times New Roman" w:hAnsi="Times New Roman"/>
              </w:rPr>
            </w:pPr>
            <w:r w:rsidRPr="00A53AD7">
              <w:rPr>
                <w:rFonts w:ascii="Times New Roman" w:hAnsi="Times New Roman"/>
              </w:rPr>
              <w:t xml:space="preserve">на 2019 год, </w:t>
            </w:r>
          </w:p>
          <w:p w14:paraId="1B54667D" w14:textId="77777777" w:rsidR="008D493D" w:rsidRPr="00A53AD7" w:rsidRDefault="008D493D" w:rsidP="00DC11FB">
            <w:pPr>
              <w:spacing w:after="0" w:line="240" w:lineRule="auto"/>
              <w:jc w:val="center"/>
              <w:rPr>
                <w:rFonts w:ascii="Times New Roman" w:hAnsi="Times New Roman"/>
              </w:rPr>
            </w:pPr>
            <w:r w:rsidRPr="00A53AD7">
              <w:rPr>
                <w:rFonts w:ascii="Times New Roman" w:hAnsi="Times New Roman"/>
              </w:rPr>
              <w:t>млн.руб</w:t>
            </w:r>
          </w:p>
        </w:tc>
        <w:tc>
          <w:tcPr>
            <w:tcW w:w="1417" w:type="dxa"/>
            <w:vAlign w:val="center"/>
          </w:tcPr>
          <w:p w14:paraId="0FEC7E63" w14:textId="77777777" w:rsidR="008D493D" w:rsidRPr="00A53AD7" w:rsidRDefault="008D493D" w:rsidP="00DC11FB">
            <w:pPr>
              <w:spacing w:after="0" w:line="240" w:lineRule="auto"/>
              <w:jc w:val="center"/>
              <w:rPr>
                <w:rFonts w:ascii="Times New Roman" w:hAnsi="Times New Roman"/>
              </w:rPr>
            </w:pPr>
            <w:r w:rsidRPr="00A53AD7">
              <w:rPr>
                <w:rFonts w:ascii="Times New Roman" w:hAnsi="Times New Roman"/>
              </w:rPr>
              <w:t>Исполнено за 2019 год, млн.руб</w:t>
            </w:r>
          </w:p>
        </w:tc>
        <w:tc>
          <w:tcPr>
            <w:tcW w:w="1421" w:type="dxa"/>
            <w:vAlign w:val="center"/>
          </w:tcPr>
          <w:p w14:paraId="7EB95F8C" w14:textId="77777777" w:rsidR="008D493D" w:rsidRPr="00A53AD7" w:rsidRDefault="008D493D" w:rsidP="00DC11FB">
            <w:pPr>
              <w:spacing w:after="0" w:line="240" w:lineRule="auto"/>
              <w:jc w:val="center"/>
              <w:rPr>
                <w:rFonts w:ascii="Times New Roman" w:hAnsi="Times New Roman"/>
              </w:rPr>
            </w:pPr>
            <w:r w:rsidRPr="00A53AD7">
              <w:rPr>
                <w:rFonts w:ascii="Times New Roman" w:hAnsi="Times New Roman"/>
              </w:rPr>
              <w:t>% исполнения уточненного плана 2019 года</w:t>
            </w:r>
          </w:p>
        </w:tc>
      </w:tr>
      <w:tr w:rsidR="00D470B6" w:rsidRPr="00A53AD7" w14:paraId="533AD2DB" w14:textId="77777777" w:rsidTr="00DC11FB">
        <w:trPr>
          <w:trHeight w:val="246"/>
          <w:jc w:val="center"/>
        </w:trPr>
        <w:tc>
          <w:tcPr>
            <w:tcW w:w="4962" w:type="dxa"/>
            <w:vAlign w:val="center"/>
          </w:tcPr>
          <w:p w14:paraId="3C6C482A" w14:textId="77777777" w:rsidR="008D493D" w:rsidRPr="00A53AD7" w:rsidRDefault="008D493D" w:rsidP="00DC11FB">
            <w:pPr>
              <w:spacing w:after="0" w:line="240" w:lineRule="auto"/>
              <w:jc w:val="both"/>
              <w:rPr>
                <w:rFonts w:ascii="Times New Roman" w:hAnsi="Times New Roman"/>
                <w:b/>
                <w:bCs/>
              </w:rPr>
            </w:pPr>
            <w:r w:rsidRPr="00A53AD7">
              <w:rPr>
                <w:rFonts w:ascii="Times New Roman" w:hAnsi="Times New Roman"/>
                <w:b/>
                <w:bCs/>
              </w:rPr>
              <w:t>ВСЕГО расходов по программе,</w:t>
            </w:r>
          </w:p>
        </w:tc>
        <w:tc>
          <w:tcPr>
            <w:tcW w:w="1564" w:type="dxa"/>
            <w:vAlign w:val="center"/>
          </w:tcPr>
          <w:p w14:paraId="21194C46" w14:textId="77777777" w:rsidR="008D493D" w:rsidRPr="00A53AD7" w:rsidRDefault="008D493D" w:rsidP="00DC11FB">
            <w:pPr>
              <w:spacing w:after="0" w:line="240" w:lineRule="auto"/>
              <w:jc w:val="right"/>
              <w:rPr>
                <w:rFonts w:ascii="Times New Roman" w:hAnsi="Times New Roman"/>
                <w:b/>
                <w:iCs/>
              </w:rPr>
            </w:pPr>
            <w:r w:rsidRPr="00A53AD7">
              <w:rPr>
                <w:rFonts w:ascii="Times New Roman" w:hAnsi="Times New Roman"/>
                <w:b/>
                <w:iCs/>
              </w:rPr>
              <w:t>1 338,0</w:t>
            </w:r>
          </w:p>
        </w:tc>
        <w:tc>
          <w:tcPr>
            <w:tcW w:w="1417" w:type="dxa"/>
            <w:vAlign w:val="center"/>
          </w:tcPr>
          <w:p w14:paraId="628FEB2D" w14:textId="77777777" w:rsidR="008D493D" w:rsidRPr="00A53AD7" w:rsidRDefault="008D493D" w:rsidP="00DC11FB">
            <w:pPr>
              <w:spacing w:after="0" w:line="240" w:lineRule="auto"/>
              <w:jc w:val="right"/>
              <w:rPr>
                <w:rFonts w:ascii="Times New Roman" w:hAnsi="Times New Roman"/>
                <w:b/>
                <w:iCs/>
              </w:rPr>
            </w:pPr>
            <w:r w:rsidRPr="00A53AD7">
              <w:rPr>
                <w:rFonts w:ascii="Times New Roman" w:hAnsi="Times New Roman"/>
                <w:b/>
                <w:iCs/>
              </w:rPr>
              <w:t>1 221,7</w:t>
            </w:r>
          </w:p>
        </w:tc>
        <w:tc>
          <w:tcPr>
            <w:tcW w:w="1421" w:type="dxa"/>
            <w:vAlign w:val="center"/>
          </w:tcPr>
          <w:p w14:paraId="463DFDB5" w14:textId="77777777" w:rsidR="008D493D" w:rsidRPr="00A53AD7" w:rsidRDefault="008D493D" w:rsidP="00DC11FB">
            <w:pPr>
              <w:spacing w:after="0" w:line="240" w:lineRule="auto"/>
              <w:jc w:val="right"/>
              <w:rPr>
                <w:rFonts w:ascii="Times New Roman" w:hAnsi="Times New Roman"/>
                <w:b/>
                <w:iCs/>
              </w:rPr>
            </w:pPr>
            <w:r w:rsidRPr="00A53AD7">
              <w:rPr>
                <w:rFonts w:ascii="Times New Roman" w:hAnsi="Times New Roman"/>
                <w:b/>
                <w:iCs/>
              </w:rPr>
              <w:t>91,3</w:t>
            </w:r>
          </w:p>
        </w:tc>
      </w:tr>
      <w:tr w:rsidR="00D470B6" w:rsidRPr="00A53AD7" w14:paraId="60B4795F" w14:textId="77777777" w:rsidTr="00DC11FB">
        <w:trPr>
          <w:trHeight w:val="186"/>
          <w:jc w:val="center"/>
        </w:trPr>
        <w:tc>
          <w:tcPr>
            <w:tcW w:w="4962" w:type="dxa"/>
            <w:vAlign w:val="center"/>
          </w:tcPr>
          <w:p w14:paraId="12B80E0D" w14:textId="77777777" w:rsidR="008D493D" w:rsidRPr="00A53AD7" w:rsidRDefault="008D493D" w:rsidP="00DC11FB">
            <w:pPr>
              <w:spacing w:after="0" w:line="240" w:lineRule="auto"/>
              <w:rPr>
                <w:rFonts w:ascii="Times New Roman" w:hAnsi="Times New Roman"/>
                <w:i/>
                <w:iCs/>
              </w:rPr>
            </w:pPr>
            <w:r w:rsidRPr="00A53AD7">
              <w:rPr>
                <w:rFonts w:ascii="Times New Roman" w:hAnsi="Times New Roman"/>
                <w:i/>
              </w:rPr>
              <w:t>в том числе:</w:t>
            </w:r>
          </w:p>
        </w:tc>
        <w:tc>
          <w:tcPr>
            <w:tcW w:w="1564" w:type="dxa"/>
            <w:noWrap/>
            <w:vAlign w:val="center"/>
          </w:tcPr>
          <w:p w14:paraId="39FFD12E" w14:textId="77777777" w:rsidR="008D493D" w:rsidRPr="00A53AD7" w:rsidRDefault="008D493D" w:rsidP="00DC11FB">
            <w:pPr>
              <w:spacing w:after="0" w:line="240" w:lineRule="auto"/>
              <w:jc w:val="right"/>
              <w:rPr>
                <w:rFonts w:ascii="Times New Roman" w:hAnsi="Times New Roman"/>
              </w:rPr>
            </w:pPr>
          </w:p>
        </w:tc>
        <w:tc>
          <w:tcPr>
            <w:tcW w:w="1417" w:type="dxa"/>
            <w:noWrap/>
            <w:vAlign w:val="center"/>
          </w:tcPr>
          <w:p w14:paraId="26089DFD" w14:textId="77777777" w:rsidR="008D493D" w:rsidRPr="00A53AD7" w:rsidRDefault="008D493D" w:rsidP="00DC11FB">
            <w:pPr>
              <w:spacing w:after="0" w:line="240" w:lineRule="auto"/>
              <w:jc w:val="right"/>
              <w:rPr>
                <w:rFonts w:ascii="Times New Roman" w:hAnsi="Times New Roman"/>
              </w:rPr>
            </w:pPr>
          </w:p>
        </w:tc>
        <w:tc>
          <w:tcPr>
            <w:tcW w:w="1421" w:type="dxa"/>
            <w:noWrap/>
            <w:vAlign w:val="center"/>
          </w:tcPr>
          <w:p w14:paraId="33A1C94E" w14:textId="77777777" w:rsidR="008D493D" w:rsidRPr="00A53AD7" w:rsidRDefault="008D493D" w:rsidP="00DC11FB">
            <w:pPr>
              <w:spacing w:after="0" w:line="240" w:lineRule="auto"/>
              <w:jc w:val="right"/>
              <w:rPr>
                <w:rFonts w:ascii="Times New Roman" w:hAnsi="Times New Roman"/>
              </w:rPr>
            </w:pPr>
          </w:p>
        </w:tc>
      </w:tr>
      <w:tr w:rsidR="00D470B6" w:rsidRPr="00A53AD7" w14:paraId="6F045FC2" w14:textId="77777777" w:rsidTr="00DC11FB">
        <w:trPr>
          <w:trHeight w:val="316"/>
          <w:jc w:val="center"/>
        </w:trPr>
        <w:tc>
          <w:tcPr>
            <w:tcW w:w="4962" w:type="dxa"/>
            <w:vAlign w:val="center"/>
          </w:tcPr>
          <w:p w14:paraId="06A108A8" w14:textId="77777777" w:rsidR="008D493D" w:rsidRPr="00A53AD7" w:rsidRDefault="008D493D" w:rsidP="00CA1DDD">
            <w:pPr>
              <w:numPr>
                <w:ilvl w:val="0"/>
                <w:numId w:val="39"/>
              </w:numPr>
              <w:tabs>
                <w:tab w:val="left" w:pos="418"/>
              </w:tabs>
              <w:suppressAutoHyphens/>
              <w:spacing w:after="0" w:line="240" w:lineRule="auto"/>
              <w:ind w:left="42" w:hanging="42"/>
              <w:rPr>
                <w:rFonts w:ascii="Times New Roman" w:hAnsi="Times New Roman"/>
              </w:rPr>
            </w:pPr>
            <w:r w:rsidRPr="00A53AD7">
              <w:rPr>
                <w:rFonts w:ascii="Times New Roman" w:hAnsi="Times New Roman"/>
              </w:rPr>
              <w:t>Подпрограмма №1 «Создание условий для обеспечения доступным и комфортным жильем жителей Архангельской области»</w:t>
            </w:r>
          </w:p>
        </w:tc>
        <w:tc>
          <w:tcPr>
            <w:tcW w:w="1564" w:type="dxa"/>
            <w:vAlign w:val="center"/>
          </w:tcPr>
          <w:p w14:paraId="6AD5D205"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1 024,3</w:t>
            </w:r>
          </w:p>
        </w:tc>
        <w:tc>
          <w:tcPr>
            <w:tcW w:w="1417" w:type="dxa"/>
            <w:vAlign w:val="center"/>
          </w:tcPr>
          <w:p w14:paraId="27E7047A"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914,2</w:t>
            </w:r>
          </w:p>
        </w:tc>
        <w:tc>
          <w:tcPr>
            <w:tcW w:w="1421" w:type="dxa"/>
            <w:vAlign w:val="center"/>
          </w:tcPr>
          <w:p w14:paraId="64A37D22"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89,3</w:t>
            </w:r>
          </w:p>
        </w:tc>
      </w:tr>
      <w:tr w:rsidR="00D470B6" w:rsidRPr="00A53AD7" w14:paraId="075A5E9C" w14:textId="77777777" w:rsidTr="00DC11FB">
        <w:trPr>
          <w:trHeight w:val="379"/>
          <w:jc w:val="center"/>
        </w:trPr>
        <w:tc>
          <w:tcPr>
            <w:tcW w:w="4962" w:type="dxa"/>
            <w:vAlign w:val="center"/>
          </w:tcPr>
          <w:p w14:paraId="15DA9096" w14:textId="77777777" w:rsidR="008D493D" w:rsidRPr="00A53AD7" w:rsidRDefault="008D493D" w:rsidP="00DC11FB">
            <w:pPr>
              <w:spacing w:after="0" w:line="240" w:lineRule="auto"/>
              <w:rPr>
                <w:rFonts w:ascii="Times New Roman" w:hAnsi="Times New Roman"/>
              </w:rPr>
            </w:pPr>
            <w:r w:rsidRPr="00A53AD7">
              <w:rPr>
                <w:rFonts w:ascii="Times New Roman" w:hAnsi="Times New Roman"/>
              </w:rPr>
              <w:t>2. Подпрограмма №2 «Обеспечение жильем молодых семей»</w:t>
            </w:r>
          </w:p>
        </w:tc>
        <w:tc>
          <w:tcPr>
            <w:tcW w:w="1564" w:type="dxa"/>
            <w:vAlign w:val="center"/>
          </w:tcPr>
          <w:p w14:paraId="7CE98EC0"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134,8</w:t>
            </w:r>
          </w:p>
        </w:tc>
        <w:tc>
          <w:tcPr>
            <w:tcW w:w="1417" w:type="dxa"/>
            <w:vAlign w:val="center"/>
          </w:tcPr>
          <w:p w14:paraId="271647CC"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134,5</w:t>
            </w:r>
          </w:p>
        </w:tc>
        <w:tc>
          <w:tcPr>
            <w:tcW w:w="1421" w:type="dxa"/>
            <w:vAlign w:val="center"/>
          </w:tcPr>
          <w:p w14:paraId="1CCD3441"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99,7</w:t>
            </w:r>
          </w:p>
        </w:tc>
      </w:tr>
      <w:tr w:rsidR="008D493D" w:rsidRPr="00A53AD7" w14:paraId="19D9B04A" w14:textId="77777777" w:rsidTr="00DC11FB">
        <w:trPr>
          <w:trHeight w:val="477"/>
          <w:jc w:val="center"/>
        </w:trPr>
        <w:tc>
          <w:tcPr>
            <w:tcW w:w="4962" w:type="dxa"/>
            <w:vAlign w:val="center"/>
          </w:tcPr>
          <w:p w14:paraId="30EC349B" w14:textId="77777777" w:rsidR="008D493D" w:rsidRPr="00A53AD7" w:rsidRDefault="008D493D" w:rsidP="00DC11FB">
            <w:pPr>
              <w:spacing w:after="0" w:line="240" w:lineRule="auto"/>
              <w:rPr>
                <w:rFonts w:ascii="Times New Roman" w:hAnsi="Times New Roman"/>
              </w:rPr>
            </w:pPr>
            <w:r w:rsidRPr="00A53AD7">
              <w:rPr>
                <w:rFonts w:ascii="Times New Roman" w:hAnsi="Times New Roman"/>
              </w:rPr>
              <w:t>3. Подпрограмма №4 «Создание условий для реализации государственной программы»</w:t>
            </w:r>
          </w:p>
        </w:tc>
        <w:tc>
          <w:tcPr>
            <w:tcW w:w="1564" w:type="dxa"/>
            <w:vAlign w:val="center"/>
          </w:tcPr>
          <w:p w14:paraId="70AADF0B"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178,9</w:t>
            </w:r>
          </w:p>
        </w:tc>
        <w:tc>
          <w:tcPr>
            <w:tcW w:w="1417" w:type="dxa"/>
            <w:vAlign w:val="center"/>
          </w:tcPr>
          <w:p w14:paraId="663BA6CC"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173,0</w:t>
            </w:r>
          </w:p>
        </w:tc>
        <w:tc>
          <w:tcPr>
            <w:tcW w:w="1421" w:type="dxa"/>
            <w:vAlign w:val="center"/>
          </w:tcPr>
          <w:p w14:paraId="197ADF6A" w14:textId="77777777" w:rsidR="008D493D" w:rsidRPr="00A53AD7" w:rsidRDefault="008D493D" w:rsidP="00DC11FB">
            <w:pPr>
              <w:spacing w:after="0" w:line="240" w:lineRule="auto"/>
              <w:jc w:val="right"/>
              <w:rPr>
                <w:rFonts w:ascii="Times New Roman" w:hAnsi="Times New Roman"/>
              </w:rPr>
            </w:pPr>
            <w:r w:rsidRPr="00A53AD7">
              <w:rPr>
                <w:rFonts w:ascii="Times New Roman" w:hAnsi="Times New Roman"/>
              </w:rPr>
              <w:t>96,7</w:t>
            </w:r>
          </w:p>
        </w:tc>
      </w:tr>
    </w:tbl>
    <w:p w14:paraId="4F4CC4FF" w14:textId="77777777" w:rsidR="008D493D" w:rsidRPr="00A53AD7" w:rsidRDefault="008D493D" w:rsidP="00DC11FB">
      <w:pPr>
        <w:pStyle w:val="a8"/>
        <w:ind w:left="0" w:firstLine="851"/>
        <w:jc w:val="both"/>
        <w:rPr>
          <w:sz w:val="28"/>
          <w:szCs w:val="28"/>
        </w:rPr>
      </w:pPr>
    </w:p>
    <w:p w14:paraId="4F2E5ABB" w14:textId="77777777" w:rsidR="008D493D" w:rsidRPr="00A53AD7" w:rsidRDefault="008D493D" w:rsidP="00DC11FB">
      <w:pPr>
        <w:pStyle w:val="a8"/>
        <w:ind w:left="0" w:firstLine="851"/>
        <w:jc w:val="both"/>
        <w:rPr>
          <w:sz w:val="28"/>
          <w:szCs w:val="28"/>
        </w:rPr>
      </w:pPr>
      <w:r w:rsidRPr="00A53AD7">
        <w:rPr>
          <w:sz w:val="28"/>
          <w:szCs w:val="28"/>
        </w:rPr>
        <w:t>Расходы на реализацию национальных проектов, реализуемых в рамках госпрограммы, составляют:</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45"/>
        <w:gridCol w:w="1549"/>
        <w:gridCol w:w="1406"/>
        <w:gridCol w:w="1516"/>
      </w:tblGrid>
      <w:tr w:rsidR="00D470B6" w:rsidRPr="00A53AD7" w14:paraId="7C0D0F92" w14:textId="77777777" w:rsidTr="008B0295">
        <w:trPr>
          <w:tblHeader/>
        </w:trPr>
        <w:tc>
          <w:tcPr>
            <w:tcW w:w="4962" w:type="dxa"/>
            <w:vAlign w:val="center"/>
          </w:tcPr>
          <w:p w14:paraId="405B8795" w14:textId="77777777" w:rsidR="008D493D" w:rsidRPr="00A53AD7" w:rsidRDefault="008D493D" w:rsidP="004073E7">
            <w:pPr>
              <w:pStyle w:val="a8"/>
              <w:ind w:left="0"/>
              <w:jc w:val="center"/>
            </w:pPr>
            <w:r w:rsidRPr="00A53AD7">
              <w:t>Наименование</w:t>
            </w:r>
          </w:p>
        </w:tc>
        <w:tc>
          <w:tcPr>
            <w:tcW w:w="1559" w:type="dxa"/>
            <w:vAlign w:val="center"/>
          </w:tcPr>
          <w:p w14:paraId="126D3C31" w14:textId="77777777" w:rsidR="008D493D" w:rsidRPr="00A53AD7" w:rsidRDefault="008D493D" w:rsidP="004073E7">
            <w:pPr>
              <w:spacing w:after="0" w:line="240" w:lineRule="auto"/>
              <w:jc w:val="center"/>
              <w:rPr>
                <w:rFonts w:ascii="Times New Roman" w:hAnsi="Times New Roman"/>
              </w:rPr>
            </w:pPr>
            <w:r w:rsidRPr="00A53AD7">
              <w:rPr>
                <w:rFonts w:ascii="Times New Roman" w:hAnsi="Times New Roman"/>
              </w:rPr>
              <w:t xml:space="preserve">Уточненный план </w:t>
            </w:r>
          </w:p>
          <w:p w14:paraId="03AAEE35" w14:textId="77777777" w:rsidR="008D493D" w:rsidRPr="00A53AD7" w:rsidRDefault="008D493D" w:rsidP="004073E7">
            <w:pPr>
              <w:spacing w:after="0" w:line="240" w:lineRule="auto"/>
              <w:jc w:val="center"/>
              <w:rPr>
                <w:rFonts w:ascii="Times New Roman" w:hAnsi="Times New Roman"/>
              </w:rPr>
            </w:pPr>
            <w:r w:rsidRPr="00A53AD7">
              <w:rPr>
                <w:rFonts w:ascii="Times New Roman" w:hAnsi="Times New Roman"/>
              </w:rPr>
              <w:t xml:space="preserve">на 2019 год, </w:t>
            </w:r>
          </w:p>
          <w:p w14:paraId="4F8128E4" w14:textId="77777777" w:rsidR="008D493D" w:rsidRPr="00A53AD7" w:rsidRDefault="008D493D" w:rsidP="004073E7">
            <w:pPr>
              <w:spacing w:after="0" w:line="240" w:lineRule="auto"/>
              <w:jc w:val="center"/>
              <w:rPr>
                <w:rFonts w:ascii="Times New Roman" w:hAnsi="Times New Roman"/>
              </w:rPr>
            </w:pPr>
            <w:r w:rsidRPr="00A53AD7">
              <w:rPr>
                <w:rFonts w:ascii="Times New Roman" w:hAnsi="Times New Roman"/>
              </w:rPr>
              <w:t>млн.руб.</w:t>
            </w:r>
          </w:p>
        </w:tc>
        <w:tc>
          <w:tcPr>
            <w:tcW w:w="1417" w:type="dxa"/>
            <w:vAlign w:val="center"/>
          </w:tcPr>
          <w:p w14:paraId="290A912A" w14:textId="77777777" w:rsidR="008D493D" w:rsidRPr="00A53AD7" w:rsidRDefault="008D493D" w:rsidP="004073E7">
            <w:pPr>
              <w:spacing w:after="0" w:line="240" w:lineRule="auto"/>
              <w:jc w:val="center"/>
              <w:rPr>
                <w:rFonts w:ascii="Times New Roman" w:hAnsi="Times New Roman"/>
              </w:rPr>
            </w:pPr>
            <w:r w:rsidRPr="00A53AD7">
              <w:rPr>
                <w:rFonts w:ascii="Times New Roman" w:hAnsi="Times New Roman"/>
              </w:rPr>
              <w:t>Исполнено за 2019 год, млн.руб.</w:t>
            </w:r>
          </w:p>
        </w:tc>
        <w:tc>
          <w:tcPr>
            <w:tcW w:w="1524" w:type="dxa"/>
            <w:vAlign w:val="center"/>
          </w:tcPr>
          <w:p w14:paraId="156FC609" w14:textId="77777777" w:rsidR="008D493D" w:rsidRPr="00A53AD7" w:rsidRDefault="008D493D" w:rsidP="004073E7">
            <w:pPr>
              <w:spacing w:after="0" w:line="240" w:lineRule="auto"/>
              <w:jc w:val="center"/>
              <w:rPr>
                <w:rFonts w:ascii="Times New Roman" w:hAnsi="Times New Roman"/>
              </w:rPr>
            </w:pPr>
            <w:r w:rsidRPr="00A53AD7">
              <w:rPr>
                <w:rFonts w:ascii="Times New Roman" w:hAnsi="Times New Roman"/>
              </w:rPr>
              <w:t>% исполнения уточненного плана 2019 года</w:t>
            </w:r>
          </w:p>
        </w:tc>
      </w:tr>
      <w:tr w:rsidR="00D470B6" w:rsidRPr="00A53AD7" w14:paraId="496303D2" w14:textId="77777777" w:rsidTr="008B0295">
        <w:trPr>
          <w:tblHeader/>
        </w:trPr>
        <w:tc>
          <w:tcPr>
            <w:tcW w:w="4962" w:type="dxa"/>
            <w:vAlign w:val="center"/>
          </w:tcPr>
          <w:p w14:paraId="1C1B5F1C" w14:textId="77777777" w:rsidR="008D493D" w:rsidRPr="00A53AD7" w:rsidRDefault="008D493D" w:rsidP="008D493D">
            <w:pPr>
              <w:spacing w:after="0"/>
              <w:jc w:val="center"/>
              <w:rPr>
                <w:rFonts w:ascii="Times New Roman" w:hAnsi="Times New Roman"/>
              </w:rPr>
            </w:pPr>
            <w:r w:rsidRPr="00A53AD7">
              <w:rPr>
                <w:rFonts w:ascii="Times New Roman" w:hAnsi="Times New Roman"/>
              </w:rPr>
              <w:t>1</w:t>
            </w:r>
          </w:p>
        </w:tc>
        <w:tc>
          <w:tcPr>
            <w:tcW w:w="1559" w:type="dxa"/>
            <w:vAlign w:val="center"/>
          </w:tcPr>
          <w:p w14:paraId="611C6D71" w14:textId="77777777" w:rsidR="008D493D" w:rsidRPr="00A53AD7" w:rsidRDefault="008D493D" w:rsidP="008D493D">
            <w:pPr>
              <w:spacing w:after="0"/>
              <w:jc w:val="center"/>
              <w:rPr>
                <w:rFonts w:ascii="Times New Roman" w:hAnsi="Times New Roman"/>
              </w:rPr>
            </w:pPr>
            <w:r w:rsidRPr="00A53AD7">
              <w:rPr>
                <w:rFonts w:ascii="Times New Roman" w:hAnsi="Times New Roman"/>
              </w:rPr>
              <w:t>2</w:t>
            </w:r>
          </w:p>
        </w:tc>
        <w:tc>
          <w:tcPr>
            <w:tcW w:w="1417" w:type="dxa"/>
            <w:vAlign w:val="center"/>
          </w:tcPr>
          <w:p w14:paraId="1A9F71B4" w14:textId="77777777" w:rsidR="008D493D" w:rsidRPr="00A53AD7" w:rsidRDefault="008D493D" w:rsidP="008D493D">
            <w:pPr>
              <w:spacing w:after="0"/>
              <w:jc w:val="center"/>
              <w:rPr>
                <w:rFonts w:ascii="Times New Roman" w:hAnsi="Times New Roman"/>
              </w:rPr>
            </w:pPr>
            <w:r w:rsidRPr="00A53AD7">
              <w:rPr>
                <w:rFonts w:ascii="Times New Roman" w:hAnsi="Times New Roman"/>
              </w:rPr>
              <w:t>3</w:t>
            </w:r>
          </w:p>
        </w:tc>
        <w:tc>
          <w:tcPr>
            <w:tcW w:w="1524" w:type="dxa"/>
            <w:vAlign w:val="center"/>
          </w:tcPr>
          <w:p w14:paraId="71D9BE36" w14:textId="77777777" w:rsidR="008D493D" w:rsidRPr="00A53AD7" w:rsidRDefault="008D493D" w:rsidP="008D493D">
            <w:pPr>
              <w:spacing w:after="0"/>
              <w:jc w:val="center"/>
              <w:rPr>
                <w:rFonts w:ascii="Times New Roman" w:hAnsi="Times New Roman"/>
              </w:rPr>
            </w:pPr>
            <w:r w:rsidRPr="00A53AD7">
              <w:rPr>
                <w:rFonts w:ascii="Times New Roman" w:hAnsi="Times New Roman"/>
              </w:rPr>
              <w:t>4</w:t>
            </w:r>
          </w:p>
        </w:tc>
      </w:tr>
      <w:tr w:rsidR="00D470B6" w:rsidRPr="00A53AD7" w14:paraId="68B102AA" w14:textId="77777777" w:rsidTr="004073E7">
        <w:trPr>
          <w:trHeight w:val="195"/>
        </w:trPr>
        <w:tc>
          <w:tcPr>
            <w:tcW w:w="4962" w:type="dxa"/>
            <w:vAlign w:val="center"/>
          </w:tcPr>
          <w:p w14:paraId="76965FD5" w14:textId="77777777" w:rsidR="008D493D" w:rsidRPr="00A53AD7" w:rsidRDefault="008D493D" w:rsidP="008D493D">
            <w:pPr>
              <w:tabs>
                <w:tab w:val="left" w:pos="253"/>
              </w:tabs>
              <w:spacing w:after="0"/>
              <w:rPr>
                <w:rFonts w:ascii="Times New Roman" w:hAnsi="Times New Roman"/>
                <w:b/>
                <w:bCs/>
              </w:rPr>
            </w:pPr>
            <w:r w:rsidRPr="00A53AD7">
              <w:rPr>
                <w:rFonts w:ascii="Times New Roman" w:hAnsi="Times New Roman"/>
                <w:b/>
                <w:bCs/>
              </w:rPr>
              <w:t>ВСЕГО расходов по программе</w:t>
            </w:r>
          </w:p>
        </w:tc>
        <w:tc>
          <w:tcPr>
            <w:tcW w:w="1559" w:type="dxa"/>
            <w:vAlign w:val="center"/>
          </w:tcPr>
          <w:p w14:paraId="01E778B3" w14:textId="77777777" w:rsidR="008D493D" w:rsidRPr="00A53AD7" w:rsidRDefault="008D493D" w:rsidP="008D493D">
            <w:pPr>
              <w:spacing w:after="0" w:line="360" w:lineRule="atLeast"/>
              <w:jc w:val="right"/>
              <w:rPr>
                <w:rFonts w:ascii="Times New Roman" w:hAnsi="Times New Roman"/>
                <w:b/>
                <w:iCs/>
              </w:rPr>
            </w:pPr>
            <w:r w:rsidRPr="00A53AD7">
              <w:rPr>
                <w:rFonts w:ascii="Times New Roman" w:hAnsi="Times New Roman"/>
                <w:b/>
                <w:iCs/>
              </w:rPr>
              <w:t>1 338,0</w:t>
            </w:r>
          </w:p>
        </w:tc>
        <w:tc>
          <w:tcPr>
            <w:tcW w:w="1417" w:type="dxa"/>
            <w:vAlign w:val="center"/>
          </w:tcPr>
          <w:p w14:paraId="280E2A7E" w14:textId="77777777" w:rsidR="008D493D" w:rsidRPr="00A53AD7" w:rsidRDefault="008D493D" w:rsidP="008D493D">
            <w:pPr>
              <w:spacing w:after="0" w:line="360" w:lineRule="atLeast"/>
              <w:jc w:val="right"/>
              <w:rPr>
                <w:rFonts w:ascii="Times New Roman" w:hAnsi="Times New Roman"/>
                <w:b/>
                <w:iCs/>
              </w:rPr>
            </w:pPr>
            <w:r w:rsidRPr="00A53AD7">
              <w:rPr>
                <w:rFonts w:ascii="Times New Roman" w:hAnsi="Times New Roman"/>
                <w:b/>
                <w:iCs/>
              </w:rPr>
              <w:t>1 221,7</w:t>
            </w:r>
          </w:p>
        </w:tc>
        <w:tc>
          <w:tcPr>
            <w:tcW w:w="1524" w:type="dxa"/>
            <w:vAlign w:val="center"/>
          </w:tcPr>
          <w:p w14:paraId="4280F7D8" w14:textId="77777777" w:rsidR="008D493D" w:rsidRPr="00A53AD7" w:rsidRDefault="008D493D" w:rsidP="008D493D">
            <w:pPr>
              <w:spacing w:after="0" w:line="360" w:lineRule="atLeast"/>
              <w:jc w:val="right"/>
              <w:rPr>
                <w:rFonts w:ascii="Times New Roman" w:hAnsi="Times New Roman"/>
                <w:b/>
                <w:iCs/>
              </w:rPr>
            </w:pPr>
            <w:r w:rsidRPr="00A53AD7">
              <w:rPr>
                <w:rFonts w:ascii="Times New Roman" w:hAnsi="Times New Roman"/>
                <w:b/>
                <w:iCs/>
              </w:rPr>
              <w:t>91,3 %</w:t>
            </w:r>
          </w:p>
        </w:tc>
      </w:tr>
      <w:tr w:rsidR="00D470B6" w:rsidRPr="00A53AD7" w14:paraId="2470CCF7" w14:textId="77777777" w:rsidTr="008B0295">
        <w:tc>
          <w:tcPr>
            <w:tcW w:w="4962" w:type="dxa"/>
            <w:vAlign w:val="center"/>
          </w:tcPr>
          <w:p w14:paraId="69C034DB" w14:textId="77777777" w:rsidR="008D493D" w:rsidRPr="00A53AD7" w:rsidRDefault="008D493D" w:rsidP="008D493D">
            <w:pPr>
              <w:tabs>
                <w:tab w:val="left" w:pos="253"/>
              </w:tabs>
              <w:spacing w:after="0"/>
              <w:rPr>
                <w:rFonts w:ascii="Times New Roman" w:hAnsi="Times New Roman"/>
                <w:b/>
                <w:bCs/>
              </w:rPr>
            </w:pPr>
            <w:r w:rsidRPr="00A53AD7">
              <w:rPr>
                <w:rFonts w:ascii="Times New Roman" w:hAnsi="Times New Roman"/>
                <w:b/>
                <w:bCs/>
              </w:rPr>
              <w:t>из них расходы на реализацию национальных проектов</w:t>
            </w:r>
          </w:p>
        </w:tc>
        <w:tc>
          <w:tcPr>
            <w:tcW w:w="1559" w:type="dxa"/>
            <w:vAlign w:val="center"/>
          </w:tcPr>
          <w:p w14:paraId="0DB8B47E" w14:textId="77777777" w:rsidR="008D493D" w:rsidRPr="00A53AD7" w:rsidRDefault="008D493D" w:rsidP="008D493D">
            <w:pPr>
              <w:spacing w:after="0"/>
              <w:jc w:val="right"/>
              <w:rPr>
                <w:rFonts w:ascii="Times New Roman" w:hAnsi="Times New Roman"/>
                <w:b/>
                <w:iCs/>
              </w:rPr>
            </w:pPr>
            <w:r w:rsidRPr="00A53AD7">
              <w:rPr>
                <w:rFonts w:ascii="Times New Roman" w:hAnsi="Times New Roman"/>
                <w:b/>
                <w:iCs/>
              </w:rPr>
              <w:t>205,6</w:t>
            </w:r>
          </w:p>
        </w:tc>
        <w:tc>
          <w:tcPr>
            <w:tcW w:w="1417" w:type="dxa"/>
            <w:vAlign w:val="center"/>
          </w:tcPr>
          <w:p w14:paraId="01F0EDB7" w14:textId="77777777" w:rsidR="008D493D" w:rsidRPr="00A53AD7" w:rsidRDefault="008D493D" w:rsidP="008D493D">
            <w:pPr>
              <w:spacing w:after="0"/>
              <w:jc w:val="right"/>
              <w:rPr>
                <w:rFonts w:ascii="Times New Roman" w:hAnsi="Times New Roman"/>
                <w:b/>
                <w:bCs/>
              </w:rPr>
            </w:pPr>
            <w:r w:rsidRPr="00A53AD7">
              <w:rPr>
                <w:rFonts w:ascii="Times New Roman" w:hAnsi="Times New Roman"/>
                <w:b/>
                <w:bCs/>
              </w:rPr>
              <w:t>204,9</w:t>
            </w:r>
          </w:p>
        </w:tc>
        <w:tc>
          <w:tcPr>
            <w:tcW w:w="1524" w:type="dxa"/>
            <w:vAlign w:val="center"/>
          </w:tcPr>
          <w:p w14:paraId="12DC31D7" w14:textId="77777777" w:rsidR="008D493D" w:rsidRPr="00A53AD7" w:rsidRDefault="008D493D" w:rsidP="008D493D">
            <w:pPr>
              <w:spacing w:after="0"/>
              <w:jc w:val="right"/>
              <w:rPr>
                <w:rFonts w:ascii="Times New Roman" w:hAnsi="Times New Roman"/>
                <w:b/>
                <w:bCs/>
              </w:rPr>
            </w:pPr>
            <w:r w:rsidRPr="00A53AD7">
              <w:rPr>
                <w:rFonts w:ascii="Times New Roman" w:hAnsi="Times New Roman"/>
                <w:b/>
                <w:bCs/>
              </w:rPr>
              <w:t>99,6 %</w:t>
            </w:r>
          </w:p>
        </w:tc>
      </w:tr>
      <w:tr w:rsidR="00D470B6" w:rsidRPr="00A53AD7" w14:paraId="0B167FBB" w14:textId="77777777" w:rsidTr="008B0295">
        <w:tc>
          <w:tcPr>
            <w:tcW w:w="4962" w:type="dxa"/>
          </w:tcPr>
          <w:p w14:paraId="1673F1A1" w14:textId="77777777" w:rsidR="008D493D" w:rsidRPr="00A53AD7" w:rsidRDefault="008D493D" w:rsidP="008D493D">
            <w:pPr>
              <w:pStyle w:val="22"/>
              <w:spacing w:after="0" w:line="240" w:lineRule="auto"/>
              <w:ind w:left="0"/>
              <w:jc w:val="both"/>
              <w:rPr>
                <w:rFonts w:ascii="Times New Roman" w:hAnsi="Times New Roman"/>
                <w:lang w:val="ru-RU"/>
              </w:rPr>
            </w:pPr>
            <w:r w:rsidRPr="00A53AD7">
              <w:rPr>
                <w:rFonts w:ascii="Times New Roman" w:hAnsi="Times New Roman"/>
                <w:i/>
              </w:rPr>
              <w:t>в том числе:</w:t>
            </w:r>
          </w:p>
        </w:tc>
        <w:tc>
          <w:tcPr>
            <w:tcW w:w="1559" w:type="dxa"/>
          </w:tcPr>
          <w:p w14:paraId="7909756B" w14:textId="77777777" w:rsidR="008D493D" w:rsidRPr="00A53AD7" w:rsidRDefault="008D493D" w:rsidP="008D493D">
            <w:pPr>
              <w:pStyle w:val="22"/>
              <w:spacing w:after="0" w:line="240" w:lineRule="auto"/>
              <w:ind w:left="0"/>
              <w:jc w:val="both"/>
              <w:rPr>
                <w:rFonts w:ascii="Times New Roman" w:hAnsi="Times New Roman"/>
                <w:lang w:val="ru-RU"/>
              </w:rPr>
            </w:pPr>
          </w:p>
        </w:tc>
        <w:tc>
          <w:tcPr>
            <w:tcW w:w="1417" w:type="dxa"/>
          </w:tcPr>
          <w:p w14:paraId="7AEA7218" w14:textId="77777777" w:rsidR="008D493D" w:rsidRPr="00A53AD7" w:rsidRDefault="008D493D" w:rsidP="008D493D">
            <w:pPr>
              <w:pStyle w:val="22"/>
              <w:spacing w:after="0" w:line="240" w:lineRule="auto"/>
              <w:ind w:left="0"/>
              <w:jc w:val="both"/>
              <w:rPr>
                <w:rFonts w:ascii="Times New Roman" w:hAnsi="Times New Roman"/>
                <w:lang w:val="ru-RU"/>
              </w:rPr>
            </w:pPr>
          </w:p>
        </w:tc>
        <w:tc>
          <w:tcPr>
            <w:tcW w:w="1524" w:type="dxa"/>
          </w:tcPr>
          <w:p w14:paraId="0F27F609" w14:textId="77777777" w:rsidR="008D493D" w:rsidRPr="00A53AD7" w:rsidRDefault="008D493D" w:rsidP="008D493D">
            <w:pPr>
              <w:pStyle w:val="22"/>
              <w:spacing w:after="0" w:line="240" w:lineRule="auto"/>
              <w:ind w:left="0"/>
              <w:jc w:val="both"/>
              <w:rPr>
                <w:rFonts w:ascii="Times New Roman" w:hAnsi="Times New Roman"/>
                <w:lang w:val="ru-RU"/>
              </w:rPr>
            </w:pPr>
          </w:p>
        </w:tc>
      </w:tr>
      <w:tr w:rsidR="00D470B6" w:rsidRPr="00A53AD7" w14:paraId="4272A386" w14:textId="77777777" w:rsidTr="008B0295">
        <w:tc>
          <w:tcPr>
            <w:tcW w:w="4962" w:type="dxa"/>
            <w:vAlign w:val="center"/>
          </w:tcPr>
          <w:p w14:paraId="792ECED8" w14:textId="77777777" w:rsidR="008D493D" w:rsidRPr="00A53AD7" w:rsidRDefault="008D493D" w:rsidP="008D493D">
            <w:pPr>
              <w:tabs>
                <w:tab w:val="left" w:pos="253"/>
              </w:tabs>
              <w:spacing w:after="0"/>
              <w:rPr>
                <w:rFonts w:ascii="Times New Roman" w:hAnsi="Times New Roman"/>
              </w:rPr>
            </w:pPr>
            <w:r w:rsidRPr="00A53AD7">
              <w:rPr>
                <w:rFonts w:ascii="Times New Roman" w:hAnsi="Times New Roman"/>
              </w:rPr>
              <w:t xml:space="preserve">Федеральный проект «Жилье» </w:t>
            </w:r>
          </w:p>
        </w:tc>
        <w:tc>
          <w:tcPr>
            <w:tcW w:w="1559" w:type="dxa"/>
            <w:vAlign w:val="center"/>
          </w:tcPr>
          <w:p w14:paraId="13C2313A" w14:textId="77777777" w:rsidR="008D493D" w:rsidRPr="00A53AD7" w:rsidRDefault="008D493D" w:rsidP="008D493D">
            <w:pPr>
              <w:spacing w:after="0"/>
              <w:jc w:val="right"/>
              <w:rPr>
                <w:rFonts w:ascii="Times New Roman" w:hAnsi="Times New Roman"/>
              </w:rPr>
            </w:pPr>
            <w:r w:rsidRPr="00A53AD7">
              <w:rPr>
                <w:rFonts w:ascii="Times New Roman" w:hAnsi="Times New Roman"/>
              </w:rPr>
              <w:t>201,2</w:t>
            </w:r>
          </w:p>
        </w:tc>
        <w:tc>
          <w:tcPr>
            <w:tcW w:w="1417" w:type="dxa"/>
            <w:vAlign w:val="center"/>
          </w:tcPr>
          <w:p w14:paraId="1BE7422F" w14:textId="77777777" w:rsidR="008D493D" w:rsidRPr="00A53AD7" w:rsidRDefault="008D493D" w:rsidP="008D493D">
            <w:pPr>
              <w:spacing w:after="0"/>
              <w:jc w:val="right"/>
              <w:rPr>
                <w:rFonts w:ascii="Times New Roman" w:hAnsi="Times New Roman"/>
              </w:rPr>
            </w:pPr>
            <w:r w:rsidRPr="00A53AD7">
              <w:rPr>
                <w:rFonts w:ascii="Times New Roman" w:hAnsi="Times New Roman"/>
              </w:rPr>
              <w:t>200,5</w:t>
            </w:r>
          </w:p>
        </w:tc>
        <w:tc>
          <w:tcPr>
            <w:tcW w:w="1524" w:type="dxa"/>
            <w:vAlign w:val="center"/>
          </w:tcPr>
          <w:p w14:paraId="11E2BCD3" w14:textId="77777777" w:rsidR="008D493D" w:rsidRPr="00A53AD7" w:rsidRDefault="008D493D" w:rsidP="008D493D">
            <w:pPr>
              <w:spacing w:after="0"/>
              <w:jc w:val="right"/>
              <w:rPr>
                <w:rFonts w:ascii="Times New Roman" w:hAnsi="Times New Roman"/>
              </w:rPr>
            </w:pPr>
            <w:r w:rsidRPr="00A53AD7">
              <w:rPr>
                <w:rFonts w:ascii="Times New Roman" w:hAnsi="Times New Roman"/>
              </w:rPr>
              <w:t>99,6 %</w:t>
            </w:r>
          </w:p>
        </w:tc>
      </w:tr>
      <w:tr w:rsidR="008D493D" w:rsidRPr="00A53AD7" w14:paraId="45C966E5" w14:textId="77777777" w:rsidTr="008B0295">
        <w:tc>
          <w:tcPr>
            <w:tcW w:w="4962" w:type="dxa"/>
          </w:tcPr>
          <w:p w14:paraId="42F82059" w14:textId="77777777" w:rsidR="008D493D" w:rsidRPr="00A53AD7" w:rsidRDefault="008D493D" w:rsidP="008D493D">
            <w:pPr>
              <w:pStyle w:val="22"/>
              <w:spacing w:after="0" w:line="240" w:lineRule="auto"/>
              <w:ind w:left="0"/>
              <w:jc w:val="both"/>
              <w:rPr>
                <w:rFonts w:ascii="Times New Roman" w:hAnsi="Times New Roman"/>
                <w:lang w:val="ru-RU"/>
              </w:rPr>
            </w:pPr>
            <w:r w:rsidRPr="00A53AD7">
              <w:rPr>
                <w:rFonts w:ascii="Times New Roman" w:hAnsi="Times New Roman"/>
              </w:rPr>
              <w:t>Федеральный проект «Ипотека»</w:t>
            </w:r>
          </w:p>
        </w:tc>
        <w:tc>
          <w:tcPr>
            <w:tcW w:w="1559" w:type="dxa"/>
            <w:vAlign w:val="center"/>
          </w:tcPr>
          <w:p w14:paraId="43FDD9E9" w14:textId="77777777" w:rsidR="008D493D" w:rsidRPr="00A53AD7" w:rsidRDefault="008D493D" w:rsidP="008D493D">
            <w:pPr>
              <w:spacing w:after="0"/>
              <w:jc w:val="right"/>
              <w:rPr>
                <w:rFonts w:ascii="Times New Roman" w:hAnsi="Times New Roman"/>
              </w:rPr>
            </w:pPr>
            <w:r w:rsidRPr="00A53AD7">
              <w:rPr>
                <w:rFonts w:ascii="Times New Roman" w:hAnsi="Times New Roman"/>
              </w:rPr>
              <w:t>4,4</w:t>
            </w:r>
          </w:p>
        </w:tc>
        <w:tc>
          <w:tcPr>
            <w:tcW w:w="1417" w:type="dxa"/>
            <w:vAlign w:val="center"/>
          </w:tcPr>
          <w:p w14:paraId="7C9DA8D7" w14:textId="77777777" w:rsidR="008D493D" w:rsidRPr="00A53AD7" w:rsidRDefault="008D493D" w:rsidP="008D493D">
            <w:pPr>
              <w:spacing w:after="0"/>
              <w:jc w:val="right"/>
              <w:rPr>
                <w:rFonts w:ascii="Times New Roman" w:hAnsi="Times New Roman"/>
              </w:rPr>
            </w:pPr>
            <w:r w:rsidRPr="00A53AD7">
              <w:rPr>
                <w:rFonts w:ascii="Times New Roman" w:hAnsi="Times New Roman"/>
              </w:rPr>
              <w:t>4,4</w:t>
            </w:r>
          </w:p>
        </w:tc>
        <w:tc>
          <w:tcPr>
            <w:tcW w:w="1524" w:type="dxa"/>
            <w:vAlign w:val="center"/>
          </w:tcPr>
          <w:p w14:paraId="47634135" w14:textId="77777777" w:rsidR="008D493D" w:rsidRPr="00A53AD7" w:rsidRDefault="008D493D" w:rsidP="008D493D">
            <w:pPr>
              <w:spacing w:after="0"/>
              <w:jc w:val="right"/>
              <w:rPr>
                <w:rFonts w:ascii="Times New Roman" w:hAnsi="Times New Roman"/>
              </w:rPr>
            </w:pPr>
            <w:r w:rsidRPr="00A53AD7">
              <w:rPr>
                <w:rFonts w:ascii="Times New Roman" w:hAnsi="Times New Roman"/>
              </w:rPr>
              <w:t>100,0 %</w:t>
            </w:r>
          </w:p>
        </w:tc>
      </w:tr>
    </w:tbl>
    <w:p w14:paraId="5A7D3475" w14:textId="77777777" w:rsidR="008D493D" w:rsidRPr="00A53AD7" w:rsidRDefault="008D493D" w:rsidP="008B0295">
      <w:pPr>
        <w:pStyle w:val="a8"/>
        <w:ind w:left="0" w:firstLine="851"/>
        <w:jc w:val="both"/>
        <w:rPr>
          <w:sz w:val="28"/>
          <w:szCs w:val="28"/>
        </w:rPr>
      </w:pPr>
    </w:p>
    <w:p w14:paraId="10526178" w14:textId="4F250CFF" w:rsidR="008D493D" w:rsidRPr="00A53AD7" w:rsidRDefault="008D493D" w:rsidP="008B0295">
      <w:pPr>
        <w:pStyle w:val="a8"/>
        <w:ind w:left="0" w:firstLine="851"/>
        <w:jc w:val="both"/>
        <w:rPr>
          <w:sz w:val="28"/>
          <w:szCs w:val="28"/>
        </w:rPr>
      </w:pPr>
      <w:r w:rsidRPr="00A53AD7">
        <w:rPr>
          <w:sz w:val="28"/>
          <w:szCs w:val="28"/>
        </w:rPr>
        <w:t>Согласно пояснительной записке к отчету расходы в 2019 году в рамках программы произведены на цели:</w:t>
      </w:r>
    </w:p>
    <w:tbl>
      <w:tblPr>
        <w:tblpPr w:leftFromText="180" w:rightFromText="180" w:vertAnchor="text" w:horzAnchor="margin" w:tblpY="75"/>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46"/>
        <w:gridCol w:w="5232"/>
        <w:gridCol w:w="1134"/>
        <w:gridCol w:w="1134"/>
        <w:gridCol w:w="1134"/>
      </w:tblGrid>
      <w:tr w:rsidR="00D470B6" w:rsidRPr="00A53AD7" w14:paraId="7C8FA0DC" w14:textId="77777777" w:rsidTr="00EF6CF9">
        <w:trPr>
          <w:tblHeader/>
        </w:trPr>
        <w:tc>
          <w:tcPr>
            <w:tcW w:w="546" w:type="dxa"/>
            <w:vMerge w:val="restart"/>
            <w:shd w:val="clear" w:color="auto" w:fill="auto"/>
            <w:vAlign w:val="center"/>
          </w:tcPr>
          <w:p w14:paraId="07967C64" w14:textId="77777777"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 п/п</w:t>
            </w:r>
          </w:p>
        </w:tc>
        <w:tc>
          <w:tcPr>
            <w:tcW w:w="5232" w:type="dxa"/>
            <w:vMerge w:val="restart"/>
            <w:shd w:val="clear" w:color="auto" w:fill="auto"/>
            <w:vAlign w:val="center"/>
          </w:tcPr>
          <w:p w14:paraId="6D9A509A" w14:textId="00AC22E1"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Наименование расходов</w:t>
            </w:r>
          </w:p>
        </w:tc>
        <w:tc>
          <w:tcPr>
            <w:tcW w:w="3402" w:type="dxa"/>
            <w:gridSpan w:val="3"/>
            <w:shd w:val="clear" w:color="auto" w:fill="auto"/>
            <w:vAlign w:val="center"/>
          </w:tcPr>
          <w:p w14:paraId="54131EC0" w14:textId="78C36C10"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 xml:space="preserve">Объем средств, направленных </w:t>
            </w:r>
            <w:r w:rsidR="00163D1C" w:rsidRPr="00A53AD7">
              <w:rPr>
                <w:rFonts w:ascii="Times New Roman" w:hAnsi="Times New Roman"/>
                <w:b/>
              </w:rPr>
              <w:t>на осуществление расходов, млн.</w:t>
            </w:r>
            <w:r w:rsidRPr="00A53AD7">
              <w:rPr>
                <w:rFonts w:ascii="Times New Roman" w:hAnsi="Times New Roman"/>
                <w:b/>
              </w:rPr>
              <w:t>руб.</w:t>
            </w:r>
          </w:p>
        </w:tc>
      </w:tr>
      <w:tr w:rsidR="00D470B6" w:rsidRPr="00A53AD7" w14:paraId="5FF9FDEB" w14:textId="77777777" w:rsidTr="00EF6CF9">
        <w:trPr>
          <w:tblHeader/>
        </w:trPr>
        <w:tc>
          <w:tcPr>
            <w:tcW w:w="546" w:type="dxa"/>
            <w:vMerge/>
            <w:shd w:val="clear" w:color="auto" w:fill="auto"/>
            <w:vAlign w:val="center"/>
          </w:tcPr>
          <w:p w14:paraId="2D1B1474" w14:textId="77777777" w:rsidR="008D493D" w:rsidRPr="00A53AD7" w:rsidRDefault="008D493D" w:rsidP="00D73A19">
            <w:pPr>
              <w:spacing w:after="0" w:line="240" w:lineRule="auto"/>
              <w:jc w:val="center"/>
              <w:rPr>
                <w:rFonts w:ascii="Times New Roman" w:hAnsi="Times New Roman"/>
                <w:b/>
              </w:rPr>
            </w:pPr>
          </w:p>
        </w:tc>
        <w:tc>
          <w:tcPr>
            <w:tcW w:w="5232" w:type="dxa"/>
            <w:vMerge/>
            <w:shd w:val="clear" w:color="auto" w:fill="auto"/>
            <w:vAlign w:val="center"/>
          </w:tcPr>
          <w:p w14:paraId="02EC7BCA" w14:textId="77777777" w:rsidR="008D493D" w:rsidRPr="00A53AD7" w:rsidRDefault="008D493D" w:rsidP="00D73A19">
            <w:pPr>
              <w:spacing w:after="0" w:line="240" w:lineRule="auto"/>
              <w:jc w:val="center"/>
              <w:rPr>
                <w:rFonts w:ascii="Times New Roman" w:hAnsi="Times New Roman"/>
                <w:b/>
              </w:rPr>
            </w:pPr>
          </w:p>
        </w:tc>
        <w:tc>
          <w:tcPr>
            <w:tcW w:w="1134" w:type="dxa"/>
            <w:shd w:val="clear" w:color="auto" w:fill="auto"/>
            <w:vAlign w:val="center"/>
          </w:tcPr>
          <w:p w14:paraId="45559919" w14:textId="77777777"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Всего, в т.ч.</w:t>
            </w:r>
          </w:p>
        </w:tc>
        <w:tc>
          <w:tcPr>
            <w:tcW w:w="1134" w:type="dxa"/>
            <w:shd w:val="clear" w:color="auto" w:fill="auto"/>
            <w:vAlign w:val="center"/>
          </w:tcPr>
          <w:p w14:paraId="7FDF2E12" w14:textId="59F73165"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средства</w:t>
            </w:r>
          </w:p>
          <w:p w14:paraId="2FF75F27" w14:textId="77777777"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ФБ</w:t>
            </w:r>
          </w:p>
        </w:tc>
        <w:tc>
          <w:tcPr>
            <w:tcW w:w="1134" w:type="dxa"/>
            <w:shd w:val="clear" w:color="auto" w:fill="auto"/>
            <w:vAlign w:val="center"/>
          </w:tcPr>
          <w:p w14:paraId="400A2353" w14:textId="77777777" w:rsidR="008D493D" w:rsidRPr="00A53AD7" w:rsidRDefault="008D493D" w:rsidP="00D73A19">
            <w:pPr>
              <w:spacing w:after="0" w:line="240" w:lineRule="auto"/>
              <w:jc w:val="center"/>
              <w:rPr>
                <w:rFonts w:ascii="Times New Roman" w:hAnsi="Times New Roman"/>
                <w:b/>
              </w:rPr>
            </w:pPr>
            <w:r w:rsidRPr="00A53AD7">
              <w:rPr>
                <w:rFonts w:ascii="Times New Roman" w:hAnsi="Times New Roman"/>
                <w:b/>
              </w:rPr>
              <w:t>средства ОБ</w:t>
            </w:r>
          </w:p>
        </w:tc>
      </w:tr>
      <w:tr w:rsidR="00D470B6" w:rsidRPr="00A53AD7" w14:paraId="38F6D840" w14:textId="77777777" w:rsidTr="008B0295">
        <w:tc>
          <w:tcPr>
            <w:tcW w:w="8046" w:type="dxa"/>
            <w:gridSpan w:val="4"/>
            <w:shd w:val="clear" w:color="auto" w:fill="auto"/>
          </w:tcPr>
          <w:p w14:paraId="148F0740"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b/>
              </w:rPr>
              <w:t>06 1 00 00000</w:t>
            </w:r>
            <w:r w:rsidRPr="00A53AD7">
              <w:rPr>
                <w:rFonts w:ascii="Times New Roman" w:hAnsi="Times New Roman"/>
              </w:rPr>
              <w:t xml:space="preserve"> «Создание условий для обеспечения доступным и комфортным жильем жителей Архангельской области»</w:t>
            </w:r>
          </w:p>
        </w:tc>
        <w:tc>
          <w:tcPr>
            <w:tcW w:w="1134" w:type="dxa"/>
            <w:shd w:val="clear" w:color="auto" w:fill="auto"/>
          </w:tcPr>
          <w:p w14:paraId="4E15E4C9" w14:textId="77777777" w:rsidR="008D493D" w:rsidRPr="00A53AD7" w:rsidRDefault="008D493D" w:rsidP="008D493D">
            <w:pPr>
              <w:spacing w:after="0" w:line="240" w:lineRule="auto"/>
              <w:jc w:val="both"/>
              <w:rPr>
                <w:rFonts w:ascii="Times New Roman" w:hAnsi="Times New Roman"/>
                <w:b/>
              </w:rPr>
            </w:pPr>
          </w:p>
        </w:tc>
      </w:tr>
      <w:tr w:rsidR="00D470B6" w:rsidRPr="00A53AD7" w14:paraId="3C4D2484" w14:textId="77777777" w:rsidTr="008B0295">
        <w:tc>
          <w:tcPr>
            <w:tcW w:w="546" w:type="dxa"/>
            <w:shd w:val="clear" w:color="auto" w:fill="auto"/>
          </w:tcPr>
          <w:p w14:paraId="70D2D1EF"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1.</w:t>
            </w:r>
          </w:p>
        </w:tc>
        <w:tc>
          <w:tcPr>
            <w:tcW w:w="5232" w:type="dxa"/>
            <w:shd w:val="clear" w:color="auto" w:fill="auto"/>
          </w:tcPr>
          <w:p w14:paraId="62CCB0FD" w14:textId="77777777" w:rsidR="008D493D" w:rsidRPr="00A53AD7" w:rsidRDefault="008D493D" w:rsidP="008B0295">
            <w:pPr>
              <w:spacing w:after="0" w:line="240" w:lineRule="auto"/>
              <w:rPr>
                <w:rFonts w:ascii="Times New Roman" w:hAnsi="Times New Roman"/>
              </w:rPr>
            </w:pPr>
            <w:r w:rsidRPr="00A53AD7">
              <w:rPr>
                <w:rFonts w:ascii="Times New Roman" w:hAnsi="Times New Roman"/>
              </w:rPr>
              <w:t>Предоставление доступного и комфортного жилья 60 процентам семей, проживающих в Архангельской области и желающих улучшить свои жилищные условия, в том числе:</w:t>
            </w:r>
          </w:p>
        </w:tc>
        <w:tc>
          <w:tcPr>
            <w:tcW w:w="1134" w:type="dxa"/>
            <w:shd w:val="clear" w:color="auto" w:fill="auto"/>
          </w:tcPr>
          <w:p w14:paraId="61AEBACA" w14:textId="77777777" w:rsidR="008D493D" w:rsidRPr="00A53AD7" w:rsidRDefault="008D493D" w:rsidP="008D493D">
            <w:pPr>
              <w:spacing w:after="0" w:line="240" w:lineRule="auto"/>
              <w:jc w:val="center"/>
              <w:rPr>
                <w:rFonts w:ascii="Times New Roman" w:hAnsi="Times New Roman"/>
                <w:b/>
              </w:rPr>
            </w:pPr>
          </w:p>
          <w:p w14:paraId="0740D245"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610,3</w:t>
            </w:r>
          </w:p>
        </w:tc>
        <w:tc>
          <w:tcPr>
            <w:tcW w:w="1134" w:type="dxa"/>
            <w:shd w:val="clear" w:color="auto" w:fill="auto"/>
          </w:tcPr>
          <w:p w14:paraId="5CCF5058" w14:textId="77777777" w:rsidR="008D493D" w:rsidRPr="00A53AD7" w:rsidRDefault="008D493D" w:rsidP="008D493D">
            <w:pPr>
              <w:spacing w:after="0" w:line="240" w:lineRule="auto"/>
              <w:jc w:val="center"/>
              <w:rPr>
                <w:rFonts w:ascii="Times New Roman" w:hAnsi="Times New Roman"/>
                <w:b/>
              </w:rPr>
            </w:pPr>
          </w:p>
          <w:p w14:paraId="184A316A"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506,4</w:t>
            </w:r>
          </w:p>
        </w:tc>
        <w:tc>
          <w:tcPr>
            <w:tcW w:w="1134" w:type="dxa"/>
            <w:shd w:val="clear" w:color="auto" w:fill="auto"/>
          </w:tcPr>
          <w:p w14:paraId="71566321" w14:textId="77777777" w:rsidR="008D493D" w:rsidRPr="00A53AD7" w:rsidRDefault="008D493D" w:rsidP="008D493D">
            <w:pPr>
              <w:spacing w:after="0" w:line="240" w:lineRule="auto"/>
              <w:jc w:val="center"/>
              <w:rPr>
                <w:rFonts w:ascii="Times New Roman" w:hAnsi="Times New Roman"/>
                <w:b/>
              </w:rPr>
            </w:pPr>
          </w:p>
          <w:p w14:paraId="1A25EEF6"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103,9</w:t>
            </w:r>
          </w:p>
        </w:tc>
      </w:tr>
      <w:tr w:rsidR="00D470B6" w:rsidRPr="00A53AD7" w14:paraId="28CC2A99" w14:textId="77777777" w:rsidTr="008B0295">
        <w:tc>
          <w:tcPr>
            <w:tcW w:w="546" w:type="dxa"/>
            <w:shd w:val="clear" w:color="auto" w:fill="auto"/>
          </w:tcPr>
          <w:p w14:paraId="767EAAED"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1.1.</w:t>
            </w:r>
          </w:p>
        </w:tc>
        <w:tc>
          <w:tcPr>
            <w:tcW w:w="5232" w:type="dxa"/>
            <w:shd w:val="clear" w:color="auto" w:fill="auto"/>
          </w:tcPr>
          <w:p w14:paraId="7470312B" w14:textId="40F39FAC" w:rsidR="008D493D" w:rsidRPr="00A53AD7" w:rsidRDefault="008D493D" w:rsidP="00850D1D">
            <w:pPr>
              <w:spacing w:after="0" w:line="240" w:lineRule="auto"/>
              <w:rPr>
                <w:rFonts w:ascii="Times New Roman" w:hAnsi="Times New Roman"/>
                <w:sz w:val="20"/>
                <w:szCs w:val="20"/>
              </w:rPr>
            </w:pPr>
            <w:r w:rsidRPr="00A53AD7">
              <w:rPr>
                <w:rFonts w:ascii="Times New Roman" w:hAnsi="Times New Roman"/>
                <w:sz w:val="20"/>
                <w:szCs w:val="20"/>
              </w:rPr>
              <w:t>строительство 300-квартирного дома по просп. Московский в г. Архангельске</w:t>
            </w:r>
          </w:p>
        </w:tc>
        <w:tc>
          <w:tcPr>
            <w:tcW w:w="1134" w:type="dxa"/>
            <w:shd w:val="clear" w:color="auto" w:fill="auto"/>
          </w:tcPr>
          <w:p w14:paraId="0F1B2E3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42,7</w:t>
            </w:r>
          </w:p>
        </w:tc>
        <w:tc>
          <w:tcPr>
            <w:tcW w:w="1134" w:type="dxa"/>
            <w:shd w:val="clear" w:color="auto" w:fill="auto"/>
          </w:tcPr>
          <w:p w14:paraId="20C7D31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shd w:val="clear" w:color="auto" w:fill="auto"/>
          </w:tcPr>
          <w:p w14:paraId="2CFAB3B0"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42,7</w:t>
            </w:r>
          </w:p>
        </w:tc>
      </w:tr>
      <w:tr w:rsidR="00D470B6" w:rsidRPr="00A53AD7" w14:paraId="07CBDDF7" w14:textId="77777777" w:rsidTr="008B0295">
        <w:tc>
          <w:tcPr>
            <w:tcW w:w="546" w:type="dxa"/>
            <w:shd w:val="clear" w:color="auto" w:fill="auto"/>
          </w:tcPr>
          <w:p w14:paraId="3B8B0A3F"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1.2.</w:t>
            </w:r>
          </w:p>
        </w:tc>
        <w:tc>
          <w:tcPr>
            <w:tcW w:w="5232" w:type="dxa"/>
            <w:shd w:val="clear" w:color="auto" w:fill="auto"/>
          </w:tcPr>
          <w:p w14:paraId="6014E47B" w14:textId="203195D7"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технологическое присоединение 300-квартирного дома</w:t>
            </w:r>
            <w:r w:rsidR="008D4148" w:rsidRPr="00A53AD7">
              <w:rPr>
                <w:rFonts w:ascii="Times New Roman" w:hAnsi="Times New Roman"/>
                <w:sz w:val="20"/>
                <w:szCs w:val="20"/>
              </w:rPr>
              <w:t xml:space="preserve"> </w:t>
            </w:r>
            <w:r w:rsidRPr="00A53AD7">
              <w:rPr>
                <w:rFonts w:ascii="Times New Roman" w:hAnsi="Times New Roman"/>
                <w:sz w:val="20"/>
                <w:szCs w:val="20"/>
              </w:rPr>
              <w:t>по просп. Московский в г. Архангельске к сетям инженерно-технического обеспечения</w:t>
            </w:r>
          </w:p>
        </w:tc>
        <w:tc>
          <w:tcPr>
            <w:tcW w:w="1134" w:type="dxa"/>
            <w:shd w:val="clear" w:color="auto" w:fill="auto"/>
          </w:tcPr>
          <w:p w14:paraId="1C8E3B7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0,1</w:t>
            </w:r>
          </w:p>
        </w:tc>
        <w:tc>
          <w:tcPr>
            <w:tcW w:w="1134" w:type="dxa"/>
            <w:shd w:val="clear" w:color="auto" w:fill="auto"/>
          </w:tcPr>
          <w:p w14:paraId="178C3CF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shd w:val="clear" w:color="auto" w:fill="auto"/>
          </w:tcPr>
          <w:p w14:paraId="7A0AB4E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0,1</w:t>
            </w:r>
          </w:p>
        </w:tc>
      </w:tr>
      <w:tr w:rsidR="00D470B6" w:rsidRPr="00A53AD7" w14:paraId="16B2F55C" w14:textId="77777777" w:rsidTr="008B0295">
        <w:tc>
          <w:tcPr>
            <w:tcW w:w="546" w:type="dxa"/>
            <w:shd w:val="clear" w:color="auto" w:fill="auto"/>
          </w:tcPr>
          <w:p w14:paraId="330EF591"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1.3.</w:t>
            </w:r>
          </w:p>
        </w:tc>
        <w:tc>
          <w:tcPr>
            <w:tcW w:w="5232" w:type="dxa"/>
            <w:shd w:val="clear" w:color="auto" w:fill="auto"/>
          </w:tcPr>
          <w:p w14:paraId="5FEF954A" w14:textId="77777777"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реконструкцию зданий жилищного фонда (устройство вентилируемых фасадов многоквартирных домов) в г. Мирный</w:t>
            </w:r>
          </w:p>
        </w:tc>
        <w:tc>
          <w:tcPr>
            <w:tcW w:w="1134" w:type="dxa"/>
            <w:shd w:val="clear" w:color="auto" w:fill="auto"/>
          </w:tcPr>
          <w:p w14:paraId="053F1B0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520,5</w:t>
            </w:r>
          </w:p>
        </w:tc>
        <w:tc>
          <w:tcPr>
            <w:tcW w:w="1134" w:type="dxa"/>
            <w:shd w:val="clear" w:color="auto" w:fill="auto"/>
          </w:tcPr>
          <w:p w14:paraId="60FC27D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468,4</w:t>
            </w:r>
          </w:p>
        </w:tc>
        <w:tc>
          <w:tcPr>
            <w:tcW w:w="1134" w:type="dxa"/>
            <w:shd w:val="clear" w:color="auto" w:fill="auto"/>
          </w:tcPr>
          <w:p w14:paraId="44915692"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52,1</w:t>
            </w:r>
          </w:p>
        </w:tc>
      </w:tr>
      <w:tr w:rsidR="00D470B6" w:rsidRPr="00A53AD7" w14:paraId="4D99DEF5" w14:textId="77777777" w:rsidTr="008B0295">
        <w:tc>
          <w:tcPr>
            <w:tcW w:w="546" w:type="dxa"/>
            <w:shd w:val="clear" w:color="auto" w:fill="auto"/>
          </w:tcPr>
          <w:p w14:paraId="6A7B877C"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1.4.</w:t>
            </w:r>
          </w:p>
        </w:tc>
        <w:tc>
          <w:tcPr>
            <w:tcW w:w="5232" w:type="dxa"/>
            <w:shd w:val="clear" w:color="auto" w:fill="auto"/>
          </w:tcPr>
          <w:p w14:paraId="2009A1AD" w14:textId="77777777"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реконструкцию городских автомобильных дорог (ул. Неделина, ул. Гагарина, ул. Ломоносова, ул. Овчинникова, ул. Мира, ул. Степанченко) в г. Мирный</w:t>
            </w:r>
          </w:p>
        </w:tc>
        <w:tc>
          <w:tcPr>
            <w:tcW w:w="1134" w:type="dxa"/>
            <w:shd w:val="clear" w:color="auto" w:fill="auto"/>
          </w:tcPr>
          <w:p w14:paraId="2C8C267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42,2</w:t>
            </w:r>
          </w:p>
        </w:tc>
        <w:tc>
          <w:tcPr>
            <w:tcW w:w="1134" w:type="dxa"/>
            <w:shd w:val="clear" w:color="auto" w:fill="auto"/>
          </w:tcPr>
          <w:p w14:paraId="17AC7B0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38,0</w:t>
            </w:r>
          </w:p>
        </w:tc>
        <w:tc>
          <w:tcPr>
            <w:tcW w:w="1134" w:type="dxa"/>
            <w:shd w:val="clear" w:color="auto" w:fill="auto"/>
          </w:tcPr>
          <w:p w14:paraId="4EF950B4"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4,2</w:t>
            </w:r>
          </w:p>
        </w:tc>
      </w:tr>
      <w:tr w:rsidR="00D470B6" w:rsidRPr="00A53AD7" w14:paraId="75F4D87F" w14:textId="77777777" w:rsidTr="008B0295">
        <w:tc>
          <w:tcPr>
            <w:tcW w:w="546" w:type="dxa"/>
            <w:shd w:val="clear" w:color="auto" w:fill="auto"/>
          </w:tcPr>
          <w:p w14:paraId="230B477B"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1.5.</w:t>
            </w:r>
          </w:p>
        </w:tc>
        <w:tc>
          <w:tcPr>
            <w:tcW w:w="5232" w:type="dxa"/>
            <w:shd w:val="clear" w:color="auto" w:fill="auto"/>
          </w:tcPr>
          <w:p w14:paraId="02C1F16F" w14:textId="6A2EEAA1"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приобретение 4 жилых помещений в муниципальном образовании «Город Архангельск» с целью расселения жителей МКД № 5 по ул. Северодвинской в городе Архангельске на приобретение квартиры по адресу улица Воскресенская, дом 112, квартира 283;</w:t>
            </w:r>
          </w:p>
        </w:tc>
        <w:tc>
          <w:tcPr>
            <w:tcW w:w="1134" w:type="dxa"/>
            <w:shd w:val="clear" w:color="auto" w:fill="auto"/>
          </w:tcPr>
          <w:p w14:paraId="6557E831"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3,0</w:t>
            </w:r>
          </w:p>
        </w:tc>
        <w:tc>
          <w:tcPr>
            <w:tcW w:w="1134" w:type="dxa"/>
            <w:shd w:val="clear" w:color="auto" w:fill="auto"/>
          </w:tcPr>
          <w:p w14:paraId="78739AD5"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shd w:val="clear" w:color="auto" w:fill="auto"/>
          </w:tcPr>
          <w:p w14:paraId="0607D7F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3,0</w:t>
            </w:r>
          </w:p>
        </w:tc>
      </w:tr>
      <w:tr w:rsidR="00D470B6" w:rsidRPr="00A53AD7" w14:paraId="7D205B21" w14:textId="77777777" w:rsidTr="008B0295">
        <w:tc>
          <w:tcPr>
            <w:tcW w:w="546" w:type="dxa"/>
            <w:shd w:val="clear" w:color="auto" w:fill="auto"/>
          </w:tcPr>
          <w:p w14:paraId="4D228210"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1.6.</w:t>
            </w:r>
          </w:p>
        </w:tc>
        <w:tc>
          <w:tcPr>
            <w:tcW w:w="5232" w:type="dxa"/>
            <w:shd w:val="clear" w:color="auto" w:fill="auto"/>
          </w:tcPr>
          <w:p w14:paraId="3FE47874" w14:textId="0427DC72"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обеспечение объектами инженерной инфраструктуры и наружного пожаротушения земельных участков, предоставляемых для расселения аварийного жилья, а также выполнение комплекса работ по созданию инфраструктуры, необходимой для полноценного функционирования объекта (устройство инженерных сетей</w:t>
            </w:r>
            <w:r w:rsidR="0039742D" w:rsidRPr="00A53AD7">
              <w:rPr>
                <w:rFonts w:ascii="Times New Roman" w:hAnsi="Times New Roman"/>
                <w:sz w:val="20"/>
                <w:szCs w:val="20"/>
              </w:rPr>
              <w:t xml:space="preserve"> </w:t>
            </w:r>
            <w:r w:rsidRPr="00A53AD7">
              <w:rPr>
                <w:rFonts w:ascii="Times New Roman" w:hAnsi="Times New Roman"/>
                <w:sz w:val="20"/>
                <w:szCs w:val="20"/>
              </w:rPr>
              <w:t>в п. Коноша);</w:t>
            </w:r>
          </w:p>
        </w:tc>
        <w:tc>
          <w:tcPr>
            <w:tcW w:w="1134" w:type="dxa"/>
            <w:shd w:val="clear" w:color="auto" w:fill="auto"/>
          </w:tcPr>
          <w:p w14:paraId="3AEDCF69"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1,6</w:t>
            </w:r>
          </w:p>
        </w:tc>
        <w:tc>
          <w:tcPr>
            <w:tcW w:w="1134" w:type="dxa"/>
            <w:shd w:val="clear" w:color="auto" w:fill="auto"/>
          </w:tcPr>
          <w:p w14:paraId="503ABDB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shd w:val="clear" w:color="auto" w:fill="auto"/>
          </w:tcPr>
          <w:p w14:paraId="788E109D"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1,6</w:t>
            </w:r>
          </w:p>
        </w:tc>
      </w:tr>
      <w:tr w:rsidR="00D470B6" w:rsidRPr="00A53AD7" w14:paraId="68CC3F82" w14:textId="77777777" w:rsidTr="008B0295">
        <w:tc>
          <w:tcPr>
            <w:tcW w:w="546" w:type="dxa"/>
            <w:shd w:val="clear" w:color="auto" w:fill="auto"/>
          </w:tcPr>
          <w:p w14:paraId="5D550A2E" w14:textId="77777777" w:rsidR="008D493D" w:rsidRPr="00A53AD7" w:rsidRDefault="008D493D" w:rsidP="008D493D">
            <w:pPr>
              <w:spacing w:after="0" w:line="240" w:lineRule="auto"/>
              <w:jc w:val="both"/>
              <w:rPr>
                <w:rFonts w:ascii="Times New Roman" w:hAnsi="Times New Roman"/>
                <w:sz w:val="20"/>
                <w:szCs w:val="20"/>
              </w:rPr>
            </w:pPr>
            <w:r w:rsidRPr="00A53AD7">
              <w:rPr>
                <w:rFonts w:ascii="Times New Roman" w:hAnsi="Times New Roman"/>
                <w:sz w:val="20"/>
                <w:szCs w:val="20"/>
              </w:rPr>
              <w:t>1.7.</w:t>
            </w:r>
          </w:p>
        </w:tc>
        <w:tc>
          <w:tcPr>
            <w:tcW w:w="5232" w:type="dxa"/>
            <w:shd w:val="clear" w:color="auto" w:fill="auto"/>
          </w:tcPr>
          <w:p w14:paraId="22747708" w14:textId="77777777" w:rsidR="008D493D" w:rsidRPr="00A53AD7" w:rsidRDefault="008D493D" w:rsidP="008B0295">
            <w:pPr>
              <w:spacing w:after="0" w:line="240" w:lineRule="auto"/>
              <w:rPr>
                <w:rFonts w:ascii="Times New Roman" w:hAnsi="Times New Roman"/>
                <w:sz w:val="20"/>
                <w:szCs w:val="20"/>
              </w:rPr>
            </w:pPr>
            <w:r w:rsidRPr="00A53AD7">
              <w:rPr>
                <w:rFonts w:ascii="Times New Roman" w:hAnsi="Times New Roman"/>
                <w:sz w:val="20"/>
                <w:szCs w:val="20"/>
              </w:rPr>
              <w:t>обследование и корректировка проектной документации в целях завершения строительства 20-квартирного жилого дома в МО «Няндомский муниципальный район», мкр. Каргополь-2 г. Няндома</w:t>
            </w:r>
          </w:p>
        </w:tc>
        <w:tc>
          <w:tcPr>
            <w:tcW w:w="1134" w:type="dxa"/>
            <w:shd w:val="clear" w:color="auto" w:fill="auto"/>
          </w:tcPr>
          <w:p w14:paraId="69072C18"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0,2</w:t>
            </w:r>
          </w:p>
        </w:tc>
        <w:tc>
          <w:tcPr>
            <w:tcW w:w="1134" w:type="dxa"/>
            <w:shd w:val="clear" w:color="auto" w:fill="auto"/>
          </w:tcPr>
          <w:p w14:paraId="53338BC7"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shd w:val="clear" w:color="auto" w:fill="auto"/>
          </w:tcPr>
          <w:p w14:paraId="7B86432E" w14:textId="77777777" w:rsidR="008D493D" w:rsidRPr="00A53AD7" w:rsidRDefault="008D493D" w:rsidP="008D493D">
            <w:pPr>
              <w:spacing w:after="0" w:line="240" w:lineRule="auto"/>
              <w:jc w:val="center"/>
              <w:rPr>
                <w:rFonts w:ascii="Times New Roman" w:hAnsi="Times New Roman"/>
                <w:sz w:val="20"/>
                <w:szCs w:val="20"/>
              </w:rPr>
            </w:pPr>
            <w:r w:rsidRPr="00A53AD7">
              <w:rPr>
                <w:rFonts w:ascii="Times New Roman" w:hAnsi="Times New Roman"/>
                <w:sz w:val="20"/>
                <w:szCs w:val="20"/>
              </w:rPr>
              <w:t>0,2</w:t>
            </w:r>
          </w:p>
        </w:tc>
      </w:tr>
      <w:tr w:rsidR="00D470B6" w:rsidRPr="00A53AD7" w14:paraId="53E7ECE6" w14:textId="77777777" w:rsidTr="008B0295">
        <w:tc>
          <w:tcPr>
            <w:tcW w:w="546" w:type="dxa"/>
            <w:shd w:val="clear" w:color="auto" w:fill="auto"/>
          </w:tcPr>
          <w:p w14:paraId="7EAD4B8B"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2.</w:t>
            </w:r>
          </w:p>
        </w:tc>
        <w:tc>
          <w:tcPr>
            <w:tcW w:w="5232" w:type="dxa"/>
            <w:shd w:val="clear" w:color="auto" w:fill="auto"/>
          </w:tcPr>
          <w:p w14:paraId="59381439" w14:textId="15891283" w:rsidR="008D493D" w:rsidRPr="00A53AD7" w:rsidRDefault="008D493D" w:rsidP="008B0295">
            <w:pPr>
              <w:spacing w:after="0" w:line="240" w:lineRule="auto"/>
              <w:rPr>
                <w:rFonts w:ascii="Times New Roman" w:hAnsi="Times New Roman"/>
              </w:rPr>
            </w:pPr>
            <w:r w:rsidRPr="00A53AD7">
              <w:rPr>
                <w:rFonts w:ascii="Times New Roman" w:hAnsi="Times New Roman"/>
              </w:rPr>
              <w:t>Комплексное освоение территории VI – VII микрорайонов с целью развития жилищного строительства в г. Архангельске (строительству «Детский сад на 280 мест в 7 микрорайоне территориального округа Майская горка города Архангельска»)</w:t>
            </w:r>
          </w:p>
        </w:tc>
        <w:tc>
          <w:tcPr>
            <w:tcW w:w="1134" w:type="dxa"/>
            <w:shd w:val="clear" w:color="auto" w:fill="auto"/>
          </w:tcPr>
          <w:p w14:paraId="576CAAF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124,0</w:t>
            </w:r>
          </w:p>
        </w:tc>
        <w:tc>
          <w:tcPr>
            <w:tcW w:w="1134" w:type="dxa"/>
            <w:shd w:val="clear" w:color="auto" w:fill="auto"/>
          </w:tcPr>
          <w:p w14:paraId="7EE6D064"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89,0</w:t>
            </w:r>
          </w:p>
        </w:tc>
        <w:tc>
          <w:tcPr>
            <w:tcW w:w="1134" w:type="dxa"/>
            <w:shd w:val="clear" w:color="auto" w:fill="auto"/>
          </w:tcPr>
          <w:p w14:paraId="77D57B4B"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35,0</w:t>
            </w:r>
          </w:p>
        </w:tc>
      </w:tr>
      <w:tr w:rsidR="00D470B6" w:rsidRPr="00A53AD7" w14:paraId="743E130C" w14:textId="77777777" w:rsidTr="008B0295">
        <w:tc>
          <w:tcPr>
            <w:tcW w:w="546" w:type="dxa"/>
            <w:shd w:val="clear" w:color="auto" w:fill="auto"/>
          </w:tcPr>
          <w:p w14:paraId="037808C1"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3.</w:t>
            </w:r>
          </w:p>
        </w:tc>
        <w:tc>
          <w:tcPr>
            <w:tcW w:w="5232" w:type="dxa"/>
            <w:shd w:val="clear" w:color="auto" w:fill="auto"/>
          </w:tcPr>
          <w:p w14:paraId="2EF47562" w14:textId="46E2B842" w:rsidR="008D493D" w:rsidRPr="00A53AD7" w:rsidRDefault="008D493D" w:rsidP="008B0295">
            <w:pPr>
              <w:spacing w:after="0" w:line="240" w:lineRule="auto"/>
              <w:rPr>
                <w:rFonts w:ascii="Times New Roman" w:hAnsi="Times New Roman"/>
              </w:rPr>
            </w:pPr>
            <w:r w:rsidRPr="00A53AD7">
              <w:rPr>
                <w:rFonts w:ascii="Times New Roman" w:hAnsi="Times New Roman"/>
              </w:rPr>
              <w:t>Комплексное освоение территории 7 и 10 кварталов Южного района с целью развития жилищного строительства в г. Котласе («Строительство школы на 860 мест в г. Котласе»).</w:t>
            </w:r>
          </w:p>
        </w:tc>
        <w:tc>
          <w:tcPr>
            <w:tcW w:w="1134" w:type="dxa"/>
            <w:shd w:val="clear" w:color="auto" w:fill="auto"/>
          </w:tcPr>
          <w:p w14:paraId="7347FCF3"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101,7</w:t>
            </w:r>
          </w:p>
        </w:tc>
        <w:tc>
          <w:tcPr>
            <w:tcW w:w="1134" w:type="dxa"/>
            <w:shd w:val="clear" w:color="auto" w:fill="auto"/>
          </w:tcPr>
          <w:p w14:paraId="2BBFFA0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91,5</w:t>
            </w:r>
          </w:p>
        </w:tc>
        <w:tc>
          <w:tcPr>
            <w:tcW w:w="1134" w:type="dxa"/>
            <w:shd w:val="clear" w:color="auto" w:fill="auto"/>
          </w:tcPr>
          <w:p w14:paraId="7EE6B86C"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10,2</w:t>
            </w:r>
          </w:p>
        </w:tc>
      </w:tr>
      <w:tr w:rsidR="00D470B6" w:rsidRPr="00A53AD7" w14:paraId="261A774F" w14:textId="77777777" w:rsidTr="008B0295">
        <w:tc>
          <w:tcPr>
            <w:tcW w:w="546" w:type="dxa"/>
            <w:shd w:val="clear" w:color="auto" w:fill="auto"/>
          </w:tcPr>
          <w:p w14:paraId="0C6DB178"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4.</w:t>
            </w:r>
          </w:p>
        </w:tc>
        <w:tc>
          <w:tcPr>
            <w:tcW w:w="5232" w:type="dxa"/>
            <w:shd w:val="clear" w:color="auto" w:fill="auto"/>
          </w:tcPr>
          <w:p w14:paraId="673DF0AE" w14:textId="2D85178F" w:rsidR="008D493D" w:rsidRPr="00A53AD7" w:rsidRDefault="008D493D" w:rsidP="00850D1D">
            <w:pPr>
              <w:spacing w:after="0" w:line="240" w:lineRule="auto"/>
              <w:rPr>
                <w:rFonts w:ascii="Times New Roman" w:hAnsi="Times New Roman"/>
              </w:rPr>
            </w:pPr>
            <w:r w:rsidRPr="00A53AD7">
              <w:rPr>
                <w:rFonts w:ascii="Times New Roman" w:hAnsi="Times New Roman"/>
              </w:rPr>
              <w:t>Обеспечение земельных участков, предоставляемых многодетным семьям и жилищно-строительным кооперативам, созданным многодетными семьями, для индивидуального жилищного строительства и ведения личного подсобного хозяйства, объектами инженерной инфраструктуры («Строительство инженерной инфраструктуры (водоснабжение) к земельным участкам для строительства индивидуальных жилых домов многодетным семьям в районе ул. Южная, д. 19, г. Новодвинск. Строительство водопровода»)</w:t>
            </w:r>
          </w:p>
        </w:tc>
        <w:tc>
          <w:tcPr>
            <w:tcW w:w="1134" w:type="dxa"/>
            <w:shd w:val="clear" w:color="auto" w:fill="auto"/>
          </w:tcPr>
          <w:p w14:paraId="4E4723DE"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6,5</w:t>
            </w:r>
          </w:p>
        </w:tc>
        <w:tc>
          <w:tcPr>
            <w:tcW w:w="1134" w:type="dxa"/>
            <w:shd w:val="clear" w:color="auto" w:fill="auto"/>
          </w:tcPr>
          <w:p w14:paraId="1A37E1A1"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6CD7992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6,5</w:t>
            </w:r>
          </w:p>
        </w:tc>
      </w:tr>
      <w:tr w:rsidR="00D470B6" w:rsidRPr="00A53AD7" w14:paraId="15EE2E32" w14:textId="77777777" w:rsidTr="008B0295">
        <w:tc>
          <w:tcPr>
            <w:tcW w:w="546" w:type="dxa"/>
            <w:shd w:val="clear" w:color="auto" w:fill="auto"/>
          </w:tcPr>
          <w:p w14:paraId="605FCFF7"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5.</w:t>
            </w:r>
          </w:p>
        </w:tc>
        <w:tc>
          <w:tcPr>
            <w:tcW w:w="5232" w:type="dxa"/>
            <w:shd w:val="clear" w:color="auto" w:fill="auto"/>
          </w:tcPr>
          <w:p w14:paraId="56BA0E65" w14:textId="65E59BAB" w:rsidR="008D493D" w:rsidRPr="00A53AD7" w:rsidRDefault="008D493D" w:rsidP="00850D1D">
            <w:pPr>
              <w:spacing w:after="0" w:line="240" w:lineRule="auto"/>
              <w:rPr>
                <w:rFonts w:ascii="Times New Roman" w:hAnsi="Times New Roman"/>
              </w:rPr>
            </w:pPr>
            <w:r w:rsidRPr="00A53AD7">
              <w:rPr>
                <w:rFonts w:ascii="Times New Roman" w:hAnsi="Times New Roman"/>
              </w:rPr>
              <w:t>подготовка схем территориального планирования муниципальных районов, генеральных планов и правил землепользования и застройки городских округов, городских (сельских) поселений, внесение изменений в них (Разработано 154 документа).</w:t>
            </w:r>
          </w:p>
        </w:tc>
        <w:tc>
          <w:tcPr>
            <w:tcW w:w="1134" w:type="dxa"/>
            <w:shd w:val="clear" w:color="auto" w:fill="auto"/>
          </w:tcPr>
          <w:p w14:paraId="3AC72676"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48,1</w:t>
            </w:r>
          </w:p>
        </w:tc>
        <w:tc>
          <w:tcPr>
            <w:tcW w:w="1134" w:type="dxa"/>
            <w:shd w:val="clear" w:color="auto" w:fill="auto"/>
          </w:tcPr>
          <w:p w14:paraId="051B5AAE"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05728893"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48,1</w:t>
            </w:r>
          </w:p>
        </w:tc>
      </w:tr>
      <w:tr w:rsidR="00D470B6" w:rsidRPr="00A53AD7" w14:paraId="508D978A" w14:textId="77777777" w:rsidTr="008B0295">
        <w:tc>
          <w:tcPr>
            <w:tcW w:w="546" w:type="dxa"/>
            <w:shd w:val="clear" w:color="auto" w:fill="auto"/>
          </w:tcPr>
          <w:p w14:paraId="6D6EEFE1"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6.</w:t>
            </w:r>
          </w:p>
        </w:tc>
        <w:tc>
          <w:tcPr>
            <w:tcW w:w="5232" w:type="dxa"/>
            <w:shd w:val="clear" w:color="auto" w:fill="auto"/>
          </w:tcPr>
          <w:p w14:paraId="53F58206" w14:textId="06387641" w:rsidR="008D493D" w:rsidRPr="00A53AD7" w:rsidRDefault="008D493D" w:rsidP="008B0295">
            <w:pPr>
              <w:spacing w:after="0" w:line="240" w:lineRule="auto"/>
              <w:rPr>
                <w:rFonts w:ascii="Times New Roman" w:hAnsi="Times New Roman"/>
              </w:rPr>
            </w:pPr>
            <w:r w:rsidRPr="00A53AD7">
              <w:rPr>
                <w:rFonts w:ascii="Times New Roman" w:hAnsi="Times New Roman"/>
              </w:rPr>
              <w:t>координатное описание границ муниципальных образований Архангельской области и внесение изменений в схему территориального планирования Архангельской области</w:t>
            </w:r>
          </w:p>
        </w:tc>
        <w:tc>
          <w:tcPr>
            <w:tcW w:w="1134" w:type="dxa"/>
            <w:shd w:val="clear" w:color="auto" w:fill="auto"/>
          </w:tcPr>
          <w:p w14:paraId="0C8A009E"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13,9</w:t>
            </w:r>
          </w:p>
        </w:tc>
        <w:tc>
          <w:tcPr>
            <w:tcW w:w="1134" w:type="dxa"/>
            <w:shd w:val="clear" w:color="auto" w:fill="auto"/>
          </w:tcPr>
          <w:p w14:paraId="2546581C"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16AEF22E"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13,9</w:t>
            </w:r>
          </w:p>
        </w:tc>
      </w:tr>
      <w:tr w:rsidR="00D470B6" w:rsidRPr="00A53AD7" w14:paraId="6C75AAF3" w14:textId="77777777" w:rsidTr="008B0295">
        <w:tc>
          <w:tcPr>
            <w:tcW w:w="546" w:type="dxa"/>
            <w:shd w:val="clear" w:color="auto" w:fill="auto"/>
          </w:tcPr>
          <w:p w14:paraId="62FB7840"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7.</w:t>
            </w:r>
          </w:p>
        </w:tc>
        <w:tc>
          <w:tcPr>
            <w:tcW w:w="5232" w:type="dxa"/>
            <w:shd w:val="clear" w:color="auto" w:fill="auto"/>
          </w:tcPr>
          <w:p w14:paraId="64411766" w14:textId="77777777" w:rsidR="008D493D" w:rsidRPr="00A53AD7" w:rsidRDefault="008D493D" w:rsidP="008B0295">
            <w:pPr>
              <w:spacing w:after="0" w:line="240" w:lineRule="auto"/>
              <w:rPr>
                <w:rFonts w:ascii="Times New Roman" w:hAnsi="Times New Roman"/>
              </w:rPr>
            </w:pPr>
            <w:r w:rsidRPr="00A53AD7">
              <w:rPr>
                <w:rFonts w:ascii="Times New Roman" w:hAnsi="Times New Roman"/>
              </w:rPr>
              <w:t>осуществление проверки экономической целесообразности реконструкции или капитального ремонта многоквартирного дома (части дома), в котором проживает инвалид, для обеспечения доступности</w:t>
            </w:r>
          </w:p>
        </w:tc>
        <w:tc>
          <w:tcPr>
            <w:tcW w:w="1134" w:type="dxa"/>
            <w:shd w:val="clear" w:color="auto" w:fill="auto"/>
          </w:tcPr>
          <w:p w14:paraId="302B9054"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0,6</w:t>
            </w:r>
          </w:p>
        </w:tc>
        <w:tc>
          <w:tcPr>
            <w:tcW w:w="1134" w:type="dxa"/>
            <w:shd w:val="clear" w:color="auto" w:fill="auto"/>
          </w:tcPr>
          <w:p w14:paraId="124CAC0D"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227137C8"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0,6</w:t>
            </w:r>
          </w:p>
        </w:tc>
      </w:tr>
      <w:tr w:rsidR="00D470B6" w:rsidRPr="00A53AD7" w14:paraId="56D56A04" w14:textId="77777777" w:rsidTr="008B0295">
        <w:tc>
          <w:tcPr>
            <w:tcW w:w="546" w:type="dxa"/>
            <w:shd w:val="clear" w:color="auto" w:fill="auto"/>
          </w:tcPr>
          <w:p w14:paraId="792C2E6D"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8.</w:t>
            </w:r>
          </w:p>
        </w:tc>
        <w:tc>
          <w:tcPr>
            <w:tcW w:w="5232" w:type="dxa"/>
            <w:shd w:val="clear" w:color="auto" w:fill="auto"/>
          </w:tcPr>
          <w:p w14:paraId="2EFDF912" w14:textId="77777777" w:rsidR="008D493D" w:rsidRPr="00A53AD7" w:rsidRDefault="008D493D" w:rsidP="008B0295">
            <w:pPr>
              <w:spacing w:after="0" w:line="240" w:lineRule="auto"/>
              <w:rPr>
                <w:rFonts w:ascii="Times New Roman" w:hAnsi="Times New Roman"/>
              </w:rPr>
            </w:pPr>
            <w:r w:rsidRPr="00A53AD7">
              <w:rPr>
                <w:rFonts w:ascii="Times New Roman" w:hAnsi="Times New Roman"/>
              </w:rPr>
              <w:t>возмещение ПАО «Московский Индустриальный банк» недополученных доходов в части процентов, начисленных за пользование жилищными кредитами, выданными физическим лицам на приобретение жилья в Архангельской области при ипотечном кредитовании</w:t>
            </w:r>
          </w:p>
        </w:tc>
        <w:tc>
          <w:tcPr>
            <w:tcW w:w="1134" w:type="dxa"/>
            <w:shd w:val="clear" w:color="auto" w:fill="auto"/>
          </w:tcPr>
          <w:p w14:paraId="6048E98D"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4,4</w:t>
            </w:r>
          </w:p>
        </w:tc>
        <w:tc>
          <w:tcPr>
            <w:tcW w:w="1134" w:type="dxa"/>
            <w:shd w:val="clear" w:color="auto" w:fill="auto"/>
          </w:tcPr>
          <w:p w14:paraId="6834A109"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4612B5CE"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4,4</w:t>
            </w:r>
          </w:p>
        </w:tc>
      </w:tr>
      <w:tr w:rsidR="00D470B6" w:rsidRPr="00A53AD7" w14:paraId="307899DC" w14:textId="77777777" w:rsidTr="008B0295">
        <w:tc>
          <w:tcPr>
            <w:tcW w:w="546" w:type="dxa"/>
            <w:shd w:val="clear" w:color="auto" w:fill="auto"/>
          </w:tcPr>
          <w:p w14:paraId="5450EE8C"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9.</w:t>
            </w:r>
          </w:p>
        </w:tc>
        <w:tc>
          <w:tcPr>
            <w:tcW w:w="5232" w:type="dxa"/>
            <w:shd w:val="clear" w:color="auto" w:fill="auto"/>
          </w:tcPr>
          <w:p w14:paraId="3FDC5B8F" w14:textId="77777777" w:rsidR="008D493D" w:rsidRPr="00A53AD7" w:rsidRDefault="008D493D" w:rsidP="008B0295">
            <w:pPr>
              <w:spacing w:after="0" w:line="240" w:lineRule="auto"/>
              <w:rPr>
                <w:rFonts w:ascii="Times New Roman" w:hAnsi="Times New Roman"/>
              </w:rPr>
            </w:pPr>
            <w:r w:rsidRPr="00A53AD7">
              <w:rPr>
                <w:rFonts w:ascii="Times New Roman" w:hAnsi="Times New Roman"/>
              </w:rPr>
              <w:t>обеспечение деятельности некоммерческой организации «Фонд защиты прав граждан – участников долевого строительства в Архангельской области»</w:t>
            </w:r>
          </w:p>
        </w:tc>
        <w:tc>
          <w:tcPr>
            <w:tcW w:w="1134" w:type="dxa"/>
            <w:shd w:val="clear" w:color="auto" w:fill="auto"/>
          </w:tcPr>
          <w:p w14:paraId="03B1499B"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4,7</w:t>
            </w:r>
          </w:p>
        </w:tc>
        <w:tc>
          <w:tcPr>
            <w:tcW w:w="1134" w:type="dxa"/>
            <w:shd w:val="clear" w:color="auto" w:fill="auto"/>
          </w:tcPr>
          <w:p w14:paraId="43616BD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0B7206B9"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4,7</w:t>
            </w:r>
          </w:p>
        </w:tc>
      </w:tr>
      <w:tr w:rsidR="00D470B6" w:rsidRPr="00A53AD7" w14:paraId="6C4F11A2" w14:textId="77777777" w:rsidTr="008B0295">
        <w:tc>
          <w:tcPr>
            <w:tcW w:w="546" w:type="dxa"/>
            <w:shd w:val="clear" w:color="auto" w:fill="auto"/>
          </w:tcPr>
          <w:p w14:paraId="1DB35EAC" w14:textId="77777777" w:rsidR="008D493D" w:rsidRPr="00A53AD7" w:rsidRDefault="008D493D" w:rsidP="008D493D">
            <w:pPr>
              <w:spacing w:after="0" w:line="240" w:lineRule="auto"/>
              <w:jc w:val="both"/>
              <w:rPr>
                <w:rFonts w:ascii="Times New Roman" w:hAnsi="Times New Roman"/>
              </w:rPr>
            </w:pPr>
          </w:p>
        </w:tc>
        <w:tc>
          <w:tcPr>
            <w:tcW w:w="5232" w:type="dxa"/>
            <w:shd w:val="clear" w:color="auto" w:fill="auto"/>
          </w:tcPr>
          <w:p w14:paraId="0543A67C" w14:textId="77777777" w:rsidR="008D493D" w:rsidRPr="00A53AD7" w:rsidRDefault="008D493D" w:rsidP="008D493D">
            <w:pPr>
              <w:spacing w:after="0" w:line="240" w:lineRule="auto"/>
              <w:jc w:val="right"/>
              <w:rPr>
                <w:rFonts w:ascii="Times New Roman" w:hAnsi="Times New Roman"/>
                <w:b/>
              </w:rPr>
            </w:pPr>
            <w:r w:rsidRPr="00A53AD7">
              <w:rPr>
                <w:rFonts w:ascii="Times New Roman" w:hAnsi="Times New Roman"/>
                <w:b/>
              </w:rPr>
              <w:t>ИТОГО:</w:t>
            </w:r>
          </w:p>
        </w:tc>
        <w:tc>
          <w:tcPr>
            <w:tcW w:w="1134" w:type="dxa"/>
            <w:shd w:val="clear" w:color="auto" w:fill="auto"/>
          </w:tcPr>
          <w:p w14:paraId="0F5686CA"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914,2</w:t>
            </w:r>
          </w:p>
        </w:tc>
        <w:tc>
          <w:tcPr>
            <w:tcW w:w="1134" w:type="dxa"/>
            <w:shd w:val="clear" w:color="auto" w:fill="auto"/>
          </w:tcPr>
          <w:p w14:paraId="057DBF84"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686,9</w:t>
            </w:r>
          </w:p>
        </w:tc>
        <w:tc>
          <w:tcPr>
            <w:tcW w:w="1134" w:type="dxa"/>
            <w:shd w:val="clear" w:color="auto" w:fill="auto"/>
          </w:tcPr>
          <w:p w14:paraId="4428CD0C"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227,3</w:t>
            </w:r>
          </w:p>
        </w:tc>
      </w:tr>
      <w:tr w:rsidR="00D470B6" w:rsidRPr="00A53AD7" w14:paraId="0A2FDAC5" w14:textId="77777777" w:rsidTr="008B0295">
        <w:tc>
          <w:tcPr>
            <w:tcW w:w="8046" w:type="dxa"/>
            <w:gridSpan w:val="4"/>
            <w:shd w:val="clear" w:color="auto" w:fill="auto"/>
          </w:tcPr>
          <w:p w14:paraId="3064709C" w14:textId="77777777" w:rsidR="008D493D" w:rsidRPr="00A53AD7" w:rsidRDefault="008D493D" w:rsidP="008D493D">
            <w:pPr>
              <w:spacing w:after="0" w:line="240" w:lineRule="auto"/>
              <w:rPr>
                <w:rFonts w:ascii="Times New Roman" w:hAnsi="Times New Roman"/>
                <w:b/>
              </w:rPr>
            </w:pPr>
            <w:r w:rsidRPr="00A53AD7">
              <w:rPr>
                <w:rFonts w:ascii="Times New Roman" w:hAnsi="Times New Roman"/>
                <w:b/>
              </w:rPr>
              <w:t>06 2 00 00000 «Обеспечение жильем молодых семей»</w:t>
            </w:r>
          </w:p>
        </w:tc>
        <w:tc>
          <w:tcPr>
            <w:tcW w:w="1134" w:type="dxa"/>
            <w:shd w:val="clear" w:color="auto" w:fill="auto"/>
          </w:tcPr>
          <w:p w14:paraId="1840D4C9" w14:textId="77777777" w:rsidR="008D493D" w:rsidRPr="00A53AD7" w:rsidRDefault="008D493D" w:rsidP="008D493D">
            <w:pPr>
              <w:spacing w:after="0" w:line="240" w:lineRule="auto"/>
              <w:rPr>
                <w:rFonts w:ascii="Times New Roman" w:hAnsi="Times New Roman"/>
                <w:b/>
              </w:rPr>
            </w:pPr>
          </w:p>
        </w:tc>
      </w:tr>
      <w:tr w:rsidR="00D470B6" w:rsidRPr="00A53AD7" w14:paraId="145FF374" w14:textId="77777777" w:rsidTr="008B0295">
        <w:tc>
          <w:tcPr>
            <w:tcW w:w="546" w:type="dxa"/>
            <w:shd w:val="clear" w:color="auto" w:fill="auto"/>
          </w:tcPr>
          <w:p w14:paraId="68E8706F"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1.</w:t>
            </w:r>
          </w:p>
        </w:tc>
        <w:tc>
          <w:tcPr>
            <w:tcW w:w="5232" w:type="dxa"/>
            <w:shd w:val="clear" w:color="auto" w:fill="auto"/>
          </w:tcPr>
          <w:p w14:paraId="382E4D5B" w14:textId="60C34C87" w:rsidR="008D493D" w:rsidRPr="00A53AD7" w:rsidRDefault="008D493D" w:rsidP="00850D1D">
            <w:pPr>
              <w:spacing w:after="0" w:line="240" w:lineRule="auto"/>
              <w:rPr>
                <w:rFonts w:ascii="Times New Roman" w:hAnsi="Times New Roman"/>
              </w:rPr>
            </w:pPr>
            <w:r w:rsidRPr="00A53AD7">
              <w:rPr>
                <w:rFonts w:ascii="Times New Roman" w:hAnsi="Times New Roman"/>
                <w:iCs/>
              </w:rPr>
              <w:t xml:space="preserve">219 молодых семей, из которых 71 является многодетными, получили свидетельства на право получения социальных выплат (срок действия свидетельств – 7 месяцев). 200 семей, получившие свидетельства, реализовали свое право на улучшение жилищных условий в 2019 году. </w:t>
            </w:r>
            <w:r w:rsidRPr="00A53AD7">
              <w:rPr>
                <w:rFonts w:ascii="Times New Roman" w:hAnsi="Times New Roman"/>
                <w:bCs/>
                <w:iCs/>
              </w:rPr>
              <w:t>За счет средств областного бюджета 19 семьям предоставлена дополнительная социальная выплата в связи с рождением (усыновлением) ребенка.</w:t>
            </w:r>
          </w:p>
        </w:tc>
        <w:tc>
          <w:tcPr>
            <w:tcW w:w="1134" w:type="dxa"/>
            <w:shd w:val="clear" w:color="auto" w:fill="auto"/>
          </w:tcPr>
          <w:p w14:paraId="635A7FA3"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134,5</w:t>
            </w:r>
          </w:p>
        </w:tc>
        <w:tc>
          <w:tcPr>
            <w:tcW w:w="1134" w:type="dxa"/>
            <w:shd w:val="clear" w:color="auto" w:fill="auto"/>
          </w:tcPr>
          <w:p w14:paraId="21DF796B"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83,7</w:t>
            </w:r>
          </w:p>
        </w:tc>
        <w:tc>
          <w:tcPr>
            <w:tcW w:w="1134" w:type="dxa"/>
            <w:shd w:val="clear" w:color="auto" w:fill="auto"/>
          </w:tcPr>
          <w:p w14:paraId="1541B240"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50,8</w:t>
            </w:r>
          </w:p>
        </w:tc>
      </w:tr>
      <w:tr w:rsidR="00D470B6" w:rsidRPr="00A53AD7" w14:paraId="12F1FCC6" w14:textId="77777777" w:rsidTr="008B0295">
        <w:tc>
          <w:tcPr>
            <w:tcW w:w="9180" w:type="dxa"/>
            <w:gridSpan w:val="5"/>
            <w:shd w:val="clear" w:color="auto" w:fill="auto"/>
          </w:tcPr>
          <w:p w14:paraId="400B7771" w14:textId="77777777" w:rsidR="008D493D" w:rsidRPr="00A53AD7" w:rsidRDefault="008D493D" w:rsidP="008D493D">
            <w:pPr>
              <w:spacing w:after="0" w:line="240" w:lineRule="auto"/>
              <w:rPr>
                <w:rFonts w:ascii="Times New Roman" w:hAnsi="Times New Roman"/>
                <w:b/>
              </w:rPr>
            </w:pPr>
            <w:r w:rsidRPr="00A53AD7">
              <w:rPr>
                <w:rFonts w:ascii="Times New Roman" w:hAnsi="Times New Roman"/>
                <w:b/>
              </w:rPr>
              <w:t>06 4 00 00000 «Создание условий для реализации государственной программы»</w:t>
            </w:r>
          </w:p>
        </w:tc>
      </w:tr>
      <w:tr w:rsidR="00D470B6" w:rsidRPr="00A53AD7" w14:paraId="315F5AD7" w14:textId="77777777" w:rsidTr="008B0295">
        <w:tc>
          <w:tcPr>
            <w:tcW w:w="546" w:type="dxa"/>
            <w:shd w:val="clear" w:color="auto" w:fill="auto"/>
          </w:tcPr>
          <w:p w14:paraId="687AFFC9"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1.</w:t>
            </w:r>
          </w:p>
        </w:tc>
        <w:tc>
          <w:tcPr>
            <w:tcW w:w="5232" w:type="dxa"/>
            <w:shd w:val="clear" w:color="auto" w:fill="auto"/>
          </w:tcPr>
          <w:p w14:paraId="51B3A347" w14:textId="77777777" w:rsidR="008D493D" w:rsidRPr="00A53AD7" w:rsidRDefault="008D493D" w:rsidP="00850D1D">
            <w:pPr>
              <w:spacing w:after="0" w:line="240" w:lineRule="auto"/>
              <w:rPr>
                <w:rFonts w:ascii="Times New Roman" w:hAnsi="Times New Roman"/>
              </w:rPr>
            </w:pPr>
            <w:r w:rsidRPr="00A53AD7">
              <w:rPr>
                <w:rFonts w:ascii="Times New Roman" w:hAnsi="Times New Roman"/>
              </w:rPr>
              <w:t>Обеспечена деятельность учреждений, подведомственных министерству строительства и архитектуры Архангельской области (ГКУ «Государственное управление капитального строительства» (далее – ГКУ «ГУКС») и ГАУ «Архангельский региональный центр ценообразования в строительстве»),</w:t>
            </w:r>
          </w:p>
        </w:tc>
        <w:tc>
          <w:tcPr>
            <w:tcW w:w="1134" w:type="dxa"/>
            <w:shd w:val="clear" w:color="auto" w:fill="auto"/>
          </w:tcPr>
          <w:p w14:paraId="738BABCA"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100,7</w:t>
            </w:r>
          </w:p>
        </w:tc>
        <w:tc>
          <w:tcPr>
            <w:tcW w:w="1134" w:type="dxa"/>
            <w:shd w:val="clear" w:color="auto" w:fill="auto"/>
          </w:tcPr>
          <w:p w14:paraId="504A4BC8"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4D4A2AF8"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100,7</w:t>
            </w:r>
          </w:p>
        </w:tc>
      </w:tr>
      <w:tr w:rsidR="00D470B6" w:rsidRPr="00A53AD7" w14:paraId="4201E192" w14:textId="77777777" w:rsidTr="008B0295">
        <w:tc>
          <w:tcPr>
            <w:tcW w:w="546" w:type="dxa"/>
            <w:shd w:val="clear" w:color="auto" w:fill="auto"/>
          </w:tcPr>
          <w:p w14:paraId="322CAF6A"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2.</w:t>
            </w:r>
          </w:p>
        </w:tc>
        <w:tc>
          <w:tcPr>
            <w:tcW w:w="5232" w:type="dxa"/>
            <w:shd w:val="clear" w:color="auto" w:fill="auto"/>
          </w:tcPr>
          <w:p w14:paraId="77525005" w14:textId="77777777" w:rsidR="008D493D" w:rsidRPr="00A53AD7" w:rsidRDefault="008D493D" w:rsidP="00850D1D">
            <w:pPr>
              <w:spacing w:after="0" w:line="240" w:lineRule="auto"/>
              <w:rPr>
                <w:rFonts w:ascii="Times New Roman" w:hAnsi="Times New Roman"/>
              </w:rPr>
            </w:pPr>
            <w:r w:rsidRPr="00A53AD7">
              <w:rPr>
                <w:rFonts w:ascii="Times New Roman" w:hAnsi="Times New Roman"/>
              </w:rPr>
              <w:t>Расходы на содержание и обеспечение деятельности министерства строительства и архитектуры Архангельской области, инспекции государственного строительного надзора Архангельской области</w:t>
            </w:r>
          </w:p>
        </w:tc>
        <w:tc>
          <w:tcPr>
            <w:tcW w:w="1134" w:type="dxa"/>
            <w:shd w:val="clear" w:color="auto" w:fill="auto"/>
          </w:tcPr>
          <w:p w14:paraId="2BD4B9D7"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72,0</w:t>
            </w:r>
          </w:p>
        </w:tc>
        <w:tc>
          <w:tcPr>
            <w:tcW w:w="1134" w:type="dxa"/>
            <w:shd w:val="clear" w:color="auto" w:fill="auto"/>
          </w:tcPr>
          <w:p w14:paraId="1AEA47D9"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28D30209"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72,0</w:t>
            </w:r>
          </w:p>
        </w:tc>
      </w:tr>
      <w:tr w:rsidR="00D470B6" w:rsidRPr="00A53AD7" w14:paraId="23BA5832" w14:textId="77777777" w:rsidTr="008B0295">
        <w:tc>
          <w:tcPr>
            <w:tcW w:w="546" w:type="dxa"/>
            <w:shd w:val="clear" w:color="auto" w:fill="auto"/>
          </w:tcPr>
          <w:p w14:paraId="5D3770C2" w14:textId="77777777" w:rsidR="008D493D" w:rsidRPr="00A53AD7" w:rsidRDefault="008D493D" w:rsidP="008D493D">
            <w:pPr>
              <w:spacing w:after="0" w:line="240" w:lineRule="auto"/>
              <w:jc w:val="both"/>
              <w:rPr>
                <w:rFonts w:ascii="Times New Roman" w:hAnsi="Times New Roman"/>
              </w:rPr>
            </w:pPr>
            <w:r w:rsidRPr="00A53AD7">
              <w:rPr>
                <w:rFonts w:ascii="Times New Roman" w:hAnsi="Times New Roman"/>
              </w:rPr>
              <w:t>3.</w:t>
            </w:r>
          </w:p>
        </w:tc>
        <w:tc>
          <w:tcPr>
            <w:tcW w:w="5232" w:type="dxa"/>
            <w:shd w:val="clear" w:color="auto" w:fill="auto"/>
          </w:tcPr>
          <w:p w14:paraId="32EDB0B2" w14:textId="333EF68E" w:rsidR="008D493D" w:rsidRPr="00A53AD7" w:rsidRDefault="008D493D" w:rsidP="00850D1D">
            <w:pPr>
              <w:spacing w:after="0" w:line="240" w:lineRule="auto"/>
              <w:rPr>
                <w:rFonts w:ascii="Times New Roman" w:hAnsi="Times New Roman"/>
              </w:rPr>
            </w:pPr>
            <w:r w:rsidRPr="00A53AD7">
              <w:rPr>
                <w:rFonts w:ascii="Times New Roman" w:hAnsi="Times New Roman"/>
              </w:rPr>
              <w:t>В муниципальные образования Архангельской области направлены субвенции на осуществление государственных полномочий по регистрации и учету граждан, имеющих право на получение жилищных субсидий в связи с переселением из районов крайнего Севера и приравненных к ним местностям.</w:t>
            </w:r>
          </w:p>
        </w:tc>
        <w:tc>
          <w:tcPr>
            <w:tcW w:w="1134" w:type="dxa"/>
            <w:shd w:val="clear" w:color="auto" w:fill="auto"/>
          </w:tcPr>
          <w:p w14:paraId="63A07DEB"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0,3</w:t>
            </w:r>
          </w:p>
        </w:tc>
        <w:tc>
          <w:tcPr>
            <w:tcW w:w="1134" w:type="dxa"/>
            <w:shd w:val="clear" w:color="auto" w:fill="auto"/>
          </w:tcPr>
          <w:p w14:paraId="1F0B97BC"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1AC8C856" w14:textId="77777777" w:rsidR="008D493D" w:rsidRPr="00A53AD7" w:rsidRDefault="008D493D" w:rsidP="008D493D">
            <w:pPr>
              <w:spacing w:after="0" w:line="240" w:lineRule="auto"/>
              <w:jc w:val="center"/>
              <w:rPr>
                <w:rFonts w:ascii="Times New Roman" w:hAnsi="Times New Roman"/>
              </w:rPr>
            </w:pPr>
            <w:r w:rsidRPr="00A53AD7">
              <w:rPr>
                <w:rFonts w:ascii="Times New Roman" w:hAnsi="Times New Roman"/>
              </w:rPr>
              <w:t>0,3</w:t>
            </w:r>
          </w:p>
        </w:tc>
      </w:tr>
      <w:tr w:rsidR="00D470B6" w:rsidRPr="00A53AD7" w14:paraId="291FDCE2" w14:textId="77777777" w:rsidTr="008B0295">
        <w:tc>
          <w:tcPr>
            <w:tcW w:w="546" w:type="dxa"/>
            <w:shd w:val="clear" w:color="auto" w:fill="auto"/>
          </w:tcPr>
          <w:p w14:paraId="3ED63E8C" w14:textId="77777777" w:rsidR="008D493D" w:rsidRPr="00A53AD7" w:rsidRDefault="008D493D" w:rsidP="008D493D">
            <w:pPr>
              <w:spacing w:after="0" w:line="240" w:lineRule="auto"/>
              <w:jc w:val="both"/>
              <w:rPr>
                <w:rFonts w:ascii="Times New Roman" w:hAnsi="Times New Roman"/>
              </w:rPr>
            </w:pPr>
          </w:p>
        </w:tc>
        <w:tc>
          <w:tcPr>
            <w:tcW w:w="5232" w:type="dxa"/>
            <w:shd w:val="clear" w:color="auto" w:fill="auto"/>
          </w:tcPr>
          <w:p w14:paraId="3C2A462B" w14:textId="77777777" w:rsidR="008D493D" w:rsidRPr="00A53AD7" w:rsidRDefault="008D493D" w:rsidP="008D493D">
            <w:pPr>
              <w:spacing w:after="0" w:line="240" w:lineRule="auto"/>
              <w:jc w:val="right"/>
              <w:rPr>
                <w:rFonts w:ascii="Times New Roman" w:hAnsi="Times New Roman"/>
                <w:b/>
              </w:rPr>
            </w:pPr>
            <w:r w:rsidRPr="00A53AD7">
              <w:rPr>
                <w:rFonts w:ascii="Times New Roman" w:hAnsi="Times New Roman"/>
                <w:b/>
              </w:rPr>
              <w:t>ИТОГО:</w:t>
            </w:r>
          </w:p>
        </w:tc>
        <w:tc>
          <w:tcPr>
            <w:tcW w:w="1134" w:type="dxa"/>
            <w:shd w:val="clear" w:color="auto" w:fill="auto"/>
          </w:tcPr>
          <w:p w14:paraId="3CD2BA23"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173,0</w:t>
            </w:r>
          </w:p>
        </w:tc>
        <w:tc>
          <w:tcPr>
            <w:tcW w:w="1134" w:type="dxa"/>
            <w:shd w:val="clear" w:color="auto" w:fill="auto"/>
          </w:tcPr>
          <w:p w14:paraId="7B3B945F"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w:t>
            </w:r>
          </w:p>
        </w:tc>
        <w:tc>
          <w:tcPr>
            <w:tcW w:w="1134" w:type="dxa"/>
            <w:shd w:val="clear" w:color="auto" w:fill="auto"/>
          </w:tcPr>
          <w:p w14:paraId="37B8018A"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173,0</w:t>
            </w:r>
          </w:p>
        </w:tc>
      </w:tr>
      <w:tr w:rsidR="00D470B6" w:rsidRPr="00A53AD7" w14:paraId="0E96A3E2" w14:textId="77777777" w:rsidTr="008B0295">
        <w:tc>
          <w:tcPr>
            <w:tcW w:w="546" w:type="dxa"/>
            <w:shd w:val="clear" w:color="auto" w:fill="auto"/>
          </w:tcPr>
          <w:p w14:paraId="46698419" w14:textId="77777777" w:rsidR="008D493D" w:rsidRPr="00A53AD7" w:rsidRDefault="008D493D" w:rsidP="008D493D">
            <w:pPr>
              <w:spacing w:after="0" w:line="240" w:lineRule="auto"/>
              <w:jc w:val="both"/>
              <w:rPr>
                <w:rFonts w:ascii="Times New Roman" w:hAnsi="Times New Roman"/>
              </w:rPr>
            </w:pPr>
          </w:p>
        </w:tc>
        <w:tc>
          <w:tcPr>
            <w:tcW w:w="5232" w:type="dxa"/>
            <w:shd w:val="clear" w:color="auto" w:fill="auto"/>
          </w:tcPr>
          <w:p w14:paraId="58FD7D2F" w14:textId="77777777" w:rsidR="008D493D" w:rsidRPr="00A53AD7" w:rsidRDefault="008D493D" w:rsidP="008D493D">
            <w:pPr>
              <w:spacing w:after="0" w:line="240" w:lineRule="auto"/>
              <w:jc w:val="right"/>
              <w:rPr>
                <w:rFonts w:ascii="Times New Roman" w:hAnsi="Times New Roman"/>
                <w:b/>
              </w:rPr>
            </w:pPr>
            <w:r w:rsidRPr="00A53AD7">
              <w:rPr>
                <w:rFonts w:ascii="Times New Roman" w:hAnsi="Times New Roman"/>
                <w:b/>
              </w:rPr>
              <w:t>ВСЕГО:</w:t>
            </w:r>
          </w:p>
        </w:tc>
        <w:tc>
          <w:tcPr>
            <w:tcW w:w="1134" w:type="dxa"/>
            <w:shd w:val="clear" w:color="auto" w:fill="auto"/>
          </w:tcPr>
          <w:p w14:paraId="0FB8669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1 221 ,7</w:t>
            </w:r>
          </w:p>
        </w:tc>
        <w:tc>
          <w:tcPr>
            <w:tcW w:w="1134" w:type="dxa"/>
            <w:shd w:val="clear" w:color="auto" w:fill="auto"/>
          </w:tcPr>
          <w:p w14:paraId="30439122"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770,6</w:t>
            </w:r>
          </w:p>
        </w:tc>
        <w:tc>
          <w:tcPr>
            <w:tcW w:w="1134" w:type="dxa"/>
            <w:shd w:val="clear" w:color="auto" w:fill="auto"/>
          </w:tcPr>
          <w:p w14:paraId="2B2391A1" w14:textId="77777777" w:rsidR="008D493D" w:rsidRPr="00A53AD7" w:rsidRDefault="008D493D" w:rsidP="008D493D">
            <w:pPr>
              <w:spacing w:after="0" w:line="240" w:lineRule="auto"/>
              <w:jc w:val="center"/>
              <w:rPr>
                <w:rFonts w:ascii="Times New Roman" w:hAnsi="Times New Roman"/>
                <w:b/>
              </w:rPr>
            </w:pPr>
            <w:r w:rsidRPr="00A53AD7">
              <w:rPr>
                <w:rFonts w:ascii="Times New Roman" w:hAnsi="Times New Roman"/>
                <w:b/>
              </w:rPr>
              <w:t>451,1</w:t>
            </w:r>
          </w:p>
        </w:tc>
      </w:tr>
    </w:tbl>
    <w:p w14:paraId="20939CE8" w14:textId="77777777" w:rsidR="00D73A19" w:rsidRPr="00A53AD7" w:rsidRDefault="00D73A19" w:rsidP="00D73A19">
      <w:pPr>
        <w:pStyle w:val="a8"/>
        <w:ind w:left="0" w:firstLine="851"/>
        <w:jc w:val="both"/>
        <w:rPr>
          <w:sz w:val="28"/>
          <w:szCs w:val="28"/>
        </w:rPr>
      </w:pPr>
    </w:p>
    <w:p w14:paraId="37A409A1" w14:textId="7C159B58" w:rsidR="00497591" w:rsidRPr="00A53AD7" w:rsidRDefault="00497591" w:rsidP="00497591">
      <w:pPr>
        <w:pStyle w:val="a8"/>
        <w:ind w:left="0" w:firstLine="851"/>
        <w:jc w:val="both"/>
        <w:rPr>
          <w:sz w:val="28"/>
          <w:szCs w:val="28"/>
        </w:rPr>
      </w:pPr>
      <w:r w:rsidRPr="00A53AD7">
        <w:rPr>
          <w:sz w:val="28"/>
          <w:szCs w:val="28"/>
        </w:rPr>
        <w:t>По результатам 2019 года не исполнены кассовые назначения на сумму 4,5 млн.руб. по разработке градостроительной документации (КБК 019 0412 0610075800 240). Из пояснений минстроя АО следует, что в 2019 году на сумму 4,5 млн.руб. должен был быть разработан Генеральный план г. Архангельска. В связи с тем, что потребовались дополнительные процедуры по согласованию данного генерального плана, расходы произведены не были. Остаток бюджетных средств на конец 2019 года был запрошен к восстановлению и утвержден к расходам на 2020 год постановлением Архангельского областного собрания депутатов от 25.03.2020 № 642 (п.1, п.п.12).</w:t>
      </w:r>
    </w:p>
    <w:p w14:paraId="59684A23" w14:textId="30B6C53B" w:rsidR="0022694F" w:rsidRPr="00A53AD7" w:rsidRDefault="00BE6D75" w:rsidP="0041288C">
      <w:pPr>
        <w:pStyle w:val="3"/>
        <w:spacing w:line="240" w:lineRule="auto"/>
        <w:jc w:val="center"/>
        <w:rPr>
          <w:rFonts w:ascii="Times New Roman" w:hAnsi="Times New Roman"/>
          <w:b w:val="0"/>
          <w:sz w:val="28"/>
          <w:szCs w:val="28"/>
          <w:u w:val="single"/>
        </w:rPr>
      </w:pPr>
      <w:bookmarkStart w:id="79" w:name="_Toc42006728"/>
      <w:r w:rsidRPr="00A53AD7">
        <w:rPr>
          <w:rFonts w:ascii="Times New Roman" w:hAnsi="Times New Roman"/>
          <w:b w:val="0"/>
          <w:sz w:val="28"/>
          <w:szCs w:val="28"/>
          <w:u w:val="single"/>
          <w:lang w:val="ru-RU"/>
        </w:rPr>
        <w:t>4</w:t>
      </w:r>
      <w:r w:rsidR="0041288C" w:rsidRPr="00A53AD7">
        <w:rPr>
          <w:rFonts w:ascii="Times New Roman" w:hAnsi="Times New Roman"/>
          <w:b w:val="0"/>
          <w:sz w:val="28"/>
          <w:szCs w:val="28"/>
          <w:u w:val="single"/>
        </w:rPr>
        <w:t>.</w:t>
      </w:r>
      <w:r w:rsidRPr="00A53AD7">
        <w:rPr>
          <w:rFonts w:ascii="Times New Roman" w:hAnsi="Times New Roman"/>
          <w:b w:val="0"/>
          <w:sz w:val="28"/>
          <w:szCs w:val="28"/>
          <w:u w:val="single"/>
          <w:lang w:val="ru-RU"/>
        </w:rPr>
        <w:t>2</w:t>
      </w:r>
      <w:r w:rsidR="0041288C" w:rsidRPr="00A53AD7">
        <w:rPr>
          <w:rFonts w:ascii="Times New Roman" w:hAnsi="Times New Roman"/>
          <w:b w:val="0"/>
          <w:sz w:val="28"/>
          <w:szCs w:val="28"/>
          <w:u w:val="single"/>
        </w:rPr>
        <w:t>.</w:t>
      </w:r>
      <w:r w:rsidR="00823B65" w:rsidRPr="00A53AD7">
        <w:rPr>
          <w:rFonts w:ascii="Times New Roman" w:hAnsi="Times New Roman"/>
          <w:b w:val="0"/>
          <w:sz w:val="28"/>
          <w:szCs w:val="28"/>
          <w:u w:val="single"/>
          <w:lang w:val="ru-RU"/>
        </w:rPr>
        <w:t>7</w:t>
      </w:r>
      <w:r w:rsidR="0041288C" w:rsidRPr="00A53AD7">
        <w:rPr>
          <w:rFonts w:ascii="Times New Roman" w:hAnsi="Times New Roman"/>
          <w:b w:val="0"/>
          <w:sz w:val="28"/>
          <w:szCs w:val="28"/>
          <w:u w:val="single"/>
        </w:rPr>
        <w:t xml:space="preserve">. Государственная программа </w:t>
      </w:r>
      <w:r w:rsidR="00ED1404" w:rsidRPr="00A53AD7">
        <w:rPr>
          <w:rFonts w:ascii="Times New Roman" w:hAnsi="Times New Roman"/>
          <w:b w:val="0"/>
          <w:sz w:val="28"/>
          <w:szCs w:val="28"/>
          <w:u w:val="single"/>
          <w:lang w:val="ru-RU"/>
        </w:rPr>
        <w:t xml:space="preserve">Архангельской области </w:t>
      </w:r>
      <w:r w:rsidR="0041288C" w:rsidRPr="00A53AD7">
        <w:rPr>
          <w:rFonts w:ascii="Times New Roman" w:hAnsi="Times New Roman"/>
          <w:b w:val="0"/>
          <w:sz w:val="28"/>
          <w:szCs w:val="28"/>
          <w:u w:val="single"/>
        </w:rPr>
        <w:t>«Содействие занятости населения Архангельской области, улучшение условий и охраны труда»</w:t>
      </w:r>
      <w:bookmarkEnd w:id="79"/>
    </w:p>
    <w:p w14:paraId="17A23EE2" w14:textId="77777777" w:rsidR="002F2423" w:rsidRPr="00A53AD7" w:rsidRDefault="006C093D" w:rsidP="00D72C7C">
      <w:pPr>
        <w:pStyle w:val="a8"/>
        <w:ind w:left="0" w:firstLine="851"/>
        <w:jc w:val="both"/>
        <w:rPr>
          <w:sz w:val="28"/>
          <w:szCs w:val="28"/>
        </w:rPr>
      </w:pPr>
      <w:r w:rsidRPr="00A53AD7">
        <w:rPr>
          <w:sz w:val="28"/>
          <w:szCs w:val="28"/>
        </w:rPr>
        <w:t xml:space="preserve"> </w:t>
      </w:r>
      <w:r w:rsidR="002F2423" w:rsidRPr="00A53AD7">
        <w:rPr>
          <w:sz w:val="28"/>
          <w:szCs w:val="28"/>
        </w:rPr>
        <w:t>Государственная программа Архангельской области «Содействие занятости населения Архангельской области, улучшение условий и охраны труда» утверждена постановлением Правительства Архангельской области от 08.10.2013 № 466-пп (далее - госпрограмма).</w:t>
      </w:r>
    </w:p>
    <w:p w14:paraId="46532B6F" w14:textId="77777777" w:rsidR="002F2423" w:rsidRPr="00A53AD7" w:rsidRDefault="002F2423" w:rsidP="00D72C7C">
      <w:pPr>
        <w:pStyle w:val="a8"/>
        <w:ind w:left="0" w:firstLine="851"/>
        <w:jc w:val="both"/>
        <w:rPr>
          <w:sz w:val="28"/>
          <w:szCs w:val="28"/>
        </w:rPr>
      </w:pPr>
      <w:r w:rsidRPr="00A53AD7">
        <w:rPr>
          <w:sz w:val="28"/>
          <w:szCs w:val="28"/>
        </w:rPr>
        <w:t>Ответственный исполнитель госпрограммы - министерство труда, занятости и социального развития Архангельской области, соисполнителей - нет.</w:t>
      </w:r>
    </w:p>
    <w:p w14:paraId="7FB6182A" w14:textId="77777777" w:rsidR="002F2423" w:rsidRPr="00A53AD7" w:rsidRDefault="002F2423" w:rsidP="00D72C7C">
      <w:pPr>
        <w:pStyle w:val="a8"/>
        <w:ind w:left="0" w:firstLine="851"/>
        <w:jc w:val="both"/>
        <w:rPr>
          <w:sz w:val="28"/>
          <w:szCs w:val="28"/>
        </w:rPr>
      </w:pPr>
      <w:r w:rsidRPr="00A53AD7">
        <w:rPr>
          <w:sz w:val="28"/>
          <w:szCs w:val="28"/>
        </w:rPr>
        <w:t>Целью госпрограммы является обеспечение условий развития эффективного рынка труда и государственных гарантий по содействию реализации прав граждан на полную, продуктивную и свободно избранную занятость.</w:t>
      </w:r>
    </w:p>
    <w:p w14:paraId="07C9F11B" w14:textId="4E8F42A7" w:rsidR="002F2423" w:rsidRPr="00A53AD7" w:rsidRDefault="002F2423" w:rsidP="00D72C7C">
      <w:pPr>
        <w:pStyle w:val="a8"/>
        <w:ind w:left="0" w:firstLine="851"/>
        <w:jc w:val="both"/>
        <w:rPr>
          <w:sz w:val="28"/>
          <w:szCs w:val="28"/>
        </w:rPr>
      </w:pPr>
      <w:r w:rsidRPr="00A53AD7">
        <w:rPr>
          <w:sz w:val="28"/>
          <w:szCs w:val="28"/>
        </w:rPr>
        <w:t>В госпрограмме в редакции, действующей на 01.01.2019, на 2019 год утверждено 1 253,0 млн.руб. В течение 2019 года постановлениями Правительства Архангельской области в госпрограмму вносились изменения 12 раз. В госпрограмме на 2019 год в редакции, действующей на 31.12.2019, на реализацию мероприятий предусмотрено 1 463,4 млн.руб.</w:t>
      </w:r>
    </w:p>
    <w:p w14:paraId="6933575F" w14:textId="77777777" w:rsidR="002F2423" w:rsidRPr="00A53AD7" w:rsidRDefault="002F2423" w:rsidP="00D72C7C">
      <w:pPr>
        <w:pStyle w:val="a8"/>
        <w:ind w:left="0" w:firstLine="851"/>
        <w:jc w:val="both"/>
        <w:rPr>
          <w:sz w:val="28"/>
          <w:szCs w:val="28"/>
        </w:rPr>
      </w:pPr>
      <w:r w:rsidRPr="00A53AD7">
        <w:rPr>
          <w:sz w:val="28"/>
          <w:szCs w:val="28"/>
        </w:rPr>
        <w:t>В таблице 1 представлены бюджетные ассигнования на реализацию мероприятий госпрограммы на 2019 год в разрезе источников финансирования.</w:t>
      </w:r>
    </w:p>
    <w:p w14:paraId="4C8D9A22" w14:textId="77777777" w:rsidR="00D72C7C" w:rsidRPr="00A53AD7" w:rsidRDefault="00D72C7C" w:rsidP="00D72C7C">
      <w:pPr>
        <w:pStyle w:val="aff0"/>
        <w:spacing w:after="0" w:line="240" w:lineRule="auto"/>
        <w:rPr>
          <w:rFonts w:ascii="Times New Roman" w:hAnsi="Times New Roman"/>
          <w:b w:val="0"/>
          <w:sz w:val="24"/>
          <w:szCs w:val="24"/>
        </w:rPr>
      </w:pPr>
    </w:p>
    <w:p w14:paraId="71ABCB0C" w14:textId="61B6D30E" w:rsidR="002F2423" w:rsidRPr="00A53AD7" w:rsidRDefault="00D72C7C" w:rsidP="00D72C7C">
      <w:pPr>
        <w:pStyle w:val="aff0"/>
        <w:spacing w:after="0" w:line="240" w:lineRule="auto"/>
        <w:rPr>
          <w:rFonts w:ascii="Times New Roman" w:eastAsia="Times New Roman" w:hAnsi="Times New Roman"/>
          <w:b w:val="0"/>
          <w:sz w:val="24"/>
          <w:szCs w:val="24"/>
          <w:lang w:eastAsia="ru-RU"/>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39</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2F2423" w:rsidRPr="00A53AD7">
        <w:rPr>
          <w:rFonts w:ascii="Times New Roman" w:eastAsia="Times New Roman" w:hAnsi="Times New Roman"/>
          <w:b w:val="0"/>
          <w:sz w:val="24"/>
          <w:szCs w:val="24"/>
          <w:lang w:eastAsia="ru-RU"/>
        </w:rPr>
        <w:t>Объем финансирования мероприятий (млн.руб.)</w:t>
      </w:r>
    </w:p>
    <w:tbl>
      <w:tblPr>
        <w:tblW w:w="9226"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846"/>
        <w:gridCol w:w="1680"/>
        <w:gridCol w:w="1700"/>
      </w:tblGrid>
      <w:tr w:rsidR="00D470B6" w:rsidRPr="00A53AD7" w14:paraId="19E248A2" w14:textId="77777777" w:rsidTr="00D72C7C">
        <w:trPr>
          <w:trHeight w:val="416"/>
          <w:tblHeader/>
        </w:trPr>
        <w:tc>
          <w:tcPr>
            <w:tcW w:w="5846" w:type="dxa"/>
            <w:shd w:val="clear" w:color="auto" w:fill="auto"/>
            <w:vAlign w:val="center"/>
            <w:hideMark/>
          </w:tcPr>
          <w:p w14:paraId="66998F02"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Объем финансирования на 2019 год на реализацию мероприятий госпрограммы</w:t>
            </w:r>
          </w:p>
        </w:tc>
        <w:tc>
          <w:tcPr>
            <w:tcW w:w="1680" w:type="dxa"/>
            <w:shd w:val="clear" w:color="auto" w:fill="auto"/>
            <w:vAlign w:val="center"/>
            <w:hideMark/>
          </w:tcPr>
          <w:p w14:paraId="2C101F1D"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на 01.01.2019 </w:t>
            </w:r>
          </w:p>
        </w:tc>
        <w:tc>
          <w:tcPr>
            <w:tcW w:w="1700" w:type="dxa"/>
            <w:shd w:val="clear" w:color="auto" w:fill="auto"/>
            <w:vAlign w:val="center"/>
            <w:hideMark/>
          </w:tcPr>
          <w:p w14:paraId="018657C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на 31.12.2019 </w:t>
            </w:r>
          </w:p>
        </w:tc>
      </w:tr>
      <w:tr w:rsidR="00D470B6" w:rsidRPr="00A53AD7" w14:paraId="15B8610E" w14:textId="77777777" w:rsidTr="00D72C7C">
        <w:trPr>
          <w:trHeight w:val="181"/>
        </w:trPr>
        <w:tc>
          <w:tcPr>
            <w:tcW w:w="5846" w:type="dxa"/>
            <w:shd w:val="clear" w:color="auto" w:fill="auto"/>
            <w:noWrap/>
            <w:vAlign w:val="bottom"/>
            <w:hideMark/>
          </w:tcPr>
          <w:p w14:paraId="19093271"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1680" w:type="dxa"/>
            <w:shd w:val="clear" w:color="auto" w:fill="auto"/>
            <w:noWrap/>
            <w:vAlign w:val="center"/>
          </w:tcPr>
          <w:p w14:paraId="10E0D1E3"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643,4</w:t>
            </w:r>
          </w:p>
        </w:tc>
        <w:tc>
          <w:tcPr>
            <w:tcW w:w="1700" w:type="dxa"/>
            <w:shd w:val="clear" w:color="auto" w:fill="auto"/>
            <w:noWrap/>
            <w:vAlign w:val="center"/>
          </w:tcPr>
          <w:p w14:paraId="1BE0AF7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647,6</w:t>
            </w:r>
          </w:p>
        </w:tc>
      </w:tr>
      <w:tr w:rsidR="00D470B6" w:rsidRPr="00A53AD7" w14:paraId="2E64CC69" w14:textId="77777777" w:rsidTr="00D72C7C">
        <w:trPr>
          <w:trHeight w:val="200"/>
        </w:trPr>
        <w:tc>
          <w:tcPr>
            <w:tcW w:w="5846" w:type="dxa"/>
            <w:shd w:val="clear" w:color="auto" w:fill="auto"/>
            <w:noWrap/>
            <w:vAlign w:val="bottom"/>
            <w:hideMark/>
          </w:tcPr>
          <w:p w14:paraId="5D7018BC"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1680" w:type="dxa"/>
            <w:shd w:val="clear" w:color="auto" w:fill="auto"/>
            <w:noWrap/>
            <w:vAlign w:val="center"/>
          </w:tcPr>
          <w:p w14:paraId="3071C0CC"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449,8</w:t>
            </w:r>
          </w:p>
        </w:tc>
        <w:tc>
          <w:tcPr>
            <w:tcW w:w="1700" w:type="dxa"/>
            <w:shd w:val="clear" w:color="auto" w:fill="auto"/>
            <w:noWrap/>
            <w:vAlign w:val="center"/>
          </w:tcPr>
          <w:p w14:paraId="16FE21D6"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502,0</w:t>
            </w:r>
          </w:p>
        </w:tc>
      </w:tr>
      <w:tr w:rsidR="00D470B6" w:rsidRPr="00A53AD7" w14:paraId="3330B079" w14:textId="77777777" w:rsidTr="00D72C7C">
        <w:trPr>
          <w:trHeight w:val="75"/>
        </w:trPr>
        <w:tc>
          <w:tcPr>
            <w:tcW w:w="5846" w:type="dxa"/>
            <w:shd w:val="clear" w:color="auto" w:fill="auto"/>
            <w:noWrap/>
            <w:vAlign w:val="bottom"/>
            <w:hideMark/>
          </w:tcPr>
          <w:p w14:paraId="6C029E6D"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источники</w:t>
            </w:r>
          </w:p>
        </w:tc>
        <w:tc>
          <w:tcPr>
            <w:tcW w:w="1680" w:type="dxa"/>
            <w:shd w:val="clear" w:color="auto" w:fill="auto"/>
            <w:noWrap/>
            <w:vAlign w:val="center"/>
          </w:tcPr>
          <w:p w14:paraId="3B84A3F9"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159,9</w:t>
            </w:r>
          </w:p>
        </w:tc>
        <w:tc>
          <w:tcPr>
            <w:tcW w:w="1700" w:type="dxa"/>
            <w:shd w:val="clear" w:color="auto" w:fill="auto"/>
            <w:noWrap/>
            <w:vAlign w:val="center"/>
          </w:tcPr>
          <w:p w14:paraId="6A93625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313,8</w:t>
            </w:r>
          </w:p>
        </w:tc>
      </w:tr>
      <w:tr w:rsidR="002F2423" w:rsidRPr="00A53AD7" w14:paraId="268640DF" w14:textId="77777777" w:rsidTr="00D72C7C">
        <w:trPr>
          <w:trHeight w:val="108"/>
        </w:trPr>
        <w:tc>
          <w:tcPr>
            <w:tcW w:w="5846" w:type="dxa"/>
            <w:shd w:val="clear" w:color="auto" w:fill="auto"/>
            <w:noWrap/>
            <w:vAlign w:val="bottom"/>
            <w:hideMark/>
          </w:tcPr>
          <w:p w14:paraId="6DEED803"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680" w:type="dxa"/>
            <w:shd w:val="clear" w:color="auto" w:fill="auto"/>
            <w:noWrap/>
            <w:vAlign w:val="center"/>
          </w:tcPr>
          <w:p w14:paraId="7EE1E4EB" w14:textId="77777777" w:rsidR="002F2423" w:rsidRPr="00A53AD7" w:rsidRDefault="002F2423" w:rsidP="00C746B8">
            <w:pPr>
              <w:spacing w:after="0" w:line="240" w:lineRule="auto"/>
              <w:jc w:val="center"/>
              <w:rPr>
                <w:rFonts w:ascii="Times New Roman" w:hAnsi="Times New Roman"/>
              </w:rPr>
            </w:pPr>
            <w:r w:rsidRPr="00A53AD7">
              <w:rPr>
                <w:rFonts w:ascii="Times New Roman" w:eastAsia="Times New Roman" w:hAnsi="Times New Roman"/>
                <w:lang w:eastAsia="ru-RU"/>
              </w:rPr>
              <w:t>1 </w:t>
            </w:r>
            <w:r w:rsidRPr="00A53AD7">
              <w:rPr>
                <w:rFonts w:ascii="Times New Roman" w:hAnsi="Times New Roman"/>
              </w:rPr>
              <w:t>253,0</w:t>
            </w:r>
          </w:p>
        </w:tc>
        <w:tc>
          <w:tcPr>
            <w:tcW w:w="1700" w:type="dxa"/>
            <w:shd w:val="clear" w:color="auto" w:fill="auto"/>
            <w:noWrap/>
            <w:vAlign w:val="center"/>
          </w:tcPr>
          <w:p w14:paraId="3B181910"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1 463,4</w:t>
            </w:r>
          </w:p>
        </w:tc>
      </w:tr>
    </w:tbl>
    <w:p w14:paraId="6795A741" w14:textId="77777777" w:rsidR="00D72C7C" w:rsidRPr="00A53AD7" w:rsidRDefault="00D72C7C" w:rsidP="00D72C7C">
      <w:pPr>
        <w:pStyle w:val="a8"/>
        <w:ind w:left="0" w:firstLine="851"/>
        <w:jc w:val="both"/>
        <w:rPr>
          <w:sz w:val="28"/>
          <w:szCs w:val="28"/>
        </w:rPr>
      </w:pPr>
    </w:p>
    <w:p w14:paraId="07737E7C" w14:textId="77777777" w:rsidR="002F2423" w:rsidRPr="00A53AD7" w:rsidRDefault="002F2423" w:rsidP="00D72C7C">
      <w:pPr>
        <w:pStyle w:val="a8"/>
        <w:ind w:left="0" w:firstLine="851"/>
        <w:jc w:val="both"/>
        <w:rPr>
          <w:sz w:val="28"/>
          <w:szCs w:val="28"/>
        </w:rPr>
      </w:pPr>
      <w:r w:rsidRPr="00A53AD7">
        <w:rPr>
          <w:sz w:val="28"/>
          <w:szCs w:val="28"/>
        </w:rPr>
        <w:t>По госпрограмме общий объем расходов утвержден приложением № 14 к Закону Архангельской области «Об областном бюджете на 2019 год и на плановый период 2020 и 2021 годов» от 17.12.2018 № 35-4-ОЗ и составил:</w:t>
      </w:r>
    </w:p>
    <w:p w14:paraId="74C81BDB" w14:textId="3A5D93EC" w:rsidR="002F2423" w:rsidRPr="00A53AD7" w:rsidRDefault="002F2423" w:rsidP="00D72C7C">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в первоначальной редакции – 1 061,7 млн.руб.;</w:t>
      </w:r>
    </w:p>
    <w:p w14:paraId="3BE1A555" w14:textId="448BDD69" w:rsidR="002F2423" w:rsidRPr="00A53AD7" w:rsidRDefault="002F2423" w:rsidP="00D72C7C">
      <w:pPr>
        <w:pStyle w:val="a8"/>
        <w:numPr>
          <w:ilvl w:val="0"/>
          <w:numId w:val="20"/>
        </w:numPr>
        <w:ind w:left="0" w:firstLine="851"/>
        <w:jc w:val="both"/>
        <w:rPr>
          <w:rFonts w:eastAsia="Calibri"/>
          <w:sz w:val="28"/>
          <w:szCs w:val="28"/>
          <w:lang w:eastAsia="en-US"/>
        </w:rPr>
      </w:pPr>
      <w:r w:rsidRPr="00A53AD7">
        <w:rPr>
          <w:rFonts w:eastAsia="Calibri"/>
          <w:sz w:val="28"/>
          <w:szCs w:val="28"/>
          <w:lang w:eastAsia="en-US"/>
        </w:rPr>
        <w:t>в ред. от 13.12.2019 № 189-13-ОЗ – 1 144,9 млн</w:t>
      </w:r>
      <w:r w:rsidR="00D72C7C" w:rsidRPr="00A53AD7">
        <w:rPr>
          <w:rFonts w:eastAsia="Calibri"/>
          <w:sz w:val="28"/>
          <w:szCs w:val="28"/>
          <w:lang w:eastAsia="en-US"/>
        </w:rPr>
        <w:t>.руб.</w:t>
      </w:r>
    </w:p>
    <w:p w14:paraId="5A90829F" w14:textId="417CDEC0" w:rsidR="002F2423" w:rsidRPr="00A53AD7" w:rsidRDefault="002F2423" w:rsidP="00D72C7C">
      <w:pPr>
        <w:pStyle w:val="a8"/>
        <w:ind w:left="0" w:firstLine="851"/>
        <w:jc w:val="both"/>
        <w:rPr>
          <w:sz w:val="28"/>
          <w:szCs w:val="28"/>
        </w:rPr>
      </w:pPr>
      <w:r w:rsidRPr="00A53AD7">
        <w:rPr>
          <w:sz w:val="28"/>
          <w:szCs w:val="28"/>
        </w:rPr>
        <w:t>План по сводной бюджетной росписи на 31.12.2019 составил 1 149,6 млн.руб.</w:t>
      </w:r>
    </w:p>
    <w:p w14:paraId="74EFF84F" w14:textId="77777777" w:rsidR="002F2423" w:rsidRPr="00A53AD7" w:rsidRDefault="002F2423" w:rsidP="00D72C7C">
      <w:pPr>
        <w:pStyle w:val="a8"/>
        <w:ind w:left="0" w:firstLine="851"/>
        <w:jc w:val="both"/>
        <w:rPr>
          <w:sz w:val="28"/>
          <w:szCs w:val="28"/>
        </w:rPr>
      </w:pPr>
      <w:r w:rsidRPr="00A53AD7">
        <w:rPr>
          <w:sz w:val="28"/>
          <w:szCs w:val="28"/>
        </w:rPr>
        <w:t>В нарушение требований пункта 4 статьи 10 областного закона о бюджетном процессе, пункта 22 Порядка № 299-пп, в 2019 году госпрограмма приводилась в соответствие с областным законом об областном бюджете с нарушением двухмесячного срока.</w:t>
      </w:r>
    </w:p>
    <w:p w14:paraId="216A547C" w14:textId="1A778B78" w:rsidR="002F2423" w:rsidRPr="00A53AD7" w:rsidRDefault="002F2423" w:rsidP="00D72C7C">
      <w:pPr>
        <w:pStyle w:val="a8"/>
        <w:ind w:left="0" w:firstLine="851"/>
        <w:jc w:val="both"/>
        <w:rPr>
          <w:sz w:val="28"/>
          <w:szCs w:val="28"/>
        </w:rPr>
      </w:pPr>
      <w:r w:rsidRPr="00A53AD7">
        <w:rPr>
          <w:sz w:val="28"/>
          <w:szCs w:val="28"/>
        </w:rPr>
        <w:t>Согласно госпрограмме РФ «Содействие занятости населения», утвержденной постановлением Правительства РФ от 15.04.2014 № 298 (далее - госпрограмма РФ) уровень безработицы (по методологии Международной организации труда) для Архангельской области установлен в размере:</w:t>
      </w: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343"/>
        <w:gridCol w:w="2327"/>
        <w:gridCol w:w="2327"/>
        <w:gridCol w:w="2327"/>
      </w:tblGrid>
      <w:tr w:rsidR="00D470B6" w:rsidRPr="00A53AD7" w14:paraId="66970EE9" w14:textId="77777777" w:rsidTr="00C746B8">
        <w:tc>
          <w:tcPr>
            <w:tcW w:w="2392" w:type="dxa"/>
            <w:vMerge w:val="restart"/>
            <w:vAlign w:val="center"/>
          </w:tcPr>
          <w:p w14:paraId="0737CEB3" w14:textId="77777777" w:rsidR="002F2423" w:rsidRPr="00A53AD7" w:rsidRDefault="002F2423" w:rsidP="00902237">
            <w:pPr>
              <w:spacing w:after="0" w:line="240" w:lineRule="auto"/>
              <w:jc w:val="center"/>
              <w:rPr>
                <w:rFonts w:ascii="Times New Roman" w:hAnsi="Times New Roman"/>
                <w:sz w:val="28"/>
                <w:szCs w:val="28"/>
              </w:rPr>
            </w:pPr>
            <w:r w:rsidRPr="00A53AD7">
              <w:rPr>
                <w:rFonts w:ascii="Times New Roman" w:hAnsi="Times New Roman"/>
                <w:sz w:val="18"/>
                <w:szCs w:val="18"/>
                <w:lang w:eastAsia="ru-RU"/>
              </w:rPr>
              <w:t>Редакция программы РФ</w:t>
            </w:r>
          </w:p>
        </w:tc>
        <w:tc>
          <w:tcPr>
            <w:tcW w:w="7179" w:type="dxa"/>
            <w:gridSpan w:val="3"/>
          </w:tcPr>
          <w:p w14:paraId="03015E9B" w14:textId="77777777" w:rsidR="002F2423" w:rsidRPr="00A53AD7" w:rsidRDefault="002F2423" w:rsidP="00902237">
            <w:pPr>
              <w:spacing w:after="0" w:line="240" w:lineRule="auto"/>
              <w:jc w:val="center"/>
              <w:rPr>
                <w:rFonts w:ascii="Times New Roman" w:hAnsi="Times New Roman"/>
                <w:sz w:val="28"/>
                <w:szCs w:val="28"/>
              </w:rPr>
            </w:pPr>
            <w:r w:rsidRPr="00A53AD7">
              <w:rPr>
                <w:rFonts w:ascii="Times New Roman" w:hAnsi="Times New Roman"/>
                <w:sz w:val="18"/>
                <w:szCs w:val="18"/>
                <w:lang w:eastAsia="ru-RU"/>
              </w:rPr>
              <w:t>Уровень безработицы (по методологии Международной организации труда), %</w:t>
            </w:r>
          </w:p>
        </w:tc>
      </w:tr>
      <w:tr w:rsidR="00D470B6" w:rsidRPr="00A53AD7" w14:paraId="57EC136B" w14:textId="77777777" w:rsidTr="00C746B8">
        <w:tc>
          <w:tcPr>
            <w:tcW w:w="2392" w:type="dxa"/>
            <w:vMerge/>
          </w:tcPr>
          <w:p w14:paraId="4C240019" w14:textId="77777777" w:rsidR="002F2423" w:rsidRPr="00A53AD7" w:rsidRDefault="002F2423" w:rsidP="00902237">
            <w:pPr>
              <w:spacing w:after="0" w:line="240" w:lineRule="auto"/>
              <w:jc w:val="center"/>
              <w:rPr>
                <w:rFonts w:ascii="Times New Roman" w:hAnsi="Times New Roman"/>
                <w:sz w:val="28"/>
                <w:szCs w:val="28"/>
              </w:rPr>
            </w:pPr>
          </w:p>
        </w:tc>
        <w:tc>
          <w:tcPr>
            <w:tcW w:w="2393" w:type="dxa"/>
            <w:vAlign w:val="center"/>
          </w:tcPr>
          <w:p w14:paraId="1C24AECD"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2018</w:t>
            </w:r>
          </w:p>
        </w:tc>
        <w:tc>
          <w:tcPr>
            <w:tcW w:w="2393" w:type="dxa"/>
            <w:vAlign w:val="center"/>
          </w:tcPr>
          <w:p w14:paraId="4652C1A5"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2019</w:t>
            </w:r>
          </w:p>
        </w:tc>
        <w:tc>
          <w:tcPr>
            <w:tcW w:w="2393" w:type="dxa"/>
            <w:vAlign w:val="center"/>
          </w:tcPr>
          <w:p w14:paraId="6FDBA23E"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2020</w:t>
            </w:r>
          </w:p>
        </w:tc>
      </w:tr>
      <w:tr w:rsidR="00D470B6" w:rsidRPr="00A53AD7" w14:paraId="0A182DD1" w14:textId="77777777" w:rsidTr="00902237">
        <w:trPr>
          <w:trHeight w:val="155"/>
        </w:trPr>
        <w:tc>
          <w:tcPr>
            <w:tcW w:w="2392" w:type="dxa"/>
            <w:vAlign w:val="center"/>
          </w:tcPr>
          <w:p w14:paraId="16B1C31F" w14:textId="77777777" w:rsidR="002F2423" w:rsidRPr="00A53AD7" w:rsidRDefault="002F2423" w:rsidP="00D72C7C">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15.04.2014</w:t>
            </w:r>
          </w:p>
        </w:tc>
        <w:tc>
          <w:tcPr>
            <w:tcW w:w="2393" w:type="dxa"/>
            <w:vAlign w:val="center"/>
          </w:tcPr>
          <w:p w14:paraId="3C97282C"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5,5</w:t>
            </w:r>
          </w:p>
        </w:tc>
        <w:tc>
          <w:tcPr>
            <w:tcW w:w="2393" w:type="dxa"/>
            <w:vAlign w:val="center"/>
          </w:tcPr>
          <w:p w14:paraId="0DECE466"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5,5</w:t>
            </w:r>
          </w:p>
        </w:tc>
        <w:tc>
          <w:tcPr>
            <w:tcW w:w="2393" w:type="dxa"/>
            <w:vAlign w:val="center"/>
          </w:tcPr>
          <w:p w14:paraId="5402CA4F"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5,5</w:t>
            </w:r>
          </w:p>
        </w:tc>
      </w:tr>
      <w:tr w:rsidR="00D470B6" w:rsidRPr="00A53AD7" w14:paraId="787598B4" w14:textId="77777777" w:rsidTr="00C746B8">
        <w:trPr>
          <w:trHeight w:val="194"/>
        </w:trPr>
        <w:tc>
          <w:tcPr>
            <w:tcW w:w="2392" w:type="dxa"/>
            <w:vAlign w:val="center"/>
          </w:tcPr>
          <w:p w14:paraId="5CA25ABB" w14:textId="77777777" w:rsidR="002F2423" w:rsidRPr="00A53AD7" w:rsidRDefault="002F2423" w:rsidP="00D72C7C">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30.12.2018</w:t>
            </w:r>
          </w:p>
        </w:tc>
        <w:tc>
          <w:tcPr>
            <w:tcW w:w="2393" w:type="dxa"/>
          </w:tcPr>
          <w:p w14:paraId="5B7F8D6D"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4761721A"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006331AE"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6,8</w:t>
            </w:r>
          </w:p>
        </w:tc>
      </w:tr>
      <w:tr w:rsidR="002F2423" w:rsidRPr="00A53AD7" w14:paraId="3B96E8CF" w14:textId="77777777" w:rsidTr="00C746B8">
        <w:tc>
          <w:tcPr>
            <w:tcW w:w="2392" w:type="dxa"/>
            <w:vAlign w:val="center"/>
          </w:tcPr>
          <w:p w14:paraId="52702FF2" w14:textId="77777777" w:rsidR="002F2423" w:rsidRPr="00A53AD7" w:rsidRDefault="002F2423" w:rsidP="00D72C7C">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30.11.2019</w:t>
            </w:r>
          </w:p>
        </w:tc>
        <w:tc>
          <w:tcPr>
            <w:tcW w:w="2393" w:type="dxa"/>
          </w:tcPr>
          <w:p w14:paraId="34EC3733"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650E62A9"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73EBE401" w14:textId="77777777" w:rsidR="002F2423" w:rsidRPr="00A53AD7" w:rsidRDefault="002F2423" w:rsidP="00D72C7C">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r>
    </w:tbl>
    <w:p w14:paraId="483E9F21" w14:textId="77777777" w:rsidR="00902237" w:rsidRPr="00A53AD7" w:rsidRDefault="00902237" w:rsidP="00902237">
      <w:pPr>
        <w:pStyle w:val="a8"/>
        <w:ind w:left="0" w:firstLine="851"/>
        <w:jc w:val="both"/>
        <w:rPr>
          <w:sz w:val="28"/>
          <w:szCs w:val="28"/>
        </w:rPr>
      </w:pPr>
    </w:p>
    <w:p w14:paraId="276E1D26" w14:textId="0DE8D9A7" w:rsidR="002F2423" w:rsidRPr="00A53AD7" w:rsidRDefault="002F2423" w:rsidP="00902237">
      <w:pPr>
        <w:pStyle w:val="a8"/>
        <w:ind w:left="0" w:firstLine="851"/>
        <w:jc w:val="both"/>
        <w:rPr>
          <w:sz w:val="28"/>
          <w:szCs w:val="28"/>
        </w:rPr>
      </w:pPr>
      <w:r w:rsidRPr="00A53AD7">
        <w:rPr>
          <w:sz w:val="28"/>
          <w:szCs w:val="28"/>
        </w:rPr>
        <w:t>Госпрограммой Архангельской области показатель «уровень безработицы (по методологии Международной организаци</w:t>
      </w:r>
      <w:r w:rsidR="00902237" w:rsidRPr="00A53AD7">
        <w:rPr>
          <w:sz w:val="28"/>
          <w:szCs w:val="28"/>
        </w:rPr>
        <w:t>и труда)» установлен в размере:</w:t>
      </w:r>
    </w:p>
    <w:tbl>
      <w:tblPr>
        <w:tblStyle w:val="a7"/>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2343"/>
        <w:gridCol w:w="2327"/>
        <w:gridCol w:w="2327"/>
        <w:gridCol w:w="2327"/>
      </w:tblGrid>
      <w:tr w:rsidR="00D470B6" w:rsidRPr="00A53AD7" w14:paraId="1BB87408" w14:textId="77777777" w:rsidTr="00C746B8">
        <w:tc>
          <w:tcPr>
            <w:tcW w:w="2392" w:type="dxa"/>
            <w:vMerge w:val="restart"/>
            <w:vAlign w:val="center"/>
          </w:tcPr>
          <w:p w14:paraId="46610D60" w14:textId="77777777" w:rsidR="002F2423" w:rsidRPr="00A53AD7" w:rsidRDefault="002F2423" w:rsidP="00902237">
            <w:pPr>
              <w:spacing w:after="0" w:line="240" w:lineRule="auto"/>
              <w:jc w:val="both"/>
              <w:rPr>
                <w:rFonts w:ascii="Times New Roman" w:hAnsi="Times New Roman"/>
                <w:sz w:val="28"/>
                <w:szCs w:val="28"/>
              </w:rPr>
            </w:pPr>
            <w:r w:rsidRPr="00A53AD7">
              <w:rPr>
                <w:rFonts w:ascii="Times New Roman" w:hAnsi="Times New Roman"/>
                <w:sz w:val="18"/>
                <w:szCs w:val="18"/>
                <w:lang w:eastAsia="ru-RU"/>
              </w:rPr>
              <w:t>Редакция программы АО</w:t>
            </w:r>
          </w:p>
        </w:tc>
        <w:tc>
          <w:tcPr>
            <w:tcW w:w="7179" w:type="dxa"/>
            <w:gridSpan w:val="3"/>
          </w:tcPr>
          <w:p w14:paraId="144AFC29" w14:textId="77777777" w:rsidR="002F2423" w:rsidRPr="00A53AD7" w:rsidRDefault="002F2423" w:rsidP="00902237">
            <w:pPr>
              <w:spacing w:after="0" w:line="240" w:lineRule="auto"/>
              <w:jc w:val="both"/>
              <w:rPr>
                <w:rFonts w:ascii="Times New Roman" w:hAnsi="Times New Roman"/>
                <w:sz w:val="28"/>
                <w:szCs w:val="28"/>
              </w:rPr>
            </w:pPr>
            <w:r w:rsidRPr="00A53AD7">
              <w:rPr>
                <w:rFonts w:ascii="Times New Roman" w:hAnsi="Times New Roman"/>
                <w:sz w:val="18"/>
                <w:szCs w:val="18"/>
                <w:lang w:eastAsia="ru-RU"/>
              </w:rPr>
              <w:t>Уровень безработицы (по методологии Международной организации труда), %</w:t>
            </w:r>
          </w:p>
        </w:tc>
      </w:tr>
      <w:tr w:rsidR="00D470B6" w:rsidRPr="00A53AD7" w14:paraId="63D54FDD" w14:textId="77777777" w:rsidTr="00C746B8">
        <w:tc>
          <w:tcPr>
            <w:tcW w:w="2392" w:type="dxa"/>
            <w:vMerge/>
          </w:tcPr>
          <w:p w14:paraId="0E482728" w14:textId="77777777" w:rsidR="002F2423" w:rsidRPr="00A53AD7" w:rsidRDefault="002F2423" w:rsidP="00902237">
            <w:pPr>
              <w:spacing w:after="0" w:line="240" w:lineRule="auto"/>
              <w:jc w:val="both"/>
              <w:rPr>
                <w:rFonts w:ascii="Times New Roman" w:hAnsi="Times New Roman"/>
                <w:sz w:val="28"/>
                <w:szCs w:val="28"/>
              </w:rPr>
            </w:pPr>
          </w:p>
        </w:tc>
        <w:tc>
          <w:tcPr>
            <w:tcW w:w="2393" w:type="dxa"/>
            <w:vAlign w:val="center"/>
          </w:tcPr>
          <w:p w14:paraId="0112F19E"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2018</w:t>
            </w:r>
          </w:p>
        </w:tc>
        <w:tc>
          <w:tcPr>
            <w:tcW w:w="2393" w:type="dxa"/>
            <w:vAlign w:val="center"/>
          </w:tcPr>
          <w:p w14:paraId="4ECBE3D5"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2019</w:t>
            </w:r>
          </w:p>
        </w:tc>
        <w:tc>
          <w:tcPr>
            <w:tcW w:w="2393" w:type="dxa"/>
            <w:vAlign w:val="center"/>
          </w:tcPr>
          <w:p w14:paraId="7EF04D60"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2020</w:t>
            </w:r>
          </w:p>
        </w:tc>
      </w:tr>
      <w:tr w:rsidR="00D470B6" w:rsidRPr="00A53AD7" w14:paraId="09FC49C6" w14:textId="77777777" w:rsidTr="00902237">
        <w:trPr>
          <w:trHeight w:val="119"/>
        </w:trPr>
        <w:tc>
          <w:tcPr>
            <w:tcW w:w="2392" w:type="dxa"/>
            <w:vAlign w:val="center"/>
          </w:tcPr>
          <w:p w14:paraId="0965B205" w14:textId="77777777" w:rsidR="002F2423" w:rsidRPr="00A53AD7" w:rsidRDefault="002F2423" w:rsidP="00902237">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08.10.2013</w:t>
            </w:r>
          </w:p>
        </w:tc>
        <w:tc>
          <w:tcPr>
            <w:tcW w:w="2393" w:type="dxa"/>
            <w:vAlign w:val="center"/>
          </w:tcPr>
          <w:p w14:paraId="1D6B3067"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5,3</w:t>
            </w:r>
          </w:p>
        </w:tc>
        <w:tc>
          <w:tcPr>
            <w:tcW w:w="2393" w:type="dxa"/>
            <w:vAlign w:val="center"/>
          </w:tcPr>
          <w:p w14:paraId="342C96F1"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5,2</w:t>
            </w:r>
          </w:p>
        </w:tc>
        <w:tc>
          <w:tcPr>
            <w:tcW w:w="2393" w:type="dxa"/>
            <w:vAlign w:val="center"/>
          </w:tcPr>
          <w:p w14:paraId="2DA765E2"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5,2</w:t>
            </w:r>
          </w:p>
        </w:tc>
      </w:tr>
      <w:tr w:rsidR="00D470B6" w:rsidRPr="00A53AD7" w14:paraId="57BB5F0A" w14:textId="77777777" w:rsidTr="00C746B8">
        <w:trPr>
          <w:trHeight w:val="194"/>
        </w:trPr>
        <w:tc>
          <w:tcPr>
            <w:tcW w:w="2392" w:type="dxa"/>
            <w:vAlign w:val="center"/>
          </w:tcPr>
          <w:p w14:paraId="2EA6ED06" w14:textId="77777777" w:rsidR="002F2423" w:rsidRPr="00A53AD7" w:rsidRDefault="002F2423" w:rsidP="00902237">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26.12.2018</w:t>
            </w:r>
          </w:p>
        </w:tc>
        <w:tc>
          <w:tcPr>
            <w:tcW w:w="2393" w:type="dxa"/>
          </w:tcPr>
          <w:p w14:paraId="54DFCC94"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28B83BF5"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3EE0F8F3"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r>
      <w:tr w:rsidR="002F2423" w:rsidRPr="00A53AD7" w14:paraId="6F6E7620" w14:textId="77777777" w:rsidTr="00C746B8">
        <w:tc>
          <w:tcPr>
            <w:tcW w:w="2392" w:type="dxa"/>
            <w:vAlign w:val="center"/>
          </w:tcPr>
          <w:p w14:paraId="4A39D787" w14:textId="77777777" w:rsidR="002F2423" w:rsidRPr="00A53AD7" w:rsidRDefault="002F2423" w:rsidP="00902237">
            <w:pPr>
              <w:spacing w:after="0" w:line="240" w:lineRule="auto"/>
              <w:jc w:val="both"/>
              <w:rPr>
                <w:rFonts w:ascii="Times New Roman" w:hAnsi="Times New Roman"/>
                <w:sz w:val="18"/>
                <w:szCs w:val="18"/>
                <w:lang w:eastAsia="ru-RU"/>
              </w:rPr>
            </w:pPr>
            <w:r w:rsidRPr="00A53AD7">
              <w:rPr>
                <w:rFonts w:ascii="Times New Roman" w:hAnsi="Times New Roman"/>
                <w:sz w:val="18"/>
                <w:szCs w:val="18"/>
                <w:lang w:eastAsia="ru-RU"/>
              </w:rPr>
              <w:t>ред. от 24.12.2019</w:t>
            </w:r>
          </w:p>
        </w:tc>
        <w:tc>
          <w:tcPr>
            <w:tcW w:w="2393" w:type="dxa"/>
          </w:tcPr>
          <w:p w14:paraId="280E282B"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4227B018"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c>
          <w:tcPr>
            <w:tcW w:w="2393" w:type="dxa"/>
          </w:tcPr>
          <w:p w14:paraId="079B6496" w14:textId="77777777" w:rsidR="002F2423" w:rsidRPr="00A53AD7" w:rsidRDefault="002F2423" w:rsidP="00902237">
            <w:pPr>
              <w:spacing w:after="0" w:line="240" w:lineRule="auto"/>
              <w:jc w:val="center"/>
              <w:rPr>
                <w:rFonts w:ascii="Times New Roman" w:hAnsi="Times New Roman"/>
                <w:sz w:val="18"/>
                <w:szCs w:val="18"/>
                <w:lang w:eastAsia="ru-RU"/>
              </w:rPr>
            </w:pPr>
            <w:r w:rsidRPr="00A53AD7">
              <w:rPr>
                <w:rFonts w:ascii="Times New Roman" w:hAnsi="Times New Roman"/>
                <w:sz w:val="18"/>
                <w:szCs w:val="18"/>
                <w:lang w:eastAsia="ru-RU"/>
              </w:rPr>
              <w:t>6,9</w:t>
            </w:r>
          </w:p>
        </w:tc>
      </w:tr>
    </w:tbl>
    <w:p w14:paraId="5B8D1D5C" w14:textId="77777777" w:rsidR="00902237" w:rsidRPr="00A53AD7" w:rsidRDefault="00902237" w:rsidP="00902237">
      <w:pPr>
        <w:pStyle w:val="a8"/>
        <w:ind w:left="0" w:firstLine="851"/>
        <w:jc w:val="both"/>
        <w:rPr>
          <w:sz w:val="28"/>
          <w:szCs w:val="28"/>
        </w:rPr>
      </w:pPr>
    </w:p>
    <w:p w14:paraId="7BB6AD32" w14:textId="509BC46E" w:rsidR="002F2423" w:rsidRPr="00A53AD7" w:rsidRDefault="002F2423" w:rsidP="00902237">
      <w:pPr>
        <w:pStyle w:val="a8"/>
        <w:ind w:left="0" w:firstLine="851"/>
        <w:jc w:val="both"/>
        <w:rPr>
          <w:sz w:val="28"/>
          <w:szCs w:val="28"/>
        </w:rPr>
      </w:pPr>
      <w:r w:rsidRPr="00A53AD7">
        <w:rPr>
          <w:sz w:val="28"/>
          <w:szCs w:val="28"/>
        </w:rPr>
        <w:t>Из чего следует, что установленный госпрограммой Архангельской области уровень безработицы (по методологии Международной организации труда) в 2019 году не менялся. Согласно данным Федеральной службы государственной статистики РФ уровень безработицы для населения в возрасте 15-72 лет в регионе составил 2018 - 6,3 %, 2019 - 6,2 %, тогда как общероссийский показатель 2018 год - 4,8 %, 2019 - 4,6</w:t>
      </w:r>
      <w:r w:rsidR="00902237" w:rsidRPr="00A53AD7">
        <w:rPr>
          <w:sz w:val="28"/>
          <w:szCs w:val="28"/>
        </w:rPr>
        <w:t xml:space="preserve"> %.</w:t>
      </w:r>
    </w:p>
    <w:p w14:paraId="2A1F55DF" w14:textId="77777777" w:rsidR="002F2423" w:rsidRPr="00A53AD7" w:rsidRDefault="002F2423" w:rsidP="00902237">
      <w:pPr>
        <w:pStyle w:val="a8"/>
        <w:ind w:left="0" w:firstLine="851"/>
        <w:jc w:val="both"/>
        <w:rPr>
          <w:sz w:val="28"/>
          <w:szCs w:val="28"/>
        </w:rPr>
      </w:pPr>
      <w:r w:rsidRPr="00A53AD7">
        <w:rPr>
          <w:sz w:val="28"/>
          <w:szCs w:val="28"/>
        </w:rPr>
        <w:t xml:space="preserve">Таким образом, уровень безработицы в Архангельской области в 2019 году значительно превышал общероссийский. Значения показателя «уровень безработицы в Архангельской области», утвержденные госпрограммой Архангельской области на 2019 и 2020 годы, фактически направлены на ее поддержание на определенном уровне и не предусматривают ее снижение. </w:t>
      </w:r>
    </w:p>
    <w:p w14:paraId="0F2E057C" w14:textId="2708CCF8" w:rsidR="002F2423" w:rsidRPr="00A53AD7" w:rsidRDefault="002F2423" w:rsidP="00902237">
      <w:pPr>
        <w:pStyle w:val="a8"/>
        <w:ind w:left="0" w:firstLine="851"/>
        <w:jc w:val="both"/>
        <w:rPr>
          <w:sz w:val="28"/>
          <w:szCs w:val="28"/>
        </w:rPr>
      </w:pPr>
      <w:r w:rsidRPr="00A53AD7">
        <w:rPr>
          <w:sz w:val="28"/>
          <w:szCs w:val="28"/>
        </w:rPr>
        <w:t>Согласно отчету о реализации в 2019 году госпрограммы, размещенному в КИАС</w:t>
      </w:r>
      <w:r w:rsidR="00715240" w:rsidRPr="00A53AD7">
        <w:rPr>
          <w:sz w:val="28"/>
          <w:szCs w:val="28"/>
        </w:rPr>
        <w:t xml:space="preserve"> Архангельской области</w:t>
      </w:r>
      <w:r w:rsidRPr="00A53AD7">
        <w:rPr>
          <w:sz w:val="28"/>
          <w:szCs w:val="28"/>
        </w:rPr>
        <w:t>, реализовывались мероприятия по пяти подпрограммам. Всего реализовывалось в 2019 году 45 мероприятий, из них на 24 мероприятия предусматривались денежные средства. Из 45 запланированных мероприятий нарушен план реализации 7 мероприятий по 3 подпрограммам, в том числе:</w:t>
      </w:r>
    </w:p>
    <w:p w14:paraId="17AC1179" w14:textId="77777777" w:rsidR="00715240" w:rsidRPr="00A53AD7" w:rsidRDefault="00715240" w:rsidP="00902237">
      <w:pPr>
        <w:pStyle w:val="a8"/>
        <w:ind w:left="0" w:firstLine="851"/>
        <w:jc w:val="both"/>
        <w:rPr>
          <w:sz w:val="28"/>
          <w:szCs w:val="28"/>
        </w:rPr>
      </w:pPr>
    </w:p>
    <w:p w14:paraId="739525BC" w14:textId="12D12B9B" w:rsidR="002F2423" w:rsidRPr="00A53AD7" w:rsidRDefault="002F2423" w:rsidP="00715240">
      <w:pPr>
        <w:pStyle w:val="a8"/>
        <w:ind w:left="0" w:firstLine="851"/>
        <w:jc w:val="both"/>
        <w:rPr>
          <w:sz w:val="28"/>
          <w:szCs w:val="28"/>
        </w:rPr>
      </w:pPr>
      <w:r w:rsidRPr="00A53AD7">
        <w:rPr>
          <w:sz w:val="28"/>
          <w:szCs w:val="28"/>
        </w:rPr>
        <w:t xml:space="preserve">1. Подпрограмма </w:t>
      </w:r>
      <w:r w:rsidR="00715240" w:rsidRPr="00A53AD7">
        <w:rPr>
          <w:sz w:val="28"/>
          <w:szCs w:val="28"/>
        </w:rPr>
        <w:t>№</w:t>
      </w:r>
      <w:r w:rsidRPr="00A53AD7">
        <w:rPr>
          <w:sz w:val="28"/>
          <w:szCs w:val="28"/>
        </w:rPr>
        <w:t> 1 «Активная политика занятости и социальная поддержка безработных граждан (2014-2024 годы)». Нарушен план реализации четырех мероприятий:</w:t>
      </w:r>
    </w:p>
    <w:p w14:paraId="3BD58646" w14:textId="77777777"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1.2. «Содействие гражданам в поиске подходящей работы, работодателям в подборе необходимых работников, в том числе организация мероприятий по профилированию безработных граждан» (при плановом значении выполнения мероприятия 24 000, фактическое значение показателя составило 21 631) по причине территориального и профессионально-квалификационного несоответствия спроса и предложения на рынке труда; роста числа отказов работодателей (либо отложенных приемов на работу) от кандидатов, направленных на заявленные вакансии;</w:t>
      </w:r>
    </w:p>
    <w:p w14:paraId="4CE230C6" w14:textId="77777777" w:rsidR="000A39F2" w:rsidRPr="00A53AD7" w:rsidRDefault="000A39F2"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1.4 «Организация временного трудоустройства несовершеннолетних граждан в возрасте от 14 до 18 лет в свободное от учебы время» (при плановом значении выполнения мероприятия 4 704, фактическое значение показателя составило 3 864) по причине низкой обращаемости несовершеннолетних граждан за предоставлением госуслуги по организации временного трудоустройства в свободное от учебы время, увеличения доли рабочих мест с вредными условиями, на которых запрещено применение труда лиц в возрасте до 18 лет;</w:t>
      </w:r>
    </w:p>
    <w:p w14:paraId="7F135C23" w14:textId="74B223B2"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2.3 «Содействие трудоустройству незанятых многодетных родителей, родителей, воспитывающих детей-инвалидов» (при плановом значении выполнения мероприятия 35, фактическое значение показателя составило 33) в связи с недостаточн</w:t>
      </w:r>
      <w:r w:rsidR="00715240" w:rsidRPr="00A53AD7">
        <w:rPr>
          <w:rFonts w:ascii="Times New Roman" w:eastAsia="Times New Roman" w:hAnsi="Times New Roman" w:cs="Courier New"/>
          <w:sz w:val="28"/>
          <w:szCs w:val="28"/>
          <w:lang w:eastAsia="ru-RU"/>
        </w:rPr>
        <w:t>ы</w:t>
      </w:r>
      <w:r w:rsidRPr="00A53AD7">
        <w:rPr>
          <w:rFonts w:ascii="Times New Roman" w:eastAsia="Times New Roman" w:hAnsi="Times New Roman" w:cs="Courier New"/>
          <w:sz w:val="28"/>
          <w:szCs w:val="28"/>
          <w:lang w:eastAsia="ru-RU"/>
        </w:rPr>
        <w:t>м количеством работодателей, обратившихся в службу занятости в целях возмещения затрат, понесенных на создание рабочих мест;</w:t>
      </w:r>
    </w:p>
    <w:p w14:paraId="24C29A23" w14:textId="77777777"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2.4 «Содействие трудоустройству молодежи» (при плановом значении выполнения мероприятия 60, фактическое значение показателя составило 41) по причине ужесточения порядка и условий предоставления субсидий работодателям на выплату компенсации расходов на трудоустройство молодого гражданина, недостаточное количество работодателей, обратившихся в службу занятости за выплатой компенсации расходов.</w:t>
      </w:r>
    </w:p>
    <w:p w14:paraId="589FE816" w14:textId="55C7A241" w:rsidR="002F2423" w:rsidRPr="00A53AD7" w:rsidRDefault="002F2423" w:rsidP="003B136C">
      <w:pPr>
        <w:pStyle w:val="a8"/>
        <w:ind w:left="0" w:firstLine="851"/>
        <w:jc w:val="both"/>
        <w:rPr>
          <w:sz w:val="28"/>
          <w:szCs w:val="28"/>
        </w:rPr>
      </w:pPr>
      <w:r w:rsidRPr="00A53AD7">
        <w:rPr>
          <w:sz w:val="28"/>
          <w:szCs w:val="28"/>
        </w:rPr>
        <w:t>Следует отметить, что по подпрограмме № 1 из четырех мероприятий, по которым в 2019 году нарушен план реализации, индикаторы трех мероприятий не были вып</w:t>
      </w:r>
      <w:r w:rsidR="003B136C" w:rsidRPr="00A53AD7">
        <w:rPr>
          <w:sz w:val="28"/>
          <w:szCs w:val="28"/>
        </w:rPr>
        <w:t>олнены и в 2018 году, а именно:</w:t>
      </w:r>
    </w:p>
    <w:p w14:paraId="099776C0" w14:textId="083DF4EA"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«Содействие гражданам в поиске подходящей работы, а работодателям - в подборе необходимых работников»;</w:t>
      </w:r>
    </w:p>
    <w:p w14:paraId="12B366AA" w14:textId="57037011"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«Организация временного трудоустройства несовершеннолетних граждан в возрасте от 14 до 18 лет в свободное от учебы время»;</w:t>
      </w:r>
    </w:p>
    <w:p w14:paraId="0776431B" w14:textId="27376614"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«Содействие трудоустройству молодежи».</w:t>
      </w:r>
    </w:p>
    <w:p w14:paraId="5EF910E3" w14:textId="77777777" w:rsidR="002F2423" w:rsidRPr="00A53AD7" w:rsidRDefault="002F2423" w:rsidP="003B136C">
      <w:pPr>
        <w:pStyle w:val="a8"/>
        <w:ind w:left="0" w:firstLine="851"/>
        <w:jc w:val="both"/>
        <w:rPr>
          <w:sz w:val="28"/>
          <w:szCs w:val="28"/>
        </w:rPr>
      </w:pPr>
      <w:r w:rsidRPr="00A53AD7">
        <w:rPr>
          <w:sz w:val="28"/>
          <w:szCs w:val="28"/>
        </w:rPr>
        <w:t>Вышеуказанные мероприятия, реализуются центрами занятости населения. При этом их финансирование осуществлялось в рамках мероприятия 6.1 «Обеспечение деятельности центров занятости населения, предоставляющих услуги в области содействия занятости населения». Объем выделенных ассигнований на 2019 год составил 276,4 млн.руб., кассовые расходы 270,2 млн.руб. или 97,7 % от выделенных ассигнований.</w:t>
      </w:r>
    </w:p>
    <w:p w14:paraId="1409C981" w14:textId="77777777" w:rsidR="002F2423" w:rsidRPr="00A53AD7" w:rsidRDefault="002F2423" w:rsidP="003B136C">
      <w:pPr>
        <w:pStyle w:val="a8"/>
        <w:ind w:left="0" w:firstLine="851"/>
        <w:jc w:val="both"/>
        <w:rPr>
          <w:sz w:val="28"/>
          <w:szCs w:val="28"/>
        </w:rPr>
      </w:pPr>
      <w:r w:rsidRPr="00A53AD7">
        <w:rPr>
          <w:sz w:val="28"/>
          <w:szCs w:val="28"/>
        </w:rPr>
        <w:t>Контрольно-счетная палата Архангельской области полагает, что систематическое невыполнение индикаторов мероприятий связано с состоянием экономики и рынка труда в регионе в целом, с нежеланием работодателей принимать на работу несовершеннолетних граждан по причине возможного проведения контролирующими органами дополнительных проверок, а также с качеством профилактической и разъяснительной работы, осуществляемой центрами занятости.</w:t>
      </w:r>
    </w:p>
    <w:p w14:paraId="56842910" w14:textId="011AD880" w:rsidR="002F2423" w:rsidRPr="00A53AD7" w:rsidRDefault="002F2423" w:rsidP="003B136C">
      <w:pPr>
        <w:pStyle w:val="a8"/>
        <w:ind w:left="0" w:firstLine="851"/>
        <w:jc w:val="both"/>
        <w:rPr>
          <w:sz w:val="28"/>
          <w:szCs w:val="28"/>
        </w:rPr>
      </w:pPr>
      <w:r w:rsidRPr="00A53AD7">
        <w:rPr>
          <w:sz w:val="28"/>
          <w:szCs w:val="28"/>
        </w:rPr>
        <w:t xml:space="preserve"> Все вышеперечисленное приводит к невыполнению целевых показателей, установленных для госпрограммы, как на региональном, так и на федеральном уровне, что в свою очередь ведет к снижению удовлетворенности граждан полнотой и качеством государственных услуг, оказываемых в области содействия занятости населения, и повышению социальной незащищенности и напряженности в обществе, в том числе среди молодежи</w:t>
      </w:r>
      <w:r w:rsidR="003B136C" w:rsidRPr="00A53AD7">
        <w:rPr>
          <w:sz w:val="28"/>
          <w:szCs w:val="28"/>
        </w:rPr>
        <w:t>.</w:t>
      </w:r>
    </w:p>
    <w:p w14:paraId="32D71A5B" w14:textId="77777777" w:rsidR="003B136C" w:rsidRPr="00A53AD7" w:rsidRDefault="003B136C" w:rsidP="003B136C">
      <w:pPr>
        <w:pStyle w:val="a8"/>
        <w:ind w:left="0" w:firstLine="851"/>
        <w:jc w:val="both"/>
        <w:rPr>
          <w:sz w:val="28"/>
          <w:szCs w:val="28"/>
        </w:rPr>
      </w:pPr>
    </w:p>
    <w:p w14:paraId="2728246E" w14:textId="5B51628E" w:rsidR="002F2423" w:rsidRPr="00A53AD7" w:rsidRDefault="002F2423" w:rsidP="003B136C">
      <w:pPr>
        <w:pStyle w:val="a8"/>
        <w:ind w:left="0" w:firstLine="851"/>
        <w:jc w:val="both"/>
        <w:rPr>
          <w:sz w:val="28"/>
          <w:szCs w:val="28"/>
        </w:rPr>
      </w:pPr>
      <w:r w:rsidRPr="00A53AD7">
        <w:rPr>
          <w:sz w:val="28"/>
          <w:szCs w:val="28"/>
        </w:rPr>
        <w:t xml:space="preserve">2. Подпрограмма </w:t>
      </w:r>
      <w:r w:rsidR="003B136C" w:rsidRPr="00A53AD7">
        <w:rPr>
          <w:sz w:val="28"/>
          <w:szCs w:val="28"/>
        </w:rPr>
        <w:t>№</w:t>
      </w:r>
      <w:r w:rsidRPr="00A53AD7">
        <w:rPr>
          <w:sz w:val="28"/>
          <w:szCs w:val="28"/>
        </w:rPr>
        <w:t xml:space="preserve"> 6 «Оказание содействия добровольному переселению в Архангельскую область соотечественников, проживающих за рубежом (2016-2024 годы)». Нарушен план реализации мероприятия 2.2. «Организация оказания медицинской помощи участникам Государственной программы Российской Федерации и членам их семей, переселившимся на постоянное место жительства в Архангельскую область, на условиях территориальной программы государственных гарантий бесплатного оказания гражданам медицинской помощи в Архангельской области» (при плановом значении выполнения мероприятия 20, фактическое значение показателя составило 0) в связи с тем, что граждане из числа участников Государственной программы Российской Федерации и членов их семей, переселивших на постоянное место жительства в Архангельскую область, за ме</w:t>
      </w:r>
      <w:r w:rsidR="003B136C" w:rsidRPr="00A53AD7">
        <w:rPr>
          <w:sz w:val="28"/>
          <w:szCs w:val="28"/>
        </w:rPr>
        <w:t>дицинской помощью не обращались.</w:t>
      </w:r>
    </w:p>
    <w:p w14:paraId="3BC7F501" w14:textId="77777777" w:rsidR="003B136C" w:rsidRPr="00A53AD7" w:rsidRDefault="003B136C" w:rsidP="003B136C">
      <w:pPr>
        <w:pStyle w:val="a8"/>
        <w:ind w:left="0" w:firstLine="851"/>
        <w:jc w:val="both"/>
        <w:rPr>
          <w:sz w:val="28"/>
          <w:szCs w:val="28"/>
        </w:rPr>
      </w:pPr>
    </w:p>
    <w:p w14:paraId="4A0A4CBA" w14:textId="6D5899E3" w:rsidR="002F2423" w:rsidRPr="00A53AD7" w:rsidRDefault="002F2423" w:rsidP="003B136C">
      <w:pPr>
        <w:pStyle w:val="a8"/>
        <w:ind w:left="0" w:firstLine="851"/>
        <w:jc w:val="both"/>
        <w:rPr>
          <w:sz w:val="28"/>
          <w:szCs w:val="28"/>
        </w:rPr>
      </w:pPr>
      <w:r w:rsidRPr="00A53AD7">
        <w:rPr>
          <w:sz w:val="28"/>
          <w:szCs w:val="28"/>
        </w:rPr>
        <w:t xml:space="preserve">3. Подпрограмма </w:t>
      </w:r>
      <w:r w:rsidR="003B136C" w:rsidRPr="00A53AD7">
        <w:rPr>
          <w:sz w:val="28"/>
          <w:szCs w:val="28"/>
        </w:rPr>
        <w:t>№</w:t>
      </w:r>
      <w:r w:rsidRPr="00A53AD7">
        <w:rPr>
          <w:sz w:val="28"/>
          <w:szCs w:val="28"/>
        </w:rPr>
        <w:t> 7 «Содействие занятости инвалидов, в том числе инвалидов молодого возраста при получении ими профессионального образования и последующем трудоустройстве, а также инвалидов, нуждающихся в сопровождаемом содействии их занятости (2018-2024 годы)». Нарушен план реализации двух мероприятий:</w:t>
      </w:r>
    </w:p>
    <w:p w14:paraId="082E6154" w14:textId="77777777"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1.1. «Организация сопровождения инвалидов молодого возраста при получении ими профессионального образования и содействия в последующем трудоустройстве» (при плановом значении выполнения мероприятия 70, фактическое значение показателя составило 41) в связи с тем, что низкая мотивация к поиску работы выпускников из числа инвалидов, невозможность трудоустройства по причине состояния здоровья, желание выпускников продолжить профессиональное обучение (в 2019 году завершили профессиональное обучение 50 выпускников, из них продолжили профессиональное обучение 11 человек, нуждались в трудоустройстве 39 человек, трудоустроены 16 человек);</w:t>
      </w:r>
    </w:p>
    <w:p w14:paraId="76587A40" w14:textId="77777777"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1.2 «Содействие трудоустройству незанятых инвалидов, в том числе инвалидов молодого возраста, на созданные (оснащенные) для них рабочие места» (при плановом значении выполнения мероприятия 30, фактическое значение показателя составило 28) по причине отсутствия работодателей, обратившихся в службу занятости в целях возмещения затрат, понесенных на создание рабочих мест.</w:t>
      </w:r>
    </w:p>
    <w:p w14:paraId="3B56E5EE" w14:textId="77777777" w:rsidR="002F2423" w:rsidRPr="00A53AD7" w:rsidRDefault="002F2423" w:rsidP="002F2423">
      <w:pPr>
        <w:spacing w:after="0" w:line="240" w:lineRule="auto"/>
        <w:contextualSpacing/>
        <w:jc w:val="both"/>
        <w:rPr>
          <w:rFonts w:ascii="Times New Roman" w:eastAsia="Times New Roman" w:hAnsi="Times New Roman"/>
          <w:sz w:val="28"/>
          <w:szCs w:val="28"/>
          <w:highlight w:val="cyan"/>
          <w:lang w:eastAsia="ru-RU"/>
        </w:rPr>
      </w:pPr>
    </w:p>
    <w:p w14:paraId="0FBFBEE5" w14:textId="640E93FE" w:rsidR="002F2423" w:rsidRPr="00A53AD7" w:rsidRDefault="002F2423" w:rsidP="003B136C">
      <w:pPr>
        <w:pStyle w:val="a8"/>
        <w:ind w:left="0" w:firstLine="851"/>
        <w:jc w:val="both"/>
        <w:rPr>
          <w:sz w:val="28"/>
          <w:szCs w:val="28"/>
        </w:rPr>
      </w:pPr>
      <w:r w:rsidRPr="00A53AD7">
        <w:rPr>
          <w:sz w:val="28"/>
          <w:szCs w:val="28"/>
        </w:rPr>
        <w:t xml:space="preserve">Из 38 запланированных на 2019 год целевых показателей, в отчетном периоде не достигнуто 10 (таблица </w:t>
      </w:r>
      <w:r w:rsidR="004073E7" w:rsidRPr="00A53AD7">
        <w:rPr>
          <w:sz w:val="28"/>
          <w:szCs w:val="28"/>
        </w:rPr>
        <w:t>40</w:t>
      </w:r>
      <w:r w:rsidRPr="00A53AD7">
        <w:rPr>
          <w:sz w:val="28"/>
          <w:szCs w:val="28"/>
        </w:rPr>
        <w:t>).</w:t>
      </w:r>
    </w:p>
    <w:p w14:paraId="33E836A6" w14:textId="77777777" w:rsidR="003B136C" w:rsidRPr="00A53AD7" w:rsidRDefault="003B136C" w:rsidP="003B136C">
      <w:pPr>
        <w:autoSpaceDE w:val="0"/>
        <w:autoSpaceDN w:val="0"/>
        <w:adjustRightInd w:val="0"/>
        <w:spacing w:after="0" w:line="240" w:lineRule="auto"/>
        <w:jc w:val="both"/>
        <w:rPr>
          <w:rFonts w:ascii="Times New Roman" w:hAnsi="Times New Roman"/>
          <w:sz w:val="24"/>
          <w:szCs w:val="24"/>
        </w:rPr>
      </w:pPr>
    </w:p>
    <w:p w14:paraId="4A0B0C17" w14:textId="606593E9" w:rsidR="002F2423" w:rsidRPr="00A53AD7" w:rsidRDefault="003B136C" w:rsidP="003B136C">
      <w:pPr>
        <w:autoSpaceDE w:val="0"/>
        <w:autoSpaceDN w:val="0"/>
        <w:adjustRightInd w:val="0"/>
        <w:spacing w:after="0" w:line="240" w:lineRule="auto"/>
        <w:jc w:val="both"/>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40</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2F2423" w:rsidRPr="00A53AD7">
        <w:rPr>
          <w:rFonts w:ascii="Times New Roman" w:hAnsi="Times New Roman"/>
          <w:sz w:val="24"/>
          <w:szCs w:val="24"/>
        </w:rPr>
        <w:t>Целевые показатели, не достигнутые в 2019 году</w:t>
      </w:r>
    </w:p>
    <w:tbl>
      <w:tblPr>
        <w:tblW w:w="9654" w:type="dxa"/>
        <w:tblInd w:w="93" w:type="dxa"/>
        <w:tblLayout w:type="fixed"/>
        <w:tblLook w:val="04A0" w:firstRow="1" w:lastRow="0" w:firstColumn="1" w:lastColumn="0" w:noHBand="0" w:noVBand="1"/>
      </w:tblPr>
      <w:tblGrid>
        <w:gridCol w:w="2495"/>
        <w:gridCol w:w="1202"/>
        <w:gridCol w:w="1151"/>
        <w:gridCol w:w="1281"/>
        <w:gridCol w:w="1134"/>
        <w:gridCol w:w="2391"/>
      </w:tblGrid>
      <w:tr w:rsidR="00D470B6" w:rsidRPr="00A53AD7" w14:paraId="103B60B0" w14:textId="77777777" w:rsidTr="00C746B8">
        <w:trPr>
          <w:cantSplit/>
          <w:trHeight w:val="245"/>
          <w:tblHeader/>
        </w:trPr>
        <w:tc>
          <w:tcPr>
            <w:tcW w:w="2495" w:type="dxa"/>
            <w:vMerge w:val="restart"/>
            <w:tcBorders>
              <w:top w:val="double" w:sz="4" w:space="0" w:color="auto"/>
              <w:left w:val="double" w:sz="4" w:space="0" w:color="auto"/>
              <w:bottom w:val="single" w:sz="4" w:space="0" w:color="auto"/>
              <w:right w:val="single" w:sz="4" w:space="0" w:color="auto"/>
            </w:tcBorders>
            <w:shd w:val="clear" w:color="000000" w:fill="FFFFFF"/>
            <w:vAlign w:val="center"/>
            <w:hideMark/>
          </w:tcPr>
          <w:p w14:paraId="24DBB156"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целевого показателя</w:t>
            </w:r>
          </w:p>
        </w:tc>
        <w:tc>
          <w:tcPr>
            <w:tcW w:w="1202"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1B2F0810"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Единица измерения</w:t>
            </w:r>
          </w:p>
        </w:tc>
        <w:tc>
          <w:tcPr>
            <w:tcW w:w="3566" w:type="dxa"/>
            <w:gridSpan w:val="3"/>
            <w:tcBorders>
              <w:top w:val="double" w:sz="4" w:space="0" w:color="auto"/>
              <w:left w:val="single" w:sz="4" w:space="0" w:color="auto"/>
              <w:bottom w:val="single" w:sz="4" w:space="0" w:color="auto"/>
              <w:right w:val="single" w:sz="4" w:space="0" w:color="auto"/>
            </w:tcBorders>
            <w:shd w:val="clear" w:color="000000" w:fill="FFFFFF"/>
            <w:vAlign w:val="center"/>
            <w:hideMark/>
          </w:tcPr>
          <w:p w14:paraId="7654FCCA"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Значение целевых показателей</w:t>
            </w:r>
          </w:p>
        </w:tc>
        <w:tc>
          <w:tcPr>
            <w:tcW w:w="2391" w:type="dxa"/>
            <w:vMerge w:val="restart"/>
            <w:tcBorders>
              <w:top w:val="double" w:sz="4" w:space="0" w:color="auto"/>
              <w:left w:val="single" w:sz="4" w:space="0" w:color="auto"/>
              <w:bottom w:val="single" w:sz="4" w:space="0" w:color="auto"/>
              <w:right w:val="double" w:sz="4" w:space="0" w:color="auto"/>
            </w:tcBorders>
            <w:shd w:val="clear" w:color="000000" w:fill="FFFFFF"/>
            <w:vAlign w:val="center"/>
            <w:hideMark/>
          </w:tcPr>
          <w:p w14:paraId="3572CD51"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Обоснование отклонений значений целевого показателя за отчетный период (год)</w:t>
            </w:r>
          </w:p>
        </w:tc>
      </w:tr>
      <w:tr w:rsidR="00D470B6" w:rsidRPr="00A53AD7" w14:paraId="1CAD5322" w14:textId="77777777" w:rsidTr="00C746B8">
        <w:trPr>
          <w:cantSplit/>
          <w:trHeight w:val="660"/>
          <w:tblHeader/>
        </w:trPr>
        <w:tc>
          <w:tcPr>
            <w:tcW w:w="2495" w:type="dxa"/>
            <w:vMerge/>
            <w:tcBorders>
              <w:left w:val="double" w:sz="4" w:space="0" w:color="auto"/>
              <w:bottom w:val="single" w:sz="4" w:space="0" w:color="auto"/>
              <w:right w:val="nil"/>
            </w:tcBorders>
            <w:vAlign w:val="center"/>
            <w:hideMark/>
          </w:tcPr>
          <w:p w14:paraId="50F9059F" w14:textId="77777777" w:rsidR="002F2423" w:rsidRPr="00A53AD7" w:rsidRDefault="002F2423" w:rsidP="00C746B8">
            <w:pPr>
              <w:spacing w:after="0" w:line="240" w:lineRule="auto"/>
              <w:jc w:val="center"/>
              <w:rPr>
                <w:rFonts w:ascii="Times New Roman" w:eastAsia="Times New Roman" w:hAnsi="Times New Roman"/>
                <w:lang w:eastAsia="ru-RU"/>
              </w:rPr>
            </w:pPr>
          </w:p>
        </w:tc>
        <w:tc>
          <w:tcPr>
            <w:tcW w:w="1202" w:type="dxa"/>
            <w:vMerge/>
            <w:tcBorders>
              <w:left w:val="single" w:sz="4" w:space="0" w:color="auto"/>
              <w:bottom w:val="single" w:sz="4" w:space="0" w:color="auto"/>
              <w:right w:val="single" w:sz="4" w:space="0" w:color="auto"/>
            </w:tcBorders>
            <w:vAlign w:val="center"/>
            <w:hideMark/>
          </w:tcPr>
          <w:p w14:paraId="7C597BC0" w14:textId="77777777" w:rsidR="002F2423" w:rsidRPr="00A53AD7" w:rsidRDefault="002F2423" w:rsidP="00C746B8">
            <w:pPr>
              <w:spacing w:after="0" w:line="240" w:lineRule="auto"/>
              <w:jc w:val="center"/>
              <w:rPr>
                <w:rFonts w:ascii="Times New Roman" w:eastAsia="Times New Roman" w:hAnsi="Times New Roman"/>
                <w:lang w:eastAsia="ru-RU"/>
              </w:rPr>
            </w:pPr>
          </w:p>
        </w:tc>
        <w:tc>
          <w:tcPr>
            <w:tcW w:w="1151" w:type="dxa"/>
            <w:tcBorders>
              <w:top w:val="single" w:sz="4" w:space="0" w:color="auto"/>
              <w:left w:val="nil"/>
              <w:bottom w:val="single" w:sz="4" w:space="0" w:color="auto"/>
              <w:right w:val="single" w:sz="4" w:space="0" w:color="auto"/>
            </w:tcBorders>
            <w:shd w:val="clear" w:color="000000" w:fill="FFFFFF"/>
            <w:vAlign w:val="center"/>
            <w:hideMark/>
          </w:tcPr>
          <w:p w14:paraId="0FED7089"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плановое на отчетный год</w:t>
            </w:r>
          </w:p>
        </w:tc>
        <w:tc>
          <w:tcPr>
            <w:tcW w:w="1281" w:type="dxa"/>
            <w:tcBorders>
              <w:top w:val="single" w:sz="4" w:space="0" w:color="auto"/>
              <w:left w:val="nil"/>
              <w:bottom w:val="single" w:sz="4" w:space="0" w:color="auto"/>
              <w:right w:val="single" w:sz="4" w:space="0" w:color="auto"/>
            </w:tcBorders>
            <w:shd w:val="clear" w:color="000000" w:fill="FFFFFF"/>
            <w:vAlign w:val="center"/>
            <w:hideMark/>
          </w:tcPr>
          <w:p w14:paraId="2302EDF2"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фактическое за отчетный год</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426F1CE7"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Степень достижения показателя, %</w:t>
            </w:r>
          </w:p>
        </w:tc>
        <w:tc>
          <w:tcPr>
            <w:tcW w:w="2391" w:type="dxa"/>
            <w:vMerge/>
            <w:tcBorders>
              <w:left w:val="single" w:sz="4" w:space="0" w:color="auto"/>
              <w:bottom w:val="single" w:sz="4" w:space="0" w:color="auto"/>
              <w:right w:val="double" w:sz="4" w:space="0" w:color="auto"/>
            </w:tcBorders>
            <w:vAlign w:val="center"/>
            <w:hideMark/>
          </w:tcPr>
          <w:p w14:paraId="3BB4A867" w14:textId="77777777" w:rsidR="002F2423" w:rsidRPr="00A53AD7" w:rsidRDefault="002F2423" w:rsidP="00C746B8">
            <w:pPr>
              <w:spacing w:after="0" w:line="240" w:lineRule="auto"/>
              <w:jc w:val="center"/>
              <w:rPr>
                <w:rFonts w:ascii="Times New Roman" w:eastAsia="Times New Roman" w:hAnsi="Times New Roman"/>
                <w:lang w:eastAsia="ru-RU"/>
              </w:rPr>
            </w:pPr>
          </w:p>
        </w:tc>
      </w:tr>
      <w:tr w:rsidR="00D470B6" w:rsidRPr="00A53AD7" w14:paraId="7E056AF5" w14:textId="77777777" w:rsidTr="00C746B8">
        <w:trPr>
          <w:trHeight w:val="435"/>
        </w:trPr>
        <w:tc>
          <w:tcPr>
            <w:tcW w:w="9654" w:type="dxa"/>
            <w:gridSpan w:val="6"/>
            <w:tcBorders>
              <w:top w:val="single" w:sz="4" w:space="0" w:color="auto"/>
              <w:left w:val="double" w:sz="4" w:space="0" w:color="auto"/>
              <w:bottom w:val="single" w:sz="4" w:space="0" w:color="auto"/>
              <w:right w:val="double" w:sz="4" w:space="0" w:color="auto"/>
            </w:tcBorders>
            <w:shd w:val="clear" w:color="000000" w:fill="FFFFFF"/>
            <w:vAlign w:val="center"/>
            <w:hideMark/>
          </w:tcPr>
          <w:p w14:paraId="405AFF6A"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Государственная программа Архангельской области «Содействие занятости населения Архангельской области, улучшение условий и охраны труда (2014 – 2024 годы)»</w:t>
            </w:r>
          </w:p>
        </w:tc>
      </w:tr>
      <w:tr w:rsidR="00D470B6" w:rsidRPr="00A53AD7" w14:paraId="01316CB3" w14:textId="77777777" w:rsidTr="00C746B8">
        <w:trPr>
          <w:trHeight w:val="653"/>
        </w:trPr>
        <w:tc>
          <w:tcPr>
            <w:tcW w:w="2495" w:type="dxa"/>
            <w:tcBorders>
              <w:top w:val="nil"/>
              <w:left w:val="double" w:sz="4" w:space="0" w:color="auto"/>
              <w:bottom w:val="single" w:sz="4" w:space="0" w:color="auto"/>
              <w:right w:val="nil"/>
            </w:tcBorders>
            <w:shd w:val="clear" w:color="000000" w:fill="FFFFFF"/>
            <w:vAlign w:val="center"/>
            <w:hideMark/>
          </w:tcPr>
          <w:p w14:paraId="30E536F6"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 Удельный вес работников, занятых во вредных и (или) опасных условиях труда, от общей численности работников</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647A3BE1"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hideMark/>
          </w:tcPr>
          <w:p w14:paraId="40580FA3"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27,00</w:t>
            </w:r>
          </w:p>
        </w:tc>
        <w:tc>
          <w:tcPr>
            <w:tcW w:w="1281" w:type="dxa"/>
            <w:tcBorders>
              <w:top w:val="nil"/>
              <w:left w:val="nil"/>
              <w:bottom w:val="single" w:sz="4" w:space="0" w:color="auto"/>
              <w:right w:val="single" w:sz="4" w:space="0" w:color="auto"/>
            </w:tcBorders>
            <w:shd w:val="clear" w:color="000000" w:fill="FFFFFF"/>
            <w:vAlign w:val="center"/>
            <w:hideMark/>
          </w:tcPr>
          <w:p w14:paraId="0D5CC572"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31,30</w:t>
            </w:r>
          </w:p>
        </w:tc>
        <w:tc>
          <w:tcPr>
            <w:tcW w:w="1134" w:type="dxa"/>
            <w:tcBorders>
              <w:top w:val="nil"/>
              <w:left w:val="nil"/>
              <w:bottom w:val="single" w:sz="4" w:space="0" w:color="auto"/>
              <w:right w:val="single" w:sz="4" w:space="0" w:color="auto"/>
            </w:tcBorders>
            <w:shd w:val="clear" w:color="000000" w:fill="FFFFFF"/>
            <w:vAlign w:val="center"/>
            <w:hideMark/>
          </w:tcPr>
          <w:p w14:paraId="3B0F691A"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86,30</w:t>
            </w:r>
          </w:p>
        </w:tc>
        <w:tc>
          <w:tcPr>
            <w:tcW w:w="2391" w:type="dxa"/>
            <w:tcBorders>
              <w:top w:val="nil"/>
              <w:left w:val="nil"/>
              <w:bottom w:val="single" w:sz="4" w:space="0" w:color="auto"/>
              <w:right w:val="double" w:sz="4" w:space="0" w:color="auto"/>
            </w:tcBorders>
            <w:shd w:val="clear" w:color="000000" w:fill="FFFFFF"/>
            <w:vAlign w:val="center"/>
            <w:hideMark/>
          </w:tcPr>
          <w:p w14:paraId="593FD73F"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изменения методики оценки условий труда по биологическому фактору, рост вредности в медучреждениях</w:t>
            </w:r>
          </w:p>
        </w:tc>
      </w:tr>
      <w:tr w:rsidR="00D470B6" w:rsidRPr="00A53AD7" w14:paraId="133474F9" w14:textId="77777777" w:rsidTr="00C746B8">
        <w:trPr>
          <w:trHeight w:val="749"/>
        </w:trPr>
        <w:tc>
          <w:tcPr>
            <w:tcW w:w="2495" w:type="dxa"/>
            <w:tcBorders>
              <w:top w:val="nil"/>
              <w:left w:val="double" w:sz="4" w:space="0" w:color="auto"/>
              <w:bottom w:val="single" w:sz="4" w:space="0" w:color="auto"/>
              <w:right w:val="nil"/>
            </w:tcBorders>
            <w:shd w:val="clear" w:color="000000" w:fill="FFFFFF"/>
            <w:vAlign w:val="center"/>
            <w:hideMark/>
          </w:tcPr>
          <w:p w14:paraId="6023B637"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7. Доля работающих инвалидов трудоспособного возраста в общей численности инвалидов трудоспособного возраста</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551235B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hideMark/>
          </w:tcPr>
          <w:p w14:paraId="36A4B68E"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40,00</w:t>
            </w:r>
          </w:p>
        </w:tc>
        <w:tc>
          <w:tcPr>
            <w:tcW w:w="1281" w:type="dxa"/>
            <w:tcBorders>
              <w:top w:val="nil"/>
              <w:left w:val="nil"/>
              <w:bottom w:val="single" w:sz="4" w:space="0" w:color="auto"/>
              <w:right w:val="single" w:sz="4" w:space="0" w:color="auto"/>
            </w:tcBorders>
            <w:shd w:val="clear" w:color="000000" w:fill="FFFFFF"/>
            <w:vAlign w:val="center"/>
            <w:hideMark/>
          </w:tcPr>
          <w:p w14:paraId="67FC3B14"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22,57</w:t>
            </w:r>
          </w:p>
        </w:tc>
        <w:tc>
          <w:tcPr>
            <w:tcW w:w="1134" w:type="dxa"/>
            <w:tcBorders>
              <w:top w:val="nil"/>
              <w:left w:val="nil"/>
              <w:bottom w:val="single" w:sz="4" w:space="0" w:color="auto"/>
              <w:right w:val="single" w:sz="4" w:space="0" w:color="auto"/>
            </w:tcBorders>
            <w:shd w:val="clear" w:color="000000" w:fill="FFFFFF"/>
            <w:vAlign w:val="center"/>
            <w:hideMark/>
          </w:tcPr>
          <w:p w14:paraId="527351C5"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56,43</w:t>
            </w:r>
          </w:p>
        </w:tc>
        <w:tc>
          <w:tcPr>
            <w:tcW w:w="2391" w:type="dxa"/>
            <w:tcBorders>
              <w:top w:val="nil"/>
              <w:left w:val="nil"/>
              <w:bottom w:val="single" w:sz="4" w:space="0" w:color="auto"/>
              <w:right w:val="double" w:sz="4" w:space="0" w:color="auto"/>
            </w:tcBorders>
            <w:shd w:val="clear" w:color="000000" w:fill="FFFFFF"/>
            <w:vAlign w:val="center"/>
            <w:hideMark/>
          </w:tcPr>
          <w:p w14:paraId="2D14D4CD"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 сравнению с другими категориями населения, инвалиды менее востребованы на рынке труда в связи с отсутствием мотивации, состояния здоровья</w:t>
            </w:r>
          </w:p>
        </w:tc>
      </w:tr>
      <w:tr w:rsidR="00D470B6" w:rsidRPr="00A53AD7" w14:paraId="42619057" w14:textId="77777777" w:rsidTr="00C746B8">
        <w:trPr>
          <w:trHeight w:val="255"/>
        </w:trPr>
        <w:tc>
          <w:tcPr>
            <w:tcW w:w="9654" w:type="dxa"/>
            <w:gridSpan w:val="6"/>
            <w:tcBorders>
              <w:top w:val="single" w:sz="4" w:space="0" w:color="auto"/>
              <w:left w:val="double" w:sz="4" w:space="0" w:color="auto"/>
              <w:bottom w:val="single" w:sz="4" w:space="0" w:color="auto"/>
              <w:right w:val="double" w:sz="4" w:space="0" w:color="auto"/>
            </w:tcBorders>
            <w:shd w:val="clear" w:color="000000" w:fill="FFFFFF"/>
            <w:noWrap/>
            <w:vAlign w:val="center"/>
            <w:hideMark/>
          </w:tcPr>
          <w:p w14:paraId="5E78264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 1 «Активная политика занятости и социальная поддержка безработных граждан (2014 – 2024 годы)»</w:t>
            </w:r>
          </w:p>
        </w:tc>
      </w:tr>
      <w:tr w:rsidR="00D470B6" w:rsidRPr="00A53AD7" w14:paraId="7468CA2E" w14:textId="77777777" w:rsidTr="00C746B8">
        <w:trPr>
          <w:trHeight w:val="1250"/>
        </w:trPr>
        <w:tc>
          <w:tcPr>
            <w:tcW w:w="2495" w:type="dxa"/>
            <w:tcBorders>
              <w:top w:val="nil"/>
              <w:left w:val="double" w:sz="4" w:space="0" w:color="auto"/>
              <w:bottom w:val="single" w:sz="4" w:space="0" w:color="auto"/>
              <w:right w:val="nil"/>
            </w:tcBorders>
            <w:shd w:val="clear" w:color="000000" w:fill="FFFFFF"/>
            <w:vAlign w:val="center"/>
            <w:hideMark/>
          </w:tcPr>
          <w:p w14:paraId="33EB40EF"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8. Отношение численности граждан, снятых с регистрационного учета в связи с трудоустройством, к общей численности граждан, обратившихся в органы службы занятости населения за содействием в поиске подходящей работы</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6326D6CE"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hideMark/>
          </w:tcPr>
          <w:p w14:paraId="640B8FB3"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62,00</w:t>
            </w:r>
          </w:p>
        </w:tc>
        <w:tc>
          <w:tcPr>
            <w:tcW w:w="1281" w:type="dxa"/>
            <w:tcBorders>
              <w:top w:val="nil"/>
              <w:left w:val="nil"/>
              <w:bottom w:val="single" w:sz="4" w:space="0" w:color="auto"/>
              <w:right w:val="single" w:sz="4" w:space="0" w:color="auto"/>
            </w:tcBorders>
            <w:shd w:val="clear" w:color="000000" w:fill="FFFFFF"/>
            <w:vAlign w:val="center"/>
            <w:hideMark/>
          </w:tcPr>
          <w:p w14:paraId="2A94B154"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56,10</w:t>
            </w:r>
          </w:p>
        </w:tc>
        <w:tc>
          <w:tcPr>
            <w:tcW w:w="1134" w:type="dxa"/>
            <w:tcBorders>
              <w:top w:val="nil"/>
              <w:left w:val="nil"/>
              <w:bottom w:val="single" w:sz="4" w:space="0" w:color="auto"/>
              <w:right w:val="single" w:sz="4" w:space="0" w:color="auto"/>
            </w:tcBorders>
            <w:shd w:val="clear" w:color="000000" w:fill="FFFFFF"/>
            <w:vAlign w:val="center"/>
            <w:hideMark/>
          </w:tcPr>
          <w:p w14:paraId="25639B30"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90,48</w:t>
            </w:r>
          </w:p>
        </w:tc>
        <w:tc>
          <w:tcPr>
            <w:tcW w:w="2391" w:type="dxa"/>
            <w:tcBorders>
              <w:top w:val="nil"/>
              <w:left w:val="nil"/>
              <w:bottom w:val="single" w:sz="4" w:space="0" w:color="auto"/>
              <w:right w:val="double" w:sz="4" w:space="0" w:color="auto"/>
            </w:tcBorders>
            <w:shd w:val="clear" w:color="000000" w:fill="FFFFFF"/>
            <w:vAlign w:val="center"/>
            <w:hideMark/>
          </w:tcPr>
          <w:p w14:paraId="794558B3" w14:textId="45C0F610"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территориальное и профессионально-квалификационное несоответствие спроса и предложения на рынке труда (недостаточное количество или отсутствие вакансий в сельских и отдаленных территориях), увеличение численности обратившихся в поиске работы граждан в возрастной категории от 45 до 60 лет</w:t>
            </w:r>
            <w:r w:rsidR="00E46634"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(с 9695 человек в 2018 году до 10200 человек в 2019 году), имеющих низкий спрос у работодателей</w:t>
            </w:r>
          </w:p>
        </w:tc>
      </w:tr>
      <w:tr w:rsidR="00D470B6" w:rsidRPr="00A53AD7" w14:paraId="7EBDFFB4" w14:textId="77777777" w:rsidTr="00C746B8">
        <w:trPr>
          <w:trHeight w:val="563"/>
        </w:trPr>
        <w:tc>
          <w:tcPr>
            <w:tcW w:w="2495" w:type="dxa"/>
            <w:tcBorders>
              <w:top w:val="nil"/>
              <w:left w:val="double" w:sz="4" w:space="0" w:color="auto"/>
              <w:bottom w:val="single" w:sz="4" w:space="0" w:color="auto"/>
              <w:right w:val="nil"/>
            </w:tcBorders>
            <w:shd w:val="clear" w:color="000000" w:fill="FFFFFF"/>
            <w:vAlign w:val="center"/>
            <w:hideMark/>
          </w:tcPr>
          <w:p w14:paraId="732129FD"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17. Доля трудоустроенных выпускников образовательных организаций в общей численности выпускников, обратившихся за содействием в поиске подходящей работы</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5A54C2AC"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hideMark/>
          </w:tcPr>
          <w:p w14:paraId="00BD32C1"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42,00</w:t>
            </w:r>
          </w:p>
        </w:tc>
        <w:tc>
          <w:tcPr>
            <w:tcW w:w="1281" w:type="dxa"/>
            <w:tcBorders>
              <w:top w:val="nil"/>
              <w:left w:val="nil"/>
              <w:bottom w:val="single" w:sz="4" w:space="0" w:color="auto"/>
              <w:right w:val="single" w:sz="4" w:space="0" w:color="auto"/>
            </w:tcBorders>
            <w:shd w:val="clear" w:color="000000" w:fill="FFFFFF"/>
            <w:vAlign w:val="center"/>
            <w:hideMark/>
          </w:tcPr>
          <w:p w14:paraId="7550C9A9"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31,90</w:t>
            </w:r>
          </w:p>
        </w:tc>
        <w:tc>
          <w:tcPr>
            <w:tcW w:w="1134" w:type="dxa"/>
            <w:tcBorders>
              <w:top w:val="nil"/>
              <w:left w:val="nil"/>
              <w:bottom w:val="single" w:sz="4" w:space="0" w:color="auto"/>
              <w:right w:val="single" w:sz="4" w:space="0" w:color="auto"/>
            </w:tcBorders>
            <w:shd w:val="clear" w:color="000000" w:fill="FFFFFF"/>
            <w:vAlign w:val="center"/>
            <w:hideMark/>
          </w:tcPr>
          <w:p w14:paraId="37555766"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75,95</w:t>
            </w:r>
          </w:p>
        </w:tc>
        <w:tc>
          <w:tcPr>
            <w:tcW w:w="2391" w:type="dxa"/>
            <w:tcBorders>
              <w:top w:val="nil"/>
              <w:left w:val="nil"/>
              <w:bottom w:val="single" w:sz="4" w:space="0" w:color="auto"/>
              <w:right w:val="double" w:sz="4" w:space="0" w:color="auto"/>
            </w:tcBorders>
            <w:shd w:val="clear" w:color="000000" w:fill="FFFFFF"/>
            <w:vAlign w:val="center"/>
            <w:hideMark/>
          </w:tcPr>
          <w:p w14:paraId="6006C4EF"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нежелание работодателей к найму работников, не имеющих профессионального образования или опыта работы</w:t>
            </w:r>
          </w:p>
        </w:tc>
      </w:tr>
      <w:tr w:rsidR="00D470B6" w:rsidRPr="00A53AD7" w14:paraId="706E4C35" w14:textId="77777777" w:rsidTr="00C746B8">
        <w:trPr>
          <w:trHeight w:val="255"/>
        </w:trPr>
        <w:tc>
          <w:tcPr>
            <w:tcW w:w="9654" w:type="dxa"/>
            <w:gridSpan w:val="6"/>
            <w:tcBorders>
              <w:top w:val="single" w:sz="4" w:space="0" w:color="auto"/>
              <w:left w:val="double" w:sz="4" w:space="0" w:color="auto"/>
              <w:bottom w:val="single" w:sz="4" w:space="0" w:color="auto"/>
              <w:right w:val="double" w:sz="4" w:space="0" w:color="auto"/>
            </w:tcBorders>
            <w:shd w:val="clear" w:color="000000" w:fill="FFFFFF"/>
            <w:noWrap/>
            <w:vAlign w:val="center"/>
            <w:hideMark/>
          </w:tcPr>
          <w:p w14:paraId="5A079865"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 2 «Улучшение условий и охраны труда в Архангельской области (2014 – 2024 годы)»</w:t>
            </w:r>
          </w:p>
        </w:tc>
      </w:tr>
      <w:tr w:rsidR="00D470B6" w:rsidRPr="00A53AD7" w14:paraId="5FEF0E7B" w14:textId="77777777" w:rsidTr="00C746B8">
        <w:trPr>
          <w:trHeight w:val="900"/>
        </w:trPr>
        <w:tc>
          <w:tcPr>
            <w:tcW w:w="2495" w:type="dxa"/>
            <w:tcBorders>
              <w:top w:val="nil"/>
              <w:left w:val="double" w:sz="4" w:space="0" w:color="auto"/>
              <w:bottom w:val="single" w:sz="4" w:space="0" w:color="auto"/>
              <w:right w:val="nil"/>
            </w:tcBorders>
            <w:shd w:val="clear" w:color="000000" w:fill="FFFFFF"/>
            <w:vAlign w:val="center"/>
            <w:hideMark/>
          </w:tcPr>
          <w:p w14:paraId="526E6E36"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23. Количество дней временной нетрудоспособности в связи с несчастным случаем на производстве в расчете на одного пострадавшего</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7186E940"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дней</w:t>
            </w:r>
          </w:p>
        </w:tc>
        <w:tc>
          <w:tcPr>
            <w:tcW w:w="1151" w:type="dxa"/>
            <w:tcBorders>
              <w:top w:val="nil"/>
              <w:left w:val="nil"/>
              <w:bottom w:val="single" w:sz="4" w:space="0" w:color="auto"/>
              <w:right w:val="single" w:sz="4" w:space="0" w:color="auto"/>
            </w:tcBorders>
            <w:shd w:val="clear" w:color="000000" w:fill="FFFFFF"/>
            <w:vAlign w:val="center"/>
            <w:hideMark/>
          </w:tcPr>
          <w:p w14:paraId="5FAF4212"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44,00</w:t>
            </w:r>
          </w:p>
        </w:tc>
        <w:tc>
          <w:tcPr>
            <w:tcW w:w="1281" w:type="dxa"/>
            <w:tcBorders>
              <w:top w:val="nil"/>
              <w:left w:val="nil"/>
              <w:bottom w:val="single" w:sz="4" w:space="0" w:color="auto"/>
              <w:right w:val="single" w:sz="4" w:space="0" w:color="auto"/>
            </w:tcBorders>
            <w:shd w:val="clear" w:color="000000" w:fill="FFFFFF"/>
            <w:vAlign w:val="center"/>
            <w:hideMark/>
          </w:tcPr>
          <w:p w14:paraId="61869643"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53,40</w:t>
            </w:r>
          </w:p>
        </w:tc>
        <w:tc>
          <w:tcPr>
            <w:tcW w:w="1134" w:type="dxa"/>
            <w:tcBorders>
              <w:top w:val="nil"/>
              <w:left w:val="nil"/>
              <w:bottom w:val="single" w:sz="4" w:space="0" w:color="auto"/>
              <w:right w:val="single" w:sz="4" w:space="0" w:color="auto"/>
            </w:tcBorders>
            <w:shd w:val="clear" w:color="000000" w:fill="FFFFFF"/>
            <w:vAlign w:val="center"/>
            <w:hideMark/>
          </w:tcPr>
          <w:p w14:paraId="033F6D7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82,40</w:t>
            </w:r>
          </w:p>
        </w:tc>
        <w:tc>
          <w:tcPr>
            <w:tcW w:w="2391" w:type="dxa"/>
            <w:tcBorders>
              <w:top w:val="nil"/>
              <w:left w:val="nil"/>
              <w:bottom w:val="single" w:sz="4" w:space="0" w:color="auto"/>
              <w:right w:val="double" w:sz="4" w:space="0" w:color="auto"/>
            </w:tcBorders>
            <w:shd w:val="clear" w:color="000000" w:fill="FFFFFF"/>
            <w:vAlign w:val="center"/>
            <w:hideMark/>
          </w:tcPr>
          <w:p w14:paraId="33585CDB"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увеличение доли несчастных случаев с тяжелым исходом</w:t>
            </w:r>
          </w:p>
        </w:tc>
      </w:tr>
      <w:tr w:rsidR="00D470B6" w:rsidRPr="00A53AD7" w14:paraId="45FF77B6" w14:textId="77777777" w:rsidTr="00C746B8">
        <w:trPr>
          <w:trHeight w:val="675"/>
        </w:trPr>
        <w:tc>
          <w:tcPr>
            <w:tcW w:w="2495" w:type="dxa"/>
            <w:tcBorders>
              <w:top w:val="nil"/>
              <w:left w:val="double" w:sz="4" w:space="0" w:color="auto"/>
              <w:bottom w:val="single" w:sz="4" w:space="0" w:color="auto"/>
              <w:right w:val="nil"/>
            </w:tcBorders>
            <w:shd w:val="clear" w:color="000000" w:fill="FFFFFF"/>
            <w:vAlign w:val="center"/>
          </w:tcPr>
          <w:p w14:paraId="710B7C1E"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25. Количество рабочих мест, на которых проведена специальная оценка условий труда</w:t>
            </w:r>
          </w:p>
        </w:tc>
        <w:tc>
          <w:tcPr>
            <w:tcW w:w="1202" w:type="dxa"/>
            <w:tcBorders>
              <w:top w:val="nil"/>
              <w:left w:val="single" w:sz="4" w:space="0" w:color="auto"/>
              <w:bottom w:val="single" w:sz="4" w:space="0" w:color="auto"/>
              <w:right w:val="single" w:sz="4" w:space="0" w:color="auto"/>
            </w:tcBorders>
            <w:shd w:val="clear" w:color="000000" w:fill="FFFFFF"/>
            <w:vAlign w:val="center"/>
          </w:tcPr>
          <w:p w14:paraId="60A57944"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w:t>
            </w:r>
          </w:p>
        </w:tc>
        <w:tc>
          <w:tcPr>
            <w:tcW w:w="1151" w:type="dxa"/>
            <w:tcBorders>
              <w:top w:val="nil"/>
              <w:left w:val="nil"/>
              <w:bottom w:val="single" w:sz="4" w:space="0" w:color="auto"/>
              <w:right w:val="single" w:sz="4" w:space="0" w:color="auto"/>
            </w:tcBorders>
            <w:shd w:val="clear" w:color="000000" w:fill="FFFFFF"/>
            <w:vAlign w:val="center"/>
          </w:tcPr>
          <w:p w14:paraId="472A14F9"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88 000,00</w:t>
            </w:r>
          </w:p>
        </w:tc>
        <w:tc>
          <w:tcPr>
            <w:tcW w:w="1281" w:type="dxa"/>
            <w:tcBorders>
              <w:top w:val="nil"/>
              <w:left w:val="nil"/>
              <w:bottom w:val="single" w:sz="4" w:space="0" w:color="auto"/>
              <w:right w:val="single" w:sz="4" w:space="0" w:color="auto"/>
            </w:tcBorders>
            <w:shd w:val="clear" w:color="000000" w:fill="FFFFFF"/>
            <w:vAlign w:val="center"/>
          </w:tcPr>
          <w:p w14:paraId="3473642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54 876,00</w:t>
            </w:r>
          </w:p>
        </w:tc>
        <w:tc>
          <w:tcPr>
            <w:tcW w:w="1134" w:type="dxa"/>
            <w:tcBorders>
              <w:top w:val="nil"/>
              <w:left w:val="nil"/>
              <w:bottom w:val="single" w:sz="4" w:space="0" w:color="auto"/>
              <w:right w:val="single" w:sz="4" w:space="0" w:color="auto"/>
            </w:tcBorders>
            <w:shd w:val="clear" w:color="000000" w:fill="FFFFFF"/>
            <w:vAlign w:val="center"/>
          </w:tcPr>
          <w:p w14:paraId="49D71CBD"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62,36</w:t>
            </w:r>
          </w:p>
        </w:tc>
        <w:tc>
          <w:tcPr>
            <w:tcW w:w="2391" w:type="dxa"/>
            <w:tcBorders>
              <w:top w:val="nil"/>
              <w:left w:val="nil"/>
              <w:bottom w:val="single" w:sz="4" w:space="0" w:color="auto"/>
              <w:right w:val="double" w:sz="4" w:space="0" w:color="auto"/>
            </w:tcBorders>
            <w:shd w:val="clear" w:color="000000" w:fill="FFFFFF"/>
            <w:vAlign w:val="center"/>
          </w:tcPr>
          <w:p w14:paraId="5C766B4E"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широкий перечень оснований для организации внеплановой спецоценки в соответствии со ст. 17 федерального закона № 426-ФЗ</w:t>
            </w:r>
          </w:p>
        </w:tc>
      </w:tr>
      <w:tr w:rsidR="00D470B6" w:rsidRPr="00A53AD7" w14:paraId="1D5AAAA1" w14:textId="77777777" w:rsidTr="00C746B8">
        <w:trPr>
          <w:trHeight w:val="675"/>
        </w:trPr>
        <w:tc>
          <w:tcPr>
            <w:tcW w:w="2495" w:type="dxa"/>
            <w:tcBorders>
              <w:top w:val="nil"/>
              <w:left w:val="double" w:sz="4" w:space="0" w:color="auto"/>
              <w:bottom w:val="single" w:sz="4" w:space="0" w:color="auto"/>
              <w:right w:val="nil"/>
            </w:tcBorders>
            <w:shd w:val="clear" w:color="000000" w:fill="FFFFFF"/>
            <w:vAlign w:val="center"/>
          </w:tcPr>
          <w:p w14:paraId="74A05BED"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26. Удельный вес рабочих мест, на которых проведена специальная оценка условий труда, в общем количестве рабочих мест</w:t>
            </w:r>
          </w:p>
        </w:tc>
        <w:tc>
          <w:tcPr>
            <w:tcW w:w="1202" w:type="dxa"/>
            <w:tcBorders>
              <w:top w:val="nil"/>
              <w:left w:val="single" w:sz="4" w:space="0" w:color="auto"/>
              <w:bottom w:val="single" w:sz="4" w:space="0" w:color="auto"/>
              <w:right w:val="single" w:sz="4" w:space="0" w:color="auto"/>
            </w:tcBorders>
            <w:shd w:val="clear" w:color="000000" w:fill="FFFFFF"/>
            <w:vAlign w:val="center"/>
          </w:tcPr>
          <w:p w14:paraId="46F398F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tcPr>
          <w:p w14:paraId="0A4138E5"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92,70</w:t>
            </w:r>
          </w:p>
        </w:tc>
        <w:tc>
          <w:tcPr>
            <w:tcW w:w="1281" w:type="dxa"/>
            <w:tcBorders>
              <w:top w:val="nil"/>
              <w:left w:val="nil"/>
              <w:bottom w:val="single" w:sz="4" w:space="0" w:color="auto"/>
              <w:right w:val="single" w:sz="4" w:space="0" w:color="auto"/>
            </w:tcBorders>
            <w:shd w:val="clear" w:color="000000" w:fill="FFFFFF"/>
            <w:vAlign w:val="center"/>
          </w:tcPr>
          <w:p w14:paraId="03305CE5"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81,80</w:t>
            </w:r>
          </w:p>
        </w:tc>
        <w:tc>
          <w:tcPr>
            <w:tcW w:w="1134" w:type="dxa"/>
            <w:tcBorders>
              <w:top w:val="nil"/>
              <w:left w:val="nil"/>
              <w:bottom w:val="single" w:sz="4" w:space="0" w:color="auto"/>
              <w:right w:val="single" w:sz="4" w:space="0" w:color="auto"/>
            </w:tcBorders>
            <w:shd w:val="clear" w:color="000000" w:fill="FFFFFF"/>
            <w:vAlign w:val="center"/>
          </w:tcPr>
          <w:p w14:paraId="71687D67"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88,24</w:t>
            </w:r>
          </w:p>
        </w:tc>
        <w:tc>
          <w:tcPr>
            <w:tcW w:w="2391" w:type="dxa"/>
            <w:tcBorders>
              <w:top w:val="nil"/>
              <w:left w:val="nil"/>
              <w:bottom w:val="single" w:sz="4" w:space="0" w:color="auto"/>
              <w:right w:val="double" w:sz="4" w:space="0" w:color="auto"/>
            </w:tcBorders>
            <w:shd w:val="clear" w:color="000000" w:fill="FFFFFF"/>
            <w:vAlign w:val="center"/>
          </w:tcPr>
          <w:p w14:paraId="509FCBCF"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широкий перечень оснований для организации внеплановой спецоценки в соответствии со ст. 17 федерального закона № 426-ФЗ</w:t>
            </w:r>
          </w:p>
        </w:tc>
      </w:tr>
      <w:tr w:rsidR="00D470B6" w:rsidRPr="00A53AD7" w14:paraId="1A6DB54F" w14:textId="77777777" w:rsidTr="00C746B8">
        <w:trPr>
          <w:trHeight w:val="673"/>
        </w:trPr>
        <w:tc>
          <w:tcPr>
            <w:tcW w:w="2495" w:type="dxa"/>
            <w:tcBorders>
              <w:top w:val="nil"/>
              <w:left w:val="double" w:sz="4" w:space="0" w:color="auto"/>
              <w:bottom w:val="single" w:sz="4" w:space="0" w:color="auto"/>
              <w:right w:val="nil"/>
            </w:tcBorders>
            <w:shd w:val="clear" w:color="000000" w:fill="FFFFFF"/>
            <w:vAlign w:val="center"/>
            <w:hideMark/>
          </w:tcPr>
          <w:p w14:paraId="3A50A194"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30. Удельный вес работников, занятых во вредных и (или) опасных условиях труда, от общей численности работников</w:t>
            </w:r>
          </w:p>
        </w:tc>
        <w:tc>
          <w:tcPr>
            <w:tcW w:w="1202" w:type="dxa"/>
            <w:tcBorders>
              <w:top w:val="nil"/>
              <w:left w:val="single" w:sz="4" w:space="0" w:color="auto"/>
              <w:bottom w:val="single" w:sz="4" w:space="0" w:color="auto"/>
              <w:right w:val="single" w:sz="4" w:space="0" w:color="auto"/>
            </w:tcBorders>
            <w:shd w:val="clear" w:color="000000" w:fill="FFFFFF"/>
            <w:vAlign w:val="center"/>
            <w:hideMark/>
          </w:tcPr>
          <w:p w14:paraId="4253825B"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nil"/>
              <w:left w:val="nil"/>
              <w:bottom w:val="single" w:sz="4" w:space="0" w:color="auto"/>
              <w:right w:val="single" w:sz="4" w:space="0" w:color="auto"/>
            </w:tcBorders>
            <w:shd w:val="clear" w:color="000000" w:fill="FFFFFF"/>
            <w:vAlign w:val="center"/>
            <w:hideMark/>
          </w:tcPr>
          <w:p w14:paraId="18BCC3DD"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27,00</w:t>
            </w:r>
          </w:p>
        </w:tc>
        <w:tc>
          <w:tcPr>
            <w:tcW w:w="1281" w:type="dxa"/>
            <w:tcBorders>
              <w:top w:val="nil"/>
              <w:left w:val="nil"/>
              <w:bottom w:val="single" w:sz="4" w:space="0" w:color="auto"/>
              <w:right w:val="single" w:sz="4" w:space="0" w:color="auto"/>
            </w:tcBorders>
            <w:shd w:val="clear" w:color="000000" w:fill="FFFFFF"/>
            <w:vAlign w:val="center"/>
            <w:hideMark/>
          </w:tcPr>
          <w:p w14:paraId="1CB2B0DB"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31,30</w:t>
            </w:r>
          </w:p>
        </w:tc>
        <w:tc>
          <w:tcPr>
            <w:tcW w:w="1134" w:type="dxa"/>
            <w:tcBorders>
              <w:top w:val="nil"/>
              <w:left w:val="nil"/>
              <w:bottom w:val="single" w:sz="4" w:space="0" w:color="auto"/>
              <w:right w:val="single" w:sz="4" w:space="0" w:color="auto"/>
            </w:tcBorders>
            <w:shd w:val="clear" w:color="000000" w:fill="FFFFFF"/>
            <w:vAlign w:val="center"/>
            <w:hideMark/>
          </w:tcPr>
          <w:p w14:paraId="0E37848C"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86,30</w:t>
            </w:r>
          </w:p>
        </w:tc>
        <w:tc>
          <w:tcPr>
            <w:tcW w:w="2391" w:type="dxa"/>
            <w:tcBorders>
              <w:top w:val="nil"/>
              <w:left w:val="nil"/>
              <w:bottom w:val="single" w:sz="4" w:space="0" w:color="auto"/>
              <w:right w:val="double" w:sz="4" w:space="0" w:color="auto"/>
            </w:tcBorders>
            <w:shd w:val="clear" w:color="000000" w:fill="FFFFFF"/>
            <w:vAlign w:val="center"/>
            <w:hideMark/>
          </w:tcPr>
          <w:p w14:paraId="02E4B12D"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изменения методики оценки условий труда по биологическому фактору, рост вредности в медучреждениях</w:t>
            </w:r>
          </w:p>
        </w:tc>
      </w:tr>
      <w:tr w:rsidR="00D470B6" w:rsidRPr="00A53AD7" w14:paraId="655FB66E" w14:textId="77777777" w:rsidTr="00C746B8">
        <w:trPr>
          <w:trHeight w:val="614"/>
        </w:trPr>
        <w:tc>
          <w:tcPr>
            <w:tcW w:w="9654" w:type="dxa"/>
            <w:gridSpan w:val="6"/>
            <w:tcBorders>
              <w:top w:val="single" w:sz="4" w:space="0" w:color="auto"/>
              <w:left w:val="double" w:sz="4" w:space="0" w:color="auto"/>
              <w:bottom w:val="single" w:sz="4" w:space="0" w:color="auto"/>
              <w:right w:val="double" w:sz="4" w:space="0" w:color="auto"/>
            </w:tcBorders>
            <w:shd w:val="clear" w:color="000000" w:fill="FFFFFF"/>
            <w:vAlign w:val="center"/>
            <w:hideMark/>
          </w:tcPr>
          <w:p w14:paraId="7DD166B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 7 «Содействие занятости инвалидов, в том числе инвалидов молодого возраста при получении ими профессионального образования и последующем трудоустройстве, а также инвалидов, нуждающихся в сопровождаемом содействии их занятости (2018 – 2024)»</w:t>
            </w:r>
          </w:p>
        </w:tc>
      </w:tr>
      <w:tr w:rsidR="00D470B6" w:rsidRPr="00A53AD7" w14:paraId="402978E0" w14:textId="77777777" w:rsidTr="004073E7">
        <w:trPr>
          <w:trHeight w:val="549"/>
        </w:trPr>
        <w:tc>
          <w:tcPr>
            <w:tcW w:w="2495" w:type="dxa"/>
            <w:tcBorders>
              <w:top w:val="nil"/>
              <w:left w:val="double" w:sz="4" w:space="0" w:color="auto"/>
              <w:bottom w:val="single" w:sz="4" w:space="0" w:color="auto"/>
              <w:right w:val="nil"/>
            </w:tcBorders>
            <w:shd w:val="clear" w:color="000000" w:fill="FFFFFF"/>
            <w:vAlign w:val="center"/>
          </w:tcPr>
          <w:p w14:paraId="23E67C58"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41. Количество созданных (оснащенных) специальных рабочих мест для трудоустройства незанятых инвалидов, в том числе инвалидов молодого возраста</w:t>
            </w:r>
          </w:p>
        </w:tc>
        <w:tc>
          <w:tcPr>
            <w:tcW w:w="1202" w:type="dxa"/>
            <w:tcBorders>
              <w:top w:val="nil"/>
              <w:left w:val="single" w:sz="4" w:space="0" w:color="auto"/>
              <w:bottom w:val="single" w:sz="4" w:space="0" w:color="auto"/>
              <w:right w:val="single" w:sz="4" w:space="0" w:color="auto"/>
            </w:tcBorders>
            <w:shd w:val="clear" w:color="000000" w:fill="FFFFFF"/>
            <w:vAlign w:val="center"/>
          </w:tcPr>
          <w:p w14:paraId="5C3D0266"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w:t>
            </w:r>
          </w:p>
        </w:tc>
        <w:tc>
          <w:tcPr>
            <w:tcW w:w="1151" w:type="dxa"/>
            <w:tcBorders>
              <w:top w:val="nil"/>
              <w:left w:val="nil"/>
              <w:bottom w:val="single" w:sz="4" w:space="0" w:color="auto"/>
              <w:right w:val="single" w:sz="4" w:space="0" w:color="auto"/>
            </w:tcBorders>
            <w:shd w:val="clear" w:color="000000" w:fill="FFFFFF"/>
            <w:vAlign w:val="center"/>
          </w:tcPr>
          <w:p w14:paraId="2B91F95E"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30,00</w:t>
            </w:r>
          </w:p>
        </w:tc>
        <w:tc>
          <w:tcPr>
            <w:tcW w:w="1281" w:type="dxa"/>
            <w:tcBorders>
              <w:top w:val="nil"/>
              <w:left w:val="nil"/>
              <w:bottom w:val="single" w:sz="4" w:space="0" w:color="auto"/>
              <w:right w:val="single" w:sz="4" w:space="0" w:color="auto"/>
            </w:tcBorders>
            <w:shd w:val="clear" w:color="000000" w:fill="FFFFFF"/>
            <w:vAlign w:val="center"/>
          </w:tcPr>
          <w:p w14:paraId="1A185DB9"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28,00</w:t>
            </w:r>
          </w:p>
        </w:tc>
        <w:tc>
          <w:tcPr>
            <w:tcW w:w="1134" w:type="dxa"/>
            <w:tcBorders>
              <w:top w:val="nil"/>
              <w:left w:val="nil"/>
              <w:bottom w:val="single" w:sz="4" w:space="0" w:color="auto"/>
              <w:right w:val="single" w:sz="4" w:space="0" w:color="auto"/>
            </w:tcBorders>
            <w:shd w:val="clear" w:color="000000" w:fill="FFFFFF"/>
            <w:vAlign w:val="center"/>
          </w:tcPr>
          <w:p w14:paraId="33D03C21"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93,33</w:t>
            </w:r>
          </w:p>
        </w:tc>
        <w:tc>
          <w:tcPr>
            <w:tcW w:w="2391" w:type="dxa"/>
            <w:tcBorders>
              <w:top w:val="nil"/>
              <w:left w:val="nil"/>
              <w:bottom w:val="single" w:sz="4" w:space="0" w:color="auto"/>
              <w:right w:val="double" w:sz="4" w:space="0" w:color="auto"/>
            </w:tcBorders>
            <w:shd w:val="clear" w:color="000000" w:fill="FFFFFF"/>
            <w:vAlign w:val="center"/>
          </w:tcPr>
          <w:p w14:paraId="569F811F"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отсутствие работодателей, обратившихся в службу занятости в целях возмещения затрат, понесенных на создание рабочих мест</w:t>
            </w:r>
          </w:p>
        </w:tc>
      </w:tr>
      <w:tr w:rsidR="00D470B6" w:rsidRPr="00A53AD7" w14:paraId="1D8A8E0E" w14:textId="77777777" w:rsidTr="00C746B8">
        <w:trPr>
          <w:trHeight w:val="563"/>
        </w:trPr>
        <w:tc>
          <w:tcPr>
            <w:tcW w:w="2495" w:type="dxa"/>
            <w:tcBorders>
              <w:top w:val="single" w:sz="4" w:space="0" w:color="auto"/>
              <w:left w:val="double" w:sz="4" w:space="0" w:color="auto"/>
              <w:bottom w:val="double" w:sz="4" w:space="0" w:color="auto"/>
              <w:right w:val="nil"/>
            </w:tcBorders>
            <w:shd w:val="clear" w:color="000000" w:fill="FFFFFF"/>
            <w:vAlign w:val="center"/>
          </w:tcPr>
          <w:p w14:paraId="120EF176"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43. Доля трудоустроенных инвалидов из числа выпускников в общей численности инвалидов из числа выпускников</w:t>
            </w:r>
          </w:p>
        </w:tc>
        <w:tc>
          <w:tcPr>
            <w:tcW w:w="1202" w:type="dxa"/>
            <w:tcBorders>
              <w:top w:val="single" w:sz="4" w:space="0" w:color="auto"/>
              <w:left w:val="single" w:sz="4" w:space="0" w:color="auto"/>
              <w:bottom w:val="double" w:sz="4" w:space="0" w:color="auto"/>
              <w:right w:val="single" w:sz="4" w:space="0" w:color="auto"/>
            </w:tcBorders>
            <w:shd w:val="clear" w:color="000000" w:fill="FFFFFF"/>
            <w:vAlign w:val="center"/>
          </w:tcPr>
          <w:p w14:paraId="6251E54D"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1151" w:type="dxa"/>
            <w:tcBorders>
              <w:top w:val="single" w:sz="4" w:space="0" w:color="auto"/>
              <w:left w:val="nil"/>
              <w:bottom w:val="double" w:sz="4" w:space="0" w:color="auto"/>
              <w:right w:val="single" w:sz="4" w:space="0" w:color="auto"/>
            </w:tcBorders>
            <w:shd w:val="clear" w:color="000000" w:fill="FFFFFF"/>
            <w:vAlign w:val="center"/>
          </w:tcPr>
          <w:p w14:paraId="7AD6A5F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70,00</w:t>
            </w:r>
          </w:p>
        </w:tc>
        <w:tc>
          <w:tcPr>
            <w:tcW w:w="1281" w:type="dxa"/>
            <w:tcBorders>
              <w:top w:val="single" w:sz="4" w:space="0" w:color="auto"/>
              <w:left w:val="nil"/>
              <w:bottom w:val="double" w:sz="4" w:space="0" w:color="auto"/>
              <w:right w:val="single" w:sz="4" w:space="0" w:color="auto"/>
            </w:tcBorders>
            <w:shd w:val="clear" w:color="000000" w:fill="FFFFFF"/>
            <w:vAlign w:val="center"/>
          </w:tcPr>
          <w:p w14:paraId="17AA039F"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41,00</w:t>
            </w:r>
          </w:p>
        </w:tc>
        <w:tc>
          <w:tcPr>
            <w:tcW w:w="1134" w:type="dxa"/>
            <w:tcBorders>
              <w:top w:val="single" w:sz="4" w:space="0" w:color="auto"/>
              <w:left w:val="nil"/>
              <w:bottom w:val="double" w:sz="4" w:space="0" w:color="auto"/>
              <w:right w:val="single" w:sz="4" w:space="0" w:color="auto"/>
            </w:tcBorders>
            <w:shd w:val="clear" w:color="000000" w:fill="FFFFFF"/>
            <w:vAlign w:val="center"/>
          </w:tcPr>
          <w:p w14:paraId="7059AD38" w14:textId="77777777" w:rsidR="002F2423" w:rsidRPr="00A53AD7" w:rsidRDefault="002F2423" w:rsidP="00C746B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58,60</w:t>
            </w:r>
          </w:p>
        </w:tc>
        <w:tc>
          <w:tcPr>
            <w:tcW w:w="2391" w:type="dxa"/>
            <w:tcBorders>
              <w:top w:val="single" w:sz="4" w:space="0" w:color="auto"/>
              <w:left w:val="nil"/>
              <w:bottom w:val="double" w:sz="4" w:space="0" w:color="auto"/>
              <w:right w:val="double" w:sz="4" w:space="0" w:color="auto"/>
            </w:tcBorders>
            <w:shd w:val="clear" w:color="000000" w:fill="FFFFFF"/>
            <w:vAlign w:val="center"/>
          </w:tcPr>
          <w:p w14:paraId="3B5741F8" w14:textId="77777777" w:rsidR="002F2423" w:rsidRPr="00A53AD7" w:rsidRDefault="002F2423" w:rsidP="00C746B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отсутствие потребности и ответственности работодателей в молодых специалистах, не имеющих опыта работы</w:t>
            </w:r>
          </w:p>
        </w:tc>
      </w:tr>
    </w:tbl>
    <w:p w14:paraId="1381CCA8" w14:textId="77777777" w:rsidR="003B136C" w:rsidRPr="00A53AD7" w:rsidRDefault="003B136C" w:rsidP="003B136C">
      <w:pPr>
        <w:pStyle w:val="a8"/>
        <w:ind w:left="0" w:firstLine="851"/>
        <w:jc w:val="both"/>
        <w:rPr>
          <w:sz w:val="28"/>
          <w:szCs w:val="28"/>
        </w:rPr>
      </w:pPr>
    </w:p>
    <w:p w14:paraId="67786316" w14:textId="77777777" w:rsidR="002F2423" w:rsidRPr="00A53AD7" w:rsidRDefault="002F2423" w:rsidP="003B136C">
      <w:pPr>
        <w:pStyle w:val="a8"/>
        <w:ind w:left="0" w:firstLine="851"/>
        <w:jc w:val="both"/>
        <w:rPr>
          <w:sz w:val="28"/>
          <w:szCs w:val="28"/>
        </w:rPr>
      </w:pPr>
      <w:r w:rsidRPr="00A53AD7">
        <w:rPr>
          <w:sz w:val="28"/>
          <w:szCs w:val="28"/>
        </w:rPr>
        <w:t>Следует отметить, что госпрограммой РФ «Содействие занятости населения», утвержденной постановлением Правительства РФ от 15.04.2014 № 298 предусмотрен показатель «Удельный вес безработных граждан в возрасте 16 - 29 лет, ищущих работу 12 и более месяцев, в общей численности безработных граждан в возрасте 16 - 29 лет, зарегистрированных в органах службы занятости», который на 2019 год для Архангельской области составил 3,2%, который не включен в перечень целевых показателей, предусмотренных приложением № 1 к госпрограмме АО.</w:t>
      </w:r>
    </w:p>
    <w:p w14:paraId="107E1F15" w14:textId="77777777" w:rsidR="002F2423" w:rsidRPr="00A53AD7" w:rsidRDefault="002F2423" w:rsidP="003B136C">
      <w:pPr>
        <w:pStyle w:val="a8"/>
        <w:ind w:left="0" w:firstLine="851"/>
        <w:jc w:val="both"/>
        <w:rPr>
          <w:sz w:val="28"/>
          <w:szCs w:val="28"/>
        </w:rPr>
      </w:pPr>
      <w:r w:rsidRPr="00A53AD7">
        <w:rPr>
          <w:sz w:val="28"/>
          <w:szCs w:val="28"/>
        </w:rPr>
        <w:t>Кроме того, госпрограммой РФ на 2019 установлен показатель «Отношение численности граждан, снятых с регистрационного учета в связи с трудоустройством, к общей численности граждан, обратившихся в органы службы занятости населения за содействием в поиске подходящей работы» для Архангельской области в размере 63,5%, в то время как госпрограммой АО данный показатель установлен в размере 62,0%.</w:t>
      </w:r>
    </w:p>
    <w:p w14:paraId="7CDD3AEE" w14:textId="77777777" w:rsidR="00FA7706" w:rsidRPr="00A53AD7" w:rsidRDefault="00FA7706" w:rsidP="00FA7706">
      <w:pPr>
        <w:pStyle w:val="a8"/>
        <w:ind w:left="0" w:firstLine="851"/>
        <w:jc w:val="both"/>
        <w:rPr>
          <w:sz w:val="28"/>
          <w:szCs w:val="28"/>
        </w:rPr>
      </w:pPr>
      <w:r w:rsidRPr="00A53AD7">
        <w:rPr>
          <w:sz w:val="28"/>
          <w:szCs w:val="28"/>
        </w:rPr>
        <w:t>Контрольно-счетная палата полагает необходимым включить все целевые показатели, предусмотренные госпрограммой РФ, в госпрограмму АО и установить их значение на уровне показателей не ниже, чем они установлены в госпрограмме РФ.</w:t>
      </w:r>
    </w:p>
    <w:p w14:paraId="7C4DD9D4" w14:textId="77777777" w:rsidR="002F2423" w:rsidRPr="00A53AD7" w:rsidRDefault="002F2423" w:rsidP="003B136C">
      <w:pPr>
        <w:pStyle w:val="a8"/>
        <w:ind w:left="0" w:firstLine="851"/>
        <w:jc w:val="both"/>
        <w:rPr>
          <w:sz w:val="28"/>
          <w:szCs w:val="28"/>
        </w:rPr>
      </w:pPr>
    </w:p>
    <w:p w14:paraId="51AA99D8" w14:textId="77777777" w:rsidR="002F2423" w:rsidRPr="00A53AD7" w:rsidRDefault="002F2423" w:rsidP="003B136C">
      <w:pPr>
        <w:pStyle w:val="a8"/>
        <w:ind w:left="0" w:firstLine="851"/>
        <w:jc w:val="both"/>
        <w:rPr>
          <w:sz w:val="28"/>
          <w:szCs w:val="28"/>
        </w:rPr>
      </w:pPr>
      <w:r w:rsidRPr="00A53AD7">
        <w:rPr>
          <w:sz w:val="28"/>
          <w:szCs w:val="28"/>
        </w:rPr>
        <w:t>Согласно Отчету о реализации мероприятий госпрограммы объем финансирования реализации государственной программы на 2019 год составил 1 463,4 млн.руб., кассовые расходы - 1 419,2 млн.руб. или 96,8 % от предусмотренных, освоено - 1 419,2 млн.руб. или 100% от кассовых расходов.</w:t>
      </w:r>
    </w:p>
    <w:p w14:paraId="18DCC8D1" w14:textId="3B51D06B" w:rsidR="002F2423" w:rsidRPr="00A53AD7" w:rsidRDefault="002F2423" w:rsidP="003B136C">
      <w:pPr>
        <w:pStyle w:val="a8"/>
        <w:ind w:left="0" w:firstLine="851"/>
        <w:jc w:val="both"/>
        <w:rPr>
          <w:sz w:val="28"/>
          <w:szCs w:val="28"/>
        </w:rPr>
      </w:pPr>
      <w:r w:rsidRPr="00A53AD7">
        <w:rPr>
          <w:sz w:val="28"/>
          <w:szCs w:val="28"/>
        </w:rPr>
        <w:t>В целом на реализацию мероприятий госпрограммы кассовые расходы в 2018 году составили 982,7 млн.руб., в 2019 году - 1 462,3 млн руб., то есть увеличились в 1,4 раза, но при этом показатели реализации большинства мероприятий остались на уровне 2018 года. Также не произошло значительных изменений по количеству реализу</w:t>
      </w:r>
      <w:r w:rsidR="002B4594" w:rsidRPr="00A53AD7">
        <w:rPr>
          <w:sz w:val="28"/>
          <w:szCs w:val="28"/>
        </w:rPr>
        <w:t>емых госпрограммой мероприятий.</w:t>
      </w:r>
    </w:p>
    <w:p w14:paraId="6910A921" w14:textId="77777777" w:rsidR="002F2423" w:rsidRPr="00A53AD7" w:rsidRDefault="002F2423" w:rsidP="003B136C">
      <w:pPr>
        <w:pStyle w:val="a8"/>
        <w:ind w:left="0" w:firstLine="851"/>
        <w:jc w:val="both"/>
        <w:rPr>
          <w:sz w:val="28"/>
          <w:szCs w:val="28"/>
        </w:rPr>
      </w:pPr>
      <w:r w:rsidRPr="00A53AD7">
        <w:rPr>
          <w:sz w:val="28"/>
          <w:szCs w:val="28"/>
        </w:rPr>
        <w:t>Увеличение расходов в 2019 году объясняется следующими причинами:</w:t>
      </w:r>
    </w:p>
    <w:p w14:paraId="3F354176" w14:textId="605AD7B8"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по подпрограмме № 1 «Активная политика занятости и социальная поддержка безработных граждан (2014-2024 годы)» по мероприятию 4.1 «Выплата пособий по безработице гражданам, зарегистрированным в центрах занятости населения в качестве безработных, в том числе выплата материальной помощи безработным гражданам, утратившим право на пособие в связи с истечением установленного периода его выплаты» произошло увеличение размера пособия по безработице в соответствии с постановлением Правительства Р</w:t>
      </w:r>
      <w:r w:rsidR="002B4594" w:rsidRPr="00A53AD7">
        <w:rPr>
          <w:rFonts w:ascii="Times New Roman" w:eastAsia="Times New Roman" w:hAnsi="Times New Roman" w:cs="Courier New"/>
          <w:sz w:val="28"/>
          <w:szCs w:val="28"/>
          <w:lang w:eastAsia="ru-RU"/>
        </w:rPr>
        <w:t>Ф</w:t>
      </w:r>
      <w:r w:rsidRPr="00A53AD7">
        <w:rPr>
          <w:rFonts w:ascii="Times New Roman" w:eastAsia="Times New Roman" w:hAnsi="Times New Roman" w:cs="Courier New"/>
          <w:sz w:val="28"/>
          <w:szCs w:val="28"/>
          <w:lang w:eastAsia="ru-RU"/>
        </w:rPr>
        <w:t xml:space="preserve"> от 15.11.2018 № 1375 и ростом числа получателей пособия в максимальном размере;</w:t>
      </w:r>
    </w:p>
    <w:p w14:paraId="791D29F9" w14:textId="376804EA" w:rsidR="002F2423" w:rsidRPr="00A53AD7" w:rsidRDefault="002F2423"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по подпрограмме № 2 «Улучшение условий и охраны труда в Архангельской области (2014-2024 годы)» по мероприятию 1.1 «Обеспечение финансирования предупредительных мер по сокращению производственного травматизма и профессиональных заболеваний работников за счет страховых взносов по обязательному социальному страхованию от несчастных случаев на производстве и профессиональных заболеваний, в том числе для проведения специальной оценки условий труда» (за счет внебюджетных источников) увеличены с 20% до 30% суммы страховых взносов, начисленных работодателям, которые они имеют право направить на финансовое обеспечение предупредительных мер по сокращению производственного травматизма и профессиональных заболеваний.</w:t>
      </w:r>
    </w:p>
    <w:p w14:paraId="2DEE4CC9" w14:textId="6463D1B0" w:rsidR="009B4728" w:rsidRPr="00A53AD7" w:rsidRDefault="001D2B6D" w:rsidP="009B4728">
      <w:pPr>
        <w:pStyle w:val="3"/>
        <w:spacing w:line="240" w:lineRule="auto"/>
        <w:jc w:val="center"/>
        <w:rPr>
          <w:rFonts w:ascii="Times New Roman" w:hAnsi="Times New Roman"/>
          <w:b w:val="0"/>
          <w:sz w:val="28"/>
          <w:szCs w:val="28"/>
          <w:u w:val="single"/>
        </w:rPr>
      </w:pPr>
      <w:bookmarkStart w:id="80" w:name="_Toc42006729"/>
      <w:r w:rsidRPr="00A53AD7">
        <w:rPr>
          <w:rFonts w:ascii="Times New Roman" w:hAnsi="Times New Roman"/>
          <w:b w:val="0"/>
          <w:sz w:val="28"/>
          <w:szCs w:val="28"/>
          <w:u w:val="single"/>
          <w:lang w:val="ru-RU"/>
        </w:rPr>
        <w:t xml:space="preserve">4.2.8. </w:t>
      </w:r>
      <w:r w:rsidR="009B4728" w:rsidRPr="00A53AD7">
        <w:rPr>
          <w:rFonts w:ascii="Times New Roman" w:hAnsi="Times New Roman"/>
          <w:b w:val="0"/>
          <w:sz w:val="28"/>
          <w:szCs w:val="28"/>
          <w:u w:val="single"/>
          <w:lang w:val="ru-RU"/>
        </w:rPr>
        <w:t>Государственная программа Архангельской области «Обеспечение общественного порядка, профилактика преступности, коррупции, терроризма и незаконного потребления наркотических средств и психотропных веществ в Архангельской области (2014 – 2021 годы)»</w:t>
      </w:r>
      <w:bookmarkEnd w:id="80"/>
    </w:p>
    <w:p w14:paraId="2A048892" w14:textId="77777777" w:rsidR="009B4728" w:rsidRPr="00A53AD7" w:rsidRDefault="009B4728" w:rsidP="009B4728">
      <w:pPr>
        <w:pStyle w:val="a8"/>
        <w:ind w:left="0" w:firstLine="851"/>
        <w:jc w:val="both"/>
        <w:rPr>
          <w:sz w:val="28"/>
          <w:szCs w:val="28"/>
        </w:rPr>
      </w:pPr>
      <w:r w:rsidRPr="00A53AD7">
        <w:rPr>
          <w:sz w:val="28"/>
          <w:szCs w:val="28"/>
        </w:rPr>
        <w:t>На реализацию мероприятий государственной программы Архангельской области «Обеспечение общественного порядка, профилактика преступности, коррупции, терроризма и незаконного потребления наркотических средств и психотропных веществ в Архангельской области (2014 – 2021 годы)», утвержденной постановлением Правительства Архангельской области от 11.10.2013 № 478-пп (в ред. от 10.10.2019 № 571-пп) (далее – госпрограмма) на 2019 год утверждены расходы в общей сумме 38,6 млн.руб.</w:t>
      </w:r>
    </w:p>
    <w:p w14:paraId="0AF822CF" w14:textId="635CB96A" w:rsidR="009B4728" w:rsidRPr="00A53AD7" w:rsidRDefault="009B4728" w:rsidP="009B4728">
      <w:pPr>
        <w:pStyle w:val="a8"/>
        <w:ind w:left="0" w:firstLine="851"/>
        <w:jc w:val="both"/>
        <w:rPr>
          <w:sz w:val="28"/>
          <w:szCs w:val="28"/>
        </w:rPr>
      </w:pPr>
      <w:r w:rsidRPr="00A53AD7">
        <w:rPr>
          <w:sz w:val="28"/>
          <w:szCs w:val="28"/>
        </w:rPr>
        <w:t>Ответственный исполнитель государственной программы</w:t>
      </w:r>
      <w:r w:rsidR="00DC1FD2" w:rsidRPr="00A53AD7">
        <w:rPr>
          <w:sz w:val="28"/>
          <w:szCs w:val="28"/>
        </w:rPr>
        <w:t xml:space="preserve"> </w:t>
      </w:r>
      <w:r w:rsidRPr="00A53AD7">
        <w:rPr>
          <w:sz w:val="28"/>
          <w:szCs w:val="28"/>
        </w:rPr>
        <w:t>– администрация Губернатора Архангельской области и Правительства Архангельской области.</w:t>
      </w:r>
    </w:p>
    <w:p w14:paraId="6C5C0389" w14:textId="77777777" w:rsidR="009B4728" w:rsidRPr="00A53AD7" w:rsidRDefault="009B4728" w:rsidP="009B4728">
      <w:pPr>
        <w:pStyle w:val="a8"/>
        <w:ind w:left="0" w:firstLine="851"/>
        <w:jc w:val="both"/>
        <w:rPr>
          <w:sz w:val="28"/>
          <w:szCs w:val="28"/>
        </w:rPr>
      </w:pPr>
      <w:r w:rsidRPr="00A53AD7">
        <w:rPr>
          <w:sz w:val="28"/>
          <w:szCs w:val="28"/>
        </w:rPr>
        <w:t>Соисполнители госпрограммы в 2019 году: министерство строительства и архитектуры Архангельской области, министерство образования и науки Архангельской области.</w:t>
      </w:r>
    </w:p>
    <w:p w14:paraId="2100A2A5" w14:textId="77777777" w:rsidR="009B4728" w:rsidRPr="00A53AD7" w:rsidRDefault="009B4728" w:rsidP="009B4728">
      <w:pPr>
        <w:pStyle w:val="a8"/>
        <w:ind w:left="0" w:firstLine="851"/>
        <w:jc w:val="both"/>
        <w:rPr>
          <w:sz w:val="28"/>
          <w:szCs w:val="28"/>
        </w:rPr>
      </w:pPr>
      <w:r w:rsidRPr="00A53AD7">
        <w:rPr>
          <w:sz w:val="28"/>
          <w:szCs w:val="28"/>
        </w:rPr>
        <w:t>В течении 2019 года изменения, меняющие параметры финансирования мероприятий указанной программы на 2019 год вносились постановлениями Правительства Архангельской области от 14.05.2019 № 250-пп, от 30.07.2019 № 405-пп и от 10.10.2019 № 571-пп.</w:t>
      </w:r>
    </w:p>
    <w:p w14:paraId="306C61CB" w14:textId="77777777" w:rsidR="009B4728" w:rsidRPr="00A53AD7" w:rsidRDefault="009B4728" w:rsidP="009B4728">
      <w:pPr>
        <w:pStyle w:val="a8"/>
        <w:ind w:left="0" w:firstLine="851"/>
        <w:jc w:val="both"/>
        <w:rPr>
          <w:sz w:val="28"/>
          <w:szCs w:val="28"/>
        </w:rPr>
      </w:pPr>
      <w:r w:rsidRPr="00A53AD7">
        <w:rPr>
          <w:sz w:val="28"/>
          <w:szCs w:val="28"/>
        </w:rPr>
        <w:t>По состоянию на 31.12.2019 госпрограмма действует в редакции Постановления Правительства Архангельской области от 10.10.2019 № 571-пп.</w:t>
      </w:r>
    </w:p>
    <w:p w14:paraId="48F07805" w14:textId="77777777" w:rsidR="009B4728" w:rsidRPr="00A53AD7" w:rsidRDefault="009B4728" w:rsidP="009B4728">
      <w:pPr>
        <w:pStyle w:val="a8"/>
        <w:ind w:left="0" w:firstLine="851"/>
        <w:jc w:val="both"/>
        <w:rPr>
          <w:sz w:val="28"/>
          <w:szCs w:val="28"/>
        </w:rPr>
      </w:pPr>
      <w:r w:rsidRPr="00A53AD7">
        <w:rPr>
          <w:sz w:val="28"/>
          <w:szCs w:val="28"/>
        </w:rPr>
        <w:t>В течении 2019 года, при внесении изменений и дополнений в областной закон «Об областном бюджете» на 2019 год внесены изменения, уменьшающие ассигнования на мероприятия указанной госпрограммы более чем в 4,1 раза или на 121,3 млн.руб.</w:t>
      </w:r>
    </w:p>
    <w:p w14:paraId="4C393866" w14:textId="6B3E295A" w:rsidR="009B4728" w:rsidRPr="00A53AD7" w:rsidRDefault="009B4728" w:rsidP="009B4728">
      <w:pPr>
        <w:pStyle w:val="a8"/>
        <w:ind w:left="0" w:firstLine="851"/>
        <w:jc w:val="both"/>
        <w:rPr>
          <w:sz w:val="28"/>
          <w:szCs w:val="28"/>
        </w:rPr>
      </w:pPr>
      <w:r w:rsidRPr="00A53AD7">
        <w:rPr>
          <w:sz w:val="28"/>
          <w:szCs w:val="28"/>
        </w:rPr>
        <w:t xml:space="preserve">Информация о внесенных изменениях в областной закон «Об областном бюджете» на 2019 год в разрезе главных распорядителей средств областного </w:t>
      </w:r>
      <w:r w:rsidR="00DC1FD2" w:rsidRPr="00A53AD7">
        <w:rPr>
          <w:sz w:val="28"/>
          <w:szCs w:val="28"/>
        </w:rPr>
        <w:t xml:space="preserve">бюджета представлена в таблице </w:t>
      </w:r>
      <w:r w:rsidR="006B1B2F" w:rsidRPr="00A53AD7">
        <w:rPr>
          <w:sz w:val="28"/>
          <w:szCs w:val="28"/>
        </w:rPr>
        <w:t>41</w:t>
      </w:r>
      <w:r w:rsidRPr="00A53AD7">
        <w:rPr>
          <w:sz w:val="28"/>
          <w:szCs w:val="28"/>
        </w:rPr>
        <w:t>.</w:t>
      </w:r>
    </w:p>
    <w:p w14:paraId="72AE8DC2" w14:textId="77777777" w:rsidR="00DC1FD2" w:rsidRPr="00A53AD7" w:rsidRDefault="00DC1FD2" w:rsidP="00DC1FD2">
      <w:pPr>
        <w:pStyle w:val="aff0"/>
        <w:spacing w:after="0" w:line="240" w:lineRule="auto"/>
        <w:rPr>
          <w:rFonts w:ascii="Times New Roman" w:hAnsi="Times New Roman"/>
          <w:b w:val="0"/>
          <w:sz w:val="24"/>
          <w:szCs w:val="24"/>
        </w:rPr>
      </w:pPr>
    </w:p>
    <w:p w14:paraId="4A358010" w14:textId="2D813667" w:rsidR="009B4728" w:rsidRPr="00A53AD7" w:rsidRDefault="009B4728" w:rsidP="00DC1FD2">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Таблица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41</w:t>
      </w:r>
      <w:r w:rsidRPr="00A53AD7">
        <w:rPr>
          <w:rFonts w:ascii="Times New Roman" w:hAnsi="Times New Roman"/>
          <w:b w:val="0"/>
          <w:noProof/>
          <w:sz w:val="24"/>
          <w:szCs w:val="24"/>
        </w:rPr>
        <w:fldChar w:fldCharType="end"/>
      </w:r>
      <w:r w:rsidRPr="00A53AD7">
        <w:rPr>
          <w:rFonts w:ascii="Times New Roman" w:hAnsi="Times New Roman"/>
          <w:b w:val="0"/>
          <w:sz w:val="24"/>
          <w:szCs w:val="24"/>
        </w:rPr>
        <w:t>.</w:t>
      </w:r>
      <w:r w:rsidR="00DC1FD2" w:rsidRPr="00A53AD7">
        <w:rPr>
          <w:rFonts w:ascii="Times New Roman" w:hAnsi="Times New Roman"/>
          <w:b w:val="0"/>
          <w:sz w:val="24"/>
          <w:szCs w:val="24"/>
        </w:rPr>
        <w:t xml:space="preserve"> </w:t>
      </w:r>
      <w:r w:rsidRPr="00A53AD7">
        <w:rPr>
          <w:rFonts w:ascii="Times New Roman" w:hAnsi="Times New Roman"/>
          <w:b w:val="0"/>
          <w:sz w:val="24"/>
          <w:szCs w:val="24"/>
        </w:rPr>
        <w:t>Изменения, внесенные в областной закон «Об областном бюджете» на 2019 год, связанные изменением параметров финансирования на 2019 год госпрограммы по главным распорядителям, млн.руб.</w:t>
      </w:r>
    </w:p>
    <w:tbl>
      <w:tblPr>
        <w:tblW w:w="9355" w:type="dxa"/>
        <w:tblInd w:w="-23" w:type="dxa"/>
        <w:tblLook w:val="04A0" w:firstRow="1" w:lastRow="0" w:firstColumn="1" w:lastColumn="0" w:noHBand="0" w:noVBand="1"/>
      </w:tblPr>
      <w:tblGrid>
        <w:gridCol w:w="2909"/>
        <w:gridCol w:w="2359"/>
        <w:gridCol w:w="2670"/>
        <w:gridCol w:w="1417"/>
      </w:tblGrid>
      <w:tr w:rsidR="00D470B6" w:rsidRPr="00A53AD7" w14:paraId="4AE9DEBB" w14:textId="77777777" w:rsidTr="00DC1FD2">
        <w:trPr>
          <w:trHeight w:val="188"/>
        </w:trPr>
        <w:tc>
          <w:tcPr>
            <w:tcW w:w="290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17ECBF2"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исполнителя</w:t>
            </w:r>
          </w:p>
        </w:tc>
        <w:tc>
          <w:tcPr>
            <w:tcW w:w="5029" w:type="dxa"/>
            <w:gridSpan w:val="2"/>
            <w:tcBorders>
              <w:top w:val="double" w:sz="6" w:space="0" w:color="auto"/>
              <w:left w:val="single" w:sz="4" w:space="0" w:color="auto"/>
              <w:bottom w:val="single" w:sz="4" w:space="0" w:color="auto"/>
              <w:right w:val="single" w:sz="4" w:space="0" w:color="auto"/>
            </w:tcBorders>
            <w:shd w:val="clear" w:color="auto" w:fill="auto"/>
            <w:vAlign w:val="center"/>
            <w:hideMark/>
          </w:tcPr>
          <w:p w14:paraId="7862A621"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Утверждено на 2019 год </w:t>
            </w:r>
          </w:p>
        </w:tc>
        <w:tc>
          <w:tcPr>
            <w:tcW w:w="1417" w:type="dxa"/>
            <w:tcBorders>
              <w:top w:val="double" w:sz="6" w:space="0" w:color="auto"/>
              <w:left w:val="single" w:sz="4" w:space="0" w:color="auto"/>
              <w:bottom w:val="single" w:sz="4" w:space="0" w:color="auto"/>
              <w:right w:val="double" w:sz="6" w:space="0" w:color="auto"/>
            </w:tcBorders>
            <w:shd w:val="clear" w:color="auto" w:fill="auto"/>
            <w:vAlign w:val="center"/>
            <w:hideMark/>
          </w:tcPr>
          <w:p w14:paraId="7B8C2810"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Изменения</w:t>
            </w:r>
          </w:p>
        </w:tc>
      </w:tr>
      <w:tr w:rsidR="00D470B6" w:rsidRPr="00A53AD7" w14:paraId="2293C52A" w14:textId="77777777" w:rsidTr="00DC1FD2">
        <w:trPr>
          <w:trHeight w:val="335"/>
        </w:trPr>
        <w:tc>
          <w:tcPr>
            <w:tcW w:w="2909" w:type="dxa"/>
            <w:vMerge/>
            <w:tcBorders>
              <w:top w:val="single" w:sz="4" w:space="0" w:color="auto"/>
              <w:left w:val="double" w:sz="6" w:space="0" w:color="auto"/>
              <w:bottom w:val="single" w:sz="4" w:space="0" w:color="auto"/>
              <w:right w:val="single" w:sz="4" w:space="0" w:color="auto"/>
            </w:tcBorders>
            <w:vAlign w:val="center"/>
            <w:hideMark/>
          </w:tcPr>
          <w:p w14:paraId="09127B96" w14:textId="77777777" w:rsidR="009B4728" w:rsidRPr="00A53AD7" w:rsidRDefault="009B4728" w:rsidP="009B4728">
            <w:pPr>
              <w:spacing w:after="0" w:line="240" w:lineRule="auto"/>
              <w:rPr>
                <w:rFonts w:ascii="Times New Roman" w:eastAsia="Times New Roman" w:hAnsi="Times New Roman"/>
                <w:sz w:val="20"/>
                <w:szCs w:val="20"/>
                <w:lang w:eastAsia="ru-RU"/>
              </w:rPr>
            </w:pPr>
          </w:p>
        </w:tc>
        <w:tc>
          <w:tcPr>
            <w:tcW w:w="2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BE031"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17.12.2018 № 35-4-ОЗ</w:t>
            </w:r>
          </w:p>
        </w:tc>
        <w:tc>
          <w:tcPr>
            <w:tcW w:w="2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748235"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ред. от 13.12.2019 № 189-13-ОЗ</w:t>
            </w:r>
          </w:p>
        </w:tc>
        <w:tc>
          <w:tcPr>
            <w:tcW w:w="1417"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45B3ECE4"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w:t>
            </w:r>
          </w:p>
        </w:tc>
      </w:tr>
      <w:tr w:rsidR="00D470B6" w:rsidRPr="00A53AD7" w14:paraId="38D4A414" w14:textId="77777777" w:rsidTr="00DC1FD2">
        <w:trPr>
          <w:trHeight w:hRule="exact" w:val="255"/>
        </w:trPr>
        <w:tc>
          <w:tcPr>
            <w:tcW w:w="2909"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19FFAA09" w14:textId="77777777" w:rsidR="009B4728" w:rsidRPr="00A53AD7" w:rsidRDefault="009B4728" w:rsidP="009B472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минстрой АО</w:t>
            </w:r>
          </w:p>
        </w:tc>
        <w:tc>
          <w:tcPr>
            <w:tcW w:w="2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AE394"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150</w:t>
            </w:r>
          </w:p>
        </w:tc>
        <w:tc>
          <w:tcPr>
            <w:tcW w:w="2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9631C"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w:t>
            </w:r>
          </w:p>
        </w:tc>
        <w:tc>
          <w:tcPr>
            <w:tcW w:w="1417"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4E0BE172"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-142,0</w:t>
            </w:r>
          </w:p>
        </w:tc>
      </w:tr>
      <w:tr w:rsidR="00D470B6" w:rsidRPr="00A53AD7" w14:paraId="1ED99341" w14:textId="77777777" w:rsidTr="00DC1FD2">
        <w:trPr>
          <w:trHeight w:hRule="exact" w:val="255"/>
        </w:trPr>
        <w:tc>
          <w:tcPr>
            <w:tcW w:w="2909"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50A75D5E" w14:textId="77777777" w:rsidR="009B4728" w:rsidRPr="00A53AD7" w:rsidRDefault="009B4728" w:rsidP="009B472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минобрнауки АО</w:t>
            </w:r>
          </w:p>
        </w:tc>
        <w:tc>
          <w:tcPr>
            <w:tcW w:w="2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5D1A4"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9,1</w:t>
            </w:r>
          </w:p>
        </w:tc>
        <w:tc>
          <w:tcPr>
            <w:tcW w:w="2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384909"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28,6</w:t>
            </w:r>
          </w:p>
        </w:tc>
        <w:tc>
          <w:tcPr>
            <w:tcW w:w="1417"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3356AA8C"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19,5</w:t>
            </w:r>
          </w:p>
        </w:tc>
      </w:tr>
      <w:tr w:rsidR="00D470B6" w:rsidRPr="00A53AD7" w14:paraId="15C1E71A" w14:textId="77777777" w:rsidTr="00DC1FD2">
        <w:trPr>
          <w:trHeight w:hRule="exact" w:val="255"/>
        </w:trPr>
        <w:tc>
          <w:tcPr>
            <w:tcW w:w="2909"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1BF2E8A7" w14:textId="77777777" w:rsidR="009B4728" w:rsidRPr="00A53AD7" w:rsidRDefault="009B4728" w:rsidP="009B472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администрация ГАО и ПАО</w:t>
            </w:r>
          </w:p>
        </w:tc>
        <w:tc>
          <w:tcPr>
            <w:tcW w:w="2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3FF72"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w:t>
            </w:r>
          </w:p>
        </w:tc>
        <w:tc>
          <w:tcPr>
            <w:tcW w:w="26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B9BC4"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1417" w:type="dxa"/>
            <w:tcBorders>
              <w:top w:val="single" w:sz="4" w:space="0" w:color="auto"/>
              <w:left w:val="single" w:sz="4" w:space="0" w:color="auto"/>
              <w:bottom w:val="single" w:sz="4" w:space="0" w:color="auto"/>
              <w:right w:val="double" w:sz="6" w:space="0" w:color="auto"/>
            </w:tcBorders>
            <w:shd w:val="clear" w:color="auto" w:fill="auto"/>
            <w:vAlign w:val="center"/>
            <w:hideMark/>
          </w:tcPr>
          <w:p w14:paraId="2293A8DD"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w:t>
            </w:r>
          </w:p>
        </w:tc>
      </w:tr>
      <w:tr w:rsidR="009B4728" w:rsidRPr="00A53AD7" w14:paraId="3A68079F" w14:textId="77777777" w:rsidTr="00DC1FD2">
        <w:trPr>
          <w:trHeight w:hRule="exact" w:val="255"/>
        </w:trPr>
        <w:tc>
          <w:tcPr>
            <w:tcW w:w="2909"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4ACB887E" w14:textId="77777777" w:rsidR="009B4728" w:rsidRPr="00A53AD7" w:rsidRDefault="009B4728" w:rsidP="009B472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Итого</w:t>
            </w:r>
          </w:p>
        </w:tc>
        <w:tc>
          <w:tcPr>
            <w:tcW w:w="2359"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7D401E84"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159,9</w:t>
            </w:r>
          </w:p>
        </w:tc>
        <w:tc>
          <w:tcPr>
            <w:tcW w:w="267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1FDF9881"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38,6</w:t>
            </w:r>
          </w:p>
        </w:tc>
        <w:tc>
          <w:tcPr>
            <w:tcW w:w="1417" w:type="dxa"/>
            <w:tcBorders>
              <w:top w:val="single" w:sz="4" w:space="0" w:color="auto"/>
              <w:left w:val="single" w:sz="4" w:space="0" w:color="auto"/>
              <w:bottom w:val="double" w:sz="6" w:space="0" w:color="auto"/>
              <w:right w:val="single" w:sz="8" w:space="0" w:color="auto"/>
            </w:tcBorders>
            <w:shd w:val="clear" w:color="auto" w:fill="auto"/>
            <w:vAlign w:val="center"/>
            <w:hideMark/>
          </w:tcPr>
          <w:p w14:paraId="5FEA4BBA" w14:textId="77777777" w:rsidR="009B4728" w:rsidRPr="00A53AD7" w:rsidRDefault="009B4728" w:rsidP="009B4728">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-121,3</w:t>
            </w:r>
          </w:p>
        </w:tc>
      </w:tr>
    </w:tbl>
    <w:p w14:paraId="43F92B90" w14:textId="77777777" w:rsidR="009B4728" w:rsidRPr="00A53AD7" w:rsidRDefault="009B4728" w:rsidP="009B4728">
      <w:pPr>
        <w:pStyle w:val="a8"/>
        <w:ind w:left="0" w:firstLine="851"/>
        <w:jc w:val="both"/>
        <w:rPr>
          <w:sz w:val="28"/>
          <w:szCs w:val="28"/>
        </w:rPr>
      </w:pPr>
    </w:p>
    <w:p w14:paraId="4909141F" w14:textId="2DAABE30" w:rsidR="009B4728" w:rsidRPr="00A53AD7" w:rsidRDefault="00DC1FD2" w:rsidP="009B4728">
      <w:pPr>
        <w:pStyle w:val="a8"/>
        <w:ind w:left="0" w:firstLine="851"/>
        <w:jc w:val="both"/>
        <w:rPr>
          <w:sz w:val="28"/>
          <w:szCs w:val="28"/>
        </w:rPr>
      </w:pPr>
      <w:r w:rsidRPr="00A53AD7">
        <w:rPr>
          <w:sz w:val="28"/>
          <w:szCs w:val="28"/>
        </w:rPr>
        <w:t>Р</w:t>
      </w:r>
      <w:r w:rsidR="009B4728" w:rsidRPr="00A53AD7">
        <w:rPr>
          <w:sz w:val="28"/>
          <w:szCs w:val="28"/>
        </w:rPr>
        <w:t>асходы минстро</w:t>
      </w:r>
      <w:r w:rsidRPr="00A53AD7">
        <w:rPr>
          <w:sz w:val="28"/>
          <w:szCs w:val="28"/>
        </w:rPr>
        <w:t>я</w:t>
      </w:r>
      <w:r w:rsidR="009B4728" w:rsidRPr="00A53AD7">
        <w:rPr>
          <w:sz w:val="28"/>
          <w:szCs w:val="28"/>
        </w:rPr>
        <w:t xml:space="preserve"> АО на 2019 год в отчетном периоде сократились на 142,0 млн.руб. или 94,7 % в сравнении с утвержденными первоначально показателями бюджета. Законом о внесении изменений в областной бюджет на 2019 год от 01.04.2019 № 68-6-ОЗ бюджетных ассигнования в сумме 120,0 млн.руб.</w:t>
      </w:r>
      <w:r w:rsidRPr="00A53AD7">
        <w:rPr>
          <w:sz w:val="28"/>
          <w:szCs w:val="28"/>
        </w:rPr>
        <w:t>,</w:t>
      </w:r>
      <w:r w:rsidR="009B4728" w:rsidRPr="00A53AD7">
        <w:rPr>
          <w:sz w:val="28"/>
          <w:szCs w:val="28"/>
        </w:rPr>
        <w:t xml:space="preserve"> запланированные минстрою АО на реализацию мероприятия «Проектирование и строительство здания специального учреждения УФМС в г. Архангельске» сокращены и перенесены на реализацию мероприятия ГП АО «Обеспечение качественным, доступным жильем и объектами инженерной инфраструктуры населения Архангельской области (2014 – 2024 годы)» на строительство 300-квартирного дома по пр. Московскому в г. Архангельске.</w:t>
      </w:r>
    </w:p>
    <w:p w14:paraId="7C55B6CF" w14:textId="185F60E0" w:rsidR="009B4728" w:rsidRPr="00A53AD7" w:rsidRDefault="009B4728" w:rsidP="009B4728">
      <w:pPr>
        <w:pStyle w:val="a8"/>
        <w:ind w:left="0" w:firstLine="851"/>
        <w:jc w:val="both"/>
        <w:rPr>
          <w:sz w:val="28"/>
          <w:szCs w:val="28"/>
        </w:rPr>
      </w:pPr>
      <w:r w:rsidRPr="00A53AD7">
        <w:rPr>
          <w:sz w:val="28"/>
          <w:szCs w:val="28"/>
        </w:rPr>
        <w:t>Законом о внесении изменений в областной бюджет на 2019 год от 02.07.2019 № 121-9-ОЗ и от 25.09.2019 № 125-10-ОЗ минстро</w:t>
      </w:r>
      <w:r w:rsidR="00DC1FD2" w:rsidRPr="00A53AD7">
        <w:rPr>
          <w:sz w:val="28"/>
          <w:szCs w:val="28"/>
        </w:rPr>
        <w:t>ю</w:t>
      </w:r>
      <w:r w:rsidRPr="00A53AD7">
        <w:rPr>
          <w:sz w:val="28"/>
          <w:szCs w:val="28"/>
        </w:rPr>
        <w:t xml:space="preserve"> АО увеличены расходы на реализацию выше указанного мероприятия госпрограммы в сумме 27,7 млн.руб и на 0,6 млн.руб. соответственно для заключения договора на технологическое присоединение к сетям электроснабжения здания специального учреждения УФМС в г. Архангельске.</w:t>
      </w:r>
    </w:p>
    <w:p w14:paraId="7F532353" w14:textId="131AC7B7" w:rsidR="009B4728" w:rsidRPr="00A53AD7" w:rsidRDefault="009B4728" w:rsidP="009B4728">
      <w:pPr>
        <w:pStyle w:val="a8"/>
        <w:ind w:left="0" w:firstLine="851"/>
        <w:jc w:val="both"/>
        <w:rPr>
          <w:sz w:val="28"/>
          <w:szCs w:val="28"/>
        </w:rPr>
      </w:pPr>
      <w:r w:rsidRPr="00A53AD7">
        <w:rPr>
          <w:sz w:val="28"/>
          <w:szCs w:val="28"/>
        </w:rPr>
        <w:t>Законом о внесении изменений в областной бюджет от 19.11.2019 № 117-12-ОЗ и от 13.12.2019 № 189-13-ОЗ бюджетные ассигнования, запланированные минстро</w:t>
      </w:r>
      <w:r w:rsidR="00DC1FD2" w:rsidRPr="00A53AD7">
        <w:rPr>
          <w:sz w:val="28"/>
          <w:szCs w:val="28"/>
        </w:rPr>
        <w:t>ю</w:t>
      </w:r>
      <w:r w:rsidRPr="00A53AD7">
        <w:rPr>
          <w:sz w:val="28"/>
          <w:szCs w:val="28"/>
        </w:rPr>
        <w:t xml:space="preserve"> АО на реализацию выше указанного мероприятия сокращены на 38,8 млн.руб. и 11,5 млн.руб., соответственно, в связи приостановлением производственных работ на объекте. </w:t>
      </w:r>
    </w:p>
    <w:p w14:paraId="337F185F" w14:textId="7795472B" w:rsidR="009B4728" w:rsidRPr="00A53AD7" w:rsidRDefault="009B4728" w:rsidP="009B4728">
      <w:pPr>
        <w:pStyle w:val="a8"/>
        <w:ind w:left="0" w:firstLine="851"/>
        <w:jc w:val="both"/>
        <w:rPr>
          <w:sz w:val="28"/>
          <w:szCs w:val="28"/>
        </w:rPr>
      </w:pPr>
      <w:r w:rsidRPr="00A53AD7">
        <w:rPr>
          <w:sz w:val="28"/>
          <w:szCs w:val="28"/>
        </w:rPr>
        <w:t xml:space="preserve">Исходя из вышеизложенного, ответственным исполнителем – администрацией </w:t>
      </w:r>
      <w:r w:rsidR="00DC1FD2" w:rsidRPr="00A53AD7">
        <w:rPr>
          <w:sz w:val="28"/>
          <w:szCs w:val="28"/>
        </w:rPr>
        <w:t>Губернатора Архангельской области и Правительства Архангельской области</w:t>
      </w:r>
      <w:r w:rsidRPr="00A53AD7">
        <w:rPr>
          <w:sz w:val="28"/>
          <w:szCs w:val="28"/>
        </w:rPr>
        <w:t xml:space="preserve"> недостаточно качественно спланированы расходы на реализацию в 2019 году мероприятия «Проектирование и строительство здания специального учреждения УФМС в г. Архангельске», а также сроки его реализации.</w:t>
      </w:r>
    </w:p>
    <w:p w14:paraId="2DD6B9AC" w14:textId="77777777" w:rsidR="009B4728" w:rsidRPr="00A53AD7" w:rsidRDefault="009B4728" w:rsidP="009B4728">
      <w:pPr>
        <w:pStyle w:val="a8"/>
        <w:ind w:left="0" w:firstLine="851"/>
        <w:jc w:val="both"/>
        <w:rPr>
          <w:sz w:val="28"/>
          <w:szCs w:val="28"/>
        </w:rPr>
      </w:pPr>
      <w:r w:rsidRPr="00A53AD7">
        <w:rPr>
          <w:sz w:val="28"/>
          <w:szCs w:val="28"/>
        </w:rPr>
        <w:t>Ассигнования минобрнауки АО на реализацию мероприятий подпрограммы № 4 «Профилактика экстремизма и терроризма в Архангельской области» госпрограммы за отчетный период увеличились на 19,5 млн.руб. или более чем в 3 раза, из них на установку и обслуживание систем видеонаблюдения в муниципальных образовательных организациях муниципальных организаций в Архангельской области» в сумме 9,5 млн.руб. и на установку ограждений территории образовательных организаций в сумме 10,0 млн.руб.</w:t>
      </w:r>
    </w:p>
    <w:p w14:paraId="219DC810" w14:textId="77777777" w:rsidR="009B4728" w:rsidRPr="00A53AD7" w:rsidRDefault="009B4728" w:rsidP="00DC1FD2">
      <w:pPr>
        <w:pStyle w:val="a8"/>
        <w:ind w:left="0" w:firstLine="851"/>
        <w:jc w:val="both"/>
        <w:rPr>
          <w:sz w:val="28"/>
          <w:szCs w:val="28"/>
        </w:rPr>
      </w:pPr>
      <w:r w:rsidRPr="00A53AD7">
        <w:rPr>
          <w:sz w:val="28"/>
          <w:szCs w:val="28"/>
        </w:rPr>
        <w:t>Расходы администрации ГАО и ПАО в отчетном периоде увеличились на 1,2 млн.руб. на создание и размещение телепрограммы, освещающей деятельность правоохранительных органов Архангельской области.</w:t>
      </w:r>
    </w:p>
    <w:p w14:paraId="3D10D9B7" w14:textId="436DDE3A" w:rsidR="009B4728" w:rsidRPr="00A53AD7" w:rsidRDefault="009B4728" w:rsidP="00DC1FD2">
      <w:pPr>
        <w:pStyle w:val="a8"/>
        <w:ind w:left="0" w:firstLine="851"/>
        <w:jc w:val="both"/>
        <w:rPr>
          <w:sz w:val="28"/>
          <w:szCs w:val="28"/>
        </w:rPr>
      </w:pPr>
      <w:r w:rsidRPr="00A53AD7">
        <w:rPr>
          <w:sz w:val="28"/>
          <w:szCs w:val="28"/>
        </w:rPr>
        <w:t>Кассовые расходы на реализацию государственной программы за 2019 год составили 38,2 млн.руб. или 99,2 % к показателям сводной бюджетной росписи за 2019 год. Информация о кассовых расходах в разрезе подпрограмм и главных распоря</w:t>
      </w:r>
      <w:r w:rsidR="00DC1FD2" w:rsidRPr="00A53AD7">
        <w:rPr>
          <w:sz w:val="28"/>
          <w:szCs w:val="28"/>
        </w:rPr>
        <w:t xml:space="preserve">дителей представлена в таблице </w:t>
      </w:r>
      <w:r w:rsidR="006B1B2F" w:rsidRPr="00A53AD7">
        <w:rPr>
          <w:sz w:val="28"/>
          <w:szCs w:val="28"/>
        </w:rPr>
        <w:t>42</w:t>
      </w:r>
      <w:r w:rsidRPr="00A53AD7">
        <w:rPr>
          <w:sz w:val="28"/>
          <w:szCs w:val="28"/>
        </w:rPr>
        <w:t>.</w:t>
      </w:r>
    </w:p>
    <w:p w14:paraId="4A7D1B65" w14:textId="77777777" w:rsidR="009B4728" w:rsidRPr="00A53AD7" w:rsidRDefault="009B4728" w:rsidP="00DC1FD2">
      <w:pPr>
        <w:pStyle w:val="a8"/>
        <w:ind w:left="0" w:firstLine="851"/>
        <w:jc w:val="both"/>
        <w:rPr>
          <w:sz w:val="28"/>
          <w:szCs w:val="28"/>
        </w:rPr>
      </w:pPr>
    </w:p>
    <w:p w14:paraId="3C90CA55" w14:textId="77777777" w:rsidR="009B4728" w:rsidRPr="00A53AD7" w:rsidRDefault="009B4728" w:rsidP="00DC1FD2">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42</w:t>
      </w:r>
      <w:r w:rsidRPr="00A53AD7">
        <w:rPr>
          <w:rFonts w:ascii="Times New Roman" w:hAnsi="Times New Roman"/>
          <w:b w:val="0"/>
          <w:sz w:val="24"/>
          <w:szCs w:val="24"/>
        </w:rPr>
        <w:fldChar w:fldCharType="end"/>
      </w:r>
      <w:r w:rsidRPr="00A53AD7">
        <w:rPr>
          <w:rFonts w:ascii="Times New Roman" w:hAnsi="Times New Roman"/>
          <w:b w:val="0"/>
          <w:sz w:val="24"/>
          <w:szCs w:val="24"/>
        </w:rPr>
        <w:t>. Исполнение госпрограммы за 2019 год, млн.руб.</w:t>
      </w:r>
    </w:p>
    <w:tbl>
      <w:tblPr>
        <w:tblW w:w="9649" w:type="dxa"/>
        <w:tblInd w:w="108" w:type="dxa"/>
        <w:tblLayout w:type="fixed"/>
        <w:tblLook w:val="04A0" w:firstRow="1" w:lastRow="0" w:firstColumn="1" w:lastColumn="0" w:noHBand="0" w:noVBand="1"/>
      </w:tblPr>
      <w:tblGrid>
        <w:gridCol w:w="1854"/>
        <w:gridCol w:w="1418"/>
        <w:gridCol w:w="1417"/>
        <w:gridCol w:w="1276"/>
        <w:gridCol w:w="1275"/>
        <w:gridCol w:w="1275"/>
        <w:gridCol w:w="1134"/>
      </w:tblGrid>
      <w:tr w:rsidR="00D470B6" w:rsidRPr="00A53AD7" w14:paraId="5BA508CB" w14:textId="77777777" w:rsidTr="00DC1FD2">
        <w:trPr>
          <w:trHeight w:val="142"/>
          <w:tblHeader/>
        </w:trPr>
        <w:tc>
          <w:tcPr>
            <w:tcW w:w="1854"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9AEF426" w14:textId="1DD679E5" w:rsidR="009B4728" w:rsidRPr="00A53AD7" w:rsidRDefault="00DC1FD2"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Исполнитель, соисполнитель</w:t>
            </w:r>
          </w:p>
        </w:tc>
        <w:tc>
          <w:tcPr>
            <w:tcW w:w="141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67D92467"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Показатели госпрограммы в ред. от 10.10.2019 № 571-пп</w:t>
            </w:r>
          </w:p>
        </w:tc>
        <w:tc>
          <w:tcPr>
            <w:tcW w:w="1417"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0567204"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Сводная бюджетная роспись на 2019 год по состоянию на 30.12.2019</w:t>
            </w:r>
          </w:p>
        </w:tc>
        <w:tc>
          <w:tcPr>
            <w:tcW w:w="12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F60BAD3"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Доведено предельных объемов финансирования за 2019 год</w:t>
            </w:r>
          </w:p>
        </w:tc>
        <w:tc>
          <w:tcPr>
            <w:tcW w:w="127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CEC1369"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 на 31.12.2019</w:t>
            </w:r>
          </w:p>
        </w:tc>
        <w:tc>
          <w:tcPr>
            <w:tcW w:w="2409" w:type="dxa"/>
            <w:gridSpan w:val="2"/>
            <w:tcBorders>
              <w:top w:val="double" w:sz="6" w:space="0" w:color="auto"/>
              <w:left w:val="nil"/>
              <w:bottom w:val="single" w:sz="4" w:space="0" w:color="auto"/>
              <w:right w:val="double" w:sz="6" w:space="0" w:color="000000"/>
            </w:tcBorders>
            <w:shd w:val="clear" w:color="auto" w:fill="auto"/>
            <w:vAlign w:val="center"/>
            <w:hideMark/>
          </w:tcPr>
          <w:p w14:paraId="27B1660F"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Процент исполнения </w:t>
            </w:r>
          </w:p>
        </w:tc>
      </w:tr>
      <w:tr w:rsidR="00D470B6" w:rsidRPr="00A53AD7" w14:paraId="4D179240" w14:textId="77777777" w:rsidTr="00DC1FD2">
        <w:trPr>
          <w:trHeight w:val="960"/>
          <w:tblHeader/>
        </w:trPr>
        <w:tc>
          <w:tcPr>
            <w:tcW w:w="1854" w:type="dxa"/>
            <w:vMerge/>
            <w:tcBorders>
              <w:top w:val="double" w:sz="6" w:space="0" w:color="auto"/>
              <w:left w:val="double" w:sz="6" w:space="0" w:color="auto"/>
              <w:bottom w:val="single" w:sz="4" w:space="0" w:color="auto"/>
              <w:right w:val="single" w:sz="4" w:space="0" w:color="auto"/>
            </w:tcBorders>
            <w:vAlign w:val="center"/>
            <w:hideMark/>
          </w:tcPr>
          <w:p w14:paraId="654F2830" w14:textId="77777777" w:rsidR="009B4728" w:rsidRPr="00A53AD7" w:rsidRDefault="009B4728" w:rsidP="009B4728">
            <w:pPr>
              <w:spacing w:after="0" w:line="240" w:lineRule="auto"/>
              <w:rPr>
                <w:rFonts w:ascii="Times New Roman" w:eastAsia="Times New Roman" w:hAnsi="Times New Roman"/>
                <w:lang w:eastAsia="ru-RU"/>
              </w:rPr>
            </w:pPr>
          </w:p>
        </w:tc>
        <w:tc>
          <w:tcPr>
            <w:tcW w:w="1418" w:type="dxa"/>
            <w:vMerge/>
            <w:tcBorders>
              <w:top w:val="double" w:sz="6" w:space="0" w:color="auto"/>
              <w:left w:val="single" w:sz="4" w:space="0" w:color="auto"/>
              <w:bottom w:val="single" w:sz="4" w:space="0" w:color="auto"/>
              <w:right w:val="single" w:sz="4" w:space="0" w:color="auto"/>
            </w:tcBorders>
            <w:vAlign w:val="center"/>
            <w:hideMark/>
          </w:tcPr>
          <w:p w14:paraId="28C5AE7A" w14:textId="77777777" w:rsidR="009B4728" w:rsidRPr="00A53AD7" w:rsidRDefault="009B4728" w:rsidP="009B4728">
            <w:pPr>
              <w:spacing w:after="0" w:line="240" w:lineRule="auto"/>
              <w:rPr>
                <w:rFonts w:ascii="Times New Roman" w:eastAsia="Times New Roman" w:hAnsi="Times New Roman"/>
                <w:lang w:eastAsia="ru-RU"/>
              </w:rPr>
            </w:pPr>
          </w:p>
        </w:tc>
        <w:tc>
          <w:tcPr>
            <w:tcW w:w="1417" w:type="dxa"/>
            <w:vMerge/>
            <w:tcBorders>
              <w:top w:val="double" w:sz="6" w:space="0" w:color="auto"/>
              <w:left w:val="single" w:sz="4" w:space="0" w:color="auto"/>
              <w:bottom w:val="single" w:sz="4" w:space="0" w:color="auto"/>
              <w:right w:val="single" w:sz="4" w:space="0" w:color="auto"/>
            </w:tcBorders>
            <w:vAlign w:val="center"/>
            <w:hideMark/>
          </w:tcPr>
          <w:p w14:paraId="42C34D85" w14:textId="77777777" w:rsidR="009B4728" w:rsidRPr="00A53AD7" w:rsidRDefault="009B4728" w:rsidP="009B4728">
            <w:pPr>
              <w:spacing w:after="0" w:line="240" w:lineRule="auto"/>
              <w:rPr>
                <w:rFonts w:ascii="Times New Roman" w:eastAsia="Times New Roman" w:hAnsi="Times New Roman"/>
                <w:lang w:eastAsia="ru-RU"/>
              </w:rPr>
            </w:pPr>
          </w:p>
        </w:tc>
        <w:tc>
          <w:tcPr>
            <w:tcW w:w="1276" w:type="dxa"/>
            <w:vMerge/>
            <w:tcBorders>
              <w:top w:val="double" w:sz="6" w:space="0" w:color="auto"/>
              <w:left w:val="single" w:sz="4" w:space="0" w:color="auto"/>
              <w:bottom w:val="single" w:sz="4" w:space="0" w:color="auto"/>
              <w:right w:val="single" w:sz="4" w:space="0" w:color="auto"/>
            </w:tcBorders>
            <w:vAlign w:val="center"/>
            <w:hideMark/>
          </w:tcPr>
          <w:p w14:paraId="5981C0EE" w14:textId="77777777" w:rsidR="009B4728" w:rsidRPr="00A53AD7" w:rsidRDefault="009B4728" w:rsidP="009B4728">
            <w:pPr>
              <w:spacing w:after="0" w:line="240" w:lineRule="auto"/>
              <w:rPr>
                <w:rFonts w:ascii="Times New Roman" w:eastAsia="Times New Roman" w:hAnsi="Times New Roman"/>
                <w:lang w:eastAsia="ru-RU"/>
              </w:rPr>
            </w:pPr>
          </w:p>
        </w:tc>
        <w:tc>
          <w:tcPr>
            <w:tcW w:w="1275" w:type="dxa"/>
            <w:vMerge/>
            <w:tcBorders>
              <w:top w:val="double" w:sz="6" w:space="0" w:color="auto"/>
              <w:left w:val="single" w:sz="4" w:space="0" w:color="auto"/>
              <w:bottom w:val="single" w:sz="4" w:space="0" w:color="auto"/>
              <w:right w:val="single" w:sz="4" w:space="0" w:color="auto"/>
            </w:tcBorders>
            <w:vAlign w:val="center"/>
            <w:hideMark/>
          </w:tcPr>
          <w:p w14:paraId="61D34D97" w14:textId="77777777" w:rsidR="009B4728" w:rsidRPr="00A53AD7" w:rsidRDefault="009B4728" w:rsidP="009B4728">
            <w:pPr>
              <w:spacing w:after="0" w:line="240" w:lineRule="auto"/>
              <w:rPr>
                <w:rFonts w:ascii="Times New Roman" w:eastAsia="Times New Roman" w:hAnsi="Times New Roman"/>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02547F9D"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сводной бюджетной росписи на год</w:t>
            </w:r>
          </w:p>
        </w:tc>
        <w:tc>
          <w:tcPr>
            <w:tcW w:w="1134" w:type="dxa"/>
            <w:tcBorders>
              <w:top w:val="nil"/>
              <w:left w:val="nil"/>
              <w:bottom w:val="single" w:sz="4" w:space="0" w:color="auto"/>
              <w:right w:val="double" w:sz="6" w:space="0" w:color="auto"/>
            </w:tcBorders>
            <w:shd w:val="clear" w:color="auto" w:fill="auto"/>
            <w:vAlign w:val="center"/>
            <w:hideMark/>
          </w:tcPr>
          <w:p w14:paraId="7EB050C5" w14:textId="480F0A4D" w:rsidR="009B4728" w:rsidRPr="00A53AD7" w:rsidRDefault="009B4728" w:rsidP="00DC1FD2">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 объемам финансирования</w:t>
            </w:r>
          </w:p>
        </w:tc>
      </w:tr>
      <w:tr w:rsidR="00D470B6" w:rsidRPr="00A53AD7" w14:paraId="226E7CDC" w14:textId="77777777" w:rsidTr="00DC1FD2">
        <w:trPr>
          <w:trHeight w:val="572"/>
        </w:trPr>
        <w:tc>
          <w:tcPr>
            <w:tcW w:w="9649" w:type="dxa"/>
            <w:gridSpan w:val="7"/>
            <w:tcBorders>
              <w:top w:val="single" w:sz="4" w:space="0" w:color="auto"/>
              <w:left w:val="double" w:sz="6" w:space="0" w:color="auto"/>
              <w:bottom w:val="single" w:sz="4" w:space="0" w:color="auto"/>
              <w:right w:val="double" w:sz="6" w:space="0" w:color="000000"/>
            </w:tcBorders>
            <w:shd w:val="clear" w:color="000000" w:fill="DAEEF3"/>
            <w:vAlign w:val="center"/>
            <w:hideMark/>
          </w:tcPr>
          <w:p w14:paraId="1C527566"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N 1 "Профилактика незаконного потребления наркотических средств и психотропных веществ, реабилитация и ресоциализация потребителей наркотических средств и психотропных веществ"</w:t>
            </w:r>
          </w:p>
        </w:tc>
      </w:tr>
      <w:tr w:rsidR="00D470B6" w:rsidRPr="00A53AD7" w14:paraId="107662C7" w14:textId="77777777" w:rsidTr="00DC1FD2">
        <w:trPr>
          <w:trHeight w:val="30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03B8BD3F"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418" w:type="dxa"/>
            <w:tcBorders>
              <w:top w:val="nil"/>
              <w:left w:val="nil"/>
              <w:bottom w:val="single" w:sz="4" w:space="0" w:color="auto"/>
              <w:right w:val="single" w:sz="4" w:space="0" w:color="auto"/>
            </w:tcBorders>
            <w:shd w:val="clear" w:color="auto" w:fill="auto"/>
            <w:vAlign w:val="center"/>
            <w:hideMark/>
          </w:tcPr>
          <w:p w14:paraId="6140CBA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w:t>
            </w:r>
          </w:p>
        </w:tc>
        <w:tc>
          <w:tcPr>
            <w:tcW w:w="1417" w:type="dxa"/>
            <w:tcBorders>
              <w:top w:val="nil"/>
              <w:left w:val="nil"/>
              <w:bottom w:val="single" w:sz="4" w:space="0" w:color="auto"/>
              <w:right w:val="single" w:sz="4" w:space="0" w:color="auto"/>
            </w:tcBorders>
            <w:shd w:val="clear" w:color="auto" w:fill="auto"/>
            <w:noWrap/>
            <w:vAlign w:val="center"/>
            <w:hideMark/>
          </w:tcPr>
          <w:p w14:paraId="0DD11D6F"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w:t>
            </w:r>
          </w:p>
        </w:tc>
        <w:tc>
          <w:tcPr>
            <w:tcW w:w="1276" w:type="dxa"/>
            <w:tcBorders>
              <w:top w:val="nil"/>
              <w:left w:val="nil"/>
              <w:bottom w:val="single" w:sz="4" w:space="0" w:color="auto"/>
              <w:right w:val="single" w:sz="4" w:space="0" w:color="auto"/>
            </w:tcBorders>
            <w:shd w:val="clear" w:color="auto" w:fill="auto"/>
            <w:noWrap/>
            <w:vAlign w:val="center"/>
            <w:hideMark/>
          </w:tcPr>
          <w:p w14:paraId="2A62F069"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w:t>
            </w:r>
          </w:p>
        </w:tc>
        <w:tc>
          <w:tcPr>
            <w:tcW w:w="1275" w:type="dxa"/>
            <w:tcBorders>
              <w:top w:val="nil"/>
              <w:left w:val="nil"/>
              <w:bottom w:val="single" w:sz="4" w:space="0" w:color="auto"/>
              <w:right w:val="single" w:sz="4" w:space="0" w:color="auto"/>
            </w:tcBorders>
            <w:shd w:val="clear" w:color="auto" w:fill="auto"/>
            <w:noWrap/>
            <w:vAlign w:val="center"/>
            <w:hideMark/>
          </w:tcPr>
          <w:p w14:paraId="30ADB1C1"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w:t>
            </w:r>
          </w:p>
        </w:tc>
        <w:tc>
          <w:tcPr>
            <w:tcW w:w="1275" w:type="dxa"/>
            <w:tcBorders>
              <w:top w:val="nil"/>
              <w:left w:val="nil"/>
              <w:bottom w:val="single" w:sz="4" w:space="0" w:color="auto"/>
              <w:right w:val="single" w:sz="4" w:space="0" w:color="auto"/>
            </w:tcBorders>
            <w:shd w:val="clear" w:color="auto" w:fill="auto"/>
            <w:noWrap/>
            <w:vAlign w:val="center"/>
            <w:hideMark/>
          </w:tcPr>
          <w:p w14:paraId="12890924"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90,9</w:t>
            </w:r>
          </w:p>
        </w:tc>
        <w:tc>
          <w:tcPr>
            <w:tcW w:w="1134" w:type="dxa"/>
            <w:tcBorders>
              <w:top w:val="nil"/>
              <w:left w:val="nil"/>
              <w:bottom w:val="single" w:sz="4" w:space="0" w:color="auto"/>
              <w:right w:val="double" w:sz="6" w:space="0" w:color="auto"/>
            </w:tcBorders>
            <w:shd w:val="clear" w:color="auto" w:fill="auto"/>
            <w:noWrap/>
            <w:vAlign w:val="center"/>
            <w:hideMark/>
          </w:tcPr>
          <w:p w14:paraId="2E305D41"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90,9</w:t>
            </w:r>
          </w:p>
        </w:tc>
      </w:tr>
      <w:tr w:rsidR="00D470B6" w:rsidRPr="00A53AD7" w14:paraId="380BC184" w14:textId="77777777" w:rsidTr="00DC1FD2">
        <w:trPr>
          <w:trHeight w:val="205"/>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28B82FCE"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минобрнауки АО</w:t>
            </w:r>
          </w:p>
        </w:tc>
        <w:tc>
          <w:tcPr>
            <w:tcW w:w="1418" w:type="dxa"/>
            <w:tcBorders>
              <w:top w:val="nil"/>
              <w:left w:val="nil"/>
              <w:bottom w:val="single" w:sz="4" w:space="0" w:color="auto"/>
              <w:right w:val="single" w:sz="4" w:space="0" w:color="auto"/>
            </w:tcBorders>
            <w:shd w:val="clear" w:color="auto" w:fill="auto"/>
            <w:vAlign w:val="center"/>
            <w:hideMark/>
          </w:tcPr>
          <w:p w14:paraId="3D0EBE90"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0,4</w:t>
            </w:r>
          </w:p>
        </w:tc>
        <w:tc>
          <w:tcPr>
            <w:tcW w:w="1417" w:type="dxa"/>
            <w:tcBorders>
              <w:top w:val="nil"/>
              <w:left w:val="nil"/>
              <w:bottom w:val="single" w:sz="4" w:space="0" w:color="auto"/>
              <w:right w:val="single" w:sz="4" w:space="0" w:color="auto"/>
            </w:tcBorders>
            <w:shd w:val="clear" w:color="auto" w:fill="auto"/>
            <w:vAlign w:val="center"/>
            <w:hideMark/>
          </w:tcPr>
          <w:p w14:paraId="79B17426"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0,4</w:t>
            </w:r>
          </w:p>
        </w:tc>
        <w:tc>
          <w:tcPr>
            <w:tcW w:w="1276" w:type="dxa"/>
            <w:tcBorders>
              <w:top w:val="nil"/>
              <w:left w:val="nil"/>
              <w:bottom w:val="single" w:sz="4" w:space="0" w:color="auto"/>
              <w:right w:val="single" w:sz="4" w:space="0" w:color="auto"/>
            </w:tcBorders>
            <w:shd w:val="clear" w:color="auto" w:fill="auto"/>
            <w:noWrap/>
            <w:vAlign w:val="center"/>
            <w:hideMark/>
          </w:tcPr>
          <w:p w14:paraId="27C1CDD7"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0,4</w:t>
            </w:r>
          </w:p>
        </w:tc>
        <w:tc>
          <w:tcPr>
            <w:tcW w:w="1275" w:type="dxa"/>
            <w:tcBorders>
              <w:top w:val="nil"/>
              <w:left w:val="nil"/>
              <w:bottom w:val="single" w:sz="4" w:space="0" w:color="auto"/>
              <w:right w:val="single" w:sz="4" w:space="0" w:color="auto"/>
            </w:tcBorders>
            <w:shd w:val="clear" w:color="auto" w:fill="auto"/>
            <w:noWrap/>
            <w:vAlign w:val="center"/>
            <w:hideMark/>
          </w:tcPr>
          <w:p w14:paraId="51028AA5"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0,4</w:t>
            </w:r>
          </w:p>
        </w:tc>
        <w:tc>
          <w:tcPr>
            <w:tcW w:w="1275" w:type="dxa"/>
            <w:tcBorders>
              <w:top w:val="nil"/>
              <w:left w:val="nil"/>
              <w:bottom w:val="single" w:sz="4" w:space="0" w:color="auto"/>
              <w:right w:val="single" w:sz="4" w:space="0" w:color="auto"/>
            </w:tcBorders>
            <w:shd w:val="clear" w:color="auto" w:fill="auto"/>
            <w:noWrap/>
            <w:vAlign w:val="center"/>
            <w:hideMark/>
          </w:tcPr>
          <w:p w14:paraId="698DB81A"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134" w:type="dxa"/>
            <w:tcBorders>
              <w:top w:val="nil"/>
              <w:left w:val="nil"/>
              <w:bottom w:val="single" w:sz="4" w:space="0" w:color="auto"/>
              <w:right w:val="double" w:sz="6" w:space="0" w:color="auto"/>
            </w:tcBorders>
            <w:shd w:val="clear" w:color="auto" w:fill="auto"/>
            <w:noWrap/>
            <w:vAlign w:val="center"/>
            <w:hideMark/>
          </w:tcPr>
          <w:p w14:paraId="7CDCA751"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57E8506D" w14:textId="77777777" w:rsidTr="00DC1FD2">
        <w:trPr>
          <w:trHeight w:val="48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360BBECB"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администрация ГАО и ПАО</w:t>
            </w:r>
          </w:p>
        </w:tc>
        <w:tc>
          <w:tcPr>
            <w:tcW w:w="1418" w:type="dxa"/>
            <w:tcBorders>
              <w:top w:val="nil"/>
              <w:left w:val="nil"/>
              <w:bottom w:val="single" w:sz="4" w:space="0" w:color="auto"/>
              <w:right w:val="single" w:sz="4" w:space="0" w:color="auto"/>
            </w:tcBorders>
            <w:shd w:val="clear" w:color="auto" w:fill="auto"/>
            <w:vAlign w:val="center"/>
            <w:hideMark/>
          </w:tcPr>
          <w:p w14:paraId="7BA3436A"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w:t>
            </w:r>
          </w:p>
        </w:tc>
        <w:tc>
          <w:tcPr>
            <w:tcW w:w="1417" w:type="dxa"/>
            <w:tcBorders>
              <w:top w:val="nil"/>
              <w:left w:val="nil"/>
              <w:bottom w:val="single" w:sz="4" w:space="0" w:color="auto"/>
              <w:right w:val="single" w:sz="4" w:space="0" w:color="auto"/>
            </w:tcBorders>
            <w:shd w:val="clear" w:color="auto" w:fill="auto"/>
            <w:vAlign w:val="center"/>
            <w:hideMark/>
          </w:tcPr>
          <w:p w14:paraId="415E394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w:t>
            </w:r>
          </w:p>
        </w:tc>
        <w:tc>
          <w:tcPr>
            <w:tcW w:w="1276" w:type="dxa"/>
            <w:tcBorders>
              <w:top w:val="nil"/>
              <w:left w:val="nil"/>
              <w:bottom w:val="single" w:sz="4" w:space="0" w:color="auto"/>
              <w:right w:val="single" w:sz="4" w:space="0" w:color="auto"/>
            </w:tcBorders>
            <w:shd w:val="clear" w:color="auto" w:fill="auto"/>
            <w:noWrap/>
            <w:vAlign w:val="center"/>
            <w:hideMark/>
          </w:tcPr>
          <w:p w14:paraId="56C78DA4"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0,7</w:t>
            </w:r>
          </w:p>
        </w:tc>
        <w:tc>
          <w:tcPr>
            <w:tcW w:w="1275" w:type="dxa"/>
            <w:tcBorders>
              <w:top w:val="nil"/>
              <w:left w:val="nil"/>
              <w:bottom w:val="single" w:sz="4" w:space="0" w:color="auto"/>
              <w:right w:val="single" w:sz="4" w:space="0" w:color="auto"/>
            </w:tcBorders>
            <w:shd w:val="clear" w:color="auto" w:fill="auto"/>
            <w:noWrap/>
            <w:vAlign w:val="center"/>
            <w:hideMark/>
          </w:tcPr>
          <w:p w14:paraId="40919F4D"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0,6</w:t>
            </w:r>
          </w:p>
        </w:tc>
        <w:tc>
          <w:tcPr>
            <w:tcW w:w="1275" w:type="dxa"/>
            <w:tcBorders>
              <w:top w:val="nil"/>
              <w:left w:val="nil"/>
              <w:bottom w:val="single" w:sz="4" w:space="0" w:color="auto"/>
              <w:right w:val="single" w:sz="4" w:space="0" w:color="auto"/>
            </w:tcBorders>
            <w:shd w:val="clear" w:color="auto" w:fill="auto"/>
            <w:noWrap/>
            <w:vAlign w:val="center"/>
            <w:hideMark/>
          </w:tcPr>
          <w:p w14:paraId="2D9914D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85,7</w:t>
            </w:r>
          </w:p>
        </w:tc>
        <w:tc>
          <w:tcPr>
            <w:tcW w:w="1134" w:type="dxa"/>
            <w:tcBorders>
              <w:top w:val="nil"/>
              <w:left w:val="nil"/>
              <w:bottom w:val="single" w:sz="4" w:space="0" w:color="auto"/>
              <w:right w:val="double" w:sz="6" w:space="0" w:color="auto"/>
            </w:tcBorders>
            <w:shd w:val="clear" w:color="auto" w:fill="auto"/>
            <w:noWrap/>
            <w:vAlign w:val="center"/>
            <w:hideMark/>
          </w:tcPr>
          <w:p w14:paraId="64C0EA4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0430C5F5" w14:textId="77777777" w:rsidTr="00DC1FD2">
        <w:trPr>
          <w:trHeight w:val="132"/>
        </w:trPr>
        <w:tc>
          <w:tcPr>
            <w:tcW w:w="9649" w:type="dxa"/>
            <w:gridSpan w:val="7"/>
            <w:tcBorders>
              <w:top w:val="single" w:sz="4" w:space="0" w:color="auto"/>
              <w:left w:val="double" w:sz="6" w:space="0" w:color="auto"/>
              <w:bottom w:val="single" w:sz="4" w:space="0" w:color="auto"/>
              <w:right w:val="double" w:sz="6" w:space="0" w:color="000000"/>
            </w:tcBorders>
            <w:shd w:val="clear" w:color="000000" w:fill="DAEEF3"/>
            <w:vAlign w:val="center"/>
            <w:hideMark/>
          </w:tcPr>
          <w:p w14:paraId="06624D01"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N 2 "Профилактика преступлений и иных правонарушений в Архангельской области"</w:t>
            </w:r>
          </w:p>
        </w:tc>
      </w:tr>
      <w:tr w:rsidR="00D470B6" w:rsidRPr="00A53AD7" w14:paraId="39F9606A" w14:textId="77777777" w:rsidTr="00DC1FD2">
        <w:trPr>
          <w:trHeight w:val="30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5E26EA0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418" w:type="dxa"/>
            <w:tcBorders>
              <w:top w:val="nil"/>
              <w:left w:val="nil"/>
              <w:bottom w:val="single" w:sz="4" w:space="0" w:color="auto"/>
              <w:right w:val="single" w:sz="4" w:space="0" w:color="auto"/>
            </w:tcBorders>
            <w:shd w:val="clear" w:color="auto" w:fill="auto"/>
            <w:noWrap/>
            <w:vAlign w:val="center"/>
            <w:hideMark/>
          </w:tcPr>
          <w:p w14:paraId="15ECAD7E"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w:t>
            </w:r>
          </w:p>
        </w:tc>
        <w:tc>
          <w:tcPr>
            <w:tcW w:w="1417" w:type="dxa"/>
            <w:tcBorders>
              <w:top w:val="nil"/>
              <w:left w:val="nil"/>
              <w:bottom w:val="single" w:sz="4" w:space="0" w:color="auto"/>
              <w:right w:val="single" w:sz="4" w:space="0" w:color="auto"/>
            </w:tcBorders>
            <w:shd w:val="clear" w:color="auto" w:fill="auto"/>
            <w:noWrap/>
            <w:vAlign w:val="center"/>
            <w:hideMark/>
          </w:tcPr>
          <w:p w14:paraId="33C86EED"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w:t>
            </w:r>
          </w:p>
        </w:tc>
        <w:tc>
          <w:tcPr>
            <w:tcW w:w="1276" w:type="dxa"/>
            <w:tcBorders>
              <w:top w:val="nil"/>
              <w:left w:val="nil"/>
              <w:bottom w:val="single" w:sz="4" w:space="0" w:color="auto"/>
              <w:right w:val="single" w:sz="4" w:space="0" w:color="auto"/>
            </w:tcBorders>
            <w:shd w:val="clear" w:color="auto" w:fill="auto"/>
            <w:noWrap/>
            <w:vAlign w:val="center"/>
            <w:hideMark/>
          </w:tcPr>
          <w:p w14:paraId="2B543DC2"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9,3</w:t>
            </w:r>
          </w:p>
        </w:tc>
        <w:tc>
          <w:tcPr>
            <w:tcW w:w="1275" w:type="dxa"/>
            <w:tcBorders>
              <w:top w:val="nil"/>
              <w:left w:val="nil"/>
              <w:bottom w:val="single" w:sz="4" w:space="0" w:color="auto"/>
              <w:right w:val="single" w:sz="4" w:space="0" w:color="auto"/>
            </w:tcBorders>
            <w:shd w:val="clear" w:color="auto" w:fill="auto"/>
            <w:noWrap/>
            <w:vAlign w:val="center"/>
            <w:hideMark/>
          </w:tcPr>
          <w:p w14:paraId="59D2162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9,2</w:t>
            </w:r>
          </w:p>
        </w:tc>
        <w:tc>
          <w:tcPr>
            <w:tcW w:w="1275" w:type="dxa"/>
            <w:tcBorders>
              <w:top w:val="nil"/>
              <w:left w:val="nil"/>
              <w:bottom w:val="single" w:sz="4" w:space="0" w:color="auto"/>
              <w:right w:val="single" w:sz="4" w:space="0" w:color="auto"/>
            </w:tcBorders>
            <w:shd w:val="clear" w:color="auto" w:fill="auto"/>
            <w:noWrap/>
            <w:vAlign w:val="center"/>
            <w:hideMark/>
          </w:tcPr>
          <w:p w14:paraId="6BA834AC"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98,9</w:t>
            </w:r>
          </w:p>
        </w:tc>
        <w:tc>
          <w:tcPr>
            <w:tcW w:w="1134" w:type="dxa"/>
            <w:tcBorders>
              <w:top w:val="nil"/>
              <w:left w:val="nil"/>
              <w:bottom w:val="single" w:sz="4" w:space="0" w:color="auto"/>
              <w:right w:val="double" w:sz="6" w:space="0" w:color="auto"/>
            </w:tcBorders>
            <w:shd w:val="clear" w:color="auto" w:fill="auto"/>
            <w:noWrap/>
            <w:vAlign w:val="center"/>
            <w:hideMark/>
          </w:tcPr>
          <w:p w14:paraId="2EF9A34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98,9</w:t>
            </w:r>
          </w:p>
        </w:tc>
      </w:tr>
      <w:tr w:rsidR="00D470B6" w:rsidRPr="00A53AD7" w14:paraId="06F1F96C" w14:textId="77777777" w:rsidTr="00DC1FD2">
        <w:trPr>
          <w:trHeight w:val="14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2EF48DE3"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минобрнауки АО</w:t>
            </w:r>
          </w:p>
        </w:tc>
        <w:tc>
          <w:tcPr>
            <w:tcW w:w="1418" w:type="dxa"/>
            <w:tcBorders>
              <w:top w:val="nil"/>
              <w:left w:val="nil"/>
              <w:bottom w:val="single" w:sz="4" w:space="0" w:color="auto"/>
              <w:right w:val="single" w:sz="4" w:space="0" w:color="auto"/>
            </w:tcBorders>
            <w:shd w:val="clear" w:color="auto" w:fill="auto"/>
            <w:vAlign w:val="center"/>
            <w:hideMark/>
          </w:tcPr>
          <w:p w14:paraId="76F40CF6"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 0,1</w:t>
            </w:r>
          </w:p>
        </w:tc>
        <w:tc>
          <w:tcPr>
            <w:tcW w:w="1417" w:type="dxa"/>
            <w:tcBorders>
              <w:top w:val="nil"/>
              <w:left w:val="nil"/>
              <w:bottom w:val="single" w:sz="4" w:space="0" w:color="auto"/>
              <w:right w:val="single" w:sz="4" w:space="0" w:color="auto"/>
            </w:tcBorders>
            <w:shd w:val="clear" w:color="auto" w:fill="auto"/>
            <w:vAlign w:val="center"/>
            <w:hideMark/>
          </w:tcPr>
          <w:p w14:paraId="0BA22EDC"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0,1</w:t>
            </w:r>
          </w:p>
        </w:tc>
        <w:tc>
          <w:tcPr>
            <w:tcW w:w="1276" w:type="dxa"/>
            <w:tcBorders>
              <w:top w:val="nil"/>
              <w:left w:val="nil"/>
              <w:bottom w:val="single" w:sz="4" w:space="0" w:color="auto"/>
              <w:right w:val="single" w:sz="4" w:space="0" w:color="auto"/>
            </w:tcBorders>
            <w:shd w:val="clear" w:color="auto" w:fill="auto"/>
            <w:noWrap/>
            <w:vAlign w:val="center"/>
            <w:hideMark/>
          </w:tcPr>
          <w:p w14:paraId="67EC5A34"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0,1</w:t>
            </w:r>
          </w:p>
        </w:tc>
        <w:tc>
          <w:tcPr>
            <w:tcW w:w="1275" w:type="dxa"/>
            <w:tcBorders>
              <w:top w:val="nil"/>
              <w:left w:val="nil"/>
              <w:bottom w:val="single" w:sz="4" w:space="0" w:color="auto"/>
              <w:right w:val="single" w:sz="4" w:space="0" w:color="auto"/>
            </w:tcBorders>
            <w:shd w:val="clear" w:color="auto" w:fill="auto"/>
            <w:noWrap/>
            <w:vAlign w:val="center"/>
            <w:hideMark/>
          </w:tcPr>
          <w:p w14:paraId="714D6424"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0,1</w:t>
            </w:r>
          </w:p>
        </w:tc>
        <w:tc>
          <w:tcPr>
            <w:tcW w:w="1275" w:type="dxa"/>
            <w:tcBorders>
              <w:top w:val="nil"/>
              <w:left w:val="nil"/>
              <w:bottom w:val="single" w:sz="4" w:space="0" w:color="auto"/>
              <w:right w:val="single" w:sz="4" w:space="0" w:color="auto"/>
            </w:tcBorders>
            <w:shd w:val="clear" w:color="auto" w:fill="auto"/>
            <w:noWrap/>
            <w:vAlign w:val="center"/>
            <w:hideMark/>
          </w:tcPr>
          <w:p w14:paraId="41079E7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134" w:type="dxa"/>
            <w:tcBorders>
              <w:top w:val="nil"/>
              <w:left w:val="nil"/>
              <w:bottom w:val="single" w:sz="4" w:space="0" w:color="auto"/>
              <w:right w:val="double" w:sz="6" w:space="0" w:color="auto"/>
            </w:tcBorders>
            <w:shd w:val="clear" w:color="auto" w:fill="auto"/>
            <w:noWrap/>
            <w:vAlign w:val="center"/>
            <w:hideMark/>
          </w:tcPr>
          <w:p w14:paraId="5C56BF3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2A7AF5A5" w14:textId="77777777" w:rsidTr="00DC1FD2">
        <w:trPr>
          <w:trHeight w:val="30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0BFA5B4F"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минстрой АО</w:t>
            </w:r>
          </w:p>
        </w:tc>
        <w:tc>
          <w:tcPr>
            <w:tcW w:w="1418" w:type="dxa"/>
            <w:tcBorders>
              <w:top w:val="nil"/>
              <w:left w:val="nil"/>
              <w:bottom w:val="single" w:sz="4" w:space="0" w:color="auto"/>
              <w:right w:val="single" w:sz="4" w:space="0" w:color="auto"/>
            </w:tcBorders>
            <w:shd w:val="clear" w:color="auto" w:fill="auto"/>
            <w:vAlign w:val="center"/>
            <w:hideMark/>
          </w:tcPr>
          <w:p w14:paraId="1E8DAC95"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8,0</w:t>
            </w:r>
          </w:p>
        </w:tc>
        <w:tc>
          <w:tcPr>
            <w:tcW w:w="1417" w:type="dxa"/>
            <w:tcBorders>
              <w:top w:val="nil"/>
              <w:left w:val="nil"/>
              <w:bottom w:val="single" w:sz="4" w:space="0" w:color="auto"/>
              <w:right w:val="single" w:sz="4" w:space="0" w:color="auto"/>
            </w:tcBorders>
            <w:shd w:val="clear" w:color="auto" w:fill="auto"/>
            <w:vAlign w:val="center"/>
            <w:hideMark/>
          </w:tcPr>
          <w:p w14:paraId="3C22A386"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8,0</w:t>
            </w:r>
          </w:p>
        </w:tc>
        <w:tc>
          <w:tcPr>
            <w:tcW w:w="1276" w:type="dxa"/>
            <w:tcBorders>
              <w:top w:val="nil"/>
              <w:left w:val="nil"/>
              <w:bottom w:val="single" w:sz="4" w:space="0" w:color="auto"/>
              <w:right w:val="single" w:sz="4" w:space="0" w:color="auto"/>
            </w:tcBorders>
            <w:shd w:val="clear" w:color="auto" w:fill="auto"/>
            <w:noWrap/>
            <w:vAlign w:val="center"/>
            <w:hideMark/>
          </w:tcPr>
          <w:p w14:paraId="17E82BE4"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8,0</w:t>
            </w:r>
          </w:p>
        </w:tc>
        <w:tc>
          <w:tcPr>
            <w:tcW w:w="1275" w:type="dxa"/>
            <w:tcBorders>
              <w:top w:val="nil"/>
              <w:left w:val="nil"/>
              <w:bottom w:val="single" w:sz="4" w:space="0" w:color="auto"/>
              <w:right w:val="single" w:sz="4" w:space="0" w:color="auto"/>
            </w:tcBorders>
            <w:shd w:val="clear" w:color="auto" w:fill="auto"/>
            <w:noWrap/>
            <w:vAlign w:val="center"/>
            <w:hideMark/>
          </w:tcPr>
          <w:p w14:paraId="40E885FF"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7,9</w:t>
            </w:r>
          </w:p>
        </w:tc>
        <w:tc>
          <w:tcPr>
            <w:tcW w:w="1275" w:type="dxa"/>
            <w:tcBorders>
              <w:top w:val="nil"/>
              <w:left w:val="nil"/>
              <w:bottom w:val="single" w:sz="4" w:space="0" w:color="auto"/>
              <w:right w:val="single" w:sz="4" w:space="0" w:color="auto"/>
            </w:tcBorders>
            <w:shd w:val="clear" w:color="auto" w:fill="auto"/>
            <w:noWrap/>
            <w:vAlign w:val="center"/>
            <w:hideMark/>
          </w:tcPr>
          <w:p w14:paraId="33695C02"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98,8</w:t>
            </w:r>
          </w:p>
        </w:tc>
        <w:tc>
          <w:tcPr>
            <w:tcW w:w="1134" w:type="dxa"/>
            <w:tcBorders>
              <w:top w:val="nil"/>
              <w:left w:val="nil"/>
              <w:bottom w:val="single" w:sz="4" w:space="0" w:color="auto"/>
              <w:right w:val="double" w:sz="6" w:space="0" w:color="auto"/>
            </w:tcBorders>
            <w:shd w:val="clear" w:color="auto" w:fill="auto"/>
            <w:noWrap/>
            <w:vAlign w:val="center"/>
            <w:hideMark/>
          </w:tcPr>
          <w:p w14:paraId="6BFB806E"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w:t>
            </w:r>
          </w:p>
        </w:tc>
      </w:tr>
      <w:tr w:rsidR="00D470B6" w:rsidRPr="00A53AD7" w14:paraId="6D1BD9FF" w14:textId="77777777" w:rsidTr="00DC1FD2">
        <w:trPr>
          <w:trHeight w:val="48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4A2E942E"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администрация ГАО и ПАО</w:t>
            </w:r>
          </w:p>
        </w:tc>
        <w:tc>
          <w:tcPr>
            <w:tcW w:w="1418" w:type="dxa"/>
            <w:tcBorders>
              <w:top w:val="nil"/>
              <w:left w:val="nil"/>
              <w:bottom w:val="single" w:sz="4" w:space="0" w:color="auto"/>
              <w:right w:val="single" w:sz="4" w:space="0" w:color="auto"/>
            </w:tcBorders>
            <w:shd w:val="clear" w:color="auto" w:fill="auto"/>
            <w:vAlign w:val="center"/>
            <w:hideMark/>
          </w:tcPr>
          <w:p w14:paraId="77F78F5C"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 1,2</w:t>
            </w:r>
          </w:p>
        </w:tc>
        <w:tc>
          <w:tcPr>
            <w:tcW w:w="1417" w:type="dxa"/>
            <w:tcBorders>
              <w:top w:val="nil"/>
              <w:left w:val="nil"/>
              <w:bottom w:val="single" w:sz="4" w:space="0" w:color="auto"/>
              <w:right w:val="single" w:sz="4" w:space="0" w:color="auto"/>
            </w:tcBorders>
            <w:shd w:val="clear" w:color="auto" w:fill="auto"/>
            <w:vAlign w:val="center"/>
            <w:hideMark/>
          </w:tcPr>
          <w:p w14:paraId="6F43B6C7"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1,2</w:t>
            </w:r>
          </w:p>
        </w:tc>
        <w:tc>
          <w:tcPr>
            <w:tcW w:w="1276" w:type="dxa"/>
            <w:tcBorders>
              <w:top w:val="nil"/>
              <w:left w:val="nil"/>
              <w:bottom w:val="single" w:sz="4" w:space="0" w:color="auto"/>
              <w:right w:val="single" w:sz="4" w:space="0" w:color="auto"/>
            </w:tcBorders>
            <w:shd w:val="clear" w:color="auto" w:fill="auto"/>
            <w:noWrap/>
            <w:vAlign w:val="center"/>
            <w:hideMark/>
          </w:tcPr>
          <w:p w14:paraId="13C7E1F6"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1,2</w:t>
            </w:r>
          </w:p>
        </w:tc>
        <w:tc>
          <w:tcPr>
            <w:tcW w:w="1275" w:type="dxa"/>
            <w:tcBorders>
              <w:top w:val="nil"/>
              <w:left w:val="nil"/>
              <w:bottom w:val="single" w:sz="4" w:space="0" w:color="auto"/>
              <w:right w:val="single" w:sz="4" w:space="0" w:color="auto"/>
            </w:tcBorders>
            <w:shd w:val="clear" w:color="auto" w:fill="auto"/>
            <w:noWrap/>
            <w:vAlign w:val="center"/>
            <w:hideMark/>
          </w:tcPr>
          <w:p w14:paraId="763462F8"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1,2</w:t>
            </w:r>
          </w:p>
        </w:tc>
        <w:tc>
          <w:tcPr>
            <w:tcW w:w="1275" w:type="dxa"/>
            <w:tcBorders>
              <w:top w:val="nil"/>
              <w:left w:val="nil"/>
              <w:bottom w:val="single" w:sz="4" w:space="0" w:color="auto"/>
              <w:right w:val="single" w:sz="4" w:space="0" w:color="auto"/>
            </w:tcBorders>
            <w:shd w:val="clear" w:color="auto" w:fill="auto"/>
            <w:noWrap/>
            <w:vAlign w:val="center"/>
            <w:hideMark/>
          </w:tcPr>
          <w:p w14:paraId="52C5C4AB"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134" w:type="dxa"/>
            <w:tcBorders>
              <w:top w:val="nil"/>
              <w:left w:val="nil"/>
              <w:bottom w:val="single" w:sz="4" w:space="0" w:color="auto"/>
              <w:right w:val="double" w:sz="6" w:space="0" w:color="auto"/>
            </w:tcBorders>
            <w:shd w:val="clear" w:color="auto" w:fill="auto"/>
            <w:noWrap/>
            <w:vAlign w:val="center"/>
            <w:hideMark/>
          </w:tcPr>
          <w:p w14:paraId="0816C8A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366859AA" w14:textId="77777777" w:rsidTr="00DC1FD2">
        <w:trPr>
          <w:trHeight w:val="170"/>
        </w:trPr>
        <w:tc>
          <w:tcPr>
            <w:tcW w:w="9649" w:type="dxa"/>
            <w:gridSpan w:val="7"/>
            <w:tcBorders>
              <w:top w:val="single" w:sz="4" w:space="0" w:color="auto"/>
              <w:left w:val="double" w:sz="6" w:space="0" w:color="auto"/>
              <w:bottom w:val="single" w:sz="4" w:space="0" w:color="auto"/>
              <w:right w:val="double" w:sz="6" w:space="0" w:color="000000"/>
            </w:tcBorders>
            <w:shd w:val="clear" w:color="000000" w:fill="DAEEF3"/>
            <w:vAlign w:val="center"/>
            <w:hideMark/>
          </w:tcPr>
          <w:p w14:paraId="60870219" w14:textId="77777777" w:rsidR="009B4728" w:rsidRPr="00A53AD7" w:rsidRDefault="009B4728" w:rsidP="009B4728">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N 4 "Профилактика экстремизма и терроризма в Архангельской области"</w:t>
            </w:r>
          </w:p>
        </w:tc>
      </w:tr>
      <w:tr w:rsidR="00D470B6" w:rsidRPr="00A53AD7" w14:paraId="279F24DB" w14:textId="77777777" w:rsidTr="00DC1FD2">
        <w:trPr>
          <w:trHeight w:val="30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5C44ADC4"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418" w:type="dxa"/>
            <w:tcBorders>
              <w:top w:val="nil"/>
              <w:left w:val="nil"/>
              <w:bottom w:val="single" w:sz="4" w:space="0" w:color="auto"/>
              <w:right w:val="single" w:sz="4" w:space="0" w:color="auto"/>
            </w:tcBorders>
            <w:shd w:val="clear" w:color="auto" w:fill="auto"/>
            <w:noWrap/>
            <w:vAlign w:val="center"/>
            <w:hideMark/>
          </w:tcPr>
          <w:p w14:paraId="51CB1E54"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28,2</w:t>
            </w:r>
          </w:p>
        </w:tc>
        <w:tc>
          <w:tcPr>
            <w:tcW w:w="1417" w:type="dxa"/>
            <w:tcBorders>
              <w:top w:val="nil"/>
              <w:left w:val="nil"/>
              <w:bottom w:val="single" w:sz="4" w:space="0" w:color="auto"/>
              <w:right w:val="single" w:sz="4" w:space="0" w:color="auto"/>
            </w:tcBorders>
            <w:shd w:val="clear" w:color="auto" w:fill="auto"/>
            <w:noWrap/>
            <w:vAlign w:val="center"/>
            <w:hideMark/>
          </w:tcPr>
          <w:p w14:paraId="78576C7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28,2</w:t>
            </w:r>
          </w:p>
        </w:tc>
        <w:tc>
          <w:tcPr>
            <w:tcW w:w="1276" w:type="dxa"/>
            <w:tcBorders>
              <w:top w:val="nil"/>
              <w:left w:val="nil"/>
              <w:bottom w:val="single" w:sz="4" w:space="0" w:color="auto"/>
              <w:right w:val="single" w:sz="4" w:space="0" w:color="auto"/>
            </w:tcBorders>
            <w:shd w:val="clear" w:color="auto" w:fill="auto"/>
            <w:noWrap/>
            <w:vAlign w:val="center"/>
            <w:hideMark/>
          </w:tcPr>
          <w:p w14:paraId="4CE8AC94"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28,2</w:t>
            </w:r>
          </w:p>
        </w:tc>
        <w:tc>
          <w:tcPr>
            <w:tcW w:w="1275" w:type="dxa"/>
            <w:tcBorders>
              <w:top w:val="nil"/>
              <w:left w:val="nil"/>
              <w:bottom w:val="single" w:sz="4" w:space="0" w:color="auto"/>
              <w:right w:val="single" w:sz="4" w:space="0" w:color="auto"/>
            </w:tcBorders>
            <w:shd w:val="clear" w:color="auto" w:fill="auto"/>
            <w:noWrap/>
            <w:vAlign w:val="center"/>
            <w:hideMark/>
          </w:tcPr>
          <w:p w14:paraId="15318F26"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28,0</w:t>
            </w:r>
          </w:p>
        </w:tc>
        <w:tc>
          <w:tcPr>
            <w:tcW w:w="1275" w:type="dxa"/>
            <w:tcBorders>
              <w:top w:val="nil"/>
              <w:left w:val="nil"/>
              <w:bottom w:val="single" w:sz="4" w:space="0" w:color="auto"/>
              <w:right w:val="single" w:sz="4" w:space="0" w:color="auto"/>
            </w:tcBorders>
            <w:shd w:val="clear" w:color="auto" w:fill="auto"/>
            <w:noWrap/>
            <w:vAlign w:val="center"/>
            <w:hideMark/>
          </w:tcPr>
          <w:p w14:paraId="294D4F11"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c>
          <w:tcPr>
            <w:tcW w:w="1134" w:type="dxa"/>
            <w:tcBorders>
              <w:top w:val="nil"/>
              <w:left w:val="nil"/>
              <w:bottom w:val="single" w:sz="4" w:space="0" w:color="auto"/>
              <w:right w:val="double" w:sz="6" w:space="0" w:color="auto"/>
            </w:tcBorders>
            <w:shd w:val="clear" w:color="auto" w:fill="auto"/>
            <w:noWrap/>
            <w:vAlign w:val="center"/>
            <w:hideMark/>
          </w:tcPr>
          <w:p w14:paraId="15DF03BD"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r>
      <w:tr w:rsidR="00D470B6" w:rsidRPr="00A53AD7" w14:paraId="453D149D" w14:textId="77777777" w:rsidTr="00DC1FD2">
        <w:trPr>
          <w:trHeight w:val="480"/>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1F55AC12"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администрация ГАО и ПАО</w:t>
            </w:r>
          </w:p>
        </w:tc>
        <w:tc>
          <w:tcPr>
            <w:tcW w:w="1418" w:type="dxa"/>
            <w:tcBorders>
              <w:top w:val="nil"/>
              <w:left w:val="nil"/>
              <w:bottom w:val="single" w:sz="4" w:space="0" w:color="auto"/>
              <w:right w:val="single" w:sz="4" w:space="0" w:color="auto"/>
            </w:tcBorders>
            <w:shd w:val="clear" w:color="auto" w:fill="auto"/>
            <w:vAlign w:val="center"/>
            <w:hideMark/>
          </w:tcPr>
          <w:p w14:paraId="34B6DF18"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0,1</w:t>
            </w:r>
          </w:p>
        </w:tc>
        <w:tc>
          <w:tcPr>
            <w:tcW w:w="1417" w:type="dxa"/>
            <w:tcBorders>
              <w:top w:val="nil"/>
              <w:left w:val="nil"/>
              <w:bottom w:val="single" w:sz="4" w:space="0" w:color="auto"/>
              <w:right w:val="single" w:sz="4" w:space="0" w:color="auto"/>
            </w:tcBorders>
            <w:shd w:val="clear" w:color="auto" w:fill="auto"/>
            <w:vAlign w:val="center"/>
            <w:hideMark/>
          </w:tcPr>
          <w:p w14:paraId="66996A2B"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0,1</w:t>
            </w:r>
          </w:p>
        </w:tc>
        <w:tc>
          <w:tcPr>
            <w:tcW w:w="1276" w:type="dxa"/>
            <w:tcBorders>
              <w:top w:val="nil"/>
              <w:left w:val="nil"/>
              <w:bottom w:val="single" w:sz="4" w:space="0" w:color="auto"/>
              <w:right w:val="single" w:sz="4" w:space="0" w:color="auto"/>
            </w:tcBorders>
            <w:shd w:val="clear" w:color="auto" w:fill="auto"/>
            <w:noWrap/>
            <w:vAlign w:val="center"/>
            <w:hideMark/>
          </w:tcPr>
          <w:p w14:paraId="268AD448"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0,1</w:t>
            </w:r>
          </w:p>
        </w:tc>
        <w:tc>
          <w:tcPr>
            <w:tcW w:w="1275" w:type="dxa"/>
            <w:tcBorders>
              <w:top w:val="nil"/>
              <w:left w:val="nil"/>
              <w:bottom w:val="single" w:sz="4" w:space="0" w:color="auto"/>
              <w:right w:val="single" w:sz="4" w:space="0" w:color="auto"/>
            </w:tcBorders>
            <w:shd w:val="clear" w:color="auto" w:fill="auto"/>
            <w:noWrap/>
            <w:vAlign w:val="center"/>
            <w:hideMark/>
          </w:tcPr>
          <w:p w14:paraId="36FE8DC5"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0,1</w:t>
            </w:r>
          </w:p>
        </w:tc>
        <w:tc>
          <w:tcPr>
            <w:tcW w:w="1275" w:type="dxa"/>
            <w:tcBorders>
              <w:top w:val="nil"/>
              <w:left w:val="nil"/>
              <w:bottom w:val="single" w:sz="4" w:space="0" w:color="auto"/>
              <w:right w:val="single" w:sz="4" w:space="0" w:color="auto"/>
            </w:tcBorders>
            <w:shd w:val="clear" w:color="auto" w:fill="auto"/>
            <w:noWrap/>
            <w:vAlign w:val="center"/>
            <w:hideMark/>
          </w:tcPr>
          <w:p w14:paraId="5E91A092"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c>
          <w:tcPr>
            <w:tcW w:w="1134" w:type="dxa"/>
            <w:tcBorders>
              <w:top w:val="nil"/>
              <w:left w:val="nil"/>
              <w:bottom w:val="single" w:sz="4" w:space="0" w:color="auto"/>
              <w:right w:val="double" w:sz="6" w:space="0" w:color="auto"/>
            </w:tcBorders>
            <w:shd w:val="clear" w:color="auto" w:fill="auto"/>
            <w:noWrap/>
            <w:vAlign w:val="center"/>
            <w:hideMark/>
          </w:tcPr>
          <w:p w14:paraId="13C9F15C"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60A26B29" w14:textId="77777777" w:rsidTr="00DC1FD2">
        <w:trPr>
          <w:trHeight w:val="194"/>
        </w:trPr>
        <w:tc>
          <w:tcPr>
            <w:tcW w:w="1854" w:type="dxa"/>
            <w:tcBorders>
              <w:top w:val="nil"/>
              <w:left w:val="double" w:sz="6" w:space="0" w:color="auto"/>
              <w:bottom w:val="single" w:sz="4" w:space="0" w:color="auto"/>
              <w:right w:val="single" w:sz="4" w:space="0" w:color="auto"/>
            </w:tcBorders>
            <w:shd w:val="clear" w:color="auto" w:fill="auto"/>
            <w:vAlign w:val="center"/>
            <w:hideMark/>
          </w:tcPr>
          <w:p w14:paraId="534C9BBB"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минобрнауки АО</w:t>
            </w:r>
          </w:p>
        </w:tc>
        <w:tc>
          <w:tcPr>
            <w:tcW w:w="1418" w:type="dxa"/>
            <w:tcBorders>
              <w:top w:val="nil"/>
              <w:left w:val="nil"/>
              <w:bottom w:val="single" w:sz="4" w:space="0" w:color="auto"/>
              <w:right w:val="single" w:sz="4" w:space="0" w:color="auto"/>
            </w:tcBorders>
            <w:shd w:val="clear" w:color="auto" w:fill="auto"/>
            <w:vAlign w:val="center"/>
            <w:hideMark/>
          </w:tcPr>
          <w:p w14:paraId="3CFF46D3"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28,1</w:t>
            </w:r>
          </w:p>
        </w:tc>
        <w:tc>
          <w:tcPr>
            <w:tcW w:w="1417" w:type="dxa"/>
            <w:tcBorders>
              <w:top w:val="nil"/>
              <w:left w:val="nil"/>
              <w:bottom w:val="single" w:sz="4" w:space="0" w:color="auto"/>
              <w:right w:val="single" w:sz="4" w:space="0" w:color="auto"/>
            </w:tcBorders>
            <w:shd w:val="clear" w:color="auto" w:fill="auto"/>
            <w:vAlign w:val="center"/>
            <w:hideMark/>
          </w:tcPr>
          <w:p w14:paraId="284CEA17"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28,1</w:t>
            </w:r>
          </w:p>
        </w:tc>
        <w:tc>
          <w:tcPr>
            <w:tcW w:w="1276" w:type="dxa"/>
            <w:tcBorders>
              <w:top w:val="nil"/>
              <w:left w:val="nil"/>
              <w:bottom w:val="single" w:sz="4" w:space="0" w:color="auto"/>
              <w:right w:val="single" w:sz="4" w:space="0" w:color="auto"/>
            </w:tcBorders>
            <w:shd w:val="clear" w:color="auto" w:fill="auto"/>
            <w:noWrap/>
            <w:vAlign w:val="center"/>
            <w:hideMark/>
          </w:tcPr>
          <w:p w14:paraId="29BD3B3D"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28,1</w:t>
            </w:r>
          </w:p>
        </w:tc>
        <w:tc>
          <w:tcPr>
            <w:tcW w:w="1275" w:type="dxa"/>
            <w:tcBorders>
              <w:top w:val="nil"/>
              <w:left w:val="nil"/>
              <w:bottom w:val="single" w:sz="4" w:space="0" w:color="auto"/>
              <w:right w:val="single" w:sz="4" w:space="0" w:color="auto"/>
            </w:tcBorders>
            <w:shd w:val="clear" w:color="auto" w:fill="auto"/>
            <w:noWrap/>
            <w:vAlign w:val="center"/>
            <w:hideMark/>
          </w:tcPr>
          <w:p w14:paraId="5B96668E" w14:textId="77777777" w:rsidR="009B4728" w:rsidRPr="00A53AD7" w:rsidRDefault="009B4728" w:rsidP="009B4728">
            <w:pPr>
              <w:spacing w:after="0" w:line="240" w:lineRule="auto"/>
              <w:jc w:val="right"/>
              <w:rPr>
                <w:rFonts w:ascii="Times New Roman" w:eastAsia="Times New Roman" w:hAnsi="Times New Roman"/>
                <w:i/>
                <w:iCs/>
                <w:lang w:eastAsia="ru-RU"/>
              </w:rPr>
            </w:pPr>
            <w:r w:rsidRPr="00A53AD7">
              <w:rPr>
                <w:rFonts w:ascii="Times New Roman" w:eastAsia="Times New Roman" w:hAnsi="Times New Roman"/>
                <w:i/>
                <w:iCs/>
                <w:lang w:eastAsia="ru-RU"/>
              </w:rPr>
              <w:t>27,9</w:t>
            </w:r>
          </w:p>
        </w:tc>
        <w:tc>
          <w:tcPr>
            <w:tcW w:w="1275" w:type="dxa"/>
            <w:tcBorders>
              <w:top w:val="nil"/>
              <w:left w:val="nil"/>
              <w:bottom w:val="single" w:sz="4" w:space="0" w:color="auto"/>
              <w:right w:val="single" w:sz="4" w:space="0" w:color="auto"/>
            </w:tcBorders>
            <w:shd w:val="clear" w:color="auto" w:fill="auto"/>
            <w:noWrap/>
            <w:vAlign w:val="center"/>
            <w:hideMark/>
          </w:tcPr>
          <w:p w14:paraId="33E935CC"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c>
          <w:tcPr>
            <w:tcW w:w="1134" w:type="dxa"/>
            <w:tcBorders>
              <w:top w:val="nil"/>
              <w:left w:val="nil"/>
              <w:bottom w:val="single" w:sz="4" w:space="0" w:color="auto"/>
              <w:right w:val="double" w:sz="6" w:space="0" w:color="auto"/>
            </w:tcBorders>
            <w:shd w:val="clear" w:color="auto" w:fill="auto"/>
            <w:noWrap/>
            <w:vAlign w:val="center"/>
            <w:hideMark/>
          </w:tcPr>
          <w:p w14:paraId="14C18F48" w14:textId="77777777" w:rsidR="009B4728" w:rsidRPr="00A53AD7" w:rsidRDefault="009B4728" w:rsidP="009B472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99,3</w:t>
            </w:r>
          </w:p>
        </w:tc>
      </w:tr>
      <w:tr w:rsidR="009B4728" w:rsidRPr="00A53AD7" w14:paraId="1710C312" w14:textId="77777777" w:rsidTr="00DC1FD2">
        <w:trPr>
          <w:trHeight w:val="213"/>
        </w:trPr>
        <w:tc>
          <w:tcPr>
            <w:tcW w:w="1854" w:type="dxa"/>
            <w:tcBorders>
              <w:top w:val="nil"/>
              <w:left w:val="double" w:sz="6" w:space="0" w:color="auto"/>
              <w:bottom w:val="double" w:sz="6" w:space="0" w:color="auto"/>
              <w:right w:val="single" w:sz="4" w:space="0" w:color="auto"/>
            </w:tcBorders>
            <w:shd w:val="clear" w:color="auto" w:fill="auto"/>
            <w:vAlign w:val="center"/>
            <w:hideMark/>
          </w:tcPr>
          <w:p w14:paraId="51F5F1F7" w14:textId="77777777" w:rsidR="009B4728" w:rsidRPr="00A53AD7" w:rsidRDefault="009B4728" w:rsidP="009B4728">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 xml:space="preserve">Итого по ГП АО </w:t>
            </w:r>
          </w:p>
        </w:tc>
        <w:tc>
          <w:tcPr>
            <w:tcW w:w="1418" w:type="dxa"/>
            <w:tcBorders>
              <w:top w:val="nil"/>
              <w:left w:val="nil"/>
              <w:bottom w:val="double" w:sz="6" w:space="0" w:color="auto"/>
              <w:right w:val="single" w:sz="4" w:space="0" w:color="auto"/>
            </w:tcBorders>
            <w:shd w:val="clear" w:color="auto" w:fill="auto"/>
            <w:vAlign w:val="center"/>
            <w:hideMark/>
          </w:tcPr>
          <w:p w14:paraId="6350640D"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38,6</w:t>
            </w:r>
          </w:p>
        </w:tc>
        <w:tc>
          <w:tcPr>
            <w:tcW w:w="1417" w:type="dxa"/>
            <w:tcBorders>
              <w:top w:val="nil"/>
              <w:left w:val="nil"/>
              <w:bottom w:val="double" w:sz="6" w:space="0" w:color="auto"/>
              <w:right w:val="single" w:sz="4" w:space="0" w:color="auto"/>
            </w:tcBorders>
            <w:shd w:val="clear" w:color="auto" w:fill="auto"/>
            <w:vAlign w:val="center"/>
            <w:hideMark/>
          </w:tcPr>
          <w:p w14:paraId="1E1B1FF7"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38,6</w:t>
            </w:r>
          </w:p>
        </w:tc>
        <w:tc>
          <w:tcPr>
            <w:tcW w:w="1276" w:type="dxa"/>
            <w:tcBorders>
              <w:top w:val="nil"/>
              <w:left w:val="nil"/>
              <w:bottom w:val="double" w:sz="6" w:space="0" w:color="auto"/>
              <w:right w:val="single" w:sz="4" w:space="0" w:color="auto"/>
            </w:tcBorders>
            <w:shd w:val="clear" w:color="auto" w:fill="auto"/>
            <w:vAlign w:val="center"/>
            <w:hideMark/>
          </w:tcPr>
          <w:p w14:paraId="11A60706"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38,6</w:t>
            </w:r>
          </w:p>
        </w:tc>
        <w:tc>
          <w:tcPr>
            <w:tcW w:w="1275" w:type="dxa"/>
            <w:tcBorders>
              <w:top w:val="nil"/>
              <w:left w:val="nil"/>
              <w:bottom w:val="double" w:sz="6" w:space="0" w:color="auto"/>
              <w:right w:val="single" w:sz="4" w:space="0" w:color="auto"/>
            </w:tcBorders>
            <w:shd w:val="clear" w:color="auto" w:fill="auto"/>
            <w:vAlign w:val="center"/>
            <w:hideMark/>
          </w:tcPr>
          <w:p w14:paraId="29681ED0"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38,2</w:t>
            </w:r>
          </w:p>
        </w:tc>
        <w:tc>
          <w:tcPr>
            <w:tcW w:w="1275" w:type="dxa"/>
            <w:tcBorders>
              <w:top w:val="nil"/>
              <w:left w:val="nil"/>
              <w:bottom w:val="double" w:sz="6" w:space="0" w:color="auto"/>
              <w:right w:val="single" w:sz="4" w:space="0" w:color="auto"/>
            </w:tcBorders>
            <w:shd w:val="clear" w:color="auto" w:fill="auto"/>
            <w:noWrap/>
            <w:vAlign w:val="center"/>
            <w:hideMark/>
          </w:tcPr>
          <w:p w14:paraId="1A72DCCB"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99,0</w:t>
            </w:r>
          </w:p>
        </w:tc>
        <w:tc>
          <w:tcPr>
            <w:tcW w:w="1134" w:type="dxa"/>
            <w:tcBorders>
              <w:top w:val="nil"/>
              <w:left w:val="nil"/>
              <w:bottom w:val="double" w:sz="6" w:space="0" w:color="auto"/>
              <w:right w:val="double" w:sz="6" w:space="0" w:color="auto"/>
            </w:tcBorders>
            <w:shd w:val="clear" w:color="auto" w:fill="auto"/>
            <w:noWrap/>
            <w:vAlign w:val="center"/>
            <w:hideMark/>
          </w:tcPr>
          <w:p w14:paraId="438D194F" w14:textId="77777777" w:rsidR="009B4728" w:rsidRPr="00A53AD7" w:rsidRDefault="009B4728" w:rsidP="009B4728">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99,0</w:t>
            </w:r>
          </w:p>
        </w:tc>
      </w:tr>
    </w:tbl>
    <w:p w14:paraId="79183512" w14:textId="77777777" w:rsidR="009B4728" w:rsidRPr="00A53AD7" w:rsidRDefault="009B4728" w:rsidP="009B4728">
      <w:pPr>
        <w:pStyle w:val="a8"/>
        <w:ind w:left="0" w:firstLine="851"/>
        <w:jc w:val="both"/>
        <w:rPr>
          <w:sz w:val="28"/>
          <w:szCs w:val="28"/>
          <w:highlight w:val="cyan"/>
        </w:rPr>
      </w:pPr>
    </w:p>
    <w:p w14:paraId="30B8E1D6" w14:textId="2CBFA241" w:rsidR="009B4728" w:rsidRPr="00A53AD7" w:rsidRDefault="009B4728" w:rsidP="009B4728">
      <w:pPr>
        <w:pStyle w:val="a8"/>
        <w:ind w:left="0" w:firstLine="851"/>
        <w:jc w:val="both"/>
        <w:rPr>
          <w:sz w:val="28"/>
          <w:szCs w:val="28"/>
        </w:rPr>
      </w:pPr>
      <w:r w:rsidRPr="00A53AD7">
        <w:rPr>
          <w:sz w:val="28"/>
          <w:szCs w:val="28"/>
        </w:rPr>
        <w:t>Расходование средств в отчетном периоде осуществлялось по следующим вид</w:t>
      </w:r>
      <w:r w:rsidR="00905E24" w:rsidRPr="00A53AD7">
        <w:rPr>
          <w:sz w:val="28"/>
          <w:szCs w:val="28"/>
        </w:rPr>
        <w:t>ам</w:t>
      </w:r>
      <w:r w:rsidRPr="00A53AD7">
        <w:rPr>
          <w:sz w:val="28"/>
          <w:szCs w:val="28"/>
        </w:rPr>
        <w:t xml:space="preserve"> расходов:</w:t>
      </w:r>
    </w:p>
    <w:p w14:paraId="3FBC909B" w14:textId="77777777"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капитальные вложения в объекты государственной собственности 7,9 млн.руб. – проектирование и строительство здания специального учреждения УФМС в г. Архангельске;</w:t>
      </w:r>
    </w:p>
    <w:p w14:paraId="4004572F" w14:textId="67C54758"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межбюджетные трансферты – 21,2 млн.руб., из них 11,8 млн.руб. на установку ограждений территорий образовательных учреждений и 9,4 млн.руб. на установку и обслуживание систем видеонаблюдения в муниципальных образовательных организациях</w:t>
      </w:r>
      <w:r w:rsidR="00905E24" w:rsidRPr="00A53AD7">
        <w:rPr>
          <w:rFonts w:ascii="Times New Roman" w:eastAsia="Times New Roman" w:hAnsi="Times New Roman" w:cs="Courier New"/>
          <w:sz w:val="28"/>
          <w:szCs w:val="28"/>
          <w:lang w:eastAsia="ru-RU"/>
        </w:rPr>
        <w:t>;</w:t>
      </w:r>
    </w:p>
    <w:p w14:paraId="01918DDB" w14:textId="164EFA80"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субсидии бюджетным и автономным учреждениям 9,1 млн.руб., в том числе 5,2 млн.руб. на установку ограждений территорий образовательных учреждений и 1,5 млн.руб. на установку и обслуживание систем видеонаблюдения в муниципальных образовательных организациях</w:t>
      </w:r>
      <w:r w:rsidR="00905E24" w:rsidRPr="00A53AD7">
        <w:rPr>
          <w:rFonts w:ascii="Times New Roman" w:eastAsia="Times New Roman" w:hAnsi="Times New Roman" w:cs="Courier New"/>
          <w:sz w:val="28"/>
          <w:szCs w:val="28"/>
          <w:lang w:eastAsia="ru-RU"/>
        </w:rPr>
        <w:t>.</w:t>
      </w:r>
    </w:p>
    <w:p w14:paraId="47FBADA0" w14:textId="77777777" w:rsidR="009B4728" w:rsidRPr="00A53AD7" w:rsidRDefault="009B4728" w:rsidP="009B4728">
      <w:pPr>
        <w:pStyle w:val="a8"/>
        <w:ind w:left="0" w:firstLine="851"/>
        <w:jc w:val="both"/>
        <w:rPr>
          <w:sz w:val="28"/>
          <w:szCs w:val="28"/>
        </w:rPr>
      </w:pPr>
      <w:r w:rsidRPr="00A53AD7">
        <w:rPr>
          <w:sz w:val="28"/>
          <w:szCs w:val="28"/>
        </w:rPr>
        <w:t>За отчетный период нарушен или не выполнен план реализации следующих мероприятий:</w:t>
      </w:r>
    </w:p>
    <w:p w14:paraId="1A66057F" w14:textId="5735E634" w:rsidR="000A248A" w:rsidRPr="00A53AD7" w:rsidRDefault="000A248A" w:rsidP="00CA1DDD">
      <w:pPr>
        <w:pStyle w:val="a8"/>
        <w:numPr>
          <w:ilvl w:val="0"/>
          <w:numId w:val="48"/>
        </w:numPr>
        <w:ind w:left="0" w:firstLine="851"/>
        <w:jc w:val="both"/>
        <w:rPr>
          <w:sz w:val="28"/>
          <w:szCs w:val="28"/>
        </w:rPr>
      </w:pPr>
      <w:r w:rsidRPr="00A53AD7">
        <w:rPr>
          <w:sz w:val="28"/>
          <w:szCs w:val="28"/>
        </w:rPr>
        <w:t xml:space="preserve">Проектирование и строительство здания специального учреждения УФМС в г. Архангельске подпрограмма № </w:t>
      </w:r>
      <w:r w:rsidR="00FB2643" w:rsidRPr="00A53AD7">
        <w:rPr>
          <w:sz w:val="28"/>
          <w:szCs w:val="28"/>
        </w:rPr>
        <w:t>2</w:t>
      </w:r>
      <w:r w:rsidRPr="00A53AD7">
        <w:rPr>
          <w:sz w:val="28"/>
          <w:szCs w:val="28"/>
        </w:rPr>
        <w:t xml:space="preserve"> «Профилактика преступлений и иных правонарушений в Архангельской области». На реализацию данного мероприятия в 2019 году госпрограммой предусмотрены объемы финансирования в сумме 8,0 млн.руб., что соответствует бюджетным ассигнованиям, предусмотренным сводной бюджетной роспис</w:t>
      </w:r>
      <w:r w:rsidR="00E5125D" w:rsidRPr="00A53AD7">
        <w:rPr>
          <w:sz w:val="28"/>
          <w:szCs w:val="28"/>
        </w:rPr>
        <w:t>ью</w:t>
      </w:r>
      <w:r w:rsidRPr="00A53AD7">
        <w:rPr>
          <w:sz w:val="28"/>
          <w:szCs w:val="28"/>
        </w:rPr>
        <w:t xml:space="preserve"> по состоянию на 31.12.2019. Кассовые расходы на реализацию данного мероприятия за 2019 год составили 7,9 млн.руб. или 98,7 % к показателям сводной бюджетной росписи на 31.12.2019 и к показателям госпрограммы.</w:t>
      </w:r>
    </w:p>
    <w:p w14:paraId="251BD871" w14:textId="5DA082F7" w:rsidR="00E33C6D" w:rsidRPr="00A53AD7" w:rsidRDefault="00080ABE" w:rsidP="00E33C6D">
      <w:pPr>
        <w:pStyle w:val="a8"/>
        <w:ind w:left="0" w:firstLine="851"/>
        <w:jc w:val="both"/>
        <w:rPr>
          <w:sz w:val="28"/>
          <w:szCs w:val="28"/>
        </w:rPr>
      </w:pPr>
      <w:r w:rsidRPr="00A53AD7">
        <w:rPr>
          <w:sz w:val="28"/>
          <w:szCs w:val="28"/>
        </w:rPr>
        <w:t>Мероприятие р</w:t>
      </w:r>
      <w:r w:rsidR="00E33C6D" w:rsidRPr="00A53AD7">
        <w:rPr>
          <w:sz w:val="28"/>
          <w:szCs w:val="28"/>
        </w:rPr>
        <w:t xml:space="preserve">еализуется ГКУ АО «ГУКС». </w:t>
      </w:r>
      <w:r w:rsidRPr="00A53AD7">
        <w:rPr>
          <w:sz w:val="28"/>
          <w:szCs w:val="28"/>
        </w:rPr>
        <w:t xml:space="preserve">Из общей суммы расходов </w:t>
      </w:r>
      <w:r w:rsidR="00E33C6D" w:rsidRPr="00A53AD7">
        <w:rPr>
          <w:sz w:val="28"/>
          <w:szCs w:val="28"/>
        </w:rPr>
        <w:t xml:space="preserve">ГКУ АО «ГУКС» на </w:t>
      </w:r>
      <w:r w:rsidRPr="00A53AD7">
        <w:rPr>
          <w:sz w:val="28"/>
          <w:szCs w:val="28"/>
        </w:rPr>
        <w:t xml:space="preserve">его </w:t>
      </w:r>
      <w:r w:rsidR="00E33C6D" w:rsidRPr="00A53AD7">
        <w:rPr>
          <w:sz w:val="28"/>
          <w:szCs w:val="28"/>
        </w:rPr>
        <w:t xml:space="preserve">реализацию за 2019 год 6,7 млн.руб. </w:t>
      </w:r>
      <w:r w:rsidRPr="00A53AD7">
        <w:rPr>
          <w:sz w:val="28"/>
          <w:szCs w:val="28"/>
        </w:rPr>
        <w:t xml:space="preserve">направлено </w:t>
      </w:r>
      <w:r w:rsidR="00E33C6D" w:rsidRPr="00A53AD7">
        <w:rPr>
          <w:sz w:val="28"/>
          <w:szCs w:val="28"/>
        </w:rPr>
        <w:t>АО «Оборонэнерго» (технологическое присоединение к сетям электроснабжения) и 1,2 млн.руб. ООО «БЕЛЫЙ ДОМ» (</w:t>
      </w:r>
      <w:r w:rsidR="002419EE" w:rsidRPr="00A53AD7">
        <w:rPr>
          <w:sz w:val="28"/>
          <w:szCs w:val="28"/>
        </w:rPr>
        <w:t xml:space="preserve">непосредственно </w:t>
      </w:r>
      <w:r w:rsidR="00E33C6D" w:rsidRPr="00A53AD7">
        <w:rPr>
          <w:sz w:val="28"/>
          <w:szCs w:val="28"/>
        </w:rPr>
        <w:t>строительство объекта).</w:t>
      </w:r>
    </w:p>
    <w:p w14:paraId="5543DC59" w14:textId="77777777" w:rsidR="009B4728" w:rsidRPr="00A53AD7" w:rsidRDefault="009B4728" w:rsidP="009B4728">
      <w:pPr>
        <w:pStyle w:val="a8"/>
        <w:ind w:left="0" w:firstLine="851"/>
        <w:jc w:val="both"/>
        <w:rPr>
          <w:sz w:val="28"/>
          <w:szCs w:val="28"/>
        </w:rPr>
      </w:pPr>
      <w:r w:rsidRPr="00A53AD7">
        <w:rPr>
          <w:sz w:val="28"/>
          <w:szCs w:val="28"/>
        </w:rPr>
        <w:t>Данное мероприятия в 2019 году планировалось реализовать в виде выполнения следующих 3 этапов:</w:t>
      </w:r>
    </w:p>
    <w:p w14:paraId="27692996" w14:textId="77777777"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заключение контракта на строительство объекта, срок выполнения 31.03.2019. Государственный контракт заключен между ГКУ АО «ГУКС» и ООО «БЕЛЫЙ ДОМ» 26.03.2019;</w:t>
      </w:r>
    </w:p>
    <w:p w14:paraId="086D1E83" w14:textId="77777777"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выполнение работ по устройству фундамента основного корпуса, срок реализации 30.09.2019. Мероприятие не выполнено в связи с выявлением расхождений фактических и проектных высотных отметок, представленных в техническом отчете по инженерно-геодезическим изысканиям, что потребовало проведения повторных изысканий по выделенному участку, уточнения проектных решений и прохождения повторной государственной экспертизы, в связи с чем производство работ на объекте было приостановлено;</w:t>
      </w:r>
    </w:p>
    <w:p w14:paraId="5D3831D9" w14:textId="77777777" w:rsidR="009B4728" w:rsidRPr="00A53AD7" w:rsidRDefault="009B4728" w:rsidP="00CA1DDD">
      <w:pPr>
        <w:numPr>
          <w:ilvl w:val="0"/>
          <w:numId w:val="34"/>
        </w:numPr>
        <w:spacing w:after="0" w:line="240" w:lineRule="auto"/>
        <w:ind w:left="0" w:firstLine="851"/>
        <w:contextualSpacing/>
        <w:jc w:val="both"/>
        <w:rPr>
          <w:rFonts w:ascii="Times New Roman" w:eastAsia="Times New Roman" w:hAnsi="Times New Roman" w:cs="Courier New"/>
          <w:sz w:val="28"/>
          <w:szCs w:val="28"/>
          <w:lang w:eastAsia="ru-RU"/>
        </w:rPr>
      </w:pPr>
      <w:r w:rsidRPr="00A53AD7">
        <w:rPr>
          <w:rFonts w:ascii="Times New Roman" w:eastAsia="Times New Roman" w:hAnsi="Times New Roman" w:cs="Courier New"/>
          <w:sz w:val="28"/>
          <w:szCs w:val="28"/>
          <w:lang w:eastAsia="ru-RU"/>
        </w:rPr>
        <w:t>выполнение работ по устройству коробки основного корпуса со сроком реализации 31.12.2019. Мероприятие не выполнено, по причине нарушения срока реализации второго этапа мероприятия.</w:t>
      </w:r>
    </w:p>
    <w:p w14:paraId="4FDD3CC1" w14:textId="77777777" w:rsidR="009B4728" w:rsidRPr="00A53AD7" w:rsidRDefault="009B4728" w:rsidP="00905E24">
      <w:pPr>
        <w:pStyle w:val="a8"/>
        <w:ind w:left="0" w:firstLine="851"/>
        <w:jc w:val="both"/>
        <w:rPr>
          <w:sz w:val="28"/>
          <w:szCs w:val="28"/>
        </w:rPr>
      </w:pPr>
      <w:r w:rsidRPr="00A53AD7">
        <w:rPr>
          <w:sz w:val="28"/>
          <w:szCs w:val="28"/>
        </w:rPr>
        <w:t>В настоящее время на объекте выполнены работы по вырубке и расчистке участка, устройству подъездной дороги и котлована основного корпуса, ведутся работы по устройству фундамента основного корпуса (нулевого цикла).</w:t>
      </w:r>
    </w:p>
    <w:p w14:paraId="757099AB" w14:textId="16397604" w:rsidR="009B4728" w:rsidRPr="00A53AD7" w:rsidRDefault="009B4728" w:rsidP="00CA1DDD">
      <w:pPr>
        <w:pStyle w:val="a8"/>
        <w:numPr>
          <w:ilvl w:val="0"/>
          <w:numId w:val="48"/>
        </w:numPr>
        <w:ind w:left="0" w:firstLine="851"/>
        <w:jc w:val="both"/>
        <w:rPr>
          <w:sz w:val="28"/>
          <w:szCs w:val="28"/>
        </w:rPr>
      </w:pPr>
      <w:r w:rsidRPr="00A53AD7">
        <w:rPr>
          <w:sz w:val="28"/>
          <w:szCs w:val="28"/>
        </w:rPr>
        <w:t>Установка и обслуживание систем видеонаблюдения в муниципальных образовательных организациях муниципальных образований Архангельской области подпрограмм</w:t>
      </w:r>
      <w:r w:rsidR="00905E24" w:rsidRPr="00A53AD7">
        <w:rPr>
          <w:sz w:val="28"/>
          <w:szCs w:val="28"/>
        </w:rPr>
        <w:t>ы</w:t>
      </w:r>
      <w:r w:rsidRPr="00A53AD7">
        <w:rPr>
          <w:sz w:val="28"/>
          <w:szCs w:val="28"/>
        </w:rPr>
        <w:t xml:space="preserve"> № 4 «Профилактика экстремизма и терроризма в Архангельской области».</w:t>
      </w:r>
    </w:p>
    <w:p w14:paraId="7BC421FD" w14:textId="77777777" w:rsidR="009B4728" w:rsidRPr="00A53AD7" w:rsidRDefault="009B4728" w:rsidP="00905E24">
      <w:pPr>
        <w:pStyle w:val="a8"/>
        <w:ind w:left="0" w:firstLine="851"/>
        <w:jc w:val="both"/>
        <w:rPr>
          <w:sz w:val="28"/>
          <w:szCs w:val="28"/>
        </w:rPr>
      </w:pPr>
      <w:r w:rsidRPr="00A53AD7">
        <w:rPr>
          <w:sz w:val="28"/>
          <w:szCs w:val="28"/>
        </w:rPr>
        <w:t>На реализацию данного мероприятия запланированы средства в сумме 10,9 млн.руб., из них субсидии местным бюджетам муниципальных районов и городских округов Архангельской области – 9,4 млн.руб. и 1,5 млн.руб. – субсидии государственным учреждениям Архангельской области. Средства использованы в полном объеме.</w:t>
      </w:r>
    </w:p>
    <w:p w14:paraId="2E58E444" w14:textId="77777777" w:rsidR="009B4728" w:rsidRPr="00A53AD7" w:rsidRDefault="009B4728" w:rsidP="009B4728">
      <w:pPr>
        <w:pStyle w:val="a8"/>
        <w:ind w:left="0" w:firstLine="851"/>
        <w:jc w:val="both"/>
        <w:rPr>
          <w:sz w:val="28"/>
          <w:szCs w:val="28"/>
        </w:rPr>
      </w:pPr>
      <w:r w:rsidRPr="00A53AD7">
        <w:rPr>
          <w:sz w:val="28"/>
          <w:szCs w:val="28"/>
        </w:rPr>
        <w:t>Указанное мероприятие реализовывалось в виде выполнения 6 этапов, с нарушением срока реализации выполнен этап по установке систем видеонаблюдения в государственных учреждениях, срок реализации 30.08.2019, срок фактического выполнения 30.12.2019. Срок реализации мероприятия нарушен в связи с поздним проведением конкурсных процедур.</w:t>
      </w:r>
    </w:p>
    <w:p w14:paraId="2339DA33" w14:textId="77777777" w:rsidR="009B4728" w:rsidRPr="00A53AD7" w:rsidRDefault="009B4728" w:rsidP="00905E2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Следует отметить, что данное мероприятие предусматривает установку и обслуживание систем видеонаблюдения в </w:t>
      </w:r>
      <w:r w:rsidRPr="00A53AD7">
        <w:rPr>
          <w:rFonts w:ascii="Times New Roman" w:hAnsi="Times New Roman"/>
          <w:sz w:val="28"/>
          <w:szCs w:val="28"/>
          <w:u w:val="single"/>
        </w:rPr>
        <w:t>муниципальных</w:t>
      </w:r>
      <w:r w:rsidRPr="00A53AD7">
        <w:rPr>
          <w:rFonts w:ascii="Times New Roman" w:hAnsi="Times New Roman"/>
          <w:i/>
          <w:sz w:val="28"/>
          <w:szCs w:val="28"/>
        </w:rPr>
        <w:t xml:space="preserve"> </w:t>
      </w:r>
      <w:r w:rsidRPr="00A53AD7">
        <w:rPr>
          <w:rFonts w:ascii="Times New Roman" w:hAnsi="Times New Roman"/>
          <w:sz w:val="28"/>
          <w:szCs w:val="28"/>
        </w:rPr>
        <w:t xml:space="preserve">образовательных организациях муниципальных образований, следовательно, 1 и 2 этапы реализации мероприятия – установка и обслуживание систем видеонаблюдения в </w:t>
      </w:r>
      <w:r w:rsidRPr="00A53AD7">
        <w:rPr>
          <w:rFonts w:ascii="Times New Roman" w:hAnsi="Times New Roman"/>
          <w:sz w:val="28"/>
          <w:szCs w:val="28"/>
          <w:u w:val="single"/>
        </w:rPr>
        <w:t>государственных</w:t>
      </w:r>
      <w:r w:rsidRPr="00A53AD7">
        <w:rPr>
          <w:rFonts w:ascii="Times New Roman" w:hAnsi="Times New Roman"/>
          <w:i/>
          <w:sz w:val="28"/>
          <w:szCs w:val="28"/>
        </w:rPr>
        <w:t xml:space="preserve"> </w:t>
      </w:r>
      <w:r w:rsidRPr="00A53AD7">
        <w:rPr>
          <w:rFonts w:ascii="Times New Roman" w:hAnsi="Times New Roman"/>
          <w:sz w:val="28"/>
          <w:szCs w:val="28"/>
        </w:rPr>
        <w:t>учреждениях не соответствуют концепции названия мероприятия государственной программы и не могут реализовываться в его рамках.</w:t>
      </w:r>
    </w:p>
    <w:p w14:paraId="7D7493AA" w14:textId="77777777" w:rsidR="009B4728" w:rsidRPr="00A53AD7" w:rsidRDefault="009B4728" w:rsidP="00905E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Исходя из вышеизложенного, полагаем необходимым предложить ответственному исполнителю – администрации ГАО и ПАО внести соответствующие изменения в название мероприятия или обеспечить включение в госпрограмму соответствующего мероприятия.</w:t>
      </w:r>
    </w:p>
    <w:p w14:paraId="7C51E959" w14:textId="77777777" w:rsidR="009B4728" w:rsidRPr="00A53AD7" w:rsidRDefault="009B4728" w:rsidP="009B4728">
      <w:pPr>
        <w:pStyle w:val="a8"/>
        <w:ind w:left="0" w:firstLine="709"/>
        <w:jc w:val="both"/>
        <w:rPr>
          <w:sz w:val="28"/>
          <w:szCs w:val="28"/>
        </w:rPr>
      </w:pPr>
      <w:r w:rsidRPr="00A53AD7">
        <w:rPr>
          <w:sz w:val="28"/>
          <w:szCs w:val="28"/>
        </w:rPr>
        <w:t>В связи с нарушением срока реализации выше указанного этапа мероприятия контрольно-счетная палата предлагает соисполнителю госпрограммы – минобрнауки АО усилить контроль за сроками выполнения запланированных этапов мероприятий.</w:t>
      </w:r>
    </w:p>
    <w:p w14:paraId="6D7200A1" w14:textId="77777777" w:rsidR="009B4728" w:rsidRPr="00A53AD7" w:rsidRDefault="009B4728" w:rsidP="00F6111F">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Оценка качества планирования и управления реализацией госпрограммы – 61,9.</w:t>
      </w:r>
    </w:p>
    <w:p w14:paraId="498EFFB9" w14:textId="77777777" w:rsidR="009B4728" w:rsidRPr="00A53AD7" w:rsidRDefault="009B4728" w:rsidP="00F6111F">
      <w:pPr>
        <w:spacing w:after="0" w:line="240" w:lineRule="auto"/>
        <w:ind w:firstLine="851"/>
        <w:jc w:val="both"/>
        <w:rPr>
          <w:rFonts w:ascii="Times New Roman" w:hAnsi="Times New Roman"/>
          <w:sz w:val="28"/>
          <w:szCs w:val="28"/>
        </w:rPr>
      </w:pPr>
      <w:r w:rsidRPr="00A53AD7">
        <w:rPr>
          <w:rFonts w:ascii="Times New Roman" w:hAnsi="Times New Roman"/>
          <w:sz w:val="28"/>
          <w:szCs w:val="28"/>
        </w:rPr>
        <w:t>Эффективность результатов реализации госпрограммы за 2019 год признана удовлетворительной (74,6).</w:t>
      </w:r>
    </w:p>
    <w:p w14:paraId="0DF530F4" w14:textId="329C91D0" w:rsidR="009B4728" w:rsidRPr="00A53AD7" w:rsidRDefault="009B4728" w:rsidP="00F6111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Распоряжением Правительства Архангельской области от 21.04.2020 № 151-рп </w:t>
      </w:r>
      <w:r w:rsidR="00901286" w:rsidRPr="00A53AD7">
        <w:rPr>
          <w:rFonts w:ascii="Times New Roman" w:hAnsi="Times New Roman"/>
          <w:sz w:val="28"/>
          <w:szCs w:val="28"/>
        </w:rPr>
        <w:t>«</w:t>
      </w:r>
      <w:r w:rsidRPr="00A53AD7">
        <w:rPr>
          <w:rFonts w:ascii="Times New Roman" w:hAnsi="Times New Roman"/>
          <w:sz w:val="28"/>
          <w:szCs w:val="28"/>
        </w:rPr>
        <w:t>Об утверждении отчета о реализации в 2019 году государственной программы Архангельской области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по результатам оценки эффективности реализации госпрограммы рекомендовано продолжить реализацию мероприятий госпрограммы в 2020 году.</w:t>
      </w:r>
    </w:p>
    <w:p w14:paraId="578EC8E1" w14:textId="7ED5C578" w:rsidR="001D2B6D" w:rsidRPr="00A53AD7" w:rsidRDefault="001D2B6D" w:rsidP="001D2B6D">
      <w:pPr>
        <w:pStyle w:val="3"/>
        <w:spacing w:line="240" w:lineRule="auto"/>
        <w:jc w:val="center"/>
        <w:rPr>
          <w:rFonts w:ascii="Times New Roman" w:hAnsi="Times New Roman"/>
          <w:b w:val="0"/>
          <w:sz w:val="28"/>
          <w:szCs w:val="28"/>
          <w:u w:val="single"/>
        </w:rPr>
      </w:pPr>
      <w:bookmarkStart w:id="81" w:name="_Toc42006730"/>
      <w:r w:rsidRPr="00A53AD7">
        <w:rPr>
          <w:rFonts w:ascii="Times New Roman" w:hAnsi="Times New Roman"/>
          <w:b w:val="0"/>
          <w:sz w:val="28"/>
          <w:szCs w:val="28"/>
          <w:u w:val="single"/>
          <w:lang w:val="ru-RU"/>
        </w:rPr>
        <w:t xml:space="preserve">4.2.9. </w:t>
      </w:r>
      <w:r w:rsidRPr="00A53AD7">
        <w:rPr>
          <w:rFonts w:ascii="Times New Roman" w:hAnsi="Times New Roman"/>
          <w:b w:val="0"/>
          <w:sz w:val="28"/>
          <w:szCs w:val="28"/>
          <w:u w:val="single"/>
        </w:rPr>
        <w:t>Государственная программа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w:t>
      </w:r>
      <w:bookmarkEnd w:id="81"/>
    </w:p>
    <w:p w14:paraId="1BBD346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реализацию мероприятий государственной программы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(2014 - 2020 годы)», утвержденной постановлением Правительства Архангельской области от 08.10.2013 № 465-пп (далее – госпрограмма № 465-пп) на 2019 год, по состоянию на 01.01.2019 утверждены расходы в общей сумме 1 688,3 млн.руб., в т.ч. за счет средств областного бюджета – 1 647,7 млн.руб., местных бюджетов – 40,6 млн.руб.</w:t>
      </w:r>
    </w:p>
    <w:p w14:paraId="44905D5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средств из федерального бюджета или за счет внебюджетных источников расходы на реализацию данной государственной программы на 2019 год не предусмотрены.</w:t>
      </w:r>
    </w:p>
    <w:p w14:paraId="715A7B9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течение 2019 года в данную программу постановлением Правительства Архангельской области от 10.10.19 № 572-пп внесены изменения, увеличившие сумму финансирования на 2019 год на 6,3 млн.руб. за счет средств областного бюджета.</w:t>
      </w:r>
    </w:p>
    <w:p w14:paraId="37455D8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Архангельской области от 04.02.2020 № 64-пп в расходы по госпрограмме № 465-пп на 2019 год внесены изменения увеличив итоговую сумму финансирования дополнительно на 167,1 млн.руб., в т.ч. за счет областного бюджета - на 145,2 млн.руб., местных бюджетов – на 21,9 тыс.руб.</w:t>
      </w:r>
    </w:p>
    <w:p w14:paraId="7B20D02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Исходя из вышеизложенного, итоговая сумма финансирования мероприятий госпрограммы № 465-пп на 2019 год увеличена на 173,4 млн.руб., в т.ч. за счет средств областного бюджета – на 151,5 млн.руб., местных бюджетов – на 21,9 млн.руб.</w:t>
      </w:r>
    </w:p>
    <w:p w14:paraId="34DDCA5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результате, в редакции постановления Правительства Архангельской области от 04.02.2020 № 64-пп, общая сумма расходов на 2019 год по госпрограмме № 465-пп утверждена в размере 1 861,7 млн.руб., в т.ч. за счет средств областного бюджета – 1 799,3 млн.руб., местных бюджетов – 62,4 млн.руб.</w:t>
      </w:r>
    </w:p>
    <w:p w14:paraId="3BA88715"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 что в редакции постановления Правительства Архангельской области имеется арифметическая ошибка в п. 2.4. «Финансовое обеспечение деятельности государственных казенных учреждений Архангельской области «Отряд государственной противопожарной службы» перечня мероприятий подпрограммы № 1 на 18,450 млн.руб., где показатель по расходам за счет областного бюджета отражен в размере 872,5261 млн.руб., за счет средств федерального и местных бюджетов, и также внебюджетных источников – не предусмотрен, а итоговая сумма отражена в размере 890,9761 млн.руб. или на 18,450 млн.руб. больше.</w:t>
      </w:r>
    </w:p>
    <w:p w14:paraId="4B5306C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результате в итоговой сумме расходов по госпрограмме № 465-пп, утвержденной постановлением Правительства Архангельской области также имеется арифметическая ошибка.</w:t>
      </w:r>
    </w:p>
    <w:p w14:paraId="4B38959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Показатели отклонений отражены ниже:</w:t>
      </w:r>
    </w:p>
    <w:p w14:paraId="54D01873" w14:textId="77777777" w:rsidR="001D2B6D" w:rsidRPr="00A53AD7" w:rsidRDefault="001D2B6D" w:rsidP="001D2B6D">
      <w:pPr>
        <w:autoSpaceDE w:val="0"/>
        <w:autoSpaceDN w:val="0"/>
        <w:adjustRightInd w:val="0"/>
        <w:spacing w:after="0" w:line="240" w:lineRule="auto"/>
        <w:ind w:firstLine="851"/>
        <w:jc w:val="right"/>
        <w:rPr>
          <w:rFonts w:ascii="Times New Roman" w:hAnsi="Times New Roman"/>
          <w:sz w:val="28"/>
          <w:szCs w:val="28"/>
        </w:rPr>
      </w:pPr>
      <w:r w:rsidRPr="00A53AD7">
        <w:rPr>
          <w:rFonts w:ascii="Times New Roman" w:hAnsi="Times New Roman"/>
          <w:sz w:val="28"/>
          <w:szCs w:val="28"/>
        </w:rPr>
        <w:t>млн.руб.</w:t>
      </w:r>
    </w:p>
    <w:tbl>
      <w:tblPr>
        <w:tblW w:w="9237" w:type="dxa"/>
        <w:jc w:val="center"/>
        <w:tblLook w:val="04A0" w:firstRow="1" w:lastRow="0" w:firstColumn="1" w:lastColumn="0" w:noHBand="0" w:noVBand="1"/>
      </w:tblPr>
      <w:tblGrid>
        <w:gridCol w:w="3344"/>
        <w:gridCol w:w="1783"/>
        <w:gridCol w:w="1411"/>
        <w:gridCol w:w="1352"/>
        <w:gridCol w:w="1347"/>
      </w:tblGrid>
      <w:tr w:rsidR="00D470B6" w:rsidRPr="00A53AD7" w14:paraId="60099DCD" w14:textId="77777777" w:rsidTr="001D2B6D">
        <w:trPr>
          <w:trHeight w:val="25"/>
          <w:tblHeader/>
          <w:jc w:val="center"/>
        </w:trPr>
        <w:tc>
          <w:tcPr>
            <w:tcW w:w="354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E46D60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1719" w:type="dxa"/>
            <w:tcBorders>
              <w:top w:val="double" w:sz="6" w:space="0" w:color="auto"/>
              <w:left w:val="nil"/>
              <w:bottom w:val="single" w:sz="4" w:space="0" w:color="auto"/>
              <w:right w:val="single" w:sz="4" w:space="0" w:color="auto"/>
            </w:tcBorders>
            <w:shd w:val="clear" w:color="auto" w:fill="auto"/>
            <w:vAlign w:val="center"/>
            <w:hideMark/>
          </w:tcPr>
          <w:p w14:paraId="0E8CE997"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Источник финансирования</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4EE9F7AF"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Утверждено пост. Пр-ва АО</w:t>
            </w:r>
          </w:p>
        </w:tc>
        <w:tc>
          <w:tcPr>
            <w:tcW w:w="1282" w:type="dxa"/>
            <w:tcBorders>
              <w:top w:val="double" w:sz="6" w:space="0" w:color="auto"/>
              <w:left w:val="nil"/>
              <w:bottom w:val="single" w:sz="4" w:space="0" w:color="auto"/>
              <w:right w:val="single" w:sz="4" w:space="0" w:color="auto"/>
            </w:tcBorders>
            <w:shd w:val="clear" w:color="auto" w:fill="auto"/>
            <w:vAlign w:val="center"/>
            <w:hideMark/>
          </w:tcPr>
          <w:p w14:paraId="00CFC66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Расчет показателей</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3DFAF805"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w:t>
            </w:r>
          </w:p>
        </w:tc>
      </w:tr>
      <w:tr w:rsidR="00D470B6" w:rsidRPr="00A53AD7" w14:paraId="7955459B" w14:textId="77777777" w:rsidTr="001D2B6D">
        <w:trPr>
          <w:trHeight w:val="82"/>
          <w:jc w:val="center"/>
        </w:trPr>
        <w:tc>
          <w:tcPr>
            <w:tcW w:w="3543" w:type="dxa"/>
            <w:vMerge w:val="restart"/>
            <w:tcBorders>
              <w:top w:val="nil"/>
              <w:left w:val="double" w:sz="6" w:space="0" w:color="auto"/>
              <w:bottom w:val="double" w:sz="6" w:space="0" w:color="000000"/>
              <w:right w:val="single" w:sz="4" w:space="0" w:color="auto"/>
            </w:tcBorders>
            <w:shd w:val="clear" w:color="auto" w:fill="auto"/>
            <w:vAlign w:val="center"/>
            <w:hideMark/>
          </w:tcPr>
          <w:p w14:paraId="6BF7997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 по государственной программе</w:t>
            </w:r>
          </w:p>
        </w:tc>
        <w:tc>
          <w:tcPr>
            <w:tcW w:w="1719" w:type="dxa"/>
            <w:tcBorders>
              <w:top w:val="nil"/>
              <w:left w:val="nil"/>
              <w:bottom w:val="single" w:sz="4" w:space="0" w:color="auto"/>
              <w:right w:val="single" w:sz="4" w:space="0" w:color="auto"/>
            </w:tcBorders>
            <w:shd w:val="clear" w:color="auto" w:fill="auto"/>
            <w:vAlign w:val="center"/>
            <w:hideMark/>
          </w:tcPr>
          <w:p w14:paraId="14C640F8" w14:textId="77777777" w:rsidR="001D2B6D" w:rsidRPr="00A53AD7" w:rsidRDefault="001D2B6D" w:rsidP="001D2B6D">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Всего, в т.ч.:</w:t>
            </w:r>
          </w:p>
        </w:tc>
        <w:tc>
          <w:tcPr>
            <w:tcW w:w="1417" w:type="dxa"/>
            <w:tcBorders>
              <w:top w:val="nil"/>
              <w:left w:val="nil"/>
              <w:bottom w:val="single" w:sz="4" w:space="0" w:color="auto"/>
              <w:right w:val="single" w:sz="4" w:space="0" w:color="auto"/>
            </w:tcBorders>
            <w:shd w:val="clear" w:color="auto" w:fill="auto"/>
            <w:vAlign w:val="center"/>
            <w:hideMark/>
          </w:tcPr>
          <w:p w14:paraId="14B7377F"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1 861,7 </w:t>
            </w:r>
          </w:p>
        </w:tc>
        <w:tc>
          <w:tcPr>
            <w:tcW w:w="1282" w:type="dxa"/>
            <w:tcBorders>
              <w:top w:val="nil"/>
              <w:left w:val="nil"/>
              <w:bottom w:val="single" w:sz="4" w:space="0" w:color="auto"/>
              <w:right w:val="single" w:sz="4" w:space="0" w:color="auto"/>
            </w:tcBorders>
            <w:shd w:val="clear" w:color="auto" w:fill="auto"/>
            <w:vAlign w:val="center"/>
            <w:hideMark/>
          </w:tcPr>
          <w:p w14:paraId="53D8CEF7"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1 843,2 </w:t>
            </w:r>
          </w:p>
        </w:tc>
        <w:tc>
          <w:tcPr>
            <w:tcW w:w="1276" w:type="dxa"/>
            <w:tcBorders>
              <w:top w:val="nil"/>
              <w:left w:val="nil"/>
              <w:bottom w:val="single" w:sz="4" w:space="0" w:color="auto"/>
              <w:right w:val="double" w:sz="6" w:space="0" w:color="auto"/>
            </w:tcBorders>
            <w:shd w:val="clear" w:color="auto" w:fill="auto"/>
            <w:vAlign w:val="center"/>
            <w:hideMark/>
          </w:tcPr>
          <w:p w14:paraId="3F88ACAD"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-18,4 </w:t>
            </w:r>
          </w:p>
        </w:tc>
      </w:tr>
      <w:tr w:rsidR="00D470B6" w:rsidRPr="00A53AD7" w14:paraId="778FA8D3" w14:textId="77777777" w:rsidTr="00901286">
        <w:trPr>
          <w:trHeight w:val="77"/>
          <w:jc w:val="center"/>
        </w:trPr>
        <w:tc>
          <w:tcPr>
            <w:tcW w:w="3543" w:type="dxa"/>
            <w:vMerge/>
            <w:tcBorders>
              <w:top w:val="nil"/>
              <w:left w:val="double" w:sz="6" w:space="0" w:color="auto"/>
              <w:bottom w:val="double" w:sz="6" w:space="0" w:color="000000"/>
              <w:right w:val="single" w:sz="4" w:space="0" w:color="auto"/>
            </w:tcBorders>
            <w:vAlign w:val="center"/>
            <w:hideMark/>
          </w:tcPr>
          <w:p w14:paraId="575C4691" w14:textId="77777777" w:rsidR="001D2B6D" w:rsidRPr="00A53AD7" w:rsidRDefault="001D2B6D" w:rsidP="001D2B6D">
            <w:pPr>
              <w:spacing w:after="0" w:line="240" w:lineRule="auto"/>
              <w:rPr>
                <w:rFonts w:ascii="Times New Roman" w:eastAsia="Times New Roman" w:hAnsi="Times New Roman"/>
                <w:lang w:eastAsia="ru-RU"/>
              </w:rPr>
            </w:pPr>
          </w:p>
        </w:tc>
        <w:tc>
          <w:tcPr>
            <w:tcW w:w="1719" w:type="dxa"/>
            <w:tcBorders>
              <w:top w:val="nil"/>
              <w:left w:val="nil"/>
              <w:bottom w:val="single" w:sz="4" w:space="0" w:color="auto"/>
              <w:right w:val="single" w:sz="4" w:space="0" w:color="auto"/>
            </w:tcBorders>
            <w:shd w:val="clear" w:color="auto" w:fill="auto"/>
            <w:vAlign w:val="center"/>
            <w:hideMark/>
          </w:tcPr>
          <w:p w14:paraId="0A0BFAE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 бюдж.</w:t>
            </w:r>
          </w:p>
        </w:tc>
        <w:tc>
          <w:tcPr>
            <w:tcW w:w="1417" w:type="dxa"/>
            <w:tcBorders>
              <w:top w:val="nil"/>
              <w:left w:val="nil"/>
              <w:bottom w:val="single" w:sz="4" w:space="0" w:color="auto"/>
              <w:right w:val="single" w:sz="4" w:space="0" w:color="auto"/>
            </w:tcBorders>
            <w:shd w:val="clear" w:color="auto" w:fill="auto"/>
            <w:vAlign w:val="center"/>
            <w:hideMark/>
          </w:tcPr>
          <w:p w14:paraId="08A420D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82" w:type="dxa"/>
            <w:tcBorders>
              <w:top w:val="nil"/>
              <w:left w:val="nil"/>
              <w:bottom w:val="single" w:sz="4" w:space="0" w:color="auto"/>
              <w:right w:val="single" w:sz="4" w:space="0" w:color="auto"/>
            </w:tcBorders>
            <w:shd w:val="clear" w:color="auto" w:fill="auto"/>
            <w:vAlign w:val="center"/>
            <w:hideMark/>
          </w:tcPr>
          <w:p w14:paraId="1B8BC9A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76" w:type="dxa"/>
            <w:tcBorders>
              <w:top w:val="nil"/>
              <w:left w:val="nil"/>
              <w:bottom w:val="single" w:sz="4" w:space="0" w:color="auto"/>
              <w:right w:val="double" w:sz="6" w:space="0" w:color="auto"/>
            </w:tcBorders>
            <w:shd w:val="clear" w:color="auto" w:fill="auto"/>
            <w:vAlign w:val="center"/>
            <w:hideMark/>
          </w:tcPr>
          <w:p w14:paraId="5CC4737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1DDE285A" w14:textId="77777777" w:rsidTr="001D2B6D">
        <w:trPr>
          <w:trHeight w:val="25"/>
          <w:jc w:val="center"/>
        </w:trPr>
        <w:tc>
          <w:tcPr>
            <w:tcW w:w="3543" w:type="dxa"/>
            <w:vMerge/>
            <w:tcBorders>
              <w:top w:val="nil"/>
              <w:left w:val="double" w:sz="6" w:space="0" w:color="auto"/>
              <w:bottom w:val="double" w:sz="6" w:space="0" w:color="000000"/>
              <w:right w:val="single" w:sz="4" w:space="0" w:color="auto"/>
            </w:tcBorders>
            <w:vAlign w:val="center"/>
            <w:hideMark/>
          </w:tcPr>
          <w:p w14:paraId="5D4C90C0" w14:textId="77777777" w:rsidR="001D2B6D" w:rsidRPr="00A53AD7" w:rsidRDefault="001D2B6D" w:rsidP="001D2B6D">
            <w:pPr>
              <w:spacing w:after="0" w:line="240" w:lineRule="auto"/>
              <w:rPr>
                <w:rFonts w:ascii="Times New Roman" w:eastAsia="Times New Roman" w:hAnsi="Times New Roman"/>
                <w:lang w:eastAsia="ru-RU"/>
              </w:rPr>
            </w:pPr>
          </w:p>
        </w:tc>
        <w:tc>
          <w:tcPr>
            <w:tcW w:w="1719" w:type="dxa"/>
            <w:tcBorders>
              <w:top w:val="nil"/>
              <w:left w:val="nil"/>
              <w:bottom w:val="single" w:sz="4" w:space="0" w:color="auto"/>
              <w:right w:val="single" w:sz="4" w:space="0" w:color="auto"/>
            </w:tcBorders>
            <w:shd w:val="clear" w:color="auto" w:fill="auto"/>
            <w:vAlign w:val="center"/>
            <w:hideMark/>
          </w:tcPr>
          <w:p w14:paraId="5D59F761"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 бюдж.</w:t>
            </w:r>
          </w:p>
        </w:tc>
        <w:tc>
          <w:tcPr>
            <w:tcW w:w="1417" w:type="dxa"/>
            <w:tcBorders>
              <w:top w:val="nil"/>
              <w:left w:val="nil"/>
              <w:bottom w:val="single" w:sz="4" w:space="0" w:color="auto"/>
              <w:right w:val="single" w:sz="4" w:space="0" w:color="auto"/>
            </w:tcBorders>
            <w:shd w:val="clear" w:color="auto" w:fill="auto"/>
            <w:vAlign w:val="center"/>
            <w:hideMark/>
          </w:tcPr>
          <w:p w14:paraId="5F74381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1 799,3 </w:t>
            </w:r>
          </w:p>
        </w:tc>
        <w:tc>
          <w:tcPr>
            <w:tcW w:w="1282" w:type="dxa"/>
            <w:tcBorders>
              <w:top w:val="nil"/>
              <w:left w:val="nil"/>
              <w:bottom w:val="single" w:sz="4" w:space="0" w:color="auto"/>
              <w:right w:val="single" w:sz="4" w:space="0" w:color="auto"/>
            </w:tcBorders>
            <w:shd w:val="clear" w:color="auto" w:fill="auto"/>
            <w:vAlign w:val="center"/>
            <w:hideMark/>
          </w:tcPr>
          <w:p w14:paraId="08982A1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1 780,8 </w:t>
            </w:r>
          </w:p>
        </w:tc>
        <w:tc>
          <w:tcPr>
            <w:tcW w:w="1276" w:type="dxa"/>
            <w:tcBorders>
              <w:top w:val="nil"/>
              <w:left w:val="nil"/>
              <w:bottom w:val="single" w:sz="4" w:space="0" w:color="auto"/>
              <w:right w:val="double" w:sz="6" w:space="0" w:color="auto"/>
            </w:tcBorders>
            <w:shd w:val="clear" w:color="auto" w:fill="auto"/>
            <w:vAlign w:val="center"/>
            <w:hideMark/>
          </w:tcPr>
          <w:p w14:paraId="509276A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-18,4 </w:t>
            </w:r>
          </w:p>
        </w:tc>
      </w:tr>
      <w:tr w:rsidR="00D470B6" w:rsidRPr="00A53AD7" w14:paraId="27C35D9D" w14:textId="77777777" w:rsidTr="001D2B6D">
        <w:trPr>
          <w:trHeight w:val="25"/>
          <w:jc w:val="center"/>
        </w:trPr>
        <w:tc>
          <w:tcPr>
            <w:tcW w:w="3543" w:type="dxa"/>
            <w:vMerge/>
            <w:tcBorders>
              <w:top w:val="nil"/>
              <w:left w:val="double" w:sz="6" w:space="0" w:color="auto"/>
              <w:bottom w:val="double" w:sz="6" w:space="0" w:color="000000"/>
              <w:right w:val="single" w:sz="4" w:space="0" w:color="auto"/>
            </w:tcBorders>
            <w:vAlign w:val="center"/>
            <w:hideMark/>
          </w:tcPr>
          <w:p w14:paraId="6EBED611" w14:textId="77777777" w:rsidR="001D2B6D" w:rsidRPr="00A53AD7" w:rsidRDefault="001D2B6D" w:rsidP="001D2B6D">
            <w:pPr>
              <w:spacing w:after="0" w:line="240" w:lineRule="auto"/>
              <w:rPr>
                <w:rFonts w:ascii="Times New Roman" w:eastAsia="Times New Roman" w:hAnsi="Times New Roman"/>
                <w:lang w:eastAsia="ru-RU"/>
              </w:rPr>
            </w:pPr>
          </w:p>
        </w:tc>
        <w:tc>
          <w:tcPr>
            <w:tcW w:w="1719" w:type="dxa"/>
            <w:tcBorders>
              <w:top w:val="nil"/>
              <w:left w:val="nil"/>
              <w:bottom w:val="single" w:sz="4" w:space="0" w:color="auto"/>
              <w:right w:val="single" w:sz="4" w:space="0" w:color="auto"/>
            </w:tcBorders>
            <w:shd w:val="clear" w:color="auto" w:fill="auto"/>
            <w:vAlign w:val="center"/>
            <w:hideMark/>
          </w:tcPr>
          <w:p w14:paraId="2A272E0F"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 бюдж.</w:t>
            </w:r>
          </w:p>
        </w:tc>
        <w:tc>
          <w:tcPr>
            <w:tcW w:w="1417" w:type="dxa"/>
            <w:tcBorders>
              <w:top w:val="nil"/>
              <w:left w:val="nil"/>
              <w:bottom w:val="single" w:sz="4" w:space="0" w:color="auto"/>
              <w:right w:val="single" w:sz="4" w:space="0" w:color="auto"/>
            </w:tcBorders>
            <w:shd w:val="clear" w:color="auto" w:fill="auto"/>
            <w:vAlign w:val="center"/>
            <w:hideMark/>
          </w:tcPr>
          <w:p w14:paraId="3C1EADD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62,4 </w:t>
            </w:r>
          </w:p>
        </w:tc>
        <w:tc>
          <w:tcPr>
            <w:tcW w:w="1282" w:type="dxa"/>
            <w:tcBorders>
              <w:top w:val="nil"/>
              <w:left w:val="nil"/>
              <w:bottom w:val="single" w:sz="4" w:space="0" w:color="auto"/>
              <w:right w:val="single" w:sz="4" w:space="0" w:color="auto"/>
            </w:tcBorders>
            <w:shd w:val="clear" w:color="auto" w:fill="auto"/>
            <w:vAlign w:val="center"/>
            <w:hideMark/>
          </w:tcPr>
          <w:p w14:paraId="0001153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62,4 </w:t>
            </w:r>
          </w:p>
        </w:tc>
        <w:tc>
          <w:tcPr>
            <w:tcW w:w="1276" w:type="dxa"/>
            <w:tcBorders>
              <w:top w:val="nil"/>
              <w:left w:val="nil"/>
              <w:bottom w:val="single" w:sz="4" w:space="0" w:color="auto"/>
              <w:right w:val="double" w:sz="6" w:space="0" w:color="auto"/>
            </w:tcBorders>
            <w:shd w:val="clear" w:color="auto" w:fill="auto"/>
            <w:vAlign w:val="center"/>
            <w:hideMark/>
          </w:tcPr>
          <w:p w14:paraId="449874B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1D2B6D" w:rsidRPr="00A53AD7" w14:paraId="06E67957" w14:textId="77777777" w:rsidTr="001D2B6D">
        <w:trPr>
          <w:trHeight w:val="25"/>
          <w:jc w:val="center"/>
        </w:trPr>
        <w:tc>
          <w:tcPr>
            <w:tcW w:w="3543" w:type="dxa"/>
            <w:vMerge/>
            <w:tcBorders>
              <w:top w:val="nil"/>
              <w:left w:val="double" w:sz="6" w:space="0" w:color="auto"/>
              <w:bottom w:val="double" w:sz="6" w:space="0" w:color="000000"/>
              <w:right w:val="single" w:sz="4" w:space="0" w:color="auto"/>
            </w:tcBorders>
            <w:vAlign w:val="center"/>
            <w:hideMark/>
          </w:tcPr>
          <w:p w14:paraId="0CEB2768" w14:textId="77777777" w:rsidR="001D2B6D" w:rsidRPr="00A53AD7" w:rsidRDefault="001D2B6D" w:rsidP="001D2B6D">
            <w:pPr>
              <w:spacing w:after="0" w:line="240" w:lineRule="auto"/>
              <w:rPr>
                <w:rFonts w:ascii="Times New Roman" w:eastAsia="Times New Roman" w:hAnsi="Times New Roman"/>
                <w:lang w:eastAsia="ru-RU"/>
              </w:rPr>
            </w:pPr>
          </w:p>
        </w:tc>
        <w:tc>
          <w:tcPr>
            <w:tcW w:w="1719" w:type="dxa"/>
            <w:tcBorders>
              <w:top w:val="nil"/>
              <w:left w:val="nil"/>
              <w:bottom w:val="double" w:sz="6" w:space="0" w:color="auto"/>
              <w:right w:val="single" w:sz="4" w:space="0" w:color="auto"/>
            </w:tcBorders>
            <w:shd w:val="clear" w:color="auto" w:fill="auto"/>
            <w:vAlign w:val="center"/>
            <w:hideMark/>
          </w:tcPr>
          <w:p w14:paraId="34536C51"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 ср-ва</w:t>
            </w:r>
          </w:p>
        </w:tc>
        <w:tc>
          <w:tcPr>
            <w:tcW w:w="1417" w:type="dxa"/>
            <w:tcBorders>
              <w:top w:val="nil"/>
              <w:left w:val="nil"/>
              <w:bottom w:val="double" w:sz="6" w:space="0" w:color="auto"/>
              <w:right w:val="single" w:sz="4" w:space="0" w:color="auto"/>
            </w:tcBorders>
            <w:shd w:val="clear" w:color="auto" w:fill="auto"/>
            <w:vAlign w:val="center"/>
            <w:hideMark/>
          </w:tcPr>
          <w:p w14:paraId="7F6F275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82" w:type="dxa"/>
            <w:tcBorders>
              <w:top w:val="nil"/>
              <w:left w:val="nil"/>
              <w:bottom w:val="double" w:sz="6" w:space="0" w:color="auto"/>
              <w:right w:val="single" w:sz="4" w:space="0" w:color="auto"/>
            </w:tcBorders>
            <w:shd w:val="clear" w:color="auto" w:fill="auto"/>
            <w:vAlign w:val="center"/>
            <w:hideMark/>
          </w:tcPr>
          <w:p w14:paraId="6645B648"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276" w:type="dxa"/>
            <w:tcBorders>
              <w:top w:val="nil"/>
              <w:left w:val="nil"/>
              <w:bottom w:val="double" w:sz="6" w:space="0" w:color="auto"/>
              <w:right w:val="double" w:sz="6" w:space="0" w:color="auto"/>
            </w:tcBorders>
            <w:shd w:val="clear" w:color="auto" w:fill="auto"/>
            <w:vAlign w:val="center"/>
            <w:hideMark/>
          </w:tcPr>
          <w:p w14:paraId="1B6EDB7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bl>
    <w:p w14:paraId="52C9C3E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216DC28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Законом «Об областном бюджете» (в ред. от 13.12.2019 № 189-13-ОЗ) расходы на реализацию мероприятий госпрограммы № 465-пп за счет средств областного бюджета утверждены в общей сумме 1 799,3 млн.руб.</w:t>
      </w:r>
    </w:p>
    <w:p w14:paraId="0ACC5258" w14:textId="551C514E"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видам главных распорядителей средств областного бюджета внесенные в течение 2019 года изменения в областной закон «Об областном бюджете» по расходам на госпрограмму № 465-пп представлены в таблице </w:t>
      </w:r>
      <w:r w:rsidR="006B1B2F" w:rsidRPr="00A53AD7">
        <w:rPr>
          <w:rFonts w:ascii="Times New Roman" w:hAnsi="Times New Roman"/>
          <w:sz w:val="28"/>
          <w:szCs w:val="28"/>
        </w:rPr>
        <w:t>43</w:t>
      </w:r>
      <w:r w:rsidRPr="00A53AD7">
        <w:rPr>
          <w:rFonts w:ascii="Times New Roman" w:hAnsi="Times New Roman"/>
          <w:sz w:val="28"/>
          <w:szCs w:val="28"/>
        </w:rPr>
        <w:t>.</w:t>
      </w:r>
    </w:p>
    <w:p w14:paraId="5B7FAE44" w14:textId="77777777" w:rsidR="001D2B6D" w:rsidRPr="00A53AD7" w:rsidRDefault="001D2B6D" w:rsidP="001D2B6D">
      <w:pPr>
        <w:spacing w:after="0" w:line="240" w:lineRule="auto"/>
        <w:rPr>
          <w:rFonts w:ascii="Times New Roman" w:hAnsi="Times New Roman"/>
          <w:sz w:val="24"/>
          <w:szCs w:val="24"/>
        </w:rPr>
      </w:pPr>
    </w:p>
    <w:p w14:paraId="4C4D5EAA"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Таблица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43</w:t>
      </w:r>
      <w:r w:rsidRPr="00A53AD7">
        <w:rPr>
          <w:rFonts w:ascii="Times New Roman" w:hAnsi="Times New Roman"/>
          <w:b w:val="0"/>
          <w:noProof/>
          <w:sz w:val="24"/>
          <w:szCs w:val="24"/>
        </w:rPr>
        <w:fldChar w:fldCharType="end"/>
      </w:r>
      <w:r w:rsidRPr="00A53AD7">
        <w:rPr>
          <w:rFonts w:ascii="Times New Roman" w:hAnsi="Times New Roman"/>
          <w:b w:val="0"/>
          <w:sz w:val="24"/>
          <w:szCs w:val="24"/>
        </w:rPr>
        <w:t>. Изменения, внесенные в областной закон 17.12.2018 № 35-4-ОЗ «Об областном бюджете», связанные изменением параметров финансирования на 2019 год госпрограммы № 465-пп по главным распорядителям, млн.руб.</w:t>
      </w:r>
    </w:p>
    <w:tbl>
      <w:tblPr>
        <w:tblW w:w="9436" w:type="dxa"/>
        <w:tblInd w:w="85" w:type="dxa"/>
        <w:tblLayout w:type="fixed"/>
        <w:tblLook w:val="04A0" w:firstRow="1" w:lastRow="0" w:firstColumn="1" w:lastColumn="0" w:noHBand="0" w:noVBand="1"/>
      </w:tblPr>
      <w:tblGrid>
        <w:gridCol w:w="2586"/>
        <w:gridCol w:w="993"/>
        <w:gridCol w:w="992"/>
        <w:gridCol w:w="992"/>
        <w:gridCol w:w="992"/>
        <w:gridCol w:w="993"/>
        <w:gridCol w:w="992"/>
        <w:gridCol w:w="896"/>
      </w:tblGrid>
      <w:tr w:rsidR="00D470B6" w:rsidRPr="00A53AD7" w14:paraId="3E8F3767" w14:textId="77777777" w:rsidTr="001D2B6D">
        <w:trPr>
          <w:trHeight w:val="25"/>
          <w:tblHeader/>
        </w:trPr>
        <w:tc>
          <w:tcPr>
            <w:tcW w:w="2586"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F35722E"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Исполнитель</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506A210E"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17.12.18 №35-4-ОЗ</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28307D5"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01.04.19 № 68-6-ОЗ</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47D01F84"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02.07.19 № 121-9-ОЗ</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655DA15"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25.09.19 № 125-10-ОЗ</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769C03E9"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19.11.19 № 177-12-ОЗ</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5A4EE8E5"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ОЗ от 13.12.19 № 189-13-ОЗ</w:t>
            </w:r>
          </w:p>
        </w:tc>
        <w:tc>
          <w:tcPr>
            <w:tcW w:w="896" w:type="dxa"/>
            <w:tcBorders>
              <w:top w:val="double" w:sz="6" w:space="0" w:color="auto"/>
              <w:left w:val="nil"/>
              <w:bottom w:val="single" w:sz="4" w:space="0" w:color="auto"/>
              <w:right w:val="double" w:sz="6" w:space="0" w:color="auto"/>
            </w:tcBorders>
            <w:shd w:val="clear" w:color="auto" w:fill="auto"/>
            <w:vAlign w:val="center"/>
            <w:hideMark/>
          </w:tcPr>
          <w:p w14:paraId="20497EB9" w14:textId="77777777" w:rsidR="001D2B6D" w:rsidRPr="00A53AD7" w:rsidRDefault="001D2B6D" w:rsidP="001D2B6D">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Всего изме-нения за год (+,-)</w:t>
            </w:r>
          </w:p>
        </w:tc>
      </w:tr>
      <w:tr w:rsidR="00D470B6" w:rsidRPr="00A53AD7" w14:paraId="3AFE4E14" w14:textId="77777777" w:rsidTr="001D2B6D">
        <w:trPr>
          <w:trHeight w:val="60"/>
          <w:tblHeader/>
        </w:trPr>
        <w:tc>
          <w:tcPr>
            <w:tcW w:w="2586" w:type="dxa"/>
            <w:tcBorders>
              <w:top w:val="nil"/>
              <w:left w:val="double" w:sz="6" w:space="0" w:color="auto"/>
              <w:bottom w:val="single" w:sz="4" w:space="0" w:color="auto"/>
              <w:right w:val="single" w:sz="4" w:space="0" w:color="auto"/>
            </w:tcBorders>
            <w:shd w:val="clear" w:color="auto" w:fill="auto"/>
            <w:vAlign w:val="center"/>
          </w:tcPr>
          <w:p w14:paraId="174D4D1A"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993" w:type="dxa"/>
            <w:tcBorders>
              <w:top w:val="nil"/>
              <w:left w:val="nil"/>
              <w:bottom w:val="single" w:sz="4" w:space="0" w:color="auto"/>
              <w:right w:val="single" w:sz="4" w:space="0" w:color="auto"/>
            </w:tcBorders>
            <w:shd w:val="clear" w:color="auto" w:fill="auto"/>
            <w:vAlign w:val="center"/>
          </w:tcPr>
          <w:p w14:paraId="0B939A6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992" w:type="dxa"/>
            <w:tcBorders>
              <w:top w:val="nil"/>
              <w:left w:val="nil"/>
              <w:bottom w:val="single" w:sz="4" w:space="0" w:color="auto"/>
              <w:right w:val="single" w:sz="4" w:space="0" w:color="auto"/>
            </w:tcBorders>
            <w:shd w:val="clear" w:color="auto" w:fill="auto"/>
            <w:vAlign w:val="center"/>
          </w:tcPr>
          <w:p w14:paraId="3896ADCB"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992" w:type="dxa"/>
            <w:tcBorders>
              <w:top w:val="nil"/>
              <w:left w:val="nil"/>
              <w:bottom w:val="single" w:sz="4" w:space="0" w:color="auto"/>
              <w:right w:val="single" w:sz="4" w:space="0" w:color="auto"/>
            </w:tcBorders>
            <w:shd w:val="clear" w:color="auto" w:fill="auto"/>
            <w:vAlign w:val="center"/>
          </w:tcPr>
          <w:p w14:paraId="079618D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992" w:type="dxa"/>
            <w:tcBorders>
              <w:top w:val="nil"/>
              <w:left w:val="nil"/>
              <w:bottom w:val="single" w:sz="4" w:space="0" w:color="auto"/>
              <w:right w:val="single" w:sz="4" w:space="0" w:color="auto"/>
            </w:tcBorders>
            <w:shd w:val="clear" w:color="auto" w:fill="auto"/>
            <w:vAlign w:val="center"/>
          </w:tcPr>
          <w:p w14:paraId="2442DC20"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w:t>
            </w:r>
          </w:p>
        </w:tc>
        <w:tc>
          <w:tcPr>
            <w:tcW w:w="993" w:type="dxa"/>
            <w:tcBorders>
              <w:top w:val="nil"/>
              <w:left w:val="nil"/>
              <w:bottom w:val="single" w:sz="4" w:space="0" w:color="auto"/>
              <w:right w:val="single" w:sz="4" w:space="0" w:color="auto"/>
            </w:tcBorders>
            <w:shd w:val="clear" w:color="auto" w:fill="auto"/>
            <w:vAlign w:val="center"/>
          </w:tcPr>
          <w:p w14:paraId="34037511"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992" w:type="dxa"/>
            <w:tcBorders>
              <w:top w:val="nil"/>
              <w:left w:val="nil"/>
              <w:bottom w:val="single" w:sz="4" w:space="0" w:color="auto"/>
              <w:right w:val="single" w:sz="4" w:space="0" w:color="auto"/>
            </w:tcBorders>
            <w:shd w:val="clear" w:color="auto" w:fill="auto"/>
            <w:vAlign w:val="center"/>
          </w:tcPr>
          <w:p w14:paraId="03AEE4EC"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896" w:type="dxa"/>
            <w:tcBorders>
              <w:top w:val="nil"/>
              <w:left w:val="nil"/>
              <w:bottom w:val="single" w:sz="4" w:space="0" w:color="auto"/>
              <w:right w:val="double" w:sz="6" w:space="0" w:color="auto"/>
            </w:tcBorders>
            <w:shd w:val="clear" w:color="auto" w:fill="auto"/>
            <w:vAlign w:val="center"/>
          </w:tcPr>
          <w:p w14:paraId="6790D9BE"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8=7-2</w:t>
            </w:r>
          </w:p>
        </w:tc>
      </w:tr>
      <w:tr w:rsidR="00D470B6" w:rsidRPr="00A53AD7" w14:paraId="25091DDD"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4906190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Агентство ГПС и ГЗ</w:t>
            </w:r>
          </w:p>
        </w:tc>
        <w:tc>
          <w:tcPr>
            <w:tcW w:w="993" w:type="dxa"/>
            <w:tcBorders>
              <w:top w:val="nil"/>
              <w:left w:val="nil"/>
              <w:bottom w:val="single" w:sz="4" w:space="0" w:color="auto"/>
              <w:right w:val="single" w:sz="4" w:space="0" w:color="auto"/>
            </w:tcBorders>
            <w:shd w:val="clear" w:color="auto" w:fill="auto"/>
            <w:vAlign w:val="center"/>
            <w:hideMark/>
          </w:tcPr>
          <w:p w14:paraId="09F9F6A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1 552,4 </w:t>
            </w:r>
          </w:p>
        </w:tc>
        <w:tc>
          <w:tcPr>
            <w:tcW w:w="992" w:type="dxa"/>
            <w:tcBorders>
              <w:top w:val="nil"/>
              <w:left w:val="nil"/>
              <w:bottom w:val="single" w:sz="4" w:space="0" w:color="auto"/>
              <w:right w:val="single" w:sz="4" w:space="0" w:color="auto"/>
            </w:tcBorders>
            <w:shd w:val="clear" w:color="auto" w:fill="auto"/>
            <w:vAlign w:val="center"/>
            <w:hideMark/>
          </w:tcPr>
          <w:p w14:paraId="5577725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1 505,0 </w:t>
            </w:r>
          </w:p>
        </w:tc>
        <w:tc>
          <w:tcPr>
            <w:tcW w:w="992" w:type="dxa"/>
            <w:tcBorders>
              <w:top w:val="nil"/>
              <w:left w:val="nil"/>
              <w:bottom w:val="single" w:sz="4" w:space="0" w:color="auto"/>
              <w:right w:val="single" w:sz="4" w:space="0" w:color="auto"/>
            </w:tcBorders>
            <w:shd w:val="clear" w:color="auto" w:fill="auto"/>
            <w:vAlign w:val="center"/>
            <w:hideMark/>
          </w:tcPr>
          <w:p w14:paraId="6269D34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1 504,8 </w:t>
            </w:r>
          </w:p>
        </w:tc>
        <w:tc>
          <w:tcPr>
            <w:tcW w:w="992" w:type="dxa"/>
            <w:tcBorders>
              <w:top w:val="nil"/>
              <w:left w:val="nil"/>
              <w:bottom w:val="single" w:sz="4" w:space="0" w:color="auto"/>
              <w:right w:val="single" w:sz="4" w:space="0" w:color="auto"/>
            </w:tcBorders>
            <w:shd w:val="clear" w:color="auto" w:fill="auto"/>
            <w:vAlign w:val="center"/>
            <w:hideMark/>
          </w:tcPr>
          <w:p w14:paraId="10DC72E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1 501,5 </w:t>
            </w:r>
          </w:p>
        </w:tc>
        <w:tc>
          <w:tcPr>
            <w:tcW w:w="993" w:type="dxa"/>
            <w:tcBorders>
              <w:top w:val="nil"/>
              <w:left w:val="nil"/>
              <w:bottom w:val="single" w:sz="4" w:space="0" w:color="auto"/>
              <w:right w:val="single" w:sz="4" w:space="0" w:color="auto"/>
            </w:tcBorders>
            <w:shd w:val="clear" w:color="auto" w:fill="auto"/>
            <w:vAlign w:val="center"/>
            <w:hideMark/>
          </w:tcPr>
          <w:p w14:paraId="74304B9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1 518,7 </w:t>
            </w:r>
          </w:p>
        </w:tc>
        <w:tc>
          <w:tcPr>
            <w:tcW w:w="992" w:type="dxa"/>
            <w:tcBorders>
              <w:top w:val="nil"/>
              <w:left w:val="nil"/>
              <w:bottom w:val="single" w:sz="4" w:space="0" w:color="auto"/>
              <w:right w:val="single" w:sz="4" w:space="0" w:color="auto"/>
            </w:tcBorders>
            <w:shd w:val="clear" w:color="auto" w:fill="auto"/>
            <w:vAlign w:val="center"/>
            <w:hideMark/>
          </w:tcPr>
          <w:p w14:paraId="7BD1245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1 589,6 </w:t>
            </w:r>
          </w:p>
        </w:tc>
        <w:tc>
          <w:tcPr>
            <w:tcW w:w="896" w:type="dxa"/>
            <w:tcBorders>
              <w:top w:val="nil"/>
              <w:left w:val="nil"/>
              <w:bottom w:val="single" w:sz="4" w:space="0" w:color="auto"/>
              <w:right w:val="double" w:sz="6" w:space="0" w:color="auto"/>
            </w:tcBorders>
            <w:shd w:val="clear" w:color="auto" w:fill="auto"/>
            <w:vAlign w:val="center"/>
            <w:hideMark/>
          </w:tcPr>
          <w:p w14:paraId="216B1B7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37,1 </w:t>
            </w:r>
          </w:p>
        </w:tc>
      </w:tr>
      <w:tr w:rsidR="00D470B6" w:rsidRPr="00A53AD7" w14:paraId="0D0CA172"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69CB7043"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АПК и торговли</w:t>
            </w:r>
          </w:p>
        </w:tc>
        <w:tc>
          <w:tcPr>
            <w:tcW w:w="993" w:type="dxa"/>
            <w:tcBorders>
              <w:top w:val="nil"/>
              <w:left w:val="nil"/>
              <w:bottom w:val="single" w:sz="4" w:space="0" w:color="auto"/>
              <w:right w:val="single" w:sz="4" w:space="0" w:color="auto"/>
            </w:tcBorders>
            <w:shd w:val="clear" w:color="auto" w:fill="auto"/>
            <w:vAlign w:val="center"/>
            <w:hideMark/>
          </w:tcPr>
          <w:p w14:paraId="3C9EB76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992" w:type="dxa"/>
            <w:tcBorders>
              <w:top w:val="nil"/>
              <w:left w:val="nil"/>
              <w:bottom w:val="single" w:sz="4" w:space="0" w:color="auto"/>
              <w:right w:val="single" w:sz="4" w:space="0" w:color="auto"/>
            </w:tcBorders>
            <w:shd w:val="clear" w:color="auto" w:fill="auto"/>
            <w:vAlign w:val="center"/>
            <w:hideMark/>
          </w:tcPr>
          <w:p w14:paraId="2FEE7D9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992" w:type="dxa"/>
            <w:tcBorders>
              <w:top w:val="nil"/>
              <w:left w:val="nil"/>
              <w:bottom w:val="single" w:sz="4" w:space="0" w:color="auto"/>
              <w:right w:val="single" w:sz="4" w:space="0" w:color="auto"/>
            </w:tcBorders>
            <w:shd w:val="clear" w:color="auto" w:fill="auto"/>
            <w:vAlign w:val="center"/>
            <w:hideMark/>
          </w:tcPr>
          <w:p w14:paraId="6B55439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992" w:type="dxa"/>
            <w:tcBorders>
              <w:top w:val="nil"/>
              <w:left w:val="nil"/>
              <w:bottom w:val="single" w:sz="4" w:space="0" w:color="auto"/>
              <w:right w:val="single" w:sz="4" w:space="0" w:color="auto"/>
            </w:tcBorders>
            <w:shd w:val="clear" w:color="auto" w:fill="auto"/>
            <w:vAlign w:val="center"/>
            <w:hideMark/>
          </w:tcPr>
          <w:p w14:paraId="410F4FC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993" w:type="dxa"/>
            <w:tcBorders>
              <w:top w:val="nil"/>
              <w:left w:val="nil"/>
              <w:bottom w:val="single" w:sz="4" w:space="0" w:color="auto"/>
              <w:right w:val="single" w:sz="4" w:space="0" w:color="auto"/>
            </w:tcBorders>
            <w:shd w:val="clear" w:color="auto" w:fill="auto"/>
            <w:vAlign w:val="center"/>
            <w:hideMark/>
          </w:tcPr>
          <w:p w14:paraId="037531D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992" w:type="dxa"/>
            <w:tcBorders>
              <w:top w:val="nil"/>
              <w:left w:val="nil"/>
              <w:bottom w:val="single" w:sz="4" w:space="0" w:color="auto"/>
              <w:right w:val="single" w:sz="4" w:space="0" w:color="auto"/>
            </w:tcBorders>
            <w:shd w:val="clear" w:color="auto" w:fill="auto"/>
            <w:vAlign w:val="center"/>
            <w:hideMark/>
          </w:tcPr>
          <w:p w14:paraId="4205815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896" w:type="dxa"/>
            <w:tcBorders>
              <w:top w:val="nil"/>
              <w:left w:val="nil"/>
              <w:bottom w:val="single" w:sz="4" w:space="0" w:color="auto"/>
              <w:right w:val="double" w:sz="6" w:space="0" w:color="auto"/>
            </w:tcBorders>
            <w:shd w:val="clear" w:color="auto" w:fill="auto"/>
            <w:vAlign w:val="center"/>
            <w:hideMark/>
          </w:tcPr>
          <w:p w14:paraId="68407D1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7732E50E"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389A5912"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связи и ИТ</w:t>
            </w:r>
          </w:p>
        </w:tc>
        <w:tc>
          <w:tcPr>
            <w:tcW w:w="993" w:type="dxa"/>
            <w:tcBorders>
              <w:top w:val="nil"/>
              <w:left w:val="nil"/>
              <w:bottom w:val="single" w:sz="4" w:space="0" w:color="auto"/>
              <w:right w:val="single" w:sz="4" w:space="0" w:color="auto"/>
            </w:tcBorders>
            <w:shd w:val="clear" w:color="auto" w:fill="auto"/>
            <w:vAlign w:val="center"/>
            <w:hideMark/>
          </w:tcPr>
          <w:p w14:paraId="1457EC6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94,0 </w:t>
            </w:r>
          </w:p>
        </w:tc>
        <w:tc>
          <w:tcPr>
            <w:tcW w:w="992" w:type="dxa"/>
            <w:tcBorders>
              <w:top w:val="nil"/>
              <w:left w:val="nil"/>
              <w:bottom w:val="single" w:sz="4" w:space="0" w:color="auto"/>
              <w:right w:val="single" w:sz="4" w:space="0" w:color="auto"/>
            </w:tcBorders>
            <w:shd w:val="clear" w:color="auto" w:fill="auto"/>
            <w:vAlign w:val="center"/>
            <w:hideMark/>
          </w:tcPr>
          <w:p w14:paraId="0C14A4E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147,0 </w:t>
            </w:r>
          </w:p>
        </w:tc>
        <w:tc>
          <w:tcPr>
            <w:tcW w:w="992" w:type="dxa"/>
            <w:tcBorders>
              <w:top w:val="nil"/>
              <w:left w:val="nil"/>
              <w:bottom w:val="single" w:sz="4" w:space="0" w:color="auto"/>
              <w:right w:val="single" w:sz="4" w:space="0" w:color="auto"/>
            </w:tcBorders>
            <w:shd w:val="clear" w:color="auto" w:fill="auto"/>
            <w:vAlign w:val="center"/>
            <w:hideMark/>
          </w:tcPr>
          <w:p w14:paraId="0F06ECF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152,4 </w:t>
            </w:r>
          </w:p>
        </w:tc>
        <w:tc>
          <w:tcPr>
            <w:tcW w:w="992" w:type="dxa"/>
            <w:tcBorders>
              <w:top w:val="nil"/>
              <w:left w:val="nil"/>
              <w:bottom w:val="single" w:sz="4" w:space="0" w:color="auto"/>
              <w:right w:val="single" w:sz="4" w:space="0" w:color="auto"/>
            </w:tcBorders>
            <w:shd w:val="clear" w:color="auto" w:fill="auto"/>
            <w:vAlign w:val="center"/>
            <w:hideMark/>
          </w:tcPr>
          <w:p w14:paraId="17BD784E"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152,4 </w:t>
            </w:r>
          </w:p>
        </w:tc>
        <w:tc>
          <w:tcPr>
            <w:tcW w:w="993" w:type="dxa"/>
            <w:tcBorders>
              <w:top w:val="nil"/>
              <w:left w:val="nil"/>
              <w:bottom w:val="single" w:sz="4" w:space="0" w:color="auto"/>
              <w:right w:val="single" w:sz="4" w:space="0" w:color="auto"/>
            </w:tcBorders>
            <w:shd w:val="clear" w:color="auto" w:fill="auto"/>
            <w:vAlign w:val="center"/>
            <w:hideMark/>
          </w:tcPr>
          <w:p w14:paraId="5ABD012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157,5 </w:t>
            </w:r>
          </w:p>
        </w:tc>
        <w:tc>
          <w:tcPr>
            <w:tcW w:w="992" w:type="dxa"/>
            <w:tcBorders>
              <w:top w:val="nil"/>
              <w:left w:val="nil"/>
              <w:bottom w:val="single" w:sz="4" w:space="0" w:color="auto"/>
              <w:right w:val="single" w:sz="4" w:space="0" w:color="auto"/>
            </w:tcBorders>
            <w:shd w:val="clear" w:color="auto" w:fill="auto"/>
            <w:vAlign w:val="center"/>
            <w:hideMark/>
          </w:tcPr>
          <w:p w14:paraId="1FE1430E"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157,5 </w:t>
            </w:r>
          </w:p>
        </w:tc>
        <w:tc>
          <w:tcPr>
            <w:tcW w:w="896" w:type="dxa"/>
            <w:tcBorders>
              <w:top w:val="nil"/>
              <w:left w:val="nil"/>
              <w:bottom w:val="single" w:sz="4" w:space="0" w:color="auto"/>
              <w:right w:val="double" w:sz="6" w:space="0" w:color="auto"/>
            </w:tcBorders>
            <w:shd w:val="clear" w:color="auto" w:fill="auto"/>
            <w:vAlign w:val="center"/>
            <w:hideMark/>
          </w:tcPr>
          <w:p w14:paraId="1FD6316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63,5 </w:t>
            </w:r>
          </w:p>
        </w:tc>
      </w:tr>
      <w:tr w:rsidR="00D470B6" w:rsidRPr="00A53AD7" w14:paraId="6079F978"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768A4EB5"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ТЭК и ЖКХ</w:t>
            </w:r>
          </w:p>
        </w:tc>
        <w:tc>
          <w:tcPr>
            <w:tcW w:w="993" w:type="dxa"/>
            <w:tcBorders>
              <w:top w:val="nil"/>
              <w:left w:val="nil"/>
              <w:bottom w:val="single" w:sz="4" w:space="0" w:color="auto"/>
              <w:right w:val="single" w:sz="4" w:space="0" w:color="auto"/>
            </w:tcBorders>
            <w:shd w:val="clear" w:color="auto" w:fill="auto"/>
            <w:vAlign w:val="center"/>
            <w:hideMark/>
          </w:tcPr>
          <w:p w14:paraId="32FA631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2" w:type="dxa"/>
            <w:tcBorders>
              <w:top w:val="nil"/>
              <w:left w:val="nil"/>
              <w:bottom w:val="single" w:sz="4" w:space="0" w:color="auto"/>
              <w:right w:val="single" w:sz="4" w:space="0" w:color="auto"/>
            </w:tcBorders>
            <w:shd w:val="clear" w:color="auto" w:fill="auto"/>
            <w:vAlign w:val="center"/>
            <w:hideMark/>
          </w:tcPr>
          <w:p w14:paraId="4AB7AA5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2" w:type="dxa"/>
            <w:tcBorders>
              <w:top w:val="nil"/>
              <w:left w:val="nil"/>
              <w:bottom w:val="single" w:sz="4" w:space="0" w:color="auto"/>
              <w:right w:val="single" w:sz="4" w:space="0" w:color="auto"/>
            </w:tcBorders>
            <w:shd w:val="clear" w:color="auto" w:fill="auto"/>
            <w:vAlign w:val="center"/>
            <w:hideMark/>
          </w:tcPr>
          <w:p w14:paraId="030EAEA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2" w:type="dxa"/>
            <w:tcBorders>
              <w:top w:val="nil"/>
              <w:left w:val="nil"/>
              <w:bottom w:val="single" w:sz="4" w:space="0" w:color="auto"/>
              <w:right w:val="single" w:sz="4" w:space="0" w:color="auto"/>
            </w:tcBorders>
            <w:shd w:val="clear" w:color="auto" w:fill="auto"/>
            <w:vAlign w:val="center"/>
            <w:hideMark/>
          </w:tcPr>
          <w:p w14:paraId="654F682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3" w:type="dxa"/>
            <w:tcBorders>
              <w:top w:val="nil"/>
              <w:left w:val="nil"/>
              <w:bottom w:val="single" w:sz="4" w:space="0" w:color="auto"/>
              <w:right w:val="single" w:sz="4" w:space="0" w:color="auto"/>
            </w:tcBorders>
            <w:shd w:val="clear" w:color="auto" w:fill="auto"/>
            <w:vAlign w:val="center"/>
            <w:hideMark/>
          </w:tcPr>
          <w:p w14:paraId="325C7DF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2" w:type="dxa"/>
            <w:tcBorders>
              <w:top w:val="nil"/>
              <w:left w:val="nil"/>
              <w:bottom w:val="single" w:sz="4" w:space="0" w:color="auto"/>
              <w:right w:val="single" w:sz="4" w:space="0" w:color="auto"/>
            </w:tcBorders>
            <w:shd w:val="clear" w:color="auto" w:fill="auto"/>
            <w:vAlign w:val="center"/>
            <w:hideMark/>
          </w:tcPr>
          <w:p w14:paraId="215826C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896" w:type="dxa"/>
            <w:tcBorders>
              <w:top w:val="nil"/>
              <w:left w:val="nil"/>
              <w:bottom w:val="single" w:sz="4" w:space="0" w:color="auto"/>
              <w:right w:val="double" w:sz="6" w:space="0" w:color="auto"/>
            </w:tcBorders>
            <w:shd w:val="clear" w:color="auto" w:fill="auto"/>
            <w:vAlign w:val="center"/>
            <w:hideMark/>
          </w:tcPr>
          <w:p w14:paraId="4DD4317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425868D3"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426451A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строительства и архитектуры</w:t>
            </w:r>
          </w:p>
        </w:tc>
        <w:tc>
          <w:tcPr>
            <w:tcW w:w="993" w:type="dxa"/>
            <w:tcBorders>
              <w:top w:val="nil"/>
              <w:left w:val="nil"/>
              <w:bottom w:val="single" w:sz="4" w:space="0" w:color="auto"/>
              <w:right w:val="single" w:sz="4" w:space="0" w:color="auto"/>
            </w:tcBorders>
            <w:shd w:val="clear" w:color="auto" w:fill="auto"/>
            <w:vAlign w:val="center"/>
          </w:tcPr>
          <w:p w14:paraId="1D9C4995"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0FBFA688"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46647B3C"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17D87FBF"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67A978C8"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5,0 </w:t>
            </w:r>
          </w:p>
        </w:tc>
        <w:tc>
          <w:tcPr>
            <w:tcW w:w="992" w:type="dxa"/>
            <w:tcBorders>
              <w:top w:val="nil"/>
              <w:left w:val="nil"/>
              <w:bottom w:val="single" w:sz="4" w:space="0" w:color="auto"/>
              <w:right w:val="single" w:sz="4" w:space="0" w:color="auto"/>
            </w:tcBorders>
            <w:shd w:val="clear" w:color="auto" w:fill="auto"/>
            <w:vAlign w:val="center"/>
            <w:hideMark/>
          </w:tcPr>
          <w:p w14:paraId="6B8B8BE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896" w:type="dxa"/>
            <w:tcBorders>
              <w:top w:val="nil"/>
              <w:left w:val="nil"/>
              <w:bottom w:val="single" w:sz="4" w:space="0" w:color="auto"/>
              <w:right w:val="double" w:sz="6" w:space="0" w:color="auto"/>
            </w:tcBorders>
            <w:shd w:val="clear" w:color="auto" w:fill="auto"/>
            <w:vAlign w:val="center"/>
            <w:hideMark/>
          </w:tcPr>
          <w:p w14:paraId="6383622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1D31E036" w14:textId="77777777" w:rsidTr="001D2B6D">
        <w:trPr>
          <w:trHeight w:val="60"/>
        </w:trPr>
        <w:tc>
          <w:tcPr>
            <w:tcW w:w="2586" w:type="dxa"/>
            <w:tcBorders>
              <w:top w:val="nil"/>
              <w:left w:val="double" w:sz="6" w:space="0" w:color="auto"/>
              <w:bottom w:val="single" w:sz="4" w:space="0" w:color="auto"/>
              <w:right w:val="single" w:sz="4" w:space="0" w:color="auto"/>
            </w:tcBorders>
            <w:shd w:val="clear" w:color="auto" w:fill="auto"/>
            <w:vAlign w:val="center"/>
            <w:hideMark/>
          </w:tcPr>
          <w:p w14:paraId="54BA4283"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образования и науки</w:t>
            </w:r>
          </w:p>
        </w:tc>
        <w:tc>
          <w:tcPr>
            <w:tcW w:w="993" w:type="dxa"/>
            <w:tcBorders>
              <w:top w:val="nil"/>
              <w:left w:val="nil"/>
              <w:bottom w:val="single" w:sz="4" w:space="0" w:color="auto"/>
              <w:right w:val="single" w:sz="4" w:space="0" w:color="auto"/>
            </w:tcBorders>
            <w:shd w:val="clear" w:color="auto" w:fill="auto"/>
            <w:vAlign w:val="center"/>
          </w:tcPr>
          <w:p w14:paraId="08968FF5"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131D60DB"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69196389"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2" w:type="dxa"/>
            <w:tcBorders>
              <w:top w:val="nil"/>
              <w:left w:val="nil"/>
              <w:bottom w:val="single" w:sz="4" w:space="0" w:color="auto"/>
              <w:right w:val="single" w:sz="4" w:space="0" w:color="auto"/>
            </w:tcBorders>
            <w:shd w:val="clear" w:color="auto" w:fill="auto"/>
            <w:vAlign w:val="center"/>
          </w:tcPr>
          <w:p w14:paraId="0E0C5E88"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0B93402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51,0 </w:t>
            </w:r>
          </w:p>
        </w:tc>
        <w:tc>
          <w:tcPr>
            <w:tcW w:w="992" w:type="dxa"/>
            <w:tcBorders>
              <w:top w:val="nil"/>
              <w:left w:val="nil"/>
              <w:bottom w:val="single" w:sz="4" w:space="0" w:color="auto"/>
              <w:right w:val="single" w:sz="4" w:space="0" w:color="auto"/>
            </w:tcBorders>
            <w:shd w:val="clear" w:color="auto" w:fill="auto"/>
            <w:vAlign w:val="center"/>
            <w:hideMark/>
          </w:tcPr>
          <w:p w14:paraId="2B0FF8B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51,0 </w:t>
            </w:r>
          </w:p>
        </w:tc>
        <w:tc>
          <w:tcPr>
            <w:tcW w:w="896" w:type="dxa"/>
            <w:tcBorders>
              <w:top w:val="nil"/>
              <w:left w:val="nil"/>
              <w:bottom w:val="single" w:sz="4" w:space="0" w:color="auto"/>
              <w:right w:val="double" w:sz="6" w:space="0" w:color="auto"/>
            </w:tcBorders>
            <w:shd w:val="clear" w:color="auto" w:fill="auto"/>
            <w:vAlign w:val="center"/>
            <w:hideMark/>
          </w:tcPr>
          <w:p w14:paraId="1EC596A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51,0 </w:t>
            </w:r>
          </w:p>
        </w:tc>
      </w:tr>
      <w:tr w:rsidR="001D2B6D" w:rsidRPr="00A53AD7" w14:paraId="19A44517" w14:textId="77777777" w:rsidTr="001D2B6D">
        <w:trPr>
          <w:trHeight w:val="60"/>
        </w:trPr>
        <w:tc>
          <w:tcPr>
            <w:tcW w:w="2586" w:type="dxa"/>
            <w:tcBorders>
              <w:top w:val="nil"/>
              <w:left w:val="double" w:sz="6" w:space="0" w:color="auto"/>
              <w:bottom w:val="double" w:sz="6" w:space="0" w:color="auto"/>
              <w:right w:val="single" w:sz="4" w:space="0" w:color="auto"/>
            </w:tcBorders>
            <w:shd w:val="clear" w:color="auto" w:fill="auto"/>
            <w:vAlign w:val="center"/>
            <w:hideMark/>
          </w:tcPr>
          <w:p w14:paraId="1D73330A" w14:textId="77777777" w:rsidR="001D2B6D" w:rsidRPr="00A53AD7" w:rsidRDefault="001D2B6D" w:rsidP="001D2B6D">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993" w:type="dxa"/>
            <w:tcBorders>
              <w:top w:val="nil"/>
              <w:left w:val="nil"/>
              <w:bottom w:val="double" w:sz="6" w:space="0" w:color="auto"/>
              <w:right w:val="single" w:sz="4" w:space="0" w:color="auto"/>
            </w:tcBorders>
            <w:shd w:val="clear" w:color="auto" w:fill="auto"/>
            <w:vAlign w:val="center"/>
            <w:hideMark/>
          </w:tcPr>
          <w:p w14:paraId="6779BBAE"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1 647,7 </w:t>
            </w:r>
          </w:p>
        </w:tc>
        <w:tc>
          <w:tcPr>
            <w:tcW w:w="992" w:type="dxa"/>
            <w:tcBorders>
              <w:top w:val="nil"/>
              <w:left w:val="nil"/>
              <w:bottom w:val="double" w:sz="6" w:space="0" w:color="auto"/>
              <w:right w:val="single" w:sz="4" w:space="0" w:color="auto"/>
            </w:tcBorders>
            <w:shd w:val="clear" w:color="auto" w:fill="auto"/>
            <w:vAlign w:val="center"/>
            <w:hideMark/>
          </w:tcPr>
          <w:p w14:paraId="4421F321"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1 653,3 </w:t>
            </w:r>
          </w:p>
        </w:tc>
        <w:tc>
          <w:tcPr>
            <w:tcW w:w="992" w:type="dxa"/>
            <w:tcBorders>
              <w:top w:val="nil"/>
              <w:left w:val="nil"/>
              <w:bottom w:val="double" w:sz="6" w:space="0" w:color="auto"/>
              <w:right w:val="single" w:sz="4" w:space="0" w:color="auto"/>
            </w:tcBorders>
            <w:shd w:val="clear" w:color="auto" w:fill="auto"/>
            <w:vAlign w:val="center"/>
            <w:hideMark/>
          </w:tcPr>
          <w:p w14:paraId="6579088F"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1 658,5 </w:t>
            </w:r>
          </w:p>
        </w:tc>
        <w:tc>
          <w:tcPr>
            <w:tcW w:w="992" w:type="dxa"/>
            <w:tcBorders>
              <w:top w:val="nil"/>
              <w:left w:val="nil"/>
              <w:bottom w:val="double" w:sz="6" w:space="0" w:color="auto"/>
              <w:right w:val="single" w:sz="4" w:space="0" w:color="auto"/>
            </w:tcBorders>
            <w:shd w:val="clear" w:color="auto" w:fill="auto"/>
            <w:vAlign w:val="center"/>
            <w:hideMark/>
          </w:tcPr>
          <w:p w14:paraId="6F4A5267"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1 655,2 </w:t>
            </w:r>
          </w:p>
        </w:tc>
        <w:tc>
          <w:tcPr>
            <w:tcW w:w="993" w:type="dxa"/>
            <w:tcBorders>
              <w:top w:val="nil"/>
              <w:left w:val="nil"/>
              <w:bottom w:val="double" w:sz="6" w:space="0" w:color="auto"/>
              <w:right w:val="single" w:sz="4" w:space="0" w:color="auto"/>
            </w:tcBorders>
            <w:shd w:val="clear" w:color="auto" w:fill="auto"/>
            <w:vAlign w:val="center"/>
            <w:hideMark/>
          </w:tcPr>
          <w:p w14:paraId="11482E4F"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1 733,4 </w:t>
            </w:r>
          </w:p>
        </w:tc>
        <w:tc>
          <w:tcPr>
            <w:tcW w:w="992" w:type="dxa"/>
            <w:tcBorders>
              <w:top w:val="nil"/>
              <w:left w:val="nil"/>
              <w:bottom w:val="double" w:sz="6" w:space="0" w:color="auto"/>
              <w:right w:val="single" w:sz="4" w:space="0" w:color="auto"/>
            </w:tcBorders>
            <w:shd w:val="clear" w:color="auto" w:fill="auto"/>
            <w:vAlign w:val="center"/>
            <w:hideMark/>
          </w:tcPr>
          <w:p w14:paraId="19254DF7"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1 799,3 </w:t>
            </w:r>
          </w:p>
        </w:tc>
        <w:tc>
          <w:tcPr>
            <w:tcW w:w="896" w:type="dxa"/>
            <w:tcBorders>
              <w:top w:val="nil"/>
              <w:left w:val="nil"/>
              <w:bottom w:val="double" w:sz="6" w:space="0" w:color="auto"/>
              <w:right w:val="double" w:sz="6" w:space="0" w:color="auto"/>
            </w:tcBorders>
            <w:shd w:val="clear" w:color="auto" w:fill="auto"/>
            <w:vAlign w:val="center"/>
            <w:hideMark/>
          </w:tcPr>
          <w:p w14:paraId="472CB839"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151,6 </w:t>
            </w:r>
          </w:p>
        </w:tc>
      </w:tr>
    </w:tbl>
    <w:p w14:paraId="4DFB49C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3C4A9A55"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на приведенной выше таблице расходы агентству ГПС и ГЗ Архангельской области на 2019 год в целом были увеличены на 37,1 млн.руб. или на 2,4 %, министерству связи и ИТ Архангельской области – увеличены на 63,5 млн.руб. или на 67,5 %, а минобрнауки Архангельской области – увеличены на 51,0 млн.руб.</w:t>
      </w:r>
    </w:p>
    <w:p w14:paraId="150F817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Отчет о реализации в 2019 году государственной программы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утвержден распоряжением Правительства Архангельской области от 10.03.2020 № 81-рп.</w:t>
      </w:r>
    </w:p>
    <w:p w14:paraId="0EE5F910" w14:textId="2C4ECDAC"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отчету о реализации мероприятий указанной государственной программы за 2019 год кассовые расходы из областного и местных бюджетов составили в общей сумме 1 783,5 млн.руб. или 96,8 % к утвержденным программой параметрам на 2019 год (по мероприятиям программы). В разрезе областного и местных бюджетов информация представлена на рисунке </w:t>
      </w:r>
      <w:r w:rsidR="006B1B2F" w:rsidRPr="00A53AD7">
        <w:rPr>
          <w:rFonts w:ascii="Times New Roman" w:hAnsi="Times New Roman"/>
          <w:sz w:val="28"/>
          <w:szCs w:val="28"/>
        </w:rPr>
        <w:t>51</w:t>
      </w:r>
      <w:r w:rsidRPr="00A53AD7">
        <w:rPr>
          <w:rFonts w:ascii="Times New Roman" w:hAnsi="Times New Roman"/>
          <w:sz w:val="28"/>
          <w:szCs w:val="28"/>
        </w:rPr>
        <w:t>.</w:t>
      </w:r>
    </w:p>
    <w:p w14:paraId="27909DF3" w14:textId="77777777" w:rsidR="001D2B6D" w:rsidRPr="00A53AD7" w:rsidRDefault="001D2B6D" w:rsidP="001D2B6D">
      <w:pPr>
        <w:jc w:val="center"/>
      </w:pPr>
      <w:r w:rsidRPr="00A53AD7">
        <w:rPr>
          <w:noProof/>
          <w:lang w:eastAsia="ru-RU"/>
        </w:rPr>
        <w:drawing>
          <wp:inline distT="0" distB="0" distL="0" distR="0" wp14:anchorId="5B37FF4B" wp14:editId="0E49D5F6">
            <wp:extent cx="4731026" cy="179699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38940" cy="1800000"/>
                    </a:xfrm>
                    <a:prstGeom prst="rect">
                      <a:avLst/>
                    </a:prstGeom>
                    <a:noFill/>
                  </pic:spPr>
                </pic:pic>
              </a:graphicData>
            </a:graphic>
          </wp:inline>
        </w:drawing>
      </w:r>
    </w:p>
    <w:p w14:paraId="72084386"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51</w:t>
      </w:r>
      <w:r w:rsidRPr="00A53AD7">
        <w:rPr>
          <w:rFonts w:ascii="Times New Roman" w:hAnsi="Times New Roman"/>
          <w:b w:val="0"/>
          <w:sz w:val="24"/>
          <w:szCs w:val="24"/>
        </w:rPr>
        <w:fldChar w:fldCharType="end"/>
      </w:r>
      <w:r w:rsidRPr="00A53AD7">
        <w:rPr>
          <w:rFonts w:ascii="Times New Roman" w:hAnsi="Times New Roman"/>
          <w:b w:val="0"/>
          <w:sz w:val="24"/>
          <w:szCs w:val="24"/>
        </w:rPr>
        <w:t>. Расходы из областного и местных бюджетов, направленные на реализацию мероприятий госпрограммы № 465-пп за 2019 год, млн.руб.</w:t>
      </w:r>
    </w:p>
    <w:p w14:paraId="42135A20" w14:textId="77777777" w:rsidR="001D2B6D" w:rsidRPr="00A53AD7" w:rsidRDefault="001D2B6D" w:rsidP="001D2B6D">
      <w:pPr>
        <w:rPr>
          <w:sz w:val="16"/>
          <w:szCs w:val="16"/>
          <w:highlight w:val="cyan"/>
        </w:rPr>
      </w:pPr>
    </w:p>
    <w:p w14:paraId="7B754D92"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представленному отчету о реализации мероприятий указанной государственной программы за 2019 год за счет средств местных бюджетов расходы направлены на:</w:t>
      </w:r>
    </w:p>
    <w:p w14:paraId="5E2DD2F9"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обеспечение работоспособности АПК «Безопасный город» на территории Архангельской области – 16,5 млн.руб. или 100,0 % к плану года;</w:t>
      </w:r>
    </w:p>
    <w:p w14:paraId="1F037AE4"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содержание единой дежурно-диспетчерской службы в муниципальных образованиях Архангельской области – 24,1 млн.руб. или 100,0 % к плану года;</w:t>
      </w:r>
    </w:p>
    <w:p w14:paraId="638E4DE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расходы на укрепление материально-технической базы и развитие противопожарной инфраструктуры в муниципальных образовательных организациях, утвержденные на 2019 год в сумме 21,9 млн.руб. не осуществлены.</w:t>
      </w:r>
    </w:p>
    <w:p w14:paraId="654F5EE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за счет средств местных бюджетов расходы на реализацию госпрограммы № 465-пп за 2019 год обеспечены на 65,0 %.</w:t>
      </w:r>
    </w:p>
    <w:p w14:paraId="30F972E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уточненной бюджетной росписью областного бюджета на 2019 год расходы на реализацию мероприятий госпрограммы № 465-пп утверждены в общей сумме 1 799,3 млн.руб., что соответствует параметрам, утвержденным областным законом «Об областном бюджете».</w:t>
      </w:r>
    </w:p>
    <w:p w14:paraId="6CBADD3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обозначено выше, расходы на госпрограмму № 465-пп за счет средств областного бюджета за 2019 год составили в общей сумме 1 742,9 млн.руб. или на 96,9 % к параметрам, утвержденным в областном бюджете на 2019 год.</w:t>
      </w:r>
    </w:p>
    <w:p w14:paraId="57C56F21" w14:textId="026B35BC"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на реализацию указанной госпрограммы за 2019 год, а также параметры, утвержденные на 2019 год за счет средств областного бюджета по главным распорядителям представлены в таблицах </w:t>
      </w:r>
      <w:r w:rsidR="006B1B2F" w:rsidRPr="00A53AD7">
        <w:rPr>
          <w:rFonts w:ascii="Times New Roman" w:hAnsi="Times New Roman"/>
          <w:sz w:val="28"/>
          <w:szCs w:val="28"/>
        </w:rPr>
        <w:t xml:space="preserve">44 </w:t>
      </w:r>
      <w:r w:rsidRPr="00A53AD7">
        <w:rPr>
          <w:rFonts w:ascii="Times New Roman" w:hAnsi="Times New Roman"/>
          <w:sz w:val="28"/>
          <w:szCs w:val="28"/>
        </w:rPr>
        <w:t xml:space="preserve">и </w:t>
      </w:r>
      <w:r w:rsidR="006B1B2F" w:rsidRPr="00A53AD7">
        <w:rPr>
          <w:rFonts w:ascii="Times New Roman" w:hAnsi="Times New Roman"/>
          <w:sz w:val="28"/>
          <w:szCs w:val="28"/>
        </w:rPr>
        <w:t>45</w:t>
      </w:r>
      <w:r w:rsidRPr="00A53AD7">
        <w:rPr>
          <w:rFonts w:ascii="Times New Roman" w:hAnsi="Times New Roman"/>
          <w:sz w:val="28"/>
          <w:szCs w:val="28"/>
        </w:rPr>
        <w:t>.</w:t>
      </w:r>
    </w:p>
    <w:p w14:paraId="4C453169" w14:textId="77777777" w:rsidR="001D2B6D" w:rsidRPr="00A53AD7" w:rsidRDefault="001D2B6D" w:rsidP="001D2B6D">
      <w:pPr>
        <w:pStyle w:val="aff0"/>
        <w:spacing w:after="0" w:line="240" w:lineRule="auto"/>
        <w:rPr>
          <w:rFonts w:ascii="Times New Roman" w:hAnsi="Times New Roman"/>
          <w:b w:val="0"/>
          <w:sz w:val="24"/>
          <w:szCs w:val="24"/>
        </w:rPr>
      </w:pPr>
    </w:p>
    <w:p w14:paraId="15855C9E"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44</w:t>
      </w:r>
      <w:r w:rsidRPr="00A53AD7">
        <w:rPr>
          <w:rFonts w:ascii="Times New Roman" w:hAnsi="Times New Roman"/>
          <w:b w:val="0"/>
          <w:sz w:val="24"/>
          <w:szCs w:val="24"/>
        </w:rPr>
        <w:fldChar w:fldCharType="end"/>
      </w:r>
      <w:r w:rsidRPr="00A53AD7">
        <w:rPr>
          <w:rFonts w:ascii="Times New Roman" w:hAnsi="Times New Roman"/>
          <w:b w:val="0"/>
          <w:sz w:val="24"/>
          <w:szCs w:val="24"/>
        </w:rPr>
        <w:t>. Основные параметры утвержденных и исполненных расходов из областного бюджета за 2019 по реализации мероприятий госпрограммы № 465-пп, млн.руб.</w:t>
      </w:r>
    </w:p>
    <w:tbl>
      <w:tblPr>
        <w:tblW w:w="9201" w:type="dxa"/>
        <w:tblInd w:w="85" w:type="dxa"/>
        <w:tblLook w:val="04A0" w:firstRow="1" w:lastRow="0" w:firstColumn="1" w:lastColumn="0" w:noHBand="0" w:noVBand="1"/>
      </w:tblPr>
      <w:tblGrid>
        <w:gridCol w:w="3425"/>
        <w:gridCol w:w="2079"/>
        <w:gridCol w:w="1618"/>
        <w:gridCol w:w="2079"/>
      </w:tblGrid>
      <w:tr w:rsidR="00D470B6" w:rsidRPr="00A53AD7" w14:paraId="77DD7140" w14:textId="77777777" w:rsidTr="001D2B6D">
        <w:trPr>
          <w:trHeight w:val="25"/>
          <w:tblHeader/>
        </w:trPr>
        <w:tc>
          <w:tcPr>
            <w:tcW w:w="3425"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83EDA36"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Исполнитель</w:t>
            </w:r>
          </w:p>
        </w:tc>
        <w:tc>
          <w:tcPr>
            <w:tcW w:w="2079" w:type="dxa"/>
            <w:tcBorders>
              <w:top w:val="double" w:sz="6" w:space="0" w:color="auto"/>
              <w:left w:val="nil"/>
              <w:bottom w:val="single" w:sz="4" w:space="0" w:color="auto"/>
              <w:right w:val="single" w:sz="4" w:space="0" w:color="auto"/>
            </w:tcBorders>
            <w:shd w:val="clear" w:color="auto" w:fill="auto"/>
            <w:vAlign w:val="center"/>
            <w:hideMark/>
          </w:tcPr>
          <w:p w14:paraId="5E462806"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Бюджетная роспись обл. бюдж. на 2019 год</w:t>
            </w:r>
          </w:p>
        </w:tc>
        <w:tc>
          <w:tcPr>
            <w:tcW w:w="1618" w:type="dxa"/>
            <w:tcBorders>
              <w:top w:val="double" w:sz="6" w:space="0" w:color="auto"/>
              <w:left w:val="nil"/>
              <w:bottom w:val="single" w:sz="4" w:space="0" w:color="auto"/>
              <w:right w:val="single" w:sz="4" w:space="0" w:color="auto"/>
            </w:tcBorders>
            <w:shd w:val="clear" w:color="auto" w:fill="auto"/>
            <w:vAlign w:val="center"/>
            <w:hideMark/>
          </w:tcPr>
          <w:p w14:paraId="447A6949"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Исполнено за 2019 год</w:t>
            </w:r>
          </w:p>
        </w:tc>
        <w:tc>
          <w:tcPr>
            <w:tcW w:w="2079" w:type="dxa"/>
            <w:tcBorders>
              <w:top w:val="double" w:sz="6" w:space="0" w:color="auto"/>
              <w:left w:val="nil"/>
              <w:bottom w:val="single" w:sz="4" w:space="0" w:color="auto"/>
              <w:right w:val="double" w:sz="6" w:space="0" w:color="auto"/>
            </w:tcBorders>
            <w:shd w:val="clear" w:color="auto" w:fill="auto"/>
            <w:vAlign w:val="center"/>
            <w:hideMark/>
          </w:tcPr>
          <w:p w14:paraId="27260012"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к бюдж. росписи</w:t>
            </w:r>
          </w:p>
        </w:tc>
      </w:tr>
      <w:tr w:rsidR="00D470B6" w:rsidRPr="00A53AD7" w14:paraId="32E18AAD" w14:textId="77777777" w:rsidTr="001D2B6D">
        <w:trPr>
          <w:trHeight w:val="60"/>
        </w:trPr>
        <w:tc>
          <w:tcPr>
            <w:tcW w:w="3425" w:type="dxa"/>
            <w:tcBorders>
              <w:top w:val="nil"/>
              <w:left w:val="double" w:sz="6" w:space="0" w:color="auto"/>
              <w:bottom w:val="single" w:sz="4" w:space="0" w:color="auto"/>
              <w:right w:val="single" w:sz="4" w:space="0" w:color="auto"/>
            </w:tcBorders>
            <w:shd w:val="clear" w:color="auto" w:fill="auto"/>
            <w:vAlign w:val="center"/>
            <w:hideMark/>
          </w:tcPr>
          <w:p w14:paraId="054EA5BB"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Агентство ГПС и ГЗ</w:t>
            </w:r>
          </w:p>
        </w:tc>
        <w:tc>
          <w:tcPr>
            <w:tcW w:w="2079" w:type="dxa"/>
            <w:tcBorders>
              <w:top w:val="nil"/>
              <w:left w:val="nil"/>
              <w:bottom w:val="single" w:sz="4" w:space="0" w:color="auto"/>
              <w:right w:val="single" w:sz="4" w:space="0" w:color="auto"/>
            </w:tcBorders>
            <w:shd w:val="clear" w:color="auto" w:fill="auto"/>
            <w:vAlign w:val="center"/>
            <w:hideMark/>
          </w:tcPr>
          <w:p w14:paraId="3538A59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1 589,5 </w:t>
            </w:r>
          </w:p>
        </w:tc>
        <w:tc>
          <w:tcPr>
            <w:tcW w:w="1618" w:type="dxa"/>
            <w:tcBorders>
              <w:top w:val="nil"/>
              <w:left w:val="nil"/>
              <w:bottom w:val="single" w:sz="4" w:space="0" w:color="auto"/>
              <w:right w:val="single" w:sz="4" w:space="0" w:color="auto"/>
            </w:tcBorders>
            <w:shd w:val="clear" w:color="auto" w:fill="auto"/>
            <w:vAlign w:val="center"/>
            <w:hideMark/>
          </w:tcPr>
          <w:p w14:paraId="59365818"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1 584,2 </w:t>
            </w:r>
          </w:p>
        </w:tc>
        <w:tc>
          <w:tcPr>
            <w:tcW w:w="2079" w:type="dxa"/>
            <w:tcBorders>
              <w:top w:val="nil"/>
              <w:left w:val="nil"/>
              <w:bottom w:val="single" w:sz="4" w:space="0" w:color="auto"/>
              <w:right w:val="double" w:sz="6" w:space="0" w:color="auto"/>
            </w:tcBorders>
            <w:shd w:val="clear" w:color="auto" w:fill="auto"/>
            <w:vAlign w:val="center"/>
            <w:hideMark/>
          </w:tcPr>
          <w:p w14:paraId="14DE655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99,7 </w:t>
            </w:r>
          </w:p>
        </w:tc>
      </w:tr>
      <w:tr w:rsidR="00D470B6" w:rsidRPr="00A53AD7" w14:paraId="14BE1567" w14:textId="77777777" w:rsidTr="001D2B6D">
        <w:trPr>
          <w:trHeight w:val="60"/>
        </w:trPr>
        <w:tc>
          <w:tcPr>
            <w:tcW w:w="3425" w:type="dxa"/>
            <w:tcBorders>
              <w:top w:val="nil"/>
              <w:left w:val="double" w:sz="6" w:space="0" w:color="auto"/>
              <w:bottom w:val="single" w:sz="4" w:space="0" w:color="auto"/>
              <w:right w:val="single" w:sz="4" w:space="0" w:color="auto"/>
            </w:tcBorders>
            <w:shd w:val="clear" w:color="auto" w:fill="auto"/>
            <w:vAlign w:val="center"/>
            <w:hideMark/>
          </w:tcPr>
          <w:p w14:paraId="1191D5CF"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АПК и торговли</w:t>
            </w:r>
          </w:p>
        </w:tc>
        <w:tc>
          <w:tcPr>
            <w:tcW w:w="2079" w:type="dxa"/>
            <w:tcBorders>
              <w:top w:val="nil"/>
              <w:left w:val="nil"/>
              <w:bottom w:val="single" w:sz="4" w:space="0" w:color="auto"/>
              <w:right w:val="single" w:sz="4" w:space="0" w:color="auto"/>
            </w:tcBorders>
            <w:shd w:val="clear" w:color="auto" w:fill="auto"/>
            <w:vAlign w:val="center"/>
            <w:hideMark/>
          </w:tcPr>
          <w:p w14:paraId="22C41A3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1618" w:type="dxa"/>
            <w:tcBorders>
              <w:top w:val="nil"/>
              <w:left w:val="nil"/>
              <w:bottom w:val="single" w:sz="4" w:space="0" w:color="auto"/>
              <w:right w:val="single" w:sz="4" w:space="0" w:color="auto"/>
            </w:tcBorders>
            <w:shd w:val="clear" w:color="auto" w:fill="auto"/>
            <w:vAlign w:val="center"/>
            <w:hideMark/>
          </w:tcPr>
          <w:p w14:paraId="582DF29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c>
          <w:tcPr>
            <w:tcW w:w="2079" w:type="dxa"/>
            <w:tcBorders>
              <w:top w:val="nil"/>
              <w:left w:val="nil"/>
              <w:bottom w:val="single" w:sz="4" w:space="0" w:color="auto"/>
              <w:right w:val="double" w:sz="6" w:space="0" w:color="auto"/>
            </w:tcBorders>
            <w:shd w:val="clear" w:color="auto" w:fill="auto"/>
            <w:vAlign w:val="center"/>
            <w:hideMark/>
          </w:tcPr>
          <w:p w14:paraId="75C153F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100,0 </w:t>
            </w:r>
          </w:p>
        </w:tc>
      </w:tr>
      <w:tr w:rsidR="00D470B6" w:rsidRPr="00A53AD7" w14:paraId="525BE20C" w14:textId="77777777" w:rsidTr="001D2B6D">
        <w:trPr>
          <w:trHeight w:val="60"/>
        </w:trPr>
        <w:tc>
          <w:tcPr>
            <w:tcW w:w="3425" w:type="dxa"/>
            <w:tcBorders>
              <w:top w:val="nil"/>
              <w:left w:val="double" w:sz="6" w:space="0" w:color="auto"/>
              <w:bottom w:val="single" w:sz="4" w:space="0" w:color="auto"/>
              <w:right w:val="single" w:sz="4" w:space="0" w:color="auto"/>
            </w:tcBorders>
            <w:shd w:val="clear" w:color="auto" w:fill="auto"/>
            <w:vAlign w:val="center"/>
            <w:hideMark/>
          </w:tcPr>
          <w:p w14:paraId="5B47C398"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связи и ИТ</w:t>
            </w:r>
          </w:p>
        </w:tc>
        <w:tc>
          <w:tcPr>
            <w:tcW w:w="2079" w:type="dxa"/>
            <w:tcBorders>
              <w:top w:val="nil"/>
              <w:left w:val="nil"/>
              <w:bottom w:val="single" w:sz="4" w:space="0" w:color="auto"/>
              <w:right w:val="single" w:sz="4" w:space="0" w:color="auto"/>
            </w:tcBorders>
            <w:shd w:val="clear" w:color="auto" w:fill="auto"/>
            <w:vAlign w:val="center"/>
            <w:hideMark/>
          </w:tcPr>
          <w:p w14:paraId="6B277A6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157,5 </w:t>
            </w:r>
          </w:p>
        </w:tc>
        <w:tc>
          <w:tcPr>
            <w:tcW w:w="1618" w:type="dxa"/>
            <w:tcBorders>
              <w:top w:val="nil"/>
              <w:left w:val="nil"/>
              <w:bottom w:val="single" w:sz="4" w:space="0" w:color="auto"/>
              <w:right w:val="single" w:sz="4" w:space="0" w:color="auto"/>
            </w:tcBorders>
            <w:shd w:val="clear" w:color="auto" w:fill="auto"/>
            <w:vAlign w:val="center"/>
            <w:hideMark/>
          </w:tcPr>
          <w:p w14:paraId="648EC51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157,4 </w:t>
            </w:r>
          </w:p>
        </w:tc>
        <w:tc>
          <w:tcPr>
            <w:tcW w:w="2079" w:type="dxa"/>
            <w:tcBorders>
              <w:top w:val="nil"/>
              <w:left w:val="nil"/>
              <w:bottom w:val="single" w:sz="4" w:space="0" w:color="auto"/>
              <w:right w:val="double" w:sz="6" w:space="0" w:color="auto"/>
            </w:tcBorders>
            <w:shd w:val="clear" w:color="auto" w:fill="auto"/>
            <w:vAlign w:val="center"/>
            <w:hideMark/>
          </w:tcPr>
          <w:p w14:paraId="542CB65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100,0 </w:t>
            </w:r>
          </w:p>
        </w:tc>
      </w:tr>
      <w:tr w:rsidR="00D470B6" w:rsidRPr="00A53AD7" w14:paraId="1BB581BF" w14:textId="77777777" w:rsidTr="001D2B6D">
        <w:trPr>
          <w:trHeight w:val="60"/>
        </w:trPr>
        <w:tc>
          <w:tcPr>
            <w:tcW w:w="3425" w:type="dxa"/>
            <w:tcBorders>
              <w:top w:val="nil"/>
              <w:left w:val="double" w:sz="6" w:space="0" w:color="auto"/>
              <w:bottom w:val="single" w:sz="4" w:space="0" w:color="auto"/>
              <w:right w:val="single" w:sz="4" w:space="0" w:color="auto"/>
            </w:tcBorders>
            <w:shd w:val="clear" w:color="auto" w:fill="auto"/>
            <w:vAlign w:val="center"/>
            <w:hideMark/>
          </w:tcPr>
          <w:p w14:paraId="29FBDA46"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ТЭК и ЖКХ</w:t>
            </w:r>
          </w:p>
        </w:tc>
        <w:tc>
          <w:tcPr>
            <w:tcW w:w="2079" w:type="dxa"/>
            <w:tcBorders>
              <w:top w:val="nil"/>
              <w:left w:val="nil"/>
              <w:bottom w:val="single" w:sz="4" w:space="0" w:color="auto"/>
              <w:right w:val="single" w:sz="4" w:space="0" w:color="auto"/>
            </w:tcBorders>
            <w:shd w:val="clear" w:color="auto" w:fill="auto"/>
            <w:vAlign w:val="center"/>
            <w:hideMark/>
          </w:tcPr>
          <w:p w14:paraId="3DF1893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618" w:type="dxa"/>
            <w:tcBorders>
              <w:top w:val="nil"/>
              <w:left w:val="nil"/>
              <w:bottom w:val="single" w:sz="4" w:space="0" w:color="auto"/>
              <w:right w:val="single" w:sz="4" w:space="0" w:color="auto"/>
            </w:tcBorders>
            <w:shd w:val="clear" w:color="auto" w:fill="auto"/>
            <w:vAlign w:val="center"/>
            <w:hideMark/>
          </w:tcPr>
          <w:p w14:paraId="76290DD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2079" w:type="dxa"/>
            <w:tcBorders>
              <w:top w:val="nil"/>
              <w:left w:val="nil"/>
              <w:bottom w:val="single" w:sz="4" w:space="0" w:color="auto"/>
              <w:right w:val="double" w:sz="6" w:space="0" w:color="auto"/>
            </w:tcBorders>
            <w:shd w:val="clear" w:color="auto" w:fill="auto"/>
            <w:vAlign w:val="center"/>
            <w:hideMark/>
          </w:tcPr>
          <w:p w14:paraId="2005DB2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98,6 </w:t>
            </w:r>
          </w:p>
        </w:tc>
      </w:tr>
      <w:tr w:rsidR="00D470B6" w:rsidRPr="00A53AD7" w14:paraId="2A646B06" w14:textId="77777777" w:rsidTr="001D2B6D">
        <w:trPr>
          <w:trHeight w:val="60"/>
        </w:trPr>
        <w:tc>
          <w:tcPr>
            <w:tcW w:w="3425" w:type="dxa"/>
            <w:tcBorders>
              <w:top w:val="single" w:sz="4" w:space="0" w:color="auto"/>
              <w:left w:val="double" w:sz="6" w:space="0" w:color="auto"/>
              <w:bottom w:val="nil"/>
              <w:right w:val="single" w:sz="4" w:space="0" w:color="auto"/>
            </w:tcBorders>
            <w:shd w:val="clear" w:color="auto" w:fill="auto"/>
            <w:vAlign w:val="center"/>
            <w:hideMark/>
          </w:tcPr>
          <w:p w14:paraId="1D3F4BAA"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образования и науки</w:t>
            </w:r>
          </w:p>
        </w:tc>
        <w:tc>
          <w:tcPr>
            <w:tcW w:w="2079" w:type="dxa"/>
            <w:tcBorders>
              <w:top w:val="single" w:sz="4" w:space="0" w:color="auto"/>
              <w:left w:val="nil"/>
              <w:bottom w:val="nil"/>
              <w:right w:val="single" w:sz="4" w:space="0" w:color="auto"/>
            </w:tcBorders>
            <w:shd w:val="clear" w:color="auto" w:fill="auto"/>
            <w:vAlign w:val="center"/>
            <w:hideMark/>
          </w:tcPr>
          <w:p w14:paraId="204672F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51,0 </w:t>
            </w:r>
          </w:p>
        </w:tc>
        <w:tc>
          <w:tcPr>
            <w:tcW w:w="1618" w:type="dxa"/>
            <w:tcBorders>
              <w:top w:val="single" w:sz="4" w:space="0" w:color="auto"/>
              <w:left w:val="nil"/>
              <w:bottom w:val="nil"/>
              <w:right w:val="single" w:sz="4" w:space="0" w:color="auto"/>
            </w:tcBorders>
            <w:shd w:val="clear" w:color="auto" w:fill="auto"/>
            <w:vAlign w:val="center"/>
            <w:hideMark/>
          </w:tcPr>
          <w:p w14:paraId="49B5BFD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2079" w:type="dxa"/>
            <w:tcBorders>
              <w:top w:val="nil"/>
              <w:left w:val="nil"/>
              <w:bottom w:val="single" w:sz="4" w:space="0" w:color="auto"/>
              <w:right w:val="double" w:sz="6" w:space="0" w:color="auto"/>
            </w:tcBorders>
            <w:shd w:val="clear" w:color="auto" w:fill="auto"/>
            <w:vAlign w:val="center"/>
            <w:hideMark/>
          </w:tcPr>
          <w:p w14:paraId="5C8D0E2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1D2B6D" w:rsidRPr="00A53AD7" w14:paraId="1B2C3FF7" w14:textId="77777777" w:rsidTr="001D2B6D">
        <w:trPr>
          <w:trHeight w:val="60"/>
        </w:trPr>
        <w:tc>
          <w:tcPr>
            <w:tcW w:w="3425" w:type="dxa"/>
            <w:tcBorders>
              <w:top w:val="single" w:sz="4" w:space="0" w:color="auto"/>
              <w:left w:val="double" w:sz="6" w:space="0" w:color="auto"/>
              <w:bottom w:val="double" w:sz="6" w:space="0" w:color="auto"/>
              <w:right w:val="single" w:sz="4" w:space="0" w:color="auto"/>
            </w:tcBorders>
            <w:shd w:val="clear" w:color="auto" w:fill="auto"/>
            <w:vAlign w:val="center"/>
            <w:hideMark/>
          </w:tcPr>
          <w:p w14:paraId="696A86E4" w14:textId="77777777" w:rsidR="001D2B6D" w:rsidRPr="00A53AD7" w:rsidRDefault="001D2B6D" w:rsidP="001D2B6D">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2079" w:type="dxa"/>
            <w:tcBorders>
              <w:top w:val="single" w:sz="4" w:space="0" w:color="auto"/>
              <w:left w:val="nil"/>
              <w:bottom w:val="double" w:sz="6" w:space="0" w:color="auto"/>
              <w:right w:val="single" w:sz="4" w:space="0" w:color="auto"/>
            </w:tcBorders>
            <w:shd w:val="clear" w:color="auto" w:fill="auto"/>
            <w:vAlign w:val="center"/>
            <w:hideMark/>
          </w:tcPr>
          <w:p w14:paraId="36C5BE22"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1 799,3 </w:t>
            </w:r>
          </w:p>
        </w:tc>
        <w:tc>
          <w:tcPr>
            <w:tcW w:w="1618" w:type="dxa"/>
            <w:tcBorders>
              <w:top w:val="single" w:sz="4" w:space="0" w:color="auto"/>
              <w:left w:val="nil"/>
              <w:bottom w:val="double" w:sz="6" w:space="0" w:color="auto"/>
              <w:right w:val="single" w:sz="4" w:space="0" w:color="auto"/>
            </w:tcBorders>
            <w:shd w:val="clear" w:color="auto" w:fill="auto"/>
            <w:vAlign w:val="center"/>
            <w:hideMark/>
          </w:tcPr>
          <w:p w14:paraId="5B1BE801"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1 742,9 </w:t>
            </w:r>
          </w:p>
        </w:tc>
        <w:tc>
          <w:tcPr>
            <w:tcW w:w="2079" w:type="dxa"/>
            <w:tcBorders>
              <w:top w:val="nil"/>
              <w:left w:val="nil"/>
              <w:bottom w:val="double" w:sz="6" w:space="0" w:color="auto"/>
              <w:right w:val="double" w:sz="6" w:space="0" w:color="auto"/>
            </w:tcBorders>
            <w:shd w:val="clear" w:color="auto" w:fill="auto"/>
            <w:vAlign w:val="center"/>
            <w:hideMark/>
          </w:tcPr>
          <w:p w14:paraId="58A05D68"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96,9 </w:t>
            </w:r>
          </w:p>
        </w:tc>
      </w:tr>
    </w:tbl>
    <w:p w14:paraId="0B9EB0C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61EFEDFF"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45</w:t>
      </w:r>
      <w:r w:rsidRPr="00A53AD7">
        <w:rPr>
          <w:rFonts w:ascii="Times New Roman" w:hAnsi="Times New Roman"/>
          <w:b w:val="0"/>
          <w:sz w:val="24"/>
          <w:szCs w:val="24"/>
        </w:rPr>
        <w:fldChar w:fldCharType="end"/>
      </w:r>
      <w:r w:rsidRPr="00A53AD7">
        <w:rPr>
          <w:rFonts w:ascii="Times New Roman" w:hAnsi="Times New Roman"/>
          <w:b w:val="0"/>
          <w:sz w:val="24"/>
          <w:szCs w:val="24"/>
        </w:rPr>
        <w:t>. Ежеквартальные расходы за счет средств областного бюджета, направленные на реализацию мероприятий госпрограммы № 465-пп, млн.руб.</w:t>
      </w:r>
    </w:p>
    <w:tbl>
      <w:tblPr>
        <w:tblW w:w="8983" w:type="dxa"/>
        <w:jc w:val="center"/>
        <w:tblLook w:val="04A0" w:firstRow="1" w:lastRow="0" w:firstColumn="1" w:lastColumn="0" w:noHBand="0" w:noVBand="1"/>
      </w:tblPr>
      <w:tblGrid>
        <w:gridCol w:w="4109"/>
        <w:gridCol w:w="756"/>
        <w:gridCol w:w="1080"/>
        <w:gridCol w:w="808"/>
        <w:gridCol w:w="797"/>
        <w:gridCol w:w="1433"/>
      </w:tblGrid>
      <w:tr w:rsidR="00D470B6" w:rsidRPr="00A53AD7" w14:paraId="3B9368A5" w14:textId="77777777" w:rsidTr="001D2B6D">
        <w:trPr>
          <w:trHeight w:val="25"/>
          <w:tblHeader/>
          <w:jc w:val="center"/>
        </w:trPr>
        <w:tc>
          <w:tcPr>
            <w:tcW w:w="410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C8A4294"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Исполнитель</w:t>
            </w:r>
          </w:p>
        </w:tc>
        <w:tc>
          <w:tcPr>
            <w:tcW w:w="756" w:type="dxa"/>
            <w:tcBorders>
              <w:top w:val="double" w:sz="6" w:space="0" w:color="auto"/>
              <w:left w:val="nil"/>
              <w:bottom w:val="single" w:sz="4" w:space="0" w:color="auto"/>
              <w:right w:val="single" w:sz="4" w:space="0" w:color="auto"/>
            </w:tcBorders>
            <w:shd w:val="clear" w:color="auto" w:fill="auto"/>
            <w:vAlign w:val="center"/>
            <w:hideMark/>
          </w:tcPr>
          <w:p w14:paraId="6F28F3AA"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I кв.</w:t>
            </w:r>
          </w:p>
        </w:tc>
        <w:tc>
          <w:tcPr>
            <w:tcW w:w="1080" w:type="dxa"/>
            <w:tcBorders>
              <w:top w:val="double" w:sz="6" w:space="0" w:color="auto"/>
              <w:left w:val="nil"/>
              <w:bottom w:val="single" w:sz="4" w:space="0" w:color="auto"/>
              <w:right w:val="single" w:sz="4" w:space="0" w:color="auto"/>
            </w:tcBorders>
            <w:shd w:val="clear" w:color="auto" w:fill="auto"/>
            <w:vAlign w:val="center"/>
            <w:hideMark/>
          </w:tcPr>
          <w:p w14:paraId="1118C10A"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II кв.</w:t>
            </w:r>
          </w:p>
        </w:tc>
        <w:tc>
          <w:tcPr>
            <w:tcW w:w="808" w:type="dxa"/>
            <w:tcBorders>
              <w:top w:val="double" w:sz="6" w:space="0" w:color="auto"/>
              <w:left w:val="nil"/>
              <w:bottom w:val="single" w:sz="4" w:space="0" w:color="auto"/>
              <w:right w:val="single" w:sz="4" w:space="0" w:color="auto"/>
            </w:tcBorders>
            <w:shd w:val="clear" w:color="auto" w:fill="auto"/>
            <w:vAlign w:val="center"/>
            <w:hideMark/>
          </w:tcPr>
          <w:p w14:paraId="7DB24EE8"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III кв.</w:t>
            </w:r>
          </w:p>
        </w:tc>
        <w:tc>
          <w:tcPr>
            <w:tcW w:w="797" w:type="dxa"/>
            <w:tcBorders>
              <w:top w:val="double" w:sz="6" w:space="0" w:color="auto"/>
              <w:left w:val="nil"/>
              <w:bottom w:val="single" w:sz="4" w:space="0" w:color="auto"/>
              <w:right w:val="single" w:sz="4" w:space="0" w:color="auto"/>
            </w:tcBorders>
            <w:shd w:val="clear" w:color="auto" w:fill="auto"/>
            <w:vAlign w:val="center"/>
            <w:hideMark/>
          </w:tcPr>
          <w:p w14:paraId="3C8A15EA"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IV кв.</w:t>
            </w:r>
          </w:p>
        </w:tc>
        <w:tc>
          <w:tcPr>
            <w:tcW w:w="1433" w:type="dxa"/>
            <w:tcBorders>
              <w:top w:val="double" w:sz="6" w:space="0" w:color="auto"/>
              <w:left w:val="nil"/>
              <w:bottom w:val="single" w:sz="4" w:space="0" w:color="auto"/>
              <w:right w:val="double" w:sz="6" w:space="0" w:color="auto"/>
            </w:tcBorders>
            <w:shd w:val="clear" w:color="auto" w:fill="auto"/>
            <w:vAlign w:val="center"/>
            <w:hideMark/>
          </w:tcPr>
          <w:p w14:paraId="187780C3"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 за год</w:t>
            </w:r>
          </w:p>
        </w:tc>
      </w:tr>
      <w:tr w:rsidR="00D470B6" w:rsidRPr="00A53AD7" w14:paraId="7EF4F5D1" w14:textId="77777777" w:rsidTr="001D2B6D">
        <w:trPr>
          <w:trHeight w:val="60"/>
          <w:jc w:val="center"/>
        </w:trPr>
        <w:tc>
          <w:tcPr>
            <w:tcW w:w="4109" w:type="dxa"/>
            <w:tcBorders>
              <w:top w:val="nil"/>
              <w:left w:val="double" w:sz="6" w:space="0" w:color="auto"/>
              <w:bottom w:val="single" w:sz="4" w:space="0" w:color="auto"/>
              <w:right w:val="single" w:sz="4" w:space="0" w:color="auto"/>
            </w:tcBorders>
            <w:shd w:val="clear" w:color="auto" w:fill="auto"/>
            <w:vAlign w:val="center"/>
            <w:hideMark/>
          </w:tcPr>
          <w:p w14:paraId="2122577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Агентство ГПС и ГЗ</w:t>
            </w:r>
          </w:p>
        </w:tc>
        <w:tc>
          <w:tcPr>
            <w:tcW w:w="756" w:type="dxa"/>
            <w:tcBorders>
              <w:top w:val="nil"/>
              <w:left w:val="nil"/>
              <w:bottom w:val="single" w:sz="4" w:space="0" w:color="auto"/>
              <w:right w:val="single" w:sz="4" w:space="0" w:color="auto"/>
            </w:tcBorders>
            <w:shd w:val="clear" w:color="auto" w:fill="auto"/>
            <w:vAlign w:val="center"/>
            <w:hideMark/>
          </w:tcPr>
          <w:p w14:paraId="3D8120D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271,7 </w:t>
            </w:r>
          </w:p>
        </w:tc>
        <w:tc>
          <w:tcPr>
            <w:tcW w:w="1080" w:type="dxa"/>
            <w:tcBorders>
              <w:top w:val="nil"/>
              <w:left w:val="nil"/>
              <w:bottom w:val="single" w:sz="4" w:space="0" w:color="auto"/>
              <w:right w:val="single" w:sz="4" w:space="0" w:color="auto"/>
            </w:tcBorders>
            <w:shd w:val="clear" w:color="auto" w:fill="auto"/>
            <w:vAlign w:val="center"/>
            <w:hideMark/>
          </w:tcPr>
          <w:p w14:paraId="1DD5474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490,2 </w:t>
            </w:r>
          </w:p>
        </w:tc>
        <w:tc>
          <w:tcPr>
            <w:tcW w:w="808" w:type="dxa"/>
            <w:tcBorders>
              <w:top w:val="nil"/>
              <w:left w:val="nil"/>
              <w:bottom w:val="single" w:sz="4" w:space="0" w:color="auto"/>
              <w:right w:val="single" w:sz="4" w:space="0" w:color="auto"/>
            </w:tcBorders>
            <w:shd w:val="clear" w:color="auto" w:fill="auto"/>
            <w:vAlign w:val="center"/>
            <w:hideMark/>
          </w:tcPr>
          <w:p w14:paraId="1A1B1AC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333,0 </w:t>
            </w:r>
          </w:p>
        </w:tc>
        <w:tc>
          <w:tcPr>
            <w:tcW w:w="797" w:type="dxa"/>
            <w:tcBorders>
              <w:top w:val="nil"/>
              <w:left w:val="nil"/>
              <w:bottom w:val="single" w:sz="4" w:space="0" w:color="auto"/>
              <w:right w:val="single" w:sz="4" w:space="0" w:color="auto"/>
            </w:tcBorders>
            <w:shd w:val="clear" w:color="auto" w:fill="auto"/>
            <w:vAlign w:val="center"/>
            <w:hideMark/>
          </w:tcPr>
          <w:p w14:paraId="1CDDE99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489,2 </w:t>
            </w:r>
          </w:p>
        </w:tc>
        <w:tc>
          <w:tcPr>
            <w:tcW w:w="1433" w:type="dxa"/>
            <w:tcBorders>
              <w:top w:val="nil"/>
              <w:left w:val="nil"/>
              <w:bottom w:val="single" w:sz="4" w:space="0" w:color="auto"/>
              <w:right w:val="double" w:sz="6" w:space="0" w:color="auto"/>
            </w:tcBorders>
            <w:shd w:val="clear" w:color="auto" w:fill="auto"/>
            <w:vAlign w:val="center"/>
            <w:hideMark/>
          </w:tcPr>
          <w:p w14:paraId="0856A49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1 584,2 </w:t>
            </w:r>
          </w:p>
        </w:tc>
      </w:tr>
      <w:tr w:rsidR="00D470B6" w:rsidRPr="00A53AD7" w14:paraId="6552143E" w14:textId="77777777" w:rsidTr="001D2B6D">
        <w:trPr>
          <w:trHeight w:val="60"/>
          <w:jc w:val="center"/>
        </w:trPr>
        <w:tc>
          <w:tcPr>
            <w:tcW w:w="4109" w:type="dxa"/>
            <w:tcBorders>
              <w:top w:val="nil"/>
              <w:left w:val="double" w:sz="6" w:space="0" w:color="auto"/>
              <w:bottom w:val="single" w:sz="4" w:space="0" w:color="auto"/>
              <w:right w:val="single" w:sz="4" w:space="0" w:color="auto"/>
            </w:tcBorders>
            <w:shd w:val="clear" w:color="auto" w:fill="auto"/>
            <w:vAlign w:val="center"/>
            <w:hideMark/>
          </w:tcPr>
          <w:p w14:paraId="16873F46"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АПК и торговли</w:t>
            </w:r>
          </w:p>
        </w:tc>
        <w:tc>
          <w:tcPr>
            <w:tcW w:w="756" w:type="dxa"/>
            <w:tcBorders>
              <w:top w:val="nil"/>
              <w:left w:val="nil"/>
              <w:bottom w:val="single" w:sz="4" w:space="0" w:color="auto"/>
              <w:right w:val="single" w:sz="4" w:space="0" w:color="auto"/>
            </w:tcBorders>
            <w:shd w:val="clear" w:color="auto" w:fill="auto"/>
            <w:vAlign w:val="center"/>
            <w:hideMark/>
          </w:tcPr>
          <w:p w14:paraId="5D932D1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080" w:type="dxa"/>
            <w:tcBorders>
              <w:top w:val="nil"/>
              <w:left w:val="nil"/>
              <w:bottom w:val="single" w:sz="4" w:space="0" w:color="auto"/>
              <w:right w:val="single" w:sz="4" w:space="0" w:color="auto"/>
            </w:tcBorders>
            <w:shd w:val="clear" w:color="auto" w:fill="auto"/>
            <w:vAlign w:val="center"/>
            <w:hideMark/>
          </w:tcPr>
          <w:p w14:paraId="7235517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808" w:type="dxa"/>
            <w:tcBorders>
              <w:top w:val="nil"/>
              <w:left w:val="nil"/>
              <w:bottom w:val="single" w:sz="4" w:space="0" w:color="auto"/>
              <w:right w:val="single" w:sz="4" w:space="0" w:color="auto"/>
            </w:tcBorders>
            <w:shd w:val="clear" w:color="auto" w:fill="auto"/>
            <w:vAlign w:val="center"/>
            <w:hideMark/>
          </w:tcPr>
          <w:p w14:paraId="0284714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797" w:type="dxa"/>
            <w:tcBorders>
              <w:top w:val="nil"/>
              <w:left w:val="nil"/>
              <w:bottom w:val="single" w:sz="4" w:space="0" w:color="auto"/>
              <w:right w:val="single" w:sz="4" w:space="0" w:color="auto"/>
            </w:tcBorders>
            <w:shd w:val="clear" w:color="auto" w:fill="auto"/>
            <w:vAlign w:val="center"/>
            <w:hideMark/>
          </w:tcPr>
          <w:p w14:paraId="2DFB235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1433" w:type="dxa"/>
            <w:tcBorders>
              <w:top w:val="nil"/>
              <w:left w:val="nil"/>
              <w:bottom w:val="single" w:sz="4" w:space="0" w:color="auto"/>
              <w:right w:val="double" w:sz="6" w:space="0" w:color="auto"/>
            </w:tcBorders>
            <w:shd w:val="clear" w:color="auto" w:fill="auto"/>
            <w:vAlign w:val="center"/>
            <w:hideMark/>
          </w:tcPr>
          <w:p w14:paraId="168772F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 </w:t>
            </w:r>
          </w:p>
        </w:tc>
      </w:tr>
      <w:tr w:rsidR="00D470B6" w:rsidRPr="00A53AD7" w14:paraId="5FD4660E" w14:textId="77777777" w:rsidTr="001D2B6D">
        <w:trPr>
          <w:trHeight w:val="60"/>
          <w:jc w:val="center"/>
        </w:trPr>
        <w:tc>
          <w:tcPr>
            <w:tcW w:w="4109" w:type="dxa"/>
            <w:tcBorders>
              <w:top w:val="nil"/>
              <w:left w:val="double" w:sz="6" w:space="0" w:color="auto"/>
              <w:bottom w:val="single" w:sz="4" w:space="0" w:color="auto"/>
              <w:right w:val="single" w:sz="4" w:space="0" w:color="auto"/>
            </w:tcBorders>
            <w:shd w:val="clear" w:color="auto" w:fill="auto"/>
            <w:vAlign w:val="center"/>
            <w:hideMark/>
          </w:tcPr>
          <w:p w14:paraId="18DF764D"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связи и ИТ</w:t>
            </w:r>
          </w:p>
        </w:tc>
        <w:tc>
          <w:tcPr>
            <w:tcW w:w="756" w:type="dxa"/>
            <w:tcBorders>
              <w:top w:val="nil"/>
              <w:left w:val="nil"/>
              <w:bottom w:val="single" w:sz="4" w:space="0" w:color="auto"/>
              <w:right w:val="single" w:sz="4" w:space="0" w:color="auto"/>
            </w:tcBorders>
            <w:shd w:val="clear" w:color="auto" w:fill="auto"/>
            <w:vAlign w:val="center"/>
            <w:hideMark/>
          </w:tcPr>
          <w:p w14:paraId="4FCA316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9,5 </w:t>
            </w:r>
          </w:p>
        </w:tc>
        <w:tc>
          <w:tcPr>
            <w:tcW w:w="1080" w:type="dxa"/>
            <w:tcBorders>
              <w:top w:val="nil"/>
              <w:left w:val="nil"/>
              <w:bottom w:val="single" w:sz="4" w:space="0" w:color="auto"/>
              <w:right w:val="single" w:sz="4" w:space="0" w:color="auto"/>
            </w:tcBorders>
            <w:shd w:val="clear" w:color="auto" w:fill="auto"/>
            <w:vAlign w:val="center"/>
            <w:hideMark/>
          </w:tcPr>
          <w:p w14:paraId="1AD6168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 </w:t>
            </w:r>
          </w:p>
        </w:tc>
        <w:tc>
          <w:tcPr>
            <w:tcW w:w="808" w:type="dxa"/>
            <w:tcBorders>
              <w:top w:val="nil"/>
              <w:left w:val="nil"/>
              <w:bottom w:val="single" w:sz="4" w:space="0" w:color="auto"/>
              <w:right w:val="single" w:sz="4" w:space="0" w:color="auto"/>
            </w:tcBorders>
            <w:shd w:val="clear" w:color="auto" w:fill="auto"/>
            <w:vAlign w:val="center"/>
            <w:hideMark/>
          </w:tcPr>
          <w:p w14:paraId="222C332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73,9 </w:t>
            </w:r>
          </w:p>
        </w:tc>
        <w:tc>
          <w:tcPr>
            <w:tcW w:w="797" w:type="dxa"/>
            <w:tcBorders>
              <w:top w:val="nil"/>
              <w:left w:val="nil"/>
              <w:bottom w:val="single" w:sz="4" w:space="0" w:color="auto"/>
              <w:right w:val="single" w:sz="4" w:space="0" w:color="auto"/>
            </w:tcBorders>
            <w:shd w:val="clear" w:color="auto" w:fill="auto"/>
            <w:vAlign w:val="center"/>
            <w:hideMark/>
          </w:tcPr>
          <w:p w14:paraId="14B2684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65,6 </w:t>
            </w:r>
          </w:p>
        </w:tc>
        <w:tc>
          <w:tcPr>
            <w:tcW w:w="1433" w:type="dxa"/>
            <w:tcBorders>
              <w:top w:val="nil"/>
              <w:left w:val="nil"/>
              <w:bottom w:val="single" w:sz="4" w:space="0" w:color="auto"/>
              <w:right w:val="double" w:sz="6" w:space="0" w:color="auto"/>
            </w:tcBorders>
            <w:shd w:val="clear" w:color="auto" w:fill="auto"/>
            <w:vAlign w:val="center"/>
            <w:hideMark/>
          </w:tcPr>
          <w:p w14:paraId="1B567BB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157,4 </w:t>
            </w:r>
          </w:p>
        </w:tc>
      </w:tr>
      <w:tr w:rsidR="00D470B6" w:rsidRPr="00A53AD7" w14:paraId="22A9ED88" w14:textId="77777777" w:rsidTr="001D2B6D">
        <w:trPr>
          <w:trHeight w:val="60"/>
          <w:jc w:val="center"/>
        </w:trPr>
        <w:tc>
          <w:tcPr>
            <w:tcW w:w="4109" w:type="dxa"/>
            <w:tcBorders>
              <w:top w:val="nil"/>
              <w:left w:val="double" w:sz="6" w:space="0" w:color="auto"/>
              <w:bottom w:val="single" w:sz="4" w:space="0" w:color="auto"/>
              <w:right w:val="single" w:sz="4" w:space="0" w:color="auto"/>
            </w:tcBorders>
            <w:shd w:val="clear" w:color="auto" w:fill="auto"/>
            <w:vAlign w:val="center"/>
            <w:hideMark/>
          </w:tcPr>
          <w:p w14:paraId="725C13BB"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ТЭК и ЖКХ</w:t>
            </w:r>
          </w:p>
        </w:tc>
        <w:tc>
          <w:tcPr>
            <w:tcW w:w="756" w:type="dxa"/>
            <w:tcBorders>
              <w:top w:val="nil"/>
              <w:left w:val="nil"/>
              <w:bottom w:val="single" w:sz="4" w:space="0" w:color="auto"/>
              <w:right w:val="single" w:sz="4" w:space="0" w:color="auto"/>
            </w:tcBorders>
            <w:shd w:val="clear" w:color="auto" w:fill="auto"/>
            <w:vAlign w:val="center"/>
            <w:hideMark/>
          </w:tcPr>
          <w:p w14:paraId="516DD54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080" w:type="dxa"/>
            <w:tcBorders>
              <w:top w:val="nil"/>
              <w:left w:val="nil"/>
              <w:bottom w:val="single" w:sz="4" w:space="0" w:color="auto"/>
              <w:right w:val="single" w:sz="4" w:space="0" w:color="auto"/>
            </w:tcBorders>
            <w:shd w:val="clear" w:color="auto" w:fill="auto"/>
            <w:vAlign w:val="center"/>
            <w:hideMark/>
          </w:tcPr>
          <w:p w14:paraId="7D9D129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808" w:type="dxa"/>
            <w:tcBorders>
              <w:top w:val="nil"/>
              <w:left w:val="nil"/>
              <w:bottom w:val="single" w:sz="4" w:space="0" w:color="auto"/>
              <w:right w:val="single" w:sz="4" w:space="0" w:color="auto"/>
            </w:tcBorders>
            <w:shd w:val="clear" w:color="auto" w:fill="auto"/>
            <w:vAlign w:val="center"/>
            <w:hideMark/>
          </w:tcPr>
          <w:p w14:paraId="0DDEEAF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797" w:type="dxa"/>
            <w:tcBorders>
              <w:top w:val="nil"/>
              <w:left w:val="nil"/>
              <w:bottom w:val="single" w:sz="4" w:space="0" w:color="auto"/>
              <w:right w:val="single" w:sz="4" w:space="0" w:color="auto"/>
            </w:tcBorders>
            <w:shd w:val="clear" w:color="auto" w:fill="auto"/>
            <w:vAlign w:val="center"/>
            <w:hideMark/>
          </w:tcPr>
          <w:p w14:paraId="3BE9FEB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0,1 </w:t>
            </w:r>
          </w:p>
        </w:tc>
        <w:tc>
          <w:tcPr>
            <w:tcW w:w="1433" w:type="dxa"/>
            <w:tcBorders>
              <w:top w:val="nil"/>
              <w:left w:val="nil"/>
              <w:bottom w:val="single" w:sz="4" w:space="0" w:color="auto"/>
              <w:right w:val="double" w:sz="6" w:space="0" w:color="auto"/>
            </w:tcBorders>
            <w:shd w:val="clear" w:color="auto" w:fill="auto"/>
            <w:vAlign w:val="center"/>
            <w:hideMark/>
          </w:tcPr>
          <w:p w14:paraId="1ADCC62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r>
      <w:tr w:rsidR="00D470B6" w:rsidRPr="00A53AD7" w14:paraId="4715C41B" w14:textId="77777777" w:rsidTr="001D2B6D">
        <w:trPr>
          <w:trHeight w:val="60"/>
          <w:jc w:val="center"/>
        </w:trPr>
        <w:tc>
          <w:tcPr>
            <w:tcW w:w="4109" w:type="dxa"/>
            <w:tcBorders>
              <w:top w:val="nil"/>
              <w:left w:val="double" w:sz="6" w:space="0" w:color="auto"/>
              <w:bottom w:val="single" w:sz="4" w:space="0" w:color="auto"/>
              <w:right w:val="single" w:sz="4" w:space="0" w:color="auto"/>
            </w:tcBorders>
            <w:shd w:val="clear" w:color="auto" w:fill="auto"/>
            <w:vAlign w:val="center"/>
            <w:hideMark/>
          </w:tcPr>
          <w:p w14:paraId="6C0A3273"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образования и науки</w:t>
            </w:r>
          </w:p>
        </w:tc>
        <w:tc>
          <w:tcPr>
            <w:tcW w:w="756" w:type="dxa"/>
            <w:tcBorders>
              <w:top w:val="nil"/>
              <w:left w:val="nil"/>
              <w:bottom w:val="single" w:sz="4" w:space="0" w:color="auto"/>
              <w:right w:val="single" w:sz="4" w:space="0" w:color="auto"/>
            </w:tcBorders>
            <w:shd w:val="clear" w:color="auto" w:fill="auto"/>
            <w:vAlign w:val="center"/>
          </w:tcPr>
          <w:p w14:paraId="5E3E60E2"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1080" w:type="dxa"/>
            <w:tcBorders>
              <w:top w:val="nil"/>
              <w:left w:val="nil"/>
              <w:bottom w:val="single" w:sz="4" w:space="0" w:color="auto"/>
              <w:right w:val="single" w:sz="4" w:space="0" w:color="auto"/>
            </w:tcBorders>
            <w:shd w:val="clear" w:color="auto" w:fill="auto"/>
            <w:vAlign w:val="center"/>
          </w:tcPr>
          <w:p w14:paraId="1A17A8BA"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808" w:type="dxa"/>
            <w:tcBorders>
              <w:top w:val="nil"/>
              <w:left w:val="nil"/>
              <w:bottom w:val="single" w:sz="4" w:space="0" w:color="auto"/>
              <w:right w:val="single" w:sz="4" w:space="0" w:color="auto"/>
            </w:tcBorders>
            <w:shd w:val="clear" w:color="auto" w:fill="auto"/>
            <w:vAlign w:val="center"/>
          </w:tcPr>
          <w:p w14:paraId="18B0AD42"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797" w:type="dxa"/>
            <w:tcBorders>
              <w:top w:val="nil"/>
              <w:left w:val="nil"/>
              <w:bottom w:val="single" w:sz="4" w:space="0" w:color="auto"/>
              <w:right w:val="single" w:sz="4" w:space="0" w:color="auto"/>
            </w:tcBorders>
            <w:shd w:val="clear" w:color="auto" w:fill="auto"/>
            <w:vAlign w:val="center"/>
          </w:tcPr>
          <w:p w14:paraId="4CF36D9B" w14:textId="77777777" w:rsidR="001D2B6D" w:rsidRPr="00A53AD7" w:rsidRDefault="001D2B6D" w:rsidP="001D2B6D">
            <w:pPr>
              <w:spacing w:after="0" w:line="240" w:lineRule="auto"/>
              <w:jc w:val="right"/>
              <w:rPr>
                <w:rFonts w:ascii="Times New Roman" w:eastAsia="Times New Roman" w:hAnsi="Times New Roman"/>
                <w:lang w:eastAsia="ru-RU"/>
              </w:rPr>
            </w:pPr>
          </w:p>
        </w:tc>
        <w:tc>
          <w:tcPr>
            <w:tcW w:w="1433" w:type="dxa"/>
            <w:tcBorders>
              <w:top w:val="nil"/>
              <w:left w:val="nil"/>
              <w:bottom w:val="single" w:sz="4" w:space="0" w:color="auto"/>
              <w:right w:val="double" w:sz="6" w:space="0" w:color="auto"/>
            </w:tcBorders>
            <w:shd w:val="clear" w:color="auto" w:fill="auto"/>
            <w:vAlign w:val="center"/>
            <w:hideMark/>
          </w:tcPr>
          <w:p w14:paraId="31C0A8B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1D2B6D" w:rsidRPr="00A53AD7" w14:paraId="791CC353" w14:textId="77777777" w:rsidTr="001D2B6D">
        <w:trPr>
          <w:trHeight w:val="60"/>
          <w:jc w:val="center"/>
        </w:trPr>
        <w:tc>
          <w:tcPr>
            <w:tcW w:w="4109" w:type="dxa"/>
            <w:tcBorders>
              <w:top w:val="nil"/>
              <w:left w:val="double" w:sz="6" w:space="0" w:color="auto"/>
              <w:bottom w:val="double" w:sz="6" w:space="0" w:color="auto"/>
              <w:right w:val="single" w:sz="4" w:space="0" w:color="auto"/>
            </w:tcBorders>
            <w:shd w:val="clear" w:color="auto" w:fill="auto"/>
            <w:vAlign w:val="center"/>
            <w:hideMark/>
          </w:tcPr>
          <w:p w14:paraId="2911262A" w14:textId="77777777" w:rsidR="001D2B6D" w:rsidRPr="00A53AD7" w:rsidRDefault="001D2B6D" w:rsidP="001D2B6D">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756" w:type="dxa"/>
            <w:tcBorders>
              <w:top w:val="nil"/>
              <w:left w:val="nil"/>
              <w:bottom w:val="double" w:sz="6" w:space="0" w:color="auto"/>
              <w:right w:val="single" w:sz="4" w:space="0" w:color="auto"/>
            </w:tcBorders>
            <w:shd w:val="clear" w:color="auto" w:fill="auto"/>
            <w:vAlign w:val="center"/>
            <w:hideMark/>
          </w:tcPr>
          <w:p w14:paraId="11F1D162"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281,5 </w:t>
            </w:r>
          </w:p>
        </w:tc>
        <w:tc>
          <w:tcPr>
            <w:tcW w:w="1080" w:type="dxa"/>
            <w:tcBorders>
              <w:top w:val="nil"/>
              <w:left w:val="nil"/>
              <w:bottom w:val="double" w:sz="6" w:space="0" w:color="auto"/>
              <w:right w:val="single" w:sz="4" w:space="0" w:color="auto"/>
            </w:tcBorders>
            <w:shd w:val="clear" w:color="auto" w:fill="auto"/>
            <w:vAlign w:val="center"/>
            <w:hideMark/>
          </w:tcPr>
          <w:p w14:paraId="04FA51F4"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499,0 </w:t>
            </w:r>
          </w:p>
        </w:tc>
        <w:tc>
          <w:tcPr>
            <w:tcW w:w="808" w:type="dxa"/>
            <w:tcBorders>
              <w:top w:val="nil"/>
              <w:left w:val="nil"/>
              <w:bottom w:val="double" w:sz="6" w:space="0" w:color="auto"/>
              <w:right w:val="single" w:sz="4" w:space="0" w:color="auto"/>
            </w:tcBorders>
            <w:shd w:val="clear" w:color="auto" w:fill="auto"/>
            <w:vAlign w:val="center"/>
            <w:hideMark/>
          </w:tcPr>
          <w:p w14:paraId="1226BDB5"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407,2 </w:t>
            </w:r>
          </w:p>
        </w:tc>
        <w:tc>
          <w:tcPr>
            <w:tcW w:w="797" w:type="dxa"/>
            <w:tcBorders>
              <w:top w:val="nil"/>
              <w:left w:val="nil"/>
              <w:bottom w:val="double" w:sz="6" w:space="0" w:color="auto"/>
              <w:right w:val="single" w:sz="4" w:space="0" w:color="auto"/>
            </w:tcBorders>
            <w:shd w:val="clear" w:color="auto" w:fill="auto"/>
            <w:vAlign w:val="center"/>
            <w:hideMark/>
          </w:tcPr>
          <w:p w14:paraId="734887D7"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555,1 </w:t>
            </w:r>
          </w:p>
        </w:tc>
        <w:tc>
          <w:tcPr>
            <w:tcW w:w="1433" w:type="dxa"/>
            <w:tcBorders>
              <w:top w:val="nil"/>
              <w:left w:val="nil"/>
              <w:bottom w:val="double" w:sz="6" w:space="0" w:color="auto"/>
              <w:right w:val="double" w:sz="6" w:space="0" w:color="auto"/>
            </w:tcBorders>
            <w:shd w:val="clear" w:color="auto" w:fill="auto"/>
            <w:vAlign w:val="center"/>
            <w:hideMark/>
          </w:tcPr>
          <w:p w14:paraId="4090410F" w14:textId="77777777" w:rsidR="001D2B6D" w:rsidRPr="00A53AD7" w:rsidRDefault="001D2B6D" w:rsidP="001D2B6D">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1 742,9 </w:t>
            </w:r>
          </w:p>
        </w:tc>
      </w:tr>
    </w:tbl>
    <w:p w14:paraId="5F7E300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070647F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на реализацию мероприятий госпрограммы № 465-пп за I квартал составили 16,1 % к уточненным параметрам на 2019 год, за II кв. – 28,6 %, за III кв. – 23,4 % и за IV кв. – 31,9 %.</w:t>
      </w:r>
    </w:p>
    <w:p w14:paraId="17031E5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главным распорядителям средств областного бюджета произведенные за 2019 год расходы по госпрограмме № 465-пп, согласно представленным отчетам, характеризуются следующими показателями:</w:t>
      </w:r>
    </w:p>
    <w:p w14:paraId="6DAF495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I. Министерством АПК и торговли Архангельской области расходы составили 1,0 млн.руб. или 100,0 % к плану года, которые направлены на хранение резерва материальных ресурсов для ликвидации чрезвычайных ситуаций межмуниципального и регионального характера и были перечислены подведомственному автономному учреждению «Инвестсельстрой».</w:t>
      </w:r>
    </w:p>
    <w:p w14:paraId="789C893B" w14:textId="1568E7D4"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II. Министерством ТЭК и ЖКХ Архангельской области – 0,3 млн.руб. или 98,6 % к плану года</w:t>
      </w:r>
      <w:r w:rsidR="00003619" w:rsidRPr="00A53AD7">
        <w:rPr>
          <w:rFonts w:ascii="Times New Roman" w:hAnsi="Times New Roman"/>
          <w:sz w:val="28"/>
          <w:szCs w:val="28"/>
        </w:rPr>
        <w:t>,</w:t>
      </w:r>
      <w:r w:rsidRPr="00A53AD7">
        <w:rPr>
          <w:rFonts w:ascii="Times New Roman" w:hAnsi="Times New Roman"/>
          <w:sz w:val="28"/>
          <w:szCs w:val="28"/>
        </w:rPr>
        <w:t xml:space="preserve"> которые направлены создание, хранение и восполнение резерва нефтепродуктов и материальных ресурсов для ликвидации чрезвычайных ситуаций.</w:t>
      </w:r>
    </w:p>
    <w:p w14:paraId="2849905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III. Министерством образования и науки Архангельской области, утвержденные на 2019 год в областном бюджете, расходы в сумме 51,0 млн.руб. на укрепление материально-технической базы и развитие противопожарной инфраструктуры в муниципальных образовательных организациях не осуществлены.</w:t>
      </w:r>
    </w:p>
    <w:p w14:paraId="2933802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Обозначенные средства были включены в областной закон «Об областном бюджет» на основании областного закона от 19.11.2019 № 177-12-ОЗ.</w:t>
      </w:r>
    </w:p>
    <w:p w14:paraId="37C8E9A8"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госпрограммы № 465-пп для осуществления финансирования местных бюджетов требовалась разработка положения о порядке проведения конкурса на предоставление субсидий бюджетам муниципальных районов. Указанное положение было разработано в декабре 2019 года и утверждено на заседании Правительства Архангельской области только 04.02.2020.</w:t>
      </w:r>
    </w:p>
    <w:p w14:paraId="31B8AB6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IV. Министерство связи и ИТ Архангельской области – 157,4 млн.руб. или 100,0 % к плану года, которые направлены ГАУ «Управление ИКТ Архангельской области» на:</w:t>
      </w:r>
    </w:p>
    <w:p w14:paraId="14951C7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интеграцию и эксплуатацию систем аппаратно-программного комплекса «Безопасный город» в городе Архангельске – 5,4 млн.руб. или 99,8 % к плану года;</w:t>
      </w:r>
    </w:p>
    <w:p w14:paraId="3771A69F"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обеспечение работоспособности АПК «Безопасный город» на территории Архангельской области – 26,5 млн.руб. или 100,0 %;</w:t>
      </w:r>
    </w:p>
    <w:p w14:paraId="1E11EDBE"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построение телекоммуникационной подсистемы системы-112 Архангельской области – 65,1 млн.руб. или 100,0 %.</w:t>
      </w:r>
    </w:p>
    <w:p w14:paraId="30DA4C8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госпрограммы № 465-пп за 2019 год, утвержденному распоряжением Правительства Архангельской области от 10.03.2020 № 81-рп (далее отчет № 81-рп) в графе 14 «освоено» по указанным мероприятиям отражено 124,5 млн.руб.</w:t>
      </w:r>
    </w:p>
    <w:p w14:paraId="41B7450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то же время, контрольным мероприятием, проведенным в ГАУ «Управление ИКТ Архангельской области» установлено, что на 01.01.2019 неиспользованный остаток средств по данной госпрограмме составлял 33,7 млн.руб., возвращен остаток в областной бюджет – 1,2 млн.руб., поступило – 157,4 млн.руб., а расходы составили 104,2 млн.руб. и на 01.01.2020 неиспользованный остаток составил 85,8 млн.руб.</w:t>
      </w:r>
    </w:p>
    <w:p w14:paraId="2EDF801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п. 30 Порядка № 299-пп), а также п. 8 Приложения № 8 к Порядку № 299-пп, в отчете о реализации государственной программы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за 2019 год (отчет № 81-рп от 10.03.2020), показатель по графе «Освоено» по п. 1.2., 1.9., 5.12, завышен на 20,3 млн.руб. (125,4-104,2), или на 20 313,157 тыс.руб.;</w:t>
      </w:r>
    </w:p>
    <w:p w14:paraId="4F420A2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V. Агентством ГПС и ГЗ Архангельской области – 1 584,2 млн.руб., что составило 99,7 % к плану года, которые направлены на:</w:t>
      </w:r>
    </w:p>
    <w:p w14:paraId="338CA0E2"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 Создание и материально-техническое оснащение добровольной пожарной охраны – 22,3 млн.руб. или 100,0 % к плану года;</w:t>
      </w:r>
    </w:p>
    <w:p w14:paraId="3504DDB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 Финансовое обеспечение деятельности ГБУ АО «Производственно-технический центр» – 221,3 млн.руб. или 100,0 %, из них:</w:t>
      </w:r>
    </w:p>
    <w:p w14:paraId="16BA6044"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субсидии на выполнение государственного задания составили 73,8 млн.руб.;</w:t>
      </w:r>
    </w:p>
    <w:p w14:paraId="070BDFAE"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субсидии на иные цели – 147,5 млн.руб.</w:t>
      </w:r>
    </w:p>
    <w:p w14:paraId="6D90DAEB" w14:textId="4A855551"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Основные показатели финансово-хозяйственной деятельности ГБУ «ПТЦ» за 2019 год, без учета средств, выделенных из резервного фонда Правительства Архангельской области за 2018 – 2019 годы и направленных на реализацию госпрограммы № 465-пп, представлены в таблице</w:t>
      </w:r>
      <w:r w:rsidR="006B1B2F" w:rsidRPr="00A53AD7">
        <w:rPr>
          <w:rFonts w:ascii="Times New Roman" w:hAnsi="Times New Roman"/>
          <w:sz w:val="28"/>
          <w:szCs w:val="28"/>
        </w:rPr>
        <w:t xml:space="preserve"> 46</w:t>
      </w:r>
      <w:r w:rsidRPr="00A53AD7">
        <w:rPr>
          <w:rFonts w:ascii="Times New Roman" w:hAnsi="Times New Roman"/>
          <w:sz w:val="28"/>
          <w:szCs w:val="28"/>
        </w:rPr>
        <w:t>.</w:t>
      </w:r>
    </w:p>
    <w:p w14:paraId="692B58DD" w14:textId="77777777" w:rsidR="001D2B6D" w:rsidRPr="00A53AD7" w:rsidRDefault="001D2B6D" w:rsidP="001D2B6D">
      <w:pPr>
        <w:pStyle w:val="aff0"/>
        <w:spacing w:after="0" w:line="240" w:lineRule="auto"/>
        <w:rPr>
          <w:rFonts w:ascii="Times New Roman" w:hAnsi="Times New Roman"/>
          <w:b w:val="0"/>
          <w:sz w:val="24"/>
          <w:szCs w:val="24"/>
        </w:rPr>
      </w:pPr>
    </w:p>
    <w:p w14:paraId="3EFCFAEA"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46</w:t>
      </w:r>
      <w:r w:rsidRPr="00A53AD7">
        <w:rPr>
          <w:rFonts w:ascii="Times New Roman" w:hAnsi="Times New Roman"/>
          <w:b w:val="0"/>
          <w:sz w:val="24"/>
          <w:szCs w:val="24"/>
        </w:rPr>
        <w:fldChar w:fldCharType="end"/>
      </w:r>
      <w:r w:rsidRPr="00A53AD7">
        <w:rPr>
          <w:rFonts w:ascii="Times New Roman" w:hAnsi="Times New Roman"/>
          <w:b w:val="0"/>
          <w:sz w:val="24"/>
          <w:szCs w:val="24"/>
        </w:rPr>
        <w:t>. Показатели выполнения плана финансово-хозяйственной деятельности ГБУ «Производственно-технический центр» за 2019 год, согласно отчетам по ф. 0503779 и 0503737, без учета средств, выделенных из резервного фонда Правительства Архангельской области за 2018 – 2019 годы, тыс.руб.</w:t>
      </w:r>
    </w:p>
    <w:tbl>
      <w:tblPr>
        <w:tblW w:w="7850" w:type="dxa"/>
        <w:jc w:val="center"/>
        <w:tblLook w:val="04A0" w:firstRow="1" w:lastRow="0" w:firstColumn="1" w:lastColumn="0" w:noHBand="0" w:noVBand="1"/>
      </w:tblPr>
      <w:tblGrid>
        <w:gridCol w:w="2516"/>
        <w:gridCol w:w="1384"/>
        <w:gridCol w:w="1314"/>
        <w:gridCol w:w="1540"/>
        <w:gridCol w:w="1096"/>
      </w:tblGrid>
      <w:tr w:rsidR="00D470B6" w:rsidRPr="00A53AD7" w14:paraId="51EF717B" w14:textId="77777777" w:rsidTr="001D2B6D">
        <w:trPr>
          <w:trHeight w:val="25"/>
          <w:tblHeader/>
          <w:jc w:val="center"/>
        </w:trPr>
        <w:tc>
          <w:tcPr>
            <w:tcW w:w="252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A32BAAD"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390" w:type="dxa"/>
            <w:tcBorders>
              <w:top w:val="double" w:sz="6" w:space="0" w:color="auto"/>
              <w:left w:val="nil"/>
              <w:bottom w:val="single" w:sz="4" w:space="0" w:color="auto"/>
              <w:right w:val="single" w:sz="4" w:space="0" w:color="auto"/>
            </w:tcBorders>
            <w:shd w:val="clear" w:color="auto" w:fill="auto"/>
            <w:vAlign w:val="center"/>
            <w:hideMark/>
          </w:tcPr>
          <w:p w14:paraId="57304641"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Гос. задание</w:t>
            </w:r>
          </w:p>
        </w:tc>
        <w:tc>
          <w:tcPr>
            <w:tcW w:w="1314" w:type="dxa"/>
            <w:tcBorders>
              <w:top w:val="double" w:sz="6" w:space="0" w:color="auto"/>
              <w:left w:val="nil"/>
              <w:bottom w:val="single" w:sz="4" w:space="0" w:color="auto"/>
              <w:right w:val="single" w:sz="4" w:space="0" w:color="auto"/>
            </w:tcBorders>
            <w:shd w:val="clear" w:color="auto" w:fill="auto"/>
            <w:vAlign w:val="center"/>
            <w:hideMark/>
          </w:tcPr>
          <w:p w14:paraId="7204096C"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Иные цели</w:t>
            </w:r>
          </w:p>
        </w:tc>
        <w:tc>
          <w:tcPr>
            <w:tcW w:w="1540" w:type="dxa"/>
            <w:tcBorders>
              <w:top w:val="double" w:sz="6" w:space="0" w:color="auto"/>
              <w:left w:val="nil"/>
              <w:bottom w:val="single" w:sz="4" w:space="0" w:color="auto"/>
              <w:right w:val="single" w:sz="4" w:space="0" w:color="auto"/>
            </w:tcBorders>
            <w:shd w:val="clear" w:color="auto" w:fill="auto"/>
            <w:vAlign w:val="center"/>
            <w:hideMark/>
          </w:tcPr>
          <w:p w14:paraId="1FEA5DF6"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Собственные</w:t>
            </w:r>
          </w:p>
        </w:tc>
        <w:tc>
          <w:tcPr>
            <w:tcW w:w="1077" w:type="dxa"/>
            <w:tcBorders>
              <w:top w:val="double" w:sz="6" w:space="0" w:color="auto"/>
              <w:left w:val="nil"/>
              <w:bottom w:val="single" w:sz="4" w:space="0" w:color="auto"/>
              <w:right w:val="double" w:sz="6" w:space="0" w:color="auto"/>
            </w:tcBorders>
            <w:shd w:val="clear" w:color="auto" w:fill="auto"/>
            <w:vAlign w:val="center"/>
            <w:hideMark/>
          </w:tcPr>
          <w:p w14:paraId="7D23653B"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r>
      <w:tr w:rsidR="00D470B6" w:rsidRPr="00A53AD7" w14:paraId="2CAB6640" w14:textId="77777777" w:rsidTr="001D2B6D">
        <w:trPr>
          <w:trHeight w:hRule="exact" w:val="255"/>
          <w:jc w:val="center"/>
        </w:trPr>
        <w:tc>
          <w:tcPr>
            <w:tcW w:w="2529" w:type="dxa"/>
            <w:tcBorders>
              <w:top w:val="nil"/>
              <w:left w:val="double" w:sz="6" w:space="0" w:color="auto"/>
              <w:bottom w:val="single" w:sz="4" w:space="0" w:color="auto"/>
              <w:right w:val="single" w:sz="4" w:space="0" w:color="auto"/>
            </w:tcBorders>
            <w:shd w:val="clear" w:color="auto" w:fill="auto"/>
            <w:vAlign w:val="center"/>
            <w:hideMark/>
          </w:tcPr>
          <w:p w14:paraId="69E16EFF"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Остаток на 01.01.2019</w:t>
            </w:r>
          </w:p>
        </w:tc>
        <w:tc>
          <w:tcPr>
            <w:tcW w:w="1390" w:type="dxa"/>
            <w:tcBorders>
              <w:top w:val="nil"/>
              <w:left w:val="nil"/>
              <w:bottom w:val="single" w:sz="4" w:space="0" w:color="auto"/>
              <w:right w:val="single" w:sz="4" w:space="0" w:color="auto"/>
            </w:tcBorders>
            <w:shd w:val="clear" w:color="auto" w:fill="auto"/>
            <w:vAlign w:val="center"/>
            <w:hideMark/>
          </w:tcPr>
          <w:p w14:paraId="086C1B62"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1314" w:type="dxa"/>
            <w:tcBorders>
              <w:top w:val="nil"/>
              <w:left w:val="nil"/>
              <w:bottom w:val="single" w:sz="4" w:space="0" w:color="auto"/>
              <w:right w:val="single" w:sz="4" w:space="0" w:color="auto"/>
            </w:tcBorders>
            <w:shd w:val="clear" w:color="auto" w:fill="auto"/>
            <w:vAlign w:val="center"/>
            <w:hideMark/>
          </w:tcPr>
          <w:p w14:paraId="366343E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3 800,4 </w:t>
            </w:r>
          </w:p>
        </w:tc>
        <w:tc>
          <w:tcPr>
            <w:tcW w:w="1540" w:type="dxa"/>
            <w:tcBorders>
              <w:top w:val="nil"/>
              <w:left w:val="nil"/>
              <w:bottom w:val="single" w:sz="4" w:space="0" w:color="auto"/>
              <w:right w:val="single" w:sz="4" w:space="0" w:color="auto"/>
            </w:tcBorders>
            <w:shd w:val="clear" w:color="auto" w:fill="auto"/>
            <w:vAlign w:val="center"/>
            <w:hideMark/>
          </w:tcPr>
          <w:p w14:paraId="19311C2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258,4 </w:t>
            </w:r>
          </w:p>
        </w:tc>
        <w:tc>
          <w:tcPr>
            <w:tcW w:w="1077" w:type="dxa"/>
            <w:tcBorders>
              <w:top w:val="nil"/>
              <w:left w:val="nil"/>
              <w:bottom w:val="single" w:sz="4" w:space="0" w:color="auto"/>
              <w:right w:val="double" w:sz="6" w:space="0" w:color="auto"/>
            </w:tcBorders>
            <w:shd w:val="clear" w:color="auto" w:fill="auto"/>
            <w:vAlign w:val="center"/>
            <w:hideMark/>
          </w:tcPr>
          <w:p w14:paraId="0C12148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4 058,8 </w:t>
            </w:r>
          </w:p>
        </w:tc>
      </w:tr>
      <w:tr w:rsidR="00D470B6" w:rsidRPr="00A53AD7" w14:paraId="10C70B6E" w14:textId="77777777" w:rsidTr="001D2B6D">
        <w:trPr>
          <w:trHeight w:hRule="exact" w:val="255"/>
          <w:jc w:val="center"/>
        </w:trPr>
        <w:tc>
          <w:tcPr>
            <w:tcW w:w="2529" w:type="dxa"/>
            <w:tcBorders>
              <w:top w:val="nil"/>
              <w:left w:val="double" w:sz="6" w:space="0" w:color="auto"/>
              <w:bottom w:val="single" w:sz="4" w:space="0" w:color="auto"/>
              <w:right w:val="single" w:sz="4" w:space="0" w:color="auto"/>
            </w:tcBorders>
            <w:shd w:val="clear" w:color="auto" w:fill="auto"/>
            <w:vAlign w:val="center"/>
            <w:hideMark/>
          </w:tcPr>
          <w:p w14:paraId="467E76D9"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w:t>
            </w:r>
          </w:p>
        </w:tc>
        <w:tc>
          <w:tcPr>
            <w:tcW w:w="1390" w:type="dxa"/>
            <w:tcBorders>
              <w:top w:val="nil"/>
              <w:left w:val="nil"/>
              <w:bottom w:val="single" w:sz="4" w:space="0" w:color="auto"/>
              <w:right w:val="single" w:sz="4" w:space="0" w:color="auto"/>
            </w:tcBorders>
            <w:shd w:val="clear" w:color="auto" w:fill="auto"/>
            <w:vAlign w:val="center"/>
            <w:hideMark/>
          </w:tcPr>
          <w:p w14:paraId="7CA2354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73 830,3 </w:t>
            </w:r>
          </w:p>
        </w:tc>
        <w:tc>
          <w:tcPr>
            <w:tcW w:w="1314" w:type="dxa"/>
            <w:tcBorders>
              <w:top w:val="nil"/>
              <w:left w:val="nil"/>
              <w:bottom w:val="single" w:sz="4" w:space="0" w:color="auto"/>
              <w:right w:val="single" w:sz="4" w:space="0" w:color="auto"/>
            </w:tcBorders>
            <w:shd w:val="clear" w:color="auto" w:fill="auto"/>
            <w:noWrap/>
            <w:vAlign w:val="center"/>
            <w:hideMark/>
          </w:tcPr>
          <w:p w14:paraId="75E1D0F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147 500,3 </w:t>
            </w:r>
          </w:p>
        </w:tc>
        <w:tc>
          <w:tcPr>
            <w:tcW w:w="1540" w:type="dxa"/>
            <w:tcBorders>
              <w:top w:val="nil"/>
              <w:left w:val="nil"/>
              <w:bottom w:val="single" w:sz="4" w:space="0" w:color="auto"/>
              <w:right w:val="single" w:sz="4" w:space="0" w:color="auto"/>
            </w:tcBorders>
            <w:shd w:val="clear" w:color="auto" w:fill="auto"/>
            <w:vAlign w:val="center"/>
            <w:hideMark/>
          </w:tcPr>
          <w:p w14:paraId="731A38D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2 358,3 </w:t>
            </w:r>
          </w:p>
        </w:tc>
        <w:tc>
          <w:tcPr>
            <w:tcW w:w="1077" w:type="dxa"/>
            <w:tcBorders>
              <w:top w:val="nil"/>
              <w:left w:val="nil"/>
              <w:bottom w:val="single" w:sz="4" w:space="0" w:color="auto"/>
              <w:right w:val="double" w:sz="6" w:space="0" w:color="auto"/>
            </w:tcBorders>
            <w:shd w:val="clear" w:color="auto" w:fill="auto"/>
            <w:vAlign w:val="center"/>
            <w:hideMark/>
          </w:tcPr>
          <w:p w14:paraId="5002A6D5"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223 688,9 </w:t>
            </w:r>
          </w:p>
        </w:tc>
      </w:tr>
      <w:tr w:rsidR="00D470B6" w:rsidRPr="00A53AD7" w14:paraId="2A8B58CD" w14:textId="77777777" w:rsidTr="001D2B6D">
        <w:trPr>
          <w:trHeight w:hRule="exact" w:val="255"/>
          <w:jc w:val="center"/>
        </w:trPr>
        <w:tc>
          <w:tcPr>
            <w:tcW w:w="2529" w:type="dxa"/>
            <w:tcBorders>
              <w:top w:val="nil"/>
              <w:left w:val="double" w:sz="6" w:space="0" w:color="auto"/>
              <w:bottom w:val="single" w:sz="4" w:space="0" w:color="auto"/>
              <w:right w:val="single" w:sz="4" w:space="0" w:color="auto"/>
            </w:tcBorders>
            <w:shd w:val="clear" w:color="auto" w:fill="auto"/>
            <w:vAlign w:val="center"/>
            <w:hideMark/>
          </w:tcPr>
          <w:p w14:paraId="3F0E2A77"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Расходы</w:t>
            </w:r>
          </w:p>
        </w:tc>
        <w:tc>
          <w:tcPr>
            <w:tcW w:w="1390" w:type="dxa"/>
            <w:tcBorders>
              <w:top w:val="nil"/>
              <w:left w:val="nil"/>
              <w:bottom w:val="single" w:sz="4" w:space="0" w:color="auto"/>
              <w:right w:val="single" w:sz="4" w:space="0" w:color="auto"/>
            </w:tcBorders>
            <w:shd w:val="clear" w:color="auto" w:fill="auto"/>
            <w:vAlign w:val="center"/>
            <w:hideMark/>
          </w:tcPr>
          <w:p w14:paraId="1D7FF73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73 465,5 </w:t>
            </w:r>
          </w:p>
        </w:tc>
        <w:tc>
          <w:tcPr>
            <w:tcW w:w="1314" w:type="dxa"/>
            <w:tcBorders>
              <w:top w:val="nil"/>
              <w:left w:val="nil"/>
              <w:bottom w:val="single" w:sz="4" w:space="0" w:color="auto"/>
              <w:right w:val="single" w:sz="4" w:space="0" w:color="auto"/>
            </w:tcBorders>
            <w:shd w:val="clear" w:color="auto" w:fill="auto"/>
            <w:vAlign w:val="center"/>
            <w:hideMark/>
          </w:tcPr>
          <w:p w14:paraId="513BC69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22 028,9 </w:t>
            </w:r>
          </w:p>
        </w:tc>
        <w:tc>
          <w:tcPr>
            <w:tcW w:w="1540" w:type="dxa"/>
            <w:tcBorders>
              <w:top w:val="nil"/>
              <w:left w:val="nil"/>
              <w:bottom w:val="single" w:sz="4" w:space="0" w:color="auto"/>
              <w:right w:val="single" w:sz="4" w:space="0" w:color="auto"/>
            </w:tcBorders>
            <w:shd w:val="clear" w:color="auto" w:fill="auto"/>
            <w:vAlign w:val="center"/>
            <w:hideMark/>
          </w:tcPr>
          <w:p w14:paraId="7D3F090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2 563,5 </w:t>
            </w:r>
          </w:p>
        </w:tc>
        <w:tc>
          <w:tcPr>
            <w:tcW w:w="1077" w:type="dxa"/>
            <w:tcBorders>
              <w:top w:val="nil"/>
              <w:left w:val="nil"/>
              <w:bottom w:val="single" w:sz="4" w:space="0" w:color="auto"/>
              <w:right w:val="double" w:sz="6" w:space="0" w:color="auto"/>
            </w:tcBorders>
            <w:shd w:val="clear" w:color="auto" w:fill="auto"/>
            <w:vAlign w:val="center"/>
            <w:hideMark/>
          </w:tcPr>
          <w:p w14:paraId="764AB193"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98 057,9 </w:t>
            </w:r>
          </w:p>
        </w:tc>
      </w:tr>
      <w:tr w:rsidR="001D2B6D" w:rsidRPr="00A53AD7" w14:paraId="35A386F0" w14:textId="77777777" w:rsidTr="001D2B6D">
        <w:trPr>
          <w:trHeight w:hRule="exact" w:val="255"/>
          <w:jc w:val="center"/>
        </w:trPr>
        <w:tc>
          <w:tcPr>
            <w:tcW w:w="2529" w:type="dxa"/>
            <w:tcBorders>
              <w:top w:val="nil"/>
              <w:left w:val="double" w:sz="6" w:space="0" w:color="auto"/>
              <w:bottom w:val="double" w:sz="6" w:space="0" w:color="auto"/>
              <w:right w:val="single" w:sz="4" w:space="0" w:color="auto"/>
            </w:tcBorders>
            <w:shd w:val="clear" w:color="auto" w:fill="auto"/>
            <w:vAlign w:val="center"/>
            <w:hideMark/>
          </w:tcPr>
          <w:p w14:paraId="3EDA88D0"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Остаток на 01.01.2020</w:t>
            </w:r>
          </w:p>
        </w:tc>
        <w:tc>
          <w:tcPr>
            <w:tcW w:w="1390" w:type="dxa"/>
            <w:tcBorders>
              <w:top w:val="nil"/>
              <w:left w:val="nil"/>
              <w:bottom w:val="double" w:sz="6" w:space="0" w:color="auto"/>
              <w:right w:val="single" w:sz="4" w:space="0" w:color="auto"/>
            </w:tcBorders>
            <w:shd w:val="clear" w:color="auto" w:fill="auto"/>
            <w:vAlign w:val="center"/>
            <w:hideMark/>
          </w:tcPr>
          <w:p w14:paraId="60BF735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364,8 </w:t>
            </w:r>
          </w:p>
        </w:tc>
        <w:tc>
          <w:tcPr>
            <w:tcW w:w="1314" w:type="dxa"/>
            <w:tcBorders>
              <w:top w:val="nil"/>
              <w:left w:val="nil"/>
              <w:bottom w:val="double" w:sz="6" w:space="0" w:color="auto"/>
              <w:right w:val="single" w:sz="4" w:space="0" w:color="auto"/>
            </w:tcBorders>
            <w:shd w:val="clear" w:color="auto" w:fill="auto"/>
            <w:vAlign w:val="center"/>
            <w:hideMark/>
          </w:tcPr>
          <w:p w14:paraId="2BB7EFE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129 271,8 </w:t>
            </w:r>
          </w:p>
        </w:tc>
        <w:tc>
          <w:tcPr>
            <w:tcW w:w="1540" w:type="dxa"/>
            <w:tcBorders>
              <w:top w:val="nil"/>
              <w:left w:val="nil"/>
              <w:bottom w:val="double" w:sz="6" w:space="0" w:color="auto"/>
              <w:right w:val="single" w:sz="4" w:space="0" w:color="auto"/>
            </w:tcBorders>
            <w:shd w:val="clear" w:color="auto" w:fill="auto"/>
            <w:vAlign w:val="center"/>
            <w:hideMark/>
          </w:tcPr>
          <w:p w14:paraId="4A7A2B1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53,2 </w:t>
            </w:r>
          </w:p>
        </w:tc>
        <w:tc>
          <w:tcPr>
            <w:tcW w:w="1077" w:type="dxa"/>
            <w:tcBorders>
              <w:top w:val="nil"/>
              <w:left w:val="nil"/>
              <w:bottom w:val="double" w:sz="6" w:space="0" w:color="auto"/>
              <w:right w:val="double" w:sz="6" w:space="0" w:color="auto"/>
            </w:tcBorders>
            <w:shd w:val="clear" w:color="auto" w:fill="auto"/>
            <w:vAlign w:val="center"/>
            <w:hideMark/>
          </w:tcPr>
          <w:p w14:paraId="4BD496A1"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129 689,8 689,8 </w:t>
            </w:r>
          </w:p>
        </w:tc>
      </w:tr>
    </w:tbl>
    <w:p w14:paraId="5D7C86F8"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0D52B382"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полученное финансирование на реализацию госпрограммы № 465-пп из областного бюджета за 2019 год составило в общей сумме 221,3 млн.руб., а расходы за счет указанных средств – 95,5 млн.руб., что привело к росту неиспользованного остатка на 01.01.2020 в 34,1 раза (+125,8 млн.руб.), который составил 129,6 млн.руб., в т.ч. целевые средства, в виде субсидий на иные цели – 129,3 млн.руб.;</w:t>
      </w:r>
    </w:p>
    <w:p w14:paraId="38BD4CC8"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3) Финансовое обеспечение деятельности ГКУ АО «Отряд государственной противопожарной службы...» составило 891,0 млн.руб. или 100,0 %, которые осуществлены 16-ю отрядами государственной противопожарной службы Архангельской области, подведомственных агентству ГПС и ГЗ Архангельской области;</w:t>
      </w:r>
    </w:p>
    <w:p w14:paraId="5137643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4) На приобретение средств индивидуальной защиты направлено 7,7 млн.руб. Согласно текстовой части отчета № 81-рп от 10.03.2020 в 2019 году закуплено 4 234 единиц средств индивидуальной защиты для неработающего населения, работников исполнительных органов государственной власти Архангельской области, работников органов местного самоуправления муниципальных образований Архангельской области и организаций, находящихся в их ведении.</w:t>
      </w:r>
    </w:p>
    <w:p w14:paraId="550D018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Одновременно с этим, в приложении № 1 к отчету № 81-рп от 10.03.2019, где отражены сведения о достижении целевых показателей данной госпрограммы за 2019 год количество приобретенных для неработающего населения Архангельской области, работников исполнительных органов государственной власти Архангельской области, работников органов местного самоуправления муниципальных образований Архангельской области и организаций, находящихся в их ведении, соответственно средств индивидуальной защиты составило 1 728 ед. или в 2,5 раза меньше, чем отражено в текстовой части.</w:t>
      </w:r>
    </w:p>
    <w:p w14:paraId="6F00669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имеют место противоречия между показателями текстовой части (4234 ед.) и приложения № 1, которым утверждены сведения о достижении целевых показателей (1728 ед.), отчета о реализации госпрограммы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за 2019 год, утвержденного распоряжением Правительства Архангельской области от 10.03.2020 № 81-рп, по приобретению средств индивидуальной защиты;</w:t>
      </w:r>
    </w:p>
    <w:p w14:paraId="7D6BB04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5) На повышение уровня готовности сил и средств по своевременному оказанию помощи при происшествиях на воде и островных территориях составили 16,3 млн.руб. или 100,0 %;</w:t>
      </w:r>
    </w:p>
    <w:p w14:paraId="27575BE8"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6) На мероприятия по предупреждению и ликвидации чрезвычайных ситуаций (п. 2.5. перечня подпрограммы № 2) расходы составили 12,8 млн.руб. или 88,4 % к плану года, в т.ч. 0,156 млн.руб. перечислено МО «Новая Земля»;</w:t>
      </w:r>
    </w:p>
    <w:p w14:paraId="5D6D965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7) Создание, хранение и восполнение резерва нефтепродуктов и материальных ресурсов для ликвидации чрезвычайных ситуаций – не осуществлены. Утверждено на 2019 год – 2,4 млн.руб.;</w:t>
      </w:r>
    </w:p>
    <w:p w14:paraId="502D773F"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8) Расходы из областного бюджета на финансовое обеспечение деятельности ГБУ АО «Служба спасения имени И.А. Поливаного» составили 140,7 млн.руб. или 100,0 %, из них:</w:t>
      </w:r>
    </w:p>
    <w:p w14:paraId="7B449E73"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субсидии на выполнение государственного задания – 119,3 млн.руб.;</w:t>
      </w:r>
    </w:p>
    <w:p w14:paraId="127F9791"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субсидии на иные цели – 21,5 млн.руб.</w:t>
      </w:r>
    </w:p>
    <w:p w14:paraId="43E65DD5" w14:textId="5850BFA9"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Основные показатели финансово-хозяйственной деятельности указанного учреждения, без учета средств, выделенных из резервного фонда Правительства Архангельской области и направленных на реализацию госпрограммы № 465-пп за 2019 год представлены в таблице </w:t>
      </w:r>
      <w:r w:rsidR="006B1B2F" w:rsidRPr="00A53AD7">
        <w:rPr>
          <w:rFonts w:ascii="Times New Roman" w:hAnsi="Times New Roman"/>
          <w:sz w:val="28"/>
          <w:szCs w:val="28"/>
        </w:rPr>
        <w:t>47</w:t>
      </w:r>
      <w:r w:rsidRPr="00A53AD7">
        <w:rPr>
          <w:rFonts w:ascii="Times New Roman" w:hAnsi="Times New Roman"/>
          <w:sz w:val="28"/>
          <w:szCs w:val="28"/>
        </w:rPr>
        <w:t>.</w:t>
      </w:r>
    </w:p>
    <w:p w14:paraId="77AA8B25" w14:textId="77777777" w:rsidR="001D2B6D" w:rsidRPr="00A53AD7" w:rsidRDefault="001D2B6D" w:rsidP="001D2B6D">
      <w:pPr>
        <w:pStyle w:val="aff0"/>
        <w:spacing w:after="0" w:line="240" w:lineRule="auto"/>
        <w:rPr>
          <w:rFonts w:ascii="Times New Roman" w:hAnsi="Times New Roman"/>
          <w:b w:val="0"/>
          <w:sz w:val="24"/>
          <w:szCs w:val="24"/>
        </w:rPr>
      </w:pPr>
    </w:p>
    <w:p w14:paraId="64A8F151"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47</w:t>
      </w:r>
      <w:r w:rsidRPr="00A53AD7">
        <w:rPr>
          <w:rFonts w:ascii="Times New Roman" w:hAnsi="Times New Roman"/>
          <w:b w:val="0"/>
          <w:sz w:val="24"/>
          <w:szCs w:val="24"/>
        </w:rPr>
        <w:fldChar w:fldCharType="end"/>
      </w:r>
      <w:r w:rsidRPr="00A53AD7">
        <w:rPr>
          <w:rFonts w:ascii="Times New Roman" w:hAnsi="Times New Roman"/>
          <w:b w:val="0"/>
          <w:sz w:val="24"/>
          <w:szCs w:val="24"/>
        </w:rPr>
        <w:t>. Показатели выполнения плана финансово-хозяйственной деятельности ГБУ «Служба спасения имени И.А. Поливаного» за 2019 год, без учета средств, выделенных из резервного фонда Правительства Архангельской области, согласно отчетам по ф. 0503779 и 0503737, тыс.руб.</w:t>
      </w:r>
    </w:p>
    <w:tbl>
      <w:tblPr>
        <w:tblW w:w="8112" w:type="dxa"/>
        <w:jc w:val="center"/>
        <w:tblLook w:val="04A0" w:firstRow="1" w:lastRow="0" w:firstColumn="1" w:lastColumn="0" w:noHBand="0" w:noVBand="1"/>
      </w:tblPr>
      <w:tblGrid>
        <w:gridCol w:w="2671"/>
        <w:gridCol w:w="1426"/>
        <w:gridCol w:w="1314"/>
        <w:gridCol w:w="1540"/>
        <w:gridCol w:w="1161"/>
      </w:tblGrid>
      <w:tr w:rsidR="00D470B6" w:rsidRPr="00A53AD7" w14:paraId="23BA70CD" w14:textId="77777777" w:rsidTr="001D2B6D">
        <w:trPr>
          <w:trHeight w:val="25"/>
          <w:tblHeader/>
          <w:jc w:val="center"/>
        </w:trPr>
        <w:tc>
          <w:tcPr>
            <w:tcW w:w="267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03E9967"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426" w:type="dxa"/>
            <w:tcBorders>
              <w:top w:val="double" w:sz="6" w:space="0" w:color="auto"/>
              <w:left w:val="nil"/>
              <w:bottom w:val="single" w:sz="4" w:space="0" w:color="auto"/>
              <w:right w:val="single" w:sz="4" w:space="0" w:color="auto"/>
            </w:tcBorders>
            <w:shd w:val="clear" w:color="auto" w:fill="auto"/>
            <w:vAlign w:val="center"/>
            <w:hideMark/>
          </w:tcPr>
          <w:p w14:paraId="3C8FCA4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Гос. задание</w:t>
            </w:r>
          </w:p>
        </w:tc>
        <w:tc>
          <w:tcPr>
            <w:tcW w:w="1314" w:type="dxa"/>
            <w:tcBorders>
              <w:top w:val="double" w:sz="6" w:space="0" w:color="auto"/>
              <w:left w:val="nil"/>
              <w:bottom w:val="single" w:sz="4" w:space="0" w:color="auto"/>
              <w:right w:val="single" w:sz="4" w:space="0" w:color="auto"/>
            </w:tcBorders>
            <w:shd w:val="clear" w:color="auto" w:fill="auto"/>
            <w:vAlign w:val="center"/>
            <w:hideMark/>
          </w:tcPr>
          <w:p w14:paraId="734EDE2D"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Иные цели</w:t>
            </w:r>
          </w:p>
        </w:tc>
        <w:tc>
          <w:tcPr>
            <w:tcW w:w="1540" w:type="dxa"/>
            <w:tcBorders>
              <w:top w:val="double" w:sz="6" w:space="0" w:color="auto"/>
              <w:left w:val="nil"/>
              <w:bottom w:val="single" w:sz="4" w:space="0" w:color="auto"/>
              <w:right w:val="single" w:sz="4" w:space="0" w:color="auto"/>
            </w:tcBorders>
            <w:shd w:val="clear" w:color="auto" w:fill="auto"/>
            <w:vAlign w:val="center"/>
            <w:hideMark/>
          </w:tcPr>
          <w:p w14:paraId="33AE57E3"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Собственные</w:t>
            </w:r>
          </w:p>
        </w:tc>
        <w:tc>
          <w:tcPr>
            <w:tcW w:w="1161" w:type="dxa"/>
            <w:tcBorders>
              <w:top w:val="double" w:sz="6" w:space="0" w:color="auto"/>
              <w:left w:val="nil"/>
              <w:bottom w:val="single" w:sz="4" w:space="0" w:color="auto"/>
              <w:right w:val="double" w:sz="6" w:space="0" w:color="auto"/>
            </w:tcBorders>
            <w:shd w:val="clear" w:color="auto" w:fill="auto"/>
            <w:vAlign w:val="center"/>
            <w:hideMark/>
          </w:tcPr>
          <w:p w14:paraId="426E7CE7"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r>
      <w:tr w:rsidR="00D470B6" w:rsidRPr="00A53AD7" w14:paraId="1C5F9F1E" w14:textId="77777777" w:rsidTr="001D2B6D">
        <w:trPr>
          <w:trHeight w:val="60"/>
          <w:jc w:val="center"/>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42863BDE"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Остаток на 01.01.2019</w:t>
            </w:r>
          </w:p>
        </w:tc>
        <w:tc>
          <w:tcPr>
            <w:tcW w:w="1426" w:type="dxa"/>
            <w:tcBorders>
              <w:top w:val="nil"/>
              <w:left w:val="nil"/>
              <w:bottom w:val="single" w:sz="4" w:space="0" w:color="auto"/>
              <w:right w:val="single" w:sz="4" w:space="0" w:color="auto"/>
            </w:tcBorders>
            <w:shd w:val="clear" w:color="auto" w:fill="auto"/>
            <w:vAlign w:val="center"/>
            <w:hideMark/>
          </w:tcPr>
          <w:p w14:paraId="32B393D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1 031,4 </w:t>
            </w:r>
          </w:p>
        </w:tc>
        <w:tc>
          <w:tcPr>
            <w:tcW w:w="1314" w:type="dxa"/>
            <w:tcBorders>
              <w:top w:val="nil"/>
              <w:left w:val="nil"/>
              <w:bottom w:val="single" w:sz="4" w:space="0" w:color="auto"/>
              <w:right w:val="single" w:sz="4" w:space="0" w:color="auto"/>
            </w:tcBorders>
            <w:shd w:val="clear" w:color="auto" w:fill="auto"/>
            <w:vAlign w:val="center"/>
            <w:hideMark/>
          </w:tcPr>
          <w:p w14:paraId="2E3C1B1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1 628,8 </w:t>
            </w:r>
          </w:p>
        </w:tc>
        <w:tc>
          <w:tcPr>
            <w:tcW w:w="1540" w:type="dxa"/>
            <w:tcBorders>
              <w:top w:val="nil"/>
              <w:left w:val="nil"/>
              <w:bottom w:val="single" w:sz="4" w:space="0" w:color="auto"/>
              <w:right w:val="single" w:sz="4" w:space="0" w:color="auto"/>
            </w:tcBorders>
            <w:shd w:val="clear" w:color="auto" w:fill="auto"/>
            <w:vAlign w:val="center"/>
            <w:hideMark/>
          </w:tcPr>
          <w:p w14:paraId="52E815B9"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759,4 </w:t>
            </w:r>
          </w:p>
        </w:tc>
        <w:tc>
          <w:tcPr>
            <w:tcW w:w="1161" w:type="dxa"/>
            <w:tcBorders>
              <w:top w:val="nil"/>
              <w:left w:val="nil"/>
              <w:bottom w:val="single" w:sz="4" w:space="0" w:color="auto"/>
              <w:right w:val="double" w:sz="6" w:space="0" w:color="auto"/>
            </w:tcBorders>
            <w:shd w:val="clear" w:color="auto" w:fill="auto"/>
            <w:vAlign w:val="center"/>
            <w:hideMark/>
          </w:tcPr>
          <w:p w14:paraId="2C96484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3 419,7 </w:t>
            </w:r>
          </w:p>
        </w:tc>
      </w:tr>
      <w:tr w:rsidR="00D470B6" w:rsidRPr="00A53AD7" w14:paraId="6720F184" w14:textId="77777777" w:rsidTr="001D2B6D">
        <w:trPr>
          <w:trHeight w:val="60"/>
          <w:jc w:val="center"/>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1B67F4C7"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Доходы</w:t>
            </w:r>
          </w:p>
        </w:tc>
        <w:tc>
          <w:tcPr>
            <w:tcW w:w="1426" w:type="dxa"/>
            <w:tcBorders>
              <w:top w:val="nil"/>
              <w:left w:val="nil"/>
              <w:bottom w:val="single" w:sz="4" w:space="0" w:color="auto"/>
              <w:right w:val="single" w:sz="4" w:space="0" w:color="auto"/>
            </w:tcBorders>
            <w:shd w:val="clear" w:color="auto" w:fill="auto"/>
            <w:vAlign w:val="center"/>
            <w:hideMark/>
          </w:tcPr>
          <w:p w14:paraId="7E263694"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119 250,1 </w:t>
            </w:r>
          </w:p>
        </w:tc>
        <w:tc>
          <w:tcPr>
            <w:tcW w:w="1314" w:type="dxa"/>
            <w:tcBorders>
              <w:top w:val="nil"/>
              <w:left w:val="nil"/>
              <w:bottom w:val="single" w:sz="4" w:space="0" w:color="auto"/>
              <w:right w:val="single" w:sz="4" w:space="0" w:color="auto"/>
            </w:tcBorders>
            <w:shd w:val="clear" w:color="auto" w:fill="auto"/>
            <w:noWrap/>
            <w:vAlign w:val="center"/>
            <w:hideMark/>
          </w:tcPr>
          <w:p w14:paraId="1B08C620"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21 463,4 </w:t>
            </w:r>
          </w:p>
        </w:tc>
        <w:tc>
          <w:tcPr>
            <w:tcW w:w="1540" w:type="dxa"/>
            <w:tcBorders>
              <w:top w:val="nil"/>
              <w:left w:val="nil"/>
              <w:bottom w:val="single" w:sz="4" w:space="0" w:color="auto"/>
              <w:right w:val="single" w:sz="4" w:space="0" w:color="auto"/>
            </w:tcBorders>
            <w:shd w:val="clear" w:color="auto" w:fill="auto"/>
            <w:vAlign w:val="center"/>
            <w:hideMark/>
          </w:tcPr>
          <w:p w14:paraId="3AA584EE"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7 337,0 </w:t>
            </w:r>
          </w:p>
        </w:tc>
        <w:tc>
          <w:tcPr>
            <w:tcW w:w="1161" w:type="dxa"/>
            <w:tcBorders>
              <w:top w:val="nil"/>
              <w:left w:val="nil"/>
              <w:bottom w:val="single" w:sz="4" w:space="0" w:color="auto"/>
              <w:right w:val="double" w:sz="6" w:space="0" w:color="auto"/>
            </w:tcBorders>
            <w:shd w:val="clear" w:color="auto" w:fill="auto"/>
            <w:vAlign w:val="center"/>
            <w:hideMark/>
          </w:tcPr>
          <w:p w14:paraId="7AE966F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148 050,5 </w:t>
            </w:r>
          </w:p>
        </w:tc>
      </w:tr>
      <w:tr w:rsidR="00D470B6" w:rsidRPr="00A53AD7" w14:paraId="78D712AF" w14:textId="77777777" w:rsidTr="001D2B6D">
        <w:trPr>
          <w:trHeight w:val="60"/>
          <w:jc w:val="center"/>
        </w:trPr>
        <w:tc>
          <w:tcPr>
            <w:tcW w:w="2671" w:type="dxa"/>
            <w:tcBorders>
              <w:top w:val="nil"/>
              <w:left w:val="double" w:sz="6" w:space="0" w:color="auto"/>
              <w:bottom w:val="single" w:sz="4" w:space="0" w:color="auto"/>
              <w:right w:val="single" w:sz="4" w:space="0" w:color="auto"/>
            </w:tcBorders>
            <w:shd w:val="clear" w:color="auto" w:fill="auto"/>
            <w:vAlign w:val="center"/>
            <w:hideMark/>
          </w:tcPr>
          <w:p w14:paraId="75DE4DA9"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Расходы</w:t>
            </w:r>
          </w:p>
        </w:tc>
        <w:tc>
          <w:tcPr>
            <w:tcW w:w="1426" w:type="dxa"/>
            <w:tcBorders>
              <w:top w:val="nil"/>
              <w:left w:val="nil"/>
              <w:bottom w:val="single" w:sz="4" w:space="0" w:color="auto"/>
              <w:right w:val="single" w:sz="4" w:space="0" w:color="auto"/>
            </w:tcBorders>
            <w:shd w:val="clear" w:color="auto" w:fill="auto"/>
            <w:vAlign w:val="center"/>
            <w:hideMark/>
          </w:tcPr>
          <w:p w14:paraId="6C563E22"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117 487,4 </w:t>
            </w:r>
          </w:p>
        </w:tc>
        <w:tc>
          <w:tcPr>
            <w:tcW w:w="1314" w:type="dxa"/>
            <w:tcBorders>
              <w:top w:val="nil"/>
              <w:left w:val="nil"/>
              <w:bottom w:val="single" w:sz="4" w:space="0" w:color="auto"/>
              <w:right w:val="single" w:sz="4" w:space="0" w:color="auto"/>
            </w:tcBorders>
            <w:shd w:val="clear" w:color="auto" w:fill="auto"/>
            <w:vAlign w:val="center"/>
            <w:hideMark/>
          </w:tcPr>
          <w:p w14:paraId="439A945D"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17 348,9 </w:t>
            </w:r>
          </w:p>
        </w:tc>
        <w:tc>
          <w:tcPr>
            <w:tcW w:w="1540" w:type="dxa"/>
            <w:tcBorders>
              <w:top w:val="nil"/>
              <w:left w:val="nil"/>
              <w:bottom w:val="single" w:sz="4" w:space="0" w:color="auto"/>
              <w:right w:val="single" w:sz="4" w:space="0" w:color="auto"/>
            </w:tcBorders>
            <w:shd w:val="clear" w:color="auto" w:fill="auto"/>
            <w:vAlign w:val="center"/>
            <w:hideMark/>
          </w:tcPr>
          <w:p w14:paraId="1C3A90E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6 936,9 </w:t>
            </w:r>
          </w:p>
        </w:tc>
        <w:tc>
          <w:tcPr>
            <w:tcW w:w="1161" w:type="dxa"/>
            <w:tcBorders>
              <w:top w:val="nil"/>
              <w:left w:val="nil"/>
              <w:bottom w:val="single" w:sz="4" w:space="0" w:color="auto"/>
              <w:right w:val="double" w:sz="6" w:space="0" w:color="auto"/>
            </w:tcBorders>
            <w:shd w:val="clear" w:color="auto" w:fill="auto"/>
            <w:vAlign w:val="center"/>
            <w:hideMark/>
          </w:tcPr>
          <w:p w14:paraId="0DD67F1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141 773,2 </w:t>
            </w:r>
          </w:p>
        </w:tc>
      </w:tr>
      <w:tr w:rsidR="001D2B6D" w:rsidRPr="00A53AD7" w14:paraId="6640A55B" w14:textId="77777777" w:rsidTr="001D2B6D">
        <w:trPr>
          <w:trHeight w:val="60"/>
          <w:jc w:val="center"/>
        </w:trPr>
        <w:tc>
          <w:tcPr>
            <w:tcW w:w="2671" w:type="dxa"/>
            <w:tcBorders>
              <w:top w:val="nil"/>
              <w:left w:val="double" w:sz="6" w:space="0" w:color="auto"/>
              <w:bottom w:val="double" w:sz="6" w:space="0" w:color="auto"/>
              <w:right w:val="single" w:sz="4" w:space="0" w:color="auto"/>
            </w:tcBorders>
            <w:shd w:val="clear" w:color="auto" w:fill="auto"/>
            <w:vAlign w:val="center"/>
            <w:hideMark/>
          </w:tcPr>
          <w:p w14:paraId="6DF4C8A5"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Остаток на 01.01.2020</w:t>
            </w:r>
          </w:p>
        </w:tc>
        <w:tc>
          <w:tcPr>
            <w:tcW w:w="1426" w:type="dxa"/>
            <w:tcBorders>
              <w:top w:val="nil"/>
              <w:left w:val="nil"/>
              <w:bottom w:val="double" w:sz="6" w:space="0" w:color="auto"/>
              <w:right w:val="single" w:sz="4" w:space="0" w:color="auto"/>
            </w:tcBorders>
            <w:shd w:val="clear" w:color="auto" w:fill="auto"/>
            <w:vAlign w:val="center"/>
            <w:hideMark/>
          </w:tcPr>
          <w:p w14:paraId="62C2528F"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2 521,0 </w:t>
            </w:r>
          </w:p>
        </w:tc>
        <w:tc>
          <w:tcPr>
            <w:tcW w:w="1314" w:type="dxa"/>
            <w:tcBorders>
              <w:top w:val="nil"/>
              <w:left w:val="nil"/>
              <w:bottom w:val="double" w:sz="6" w:space="0" w:color="auto"/>
              <w:right w:val="single" w:sz="4" w:space="0" w:color="auto"/>
            </w:tcBorders>
            <w:shd w:val="clear" w:color="auto" w:fill="auto"/>
            <w:vAlign w:val="center"/>
            <w:hideMark/>
          </w:tcPr>
          <w:p w14:paraId="53E61216"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5 743,3 </w:t>
            </w:r>
          </w:p>
        </w:tc>
        <w:tc>
          <w:tcPr>
            <w:tcW w:w="1540" w:type="dxa"/>
            <w:tcBorders>
              <w:top w:val="nil"/>
              <w:left w:val="nil"/>
              <w:bottom w:val="double" w:sz="6" w:space="0" w:color="auto"/>
              <w:right w:val="single" w:sz="4" w:space="0" w:color="auto"/>
            </w:tcBorders>
            <w:shd w:val="clear" w:color="auto" w:fill="auto"/>
            <w:vAlign w:val="center"/>
            <w:hideMark/>
          </w:tcPr>
          <w:p w14:paraId="3C50C38A"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942,3 </w:t>
            </w:r>
          </w:p>
        </w:tc>
        <w:tc>
          <w:tcPr>
            <w:tcW w:w="1161" w:type="dxa"/>
            <w:tcBorders>
              <w:top w:val="nil"/>
              <w:left w:val="nil"/>
              <w:bottom w:val="double" w:sz="6" w:space="0" w:color="auto"/>
              <w:right w:val="double" w:sz="6" w:space="0" w:color="auto"/>
            </w:tcBorders>
            <w:shd w:val="clear" w:color="auto" w:fill="auto"/>
            <w:vAlign w:val="center"/>
            <w:hideMark/>
          </w:tcPr>
          <w:p w14:paraId="016A4E0B"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9 206,6 </w:t>
            </w:r>
          </w:p>
        </w:tc>
      </w:tr>
    </w:tbl>
    <w:p w14:paraId="5914781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014FDC1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полученное финансирование из областного бюджета учреждения составило в общей сумме 140,7 млн.руб., а расходы за счет указанных средств – 134,8 млн.руб.</w:t>
      </w:r>
    </w:p>
    <w:p w14:paraId="6FBBB1C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 81-рп от 10.03.2020 о выполнении госпрограммы № 465-пп, освоено средств по п. 2.7. подпрограммы № 2 «Финансовое обеспечение деятельности государственного бюджетного учреждения Архангельской области «Служба спасения имени И.А. Поливаного» составило 134,3 тыс.руб., что на 0,5 млн.руб. меньше, чем подтверждено учреждением в отчете по ф. 0503737.</w:t>
      </w:r>
    </w:p>
    <w:p w14:paraId="0EA0F5F2"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п. 30 Порядка № 299-пп, а также п. 8 Приложения № 8 к данному Порядку, в отчете о реализации государственной программы Архангельской области «Защита населения и территорий Архангельской области от чрезвычайных ситуаций, обеспечение пожарной безопасности и безопасности на водных объектах» за 2019 год, показатель по графе «Освоено» по п. 2.7. подпрограммы № 2 занижен на 0,5 млн.руб. или на 558,863 тыс.руб.;</w:t>
      </w:r>
    </w:p>
    <w:p w14:paraId="5007F64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9) Финансовое обеспечение деятельности ГКУ АО «Центр обеспечения мероприятий гражданской защиты» составило 79,8 млн.руб. или 98,5% к плану;</w:t>
      </w:r>
    </w:p>
    <w:p w14:paraId="5C80699F"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10) Обеспечение деятельности агентства государственной противопожарной службы и гражданской защиты Архангельской области составило 17,3 млн.руб. или 100,0 %;</w:t>
      </w:r>
    </w:p>
    <w:p w14:paraId="4560D27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11) Расходы по погашению кредиторской задолженности перед ПАО «Ростелеком» по созданию опытного участка АПК «Безопасный город» (п. 1.1. подпрограммы № 4 госпрограммы № 465-пп «Создание опытного участка АПК «Безопасный город» в городе Архангельске») составили 162,2 млн.руб. или 100,0 %.</w:t>
      </w:r>
    </w:p>
    <w:p w14:paraId="2E766FE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Фактически работы ПАО «Ростелеком» были осуществлены по созданию и внедрению АПК «Безопасный город» в пилотных зонах Архангельской области – МО «Город Архангельск», «Северодвинск», «Котлас» и «Приморский муниципальный район».</w:t>
      </w:r>
    </w:p>
    <w:p w14:paraId="10AEC60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связи с чем, необходимо привести в соответствие наименование мероприятия, утвержденное в п. 1.1. подпрограммы № 4 госпрограммы № 465-пп, о чем контрольно-счетная плата Архангельской области неоднократно указывала, как по результатам контрольного мероприятия в агентстве ГПС и ГЗ Архангельской области за 2018 год, а также в заключениях об исполнении областного бюджета за 2018 год, за I полугодие 2019 года и за 9 месяцев 2019 года.</w:t>
      </w:r>
    </w:p>
    <w:p w14:paraId="1BEF083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10) Расходы на обеспечение функционирования комплексной системы экстренного оповещения населения об угрозе возникновения или возникновении чрезвычайных ситуаций составили 12,7 млн.руб. или 100,0 %.</w:t>
      </w:r>
    </w:p>
    <w:p w14:paraId="3C1A85B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60877FC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утвержденному Правительством Архангельской области отчету за 2019 год № 81-рп от 10.03.2019 эффективность реализации указанной государственной программы является удовлетворительной, в т.ч.:</w:t>
      </w:r>
    </w:p>
    <w:p w14:paraId="493D38FA"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оценка реализации государственной программы по исполнителям – 90,3 балла (высокая);</w:t>
      </w:r>
    </w:p>
    <w:p w14:paraId="4CBFA031"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оценка качества планирования и управления реализацией государственной программы – 32 балла (низкое);</w:t>
      </w:r>
    </w:p>
    <w:p w14:paraId="6E715BAD"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интегральная оценка эффективности реализации государственной программы – 78,6 баллов (удовлетворительно).</w:t>
      </w:r>
    </w:p>
    <w:p w14:paraId="0DD700E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0C4B27F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Исходя из вышеизложенного, полагаем необходимым предложить Правительству Архангельской области скорректировать п. 1.1. подпрограммы № 4 госпрограммы № 465-пп, а также своевременно вносить изменения в объемы финансирования мероприятий указанной программы при внесении изменений в областной закон об областном бюджете, т.к. по результатам экспертизы отчета об исполнении областного бюджета за 9 месяцев 2019 года контрольно-счетная палата указывала на данное нарушение.</w:t>
      </w:r>
    </w:p>
    <w:p w14:paraId="3A49EEF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Также рекомендуем устранить арифметическую ошибку в утвержденной госпрограмме № 465-пп, в части расходов на 2019 год.</w:t>
      </w:r>
    </w:p>
    <w:p w14:paraId="4161AD0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того, необходимо обратить внимание ответственного исполнителя и соисполнителей государственной программы на требования, определенные Порядком разработки и реализации государственных программ Архангельской области, утвержденным Постановлением Правительства Архангельской области от 10.07.2012 № 299-пп, в т.ч. не завышать и не занижать суммы освоенных средств исполнителями программных мероприятий, отражаемые в отчетах о реализации государственной программы.</w:t>
      </w:r>
    </w:p>
    <w:p w14:paraId="7E1C6196" w14:textId="6912BD94" w:rsidR="001D2B6D" w:rsidRPr="00A53AD7" w:rsidRDefault="001D2B6D" w:rsidP="001D2B6D">
      <w:pPr>
        <w:pStyle w:val="3"/>
        <w:spacing w:line="240" w:lineRule="auto"/>
        <w:jc w:val="center"/>
        <w:rPr>
          <w:rFonts w:ascii="Times New Roman" w:hAnsi="Times New Roman"/>
          <w:b w:val="0"/>
          <w:sz w:val="28"/>
          <w:szCs w:val="28"/>
          <w:u w:val="single"/>
          <w:lang w:val="ru-RU"/>
        </w:rPr>
      </w:pPr>
      <w:bookmarkStart w:id="82" w:name="_Toc42006731"/>
      <w:r w:rsidRPr="00A53AD7">
        <w:rPr>
          <w:rFonts w:ascii="Times New Roman" w:hAnsi="Times New Roman"/>
          <w:b w:val="0"/>
          <w:sz w:val="28"/>
          <w:szCs w:val="28"/>
          <w:u w:val="single"/>
          <w:lang w:val="ru-RU"/>
        </w:rPr>
        <w:t>4.2.10. Государственная программа Архангельской области «Охрана окружающей среды, воспроизводство и использование природных ресурсов Архангельской области»</w:t>
      </w:r>
      <w:bookmarkEnd w:id="82"/>
    </w:p>
    <w:p w14:paraId="21D8B5C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Государственная программа Архангельской области «Охрана окружающей среды, воспроизводство и использование природных ресурсов Архангельской области» (далее – ГП «Охрана окружающей среды», госпрограмма, программа) утверждена постановлением Правительства Архангельской области от 11.10.2013 № 476-пп.</w:t>
      </w:r>
    </w:p>
    <w:p w14:paraId="1F025785"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Ответственным исполнителем ГП «Охрана окружающей среды» является министерство природных ресурсов и лесопромышленного комплекса Архангельской области (далее минлеспром АО), соисполнителем программы в 2019 году являлось министерство строительства и архитектуры Архангельской области (далее минстрой АО).</w:t>
      </w:r>
    </w:p>
    <w:p w14:paraId="37E45D2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Государственная программа включает в себя 3 подпрограммы:</w:t>
      </w:r>
    </w:p>
    <w:p w14:paraId="4C6B0CD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изменения в госпрограмму были внесены 9 раз.</w:t>
      </w:r>
    </w:p>
    <w:p w14:paraId="41D8389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финансирования на начало года составлял 2 918,0 млн.руб. за 9 месяцев возрос на 1 676,7 млн.руб. до 4 594,7 млн.руб. и за 4 квартал снизился до 3 733,23 млн.руб.</w:t>
      </w:r>
    </w:p>
    <w:p w14:paraId="1F000AAB" w14:textId="754DBBFA"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Изменение финансирования за текущий год всей госпрограммы и на 2019 год в разрезе источников и подпрограмм представлено в таблице </w:t>
      </w:r>
      <w:r w:rsidR="006B1B2F" w:rsidRPr="00A53AD7">
        <w:rPr>
          <w:rFonts w:ascii="Times New Roman" w:hAnsi="Times New Roman"/>
          <w:sz w:val="28"/>
          <w:szCs w:val="28"/>
        </w:rPr>
        <w:t>48</w:t>
      </w:r>
      <w:r w:rsidRPr="00A53AD7">
        <w:rPr>
          <w:rFonts w:ascii="Times New Roman" w:hAnsi="Times New Roman"/>
          <w:sz w:val="28"/>
          <w:szCs w:val="28"/>
        </w:rPr>
        <w:t>.</w:t>
      </w:r>
    </w:p>
    <w:p w14:paraId="5FA607BA" w14:textId="77777777" w:rsidR="001D2B6D" w:rsidRPr="00A53AD7" w:rsidRDefault="001D2B6D" w:rsidP="001D2B6D">
      <w:pPr>
        <w:autoSpaceDE w:val="0"/>
        <w:autoSpaceDN w:val="0"/>
        <w:adjustRightInd w:val="0"/>
        <w:spacing w:after="0" w:line="240" w:lineRule="auto"/>
        <w:jc w:val="both"/>
        <w:rPr>
          <w:rFonts w:ascii="Times New Roman" w:hAnsi="Times New Roman"/>
          <w:sz w:val="28"/>
          <w:szCs w:val="28"/>
        </w:rPr>
      </w:pPr>
    </w:p>
    <w:p w14:paraId="7F8360F4" w14:textId="77777777" w:rsidR="001D2B6D" w:rsidRPr="00A53AD7" w:rsidRDefault="001D2B6D" w:rsidP="001D2B6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48</w:t>
      </w:r>
      <w:r w:rsidRPr="00A53AD7">
        <w:rPr>
          <w:rFonts w:ascii="Times New Roman" w:hAnsi="Times New Roman"/>
          <w:b w:val="0"/>
          <w:sz w:val="24"/>
          <w:szCs w:val="24"/>
        </w:rPr>
        <w:fldChar w:fldCharType="end"/>
      </w:r>
      <w:r w:rsidRPr="00A53AD7">
        <w:rPr>
          <w:rFonts w:ascii="Times New Roman" w:hAnsi="Times New Roman"/>
          <w:b w:val="0"/>
          <w:sz w:val="24"/>
          <w:szCs w:val="24"/>
        </w:rPr>
        <w:t>. Изменение финансирования за текущий год всей госпрограммы и на 2019 год в разрезе источников и подпрограмм</w:t>
      </w:r>
    </w:p>
    <w:tbl>
      <w:tblPr>
        <w:tblW w:w="9409" w:type="dxa"/>
        <w:tblInd w:w="93" w:type="dxa"/>
        <w:tblLayout w:type="fixed"/>
        <w:tblLook w:val="04A0" w:firstRow="1" w:lastRow="0" w:firstColumn="1" w:lastColumn="0" w:noHBand="0" w:noVBand="1"/>
      </w:tblPr>
      <w:tblGrid>
        <w:gridCol w:w="2160"/>
        <w:gridCol w:w="1295"/>
        <w:gridCol w:w="993"/>
        <w:gridCol w:w="850"/>
        <w:gridCol w:w="1134"/>
        <w:gridCol w:w="992"/>
        <w:gridCol w:w="993"/>
        <w:gridCol w:w="992"/>
      </w:tblGrid>
      <w:tr w:rsidR="00D470B6" w:rsidRPr="00A53AD7" w14:paraId="704F38C4" w14:textId="77777777" w:rsidTr="00775FB8">
        <w:trPr>
          <w:trHeight w:val="202"/>
          <w:tblHeader/>
        </w:trPr>
        <w:tc>
          <w:tcPr>
            <w:tcW w:w="216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E2B708A" w14:textId="77777777" w:rsidR="001D2B6D" w:rsidRPr="00A53AD7" w:rsidRDefault="001D2B6D" w:rsidP="001D2B6D">
            <w:pPr>
              <w:spacing w:after="0" w:line="240" w:lineRule="auto"/>
              <w:ind w:left="142" w:right="141"/>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Программа, подпрограмма </w:t>
            </w:r>
          </w:p>
        </w:tc>
        <w:tc>
          <w:tcPr>
            <w:tcW w:w="1295"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38960BC" w14:textId="77777777" w:rsidR="001D2B6D" w:rsidRPr="00A53AD7" w:rsidRDefault="001D2B6D" w:rsidP="001D2B6D">
            <w:pPr>
              <w:spacing w:after="0" w:line="240" w:lineRule="auto"/>
              <w:ind w:left="142" w:right="141"/>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Источник финансирования</w:t>
            </w:r>
          </w:p>
        </w:tc>
        <w:tc>
          <w:tcPr>
            <w:tcW w:w="5954" w:type="dxa"/>
            <w:gridSpan w:val="6"/>
            <w:tcBorders>
              <w:top w:val="double" w:sz="4" w:space="0" w:color="auto"/>
              <w:left w:val="nil"/>
              <w:bottom w:val="single" w:sz="4" w:space="0" w:color="auto"/>
              <w:right w:val="double" w:sz="4" w:space="0" w:color="auto"/>
            </w:tcBorders>
            <w:shd w:val="clear" w:color="auto" w:fill="auto"/>
            <w:vAlign w:val="center"/>
            <w:hideMark/>
          </w:tcPr>
          <w:p w14:paraId="1850D6DA" w14:textId="77777777" w:rsidR="001D2B6D" w:rsidRPr="00A53AD7" w:rsidRDefault="001D2B6D" w:rsidP="001D2B6D">
            <w:pPr>
              <w:spacing w:after="0" w:line="240" w:lineRule="auto"/>
              <w:ind w:left="142" w:right="141"/>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Объем финансирования (млн. рублей)</w:t>
            </w:r>
          </w:p>
        </w:tc>
      </w:tr>
      <w:tr w:rsidR="00D470B6" w:rsidRPr="00A53AD7" w14:paraId="323AE656" w14:textId="77777777" w:rsidTr="00775FB8">
        <w:trPr>
          <w:trHeight w:val="480"/>
          <w:tblHeader/>
        </w:trPr>
        <w:tc>
          <w:tcPr>
            <w:tcW w:w="2160" w:type="dxa"/>
            <w:vMerge/>
            <w:tcBorders>
              <w:top w:val="single" w:sz="4" w:space="0" w:color="auto"/>
              <w:left w:val="double" w:sz="4" w:space="0" w:color="auto"/>
              <w:bottom w:val="single" w:sz="4" w:space="0" w:color="auto"/>
              <w:right w:val="single" w:sz="4" w:space="0" w:color="auto"/>
            </w:tcBorders>
            <w:vAlign w:val="center"/>
            <w:hideMark/>
          </w:tcPr>
          <w:p w14:paraId="2A41B3A9"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359628FF"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5CAF86DE" w14:textId="77777777" w:rsidR="001D2B6D" w:rsidRPr="00A53AD7" w:rsidRDefault="001D2B6D" w:rsidP="001D2B6D">
            <w:pPr>
              <w:spacing w:after="0" w:line="240" w:lineRule="auto"/>
              <w:ind w:left="142" w:right="141"/>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на 01.01.2019 </w:t>
            </w:r>
            <w:r w:rsidRPr="00A53AD7">
              <w:rPr>
                <w:rFonts w:ascii="Times New Roman" w:eastAsia="Times New Roman" w:hAnsi="Times New Roman"/>
                <w:sz w:val="16"/>
                <w:szCs w:val="16"/>
                <w:lang w:eastAsia="ru-RU"/>
              </w:rPr>
              <w:t>(ред. от 26.12.2018 N 627</w:t>
            </w:r>
            <w:r w:rsidRPr="00A53AD7">
              <w:rPr>
                <w:rFonts w:ascii="Times New Roman" w:eastAsia="Times New Roman" w:hAnsi="Times New Roman"/>
                <w:sz w:val="12"/>
                <w:szCs w:val="12"/>
                <w:lang w:eastAsia="ru-RU"/>
              </w:rPr>
              <w:t>-пп</w:t>
            </w:r>
            <w:r w:rsidRPr="00A53AD7">
              <w:rPr>
                <w:rFonts w:ascii="Times New Roman" w:eastAsia="Times New Roman" w:hAnsi="Times New Roman"/>
                <w:sz w:val="16"/>
                <w:szCs w:val="16"/>
                <w:lang w:eastAsia="ru-RU"/>
              </w:rPr>
              <w:t>)</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14:paraId="54D5D062" w14:textId="77777777" w:rsidR="001D2B6D" w:rsidRPr="00A53AD7" w:rsidRDefault="001D2B6D" w:rsidP="001D2B6D">
            <w:pPr>
              <w:spacing w:after="0" w:line="240" w:lineRule="auto"/>
              <w:ind w:left="142" w:right="141"/>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на 31.12.2019 </w:t>
            </w:r>
            <w:r w:rsidRPr="00A53AD7">
              <w:rPr>
                <w:rFonts w:ascii="Times New Roman" w:eastAsia="Times New Roman" w:hAnsi="Times New Roman"/>
                <w:sz w:val="16"/>
                <w:szCs w:val="16"/>
                <w:lang w:eastAsia="ru-RU"/>
              </w:rPr>
              <w:t>(ред. от 24.12.2019 N 723-</w:t>
            </w:r>
            <w:r w:rsidRPr="00A53AD7">
              <w:rPr>
                <w:rFonts w:ascii="Times New Roman" w:eastAsia="Times New Roman" w:hAnsi="Times New Roman"/>
                <w:sz w:val="12"/>
                <w:szCs w:val="12"/>
                <w:lang w:eastAsia="ru-RU"/>
              </w:rPr>
              <w:t>пп</w:t>
            </w:r>
            <w:r w:rsidRPr="00A53AD7">
              <w:rPr>
                <w:rFonts w:ascii="Times New Roman" w:eastAsia="Times New Roman" w:hAnsi="Times New Roman"/>
                <w:sz w:val="16"/>
                <w:szCs w:val="16"/>
                <w:lang w:eastAsia="ru-RU"/>
              </w:rPr>
              <w:t>)</w:t>
            </w:r>
          </w:p>
        </w:tc>
        <w:tc>
          <w:tcPr>
            <w:tcW w:w="1985" w:type="dxa"/>
            <w:gridSpan w:val="2"/>
            <w:tcBorders>
              <w:top w:val="single" w:sz="4" w:space="0" w:color="auto"/>
              <w:left w:val="nil"/>
              <w:bottom w:val="single" w:sz="4" w:space="0" w:color="auto"/>
              <w:right w:val="double" w:sz="4" w:space="0" w:color="auto"/>
            </w:tcBorders>
            <w:shd w:val="clear" w:color="auto" w:fill="auto"/>
            <w:vAlign w:val="center"/>
            <w:hideMark/>
          </w:tcPr>
          <w:p w14:paraId="29A8225C" w14:textId="77777777" w:rsidR="001D2B6D" w:rsidRPr="00A53AD7" w:rsidRDefault="001D2B6D" w:rsidP="001D2B6D">
            <w:pPr>
              <w:spacing w:after="0" w:line="240" w:lineRule="auto"/>
              <w:ind w:left="142" w:right="141"/>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Изменения за 2019 года</w:t>
            </w:r>
          </w:p>
        </w:tc>
      </w:tr>
      <w:tr w:rsidR="00D470B6" w:rsidRPr="00A53AD7" w14:paraId="1DB25CEB" w14:textId="77777777" w:rsidTr="00775FB8">
        <w:trPr>
          <w:trHeight w:val="288"/>
          <w:tblHeader/>
        </w:trPr>
        <w:tc>
          <w:tcPr>
            <w:tcW w:w="2160" w:type="dxa"/>
            <w:vMerge/>
            <w:tcBorders>
              <w:top w:val="single" w:sz="4" w:space="0" w:color="auto"/>
              <w:left w:val="double" w:sz="4" w:space="0" w:color="auto"/>
              <w:bottom w:val="single" w:sz="4" w:space="0" w:color="auto"/>
              <w:right w:val="single" w:sz="4" w:space="0" w:color="auto"/>
            </w:tcBorders>
            <w:vAlign w:val="center"/>
            <w:hideMark/>
          </w:tcPr>
          <w:p w14:paraId="18A32C97"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46F24AF0"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5831A7DC"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всего по ГП</w:t>
            </w:r>
          </w:p>
        </w:tc>
        <w:tc>
          <w:tcPr>
            <w:tcW w:w="850" w:type="dxa"/>
            <w:tcBorders>
              <w:top w:val="nil"/>
              <w:left w:val="nil"/>
              <w:bottom w:val="single" w:sz="4" w:space="0" w:color="auto"/>
              <w:right w:val="single" w:sz="4" w:space="0" w:color="auto"/>
            </w:tcBorders>
            <w:shd w:val="clear" w:color="auto" w:fill="auto"/>
            <w:vAlign w:val="center"/>
            <w:hideMark/>
          </w:tcPr>
          <w:p w14:paraId="0401987D"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c>
          <w:tcPr>
            <w:tcW w:w="1134" w:type="dxa"/>
            <w:tcBorders>
              <w:top w:val="nil"/>
              <w:left w:val="nil"/>
              <w:bottom w:val="single" w:sz="4" w:space="0" w:color="auto"/>
              <w:right w:val="single" w:sz="4" w:space="0" w:color="auto"/>
            </w:tcBorders>
            <w:shd w:val="clear" w:color="auto" w:fill="auto"/>
            <w:vAlign w:val="center"/>
            <w:hideMark/>
          </w:tcPr>
          <w:p w14:paraId="4C43A6A9"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всего по ГП</w:t>
            </w:r>
          </w:p>
        </w:tc>
        <w:tc>
          <w:tcPr>
            <w:tcW w:w="992" w:type="dxa"/>
            <w:tcBorders>
              <w:top w:val="nil"/>
              <w:left w:val="nil"/>
              <w:bottom w:val="single" w:sz="4" w:space="0" w:color="auto"/>
              <w:right w:val="single" w:sz="4" w:space="0" w:color="auto"/>
            </w:tcBorders>
            <w:shd w:val="clear" w:color="auto" w:fill="auto"/>
            <w:vAlign w:val="center"/>
            <w:hideMark/>
          </w:tcPr>
          <w:p w14:paraId="5A5D8486"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c>
          <w:tcPr>
            <w:tcW w:w="993" w:type="dxa"/>
            <w:tcBorders>
              <w:top w:val="nil"/>
              <w:left w:val="nil"/>
              <w:bottom w:val="single" w:sz="4" w:space="0" w:color="auto"/>
              <w:right w:val="single" w:sz="4" w:space="0" w:color="auto"/>
            </w:tcBorders>
            <w:shd w:val="clear" w:color="auto" w:fill="auto"/>
            <w:vAlign w:val="center"/>
            <w:hideMark/>
          </w:tcPr>
          <w:p w14:paraId="50B1EE6E"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всего по ГП</w:t>
            </w:r>
          </w:p>
        </w:tc>
        <w:tc>
          <w:tcPr>
            <w:tcW w:w="992" w:type="dxa"/>
            <w:tcBorders>
              <w:top w:val="nil"/>
              <w:left w:val="nil"/>
              <w:bottom w:val="single" w:sz="4" w:space="0" w:color="auto"/>
              <w:right w:val="double" w:sz="4" w:space="0" w:color="auto"/>
            </w:tcBorders>
            <w:shd w:val="clear" w:color="auto" w:fill="auto"/>
            <w:vAlign w:val="center"/>
            <w:hideMark/>
          </w:tcPr>
          <w:p w14:paraId="5514E56D" w14:textId="77777777" w:rsidR="001D2B6D" w:rsidRPr="00A53AD7" w:rsidRDefault="001D2B6D" w:rsidP="001D2B6D">
            <w:pPr>
              <w:spacing w:after="0" w:line="240" w:lineRule="auto"/>
              <w:ind w:left="142" w:right="141"/>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 год</w:t>
            </w:r>
          </w:p>
        </w:tc>
      </w:tr>
      <w:tr w:rsidR="00D470B6" w:rsidRPr="00A53AD7" w14:paraId="6AEF6104" w14:textId="77777777" w:rsidTr="001D2B6D">
        <w:trPr>
          <w:trHeight w:val="47"/>
        </w:trPr>
        <w:tc>
          <w:tcPr>
            <w:tcW w:w="2160" w:type="dxa"/>
            <w:vMerge w:val="restart"/>
            <w:tcBorders>
              <w:top w:val="nil"/>
              <w:left w:val="double" w:sz="4" w:space="0" w:color="auto"/>
              <w:bottom w:val="single" w:sz="4" w:space="0" w:color="auto"/>
              <w:right w:val="single" w:sz="4" w:space="0" w:color="auto"/>
            </w:tcBorders>
            <w:shd w:val="clear" w:color="auto" w:fill="auto"/>
            <w:vAlign w:val="center"/>
            <w:hideMark/>
          </w:tcPr>
          <w:p w14:paraId="5EA36070"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 1 "</w:t>
            </w:r>
            <w:r w:rsidRPr="00A53AD7">
              <w:rPr>
                <w:rFonts w:ascii="Times New Roman" w:eastAsia="Times New Roman" w:hAnsi="Times New Roman"/>
                <w:sz w:val="18"/>
                <w:szCs w:val="18"/>
                <w:lang w:eastAsia="ru-RU"/>
              </w:rPr>
              <w:t>Охрана окружающей среды и обеспечение экологической безопасности Архангельской области"</w:t>
            </w:r>
          </w:p>
        </w:tc>
        <w:tc>
          <w:tcPr>
            <w:tcW w:w="1295" w:type="dxa"/>
            <w:tcBorders>
              <w:top w:val="nil"/>
              <w:left w:val="nil"/>
              <w:bottom w:val="single" w:sz="4" w:space="0" w:color="auto"/>
              <w:right w:val="single" w:sz="4" w:space="0" w:color="auto"/>
            </w:tcBorders>
            <w:shd w:val="clear" w:color="auto" w:fill="auto"/>
            <w:vAlign w:val="center"/>
            <w:hideMark/>
          </w:tcPr>
          <w:p w14:paraId="3CB783F3"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всего</w:t>
            </w:r>
          </w:p>
        </w:tc>
        <w:tc>
          <w:tcPr>
            <w:tcW w:w="993" w:type="dxa"/>
            <w:tcBorders>
              <w:top w:val="nil"/>
              <w:left w:val="nil"/>
              <w:bottom w:val="single" w:sz="4" w:space="0" w:color="auto"/>
              <w:right w:val="single" w:sz="4" w:space="0" w:color="auto"/>
            </w:tcBorders>
            <w:shd w:val="clear" w:color="auto" w:fill="auto"/>
            <w:vAlign w:val="center"/>
            <w:hideMark/>
          </w:tcPr>
          <w:p w14:paraId="674DE441"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1 343,10</w:t>
            </w:r>
          </w:p>
        </w:tc>
        <w:tc>
          <w:tcPr>
            <w:tcW w:w="850" w:type="dxa"/>
            <w:tcBorders>
              <w:top w:val="nil"/>
              <w:left w:val="nil"/>
              <w:bottom w:val="single" w:sz="4" w:space="0" w:color="auto"/>
              <w:right w:val="single" w:sz="4" w:space="0" w:color="auto"/>
            </w:tcBorders>
            <w:shd w:val="clear" w:color="auto" w:fill="auto"/>
            <w:vAlign w:val="center"/>
            <w:hideMark/>
          </w:tcPr>
          <w:p w14:paraId="323A8FCB"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75,8</w:t>
            </w:r>
          </w:p>
        </w:tc>
        <w:tc>
          <w:tcPr>
            <w:tcW w:w="1134" w:type="dxa"/>
            <w:tcBorders>
              <w:top w:val="nil"/>
              <w:left w:val="nil"/>
              <w:bottom w:val="single" w:sz="4" w:space="0" w:color="auto"/>
              <w:right w:val="single" w:sz="4" w:space="0" w:color="auto"/>
            </w:tcBorders>
            <w:shd w:val="clear" w:color="auto" w:fill="auto"/>
            <w:vAlign w:val="center"/>
            <w:hideMark/>
          </w:tcPr>
          <w:p w14:paraId="0BAB3418"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2 106,47</w:t>
            </w:r>
          </w:p>
        </w:tc>
        <w:tc>
          <w:tcPr>
            <w:tcW w:w="992" w:type="dxa"/>
            <w:tcBorders>
              <w:top w:val="nil"/>
              <w:left w:val="nil"/>
              <w:bottom w:val="single" w:sz="4" w:space="0" w:color="auto"/>
              <w:right w:val="single" w:sz="4" w:space="0" w:color="auto"/>
            </w:tcBorders>
            <w:shd w:val="clear" w:color="auto" w:fill="auto"/>
            <w:vAlign w:val="center"/>
            <w:hideMark/>
          </w:tcPr>
          <w:p w14:paraId="41FA2BEC"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499,45</w:t>
            </w:r>
          </w:p>
        </w:tc>
        <w:tc>
          <w:tcPr>
            <w:tcW w:w="993" w:type="dxa"/>
            <w:tcBorders>
              <w:top w:val="nil"/>
              <w:left w:val="nil"/>
              <w:bottom w:val="single" w:sz="4" w:space="0" w:color="auto"/>
              <w:right w:val="single" w:sz="4" w:space="0" w:color="auto"/>
            </w:tcBorders>
            <w:shd w:val="clear" w:color="auto" w:fill="auto"/>
            <w:vAlign w:val="center"/>
            <w:hideMark/>
          </w:tcPr>
          <w:p w14:paraId="3573E735"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763,37</w:t>
            </w:r>
          </w:p>
        </w:tc>
        <w:tc>
          <w:tcPr>
            <w:tcW w:w="992" w:type="dxa"/>
            <w:tcBorders>
              <w:top w:val="nil"/>
              <w:left w:val="nil"/>
              <w:bottom w:val="single" w:sz="4" w:space="0" w:color="auto"/>
              <w:right w:val="double" w:sz="4" w:space="0" w:color="auto"/>
            </w:tcBorders>
            <w:shd w:val="clear" w:color="auto" w:fill="auto"/>
            <w:vAlign w:val="center"/>
            <w:hideMark/>
          </w:tcPr>
          <w:p w14:paraId="3A79BA5D"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423,65</w:t>
            </w:r>
          </w:p>
        </w:tc>
      </w:tr>
      <w:tr w:rsidR="00D470B6" w:rsidRPr="00A53AD7" w14:paraId="652CF450" w14:textId="77777777" w:rsidTr="001D2B6D">
        <w:trPr>
          <w:trHeight w:val="384"/>
        </w:trPr>
        <w:tc>
          <w:tcPr>
            <w:tcW w:w="2160" w:type="dxa"/>
            <w:vMerge/>
            <w:tcBorders>
              <w:top w:val="nil"/>
              <w:left w:val="double" w:sz="4" w:space="0" w:color="auto"/>
              <w:bottom w:val="single" w:sz="4" w:space="0" w:color="auto"/>
              <w:right w:val="single" w:sz="4" w:space="0" w:color="auto"/>
            </w:tcBorders>
            <w:vAlign w:val="center"/>
            <w:hideMark/>
          </w:tcPr>
          <w:p w14:paraId="7C69D17B"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029665C8"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федеральный бюджет</w:t>
            </w:r>
          </w:p>
        </w:tc>
        <w:tc>
          <w:tcPr>
            <w:tcW w:w="993" w:type="dxa"/>
            <w:tcBorders>
              <w:top w:val="nil"/>
              <w:left w:val="nil"/>
              <w:bottom w:val="single" w:sz="4" w:space="0" w:color="auto"/>
              <w:right w:val="single" w:sz="4" w:space="0" w:color="auto"/>
            </w:tcBorders>
            <w:shd w:val="clear" w:color="auto" w:fill="auto"/>
            <w:vAlign w:val="center"/>
            <w:hideMark/>
          </w:tcPr>
          <w:p w14:paraId="5ECB5424"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12,1</w:t>
            </w:r>
          </w:p>
        </w:tc>
        <w:tc>
          <w:tcPr>
            <w:tcW w:w="850" w:type="dxa"/>
            <w:tcBorders>
              <w:top w:val="nil"/>
              <w:left w:val="nil"/>
              <w:bottom w:val="single" w:sz="4" w:space="0" w:color="auto"/>
              <w:right w:val="single" w:sz="4" w:space="0" w:color="auto"/>
            </w:tcBorders>
            <w:shd w:val="clear" w:color="auto" w:fill="auto"/>
            <w:vAlign w:val="center"/>
            <w:hideMark/>
          </w:tcPr>
          <w:p w14:paraId="3967C28C"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5C9F3AB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12,07</w:t>
            </w:r>
          </w:p>
        </w:tc>
        <w:tc>
          <w:tcPr>
            <w:tcW w:w="992" w:type="dxa"/>
            <w:tcBorders>
              <w:top w:val="nil"/>
              <w:left w:val="nil"/>
              <w:bottom w:val="single" w:sz="4" w:space="0" w:color="auto"/>
              <w:right w:val="single" w:sz="4" w:space="0" w:color="auto"/>
            </w:tcBorders>
            <w:shd w:val="clear" w:color="auto" w:fill="auto"/>
            <w:vAlign w:val="center"/>
            <w:hideMark/>
          </w:tcPr>
          <w:p w14:paraId="639B7D3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3" w:type="dxa"/>
            <w:tcBorders>
              <w:top w:val="nil"/>
              <w:left w:val="nil"/>
              <w:bottom w:val="single" w:sz="4" w:space="0" w:color="auto"/>
              <w:right w:val="single" w:sz="4" w:space="0" w:color="auto"/>
            </w:tcBorders>
            <w:shd w:val="clear" w:color="auto" w:fill="auto"/>
            <w:vAlign w:val="center"/>
            <w:hideMark/>
          </w:tcPr>
          <w:p w14:paraId="5F200D9C"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-0,03</w:t>
            </w:r>
          </w:p>
        </w:tc>
        <w:tc>
          <w:tcPr>
            <w:tcW w:w="992" w:type="dxa"/>
            <w:tcBorders>
              <w:top w:val="nil"/>
              <w:left w:val="nil"/>
              <w:bottom w:val="single" w:sz="4" w:space="0" w:color="auto"/>
              <w:right w:val="double" w:sz="4" w:space="0" w:color="auto"/>
            </w:tcBorders>
            <w:shd w:val="clear" w:color="auto" w:fill="auto"/>
            <w:vAlign w:val="center"/>
            <w:hideMark/>
          </w:tcPr>
          <w:p w14:paraId="6BB6F6F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r>
      <w:tr w:rsidR="00D470B6" w:rsidRPr="00A53AD7" w14:paraId="79D482D9" w14:textId="77777777" w:rsidTr="001D2B6D">
        <w:trPr>
          <w:trHeight w:val="420"/>
        </w:trPr>
        <w:tc>
          <w:tcPr>
            <w:tcW w:w="2160" w:type="dxa"/>
            <w:vMerge/>
            <w:tcBorders>
              <w:top w:val="nil"/>
              <w:left w:val="double" w:sz="4" w:space="0" w:color="auto"/>
              <w:bottom w:val="single" w:sz="4" w:space="0" w:color="auto"/>
              <w:right w:val="single" w:sz="4" w:space="0" w:color="auto"/>
            </w:tcBorders>
            <w:vAlign w:val="center"/>
            <w:hideMark/>
          </w:tcPr>
          <w:p w14:paraId="08A57CB4"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4FADBE7C"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областной бюджет</w:t>
            </w:r>
          </w:p>
        </w:tc>
        <w:tc>
          <w:tcPr>
            <w:tcW w:w="993" w:type="dxa"/>
            <w:tcBorders>
              <w:top w:val="nil"/>
              <w:left w:val="nil"/>
              <w:bottom w:val="single" w:sz="4" w:space="0" w:color="auto"/>
              <w:right w:val="single" w:sz="4" w:space="0" w:color="auto"/>
            </w:tcBorders>
            <w:shd w:val="clear" w:color="auto" w:fill="auto"/>
            <w:vAlign w:val="center"/>
            <w:hideMark/>
          </w:tcPr>
          <w:p w14:paraId="5771849F"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746,4</w:t>
            </w:r>
          </w:p>
        </w:tc>
        <w:tc>
          <w:tcPr>
            <w:tcW w:w="850" w:type="dxa"/>
            <w:tcBorders>
              <w:top w:val="nil"/>
              <w:left w:val="nil"/>
              <w:bottom w:val="single" w:sz="4" w:space="0" w:color="auto"/>
              <w:right w:val="single" w:sz="4" w:space="0" w:color="auto"/>
            </w:tcBorders>
            <w:shd w:val="clear" w:color="auto" w:fill="auto"/>
            <w:vAlign w:val="center"/>
            <w:hideMark/>
          </w:tcPr>
          <w:p w14:paraId="38F99EF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75,3</w:t>
            </w:r>
          </w:p>
        </w:tc>
        <w:tc>
          <w:tcPr>
            <w:tcW w:w="1134" w:type="dxa"/>
            <w:tcBorders>
              <w:top w:val="nil"/>
              <w:left w:val="nil"/>
              <w:bottom w:val="single" w:sz="4" w:space="0" w:color="auto"/>
              <w:right w:val="single" w:sz="4" w:space="0" w:color="auto"/>
            </w:tcBorders>
            <w:shd w:val="clear" w:color="auto" w:fill="auto"/>
            <w:vAlign w:val="center"/>
            <w:hideMark/>
          </w:tcPr>
          <w:p w14:paraId="5B54C724"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1 253,37</w:t>
            </w:r>
          </w:p>
        </w:tc>
        <w:tc>
          <w:tcPr>
            <w:tcW w:w="992" w:type="dxa"/>
            <w:tcBorders>
              <w:top w:val="nil"/>
              <w:left w:val="nil"/>
              <w:bottom w:val="single" w:sz="4" w:space="0" w:color="auto"/>
              <w:right w:val="single" w:sz="4" w:space="0" w:color="auto"/>
            </w:tcBorders>
            <w:shd w:val="clear" w:color="auto" w:fill="auto"/>
            <w:vAlign w:val="center"/>
            <w:hideMark/>
          </w:tcPr>
          <w:p w14:paraId="5E68A69D"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257,78</w:t>
            </w:r>
          </w:p>
        </w:tc>
        <w:tc>
          <w:tcPr>
            <w:tcW w:w="993" w:type="dxa"/>
            <w:tcBorders>
              <w:top w:val="nil"/>
              <w:left w:val="nil"/>
              <w:bottom w:val="single" w:sz="4" w:space="0" w:color="auto"/>
              <w:right w:val="single" w:sz="4" w:space="0" w:color="auto"/>
            </w:tcBorders>
            <w:shd w:val="clear" w:color="auto" w:fill="auto"/>
            <w:vAlign w:val="center"/>
            <w:hideMark/>
          </w:tcPr>
          <w:p w14:paraId="6FCCBC82"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506,97</w:t>
            </w:r>
          </w:p>
        </w:tc>
        <w:tc>
          <w:tcPr>
            <w:tcW w:w="992" w:type="dxa"/>
            <w:tcBorders>
              <w:top w:val="nil"/>
              <w:left w:val="nil"/>
              <w:bottom w:val="single" w:sz="4" w:space="0" w:color="auto"/>
              <w:right w:val="double" w:sz="4" w:space="0" w:color="auto"/>
            </w:tcBorders>
            <w:shd w:val="clear" w:color="auto" w:fill="auto"/>
            <w:vAlign w:val="center"/>
            <w:hideMark/>
          </w:tcPr>
          <w:p w14:paraId="1C68C183"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182,48</w:t>
            </w:r>
          </w:p>
        </w:tc>
      </w:tr>
      <w:tr w:rsidR="00D470B6" w:rsidRPr="00A53AD7" w14:paraId="01816352" w14:textId="77777777" w:rsidTr="001D2B6D">
        <w:trPr>
          <w:trHeight w:val="432"/>
        </w:trPr>
        <w:tc>
          <w:tcPr>
            <w:tcW w:w="2160" w:type="dxa"/>
            <w:vMerge/>
            <w:tcBorders>
              <w:top w:val="nil"/>
              <w:left w:val="double" w:sz="4" w:space="0" w:color="auto"/>
              <w:bottom w:val="single" w:sz="4" w:space="0" w:color="auto"/>
              <w:right w:val="single" w:sz="4" w:space="0" w:color="auto"/>
            </w:tcBorders>
            <w:vAlign w:val="center"/>
            <w:hideMark/>
          </w:tcPr>
          <w:p w14:paraId="68ACAAE0"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432450E1"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местные бюджеты</w:t>
            </w:r>
          </w:p>
        </w:tc>
        <w:tc>
          <w:tcPr>
            <w:tcW w:w="993" w:type="dxa"/>
            <w:tcBorders>
              <w:top w:val="nil"/>
              <w:left w:val="nil"/>
              <w:bottom w:val="single" w:sz="4" w:space="0" w:color="auto"/>
              <w:right w:val="single" w:sz="4" w:space="0" w:color="auto"/>
            </w:tcBorders>
            <w:shd w:val="clear" w:color="auto" w:fill="auto"/>
            <w:vAlign w:val="center"/>
            <w:hideMark/>
          </w:tcPr>
          <w:p w14:paraId="633FAB1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27,6</w:t>
            </w:r>
          </w:p>
        </w:tc>
        <w:tc>
          <w:tcPr>
            <w:tcW w:w="850" w:type="dxa"/>
            <w:tcBorders>
              <w:top w:val="nil"/>
              <w:left w:val="nil"/>
              <w:bottom w:val="single" w:sz="4" w:space="0" w:color="auto"/>
              <w:right w:val="single" w:sz="4" w:space="0" w:color="auto"/>
            </w:tcBorders>
            <w:shd w:val="clear" w:color="auto" w:fill="auto"/>
            <w:vAlign w:val="center"/>
            <w:hideMark/>
          </w:tcPr>
          <w:p w14:paraId="1C938C04"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636F3630"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84,04</w:t>
            </w:r>
          </w:p>
        </w:tc>
        <w:tc>
          <w:tcPr>
            <w:tcW w:w="992" w:type="dxa"/>
            <w:tcBorders>
              <w:top w:val="nil"/>
              <w:left w:val="nil"/>
              <w:bottom w:val="single" w:sz="4" w:space="0" w:color="auto"/>
              <w:right w:val="single" w:sz="4" w:space="0" w:color="auto"/>
            </w:tcBorders>
            <w:shd w:val="clear" w:color="auto" w:fill="auto"/>
            <w:vAlign w:val="center"/>
            <w:hideMark/>
          </w:tcPr>
          <w:p w14:paraId="3C7ECD3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41,67</w:t>
            </w:r>
          </w:p>
        </w:tc>
        <w:tc>
          <w:tcPr>
            <w:tcW w:w="993" w:type="dxa"/>
            <w:tcBorders>
              <w:top w:val="nil"/>
              <w:left w:val="nil"/>
              <w:bottom w:val="single" w:sz="4" w:space="0" w:color="auto"/>
              <w:right w:val="single" w:sz="4" w:space="0" w:color="auto"/>
            </w:tcBorders>
            <w:shd w:val="clear" w:color="auto" w:fill="auto"/>
            <w:vAlign w:val="center"/>
            <w:hideMark/>
          </w:tcPr>
          <w:p w14:paraId="67949C63"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56,44</w:t>
            </w:r>
          </w:p>
        </w:tc>
        <w:tc>
          <w:tcPr>
            <w:tcW w:w="992" w:type="dxa"/>
            <w:tcBorders>
              <w:top w:val="nil"/>
              <w:left w:val="nil"/>
              <w:bottom w:val="single" w:sz="4" w:space="0" w:color="auto"/>
              <w:right w:val="double" w:sz="4" w:space="0" w:color="auto"/>
            </w:tcBorders>
            <w:shd w:val="clear" w:color="auto" w:fill="auto"/>
            <w:vAlign w:val="center"/>
            <w:hideMark/>
          </w:tcPr>
          <w:p w14:paraId="4B406C23"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41,17</w:t>
            </w:r>
          </w:p>
        </w:tc>
      </w:tr>
      <w:tr w:rsidR="00D470B6" w:rsidRPr="00A53AD7" w14:paraId="069E1F4E" w14:textId="77777777" w:rsidTr="001D2B6D">
        <w:trPr>
          <w:trHeight w:val="420"/>
        </w:trPr>
        <w:tc>
          <w:tcPr>
            <w:tcW w:w="2160" w:type="dxa"/>
            <w:vMerge/>
            <w:tcBorders>
              <w:top w:val="nil"/>
              <w:left w:val="double" w:sz="4" w:space="0" w:color="auto"/>
              <w:bottom w:val="single" w:sz="4" w:space="0" w:color="auto"/>
              <w:right w:val="single" w:sz="4" w:space="0" w:color="auto"/>
            </w:tcBorders>
            <w:vAlign w:val="center"/>
            <w:hideMark/>
          </w:tcPr>
          <w:p w14:paraId="5BCBE3C7"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37EE42D4"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внебюджетные средства</w:t>
            </w:r>
          </w:p>
        </w:tc>
        <w:tc>
          <w:tcPr>
            <w:tcW w:w="993" w:type="dxa"/>
            <w:tcBorders>
              <w:top w:val="nil"/>
              <w:left w:val="nil"/>
              <w:bottom w:val="single" w:sz="4" w:space="0" w:color="auto"/>
              <w:right w:val="single" w:sz="4" w:space="0" w:color="auto"/>
            </w:tcBorders>
            <w:shd w:val="clear" w:color="auto" w:fill="auto"/>
            <w:vAlign w:val="center"/>
            <w:hideMark/>
          </w:tcPr>
          <w:p w14:paraId="4A8695C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557</w:t>
            </w:r>
          </w:p>
        </w:tc>
        <w:tc>
          <w:tcPr>
            <w:tcW w:w="850" w:type="dxa"/>
            <w:tcBorders>
              <w:top w:val="nil"/>
              <w:left w:val="nil"/>
              <w:bottom w:val="single" w:sz="4" w:space="0" w:color="auto"/>
              <w:right w:val="single" w:sz="4" w:space="0" w:color="auto"/>
            </w:tcBorders>
            <w:shd w:val="clear" w:color="auto" w:fill="auto"/>
            <w:vAlign w:val="center"/>
            <w:hideMark/>
          </w:tcPr>
          <w:p w14:paraId="282D008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617A4A4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556,99</w:t>
            </w:r>
          </w:p>
        </w:tc>
        <w:tc>
          <w:tcPr>
            <w:tcW w:w="992" w:type="dxa"/>
            <w:tcBorders>
              <w:top w:val="nil"/>
              <w:left w:val="nil"/>
              <w:bottom w:val="single" w:sz="4" w:space="0" w:color="auto"/>
              <w:right w:val="single" w:sz="4" w:space="0" w:color="auto"/>
            </w:tcBorders>
            <w:shd w:val="clear" w:color="auto" w:fill="auto"/>
            <w:vAlign w:val="center"/>
            <w:hideMark/>
          </w:tcPr>
          <w:p w14:paraId="2B81779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3" w:type="dxa"/>
            <w:tcBorders>
              <w:top w:val="nil"/>
              <w:left w:val="nil"/>
              <w:bottom w:val="single" w:sz="4" w:space="0" w:color="auto"/>
              <w:right w:val="single" w:sz="4" w:space="0" w:color="auto"/>
            </w:tcBorders>
            <w:shd w:val="clear" w:color="auto" w:fill="auto"/>
            <w:vAlign w:val="center"/>
            <w:hideMark/>
          </w:tcPr>
          <w:p w14:paraId="20D4B85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-0,01</w:t>
            </w:r>
          </w:p>
        </w:tc>
        <w:tc>
          <w:tcPr>
            <w:tcW w:w="992" w:type="dxa"/>
            <w:tcBorders>
              <w:top w:val="nil"/>
              <w:left w:val="nil"/>
              <w:bottom w:val="single" w:sz="4" w:space="0" w:color="auto"/>
              <w:right w:val="double" w:sz="4" w:space="0" w:color="auto"/>
            </w:tcBorders>
            <w:shd w:val="clear" w:color="auto" w:fill="auto"/>
            <w:vAlign w:val="center"/>
            <w:hideMark/>
          </w:tcPr>
          <w:p w14:paraId="1BB1949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r>
      <w:tr w:rsidR="00D470B6" w:rsidRPr="00A53AD7" w14:paraId="7D2C76B3" w14:textId="77777777" w:rsidTr="001D2B6D">
        <w:trPr>
          <w:trHeight w:val="444"/>
        </w:trPr>
        <w:tc>
          <w:tcPr>
            <w:tcW w:w="2160" w:type="dxa"/>
            <w:vMerge/>
            <w:tcBorders>
              <w:top w:val="nil"/>
              <w:left w:val="double" w:sz="4" w:space="0" w:color="auto"/>
              <w:bottom w:val="single" w:sz="4" w:space="0" w:color="auto"/>
              <w:right w:val="single" w:sz="4" w:space="0" w:color="auto"/>
            </w:tcBorders>
            <w:vAlign w:val="center"/>
            <w:hideMark/>
          </w:tcPr>
          <w:p w14:paraId="7B239A85"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1FEBE072"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бюджет города Москвы</w:t>
            </w:r>
          </w:p>
        </w:tc>
        <w:tc>
          <w:tcPr>
            <w:tcW w:w="993" w:type="dxa"/>
            <w:tcBorders>
              <w:top w:val="nil"/>
              <w:left w:val="nil"/>
              <w:bottom w:val="single" w:sz="4" w:space="0" w:color="auto"/>
              <w:right w:val="single" w:sz="4" w:space="0" w:color="auto"/>
            </w:tcBorders>
            <w:shd w:val="clear" w:color="auto" w:fill="auto"/>
            <w:vAlign w:val="center"/>
            <w:hideMark/>
          </w:tcPr>
          <w:p w14:paraId="370E404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14:paraId="38C45C2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601009C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200,00</w:t>
            </w:r>
          </w:p>
        </w:tc>
        <w:tc>
          <w:tcPr>
            <w:tcW w:w="992" w:type="dxa"/>
            <w:tcBorders>
              <w:top w:val="nil"/>
              <w:left w:val="nil"/>
              <w:bottom w:val="single" w:sz="4" w:space="0" w:color="auto"/>
              <w:right w:val="single" w:sz="4" w:space="0" w:color="auto"/>
            </w:tcBorders>
            <w:shd w:val="clear" w:color="auto" w:fill="auto"/>
            <w:vAlign w:val="center"/>
            <w:hideMark/>
          </w:tcPr>
          <w:p w14:paraId="6253E75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c>
          <w:tcPr>
            <w:tcW w:w="993" w:type="dxa"/>
            <w:tcBorders>
              <w:top w:val="nil"/>
              <w:left w:val="nil"/>
              <w:bottom w:val="single" w:sz="4" w:space="0" w:color="auto"/>
              <w:right w:val="single" w:sz="4" w:space="0" w:color="auto"/>
            </w:tcBorders>
            <w:shd w:val="clear" w:color="auto" w:fill="auto"/>
            <w:vAlign w:val="center"/>
            <w:hideMark/>
          </w:tcPr>
          <w:p w14:paraId="47DDE7F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c>
          <w:tcPr>
            <w:tcW w:w="992" w:type="dxa"/>
            <w:tcBorders>
              <w:top w:val="nil"/>
              <w:left w:val="nil"/>
              <w:bottom w:val="single" w:sz="4" w:space="0" w:color="auto"/>
              <w:right w:val="double" w:sz="4" w:space="0" w:color="auto"/>
            </w:tcBorders>
            <w:shd w:val="clear" w:color="auto" w:fill="auto"/>
            <w:vAlign w:val="center"/>
            <w:hideMark/>
          </w:tcPr>
          <w:p w14:paraId="2718CAE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r>
      <w:tr w:rsidR="00D470B6" w:rsidRPr="00A53AD7" w14:paraId="201DABA7" w14:textId="77777777" w:rsidTr="001D2B6D">
        <w:trPr>
          <w:trHeight w:val="77"/>
        </w:trPr>
        <w:tc>
          <w:tcPr>
            <w:tcW w:w="2160" w:type="dxa"/>
            <w:vMerge w:val="restart"/>
            <w:tcBorders>
              <w:top w:val="nil"/>
              <w:left w:val="double" w:sz="4" w:space="0" w:color="auto"/>
              <w:bottom w:val="single" w:sz="4" w:space="0" w:color="auto"/>
              <w:right w:val="single" w:sz="4" w:space="0" w:color="auto"/>
            </w:tcBorders>
            <w:shd w:val="clear" w:color="auto" w:fill="auto"/>
            <w:vAlign w:val="center"/>
            <w:hideMark/>
          </w:tcPr>
          <w:p w14:paraId="2DD2A41E"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 xml:space="preserve">№ 2 </w:t>
            </w:r>
            <w:r w:rsidRPr="00A53AD7">
              <w:rPr>
                <w:rFonts w:ascii="Times New Roman" w:eastAsia="Times New Roman" w:hAnsi="Times New Roman"/>
                <w:sz w:val="18"/>
                <w:szCs w:val="18"/>
                <w:lang w:eastAsia="ru-RU"/>
              </w:rPr>
              <w:t>"Воспроизводство и использование природных ресурсов"</w:t>
            </w:r>
          </w:p>
        </w:tc>
        <w:tc>
          <w:tcPr>
            <w:tcW w:w="1295" w:type="dxa"/>
            <w:tcBorders>
              <w:top w:val="nil"/>
              <w:left w:val="nil"/>
              <w:bottom w:val="single" w:sz="4" w:space="0" w:color="auto"/>
              <w:right w:val="single" w:sz="4" w:space="0" w:color="auto"/>
            </w:tcBorders>
            <w:shd w:val="clear" w:color="auto" w:fill="auto"/>
            <w:vAlign w:val="center"/>
            <w:hideMark/>
          </w:tcPr>
          <w:p w14:paraId="04EEECBE"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всего</w:t>
            </w:r>
          </w:p>
        </w:tc>
        <w:tc>
          <w:tcPr>
            <w:tcW w:w="993" w:type="dxa"/>
            <w:tcBorders>
              <w:top w:val="nil"/>
              <w:left w:val="nil"/>
              <w:bottom w:val="single" w:sz="4" w:space="0" w:color="auto"/>
              <w:right w:val="single" w:sz="4" w:space="0" w:color="auto"/>
            </w:tcBorders>
            <w:shd w:val="clear" w:color="auto" w:fill="auto"/>
            <w:vAlign w:val="center"/>
            <w:hideMark/>
          </w:tcPr>
          <w:p w14:paraId="5CFCE055"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465,6</w:t>
            </w:r>
          </w:p>
        </w:tc>
        <w:tc>
          <w:tcPr>
            <w:tcW w:w="850" w:type="dxa"/>
            <w:tcBorders>
              <w:top w:val="nil"/>
              <w:left w:val="nil"/>
              <w:bottom w:val="single" w:sz="4" w:space="0" w:color="auto"/>
              <w:right w:val="single" w:sz="4" w:space="0" w:color="auto"/>
            </w:tcBorders>
            <w:shd w:val="clear" w:color="auto" w:fill="auto"/>
            <w:vAlign w:val="center"/>
            <w:hideMark/>
          </w:tcPr>
          <w:p w14:paraId="6C36F644"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37,9</w:t>
            </w:r>
          </w:p>
        </w:tc>
        <w:tc>
          <w:tcPr>
            <w:tcW w:w="1134" w:type="dxa"/>
            <w:tcBorders>
              <w:top w:val="nil"/>
              <w:left w:val="nil"/>
              <w:bottom w:val="single" w:sz="4" w:space="0" w:color="auto"/>
              <w:right w:val="single" w:sz="4" w:space="0" w:color="auto"/>
            </w:tcBorders>
            <w:shd w:val="clear" w:color="auto" w:fill="auto"/>
            <w:vAlign w:val="center"/>
            <w:hideMark/>
          </w:tcPr>
          <w:p w14:paraId="1392834B"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439,81</w:t>
            </w:r>
          </w:p>
        </w:tc>
        <w:tc>
          <w:tcPr>
            <w:tcW w:w="992" w:type="dxa"/>
            <w:tcBorders>
              <w:top w:val="nil"/>
              <w:left w:val="nil"/>
              <w:bottom w:val="single" w:sz="4" w:space="0" w:color="auto"/>
              <w:right w:val="single" w:sz="4" w:space="0" w:color="auto"/>
            </w:tcBorders>
            <w:shd w:val="clear" w:color="auto" w:fill="auto"/>
            <w:vAlign w:val="center"/>
            <w:hideMark/>
          </w:tcPr>
          <w:p w14:paraId="76C39FFF"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44,34</w:t>
            </w:r>
          </w:p>
        </w:tc>
        <w:tc>
          <w:tcPr>
            <w:tcW w:w="993" w:type="dxa"/>
            <w:tcBorders>
              <w:top w:val="nil"/>
              <w:left w:val="nil"/>
              <w:bottom w:val="single" w:sz="4" w:space="0" w:color="auto"/>
              <w:right w:val="single" w:sz="4" w:space="0" w:color="auto"/>
            </w:tcBorders>
            <w:shd w:val="clear" w:color="auto" w:fill="auto"/>
            <w:vAlign w:val="center"/>
            <w:hideMark/>
          </w:tcPr>
          <w:p w14:paraId="49DDEBFA"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-25,79</w:t>
            </w:r>
          </w:p>
        </w:tc>
        <w:tc>
          <w:tcPr>
            <w:tcW w:w="992" w:type="dxa"/>
            <w:tcBorders>
              <w:top w:val="nil"/>
              <w:left w:val="nil"/>
              <w:bottom w:val="single" w:sz="4" w:space="0" w:color="auto"/>
              <w:right w:val="double" w:sz="4" w:space="0" w:color="auto"/>
            </w:tcBorders>
            <w:shd w:val="clear" w:color="auto" w:fill="auto"/>
            <w:vAlign w:val="center"/>
            <w:hideMark/>
          </w:tcPr>
          <w:p w14:paraId="61B2B6DA"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6,44</w:t>
            </w:r>
          </w:p>
        </w:tc>
      </w:tr>
      <w:tr w:rsidR="00D470B6" w:rsidRPr="00A53AD7" w14:paraId="4BD6DCD6"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2D4EF312"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48CFC55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федеральный бюджет</w:t>
            </w:r>
          </w:p>
        </w:tc>
        <w:tc>
          <w:tcPr>
            <w:tcW w:w="993" w:type="dxa"/>
            <w:tcBorders>
              <w:top w:val="nil"/>
              <w:left w:val="nil"/>
              <w:bottom w:val="single" w:sz="4" w:space="0" w:color="auto"/>
              <w:right w:val="single" w:sz="4" w:space="0" w:color="auto"/>
            </w:tcBorders>
            <w:shd w:val="clear" w:color="auto" w:fill="auto"/>
            <w:vAlign w:val="center"/>
            <w:hideMark/>
          </w:tcPr>
          <w:p w14:paraId="65D37A1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281,8</w:t>
            </w:r>
          </w:p>
        </w:tc>
        <w:tc>
          <w:tcPr>
            <w:tcW w:w="850" w:type="dxa"/>
            <w:tcBorders>
              <w:top w:val="nil"/>
              <w:left w:val="nil"/>
              <w:bottom w:val="single" w:sz="4" w:space="0" w:color="auto"/>
              <w:right w:val="single" w:sz="4" w:space="0" w:color="auto"/>
            </w:tcBorders>
            <w:shd w:val="clear" w:color="auto" w:fill="auto"/>
            <w:vAlign w:val="center"/>
            <w:hideMark/>
          </w:tcPr>
          <w:p w14:paraId="7CFFC77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23,9</w:t>
            </w:r>
          </w:p>
        </w:tc>
        <w:tc>
          <w:tcPr>
            <w:tcW w:w="1134" w:type="dxa"/>
            <w:tcBorders>
              <w:top w:val="nil"/>
              <w:left w:val="nil"/>
              <w:bottom w:val="single" w:sz="4" w:space="0" w:color="auto"/>
              <w:right w:val="single" w:sz="4" w:space="0" w:color="auto"/>
            </w:tcBorders>
            <w:shd w:val="clear" w:color="auto" w:fill="auto"/>
            <w:vAlign w:val="center"/>
            <w:hideMark/>
          </w:tcPr>
          <w:p w14:paraId="7B948E93"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278,73</w:t>
            </w:r>
          </w:p>
        </w:tc>
        <w:tc>
          <w:tcPr>
            <w:tcW w:w="992" w:type="dxa"/>
            <w:tcBorders>
              <w:top w:val="nil"/>
              <w:left w:val="nil"/>
              <w:bottom w:val="single" w:sz="4" w:space="0" w:color="auto"/>
              <w:right w:val="single" w:sz="4" w:space="0" w:color="auto"/>
            </w:tcBorders>
            <w:shd w:val="clear" w:color="auto" w:fill="auto"/>
            <w:vAlign w:val="center"/>
            <w:hideMark/>
          </w:tcPr>
          <w:p w14:paraId="0D2E95F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23,89</w:t>
            </w:r>
          </w:p>
        </w:tc>
        <w:tc>
          <w:tcPr>
            <w:tcW w:w="993" w:type="dxa"/>
            <w:tcBorders>
              <w:top w:val="nil"/>
              <w:left w:val="nil"/>
              <w:bottom w:val="single" w:sz="4" w:space="0" w:color="auto"/>
              <w:right w:val="single" w:sz="4" w:space="0" w:color="auto"/>
            </w:tcBorders>
            <w:shd w:val="clear" w:color="auto" w:fill="auto"/>
            <w:vAlign w:val="center"/>
            <w:hideMark/>
          </w:tcPr>
          <w:p w14:paraId="4F3BE23F"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-3,07</w:t>
            </w:r>
          </w:p>
        </w:tc>
        <w:tc>
          <w:tcPr>
            <w:tcW w:w="992" w:type="dxa"/>
            <w:tcBorders>
              <w:top w:val="nil"/>
              <w:left w:val="nil"/>
              <w:bottom w:val="single" w:sz="4" w:space="0" w:color="auto"/>
              <w:right w:val="double" w:sz="4" w:space="0" w:color="auto"/>
            </w:tcBorders>
            <w:shd w:val="clear" w:color="auto" w:fill="auto"/>
            <w:vAlign w:val="center"/>
            <w:hideMark/>
          </w:tcPr>
          <w:p w14:paraId="4763699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-0,01</w:t>
            </w:r>
          </w:p>
        </w:tc>
      </w:tr>
      <w:tr w:rsidR="00D470B6" w:rsidRPr="00A53AD7" w14:paraId="3C1E99E5"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0CE2D7CF"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757DE069"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областной бюджет</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9170F8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55,9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4BBCA1F"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45C88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26,63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72A9E8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910D02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-29,27</w:t>
            </w:r>
          </w:p>
        </w:tc>
        <w:tc>
          <w:tcPr>
            <w:tcW w:w="992" w:type="dxa"/>
            <w:tcBorders>
              <w:top w:val="single" w:sz="4" w:space="0" w:color="auto"/>
              <w:left w:val="nil"/>
              <w:bottom w:val="single" w:sz="4" w:space="0" w:color="auto"/>
              <w:right w:val="double" w:sz="4" w:space="0" w:color="auto"/>
            </w:tcBorders>
            <w:shd w:val="clear" w:color="auto" w:fill="auto"/>
            <w:vAlign w:val="center"/>
            <w:hideMark/>
          </w:tcPr>
          <w:p w14:paraId="750E2E9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-0,05</w:t>
            </w:r>
          </w:p>
        </w:tc>
      </w:tr>
      <w:tr w:rsidR="00D470B6" w:rsidRPr="00A53AD7" w14:paraId="239729D8"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7D02B8D5"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6C79D0F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местные бюджеты</w:t>
            </w:r>
          </w:p>
        </w:tc>
        <w:tc>
          <w:tcPr>
            <w:tcW w:w="993" w:type="dxa"/>
            <w:tcBorders>
              <w:top w:val="nil"/>
              <w:left w:val="nil"/>
              <w:bottom w:val="single" w:sz="4" w:space="0" w:color="auto"/>
              <w:right w:val="single" w:sz="4" w:space="0" w:color="auto"/>
            </w:tcBorders>
            <w:shd w:val="clear" w:color="auto" w:fill="auto"/>
            <w:vAlign w:val="center"/>
            <w:hideMark/>
          </w:tcPr>
          <w:p w14:paraId="185385C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850" w:type="dxa"/>
            <w:tcBorders>
              <w:top w:val="nil"/>
              <w:left w:val="nil"/>
              <w:bottom w:val="single" w:sz="4" w:space="0" w:color="auto"/>
              <w:right w:val="single" w:sz="4" w:space="0" w:color="auto"/>
            </w:tcBorders>
            <w:shd w:val="clear" w:color="auto" w:fill="auto"/>
            <w:vAlign w:val="center"/>
            <w:hideMark/>
          </w:tcPr>
          <w:p w14:paraId="5740E81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70153D74"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992" w:type="dxa"/>
            <w:tcBorders>
              <w:top w:val="nil"/>
              <w:left w:val="nil"/>
              <w:bottom w:val="single" w:sz="4" w:space="0" w:color="auto"/>
              <w:right w:val="single" w:sz="4" w:space="0" w:color="auto"/>
            </w:tcBorders>
            <w:shd w:val="clear" w:color="auto" w:fill="auto"/>
            <w:vAlign w:val="center"/>
            <w:hideMark/>
          </w:tcPr>
          <w:p w14:paraId="79E38FB0"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3" w:type="dxa"/>
            <w:tcBorders>
              <w:top w:val="nil"/>
              <w:left w:val="nil"/>
              <w:bottom w:val="single" w:sz="4" w:space="0" w:color="auto"/>
              <w:right w:val="single" w:sz="4" w:space="0" w:color="auto"/>
            </w:tcBorders>
            <w:shd w:val="clear" w:color="auto" w:fill="auto"/>
            <w:vAlign w:val="center"/>
            <w:hideMark/>
          </w:tcPr>
          <w:p w14:paraId="2A0C393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2" w:type="dxa"/>
            <w:tcBorders>
              <w:top w:val="nil"/>
              <w:left w:val="nil"/>
              <w:bottom w:val="single" w:sz="4" w:space="0" w:color="auto"/>
              <w:right w:val="double" w:sz="4" w:space="0" w:color="auto"/>
            </w:tcBorders>
            <w:shd w:val="clear" w:color="auto" w:fill="auto"/>
            <w:vAlign w:val="center"/>
            <w:hideMark/>
          </w:tcPr>
          <w:p w14:paraId="31FBCA93"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r>
      <w:tr w:rsidR="00D470B6" w:rsidRPr="00A53AD7" w14:paraId="792D94F6"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792CFF09"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4E40E59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внебюджетные средства</w:t>
            </w:r>
          </w:p>
        </w:tc>
        <w:tc>
          <w:tcPr>
            <w:tcW w:w="993" w:type="dxa"/>
            <w:tcBorders>
              <w:top w:val="nil"/>
              <w:left w:val="nil"/>
              <w:bottom w:val="single" w:sz="4" w:space="0" w:color="auto"/>
              <w:right w:val="single" w:sz="4" w:space="0" w:color="auto"/>
            </w:tcBorders>
            <w:shd w:val="clear" w:color="auto" w:fill="auto"/>
            <w:vAlign w:val="center"/>
            <w:hideMark/>
          </w:tcPr>
          <w:p w14:paraId="2AB5C73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127,8</w:t>
            </w:r>
          </w:p>
        </w:tc>
        <w:tc>
          <w:tcPr>
            <w:tcW w:w="850" w:type="dxa"/>
            <w:tcBorders>
              <w:top w:val="nil"/>
              <w:left w:val="nil"/>
              <w:bottom w:val="single" w:sz="4" w:space="0" w:color="auto"/>
              <w:right w:val="single" w:sz="4" w:space="0" w:color="auto"/>
            </w:tcBorders>
            <w:shd w:val="clear" w:color="auto" w:fill="auto"/>
            <w:vAlign w:val="center"/>
            <w:hideMark/>
          </w:tcPr>
          <w:p w14:paraId="1AA8B3F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550CF7E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134,25</w:t>
            </w:r>
          </w:p>
        </w:tc>
        <w:tc>
          <w:tcPr>
            <w:tcW w:w="992" w:type="dxa"/>
            <w:tcBorders>
              <w:top w:val="nil"/>
              <w:left w:val="nil"/>
              <w:bottom w:val="single" w:sz="4" w:space="0" w:color="auto"/>
              <w:right w:val="single" w:sz="4" w:space="0" w:color="auto"/>
            </w:tcBorders>
            <w:shd w:val="clear" w:color="auto" w:fill="auto"/>
            <w:vAlign w:val="center"/>
            <w:hideMark/>
          </w:tcPr>
          <w:p w14:paraId="6D8F255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18,5</w:t>
            </w:r>
          </w:p>
        </w:tc>
        <w:tc>
          <w:tcPr>
            <w:tcW w:w="993" w:type="dxa"/>
            <w:tcBorders>
              <w:top w:val="nil"/>
              <w:left w:val="nil"/>
              <w:bottom w:val="single" w:sz="4" w:space="0" w:color="auto"/>
              <w:right w:val="single" w:sz="4" w:space="0" w:color="auto"/>
            </w:tcBorders>
            <w:shd w:val="clear" w:color="auto" w:fill="auto"/>
            <w:vAlign w:val="center"/>
            <w:hideMark/>
          </w:tcPr>
          <w:p w14:paraId="2798854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6,45</w:t>
            </w:r>
          </w:p>
        </w:tc>
        <w:tc>
          <w:tcPr>
            <w:tcW w:w="992" w:type="dxa"/>
            <w:tcBorders>
              <w:top w:val="nil"/>
              <w:left w:val="nil"/>
              <w:bottom w:val="single" w:sz="4" w:space="0" w:color="auto"/>
              <w:right w:val="double" w:sz="4" w:space="0" w:color="auto"/>
            </w:tcBorders>
            <w:shd w:val="clear" w:color="auto" w:fill="auto"/>
            <w:vAlign w:val="center"/>
            <w:hideMark/>
          </w:tcPr>
          <w:p w14:paraId="213E96D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6,5</w:t>
            </w:r>
          </w:p>
        </w:tc>
      </w:tr>
      <w:tr w:rsidR="00D470B6" w:rsidRPr="00A53AD7" w14:paraId="1B517E9F" w14:textId="77777777" w:rsidTr="001D2B6D">
        <w:trPr>
          <w:trHeight w:val="47"/>
        </w:trPr>
        <w:tc>
          <w:tcPr>
            <w:tcW w:w="2160" w:type="dxa"/>
            <w:vMerge w:val="restart"/>
            <w:tcBorders>
              <w:top w:val="nil"/>
              <w:left w:val="double" w:sz="4" w:space="0" w:color="auto"/>
              <w:bottom w:val="single" w:sz="4" w:space="0" w:color="auto"/>
              <w:right w:val="single" w:sz="4" w:space="0" w:color="auto"/>
            </w:tcBorders>
            <w:shd w:val="clear" w:color="auto" w:fill="auto"/>
            <w:vAlign w:val="center"/>
            <w:hideMark/>
          </w:tcPr>
          <w:p w14:paraId="64B89FEB"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 xml:space="preserve">№ 3 </w:t>
            </w:r>
            <w:r w:rsidRPr="00A53AD7">
              <w:rPr>
                <w:rFonts w:ascii="Times New Roman" w:eastAsia="Times New Roman" w:hAnsi="Times New Roman"/>
                <w:sz w:val="18"/>
                <w:szCs w:val="18"/>
                <w:lang w:eastAsia="ru-RU"/>
              </w:rPr>
              <w:t>"Развитие водохозяйственного комплекса Архангельской области"</w:t>
            </w:r>
          </w:p>
        </w:tc>
        <w:tc>
          <w:tcPr>
            <w:tcW w:w="1295" w:type="dxa"/>
            <w:tcBorders>
              <w:top w:val="nil"/>
              <w:left w:val="nil"/>
              <w:bottom w:val="single" w:sz="4" w:space="0" w:color="auto"/>
              <w:right w:val="single" w:sz="4" w:space="0" w:color="auto"/>
            </w:tcBorders>
            <w:shd w:val="clear" w:color="auto" w:fill="auto"/>
            <w:vAlign w:val="center"/>
            <w:hideMark/>
          </w:tcPr>
          <w:p w14:paraId="19DBF2A2"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всего</w:t>
            </w:r>
          </w:p>
        </w:tc>
        <w:tc>
          <w:tcPr>
            <w:tcW w:w="993" w:type="dxa"/>
            <w:tcBorders>
              <w:top w:val="nil"/>
              <w:left w:val="nil"/>
              <w:bottom w:val="single" w:sz="4" w:space="0" w:color="auto"/>
              <w:right w:val="single" w:sz="4" w:space="0" w:color="auto"/>
            </w:tcBorders>
            <w:shd w:val="clear" w:color="auto" w:fill="auto"/>
            <w:vAlign w:val="center"/>
            <w:hideMark/>
          </w:tcPr>
          <w:p w14:paraId="25F7F8C9"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1 109,30</w:t>
            </w:r>
          </w:p>
        </w:tc>
        <w:tc>
          <w:tcPr>
            <w:tcW w:w="850" w:type="dxa"/>
            <w:tcBorders>
              <w:top w:val="nil"/>
              <w:left w:val="nil"/>
              <w:bottom w:val="single" w:sz="4" w:space="0" w:color="auto"/>
              <w:right w:val="single" w:sz="4" w:space="0" w:color="auto"/>
            </w:tcBorders>
            <w:shd w:val="clear" w:color="auto" w:fill="auto"/>
            <w:vAlign w:val="center"/>
            <w:hideMark/>
          </w:tcPr>
          <w:p w14:paraId="350FF8E2"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197</w:t>
            </w:r>
          </w:p>
        </w:tc>
        <w:tc>
          <w:tcPr>
            <w:tcW w:w="1134" w:type="dxa"/>
            <w:tcBorders>
              <w:top w:val="nil"/>
              <w:left w:val="nil"/>
              <w:bottom w:val="single" w:sz="4" w:space="0" w:color="auto"/>
              <w:right w:val="single" w:sz="4" w:space="0" w:color="auto"/>
            </w:tcBorders>
            <w:shd w:val="clear" w:color="auto" w:fill="auto"/>
            <w:vAlign w:val="center"/>
            <w:hideMark/>
          </w:tcPr>
          <w:p w14:paraId="40CBC2FA"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1 186,95</w:t>
            </w:r>
          </w:p>
        </w:tc>
        <w:tc>
          <w:tcPr>
            <w:tcW w:w="992" w:type="dxa"/>
            <w:tcBorders>
              <w:top w:val="nil"/>
              <w:left w:val="nil"/>
              <w:bottom w:val="single" w:sz="4" w:space="0" w:color="auto"/>
              <w:right w:val="single" w:sz="4" w:space="0" w:color="auto"/>
            </w:tcBorders>
            <w:shd w:val="clear" w:color="auto" w:fill="auto"/>
            <w:vAlign w:val="center"/>
            <w:hideMark/>
          </w:tcPr>
          <w:p w14:paraId="6403D898"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283,16</w:t>
            </w:r>
          </w:p>
        </w:tc>
        <w:tc>
          <w:tcPr>
            <w:tcW w:w="993" w:type="dxa"/>
            <w:tcBorders>
              <w:top w:val="nil"/>
              <w:left w:val="nil"/>
              <w:bottom w:val="single" w:sz="4" w:space="0" w:color="auto"/>
              <w:right w:val="single" w:sz="4" w:space="0" w:color="auto"/>
            </w:tcBorders>
            <w:shd w:val="clear" w:color="auto" w:fill="auto"/>
            <w:vAlign w:val="center"/>
            <w:hideMark/>
          </w:tcPr>
          <w:p w14:paraId="02992F04"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77,65</w:t>
            </w:r>
          </w:p>
        </w:tc>
        <w:tc>
          <w:tcPr>
            <w:tcW w:w="992" w:type="dxa"/>
            <w:tcBorders>
              <w:top w:val="nil"/>
              <w:left w:val="nil"/>
              <w:bottom w:val="single" w:sz="4" w:space="0" w:color="auto"/>
              <w:right w:val="double" w:sz="4" w:space="0" w:color="auto"/>
            </w:tcBorders>
            <w:shd w:val="clear" w:color="auto" w:fill="auto"/>
            <w:vAlign w:val="center"/>
            <w:hideMark/>
          </w:tcPr>
          <w:p w14:paraId="49AD603A"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86,16</w:t>
            </w:r>
          </w:p>
        </w:tc>
      </w:tr>
      <w:tr w:rsidR="00D470B6" w:rsidRPr="00A53AD7" w14:paraId="0538ABA5"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2073534F"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034FC45C"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федеральный бюджет</w:t>
            </w:r>
          </w:p>
        </w:tc>
        <w:tc>
          <w:tcPr>
            <w:tcW w:w="993" w:type="dxa"/>
            <w:tcBorders>
              <w:top w:val="nil"/>
              <w:left w:val="nil"/>
              <w:bottom w:val="single" w:sz="4" w:space="0" w:color="auto"/>
              <w:right w:val="single" w:sz="4" w:space="0" w:color="auto"/>
            </w:tcBorders>
            <w:shd w:val="clear" w:color="auto" w:fill="auto"/>
            <w:vAlign w:val="center"/>
            <w:hideMark/>
          </w:tcPr>
          <w:p w14:paraId="262CBBE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579,3</w:t>
            </w:r>
          </w:p>
        </w:tc>
        <w:tc>
          <w:tcPr>
            <w:tcW w:w="850" w:type="dxa"/>
            <w:tcBorders>
              <w:top w:val="nil"/>
              <w:left w:val="nil"/>
              <w:bottom w:val="single" w:sz="4" w:space="0" w:color="auto"/>
              <w:right w:val="single" w:sz="4" w:space="0" w:color="auto"/>
            </w:tcBorders>
            <w:shd w:val="clear" w:color="auto" w:fill="auto"/>
            <w:vAlign w:val="center"/>
            <w:hideMark/>
          </w:tcPr>
          <w:p w14:paraId="1D31C63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90</w:t>
            </w:r>
          </w:p>
        </w:tc>
        <w:tc>
          <w:tcPr>
            <w:tcW w:w="1134" w:type="dxa"/>
            <w:tcBorders>
              <w:top w:val="nil"/>
              <w:left w:val="nil"/>
              <w:bottom w:val="single" w:sz="4" w:space="0" w:color="auto"/>
              <w:right w:val="single" w:sz="4" w:space="0" w:color="auto"/>
            </w:tcBorders>
            <w:shd w:val="clear" w:color="auto" w:fill="auto"/>
            <w:vAlign w:val="center"/>
            <w:hideMark/>
          </w:tcPr>
          <w:p w14:paraId="198E246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611,98</w:t>
            </w:r>
          </w:p>
        </w:tc>
        <w:tc>
          <w:tcPr>
            <w:tcW w:w="992" w:type="dxa"/>
            <w:tcBorders>
              <w:top w:val="nil"/>
              <w:left w:val="nil"/>
              <w:bottom w:val="single" w:sz="4" w:space="0" w:color="auto"/>
              <w:right w:val="single" w:sz="4" w:space="0" w:color="auto"/>
            </w:tcBorders>
            <w:shd w:val="clear" w:color="auto" w:fill="auto"/>
            <w:vAlign w:val="center"/>
            <w:hideMark/>
          </w:tcPr>
          <w:p w14:paraId="7D16E631"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125,28</w:t>
            </w:r>
          </w:p>
        </w:tc>
        <w:tc>
          <w:tcPr>
            <w:tcW w:w="993" w:type="dxa"/>
            <w:tcBorders>
              <w:top w:val="nil"/>
              <w:left w:val="nil"/>
              <w:bottom w:val="single" w:sz="4" w:space="0" w:color="auto"/>
              <w:right w:val="single" w:sz="4" w:space="0" w:color="auto"/>
            </w:tcBorders>
            <w:shd w:val="clear" w:color="auto" w:fill="auto"/>
            <w:vAlign w:val="center"/>
            <w:hideMark/>
          </w:tcPr>
          <w:p w14:paraId="7289EC2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32,68</w:t>
            </w:r>
          </w:p>
        </w:tc>
        <w:tc>
          <w:tcPr>
            <w:tcW w:w="992" w:type="dxa"/>
            <w:tcBorders>
              <w:top w:val="nil"/>
              <w:left w:val="nil"/>
              <w:bottom w:val="single" w:sz="4" w:space="0" w:color="auto"/>
              <w:right w:val="double" w:sz="4" w:space="0" w:color="auto"/>
            </w:tcBorders>
            <w:shd w:val="clear" w:color="auto" w:fill="auto"/>
            <w:vAlign w:val="center"/>
            <w:hideMark/>
          </w:tcPr>
          <w:p w14:paraId="30353B82"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35,28</w:t>
            </w:r>
          </w:p>
        </w:tc>
      </w:tr>
      <w:tr w:rsidR="00D470B6" w:rsidRPr="00A53AD7" w14:paraId="11C1ED91"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6A1D7C01"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082B32D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областной бюджет</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C4B35D4"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516,4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C5CF548"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AC15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561,34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A172B7F"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157,88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5EC96A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44,94</w:t>
            </w:r>
          </w:p>
        </w:tc>
        <w:tc>
          <w:tcPr>
            <w:tcW w:w="992" w:type="dxa"/>
            <w:tcBorders>
              <w:top w:val="single" w:sz="4" w:space="0" w:color="auto"/>
              <w:left w:val="nil"/>
              <w:bottom w:val="single" w:sz="4" w:space="0" w:color="auto"/>
              <w:right w:val="double" w:sz="4" w:space="0" w:color="auto"/>
            </w:tcBorders>
            <w:shd w:val="clear" w:color="auto" w:fill="auto"/>
            <w:vAlign w:val="center"/>
            <w:hideMark/>
          </w:tcPr>
          <w:p w14:paraId="405B831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50,88</w:t>
            </w:r>
          </w:p>
        </w:tc>
      </w:tr>
      <w:tr w:rsidR="00D470B6" w:rsidRPr="00A53AD7" w14:paraId="11B42C45"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57C39B15"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06215271"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местные бюджеты</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7647C6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505AD4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61EB0"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13,63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2643D4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A90741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0,03</w:t>
            </w:r>
          </w:p>
        </w:tc>
        <w:tc>
          <w:tcPr>
            <w:tcW w:w="992" w:type="dxa"/>
            <w:tcBorders>
              <w:top w:val="single" w:sz="4" w:space="0" w:color="auto"/>
              <w:left w:val="nil"/>
              <w:bottom w:val="single" w:sz="4" w:space="0" w:color="auto"/>
              <w:right w:val="double" w:sz="4" w:space="0" w:color="auto"/>
            </w:tcBorders>
            <w:shd w:val="clear" w:color="auto" w:fill="auto"/>
            <w:vAlign w:val="center"/>
            <w:hideMark/>
          </w:tcPr>
          <w:p w14:paraId="22C243E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r>
      <w:tr w:rsidR="00D470B6" w:rsidRPr="00A53AD7" w14:paraId="0B084AB8"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481318C0" w14:textId="77777777" w:rsidR="001D2B6D" w:rsidRPr="00A53AD7" w:rsidRDefault="001D2B6D" w:rsidP="001D2B6D">
            <w:pPr>
              <w:spacing w:after="0" w:line="240" w:lineRule="auto"/>
              <w:ind w:left="142" w:right="141"/>
              <w:rPr>
                <w:rFonts w:ascii="Times New Roman" w:eastAsia="Times New Roman" w:hAnsi="Times New Roman"/>
                <w:bCs/>
                <w:sz w:val="18"/>
                <w:szCs w:val="18"/>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1FA954B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внебюджетные средства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E24D27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5AA1597"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0B01D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65299F5"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29E9015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992" w:type="dxa"/>
            <w:tcBorders>
              <w:top w:val="single" w:sz="4" w:space="0" w:color="auto"/>
              <w:left w:val="nil"/>
              <w:bottom w:val="single" w:sz="4" w:space="0" w:color="auto"/>
              <w:right w:val="double" w:sz="4" w:space="0" w:color="auto"/>
            </w:tcBorders>
            <w:shd w:val="clear" w:color="auto" w:fill="auto"/>
            <w:vAlign w:val="center"/>
            <w:hideMark/>
          </w:tcPr>
          <w:p w14:paraId="6AE5C01F"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r>
      <w:tr w:rsidR="00D470B6" w:rsidRPr="00A53AD7" w14:paraId="7CE4C8CD" w14:textId="77777777" w:rsidTr="001D2B6D">
        <w:trPr>
          <w:trHeight w:val="122"/>
        </w:trPr>
        <w:tc>
          <w:tcPr>
            <w:tcW w:w="2160" w:type="dxa"/>
            <w:vMerge w:val="restart"/>
            <w:tcBorders>
              <w:top w:val="nil"/>
              <w:left w:val="double" w:sz="4" w:space="0" w:color="auto"/>
              <w:bottom w:val="single" w:sz="4" w:space="0" w:color="auto"/>
              <w:right w:val="single" w:sz="4" w:space="0" w:color="auto"/>
            </w:tcBorders>
            <w:shd w:val="clear" w:color="auto" w:fill="auto"/>
            <w:vAlign w:val="center"/>
            <w:hideMark/>
          </w:tcPr>
          <w:p w14:paraId="58272638" w14:textId="77777777" w:rsidR="001D2B6D" w:rsidRPr="00A53AD7" w:rsidRDefault="001D2B6D" w:rsidP="001D2B6D">
            <w:pPr>
              <w:spacing w:after="0" w:line="240" w:lineRule="auto"/>
              <w:ind w:left="142" w:right="141"/>
              <w:jc w:val="center"/>
              <w:rPr>
                <w:rFonts w:ascii="Times New Roman" w:eastAsia="Times New Roman" w:hAnsi="Times New Roman"/>
                <w:bCs/>
                <w:sz w:val="16"/>
                <w:szCs w:val="16"/>
                <w:lang w:eastAsia="ru-RU"/>
              </w:rPr>
            </w:pPr>
            <w:r w:rsidRPr="00A53AD7">
              <w:rPr>
                <w:rFonts w:ascii="Times New Roman" w:eastAsia="Times New Roman" w:hAnsi="Times New Roman"/>
                <w:bCs/>
                <w:sz w:val="18"/>
                <w:szCs w:val="18"/>
                <w:lang w:eastAsia="ru-RU"/>
              </w:rPr>
              <w:t>Государственная программа</w:t>
            </w:r>
            <w:r w:rsidRPr="00A53AD7">
              <w:rPr>
                <w:rFonts w:ascii="Times New Roman" w:eastAsia="Times New Roman" w:hAnsi="Times New Roman"/>
                <w:sz w:val="16"/>
                <w:szCs w:val="16"/>
                <w:lang w:eastAsia="ru-RU"/>
              </w:rPr>
              <w:t xml:space="preserve"> </w:t>
            </w:r>
            <w:r w:rsidRPr="00A53AD7">
              <w:rPr>
                <w:rFonts w:ascii="Times New Roman" w:eastAsia="Times New Roman" w:hAnsi="Times New Roman"/>
                <w:bCs/>
                <w:sz w:val="18"/>
                <w:szCs w:val="18"/>
                <w:lang w:eastAsia="ru-RU"/>
              </w:rPr>
              <w:t>Архангельской области</w:t>
            </w:r>
            <w:r w:rsidRPr="00A53AD7">
              <w:rPr>
                <w:rFonts w:ascii="Times New Roman" w:eastAsia="Times New Roman" w:hAnsi="Times New Roman"/>
                <w:sz w:val="16"/>
                <w:szCs w:val="16"/>
                <w:lang w:eastAsia="ru-RU"/>
              </w:rPr>
              <w:t xml:space="preserve"> </w:t>
            </w:r>
            <w:r w:rsidRPr="00A53AD7">
              <w:rPr>
                <w:rFonts w:ascii="Times New Roman" w:eastAsia="Times New Roman" w:hAnsi="Times New Roman"/>
                <w:sz w:val="18"/>
                <w:szCs w:val="18"/>
                <w:lang w:eastAsia="ru-RU"/>
              </w:rPr>
              <w:t>"Охрана окружающей среды, воспроизводство и использование природных ресурсов Архангельской области"</w:t>
            </w:r>
          </w:p>
        </w:tc>
        <w:tc>
          <w:tcPr>
            <w:tcW w:w="1295" w:type="dxa"/>
            <w:tcBorders>
              <w:top w:val="nil"/>
              <w:left w:val="nil"/>
              <w:bottom w:val="single" w:sz="4" w:space="0" w:color="auto"/>
              <w:right w:val="single" w:sz="4" w:space="0" w:color="auto"/>
            </w:tcBorders>
            <w:shd w:val="clear" w:color="auto" w:fill="auto"/>
            <w:vAlign w:val="center"/>
            <w:hideMark/>
          </w:tcPr>
          <w:p w14:paraId="70F22714" w14:textId="77777777" w:rsidR="001D2B6D" w:rsidRPr="00A53AD7" w:rsidRDefault="001D2B6D" w:rsidP="001D2B6D">
            <w:pPr>
              <w:spacing w:after="0" w:line="240" w:lineRule="auto"/>
              <w:ind w:left="142" w:right="141"/>
              <w:jc w:val="center"/>
              <w:rPr>
                <w:rFonts w:ascii="Times New Roman" w:eastAsia="Times New Roman" w:hAnsi="Times New Roman"/>
                <w:bCs/>
                <w:sz w:val="18"/>
                <w:szCs w:val="18"/>
                <w:lang w:eastAsia="ru-RU"/>
              </w:rPr>
            </w:pPr>
            <w:r w:rsidRPr="00A53AD7">
              <w:rPr>
                <w:rFonts w:ascii="Times New Roman" w:eastAsia="Times New Roman" w:hAnsi="Times New Roman"/>
                <w:bCs/>
                <w:sz w:val="18"/>
                <w:szCs w:val="18"/>
                <w:lang w:eastAsia="ru-RU"/>
              </w:rPr>
              <w:t>всего</w:t>
            </w:r>
          </w:p>
        </w:tc>
        <w:tc>
          <w:tcPr>
            <w:tcW w:w="993" w:type="dxa"/>
            <w:tcBorders>
              <w:top w:val="nil"/>
              <w:left w:val="nil"/>
              <w:bottom w:val="single" w:sz="4" w:space="0" w:color="auto"/>
              <w:right w:val="single" w:sz="4" w:space="0" w:color="auto"/>
            </w:tcBorders>
            <w:shd w:val="clear" w:color="auto" w:fill="auto"/>
            <w:vAlign w:val="center"/>
            <w:hideMark/>
          </w:tcPr>
          <w:p w14:paraId="14D22A52"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2 918,00</w:t>
            </w:r>
          </w:p>
        </w:tc>
        <w:tc>
          <w:tcPr>
            <w:tcW w:w="850" w:type="dxa"/>
            <w:tcBorders>
              <w:top w:val="nil"/>
              <w:left w:val="nil"/>
              <w:bottom w:val="single" w:sz="4" w:space="0" w:color="auto"/>
              <w:right w:val="single" w:sz="4" w:space="0" w:color="auto"/>
            </w:tcBorders>
            <w:shd w:val="clear" w:color="auto" w:fill="auto"/>
            <w:vAlign w:val="center"/>
            <w:hideMark/>
          </w:tcPr>
          <w:p w14:paraId="5DAE4F99"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310,7</w:t>
            </w:r>
          </w:p>
        </w:tc>
        <w:tc>
          <w:tcPr>
            <w:tcW w:w="1134" w:type="dxa"/>
            <w:tcBorders>
              <w:top w:val="nil"/>
              <w:left w:val="nil"/>
              <w:bottom w:val="single" w:sz="4" w:space="0" w:color="auto"/>
              <w:right w:val="single" w:sz="4" w:space="0" w:color="auto"/>
            </w:tcBorders>
            <w:shd w:val="clear" w:color="auto" w:fill="auto"/>
            <w:vAlign w:val="center"/>
            <w:hideMark/>
          </w:tcPr>
          <w:p w14:paraId="03308930" w14:textId="77777777" w:rsidR="001D2B6D" w:rsidRPr="00A53AD7" w:rsidRDefault="001D2B6D" w:rsidP="001D2B6D">
            <w:pPr>
              <w:spacing w:after="0" w:line="240" w:lineRule="auto"/>
              <w:ind w:left="142"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3 733,23</w:t>
            </w:r>
          </w:p>
        </w:tc>
        <w:tc>
          <w:tcPr>
            <w:tcW w:w="992" w:type="dxa"/>
            <w:tcBorders>
              <w:top w:val="nil"/>
              <w:left w:val="nil"/>
              <w:bottom w:val="single" w:sz="4" w:space="0" w:color="auto"/>
              <w:right w:val="single" w:sz="4" w:space="0" w:color="auto"/>
            </w:tcBorders>
            <w:shd w:val="clear" w:color="auto" w:fill="auto"/>
            <w:vAlign w:val="center"/>
            <w:hideMark/>
          </w:tcPr>
          <w:p w14:paraId="780B996D"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826,95</w:t>
            </w:r>
          </w:p>
        </w:tc>
        <w:tc>
          <w:tcPr>
            <w:tcW w:w="993" w:type="dxa"/>
            <w:tcBorders>
              <w:top w:val="nil"/>
              <w:left w:val="nil"/>
              <w:bottom w:val="single" w:sz="4" w:space="0" w:color="auto"/>
              <w:right w:val="single" w:sz="4" w:space="0" w:color="auto"/>
            </w:tcBorders>
            <w:shd w:val="clear" w:color="auto" w:fill="auto"/>
            <w:vAlign w:val="center"/>
            <w:hideMark/>
          </w:tcPr>
          <w:p w14:paraId="7009E422"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815,13</w:t>
            </w:r>
          </w:p>
        </w:tc>
        <w:tc>
          <w:tcPr>
            <w:tcW w:w="992" w:type="dxa"/>
            <w:tcBorders>
              <w:top w:val="nil"/>
              <w:left w:val="nil"/>
              <w:bottom w:val="single" w:sz="4" w:space="0" w:color="auto"/>
              <w:right w:val="double" w:sz="4" w:space="0" w:color="auto"/>
            </w:tcBorders>
            <w:shd w:val="clear" w:color="auto" w:fill="auto"/>
            <w:vAlign w:val="center"/>
            <w:hideMark/>
          </w:tcPr>
          <w:p w14:paraId="4681CEBB" w14:textId="77777777" w:rsidR="001D2B6D" w:rsidRPr="00A53AD7" w:rsidRDefault="001D2B6D" w:rsidP="001D2B6D">
            <w:pPr>
              <w:spacing w:after="0" w:line="240" w:lineRule="auto"/>
              <w:ind w:right="141"/>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516,25</w:t>
            </w:r>
          </w:p>
        </w:tc>
      </w:tr>
      <w:tr w:rsidR="00D470B6" w:rsidRPr="00A53AD7" w14:paraId="3EE44744"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6FF85DC0" w14:textId="77777777" w:rsidR="001D2B6D" w:rsidRPr="00A53AD7" w:rsidRDefault="001D2B6D" w:rsidP="001D2B6D">
            <w:pPr>
              <w:spacing w:after="0" w:line="240" w:lineRule="auto"/>
              <w:ind w:left="142" w:right="141"/>
              <w:rPr>
                <w:rFonts w:ascii="Times New Roman" w:eastAsia="Times New Roman" w:hAnsi="Times New Roman"/>
                <w:bCs/>
                <w:sz w:val="16"/>
                <w:szCs w:val="16"/>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26318391"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федеральный бюджет</w:t>
            </w:r>
          </w:p>
        </w:tc>
        <w:tc>
          <w:tcPr>
            <w:tcW w:w="993" w:type="dxa"/>
            <w:tcBorders>
              <w:top w:val="nil"/>
              <w:left w:val="nil"/>
              <w:bottom w:val="single" w:sz="4" w:space="0" w:color="auto"/>
              <w:right w:val="single" w:sz="4" w:space="0" w:color="auto"/>
            </w:tcBorders>
            <w:shd w:val="clear" w:color="auto" w:fill="auto"/>
            <w:vAlign w:val="center"/>
            <w:hideMark/>
          </w:tcPr>
          <w:p w14:paraId="54910C0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873,2</w:t>
            </w:r>
          </w:p>
        </w:tc>
        <w:tc>
          <w:tcPr>
            <w:tcW w:w="850" w:type="dxa"/>
            <w:tcBorders>
              <w:top w:val="nil"/>
              <w:left w:val="nil"/>
              <w:bottom w:val="single" w:sz="4" w:space="0" w:color="auto"/>
              <w:right w:val="single" w:sz="4" w:space="0" w:color="auto"/>
            </w:tcBorders>
            <w:shd w:val="clear" w:color="auto" w:fill="auto"/>
            <w:vAlign w:val="center"/>
            <w:hideMark/>
          </w:tcPr>
          <w:p w14:paraId="5B87EEF1"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113,9</w:t>
            </w:r>
          </w:p>
        </w:tc>
        <w:tc>
          <w:tcPr>
            <w:tcW w:w="1134" w:type="dxa"/>
            <w:tcBorders>
              <w:top w:val="nil"/>
              <w:left w:val="nil"/>
              <w:bottom w:val="single" w:sz="4" w:space="0" w:color="auto"/>
              <w:right w:val="single" w:sz="4" w:space="0" w:color="auto"/>
            </w:tcBorders>
            <w:shd w:val="clear" w:color="auto" w:fill="auto"/>
            <w:vAlign w:val="center"/>
            <w:hideMark/>
          </w:tcPr>
          <w:p w14:paraId="08E6717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902,78</w:t>
            </w:r>
          </w:p>
        </w:tc>
        <w:tc>
          <w:tcPr>
            <w:tcW w:w="992" w:type="dxa"/>
            <w:tcBorders>
              <w:top w:val="nil"/>
              <w:left w:val="nil"/>
              <w:bottom w:val="single" w:sz="4" w:space="0" w:color="auto"/>
              <w:right w:val="single" w:sz="4" w:space="0" w:color="auto"/>
            </w:tcBorders>
            <w:shd w:val="clear" w:color="auto" w:fill="auto"/>
            <w:vAlign w:val="center"/>
            <w:hideMark/>
          </w:tcPr>
          <w:p w14:paraId="0B9AA005"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149,17</w:t>
            </w:r>
          </w:p>
        </w:tc>
        <w:tc>
          <w:tcPr>
            <w:tcW w:w="993" w:type="dxa"/>
            <w:tcBorders>
              <w:top w:val="nil"/>
              <w:left w:val="nil"/>
              <w:bottom w:val="single" w:sz="4" w:space="0" w:color="auto"/>
              <w:right w:val="single" w:sz="4" w:space="0" w:color="auto"/>
            </w:tcBorders>
            <w:shd w:val="clear" w:color="auto" w:fill="auto"/>
            <w:vAlign w:val="center"/>
            <w:hideMark/>
          </w:tcPr>
          <w:p w14:paraId="45F99A7C"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29,58</w:t>
            </w:r>
          </w:p>
        </w:tc>
        <w:tc>
          <w:tcPr>
            <w:tcW w:w="992" w:type="dxa"/>
            <w:tcBorders>
              <w:top w:val="nil"/>
              <w:left w:val="nil"/>
              <w:bottom w:val="single" w:sz="4" w:space="0" w:color="auto"/>
              <w:right w:val="double" w:sz="4" w:space="0" w:color="auto"/>
            </w:tcBorders>
            <w:shd w:val="clear" w:color="auto" w:fill="auto"/>
            <w:vAlign w:val="center"/>
            <w:hideMark/>
          </w:tcPr>
          <w:p w14:paraId="13A8698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35,27</w:t>
            </w:r>
          </w:p>
        </w:tc>
      </w:tr>
      <w:tr w:rsidR="00D470B6" w:rsidRPr="00A53AD7" w14:paraId="28893C77"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568EC788" w14:textId="77777777" w:rsidR="001D2B6D" w:rsidRPr="00A53AD7" w:rsidRDefault="001D2B6D" w:rsidP="001D2B6D">
            <w:pPr>
              <w:spacing w:after="0" w:line="240" w:lineRule="auto"/>
              <w:ind w:left="142" w:right="141"/>
              <w:rPr>
                <w:rFonts w:ascii="Times New Roman" w:eastAsia="Times New Roman" w:hAnsi="Times New Roman"/>
                <w:bCs/>
                <w:sz w:val="16"/>
                <w:szCs w:val="16"/>
                <w:lang w:eastAsia="ru-RU"/>
              </w:rPr>
            </w:pPr>
          </w:p>
        </w:tc>
        <w:tc>
          <w:tcPr>
            <w:tcW w:w="1295" w:type="dxa"/>
            <w:tcBorders>
              <w:top w:val="single" w:sz="4" w:space="0" w:color="auto"/>
              <w:left w:val="nil"/>
              <w:bottom w:val="single" w:sz="4" w:space="0" w:color="auto"/>
              <w:right w:val="single" w:sz="4" w:space="0" w:color="auto"/>
            </w:tcBorders>
            <w:shd w:val="clear" w:color="auto" w:fill="auto"/>
            <w:vAlign w:val="center"/>
            <w:hideMark/>
          </w:tcPr>
          <w:p w14:paraId="3E897F5A"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областной бюджет</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BE77C75"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1 318,70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A9E6966"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E402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1 841,34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130DB2E"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417,61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A5575EF"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522,64</w:t>
            </w:r>
          </w:p>
        </w:tc>
        <w:tc>
          <w:tcPr>
            <w:tcW w:w="992" w:type="dxa"/>
            <w:tcBorders>
              <w:top w:val="single" w:sz="4" w:space="0" w:color="auto"/>
              <w:left w:val="nil"/>
              <w:bottom w:val="single" w:sz="4" w:space="0" w:color="auto"/>
              <w:right w:val="double" w:sz="4" w:space="0" w:color="auto"/>
            </w:tcBorders>
            <w:shd w:val="clear" w:color="auto" w:fill="auto"/>
            <w:vAlign w:val="center"/>
            <w:hideMark/>
          </w:tcPr>
          <w:p w14:paraId="3B9A4657" w14:textId="77777777" w:rsidR="001D2B6D" w:rsidRPr="00A53AD7" w:rsidRDefault="001D2B6D" w:rsidP="001D2B6D">
            <w:pPr>
              <w:spacing w:after="0" w:line="240" w:lineRule="auto"/>
              <w:ind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233,31</w:t>
            </w:r>
          </w:p>
        </w:tc>
      </w:tr>
      <w:tr w:rsidR="00D470B6" w:rsidRPr="00A53AD7" w14:paraId="4085244D"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33E1784C" w14:textId="77777777" w:rsidR="001D2B6D" w:rsidRPr="00A53AD7" w:rsidRDefault="001D2B6D" w:rsidP="001D2B6D">
            <w:pPr>
              <w:spacing w:after="0" w:line="240" w:lineRule="auto"/>
              <w:ind w:left="142" w:right="141"/>
              <w:rPr>
                <w:rFonts w:ascii="Times New Roman" w:eastAsia="Times New Roman" w:hAnsi="Times New Roman"/>
                <w:bCs/>
                <w:sz w:val="16"/>
                <w:szCs w:val="16"/>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6BD0D7FE"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местные бюджеты</w:t>
            </w:r>
          </w:p>
        </w:tc>
        <w:tc>
          <w:tcPr>
            <w:tcW w:w="993" w:type="dxa"/>
            <w:tcBorders>
              <w:top w:val="nil"/>
              <w:left w:val="nil"/>
              <w:bottom w:val="single" w:sz="4" w:space="0" w:color="auto"/>
              <w:right w:val="single" w:sz="4" w:space="0" w:color="auto"/>
            </w:tcBorders>
            <w:shd w:val="clear" w:color="auto" w:fill="auto"/>
            <w:vAlign w:val="center"/>
            <w:hideMark/>
          </w:tcPr>
          <w:p w14:paraId="45FB2A0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41,4</w:t>
            </w:r>
          </w:p>
        </w:tc>
        <w:tc>
          <w:tcPr>
            <w:tcW w:w="850" w:type="dxa"/>
            <w:tcBorders>
              <w:top w:val="nil"/>
              <w:left w:val="nil"/>
              <w:bottom w:val="single" w:sz="4" w:space="0" w:color="auto"/>
              <w:right w:val="single" w:sz="4" w:space="0" w:color="auto"/>
            </w:tcBorders>
            <w:shd w:val="clear" w:color="auto" w:fill="auto"/>
            <w:vAlign w:val="center"/>
            <w:hideMark/>
          </w:tcPr>
          <w:p w14:paraId="4F891B73"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59EEE5B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97,87</w:t>
            </w:r>
          </w:p>
        </w:tc>
        <w:tc>
          <w:tcPr>
            <w:tcW w:w="992" w:type="dxa"/>
            <w:tcBorders>
              <w:top w:val="nil"/>
              <w:left w:val="nil"/>
              <w:bottom w:val="single" w:sz="4" w:space="0" w:color="auto"/>
              <w:right w:val="single" w:sz="4" w:space="0" w:color="auto"/>
            </w:tcBorders>
            <w:shd w:val="clear" w:color="auto" w:fill="auto"/>
            <w:vAlign w:val="center"/>
            <w:hideMark/>
          </w:tcPr>
          <w:p w14:paraId="3CF07122"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41,67</w:t>
            </w:r>
          </w:p>
        </w:tc>
        <w:tc>
          <w:tcPr>
            <w:tcW w:w="993" w:type="dxa"/>
            <w:tcBorders>
              <w:top w:val="nil"/>
              <w:left w:val="nil"/>
              <w:bottom w:val="single" w:sz="4" w:space="0" w:color="auto"/>
              <w:right w:val="single" w:sz="4" w:space="0" w:color="auto"/>
            </w:tcBorders>
            <w:shd w:val="clear" w:color="auto" w:fill="auto"/>
            <w:vAlign w:val="center"/>
            <w:hideMark/>
          </w:tcPr>
          <w:p w14:paraId="6F30E749"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56,47</w:t>
            </w:r>
          </w:p>
        </w:tc>
        <w:tc>
          <w:tcPr>
            <w:tcW w:w="992" w:type="dxa"/>
            <w:tcBorders>
              <w:top w:val="nil"/>
              <w:left w:val="nil"/>
              <w:bottom w:val="single" w:sz="4" w:space="0" w:color="auto"/>
              <w:right w:val="double" w:sz="4" w:space="0" w:color="auto"/>
            </w:tcBorders>
            <w:shd w:val="clear" w:color="auto" w:fill="auto"/>
            <w:vAlign w:val="center"/>
            <w:hideMark/>
          </w:tcPr>
          <w:p w14:paraId="4225D5B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41,17</w:t>
            </w:r>
          </w:p>
        </w:tc>
      </w:tr>
      <w:tr w:rsidR="00D470B6" w:rsidRPr="00A53AD7" w14:paraId="0D06B7F1" w14:textId="77777777" w:rsidTr="001D2B6D">
        <w:trPr>
          <w:trHeight w:val="408"/>
        </w:trPr>
        <w:tc>
          <w:tcPr>
            <w:tcW w:w="2160" w:type="dxa"/>
            <w:vMerge/>
            <w:tcBorders>
              <w:top w:val="nil"/>
              <w:left w:val="double" w:sz="4" w:space="0" w:color="auto"/>
              <w:bottom w:val="single" w:sz="4" w:space="0" w:color="auto"/>
              <w:right w:val="single" w:sz="4" w:space="0" w:color="auto"/>
            </w:tcBorders>
            <w:vAlign w:val="center"/>
            <w:hideMark/>
          </w:tcPr>
          <w:p w14:paraId="4ECE6EBF" w14:textId="77777777" w:rsidR="001D2B6D" w:rsidRPr="00A53AD7" w:rsidRDefault="001D2B6D" w:rsidP="001D2B6D">
            <w:pPr>
              <w:spacing w:after="0" w:line="240" w:lineRule="auto"/>
              <w:ind w:left="142" w:right="141"/>
              <w:rPr>
                <w:rFonts w:ascii="Times New Roman" w:eastAsia="Times New Roman" w:hAnsi="Times New Roman"/>
                <w:bCs/>
                <w:sz w:val="16"/>
                <w:szCs w:val="16"/>
                <w:lang w:eastAsia="ru-RU"/>
              </w:rPr>
            </w:pPr>
          </w:p>
        </w:tc>
        <w:tc>
          <w:tcPr>
            <w:tcW w:w="1295" w:type="dxa"/>
            <w:tcBorders>
              <w:top w:val="nil"/>
              <w:left w:val="nil"/>
              <w:bottom w:val="single" w:sz="4" w:space="0" w:color="auto"/>
              <w:right w:val="single" w:sz="4" w:space="0" w:color="auto"/>
            </w:tcBorders>
            <w:shd w:val="clear" w:color="auto" w:fill="auto"/>
            <w:vAlign w:val="center"/>
            <w:hideMark/>
          </w:tcPr>
          <w:p w14:paraId="607B67E2"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внебюджетные средства</w:t>
            </w:r>
          </w:p>
        </w:tc>
        <w:tc>
          <w:tcPr>
            <w:tcW w:w="993" w:type="dxa"/>
            <w:tcBorders>
              <w:top w:val="nil"/>
              <w:left w:val="nil"/>
              <w:bottom w:val="single" w:sz="4" w:space="0" w:color="auto"/>
              <w:right w:val="single" w:sz="4" w:space="0" w:color="auto"/>
            </w:tcBorders>
            <w:shd w:val="clear" w:color="auto" w:fill="auto"/>
            <w:vAlign w:val="center"/>
            <w:hideMark/>
          </w:tcPr>
          <w:p w14:paraId="794D226A"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684,8</w:t>
            </w:r>
          </w:p>
        </w:tc>
        <w:tc>
          <w:tcPr>
            <w:tcW w:w="850" w:type="dxa"/>
            <w:tcBorders>
              <w:top w:val="nil"/>
              <w:left w:val="nil"/>
              <w:bottom w:val="single" w:sz="4" w:space="0" w:color="auto"/>
              <w:right w:val="single" w:sz="4" w:space="0" w:color="auto"/>
            </w:tcBorders>
            <w:shd w:val="clear" w:color="auto" w:fill="auto"/>
            <w:vAlign w:val="center"/>
            <w:hideMark/>
          </w:tcPr>
          <w:p w14:paraId="1F2E2A2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91303F0"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691,24</w:t>
            </w:r>
          </w:p>
        </w:tc>
        <w:tc>
          <w:tcPr>
            <w:tcW w:w="992" w:type="dxa"/>
            <w:tcBorders>
              <w:top w:val="nil"/>
              <w:left w:val="nil"/>
              <w:bottom w:val="single" w:sz="4" w:space="0" w:color="auto"/>
              <w:right w:val="single" w:sz="4" w:space="0" w:color="auto"/>
            </w:tcBorders>
            <w:shd w:val="clear" w:color="auto" w:fill="auto"/>
            <w:vAlign w:val="center"/>
            <w:hideMark/>
          </w:tcPr>
          <w:p w14:paraId="798AE0C1"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18,5</w:t>
            </w:r>
          </w:p>
        </w:tc>
        <w:tc>
          <w:tcPr>
            <w:tcW w:w="993" w:type="dxa"/>
            <w:tcBorders>
              <w:top w:val="nil"/>
              <w:left w:val="nil"/>
              <w:bottom w:val="single" w:sz="4" w:space="0" w:color="auto"/>
              <w:right w:val="single" w:sz="4" w:space="0" w:color="auto"/>
            </w:tcBorders>
            <w:shd w:val="clear" w:color="auto" w:fill="auto"/>
            <w:vAlign w:val="center"/>
            <w:hideMark/>
          </w:tcPr>
          <w:p w14:paraId="5FDD52C2"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6,44</w:t>
            </w:r>
          </w:p>
        </w:tc>
        <w:tc>
          <w:tcPr>
            <w:tcW w:w="992" w:type="dxa"/>
            <w:tcBorders>
              <w:top w:val="nil"/>
              <w:left w:val="nil"/>
              <w:bottom w:val="single" w:sz="4" w:space="0" w:color="auto"/>
              <w:right w:val="double" w:sz="4" w:space="0" w:color="auto"/>
            </w:tcBorders>
            <w:shd w:val="clear" w:color="auto" w:fill="auto"/>
            <w:vAlign w:val="center"/>
            <w:hideMark/>
          </w:tcPr>
          <w:p w14:paraId="48BCC60D"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6,5</w:t>
            </w:r>
          </w:p>
        </w:tc>
      </w:tr>
      <w:tr w:rsidR="001D2B6D" w:rsidRPr="00A53AD7" w14:paraId="6AB63B41" w14:textId="77777777" w:rsidTr="001D2B6D">
        <w:trPr>
          <w:trHeight w:val="420"/>
        </w:trPr>
        <w:tc>
          <w:tcPr>
            <w:tcW w:w="2160" w:type="dxa"/>
            <w:vMerge/>
            <w:tcBorders>
              <w:top w:val="nil"/>
              <w:left w:val="double" w:sz="4" w:space="0" w:color="auto"/>
              <w:bottom w:val="double" w:sz="4" w:space="0" w:color="auto"/>
              <w:right w:val="single" w:sz="4" w:space="0" w:color="auto"/>
            </w:tcBorders>
            <w:vAlign w:val="center"/>
            <w:hideMark/>
          </w:tcPr>
          <w:p w14:paraId="55CB5C82" w14:textId="77777777" w:rsidR="001D2B6D" w:rsidRPr="00A53AD7" w:rsidRDefault="001D2B6D" w:rsidP="001D2B6D">
            <w:pPr>
              <w:spacing w:after="0" w:line="240" w:lineRule="auto"/>
              <w:ind w:left="142" w:right="141"/>
              <w:rPr>
                <w:rFonts w:ascii="Times New Roman" w:eastAsia="Times New Roman" w:hAnsi="Times New Roman"/>
                <w:bCs/>
                <w:sz w:val="16"/>
                <w:szCs w:val="16"/>
                <w:lang w:eastAsia="ru-RU"/>
              </w:rPr>
            </w:pPr>
          </w:p>
        </w:tc>
        <w:tc>
          <w:tcPr>
            <w:tcW w:w="1295" w:type="dxa"/>
            <w:tcBorders>
              <w:top w:val="nil"/>
              <w:left w:val="nil"/>
              <w:bottom w:val="double" w:sz="4" w:space="0" w:color="auto"/>
              <w:right w:val="single" w:sz="4" w:space="0" w:color="auto"/>
            </w:tcBorders>
            <w:shd w:val="clear" w:color="auto" w:fill="auto"/>
            <w:vAlign w:val="center"/>
            <w:hideMark/>
          </w:tcPr>
          <w:p w14:paraId="75A8DDC3"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бюджет города Москвы</w:t>
            </w:r>
          </w:p>
        </w:tc>
        <w:tc>
          <w:tcPr>
            <w:tcW w:w="993" w:type="dxa"/>
            <w:tcBorders>
              <w:top w:val="nil"/>
              <w:left w:val="nil"/>
              <w:bottom w:val="double" w:sz="4" w:space="0" w:color="auto"/>
              <w:right w:val="single" w:sz="4" w:space="0" w:color="auto"/>
            </w:tcBorders>
            <w:shd w:val="clear" w:color="auto" w:fill="auto"/>
            <w:vAlign w:val="center"/>
            <w:hideMark/>
          </w:tcPr>
          <w:p w14:paraId="6A506950"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850" w:type="dxa"/>
            <w:tcBorders>
              <w:top w:val="nil"/>
              <w:left w:val="nil"/>
              <w:bottom w:val="double" w:sz="4" w:space="0" w:color="auto"/>
              <w:right w:val="single" w:sz="4" w:space="0" w:color="auto"/>
            </w:tcBorders>
            <w:shd w:val="clear" w:color="auto" w:fill="auto"/>
            <w:vAlign w:val="center"/>
            <w:hideMark/>
          </w:tcPr>
          <w:p w14:paraId="29E51C6C"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w:t>
            </w:r>
          </w:p>
        </w:tc>
        <w:tc>
          <w:tcPr>
            <w:tcW w:w="1134" w:type="dxa"/>
            <w:tcBorders>
              <w:top w:val="nil"/>
              <w:left w:val="nil"/>
              <w:bottom w:val="double" w:sz="4" w:space="0" w:color="auto"/>
              <w:right w:val="single" w:sz="4" w:space="0" w:color="auto"/>
            </w:tcBorders>
            <w:shd w:val="clear" w:color="auto" w:fill="auto"/>
            <w:vAlign w:val="center"/>
            <w:hideMark/>
          </w:tcPr>
          <w:p w14:paraId="55802676"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200,00</w:t>
            </w:r>
          </w:p>
        </w:tc>
        <w:tc>
          <w:tcPr>
            <w:tcW w:w="992" w:type="dxa"/>
            <w:tcBorders>
              <w:top w:val="nil"/>
              <w:left w:val="nil"/>
              <w:bottom w:val="double" w:sz="4" w:space="0" w:color="auto"/>
              <w:right w:val="single" w:sz="4" w:space="0" w:color="auto"/>
            </w:tcBorders>
            <w:shd w:val="clear" w:color="auto" w:fill="auto"/>
            <w:vAlign w:val="center"/>
            <w:hideMark/>
          </w:tcPr>
          <w:p w14:paraId="305064CB"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c>
          <w:tcPr>
            <w:tcW w:w="993" w:type="dxa"/>
            <w:tcBorders>
              <w:top w:val="nil"/>
              <w:left w:val="nil"/>
              <w:bottom w:val="double" w:sz="4" w:space="0" w:color="auto"/>
              <w:right w:val="single" w:sz="4" w:space="0" w:color="auto"/>
            </w:tcBorders>
            <w:shd w:val="clear" w:color="auto" w:fill="auto"/>
            <w:vAlign w:val="center"/>
            <w:hideMark/>
          </w:tcPr>
          <w:p w14:paraId="1737971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c>
          <w:tcPr>
            <w:tcW w:w="992" w:type="dxa"/>
            <w:tcBorders>
              <w:top w:val="nil"/>
              <w:left w:val="nil"/>
              <w:bottom w:val="double" w:sz="4" w:space="0" w:color="auto"/>
              <w:right w:val="double" w:sz="4" w:space="0" w:color="auto"/>
            </w:tcBorders>
            <w:shd w:val="clear" w:color="auto" w:fill="auto"/>
            <w:vAlign w:val="center"/>
            <w:hideMark/>
          </w:tcPr>
          <w:p w14:paraId="4AAD056E" w14:textId="77777777" w:rsidR="001D2B6D" w:rsidRPr="00A53AD7" w:rsidRDefault="001D2B6D" w:rsidP="001D2B6D">
            <w:pPr>
              <w:spacing w:after="0" w:line="240" w:lineRule="auto"/>
              <w:ind w:left="142" w:right="141"/>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r>
    </w:tbl>
    <w:p w14:paraId="6C0C14D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268848FC"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Объемы финансирования госпрограммы на 2019 год в ред. от 26.12.2018 № 627-пп за счет средств федерального и областного бюджетов соответствуют бюджетным ассигнованиям, утвержденным областным законом на 2019 год в ред. от 17.12.2019.</w:t>
      </w:r>
    </w:p>
    <w:p w14:paraId="5564AD1C" w14:textId="4B352654"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Изменения в объемы финансирования программы в течение 2019 года вносились в сроки, установленные п. 25 Порядка разработки и реализации государственных программ Архангельской области, утвержденного постановлением Правительства Архангельской области от 10.07.2012 № 299-пп.</w:t>
      </w:r>
    </w:p>
    <w:p w14:paraId="1251E28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Увеличение финансирования программы на 2019 год более чем в 2 раза с 310,7 млн.руб. до 826,95 млн.руб. достигнуто введением в программу новых мероприятий.</w:t>
      </w:r>
    </w:p>
    <w:p w14:paraId="6A6C9A0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течение 2019 года государственная программа дополнена следующими мероприятиями, реализуемыми в 2019 году минлеспромом АО:</w:t>
      </w:r>
    </w:p>
    <w:p w14:paraId="635DECD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подпрограмму № 1 «Охрана окружающей среды и обеспечение экологической безопасности Архангельской области», включено 5 мероприятий, которые увеличили общее финансирование программы на 425,8 млн.руб. за счет средств областного бюджета на сумму 184,7 млн.руб., местных бюджетов на 41,1 млн.руб. и бюджета города Москвы на 200,0 млн.руб., а именно:</w:t>
      </w:r>
    </w:p>
    <w:p w14:paraId="2553B5F8"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1.9. Создание мест (площадок) накопления (в том числе раздельного накопления) твердых коммунальных отходов с суммой финансирования в 122,7 млн.руб., в том числе средства областного бюджета – 94,8 млн.руб., местного бюджета – 27,9 млн.руб.;</w:t>
      </w:r>
    </w:p>
    <w:p w14:paraId="1778B7F9"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1.11. Содержание мест (площадок) накопления твердых коммунальных отходов с суммой финансирования 88,1 млн.руб., в том числе средства областного бюджета – 74,9 млн.руб., местных бюджетов – 13,2 млн.руб;</w:t>
      </w:r>
    </w:p>
    <w:p w14:paraId="0D368CDF"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2.5. Разработка проектно-сметной документации на рекультивацию полигонов размещения отходов, выводимых из эксплуатации с суммой финансирования за счет средств областного бюджета в размере 15,0 млн.руб.;</w:t>
      </w:r>
    </w:p>
    <w:p w14:paraId="00C71072"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2.7. Разработка проектно-сметной документации на ликвидацию объектов накопленного экологического ущерба – 15,6 млн.руб. за счет средств бюджета города Москвы;</w:t>
      </w:r>
    </w:p>
    <w:p w14:paraId="6FCE9930"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2.8. Ликвидация несанкционированных свалок в Архангельской области – 184,4 млн.руб. за счет средств бюджета города Москвы.</w:t>
      </w:r>
    </w:p>
    <w:p w14:paraId="63D7B3F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подпрограмму № 2 «Воспроизводство и использование природных ресурсов» включено в 2019 год мероприятие 3.1. Информационно-аналитическое обеспечение в сфере сохранения и воспроизводства охотничьих ресурсов с суммой финансирования за счет внебюджетных источников в размере 5,0 млн.руб., при этом мероприятие 1.2. Геологическое изучение и воспроизводство минерально-сырьевой базы пресных подземных вод с суммой финансирования за счет внебюджетных источников в размере 10,0 млн.руб. перенесено с 2019 года на 2020 год.</w:t>
      </w:r>
    </w:p>
    <w:p w14:paraId="65209EF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изменение в раздел 2.3. «Механизм реализации мероприятий подпрограммы № 1» государственной программы, внесенное постановлением Правительства Архангельской области от 14.05.2019 № 262-пп по реализации мероприятия 2.3 перечня мероприятий подпрограммы № 1 (приложение № 2 к государственной программе) ГБУ «Центр природопользования и охраны окружающей среды», противоречит положению ч. 2 ст. 179 БК РФ и п. 22 Порядка № 299-пп.</w:t>
      </w:r>
    </w:p>
    <w:p w14:paraId="2F8044F3" w14:textId="6E04B453"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Финансирование программных мероприятий на 2019 год в разрезе главных распорядителей средств областного бюджета по источникам финансирования (в ред. 24.12.2019 № 723-пп) представлено в таблице </w:t>
      </w:r>
      <w:r w:rsidR="006B1B2F" w:rsidRPr="00A53AD7">
        <w:rPr>
          <w:rFonts w:ascii="Times New Roman" w:hAnsi="Times New Roman"/>
          <w:sz w:val="28"/>
          <w:szCs w:val="28"/>
        </w:rPr>
        <w:t>49</w:t>
      </w:r>
      <w:r w:rsidRPr="00A53AD7">
        <w:rPr>
          <w:rFonts w:ascii="Times New Roman" w:hAnsi="Times New Roman"/>
          <w:sz w:val="28"/>
          <w:szCs w:val="28"/>
        </w:rPr>
        <w:t>.</w:t>
      </w:r>
    </w:p>
    <w:p w14:paraId="66E1ED79" w14:textId="77777777" w:rsidR="001D2B6D" w:rsidRPr="00A53AD7" w:rsidRDefault="001D2B6D" w:rsidP="001D2B6D">
      <w:pPr>
        <w:spacing w:after="0" w:line="240" w:lineRule="auto"/>
        <w:ind w:left="142" w:right="141"/>
        <w:jc w:val="both"/>
        <w:rPr>
          <w:rFonts w:ascii="Times New Roman" w:hAnsi="Times New Roman"/>
          <w:sz w:val="28"/>
          <w:szCs w:val="28"/>
          <w:highlight w:val="cyan"/>
        </w:rPr>
      </w:pPr>
    </w:p>
    <w:p w14:paraId="04603AF0" w14:textId="77777777" w:rsidR="001D2B6D" w:rsidRPr="00A53AD7" w:rsidRDefault="001D2B6D" w:rsidP="001D2B6D">
      <w:pPr>
        <w:spacing w:after="0" w:line="240" w:lineRule="auto"/>
        <w:ind w:left="142" w:right="141"/>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49</w:t>
      </w:r>
      <w:r w:rsidRPr="00A53AD7">
        <w:rPr>
          <w:rFonts w:ascii="Times New Roman" w:hAnsi="Times New Roman"/>
          <w:sz w:val="24"/>
          <w:szCs w:val="24"/>
        </w:rPr>
        <w:fldChar w:fldCharType="end"/>
      </w:r>
      <w:r w:rsidRPr="00A53AD7">
        <w:rPr>
          <w:rFonts w:ascii="Times New Roman" w:hAnsi="Times New Roman"/>
          <w:sz w:val="24"/>
          <w:szCs w:val="24"/>
        </w:rPr>
        <w:t>. Финансирование программных мероприятий на 2019 год в разрезе главных распорядителей средств областного бюджета по источникам финансирования</w:t>
      </w:r>
    </w:p>
    <w:tbl>
      <w:tblPr>
        <w:tblW w:w="9106"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53"/>
        <w:gridCol w:w="2126"/>
        <w:gridCol w:w="1984"/>
        <w:gridCol w:w="1843"/>
      </w:tblGrid>
      <w:tr w:rsidR="00D470B6" w:rsidRPr="00A53AD7" w14:paraId="381FC0E5" w14:textId="77777777" w:rsidTr="001D2B6D">
        <w:trPr>
          <w:trHeight w:val="192"/>
        </w:trPr>
        <w:tc>
          <w:tcPr>
            <w:tcW w:w="3153" w:type="dxa"/>
            <w:shd w:val="clear" w:color="auto" w:fill="auto"/>
            <w:vAlign w:val="center"/>
            <w:hideMark/>
          </w:tcPr>
          <w:p w14:paraId="7AC1C5F3"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ГРБС</w:t>
            </w:r>
          </w:p>
        </w:tc>
        <w:tc>
          <w:tcPr>
            <w:tcW w:w="2126" w:type="dxa"/>
            <w:shd w:val="clear" w:color="auto" w:fill="auto"/>
            <w:vAlign w:val="center"/>
            <w:hideMark/>
          </w:tcPr>
          <w:p w14:paraId="76D40764"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Минприроды АО</w:t>
            </w:r>
          </w:p>
        </w:tc>
        <w:tc>
          <w:tcPr>
            <w:tcW w:w="1984" w:type="dxa"/>
            <w:shd w:val="clear" w:color="auto" w:fill="auto"/>
            <w:vAlign w:val="center"/>
            <w:hideMark/>
          </w:tcPr>
          <w:p w14:paraId="3F2C7AF1"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Минстрой АО</w:t>
            </w:r>
          </w:p>
        </w:tc>
        <w:tc>
          <w:tcPr>
            <w:tcW w:w="1843" w:type="dxa"/>
            <w:shd w:val="clear" w:color="auto" w:fill="auto"/>
            <w:vAlign w:val="center"/>
            <w:hideMark/>
          </w:tcPr>
          <w:p w14:paraId="287553E2"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r>
      <w:tr w:rsidR="00D470B6" w:rsidRPr="00A53AD7" w14:paraId="0B3588A4" w14:textId="77777777" w:rsidTr="001D2B6D">
        <w:trPr>
          <w:trHeight w:val="348"/>
        </w:trPr>
        <w:tc>
          <w:tcPr>
            <w:tcW w:w="3153" w:type="dxa"/>
            <w:shd w:val="clear" w:color="auto" w:fill="auto"/>
            <w:vAlign w:val="center"/>
            <w:hideMark/>
          </w:tcPr>
          <w:p w14:paraId="3537E915" w14:textId="00D258CC"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Объем и</w:t>
            </w:r>
            <w:r w:rsidR="00163D1C" w:rsidRPr="00A53AD7">
              <w:rPr>
                <w:rFonts w:ascii="Times New Roman" w:eastAsia="Times New Roman" w:hAnsi="Times New Roman"/>
                <w:b/>
                <w:bCs/>
                <w:lang w:eastAsia="ru-RU"/>
              </w:rPr>
              <w:t xml:space="preserve"> источники финансирования (млн.</w:t>
            </w:r>
            <w:r w:rsidRPr="00A53AD7">
              <w:rPr>
                <w:rFonts w:ascii="Times New Roman" w:eastAsia="Times New Roman" w:hAnsi="Times New Roman"/>
                <w:b/>
                <w:bCs/>
                <w:lang w:eastAsia="ru-RU"/>
              </w:rPr>
              <w:t>руб.):</w:t>
            </w:r>
          </w:p>
        </w:tc>
        <w:tc>
          <w:tcPr>
            <w:tcW w:w="2126" w:type="dxa"/>
            <w:shd w:val="clear" w:color="auto" w:fill="auto"/>
            <w:vAlign w:val="center"/>
            <w:hideMark/>
          </w:tcPr>
          <w:p w14:paraId="3CF5A6F1"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579,2</w:t>
            </w:r>
          </w:p>
        </w:tc>
        <w:tc>
          <w:tcPr>
            <w:tcW w:w="1984" w:type="dxa"/>
            <w:shd w:val="clear" w:color="auto" w:fill="auto"/>
            <w:vAlign w:val="center"/>
            <w:hideMark/>
          </w:tcPr>
          <w:p w14:paraId="37123D0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247,8</w:t>
            </w:r>
          </w:p>
        </w:tc>
        <w:tc>
          <w:tcPr>
            <w:tcW w:w="1843" w:type="dxa"/>
            <w:shd w:val="clear" w:color="auto" w:fill="auto"/>
            <w:vAlign w:val="center"/>
            <w:hideMark/>
          </w:tcPr>
          <w:p w14:paraId="51BAED7C"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827,0</w:t>
            </w:r>
          </w:p>
        </w:tc>
      </w:tr>
      <w:tr w:rsidR="00D470B6" w:rsidRPr="00A53AD7" w14:paraId="60FE1338" w14:textId="77777777" w:rsidTr="001D2B6D">
        <w:trPr>
          <w:trHeight w:hRule="exact" w:val="255"/>
        </w:trPr>
        <w:tc>
          <w:tcPr>
            <w:tcW w:w="3153" w:type="dxa"/>
            <w:shd w:val="clear" w:color="auto" w:fill="auto"/>
            <w:vAlign w:val="center"/>
            <w:hideMark/>
          </w:tcPr>
          <w:p w14:paraId="1FC79FD9" w14:textId="77777777" w:rsidR="001D2B6D" w:rsidRPr="00A53AD7" w:rsidRDefault="001D2B6D" w:rsidP="001D2B6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2126" w:type="dxa"/>
            <w:shd w:val="clear" w:color="auto" w:fill="auto"/>
            <w:vAlign w:val="center"/>
            <w:hideMark/>
          </w:tcPr>
          <w:p w14:paraId="484BF803"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w:t>
            </w:r>
          </w:p>
        </w:tc>
        <w:tc>
          <w:tcPr>
            <w:tcW w:w="1984" w:type="dxa"/>
            <w:shd w:val="clear" w:color="auto" w:fill="auto"/>
            <w:vAlign w:val="center"/>
            <w:hideMark/>
          </w:tcPr>
          <w:p w14:paraId="25765D1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w:t>
            </w:r>
          </w:p>
        </w:tc>
        <w:tc>
          <w:tcPr>
            <w:tcW w:w="1843" w:type="dxa"/>
            <w:shd w:val="clear" w:color="auto" w:fill="auto"/>
            <w:vAlign w:val="center"/>
            <w:hideMark/>
          </w:tcPr>
          <w:p w14:paraId="48DCFDB6"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w:t>
            </w:r>
          </w:p>
        </w:tc>
      </w:tr>
      <w:tr w:rsidR="00D470B6" w:rsidRPr="00A53AD7" w14:paraId="415DFA01" w14:textId="77777777" w:rsidTr="001D2B6D">
        <w:trPr>
          <w:trHeight w:hRule="exact" w:val="255"/>
        </w:trPr>
        <w:tc>
          <w:tcPr>
            <w:tcW w:w="3153" w:type="dxa"/>
            <w:shd w:val="clear" w:color="auto" w:fill="auto"/>
            <w:vAlign w:val="center"/>
            <w:hideMark/>
          </w:tcPr>
          <w:p w14:paraId="0E343EF6"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федеральный бюджет</w:t>
            </w:r>
          </w:p>
        </w:tc>
        <w:tc>
          <w:tcPr>
            <w:tcW w:w="2126" w:type="dxa"/>
            <w:shd w:val="clear" w:color="auto" w:fill="auto"/>
            <w:vAlign w:val="center"/>
            <w:hideMark/>
          </w:tcPr>
          <w:p w14:paraId="05602143"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34,9</w:t>
            </w:r>
          </w:p>
        </w:tc>
        <w:tc>
          <w:tcPr>
            <w:tcW w:w="1984" w:type="dxa"/>
            <w:shd w:val="clear" w:color="auto" w:fill="auto"/>
            <w:vAlign w:val="center"/>
            <w:hideMark/>
          </w:tcPr>
          <w:p w14:paraId="53E8BC2A"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114,3</w:t>
            </w:r>
          </w:p>
        </w:tc>
        <w:tc>
          <w:tcPr>
            <w:tcW w:w="1843" w:type="dxa"/>
            <w:shd w:val="clear" w:color="auto" w:fill="auto"/>
            <w:vAlign w:val="center"/>
            <w:hideMark/>
          </w:tcPr>
          <w:p w14:paraId="22877346"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149,2</w:t>
            </w:r>
          </w:p>
        </w:tc>
      </w:tr>
      <w:tr w:rsidR="00D470B6" w:rsidRPr="00A53AD7" w14:paraId="3648282B" w14:textId="77777777" w:rsidTr="001D2B6D">
        <w:trPr>
          <w:trHeight w:hRule="exact" w:val="255"/>
        </w:trPr>
        <w:tc>
          <w:tcPr>
            <w:tcW w:w="3153" w:type="dxa"/>
            <w:shd w:val="clear" w:color="auto" w:fill="auto"/>
            <w:vAlign w:val="center"/>
            <w:hideMark/>
          </w:tcPr>
          <w:p w14:paraId="4D4CCD55"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областной бюджет</w:t>
            </w:r>
          </w:p>
        </w:tc>
        <w:tc>
          <w:tcPr>
            <w:tcW w:w="2126" w:type="dxa"/>
            <w:shd w:val="clear" w:color="auto" w:fill="auto"/>
            <w:vAlign w:val="center"/>
            <w:hideMark/>
          </w:tcPr>
          <w:p w14:paraId="166E0EF9"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284,2</w:t>
            </w:r>
          </w:p>
        </w:tc>
        <w:tc>
          <w:tcPr>
            <w:tcW w:w="1984" w:type="dxa"/>
            <w:shd w:val="clear" w:color="auto" w:fill="auto"/>
            <w:vAlign w:val="center"/>
            <w:hideMark/>
          </w:tcPr>
          <w:p w14:paraId="174118D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133,5</w:t>
            </w:r>
          </w:p>
        </w:tc>
        <w:tc>
          <w:tcPr>
            <w:tcW w:w="1843" w:type="dxa"/>
            <w:shd w:val="clear" w:color="auto" w:fill="auto"/>
            <w:vAlign w:val="center"/>
            <w:hideMark/>
          </w:tcPr>
          <w:p w14:paraId="3761997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417,7</w:t>
            </w:r>
          </w:p>
        </w:tc>
      </w:tr>
      <w:tr w:rsidR="00D470B6" w:rsidRPr="00A53AD7" w14:paraId="31DCED2A" w14:textId="77777777" w:rsidTr="001D2B6D">
        <w:trPr>
          <w:trHeight w:hRule="exact" w:val="255"/>
        </w:trPr>
        <w:tc>
          <w:tcPr>
            <w:tcW w:w="3153" w:type="dxa"/>
            <w:shd w:val="clear" w:color="auto" w:fill="auto"/>
            <w:vAlign w:val="center"/>
            <w:hideMark/>
          </w:tcPr>
          <w:p w14:paraId="0939C23B"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местные бюджеты</w:t>
            </w:r>
          </w:p>
        </w:tc>
        <w:tc>
          <w:tcPr>
            <w:tcW w:w="2126" w:type="dxa"/>
            <w:shd w:val="clear" w:color="auto" w:fill="auto"/>
            <w:vAlign w:val="center"/>
            <w:hideMark/>
          </w:tcPr>
          <w:p w14:paraId="07DD054A"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41,7</w:t>
            </w:r>
          </w:p>
        </w:tc>
        <w:tc>
          <w:tcPr>
            <w:tcW w:w="1984" w:type="dxa"/>
            <w:shd w:val="clear" w:color="auto" w:fill="auto"/>
            <w:vAlign w:val="center"/>
            <w:hideMark/>
          </w:tcPr>
          <w:p w14:paraId="45208FAB"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w:t>
            </w:r>
          </w:p>
        </w:tc>
        <w:tc>
          <w:tcPr>
            <w:tcW w:w="1843" w:type="dxa"/>
            <w:shd w:val="clear" w:color="auto" w:fill="auto"/>
            <w:vAlign w:val="center"/>
            <w:hideMark/>
          </w:tcPr>
          <w:p w14:paraId="0D347E4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41,7</w:t>
            </w:r>
          </w:p>
        </w:tc>
      </w:tr>
      <w:tr w:rsidR="00D470B6" w:rsidRPr="00A53AD7" w14:paraId="4200EFF3" w14:textId="77777777" w:rsidTr="001D2B6D">
        <w:trPr>
          <w:trHeight w:hRule="exact" w:val="255"/>
        </w:trPr>
        <w:tc>
          <w:tcPr>
            <w:tcW w:w="3153" w:type="dxa"/>
            <w:shd w:val="clear" w:color="auto" w:fill="auto"/>
            <w:vAlign w:val="center"/>
            <w:hideMark/>
          </w:tcPr>
          <w:p w14:paraId="038344C5"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внебюджетные средства</w:t>
            </w:r>
          </w:p>
        </w:tc>
        <w:tc>
          <w:tcPr>
            <w:tcW w:w="2126" w:type="dxa"/>
            <w:shd w:val="clear" w:color="auto" w:fill="auto"/>
            <w:vAlign w:val="center"/>
            <w:hideMark/>
          </w:tcPr>
          <w:p w14:paraId="5DF1EB3E"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18,5</w:t>
            </w:r>
          </w:p>
        </w:tc>
        <w:tc>
          <w:tcPr>
            <w:tcW w:w="1984" w:type="dxa"/>
            <w:shd w:val="clear" w:color="auto" w:fill="auto"/>
            <w:vAlign w:val="center"/>
            <w:hideMark/>
          </w:tcPr>
          <w:p w14:paraId="24DA93C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w:t>
            </w:r>
          </w:p>
        </w:tc>
        <w:tc>
          <w:tcPr>
            <w:tcW w:w="1843" w:type="dxa"/>
            <w:shd w:val="clear" w:color="auto" w:fill="auto"/>
            <w:vAlign w:val="center"/>
            <w:hideMark/>
          </w:tcPr>
          <w:p w14:paraId="7063DC2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18,5</w:t>
            </w:r>
          </w:p>
        </w:tc>
      </w:tr>
      <w:tr w:rsidR="001D2B6D" w:rsidRPr="00A53AD7" w14:paraId="184F9532" w14:textId="77777777" w:rsidTr="001D2B6D">
        <w:trPr>
          <w:trHeight w:hRule="exact" w:val="255"/>
        </w:trPr>
        <w:tc>
          <w:tcPr>
            <w:tcW w:w="3153" w:type="dxa"/>
            <w:shd w:val="clear" w:color="auto" w:fill="auto"/>
            <w:vAlign w:val="center"/>
            <w:hideMark/>
          </w:tcPr>
          <w:p w14:paraId="390210D3"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бюджет города Москвы</w:t>
            </w:r>
          </w:p>
        </w:tc>
        <w:tc>
          <w:tcPr>
            <w:tcW w:w="2126" w:type="dxa"/>
            <w:shd w:val="clear" w:color="auto" w:fill="auto"/>
            <w:vAlign w:val="center"/>
            <w:hideMark/>
          </w:tcPr>
          <w:p w14:paraId="1F4C3670"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200,0</w:t>
            </w:r>
          </w:p>
        </w:tc>
        <w:tc>
          <w:tcPr>
            <w:tcW w:w="1984" w:type="dxa"/>
            <w:shd w:val="clear" w:color="auto" w:fill="auto"/>
            <w:vAlign w:val="center"/>
            <w:hideMark/>
          </w:tcPr>
          <w:p w14:paraId="49D11A9D"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w:t>
            </w:r>
          </w:p>
        </w:tc>
        <w:tc>
          <w:tcPr>
            <w:tcW w:w="1843" w:type="dxa"/>
            <w:shd w:val="clear" w:color="auto" w:fill="auto"/>
            <w:vAlign w:val="center"/>
            <w:hideMark/>
          </w:tcPr>
          <w:p w14:paraId="75F6CE27"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200,0</w:t>
            </w:r>
          </w:p>
        </w:tc>
      </w:tr>
    </w:tbl>
    <w:p w14:paraId="401B6FB6" w14:textId="77777777" w:rsidR="001D2B6D" w:rsidRPr="00A53AD7" w:rsidRDefault="001D2B6D" w:rsidP="001D2B6D">
      <w:pPr>
        <w:spacing w:after="0" w:line="240" w:lineRule="auto"/>
        <w:ind w:left="142" w:right="141" w:firstLine="851"/>
        <w:jc w:val="both"/>
        <w:rPr>
          <w:rFonts w:ascii="Times New Roman" w:hAnsi="Times New Roman"/>
          <w:sz w:val="28"/>
          <w:szCs w:val="28"/>
          <w:highlight w:val="cyan"/>
        </w:rPr>
      </w:pPr>
    </w:p>
    <w:p w14:paraId="0071D525" w14:textId="78E4B54A" w:rsidR="001D2B6D" w:rsidRPr="00A53AD7" w:rsidRDefault="001D2B6D" w:rsidP="007042D1">
      <w:pPr>
        <w:autoSpaceDE w:val="0"/>
        <w:autoSpaceDN w:val="0"/>
        <w:adjustRightInd w:val="0"/>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В течение 2019 года изменения в Закон Архангельской области от 17.12.2018 № 35-4-ОЗ (ред. от 13.12.2019) «Об областном бюджете на 2019 год и на плановый период 2020 и 2021 годов» (далее – закон о бюджете на 2019 год) в отношении бюджетных ассигнований на реализацию мероприятий ГП «Охрана окружающей среды» вносились 8 раз</w:t>
      </w:r>
      <w:r w:rsidR="007042D1" w:rsidRPr="00A53AD7">
        <w:rPr>
          <w:rFonts w:ascii="Times New Roman" w:hAnsi="Times New Roman"/>
          <w:sz w:val="28"/>
          <w:szCs w:val="28"/>
        </w:rPr>
        <w:t>.</w:t>
      </w:r>
    </w:p>
    <w:p w14:paraId="2A0A99D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результате законом о бюджете на 2019 год в ред. от 13.12.2019 бюджетные ассигнования на реализацию программы на 2019 год увеличены на 427,2 млн.руб. и утверждены в сумме 725,4 млн.руб.</w:t>
      </w:r>
    </w:p>
    <w:p w14:paraId="73BCF68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Сводной бюджетной росписью по состоянию на 31.12.2019 бюджетные ассигнования на реализацию госпрограммы утверждены в сумме 763,3 млн.руб.</w:t>
      </w:r>
    </w:p>
    <w:p w14:paraId="334A25BF"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пояснительной записке к отчету об исполнении областного бюджета за 2019 год: «Отклонение на сумму 37,9 млн.руб. связано с доведением лимитов бюджетных обязательств по средствам федерального бюджета в рамках реализации ФЦП «Развитие водохозяйственного комплекса Российской Федерации в 2012-2020 годах» сверх показателей, утвержденных областным законом.</w:t>
      </w:r>
    </w:p>
    <w:p w14:paraId="3E96CEF4" w14:textId="36F4D04E"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Несоответствие показателей сводной бюджетной росписи на 31.12.2019 года закону о бюджете на 2019 год в ред. от 13.12.2019 представлено в таблице </w:t>
      </w:r>
      <w:r w:rsidR="006B1B2F" w:rsidRPr="00A53AD7">
        <w:rPr>
          <w:rFonts w:ascii="Times New Roman" w:hAnsi="Times New Roman"/>
          <w:sz w:val="28"/>
          <w:szCs w:val="28"/>
        </w:rPr>
        <w:t>50</w:t>
      </w:r>
      <w:r w:rsidRPr="00A53AD7">
        <w:rPr>
          <w:rFonts w:ascii="Times New Roman" w:hAnsi="Times New Roman"/>
          <w:sz w:val="28"/>
          <w:szCs w:val="28"/>
        </w:rPr>
        <w:t>.</w:t>
      </w:r>
    </w:p>
    <w:p w14:paraId="3A8E33D1" w14:textId="77777777" w:rsidR="001D2B6D" w:rsidRPr="00A53AD7" w:rsidRDefault="001D2B6D" w:rsidP="001D2B6D">
      <w:pPr>
        <w:autoSpaceDE w:val="0"/>
        <w:autoSpaceDN w:val="0"/>
        <w:adjustRightInd w:val="0"/>
        <w:spacing w:after="0" w:line="240" w:lineRule="auto"/>
        <w:jc w:val="both"/>
        <w:rPr>
          <w:rFonts w:ascii="Times New Roman" w:hAnsi="Times New Roman"/>
          <w:sz w:val="28"/>
          <w:szCs w:val="28"/>
        </w:rPr>
      </w:pPr>
    </w:p>
    <w:p w14:paraId="7C66B635" w14:textId="77777777" w:rsidR="001D2B6D" w:rsidRPr="00A53AD7" w:rsidRDefault="001D2B6D" w:rsidP="001D2B6D">
      <w:pPr>
        <w:autoSpaceDE w:val="0"/>
        <w:autoSpaceDN w:val="0"/>
        <w:adjustRightInd w:val="0"/>
        <w:spacing w:after="0" w:line="240" w:lineRule="auto"/>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50</w:t>
      </w:r>
      <w:r w:rsidRPr="00A53AD7">
        <w:rPr>
          <w:rFonts w:ascii="Times New Roman" w:hAnsi="Times New Roman"/>
          <w:sz w:val="24"/>
          <w:szCs w:val="24"/>
        </w:rPr>
        <w:fldChar w:fldCharType="end"/>
      </w:r>
      <w:r w:rsidRPr="00A53AD7">
        <w:rPr>
          <w:rFonts w:ascii="Times New Roman" w:hAnsi="Times New Roman"/>
          <w:sz w:val="24"/>
          <w:szCs w:val="24"/>
        </w:rPr>
        <w:t>. Отклонение показателей сводной бюджетной росписи на 31.12.2019 года от закона о бюджете на 2019 год в ред. от 13.12.2019 в разрезе исполнителей (министерств), млн.руб.</w:t>
      </w:r>
    </w:p>
    <w:tbl>
      <w:tblPr>
        <w:tblW w:w="9256" w:type="dxa"/>
        <w:tblInd w:w="103" w:type="dxa"/>
        <w:tblLayout w:type="fixed"/>
        <w:tblLook w:val="04A0" w:firstRow="1" w:lastRow="0" w:firstColumn="1" w:lastColumn="0" w:noHBand="0" w:noVBand="1"/>
      </w:tblPr>
      <w:tblGrid>
        <w:gridCol w:w="2292"/>
        <w:gridCol w:w="567"/>
        <w:gridCol w:w="546"/>
        <w:gridCol w:w="588"/>
        <w:gridCol w:w="1294"/>
        <w:gridCol w:w="567"/>
        <w:gridCol w:w="1242"/>
        <w:gridCol w:w="1026"/>
        <w:gridCol w:w="1134"/>
      </w:tblGrid>
      <w:tr w:rsidR="00D470B6" w:rsidRPr="00A53AD7" w14:paraId="0699924C" w14:textId="77777777" w:rsidTr="007042D1">
        <w:trPr>
          <w:trHeight w:val="480"/>
          <w:tblHeader/>
        </w:trPr>
        <w:tc>
          <w:tcPr>
            <w:tcW w:w="2292" w:type="dxa"/>
            <w:vMerge w:val="restart"/>
            <w:tcBorders>
              <w:top w:val="double" w:sz="4" w:space="0" w:color="auto"/>
              <w:left w:val="double" w:sz="4" w:space="0" w:color="auto"/>
              <w:bottom w:val="single" w:sz="4" w:space="0" w:color="000000"/>
              <w:right w:val="single" w:sz="4" w:space="0" w:color="auto"/>
            </w:tcBorders>
            <w:shd w:val="clear" w:color="auto" w:fill="auto"/>
            <w:vAlign w:val="center"/>
            <w:hideMark/>
          </w:tcPr>
          <w:p w14:paraId="0B6914EE"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567"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5954A3BC"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Гла-ва</w:t>
            </w:r>
          </w:p>
        </w:tc>
        <w:tc>
          <w:tcPr>
            <w:tcW w:w="546"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1F1A42C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Раз-дел</w:t>
            </w:r>
          </w:p>
        </w:tc>
        <w:tc>
          <w:tcPr>
            <w:tcW w:w="588"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4D7FCFB0"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Под-раз-дел</w:t>
            </w:r>
          </w:p>
        </w:tc>
        <w:tc>
          <w:tcPr>
            <w:tcW w:w="1294"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3B4F6A2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Целевая статья</w:t>
            </w:r>
          </w:p>
        </w:tc>
        <w:tc>
          <w:tcPr>
            <w:tcW w:w="567"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70A8447D" w14:textId="77777777" w:rsidR="001D2B6D" w:rsidRPr="00A53AD7" w:rsidRDefault="001D2B6D" w:rsidP="001D2B6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Вид рас-хо-дов</w:t>
            </w:r>
          </w:p>
        </w:tc>
        <w:tc>
          <w:tcPr>
            <w:tcW w:w="1242" w:type="dxa"/>
            <w:tcBorders>
              <w:top w:val="double" w:sz="4" w:space="0" w:color="auto"/>
              <w:left w:val="nil"/>
              <w:bottom w:val="single" w:sz="4" w:space="0" w:color="auto"/>
              <w:right w:val="nil"/>
            </w:tcBorders>
            <w:shd w:val="clear" w:color="auto" w:fill="auto"/>
            <w:vAlign w:val="bottom"/>
            <w:hideMark/>
          </w:tcPr>
          <w:p w14:paraId="025865F3"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ОЗ от 13.12.2019 № 189-13-ОЗ</w:t>
            </w:r>
            <w:r w:rsidRPr="00A53AD7">
              <w:rPr>
                <w:rFonts w:ascii="Times New Roman" w:eastAsia="Times New Roman" w:hAnsi="Times New Roman"/>
                <w:sz w:val="18"/>
                <w:szCs w:val="18"/>
                <w:lang w:eastAsia="ru-RU"/>
              </w:rPr>
              <w:br/>
              <w:t>с 16.12.2019</w:t>
            </w:r>
          </w:p>
        </w:tc>
        <w:tc>
          <w:tcPr>
            <w:tcW w:w="1026"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144BDC8B"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СБР на 31.12.2019</w:t>
            </w:r>
          </w:p>
        </w:tc>
        <w:tc>
          <w:tcPr>
            <w:tcW w:w="1134" w:type="dxa"/>
            <w:tcBorders>
              <w:top w:val="double" w:sz="4" w:space="0" w:color="auto"/>
              <w:left w:val="nil"/>
              <w:bottom w:val="single" w:sz="4" w:space="0" w:color="auto"/>
              <w:right w:val="double" w:sz="4" w:space="0" w:color="auto"/>
            </w:tcBorders>
            <w:shd w:val="clear" w:color="auto" w:fill="auto"/>
            <w:vAlign w:val="center"/>
            <w:hideMark/>
          </w:tcPr>
          <w:p w14:paraId="3D587BF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Сумма отклонения</w:t>
            </w:r>
          </w:p>
        </w:tc>
      </w:tr>
      <w:tr w:rsidR="00D470B6" w:rsidRPr="00A53AD7" w14:paraId="19899B95" w14:textId="77777777" w:rsidTr="007042D1">
        <w:trPr>
          <w:trHeight w:val="240"/>
          <w:tblHeader/>
        </w:trPr>
        <w:tc>
          <w:tcPr>
            <w:tcW w:w="2292" w:type="dxa"/>
            <w:vMerge/>
            <w:tcBorders>
              <w:top w:val="single" w:sz="4" w:space="0" w:color="auto"/>
              <w:left w:val="double" w:sz="4" w:space="0" w:color="auto"/>
              <w:bottom w:val="single" w:sz="4" w:space="0" w:color="000000"/>
              <w:right w:val="single" w:sz="4" w:space="0" w:color="auto"/>
            </w:tcBorders>
            <w:vAlign w:val="center"/>
            <w:hideMark/>
          </w:tcPr>
          <w:p w14:paraId="4C8E2AFA"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5138999"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546" w:type="dxa"/>
            <w:vMerge/>
            <w:tcBorders>
              <w:top w:val="single" w:sz="4" w:space="0" w:color="auto"/>
              <w:left w:val="single" w:sz="4" w:space="0" w:color="auto"/>
              <w:bottom w:val="single" w:sz="4" w:space="0" w:color="000000"/>
              <w:right w:val="single" w:sz="4" w:space="0" w:color="auto"/>
            </w:tcBorders>
            <w:vAlign w:val="center"/>
            <w:hideMark/>
          </w:tcPr>
          <w:p w14:paraId="59925EB7"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588" w:type="dxa"/>
            <w:vMerge/>
            <w:tcBorders>
              <w:top w:val="single" w:sz="4" w:space="0" w:color="auto"/>
              <w:left w:val="single" w:sz="4" w:space="0" w:color="auto"/>
              <w:bottom w:val="single" w:sz="4" w:space="0" w:color="000000"/>
              <w:right w:val="single" w:sz="4" w:space="0" w:color="auto"/>
            </w:tcBorders>
            <w:vAlign w:val="center"/>
            <w:hideMark/>
          </w:tcPr>
          <w:p w14:paraId="5F486BCB"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1294" w:type="dxa"/>
            <w:vMerge/>
            <w:tcBorders>
              <w:top w:val="single" w:sz="4" w:space="0" w:color="auto"/>
              <w:left w:val="single" w:sz="4" w:space="0" w:color="auto"/>
              <w:bottom w:val="single" w:sz="4" w:space="0" w:color="000000"/>
              <w:right w:val="single" w:sz="4" w:space="0" w:color="auto"/>
            </w:tcBorders>
            <w:vAlign w:val="center"/>
            <w:hideMark/>
          </w:tcPr>
          <w:p w14:paraId="785C385D"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04EB3E07" w14:textId="77777777" w:rsidR="001D2B6D" w:rsidRPr="00A53AD7" w:rsidRDefault="001D2B6D" w:rsidP="001D2B6D">
            <w:pPr>
              <w:spacing w:after="0" w:line="240" w:lineRule="auto"/>
              <w:rPr>
                <w:rFonts w:ascii="Times New Roman" w:eastAsia="Times New Roman" w:hAnsi="Times New Roman"/>
                <w:sz w:val="16"/>
                <w:szCs w:val="16"/>
                <w:lang w:eastAsia="ru-RU"/>
              </w:rPr>
            </w:pPr>
          </w:p>
        </w:tc>
        <w:tc>
          <w:tcPr>
            <w:tcW w:w="1242" w:type="dxa"/>
            <w:tcBorders>
              <w:top w:val="nil"/>
              <w:left w:val="nil"/>
              <w:bottom w:val="single" w:sz="4" w:space="0" w:color="auto"/>
              <w:right w:val="single" w:sz="4" w:space="0" w:color="auto"/>
            </w:tcBorders>
            <w:shd w:val="clear" w:color="auto" w:fill="auto"/>
            <w:vAlign w:val="center"/>
            <w:hideMark/>
          </w:tcPr>
          <w:p w14:paraId="4FB737E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2019</w:t>
            </w:r>
          </w:p>
        </w:tc>
        <w:tc>
          <w:tcPr>
            <w:tcW w:w="1026" w:type="dxa"/>
            <w:vMerge/>
            <w:tcBorders>
              <w:top w:val="single" w:sz="4" w:space="0" w:color="auto"/>
              <w:left w:val="single" w:sz="4" w:space="0" w:color="auto"/>
              <w:bottom w:val="single" w:sz="4" w:space="0" w:color="000000"/>
              <w:right w:val="single" w:sz="4" w:space="0" w:color="auto"/>
            </w:tcBorders>
            <w:vAlign w:val="center"/>
            <w:hideMark/>
          </w:tcPr>
          <w:p w14:paraId="42E997CD"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1134" w:type="dxa"/>
            <w:tcBorders>
              <w:top w:val="nil"/>
              <w:left w:val="nil"/>
              <w:bottom w:val="single" w:sz="4" w:space="0" w:color="auto"/>
              <w:right w:val="double" w:sz="4" w:space="0" w:color="auto"/>
            </w:tcBorders>
            <w:shd w:val="clear" w:color="auto" w:fill="auto"/>
            <w:noWrap/>
            <w:vAlign w:val="center"/>
            <w:hideMark/>
          </w:tcPr>
          <w:p w14:paraId="1671745C" w14:textId="7E6C32D5" w:rsidR="001D2B6D" w:rsidRPr="00A53AD7" w:rsidRDefault="00163D1C"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млн.</w:t>
            </w:r>
            <w:r w:rsidR="001D2B6D" w:rsidRPr="00A53AD7">
              <w:rPr>
                <w:rFonts w:ascii="Times New Roman" w:eastAsia="Times New Roman" w:hAnsi="Times New Roman"/>
                <w:sz w:val="18"/>
                <w:szCs w:val="18"/>
                <w:lang w:eastAsia="ru-RU"/>
              </w:rPr>
              <w:t>руб.</w:t>
            </w:r>
          </w:p>
        </w:tc>
      </w:tr>
      <w:tr w:rsidR="00D470B6" w:rsidRPr="00A53AD7" w14:paraId="0837ABE5" w14:textId="77777777" w:rsidTr="001D2B6D">
        <w:trPr>
          <w:trHeight w:val="240"/>
        </w:trPr>
        <w:tc>
          <w:tcPr>
            <w:tcW w:w="2292" w:type="dxa"/>
            <w:tcBorders>
              <w:top w:val="nil"/>
              <w:left w:val="double" w:sz="4" w:space="0" w:color="auto"/>
              <w:bottom w:val="single" w:sz="4" w:space="0" w:color="auto"/>
              <w:right w:val="single" w:sz="4" w:space="0" w:color="auto"/>
            </w:tcBorders>
            <w:shd w:val="clear" w:color="auto" w:fill="auto"/>
            <w:vAlign w:val="bottom"/>
            <w:hideMark/>
          </w:tcPr>
          <w:p w14:paraId="4F22526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w:t>
            </w:r>
          </w:p>
        </w:tc>
        <w:tc>
          <w:tcPr>
            <w:tcW w:w="567" w:type="dxa"/>
            <w:tcBorders>
              <w:top w:val="nil"/>
              <w:left w:val="nil"/>
              <w:bottom w:val="single" w:sz="4" w:space="0" w:color="auto"/>
              <w:right w:val="single" w:sz="4" w:space="0" w:color="auto"/>
            </w:tcBorders>
            <w:shd w:val="clear" w:color="auto" w:fill="auto"/>
            <w:vAlign w:val="bottom"/>
            <w:hideMark/>
          </w:tcPr>
          <w:p w14:paraId="72C0513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546" w:type="dxa"/>
            <w:tcBorders>
              <w:top w:val="nil"/>
              <w:left w:val="nil"/>
              <w:bottom w:val="single" w:sz="4" w:space="0" w:color="auto"/>
              <w:right w:val="single" w:sz="4" w:space="0" w:color="auto"/>
            </w:tcBorders>
            <w:shd w:val="clear" w:color="auto" w:fill="auto"/>
            <w:vAlign w:val="bottom"/>
            <w:hideMark/>
          </w:tcPr>
          <w:p w14:paraId="56F8D1B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w:t>
            </w:r>
          </w:p>
        </w:tc>
        <w:tc>
          <w:tcPr>
            <w:tcW w:w="588" w:type="dxa"/>
            <w:tcBorders>
              <w:top w:val="nil"/>
              <w:left w:val="nil"/>
              <w:bottom w:val="single" w:sz="4" w:space="0" w:color="auto"/>
              <w:right w:val="single" w:sz="4" w:space="0" w:color="auto"/>
            </w:tcBorders>
            <w:shd w:val="clear" w:color="auto" w:fill="auto"/>
            <w:vAlign w:val="bottom"/>
            <w:hideMark/>
          </w:tcPr>
          <w:p w14:paraId="2291795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w:t>
            </w:r>
          </w:p>
        </w:tc>
        <w:tc>
          <w:tcPr>
            <w:tcW w:w="1294" w:type="dxa"/>
            <w:tcBorders>
              <w:top w:val="nil"/>
              <w:left w:val="nil"/>
              <w:bottom w:val="single" w:sz="4" w:space="0" w:color="auto"/>
              <w:right w:val="single" w:sz="4" w:space="0" w:color="auto"/>
            </w:tcBorders>
            <w:shd w:val="clear" w:color="auto" w:fill="auto"/>
            <w:vAlign w:val="bottom"/>
            <w:hideMark/>
          </w:tcPr>
          <w:p w14:paraId="41E92373"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w:t>
            </w:r>
          </w:p>
        </w:tc>
        <w:tc>
          <w:tcPr>
            <w:tcW w:w="567" w:type="dxa"/>
            <w:tcBorders>
              <w:top w:val="nil"/>
              <w:left w:val="nil"/>
              <w:bottom w:val="single" w:sz="4" w:space="0" w:color="auto"/>
              <w:right w:val="single" w:sz="4" w:space="0" w:color="auto"/>
            </w:tcBorders>
            <w:shd w:val="clear" w:color="auto" w:fill="auto"/>
            <w:vAlign w:val="bottom"/>
            <w:hideMark/>
          </w:tcPr>
          <w:p w14:paraId="2801BDA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c>
          <w:tcPr>
            <w:tcW w:w="1242" w:type="dxa"/>
            <w:tcBorders>
              <w:top w:val="nil"/>
              <w:left w:val="nil"/>
              <w:bottom w:val="single" w:sz="4" w:space="0" w:color="auto"/>
              <w:right w:val="single" w:sz="4" w:space="0" w:color="auto"/>
            </w:tcBorders>
            <w:shd w:val="clear" w:color="auto" w:fill="auto"/>
            <w:vAlign w:val="bottom"/>
            <w:hideMark/>
          </w:tcPr>
          <w:p w14:paraId="65D4B4EF"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w:t>
            </w:r>
          </w:p>
        </w:tc>
        <w:tc>
          <w:tcPr>
            <w:tcW w:w="1026" w:type="dxa"/>
            <w:tcBorders>
              <w:top w:val="nil"/>
              <w:left w:val="nil"/>
              <w:bottom w:val="single" w:sz="4" w:space="0" w:color="auto"/>
              <w:right w:val="single" w:sz="4" w:space="0" w:color="auto"/>
            </w:tcBorders>
            <w:shd w:val="clear" w:color="auto" w:fill="auto"/>
            <w:vAlign w:val="bottom"/>
            <w:hideMark/>
          </w:tcPr>
          <w:p w14:paraId="2C2E20CC"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w:t>
            </w:r>
          </w:p>
        </w:tc>
        <w:tc>
          <w:tcPr>
            <w:tcW w:w="1134" w:type="dxa"/>
            <w:tcBorders>
              <w:top w:val="nil"/>
              <w:left w:val="nil"/>
              <w:bottom w:val="single" w:sz="4" w:space="0" w:color="auto"/>
              <w:right w:val="double" w:sz="4" w:space="0" w:color="auto"/>
            </w:tcBorders>
            <w:shd w:val="clear" w:color="auto" w:fill="auto"/>
            <w:noWrap/>
            <w:vAlign w:val="bottom"/>
            <w:hideMark/>
          </w:tcPr>
          <w:p w14:paraId="00AD0223"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9=8-7</w:t>
            </w:r>
          </w:p>
        </w:tc>
      </w:tr>
      <w:tr w:rsidR="00D470B6" w:rsidRPr="00A53AD7" w14:paraId="668D024C" w14:textId="77777777" w:rsidTr="001D2B6D">
        <w:trPr>
          <w:trHeight w:val="136"/>
        </w:trPr>
        <w:tc>
          <w:tcPr>
            <w:tcW w:w="3993" w:type="dxa"/>
            <w:gridSpan w:val="4"/>
            <w:tcBorders>
              <w:top w:val="single" w:sz="4" w:space="0" w:color="auto"/>
              <w:left w:val="double" w:sz="4" w:space="0" w:color="auto"/>
              <w:bottom w:val="single" w:sz="4" w:space="0" w:color="auto"/>
              <w:right w:val="single" w:sz="4" w:space="0" w:color="000000"/>
            </w:tcBorders>
            <w:shd w:val="clear" w:color="auto" w:fill="auto"/>
            <w:vAlign w:val="center"/>
            <w:hideMark/>
          </w:tcPr>
          <w:p w14:paraId="5ACA25FD" w14:textId="77777777" w:rsidR="001D2B6D" w:rsidRPr="00A53AD7" w:rsidRDefault="001D2B6D" w:rsidP="001D2B6D">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ГП «Охрана окружающей среды»</w:t>
            </w:r>
          </w:p>
        </w:tc>
        <w:tc>
          <w:tcPr>
            <w:tcW w:w="1294" w:type="dxa"/>
            <w:tcBorders>
              <w:top w:val="nil"/>
              <w:left w:val="nil"/>
              <w:bottom w:val="single" w:sz="4" w:space="0" w:color="auto"/>
              <w:right w:val="single" w:sz="4" w:space="0" w:color="auto"/>
            </w:tcBorders>
            <w:shd w:val="clear" w:color="auto" w:fill="auto"/>
            <w:vAlign w:val="center"/>
            <w:hideMark/>
          </w:tcPr>
          <w:p w14:paraId="1820504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10 0 00 00000</w:t>
            </w:r>
          </w:p>
        </w:tc>
        <w:tc>
          <w:tcPr>
            <w:tcW w:w="567" w:type="dxa"/>
            <w:tcBorders>
              <w:top w:val="nil"/>
              <w:left w:val="nil"/>
              <w:bottom w:val="single" w:sz="4" w:space="0" w:color="auto"/>
              <w:right w:val="single" w:sz="4" w:space="0" w:color="auto"/>
            </w:tcBorders>
            <w:shd w:val="clear" w:color="auto" w:fill="auto"/>
            <w:vAlign w:val="center"/>
            <w:hideMark/>
          </w:tcPr>
          <w:p w14:paraId="2AB4DBEF"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000</w:t>
            </w:r>
          </w:p>
        </w:tc>
        <w:tc>
          <w:tcPr>
            <w:tcW w:w="1242" w:type="dxa"/>
            <w:tcBorders>
              <w:top w:val="nil"/>
              <w:left w:val="nil"/>
              <w:bottom w:val="single" w:sz="4" w:space="0" w:color="auto"/>
              <w:right w:val="single" w:sz="4" w:space="0" w:color="auto"/>
            </w:tcBorders>
            <w:shd w:val="clear" w:color="auto" w:fill="auto"/>
            <w:vAlign w:val="center"/>
            <w:hideMark/>
          </w:tcPr>
          <w:p w14:paraId="77662A60"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725,4 </w:t>
            </w:r>
          </w:p>
        </w:tc>
        <w:tc>
          <w:tcPr>
            <w:tcW w:w="1026" w:type="dxa"/>
            <w:tcBorders>
              <w:top w:val="nil"/>
              <w:left w:val="nil"/>
              <w:bottom w:val="single" w:sz="4" w:space="0" w:color="auto"/>
              <w:right w:val="single" w:sz="4" w:space="0" w:color="auto"/>
            </w:tcBorders>
            <w:shd w:val="clear" w:color="auto" w:fill="auto"/>
            <w:vAlign w:val="center"/>
            <w:hideMark/>
          </w:tcPr>
          <w:p w14:paraId="25749AD0"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763,3 </w:t>
            </w:r>
          </w:p>
        </w:tc>
        <w:tc>
          <w:tcPr>
            <w:tcW w:w="1134" w:type="dxa"/>
            <w:tcBorders>
              <w:top w:val="nil"/>
              <w:left w:val="nil"/>
              <w:bottom w:val="single" w:sz="4" w:space="0" w:color="auto"/>
              <w:right w:val="double" w:sz="4" w:space="0" w:color="auto"/>
            </w:tcBorders>
            <w:shd w:val="clear" w:color="auto" w:fill="auto"/>
            <w:noWrap/>
            <w:vAlign w:val="center"/>
            <w:hideMark/>
          </w:tcPr>
          <w:p w14:paraId="0563F3CF"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37,9 </w:t>
            </w:r>
          </w:p>
        </w:tc>
      </w:tr>
      <w:tr w:rsidR="00D470B6" w:rsidRPr="00A53AD7" w14:paraId="29FF7EE1" w14:textId="77777777" w:rsidTr="001D2B6D">
        <w:trPr>
          <w:trHeight w:val="270"/>
        </w:trPr>
        <w:tc>
          <w:tcPr>
            <w:tcW w:w="9256" w:type="dxa"/>
            <w:gridSpan w:val="9"/>
            <w:tcBorders>
              <w:top w:val="single" w:sz="4" w:space="0" w:color="auto"/>
              <w:left w:val="double" w:sz="4" w:space="0" w:color="auto"/>
              <w:bottom w:val="single" w:sz="4" w:space="0" w:color="auto"/>
              <w:right w:val="double" w:sz="4" w:space="0" w:color="auto"/>
            </w:tcBorders>
            <w:shd w:val="clear" w:color="auto" w:fill="auto"/>
            <w:vAlign w:val="center"/>
            <w:hideMark/>
          </w:tcPr>
          <w:p w14:paraId="4A9DFCFE"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том числе по исполнителям:</w:t>
            </w:r>
          </w:p>
        </w:tc>
      </w:tr>
      <w:tr w:rsidR="00D470B6" w:rsidRPr="00A53AD7" w14:paraId="150C3973" w14:textId="77777777" w:rsidTr="001D2B6D">
        <w:trPr>
          <w:trHeight w:val="144"/>
        </w:trPr>
        <w:tc>
          <w:tcPr>
            <w:tcW w:w="5854" w:type="dxa"/>
            <w:gridSpan w:val="6"/>
            <w:tcBorders>
              <w:top w:val="single" w:sz="4" w:space="0" w:color="auto"/>
              <w:left w:val="double" w:sz="4" w:space="0" w:color="auto"/>
              <w:bottom w:val="single" w:sz="4" w:space="0" w:color="auto"/>
              <w:right w:val="single" w:sz="4" w:space="0" w:color="000000"/>
            </w:tcBorders>
            <w:shd w:val="clear" w:color="auto" w:fill="auto"/>
            <w:vAlign w:val="center"/>
            <w:hideMark/>
          </w:tcPr>
          <w:p w14:paraId="49B35913" w14:textId="77777777" w:rsidR="001D2B6D" w:rsidRPr="00A53AD7" w:rsidRDefault="001D2B6D" w:rsidP="001D2B6D">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Минстрой АО итого</w:t>
            </w:r>
          </w:p>
        </w:tc>
        <w:tc>
          <w:tcPr>
            <w:tcW w:w="1242" w:type="dxa"/>
            <w:tcBorders>
              <w:top w:val="nil"/>
              <w:left w:val="nil"/>
              <w:bottom w:val="single" w:sz="4" w:space="0" w:color="auto"/>
              <w:right w:val="single" w:sz="4" w:space="0" w:color="auto"/>
            </w:tcBorders>
            <w:shd w:val="clear" w:color="auto" w:fill="auto"/>
            <w:vAlign w:val="center"/>
            <w:hideMark/>
          </w:tcPr>
          <w:p w14:paraId="006D17DB"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206,4 </w:t>
            </w:r>
          </w:p>
        </w:tc>
        <w:tc>
          <w:tcPr>
            <w:tcW w:w="1026" w:type="dxa"/>
            <w:tcBorders>
              <w:top w:val="nil"/>
              <w:left w:val="nil"/>
              <w:bottom w:val="single" w:sz="4" w:space="0" w:color="auto"/>
              <w:right w:val="single" w:sz="4" w:space="0" w:color="auto"/>
            </w:tcBorders>
            <w:shd w:val="clear" w:color="auto" w:fill="auto"/>
            <w:vAlign w:val="center"/>
            <w:hideMark/>
          </w:tcPr>
          <w:p w14:paraId="7438D9E3"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244,3 </w:t>
            </w:r>
          </w:p>
        </w:tc>
        <w:tc>
          <w:tcPr>
            <w:tcW w:w="1134" w:type="dxa"/>
            <w:tcBorders>
              <w:top w:val="nil"/>
              <w:left w:val="nil"/>
              <w:bottom w:val="single" w:sz="4" w:space="0" w:color="auto"/>
              <w:right w:val="double" w:sz="4" w:space="0" w:color="auto"/>
            </w:tcBorders>
            <w:shd w:val="clear" w:color="auto" w:fill="auto"/>
            <w:vAlign w:val="center"/>
            <w:hideMark/>
          </w:tcPr>
          <w:p w14:paraId="440BD58C"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 xml:space="preserve">-37,9 </w:t>
            </w:r>
          </w:p>
        </w:tc>
      </w:tr>
      <w:tr w:rsidR="00D470B6" w:rsidRPr="00A53AD7" w14:paraId="14CECA3D" w14:textId="77777777" w:rsidTr="001D2B6D">
        <w:trPr>
          <w:trHeight w:hRule="exact" w:val="255"/>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11049F3C"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том числе с отклонениями:</w:t>
            </w:r>
          </w:p>
        </w:tc>
        <w:tc>
          <w:tcPr>
            <w:tcW w:w="6964" w:type="dxa"/>
            <w:gridSpan w:val="8"/>
            <w:tcBorders>
              <w:top w:val="single" w:sz="4" w:space="0" w:color="auto"/>
              <w:left w:val="nil"/>
              <w:bottom w:val="single" w:sz="4" w:space="0" w:color="auto"/>
              <w:right w:val="double" w:sz="4" w:space="0" w:color="auto"/>
            </w:tcBorders>
            <w:shd w:val="clear" w:color="auto" w:fill="auto"/>
            <w:vAlign w:val="center"/>
            <w:hideMark/>
          </w:tcPr>
          <w:p w14:paraId="795D8BF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D470B6" w:rsidRPr="00A53AD7" w14:paraId="483C6CAD" w14:textId="77777777" w:rsidTr="001D2B6D">
        <w:trPr>
          <w:trHeight w:hRule="exact" w:val="255"/>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5C313B6F"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Бюджетные инвестиции</w:t>
            </w:r>
          </w:p>
        </w:tc>
        <w:tc>
          <w:tcPr>
            <w:tcW w:w="567" w:type="dxa"/>
            <w:tcBorders>
              <w:top w:val="nil"/>
              <w:left w:val="nil"/>
              <w:bottom w:val="single" w:sz="4" w:space="0" w:color="auto"/>
              <w:right w:val="single" w:sz="4" w:space="0" w:color="auto"/>
            </w:tcBorders>
            <w:shd w:val="clear" w:color="auto" w:fill="auto"/>
            <w:vAlign w:val="center"/>
            <w:hideMark/>
          </w:tcPr>
          <w:p w14:paraId="67C1F0C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019</w:t>
            </w:r>
          </w:p>
        </w:tc>
        <w:tc>
          <w:tcPr>
            <w:tcW w:w="546" w:type="dxa"/>
            <w:tcBorders>
              <w:top w:val="nil"/>
              <w:left w:val="nil"/>
              <w:bottom w:val="single" w:sz="4" w:space="0" w:color="auto"/>
              <w:right w:val="single" w:sz="4" w:space="0" w:color="auto"/>
            </w:tcBorders>
            <w:shd w:val="clear" w:color="auto" w:fill="auto"/>
            <w:vAlign w:val="center"/>
            <w:hideMark/>
          </w:tcPr>
          <w:p w14:paraId="163F123C"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w:t>
            </w:r>
          </w:p>
        </w:tc>
        <w:tc>
          <w:tcPr>
            <w:tcW w:w="588" w:type="dxa"/>
            <w:tcBorders>
              <w:top w:val="nil"/>
              <w:left w:val="nil"/>
              <w:bottom w:val="single" w:sz="4" w:space="0" w:color="auto"/>
              <w:right w:val="single" w:sz="4" w:space="0" w:color="auto"/>
            </w:tcBorders>
            <w:shd w:val="clear" w:color="auto" w:fill="auto"/>
            <w:vAlign w:val="center"/>
            <w:hideMark/>
          </w:tcPr>
          <w:p w14:paraId="0CAB38A7"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1294" w:type="dxa"/>
            <w:tcBorders>
              <w:top w:val="nil"/>
              <w:left w:val="nil"/>
              <w:bottom w:val="single" w:sz="4" w:space="0" w:color="auto"/>
              <w:right w:val="single" w:sz="4" w:space="0" w:color="auto"/>
            </w:tcBorders>
            <w:shd w:val="clear" w:color="auto" w:fill="auto"/>
            <w:vAlign w:val="center"/>
            <w:hideMark/>
          </w:tcPr>
          <w:p w14:paraId="1FA922A1"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10 3 00 70300</w:t>
            </w:r>
          </w:p>
        </w:tc>
        <w:tc>
          <w:tcPr>
            <w:tcW w:w="567" w:type="dxa"/>
            <w:tcBorders>
              <w:top w:val="nil"/>
              <w:left w:val="nil"/>
              <w:bottom w:val="single" w:sz="4" w:space="0" w:color="auto"/>
              <w:right w:val="single" w:sz="4" w:space="0" w:color="auto"/>
            </w:tcBorders>
            <w:shd w:val="clear" w:color="auto" w:fill="auto"/>
            <w:vAlign w:val="center"/>
            <w:hideMark/>
          </w:tcPr>
          <w:p w14:paraId="36A24AA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410</w:t>
            </w:r>
          </w:p>
        </w:tc>
        <w:tc>
          <w:tcPr>
            <w:tcW w:w="1242" w:type="dxa"/>
            <w:tcBorders>
              <w:top w:val="nil"/>
              <w:left w:val="nil"/>
              <w:bottom w:val="single" w:sz="4" w:space="0" w:color="auto"/>
              <w:right w:val="single" w:sz="4" w:space="0" w:color="auto"/>
            </w:tcBorders>
            <w:shd w:val="clear" w:color="auto" w:fill="auto"/>
            <w:vAlign w:val="center"/>
            <w:hideMark/>
          </w:tcPr>
          <w:p w14:paraId="0B171CE0"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121,5 </w:t>
            </w:r>
          </w:p>
        </w:tc>
        <w:tc>
          <w:tcPr>
            <w:tcW w:w="1026" w:type="dxa"/>
            <w:tcBorders>
              <w:top w:val="nil"/>
              <w:left w:val="nil"/>
              <w:bottom w:val="single" w:sz="4" w:space="0" w:color="auto"/>
              <w:right w:val="single" w:sz="4" w:space="0" w:color="auto"/>
            </w:tcBorders>
            <w:shd w:val="clear" w:color="auto" w:fill="auto"/>
            <w:vAlign w:val="center"/>
            <w:hideMark/>
          </w:tcPr>
          <w:p w14:paraId="10BB6AE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117,3 </w:t>
            </w:r>
          </w:p>
        </w:tc>
        <w:tc>
          <w:tcPr>
            <w:tcW w:w="1134" w:type="dxa"/>
            <w:tcBorders>
              <w:top w:val="nil"/>
              <w:left w:val="nil"/>
              <w:bottom w:val="single" w:sz="4" w:space="0" w:color="auto"/>
              <w:right w:val="double" w:sz="4" w:space="0" w:color="auto"/>
            </w:tcBorders>
            <w:shd w:val="clear" w:color="auto" w:fill="auto"/>
            <w:noWrap/>
            <w:vAlign w:val="center"/>
            <w:hideMark/>
          </w:tcPr>
          <w:p w14:paraId="01021717"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4,2 </w:t>
            </w:r>
          </w:p>
        </w:tc>
      </w:tr>
      <w:tr w:rsidR="00D470B6" w:rsidRPr="00A53AD7" w14:paraId="0BC721C5" w14:textId="77777777" w:rsidTr="001D2B6D">
        <w:trPr>
          <w:trHeight w:hRule="exact" w:val="255"/>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5121FFD7"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Бюджетные инвестиции</w:t>
            </w:r>
          </w:p>
        </w:tc>
        <w:tc>
          <w:tcPr>
            <w:tcW w:w="567" w:type="dxa"/>
            <w:tcBorders>
              <w:top w:val="nil"/>
              <w:left w:val="nil"/>
              <w:bottom w:val="single" w:sz="4" w:space="0" w:color="auto"/>
              <w:right w:val="single" w:sz="4" w:space="0" w:color="auto"/>
            </w:tcBorders>
            <w:shd w:val="clear" w:color="auto" w:fill="auto"/>
            <w:vAlign w:val="center"/>
            <w:hideMark/>
          </w:tcPr>
          <w:p w14:paraId="2060BBFD"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019</w:t>
            </w:r>
          </w:p>
        </w:tc>
        <w:tc>
          <w:tcPr>
            <w:tcW w:w="546" w:type="dxa"/>
            <w:tcBorders>
              <w:top w:val="nil"/>
              <w:left w:val="nil"/>
              <w:bottom w:val="single" w:sz="4" w:space="0" w:color="auto"/>
              <w:right w:val="single" w:sz="4" w:space="0" w:color="auto"/>
            </w:tcBorders>
            <w:shd w:val="clear" w:color="auto" w:fill="auto"/>
            <w:vAlign w:val="center"/>
            <w:hideMark/>
          </w:tcPr>
          <w:p w14:paraId="3A18AD6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w:t>
            </w:r>
          </w:p>
        </w:tc>
        <w:tc>
          <w:tcPr>
            <w:tcW w:w="588" w:type="dxa"/>
            <w:tcBorders>
              <w:top w:val="nil"/>
              <w:left w:val="nil"/>
              <w:bottom w:val="single" w:sz="4" w:space="0" w:color="auto"/>
              <w:right w:val="single" w:sz="4" w:space="0" w:color="auto"/>
            </w:tcBorders>
            <w:shd w:val="clear" w:color="auto" w:fill="auto"/>
            <w:vAlign w:val="center"/>
            <w:hideMark/>
          </w:tcPr>
          <w:p w14:paraId="5FC22A9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1294" w:type="dxa"/>
            <w:tcBorders>
              <w:top w:val="nil"/>
              <w:left w:val="nil"/>
              <w:bottom w:val="single" w:sz="4" w:space="0" w:color="auto"/>
              <w:right w:val="single" w:sz="4" w:space="0" w:color="auto"/>
            </w:tcBorders>
            <w:shd w:val="clear" w:color="auto" w:fill="auto"/>
            <w:vAlign w:val="center"/>
            <w:hideMark/>
          </w:tcPr>
          <w:p w14:paraId="36E94763"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3 00 R0160</w:t>
            </w:r>
          </w:p>
        </w:tc>
        <w:tc>
          <w:tcPr>
            <w:tcW w:w="567" w:type="dxa"/>
            <w:tcBorders>
              <w:top w:val="nil"/>
              <w:left w:val="nil"/>
              <w:bottom w:val="single" w:sz="4" w:space="0" w:color="auto"/>
              <w:right w:val="single" w:sz="4" w:space="0" w:color="auto"/>
            </w:tcBorders>
            <w:shd w:val="clear" w:color="auto" w:fill="auto"/>
            <w:vAlign w:val="center"/>
            <w:hideMark/>
          </w:tcPr>
          <w:p w14:paraId="2E647AF5"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410</w:t>
            </w:r>
          </w:p>
        </w:tc>
        <w:tc>
          <w:tcPr>
            <w:tcW w:w="1242" w:type="dxa"/>
            <w:tcBorders>
              <w:top w:val="nil"/>
              <w:left w:val="nil"/>
              <w:bottom w:val="single" w:sz="4" w:space="0" w:color="auto"/>
              <w:right w:val="single" w:sz="4" w:space="0" w:color="auto"/>
            </w:tcBorders>
            <w:shd w:val="clear" w:color="auto" w:fill="auto"/>
            <w:vAlign w:val="center"/>
            <w:hideMark/>
          </w:tcPr>
          <w:p w14:paraId="5FCDC23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84,9 </w:t>
            </w:r>
          </w:p>
        </w:tc>
        <w:tc>
          <w:tcPr>
            <w:tcW w:w="1026" w:type="dxa"/>
            <w:tcBorders>
              <w:top w:val="nil"/>
              <w:left w:val="nil"/>
              <w:bottom w:val="single" w:sz="4" w:space="0" w:color="auto"/>
              <w:right w:val="single" w:sz="4" w:space="0" w:color="auto"/>
            </w:tcBorders>
            <w:shd w:val="clear" w:color="auto" w:fill="auto"/>
            <w:vAlign w:val="center"/>
            <w:hideMark/>
          </w:tcPr>
          <w:p w14:paraId="73A1E265"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127,0 </w:t>
            </w:r>
          </w:p>
        </w:tc>
        <w:tc>
          <w:tcPr>
            <w:tcW w:w="1134" w:type="dxa"/>
            <w:tcBorders>
              <w:top w:val="nil"/>
              <w:left w:val="nil"/>
              <w:bottom w:val="single" w:sz="4" w:space="0" w:color="auto"/>
              <w:right w:val="double" w:sz="4" w:space="0" w:color="auto"/>
            </w:tcBorders>
            <w:shd w:val="clear" w:color="auto" w:fill="auto"/>
            <w:noWrap/>
            <w:vAlign w:val="center"/>
            <w:hideMark/>
          </w:tcPr>
          <w:p w14:paraId="2477320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-42,1 </w:t>
            </w:r>
          </w:p>
        </w:tc>
      </w:tr>
      <w:tr w:rsidR="00D470B6" w:rsidRPr="00A53AD7" w14:paraId="043D23EC" w14:textId="77777777" w:rsidTr="001D2B6D">
        <w:trPr>
          <w:trHeight w:val="230"/>
        </w:trPr>
        <w:tc>
          <w:tcPr>
            <w:tcW w:w="5854" w:type="dxa"/>
            <w:gridSpan w:val="6"/>
            <w:tcBorders>
              <w:top w:val="single" w:sz="4" w:space="0" w:color="auto"/>
              <w:left w:val="double" w:sz="4" w:space="0" w:color="auto"/>
              <w:bottom w:val="single" w:sz="4" w:space="0" w:color="auto"/>
              <w:right w:val="single" w:sz="4" w:space="0" w:color="000000"/>
            </w:tcBorders>
            <w:shd w:val="clear" w:color="auto" w:fill="auto"/>
            <w:vAlign w:val="center"/>
            <w:hideMark/>
          </w:tcPr>
          <w:p w14:paraId="71673344" w14:textId="77777777" w:rsidR="001D2B6D" w:rsidRPr="00A53AD7" w:rsidRDefault="001D2B6D" w:rsidP="001D2B6D">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Минлеспром АО итого</w:t>
            </w:r>
          </w:p>
        </w:tc>
        <w:tc>
          <w:tcPr>
            <w:tcW w:w="1242" w:type="dxa"/>
            <w:tcBorders>
              <w:top w:val="nil"/>
              <w:left w:val="nil"/>
              <w:bottom w:val="single" w:sz="4" w:space="0" w:color="auto"/>
              <w:right w:val="single" w:sz="4" w:space="0" w:color="auto"/>
            </w:tcBorders>
            <w:shd w:val="clear" w:color="auto" w:fill="auto"/>
            <w:vAlign w:val="center"/>
            <w:hideMark/>
          </w:tcPr>
          <w:p w14:paraId="1F26BA75"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519,0</w:t>
            </w:r>
          </w:p>
        </w:tc>
        <w:tc>
          <w:tcPr>
            <w:tcW w:w="1026" w:type="dxa"/>
            <w:tcBorders>
              <w:top w:val="nil"/>
              <w:left w:val="nil"/>
              <w:bottom w:val="single" w:sz="4" w:space="0" w:color="auto"/>
              <w:right w:val="single" w:sz="4" w:space="0" w:color="auto"/>
            </w:tcBorders>
            <w:shd w:val="clear" w:color="auto" w:fill="auto"/>
            <w:vAlign w:val="center"/>
            <w:hideMark/>
          </w:tcPr>
          <w:p w14:paraId="2BCBCCA2"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519,0</w:t>
            </w:r>
          </w:p>
        </w:tc>
        <w:tc>
          <w:tcPr>
            <w:tcW w:w="1134" w:type="dxa"/>
            <w:tcBorders>
              <w:top w:val="nil"/>
              <w:left w:val="nil"/>
              <w:bottom w:val="single" w:sz="4" w:space="0" w:color="auto"/>
              <w:right w:val="double" w:sz="4" w:space="0" w:color="auto"/>
            </w:tcBorders>
            <w:shd w:val="clear" w:color="auto" w:fill="auto"/>
            <w:noWrap/>
            <w:vAlign w:val="center"/>
            <w:hideMark/>
          </w:tcPr>
          <w:p w14:paraId="44762A2F" w14:textId="77777777" w:rsidR="001D2B6D" w:rsidRPr="00A53AD7" w:rsidRDefault="001D2B6D" w:rsidP="001D2B6D">
            <w:pPr>
              <w:spacing w:after="0" w:line="240" w:lineRule="auto"/>
              <w:jc w:val="right"/>
              <w:rPr>
                <w:rFonts w:ascii="Times New Roman" w:eastAsia="Times New Roman" w:hAnsi="Times New Roman"/>
                <w:b/>
                <w:sz w:val="18"/>
                <w:szCs w:val="18"/>
                <w:lang w:eastAsia="ru-RU"/>
              </w:rPr>
            </w:pPr>
            <w:r w:rsidRPr="00A53AD7">
              <w:rPr>
                <w:rFonts w:ascii="Times New Roman" w:eastAsia="Times New Roman" w:hAnsi="Times New Roman"/>
                <w:b/>
                <w:sz w:val="18"/>
                <w:szCs w:val="18"/>
                <w:lang w:eastAsia="ru-RU"/>
              </w:rPr>
              <w:t>-0,0</w:t>
            </w:r>
          </w:p>
        </w:tc>
      </w:tr>
      <w:tr w:rsidR="00D470B6" w:rsidRPr="00A53AD7" w14:paraId="38B74610" w14:textId="77777777" w:rsidTr="001D2B6D">
        <w:trPr>
          <w:trHeight w:hRule="exact" w:val="255"/>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3897B5DA"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том числе с отклонениями:</w:t>
            </w:r>
          </w:p>
        </w:tc>
        <w:tc>
          <w:tcPr>
            <w:tcW w:w="6964" w:type="dxa"/>
            <w:gridSpan w:val="8"/>
            <w:tcBorders>
              <w:top w:val="single" w:sz="4" w:space="0" w:color="auto"/>
              <w:left w:val="nil"/>
              <w:bottom w:val="single" w:sz="4" w:space="0" w:color="auto"/>
              <w:right w:val="double" w:sz="4" w:space="0" w:color="auto"/>
            </w:tcBorders>
            <w:shd w:val="clear" w:color="auto" w:fill="auto"/>
            <w:vAlign w:val="center"/>
            <w:hideMark/>
          </w:tcPr>
          <w:p w14:paraId="2F2850F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D470B6" w:rsidRPr="00A53AD7" w14:paraId="07BDEDFA" w14:textId="77777777" w:rsidTr="001D2B6D">
        <w:trPr>
          <w:trHeight w:val="394"/>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6A0792FA"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Субсидии бюджетным учреждениям</w:t>
            </w:r>
          </w:p>
        </w:tc>
        <w:tc>
          <w:tcPr>
            <w:tcW w:w="567" w:type="dxa"/>
            <w:tcBorders>
              <w:top w:val="nil"/>
              <w:left w:val="nil"/>
              <w:bottom w:val="single" w:sz="4" w:space="0" w:color="auto"/>
              <w:right w:val="single" w:sz="4" w:space="0" w:color="auto"/>
            </w:tcBorders>
            <w:shd w:val="clear" w:color="auto" w:fill="auto"/>
            <w:vAlign w:val="center"/>
            <w:hideMark/>
          </w:tcPr>
          <w:p w14:paraId="3F9E5F61"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045</w:t>
            </w:r>
          </w:p>
        </w:tc>
        <w:tc>
          <w:tcPr>
            <w:tcW w:w="546" w:type="dxa"/>
            <w:tcBorders>
              <w:top w:val="nil"/>
              <w:left w:val="nil"/>
              <w:bottom w:val="single" w:sz="4" w:space="0" w:color="auto"/>
              <w:right w:val="single" w:sz="4" w:space="0" w:color="auto"/>
            </w:tcBorders>
            <w:shd w:val="clear" w:color="auto" w:fill="auto"/>
            <w:vAlign w:val="center"/>
            <w:hideMark/>
          </w:tcPr>
          <w:p w14:paraId="39BDEEEB"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588" w:type="dxa"/>
            <w:tcBorders>
              <w:top w:val="nil"/>
              <w:left w:val="nil"/>
              <w:bottom w:val="single" w:sz="4" w:space="0" w:color="auto"/>
              <w:right w:val="single" w:sz="4" w:space="0" w:color="auto"/>
            </w:tcBorders>
            <w:shd w:val="clear" w:color="auto" w:fill="auto"/>
            <w:vAlign w:val="center"/>
            <w:hideMark/>
          </w:tcPr>
          <w:p w14:paraId="46838FAD"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294" w:type="dxa"/>
            <w:tcBorders>
              <w:top w:val="nil"/>
              <w:left w:val="nil"/>
              <w:bottom w:val="single" w:sz="4" w:space="0" w:color="auto"/>
              <w:right w:val="single" w:sz="4" w:space="0" w:color="auto"/>
            </w:tcBorders>
            <w:shd w:val="clear" w:color="auto" w:fill="auto"/>
            <w:vAlign w:val="center"/>
            <w:hideMark/>
          </w:tcPr>
          <w:p w14:paraId="402BC5AD"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10 1 00 70730</w:t>
            </w:r>
          </w:p>
        </w:tc>
        <w:tc>
          <w:tcPr>
            <w:tcW w:w="567" w:type="dxa"/>
            <w:tcBorders>
              <w:top w:val="nil"/>
              <w:left w:val="nil"/>
              <w:bottom w:val="single" w:sz="4" w:space="0" w:color="auto"/>
              <w:right w:val="single" w:sz="4" w:space="0" w:color="auto"/>
            </w:tcBorders>
            <w:shd w:val="clear" w:color="auto" w:fill="auto"/>
            <w:vAlign w:val="center"/>
            <w:hideMark/>
          </w:tcPr>
          <w:p w14:paraId="6A4B51EA"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610</w:t>
            </w:r>
          </w:p>
        </w:tc>
        <w:tc>
          <w:tcPr>
            <w:tcW w:w="1242" w:type="dxa"/>
            <w:tcBorders>
              <w:top w:val="nil"/>
              <w:left w:val="nil"/>
              <w:bottom w:val="single" w:sz="4" w:space="0" w:color="auto"/>
              <w:right w:val="single" w:sz="4" w:space="0" w:color="auto"/>
            </w:tcBorders>
            <w:shd w:val="clear" w:color="auto" w:fill="auto"/>
            <w:vAlign w:val="center"/>
            <w:hideMark/>
          </w:tcPr>
          <w:p w14:paraId="6692769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17,3 </w:t>
            </w:r>
          </w:p>
        </w:tc>
        <w:tc>
          <w:tcPr>
            <w:tcW w:w="1026" w:type="dxa"/>
            <w:tcBorders>
              <w:top w:val="nil"/>
              <w:left w:val="nil"/>
              <w:bottom w:val="single" w:sz="4" w:space="0" w:color="auto"/>
              <w:right w:val="single" w:sz="4" w:space="0" w:color="auto"/>
            </w:tcBorders>
            <w:shd w:val="clear" w:color="auto" w:fill="auto"/>
            <w:vAlign w:val="center"/>
            <w:hideMark/>
          </w:tcPr>
          <w:p w14:paraId="1BDB7C7C"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38,8 </w:t>
            </w:r>
          </w:p>
        </w:tc>
        <w:tc>
          <w:tcPr>
            <w:tcW w:w="1134" w:type="dxa"/>
            <w:tcBorders>
              <w:top w:val="nil"/>
              <w:left w:val="nil"/>
              <w:bottom w:val="single" w:sz="4" w:space="0" w:color="auto"/>
              <w:right w:val="double" w:sz="4" w:space="0" w:color="auto"/>
            </w:tcBorders>
            <w:shd w:val="clear" w:color="auto" w:fill="auto"/>
            <w:noWrap/>
            <w:vAlign w:val="center"/>
            <w:hideMark/>
          </w:tcPr>
          <w:p w14:paraId="4E43526D"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-21,5 </w:t>
            </w:r>
          </w:p>
        </w:tc>
      </w:tr>
      <w:tr w:rsidR="00D470B6" w:rsidRPr="00A53AD7" w14:paraId="1A23B7D6" w14:textId="77777777" w:rsidTr="001D2B6D">
        <w:trPr>
          <w:trHeight w:val="732"/>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1C5F4326"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Иные закупки товаров, работ и услуг для обеспечения государственных (муниципальных) нужд</w:t>
            </w:r>
          </w:p>
        </w:tc>
        <w:tc>
          <w:tcPr>
            <w:tcW w:w="567" w:type="dxa"/>
            <w:tcBorders>
              <w:top w:val="nil"/>
              <w:left w:val="nil"/>
              <w:bottom w:val="single" w:sz="4" w:space="0" w:color="auto"/>
              <w:right w:val="single" w:sz="4" w:space="0" w:color="auto"/>
            </w:tcBorders>
            <w:shd w:val="clear" w:color="auto" w:fill="auto"/>
            <w:vAlign w:val="center"/>
            <w:hideMark/>
          </w:tcPr>
          <w:p w14:paraId="0D9FCC8B"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045</w:t>
            </w:r>
          </w:p>
        </w:tc>
        <w:tc>
          <w:tcPr>
            <w:tcW w:w="546" w:type="dxa"/>
            <w:tcBorders>
              <w:top w:val="nil"/>
              <w:left w:val="nil"/>
              <w:bottom w:val="single" w:sz="4" w:space="0" w:color="auto"/>
              <w:right w:val="single" w:sz="4" w:space="0" w:color="auto"/>
            </w:tcBorders>
            <w:shd w:val="clear" w:color="auto" w:fill="auto"/>
            <w:vAlign w:val="center"/>
            <w:hideMark/>
          </w:tcPr>
          <w:p w14:paraId="4676ABC4"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588" w:type="dxa"/>
            <w:tcBorders>
              <w:top w:val="nil"/>
              <w:left w:val="nil"/>
              <w:bottom w:val="single" w:sz="4" w:space="0" w:color="auto"/>
              <w:right w:val="single" w:sz="4" w:space="0" w:color="auto"/>
            </w:tcBorders>
            <w:shd w:val="clear" w:color="auto" w:fill="auto"/>
            <w:vAlign w:val="center"/>
            <w:hideMark/>
          </w:tcPr>
          <w:p w14:paraId="51A84BA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294" w:type="dxa"/>
            <w:tcBorders>
              <w:top w:val="nil"/>
              <w:left w:val="nil"/>
              <w:bottom w:val="single" w:sz="4" w:space="0" w:color="auto"/>
              <w:right w:val="single" w:sz="4" w:space="0" w:color="auto"/>
            </w:tcBorders>
            <w:shd w:val="clear" w:color="auto" w:fill="auto"/>
            <w:vAlign w:val="center"/>
            <w:hideMark/>
          </w:tcPr>
          <w:p w14:paraId="406C250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10 1 00 70740</w:t>
            </w:r>
          </w:p>
        </w:tc>
        <w:tc>
          <w:tcPr>
            <w:tcW w:w="567" w:type="dxa"/>
            <w:tcBorders>
              <w:top w:val="nil"/>
              <w:left w:val="nil"/>
              <w:bottom w:val="single" w:sz="4" w:space="0" w:color="auto"/>
              <w:right w:val="single" w:sz="4" w:space="0" w:color="auto"/>
            </w:tcBorders>
            <w:shd w:val="clear" w:color="auto" w:fill="auto"/>
            <w:vAlign w:val="center"/>
            <w:hideMark/>
          </w:tcPr>
          <w:p w14:paraId="0FD48C8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240</w:t>
            </w:r>
          </w:p>
        </w:tc>
        <w:tc>
          <w:tcPr>
            <w:tcW w:w="1242" w:type="dxa"/>
            <w:tcBorders>
              <w:top w:val="nil"/>
              <w:left w:val="nil"/>
              <w:bottom w:val="single" w:sz="4" w:space="0" w:color="auto"/>
              <w:right w:val="single" w:sz="4" w:space="0" w:color="auto"/>
            </w:tcBorders>
            <w:shd w:val="clear" w:color="auto" w:fill="auto"/>
            <w:vAlign w:val="center"/>
            <w:hideMark/>
          </w:tcPr>
          <w:p w14:paraId="6820DA5B"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21,5 </w:t>
            </w:r>
          </w:p>
        </w:tc>
        <w:tc>
          <w:tcPr>
            <w:tcW w:w="1026" w:type="dxa"/>
            <w:tcBorders>
              <w:top w:val="nil"/>
              <w:left w:val="nil"/>
              <w:bottom w:val="single" w:sz="4" w:space="0" w:color="auto"/>
              <w:right w:val="single" w:sz="4" w:space="0" w:color="auto"/>
            </w:tcBorders>
            <w:shd w:val="clear" w:color="auto" w:fill="auto"/>
            <w:vAlign w:val="center"/>
            <w:hideMark/>
          </w:tcPr>
          <w:p w14:paraId="4F65CCCB"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0,0 </w:t>
            </w:r>
          </w:p>
        </w:tc>
        <w:tc>
          <w:tcPr>
            <w:tcW w:w="1134" w:type="dxa"/>
            <w:tcBorders>
              <w:top w:val="nil"/>
              <w:left w:val="nil"/>
              <w:bottom w:val="single" w:sz="4" w:space="0" w:color="auto"/>
              <w:right w:val="double" w:sz="4" w:space="0" w:color="auto"/>
            </w:tcBorders>
            <w:shd w:val="clear" w:color="auto" w:fill="auto"/>
            <w:noWrap/>
            <w:vAlign w:val="center"/>
            <w:hideMark/>
          </w:tcPr>
          <w:p w14:paraId="0F6E6BA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21,5 </w:t>
            </w:r>
          </w:p>
        </w:tc>
      </w:tr>
      <w:tr w:rsidR="00D470B6" w:rsidRPr="00A53AD7" w14:paraId="3FD9C08B" w14:textId="77777777" w:rsidTr="001D2B6D">
        <w:trPr>
          <w:trHeight w:val="539"/>
        </w:trPr>
        <w:tc>
          <w:tcPr>
            <w:tcW w:w="2292" w:type="dxa"/>
            <w:tcBorders>
              <w:top w:val="nil"/>
              <w:left w:val="double" w:sz="4" w:space="0" w:color="auto"/>
              <w:bottom w:val="single" w:sz="4" w:space="0" w:color="auto"/>
              <w:right w:val="single" w:sz="4" w:space="0" w:color="auto"/>
            </w:tcBorders>
            <w:shd w:val="clear" w:color="auto" w:fill="auto"/>
            <w:vAlign w:val="center"/>
            <w:hideMark/>
          </w:tcPr>
          <w:p w14:paraId="675056FE"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Расходы на выплаты персоналу государственных (муниципальных) органов</w:t>
            </w:r>
          </w:p>
        </w:tc>
        <w:tc>
          <w:tcPr>
            <w:tcW w:w="567" w:type="dxa"/>
            <w:tcBorders>
              <w:top w:val="nil"/>
              <w:left w:val="nil"/>
              <w:bottom w:val="single" w:sz="4" w:space="0" w:color="auto"/>
              <w:right w:val="single" w:sz="4" w:space="0" w:color="auto"/>
            </w:tcBorders>
            <w:shd w:val="clear" w:color="auto" w:fill="auto"/>
            <w:vAlign w:val="center"/>
            <w:hideMark/>
          </w:tcPr>
          <w:p w14:paraId="10264EB4"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045</w:t>
            </w:r>
          </w:p>
        </w:tc>
        <w:tc>
          <w:tcPr>
            <w:tcW w:w="546" w:type="dxa"/>
            <w:tcBorders>
              <w:top w:val="nil"/>
              <w:left w:val="nil"/>
              <w:bottom w:val="single" w:sz="4" w:space="0" w:color="auto"/>
              <w:right w:val="single" w:sz="4" w:space="0" w:color="auto"/>
            </w:tcBorders>
            <w:shd w:val="clear" w:color="auto" w:fill="auto"/>
            <w:vAlign w:val="center"/>
            <w:hideMark/>
          </w:tcPr>
          <w:p w14:paraId="28A60F9B"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588" w:type="dxa"/>
            <w:tcBorders>
              <w:top w:val="nil"/>
              <w:left w:val="nil"/>
              <w:bottom w:val="single" w:sz="4" w:space="0" w:color="auto"/>
              <w:right w:val="single" w:sz="4" w:space="0" w:color="auto"/>
            </w:tcBorders>
            <w:shd w:val="clear" w:color="auto" w:fill="auto"/>
            <w:vAlign w:val="center"/>
            <w:hideMark/>
          </w:tcPr>
          <w:p w14:paraId="05B17A57"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294" w:type="dxa"/>
            <w:tcBorders>
              <w:top w:val="nil"/>
              <w:left w:val="nil"/>
              <w:bottom w:val="single" w:sz="4" w:space="0" w:color="auto"/>
              <w:right w:val="single" w:sz="4" w:space="0" w:color="auto"/>
            </w:tcBorders>
            <w:shd w:val="clear" w:color="auto" w:fill="auto"/>
            <w:vAlign w:val="center"/>
            <w:hideMark/>
          </w:tcPr>
          <w:p w14:paraId="04AF049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10 2 00 59700</w:t>
            </w:r>
          </w:p>
        </w:tc>
        <w:tc>
          <w:tcPr>
            <w:tcW w:w="567" w:type="dxa"/>
            <w:tcBorders>
              <w:top w:val="nil"/>
              <w:left w:val="nil"/>
              <w:bottom w:val="single" w:sz="4" w:space="0" w:color="auto"/>
              <w:right w:val="single" w:sz="4" w:space="0" w:color="auto"/>
            </w:tcBorders>
            <w:shd w:val="clear" w:color="auto" w:fill="auto"/>
            <w:vAlign w:val="center"/>
            <w:hideMark/>
          </w:tcPr>
          <w:p w14:paraId="494FFC68"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120</w:t>
            </w:r>
          </w:p>
        </w:tc>
        <w:tc>
          <w:tcPr>
            <w:tcW w:w="1242" w:type="dxa"/>
            <w:tcBorders>
              <w:top w:val="nil"/>
              <w:left w:val="nil"/>
              <w:bottom w:val="single" w:sz="4" w:space="0" w:color="auto"/>
              <w:right w:val="single" w:sz="4" w:space="0" w:color="auto"/>
            </w:tcBorders>
            <w:shd w:val="clear" w:color="auto" w:fill="auto"/>
            <w:vAlign w:val="center"/>
            <w:hideMark/>
          </w:tcPr>
          <w:p w14:paraId="1C92FCAC"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20,1 </w:t>
            </w:r>
          </w:p>
        </w:tc>
        <w:tc>
          <w:tcPr>
            <w:tcW w:w="1026" w:type="dxa"/>
            <w:tcBorders>
              <w:top w:val="nil"/>
              <w:left w:val="nil"/>
              <w:bottom w:val="single" w:sz="4" w:space="0" w:color="auto"/>
              <w:right w:val="single" w:sz="4" w:space="0" w:color="auto"/>
            </w:tcBorders>
            <w:shd w:val="clear" w:color="auto" w:fill="auto"/>
            <w:vAlign w:val="center"/>
            <w:hideMark/>
          </w:tcPr>
          <w:p w14:paraId="4DF4129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19,9 </w:t>
            </w:r>
          </w:p>
        </w:tc>
        <w:tc>
          <w:tcPr>
            <w:tcW w:w="1134" w:type="dxa"/>
            <w:tcBorders>
              <w:top w:val="nil"/>
              <w:left w:val="nil"/>
              <w:bottom w:val="single" w:sz="4" w:space="0" w:color="auto"/>
              <w:right w:val="double" w:sz="4" w:space="0" w:color="auto"/>
            </w:tcBorders>
            <w:shd w:val="clear" w:color="auto" w:fill="auto"/>
            <w:noWrap/>
            <w:vAlign w:val="center"/>
            <w:hideMark/>
          </w:tcPr>
          <w:p w14:paraId="277B4A2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0,2 </w:t>
            </w:r>
          </w:p>
        </w:tc>
      </w:tr>
      <w:tr w:rsidR="001D2B6D" w:rsidRPr="00A53AD7" w14:paraId="2B9698DD" w14:textId="77777777" w:rsidTr="001D2B6D">
        <w:trPr>
          <w:trHeight w:val="732"/>
        </w:trPr>
        <w:tc>
          <w:tcPr>
            <w:tcW w:w="2292" w:type="dxa"/>
            <w:tcBorders>
              <w:top w:val="nil"/>
              <w:left w:val="double" w:sz="4" w:space="0" w:color="auto"/>
              <w:bottom w:val="double" w:sz="4" w:space="0" w:color="auto"/>
              <w:right w:val="single" w:sz="4" w:space="0" w:color="auto"/>
            </w:tcBorders>
            <w:shd w:val="clear" w:color="auto" w:fill="auto"/>
            <w:vAlign w:val="center"/>
            <w:hideMark/>
          </w:tcPr>
          <w:p w14:paraId="1FBC7BAD"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Иные закупки товаров, работ и услуг для обеспечения государственных (муниципальных) нужд</w:t>
            </w:r>
          </w:p>
        </w:tc>
        <w:tc>
          <w:tcPr>
            <w:tcW w:w="567" w:type="dxa"/>
            <w:tcBorders>
              <w:top w:val="nil"/>
              <w:left w:val="nil"/>
              <w:bottom w:val="double" w:sz="4" w:space="0" w:color="auto"/>
              <w:right w:val="single" w:sz="4" w:space="0" w:color="auto"/>
            </w:tcBorders>
            <w:shd w:val="clear" w:color="auto" w:fill="auto"/>
            <w:vAlign w:val="center"/>
            <w:hideMark/>
          </w:tcPr>
          <w:p w14:paraId="1CE153E6"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045</w:t>
            </w:r>
          </w:p>
        </w:tc>
        <w:tc>
          <w:tcPr>
            <w:tcW w:w="546" w:type="dxa"/>
            <w:tcBorders>
              <w:top w:val="nil"/>
              <w:left w:val="nil"/>
              <w:bottom w:val="double" w:sz="4" w:space="0" w:color="auto"/>
              <w:right w:val="single" w:sz="4" w:space="0" w:color="auto"/>
            </w:tcBorders>
            <w:shd w:val="clear" w:color="auto" w:fill="auto"/>
            <w:vAlign w:val="center"/>
            <w:hideMark/>
          </w:tcPr>
          <w:p w14:paraId="0B5C4CF0"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588" w:type="dxa"/>
            <w:tcBorders>
              <w:top w:val="nil"/>
              <w:left w:val="nil"/>
              <w:bottom w:val="double" w:sz="4" w:space="0" w:color="auto"/>
              <w:right w:val="single" w:sz="4" w:space="0" w:color="auto"/>
            </w:tcBorders>
            <w:shd w:val="clear" w:color="auto" w:fill="auto"/>
            <w:vAlign w:val="center"/>
            <w:hideMark/>
          </w:tcPr>
          <w:p w14:paraId="6F00575F"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w:t>
            </w:r>
          </w:p>
        </w:tc>
        <w:tc>
          <w:tcPr>
            <w:tcW w:w="1294" w:type="dxa"/>
            <w:tcBorders>
              <w:top w:val="nil"/>
              <w:left w:val="nil"/>
              <w:bottom w:val="double" w:sz="4" w:space="0" w:color="auto"/>
              <w:right w:val="single" w:sz="4" w:space="0" w:color="auto"/>
            </w:tcBorders>
            <w:shd w:val="clear" w:color="auto" w:fill="auto"/>
            <w:vAlign w:val="center"/>
            <w:hideMark/>
          </w:tcPr>
          <w:p w14:paraId="7B24BC96"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10 2 00 59700</w:t>
            </w:r>
          </w:p>
        </w:tc>
        <w:tc>
          <w:tcPr>
            <w:tcW w:w="567" w:type="dxa"/>
            <w:tcBorders>
              <w:top w:val="nil"/>
              <w:left w:val="nil"/>
              <w:bottom w:val="double" w:sz="4" w:space="0" w:color="auto"/>
              <w:right w:val="single" w:sz="4" w:space="0" w:color="auto"/>
            </w:tcBorders>
            <w:shd w:val="clear" w:color="auto" w:fill="auto"/>
            <w:vAlign w:val="center"/>
            <w:hideMark/>
          </w:tcPr>
          <w:p w14:paraId="4B63C80B"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240</w:t>
            </w:r>
          </w:p>
        </w:tc>
        <w:tc>
          <w:tcPr>
            <w:tcW w:w="1242" w:type="dxa"/>
            <w:tcBorders>
              <w:top w:val="nil"/>
              <w:left w:val="nil"/>
              <w:bottom w:val="double" w:sz="4" w:space="0" w:color="auto"/>
              <w:right w:val="single" w:sz="4" w:space="0" w:color="auto"/>
            </w:tcBorders>
            <w:shd w:val="clear" w:color="auto" w:fill="auto"/>
            <w:vAlign w:val="center"/>
            <w:hideMark/>
          </w:tcPr>
          <w:p w14:paraId="4DFE2A15"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3,7 </w:t>
            </w:r>
          </w:p>
        </w:tc>
        <w:tc>
          <w:tcPr>
            <w:tcW w:w="1026" w:type="dxa"/>
            <w:tcBorders>
              <w:top w:val="nil"/>
              <w:left w:val="nil"/>
              <w:bottom w:val="double" w:sz="4" w:space="0" w:color="auto"/>
              <w:right w:val="single" w:sz="4" w:space="0" w:color="auto"/>
            </w:tcBorders>
            <w:shd w:val="clear" w:color="auto" w:fill="auto"/>
            <w:vAlign w:val="center"/>
            <w:hideMark/>
          </w:tcPr>
          <w:p w14:paraId="2AA14A89"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3,9 </w:t>
            </w:r>
          </w:p>
        </w:tc>
        <w:tc>
          <w:tcPr>
            <w:tcW w:w="1134" w:type="dxa"/>
            <w:tcBorders>
              <w:top w:val="nil"/>
              <w:left w:val="nil"/>
              <w:bottom w:val="double" w:sz="4" w:space="0" w:color="auto"/>
              <w:right w:val="double" w:sz="4" w:space="0" w:color="auto"/>
            </w:tcBorders>
            <w:shd w:val="clear" w:color="auto" w:fill="auto"/>
            <w:noWrap/>
            <w:vAlign w:val="center"/>
            <w:hideMark/>
          </w:tcPr>
          <w:p w14:paraId="08B53A9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-0,2 </w:t>
            </w:r>
          </w:p>
        </w:tc>
      </w:tr>
    </w:tbl>
    <w:p w14:paraId="4B732B7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1C57D55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бюджетные ассигнования на реализацию мероприятия 2.3. «Выявление и ликвидация несанкционированных свалок и захламлений территорий Архангельской области» подпрограммы № 1 в размере 21,5 млн.руб. в ведомственной структуре расходов на 2019 год (приложение № 12 к областному закону от 17.12.2018 № 35-4-ОЗ (ред. от 13.12.2019) утверждены минлеспрому АО по целевой статье (далее ЦС) 10 1 00 70740 «Мероприятия в сфере охраны окружающей среды, осуществляемые государственными органами» виду расхода (далее ВР) 240 «Иные закупки товаров, работ и услуг для обеспечения государственных (муниципальных) нужд», а в сводной бюджетной росписи по состоянию на 31.12.2019 исполнение данного мероприятия предусмотрено по ЦС 10 1 00 70730 «Предоставление субсидий бюджетным, автономным учреждениям и иным некоммерческим организациям» ВР 610 «Субсидии бюджетным учреждениям».</w:t>
      </w:r>
    </w:p>
    <w:p w14:paraId="709F50C6" w14:textId="5FFFE0DD"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ч. 3 ст. 8</w:t>
      </w:r>
      <w:r w:rsidR="00EF6CF9" w:rsidRPr="00A53AD7">
        <w:rPr>
          <w:rFonts w:ascii="Times New Roman" w:hAnsi="Times New Roman"/>
          <w:sz w:val="28"/>
          <w:szCs w:val="28"/>
        </w:rPr>
        <w:t>0</w:t>
      </w:r>
      <w:r w:rsidRPr="00A53AD7">
        <w:rPr>
          <w:rFonts w:ascii="Times New Roman" w:hAnsi="Times New Roman"/>
          <w:sz w:val="28"/>
          <w:szCs w:val="28"/>
        </w:rPr>
        <w:t>.1 Закона № 7-ФЗ выявление и оценку объектов накопленного вреда окружающей среде вправе проводить органы государственной власти субъектов Российской Федерации или органы местного самоуправления.</w:t>
      </w:r>
    </w:p>
    <w:p w14:paraId="2AEABFA8"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Средства на мероприятие законом о бюджете предусматривались для государственного органа, а не для бюджетных или автономных учреждений.</w:t>
      </w:r>
    </w:p>
    <w:p w14:paraId="0AC7501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ч. 2.1 ст. 217 БК РФ показатели сводной бюджетной росписи на 31.12.2019 года, не соответствуют Закону Архангельской области от 17.12.2018 № 35-4-ОЗ на сумму 21,5 млн.руб. по коду 045 0605 10 1 00 70740 240.</w:t>
      </w:r>
    </w:p>
    <w:p w14:paraId="1B588E2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за отчетный период по программе составили всего 481,8 млн.руб., или 63,1 % от уточненной сводной бюджетной росписи на год.</w:t>
      </w:r>
    </w:p>
    <w:p w14:paraId="2F530594" w14:textId="6069F3CC"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Исполнение программных мероприятий за 2019 года в разрезе главных распорядителей средств областного бюджета и подпрограмм (данные форм 0503127) представлено в таблице </w:t>
      </w:r>
      <w:r w:rsidR="006B1B2F" w:rsidRPr="00A53AD7">
        <w:rPr>
          <w:rFonts w:ascii="Times New Roman" w:hAnsi="Times New Roman"/>
          <w:sz w:val="28"/>
          <w:szCs w:val="28"/>
        </w:rPr>
        <w:t>51</w:t>
      </w:r>
      <w:r w:rsidRPr="00A53AD7">
        <w:rPr>
          <w:rFonts w:ascii="Times New Roman" w:hAnsi="Times New Roman"/>
          <w:sz w:val="28"/>
          <w:szCs w:val="28"/>
        </w:rPr>
        <w:t>:</w:t>
      </w:r>
    </w:p>
    <w:p w14:paraId="1F09BF35" w14:textId="77777777" w:rsidR="001D2B6D" w:rsidRPr="00A53AD7" w:rsidRDefault="001D2B6D" w:rsidP="001D2B6D">
      <w:pPr>
        <w:autoSpaceDE w:val="0"/>
        <w:autoSpaceDN w:val="0"/>
        <w:adjustRightInd w:val="0"/>
        <w:spacing w:after="0" w:line="240" w:lineRule="auto"/>
        <w:jc w:val="both"/>
        <w:rPr>
          <w:rFonts w:ascii="Times New Roman" w:hAnsi="Times New Roman"/>
          <w:sz w:val="28"/>
          <w:szCs w:val="28"/>
        </w:rPr>
      </w:pPr>
    </w:p>
    <w:p w14:paraId="53F90FD2" w14:textId="77777777" w:rsidR="001D2B6D" w:rsidRPr="00A53AD7" w:rsidRDefault="001D2B6D" w:rsidP="001D2B6D">
      <w:pPr>
        <w:autoSpaceDE w:val="0"/>
        <w:autoSpaceDN w:val="0"/>
        <w:adjustRightInd w:val="0"/>
        <w:spacing w:after="0" w:line="240" w:lineRule="auto"/>
        <w:rPr>
          <w:rFonts w:ascii="Times New Roman" w:hAnsi="Times New Roman"/>
          <w:sz w:val="28"/>
          <w:szCs w:val="28"/>
          <w:highlight w:val="cyan"/>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51</w:t>
      </w:r>
      <w:r w:rsidRPr="00A53AD7">
        <w:rPr>
          <w:rFonts w:ascii="Times New Roman" w:hAnsi="Times New Roman"/>
          <w:sz w:val="24"/>
          <w:szCs w:val="24"/>
        </w:rPr>
        <w:fldChar w:fldCharType="end"/>
      </w:r>
      <w:r w:rsidRPr="00A53AD7">
        <w:rPr>
          <w:rFonts w:ascii="Times New Roman" w:hAnsi="Times New Roman"/>
          <w:sz w:val="24"/>
          <w:szCs w:val="24"/>
        </w:rPr>
        <w:t>. Исполнение программных мероприятий за 2019 года в разрезе подпрограмм и главных распорядителей средств областного бюджета, млн.руб.</w:t>
      </w:r>
    </w:p>
    <w:tbl>
      <w:tblPr>
        <w:tblW w:w="9266" w:type="dxa"/>
        <w:tblInd w:w="93" w:type="dxa"/>
        <w:tblLayout w:type="fixed"/>
        <w:tblLook w:val="04A0" w:firstRow="1" w:lastRow="0" w:firstColumn="1" w:lastColumn="0" w:noHBand="0" w:noVBand="1"/>
      </w:tblPr>
      <w:tblGrid>
        <w:gridCol w:w="3294"/>
        <w:gridCol w:w="2808"/>
        <w:gridCol w:w="1444"/>
        <w:gridCol w:w="1034"/>
        <w:gridCol w:w="686"/>
      </w:tblGrid>
      <w:tr w:rsidR="00D470B6" w:rsidRPr="00A53AD7" w14:paraId="43D3AB05" w14:textId="77777777" w:rsidTr="001D2B6D">
        <w:trPr>
          <w:trHeight w:val="1020"/>
        </w:trPr>
        <w:tc>
          <w:tcPr>
            <w:tcW w:w="3294" w:type="dxa"/>
            <w:vMerge w:val="restart"/>
            <w:tcBorders>
              <w:top w:val="double" w:sz="4" w:space="0" w:color="auto"/>
              <w:left w:val="double" w:sz="4" w:space="0" w:color="auto"/>
              <w:bottom w:val="single" w:sz="4" w:space="0" w:color="000000"/>
              <w:right w:val="single" w:sz="4" w:space="0" w:color="auto"/>
            </w:tcBorders>
            <w:shd w:val="clear" w:color="auto" w:fill="auto"/>
            <w:vAlign w:val="center"/>
            <w:hideMark/>
          </w:tcPr>
          <w:p w14:paraId="14E0D4A4" w14:textId="77777777" w:rsidR="001D2B6D" w:rsidRPr="00A53AD7" w:rsidRDefault="001D2B6D" w:rsidP="001D2B6D">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Исполнители государственной программы (ГРБС)</w:t>
            </w:r>
          </w:p>
        </w:tc>
        <w:tc>
          <w:tcPr>
            <w:tcW w:w="280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04A59E5"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ГП АО "Охрана окружающей среды, воспроизводство и использование природных ресурсов Архангельской области"</w:t>
            </w:r>
          </w:p>
        </w:tc>
        <w:tc>
          <w:tcPr>
            <w:tcW w:w="144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F675028"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Утвержденные бюджетные назначения и лимиты бюджетных обязательств на 2019 год (млн.руб.)</w:t>
            </w:r>
          </w:p>
        </w:tc>
        <w:tc>
          <w:tcPr>
            <w:tcW w:w="1720" w:type="dxa"/>
            <w:gridSpan w:val="2"/>
            <w:tcBorders>
              <w:top w:val="double" w:sz="4" w:space="0" w:color="auto"/>
              <w:left w:val="nil"/>
              <w:bottom w:val="single" w:sz="4" w:space="0" w:color="auto"/>
              <w:right w:val="double" w:sz="4" w:space="0" w:color="auto"/>
            </w:tcBorders>
            <w:shd w:val="clear" w:color="auto" w:fill="auto"/>
            <w:vAlign w:val="center"/>
            <w:hideMark/>
          </w:tcPr>
          <w:p w14:paraId="097AB739"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Исполнение за 2019 год</w:t>
            </w:r>
          </w:p>
        </w:tc>
      </w:tr>
      <w:tr w:rsidR="00D470B6" w:rsidRPr="00A53AD7" w14:paraId="1D153076" w14:textId="77777777" w:rsidTr="001D2B6D">
        <w:trPr>
          <w:trHeight w:val="435"/>
        </w:trPr>
        <w:tc>
          <w:tcPr>
            <w:tcW w:w="3294" w:type="dxa"/>
            <w:vMerge/>
            <w:tcBorders>
              <w:top w:val="single" w:sz="4" w:space="0" w:color="auto"/>
              <w:left w:val="double" w:sz="4" w:space="0" w:color="auto"/>
              <w:bottom w:val="single" w:sz="4" w:space="0" w:color="auto"/>
              <w:right w:val="single" w:sz="4" w:space="0" w:color="auto"/>
            </w:tcBorders>
            <w:vAlign w:val="center"/>
            <w:hideMark/>
          </w:tcPr>
          <w:p w14:paraId="2A54CA31" w14:textId="77777777" w:rsidR="001D2B6D" w:rsidRPr="00A53AD7" w:rsidRDefault="001D2B6D" w:rsidP="001D2B6D">
            <w:pPr>
              <w:spacing w:after="0" w:line="240" w:lineRule="auto"/>
              <w:jc w:val="center"/>
              <w:rPr>
                <w:rFonts w:ascii="Times New Roman" w:eastAsia="Times New Roman" w:hAnsi="Times New Roman"/>
                <w:b/>
                <w:bCs/>
                <w:sz w:val="20"/>
                <w:szCs w:val="20"/>
                <w:lang w:eastAsia="ru-RU"/>
              </w:rPr>
            </w:pPr>
          </w:p>
        </w:tc>
        <w:tc>
          <w:tcPr>
            <w:tcW w:w="2808" w:type="dxa"/>
            <w:vMerge/>
            <w:tcBorders>
              <w:top w:val="single" w:sz="4" w:space="0" w:color="auto"/>
              <w:left w:val="single" w:sz="4" w:space="0" w:color="auto"/>
              <w:bottom w:val="single" w:sz="4" w:space="0" w:color="auto"/>
              <w:right w:val="single" w:sz="4" w:space="0" w:color="auto"/>
            </w:tcBorders>
            <w:vAlign w:val="center"/>
            <w:hideMark/>
          </w:tcPr>
          <w:p w14:paraId="11DD7872"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p>
        </w:tc>
        <w:tc>
          <w:tcPr>
            <w:tcW w:w="1444" w:type="dxa"/>
            <w:vMerge/>
            <w:tcBorders>
              <w:top w:val="single" w:sz="4" w:space="0" w:color="auto"/>
              <w:left w:val="single" w:sz="4" w:space="0" w:color="auto"/>
              <w:bottom w:val="single" w:sz="4" w:space="0" w:color="auto"/>
              <w:right w:val="single" w:sz="4" w:space="0" w:color="auto"/>
            </w:tcBorders>
            <w:vAlign w:val="center"/>
            <w:hideMark/>
          </w:tcPr>
          <w:p w14:paraId="78625B31"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p>
        </w:tc>
        <w:tc>
          <w:tcPr>
            <w:tcW w:w="1034" w:type="dxa"/>
            <w:tcBorders>
              <w:top w:val="nil"/>
              <w:left w:val="nil"/>
              <w:bottom w:val="single" w:sz="4" w:space="0" w:color="auto"/>
              <w:right w:val="single" w:sz="4" w:space="0" w:color="auto"/>
            </w:tcBorders>
            <w:shd w:val="clear" w:color="auto" w:fill="auto"/>
            <w:vAlign w:val="center"/>
            <w:hideMark/>
          </w:tcPr>
          <w:p w14:paraId="70516653"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(млн.руб.)</w:t>
            </w:r>
          </w:p>
        </w:tc>
        <w:tc>
          <w:tcPr>
            <w:tcW w:w="686" w:type="dxa"/>
            <w:tcBorders>
              <w:top w:val="nil"/>
              <w:left w:val="nil"/>
              <w:bottom w:val="single" w:sz="4" w:space="0" w:color="auto"/>
              <w:right w:val="double" w:sz="4" w:space="0" w:color="auto"/>
            </w:tcBorders>
            <w:shd w:val="clear" w:color="auto" w:fill="auto"/>
            <w:vAlign w:val="center"/>
            <w:hideMark/>
          </w:tcPr>
          <w:p w14:paraId="7DCF8458" w14:textId="77777777" w:rsidR="001D2B6D" w:rsidRPr="00A53AD7" w:rsidRDefault="001D2B6D" w:rsidP="001D2B6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w:t>
            </w:r>
          </w:p>
        </w:tc>
      </w:tr>
      <w:tr w:rsidR="00D470B6" w:rsidRPr="00A53AD7" w14:paraId="7A8A75C3" w14:textId="77777777" w:rsidTr="001D2B6D">
        <w:trPr>
          <w:trHeight w:hRule="exact" w:val="255"/>
        </w:trPr>
        <w:tc>
          <w:tcPr>
            <w:tcW w:w="6102" w:type="dxa"/>
            <w:gridSpan w:val="2"/>
            <w:tcBorders>
              <w:top w:val="single" w:sz="4" w:space="0" w:color="auto"/>
              <w:left w:val="double" w:sz="4" w:space="0" w:color="auto"/>
              <w:bottom w:val="single" w:sz="4" w:space="0" w:color="000000"/>
              <w:right w:val="single" w:sz="4" w:space="0" w:color="auto"/>
            </w:tcBorders>
            <w:vAlign w:val="center"/>
            <w:hideMark/>
          </w:tcPr>
          <w:p w14:paraId="50F0E885"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Объем финансирования</w:t>
            </w:r>
          </w:p>
        </w:tc>
        <w:tc>
          <w:tcPr>
            <w:tcW w:w="1444" w:type="dxa"/>
            <w:tcBorders>
              <w:top w:val="nil"/>
              <w:left w:val="nil"/>
              <w:bottom w:val="single" w:sz="4" w:space="0" w:color="auto"/>
              <w:right w:val="single" w:sz="4" w:space="0" w:color="auto"/>
            </w:tcBorders>
            <w:shd w:val="clear" w:color="auto" w:fill="auto"/>
            <w:vAlign w:val="center"/>
            <w:hideMark/>
          </w:tcPr>
          <w:p w14:paraId="4515255C"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763,3</w:t>
            </w:r>
          </w:p>
        </w:tc>
        <w:tc>
          <w:tcPr>
            <w:tcW w:w="1034" w:type="dxa"/>
            <w:tcBorders>
              <w:top w:val="nil"/>
              <w:left w:val="nil"/>
              <w:bottom w:val="single" w:sz="4" w:space="0" w:color="auto"/>
              <w:right w:val="single" w:sz="4" w:space="0" w:color="auto"/>
            </w:tcBorders>
            <w:shd w:val="clear" w:color="auto" w:fill="auto"/>
            <w:vAlign w:val="center"/>
            <w:hideMark/>
          </w:tcPr>
          <w:p w14:paraId="57471B9A"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481,8</w:t>
            </w:r>
          </w:p>
        </w:tc>
        <w:tc>
          <w:tcPr>
            <w:tcW w:w="686" w:type="dxa"/>
            <w:tcBorders>
              <w:top w:val="nil"/>
              <w:left w:val="nil"/>
              <w:bottom w:val="single" w:sz="4" w:space="0" w:color="auto"/>
              <w:right w:val="double" w:sz="4" w:space="0" w:color="auto"/>
            </w:tcBorders>
            <w:shd w:val="clear" w:color="auto" w:fill="auto"/>
            <w:vAlign w:val="center"/>
            <w:hideMark/>
          </w:tcPr>
          <w:p w14:paraId="5DFAD356"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63,1</w:t>
            </w:r>
          </w:p>
        </w:tc>
      </w:tr>
      <w:tr w:rsidR="00D470B6" w:rsidRPr="00A53AD7" w14:paraId="11241684" w14:textId="77777777" w:rsidTr="001D2B6D">
        <w:trPr>
          <w:trHeight w:hRule="exact" w:val="255"/>
        </w:trPr>
        <w:tc>
          <w:tcPr>
            <w:tcW w:w="6102" w:type="dxa"/>
            <w:gridSpan w:val="2"/>
            <w:tcBorders>
              <w:top w:val="single" w:sz="4" w:space="0" w:color="auto"/>
              <w:left w:val="double" w:sz="4" w:space="0" w:color="auto"/>
              <w:bottom w:val="single" w:sz="4" w:space="0" w:color="auto"/>
              <w:right w:val="single" w:sz="4" w:space="0" w:color="000000"/>
            </w:tcBorders>
            <w:shd w:val="clear" w:color="auto" w:fill="auto"/>
            <w:vAlign w:val="center"/>
            <w:hideMark/>
          </w:tcPr>
          <w:p w14:paraId="2CD4ACC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том числе подпрограммы:</w:t>
            </w:r>
          </w:p>
        </w:tc>
        <w:tc>
          <w:tcPr>
            <w:tcW w:w="1444" w:type="dxa"/>
            <w:tcBorders>
              <w:top w:val="nil"/>
              <w:left w:val="nil"/>
              <w:bottom w:val="single" w:sz="4" w:space="0" w:color="auto"/>
              <w:right w:val="single" w:sz="4" w:space="0" w:color="auto"/>
            </w:tcBorders>
            <w:shd w:val="clear" w:color="auto" w:fill="auto"/>
            <w:noWrap/>
            <w:vAlign w:val="center"/>
            <w:hideMark/>
          </w:tcPr>
          <w:p w14:paraId="75F540B5" w14:textId="77777777" w:rsidR="001D2B6D" w:rsidRPr="00A53AD7" w:rsidRDefault="001D2B6D" w:rsidP="001D2B6D">
            <w:pPr>
              <w:spacing w:after="0" w:line="240" w:lineRule="auto"/>
              <w:jc w:val="right"/>
              <w:rPr>
                <w:rFonts w:eastAsia="Times New Roman"/>
                <w:lang w:eastAsia="ru-RU"/>
              </w:rPr>
            </w:pPr>
            <w:r w:rsidRPr="00A53AD7">
              <w:rPr>
                <w:rFonts w:eastAsia="Times New Roman"/>
                <w:lang w:eastAsia="ru-RU"/>
              </w:rPr>
              <w:t> </w:t>
            </w:r>
          </w:p>
        </w:tc>
        <w:tc>
          <w:tcPr>
            <w:tcW w:w="1034" w:type="dxa"/>
            <w:tcBorders>
              <w:top w:val="nil"/>
              <w:left w:val="nil"/>
              <w:bottom w:val="single" w:sz="4" w:space="0" w:color="auto"/>
              <w:right w:val="single" w:sz="4" w:space="0" w:color="auto"/>
            </w:tcBorders>
            <w:shd w:val="clear" w:color="auto" w:fill="auto"/>
            <w:noWrap/>
            <w:vAlign w:val="center"/>
            <w:hideMark/>
          </w:tcPr>
          <w:p w14:paraId="5CC0479A" w14:textId="77777777" w:rsidR="001D2B6D" w:rsidRPr="00A53AD7" w:rsidRDefault="001D2B6D" w:rsidP="001D2B6D">
            <w:pPr>
              <w:spacing w:after="0" w:line="240" w:lineRule="auto"/>
              <w:jc w:val="right"/>
              <w:rPr>
                <w:rFonts w:eastAsia="Times New Roman"/>
                <w:lang w:eastAsia="ru-RU"/>
              </w:rPr>
            </w:pPr>
            <w:r w:rsidRPr="00A53AD7">
              <w:rPr>
                <w:rFonts w:eastAsia="Times New Roman"/>
                <w:lang w:eastAsia="ru-RU"/>
              </w:rPr>
              <w:t> </w:t>
            </w:r>
          </w:p>
        </w:tc>
        <w:tc>
          <w:tcPr>
            <w:tcW w:w="686" w:type="dxa"/>
            <w:tcBorders>
              <w:top w:val="nil"/>
              <w:left w:val="nil"/>
              <w:bottom w:val="single" w:sz="4" w:space="0" w:color="auto"/>
              <w:right w:val="double" w:sz="4" w:space="0" w:color="auto"/>
            </w:tcBorders>
            <w:shd w:val="clear" w:color="auto" w:fill="auto"/>
            <w:noWrap/>
            <w:vAlign w:val="center"/>
            <w:hideMark/>
          </w:tcPr>
          <w:p w14:paraId="5787D5DB" w14:textId="77777777" w:rsidR="001D2B6D" w:rsidRPr="00A53AD7" w:rsidRDefault="001D2B6D" w:rsidP="001D2B6D">
            <w:pPr>
              <w:spacing w:after="0" w:line="240" w:lineRule="auto"/>
              <w:jc w:val="right"/>
              <w:rPr>
                <w:rFonts w:eastAsia="Times New Roman"/>
                <w:lang w:eastAsia="ru-RU"/>
              </w:rPr>
            </w:pPr>
            <w:r w:rsidRPr="00A53AD7">
              <w:rPr>
                <w:rFonts w:eastAsia="Times New Roman"/>
                <w:lang w:eastAsia="ru-RU"/>
              </w:rPr>
              <w:t> </w:t>
            </w:r>
          </w:p>
        </w:tc>
      </w:tr>
      <w:tr w:rsidR="00D470B6" w:rsidRPr="00A53AD7" w14:paraId="435A7322" w14:textId="77777777" w:rsidTr="001D2B6D">
        <w:trPr>
          <w:trHeight w:val="756"/>
        </w:trPr>
        <w:tc>
          <w:tcPr>
            <w:tcW w:w="3294" w:type="dxa"/>
            <w:vMerge w:val="restart"/>
            <w:tcBorders>
              <w:top w:val="nil"/>
              <w:left w:val="double" w:sz="4" w:space="0" w:color="auto"/>
              <w:bottom w:val="single" w:sz="4" w:space="0" w:color="auto"/>
              <w:right w:val="single" w:sz="4" w:space="0" w:color="auto"/>
            </w:tcBorders>
            <w:shd w:val="clear" w:color="auto" w:fill="auto"/>
            <w:vAlign w:val="center"/>
            <w:hideMark/>
          </w:tcPr>
          <w:p w14:paraId="30808545"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министерство природных ресурсов и лесопромышленного комплекса Архангельской области</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14:paraId="4D856E33" w14:textId="77777777" w:rsidR="001D2B6D" w:rsidRPr="00A53AD7" w:rsidRDefault="001D2B6D" w:rsidP="001D2B6D">
            <w:pPr>
              <w:spacing w:after="0" w:line="240" w:lineRule="auto"/>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 1</w:t>
            </w:r>
            <w:r w:rsidRPr="00A53AD7">
              <w:rPr>
                <w:rFonts w:ascii="Times New Roman" w:eastAsia="Times New Roman" w:hAnsi="Times New Roman"/>
                <w:sz w:val="18"/>
                <w:szCs w:val="18"/>
                <w:lang w:eastAsia="ru-RU"/>
              </w:rPr>
              <w:t xml:space="preserve"> "Охрана окружающей среды и обеспечение экологической безопасности Архангельской области"</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14:paraId="12E174F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457,8</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6E510AC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388,3</w:t>
            </w:r>
          </w:p>
        </w:tc>
        <w:tc>
          <w:tcPr>
            <w:tcW w:w="686" w:type="dxa"/>
            <w:tcBorders>
              <w:top w:val="single" w:sz="4" w:space="0" w:color="auto"/>
              <w:left w:val="nil"/>
              <w:bottom w:val="single" w:sz="4" w:space="0" w:color="auto"/>
              <w:right w:val="double" w:sz="4" w:space="0" w:color="auto"/>
            </w:tcBorders>
            <w:shd w:val="clear" w:color="auto" w:fill="auto"/>
            <w:vAlign w:val="center"/>
            <w:hideMark/>
          </w:tcPr>
          <w:p w14:paraId="36179FCE"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84,8</w:t>
            </w:r>
          </w:p>
        </w:tc>
      </w:tr>
      <w:tr w:rsidR="00D470B6" w:rsidRPr="00A53AD7" w14:paraId="151B2A7B" w14:textId="77777777" w:rsidTr="001D2B6D">
        <w:trPr>
          <w:trHeight w:val="613"/>
        </w:trPr>
        <w:tc>
          <w:tcPr>
            <w:tcW w:w="3294" w:type="dxa"/>
            <w:vMerge/>
            <w:tcBorders>
              <w:top w:val="nil"/>
              <w:left w:val="double" w:sz="4" w:space="0" w:color="auto"/>
              <w:bottom w:val="single" w:sz="4" w:space="0" w:color="auto"/>
              <w:right w:val="single" w:sz="4" w:space="0" w:color="auto"/>
            </w:tcBorders>
            <w:vAlign w:val="center"/>
            <w:hideMark/>
          </w:tcPr>
          <w:p w14:paraId="7FFFBC42"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2808" w:type="dxa"/>
            <w:tcBorders>
              <w:top w:val="nil"/>
              <w:left w:val="nil"/>
              <w:bottom w:val="single" w:sz="4" w:space="0" w:color="auto"/>
              <w:right w:val="single" w:sz="4" w:space="0" w:color="auto"/>
            </w:tcBorders>
            <w:shd w:val="clear" w:color="auto" w:fill="auto"/>
            <w:vAlign w:val="center"/>
            <w:hideMark/>
          </w:tcPr>
          <w:p w14:paraId="10E6392C" w14:textId="77777777" w:rsidR="001D2B6D" w:rsidRPr="00A53AD7" w:rsidRDefault="001D2B6D" w:rsidP="001D2B6D">
            <w:pPr>
              <w:spacing w:after="0" w:line="240" w:lineRule="auto"/>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 2</w:t>
            </w:r>
            <w:r w:rsidRPr="00A53AD7">
              <w:rPr>
                <w:rFonts w:ascii="Times New Roman" w:eastAsia="Times New Roman" w:hAnsi="Times New Roman"/>
                <w:sz w:val="18"/>
                <w:szCs w:val="18"/>
                <w:lang w:eastAsia="ru-RU"/>
              </w:rPr>
              <w:t xml:space="preserve"> "Воспроизводство и использование природных ресурсов"</w:t>
            </w:r>
          </w:p>
        </w:tc>
        <w:tc>
          <w:tcPr>
            <w:tcW w:w="1444" w:type="dxa"/>
            <w:tcBorders>
              <w:top w:val="nil"/>
              <w:left w:val="nil"/>
              <w:bottom w:val="single" w:sz="4" w:space="0" w:color="auto"/>
              <w:right w:val="single" w:sz="4" w:space="0" w:color="auto"/>
            </w:tcBorders>
            <w:shd w:val="clear" w:color="auto" w:fill="auto"/>
            <w:vAlign w:val="center"/>
            <w:hideMark/>
          </w:tcPr>
          <w:p w14:paraId="6B2C16F0"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25,8</w:t>
            </w:r>
          </w:p>
        </w:tc>
        <w:tc>
          <w:tcPr>
            <w:tcW w:w="1034" w:type="dxa"/>
            <w:tcBorders>
              <w:top w:val="nil"/>
              <w:left w:val="nil"/>
              <w:bottom w:val="single" w:sz="4" w:space="0" w:color="auto"/>
              <w:right w:val="single" w:sz="4" w:space="0" w:color="auto"/>
            </w:tcBorders>
            <w:shd w:val="clear" w:color="auto" w:fill="auto"/>
            <w:vAlign w:val="center"/>
            <w:hideMark/>
          </w:tcPr>
          <w:p w14:paraId="1578D9B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25,6</w:t>
            </w:r>
          </w:p>
        </w:tc>
        <w:tc>
          <w:tcPr>
            <w:tcW w:w="686" w:type="dxa"/>
            <w:tcBorders>
              <w:top w:val="nil"/>
              <w:left w:val="nil"/>
              <w:bottom w:val="single" w:sz="4" w:space="0" w:color="auto"/>
              <w:right w:val="double" w:sz="4" w:space="0" w:color="auto"/>
            </w:tcBorders>
            <w:shd w:val="clear" w:color="auto" w:fill="auto"/>
            <w:vAlign w:val="center"/>
            <w:hideMark/>
          </w:tcPr>
          <w:p w14:paraId="58461ED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99,2</w:t>
            </w:r>
          </w:p>
        </w:tc>
      </w:tr>
      <w:tr w:rsidR="00D470B6" w:rsidRPr="00A53AD7" w14:paraId="622B5680" w14:textId="77777777" w:rsidTr="001D2B6D">
        <w:trPr>
          <w:trHeight w:val="409"/>
        </w:trPr>
        <w:tc>
          <w:tcPr>
            <w:tcW w:w="3294" w:type="dxa"/>
            <w:vMerge/>
            <w:tcBorders>
              <w:top w:val="nil"/>
              <w:left w:val="double" w:sz="4" w:space="0" w:color="auto"/>
              <w:bottom w:val="single" w:sz="4" w:space="0" w:color="auto"/>
              <w:right w:val="single" w:sz="4" w:space="0" w:color="auto"/>
            </w:tcBorders>
            <w:vAlign w:val="center"/>
            <w:hideMark/>
          </w:tcPr>
          <w:p w14:paraId="4E395F83"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2808" w:type="dxa"/>
            <w:tcBorders>
              <w:top w:val="nil"/>
              <w:left w:val="nil"/>
              <w:bottom w:val="single" w:sz="4" w:space="0" w:color="auto"/>
              <w:right w:val="single" w:sz="4" w:space="0" w:color="auto"/>
            </w:tcBorders>
            <w:shd w:val="clear" w:color="auto" w:fill="auto"/>
            <w:vAlign w:val="center"/>
            <w:hideMark/>
          </w:tcPr>
          <w:p w14:paraId="0A121297" w14:textId="77777777" w:rsidR="001D2B6D" w:rsidRPr="00A53AD7" w:rsidRDefault="001D2B6D" w:rsidP="001D2B6D">
            <w:pPr>
              <w:spacing w:after="0" w:line="240" w:lineRule="auto"/>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 3</w:t>
            </w:r>
            <w:r w:rsidRPr="00A53AD7">
              <w:rPr>
                <w:rFonts w:ascii="Times New Roman" w:eastAsia="Times New Roman" w:hAnsi="Times New Roman"/>
                <w:sz w:val="18"/>
                <w:szCs w:val="18"/>
                <w:lang w:eastAsia="ru-RU"/>
              </w:rPr>
              <w:t xml:space="preserve"> "Развитие водохозяйственного комплекса Архангельской области"</w:t>
            </w:r>
          </w:p>
        </w:tc>
        <w:tc>
          <w:tcPr>
            <w:tcW w:w="1444" w:type="dxa"/>
            <w:tcBorders>
              <w:top w:val="nil"/>
              <w:left w:val="nil"/>
              <w:bottom w:val="single" w:sz="4" w:space="0" w:color="auto"/>
              <w:right w:val="single" w:sz="4" w:space="0" w:color="auto"/>
            </w:tcBorders>
            <w:shd w:val="clear" w:color="auto" w:fill="auto"/>
            <w:vAlign w:val="center"/>
            <w:hideMark/>
          </w:tcPr>
          <w:p w14:paraId="725FD0D7"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35,4</w:t>
            </w:r>
          </w:p>
        </w:tc>
        <w:tc>
          <w:tcPr>
            <w:tcW w:w="1034" w:type="dxa"/>
            <w:tcBorders>
              <w:top w:val="nil"/>
              <w:left w:val="nil"/>
              <w:bottom w:val="single" w:sz="4" w:space="0" w:color="auto"/>
              <w:right w:val="single" w:sz="4" w:space="0" w:color="auto"/>
            </w:tcBorders>
            <w:shd w:val="clear" w:color="auto" w:fill="auto"/>
            <w:vAlign w:val="center"/>
            <w:hideMark/>
          </w:tcPr>
          <w:p w14:paraId="60DBCBD4"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26,6</w:t>
            </w:r>
          </w:p>
        </w:tc>
        <w:tc>
          <w:tcPr>
            <w:tcW w:w="686" w:type="dxa"/>
            <w:tcBorders>
              <w:top w:val="nil"/>
              <w:left w:val="nil"/>
              <w:bottom w:val="single" w:sz="4" w:space="0" w:color="auto"/>
              <w:right w:val="double" w:sz="4" w:space="0" w:color="auto"/>
            </w:tcBorders>
            <w:shd w:val="clear" w:color="auto" w:fill="auto"/>
            <w:vAlign w:val="center"/>
            <w:hideMark/>
          </w:tcPr>
          <w:p w14:paraId="6B276A7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75,1</w:t>
            </w:r>
          </w:p>
        </w:tc>
      </w:tr>
      <w:tr w:rsidR="00D470B6" w:rsidRPr="00A53AD7" w14:paraId="0BFDE029" w14:textId="77777777" w:rsidTr="001D2B6D">
        <w:trPr>
          <w:trHeight w:val="78"/>
        </w:trPr>
        <w:tc>
          <w:tcPr>
            <w:tcW w:w="3294" w:type="dxa"/>
            <w:vMerge/>
            <w:tcBorders>
              <w:top w:val="nil"/>
              <w:left w:val="double" w:sz="4" w:space="0" w:color="auto"/>
              <w:bottom w:val="single" w:sz="4" w:space="0" w:color="auto"/>
              <w:right w:val="single" w:sz="4" w:space="0" w:color="auto"/>
            </w:tcBorders>
            <w:vAlign w:val="center"/>
            <w:hideMark/>
          </w:tcPr>
          <w:p w14:paraId="33A26A9B" w14:textId="77777777" w:rsidR="001D2B6D" w:rsidRPr="00A53AD7" w:rsidRDefault="001D2B6D" w:rsidP="001D2B6D">
            <w:pPr>
              <w:spacing w:after="0" w:line="240" w:lineRule="auto"/>
              <w:rPr>
                <w:rFonts w:ascii="Times New Roman" w:eastAsia="Times New Roman" w:hAnsi="Times New Roman"/>
                <w:sz w:val="18"/>
                <w:szCs w:val="18"/>
                <w:lang w:eastAsia="ru-RU"/>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14:paraId="78E08AAE"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Итого (ГРБС) по программе</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14:paraId="59353543"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519,0</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14:paraId="69493583"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440,5</w:t>
            </w:r>
          </w:p>
        </w:tc>
        <w:tc>
          <w:tcPr>
            <w:tcW w:w="686" w:type="dxa"/>
            <w:tcBorders>
              <w:top w:val="single" w:sz="4" w:space="0" w:color="auto"/>
              <w:left w:val="nil"/>
              <w:bottom w:val="single" w:sz="4" w:space="0" w:color="auto"/>
              <w:right w:val="double" w:sz="4" w:space="0" w:color="auto"/>
            </w:tcBorders>
            <w:shd w:val="clear" w:color="auto" w:fill="auto"/>
            <w:vAlign w:val="center"/>
            <w:hideMark/>
          </w:tcPr>
          <w:p w14:paraId="3896CB31"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84,9</w:t>
            </w:r>
          </w:p>
        </w:tc>
      </w:tr>
      <w:tr w:rsidR="001D2B6D" w:rsidRPr="00A53AD7" w14:paraId="1A83A649" w14:textId="77777777" w:rsidTr="001D2B6D">
        <w:trPr>
          <w:trHeight w:val="421"/>
        </w:trPr>
        <w:tc>
          <w:tcPr>
            <w:tcW w:w="3294" w:type="dxa"/>
            <w:tcBorders>
              <w:top w:val="nil"/>
              <w:left w:val="double" w:sz="4" w:space="0" w:color="auto"/>
              <w:bottom w:val="double" w:sz="4" w:space="0" w:color="auto"/>
              <w:right w:val="single" w:sz="4" w:space="0" w:color="auto"/>
            </w:tcBorders>
            <w:shd w:val="clear" w:color="auto" w:fill="auto"/>
            <w:vAlign w:val="center"/>
            <w:hideMark/>
          </w:tcPr>
          <w:p w14:paraId="258D31B4"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министерство строительства и архитектуры Архангельской области</w:t>
            </w:r>
          </w:p>
        </w:tc>
        <w:tc>
          <w:tcPr>
            <w:tcW w:w="2808" w:type="dxa"/>
            <w:tcBorders>
              <w:top w:val="nil"/>
              <w:left w:val="nil"/>
              <w:bottom w:val="double" w:sz="4" w:space="0" w:color="auto"/>
              <w:right w:val="single" w:sz="4" w:space="0" w:color="auto"/>
            </w:tcBorders>
            <w:shd w:val="clear" w:color="auto" w:fill="auto"/>
            <w:vAlign w:val="center"/>
            <w:hideMark/>
          </w:tcPr>
          <w:p w14:paraId="34B891B2" w14:textId="77777777" w:rsidR="001D2B6D" w:rsidRPr="00A53AD7" w:rsidRDefault="001D2B6D" w:rsidP="001D2B6D">
            <w:pPr>
              <w:spacing w:after="0" w:line="240" w:lineRule="auto"/>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 xml:space="preserve">№ 3 </w:t>
            </w:r>
            <w:r w:rsidRPr="00A53AD7">
              <w:rPr>
                <w:rFonts w:ascii="Times New Roman" w:eastAsia="Times New Roman" w:hAnsi="Times New Roman"/>
                <w:sz w:val="18"/>
                <w:szCs w:val="18"/>
                <w:lang w:eastAsia="ru-RU"/>
              </w:rPr>
              <w:t>"Развитие водохозяйственного комплекса Архангельской области"</w:t>
            </w:r>
          </w:p>
        </w:tc>
        <w:tc>
          <w:tcPr>
            <w:tcW w:w="1444" w:type="dxa"/>
            <w:tcBorders>
              <w:top w:val="nil"/>
              <w:left w:val="nil"/>
              <w:bottom w:val="double" w:sz="4" w:space="0" w:color="auto"/>
              <w:right w:val="single" w:sz="4" w:space="0" w:color="auto"/>
            </w:tcBorders>
            <w:shd w:val="clear" w:color="auto" w:fill="auto"/>
            <w:vAlign w:val="center"/>
            <w:hideMark/>
          </w:tcPr>
          <w:p w14:paraId="27BA2232"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244,3</w:t>
            </w:r>
          </w:p>
        </w:tc>
        <w:tc>
          <w:tcPr>
            <w:tcW w:w="1034" w:type="dxa"/>
            <w:tcBorders>
              <w:top w:val="nil"/>
              <w:left w:val="nil"/>
              <w:bottom w:val="double" w:sz="4" w:space="0" w:color="auto"/>
              <w:right w:val="single" w:sz="4" w:space="0" w:color="auto"/>
            </w:tcBorders>
            <w:shd w:val="clear" w:color="auto" w:fill="auto"/>
            <w:vAlign w:val="center"/>
            <w:hideMark/>
          </w:tcPr>
          <w:p w14:paraId="2ABEAB69"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41,3</w:t>
            </w:r>
          </w:p>
        </w:tc>
        <w:tc>
          <w:tcPr>
            <w:tcW w:w="686" w:type="dxa"/>
            <w:tcBorders>
              <w:top w:val="nil"/>
              <w:left w:val="nil"/>
              <w:bottom w:val="double" w:sz="4" w:space="0" w:color="auto"/>
              <w:right w:val="double" w:sz="4" w:space="0" w:color="auto"/>
            </w:tcBorders>
            <w:shd w:val="clear" w:color="auto" w:fill="auto"/>
            <w:vAlign w:val="center"/>
            <w:hideMark/>
          </w:tcPr>
          <w:p w14:paraId="6FC2AD6A" w14:textId="77777777" w:rsidR="001D2B6D" w:rsidRPr="00A53AD7" w:rsidRDefault="001D2B6D" w:rsidP="001D2B6D">
            <w:pPr>
              <w:spacing w:after="0" w:line="240" w:lineRule="auto"/>
              <w:jc w:val="right"/>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16,9</w:t>
            </w:r>
          </w:p>
        </w:tc>
      </w:tr>
    </w:tbl>
    <w:p w14:paraId="478EEBDA" w14:textId="77777777" w:rsidR="001D2B6D" w:rsidRPr="00A53AD7" w:rsidRDefault="001D2B6D" w:rsidP="001D2B6D">
      <w:pPr>
        <w:spacing w:after="0" w:line="240" w:lineRule="auto"/>
        <w:ind w:left="142" w:right="141" w:firstLine="851"/>
        <w:jc w:val="both"/>
        <w:rPr>
          <w:rFonts w:ascii="Times New Roman" w:hAnsi="Times New Roman"/>
          <w:sz w:val="28"/>
          <w:szCs w:val="28"/>
        </w:rPr>
      </w:pPr>
    </w:p>
    <w:p w14:paraId="50FADFEA" w14:textId="77777777" w:rsidR="001D2B6D" w:rsidRPr="00A53AD7" w:rsidRDefault="001D2B6D" w:rsidP="001D2B6D">
      <w:pPr>
        <w:spacing w:after="0" w:line="240" w:lineRule="auto"/>
        <w:ind w:left="142" w:right="141"/>
        <w:rPr>
          <w:rFonts w:ascii="Times New Roman" w:hAnsi="Times New Roman"/>
          <w:b/>
          <w:sz w:val="28"/>
          <w:szCs w:val="28"/>
        </w:rPr>
      </w:pPr>
      <w:r w:rsidRPr="00A53AD7">
        <w:rPr>
          <w:rFonts w:ascii="Times New Roman" w:hAnsi="Times New Roman"/>
          <w:b/>
          <w:sz w:val="28"/>
          <w:szCs w:val="28"/>
        </w:rPr>
        <w:t>Подпрограмма № 1 «Охрана окружающей среды и обеспечение экологической безопасности Архангельской области»</w:t>
      </w:r>
    </w:p>
    <w:p w14:paraId="436CE60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рамках подпрограммы № 1 через министерство природных ресурсов и лесопромышленного комплекса Архангельской области осуществлялась реализация четырнадцати мероприятий.</w:t>
      </w:r>
    </w:p>
    <w:p w14:paraId="43C27CF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Для реализации мероприятий в программе (ред. от 24.12.2019 № 723-пп) были предусмотрены финансовые средства в размере 499,4 млн.руб., из них средства: областного бюджета – 257,8 млн.руб., местных бюджетов – 41,7 млн.руб., бюджета города Москвы – 200,0 млн.руб., что соответствует (за счет средств областного бюджета и бюджета города Москвы) бюджетным ассигнованиям, утвержденным областным законом на 2019 год.</w:t>
      </w:r>
    </w:p>
    <w:p w14:paraId="17407CA0" w14:textId="74EBC18C"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мероприятий государственной программы, размещенному в КИАС Архангельской области, за отчетный период по подпрограмме № 1:</w:t>
      </w:r>
    </w:p>
    <w:p w14:paraId="1FF9D3C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а) израсходовано всего 408,4 млн.руб., из них средства: областного бюджета – 203,8 млн.руб., местного бюджета - 20,2 млн.руб., бюджета города Москвы – 184,4 млн.руб.; </w:t>
      </w:r>
    </w:p>
    <w:p w14:paraId="4E3D4D7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б) не израсходованы средства областного бюджета в размере 53,9 млн.руб., по следующим причинам:</w:t>
      </w:r>
    </w:p>
    <w:p w14:paraId="20D254A2"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 xml:space="preserve">30,1 млн.руб. ввиду продолжительности проведения обязательных конкурсных процедур в соответствии с требованиями законодательства по заключению муниципальных контрактов на приобретение контейнеров (бункеров) для накопления твердых коммунальных отходов (ТКО); </w:t>
      </w:r>
    </w:p>
    <w:p w14:paraId="40058260"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 xml:space="preserve">15,3 млн.руб. ввиду неблагоприятных погодных условий и необходимости проведения повторных конкурсных процедур по заключению муниципальных контрактов на создание мест (площадок) для накопления ТКО; </w:t>
      </w:r>
    </w:p>
    <w:p w14:paraId="2E676735"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5,3 млн.руб. – работы по разработке проектно-сметной документации «Ликвидации загрязнения земель водоохранной зоны реки Северная Двина в районе населенного пункта Красное Приморского района Архангельской области» в установленные государственным контрактом сроки подрядчиком не выполнены, результаты работ и отчетные документы не были предоставлены;</w:t>
      </w:r>
    </w:p>
    <w:p w14:paraId="4FEF16EC"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 xml:space="preserve">2,5 млн.руб. – ввиду несвоевременного и некачественного представления результатов работ и отчетной документации, не соответствующей условиям технического задания на выполнение работ по изданию Красной книги Архангельской области; </w:t>
      </w:r>
    </w:p>
    <w:p w14:paraId="224F3E31"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0,7 млн.руб. – экономия средств при размещении муниципального заказа на создание мест (площадок) для накопления твердых коммунальных отходов);</w:t>
      </w:r>
    </w:p>
    <w:p w14:paraId="39634865" w14:textId="04F8D2AC" w:rsidR="006C5A01" w:rsidRPr="00A53AD7" w:rsidRDefault="006C5A01" w:rsidP="00675866">
      <w:pPr>
        <w:autoSpaceDE w:val="0"/>
        <w:autoSpaceDN w:val="0"/>
        <w:adjustRightInd w:val="0"/>
        <w:spacing w:after="0" w:line="240" w:lineRule="auto"/>
        <w:ind w:firstLine="851"/>
        <w:jc w:val="both"/>
        <w:rPr>
          <w:rFonts w:ascii="Times New Roman" w:hAnsi="Times New Roman"/>
          <w:strike/>
          <w:sz w:val="28"/>
          <w:szCs w:val="28"/>
        </w:rPr>
      </w:pPr>
      <w:r w:rsidRPr="00A53AD7">
        <w:rPr>
          <w:rFonts w:ascii="Times New Roman" w:hAnsi="Times New Roman"/>
          <w:sz w:val="28"/>
          <w:szCs w:val="28"/>
        </w:rPr>
        <w:t xml:space="preserve">Минлеспромом АО из пяти предусмотренных мероприятий подпрограммы № 1 на общую сумму 209,77 млн.руб. выполнено только два на сумму 186,37 </w:t>
      </w:r>
      <w:r w:rsidR="00675866" w:rsidRPr="00A53AD7">
        <w:rPr>
          <w:rFonts w:ascii="Times New Roman" w:hAnsi="Times New Roman"/>
          <w:sz w:val="28"/>
          <w:szCs w:val="28"/>
        </w:rPr>
        <w:t>млн.руб., что составляет 88,8 %.</w:t>
      </w:r>
    </w:p>
    <w:p w14:paraId="30DD2C53" w14:textId="4C1E98B3"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Не выполнены три следующих мероприятия, запланированные на 2019 год:</w:t>
      </w:r>
    </w:p>
    <w:p w14:paraId="2FFA39A1"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2.1. Ликвидация последствий загрязнения земель нефтепродуктами</w:t>
      </w:r>
    </w:p>
    <w:p w14:paraId="2D81A849"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на мероприятие составляли 5,3 млн.руб. Государственный контракт от 08.05.2019 № 7 на «Выполнение работ по разработке проекта ликвидации загрязнения земель водоохранной зоны реки Северная Двина в районе населенного пункта Красное Приморского района Архангельской области» расторгнут в одностороннем порядке, в связи с невыполнением работ Подрядчиком.</w:t>
      </w:r>
    </w:p>
    <w:p w14:paraId="6221C758"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 7.7. контракта размер штрафа установлен в виде фиксированной суммы в размере всего 0,1 млн.руб., что составляет 2% цены контракта.</w:t>
      </w:r>
    </w:p>
    <w:p w14:paraId="44E9581B"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2.7. Разработка проектно-сметной документации на ликвидацию объектов накопленного экологического ущерба.</w:t>
      </w:r>
    </w:p>
    <w:p w14:paraId="46E5D52E"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15,6 млн.руб. за счет средств бюджета города Москвы. Перенос сроков разработки технического задания возник ввиду необходимости согласования планируемых проектных работ с собственниками земельных участков – органами местного самоуправления.</w:t>
      </w:r>
    </w:p>
    <w:p w14:paraId="7A302996"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6.5. Издание Красной книги Архангельской области</w:t>
      </w:r>
    </w:p>
    <w:p w14:paraId="50F6D8EE" w14:textId="7DF0F516" w:rsidR="00675866" w:rsidRPr="00A53AD7" w:rsidRDefault="006C5A01" w:rsidP="00675866">
      <w:pPr>
        <w:autoSpaceDE w:val="0"/>
        <w:autoSpaceDN w:val="0"/>
        <w:adjustRightInd w:val="0"/>
        <w:spacing w:after="0" w:line="240" w:lineRule="auto"/>
        <w:ind w:firstLine="851"/>
        <w:jc w:val="both"/>
        <w:rPr>
          <w:strike/>
          <w:sz w:val="28"/>
          <w:szCs w:val="28"/>
        </w:rPr>
      </w:pPr>
      <w:r w:rsidRPr="00A53AD7">
        <w:rPr>
          <w:rFonts w:ascii="Times New Roman" w:hAnsi="Times New Roman"/>
          <w:sz w:val="28"/>
          <w:szCs w:val="28"/>
        </w:rPr>
        <w:t>Плановые назначения на 2019 год на мероприятия составляли 2,5 млн.руб. Согласно данным официального сайта единой информационной системы в сфере закупок (zakupki.gov.ru) на исполнение данного мероприятия 01.04.2019 министерством заключен государственны</w:t>
      </w:r>
      <w:r w:rsidR="00675866" w:rsidRPr="00A53AD7">
        <w:rPr>
          <w:rFonts w:ascii="Times New Roman" w:hAnsi="Times New Roman"/>
          <w:sz w:val="28"/>
          <w:szCs w:val="28"/>
        </w:rPr>
        <w:t>ый</w:t>
      </w:r>
      <w:r w:rsidRPr="00A53AD7">
        <w:rPr>
          <w:rFonts w:ascii="Times New Roman" w:hAnsi="Times New Roman"/>
          <w:sz w:val="28"/>
          <w:szCs w:val="28"/>
        </w:rPr>
        <w:t xml:space="preserve"> контракт с Федеральным государственным автономным образовательным учреждением высшего образования «Северный (Арктический) федеральный университет имени М.В. Ломоносова»</w:t>
      </w:r>
      <w:r w:rsidR="00675866" w:rsidRPr="00A53AD7">
        <w:rPr>
          <w:rFonts w:ascii="Times New Roman" w:hAnsi="Times New Roman"/>
          <w:sz w:val="28"/>
          <w:szCs w:val="28"/>
        </w:rPr>
        <w:t>.</w:t>
      </w:r>
    </w:p>
    <w:p w14:paraId="26A08742"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министерства из-за несвоевременного и некачественного представления результатов работ и отчетной документации, не соответствующей условиям технического задания работы не приняты и отправлены на доработку.</w:t>
      </w:r>
    </w:p>
    <w:p w14:paraId="7771BC00" w14:textId="37B4E7D9"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выполнение семи мероприятий подпрограммы № 1 Минлеспром АО в 2019 году заключил семь соглашений на общую сумму 78,3 мил.руб. с государственным бюджетным учреждением Архангельской области «Центр природопользования и охраны окружающей среды» (далее ГБУ АО «Центр природопользования и охраны окружающей среды»). Выполнение мероприятий ГБУ АО «Центр природопользования и охраны окружающей среды» за 2019 год составило всего на 57,2 млн.руб., что составляет 73,1 %, а именно по мероприятиям:</w:t>
      </w:r>
    </w:p>
    <w:p w14:paraId="614641B6"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- 2.3. Выявление и ликвидация несанкционированных свалок и захламлений территорий Архангельской области </w:t>
      </w:r>
    </w:p>
    <w:p w14:paraId="5F53CABE"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плановом назначении на 2019 год составляли 21,5 млн.руб. Срок выполнения работ по заключенному контракту - 30 ноября 2019 года. Согласно отчету об использовании субсидии на иные цели ГБУ АО «Центр природопользования и охраны окружающей среды» и данным официального сайта единой информационной системы в сфере закупок (zakupki.gov.ru) работы в установленный срок не выполнены. Согласно актам выполненных работ работы приняты всего на сумму 17,8 млн.руб., или 82,8 %. С учетом перечисленного аванса при неисполнении контракта в установленный срок, переплата по контракту № 0124200000619004020 на конец года составила 0,4 млн. рублей.</w:t>
      </w:r>
    </w:p>
    <w:p w14:paraId="077BE61F"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5.2 Модернизация и содержание технических средств автоматизированной системы мониторинга. Развитие парка резервного оборудования (подменного фонда системы) (техническое обслуживание и организация поверки измерительных приборов).</w:t>
      </w:r>
    </w:p>
    <w:p w14:paraId="3737F9B2"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0,8 млн.руб. Проведено техническое обслуживание и поверка газоаналитического оборудования стационарного поста контроля атмосферного воздуха в г. Архангельске. В 2019 году из мероприятия исключили этап «проведение технического обслуживания и поверки газоаналитического оборудования стационарного постов контроля атмосферного воздуха в г. Коряжма», перенесли исполнение на 1 квартал 2020 года.</w:t>
      </w:r>
    </w:p>
    <w:p w14:paraId="7972F19C"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отчета ГБУ АО «Центр природопользования и охраны окружающей среды» работы выполнены всего на 0,4 млн.руб., или 50 %.</w:t>
      </w:r>
    </w:p>
    <w:p w14:paraId="49ABE69B"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 xml:space="preserve">4.3. Проведение мероприятий, направленных на развитие ООПТ (особо охраняемых природных территорий) - запланировано 1,8 млн.руб. </w:t>
      </w:r>
    </w:p>
    <w:p w14:paraId="62BAA8BD"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официального сайта единой информационной системы в сфере закупок (zakupki.gov.ru) в отчетном периоде заключено три контракта на общую сумму 0,8 млн.руб., с датой исполнения контракта – декабрь 2019 г.</w:t>
      </w:r>
    </w:p>
    <w:p w14:paraId="2DE85219"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установленный срок ни один контракт не исполнен, выполнение по мероприятию составило 0%.</w:t>
      </w:r>
    </w:p>
    <w:p w14:paraId="697ECE45"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2.5. Разработка проектно-сметной документации на рекультивацию полигонов размещения отходов, выводимых из эксплуатации – предусмотрено 15,0 млн.руб. (на рекультивацию полигонов ТБО выводимых из эксплуатации Новодвинска, Северодвинска и Архангельска предусмотрено программой 82,0 млн.руб.), по плану была предусмотрена 20.06.2019.</w:t>
      </w:r>
    </w:p>
    <w:p w14:paraId="40BC1C1C"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министерства выполнены инженерные изыскания на рекультивацию объектов, отчеты проведения инженерных изысканий согласованы администрациями г. Северодвинск и г. Новодвинск.</w:t>
      </w:r>
    </w:p>
    <w:p w14:paraId="35D34784" w14:textId="5E87ADFE" w:rsidR="006C5A01" w:rsidRPr="00A53AD7" w:rsidRDefault="006C5A01" w:rsidP="006C5A01">
      <w:pPr>
        <w:autoSpaceDE w:val="0"/>
        <w:autoSpaceDN w:val="0"/>
        <w:adjustRightInd w:val="0"/>
        <w:spacing w:after="0" w:line="240" w:lineRule="auto"/>
        <w:ind w:firstLine="851"/>
        <w:jc w:val="both"/>
        <w:rPr>
          <w:rFonts w:ascii="Times New Roman" w:hAnsi="Times New Roman"/>
          <w:strike/>
          <w:sz w:val="28"/>
          <w:szCs w:val="28"/>
        </w:rPr>
      </w:pPr>
      <w:r w:rsidRPr="00A53AD7">
        <w:rPr>
          <w:rFonts w:ascii="Times New Roman" w:hAnsi="Times New Roman"/>
          <w:sz w:val="28"/>
          <w:szCs w:val="28"/>
        </w:rPr>
        <w:t>Согласно данным официального сайта единой информационной системы в сфере закупок (zakupki.gov.ru) контракт № 0124200000619004064 (код закупки: 192290109747129010100100350017112000) заключен с обществом с ограниченной ответственностью Институт «Газэнергопроект» 24.09.2019 с ценой контракта 72,98 млн.руб. Срок выполнения Работ по контракту: в течение 2-х лет с даты заключения контракта.</w:t>
      </w:r>
    </w:p>
    <w:p w14:paraId="056B5F89"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использовании субсидии на иные цели ГБУ АО «Центр природопользования и охраны окружающей среды» и данным официального сайта единой информационной системы в сфере закупок (zakupki.gov.ru) работы по контракту не выполнены, оплаты не производилось, следовательно, выполнение мероприятия программы за 2019 год составило 0 %.</w:t>
      </w:r>
    </w:p>
    <w:p w14:paraId="45D27FAD"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trike/>
          <w:sz w:val="28"/>
          <w:szCs w:val="28"/>
        </w:rPr>
      </w:pPr>
    </w:p>
    <w:p w14:paraId="3778FC1F"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исполнение двух мероприятий подпрограммы № 1 минлеспромом АО в 2019 году заключены соглашения с представителями муниципальных образований:</w:t>
      </w:r>
    </w:p>
    <w:p w14:paraId="376CF6CC"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1.9. Создание мест (площадок) накопления (в том числе раздельного накопления) твердых коммунальных отходов (далее – ТКО), приобретение контейнеров (бункеров) для накопления ТКО.</w:t>
      </w:r>
    </w:p>
    <w:p w14:paraId="6A44B92A"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94,78 млн.руб., ассигнования и предельные объемы финансирования (далее ПОФ) министерством доведены до муниципальных образований в полном объеме.</w:t>
      </w:r>
    </w:p>
    <w:p w14:paraId="69805DEA"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заключено 23 соглашения на предоставление из областного бюджета бюджетам муниципальных образований субсидии на общую сумму 94,78 млн.руб., что соответствует утвержденным бюджетным назначениям и объемам финансирования, предусмотренным программой по средствам областного бюджета.</w:t>
      </w:r>
    </w:p>
    <w:p w14:paraId="7C9FDC28"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соглашениям процент софинансирования по средствам местных бюджетов предусмотрен по конкурсу от 20 до 51%. В соглашениях не указан целевой показатель в количественном виде, т.е. сколько должны на данную сумму приобрести контейнеров и установить площадок в соглашении не указано.</w:t>
      </w:r>
    </w:p>
    <w:p w14:paraId="1BCDD7EE"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по объемам софинансирования по средствам местных бюджетов программой предусмотрен меньше на 2,3 млн.руб., чем предусмотрено соглашениями.</w:t>
      </w:r>
    </w:p>
    <w:p w14:paraId="42E1806E" w14:textId="68D6A6A1"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w:t>
      </w:r>
      <w:r w:rsidR="00EF6CF9" w:rsidRPr="00A53AD7">
        <w:rPr>
          <w:rFonts w:ascii="Times New Roman" w:hAnsi="Times New Roman"/>
          <w:sz w:val="28"/>
          <w:szCs w:val="28"/>
        </w:rPr>
        <w:t>е ра</w:t>
      </w:r>
      <w:r w:rsidRPr="00A53AD7">
        <w:rPr>
          <w:rFonts w:ascii="Times New Roman" w:hAnsi="Times New Roman"/>
          <w:sz w:val="28"/>
          <w:szCs w:val="28"/>
        </w:rPr>
        <w:t>сход</w:t>
      </w:r>
      <w:r w:rsidR="00EF6CF9" w:rsidRPr="00A53AD7">
        <w:rPr>
          <w:rFonts w:ascii="Times New Roman" w:hAnsi="Times New Roman"/>
          <w:sz w:val="28"/>
          <w:szCs w:val="28"/>
        </w:rPr>
        <w:t>ы</w:t>
      </w:r>
      <w:r w:rsidRPr="00A53AD7">
        <w:rPr>
          <w:rFonts w:ascii="Times New Roman" w:hAnsi="Times New Roman"/>
          <w:sz w:val="28"/>
          <w:szCs w:val="28"/>
        </w:rPr>
        <w:t xml:space="preserve"> МО составил</w:t>
      </w:r>
      <w:r w:rsidR="00EF6CF9" w:rsidRPr="00A53AD7">
        <w:rPr>
          <w:rFonts w:ascii="Times New Roman" w:hAnsi="Times New Roman"/>
          <w:sz w:val="28"/>
          <w:szCs w:val="28"/>
        </w:rPr>
        <w:t>и</w:t>
      </w:r>
      <w:r w:rsidRPr="00A53AD7">
        <w:rPr>
          <w:rFonts w:ascii="Times New Roman" w:hAnsi="Times New Roman"/>
          <w:sz w:val="28"/>
          <w:szCs w:val="28"/>
        </w:rPr>
        <w:t xml:space="preserve"> всего 48,6 млн.руб., или 51,3 %, неисполненные назначения по ассигнованиям и лимитам бюджетных обязательств составили 46,1 млн.руб. (48,7 %), представлены в таблице </w:t>
      </w:r>
      <w:r w:rsidR="009A62F2" w:rsidRPr="00A53AD7">
        <w:rPr>
          <w:rFonts w:ascii="Times New Roman" w:hAnsi="Times New Roman"/>
          <w:sz w:val="28"/>
          <w:szCs w:val="28"/>
        </w:rPr>
        <w:t>52</w:t>
      </w:r>
      <w:r w:rsidRPr="00A53AD7">
        <w:rPr>
          <w:rFonts w:ascii="Times New Roman" w:hAnsi="Times New Roman"/>
          <w:sz w:val="28"/>
          <w:szCs w:val="28"/>
        </w:rPr>
        <w:t>.</w:t>
      </w:r>
    </w:p>
    <w:p w14:paraId="6008D3ED" w14:textId="77777777" w:rsidR="006C5A01" w:rsidRPr="00A53AD7" w:rsidRDefault="006C5A01" w:rsidP="006C5A01">
      <w:pPr>
        <w:autoSpaceDE w:val="0"/>
        <w:autoSpaceDN w:val="0"/>
        <w:adjustRightInd w:val="0"/>
        <w:spacing w:after="0" w:line="240" w:lineRule="auto"/>
        <w:jc w:val="both"/>
        <w:rPr>
          <w:rFonts w:ascii="Times New Roman" w:hAnsi="Times New Roman"/>
          <w:sz w:val="24"/>
          <w:szCs w:val="24"/>
        </w:rPr>
      </w:pPr>
    </w:p>
    <w:p w14:paraId="4DB70E61" w14:textId="77777777" w:rsidR="006C5A01" w:rsidRPr="00A53AD7" w:rsidRDefault="006C5A01" w:rsidP="006C5A01">
      <w:pPr>
        <w:autoSpaceDE w:val="0"/>
        <w:autoSpaceDN w:val="0"/>
        <w:adjustRightInd w:val="0"/>
        <w:spacing w:after="0" w:line="240" w:lineRule="auto"/>
        <w:rPr>
          <w:rFonts w:ascii="Times New Roman" w:hAnsi="Times New Roman"/>
          <w:sz w:val="24"/>
          <w:szCs w:val="24"/>
          <w:highlight w:val="cyan"/>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52</w:t>
      </w:r>
      <w:r w:rsidRPr="00A53AD7">
        <w:rPr>
          <w:rFonts w:ascii="Times New Roman" w:hAnsi="Times New Roman"/>
          <w:sz w:val="24"/>
          <w:szCs w:val="24"/>
        </w:rPr>
        <w:fldChar w:fldCharType="end"/>
      </w:r>
      <w:r w:rsidRPr="00A53AD7">
        <w:rPr>
          <w:rFonts w:ascii="Times New Roman" w:hAnsi="Times New Roman"/>
          <w:sz w:val="24"/>
          <w:szCs w:val="24"/>
        </w:rPr>
        <w:t>. Перечень муниципальных образований с суммой неисполненных лимитов бюджетных обязательств</w:t>
      </w:r>
    </w:p>
    <w:tbl>
      <w:tblPr>
        <w:tblW w:w="9248" w:type="dxa"/>
        <w:tblInd w:w="93" w:type="dxa"/>
        <w:tblLook w:val="04A0" w:firstRow="1" w:lastRow="0" w:firstColumn="1" w:lastColumn="0" w:noHBand="0" w:noVBand="1"/>
      </w:tblPr>
      <w:tblGrid>
        <w:gridCol w:w="4835"/>
        <w:gridCol w:w="1158"/>
        <w:gridCol w:w="968"/>
        <w:gridCol w:w="2287"/>
      </w:tblGrid>
      <w:tr w:rsidR="00D470B6" w:rsidRPr="00A53AD7" w14:paraId="47FB4DD7" w14:textId="77777777" w:rsidTr="006C5A01">
        <w:trPr>
          <w:trHeight w:val="300"/>
          <w:tblHeader/>
        </w:trPr>
        <w:tc>
          <w:tcPr>
            <w:tcW w:w="4835" w:type="dxa"/>
            <w:vMerge w:val="restart"/>
            <w:tcBorders>
              <w:top w:val="double" w:sz="4" w:space="0" w:color="auto"/>
              <w:left w:val="double" w:sz="4" w:space="0" w:color="auto"/>
              <w:bottom w:val="single" w:sz="4" w:space="0" w:color="000000"/>
              <w:right w:val="single" w:sz="4" w:space="0" w:color="auto"/>
            </w:tcBorders>
            <w:shd w:val="clear" w:color="auto" w:fill="auto"/>
            <w:noWrap/>
            <w:vAlign w:val="center"/>
            <w:hideMark/>
          </w:tcPr>
          <w:p w14:paraId="02AF6C91"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Наименование </w:t>
            </w:r>
          </w:p>
        </w:tc>
        <w:tc>
          <w:tcPr>
            <w:tcW w:w="4413" w:type="dxa"/>
            <w:gridSpan w:val="3"/>
            <w:tcBorders>
              <w:top w:val="double" w:sz="4" w:space="0" w:color="auto"/>
              <w:left w:val="nil"/>
              <w:bottom w:val="single" w:sz="4" w:space="0" w:color="auto"/>
              <w:right w:val="double" w:sz="4" w:space="0" w:color="auto"/>
            </w:tcBorders>
            <w:shd w:val="clear" w:color="auto" w:fill="auto"/>
            <w:noWrap/>
            <w:vAlign w:val="bottom"/>
            <w:hideMark/>
          </w:tcPr>
          <w:p w14:paraId="1EE4BB8A"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КБК 101 25 76740 521 (млн. руб.)</w:t>
            </w:r>
          </w:p>
        </w:tc>
      </w:tr>
      <w:tr w:rsidR="00D470B6" w:rsidRPr="00A53AD7" w14:paraId="725AC02B" w14:textId="77777777" w:rsidTr="006C5A01">
        <w:trPr>
          <w:trHeight w:val="300"/>
          <w:tblHeader/>
        </w:trPr>
        <w:tc>
          <w:tcPr>
            <w:tcW w:w="4835" w:type="dxa"/>
            <w:vMerge/>
            <w:tcBorders>
              <w:top w:val="single" w:sz="4" w:space="0" w:color="auto"/>
              <w:left w:val="double" w:sz="4" w:space="0" w:color="auto"/>
              <w:bottom w:val="single" w:sz="4" w:space="0" w:color="auto"/>
              <w:right w:val="single" w:sz="4" w:space="0" w:color="auto"/>
            </w:tcBorders>
            <w:vAlign w:val="center"/>
            <w:hideMark/>
          </w:tcPr>
          <w:p w14:paraId="0EE5FE23" w14:textId="77777777" w:rsidR="006C5A01" w:rsidRPr="00A53AD7" w:rsidRDefault="006C5A01" w:rsidP="00EF6CF9">
            <w:pPr>
              <w:spacing w:after="0" w:line="240" w:lineRule="auto"/>
              <w:rPr>
                <w:rFonts w:ascii="Times New Roman" w:eastAsia="Times New Roman" w:hAnsi="Times New Roman"/>
                <w:lang w:eastAsia="ru-RU"/>
              </w:rPr>
            </w:pPr>
          </w:p>
        </w:tc>
        <w:tc>
          <w:tcPr>
            <w:tcW w:w="1158" w:type="dxa"/>
            <w:tcBorders>
              <w:top w:val="nil"/>
              <w:left w:val="nil"/>
              <w:bottom w:val="single" w:sz="4" w:space="0" w:color="auto"/>
              <w:right w:val="single" w:sz="4" w:space="0" w:color="auto"/>
            </w:tcBorders>
            <w:shd w:val="clear" w:color="auto" w:fill="auto"/>
            <w:noWrap/>
            <w:vAlign w:val="bottom"/>
            <w:hideMark/>
          </w:tcPr>
          <w:p w14:paraId="28532DB4"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ЛБО</w:t>
            </w:r>
          </w:p>
        </w:tc>
        <w:tc>
          <w:tcPr>
            <w:tcW w:w="968" w:type="dxa"/>
            <w:tcBorders>
              <w:top w:val="nil"/>
              <w:left w:val="nil"/>
              <w:bottom w:val="single" w:sz="4" w:space="0" w:color="auto"/>
              <w:right w:val="single" w:sz="4" w:space="0" w:color="auto"/>
            </w:tcBorders>
            <w:shd w:val="clear" w:color="auto" w:fill="auto"/>
            <w:noWrap/>
            <w:vAlign w:val="bottom"/>
            <w:hideMark/>
          </w:tcPr>
          <w:p w14:paraId="1A0D1395"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касса</w:t>
            </w:r>
          </w:p>
        </w:tc>
        <w:tc>
          <w:tcPr>
            <w:tcW w:w="2287" w:type="dxa"/>
            <w:tcBorders>
              <w:top w:val="nil"/>
              <w:left w:val="nil"/>
              <w:bottom w:val="single" w:sz="4" w:space="0" w:color="auto"/>
              <w:right w:val="double" w:sz="4" w:space="0" w:color="auto"/>
            </w:tcBorders>
            <w:shd w:val="clear" w:color="auto" w:fill="auto"/>
            <w:noWrap/>
            <w:vAlign w:val="bottom"/>
            <w:hideMark/>
          </w:tcPr>
          <w:p w14:paraId="02B4EFA8"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остаток на 31.12.2019</w:t>
            </w:r>
          </w:p>
        </w:tc>
      </w:tr>
      <w:tr w:rsidR="00D470B6" w:rsidRPr="00A53AD7" w14:paraId="1B89F5CC" w14:textId="77777777" w:rsidTr="00EF6CF9">
        <w:trPr>
          <w:trHeight w:hRule="exact" w:val="255"/>
        </w:trPr>
        <w:tc>
          <w:tcPr>
            <w:tcW w:w="4835" w:type="dxa"/>
            <w:tcBorders>
              <w:top w:val="single" w:sz="4" w:space="0" w:color="auto"/>
              <w:left w:val="double" w:sz="4" w:space="0" w:color="auto"/>
              <w:bottom w:val="single" w:sz="4" w:space="0" w:color="auto"/>
              <w:right w:val="single" w:sz="4" w:space="0" w:color="auto"/>
            </w:tcBorders>
            <w:shd w:val="clear" w:color="auto" w:fill="auto"/>
            <w:noWrap/>
            <w:vAlign w:val="bottom"/>
            <w:hideMark/>
          </w:tcPr>
          <w:p w14:paraId="1E8B1E0C"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"Город Архангельск"</w:t>
            </w:r>
          </w:p>
        </w:tc>
        <w:tc>
          <w:tcPr>
            <w:tcW w:w="1158" w:type="dxa"/>
            <w:tcBorders>
              <w:top w:val="single" w:sz="4" w:space="0" w:color="auto"/>
              <w:left w:val="nil"/>
              <w:bottom w:val="single" w:sz="4" w:space="0" w:color="auto"/>
              <w:right w:val="single" w:sz="4" w:space="0" w:color="auto"/>
            </w:tcBorders>
            <w:shd w:val="clear" w:color="auto" w:fill="auto"/>
            <w:noWrap/>
            <w:vAlign w:val="bottom"/>
            <w:hideMark/>
          </w:tcPr>
          <w:p w14:paraId="5A0C767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3,21</w:t>
            </w:r>
          </w:p>
        </w:tc>
        <w:tc>
          <w:tcPr>
            <w:tcW w:w="968" w:type="dxa"/>
            <w:tcBorders>
              <w:top w:val="single" w:sz="4" w:space="0" w:color="auto"/>
              <w:left w:val="nil"/>
              <w:bottom w:val="single" w:sz="4" w:space="0" w:color="auto"/>
              <w:right w:val="single" w:sz="4" w:space="0" w:color="auto"/>
            </w:tcBorders>
            <w:shd w:val="clear" w:color="auto" w:fill="auto"/>
            <w:noWrap/>
            <w:vAlign w:val="bottom"/>
            <w:hideMark/>
          </w:tcPr>
          <w:p w14:paraId="2B29B7B5"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0,54</w:t>
            </w:r>
          </w:p>
        </w:tc>
        <w:tc>
          <w:tcPr>
            <w:tcW w:w="2287" w:type="dxa"/>
            <w:tcBorders>
              <w:top w:val="single" w:sz="4" w:space="0" w:color="auto"/>
              <w:left w:val="nil"/>
              <w:bottom w:val="single" w:sz="4" w:space="0" w:color="auto"/>
              <w:right w:val="double" w:sz="4" w:space="0" w:color="auto"/>
            </w:tcBorders>
            <w:shd w:val="clear" w:color="auto" w:fill="auto"/>
            <w:noWrap/>
            <w:vAlign w:val="bottom"/>
            <w:hideMark/>
          </w:tcPr>
          <w:p w14:paraId="7A79539F"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2,67</w:t>
            </w:r>
          </w:p>
        </w:tc>
      </w:tr>
      <w:tr w:rsidR="00D470B6" w:rsidRPr="00A53AD7" w14:paraId="04FA55DF"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16A7507A"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 Котлас"</w:t>
            </w:r>
          </w:p>
        </w:tc>
        <w:tc>
          <w:tcPr>
            <w:tcW w:w="1158" w:type="dxa"/>
            <w:tcBorders>
              <w:top w:val="nil"/>
              <w:left w:val="nil"/>
              <w:bottom w:val="single" w:sz="4" w:space="0" w:color="auto"/>
              <w:right w:val="single" w:sz="4" w:space="0" w:color="auto"/>
            </w:tcBorders>
            <w:shd w:val="clear" w:color="auto" w:fill="auto"/>
            <w:noWrap/>
            <w:vAlign w:val="bottom"/>
            <w:hideMark/>
          </w:tcPr>
          <w:p w14:paraId="2BC7291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2,50</w:t>
            </w:r>
          </w:p>
        </w:tc>
        <w:tc>
          <w:tcPr>
            <w:tcW w:w="968" w:type="dxa"/>
            <w:tcBorders>
              <w:top w:val="nil"/>
              <w:left w:val="nil"/>
              <w:bottom w:val="single" w:sz="4" w:space="0" w:color="auto"/>
              <w:right w:val="single" w:sz="4" w:space="0" w:color="auto"/>
            </w:tcBorders>
            <w:shd w:val="clear" w:color="auto" w:fill="auto"/>
            <w:noWrap/>
            <w:vAlign w:val="bottom"/>
            <w:hideMark/>
          </w:tcPr>
          <w:p w14:paraId="1280503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1,68</w:t>
            </w:r>
          </w:p>
        </w:tc>
        <w:tc>
          <w:tcPr>
            <w:tcW w:w="2287" w:type="dxa"/>
            <w:tcBorders>
              <w:top w:val="nil"/>
              <w:left w:val="nil"/>
              <w:bottom w:val="single" w:sz="4" w:space="0" w:color="auto"/>
              <w:right w:val="double" w:sz="4" w:space="0" w:color="auto"/>
            </w:tcBorders>
            <w:shd w:val="clear" w:color="auto" w:fill="auto"/>
            <w:noWrap/>
            <w:vAlign w:val="bottom"/>
            <w:hideMark/>
          </w:tcPr>
          <w:p w14:paraId="5F92274B"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0,81</w:t>
            </w:r>
          </w:p>
        </w:tc>
      </w:tr>
      <w:tr w:rsidR="00D470B6" w:rsidRPr="00A53AD7" w14:paraId="6BFC4AAB"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12BCF586"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"Вельский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7623E14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2,87</w:t>
            </w:r>
          </w:p>
        </w:tc>
        <w:tc>
          <w:tcPr>
            <w:tcW w:w="968" w:type="dxa"/>
            <w:tcBorders>
              <w:top w:val="nil"/>
              <w:left w:val="nil"/>
              <w:bottom w:val="single" w:sz="4" w:space="0" w:color="auto"/>
              <w:right w:val="single" w:sz="4" w:space="0" w:color="auto"/>
            </w:tcBorders>
            <w:shd w:val="clear" w:color="auto" w:fill="auto"/>
            <w:noWrap/>
            <w:vAlign w:val="bottom"/>
            <w:hideMark/>
          </w:tcPr>
          <w:p w14:paraId="59866B8F"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1,69</w:t>
            </w:r>
          </w:p>
        </w:tc>
        <w:tc>
          <w:tcPr>
            <w:tcW w:w="2287" w:type="dxa"/>
            <w:tcBorders>
              <w:top w:val="nil"/>
              <w:left w:val="nil"/>
              <w:bottom w:val="single" w:sz="4" w:space="0" w:color="auto"/>
              <w:right w:val="double" w:sz="4" w:space="0" w:color="auto"/>
            </w:tcBorders>
            <w:shd w:val="clear" w:color="auto" w:fill="auto"/>
            <w:noWrap/>
            <w:vAlign w:val="bottom"/>
            <w:hideMark/>
          </w:tcPr>
          <w:p w14:paraId="14D93614"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1,19</w:t>
            </w:r>
          </w:p>
        </w:tc>
      </w:tr>
      <w:tr w:rsidR="00D470B6" w:rsidRPr="00A53AD7" w14:paraId="5B5361C2"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48C9852C"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"Верхнетоемский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7606B6FB"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4,09</w:t>
            </w:r>
          </w:p>
        </w:tc>
        <w:tc>
          <w:tcPr>
            <w:tcW w:w="968" w:type="dxa"/>
            <w:tcBorders>
              <w:top w:val="nil"/>
              <w:left w:val="nil"/>
              <w:bottom w:val="single" w:sz="4" w:space="0" w:color="auto"/>
              <w:right w:val="single" w:sz="4" w:space="0" w:color="auto"/>
            </w:tcBorders>
            <w:shd w:val="clear" w:color="auto" w:fill="auto"/>
            <w:noWrap/>
            <w:vAlign w:val="bottom"/>
            <w:hideMark/>
          </w:tcPr>
          <w:p w14:paraId="7AA6BEC1"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w:t>
            </w:r>
          </w:p>
        </w:tc>
        <w:tc>
          <w:tcPr>
            <w:tcW w:w="2287" w:type="dxa"/>
            <w:tcBorders>
              <w:top w:val="nil"/>
              <w:left w:val="nil"/>
              <w:bottom w:val="single" w:sz="4" w:space="0" w:color="auto"/>
              <w:right w:val="double" w:sz="4" w:space="0" w:color="auto"/>
            </w:tcBorders>
            <w:shd w:val="clear" w:color="auto" w:fill="auto"/>
            <w:noWrap/>
            <w:vAlign w:val="bottom"/>
            <w:hideMark/>
          </w:tcPr>
          <w:p w14:paraId="69F0F0D1"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0,83</w:t>
            </w:r>
          </w:p>
        </w:tc>
      </w:tr>
      <w:tr w:rsidR="00D470B6" w:rsidRPr="00A53AD7" w14:paraId="6418C1F9"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28DA3588"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"Вилегодский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56446504"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9,88</w:t>
            </w:r>
          </w:p>
        </w:tc>
        <w:tc>
          <w:tcPr>
            <w:tcW w:w="968" w:type="dxa"/>
            <w:tcBorders>
              <w:top w:val="nil"/>
              <w:left w:val="nil"/>
              <w:bottom w:val="single" w:sz="4" w:space="0" w:color="auto"/>
              <w:right w:val="single" w:sz="4" w:space="0" w:color="auto"/>
            </w:tcBorders>
            <w:shd w:val="clear" w:color="auto" w:fill="auto"/>
            <w:noWrap/>
            <w:vAlign w:val="bottom"/>
            <w:hideMark/>
          </w:tcPr>
          <w:p w14:paraId="18E436A7"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6,82</w:t>
            </w:r>
          </w:p>
        </w:tc>
        <w:tc>
          <w:tcPr>
            <w:tcW w:w="2287" w:type="dxa"/>
            <w:tcBorders>
              <w:top w:val="nil"/>
              <w:left w:val="nil"/>
              <w:bottom w:val="single" w:sz="4" w:space="0" w:color="auto"/>
              <w:right w:val="double" w:sz="4" w:space="0" w:color="auto"/>
            </w:tcBorders>
            <w:shd w:val="clear" w:color="auto" w:fill="auto"/>
            <w:noWrap/>
            <w:vAlign w:val="bottom"/>
            <w:hideMark/>
          </w:tcPr>
          <w:p w14:paraId="0611633D"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3,07</w:t>
            </w:r>
          </w:p>
        </w:tc>
      </w:tr>
      <w:tr w:rsidR="00D470B6" w:rsidRPr="00A53AD7" w14:paraId="4A5ACADE"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24D64ABF"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"Виноградовский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4BFE3A55"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3,49</w:t>
            </w:r>
          </w:p>
        </w:tc>
        <w:tc>
          <w:tcPr>
            <w:tcW w:w="968" w:type="dxa"/>
            <w:tcBorders>
              <w:top w:val="nil"/>
              <w:left w:val="nil"/>
              <w:bottom w:val="single" w:sz="4" w:space="0" w:color="auto"/>
              <w:right w:val="single" w:sz="4" w:space="0" w:color="auto"/>
            </w:tcBorders>
            <w:shd w:val="clear" w:color="auto" w:fill="auto"/>
            <w:noWrap/>
            <w:vAlign w:val="bottom"/>
            <w:hideMark/>
          </w:tcPr>
          <w:p w14:paraId="7310AA83"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0,00</w:t>
            </w:r>
          </w:p>
        </w:tc>
        <w:tc>
          <w:tcPr>
            <w:tcW w:w="2287" w:type="dxa"/>
            <w:tcBorders>
              <w:top w:val="nil"/>
              <w:left w:val="nil"/>
              <w:bottom w:val="single" w:sz="4" w:space="0" w:color="auto"/>
              <w:right w:val="double" w:sz="4" w:space="0" w:color="auto"/>
            </w:tcBorders>
            <w:shd w:val="clear" w:color="auto" w:fill="auto"/>
            <w:noWrap/>
            <w:vAlign w:val="bottom"/>
            <w:hideMark/>
          </w:tcPr>
          <w:p w14:paraId="616A6969"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3,49</w:t>
            </w:r>
          </w:p>
        </w:tc>
      </w:tr>
      <w:tr w:rsidR="00D470B6" w:rsidRPr="00A53AD7" w14:paraId="5CA38877"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18258BCE"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"Каргопольский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7371198D"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10,84</w:t>
            </w:r>
          </w:p>
        </w:tc>
        <w:tc>
          <w:tcPr>
            <w:tcW w:w="968" w:type="dxa"/>
            <w:tcBorders>
              <w:top w:val="nil"/>
              <w:left w:val="nil"/>
              <w:bottom w:val="single" w:sz="4" w:space="0" w:color="auto"/>
              <w:right w:val="single" w:sz="4" w:space="0" w:color="auto"/>
            </w:tcBorders>
            <w:shd w:val="clear" w:color="auto" w:fill="auto"/>
            <w:noWrap/>
            <w:vAlign w:val="bottom"/>
            <w:hideMark/>
          </w:tcPr>
          <w:p w14:paraId="54EE2D82"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c>
          <w:tcPr>
            <w:tcW w:w="2287" w:type="dxa"/>
            <w:tcBorders>
              <w:top w:val="nil"/>
              <w:left w:val="nil"/>
              <w:bottom w:val="single" w:sz="4" w:space="0" w:color="auto"/>
              <w:right w:val="double" w:sz="4" w:space="0" w:color="auto"/>
            </w:tcBorders>
            <w:shd w:val="clear" w:color="auto" w:fill="auto"/>
            <w:noWrap/>
            <w:vAlign w:val="bottom"/>
            <w:hideMark/>
          </w:tcPr>
          <w:p w14:paraId="5054B4A9"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4,84</w:t>
            </w:r>
          </w:p>
        </w:tc>
      </w:tr>
      <w:tr w:rsidR="00D470B6" w:rsidRPr="00A53AD7" w14:paraId="1B7FC572"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08B72B9B"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"Коношский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76107BC6"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2,17</w:t>
            </w:r>
          </w:p>
        </w:tc>
        <w:tc>
          <w:tcPr>
            <w:tcW w:w="968" w:type="dxa"/>
            <w:tcBorders>
              <w:top w:val="nil"/>
              <w:left w:val="nil"/>
              <w:bottom w:val="single" w:sz="4" w:space="0" w:color="auto"/>
              <w:right w:val="single" w:sz="4" w:space="0" w:color="auto"/>
            </w:tcBorders>
            <w:shd w:val="clear" w:color="auto" w:fill="auto"/>
            <w:noWrap/>
            <w:vAlign w:val="bottom"/>
            <w:hideMark/>
          </w:tcPr>
          <w:p w14:paraId="71694A0C"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0,00</w:t>
            </w:r>
          </w:p>
        </w:tc>
        <w:tc>
          <w:tcPr>
            <w:tcW w:w="2287" w:type="dxa"/>
            <w:tcBorders>
              <w:top w:val="nil"/>
              <w:left w:val="nil"/>
              <w:bottom w:val="single" w:sz="4" w:space="0" w:color="auto"/>
              <w:right w:val="double" w:sz="4" w:space="0" w:color="auto"/>
            </w:tcBorders>
            <w:shd w:val="clear" w:color="auto" w:fill="auto"/>
            <w:noWrap/>
            <w:vAlign w:val="bottom"/>
            <w:hideMark/>
          </w:tcPr>
          <w:p w14:paraId="6F4A9695"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2,17</w:t>
            </w:r>
          </w:p>
        </w:tc>
      </w:tr>
      <w:tr w:rsidR="00D470B6" w:rsidRPr="00A53AD7" w14:paraId="1DD9FD29"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0FC66EDF"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"Ленский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4A982D4A"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1,40</w:t>
            </w:r>
          </w:p>
        </w:tc>
        <w:tc>
          <w:tcPr>
            <w:tcW w:w="968" w:type="dxa"/>
            <w:tcBorders>
              <w:top w:val="nil"/>
              <w:left w:val="nil"/>
              <w:bottom w:val="single" w:sz="4" w:space="0" w:color="auto"/>
              <w:right w:val="single" w:sz="4" w:space="0" w:color="auto"/>
            </w:tcBorders>
            <w:shd w:val="clear" w:color="auto" w:fill="auto"/>
            <w:noWrap/>
            <w:vAlign w:val="bottom"/>
            <w:hideMark/>
          </w:tcPr>
          <w:p w14:paraId="4B0E4646"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0,00</w:t>
            </w:r>
          </w:p>
        </w:tc>
        <w:tc>
          <w:tcPr>
            <w:tcW w:w="2287" w:type="dxa"/>
            <w:tcBorders>
              <w:top w:val="nil"/>
              <w:left w:val="nil"/>
              <w:bottom w:val="single" w:sz="4" w:space="0" w:color="auto"/>
              <w:right w:val="double" w:sz="4" w:space="0" w:color="auto"/>
            </w:tcBorders>
            <w:shd w:val="clear" w:color="auto" w:fill="auto"/>
            <w:noWrap/>
            <w:vAlign w:val="bottom"/>
            <w:hideMark/>
          </w:tcPr>
          <w:p w14:paraId="7DAAD5D3"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1,40</w:t>
            </w:r>
          </w:p>
        </w:tc>
      </w:tr>
      <w:tr w:rsidR="00D470B6" w:rsidRPr="00A53AD7" w14:paraId="722C157C"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4ED1CAF6"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"Лешуконский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61641AA1"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6,33</w:t>
            </w:r>
          </w:p>
        </w:tc>
        <w:tc>
          <w:tcPr>
            <w:tcW w:w="968" w:type="dxa"/>
            <w:tcBorders>
              <w:top w:val="nil"/>
              <w:left w:val="nil"/>
              <w:bottom w:val="single" w:sz="4" w:space="0" w:color="auto"/>
              <w:right w:val="single" w:sz="4" w:space="0" w:color="auto"/>
            </w:tcBorders>
            <w:shd w:val="clear" w:color="auto" w:fill="auto"/>
            <w:noWrap/>
            <w:vAlign w:val="bottom"/>
            <w:hideMark/>
          </w:tcPr>
          <w:p w14:paraId="585E757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2,41</w:t>
            </w:r>
          </w:p>
        </w:tc>
        <w:tc>
          <w:tcPr>
            <w:tcW w:w="2287" w:type="dxa"/>
            <w:tcBorders>
              <w:top w:val="nil"/>
              <w:left w:val="nil"/>
              <w:bottom w:val="single" w:sz="4" w:space="0" w:color="auto"/>
              <w:right w:val="double" w:sz="4" w:space="0" w:color="auto"/>
            </w:tcBorders>
            <w:shd w:val="clear" w:color="auto" w:fill="auto"/>
            <w:noWrap/>
            <w:vAlign w:val="bottom"/>
            <w:hideMark/>
          </w:tcPr>
          <w:p w14:paraId="3ACD5469"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3,92</w:t>
            </w:r>
          </w:p>
        </w:tc>
      </w:tr>
      <w:tr w:rsidR="00D470B6" w:rsidRPr="00A53AD7" w14:paraId="272E13C9"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204131FB"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"Мезенский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00272E73"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1,54</w:t>
            </w:r>
          </w:p>
        </w:tc>
        <w:tc>
          <w:tcPr>
            <w:tcW w:w="968" w:type="dxa"/>
            <w:tcBorders>
              <w:top w:val="nil"/>
              <w:left w:val="nil"/>
              <w:bottom w:val="single" w:sz="4" w:space="0" w:color="auto"/>
              <w:right w:val="single" w:sz="4" w:space="0" w:color="auto"/>
            </w:tcBorders>
            <w:shd w:val="clear" w:color="auto" w:fill="auto"/>
            <w:noWrap/>
            <w:vAlign w:val="bottom"/>
            <w:hideMark/>
          </w:tcPr>
          <w:p w14:paraId="7A2D9118"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0,76</w:t>
            </w:r>
          </w:p>
        </w:tc>
        <w:tc>
          <w:tcPr>
            <w:tcW w:w="2287" w:type="dxa"/>
            <w:tcBorders>
              <w:top w:val="nil"/>
              <w:left w:val="nil"/>
              <w:bottom w:val="single" w:sz="4" w:space="0" w:color="auto"/>
              <w:right w:val="double" w:sz="4" w:space="0" w:color="auto"/>
            </w:tcBorders>
            <w:shd w:val="clear" w:color="auto" w:fill="auto"/>
            <w:noWrap/>
            <w:vAlign w:val="bottom"/>
            <w:hideMark/>
          </w:tcPr>
          <w:p w14:paraId="41244313"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0,79</w:t>
            </w:r>
          </w:p>
        </w:tc>
      </w:tr>
      <w:tr w:rsidR="00D470B6" w:rsidRPr="00A53AD7" w14:paraId="34CD875E"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2DB9BE5E"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"Няндомский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49C8E667"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6,30</w:t>
            </w:r>
          </w:p>
        </w:tc>
        <w:tc>
          <w:tcPr>
            <w:tcW w:w="968" w:type="dxa"/>
            <w:tcBorders>
              <w:top w:val="nil"/>
              <w:left w:val="nil"/>
              <w:bottom w:val="single" w:sz="4" w:space="0" w:color="auto"/>
              <w:right w:val="single" w:sz="4" w:space="0" w:color="auto"/>
            </w:tcBorders>
            <w:shd w:val="clear" w:color="auto" w:fill="auto"/>
            <w:noWrap/>
            <w:vAlign w:val="bottom"/>
            <w:hideMark/>
          </w:tcPr>
          <w:p w14:paraId="3B3BD77B"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2,81</w:t>
            </w:r>
          </w:p>
        </w:tc>
        <w:tc>
          <w:tcPr>
            <w:tcW w:w="2287" w:type="dxa"/>
            <w:tcBorders>
              <w:top w:val="nil"/>
              <w:left w:val="nil"/>
              <w:bottom w:val="single" w:sz="4" w:space="0" w:color="auto"/>
              <w:right w:val="double" w:sz="4" w:space="0" w:color="auto"/>
            </w:tcBorders>
            <w:shd w:val="clear" w:color="auto" w:fill="auto"/>
            <w:noWrap/>
            <w:vAlign w:val="bottom"/>
            <w:hideMark/>
          </w:tcPr>
          <w:p w14:paraId="01C67044"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3,49</w:t>
            </w:r>
          </w:p>
        </w:tc>
      </w:tr>
      <w:tr w:rsidR="00D470B6" w:rsidRPr="00A53AD7" w14:paraId="35F968D7"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4BCEF080"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"Онежский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5CED36B0"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9,53</w:t>
            </w:r>
          </w:p>
        </w:tc>
        <w:tc>
          <w:tcPr>
            <w:tcW w:w="968" w:type="dxa"/>
            <w:tcBorders>
              <w:top w:val="nil"/>
              <w:left w:val="nil"/>
              <w:bottom w:val="single" w:sz="4" w:space="0" w:color="auto"/>
              <w:right w:val="single" w:sz="4" w:space="0" w:color="auto"/>
            </w:tcBorders>
            <w:shd w:val="clear" w:color="auto" w:fill="auto"/>
            <w:noWrap/>
            <w:vAlign w:val="bottom"/>
            <w:hideMark/>
          </w:tcPr>
          <w:p w14:paraId="1357F620"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6,16</w:t>
            </w:r>
          </w:p>
        </w:tc>
        <w:tc>
          <w:tcPr>
            <w:tcW w:w="2287" w:type="dxa"/>
            <w:tcBorders>
              <w:top w:val="nil"/>
              <w:left w:val="nil"/>
              <w:bottom w:val="single" w:sz="4" w:space="0" w:color="auto"/>
              <w:right w:val="double" w:sz="4" w:space="0" w:color="auto"/>
            </w:tcBorders>
            <w:shd w:val="clear" w:color="auto" w:fill="auto"/>
            <w:noWrap/>
            <w:vAlign w:val="bottom"/>
            <w:hideMark/>
          </w:tcPr>
          <w:p w14:paraId="3089EA97"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3,37</w:t>
            </w:r>
          </w:p>
        </w:tc>
      </w:tr>
      <w:tr w:rsidR="00D470B6" w:rsidRPr="00A53AD7" w14:paraId="0E07DB98"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3C37CC9C"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"Плесецкий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43B1419B"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5,43</w:t>
            </w:r>
          </w:p>
        </w:tc>
        <w:tc>
          <w:tcPr>
            <w:tcW w:w="968" w:type="dxa"/>
            <w:tcBorders>
              <w:top w:val="nil"/>
              <w:left w:val="nil"/>
              <w:bottom w:val="single" w:sz="4" w:space="0" w:color="auto"/>
              <w:right w:val="single" w:sz="4" w:space="0" w:color="auto"/>
            </w:tcBorders>
            <w:shd w:val="clear" w:color="auto" w:fill="auto"/>
            <w:noWrap/>
            <w:vAlign w:val="bottom"/>
            <w:hideMark/>
          </w:tcPr>
          <w:p w14:paraId="022EB559"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1,24</w:t>
            </w:r>
          </w:p>
        </w:tc>
        <w:tc>
          <w:tcPr>
            <w:tcW w:w="2287" w:type="dxa"/>
            <w:tcBorders>
              <w:top w:val="nil"/>
              <w:left w:val="nil"/>
              <w:bottom w:val="single" w:sz="4" w:space="0" w:color="auto"/>
              <w:right w:val="double" w:sz="4" w:space="0" w:color="auto"/>
            </w:tcBorders>
            <w:shd w:val="clear" w:color="auto" w:fill="auto"/>
            <w:noWrap/>
            <w:vAlign w:val="bottom"/>
            <w:hideMark/>
          </w:tcPr>
          <w:p w14:paraId="54EFC93C"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4,18</w:t>
            </w:r>
          </w:p>
        </w:tc>
      </w:tr>
      <w:tr w:rsidR="00D470B6" w:rsidRPr="00A53AD7" w14:paraId="77C2695E"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5E8003B3"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"Приморский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701ACDAE"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5,28</w:t>
            </w:r>
          </w:p>
        </w:tc>
        <w:tc>
          <w:tcPr>
            <w:tcW w:w="968" w:type="dxa"/>
            <w:tcBorders>
              <w:top w:val="nil"/>
              <w:left w:val="nil"/>
              <w:bottom w:val="single" w:sz="4" w:space="0" w:color="auto"/>
              <w:right w:val="single" w:sz="4" w:space="0" w:color="auto"/>
            </w:tcBorders>
            <w:shd w:val="clear" w:color="auto" w:fill="auto"/>
            <w:noWrap/>
            <w:vAlign w:val="bottom"/>
            <w:hideMark/>
          </w:tcPr>
          <w:p w14:paraId="4F517C61"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5,28</w:t>
            </w:r>
          </w:p>
        </w:tc>
        <w:tc>
          <w:tcPr>
            <w:tcW w:w="2287" w:type="dxa"/>
            <w:tcBorders>
              <w:top w:val="nil"/>
              <w:left w:val="nil"/>
              <w:bottom w:val="single" w:sz="4" w:space="0" w:color="auto"/>
              <w:right w:val="double" w:sz="4" w:space="0" w:color="auto"/>
            </w:tcBorders>
            <w:shd w:val="clear" w:color="auto" w:fill="auto"/>
            <w:noWrap/>
            <w:vAlign w:val="bottom"/>
            <w:hideMark/>
          </w:tcPr>
          <w:p w14:paraId="041D6BEF"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0,00</w:t>
            </w:r>
          </w:p>
        </w:tc>
      </w:tr>
      <w:tr w:rsidR="00D470B6" w:rsidRPr="00A53AD7" w14:paraId="628254CE"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7851282A"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"Устьянский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5C7EDE8C"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6,88</w:t>
            </w:r>
          </w:p>
        </w:tc>
        <w:tc>
          <w:tcPr>
            <w:tcW w:w="968" w:type="dxa"/>
            <w:tcBorders>
              <w:top w:val="nil"/>
              <w:left w:val="nil"/>
              <w:bottom w:val="single" w:sz="4" w:space="0" w:color="auto"/>
              <w:right w:val="single" w:sz="4" w:space="0" w:color="auto"/>
            </w:tcBorders>
            <w:shd w:val="clear" w:color="auto" w:fill="auto"/>
            <w:noWrap/>
            <w:vAlign w:val="bottom"/>
            <w:hideMark/>
          </w:tcPr>
          <w:p w14:paraId="0A2C947A"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4,16</w:t>
            </w:r>
          </w:p>
        </w:tc>
        <w:tc>
          <w:tcPr>
            <w:tcW w:w="2287" w:type="dxa"/>
            <w:tcBorders>
              <w:top w:val="nil"/>
              <w:left w:val="nil"/>
              <w:bottom w:val="single" w:sz="4" w:space="0" w:color="auto"/>
              <w:right w:val="double" w:sz="4" w:space="0" w:color="auto"/>
            </w:tcBorders>
            <w:shd w:val="clear" w:color="auto" w:fill="auto"/>
            <w:noWrap/>
            <w:vAlign w:val="bottom"/>
            <w:hideMark/>
          </w:tcPr>
          <w:p w14:paraId="6B48CA35"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2,72</w:t>
            </w:r>
          </w:p>
        </w:tc>
      </w:tr>
      <w:tr w:rsidR="00D470B6" w:rsidRPr="00A53AD7" w14:paraId="51A4B002" w14:textId="77777777" w:rsidTr="00EF6CF9">
        <w:trPr>
          <w:trHeight w:hRule="exact" w:val="255"/>
        </w:trPr>
        <w:tc>
          <w:tcPr>
            <w:tcW w:w="4835" w:type="dxa"/>
            <w:tcBorders>
              <w:top w:val="nil"/>
              <w:left w:val="double" w:sz="4" w:space="0" w:color="auto"/>
              <w:bottom w:val="single" w:sz="4" w:space="0" w:color="auto"/>
              <w:right w:val="single" w:sz="4" w:space="0" w:color="auto"/>
            </w:tcBorders>
            <w:shd w:val="clear" w:color="auto" w:fill="auto"/>
            <w:noWrap/>
            <w:vAlign w:val="bottom"/>
            <w:hideMark/>
          </w:tcPr>
          <w:p w14:paraId="3CFC3EEC" w14:textId="77777777" w:rsidR="006C5A01" w:rsidRPr="00A53AD7" w:rsidRDefault="006C5A01" w:rsidP="00EF6CF9">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МО "Холмогорский муниципальный район"</w:t>
            </w:r>
          </w:p>
        </w:tc>
        <w:tc>
          <w:tcPr>
            <w:tcW w:w="1158" w:type="dxa"/>
            <w:tcBorders>
              <w:top w:val="nil"/>
              <w:left w:val="nil"/>
              <w:bottom w:val="single" w:sz="4" w:space="0" w:color="auto"/>
              <w:right w:val="single" w:sz="4" w:space="0" w:color="auto"/>
            </w:tcBorders>
            <w:shd w:val="clear" w:color="auto" w:fill="auto"/>
            <w:noWrap/>
            <w:vAlign w:val="bottom"/>
            <w:hideMark/>
          </w:tcPr>
          <w:p w14:paraId="3406C6A4"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7,20</w:t>
            </w:r>
          </w:p>
        </w:tc>
        <w:tc>
          <w:tcPr>
            <w:tcW w:w="968" w:type="dxa"/>
            <w:tcBorders>
              <w:top w:val="nil"/>
              <w:left w:val="nil"/>
              <w:bottom w:val="single" w:sz="4" w:space="0" w:color="auto"/>
              <w:right w:val="single" w:sz="4" w:space="0" w:color="auto"/>
            </w:tcBorders>
            <w:shd w:val="clear" w:color="auto" w:fill="auto"/>
            <w:noWrap/>
            <w:vAlign w:val="bottom"/>
            <w:hideMark/>
          </w:tcPr>
          <w:p w14:paraId="02FF526E" w14:textId="77777777" w:rsidR="006C5A01" w:rsidRPr="00A53AD7" w:rsidRDefault="006C5A01" w:rsidP="00EF6CF9">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0,00</w:t>
            </w:r>
          </w:p>
        </w:tc>
        <w:tc>
          <w:tcPr>
            <w:tcW w:w="2287" w:type="dxa"/>
            <w:tcBorders>
              <w:top w:val="nil"/>
              <w:left w:val="nil"/>
              <w:bottom w:val="single" w:sz="4" w:space="0" w:color="auto"/>
              <w:right w:val="double" w:sz="4" w:space="0" w:color="auto"/>
            </w:tcBorders>
            <w:shd w:val="clear" w:color="auto" w:fill="auto"/>
            <w:noWrap/>
            <w:vAlign w:val="bottom"/>
            <w:hideMark/>
          </w:tcPr>
          <w:p w14:paraId="1809F911" w14:textId="77777777" w:rsidR="006C5A01" w:rsidRPr="00A53AD7" w:rsidRDefault="006C5A01" w:rsidP="00EF6CF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7,20</w:t>
            </w:r>
          </w:p>
        </w:tc>
      </w:tr>
      <w:tr w:rsidR="006C5A01" w:rsidRPr="00A53AD7" w14:paraId="0221E9B2" w14:textId="77777777" w:rsidTr="00EF6CF9">
        <w:trPr>
          <w:trHeight w:hRule="exact" w:val="255"/>
        </w:trPr>
        <w:tc>
          <w:tcPr>
            <w:tcW w:w="4835" w:type="dxa"/>
            <w:tcBorders>
              <w:top w:val="nil"/>
              <w:left w:val="double" w:sz="4" w:space="0" w:color="auto"/>
              <w:bottom w:val="double" w:sz="4" w:space="0" w:color="auto"/>
              <w:right w:val="single" w:sz="4" w:space="0" w:color="auto"/>
            </w:tcBorders>
            <w:shd w:val="clear" w:color="auto" w:fill="auto"/>
            <w:noWrap/>
            <w:vAlign w:val="bottom"/>
            <w:hideMark/>
          </w:tcPr>
          <w:p w14:paraId="36011B5D" w14:textId="77777777" w:rsidR="006C5A01" w:rsidRPr="00A53AD7" w:rsidRDefault="006C5A01" w:rsidP="00EF6CF9">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158" w:type="dxa"/>
            <w:tcBorders>
              <w:top w:val="nil"/>
              <w:left w:val="nil"/>
              <w:bottom w:val="double" w:sz="4" w:space="0" w:color="auto"/>
              <w:right w:val="single" w:sz="4" w:space="0" w:color="auto"/>
            </w:tcBorders>
            <w:shd w:val="clear" w:color="auto" w:fill="auto"/>
            <w:noWrap/>
            <w:vAlign w:val="bottom"/>
            <w:hideMark/>
          </w:tcPr>
          <w:p w14:paraId="63838212" w14:textId="77777777" w:rsidR="006C5A01" w:rsidRPr="00A53AD7" w:rsidRDefault="006C5A01" w:rsidP="00EF6CF9">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88,94</w:t>
            </w:r>
          </w:p>
        </w:tc>
        <w:tc>
          <w:tcPr>
            <w:tcW w:w="968" w:type="dxa"/>
            <w:tcBorders>
              <w:top w:val="nil"/>
              <w:left w:val="nil"/>
              <w:bottom w:val="double" w:sz="4" w:space="0" w:color="auto"/>
              <w:right w:val="single" w:sz="4" w:space="0" w:color="auto"/>
            </w:tcBorders>
            <w:shd w:val="clear" w:color="auto" w:fill="auto"/>
            <w:noWrap/>
            <w:vAlign w:val="bottom"/>
            <w:hideMark/>
          </w:tcPr>
          <w:p w14:paraId="4721CAB9" w14:textId="77777777" w:rsidR="006C5A01" w:rsidRPr="00A53AD7" w:rsidRDefault="006C5A01" w:rsidP="00EF6CF9">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42,80</w:t>
            </w:r>
          </w:p>
        </w:tc>
        <w:tc>
          <w:tcPr>
            <w:tcW w:w="2287" w:type="dxa"/>
            <w:tcBorders>
              <w:top w:val="nil"/>
              <w:left w:val="nil"/>
              <w:bottom w:val="double" w:sz="4" w:space="0" w:color="auto"/>
              <w:right w:val="double" w:sz="4" w:space="0" w:color="auto"/>
            </w:tcBorders>
            <w:shd w:val="clear" w:color="auto" w:fill="auto"/>
            <w:noWrap/>
            <w:vAlign w:val="bottom"/>
            <w:hideMark/>
          </w:tcPr>
          <w:p w14:paraId="766B0168" w14:textId="77777777" w:rsidR="006C5A01" w:rsidRPr="00A53AD7" w:rsidRDefault="006C5A01" w:rsidP="00EF6CF9">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46,14</w:t>
            </w:r>
          </w:p>
        </w:tc>
      </w:tr>
    </w:tbl>
    <w:p w14:paraId="6A0F0F54" w14:textId="77777777" w:rsidR="006C5A01" w:rsidRPr="00A53AD7" w:rsidRDefault="006C5A01" w:rsidP="006C5A01">
      <w:pPr>
        <w:spacing w:after="0" w:line="240" w:lineRule="auto"/>
        <w:ind w:left="142" w:right="141" w:firstLine="851"/>
        <w:jc w:val="both"/>
        <w:rPr>
          <w:rFonts w:ascii="Times New Roman" w:hAnsi="Times New Roman"/>
          <w:sz w:val="28"/>
          <w:szCs w:val="28"/>
          <w:highlight w:val="cyan"/>
        </w:rPr>
      </w:pPr>
    </w:p>
    <w:p w14:paraId="5ECBF62A" w14:textId="77777777" w:rsidR="006C5A01" w:rsidRPr="00A53AD7" w:rsidRDefault="006C5A01" w:rsidP="006C5A01">
      <w:pPr>
        <w:pStyle w:val="a8"/>
        <w:numPr>
          <w:ilvl w:val="0"/>
          <w:numId w:val="21"/>
        </w:numPr>
        <w:ind w:left="0" w:firstLine="839"/>
        <w:jc w:val="both"/>
        <w:rPr>
          <w:sz w:val="28"/>
          <w:szCs w:val="28"/>
        </w:rPr>
      </w:pPr>
      <w:r w:rsidRPr="00A53AD7">
        <w:rPr>
          <w:sz w:val="28"/>
          <w:szCs w:val="28"/>
        </w:rPr>
        <w:t>1.11. Содержание мест (площадок) накопления твердых коммунальных отходов</w:t>
      </w:r>
    </w:p>
    <w:p w14:paraId="51AF8246"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составляли 74,88 млн.руб., средства направлены на оказание финансовой поддержки по содержанию 3 049 мест (площадок) накопления ТКО органам местного самоуправления по 25 соглашениям.</w:t>
      </w:r>
    </w:p>
    <w:p w14:paraId="5525892D"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Софинансирование мероприятий с учетом объема финансирования за счет средств местного бюджета должно составлять не менее 15% от общего объема средств на реализацию мероприятия.</w:t>
      </w:r>
    </w:p>
    <w:p w14:paraId="1C0C63B5"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соглашениям процент софинансирования по средствам местных бюджетов установлен всем 15 %.</w:t>
      </w:r>
    </w:p>
    <w:p w14:paraId="2259E0DC"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Сумма субсидии на 2019 год минстерством была рассчитана в декабре на период 7 месяцев. Из ответов и пояснений представителей 23 муниципальных образований на запрос КСП АО от 03.12.2019 (исх. № 01-02/1264) следует, что договоры (контракты) на содержание контейнерных площадок на 2019 год не заключались, следовательно, расходы на содержание контейнерных площадок в муниципальных образованиях отсутствуют, основания для выделения бюджетных ассигнований на указанные цели отсутствовали.</w:t>
      </w:r>
    </w:p>
    <w:p w14:paraId="6D14240C"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того, следует отметить, что предоставление данной субсидии противоречит условиям получения субсидии на софинансирование мероприятий по созданию мест (площадок) накопления (в том числе раздельного накопления) ТКО и на софинансирование мероприятий по приобретению контейнеров (бункеров) для накопления ТКО, так как согласно п. 7 Положения на предоставление субсидии, введенного постановлением Правительства Архангельской области от 14.05.2019 № 262-пп, одно из условий её получения – это содержание и эксплуатация мест (площадок) накопления (в том числе раздельного накопления) ТКО за счет средств местного бюджета или внебюджетных источников.</w:t>
      </w:r>
    </w:p>
    <w:p w14:paraId="38B7CF2E" w14:textId="77777777"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Проверкой КСП АО установлено, что вся сумма в 2020 году возвращена в бюджет, следовательно, выполнение мероприятия программы за 2019 год составило 0 %. Таким образом, не обеспечено выполнение принципа эффективности использования бюджетных средств, определенного ст. 34 БК РФ на сумму 74,88 млн.руб.</w:t>
      </w:r>
    </w:p>
    <w:p w14:paraId="7E93E40F" w14:textId="2CBA677B" w:rsidR="006C5A01" w:rsidRPr="00A53AD7" w:rsidRDefault="006C5A01" w:rsidP="006C5A01">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об исполнении подпрограммы № 1 за 2019 год с учетом вышесказанного по мероприятиям представлена в таблице</w:t>
      </w:r>
      <w:r w:rsidR="007D5A1D" w:rsidRPr="00A53AD7">
        <w:rPr>
          <w:rFonts w:ascii="Times New Roman" w:hAnsi="Times New Roman"/>
          <w:sz w:val="28"/>
          <w:szCs w:val="28"/>
        </w:rPr>
        <w:t xml:space="preserve"> 53</w:t>
      </w:r>
      <w:r w:rsidRPr="00A53AD7">
        <w:rPr>
          <w:rFonts w:ascii="Times New Roman" w:hAnsi="Times New Roman"/>
          <w:sz w:val="28"/>
          <w:szCs w:val="28"/>
        </w:rPr>
        <w:t>:</w:t>
      </w:r>
    </w:p>
    <w:p w14:paraId="0AA1172D" w14:textId="77777777" w:rsidR="006C5A01" w:rsidRPr="00A53AD7" w:rsidRDefault="006C5A01" w:rsidP="006C5A01">
      <w:pPr>
        <w:autoSpaceDE w:val="0"/>
        <w:autoSpaceDN w:val="0"/>
        <w:adjustRightInd w:val="0"/>
        <w:spacing w:after="0" w:line="240" w:lineRule="auto"/>
        <w:jc w:val="both"/>
        <w:rPr>
          <w:rFonts w:ascii="Times New Roman" w:hAnsi="Times New Roman"/>
          <w:sz w:val="24"/>
          <w:szCs w:val="24"/>
        </w:rPr>
      </w:pPr>
    </w:p>
    <w:p w14:paraId="6102D969" w14:textId="77777777" w:rsidR="006C5A01" w:rsidRPr="00A53AD7" w:rsidRDefault="006C5A01" w:rsidP="006C5A01">
      <w:pPr>
        <w:autoSpaceDE w:val="0"/>
        <w:autoSpaceDN w:val="0"/>
        <w:adjustRightInd w:val="0"/>
        <w:spacing w:after="0" w:line="240" w:lineRule="auto"/>
        <w:jc w:val="both"/>
        <w:rPr>
          <w:rFonts w:ascii="Times New Roman" w:hAnsi="Times New Roman"/>
          <w:sz w:val="24"/>
          <w:szCs w:val="24"/>
          <w:highlight w:val="cyan"/>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53</w:t>
      </w:r>
      <w:r w:rsidRPr="00A53AD7">
        <w:rPr>
          <w:rFonts w:ascii="Times New Roman" w:hAnsi="Times New Roman"/>
          <w:sz w:val="24"/>
          <w:szCs w:val="24"/>
        </w:rPr>
        <w:fldChar w:fldCharType="end"/>
      </w:r>
      <w:r w:rsidRPr="00A53AD7">
        <w:rPr>
          <w:rFonts w:ascii="Times New Roman" w:hAnsi="Times New Roman"/>
          <w:sz w:val="24"/>
          <w:szCs w:val="24"/>
        </w:rPr>
        <w:t>. Информация об исполнении подпрограммы № 1 за 2019 год</w:t>
      </w:r>
    </w:p>
    <w:tbl>
      <w:tblPr>
        <w:tblW w:w="9458" w:type="dxa"/>
        <w:tblInd w:w="93" w:type="dxa"/>
        <w:tblLayout w:type="fixed"/>
        <w:tblLook w:val="04A0" w:firstRow="1" w:lastRow="0" w:firstColumn="1" w:lastColumn="0" w:noHBand="0" w:noVBand="1"/>
      </w:tblPr>
      <w:tblGrid>
        <w:gridCol w:w="2727"/>
        <w:gridCol w:w="1495"/>
        <w:gridCol w:w="960"/>
        <w:gridCol w:w="666"/>
        <w:gridCol w:w="1240"/>
        <w:gridCol w:w="669"/>
        <w:gridCol w:w="1060"/>
        <w:gridCol w:w="641"/>
      </w:tblGrid>
      <w:tr w:rsidR="00D470B6" w:rsidRPr="00A53AD7" w14:paraId="3EC192CD" w14:textId="77777777" w:rsidTr="00EF6CF9">
        <w:trPr>
          <w:trHeight w:val="300"/>
        </w:trPr>
        <w:tc>
          <w:tcPr>
            <w:tcW w:w="2727" w:type="dxa"/>
            <w:vMerge w:val="restart"/>
            <w:tcBorders>
              <w:top w:val="double" w:sz="4" w:space="0" w:color="auto"/>
              <w:left w:val="double" w:sz="4" w:space="0" w:color="auto"/>
              <w:bottom w:val="single" w:sz="8" w:space="0" w:color="000000"/>
              <w:right w:val="single" w:sz="4" w:space="0" w:color="000000"/>
            </w:tcBorders>
            <w:shd w:val="clear" w:color="auto" w:fill="auto"/>
            <w:vAlign w:val="center"/>
            <w:hideMark/>
          </w:tcPr>
          <w:p w14:paraId="455B7699"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1495" w:type="dxa"/>
            <w:vMerge w:val="restart"/>
            <w:tcBorders>
              <w:top w:val="double" w:sz="4" w:space="0" w:color="auto"/>
              <w:left w:val="single" w:sz="4" w:space="0" w:color="000000"/>
              <w:bottom w:val="single" w:sz="4" w:space="0" w:color="000000"/>
              <w:right w:val="single" w:sz="4" w:space="0" w:color="000000"/>
            </w:tcBorders>
            <w:shd w:val="clear" w:color="auto" w:fill="auto"/>
            <w:vAlign w:val="center"/>
            <w:hideMark/>
          </w:tcPr>
          <w:p w14:paraId="60E1A32C"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Утвержденные бюджетные назначения и ЛБО</w:t>
            </w:r>
          </w:p>
        </w:tc>
        <w:tc>
          <w:tcPr>
            <w:tcW w:w="1626" w:type="dxa"/>
            <w:gridSpan w:val="2"/>
            <w:vMerge w:val="restart"/>
            <w:tcBorders>
              <w:top w:val="double" w:sz="4" w:space="0" w:color="auto"/>
              <w:left w:val="single" w:sz="4" w:space="0" w:color="000000"/>
              <w:bottom w:val="single" w:sz="4" w:space="0" w:color="000000"/>
              <w:right w:val="single" w:sz="4" w:space="0" w:color="000000"/>
            </w:tcBorders>
            <w:shd w:val="clear" w:color="auto" w:fill="auto"/>
            <w:vAlign w:val="center"/>
            <w:hideMark/>
          </w:tcPr>
          <w:p w14:paraId="4B3DB5C9"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Исполнено по данным минлеспрома АО (форма 0503127) и отчета по ГП </w:t>
            </w:r>
          </w:p>
        </w:tc>
        <w:tc>
          <w:tcPr>
            <w:tcW w:w="1909" w:type="dxa"/>
            <w:gridSpan w:val="2"/>
            <w:vMerge w:val="restart"/>
            <w:tcBorders>
              <w:top w:val="double" w:sz="4" w:space="0" w:color="auto"/>
              <w:left w:val="single" w:sz="4" w:space="0" w:color="000000"/>
              <w:bottom w:val="single" w:sz="4" w:space="0" w:color="000000"/>
              <w:right w:val="nil"/>
            </w:tcBorders>
            <w:shd w:val="clear" w:color="auto" w:fill="auto"/>
            <w:vAlign w:val="center"/>
            <w:hideMark/>
          </w:tcPr>
          <w:p w14:paraId="1973C1F4"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 учетом исполнения ГБУ АО «Центр природопользования и охраны окружающей среды» и МО</w:t>
            </w:r>
          </w:p>
        </w:tc>
        <w:tc>
          <w:tcPr>
            <w:tcW w:w="1701" w:type="dxa"/>
            <w:gridSpan w:val="2"/>
            <w:vMerge w:val="restart"/>
            <w:tcBorders>
              <w:top w:val="double" w:sz="4" w:space="0" w:color="auto"/>
              <w:left w:val="single" w:sz="8" w:space="0" w:color="auto"/>
              <w:bottom w:val="single" w:sz="4" w:space="0" w:color="000000"/>
              <w:right w:val="double" w:sz="4" w:space="0" w:color="auto"/>
            </w:tcBorders>
            <w:shd w:val="clear" w:color="auto" w:fill="auto"/>
            <w:vAlign w:val="center"/>
            <w:hideMark/>
          </w:tcPr>
          <w:p w14:paraId="08E470A1"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Отклонение по выполнению (завышение по данным минлеспрома АО)</w:t>
            </w:r>
          </w:p>
        </w:tc>
      </w:tr>
      <w:tr w:rsidR="00D470B6" w:rsidRPr="00A53AD7" w14:paraId="1D5139F4" w14:textId="77777777" w:rsidTr="00EF6CF9">
        <w:trPr>
          <w:trHeight w:val="300"/>
        </w:trPr>
        <w:tc>
          <w:tcPr>
            <w:tcW w:w="2727" w:type="dxa"/>
            <w:vMerge/>
            <w:tcBorders>
              <w:top w:val="single" w:sz="8" w:space="0" w:color="auto"/>
              <w:left w:val="double" w:sz="4" w:space="0" w:color="auto"/>
              <w:bottom w:val="single" w:sz="8" w:space="0" w:color="000000"/>
              <w:right w:val="single" w:sz="4" w:space="0" w:color="000000"/>
            </w:tcBorders>
            <w:vAlign w:val="center"/>
            <w:hideMark/>
          </w:tcPr>
          <w:p w14:paraId="232992CC"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495" w:type="dxa"/>
            <w:vMerge/>
            <w:tcBorders>
              <w:top w:val="single" w:sz="8" w:space="0" w:color="auto"/>
              <w:left w:val="single" w:sz="4" w:space="0" w:color="000000"/>
              <w:bottom w:val="single" w:sz="4" w:space="0" w:color="000000"/>
              <w:right w:val="single" w:sz="4" w:space="0" w:color="000000"/>
            </w:tcBorders>
            <w:vAlign w:val="center"/>
            <w:hideMark/>
          </w:tcPr>
          <w:p w14:paraId="0CF16B2A"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626" w:type="dxa"/>
            <w:gridSpan w:val="2"/>
            <w:vMerge/>
            <w:tcBorders>
              <w:top w:val="single" w:sz="8" w:space="0" w:color="auto"/>
              <w:left w:val="single" w:sz="4" w:space="0" w:color="000000"/>
              <w:bottom w:val="single" w:sz="4" w:space="0" w:color="000000"/>
              <w:right w:val="single" w:sz="4" w:space="0" w:color="000000"/>
            </w:tcBorders>
            <w:vAlign w:val="center"/>
            <w:hideMark/>
          </w:tcPr>
          <w:p w14:paraId="24A8CF93"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909" w:type="dxa"/>
            <w:gridSpan w:val="2"/>
            <w:vMerge/>
            <w:tcBorders>
              <w:top w:val="single" w:sz="8" w:space="0" w:color="auto"/>
              <w:left w:val="single" w:sz="4" w:space="0" w:color="000000"/>
              <w:bottom w:val="single" w:sz="4" w:space="0" w:color="000000"/>
              <w:right w:val="nil"/>
            </w:tcBorders>
            <w:vAlign w:val="center"/>
            <w:hideMark/>
          </w:tcPr>
          <w:p w14:paraId="7B2FFF68"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701" w:type="dxa"/>
            <w:gridSpan w:val="2"/>
            <w:vMerge/>
            <w:tcBorders>
              <w:top w:val="single" w:sz="8" w:space="0" w:color="auto"/>
              <w:left w:val="single" w:sz="8" w:space="0" w:color="auto"/>
              <w:bottom w:val="single" w:sz="4" w:space="0" w:color="000000"/>
              <w:right w:val="double" w:sz="4" w:space="0" w:color="auto"/>
            </w:tcBorders>
            <w:vAlign w:val="center"/>
            <w:hideMark/>
          </w:tcPr>
          <w:p w14:paraId="7B664425" w14:textId="77777777" w:rsidR="006C5A01" w:rsidRPr="00A53AD7" w:rsidRDefault="006C5A01" w:rsidP="00EF6CF9">
            <w:pPr>
              <w:spacing w:after="0" w:line="240" w:lineRule="auto"/>
              <w:rPr>
                <w:rFonts w:ascii="Times New Roman" w:eastAsia="Times New Roman" w:hAnsi="Times New Roman"/>
                <w:sz w:val="20"/>
                <w:szCs w:val="20"/>
                <w:lang w:eastAsia="ru-RU"/>
              </w:rPr>
            </w:pPr>
          </w:p>
        </w:tc>
      </w:tr>
      <w:tr w:rsidR="00D470B6" w:rsidRPr="00A53AD7" w14:paraId="576E8687" w14:textId="77777777" w:rsidTr="00EF6CF9">
        <w:trPr>
          <w:trHeight w:val="300"/>
        </w:trPr>
        <w:tc>
          <w:tcPr>
            <w:tcW w:w="2727" w:type="dxa"/>
            <w:vMerge/>
            <w:tcBorders>
              <w:top w:val="single" w:sz="8" w:space="0" w:color="auto"/>
              <w:left w:val="double" w:sz="4" w:space="0" w:color="auto"/>
              <w:bottom w:val="single" w:sz="8" w:space="0" w:color="000000"/>
              <w:right w:val="single" w:sz="4" w:space="0" w:color="000000"/>
            </w:tcBorders>
            <w:vAlign w:val="center"/>
            <w:hideMark/>
          </w:tcPr>
          <w:p w14:paraId="5028F884"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495" w:type="dxa"/>
            <w:vMerge/>
            <w:tcBorders>
              <w:top w:val="single" w:sz="8" w:space="0" w:color="auto"/>
              <w:left w:val="single" w:sz="4" w:space="0" w:color="000000"/>
              <w:bottom w:val="single" w:sz="4" w:space="0" w:color="000000"/>
              <w:right w:val="single" w:sz="4" w:space="0" w:color="000000"/>
            </w:tcBorders>
            <w:vAlign w:val="center"/>
            <w:hideMark/>
          </w:tcPr>
          <w:p w14:paraId="4ED2C69B"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626" w:type="dxa"/>
            <w:gridSpan w:val="2"/>
            <w:vMerge/>
            <w:tcBorders>
              <w:top w:val="single" w:sz="8" w:space="0" w:color="auto"/>
              <w:left w:val="single" w:sz="4" w:space="0" w:color="000000"/>
              <w:bottom w:val="single" w:sz="4" w:space="0" w:color="000000"/>
              <w:right w:val="single" w:sz="4" w:space="0" w:color="000000"/>
            </w:tcBorders>
            <w:vAlign w:val="center"/>
            <w:hideMark/>
          </w:tcPr>
          <w:p w14:paraId="0719FC4F"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909" w:type="dxa"/>
            <w:gridSpan w:val="2"/>
            <w:vMerge/>
            <w:tcBorders>
              <w:top w:val="single" w:sz="8" w:space="0" w:color="auto"/>
              <w:left w:val="single" w:sz="4" w:space="0" w:color="000000"/>
              <w:bottom w:val="single" w:sz="4" w:space="0" w:color="000000"/>
              <w:right w:val="nil"/>
            </w:tcBorders>
            <w:vAlign w:val="center"/>
            <w:hideMark/>
          </w:tcPr>
          <w:p w14:paraId="0AF10791"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701" w:type="dxa"/>
            <w:gridSpan w:val="2"/>
            <w:vMerge/>
            <w:tcBorders>
              <w:top w:val="single" w:sz="8" w:space="0" w:color="auto"/>
              <w:left w:val="single" w:sz="8" w:space="0" w:color="auto"/>
              <w:bottom w:val="single" w:sz="4" w:space="0" w:color="000000"/>
              <w:right w:val="double" w:sz="4" w:space="0" w:color="auto"/>
            </w:tcBorders>
            <w:vAlign w:val="center"/>
            <w:hideMark/>
          </w:tcPr>
          <w:p w14:paraId="5BBC073D" w14:textId="77777777" w:rsidR="006C5A01" w:rsidRPr="00A53AD7" w:rsidRDefault="006C5A01" w:rsidP="00EF6CF9">
            <w:pPr>
              <w:spacing w:after="0" w:line="240" w:lineRule="auto"/>
              <w:rPr>
                <w:rFonts w:ascii="Times New Roman" w:eastAsia="Times New Roman" w:hAnsi="Times New Roman"/>
                <w:sz w:val="20"/>
                <w:szCs w:val="20"/>
                <w:lang w:eastAsia="ru-RU"/>
              </w:rPr>
            </w:pPr>
          </w:p>
        </w:tc>
      </w:tr>
      <w:tr w:rsidR="00D470B6" w:rsidRPr="00A53AD7" w14:paraId="5441A426" w14:textId="77777777" w:rsidTr="00EF6CF9">
        <w:trPr>
          <w:trHeight w:val="300"/>
        </w:trPr>
        <w:tc>
          <w:tcPr>
            <w:tcW w:w="2727" w:type="dxa"/>
            <w:vMerge/>
            <w:tcBorders>
              <w:top w:val="single" w:sz="8" w:space="0" w:color="auto"/>
              <w:left w:val="double" w:sz="4" w:space="0" w:color="auto"/>
              <w:bottom w:val="single" w:sz="8" w:space="0" w:color="000000"/>
              <w:right w:val="single" w:sz="4" w:space="0" w:color="000000"/>
            </w:tcBorders>
            <w:vAlign w:val="center"/>
            <w:hideMark/>
          </w:tcPr>
          <w:p w14:paraId="462BBAF1"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495" w:type="dxa"/>
            <w:vMerge/>
            <w:tcBorders>
              <w:top w:val="single" w:sz="8" w:space="0" w:color="auto"/>
              <w:left w:val="single" w:sz="4" w:space="0" w:color="000000"/>
              <w:bottom w:val="single" w:sz="4" w:space="0" w:color="000000"/>
              <w:right w:val="single" w:sz="4" w:space="0" w:color="000000"/>
            </w:tcBorders>
            <w:vAlign w:val="center"/>
            <w:hideMark/>
          </w:tcPr>
          <w:p w14:paraId="16AF777C"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626" w:type="dxa"/>
            <w:gridSpan w:val="2"/>
            <w:vMerge/>
            <w:tcBorders>
              <w:top w:val="single" w:sz="8" w:space="0" w:color="auto"/>
              <w:left w:val="single" w:sz="4" w:space="0" w:color="000000"/>
              <w:bottom w:val="single" w:sz="4" w:space="0" w:color="000000"/>
              <w:right w:val="single" w:sz="4" w:space="0" w:color="000000"/>
            </w:tcBorders>
            <w:vAlign w:val="center"/>
            <w:hideMark/>
          </w:tcPr>
          <w:p w14:paraId="648791E8"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909" w:type="dxa"/>
            <w:gridSpan w:val="2"/>
            <w:vMerge/>
            <w:tcBorders>
              <w:top w:val="single" w:sz="8" w:space="0" w:color="auto"/>
              <w:left w:val="single" w:sz="4" w:space="0" w:color="000000"/>
              <w:bottom w:val="single" w:sz="4" w:space="0" w:color="000000"/>
              <w:right w:val="nil"/>
            </w:tcBorders>
            <w:vAlign w:val="center"/>
            <w:hideMark/>
          </w:tcPr>
          <w:p w14:paraId="3FF56485"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701" w:type="dxa"/>
            <w:gridSpan w:val="2"/>
            <w:vMerge/>
            <w:tcBorders>
              <w:top w:val="single" w:sz="8" w:space="0" w:color="auto"/>
              <w:left w:val="single" w:sz="8" w:space="0" w:color="auto"/>
              <w:bottom w:val="single" w:sz="4" w:space="0" w:color="000000"/>
              <w:right w:val="double" w:sz="4" w:space="0" w:color="auto"/>
            </w:tcBorders>
            <w:vAlign w:val="center"/>
            <w:hideMark/>
          </w:tcPr>
          <w:p w14:paraId="441E2A18" w14:textId="77777777" w:rsidR="006C5A01" w:rsidRPr="00A53AD7" w:rsidRDefault="006C5A01" w:rsidP="00EF6CF9">
            <w:pPr>
              <w:spacing w:after="0" w:line="240" w:lineRule="auto"/>
              <w:rPr>
                <w:rFonts w:ascii="Times New Roman" w:eastAsia="Times New Roman" w:hAnsi="Times New Roman"/>
                <w:sz w:val="20"/>
                <w:szCs w:val="20"/>
                <w:lang w:eastAsia="ru-RU"/>
              </w:rPr>
            </w:pPr>
          </w:p>
        </w:tc>
      </w:tr>
      <w:tr w:rsidR="00D470B6" w:rsidRPr="00A53AD7" w14:paraId="471518DD" w14:textId="77777777" w:rsidTr="00EF6CF9">
        <w:trPr>
          <w:trHeight w:val="300"/>
        </w:trPr>
        <w:tc>
          <w:tcPr>
            <w:tcW w:w="2727" w:type="dxa"/>
            <w:vMerge/>
            <w:tcBorders>
              <w:top w:val="single" w:sz="8" w:space="0" w:color="auto"/>
              <w:left w:val="double" w:sz="4" w:space="0" w:color="auto"/>
              <w:bottom w:val="single" w:sz="8" w:space="0" w:color="000000"/>
              <w:right w:val="single" w:sz="4" w:space="0" w:color="000000"/>
            </w:tcBorders>
            <w:vAlign w:val="center"/>
            <w:hideMark/>
          </w:tcPr>
          <w:p w14:paraId="75431FF1"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495" w:type="dxa"/>
            <w:vMerge/>
            <w:tcBorders>
              <w:top w:val="single" w:sz="8" w:space="0" w:color="auto"/>
              <w:left w:val="single" w:sz="4" w:space="0" w:color="000000"/>
              <w:bottom w:val="single" w:sz="4" w:space="0" w:color="000000"/>
              <w:right w:val="single" w:sz="4" w:space="0" w:color="000000"/>
            </w:tcBorders>
            <w:vAlign w:val="center"/>
            <w:hideMark/>
          </w:tcPr>
          <w:p w14:paraId="2B2D4E19"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626" w:type="dxa"/>
            <w:gridSpan w:val="2"/>
            <w:vMerge/>
            <w:tcBorders>
              <w:top w:val="single" w:sz="8" w:space="0" w:color="auto"/>
              <w:left w:val="single" w:sz="4" w:space="0" w:color="000000"/>
              <w:bottom w:val="single" w:sz="4" w:space="0" w:color="000000"/>
              <w:right w:val="single" w:sz="4" w:space="0" w:color="000000"/>
            </w:tcBorders>
            <w:vAlign w:val="center"/>
            <w:hideMark/>
          </w:tcPr>
          <w:p w14:paraId="0419DE24"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909" w:type="dxa"/>
            <w:gridSpan w:val="2"/>
            <w:vMerge/>
            <w:tcBorders>
              <w:top w:val="single" w:sz="8" w:space="0" w:color="auto"/>
              <w:left w:val="single" w:sz="4" w:space="0" w:color="000000"/>
              <w:bottom w:val="single" w:sz="4" w:space="0" w:color="000000"/>
              <w:right w:val="nil"/>
            </w:tcBorders>
            <w:vAlign w:val="center"/>
            <w:hideMark/>
          </w:tcPr>
          <w:p w14:paraId="6F6BC25F"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701" w:type="dxa"/>
            <w:gridSpan w:val="2"/>
            <w:vMerge/>
            <w:tcBorders>
              <w:top w:val="single" w:sz="8" w:space="0" w:color="auto"/>
              <w:left w:val="single" w:sz="8" w:space="0" w:color="auto"/>
              <w:bottom w:val="single" w:sz="4" w:space="0" w:color="000000"/>
              <w:right w:val="double" w:sz="4" w:space="0" w:color="auto"/>
            </w:tcBorders>
            <w:vAlign w:val="center"/>
            <w:hideMark/>
          </w:tcPr>
          <w:p w14:paraId="140CB8AA" w14:textId="77777777" w:rsidR="006C5A01" w:rsidRPr="00A53AD7" w:rsidRDefault="006C5A01" w:rsidP="00EF6CF9">
            <w:pPr>
              <w:spacing w:after="0" w:line="240" w:lineRule="auto"/>
              <w:rPr>
                <w:rFonts w:ascii="Times New Roman" w:eastAsia="Times New Roman" w:hAnsi="Times New Roman"/>
                <w:sz w:val="20"/>
                <w:szCs w:val="20"/>
                <w:lang w:eastAsia="ru-RU"/>
              </w:rPr>
            </w:pPr>
          </w:p>
        </w:tc>
      </w:tr>
      <w:tr w:rsidR="00D470B6" w:rsidRPr="00A53AD7" w14:paraId="024B316D" w14:textId="77777777" w:rsidTr="00EF6CF9">
        <w:trPr>
          <w:trHeight w:val="40"/>
        </w:trPr>
        <w:tc>
          <w:tcPr>
            <w:tcW w:w="2727" w:type="dxa"/>
            <w:vMerge/>
            <w:tcBorders>
              <w:top w:val="single" w:sz="8" w:space="0" w:color="auto"/>
              <w:left w:val="double" w:sz="4" w:space="0" w:color="auto"/>
              <w:bottom w:val="single" w:sz="8" w:space="0" w:color="000000"/>
              <w:right w:val="single" w:sz="4" w:space="0" w:color="000000"/>
            </w:tcBorders>
            <w:vAlign w:val="center"/>
            <w:hideMark/>
          </w:tcPr>
          <w:p w14:paraId="0F67BE97" w14:textId="77777777" w:rsidR="006C5A01" w:rsidRPr="00A53AD7" w:rsidRDefault="006C5A01" w:rsidP="00EF6CF9">
            <w:pPr>
              <w:spacing w:after="0" w:line="240" w:lineRule="auto"/>
              <w:rPr>
                <w:rFonts w:ascii="Times New Roman" w:eastAsia="Times New Roman" w:hAnsi="Times New Roman"/>
                <w:sz w:val="20"/>
                <w:szCs w:val="20"/>
                <w:lang w:eastAsia="ru-RU"/>
              </w:rPr>
            </w:pPr>
          </w:p>
        </w:tc>
        <w:tc>
          <w:tcPr>
            <w:tcW w:w="1495" w:type="dxa"/>
            <w:tcBorders>
              <w:top w:val="nil"/>
              <w:left w:val="nil"/>
              <w:bottom w:val="single" w:sz="8" w:space="0" w:color="auto"/>
              <w:right w:val="single" w:sz="4" w:space="0" w:color="000000"/>
            </w:tcBorders>
            <w:shd w:val="clear" w:color="auto" w:fill="auto"/>
            <w:vAlign w:val="center"/>
            <w:hideMark/>
          </w:tcPr>
          <w:p w14:paraId="1A075457"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960" w:type="dxa"/>
            <w:tcBorders>
              <w:top w:val="nil"/>
              <w:left w:val="nil"/>
              <w:bottom w:val="single" w:sz="8" w:space="0" w:color="auto"/>
              <w:right w:val="single" w:sz="4" w:space="0" w:color="000000"/>
            </w:tcBorders>
            <w:shd w:val="clear" w:color="auto" w:fill="auto"/>
            <w:vAlign w:val="center"/>
            <w:hideMark/>
          </w:tcPr>
          <w:p w14:paraId="263B4AE6"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666" w:type="dxa"/>
            <w:tcBorders>
              <w:top w:val="nil"/>
              <w:left w:val="nil"/>
              <w:bottom w:val="single" w:sz="8" w:space="0" w:color="auto"/>
              <w:right w:val="single" w:sz="4" w:space="0" w:color="000000"/>
            </w:tcBorders>
            <w:shd w:val="clear" w:color="auto" w:fill="auto"/>
            <w:vAlign w:val="center"/>
            <w:hideMark/>
          </w:tcPr>
          <w:p w14:paraId="4BB5235C"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240" w:type="dxa"/>
            <w:tcBorders>
              <w:top w:val="nil"/>
              <w:left w:val="nil"/>
              <w:bottom w:val="single" w:sz="8" w:space="0" w:color="auto"/>
              <w:right w:val="single" w:sz="4" w:space="0" w:color="000000"/>
            </w:tcBorders>
            <w:shd w:val="clear" w:color="auto" w:fill="auto"/>
            <w:vAlign w:val="center"/>
            <w:hideMark/>
          </w:tcPr>
          <w:p w14:paraId="7F1A5709"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669" w:type="dxa"/>
            <w:tcBorders>
              <w:top w:val="nil"/>
              <w:left w:val="nil"/>
              <w:bottom w:val="single" w:sz="8" w:space="0" w:color="auto"/>
              <w:right w:val="nil"/>
            </w:tcBorders>
            <w:shd w:val="clear" w:color="auto" w:fill="auto"/>
            <w:vAlign w:val="center"/>
            <w:hideMark/>
          </w:tcPr>
          <w:p w14:paraId="3089F393"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60" w:type="dxa"/>
            <w:tcBorders>
              <w:top w:val="nil"/>
              <w:left w:val="single" w:sz="8" w:space="0" w:color="auto"/>
              <w:bottom w:val="nil"/>
              <w:right w:val="single" w:sz="4" w:space="0" w:color="auto"/>
            </w:tcBorders>
            <w:shd w:val="clear" w:color="auto" w:fill="auto"/>
            <w:vAlign w:val="center"/>
            <w:hideMark/>
          </w:tcPr>
          <w:p w14:paraId="37521942"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641" w:type="dxa"/>
            <w:tcBorders>
              <w:top w:val="nil"/>
              <w:left w:val="nil"/>
              <w:bottom w:val="nil"/>
              <w:right w:val="double" w:sz="4" w:space="0" w:color="auto"/>
            </w:tcBorders>
            <w:shd w:val="clear" w:color="auto" w:fill="auto"/>
            <w:vAlign w:val="center"/>
            <w:hideMark/>
          </w:tcPr>
          <w:p w14:paraId="639FBE0F"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D470B6" w:rsidRPr="00A53AD7" w14:paraId="340A5639" w14:textId="77777777" w:rsidTr="00EF6CF9">
        <w:trPr>
          <w:trHeight w:hRule="exact" w:val="255"/>
        </w:trPr>
        <w:tc>
          <w:tcPr>
            <w:tcW w:w="2727" w:type="dxa"/>
            <w:tcBorders>
              <w:top w:val="nil"/>
              <w:left w:val="double" w:sz="4" w:space="0" w:color="auto"/>
              <w:bottom w:val="nil"/>
              <w:right w:val="nil"/>
            </w:tcBorders>
            <w:shd w:val="clear" w:color="auto" w:fill="auto"/>
            <w:vAlign w:val="center"/>
            <w:hideMark/>
          </w:tcPr>
          <w:p w14:paraId="19B3CC43"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Итого по подпрограмме № 1</w:t>
            </w:r>
          </w:p>
        </w:tc>
        <w:tc>
          <w:tcPr>
            <w:tcW w:w="1495" w:type="dxa"/>
            <w:tcBorders>
              <w:top w:val="nil"/>
              <w:left w:val="single" w:sz="8" w:space="0" w:color="auto"/>
              <w:bottom w:val="nil"/>
              <w:right w:val="nil"/>
            </w:tcBorders>
            <w:shd w:val="clear" w:color="auto" w:fill="auto"/>
            <w:noWrap/>
            <w:vAlign w:val="center"/>
            <w:hideMark/>
          </w:tcPr>
          <w:p w14:paraId="21AFD985"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457,78</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238901D"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388,24</w:t>
            </w:r>
          </w:p>
        </w:tc>
        <w:tc>
          <w:tcPr>
            <w:tcW w:w="666" w:type="dxa"/>
            <w:tcBorders>
              <w:top w:val="nil"/>
              <w:left w:val="nil"/>
              <w:bottom w:val="single" w:sz="4" w:space="0" w:color="auto"/>
              <w:right w:val="single" w:sz="4" w:space="0" w:color="auto"/>
            </w:tcBorders>
            <w:shd w:val="clear" w:color="auto" w:fill="auto"/>
            <w:noWrap/>
            <w:vAlign w:val="center"/>
            <w:hideMark/>
          </w:tcPr>
          <w:p w14:paraId="7EFDAFB4"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84,81</w:t>
            </w:r>
          </w:p>
        </w:tc>
        <w:tc>
          <w:tcPr>
            <w:tcW w:w="1240" w:type="dxa"/>
            <w:tcBorders>
              <w:top w:val="nil"/>
              <w:left w:val="nil"/>
              <w:bottom w:val="single" w:sz="4" w:space="0" w:color="auto"/>
              <w:right w:val="single" w:sz="4" w:space="0" w:color="auto"/>
            </w:tcBorders>
            <w:shd w:val="clear" w:color="auto" w:fill="auto"/>
            <w:noWrap/>
            <w:vAlign w:val="center"/>
            <w:hideMark/>
          </w:tcPr>
          <w:p w14:paraId="654A804E"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291,84</w:t>
            </w:r>
          </w:p>
        </w:tc>
        <w:tc>
          <w:tcPr>
            <w:tcW w:w="669" w:type="dxa"/>
            <w:tcBorders>
              <w:top w:val="nil"/>
              <w:left w:val="nil"/>
              <w:bottom w:val="nil"/>
              <w:right w:val="nil"/>
            </w:tcBorders>
            <w:shd w:val="clear" w:color="auto" w:fill="auto"/>
            <w:noWrap/>
            <w:vAlign w:val="center"/>
            <w:hideMark/>
          </w:tcPr>
          <w:p w14:paraId="76290A2C"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63,8</w:t>
            </w:r>
          </w:p>
        </w:tc>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F783206"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96,40</w:t>
            </w:r>
          </w:p>
        </w:tc>
        <w:tc>
          <w:tcPr>
            <w:tcW w:w="641" w:type="dxa"/>
            <w:tcBorders>
              <w:top w:val="single" w:sz="8" w:space="0" w:color="auto"/>
              <w:left w:val="nil"/>
              <w:bottom w:val="single" w:sz="4" w:space="0" w:color="auto"/>
              <w:right w:val="double" w:sz="4" w:space="0" w:color="auto"/>
            </w:tcBorders>
            <w:shd w:val="clear" w:color="auto" w:fill="auto"/>
            <w:noWrap/>
            <w:vAlign w:val="center"/>
            <w:hideMark/>
          </w:tcPr>
          <w:p w14:paraId="6123C35B"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21,1</w:t>
            </w:r>
          </w:p>
        </w:tc>
      </w:tr>
      <w:tr w:rsidR="00D470B6" w:rsidRPr="00A53AD7" w14:paraId="4DFC7E97" w14:textId="77777777" w:rsidTr="00EF6CF9">
        <w:trPr>
          <w:trHeight w:hRule="exact" w:val="255"/>
        </w:trPr>
        <w:tc>
          <w:tcPr>
            <w:tcW w:w="2727" w:type="dxa"/>
            <w:tcBorders>
              <w:top w:val="single" w:sz="4" w:space="0" w:color="auto"/>
              <w:left w:val="double" w:sz="4" w:space="0" w:color="auto"/>
              <w:bottom w:val="single" w:sz="4" w:space="0" w:color="auto"/>
              <w:right w:val="nil"/>
            </w:tcBorders>
            <w:shd w:val="clear" w:color="auto" w:fill="auto"/>
            <w:noWrap/>
            <w:vAlign w:val="center"/>
            <w:hideMark/>
          </w:tcPr>
          <w:p w14:paraId="0B9A8C39" w14:textId="77777777" w:rsidR="006C5A01" w:rsidRPr="00A53AD7" w:rsidRDefault="006C5A01" w:rsidP="00EF6CF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Средства областного бюджета</w:t>
            </w:r>
          </w:p>
        </w:tc>
        <w:tc>
          <w:tcPr>
            <w:tcW w:w="1495" w:type="dxa"/>
            <w:tcBorders>
              <w:top w:val="single" w:sz="4" w:space="0" w:color="auto"/>
              <w:left w:val="single" w:sz="8" w:space="0" w:color="auto"/>
              <w:bottom w:val="single" w:sz="4" w:space="0" w:color="auto"/>
              <w:right w:val="nil"/>
            </w:tcBorders>
            <w:shd w:val="clear" w:color="auto" w:fill="auto"/>
            <w:noWrap/>
            <w:vAlign w:val="center"/>
            <w:hideMark/>
          </w:tcPr>
          <w:p w14:paraId="43020D12"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257,78</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BC4561"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203,84</w:t>
            </w:r>
          </w:p>
        </w:tc>
        <w:tc>
          <w:tcPr>
            <w:tcW w:w="666" w:type="dxa"/>
            <w:tcBorders>
              <w:top w:val="nil"/>
              <w:left w:val="nil"/>
              <w:bottom w:val="single" w:sz="4" w:space="0" w:color="auto"/>
              <w:right w:val="single" w:sz="4" w:space="0" w:color="auto"/>
            </w:tcBorders>
            <w:shd w:val="clear" w:color="auto" w:fill="auto"/>
            <w:noWrap/>
            <w:vAlign w:val="center"/>
            <w:hideMark/>
          </w:tcPr>
          <w:p w14:paraId="11BE6BEA"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79,07</w:t>
            </w:r>
          </w:p>
        </w:tc>
        <w:tc>
          <w:tcPr>
            <w:tcW w:w="1240" w:type="dxa"/>
            <w:tcBorders>
              <w:top w:val="nil"/>
              <w:left w:val="nil"/>
              <w:bottom w:val="single" w:sz="4" w:space="0" w:color="auto"/>
              <w:right w:val="single" w:sz="4" w:space="0" w:color="auto"/>
            </w:tcBorders>
            <w:shd w:val="clear" w:color="auto" w:fill="auto"/>
            <w:noWrap/>
            <w:vAlign w:val="center"/>
            <w:hideMark/>
          </w:tcPr>
          <w:p w14:paraId="513EA309"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107,44</w:t>
            </w:r>
          </w:p>
        </w:tc>
        <w:tc>
          <w:tcPr>
            <w:tcW w:w="669" w:type="dxa"/>
            <w:tcBorders>
              <w:top w:val="single" w:sz="4" w:space="0" w:color="auto"/>
              <w:left w:val="nil"/>
              <w:bottom w:val="single" w:sz="4" w:space="0" w:color="auto"/>
              <w:right w:val="nil"/>
            </w:tcBorders>
            <w:shd w:val="clear" w:color="auto" w:fill="auto"/>
            <w:noWrap/>
            <w:vAlign w:val="center"/>
            <w:hideMark/>
          </w:tcPr>
          <w:p w14:paraId="6B015E7E"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41,7</w:t>
            </w:r>
          </w:p>
        </w:tc>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E92F9E4"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96,40</w:t>
            </w:r>
          </w:p>
        </w:tc>
        <w:tc>
          <w:tcPr>
            <w:tcW w:w="641" w:type="dxa"/>
            <w:tcBorders>
              <w:top w:val="nil"/>
              <w:left w:val="nil"/>
              <w:bottom w:val="single" w:sz="4" w:space="0" w:color="auto"/>
              <w:right w:val="double" w:sz="4" w:space="0" w:color="auto"/>
            </w:tcBorders>
            <w:shd w:val="clear" w:color="auto" w:fill="auto"/>
            <w:noWrap/>
            <w:vAlign w:val="center"/>
            <w:hideMark/>
          </w:tcPr>
          <w:p w14:paraId="57896BE1"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37,4</w:t>
            </w:r>
          </w:p>
        </w:tc>
      </w:tr>
      <w:tr w:rsidR="006C5A01" w:rsidRPr="00A53AD7" w14:paraId="01B643F1" w14:textId="77777777" w:rsidTr="00EF6CF9">
        <w:trPr>
          <w:trHeight w:hRule="exact" w:val="255"/>
        </w:trPr>
        <w:tc>
          <w:tcPr>
            <w:tcW w:w="2727" w:type="dxa"/>
            <w:tcBorders>
              <w:top w:val="nil"/>
              <w:left w:val="double" w:sz="4" w:space="0" w:color="auto"/>
              <w:bottom w:val="double" w:sz="4" w:space="0" w:color="auto"/>
              <w:right w:val="nil"/>
            </w:tcBorders>
            <w:shd w:val="clear" w:color="auto" w:fill="auto"/>
            <w:noWrap/>
            <w:vAlign w:val="center"/>
            <w:hideMark/>
          </w:tcPr>
          <w:p w14:paraId="6A913740" w14:textId="77777777" w:rsidR="006C5A01" w:rsidRPr="00A53AD7" w:rsidRDefault="006C5A01" w:rsidP="00EF6CF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Средства бюджета г. Москвы</w:t>
            </w:r>
          </w:p>
        </w:tc>
        <w:tc>
          <w:tcPr>
            <w:tcW w:w="1495" w:type="dxa"/>
            <w:tcBorders>
              <w:top w:val="nil"/>
              <w:left w:val="single" w:sz="8" w:space="0" w:color="auto"/>
              <w:bottom w:val="double" w:sz="4" w:space="0" w:color="auto"/>
              <w:right w:val="nil"/>
            </w:tcBorders>
            <w:shd w:val="clear" w:color="auto" w:fill="auto"/>
            <w:noWrap/>
            <w:vAlign w:val="center"/>
            <w:hideMark/>
          </w:tcPr>
          <w:p w14:paraId="60018EA1"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200,00</w:t>
            </w:r>
          </w:p>
        </w:tc>
        <w:tc>
          <w:tcPr>
            <w:tcW w:w="960" w:type="dxa"/>
            <w:tcBorders>
              <w:top w:val="nil"/>
              <w:left w:val="single" w:sz="4" w:space="0" w:color="auto"/>
              <w:bottom w:val="double" w:sz="4" w:space="0" w:color="auto"/>
              <w:right w:val="single" w:sz="4" w:space="0" w:color="auto"/>
            </w:tcBorders>
            <w:shd w:val="clear" w:color="auto" w:fill="auto"/>
            <w:noWrap/>
            <w:vAlign w:val="center"/>
            <w:hideMark/>
          </w:tcPr>
          <w:p w14:paraId="36C9A469"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184,40</w:t>
            </w:r>
          </w:p>
        </w:tc>
        <w:tc>
          <w:tcPr>
            <w:tcW w:w="666" w:type="dxa"/>
            <w:tcBorders>
              <w:top w:val="nil"/>
              <w:left w:val="nil"/>
              <w:bottom w:val="double" w:sz="4" w:space="0" w:color="auto"/>
              <w:right w:val="single" w:sz="4" w:space="0" w:color="auto"/>
            </w:tcBorders>
            <w:shd w:val="clear" w:color="auto" w:fill="auto"/>
            <w:noWrap/>
            <w:vAlign w:val="center"/>
            <w:hideMark/>
          </w:tcPr>
          <w:p w14:paraId="70B51587"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92,20</w:t>
            </w:r>
          </w:p>
        </w:tc>
        <w:tc>
          <w:tcPr>
            <w:tcW w:w="1240" w:type="dxa"/>
            <w:tcBorders>
              <w:top w:val="nil"/>
              <w:left w:val="nil"/>
              <w:bottom w:val="double" w:sz="4" w:space="0" w:color="auto"/>
              <w:right w:val="single" w:sz="4" w:space="0" w:color="auto"/>
            </w:tcBorders>
            <w:shd w:val="clear" w:color="auto" w:fill="auto"/>
            <w:noWrap/>
            <w:vAlign w:val="center"/>
            <w:hideMark/>
          </w:tcPr>
          <w:p w14:paraId="6E07BD86"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184,40</w:t>
            </w:r>
          </w:p>
        </w:tc>
        <w:tc>
          <w:tcPr>
            <w:tcW w:w="669" w:type="dxa"/>
            <w:tcBorders>
              <w:top w:val="nil"/>
              <w:left w:val="nil"/>
              <w:bottom w:val="double" w:sz="4" w:space="0" w:color="auto"/>
              <w:right w:val="nil"/>
            </w:tcBorders>
            <w:shd w:val="clear" w:color="auto" w:fill="auto"/>
            <w:noWrap/>
            <w:vAlign w:val="center"/>
            <w:hideMark/>
          </w:tcPr>
          <w:p w14:paraId="39FEA3A8"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92,2</w:t>
            </w:r>
          </w:p>
        </w:tc>
        <w:tc>
          <w:tcPr>
            <w:tcW w:w="1060" w:type="dxa"/>
            <w:tcBorders>
              <w:top w:val="nil"/>
              <w:left w:val="single" w:sz="8" w:space="0" w:color="auto"/>
              <w:bottom w:val="double" w:sz="4" w:space="0" w:color="auto"/>
              <w:right w:val="single" w:sz="4" w:space="0" w:color="auto"/>
            </w:tcBorders>
            <w:shd w:val="clear" w:color="auto" w:fill="auto"/>
            <w:noWrap/>
            <w:vAlign w:val="center"/>
            <w:hideMark/>
          </w:tcPr>
          <w:p w14:paraId="78D9461C"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tc>
        <w:tc>
          <w:tcPr>
            <w:tcW w:w="641" w:type="dxa"/>
            <w:tcBorders>
              <w:top w:val="nil"/>
              <w:left w:val="nil"/>
              <w:bottom w:val="double" w:sz="4" w:space="0" w:color="auto"/>
              <w:right w:val="double" w:sz="4" w:space="0" w:color="auto"/>
            </w:tcBorders>
            <w:shd w:val="clear" w:color="auto" w:fill="auto"/>
            <w:noWrap/>
            <w:vAlign w:val="center"/>
            <w:hideMark/>
          </w:tcPr>
          <w:p w14:paraId="42639775" w14:textId="77777777" w:rsidR="006C5A01" w:rsidRPr="00A53AD7" w:rsidRDefault="006C5A01" w:rsidP="00EF6CF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bl>
    <w:p w14:paraId="48591F42" w14:textId="77777777" w:rsidR="006C5A01" w:rsidRPr="00A53AD7" w:rsidRDefault="006C5A01" w:rsidP="006C5A01">
      <w:pPr>
        <w:spacing w:after="0" w:line="240" w:lineRule="auto"/>
        <w:ind w:left="142" w:right="141" w:firstLine="851"/>
        <w:jc w:val="both"/>
        <w:rPr>
          <w:rFonts w:ascii="Times New Roman" w:hAnsi="Times New Roman"/>
          <w:sz w:val="28"/>
          <w:szCs w:val="28"/>
          <w:highlight w:val="cyan"/>
        </w:rPr>
      </w:pPr>
    </w:p>
    <w:p w14:paraId="5633AE25" w14:textId="77777777" w:rsidR="00675866" w:rsidRPr="00A53AD7" w:rsidRDefault="00675866" w:rsidP="00675866">
      <w:pPr>
        <w:spacing w:after="0" w:line="240" w:lineRule="auto"/>
        <w:ind w:right="141"/>
        <w:rPr>
          <w:rFonts w:ascii="Times New Roman" w:hAnsi="Times New Roman"/>
          <w:b/>
          <w:sz w:val="28"/>
          <w:szCs w:val="28"/>
        </w:rPr>
      </w:pPr>
      <w:r w:rsidRPr="00A53AD7">
        <w:rPr>
          <w:rFonts w:ascii="Times New Roman" w:hAnsi="Times New Roman"/>
          <w:b/>
          <w:sz w:val="28"/>
          <w:szCs w:val="28"/>
        </w:rPr>
        <w:t>Подпрограмма № 2 «Воспроизводство и использование природных ресурсов»</w:t>
      </w:r>
    </w:p>
    <w:p w14:paraId="17ACB3A3" w14:textId="77777777" w:rsidR="00675866" w:rsidRPr="00A53AD7" w:rsidRDefault="00675866" w:rsidP="00675866">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Для реализации мероприятий в программе (ред. от 24.12.2019 № 723-пп) были предусмотрены финансовые средства в размере 44,3 млн.руб., из них средства: федерального бюджета – 23,9 млн.руб., областного бюджета – 1,95 млн.руб., внебюджетных источников – 18,5 млн.руб., что соответствует (за счет средств федерального и областного бюджетов) бюджетным ассигнованиям, утвержденным областным законом на 2019 год (в ред. от 17.12.2019).</w:t>
      </w:r>
    </w:p>
    <w:p w14:paraId="577420CC" w14:textId="22651292" w:rsidR="00675866" w:rsidRPr="00A53AD7" w:rsidRDefault="00675866" w:rsidP="00675866">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мероприятий государственной программы, размещенному в КИАС Архангельской области за отчетный период по подпрограмме № 2:</w:t>
      </w:r>
    </w:p>
    <w:p w14:paraId="1D1B0EE0" w14:textId="77777777" w:rsidR="00675866" w:rsidRPr="00A53AD7" w:rsidRDefault="00675866" w:rsidP="00675866">
      <w:pPr>
        <w:pStyle w:val="a8"/>
        <w:numPr>
          <w:ilvl w:val="0"/>
          <w:numId w:val="21"/>
        </w:numPr>
        <w:ind w:left="0" w:firstLine="839"/>
        <w:jc w:val="both"/>
        <w:rPr>
          <w:sz w:val="28"/>
          <w:szCs w:val="28"/>
        </w:rPr>
      </w:pPr>
      <w:r w:rsidRPr="00A53AD7">
        <w:rPr>
          <w:sz w:val="28"/>
          <w:szCs w:val="28"/>
        </w:rPr>
        <w:t xml:space="preserve">израсходовано всего 53,3 млн.руб., из них средства: федерального бюджета – 23,7 млн.руб., областного бюджета – 1,95 млн.руб., внебюджетных источников – 32,7 млн.руб.; </w:t>
      </w:r>
    </w:p>
    <w:p w14:paraId="321655E8" w14:textId="77777777" w:rsidR="00675866" w:rsidRPr="00A53AD7" w:rsidRDefault="00675866" w:rsidP="00675866">
      <w:pPr>
        <w:pStyle w:val="a8"/>
        <w:numPr>
          <w:ilvl w:val="0"/>
          <w:numId w:val="21"/>
        </w:numPr>
        <w:ind w:left="0" w:firstLine="839"/>
        <w:jc w:val="both"/>
        <w:rPr>
          <w:sz w:val="28"/>
          <w:szCs w:val="28"/>
        </w:rPr>
      </w:pPr>
      <w:r w:rsidRPr="00A53AD7">
        <w:rPr>
          <w:sz w:val="28"/>
          <w:szCs w:val="28"/>
        </w:rPr>
        <w:t xml:space="preserve">не израсходованы средства федерального бюджета – 0,2 млн.руб. </w:t>
      </w:r>
    </w:p>
    <w:p w14:paraId="4EFE021A" w14:textId="01A37FE2" w:rsidR="00675866" w:rsidRPr="00A53AD7" w:rsidRDefault="00675866" w:rsidP="00675866">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рамках подпрограммы № 2 минлеспром АО осуществляло реализацию двух мероприятий</w:t>
      </w:r>
      <w:r w:rsidRPr="00A53AD7">
        <w:t xml:space="preserve"> </w:t>
      </w:r>
      <w:r w:rsidRPr="00A53AD7">
        <w:rPr>
          <w:rFonts w:ascii="Times New Roman" w:hAnsi="Times New Roman"/>
          <w:sz w:val="28"/>
          <w:szCs w:val="28"/>
        </w:rPr>
        <w:t>на общую сумму 25,8 млн.руб., исполнение составило 25,6 или 99,2 %.</w:t>
      </w:r>
    </w:p>
    <w:p w14:paraId="786DABCF" w14:textId="77777777" w:rsidR="00675866" w:rsidRPr="00A53AD7" w:rsidRDefault="00675866" w:rsidP="00675866">
      <w:pPr>
        <w:autoSpaceDE w:val="0"/>
        <w:autoSpaceDN w:val="0"/>
        <w:adjustRightInd w:val="0"/>
        <w:spacing w:after="0" w:line="240" w:lineRule="auto"/>
        <w:jc w:val="both"/>
        <w:rPr>
          <w:rFonts w:ascii="Times New Roman" w:hAnsi="Times New Roman"/>
          <w:b/>
          <w:strike/>
          <w:sz w:val="28"/>
          <w:szCs w:val="28"/>
        </w:rPr>
      </w:pPr>
    </w:p>
    <w:p w14:paraId="3F669623" w14:textId="77777777" w:rsidR="001D2B6D" w:rsidRPr="00A53AD7" w:rsidRDefault="001D2B6D" w:rsidP="001D2B6D">
      <w:pPr>
        <w:spacing w:after="0" w:line="240" w:lineRule="auto"/>
        <w:ind w:right="141"/>
        <w:rPr>
          <w:rFonts w:ascii="Times New Roman" w:hAnsi="Times New Roman"/>
          <w:b/>
          <w:sz w:val="28"/>
          <w:szCs w:val="28"/>
        </w:rPr>
      </w:pPr>
      <w:r w:rsidRPr="00A53AD7">
        <w:rPr>
          <w:rFonts w:ascii="Times New Roman" w:hAnsi="Times New Roman"/>
          <w:b/>
          <w:sz w:val="28"/>
          <w:szCs w:val="28"/>
        </w:rPr>
        <w:t>Подпрограмма № 3 «Развитие водохозяйственного комплекса Архангельской области»</w:t>
      </w:r>
    </w:p>
    <w:p w14:paraId="5D9A979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Для реализации мероприятий подпрограммы № 3 на 2019 год программой (ред. от 24.12.2019 № 723-пп) были предусмотрены финансовые средства в размере 283,2 млн.руб., из них средства: федерального бюджета – 125,3 млн.руб., областного бюджета – 157,9 млн.руб.</w:t>
      </w:r>
    </w:p>
    <w:p w14:paraId="0EB6D573"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Реализацию мероприятий осуществляли два министерства: природных ресурсов и лесопромышленного комплекса Архангельской области и министерство строительства и архитектуры Архангельской области.</w:t>
      </w:r>
    </w:p>
    <w:p w14:paraId="172762D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Распределение финансирования по исполнителям мероприятий подпрограммы № 3:</w:t>
      </w:r>
    </w:p>
    <w:p w14:paraId="5D077F36" w14:textId="77777777" w:rsidR="001D2B6D" w:rsidRPr="00A53AD7" w:rsidRDefault="001D2B6D" w:rsidP="001D2B6D">
      <w:pPr>
        <w:autoSpaceDE w:val="0"/>
        <w:autoSpaceDN w:val="0"/>
        <w:adjustRightInd w:val="0"/>
        <w:spacing w:after="0" w:line="240" w:lineRule="auto"/>
        <w:ind w:firstLine="851"/>
        <w:jc w:val="right"/>
        <w:rPr>
          <w:rFonts w:ascii="Times New Roman" w:hAnsi="Times New Roman"/>
          <w:sz w:val="24"/>
          <w:szCs w:val="24"/>
          <w:highlight w:val="cyan"/>
        </w:rPr>
      </w:pPr>
      <w:r w:rsidRPr="00A53AD7">
        <w:rPr>
          <w:rFonts w:ascii="Times New Roman" w:hAnsi="Times New Roman"/>
          <w:sz w:val="24"/>
          <w:szCs w:val="24"/>
        </w:rPr>
        <w:t>млн.руб.</w:t>
      </w:r>
    </w:p>
    <w:tbl>
      <w:tblPr>
        <w:tblW w:w="9356" w:type="dxa"/>
        <w:tblInd w:w="-10" w:type="dxa"/>
        <w:tblLook w:val="04A0" w:firstRow="1" w:lastRow="0" w:firstColumn="1" w:lastColumn="0" w:noHBand="0" w:noVBand="1"/>
      </w:tblPr>
      <w:tblGrid>
        <w:gridCol w:w="4977"/>
        <w:gridCol w:w="2835"/>
        <w:gridCol w:w="1544"/>
      </w:tblGrid>
      <w:tr w:rsidR="00D470B6" w:rsidRPr="00A53AD7" w14:paraId="5BEFCDFA" w14:textId="77777777" w:rsidTr="006138C0">
        <w:trPr>
          <w:trHeight w:val="121"/>
        </w:trPr>
        <w:tc>
          <w:tcPr>
            <w:tcW w:w="4977" w:type="dxa"/>
            <w:vMerge w:val="restart"/>
            <w:tcBorders>
              <w:top w:val="double" w:sz="4" w:space="0" w:color="auto"/>
              <w:left w:val="double" w:sz="4" w:space="0" w:color="auto"/>
              <w:bottom w:val="single" w:sz="8" w:space="0" w:color="000000"/>
              <w:right w:val="nil"/>
            </w:tcBorders>
            <w:shd w:val="clear" w:color="auto" w:fill="auto"/>
            <w:vAlign w:val="center"/>
            <w:hideMark/>
          </w:tcPr>
          <w:p w14:paraId="03A821CC" w14:textId="77777777" w:rsidR="001D2B6D" w:rsidRPr="00A53AD7" w:rsidRDefault="001D2B6D" w:rsidP="001D2B6D">
            <w:pPr>
              <w:spacing w:after="0" w:line="240" w:lineRule="auto"/>
              <w:ind w:left="142" w:right="141"/>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Исполнитель 5 мероприятий - министерство природных ресурсов и лесопромышленного комплекса Архангельской области </w:t>
            </w:r>
          </w:p>
        </w:tc>
        <w:tc>
          <w:tcPr>
            <w:tcW w:w="2835" w:type="dxa"/>
            <w:tcBorders>
              <w:top w:val="double" w:sz="4" w:space="0" w:color="auto"/>
              <w:left w:val="single" w:sz="8" w:space="0" w:color="auto"/>
              <w:bottom w:val="nil"/>
              <w:right w:val="single" w:sz="4" w:space="0" w:color="auto"/>
            </w:tcBorders>
            <w:shd w:val="clear" w:color="auto" w:fill="auto"/>
            <w:vAlign w:val="center"/>
            <w:hideMark/>
          </w:tcPr>
          <w:p w14:paraId="64254727"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1544" w:type="dxa"/>
            <w:vMerge w:val="restart"/>
            <w:tcBorders>
              <w:top w:val="double" w:sz="4" w:space="0" w:color="auto"/>
              <w:left w:val="single" w:sz="4" w:space="0" w:color="auto"/>
              <w:bottom w:val="single" w:sz="4" w:space="0" w:color="000000"/>
              <w:right w:val="double" w:sz="4" w:space="0" w:color="auto"/>
            </w:tcBorders>
            <w:shd w:val="clear" w:color="auto" w:fill="auto"/>
            <w:vAlign w:val="center"/>
            <w:hideMark/>
          </w:tcPr>
          <w:p w14:paraId="05279E47" w14:textId="77777777" w:rsidR="001D2B6D" w:rsidRPr="00A53AD7" w:rsidRDefault="001D2B6D" w:rsidP="001D2B6D">
            <w:pPr>
              <w:spacing w:after="0" w:line="240" w:lineRule="auto"/>
              <w:ind w:left="142" w:right="141"/>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35,4 </w:t>
            </w:r>
          </w:p>
        </w:tc>
      </w:tr>
      <w:tr w:rsidR="00D470B6" w:rsidRPr="00A53AD7" w14:paraId="2D703251" w14:textId="77777777" w:rsidTr="001D2B6D">
        <w:trPr>
          <w:trHeight w:val="119"/>
        </w:trPr>
        <w:tc>
          <w:tcPr>
            <w:tcW w:w="4977" w:type="dxa"/>
            <w:vMerge/>
            <w:tcBorders>
              <w:top w:val="single" w:sz="8" w:space="0" w:color="auto"/>
              <w:left w:val="double" w:sz="4" w:space="0" w:color="auto"/>
              <w:bottom w:val="single" w:sz="8" w:space="0" w:color="000000"/>
              <w:right w:val="nil"/>
            </w:tcBorders>
            <w:vAlign w:val="center"/>
            <w:hideMark/>
          </w:tcPr>
          <w:p w14:paraId="19BDD4E7"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nil"/>
              <w:left w:val="single" w:sz="8" w:space="0" w:color="auto"/>
              <w:bottom w:val="single" w:sz="4" w:space="0" w:color="auto"/>
              <w:right w:val="single" w:sz="4" w:space="0" w:color="auto"/>
            </w:tcBorders>
            <w:shd w:val="clear" w:color="auto" w:fill="auto"/>
            <w:vAlign w:val="center"/>
            <w:hideMark/>
          </w:tcPr>
          <w:p w14:paraId="229D56AB"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544" w:type="dxa"/>
            <w:vMerge/>
            <w:tcBorders>
              <w:top w:val="single" w:sz="8" w:space="0" w:color="auto"/>
              <w:left w:val="single" w:sz="4" w:space="0" w:color="auto"/>
              <w:bottom w:val="single" w:sz="4" w:space="0" w:color="000000"/>
              <w:right w:val="double" w:sz="4" w:space="0" w:color="auto"/>
            </w:tcBorders>
            <w:vAlign w:val="center"/>
            <w:hideMark/>
          </w:tcPr>
          <w:p w14:paraId="0912B32B" w14:textId="77777777" w:rsidR="001D2B6D" w:rsidRPr="00A53AD7" w:rsidRDefault="001D2B6D" w:rsidP="001D2B6D">
            <w:pPr>
              <w:spacing w:after="0" w:line="240" w:lineRule="auto"/>
              <w:ind w:left="142" w:right="141"/>
              <w:jc w:val="right"/>
              <w:rPr>
                <w:rFonts w:ascii="Times New Roman" w:eastAsia="Times New Roman" w:hAnsi="Times New Roman"/>
                <w:b/>
                <w:bCs/>
                <w:sz w:val="20"/>
                <w:szCs w:val="20"/>
                <w:lang w:eastAsia="ru-RU"/>
              </w:rPr>
            </w:pPr>
          </w:p>
        </w:tc>
      </w:tr>
      <w:tr w:rsidR="00D470B6" w:rsidRPr="00A53AD7" w14:paraId="686C31CF" w14:textId="77777777" w:rsidTr="001D2B6D">
        <w:trPr>
          <w:trHeight w:val="216"/>
        </w:trPr>
        <w:tc>
          <w:tcPr>
            <w:tcW w:w="4977" w:type="dxa"/>
            <w:vMerge/>
            <w:tcBorders>
              <w:top w:val="single" w:sz="8" w:space="0" w:color="auto"/>
              <w:left w:val="double" w:sz="4" w:space="0" w:color="auto"/>
              <w:bottom w:val="single" w:sz="8" w:space="0" w:color="000000"/>
              <w:right w:val="nil"/>
            </w:tcBorders>
            <w:vAlign w:val="center"/>
            <w:hideMark/>
          </w:tcPr>
          <w:p w14:paraId="44472205"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77F0F66D"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федеральный бюджет</w:t>
            </w:r>
          </w:p>
        </w:tc>
        <w:tc>
          <w:tcPr>
            <w:tcW w:w="1544" w:type="dxa"/>
            <w:tcBorders>
              <w:top w:val="nil"/>
              <w:left w:val="nil"/>
              <w:bottom w:val="single" w:sz="4" w:space="0" w:color="auto"/>
              <w:right w:val="double" w:sz="4" w:space="0" w:color="auto"/>
            </w:tcBorders>
            <w:shd w:val="clear" w:color="auto" w:fill="auto"/>
            <w:vAlign w:val="center"/>
            <w:hideMark/>
          </w:tcPr>
          <w:p w14:paraId="722AA0EA"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11,0.</w:t>
            </w:r>
          </w:p>
        </w:tc>
      </w:tr>
      <w:tr w:rsidR="00D470B6" w:rsidRPr="00A53AD7" w14:paraId="728840F0" w14:textId="77777777" w:rsidTr="001D2B6D">
        <w:trPr>
          <w:trHeight w:val="248"/>
        </w:trPr>
        <w:tc>
          <w:tcPr>
            <w:tcW w:w="4977" w:type="dxa"/>
            <w:vMerge/>
            <w:tcBorders>
              <w:top w:val="single" w:sz="8" w:space="0" w:color="auto"/>
              <w:left w:val="double" w:sz="4" w:space="0" w:color="auto"/>
              <w:bottom w:val="single" w:sz="4" w:space="0" w:color="auto"/>
              <w:right w:val="nil"/>
            </w:tcBorders>
            <w:vAlign w:val="center"/>
            <w:hideMark/>
          </w:tcPr>
          <w:p w14:paraId="19BFB555"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nil"/>
              <w:left w:val="single" w:sz="8" w:space="0" w:color="auto"/>
              <w:bottom w:val="single" w:sz="4" w:space="0" w:color="auto"/>
              <w:right w:val="single" w:sz="4" w:space="0" w:color="auto"/>
            </w:tcBorders>
            <w:shd w:val="clear" w:color="auto" w:fill="auto"/>
            <w:vAlign w:val="center"/>
            <w:hideMark/>
          </w:tcPr>
          <w:p w14:paraId="6A9C3D44"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областной бюджет</w:t>
            </w:r>
          </w:p>
        </w:tc>
        <w:tc>
          <w:tcPr>
            <w:tcW w:w="1544" w:type="dxa"/>
            <w:tcBorders>
              <w:top w:val="nil"/>
              <w:left w:val="nil"/>
              <w:bottom w:val="single" w:sz="4" w:space="0" w:color="auto"/>
              <w:right w:val="double" w:sz="4" w:space="0" w:color="auto"/>
            </w:tcBorders>
            <w:shd w:val="clear" w:color="auto" w:fill="auto"/>
            <w:vAlign w:val="center"/>
            <w:hideMark/>
          </w:tcPr>
          <w:p w14:paraId="06E74D2C"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24,4.</w:t>
            </w:r>
          </w:p>
        </w:tc>
      </w:tr>
      <w:tr w:rsidR="00D470B6" w:rsidRPr="00A53AD7" w14:paraId="05A16C75" w14:textId="77777777" w:rsidTr="006138C0">
        <w:trPr>
          <w:trHeight w:val="156"/>
        </w:trPr>
        <w:tc>
          <w:tcPr>
            <w:tcW w:w="4977" w:type="dxa"/>
            <w:vMerge w:val="restart"/>
            <w:tcBorders>
              <w:top w:val="single" w:sz="4" w:space="0" w:color="auto"/>
              <w:left w:val="double" w:sz="4" w:space="0" w:color="auto"/>
              <w:bottom w:val="single" w:sz="8" w:space="0" w:color="000000"/>
              <w:right w:val="nil"/>
            </w:tcBorders>
            <w:shd w:val="clear" w:color="auto" w:fill="auto"/>
            <w:vAlign w:val="center"/>
            <w:hideMark/>
          </w:tcPr>
          <w:p w14:paraId="70301A9D" w14:textId="77777777" w:rsidR="001D2B6D" w:rsidRPr="00A53AD7" w:rsidRDefault="001D2B6D" w:rsidP="001D2B6D">
            <w:pPr>
              <w:spacing w:after="0" w:line="240" w:lineRule="auto"/>
              <w:ind w:left="142" w:right="141"/>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Исполнитель 3 мероприятий на одном объекте - министерство строительства и архитектуры Архангельской области</w:t>
            </w:r>
          </w:p>
        </w:tc>
        <w:tc>
          <w:tcPr>
            <w:tcW w:w="2835" w:type="dxa"/>
            <w:tcBorders>
              <w:top w:val="single" w:sz="4" w:space="0" w:color="auto"/>
              <w:left w:val="single" w:sz="8" w:space="0" w:color="auto"/>
              <w:bottom w:val="nil"/>
              <w:right w:val="single" w:sz="4" w:space="0" w:color="auto"/>
            </w:tcBorders>
            <w:shd w:val="clear" w:color="auto" w:fill="auto"/>
            <w:vAlign w:val="center"/>
            <w:hideMark/>
          </w:tcPr>
          <w:p w14:paraId="0079FABE"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1544" w:type="dxa"/>
            <w:vMerge w:val="restart"/>
            <w:tcBorders>
              <w:top w:val="single" w:sz="4" w:space="0" w:color="auto"/>
              <w:left w:val="single" w:sz="4" w:space="0" w:color="auto"/>
              <w:bottom w:val="single" w:sz="4" w:space="0" w:color="000000"/>
              <w:right w:val="double" w:sz="4" w:space="0" w:color="auto"/>
            </w:tcBorders>
            <w:shd w:val="clear" w:color="auto" w:fill="auto"/>
            <w:vAlign w:val="center"/>
            <w:hideMark/>
          </w:tcPr>
          <w:p w14:paraId="6294E852" w14:textId="77777777" w:rsidR="001D2B6D" w:rsidRPr="00A53AD7" w:rsidRDefault="001D2B6D" w:rsidP="001D2B6D">
            <w:pPr>
              <w:spacing w:after="0" w:line="240" w:lineRule="auto"/>
              <w:ind w:left="142" w:right="141"/>
              <w:jc w:val="right"/>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 xml:space="preserve">247,8 </w:t>
            </w:r>
          </w:p>
        </w:tc>
      </w:tr>
      <w:tr w:rsidR="00D470B6" w:rsidRPr="00A53AD7" w14:paraId="49902439" w14:textId="77777777" w:rsidTr="001D2B6D">
        <w:trPr>
          <w:trHeight w:val="93"/>
        </w:trPr>
        <w:tc>
          <w:tcPr>
            <w:tcW w:w="4977" w:type="dxa"/>
            <w:vMerge/>
            <w:tcBorders>
              <w:top w:val="nil"/>
              <w:left w:val="double" w:sz="4" w:space="0" w:color="auto"/>
              <w:bottom w:val="single" w:sz="8" w:space="0" w:color="000000"/>
              <w:right w:val="nil"/>
            </w:tcBorders>
            <w:vAlign w:val="center"/>
            <w:hideMark/>
          </w:tcPr>
          <w:p w14:paraId="1CCA7B34"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nil"/>
              <w:left w:val="single" w:sz="8" w:space="0" w:color="auto"/>
              <w:bottom w:val="single" w:sz="4" w:space="0" w:color="auto"/>
              <w:right w:val="single" w:sz="4" w:space="0" w:color="auto"/>
            </w:tcBorders>
            <w:shd w:val="clear" w:color="auto" w:fill="auto"/>
            <w:vAlign w:val="center"/>
            <w:hideMark/>
          </w:tcPr>
          <w:p w14:paraId="1EE5444C"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544" w:type="dxa"/>
            <w:vMerge/>
            <w:tcBorders>
              <w:top w:val="nil"/>
              <w:left w:val="single" w:sz="4" w:space="0" w:color="auto"/>
              <w:bottom w:val="single" w:sz="4" w:space="0" w:color="000000"/>
              <w:right w:val="double" w:sz="4" w:space="0" w:color="auto"/>
            </w:tcBorders>
            <w:vAlign w:val="center"/>
            <w:hideMark/>
          </w:tcPr>
          <w:p w14:paraId="5C79D93F" w14:textId="77777777" w:rsidR="001D2B6D" w:rsidRPr="00A53AD7" w:rsidRDefault="001D2B6D" w:rsidP="001D2B6D">
            <w:pPr>
              <w:spacing w:after="0" w:line="240" w:lineRule="auto"/>
              <w:ind w:left="142" w:right="141"/>
              <w:jc w:val="right"/>
              <w:rPr>
                <w:rFonts w:ascii="Times New Roman" w:eastAsia="Times New Roman" w:hAnsi="Times New Roman"/>
                <w:bCs/>
                <w:sz w:val="20"/>
                <w:szCs w:val="20"/>
                <w:lang w:eastAsia="ru-RU"/>
              </w:rPr>
            </w:pPr>
          </w:p>
        </w:tc>
      </w:tr>
      <w:tr w:rsidR="00D470B6" w:rsidRPr="00A53AD7" w14:paraId="7DB485B0" w14:textId="77777777" w:rsidTr="001D2B6D">
        <w:trPr>
          <w:trHeight w:val="173"/>
        </w:trPr>
        <w:tc>
          <w:tcPr>
            <w:tcW w:w="4977" w:type="dxa"/>
            <w:vMerge/>
            <w:tcBorders>
              <w:top w:val="nil"/>
              <w:left w:val="double" w:sz="4" w:space="0" w:color="auto"/>
              <w:bottom w:val="single" w:sz="8" w:space="0" w:color="000000"/>
              <w:right w:val="nil"/>
            </w:tcBorders>
            <w:vAlign w:val="center"/>
            <w:hideMark/>
          </w:tcPr>
          <w:p w14:paraId="39CA6C7C"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5B0995B"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федеральный бюджет</w:t>
            </w:r>
          </w:p>
        </w:tc>
        <w:tc>
          <w:tcPr>
            <w:tcW w:w="1544" w:type="dxa"/>
            <w:tcBorders>
              <w:top w:val="nil"/>
              <w:left w:val="nil"/>
              <w:bottom w:val="single" w:sz="4" w:space="0" w:color="auto"/>
              <w:right w:val="double" w:sz="4" w:space="0" w:color="auto"/>
            </w:tcBorders>
            <w:shd w:val="clear" w:color="auto" w:fill="auto"/>
            <w:vAlign w:val="center"/>
            <w:hideMark/>
          </w:tcPr>
          <w:p w14:paraId="02F7F667"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114,3 </w:t>
            </w:r>
          </w:p>
        </w:tc>
      </w:tr>
      <w:tr w:rsidR="00D470B6" w:rsidRPr="00A53AD7" w14:paraId="3C9AEA99" w14:textId="77777777" w:rsidTr="001D2B6D">
        <w:trPr>
          <w:trHeight w:val="206"/>
        </w:trPr>
        <w:tc>
          <w:tcPr>
            <w:tcW w:w="4977" w:type="dxa"/>
            <w:vMerge/>
            <w:tcBorders>
              <w:top w:val="nil"/>
              <w:left w:val="double" w:sz="4" w:space="0" w:color="auto"/>
              <w:bottom w:val="single" w:sz="8" w:space="0" w:color="000000"/>
              <w:right w:val="nil"/>
            </w:tcBorders>
            <w:vAlign w:val="center"/>
            <w:hideMark/>
          </w:tcPr>
          <w:p w14:paraId="11799A98" w14:textId="77777777" w:rsidR="001D2B6D" w:rsidRPr="00A53AD7" w:rsidRDefault="001D2B6D" w:rsidP="001D2B6D">
            <w:pPr>
              <w:spacing w:after="0" w:line="240" w:lineRule="auto"/>
              <w:ind w:left="142" w:right="141"/>
              <w:rPr>
                <w:rFonts w:ascii="Times New Roman" w:eastAsia="Times New Roman" w:hAnsi="Times New Roman"/>
                <w:sz w:val="24"/>
                <w:szCs w:val="24"/>
                <w:lang w:eastAsia="ru-RU"/>
              </w:rPr>
            </w:pPr>
          </w:p>
        </w:tc>
        <w:tc>
          <w:tcPr>
            <w:tcW w:w="2835"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012C61C2"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областной бюджет</w:t>
            </w:r>
          </w:p>
        </w:tc>
        <w:tc>
          <w:tcPr>
            <w:tcW w:w="1544" w:type="dxa"/>
            <w:tcBorders>
              <w:top w:val="single" w:sz="4" w:space="0" w:color="auto"/>
              <w:left w:val="nil"/>
              <w:bottom w:val="single" w:sz="8" w:space="0" w:color="auto"/>
              <w:right w:val="double" w:sz="4" w:space="0" w:color="auto"/>
            </w:tcBorders>
            <w:shd w:val="clear" w:color="auto" w:fill="auto"/>
            <w:vAlign w:val="center"/>
            <w:hideMark/>
          </w:tcPr>
          <w:p w14:paraId="1EAF0D38"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133,5 </w:t>
            </w:r>
          </w:p>
        </w:tc>
      </w:tr>
      <w:tr w:rsidR="00D470B6" w:rsidRPr="00A53AD7" w14:paraId="033D9143" w14:textId="77777777" w:rsidTr="00675866">
        <w:trPr>
          <w:trHeight w:val="48"/>
        </w:trPr>
        <w:tc>
          <w:tcPr>
            <w:tcW w:w="4977" w:type="dxa"/>
            <w:vMerge w:val="restart"/>
            <w:tcBorders>
              <w:top w:val="nil"/>
              <w:left w:val="double" w:sz="4" w:space="0" w:color="auto"/>
              <w:bottom w:val="single" w:sz="8" w:space="0" w:color="000000"/>
              <w:right w:val="single" w:sz="4" w:space="0" w:color="auto"/>
            </w:tcBorders>
            <w:shd w:val="clear" w:color="auto" w:fill="auto"/>
            <w:vAlign w:val="center"/>
            <w:hideMark/>
          </w:tcPr>
          <w:p w14:paraId="1E26B8FA" w14:textId="77777777" w:rsidR="001D2B6D" w:rsidRPr="00A53AD7" w:rsidRDefault="001D2B6D" w:rsidP="001D2B6D">
            <w:pPr>
              <w:spacing w:after="0" w:line="240" w:lineRule="auto"/>
              <w:ind w:left="142" w:right="141"/>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Итого по подпрограмме № 3</w:t>
            </w:r>
          </w:p>
        </w:tc>
        <w:tc>
          <w:tcPr>
            <w:tcW w:w="2835" w:type="dxa"/>
            <w:tcBorders>
              <w:top w:val="nil"/>
              <w:left w:val="single" w:sz="8" w:space="0" w:color="auto"/>
              <w:bottom w:val="nil"/>
              <w:right w:val="single" w:sz="4" w:space="0" w:color="auto"/>
            </w:tcBorders>
            <w:shd w:val="clear" w:color="auto" w:fill="auto"/>
            <w:vAlign w:val="center"/>
            <w:hideMark/>
          </w:tcPr>
          <w:p w14:paraId="4E931241"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1544" w:type="dxa"/>
            <w:vMerge w:val="restart"/>
            <w:tcBorders>
              <w:top w:val="nil"/>
              <w:left w:val="single" w:sz="4" w:space="0" w:color="auto"/>
              <w:bottom w:val="single" w:sz="4" w:space="0" w:color="000000"/>
              <w:right w:val="double" w:sz="4" w:space="0" w:color="auto"/>
            </w:tcBorders>
            <w:shd w:val="clear" w:color="auto" w:fill="auto"/>
            <w:vAlign w:val="center"/>
            <w:hideMark/>
          </w:tcPr>
          <w:p w14:paraId="7B3033BB" w14:textId="77777777" w:rsidR="001D2B6D" w:rsidRPr="00A53AD7" w:rsidRDefault="001D2B6D" w:rsidP="001D2B6D">
            <w:pPr>
              <w:spacing w:after="0" w:line="240" w:lineRule="auto"/>
              <w:ind w:left="142" w:right="141"/>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283,2 </w:t>
            </w:r>
          </w:p>
        </w:tc>
      </w:tr>
      <w:tr w:rsidR="00D470B6" w:rsidRPr="00A53AD7" w14:paraId="7DD9DB36" w14:textId="77777777" w:rsidTr="001D2B6D">
        <w:trPr>
          <w:trHeight w:val="60"/>
        </w:trPr>
        <w:tc>
          <w:tcPr>
            <w:tcW w:w="4977" w:type="dxa"/>
            <w:vMerge/>
            <w:tcBorders>
              <w:top w:val="nil"/>
              <w:left w:val="double" w:sz="4" w:space="0" w:color="auto"/>
              <w:bottom w:val="single" w:sz="8" w:space="0" w:color="000000"/>
              <w:right w:val="single" w:sz="4" w:space="0" w:color="auto"/>
            </w:tcBorders>
            <w:vAlign w:val="center"/>
            <w:hideMark/>
          </w:tcPr>
          <w:p w14:paraId="6BFA626C"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2835" w:type="dxa"/>
            <w:tcBorders>
              <w:top w:val="nil"/>
              <w:left w:val="single" w:sz="8" w:space="0" w:color="auto"/>
              <w:bottom w:val="nil"/>
              <w:right w:val="single" w:sz="4" w:space="0" w:color="auto"/>
            </w:tcBorders>
            <w:shd w:val="clear" w:color="auto" w:fill="auto"/>
            <w:vAlign w:val="center"/>
            <w:hideMark/>
          </w:tcPr>
          <w:p w14:paraId="7F9EB415" w14:textId="77777777" w:rsidR="001D2B6D" w:rsidRPr="00A53AD7" w:rsidRDefault="001D2B6D" w:rsidP="001D2B6D">
            <w:pPr>
              <w:spacing w:after="0" w:line="240" w:lineRule="auto"/>
              <w:ind w:left="142" w:right="141"/>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544" w:type="dxa"/>
            <w:vMerge/>
            <w:tcBorders>
              <w:top w:val="nil"/>
              <w:left w:val="single" w:sz="4" w:space="0" w:color="auto"/>
              <w:bottom w:val="single" w:sz="4" w:space="0" w:color="000000"/>
              <w:right w:val="double" w:sz="4" w:space="0" w:color="auto"/>
            </w:tcBorders>
            <w:vAlign w:val="center"/>
            <w:hideMark/>
          </w:tcPr>
          <w:p w14:paraId="066F7B4D" w14:textId="77777777" w:rsidR="001D2B6D" w:rsidRPr="00A53AD7" w:rsidRDefault="001D2B6D" w:rsidP="001D2B6D">
            <w:pPr>
              <w:spacing w:after="0" w:line="240" w:lineRule="auto"/>
              <w:ind w:left="142" w:right="141"/>
              <w:jc w:val="right"/>
              <w:rPr>
                <w:rFonts w:ascii="Times New Roman" w:eastAsia="Times New Roman" w:hAnsi="Times New Roman"/>
                <w:bCs/>
                <w:sz w:val="20"/>
                <w:szCs w:val="20"/>
                <w:lang w:eastAsia="ru-RU"/>
              </w:rPr>
            </w:pPr>
          </w:p>
        </w:tc>
      </w:tr>
      <w:tr w:rsidR="00D470B6" w:rsidRPr="00A53AD7" w14:paraId="28BF1EB8" w14:textId="77777777" w:rsidTr="001D2B6D">
        <w:trPr>
          <w:trHeight w:val="40"/>
        </w:trPr>
        <w:tc>
          <w:tcPr>
            <w:tcW w:w="4977" w:type="dxa"/>
            <w:vMerge/>
            <w:tcBorders>
              <w:top w:val="nil"/>
              <w:left w:val="double" w:sz="4" w:space="0" w:color="auto"/>
              <w:bottom w:val="single" w:sz="8" w:space="0" w:color="000000"/>
              <w:right w:val="single" w:sz="4" w:space="0" w:color="auto"/>
            </w:tcBorders>
            <w:vAlign w:val="center"/>
            <w:hideMark/>
          </w:tcPr>
          <w:p w14:paraId="29BBA732"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F09F751"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федеральный бюджет</w:t>
            </w:r>
          </w:p>
        </w:tc>
        <w:tc>
          <w:tcPr>
            <w:tcW w:w="1544" w:type="dxa"/>
            <w:tcBorders>
              <w:top w:val="nil"/>
              <w:left w:val="nil"/>
              <w:bottom w:val="single" w:sz="4" w:space="0" w:color="auto"/>
              <w:right w:val="double" w:sz="4" w:space="0" w:color="auto"/>
            </w:tcBorders>
            <w:shd w:val="clear" w:color="auto" w:fill="auto"/>
            <w:vAlign w:val="center"/>
            <w:hideMark/>
          </w:tcPr>
          <w:p w14:paraId="5C61A335"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125,3 </w:t>
            </w:r>
          </w:p>
        </w:tc>
      </w:tr>
      <w:tr w:rsidR="001D2B6D" w:rsidRPr="00A53AD7" w14:paraId="311E0B66" w14:textId="77777777" w:rsidTr="001D2B6D">
        <w:trPr>
          <w:trHeight w:val="178"/>
        </w:trPr>
        <w:tc>
          <w:tcPr>
            <w:tcW w:w="4977" w:type="dxa"/>
            <w:vMerge/>
            <w:tcBorders>
              <w:top w:val="nil"/>
              <w:left w:val="double" w:sz="4" w:space="0" w:color="auto"/>
              <w:bottom w:val="double" w:sz="4" w:space="0" w:color="auto"/>
              <w:right w:val="single" w:sz="4" w:space="0" w:color="auto"/>
            </w:tcBorders>
            <w:vAlign w:val="center"/>
            <w:hideMark/>
          </w:tcPr>
          <w:p w14:paraId="470A32FD"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p>
        </w:tc>
        <w:tc>
          <w:tcPr>
            <w:tcW w:w="2835" w:type="dxa"/>
            <w:tcBorders>
              <w:top w:val="nil"/>
              <w:left w:val="nil"/>
              <w:bottom w:val="double" w:sz="4" w:space="0" w:color="auto"/>
              <w:right w:val="single" w:sz="4" w:space="0" w:color="auto"/>
            </w:tcBorders>
            <w:shd w:val="clear" w:color="auto" w:fill="auto"/>
            <w:vAlign w:val="center"/>
            <w:hideMark/>
          </w:tcPr>
          <w:p w14:paraId="6D52EBF3" w14:textId="77777777" w:rsidR="001D2B6D" w:rsidRPr="00A53AD7" w:rsidRDefault="001D2B6D" w:rsidP="001D2B6D">
            <w:pPr>
              <w:spacing w:after="0" w:line="240" w:lineRule="auto"/>
              <w:ind w:left="142" w:right="141"/>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областной бюджет</w:t>
            </w:r>
          </w:p>
        </w:tc>
        <w:tc>
          <w:tcPr>
            <w:tcW w:w="1544" w:type="dxa"/>
            <w:tcBorders>
              <w:top w:val="nil"/>
              <w:left w:val="nil"/>
              <w:bottom w:val="double" w:sz="4" w:space="0" w:color="auto"/>
              <w:right w:val="double" w:sz="4" w:space="0" w:color="auto"/>
            </w:tcBorders>
            <w:shd w:val="clear" w:color="auto" w:fill="auto"/>
            <w:vAlign w:val="center"/>
            <w:hideMark/>
          </w:tcPr>
          <w:p w14:paraId="2132B387" w14:textId="77777777" w:rsidR="001D2B6D" w:rsidRPr="00A53AD7" w:rsidRDefault="001D2B6D" w:rsidP="001D2B6D">
            <w:pPr>
              <w:spacing w:after="0" w:line="240" w:lineRule="auto"/>
              <w:ind w:left="142" w:right="141"/>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157,9 </w:t>
            </w:r>
          </w:p>
        </w:tc>
      </w:tr>
    </w:tbl>
    <w:p w14:paraId="68A81B3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7C2D0C4E" w14:textId="2FF44779" w:rsidR="00675866" w:rsidRPr="00A53AD7" w:rsidRDefault="00675866" w:rsidP="00675866">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мероприятий государственной программы, размещенному в КИАС Архангельской области за отчетный период по подпрограмме № 3:</w:t>
      </w:r>
    </w:p>
    <w:p w14:paraId="0F3D6A69"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предусмотрены финансовые средства в размере 279,7 млн.руб., из них средства: федерального бюджета – 125,3 млн.руб., областного бюджета – 154,4 млн.руб.</w:t>
      </w:r>
    </w:p>
    <w:p w14:paraId="4227EB0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отклонение по финансированию подпрограммы № 3 в размере 3,5 млн.руб. (283,2-279,7) обусловлено, тем, что в отчете учтены изменения программы в реакции от 21.02.2020 № 90-пп по мероприятиям, которые выполняет министерство строительства и архитектуры:</w:t>
      </w:r>
    </w:p>
    <w:p w14:paraId="10703DD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2.2.2 Реализация проекта «Укрепление правого берега реки Северная Двина в Соломбальском территориальном округе г. Архангельска на участке от ул. Маяковского до ул. Кедрова» (I этап, 1 подэтап; I этап, 2 подэтап и II этап) на сумму 0,8 млн.руб.;</w:t>
      </w:r>
    </w:p>
    <w:p w14:paraId="3D003F5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2.7 Осуществление функций авторского и археологического надзоров, корректировка проектно-сметной документации и проведение проверки достоверности определения сметной стоимости по объекту «Укрепление правого берега реки Северная Двина в Соломбальском территориальном округе г. Архангельска…» на сумму 2,7 млн.руб.</w:t>
      </w:r>
    </w:p>
    <w:p w14:paraId="4D8A99DD" w14:textId="77777777" w:rsidR="001D2B6D" w:rsidRPr="00A53AD7" w:rsidRDefault="001D2B6D" w:rsidP="001D2B6D">
      <w:pPr>
        <w:spacing w:after="0" w:line="240" w:lineRule="auto"/>
        <w:ind w:right="141"/>
        <w:jc w:val="both"/>
        <w:rPr>
          <w:rFonts w:ascii="Times New Roman" w:hAnsi="Times New Roman"/>
          <w:sz w:val="28"/>
          <w:szCs w:val="28"/>
        </w:rPr>
      </w:pPr>
      <w:r w:rsidRPr="00A53AD7">
        <w:rPr>
          <w:rFonts w:ascii="Times New Roman" w:hAnsi="Times New Roman"/>
          <w:sz w:val="28"/>
          <w:szCs w:val="28"/>
        </w:rPr>
        <w:t xml:space="preserve">- израсходовано по отчету всего 67,9 млн.руб., из них средства: федерального бюджета – 24,6 млн.руб., областного бюджета – 43,3 млн.руб.; </w:t>
      </w:r>
    </w:p>
    <w:p w14:paraId="593D8209" w14:textId="77777777" w:rsidR="001D2B6D" w:rsidRPr="00A53AD7" w:rsidRDefault="001D2B6D" w:rsidP="0011053F">
      <w:pPr>
        <w:spacing w:after="0" w:line="240" w:lineRule="auto"/>
        <w:ind w:right="141" w:firstLine="851"/>
        <w:jc w:val="both"/>
        <w:rPr>
          <w:rFonts w:ascii="Times New Roman" w:hAnsi="Times New Roman"/>
          <w:sz w:val="28"/>
          <w:szCs w:val="28"/>
        </w:rPr>
      </w:pPr>
      <w:r w:rsidRPr="00A53AD7">
        <w:rPr>
          <w:rFonts w:ascii="Times New Roman" w:hAnsi="Times New Roman"/>
          <w:sz w:val="28"/>
          <w:szCs w:val="28"/>
        </w:rPr>
        <w:t>- не израсходованы по отчету средства федерального бюджета в размере 100,7 млн.руб., областного бюджета – 111,0 млн.руб.</w:t>
      </w:r>
    </w:p>
    <w:p w14:paraId="27B26970" w14:textId="77777777" w:rsidR="001D2B6D" w:rsidRPr="00A53AD7" w:rsidRDefault="001D2B6D" w:rsidP="001D2B6D">
      <w:pPr>
        <w:spacing w:after="0" w:line="240" w:lineRule="auto"/>
        <w:ind w:left="142" w:right="141" w:firstLine="851"/>
        <w:jc w:val="both"/>
        <w:rPr>
          <w:rFonts w:ascii="Times New Roman" w:hAnsi="Times New Roman"/>
          <w:sz w:val="28"/>
          <w:szCs w:val="28"/>
        </w:rPr>
      </w:pPr>
    </w:p>
    <w:p w14:paraId="34E2F2D5" w14:textId="010E2F0E" w:rsidR="0011053F" w:rsidRPr="00A53AD7" w:rsidRDefault="0011053F"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 природных ресурсов и лесопромышленного комплекса Архангельской области осуществляло реализацию пяти мероприятий подпрограммы на общую сумму 35,5 млн.руб., исполнено 26,7 млн.руб.. или 75 %.</w:t>
      </w:r>
    </w:p>
    <w:p w14:paraId="018AB764" w14:textId="77777777" w:rsidR="0011053F" w:rsidRPr="00A53AD7" w:rsidRDefault="0011053F"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Не выполнено одно мероприятие 3.3. Ликвидация гидротехнических сооружений, не имеющих собственника, или собственник которых неизвестен либо от права собственности на которые собственник отказался, расположенных на территории Архангельской области</w:t>
      </w:r>
    </w:p>
    <w:p w14:paraId="41AA1AEB" w14:textId="77777777" w:rsidR="0011053F" w:rsidRPr="00A53AD7" w:rsidRDefault="0011053F"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составляли 5,2 млн.руб., по данным официального сайта единой информационной системы в сфере закупок (zakupki.gov.ru) государственный контракт на выполнение работ по ликвидации гидротехнического сооружения – плотины с нерегулируемым водосбросным устройством на р. Вага (разрушенная), расположенная на территории МО «Вельский муниципальный район», г. Вельск, (ул. Климовского, д. 68) от 19.04.2019 № 5, заключен между министерством природных ресурсов и лесопромышленного комплекса Архангельской области и ООО «АВА-ГРУПП» на сумму 5,2 млн.руб.</w:t>
      </w:r>
    </w:p>
    <w:p w14:paraId="35D78DED" w14:textId="77777777" w:rsidR="0011053F" w:rsidRPr="00A53AD7" w:rsidRDefault="0011053F"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Из отчета министерства следует, что работы не выполнены из-за неблагоприятных погодных условий (обильные дожди). Уровень воды в р. Вага значительно превышал норму, что препятствовало выполнению работ по принятой в проектной документации технологии.</w:t>
      </w:r>
    </w:p>
    <w:p w14:paraId="13E39F38" w14:textId="75540056" w:rsidR="001D2B6D" w:rsidRPr="00A53AD7" w:rsidRDefault="006138C0" w:rsidP="006138C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 в полном объеме выполнено мероприятие </w:t>
      </w:r>
      <w:r w:rsidR="001D2B6D" w:rsidRPr="00A53AD7">
        <w:rPr>
          <w:rFonts w:ascii="Times New Roman" w:hAnsi="Times New Roman"/>
          <w:sz w:val="28"/>
          <w:szCs w:val="28"/>
        </w:rPr>
        <w:t>1.1. Выполнение мероприятий по обеспечению исполнения отдельных полномочий Российской Федерации в области водных отношений</w:t>
      </w:r>
      <w:r w:rsidRPr="00A53AD7">
        <w:rPr>
          <w:rFonts w:ascii="Times New Roman" w:hAnsi="Times New Roman"/>
          <w:sz w:val="28"/>
          <w:szCs w:val="28"/>
        </w:rPr>
        <w:t>.</w:t>
      </w:r>
    </w:p>
    <w:p w14:paraId="1E5FE33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по средствам федерального бюджета составляли 11,0 млн.руб., объем финансирования – 7,8 млн.руб. (74,5 %), кассовый расход – 7,4 млн.руб. (67,8 %).</w:t>
      </w:r>
    </w:p>
    <w:p w14:paraId="5F9C847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официального сайта единой информационной системы в сфере закупок (zakupki.gov.ru) и данным бюджетного учета по коду бюджетной классификации 045 0406 1030151280 минлеспромом АО на сумму 7,4 млн.руб. осуществлены расходы по государственным контрактам 2018 и 2019 г.г.:</w:t>
      </w:r>
    </w:p>
    <w:p w14:paraId="37CA5455" w14:textId="4F06763E" w:rsidR="001D2B6D" w:rsidRPr="00A53AD7" w:rsidRDefault="001D2B6D"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выполнены работы на общую сумму 1,7 млн.руб. по 4 государственным контрактам по определению местоположения береговых линий (границ водных объектов), границ водоохранных зон и прибрежных защитных полос рек в границах поселений муниципальных образований Архангельской области</w:t>
      </w:r>
      <w:r w:rsidR="0011053F" w:rsidRPr="00A53AD7">
        <w:rPr>
          <w:rFonts w:ascii="Times New Roman" w:hAnsi="Times New Roman"/>
          <w:sz w:val="28"/>
          <w:szCs w:val="28"/>
        </w:rPr>
        <w:t>.</w:t>
      </w:r>
    </w:p>
    <w:p w14:paraId="6812057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сумму 5,9 млн.руб. по 4 государственным контрактам 2018 года оплачены работы по закреплению границ водоохранных зон и прибрежных защитных полос: в бассейне р. Северная Двина (на участке от устья р. Верхняя Тойма до устья р. Вага и на территории Архангельской области на участке от устья р. Вычегда до устья р. Верхняя Тойма) и в бассейне р. Вага (на участке от устья р. Устья до впадения р. Вага в р. Северная Двина).</w:t>
      </w:r>
    </w:p>
    <w:p w14:paraId="1BE4EB2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381CECB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Через министерство строительства и архитектуры Архангельской области предусмотрено финансирование четырех мероприятий подпрограммы № 3. В соответствии с показателями сводной бюджетной росписи на отчетную дату объем расходов составлял 244,3 млн.руб., в том числе средства: федерального бюджета – 114,3 млн.руб., областного бюджета – 130,0 млн.руб.</w:t>
      </w:r>
    </w:p>
    <w:p w14:paraId="48B1E3E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ГКУ АО «ГУКС» минстроем АО утверждены бюджетные назначения и лимиты бюджетных обязательств по следующим мероприятиям программы:</w:t>
      </w:r>
    </w:p>
    <w:p w14:paraId="6B80C9F7"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 xml:space="preserve">2.2. Реализация проекта «Укрепление правого берега реки Северная Двина в Соломбальском территориальном округе г. Архангельска на участке от ул. Маяковского до ул. Кедрова» (I этап, 1 подэтап; I этап, 2 подэтап и II этап), в том числе п.п. мероприятия 2.2.1 и 2.2.2 </w:t>
      </w:r>
    </w:p>
    <w:p w14:paraId="46D0F9A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243,4 млн.руб., в том числе средства: федерального бюджета – 114,3 млн.руб., областного бюджета – 129,1 млн.руб.</w:t>
      </w:r>
    </w:p>
    <w:p w14:paraId="1885E640" w14:textId="77777777" w:rsidR="0011053F" w:rsidRPr="00A53AD7" w:rsidRDefault="0011053F" w:rsidP="0011053F">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Расчетный объем средств субсидии, планируемый к возврату в федеральный бюджет в результате невыполнения условий соглашения о предоставлении субсидии из федерального бюджета, составил 97,2 млн.руб., что составляет 85 %, данный факт противоречит принципу эффективности использования бюджетных средств, определенному ст. 34 БК РФ.</w:t>
      </w:r>
    </w:p>
    <w:p w14:paraId="38C481B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пояснительной записке к законопроекту: «Низкий темп производства работ обусловлен многочисленными изменениями в проектной документации, в том числе изменение профиля дна за период с момента проектирования до производства работ (2013 – 2019 гг.), также </w:t>
      </w:r>
      <w:r w:rsidRPr="00A53AD7">
        <w:rPr>
          <w:rFonts w:ascii="Times New Roman" w:hAnsi="Times New Roman"/>
          <w:sz w:val="28"/>
          <w:szCs w:val="28"/>
          <w:u w:val="single"/>
        </w:rPr>
        <w:t>отсутствием оборотных средств у подрядной организации</w:t>
      </w:r>
      <w:r w:rsidRPr="00A53AD7">
        <w:rPr>
          <w:rFonts w:ascii="Times New Roman" w:hAnsi="Times New Roman"/>
          <w:sz w:val="28"/>
          <w:szCs w:val="28"/>
        </w:rPr>
        <w:t>».</w:t>
      </w:r>
    </w:p>
    <w:p w14:paraId="65B0A0C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данные пояснения следует заметить, что ГКУ АО «ГУКС» по данному мероприятию ведет расчёты с ООО «Проектстрой» по трем государственным контрактам (далее ГК) и по </w:t>
      </w:r>
      <w:r w:rsidRPr="00A53AD7">
        <w:rPr>
          <w:rFonts w:ascii="Times New Roman" w:hAnsi="Times New Roman"/>
          <w:sz w:val="28"/>
          <w:szCs w:val="28"/>
          <w:u w:val="single"/>
        </w:rPr>
        <w:t>всем контрактам числится дебиторская задолженность, которая на 31.12.2019 года составила уже 33,9 млн.руб</w:t>
      </w:r>
      <w:r w:rsidRPr="00A53AD7">
        <w:rPr>
          <w:rFonts w:ascii="Times New Roman" w:hAnsi="Times New Roman"/>
          <w:sz w:val="28"/>
          <w:szCs w:val="28"/>
        </w:rPr>
        <w:t>.</w:t>
      </w:r>
    </w:p>
    <w:p w14:paraId="441573BF"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Так, по ГК от 19.11.2018 № 0124200000618004493_246648, заключенному на выполнение работ «Укрепление правового берега реки Северная Двина в Соломбальском территориальном округе г. Архангельска на участке от ул. Маяковского до ул. Кедрова (I этап, I подэтап; I этап, II подэтап; II этап), при дебиторской задолженности на 01.01.2019 в 21,6 млн.руб. и принятых выполненных работах в отчетном периоде на сумму 22,0 млн.руб., перечислено 28,3 млн.руб., </w:t>
      </w:r>
    </w:p>
    <w:p w14:paraId="060644B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двух контрактов 2018 года 03.07.2019 года заключен еще один контракт, согласно которому ООО «Проектстрой» принимает на себя обязательства на выполнение работ по объекту: «Укрепление правого берега реки Северная Двина в Соломбальском территориальном округе г. Архангельска на участке от ул. Маяковского до ул. Кедрова» (дополнительные работы по I этапу I подэтапу) в соответствии с проектной документацией на общую сумму 62,2 млн.руб. и сразу 09.07.2019 года получает аванс в размере 10 % от суммы ГК – 6,3 млн.руб., далее 15.08.2019 (меньше чем 1,5 месяца) принимаются к оплате выполненные работы на сумму 6,3 млн.руб., которые 21.08.2019 года сразу оплачиваются платежным поручением на сумму 5,6 млн.руб. Дебиторская задолженность по этому контракту на конец года составила 5,6 млн.руб.</w:t>
      </w:r>
    </w:p>
    <w:p w14:paraId="39873AFC"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2.7. Осуществление функций авторского и археологического надзоров, корректировка проектно-сметной документации и проведение проверки достоверности определения сметной стоимости по объекту "Укрепление правого берега реки Северная Двина в Соломбальском территориальном округе г. Архангельска на участке от улицы Маяковского до улицы Кедрова" (I этап, 1 подэтап, I этап, 2 подэтап и II этап)</w:t>
      </w:r>
    </w:p>
    <w:p w14:paraId="13EE9DD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0,07 млн.руб. за счет средств областного бюджета, кассовые расходы за 2019 год при кредиторской задолженности 0,02 млн.руб. и выполненных принятых работах на сумму 0,04 составили 0,06 млн.руб.</w:t>
      </w:r>
    </w:p>
    <w:p w14:paraId="442A98E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2.8. Выполнение инженерных изысканий, разработка обоснования инвестиций и проведение ценового и технологического аудита по мероприятию «Укрепление берега Белого моря в пос. Пертоминске Приморского района».</w:t>
      </w:r>
    </w:p>
    <w:p w14:paraId="31388E3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составили 0,8 млн.руб. за счет средств областного бюджета, кассовые расходы за 2019 год составили 0,6 млн.руб. в соответствии с выполненными работами.</w:t>
      </w:r>
    </w:p>
    <w:p w14:paraId="61B3B11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Следует отметить, что в Отчете об исполнении подпрограммы отражены кассовые расходы министерства, по мероприятиям, которые выполняет ГКУ АО «ГУКС», следовательно, и перечисленные авансы. </w:t>
      </w:r>
    </w:p>
    <w:p w14:paraId="459D772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Информация об исполнении подпрограммы № 3 за 2019 год по исполнителям, источникам финансирования без учета перечисленных авансов представлена в таблице:</w:t>
      </w:r>
    </w:p>
    <w:tbl>
      <w:tblPr>
        <w:tblW w:w="9382" w:type="dxa"/>
        <w:tblInd w:w="93" w:type="dxa"/>
        <w:tblLayout w:type="fixed"/>
        <w:tblLook w:val="04A0" w:firstRow="1" w:lastRow="0" w:firstColumn="1" w:lastColumn="0" w:noHBand="0" w:noVBand="1"/>
      </w:tblPr>
      <w:tblGrid>
        <w:gridCol w:w="3011"/>
        <w:gridCol w:w="1508"/>
        <w:gridCol w:w="709"/>
        <w:gridCol w:w="798"/>
        <w:gridCol w:w="1162"/>
        <w:gridCol w:w="773"/>
        <w:gridCol w:w="848"/>
        <w:gridCol w:w="573"/>
      </w:tblGrid>
      <w:tr w:rsidR="00D470B6" w:rsidRPr="00A53AD7" w14:paraId="2CDCD802" w14:textId="77777777" w:rsidTr="001D2B6D">
        <w:trPr>
          <w:trHeight w:val="300"/>
          <w:tblHeader/>
        </w:trPr>
        <w:tc>
          <w:tcPr>
            <w:tcW w:w="3011" w:type="dxa"/>
            <w:vMerge w:val="restart"/>
            <w:tcBorders>
              <w:top w:val="double" w:sz="4" w:space="0" w:color="auto"/>
              <w:left w:val="double" w:sz="4" w:space="0" w:color="auto"/>
              <w:bottom w:val="single" w:sz="8" w:space="0" w:color="000000"/>
              <w:right w:val="single" w:sz="4" w:space="0" w:color="auto"/>
            </w:tcBorders>
            <w:shd w:val="clear" w:color="auto" w:fill="auto"/>
            <w:vAlign w:val="center"/>
            <w:hideMark/>
          </w:tcPr>
          <w:p w14:paraId="44F1DF8D"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w:t>
            </w:r>
          </w:p>
        </w:tc>
        <w:tc>
          <w:tcPr>
            <w:tcW w:w="1508"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E19F4C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Утвержденные бюджетные назначения и ЛБО</w:t>
            </w:r>
          </w:p>
        </w:tc>
        <w:tc>
          <w:tcPr>
            <w:tcW w:w="1507" w:type="dxa"/>
            <w:gridSpan w:val="2"/>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4D00D8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 по данным министерств АО (форма 0503127) и отчета по ГП</w:t>
            </w:r>
          </w:p>
        </w:tc>
        <w:tc>
          <w:tcPr>
            <w:tcW w:w="1935" w:type="dxa"/>
            <w:gridSpan w:val="2"/>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0CA38CFF"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Исполнение по актам выполненных работ без учета дебиторской задолженности ГКУ АО «ГУКС»</w:t>
            </w:r>
          </w:p>
        </w:tc>
        <w:tc>
          <w:tcPr>
            <w:tcW w:w="1421" w:type="dxa"/>
            <w:gridSpan w:val="2"/>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7964D8C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по выполнению</w:t>
            </w:r>
          </w:p>
        </w:tc>
      </w:tr>
      <w:tr w:rsidR="00D470B6" w:rsidRPr="00A53AD7" w14:paraId="667CD58B" w14:textId="77777777" w:rsidTr="001D2B6D">
        <w:trPr>
          <w:trHeight w:val="300"/>
          <w:tblHeader/>
        </w:trPr>
        <w:tc>
          <w:tcPr>
            <w:tcW w:w="3011" w:type="dxa"/>
            <w:vMerge/>
            <w:tcBorders>
              <w:top w:val="single" w:sz="8" w:space="0" w:color="auto"/>
              <w:left w:val="double" w:sz="4" w:space="0" w:color="auto"/>
              <w:bottom w:val="single" w:sz="8" w:space="0" w:color="000000"/>
              <w:right w:val="single" w:sz="4" w:space="0" w:color="auto"/>
            </w:tcBorders>
            <w:vAlign w:val="center"/>
            <w:hideMark/>
          </w:tcPr>
          <w:p w14:paraId="2F57817F" w14:textId="77777777" w:rsidR="001D2B6D" w:rsidRPr="00A53AD7" w:rsidRDefault="001D2B6D" w:rsidP="001D2B6D">
            <w:pPr>
              <w:spacing w:after="0" w:line="240" w:lineRule="auto"/>
              <w:rPr>
                <w:rFonts w:ascii="Times New Roman" w:eastAsia="Times New Roman" w:hAnsi="Times New Roman"/>
                <w:lang w:eastAsia="ru-RU"/>
              </w:rPr>
            </w:pPr>
          </w:p>
        </w:tc>
        <w:tc>
          <w:tcPr>
            <w:tcW w:w="1508" w:type="dxa"/>
            <w:vMerge/>
            <w:tcBorders>
              <w:top w:val="single" w:sz="8" w:space="0" w:color="auto"/>
              <w:left w:val="single" w:sz="4" w:space="0" w:color="auto"/>
              <w:bottom w:val="single" w:sz="4" w:space="0" w:color="auto"/>
              <w:right w:val="single" w:sz="4" w:space="0" w:color="auto"/>
            </w:tcBorders>
            <w:vAlign w:val="center"/>
            <w:hideMark/>
          </w:tcPr>
          <w:p w14:paraId="4B0FA487" w14:textId="77777777" w:rsidR="001D2B6D" w:rsidRPr="00A53AD7" w:rsidRDefault="001D2B6D" w:rsidP="001D2B6D">
            <w:pPr>
              <w:spacing w:after="0" w:line="240" w:lineRule="auto"/>
              <w:rPr>
                <w:rFonts w:ascii="Times New Roman" w:eastAsia="Times New Roman" w:hAnsi="Times New Roman"/>
                <w:lang w:eastAsia="ru-RU"/>
              </w:rPr>
            </w:pPr>
          </w:p>
        </w:tc>
        <w:tc>
          <w:tcPr>
            <w:tcW w:w="1507" w:type="dxa"/>
            <w:gridSpan w:val="2"/>
            <w:vMerge/>
            <w:tcBorders>
              <w:top w:val="single" w:sz="8" w:space="0" w:color="auto"/>
              <w:left w:val="single" w:sz="4" w:space="0" w:color="auto"/>
              <w:bottom w:val="single" w:sz="4" w:space="0" w:color="auto"/>
              <w:right w:val="single" w:sz="4" w:space="0" w:color="auto"/>
            </w:tcBorders>
            <w:vAlign w:val="center"/>
            <w:hideMark/>
          </w:tcPr>
          <w:p w14:paraId="32279C25" w14:textId="77777777" w:rsidR="001D2B6D" w:rsidRPr="00A53AD7" w:rsidRDefault="001D2B6D" w:rsidP="001D2B6D">
            <w:pPr>
              <w:spacing w:after="0" w:line="240" w:lineRule="auto"/>
              <w:rPr>
                <w:rFonts w:ascii="Times New Roman" w:eastAsia="Times New Roman" w:hAnsi="Times New Roman"/>
                <w:lang w:eastAsia="ru-RU"/>
              </w:rPr>
            </w:pPr>
          </w:p>
        </w:tc>
        <w:tc>
          <w:tcPr>
            <w:tcW w:w="1935" w:type="dxa"/>
            <w:gridSpan w:val="2"/>
            <w:vMerge/>
            <w:tcBorders>
              <w:top w:val="single" w:sz="8" w:space="0" w:color="auto"/>
              <w:left w:val="single" w:sz="4" w:space="0" w:color="auto"/>
              <w:bottom w:val="single" w:sz="4" w:space="0" w:color="auto"/>
              <w:right w:val="single" w:sz="4" w:space="0" w:color="auto"/>
            </w:tcBorders>
            <w:vAlign w:val="center"/>
            <w:hideMark/>
          </w:tcPr>
          <w:p w14:paraId="349E0DC3" w14:textId="77777777" w:rsidR="001D2B6D" w:rsidRPr="00A53AD7" w:rsidRDefault="001D2B6D" w:rsidP="001D2B6D">
            <w:pPr>
              <w:spacing w:after="0" w:line="240" w:lineRule="auto"/>
              <w:rPr>
                <w:rFonts w:ascii="Times New Roman" w:eastAsia="Times New Roman" w:hAnsi="Times New Roman"/>
                <w:lang w:eastAsia="ru-RU"/>
              </w:rPr>
            </w:pPr>
          </w:p>
        </w:tc>
        <w:tc>
          <w:tcPr>
            <w:tcW w:w="1421" w:type="dxa"/>
            <w:gridSpan w:val="2"/>
            <w:vMerge/>
            <w:tcBorders>
              <w:top w:val="single" w:sz="8" w:space="0" w:color="auto"/>
              <w:left w:val="single" w:sz="4" w:space="0" w:color="auto"/>
              <w:bottom w:val="single" w:sz="4" w:space="0" w:color="auto"/>
              <w:right w:val="double" w:sz="4" w:space="0" w:color="auto"/>
            </w:tcBorders>
            <w:vAlign w:val="center"/>
            <w:hideMark/>
          </w:tcPr>
          <w:p w14:paraId="2E82AEE8" w14:textId="77777777" w:rsidR="001D2B6D" w:rsidRPr="00A53AD7" w:rsidRDefault="001D2B6D" w:rsidP="001D2B6D">
            <w:pPr>
              <w:spacing w:after="0" w:line="240" w:lineRule="auto"/>
              <w:rPr>
                <w:rFonts w:ascii="Times New Roman" w:eastAsia="Times New Roman" w:hAnsi="Times New Roman"/>
                <w:lang w:eastAsia="ru-RU"/>
              </w:rPr>
            </w:pPr>
          </w:p>
        </w:tc>
      </w:tr>
      <w:tr w:rsidR="00D470B6" w:rsidRPr="00A53AD7" w14:paraId="25023249" w14:textId="77777777" w:rsidTr="001D2B6D">
        <w:trPr>
          <w:trHeight w:val="300"/>
          <w:tblHeader/>
        </w:trPr>
        <w:tc>
          <w:tcPr>
            <w:tcW w:w="3011" w:type="dxa"/>
            <w:vMerge/>
            <w:tcBorders>
              <w:top w:val="single" w:sz="8" w:space="0" w:color="auto"/>
              <w:left w:val="double" w:sz="4" w:space="0" w:color="auto"/>
              <w:bottom w:val="single" w:sz="8" w:space="0" w:color="000000"/>
              <w:right w:val="single" w:sz="4" w:space="0" w:color="auto"/>
            </w:tcBorders>
            <w:vAlign w:val="center"/>
            <w:hideMark/>
          </w:tcPr>
          <w:p w14:paraId="5E19187A" w14:textId="77777777" w:rsidR="001D2B6D" w:rsidRPr="00A53AD7" w:rsidRDefault="001D2B6D" w:rsidP="001D2B6D">
            <w:pPr>
              <w:spacing w:after="0" w:line="240" w:lineRule="auto"/>
              <w:rPr>
                <w:rFonts w:ascii="Times New Roman" w:eastAsia="Times New Roman" w:hAnsi="Times New Roman"/>
                <w:lang w:eastAsia="ru-RU"/>
              </w:rPr>
            </w:pPr>
          </w:p>
        </w:tc>
        <w:tc>
          <w:tcPr>
            <w:tcW w:w="1508" w:type="dxa"/>
            <w:vMerge/>
            <w:tcBorders>
              <w:top w:val="single" w:sz="8" w:space="0" w:color="auto"/>
              <w:left w:val="single" w:sz="4" w:space="0" w:color="auto"/>
              <w:bottom w:val="single" w:sz="4" w:space="0" w:color="auto"/>
              <w:right w:val="single" w:sz="4" w:space="0" w:color="auto"/>
            </w:tcBorders>
            <w:vAlign w:val="center"/>
            <w:hideMark/>
          </w:tcPr>
          <w:p w14:paraId="03CCD824" w14:textId="77777777" w:rsidR="001D2B6D" w:rsidRPr="00A53AD7" w:rsidRDefault="001D2B6D" w:rsidP="001D2B6D">
            <w:pPr>
              <w:spacing w:after="0" w:line="240" w:lineRule="auto"/>
              <w:rPr>
                <w:rFonts w:ascii="Times New Roman" w:eastAsia="Times New Roman" w:hAnsi="Times New Roman"/>
                <w:lang w:eastAsia="ru-RU"/>
              </w:rPr>
            </w:pPr>
          </w:p>
        </w:tc>
        <w:tc>
          <w:tcPr>
            <w:tcW w:w="1507" w:type="dxa"/>
            <w:gridSpan w:val="2"/>
            <w:vMerge/>
            <w:tcBorders>
              <w:top w:val="single" w:sz="8" w:space="0" w:color="auto"/>
              <w:left w:val="single" w:sz="4" w:space="0" w:color="auto"/>
              <w:bottom w:val="single" w:sz="4" w:space="0" w:color="auto"/>
              <w:right w:val="single" w:sz="4" w:space="0" w:color="auto"/>
            </w:tcBorders>
            <w:vAlign w:val="center"/>
            <w:hideMark/>
          </w:tcPr>
          <w:p w14:paraId="648C8C0E" w14:textId="77777777" w:rsidR="001D2B6D" w:rsidRPr="00A53AD7" w:rsidRDefault="001D2B6D" w:rsidP="001D2B6D">
            <w:pPr>
              <w:spacing w:after="0" w:line="240" w:lineRule="auto"/>
              <w:rPr>
                <w:rFonts w:ascii="Times New Roman" w:eastAsia="Times New Roman" w:hAnsi="Times New Roman"/>
                <w:lang w:eastAsia="ru-RU"/>
              </w:rPr>
            </w:pPr>
          </w:p>
        </w:tc>
        <w:tc>
          <w:tcPr>
            <w:tcW w:w="1935" w:type="dxa"/>
            <w:gridSpan w:val="2"/>
            <w:vMerge/>
            <w:tcBorders>
              <w:top w:val="single" w:sz="8" w:space="0" w:color="auto"/>
              <w:left w:val="single" w:sz="4" w:space="0" w:color="auto"/>
              <w:bottom w:val="single" w:sz="4" w:space="0" w:color="auto"/>
              <w:right w:val="single" w:sz="4" w:space="0" w:color="auto"/>
            </w:tcBorders>
            <w:vAlign w:val="center"/>
            <w:hideMark/>
          </w:tcPr>
          <w:p w14:paraId="7EE5F104" w14:textId="77777777" w:rsidR="001D2B6D" w:rsidRPr="00A53AD7" w:rsidRDefault="001D2B6D" w:rsidP="001D2B6D">
            <w:pPr>
              <w:spacing w:after="0" w:line="240" w:lineRule="auto"/>
              <w:rPr>
                <w:rFonts w:ascii="Times New Roman" w:eastAsia="Times New Roman" w:hAnsi="Times New Roman"/>
                <w:lang w:eastAsia="ru-RU"/>
              </w:rPr>
            </w:pPr>
          </w:p>
        </w:tc>
        <w:tc>
          <w:tcPr>
            <w:tcW w:w="1421" w:type="dxa"/>
            <w:gridSpan w:val="2"/>
            <w:vMerge/>
            <w:tcBorders>
              <w:top w:val="single" w:sz="8" w:space="0" w:color="auto"/>
              <w:left w:val="single" w:sz="4" w:space="0" w:color="auto"/>
              <w:bottom w:val="single" w:sz="4" w:space="0" w:color="auto"/>
              <w:right w:val="double" w:sz="4" w:space="0" w:color="auto"/>
            </w:tcBorders>
            <w:vAlign w:val="center"/>
            <w:hideMark/>
          </w:tcPr>
          <w:p w14:paraId="565C10ED" w14:textId="77777777" w:rsidR="001D2B6D" w:rsidRPr="00A53AD7" w:rsidRDefault="001D2B6D" w:rsidP="001D2B6D">
            <w:pPr>
              <w:spacing w:after="0" w:line="240" w:lineRule="auto"/>
              <w:rPr>
                <w:rFonts w:ascii="Times New Roman" w:eastAsia="Times New Roman" w:hAnsi="Times New Roman"/>
                <w:lang w:eastAsia="ru-RU"/>
              </w:rPr>
            </w:pPr>
          </w:p>
        </w:tc>
      </w:tr>
      <w:tr w:rsidR="00D470B6" w:rsidRPr="00A53AD7" w14:paraId="6B4CE192" w14:textId="77777777" w:rsidTr="001D2B6D">
        <w:trPr>
          <w:trHeight w:val="300"/>
          <w:tblHeader/>
        </w:trPr>
        <w:tc>
          <w:tcPr>
            <w:tcW w:w="3011" w:type="dxa"/>
            <w:vMerge/>
            <w:tcBorders>
              <w:top w:val="single" w:sz="8" w:space="0" w:color="auto"/>
              <w:left w:val="double" w:sz="4" w:space="0" w:color="auto"/>
              <w:bottom w:val="single" w:sz="8" w:space="0" w:color="000000"/>
              <w:right w:val="single" w:sz="4" w:space="0" w:color="auto"/>
            </w:tcBorders>
            <w:vAlign w:val="center"/>
            <w:hideMark/>
          </w:tcPr>
          <w:p w14:paraId="604FDA5B" w14:textId="77777777" w:rsidR="001D2B6D" w:rsidRPr="00A53AD7" w:rsidRDefault="001D2B6D" w:rsidP="001D2B6D">
            <w:pPr>
              <w:spacing w:after="0" w:line="240" w:lineRule="auto"/>
              <w:rPr>
                <w:rFonts w:ascii="Times New Roman" w:eastAsia="Times New Roman" w:hAnsi="Times New Roman"/>
                <w:lang w:eastAsia="ru-RU"/>
              </w:rPr>
            </w:pPr>
          </w:p>
        </w:tc>
        <w:tc>
          <w:tcPr>
            <w:tcW w:w="1508" w:type="dxa"/>
            <w:vMerge/>
            <w:tcBorders>
              <w:top w:val="single" w:sz="8" w:space="0" w:color="auto"/>
              <w:left w:val="single" w:sz="4" w:space="0" w:color="auto"/>
              <w:bottom w:val="single" w:sz="4" w:space="0" w:color="auto"/>
              <w:right w:val="single" w:sz="4" w:space="0" w:color="auto"/>
            </w:tcBorders>
            <w:vAlign w:val="center"/>
            <w:hideMark/>
          </w:tcPr>
          <w:p w14:paraId="7278CBF8" w14:textId="77777777" w:rsidR="001D2B6D" w:rsidRPr="00A53AD7" w:rsidRDefault="001D2B6D" w:rsidP="001D2B6D">
            <w:pPr>
              <w:spacing w:after="0" w:line="240" w:lineRule="auto"/>
              <w:rPr>
                <w:rFonts w:ascii="Times New Roman" w:eastAsia="Times New Roman" w:hAnsi="Times New Roman"/>
                <w:lang w:eastAsia="ru-RU"/>
              </w:rPr>
            </w:pPr>
          </w:p>
        </w:tc>
        <w:tc>
          <w:tcPr>
            <w:tcW w:w="1507" w:type="dxa"/>
            <w:gridSpan w:val="2"/>
            <w:vMerge/>
            <w:tcBorders>
              <w:top w:val="single" w:sz="8" w:space="0" w:color="auto"/>
              <w:left w:val="single" w:sz="4" w:space="0" w:color="auto"/>
              <w:bottom w:val="single" w:sz="4" w:space="0" w:color="auto"/>
              <w:right w:val="single" w:sz="4" w:space="0" w:color="auto"/>
            </w:tcBorders>
            <w:vAlign w:val="center"/>
            <w:hideMark/>
          </w:tcPr>
          <w:p w14:paraId="1F35CD0D" w14:textId="77777777" w:rsidR="001D2B6D" w:rsidRPr="00A53AD7" w:rsidRDefault="001D2B6D" w:rsidP="001D2B6D">
            <w:pPr>
              <w:spacing w:after="0" w:line="240" w:lineRule="auto"/>
              <w:rPr>
                <w:rFonts w:ascii="Times New Roman" w:eastAsia="Times New Roman" w:hAnsi="Times New Roman"/>
                <w:lang w:eastAsia="ru-RU"/>
              </w:rPr>
            </w:pPr>
          </w:p>
        </w:tc>
        <w:tc>
          <w:tcPr>
            <w:tcW w:w="1935" w:type="dxa"/>
            <w:gridSpan w:val="2"/>
            <w:vMerge/>
            <w:tcBorders>
              <w:top w:val="single" w:sz="8" w:space="0" w:color="auto"/>
              <w:left w:val="single" w:sz="4" w:space="0" w:color="auto"/>
              <w:bottom w:val="single" w:sz="4" w:space="0" w:color="auto"/>
              <w:right w:val="single" w:sz="4" w:space="0" w:color="auto"/>
            </w:tcBorders>
            <w:vAlign w:val="center"/>
            <w:hideMark/>
          </w:tcPr>
          <w:p w14:paraId="6E082B2F" w14:textId="77777777" w:rsidR="001D2B6D" w:rsidRPr="00A53AD7" w:rsidRDefault="001D2B6D" w:rsidP="001D2B6D">
            <w:pPr>
              <w:spacing w:after="0" w:line="240" w:lineRule="auto"/>
              <w:rPr>
                <w:rFonts w:ascii="Times New Roman" w:eastAsia="Times New Roman" w:hAnsi="Times New Roman"/>
                <w:lang w:eastAsia="ru-RU"/>
              </w:rPr>
            </w:pPr>
          </w:p>
        </w:tc>
        <w:tc>
          <w:tcPr>
            <w:tcW w:w="1421" w:type="dxa"/>
            <w:gridSpan w:val="2"/>
            <w:vMerge/>
            <w:tcBorders>
              <w:top w:val="single" w:sz="8" w:space="0" w:color="auto"/>
              <w:left w:val="single" w:sz="4" w:space="0" w:color="auto"/>
              <w:bottom w:val="single" w:sz="4" w:space="0" w:color="auto"/>
              <w:right w:val="double" w:sz="4" w:space="0" w:color="auto"/>
            </w:tcBorders>
            <w:vAlign w:val="center"/>
            <w:hideMark/>
          </w:tcPr>
          <w:p w14:paraId="4A6DA482" w14:textId="77777777" w:rsidR="001D2B6D" w:rsidRPr="00A53AD7" w:rsidRDefault="001D2B6D" w:rsidP="001D2B6D">
            <w:pPr>
              <w:spacing w:after="0" w:line="240" w:lineRule="auto"/>
              <w:rPr>
                <w:rFonts w:ascii="Times New Roman" w:eastAsia="Times New Roman" w:hAnsi="Times New Roman"/>
                <w:lang w:eastAsia="ru-RU"/>
              </w:rPr>
            </w:pPr>
          </w:p>
        </w:tc>
      </w:tr>
      <w:tr w:rsidR="00D470B6" w:rsidRPr="00A53AD7" w14:paraId="456E02B3" w14:textId="77777777" w:rsidTr="001D2B6D">
        <w:trPr>
          <w:trHeight w:val="300"/>
          <w:tblHeader/>
        </w:trPr>
        <w:tc>
          <w:tcPr>
            <w:tcW w:w="3011" w:type="dxa"/>
            <w:vMerge/>
            <w:tcBorders>
              <w:top w:val="single" w:sz="8" w:space="0" w:color="auto"/>
              <w:left w:val="double" w:sz="4" w:space="0" w:color="auto"/>
              <w:bottom w:val="single" w:sz="8" w:space="0" w:color="000000"/>
              <w:right w:val="single" w:sz="4" w:space="0" w:color="auto"/>
            </w:tcBorders>
            <w:vAlign w:val="center"/>
            <w:hideMark/>
          </w:tcPr>
          <w:p w14:paraId="7F768FC7" w14:textId="77777777" w:rsidR="001D2B6D" w:rsidRPr="00A53AD7" w:rsidRDefault="001D2B6D" w:rsidP="001D2B6D">
            <w:pPr>
              <w:spacing w:after="0" w:line="240" w:lineRule="auto"/>
              <w:rPr>
                <w:rFonts w:ascii="Times New Roman" w:eastAsia="Times New Roman" w:hAnsi="Times New Roman"/>
                <w:lang w:eastAsia="ru-RU"/>
              </w:rPr>
            </w:pPr>
          </w:p>
        </w:tc>
        <w:tc>
          <w:tcPr>
            <w:tcW w:w="1508" w:type="dxa"/>
            <w:vMerge/>
            <w:tcBorders>
              <w:top w:val="single" w:sz="8" w:space="0" w:color="auto"/>
              <w:left w:val="single" w:sz="4" w:space="0" w:color="auto"/>
              <w:bottom w:val="single" w:sz="4" w:space="0" w:color="auto"/>
              <w:right w:val="single" w:sz="4" w:space="0" w:color="auto"/>
            </w:tcBorders>
            <w:vAlign w:val="center"/>
            <w:hideMark/>
          </w:tcPr>
          <w:p w14:paraId="0276BB4F" w14:textId="77777777" w:rsidR="001D2B6D" w:rsidRPr="00A53AD7" w:rsidRDefault="001D2B6D" w:rsidP="001D2B6D">
            <w:pPr>
              <w:spacing w:after="0" w:line="240" w:lineRule="auto"/>
              <w:rPr>
                <w:rFonts w:ascii="Times New Roman" w:eastAsia="Times New Roman" w:hAnsi="Times New Roman"/>
                <w:lang w:eastAsia="ru-RU"/>
              </w:rPr>
            </w:pPr>
          </w:p>
        </w:tc>
        <w:tc>
          <w:tcPr>
            <w:tcW w:w="1507" w:type="dxa"/>
            <w:gridSpan w:val="2"/>
            <w:vMerge/>
            <w:tcBorders>
              <w:top w:val="single" w:sz="8" w:space="0" w:color="auto"/>
              <w:left w:val="single" w:sz="4" w:space="0" w:color="auto"/>
              <w:bottom w:val="single" w:sz="4" w:space="0" w:color="auto"/>
              <w:right w:val="single" w:sz="4" w:space="0" w:color="auto"/>
            </w:tcBorders>
            <w:vAlign w:val="center"/>
            <w:hideMark/>
          </w:tcPr>
          <w:p w14:paraId="1FFC7C79" w14:textId="77777777" w:rsidR="001D2B6D" w:rsidRPr="00A53AD7" w:rsidRDefault="001D2B6D" w:rsidP="001D2B6D">
            <w:pPr>
              <w:spacing w:after="0" w:line="240" w:lineRule="auto"/>
              <w:rPr>
                <w:rFonts w:ascii="Times New Roman" w:eastAsia="Times New Roman" w:hAnsi="Times New Roman"/>
                <w:lang w:eastAsia="ru-RU"/>
              </w:rPr>
            </w:pPr>
          </w:p>
        </w:tc>
        <w:tc>
          <w:tcPr>
            <w:tcW w:w="1935" w:type="dxa"/>
            <w:gridSpan w:val="2"/>
            <w:vMerge/>
            <w:tcBorders>
              <w:top w:val="single" w:sz="8" w:space="0" w:color="auto"/>
              <w:left w:val="single" w:sz="4" w:space="0" w:color="auto"/>
              <w:bottom w:val="single" w:sz="4" w:space="0" w:color="auto"/>
              <w:right w:val="single" w:sz="4" w:space="0" w:color="auto"/>
            </w:tcBorders>
            <w:vAlign w:val="center"/>
            <w:hideMark/>
          </w:tcPr>
          <w:p w14:paraId="343FFF55" w14:textId="77777777" w:rsidR="001D2B6D" w:rsidRPr="00A53AD7" w:rsidRDefault="001D2B6D" w:rsidP="001D2B6D">
            <w:pPr>
              <w:spacing w:after="0" w:line="240" w:lineRule="auto"/>
              <w:rPr>
                <w:rFonts w:ascii="Times New Roman" w:eastAsia="Times New Roman" w:hAnsi="Times New Roman"/>
                <w:lang w:eastAsia="ru-RU"/>
              </w:rPr>
            </w:pPr>
          </w:p>
        </w:tc>
        <w:tc>
          <w:tcPr>
            <w:tcW w:w="1421" w:type="dxa"/>
            <w:gridSpan w:val="2"/>
            <w:vMerge/>
            <w:tcBorders>
              <w:top w:val="single" w:sz="8" w:space="0" w:color="auto"/>
              <w:left w:val="single" w:sz="4" w:space="0" w:color="auto"/>
              <w:bottom w:val="single" w:sz="4" w:space="0" w:color="auto"/>
              <w:right w:val="double" w:sz="4" w:space="0" w:color="auto"/>
            </w:tcBorders>
            <w:vAlign w:val="center"/>
            <w:hideMark/>
          </w:tcPr>
          <w:p w14:paraId="16333467" w14:textId="77777777" w:rsidR="001D2B6D" w:rsidRPr="00A53AD7" w:rsidRDefault="001D2B6D" w:rsidP="001D2B6D">
            <w:pPr>
              <w:spacing w:after="0" w:line="240" w:lineRule="auto"/>
              <w:rPr>
                <w:rFonts w:ascii="Times New Roman" w:eastAsia="Times New Roman" w:hAnsi="Times New Roman"/>
                <w:lang w:eastAsia="ru-RU"/>
              </w:rPr>
            </w:pPr>
          </w:p>
        </w:tc>
      </w:tr>
      <w:tr w:rsidR="00D470B6" w:rsidRPr="00A53AD7" w14:paraId="73BB39A1" w14:textId="77777777" w:rsidTr="001D2B6D">
        <w:trPr>
          <w:trHeight w:val="525"/>
          <w:tblHeader/>
        </w:trPr>
        <w:tc>
          <w:tcPr>
            <w:tcW w:w="3011" w:type="dxa"/>
            <w:vMerge/>
            <w:tcBorders>
              <w:top w:val="single" w:sz="8" w:space="0" w:color="auto"/>
              <w:left w:val="double" w:sz="4" w:space="0" w:color="auto"/>
              <w:bottom w:val="single" w:sz="8" w:space="0" w:color="000000"/>
              <w:right w:val="single" w:sz="4" w:space="0" w:color="auto"/>
            </w:tcBorders>
            <w:vAlign w:val="center"/>
            <w:hideMark/>
          </w:tcPr>
          <w:p w14:paraId="286A581B" w14:textId="77777777" w:rsidR="001D2B6D" w:rsidRPr="00A53AD7" w:rsidRDefault="001D2B6D" w:rsidP="001D2B6D">
            <w:pPr>
              <w:spacing w:after="0" w:line="240" w:lineRule="auto"/>
              <w:rPr>
                <w:rFonts w:ascii="Times New Roman" w:eastAsia="Times New Roman" w:hAnsi="Times New Roman"/>
                <w:lang w:eastAsia="ru-RU"/>
              </w:rPr>
            </w:pPr>
          </w:p>
        </w:tc>
        <w:tc>
          <w:tcPr>
            <w:tcW w:w="1508" w:type="dxa"/>
            <w:tcBorders>
              <w:top w:val="nil"/>
              <w:left w:val="nil"/>
              <w:bottom w:val="single" w:sz="8" w:space="0" w:color="auto"/>
              <w:right w:val="single" w:sz="4" w:space="0" w:color="auto"/>
            </w:tcBorders>
            <w:shd w:val="clear" w:color="auto" w:fill="auto"/>
            <w:vAlign w:val="center"/>
            <w:hideMark/>
          </w:tcPr>
          <w:p w14:paraId="12C2DDCD"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709" w:type="dxa"/>
            <w:tcBorders>
              <w:top w:val="nil"/>
              <w:left w:val="nil"/>
              <w:bottom w:val="single" w:sz="8" w:space="0" w:color="auto"/>
              <w:right w:val="single" w:sz="4" w:space="0" w:color="auto"/>
            </w:tcBorders>
            <w:shd w:val="clear" w:color="auto" w:fill="auto"/>
            <w:vAlign w:val="center"/>
            <w:hideMark/>
          </w:tcPr>
          <w:p w14:paraId="58C3BAB7" w14:textId="77777777" w:rsidR="001D2B6D" w:rsidRPr="00A53AD7" w:rsidRDefault="001D2B6D" w:rsidP="001D2B6D">
            <w:pPr>
              <w:spacing w:after="0" w:line="240" w:lineRule="auto"/>
              <w:ind w:right="-1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млн.руб.</w:t>
            </w:r>
          </w:p>
        </w:tc>
        <w:tc>
          <w:tcPr>
            <w:tcW w:w="798" w:type="dxa"/>
            <w:tcBorders>
              <w:top w:val="nil"/>
              <w:left w:val="nil"/>
              <w:bottom w:val="single" w:sz="8" w:space="0" w:color="auto"/>
              <w:right w:val="single" w:sz="4" w:space="0" w:color="auto"/>
            </w:tcBorders>
            <w:shd w:val="clear" w:color="auto" w:fill="auto"/>
            <w:vAlign w:val="center"/>
            <w:hideMark/>
          </w:tcPr>
          <w:p w14:paraId="67DEF5FD"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162" w:type="dxa"/>
            <w:tcBorders>
              <w:top w:val="nil"/>
              <w:left w:val="nil"/>
              <w:bottom w:val="single" w:sz="8" w:space="0" w:color="auto"/>
              <w:right w:val="single" w:sz="4" w:space="0" w:color="auto"/>
            </w:tcBorders>
            <w:shd w:val="clear" w:color="auto" w:fill="auto"/>
            <w:vAlign w:val="center"/>
            <w:hideMark/>
          </w:tcPr>
          <w:p w14:paraId="6F8FE03F" w14:textId="58608B26" w:rsidR="001D2B6D" w:rsidRPr="00A53AD7" w:rsidRDefault="00163D1C"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w:t>
            </w:r>
            <w:r w:rsidR="001D2B6D" w:rsidRPr="00A53AD7">
              <w:rPr>
                <w:rFonts w:ascii="Times New Roman" w:eastAsia="Times New Roman" w:hAnsi="Times New Roman"/>
                <w:sz w:val="20"/>
                <w:szCs w:val="20"/>
                <w:lang w:eastAsia="ru-RU"/>
              </w:rPr>
              <w:t>руб.</w:t>
            </w:r>
          </w:p>
        </w:tc>
        <w:tc>
          <w:tcPr>
            <w:tcW w:w="773" w:type="dxa"/>
            <w:tcBorders>
              <w:top w:val="nil"/>
              <w:left w:val="nil"/>
              <w:bottom w:val="single" w:sz="8" w:space="0" w:color="auto"/>
              <w:right w:val="single" w:sz="4" w:space="0" w:color="auto"/>
            </w:tcBorders>
            <w:shd w:val="clear" w:color="auto" w:fill="auto"/>
            <w:vAlign w:val="center"/>
            <w:hideMark/>
          </w:tcPr>
          <w:p w14:paraId="7D9ABBF5"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48" w:type="dxa"/>
            <w:tcBorders>
              <w:top w:val="nil"/>
              <w:left w:val="nil"/>
              <w:bottom w:val="single" w:sz="8" w:space="0" w:color="auto"/>
              <w:right w:val="single" w:sz="4" w:space="0" w:color="auto"/>
            </w:tcBorders>
            <w:shd w:val="clear" w:color="auto" w:fill="auto"/>
            <w:vAlign w:val="center"/>
            <w:hideMark/>
          </w:tcPr>
          <w:p w14:paraId="34299593" w14:textId="10DC0E86" w:rsidR="001D2B6D" w:rsidRPr="00A53AD7" w:rsidRDefault="001D2B6D" w:rsidP="00163D1C">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w:t>
            </w:r>
            <w:r w:rsidR="00163D1C"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руб.</w:t>
            </w:r>
          </w:p>
        </w:tc>
        <w:tc>
          <w:tcPr>
            <w:tcW w:w="573" w:type="dxa"/>
            <w:tcBorders>
              <w:top w:val="nil"/>
              <w:left w:val="nil"/>
              <w:bottom w:val="single" w:sz="8" w:space="0" w:color="auto"/>
              <w:right w:val="double" w:sz="4" w:space="0" w:color="auto"/>
            </w:tcBorders>
            <w:shd w:val="clear" w:color="auto" w:fill="auto"/>
            <w:vAlign w:val="center"/>
            <w:hideMark/>
          </w:tcPr>
          <w:p w14:paraId="3A5BEDB6"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D470B6" w:rsidRPr="00A53AD7" w14:paraId="1A8039AA" w14:textId="77777777" w:rsidTr="001D2B6D">
        <w:trPr>
          <w:trHeight w:val="198"/>
        </w:trPr>
        <w:tc>
          <w:tcPr>
            <w:tcW w:w="3011" w:type="dxa"/>
            <w:tcBorders>
              <w:top w:val="nil"/>
              <w:left w:val="double" w:sz="4" w:space="0" w:color="auto"/>
              <w:bottom w:val="single" w:sz="4" w:space="0" w:color="auto"/>
              <w:right w:val="single" w:sz="4" w:space="0" w:color="auto"/>
            </w:tcBorders>
            <w:shd w:val="clear" w:color="auto" w:fill="auto"/>
            <w:vAlign w:val="center"/>
            <w:hideMark/>
          </w:tcPr>
          <w:p w14:paraId="709EBF8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Минлеспром АО</w:t>
            </w:r>
          </w:p>
        </w:tc>
        <w:tc>
          <w:tcPr>
            <w:tcW w:w="1508" w:type="dxa"/>
            <w:tcBorders>
              <w:top w:val="nil"/>
              <w:left w:val="nil"/>
              <w:bottom w:val="single" w:sz="4" w:space="0" w:color="auto"/>
              <w:right w:val="single" w:sz="4" w:space="0" w:color="auto"/>
            </w:tcBorders>
            <w:shd w:val="clear" w:color="auto" w:fill="auto"/>
            <w:noWrap/>
            <w:vAlign w:val="center"/>
            <w:hideMark/>
          </w:tcPr>
          <w:p w14:paraId="1525DF55"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35,4</w:t>
            </w:r>
          </w:p>
        </w:tc>
        <w:tc>
          <w:tcPr>
            <w:tcW w:w="709" w:type="dxa"/>
            <w:tcBorders>
              <w:top w:val="nil"/>
              <w:left w:val="nil"/>
              <w:bottom w:val="single" w:sz="4" w:space="0" w:color="auto"/>
              <w:right w:val="single" w:sz="4" w:space="0" w:color="auto"/>
            </w:tcBorders>
            <w:shd w:val="clear" w:color="auto" w:fill="auto"/>
            <w:noWrap/>
            <w:vAlign w:val="center"/>
            <w:hideMark/>
          </w:tcPr>
          <w:p w14:paraId="68F57227"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26,6</w:t>
            </w:r>
          </w:p>
        </w:tc>
        <w:tc>
          <w:tcPr>
            <w:tcW w:w="798" w:type="dxa"/>
            <w:tcBorders>
              <w:top w:val="nil"/>
              <w:left w:val="nil"/>
              <w:bottom w:val="single" w:sz="4" w:space="0" w:color="auto"/>
              <w:right w:val="single" w:sz="4" w:space="0" w:color="auto"/>
            </w:tcBorders>
            <w:shd w:val="clear" w:color="auto" w:fill="auto"/>
            <w:noWrap/>
            <w:vAlign w:val="center"/>
            <w:hideMark/>
          </w:tcPr>
          <w:p w14:paraId="2B293DCD"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75,3</w:t>
            </w:r>
          </w:p>
        </w:tc>
        <w:tc>
          <w:tcPr>
            <w:tcW w:w="1162" w:type="dxa"/>
            <w:tcBorders>
              <w:top w:val="nil"/>
              <w:left w:val="nil"/>
              <w:bottom w:val="single" w:sz="4" w:space="0" w:color="auto"/>
              <w:right w:val="single" w:sz="4" w:space="0" w:color="auto"/>
            </w:tcBorders>
            <w:shd w:val="clear" w:color="auto" w:fill="auto"/>
            <w:noWrap/>
            <w:vAlign w:val="center"/>
            <w:hideMark/>
          </w:tcPr>
          <w:p w14:paraId="6834B01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26,6</w:t>
            </w:r>
          </w:p>
        </w:tc>
        <w:tc>
          <w:tcPr>
            <w:tcW w:w="773" w:type="dxa"/>
            <w:tcBorders>
              <w:top w:val="nil"/>
              <w:left w:val="nil"/>
              <w:bottom w:val="single" w:sz="4" w:space="0" w:color="auto"/>
              <w:right w:val="single" w:sz="4" w:space="0" w:color="auto"/>
            </w:tcBorders>
            <w:shd w:val="clear" w:color="auto" w:fill="auto"/>
            <w:noWrap/>
            <w:vAlign w:val="center"/>
            <w:hideMark/>
          </w:tcPr>
          <w:p w14:paraId="4853912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75,3</w:t>
            </w:r>
          </w:p>
        </w:tc>
        <w:tc>
          <w:tcPr>
            <w:tcW w:w="848" w:type="dxa"/>
            <w:tcBorders>
              <w:top w:val="nil"/>
              <w:left w:val="nil"/>
              <w:bottom w:val="single" w:sz="4" w:space="0" w:color="auto"/>
              <w:right w:val="single" w:sz="4" w:space="0" w:color="auto"/>
            </w:tcBorders>
            <w:shd w:val="clear" w:color="auto" w:fill="auto"/>
            <w:noWrap/>
            <w:vAlign w:val="center"/>
            <w:hideMark/>
          </w:tcPr>
          <w:p w14:paraId="48F3A31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573" w:type="dxa"/>
            <w:tcBorders>
              <w:top w:val="nil"/>
              <w:left w:val="nil"/>
              <w:bottom w:val="single" w:sz="4" w:space="0" w:color="auto"/>
              <w:right w:val="double" w:sz="4" w:space="0" w:color="auto"/>
            </w:tcBorders>
            <w:shd w:val="clear" w:color="auto" w:fill="auto"/>
            <w:noWrap/>
            <w:vAlign w:val="center"/>
            <w:hideMark/>
          </w:tcPr>
          <w:p w14:paraId="45C465BF"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D470B6" w:rsidRPr="00A53AD7" w14:paraId="78A1ECED" w14:textId="77777777" w:rsidTr="001D2B6D">
        <w:trPr>
          <w:trHeight w:val="116"/>
        </w:trPr>
        <w:tc>
          <w:tcPr>
            <w:tcW w:w="3011" w:type="dxa"/>
            <w:tcBorders>
              <w:top w:val="nil"/>
              <w:left w:val="double" w:sz="4" w:space="0" w:color="auto"/>
              <w:bottom w:val="single" w:sz="4" w:space="0" w:color="auto"/>
              <w:right w:val="single" w:sz="4" w:space="0" w:color="auto"/>
            </w:tcBorders>
            <w:shd w:val="clear" w:color="auto" w:fill="auto"/>
            <w:noWrap/>
            <w:vAlign w:val="center"/>
            <w:hideMark/>
          </w:tcPr>
          <w:p w14:paraId="4430EA1A" w14:textId="77777777" w:rsidR="001D2B6D" w:rsidRPr="00A53AD7" w:rsidRDefault="001D2B6D" w:rsidP="001D2B6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508" w:type="dxa"/>
            <w:tcBorders>
              <w:top w:val="nil"/>
              <w:left w:val="nil"/>
              <w:bottom w:val="single" w:sz="4" w:space="0" w:color="auto"/>
              <w:right w:val="single" w:sz="4" w:space="0" w:color="auto"/>
            </w:tcBorders>
            <w:shd w:val="clear" w:color="auto" w:fill="auto"/>
            <w:noWrap/>
            <w:vAlign w:val="center"/>
            <w:hideMark/>
          </w:tcPr>
          <w:p w14:paraId="2391BBE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24,4</w:t>
            </w:r>
          </w:p>
        </w:tc>
        <w:tc>
          <w:tcPr>
            <w:tcW w:w="709" w:type="dxa"/>
            <w:tcBorders>
              <w:top w:val="nil"/>
              <w:left w:val="nil"/>
              <w:bottom w:val="single" w:sz="4" w:space="0" w:color="auto"/>
              <w:right w:val="single" w:sz="4" w:space="0" w:color="auto"/>
            </w:tcBorders>
            <w:shd w:val="clear" w:color="auto" w:fill="auto"/>
            <w:noWrap/>
            <w:vAlign w:val="center"/>
            <w:hideMark/>
          </w:tcPr>
          <w:p w14:paraId="28E1E881"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19,2</w:t>
            </w:r>
          </w:p>
        </w:tc>
        <w:tc>
          <w:tcPr>
            <w:tcW w:w="798" w:type="dxa"/>
            <w:tcBorders>
              <w:top w:val="nil"/>
              <w:left w:val="nil"/>
              <w:bottom w:val="single" w:sz="4" w:space="0" w:color="auto"/>
              <w:right w:val="single" w:sz="4" w:space="0" w:color="auto"/>
            </w:tcBorders>
            <w:shd w:val="clear" w:color="auto" w:fill="auto"/>
            <w:noWrap/>
            <w:vAlign w:val="center"/>
            <w:hideMark/>
          </w:tcPr>
          <w:p w14:paraId="7DA16C0F"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78,6</w:t>
            </w:r>
          </w:p>
        </w:tc>
        <w:tc>
          <w:tcPr>
            <w:tcW w:w="1162" w:type="dxa"/>
            <w:tcBorders>
              <w:top w:val="nil"/>
              <w:left w:val="nil"/>
              <w:bottom w:val="single" w:sz="4" w:space="0" w:color="auto"/>
              <w:right w:val="single" w:sz="4" w:space="0" w:color="auto"/>
            </w:tcBorders>
            <w:shd w:val="clear" w:color="auto" w:fill="auto"/>
            <w:noWrap/>
            <w:vAlign w:val="center"/>
            <w:hideMark/>
          </w:tcPr>
          <w:p w14:paraId="34BB7B6E"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19,2</w:t>
            </w:r>
          </w:p>
        </w:tc>
        <w:tc>
          <w:tcPr>
            <w:tcW w:w="773" w:type="dxa"/>
            <w:tcBorders>
              <w:top w:val="nil"/>
              <w:left w:val="nil"/>
              <w:bottom w:val="single" w:sz="4" w:space="0" w:color="auto"/>
              <w:right w:val="single" w:sz="4" w:space="0" w:color="auto"/>
            </w:tcBorders>
            <w:shd w:val="clear" w:color="auto" w:fill="auto"/>
            <w:noWrap/>
            <w:vAlign w:val="center"/>
            <w:hideMark/>
          </w:tcPr>
          <w:p w14:paraId="177AE7BB"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78,6</w:t>
            </w:r>
          </w:p>
        </w:tc>
        <w:tc>
          <w:tcPr>
            <w:tcW w:w="848" w:type="dxa"/>
            <w:tcBorders>
              <w:top w:val="nil"/>
              <w:left w:val="nil"/>
              <w:bottom w:val="single" w:sz="4" w:space="0" w:color="auto"/>
              <w:right w:val="single" w:sz="4" w:space="0" w:color="auto"/>
            </w:tcBorders>
            <w:shd w:val="clear" w:color="auto" w:fill="auto"/>
            <w:noWrap/>
            <w:vAlign w:val="center"/>
            <w:hideMark/>
          </w:tcPr>
          <w:p w14:paraId="6118B052"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573" w:type="dxa"/>
            <w:tcBorders>
              <w:top w:val="nil"/>
              <w:left w:val="nil"/>
              <w:bottom w:val="single" w:sz="4" w:space="0" w:color="auto"/>
              <w:right w:val="double" w:sz="4" w:space="0" w:color="auto"/>
            </w:tcBorders>
            <w:shd w:val="clear" w:color="auto" w:fill="auto"/>
            <w:noWrap/>
            <w:vAlign w:val="center"/>
            <w:hideMark/>
          </w:tcPr>
          <w:p w14:paraId="0B312D42"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6E734C43" w14:textId="77777777" w:rsidTr="001D2B6D">
        <w:trPr>
          <w:trHeight w:val="315"/>
        </w:trPr>
        <w:tc>
          <w:tcPr>
            <w:tcW w:w="3011" w:type="dxa"/>
            <w:tcBorders>
              <w:top w:val="nil"/>
              <w:left w:val="double" w:sz="4" w:space="0" w:color="auto"/>
              <w:bottom w:val="single" w:sz="8" w:space="0" w:color="auto"/>
              <w:right w:val="single" w:sz="4" w:space="0" w:color="auto"/>
            </w:tcBorders>
            <w:shd w:val="clear" w:color="auto" w:fill="auto"/>
            <w:noWrap/>
            <w:vAlign w:val="center"/>
            <w:hideMark/>
          </w:tcPr>
          <w:p w14:paraId="770B49E3" w14:textId="77777777" w:rsidR="001D2B6D" w:rsidRPr="00A53AD7" w:rsidRDefault="001D2B6D" w:rsidP="001D2B6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508" w:type="dxa"/>
            <w:tcBorders>
              <w:top w:val="nil"/>
              <w:left w:val="nil"/>
              <w:bottom w:val="single" w:sz="8" w:space="0" w:color="auto"/>
              <w:right w:val="single" w:sz="4" w:space="0" w:color="auto"/>
            </w:tcBorders>
            <w:shd w:val="clear" w:color="auto" w:fill="auto"/>
            <w:noWrap/>
            <w:vAlign w:val="center"/>
            <w:hideMark/>
          </w:tcPr>
          <w:p w14:paraId="071E8B2B"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11,0</w:t>
            </w:r>
          </w:p>
        </w:tc>
        <w:tc>
          <w:tcPr>
            <w:tcW w:w="709" w:type="dxa"/>
            <w:tcBorders>
              <w:top w:val="nil"/>
              <w:left w:val="nil"/>
              <w:bottom w:val="single" w:sz="8" w:space="0" w:color="auto"/>
              <w:right w:val="single" w:sz="4" w:space="0" w:color="auto"/>
            </w:tcBorders>
            <w:shd w:val="clear" w:color="auto" w:fill="auto"/>
            <w:noWrap/>
            <w:vAlign w:val="center"/>
            <w:hideMark/>
          </w:tcPr>
          <w:p w14:paraId="39CDB448"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7,4</w:t>
            </w:r>
          </w:p>
        </w:tc>
        <w:tc>
          <w:tcPr>
            <w:tcW w:w="798" w:type="dxa"/>
            <w:tcBorders>
              <w:top w:val="nil"/>
              <w:left w:val="nil"/>
              <w:bottom w:val="single" w:sz="8" w:space="0" w:color="auto"/>
              <w:right w:val="single" w:sz="4" w:space="0" w:color="auto"/>
            </w:tcBorders>
            <w:shd w:val="clear" w:color="auto" w:fill="auto"/>
            <w:noWrap/>
            <w:vAlign w:val="center"/>
            <w:hideMark/>
          </w:tcPr>
          <w:p w14:paraId="238A08D2"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67,8</w:t>
            </w:r>
          </w:p>
        </w:tc>
        <w:tc>
          <w:tcPr>
            <w:tcW w:w="1162" w:type="dxa"/>
            <w:tcBorders>
              <w:top w:val="nil"/>
              <w:left w:val="nil"/>
              <w:bottom w:val="single" w:sz="8" w:space="0" w:color="auto"/>
              <w:right w:val="single" w:sz="4" w:space="0" w:color="auto"/>
            </w:tcBorders>
            <w:shd w:val="clear" w:color="auto" w:fill="auto"/>
            <w:noWrap/>
            <w:vAlign w:val="center"/>
            <w:hideMark/>
          </w:tcPr>
          <w:p w14:paraId="018131E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7,4</w:t>
            </w:r>
          </w:p>
        </w:tc>
        <w:tc>
          <w:tcPr>
            <w:tcW w:w="773" w:type="dxa"/>
            <w:tcBorders>
              <w:top w:val="nil"/>
              <w:left w:val="nil"/>
              <w:bottom w:val="single" w:sz="8" w:space="0" w:color="auto"/>
              <w:right w:val="single" w:sz="4" w:space="0" w:color="auto"/>
            </w:tcBorders>
            <w:shd w:val="clear" w:color="auto" w:fill="auto"/>
            <w:noWrap/>
            <w:vAlign w:val="center"/>
            <w:hideMark/>
          </w:tcPr>
          <w:p w14:paraId="5463A3E3"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67,8</w:t>
            </w:r>
          </w:p>
        </w:tc>
        <w:tc>
          <w:tcPr>
            <w:tcW w:w="848" w:type="dxa"/>
            <w:tcBorders>
              <w:top w:val="nil"/>
              <w:left w:val="nil"/>
              <w:bottom w:val="single" w:sz="8" w:space="0" w:color="auto"/>
              <w:right w:val="single" w:sz="4" w:space="0" w:color="auto"/>
            </w:tcBorders>
            <w:shd w:val="clear" w:color="auto" w:fill="auto"/>
            <w:noWrap/>
            <w:vAlign w:val="center"/>
            <w:hideMark/>
          </w:tcPr>
          <w:p w14:paraId="0D930DD1"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573" w:type="dxa"/>
            <w:tcBorders>
              <w:top w:val="nil"/>
              <w:left w:val="nil"/>
              <w:bottom w:val="single" w:sz="8" w:space="0" w:color="auto"/>
              <w:right w:val="double" w:sz="4" w:space="0" w:color="auto"/>
            </w:tcBorders>
            <w:shd w:val="clear" w:color="auto" w:fill="auto"/>
            <w:noWrap/>
            <w:vAlign w:val="center"/>
            <w:hideMark/>
          </w:tcPr>
          <w:p w14:paraId="5D85BB67"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056BECC4" w14:textId="77777777" w:rsidTr="001D2B6D">
        <w:trPr>
          <w:trHeight w:val="211"/>
        </w:trPr>
        <w:tc>
          <w:tcPr>
            <w:tcW w:w="3011" w:type="dxa"/>
            <w:tcBorders>
              <w:top w:val="nil"/>
              <w:left w:val="double" w:sz="4" w:space="0" w:color="auto"/>
              <w:bottom w:val="single" w:sz="4" w:space="0" w:color="auto"/>
              <w:right w:val="nil"/>
            </w:tcBorders>
            <w:shd w:val="clear" w:color="auto" w:fill="auto"/>
            <w:vAlign w:val="center"/>
            <w:hideMark/>
          </w:tcPr>
          <w:p w14:paraId="58418B1E"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Минстрой АО</w:t>
            </w:r>
          </w:p>
        </w:tc>
        <w:tc>
          <w:tcPr>
            <w:tcW w:w="1508" w:type="dxa"/>
            <w:tcBorders>
              <w:top w:val="nil"/>
              <w:left w:val="single" w:sz="8" w:space="0" w:color="auto"/>
              <w:bottom w:val="single" w:sz="4" w:space="0" w:color="auto"/>
              <w:right w:val="single" w:sz="4" w:space="0" w:color="auto"/>
            </w:tcBorders>
            <w:shd w:val="clear" w:color="auto" w:fill="auto"/>
            <w:noWrap/>
            <w:vAlign w:val="center"/>
            <w:hideMark/>
          </w:tcPr>
          <w:p w14:paraId="6582E393"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244,3</w:t>
            </w:r>
          </w:p>
        </w:tc>
        <w:tc>
          <w:tcPr>
            <w:tcW w:w="709" w:type="dxa"/>
            <w:tcBorders>
              <w:top w:val="nil"/>
              <w:left w:val="nil"/>
              <w:bottom w:val="single" w:sz="4" w:space="0" w:color="auto"/>
              <w:right w:val="single" w:sz="4" w:space="0" w:color="auto"/>
            </w:tcBorders>
            <w:shd w:val="clear" w:color="auto" w:fill="auto"/>
            <w:noWrap/>
            <w:vAlign w:val="center"/>
            <w:hideMark/>
          </w:tcPr>
          <w:p w14:paraId="69616AE5"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41,3</w:t>
            </w:r>
          </w:p>
        </w:tc>
        <w:tc>
          <w:tcPr>
            <w:tcW w:w="798" w:type="dxa"/>
            <w:tcBorders>
              <w:top w:val="nil"/>
              <w:left w:val="nil"/>
              <w:bottom w:val="single" w:sz="4" w:space="0" w:color="auto"/>
              <w:right w:val="single" w:sz="4" w:space="0" w:color="auto"/>
            </w:tcBorders>
            <w:shd w:val="clear" w:color="auto" w:fill="auto"/>
            <w:noWrap/>
            <w:vAlign w:val="center"/>
            <w:hideMark/>
          </w:tcPr>
          <w:p w14:paraId="594ED3FE"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16,9</w:t>
            </w:r>
          </w:p>
        </w:tc>
        <w:tc>
          <w:tcPr>
            <w:tcW w:w="1162" w:type="dxa"/>
            <w:tcBorders>
              <w:top w:val="nil"/>
              <w:left w:val="nil"/>
              <w:bottom w:val="single" w:sz="4" w:space="0" w:color="auto"/>
              <w:right w:val="single" w:sz="4" w:space="0" w:color="auto"/>
            </w:tcBorders>
            <w:shd w:val="clear" w:color="auto" w:fill="auto"/>
            <w:noWrap/>
            <w:vAlign w:val="center"/>
            <w:hideMark/>
          </w:tcPr>
          <w:p w14:paraId="40279A5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35,0</w:t>
            </w:r>
          </w:p>
        </w:tc>
        <w:tc>
          <w:tcPr>
            <w:tcW w:w="773" w:type="dxa"/>
            <w:tcBorders>
              <w:top w:val="nil"/>
              <w:left w:val="nil"/>
              <w:bottom w:val="single" w:sz="4" w:space="0" w:color="auto"/>
              <w:right w:val="single" w:sz="4" w:space="0" w:color="auto"/>
            </w:tcBorders>
            <w:shd w:val="clear" w:color="auto" w:fill="auto"/>
            <w:noWrap/>
            <w:vAlign w:val="center"/>
            <w:hideMark/>
          </w:tcPr>
          <w:p w14:paraId="4A58674D"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14,3</w:t>
            </w:r>
          </w:p>
        </w:tc>
        <w:tc>
          <w:tcPr>
            <w:tcW w:w="848" w:type="dxa"/>
            <w:tcBorders>
              <w:top w:val="nil"/>
              <w:left w:val="nil"/>
              <w:bottom w:val="single" w:sz="4" w:space="0" w:color="auto"/>
              <w:right w:val="single" w:sz="4" w:space="0" w:color="auto"/>
            </w:tcBorders>
            <w:shd w:val="clear" w:color="auto" w:fill="auto"/>
            <w:noWrap/>
            <w:vAlign w:val="center"/>
            <w:hideMark/>
          </w:tcPr>
          <w:p w14:paraId="3C7FC632"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w:t>
            </w:r>
          </w:p>
        </w:tc>
        <w:tc>
          <w:tcPr>
            <w:tcW w:w="573" w:type="dxa"/>
            <w:tcBorders>
              <w:top w:val="nil"/>
              <w:left w:val="nil"/>
              <w:bottom w:val="single" w:sz="4" w:space="0" w:color="auto"/>
              <w:right w:val="double" w:sz="4" w:space="0" w:color="auto"/>
            </w:tcBorders>
            <w:shd w:val="clear" w:color="auto" w:fill="auto"/>
            <w:noWrap/>
            <w:vAlign w:val="center"/>
            <w:hideMark/>
          </w:tcPr>
          <w:p w14:paraId="0CE3421C"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2,6</w:t>
            </w:r>
          </w:p>
        </w:tc>
      </w:tr>
      <w:tr w:rsidR="00D470B6" w:rsidRPr="00A53AD7" w14:paraId="327ABFCD" w14:textId="77777777" w:rsidTr="001D2B6D">
        <w:trPr>
          <w:trHeight w:val="98"/>
        </w:trPr>
        <w:tc>
          <w:tcPr>
            <w:tcW w:w="3011" w:type="dxa"/>
            <w:tcBorders>
              <w:top w:val="nil"/>
              <w:left w:val="double" w:sz="4" w:space="0" w:color="auto"/>
              <w:bottom w:val="single" w:sz="4" w:space="0" w:color="auto"/>
              <w:right w:val="nil"/>
            </w:tcBorders>
            <w:shd w:val="clear" w:color="auto" w:fill="auto"/>
            <w:noWrap/>
            <w:vAlign w:val="center"/>
            <w:hideMark/>
          </w:tcPr>
          <w:p w14:paraId="1866BE59" w14:textId="77777777" w:rsidR="001D2B6D" w:rsidRPr="00A53AD7" w:rsidRDefault="001D2B6D" w:rsidP="001D2B6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508" w:type="dxa"/>
            <w:tcBorders>
              <w:top w:val="nil"/>
              <w:left w:val="single" w:sz="8" w:space="0" w:color="auto"/>
              <w:bottom w:val="single" w:sz="4" w:space="0" w:color="auto"/>
              <w:right w:val="single" w:sz="4" w:space="0" w:color="auto"/>
            </w:tcBorders>
            <w:shd w:val="clear" w:color="auto" w:fill="auto"/>
            <w:noWrap/>
            <w:vAlign w:val="center"/>
            <w:hideMark/>
          </w:tcPr>
          <w:p w14:paraId="38A1171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130,0</w:t>
            </w:r>
          </w:p>
        </w:tc>
        <w:tc>
          <w:tcPr>
            <w:tcW w:w="709" w:type="dxa"/>
            <w:tcBorders>
              <w:top w:val="nil"/>
              <w:left w:val="nil"/>
              <w:bottom w:val="single" w:sz="4" w:space="0" w:color="auto"/>
              <w:right w:val="single" w:sz="4" w:space="0" w:color="auto"/>
            </w:tcBorders>
            <w:shd w:val="clear" w:color="auto" w:fill="auto"/>
            <w:noWrap/>
            <w:vAlign w:val="center"/>
            <w:hideMark/>
          </w:tcPr>
          <w:p w14:paraId="16FF1D5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24,2</w:t>
            </w:r>
          </w:p>
        </w:tc>
        <w:tc>
          <w:tcPr>
            <w:tcW w:w="798" w:type="dxa"/>
            <w:tcBorders>
              <w:top w:val="nil"/>
              <w:left w:val="nil"/>
              <w:bottom w:val="single" w:sz="4" w:space="0" w:color="auto"/>
              <w:right w:val="single" w:sz="4" w:space="0" w:color="auto"/>
            </w:tcBorders>
            <w:shd w:val="clear" w:color="auto" w:fill="auto"/>
            <w:noWrap/>
            <w:vAlign w:val="center"/>
            <w:hideMark/>
          </w:tcPr>
          <w:p w14:paraId="5414E8CB"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18,6</w:t>
            </w:r>
          </w:p>
        </w:tc>
        <w:tc>
          <w:tcPr>
            <w:tcW w:w="1162" w:type="dxa"/>
            <w:tcBorders>
              <w:top w:val="nil"/>
              <w:left w:val="nil"/>
              <w:bottom w:val="single" w:sz="4" w:space="0" w:color="auto"/>
              <w:right w:val="single" w:sz="4" w:space="0" w:color="auto"/>
            </w:tcBorders>
            <w:shd w:val="clear" w:color="auto" w:fill="auto"/>
            <w:noWrap/>
            <w:vAlign w:val="center"/>
            <w:hideMark/>
          </w:tcPr>
          <w:p w14:paraId="4133A650"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17,9</w:t>
            </w:r>
          </w:p>
        </w:tc>
        <w:tc>
          <w:tcPr>
            <w:tcW w:w="773" w:type="dxa"/>
            <w:tcBorders>
              <w:top w:val="nil"/>
              <w:left w:val="nil"/>
              <w:bottom w:val="single" w:sz="4" w:space="0" w:color="auto"/>
              <w:right w:val="single" w:sz="4" w:space="0" w:color="auto"/>
            </w:tcBorders>
            <w:shd w:val="clear" w:color="auto" w:fill="auto"/>
            <w:noWrap/>
            <w:vAlign w:val="center"/>
            <w:hideMark/>
          </w:tcPr>
          <w:p w14:paraId="75801A7C"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13,8</w:t>
            </w:r>
          </w:p>
        </w:tc>
        <w:tc>
          <w:tcPr>
            <w:tcW w:w="848" w:type="dxa"/>
            <w:tcBorders>
              <w:top w:val="nil"/>
              <w:left w:val="nil"/>
              <w:bottom w:val="single" w:sz="4" w:space="0" w:color="auto"/>
              <w:right w:val="single" w:sz="4" w:space="0" w:color="auto"/>
            </w:tcBorders>
            <w:shd w:val="clear" w:color="auto" w:fill="auto"/>
            <w:noWrap/>
            <w:vAlign w:val="center"/>
            <w:hideMark/>
          </w:tcPr>
          <w:p w14:paraId="4E84F591"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w:t>
            </w:r>
          </w:p>
        </w:tc>
        <w:tc>
          <w:tcPr>
            <w:tcW w:w="573" w:type="dxa"/>
            <w:tcBorders>
              <w:top w:val="nil"/>
              <w:left w:val="nil"/>
              <w:bottom w:val="single" w:sz="4" w:space="0" w:color="auto"/>
              <w:right w:val="double" w:sz="4" w:space="0" w:color="auto"/>
            </w:tcBorders>
            <w:shd w:val="clear" w:color="auto" w:fill="auto"/>
            <w:noWrap/>
            <w:vAlign w:val="center"/>
            <w:hideMark/>
          </w:tcPr>
          <w:p w14:paraId="5DCD928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4,8</w:t>
            </w:r>
          </w:p>
        </w:tc>
      </w:tr>
      <w:tr w:rsidR="00D470B6" w:rsidRPr="00A53AD7" w14:paraId="330ED16C" w14:textId="77777777" w:rsidTr="001D2B6D">
        <w:trPr>
          <w:trHeight w:val="315"/>
        </w:trPr>
        <w:tc>
          <w:tcPr>
            <w:tcW w:w="3011" w:type="dxa"/>
            <w:tcBorders>
              <w:top w:val="nil"/>
              <w:left w:val="double" w:sz="4" w:space="0" w:color="auto"/>
              <w:bottom w:val="nil"/>
              <w:right w:val="nil"/>
            </w:tcBorders>
            <w:shd w:val="clear" w:color="auto" w:fill="auto"/>
            <w:noWrap/>
            <w:vAlign w:val="center"/>
            <w:hideMark/>
          </w:tcPr>
          <w:p w14:paraId="2A1CD9E4" w14:textId="77777777" w:rsidR="001D2B6D" w:rsidRPr="00A53AD7" w:rsidRDefault="001D2B6D" w:rsidP="001D2B6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508" w:type="dxa"/>
            <w:tcBorders>
              <w:top w:val="nil"/>
              <w:left w:val="single" w:sz="8" w:space="0" w:color="auto"/>
              <w:bottom w:val="single" w:sz="8" w:space="0" w:color="auto"/>
              <w:right w:val="single" w:sz="4" w:space="0" w:color="auto"/>
            </w:tcBorders>
            <w:shd w:val="clear" w:color="auto" w:fill="auto"/>
            <w:noWrap/>
            <w:vAlign w:val="center"/>
            <w:hideMark/>
          </w:tcPr>
          <w:p w14:paraId="2FDFBF12"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114,3</w:t>
            </w:r>
          </w:p>
        </w:tc>
        <w:tc>
          <w:tcPr>
            <w:tcW w:w="709" w:type="dxa"/>
            <w:tcBorders>
              <w:top w:val="nil"/>
              <w:left w:val="nil"/>
              <w:bottom w:val="single" w:sz="8" w:space="0" w:color="auto"/>
              <w:right w:val="single" w:sz="4" w:space="0" w:color="auto"/>
            </w:tcBorders>
            <w:shd w:val="clear" w:color="auto" w:fill="auto"/>
            <w:noWrap/>
            <w:vAlign w:val="center"/>
            <w:hideMark/>
          </w:tcPr>
          <w:p w14:paraId="35B1D4B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17,1</w:t>
            </w:r>
          </w:p>
        </w:tc>
        <w:tc>
          <w:tcPr>
            <w:tcW w:w="798" w:type="dxa"/>
            <w:tcBorders>
              <w:top w:val="nil"/>
              <w:left w:val="nil"/>
              <w:bottom w:val="single" w:sz="8" w:space="0" w:color="auto"/>
              <w:right w:val="single" w:sz="4" w:space="0" w:color="auto"/>
            </w:tcBorders>
            <w:shd w:val="clear" w:color="auto" w:fill="auto"/>
            <w:noWrap/>
            <w:vAlign w:val="center"/>
            <w:hideMark/>
          </w:tcPr>
          <w:p w14:paraId="0239DBF4"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15,0</w:t>
            </w:r>
          </w:p>
        </w:tc>
        <w:tc>
          <w:tcPr>
            <w:tcW w:w="1162" w:type="dxa"/>
            <w:tcBorders>
              <w:top w:val="nil"/>
              <w:left w:val="nil"/>
              <w:bottom w:val="single" w:sz="8" w:space="0" w:color="auto"/>
              <w:right w:val="single" w:sz="4" w:space="0" w:color="auto"/>
            </w:tcBorders>
            <w:shd w:val="clear" w:color="auto" w:fill="auto"/>
            <w:noWrap/>
            <w:vAlign w:val="center"/>
            <w:hideMark/>
          </w:tcPr>
          <w:p w14:paraId="00B7DBF6"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17,1</w:t>
            </w:r>
          </w:p>
        </w:tc>
        <w:tc>
          <w:tcPr>
            <w:tcW w:w="773" w:type="dxa"/>
            <w:tcBorders>
              <w:top w:val="nil"/>
              <w:left w:val="nil"/>
              <w:bottom w:val="single" w:sz="8" w:space="0" w:color="auto"/>
              <w:right w:val="single" w:sz="4" w:space="0" w:color="auto"/>
            </w:tcBorders>
            <w:shd w:val="clear" w:color="auto" w:fill="auto"/>
            <w:noWrap/>
            <w:vAlign w:val="center"/>
            <w:hideMark/>
          </w:tcPr>
          <w:p w14:paraId="287E2850"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15,0</w:t>
            </w:r>
          </w:p>
        </w:tc>
        <w:tc>
          <w:tcPr>
            <w:tcW w:w="848" w:type="dxa"/>
            <w:tcBorders>
              <w:top w:val="nil"/>
              <w:left w:val="nil"/>
              <w:bottom w:val="single" w:sz="8" w:space="0" w:color="auto"/>
              <w:right w:val="single" w:sz="4" w:space="0" w:color="auto"/>
            </w:tcBorders>
            <w:shd w:val="clear" w:color="auto" w:fill="auto"/>
            <w:noWrap/>
            <w:vAlign w:val="center"/>
            <w:hideMark/>
          </w:tcPr>
          <w:p w14:paraId="0ADD5B87"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573" w:type="dxa"/>
            <w:tcBorders>
              <w:top w:val="nil"/>
              <w:left w:val="nil"/>
              <w:bottom w:val="single" w:sz="8" w:space="0" w:color="auto"/>
              <w:right w:val="double" w:sz="4" w:space="0" w:color="auto"/>
            </w:tcBorders>
            <w:shd w:val="clear" w:color="auto" w:fill="auto"/>
            <w:noWrap/>
            <w:vAlign w:val="center"/>
            <w:hideMark/>
          </w:tcPr>
          <w:p w14:paraId="690D01E6"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r>
      <w:tr w:rsidR="00D470B6" w:rsidRPr="00A53AD7" w14:paraId="62FECF25" w14:textId="77777777" w:rsidTr="001D2B6D">
        <w:trPr>
          <w:trHeight w:val="450"/>
        </w:trPr>
        <w:tc>
          <w:tcPr>
            <w:tcW w:w="3011" w:type="dxa"/>
            <w:tcBorders>
              <w:top w:val="single" w:sz="8" w:space="0" w:color="auto"/>
              <w:left w:val="double" w:sz="4" w:space="0" w:color="auto"/>
              <w:bottom w:val="single" w:sz="4" w:space="0" w:color="auto"/>
              <w:right w:val="single" w:sz="4" w:space="0" w:color="auto"/>
            </w:tcBorders>
            <w:shd w:val="clear" w:color="auto" w:fill="auto"/>
            <w:vAlign w:val="center"/>
            <w:hideMark/>
          </w:tcPr>
          <w:p w14:paraId="5A84FDF1" w14:textId="77777777" w:rsidR="001D2B6D" w:rsidRPr="00A53AD7" w:rsidRDefault="001D2B6D" w:rsidP="001D2B6D">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 по подпрограмме № 3</w:t>
            </w:r>
          </w:p>
        </w:tc>
        <w:tc>
          <w:tcPr>
            <w:tcW w:w="1508" w:type="dxa"/>
            <w:tcBorders>
              <w:top w:val="nil"/>
              <w:left w:val="nil"/>
              <w:bottom w:val="single" w:sz="4" w:space="0" w:color="auto"/>
              <w:right w:val="single" w:sz="4" w:space="0" w:color="auto"/>
            </w:tcBorders>
            <w:shd w:val="clear" w:color="auto" w:fill="auto"/>
            <w:noWrap/>
            <w:vAlign w:val="center"/>
            <w:hideMark/>
          </w:tcPr>
          <w:p w14:paraId="3B0EDAFF"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279,7</w:t>
            </w:r>
          </w:p>
        </w:tc>
        <w:tc>
          <w:tcPr>
            <w:tcW w:w="709" w:type="dxa"/>
            <w:tcBorders>
              <w:top w:val="nil"/>
              <w:left w:val="nil"/>
              <w:bottom w:val="single" w:sz="4" w:space="0" w:color="auto"/>
              <w:right w:val="single" w:sz="4" w:space="0" w:color="auto"/>
            </w:tcBorders>
            <w:shd w:val="clear" w:color="auto" w:fill="auto"/>
            <w:noWrap/>
            <w:vAlign w:val="center"/>
            <w:hideMark/>
          </w:tcPr>
          <w:p w14:paraId="43F43750"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67,9</w:t>
            </w:r>
          </w:p>
        </w:tc>
        <w:tc>
          <w:tcPr>
            <w:tcW w:w="798" w:type="dxa"/>
            <w:tcBorders>
              <w:top w:val="nil"/>
              <w:left w:val="nil"/>
              <w:bottom w:val="single" w:sz="4" w:space="0" w:color="auto"/>
              <w:right w:val="single" w:sz="4" w:space="0" w:color="auto"/>
            </w:tcBorders>
            <w:shd w:val="clear" w:color="auto" w:fill="auto"/>
            <w:noWrap/>
            <w:vAlign w:val="center"/>
            <w:hideMark/>
          </w:tcPr>
          <w:p w14:paraId="0AFAC74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24,3</w:t>
            </w:r>
          </w:p>
        </w:tc>
        <w:tc>
          <w:tcPr>
            <w:tcW w:w="1162" w:type="dxa"/>
            <w:tcBorders>
              <w:top w:val="nil"/>
              <w:left w:val="nil"/>
              <w:bottom w:val="single" w:sz="4" w:space="0" w:color="auto"/>
              <w:right w:val="single" w:sz="4" w:space="0" w:color="auto"/>
            </w:tcBorders>
            <w:shd w:val="clear" w:color="auto" w:fill="auto"/>
            <w:noWrap/>
            <w:vAlign w:val="center"/>
            <w:hideMark/>
          </w:tcPr>
          <w:p w14:paraId="51BB2EF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61,6</w:t>
            </w:r>
          </w:p>
        </w:tc>
        <w:tc>
          <w:tcPr>
            <w:tcW w:w="773" w:type="dxa"/>
            <w:tcBorders>
              <w:top w:val="nil"/>
              <w:left w:val="nil"/>
              <w:bottom w:val="single" w:sz="4" w:space="0" w:color="auto"/>
              <w:right w:val="single" w:sz="4" w:space="0" w:color="auto"/>
            </w:tcBorders>
            <w:shd w:val="clear" w:color="auto" w:fill="auto"/>
            <w:noWrap/>
            <w:vAlign w:val="center"/>
            <w:hideMark/>
          </w:tcPr>
          <w:p w14:paraId="150529C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22,0</w:t>
            </w:r>
          </w:p>
        </w:tc>
        <w:tc>
          <w:tcPr>
            <w:tcW w:w="848" w:type="dxa"/>
            <w:tcBorders>
              <w:top w:val="nil"/>
              <w:left w:val="nil"/>
              <w:bottom w:val="single" w:sz="4" w:space="0" w:color="auto"/>
              <w:right w:val="single" w:sz="4" w:space="0" w:color="auto"/>
            </w:tcBorders>
            <w:shd w:val="clear" w:color="auto" w:fill="auto"/>
            <w:noWrap/>
            <w:vAlign w:val="center"/>
            <w:hideMark/>
          </w:tcPr>
          <w:p w14:paraId="02205053"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w:t>
            </w:r>
          </w:p>
        </w:tc>
        <w:tc>
          <w:tcPr>
            <w:tcW w:w="573" w:type="dxa"/>
            <w:tcBorders>
              <w:top w:val="nil"/>
              <w:left w:val="nil"/>
              <w:bottom w:val="single" w:sz="4" w:space="0" w:color="auto"/>
              <w:right w:val="double" w:sz="4" w:space="0" w:color="auto"/>
            </w:tcBorders>
            <w:shd w:val="clear" w:color="auto" w:fill="auto"/>
            <w:noWrap/>
            <w:vAlign w:val="center"/>
            <w:hideMark/>
          </w:tcPr>
          <w:p w14:paraId="2CB626E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w:t>
            </w:r>
          </w:p>
        </w:tc>
      </w:tr>
      <w:tr w:rsidR="00D470B6" w:rsidRPr="00A53AD7" w14:paraId="1446C3C4" w14:textId="77777777" w:rsidTr="001D2B6D">
        <w:trPr>
          <w:trHeight w:val="300"/>
        </w:trPr>
        <w:tc>
          <w:tcPr>
            <w:tcW w:w="3011" w:type="dxa"/>
            <w:tcBorders>
              <w:top w:val="nil"/>
              <w:left w:val="double" w:sz="4" w:space="0" w:color="auto"/>
              <w:bottom w:val="single" w:sz="4" w:space="0" w:color="auto"/>
              <w:right w:val="single" w:sz="4" w:space="0" w:color="auto"/>
            </w:tcBorders>
            <w:shd w:val="clear" w:color="auto" w:fill="auto"/>
            <w:noWrap/>
            <w:vAlign w:val="center"/>
            <w:hideMark/>
          </w:tcPr>
          <w:p w14:paraId="645DB8DF"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Средства областного бюджета</w:t>
            </w:r>
          </w:p>
        </w:tc>
        <w:tc>
          <w:tcPr>
            <w:tcW w:w="1508" w:type="dxa"/>
            <w:tcBorders>
              <w:top w:val="nil"/>
              <w:left w:val="nil"/>
              <w:bottom w:val="single" w:sz="4" w:space="0" w:color="auto"/>
              <w:right w:val="single" w:sz="4" w:space="0" w:color="auto"/>
            </w:tcBorders>
            <w:shd w:val="clear" w:color="auto" w:fill="auto"/>
            <w:noWrap/>
            <w:vAlign w:val="center"/>
            <w:hideMark/>
          </w:tcPr>
          <w:p w14:paraId="7A8A3B9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154,4</w:t>
            </w:r>
          </w:p>
        </w:tc>
        <w:tc>
          <w:tcPr>
            <w:tcW w:w="709" w:type="dxa"/>
            <w:tcBorders>
              <w:top w:val="nil"/>
              <w:left w:val="nil"/>
              <w:bottom w:val="single" w:sz="4" w:space="0" w:color="auto"/>
              <w:right w:val="single" w:sz="4" w:space="0" w:color="auto"/>
            </w:tcBorders>
            <w:shd w:val="clear" w:color="auto" w:fill="auto"/>
            <w:noWrap/>
            <w:vAlign w:val="center"/>
            <w:hideMark/>
          </w:tcPr>
          <w:p w14:paraId="241C33D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43,4</w:t>
            </w:r>
          </w:p>
        </w:tc>
        <w:tc>
          <w:tcPr>
            <w:tcW w:w="798" w:type="dxa"/>
            <w:tcBorders>
              <w:top w:val="nil"/>
              <w:left w:val="nil"/>
              <w:bottom w:val="single" w:sz="4" w:space="0" w:color="auto"/>
              <w:right w:val="single" w:sz="4" w:space="0" w:color="auto"/>
            </w:tcBorders>
            <w:shd w:val="clear" w:color="auto" w:fill="auto"/>
            <w:noWrap/>
            <w:vAlign w:val="center"/>
            <w:hideMark/>
          </w:tcPr>
          <w:p w14:paraId="68FDBD35"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28,1</w:t>
            </w:r>
          </w:p>
        </w:tc>
        <w:tc>
          <w:tcPr>
            <w:tcW w:w="1162" w:type="dxa"/>
            <w:tcBorders>
              <w:top w:val="nil"/>
              <w:left w:val="nil"/>
              <w:bottom w:val="single" w:sz="4" w:space="0" w:color="auto"/>
              <w:right w:val="single" w:sz="4" w:space="0" w:color="auto"/>
            </w:tcBorders>
            <w:shd w:val="clear" w:color="auto" w:fill="auto"/>
            <w:noWrap/>
            <w:vAlign w:val="center"/>
            <w:hideMark/>
          </w:tcPr>
          <w:p w14:paraId="69508EFD"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37,1</w:t>
            </w:r>
          </w:p>
        </w:tc>
        <w:tc>
          <w:tcPr>
            <w:tcW w:w="773" w:type="dxa"/>
            <w:tcBorders>
              <w:top w:val="nil"/>
              <w:left w:val="nil"/>
              <w:bottom w:val="single" w:sz="4" w:space="0" w:color="auto"/>
              <w:right w:val="single" w:sz="4" w:space="0" w:color="auto"/>
            </w:tcBorders>
            <w:shd w:val="clear" w:color="auto" w:fill="auto"/>
            <w:noWrap/>
            <w:vAlign w:val="center"/>
            <w:hideMark/>
          </w:tcPr>
          <w:p w14:paraId="528A7FF6"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24,0</w:t>
            </w:r>
          </w:p>
        </w:tc>
        <w:tc>
          <w:tcPr>
            <w:tcW w:w="848" w:type="dxa"/>
            <w:tcBorders>
              <w:top w:val="nil"/>
              <w:left w:val="nil"/>
              <w:bottom w:val="single" w:sz="4" w:space="0" w:color="auto"/>
              <w:right w:val="single" w:sz="4" w:space="0" w:color="auto"/>
            </w:tcBorders>
            <w:shd w:val="clear" w:color="auto" w:fill="auto"/>
            <w:noWrap/>
            <w:vAlign w:val="center"/>
            <w:hideMark/>
          </w:tcPr>
          <w:p w14:paraId="265BEA7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6,3</w:t>
            </w:r>
          </w:p>
        </w:tc>
        <w:tc>
          <w:tcPr>
            <w:tcW w:w="573" w:type="dxa"/>
            <w:tcBorders>
              <w:top w:val="nil"/>
              <w:left w:val="nil"/>
              <w:bottom w:val="single" w:sz="4" w:space="0" w:color="auto"/>
              <w:right w:val="double" w:sz="4" w:space="0" w:color="auto"/>
            </w:tcBorders>
            <w:shd w:val="clear" w:color="auto" w:fill="auto"/>
            <w:noWrap/>
            <w:vAlign w:val="center"/>
            <w:hideMark/>
          </w:tcPr>
          <w:p w14:paraId="2F3EB8DD"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w:t>
            </w:r>
          </w:p>
        </w:tc>
      </w:tr>
      <w:tr w:rsidR="001D2B6D" w:rsidRPr="00A53AD7" w14:paraId="3D8DE88A" w14:textId="77777777" w:rsidTr="001D2B6D">
        <w:trPr>
          <w:trHeight w:val="315"/>
        </w:trPr>
        <w:tc>
          <w:tcPr>
            <w:tcW w:w="3011" w:type="dxa"/>
            <w:tcBorders>
              <w:top w:val="nil"/>
              <w:left w:val="double" w:sz="4" w:space="0" w:color="auto"/>
              <w:bottom w:val="double" w:sz="4" w:space="0" w:color="auto"/>
              <w:right w:val="single" w:sz="4" w:space="0" w:color="auto"/>
            </w:tcBorders>
            <w:shd w:val="clear" w:color="auto" w:fill="auto"/>
            <w:noWrap/>
            <w:vAlign w:val="center"/>
            <w:hideMark/>
          </w:tcPr>
          <w:p w14:paraId="79D0E2A2" w14:textId="77777777" w:rsidR="001D2B6D" w:rsidRPr="00A53AD7" w:rsidRDefault="001D2B6D" w:rsidP="001D2B6D">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Средства федерального бюджета</w:t>
            </w:r>
          </w:p>
        </w:tc>
        <w:tc>
          <w:tcPr>
            <w:tcW w:w="1508" w:type="dxa"/>
            <w:tcBorders>
              <w:top w:val="nil"/>
              <w:left w:val="nil"/>
              <w:bottom w:val="double" w:sz="4" w:space="0" w:color="auto"/>
              <w:right w:val="single" w:sz="4" w:space="0" w:color="auto"/>
            </w:tcBorders>
            <w:shd w:val="clear" w:color="auto" w:fill="auto"/>
            <w:noWrap/>
            <w:vAlign w:val="center"/>
            <w:hideMark/>
          </w:tcPr>
          <w:p w14:paraId="5D93560A"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125,3</w:t>
            </w:r>
          </w:p>
        </w:tc>
        <w:tc>
          <w:tcPr>
            <w:tcW w:w="709" w:type="dxa"/>
            <w:tcBorders>
              <w:top w:val="nil"/>
              <w:left w:val="nil"/>
              <w:bottom w:val="double" w:sz="4" w:space="0" w:color="auto"/>
              <w:right w:val="single" w:sz="4" w:space="0" w:color="auto"/>
            </w:tcBorders>
            <w:shd w:val="clear" w:color="auto" w:fill="auto"/>
            <w:noWrap/>
            <w:vAlign w:val="center"/>
            <w:hideMark/>
          </w:tcPr>
          <w:p w14:paraId="78589AC4"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24,6</w:t>
            </w:r>
          </w:p>
        </w:tc>
        <w:tc>
          <w:tcPr>
            <w:tcW w:w="798" w:type="dxa"/>
            <w:tcBorders>
              <w:top w:val="nil"/>
              <w:left w:val="nil"/>
              <w:bottom w:val="double" w:sz="4" w:space="0" w:color="auto"/>
              <w:right w:val="single" w:sz="4" w:space="0" w:color="auto"/>
            </w:tcBorders>
            <w:shd w:val="clear" w:color="auto" w:fill="auto"/>
            <w:noWrap/>
            <w:vAlign w:val="center"/>
            <w:hideMark/>
          </w:tcPr>
          <w:p w14:paraId="7A3648EF"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19,6</w:t>
            </w:r>
          </w:p>
        </w:tc>
        <w:tc>
          <w:tcPr>
            <w:tcW w:w="1162" w:type="dxa"/>
            <w:tcBorders>
              <w:top w:val="nil"/>
              <w:left w:val="nil"/>
              <w:bottom w:val="double" w:sz="4" w:space="0" w:color="auto"/>
              <w:right w:val="single" w:sz="4" w:space="0" w:color="auto"/>
            </w:tcBorders>
            <w:shd w:val="clear" w:color="auto" w:fill="auto"/>
            <w:noWrap/>
            <w:vAlign w:val="center"/>
            <w:hideMark/>
          </w:tcPr>
          <w:p w14:paraId="0F990338"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24,5</w:t>
            </w:r>
          </w:p>
        </w:tc>
        <w:tc>
          <w:tcPr>
            <w:tcW w:w="773" w:type="dxa"/>
            <w:tcBorders>
              <w:top w:val="nil"/>
              <w:left w:val="nil"/>
              <w:bottom w:val="double" w:sz="4" w:space="0" w:color="auto"/>
              <w:right w:val="single" w:sz="4" w:space="0" w:color="auto"/>
            </w:tcBorders>
            <w:shd w:val="clear" w:color="auto" w:fill="auto"/>
            <w:noWrap/>
            <w:vAlign w:val="center"/>
            <w:hideMark/>
          </w:tcPr>
          <w:p w14:paraId="7C1D41B3"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19,6</w:t>
            </w:r>
          </w:p>
        </w:tc>
        <w:tc>
          <w:tcPr>
            <w:tcW w:w="848" w:type="dxa"/>
            <w:tcBorders>
              <w:top w:val="nil"/>
              <w:left w:val="nil"/>
              <w:bottom w:val="double" w:sz="4" w:space="0" w:color="auto"/>
              <w:right w:val="single" w:sz="4" w:space="0" w:color="auto"/>
            </w:tcBorders>
            <w:shd w:val="clear" w:color="auto" w:fill="auto"/>
            <w:noWrap/>
            <w:vAlign w:val="center"/>
            <w:hideMark/>
          </w:tcPr>
          <w:p w14:paraId="096E5F60"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c>
          <w:tcPr>
            <w:tcW w:w="573" w:type="dxa"/>
            <w:tcBorders>
              <w:top w:val="nil"/>
              <w:left w:val="nil"/>
              <w:bottom w:val="double" w:sz="4" w:space="0" w:color="auto"/>
              <w:right w:val="double" w:sz="4" w:space="0" w:color="auto"/>
            </w:tcBorders>
            <w:shd w:val="clear" w:color="auto" w:fill="auto"/>
            <w:noWrap/>
            <w:vAlign w:val="center"/>
            <w:hideMark/>
          </w:tcPr>
          <w:p w14:paraId="6A4D965A"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r>
    </w:tbl>
    <w:p w14:paraId="081EDAEA" w14:textId="77777777" w:rsidR="001D2B6D" w:rsidRPr="00A53AD7" w:rsidRDefault="001D2B6D" w:rsidP="001D2B6D">
      <w:pPr>
        <w:spacing w:after="0" w:line="240" w:lineRule="auto"/>
        <w:jc w:val="both"/>
        <w:rPr>
          <w:rFonts w:ascii="Times New Roman" w:hAnsi="Times New Roman"/>
          <w:sz w:val="28"/>
          <w:szCs w:val="28"/>
          <w:highlight w:val="cyan"/>
        </w:rPr>
      </w:pPr>
    </w:p>
    <w:p w14:paraId="22C1024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о достижении целевых показателей государственной программы из 33 показателей, предусмотренных к выполнению в 2019 году, не выполнено шесть и у всех исполнитель - минлеспром АО.</w:t>
      </w:r>
    </w:p>
    <w:p w14:paraId="6180106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по подпрограмме № 1 «Охрана окружающей среды и обеспечение экологической безопасности Архангельской области» не выполнено три показателя:</w:t>
      </w:r>
    </w:p>
    <w:p w14:paraId="09029112"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 Площадь земель, реабилитированных в результате ликвидации экологического ущерба от хозяйственной и иной деятельности:</w:t>
      </w:r>
    </w:p>
    <w:p w14:paraId="42841BDB"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35,81 га;</w:t>
      </w:r>
    </w:p>
    <w:p w14:paraId="612D82DD"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- 19,61 га, или 54,8 %.</w:t>
      </w:r>
    </w:p>
    <w:p w14:paraId="2A023E1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пояснениям, в ходе осуществления работ оказалось, что объем отходов, вывезенных со свалок, значительно превысил планируемый, поэтому ликвидированы 16 объектов размещения отходов из 45 запланированных по контракту.</w:t>
      </w:r>
    </w:p>
    <w:p w14:paraId="3315B29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 Доля твердых коммунальных отходов, направленных на обработку, в общем объеме образованных ТКО (в рамках реализации федерального проекта «Создание комплексной отрасли по обращению с твердыми коммунальными отходами» национального проекта «Экология»):</w:t>
      </w:r>
    </w:p>
    <w:p w14:paraId="6271B681"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20 %;</w:t>
      </w:r>
    </w:p>
    <w:p w14:paraId="3F7356AB"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0,2 %, или 1,0 %</w:t>
      </w:r>
    </w:p>
    <w:p w14:paraId="46D0B5D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Предложения по изменению показателя в государственной программе РФ «Охрана окружающей среды» направлены в Минприроды России из-за изменений, внесенных в территориальную схему обращения с отходами в августе 2019 года, сроки строительства объектов по обработке отходов перенесены на 2021 год.</w:t>
      </w:r>
    </w:p>
    <w:p w14:paraId="4FDDADA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3) Количество созданных мест (площадок) накопления (в том числе раздельного накопления) твердых коммунальных отходов:</w:t>
      </w:r>
    </w:p>
    <w:p w14:paraId="065C061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1 100 шт.;</w:t>
      </w:r>
    </w:p>
    <w:p w14:paraId="13623DBB"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937 шт. или 85,2 %.</w:t>
      </w:r>
    </w:p>
    <w:p w14:paraId="3AE6EA34" w14:textId="6E907254"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пяти муниципальных образованиях работы выполнены не в полном объеме. Следует отметить, что соглашения заключены на создание 1 174 площадки, следовательно, целевым показателем уже предусмотрено по площадкам неисполнение заключенных соглашений на 100 %, а целевой показатель по средствам, предоставленным на приобретение контейнеров, отсутствует.</w:t>
      </w:r>
    </w:p>
    <w:p w14:paraId="47B39A5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Информация о муниципальных образованиях, в которых работы по созданию мест (площадок) накопления в 2019 году не выполнены:</w:t>
      </w:r>
    </w:p>
    <w:tbl>
      <w:tblPr>
        <w:tblW w:w="9257"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139"/>
        <w:gridCol w:w="1801"/>
        <w:gridCol w:w="1317"/>
      </w:tblGrid>
      <w:tr w:rsidR="00D470B6" w:rsidRPr="00A53AD7" w14:paraId="6949DA7B" w14:textId="77777777" w:rsidTr="001D2B6D">
        <w:trPr>
          <w:trHeight w:val="403"/>
        </w:trPr>
        <w:tc>
          <w:tcPr>
            <w:tcW w:w="6139" w:type="dxa"/>
            <w:shd w:val="clear" w:color="auto" w:fill="auto"/>
            <w:noWrap/>
            <w:vAlign w:val="center"/>
            <w:hideMark/>
          </w:tcPr>
          <w:p w14:paraId="5035DAF2"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Муниципальный район</w:t>
            </w:r>
          </w:p>
        </w:tc>
        <w:tc>
          <w:tcPr>
            <w:tcW w:w="1801" w:type="dxa"/>
            <w:shd w:val="clear" w:color="auto" w:fill="auto"/>
            <w:vAlign w:val="center"/>
            <w:hideMark/>
          </w:tcPr>
          <w:p w14:paraId="3D1D44BD"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(млн.руб.)</w:t>
            </w:r>
          </w:p>
        </w:tc>
        <w:tc>
          <w:tcPr>
            <w:tcW w:w="1317" w:type="dxa"/>
            <w:shd w:val="clear" w:color="auto" w:fill="auto"/>
            <w:vAlign w:val="center"/>
            <w:hideMark/>
          </w:tcPr>
          <w:p w14:paraId="26E2E3CC"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Количество площадок</w:t>
            </w:r>
          </w:p>
        </w:tc>
      </w:tr>
      <w:tr w:rsidR="00D470B6" w:rsidRPr="00A53AD7" w14:paraId="02D74B78" w14:textId="77777777" w:rsidTr="001D2B6D">
        <w:trPr>
          <w:trHeight w:hRule="exact" w:val="255"/>
        </w:trPr>
        <w:tc>
          <w:tcPr>
            <w:tcW w:w="6139" w:type="dxa"/>
            <w:shd w:val="clear" w:color="auto" w:fill="auto"/>
            <w:noWrap/>
            <w:vAlign w:val="center"/>
            <w:hideMark/>
          </w:tcPr>
          <w:p w14:paraId="514F8490" w14:textId="77777777" w:rsidR="001D2B6D" w:rsidRPr="00A53AD7" w:rsidRDefault="001D2B6D" w:rsidP="00EF6CF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"Коношский муниципальный район"</w:t>
            </w:r>
          </w:p>
        </w:tc>
        <w:tc>
          <w:tcPr>
            <w:tcW w:w="1801" w:type="dxa"/>
            <w:shd w:val="clear" w:color="auto" w:fill="auto"/>
            <w:noWrap/>
            <w:vAlign w:val="center"/>
            <w:hideMark/>
          </w:tcPr>
          <w:p w14:paraId="729D6705"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w:t>
            </w:r>
          </w:p>
        </w:tc>
        <w:tc>
          <w:tcPr>
            <w:tcW w:w="1317" w:type="dxa"/>
            <w:shd w:val="clear" w:color="auto" w:fill="auto"/>
            <w:noWrap/>
            <w:vAlign w:val="center"/>
            <w:hideMark/>
          </w:tcPr>
          <w:p w14:paraId="1B861B70"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r>
      <w:tr w:rsidR="00D470B6" w:rsidRPr="00A53AD7" w14:paraId="198C67C3" w14:textId="77777777" w:rsidTr="001D2B6D">
        <w:trPr>
          <w:trHeight w:hRule="exact" w:val="255"/>
        </w:trPr>
        <w:tc>
          <w:tcPr>
            <w:tcW w:w="6139" w:type="dxa"/>
            <w:shd w:val="clear" w:color="auto" w:fill="auto"/>
            <w:noWrap/>
            <w:vAlign w:val="center"/>
            <w:hideMark/>
          </w:tcPr>
          <w:p w14:paraId="1876DB6A" w14:textId="77777777" w:rsidR="001D2B6D" w:rsidRPr="00A53AD7" w:rsidRDefault="001D2B6D" w:rsidP="00EF6CF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"Ленский муниципальный район"</w:t>
            </w:r>
          </w:p>
        </w:tc>
        <w:tc>
          <w:tcPr>
            <w:tcW w:w="1801" w:type="dxa"/>
            <w:shd w:val="clear" w:color="auto" w:fill="auto"/>
            <w:noWrap/>
            <w:vAlign w:val="center"/>
            <w:hideMark/>
          </w:tcPr>
          <w:p w14:paraId="22CC3A6B"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317" w:type="dxa"/>
            <w:shd w:val="clear" w:color="auto" w:fill="auto"/>
            <w:noWrap/>
            <w:vAlign w:val="center"/>
            <w:hideMark/>
          </w:tcPr>
          <w:p w14:paraId="0FE9DB3D"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w:t>
            </w:r>
          </w:p>
        </w:tc>
      </w:tr>
      <w:tr w:rsidR="00D470B6" w:rsidRPr="00A53AD7" w14:paraId="4A8C4D4F" w14:textId="77777777" w:rsidTr="001D2B6D">
        <w:trPr>
          <w:trHeight w:hRule="exact" w:val="255"/>
        </w:trPr>
        <w:tc>
          <w:tcPr>
            <w:tcW w:w="6139" w:type="dxa"/>
            <w:shd w:val="clear" w:color="auto" w:fill="auto"/>
            <w:noWrap/>
            <w:vAlign w:val="center"/>
            <w:hideMark/>
          </w:tcPr>
          <w:p w14:paraId="3A756AF3" w14:textId="77777777" w:rsidR="001D2B6D" w:rsidRPr="00A53AD7" w:rsidRDefault="001D2B6D" w:rsidP="00EF6CF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"Лешуконский муниципальный район"</w:t>
            </w:r>
          </w:p>
        </w:tc>
        <w:tc>
          <w:tcPr>
            <w:tcW w:w="1801" w:type="dxa"/>
            <w:shd w:val="clear" w:color="auto" w:fill="auto"/>
            <w:noWrap/>
            <w:vAlign w:val="center"/>
            <w:hideMark/>
          </w:tcPr>
          <w:p w14:paraId="4594AE37"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w:t>
            </w:r>
          </w:p>
        </w:tc>
        <w:tc>
          <w:tcPr>
            <w:tcW w:w="1317" w:type="dxa"/>
            <w:shd w:val="clear" w:color="auto" w:fill="auto"/>
            <w:noWrap/>
            <w:vAlign w:val="center"/>
            <w:hideMark/>
          </w:tcPr>
          <w:p w14:paraId="73EC47D3"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32</w:t>
            </w:r>
          </w:p>
        </w:tc>
      </w:tr>
      <w:tr w:rsidR="00D470B6" w:rsidRPr="00A53AD7" w14:paraId="55A5F04F" w14:textId="77777777" w:rsidTr="001D2B6D">
        <w:trPr>
          <w:trHeight w:hRule="exact" w:val="255"/>
        </w:trPr>
        <w:tc>
          <w:tcPr>
            <w:tcW w:w="6139" w:type="dxa"/>
            <w:shd w:val="clear" w:color="auto" w:fill="auto"/>
            <w:noWrap/>
            <w:vAlign w:val="center"/>
            <w:hideMark/>
          </w:tcPr>
          <w:p w14:paraId="037E99A8" w14:textId="77777777" w:rsidR="001D2B6D" w:rsidRPr="00A53AD7" w:rsidRDefault="001D2B6D" w:rsidP="00EF6CF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"Устьянский муниципальный район"</w:t>
            </w:r>
          </w:p>
        </w:tc>
        <w:tc>
          <w:tcPr>
            <w:tcW w:w="1801" w:type="dxa"/>
            <w:shd w:val="clear" w:color="auto" w:fill="auto"/>
            <w:noWrap/>
            <w:vAlign w:val="center"/>
            <w:hideMark/>
          </w:tcPr>
          <w:p w14:paraId="2AD98039"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w:t>
            </w:r>
          </w:p>
        </w:tc>
        <w:tc>
          <w:tcPr>
            <w:tcW w:w="1317" w:type="dxa"/>
            <w:shd w:val="clear" w:color="auto" w:fill="auto"/>
            <w:noWrap/>
            <w:vAlign w:val="center"/>
            <w:hideMark/>
          </w:tcPr>
          <w:p w14:paraId="7518DB67"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w:t>
            </w:r>
          </w:p>
        </w:tc>
      </w:tr>
      <w:tr w:rsidR="001D2B6D" w:rsidRPr="00A53AD7" w14:paraId="6FAA781A" w14:textId="77777777" w:rsidTr="001D2B6D">
        <w:trPr>
          <w:trHeight w:hRule="exact" w:val="255"/>
        </w:trPr>
        <w:tc>
          <w:tcPr>
            <w:tcW w:w="6139" w:type="dxa"/>
            <w:shd w:val="clear" w:color="auto" w:fill="auto"/>
            <w:noWrap/>
            <w:vAlign w:val="center"/>
            <w:hideMark/>
          </w:tcPr>
          <w:p w14:paraId="5A00E422" w14:textId="77777777" w:rsidR="001D2B6D" w:rsidRPr="00A53AD7" w:rsidRDefault="001D2B6D" w:rsidP="00EF6CF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 "Холмогорский муниципальный район"</w:t>
            </w:r>
          </w:p>
        </w:tc>
        <w:tc>
          <w:tcPr>
            <w:tcW w:w="1801" w:type="dxa"/>
            <w:shd w:val="clear" w:color="auto" w:fill="auto"/>
            <w:noWrap/>
            <w:vAlign w:val="center"/>
            <w:hideMark/>
          </w:tcPr>
          <w:p w14:paraId="6F3CD998"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w:t>
            </w:r>
          </w:p>
        </w:tc>
        <w:tc>
          <w:tcPr>
            <w:tcW w:w="1317" w:type="dxa"/>
            <w:shd w:val="clear" w:color="auto" w:fill="auto"/>
            <w:noWrap/>
            <w:vAlign w:val="center"/>
            <w:hideMark/>
          </w:tcPr>
          <w:p w14:paraId="0C7495FB"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137</w:t>
            </w:r>
          </w:p>
        </w:tc>
      </w:tr>
    </w:tbl>
    <w:p w14:paraId="79CE66F1"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7E50222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подпрограмме № 2 «Воспроизводство и использование природных ресурсов» не выполнено два показателя:</w:t>
      </w:r>
    </w:p>
    <w:p w14:paraId="633B6D6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 Доля лицензий на пользование недрами, по которым недропользователь не выполняет существенные условия, в процентах к числу проверенных лицензий:</w:t>
      </w:r>
    </w:p>
    <w:p w14:paraId="79E15259"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21,0 %;</w:t>
      </w:r>
    </w:p>
    <w:p w14:paraId="54210E2D"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21,3 %, выполнение – 98,6 %.</w:t>
      </w:r>
    </w:p>
    <w:p w14:paraId="1329B947"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 Отношение фактической добычи охотничьих ресурсов к установленным лимитам добычи:</w:t>
      </w:r>
    </w:p>
    <w:p w14:paraId="42B5A5F8"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29,0 %;</w:t>
      </w:r>
    </w:p>
    <w:p w14:paraId="4DACF861"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28,5 %, выполнение – 98,3 %.</w:t>
      </w:r>
    </w:p>
    <w:p w14:paraId="7FC1808B"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подпрограмме № 3 «Развитие водохозяйственного комплекса Архангельской области» минлеспромом АО не выполнен показатель - Доля гидротехнических сооружений с неудовлетворительным и опасным уровнем безопасности, приведенных в безопасное техническое состояние (нарастающим итогом):</w:t>
      </w:r>
    </w:p>
    <w:p w14:paraId="3D6D567F"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плановое значение на 2019 год установлено 87,5 %;</w:t>
      </w:r>
    </w:p>
    <w:p w14:paraId="269C25AC"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фактическое значение за год – 81,67 %, выполнение – 93,3 %.</w:t>
      </w:r>
    </w:p>
    <w:p w14:paraId="4F5E01A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6472A9DA"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достижение четырех целевых показателей минлеспрому АО перенесено на 2021 год:</w:t>
      </w:r>
    </w:p>
    <w:p w14:paraId="1DEAFAE5"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количество введенных в эксплуатацию полигонов твердых бытовых отходов (нарастающим итогом) - 1 ед.;</w:t>
      </w:r>
    </w:p>
    <w:p w14:paraId="5AA7EFD7"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доля государственных медицинских организаций Архангельской области, обеспеченных специализированным оборудованием для обеззараживания и физической деформации медицинских отходов класса Б и В – 1,82 %;</w:t>
      </w:r>
    </w:p>
    <w:p w14:paraId="77A9045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количество ликвидированных бесхозяйных гидрогеологических скважин (нарастающим итогом) - 3 ед.;</w:t>
      </w:r>
    </w:p>
    <w:p w14:paraId="2A18536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количество месторождений торфа, в отношении которых произведена переоценка запасов в соответствии с современными требованиями к добыче и переработке (нарастающим итогом) - 10 ед.</w:t>
      </w:r>
    </w:p>
    <w:p w14:paraId="02444926"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Снижено исполнение следующих показателей:</w:t>
      </w:r>
    </w:p>
    <w:p w14:paraId="10B6E929"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площадь участков, на которых произведены поисковые работы с целью выявления месторождений общераспространенных полезных ископаемых (нарастающим итогом) с 3 095 кв.км до 2 148 кв.км или на 30,6 %;</w:t>
      </w:r>
    </w:p>
    <w:p w14:paraId="541B7FC5"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количество обезвреженных и утилизированных опасных отходов, образующихся у населения, в том числе ртутьсодержащих отходов (нарастающим итогом) с 44,2 тонн до 34,2 тонн или на 22,6 %;</w:t>
      </w:r>
    </w:p>
    <w:p w14:paraId="3E018A0C"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доля особо охраняемых природных территорий (далее - ООПТ), на которых проведена инвентаризация, по отношению к общему количеству ООПТ с 50,5 % до 47,5 %;</w:t>
      </w:r>
    </w:p>
    <w:p w14:paraId="5C19D443"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доля площади закрепленных охотничьих угодий в общей площади охотничьих угодий с 10 % до 5,7 %.</w:t>
      </w:r>
    </w:p>
    <w:p w14:paraId="65F0E960"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 Архангельской области выполнило свои показатели на 100 %, так как в 2019 году его показатели были значительно снижены по сравнению с первоначальными назначениями по объемам финансирования;</w:t>
      </w:r>
    </w:p>
    <w:p w14:paraId="6635FC50"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доля населения, проживающего на территории, защищенной в результате проведения мероприятий, направленных на предотвращение негативного воздействия вод, к общей численности населения, проживающего на территориях, подверженных негативному воздействию вод с 11,28 % до 9,22 %;</w:t>
      </w:r>
    </w:p>
    <w:p w14:paraId="401D6D3E"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протяженность новых и реконструированных сооружений инженерной защиты и берегоукрепления (нарастающим итогом) с 3,16 км до 2,21 км.</w:t>
      </w:r>
    </w:p>
    <w:p w14:paraId="43F4B7BE"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1E39D429"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Информация об исполнении программы за 2019 год по источникам финансирования без учета перечисленных авансов представлена в таблице:</w:t>
      </w:r>
    </w:p>
    <w:tbl>
      <w:tblPr>
        <w:tblW w:w="9248" w:type="dxa"/>
        <w:tblInd w:w="93" w:type="dxa"/>
        <w:tblLayout w:type="fixed"/>
        <w:tblLook w:val="04A0" w:firstRow="1" w:lastRow="0" w:firstColumn="1" w:lastColumn="0" w:noHBand="0" w:noVBand="1"/>
      </w:tblPr>
      <w:tblGrid>
        <w:gridCol w:w="2567"/>
        <w:gridCol w:w="1294"/>
        <w:gridCol w:w="1134"/>
        <w:gridCol w:w="709"/>
        <w:gridCol w:w="992"/>
        <w:gridCol w:w="850"/>
        <w:gridCol w:w="851"/>
        <w:gridCol w:w="851"/>
      </w:tblGrid>
      <w:tr w:rsidR="00D470B6" w:rsidRPr="00A53AD7" w14:paraId="095BBFCE" w14:textId="77777777" w:rsidTr="009D646C">
        <w:trPr>
          <w:trHeight w:val="288"/>
          <w:tblHeader/>
        </w:trPr>
        <w:tc>
          <w:tcPr>
            <w:tcW w:w="2567" w:type="dxa"/>
            <w:vMerge w:val="restart"/>
            <w:tcBorders>
              <w:top w:val="double" w:sz="4" w:space="0" w:color="auto"/>
              <w:left w:val="double" w:sz="4" w:space="0" w:color="auto"/>
              <w:bottom w:val="single" w:sz="4" w:space="0" w:color="000000"/>
              <w:right w:val="single" w:sz="4" w:space="0" w:color="000000"/>
            </w:tcBorders>
            <w:shd w:val="clear" w:color="auto" w:fill="auto"/>
            <w:vAlign w:val="center"/>
            <w:hideMark/>
          </w:tcPr>
          <w:p w14:paraId="2B8CDE18"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ГП «Охрана окружающей среды» и источники финансирования при исполнении областного бюджета за 2019 год</w:t>
            </w:r>
          </w:p>
        </w:tc>
        <w:tc>
          <w:tcPr>
            <w:tcW w:w="1294" w:type="dxa"/>
            <w:vMerge w:val="restart"/>
            <w:tcBorders>
              <w:top w:val="double" w:sz="4" w:space="0" w:color="auto"/>
              <w:left w:val="single" w:sz="4" w:space="0" w:color="000000"/>
              <w:bottom w:val="single" w:sz="4" w:space="0" w:color="000000"/>
              <w:right w:val="single" w:sz="4" w:space="0" w:color="000000"/>
            </w:tcBorders>
            <w:shd w:val="clear" w:color="auto" w:fill="auto"/>
            <w:vAlign w:val="center"/>
            <w:hideMark/>
          </w:tcPr>
          <w:p w14:paraId="56311735"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Утвержденные бюджетные назначения и ЛБО</w:t>
            </w:r>
          </w:p>
        </w:tc>
        <w:tc>
          <w:tcPr>
            <w:tcW w:w="1843" w:type="dxa"/>
            <w:gridSpan w:val="2"/>
            <w:vMerge w:val="restart"/>
            <w:tcBorders>
              <w:top w:val="double" w:sz="4" w:space="0" w:color="auto"/>
              <w:left w:val="single" w:sz="4" w:space="0" w:color="000000"/>
              <w:bottom w:val="single" w:sz="4" w:space="0" w:color="000000"/>
              <w:right w:val="single" w:sz="4" w:space="0" w:color="000000"/>
            </w:tcBorders>
            <w:shd w:val="clear" w:color="auto" w:fill="auto"/>
            <w:vAlign w:val="center"/>
            <w:hideMark/>
          </w:tcPr>
          <w:p w14:paraId="345439F3"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 по данным министерств АО (форма 0503127) и отчета по ГП</w:t>
            </w:r>
          </w:p>
        </w:tc>
        <w:tc>
          <w:tcPr>
            <w:tcW w:w="1842" w:type="dxa"/>
            <w:gridSpan w:val="2"/>
            <w:vMerge w:val="restart"/>
            <w:tcBorders>
              <w:top w:val="double" w:sz="4" w:space="0" w:color="auto"/>
              <w:left w:val="single" w:sz="4" w:space="0" w:color="000000"/>
              <w:bottom w:val="single" w:sz="4" w:space="0" w:color="000000"/>
              <w:right w:val="nil"/>
            </w:tcBorders>
            <w:shd w:val="clear" w:color="auto" w:fill="auto"/>
            <w:vAlign w:val="center"/>
            <w:hideMark/>
          </w:tcPr>
          <w:p w14:paraId="1E3FF61F"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 учетом исполнения подведомственных учреждений и МО</w:t>
            </w:r>
          </w:p>
        </w:tc>
        <w:tc>
          <w:tcPr>
            <w:tcW w:w="1702" w:type="dxa"/>
            <w:gridSpan w:val="2"/>
            <w:vMerge w:val="restart"/>
            <w:tcBorders>
              <w:top w:val="double" w:sz="4" w:space="0" w:color="auto"/>
              <w:left w:val="single" w:sz="8" w:space="0" w:color="auto"/>
              <w:bottom w:val="single" w:sz="4" w:space="0" w:color="000000"/>
              <w:right w:val="double" w:sz="4" w:space="0" w:color="auto"/>
            </w:tcBorders>
            <w:shd w:val="clear" w:color="auto" w:fill="auto"/>
            <w:vAlign w:val="center"/>
            <w:hideMark/>
          </w:tcPr>
          <w:p w14:paraId="16D1CABF"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Завышение исполнения программы </w:t>
            </w:r>
          </w:p>
        </w:tc>
      </w:tr>
      <w:tr w:rsidR="00D470B6" w:rsidRPr="00A53AD7" w14:paraId="5D64B83F" w14:textId="77777777" w:rsidTr="009D646C">
        <w:trPr>
          <w:trHeight w:val="288"/>
          <w:tblHeader/>
        </w:trPr>
        <w:tc>
          <w:tcPr>
            <w:tcW w:w="2567" w:type="dxa"/>
            <w:vMerge/>
            <w:tcBorders>
              <w:top w:val="single" w:sz="8" w:space="0" w:color="auto"/>
              <w:left w:val="double" w:sz="4" w:space="0" w:color="auto"/>
              <w:bottom w:val="single" w:sz="4" w:space="0" w:color="000000"/>
              <w:right w:val="single" w:sz="4" w:space="0" w:color="000000"/>
            </w:tcBorders>
            <w:vAlign w:val="center"/>
            <w:hideMark/>
          </w:tcPr>
          <w:p w14:paraId="1FDA0114"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294" w:type="dxa"/>
            <w:vMerge/>
            <w:tcBorders>
              <w:top w:val="single" w:sz="8" w:space="0" w:color="auto"/>
              <w:left w:val="single" w:sz="4" w:space="0" w:color="000000"/>
              <w:bottom w:val="single" w:sz="4" w:space="0" w:color="000000"/>
              <w:right w:val="single" w:sz="4" w:space="0" w:color="000000"/>
            </w:tcBorders>
            <w:vAlign w:val="center"/>
            <w:hideMark/>
          </w:tcPr>
          <w:p w14:paraId="09681B6F"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3" w:type="dxa"/>
            <w:gridSpan w:val="2"/>
            <w:vMerge/>
            <w:tcBorders>
              <w:top w:val="single" w:sz="8" w:space="0" w:color="auto"/>
              <w:left w:val="single" w:sz="4" w:space="0" w:color="000000"/>
              <w:bottom w:val="single" w:sz="4" w:space="0" w:color="000000"/>
              <w:right w:val="single" w:sz="4" w:space="0" w:color="000000"/>
            </w:tcBorders>
            <w:vAlign w:val="center"/>
            <w:hideMark/>
          </w:tcPr>
          <w:p w14:paraId="79F12984"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2" w:type="dxa"/>
            <w:gridSpan w:val="2"/>
            <w:vMerge/>
            <w:tcBorders>
              <w:top w:val="single" w:sz="8" w:space="0" w:color="auto"/>
              <w:left w:val="single" w:sz="4" w:space="0" w:color="000000"/>
              <w:bottom w:val="single" w:sz="4" w:space="0" w:color="000000"/>
              <w:right w:val="nil"/>
            </w:tcBorders>
            <w:vAlign w:val="center"/>
            <w:hideMark/>
          </w:tcPr>
          <w:p w14:paraId="33D2B5FF"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702" w:type="dxa"/>
            <w:gridSpan w:val="2"/>
            <w:vMerge/>
            <w:tcBorders>
              <w:top w:val="single" w:sz="8" w:space="0" w:color="auto"/>
              <w:left w:val="single" w:sz="8" w:space="0" w:color="auto"/>
              <w:bottom w:val="single" w:sz="4" w:space="0" w:color="000000"/>
              <w:right w:val="double" w:sz="4" w:space="0" w:color="auto"/>
            </w:tcBorders>
            <w:vAlign w:val="center"/>
            <w:hideMark/>
          </w:tcPr>
          <w:p w14:paraId="359CDA05" w14:textId="77777777" w:rsidR="001D2B6D" w:rsidRPr="00A53AD7" w:rsidRDefault="001D2B6D" w:rsidP="001D2B6D">
            <w:pPr>
              <w:spacing w:after="0" w:line="240" w:lineRule="auto"/>
              <w:rPr>
                <w:rFonts w:ascii="Times New Roman" w:eastAsia="Times New Roman" w:hAnsi="Times New Roman"/>
                <w:sz w:val="20"/>
                <w:szCs w:val="20"/>
                <w:lang w:eastAsia="ru-RU"/>
              </w:rPr>
            </w:pPr>
          </w:p>
        </w:tc>
      </w:tr>
      <w:tr w:rsidR="00D470B6" w:rsidRPr="00A53AD7" w14:paraId="5F05A40D" w14:textId="77777777" w:rsidTr="009D646C">
        <w:trPr>
          <w:trHeight w:val="288"/>
          <w:tblHeader/>
        </w:trPr>
        <w:tc>
          <w:tcPr>
            <w:tcW w:w="2567" w:type="dxa"/>
            <w:vMerge/>
            <w:tcBorders>
              <w:top w:val="single" w:sz="8" w:space="0" w:color="auto"/>
              <w:left w:val="double" w:sz="4" w:space="0" w:color="auto"/>
              <w:bottom w:val="single" w:sz="4" w:space="0" w:color="000000"/>
              <w:right w:val="single" w:sz="4" w:space="0" w:color="000000"/>
            </w:tcBorders>
            <w:vAlign w:val="center"/>
            <w:hideMark/>
          </w:tcPr>
          <w:p w14:paraId="7BFD3F32"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294" w:type="dxa"/>
            <w:vMerge/>
            <w:tcBorders>
              <w:top w:val="single" w:sz="8" w:space="0" w:color="auto"/>
              <w:left w:val="single" w:sz="4" w:space="0" w:color="000000"/>
              <w:bottom w:val="single" w:sz="4" w:space="0" w:color="000000"/>
              <w:right w:val="single" w:sz="4" w:space="0" w:color="000000"/>
            </w:tcBorders>
            <w:vAlign w:val="center"/>
            <w:hideMark/>
          </w:tcPr>
          <w:p w14:paraId="3D6E5A19"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3" w:type="dxa"/>
            <w:gridSpan w:val="2"/>
            <w:vMerge/>
            <w:tcBorders>
              <w:top w:val="single" w:sz="8" w:space="0" w:color="auto"/>
              <w:left w:val="single" w:sz="4" w:space="0" w:color="000000"/>
              <w:bottom w:val="single" w:sz="4" w:space="0" w:color="000000"/>
              <w:right w:val="single" w:sz="4" w:space="0" w:color="000000"/>
            </w:tcBorders>
            <w:vAlign w:val="center"/>
            <w:hideMark/>
          </w:tcPr>
          <w:p w14:paraId="4D835184"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2" w:type="dxa"/>
            <w:gridSpan w:val="2"/>
            <w:vMerge/>
            <w:tcBorders>
              <w:top w:val="single" w:sz="8" w:space="0" w:color="auto"/>
              <w:left w:val="single" w:sz="4" w:space="0" w:color="000000"/>
              <w:bottom w:val="single" w:sz="4" w:space="0" w:color="000000"/>
              <w:right w:val="nil"/>
            </w:tcBorders>
            <w:vAlign w:val="center"/>
            <w:hideMark/>
          </w:tcPr>
          <w:p w14:paraId="41DB0607"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702" w:type="dxa"/>
            <w:gridSpan w:val="2"/>
            <w:vMerge/>
            <w:tcBorders>
              <w:top w:val="single" w:sz="8" w:space="0" w:color="auto"/>
              <w:left w:val="single" w:sz="8" w:space="0" w:color="auto"/>
              <w:bottom w:val="single" w:sz="4" w:space="0" w:color="000000"/>
              <w:right w:val="double" w:sz="4" w:space="0" w:color="auto"/>
            </w:tcBorders>
            <w:vAlign w:val="center"/>
            <w:hideMark/>
          </w:tcPr>
          <w:p w14:paraId="0A83028D" w14:textId="77777777" w:rsidR="001D2B6D" w:rsidRPr="00A53AD7" w:rsidRDefault="001D2B6D" w:rsidP="001D2B6D">
            <w:pPr>
              <w:spacing w:after="0" w:line="240" w:lineRule="auto"/>
              <w:rPr>
                <w:rFonts w:ascii="Times New Roman" w:eastAsia="Times New Roman" w:hAnsi="Times New Roman"/>
                <w:sz w:val="20"/>
                <w:szCs w:val="20"/>
                <w:lang w:eastAsia="ru-RU"/>
              </w:rPr>
            </w:pPr>
          </w:p>
        </w:tc>
      </w:tr>
      <w:tr w:rsidR="00D470B6" w:rsidRPr="00A53AD7" w14:paraId="4B00F427" w14:textId="77777777" w:rsidTr="009D646C">
        <w:trPr>
          <w:trHeight w:val="288"/>
          <w:tblHeader/>
        </w:trPr>
        <w:tc>
          <w:tcPr>
            <w:tcW w:w="2567" w:type="dxa"/>
            <w:vMerge/>
            <w:tcBorders>
              <w:top w:val="single" w:sz="8" w:space="0" w:color="auto"/>
              <w:left w:val="double" w:sz="4" w:space="0" w:color="auto"/>
              <w:bottom w:val="single" w:sz="4" w:space="0" w:color="000000"/>
              <w:right w:val="single" w:sz="4" w:space="0" w:color="000000"/>
            </w:tcBorders>
            <w:vAlign w:val="center"/>
            <w:hideMark/>
          </w:tcPr>
          <w:p w14:paraId="767375D7"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294" w:type="dxa"/>
            <w:vMerge/>
            <w:tcBorders>
              <w:top w:val="single" w:sz="8" w:space="0" w:color="auto"/>
              <w:left w:val="single" w:sz="4" w:space="0" w:color="000000"/>
              <w:bottom w:val="single" w:sz="4" w:space="0" w:color="000000"/>
              <w:right w:val="single" w:sz="4" w:space="0" w:color="000000"/>
            </w:tcBorders>
            <w:vAlign w:val="center"/>
            <w:hideMark/>
          </w:tcPr>
          <w:p w14:paraId="467CA141"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3" w:type="dxa"/>
            <w:gridSpan w:val="2"/>
            <w:vMerge/>
            <w:tcBorders>
              <w:top w:val="single" w:sz="8" w:space="0" w:color="auto"/>
              <w:left w:val="single" w:sz="4" w:space="0" w:color="000000"/>
              <w:bottom w:val="single" w:sz="4" w:space="0" w:color="000000"/>
              <w:right w:val="single" w:sz="4" w:space="0" w:color="000000"/>
            </w:tcBorders>
            <w:vAlign w:val="center"/>
            <w:hideMark/>
          </w:tcPr>
          <w:p w14:paraId="36432709"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2" w:type="dxa"/>
            <w:gridSpan w:val="2"/>
            <w:vMerge/>
            <w:tcBorders>
              <w:top w:val="single" w:sz="8" w:space="0" w:color="auto"/>
              <w:left w:val="single" w:sz="4" w:space="0" w:color="000000"/>
              <w:bottom w:val="single" w:sz="4" w:space="0" w:color="000000"/>
              <w:right w:val="nil"/>
            </w:tcBorders>
            <w:vAlign w:val="center"/>
            <w:hideMark/>
          </w:tcPr>
          <w:p w14:paraId="493D57BD"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702" w:type="dxa"/>
            <w:gridSpan w:val="2"/>
            <w:vMerge/>
            <w:tcBorders>
              <w:top w:val="single" w:sz="8" w:space="0" w:color="auto"/>
              <w:left w:val="single" w:sz="8" w:space="0" w:color="auto"/>
              <w:bottom w:val="single" w:sz="4" w:space="0" w:color="000000"/>
              <w:right w:val="double" w:sz="4" w:space="0" w:color="auto"/>
            </w:tcBorders>
            <w:vAlign w:val="center"/>
            <w:hideMark/>
          </w:tcPr>
          <w:p w14:paraId="515BD4D6" w14:textId="77777777" w:rsidR="001D2B6D" w:rsidRPr="00A53AD7" w:rsidRDefault="001D2B6D" w:rsidP="001D2B6D">
            <w:pPr>
              <w:spacing w:after="0" w:line="240" w:lineRule="auto"/>
              <w:rPr>
                <w:rFonts w:ascii="Times New Roman" w:eastAsia="Times New Roman" w:hAnsi="Times New Roman"/>
                <w:sz w:val="20"/>
                <w:szCs w:val="20"/>
                <w:lang w:eastAsia="ru-RU"/>
              </w:rPr>
            </w:pPr>
          </w:p>
        </w:tc>
      </w:tr>
      <w:tr w:rsidR="00D470B6" w:rsidRPr="00A53AD7" w14:paraId="5086E7A0" w14:textId="77777777" w:rsidTr="00EF6CF9">
        <w:trPr>
          <w:trHeight w:val="269"/>
          <w:tblHeader/>
        </w:trPr>
        <w:tc>
          <w:tcPr>
            <w:tcW w:w="2567" w:type="dxa"/>
            <w:vMerge/>
            <w:tcBorders>
              <w:top w:val="single" w:sz="8" w:space="0" w:color="auto"/>
              <w:left w:val="double" w:sz="4" w:space="0" w:color="auto"/>
              <w:bottom w:val="single" w:sz="4" w:space="0" w:color="000000"/>
              <w:right w:val="single" w:sz="4" w:space="0" w:color="000000"/>
            </w:tcBorders>
            <w:vAlign w:val="center"/>
            <w:hideMark/>
          </w:tcPr>
          <w:p w14:paraId="7EA350E9"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294" w:type="dxa"/>
            <w:vMerge/>
            <w:tcBorders>
              <w:top w:val="single" w:sz="8" w:space="0" w:color="auto"/>
              <w:left w:val="single" w:sz="4" w:space="0" w:color="000000"/>
              <w:bottom w:val="single" w:sz="4" w:space="0" w:color="000000"/>
              <w:right w:val="single" w:sz="4" w:space="0" w:color="000000"/>
            </w:tcBorders>
            <w:vAlign w:val="center"/>
            <w:hideMark/>
          </w:tcPr>
          <w:p w14:paraId="5A63E531"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3" w:type="dxa"/>
            <w:gridSpan w:val="2"/>
            <w:vMerge/>
            <w:tcBorders>
              <w:top w:val="single" w:sz="8" w:space="0" w:color="auto"/>
              <w:left w:val="single" w:sz="4" w:space="0" w:color="000000"/>
              <w:bottom w:val="single" w:sz="4" w:space="0" w:color="000000"/>
              <w:right w:val="single" w:sz="4" w:space="0" w:color="000000"/>
            </w:tcBorders>
            <w:vAlign w:val="center"/>
            <w:hideMark/>
          </w:tcPr>
          <w:p w14:paraId="455C6E07"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842" w:type="dxa"/>
            <w:gridSpan w:val="2"/>
            <w:vMerge/>
            <w:tcBorders>
              <w:top w:val="single" w:sz="8" w:space="0" w:color="auto"/>
              <w:left w:val="single" w:sz="4" w:space="0" w:color="000000"/>
              <w:bottom w:val="single" w:sz="4" w:space="0" w:color="000000"/>
              <w:right w:val="nil"/>
            </w:tcBorders>
            <w:vAlign w:val="center"/>
            <w:hideMark/>
          </w:tcPr>
          <w:p w14:paraId="05F5EB99"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702" w:type="dxa"/>
            <w:gridSpan w:val="2"/>
            <w:vMerge/>
            <w:tcBorders>
              <w:top w:val="single" w:sz="8" w:space="0" w:color="auto"/>
              <w:left w:val="single" w:sz="8" w:space="0" w:color="auto"/>
              <w:bottom w:val="single" w:sz="4" w:space="0" w:color="000000"/>
              <w:right w:val="double" w:sz="4" w:space="0" w:color="auto"/>
            </w:tcBorders>
            <w:vAlign w:val="center"/>
            <w:hideMark/>
          </w:tcPr>
          <w:p w14:paraId="465BF305" w14:textId="77777777" w:rsidR="001D2B6D" w:rsidRPr="00A53AD7" w:rsidRDefault="001D2B6D" w:rsidP="001D2B6D">
            <w:pPr>
              <w:spacing w:after="0" w:line="240" w:lineRule="auto"/>
              <w:rPr>
                <w:rFonts w:ascii="Times New Roman" w:eastAsia="Times New Roman" w:hAnsi="Times New Roman"/>
                <w:sz w:val="20"/>
                <w:szCs w:val="20"/>
                <w:lang w:eastAsia="ru-RU"/>
              </w:rPr>
            </w:pPr>
          </w:p>
        </w:tc>
      </w:tr>
      <w:tr w:rsidR="00D470B6" w:rsidRPr="00A53AD7" w14:paraId="2971EECB" w14:textId="77777777" w:rsidTr="009D646C">
        <w:trPr>
          <w:trHeight w:val="288"/>
          <w:tblHeader/>
        </w:trPr>
        <w:tc>
          <w:tcPr>
            <w:tcW w:w="2567" w:type="dxa"/>
            <w:vMerge/>
            <w:tcBorders>
              <w:top w:val="single" w:sz="8" w:space="0" w:color="auto"/>
              <w:left w:val="double" w:sz="4" w:space="0" w:color="auto"/>
              <w:bottom w:val="single" w:sz="4" w:space="0" w:color="000000"/>
              <w:right w:val="single" w:sz="4" w:space="0" w:color="000000"/>
            </w:tcBorders>
            <w:vAlign w:val="center"/>
            <w:hideMark/>
          </w:tcPr>
          <w:p w14:paraId="6270B2AD" w14:textId="77777777" w:rsidR="001D2B6D" w:rsidRPr="00A53AD7" w:rsidRDefault="001D2B6D" w:rsidP="001D2B6D">
            <w:pPr>
              <w:spacing w:after="0" w:line="240" w:lineRule="auto"/>
              <w:rPr>
                <w:rFonts w:ascii="Times New Roman" w:eastAsia="Times New Roman" w:hAnsi="Times New Roman"/>
                <w:sz w:val="20"/>
                <w:szCs w:val="20"/>
                <w:lang w:eastAsia="ru-RU"/>
              </w:rPr>
            </w:pPr>
          </w:p>
        </w:tc>
        <w:tc>
          <w:tcPr>
            <w:tcW w:w="1294" w:type="dxa"/>
            <w:tcBorders>
              <w:top w:val="nil"/>
              <w:left w:val="single" w:sz="4" w:space="0" w:color="auto"/>
              <w:bottom w:val="single" w:sz="4" w:space="0" w:color="auto"/>
              <w:right w:val="single" w:sz="4" w:space="0" w:color="auto"/>
            </w:tcBorders>
            <w:shd w:val="clear" w:color="auto" w:fill="auto"/>
            <w:vAlign w:val="center"/>
            <w:hideMark/>
          </w:tcPr>
          <w:p w14:paraId="1883709D" w14:textId="774A2766" w:rsidR="001D2B6D" w:rsidRPr="00A53AD7" w:rsidRDefault="00163D1C"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w:t>
            </w:r>
            <w:r w:rsidR="001D2B6D" w:rsidRPr="00A53AD7">
              <w:rPr>
                <w:rFonts w:ascii="Times New Roman" w:eastAsia="Times New Roman" w:hAnsi="Times New Roman"/>
                <w:sz w:val="20"/>
                <w:szCs w:val="20"/>
                <w:lang w:eastAsia="ru-RU"/>
              </w:rPr>
              <w:t>руб.</w:t>
            </w:r>
          </w:p>
        </w:tc>
        <w:tc>
          <w:tcPr>
            <w:tcW w:w="1134" w:type="dxa"/>
            <w:tcBorders>
              <w:top w:val="nil"/>
              <w:left w:val="nil"/>
              <w:bottom w:val="single" w:sz="4" w:space="0" w:color="auto"/>
              <w:right w:val="single" w:sz="4" w:space="0" w:color="auto"/>
            </w:tcBorders>
            <w:shd w:val="clear" w:color="auto" w:fill="auto"/>
            <w:vAlign w:val="center"/>
            <w:hideMark/>
          </w:tcPr>
          <w:p w14:paraId="058401BE" w14:textId="29CC276A" w:rsidR="001D2B6D" w:rsidRPr="00A53AD7" w:rsidRDefault="00163D1C"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w:t>
            </w:r>
            <w:r w:rsidR="001D2B6D" w:rsidRPr="00A53AD7">
              <w:rPr>
                <w:rFonts w:ascii="Times New Roman" w:eastAsia="Times New Roman" w:hAnsi="Times New Roman"/>
                <w:sz w:val="20"/>
                <w:szCs w:val="20"/>
                <w:lang w:eastAsia="ru-RU"/>
              </w:rPr>
              <w:t>руб.</w:t>
            </w:r>
          </w:p>
        </w:tc>
        <w:tc>
          <w:tcPr>
            <w:tcW w:w="709" w:type="dxa"/>
            <w:tcBorders>
              <w:top w:val="nil"/>
              <w:left w:val="nil"/>
              <w:bottom w:val="single" w:sz="4" w:space="0" w:color="auto"/>
              <w:right w:val="single" w:sz="4" w:space="0" w:color="auto"/>
            </w:tcBorders>
            <w:shd w:val="clear" w:color="auto" w:fill="auto"/>
            <w:vAlign w:val="center"/>
            <w:hideMark/>
          </w:tcPr>
          <w:p w14:paraId="34438D2C"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1E8B9ED6"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 руб.</w:t>
            </w:r>
          </w:p>
        </w:tc>
        <w:tc>
          <w:tcPr>
            <w:tcW w:w="850" w:type="dxa"/>
            <w:tcBorders>
              <w:top w:val="nil"/>
              <w:left w:val="nil"/>
              <w:bottom w:val="single" w:sz="4" w:space="0" w:color="auto"/>
              <w:right w:val="single" w:sz="4" w:space="0" w:color="auto"/>
            </w:tcBorders>
            <w:shd w:val="clear" w:color="auto" w:fill="auto"/>
            <w:vAlign w:val="center"/>
            <w:hideMark/>
          </w:tcPr>
          <w:p w14:paraId="6D594704"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1506450A"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млн. руб.</w:t>
            </w:r>
          </w:p>
        </w:tc>
        <w:tc>
          <w:tcPr>
            <w:tcW w:w="851" w:type="dxa"/>
            <w:tcBorders>
              <w:top w:val="nil"/>
              <w:left w:val="nil"/>
              <w:bottom w:val="single" w:sz="4" w:space="0" w:color="auto"/>
              <w:right w:val="double" w:sz="4" w:space="0" w:color="auto"/>
            </w:tcBorders>
            <w:shd w:val="clear" w:color="auto" w:fill="auto"/>
            <w:vAlign w:val="center"/>
            <w:hideMark/>
          </w:tcPr>
          <w:p w14:paraId="2C93495B" w14:textId="77777777" w:rsidR="001D2B6D" w:rsidRPr="00A53AD7" w:rsidRDefault="001D2B6D" w:rsidP="001D2B6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D470B6" w:rsidRPr="00A53AD7" w14:paraId="1EA77508" w14:textId="77777777" w:rsidTr="001D2B6D">
        <w:trPr>
          <w:trHeight w:val="288"/>
        </w:trPr>
        <w:tc>
          <w:tcPr>
            <w:tcW w:w="2567" w:type="dxa"/>
            <w:tcBorders>
              <w:top w:val="nil"/>
              <w:left w:val="double" w:sz="4" w:space="0" w:color="auto"/>
              <w:bottom w:val="nil"/>
              <w:right w:val="nil"/>
            </w:tcBorders>
            <w:shd w:val="clear" w:color="auto" w:fill="auto"/>
            <w:noWrap/>
            <w:vAlign w:val="center"/>
            <w:hideMark/>
          </w:tcPr>
          <w:p w14:paraId="12E2A735"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Всего по программе</w:t>
            </w:r>
          </w:p>
        </w:tc>
        <w:tc>
          <w:tcPr>
            <w:tcW w:w="1294" w:type="dxa"/>
            <w:tcBorders>
              <w:top w:val="nil"/>
              <w:left w:val="nil"/>
              <w:bottom w:val="nil"/>
              <w:right w:val="nil"/>
            </w:tcBorders>
            <w:shd w:val="clear" w:color="auto" w:fill="auto"/>
            <w:noWrap/>
            <w:vAlign w:val="bottom"/>
            <w:hideMark/>
          </w:tcPr>
          <w:p w14:paraId="1C355E58"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763,3</w:t>
            </w:r>
          </w:p>
        </w:tc>
        <w:tc>
          <w:tcPr>
            <w:tcW w:w="1134" w:type="dxa"/>
            <w:tcBorders>
              <w:top w:val="nil"/>
              <w:left w:val="nil"/>
              <w:bottom w:val="nil"/>
              <w:right w:val="nil"/>
            </w:tcBorders>
            <w:shd w:val="clear" w:color="auto" w:fill="auto"/>
            <w:noWrap/>
            <w:vAlign w:val="bottom"/>
            <w:hideMark/>
          </w:tcPr>
          <w:p w14:paraId="46711163"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481,8</w:t>
            </w:r>
          </w:p>
        </w:tc>
        <w:tc>
          <w:tcPr>
            <w:tcW w:w="709" w:type="dxa"/>
            <w:tcBorders>
              <w:top w:val="nil"/>
              <w:left w:val="nil"/>
              <w:bottom w:val="nil"/>
              <w:right w:val="nil"/>
            </w:tcBorders>
            <w:shd w:val="clear" w:color="auto" w:fill="auto"/>
            <w:noWrap/>
            <w:vAlign w:val="bottom"/>
            <w:hideMark/>
          </w:tcPr>
          <w:p w14:paraId="7AB4DE60"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63,1</w:t>
            </w:r>
          </w:p>
        </w:tc>
        <w:tc>
          <w:tcPr>
            <w:tcW w:w="992" w:type="dxa"/>
            <w:tcBorders>
              <w:top w:val="nil"/>
              <w:left w:val="nil"/>
              <w:bottom w:val="nil"/>
              <w:right w:val="nil"/>
            </w:tcBorders>
            <w:shd w:val="clear" w:color="auto" w:fill="auto"/>
            <w:noWrap/>
            <w:vAlign w:val="bottom"/>
            <w:hideMark/>
          </w:tcPr>
          <w:p w14:paraId="07C3F9CC"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379,1</w:t>
            </w:r>
          </w:p>
        </w:tc>
        <w:tc>
          <w:tcPr>
            <w:tcW w:w="850" w:type="dxa"/>
            <w:tcBorders>
              <w:top w:val="nil"/>
              <w:left w:val="nil"/>
              <w:bottom w:val="nil"/>
              <w:right w:val="nil"/>
            </w:tcBorders>
            <w:shd w:val="clear" w:color="auto" w:fill="auto"/>
            <w:noWrap/>
            <w:vAlign w:val="bottom"/>
            <w:hideMark/>
          </w:tcPr>
          <w:p w14:paraId="0452B066"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49,7</w:t>
            </w:r>
          </w:p>
        </w:tc>
        <w:tc>
          <w:tcPr>
            <w:tcW w:w="851" w:type="dxa"/>
            <w:tcBorders>
              <w:top w:val="nil"/>
              <w:left w:val="nil"/>
              <w:bottom w:val="nil"/>
              <w:right w:val="nil"/>
            </w:tcBorders>
            <w:shd w:val="clear" w:color="auto" w:fill="auto"/>
            <w:noWrap/>
            <w:vAlign w:val="bottom"/>
            <w:hideMark/>
          </w:tcPr>
          <w:p w14:paraId="7345EFC0"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102,7</w:t>
            </w:r>
          </w:p>
        </w:tc>
        <w:tc>
          <w:tcPr>
            <w:tcW w:w="851" w:type="dxa"/>
            <w:tcBorders>
              <w:top w:val="nil"/>
              <w:left w:val="nil"/>
              <w:bottom w:val="nil"/>
              <w:right w:val="double" w:sz="4" w:space="0" w:color="auto"/>
            </w:tcBorders>
            <w:shd w:val="clear" w:color="auto" w:fill="auto"/>
            <w:noWrap/>
            <w:vAlign w:val="bottom"/>
            <w:hideMark/>
          </w:tcPr>
          <w:p w14:paraId="5D0B898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13,5</w:t>
            </w:r>
          </w:p>
        </w:tc>
      </w:tr>
      <w:tr w:rsidR="00D470B6" w:rsidRPr="00A53AD7" w14:paraId="6ECB55EF" w14:textId="77777777" w:rsidTr="001D2B6D">
        <w:trPr>
          <w:trHeight w:hRule="exact" w:val="255"/>
        </w:trPr>
        <w:tc>
          <w:tcPr>
            <w:tcW w:w="2567" w:type="dxa"/>
            <w:tcBorders>
              <w:top w:val="nil"/>
              <w:left w:val="double" w:sz="4" w:space="0" w:color="auto"/>
              <w:bottom w:val="single" w:sz="4" w:space="0" w:color="auto"/>
              <w:right w:val="nil"/>
            </w:tcBorders>
            <w:shd w:val="clear" w:color="auto" w:fill="auto"/>
            <w:noWrap/>
            <w:vAlign w:val="center"/>
            <w:hideMark/>
          </w:tcPr>
          <w:p w14:paraId="194172D9" w14:textId="77777777" w:rsidR="001D2B6D" w:rsidRPr="00A53AD7" w:rsidRDefault="001D2B6D" w:rsidP="001D2B6D">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 средства:</w:t>
            </w:r>
          </w:p>
        </w:tc>
        <w:tc>
          <w:tcPr>
            <w:tcW w:w="1294" w:type="dxa"/>
            <w:tcBorders>
              <w:top w:val="nil"/>
              <w:left w:val="nil"/>
              <w:bottom w:val="single" w:sz="4" w:space="0" w:color="auto"/>
              <w:right w:val="nil"/>
            </w:tcBorders>
            <w:shd w:val="clear" w:color="auto" w:fill="auto"/>
            <w:noWrap/>
            <w:vAlign w:val="center"/>
            <w:hideMark/>
          </w:tcPr>
          <w:p w14:paraId="7EDFB87C"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1134" w:type="dxa"/>
            <w:tcBorders>
              <w:top w:val="nil"/>
              <w:left w:val="nil"/>
              <w:bottom w:val="single" w:sz="4" w:space="0" w:color="auto"/>
              <w:right w:val="nil"/>
            </w:tcBorders>
            <w:shd w:val="clear" w:color="auto" w:fill="auto"/>
            <w:noWrap/>
            <w:vAlign w:val="center"/>
            <w:hideMark/>
          </w:tcPr>
          <w:p w14:paraId="67B55C1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709" w:type="dxa"/>
            <w:tcBorders>
              <w:top w:val="nil"/>
              <w:left w:val="nil"/>
              <w:bottom w:val="single" w:sz="4" w:space="0" w:color="auto"/>
              <w:right w:val="nil"/>
            </w:tcBorders>
            <w:shd w:val="clear" w:color="auto" w:fill="auto"/>
            <w:noWrap/>
            <w:vAlign w:val="center"/>
            <w:hideMark/>
          </w:tcPr>
          <w:p w14:paraId="339ABFB0"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c>
          <w:tcPr>
            <w:tcW w:w="992" w:type="dxa"/>
            <w:tcBorders>
              <w:top w:val="nil"/>
              <w:left w:val="nil"/>
              <w:bottom w:val="single" w:sz="4" w:space="0" w:color="auto"/>
              <w:right w:val="nil"/>
            </w:tcBorders>
            <w:shd w:val="clear" w:color="auto" w:fill="auto"/>
            <w:noWrap/>
            <w:vAlign w:val="center"/>
            <w:hideMark/>
          </w:tcPr>
          <w:p w14:paraId="52B89AE7" w14:textId="77777777" w:rsidR="001D2B6D" w:rsidRPr="00A53AD7" w:rsidRDefault="001D2B6D" w:rsidP="001D2B6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w:t>
            </w:r>
          </w:p>
        </w:tc>
        <w:tc>
          <w:tcPr>
            <w:tcW w:w="850" w:type="dxa"/>
            <w:tcBorders>
              <w:top w:val="nil"/>
              <w:left w:val="nil"/>
              <w:bottom w:val="single" w:sz="4" w:space="0" w:color="auto"/>
              <w:right w:val="nil"/>
            </w:tcBorders>
            <w:shd w:val="clear" w:color="auto" w:fill="auto"/>
            <w:noWrap/>
            <w:vAlign w:val="center"/>
            <w:hideMark/>
          </w:tcPr>
          <w:p w14:paraId="0F1B7334" w14:textId="77777777" w:rsidR="001D2B6D" w:rsidRPr="00A53AD7" w:rsidRDefault="001D2B6D" w:rsidP="001D2B6D">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c>
          <w:tcPr>
            <w:tcW w:w="851" w:type="dxa"/>
            <w:tcBorders>
              <w:top w:val="nil"/>
              <w:left w:val="nil"/>
              <w:bottom w:val="single" w:sz="4" w:space="0" w:color="auto"/>
              <w:right w:val="nil"/>
            </w:tcBorders>
            <w:shd w:val="clear" w:color="auto" w:fill="auto"/>
            <w:noWrap/>
            <w:vAlign w:val="bottom"/>
            <w:hideMark/>
          </w:tcPr>
          <w:p w14:paraId="2B1F38DB" w14:textId="77777777" w:rsidR="001D2B6D" w:rsidRPr="00A53AD7" w:rsidRDefault="001D2B6D" w:rsidP="001D2B6D">
            <w:pPr>
              <w:spacing w:after="0" w:line="240" w:lineRule="auto"/>
              <w:rPr>
                <w:rFonts w:eastAsia="Times New Roman"/>
                <w:lang w:eastAsia="ru-RU"/>
              </w:rPr>
            </w:pPr>
            <w:r w:rsidRPr="00A53AD7">
              <w:rPr>
                <w:rFonts w:eastAsia="Times New Roman"/>
                <w:lang w:eastAsia="ru-RU"/>
              </w:rPr>
              <w:t> </w:t>
            </w:r>
          </w:p>
        </w:tc>
        <w:tc>
          <w:tcPr>
            <w:tcW w:w="851" w:type="dxa"/>
            <w:tcBorders>
              <w:top w:val="nil"/>
              <w:left w:val="nil"/>
              <w:bottom w:val="single" w:sz="4" w:space="0" w:color="auto"/>
              <w:right w:val="double" w:sz="4" w:space="0" w:color="auto"/>
            </w:tcBorders>
            <w:shd w:val="clear" w:color="auto" w:fill="auto"/>
            <w:noWrap/>
            <w:vAlign w:val="bottom"/>
            <w:hideMark/>
          </w:tcPr>
          <w:p w14:paraId="67D4EE6A" w14:textId="77777777" w:rsidR="001D2B6D" w:rsidRPr="00A53AD7" w:rsidRDefault="001D2B6D" w:rsidP="001D2B6D">
            <w:pPr>
              <w:spacing w:after="0" w:line="240" w:lineRule="auto"/>
              <w:rPr>
                <w:rFonts w:eastAsia="Times New Roman"/>
                <w:lang w:eastAsia="ru-RU"/>
              </w:rPr>
            </w:pPr>
            <w:r w:rsidRPr="00A53AD7">
              <w:rPr>
                <w:rFonts w:eastAsia="Times New Roman"/>
                <w:lang w:eastAsia="ru-RU"/>
              </w:rPr>
              <w:t> </w:t>
            </w:r>
          </w:p>
        </w:tc>
      </w:tr>
      <w:tr w:rsidR="00D470B6" w:rsidRPr="00A53AD7" w14:paraId="7EB1D4DF" w14:textId="77777777" w:rsidTr="001D2B6D">
        <w:trPr>
          <w:trHeight w:hRule="exact" w:val="255"/>
        </w:trPr>
        <w:tc>
          <w:tcPr>
            <w:tcW w:w="2567" w:type="dxa"/>
            <w:tcBorders>
              <w:top w:val="nil"/>
              <w:left w:val="double" w:sz="4" w:space="0" w:color="auto"/>
              <w:bottom w:val="single" w:sz="4" w:space="0" w:color="auto"/>
              <w:right w:val="single" w:sz="4" w:space="0" w:color="auto"/>
            </w:tcBorders>
            <w:shd w:val="clear" w:color="auto" w:fill="auto"/>
            <w:noWrap/>
            <w:vAlign w:val="center"/>
            <w:hideMark/>
          </w:tcPr>
          <w:p w14:paraId="09ACB494"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областного бюджета</w:t>
            </w:r>
          </w:p>
        </w:tc>
        <w:tc>
          <w:tcPr>
            <w:tcW w:w="1294" w:type="dxa"/>
            <w:tcBorders>
              <w:top w:val="nil"/>
              <w:left w:val="nil"/>
              <w:bottom w:val="single" w:sz="4" w:space="0" w:color="auto"/>
              <w:right w:val="single" w:sz="4" w:space="0" w:color="auto"/>
            </w:tcBorders>
            <w:shd w:val="clear" w:color="auto" w:fill="auto"/>
            <w:noWrap/>
            <w:vAlign w:val="center"/>
            <w:hideMark/>
          </w:tcPr>
          <w:p w14:paraId="419843E5"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414,1</w:t>
            </w:r>
          </w:p>
        </w:tc>
        <w:tc>
          <w:tcPr>
            <w:tcW w:w="1134" w:type="dxa"/>
            <w:tcBorders>
              <w:top w:val="nil"/>
              <w:left w:val="nil"/>
              <w:bottom w:val="single" w:sz="4" w:space="0" w:color="auto"/>
              <w:right w:val="single" w:sz="4" w:space="0" w:color="auto"/>
            </w:tcBorders>
            <w:shd w:val="clear" w:color="auto" w:fill="auto"/>
            <w:noWrap/>
            <w:vAlign w:val="center"/>
            <w:hideMark/>
          </w:tcPr>
          <w:p w14:paraId="09716F87"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249,2</w:t>
            </w:r>
          </w:p>
        </w:tc>
        <w:tc>
          <w:tcPr>
            <w:tcW w:w="709" w:type="dxa"/>
            <w:tcBorders>
              <w:top w:val="nil"/>
              <w:left w:val="nil"/>
              <w:bottom w:val="single" w:sz="4" w:space="0" w:color="auto"/>
              <w:right w:val="single" w:sz="4" w:space="0" w:color="auto"/>
            </w:tcBorders>
            <w:shd w:val="clear" w:color="auto" w:fill="auto"/>
            <w:noWrap/>
            <w:vAlign w:val="center"/>
            <w:hideMark/>
          </w:tcPr>
          <w:p w14:paraId="5FD03E85"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60,2</w:t>
            </w:r>
          </w:p>
        </w:tc>
        <w:tc>
          <w:tcPr>
            <w:tcW w:w="992" w:type="dxa"/>
            <w:tcBorders>
              <w:top w:val="nil"/>
              <w:left w:val="nil"/>
              <w:bottom w:val="single" w:sz="4" w:space="0" w:color="auto"/>
              <w:right w:val="single" w:sz="4" w:space="0" w:color="auto"/>
            </w:tcBorders>
            <w:shd w:val="clear" w:color="auto" w:fill="auto"/>
            <w:noWrap/>
            <w:vAlign w:val="center"/>
            <w:hideMark/>
          </w:tcPr>
          <w:p w14:paraId="52FB6229"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146,5</w:t>
            </w:r>
          </w:p>
        </w:tc>
        <w:tc>
          <w:tcPr>
            <w:tcW w:w="850" w:type="dxa"/>
            <w:tcBorders>
              <w:top w:val="nil"/>
              <w:left w:val="nil"/>
              <w:bottom w:val="single" w:sz="4" w:space="0" w:color="auto"/>
              <w:right w:val="single" w:sz="4" w:space="0" w:color="auto"/>
            </w:tcBorders>
            <w:shd w:val="clear" w:color="auto" w:fill="auto"/>
            <w:noWrap/>
            <w:vAlign w:val="center"/>
            <w:hideMark/>
          </w:tcPr>
          <w:p w14:paraId="10F1A3AD"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35,4</w:t>
            </w:r>
          </w:p>
        </w:tc>
        <w:tc>
          <w:tcPr>
            <w:tcW w:w="851" w:type="dxa"/>
            <w:tcBorders>
              <w:top w:val="nil"/>
              <w:left w:val="nil"/>
              <w:bottom w:val="single" w:sz="4" w:space="0" w:color="auto"/>
              <w:right w:val="single" w:sz="4" w:space="0" w:color="auto"/>
            </w:tcBorders>
            <w:shd w:val="clear" w:color="auto" w:fill="auto"/>
            <w:noWrap/>
            <w:vAlign w:val="center"/>
            <w:hideMark/>
          </w:tcPr>
          <w:p w14:paraId="2120E317"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102,7</w:t>
            </w:r>
          </w:p>
        </w:tc>
        <w:tc>
          <w:tcPr>
            <w:tcW w:w="851" w:type="dxa"/>
            <w:tcBorders>
              <w:top w:val="nil"/>
              <w:left w:val="nil"/>
              <w:bottom w:val="single" w:sz="4" w:space="0" w:color="auto"/>
              <w:right w:val="double" w:sz="4" w:space="0" w:color="auto"/>
            </w:tcBorders>
            <w:shd w:val="clear" w:color="auto" w:fill="auto"/>
            <w:noWrap/>
            <w:vAlign w:val="center"/>
            <w:hideMark/>
          </w:tcPr>
          <w:p w14:paraId="05B4A886"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24,8</w:t>
            </w:r>
          </w:p>
        </w:tc>
      </w:tr>
      <w:tr w:rsidR="00D470B6" w:rsidRPr="00A53AD7" w14:paraId="79798AE1" w14:textId="77777777" w:rsidTr="001D2B6D">
        <w:trPr>
          <w:trHeight w:hRule="exact" w:val="255"/>
        </w:trPr>
        <w:tc>
          <w:tcPr>
            <w:tcW w:w="2567" w:type="dxa"/>
            <w:tcBorders>
              <w:top w:val="nil"/>
              <w:left w:val="double" w:sz="4" w:space="0" w:color="auto"/>
              <w:bottom w:val="single" w:sz="4" w:space="0" w:color="auto"/>
              <w:right w:val="single" w:sz="4" w:space="0" w:color="auto"/>
            </w:tcBorders>
            <w:shd w:val="clear" w:color="auto" w:fill="auto"/>
            <w:noWrap/>
            <w:vAlign w:val="center"/>
            <w:hideMark/>
          </w:tcPr>
          <w:p w14:paraId="0740780F"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бюджета г. Москвы</w:t>
            </w:r>
          </w:p>
        </w:tc>
        <w:tc>
          <w:tcPr>
            <w:tcW w:w="1294" w:type="dxa"/>
            <w:tcBorders>
              <w:top w:val="nil"/>
              <w:left w:val="nil"/>
              <w:bottom w:val="single" w:sz="4" w:space="0" w:color="auto"/>
              <w:right w:val="single" w:sz="4" w:space="0" w:color="auto"/>
            </w:tcBorders>
            <w:shd w:val="clear" w:color="auto" w:fill="auto"/>
            <w:noWrap/>
            <w:vAlign w:val="center"/>
            <w:hideMark/>
          </w:tcPr>
          <w:p w14:paraId="4F4A9377"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200,0</w:t>
            </w:r>
          </w:p>
        </w:tc>
        <w:tc>
          <w:tcPr>
            <w:tcW w:w="1134" w:type="dxa"/>
            <w:tcBorders>
              <w:top w:val="nil"/>
              <w:left w:val="nil"/>
              <w:bottom w:val="single" w:sz="4" w:space="0" w:color="auto"/>
              <w:right w:val="single" w:sz="4" w:space="0" w:color="auto"/>
            </w:tcBorders>
            <w:shd w:val="clear" w:color="auto" w:fill="auto"/>
            <w:noWrap/>
            <w:vAlign w:val="center"/>
            <w:hideMark/>
          </w:tcPr>
          <w:p w14:paraId="7B082906"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184,4</w:t>
            </w:r>
          </w:p>
        </w:tc>
        <w:tc>
          <w:tcPr>
            <w:tcW w:w="709" w:type="dxa"/>
            <w:tcBorders>
              <w:top w:val="nil"/>
              <w:left w:val="nil"/>
              <w:bottom w:val="single" w:sz="4" w:space="0" w:color="auto"/>
              <w:right w:val="single" w:sz="4" w:space="0" w:color="auto"/>
            </w:tcBorders>
            <w:shd w:val="clear" w:color="auto" w:fill="auto"/>
            <w:noWrap/>
            <w:vAlign w:val="center"/>
            <w:hideMark/>
          </w:tcPr>
          <w:p w14:paraId="031AC17F"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92,2</w:t>
            </w:r>
          </w:p>
        </w:tc>
        <w:tc>
          <w:tcPr>
            <w:tcW w:w="992" w:type="dxa"/>
            <w:tcBorders>
              <w:top w:val="nil"/>
              <w:left w:val="nil"/>
              <w:bottom w:val="single" w:sz="4" w:space="0" w:color="auto"/>
              <w:right w:val="single" w:sz="4" w:space="0" w:color="auto"/>
            </w:tcBorders>
            <w:shd w:val="clear" w:color="auto" w:fill="auto"/>
            <w:noWrap/>
            <w:vAlign w:val="center"/>
            <w:hideMark/>
          </w:tcPr>
          <w:p w14:paraId="347DD16C"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184,4</w:t>
            </w:r>
          </w:p>
        </w:tc>
        <w:tc>
          <w:tcPr>
            <w:tcW w:w="850" w:type="dxa"/>
            <w:tcBorders>
              <w:top w:val="nil"/>
              <w:left w:val="nil"/>
              <w:bottom w:val="single" w:sz="4" w:space="0" w:color="auto"/>
              <w:right w:val="single" w:sz="4" w:space="0" w:color="auto"/>
            </w:tcBorders>
            <w:shd w:val="clear" w:color="auto" w:fill="auto"/>
            <w:noWrap/>
            <w:vAlign w:val="center"/>
            <w:hideMark/>
          </w:tcPr>
          <w:p w14:paraId="59D7DD20"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92,2</w:t>
            </w:r>
          </w:p>
        </w:tc>
        <w:tc>
          <w:tcPr>
            <w:tcW w:w="851" w:type="dxa"/>
            <w:tcBorders>
              <w:top w:val="nil"/>
              <w:left w:val="nil"/>
              <w:bottom w:val="single" w:sz="4" w:space="0" w:color="auto"/>
              <w:right w:val="single" w:sz="4" w:space="0" w:color="auto"/>
            </w:tcBorders>
            <w:shd w:val="clear" w:color="auto" w:fill="auto"/>
            <w:noWrap/>
            <w:vAlign w:val="center"/>
            <w:hideMark/>
          </w:tcPr>
          <w:p w14:paraId="494AEAA4"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c>
          <w:tcPr>
            <w:tcW w:w="851" w:type="dxa"/>
            <w:tcBorders>
              <w:top w:val="nil"/>
              <w:left w:val="nil"/>
              <w:bottom w:val="single" w:sz="4" w:space="0" w:color="auto"/>
              <w:right w:val="double" w:sz="4" w:space="0" w:color="auto"/>
            </w:tcBorders>
            <w:shd w:val="clear" w:color="auto" w:fill="auto"/>
            <w:noWrap/>
            <w:vAlign w:val="center"/>
            <w:hideMark/>
          </w:tcPr>
          <w:p w14:paraId="5A18837F"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r>
      <w:tr w:rsidR="00D470B6" w:rsidRPr="00A53AD7" w14:paraId="7BC4694A" w14:textId="77777777" w:rsidTr="001D2B6D">
        <w:trPr>
          <w:trHeight w:hRule="exact" w:val="255"/>
        </w:trPr>
        <w:tc>
          <w:tcPr>
            <w:tcW w:w="2567" w:type="dxa"/>
            <w:tcBorders>
              <w:top w:val="nil"/>
              <w:left w:val="double" w:sz="4" w:space="0" w:color="auto"/>
              <w:bottom w:val="double" w:sz="4" w:space="0" w:color="auto"/>
              <w:right w:val="single" w:sz="4" w:space="0" w:color="auto"/>
            </w:tcBorders>
            <w:shd w:val="clear" w:color="auto" w:fill="auto"/>
            <w:noWrap/>
            <w:vAlign w:val="center"/>
            <w:hideMark/>
          </w:tcPr>
          <w:p w14:paraId="46D1E195" w14:textId="77777777" w:rsidR="001D2B6D" w:rsidRPr="00A53AD7" w:rsidRDefault="001D2B6D" w:rsidP="001D2B6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федерального бюджета</w:t>
            </w:r>
          </w:p>
        </w:tc>
        <w:tc>
          <w:tcPr>
            <w:tcW w:w="1294" w:type="dxa"/>
            <w:tcBorders>
              <w:top w:val="nil"/>
              <w:left w:val="nil"/>
              <w:bottom w:val="double" w:sz="4" w:space="0" w:color="auto"/>
              <w:right w:val="single" w:sz="4" w:space="0" w:color="auto"/>
            </w:tcBorders>
            <w:shd w:val="clear" w:color="auto" w:fill="auto"/>
            <w:noWrap/>
            <w:vAlign w:val="center"/>
            <w:hideMark/>
          </w:tcPr>
          <w:p w14:paraId="7CC7F71A"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149,2</w:t>
            </w:r>
          </w:p>
        </w:tc>
        <w:tc>
          <w:tcPr>
            <w:tcW w:w="1134" w:type="dxa"/>
            <w:tcBorders>
              <w:top w:val="nil"/>
              <w:left w:val="nil"/>
              <w:bottom w:val="double" w:sz="4" w:space="0" w:color="auto"/>
              <w:right w:val="single" w:sz="4" w:space="0" w:color="auto"/>
            </w:tcBorders>
            <w:shd w:val="clear" w:color="auto" w:fill="auto"/>
            <w:noWrap/>
            <w:vAlign w:val="center"/>
            <w:hideMark/>
          </w:tcPr>
          <w:p w14:paraId="1E5FA8D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48,2</w:t>
            </w:r>
          </w:p>
        </w:tc>
        <w:tc>
          <w:tcPr>
            <w:tcW w:w="709" w:type="dxa"/>
            <w:tcBorders>
              <w:top w:val="nil"/>
              <w:left w:val="nil"/>
              <w:bottom w:val="double" w:sz="4" w:space="0" w:color="auto"/>
              <w:right w:val="single" w:sz="4" w:space="0" w:color="auto"/>
            </w:tcBorders>
            <w:shd w:val="clear" w:color="auto" w:fill="auto"/>
            <w:noWrap/>
            <w:vAlign w:val="center"/>
            <w:hideMark/>
          </w:tcPr>
          <w:p w14:paraId="56DC23E1"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32,3</w:t>
            </w:r>
          </w:p>
        </w:tc>
        <w:tc>
          <w:tcPr>
            <w:tcW w:w="992" w:type="dxa"/>
            <w:tcBorders>
              <w:top w:val="nil"/>
              <w:left w:val="nil"/>
              <w:bottom w:val="double" w:sz="4" w:space="0" w:color="auto"/>
              <w:right w:val="single" w:sz="4" w:space="0" w:color="auto"/>
            </w:tcBorders>
            <w:shd w:val="clear" w:color="auto" w:fill="auto"/>
            <w:noWrap/>
            <w:vAlign w:val="center"/>
            <w:hideMark/>
          </w:tcPr>
          <w:p w14:paraId="5659534A"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48,2</w:t>
            </w:r>
          </w:p>
        </w:tc>
        <w:tc>
          <w:tcPr>
            <w:tcW w:w="850" w:type="dxa"/>
            <w:tcBorders>
              <w:top w:val="nil"/>
              <w:left w:val="nil"/>
              <w:bottom w:val="double" w:sz="4" w:space="0" w:color="auto"/>
              <w:right w:val="single" w:sz="4" w:space="0" w:color="auto"/>
            </w:tcBorders>
            <w:shd w:val="clear" w:color="auto" w:fill="auto"/>
            <w:noWrap/>
            <w:vAlign w:val="center"/>
            <w:hideMark/>
          </w:tcPr>
          <w:p w14:paraId="3BDD34F2"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32,3</w:t>
            </w:r>
          </w:p>
        </w:tc>
        <w:tc>
          <w:tcPr>
            <w:tcW w:w="851" w:type="dxa"/>
            <w:tcBorders>
              <w:top w:val="nil"/>
              <w:left w:val="nil"/>
              <w:bottom w:val="double" w:sz="4" w:space="0" w:color="auto"/>
              <w:right w:val="single" w:sz="4" w:space="0" w:color="auto"/>
            </w:tcBorders>
            <w:shd w:val="clear" w:color="auto" w:fill="auto"/>
            <w:noWrap/>
            <w:vAlign w:val="center"/>
            <w:hideMark/>
          </w:tcPr>
          <w:p w14:paraId="3044F371" w14:textId="77777777" w:rsidR="001D2B6D" w:rsidRPr="00A53AD7" w:rsidRDefault="001D2B6D" w:rsidP="001D2B6D">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c>
          <w:tcPr>
            <w:tcW w:w="851" w:type="dxa"/>
            <w:tcBorders>
              <w:top w:val="nil"/>
              <w:left w:val="nil"/>
              <w:bottom w:val="double" w:sz="4" w:space="0" w:color="auto"/>
              <w:right w:val="double" w:sz="4" w:space="0" w:color="auto"/>
            </w:tcBorders>
            <w:shd w:val="clear" w:color="auto" w:fill="auto"/>
            <w:noWrap/>
            <w:vAlign w:val="center"/>
            <w:hideMark/>
          </w:tcPr>
          <w:p w14:paraId="603C137C" w14:textId="77777777" w:rsidR="001D2B6D" w:rsidRPr="00A53AD7" w:rsidRDefault="001D2B6D" w:rsidP="001D2B6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w:t>
            </w:r>
          </w:p>
        </w:tc>
      </w:tr>
    </w:tbl>
    <w:p w14:paraId="390835A4"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p>
    <w:p w14:paraId="0AFEB4DD" w14:textId="77777777" w:rsidR="001D2B6D" w:rsidRPr="00A53AD7" w:rsidRDefault="001D2B6D" w:rsidP="001D2B6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Исполнение ГП «Охрана окружающей среды» по кассовым расходам, без учета фактически выполненных и принятых работ, путем уменьшения целевых показателей и утвержденных бюджетных назначений в течение отчетного года или переноса их исполнения на следующие годы, противоречит Стратегии социально-экономического развития Архангельской области, согласно которой благоприятная окружающая среда и экологическая безопасность выступают одними из основных факторов и показателей, отражающих потенциал развития региональной экономической системы с точки зрения устойчивого развития. </w:t>
      </w:r>
    </w:p>
    <w:p w14:paraId="60E2433A" w14:textId="77777777" w:rsidR="001D2B6D" w:rsidRPr="00A53AD7" w:rsidRDefault="001D2B6D" w:rsidP="001D2B6D">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Оценка эффективности результатов реализации государственной программы за 2019 год в соответствии с Положением об оценке эффективности реализации государственных программ Архангельской области, утвержденным постановлением Правительства Архангельской области от 10.07.2012 № 299-пп, и составила 83,9 балла (средняя):</w:t>
      </w:r>
    </w:p>
    <w:p w14:paraId="6339F0BE"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интегральная оценка эффективности реализации государственной программы - 84,4 %;</w:t>
      </w:r>
    </w:p>
    <w:p w14:paraId="40D59FB6" w14:textId="77777777" w:rsidR="001D2B6D" w:rsidRPr="00A53AD7" w:rsidRDefault="001D2B6D" w:rsidP="00CA1DDD">
      <w:pPr>
        <w:pStyle w:val="a8"/>
        <w:numPr>
          <w:ilvl w:val="0"/>
          <w:numId w:val="21"/>
        </w:numPr>
        <w:ind w:left="0" w:firstLine="839"/>
        <w:jc w:val="both"/>
        <w:rPr>
          <w:sz w:val="28"/>
          <w:szCs w:val="28"/>
        </w:rPr>
      </w:pPr>
      <w:r w:rsidRPr="00A53AD7">
        <w:rPr>
          <w:sz w:val="28"/>
          <w:szCs w:val="28"/>
        </w:rPr>
        <w:t>оценка качества планирования и управления реализацией государственной программы - 86,5 %.</w:t>
      </w:r>
    </w:p>
    <w:p w14:paraId="4CD0CFC0" w14:textId="65EE91D8" w:rsidR="00FF0657" w:rsidRPr="00A53AD7" w:rsidRDefault="00FF0657" w:rsidP="00FF0657">
      <w:pPr>
        <w:pStyle w:val="3"/>
        <w:spacing w:line="240" w:lineRule="auto"/>
        <w:jc w:val="center"/>
        <w:rPr>
          <w:rFonts w:ascii="Times New Roman" w:hAnsi="Times New Roman"/>
          <w:b w:val="0"/>
          <w:sz w:val="28"/>
          <w:szCs w:val="28"/>
          <w:u w:val="single"/>
          <w:lang w:val="ru-RU"/>
        </w:rPr>
      </w:pPr>
      <w:bookmarkStart w:id="83" w:name="_Toc42006732"/>
      <w:r w:rsidRPr="00A53AD7">
        <w:rPr>
          <w:rFonts w:ascii="Times New Roman" w:hAnsi="Times New Roman"/>
          <w:b w:val="0"/>
          <w:sz w:val="28"/>
          <w:szCs w:val="28"/>
          <w:u w:val="single"/>
          <w:lang w:val="ru-RU"/>
        </w:rPr>
        <w:t>4.2.11. Государственная программы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w:t>
      </w:r>
      <w:bookmarkEnd w:id="83"/>
    </w:p>
    <w:p w14:paraId="01BECFB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Государственная программа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(далее - госпрограмма), утверждена постановлением Правительства Архангельской области от 19.07.2013 года № 330-пп.</w:t>
      </w:r>
    </w:p>
    <w:p w14:paraId="10348172"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Ответственный исполнитель госпрограммы: агентство по спорту Архангельской области. Соисполнителями государственной программы в 2019 году являлись:</w:t>
      </w:r>
    </w:p>
    <w:p w14:paraId="4956A897"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администрация Губернатора Архангельской области и Правительства Архангельской области;</w:t>
      </w:r>
    </w:p>
    <w:p w14:paraId="1C8E7FDA"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министерство здравоохранения Архангельской области;</w:t>
      </w:r>
    </w:p>
    <w:p w14:paraId="21CB7D41"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министерство образования и науки Архангельской области;</w:t>
      </w:r>
    </w:p>
    <w:p w14:paraId="1690DCCA"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министерство строительства и архитектуры Архангельской области.</w:t>
      </w:r>
    </w:p>
    <w:p w14:paraId="4E72F15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Целью госпрограммы является активизация участия жителей Архангельской области в развитии и продвижении территории через создание оптимальных условий в сфере реализации молодежной политики, физической культуры, спорта и туризма, а также повышение эффективности подготовки спортсменов в спорте высших достижений.</w:t>
      </w:r>
    </w:p>
    <w:p w14:paraId="2AA2A7F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2019 году реализовывались мероприятия по 4 подпрограмм, в том числе:</w:t>
      </w:r>
    </w:p>
    <w:p w14:paraId="3D13BD59" w14:textId="27C46DFE" w:rsidR="00FF0657" w:rsidRPr="00A53AD7" w:rsidRDefault="00FF0657" w:rsidP="00CA1DDD">
      <w:pPr>
        <w:pStyle w:val="a8"/>
        <w:numPr>
          <w:ilvl w:val="0"/>
          <w:numId w:val="21"/>
        </w:numPr>
        <w:ind w:left="0" w:firstLine="839"/>
        <w:jc w:val="both"/>
        <w:rPr>
          <w:sz w:val="28"/>
          <w:szCs w:val="28"/>
        </w:rPr>
      </w:pPr>
      <w:r w:rsidRPr="00A53AD7">
        <w:rPr>
          <w:sz w:val="28"/>
          <w:szCs w:val="28"/>
        </w:rPr>
        <w:t>под</w:t>
      </w:r>
      <w:hyperlink w:anchor="sub_20010" w:history="1">
        <w:r w:rsidRPr="00A53AD7">
          <w:rPr>
            <w:sz w:val="28"/>
            <w:szCs w:val="28"/>
          </w:rPr>
          <w:t xml:space="preserve">программа </w:t>
        </w:r>
        <w:r w:rsidR="00923274" w:rsidRPr="00A53AD7">
          <w:rPr>
            <w:sz w:val="28"/>
            <w:szCs w:val="28"/>
          </w:rPr>
          <w:t>№</w:t>
        </w:r>
        <w:r w:rsidRPr="00A53AD7">
          <w:rPr>
            <w:sz w:val="28"/>
            <w:szCs w:val="28"/>
          </w:rPr>
          <w:t xml:space="preserve"> 1</w:t>
        </w:r>
      </w:hyperlink>
      <w:r w:rsidRPr="00A53AD7">
        <w:rPr>
          <w:sz w:val="28"/>
          <w:szCs w:val="28"/>
        </w:rPr>
        <w:t xml:space="preserve"> «Спорт Беломорья. Спорт высших достижений и подготовка спортивного резерва»;</w:t>
      </w:r>
    </w:p>
    <w:p w14:paraId="3953E5C2" w14:textId="1B918620" w:rsidR="00FF0657" w:rsidRPr="00A53AD7" w:rsidRDefault="00D470B6" w:rsidP="00CA1DDD">
      <w:pPr>
        <w:pStyle w:val="a8"/>
        <w:numPr>
          <w:ilvl w:val="0"/>
          <w:numId w:val="21"/>
        </w:numPr>
        <w:ind w:left="0" w:firstLine="839"/>
        <w:jc w:val="both"/>
        <w:rPr>
          <w:sz w:val="28"/>
          <w:szCs w:val="28"/>
        </w:rPr>
      </w:pPr>
      <w:hyperlink w:anchor="sub_20020" w:history="1">
        <w:r w:rsidR="00FF0657" w:rsidRPr="00A53AD7">
          <w:rPr>
            <w:sz w:val="28"/>
            <w:szCs w:val="28"/>
          </w:rPr>
          <w:t xml:space="preserve">подпрограмма </w:t>
        </w:r>
        <w:r w:rsidR="00923274" w:rsidRPr="00A53AD7">
          <w:rPr>
            <w:sz w:val="28"/>
            <w:szCs w:val="28"/>
          </w:rPr>
          <w:t>№</w:t>
        </w:r>
        <w:r w:rsidR="00FF0657" w:rsidRPr="00A53AD7">
          <w:rPr>
            <w:sz w:val="28"/>
            <w:szCs w:val="28"/>
          </w:rPr>
          <w:t xml:space="preserve"> 2</w:t>
        </w:r>
      </w:hyperlink>
      <w:r w:rsidR="00FF0657" w:rsidRPr="00A53AD7">
        <w:rPr>
          <w:sz w:val="28"/>
          <w:szCs w:val="28"/>
        </w:rPr>
        <w:t xml:space="preserve"> «Молодежь Архангельской области»;</w:t>
      </w:r>
    </w:p>
    <w:p w14:paraId="62A228ED" w14:textId="18DD8B77" w:rsidR="00FF0657" w:rsidRPr="00A53AD7" w:rsidRDefault="00D470B6" w:rsidP="00CA1DDD">
      <w:pPr>
        <w:pStyle w:val="a8"/>
        <w:numPr>
          <w:ilvl w:val="0"/>
          <w:numId w:val="21"/>
        </w:numPr>
        <w:ind w:left="0" w:firstLine="839"/>
        <w:jc w:val="both"/>
        <w:rPr>
          <w:sz w:val="28"/>
          <w:szCs w:val="28"/>
        </w:rPr>
      </w:pPr>
      <w:hyperlink w:anchor="sub_20030" w:history="1">
        <w:r w:rsidR="00FF0657" w:rsidRPr="00A53AD7">
          <w:rPr>
            <w:sz w:val="28"/>
            <w:szCs w:val="28"/>
          </w:rPr>
          <w:t xml:space="preserve">подпрограмма </w:t>
        </w:r>
        <w:r w:rsidR="00923274" w:rsidRPr="00A53AD7">
          <w:rPr>
            <w:sz w:val="28"/>
            <w:szCs w:val="28"/>
          </w:rPr>
          <w:t>№</w:t>
        </w:r>
        <w:r w:rsidR="00FF0657" w:rsidRPr="00A53AD7">
          <w:rPr>
            <w:sz w:val="28"/>
            <w:szCs w:val="28"/>
          </w:rPr>
          <w:t xml:space="preserve"> 3</w:t>
        </w:r>
      </w:hyperlink>
      <w:r w:rsidR="00FF0657" w:rsidRPr="00A53AD7">
        <w:rPr>
          <w:sz w:val="28"/>
          <w:szCs w:val="28"/>
        </w:rPr>
        <w:t xml:space="preserve"> «Гражданско-патриотическое воспитание граждан Российской Федерации и допризывная подготовка молодежи в Архангельской области»;</w:t>
      </w:r>
    </w:p>
    <w:p w14:paraId="02090A0E" w14:textId="48B2B468" w:rsidR="00FF0657" w:rsidRPr="00A53AD7" w:rsidRDefault="00D470B6" w:rsidP="00CA1DDD">
      <w:pPr>
        <w:pStyle w:val="a8"/>
        <w:numPr>
          <w:ilvl w:val="0"/>
          <w:numId w:val="21"/>
        </w:numPr>
        <w:ind w:left="0" w:firstLine="839"/>
        <w:jc w:val="both"/>
        <w:rPr>
          <w:sz w:val="28"/>
          <w:szCs w:val="28"/>
        </w:rPr>
      </w:pPr>
      <w:hyperlink w:anchor="sub_20050" w:history="1">
        <w:r w:rsidR="00FF0657" w:rsidRPr="00A53AD7">
          <w:rPr>
            <w:sz w:val="28"/>
            <w:szCs w:val="28"/>
          </w:rPr>
          <w:t xml:space="preserve">подпрограмма </w:t>
        </w:r>
        <w:r w:rsidR="00923274" w:rsidRPr="00A53AD7">
          <w:rPr>
            <w:sz w:val="28"/>
            <w:szCs w:val="28"/>
          </w:rPr>
          <w:t>№</w:t>
        </w:r>
        <w:r w:rsidR="00FF0657" w:rsidRPr="00A53AD7">
          <w:rPr>
            <w:sz w:val="28"/>
            <w:szCs w:val="28"/>
          </w:rPr>
          <w:t xml:space="preserve"> 5</w:t>
        </w:r>
      </w:hyperlink>
      <w:r w:rsidR="00FF0657" w:rsidRPr="00A53AD7">
        <w:rPr>
          <w:sz w:val="28"/>
          <w:szCs w:val="28"/>
        </w:rPr>
        <w:t xml:space="preserve"> «Создание условий для реализации государственной программы».</w:t>
      </w:r>
    </w:p>
    <w:p w14:paraId="2FD37B87"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госпрограмме в редакции, действующей на 01.01.2019, на 2019 год утверждено 1 225,8 млн.руб. Объемы финансирования мероприятий госпрограммы в течение 2019 года корректировались 15 раз. В госпрограмме на 2019 год в редакции, действующей на 31.12.2019, на реализацию мероприятий предусмотрено 1 121,6 млн.руб.</w:t>
      </w:r>
    </w:p>
    <w:p w14:paraId="5F36A59D" w14:textId="0BD8868D"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В таблице </w:t>
      </w:r>
      <w:r w:rsidR="00FA4BC5" w:rsidRPr="00A53AD7">
        <w:rPr>
          <w:rFonts w:ascii="Times New Roman" w:hAnsi="Times New Roman"/>
          <w:sz w:val="28"/>
          <w:szCs w:val="28"/>
        </w:rPr>
        <w:t>54</w:t>
      </w:r>
      <w:r w:rsidRPr="00A53AD7">
        <w:rPr>
          <w:rFonts w:ascii="Times New Roman" w:hAnsi="Times New Roman"/>
          <w:sz w:val="28"/>
          <w:szCs w:val="28"/>
        </w:rPr>
        <w:t xml:space="preserve"> представлены бюджетные ассигнования на реализацию мероприятий госпрограммы на 2019 год в разрезе источников финансирования.</w:t>
      </w:r>
    </w:p>
    <w:p w14:paraId="4E7C5206" w14:textId="77777777" w:rsidR="00FF0657" w:rsidRPr="00A53AD7" w:rsidRDefault="00FF0657" w:rsidP="00FF0657">
      <w:pPr>
        <w:pStyle w:val="aff0"/>
        <w:spacing w:after="0" w:line="240" w:lineRule="auto"/>
        <w:rPr>
          <w:rFonts w:ascii="Times New Roman" w:hAnsi="Times New Roman"/>
          <w:b w:val="0"/>
          <w:sz w:val="24"/>
          <w:szCs w:val="24"/>
        </w:rPr>
      </w:pPr>
    </w:p>
    <w:p w14:paraId="7338D539" w14:textId="77777777" w:rsidR="00FA4BC5" w:rsidRPr="00A53AD7" w:rsidRDefault="00FA4BC5" w:rsidP="00FF0657">
      <w:pPr>
        <w:pStyle w:val="aff0"/>
        <w:spacing w:after="0" w:line="240" w:lineRule="auto"/>
        <w:rPr>
          <w:rFonts w:ascii="Times New Roman" w:hAnsi="Times New Roman"/>
          <w:b w:val="0"/>
          <w:sz w:val="24"/>
          <w:szCs w:val="24"/>
        </w:rPr>
      </w:pPr>
    </w:p>
    <w:p w14:paraId="12638FCB" w14:textId="77777777" w:rsidR="00FF0657" w:rsidRPr="00A53AD7" w:rsidRDefault="00FF0657" w:rsidP="00FF0657">
      <w:pPr>
        <w:pStyle w:val="aff0"/>
        <w:spacing w:after="0" w:line="240" w:lineRule="auto"/>
        <w:rPr>
          <w:rFonts w:ascii="Times New Roman" w:eastAsia="Times New Roman" w:hAnsi="Times New Roman"/>
          <w:b w:val="0"/>
          <w:sz w:val="24"/>
          <w:szCs w:val="24"/>
          <w:lang w:eastAsia="ru-RU"/>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54</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Pr="00A53AD7">
        <w:rPr>
          <w:rFonts w:ascii="Times New Roman" w:eastAsia="Times New Roman" w:hAnsi="Times New Roman"/>
          <w:b w:val="0"/>
          <w:sz w:val="24"/>
          <w:szCs w:val="24"/>
          <w:lang w:eastAsia="ru-RU"/>
        </w:rPr>
        <w:t>Объем финансирования мероприятий, млн.руб.</w:t>
      </w:r>
    </w:p>
    <w:tbl>
      <w:tblPr>
        <w:tblW w:w="9207"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827"/>
        <w:gridCol w:w="1680"/>
        <w:gridCol w:w="1700"/>
      </w:tblGrid>
      <w:tr w:rsidR="00D470B6" w:rsidRPr="00A53AD7" w14:paraId="69A0C731" w14:textId="77777777" w:rsidTr="00FF0657">
        <w:trPr>
          <w:trHeight w:val="396"/>
          <w:tblHeader/>
        </w:trPr>
        <w:tc>
          <w:tcPr>
            <w:tcW w:w="5827" w:type="dxa"/>
            <w:shd w:val="clear" w:color="auto" w:fill="auto"/>
            <w:vAlign w:val="center"/>
            <w:hideMark/>
          </w:tcPr>
          <w:p w14:paraId="10900989"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Объем финансирования на 2019 год на реализацию мероприятий госпрограммы</w:t>
            </w:r>
          </w:p>
        </w:tc>
        <w:tc>
          <w:tcPr>
            <w:tcW w:w="1680" w:type="dxa"/>
            <w:shd w:val="clear" w:color="auto" w:fill="auto"/>
            <w:vAlign w:val="center"/>
            <w:hideMark/>
          </w:tcPr>
          <w:p w14:paraId="00CA7563"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в редакции на 01.01.2019 </w:t>
            </w:r>
          </w:p>
        </w:tc>
        <w:tc>
          <w:tcPr>
            <w:tcW w:w="1700" w:type="dxa"/>
            <w:shd w:val="clear" w:color="auto" w:fill="auto"/>
            <w:vAlign w:val="center"/>
            <w:hideMark/>
          </w:tcPr>
          <w:p w14:paraId="7205F54F"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в редакции на 31.12.2019 </w:t>
            </w:r>
          </w:p>
        </w:tc>
      </w:tr>
      <w:tr w:rsidR="00D470B6" w:rsidRPr="00A53AD7" w14:paraId="61AF273A" w14:textId="77777777" w:rsidTr="00FF0657">
        <w:trPr>
          <w:trHeight w:hRule="exact" w:val="255"/>
        </w:trPr>
        <w:tc>
          <w:tcPr>
            <w:tcW w:w="5827" w:type="dxa"/>
            <w:shd w:val="clear" w:color="auto" w:fill="auto"/>
            <w:noWrap/>
            <w:vAlign w:val="bottom"/>
            <w:hideMark/>
          </w:tcPr>
          <w:p w14:paraId="580692F8"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1680" w:type="dxa"/>
            <w:shd w:val="clear" w:color="auto" w:fill="auto"/>
            <w:noWrap/>
            <w:vAlign w:val="bottom"/>
          </w:tcPr>
          <w:p w14:paraId="0F410AB7"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142,7</w:t>
            </w:r>
          </w:p>
        </w:tc>
        <w:tc>
          <w:tcPr>
            <w:tcW w:w="1700" w:type="dxa"/>
            <w:shd w:val="clear" w:color="auto" w:fill="auto"/>
            <w:noWrap/>
            <w:vAlign w:val="bottom"/>
          </w:tcPr>
          <w:p w14:paraId="4D44C10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168,6</w:t>
            </w:r>
          </w:p>
        </w:tc>
      </w:tr>
      <w:tr w:rsidR="00D470B6" w:rsidRPr="00A53AD7" w14:paraId="092E4DF3" w14:textId="77777777" w:rsidTr="00FF0657">
        <w:trPr>
          <w:trHeight w:hRule="exact" w:val="255"/>
        </w:trPr>
        <w:tc>
          <w:tcPr>
            <w:tcW w:w="5827" w:type="dxa"/>
            <w:shd w:val="clear" w:color="auto" w:fill="auto"/>
            <w:noWrap/>
            <w:vAlign w:val="bottom"/>
            <w:hideMark/>
          </w:tcPr>
          <w:p w14:paraId="1780C08D"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1680" w:type="dxa"/>
            <w:shd w:val="clear" w:color="auto" w:fill="auto"/>
            <w:noWrap/>
            <w:vAlign w:val="bottom"/>
          </w:tcPr>
          <w:p w14:paraId="4167AAF4"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805,3</w:t>
            </w:r>
          </w:p>
        </w:tc>
        <w:tc>
          <w:tcPr>
            <w:tcW w:w="1700" w:type="dxa"/>
            <w:shd w:val="clear" w:color="auto" w:fill="auto"/>
            <w:noWrap/>
            <w:vAlign w:val="bottom"/>
          </w:tcPr>
          <w:p w14:paraId="4116224A"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903,5</w:t>
            </w:r>
          </w:p>
        </w:tc>
      </w:tr>
      <w:tr w:rsidR="00D470B6" w:rsidRPr="00A53AD7" w14:paraId="67D3EB99" w14:textId="77777777" w:rsidTr="00FF0657">
        <w:trPr>
          <w:trHeight w:hRule="exact" w:val="255"/>
        </w:trPr>
        <w:tc>
          <w:tcPr>
            <w:tcW w:w="5827" w:type="dxa"/>
            <w:shd w:val="clear" w:color="auto" w:fill="auto"/>
            <w:noWrap/>
            <w:vAlign w:val="bottom"/>
            <w:hideMark/>
          </w:tcPr>
          <w:p w14:paraId="50710751"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Местные бюджеты</w:t>
            </w:r>
          </w:p>
        </w:tc>
        <w:tc>
          <w:tcPr>
            <w:tcW w:w="1680" w:type="dxa"/>
            <w:shd w:val="clear" w:color="auto" w:fill="auto"/>
            <w:noWrap/>
            <w:vAlign w:val="bottom"/>
          </w:tcPr>
          <w:p w14:paraId="1B32966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177,1</w:t>
            </w:r>
          </w:p>
        </w:tc>
        <w:tc>
          <w:tcPr>
            <w:tcW w:w="1700" w:type="dxa"/>
            <w:shd w:val="clear" w:color="auto" w:fill="auto"/>
            <w:noWrap/>
            <w:vAlign w:val="bottom"/>
          </w:tcPr>
          <w:p w14:paraId="7EC1B1E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48,9</w:t>
            </w:r>
          </w:p>
        </w:tc>
      </w:tr>
      <w:tr w:rsidR="00D470B6" w:rsidRPr="00A53AD7" w14:paraId="42B8147C" w14:textId="77777777" w:rsidTr="00FF0657">
        <w:trPr>
          <w:trHeight w:hRule="exact" w:val="255"/>
        </w:trPr>
        <w:tc>
          <w:tcPr>
            <w:tcW w:w="5827" w:type="dxa"/>
            <w:shd w:val="clear" w:color="auto" w:fill="auto"/>
            <w:noWrap/>
            <w:vAlign w:val="bottom"/>
            <w:hideMark/>
          </w:tcPr>
          <w:p w14:paraId="48023B67"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источники</w:t>
            </w:r>
          </w:p>
        </w:tc>
        <w:tc>
          <w:tcPr>
            <w:tcW w:w="1680" w:type="dxa"/>
            <w:shd w:val="clear" w:color="auto" w:fill="auto"/>
            <w:noWrap/>
            <w:vAlign w:val="bottom"/>
          </w:tcPr>
          <w:p w14:paraId="18ADAAB3"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100,6</w:t>
            </w:r>
          </w:p>
        </w:tc>
        <w:tc>
          <w:tcPr>
            <w:tcW w:w="1700" w:type="dxa"/>
            <w:shd w:val="clear" w:color="auto" w:fill="auto"/>
            <w:noWrap/>
            <w:vAlign w:val="bottom"/>
          </w:tcPr>
          <w:p w14:paraId="597A450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0,6</w:t>
            </w:r>
          </w:p>
        </w:tc>
      </w:tr>
      <w:tr w:rsidR="00FF0657" w:rsidRPr="00A53AD7" w14:paraId="071DCABD" w14:textId="77777777" w:rsidTr="00FF0657">
        <w:trPr>
          <w:trHeight w:hRule="exact" w:val="255"/>
        </w:trPr>
        <w:tc>
          <w:tcPr>
            <w:tcW w:w="5827" w:type="dxa"/>
            <w:shd w:val="clear" w:color="auto" w:fill="auto"/>
            <w:noWrap/>
            <w:vAlign w:val="bottom"/>
            <w:hideMark/>
          </w:tcPr>
          <w:p w14:paraId="2AF6B031"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680" w:type="dxa"/>
            <w:shd w:val="clear" w:color="auto" w:fill="auto"/>
            <w:noWrap/>
            <w:vAlign w:val="bottom"/>
          </w:tcPr>
          <w:p w14:paraId="54D204C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1 225,8</w:t>
            </w:r>
          </w:p>
        </w:tc>
        <w:tc>
          <w:tcPr>
            <w:tcW w:w="1700" w:type="dxa"/>
            <w:shd w:val="clear" w:color="auto" w:fill="auto"/>
            <w:noWrap/>
            <w:vAlign w:val="bottom"/>
          </w:tcPr>
          <w:p w14:paraId="180EB40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1 121,6</w:t>
            </w:r>
          </w:p>
        </w:tc>
      </w:tr>
    </w:tbl>
    <w:p w14:paraId="1CF765BE" w14:textId="77777777" w:rsidR="00FF0657" w:rsidRPr="00A53AD7" w:rsidRDefault="00FF0657" w:rsidP="00FF0657">
      <w:pPr>
        <w:spacing w:after="0" w:line="240" w:lineRule="auto"/>
        <w:ind w:right="-2" w:firstLine="851"/>
        <w:jc w:val="both"/>
        <w:rPr>
          <w:rFonts w:ascii="Times New Roman" w:hAnsi="Times New Roman"/>
          <w:sz w:val="28"/>
          <w:szCs w:val="28"/>
        </w:rPr>
      </w:pPr>
    </w:p>
    <w:p w14:paraId="5A06DC86"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По госпрограмме общий объем расходов утвержден приложением № 14 к Закону Архангельской области «Об областном бюджете на 2019 год и на плановый период 2020 и 2021 годов» от 17.12.2018 № 35-4-ОЗ и составил:</w:t>
      </w:r>
    </w:p>
    <w:p w14:paraId="5446EADA"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в первоначальной редакции – 966,1 млн.руб.;</w:t>
      </w:r>
    </w:p>
    <w:p w14:paraId="3FAC95CC" w14:textId="77777777" w:rsidR="00FF0657" w:rsidRPr="00A53AD7" w:rsidRDefault="00FF0657" w:rsidP="00CA1DDD">
      <w:pPr>
        <w:pStyle w:val="a8"/>
        <w:numPr>
          <w:ilvl w:val="0"/>
          <w:numId w:val="21"/>
        </w:numPr>
        <w:ind w:left="0" w:firstLine="839"/>
        <w:jc w:val="both"/>
        <w:rPr>
          <w:sz w:val="28"/>
          <w:szCs w:val="28"/>
        </w:rPr>
      </w:pPr>
      <w:r w:rsidRPr="00A53AD7">
        <w:rPr>
          <w:sz w:val="28"/>
          <w:szCs w:val="28"/>
        </w:rPr>
        <w:t xml:space="preserve">в ред. от 13.12.2019 № 189-13-ОЗ – 1 124,9 млн.руб. </w:t>
      </w:r>
    </w:p>
    <w:p w14:paraId="5AFB7C76"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План по бюджетной росписи на 31.12.2019 составил 1 125,8 млн.руб. </w:t>
      </w:r>
    </w:p>
    <w:p w14:paraId="7CE2B466"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ходе проведения экспертно-аналитического мероприятия установлено, что приложением № 14 к Закону Архангельской области «Об областном бюджете на 2019 год и на плановый период 2020 и 2021 годов» от 17.12.2018 № 35-4-ОЗ (в редакции от 02.07.2019 № 121-9-ОЗ) бюджетные ассигнования на реализацию госпрограммы предусмотрены в размере 1 062,6 млн.руб., дата вступления в силу – 03.07.2019. По состоянию на 04.09.2019 госпрограмма действовала в редакции от 18.06.2019 № 317-пп (период действия редакции с 27.06.2019 по 05.09.2019), согласно которой общая сумма средств федерального и областного бюджетов на реализацию мероприятий программы составляла 1 038,4 млн.руб.</w:t>
      </w:r>
    </w:p>
    <w:p w14:paraId="202F9EB9"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Таким образом, в нарушение требований пункта 4 статьи 10 областного закона о бюджетном процессе, пункта 22 Порядка № 299-пп, госпрограмма была приведена в соответствие с областным законом об областном бюджете с нарушением двухмесячного срока на общую сумму средств областного бюджета 24,2 млн.руб. (1 062,6 - 1 038,4).</w:t>
      </w:r>
    </w:p>
    <w:p w14:paraId="5DE8E7D0"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Архангельской области от 29.08.2019 № 469-пп (дата вступления в силу – 06.09.2019) в госпрограмму внесены изменения, в соответствии с которыми общая сумма средств федерального и областного бюджетов на реализацию мероприятий программы составила 1 062,6 млн.руб.</w:t>
      </w:r>
    </w:p>
    <w:p w14:paraId="4B11F0C7" w14:textId="77777777" w:rsidR="00FF0657" w:rsidRPr="00A53AD7" w:rsidRDefault="00FF0657" w:rsidP="00FF0657">
      <w:pPr>
        <w:widowControl w:val="0"/>
        <w:autoSpaceDE w:val="0"/>
        <w:autoSpaceDN w:val="0"/>
        <w:spacing w:after="0" w:line="240" w:lineRule="auto"/>
        <w:ind w:firstLine="709"/>
        <w:jc w:val="both"/>
        <w:rPr>
          <w:rFonts w:ascii="Times New Roman" w:eastAsia="Times New Roman" w:hAnsi="Times New Roman" w:cs="Calibri"/>
          <w:sz w:val="28"/>
          <w:szCs w:val="28"/>
          <w:highlight w:val="cyan"/>
          <w:lang w:eastAsia="ru-RU"/>
        </w:rPr>
      </w:pPr>
    </w:p>
    <w:p w14:paraId="0A4ED072"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в 2019 году госпрограммы, размещенному в КИАС, реализовывались мероприятия по четырем подпрограммам. Всего реализовывалось в 2019 году 77 мероприятий, из них на 75 мероприятий предусматривались денежные средства. Из 77 запланированных мероприятий нарушен план реализации 6 мероприятий по 2 подпрограммам, в том числе:</w:t>
      </w:r>
    </w:p>
    <w:p w14:paraId="0C9F6A34"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1. Под</w:t>
      </w:r>
      <w:hyperlink w:anchor="sub_20010" w:history="1">
        <w:r w:rsidRPr="00A53AD7">
          <w:rPr>
            <w:rFonts w:ascii="Times New Roman" w:hAnsi="Times New Roman"/>
            <w:sz w:val="28"/>
            <w:szCs w:val="28"/>
          </w:rPr>
          <w:t>программа № 1</w:t>
        </w:r>
      </w:hyperlink>
      <w:r w:rsidRPr="00A53AD7">
        <w:rPr>
          <w:rFonts w:ascii="Times New Roman" w:hAnsi="Times New Roman"/>
          <w:sz w:val="28"/>
          <w:szCs w:val="28"/>
        </w:rPr>
        <w:t xml:space="preserve"> «Спорт Беломорья. Спорт высших достижений и подготовка спортивного резерва». Нарушен план реализации пяти мероприятий:</w:t>
      </w:r>
    </w:p>
    <w:p w14:paraId="5AB9F6A0"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6.8 «Строительство объекта «Многоцелевой физкультурно-оздоровительный объект (хоккейная арена «Ледовый дворец») в г. Коряжма»» решение о строительстве объекта не было принято по причине отсутствия в 2019 году положительного заключения госэкспертизы. Положительное заключение госэкспертизы получено в 1 квартале 2020 года;</w:t>
      </w:r>
    </w:p>
    <w:p w14:paraId="2B3738A2"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6.18 «Строительство объекта «Физкультурно-оздоровительный комплекс в Архангельске (Строительство физкультурно-оздоровительного комплекса в территориальном округе Варавино-Фактория муниципального образования «Город Архангельск»)». Низкий уровень строительной готовности объекта связан с выявленной в процессе производства строительных работ необходимостью корректировки проектной документации;</w:t>
      </w:r>
    </w:p>
    <w:p w14:paraId="008476E6"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6.26 «Строительство футбольного поля с беговыми дорожками на стадионе «Строитель» в г. Северодвинске» по причине отсутствия проектно-сметной документации с положительным заключением госэкспертизы контракт на строительство объекта не заключен;</w:t>
      </w:r>
    </w:p>
    <w:p w14:paraId="74D1F313"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6.29 «Приобретение административного здания, расположенного по адресу: Архангельская область, г. Няндома, ул. Труда, д. 5, стр. 8». В декабре 2019 года здание приобретено в муниципальную собственность. Переоборудование здания под лыжную базу планируется в 2020 году за счет средств местного бюджета;</w:t>
      </w:r>
    </w:p>
    <w:p w14:paraId="35670F79"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7.2 «Обустройство плоскостных спортивных сооружений в государственных образовательных организациях Архангельской области» ограниченный объем средств в областном бюджете не позволил выполнить обустройство 4 плоскостных спортивных сооружений государственных образовательных организаций. В 2019 году оборудовано плоскостное спортивное сооружение в 1 организации (ГБУ АО СКОШИ).</w:t>
      </w:r>
    </w:p>
    <w:p w14:paraId="4DC965CE"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Следует отметить, что невыполнение указанных выше мероприятий по строительству, приобретению и обустройству спортивных объектов привело к недостижению двух целевых показателей: 8.2. «Доля граждан, занимающихся в спортивных организациях, в общей численности детей и молодежи в возрасте 6-15 лет» (при плановом значении целевого показателя – 47, фактическое достижение составило – 36,7 или 78,1%) и 11. «Доля молодежи, систематически занимающихся физической культурой и спортом, от общей численности молодежи в Архангельской области» (при плановом значении целевого показателя – 78, фактическое достижение составило – 65,2 или 83,5%);</w:t>
      </w:r>
    </w:p>
    <w:p w14:paraId="4253694D"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2. </w:t>
      </w:r>
      <w:hyperlink w:anchor="sub_20030" w:history="1">
        <w:r w:rsidRPr="00A53AD7">
          <w:rPr>
            <w:rFonts w:ascii="Times New Roman" w:hAnsi="Times New Roman"/>
            <w:sz w:val="28"/>
            <w:szCs w:val="28"/>
          </w:rPr>
          <w:t>Подпрограмма N 3</w:t>
        </w:r>
      </w:hyperlink>
      <w:r w:rsidRPr="00A53AD7">
        <w:rPr>
          <w:rFonts w:ascii="Times New Roman" w:hAnsi="Times New Roman"/>
          <w:sz w:val="28"/>
          <w:szCs w:val="28"/>
        </w:rPr>
        <w:t xml:space="preserve"> «Гражданско-патриотическое воспитание граждан Российской Федерации и допризывная подготовка молодежи в Архангельской области (2014-2024 годы)». Нарушен план реализации мероприятия 3.6 «Укрепление материально-технической базы федеральных государственных образовательных организаций высшего образования, расположенных на территории Архангельской области» в связи с поздним выделением средств (на ноябрьской сессии Архангельского областного Собрания депутатов) в 2019 году.</w:t>
      </w:r>
    </w:p>
    <w:p w14:paraId="14FB842B" w14:textId="77777777" w:rsidR="00FF0657" w:rsidRPr="00A53AD7" w:rsidRDefault="00FF0657" w:rsidP="00FF0657">
      <w:pPr>
        <w:spacing w:after="0" w:line="240" w:lineRule="auto"/>
        <w:ind w:right="-2" w:firstLine="851"/>
        <w:jc w:val="both"/>
        <w:rPr>
          <w:rFonts w:ascii="Times New Roman" w:hAnsi="Times New Roman"/>
          <w:sz w:val="28"/>
          <w:szCs w:val="28"/>
        </w:rPr>
      </w:pPr>
    </w:p>
    <w:p w14:paraId="100A2D41" w14:textId="795B02CF"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Из 52 запланированных на 2019 год целевых показателей, в отчетном периоде не достигнуто 6 (таблица</w:t>
      </w:r>
      <w:r w:rsidR="00A92E11" w:rsidRPr="00A53AD7">
        <w:rPr>
          <w:rFonts w:ascii="Times New Roman" w:hAnsi="Times New Roman"/>
          <w:sz w:val="28"/>
          <w:szCs w:val="28"/>
        </w:rPr>
        <w:t xml:space="preserve"> 55</w:t>
      </w:r>
      <w:r w:rsidRPr="00A53AD7">
        <w:rPr>
          <w:rFonts w:ascii="Times New Roman" w:hAnsi="Times New Roman"/>
          <w:sz w:val="28"/>
          <w:szCs w:val="28"/>
        </w:rPr>
        <w:t>).</w:t>
      </w:r>
    </w:p>
    <w:p w14:paraId="7176E2F6" w14:textId="77777777" w:rsidR="00FF0657" w:rsidRPr="00A53AD7" w:rsidRDefault="00FF0657" w:rsidP="00FF0657">
      <w:pPr>
        <w:pStyle w:val="aff0"/>
        <w:spacing w:after="0" w:line="240" w:lineRule="auto"/>
        <w:rPr>
          <w:rFonts w:ascii="Times New Roman" w:hAnsi="Times New Roman"/>
          <w:b w:val="0"/>
          <w:sz w:val="24"/>
          <w:szCs w:val="24"/>
        </w:rPr>
      </w:pPr>
    </w:p>
    <w:p w14:paraId="78EDFB17" w14:textId="77777777" w:rsidR="00FF0657" w:rsidRPr="00A53AD7" w:rsidRDefault="00FF0657" w:rsidP="00FF065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55</w:t>
      </w:r>
      <w:r w:rsidRPr="00A53AD7">
        <w:rPr>
          <w:rFonts w:ascii="Times New Roman" w:hAnsi="Times New Roman"/>
          <w:b w:val="0"/>
          <w:sz w:val="24"/>
          <w:szCs w:val="24"/>
        </w:rPr>
        <w:fldChar w:fldCharType="end"/>
      </w:r>
      <w:r w:rsidRPr="00A53AD7">
        <w:rPr>
          <w:rFonts w:ascii="Times New Roman" w:hAnsi="Times New Roman"/>
          <w:b w:val="0"/>
          <w:sz w:val="24"/>
          <w:szCs w:val="24"/>
        </w:rPr>
        <w:t>. Целевые показатели, не достигнутые в 2019 году</w:t>
      </w:r>
    </w:p>
    <w:tbl>
      <w:tblPr>
        <w:tblW w:w="9248" w:type="dxa"/>
        <w:tblInd w:w="93" w:type="dxa"/>
        <w:tblLayout w:type="fixed"/>
        <w:tblLook w:val="04A0" w:firstRow="1" w:lastRow="0" w:firstColumn="1" w:lastColumn="0" w:noHBand="0" w:noVBand="1"/>
      </w:tblPr>
      <w:tblGrid>
        <w:gridCol w:w="2495"/>
        <w:gridCol w:w="1206"/>
        <w:gridCol w:w="854"/>
        <w:gridCol w:w="851"/>
        <w:gridCol w:w="1134"/>
        <w:gridCol w:w="2708"/>
      </w:tblGrid>
      <w:tr w:rsidR="00D470B6" w:rsidRPr="00A53AD7" w14:paraId="4609A6C9" w14:textId="77777777" w:rsidTr="00FF0657">
        <w:trPr>
          <w:trHeight w:val="245"/>
          <w:tblHeader/>
        </w:trPr>
        <w:tc>
          <w:tcPr>
            <w:tcW w:w="2495" w:type="dxa"/>
            <w:vMerge w:val="restart"/>
            <w:tcBorders>
              <w:top w:val="double" w:sz="4" w:space="0" w:color="auto"/>
              <w:left w:val="double" w:sz="4" w:space="0" w:color="auto"/>
              <w:bottom w:val="single" w:sz="4" w:space="0" w:color="auto"/>
              <w:right w:val="single" w:sz="4" w:space="0" w:color="auto"/>
            </w:tcBorders>
            <w:shd w:val="clear" w:color="000000" w:fill="FFFFFF"/>
            <w:vAlign w:val="center"/>
            <w:hideMark/>
          </w:tcPr>
          <w:p w14:paraId="5CC687C8"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целевого показателя</w:t>
            </w:r>
          </w:p>
        </w:tc>
        <w:tc>
          <w:tcPr>
            <w:tcW w:w="1206"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4753E92F"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Единица измерения</w:t>
            </w:r>
          </w:p>
        </w:tc>
        <w:tc>
          <w:tcPr>
            <w:tcW w:w="2839" w:type="dxa"/>
            <w:gridSpan w:val="3"/>
            <w:tcBorders>
              <w:top w:val="double" w:sz="4" w:space="0" w:color="auto"/>
              <w:left w:val="single" w:sz="4" w:space="0" w:color="auto"/>
              <w:bottom w:val="single" w:sz="4" w:space="0" w:color="auto"/>
              <w:right w:val="single" w:sz="4" w:space="0" w:color="auto"/>
            </w:tcBorders>
            <w:shd w:val="clear" w:color="000000" w:fill="FFFFFF"/>
            <w:vAlign w:val="center"/>
            <w:hideMark/>
          </w:tcPr>
          <w:p w14:paraId="79258EA1"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Значение целевых показателей</w:t>
            </w:r>
          </w:p>
        </w:tc>
        <w:tc>
          <w:tcPr>
            <w:tcW w:w="2708" w:type="dxa"/>
            <w:vMerge w:val="restart"/>
            <w:tcBorders>
              <w:top w:val="double" w:sz="4" w:space="0" w:color="auto"/>
              <w:left w:val="single" w:sz="4" w:space="0" w:color="auto"/>
              <w:bottom w:val="single" w:sz="4" w:space="0" w:color="auto"/>
              <w:right w:val="double" w:sz="4" w:space="0" w:color="auto"/>
            </w:tcBorders>
            <w:shd w:val="clear" w:color="000000" w:fill="FFFFFF"/>
            <w:vAlign w:val="center"/>
            <w:hideMark/>
          </w:tcPr>
          <w:p w14:paraId="30DDBF89"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Обоснование отклонений значений целевого показателя за 2019 год</w:t>
            </w:r>
          </w:p>
        </w:tc>
      </w:tr>
      <w:tr w:rsidR="00D470B6" w:rsidRPr="00A53AD7" w14:paraId="3AAE521F" w14:textId="77777777" w:rsidTr="00FF0657">
        <w:trPr>
          <w:trHeight w:val="660"/>
          <w:tblHeader/>
        </w:trPr>
        <w:tc>
          <w:tcPr>
            <w:tcW w:w="2495" w:type="dxa"/>
            <w:vMerge/>
            <w:tcBorders>
              <w:left w:val="double" w:sz="4" w:space="0" w:color="auto"/>
              <w:bottom w:val="single" w:sz="4" w:space="0" w:color="auto"/>
              <w:right w:val="nil"/>
            </w:tcBorders>
            <w:vAlign w:val="center"/>
            <w:hideMark/>
          </w:tcPr>
          <w:p w14:paraId="7B5059D0" w14:textId="77777777" w:rsidR="00FF0657" w:rsidRPr="00A53AD7" w:rsidRDefault="00FF0657" w:rsidP="00FF0657">
            <w:pPr>
              <w:spacing w:after="0" w:line="240" w:lineRule="auto"/>
              <w:jc w:val="center"/>
              <w:rPr>
                <w:rFonts w:ascii="Times New Roman" w:eastAsia="Times New Roman" w:hAnsi="Times New Roman"/>
                <w:lang w:eastAsia="ru-RU"/>
              </w:rPr>
            </w:pPr>
          </w:p>
        </w:tc>
        <w:tc>
          <w:tcPr>
            <w:tcW w:w="1206" w:type="dxa"/>
            <w:vMerge/>
            <w:tcBorders>
              <w:left w:val="single" w:sz="4" w:space="0" w:color="auto"/>
              <w:bottom w:val="single" w:sz="4" w:space="0" w:color="auto"/>
              <w:right w:val="single" w:sz="4" w:space="0" w:color="auto"/>
            </w:tcBorders>
            <w:vAlign w:val="center"/>
            <w:hideMark/>
          </w:tcPr>
          <w:p w14:paraId="549276E0" w14:textId="77777777" w:rsidR="00FF0657" w:rsidRPr="00A53AD7" w:rsidRDefault="00FF0657" w:rsidP="00FF0657">
            <w:pPr>
              <w:spacing w:after="0" w:line="240" w:lineRule="auto"/>
              <w:jc w:val="center"/>
              <w:rPr>
                <w:rFonts w:ascii="Times New Roman" w:eastAsia="Times New Roman" w:hAnsi="Times New Roman"/>
                <w:lang w:eastAsia="ru-RU"/>
              </w:rPr>
            </w:pPr>
          </w:p>
        </w:tc>
        <w:tc>
          <w:tcPr>
            <w:tcW w:w="854" w:type="dxa"/>
            <w:tcBorders>
              <w:top w:val="single" w:sz="4" w:space="0" w:color="auto"/>
              <w:left w:val="nil"/>
              <w:bottom w:val="single" w:sz="4" w:space="0" w:color="auto"/>
              <w:right w:val="single" w:sz="4" w:space="0" w:color="auto"/>
            </w:tcBorders>
            <w:shd w:val="clear" w:color="000000" w:fill="FFFFFF"/>
            <w:vAlign w:val="center"/>
            <w:hideMark/>
          </w:tcPr>
          <w:p w14:paraId="11E74206"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плановое </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6FDCA111"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фактическое </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E1BEE8D"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Степень достижения показателя, %</w:t>
            </w:r>
          </w:p>
        </w:tc>
        <w:tc>
          <w:tcPr>
            <w:tcW w:w="2708" w:type="dxa"/>
            <w:vMerge/>
            <w:tcBorders>
              <w:left w:val="single" w:sz="4" w:space="0" w:color="auto"/>
              <w:bottom w:val="single" w:sz="4" w:space="0" w:color="auto"/>
              <w:right w:val="double" w:sz="4" w:space="0" w:color="auto"/>
            </w:tcBorders>
            <w:vAlign w:val="center"/>
            <w:hideMark/>
          </w:tcPr>
          <w:p w14:paraId="109B8E49" w14:textId="77777777" w:rsidR="00FF0657" w:rsidRPr="00A53AD7" w:rsidRDefault="00FF0657" w:rsidP="00FF0657">
            <w:pPr>
              <w:spacing w:after="0" w:line="240" w:lineRule="auto"/>
              <w:jc w:val="center"/>
              <w:rPr>
                <w:rFonts w:ascii="Times New Roman" w:eastAsia="Times New Roman" w:hAnsi="Times New Roman"/>
                <w:lang w:eastAsia="ru-RU"/>
              </w:rPr>
            </w:pPr>
          </w:p>
        </w:tc>
      </w:tr>
      <w:tr w:rsidR="00D470B6" w:rsidRPr="00A53AD7" w14:paraId="7E4389E1" w14:textId="77777777" w:rsidTr="00FF0657">
        <w:trPr>
          <w:trHeight w:val="435"/>
        </w:trPr>
        <w:tc>
          <w:tcPr>
            <w:tcW w:w="9248" w:type="dxa"/>
            <w:gridSpan w:val="6"/>
            <w:tcBorders>
              <w:top w:val="single" w:sz="4" w:space="0" w:color="auto"/>
              <w:left w:val="double" w:sz="4" w:space="0" w:color="auto"/>
              <w:bottom w:val="single" w:sz="4" w:space="0" w:color="auto"/>
              <w:right w:val="double" w:sz="4" w:space="0" w:color="auto"/>
            </w:tcBorders>
            <w:shd w:val="clear" w:color="000000" w:fill="FFFFFF"/>
            <w:vAlign w:val="center"/>
            <w:hideMark/>
          </w:tcPr>
          <w:p w14:paraId="4C9153AA"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Государственная программа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w:t>
            </w:r>
          </w:p>
        </w:tc>
      </w:tr>
      <w:tr w:rsidR="00D470B6" w:rsidRPr="00A53AD7" w14:paraId="1F9625DA" w14:textId="77777777" w:rsidTr="00FF0657">
        <w:trPr>
          <w:trHeight w:val="435"/>
        </w:trPr>
        <w:tc>
          <w:tcPr>
            <w:tcW w:w="9248" w:type="dxa"/>
            <w:gridSpan w:val="6"/>
            <w:tcBorders>
              <w:top w:val="single" w:sz="4" w:space="0" w:color="auto"/>
              <w:left w:val="double" w:sz="4" w:space="0" w:color="auto"/>
              <w:bottom w:val="single" w:sz="4" w:space="0" w:color="auto"/>
              <w:right w:val="double" w:sz="4" w:space="0" w:color="auto"/>
            </w:tcBorders>
            <w:shd w:val="clear" w:color="000000" w:fill="FFFFFF"/>
            <w:vAlign w:val="center"/>
          </w:tcPr>
          <w:p w14:paraId="000D76E0"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 1 «Спорт Беломорья. Спорт высших достижений и подготовка спортивного резерва»</w:t>
            </w:r>
          </w:p>
        </w:tc>
      </w:tr>
      <w:tr w:rsidR="00D470B6" w:rsidRPr="00A53AD7" w14:paraId="56C74555" w14:textId="77777777" w:rsidTr="00FF0657">
        <w:trPr>
          <w:trHeight w:val="653"/>
        </w:trPr>
        <w:tc>
          <w:tcPr>
            <w:tcW w:w="2495" w:type="dxa"/>
            <w:tcBorders>
              <w:top w:val="nil"/>
              <w:left w:val="double" w:sz="4" w:space="0" w:color="auto"/>
              <w:bottom w:val="single" w:sz="4" w:space="0" w:color="auto"/>
              <w:right w:val="nil"/>
            </w:tcBorders>
            <w:shd w:val="clear" w:color="000000" w:fill="FFFFFF"/>
            <w:vAlign w:val="center"/>
          </w:tcPr>
          <w:p w14:paraId="5E36D1B2"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8. Количество подготовленных контролеров-распорядителей, спортивных судей, тренеров-преподавателей и специалистов, работающих в сфере физической культуры и спорта, в том числе прошедших повышение квалификации и профессиональную переподготовку</w:t>
            </w:r>
          </w:p>
        </w:tc>
        <w:tc>
          <w:tcPr>
            <w:tcW w:w="1206" w:type="dxa"/>
            <w:tcBorders>
              <w:top w:val="nil"/>
              <w:left w:val="single" w:sz="4" w:space="0" w:color="auto"/>
              <w:bottom w:val="single" w:sz="4" w:space="0" w:color="auto"/>
              <w:right w:val="single" w:sz="4" w:space="0" w:color="auto"/>
            </w:tcBorders>
            <w:shd w:val="clear" w:color="000000" w:fill="FFFFFF"/>
            <w:vAlign w:val="center"/>
          </w:tcPr>
          <w:p w14:paraId="7817754C"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человек</w:t>
            </w:r>
          </w:p>
        </w:tc>
        <w:tc>
          <w:tcPr>
            <w:tcW w:w="854" w:type="dxa"/>
            <w:tcBorders>
              <w:top w:val="nil"/>
              <w:left w:val="nil"/>
              <w:bottom w:val="single" w:sz="4" w:space="0" w:color="auto"/>
              <w:right w:val="single" w:sz="4" w:space="0" w:color="auto"/>
            </w:tcBorders>
            <w:shd w:val="clear" w:color="000000" w:fill="FFFFFF"/>
            <w:vAlign w:val="center"/>
          </w:tcPr>
          <w:p w14:paraId="36FBEA6F"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400,00</w:t>
            </w:r>
          </w:p>
        </w:tc>
        <w:tc>
          <w:tcPr>
            <w:tcW w:w="851" w:type="dxa"/>
            <w:tcBorders>
              <w:top w:val="nil"/>
              <w:left w:val="nil"/>
              <w:bottom w:val="single" w:sz="4" w:space="0" w:color="auto"/>
              <w:right w:val="single" w:sz="4" w:space="0" w:color="auto"/>
            </w:tcBorders>
            <w:shd w:val="clear" w:color="000000" w:fill="FFFFFF"/>
            <w:vAlign w:val="center"/>
          </w:tcPr>
          <w:p w14:paraId="795D67A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290,00</w:t>
            </w:r>
          </w:p>
        </w:tc>
        <w:tc>
          <w:tcPr>
            <w:tcW w:w="1134" w:type="dxa"/>
            <w:tcBorders>
              <w:top w:val="nil"/>
              <w:left w:val="nil"/>
              <w:bottom w:val="single" w:sz="4" w:space="0" w:color="auto"/>
              <w:right w:val="single" w:sz="4" w:space="0" w:color="auto"/>
            </w:tcBorders>
            <w:shd w:val="clear" w:color="000000" w:fill="FFFFFF"/>
            <w:vAlign w:val="center"/>
          </w:tcPr>
          <w:p w14:paraId="0F5F89B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72,50</w:t>
            </w:r>
          </w:p>
        </w:tc>
        <w:tc>
          <w:tcPr>
            <w:tcW w:w="2708" w:type="dxa"/>
            <w:tcBorders>
              <w:top w:val="nil"/>
              <w:left w:val="nil"/>
              <w:bottom w:val="single" w:sz="4" w:space="0" w:color="auto"/>
              <w:right w:val="double" w:sz="4" w:space="0" w:color="auto"/>
            </w:tcBorders>
            <w:shd w:val="clear" w:color="000000" w:fill="FFFFFF"/>
            <w:vAlign w:val="center"/>
          </w:tcPr>
          <w:p w14:paraId="5F3386CD"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Уменьшение показателя связано с отсутствием заявок и желающих на переподготовку и повышение квалификации.</w:t>
            </w:r>
          </w:p>
        </w:tc>
      </w:tr>
      <w:tr w:rsidR="00D470B6" w:rsidRPr="00A53AD7" w14:paraId="1587B606" w14:textId="77777777" w:rsidTr="00FF0657">
        <w:trPr>
          <w:trHeight w:val="749"/>
        </w:trPr>
        <w:tc>
          <w:tcPr>
            <w:tcW w:w="2495" w:type="dxa"/>
            <w:tcBorders>
              <w:top w:val="nil"/>
              <w:left w:val="double" w:sz="4" w:space="0" w:color="auto"/>
              <w:bottom w:val="single" w:sz="4" w:space="0" w:color="auto"/>
              <w:right w:val="nil"/>
            </w:tcBorders>
            <w:shd w:val="clear" w:color="000000" w:fill="FFFFFF"/>
            <w:vAlign w:val="center"/>
          </w:tcPr>
          <w:p w14:paraId="35BBA612"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8.1. Количество квалифицированных тренеров и тренеров-преподавателей физкультурно-спортивных организаций, работающих по специальности (нарастающим итогом)</w:t>
            </w:r>
          </w:p>
        </w:tc>
        <w:tc>
          <w:tcPr>
            <w:tcW w:w="1206" w:type="dxa"/>
            <w:tcBorders>
              <w:top w:val="nil"/>
              <w:left w:val="single" w:sz="4" w:space="0" w:color="auto"/>
              <w:bottom w:val="single" w:sz="4" w:space="0" w:color="auto"/>
              <w:right w:val="single" w:sz="4" w:space="0" w:color="auto"/>
            </w:tcBorders>
            <w:shd w:val="clear" w:color="000000" w:fill="FFFFFF"/>
            <w:vAlign w:val="center"/>
          </w:tcPr>
          <w:p w14:paraId="7ADED25C"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человек</w:t>
            </w:r>
          </w:p>
        </w:tc>
        <w:tc>
          <w:tcPr>
            <w:tcW w:w="854" w:type="dxa"/>
            <w:tcBorders>
              <w:top w:val="nil"/>
              <w:left w:val="nil"/>
              <w:bottom w:val="single" w:sz="4" w:space="0" w:color="auto"/>
              <w:right w:val="single" w:sz="4" w:space="0" w:color="auto"/>
            </w:tcBorders>
            <w:shd w:val="clear" w:color="000000" w:fill="FFFFFF"/>
            <w:vAlign w:val="center"/>
          </w:tcPr>
          <w:p w14:paraId="5138FABF"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890,00</w:t>
            </w:r>
          </w:p>
        </w:tc>
        <w:tc>
          <w:tcPr>
            <w:tcW w:w="851" w:type="dxa"/>
            <w:tcBorders>
              <w:top w:val="nil"/>
              <w:left w:val="nil"/>
              <w:bottom w:val="single" w:sz="4" w:space="0" w:color="auto"/>
              <w:right w:val="single" w:sz="4" w:space="0" w:color="auto"/>
            </w:tcBorders>
            <w:shd w:val="clear" w:color="000000" w:fill="FFFFFF"/>
            <w:vAlign w:val="center"/>
          </w:tcPr>
          <w:p w14:paraId="11F85DD0"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828,00</w:t>
            </w:r>
          </w:p>
        </w:tc>
        <w:tc>
          <w:tcPr>
            <w:tcW w:w="1134" w:type="dxa"/>
            <w:tcBorders>
              <w:top w:val="nil"/>
              <w:left w:val="nil"/>
              <w:bottom w:val="single" w:sz="4" w:space="0" w:color="auto"/>
              <w:right w:val="single" w:sz="4" w:space="0" w:color="auto"/>
            </w:tcBorders>
            <w:shd w:val="clear" w:color="000000" w:fill="FFFFFF"/>
            <w:vAlign w:val="center"/>
          </w:tcPr>
          <w:p w14:paraId="0033A1AC"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93,00</w:t>
            </w:r>
          </w:p>
        </w:tc>
        <w:tc>
          <w:tcPr>
            <w:tcW w:w="2708" w:type="dxa"/>
            <w:tcBorders>
              <w:top w:val="nil"/>
              <w:left w:val="nil"/>
              <w:bottom w:val="single" w:sz="4" w:space="0" w:color="auto"/>
              <w:right w:val="double" w:sz="4" w:space="0" w:color="auto"/>
            </w:tcBorders>
            <w:shd w:val="clear" w:color="000000" w:fill="FFFFFF"/>
            <w:vAlign w:val="center"/>
          </w:tcPr>
          <w:p w14:paraId="57CE044C"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Недостижение показателя связано с процессом модернизации системы подготовки спортивного резерва</w:t>
            </w:r>
          </w:p>
        </w:tc>
      </w:tr>
      <w:tr w:rsidR="00D470B6" w:rsidRPr="00A53AD7" w14:paraId="54A08AF4" w14:textId="77777777" w:rsidTr="00FF0657">
        <w:trPr>
          <w:trHeight w:val="749"/>
        </w:trPr>
        <w:tc>
          <w:tcPr>
            <w:tcW w:w="2495" w:type="dxa"/>
            <w:tcBorders>
              <w:top w:val="nil"/>
              <w:left w:val="double" w:sz="4" w:space="0" w:color="auto"/>
              <w:bottom w:val="single" w:sz="4" w:space="0" w:color="auto"/>
              <w:right w:val="nil"/>
            </w:tcBorders>
            <w:shd w:val="clear" w:color="000000" w:fill="FFFFFF"/>
            <w:vAlign w:val="center"/>
          </w:tcPr>
          <w:p w14:paraId="125EC0F3"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8.2. Доля граждан, занимающихся в спортивных организациях, в общей численности детей и молодежи в возрасте 6-15 лет</w:t>
            </w:r>
          </w:p>
        </w:tc>
        <w:tc>
          <w:tcPr>
            <w:tcW w:w="1206" w:type="dxa"/>
            <w:tcBorders>
              <w:top w:val="nil"/>
              <w:left w:val="single" w:sz="4" w:space="0" w:color="auto"/>
              <w:bottom w:val="single" w:sz="4" w:space="0" w:color="auto"/>
              <w:right w:val="single" w:sz="4" w:space="0" w:color="auto"/>
            </w:tcBorders>
            <w:shd w:val="clear" w:color="000000" w:fill="FFFFFF"/>
            <w:vAlign w:val="center"/>
          </w:tcPr>
          <w:p w14:paraId="581CE9AA"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854" w:type="dxa"/>
            <w:tcBorders>
              <w:top w:val="nil"/>
              <w:left w:val="nil"/>
              <w:bottom w:val="single" w:sz="4" w:space="0" w:color="auto"/>
              <w:right w:val="single" w:sz="4" w:space="0" w:color="auto"/>
            </w:tcBorders>
            <w:shd w:val="clear" w:color="000000" w:fill="FFFFFF"/>
            <w:vAlign w:val="center"/>
          </w:tcPr>
          <w:p w14:paraId="683D1238"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47,00</w:t>
            </w:r>
          </w:p>
        </w:tc>
        <w:tc>
          <w:tcPr>
            <w:tcW w:w="851" w:type="dxa"/>
            <w:tcBorders>
              <w:top w:val="nil"/>
              <w:left w:val="nil"/>
              <w:bottom w:val="single" w:sz="4" w:space="0" w:color="auto"/>
              <w:right w:val="single" w:sz="4" w:space="0" w:color="auto"/>
            </w:tcBorders>
            <w:shd w:val="clear" w:color="000000" w:fill="FFFFFF"/>
            <w:vAlign w:val="center"/>
          </w:tcPr>
          <w:p w14:paraId="09F0EB07"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36,70</w:t>
            </w:r>
          </w:p>
        </w:tc>
        <w:tc>
          <w:tcPr>
            <w:tcW w:w="1134" w:type="dxa"/>
            <w:tcBorders>
              <w:top w:val="nil"/>
              <w:left w:val="nil"/>
              <w:bottom w:val="single" w:sz="4" w:space="0" w:color="auto"/>
              <w:right w:val="single" w:sz="4" w:space="0" w:color="auto"/>
            </w:tcBorders>
            <w:shd w:val="clear" w:color="000000" w:fill="FFFFFF"/>
            <w:vAlign w:val="center"/>
          </w:tcPr>
          <w:p w14:paraId="7A75289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78,10</w:t>
            </w:r>
          </w:p>
        </w:tc>
        <w:tc>
          <w:tcPr>
            <w:tcW w:w="2708" w:type="dxa"/>
            <w:tcBorders>
              <w:top w:val="nil"/>
              <w:left w:val="nil"/>
              <w:bottom w:val="single" w:sz="4" w:space="0" w:color="auto"/>
              <w:right w:val="double" w:sz="4" w:space="0" w:color="auto"/>
            </w:tcBorders>
            <w:shd w:val="clear" w:color="000000" w:fill="FFFFFF"/>
            <w:vAlign w:val="center"/>
          </w:tcPr>
          <w:p w14:paraId="7BA3C3EE"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Недостижение показателя связано с недостаточным количеством в муниципальных образованиях физкультурно-спортивных организаций</w:t>
            </w:r>
          </w:p>
        </w:tc>
      </w:tr>
      <w:tr w:rsidR="00D470B6" w:rsidRPr="00A53AD7" w14:paraId="38CDA8EB" w14:textId="77777777" w:rsidTr="00A92E11">
        <w:trPr>
          <w:trHeight w:val="453"/>
        </w:trPr>
        <w:tc>
          <w:tcPr>
            <w:tcW w:w="2495" w:type="dxa"/>
            <w:tcBorders>
              <w:top w:val="nil"/>
              <w:left w:val="double" w:sz="4" w:space="0" w:color="auto"/>
              <w:bottom w:val="single" w:sz="4" w:space="0" w:color="auto"/>
              <w:right w:val="nil"/>
            </w:tcBorders>
            <w:shd w:val="clear" w:color="000000" w:fill="FFFFFF"/>
            <w:vAlign w:val="center"/>
          </w:tcPr>
          <w:p w14:paraId="2DFF9878"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11. Доля молодежи, систематически занимающихся физической культурой и спортом, от общей численности молодежи в Архангельской области</w:t>
            </w:r>
          </w:p>
        </w:tc>
        <w:tc>
          <w:tcPr>
            <w:tcW w:w="1206" w:type="dxa"/>
            <w:tcBorders>
              <w:top w:val="nil"/>
              <w:left w:val="single" w:sz="4" w:space="0" w:color="auto"/>
              <w:bottom w:val="single" w:sz="4" w:space="0" w:color="auto"/>
              <w:right w:val="single" w:sz="4" w:space="0" w:color="auto"/>
            </w:tcBorders>
            <w:shd w:val="clear" w:color="000000" w:fill="FFFFFF"/>
            <w:vAlign w:val="center"/>
          </w:tcPr>
          <w:p w14:paraId="418907AA"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процентов</w:t>
            </w:r>
          </w:p>
        </w:tc>
        <w:tc>
          <w:tcPr>
            <w:tcW w:w="854" w:type="dxa"/>
            <w:tcBorders>
              <w:top w:val="nil"/>
              <w:left w:val="nil"/>
              <w:bottom w:val="single" w:sz="4" w:space="0" w:color="auto"/>
              <w:right w:val="single" w:sz="4" w:space="0" w:color="auto"/>
            </w:tcBorders>
            <w:shd w:val="clear" w:color="000000" w:fill="FFFFFF"/>
            <w:vAlign w:val="center"/>
          </w:tcPr>
          <w:p w14:paraId="40F7D6F4"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78,00</w:t>
            </w:r>
          </w:p>
        </w:tc>
        <w:tc>
          <w:tcPr>
            <w:tcW w:w="851" w:type="dxa"/>
            <w:tcBorders>
              <w:top w:val="nil"/>
              <w:left w:val="nil"/>
              <w:bottom w:val="single" w:sz="4" w:space="0" w:color="auto"/>
              <w:right w:val="single" w:sz="4" w:space="0" w:color="auto"/>
            </w:tcBorders>
            <w:shd w:val="clear" w:color="000000" w:fill="FFFFFF"/>
            <w:vAlign w:val="center"/>
          </w:tcPr>
          <w:p w14:paraId="7EFE3271"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65,20</w:t>
            </w:r>
          </w:p>
        </w:tc>
        <w:tc>
          <w:tcPr>
            <w:tcW w:w="1134" w:type="dxa"/>
            <w:tcBorders>
              <w:top w:val="nil"/>
              <w:left w:val="nil"/>
              <w:bottom w:val="single" w:sz="4" w:space="0" w:color="auto"/>
              <w:right w:val="single" w:sz="4" w:space="0" w:color="auto"/>
            </w:tcBorders>
            <w:shd w:val="clear" w:color="000000" w:fill="FFFFFF"/>
            <w:vAlign w:val="center"/>
          </w:tcPr>
          <w:p w14:paraId="78E21727"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83,50</w:t>
            </w:r>
          </w:p>
        </w:tc>
        <w:tc>
          <w:tcPr>
            <w:tcW w:w="2708" w:type="dxa"/>
            <w:tcBorders>
              <w:top w:val="nil"/>
              <w:left w:val="nil"/>
              <w:bottom w:val="single" w:sz="4" w:space="0" w:color="auto"/>
              <w:right w:val="double" w:sz="4" w:space="0" w:color="auto"/>
            </w:tcBorders>
            <w:shd w:val="clear" w:color="000000" w:fill="FFFFFF"/>
            <w:vAlign w:val="center"/>
          </w:tcPr>
          <w:p w14:paraId="149F27FC"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Недостижение показателя связано с недостаточным количеством в муниципальных образованиях физкультурно-спортивных организаций</w:t>
            </w:r>
          </w:p>
        </w:tc>
      </w:tr>
      <w:tr w:rsidR="00D470B6" w:rsidRPr="00A53AD7" w14:paraId="6A763690" w14:textId="77777777" w:rsidTr="00FF0657">
        <w:trPr>
          <w:trHeight w:val="749"/>
        </w:trPr>
        <w:tc>
          <w:tcPr>
            <w:tcW w:w="2495" w:type="dxa"/>
            <w:tcBorders>
              <w:top w:val="nil"/>
              <w:left w:val="double" w:sz="4" w:space="0" w:color="auto"/>
              <w:bottom w:val="single" w:sz="4" w:space="0" w:color="auto"/>
              <w:right w:val="nil"/>
            </w:tcBorders>
            <w:shd w:val="clear" w:color="000000" w:fill="FFFFFF"/>
            <w:vAlign w:val="center"/>
          </w:tcPr>
          <w:p w14:paraId="44D605F4"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18. Количество объектов, включенных во Всероссийский реестр объектов спорта</w:t>
            </w:r>
          </w:p>
        </w:tc>
        <w:tc>
          <w:tcPr>
            <w:tcW w:w="1206" w:type="dxa"/>
            <w:tcBorders>
              <w:top w:val="nil"/>
              <w:left w:val="single" w:sz="4" w:space="0" w:color="auto"/>
              <w:bottom w:val="single" w:sz="4" w:space="0" w:color="auto"/>
              <w:right w:val="single" w:sz="4" w:space="0" w:color="auto"/>
            </w:tcBorders>
            <w:shd w:val="clear" w:color="000000" w:fill="FFFFFF"/>
            <w:vAlign w:val="center"/>
          </w:tcPr>
          <w:p w14:paraId="61AF3F86"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w:t>
            </w:r>
          </w:p>
        </w:tc>
        <w:tc>
          <w:tcPr>
            <w:tcW w:w="854" w:type="dxa"/>
            <w:tcBorders>
              <w:top w:val="nil"/>
              <w:left w:val="nil"/>
              <w:bottom w:val="single" w:sz="4" w:space="0" w:color="auto"/>
              <w:right w:val="single" w:sz="4" w:space="0" w:color="auto"/>
            </w:tcBorders>
            <w:shd w:val="clear" w:color="000000" w:fill="FFFFFF"/>
            <w:vAlign w:val="center"/>
          </w:tcPr>
          <w:p w14:paraId="1B24E860"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6,00</w:t>
            </w:r>
          </w:p>
        </w:tc>
        <w:tc>
          <w:tcPr>
            <w:tcW w:w="851" w:type="dxa"/>
            <w:tcBorders>
              <w:top w:val="nil"/>
              <w:left w:val="nil"/>
              <w:bottom w:val="single" w:sz="4" w:space="0" w:color="auto"/>
              <w:right w:val="single" w:sz="4" w:space="0" w:color="auto"/>
            </w:tcBorders>
            <w:shd w:val="clear" w:color="000000" w:fill="FFFFFF"/>
            <w:vAlign w:val="center"/>
          </w:tcPr>
          <w:p w14:paraId="71F3658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5,00</w:t>
            </w:r>
          </w:p>
        </w:tc>
        <w:tc>
          <w:tcPr>
            <w:tcW w:w="1134" w:type="dxa"/>
            <w:tcBorders>
              <w:top w:val="nil"/>
              <w:left w:val="nil"/>
              <w:bottom w:val="single" w:sz="4" w:space="0" w:color="auto"/>
              <w:right w:val="single" w:sz="4" w:space="0" w:color="auto"/>
            </w:tcBorders>
            <w:shd w:val="clear" w:color="000000" w:fill="FFFFFF"/>
            <w:vAlign w:val="center"/>
          </w:tcPr>
          <w:p w14:paraId="218B67F4"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83,30</w:t>
            </w:r>
          </w:p>
        </w:tc>
        <w:tc>
          <w:tcPr>
            <w:tcW w:w="2708" w:type="dxa"/>
            <w:tcBorders>
              <w:top w:val="nil"/>
              <w:left w:val="nil"/>
              <w:bottom w:val="single" w:sz="4" w:space="0" w:color="auto"/>
              <w:right w:val="double" w:sz="4" w:space="0" w:color="auto"/>
            </w:tcBorders>
            <w:shd w:val="clear" w:color="000000" w:fill="FFFFFF"/>
            <w:vAlign w:val="center"/>
          </w:tcPr>
          <w:p w14:paraId="7C1FC930"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Планировалось включение 1 объекта в 2019 году, в связи с отсутствием средств на содержание объекта, он не был передан в областную собственность, соответственно документы не были направлены во Всероссийский реестр</w:t>
            </w:r>
          </w:p>
        </w:tc>
      </w:tr>
      <w:tr w:rsidR="00D470B6" w:rsidRPr="00A53AD7" w14:paraId="3D17DD7E" w14:textId="77777777" w:rsidTr="00FF0657">
        <w:trPr>
          <w:trHeight w:val="255"/>
        </w:trPr>
        <w:tc>
          <w:tcPr>
            <w:tcW w:w="9248" w:type="dxa"/>
            <w:gridSpan w:val="6"/>
            <w:tcBorders>
              <w:top w:val="single" w:sz="4" w:space="0" w:color="auto"/>
              <w:left w:val="double" w:sz="4" w:space="0" w:color="auto"/>
              <w:bottom w:val="single" w:sz="4" w:space="0" w:color="auto"/>
              <w:right w:val="double" w:sz="4" w:space="0" w:color="auto"/>
            </w:tcBorders>
            <w:shd w:val="clear" w:color="000000" w:fill="FFFFFF"/>
            <w:noWrap/>
            <w:vAlign w:val="center"/>
            <w:hideMark/>
          </w:tcPr>
          <w:p w14:paraId="54182387"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Подпрограмма № 2 «Молодежь Архангельской области (2014 - 2024 годы)»</w:t>
            </w:r>
          </w:p>
        </w:tc>
      </w:tr>
      <w:tr w:rsidR="00D470B6" w:rsidRPr="00A53AD7" w14:paraId="3F3261E0" w14:textId="77777777" w:rsidTr="00FF0657">
        <w:trPr>
          <w:trHeight w:val="1345"/>
        </w:trPr>
        <w:tc>
          <w:tcPr>
            <w:tcW w:w="2495" w:type="dxa"/>
            <w:tcBorders>
              <w:top w:val="single" w:sz="4" w:space="0" w:color="auto"/>
              <w:left w:val="double" w:sz="4" w:space="0" w:color="auto"/>
              <w:bottom w:val="double" w:sz="4" w:space="0" w:color="auto"/>
              <w:right w:val="nil"/>
            </w:tcBorders>
            <w:shd w:val="clear" w:color="000000" w:fill="FFFFFF"/>
            <w:vAlign w:val="center"/>
          </w:tcPr>
          <w:p w14:paraId="5798F061"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25.2. Количество выпусков тематической молодежной телевизионной программы</w:t>
            </w:r>
          </w:p>
        </w:tc>
        <w:tc>
          <w:tcPr>
            <w:tcW w:w="1206" w:type="dxa"/>
            <w:tcBorders>
              <w:top w:val="single" w:sz="4" w:space="0" w:color="auto"/>
              <w:left w:val="single" w:sz="4" w:space="0" w:color="auto"/>
              <w:bottom w:val="double" w:sz="4" w:space="0" w:color="auto"/>
              <w:right w:val="single" w:sz="4" w:space="0" w:color="auto"/>
            </w:tcBorders>
            <w:shd w:val="clear" w:color="000000" w:fill="FFFFFF"/>
            <w:vAlign w:val="center"/>
          </w:tcPr>
          <w:p w14:paraId="214AAFA1"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единиц</w:t>
            </w:r>
          </w:p>
        </w:tc>
        <w:tc>
          <w:tcPr>
            <w:tcW w:w="854" w:type="dxa"/>
            <w:tcBorders>
              <w:top w:val="single" w:sz="4" w:space="0" w:color="auto"/>
              <w:left w:val="nil"/>
              <w:bottom w:val="double" w:sz="4" w:space="0" w:color="auto"/>
              <w:right w:val="single" w:sz="4" w:space="0" w:color="auto"/>
            </w:tcBorders>
            <w:shd w:val="clear" w:color="000000" w:fill="FFFFFF"/>
            <w:vAlign w:val="center"/>
          </w:tcPr>
          <w:p w14:paraId="494066AA"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4,00</w:t>
            </w:r>
          </w:p>
        </w:tc>
        <w:tc>
          <w:tcPr>
            <w:tcW w:w="851" w:type="dxa"/>
            <w:tcBorders>
              <w:top w:val="single" w:sz="4" w:space="0" w:color="auto"/>
              <w:left w:val="nil"/>
              <w:bottom w:val="double" w:sz="4" w:space="0" w:color="auto"/>
              <w:right w:val="single" w:sz="4" w:space="0" w:color="auto"/>
            </w:tcBorders>
            <w:shd w:val="clear" w:color="000000" w:fill="FFFFFF"/>
            <w:vAlign w:val="center"/>
          </w:tcPr>
          <w:p w14:paraId="46AF63EB"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0,00</w:t>
            </w:r>
          </w:p>
        </w:tc>
        <w:tc>
          <w:tcPr>
            <w:tcW w:w="1134" w:type="dxa"/>
            <w:tcBorders>
              <w:top w:val="single" w:sz="4" w:space="0" w:color="auto"/>
              <w:left w:val="nil"/>
              <w:bottom w:val="double" w:sz="4" w:space="0" w:color="auto"/>
              <w:right w:val="single" w:sz="4" w:space="0" w:color="auto"/>
            </w:tcBorders>
            <w:shd w:val="clear" w:color="000000" w:fill="FFFFFF"/>
            <w:vAlign w:val="center"/>
          </w:tcPr>
          <w:p w14:paraId="5199183E" w14:textId="77777777" w:rsidR="00FF0657" w:rsidRPr="00A53AD7" w:rsidRDefault="00FF0657" w:rsidP="00FF0657">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0,00</w:t>
            </w:r>
          </w:p>
        </w:tc>
        <w:tc>
          <w:tcPr>
            <w:tcW w:w="2708" w:type="dxa"/>
            <w:tcBorders>
              <w:top w:val="single" w:sz="4" w:space="0" w:color="auto"/>
              <w:left w:val="nil"/>
              <w:bottom w:val="double" w:sz="4" w:space="0" w:color="auto"/>
              <w:right w:val="double" w:sz="4" w:space="0" w:color="auto"/>
            </w:tcBorders>
            <w:shd w:val="clear" w:color="000000" w:fill="FFFFFF"/>
            <w:vAlign w:val="center"/>
          </w:tcPr>
          <w:p w14:paraId="7943F59C" w14:textId="77777777" w:rsidR="00FF0657" w:rsidRPr="00A53AD7" w:rsidRDefault="00FF0657" w:rsidP="00FF0657">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 программе не заложены финансовые средства на выпуск телевизионной программы</w:t>
            </w:r>
          </w:p>
        </w:tc>
      </w:tr>
    </w:tbl>
    <w:p w14:paraId="0AE1A020" w14:textId="77777777" w:rsidR="00FF0657" w:rsidRPr="00A53AD7" w:rsidRDefault="00FF0657" w:rsidP="00FF0657">
      <w:pPr>
        <w:spacing w:after="0" w:line="240" w:lineRule="auto"/>
        <w:ind w:right="-2" w:firstLine="851"/>
        <w:jc w:val="both"/>
        <w:rPr>
          <w:rFonts w:ascii="Times New Roman" w:hAnsi="Times New Roman"/>
          <w:sz w:val="28"/>
          <w:szCs w:val="28"/>
        </w:rPr>
      </w:pPr>
    </w:p>
    <w:p w14:paraId="0CC8A59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При анализе целевых показателей на 2019 год, установленных государственной программой и паспортом регионального проекта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(Архангельская область)» (далее - региональный проект), установлено, что значение целевого показателя «Доля граждан среднего возраста (женщины 30-54 года; мужчины 30-59 лет), систематически занимающихся физической культурой и спортом», «Доля граждан старшего возраста (женщины: 55 - 79 лет; мужчины: 60 - 79 лет), систематически занимающихся физической культурой и спортом» и «Доля занимающихся по программам спортивной подготовки в организациях ведомственной принадлежности физической культуры и спорта», не соответствует значениям показателей, установленных паспортом федерального проекта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(далее – федеральный проект), что в свою очередь несет в себе риски по достижению целей, предусмотренных национальным проектом «Демография».</w:t>
      </w:r>
    </w:p>
    <w:p w14:paraId="08868ED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Контрольно-счетная палата полагает необходимым установить значение целевых показателей госпрограммы и регионального проекта на уровне показателей не ниже, чем они установлены в федеральном проекте.</w:t>
      </w:r>
    </w:p>
    <w:p w14:paraId="2D23A6C7"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Информация о значениях установленных показателей и их достижении в 2019 году представлена ниже:</w:t>
      </w:r>
    </w:p>
    <w:tbl>
      <w:tblPr>
        <w:tblW w:w="9390" w:type="dxa"/>
        <w:tblInd w:w="9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4712"/>
        <w:gridCol w:w="1559"/>
        <w:gridCol w:w="1559"/>
        <w:gridCol w:w="1560"/>
      </w:tblGrid>
      <w:tr w:rsidR="00D470B6" w:rsidRPr="00A53AD7" w14:paraId="08D204DA" w14:textId="77777777" w:rsidTr="00FF0657">
        <w:trPr>
          <w:trHeight w:val="210"/>
          <w:tblHeader/>
        </w:trPr>
        <w:tc>
          <w:tcPr>
            <w:tcW w:w="4712" w:type="dxa"/>
            <w:vAlign w:val="center"/>
            <w:hideMark/>
          </w:tcPr>
          <w:p w14:paraId="4BC1E8C0"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целевого показателя</w:t>
            </w:r>
          </w:p>
        </w:tc>
        <w:tc>
          <w:tcPr>
            <w:tcW w:w="1559" w:type="dxa"/>
            <w:shd w:val="clear" w:color="000000" w:fill="FFFFFF"/>
            <w:vAlign w:val="center"/>
            <w:hideMark/>
          </w:tcPr>
          <w:p w14:paraId="690ADA06"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Значение, установленное федеральным проектом от 29.04.2019, %</w:t>
            </w:r>
          </w:p>
        </w:tc>
        <w:tc>
          <w:tcPr>
            <w:tcW w:w="1559" w:type="dxa"/>
            <w:shd w:val="clear" w:color="000000" w:fill="FFFFFF"/>
            <w:vAlign w:val="center"/>
            <w:hideMark/>
          </w:tcPr>
          <w:p w14:paraId="605B14EF"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Значение, установленное госпрограммой (в ред. на 31.12.2019), %</w:t>
            </w:r>
          </w:p>
        </w:tc>
        <w:tc>
          <w:tcPr>
            <w:tcW w:w="1560" w:type="dxa"/>
            <w:shd w:val="clear" w:color="000000" w:fill="FFFFFF"/>
            <w:vAlign w:val="center"/>
            <w:hideMark/>
          </w:tcPr>
          <w:p w14:paraId="213EFF39"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Фактическое достижение показателя за 2019 год</w:t>
            </w:r>
          </w:p>
        </w:tc>
      </w:tr>
      <w:tr w:rsidR="00D470B6" w:rsidRPr="00A53AD7" w14:paraId="3264C2E0" w14:textId="77777777" w:rsidTr="00FF0657">
        <w:trPr>
          <w:trHeight w:val="488"/>
        </w:trPr>
        <w:tc>
          <w:tcPr>
            <w:tcW w:w="4712" w:type="dxa"/>
            <w:shd w:val="clear" w:color="000000" w:fill="FFFFFF"/>
            <w:vAlign w:val="center"/>
          </w:tcPr>
          <w:p w14:paraId="7C10DC2F" w14:textId="77777777" w:rsidR="00FF0657" w:rsidRPr="00A53AD7" w:rsidRDefault="00FF0657" w:rsidP="00FF065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граждан среднего возраста (женщины 30-54 года; мужчины 30-59 лет), систематически занимающихся физической культурой и спортом»</w:t>
            </w:r>
          </w:p>
        </w:tc>
        <w:tc>
          <w:tcPr>
            <w:tcW w:w="1559" w:type="dxa"/>
            <w:shd w:val="clear" w:color="000000" w:fill="FFFFFF"/>
            <w:vAlign w:val="center"/>
          </w:tcPr>
          <w:p w14:paraId="2DDBF1BC"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29,4</w:t>
            </w:r>
          </w:p>
        </w:tc>
        <w:tc>
          <w:tcPr>
            <w:tcW w:w="1559" w:type="dxa"/>
            <w:shd w:val="clear" w:color="000000" w:fill="FFFFFF"/>
            <w:vAlign w:val="center"/>
          </w:tcPr>
          <w:p w14:paraId="69D57A1C"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17,0</w:t>
            </w:r>
          </w:p>
        </w:tc>
        <w:tc>
          <w:tcPr>
            <w:tcW w:w="1560" w:type="dxa"/>
            <w:shd w:val="clear" w:color="000000" w:fill="FFFFFF"/>
            <w:vAlign w:val="center"/>
          </w:tcPr>
          <w:p w14:paraId="3DBA6295"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17,0</w:t>
            </w:r>
          </w:p>
        </w:tc>
      </w:tr>
      <w:tr w:rsidR="00D470B6" w:rsidRPr="00A53AD7" w14:paraId="2EE96FF6" w14:textId="77777777" w:rsidTr="00FF0657">
        <w:trPr>
          <w:trHeight w:val="410"/>
        </w:trPr>
        <w:tc>
          <w:tcPr>
            <w:tcW w:w="4712" w:type="dxa"/>
            <w:shd w:val="clear" w:color="000000" w:fill="FFFFFF"/>
            <w:vAlign w:val="center"/>
          </w:tcPr>
          <w:p w14:paraId="5E94CF8F" w14:textId="77777777" w:rsidR="00FF0657" w:rsidRPr="00A53AD7" w:rsidRDefault="00FF0657" w:rsidP="00FF065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граждан старшего возраста (женщины: 55 - 79 лет; мужчины: 60 - 79 лет), систематически занимающихся физической культурой и спортом»</w:t>
            </w:r>
          </w:p>
        </w:tc>
        <w:tc>
          <w:tcPr>
            <w:tcW w:w="1559" w:type="dxa"/>
            <w:shd w:val="clear" w:color="000000" w:fill="FFFFFF"/>
            <w:vAlign w:val="center"/>
          </w:tcPr>
          <w:p w14:paraId="0DEB8608"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w:t>
            </w:r>
          </w:p>
        </w:tc>
        <w:tc>
          <w:tcPr>
            <w:tcW w:w="1559" w:type="dxa"/>
            <w:shd w:val="clear" w:color="000000" w:fill="FFFFFF"/>
            <w:vAlign w:val="center"/>
          </w:tcPr>
          <w:p w14:paraId="1F8195A8"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1560" w:type="dxa"/>
            <w:shd w:val="clear" w:color="000000" w:fill="FFFFFF"/>
            <w:vAlign w:val="center"/>
          </w:tcPr>
          <w:p w14:paraId="49572313"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w:t>
            </w:r>
          </w:p>
        </w:tc>
      </w:tr>
      <w:tr w:rsidR="00D470B6" w:rsidRPr="00A53AD7" w14:paraId="4B661323" w14:textId="77777777" w:rsidTr="00FF0657">
        <w:trPr>
          <w:trHeight w:val="478"/>
        </w:trPr>
        <w:tc>
          <w:tcPr>
            <w:tcW w:w="4712" w:type="dxa"/>
            <w:shd w:val="clear" w:color="000000" w:fill="FFFFFF"/>
            <w:vAlign w:val="center"/>
          </w:tcPr>
          <w:p w14:paraId="4C7904F6" w14:textId="77777777" w:rsidR="00FF0657" w:rsidRPr="00A53AD7" w:rsidRDefault="00FF0657" w:rsidP="00FF065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занимающихся по программам спортивной подготовки в организациях ведомственной принадлежности физической культуры и спорта»</w:t>
            </w:r>
          </w:p>
        </w:tc>
        <w:tc>
          <w:tcPr>
            <w:tcW w:w="1559" w:type="dxa"/>
            <w:shd w:val="clear" w:color="000000" w:fill="FFFFFF"/>
            <w:noWrap/>
            <w:vAlign w:val="center"/>
          </w:tcPr>
          <w:p w14:paraId="59C02DFA"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w:t>
            </w:r>
          </w:p>
        </w:tc>
        <w:tc>
          <w:tcPr>
            <w:tcW w:w="1559" w:type="dxa"/>
            <w:shd w:val="clear" w:color="000000" w:fill="FFFFFF"/>
            <w:noWrap/>
            <w:vAlign w:val="center"/>
          </w:tcPr>
          <w:p w14:paraId="3CB0BD24"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c>
          <w:tcPr>
            <w:tcW w:w="1560" w:type="dxa"/>
            <w:shd w:val="clear" w:color="000000" w:fill="FFFFFF"/>
            <w:noWrap/>
            <w:vAlign w:val="center"/>
          </w:tcPr>
          <w:p w14:paraId="6354E871" w14:textId="77777777" w:rsidR="00FF0657" w:rsidRPr="00A53AD7" w:rsidRDefault="00FF0657" w:rsidP="00FF065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w:t>
            </w:r>
          </w:p>
        </w:tc>
      </w:tr>
    </w:tbl>
    <w:p w14:paraId="25F9089F" w14:textId="77777777" w:rsidR="00FF0657" w:rsidRPr="00A53AD7" w:rsidRDefault="00FF0657" w:rsidP="00FF0657">
      <w:pPr>
        <w:spacing w:after="0" w:line="240" w:lineRule="auto"/>
        <w:ind w:right="-2" w:firstLine="851"/>
        <w:jc w:val="both"/>
        <w:rPr>
          <w:rFonts w:ascii="Times New Roman" w:hAnsi="Times New Roman"/>
          <w:sz w:val="28"/>
          <w:szCs w:val="28"/>
        </w:rPr>
      </w:pPr>
    </w:p>
    <w:p w14:paraId="5DCC8C9C"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Как видно из таблицы, два целевых показателя: «Доля граждан среднего возраста (женщины 30-54 года; мужчины 30-59 лет), систематически занимающихся физической культурой и спортом» и «Доля граждан старшего возраста (женщины: 55 - 79 лет; мужчины: 60 - 79 лет), систематически занимающихся физической культурой и спортом» достигнуты в 2019 году за счет того, что их значения, установленные государственной программой на 2019 год (в редакции на 31.12.2019) ниже, чем значения, установленные федеральным проектом.</w:t>
      </w:r>
    </w:p>
    <w:p w14:paraId="0B3B1624" w14:textId="77777777" w:rsidR="00FF0657" w:rsidRPr="00A53AD7" w:rsidRDefault="00FF0657" w:rsidP="00FF0657">
      <w:pPr>
        <w:spacing w:after="0" w:line="240" w:lineRule="auto"/>
        <w:ind w:right="-2" w:firstLine="851"/>
        <w:jc w:val="both"/>
        <w:rPr>
          <w:rFonts w:ascii="Times New Roman" w:hAnsi="Times New Roman"/>
          <w:sz w:val="28"/>
          <w:szCs w:val="28"/>
        </w:rPr>
      </w:pPr>
    </w:p>
    <w:p w14:paraId="74CD11E8"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мероприятий госпрограммы объем финансирования реализации государственной программы на 2019 год составил 1 175,5 млн.руб., кассовые расходы - 1 066,3 млн.руб. или 90,7 % от предусмотренных, освоено - 1 033,7 млн.руб. или 87,9 % от предусмотренных.</w:t>
      </w:r>
    </w:p>
    <w:p w14:paraId="7A34DF46" w14:textId="77777777" w:rsidR="00FF0657" w:rsidRPr="00A53AD7" w:rsidRDefault="00FF0657" w:rsidP="00FF0657">
      <w:pPr>
        <w:spacing w:after="0" w:line="240" w:lineRule="auto"/>
        <w:ind w:right="-2" w:firstLine="851"/>
        <w:jc w:val="both"/>
        <w:rPr>
          <w:rFonts w:ascii="Times New Roman" w:hAnsi="Times New Roman"/>
          <w:sz w:val="28"/>
          <w:szCs w:val="28"/>
        </w:rPr>
      </w:pPr>
    </w:p>
    <w:p w14:paraId="59667325"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Следует отметить, что контрольно-счетная палата в своем заключении по результатам экспертизы проекта областного закона «Об областном бюджете на 2019 год и на плановый период 2020 и 2021 годов» от 02.11.2018 отмечала для ГАУ АО «Молодежный центр» значительное увеличение расходов на выполнение государственных работ без изменения значения показателя объема работы. При проведении экспертно-аналитического мероприятия установлено, что в 2019 году в государственные задания учреждений внесены изменения в части увеличения объемов государственных работ, в связи с чем, в 2019 году стоимость единицы государственной работы либо осталась на уровне 2018 года, либо увеличена незначительно (до 4%).</w:t>
      </w:r>
    </w:p>
    <w:p w14:paraId="4A5C2FE0"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Государственному автономному учреждению Архангельской области «Региональный центр патриотического воспитания и подготовки граждан (молодежи) к военной службе» в рамках выполнения мероприятия 1.3 «Выполнение государственного задания на оказание государственных услуг (выполнение работ) государственным автономным учреждением Архангельской области «Региональный центр патриотического воспитания и подготовки граждан (молодежи) к военной службе» (подпрограмма № 3) в 2019 году увеличены бюджетные ассигнования по сравнению с 2018 годом на 6,8 млн.руб. или 25,7 % (с 19,7 млн.руб. до 26,5 млн.руб.). Основное увеличение расходов наблюдается по работе «Организация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 Согласно отчету о выполнении государственного задания в 2019 году запланированы и проведены 204 мероприятия. По информации, предоставленной администрацией Губернатора Архангельской области и Правительства Архангельской области, объем бюджетных ассигнований в 2019 году составил 22,3 млн.руб. В 2018 году показатель объема работы выполнен в количестве 180 единиц, объем ассигнований - 14,4 млн.руб. Таким образом, расходы на 1 мероприятие составят: в 2018 году - 80,0 тыс.руб./мер. (14 400,00/180), в 2019 году - 109,3 тыс.руб./мер. (22 300,00/204). По информации, представленной государственным автономным учреждением Архангельской области «Региональный центр патриотического воспитания и подготовки граждан (молодежи) к военной службе» увеличение расходов на проведение мероприятий связано с открытием 26 зональных центров по патриотическому воспитанию, в связи с чем количество мероприятий, проводимых в муниципальных районах Архангельской области значительно увеличилось. Кроме того, увеличилось общее количество мероприятий со 180 до 204, причем 50 мероприятий - новые. В связи с увеличением объема работы в учреждении было создано новое структурное подразделение, увеличено общее количество сотрудников.</w:t>
      </w:r>
    </w:p>
    <w:p w14:paraId="4DA5919F"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2019 году контрольно-счетной палатой Архангельской области было проведено контрольное мероприятие «Совместная проверка с правоохранительными органами финансово-хозяйственной деятельности государственного автономного учреждения Архангельской области «Центр поддержки молодой семьи за 2018 год». Проверкой было установлено: «При сопоставлении мероприятий, реализованных при исполнении государственного задания, и мероприятий, выполненных за счет субсидии на иные цели, установлено, что расходование средств целевой субсидии осуществлено на мероприятия, исполнение которых запланировано и выполнено за счет субсидии на выполнение государственного задания». Учитывая то, что средства субсидии на иные цели использованы на цели, финансирование реализации которых осуществлялось из средств субсидии на выполнение государственного задания, при расходовании средств в размере 1,6 млн.руб. нарушены пункт 1 статьи 78.1 БК РФ, пункты 4, 10 Положения № 369-пп, пункт 2.6 Государственной программы, пункты 1.1, 1.2, 2.3 Соглашения, то есть осуществлено нецелевое расходование бюджетных средств, что повлекло за собой причинение ущерба Архангельской области.</w:t>
      </w:r>
    </w:p>
    <w:p w14:paraId="63D05428" w14:textId="77777777" w:rsidR="00FF0657" w:rsidRPr="00A53AD7" w:rsidRDefault="00FF0657" w:rsidP="00FF0657">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По информации, предоставленной администрацией Губернатора Архангельской области и Правительства Архангельской области, в 2019 году мероприятия, включенные в государственное задание, и мероприятия, выполненные за счет средств субсидии на иные цели, учредителем были сопоставлены, и установлено, что в отчет о расходовании средств субсидии на иные цели не включены мероприятия, выполнение которых запланировано за счет средств государственного задания.</w:t>
      </w:r>
    </w:p>
    <w:p w14:paraId="5863EA6F" w14:textId="02291CA3" w:rsidR="005D0B71" w:rsidRPr="00A53AD7" w:rsidRDefault="005D0B71" w:rsidP="005D0B71">
      <w:pPr>
        <w:pStyle w:val="3"/>
        <w:spacing w:line="240" w:lineRule="auto"/>
        <w:jc w:val="center"/>
        <w:rPr>
          <w:rFonts w:ascii="Times New Roman" w:hAnsi="Times New Roman"/>
          <w:b w:val="0"/>
          <w:sz w:val="28"/>
          <w:szCs w:val="28"/>
          <w:u w:val="single"/>
          <w:lang w:val="ru-RU"/>
        </w:rPr>
      </w:pPr>
      <w:bookmarkStart w:id="84" w:name="_Toc42006733"/>
      <w:r w:rsidRPr="00A53AD7">
        <w:rPr>
          <w:rFonts w:ascii="Times New Roman" w:hAnsi="Times New Roman"/>
          <w:b w:val="0"/>
          <w:sz w:val="28"/>
          <w:szCs w:val="28"/>
          <w:u w:val="single"/>
          <w:lang w:val="ru-RU"/>
        </w:rPr>
        <w:t>4.2.12. Государственная программы Архангельской области «Экономическое развитие и инвестиционная деятельность в Архангельской области (2014</w:t>
      </w:r>
      <w:r w:rsidR="00775FB8" w:rsidRPr="00A53AD7">
        <w:rPr>
          <w:rFonts w:ascii="Times New Roman" w:hAnsi="Times New Roman"/>
          <w:b w:val="0"/>
          <w:sz w:val="28"/>
          <w:szCs w:val="28"/>
          <w:u w:val="single"/>
          <w:lang w:val="ru-RU"/>
        </w:rPr>
        <w:t xml:space="preserve"> – </w:t>
      </w:r>
      <w:r w:rsidRPr="00A53AD7">
        <w:rPr>
          <w:rFonts w:ascii="Times New Roman" w:hAnsi="Times New Roman"/>
          <w:b w:val="0"/>
          <w:sz w:val="28"/>
          <w:szCs w:val="28"/>
          <w:u w:val="single"/>
          <w:lang w:val="ru-RU"/>
        </w:rPr>
        <w:t>2024 годы)»</w:t>
      </w:r>
      <w:bookmarkEnd w:id="84"/>
    </w:p>
    <w:p w14:paraId="0C25818A"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Областным законом о бюджете на 2019 год (в ред. от 13.12.2019 № 189-13-ОЗ) на реализацию государственной программы «Экономическое развитие и инвестиционная деятельность в Архангельской области (2014 – 2024 годы)» (далее – госпрограмма) предусмотрены ассигнования в сумме 862,9 млн.руб., уточненной сводной бюджетной росписью на 2019 год – 859,4 млн.руб., в том числе по разделу «Национальная экономика» - 714,8 млн.руб.</w:t>
      </w:r>
    </w:p>
    <w:p w14:paraId="15E73D1D" w14:textId="467095E2"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Отклонения показателей сводной бюджетной росписи от назначений, утвержденных областным законом о бюджете на 2019 год, связаны с передачей лимитов бюджетных ассигнований из настоящей госпрограммы с министерства экономического развития Архангельской области (далее – минэкон</w:t>
      </w:r>
      <w:r w:rsidR="00163D1C" w:rsidRPr="00A53AD7">
        <w:rPr>
          <w:rFonts w:ascii="Times New Roman" w:hAnsi="Times New Roman"/>
          <w:sz w:val="28"/>
          <w:szCs w:val="28"/>
        </w:rPr>
        <w:t>омразвития АО) в сумме 3,5 млн.</w:t>
      </w:r>
      <w:r w:rsidRPr="00A53AD7">
        <w:rPr>
          <w:rFonts w:ascii="Times New Roman" w:hAnsi="Times New Roman"/>
          <w:sz w:val="28"/>
          <w:szCs w:val="28"/>
        </w:rPr>
        <w:t>руб. в госпрограмму «Эффективное государственное управление в Архангельской области», в связи с передачей полномочий по проектной деятельности администрации Губернатора Архангельской области и Правительства Архангельской области по распоряжению от 16.07.2019 № 670-р.</w:t>
      </w:r>
    </w:p>
    <w:p w14:paraId="63203AEE"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Кассовые расходы по госпрограмме за 2019 год произведены на общую сумму 856,3 млн.руб., что составляет 99,6% к показателям уточненной сводной бюджетной росписи на 2019 год, в том числе кассовые расходы по разделу «Национальная экономика» - 714,7 млн.руб. (99,9% к показателям уточненной сводной бюджетной росписи на 2019 год по разделу «Национальная экономика»).</w:t>
      </w:r>
    </w:p>
    <w:p w14:paraId="66819B8B"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Сведения об исполнении госпрограммы за 2019 год, в части расходов на национальную экономику, характеризуются следующими данными, представленными в таблице ниже:</w:t>
      </w:r>
    </w:p>
    <w:tbl>
      <w:tblPr>
        <w:tblW w:w="946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10"/>
        <w:gridCol w:w="1560"/>
        <w:gridCol w:w="1436"/>
        <w:gridCol w:w="1417"/>
        <w:gridCol w:w="1541"/>
      </w:tblGrid>
      <w:tr w:rsidR="00D470B6" w:rsidRPr="00A53AD7" w14:paraId="3005D72D" w14:textId="77777777" w:rsidTr="005D0B71">
        <w:trPr>
          <w:trHeight w:val="1727"/>
          <w:tblHeader/>
        </w:trPr>
        <w:tc>
          <w:tcPr>
            <w:tcW w:w="3510" w:type="dxa"/>
            <w:shd w:val="clear" w:color="auto" w:fill="auto"/>
            <w:vAlign w:val="center"/>
          </w:tcPr>
          <w:p w14:paraId="15391098" w14:textId="77777777" w:rsidR="005D0B71" w:rsidRPr="00A53AD7" w:rsidRDefault="005D0B71" w:rsidP="005D0B71">
            <w:pPr>
              <w:spacing w:after="0" w:line="240" w:lineRule="auto"/>
              <w:ind w:firstLine="709"/>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1560" w:type="dxa"/>
            <w:shd w:val="clear" w:color="auto" w:fill="auto"/>
            <w:vAlign w:val="center"/>
          </w:tcPr>
          <w:p w14:paraId="493E5CAD"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Утверждено областным законом на 2019 год (в ред. от 13.12.2019 № 189-13-ОЗ)</w:t>
            </w:r>
          </w:p>
        </w:tc>
        <w:tc>
          <w:tcPr>
            <w:tcW w:w="1436" w:type="dxa"/>
            <w:shd w:val="clear" w:color="auto" w:fill="auto"/>
            <w:vAlign w:val="center"/>
          </w:tcPr>
          <w:p w14:paraId="7876414B"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Уточненная сводная бюджетная роспись на 2019 год</w:t>
            </w:r>
          </w:p>
        </w:tc>
        <w:tc>
          <w:tcPr>
            <w:tcW w:w="1417" w:type="dxa"/>
            <w:shd w:val="clear" w:color="auto" w:fill="auto"/>
            <w:vAlign w:val="center"/>
          </w:tcPr>
          <w:p w14:paraId="6BB3E263"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 за 2019 год</w:t>
            </w:r>
          </w:p>
        </w:tc>
        <w:tc>
          <w:tcPr>
            <w:tcW w:w="1541" w:type="dxa"/>
            <w:shd w:val="clear" w:color="auto" w:fill="auto"/>
            <w:vAlign w:val="center"/>
          </w:tcPr>
          <w:p w14:paraId="6F00F1D0"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p w14:paraId="1249B087"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исполнения к уточненной сводной бюджетной росписи на 2019 год</w:t>
            </w:r>
          </w:p>
        </w:tc>
      </w:tr>
      <w:tr w:rsidR="00D470B6" w:rsidRPr="00A53AD7" w14:paraId="1DA5944D" w14:textId="77777777" w:rsidTr="005D0B71">
        <w:tc>
          <w:tcPr>
            <w:tcW w:w="3510" w:type="dxa"/>
            <w:shd w:val="clear" w:color="auto" w:fill="auto"/>
            <w:vAlign w:val="center"/>
          </w:tcPr>
          <w:p w14:paraId="6B1CB2A9" w14:textId="77777777" w:rsidR="005D0B71" w:rsidRPr="00A53AD7" w:rsidRDefault="005D0B71" w:rsidP="005D0B71">
            <w:pPr>
              <w:spacing w:after="0" w:line="240" w:lineRule="auto"/>
              <w:ind w:firstLine="19"/>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«Национальная экономика», всего, в том числе:</w:t>
            </w:r>
          </w:p>
        </w:tc>
        <w:tc>
          <w:tcPr>
            <w:tcW w:w="1560" w:type="dxa"/>
            <w:shd w:val="clear" w:color="auto" w:fill="auto"/>
            <w:vAlign w:val="center"/>
          </w:tcPr>
          <w:p w14:paraId="46FEEB04" w14:textId="77777777" w:rsidR="005D0B71" w:rsidRPr="00A53AD7" w:rsidRDefault="005D0B71" w:rsidP="005D0B7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714,8</w:t>
            </w:r>
          </w:p>
        </w:tc>
        <w:tc>
          <w:tcPr>
            <w:tcW w:w="1436" w:type="dxa"/>
            <w:shd w:val="clear" w:color="auto" w:fill="auto"/>
            <w:vAlign w:val="center"/>
          </w:tcPr>
          <w:p w14:paraId="3C8AC867" w14:textId="77777777" w:rsidR="005D0B71" w:rsidRPr="00A53AD7" w:rsidRDefault="005D0B71" w:rsidP="005D0B71">
            <w:pPr>
              <w:spacing w:after="0" w:line="240" w:lineRule="auto"/>
              <w:ind w:hanging="90"/>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714,8</w:t>
            </w:r>
          </w:p>
        </w:tc>
        <w:tc>
          <w:tcPr>
            <w:tcW w:w="1417" w:type="dxa"/>
            <w:shd w:val="clear" w:color="auto" w:fill="auto"/>
            <w:vAlign w:val="center"/>
          </w:tcPr>
          <w:p w14:paraId="3336E9FD" w14:textId="77777777" w:rsidR="005D0B71" w:rsidRPr="00A53AD7" w:rsidRDefault="005D0B71" w:rsidP="005D0B71">
            <w:pPr>
              <w:spacing w:after="0" w:line="240" w:lineRule="auto"/>
              <w:ind w:hanging="108"/>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714,7</w:t>
            </w:r>
          </w:p>
        </w:tc>
        <w:tc>
          <w:tcPr>
            <w:tcW w:w="1541" w:type="dxa"/>
            <w:shd w:val="clear" w:color="auto" w:fill="auto"/>
            <w:vAlign w:val="center"/>
          </w:tcPr>
          <w:p w14:paraId="5CBB6F31" w14:textId="77777777" w:rsidR="005D0B71" w:rsidRPr="00A53AD7" w:rsidRDefault="005D0B71" w:rsidP="005D0B71">
            <w:pPr>
              <w:spacing w:after="0" w:line="240" w:lineRule="auto"/>
              <w:ind w:hanging="108"/>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w:t>
            </w:r>
          </w:p>
        </w:tc>
      </w:tr>
      <w:tr w:rsidR="00D470B6" w:rsidRPr="00A53AD7" w14:paraId="2A3A6909" w14:textId="77777777" w:rsidTr="005D0B71">
        <w:tc>
          <w:tcPr>
            <w:tcW w:w="3510" w:type="dxa"/>
            <w:shd w:val="clear" w:color="auto" w:fill="auto"/>
            <w:vAlign w:val="center"/>
          </w:tcPr>
          <w:p w14:paraId="74371E38" w14:textId="77777777" w:rsidR="005D0B71" w:rsidRPr="00A53AD7" w:rsidRDefault="005D0B71" w:rsidP="005D0B7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Общеэкономические вопросы</w:t>
            </w:r>
          </w:p>
        </w:tc>
        <w:tc>
          <w:tcPr>
            <w:tcW w:w="1560" w:type="dxa"/>
            <w:shd w:val="clear" w:color="auto" w:fill="auto"/>
            <w:vAlign w:val="center"/>
          </w:tcPr>
          <w:p w14:paraId="018F38CB"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56,3</w:t>
            </w:r>
          </w:p>
        </w:tc>
        <w:tc>
          <w:tcPr>
            <w:tcW w:w="1436" w:type="dxa"/>
            <w:shd w:val="clear" w:color="auto" w:fill="auto"/>
            <w:vAlign w:val="center"/>
          </w:tcPr>
          <w:p w14:paraId="6E826D54" w14:textId="77777777" w:rsidR="005D0B71" w:rsidRPr="00A53AD7" w:rsidRDefault="005D0B71" w:rsidP="005D0B71">
            <w:pPr>
              <w:spacing w:after="0" w:line="240" w:lineRule="auto"/>
              <w:ind w:left="-90"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56,3</w:t>
            </w:r>
          </w:p>
        </w:tc>
        <w:tc>
          <w:tcPr>
            <w:tcW w:w="1417" w:type="dxa"/>
            <w:shd w:val="clear" w:color="auto" w:fill="auto"/>
            <w:vAlign w:val="center"/>
          </w:tcPr>
          <w:p w14:paraId="1CA92874" w14:textId="77777777" w:rsidR="005D0B71" w:rsidRPr="00A53AD7" w:rsidRDefault="005D0B71" w:rsidP="005D0B71">
            <w:pPr>
              <w:spacing w:after="0" w:line="240" w:lineRule="auto"/>
              <w:ind w:left="-108" w:hanging="34"/>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56,2</w:t>
            </w:r>
          </w:p>
        </w:tc>
        <w:tc>
          <w:tcPr>
            <w:tcW w:w="1541" w:type="dxa"/>
            <w:shd w:val="clear" w:color="auto" w:fill="auto"/>
            <w:vAlign w:val="center"/>
          </w:tcPr>
          <w:p w14:paraId="2081AF9A"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99,8</w:t>
            </w:r>
          </w:p>
        </w:tc>
      </w:tr>
      <w:tr w:rsidR="005D0B71" w:rsidRPr="00A53AD7" w14:paraId="7FE7FAE8" w14:textId="77777777" w:rsidTr="005D0B71">
        <w:tc>
          <w:tcPr>
            <w:tcW w:w="3510" w:type="dxa"/>
            <w:shd w:val="clear" w:color="auto" w:fill="auto"/>
            <w:vAlign w:val="center"/>
          </w:tcPr>
          <w:p w14:paraId="1DDC39B1"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Другие вопросы в области национальной экономики</w:t>
            </w:r>
          </w:p>
        </w:tc>
        <w:tc>
          <w:tcPr>
            <w:tcW w:w="1560" w:type="dxa"/>
            <w:shd w:val="clear" w:color="auto" w:fill="auto"/>
            <w:vAlign w:val="center"/>
          </w:tcPr>
          <w:p w14:paraId="249DF05A"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658,5</w:t>
            </w:r>
          </w:p>
        </w:tc>
        <w:tc>
          <w:tcPr>
            <w:tcW w:w="1436" w:type="dxa"/>
            <w:shd w:val="clear" w:color="auto" w:fill="auto"/>
            <w:vAlign w:val="center"/>
          </w:tcPr>
          <w:p w14:paraId="5A1A773F"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658,5</w:t>
            </w:r>
          </w:p>
        </w:tc>
        <w:tc>
          <w:tcPr>
            <w:tcW w:w="1417" w:type="dxa"/>
            <w:shd w:val="clear" w:color="auto" w:fill="auto"/>
            <w:vAlign w:val="center"/>
          </w:tcPr>
          <w:p w14:paraId="445DA1D3"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658,5</w:t>
            </w:r>
          </w:p>
        </w:tc>
        <w:tc>
          <w:tcPr>
            <w:tcW w:w="1541" w:type="dxa"/>
            <w:shd w:val="clear" w:color="auto" w:fill="auto"/>
            <w:vAlign w:val="center"/>
          </w:tcPr>
          <w:p w14:paraId="5715F1BE" w14:textId="77777777" w:rsidR="005D0B71" w:rsidRPr="00A53AD7" w:rsidRDefault="005D0B71" w:rsidP="005D0B71">
            <w:pPr>
              <w:spacing w:after="0" w:line="240" w:lineRule="auto"/>
              <w:ind w:hanging="142"/>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bl>
    <w:p w14:paraId="0191A446" w14:textId="77777777" w:rsidR="005D0B71" w:rsidRPr="00A53AD7" w:rsidRDefault="005D0B71" w:rsidP="005D0B71">
      <w:pPr>
        <w:spacing w:after="0" w:line="240" w:lineRule="auto"/>
        <w:ind w:hanging="142"/>
        <w:contextualSpacing/>
        <w:jc w:val="both"/>
        <w:rPr>
          <w:rFonts w:ascii="Times New Roman" w:eastAsia="Times New Roman" w:hAnsi="Times New Roman"/>
          <w:sz w:val="20"/>
          <w:szCs w:val="20"/>
          <w:highlight w:val="cyan"/>
          <w:lang w:eastAsia="ru-RU"/>
        </w:rPr>
      </w:pPr>
    </w:p>
    <w:p w14:paraId="54FA8A8B" w14:textId="77777777" w:rsidR="00710F5B" w:rsidRPr="00A53AD7" w:rsidRDefault="00710F5B" w:rsidP="00710F5B">
      <w:pPr>
        <w:spacing w:after="0" w:line="240" w:lineRule="auto"/>
        <w:ind w:firstLine="709"/>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Исполнение госпрограммы за 2019 год в разрезе подпрограмм по разделу «Национальная экономика», приведено в таблице ниже:</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551"/>
        <w:gridCol w:w="1546"/>
        <w:gridCol w:w="1412"/>
        <w:gridCol w:w="1413"/>
        <w:gridCol w:w="1402"/>
      </w:tblGrid>
      <w:tr w:rsidR="00D470B6" w:rsidRPr="00A53AD7" w14:paraId="061CB160" w14:textId="77777777" w:rsidTr="00F35ED5">
        <w:trPr>
          <w:tblHeader/>
        </w:trPr>
        <w:tc>
          <w:tcPr>
            <w:tcW w:w="3552" w:type="dxa"/>
            <w:shd w:val="clear" w:color="auto" w:fill="auto"/>
            <w:vAlign w:val="center"/>
          </w:tcPr>
          <w:p w14:paraId="2AA1E7F0"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подпрограмм</w:t>
            </w:r>
          </w:p>
        </w:tc>
        <w:tc>
          <w:tcPr>
            <w:tcW w:w="1546" w:type="dxa"/>
            <w:shd w:val="clear" w:color="auto" w:fill="auto"/>
            <w:vAlign w:val="center"/>
          </w:tcPr>
          <w:p w14:paraId="204BBC2E"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Утверждено областным законом на 2019 год (в ред. о 13.12.2019 № 189-13-ОЗ)</w:t>
            </w:r>
          </w:p>
        </w:tc>
        <w:tc>
          <w:tcPr>
            <w:tcW w:w="1412" w:type="dxa"/>
            <w:shd w:val="clear" w:color="auto" w:fill="auto"/>
            <w:vAlign w:val="center"/>
          </w:tcPr>
          <w:p w14:paraId="147EE9F6"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Уточненная сводная бюджетная роспись на 2019 год</w:t>
            </w:r>
          </w:p>
        </w:tc>
        <w:tc>
          <w:tcPr>
            <w:tcW w:w="1413" w:type="dxa"/>
            <w:shd w:val="clear" w:color="auto" w:fill="auto"/>
            <w:vAlign w:val="center"/>
          </w:tcPr>
          <w:p w14:paraId="63E22D26"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 за 2019 год</w:t>
            </w:r>
          </w:p>
        </w:tc>
        <w:tc>
          <w:tcPr>
            <w:tcW w:w="1402" w:type="dxa"/>
            <w:shd w:val="clear" w:color="auto" w:fill="auto"/>
            <w:vAlign w:val="center"/>
          </w:tcPr>
          <w:p w14:paraId="76EB0024"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p w14:paraId="30715027" w14:textId="77777777" w:rsidR="00710F5B" w:rsidRPr="00A53AD7" w:rsidRDefault="00710F5B" w:rsidP="00F35ED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исполнения к уточненной сводной бюджетной росписи на 2019 год</w:t>
            </w:r>
          </w:p>
        </w:tc>
      </w:tr>
      <w:tr w:rsidR="00D470B6" w:rsidRPr="00A53AD7" w14:paraId="494EF827" w14:textId="77777777" w:rsidTr="00F35ED5">
        <w:trPr>
          <w:trHeight w:val="268"/>
        </w:trPr>
        <w:tc>
          <w:tcPr>
            <w:tcW w:w="3552" w:type="dxa"/>
            <w:shd w:val="clear" w:color="auto" w:fill="auto"/>
            <w:vAlign w:val="center"/>
          </w:tcPr>
          <w:p w14:paraId="15CD751D" w14:textId="77777777" w:rsidR="00710F5B" w:rsidRPr="00A53AD7" w:rsidRDefault="00710F5B" w:rsidP="00F35ED5">
            <w:pPr>
              <w:spacing w:after="0" w:line="240" w:lineRule="auto"/>
              <w:rPr>
                <w:rFonts w:ascii="Times New Roman" w:eastAsia="Times New Roman" w:hAnsi="Times New Roman"/>
                <w:i/>
                <w:sz w:val="20"/>
                <w:szCs w:val="20"/>
                <w:lang w:eastAsia="ru-RU"/>
              </w:rPr>
            </w:pPr>
            <w:r w:rsidRPr="00A53AD7">
              <w:rPr>
                <w:rFonts w:ascii="Times New Roman" w:hAnsi="Times New Roman"/>
                <w:bCs/>
                <w:sz w:val="20"/>
                <w:szCs w:val="20"/>
              </w:rPr>
              <w:t>ВСЕГО госпрограмма по разделу «Национальная экономика»</w:t>
            </w:r>
          </w:p>
        </w:tc>
        <w:tc>
          <w:tcPr>
            <w:tcW w:w="1546" w:type="dxa"/>
            <w:shd w:val="clear" w:color="auto" w:fill="auto"/>
            <w:vAlign w:val="center"/>
          </w:tcPr>
          <w:p w14:paraId="061286B9"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714,8</w:t>
            </w:r>
          </w:p>
        </w:tc>
        <w:tc>
          <w:tcPr>
            <w:tcW w:w="1412" w:type="dxa"/>
            <w:shd w:val="clear" w:color="auto" w:fill="auto"/>
            <w:vAlign w:val="center"/>
          </w:tcPr>
          <w:p w14:paraId="0FC708A1"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714,8</w:t>
            </w:r>
          </w:p>
        </w:tc>
        <w:tc>
          <w:tcPr>
            <w:tcW w:w="1413" w:type="dxa"/>
            <w:shd w:val="clear" w:color="auto" w:fill="auto"/>
            <w:vAlign w:val="center"/>
          </w:tcPr>
          <w:p w14:paraId="61A2BC69"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714,7</w:t>
            </w:r>
          </w:p>
        </w:tc>
        <w:tc>
          <w:tcPr>
            <w:tcW w:w="1402" w:type="dxa"/>
            <w:shd w:val="clear" w:color="auto" w:fill="auto"/>
            <w:vAlign w:val="center"/>
          </w:tcPr>
          <w:p w14:paraId="3B2303A1"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w:t>
            </w:r>
          </w:p>
        </w:tc>
      </w:tr>
      <w:tr w:rsidR="00D470B6" w:rsidRPr="00A53AD7" w14:paraId="7B5415C0" w14:textId="77777777" w:rsidTr="00F35ED5">
        <w:tc>
          <w:tcPr>
            <w:tcW w:w="3552" w:type="dxa"/>
            <w:shd w:val="clear" w:color="auto" w:fill="auto"/>
            <w:vAlign w:val="center"/>
          </w:tcPr>
          <w:p w14:paraId="7592C0A3" w14:textId="77777777" w:rsidR="00710F5B" w:rsidRPr="00A53AD7" w:rsidRDefault="00710F5B" w:rsidP="00F35ED5">
            <w:pPr>
              <w:spacing w:after="0" w:line="240" w:lineRule="auto"/>
              <w:rPr>
                <w:rFonts w:ascii="Times New Roman" w:eastAsia="Times New Roman" w:hAnsi="Times New Roman"/>
                <w:b/>
                <w:i/>
                <w:sz w:val="20"/>
                <w:szCs w:val="20"/>
                <w:lang w:eastAsia="ru-RU"/>
              </w:rPr>
            </w:pPr>
            <w:r w:rsidRPr="00A53AD7">
              <w:rPr>
                <w:rFonts w:ascii="Times New Roman" w:hAnsi="Times New Roman"/>
                <w:sz w:val="20"/>
                <w:szCs w:val="20"/>
              </w:rPr>
              <w:t>Подпрограмма № 1 «Формирование благоприятной среды для развития инвестиционной деятельности» (далее – подпрограмма № 1)</w:t>
            </w:r>
          </w:p>
        </w:tc>
        <w:tc>
          <w:tcPr>
            <w:tcW w:w="1546" w:type="dxa"/>
            <w:shd w:val="clear" w:color="auto" w:fill="auto"/>
            <w:vAlign w:val="center"/>
          </w:tcPr>
          <w:p w14:paraId="19F53091"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79,5</w:t>
            </w:r>
          </w:p>
        </w:tc>
        <w:tc>
          <w:tcPr>
            <w:tcW w:w="1412" w:type="dxa"/>
            <w:shd w:val="clear" w:color="auto" w:fill="auto"/>
            <w:vAlign w:val="center"/>
          </w:tcPr>
          <w:p w14:paraId="6E54EE2F"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79,5</w:t>
            </w:r>
          </w:p>
        </w:tc>
        <w:tc>
          <w:tcPr>
            <w:tcW w:w="1413" w:type="dxa"/>
            <w:shd w:val="clear" w:color="auto" w:fill="auto"/>
            <w:vAlign w:val="center"/>
          </w:tcPr>
          <w:p w14:paraId="4B42742A"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79,5</w:t>
            </w:r>
          </w:p>
        </w:tc>
        <w:tc>
          <w:tcPr>
            <w:tcW w:w="1402" w:type="dxa"/>
            <w:shd w:val="clear" w:color="auto" w:fill="auto"/>
            <w:vAlign w:val="center"/>
          </w:tcPr>
          <w:p w14:paraId="4F6F4919"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49C0BAD3" w14:textId="77777777" w:rsidTr="00F35ED5">
        <w:tc>
          <w:tcPr>
            <w:tcW w:w="3552" w:type="dxa"/>
            <w:shd w:val="clear" w:color="auto" w:fill="auto"/>
            <w:vAlign w:val="center"/>
          </w:tcPr>
          <w:p w14:paraId="63D36680" w14:textId="77777777" w:rsidR="00710F5B" w:rsidRPr="00A53AD7" w:rsidRDefault="00710F5B" w:rsidP="00F35ED5">
            <w:pPr>
              <w:spacing w:after="0" w:line="240" w:lineRule="auto"/>
              <w:rPr>
                <w:rFonts w:ascii="Times New Roman" w:eastAsia="Times New Roman" w:hAnsi="Times New Roman"/>
                <w:b/>
                <w:i/>
                <w:sz w:val="20"/>
                <w:szCs w:val="20"/>
                <w:lang w:eastAsia="ru-RU"/>
              </w:rPr>
            </w:pPr>
            <w:r w:rsidRPr="00A53AD7">
              <w:rPr>
                <w:rFonts w:ascii="Times New Roman" w:hAnsi="Times New Roman"/>
                <w:sz w:val="20"/>
                <w:szCs w:val="20"/>
              </w:rPr>
              <w:t>Подпрограмма № 2 «Развитие субъектов малого и среднего предпринимательства в Архангельской области» (далее – подпрограмма № 2)</w:t>
            </w:r>
          </w:p>
        </w:tc>
        <w:tc>
          <w:tcPr>
            <w:tcW w:w="1546" w:type="dxa"/>
            <w:shd w:val="clear" w:color="auto" w:fill="auto"/>
            <w:vAlign w:val="center"/>
          </w:tcPr>
          <w:p w14:paraId="4010312A"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555,5</w:t>
            </w:r>
          </w:p>
        </w:tc>
        <w:tc>
          <w:tcPr>
            <w:tcW w:w="1412" w:type="dxa"/>
            <w:shd w:val="clear" w:color="auto" w:fill="auto"/>
            <w:vAlign w:val="center"/>
          </w:tcPr>
          <w:p w14:paraId="483AEAFA"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555,5</w:t>
            </w:r>
          </w:p>
        </w:tc>
        <w:tc>
          <w:tcPr>
            <w:tcW w:w="1413" w:type="dxa"/>
            <w:shd w:val="clear" w:color="auto" w:fill="auto"/>
            <w:vAlign w:val="center"/>
          </w:tcPr>
          <w:p w14:paraId="1755670B"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555,5</w:t>
            </w:r>
          </w:p>
        </w:tc>
        <w:tc>
          <w:tcPr>
            <w:tcW w:w="1402" w:type="dxa"/>
            <w:shd w:val="clear" w:color="auto" w:fill="auto"/>
            <w:vAlign w:val="center"/>
          </w:tcPr>
          <w:p w14:paraId="425ECBE4"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6D587E26" w14:textId="77777777" w:rsidTr="00F35ED5">
        <w:tc>
          <w:tcPr>
            <w:tcW w:w="3552" w:type="dxa"/>
            <w:shd w:val="clear" w:color="auto" w:fill="auto"/>
            <w:vAlign w:val="center"/>
          </w:tcPr>
          <w:p w14:paraId="01CC180F" w14:textId="77777777" w:rsidR="00710F5B" w:rsidRPr="00A53AD7" w:rsidRDefault="00710F5B" w:rsidP="00F35ED5">
            <w:pPr>
              <w:spacing w:after="0" w:line="240" w:lineRule="auto"/>
              <w:rPr>
                <w:rFonts w:ascii="Times New Roman" w:eastAsia="Times New Roman" w:hAnsi="Times New Roman"/>
                <w:b/>
                <w:i/>
                <w:sz w:val="20"/>
                <w:szCs w:val="20"/>
                <w:lang w:eastAsia="ru-RU"/>
              </w:rPr>
            </w:pPr>
            <w:r w:rsidRPr="00A53AD7">
              <w:rPr>
                <w:rFonts w:ascii="Times New Roman" w:hAnsi="Times New Roman"/>
                <w:sz w:val="20"/>
                <w:szCs w:val="20"/>
              </w:rPr>
              <w:t>Подпрограмма № 5 «Проведение сбалансированной политики в области государственного регулирования тарифов на территории Архангельской области» (далее – подпрограмма № 5)</w:t>
            </w:r>
          </w:p>
        </w:tc>
        <w:tc>
          <w:tcPr>
            <w:tcW w:w="1546" w:type="dxa"/>
            <w:shd w:val="clear" w:color="auto" w:fill="auto"/>
            <w:vAlign w:val="center"/>
          </w:tcPr>
          <w:p w14:paraId="0DC39E0A"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56,3</w:t>
            </w:r>
          </w:p>
        </w:tc>
        <w:tc>
          <w:tcPr>
            <w:tcW w:w="1412" w:type="dxa"/>
            <w:shd w:val="clear" w:color="auto" w:fill="auto"/>
            <w:vAlign w:val="center"/>
          </w:tcPr>
          <w:p w14:paraId="2492AE05"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56,3</w:t>
            </w:r>
          </w:p>
        </w:tc>
        <w:tc>
          <w:tcPr>
            <w:tcW w:w="1413" w:type="dxa"/>
            <w:shd w:val="clear" w:color="auto" w:fill="auto"/>
            <w:vAlign w:val="center"/>
          </w:tcPr>
          <w:p w14:paraId="2A2AABC4"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56,2</w:t>
            </w:r>
          </w:p>
        </w:tc>
        <w:tc>
          <w:tcPr>
            <w:tcW w:w="1402" w:type="dxa"/>
            <w:shd w:val="clear" w:color="auto" w:fill="auto"/>
            <w:vAlign w:val="center"/>
          </w:tcPr>
          <w:p w14:paraId="420C4FA6"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99,8</w:t>
            </w:r>
          </w:p>
        </w:tc>
      </w:tr>
      <w:tr w:rsidR="00710F5B" w:rsidRPr="00A53AD7" w14:paraId="0FB04B92" w14:textId="77777777" w:rsidTr="00F35ED5">
        <w:tc>
          <w:tcPr>
            <w:tcW w:w="3552" w:type="dxa"/>
            <w:shd w:val="clear" w:color="auto" w:fill="auto"/>
            <w:vAlign w:val="center"/>
          </w:tcPr>
          <w:p w14:paraId="76EC78C1" w14:textId="77777777" w:rsidR="00710F5B" w:rsidRPr="00A53AD7" w:rsidRDefault="00710F5B" w:rsidP="00F35ED5">
            <w:pPr>
              <w:spacing w:after="0" w:line="240" w:lineRule="auto"/>
              <w:rPr>
                <w:rFonts w:ascii="Times New Roman" w:hAnsi="Times New Roman"/>
                <w:sz w:val="20"/>
                <w:szCs w:val="20"/>
              </w:rPr>
            </w:pPr>
            <w:r w:rsidRPr="00A53AD7">
              <w:rPr>
                <w:rFonts w:ascii="Times New Roman" w:hAnsi="Times New Roman"/>
                <w:sz w:val="20"/>
                <w:szCs w:val="20"/>
              </w:rPr>
              <w:t>Подпрограмма № 6 «Развитие промышленности в Архангельской области» (далее – подпрограмма № 6)</w:t>
            </w:r>
          </w:p>
        </w:tc>
        <w:tc>
          <w:tcPr>
            <w:tcW w:w="1546" w:type="dxa"/>
            <w:shd w:val="clear" w:color="auto" w:fill="auto"/>
            <w:vAlign w:val="center"/>
          </w:tcPr>
          <w:p w14:paraId="68E1752E"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23,5</w:t>
            </w:r>
          </w:p>
        </w:tc>
        <w:tc>
          <w:tcPr>
            <w:tcW w:w="1412" w:type="dxa"/>
            <w:shd w:val="clear" w:color="auto" w:fill="auto"/>
            <w:vAlign w:val="center"/>
          </w:tcPr>
          <w:p w14:paraId="2C59434C"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23,5</w:t>
            </w:r>
          </w:p>
        </w:tc>
        <w:tc>
          <w:tcPr>
            <w:tcW w:w="1413" w:type="dxa"/>
            <w:shd w:val="clear" w:color="auto" w:fill="auto"/>
            <w:vAlign w:val="center"/>
          </w:tcPr>
          <w:p w14:paraId="77778F6D"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23,5</w:t>
            </w:r>
          </w:p>
        </w:tc>
        <w:tc>
          <w:tcPr>
            <w:tcW w:w="1402" w:type="dxa"/>
            <w:shd w:val="clear" w:color="auto" w:fill="auto"/>
            <w:vAlign w:val="center"/>
          </w:tcPr>
          <w:p w14:paraId="40C63A1D" w14:textId="77777777" w:rsidR="00710F5B" w:rsidRPr="00A53AD7" w:rsidRDefault="00710F5B" w:rsidP="00710F5B">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bl>
    <w:p w14:paraId="794FDC21" w14:textId="77777777" w:rsidR="00710F5B" w:rsidRPr="00A53AD7" w:rsidRDefault="00710F5B" w:rsidP="00710F5B">
      <w:pPr>
        <w:autoSpaceDE w:val="0"/>
        <w:autoSpaceDN w:val="0"/>
        <w:adjustRightInd w:val="0"/>
        <w:spacing w:after="0" w:line="240" w:lineRule="atLeast"/>
        <w:ind w:right="-2"/>
        <w:jc w:val="both"/>
        <w:rPr>
          <w:rFonts w:ascii="Times New Roman" w:hAnsi="Times New Roman"/>
          <w:sz w:val="28"/>
          <w:szCs w:val="28"/>
          <w:highlight w:val="yellow"/>
        </w:rPr>
      </w:pPr>
    </w:p>
    <w:p w14:paraId="02603BFE"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Наименьший процент исполнения госпрограммы по разделу «Национальная экономика» сложился по подпрограмме № 5 «Проведение сбалансированной политики в области государственного регулирования тарифов на территории Архангельской области» – 99,8% по причине уменьшения расходов на социальные нужды (взносы), сокращением командировочных расходов, расходов на повышение квалификации (ответственный исполнитель – агентство по тарифам и ценам Архангельской области).</w:t>
      </w:r>
    </w:p>
    <w:p w14:paraId="40EA26B0"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В течение 2019 года в целевые показатели госпрограммы 7 раз вносились изменения как в сторону исключения значения показателей с 2019 года, либо уменьшения значений показателей, так и в сторону добавления показателей либо увеличения их значений с 2019 года, а также изменения относительно замены исполнителей целевых показателей. </w:t>
      </w:r>
    </w:p>
    <w:p w14:paraId="71DAF63E"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Так, например постановлением Правительства Архангельской области от 29.01.2019 № 32-пп «О внесении изменений в государственную программу Архангельской области «Экономическое развитие и инвестиционная деятельность в Архангельской области (2014 – 2024 годы)», в перечне целевых показателей по госпрограмме в целом, исключено значение целевого показателя «Прирост оборота продукции и услуг, производимых субъектами малого предпринимательства, в том числе микропредприятиями и индивидуальными предпринимателями», установленное на 2019 год. В редакции, действующей до 04.02.2019, по данному целевому показателю было установлено значение – 5,8% (исполнитель – минэкономразвития АО).</w:t>
      </w:r>
    </w:p>
    <w:p w14:paraId="7825A43A"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Постановлениями Правительства Архангельской области от 29.01.2019 № 32-пп и от 17.12.2019 № 693-пп «О внесении изменений в государственную программу Архангельской области «Экономическое развитие и инвестиционная деятельность в Архангельской области (2014 – 2024 годы)», исключены значения 15 целевых показателей на 2019 год и введены с 2019 года 9 целевых показателя по подпрограмме № 2 госпрограммы. </w:t>
      </w:r>
    </w:p>
    <w:p w14:paraId="571A4113"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Согласно сведениям о достижении целевых показателей госпрограммы, размещенным в КИАС Архангельской области, минэкономразвития АО как ответственным исполнителем госпрограммы, в 2019 году не обеспечено достижение установленных значений по ряду целевых показателей как по госпрограмме в целом, так и в разрезе подпрограмм, в том числе:</w:t>
      </w:r>
    </w:p>
    <w:p w14:paraId="253F676C"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4 целевым показателям из 10, установленным в целом в госпрограмме или 40%;</w:t>
      </w:r>
    </w:p>
    <w:p w14:paraId="0C6F54D5"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3 целевым показателям из 5 установленным, в подпрограмме № 1 или 60%;</w:t>
      </w:r>
    </w:p>
    <w:p w14:paraId="26162481"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2 целевым показателям из 7, установленным в подпрограмме № 4 или 28,6%;</w:t>
      </w:r>
    </w:p>
    <w:p w14:paraId="3A833A63"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2 целевым показателям из 4, установленным в подпрограмме № 6 или 50%.</w:t>
      </w:r>
    </w:p>
    <w:p w14:paraId="5763B36B"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Так, например, в целом в госпрограмме за 2019 год не достигнуты установленные значения по следующим 4 целевым показателям:</w:t>
      </w:r>
    </w:p>
    <w:p w14:paraId="26E6E657"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1) По итогам 2019 года степень достижения целевого показателя «Индекс физического объема инвестиций (в основной капитал) за счет всех источников финансирования» - 78,9%, при плановом значении 103,2%, фактическое значение составило 81,4%. По итогам 2018 года данный показатель также не выполнен. Кроме этого, прослеживается отрицательная динамика фактического значения данного показателя за 2019 год (81,4%) к фактическим значениям 2018 года (93,8%) и 2017 года (130,9%).</w:t>
      </w:r>
    </w:p>
    <w:p w14:paraId="031F629D"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2) Степень достижения целевого показателя «Доля объема инвестиций в основной капитал к валовому региональному продукту» - 76,7%, при плане 22,30%, прогнозное значение составило 17,10%. Согласно обоснованиям отклонений значения целевого показателя за отчетный год, фактическое значение показателя будет предоставлено Управлением Федеральной службы государственной статистики по Архангельской области и НАО в феврале 2021 года.</w:t>
      </w:r>
    </w:p>
    <w:p w14:paraId="6616CDB1"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3) Целевой показатель «Удельный вес централизации закупок на поставки товаров, выполнение работ, оказание услуг, размещенных уполномоченным исполнительным органом государственной власти Архангельской области - контрактным агентством Архангельской области для заказчиков, в общем объеме сводного плана закупок» достигнут за 2019 год на 97,0%, при плане 74,50%, факт – 72,30%. Прослеживается отрицательная динамика фактического значения данного показателя за 2019 год (72,3%) к фактическим значениям 2018 года (79,3%) и 2017 года (88,4%).</w:t>
      </w:r>
    </w:p>
    <w:p w14:paraId="13DDE309"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4) Целевой показатель «Индекс промышленного производства (по отношению к уровню 2015 года)» достигнут по итогам 2019 года на 98,9% (при плане – 107,0%, факт – 105,8%).</w:t>
      </w:r>
    </w:p>
    <w:p w14:paraId="425B91AF"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соответствии с отчетом о реализации госпрограммы в целом за 2019 год, размещенным в КИАС Архангельской области, по итогам 2019 года нарушен план реализации ряда мероприятий по следующим подпрограммам:</w:t>
      </w:r>
    </w:p>
    <w:p w14:paraId="4DF0B001"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подпрограмме № 1 не исполнено мероприятие по пункту 1.3 «Создание благоприятной административной среды для осуществления инвестиционной деятельности», при плановом значении показателя «Количество инвестиционных проектов, включенных в реестр приоритетных инвестиционных проектов Архангельской области» - 3 единицы, фактически исполнено – 1 единица, по причине отсутствия заявок от инвесторов для включения в реестр приоритетных инвестиционных проектов Архангельской области (исполнитель – минэкономразвития АО);</w:t>
      </w:r>
    </w:p>
    <w:p w14:paraId="259CF081"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подпрограмме № 2 не исполнен срок завершения мероприятия по пункту 2.2.2 «Ликвидация государственного автономного учреждения Архангельской области «Дом предпринимателя (далее – ликвидация ГАУ АО «Дом предпринимателя»: при плановом сроке завершения 30.12.2019, фактическая ликвидация учреждения завершена только 17.01.2020 года, по причине отложения судебного процесса по трудовому спору с уволенным сотрудником учреждения (исполнитель – минэкономразвития АО).</w:t>
      </w:r>
    </w:p>
    <w:p w14:paraId="10C34C0C"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Вместе с тем, в течение 2019 года, в плановый срок завершения мероприятия «Ликвидация ГАУ АО «Дом предпринимателя» уже вносились изменения о переносе срока. Планом реализации госпрограммы на 2019 год, утвержденным распоряжением минэкономразвития АО от 28.06.2019 № 51-р, срок завершения ликвидации ГАУ АО «Дом предпринимателя» был установлен - 02.08.2019, изменениями от 27.09.2019 № 70-р, срок перенесен на 30.12.2019. Несмотря на внесенные изменения, срок реализации мероприятия нарушен;</w:t>
      </w:r>
    </w:p>
    <w:p w14:paraId="2F493144"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по подпрограмме № 3, не исполнено мероприятие по пункту 1.5 «Реализация проекта «Формирование региональной системы стратегического планирования Архангельской области», по сроку 28.12.2019 года по размещению государственного заказа, заключению государственных контрактов на выполнение научно-исследовательских работ и исполнению государственных контрактов (исполнитель – минэкономразвития АО).</w:t>
      </w:r>
    </w:p>
    <w:p w14:paraId="25F3CD6E"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Вместе с тем, в течение 2019 года, в плановый срок завершения мероприятия «Реализация проекта «Формирование региональной системы стратегического планирования Архангельской области» уже вносились корректировки о переносе срока. Планом реализации госпрограммы на 2019 год, утвержденным распоряжением минэкономразвития АО от 18.06.2019 № 48-р, срок размещения государственного заказа с 29.06.2019 перенесен на 28.12.2019, срок заключения государственных контрактов на выполнение научно-исследовательских работ перенесен с 28.09.2019 на 28.12.2019. </w:t>
      </w:r>
    </w:p>
    <w:p w14:paraId="151CB2A1"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Как неоднократно отмечалось контрольно-счетной палатой АО в заключениях по исполнению бюджета Архангельской области, практика «корректировок» (переносов) сроков исполнения мероприятий по подпрограммам госпрограммы, ответственным исполнителем которых является минэкономразвития АО, носит систематический характер.</w:t>
      </w:r>
    </w:p>
    <w:p w14:paraId="08FD90C6"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Для реализации пункта 1.5 мероприятия «Реализация проекта «Формирование региональной системы стратегического планирования Архангельской области» подпрограммы № 3 в госпрограмме на 2019 год предусмотрены средства областного бюджета в размере 4,4 млн.руб., кассовые расходы произведены на сумму 3,3 млн.руб., за отчетный период не израсходовано 1,1 млн.руб.</w:t>
      </w:r>
    </w:p>
    <w:p w14:paraId="02A7BDF2" w14:textId="64FD9AA0"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Для реализации данного мероприятия в 2018 году агентством стратегических разработок Архангельской области (далее - АСР АО) с федеральным государственным бюджетным образовательным учреждением высшего образования «Вятский государственный университет» (далее – Университет) были заключены 2 государственны</w:t>
      </w:r>
      <w:r w:rsidR="00791677" w:rsidRPr="00A53AD7">
        <w:rPr>
          <w:rFonts w:ascii="Times New Roman" w:hAnsi="Times New Roman"/>
          <w:sz w:val="28"/>
          <w:szCs w:val="28"/>
        </w:rPr>
        <w:t>х</w:t>
      </w:r>
      <w:r w:rsidRPr="00A53AD7">
        <w:rPr>
          <w:rFonts w:ascii="Times New Roman" w:hAnsi="Times New Roman"/>
          <w:sz w:val="28"/>
          <w:szCs w:val="28"/>
        </w:rPr>
        <w:t xml:space="preserve"> контракта на сумму 4,4 млн.руб., в том числе:</w:t>
      </w:r>
    </w:p>
    <w:p w14:paraId="782EA15C"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1) государственный контракт от 13.09.2018 на выполнение научно-исследовательской работы по теме «Разработка сценариев социально-экономического развития Архангельской области» (далее – контракт № 1). Общая цена работ по контракту № 1 составила 3,255 млн.руб.;</w:t>
      </w:r>
    </w:p>
    <w:p w14:paraId="2FF14C53"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2) государственный контракт от 30.07.2018 на выполнение научно-исследовательской работы по теме «Изучение мнения населения по видению перспектив региона в рамках обсуждения проекта стратегии социально-экономического развития Архангельской области» (далее – контракт № 2). Общая цена работ по контракту № 2 составила 1,130 млн.руб.</w:t>
      </w:r>
    </w:p>
    <w:p w14:paraId="5709C6F8"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Во исполнение заключенного контракта № 1, Университет выполнил работы, направил АСР АО результат работ, а также акт сдачи-приемки выполненных работ, что подтверждается письмом от 20.09.2018 № 13.01-10/68.</w:t>
      </w:r>
    </w:p>
    <w:p w14:paraId="2D23087D"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По результатам заседания приемочной комиссии, оформленным протоколом от 26.09.2018, АСР АО пришло к выводу, что выполненные работы не соответствуют условиям контракта № 1, а выполненные Университетом расчеты недостоверны, не могут быть признаны прогнозом, в связи с чем выполненные Университетом работы имеют существенные недостатки, которые не позволяют использовать результат выполненных работ по назначению. Также АСР АО в письме от 10.10.2018 № 321/598 заявил об одностороннем отказе от исполнения контракта № 1. Университет обратился в суд с иском о признании одностороннего отказа недействительным. Решением Арбитражного суда Архангельской области от 24.01.2019 по делу А05-14158/2018 исковые требования Университета были удовлетворены. Суд признал недействительным односторонний отказ АСР АО от исполнения контракта № 1 по причине того, что АСР АО была нарушена процедура расторжения государственного контракта, т.к. отчет приемочной комиссии по итогам рассмотрения результатов выполнения работ по контракту № 1 не составлялся и АСР АО не утверждался. </w:t>
      </w:r>
    </w:p>
    <w:p w14:paraId="34096892"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Арбитражный суд Архангельской области решением от 23.10.2019 № А05-9689/2019 (далее - решение суда от 23.10.2019) по иску Университета обязал минэкономразвития АО принять в полном объеме выполненные работы по контракту № 1 путем подписания и направления акта сдачи-приемки выполненных работ на сумму 3,255 млн.руб. и взыскания с минэкономразвития АО долга в пользу Университета в сумме 3,255 млн.руб. и возмещения расходов по уплате госпошлины в сумме 0,051 млн.руб. Минэкономразвития АО выданы исполнительные листы от 23.10.2019.</w:t>
      </w:r>
    </w:p>
    <w:p w14:paraId="67FD759D"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Для исполнения решения суда от 23.10.2019, минэкономразвития АО произведены расходы в сумме 3,3 млн.руб., в том числе: по оплате выполненных работ по контракту № 1 и возмещение расходов по уплате госпошлины (платежные поручения от 03.12.2019 № 496109 на сумму 3 255 000 руб., от 24.12.2019 № 839335 на сумму 51 275 руб.).</w:t>
      </w:r>
    </w:p>
    <w:p w14:paraId="0195FA4E"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Во исполнение заключенного контракта № 2, Университет выполнил работы, направил АСР АО итоговый отчет о научно-исследовательской работе, что подтверждается письмом от 19.10.2018 № 13.01-10/94.</w:t>
      </w:r>
    </w:p>
    <w:p w14:paraId="71B035E2"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По результатам заседания приемочной комиссии, оформленным протоколом от 27.11.2018, АСР АО пришло к выводу, что выполненные работы не соответствуют условиям контракта № 2, представленная научно-исследовательская работа не решает всех поставленных задач в рамках работы, вследствие чего цель работы не достигнута. </w:t>
      </w:r>
    </w:p>
    <w:p w14:paraId="10101E1C"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Минэкономразвития АО, являющееся правопреемником АСР АО, принято решение об одностороннем отказе от исполнения контракта № 2, в связи с непредставлением доработанных результатов исполнения контракта № 2 (письмо от 19.09.2019 № 206-06/1531).</w:t>
      </w:r>
    </w:p>
    <w:p w14:paraId="555FD2B1"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 xml:space="preserve">Университет направило исковое заявление в Арбитражный суд Архангельской области, в котором просит признать недействительными односторонние отказы минэкономразвития АО от исполнения контракта № 2 и обязать минэкономразвития АО, являющееся правопреемником АСР АО, принять выполненные работы по контракту № 2 путем подписания и направления в его адрес акта сдачи-приемки выполненных работ на сумму 1,130 млн.руб. и оплатить сумму выполненных работ. Судебное разбирательство в Арбитражном суде Архангельской области по контракту № 2 запланировано на 19.05.2020 (дело № А05-190/2020 от 14.01.2020). </w:t>
      </w:r>
    </w:p>
    <w:p w14:paraId="5822A4D2" w14:textId="43909F52"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соответствии с вышеизложенным, минэкономразвития АО не обеспечено выполнение принципа эффективности использования бюджетных средств, определенного ст. 34 БК РФ в части произведенных расходов в сумме 3,3 млн.руб., в связи с недостижением заданного результата в 2019 году.</w:t>
      </w:r>
    </w:p>
    <w:p w14:paraId="4419E1EF" w14:textId="1E37E588"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Еще одним нарушением принципа эффективности использования бюджетных средств в 2019 году является невыполнение минэкономразвития АО мероприятия 3.4 «Содействие реализации программы развития судостроительного инновационного кластера Архангельской области на 2014-2016 годы» по подпрограмме № 1 и неосвоения на протяжении 2015-2018 годов бюджетных средств, определенных Соглашением от 24.12.2014 № 03-ИТК-14 на «приобретение машин и оборудования научно-исследовательского и измерительного, испытательного, электронно-вычислительного и производственного назначения, направленного на конструкторско-технологическое сопровождение и развитие производства импортозамещающей высокотехнологичной продукции - пропульсивных комплексов и их элементов для судов ледового класса» в сумме 64,2 млн.руб.</w:t>
      </w:r>
    </w:p>
    <w:p w14:paraId="2FFD58E7"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связи с чем, в 2019 году минэкономразвития АО возвращена в бюджет неиспользованная на протяжении 2015-2018 годов субсидия в общей сумме 64,2 млн.руб., в том числе в федеральный бюджет в сумме 61,0 млн.руб. (платежное поручение от 14.03.2019 № 262502), в областной бюджет в сумме 3,2 млн.руб.</w:t>
      </w:r>
    </w:p>
    <w:p w14:paraId="25486FE9"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соответствии с оценкой эффективности реализации государственной программы за 2019 год, размещенной в КИАС Архангельской области, по итогам 2019 года интегральная оценка эффективности реализации госпрограммы в целом составила 95,3 балла, оценка реализации госпрограммы по исполнителям – 95 балла, оценка качества планирования и управления реализацией госпрограммы – 96,4 балла, на основании п. 7 Положения об оценке признается высокой.</w:t>
      </w:r>
    </w:p>
    <w:p w14:paraId="66F9F6E3"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 2019 году, выше показателей 2018 года, сложились интегральная оценка эффективности реализации госпрограммы в целом на 4,3 балла (91,0) и оценка реализации госпрограммы по исполнителям на 5,4 балла (89,6).</w:t>
      </w:r>
    </w:p>
    <w:p w14:paraId="1E8159FA"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Оценка реализации госпрограммы по исполнителям за 2019 год выглядит следующим образом:</w:t>
      </w:r>
    </w:p>
    <w:p w14:paraId="63659ACB"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минэкономразвития АО – 94,7 баллов;</w:t>
      </w:r>
    </w:p>
    <w:p w14:paraId="4BF048D1"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контрактное агентство АО – 92,9 баллов;</w:t>
      </w:r>
    </w:p>
    <w:p w14:paraId="5C26696B"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агентство по тарифам и ценам – 100,0 баллов;</w:t>
      </w:r>
    </w:p>
    <w:p w14:paraId="48A71280"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администрация Губернатора АО и Правительства АО – 100,0 баллов;</w:t>
      </w:r>
    </w:p>
    <w:p w14:paraId="4C7D902A" w14:textId="77777777" w:rsidR="005D0B71" w:rsidRPr="00A53AD7" w:rsidRDefault="005D0B71" w:rsidP="00CA1DDD">
      <w:pPr>
        <w:pStyle w:val="a8"/>
        <w:numPr>
          <w:ilvl w:val="0"/>
          <w:numId w:val="36"/>
        </w:numPr>
        <w:ind w:left="0" w:firstLine="851"/>
        <w:jc w:val="both"/>
        <w:rPr>
          <w:sz w:val="28"/>
          <w:szCs w:val="28"/>
        </w:rPr>
      </w:pPr>
      <w:r w:rsidRPr="00A53AD7">
        <w:rPr>
          <w:sz w:val="28"/>
          <w:szCs w:val="28"/>
        </w:rPr>
        <w:t>министерство связи и информационных технологий АО – 100 баллов.</w:t>
      </w:r>
    </w:p>
    <w:p w14:paraId="08108908"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Вместе с тем в разрезе исполнителей госпрограммы, оценка реализации госпрограммы в 2019 году, по сравнению с 2018 годом, сложилась в таблице ниже следующим образом.</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71"/>
        <w:gridCol w:w="2309"/>
        <w:gridCol w:w="2307"/>
        <w:gridCol w:w="2337"/>
      </w:tblGrid>
      <w:tr w:rsidR="00D470B6" w:rsidRPr="00A53AD7" w14:paraId="3FA39F22" w14:textId="77777777" w:rsidTr="005D0B71">
        <w:tc>
          <w:tcPr>
            <w:tcW w:w="2392" w:type="dxa"/>
            <w:vMerge w:val="restart"/>
            <w:vAlign w:val="center"/>
          </w:tcPr>
          <w:p w14:paraId="7D65AF5A"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Исполнитель</w:t>
            </w:r>
          </w:p>
        </w:tc>
        <w:tc>
          <w:tcPr>
            <w:tcW w:w="4786" w:type="dxa"/>
            <w:gridSpan w:val="2"/>
          </w:tcPr>
          <w:p w14:paraId="4104F96B" w14:textId="77777777" w:rsidR="005D0B71" w:rsidRPr="00A53AD7" w:rsidRDefault="005D0B71" w:rsidP="005D0B71">
            <w:pPr>
              <w:spacing w:after="0" w:line="240" w:lineRule="auto"/>
              <w:jc w:val="both"/>
              <w:rPr>
                <w:rFonts w:ascii="Times New Roman" w:hAnsi="Times New Roman"/>
                <w:sz w:val="20"/>
                <w:szCs w:val="20"/>
              </w:rPr>
            </w:pPr>
            <w:r w:rsidRPr="00A53AD7">
              <w:rPr>
                <w:rFonts w:ascii="Times New Roman" w:hAnsi="Times New Roman"/>
                <w:sz w:val="20"/>
                <w:szCs w:val="20"/>
              </w:rPr>
              <w:t>Оценка реализации госпрограммы по исполнителю, балл</w:t>
            </w:r>
          </w:p>
        </w:tc>
        <w:tc>
          <w:tcPr>
            <w:tcW w:w="2393" w:type="dxa"/>
            <w:vMerge w:val="restart"/>
            <w:vAlign w:val="center"/>
          </w:tcPr>
          <w:p w14:paraId="76E16319"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Отклонения, балл</w:t>
            </w:r>
          </w:p>
        </w:tc>
      </w:tr>
      <w:tr w:rsidR="00D470B6" w:rsidRPr="00A53AD7" w14:paraId="1DACB789" w14:textId="77777777" w:rsidTr="005D0B71">
        <w:tc>
          <w:tcPr>
            <w:tcW w:w="2392" w:type="dxa"/>
            <w:vMerge/>
          </w:tcPr>
          <w:p w14:paraId="031CA84F" w14:textId="77777777" w:rsidR="005D0B71" w:rsidRPr="00A53AD7" w:rsidRDefault="005D0B71" w:rsidP="005D0B71">
            <w:pPr>
              <w:spacing w:after="0" w:line="240" w:lineRule="auto"/>
              <w:jc w:val="both"/>
              <w:rPr>
                <w:rFonts w:ascii="Times New Roman" w:hAnsi="Times New Roman"/>
                <w:sz w:val="20"/>
                <w:szCs w:val="20"/>
              </w:rPr>
            </w:pPr>
          </w:p>
        </w:tc>
        <w:tc>
          <w:tcPr>
            <w:tcW w:w="2393" w:type="dxa"/>
            <w:vAlign w:val="center"/>
          </w:tcPr>
          <w:p w14:paraId="7D7180B7"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2393" w:type="dxa"/>
            <w:vAlign w:val="center"/>
          </w:tcPr>
          <w:p w14:paraId="0663D829"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2393" w:type="dxa"/>
            <w:vMerge/>
          </w:tcPr>
          <w:p w14:paraId="3F6841AF" w14:textId="77777777" w:rsidR="005D0B71" w:rsidRPr="00A53AD7" w:rsidRDefault="005D0B71" w:rsidP="005D0B71">
            <w:pPr>
              <w:spacing w:after="0" w:line="240" w:lineRule="auto"/>
              <w:jc w:val="both"/>
              <w:rPr>
                <w:rFonts w:ascii="Times New Roman" w:hAnsi="Times New Roman"/>
                <w:sz w:val="20"/>
                <w:szCs w:val="20"/>
              </w:rPr>
            </w:pPr>
          </w:p>
        </w:tc>
      </w:tr>
      <w:tr w:rsidR="00D470B6" w:rsidRPr="00A53AD7" w14:paraId="57C7F366" w14:textId="77777777" w:rsidTr="005D0B71">
        <w:tc>
          <w:tcPr>
            <w:tcW w:w="2392" w:type="dxa"/>
            <w:vAlign w:val="center"/>
          </w:tcPr>
          <w:p w14:paraId="0609B7E6"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Минэкономразвития АО</w:t>
            </w:r>
          </w:p>
        </w:tc>
        <w:tc>
          <w:tcPr>
            <w:tcW w:w="2393" w:type="dxa"/>
            <w:vAlign w:val="center"/>
          </w:tcPr>
          <w:p w14:paraId="3DE09DB7"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97,4</w:t>
            </w:r>
          </w:p>
        </w:tc>
        <w:tc>
          <w:tcPr>
            <w:tcW w:w="2393" w:type="dxa"/>
            <w:vAlign w:val="center"/>
          </w:tcPr>
          <w:p w14:paraId="6D0F40EE"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94,7</w:t>
            </w:r>
          </w:p>
        </w:tc>
        <w:tc>
          <w:tcPr>
            <w:tcW w:w="2393" w:type="dxa"/>
            <w:vAlign w:val="center"/>
          </w:tcPr>
          <w:p w14:paraId="7D3AE74A"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-2,7</w:t>
            </w:r>
          </w:p>
        </w:tc>
      </w:tr>
      <w:tr w:rsidR="00D470B6" w:rsidRPr="00A53AD7" w14:paraId="1C5A8907" w14:textId="77777777" w:rsidTr="005D0B71">
        <w:trPr>
          <w:trHeight w:val="437"/>
        </w:trPr>
        <w:tc>
          <w:tcPr>
            <w:tcW w:w="2392" w:type="dxa"/>
            <w:vAlign w:val="center"/>
          </w:tcPr>
          <w:p w14:paraId="2CD17117"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Минсвязи и информационных технологий АО</w:t>
            </w:r>
          </w:p>
        </w:tc>
        <w:tc>
          <w:tcPr>
            <w:tcW w:w="2393" w:type="dxa"/>
            <w:vAlign w:val="center"/>
          </w:tcPr>
          <w:p w14:paraId="79EC3B72"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2393" w:type="dxa"/>
            <w:vAlign w:val="center"/>
          </w:tcPr>
          <w:p w14:paraId="76B1782D"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100</w:t>
            </w:r>
          </w:p>
        </w:tc>
        <w:tc>
          <w:tcPr>
            <w:tcW w:w="2393" w:type="dxa"/>
            <w:vAlign w:val="center"/>
          </w:tcPr>
          <w:p w14:paraId="115C489E"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w:t>
            </w:r>
          </w:p>
        </w:tc>
      </w:tr>
      <w:tr w:rsidR="00D470B6" w:rsidRPr="00A53AD7" w14:paraId="12BDB245" w14:textId="77777777" w:rsidTr="005D0B71">
        <w:trPr>
          <w:trHeight w:val="717"/>
        </w:trPr>
        <w:tc>
          <w:tcPr>
            <w:tcW w:w="2392" w:type="dxa"/>
            <w:vAlign w:val="center"/>
          </w:tcPr>
          <w:p w14:paraId="58478AC9"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Администрация Губернатора и Правительства АО</w:t>
            </w:r>
          </w:p>
        </w:tc>
        <w:tc>
          <w:tcPr>
            <w:tcW w:w="2393" w:type="dxa"/>
            <w:vAlign w:val="center"/>
          </w:tcPr>
          <w:p w14:paraId="4BA43888"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2393" w:type="dxa"/>
            <w:vAlign w:val="center"/>
          </w:tcPr>
          <w:p w14:paraId="76198861"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2393" w:type="dxa"/>
            <w:vAlign w:val="center"/>
          </w:tcPr>
          <w:p w14:paraId="4C91DC4F"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w:t>
            </w:r>
          </w:p>
        </w:tc>
      </w:tr>
      <w:tr w:rsidR="00D470B6" w:rsidRPr="00A53AD7" w14:paraId="6984C35F" w14:textId="77777777" w:rsidTr="005D0B71">
        <w:tc>
          <w:tcPr>
            <w:tcW w:w="2392" w:type="dxa"/>
          </w:tcPr>
          <w:p w14:paraId="126CC64E"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Контрактное агентство АО</w:t>
            </w:r>
          </w:p>
        </w:tc>
        <w:tc>
          <w:tcPr>
            <w:tcW w:w="2393" w:type="dxa"/>
            <w:vAlign w:val="center"/>
          </w:tcPr>
          <w:p w14:paraId="72004B84"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90,7</w:t>
            </w:r>
          </w:p>
        </w:tc>
        <w:tc>
          <w:tcPr>
            <w:tcW w:w="2393" w:type="dxa"/>
            <w:vAlign w:val="center"/>
          </w:tcPr>
          <w:p w14:paraId="105DF51A"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92,9</w:t>
            </w:r>
          </w:p>
        </w:tc>
        <w:tc>
          <w:tcPr>
            <w:tcW w:w="2393" w:type="dxa"/>
            <w:vAlign w:val="center"/>
          </w:tcPr>
          <w:p w14:paraId="7F909A84"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+2,2</w:t>
            </w:r>
          </w:p>
        </w:tc>
      </w:tr>
      <w:tr w:rsidR="00D470B6" w:rsidRPr="00A53AD7" w14:paraId="0B858045" w14:textId="77777777" w:rsidTr="005D0B71">
        <w:tc>
          <w:tcPr>
            <w:tcW w:w="2392" w:type="dxa"/>
          </w:tcPr>
          <w:p w14:paraId="2547F273"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Агентство по тарифам и ценам АО</w:t>
            </w:r>
          </w:p>
        </w:tc>
        <w:tc>
          <w:tcPr>
            <w:tcW w:w="2393" w:type="dxa"/>
            <w:vAlign w:val="center"/>
          </w:tcPr>
          <w:p w14:paraId="542CDE92"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2393" w:type="dxa"/>
            <w:vAlign w:val="center"/>
          </w:tcPr>
          <w:p w14:paraId="58637B1A"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2393" w:type="dxa"/>
            <w:vAlign w:val="center"/>
          </w:tcPr>
          <w:p w14:paraId="7B767C25"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w:t>
            </w:r>
          </w:p>
        </w:tc>
      </w:tr>
      <w:tr w:rsidR="005D0B71" w:rsidRPr="00A53AD7" w14:paraId="648EB130" w14:textId="77777777" w:rsidTr="005D0B71">
        <w:tc>
          <w:tcPr>
            <w:tcW w:w="2392" w:type="dxa"/>
          </w:tcPr>
          <w:p w14:paraId="1B968F0A" w14:textId="77777777" w:rsidR="005D0B71" w:rsidRPr="00A53AD7" w:rsidRDefault="005D0B71" w:rsidP="005D0B71">
            <w:pPr>
              <w:spacing w:after="0" w:line="240" w:lineRule="auto"/>
              <w:rPr>
                <w:rFonts w:ascii="Times New Roman" w:hAnsi="Times New Roman"/>
                <w:sz w:val="20"/>
                <w:szCs w:val="20"/>
              </w:rPr>
            </w:pPr>
            <w:r w:rsidRPr="00A53AD7">
              <w:rPr>
                <w:rFonts w:ascii="Times New Roman" w:hAnsi="Times New Roman"/>
                <w:sz w:val="20"/>
                <w:szCs w:val="20"/>
              </w:rPr>
              <w:t>В целом по госпрограмме</w:t>
            </w:r>
          </w:p>
        </w:tc>
        <w:tc>
          <w:tcPr>
            <w:tcW w:w="2393" w:type="dxa"/>
            <w:vAlign w:val="center"/>
          </w:tcPr>
          <w:p w14:paraId="79FA4068"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89,6</w:t>
            </w:r>
          </w:p>
        </w:tc>
        <w:tc>
          <w:tcPr>
            <w:tcW w:w="2393" w:type="dxa"/>
            <w:vAlign w:val="center"/>
          </w:tcPr>
          <w:p w14:paraId="1085C474"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96,4</w:t>
            </w:r>
          </w:p>
        </w:tc>
        <w:tc>
          <w:tcPr>
            <w:tcW w:w="2393" w:type="dxa"/>
            <w:vAlign w:val="center"/>
          </w:tcPr>
          <w:p w14:paraId="76CE548E" w14:textId="77777777" w:rsidR="005D0B71" w:rsidRPr="00A53AD7" w:rsidRDefault="005D0B71" w:rsidP="005D0B71">
            <w:pPr>
              <w:spacing w:after="0" w:line="240" w:lineRule="auto"/>
              <w:jc w:val="center"/>
              <w:rPr>
                <w:rFonts w:ascii="Times New Roman" w:hAnsi="Times New Roman"/>
                <w:sz w:val="20"/>
                <w:szCs w:val="20"/>
              </w:rPr>
            </w:pPr>
            <w:r w:rsidRPr="00A53AD7">
              <w:rPr>
                <w:rFonts w:ascii="Times New Roman" w:hAnsi="Times New Roman"/>
                <w:sz w:val="20"/>
                <w:szCs w:val="20"/>
              </w:rPr>
              <w:t>+5,4</w:t>
            </w:r>
          </w:p>
        </w:tc>
      </w:tr>
    </w:tbl>
    <w:p w14:paraId="513063F7" w14:textId="77777777" w:rsidR="005D0B71" w:rsidRPr="00A53AD7" w:rsidRDefault="005D0B71" w:rsidP="005D0B71">
      <w:pPr>
        <w:spacing w:after="0" w:line="240" w:lineRule="auto"/>
        <w:ind w:right="-2" w:firstLine="851"/>
        <w:jc w:val="both"/>
        <w:rPr>
          <w:rFonts w:ascii="Times New Roman" w:hAnsi="Times New Roman"/>
          <w:sz w:val="28"/>
          <w:szCs w:val="28"/>
        </w:rPr>
      </w:pPr>
    </w:p>
    <w:p w14:paraId="4877D94A" w14:textId="77777777" w:rsidR="005D0B71" w:rsidRPr="00A53AD7" w:rsidRDefault="005D0B71" w:rsidP="005D0B71">
      <w:pPr>
        <w:spacing w:after="0" w:line="240" w:lineRule="auto"/>
        <w:ind w:right="-2" w:firstLine="851"/>
        <w:jc w:val="both"/>
        <w:rPr>
          <w:rFonts w:ascii="Times New Roman" w:hAnsi="Times New Roman"/>
          <w:sz w:val="28"/>
          <w:szCs w:val="28"/>
        </w:rPr>
      </w:pPr>
      <w:r w:rsidRPr="00A53AD7">
        <w:rPr>
          <w:rFonts w:ascii="Times New Roman" w:hAnsi="Times New Roman"/>
          <w:sz w:val="28"/>
          <w:szCs w:val="28"/>
        </w:rPr>
        <w:t>Как следует из таблицы, минэкономразвития АО как исполнителем госпрограммы, в 2019 году допущено снижение показателя оценки реализации госпрограммы по сравнению с 2018 годом.</w:t>
      </w:r>
    </w:p>
    <w:p w14:paraId="4B439290" w14:textId="2E246AA7" w:rsidR="00C54954" w:rsidRPr="00A53AD7" w:rsidRDefault="00C54954" w:rsidP="00C54954">
      <w:pPr>
        <w:pStyle w:val="3"/>
        <w:spacing w:line="240" w:lineRule="auto"/>
        <w:jc w:val="center"/>
        <w:rPr>
          <w:rFonts w:ascii="Times New Roman" w:hAnsi="Times New Roman"/>
          <w:b w:val="0"/>
          <w:sz w:val="28"/>
          <w:szCs w:val="28"/>
          <w:u w:val="single"/>
          <w:lang w:val="ru-RU"/>
        </w:rPr>
      </w:pPr>
      <w:bookmarkStart w:id="85" w:name="_Toc42006734"/>
      <w:r w:rsidRPr="00A53AD7">
        <w:rPr>
          <w:rFonts w:ascii="Times New Roman" w:hAnsi="Times New Roman"/>
          <w:b w:val="0"/>
          <w:sz w:val="28"/>
          <w:szCs w:val="28"/>
          <w:u w:val="single"/>
          <w:lang w:val="ru-RU"/>
        </w:rPr>
        <w:t>4.2.</w:t>
      </w:r>
      <w:r w:rsidR="00ED2EC7" w:rsidRPr="00A53AD7">
        <w:rPr>
          <w:rFonts w:ascii="Times New Roman" w:hAnsi="Times New Roman"/>
          <w:b w:val="0"/>
          <w:sz w:val="28"/>
          <w:szCs w:val="28"/>
          <w:u w:val="single"/>
          <w:lang w:val="ru-RU"/>
        </w:rPr>
        <w:t>13</w:t>
      </w:r>
      <w:r w:rsidRPr="00A53AD7">
        <w:rPr>
          <w:rFonts w:ascii="Times New Roman" w:hAnsi="Times New Roman"/>
          <w:b w:val="0"/>
          <w:sz w:val="28"/>
          <w:szCs w:val="28"/>
          <w:u w:val="single"/>
          <w:lang w:val="ru-RU"/>
        </w:rPr>
        <w:t>. Государственная программа Архангельской области «Формирование современной городской среды в Архангельской области»</w:t>
      </w:r>
      <w:bookmarkEnd w:id="85"/>
    </w:p>
    <w:p w14:paraId="7A5A71A1" w14:textId="77777777" w:rsidR="00C54954" w:rsidRPr="00A53AD7" w:rsidRDefault="00C54954" w:rsidP="00C54954">
      <w:pPr>
        <w:pStyle w:val="a8"/>
        <w:ind w:left="0" w:firstLine="851"/>
        <w:jc w:val="both"/>
        <w:rPr>
          <w:sz w:val="28"/>
          <w:szCs w:val="28"/>
        </w:rPr>
      </w:pPr>
      <w:r w:rsidRPr="00A53AD7">
        <w:rPr>
          <w:sz w:val="28"/>
          <w:szCs w:val="28"/>
        </w:rPr>
        <w:t>Государственная программа утверждена постановлением Правительства Архангельской области от 22.08.2017 № 330-пп (далее – ГП АО № 330-пп).</w:t>
      </w:r>
    </w:p>
    <w:p w14:paraId="7AC62D17" w14:textId="77777777" w:rsidR="00C54954" w:rsidRPr="00A53AD7" w:rsidRDefault="00C54954" w:rsidP="00C54954">
      <w:pPr>
        <w:pStyle w:val="a8"/>
        <w:ind w:left="0" w:firstLine="851"/>
        <w:jc w:val="both"/>
        <w:rPr>
          <w:sz w:val="28"/>
          <w:szCs w:val="28"/>
        </w:rPr>
      </w:pPr>
      <w:r w:rsidRPr="00A53AD7">
        <w:rPr>
          <w:sz w:val="28"/>
          <w:szCs w:val="28"/>
        </w:rPr>
        <w:t>Ответственным исполнителем является министерство ТЭК и ЖКХ АО.</w:t>
      </w:r>
    </w:p>
    <w:p w14:paraId="0BA6F7B0" w14:textId="77777777" w:rsidR="0002427A" w:rsidRPr="00A53AD7" w:rsidRDefault="0002427A" w:rsidP="0002427A">
      <w:pPr>
        <w:pStyle w:val="a8"/>
        <w:ind w:left="0" w:firstLine="851"/>
        <w:jc w:val="both"/>
        <w:rPr>
          <w:sz w:val="28"/>
          <w:szCs w:val="28"/>
        </w:rPr>
      </w:pPr>
      <w:r w:rsidRPr="00A53AD7">
        <w:rPr>
          <w:sz w:val="28"/>
          <w:szCs w:val="28"/>
        </w:rPr>
        <w:t xml:space="preserve">В течение 2019 года изменения в ГП АО №330-пп вносились 7 раз, в том числе постановлением Правительства АО от 23.07.2019 №401-пп госпрограмма дополнена приложением №7: «Адресный перечень дворовых и общественных территорий, нуждающихся в благоустройстве (с учетом их физического состояния) и подлежащих благоустройству, объектов недвижимого имущества (включая объекты незавершенного строительства) и земельных участков, находящихся в собственности (пользовании) юридических лиц и индивидуальных предпринимателей, которые подлежат благоустройству за счет средств указанных лиц, индивидуальных жилых домов и земельных участков, предоставленных для их размещения, нуждающихся в благоустройстве и подлежащих благоустройству (или мероприятия по инвентаризации уровня благоустройства индивидуальных жилых домов и земельных участков, предоставленных для их размещения) муниципальных районов и городских округов Архангельской области». </w:t>
      </w:r>
    </w:p>
    <w:p w14:paraId="7AB5B19B" w14:textId="598E272D" w:rsidR="0002427A" w:rsidRPr="00A53AD7" w:rsidRDefault="0002427A" w:rsidP="0002427A">
      <w:pPr>
        <w:pStyle w:val="a8"/>
        <w:ind w:left="0" w:firstLine="851"/>
        <w:jc w:val="both"/>
        <w:rPr>
          <w:sz w:val="28"/>
          <w:szCs w:val="28"/>
        </w:rPr>
      </w:pPr>
      <w:r w:rsidRPr="00A53AD7">
        <w:rPr>
          <w:sz w:val="28"/>
          <w:szCs w:val="28"/>
        </w:rPr>
        <w:t>По состоянию на 01.01.2019 года ГП АО №330-пп утверждено 11 целевых показателей, на конец отчетного периода (в редакции от 17.12.2019) количество целевых показателей увеличилось на 4 ед., информация по которым отражена</w:t>
      </w:r>
      <w:r w:rsidR="00C42DAF" w:rsidRPr="00A53AD7">
        <w:rPr>
          <w:sz w:val="28"/>
          <w:szCs w:val="28"/>
        </w:rPr>
        <w:t xml:space="preserve"> ниже:</w:t>
      </w:r>
    </w:p>
    <w:tbl>
      <w:tblPr>
        <w:tblW w:w="9240"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093"/>
        <w:gridCol w:w="709"/>
        <w:gridCol w:w="1146"/>
        <w:gridCol w:w="1146"/>
        <w:gridCol w:w="1146"/>
      </w:tblGrid>
      <w:tr w:rsidR="00D470B6" w:rsidRPr="00A53AD7" w14:paraId="1D60D5A9" w14:textId="77777777" w:rsidTr="00C42DAF">
        <w:trPr>
          <w:trHeight w:val="480"/>
        </w:trPr>
        <w:tc>
          <w:tcPr>
            <w:tcW w:w="5093" w:type="dxa"/>
            <w:shd w:val="clear" w:color="auto" w:fill="auto"/>
            <w:vAlign w:val="center"/>
            <w:hideMark/>
          </w:tcPr>
          <w:p w14:paraId="276B775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Наименование целевого показателя</w:t>
            </w:r>
          </w:p>
        </w:tc>
        <w:tc>
          <w:tcPr>
            <w:tcW w:w="709" w:type="dxa"/>
            <w:shd w:val="clear" w:color="auto" w:fill="auto"/>
            <w:vAlign w:val="center"/>
            <w:hideMark/>
          </w:tcPr>
          <w:p w14:paraId="60CD9A4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 изм.</w:t>
            </w:r>
          </w:p>
        </w:tc>
        <w:tc>
          <w:tcPr>
            <w:tcW w:w="1146" w:type="dxa"/>
            <w:shd w:val="clear" w:color="auto" w:fill="auto"/>
            <w:vAlign w:val="center"/>
            <w:hideMark/>
          </w:tcPr>
          <w:p w14:paraId="4AA43137"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Значения целевых показателей на начало 2019</w:t>
            </w:r>
          </w:p>
        </w:tc>
        <w:tc>
          <w:tcPr>
            <w:tcW w:w="1146" w:type="dxa"/>
            <w:shd w:val="clear" w:color="auto" w:fill="auto"/>
            <w:vAlign w:val="center"/>
            <w:hideMark/>
          </w:tcPr>
          <w:p w14:paraId="1800F74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Значения целевых показателей на конец 2019 </w:t>
            </w:r>
          </w:p>
        </w:tc>
        <w:tc>
          <w:tcPr>
            <w:tcW w:w="1146" w:type="dxa"/>
          </w:tcPr>
          <w:p w14:paraId="781A3E2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Отклонение</w:t>
            </w:r>
          </w:p>
          <w:p w14:paraId="21CF00DD"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tc>
      </w:tr>
      <w:tr w:rsidR="00D470B6" w:rsidRPr="00A53AD7" w14:paraId="133BFC53" w14:textId="77777777" w:rsidTr="00C42DAF">
        <w:trPr>
          <w:trHeight w:val="288"/>
        </w:trPr>
        <w:tc>
          <w:tcPr>
            <w:tcW w:w="5093" w:type="dxa"/>
            <w:shd w:val="clear" w:color="auto" w:fill="auto"/>
            <w:vAlign w:val="center"/>
            <w:hideMark/>
          </w:tcPr>
          <w:p w14:paraId="26F170CA"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 Количество благоустроенных дворовых территорий</w:t>
            </w:r>
          </w:p>
        </w:tc>
        <w:tc>
          <w:tcPr>
            <w:tcW w:w="709" w:type="dxa"/>
            <w:shd w:val="clear" w:color="auto" w:fill="auto"/>
            <w:vAlign w:val="center"/>
            <w:hideMark/>
          </w:tcPr>
          <w:p w14:paraId="1780B84C"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146" w:type="dxa"/>
            <w:shd w:val="clear" w:color="auto" w:fill="auto"/>
            <w:vAlign w:val="center"/>
            <w:hideMark/>
          </w:tcPr>
          <w:p w14:paraId="402AF6F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180</w:t>
            </w:r>
          </w:p>
        </w:tc>
        <w:tc>
          <w:tcPr>
            <w:tcW w:w="1146" w:type="dxa"/>
            <w:shd w:val="clear" w:color="auto" w:fill="auto"/>
            <w:vAlign w:val="center"/>
            <w:hideMark/>
          </w:tcPr>
          <w:p w14:paraId="4B50C31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102</w:t>
            </w:r>
          </w:p>
        </w:tc>
        <w:tc>
          <w:tcPr>
            <w:tcW w:w="1146" w:type="dxa"/>
          </w:tcPr>
          <w:p w14:paraId="7458F1AA"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-78</w:t>
            </w:r>
          </w:p>
        </w:tc>
      </w:tr>
      <w:tr w:rsidR="00D470B6" w:rsidRPr="00A53AD7" w14:paraId="7B0F02FB" w14:textId="77777777" w:rsidTr="00C42DAF">
        <w:trPr>
          <w:trHeight w:val="480"/>
        </w:trPr>
        <w:tc>
          <w:tcPr>
            <w:tcW w:w="5093" w:type="dxa"/>
            <w:shd w:val="clear" w:color="auto" w:fill="auto"/>
            <w:vAlign w:val="center"/>
            <w:hideMark/>
          </w:tcPr>
          <w:p w14:paraId="7F4BAF7A"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 Доля благоустроенных дворовых территорий от общего количества дворовых территорий</w:t>
            </w:r>
          </w:p>
        </w:tc>
        <w:tc>
          <w:tcPr>
            <w:tcW w:w="709" w:type="dxa"/>
            <w:shd w:val="clear" w:color="auto" w:fill="auto"/>
            <w:vAlign w:val="center"/>
            <w:hideMark/>
          </w:tcPr>
          <w:p w14:paraId="1597C56C"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7A7D7B80"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2,5</w:t>
            </w:r>
          </w:p>
        </w:tc>
        <w:tc>
          <w:tcPr>
            <w:tcW w:w="1146" w:type="dxa"/>
            <w:shd w:val="clear" w:color="auto" w:fill="auto"/>
            <w:vAlign w:val="center"/>
            <w:hideMark/>
          </w:tcPr>
          <w:p w14:paraId="3AF7D157"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w:t>
            </w:r>
          </w:p>
        </w:tc>
        <w:tc>
          <w:tcPr>
            <w:tcW w:w="1146" w:type="dxa"/>
          </w:tcPr>
          <w:p w14:paraId="5026C98D"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-0,1</w:t>
            </w:r>
          </w:p>
        </w:tc>
      </w:tr>
      <w:tr w:rsidR="00D470B6" w:rsidRPr="00A53AD7" w14:paraId="62F9B9B3" w14:textId="77777777" w:rsidTr="00C42DAF">
        <w:trPr>
          <w:trHeight w:val="215"/>
        </w:trPr>
        <w:tc>
          <w:tcPr>
            <w:tcW w:w="5093" w:type="dxa"/>
            <w:shd w:val="clear" w:color="auto" w:fill="auto"/>
            <w:vAlign w:val="center"/>
            <w:hideMark/>
          </w:tcPr>
          <w:p w14:paraId="09F25272"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 Доля населения, проживающего в жилом фонде с благоустроенными дворовыми территориями, от общей численности населения АО</w:t>
            </w:r>
          </w:p>
        </w:tc>
        <w:tc>
          <w:tcPr>
            <w:tcW w:w="709" w:type="dxa"/>
            <w:shd w:val="clear" w:color="auto" w:fill="auto"/>
            <w:vAlign w:val="center"/>
            <w:hideMark/>
          </w:tcPr>
          <w:p w14:paraId="30518B40"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4357D3B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2,4</w:t>
            </w:r>
          </w:p>
        </w:tc>
        <w:tc>
          <w:tcPr>
            <w:tcW w:w="1146" w:type="dxa"/>
            <w:shd w:val="clear" w:color="auto" w:fill="auto"/>
            <w:vAlign w:val="center"/>
            <w:hideMark/>
          </w:tcPr>
          <w:p w14:paraId="1B61050B"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2,5</w:t>
            </w:r>
          </w:p>
        </w:tc>
        <w:tc>
          <w:tcPr>
            <w:tcW w:w="1146" w:type="dxa"/>
          </w:tcPr>
          <w:p w14:paraId="740B455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6F712733"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+0,1</w:t>
            </w:r>
          </w:p>
        </w:tc>
      </w:tr>
      <w:tr w:rsidR="00D470B6" w:rsidRPr="00A53AD7" w14:paraId="2A6965B7" w14:textId="77777777" w:rsidTr="00C42DAF">
        <w:trPr>
          <w:trHeight w:val="491"/>
        </w:trPr>
        <w:tc>
          <w:tcPr>
            <w:tcW w:w="5093" w:type="dxa"/>
            <w:shd w:val="clear" w:color="auto" w:fill="auto"/>
            <w:vAlign w:val="center"/>
            <w:hideMark/>
          </w:tcPr>
          <w:p w14:paraId="2155F0B4"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 Доля финансового участия заинтересованных лиц в выполнении работ по благоустройству дворовых территорий от общей стоимости работ по благоустройству дворовых территорий</w:t>
            </w:r>
          </w:p>
        </w:tc>
        <w:tc>
          <w:tcPr>
            <w:tcW w:w="709" w:type="dxa"/>
            <w:shd w:val="clear" w:color="auto" w:fill="auto"/>
            <w:vAlign w:val="center"/>
            <w:hideMark/>
          </w:tcPr>
          <w:p w14:paraId="78FFF9B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0F1BB088"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w:t>
            </w:r>
          </w:p>
        </w:tc>
        <w:tc>
          <w:tcPr>
            <w:tcW w:w="1146" w:type="dxa"/>
            <w:shd w:val="clear" w:color="auto" w:fill="auto"/>
            <w:vAlign w:val="center"/>
            <w:hideMark/>
          </w:tcPr>
          <w:p w14:paraId="34501D29"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не менее 5</w:t>
            </w:r>
          </w:p>
        </w:tc>
        <w:tc>
          <w:tcPr>
            <w:tcW w:w="1146" w:type="dxa"/>
          </w:tcPr>
          <w:p w14:paraId="007B79E0"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1BFF40E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r>
      <w:tr w:rsidR="00D470B6" w:rsidRPr="00A53AD7" w14:paraId="65DBD755" w14:textId="77777777" w:rsidTr="00C42DAF">
        <w:trPr>
          <w:trHeight w:val="287"/>
        </w:trPr>
        <w:tc>
          <w:tcPr>
            <w:tcW w:w="5093" w:type="dxa"/>
            <w:shd w:val="clear" w:color="auto" w:fill="D9D9D9" w:themeFill="background1" w:themeFillShade="D9"/>
            <w:vAlign w:val="center"/>
            <w:hideMark/>
          </w:tcPr>
          <w:p w14:paraId="286FD843"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 Доля проектов благоустройства дворовых территорий, реализованных с трудовым участием граждан, заинтересованных лиц</w:t>
            </w:r>
          </w:p>
        </w:tc>
        <w:tc>
          <w:tcPr>
            <w:tcW w:w="709" w:type="dxa"/>
            <w:shd w:val="clear" w:color="auto" w:fill="D9D9D9" w:themeFill="background1" w:themeFillShade="D9"/>
            <w:vAlign w:val="center"/>
            <w:hideMark/>
          </w:tcPr>
          <w:p w14:paraId="65C85C1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D9D9D9" w:themeFill="background1" w:themeFillShade="D9"/>
            <w:vAlign w:val="center"/>
            <w:hideMark/>
          </w:tcPr>
          <w:p w14:paraId="5280D293"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нет</w:t>
            </w:r>
          </w:p>
        </w:tc>
        <w:tc>
          <w:tcPr>
            <w:tcW w:w="1146" w:type="dxa"/>
            <w:shd w:val="clear" w:color="auto" w:fill="D9D9D9" w:themeFill="background1" w:themeFillShade="D9"/>
            <w:vAlign w:val="center"/>
            <w:hideMark/>
          </w:tcPr>
          <w:p w14:paraId="331B4432"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w:t>
            </w:r>
          </w:p>
        </w:tc>
        <w:tc>
          <w:tcPr>
            <w:tcW w:w="1146" w:type="dxa"/>
            <w:shd w:val="clear" w:color="auto" w:fill="D9D9D9" w:themeFill="background1" w:themeFillShade="D9"/>
          </w:tcPr>
          <w:p w14:paraId="3813F02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6FF0042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w:t>
            </w:r>
          </w:p>
        </w:tc>
      </w:tr>
      <w:tr w:rsidR="00D470B6" w:rsidRPr="00A53AD7" w14:paraId="17CFB8AC" w14:textId="77777777" w:rsidTr="00C42DAF">
        <w:trPr>
          <w:trHeight w:val="280"/>
        </w:trPr>
        <w:tc>
          <w:tcPr>
            <w:tcW w:w="5093" w:type="dxa"/>
            <w:shd w:val="clear" w:color="auto" w:fill="auto"/>
            <w:vAlign w:val="center"/>
            <w:hideMark/>
          </w:tcPr>
          <w:p w14:paraId="3DE0B444"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 Объем трудового участия заинтересованных лиц по благоустройству дворовых территорий</w:t>
            </w:r>
          </w:p>
        </w:tc>
        <w:tc>
          <w:tcPr>
            <w:tcW w:w="709" w:type="dxa"/>
            <w:shd w:val="clear" w:color="auto" w:fill="auto"/>
            <w:vAlign w:val="center"/>
            <w:hideMark/>
          </w:tcPr>
          <w:p w14:paraId="70706D1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чел./ч</w:t>
            </w:r>
          </w:p>
        </w:tc>
        <w:tc>
          <w:tcPr>
            <w:tcW w:w="1146" w:type="dxa"/>
            <w:shd w:val="clear" w:color="auto" w:fill="auto"/>
            <w:vAlign w:val="center"/>
            <w:hideMark/>
          </w:tcPr>
          <w:p w14:paraId="2416FEA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54</w:t>
            </w:r>
          </w:p>
        </w:tc>
        <w:tc>
          <w:tcPr>
            <w:tcW w:w="1146" w:type="dxa"/>
            <w:shd w:val="clear" w:color="auto" w:fill="auto"/>
            <w:vAlign w:val="center"/>
            <w:hideMark/>
          </w:tcPr>
          <w:p w14:paraId="21331B2A"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31</w:t>
            </w:r>
          </w:p>
        </w:tc>
        <w:tc>
          <w:tcPr>
            <w:tcW w:w="1146" w:type="dxa"/>
          </w:tcPr>
          <w:p w14:paraId="40A5E85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37CEE90F"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-23</w:t>
            </w:r>
          </w:p>
        </w:tc>
      </w:tr>
      <w:tr w:rsidR="00D470B6" w:rsidRPr="00A53AD7" w14:paraId="0F1671E4" w14:textId="77777777" w:rsidTr="00C42DAF">
        <w:trPr>
          <w:trHeight w:val="286"/>
        </w:trPr>
        <w:tc>
          <w:tcPr>
            <w:tcW w:w="5093" w:type="dxa"/>
            <w:shd w:val="clear" w:color="auto" w:fill="auto"/>
            <w:vAlign w:val="center"/>
            <w:hideMark/>
          </w:tcPr>
          <w:p w14:paraId="16EC5842"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 Количество благоустроенных общественных территорий (без городских парков)</w:t>
            </w:r>
          </w:p>
        </w:tc>
        <w:tc>
          <w:tcPr>
            <w:tcW w:w="709" w:type="dxa"/>
            <w:shd w:val="clear" w:color="auto" w:fill="auto"/>
            <w:vAlign w:val="center"/>
            <w:hideMark/>
          </w:tcPr>
          <w:p w14:paraId="0402912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146" w:type="dxa"/>
            <w:shd w:val="clear" w:color="auto" w:fill="auto"/>
            <w:vAlign w:val="center"/>
            <w:hideMark/>
          </w:tcPr>
          <w:p w14:paraId="718843D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w:t>
            </w:r>
          </w:p>
        </w:tc>
        <w:tc>
          <w:tcPr>
            <w:tcW w:w="1146" w:type="dxa"/>
            <w:shd w:val="clear" w:color="auto" w:fill="auto"/>
            <w:vAlign w:val="center"/>
            <w:hideMark/>
          </w:tcPr>
          <w:p w14:paraId="139F567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96</w:t>
            </w:r>
          </w:p>
        </w:tc>
        <w:tc>
          <w:tcPr>
            <w:tcW w:w="1146" w:type="dxa"/>
          </w:tcPr>
          <w:p w14:paraId="62C3DD87"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+68</w:t>
            </w:r>
          </w:p>
        </w:tc>
      </w:tr>
      <w:tr w:rsidR="00D470B6" w:rsidRPr="00A53AD7" w14:paraId="0E583C8F" w14:textId="77777777" w:rsidTr="00C42DAF">
        <w:trPr>
          <w:trHeight w:val="288"/>
        </w:trPr>
        <w:tc>
          <w:tcPr>
            <w:tcW w:w="5093" w:type="dxa"/>
            <w:shd w:val="clear" w:color="auto" w:fill="auto"/>
            <w:vAlign w:val="center"/>
            <w:hideMark/>
          </w:tcPr>
          <w:p w14:paraId="6B1BF63E"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 Количество благоустроенных городских парков</w:t>
            </w:r>
          </w:p>
        </w:tc>
        <w:tc>
          <w:tcPr>
            <w:tcW w:w="709" w:type="dxa"/>
            <w:shd w:val="clear" w:color="auto" w:fill="auto"/>
            <w:vAlign w:val="center"/>
            <w:hideMark/>
          </w:tcPr>
          <w:p w14:paraId="2AC28E21"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146" w:type="dxa"/>
            <w:shd w:val="clear" w:color="auto" w:fill="auto"/>
            <w:vAlign w:val="center"/>
            <w:hideMark/>
          </w:tcPr>
          <w:p w14:paraId="04D34728"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385D81BA"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tcPr>
          <w:p w14:paraId="76469F3F"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r>
      <w:tr w:rsidR="00D470B6" w:rsidRPr="00A53AD7" w14:paraId="74DEA004" w14:textId="77777777" w:rsidTr="00C42DAF">
        <w:trPr>
          <w:trHeight w:val="288"/>
        </w:trPr>
        <w:tc>
          <w:tcPr>
            <w:tcW w:w="5093" w:type="dxa"/>
            <w:shd w:val="clear" w:color="auto" w:fill="auto"/>
            <w:vAlign w:val="center"/>
            <w:hideMark/>
          </w:tcPr>
          <w:p w14:paraId="6A17F969"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 Площадь благоустроенных общественных территорий</w:t>
            </w:r>
          </w:p>
        </w:tc>
        <w:tc>
          <w:tcPr>
            <w:tcW w:w="709" w:type="dxa"/>
            <w:shd w:val="clear" w:color="auto" w:fill="auto"/>
            <w:vAlign w:val="center"/>
            <w:hideMark/>
          </w:tcPr>
          <w:p w14:paraId="34C82B9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гек.</w:t>
            </w:r>
          </w:p>
        </w:tc>
        <w:tc>
          <w:tcPr>
            <w:tcW w:w="1146" w:type="dxa"/>
            <w:shd w:val="clear" w:color="auto" w:fill="auto"/>
            <w:vAlign w:val="center"/>
            <w:hideMark/>
          </w:tcPr>
          <w:p w14:paraId="7E3C9EF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42</w:t>
            </w:r>
          </w:p>
        </w:tc>
        <w:tc>
          <w:tcPr>
            <w:tcW w:w="1146" w:type="dxa"/>
            <w:shd w:val="clear" w:color="auto" w:fill="auto"/>
            <w:vAlign w:val="center"/>
            <w:hideMark/>
          </w:tcPr>
          <w:p w14:paraId="76AB272B"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108</w:t>
            </w:r>
          </w:p>
        </w:tc>
        <w:tc>
          <w:tcPr>
            <w:tcW w:w="1146" w:type="dxa"/>
          </w:tcPr>
          <w:p w14:paraId="1F0A9ABA"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+66</w:t>
            </w:r>
          </w:p>
        </w:tc>
      </w:tr>
      <w:tr w:rsidR="00D470B6" w:rsidRPr="00A53AD7" w14:paraId="32B01DED" w14:textId="77777777" w:rsidTr="00C42DAF">
        <w:trPr>
          <w:trHeight w:val="480"/>
        </w:trPr>
        <w:tc>
          <w:tcPr>
            <w:tcW w:w="5093" w:type="dxa"/>
            <w:shd w:val="clear" w:color="auto" w:fill="auto"/>
            <w:vAlign w:val="center"/>
            <w:hideMark/>
          </w:tcPr>
          <w:p w14:paraId="1BADC07A"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 Доля благоустроенных общественных территорий от общего количества общественных территорий</w:t>
            </w:r>
          </w:p>
        </w:tc>
        <w:tc>
          <w:tcPr>
            <w:tcW w:w="709" w:type="dxa"/>
            <w:shd w:val="clear" w:color="auto" w:fill="auto"/>
            <w:vAlign w:val="center"/>
            <w:hideMark/>
          </w:tcPr>
          <w:p w14:paraId="73BDC81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52B1BD92"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34</w:t>
            </w:r>
          </w:p>
        </w:tc>
        <w:tc>
          <w:tcPr>
            <w:tcW w:w="1146" w:type="dxa"/>
            <w:shd w:val="clear" w:color="auto" w:fill="auto"/>
            <w:vAlign w:val="center"/>
            <w:hideMark/>
          </w:tcPr>
          <w:p w14:paraId="07C2724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32,7</w:t>
            </w:r>
          </w:p>
        </w:tc>
        <w:tc>
          <w:tcPr>
            <w:tcW w:w="1146" w:type="dxa"/>
          </w:tcPr>
          <w:p w14:paraId="49A6679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0FE0808B"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w:t>
            </w:r>
          </w:p>
        </w:tc>
      </w:tr>
      <w:tr w:rsidR="00D470B6" w:rsidRPr="00A53AD7" w14:paraId="1B47964E" w14:textId="77777777" w:rsidTr="00C42DAF">
        <w:trPr>
          <w:trHeight w:val="477"/>
        </w:trPr>
        <w:tc>
          <w:tcPr>
            <w:tcW w:w="5093" w:type="dxa"/>
            <w:shd w:val="clear" w:color="auto" w:fill="auto"/>
            <w:vAlign w:val="center"/>
            <w:hideMark/>
          </w:tcPr>
          <w:p w14:paraId="2978E73D"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11. Доля благоустроенных общественных территорий от общего количества общественных территорий, нуждающихся в благоустройстве</w:t>
            </w:r>
          </w:p>
        </w:tc>
        <w:tc>
          <w:tcPr>
            <w:tcW w:w="709" w:type="dxa"/>
            <w:shd w:val="clear" w:color="auto" w:fill="auto"/>
            <w:vAlign w:val="center"/>
            <w:hideMark/>
          </w:tcPr>
          <w:p w14:paraId="1E4BD658"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5E6AB6DF"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44</w:t>
            </w:r>
          </w:p>
        </w:tc>
        <w:tc>
          <w:tcPr>
            <w:tcW w:w="1146" w:type="dxa"/>
            <w:shd w:val="clear" w:color="auto" w:fill="auto"/>
            <w:vAlign w:val="center"/>
            <w:hideMark/>
          </w:tcPr>
          <w:p w14:paraId="3EF67F19"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34,3</w:t>
            </w:r>
          </w:p>
        </w:tc>
        <w:tc>
          <w:tcPr>
            <w:tcW w:w="1146" w:type="dxa"/>
          </w:tcPr>
          <w:p w14:paraId="1176C61D"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149B0CD2"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-9,7</w:t>
            </w:r>
          </w:p>
        </w:tc>
      </w:tr>
      <w:tr w:rsidR="00D470B6" w:rsidRPr="00A53AD7" w14:paraId="72AC2859" w14:textId="77777777" w:rsidTr="00C42DAF">
        <w:trPr>
          <w:trHeight w:val="288"/>
        </w:trPr>
        <w:tc>
          <w:tcPr>
            <w:tcW w:w="5093" w:type="dxa"/>
            <w:shd w:val="clear" w:color="auto" w:fill="D9D9D9" w:themeFill="background1" w:themeFillShade="D9"/>
            <w:vAlign w:val="center"/>
            <w:hideMark/>
          </w:tcPr>
          <w:p w14:paraId="245DE2CA"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 Среднее значение индекса качества городской среды</w:t>
            </w:r>
          </w:p>
        </w:tc>
        <w:tc>
          <w:tcPr>
            <w:tcW w:w="709" w:type="dxa"/>
            <w:shd w:val="clear" w:color="auto" w:fill="D9D9D9" w:themeFill="background1" w:themeFillShade="D9"/>
            <w:vAlign w:val="center"/>
            <w:hideMark/>
          </w:tcPr>
          <w:p w14:paraId="40D2188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D9D9D9" w:themeFill="background1" w:themeFillShade="D9"/>
            <w:vAlign w:val="center"/>
            <w:hideMark/>
          </w:tcPr>
          <w:p w14:paraId="5704C9C4"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нет</w:t>
            </w:r>
          </w:p>
        </w:tc>
        <w:tc>
          <w:tcPr>
            <w:tcW w:w="1146" w:type="dxa"/>
            <w:shd w:val="clear" w:color="auto" w:fill="D9D9D9" w:themeFill="background1" w:themeFillShade="D9"/>
            <w:vAlign w:val="center"/>
            <w:hideMark/>
          </w:tcPr>
          <w:p w14:paraId="6DBD374C"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1146" w:type="dxa"/>
            <w:shd w:val="clear" w:color="auto" w:fill="D9D9D9" w:themeFill="background1" w:themeFillShade="D9"/>
          </w:tcPr>
          <w:p w14:paraId="0EFF4950"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r>
      <w:tr w:rsidR="00D470B6" w:rsidRPr="00A53AD7" w14:paraId="01D6D627" w14:textId="77777777" w:rsidTr="00C42DAF">
        <w:trPr>
          <w:trHeight w:val="288"/>
        </w:trPr>
        <w:tc>
          <w:tcPr>
            <w:tcW w:w="5093" w:type="dxa"/>
            <w:shd w:val="clear" w:color="auto" w:fill="D9D9D9" w:themeFill="background1" w:themeFillShade="D9"/>
            <w:vAlign w:val="center"/>
            <w:hideMark/>
          </w:tcPr>
          <w:p w14:paraId="5194D791"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 Количество городов с благоприятной городской средой</w:t>
            </w:r>
          </w:p>
        </w:tc>
        <w:tc>
          <w:tcPr>
            <w:tcW w:w="709" w:type="dxa"/>
            <w:shd w:val="clear" w:color="auto" w:fill="D9D9D9" w:themeFill="background1" w:themeFillShade="D9"/>
            <w:vAlign w:val="center"/>
            <w:hideMark/>
          </w:tcPr>
          <w:p w14:paraId="561EAB9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146" w:type="dxa"/>
            <w:shd w:val="clear" w:color="auto" w:fill="D9D9D9" w:themeFill="background1" w:themeFillShade="D9"/>
            <w:vAlign w:val="center"/>
            <w:hideMark/>
          </w:tcPr>
          <w:p w14:paraId="71AAB359"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нет</w:t>
            </w:r>
          </w:p>
        </w:tc>
        <w:tc>
          <w:tcPr>
            <w:tcW w:w="1146" w:type="dxa"/>
            <w:shd w:val="clear" w:color="auto" w:fill="D9D9D9" w:themeFill="background1" w:themeFillShade="D9"/>
            <w:vAlign w:val="center"/>
            <w:hideMark/>
          </w:tcPr>
          <w:p w14:paraId="3CAF4D33"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1146" w:type="dxa"/>
            <w:shd w:val="clear" w:color="auto" w:fill="D9D9D9" w:themeFill="background1" w:themeFillShade="D9"/>
          </w:tcPr>
          <w:p w14:paraId="2C317EB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r>
      <w:tr w:rsidR="00D470B6" w:rsidRPr="00A53AD7" w14:paraId="4378D050" w14:textId="77777777" w:rsidTr="00C42DAF">
        <w:trPr>
          <w:trHeight w:val="853"/>
        </w:trPr>
        <w:tc>
          <w:tcPr>
            <w:tcW w:w="5093" w:type="dxa"/>
            <w:shd w:val="clear" w:color="auto" w:fill="auto"/>
            <w:vAlign w:val="center"/>
            <w:hideMark/>
          </w:tcPr>
          <w:p w14:paraId="29E234F7"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14. Доля граждан, принявших участие в решении вопросов развития городской среды, от общего количества граждан в возрасте от 14 лет, проживающих в муниципальных образованиях, на территории которых реализуются проекты по созданию комфортной городской среды</w:t>
            </w:r>
          </w:p>
        </w:tc>
        <w:tc>
          <w:tcPr>
            <w:tcW w:w="709" w:type="dxa"/>
            <w:shd w:val="clear" w:color="auto" w:fill="auto"/>
            <w:vAlign w:val="center"/>
            <w:hideMark/>
          </w:tcPr>
          <w:p w14:paraId="6616B44F"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46" w:type="dxa"/>
            <w:shd w:val="clear" w:color="auto" w:fill="auto"/>
            <w:vAlign w:val="center"/>
            <w:hideMark/>
          </w:tcPr>
          <w:p w14:paraId="10101D9C"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w:t>
            </w:r>
          </w:p>
        </w:tc>
        <w:tc>
          <w:tcPr>
            <w:tcW w:w="1146" w:type="dxa"/>
            <w:shd w:val="clear" w:color="auto" w:fill="auto"/>
            <w:vAlign w:val="center"/>
            <w:hideMark/>
          </w:tcPr>
          <w:p w14:paraId="554C9428"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w:t>
            </w:r>
          </w:p>
        </w:tc>
        <w:tc>
          <w:tcPr>
            <w:tcW w:w="1146" w:type="dxa"/>
          </w:tcPr>
          <w:p w14:paraId="75DC9BF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2B595AD5"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1DFE6516"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r>
      <w:tr w:rsidR="00D470B6" w:rsidRPr="00A53AD7" w14:paraId="23E47DAA" w14:textId="77777777" w:rsidTr="00C42DAF">
        <w:trPr>
          <w:trHeight w:val="569"/>
        </w:trPr>
        <w:tc>
          <w:tcPr>
            <w:tcW w:w="5093" w:type="dxa"/>
            <w:shd w:val="clear" w:color="auto" w:fill="D9D9D9" w:themeFill="background1" w:themeFillShade="D9"/>
            <w:vAlign w:val="center"/>
            <w:hideMark/>
          </w:tcPr>
          <w:p w14:paraId="0CDC664E" w14:textId="77777777" w:rsidR="0002427A" w:rsidRPr="00A53AD7" w:rsidRDefault="0002427A" w:rsidP="005B369A">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 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(нарастающим итогом)</w:t>
            </w:r>
          </w:p>
        </w:tc>
        <w:tc>
          <w:tcPr>
            <w:tcW w:w="709" w:type="dxa"/>
            <w:shd w:val="clear" w:color="auto" w:fill="D9D9D9" w:themeFill="background1" w:themeFillShade="D9"/>
            <w:vAlign w:val="center"/>
            <w:hideMark/>
          </w:tcPr>
          <w:p w14:paraId="7E4D7E9F"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146" w:type="dxa"/>
            <w:shd w:val="clear" w:color="auto" w:fill="D9D9D9" w:themeFill="background1" w:themeFillShade="D9"/>
            <w:vAlign w:val="center"/>
            <w:hideMark/>
          </w:tcPr>
          <w:p w14:paraId="7DFF941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нет</w:t>
            </w:r>
          </w:p>
        </w:tc>
        <w:tc>
          <w:tcPr>
            <w:tcW w:w="1146" w:type="dxa"/>
            <w:shd w:val="clear" w:color="auto" w:fill="D9D9D9" w:themeFill="background1" w:themeFillShade="D9"/>
            <w:vAlign w:val="center"/>
            <w:hideMark/>
          </w:tcPr>
          <w:p w14:paraId="50E23490"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w:t>
            </w:r>
          </w:p>
        </w:tc>
        <w:tc>
          <w:tcPr>
            <w:tcW w:w="1146" w:type="dxa"/>
            <w:shd w:val="clear" w:color="auto" w:fill="D9D9D9" w:themeFill="background1" w:themeFillShade="D9"/>
          </w:tcPr>
          <w:p w14:paraId="11076749"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p>
          <w:p w14:paraId="64120F5E" w14:textId="77777777" w:rsidR="0002427A" w:rsidRPr="00A53AD7" w:rsidRDefault="0002427A" w:rsidP="005B369A">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w:t>
            </w:r>
          </w:p>
        </w:tc>
      </w:tr>
    </w:tbl>
    <w:p w14:paraId="0FB5A78C" w14:textId="77777777" w:rsidR="0002427A" w:rsidRPr="00A53AD7" w:rsidRDefault="0002427A" w:rsidP="00C42DAF">
      <w:pPr>
        <w:pStyle w:val="a8"/>
        <w:ind w:left="0" w:firstLine="851"/>
        <w:jc w:val="both"/>
        <w:rPr>
          <w:sz w:val="28"/>
          <w:szCs w:val="28"/>
        </w:rPr>
      </w:pPr>
    </w:p>
    <w:p w14:paraId="46E94F98" w14:textId="77777777" w:rsidR="0002427A" w:rsidRPr="00A53AD7" w:rsidRDefault="0002427A" w:rsidP="00C42DAF">
      <w:pPr>
        <w:pStyle w:val="a8"/>
        <w:ind w:left="0" w:firstLine="851"/>
        <w:jc w:val="both"/>
        <w:rPr>
          <w:sz w:val="28"/>
          <w:szCs w:val="28"/>
        </w:rPr>
      </w:pPr>
      <w:r w:rsidRPr="00A53AD7">
        <w:rPr>
          <w:sz w:val="28"/>
          <w:szCs w:val="28"/>
        </w:rPr>
        <w:t>В соответствии с распоряжением Правительства Российской Федерации от 26.04.2019 № 843-р в рамках проведения Всероссийского конкурса лучших проектов создания комфортной городской среды Архангельской области предусмотрены иные межбюджетные трансферты из федерального бюджета на финансовое обеспечение расходов по реализации проектов создания комфортной городской среды в малых городах и исторических поселениях в сумме 139,0 млн.руб.</w:t>
      </w:r>
    </w:p>
    <w:p w14:paraId="7F9F5AB9" w14:textId="366076CF" w:rsidR="0002427A" w:rsidRPr="00A53AD7" w:rsidRDefault="0002427A" w:rsidP="00C42DAF">
      <w:pPr>
        <w:pStyle w:val="a8"/>
        <w:ind w:left="0" w:firstLine="851"/>
        <w:jc w:val="both"/>
        <w:rPr>
          <w:sz w:val="28"/>
          <w:szCs w:val="28"/>
        </w:rPr>
      </w:pPr>
      <w:r w:rsidRPr="00A53AD7">
        <w:rPr>
          <w:sz w:val="28"/>
          <w:szCs w:val="28"/>
        </w:rPr>
        <w:t>В составе приложения №2 к ГП АО №330-пп постановлением Правительства АО от 23.07.2019 года №401-пп включены два мероприятия победителей Всероссийского конкурса лучших проектов создания комфортной городской среды:</w:t>
      </w:r>
      <w:r w:rsidR="005915D8" w:rsidRPr="00A53AD7">
        <w:rPr>
          <w:sz w:val="28"/>
          <w:szCs w:val="28"/>
        </w:rPr>
        <w:t xml:space="preserve"> </w:t>
      </w:r>
      <w:r w:rsidRPr="00A53AD7">
        <w:rPr>
          <w:sz w:val="28"/>
          <w:szCs w:val="28"/>
        </w:rPr>
        <w:t>«2.4. Реализация проекта «Сохраняя прошлое - создаем будущее» в г. Сольвычегодск и «2.5. Реализация проекта «Равновесие - программа активации городских связей» в г. Котлас, реализуемые также в рамках реализации ФП «Формирование комфортной городской среды» НП «Жилье и городская среда».</w:t>
      </w:r>
    </w:p>
    <w:p w14:paraId="1F68699D" w14:textId="77777777" w:rsidR="0002427A" w:rsidRPr="00A53AD7" w:rsidRDefault="0002427A" w:rsidP="00C42DAF">
      <w:pPr>
        <w:pStyle w:val="a8"/>
        <w:ind w:left="0" w:firstLine="851"/>
        <w:jc w:val="both"/>
        <w:rPr>
          <w:sz w:val="28"/>
          <w:szCs w:val="28"/>
        </w:rPr>
      </w:pPr>
      <w:r w:rsidRPr="00A53AD7">
        <w:rPr>
          <w:sz w:val="28"/>
          <w:szCs w:val="28"/>
        </w:rPr>
        <w:t>Для реализации программных мероприятий в 2019 году между Министерством строительства и жилищно-коммунального хозяйства Российской Федерации и Правительством Архангельской области заключены следующие соглашения:</w:t>
      </w:r>
    </w:p>
    <w:p w14:paraId="03A87000" w14:textId="77777777" w:rsidR="0002427A" w:rsidRPr="00A53AD7" w:rsidRDefault="0002427A" w:rsidP="00C42DAF">
      <w:pPr>
        <w:pStyle w:val="a8"/>
        <w:ind w:left="0" w:firstLine="851"/>
        <w:jc w:val="both"/>
        <w:rPr>
          <w:sz w:val="28"/>
          <w:szCs w:val="28"/>
        </w:rPr>
      </w:pPr>
      <w:r w:rsidRPr="00A53AD7">
        <w:rPr>
          <w:sz w:val="28"/>
          <w:szCs w:val="28"/>
        </w:rPr>
        <w:t>от 9 февраля 2019 года № 069-09-2019-114 о предоставлении субсидии из федерального бюджета бюджету Архангельской области на реализацию программ формирования современной городской среды;</w:t>
      </w:r>
    </w:p>
    <w:p w14:paraId="6FDD59CF" w14:textId="77777777" w:rsidR="0002427A" w:rsidRPr="00A53AD7" w:rsidRDefault="0002427A" w:rsidP="00C42DAF">
      <w:pPr>
        <w:pStyle w:val="a8"/>
        <w:ind w:left="0" w:firstLine="851"/>
        <w:jc w:val="both"/>
        <w:rPr>
          <w:sz w:val="28"/>
          <w:szCs w:val="28"/>
        </w:rPr>
      </w:pPr>
      <w:r w:rsidRPr="00A53AD7">
        <w:rPr>
          <w:sz w:val="28"/>
          <w:szCs w:val="28"/>
        </w:rPr>
        <w:t>от 18 июля 2019 года № 069-17-2019-117 о предоставлении иного межбюджетного трансферта из федерального бюджета бюджету Архангельской области на финансовое обеспечение расходов по реализации проектов создания комфортной городской среды в малых городах и исторических поселениях в рамках проведения Всероссийского конкурса лучших проектов создания комфортной городской среды.</w:t>
      </w:r>
    </w:p>
    <w:p w14:paraId="25A35DD8" w14:textId="525A1D64" w:rsidR="0002427A" w:rsidRPr="00A53AD7" w:rsidRDefault="0002427A" w:rsidP="00C42DAF">
      <w:pPr>
        <w:pStyle w:val="a8"/>
        <w:ind w:left="0" w:firstLine="851"/>
        <w:jc w:val="both"/>
        <w:rPr>
          <w:sz w:val="28"/>
          <w:szCs w:val="28"/>
          <w:highlight w:val="cyan"/>
        </w:rPr>
      </w:pPr>
      <w:r w:rsidRPr="00A53AD7">
        <w:rPr>
          <w:sz w:val="28"/>
          <w:szCs w:val="28"/>
        </w:rPr>
        <w:t>По состоянию на 29.04.2020 года в государственной информационной системе Архангельской области "Комплексная информационно-аналитическая система Архангельской области" (далее КИАС) размещены «Сведения о достижении целевых показателей» за 2019 год, информация в выполнении представлена</w:t>
      </w:r>
      <w:r w:rsidR="00C42DAF" w:rsidRPr="00A53AD7">
        <w:rPr>
          <w:sz w:val="28"/>
          <w:szCs w:val="28"/>
        </w:rPr>
        <w:t xml:space="preserve"> ниже:</w:t>
      </w:r>
    </w:p>
    <w:tbl>
      <w:tblPr>
        <w:tblW w:w="9371" w:type="dxa"/>
        <w:tblInd w:w="93" w:type="dxa"/>
        <w:tblLook w:val="04A0" w:firstRow="1" w:lastRow="0" w:firstColumn="1" w:lastColumn="0" w:noHBand="0" w:noVBand="1"/>
      </w:tblPr>
      <w:tblGrid>
        <w:gridCol w:w="4410"/>
        <w:gridCol w:w="1134"/>
        <w:gridCol w:w="1134"/>
        <w:gridCol w:w="1291"/>
        <w:gridCol w:w="1402"/>
      </w:tblGrid>
      <w:tr w:rsidR="00D470B6" w:rsidRPr="00A53AD7" w14:paraId="60D2E29A" w14:textId="77777777" w:rsidTr="00A57178">
        <w:trPr>
          <w:trHeight w:val="222"/>
          <w:tblHeader/>
        </w:trPr>
        <w:tc>
          <w:tcPr>
            <w:tcW w:w="441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753F2B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целевого показателя</w:t>
            </w:r>
          </w:p>
        </w:tc>
        <w:tc>
          <w:tcPr>
            <w:tcW w:w="113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A927E97"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 измерения</w:t>
            </w:r>
          </w:p>
        </w:tc>
        <w:tc>
          <w:tcPr>
            <w:tcW w:w="3827" w:type="dxa"/>
            <w:gridSpan w:val="3"/>
            <w:tcBorders>
              <w:top w:val="double" w:sz="4" w:space="0" w:color="auto"/>
              <w:left w:val="nil"/>
              <w:bottom w:val="single" w:sz="4" w:space="0" w:color="auto"/>
              <w:right w:val="double" w:sz="4" w:space="0" w:color="auto"/>
            </w:tcBorders>
            <w:shd w:val="clear" w:color="auto" w:fill="auto"/>
            <w:vAlign w:val="center"/>
            <w:hideMark/>
          </w:tcPr>
          <w:p w14:paraId="210F3E39"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Значение целевых показателей</w:t>
            </w:r>
          </w:p>
        </w:tc>
      </w:tr>
      <w:tr w:rsidR="00D470B6" w:rsidRPr="00A53AD7" w14:paraId="73221F8B" w14:textId="77777777" w:rsidTr="00A57178">
        <w:trPr>
          <w:trHeight w:val="855"/>
          <w:tblHeader/>
        </w:trPr>
        <w:tc>
          <w:tcPr>
            <w:tcW w:w="4410" w:type="dxa"/>
            <w:vMerge/>
            <w:tcBorders>
              <w:top w:val="single" w:sz="4" w:space="0" w:color="auto"/>
              <w:left w:val="double" w:sz="4" w:space="0" w:color="auto"/>
              <w:bottom w:val="single" w:sz="4" w:space="0" w:color="auto"/>
              <w:right w:val="single" w:sz="4" w:space="0" w:color="auto"/>
            </w:tcBorders>
            <w:vAlign w:val="center"/>
            <w:hideMark/>
          </w:tcPr>
          <w:p w14:paraId="154C1C3E"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E43863"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553FAD8"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плановое на отчетный год</w:t>
            </w:r>
          </w:p>
        </w:tc>
        <w:tc>
          <w:tcPr>
            <w:tcW w:w="1291" w:type="dxa"/>
            <w:vMerge w:val="restart"/>
            <w:tcBorders>
              <w:top w:val="nil"/>
              <w:left w:val="single" w:sz="4" w:space="0" w:color="auto"/>
              <w:bottom w:val="single" w:sz="4" w:space="0" w:color="auto"/>
              <w:right w:val="single" w:sz="4" w:space="0" w:color="auto"/>
            </w:tcBorders>
            <w:shd w:val="clear" w:color="auto" w:fill="auto"/>
            <w:vAlign w:val="center"/>
            <w:hideMark/>
          </w:tcPr>
          <w:p w14:paraId="01CAF1E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фактическое за отчетный год</w:t>
            </w:r>
          </w:p>
        </w:tc>
        <w:tc>
          <w:tcPr>
            <w:tcW w:w="1402" w:type="dxa"/>
            <w:vMerge w:val="restart"/>
            <w:tcBorders>
              <w:top w:val="nil"/>
              <w:left w:val="single" w:sz="4" w:space="0" w:color="auto"/>
              <w:bottom w:val="single" w:sz="4" w:space="0" w:color="auto"/>
              <w:right w:val="double" w:sz="4" w:space="0" w:color="auto"/>
            </w:tcBorders>
            <w:shd w:val="clear" w:color="auto" w:fill="auto"/>
            <w:vAlign w:val="center"/>
            <w:hideMark/>
          </w:tcPr>
          <w:p w14:paraId="61AE3488"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Степень достижения показателя, %</w:t>
            </w:r>
          </w:p>
        </w:tc>
      </w:tr>
      <w:tr w:rsidR="00D470B6" w:rsidRPr="00A53AD7" w14:paraId="5C28A9DD" w14:textId="77777777" w:rsidTr="00A57178">
        <w:trPr>
          <w:trHeight w:val="269"/>
        </w:trPr>
        <w:tc>
          <w:tcPr>
            <w:tcW w:w="4410" w:type="dxa"/>
            <w:vMerge/>
            <w:tcBorders>
              <w:top w:val="single" w:sz="4" w:space="0" w:color="auto"/>
              <w:left w:val="double" w:sz="4" w:space="0" w:color="auto"/>
              <w:bottom w:val="single" w:sz="4" w:space="0" w:color="auto"/>
              <w:right w:val="single" w:sz="4" w:space="0" w:color="auto"/>
            </w:tcBorders>
            <w:vAlign w:val="center"/>
            <w:hideMark/>
          </w:tcPr>
          <w:p w14:paraId="7F211C0A"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3DB846"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3ED32D05"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291" w:type="dxa"/>
            <w:vMerge/>
            <w:tcBorders>
              <w:top w:val="nil"/>
              <w:left w:val="single" w:sz="4" w:space="0" w:color="auto"/>
              <w:bottom w:val="single" w:sz="4" w:space="0" w:color="auto"/>
              <w:right w:val="single" w:sz="4" w:space="0" w:color="auto"/>
            </w:tcBorders>
            <w:vAlign w:val="center"/>
            <w:hideMark/>
          </w:tcPr>
          <w:p w14:paraId="4672FF9E" w14:textId="77777777" w:rsidR="0002427A" w:rsidRPr="00A53AD7" w:rsidRDefault="0002427A" w:rsidP="005B369A">
            <w:pPr>
              <w:spacing w:after="0" w:line="240" w:lineRule="auto"/>
              <w:rPr>
                <w:rFonts w:ascii="Times New Roman" w:eastAsia="Times New Roman" w:hAnsi="Times New Roman"/>
                <w:sz w:val="20"/>
                <w:szCs w:val="20"/>
                <w:lang w:eastAsia="ru-RU"/>
              </w:rPr>
            </w:pPr>
          </w:p>
        </w:tc>
        <w:tc>
          <w:tcPr>
            <w:tcW w:w="1402" w:type="dxa"/>
            <w:vMerge/>
            <w:tcBorders>
              <w:top w:val="nil"/>
              <w:left w:val="single" w:sz="4" w:space="0" w:color="auto"/>
              <w:bottom w:val="single" w:sz="4" w:space="0" w:color="auto"/>
              <w:right w:val="double" w:sz="4" w:space="0" w:color="auto"/>
            </w:tcBorders>
            <w:vAlign w:val="center"/>
            <w:hideMark/>
          </w:tcPr>
          <w:p w14:paraId="44C53254" w14:textId="77777777" w:rsidR="0002427A" w:rsidRPr="00A53AD7" w:rsidRDefault="0002427A" w:rsidP="005B369A">
            <w:pPr>
              <w:spacing w:after="0" w:line="240" w:lineRule="auto"/>
              <w:rPr>
                <w:rFonts w:ascii="Times New Roman" w:eastAsia="Times New Roman" w:hAnsi="Times New Roman"/>
                <w:sz w:val="20"/>
                <w:szCs w:val="20"/>
                <w:lang w:eastAsia="ru-RU"/>
              </w:rPr>
            </w:pPr>
          </w:p>
        </w:tc>
      </w:tr>
      <w:tr w:rsidR="00D470B6" w:rsidRPr="00A53AD7" w14:paraId="6442821B" w14:textId="77777777" w:rsidTr="00A57178">
        <w:trPr>
          <w:trHeight w:val="264"/>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1F096BF6"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Количество благоустроенных дворовых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477F8CB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1134" w:type="dxa"/>
            <w:tcBorders>
              <w:top w:val="nil"/>
              <w:left w:val="nil"/>
              <w:bottom w:val="single" w:sz="4" w:space="0" w:color="auto"/>
              <w:right w:val="single" w:sz="4" w:space="0" w:color="auto"/>
            </w:tcBorders>
            <w:shd w:val="clear" w:color="auto" w:fill="auto"/>
            <w:vAlign w:val="center"/>
            <w:hideMark/>
          </w:tcPr>
          <w:p w14:paraId="0345315B"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102,0</w:t>
            </w:r>
          </w:p>
        </w:tc>
        <w:tc>
          <w:tcPr>
            <w:tcW w:w="1291" w:type="dxa"/>
            <w:tcBorders>
              <w:top w:val="nil"/>
              <w:left w:val="nil"/>
              <w:bottom w:val="single" w:sz="4" w:space="0" w:color="auto"/>
              <w:right w:val="single" w:sz="4" w:space="0" w:color="auto"/>
            </w:tcBorders>
            <w:shd w:val="clear" w:color="auto" w:fill="auto"/>
            <w:vAlign w:val="center"/>
            <w:hideMark/>
          </w:tcPr>
          <w:p w14:paraId="10831560"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151,0</w:t>
            </w:r>
          </w:p>
        </w:tc>
        <w:tc>
          <w:tcPr>
            <w:tcW w:w="1402" w:type="dxa"/>
            <w:tcBorders>
              <w:top w:val="nil"/>
              <w:left w:val="nil"/>
              <w:bottom w:val="single" w:sz="4" w:space="0" w:color="auto"/>
              <w:right w:val="double" w:sz="4" w:space="0" w:color="auto"/>
            </w:tcBorders>
            <w:shd w:val="clear" w:color="auto" w:fill="auto"/>
            <w:vAlign w:val="center"/>
            <w:hideMark/>
          </w:tcPr>
          <w:p w14:paraId="0FD7C8E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148,0</w:t>
            </w:r>
          </w:p>
        </w:tc>
      </w:tr>
      <w:tr w:rsidR="00D470B6" w:rsidRPr="00A53AD7" w14:paraId="056D7D38"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6686373F"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Доля благоустроенных дворовых территорий от общего количества дворовых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46026C3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65FF3FC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2,40</w:t>
            </w:r>
          </w:p>
        </w:tc>
        <w:tc>
          <w:tcPr>
            <w:tcW w:w="1291" w:type="dxa"/>
            <w:tcBorders>
              <w:top w:val="nil"/>
              <w:left w:val="nil"/>
              <w:bottom w:val="single" w:sz="4" w:space="0" w:color="auto"/>
              <w:right w:val="single" w:sz="4" w:space="0" w:color="auto"/>
            </w:tcBorders>
            <w:shd w:val="clear" w:color="auto" w:fill="auto"/>
            <w:vAlign w:val="center"/>
            <w:hideMark/>
          </w:tcPr>
          <w:p w14:paraId="0C3E39B8"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w:t>
            </w:r>
          </w:p>
        </w:tc>
        <w:tc>
          <w:tcPr>
            <w:tcW w:w="1402" w:type="dxa"/>
            <w:tcBorders>
              <w:top w:val="nil"/>
              <w:left w:val="nil"/>
              <w:bottom w:val="single" w:sz="4" w:space="0" w:color="auto"/>
              <w:right w:val="double" w:sz="4" w:space="0" w:color="auto"/>
            </w:tcBorders>
            <w:shd w:val="clear" w:color="auto" w:fill="auto"/>
            <w:vAlign w:val="center"/>
            <w:hideMark/>
          </w:tcPr>
          <w:p w14:paraId="4A38F07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116,7</w:t>
            </w:r>
          </w:p>
        </w:tc>
      </w:tr>
      <w:tr w:rsidR="00D470B6" w:rsidRPr="00A53AD7" w14:paraId="29D6FB11"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5469701C"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Доля населения, проживающего в жилом фонде с благоустроенными дворовыми территориями, от общей численности населения Архангельской области</w:t>
            </w:r>
          </w:p>
        </w:tc>
        <w:tc>
          <w:tcPr>
            <w:tcW w:w="1134" w:type="dxa"/>
            <w:tcBorders>
              <w:top w:val="nil"/>
              <w:left w:val="nil"/>
              <w:bottom w:val="single" w:sz="4" w:space="0" w:color="auto"/>
              <w:right w:val="single" w:sz="4" w:space="0" w:color="auto"/>
            </w:tcBorders>
            <w:shd w:val="clear" w:color="auto" w:fill="auto"/>
            <w:vAlign w:val="center"/>
            <w:hideMark/>
          </w:tcPr>
          <w:p w14:paraId="6BFEC6C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281D7E2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w:t>
            </w:r>
          </w:p>
        </w:tc>
        <w:tc>
          <w:tcPr>
            <w:tcW w:w="1291" w:type="dxa"/>
            <w:tcBorders>
              <w:top w:val="nil"/>
              <w:left w:val="nil"/>
              <w:bottom w:val="single" w:sz="4" w:space="0" w:color="auto"/>
              <w:right w:val="single" w:sz="4" w:space="0" w:color="auto"/>
            </w:tcBorders>
            <w:shd w:val="clear" w:color="auto" w:fill="auto"/>
            <w:vAlign w:val="center"/>
            <w:hideMark/>
          </w:tcPr>
          <w:p w14:paraId="0E7CF2A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w:t>
            </w:r>
          </w:p>
        </w:tc>
        <w:tc>
          <w:tcPr>
            <w:tcW w:w="1402" w:type="dxa"/>
            <w:tcBorders>
              <w:top w:val="nil"/>
              <w:left w:val="nil"/>
              <w:bottom w:val="single" w:sz="4" w:space="0" w:color="auto"/>
              <w:right w:val="double" w:sz="4" w:space="0" w:color="auto"/>
            </w:tcBorders>
            <w:shd w:val="clear" w:color="auto" w:fill="auto"/>
            <w:vAlign w:val="center"/>
            <w:hideMark/>
          </w:tcPr>
          <w:p w14:paraId="6A751C99"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120,0</w:t>
            </w:r>
          </w:p>
        </w:tc>
      </w:tr>
      <w:tr w:rsidR="00D470B6" w:rsidRPr="00A53AD7" w14:paraId="78F91D8B" w14:textId="77777777" w:rsidTr="00A57178">
        <w:trPr>
          <w:trHeight w:val="792"/>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376A7AB7"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 Доля финансового участия заинтересованных лиц в выполнении работ по благоустройству дворовых территорий от стоимости мероприятий по благоустройству дворовых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0AF29986"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17F85165"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w:t>
            </w:r>
          </w:p>
        </w:tc>
        <w:tc>
          <w:tcPr>
            <w:tcW w:w="1291" w:type="dxa"/>
            <w:tcBorders>
              <w:top w:val="nil"/>
              <w:left w:val="nil"/>
              <w:bottom w:val="single" w:sz="4" w:space="0" w:color="auto"/>
              <w:right w:val="single" w:sz="4" w:space="0" w:color="auto"/>
            </w:tcBorders>
            <w:shd w:val="clear" w:color="auto" w:fill="auto"/>
            <w:vAlign w:val="center"/>
            <w:hideMark/>
          </w:tcPr>
          <w:p w14:paraId="2C574D82"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w:t>
            </w:r>
          </w:p>
        </w:tc>
        <w:tc>
          <w:tcPr>
            <w:tcW w:w="1402" w:type="dxa"/>
            <w:tcBorders>
              <w:top w:val="nil"/>
              <w:left w:val="nil"/>
              <w:bottom w:val="single" w:sz="4" w:space="0" w:color="auto"/>
              <w:right w:val="double" w:sz="4" w:space="0" w:color="auto"/>
            </w:tcBorders>
            <w:shd w:val="clear" w:color="auto" w:fill="auto"/>
            <w:vAlign w:val="center"/>
            <w:hideMark/>
          </w:tcPr>
          <w:p w14:paraId="2C45487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2FE0D94F"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07EF5F6D"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 Доля проектов благоустройства дворовых территорий, реализованных с трудовым участием граждан, заинтересованных лиц</w:t>
            </w:r>
          </w:p>
        </w:tc>
        <w:tc>
          <w:tcPr>
            <w:tcW w:w="1134" w:type="dxa"/>
            <w:tcBorders>
              <w:top w:val="nil"/>
              <w:left w:val="nil"/>
              <w:bottom w:val="single" w:sz="4" w:space="0" w:color="auto"/>
              <w:right w:val="single" w:sz="4" w:space="0" w:color="auto"/>
            </w:tcBorders>
            <w:shd w:val="clear" w:color="auto" w:fill="auto"/>
            <w:vAlign w:val="center"/>
            <w:hideMark/>
          </w:tcPr>
          <w:p w14:paraId="052C8AE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18D888A5"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15,0</w:t>
            </w:r>
          </w:p>
        </w:tc>
        <w:tc>
          <w:tcPr>
            <w:tcW w:w="1291" w:type="dxa"/>
            <w:tcBorders>
              <w:top w:val="nil"/>
              <w:left w:val="nil"/>
              <w:bottom w:val="single" w:sz="4" w:space="0" w:color="auto"/>
              <w:right w:val="single" w:sz="4" w:space="0" w:color="auto"/>
            </w:tcBorders>
            <w:shd w:val="clear" w:color="auto" w:fill="auto"/>
            <w:vAlign w:val="center"/>
            <w:hideMark/>
          </w:tcPr>
          <w:p w14:paraId="45FEF08B"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21,0</w:t>
            </w:r>
          </w:p>
        </w:tc>
        <w:tc>
          <w:tcPr>
            <w:tcW w:w="1402" w:type="dxa"/>
            <w:tcBorders>
              <w:top w:val="nil"/>
              <w:left w:val="nil"/>
              <w:bottom w:val="single" w:sz="4" w:space="0" w:color="auto"/>
              <w:right w:val="double" w:sz="4" w:space="0" w:color="auto"/>
            </w:tcBorders>
            <w:shd w:val="clear" w:color="auto" w:fill="auto"/>
            <w:vAlign w:val="center"/>
            <w:hideMark/>
          </w:tcPr>
          <w:p w14:paraId="605ECCBA"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140,0</w:t>
            </w:r>
          </w:p>
        </w:tc>
      </w:tr>
      <w:tr w:rsidR="00D470B6" w:rsidRPr="00A53AD7" w14:paraId="11F13789"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5FFD6817"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 Объем трудового участия заинтересованных лиц по благоустройству дворовых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178F23A2"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чел./час</w:t>
            </w:r>
          </w:p>
        </w:tc>
        <w:tc>
          <w:tcPr>
            <w:tcW w:w="1134" w:type="dxa"/>
            <w:tcBorders>
              <w:top w:val="nil"/>
              <w:left w:val="nil"/>
              <w:bottom w:val="single" w:sz="4" w:space="0" w:color="auto"/>
              <w:right w:val="single" w:sz="4" w:space="0" w:color="auto"/>
            </w:tcBorders>
            <w:shd w:val="clear" w:color="auto" w:fill="auto"/>
            <w:vAlign w:val="center"/>
            <w:hideMark/>
          </w:tcPr>
          <w:p w14:paraId="6956B93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31,00</w:t>
            </w:r>
          </w:p>
        </w:tc>
        <w:tc>
          <w:tcPr>
            <w:tcW w:w="1291" w:type="dxa"/>
            <w:tcBorders>
              <w:top w:val="nil"/>
              <w:left w:val="nil"/>
              <w:bottom w:val="single" w:sz="4" w:space="0" w:color="auto"/>
              <w:right w:val="single" w:sz="4" w:space="0" w:color="auto"/>
            </w:tcBorders>
            <w:shd w:val="clear" w:color="auto" w:fill="auto"/>
            <w:vAlign w:val="center"/>
            <w:hideMark/>
          </w:tcPr>
          <w:p w14:paraId="3F0B879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2230,0</w:t>
            </w:r>
          </w:p>
        </w:tc>
        <w:tc>
          <w:tcPr>
            <w:tcW w:w="1402" w:type="dxa"/>
            <w:tcBorders>
              <w:top w:val="nil"/>
              <w:left w:val="nil"/>
              <w:bottom w:val="single" w:sz="4" w:space="0" w:color="auto"/>
              <w:right w:val="double" w:sz="4" w:space="0" w:color="auto"/>
            </w:tcBorders>
            <w:shd w:val="clear" w:color="auto" w:fill="auto"/>
            <w:vAlign w:val="center"/>
            <w:hideMark/>
          </w:tcPr>
          <w:p w14:paraId="385E3A59"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7193,5</w:t>
            </w:r>
          </w:p>
        </w:tc>
      </w:tr>
      <w:tr w:rsidR="00D470B6" w:rsidRPr="00A53AD7" w14:paraId="20D1B88E" w14:textId="77777777" w:rsidTr="00A57178">
        <w:trPr>
          <w:trHeight w:val="264"/>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6DEC3605"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 Количество благоустроенных общественных территорий (без городских парков)</w:t>
            </w:r>
          </w:p>
        </w:tc>
        <w:tc>
          <w:tcPr>
            <w:tcW w:w="1134" w:type="dxa"/>
            <w:tcBorders>
              <w:top w:val="nil"/>
              <w:left w:val="nil"/>
              <w:bottom w:val="single" w:sz="4" w:space="0" w:color="auto"/>
              <w:right w:val="single" w:sz="4" w:space="0" w:color="auto"/>
            </w:tcBorders>
            <w:shd w:val="clear" w:color="auto" w:fill="auto"/>
            <w:vAlign w:val="center"/>
            <w:hideMark/>
          </w:tcPr>
          <w:p w14:paraId="19E140F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1134" w:type="dxa"/>
            <w:tcBorders>
              <w:top w:val="nil"/>
              <w:left w:val="nil"/>
              <w:bottom w:val="single" w:sz="4" w:space="0" w:color="auto"/>
              <w:right w:val="single" w:sz="4" w:space="0" w:color="auto"/>
            </w:tcBorders>
            <w:shd w:val="clear" w:color="auto" w:fill="auto"/>
            <w:vAlign w:val="center"/>
            <w:hideMark/>
          </w:tcPr>
          <w:p w14:paraId="718569B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96,00</w:t>
            </w:r>
          </w:p>
        </w:tc>
        <w:tc>
          <w:tcPr>
            <w:tcW w:w="1291" w:type="dxa"/>
            <w:tcBorders>
              <w:top w:val="nil"/>
              <w:left w:val="nil"/>
              <w:bottom w:val="single" w:sz="4" w:space="0" w:color="auto"/>
              <w:right w:val="single" w:sz="4" w:space="0" w:color="auto"/>
            </w:tcBorders>
            <w:shd w:val="clear" w:color="auto" w:fill="auto"/>
            <w:vAlign w:val="center"/>
            <w:hideMark/>
          </w:tcPr>
          <w:p w14:paraId="26367218"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123,0</w:t>
            </w:r>
          </w:p>
        </w:tc>
        <w:tc>
          <w:tcPr>
            <w:tcW w:w="1402" w:type="dxa"/>
            <w:tcBorders>
              <w:top w:val="nil"/>
              <w:left w:val="nil"/>
              <w:bottom w:val="single" w:sz="4" w:space="0" w:color="auto"/>
              <w:right w:val="double" w:sz="4" w:space="0" w:color="auto"/>
            </w:tcBorders>
            <w:shd w:val="clear" w:color="auto" w:fill="auto"/>
            <w:vAlign w:val="center"/>
            <w:hideMark/>
          </w:tcPr>
          <w:p w14:paraId="11C3D51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128,1</w:t>
            </w:r>
          </w:p>
        </w:tc>
      </w:tr>
      <w:tr w:rsidR="00D470B6" w:rsidRPr="00A53AD7" w14:paraId="1C71D9D4" w14:textId="77777777" w:rsidTr="00A57178">
        <w:trPr>
          <w:trHeight w:val="264"/>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28A1EF16"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 Площадь благоустроенных общественных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675DEE1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гектаров</w:t>
            </w:r>
          </w:p>
        </w:tc>
        <w:tc>
          <w:tcPr>
            <w:tcW w:w="1134" w:type="dxa"/>
            <w:tcBorders>
              <w:top w:val="nil"/>
              <w:left w:val="nil"/>
              <w:bottom w:val="single" w:sz="4" w:space="0" w:color="auto"/>
              <w:right w:val="single" w:sz="4" w:space="0" w:color="auto"/>
            </w:tcBorders>
            <w:shd w:val="clear" w:color="auto" w:fill="auto"/>
            <w:vAlign w:val="center"/>
            <w:hideMark/>
          </w:tcPr>
          <w:p w14:paraId="1984C78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108,00</w:t>
            </w:r>
          </w:p>
        </w:tc>
        <w:tc>
          <w:tcPr>
            <w:tcW w:w="1291" w:type="dxa"/>
            <w:tcBorders>
              <w:top w:val="nil"/>
              <w:left w:val="nil"/>
              <w:bottom w:val="single" w:sz="4" w:space="0" w:color="auto"/>
              <w:right w:val="single" w:sz="4" w:space="0" w:color="auto"/>
            </w:tcBorders>
            <w:shd w:val="clear" w:color="auto" w:fill="auto"/>
            <w:vAlign w:val="center"/>
            <w:hideMark/>
          </w:tcPr>
          <w:p w14:paraId="15E806C0"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129,3</w:t>
            </w:r>
          </w:p>
        </w:tc>
        <w:tc>
          <w:tcPr>
            <w:tcW w:w="1402" w:type="dxa"/>
            <w:tcBorders>
              <w:top w:val="nil"/>
              <w:left w:val="nil"/>
              <w:bottom w:val="single" w:sz="4" w:space="0" w:color="auto"/>
              <w:right w:val="double" w:sz="4" w:space="0" w:color="auto"/>
            </w:tcBorders>
            <w:shd w:val="clear" w:color="auto" w:fill="auto"/>
            <w:vAlign w:val="center"/>
            <w:hideMark/>
          </w:tcPr>
          <w:p w14:paraId="0157B2C5"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119,7</w:t>
            </w:r>
          </w:p>
        </w:tc>
      </w:tr>
      <w:tr w:rsidR="00D470B6" w:rsidRPr="00A53AD7" w14:paraId="48F7AC3B"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56BE5E93"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 Доля благоустроенных общественных территорий от общего количества общественных территорий</w:t>
            </w:r>
          </w:p>
        </w:tc>
        <w:tc>
          <w:tcPr>
            <w:tcW w:w="1134" w:type="dxa"/>
            <w:tcBorders>
              <w:top w:val="nil"/>
              <w:left w:val="nil"/>
              <w:bottom w:val="single" w:sz="4" w:space="0" w:color="auto"/>
              <w:right w:val="single" w:sz="4" w:space="0" w:color="auto"/>
            </w:tcBorders>
            <w:shd w:val="clear" w:color="auto" w:fill="auto"/>
            <w:vAlign w:val="center"/>
            <w:hideMark/>
          </w:tcPr>
          <w:p w14:paraId="603F1A75"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6FE6F5F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32,70</w:t>
            </w:r>
          </w:p>
        </w:tc>
        <w:tc>
          <w:tcPr>
            <w:tcW w:w="1291" w:type="dxa"/>
            <w:tcBorders>
              <w:top w:val="nil"/>
              <w:left w:val="nil"/>
              <w:bottom w:val="single" w:sz="4" w:space="0" w:color="auto"/>
              <w:right w:val="single" w:sz="4" w:space="0" w:color="auto"/>
            </w:tcBorders>
            <w:shd w:val="clear" w:color="auto" w:fill="auto"/>
            <w:vAlign w:val="center"/>
            <w:hideMark/>
          </w:tcPr>
          <w:p w14:paraId="0A77AB9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33,6</w:t>
            </w:r>
          </w:p>
        </w:tc>
        <w:tc>
          <w:tcPr>
            <w:tcW w:w="1402" w:type="dxa"/>
            <w:tcBorders>
              <w:top w:val="nil"/>
              <w:left w:val="nil"/>
              <w:bottom w:val="single" w:sz="4" w:space="0" w:color="auto"/>
              <w:right w:val="double" w:sz="4" w:space="0" w:color="auto"/>
            </w:tcBorders>
            <w:shd w:val="clear" w:color="auto" w:fill="auto"/>
            <w:vAlign w:val="center"/>
            <w:hideMark/>
          </w:tcPr>
          <w:p w14:paraId="2BFDF6F4"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102,8</w:t>
            </w:r>
          </w:p>
        </w:tc>
      </w:tr>
      <w:tr w:rsidR="00D470B6" w:rsidRPr="00A53AD7" w14:paraId="094751D9" w14:textId="77777777" w:rsidTr="00A57178">
        <w:trPr>
          <w:trHeight w:val="528"/>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6097391C"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 Доля благоустроенных общественных территорий от общего количества общественных территорий, нуждающихся в благоустройстве</w:t>
            </w:r>
          </w:p>
        </w:tc>
        <w:tc>
          <w:tcPr>
            <w:tcW w:w="1134" w:type="dxa"/>
            <w:tcBorders>
              <w:top w:val="nil"/>
              <w:left w:val="nil"/>
              <w:bottom w:val="single" w:sz="4" w:space="0" w:color="auto"/>
              <w:right w:val="single" w:sz="4" w:space="0" w:color="auto"/>
            </w:tcBorders>
            <w:shd w:val="clear" w:color="auto" w:fill="auto"/>
            <w:vAlign w:val="center"/>
            <w:hideMark/>
          </w:tcPr>
          <w:p w14:paraId="2476D3A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7DA3218E"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34,30</w:t>
            </w:r>
          </w:p>
        </w:tc>
        <w:tc>
          <w:tcPr>
            <w:tcW w:w="1291" w:type="dxa"/>
            <w:tcBorders>
              <w:top w:val="nil"/>
              <w:left w:val="nil"/>
              <w:bottom w:val="single" w:sz="4" w:space="0" w:color="auto"/>
              <w:right w:val="single" w:sz="4" w:space="0" w:color="auto"/>
            </w:tcBorders>
            <w:shd w:val="clear" w:color="auto" w:fill="auto"/>
            <w:vAlign w:val="center"/>
            <w:hideMark/>
          </w:tcPr>
          <w:p w14:paraId="764B4E00"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35,30</w:t>
            </w:r>
          </w:p>
        </w:tc>
        <w:tc>
          <w:tcPr>
            <w:tcW w:w="1402" w:type="dxa"/>
            <w:tcBorders>
              <w:top w:val="nil"/>
              <w:left w:val="nil"/>
              <w:bottom w:val="single" w:sz="4" w:space="0" w:color="auto"/>
              <w:right w:val="double" w:sz="4" w:space="0" w:color="auto"/>
            </w:tcBorders>
            <w:shd w:val="clear" w:color="auto" w:fill="auto"/>
            <w:vAlign w:val="center"/>
            <w:hideMark/>
          </w:tcPr>
          <w:p w14:paraId="41FC5B4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102,9</w:t>
            </w:r>
          </w:p>
        </w:tc>
      </w:tr>
      <w:tr w:rsidR="00D470B6" w:rsidRPr="00A53AD7" w14:paraId="7B7BFA98" w14:textId="77777777" w:rsidTr="00A57178">
        <w:trPr>
          <w:trHeight w:val="264"/>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101BA024"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 Среднее значение индекса качества городской среды</w:t>
            </w:r>
          </w:p>
        </w:tc>
        <w:tc>
          <w:tcPr>
            <w:tcW w:w="1134" w:type="dxa"/>
            <w:tcBorders>
              <w:top w:val="nil"/>
              <w:left w:val="nil"/>
              <w:bottom w:val="single" w:sz="4" w:space="0" w:color="auto"/>
              <w:right w:val="single" w:sz="4" w:space="0" w:color="auto"/>
            </w:tcBorders>
            <w:shd w:val="clear" w:color="auto" w:fill="auto"/>
            <w:vAlign w:val="center"/>
            <w:hideMark/>
          </w:tcPr>
          <w:p w14:paraId="0EDB424C"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0C8B2073"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2,00</w:t>
            </w:r>
          </w:p>
        </w:tc>
        <w:tc>
          <w:tcPr>
            <w:tcW w:w="1291" w:type="dxa"/>
            <w:tcBorders>
              <w:top w:val="nil"/>
              <w:left w:val="nil"/>
              <w:bottom w:val="single" w:sz="4" w:space="0" w:color="auto"/>
              <w:right w:val="single" w:sz="4" w:space="0" w:color="auto"/>
            </w:tcBorders>
            <w:shd w:val="clear" w:color="auto" w:fill="auto"/>
            <w:vAlign w:val="center"/>
            <w:hideMark/>
          </w:tcPr>
          <w:p w14:paraId="50689027"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1402" w:type="dxa"/>
            <w:tcBorders>
              <w:top w:val="nil"/>
              <w:left w:val="nil"/>
              <w:bottom w:val="single" w:sz="4" w:space="0" w:color="auto"/>
              <w:right w:val="double" w:sz="4" w:space="0" w:color="auto"/>
            </w:tcBorders>
            <w:shd w:val="clear" w:color="auto" w:fill="auto"/>
            <w:vAlign w:val="center"/>
            <w:hideMark/>
          </w:tcPr>
          <w:p w14:paraId="566F00BB"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099F79E1" w14:textId="77777777" w:rsidTr="00A57178">
        <w:trPr>
          <w:trHeight w:val="264"/>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5E49924D"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 Количество городов с благоприятной городской средой</w:t>
            </w:r>
          </w:p>
        </w:tc>
        <w:tc>
          <w:tcPr>
            <w:tcW w:w="1134" w:type="dxa"/>
            <w:tcBorders>
              <w:top w:val="nil"/>
              <w:left w:val="nil"/>
              <w:bottom w:val="single" w:sz="4" w:space="0" w:color="auto"/>
              <w:right w:val="single" w:sz="4" w:space="0" w:color="auto"/>
            </w:tcBorders>
            <w:shd w:val="clear" w:color="auto" w:fill="auto"/>
            <w:vAlign w:val="center"/>
            <w:hideMark/>
          </w:tcPr>
          <w:p w14:paraId="477E823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1134" w:type="dxa"/>
            <w:tcBorders>
              <w:top w:val="nil"/>
              <w:left w:val="nil"/>
              <w:bottom w:val="single" w:sz="4" w:space="0" w:color="auto"/>
              <w:right w:val="single" w:sz="4" w:space="0" w:color="auto"/>
            </w:tcBorders>
            <w:shd w:val="clear" w:color="auto" w:fill="auto"/>
            <w:vAlign w:val="center"/>
            <w:hideMark/>
          </w:tcPr>
          <w:p w14:paraId="5B55730E"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2,00</w:t>
            </w:r>
          </w:p>
        </w:tc>
        <w:tc>
          <w:tcPr>
            <w:tcW w:w="1291" w:type="dxa"/>
            <w:tcBorders>
              <w:top w:val="nil"/>
              <w:left w:val="nil"/>
              <w:bottom w:val="single" w:sz="4" w:space="0" w:color="auto"/>
              <w:right w:val="single" w:sz="4" w:space="0" w:color="auto"/>
            </w:tcBorders>
            <w:shd w:val="clear" w:color="auto" w:fill="auto"/>
            <w:vAlign w:val="center"/>
            <w:hideMark/>
          </w:tcPr>
          <w:p w14:paraId="782BD772"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1402" w:type="dxa"/>
            <w:tcBorders>
              <w:top w:val="nil"/>
              <w:left w:val="nil"/>
              <w:bottom w:val="single" w:sz="4" w:space="0" w:color="auto"/>
              <w:right w:val="double" w:sz="4" w:space="0" w:color="auto"/>
            </w:tcBorders>
            <w:shd w:val="clear" w:color="auto" w:fill="auto"/>
            <w:vAlign w:val="center"/>
            <w:hideMark/>
          </w:tcPr>
          <w:p w14:paraId="44F517D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3BC956D2" w14:textId="77777777" w:rsidTr="00A57178">
        <w:trPr>
          <w:trHeight w:val="1056"/>
        </w:trPr>
        <w:tc>
          <w:tcPr>
            <w:tcW w:w="4410" w:type="dxa"/>
            <w:tcBorders>
              <w:top w:val="nil"/>
              <w:left w:val="double" w:sz="4" w:space="0" w:color="auto"/>
              <w:bottom w:val="single" w:sz="4" w:space="0" w:color="auto"/>
              <w:right w:val="single" w:sz="4" w:space="0" w:color="auto"/>
            </w:tcBorders>
            <w:shd w:val="clear" w:color="auto" w:fill="auto"/>
            <w:vAlign w:val="center"/>
            <w:hideMark/>
          </w:tcPr>
          <w:p w14:paraId="4613751E"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 Доля граждан, принявших участие в решении вопросов развития городской среды, от общего количества граждан в возрасте от 14 лет, проживающих в муниципальных образованиях, на территории которых реализуются проекты по созданию комфортной городской среды</w:t>
            </w:r>
          </w:p>
        </w:tc>
        <w:tc>
          <w:tcPr>
            <w:tcW w:w="1134" w:type="dxa"/>
            <w:tcBorders>
              <w:top w:val="nil"/>
              <w:left w:val="nil"/>
              <w:bottom w:val="single" w:sz="4" w:space="0" w:color="auto"/>
              <w:right w:val="single" w:sz="4" w:space="0" w:color="auto"/>
            </w:tcBorders>
            <w:shd w:val="clear" w:color="auto" w:fill="auto"/>
            <w:vAlign w:val="center"/>
            <w:hideMark/>
          </w:tcPr>
          <w:p w14:paraId="7380EB9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процентов</w:t>
            </w:r>
          </w:p>
        </w:tc>
        <w:tc>
          <w:tcPr>
            <w:tcW w:w="1134" w:type="dxa"/>
            <w:tcBorders>
              <w:top w:val="nil"/>
              <w:left w:val="nil"/>
              <w:bottom w:val="single" w:sz="4" w:space="0" w:color="auto"/>
              <w:right w:val="single" w:sz="4" w:space="0" w:color="auto"/>
            </w:tcBorders>
            <w:shd w:val="clear" w:color="auto" w:fill="auto"/>
            <w:vAlign w:val="center"/>
            <w:hideMark/>
          </w:tcPr>
          <w:p w14:paraId="33DA1A8E"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9,00</w:t>
            </w:r>
          </w:p>
        </w:tc>
        <w:tc>
          <w:tcPr>
            <w:tcW w:w="1291" w:type="dxa"/>
            <w:tcBorders>
              <w:top w:val="nil"/>
              <w:left w:val="nil"/>
              <w:bottom w:val="single" w:sz="4" w:space="0" w:color="auto"/>
              <w:right w:val="single" w:sz="4" w:space="0" w:color="auto"/>
            </w:tcBorders>
            <w:shd w:val="clear" w:color="auto" w:fill="auto"/>
            <w:vAlign w:val="center"/>
            <w:hideMark/>
          </w:tcPr>
          <w:p w14:paraId="51397D3F"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w:t>
            </w:r>
          </w:p>
        </w:tc>
        <w:tc>
          <w:tcPr>
            <w:tcW w:w="1402" w:type="dxa"/>
            <w:tcBorders>
              <w:top w:val="nil"/>
              <w:left w:val="nil"/>
              <w:bottom w:val="single" w:sz="4" w:space="0" w:color="auto"/>
              <w:right w:val="double" w:sz="4" w:space="0" w:color="auto"/>
            </w:tcBorders>
            <w:shd w:val="clear" w:color="auto" w:fill="auto"/>
            <w:vAlign w:val="center"/>
            <w:hideMark/>
          </w:tcPr>
          <w:p w14:paraId="2586B48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02427A" w:rsidRPr="00A53AD7" w14:paraId="601FD6CF" w14:textId="77777777" w:rsidTr="00A57178">
        <w:trPr>
          <w:trHeight w:val="408"/>
        </w:trPr>
        <w:tc>
          <w:tcPr>
            <w:tcW w:w="4410" w:type="dxa"/>
            <w:tcBorders>
              <w:top w:val="nil"/>
              <w:left w:val="double" w:sz="4" w:space="0" w:color="auto"/>
              <w:bottom w:val="double" w:sz="4" w:space="0" w:color="auto"/>
              <w:right w:val="single" w:sz="4" w:space="0" w:color="auto"/>
            </w:tcBorders>
            <w:shd w:val="clear" w:color="auto" w:fill="auto"/>
            <w:vAlign w:val="center"/>
            <w:hideMark/>
          </w:tcPr>
          <w:p w14:paraId="361488B6" w14:textId="77777777" w:rsidR="0002427A" w:rsidRPr="00A53AD7" w:rsidRDefault="0002427A" w:rsidP="005B369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 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(нарастающим итогом)</w:t>
            </w:r>
          </w:p>
        </w:tc>
        <w:tc>
          <w:tcPr>
            <w:tcW w:w="1134" w:type="dxa"/>
            <w:tcBorders>
              <w:top w:val="nil"/>
              <w:left w:val="nil"/>
              <w:bottom w:val="double" w:sz="4" w:space="0" w:color="auto"/>
              <w:right w:val="single" w:sz="4" w:space="0" w:color="auto"/>
            </w:tcBorders>
            <w:shd w:val="clear" w:color="auto" w:fill="auto"/>
            <w:vAlign w:val="center"/>
            <w:hideMark/>
          </w:tcPr>
          <w:p w14:paraId="4CCD8077"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1134" w:type="dxa"/>
            <w:tcBorders>
              <w:top w:val="nil"/>
              <w:left w:val="nil"/>
              <w:bottom w:val="double" w:sz="4" w:space="0" w:color="auto"/>
              <w:right w:val="single" w:sz="4" w:space="0" w:color="auto"/>
            </w:tcBorders>
            <w:shd w:val="clear" w:color="auto" w:fill="auto"/>
            <w:vAlign w:val="center"/>
            <w:hideMark/>
          </w:tcPr>
          <w:p w14:paraId="02C6209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1291" w:type="dxa"/>
            <w:tcBorders>
              <w:top w:val="nil"/>
              <w:left w:val="nil"/>
              <w:bottom w:val="double" w:sz="4" w:space="0" w:color="auto"/>
              <w:right w:val="single" w:sz="4" w:space="0" w:color="auto"/>
            </w:tcBorders>
            <w:shd w:val="clear" w:color="auto" w:fill="auto"/>
            <w:vAlign w:val="center"/>
            <w:hideMark/>
          </w:tcPr>
          <w:p w14:paraId="05DDD02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1402" w:type="dxa"/>
            <w:tcBorders>
              <w:top w:val="nil"/>
              <w:left w:val="nil"/>
              <w:bottom w:val="double" w:sz="4" w:space="0" w:color="auto"/>
              <w:right w:val="double" w:sz="4" w:space="0" w:color="auto"/>
            </w:tcBorders>
            <w:shd w:val="clear" w:color="auto" w:fill="auto"/>
            <w:vAlign w:val="center"/>
            <w:hideMark/>
          </w:tcPr>
          <w:p w14:paraId="2987F71D"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bl>
    <w:p w14:paraId="4080B880" w14:textId="77777777" w:rsidR="0002427A" w:rsidRPr="00A53AD7" w:rsidRDefault="0002427A" w:rsidP="00A57178">
      <w:pPr>
        <w:pStyle w:val="a8"/>
        <w:ind w:left="0" w:firstLine="851"/>
        <w:jc w:val="both"/>
        <w:rPr>
          <w:sz w:val="28"/>
          <w:szCs w:val="28"/>
        </w:rPr>
      </w:pPr>
    </w:p>
    <w:p w14:paraId="2532DADF" w14:textId="6FB6FADB" w:rsidR="0002427A" w:rsidRPr="00A53AD7" w:rsidRDefault="0002427A" w:rsidP="00A57178">
      <w:pPr>
        <w:pStyle w:val="a8"/>
        <w:ind w:left="0" w:firstLine="851"/>
        <w:jc w:val="both"/>
        <w:rPr>
          <w:sz w:val="28"/>
          <w:szCs w:val="28"/>
        </w:rPr>
      </w:pPr>
      <w:r w:rsidRPr="00A53AD7">
        <w:rPr>
          <w:sz w:val="28"/>
          <w:szCs w:val="28"/>
        </w:rPr>
        <w:t>Информация об изменении объемов финансирования ГП АО №330-пп в течение года в разрезе источников финансирования и кассовое исполнение за 2019 год</w:t>
      </w:r>
      <w:r w:rsidR="00A57178" w:rsidRPr="00A53AD7">
        <w:rPr>
          <w:sz w:val="28"/>
          <w:szCs w:val="28"/>
        </w:rPr>
        <w:t xml:space="preserve"> представлена ниже:</w:t>
      </w:r>
    </w:p>
    <w:tbl>
      <w:tblPr>
        <w:tblW w:w="9478"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000"/>
        <w:gridCol w:w="1984"/>
        <w:gridCol w:w="1843"/>
        <w:gridCol w:w="1276"/>
        <w:gridCol w:w="1134"/>
        <w:gridCol w:w="1241"/>
      </w:tblGrid>
      <w:tr w:rsidR="00D470B6" w:rsidRPr="00A53AD7" w14:paraId="435B25CA" w14:textId="77777777" w:rsidTr="00A57178">
        <w:trPr>
          <w:trHeight w:val="1055"/>
        </w:trPr>
        <w:tc>
          <w:tcPr>
            <w:tcW w:w="2000" w:type="dxa"/>
            <w:shd w:val="clear" w:color="auto" w:fill="auto"/>
            <w:vAlign w:val="center"/>
            <w:hideMark/>
          </w:tcPr>
          <w:p w14:paraId="3C3BBA2A"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Источники финансирования</w:t>
            </w:r>
          </w:p>
        </w:tc>
        <w:tc>
          <w:tcPr>
            <w:tcW w:w="1984" w:type="dxa"/>
            <w:shd w:val="clear" w:color="auto" w:fill="auto"/>
            <w:vAlign w:val="center"/>
            <w:hideMark/>
          </w:tcPr>
          <w:p w14:paraId="5A61B67F"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начало года (в редакции от 27.11.2018), млн.руб.</w:t>
            </w:r>
          </w:p>
        </w:tc>
        <w:tc>
          <w:tcPr>
            <w:tcW w:w="1843" w:type="dxa"/>
            <w:shd w:val="clear" w:color="auto" w:fill="auto"/>
            <w:vAlign w:val="center"/>
            <w:hideMark/>
          </w:tcPr>
          <w:p w14:paraId="71A30CC9"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конец года (в редакции от 17.12.2019), млн.руб.</w:t>
            </w:r>
          </w:p>
        </w:tc>
        <w:tc>
          <w:tcPr>
            <w:tcW w:w="1276" w:type="dxa"/>
            <w:shd w:val="clear" w:color="auto" w:fill="auto"/>
            <w:vAlign w:val="center"/>
            <w:hideMark/>
          </w:tcPr>
          <w:p w14:paraId="172E7561"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Отклонение, млн. руб.</w:t>
            </w:r>
          </w:p>
        </w:tc>
        <w:tc>
          <w:tcPr>
            <w:tcW w:w="1134" w:type="dxa"/>
            <w:shd w:val="clear" w:color="auto" w:fill="auto"/>
            <w:vAlign w:val="center"/>
            <w:hideMark/>
          </w:tcPr>
          <w:p w14:paraId="6C59D58A"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Кассовые расходы, млн. руб.</w:t>
            </w:r>
          </w:p>
        </w:tc>
        <w:tc>
          <w:tcPr>
            <w:tcW w:w="1241" w:type="dxa"/>
            <w:shd w:val="clear" w:color="auto" w:fill="auto"/>
            <w:vAlign w:val="center"/>
            <w:hideMark/>
          </w:tcPr>
          <w:p w14:paraId="4D61FE07" w14:textId="77777777" w:rsidR="0002427A" w:rsidRPr="00A53AD7" w:rsidRDefault="0002427A" w:rsidP="005B369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D470B6" w:rsidRPr="00A53AD7" w14:paraId="0702E7FA" w14:textId="77777777" w:rsidTr="00A57178">
        <w:trPr>
          <w:trHeight w:val="312"/>
        </w:trPr>
        <w:tc>
          <w:tcPr>
            <w:tcW w:w="2000" w:type="dxa"/>
            <w:shd w:val="clear" w:color="auto" w:fill="auto"/>
            <w:vAlign w:val="center"/>
            <w:hideMark/>
          </w:tcPr>
          <w:p w14:paraId="1AC588A8" w14:textId="77777777" w:rsidR="0002427A" w:rsidRPr="00A53AD7" w:rsidRDefault="0002427A" w:rsidP="005B369A">
            <w:pPr>
              <w:spacing w:after="0" w:line="240" w:lineRule="auto"/>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всего</w:t>
            </w:r>
          </w:p>
        </w:tc>
        <w:tc>
          <w:tcPr>
            <w:tcW w:w="1984" w:type="dxa"/>
            <w:shd w:val="clear" w:color="auto" w:fill="auto"/>
            <w:vAlign w:val="center"/>
            <w:hideMark/>
          </w:tcPr>
          <w:p w14:paraId="27185971" w14:textId="6D9195B8" w:rsidR="0002427A" w:rsidRPr="00A53AD7" w:rsidRDefault="0002427A" w:rsidP="005B369A">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462,12</w:t>
            </w:r>
            <w:r w:rsidR="005915D8" w:rsidRPr="00A53AD7">
              <w:rPr>
                <w:rFonts w:ascii="Times New Roman" w:eastAsia="Times New Roman" w:hAnsi="Times New Roman"/>
                <w:b/>
                <w:bCs/>
                <w:sz w:val="24"/>
                <w:szCs w:val="24"/>
                <w:lang w:eastAsia="ru-RU"/>
              </w:rPr>
              <w:t xml:space="preserve"> </w:t>
            </w:r>
          </w:p>
        </w:tc>
        <w:tc>
          <w:tcPr>
            <w:tcW w:w="1843" w:type="dxa"/>
            <w:shd w:val="clear" w:color="auto" w:fill="auto"/>
            <w:vAlign w:val="center"/>
            <w:hideMark/>
          </w:tcPr>
          <w:p w14:paraId="6C2C17AB" w14:textId="77777777" w:rsidR="0002427A" w:rsidRPr="00A53AD7" w:rsidRDefault="0002427A" w:rsidP="005B369A">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 xml:space="preserve">538,6 </w:t>
            </w:r>
          </w:p>
        </w:tc>
        <w:tc>
          <w:tcPr>
            <w:tcW w:w="1276" w:type="dxa"/>
            <w:shd w:val="clear" w:color="auto" w:fill="auto"/>
            <w:vAlign w:val="center"/>
            <w:hideMark/>
          </w:tcPr>
          <w:p w14:paraId="7294F03B" w14:textId="2A8E51E3" w:rsidR="0002427A" w:rsidRPr="00A53AD7" w:rsidRDefault="0002427A" w:rsidP="005B369A">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76,4</w:t>
            </w:r>
            <w:r w:rsidR="005915D8" w:rsidRPr="00A53AD7">
              <w:rPr>
                <w:rFonts w:ascii="Times New Roman" w:eastAsia="Times New Roman" w:hAnsi="Times New Roman"/>
                <w:b/>
                <w:bCs/>
                <w:sz w:val="24"/>
                <w:szCs w:val="24"/>
                <w:lang w:eastAsia="ru-RU"/>
              </w:rPr>
              <w:t xml:space="preserve"> </w:t>
            </w:r>
          </w:p>
        </w:tc>
        <w:tc>
          <w:tcPr>
            <w:tcW w:w="1134" w:type="dxa"/>
            <w:shd w:val="clear" w:color="auto" w:fill="auto"/>
            <w:vAlign w:val="center"/>
            <w:hideMark/>
          </w:tcPr>
          <w:p w14:paraId="56D1040A" w14:textId="77777777" w:rsidR="0002427A" w:rsidRPr="00A53AD7" w:rsidRDefault="0002427A" w:rsidP="005B369A">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 xml:space="preserve">413,2 </w:t>
            </w:r>
          </w:p>
        </w:tc>
        <w:tc>
          <w:tcPr>
            <w:tcW w:w="1241" w:type="dxa"/>
            <w:shd w:val="clear" w:color="auto" w:fill="auto"/>
            <w:vAlign w:val="center"/>
            <w:hideMark/>
          </w:tcPr>
          <w:p w14:paraId="2B94D02C" w14:textId="77777777" w:rsidR="0002427A" w:rsidRPr="00A53AD7" w:rsidRDefault="0002427A" w:rsidP="005B369A">
            <w:pPr>
              <w:spacing w:after="0" w:line="240" w:lineRule="auto"/>
              <w:jc w:val="center"/>
              <w:rPr>
                <w:rFonts w:ascii="Times New Roman" w:eastAsia="Times New Roman" w:hAnsi="Times New Roman"/>
                <w:b/>
                <w:bCs/>
                <w:sz w:val="24"/>
                <w:szCs w:val="24"/>
                <w:lang w:eastAsia="ru-RU"/>
              </w:rPr>
            </w:pPr>
            <w:r w:rsidRPr="00A53AD7">
              <w:rPr>
                <w:rFonts w:ascii="Times New Roman" w:eastAsia="Times New Roman" w:hAnsi="Times New Roman"/>
                <w:b/>
                <w:bCs/>
                <w:sz w:val="24"/>
                <w:szCs w:val="24"/>
                <w:lang w:eastAsia="ru-RU"/>
              </w:rPr>
              <w:t>76,7</w:t>
            </w:r>
          </w:p>
        </w:tc>
      </w:tr>
      <w:tr w:rsidR="00D470B6" w:rsidRPr="00A53AD7" w14:paraId="6A6BB672" w14:textId="77777777" w:rsidTr="00A57178">
        <w:trPr>
          <w:trHeight w:val="612"/>
        </w:trPr>
        <w:tc>
          <w:tcPr>
            <w:tcW w:w="2000" w:type="dxa"/>
            <w:shd w:val="clear" w:color="auto" w:fill="auto"/>
            <w:vAlign w:val="center"/>
            <w:hideMark/>
          </w:tcPr>
          <w:p w14:paraId="158A19F2" w14:textId="77777777" w:rsidR="0002427A" w:rsidRPr="00A53AD7" w:rsidRDefault="0002427A" w:rsidP="005B369A">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федеральный бюджет</w:t>
            </w:r>
          </w:p>
        </w:tc>
        <w:tc>
          <w:tcPr>
            <w:tcW w:w="1984" w:type="dxa"/>
            <w:shd w:val="clear" w:color="auto" w:fill="auto"/>
            <w:vAlign w:val="center"/>
            <w:hideMark/>
          </w:tcPr>
          <w:p w14:paraId="6E120E43" w14:textId="567350FD"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378,60</w:t>
            </w:r>
            <w:r w:rsidR="005915D8" w:rsidRPr="00A53AD7">
              <w:rPr>
                <w:rFonts w:ascii="Times New Roman" w:eastAsia="Times New Roman" w:hAnsi="Times New Roman"/>
                <w:sz w:val="24"/>
                <w:szCs w:val="24"/>
                <w:lang w:eastAsia="ru-RU"/>
              </w:rPr>
              <w:t xml:space="preserve"> </w:t>
            </w:r>
          </w:p>
        </w:tc>
        <w:tc>
          <w:tcPr>
            <w:tcW w:w="1843" w:type="dxa"/>
            <w:shd w:val="clear" w:color="auto" w:fill="auto"/>
            <w:vAlign w:val="center"/>
            <w:hideMark/>
          </w:tcPr>
          <w:p w14:paraId="45BA06C4" w14:textId="7777777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 xml:space="preserve">501,8 </w:t>
            </w:r>
          </w:p>
        </w:tc>
        <w:tc>
          <w:tcPr>
            <w:tcW w:w="1276" w:type="dxa"/>
            <w:shd w:val="clear" w:color="auto" w:fill="auto"/>
            <w:vAlign w:val="center"/>
            <w:hideMark/>
          </w:tcPr>
          <w:p w14:paraId="0CA272BC" w14:textId="373D68E6"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123,2</w:t>
            </w:r>
            <w:r w:rsidR="005915D8"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4F184E7E" w14:textId="4C87FDED"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372,0</w:t>
            </w:r>
            <w:r w:rsidR="005915D8" w:rsidRPr="00A53AD7">
              <w:rPr>
                <w:rFonts w:ascii="Times New Roman" w:eastAsia="Times New Roman" w:hAnsi="Times New Roman"/>
                <w:sz w:val="24"/>
                <w:szCs w:val="24"/>
                <w:lang w:eastAsia="ru-RU"/>
              </w:rPr>
              <w:t xml:space="preserve"> </w:t>
            </w:r>
          </w:p>
        </w:tc>
        <w:tc>
          <w:tcPr>
            <w:tcW w:w="1241" w:type="dxa"/>
            <w:shd w:val="clear" w:color="auto" w:fill="auto"/>
            <w:vAlign w:val="center"/>
            <w:hideMark/>
          </w:tcPr>
          <w:p w14:paraId="72881A74" w14:textId="7777777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74,1</w:t>
            </w:r>
          </w:p>
        </w:tc>
      </w:tr>
      <w:tr w:rsidR="00D470B6" w:rsidRPr="00A53AD7" w14:paraId="21E13C4F" w14:textId="77777777" w:rsidTr="00A57178">
        <w:trPr>
          <w:trHeight w:val="624"/>
        </w:trPr>
        <w:tc>
          <w:tcPr>
            <w:tcW w:w="2000" w:type="dxa"/>
            <w:shd w:val="clear" w:color="auto" w:fill="auto"/>
            <w:vAlign w:val="center"/>
            <w:hideMark/>
          </w:tcPr>
          <w:p w14:paraId="4143193E" w14:textId="77777777" w:rsidR="0002427A" w:rsidRPr="00A53AD7" w:rsidRDefault="0002427A" w:rsidP="005B369A">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областной бюджет</w:t>
            </w:r>
          </w:p>
        </w:tc>
        <w:tc>
          <w:tcPr>
            <w:tcW w:w="1984" w:type="dxa"/>
            <w:shd w:val="clear" w:color="auto" w:fill="auto"/>
            <w:vAlign w:val="center"/>
            <w:hideMark/>
          </w:tcPr>
          <w:p w14:paraId="462C3398" w14:textId="6983D255"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36,30</w:t>
            </w:r>
            <w:r w:rsidR="005915D8" w:rsidRPr="00A53AD7">
              <w:rPr>
                <w:rFonts w:ascii="Times New Roman" w:eastAsia="Times New Roman" w:hAnsi="Times New Roman"/>
                <w:sz w:val="24"/>
                <w:szCs w:val="24"/>
                <w:lang w:eastAsia="ru-RU"/>
              </w:rPr>
              <w:t xml:space="preserve"> </w:t>
            </w:r>
          </w:p>
        </w:tc>
        <w:tc>
          <w:tcPr>
            <w:tcW w:w="1843" w:type="dxa"/>
            <w:shd w:val="clear" w:color="auto" w:fill="auto"/>
            <w:vAlign w:val="center"/>
            <w:hideMark/>
          </w:tcPr>
          <w:p w14:paraId="28C4206B" w14:textId="19921563"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14,20</w:t>
            </w:r>
            <w:r w:rsidR="005915D8" w:rsidRPr="00A53AD7">
              <w:rPr>
                <w:rFonts w:ascii="Times New Roman" w:eastAsia="Times New Roman" w:hAnsi="Times New Roman"/>
                <w:sz w:val="24"/>
                <w:szCs w:val="24"/>
                <w:lang w:eastAsia="ru-RU"/>
              </w:rPr>
              <w:t xml:space="preserve"> </w:t>
            </w:r>
          </w:p>
        </w:tc>
        <w:tc>
          <w:tcPr>
            <w:tcW w:w="1276" w:type="dxa"/>
            <w:shd w:val="clear" w:color="auto" w:fill="auto"/>
            <w:vAlign w:val="center"/>
            <w:hideMark/>
          </w:tcPr>
          <w:p w14:paraId="071C6651" w14:textId="2512126C"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-22,20</w:t>
            </w:r>
            <w:r w:rsidR="005915D8"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678DE2CD" w14:textId="2040319F"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9,60</w:t>
            </w:r>
            <w:r w:rsidR="005915D8" w:rsidRPr="00A53AD7">
              <w:rPr>
                <w:rFonts w:ascii="Times New Roman" w:eastAsia="Times New Roman" w:hAnsi="Times New Roman"/>
                <w:sz w:val="24"/>
                <w:szCs w:val="24"/>
                <w:lang w:eastAsia="ru-RU"/>
              </w:rPr>
              <w:t xml:space="preserve"> </w:t>
            </w:r>
          </w:p>
        </w:tc>
        <w:tc>
          <w:tcPr>
            <w:tcW w:w="1241" w:type="dxa"/>
            <w:shd w:val="clear" w:color="auto" w:fill="auto"/>
            <w:vAlign w:val="center"/>
            <w:hideMark/>
          </w:tcPr>
          <w:p w14:paraId="4942C736" w14:textId="7777777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67,8</w:t>
            </w:r>
          </w:p>
        </w:tc>
      </w:tr>
      <w:tr w:rsidR="00D470B6" w:rsidRPr="00A53AD7" w14:paraId="0472E429" w14:textId="77777777" w:rsidTr="00A57178">
        <w:trPr>
          <w:trHeight w:val="624"/>
        </w:trPr>
        <w:tc>
          <w:tcPr>
            <w:tcW w:w="2000" w:type="dxa"/>
            <w:shd w:val="clear" w:color="auto" w:fill="auto"/>
            <w:vAlign w:val="center"/>
            <w:hideMark/>
          </w:tcPr>
          <w:p w14:paraId="58D3666F" w14:textId="77777777" w:rsidR="0002427A" w:rsidRPr="00A53AD7" w:rsidRDefault="0002427A" w:rsidP="005B369A">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местные бюджеты</w:t>
            </w:r>
          </w:p>
        </w:tc>
        <w:tc>
          <w:tcPr>
            <w:tcW w:w="1984" w:type="dxa"/>
            <w:shd w:val="clear" w:color="auto" w:fill="auto"/>
            <w:vAlign w:val="center"/>
            <w:hideMark/>
          </w:tcPr>
          <w:p w14:paraId="410D91F5" w14:textId="2B3FFF95"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29,70</w:t>
            </w:r>
            <w:r w:rsidR="005915D8" w:rsidRPr="00A53AD7">
              <w:rPr>
                <w:rFonts w:ascii="Times New Roman" w:eastAsia="Times New Roman" w:hAnsi="Times New Roman"/>
                <w:sz w:val="24"/>
                <w:szCs w:val="24"/>
                <w:lang w:eastAsia="ru-RU"/>
              </w:rPr>
              <w:t xml:space="preserve"> </w:t>
            </w:r>
          </w:p>
        </w:tc>
        <w:tc>
          <w:tcPr>
            <w:tcW w:w="1843" w:type="dxa"/>
            <w:shd w:val="clear" w:color="auto" w:fill="auto"/>
            <w:vAlign w:val="center"/>
            <w:hideMark/>
          </w:tcPr>
          <w:p w14:paraId="40A5317B" w14:textId="207521F5"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16,60</w:t>
            </w:r>
            <w:r w:rsidR="005915D8" w:rsidRPr="00A53AD7">
              <w:rPr>
                <w:rFonts w:ascii="Times New Roman" w:eastAsia="Times New Roman" w:hAnsi="Times New Roman"/>
                <w:sz w:val="24"/>
                <w:szCs w:val="24"/>
                <w:lang w:eastAsia="ru-RU"/>
              </w:rPr>
              <w:t xml:space="preserve"> </w:t>
            </w:r>
          </w:p>
        </w:tc>
        <w:tc>
          <w:tcPr>
            <w:tcW w:w="1276" w:type="dxa"/>
            <w:shd w:val="clear" w:color="auto" w:fill="auto"/>
            <w:vAlign w:val="center"/>
            <w:hideMark/>
          </w:tcPr>
          <w:p w14:paraId="1C680E7B" w14:textId="661FCB7C"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-13,10</w:t>
            </w:r>
            <w:r w:rsidR="005915D8"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5F005382" w14:textId="3D5008CD"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22,90</w:t>
            </w:r>
            <w:r w:rsidR="005915D8" w:rsidRPr="00A53AD7">
              <w:rPr>
                <w:rFonts w:ascii="Times New Roman" w:eastAsia="Times New Roman" w:hAnsi="Times New Roman"/>
                <w:sz w:val="24"/>
                <w:szCs w:val="24"/>
                <w:lang w:eastAsia="ru-RU"/>
              </w:rPr>
              <w:t xml:space="preserve"> </w:t>
            </w:r>
          </w:p>
        </w:tc>
        <w:tc>
          <w:tcPr>
            <w:tcW w:w="1241" w:type="dxa"/>
            <w:shd w:val="clear" w:color="auto" w:fill="auto"/>
            <w:vAlign w:val="center"/>
            <w:hideMark/>
          </w:tcPr>
          <w:p w14:paraId="2A907F5D" w14:textId="7777777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138,2</w:t>
            </w:r>
          </w:p>
        </w:tc>
      </w:tr>
      <w:tr w:rsidR="0002427A" w:rsidRPr="00A53AD7" w14:paraId="7C7A8216" w14:textId="77777777" w:rsidTr="00A57178">
        <w:trPr>
          <w:trHeight w:val="624"/>
        </w:trPr>
        <w:tc>
          <w:tcPr>
            <w:tcW w:w="2000" w:type="dxa"/>
            <w:shd w:val="clear" w:color="auto" w:fill="auto"/>
            <w:vAlign w:val="center"/>
            <w:hideMark/>
          </w:tcPr>
          <w:p w14:paraId="46A7B669" w14:textId="77777777" w:rsidR="0002427A" w:rsidRPr="00A53AD7" w:rsidRDefault="0002427A" w:rsidP="005B369A">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внебюджетные средства</w:t>
            </w:r>
          </w:p>
        </w:tc>
        <w:tc>
          <w:tcPr>
            <w:tcW w:w="1984" w:type="dxa"/>
            <w:shd w:val="clear" w:color="auto" w:fill="auto"/>
            <w:vAlign w:val="center"/>
            <w:hideMark/>
          </w:tcPr>
          <w:p w14:paraId="2B0DB8DB" w14:textId="21C4B2D8"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17,50</w:t>
            </w:r>
            <w:r w:rsidR="005915D8" w:rsidRPr="00A53AD7">
              <w:rPr>
                <w:rFonts w:ascii="Times New Roman" w:eastAsia="Times New Roman" w:hAnsi="Times New Roman"/>
                <w:sz w:val="24"/>
                <w:szCs w:val="24"/>
                <w:lang w:eastAsia="ru-RU"/>
              </w:rPr>
              <w:t xml:space="preserve"> </w:t>
            </w:r>
          </w:p>
        </w:tc>
        <w:tc>
          <w:tcPr>
            <w:tcW w:w="1843" w:type="dxa"/>
            <w:shd w:val="clear" w:color="auto" w:fill="auto"/>
            <w:vAlign w:val="center"/>
            <w:hideMark/>
          </w:tcPr>
          <w:p w14:paraId="487973D0" w14:textId="341842C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6,00</w:t>
            </w:r>
            <w:r w:rsidR="005915D8" w:rsidRPr="00A53AD7">
              <w:rPr>
                <w:rFonts w:ascii="Times New Roman" w:eastAsia="Times New Roman" w:hAnsi="Times New Roman"/>
                <w:sz w:val="24"/>
                <w:szCs w:val="24"/>
                <w:lang w:eastAsia="ru-RU"/>
              </w:rPr>
              <w:t xml:space="preserve"> </w:t>
            </w:r>
          </w:p>
        </w:tc>
        <w:tc>
          <w:tcPr>
            <w:tcW w:w="1276" w:type="dxa"/>
            <w:shd w:val="clear" w:color="auto" w:fill="auto"/>
            <w:vAlign w:val="center"/>
            <w:hideMark/>
          </w:tcPr>
          <w:p w14:paraId="765CCCA0" w14:textId="59E95A2A"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-11,50</w:t>
            </w:r>
            <w:r w:rsidR="005915D8"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6122FCB3" w14:textId="502C54BC"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8,70</w:t>
            </w:r>
            <w:r w:rsidR="005915D8" w:rsidRPr="00A53AD7">
              <w:rPr>
                <w:rFonts w:ascii="Times New Roman" w:eastAsia="Times New Roman" w:hAnsi="Times New Roman"/>
                <w:sz w:val="24"/>
                <w:szCs w:val="24"/>
                <w:lang w:eastAsia="ru-RU"/>
              </w:rPr>
              <w:t xml:space="preserve"> </w:t>
            </w:r>
          </w:p>
        </w:tc>
        <w:tc>
          <w:tcPr>
            <w:tcW w:w="1241" w:type="dxa"/>
            <w:shd w:val="clear" w:color="auto" w:fill="auto"/>
            <w:vAlign w:val="center"/>
            <w:hideMark/>
          </w:tcPr>
          <w:p w14:paraId="1645527F" w14:textId="77777777" w:rsidR="0002427A" w:rsidRPr="00A53AD7" w:rsidRDefault="0002427A" w:rsidP="005B369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144</w:t>
            </w:r>
          </w:p>
        </w:tc>
      </w:tr>
    </w:tbl>
    <w:p w14:paraId="59C28770" w14:textId="77777777" w:rsidR="00A57178" w:rsidRPr="00A53AD7" w:rsidRDefault="00A57178" w:rsidP="008D7089">
      <w:pPr>
        <w:pStyle w:val="a8"/>
        <w:ind w:left="0" w:firstLine="851"/>
        <w:jc w:val="both"/>
        <w:rPr>
          <w:sz w:val="28"/>
          <w:szCs w:val="28"/>
        </w:rPr>
      </w:pPr>
    </w:p>
    <w:p w14:paraId="02DD8FCA" w14:textId="77777777" w:rsidR="0002427A" w:rsidRPr="00A53AD7" w:rsidRDefault="0002427A" w:rsidP="008D7089">
      <w:pPr>
        <w:pStyle w:val="a8"/>
        <w:ind w:left="0" w:firstLine="851"/>
        <w:jc w:val="both"/>
        <w:rPr>
          <w:sz w:val="28"/>
          <w:szCs w:val="28"/>
        </w:rPr>
      </w:pPr>
      <w:r w:rsidRPr="00A53AD7">
        <w:rPr>
          <w:sz w:val="28"/>
          <w:szCs w:val="28"/>
        </w:rPr>
        <w:t>Увеличение объемов финансирования за счет средств федерального бюджета на 139,0 млн.руб. произошло в связи с реализацией новых мероприятий №2.4. и №2.5, включенных в состав ГП АО №330-пп постановлением Правительства АО от 23.07.2019 года №401-пп. Также в целях обеспечения необходимого уровня софинансирования из областного бюджета на мероприятия по газификации в сельской местности в рамках ОАИП по ГП «Устойчивое развитие сельских территорий Архангельской области (2014 – 2021 годы)» в марте 2019 года в Законе о бюджете на 2019 произошло уменьшение ассигнований за счет средств областного бюджета на мероприятия ГП АО №330-пп.</w:t>
      </w:r>
    </w:p>
    <w:p w14:paraId="08E1ED5C" w14:textId="77777777" w:rsidR="0002427A" w:rsidRPr="00A53AD7" w:rsidRDefault="0002427A" w:rsidP="008D7089">
      <w:pPr>
        <w:pStyle w:val="a8"/>
        <w:ind w:left="0" w:firstLine="851"/>
        <w:jc w:val="both"/>
        <w:rPr>
          <w:sz w:val="28"/>
          <w:szCs w:val="28"/>
        </w:rPr>
      </w:pPr>
    </w:p>
    <w:p w14:paraId="5E5BA602" w14:textId="67EBBB2E" w:rsidR="0002427A" w:rsidRPr="00A53AD7" w:rsidRDefault="0002427A" w:rsidP="008D7089">
      <w:pPr>
        <w:pStyle w:val="a8"/>
        <w:ind w:left="0" w:firstLine="851"/>
        <w:jc w:val="both"/>
        <w:rPr>
          <w:sz w:val="28"/>
          <w:szCs w:val="28"/>
        </w:rPr>
      </w:pPr>
      <w:r w:rsidRPr="00A53AD7">
        <w:rPr>
          <w:sz w:val="28"/>
          <w:szCs w:val="28"/>
        </w:rPr>
        <w:t>По данным отчета о реализации мероприятий ГП АО №330-пп за 2019 год, размещенному в системе КИАС, расходы за счет всех источников составили в размере 413,2 млн. руб. или 76,7% к плану на год и 104,3% к аналогичному периоду прошлого года.</w:t>
      </w:r>
      <w:r w:rsidR="005915D8" w:rsidRPr="00A53AD7">
        <w:rPr>
          <w:sz w:val="28"/>
          <w:szCs w:val="28"/>
        </w:rPr>
        <w:t xml:space="preserve"> </w:t>
      </w:r>
    </w:p>
    <w:p w14:paraId="7CFC8569" w14:textId="77777777" w:rsidR="0002427A" w:rsidRPr="00A53AD7" w:rsidRDefault="0002427A" w:rsidP="008D7089">
      <w:pPr>
        <w:pStyle w:val="a8"/>
        <w:ind w:left="0" w:firstLine="851"/>
        <w:jc w:val="both"/>
        <w:rPr>
          <w:sz w:val="28"/>
          <w:szCs w:val="28"/>
        </w:rPr>
      </w:pPr>
      <w:r w:rsidRPr="00A53AD7">
        <w:rPr>
          <w:sz w:val="28"/>
          <w:szCs w:val="28"/>
        </w:rPr>
        <w:t>В соответствии с Приложением №14 к отчету об исполнении бюджета за 2019 год бюджетные ассигнованиям на реализацию ГП АО №330-пп утверждены в размере 516,0 млн.руб., из них за счет средств ФБ – 501,8 млн.руб., исполнено – 381,6 млн.руб. (или 74,1%), из них за счет средств ФБ – 372,0 млн.руб.</w:t>
      </w:r>
    </w:p>
    <w:p w14:paraId="7E97173C" w14:textId="4659AA7C" w:rsidR="0002427A" w:rsidRPr="00A53AD7" w:rsidRDefault="0002427A" w:rsidP="008D7089">
      <w:pPr>
        <w:pStyle w:val="a8"/>
        <w:ind w:left="0" w:firstLine="851"/>
        <w:jc w:val="both"/>
        <w:rPr>
          <w:sz w:val="28"/>
          <w:szCs w:val="28"/>
        </w:rPr>
      </w:pPr>
      <w:r w:rsidRPr="00A53AD7">
        <w:rPr>
          <w:sz w:val="28"/>
          <w:szCs w:val="28"/>
        </w:rPr>
        <w:t>Исполнение госпрограммы в разрезе мероприятий:</w:t>
      </w:r>
    </w:p>
    <w:p w14:paraId="78EE2AF7" w14:textId="77777777" w:rsidR="008D7089" w:rsidRPr="00A53AD7" w:rsidRDefault="008D7089" w:rsidP="008D7089">
      <w:pPr>
        <w:pStyle w:val="a8"/>
        <w:ind w:left="0" w:firstLine="851"/>
        <w:jc w:val="both"/>
        <w:rPr>
          <w:sz w:val="28"/>
          <w:szCs w:val="28"/>
        </w:rPr>
      </w:pPr>
    </w:p>
    <w:p w14:paraId="05635003" w14:textId="77777777" w:rsidR="0002427A" w:rsidRPr="00A53AD7" w:rsidRDefault="0002427A" w:rsidP="008D7089">
      <w:pPr>
        <w:pStyle w:val="a8"/>
        <w:autoSpaceDE w:val="0"/>
        <w:autoSpaceDN w:val="0"/>
        <w:adjustRightInd w:val="0"/>
        <w:ind w:left="0" w:firstLine="851"/>
        <w:jc w:val="both"/>
        <w:rPr>
          <w:i/>
          <w:sz w:val="28"/>
          <w:szCs w:val="28"/>
          <w:u w:val="single"/>
        </w:rPr>
      </w:pPr>
      <w:r w:rsidRPr="00A53AD7">
        <w:rPr>
          <w:i/>
          <w:sz w:val="28"/>
          <w:szCs w:val="28"/>
          <w:u w:val="single"/>
        </w:rPr>
        <w:t>Мероприятие «2.1. Мероприятия по формированию современной городской среды»</w:t>
      </w:r>
    </w:p>
    <w:p w14:paraId="4E013644" w14:textId="77777777" w:rsidR="0002427A" w:rsidRPr="00A53AD7" w:rsidRDefault="0002427A" w:rsidP="008D7089">
      <w:pPr>
        <w:pStyle w:val="a8"/>
        <w:ind w:left="0" w:firstLine="851"/>
        <w:jc w:val="both"/>
        <w:rPr>
          <w:sz w:val="28"/>
          <w:szCs w:val="28"/>
        </w:rPr>
      </w:pPr>
      <w:r w:rsidRPr="00A53AD7">
        <w:rPr>
          <w:sz w:val="28"/>
          <w:szCs w:val="28"/>
        </w:rPr>
        <w:t>В объем финансирования данного мероприятия в Приложение №2 к ГП АО №330-пп вносились изменения в течение 2019 года 2 раза:</w:t>
      </w:r>
    </w:p>
    <w:p w14:paraId="1F8BAADE" w14:textId="0851309F" w:rsidR="0002427A" w:rsidRPr="00A53AD7" w:rsidRDefault="0002427A" w:rsidP="0002427A">
      <w:pPr>
        <w:autoSpaceDE w:val="0"/>
        <w:autoSpaceDN w:val="0"/>
        <w:adjustRightInd w:val="0"/>
        <w:spacing w:after="0" w:line="240" w:lineRule="auto"/>
        <w:ind w:firstLine="709"/>
        <w:jc w:val="right"/>
        <w:rPr>
          <w:rFonts w:ascii="Times New Roman" w:hAnsi="Times New Roman"/>
          <w:sz w:val="24"/>
          <w:szCs w:val="24"/>
        </w:rPr>
      </w:pPr>
      <w:r w:rsidRPr="00A53AD7">
        <w:rPr>
          <w:rFonts w:ascii="Times New Roman" w:hAnsi="Times New Roman"/>
          <w:sz w:val="24"/>
          <w:szCs w:val="24"/>
        </w:rPr>
        <w:t>млн.руб.</w:t>
      </w:r>
    </w:p>
    <w:tbl>
      <w:tblPr>
        <w:tblW w:w="935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977"/>
        <w:gridCol w:w="1701"/>
        <w:gridCol w:w="1559"/>
        <w:gridCol w:w="1701"/>
        <w:gridCol w:w="1418"/>
      </w:tblGrid>
      <w:tr w:rsidR="00D470B6" w:rsidRPr="00A53AD7" w14:paraId="7521B29B" w14:textId="77777777" w:rsidTr="008D7089">
        <w:trPr>
          <w:trHeight w:val="543"/>
        </w:trPr>
        <w:tc>
          <w:tcPr>
            <w:tcW w:w="2977" w:type="dxa"/>
            <w:shd w:val="clear" w:color="auto" w:fill="auto"/>
            <w:vAlign w:val="center"/>
            <w:hideMark/>
          </w:tcPr>
          <w:p w14:paraId="4C26CA29"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Источники финансирования</w:t>
            </w:r>
          </w:p>
        </w:tc>
        <w:tc>
          <w:tcPr>
            <w:tcW w:w="1701" w:type="dxa"/>
            <w:shd w:val="clear" w:color="auto" w:fill="auto"/>
            <w:vAlign w:val="center"/>
            <w:hideMark/>
          </w:tcPr>
          <w:p w14:paraId="072653A0"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Редакция от 27.11.2018</w:t>
            </w:r>
          </w:p>
        </w:tc>
        <w:tc>
          <w:tcPr>
            <w:tcW w:w="1559" w:type="dxa"/>
            <w:shd w:val="clear" w:color="auto" w:fill="auto"/>
            <w:vAlign w:val="center"/>
            <w:hideMark/>
          </w:tcPr>
          <w:p w14:paraId="6462D499"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Редакция от 21.05.2019</w:t>
            </w:r>
          </w:p>
        </w:tc>
        <w:tc>
          <w:tcPr>
            <w:tcW w:w="1701" w:type="dxa"/>
            <w:shd w:val="clear" w:color="auto" w:fill="auto"/>
            <w:vAlign w:val="center"/>
            <w:hideMark/>
          </w:tcPr>
          <w:p w14:paraId="3E82E99E"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Редакция от 10.10.2019 </w:t>
            </w:r>
          </w:p>
        </w:tc>
        <w:tc>
          <w:tcPr>
            <w:tcW w:w="1418" w:type="dxa"/>
          </w:tcPr>
          <w:p w14:paraId="3F492BCA"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 к первонач.</w:t>
            </w:r>
          </w:p>
        </w:tc>
      </w:tr>
      <w:tr w:rsidR="00D470B6" w:rsidRPr="00A53AD7" w14:paraId="23EA1EF8" w14:textId="77777777" w:rsidTr="008D7089">
        <w:trPr>
          <w:trHeight w:val="312"/>
        </w:trPr>
        <w:tc>
          <w:tcPr>
            <w:tcW w:w="2977" w:type="dxa"/>
            <w:shd w:val="clear" w:color="auto" w:fill="auto"/>
            <w:vAlign w:val="center"/>
            <w:hideMark/>
          </w:tcPr>
          <w:p w14:paraId="28CDD66D" w14:textId="77777777" w:rsidR="0002427A" w:rsidRPr="00A53AD7" w:rsidRDefault="0002427A" w:rsidP="005B369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701" w:type="dxa"/>
            <w:shd w:val="clear" w:color="auto" w:fill="auto"/>
            <w:vAlign w:val="center"/>
            <w:hideMark/>
          </w:tcPr>
          <w:p w14:paraId="7BA7DFA6"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455,26</w:t>
            </w:r>
          </w:p>
        </w:tc>
        <w:tc>
          <w:tcPr>
            <w:tcW w:w="1559" w:type="dxa"/>
            <w:shd w:val="clear" w:color="auto" w:fill="auto"/>
            <w:vAlign w:val="center"/>
            <w:hideMark/>
          </w:tcPr>
          <w:p w14:paraId="723BCB27"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392,702</w:t>
            </w:r>
          </w:p>
        </w:tc>
        <w:tc>
          <w:tcPr>
            <w:tcW w:w="1701" w:type="dxa"/>
            <w:shd w:val="clear" w:color="auto" w:fill="auto"/>
            <w:vAlign w:val="center"/>
            <w:hideMark/>
          </w:tcPr>
          <w:p w14:paraId="7AED8E13"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392,702</w:t>
            </w:r>
          </w:p>
        </w:tc>
        <w:tc>
          <w:tcPr>
            <w:tcW w:w="1418" w:type="dxa"/>
          </w:tcPr>
          <w:p w14:paraId="0670794C"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-62,558</w:t>
            </w:r>
          </w:p>
        </w:tc>
      </w:tr>
      <w:tr w:rsidR="00D470B6" w:rsidRPr="00A53AD7" w14:paraId="7A4C2DD4" w14:textId="77777777" w:rsidTr="008D7089">
        <w:trPr>
          <w:trHeight w:val="204"/>
        </w:trPr>
        <w:tc>
          <w:tcPr>
            <w:tcW w:w="2977" w:type="dxa"/>
            <w:shd w:val="clear" w:color="auto" w:fill="auto"/>
            <w:vAlign w:val="center"/>
            <w:hideMark/>
          </w:tcPr>
          <w:p w14:paraId="67B2D912" w14:textId="77777777" w:rsidR="0002427A" w:rsidRPr="00A53AD7" w:rsidRDefault="0002427A" w:rsidP="005B369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1701" w:type="dxa"/>
            <w:shd w:val="clear" w:color="auto" w:fill="auto"/>
            <w:vAlign w:val="center"/>
            <w:hideMark/>
          </w:tcPr>
          <w:p w14:paraId="533E8498"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378,574</w:t>
            </w:r>
          </w:p>
        </w:tc>
        <w:tc>
          <w:tcPr>
            <w:tcW w:w="1559" w:type="dxa"/>
            <w:shd w:val="clear" w:color="auto" w:fill="auto"/>
            <w:vAlign w:val="center"/>
            <w:hideMark/>
          </w:tcPr>
          <w:p w14:paraId="20719B21"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362,79 </w:t>
            </w:r>
          </w:p>
        </w:tc>
        <w:tc>
          <w:tcPr>
            <w:tcW w:w="1701" w:type="dxa"/>
            <w:shd w:val="clear" w:color="auto" w:fill="auto"/>
            <w:vAlign w:val="center"/>
            <w:hideMark/>
          </w:tcPr>
          <w:p w14:paraId="415907A5"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362,79 </w:t>
            </w:r>
          </w:p>
        </w:tc>
        <w:tc>
          <w:tcPr>
            <w:tcW w:w="1418" w:type="dxa"/>
          </w:tcPr>
          <w:p w14:paraId="4F5B3D51"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-15,784</w:t>
            </w:r>
          </w:p>
        </w:tc>
      </w:tr>
      <w:tr w:rsidR="00D470B6" w:rsidRPr="00A53AD7" w14:paraId="000B7FCA" w14:textId="77777777" w:rsidTr="008D7089">
        <w:trPr>
          <w:trHeight w:val="312"/>
        </w:trPr>
        <w:tc>
          <w:tcPr>
            <w:tcW w:w="2977" w:type="dxa"/>
            <w:shd w:val="clear" w:color="auto" w:fill="auto"/>
            <w:vAlign w:val="center"/>
            <w:hideMark/>
          </w:tcPr>
          <w:p w14:paraId="57872350" w14:textId="77777777" w:rsidR="0002427A" w:rsidRPr="00A53AD7" w:rsidRDefault="0002427A" w:rsidP="005B369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1701" w:type="dxa"/>
            <w:shd w:val="clear" w:color="auto" w:fill="auto"/>
            <w:vAlign w:val="center"/>
            <w:hideMark/>
          </w:tcPr>
          <w:p w14:paraId="7662934B"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29,588</w:t>
            </w:r>
          </w:p>
        </w:tc>
        <w:tc>
          <w:tcPr>
            <w:tcW w:w="1559" w:type="dxa"/>
            <w:shd w:val="clear" w:color="auto" w:fill="auto"/>
            <w:vAlign w:val="center"/>
            <w:hideMark/>
          </w:tcPr>
          <w:p w14:paraId="3EB99F47"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7,403 </w:t>
            </w:r>
          </w:p>
        </w:tc>
        <w:tc>
          <w:tcPr>
            <w:tcW w:w="1701" w:type="dxa"/>
            <w:shd w:val="clear" w:color="auto" w:fill="auto"/>
            <w:vAlign w:val="center"/>
            <w:hideMark/>
          </w:tcPr>
          <w:p w14:paraId="72204A85"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7,403 </w:t>
            </w:r>
          </w:p>
        </w:tc>
        <w:tc>
          <w:tcPr>
            <w:tcW w:w="1418" w:type="dxa"/>
          </w:tcPr>
          <w:p w14:paraId="5BD7C773"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-22,185</w:t>
            </w:r>
          </w:p>
        </w:tc>
      </w:tr>
      <w:tr w:rsidR="00D470B6" w:rsidRPr="00A53AD7" w14:paraId="5F7F1CD5" w14:textId="77777777" w:rsidTr="008D7089">
        <w:trPr>
          <w:trHeight w:val="312"/>
        </w:trPr>
        <w:tc>
          <w:tcPr>
            <w:tcW w:w="2977" w:type="dxa"/>
            <w:shd w:val="clear" w:color="auto" w:fill="auto"/>
            <w:vAlign w:val="center"/>
            <w:hideMark/>
          </w:tcPr>
          <w:p w14:paraId="54322945" w14:textId="77777777" w:rsidR="0002427A" w:rsidRPr="00A53AD7" w:rsidRDefault="0002427A" w:rsidP="005B369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местные бюджеты</w:t>
            </w:r>
          </w:p>
        </w:tc>
        <w:tc>
          <w:tcPr>
            <w:tcW w:w="1701" w:type="dxa"/>
            <w:shd w:val="clear" w:color="auto" w:fill="auto"/>
            <w:vAlign w:val="center"/>
            <w:hideMark/>
          </w:tcPr>
          <w:p w14:paraId="23662173"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29,588 </w:t>
            </w:r>
          </w:p>
        </w:tc>
        <w:tc>
          <w:tcPr>
            <w:tcW w:w="1559" w:type="dxa"/>
            <w:shd w:val="clear" w:color="auto" w:fill="auto"/>
            <w:vAlign w:val="center"/>
            <w:hideMark/>
          </w:tcPr>
          <w:p w14:paraId="201DF0AD"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7,403</w:t>
            </w:r>
          </w:p>
        </w:tc>
        <w:tc>
          <w:tcPr>
            <w:tcW w:w="1701" w:type="dxa"/>
            <w:shd w:val="clear" w:color="auto" w:fill="auto"/>
            <w:vAlign w:val="center"/>
            <w:hideMark/>
          </w:tcPr>
          <w:p w14:paraId="37A6E3A8"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16,466</w:t>
            </w:r>
          </w:p>
        </w:tc>
        <w:tc>
          <w:tcPr>
            <w:tcW w:w="1418" w:type="dxa"/>
          </w:tcPr>
          <w:p w14:paraId="18787076"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-13,122</w:t>
            </w:r>
          </w:p>
        </w:tc>
      </w:tr>
      <w:tr w:rsidR="0002427A" w:rsidRPr="00A53AD7" w14:paraId="35346877" w14:textId="77777777" w:rsidTr="008D7089">
        <w:trPr>
          <w:trHeight w:val="195"/>
        </w:trPr>
        <w:tc>
          <w:tcPr>
            <w:tcW w:w="2977" w:type="dxa"/>
            <w:shd w:val="clear" w:color="auto" w:fill="auto"/>
            <w:vAlign w:val="center"/>
            <w:hideMark/>
          </w:tcPr>
          <w:p w14:paraId="2A81F989" w14:textId="77777777" w:rsidR="0002427A" w:rsidRPr="00A53AD7" w:rsidRDefault="0002427A" w:rsidP="005B369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средства</w:t>
            </w:r>
          </w:p>
        </w:tc>
        <w:tc>
          <w:tcPr>
            <w:tcW w:w="1701" w:type="dxa"/>
            <w:shd w:val="clear" w:color="auto" w:fill="auto"/>
            <w:vAlign w:val="center"/>
            <w:hideMark/>
          </w:tcPr>
          <w:p w14:paraId="574ED4A9"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17,51</w:t>
            </w:r>
          </w:p>
        </w:tc>
        <w:tc>
          <w:tcPr>
            <w:tcW w:w="1559" w:type="dxa"/>
            <w:shd w:val="clear" w:color="auto" w:fill="auto"/>
            <w:vAlign w:val="center"/>
            <w:hideMark/>
          </w:tcPr>
          <w:p w14:paraId="064133B6" w14:textId="0755F880"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15,103</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0E697834" w14:textId="730CC5C4"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6,041</w:t>
            </w:r>
            <w:r w:rsidR="005915D8" w:rsidRPr="00A53AD7">
              <w:rPr>
                <w:rFonts w:ascii="Times New Roman" w:eastAsia="Times New Roman" w:hAnsi="Times New Roman"/>
                <w:lang w:eastAsia="ru-RU"/>
              </w:rPr>
              <w:t xml:space="preserve"> </w:t>
            </w:r>
          </w:p>
        </w:tc>
        <w:tc>
          <w:tcPr>
            <w:tcW w:w="1418" w:type="dxa"/>
          </w:tcPr>
          <w:p w14:paraId="7F35275F" w14:textId="77777777" w:rsidR="0002427A" w:rsidRPr="00A53AD7" w:rsidRDefault="0002427A" w:rsidP="005B369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-11,469</w:t>
            </w:r>
          </w:p>
        </w:tc>
      </w:tr>
    </w:tbl>
    <w:p w14:paraId="369867EF" w14:textId="77777777" w:rsidR="0002427A" w:rsidRPr="00A53AD7" w:rsidRDefault="0002427A" w:rsidP="0002427A">
      <w:pPr>
        <w:autoSpaceDE w:val="0"/>
        <w:autoSpaceDN w:val="0"/>
        <w:adjustRightInd w:val="0"/>
        <w:spacing w:after="0" w:line="240" w:lineRule="auto"/>
        <w:ind w:firstLine="709"/>
        <w:jc w:val="both"/>
        <w:rPr>
          <w:rFonts w:ascii="Times New Roman" w:hAnsi="Times New Roman"/>
          <w:sz w:val="28"/>
          <w:szCs w:val="28"/>
        </w:rPr>
      </w:pPr>
    </w:p>
    <w:p w14:paraId="0FD81957"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соответствии с отчетом о реализации мероприятий, размещенном в КИАС по состояния на 13.04.2020 года, за 2019 год мероприятие №2.1 выполнено: </w:t>
      </w:r>
    </w:p>
    <w:p w14:paraId="7050C617" w14:textId="682E4364" w:rsidR="0002427A" w:rsidRPr="00A53AD7" w:rsidRDefault="0002427A" w:rsidP="00CA1DDD">
      <w:pPr>
        <w:pStyle w:val="a8"/>
        <w:numPr>
          <w:ilvl w:val="0"/>
          <w:numId w:val="52"/>
        </w:numPr>
        <w:ind w:left="0" w:firstLine="851"/>
        <w:jc w:val="both"/>
        <w:rPr>
          <w:sz w:val="28"/>
          <w:szCs w:val="28"/>
        </w:rPr>
      </w:pPr>
      <w:r w:rsidRPr="00A53AD7">
        <w:rPr>
          <w:sz w:val="28"/>
          <w:szCs w:val="28"/>
        </w:rPr>
        <w:t xml:space="preserve">количество мероприятий по благоустройству дворовых территорий 151 ед. или 148% от плана, </w:t>
      </w:r>
    </w:p>
    <w:p w14:paraId="65CC55FE" w14:textId="51DC2F7D" w:rsidR="0002427A" w:rsidRPr="00A53AD7" w:rsidRDefault="0002427A" w:rsidP="00CA1DDD">
      <w:pPr>
        <w:pStyle w:val="a8"/>
        <w:numPr>
          <w:ilvl w:val="0"/>
          <w:numId w:val="52"/>
        </w:numPr>
        <w:ind w:left="0" w:firstLine="851"/>
        <w:jc w:val="both"/>
        <w:rPr>
          <w:sz w:val="28"/>
          <w:szCs w:val="28"/>
        </w:rPr>
      </w:pPr>
      <w:r w:rsidRPr="00A53AD7">
        <w:rPr>
          <w:sz w:val="28"/>
          <w:szCs w:val="28"/>
        </w:rPr>
        <w:t>количество мероприятий по благоустройству общественных территорий 123 ед. или 128% от плана,</w:t>
      </w:r>
    </w:p>
    <w:p w14:paraId="6B0BD201" w14:textId="0DA89540" w:rsidR="0002427A" w:rsidRPr="00A53AD7" w:rsidRDefault="0002427A" w:rsidP="00CA1DDD">
      <w:pPr>
        <w:pStyle w:val="a8"/>
        <w:numPr>
          <w:ilvl w:val="0"/>
          <w:numId w:val="52"/>
        </w:numPr>
        <w:ind w:left="0" w:firstLine="851"/>
        <w:jc w:val="both"/>
        <w:rPr>
          <w:sz w:val="28"/>
          <w:szCs w:val="28"/>
        </w:rPr>
      </w:pPr>
      <w:r w:rsidRPr="00A53AD7">
        <w:rPr>
          <w:sz w:val="28"/>
          <w:szCs w:val="28"/>
        </w:rPr>
        <w:t>кассовое исполнение за счет всех источников составило в сумме 399,9 млн.руб. или 101,8% от плана,</w:t>
      </w:r>
      <w:r w:rsidRPr="00A53AD7">
        <w:t xml:space="preserve"> </w:t>
      </w:r>
      <w:r w:rsidRPr="00A53AD7">
        <w:rPr>
          <w:sz w:val="28"/>
          <w:szCs w:val="28"/>
        </w:rPr>
        <w:t>в том числе за счет средств ФБ – 362,8 млн.руб. или 99,99% от плана, за счет средств ОБ – 7,4 млн.руб. или 100% от плана, за счет средств местных бюджетов – 21,3 млн. руб. или 129,3 от плана, за счет внебюджетных источников – 8,4 млн. руб. или 138,9% от плана.</w:t>
      </w:r>
    </w:p>
    <w:p w14:paraId="3F845D4F"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ТЭК и ЖКХ АО заключено 25 соглашений о предоставлении субсидий на поддержку муниципальных программ формирования современной городской среды с муниципальными образованиями Архангельской области на общую сумму 377,6 млн. руб., в том числе: за счет средств федерального и областного бюджета – 370,2 млн.руб. для благоустройства 141 дворовой и 127 общественных территорий. Установленные требования условия софинансирования муниципальными образованиями Архангельской области выполнены.</w:t>
      </w:r>
    </w:p>
    <w:p w14:paraId="53FC7DBC"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проведении анализа 25-ти представленных отчетов муниципальных образований (далее – МО) установлено:</w:t>
      </w:r>
    </w:p>
    <w:p w14:paraId="18706D91" w14:textId="03430821" w:rsidR="0002427A" w:rsidRPr="00A53AD7" w:rsidRDefault="0002427A" w:rsidP="00CA1DDD">
      <w:pPr>
        <w:pStyle w:val="a8"/>
        <w:numPr>
          <w:ilvl w:val="0"/>
          <w:numId w:val="52"/>
        </w:numPr>
        <w:ind w:left="0" w:firstLine="851"/>
        <w:jc w:val="both"/>
        <w:rPr>
          <w:sz w:val="28"/>
          <w:szCs w:val="28"/>
        </w:rPr>
      </w:pPr>
      <w:r w:rsidRPr="00A53AD7">
        <w:rPr>
          <w:sz w:val="28"/>
          <w:szCs w:val="28"/>
        </w:rPr>
        <w:t>12 МО нарушены сроки предоставления отчетов от 3 до 40 дней, установленных в пункте 4.3.21 соглашений. Тем самым министерство ТЭК и ЖКХ АО не надлежаще исполнен пункт 4.1.2. соглашений, в части контроля за соблюдением МО срока предоставления отчетности, предусмотренного Соглашением</w:t>
      </w:r>
      <w:r w:rsidR="008D7089" w:rsidRPr="00A53AD7">
        <w:rPr>
          <w:sz w:val="28"/>
          <w:szCs w:val="28"/>
        </w:rPr>
        <w:t>;</w:t>
      </w:r>
    </w:p>
    <w:p w14:paraId="2C28061B" w14:textId="318F7467" w:rsidR="0002427A" w:rsidRPr="00A53AD7" w:rsidRDefault="0002427A" w:rsidP="00CA1DDD">
      <w:pPr>
        <w:pStyle w:val="a8"/>
        <w:numPr>
          <w:ilvl w:val="0"/>
          <w:numId w:val="52"/>
        </w:numPr>
        <w:ind w:left="0" w:firstLine="851"/>
        <w:jc w:val="both"/>
        <w:rPr>
          <w:sz w:val="28"/>
          <w:szCs w:val="28"/>
        </w:rPr>
      </w:pPr>
      <w:r w:rsidRPr="00A53AD7">
        <w:rPr>
          <w:sz w:val="28"/>
          <w:szCs w:val="28"/>
        </w:rPr>
        <w:t>целевые показатели выполнены всеми муниципальными образованиями на 100%.</w:t>
      </w:r>
    </w:p>
    <w:p w14:paraId="167EF6A7"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Вместе с тем, отмечено, что значения плановых целевых показателей корректировались или вносились впервые для всех муниципальных образований дополнительными соглашениями в декабре 2019 года. Например: </w:t>
      </w:r>
    </w:p>
    <w:p w14:paraId="1FC92B07" w14:textId="3B699E38" w:rsidR="0002427A" w:rsidRPr="00A53AD7" w:rsidRDefault="0002427A" w:rsidP="00CA1DDD">
      <w:pPr>
        <w:pStyle w:val="a8"/>
        <w:numPr>
          <w:ilvl w:val="0"/>
          <w:numId w:val="52"/>
        </w:numPr>
        <w:ind w:left="0" w:firstLine="851"/>
        <w:jc w:val="both"/>
        <w:rPr>
          <w:sz w:val="28"/>
          <w:szCs w:val="28"/>
        </w:rPr>
      </w:pPr>
      <w:r w:rsidRPr="00A53AD7">
        <w:rPr>
          <w:sz w:val="28"/>
          <w:szCs w:val="28"/>
        </w:rPr>
        <w:t>МО «Красноборский муниципальный район» - плановые количественные значения целевых показателей установлены дополнительным соглашением от 06.12.2019, основное соглашение заключено 02.04.2019 года;</w:t>
      </w:r>
    </w:p>
    <w:p w14:paraId="03847487" w14:textId="1933C087" w:rsidR="0002427A" w:rsidRPr="00A53AD7" w:rsidRDefault="0002427A" w:rsidP="00CA1DDD">
      <w:pPr>
        <w:pStyle w:val="a8"/>
        <w:numPr>
          <w:ilvl w:val="0"/>
          <w:numId w:val="52"/>
        </w:numPr>
        <w:ind w:left="0" w:firstLine="851"/>
        <w:jc w:val="both"/>
        <w:rPr>
          <w:sz w:val="28"/>
          <w:szCs w:val="28"/>
        </w:rPr>
      </w:pPr>
      <w:r w:rsidRPr="00A53AD7">
        <w:rPr>
          <w:sz w:val="28"/>
          <w:szCs w:val="28"/>
        </w:rPr>
        <w:t>МО «Северодвинск» - плановые количественные значения целевых показателей установлены дополнительным соглашением от 24.12.2019 года, основное соглашение заключено 18.04.2019 года;</w:t>
      </w:r>
    </w:p>
    <w:p w14:paraId="0B770F60" w14:textId="1856EFC9" w:rsidR="0002427A" w:rsidRPr="00A53AD7" w:rsidRDefault="0002427A" w:rsidP="00CA1DDD">
      <w:pPr>
        <w:pStyle w:val="a8"/>
        <w:numPr>
          <w:ilvl w:val="0"/>
          <w:numId w:val="52"/>
        </w:numPr>
        <w:ind w:left="0" w:firstLine="851"/>
        <w:jc w:val="both"/>
        <w:rPr>
          <w:sz w:val="28"/>
          <w:szCs w:val="28"/>
        </w:rPr>
      </w:pPr>
      <w:r w:rsidRPr="00A53AD7">
        <w:rPr>
          <w:sz w:val="28"/>
          <w:szCs w:val="28"/>
        </w:rPr>
        <w:t>МО «Котлас» - плановые количественные значения целевых показателей установлены дополнительным соглашением от 24.12.2019 года, основное соглашение заключено 09.04.2019 года.</w:t>
      </w:r>
    </w:p>
    <w:p w14:paraId="71958F6B"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целевые показатели для ряда муниципальных образований приведены министерством ТЭК и ЖКХ АО по факту выполнения мероприятий.</w:t>
      </w:r>
    </w:p>
    <w:p w14:paraId="01EC81C7" w14:textId="77777777" w:rsidR="008D7089" w:rsidRPr="00A53AD7" w:rsidRDefault="008D7089" w:rsidP="008D7089">
      <w:pPr>
        <w:spacing w:after="0" w:line="240" w:lineRule="auto"/>
        <w:ind w:firstLine="851"/>
        <w:jc w:val="both"/>
        <w:rPr>
          <w:rFonts w:ascii="Times New Roman" w:hAnsi="Times New Roman"/>
          <w:sz w:val="28"/>
          <w:szCs w:val="28"/>
        </w:rPr>
      </w:pPr>
    </w:p>
    <w:p w14:paraId="11ABE8E5"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i/>
          <w:sz w:val="28"/>
          <w:szCs w:val="28"/>
          <w:u w:val="single"/>
        </w:rPr>
        <w:t>Мероприятие 2.3. «Реализация проекта "Поэзия купеческого дела в г. Каргополе"</w:t>
      </w:r>
      <w:bookmarkStart w:id="86" w:name="sub_3040"/>
      <w:r w:rsidRPr="00A53AD7">
        <w:rPr>
          <w:rFonts w:ascii="Times New Roman" w:hAnsi="Times New Roman"/>
          <w:sz w:val="28"/>
          <w:szCs w:val="28"/>
        </w:rPr>
        <w:t xml:space="preserve"> реализуется на территории МО «Каргопольский муниципальный район» администрацией района в соответствии с </w:t>
      </w:r>
      <w:hyperlink r:id="rId68" w:history="1">
        <w:r w:rsidRPr="00A53AD7">
          <w:rPr>
            <w:rFonts w:ascii="Times New Roman" w:hAnsi="Times New Roman"/>
            <w:sz w:val="28"/>
            <w:szCs w:val="28"/>
          </w:rPr>
          <w:t>Правилами</w:t>
        </w:r>
      </w:hyperlink>
      <w:r w:rsidRPr="00A53AD7">
        <w:rPr>
          <w:rFonts w:ascii="Times New Roman" w:hAnsi="Times New Roman"/>
          <w:sz w:val="28"/>
          <w:szCs w:val="28"/>
        </w:rPr>
        <w:t xml:space="preserve"> предоставления средств государственной поддержки из федерального бюджета бюджетам субъектов Российской Федерации для поощрения муниципальных образований - победителей Всероссийского конкурса лучших проектов создания комфортной городской среды (утв. </w:t>
      </w:r>
      <w:hyperlink r:id="rId69" w:history="1">
        <w:r w:rsidRPr="00A53AD7">
          <w:rPr>
            <w:rFonts w:ascii="Times New Roman" w:hAnsi="Times New Roman"/>
            <w:sz w:val="28"/>
            <w:szCs w:val="28"/>
          </w:rPr>
          <w:t>постановлением</w:t>
        </w:r>
      </w:hyperlink>
      <w:r w:rsidRPr="00A53AD7">
        <w:rPr>
          <w:rFonts w:ascii="Times New Roman" w:hAnsi="Times New Roman"/>
          <w:sz w:val="28"/>
          <w:szCs w:val="28"/>
        </w:rPr>
        <w:t xml:space="preserve"> Правительства Российской Федерации от 07.03.2018 №237</w:t>
      </w:r>
      <w:bookmarkEnd w:id="86"/>
      <w:r w:rsidRPr="00A53AD7">
        <w:rPr>
          <w:rFonts w:ascii="Times New Roman" w:hAnsi="Times New Roman"/>
          <w:sz w:val="28"/>
          <w:szCs w:val="28"/>
        </w:rPr>
        <w:t xml:space="preserve">). </w:t>
      </w:r>
    </w:p>
    <w:p w14:paraId="0B1257C3"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финансирования мероприятия на 2019 год в ГП АО № 330-пп в редакции, действующей на конец отчетного периода, составляет в сумме 6,9 млн.руб., из них: за счет средств областного бюджета 6,8 млн.руб., за счет средств местных бюджетов 0,1 млн.руб.</w:t>
      </w:r>
    </w:p>
    <w:p w14:paraId="59BD7AA7" w14:textId="3CB38C02"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министерством ТЭК и ЖКХ АО и администрацией МО «Каргопольский муниципальный район» 25.09.2019 года заключено соглашение №01-2019 о предоставлении субсидии из областного бюджета бюджету района в размере 6,8 млн.руб. для реализации проектов создания комфортной городской среды в малых городах и исторических поселениях в рамках проведения Всероссийского конкурса лучших проектов создания комфортной городской среды (далее соглашение №01-2019). В нарушение условия пункта 4.3.6. соглашения №</w:t>
      </w:r>
      <w:r w:rsidR="00940AAC" w:rsidRPr="00A53AD7">
        <w:rPr>
          <w:rFonts w:ascii="Times New Roman" w:hAnsi="Times New Roman"/>
          <w:sz w:val="28"/>
          <w:szCs w:val="28"/>
        </w:rPr>
        <w:t xml:space="preserve"> </w:t>
      </w:r>
      <w:r w:rsidRPr="00A53AD7">
        <w:rPr>
          <w:rFonts w:ascii="Times New Roman" w:hAnsi="Times New Roman"/>
          <w:sz w:val="28"/>
          <w:szCs w:val="28"/>
        </w:rPr>
        <w:t>01-2019 администрацией МО «Каргопольский муниципальный район» представлен в министерство ТЭК и ЖКХ АО отчет о расходах бюджета и о достижении целевых показателей позже установленного срока на 12 дней или 22.01.2020 г.</w:t>
      </w:r>
    </w:p>
    <w:p w14:paraId="551735F4"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мероприятия администрацией МО «Каргопольский муниципальный район» за 2018 и 2019 годы заключены одиннадцать муниципальных контрактов общей стоимостью 68,4 млн.руб. В 2019 году работы выполнены на 57,6 млн., оплачены в сумме 55,3 млн.руб.</w:t>
      </w:r>
    </w:p>
    <w:p w14:paraId="767DB0F2"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Отчет о реализации проекта в муниципальном образовании – победителе Всероссийского конкурса лучших проектов создания комфортной городской среды МО «Каргопольский муниципальный район» утвержден исполняющим обязанности Губернатора АО 30.12.2019 г.</w:t>
      </w:r>
    </w:p>
    <w:p w14:paraId="4EFA35EA"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отчета фактическая стоимость реализации проекта составила 62,8 млн.руб., из них за счет федерального бюджета – 50,0 млн.руб., за счет областного бюджета – 12,3 млн.руб., за счет местного бюджета – 0,2 млн.руб., за счет внебюджетных источников – 0,3 млн.руб.</w:t>
      </w:r>
    </w:p>
    <w:p w14:paraId="6FF3318A"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Приемка работ по проекту благоустройства общественной территории «Поэзия купеческого дела» в г. Каргополь выполнена общественной комиссией 24.12.2019. Общественной комиссией принято решение считать реализованной концепцию проекта.</w:t>
      </w:r>
    </w:p>
    <w:p w14:paraId="5FC06BAC"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Необходимо отметить, что в Приложении №2 к ГП АО №330-пп в редакции, действующей на 31.12.2019, объем финансирования мероприятия не соответствуют фактической стоимости реализации проекта. </w:t>
      </w:r>
    </w:p>
    <w:p w14:paraId="73EF9F17"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за 2019 год согласно представленным министерством ТЭК и ЖКХ АО документам составили – 57,2 млн.руб., из них за счет средств ФБ – 50,0 млн.руб., за счет средств ОБ – 2,2 млн.руб., за счет средств МБ – 0,072 млн.руб., за счет средств резервного фонда Правительства АО – 4,9 млн.руб., что не соответствует данным отчета и объему финансирования, указанному в Приложении №2 к ГП АО №330-пп.</w:t>
      </w:r>
    </w:p>
    <w:p w14:paraId="4AB72DFD" w14:textId="77777777" w:rsidR="0002427A" w:rsidRPr="00A53AD7" w:rsidRDefault="0002427A" w:rsidP="008D708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 учетом того, что по четырем муниципальным контрактам:</w:t>
      </w:r>
    </w:p>
    <w:p w14:paraId="706C2DD5" w14:textId="1C9FA204" w:rsidR="0002427A" w:rsidRPr="00A53AD7" w:rsidRDefault="0002427A" w:rsidP="00CA1DDD">
      <w:pPr>
        <w:pStyle w:val="a8"/>
        <w:numPr>
          <w:ilvl w:val="0"/>
          <w:numId w:val="52"/>
        </w:numPr>
        <w:ind w:left="0" w:firstLine="851"/>
        <w:jc w:val="both"/>
        <w:rPr>
          <w:sz w:val="28"/>
          <w:szCs w:val="28"/>
        </w:rPr>
      </w:pPr>
      <w:r w:rsidRPr="00A53AD7">
        <w:rPr>
          <w:sz w:val="28"/>
          <w:szCs w:val="28"/>
        </w:rPr>
        <w:t xml:space="preserve">МК№0124300007019000066 от 26.07.2019 с ООО «Сполохи», </w:t>
      </w:r>
    </w:p>
    <w:p w14:paraId="012725F1" w14:textId="1C487299" w:rsidR="0002427A" w:rsidRPr="00A53AD7" w:rsidRDefault="0002427A" w:rsidP="00CA1DDD">
      <w:pPr>
        <w:pStyle w:val="a8"/>
        <w:numPr>
          <w:ilvl w:val="0"/>
          <w:numId w:val="52"/>
        </w:numPr>
        <w:ind w:left="0" w:firstLine="851"/>
        <w:jc w:val="both"/>
        <w:rPr>
          <w:sz w:val="28"/>
          <w:szCs w:val="28"/>
        </w:rPr>
      </w:pPr>
      <w:r w:rsidRPr="00A53AD7">
        <w:rPr>
          <w:sz w:val="28"/>
          <w:szCs w:val="28"/>
        </w:rPr>
        <w:t>МК №0124300007019000067 от 30.07.2019 с ООО «РегионСтрой»,</w:t>
      </w:r>
    </w:p>
    <w:p w14:paraId="55E72ED8" w14:textId="0275F328" w:rsidR="0002427A" w:rsidRPr="00A53AD7" w:rsidRDefault="0002427A" w:rsidP="00CA1DDD">
      <w:pPr>
        <w:pStyle w:val="a8"/>
        <w:numPr>
          <w:ilvl w:val="0"/>
          <w:numId w:val="52"/>
        </w:numPr>
        <w:ind w:left="0" w:firstLine="851"/>
        <w:jc w:val="both"/>
        <w:rPr>
          <w:sz w:val="28"/>
          <w:szCs w:val="28"/>
        </w:rPr>
      </w:pPr>
      <w:r w:rsidRPr="00A53AD7">
        <w:rPr>
          <w:sz w:val="28"/>
          <w:szCs w:val="28"/>
        </w:rPr>
        <w:t>МК №0124300007019000063 от 19.07.2019 с ООО «РегионСтрой»,</w:t>
      </w:r>
    </w:p>
    <w:p w14:paraId="20FCF953" w14:textId="06D95852" w:rsidR="0002427A" w:rsidRPr="00A53AD7" w:rsidRDefault="0002427A" w:rsidP="00CA1DDD">
      <w:pPr>
        <w:pStyle w:val="a8"/>
        <w:numPr>
          <w:ilvl w:val="0"/>
          <w:numId w:val="52"/>
        </w:numPr>
        <w:ind w:left="0" w:firstLine="851"/>
        <w:jc w:val="both"/>
        <w:rPr>
          <w:sz w:val="28"/>
          <w:szCs w:val="28"/>
        </w:rPr>
      </w:pPr>
      <w:r w:rsidRPr="00A53AD7">
        <w:rPr>
          <w:sz w:val="28"/>
          <w:szCs w:val="28"/>
        </w:rPr>
        <w:t xml:space="preserve">МК№0124300007019000062 от 19.07.2019 с ООО «РегионСтрой» </w:t>
      </w:r>
    </w:p>
    <w:p w14:paraId="23F5B6D4" w14:textId="2BB69F27" w:rsidR="0002427A" w:rsidRPr="00A53AD7" w:rsidRDefault="0002427A" w:rsidP="0002427A">
      <w:pPr>
        <w:autoSpaceDE w:val="0"/>
        <w:autoSpaceDN w:val="0"/>
        <w:adjustRightInd w:val="0"/>
        <w:spacing w:after="0" w:line="240" w:lineRule="auto"/>
        <w:jc w:val="both"/>
        <w:rPr>
          <w:rFonts w:ascii="Times New Roman" w:hAnsi="Times New Roman"/>
          <w:sz w:val="28"/>
          <w:szCs w:val="28"/>
        </w:rPr>
      </w:pPr>
      <w:r w:rsidRPr="00A53AD7">
        <w:rPr>
          <w:rFonts w:ascii="Times New Roman" w:hAnsi="Times New Roman"/>
          <w:sz w:val="28"/>
          <w:szCs w:val="28"/>
        </w:rPr>
        <w:t>отсутствует информация о завершении/исполнении работ в полном объеме, а также акты выполненных работ по ф. КС-2 и справки о стоимости по ф. КС-3 представлены на общую сумму 39,5 млн.руб. или 79% от общей стоимости контрактов,</w:t>
      </w:r>
      <w:r w:rsidRPr="00A53AD7">
        <w:rPr>
          <w:rFonts w:ascii="Times New Roman" w:hAnsi="Times New Roman"/>
          <w:iCs/>
          <w:sz w:val="28"/>
          <w:szCs w:val="28"/>
        </w:rPr>
        <w:t xml:space="preserve"> следует</w:t>
      </w:r>
      <w:r w:rsidRPr="00A53AD7">
        <w:rPr>
          <w:rFonts w:ascii="Times New Roman" w:hAnsi="Times New Roman"/>
          <w:sz w:val="28"/>
          <w:szCs w:val="28"/>
        </w:rPr>
        <w:t xml:space="preserve"> вывод о незавершении реализации проекта в полном объеме по состоянию на 31.12.2019</w:t>
      </w:r>
      <w:r w:rsidR="004A1924" w:rsidRPr="00A53AD7">
        <w:rPr>
          <w:rFonts w:ascii="Times New Roman" w:hAnsi="Times New Roman"/>
          <w:sz w:val="28"/>
          <w:szCs w:val="28"/>
        </w:rPr>
        <w:t xml:space="preserve"> года.</w:t>
      </w:r>
    </w:p>
    <w:p w14:paraId="2473960B" w14:textId="4AAEAC3B"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Таким образом, администрацией МО «Каргопольский муниципальный район» нарушены положения пункта 4.3.4 соглашения №01-2019, не обеспечено достижение значений показателя результативности исполнения мероприятия, нарушены условия пункта 3.2.2. соглашения №01-2019 о завершении реализации проекта создания комфортной городской среды «Поэзия купеческого дела» в г. Каргополе не позднее 31.12.2019. </w:t>
      </w:r>
    </w:p>
    <w:p w14:paraId="014FF23A"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связи с тем, что по состоянию на 31.12.2019 реализация проекта создания комфортной городской среды «Поэзия купеческого дела» в г. Каргополе в рамках исполнения соглашений № 01-2018 от 12.12.2018 и от 25.09.2019 №01-2019 заключенного между министерством ТЭК и ЖКХ АО и администрацией МО «Каргопольский муниципальный район», в полном объеме не завершена, министерством ТЭК и ЖКХ АО не обеспечена результативность использования бюджетных средств, предусмотренная подпунктом 1 пункта 1 статьи 158 БК РФ в части реализации мероприятия № 2.3 ГП АО № 330-пп.</w:t>
      </w:r>
    </w:p>
    <w:p w14:paraId="34958286" w14:textId="77777777" w:rsidR="004A1924" w:rsidRPr="00A53AD7" w:rsidRDefault="004A1924" w:rsidP="004A1924">
      <w:pPr>
        <w:spacing w:after="0" w:line="240" w:lineRule="auto"/>
        <w:ind w:firstLine="851"/>
        <w:jc w:val="both"/>
        <w:rPr>
          <w:rFonts w:ascii="Times New Roman" w:hAnsi="Times New Roman"/>
          <w:sz w:val="28"/>
          <w:szCs w:val="28"/>
        </w:rPr>
      </w:pPr>
    </w:p>
    <w:p w14:paraId="730C4075" w14:textId="446C8FED" w:rsidR="0002427A" w:rsidRPr="00A53AD7" w:rsidRDefault="0002427A" w:rsidP="004A1924">
      <w:pPr>
        <w:spacing w:after="0" w:line="240" w:lineRule="auto"/>
        <w:ind w:firstLine="851"/>
        <w:jc w:val="both"/>
        <w:rPr>
          <w:rFonts w:ascii="Times New Roman" w:hAnsi="Times New Roman"/>
          <w:iCs/>
          <w:sz w:val="28"/>
          <w:szCs w:val="28"/>
        </w:rPr>
      </w:pPr>
      <w:r w:rsidRPr="00A53AD7">
        <w:rPr>
          <w:rFonts w:ascii="Times New Roman" w:eastAsia="Times New Roman" w:hAnsi="Times New Roman"/>
          <w:i/>
          <w:sz w:val="28"/>
          <w:szCs w:val="28"/>
          <w:u w:val="single"/>
        </w:rPr>
        <w:t xml:space="preserve">3. Мероприятия 2.4 и 2.5. </w:t>
      </w:r>
      <w:r w:rsidRPr="00A53AD7">
        <w:rPr>
          <w:rFonts w:ascii="Times New Roman" w:eastAsia="Times New Roman" w:hAnsi="Times New Roman"/>
          <w:sz w:val="28"/>
          <w:szCs w:val="28"/>
        </w:rPr>
        <w:t>включены в состав мероприятий, реализуемых в рамках ГП АО №330-пп</w:t>
      </w:r>
      <w:r w:rsidRPr="00A53AD7">
        <w:rPr>
          <w:rFonts w:ascii="Times New Roman" w:hAnsi="Times New Roman"/>
          <w:iCs/>
          <w:sz w:val="28"/>
          <w:szCs w:val="28"/>
        </w:rPr>
        <w:t xml:space="preserve"> постановлением Правительства</w:t>
      </w:r>
      <w:r w:rsidR="004A1924" w:rsidRPr="00A53AD7">
        <w:rPr>
          <w:rFonts w:ascii="Times New Roman" w:hAnsi="Times New Roman"/>
          <w:iCs/>
          <w:sz w:val="28"/>
          <w:szCs w:val="28"/>
        </w:rPr>
        <w:t xml:space="preserve"> АО от 23.07.2019 года №401-пп.</w:t>
      </w:r>
    </w:p>
    <w:p w14:paraId="3811BAD9"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министерством строительства и жилищно-коммунального хозяйства РФ и Правительством АО 18.07.2019г. заключено Соглашение о предоставлении иного межбюджетного трансферта, имеющего целевое назначение, предоставляемого в 2019 году из федерального бюджета бюджету Архангельской области на финансовое обеспечение расходов по реализации проектов создания комфортной городской среды в малых городах и исторических поселениях в рамках проведения Всероссийского конкурса лучших проектов создания комфортной городской среды № 069-17-2019-117 (далее Соглашение №069-17-2019-117).</w:t>
      </w:r>
    </w:p>
    <w:p w14:paraId="1B39DCE4"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Согласно пункту 2.2. Соглашения №069-17-2019-117 общий размер иного межбюджетного трансферта, предоставляемого из федерального бюджета бюджету области в 2019 составляет 139,0 млн.руб. На 2019 год установлен целевой показатель в рамках федерального проекта по субъекту РФ:</w:t>
      </w:r>
    </w:p>
    <w:p w14:paraId="15DBEA4D" w14:textId="27F228BC" w:rsidR="0002427A" w:rsidRPr="00A53AD7" w:rsidRDefault="0002427A" w:rsidP="00CA1DDD">
      <w:pPr>
        <w:pStyle w:val="a8"/>
        <w:numPr>
          <w:ilvl w:val="0"/>
          <w:numId w:val="52"/>
        </w:numPr>
        <w:ind w:left="0" w:firstLine="851"/>
        <w:jc w:val="both"/>
        <w:rPr>
          <w:sz w:val="28"/>
          <w:szCs w:val="28"/>
        </w:rPr>
      </w:pPr>
      <w:r w:rsidRPr="00A53AD7">
        <w:rPr>
          <w:sz w:val="28"/>
          <w:szCs w:val="28"/>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- 1 шт.</w:t>
      </w:r>
    </w:p>
    <w:p w14:paraId="30B84CC9" w14:textId="77777777" w:rsidR="0002427A" w:rsidRPr="00A53AD7" w:rsidRDefault="0002427A" w:rsidP="00CA1DDD">
      <w:pPr>
        <w:pStyle w:val="a8"/>
        <w:numPr>
          <w:ilvl w:val="0"/>
          <w:numId w:val="52"/>
        </w:numPr>
        <w:ind w:left="0" w:firstLine="851"/>
        <w:jc w:val="both"/>
        <w:rPr>
          <w:sz w:val="28"/>
          <w:szCs w:val="28"/>
        </w:rPr>
      </w:pPr>
      <w:r w:rsidRPr="00A53AD7">
        <w:rPr>
          <w:sz w:val="28"/>
          <w:szCs w:val="28"/>
        </w:rPr>
        <w:t>Предоставление иного межбюджетного трансферта запланировано на реализацию следующих проектов:</w:t>
      </w:r>
    </w:p>
    <w:p w14:paraId="10117B8F" w14:textId="77777777" w:rsidR="004A1924" w:rsidRPr="00A53AD7" w:rsidRDefault="004A1924" w:rsidP="004A1924">
      <w:pPr>
        <w:spacing w:after="0" w:line="240" w:lineRule="auto"/>
        <w:ind w:firstLine="851"/>
        <w:jc w:val="both"/>
        <w:rPr>
          <w:rFonts w:ascii="Times New Roman" w:hAnsi="Times New Roman"/>
          <w:i/>
          <w:iCs/>
          <w:sz w:val="28"/>
          <w:szCs w:val="28"/>
          <w:u w:val="single"/>
        </w:rPr>
      </w:pPr>
    </w:p>
    <w:p w14:paraId="2966996E" w14:textId="13E503F0" w:rsidR="0002427A" w:rsidRPr="00A53AD7" w:rsidRDefault="0002427A" w:rsidP="004A1924">
      <w:pPr>
        <w:spacing w:after="0" w:line="240" w:lineRule="auto"/>
        <w:ind w:firstLine="851"/>
        <w:jc w:val="both"/>
        <w:rPr>
          <w:rFonts w:ascii="Times New Roman" w:hAnsi="Times New Roman"/>
          <w:i/>
          <w:iCs/>
          <w:sz w:val="28"/>
          <w:szCs w:val="28"/>
          <w:u w:val="single"/>
        </w:rPr>
      </w:pPr>
      <w:r w:rsidRPr="00A53AD7">
        <w:rPr>
          <w:rFonts w:ascii="Times New Roman" w:hAnsi="Times New Roman"/>
          <w:i/>
          <w:iCs/>
          <w:sz w:val="28"/>
          <w:szCs w:val="28"/>
          <w:u w:val="single"/>
        </w:rPr>
        <w:t>Мероприятие №</w:t>
      </w:r>
      <w:r w:rsidR="004A1924" w:rsidRPr="00A53AD7">
        <w:rPr>
          <w:rFonts w:ascii="Times New Roman" w:hAnsi="Times New Roman"/>
          <w:i/>
          <w:iCs/>
          <w:sz w:val="28"/>
          <w:szCs w:val="28"/>
          <w:u w:val="single"/>
        </w:rPr>
        <w:t xml:space="preserve"> </w:t>
      </w:r>
      <w:r w:rsidRPr="00A53AD7">
        <w:rPr>
          <w:rFonts w:ascii="Times New Roman" w:hAnsi="Times New Roman"/>
          <w:i/>
          <w:iCs/>
          <w:sz w:val="28"/>
          <w:szCs w:val="28"/>
          <w:u w:val="single"/>
        </w:rPr>
        <w:t>2.4. «Реализация проекта "Сохраняя прошлое - создаем будущее" в г. Сольвычегодск в рамках реализации федерального проекта «Формирование комфортной городской среды» нац. проекта «Жилье и городская среда».</w:t>
      </w:r>
    </w:p>
    <w:p w14:paraId="6018E5B4"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Проект «Сохраняя прошлое – создаем будущее» в г. Сольвычегодск, Котласского муниципального района, победитель Конкурса в 2019 году в номинации «исторические поселения». Срок завершения реализации проекта – не позднее 31.12.2020 года.</w:t>
      </w:r>
    </w:p>
    <w:p w14:paraId="363114F1"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финансирования на 2019 год в Приложении №2 ГП АО №330-пп установлен в размере 54,0 млн.руб. за счет средств федерального бюджета, исполнено – 7,05 млн.руб. или на 13%.</w:t>
      </w:r>
    </w:p>
    <w:p w14:paraId="13FD2045" w14:textId="00496096"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Для реализации мероприятия - проекта «Сохраняя прошлое – создаем будущее» администрацией МО «Сольвычегодское» заключены 2 муниципальных контракта (далее – МК)</w:t>
      </w:r>
      <w:r w:rsidR="005915D8" w:rsidRPr="00A53AD7">
        <w:rPr>
          <w:rFonts w:ascii="Times New Roman" w:hAnsi="Times New Roman"/>
          <w:sz w:val="28"/>
          <w:szCs w:val="28"/>
        </w:rPr>
        <w:t xml:space="preserve"> </w:t>
      </w:r>
      <w:r w:rsidRPr="00A53AD7">
        <w:rPr>
          <w:rFonts w:ascii="Times New Roman" w:hAnsi="Times New Roman"/>
          <w:sz w:val="28"/>
          <w:szCs w:val="28"/>
        </w:rPr>
        <w:t xml:space="preserve">с ООО «ПИРИТ-99» на разработку: Техническое задание на выполнение работ по разработке научно-проектной документации Общая стоимость контрактов – 5,8 млн.руб. </w:t>
      </w:r>
    </w:p>
    <w:p w14:paraId="70CBABD0" w14:textId="335AA955"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в актах приема-передачи по вышеуказанным контрактам отсутствуют даты принятия выполненных работ. Счета на оплату предъявлены подрядчиком администрации поселения от 09.12.2019 года, на общую сумму 5,6 млн.руб.</w:t>
      </w:r>
      <w:r w:rsidR="005915D8" w:rsidRPr="00A53AD7">
        <w:rPr>
          <w:rFonts w:ascii="Times New Roman" w:hAnsi="Times New Roman"/>
          <w:sz w:val="28"/>
          <w:szCs w:val="28"/>
        </w:rPr>
        <w:t xml:space="preserve"> </w:t>
      </w:r>
      <w:r w:rsidRPr="00A53AD7">
        <w:rPr>
          <w:rFonts w:ascii="Times New Roman" w:hAnsi="Times New Roman"/>
          <w:sz w:val="28"/>
          <w:szCs w:val="28"/>
        </w:rPr>
        <w:t>На официальном сайте zakupki.gov.ru по МК №15-ЭА/2019 размещена сканированная копия акта приема-передачи, который датируется 20.12.2019 года. По МК №16-ЭА/2019 по состоянию на 03.03.2020 акт приема-передачи не размещен.</w:t>
      </w:r>
    </w:p>
    <w:p w14:paraId="508B45F8"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заключенному МК от 05.08.2019 № 16-ЭА/2019 оплата выполненных работ за счет средств из федерального бюджета произведена на меньшую сумму от запланированной в 2019 году в связи с необходимостью доработки ПСД со стороны подрядчика. Министерством ТЭК и ЖКХ АО средства в сумме 2,187 млн.руб. возвращены в Минстрой России.</w:t>
      </w:r>
    </w:p>
    <w:p w14:paraId="0A081B3B"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 состоянию на 03.03.2020 года работы по МК №16-ЭА/2019 не приняты.</w:t>
      </w:r>
    </w:p>
    <w:p w14:paraId="74095BA1"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Также администрацией МО «Сольвычегодское» заключены три муниципальных контракта с ООО «Альянс-проект» на разработку проектно-сметной документации/проекта. Стоимость всех контрактов составила 3,6 млн.руб. Акты приема-передачи по всем трем контрактам датируются 14.11.2019 года, то есть с нарушением срока выполнения работ на 44 дня.</w:t>
      </w:r>
    </w:p>
    <w:p w14:paraId="260D2E58"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Администрацией МО «Сольвычегодское» 04.10.2019 года с ГАУ АО «АРЦЦС» заключен договор №965-ОД/19 оказания услуги по проведению проверки достоверности определения сметной стоимости объектов стоимостью 0,020 млн.руб. 05.11.2019 по акту приема-передачи работы приняты в полном объеме.</w:t>
      </w:r>
    </w:p>
    <w:p w14:paraId="7ECB5089" w14:textId="77777777" w:rsidR="004A1924" w:rsidRPr="00A53AD7" w:rsidRDefault="004A1924" w:rsidP="004A1924">
      <w:pPr>
        <w:spacing w:after="0" w:line="240" w:lineRule="auto"/>
        <w:ind w:firstLine="851"/>
        <w:jc w:val="both"/>
        <w:rPr>
          <w:rFonts w:ascii="Times New Roman" w:hAnsi="Times New Roman"/>
          <w:sz w:val="28"/>
          <w:szCs w:val="28"/>
        </w:rPr>
      </w:pPr>
    </w:p>
    <w:p w14:paraId="62B7AD60" w14:textId="77777777" w:rsidR="0002427A" w:rsidRPr="00A53AD7" w:rsidRDefault="0002427A" w:rsidP="004A1924">
      <w:pPr>
        <w:spacing w:after="0" w:line="240" w:lineRule="auto"/>
        <w:ind w:firstLine="851"/>
        <w:jc w:val="both"/>
        <w:rPr>
          <w:rFonts w:ascii="Times New Roman" w:hAnsi="Times New Roman"/>
          <w:i/>
          <w:iCs/>
          <w:sz w:val="28"/>
          <w:szCs w:val="28"/>
          <w:u w:val="single"/>
        </w:rPr>
      </w:pPr>
      <w:r w:rsidRPr="00A53AD7">
        <w:rPr>
          <w:rFonts w:ascii="Times New Roman" w:hAnsi="Times New Roman"/>
          <w:i/>
          <w:iCs/>
          <w:sz w:val="28"/>
          <w:szCs w:val="28"/>
          <w:u w:val="single"/>
        </w:rPr>
        <w:t>Мероприятие №2.5. «Реализация проекта «РАВНОВЕСИЕ - программа активации городских связей» в г. Котлас в рамках реализации федерального проекта «Формирование комфортной городской среды» нац. проекта «Жилье и городская среда».</w:t>
      </w:r>
    </w:p>
    <w:p w14:paraId="3B8319B0"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финансирования данного мероприятия на 2019 год в редакции, действующей на конец отчетного периода, составляет 85,0 млн.руб. за счет средств федерального бюджета, исполнено – 0 млн.руб. или на 0%.</w:t>
      </w:r>
    </w:p>
    <w:p w14:paraId="2F7D384D"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завершения реализации проекта – не позднее 31.12.2020 года.</w:t>
      </w:r>
    </w:p>
    <w:p w14:paraId="71E5A0C3"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мероприятия 27.09.2019 министерством ТЭК и ЖКХ АО заключено Соглашение о предоставлении иного межбюджетного трансферта, имеющего целевое назначение, предоставляемого в 2019 году из бюджета Архангельской области бюджету МО "Котлас" на финансовое обеспечение расходов по реализации проектов создания комфортной городской среды в малых городах и исторических поселениях в рамках Всероссийского конкурса лучших проектов создания комфортной городской среды №11710000-1-2019-012.</w:t>
      </w:r>
    </w:p>
    <w:p w14:paraId="11553AED" w14:textId="09AF0AC9"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нарушение положения пункта 30 Порядка разработки и реализации государственных программ Архангельской области, утвержденного постановлением Правительства Архангельской области от 10.07.2012 № 299-пп (далее -</w:t>
      </w:r>
      <w:r w:rsidR="005915D8" w:rsidRPr="00A53AD7">
        <w:rPr>
          <w:rFonts w:ascii="Times New Roman" w:hAnsi="Times New Roman"/>
          <w:sz w:val="28"/>
          <w:szCs w:val="28"/>
        </w:rPr>
        <w:t xml:space="preserve"> </w:t>
      </w:r>
      <w:r w:rsidRPr="00A53AD7">
        <w:rPr>
          <w:rFonts w:ascii="Times New Roman" w:hAnsi="Times New Roman"/>
          <w:sz w:val="28"/>
          <w:szCs w:val="28"/>
        </w:rPr>
        <w:t xml:space="preserve">министерством ТЭК и ЖКХ АО представлен годовой отчет о реализации мероприятий ГП АО № 330-пп (размещен в КИАС), которым в строку мероприятия № 2.3 внесены данные объемов финансового обеспечения, предоставленные на реализацию мероприятий № 2.4 и № 2.5 (строки по мероприятиям № 2.4 и № 2.5 отсутствуют), что не соответствует утвержденной форме согласно приложению № 8 к Порядку № 299-пп, согласно которой в </w:t>
      </w:r>
      <w:hyperlink r:id="rId70" w:history="1">
        <w:r w:rsidRPr="00A53AD7">
          <w:rPr>
            <w:rFonts w:ascii="Times New Roman" w:hAnsi="Times New Roman"/>
            <w:sz w:val="28"/>
            <w:szCs w:val="28"/>
          </w:rPr>
          <w:t>графе 1</w:t>
        </w:r>
      </w:hyperlink>
      <w:r w:rsidRPr="00A53AD7">
        <w:rPr>
          <w:rFonts w:ascii="Times New Roman" w:hAnsi="Times New Roman"/>
          <w:sz w:val="28"/>
          <w:szCs w:val="28"/>
        </w:rPr>
        <w:t xml:space="preserve"> отчета указываются номер и наименование мероприятия в соответствии с постановлением Правительства Архангельской области о государственной программе. Министерством ТЭК и ЖКХ АО в нарушение пункта 21 Порядка №299-пп не внесено изменений в план реализации государственной программы № 330-пп, в связи с чем, по мероприятию № 2.3. учтены средства федерального бюджета, которые были направлены</w:t>
      </w:r>
      <w:r w:rsidR="003C557A" w:rsidRPr="00A53AD7">
        <w:rPr>
          <w:rFonts w:ascii="Times New Roman" w:hAnsi="Times New Roman"/>
          <w:sz w:val="28"/>
          <w:szCs w:val="28"/>
        </w:rPr>
        <w:t>.</w:t>
      </w:r>
    </w:p>
    <w:p w14:paraId="0DC240BC" w14:textId="77777777" w:rsidR="0002427A" w:rsidRPr="00A53AD7" w:rsidRDefault="0002427A" w:rsidP="004A192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за счет средств федерального бюджета в размере 9,243 млн.руб., произведенные в рамках реализации мероприятия №2.4 учтены по мероприятию №2.3.</w:t>
      </w:r>
    </w:p>
    <w:p w14:paraId="26820A0A" w14:textId="22B99FC3" w:rsidR="00ED2EC7" w:rsidRPr="00A53AD7" w:rsidRDefault="00ED2EC7" w:rsidP="00ED2EC7">
      <w:pPr>
        <w:pStyle w:val="3"/>
        <w:spacing w:line="240" w:lineRule="auto"/>
        <w:jc w:val="center"/>
        <w:rPr>
          <w:rFonts w:ascii="Times New Roman" w:hAnsi="Times New Roman"/>
          <w:b w:val="0"/>
          <w:sz w:val="28"/>
          <w:szCs w:val="28"/>
          <w:u w:val="single"/>
          <w:lang w:val="ru-RU"/>
        </w:rPr>
      </w:pPr>
      <w:bookmarkStart w:id="87" w:name="_Toc42006735"/>
      <w:r w:rsidRPr="00A53AD7">
        <w:rPr>
          <w:rFonts w:ascii="Times New Roman" w:hAnsi="Times New Roman"/>
          <w:b w:val="0"/>
          <w:sz w:val="28"/>
          <w:szCs w:val="28"/>
          <w:u w:val="single"/>
          <w:lang w:val="ru-RU"/>
        </w:rPr>
        <w:t>4.2.14. Государственная программы Архангельской области «Развитие торговли в Архангельской области»</w:t>
      </w:r>
      <w:bookmarkEnd w:id="87"/>
    </w:p>
    <w:p w14:paraId="65C7DE06"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Государственная программа Архангельской области «Развитие торговли в Архангельской области» (далее – ГП «Развитие торговли в Архангельской области», госпрограмма, программа) утверждена постановлением Правительства Архангельской области от 08.10.2013 № 460-пп. </w:t>
      </w:r>
    </w:p>
    <w:p w14:paraId="3F9D7574"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Ответственный исполнитель государственной программы - министерство агропромышленного комплекса и торговли Архангельской области (далее - министерство АПК и торговли).</w:t>
      </w:r>
    </w:p>
    <w:p w14:paraId="16AFC4DA"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Основными приоритетами государственной политики Архангельской области в сфере развития потребительского рынка на среднесрочную перспективу являются:</w:t>
      </w:r>
    </w:p>
    <w:p w14:paraId="701F8D46"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формирование современной инфраструктуры торговли и повышение территориальной доступности торговых объектов для населения Архангельской области (далее - население), в том числе для маломобильных групп населения;</w:t>
      </w:r>
    </w:p>
    <w:p w14:paraId="057BAB79"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привлечение инвестиционных ресурсов из различных источников в развитие инфраструктуры потребительского рынка, реконструкция и строительство объектов торговли, развитие сети социально ориентированных организаций потребительского рынка;</w:t>
      </w:r>
    </w:p>
    <w:p w14:paraId="746DE9F1"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поддержка и продвижение продукции сельхозтоваропроизводителей;</w:t>
      </w:r>
    </w:p>
    <w:p w14:paraId="37B4AA1A"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развитие выставочно-ярмарочной деятельности;</w:t>
      </w:r>
    </w:p>
    <w:p w14:paraId="28EE827C"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создание благоприятных условий для обеспечения защиты прав потребителей.</w:t>
      </w:r>
    </w:p>
    <w:p w14:paraId="61109D1F"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изменения в госпрограмму были внесены шесть раз, редакцией от 10.10.2019 срок реализации госпрограммы продлен на один год до 2022 года. Общий объем финансирования (ред. от 24.12.2019) составил всего по программе 48,6 млн.руб., из них: средства областного бюджета – 27,8 млн.руб., средства местных бюджетов – 20,8 млн.руб.</w:t>
      </w:r>
    </w:p>
    <w:p w14:paraId="55689271"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Объемы финансирования в текущем году на реализацию госпрограммы с изменениями по источникам в разрезе мероприятий представлены в таблице ниже:</w:t>
      </w:r>
    </w:p>
    <w:tbl>
      <w:tblPr>
        <w:tblW w:w="9371" w:type="dxa"/>
        <w:tblInd w:w="93" w:type="dxa"/>
        <w:tblLook w:val="04A0" w:firstRow="1" w:lastRow="0" w:firstColumn="1" w:lastColumn="0" w:noHBand="0" w:noVBand="1"/>
      </w:tblPr>
      <w:tblGrid>
        <w:gridCol w:w="3240"/>
        <w:gridCol w:w="1060"/>
        <w:gridCol w:w="1060"/>
        <w:gridCol w:w="1060"/>
        <w:gridCol w:w="860"/>
        <w:gridCol w:w="900"/>
        <w:gridCol w:w="1191"/>
      </w:tblGrid>
      <w:tr w:rsidR="00D470B6" w:rsidRPr="00A53AD7" w14:paraId="581D7017" w14:textId="77777777" w:rsidTr="00ED2EC7">
        <w:trPr>
          <w:trHeight w:val="288"/>
          <w:tblHeader/>
        </w:trPr>
        <w:tc>
          <w:tcPr>
            <w:tcW w:w="3240" w:type="dxa"/>
            <w:vMerge w:val="restart"/>
            <w:tcBorders>
              <w:top w:val="double" w:sz="4" w:space="0" w:color="auto"/>
              <w:left w:val="double" w:sz="4" w:space="0" w:color="auto"/>
              <w:bottom w:val="single" w:sz="4" w:space="0" w:color="000000"/>
              <w:right w:val="single" w:sz="4" w:space="0" w:color="auto"/>
            </w:tcBorders>
            <w:shd w:val="clear" w:color="auto" w:fill="auto"/>
            <w:vAlign w:val="center"/>
            <w:hideMark/>
          </w:tcPr>
          <w:p w14:paraId="27C6CD46"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Источник финансирования мероприятия ГП</w:t>
            </w:r>
          </w:p>
        </w:tc>
        <w:tc>
          <w:tcPr>
            <w:tcW w:w="6131" w:type="dxa"/>
            <w:gridSpan w:val="6"/>
            <w:tcBorders>
              <w:top w:val="double" w:sz="4" w:space="0" w:color="auto"/>
              <w:left w:val="single" w:sz="4" w:space="0" w:color="auto"/>
              <w:bottom w:val="single" w:sz="4" w:space="0" w:color="auto"/>
              <w:right w:val="double" w:sz="4" w:space="0" w:color="auto"/>
            </w:tcBorders>
            <w:shd w:val="clear" w:color="auto" w:fill="auto"/>
            <w:vAlign w:val="center"/>
            <w:hideMark/>
          </w:tcPr>
          <w:p w14:paraId="10BDB034"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xml:space="preserve">Объем финансирования (млн. рублей) </w:t>
            </w:r>
          </w:p>
        </w:tc>
      </w:tr>
      <w:tr w:rsidR="00D470B6" w:rsidRPr="00A53AD7" w14:paraId="70BC2CE0" w14:textId="77777777" w:rsidTr="00ED2EC7">
        <w:trPr>
          <w:trHeight w:val="876"/>
          <w:tblHeader/>
        </w:trPr>
        <w:tc>
          <w:tcPr>
            <w:tcW w:w="3240" w:type="dxa"/>
            <w:vMerge/>
            <w:tcBorders>
              <w:top w:val="single" w:sz="8" w:space="0" w:color="auto"/>
              <w:left w:val="double" w:sz="4" w:space="0" w:color="auto"/>
              <w:bottom w:val="single" w:sz="4" w:space="0" w:color="000000"/>
              <w:right w:val="nil"/>
            </w:tcBorders>
            <w:vAlign w:val="center"/>
            <w:hideMark/>
          </w:tcPr>
          <w:p w14:paraId="7C61FAD8" w14:textId="77777777" w:rsidR="00ED2EC7" w:rsidRPr="00A53AD7" w:rsidRDefault="00ED2EC7" w:rsidP="00ED2EC7">
            <w:pPr>
              <w:spacing w:after="0" w:line="240" w:lineRule="auto"/>
              <w:rPr>
                <w:rFonts w:ascii="Times New Roman" w:hAnsi="Times New Roman"/>
              </w:rPr>
            </w:pPr>
          </w:p>
        </w:tc>
        <w:tc>
          <w:tcPr>
            <w:tcW w:w="21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11E2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 01.01.2019 ред. от 29.12.2018 (2014 - 2021 годы)</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14:paraId="384F081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 01.01.2020 ред. от 24.12.2019 (2014 - 2022 годы)</w:t>
            </w:r>
          </w:p>
        </w:tc>
        <w:tc>
          <w:tcPr>
            <w:tcW w:w="2091" w:type="dxa"/>
            <w:gridSpan w:val="2"/>
            <w:tcBorders>
              <w:top w:val="single" w:sz="4" w:space="0" w:color="auto"/>
              <w:left w:val="nil"/>
              <w:bottom w:val="single" w:sz="4" w:space="0" w:color="auto"/>
              <w:right w:val="double" w:sz="4" w:space="0" w:color="auto"/>
            </w:tcBorders>
            <w:shd w:val="clear" w:color="auto" w:fill="auto"/>
            <w:vAlign w:val="center"/>
            <w:hideMark/>
          </w:tcPr>
          <w:p w14:paraId="4AF694E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Изменения за 2019 год</w:t>
            </w:r>
          </w:p>
        </w:tc>
      </w:tr>
      <w:tr w:rsidR="00D470B6" w:rsidRPr="00A53AD7" w14:paraId="1ACFEDC1" w14:textId="77777777" w:rsidTr="00ED2EC7">
        <w:trPr>
          <w:trHeight w:val="528"/>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7E1272F9"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Период</w:t>
            </w:r>
          </w:p>
        </w:tc>
        <w:tc>
          <w:tcPr>
            <w:tcW w:w="1060" w:type="dxa"/>
            <w:tcBorders>
              <w:top w:val="nil"/>
              <w:left w:val="nil"/>
              <w:bottom w:val="single" w:sz="4" w:space="0" w:color="auto"/>
              <w:right w:val="single" w:sz="4" w:space="0" w:color="auto"/>
            </w:tcBorders>
            <w:shd w:val="clear" w:color="auto" w:fill="auto"/>
            <w:vAlign w:val="center"/>
            <w:hideMark/>
          </w:tcPr>
          <w:p w14:paraId="24D1C65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всего по ГП</w:t>
            </w:r>
          </w:p>
        </w:tc>
        <w:tc>
          <w:tcPr>
            <w:tcW w:w="1060" w:type="dxa"/>
            <w:tcBorders>
              <w:top w:val="nil"/>
              <w:left w:val="nil"/>
              <w:bottom w:val="single" w:sz="4" w:space="0" w:color="auto"/>
              <w:right w:val="single" w:sz="4" w:space="0" w:color="auto"/>
            </w:tcBorders>
            <w:shd w:val="clear" w:color="auto" w:fill="auto"/>
            <w:vAlign w:val="center"/>
            <w:hideMark/>
          </w:tcPr>
          <w:p w14:paraId="1EB322F8"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2019 год</w:t>
            </w:r>
          </w:p>
        </w:tc>
        <w:tc>
          <w:tcPr>
            <w:tcW w:w="1060" w:type="dxa"/>
            <w:tcBorders>
              <w:top w:val="nil"/>
              <w:left w:val="nil"/>
              <w:bottom w:val="single" w:sz="4" w:space="0" w:color="auto"/>
              <w:right w:val="single" w:sz="4" w:space="0" w:color="auto"/>
            </w:tcBorders>
            <w:shd w:val="clear" w:color="auto" w:fill="auto"/>
            <w:vAlign w:val="center"/>
            <w:hideMark/>
          </w:tcPr>
          <w:p w14:paraId="5951476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всего по ГП</w:t>
            </w:r>
          </w:p>
        </w:tc>
        <w:tc>
          <w:tcPr>
            <w:tcW w:w="860" w:type="dxa"/>
            <w:tcBorders>
              <w:top w:val="nil"/>
              <w:left w:val="nil"/>
              <w:bottom w:val="single" w:sz="4" w:space="0" w:color="auto"/>
              <w:right w:val="single" w:sz="4" w:space="0" w:color="auto"/>
            </w:tcBorders>
            <w:shd w:val="clear" w:color="auto" w:fill="auto"/>
            <w:vAlign w:val="center"/>
            <w:hideMark/>
          </w:tcPr>
          <w:p w14:paraId="1E2C326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2019 год</w:t>
            </w:r>
          </w:p>
        </w:tc>
        <w:tc>
          <w:tcPr>
            <w:tcW w:w="900" w:type="dxa"/>
            <w:tcBorders>
              <w:top w:val="nil"/>
              <w:left w:val="nil"/>
              <w:bottom w:val="single" w:sz="4" w:space="0" w:color="auto"/>
              <w:right w:val="single" w:sz="4" w:space="0" w:color="auto"/>
            </w:tcBorders>
            <w:shd w:val="clear" w:color="auto" w:fill="auto"/>
            <w:vAlign w:val="center"/>
            <w:hideMark/>
          </w:tcPr>
          <w:p w14:paraId="20973F70"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всего по ГП</w:t>
            </w:r>
          </w:p>
        </w:tc>
        <w:tc>
          <w:tcPr>
            <w:tcW w:w="1191" w:type="dxa"/>
            <w:tcBorders>
              <w:top w:val="nil"/>
              <w:left w:val="nil"/>
              <w:bottom w:val="single" w:sz="4" w:space="0" w:color="auto"/>
              <w:right w:val="double" w:sz="4" w:space="0" w:color="auto"/>
            </w:tcBorders>
            <w:shd w:val="clear" w:color="auto" w:fill="auto"/>
            <w:vAlign w:val="center"/>
            <w:hideMark/>
          </w:tcPr>
          <w:p w14:paraId="65697C3C"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2019 год</w:t>
            </w:r>
          </w:p>
        </w:tc>
      </w:tr>
      <w:tr w:rsidR="00D470B6" w:rsidRPr="00A53AD7" w14:paraId="0ADC7619" w14:textId="77777777" w:rsidTr="00ED2EC7">
        <w:trPr>
          <w:trHeight w:val="720"/>
        </w:trPr>
        <w:tc>
          <w:tcPr>
            <w:tcW w:w="9371"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35E0C46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Формирование и актуализация торгового реестра Архангельской области, включающего в себя сведения о хозяйствующих субъектах, осуществляющих торговую деятельность и поставки товаров (за исключением производителей товаров), принадлежащих им объектах, и о состоянии торговли на территории Архангельской области</w:t>
            </w:r>
          </w:p>
        </w:tc>
      </w:tr>
      <w:tr w:rsidR="00D470B6" w:rsidRPr="00A53AD7" w14:paraId="0AD7519A" w14:textId="77777777" w:rsidTr="00ED2EC7">
        <w:trPr>
          <w:trHeight w:val="276"/>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46AB5128"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 xml:space="preserve">итого </w:t>
            </w:r>
          </w:p>
        </w:tc>
        <w:tc>
          <w:tcPr>
            <w:tcW w:w="1060" w:type="dxa"/>
            <w:tcBorders>
              <w:top w:val="nil"/>
              <w:left w:val="nil"/>
              <w:bottom w:val="single" w:sz="4" w:space="0" w:color="auto"/>
              <w:right w:val="single" w:sz="4" w:space="0" w:color="auto"/>
            </w:tcBorders>
            <w:shd w:val="clear" w:color="auto" w:fill="auto"/>
            <w:vAlign w:val="center"/>
            <w:hideMark/>
          </w:tcPr>
          <w:p w14:paraId="35554E9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7,4</w:t>
            </w:r>
          </w:p>
        </w:tc>
        <w:tc>
          <w:tcPr>
            <w:tcW w:w="1060" w:type="dxa"/>
            <w:tcBorders>
              <w:top w:val="nil"/>
              <w:left w:val="nil"/>
              <w:bottom w:val="single" w:sz="4" w:space="0" w:color="auto"/>
              <w:right w:val="single" w:sz="4" w:space="0" w:color="auto"/>
            </w:tcBorders>
            <w:shd w:val="clear" w:color="auto" w:fill="auto"/>
            <w:vAlign w:val="center"/>
            <w:hideMark/>
          </w:tcPr>
          <w:p w14:paraId="24B4AF47"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1060" w:type="dxa"/>
            <w:tcBorders>
              <w:top w:val="nil"/>
              <w:left w:val="nil"/>
              <w:bottom w:val="single" w:sz="4" w:space="0" w:color="auto"/>
              <w:right w:val="single" w:sz="4" w:space="0" w:color="auto"/>
            </w:tcBorders>
            <w:shd w:val="clear" w:color="auto" w:fill="auto"/>
            <w:vAlign w:val="center"/>
            <w:hideMark/>
          </w:tcPr>
          <w:p w14:paraId="42B50804"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8,3</w:t>
            </w:r>
          </w:p>
        </w:tc>
        <w:tc>
          <w:tcPr>
            <w:tcW w:w="860" w:type="dxa"/>
            <w:tcBorders>
              <w:top w:val="nil"/>
              <w:left w:val="nil"/>
              <w:bottom w:val="single" w:sz="4" w:space="0" w:color="auto"/>
              <w:right w:val="single" w:sz="4" w:space="0" w:color="auto"/>
            </w:tcBorders>
            <w:shd w:val="clear" w:color="auto" w:fill="auto"/>
            <w:vAlign w:val="center"/>
            <w:hideMark/>
          </w:tcPr>
          <w:p w14:paraId="3601576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900" w:type="dxa"/>
            <w:tcBorders>
              <w:top w:val="nil"/>
              <w:left w:val="nil"/>
              <w:bottom w:val="single" w:sz="4" w:space="0" w:color="auto"/>
              <w:right w:val="single" w:sz="4" w:space="0" w:color="auto"/>
            </w:tcBorders>
            <w:shd w:val="clear" w:color="auto" w:fill="auto"/>
            <w:vAlign w:val="center"/>
            <w:hideMark/>
          </w:tcPr>
          <w:p w14:paraId="6C82A4A4"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1191" w:type="dxa"/>
            <w:tcBorders>
              <w:top w:val="nil"/>
              <w:left w:val="nil"/>
              <w:bottom w:val="single" w:sz="4" w:space="0" w:color="auto"/>
              <w:right w:val="double" w:sz="4" w:space="0" w:color="auto"/>
            </w:tcBorders>
            <w:shd w:val="clear" w:color="auto" w:fill="auto"/>
            <w:vAlign w:val="center"/>
            <w:hideMark/>
          </w:tcPr>
          <w:p w14:paraId="6AF3177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w:t>
            </w:r>
          </w:p>
        </w:tc>
      </w:tr>
      <w:tr w:rsidR="00D470B6" w:rsidRPr="00A53AD7" w14:paraId="2DBFA79F" w14:textId="77777777" w:rsidTr="00ED2EC7">
        <w:trPr>
          <w:trHeight w:val="167"/>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016224B1"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областной бюджет</w:t>
            </w:r>
          </w:p>
        </w:tc>
        <w:tc>
          <w:tcPr>
            <w:tcW w:w="1060" w:type="dxa"/>
            <w:tcBorders>
              <w:top w:val="nil"/>
              <w:left w:val="nil"/>
              <w:bottom w:val="single" w:sz="4" w:space="0" w:color="auto"/>
              <w:right w:val="single" w:sz="4" w:space="0" w:color="auto"/>
            </w:tcBorders>
            <w:shd w:val="clear" w:color="auto" w:fill="auto"/>
            <w:vAlign w:val="center"/>
            <w:hideMark/>
          </w:tcPr>
          <w:p w14:paraId="2D264011"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7,4</w:t>
            </w:r>
          </w:p>
        </w:tc>
        <w:tc>
          <w:tcPr>
            <w:tcW w:w="1060" w:type="dxa"/>
            <w:tcBorders>
              <w:top w:val="nil"/>
              <w:left w:val="nil"/>
              <w:bottom w:val="single" w:sz="4" w:space="0" w:color="auto"/>
              <w:right w:val="single" w:sz="4" w:space="0" w:color="auto"/>
            </w:tcBorders>
            <w:shd w:val="clear" w:color="auto" w:fill="auto"/>
            <w:vAlign w:val="center"/>
            <w:hideMark/>
          </w:tcPr>
          <w:p w14:paraId="2F7494A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1060" w:type="dxa"/>
            <w:tcBorders>
              <w:top w:val="nil"/>
              <w:left w:val="nil"/>
              <w:bottom w:val="single" w:sz="4" w:space="0" w:color="auto"/>
              <w:right w:val="single" w:sz="4" w:space="0" w:color="auto"/>
            </w:tcBorders>
            <w:shd w:val="clear" w:color="auto" w:fill="auto"/>
            <w:vAlign w:val="center"/>
            <w:hideMark/>
          </w:tcPr>
          <w:p w14:paraId="2676E2A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8,3</w:t>
            </w:r>
          </w:p>
        </w:tc>
        <w:tc>
          <w:tcPr>
            <w:tcW w:w="860" w:type="dxa"/>
            <w:tcBorders>
              <w:top w:val="nil"/>
              <w:left w:val="nil"/>
              <w:bottom w:val="single" w:sz="4" w:space="0" w:color="auto"/>
              <w:right w:val="single" w:sz="4" w:space="0" w:color="auto"/>
            </w:tcBorders>
            <w:shd w:val="clear" w:color="auto" w:fill="auto"/>
            <w:vAlign w:val="center"/>
            <w:hideMark/>
          </w:tcPr>
          <w:p w14:paraId="39E11F8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900" w:type="dxa"/>
            <w:tcBorders>
              <w:top w:val="nil"/>
              <w:left w:val="nil"/>
              <w:bottom w:val="single" w:sz="4" w:space="0" w:color="auto"/>
              <w:right w:val="single" w:sz="4" w:space="0" w:color="auto"/>
            </w:tcBorders>
            <w:shd w:val="clear" w:color="auto" w:fill="auto"/>
            <w:vAlign w:val="center"/>
            <w:hideMark/>
          </w:tcPr>
          <w:p w14:paraId="0C8368DB"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0,9</w:t>
            </w:r>
          </w:p>
        </w:tc>
        <w:tc>
          <w:tcPr>
            <w:tcW w:w="1191" w:type="dxa"/>
            <w:tcBorders>
              <w:top w:val="nil"/>
              <w:left w:val="nil"/>
              <w:bottom w:val="single" w:sz="4" w:space="0" w:color="auto"/>
              <w:right w:val="double" w:sz="4" w:space="0" w:color="auto"/>
            </w:tcBorders>
            <w:shd w:val="clear" w:color="auto" w:fill="auto"/>
            <w:vAlign w:val="center"/>
            <w:hideMark/>
          </w:tcPr>
          <w:p w14:paraId="285A5D7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w:t>
            </w:r>
          </w:p>
        </w:tc>
      </w:tr>
      <w:tr w:rsidR="00D470B6" w:rsidRPr="00A53AD7" w14:paraId="68D3612E" w14:textId="77777777" w:rsidTr="00ED2EC7">
        <w:trPr>
          <w:trHeight w:val="480"/>
        </w:trPr>
        <w:tc>
          <w:tcPr>
            <w:tcW w:w="9371" w:type="dxa"/>
            <w:gridSpan w:val="7"/>
            <w:tcBorders>
              <w:top w:val="single" w:sz="4" w:space="0" w:color="auto"/>
              <w:left w:val="double" w:sz="4" w:space="0" w:color="auto"/>
              <w:bottom w:val="single" w:sz="4" w:space="0" w:color="auto"/>
              <w:right w:val="double" w:sz="4" w:space="0" w:color="auto"/>
            </w:tcBorders>
            <w:shd w:val="clear" w:color="auto" w:fill="auto"/>
            <w:vAlign w:val="center"/>
            <w:hideMark/>
          </w:tcPr>
          <w:p w14:paraId="2C8E43FF"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Создание условий по обеспечению товарами первой необходимости жителей, проживающих в труднодоступных и малонаселенных пунктах Архангельской области</w:t>
            </w:r>
          </w:p>
        </w:tc>
      </w:tr>
      <w:tr w:rsidR="00D470B6" w:rsidRPr="00A53AD7" w14:paraId="7E88B155" w14:textId="77777777" w:rsidTr="00ED2EC7">
        <w:trPr>
          <w:trHeight w:val="276"/>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10440FDC"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итого</w:t>
            </w:r>
          </w:p>
        </w:tc>
        <w:tc>
          <w:tcPr>
            <w:tcW w:w="1060" w:type="dxa"/>
            <w:tcBorders>
              <w:top w:val="nil"/>
              <w:left w:val="nil"/>
              <w:bottom w:val="single" w:sz="4" w:space="0" w:color="auto"/>
              <w:right w:val="single" w:sz="4" w:space="0" w:color="auto"/>
            </w:tcBorders>
            <w:shd w:val="clear" w:color="auto" w:fill="auto"/>
            <w:vAlign w:val="center"/>
            <w:hideMark/>
          </w:tcPr>
          <w:p w14:paraId="1E211ED9"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36,0</w:t>
            </w:r>
          </w:p>
        </w:tc>
        <w:tc>
          <w:tcPr>
            <w:tcW w:w="1060" w:type="dxa"/>
            <w:tcBorders>
              <w:top w:val="nil"/>
              <w:left w:val="nil"/>
              <w:bottom w:val="single" w:sz="4" w:space="0" w:color="auto"/>
              <w:right w:val="single" w:sz="4" w:space="0" w:color="auto"/>
            </w:tcBorders>
            <w:shd w:val="clear" w:color="auto" w:fill="auto"/>
            <w:vAlign w:val="center"/>
            <w:hideMark/>
          </w:tcPr>
          <w:p w14:paraId="77A93FF3"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4,6</w:t>
            </w:r>
          </w:p>
        </w:tc>
        <w:tc>
          <w:tcPr>
            <w:tcW w:w="1060" w:type="dxa"/>
            <w:tcBorders>
              <w:top w:val="nil"/>
              <w:left w:val="nil"/>
              <w:bottom w:val="single" w:sz="4" w:space="0" w:color="auto"/>
              <w:right w:val="single" w:sz="4" w:space="0" w:color="auto"/>
            </w:tcBorders>
            <w:shd w:val="clear" w:color="auto" w:fill="auto"/>
            <w:vAlign w:val="center"/>
            <w:hideMark/>
          </w:tcPr>
          <w:p w14:paraId="3307344E"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40,3</w:t>
            </w:r>
          </w:p>
        </w:tc>
        <w:tc>
          <w:tcPr>
            <w:tcW w:w="860" w:type="dxa"/>
            <w:tcBorders>
              <w:top w:val="nil"/>
              <w:left w:val="nil"/>
              <w:bottom w:val="single" w:sz="4" w:space="0" w:color="auto"/>
              <w:right w:val="single" w:sz="4" w:space="0" w:color="auto"/>
            </w:tcBorders>
            <w:shd w:val="clear" w:color="auto" w:fill="auto"/>
            <w:vAlign w:val="center"/>
            <w:hideMark/>
          </w:tcPr>
          <w:p w14:paraId="366E64E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3,9</w:t>
            </w:r>
          </w:p>
        </w:tc>
        <w:tc>
          <w:tcPr>
            <w:tcW w:w="900" w:type="dxa"/>
            <w:tcBorders>
              <w:top w:val="nil"/>
              <w:left w:val="nil"/>
              <w:bottom w:val="single" w:sz="4" w:space="0" w:color="auto"/>
              <w:right w:val="single" w:sz="4" w:space="0" w:color="auto"/>
            </w:tcBorders>
            <w:shd w:val="clear" w:color="auto" w:fill="auto"/>
            <w:vAlign w:val="center"/>
            <w:hideMark/>
          </w:tcPr>
          <w:p w14:paraId="4421160E"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4,3</w:t>
            </w:r>
          </w:p>
        </w:tc>
        <w:tc>
          <w:tcPr>
            <w:tcW w:w="1191" w:type="dxa"/>
            <w:tcBorders>
              <w:top w:val="nil"/>
              <w:left w:val="nil"/>
              <w:bottom w:val="single" w:sz="4" w:space="0" w:color="auto"/>
              <w:right w:val="double" w:sz="4" w:space="0" w:color="auto"/>
            </w:tcBorders>
            <w:shd w:val="clear" w:color="auto" w:fill="auto"/>
            <w:vAlign w:val="center"/>
            <w:hideMark/>
          </w:tcPr>
          <w:p w14:paraId="4457FCC4"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-0,7</w:t>
            </w:r>
          </w:p>
        </w:tc>
      </w:tr>
      <w:tr w:rsidR="00D470B6" w:rsidRPr="00A53AD7" w14:paraId="31C7A3AB" w14:textId="77777777" w:rsidTr="00ED2EC7">
        <w:trPr>
          <w:trHeight w:val="252"/>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5D080AAE"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областной бюджет</w:t>
            </w:r>
          </w:p>
        </w:tc>
        <w:tc>
          <w:tcPr>
            <w:tcW w:w="1060" w:type="dxa"/>
            <w:tcBorders>
              <w:top w:val="nil"/>
              <w:left w:val="nil"/>
              <w:bottom w:val="single" w:sz="4" w:space="0" w:color="auto"/>
              <w:right w:val="single" w:sz="4" w:space="0" w:color="auto"/>
            </w:tcBorders>
            <w:shd w:val="clear" w:color="auto" w:fill="auto"/>
            <w:vAlign w:val="center"/>
            <w:hideMark/>
          </w:tcPr>
          <w:p w14:paraId="188E985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17,2</w:t>
            </w:r>
          </w:p>
        </w:tc>
        <w:tc>
          <w:tcPr>
            <w:tcW w:w="1060" w:type="dxa"/>
            <w:tcBorders>
              <w:top w:val="nil"/>
              <w:left w:val="nil"/>
              <w:bottom w:val="single" w:sz="4" w:space="0" w:color="auto"/>
              <w:right w:val="single" w:sz="4" w:space="0" w:color="auto"/>
            </w:tcBorders>
            <w:shd w:val="clear" w:color="auto" w:fill="auto"/>
            <w:vAlign w:val="center"/>
            <w:hideMark/>
          </w:tcPr>
          <w:p w14:paraId="3177275C"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2,5</w:t>
            </w:r>
          </w:p>
        </w:tc>
        <w:tc>
          <w:tcPr>
            <w:tcW w:w="1060" w:type="dxa"/>
            <w:tcBorders>
              <w:top w:val="nil"/>
              <w:left w:val="nil"/>
              <w:bottom w:val="single" w:sz="4" w:space="0" w:color="auto"/>
              <w:right w:val="single" w:sz="4" w:space="0" w:color="auto"/>
            </w:tcBorders>
            <w:shd w:val="clear" w:color="auto" w:fill="auto"/>
            <w:vAlign w:val="center"/>
            <w:hideMark/>
          </w:tcPr>
          <w:p w14:paraId="432DC18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19,5</w:t>
            </w:r>
          </w:p>
        </w:tc>
        <w:tc>
          <w:tcPr>
            <w:tcW w:w="860" w:type="dxa"/>
            <w:tcBorders>
              <w:top w:val="nil"/>
              <w:left w:val="nil"/>
              <w:bottom w:val="single" w:sz="4" w:space="0" w:color="auto"/>
              <w:right w:val="single" w:sz="4" w:space="0" w:color="auto"/>
            </w:tcBorders>
            <w:shd w:val="clear" w:color="auto" w:fill="auto"/>
            <w:vAlign w:val="center"/>
            <w:hideMark/>
          </w:tcPr>
          <w:p w14:paraId="4D6607FF"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2,3</w:t>
            </w:r>
          </w:p>
        </w:tc>
        <w:tc>
          <w:tcPr>
            <w:tcW w:w="900" w:type="dxa"/>
            <w:tcBorders>
              <w:top w:val="nil"/>
              <w:left w:val="nil"/>
              <w:bottom w:val="single" w:sz="4" w:space="0" w:color="auto"/>
              <w:right w:val="single" w:sz="4" w:space="0" w:color="auto"/>
            </w:tcBorders>
            <w:shd w:val="clear" w:color="auto" w:fill="auto"/>
            <w:vAlign w:val="center"/>
            <w:hideMark/>
          </w:tcPr>
          <w:p w14:paraId="5E4DA511"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2,3</w:t>
            </w:r>
          </w:p>
        </w:tc>
        <w:tc>
          <w:tcPr>
            <w:tcW w:w="1191" w:type="dxa"/>
            <w:tcBorders>
              <w:top w:val="nil"/>
              <w:left w:val="nil"/>
              <w:bottom w:val="single" w:sz="4" w:space="0" w:color="auto"/>
              <w:right w:val="double" w:sz="4" w:space="0" w:color="auto"/>
            </w:tcBorders>
            <w:shd w:val="clear" w:color="auto" w:fill="auto"/>
            <w:vAlign w:val="center"/>
            <w:hideMark/>
          </w:tcPr>
          <w:p w14:paraId="63C25870"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-0,2</w:t>
            </w:r>
          </w:p>
        </w:tc>
      </w:tr>
      <w:tr w:rsidR="00D470B6" w:rsidRPr="00A53AD7" w14:paraId="55295EA9" w14:textId="77777777" w:rsidTr="00ED2EC7">
        <w:trPr>
          <w:trHeight w:val="252"/>
        </w:trPr>
        <w:tc>
          <w:tcPr>
            <w:tcW w:w="3240" w:type="dxa"/>
            <w:tcBorders>
              <w:top w:val="nil"/>
              <w:left w:val="double" w:sz="4" w:space="0" w:color="auto"/>
              <w:bottom w:val="single" w:sz="8" w:space="0" w:color="auto"/>
              <w:right w:val="single" w:sz="4" w:space="0" w:color="auto"/>
            </w:tcBorders>
            <w:shd w:val="clear" w:color="auto" w:fill="auto"/>
            <w:vAlign w:val="center"/>
            <w:hideMark/>
          </w:tcPr>
          <w:p w14:paraId="52DEAEF0"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бюджеты муниципальных образований</w:t>
            </w:r>
          </w:p>
        </w:tc>
        <w:tc>
          <w:tcPr>
            <w:tcW w:w="1060" w:type="dxa"/>
            <w:tcBorders>
              <w:top w:val="nil"/>
              <w:left w:val="nil"/>
              <w:bottom w:val="single" w:sz="8" w:space="0" w:color="auto"/>
              <w:right w:val="single" w:sz="4" w:space="0" w:color="auto"/>
            </w:tcBorders>
            <w:shd w:val="clear" w:color="auto" w:fill="auto"/>
            <w:vAlign w:val="center"/>
            <w:hideMark/>
          </w:tcPr>
          <w:p w14:paraId="43EA028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18,8</w:t>
            </w:r>
          </w:p>
        </w:tc>
        <w:tc>
          <w:tcPr>
            <w:tcW w:w="1060" w:type="dxa"/>
            <w:tcBorders>
              <w:top w:val="nil"/>
              <w:left w:val="nil"/>
              <w:bottom w:val="single" w:sz="8" w:space="0" w:color="auto"/>
              <w:right w:val="single" w:sz="4" w:space="0" w:color="auto"/>
            </w:tcBorders>
            <w:shd w:val="clear" w:color="auto" w:fill="auto"/>
            <w:vAlign w:val="center"/>
            <w:hideMark/>
          </w:tcPr>
          <w:p w14:paraId="036FF0F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2,1</w:t>
            </w:r>
          </w:p>
        </w:tc>
        <w:tc>
          <w:tcPr>
            <w:tcW w:w="1060" w:type="dxa"/>
            <w:tcBorders>
              <w:top w:val="nil"/>
              <w:left w:val="nil"/>
              <w:bottom w:val="single" w:sz="8" w:space="0" w:color="auto"/>
              <w:right w:val="single" w:sz="4" w:space="0" w:color="auto"/>
            </w:tcBorders>
            <w:shd w:val="clear" w:color="auto" w:fill="auto"/>
            <w:vAlign w:val="center"/>
            <w:hideMark/>
          </w:tcPr>
          <w:p w14:paraId="787C6AED"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20,8</w:t>
            </w:r>
          </w:p>
        </w:tc>
        <w:tc>
          <w:tcPr>
            <w:tcW w:w="860" w:type="dxa"/>
            <w:tcBorders>
              <w:top w:val="nil"/>
              <w:left w:val="nil"/>
              <w:bottom w:val="single" w:sz="8" w:space="0" w:color="auto"/>
              <w:right w:val="single" w:sz="4" w:space="0" w:color="auto"/>
            </w:tcBorders>
            <w:shd w:val="clear" w:color="auto" w:fill="auto"/>
            <w:vAlign w:val="center"/>
            <w:hideMark/>
          </w:tcPr>
          <w:p w14:paraId="581F0A9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1,6</w:t>
            </w:r>
          </w:p>
        </w:tc>
        <w:tc>
          <w:tcPr>
            <w:tcW w:w="900" w:type="dxa"/>
            <w:tcBorders>
              <w:top w:val="nil"/>
              <w:left w:val="nil"/>
              <w:bottom w:val="single" w:sz="8" w:space="0" w:color="auto"/>
              <w:right w:val="single" w:sz="4" w:space="0" w:color="auto"/>
            </w:tcBorders>
            <w:shd w:val="clear" w:color="auto" w:fill="auto"/>
            <w:vAlign w:val="center"/>
            <w:hideMark/>
          </w:tcPr>
          <w:p w14:paraId="39E5624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2,0</w:t>
            </w:r>
          </w:p>
        </w:tc>
        <w:tc>
          <w:tcPr>
            <w:tcW w:w="1191" w:type="dxa"/>
            <w:tcBorders>
              <w:top w:val="nil"/>
              <w:left w:val="nil"/>
              <w:bottom w:val="single" w:sz="8" w:space="0" w:color="auto"/>
              <w:right w:val="double" w:sz="4" w:space="0" w:color="auto"/>
            </w:tcBorders>
            <w:shd w:val="clear" w:color="auto" w:fill="auto"/>
            <w:vAlign w:val="center"/>
            <w:hideMark/>
          </w:tcPr>
          <w:p w14:paraId="2FF7EC1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-0,5</w:t>
            </w:r>
          </w:p>
        </w:tc>
      </w:tr>
      <w:tr w:rsidR="00D470B6" w:rsidRPr="00A53AD7" w14:paraId="55EBDE6F" w14:textId="77777777" w:rsidTr="00ED2EC7">
        <w:trPr>
          <w:trHeight w:val="276"/>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2F216298"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Итого по ГП</w:t>
            </w:r>
          </w:p>
        </w:tc>
        <w:tc>
          <w:tcPr>
            <w:tcW w:w="1060" w:type="dxa"/>
            <w:tcBorders>
              <w:top w:val="nil"/>
              <w:left w:val="nil"/>
              <w:bottom w:val="single" w:sz="4" w:space="0" w:color="auto"/>
              <w:right w:val="single" w:sz="4" w:space="0" w:color="auto"/>
            </w:tcBorders>
            <w:shd w:val="clear" w:color="auto" w:fill="auto"/>
            <w:vAlign w:val="center"/>
            <w:hideMark/>
          </w:tcPr>
          <w:p w14:paraId="2ED03BF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43,4</w:t>
            </w:r>
          </w:p>
        </w:tc>
        <w:tc>
          <w:tcPr>
            <w:tcW w:w="1060" w:type="dxa"/>
            <w:tcBorders>
              <w:top w:val="nil"/>
              <w:left w:val="nil"/>
              <w:bottom w:val="single" w:sz="4" w:space="0" w:color="auto"/>
              <w:right w:val="single" w:sz="4" w:space="0" w:color="auto"/>
            </w:tcBorders>
            <w:shd w:val="clear" w:color="auto" w:fill="auto"/>
            <w:vAlign w:val="center"/>
            <w:hideMark/>
          </w:tcPr>
          <w:p w14:paraId="0598FE93"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5,5</w:t>
            </w:r>
          </w:p>
        </w:tc>
        <w:tc>
          <w:tcPr>
            <w:tcW w:w="1060" w:type="dxa"/>
            <w:tcBorders>
              <w:top w:val="nil"/>
              <w:left w:val="nil"/>
              <w:bottom w:val="single" w:sz="4" w:space="0" w:color="auto"/>
              <w:right w:val="single" w:sz="4" w:space="0" w:color="auto"/>
            </w:tcBorders>
            <w:shd w:val="clear" w:color="auto" w:fill="auto"/>
            <w:vAlign w:val="center"/>
            <w:hideMark/>
          </w:tcPr>
          <w:p w14:paraId="596AF557"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48,6</w:t>
            </w:r>
          </w:p>
        </w:tc>
        <w:tc>
          <w:tcPr>
            <w:tcW w:w="860" w:type="dxa"/>
            <w:tcBorders>
              <w:top w:val="nil"/>
              <w:left w:val="nil"/>
              <w:bottom w:val="single" w:sz="4" w:space="0" w:color="auto"/>
              <w:right w:val="single" w:sz="4" w:space="0" w:color="auto"/>
            </w:tcBorders>
            <w:shd w:val="clear" w:color="auto" w:fill="auto"/>
            <w:vAlign w:val="center"/>
            <w:hideMark/>
          </w:tcPr>
          <w:p w14:paraId="7752DD53"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4,8</w:t>
            </w:r>
          </w:p>
        </w:tc>
        <w:tc>
          <w:tcPr>
            <w:tcW w:w="900" w:type="dxa"/>
            <w:tcBorders>
              <w:top w:val="nil"/>
              <w:left w:val="nil"/>
              <w:bottom w:val="single" w:sz="4" w:space="0" w:color="auto"/>
              <w:right w:val="single" w:sz="4" w:space="0" w:color="auto"/>
            </w:tcBorders>
            <w:shd w:val="clear" w:color="auto" w:fill="auto"/>
            <w:vAlign w:val="center"/>
            <w:hideMark/>
          </w:tcPr>
          <w:p w14:paraId="4101A75F"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5,2</w:t>
            </w:r>
          </w:p>
        </w:tc>
        <w:tc>
          <w:tcPr>
            <w:tcW w:w="1191" w:type="dxa"/>
            <w:tcBorders>
              <w:top w:val="nil"/>
              <w:left w:val="nil"/>
              <w:bottom w:val="single" w:sz="4" w:space="0" w:color="auto"/>
              <w:right w:val="double" w:sz="4" w:space="0" w:color="auto"/>
            </w:tcBorders>
            <w:shd w:val="clear" w:color="auto" w:fill="auto"/>
            <w:vAlign w:val="center"/>
            <w:hideMark/>
          </w:tcPr>
          <w:p w14:paraId="777EC8D7"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-0,7</w:t>
            </w:r>
          </w:p>
        </w:tc>
      </w:tr>
      <w:tr w:rsidR="00D470B6" w:rsidRPr="00A53AD7" w14:paraId="3E296702" w14:textId="77777777" w:rsidTr="00ED2EC7">
        <w:trPr>
          <w:trHeight w:val="276"/>
        </w:trPr>
        <w:tc>
          <w:tcPr>
            <w:tcW w:w="3240" w:type="dxa"/>
            <w:tcBorders>
              <w:top w:val="nil"/>
              <w:left w:val="double" w:sz="4" w:space="0" w:color="auto"/>
              <w:bottom w:val="single" w:sz="4" w:space="0" w:color="auto"/>
              <w:right w:val="single" w:sz="4" w:space="0" w:color="auto"/>
            </w:tcBorders>
            <w:shd w:val="clear" w:color="auto" w:fill="auto"/>
            <w:vAlign w:val="center"/>
            <w:hideMark/>
          </w:tcPr>
          <w:p w14:paraId="54C12BC1"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областной бюджет</w:t>
            </w:r>
          </w:p>
        </w:tc>
        <w:tc>
          <w:tcPr>
            <w:tcW w:w="1060" w:type="dxa"/>
            <w:tcBorders>
              <w:top w:val="nil"/>
              <w:left w:val="nil"/>
              <w:bottom w:val="single" w:sz="4" w:space="0" w:color="auto"/>
              <w:right w:val="single" w:sz="4" w:space="0" w:color="auto"/>
            </w:tcBorders>
            <w:shd w:val="clear" w:color="auto" w:fill="auto"/>
            <w:vAlign w:val="center"/>
            <w:hideMark/>
          </w:tcPr>
          <w:p w14:paraId="11B86661"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24,6</w:t>
            </w:r>
          </w:p>
        </w:tc>
        <w:tc>
          <w:tcPr>
            <w:tcW w:w="1060" w:type="dxa"/>
            <w:tcBorders>
              <w:top w:val="nil"/>
              <w:left w:val="nil"/>
              <w:bottom w:val="single" w:sz="4" w:space="0" w:color="auto"/>
              <w:right w:val="single" w:sz="4" w:space="0" w:color="auto"/>
            </w:tcBorders>
            <w:shd w:val="clear" w:color="auto" w:fill="auto"/>
            <w:vAlign w:val="center"/>
            <w:hideMark/>
          </w:tcPr>
          <w:p w14:paraId="6A3C53D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3,4</w:t>
            </w:r>
          </w:p>
        </w:tc>
        <w:tc>
          <w:tcPr>
            <w:tcW w:w="1060" w:type="dxa"/>
            <w:tcBorders>
              <w:top w:val="nil"/>
              <w:left w:val="nil"/>
              <w:bottom w:val="single" w:sz="4" w:space="0" w:color="auto"/>
              <w:right w:val="single" w:sz="4" w:space="0" w:color="auto"/>
            </w:tcBorders>
            <w:shd w:val="clear" w:color="auto" w:fill="auto"/>
            <w:vAlign w:val="center"/>
            <w:hideMark/>
          </w:tcPr>
          <w:p w14:paraId="2769D060"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27,8</w:t>
            </w:r>
          </w:p>
        </w:tc>
        <w:tc>
          <w:tcPr>
            <w:tcW w:w="860" w:type="dxa"/>
            <w:tcBorders>
              <w:top w:val="nil"/>
              <w:left w:val="nil"/>
              <w:bottom w:val="single" w:sz="4" w:space="0" w:color="auto"/>
              <w:right w:val="single" w:sz="4" w:space="0" w:color="auto"/>
            </w:tcBorders>
            <w:shd w:val="clear" w:color="auto" w:fill="auto"/>
            <w:vAlign w:val="center"/>
            <w:hideMark/>
          </w:tcPr>
          <w:p w14:paraId="216BC83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3,2</w:t>
            </w:r>
          </w:p>
        </w:tc>
        <w:tc>
          <w:tcPr>
            <w:tcW w:w="900" w:type="dxa"/>
            <w:tcBorders>
              <w:top w:val="nil"/>
              <w:left w:val="nil"/>
              <w:bottom w:val="single" w:sz="4" w:space="0" w:color="auto"/>
              <w:right w:val="single" w:sz="4" w:space="0" w:color="auto"/>
            </w:tcBorders>
            <w:shd w:val="clear" w:color="auto" w:fill="auto"/>
            <w:vAlign w:val="center"/>
            <w:hideMark/>
          </w:tcPr>
          <w:p w14:paraId="3EECE1E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3,2</w:t>
            </w:r>
          </w:p>
        </w:tc>
        <w:tc>
          <w:tcPr>
            <w:tcW w:w="1191" w:type="dxa"/>
            <w:tcBorders>
              <w:top w:val="nil"/>
              <w:left w:val="nil"/>
              <w:bottom w:val="single" w:sz="4" w:space="0" w:color="auto"/>
              <w:right w:val="double" w:sz="4" w:space="0" w:color="auto"/>
            </w:tcBorders>
            <w:shd w:val="clear" w:color="auto" w:fill="auto"/>
            <w:vAlign w:val="center"/>
            <w:hideMark/>
          </w:tcPr>
          <w:p w14:paraId="20A3921F"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-0,2</w:t>
            </w:r>
          </w:p>
        </w:tc>
      </w:tr>
      <w:tr w:rsidR="00ED2EC7" w:rsidRPr="00A53AD7" w14:paraId="030BE9A9" w14:textId="77777777" w:rsidTr="00ED2EC7">
        <w:trPr>
          <w:trHeight w:val="288"/>
        </w:trPr>
        <w:tc>
          <w:tcPr>
            <w:tcW w:w="3240" w:type="dxa"/>
            <w:tcBorders>
              <w:top w:val="nil"/>
              <w:left w:val="double" w:sz="4" w:space="0" w:color="auto"/>
              <w:bottom w:val="double" w:sz="4" w:space="0" w:color="auto"/>
              <w:right w:val="single" w:sz="4" w:space="0" w:color="auto"/>
            </w:tcBorders>
            <w:shd w:val="clear" w:color="auto" w:fill="auto"/>
            <w:vAlign w:val="center"/>
            <w:hideMark/>
          </w:tcPr>
          <w:p w14:paraId="556196F6"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бюджеты муниципальных образований</w:t>
            </w:r>
          </w:p>
        </w:tc>
        <w:tc>
          <w:tcPr>
            <w:tcW w:w="1060" w:type="dxa"/>
            <w:tcBorders>
              <w:top w:val="nil"/>
              <w:left w:val="nil"/>
              <w:bottom w:val="double" w:sz="4" w:space="0" w:color="auto"/>
              <w:right w:val="single" w:sz="4" w:space="0" w:color="auto"/>
            </w:tcBorders>
            <w:shd w:val="clear" w:color="auto" w:fill="auto"/>
            <w:vAlign w:val="center"/>
            <w:hideMark/>
          </w:tcPr>
          <w:p w14:paraId="1BE9300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18,8</w:t>
            </w:r>
          </w:p>
        </w:tc>
        <w:tc>
          <w:tcPr>
            <w:tcW w:w="1060" w:type="dxa"/>
            <w:tcBorders>
              <w:top w:val="nil"/>
              <w:left w:val="nil"/>
              <w:bottom w:val="double" w:sz="4" w:space="0" w:color="auto"/>
              <w:right w:val="single" w:sz="4" w:space="0" w:color="auto"/>
            </w:tcBorders>
            <w:shd w:val="clear" w:color="auto" w:fill="auto"/>
            <w:vAlign w:val="center"/>
            <w:hideMark/>
          </w:tcPr>
          <w:p w14:paraId="5BE4ACD9"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2,1</w:t>
            </w:r>
          </w:p>
        </w:tc>
        <w:tc>
          <w:tcPr>
            <w:tcW w:w="1060" w:type="dxa"/>
            <w:tcBorders>
              <w:top w:val="nil"/>
              <w:left w:val="nil"/>
              <w:bottom w:val="double" w:sz="4" w:space="0" w:color="auto"/>
              <w:right w:val="single" w:sz="4" w:space="0" w:color="auto"/>
            </w:tcBorders>
            <w:shd w:val="clear" w:color="auto" w:fill="auto"/>
            <w:vAlign w:val="center"/>
            <w:hideMark/>
          </w:tcPr>
          <w:p w14:paraId="6EC7EA07"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20,8</w:t>
            </w:r>
          </w:p>
        </w:tc>
        <w:tc>
          <w:tcPr>
            <w:tcW w:w="860" w:type="dxa"/>
            <w:tcBorders>
              <w:top w:val="nil"/>
              <w:left w:val="nil"/>
              <w:bottom w:val="double" w:sz="4" w:space="0" w:color="auto"/>
              <w:right w:val="single" w:sz="4" w:space="0" w:color="auto"/>
            </w:tcBorders>
            <w:shd w:val="clear" w:color="auto" w:fill="auto"/>
            <w:vAlign w:val="center"/>
            <w:hideMark/>
          </w:tcPr>
          <w:p w14:paraId="066A0FA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1,6</w:t>
            </w:r>
          </w:p>
        </w:tc>
        <w:tc>
          <w:tcPr>
            <w:tcW w:w="900" w:type="dxa"/>
            <w:tcBorders>
              <w:top w:val="nil"/>
              <w:left w:val="nil"/>
              <w:bottom w:val="double" w:sz="4" w:space="0" w:color="auto"/>
              <w:right w:val="single" w:sz="4" w:space="0" w:color="auto"/>
            </w:tcBorders>
            <w:shd w:val="clear" w:color="auto" w:fill="auto"/>
            <w:vAlign w:val="center"/>
            <w:hideMark/>
          </w:tcPr>
          <w:p w14:paraId="2DE7059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2,0</w:t>
            </w:r>
          </w:p>
        </w:tc>
        <w:tc>
          <w:tcPr>
            <w:tcW w:w="1191" w:type="dxa"/>
            <w:tcBorders>
              <w:top w:val="nil"/>
              <w:left w:val="nil"/>
              <w:bottom w:val="double" w:sz="4" w:space="0" w:color="auto"/>
              <w:right w:val="double" w:sz="4" w:space="0" w:color="auto"/>
            </w:tcBorders>
            <w:shd w:val="clear" w:color="auto" w:fill="auto"/>
            <w:vAlign w:val="center"/>
            <w:hideMark/>
          </w:tcPr>
          <w:p w14:paraId="12CDFA6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-0,5</w:t>
            </w:r>
          </w:p>
        </w:tc>
      </w:tr>
    </w:tbl>
    <w:p w14:paraId="7B0F9A42"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209DDA14"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финансирования изменения в 2019 году внесены и в четыре из тринадцати целевых показателя, данные которых представлены в таблице:</w:t>
      </w:r>
    </w:p>
    <w:tbl>
      <w:tblPr>
        <w:tblW w:w="9205" w:type="dxa"/>
        <w:tblInd w:w="93" w:type="dxa"/>
        <w:tblLook w:val="04A0" w:firstRow="1" w:lastRow="0" w:firstColumn="1" w:lastColumn="0" w:noHBand="0" w:noVBand="1"/>
      </w:tblPr>
      <w:tblGrid>
        <w:gridCol w:w="4308"/>
        <w:gridCol w:w="829"/>
        <w:gridCol w:w="1206"/>
        <w:gridCol w:w="1206"/>
        <w:gridCol w:w="832"/>
        <w:gridCol w:w="824"/>
      </w:tblGrid>
      <w:tr w:rsidR="00D470B6" w:rsidRPr="00A53AD7" w14:paraId="6271A179" w14:textId="77777777" w:rsidTr="00ED2EC7">
        <w:trPr>
          <w:trHeight w:val="196"/>
        </w:trPr>
        <w:tc>
          <w:tcPr>
            <w:tcW w:w="4308"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62C404A9"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Наименование и номер целевого показателя государственной программы</w:t>
            </w:r>
          </w:p>
        </w:tc>
        <w:tc>
          <w:tcPr>
            <w:tcW w:w="4897" w:type="dxa"/>
            <w:gridSpan w:val="5"/>
            <w:tcBorders>
              <w:top w:val="double" w:sz="4" w:space="0" w:color="auto"/>
              <w:left w:val="nil"/>
              <w:bottom w:val="single" w:sz="4" w:space="0" w:color="auto"/>
              <w:right w:val="double" w:sz="4" w:space="0" w:color="auto"/>
            </w:tcBorders>
            <w:shd w:val="clear" w:color="auto" w:fill="auto"/>
            <w:vAlign w:val="center"/>
            <w:hideMark/>
          </w:tcPr>
          <w:p w14:paraId="14F3A79B"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Значения целевого показателя</w:t>
            </w:r>
          </w:p>
        </w:tc>
      </w:tr>
      <w:tr w:rsidR="00D470B6" w:rsidRPr="00A53AD7" w14:paraId="66E255CA" w14:textId="77777777" w:rsidTr="00ED2EC7">
        <w:trPr>
          <w:trHeight w:val="86"/>
        </w:trPr>
        <w:tc>
          <w:tcPr>
            <w:tcW w:w="4308" w:type="dxa"/>
            <w:vMerge/>
            <w:tcBorders>
              <w:top w:val="single" w:sz="4" w:space="0" w:color="auto"/>
              <w:left w:val="double" w:sz="4" w:space="0" w:color="auto"/>
              <w:bottom w:val="single" w:sz="4" w:space="0" w:color="auto"/>
              <w:right w:val="single" w:sz="4" w:space="0" w:color="auto"/>
            </w:tcBorders>
            <w:vAlign w:val="center"/>
            <w:hideMark/>
          </w:tcPr>
          <w:p w14:paraId="3C4C99B1" w14:textId="77777777" w:rsidR="00ED2EC7" w:rsidRPr="00A53AD7" w:rsidRDefault="00ED2EC7" w:rsidP="00ED2EC7">
            <w:pPr>
              <w:spacing w:after="0" w:line="240" w:lineRule="auto"/>
              <w:rPr>
                <w:rFonts w:ascii="Times New Roman" w:hAnsi="Times New Roman"/>
              </w:rPr>
            </w:pPr>
          </w:p>
        </w:tc>
        <w:tc>
          <w:tcPr>
            <w:tcW w:w="829" w:type="dxa"/>
            <w:vMerge w:val="restart"/>
            <w:tcBorders>
              <w:top w:val="nil"/>
              <w:left w:val="single" w:sz="4" w:space="0" w:color="auto"/>
              <w:bottom w:val="single" w:sz="4" w:space="0" w:color="auto"/>
              <w:right w:val="single" w:sz="4" w:space="0" w:color="auto"/>
            </w:tcBorders>
            <w:shd w:val="clear" w:color="auto" w:fill="auto"/>
            <w:vAlign w:val="center"/>
            <w:hideMark/>
          </w:tcPr>
          <w:p w14:paraId="61B0E30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2018 год</w:t>
            </w:r>
          </w:p>
        </w:tc>
        <w:tc>
          <w:tcPr>
            <w:tcW w:w="1206" w:type="dxa"/>
            <w:tcBorders>
              <w:top w:val="nil"/>
              <w:left w:val="nil"/>
              <w:bottom w:val="single" w:sz="4" w:space="0" w:color="auto"/>
              <w:right w:val="single" w:sz="4" w:space="0" w:color="auto"/>
            </w:tcBorders>
            <w:shd w:val="clear" w:color="auto" w:fill="auto"/>
            <w:vAlign w:val="center"/>
            <w:hideMark/>
          </w:tcPr>
          <w:p w14:paraId="5A01970C"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2019 год</w:t>
            </w:r>
          </w:p>
        </w:tc>
        <w:tc>
          <w:tcPr>
            <w:tcW w:w="1206" w:type="dxa"/>
            <w:tcBorders>
              <w:top w:val="nil"/>
              <w:left w:val="nil"/>
              <w:bottom w:val="single" w:sz="4" w:space="0" w:color="auto"/>
              <w:right w:val="single" w:sz="4" w:space="0" w:color="auto"/>
            </w:tcBorders>
            <w:shd w:val="clear" w:color="auto" w:fill="auto"/>
            <w:vAlign w:val="center"/>
            <w:hideMark/>
          </w:tcPr>
          <w:p w14:paraId="0A0C809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2019 год</w:t>
            </w:r>
          </w:p>
        </w:tc>
        <w:tc>
          <w:tcPr>
            <w:tcW w:w="1656" w:type="dxa"/>
            <w:gridSpan w:val="2"/>
            <w:tcBorders>
              <w:top w:val="single" w:sz="4" w:space="0" w:color="auto"/>
              <w:left w:val="nil"/>
              <w:bottom w:val="single" w:sz="4" w:space="0" w:color="auto"/>
              <w:right w:val="double" w:sz="4" w:space="0" w:color="auto"/>
            </w:tcBorders>
            <w:shd w:val="clear" w:color="auto" w:fill="auto"/>
            <w:vAlign w:val="center"/>
            <w:hideMark/>
          </w:tcPr>
          <w:p w14:paraId="1CAE543C"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Изменения</w:t>
            </w:r>
          </w:p>
        </w:tc>
      </w:tr>
      <w:tr w:rsidR="00D470B6" w:rsidRPr="00A53AD7" w14:paraId="32824EDA" w14:textId="77777777" w:rsidTr="00ED2EC7">
        <w:trPr>
          <w:trHeight w:val="288"/>
        </w:trPr>
        <w:tc>
          <w:tcPr>
            <w:tcW w:w="4308" w:type="dxa"/>
            <w:vMerge/>
            <w:tcBorders>
              <w:top w:val="single" w:sz="4" w:space="0" w:color="auto"/>
              <w:left w:val="double" w:sz="4" w:space="0" w:color="auto"/>
              <w:bottom w:val="single" w:sz="4" w:space="0" w:color="auto"/>
              <w:right w:val="single" w:sz="4" w:space="0" w:color="auto"/>
            </w:tcBorders>
            <w:vAlign w:val="center"/>
            <w:hideMark/>
          </w:tcPr>
          <w:p w14:paraId="140217FA" w14:textId="77777777" w:rsidR="00ED2EC7" w:rsidRPr="00A53AD7" w:rsidRDefault="00ED2EC7" w:rsidP="00ED2EC7">
            <w:pPr>
              <w:spacing w:after="0" w:line="240" w:lineRule="auto"/>
              <w:rPr>
                <w:rFonts w:ascii="Times New Roman" w:hAnsi="Times New Roman"/>
              </w:rPr>
            </w:pPr>
          </w:p>
        </w:tc>
        <w:tc>
          <w:tcPr>
            <w:tcW w:w="829" w:type="dxa"/>
            <w:vMerge/>
            <w:tcBorders>
              <w:top w:val="nil"/>
              <w:left w:val="single" w:sz="4" w:space="0" w:color="auto"/>
              <w:bottom w:val="single" w:sz="4" w:space="0" w:color="auto"/>
              <w:right w:val="single" w:sz="4" w:space="0" w:color="auto"/>
            </w:tcBorders>
            <w:vAlign w:val="center"/>
            <w:hideMark/>
          </w:tcPr>
          <w:p w14:paraId="2F5E9362" w14:textId="77777777" w:rsidR="00ED2EC7" w:rsidRPr="00A53AD7" w:rsidRDefault="00ED2EC7" w:rsidP="00ED2EC7">
            <w:pPr>
              <w:spacing w:after="0" w:line="240" w:lineRule="auto"/>
              <w:rPr>
                <w:rFonts w:ascii="Times New Roman" w:hAnsi="Times New Roman"/>
              </w:rPr>
            </w:pPr>
          </w:p>
        </w:tc>
        <w:tc>
          <w:tcPr>
            <w:tcW w:w="1206" w:type="dxa"/>
            <w:tcBorders>
              <w:top w:val="nil"/>
              <w:left w:val="nil"/>
              <w:bottom w:val="single" w:sz="4" w:space="0" w:color="auto"/>
              <w:right w:val="single" w:sz="4" w:space="0" w:color="auto"/>
            </w:tcBorders>
            <w:shd w:val="clear" w:color="auto" w:fill="auto"/>
            <w:vAlign w:val="center"/>
            <w:hideMark/>
          </w:tcPr>
          <w:p w14:paraId="5A48EDF7"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 01.01.2019</w:t>
            </w:r>
          </w:p>
        </w:tc>
        <w:tc>
          <w:tcPr>
            <w:tcW w:w="1206" w:type="dxa"/>
            <w:tcBorders>
              <w:top w:val="nil"/>
              <w:left w:val="nil"/>
              <w:bottom w:val="single" w:sz="4" w:space="0" w:color="auto"/>
              <w:right w:val="single" w:sz="4" w:space="0" w:color="auto"/>
            </w:tcBorders>
            <w:shd w:val="clear" w:color="auto" w:fill="auto"/>
            <w:vAlign w:val="center"/>
            <w:hideMark/>
          </w:tcPr>
          <w:p w14:paraId="3ADE14F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 01.01.2020</w:t>
            </w:r>
          </w:p>
        </w:tc>
        <w:tc>
          <w:tcPr>
            <w:tcW w:w="832" w:type="dxa"/>
            <w:tcBorders>
              <w:top w:val="nil"/>
              <w:left w:val="nil"/>
              <w:bottom w:val="single" w:sz="4" w:space="0" w:color="auto"/>
              <w:right w:val="single" w:sz="4" w:space="0" w:color="auto"/>
            </w:tcBorders>
            <w:shd w:val="clear" w:color="auto" w:fill="auto"/>
            <w:vAlign w:val="center"/>
            <w:hideMark/>
          </w:tcPr>
          <w:p w14:paraId="74D81C34"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за 2019 год</w:t>
            </w:r>
          </w:p>
        </w:tc>
        <w:tc>
          <w:tcPr>
            <w:tcW w:w="824" w:type="dxa"/>
            <w:tcBorders>
              <w:top w:val="nil"/>
              <w:left w:val="nil"/>
              <w:bottom w:val="single" w:sz="4" w:space="0" w:color="auto"/>
              <w:right w:val="double" w:sz="4" w:space="0" w:color="auto"/>
            </w:tcBorders>
            <w:shd w:val="clear" w:color="auto" w:fill="auto"/>
            <w:vAlign w:val="center"/>
            <w:hideMark/>
          </w:tcPr>
          <w:p w14:paraId="21BEDF1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к 2018 году</w:t>
            </w:r>
          </w:p>
        </w:tc>
      </w:tr>
      <w:tr w:rsidR="00D470B6" w:rsidRPr="00A53AD7" w14:paraId="5C2F4206" w14:textId="77777777" w:rsidTr="00ED2EC7">
        <w:trPr>
          <w:trHeight w:val="540"/>
        </w:trPr>
        <w:tc>
          <w:tcPr>
            <w:tcW w:w="4308" w:type="dxa"/>
            <w:tcBorders>
              <w:top w:val="nil"/>
              <w:left w:val="double" w:sz="4" w:space="0" w:color="auto"/>
              <w:bottom w:val="single" w:sz="4" w:space="0" w:color="auto"/>
              <w:right w:val="single" w:sz="4" w:space="0" w:color="auto"/>
            </w:tcBorders>
            <w:shd w:val="clear" w:color="auto" w:fill="auto"/>
            <w:vAlign w:val="center"/>
            <w:hideMark/>
          </w:tcPr>
          <w:p w14:paraId="4C17C993"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1. Оборот розничной торговли к предыдущему году в сопоставимых ценах (%)</w:t>
            </w:r>
          </w:p>
        </w:tc>
        <w:tc>
          <w:tcPr>
            <w:tcW w:w="829" w:type="dxa"/>
            <w:tcBorders>
              <w:top w:val="nil"/>
              <w:left w:val="nil"/>
              <w:bottom w:val="single" w:sz="4" w:space="0" w:color="auto"/>
              <w:right w:val="single" w:sz="4" w:space="0" w:color="auto"/>
            </w:tcBorders>
            <w:shd w:val="clear" w:color="auto" w:fill="auto"/>
            <w:vAlign w:val="center"/>
            <w:hideMark/>
          </w:tcPr>
          <w:p w14:paraId="479CF813"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104,2</w:t>
            </w:r>
          </w:p>
        </w:tc>
        <w:tc>
          <w:tcPr>
            <w:tcW w:w="1206" w:type="dxa"/>
            <w:tcBorders>
              <w:top w:val="nil"/>
              <w:left w:val="nil"/>
              <w:bottom w:val="single" w:sz="4" w:space="0" w:color="auto"/>
              <w:right w:val="single" w:sz="4" w:space="0" w:color="auto"/>
            </w:tcBorders>
            <w:shd w:val="clear" w:color="auto" w:fill="auto"/>
            <w:vAlign w:val="center"/>
            <w:hideMark/>
          </w:tcPr>
          <w:p w14:paraId="6BE5CB6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104,3</w:t>
            </w:r>
          </w:p>
        </w:tc>
        <w:tc>
          <w:tcPr>
            <w:tcW w:w="1206" w:type="dxa"/>
            <w:tcBorders>
              <w:top w:val="nil"/>
              <w:left w:val="nil"/>
              <w:bottom w:val="single" w:sz="4" w:space="0" w:color="auto"/>
              <w:right w:val="single" w:sz="4" w:space="0" w:color="auto"/>
            </w:tcBorders>
            <w:shd w:val="clear" w:color="auto" w:fill="auto"/>
            <w:vAlign w:val="center"/>
            <w:hideMark/>
          </w:tcPr>
          <w:p w14:paraId="69B98B87"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102,3</w:t>
            </w:r>
          </w:p>
        </w:tc>
        <w:tc>
          <w:tcPr>
            <w:tcW w:w="832" w:type="dxa"/>
            <w:tcBorders>
              <w:top w:val="nil"/>
              <w:left w:val="nil"/>
              <w:bottom w:val="single" w:sz="4" w:space="0" w:color="auto"/>
              <w:right w:val="single" w:sz="4" w:space="0" w:color="auto"/>
            </w:tcBorders>
            <w:shd w:val="clear" w:color="auto" w:fill="auto"/>
            <w:vAlign w:val="center"/>
            <w:hideMark/>
          </w:tcPr>
          <w:p w14:paraId="0E2ABB2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w:t>
            </w:r>
          </w:p>
        </w:tc>
        <w:tc>
          <w:tcPr>
            <w:tcW w:w="824" w:type="dxa"/>
            <w:tcBorders>
              <w:top w:val="nil"/>
              <w:left w:val="nil"/>
              <w:bottom w:val="single" w:sz="4" w:space="0" w:color="auto"/>
              <w:right w:val="double" w:sz="4" w:space="0" w:color="auto"/>
            </w:tcBorders>
            <w:shd w:val="clear" w:color="auto" w:fill="auto"/>
            <w:vAlign w:val="center"/>
            <w:hideMark/>
          </w:tcPr>
          <w:p w14:paraId="185A530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-1,9</w:t>
            </w:r>
          </w:p>
        </w:tc>
      </w:tr>
      <w:tr w:rsidR="00D470B6" w:rsidRPr="00A53AD7" w14:paraId="44E897F4" w14:textId="77777777" w:rsidTr="00ED2EC7">
        <w:trPr>
          <w:trHeight w:val="732"/>
        </w:trPr>
        <w:tc>
          <w:tcPr>
            <w:tcW w:w="4308" w:type="dxa"/>
            <w:tcBorders>
              <w:top w:val="nil"/>
              <w:left w:val="double" w:sz="4" w:space="0" w:color="auto"/>
              <w:bottom w:val="single" w:sz="4" w:space="0" w:color="auto"/>
              <w:right w:val="single" w:sz="4" w:space="0" w:color="auto"/>
            </w:tcBorders>
            <w:shd w:val="clear" w:color="auto" w:fill="auto"/>
            <w:vAlign w:val="center"/>
            <w:hideMark/>
          </w:tcPr>
          <w:p w14:paraId="1C04D944"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2. Оборот оптовой торговли к предыдущему году в сопоставимых ценах (%)</w:t>
            </w:r>
          </w:p>
        </w:tc>
        <w:tc>
          <w:tcPr>
            <w:tcW w:w="829" w:type="dxa"/>
            <w:tcBorders>
              <w:top w:val="nil"/>
              <w:left w:val="nil"/>
              <w:bottom w:val="single" w:sz="4" w:space="0" w:color="auto"/>
              <w:right w:val="single" w:sz="4" w:space="0" w:color="auto"/>
            </w:tcBorders>
            <w:shd w:val="clear" w:color="auto" w:fill="auto"/>
            <w:vAlign w:val="center"/>
            <w:hideMark/>
          </w:tcPr>
          <w:p w14:paraId="010FCD90"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103,5</w:t>
            </w:r>
          </w:p>
        </w:tc>
        <w:tc>
          <w:tcPr>
            <w:tcW w:w="1206" w:type="dxa"/>
            <w:tcBorders>
              <w:top w:val="nil"/>
              <w:left w:val="nil"/>
              <w:bottom w:val="single" w:sz="4" w:space="0" w:color="auto"/>
              <w:right w:val="single" w:sz="4" w:space="0" w:color="auto"/>
            </w:tcBorders>
            <w:shd w:val="clear" w:color="auto" w:fill="auto"/>
            <w:vAlign w:val="center"/>
            <w:hideMark/>
          </w:tcPr>
          <w:p w14:paraId="564DC83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103,6</w:t>
            </w:r>
          </w:p>
        </w:tc>
        <w:tc>
          <w:tcPr>
            <w:tcW w:w="1206" w:type="dxa"/>
            <w:tcBorders>
              <w:top w:val="nil"/>
              <w:left w:val="nil"/>
              <w:bottom w:val="single" w:sz="4" w:space="0" w:color="auto"/>
              <w:right w:val="single" w:sz="4" w:space="0" w:color="auto"/>
            </w:tcBorders>
            <w:shd w:val="clear" w:color="auto" w:fill="auto"/>
            <w:vAlign w:val="center"/>
            <w:hideMark/>
          </w:tcPr>
          <w:p w14:paraId="01066A4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100,1</w:t>
            </w:r>
          </w:p>
        </w:tc>
        <w:tc>
          <w:tcPr>
            <w:tcW w:w="832" w:type="dxa"/>
            <w:tcBorders>
              <w:top w:val="nil"/>
              <w:left w:val="nil"/>
              <w:bottom w:val="single" w:sz="4" w:space="0" w:color="auto"/>
              <w:right w:val="single" w:sz="4" w:space="0" w:color="auto"/>
            </w:tcBorders>
            <w:shd w:val="clear" w:color="auto" w:fill="auto"/>
            <w:vAlign w:val="center"/>
            <w:hideMark/>
          </w:tcPr>
          <w:p w14:paraId="6E270C1D"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-3,5</w:t>
            </w:r>
          </w:p>
        </w:tc>
        <w:tc>
          <w:tcPr>
            <w:tcW w:w="824" w:type="dxa"/>
            <w:tcBorders>
              <w:top w:val="nil"/>
              <w:left w:val="nil"/>
              <w:bottom w:val="single" w:sz="4" w:space="0" w:color="auto"/>
              <w:right w:val="double" w:sz="4" w:space="0" w:color="auto"/>
            </w:tcBorders>
            <w:shd w:val="clear" w:color="auto" w:fill="auto"/>
            <w:vAlign w:val="center"/>
            <w:hideMark/>
          </w:tcPr>
          <w:p w14:paraId="6B089FD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-3,4</w:t>
            </w:r>
          </w:p>
        </w:tc>
      </w:tr>
      <w:tr w:rsidR="00D470B6" w:rsidRPr="00A53AD7" w14:paraId="64FD3C01" w14:textId="77777777" w:rsidTr="00ED2EC7">
        <w:trPr>
          <w:trHeight w:val="768"/>
        </w:trPr>
        <w:tc>
          <w:tcPr>
            <w:tcW w:w="4308" w:type="dxa"/>
            <w:tcBorders>
              <w:top w:val="nil"/>
              <w:left w:val="double" w:sz="4" w:space="0" w:color="auto"/>
              <w:bottom w:val="single" w:sz="4" w:space="0" w:color="auto"/>
              <w:right w:val="single" w:sz="4" w:space="0" w:color="auto"/>
            </w:tcBorders>
            <w:shd w:val="clear" w:color="auto" w:fill="auto"/>
            <w:vAlign w:val="center"/>
            <w:hideMark/>
          </w:tcPr>
          <w:p w14:paraId="2A1A42EF"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6. Доля оборота выявленной нелегальной алкогольной продукции в общем объеме проверенной алкогольной продукции (%)</w:t>
            </w:r>
          </w:p>
        </w:tc>
        <w:tc>
          <w:tcPr>
            <w:tcW w:w="829" w:type="dxa"/>
            <w:tcBorders>
              <w:top w:val="nil"/>
              <w:left w:val="nil"/>
              <w:bottom w:val="single" w:sz="4" w:space="0" w:color="auto"/>
              <w:right w:val="single" w:sz="4" w:space="0" w:color="auto"/>
            </w:tcBorders>
            <w:shd w:val="clear" w:color="auto" w:fill="auto"/>
            <w:vAlign w:val="center"/>
            <w:hideMark/>
          </w:tcPr>
          <w:p w14:paraId="4C8695C1"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11,8</w:t>
            </w:r>
          </w:p>
        </w:tc>
        <w:tc>
          <w:tcPr>
            <w:tcW w:w="1206" w:type="dxa"/>
            <w:tcBorders>
              <w:top w:val="nil"/>
              <w:left w:val="nil"/>
              <w:bottom w:val="single" w:sz="4" w:space="0" w:color="auto"/>
              <w:right w:val="single" w:sz="4" w:space="0" w:color="auto"/>
            </w:tcBorders>
            <w:shd w:val="clear" w:color="auto" w:fill="auto"/>
            <w:vAlign w:val="center"/>
            <w:hideMark/>
          </w:tcPr>
          <w:p w14:paraId="622BD92A"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11,6</w:t>
            </w:r>
          </w:p>
        </w:tc>
        <w:tc>
          <w:tcPr>
            <w:tcW w:w="1206" w:type="dxa"/>
            <w:tcBorders>
              <w:top w:val="nil"/>
              <w:left w:val="nil"/>
              <w:bottom w:val="single" w:sz="4" w:space="0" w:color="auto"/>
              <w:right w:val="single" w:sz="4" w:space="0" w:color="auto"/>
            </w:tcBorders>
            <w:shd w:val="clear" w:color="auto" w:fill="auto"/>
            <w:vAlign w:val="center"/>
            <w:hideMark/>
          </w:tcPr>
          <w:p w14:paraId="4737081C"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9,6</w:t>
            </w:r>
          </w:p>
        </w:tc>
        <w:tc>
          <w:tcPr>
            <w:tcW w:w="832" w:type="dxa"/>
            <w:tcBorders>
              <w:top w:val="nil"/>
              <w:left w:val="nil"/>
              <w:bottom w:val="single" w:sz="4" w:space="0" w:color="auto"/>
              <w:right w:val="single" w:sz="4" w:space="0" w:color="auto"/>
            </w:tcBorders>
            <w:shd w:val="clear" w:color="auto" w:fill="auto"/>
            <w:vAlign w:val="center"/>
            <w:hideMark/>
          </w:tcPr>
          <w:p w14:paraId="253EEA92"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w:t>
            </w:r>
          </w:p>
        </w:tc>
        <w:tc>
          <w:tcPr>
            <w:tcW w:w="824" w:type="dxa"/>
            <w:tcBorders>
              <w:top w:val="nil"/>
              <w:left w:val="nil"/>
              <w:bottom w:val="single" w:sz="4" w:space="0" w:color="auto"/>
              <w:right w:val="double" w:sz="4" w:space="0" w:color="auto"/>
            </w:tcBorders>
            <w:shd w:val="clear" w:color="auto" w:fill="auto"/>
            <w:vAlign w:val="center"/>
            <w:hideMark/>
          </w:tcPr>
          <w:p w14:paraId="79B9B90E"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-2,2</w:t>
            </w:r>
          </w:p>
        </w:tc>
      </w:tr>
      <w:tr w:rsidR="00ED2EC7" w:rsidRPr="00A53AD7" w14:paraId="3D045E65" w14:textId="77777777" w:rsidTr="00ED2EC7">
        <w:trPr>
          <w:trHeight w:val="1128"/>
        </w:trPr>
        <w:tc>
          <w:tcPr>
            <w:tcW w:w="4308" w:type="dxa"/>
            <w:tcBorders>
              <w:top w:val="nil"/>
              <w:left w:val="double" w:sz="4" w:space="0" w:color="auto"/>
              <w:bottom w:val="double" w:sz="4" w:space="0" w:color="auto"/>
              <w:right w:val="single" w:sz="4" w:space="0" w:color="auto"/>
            </w:tcBorders>
            <w:shd w:val="clear" w:color="auto" w:fill="auto"/>
            <w:vAlign w:val="center"/>
            <w:hideMark/>
          </w:tcPr>
          <w:p w14:paraId="61F3DE2F"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7. Доля аннулированных лицензий на основании материалов проверок о нарушениях законодательства к действующим лицензиям розничной продажи алкогольной продукции в Архангельской области (%)</w:t>
            </w:r>
          </w:p>
        </w:tc>
        <w:tc>
          <w:tcPr>
            <w:tcW w:w="829" w:type="dxa"/>
            <w:tcBorders>
              <w:top w:val="nil"/>
              <w:left w:val="nil"/>
              <w:bottom w:val="double" w:sz="4" w:space="0" w:color="auto"/>
              <w:right w:val="single" w:sz="4" w:space="0" w:color="auto"/>
            </w:tcBorders>
            <w:shd w:val="clear" w:color="auto" w:fill="auto"/>
            <w:vAlign w:val="center"/>
            <w:hideMark/>
          </w:tcPr>
          <w:p w14:paraId="639F9986"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2</w:t>
            </w:r>
          </w:p>
        </w:tc>
        <w:tc>
          <w:tcPr>
            <w:tcW w:w="1206" w:type="dxa"/>
            <w:tcBorders>
              <w:top w:val="nil"/>
              <w:left w:val="nil"/>
              <w:bottom w:val="double" w:sz="4" w:space="0" w:color="auto"/>
              <w:right w:val="single" w:sz="4" w:space="0" w:color="auto"/>
            </w:tcBorders>
            <w:shd w:val="clear" w:color="auto" w:fill="auto"/>
            <w:vAlign w:val="center"/>
            <w:hideMark/>
          </w:tcPr>
          <w:p w14:paraId="7CD18B7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1,9</w:t>
            </w:r>
          </w:p>
        </w:tc>
        <w:tc>
          <w:tcPr>
            <w:tcW w:w="1206" w:type="dxa"/>
            <w:tcBorders>
              <w:top w:val="nil"/>
              <w:left w:val="nil"/>
              <w:bottom w:val="double" w:sz="4" w:space="0" w:color="auto"/>
              <w:right w:val="single" w:sz="4" w:space="0" w:color="auto"/>
            </w:tcBorders>
            <w:shd w:val="clear" w:color="auto" w:fill="auto"/>
            <w:vAlign w:val="center"/>
            <w:hideMark/>
          </w:tcPr>
          <w:p w14:paraId="0DE0094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1,6</w:t>
            </w:r>
          </w:p>
        </w:tc>
        <w:tc>
          <w:tcPr>
            <w:tcW w:w="832" w:type="dxa"/>
            <w:tcBorders>
              <w:top w:val="nil"/>
              <w:left w:val="nil"/>
              <w:bottom w:val="double" w:sz="4" w:space="0" w:color="auto"/>
              <w:right w:val="single" w:sz="4" w:space="0" w:color="auto"/>
            </w:tcBorders>
            <w:shd w:val="clear" w:color="auto" w:fill="auto"/>
            <w:vAlign w:val="center"/>
            <w:hideMark/>
          </w:tcPr>
          <w:p w14:paraId="66D0D9B5"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-0,3</w:t>
            </w:r>
          </w:p>
        </w:tc>
        <w:tc>
          <w:tcPr>
            <w:tcW w:w="824" w:type="dxa"/>
            <w:tcBorders>
              <w:top w:val="nil"/>
              <w:left w:val="nil"/>
              <w:bottom w:val="double" w:sz="4" w:space="0" w:color="auto"/>
              <w:right w:val="double" w:sz="4" w:space="0" w:color="auto"/>
            </w:tcBorders>
            <w:shd w:val="clear" w:color="auto" w:fill="auto"/>
            <w:vAlign w:val="center"/>
            <w:hideMark/>
          </w:tcPr>
          <w:p w14:paraId="753CEAB0"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-0,4</w:t>
            </w:r>
          </w:p>
        </w:tc>
      </w:tr>
    </w:tbl>
    <w:p w14:paraId="6BA6174A"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5DD8607A"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целью программы является развитие торговой деятельности и формирование эффективной торговой политики в Архангельской области, соответственно снижение таких целевых показателей, как «Оборот розничной торговли к предыдущему году в сопоставимых ценах» и «Оборот оптовой торговли к предыдущему году в сопоставимых ценах» не согласуется с поставленными для реализации задачами программы.</w:t>
      </w:r>
    </w:p>
    <w:p w14:paraId="50FA060E"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в разделе IV. «Ожидаемые результаты реализации государственной программы» первым положительным результатом, определяющим социально-экономическую эффективность реализации мероприятий государственной программы, указан - рост оборота розничной и оптовой торговли в сопоставимых ценах.</w:t>
      </w:r>
    </w:p>
    <w:p w14:paraId="22C729D8"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Отмечено также, что на начало года в программе действовали следующие показатели результата реализации государственной программы:</w:t>
      </w:r>
    </w:p>
    <w:p w14:paraId="4D9D0661"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рост оборота розничной торговли в сопоставимых ценах - не менее 4 процентов в год;</w:t>
      </w:r>
    </w:p>
    <w:p w14:paraId="1C0A98F3"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рост оборота оптовой торговли в сопоставимых ценах - не менее 3 процентов в год.</w:t>
      </w:r>
    </w:p>
    <w:p w14:paraId="5D9A505B"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Постановлением Правительства Архангельской области от 10.09.2019 № 489-пп значения показателей роста были исключены. </w:t>
      </w:r>
    </w:p>
    <w:p w14:paraId="0409A81A"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Областным законом объем расходов по госпрограмме утвержден в сумме 3,2 млн.руб., исполнение отчетный период - 3,2 млн.руб. или 100 %. </w:t>
      </w:r>
    </w:p>
    <w:p w14:paraId="01829649"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программных мероприятий за 2019 год представлено в таблице:</w:t>
      </w:r>
    </w:p>
    <w:tbl>
      <w:tblPr>
        <w:tblW w:w="9480" w:type="dxa"/>
        <w:tblInd w:w="93" w:type="dxa"/>
        <w:tblLook w:val="04A0" w:firstRow="1" w:lastRow="0" w:firstColumn="1" w:lastColumn="0" w:noHBand="0" w:noVBand="1"/>
      </w:tblPr>
      <w:tblGrid>
        <w:gridCol w:w="2137"/>
        <w:gridCol w:w="1160"/>
        <w:gridCol w:w="1135"/>
        <w:gridCol w:w="1499"/>
        <w:gridCol w:w="1065"/>
        <w:gridCol w:w="1363"/>
        <w:gridCol w:w="1121"/>
      </w:tblGrid>
      <w:tr w:rsidR="00D470B6" w:rsidRPr="00A53AD7" w14:paraId="23B59501" w14:textId="77777777" w:rsidTr="00ED2EC7">
        <w:trPr>
          <w:trHeight w:val="117"/>
        </w:trPr>
        <w:tc>
          <w:tcPr>
            <w:tcW w:w="2790" w:type="dxa"/>
            <w:vMerge w:val="restart"/>
            <w:tcBorders>
              <w:top w:val="double" w:sz="4" w:space="0" w:color="auto"/>
              <w:left w:val="double" w:sz="4" w:space="0" w:color="auto"/>
              <w:bottom w:val="single" w:sz="4" w:space="0" w:color="auto"/>
              <w:right w:val="single" w:sz="4" w:space="0" w:color="auto"/>
            </w:tcBorders>
            <w:shd w:val="clear" w:color="000000" w:fill="FFFFFF"/>
            <w:vAlign w:val="center"/>
            <w:hideMark/>
          </w:tcPr>
          <w:p w14:paraId="09CC21C6"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w:t>
            </w:r>
          </w:p>
        </w:tc>
        <w:tc>
          <w:tcPr>
            <w:tcW w:w="1106"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773865B2" w14:textId="12558AAD"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Утверждено на год (ред</w:t>
            </w:r>
            <w:r w:rsidR="009941B6" w:rsidRPr="00A53AD7">
              <w:rPr>
                <w:rFonts w:ascii="Times New Roman" w:hAnsi="Times New Roman"/>
                <w:sz w:val="18"/>
                <w:szCs w:val="18"/>
              </w:rPr>
              <w:t>.</w:t>
            </w:r>
            <w:r w:rsidRPr="00A53AD7">
              <w:rPr>
                <w:rFonts w:ascii="Times New Roman" w:hAnsi="Times New Roman"/>
                <w:sz w:val="18"/>
                <w:szCs w:val="18"/>
              </w:rPr>
              <w:t xml:space="preserve"> 13.12.2019 № 189-13-ОЗ)</w:t>
            </w:r>
          </w:p>
        </w:tc>
        <w:tc>
          <w:tcPr>
            <w:tcW w:w="1085"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49A24EEB"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 xml:space="preserve">Уточненная сводная бюджетная роспись на 2019 год </w:t>
            </w:r>
          </w:p>
        </w:tc>
        <w:tc>
          <w:tcPr>
            <w:tcW w:w="1313"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72BA6928"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Доведено предельных объемов финансирования</w:t>
            </w:r>
          </w:p>
        </w:tc>
        <w:tc>
          <w:tcPr>
            <w:tcW w:w="943" w:type="dxa"/>
            <w:vMerge w:val="restart"/>
            <w:tcBorders>
              <w:top w:val="double" w:sz="4" w:space="0" w:color="auto"/>
              <w:left w:val="single" w:sz="4" w:space="0" w:color="auto"/>
              <w:bottom w:val="single" w:sz="4" w:space="0" w:color="auto"/>
              <w:right w:val="single" w:sz="4" w:space="0" w:color="auto"/>
            </w:tcBorders>
            <w:shd w:val="clear" w:color="000000" w:fill="FFFFFF"/>
            <w:vAlign w:val="center"/>
            <w:hideMark/>
          </w:tcPr>
          <w:p w14:paraId="746110EC"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 xml:space="preserve">Исполнено </w:t>
            </w:r>
          </w:p>
        </w:tc>
        <w:tc>
          <w:tcPr>
            <w:tcW w:w="2243" w:type="dxa"/>
            <w:gridSpan w:val="2"/>
            <w:tcBorders>
              <w:top w:val="double" w:sz="4" w:space="0" w:color="auto"/>
              <w:left w:val="nil"/>
              <w:bottom w:val="single" w:sz="4" w:space="0" w:color="auto"/>
              <w:right w:val="double" w:sz="4" w:space="0" w:color="auto"/>
            </w:tcBorders>
            <w:shd w:val="clear" w:color="auto" w:fill="auto"/>
            <w:vAlign w:val="center"/>
            <w:hideMark/>
          </w:tcPr>
          <w:p w14:paraId="4AD3356E"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Исполнение, в процентах</w:t>
            </w:r>
          </w:p>
        </w:tc>
      </w:tr>
      <w:tr w:rsidR="00D470B6" w:rsidRPr="00A53AD7" w14:paraId="15575868" w14:textId="77777777" w:rsidTr="00ED2EC7">
        <w:trPr>
          <w:trHeight w:val="1200"/>
        </w:trPr>
        <w:tc>
          <w:tcPr>
            <w:tcW w:w="2790" w:type="dxa"/>
            <w:vMerge/>
            <w:tcBorders>
              <w:top w:val="single" w:sz="4" w:space="0" w:color="auto"/>
              <w:left w:val="double" w:sz="4" w:space="0" w:color="auto"/>
              <w:bottom w:val="single" w:sz="4" w:space="0" w:color="auto"/>
              <w:right w:val="single" w:sz="4" w:space="0" w:color="auto"/>
            </w:tcBorders>
            <w:vAlign w:val="center"/>
            <w:hideMark/>
          </w:tcPr>
          <w:p w14:paraId="08220B41" w14:textId="77777777" w:rsidR="00ED2EC7" w:rsidRPr="00A53AD7" w:rsidRDefault="00ED2EC7" w:rsidP="00ED2EC7">
            <w:pPr>
              <w:spacing w:after="0" w:line="240" w:lineRule="auto"/>
              <w:rPr>
                <w:rFonts w:ascii="Times New Roman" w:hAnsi="Times New Roman"/>
                <w:sz w:val="20"/>
                <w:szCs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D165F75" w14:textId="77777777" w:rsidR="00ED2EC7" w:rsidRPr="00A53AD7" w:rsidRDefault="00ED2EC7" w:rsidP="00ED2EC7">
            <w:pPr>
              <w:spacing w:after="0" w:line="240" w:lineRule="auto"/>
              <w:rPr>
                <w:rFonts w:ascii="Times New Roman" w:hAnsi="Times New Roman"/>
                <w:sz w:val="18"/>
                <w:szCs w:val="18"/>
              </w:rPr>
            </w:pPr>
          </w:p>
        </w:tc>
        <w:tc>
          <w:tcPr>
            <w:tcW w:w="1085" w:type="dxa"/>
            <w:vMerge/>
            <w:tcBorders>
              <w:top w:val="single" w:sz="4" w:space="0" w:color="auto"/>
              <w:left w:val="single" w:sz="4" w:space="0" w:color="auto"/>
              <w:bottom w:val="single" w:sz="4" w:space="0" w:color="auto"/>
              <w:right w:val="single" w:sz="4" w:space="0" w:color="auto"/>
            </w:tcBorders>
            <w:vAlign w:val="center"/>
            <w:hideMark/>
          </w:tcPr>
          <w:p w14:paraId="7E58D0BC" w14:textId="77777777" w:rsidR="00ED2EC7" w:rsidRPr="00A53AD7" w:rsidRDefault="00ED2EC7" w:rsidP="00ED2EC7">
            <w:pPr>
              <w:spacing w:after="0" w:line="240" w:lineRule="auto"/>
              <w:rPr>
                <w:rFonts w:ascii="Times New Roman" w:hAnsi="Times New Roman"/>
                <w:sz w:val="18"/>
                <w:szCs w:val="18"/>
              </w:rPr>
            </w:pPr>
          </w:p>
        </w:tc>
        <w:tc>
          <w:tcPr>
            <w:tcW w:w="1313" w:type="dxa"/>
            <w:vMerge/>
            <w:tcBorders>
              <w:top w:val="single" w:sz="4" w:space="0" w:color="auto"/>
              <w:left w:val="single" w:sz="4" w:space="0" w:color="auto"/>
              <w:bottom w:val="single" w:sz="4" w:space="0" w:color="auto"/>
              <w:right w:val="single" w:sz="4" w:space="0" w:color="auto"/>
            </w:tcBorders>
            <w:vAlign w:val="center"/>
            <w:hideMark/>
          </w:tcPr>
          <w:p w14:paraId="304CB635" w14:textId="77777777" w:rsidR="00ED2EC7" w:rsidRPr="00A53AD7" w:rsidRDefault="00ED2EC7" w:rsidP="00ED2EC7">
            <w:pPr>
              <w:spacing w:after="0" w:line="240" w:lineRule="auto"/>
              <w:rPr>
                <w:rFonts w:ascii="Times New Roman" w:hAnsi="Times New Roman"/>
                <w:sz w:val="18"/>
                <w:szCs w:val="18"/>
              </w:rPr>
            </w:pPr>
          </w:p>
        </w:tc>
        <w:tc>
          <w:tcPr>
            <w:tcW w:w="943" w:type="dxa"/>
            <w:vMerge/>
            <w:tcBorders>
              <w:top w:val="single" w:sz="4" w:space="0" w:color="auto"/>
              <w:left w:val="single" w:sz="4" w:space="0" w:color="auto"/>
              <w:bottom w:val="single" w:sz="4" w:space="0" w:color="auto"/>
              <w:right w:val="single" w:sz="4" w:space="0" w:color="auto"/>
            </w:tcBorders>
            <w:vAlign w:val="center"/>
            <w:hideMark/>
          </w:tcPr>
          <w:p w14:paraId="09F6D71D" w14:textId="77777777" w:rsidR="00ED2EC7" w:rsidRPr="00A53AD7" w:rsidRDefault="00ED2EC7" w:rsidP="00ED2EC7">
            <w:pPr>
              <w:spacing w:after="0" w:line="240" w:lineRule="auto"/>
              <w:rPr>
                <w:rFonts w:ascii="Times New Roman" w:hAnsi="Times New Roman"/>
                <w:sz w:val="18"/>
                <w:szCs w:val="18"/>
              </w:rPr>
            </w:pPr>
          </w:p>
        </w:tc>
        <w:tc>
          <w:tcPr>
            <w:tcW w:w="1177" w:type="dxa"/>
            <w:tcBorders>
              <w:top w:val="nil"/>
              <w:left w:val="nil"/>
              <w:bottom w:val="single" w:sz="4" w:space="0" w:color="auto"/>
              <w:right w:val="single" w:sz="4" w:space="0" w:color="auto"/>
            </w:tcBorders>
            <w:shd w:val="clear" w:color="auto" w:fill="auto"/>
            <w:vAlign w:val="center"/>
            <w:hideMark/>
          </w:tcPr>
          <w:p w14:paraId="5DA72E6D"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к утвержденным областным законом</w:t>
            </w:r>
          </w:p>
        </w:tc>
        <w:tc>
          <w:tcPr>
            <w:tcW w:w="1066" w:type="dxa"/>
            <w:tcBorders>
              <w:top w:val="nil"/>
              <w:left w:val="nil"/>
              <w:bottom w:val="single" w:sz="4" w:space="0" w:color="auto"/>
              <w:right w:val="double" w:sz="4" w:space="0" w:color="auto"/>
            </w:tcBorders>
            <w:shd w:val="clear" w:color="auto" w:fill="auto"/>
            <w:vAlign w:val="center"/>
            <w:hideMark/>
          </w:tcPr>
          <w:p w14:paraId="71AD02F5" w14:textId="77777777" w:rsidR="00ED2EC7" w:rsidRPr="00A53AD7" w:rsidRDefault="00ED2EC7" w:rsidP="00ED2EC7">
            <w:pPr>
              <w:spacing w:after="0" w:line="240" w:lineRule="auto"/>
              <w:jc w:val="center"/>
              <w:rPr>
                <w:rFonts w:ascii="Times New Roman" w:hAnsi="Times New Roman"/>
                <w:sz w:val="18"/>
                <w:szCs w:val="18"/>
              </w:rPr>
            </w:pPr>
            <w:r w:rsidRPr="00A53AD7">
              <w:rPr>
                <w:rFonts w:ascii="Times New Roman" w:hAnsi="Times New Roman"/>
                <w:sz w:val="18"/>
                <w:szCs w:val="18"/>
              </w:rPr>
              <w:t>к уточненной сводной бюджетной росписи на год</w:t>
            </w:r>
          </w:p>
        </w:tc>
      </w:tr>
      <w:tr w:rsidR="00D470B6" w:rsidRPr="00A53AD7" w14:paraId="67DD8FAC" w14:textId="77777777" w:rsidTr="00ED2EC7">
        <w:trPr>
          <w:trHeight w:val="876"/>
        </w:trPr>
        <w:tc>
          <w:tcPr>
            <w:tcW w:w="2790" w:type="dxa"/>
            <w:tcBorders>
              <w:top w:val="nil"/>
              <w:left w:val="double" w:sz="4" w:space="0" w:color="auto"/>
              <w:bottom w:val="single" w:sz="4" w:space="0" w:color="auto"/>
              <w:right w:val="single" w:sz="4" w:space="0" w:color="auto"/>
            </w:tcBorders>
            <w:shd w:val="clear" w:color="auto" w:fill="auto"/>
            <w:vAlign w:val="center"/>
            <w:hideMark/>
          </w:tcPr>
          <w:p w14:paraId="52E75ABB" w14:textId="77777777" w:rsidR="00ED2EC7" w:rsidRPr="00A53AD7" w:rsidRDefault="00ED2EC7" w:rsidP="00ED2EC7">
            <w:pPr>
              <w:spacing w:after="0" w:line="240" w:lineRule="auto"/>
              <w:rPr>
                <w:rFonts w:ascii="Times New Roman" w:hAnsi="Times New Roman"/>
                <w:sz w:val="18"/>
                <w:szCs w:val="18"/>
              </w:rPr>
            </w:pPr>
            <w:r w:rsidRPr="00A53AD7">
              <w:rPr>
                <w:rFonts w:ascii="Times New Roman" w:hAnsi="Times New Roman"/>
                <w:sz w:val="18"/>
                <w:szCs w:val="18"/>
              </w:rPr>
              <w:t>Итого по государственной программе Архангельской области "Развитие торговли в Архангельской области"</w:t>
            </w:r>
          </w:p>
        </w:tc>
        <w:tc>
          <w:tcPr>
            <w:tcW w:w="1106" w:type="dxa"/>
            <w:tcBorders>
              <w:top w:val="nil"/>
              <w:left w:val="nil"/>
              <w:bottom w:val="single" w:sz="4" w:space="0" w:color="auto"/>
              <w:right w:val="single" w:sz="4" w:space="0" w:color="auto"/>
            </w:tcBorders>
            <w:shd w:val="clear" w:color="auto" w:fill="auto"/>
            <w:noWrap/>
            <w:vAlign w:val="center"/>
            <w:hideMark/>
          </w:tcPr>
          <w:p w14:paraId="1090A6AE"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3,2</w:t>
            </w:r>
          </w:p>
        </w:tc>
        <w:tc>
          <w:tcPr>
            <w:tcW w:w="1085" w:type="dxa"/>
            <w:tcBorders>
              <w:top w:val="nil"/>
              <w:left w:val="nil"/>
              <w:bottom w:val="single" w:sz="4" w:space="0" w:color="auto"/>
              <w:right w:val="single" w:sz="4" w:space="0" w:color="auto"/>
            </w:tcBorders>
            <w:shd w:val="clear" w:color="auto" w:fill="auto"/>
            <w:noWrap/>
            <w:vAlign w:val="center"/>
            <w:hideMark/>
          </w:tcPr>
          <w:p w14:paraId="18572686"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3,2</w:t>
            </w:r>
          </w:p>
        </w:tc>
        <w:tc>
          <w:tcPr>
            <w:tcW w:w="1313" w:type="dxa"/>
            <w:tcBorders>
              <w:top w:val="nil"/>
              <w:left w:val="nil"/>
              <w:bottom w:val="single" w:sz="4" w:space="0" w:color="auto"/>
              <w:right w:val="single" w:sz="4" w:space="0" w:color="auto"/>
            </w:tcBorders>
            <w:shd w:val="clear" w:color="auto" w:fill="auto"/>
            <w:noWrap/>
            <w:vAlign w:val="center"/>
            <w:hideMark/>
          </w:tcPr>
          <w:p w14:paraId="626D96D4"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3,2</w:t>
            </w:r>
          </w:p>
        </w:tc>
        <w:tc>
          <w:tcPr>
            <w:tcW w:w="943" w:type="dxa"/>
            <w:tcBorders>
              <w:top w:val="nil"/>
              <w:left w:val="nil"/>
              <w:bottom w:val="single" w:sz="4" w:space="0" w:color="auto"/>
              <w:right w:val="single" w:sz="4" w:space="0" w:color="auto"/>
            </w:tcBorders>
            <w:shd w:val="clear" w:color="auto" w:fill="auto"/>
            <w:noWrap/>
            <w:vAlign w:val="center"/>
            <w:hideMark/>
          </w:tcPr>
          <w:p w14:paraId="21402D0B"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3,2</w:t>
            </w:r>
          </w:p>
        </w:tc>
        <w:tc>
          <w:tcPr>
            <w:tcW w:w="1177" w:type="dxa"/>
            <w:tcBorders>
              <w:top w:val="nil"/>
              <w:left w:val="nil"/>
              <w:bottom w:val="single" w:sz="4" w:space="0" w:color="auto"/>
              <w:right w:val="single" w:sz="4" w:space="0" w:color="auto"/>
            </w:tcBorders>
            <w:shd w:val="clear" w:color="auto" w:fill="auto"/>
            <w:noWrap/>
            <w:vAlign w:val="center"/>
            <w:hideMark/>
          </w:tcPr>
          <w:p w14:paraId="360CB34C"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100</w:t>
            </w:r>
          </w:p>
        </w:tc>
        <w:tc>
          <w:tcPr>
            <w:tcW w:w="1066" w:type="dxa"/>
            <w:tcBorders>
              <w:top w:val="nil"/>
              <w:left w:val="nil"/>
              <w:bottom w:val="single" w:sz="4" w:space="0" w:color="auto"/>
              <w:right w:val="double" w:sz="4" w:space="0" w:color="auto"/>
            </w:tcBorders>
            <w:shd w:val="clear" w:color="auto" w:fill="auto"/>
            <w:noWrap/>
            <w:vAlign w:val="center"/>
            <w:hideMark/>
          </w:tcPr>
          <w:p w14:paraId="20473C35"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100</w:t>
            </w:r>
          </w:p>
        </w:tc>
      </w:tr>
      <w:tr w:rsidR="00D470B6" w:rsidRPr="00A53AD7" w14:paraId="3B4E2C89" w14:textId="77777777" w:rsidTr="00ED2EC7">
        <w:trPr>
          <w:trHeight w:val="288"/>
        </w:trPr>
        <w:tc>
          <w:tcPr>
            <w:tcW w:w="2790" w:type="dxa"/>
            <w:tcBorders>
              <w:top w:val="nil"/>
              <w:left w:val="double" w:sz="4" w:space="0" w:color="auto"/>
              <w:bottom w:val="single" w:sz="4" w:space="0" w:color="auto"/>
              <w:right w:val="single" w:sz="4" w:space="0" w:color="auto"/>
            </w:tcBorders>
            <w:shd w:val="clear" w:color="auto" w:fill="auto"/>
            <w:vAlign w:val="center"/>
            <w:hideMark/>
          </w:tcPr>
          <w:p w14:paraId="39DDB232"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в том числе по мероприятиям:</w:t>
            </w:r>
          </w:p>
        </w:tc>
        <w:tc>
          <w:tcPr>
            <w:tcW w:w="1106" w:type="dxa"/>
            <w:tcBorders>
              <w:top w:val="nil"/>
              <w:left w:val="nil"/>
              <w:bottom w:val="single" w:sz="4" w:space="0" w:color="auto"/>
              <w:right w:val="single" w:sz="4" w:space="0" w:color="auto"/>
            </w:tcBorders>
            <w:shd w:val="clear" w:color="auto" w:fill="auto"/>
            <w:noWrap/>
            <w:vAlign w:val="center"/>
            <w:hideMark/>
          </w:tcPr>
          <w:p w14:paraId="0909F38C"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c>
          <w:tcPr>
            <w:tcW w:w="1085" w:type="dxa"/>
            <w:tcBorders>
              <w:top w:val="nil"/>
              <w:left w:val="nil"/>
              <w:bottom w:val="single" w:sz="4" w:space="0" w:color="auto"/>
              <w:right w:val="single" w:sz="4" w:space="0" w:color="auto"/>
            </w:tcBorders>
            <w:shd w:val="clear" w:color="auto" w:fill="auto"/>
            <w:noWrap/>
            <w:vAlign w:val="center"/>
            <w:hideMark/>
          </w:tcPr>
          <w:p w14:paraId="5DD0EAFE"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c>
          <w:tcPr>
            <w:tcW w:w="1313" w:type="dxa"/>
            <w:tcBorders>
              <w:top w:val="nil"/>
              <w:left w:val="nil"/>
              <w:bottom w:val="single" w:sz="4" w:space="0" w:color="auto"/>
              <w:right w:val="single" w:sz="4" w:space="0" w:color="auto"/>
            </w:tcBorders>
            <w:shd w:val="clear" w:color="auto" w:fill="auto"/>
            <w:noWrap/>
            <w:vAlign w:val="center"/>
            <w:hideMark/>
          </w:tcPr>
          <w:p w14:paraId="32D407C3"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c>
          <w:tcPr>
            <w:tcW w:w="943" w:type="dxa"/>
            <w:tcBorders>
              <w:top w:val="nil"/>
              <w:left w:val="nil"/>
              <w:bottom w:val="single" w:sz="4" w:space="0" w:color="auto"/>
              <w:right w:val="single" w:sz="4" w:space="0" w:color="auto"/>
            </w:tcBorders>
            <w:shd w:val="clear" w:color="auto" w:fill="auto"/>
            <w:noWrap/>
            <w:vAlign w:val="center"/>
            <w:hideMark/>
          </w:tcPr>
          <w:p w14:paraId="0B3A967D"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c>
          <w:tcPr>
            <w:tcW w:w="1177" w:type="dxa"/>
            <w:tcBorders>
              <w:top w:val="nil"/>
              <w:left w:val="nil"/>
              <w:bottom w:val="single" w:sz="4" w:space="0" w:color="auto"/>
              <w:right w:val="single" w:sz="4" w:space="0" w:color="auto"/>
            </w:tcBorders>
            <w:shd w:val="clear" w:color="auto" w:fill="auto"/>
            <w:noWrap/>
            <w:vAlign w:val="center"/>
            <w:hideMark/>
          </w:tcPr>
          <w:p w14:paraId="61ABFA4C"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c>
          <w:tcPr>
            <w:tcW w:w="1066" w:type="dxa"/>
            <w:tcBorders>
              <w:top w:val="nil"/>
              <w:left w:val="nil"/>
              <w:bottom w:val="single" w:sz="4" w:space="0" w:color="auto"/>
              <w:right w:val="double" w:sz="4" w:space="0" w:color="auto"/>
            </w:tcBorders>
            <w:shd w:val="clear" w:color="auto" w:fill="auto"/>
            <w:noWrap/>
            <w:vAlign w:val="center"/>
            <w:hideMark/>
          </w:tcPr>
          <w:p w14:paraId="1DAE1AFD" w14:textId="77777777" w:rsidR="00ED2EC7" w:rsidRPr="00A53AD7" w:rsidRDefault="00ED2EC7" w:rsidP="00ED2EC7">
            <w:pPr>
              <w:spacing w:after="0" w:line="240" w:lineRule="auto"/>
              <w:jc w:val="right"/>
              <w:rPr>
                <w:rFonts w:ascii="Times New Roman" w:hAnsi="Times New Roman"/>
                <w:b/>
                <w:bCs/>
                <w:sz w:val="18"/>
                <w:szCs w:val="18"/>
              </w:rPr>
            </w:pPr>
            <w:r w:rsidRPr="00A53AD7">
              <w:rPr>
                <w:rFonts w:ascii="Times New Roman" w:hAnsi="Times New Roman"/>
                <w:b/>
                <w:bCs/>
                <w:sz w:val="18"/>
                <w:szCs w:val="18"/>
              </w:rPr>
              <w:t> </w:t>
            </w:r>
          </w:p>
        </w:tc>
      </w:tr>
      <w:tr w:rsidR="00D470B6" w:rsidRPr="00A53AD7" w14:paraId="43C32B12" w14:textId="77777777" w:rsidTr="00ED2EC7">
        <w:trPr>
          <w:trHeight w:val="876"/>
        </w:trPr>
        <w:tc>
          <w:tcPr>
            <w:tcW w:w="2790" w:type="dxa"/>
            <w:tcBorders>
              <w:top w:val="nil"/>
              <w:left w:val="double" w:sz="4" w:space="0" w:color="auto"/>
              <w:bottom w:val="single" w:sz="4" w:space="0" w:color="auto"/>
              <w:right w:val="single" w:sz="4" w:space="0" w:color="auto"/>
            </w:tcBorders>
            <w:shd w:val="clear" w:color="auto" w:fill="auto"/>
            <w:vAlign w:val="center"/>
            <w:hideMark/>
          </w:tcPr>
          <w:p w14:paraId="410F4854" w14:textId="77777777" w:rsidR="00ED2EC7" w:rsidRPr="00A53AD7" w:rsidRDefault="00ED2EC7" w:rsidP="00ED2EC7">
            <w:pPr>
              <w:spacing w:after="0" w:line="240" w:lineRule="auto"/>
              <w:rPr>
                <w:rFonts w:ascii="Times New Roman" w:hAnsi="Times New Roman"/>
                <w:sz w:val="18"/>
                <w:szCs w:val="18"/>
              </w:rPr>
            </w:pPr>
            <w:r w:rsidRPr="00A53AD7">
              <w:rPr>
                <w:rFonts w:ascii="Times New Roman" w:hAnsi="Times New Roman"/>
                <w:sz w:val="18"/>
                <w:szCs w:val="18"/>
              </w:rPr>
              <w:t>Создание условий для обеспечения поселений и жителей городских округов услугами торговли (субсидии)</w:t>
            </w:r>
          </w:p>
        </w:tc>
        <w:tc>
          <w:tcPr>
            <w:tcW w:w="1106" w:type="dxa"/>
            <w:tcBorders>
              <w:top w:val="nil"/>
              <w:left w:val="nil"/>
              <w:bottom w:val="single" w:sz="4" w:space="0" w:color="auto"/>
              <w:right w:val="single" w:sz="4" w:space="0" w:color="auto"/>
            </w:tcBorders>
            <w:shd w:val="clear" w:color="auto" w:fill="auto"/>
            <w:noWrap/>
            <w:vAlign w:val="center"/>
            <w:hideMark/>
          </w:tcPr>
          <w:p w14:paraId="0256A014"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2,3</w:t>
            </w:r>
          </w:p>
        </w:tc>
        <w:tc>
          <w:tcPr>
            <w:tcW w:w="1085" w:type="dxa"/>
            <w:tcBorders>
              <w:top w:val="nil"/>
              <w:left w:val="nil"/>
              <w:bottom w:val="single" w:sz="4" w:space="0" w:color="auto"/>
              <w:right w:val="single" w:sz="4" w:space="0" w:color="auto"/>
            </w:tcBorders>
            <w:shd w:val="clear" w:color="auto" w:fill="auto"/>
            <w:noWrap/>
            <w:vAlign w:val="center"/>
            <w:hideMark/>
          </w:tcPr>
          <w:p w14:paraId="5047BF69"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2,3</w:t>
            </w:r>
          </w:p>
        </w:tc>
        <w:tc>
          <w:tcPr>
            <w:tcW w:w="1313" w:type="dxa"/>
            <w:tcBorders>
              <w:top w:val="nil"/>
              <w:left w:val="nil"/>
              <w:bottom w:val="single" w:sz="4" w:space="0" w:color="auto"/>
              <w:right w:val="single" w:sz="4" w:space="0" w:color="auto"/>
            </w:tcBorders>
            <w:shd w:val="clear" w:color="auto" w:fill="auto"/>
            <w:noWrap/>
            <w:vAlign w:val="center"/>
            <w:hideMark/>
          </w:tcPr>
          <w:p w14:paraId="6B86F610"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2,3</w:t>
            </w:r>
          </w:p>
        </w:tc>
        <w:tc>
          <w:tcPr>
            <w:tcW w:w="943" w:type="dxa"/>
            <w:tcBorders>
              <w:top w:val="nil"/>
              <w:left w:val="nil"/>
              <w:bottom w:val="single" w:sz="4" w:space="0" w:color="auto"/>
              <w:right w:val="single" w:sz="4" w:space="0" w:color="auto"/>
            </w:tcBorders>
            <w:shd w:val="clear" w:color="auto" w:fill="auto"/>
            <w:noWrap/>
            <w:vAlign w:val="center"/>
            <w:hideMark/>
          </w:tcPr>
          <w:p w14:paraId="339AA944"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2,3</w:t>
            </w:r>
          </w:p>
        </w:tc>
        <w:tc>
          <w:tcPr>
            <w:tcW w:w="1177" w:type="dxa"/>
            <w:tcBorders>
              <w:top w:val="nil"/>
              <w:left w:val="nil"/>
              <w:bottom w:val="single" w:sz="4" w:space="0" w:color="auto"/>
              <w:right w:val="single" w:sz="4" w:space="0" w:color="auto"/>
            </w:tcBorders>
            <w:shd w:val="clear" w:color="auto" w:fill="auto"/>
            <w:noWrap/>
            <w:vAlign w:val="center"/>
            <w:hideMark/>
          </w:tcPr>
          <w:p w14:paraId="4F5C6D72"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100</w:t>
            </w:r>
          </w:p>
        </w:tc>
        <w:tc>
          <w:tcPr>
            <w:tcW w:w="1066" w:type="dxa"/>
            <w:tcBorders>
              <w:top w:val="nil"/>
              <w:left w:val="nil"/>
              <w:bottom w:val="single" w:sz="4" w:space="0" w:color="auto"/>
              <w:right w:val="double" w:sz="4" w:space="0" w:color="auto"/>
            </w:tcBorders>
            <w:shd w:val="clear" w:color="auto" w:fill="auto"/>
            <w:noWrap/>
            <w:vAlign w:val="center"/>
            <w:hideMark/>
          </w:tcPr>
          <w:p w14:paraId="27DF7CCA"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100</w:t>
            </w:r>
          </w:p>
        </w:tc>
      </w:tr>
      <w:tr w:rsidR="00ED2EC7" w:rsidRPr="00A53AD7" w14:paraId="75583FAC" w14:textId="77777777" w:rsidTr="00ED2EC7">
        <w:trPr>
          <w:trHeight w:val="876"/>
        </w:trPr>
        <w:tc>
          <w:tcPr>
            <w:tcW w:w="2790" w:type="dxa"/>
            <w:tcBorders>
              <w:top w:val="nil"/>
              <w:left w:val="double" w:sz="4" w:space="0" w:color="auto"/>
              <w:bottom w:val="double" w:sz="4" w:space="0" w:color="auto"/>
              <w:right w:val="single" w:sz="4" w:space="0" w:color="auto"/>
            </w:tcBorders>
            <w:shd w:val="clear" w:color="auto" w:fill="auto"/>
            <w:vAlign w:val="center"/>
            <w:hideMark/>
          </w:tcPr>
          <w:p w14:paraId="31583BA4" w14:textId="77777777" w:rsidR="00ED2EC7" w:rsidRPr="00A53AD7" w:rsidRDefault="00ED2EC7" w:rsidP="00ED2EC7">
            <w:pPr>
              <w:spacing w:after="0" w:line="240" w:lineRule="auto"/>
              <w:rPr>
                <w:rFonts w:ascii="Times New Roman" w:hAnsi="Times New Roman"/>
                <w:sz w:val="18"/>
                <w:szCs w:val="18"/>
              </w:rPr>
            </w:pPr>
            <w:r w:rsidRPr="00A53AD7">
              <w:rPr>
                <w:rFonts w:ascii="Times New Roman" w:hAnsi="Times New Roman"/>
                <w:sz w:val="18"/>
                <w:szCs w:val="18"/>
              </w:rPr>
              <w:t>Осуществление государственных полномочий по формированию торгового реестра (субвенции)</w:t>
            </w:r>
          </w:p>
        </w:tc>
        <w:tc>
          <w:tcPr>
            <w:tcW w:w="1106" w:type="dxa"/>
            <w:tcBorders>
              <w:top w:val="nil"/>
              <w:left w:val="nil"/>
              <w:bottom w:val="double" w:sz="4" w:space="0" w:color="auto"/>
              <w:right w:val="single" w:sz="4" w:space="0" w:color="auto"/>
            </w:tcBorders>
            <w:shd w:val="clear" w:color="auto" w:fill="auto"/>
            <w:noWrap/>
            <w:vAlign w:val="center"/>
            <w:hideMark/>
          </w:tcPr>
          <w:p w14:paraId="20F4BDD9"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0,9</w:t>
            </w:r>
          </w:p>
        </w:tc>
        <w:tc>
          <w:tcPr>
            <w:tcW w:w="1085" w:type="dxa"/>
            <w:tcBorders>
              <w:top w:val="nil"/>
              <w:left w:val="nil"/>
              <w:bottom w:val="double" w:sz="4" w:space="0" w:color="auto"/>
              <w:right w:val="single" w:sz="4" w:space="0" w:color="auto"/>
            </w:tcBorders>
            <w:shd w:val="clear" w:color="auto" w:fill="auto"/>
            <w:noWrap/>
            <w:vAlign w:val="center"/>
            <w:hideMark/>
          </w:tcPr>
          <w:p w14:paraId="6823FB4E"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0,9</w:t>
            </w:r>
          </w:p>
        </w:tc>
        <w:tc>
          <w:tcPr>
            <w:tcW w:w="1313" w:type="dxa"/>
            <w:tcBorders>
              <w:top w:val="nil"/>
              <w:left w:val="nil"/>
              <w:bottom w:val="double" w:sz="4" w:space="0" w:color="auto"/>
              <w:right w:val="single" w:sz="4" w:space="0" w:color="auto"/>
            </w:tcBorders>
            <w:shd w:val="clear" w:color="auto" w:fill="auto"/>
            <w:noWrap/>
            <w:vAlign w:val="center"/>
            <w:hideMark/>
          </w:tcPr>
          <w:p w14:paraId="476CD87F"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0,9</w:t>
            </w:r>
          </w:p>
        </w:tc>
        <w:tc>
          <w:tcPr>
            <w:tcW w:w="943" w:type="dxa"/>
            <w:tcBorders>
              <w:top w:val="nil"/>
              <w:left w:val="nil"/>
              <w:bottom w:val="double" w:sz="4" w:space="0" w:color="auto"/>
              <w:right w:val="single" w:sz="4" w:space="0" w:color="auto"/>
            </w:tcBorders>
            <w:shd w:val="clear" w:color="auto" w:fill="auto"/>
            <w:noWrap/>
            <w:vAlign w:val="center"/>
            <w:hideMark/>
          </w:tcPr>
          <w:p w14:paraId="35BA4EF6"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0,9</w:t>
            </w:r>
          </w:p>
        </w:tc>
        <w:tc>
          <w:tcPr>
            <w:tcW w:w="1177" w:type="dxa"/>
            <w:tcBorders>
              <w:top w:val="nil"/>
              <w:left w:val="nil"/>
              <w:bottom w:val="double" w:sz="4" w:space="0" w:color="auto"/>
              <w:right w:val="single" w:sz="4" w:space="0" w:color="auto"/>
            </w:tcBorders>
            <w:shd w:val="clear" w:color="auto" w:fill="auto"/>
            <w:noWrap/>
            <w:vAlign w:val="center"/>
            <w:hideMark/>
          </w:tcPr>
          <w:p w14:paraId="47741081"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100</w:t>
            </w:r>
          </w:p>
        </w:tc>
        <w:tc>
          <w:tcPr>
            <w:tcW w:w="1066" w:type="dxa"/>
            <w:tcBorders>
              <w:top w:val="nil"/>
              <w:left w:val="nil"/>
              <w:bottom w:val="double" w:sz="4" w:space="0" w:color="auto"/>
              <w:right w:val="double" w:sz="4" w:space="0" w:color="auto"/>
            </w:tcBorders>
            <w:shd w:val="clear" w:color="auto" w:fill="auto"/>
            <w:noWrap/>
            <w:vAlign w:val="center"/>
            <w:hideMark/>
          </w:tcPr>
          <w:p w14:paraId="4AA9F63C" w14:textId="77777777" w:rsidR="00ED2EC7" w:rsidRPr="00A53AD7" w:rsidRDefault="00ED2EC7" w:rsidP="00ED2EC7">
            <w:pPr>
              <w:spacing w:after="0" w:line="240" w:lineRule="auto"/>
              <w:jc w:val="right"/>
              <w:rPr>
                <w:rFonts w:ascii="Times New Roman" w:hAnsi="Times New Roman"/>
                <w:sz w:val="18"/>
                <w:szCs w:val="18"/>
              </w:rPr>
            </w:pPr>
            <w:r w:rsidRPr="00A53AD7">
              <w:rPr>
                <w:rFonts w:ascii="Times New Roman" w:hAnsi="Times New Roman"/>
                <w:sz w:val="18"/>
                <w:szCs w:val="18"/>
              </w:rPr>
              <w:t>100</w:t>
            </w:r>
          </w:p>
        </w:tc>
      </w:tr>
    </w:tbl>
    <w:p w14:paraId="558FAE8E"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04286E35"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мероприятий государственной программы, размещенному в КИАС Архангельской области, за отчетный год все предусмотренные финансовые средства в размере 4,8 млн.руб., из них средства: областного бюджета – 3,2 млн.руб., местных бюджетов - 1,6 млн.руб. израсходованы в полном объеме.</w:t>
      </w:r>
    </w:p>
    <w:p w14:paraId="1E189AF5"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министерством в рамках реализации государственной программы с органами местного самоуправления муниципальных образований Архангельской области заключено 14 соглашений о взаимодействии по предоставлению и расходованию межбюджетных субсидий в сфере обеспечения поселений и городских округов услугами торговли.</w:t>
      </w:r>
    </w:p>
    <w:p w14:paraId="30FD6938"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В рамках государственной программы в 2019 году осуществлялась реализация 24 мероприятий. За отчетный период не выполнено в полном объеме одно мероприятие «Обеспечение реализации государственной политики в сфере торговли в Архангельской области в рамках Федерального закона от 28 декабря 2009 года № 381-ФЗ «Об основах государственного регулирования торговой деятельности в Российской Федерации» плановое значение - 4 %, а выполнение составило 3,1 %. Причиной явилось закрытие магазинов, изменения численности населения и продажи товаров на одного человека (прямо влияют на уменьшение объема продаж).</w:t>
      </w:r>
    </w:p>
    <w:p w14:paraId="04BA5660"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Из тринадцати целевых показателей государственной программы, по трем исполнение не достигнуто до 100 процентов, а именно:</w:t>
      </w:r>
    </w:p>
    <w:p w14:paraId="7B9049DC"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1. По обороту розничной торговли к предыдущему году в сопоставимых ценах. Значение целевых показателей по годам представлено в таблице:</w:t>
      </w:r>
    </w:p>
    <w:tbl>
      <w:tblPr>
        <w:tblW w:w="9346"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1134"/>
        <w:gridCol w:w="1560"/>
        <w:gridCol w:w="1989"/>
        <w:gridCol w:w="1545"/>
      </w:tblGrid>
      <w:tr w:rsidR="00D470B6" w:rsidRPr="00A53AD7" w14:paraId="4B1150FF" w14:textId="77777777" w:rsidTr="00ED2EC7">
        <w:trPr>
          <w:trHeight w:val="264"/>
        </w:trPr>
        <w:tc>
          <w:tcPr>
            <w:tcW w:w="9346" w:type="dxa"/>
            <w:gridSpan w:val="6"/>
            <w:shd w:val="clear" w:color="auto" w:fill="auto"/>
            <w:vAlign w:val="center"/>
            <w:hideMark/>
          </w:tcPr>
          <w:p w14:paraId="696E6478"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Значение целевых показателей</w:t>
            </w:r>
          </w:p>
        </w:tc>
      </w:tr>
      <w:tr w:rsidR="00D470B6" w:rsidRPr="00A53AD7" w14:paraId="39344FBC" w14:textId="77777777" w:rsidTr="00ED2EC7">
        <w:trPr>
          <w:trHeight w:val="570"/>
        </w:trPr>
        <w:tc>
          <w:tcPr>
            <w:tcW w:w="3118" w:type="dxa"/>
            <w:gridSpan w:val="2"/>
            <w:shd w:val="clear" w:color="auto" w:fill="auto"/>
            <w:vAlign w:val="center"/>
            <w:hideMark/>
          </w:tcPr>
          <w:p w14:paraId="725D14B6"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фактические за два года, предшествующие отчетному году</w:t>
            </w:r>
          </w:p>
        </w:tc>
        <w:tc>
          <w:tcPr>
            <w:tcW w:w="1134" w:type="dxa"/>
            <w:vMerge w:val="restart"/>
            <w:shd w:val="clear" w:color="auto" w:fill="auto"/>
            <w:vAlign w:val="center"/>
            <w:hideMark/>
          </w:tcPr>
          <w:p w14:paraId="77F06E4B"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2019 год</w:t>
            </w:r>
          </w:p>
        </w:tc>
        <w:tc>
          <w:tcPr>
            <w:tcW w:w="1560" w:type="dxa"/>
            <w:vMerge w:val="restart"/>
            <w:shd w:val="clear" w:color="auto" w:fill="auto"/>
            <w:vAlign w:val="center"/>
            <w:hideMark/>
          </w:tcPr>
          <w:p w14:paraId="5DC42DE7"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фактическое за 2019 год</w:t>
            </w:r>
          </w:p>
        </w:tc>
        <w:tc>
          <w:tcPr>
            <w:tcW w:w="1989" w:type="dxa"/>
            <w:vMerge w:val="restart"/>
            <w:shd w:val="clear" w:color="auto" w:fill="auto"/>
            <w:vAlign w:val="center"/>
            <w:hideMark/>
          </w:tcPr>
          <w:p w14:paraId="4A21DE18"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Степень достижения показателя, %</w:t>
            </w:r>
          </w:p>
        </w:tc>
        <w:tc>
          <w:tcPr>
            <w:tcW w:w="1545" w:type="dxa"/>
            <w:vMerge w:val="restart"/>
            <w:shd w:val="clear" w:color="auto" w:fill="auto"/>
            <w:vAlign w:val="center"/>
            <w:hideMark/>
          </w:tcPr>
          <w:p w14:paraId="10521D22"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2020 год</w:t>
            </w:r>
          </w:p>
        </w:tc>
      </w:tr>
      <w:tr w:rsidR="00D470B6" w:rsidRPr="00A53AD7" w14:paraId="1F3EA008" w14:textId="77777777" w:rsidTr="00ED2EC7">
        <w:trPr>
          <w:trHeight w:val="264"/>
        </w:trPr>
        <w:tc>
          <w:tcPr>
            <w:tcW w:w="1559" w:type="dxa"/>
            <w:shd w:val="clear" w:color="auto" w:fill="auto"/>
            <w:vAlign w:val="center"/>
            <w:hideMark/>
          </w:tcPr>
          <w:p w14:paraId="26E3A37C"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2017 год</w:t>
            </w:r>
          </w:p>
        </w:tc>
        <w:tc>
          <w:tcPr>
            <w:tcW w:w="1559" w:type="dxa"/>
            <w:shd w:val="clear" w:color="auto" w:fill="auto"/>
            <w:vAlign w:val="center"/>
            <w:hideMark/>
          </w:tcPr>
          <w:p w14:paraId="06038AC4"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2018 год</w:t>
            </w:r>
          </w:p>
        </w:tc>
        <w:tc>
          <w:tcPr>
            <w:tcW w:w="1134" w:type="dxa"/>
            <w:vMerge/>
            <w:vAlign w:val="center"/>
            <w:hideMark/>
          </w:tcPr>
          <w:p w14:paraId="50EF35F4" w14:textId="77777777" w:rsidR="00ED2EC7" w:rsidRPr="00A53AD7" w:rsidRDefault="00ED2EC7" w:rsidP="00ED2EC7">
            <w:pPr>
              <w:spacing w:after="0" w:line="240" w:lineRule="auto"/>
              <w:rPr>
                <w:rFonts w:ascii="Times New Roman" w:hAnsi="Times New Roman"/>
                <w:bCs/>
              </w:rPr>
            </w:pPr>
          </w:p>
        </w:tc>
        <w:tc>
          <w:tcPr>
            <w:tcW w:w="1560" w:type="dxa"/>
            <w:vMerge/>
            <w:vAlign w:val="center"/>
            <w:hideMark/>
          </w:tcPr>
          <w:p w14:paraId="03F5A6B0" w14:textId="77777777" w:rsidR="00ED2EC7" w:rsidRPr="00A53AD7" w:rsidRDefault="00ED2EC7" w:rsidP="00ED2EC7">
            <w:pPr>
              <w:spacing w:after="0" w:line="240" w:lineRule="auto"/>
              <w:rPr>
                <w:rFonts w:ascii="Times New Roman" w:hAnsi="Times New Roman"/>
                <w:bCs/>
              </w:rPr>
            </w:pPr>
          </w:p>
        </w:tc>
        <w:tc>
          <w:tcPr>
            <w:tcW w:w="1989" w:type="dxa"/>
            <w:vMerge/>
            <w:vAlign w:val="center"/>
            <w:hideMark/>
          </w:tcPr>
          <w:p w14:paraId="020867A3" w14:textId="77777777" w:rsidR="00ED2EC7" w:rsidRPr="00A53AD7" w:rsidRDefault="00ED2EC7" w:rsidP="00ED2EC7">
            <w:pPr>
              <w:spacing w:after="0" w:line="240" w:lineRule="auto"/>
              <w:rPr>
                <w:rFonts w:ascii="Times New Roman" w:hAnsi="Times New Roman"/>
                <w:bCs/>
              </w:rPr>
            </w:pPr>
          </w:p>
        </w:tc>
        <w:tc>
          <w:tcPr>
            <w:tcW w:w="1545" w:type="dxa"/>
            <w:vMerge/>
            <w:vAlign w:val="center"/>
            <w:hideMark/>
          </w:tcPr>
          <w:p w14:paraId="177C8673" w14:textId="77777777" w:rsidR="00ED2EC7" w:rsidRPr="00A53AD7" w:rsidRDefault="00ED2EC7" w:rsidP="00ED2EC7">
            <w:pPr>
              <w:spacing w:after="0" w:line="240" w:lineRule="auto"/>
              <w:rPr>
                <w:rFonts w:ascii="Times New Roman" w:hAnsi="Times New Roman"/>
                <w:bCs/>
              </w:rPr>
            </w:pPr>
          </w:p>
        </w:tc>
      </w:tr>
      <w:tr w:rsidR="00ED2EC7" w:rsidRPr="00A53AD7" w14:paraId="39409050" w14:textId="77777777" w:rsidTr="00ED2EC7">
        <w:trPr>
          <w:trHeight w:val="245"/>
        </w:trPr>
        <w:tc>
          <w:tcPr>
            <w:tcW w:w="1559" w:type="dxa"/>
            <w:shd w:val="clear" w:color="auto" w:fill="auto"/>
            <w:vAlign w:val="center"/>
            <w:hideMark/>
          </w:tcPr>
          <w:p w14:paraId="408E0A81" w14:textId="77777777" w:rsidR="00ED2EC7" w:rsidRPr="00A53AD7" w:rsidRDefault="00ED2EC7" w:rsidP="00ED2EC7">
            <w:pPr>
              <w:spacing w:after="0" w:line="240" w:lineRule="auto"/>
              <w:ind w:hanging="103"/>
              <w:jc w:val="center"/>
              <w:rPr>
                <w:rFonts w:ascii="Times New Roman" w:hAnsi="Times New Roman"/>
                <w:bCs/>
              </w:rPr>
            </w:pPr>
            <w:r w:rsidRPr="00A53AD7">
              <w:rPr>
                <w:rFonts w:ascii="Times New Roman" w:hAnsi="Times New Roman"/>
                <w:bCs/>
              </w:rPr>
              <w:t>102,3</w:t>
            </w:r>
          </w:p>
        </w:tc>
        <w:tc>
          <w:tcPr>
            <w:tcW w:w="1559" w:type="dxa"/>
            <w:shd w:val="clear" w:color="auto" w:fill="auto"/>
            <w:vAlign w:val="center"/>
            <w:hideMark/>
          </w:tcPr>
          <w:p w14:paraId="2435C82A"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103,6</w:t>
            </w:r>
          </w:p>
        </w:tc>
        <w:tc>
          <w:tcPr>
            <w:tcW w:w="1134" w:type="dxa"/>
            <w:shd w:val="clear" w:color="auto" w:fill="auto"/>
            <w:vAlign w:val="center"/>
            <w:hideMark/>
          </w:tcPr>
          <w:p w14:paraId="3E4CA9CE"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102,3</w:t>
            </w:r>
          </w:p>
        </w:tc>
        <w:tc>
          <w:tcPr>
            <w:tcW w:w="1560" w:type="dxa"/>
            <w:shd w:val="clear" w:color="auto" w:fill="auto"/>
            <w:vAlign w:val="center"/>
            <w:hideMark/>
          </w:tcPr>
          <w:p w14:paraId="1E1B26AB" w14:textId="77777777" w:rsidR="00ED2EC7" w:rsidRPr="00A53AD7" w:rsidRDefault="00ED2EC7" w:rsidP="00ED2EC7">
            <w:pPr>
              <w:spacing w:after="0" w:line="240" w:lineRule="auto"/>
              <w:jc w:val="center"/>
              <w:rPr>
                <w:rFonts w:ascii="Times New Roman" w:hAnsi="Times New Roman"/>
                <w:b/>
                <w:bCs/>
              </w:rPr>
            </w:pPr>
            <w:r w:rsidRPr="00A53AD7">
              <w:rPr>
                <w:rFonts w:ascii="Times New Roman" w:hAnsi="Times New Roman"/>
                <w:b/>
                <w:bCs/>
              </w:rPr>
              <w:t>99,4</w:t>
            </w:r>
          </w:p>
        </w:tc>
        <w:tc>
          <w:tcPr>
            <w:tcW w:w="1989" w:type="dxa"/>
            <w:shd w:val="clear" w:color="auto" w:fill="auto"/>
            <w:vAlign w:val="center"/>
            <w:hideMark/>
          </w:tcPr>
          <w:p w14:paraId="12A73801"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97,2</w:t>
            </w:r>
          </w:p>
        </w:tc>
        <w:tc>
          <w:tcPr>
            <w:tcW w:w="1545" w:type="dxa"/>
            <w:shd w:val="clear" w:color="auto" w:fill="auto"/>
            <w:vAlign w:val="center"/>
            <w:hideMark/>
          </w:tcPr>
          <w:p w14:paraId="341C3596"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102,1</w:t>
            </w:r>
          </w:p>
        </w:tc>
      </w:tr>
    </w:tbl>
    <w:p w14:paraId="7CED1836"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2EC6D6F0"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2. По обороту оптовой торговли к предыдущему году в сопоставимых ценах. Значение целевых показателей по годам представлено в таблице:</w:t>
      </w:r>
    </w:p>
    <w:tbl>
      <w:tblPr>
        <w:tblW w:w="9346"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1134"/>
        <w:gridCol w:w="1560"/>
        <w:gridCol w:w="1989"/>
        <w:gridCol w:w="1545"/>
      </w:tblGrid>
      <w:tr w:rsidR="00D470B6" w:rsidRPr="00A53AD7" w14:paraId="6B30CE1C" w14:textId="77777777" w:rsidTr="00ED2EC7">
        <w:trPr>
          <w:trHeight w:val="264"/>
        </w:trPr>
        <w:tc>
          <w:tcPr>
            <w:tcW w:w="9346" w:type="dxa"/>
            <w:gridSpan w:val="6"/>
            <w:shd w:val="clear" w:color="auto" w:fill="auto"/>
            <w:vAlign w:val="center"/>
            <w:hideMark/>
          </w:tcPr>
          <w:p w14:paraId="1D3090D4"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Значение целевых показателей</w:t>
            </w:r>
          </w:p>
        </w:tc>
      </w:tr>
      <w:tr w:rsidR="00D470B6" w:rsidRPr="00A53AD7" w14:paraId="6DA81F80" w14:textId="77777777" w:rsidTr="00ED2EC7">
        <w:trPr>
          <w:trHeight w:val="570"/>
        </w:trPr>
        <w:tc>
          <w:tcPr>
            <w:tcW w:w="3118" w:type="dxa"/>
            <w:gridSpan w:val="2"/>
            <w:shd w:val="clear" w:color="auto" w:fill="auto"/>
            <w:vAlign w:val="center"/>
            <w:hideMark/>
          </w:tcPr>
          <w:p w14:paraId="4A5FF1BF"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фактические за два года, предшествующие отчетному году</w:t>
            </w:r>
          </w:p>
        </w:tc>
        <w:tc>
          <w:tcPr>
            <w:tcW w:w="1134" w:type="dxa"/>
            <w:vMerge w:val="restart"/>
            <w:shd w:val="clear" w:color="auto" w:fill="auto"/>
            <w:vAlign w:val="center"/>
            <w:hideMark/>
          </w:tcPr>
          <w:p w14:paraId="5DCA03AD"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2019 год</w:t>
            </w:r>
          </w:p>
        </w:tc>
        <w:tc>
          <w:tcPr>
            <w:tcW w:w="1560" w:type="dxa"/>
            <w:vMerge w:val="restart"/>
            <w:shd w:val="clear" w:color="auto" w:fill="auto"/>
            <w:vAlign w:val="center"/>
            <w:hideMark/>
          </w:tcPr>
          <w:p w14:paraId="29FBF524"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фактическое за 2018 год</w:t>
            </w:r>
          </w:p>
        </w:tc>
        <w:tc>
          <w:tcPr>
            <w:tcW w:w="1989" w:type="dxa"/>
            <w:vMerge w:val="restart"/>
            <w:shd w:val="clear" w:color="auto" w:fill="auto"/>
            <w:vAlign w:val="center"/>
            <w:hideMark/>
          </w:tcPr>
          <w:p w14:paraId="41F83221"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Степень достижения показателя, %</w:t>
            </w:r>
          </w:p>
        </w:tc>
        <w:tc>
          <w:tcPr>
            <w:tcW w:w="1545" w:type="dxa"/>
            <w:vMerge w:val="restart"/>
            <w:shd w:val="clear" w:color="auto" w:fill="auto"/>
            <w:vAlign w:val="center"/>
            <w:hideMark/>
          </w:tcPr>
          <w:p w14:paraId="69A803D6"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2019 год</w:t>
            </w:r>
          </w:p>
        </w:tc>
      </w:tr>
      <w:tr w:rsidR="00D470B6" w:rsidRPr="00A53AD7" w14:paraId="06A71AF3" w14:textId="77777777" w:rsidTr="00ED2EC7">
        <w:trPr>
          <w:trHeight w:val="264"/>
        </w:trPr>
        <w:tc>
          <w:tcPr>
            <w:tcW w:w="1559" w:type="dxa"/>
            <w:shd w:val="clear" w:color="auto" w:fill="auto"/>
            <w:vAlign w:val="center"/>
            <w:hideMark/>
          </w:tcPr>
          <w:p w14:paraId="65CD6DE1"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2017 год</w:t>
            </w:r>
          </w:p>
        </w:tc>
        <w:tc>
          <w:tcPr>
            <w:tcW w:w="1559" w:type="dxa"/>
            <w:shd w:val="clear" w:color="auto" w:fill="auto"/>
            <w:vAlign w:val="center"/>
            <w:hideMark/>
          </w:tcPr>
          <w:p w14:paraId="14FD3EA9"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2018 год</w:t>
            </w:r>
          </w:p>
        </w:tc>
        <w:tc>
          <w:tcPr>
            <w:tcW w:w="1134" w:type="dxa"/>
            <w:vMerge/>
            <w:vAlign w:val="center"/>
            <w:hideMark/>
          </w:tcPr>
          <w:p w14:paraId="52599EC7" w14:textId="77777777" w:rsidR="00ED2EC7" w:rsidRPr="00A53AD7" w:rsidRDefault="00ED2EC7" w:rsidP="00ED2EC7">
            <w:pPr>
              <w:spacing w:after="0" w:line="240" w:lineRule="auto"/>
              <w:rPr>
                <w:rFonts w:ascii="Times New Roman" w:hAnsi="Times New Roman"/>
                <w:bCs/>
              </w:rPr>
            </w:pPr>
          </w:p>
        </w:tc>
        <w:tc>
          <w:tcPr>
            <w:tcW w:w="1560" w:type="dxa"/>
            <w:vMerge/>
            <w:vAlign w:val="center"/>
            <w:hideMark/>
          </w:tcPr>
          <w:p w14:paraId="532D19C6" w14:textId="77777777" w:rsidR="00ED2EC7" w:rsidRPr="00A53AD7" w:rsidRDefault="00ED2EC7" w:rsidP="00ED2EC7">
            <w:pPr>
              <w:spacing w:after="0" w:line="240" w:lineRule="auto"/>
              <w:rPr>
                <w:rFonts w:ascii="Times New Roman" w:hAnsi="Times New Roman"/>
                <w:bCs/>
              </w:rPr>
            </w:pPr>
          </w:p>
        </w:tc>
        <w:tc>
          <w:tcPr>
            <w:tcW w:w="1989" w:type="dxa"/>
            <w:vMerge/>
            <w:vAlign w:val="center"/>
            <w:hideMark/>
          </w:tcPr>
          <w:p w14:paraId="0442A6D6" w14:textId="77777777" w:rsidR="00ED2EC7" w:rsidRPr="00A53AD7" w:rsidRDefault="00ED2EC7" w:rsidP="00ED2EC7">
            <w:pPr>
              <w:spacing w:after="0" w:line="240" w:lineRule="auto"/>
              <w:rPr>
                <w:rFonts w:ascii="Times New Roman" w:hAnsi="Times New Roman"/>
                <w:bCs/>
              </w:rPr>
            </w:pPr>
          </w:p>
        </w:tc>
        <w:tc>
          <w:tcPr>
            <w:tcW w:w="1545" w:type="dxa"/>
            <w:vMerge/>
            <w:vAlign w:val="center"/>
            <w:hideMark/>
          </w:tcPr>
          <w:p w14:paraId="0C07146C" w14:textId="77777777" w:rsidR="00ED2EC7" w:rsidRPr="00A53AD7" w:rsidRDefault="00ED2EC7" w:rsidP="00ED2EC7">
            <w:pPr>
              <w:spacing w:after="0" w:line="240" w:lineRule="auto"/>
              <w:rPr>
                <w:rFonts w:ascii="Times New Roman" w:hAnsi="Times New Roman"/>
                <w:bCs/>
              </w:rPr>
            </w:pPr>
          </w:p>
        </w:tc>
      </w:tr>
      <w:tr w:rsidR="00ED2EC7" w:rsidRPr="00A53AD7" w14:paraId="4F8856A7" w14:textId="77777777" w:rsidTr="00ED2EC7">
        <w:trPr>
          <w:trHeight w:val="201"/>
        </w:trPr>
        <w:tc>
          <w:tcPr>
            <w:tcW w:w="1559" w:type="dxa"/>
            <w:shd w:val="clear" w:color="auto" w:fill="auto"/>
            <w:vAlign w:val="center"/>
            <w:hideMark/>
          </w:tcPr>
          <w:p w14:paraId="53C19A18" w14:textId="77777777" w:rsidR="00ED2EC7" w:rsidRPr="00A53AD7" w:rsidRDefault="00ED2EC7" w:rsidP="00ED2EC7">
            <w:pPr>
              <w:spacing w:after="0" w:line="240" w:lineRule="auto"/>
              <w:ind w:hanging="103"/>
              <w:jc w:val="center"/>
              <w:rPr>
                <w:rFonts w:ascii="Times New Roman" w:hAnsi="Times New Roman"/>
                <w:bCs/>
              </w:rPr>
            </w:pPr>
            <w:r w:rsidRPr="00A53AD7">
              <w:rPr>
                <w:rFonts w:ascii="Times New Roman" w:hAnsi="Times New Roman"/>
                <w:bCs/>
              </w:rPr>
              <w:t>103,3</w:t>
            </w:r>
          </w:p>
        </w:tc>
        <w:tc>
          <w:tcPr>
            <w:tcW w:w="1559" w:type="dxa"/>
            <w:shd w:val="clear" w:color="auto" w:fill="auto"/>
            <w:vAlign w:val="center"/>
            <w:hideMark/>
          </w:tcPr>
          <w:p w14:paraId="45415EF0"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94,0</w:t>
            </w:r>
          </w:p>
        </w:tc>
        <w:tc>
          <w:tcPr>
            <w:tcW w:w="1134" w:type="dxa"/>
            <w:shd w:val="clear" w:color="auto" w:fill="auto"/>
            <w:vAlign w:val="center"/>
            <w:hideMark/>
          </w:tcPr>
          <w:p w14:paraId="77E3FD51"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100,1</w:t>
            </w:r>
          </w:p>
        </w:tc>
        <w:tc>
          <w:tcPr>
            <w:tcW w:w="1560" w:type="dxa"/>
            <w:shd w:val="clear" w:color="auto" w:fill="auto"/>
            <w:vAlign w:val="center"/>
            <w:hideMark/>
          </w:tcPr>
          <w:p w14:paraId="007A0E5B" w14:textId="77777777" w:rsidR="00ED2EC7" w:rsidRPr="00A53AD7" w:rsidRDefault="00ED2EC7" w:rsidP="00ED2EC7">
            <w:pPr>
              <w:spacing w:after="0" w:line="240" w:lineRule="auto"/>
              <w:jc w:val="center"/>
              <w:rPr>
                <w:rFonts w:ascii="Times New Roman" w:hAnsi="Times New Roman"/>
                <w:b/>
                <w:bCs/>
              </w:rPr>
            </w:pPr>
            <w:r w:rsidRPr="00A53AD7">
              <w:rPr>
                <w:rFonts w:ascii="Times New Roman" w:hAnsi="Times New Roman"/>
                <w:b/>
                <w:bCs/>
              </w:rPr>
              <w:t>96,4</w:t>
            </w:r>
          </w:p>
        </w:tc>
        <w:tc>
          <w:tcPr>
            <w:tcW w:w="1989" w:type="dxa"/>
            <w:shd w:val="clear" w:color="auto" w:fill="auto"/>
            <w:vAlign w:val="center"/>
            <w:hideMark/>
          </w:tcPr>
          <w:p w14:paraId="65856B55"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96,3</w:t>
            </w:r>
          </w:p>
        </w:tc>
        <w:tc>
          <w:tcPr>
            <w:tcW w:w="1545" w:type="dxa"/>
            <w:shd w:val="clear" w:color="auto" w:fill="auto"/>
            <w:vAlign w:val="center"/>
            <w:hideMark/>
          </w:tcPr>
          <w:p w14:paraId="4A739783"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100,2</w:t>
            </w:r>
          </w:p>
        </w:tc>
      </w:tr>
    </w:tbl>
    <w:p w14:paraId="3C712B3F"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5C94DCE9"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3. Доля хозяйствующих субъектов, содержащихся в торговом реестре Архангельской области, в общем количестве хозяйствующих субъектов, осуществляющих торговую деятельность и поставку товаров на территории Архангельской области, представлена в таблице:</w:t>
      </w:r>
    </w:p>
    <w:tbl>
      <w:tblPr>
        <w:tblW w:w="9346" w:type="dxa"/>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1134"/>
        <w:gridCol w:w="1560"/>
        <w:gridCol w:w="1989"/>
        <w:gridCol w:w="1545"/>
      </w:tblGrid>
      <w:tr w:rsidR="00D470B6" w:rsidRPr="00A53AD7" w14:paraId="520BA69C" w14:textId="77777777" w:rsidTr="00ED2EC7">
        <w:trPr>
          <w:trHeight w:val="264"/>
        </w:trPr>
        <w:tc>
          <w:tcPr>
            <w:tcW w:w="9346" w:type="dxa"/>
            <w:gridSpan w:val="6"/>
            <w:shd w:val="clear" w:color="auto" w:fill="auto"/>
            <w:vAlign w:val="center"/>
            <w:hideMark/>
          </w:tcPr>
          <w:p w14:paraId="55EBCC5B"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Значение целевых показателей</w:t>
            </w:r>
          </w:p>
        </w:tc>
      </w:tr>
      <w:tr w:rsidR="00D470B6" w:rsidRPr="00A53AD7" w14:paraId="4E8332F9" w14:textId="77777777" w:rsidTr="00ED2EC7">
        <w:trPr>
          <w:trHeight w:val="570"/>
        </w:trPr>
        <w:tc>
          <w:tcPr>
            <w:tcW w:w="3118" w:type="dxa"/>
            <w:gridSpan w:val="2"/>
            <w:shd w:val="clear" w:color="auto" w:fill="auto"/>
            <w:vAlign w:val="center"/>
            <w:hideMark/>
          </w:tcPr>
          <w:p w14:paraId="24038990"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фактические за два года, предшествующие отчетному году</w:t>
            </w:r>
          </w:p>
        </w:tc>
        <w:tc>
          <w:tcPr>
            <w:tcW w:w="1134" w:type="dxa"/>
            <w:vMerge w:val="restart"/>
            <w:shd w:val="clear" w:color="auto" w:fill="auto"/>
            <w:vAlign w:val="center"/>
            <w:hideMark/>
          </w:tcPr>
          <w:p w14:paraId="36C11974"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2019 год</w:t>
            </w:r>
          </w:p>
        </w:tc>
        <w:tc>
          <w:tcPr>
            <w:tcW w:w="1560" w:type="dxa"/>
            <w:vMerge w:val="restart"/>
            <w:shd w:val="clear" w:color="auto" w:fill="auto"/>
            <w:vAlign w:val="center"/>
            <w:hideMark/>
          </w:tcPr>
          <w:p w14:paraId="28FA3D33"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фактическое за 2018 год</w:t>
            </w:r>
          </w:p>
        </w:tc>
        <w:tc>
          <w:tcPr>
            <w:tcW w:w="1989" w:type="dxa"/>
            <w:vMerge w:val="restart"/>
            <w:shd w:val="clear" w:color="auto" w:fill="auto"/>
            <w:vAlign w:val="center"/>
            <w:hideMark/>
          </w:tcPr>
          <w:p w14:paraId="230AA100"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Степень достижения показателя, %</w:t>
            </w:r>
          </w:p>
        </w:tc>
        <w:tc>
          <w:tcPr>
            <w:tcW w:w="1545" w:type="dxa"/>
            <w:vMerge w:val="restart"/>
            <w:shd w:val="clear" w:color="auto" w:fill="auto"/>
            <w:vAlign w:val="center"/>
            <w:hideMark/>
          </w:tcPr>
          <w:p w14:paraId="69CF3DD0"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плановое на 2020 год</w:t>
            </w:r>
          </w:p>
        </w:tc>
      </w:tr>
      <w:tr w:rsidR="00D470B6" w:rsidRPr="00A53AD7" w14:paraId="5B40F92A" w14:textId="77777777" w:rsidTr="00ED2EC7">
        <w:trPr>
          <w:trHeight w:val="264"/>
        </w:trPr>
        <w:tc>
          <w:tcPr>
            <w:tcW w:w="1559" w:type="dxa"/>
            <w:shd w:val="clear" w:color="auto" w:fill="auto"/>
            <w:vAlign w:val="center"/>
            <w:hideMark/>
          </w:tcPr>
          <w:p w14:paraId="1A474F34"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2017 год</w:t>
            </w:r>
          </w:p>
        </w:tc>
        <w:tc>
          <w:tcPr>
            <w:tcW w:w="1559" w:type="dxa"/>
            <w:shd w:val="clear" w:color="auto" w:fill="auto"/>
            <w:vAlign w:val="center"/>
            <w:hideMark/>
          </w:tcPr>
          <w:p w14:paraId="3CB64213"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2018 год</w:t>
            </w:r>
          </w:p>
        </w:tc>
        <w:tc>
          <w:tcPr>
            <w:tcW w:w="1134" w:type="dxa"/>
            <w:vMerge/>
            <w:vAlign w:val="center"/>
            <w:hideMark/>
          </w:tcPr>
          <w:p w14:paraId="3711B7FB" w14:textId="77777777" w:rsidR="00ED2EC7" w:rsidRPr="00A53AD7" w:rsidRDefault="00ED2EC7" w:rsidP="00ED2EC7">
            <w:pPr>
              <w:spacing w:after="0" w:line="240" w:lineRule="auto"/>
              <w:rPr>
                <w:rFonts w:ascii="Times New Roman" w:hAnsi="Times New Roman"/>
                <w:bCs/>
              </w:rPr>
            </w:pPr>
          </w:p>
        </w:tc>
        <w:tc>
          <w:tcPr>
            <w:tcW w:w="1560" w:type="dxa"/>
            <w:vMerge/>
            <w:vAlign w:val="center"/>
            <w:hideMark/>
          </w:tcPr>
          <w:p w14:paraId="3DCBF34C" w14:textId="77777777" w:rsidR="00ED2EC7" w:rsidRPr="00A53AD7" w:rsidRDefault="00ED2EC7" w:rsidP="00ED2EC7">
            <w:pPr>
              <w:spacing w:after="0" w:line="240" w:lineRule="auto"/>
              <w:rPr>
                <w:rFonts w:ascii="Times New Roman" w:hAnsi="Times New Roman"/>
                <w:bCs/>
              </w:rPr>
            </w:pPr>
          </w:p>
        </w:tc>
        <w:tc>
          <w:tcPr>
            <w:tcW w:w="1989" w:type="dxa"/>
            <w:vMerge/>
            <w:vAlign w:val="center"/>
            <w:hideMark/>
          </w:tcPr>
          <w:p w14:paraId="54417FA7" w14:textId="77777777" w:rsidR="00ED2EC7" w:rsidRPr="00A53AD7" w:rsidRDefault="00ED2EC7" w:rsidP="00ED2EC7">
            <w:pPr>
              <w:spacing w:after="0" w:line="240" w:lineRule="auto"/>
              <w:rPr>
                <w:rFonts w:ascii="Times New Roman" w:hAnsi="Times New Roman"/>
                <w:bCs/>
              </w:rPr>
            </w:pPr>
          </w:p>
        </w:tc>
        <w:tc>
          <w:tcPr>
            <w:tcW w:w="1545" w:type="dxa"/>
            <w:vMerge/>
            <w:vAlign w:val="center"/>
            <w:hideMark/>
          </w:tcPr>
          <w:p w14:paraId="6FCB09B9" w14:textId="77777777" w:rsidR="00ED2EC7" w:rsidRPr="00A53AD7" w:rsidRDefault="00ED2EC7" w:rsidP="00ED2EC7">
            <w:pPr>
              <w:spacing w:after="0" w:line="240" w:lineRule="auto"/>
              <w:rPr>
                <w:rFonts w:ascii="Times New Roman" w:hAnsi="Times New Roman"/>
                <w:bCs/>
              </w:rPr>
            </w:pPr>
          </w:p>
        </w:tc>
      </w:tr>
      <w:tr w:rsidR="00ED2EC7" w:rsidRPr="00A53AD7" w14:paraId="5F12EA8E" w14:textId="77777777" w:rsidTr="00ED2EC7">
        <w:trPr>
          <w:trHeight w:val="201"/>
        </w:trPr>
        <w:tc>
          <w:tcPr>
            <w:tcW w:w="1559" w:type="dxa"/>
            <w:shd w:val="clear" w:color="auto" w:fill="auto"/>
            <w:vAlign w:val="center"/>
            <w:hideMark/>
          </w:tcPr>
          <w:p w14:paraId="66A39CF1" w14:textId="77777777" w:rsidR="00ED2EC7" w:rsidRPr="00A53AD7" w:rsidRDefault="00ED2EC7" w:rsidP="00ED2EC7">
            <w:pPr>
              <w:spacing w:after="0" w:line="240" w:lineRule="auto"/>
              <w:ind w:hanging="103"/>
              <w:jc w:val="center"/>
              <w:rPr>
                <w:rFonts w:ascii="Times New Roman" w:hAnsi="Times New Roman"/>
                <w:bCs/>
              </w:rPr>
            </w:pPr>
            <w:r w:rsidRPr="00A53AD7">
              <w:rPr>
                <w:rFonts w:ascii="Times New Roman" w:hAnsi="Times New Roman"/>
                <w:bCs/>
              </w:rPr>
              <w:t>91,0</w:t>
            </w:r>
          </w:p>
        </w:tc>
        <w:tc>
          <w:tcPr>
            <w:tcW w:w="1559" w:type="dxa"/>
            <w:shd w:val="clear" w:color="auto" w:fill="auto"/>
            <w:vAlign w:val="center"/>
            <w:hideMark/>
          </w:tcPr>
          <w:p w14:paraId="2DC8BDD7"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97,0</w:t>
            </w:r>
          </w:p>
        </w:tc>
        <w:tc>
          <w:tcPr>
            <w:tcW w:w="1134" w:type="dxa"/>
            <w:shd w:val="clear" w:color="auto" w:fill="auto"/>
            <w:vAlign w:val="center"/>
            <w:hideMark/>
          </w:tcPr>
          <w:p w14:paraId="0927B75A"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100,0</w:t>
            </w:r>
          </w:p>
        </w:tc>
        <w:tc>
          <w:tcPr>
            <w:tcW w:w="1560" w:type="dxa"/>
            <w:shd w:val="clear" w:color="auto" w:fill="auto"/>
            <w:vAlign w:val="center"/>
            <w:hideMark/>
          </w:tcPr>
          <w:p w14:paraId="53B1ADCB" w14:textId="77777777" w:rsidR="00ED2EC7" w:rsidRPr="00A53AD7" w:rsidRDefault="00ED2EC7" w:rsidP="00ED2EC7">
            <w:pPr>
              <w:spacing w:after="0" w:line="240" w:lineRule="auto"/>
              <w:jc w:val="center"/>
              <w:rPr>
                <w:rFonts w:ascii="Times New Roman" w:hAnsi="Times New Roman"/>
                <w:b/>
                <w:bCs/>
              </w:rPr>
            </w:pPr>
            <w:r w:rsidRPr="00A53AD7">
              <w:rPr>
                <w:rFonts w:ascii="Times New Roman" w:hAnsi="Times New Roman"/>
                <w:b/>
                <w:bCs/>
              </w:rPr>
              <w:t>98,0</w:t>
            </w:r>
          </w:p>
        </w:tc>
        <w:tc>
          <w:tcPr>
            <w:tcW w:w="1989" w:type="dxa"/>
            <w:shd w:val="clear" w:color="auto" w:fill="auto"/>
            <w:vAlign w:val="center"/>
            <w:hideMark/>
          </w:tcPr>
          <w:p w14:paraId="62652421"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98,0</w:t>
            </w:r>
          </w:p>
        </w:tc>
        <w:tc>
          <w:tcPr>
            <w:tcW w:w="1545" w:type="dxa"/>
            <w:shd w:val="clear" w:color="auto" w:fill="auto"/>
            <w:vAlign w:val="center"/>
            <w:hideMark/>
          </w:tcPr>
          <w:p w14:paraId="5D27E898" w14:textId="77777777" w:rsidR="00ED2EC7" w:rsidRPr="00A53AD7" w:rsidRDefault="00ED2EC7" w:rsidP="00ED2EC7">
            <w:pPr>
              <w:spacing w:after="0" w:line="240" w:lineRule="auto"/>
              <w:jc w:val="center"/>
              <w:rPr>
                <w:rFonts w:ascii="Times New Roman" w:hAnsi="Times New Roman"/>
                <w:bCs/>
              </w:rPr>
            </w:pPr>
            <w:r w:rsidRPr="00A53AD7">
              <w:rPr>
                <w:rFonts w:ascii="Times New Roman" w:hAnsi="Times New Roman"/>
                <w:bCs/>
              </w:rPr>
              <w:t>100,0</w:t>
            </w:r>
          </w:p>
        </w:tc>
      </w:tr>
    </w:tbl>
    <w:p w14:paraId="73BD3388"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p>
    <w:p w14:paraId="3C6EE277" w14:textId="77777777" w:rsidR="00ED2EC7" w:rsidRPr="00A53AD7" w:rsidRDefault="00ED2EC7" w:rsidP="00ED2EC7">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Оценка эффективности результатов реализации государственной программы за 2019 год в соответствии с Положением об оценке эффективности реализации государственных программ Архангельской области, утвержденным постановлением Правительства Архангельской области от 10.07.2012 № 299-пп, и составила 98,1 балла (высокая):</w:t>
      </w:r>
    </w:p>
    <w:p w14:paraId="04F2C507"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интегральная оценка эффективности реализации государственной программы - 95,8 %;</w:t>
      </w:r>
    </w:p>
    <w:p w14:paraId="707D5031"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оценка качества планирования и управления реализацией государственной программы - 86,5 %;</w:t>
      </w:r>
    </w:p>
    <w:p w14:paraId="127A5FEA"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степень достижения целей и решения задач государственной программы исполнителем составила 0,99.</w:t>
      </w:r>
    </w:p>
    <w:p w14:paraId="07622A3F" w14:textId="28CE3291" w:rsidR="00ED2EC7" w:rsidRPr="00A53AD7" w:rsidRDefault="00ED2EC7" w:rsidP="00ED2EC7">
      <w:pPr>
        <w:pStyle w:val="3"/>
        <w:spacing w:line="240" w:lineRule="auto"/>
        <w:jc w:val="center"/>
        <w:rPr>
          <w:rFonts w:ascii="Times New Roman" w:hAnsi="Times New Roman"/>
          <w:b w:val="0"/>
          <w:sz w:val="28"/>
          <w:szCs w:val="28"/>
          <w:u w:val="single"/>
          <w:lang w:val="ru-RU"/>
        </w:rPr>
      </w:pPr>
      <w:bookmarkStart w:id="88" w:name="_Toc42006736"/>
      <w:r w:rsidRPr="00A53AD7">
        <w:rPr>
          <w:rFonts w:ascii="Times New Roman" w:hAnsi="Times New Roman"/>
          <w:b w:val="0"/>
          <w:sz w:val="28"/>
          <w:szCs w:val="28"/>
          <w:u w:val="single"/>
          <w:lang w:val="ru-RU"/>
        </w:rPr>
        <w:t>4.2.15. Государственная программа Архангельской области «Развитие лесного комплекса Архангельской области»</w:t>
      </w:r>
      <w:bookmarkEnd w:id="88"/>
    </w:p>
    <w:p w14:paraId="5BFB7725" w14:textId="77777777" w:rsidR="00ED2EC7" w:rsidRPr="00A53AD7" w:rsidRDefault="00ED2EC7" w:rsidP="00ED2EC7">
      <w:pPr>
        <w:pStyle w:val="ad"/>
        <w:ind w:firstLine="851"/>
        <w:jc w:val="both"/>
        <w:rPr>
          <w:rFonts w:ascii="Times New Roman" w:hAnsi="Times New Roman"/>
          <w:sz w:val="28"/>
          <w:szCs w:val="28"/>
          <w:highlight w:val="cyan"/>
        </w:rPr>
      </w:pPr>
      <w:r w:rsidRPr="00A53AD7">
        <w:rPr>
          <w:rFonts w:ascii="Times New Roman" w:hAnsi="Times New Roman"/>
          <w:sz w:val="28"/>
          <w:szCs w:val="28"/>
        </w:rPr>
        <w:t>Государственная программа утверждена постановлением Правительства Архангельской области от 08.10.2013 № 459-пп (далее – ГП АО № 459-пп).</w:t>
      </w:r>
    </w:p>
    <w:p w14:paraId="5916B27D"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Финансирование мероприятий ГП АО № 459-пп в 2019 году составило 2 172,4 млн.руб., или 100,6% к предусмотренному программой объему, в том числе за счет внебюджетных источников – 822,4 млн.руб. (104,3%).</w:t>
      </w:r>
    </w:p>
    <w:p w14:paraId="56CA3C6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Превышение расходов за счет внебюджетных источников сложилось по нескольким мероприятиям программы, в тоже время по отдельным мероприятиям плановые показатели не выполнены (проведение профилактики возникновения, локализация и ликвидация очагов вредных организмов (из 66,4 млн.руб. направлено 4,3 млн.руб.).</w:t>
      </w:r>
    </w:p>
    <w:p w14:paraId="277C10D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девяти установленных ГП АО № 459-пп общих целевых показателей не выполнен один:</w:t>
      </w:r>
    </w:p>
    <w:p w14:paraId="5D9EBE47" w14:textId="77777777" w:rsidR="00ED2EC7" w:rsidRPr="00A53AD7" w:rsidRDefault="00ED2EC7" w:rsidP="00CA1DDD">
      <w:pPr>
        <w:pStyle w:val="a8"/>
        <w:numPr>
          <w:ilvl w:val="0"/>
          <w:numId w:val="21"/>
        </w:numPr>
        <w:ind w:left="0" w:firstLine="839"/>
        <w:jc w:val="both"/>
        <w:rPr>
          <w:sz w:val="28"/>
          <w:szCs w:val="28"/>
        </w:rPr>
      </w:pPr>
      <w:r w:rsidRPr="00A53AD7">
        <w:rPr>
          <w:sz w:val="28"/>
          <w:szCs w:val="28"/>
        </w:rPr>
        <w:t xml:space="preserve">объем платежей в бюджетную систему Российской Федерации от использования лесов, расположенных на землях лесного фонда, в расчете на 1 га земель лесного фонда (план 87,4 руб./га, факт 74,7 руб./га). </w:t>
      </w:r>
    </w:p>
    <w:p w14:paraId="2DF6902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Причинами невыполнения целевого показателя, согласно информации министерства природных ресурсов и лесопромышленного комплекса Архангельской области (далее – министерство ЛПК) является уменьшение объемов отпуска древесины по договорам купли-продажи лесных насаждений, в связи с отсутствием транспортных путей для вывозки древесины, низким качеством древесины, возросшей стартовой стоимостью цены лотов и увеличение доли отпуска древесины по договорам аренды, заключенным в рамках реализации инвестиционных проектов. </w:t>
      </w:r>
    </w:p>
    <w:p w14:paraId="6704B9ED" w14:textId="4192BEDF"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По данным отчетности по форме 1-ОИП «Сведения о доходах лесного хозяйства и распределения по получателям» заготовлено древесины в объеме 18 927 куб.м. (к 2018 году +2 253,9 тыс.куб.м.). В рамках реализации инвестиционного проекта – 8 441,1 тыс.куб.м. (к 2018 году +2 402,1 тыс.куб.м.), в 2019 году их доля к общему объёму составила 44,6% (8441,1/18927), в 2018 году – 36,2%. В 2019 году сумма выпадающих доходов в льготный период применения понижающего коэффициента 0,5 по договорам аренды, заключенным в рамках реализации инвестиционных</w:t>
      </w:r>
      <w:r w:rsidR="00163D1C" w:rsidRPr="00A53AD7">
        <w:rPr>
          <w:rFonts w:ascii="Times New Roman" w:hAnsi="Times New Roman"/>
          <w:sz w:val="28"/>
          <w:szCs w:val="28"/>
        </w:rPr>
        <w:t xml:space="preserve"> проектов, составила 198,5 млн.</w:t>
      </w:r>
      <w:r w:rsidRPr="00A53AD7">
        <w:rPr>
          <w:rFonts w:ascii="Times New Roman" w:hAnsi="Times New Roman"/>
          <w:sz w:val="28"/>
          <w:szCs w:val="28"/>
        </w:rPr>
        <w:t>руб., в 2018 году – 234,7 млн.руб.</w:t>
      </w:r>
    </w:p>
    <w:p w14:paraId="3B5D94CF"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По итогам 2019 года предоставлено лесных участков по договорам купли-продажи для заготовки древесины в количестве 1 876,3 тыс.куб.м., по сравнению с 2018 годом снижение всего на 1%. (в 2018 году – 1 895,2 тыс.куб.м.).</w:t>
      </w:r>
    </w:p>
    <w:p w14:paraId="1022AFA1"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Ниже отражены данные о сумме причитающихся платежей по договорам аренды и договорам купли-продажи лесных насаждений за 2018 и 2019 гг.</w:t>
      </w:r>
    </w:p>
    <w:p w14:paraId="1DB8729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2019 году платежи в рамках реализации инвестиционных проектов к общим доходам от использования лесов (их доля) составили 26,4% или на 7,1 п.п. больше, чем по итогам 2018 года, размер региональной доли платежей за единицу объема лесных ресурсов по инвестиционным проектам в 2019 году по сравнению с 2019 годом снизился на 3,3%.</w:t>
      </w:r>
    </w:p>
    <w:p w14:paraId="48106F5B" w14:textId="77777777" w:rsidR="00ED2EC7" w:rsidRPr="00A53AD7" w:rsidRDefault="00ED2EC7" w:rsidP="00ED2EC7">
      <w:pPr>
        <w:pStyle w:val="ad"/>
        <w:ind w:firstLine="709"/>
        <w:jc w:val="both"/>
        <w:rPr>
          <w:rFonts w:ascii="Times New Roman" w:hAnsi="Times New Roman"/>
          <w:sz w:val="28"/>
          <w:szCs w:val="28"/>
        </w:rPr>
      </w:pPr>
      <w:r w:rsidRPr="00A53AD7">
        <w:rPr>
          <w:rFonts w:ascii="Times New Roman" w:hAnsi="Times New Roman"/>
          <w:sz w:val="28"/>
          <w:szCs w:val="28"/>
        </w:rPr>
        <w:t>Платежи в рамках реализации инвестиционных проектов</w:t>
      </w:r>
    </w:p>
    <w:p w14:paraId="398CDCDC" w14:textId="77777777" w:rsidR="00ED2EC7" w:rsidRPr="00A53AD7" w:rsidRDefault="00ED2EC7" w:rsidP="00ED2EC7">
      <w:pPr>
        <w:pStyle w:val="ad"/>
        <w:rPr>
          <w:rFonts w:ascii="Times New Roman" w:hAnsi="Times New Roman"/>
          <w:sz w:val="28"/>
          <w:szCs w:val="28"/>
          <w:highlight w:val="cyan"/>
        </w:rPr>
      </w:pPr>
    </w:p>
    <w:p w14:paraId="6C01C5DA" w14:textId="77777777" w:rsidR="00ED2EC7" w:rsidRPr="00A53AD7" w:rsidRDefault="00ED2EC7" w:rsidP="00ED2EC7">
      <w:pPr>
        <w:pStyle w:val="aff0"/>
        <w:keepNext/>
        <w:spacing w:after="0" w:line="240" w:lineRule="auto"/>
        <w:rPr>
          <w:rFonts w:ascii="Times New Roman" w:eastAsia="Times New Roman" w:hAnsi="Times New Roman"/>
          <w:b w:val="0"/>
          <w:sz w:val="24"/>
          <w:szCs w:val="24"/>
          <w:lang w:eastAsia="ru-RU"/>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56</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Pr="00A53AD7">
        <w:rPr>
          <w:rFonts w:ascii="Times New Roman" w:eastAsia="Times New Roman" w:hAnsi="Times New Roman"/>
          <w:b w:val="0"/>
          <w:sz w:val="24"/>
          <w:szCs w:val="24"/>
          <w:lang w:eastAsia="ru-RU"/>
        </w:rPr>
        <w:t>Причитается платежей по договорам аренды и договорам купли-продажи лесных насаждений, млн.руб.</w:t>
      </w:r>
    </w:p>
    <w:tbl>
      <w:tblPr>
        <w:tblW w:w="9415" w:type="dxa"/>
        <w:tblInd w:w="113" w:type="dxa"/>
        <w:tblLook w:val="04A0" w:firstRow="1" w:lastRow="0" w:firstColumn="1" w:lastColumn="0" w:noHBand="0" w:noVBand="1"/>
      </w:tblPr>
      <w:tblGrid>
        <w:gridCol w:w="1999"/>
        <w:gridCol w:w="900"/>
        <w:gridCol w:w="1110"/>
        <w:gridCol w:w="1164"/>
        <w:gridCol w:w="898"/>
        <w:gridCol w:w="837"/>
        <w:gridCol w:w="1149"/>
        <w:gridCol w:w="1358"/>
      </w:tblGrid>
      <w:tr w:rsidR="00D470B6" w:rsidRPr="00A53AD7" w14:paraId="178D64EA" w14:textId="77777777" w:rsidTr="00ED2EC7">
        <w:trPr>
          <w:trHeight w:val="890"/>
          <w:tblHeader/>
        </w:trPr>
        <w:tc>
          <w:tcPr>
            <w:tcW w:w="1999" w:type="dxa"/>
            <w:vMerge w:val="restart"/>
            <w:tcBorders>
              <w:top w:val="double" w:sz="4" w:space="0" w:color="auto"/>
              <w:left w:val="double" w:sz="4" w:space="0" w:color="auto"/>
              <w:bottom w:val="single" w:sz="4" w:space="0" w:color="000000"/>
              <w:right w:val="single" w:sz="4" w:space="0" w:color="auto"/>
            </w:tcBorders>
            <w:shd w:val="clear" w:color="auto" w:fill="auto"/>
            <w:vAlign w:val="center"/>
            <w:hideMark/>
          </w:tcPr>
          <w:p w14:paraId="1B10258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tc>
        <w:tc>
          <w:tcPr>
            <w:tcW w:w="900"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557D2E5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74" w:type="dxa"/>
            <w:gridSpan w:val="2"/>
            <w:tcBorders>
              <w:top w:val="double" w:sz="4" w:space="0" w:color="auto"/>
              <w:left w:val="nil"/>
              <w:bottom w:val="single" w:sz="4" w:space="0" w:color="auto"/>
              <w:right w:val="single" w:sz="4" w:space="0" w:color="auto"/>
            </w:tcBorders>
            <w:shd w:val="clear" w:color="auto" w:fill="auto"/>
            <w:vAlign w:val="center"/>
            <w:hideMark/>
          </w:tcPr>
          <w:p w14:paraId="3E66DE0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w:t>
            </w:r>
          </w:p>
        </w:tc>
        <w:tc>
          <w:tcPr>
            <w:tcW w:w="1735" w:type="dxa"/>
            <w:gridSpan w:val="2"/>
            <w:tcBorders>
              <w:top w:val="double" w:sz="4" w:space="0" w:color="auto"/>
              <w:left w:val="nil"/>
              <w:bottom w:val="single" w:sz="4" w:space="0" w:color="auto"/>
              <w:right w:val="single" w:sz="4" w:space="0" w:color="auto"/>
            </w:tcBorders>
            <w:shd w:val="clear" w:color="auto" w:fill="auto"/>
            <w:vAlign w:val="center"/>
            <w:hideMark/>
          </w:tcPr>
          <w:p w14:paraId="0B615F8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по уровням бюджета </w:t>
            </w:r>
          </w:p>
        </w:tc>
        <w:tc>
          <w:tcPr>
            <w:tcW w:w="1149"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319AB0D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Средняя плата за единицу объема лесных ресурсов, руб./куб.м.</w:t>
            </w:r>
          </w:p>
        </w:tc>
        <w:tc>
          <w:tcPr>
            <w:tcW w:w="1358"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167EBFB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Средняя минимальная ставка платы за единицу объема лесных ресурсов, руб./куб.м.</w:t>
            </w:r>
          </w:p>
        </w:tc>
      </w:tr>
      <w:tr w:rsidR="00D470B6" w:rsidRPr="00A53AD7" w14:paraId="6DF75389" w14:textId="77777777" w:rsidTr="00ED2EC7">
        <w:trPr>
          <w:trHeight w:val="1020"/>
          <w:tblHeader/>
        </w:trPr>
        <w:tc>
          <w:tcPr>
            <w:tcW w:w="1999" w:type="dxa"/>
            <w:vMerge/>
            <w:tcBorders>
              <w:top w:val="single" w:sz="4" w:space="0" w:color="auto"/>
              <w:left w:val="double" w:sz="4" w:space="0" w:color="auto"/>
              <w:bottom w:val="single" w:sz="4" w:space="0" w:color="000000"/>
              <w:right w:val="single" w:sz="4" w:space="0" w:color="auto"/>
            </w:tcBorders>
            <w:vAlign w:val="center"/>
            <w:hideMark/>
          </w:tcPr>
          <w:p w14:paraId="2665168A" w14:textId="77777777" w:rsidR="00ED2EC7" w:rsidRPr="00A53AD7" w:rsidRDefault="00ED2EC7" w:rsidP="00ED2EC7">
            <w:pPr>
              <w:spacing w:after="0" w:line="240" w:lineRule="auto"/>
              <w:rPr>
                <w:rFonts w:ascii="Times New Roman" w:eastAsia="Times New Roman" w:hAnsi="Times New Roman"/>
                <w:sz w:val="20"/>
                <w:szCs w:val="20"/>
                <w:lang w:eastAsia="ru-RU"/>
              </w:rPr>
            </w:pPr>
          </w:p>
        </w:tc>
        <w:tc>
          <w:tcPr>
            <w:tcW w:w="900" w:type="dxa"/>
            <w:vMerge/>
            <w:tcBorders>
              <w:top w:val="single" w:sz="4" w:space="0" w:color="auto"/>
              <w:left w:val="single" w:sz="4" w:space="0" w:color="auto"/>
              <w:bottom w:val="single" w:sz="4" w:space="0" w:color="000000"/>
              <w:right w:val="single" w:sz="4" w:space="0" w:color="auto"/>
            </w:tcBorders>
            <w:vAlign w:val="center"/>
            <w:hideMark/>
          </w:tcPr>
          <w:p w14:paraId="0F1E6216" w14:textId="77777777" w:rsidR="00ED2EC7" w:rsidRPr="00A53AD7" w:rsidRDefault="00ED2EC7" w:rsidP="00ED2EC7">
            <w:pPr>
              <w:spacing w:after="0" w:line="240" w:lineRule="auto"/>
              <w:rPr>
                <w:rFonts w:ascii="Times New Roman" w:eastAsia="Times New Roman" w:hAnsi="Times New Roman"/>
                <w:sz w:val="20"/>
                <w:szCs w:val="20"/>
                <w:lang w:eastAsia="ru-RU"/>
              </w:rPr>
            </w:pPr>
          </w:p>
        </w:tc>
        <w:tc>
          <w:tcPr>
            <w:tcW w:w="1110" w:type="dxa"/>
            <w:tcBorders>
              <w:top w:val="nil"/>
              <w:left w:val="nil"/>
              <w:bottom w:val="single" w:sz="4" w:space="0" w:color="auto"/>
              <w:right w:val="single" w:sz="4" w:space="0" w:color="auto"/>
            </w:tcBorders>
            <w:shd w:val="clear" w:color="auto" w:fill="auto"/>
            <w:vAlign w:val="center"/>
            <w:hideMark/>
          </w:tcPr>
          <w:p w14:paraId="1BA5911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аренды</w:t>
            </w:r>
          </w:p>
        </w:tc>
        <w:tc>
          <w:tcPr>
            <w:tcW w:w="1164" w:type="dxa"/>
            <w:tcBorders>
              <w:top w:val="nil"/>
              <w:left w:val="nil"/>
              <w:bottom w:val="single" w:sz="4" w:space="0" w:color="auto"/>
              <w:right w:val="single" w:sz="4" w:space="0" w:color="auto"/>
            </w:tcBorders>
            <w:shd w:val="clear" w:color="auto" w:fill="auto"/>
            <w:vAlign w:val="center"/>
            <w:hideMark/>
          </w:tcPr>
          <w:p w14:paraId="39BB70C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купли-продажи</w:t>
            </w:r>
          </w:p>
        </w:tc>
        <w:tc>
          <w:tcPr>
            <w:tcW w:w="898" w:type="dxa"/>
            <w:tcBorders>
              <w:top w:val="nil"/>
              <w:left w:val="nil"/>
              <w:bottom w:val="single" w:sz="4" w:space="0" w:color="auto"/>
              <w:right w:val="single" w:sz="4" w:space="0" w:color="auto"/>
            </w:tcBorders>
            <w:shd w:val="clear" w:color="auto" w:fill="auto"/>
            <w:vAlign w:val="center"/>
            <w:hideMark/>
          </w:tcPr>
          <w:p w14:paraId="66E1505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ФБ</w:t>
            </w:r>
          </w:p>
        </w:tc>
        <w:tc>
          <w:tcPr>
            <w:tcW w:w="837" w:type="dxa"/>
            <w:tcBorders>
              <w:top w:val="nil"/>
              <w:left w:val="nil"/>
              <w:bottom w:val="single" w:sz="4" w:space="0" w:color="auto"/>
              <w:right w:val="single" w:sz="4" w:space="0" w:color="auto"/>
            </w:tcBorders>
            <w:shd w:val="clear" w:color="auto" w:fill="auto"/>
            <w:vAlign w:val="center"/>
            <w:hideMark/>
          </w:tcPr>
          <w:p w14:paraId="6CD3E43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w:t>
            </w:r>
          </w:p>
        </w:tc>
        <w:tc>
          <w:tcPr>
            <w:tcW w:w="1149" w:type="dxa"/>
            <w:vMerge/>
            <w:tcBorders>
              <w:top w:val="single" w:sz="4" w:space="0" w:color="auto"/>
              <w:left w:val="single" w:sz="4" w:space="0" w:color="auto"/>
              <w:bottom w:val="single" w:sz="4" w:space="0" w:color="auto"/>
              <w:right w:val="single" w:sz="4" w:space="0" w:color="auto"/>
            </w:tcBorders>
            <w:vAlign w:val="center"/>
            <w:hideMark/>
          </w:tcPr>
          <w:p w14:paraId="17E7A858" w14:textId="77777777" w:rsidR="00ED2EC7" w:rsidRPr="00A53AD7" w:rsidRDefault="00ED2EC7" w:rsidP="00ED2EC7">
            <w:pPr>
              <w:spacing w:after="0" w:line="240" w:lineRule="auto"/>
              <w:rPr>
                <w:rFonts w:ascii="Times New Roman" w:eastAsia="Times New Roman" w:hAnsi="Times New Roman"/>
                <w:sz w:val="20"/>
                <w:szCs w:val="20"/>
                <w:lang w:eastAsia="ru-RU"/>
              </w:rPr>
            </w:pPr>
          </w:p>
        </w:tc>
        <w:tc>
          <w:tcPr>
            <w:tcW w:w="1358" w:type="dxa"/>
            <w:vMerge/>
            <w:tcBorders>
              <w:top w:val="single" w:sz="4" w:space="0" w:color="auto"/>
              <w:left w:val="single" w:sz="4" w:space="0" w:color="auto"/>
              <w:bottom w:val="single" w:sz="4" w:space="0" w:color="auto"/>
              <w:right w:val="double" w:sz="4" w:space="0" w:color="auto"/>
            </w:tcBorders>
            <w:vAlign w:val="center"/>
            <w:hideMark/>
          </w:tcPr>
          <w:p w14:paraId="2D31E3A7" w14:textId="77777777" w:rsidR="00ED2EC7" w:rsidRPr="00A53AD7" w:rsidRDefault="00ED2EC7" w:rsidP="00ED2EC7">
            <w:pPr>
              <w:spacing w:after="0" w:line="240" w:lineRule="auto"/>
              <w:rPr>
                <w:rFonts w:ascii="Times New Roman" w:eastAsia="Times New Roman" w:hAnsi="Times New Roman"/>
                <w:sz w:val="20"/>
                <w:szCs w:val="20"/>
                <w:lang w:eastAsia="ru-RU"/>
              </w:rPr>
            </w:pPr>
          </w:p>
        </w:tc>
      </w:tr>
      <w:tr w:rsidR="00D470B6" w:rsidRPr="00A53AD7" w14:paraId="707D96E0"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444C8EC1" w14:textId="77777777" w:rsidR="00ED2EC7" w:rsidRPr="00A53AD7" w:rsidRDefault="00ED2EC7" w:rsidP="00ED2EC7">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2018 год</w:t>
            </w:r>
          </w:p>
        </w:tc>
        <w:tc>
          <w:tcPr>
            <w:tcW w:w="900" w:type="dxa"/>
            <w:tcBorders>
              <w:top w:val="nil"/>
              <w:left w:val="nil"/>
              <w:bottom w:val="single" w:sz="4" w:space="0" w:color="auto"/>
              <w:right w:val="single" w:sz="4" w:space="0" w:color="auto"/>
            </w:tcBorders>
            <w:shd w:val="clear" w:color="auto" w:fill="auto"/>
            <w:vAlign w:val="center"/>
            <w:hideMark/>
          </w:tcPr>
          <w:p w14:paraId="480D4FD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1BBC64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5BB1E12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5217E68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79F3431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0462EF0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6279AA0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1B9FC6C2"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1D120DA2" w14:textId="77777777" w:rsidR="00ED2EC7" w:rsidRPr="00A53AD7" w:rsidRDefault="00ED2EC7" w:rsidP="00ED2EC7">
            <w:pPr>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Доход за использование лесов</w:t>
            </w:r>
          </w:p>
        </w:tc>
        <w:tc>
          <w:tcPr>
            <w:tcW w:w="900" w:type="dxa"/>
            <w:tcBorders>
              <w:top w:val="nil"/>
              <w:left w:val="nil"/>
              <w:bottom w:val="single" w:sz="4" w:space="0" w:color="auto"/>
              <w:right w:val="single" w:sz="4" w:space="0" w:color="auto"/>
            </w:tcBorders>
            <w:shd w:val="clear" w:color="auto" w:fill="auto"/>
            <w:vAlign w:val="center"/>
            <w:hideMark/>
          </w:tcPr>
          <w:p w14:paraId="58A1B5E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1 884,2</w:t>
            </w:r>
          </w:p>
        </w:tc>
        <w:tc>
          <w:tcPr>
            <w:tcW w:w="1110" w:type="dxa"/>
            <w:tcBorders>
              <w:top w:val="nil"/>
              <w:left w:val="nil"/>
              <w:bottom w:val="single" w:sz="4" w:space="0" w:color="auto"/>
              <w:right w:val="single" w:sz="4" w:space="0" w:color="auto"/>
            </w:tcBorders>
            <w:shd w:val="clear" w:color="auto" w:fill="auto"/>
            <w:vAlign w:val="center"/>
            <w:hideMark/>
          </w:tcPr>
          <w:p w14:paraId="4ECB2AC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1 468,9</w:t>
            </w:r>
          </w:p>
        </w:tc>
        <w:tc>
          <w:tcPr>
            <w:tcW w:w="1164" w:type="dxa"/>
            <w:tcBorders>
              <w:top w:val="nil"/>
              <w:left w:val="nil"/>
              <w:bottom w:val="single" w:sz="4" w:space="0" w:color="auto"/>
              <w:right w:val="single" w:sz="4" w:space="0" w:color="auto"/>
            </w:tcBorders>
            <w:shd w:val="clear" w:color="auto" w:fill="auto"/>
            <w:vAlign w:val="center"/>
            <w:hideMark/>
          </w:tcPr>
          <w:p w14:paraId="63356E1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388,4</w:t>
            </w:r>
          </w:p>
        </w:tc>
        <w:tc>
          <w:tcPr>
            <w:tcW w:w="898" w:type="dxa"/>
            <w:tcBorders>
              <w:top w:val="nil"/>
              <w:left w:val="nil"/>
              <w:bottom w:val="single" w:sz="4" w:space="0" w:color="auto"/>
              <w:right w:val="single" w:sz="4" w:space="0" w:color="auto"/>
            </w:tcBorders>
            <w:shd w:val="clear" w:color="auto" w:fill="auto"/>
            <w:vAlign w:val="center"/>
            <w:hideMark/>
          </w:tcPr>
          <w:p w14:paraId="13CE032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1 011,6</w:t>
            </w:r>
          </w:p>
        </w:tc>
        <w:tc>
          <w:tcPr>
            <w:tcW w:w="837" w:type="dxa"/>
            <w:tcBorders>
              <w:top w:val="nil"/>
              <w:left w:val="nil"/>
              <w:bottom w:val="single" w:sz="4" w:space="0" w:color="auto"/>
              <w:right w:val="single" w:sz="4" w:space="0" w:color="auto"/>
            </w:tcBorders>
            <w:shd w:val="clear" w:color="auto" w:fill="auto"/>
            <w:vAlign w:val="center"/>
            <w:hideMark/>
          </w:tcPr>
          <w:p w14:paraId="615B1CD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872,6</w:t>
            </w:r>
          </w:p>
        </w:tc>
        <w:tc>
          <w:tcPr>
            <w:tcW w:w="1149" w:type="dxa"/>
            <w:tcBorders>
              <w:top w:val="nil"/>
              <w:left w:val="nil"/>
              <w:bottom w:val="single" w:sz="4" w:space="0" w:color="auto"/>
              <w:right w:val="single" w:sz="4" w:space="0" w:color="auto"/>
            </w:tcBorders>
            <w:shd w:val="clear" w:color="auto" w:fill="auto"/>
            <w:vAlign w:val="center"/>
            <w:hideMark/>
          </w:tcPr>
          <w:p w14:paraId="7F6D8C9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28B750B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3941A333"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5B98D13F"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т.ч.</w:t>
            </w:r>
          </w:p>
        </w:tc>
        <w:tc>
          <w:tcPr>
            <w:tcW w:w="900" w:type="dxa"/>
            <w:tcBorders>
              <w:top w:val="nil"/>
              <w:left w:val="nil"/>
              <w:bottom w:val="single" w:sz="4" w:space="0" w:color="auto"/>
              <w:right w:val="single" w:sz="4" w:space="0" w:color="auto"/>
            </w:tcBorders>
            <w:shd w:val="clear" w:color="auto" w:fill="auto"/>
            <w:vAlign w:val="center"/>
            <w:hideMark/>
          </w:tcPr>
          <w:p w14:paraId="10A056C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722CB6B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3869DEA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508F564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25ECCE3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08AEC15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333CA98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3571CCA7"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261EA39C"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заготовка древесины</w:t>
            </w:r>
          </w:p>
        </w:tc>
        <w:tc>
          <w:tcPr>
            <w:tcW w:w="900" w:type="dxa"/>
            <w:tcBorders>
              <w:top w:val="nil"/>
              <w:left w:val="nil"/>
              <w:bottom w:val="single" w:sz="4" w:space="0" w:color="auto"/>
              <w:right w:val="single" w:sz="4" w:space="0" w:color="auto"/>
            </w:tcBorders>
            <w:shd w:val="clear" w:color="auto" w:fill="auto"/>
            <w:vAlign w:val="center"/>
            <w:hideMark/>
          </w:tcPr>
          <w:p w14:paraId="0077677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1 782,2</w:t>
            </w:r>
          </w:p>
        </w:tc>
        <w:tc>
          <w:tcPr>
            <w:tcW w:w="1110" w:type="dxa"/>
            <w:tcBorders>
              <w:top w:val="nil"/>
              <w:left w:val="nil"/>
              <w:bottom w:val="single" w:sz="4" w:space="0" w:color="auto"/>
              <w:right w:val="single" w:sz="4" w:space="0" w:color="auto"/>
            </w:tcBorders>
            <w:shd w:val="clear" w:color="auto" w:fill="auto"/>
            <w:vAlign w:val="center"/>
            <w:hideMark/>
          </w:tcPr>
          <w:p w14:paraId="7FC9519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1 394,5</w:t>
            </w:r>
          </w:p>
        </w:tc>
        <w:tc>
          <w:tcPr>
            <w:tcW w:w="1164" w:type="dxa"/>
            <w:tcBorders>
              <w:top w:val="nil"/>
              <w:left w:val="nil"/>
              <w:bottom w:val="single" w:sz="4" w:space="0" w:color="auto"/>
              <w:right w:val="single" w:sz="4" w:space="0" w:color="auto"/>
            </w:tcBorders>
            <w:shd w:val="clear" w:color="auto" w:fill="auto"/>
            <w:vAlign w:val="center"/>
            <w:hideMark/>
          </w:tcPr>
          <w:p w14:paraId="694BF66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387,6</w:t>
            </w:r>
          </w:p>
        </w:tc>
        <w:tc>
          <w:tcPr>
            <w:tcW w:w="898" w:type="dxa"/>
            <w:tcBorders>
              <w:top w:val="nil"/>
              <w:left w:val="nil"/>
              <w:bottom w:val="single" w:sz="4" w:space="0" w:color="auto"/>
              <w:right w:val="single" w:sz="4" w:space="0" w:color="auto"/>
            </w:tcBorders>
            <w:shd w:val="clear" w:color="auto" w:fill="auto"/>
            <w:vAlign w:val="center"/>
            <w:hideMark/>
          </w:tcPr>
          <w:p w14:paraId="2237DB9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923,7</w:t>
            </w:r>
          </w:p>
        </w:tc>
        <w:tc>
          <w:tcPr>
            <w:tcW w:w="837" w:type="dxa"/>
            <w:tcBorders>
              <w:top w:val="nil"/>
              <w:left w:val="nil"/>
              <w:bottom w:val="single" w:sz="4" w:space="0" w:color="auto"/>
              <w:right w:val="single" w:sz="4" w:space="0" w:color="auto"/>
            </w:tcBorders>
            <w:shd w:val="clear" w:color="auto" w:fill="auto"/>
            <w:vAlign w:val="center"/>
            <w:hideMark/>
          </w:tcPr>
          <w:p w14:paraId="53F0802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858,5</w:t>
            </w:r>
          </w:p>
        </w:tc>
        <w:tc>
          <w:tcPr>
            <w:tcW w:w="1149" w:type="dxa"/>
            <w:tcBorders>
              <w:top w:val="nil"/>
              <w:left w:val="nil"/>
              <w:bottom w:val="single" w:sz="4" w:space="0" w:color="auto"/>
              <w:right w:val="single" w:sz="4" w:space="0" w:color="auto"/>
            </w:tcBorders>
            <w:shd w:val="clear" w:color="auto" w:fill="auto"/>
            <w:vAlign w:val="center"/>
            <w:hideMark/>
          </w:tcPr>
          <w:p w14:paraId="4C7156D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109,0</w:t>
            </w:r>
          </w:p>
        </w:tc>
        <w:tc>
          <w:tcPr>
            <w:tcW w:w="1358" w:type="dxa"/>
            <w:tcBorders>
              <w:top w:val="nil"/>
              <w:left w:val="nil"/>
              <w:bottom w:val="single" w:sz="4" w:space="0" w:color="auto"/>
              <w:right w:val="double" w:sz="4" w:space="0" w:color="auto"/>
            </w:tcBorders>
            <w:shd w:val="clear" w:color="auto" w:fill="auto"/>
            <w:vAlign w:val="center"/>
            <w:hideMark/>
          </w:tcPr>
          <w:p w14:paraId="331E88C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58,1</w:t>
            </w:r>
          </w:p>
        </w:tc>
      </w:tr>
      <w:tr w:rsidR="00D470B6" w:rsidRPr="00A53AD7" w14:paraId="6AAA1B7A" w14:textId="77777777" w:rsidTr="00ED2EC7">
        <w:trPr>
          <w:trHeight w:val="510"/>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69C4E966"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рамках реализации инвестиционных проектов</w:t>
            </w:r>
          </w:p>
        </w:tc>
        <w:tc>
          <w:tcPr>
            <w:tcW w:w="900" w:type="dxa"/>
            <w:tcBorders>
              <w:top w:val="nil"/>
              <w:left w:val="nil"/>
              <w:bottom w:val="single" w:sz="4" w:space="0" w:color="auto"/>
              <w:right w:val="single" w:sz="4" w:space="0" w:color="auto"/>
            </w:tcBorders>
            <w:shd w:val="clear" w:color="auto" w:fill="auto"/>
            <w:vAlign w:val="center"/>
            <w:hideMark/>
          </w:tcPr>
          <w:p w14:paraId="423AD9E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363,9</w:t>
            </w:r>
          </w:p>
        </w:tc>
        <w:tc>
          <w:tcPr>
            <w:tcW w:w="1110" w:type="dxa"/>
            <w:tcBorders>
              <w:top w:val="nil"/>
              <w:left w:val="nil"/>
              <w:bottom w:val="single" w:sz="4" w:space="0" w:color="auto"/>
              <w:right w:val="single" w:sz="4" w:space="0" w:color="auto"/>
            </w:tcBorders>
            <w:shd w:val="clear" w:color="auto" w:fill="auto"/>
            <w:vAlign w:val="center"/>
            <w:hideMark/>
          </w:tcPr>
          <w:p w14:paraId="66C54ED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363,9</w:t>
            </w:r>
          </w:p>
        </w:tc>
        <w:tc>
          <w:tcPr>
            <w:tcW w:w="1164" w:type="dxa"/>
            <w:tcBorders>
              <w:top w:val="nil"/>
              <w:left w:val="nil"/>
              <w:bottom w:val="single" w:sz="4" w:space="0" w:color="auto"/>
              <w:right w:val="single" w:sz="4" w:space="0" w:color="auto"/>
            </w:tcBorders>
            <w:shd w:val="clear" w:color="auto" w:fill="auto"/>
            <w:vAlign w:val="center"/>
            <w:hideMark/>
          </w:tcPr>
          <w:p w14:paraId="3A6DD66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х</w:t>
            </w:r>
          </w:p>
        </w:tc>
        <w:tc>
          <w:tcPr>
            <w:tcW w:w="898" w:type="dxa"/>
            <w:tcBorders>
              <w:top w:val="nil"/>
              <w:left w:val="nil"/>
              <w:bottom w:val="single" w:sz="4" w:space="0" w:color="auto"/>
              <w:right w:val="single" w:sz="4" w:space="0" w:color="auto"/>
            </w:tcBorders>
            <w:shd w:val="clear" w:color="auto" w:fill="auto"/>
            <w:vAlign w:val="center"/>
            <w:hideMark/>
          </w:tcPr>
          <w:p w14:paraId="22C83BB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252,6</w:t>
            </w:r>
          </w:p>
        </w:tc>
        <w:tc>
          <w:tcPr>
            <w:tcW w:w="837" w:type="dxa"/>
            <w:tcBorders>
              <w:top w:val="nil"/>
              <w:left w:val="nil"/>
              <w:bottom w:val="single" w:sz="4" w:space="0" w:color="auto"/>
              <w:right w:val="single" w:sz="4" w:space="0" w:color="auto"/>
            </w:tcBorders>
            <w:shd w:val="clear" w:color="auto" w:fill="auto"/>
            <w:vAlign w:val="center"/>
            <w:hideMark/>
          </w:tcPr>
          <w:p w14:paraId="76A88C3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111,3</w:t>
            </w:r>
          </w:p>
        </w:tc>
        <w:tc>
          <w:tcPr>
            <w:tcW w:w="1149" w:type="dxa"/>
            <w:tcBorders>
              <w:top w:val="nil"/>
              <w:left w:val="nil"/>
              <w:bottom w:val="single" w:sz="4" w:space="0" w:color="auto"/>
              <w:right w:val="single" w:sz="4" w:space="0" w:color="auto"/>
            </w:tcBorders>
            <w:shd w:val="clear" w:color="auto" w:fill="auto"/>
            <w:vAlign w:val="center"/>
            <w:hideMark/>
          </w:tcPr>
          <w:p w14:paraId="3B17E98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60,3</w:t>
            </w:r>
          </w:p>
        </w:tc>
        <w:tc>
          <w:tcPr>
            <w:tcW w:w="1358" w:type="dxa"/>
            <w:tcBorders>
              <w:top w:val="nil"/>
              <w:left w:val="nil"/>
              <w:bottom w:val="single" w:sz="4" w:space="0" w:color="auto"/>
              <w:right w:val="double" w:sz="4" w:space="0" w:color="auto"/>
            </w:tcBorders>
            <w:shd w:val="clear" w:color="auto" w:fill="auto"/>
            <w:vAlign w:val="center"/>
            <w:hideMark/>
          </w:tcPr>
          <w:p w14:paraId="1F67C2D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41,8</w:t>
            </w:r>
          </w:p>
        </w:tc>
      </w:tr>
      <w:tr w:rsidR="00D470B6" w:rsidRPr="00A53AD7" w14:paraId="046F0C65"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1AECF6B5" w14:textId="77777777" w:rsidR="00ED2EC7" w:rsidRPr="00A53AD7" w:rsidRDefault="00ED2EC7" w:rsidP="00ED2EC7">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2019 год</w:t>
            </w:r>
          </w:p>
        </w:tc>
        <w:tc>
          <w:tcPr>
            <w:tcW w:w="900" w:type="dxa"/>
            <w:tcBorders>
              <w:top w:val="nil"/>
              <w:left w:val="nil"/>
              <w:bottom w:val="single" w:sz="4" w:space="0" w:color="auto"/>
              <w:right w:val="single" w:sz="4" w:space="0" w:color="auto"/>
            </w:tcBorders>
            <w:shd w:val="clear" w:color="auto" w:fill="auto"/>
            <w:vAlign w:val="center"/>
            <w:hideMark/>
          </w:tcPr>
          <w:p w14:paraId="0FC13A0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02DAC6F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1E10286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6CEAF17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0C3EC20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5EA6E90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4447756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6C43D019"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333B1F5C" w14:textId="77777777" w:rsidR="00ED2EC7" w:rsidRPr="00A53AD7" w:rsidRDefault="00ED2EC7" w:rsidP="00ED2EC7">
            <w:pPr>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Доход за использование лесов</w:t>
            </w:r>
          </w:p>
        </w:tc>
        <w:tc>
          <w:tcPr>
            <w:tcW w:w="900" w:type="dxa"/>
            <w:tcBorders>
              <w:top w:val="nil"/>
              <w:left w:val="nil"/>
              <w:bottom w:val="single" w:sz="4" w:space="0" w:color="auto"/>
              <w:right w:val="single" w:sz="4" w:space="0" w:color="auto"/>
            </w:tcBorders>
            <w:shd w:val="clear" w:color="auto" w:fill="auto"/>
            <w:vAlign w:val="center"/>
            <w:hideMark/>
          </w:tcPr>
          <w:p w14:paraId="7E2EEDC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2 109,4</w:t>
            </w:r>
          </w:p>
        </w:tc>
        <w:tc>
          <w:tcPr>
            <w:tcW w:w="1110" w:type="dxa"/>
            <w:tcBorders>
              <w:top w:val="nil"/>
              <w:left w:val="nil"/>
              <w:bottom w:val="single" w:sz="4" w:space="0" w:color="auto"/>
              <w:right w:val="single" w:sz="4" w:space="0" w:color="auto"/>
            </w:tcBorders>
            <w:shd w:val="clear" w:color="auto" w:fill="auto"/>
            <w:vAlign w:val="center"/>
            <w:hideMark/>
          </w:tcPr>
          <w:p w14:paraId="6963DD1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1 691,8</w:t>
            </w:r>
          </w:p>
        </w:tc>
        <w:tc>
          <w:tcPr>
            <w:tcW w:w="1164" w:type="dxa"/>
            <w:tcBorders>
              <w:top w:val="nil"/>
              <w:left w:val="nil"/>
              <w:bottom w:val="single" w:sz="4" w:space="0" w:color="auto"/>
              <w:right w:val="single" w:sz="4" w:space="0" w:color="auto"/>
            </w:tcBorders>
            <w:shd w:val="clear" w:color="auto" w:fill="auto"/>
            <w:vAlign w:val="center"/>
            <w:hideMark/>
          </w:tcPr>
          <w:p w14:paraId="37252BB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388,9</w:t>
            </w:r>
          </w:p>
        </w:tc>
        <w:tc>
          <w:tcPr>
            <w:tcW w:w="898" w:type="dxa"/>
            <w:tcBorders>
              <w:top w:val="nil"/>
              <w:left w:val="nil"/>
              <w:bottom w:val="single" w:sz="4" w:space="0" w:color="auto"/>
              <w:right w:val="single" w:sz="4" w:space="0" w:color="auto"/>
            </w:tcBorders>
            <w:shd w:val="clear" w:color="auto" w:fill="auto"/>
            <w:vAlign w:val="center"/>
            <w:hideMark/>
          </w:tcPr>
          <w:p w14:paraId="280A26E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1 191,3</w:t>
            </w:r>
          </w:p>
        </w:tc>
        <w:tc>
          <w:tcPr>
            <w:tcW w:w="837" w:type="dxa"/>
            <w:tcBorders>
              <w:top w:val="nil"/>
              <w:left w:val="nil"/>
              <w:bottom w:val="single" w:sz="4" w:space="0" w:color="auto"/>
              <w:right w:val="single" w:sz="4" w:space="0" w:color="auto"/>
            </w:tcBorders>
            <w:shd w:val="clear" w:color="auto" w:fill="auto"/>
            <w:vAlign w:val="center"/>
            <w:hideMark/>
          </w:tcPr>
          <w:p w14:paraId="2884351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918,1</w:t>
            </w:r>
          </w:p>
        </w:tc>
        <w:tc>
          <w:tcPr>
            <w:tcW w:w="1149" w:type="dxa"/>
            <w:tcBorders>
              <w:top w:val="nil"/>
              <w:left w:val="nil"/>
              <w:bottom w:val="single" w:sz="4" w:space="0" w:color="auto"/>
              <w:right w:val="single" w:sz="4" w:space="0" w:color="auto"/>
            </w:tcBorders>
            <w:shd w:val="clear" w:color="auto" w:fill="auto"/>
            <w:vAlign w:val="center"/>
            <w:hideMark/>
          </w:tcPr>
          <w:p w14:paraId="72F5181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3FA9B2F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40400693"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00934087"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т.ч.:</w:t>
            </w:r>
          </w:p>
        </w:tc>
        <w:tc>
          <w:tcPr>
            <w:tcW w:w="900" w:type="dxa"/>
            <w:tcBorders>
              <w:top w:val="nil"/>
              <w:left w:val="nil"/>
              <w:bottom w:val="single" w:sz="4" w:space="0" w:color="auto"/>
              <w:right w:val="single" w:sz="4" w:space="0" w:color="auto"/>
            </w:tcBorders>
            <w:shd w:val="clear" w:color="auto" w:fill="auto"/>
            <w:vAlign w:val="center"/>
            <w:hideMark/>
          </w:tcPr>
          <w:p w14:paraId="2C1F2ED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4353F57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06FCF75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31AA893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765E17E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12C809D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1F2DEF3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3D11FC1D"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73490233"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заготовка древесины</w:t>
            </w:r>
          </w:p>
        </w:tc>
        <w:tc>
          <w:tcPr>
            <w:tcW w:w="900" w:type="dxa"/>
            <w:tcBorders>
              <w:top w:val="nil"/>
              <w:left w:val="nil"/>
              <w:bottom w:val="single" w:sz="4" w:space="0" w:color="auto"/>
              <w:right w:val="single" w:sz="4" w:space="0" w:color="auto"/>
            </w:tcBorders>
            <w:shd w:val="clear" w:color="auto" w:fill="auto"/>
            <w:vAlign w:val="center"/>
            <w:hideMark/>
          </w:tcPr>
          <w:p w14:paraId="52E665B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2 021,2</w:t>
            </w:r>
          </w:p>
        </w:tc>
        <w:tc>
          <w:tcPr>
            <w:tcW w:w="1110" w:type="dxa"/>
            <w:tcBorders>
              <w:top w:val="nil"/>
              <w:left w:val="nil"/>
              <w:bottom w:val="single" w:sz="4" w:space="0" w:color="auto"/>
              <w:right w:val="single" w:sz="4" w:space="0" w:color="auto"/>
            </w:tcBorders>
            <w:shd w:val="clear" w:color="auto" w:fill="auto"/>
            <w:vAlign w:val="center"/>
            <w:hideMark/>
          </w:tcPr>
          <w:p w14:paraId="6BD8519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1 663,2</w:t>
            </w:r>
          </w:p>
        </w:tc>
        <w:tc>
          <w:tcPr>
            <w:tcW w:w="1164" w:type="dxa"/>
            <w:tcBorders>
              <w:top w:val="nil"/>
              <w:left w:val="nil"/>
              <w:bottom w:val="single" w:sz="4" w:space="0" w:color="auto"/>
              <w:right w:val="single" w:sz="4" w:space="0" w:color="auto"/>
            </w:tcBorders>
            <w:shd w:val="clear" w:color="auto" w:fill="auto"/>
            <w:vAlign w:val="center"/>
            <w:hideMark/>
          </w:tcPr>
          <w:p w14:paraId="64BE748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388,0</w:t>
            </w:r>
          </w:p>
        </w:tc>
        <w:tc>
          <w:tcPr>
            <w:tcW w:w="898" w:type="dxa"/>
            <w:tcBorders>
              <w:top w:val="nil"/>
              <w:left w:val="nil"/>
              <w:bottom w:val="single" w:sz="4" w:space="0" w:color="auto"/>
              <w:right w:val="single" w:sz="4" w:space="0" w:color="auto"/>
            </w:tcBorders>
            <w:shd w:val="clear" w:color="auto" w:fill="auto"/>
            <w:vAlign w:val="center"/>
            <w:hideMark/>
          </w:tcPr>
          <w:p w14:paraId="7989504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1 113,3</w:t>
            </w:r>
          </w:p>
        </w:tc>
        <w:tc>
          <w:tcPr>
            <w:tcW w:w="837" w:type="dxa"/>
            <w:tcBorders>
              <w:top w:val="nil"/>
              <w:left w:val="nil"/>
              <w:bottom w:val="single" w:sz="4" w:space="0" w:color="auto"/>
              <w:right w:val="single" w:sz="4" w:space="0" w:color="auto"/>
            </w:tcBorders>
            <w:shd w:val="clear" w:color="auto" w:fill="auto"/>
            <w:vAlign w:val="center"/>
            <w:hideMark/>
          </w:tcPr>
          <w:p w14:paraId="23D8DF6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907,9</w:t>
            </w:r>
          </w:p>
        </w:tc>
        <w:tc>
          <w:tcPr>
            <w:tcW w:w="1149" w:type="dxa"/>
            <w:tcBorders>
              <w:top w:val="nil"/>
              <w:left w:val="nil"/>
              <w:bottom w:val="single" w:sz="4" w:space="0" w:color="auto"/>
              <w:right w:val="single" w:sz="4" w:space="0" w:color="auto"/>
            </w:tcBorders>
            <w:shd w:val="clear" w:color="auto" w:fill="auto"/>
            <w:vAlign w:val="center"/>
            <w:hideMark/>
          </w:tcPr>
          <w:p w14:paraId="52001E5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108,9</w:t>
            </w:r>
          </w:p>
        </w:tc>
        <w:tc>
          <w:tcPr>
            <w:tcW w:w="1358" w:type="dxa"/>
            <w:tcBorders>
              <w:top w:val="nil"/>
              <w:left w:val="nil"/>
              <w:bottom w:val="single" w:sz="4" w:space="0" w:color="auto"/>
              <w:right w:val="double" w:sz="4" w:space="0" w:color="auto"/>
            </w:tcBorders>
            <w:shd w:val="clear" w:color="auto" w:fill="auto"/>
            <w:vAlign w:val="center"/>
            <w:hideMark/>
          </w:tcPr>
          <w:p w14:paraId="6999670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61,5</w:t>
            </w:r>
          </w:p>
        </w:tc>
      </w:tr>
      <w:tr w:rsidR="00D470B6" w:rsidRPr="00A53AD7" w14:paraId="52665CDE" w14:textId="77777777" w:rsidTr="00ED2EC7">
        <w:trPr>
          <w:trHeight w:val="510"/>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7601C171"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рамках реализации инвестиционных проектов</w:t>
            </w:r>
          </w:p>
        </w:tc>
        <w:tc>
          <w:tcPr>
            <w:tcW w:w="900" w:type="dxa"/>
            <w:tcBorders>
              <w:top w:val="nil"/>
              <w:left w:val="nil"/>
              <w:bottom w:val="single" w:sz="4" w:space="0" w:color="auto"/>
              <w:right w:val="single" w:sz="4" w:space="0" w:color="auto"/>
            </w:tcBorders>
            <w:shd w:val="clear" w:color="auto" w:fill="auto"/>
            <w:vAlign w:val="center"/>
            <w:hideMark/>
          </w:tcPr>
          <w:p w14:paraId="3C67153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556,6</w:t>
            </w:r>
          </w:p>
        </w:tc>
        <w:tc>
          <w:tcPr>
            <w:tcW w:w="1110" w:type="dxa"/>
            <w:tcBorders>
              <w:top w:val="nil"/>
              <w:left w:val="nil"/>
              <w:bottom w:val="single" w:sz="4" w:space="0" w:color="auto"/>
              <w:right w:val="single" w:sz="4" w:space="0" w:color="auto"/>
            </w:tcBorders>
            <w:shd w:val="clear" w:color="auto" w:fill="auto"/>
            <w:vAlign w:val="center"/>
            <w:hideMark/>
          </w:tcPr>
          <w:p w14:paraId="59A6DBD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556,6</w:t>
            </w:r>
          </w:p>
        </w:tc>
        <w:tc>
          <w:tcPr>
            <w:tcW w:w="1164" w:type="dxa"/>
            <w:tcBorders>
              <w:top w:val="nil"/>
              <w:left w:val="nil"/>
              <w:bottom w:val="single" w:sz="4" w:space="0" w:color="auto"/>
              <w:right w:val="single" w:sz="4" w:space="0" w:color="auto"/>
            </w:tcBorders>
            <w:shd w:val="clear" w:color="auto" w:fill="auto"/>
            <w:vAlign w:val="center"/>
            <w:hideMark/>
          </w:tcPr>
          <w:p w14:paraId="714CABA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х</w:t>
            </w:r>
          </w:p>
        </w:tc>
        <w:tc>
          <w:tcPr>
            <w:tcW w:w="898" w:type="dxa"/>
            <w:tcBorders>
              <w:top w:val="nil"/>
              <w:left w:val="nil"/>
              <w:bottom w:val="single" w:sz="4" w:space="0" w:color="auto"/>
              <w:right w:val="single" w:sz="4" w:space="0" w:color="auto"/>
            </w:tcBorders>
            <w:shd w:val="clear" w:color="auto" w:fill="auto"/>
            <w:vAlign w:val="center"/>
            <w:hideMark/>
          </w:tcPr>
          <w:p w14:paraId="2562431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405,4</w:t>
            </w:r>
          </w:p>
        </w:tc>
        <w:tc>
          <w:tcPr>
            <w:tcW w:w="837" w:type="dxa"/>
            <w:tcBorders>
              <w:top w:val="nil"/>
              <w:left w:val="nil"/>
              <w:bottom w:val="single" w:sz="4" w:space="0" w:color="auto"/>
              <w:right w:val="single" w:sz="4" w:space="0" w:color="auto"/>
            </w:tcBorders>
            <w:shd w:val="clear" w:color="auto" w:fill="auto"/>
            <w:vAlign w:val="center"/>
            <w:hideMark/>
          </w:tcPr>
          <w:p w14:paraId="45B4BB5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151,2</w:t>
            </w:r>
          </w:p>
        </w:tc>
        <w:tc>
          <w:tcPr>
            <w:tcW w:w="1149" w:type="dxa"/>
            <w:tcBorders>
              <w:top w:val="nil"/>
              <w:left w:val="nil"/>
              <w:bottom w:val="single" w:sz="4" w:space="0" w:color="auto"/>
              <w:right w:val="single" w:sz="4" w:space="0" w:color="auto"/>
            </w:tcBorders>
            <w:shd w:val="clear" w:color="auto" w:fill="auto"/>
            <w:vAlign w:val="center"/>
            <w:hideMark/>
          </w:tcPr>
          <w:p w14:paraId="41831D3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65,9</w:t>
            </w:r>
          </w:p>
        </w:tc>
        <w:tc>
          <w:tcPr>
            <w:tcW w:w="1358" w:type="dxa"/>
            <w:tcBorders>
              <w:top w:val="nil"/>
              <w:left w:val="nil"/>
              <w:bottom w:val="single" w:sz="4" w:space="0" w:color="auto"/>
              <w:right w:val="double" w:sz="4" w:space="0" w:color="auto"/>
            </w:tcBorders>
            <w:shd w:val="clear" w:color="auto" w:fill="auto"/>
            <w:vAlign w:val="center"/>
            <w:hideMark/>
          </w:tcPr>
          <w:p w14:paraId="5E03C9E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48,0</w:t>
            </w:r>
          </w:p>
        </w:tc>
      </w:tr>
      <w:tr w:rsidR="00D470B6" w:rsidRPr="00A53AD7" w14:paraId="409F715B"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3C058D56" w14:textId="77777777" w:rsidR="00ED2EC7" w:rsidRPr="00A53AD7" w:rsidRDefault="00ED2EC7" w:rsidP="00ED2EC7">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2019 год к 2018 году, в %</w:t>
            </w:r>
          </w:p>
        </w:tc>
        <w:tc>
          <w:tcPr>
            <w:tcW w:w="900" w:type="dxa"/>
            <w:tcBorders>
              <w:top w:val="nil"/>
              <w:left w:val="nil"/>
              <w:bottom w:val="single" w:sz="4" w:space="0" w:color="auto"/>
              <w:right w:val="single" w:sz="4" w:space="0" w:color="auto"/>
            </w:tcBorders>
            <w:shd w:val="clear" w:color="auto" w:fill="auto"/>
            <w:vAlign w:val="center"/>
            <w:hideMark/>
          </w:tcPr>
          <w:p w14:paraId="3C0BEA2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302349D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54D57FB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1D92A1C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1D54E52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5CE8A45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63F4C7B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31082F32"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3FCC85C7" w14:textId="77777777" w:rsidR="00ED2EC7" w:rsidRPr="00A53AD7" w:rsidRDefault="00ED2EC7" w:rsidP="00ED2EC7">
            <w:pPr>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Доход за использование лесов</w:t>
            </w:r>
          </w:p>
        </w:tc>
        <w:tc>
          <w:tcPr>
            <w:tcW w:w="900" w:type="dxa"/>
            <w:tcBorders>
              <w:top w:val="nil"/>
              <w:left w:val="nil"/>
              <w:bottom w:val="single" w:sz="4" w:space="0" w:color="auto"/>
              <w:right w:val="single" w:sz="4" w:space="0" w:color="auto"/>
            </w:tcBorders>
            <w:shd w:val="clear" w:color="auto" w:fill="auto"/>
            <w:vAlign w:val="center"/>
            <w:hideMark/>
          </w:tcPr>
          <w:p w14:paraId="2434F55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112,0</w:t>
            </w:r>
          </w:p>
        </w:tc>
        <w:tc>
          <w:tcPr>
            <w:tcW w:w="1110" w:type="dxa"/>
            <w:tcBorders>
              <w:top w:val="nil"/>
              <w:left w:val="nil"/>
              <w:bottom w:val="single" w:sz="4" w:space="0" w:color="auto"/>
              <w:right w:val="single" w:sz="4" w:space="0" w:color="auto"/>
            </w:tcBorders>
            <w:shd w:val="clear" w:color="auto" w:fill="auto"/>
            <w:vAlign w:val="center"/>
            <w:hideMark/>
          </w:tcPr>
          <w:p w14:paraId="1EB4E07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115,2</w:t>
            </w:r>
          </w:p>
        </w:tc>
        <w:tc>
          <w:tcPr>
            <w:tcW w:w="1164" w:type="dxa"/>
            <w:tcBorders>
              <w:top w:val="nil"/>
              <w:left w:val="nil"/>
              <w:bottom w:val="single" w:sz="4" w:space="0" w:color="auto"/>
              <w:right w:val="single" w:sz="4" w:space="0" w:color="auto"/>
            </w:tcBorders>
            <w:shd w:val="clear" w:color="auto" w:fill="auto"/>
            <w:vAlign w:val="center"/>
            <w:hideMark/>
          </w:tcPr>
          <w:p w14:paraId="1C1461F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100,1</w:t>
            </w:r>
          </w:p>
        </w:tc>
        <w:tc>
          <w:tcPr>
            <w:tcW w:w="898" w:type="dxa"/>
            <w:tcBorders>
              <w:top w:val="nil"/>
              <w:left w:val="nil"/>
              <w:bottom w:val="single" w:sz="4" w:space="0" w:color="auto"/>
              <w:right w:val="single" w:sz="4" w:space="0" w:color="auto"/>
            </w:tcBorders>
            <w:shd w:val="clear" w:color="auto" w:fill="auto"/>
            <w:vAlign w:val="center"/>
            <w:hideMark/>
          </w:tcPr>
          <w:p w14:paraId="54FE282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117,8</w:t>
            </w:r>
          </w:p>
        </w:tc>
        <w:tc>
          <w:tcPr>
            <w:tcW w:w="837" w:type="dxa"/>
            <w:tcBorders>
              <w:top w:val="nil"/>
              <w:left w:val="nil"/>
              <w:bottom w:val="single" w:sz="4" w:space="0" w:color="auto"/>
              <w:right w:val="single" w:sz="4" w:space="0" w:color="auto"/>
            </w:tcBorders>
            <w:shd w:val="clear" w:color="auto" w:fill="auto"/>
            <w:vAlign w:val="center"/>
            <w:hideMark/>
          </w:tcPr>
          <w:p w14:paraId="3558271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105,2</w:t>
            </w:r>
          </w:p>
        </w:tc>
        <w:tc>
          <w:tcPr>
            <w:tcW w:w="1149" w:type="dxa"/>
            <w:tcBorders>
              <w:top w:val="nil"/>
              <w:left w:val="nil"/>
              <w:bottom w:val="single" w:sz="4" w:space="0" w:color="auto"/>
              <w:right w:val="single" w:sz="4" w:space="0" w:color="auto"/>
            </w:tcBorders>
            <w:shd w:val="clear" w:color="auto" w:fill="auto"/>
            <w:vAlign w:val="center"/>
            <w:hideMark/>
          </w:tcPr>
          <w:p w14:paraId="11E0173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5CE7508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52617C28"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22074BD6"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т.ч.:</w:t>
            </w:r>
          </w:p>
        </w:tc>
        <w:tc>
          <w:tcPr>
            <w:tcW w:w="900" w:type="dxa"/>
            <w:tcBorders>
              <w:top w:val="nil"/>
              <w:left w:val="nil"/>
              <w:bottom w:val="single" w:sz="4" w:space="0" w:color="auto"/>
              <w:right w:val="single" w:sz="4" w:space="0" w:color="auto"/>
            </w:tcBorders>
            <w:shd w:val="clear" w:color="auto" w:fill="auto"/>
            <w:vAlign w:val="center"/>
            <w:hideMark/>
          </w:tcPr>
          <w:p w14:paraId="0CF50CD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10" w:type="dxa"/>
            <w:tcBorders>
              <w:top w:val="nil"/>
              <w:left w:val="nil"/>
              <w:bottom w:val="single" w:sz="4" w:space="0" w:color="auto"/>
              <w:right w:val="single" w:sz="4" w:space="0" w:color="auto"/>
            </w:tcBorders>
            <w:shd w:val="clear" w:color="auto" w:fill="auto"/>
            <w:vAlign w:val="center"/>
            <w:hideMark/>
          </w:tcPr>
          <w:p w14:paraId="2FFA3B2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64" w:type="dxa"/>
            <w:tcBorders>
              <w:top w:val="nil"/>
              <w:left w:val="nil"/>
              <w:bottom w:val="single" w:sz="4" w:space="0" w:color="auto"/>
              <w:right w:val="single" w:sz="4" w:space="0" w:color="auto"/>
            </w:tcBorders>
            <w:shd w:val="clear" w:color="auto" w:fill="auto"/>
            <w:vAlign w:val="center"/>
            <w:hideMark/>
          </w:tcPr>
          <w:p w14:paraId="2DBBC64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17B2180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37" w:type="dxa"/>
            <w:tcBorders>
              <w:top w:val="nil"/>
              <w:left w:val="nil"/>
              <w:bottom w:val="single" w:sz="4" w:space="0" w:color="auto"/>
              <w:right w:val="single" w:sz="4" w:space="0" w:color="auto"/>
            </w:tcBorders>
            <w:shd w:val="clear" w:color="auto" w:fill="auto"/>
            <w:vAlign w:val="center"/>
            <w:hideMark/>
          </w:tcPr>
          <w:p w14:paraId="265007D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49" w:type="dxa"/>
            <w:tcBorders>
              <w:top w:val="nil"/>
              <w:left w:val="nil"/>
              <w:bottom w:val="single" w:sz="4" w:space="0" w:color="auto"/>
              <w:right w:val="single" w:sz="4" w:space="0" w:color="auto"/>
            </w:tcBorders>
            <w:shd w:val="clear" w:color="auto" w:fill="auto"/>
            <w:vAlign w:val="center"/>
            <w:hideMark/>
          </w:tcPr>
          <w:p w14:paraId="674A0B1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358" w:type="dxa"/>
            <w:tcBorders>
              <w:top w:val="nil"/>
              <w:left w:val="nil"/>
              <w:bottom w:val="single" w:sz="4" w:space="0" w:color="auto"/>
              <w:right w:val="double" w:sz="4" w:space="0" w:color="auto"/>
            </w:tcBorders>
            <w:shd w:val="clear" w:color="auto" w:fill="auto"/>
            <w:vAlign w:val="center"/>
            <w:hideMark/>
          </w:tcPr>
          <w:p w14:paraId="1E98437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5B9FC565" w14:textId="77777777" w:rsidTr="00ED2EC7">
        <w:trPr>
          <w:trHeight w:val="2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00E4E666"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заготовка древесины</w:t>
            </w:r>
          </w:p>
        </w:tc>
        <w:tc>
          <w:tcPr>
            <w:tcW w:w="900" w:type="dxa"/>
            <w:tcBorders>
              <w:top w:val="nil"/>
              <w:left w:val="nil"/>
              <w:bottom w:val="single" w:sz="4" w:space="0" w:color="auto"/>
              <w:right w:val="single" w:sz="4" w:space="0" w:color="auto"/>
            </w:tcBorders>
            <w:shd w:val="clear" w:color="auto" w:fill="auto"/>
            <w:vAlign w:val="center"/>
            <w:hideMark/>
          </w:tcPr>
          <w:p w14:paraId="68677EB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113,4</w:t>
            </w:r>
          </w:p>
        </w:tc>
        <w:tc>
          <w:tcPr>
            <w:tcW w:w="1110" w:type="dxa"/>
            <w:tcBorders>
              <w:top w:val="nil"/>
              <w:left w:val="nil"/>
              <w:bottom w:val="single" w:sz="4" w:space="0" w:color="auto"/>
              <w:right w:val="single" w:sz="4" w:space="0" w:color="auto"/>
            </w:tcBorders>
            <w:shd w:val="clear" w:color="auto" w:fill="auto"/>
            <w:vAlign w:val="center"/>
            <w:hideMark/>
          </w:tcPr>
          <w:p w14:paraId="6574298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119,3</w:t>
            </w:r>
          </w:p>
        </w:tc>
        <w:tc>
          <w:tcPr>
            <w:tcW w:w="1164" w:type="dxa"/>
            <w:tcBorders>
              <w:top w:val="nil"/>
              <w:left w:val="nil"/>
              <w:bottom w:val="single" w:sz="4" w:space="0" w:color="auto"/>
              <w:right w:val="single" w:sz="4" w:space="0" w:color="auto"/>
            </w:tcBorders>
            <w:shd w:val="clear" w:color="auto" w:fill="auto"/>
            <w:vAlign w:val="center"/>
            <w:hideMark/>
          </w:tcPr>
          <w:p w14:paraId="34696A6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100,1</w:t>
            </w:r>
          </w:p>
        </w:tc>
        <w:tc>
          <w:tcPr>
            <w:tcW w:w="898" w:type="dxa"/>
            <w:tcBorders>
              <w:top w:val="nil"/>
              <w:left w:val="nil"/>
              <w:bottom w:val="single" w:sz="4" w:space="0" w:color="auto"/>
              <w:right w:val="single" w:sz="4" w:space="0" w:color="auto"/>
            </w:tcBorders>
            <w:shd w:val="clear" w:color="auto" w:fill="auto"/>
            <w:vAlign w:val="center"/>
            <w:hideMark/>
          </w:tcPr>
          <w:p w14:paraId="4B237C6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120,5</w:t>
            </w:r>
          </w:p>
        </w:tc>
        <w:tc>
          <w:tcPr>
            <w:tcW w:w="837" w:type="dxa"/>
            <w:tcBorders>
              <w:top w:val="nil"/>
              <w:left w:val="nil"/>
              <w:bottom w:val="single" w:sz="4" w:space="0" w:color="auto"/>
              <w:right w:val="single" w:sz="4" w:space="0" w:color="auto"/>
            </w:tcBorders>
            <w:shd w:val="clear" w:color="auto" w:fill="auto"/>
            <w:vAlign w:val="center"/>
            <w:hideMark/>
          </w:tcPr>
          <w:p w14:paraId="2B697CB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105,8</w:t>
            </w:r>
          </w:p>
        </w:tc>
        <w:tc>
          <w:tcPr>
            <w:tcW w:w="1149" w:type="dxa"/>
            <w:tcBorders>
              <w:top w:val="nil"/>
              <w:left w:val="nil"/>
              <w:bottom w:val="single" w:sz="4" w:space="0" w:color="auto"/>
              <w:right w:val="single" w:sz="4" w:space="0" w:color="auto"/>
            </w:tcBorders>
            <w:shd w:val="clear" w:color="auto" w:fill="auto"/>
            <w:vAlign w:val="center"/>
            <w:hideMark/>
          </w:tcPr>
          <w:p w14:paraId="08E1B8B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w:t>
            </w:r>
          </w:p>
        </w:tc>
        <w:tc>
          <w:tcPr>
            <w:tcW w:w="1358" w:type="dxa"/>
            <w:tcBorders>
              <w:top w:val="nil"/>
              <w:left w:val="nil"/>
              <w:bottom w:val="single" w:sz="4" w:space="0" w:color="auto"/>
              <w:right w:val="double" w:sz="4" w:space="0" w:color="auto"/>
            </w:tcBorders>
            <w:shd w:val="clear" w:color="auto" w:fill="auto"/>
            <w:vAlign w:val="center"/>
            <w:hideMark/>
          </w:tcPr>
          <w:p w14:paraId="56782E9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105,9</w:t>
            </w:r>
          </w:p>
        </w:tc>
      </w:tr>
      <w:tr w:rsidR="00D470B6" w:rsidRPr="00A53AD7" w14:paraId="388462F3" w14:textId="77777777" w:rsidTr="00ED2EC7">
        <w:trPr>
          <w:trHeight w:val="555"/>
        </w:trPr>
        <w:tc>
          <w:tcPr>
            <w:tcW w:w="1999" w:type="dxa"/>
            <w:tcBorders>
              <w:top w:val="nil"/>
              <w:left w:val="double" w:sz="4" w:space="0" w:color="auto"/>
              <w:bottom w:val="single" w:sz="4" w:space="0" w:color="auto"/>
              <w:right w:val="single" w:sz="4" w:space="0" w:color="auto"/>
            </w:tcBorders>
            <w:shd w:val="clear" w:color="auto" w:fill="auto"/>
            <w:vAlign w:val="center"/>
            <w:hideMark/>
          </w:tcPr>
          <w:p w14:paraId="1B64A788"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рамках реализации инвестиционных проектов</w:t>
            </w:r>
          </w:p>
        </w:tc>
        <w:tc>
          <w:tcPr>
            <w:tcW w:w="900" w:type="dxa"/>
            <w:tcBorders>
              <w:top w:val="nil"/>
              <w:left w:val="nil"/>
              <w:bottom w:val="single" w:sz="4" w:space="0" w:color="auto"/>
              <w:right w:val="single" w:sz="4" w:space="0" w:color="auto"/>
            </w:tcBorders>
            <w:shd w:val="clear" w:color="auto" w:fill="auto"/>
            <w:vAlign w:val="center"/>
            <w:hideMark/>
          </w:tcPr>
          <w:p w14:paraId="7F7BDF3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153,0</w:t>
            </w:r>
          </w:p>
        </w:tc>
        <w:tc>
          <w:tcPr>
            <w:tcW w:w="1110" w:type="dxa"/>
            <w:tcBorders>
              <w:top w:val="nil"/>
              <w:left w:val="nil"/>
              <w:bottom w:val="single" w:sz="4" w:space="0" w:color="auto"/>
              <w:right w:val="single" w:sz="4" w:space="0" w:color="auto"/>
            </w:tcBorders>
            <w:shd w:val="clear" w:color="auto" w:fill="auto"/>
            <w:vAlign w:val="center"/>
            <w:hideMark/>
          </w:tcPr>
          <w:p w14:paraId="4E2E9CB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153,0</w:t>
            </w:r>
          </w:p>
        </w:tc>
        <w:tc>
          <w:tcPr>
            <w:tcW w:w="1164" w:type="dxa"/>
            <w:tcBorders>
              <w:top w:val="nil"/>
              <w:left w:val="nil"/>
              <w:bottom w:val="single" w:sz="4" w:space="0" w:color="auto"/>
              <w:right w:val="single" w:sz="4" w:space="0" w:color="auto"/>
            </w:tcBorders>
            <w:shd w:val="clear" w:color="auto" w:fill="auto"/>
            <w:vAlign w:val="center"/>
            <w:hideMark/>
          </w:tcPr>
          <w:p w14:paraId="6D3EF59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898" w:type="dxa"/>
            <w:tcBorders>
              <w:top w:val="nil"/>
              <w:left w:val="nil"/>
              <w:bottom w:val="single" w:sz="4" w:space="0" w:color="auto"/>
              <w:right w:val="single" w:sz="4" w:space="0" w:color="auto"/>
            </w:tcBorders>
            <w:shd w:val="clear" w:color="auto" w:fill="auto"/>
            <w:vAlign w:val="center"/>
            <w:hideMark/>
          </w:tcPr>
          <w:p w14:paraId="23617FC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160,5</w:t>
            </w:r>
          </w:p>
        </w:tc>
        <w:tc>
          <w:tcPr>
            <w:tcW w:w="837" w:type="dxa"/>
            <w:tcBorders>
              <w:top w:val="nil"/>
              <w:left w:val="nil"/>
              <w:bottom w:val="single" w:sz="4" w:space="0" w:color="auto"/>
              <w:right w:val="single" w:sz="4" w:space="0" w:color="auto"/>
            </w:tcBorders>
            <w:shd w:val="clear" w:color="auto" w:fill="auto"/>
            <w:vAlign w:val="center"/>
            <w:hideMark/>
          </w:tcPr>
          <w:p w14:paraId="6E6F8C9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135,8</w:t>
            </w:r>
          </w:p>
        </w:tc>
        <w:tc>
          <w:tcPr>
            <w:tcW w:w="1149" w:type="dxa"/>
            <w:tcBorders>
              <w:top w:val="nil"/>
              <w:left w:val="nil"/>
              <w:bottom w:val="single" w:sz="4" w:space="0" w:color="auto"/>
              <w:right w:val="single" w:sz="4" w:space="0" w:color="auto"/>
            </w:tcBorders>
            <w:shd w:val="clear" w:color="auto" w:fill="auto"/>
            <w:vAlign w:val="center"/>
            <w:hideMark/>
          </w:tcPr>
          <w:p w14:paraId="48718FD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109,3</w:t>
            </w:r>
          </w:p>
        </w:tc>
        <w:tc>
          <w:tcPr>
            <w:tcW w:w="1358" w:type="dxa"/>
            <w:tcBorders>
              <w:top w:val="nil"/>
              <w:left w:val="nil"/>
              <w:bottom w:val="single" w:sz="4" w:space="0" w:color="auto"/>
              <w:right w:val="double" w:sz="4" w:space="0" w:color="auto"/>
            </w:tcBorders>
            <w:shd w:val="clear" w:color="auto" w:fill="auto"/>
            <w:vAlign w:val="center"/>
            <w:hideMark/>
          </w:tcPr>
          <w:p w14:paraId="47A8F9C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114,8</w:t>
            </w:r>
          </w:p>
        </w:tc>
      </w:tr>
      <w:tr w:rsidR="00D470B6" w:rsidRPr="00A53AD7" w14:paraId="05F83AF9" w14:textId="77777777" w:rsidTr="00ED2EC7">
        <w:trPr>
          <w:trHeight w:val="255"/>
        </w:trPr>
        <w:tc>
          <w:tcPr>
            <w:tcW w:w="9415" w:type="dxa"/>
            <w:gridSpan w:val="8"/>
            <w:tcBorders>
              <w:top w:val="single" w:sz="4" w:space="0" w:color="auto"/>
              <w:left w:val="double" w:sz="4" w:space="0" w:color="auto"/>
              <w:bottom w:val="single" w:sz="4" w:space="0" w:color="auto"/>
              <w:right w:val="double" w:sz="4" w:space="0" w:color="auto"/>
            </w:tcBorders>
            <w:shd w:val="clear" w:color="auto" w:fill="auto"/>
            <w:vAlign w:val="center"/>
            <w:hideMark/>
          </w:tcPr>
          <w:p w14:paraId="49D4DB92" w14:textId="77777777" w:rsidR="00ED2EC7" w:rsidRPr="00A53AD7" w:rsidRDefault="00ED2EC7" w:rsidP="00ED2EC7">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2018 год</w:t>
            </w:r>
          </w:p>
        </w:tc>
      </w:tr>
      <w:tr w:rsidR="00D470B6" w:rsidRPr="00A53AD7" w14:paraId="035ABBF7"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1EFB0826"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по договорам аренды </w:t>
            </w:r>
          </w:p>
        </w:tc>
        <w:tc>
          <w:tcPr>
            <w:tcW w:w="1149" w:type="dxa"/>
            <w:tcBorders>
              <w:top w:val="nil"/>
              <w:left w:val="nil"/>
              <w:bottom w:val="single" w:sz="4" w:space="0" w:color="auto"/>
              <w:right w:val="single" w:sz="4" w:space="0" w:color="auto"/>
            </w:tcBorders>
            <w:shd w:val="clear" w:color="auto" w:fill="auto"/>
            <w:vAlign w:val="center"/>
            <w:hideMark/>
          </w:tcPr>
          <w:p w14:paraId="1F745B4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96,5</w:t>
            </w:r>
          </w:p>
        </w:tc>
        <w:tc>
          <w:tcPr>
            <w:tcW w:w="1358" w:type="dxa"/>
            <w:tcBorders>
              <w:top w:val="nil"/>
              <w:left w:val="nil"/>
              <w:bottom w:val="single" w:sz="4" w:space="0" w:color="auto"/>
              <w:right w:val="double" w:sz="4" w:space="0" w:color="auto"/>
            </w:tcBorders>
            <w:shd w:val="clear" w:color="auto" w:fill="auto"/>
            <w:vAlign w:val="center"/>
            <w:hideMark/>
          </w:tcPr>
          <w:p w14:paraId="4DDF1CA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56,9</w:t>
            </w:r>
          </w:p>
        </w:tc>
      </w:tr>
      <w:tr w:rsidR="00D470B6" w:rsidRPr="00A53AD7" w14:paraId="2B89713D"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4AE993EC"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купли-продажи лесных насаждений</w:t>
            </w:r>
          </w:p>
        </w:tc>
        <w:tc>
          <w:tcPr>
            <w:tcW w:w="1149" w:type="dxa"/>
            <w:tcBorders>
              <w:top w:val="nil"/>
              <w:left w:val="nil"/>
              <w:bottom w:val="single" w:sz="4" w:space="0" w:color="auto"/>
              <w:right w:val="single" w:sz="4" w:space="0" w:color="auto"/>
            </w:tcBorders>
            <w:shd w:val="clear" w:color="auto" w:fill="auto"/>
            <w:vAlign w:val="center"/>
            <w:hideMark/>
          </w:tcPr>
          <w:p w14:paraId="7DDCB07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102,8</w:t>
            </w:r>
          </w:p>
        </w:tc>
        <w:tc>
          <w:tcPr>
            <w:tcW w:w="1358" w:type="dxa"/>
            <w:tcBorders>
              <w:top w:val="nil"/>
              <w:left w:val="nil"/>
              <w:bottom w:val="single" w:sz="4" w:space="0" w:color="auto"/>
              <w:right w:val="double" w:sz="4" w:space="0" w:color="auto"/>
            </w:tcBorders>
            <w:shd w:val="clear" w:color="auto" w:fill="auto"/>
            <w:vAlign w:val="center"/>
            <w:hideMark/>
          </w:tcPr>
          <w:p w14:paraId="166B402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65,8</w:t>
            </w:r>
          </w:p>
        </w:tc>
      </w:tr>
      <w:tr w:rsidR="00D470B6" w:rsidRPr="00A53AD7" w14:paraId="2C9530E3"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52C9ECCD"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по договорам купли-продажи лесных насаждений, заключаемых с субъектами малого и среднего предпринимательства </w:t>
            </w:r>
          </w:p>
        </w:tc>
        <w:tc>
          <w:tcPr>
            <w:tcW w:w="1149" w:type="dxa"/>
            <w:tcBorders>
              <w:top w:val="nil"/>
              <w:left w:val="nil"/>
              <w:bottom w:val="single" w:sz="4" w:space="0" w:color="auto"/>
              <w:right w:val="single" w:sz="4" w:space="0" w:color="auto"/>
            </w:tcBorders>
            <w:shd w:val="clear" w:color="auto" w:fill="auto"/>
            <w:vAlign w:val="center"/>
            <w:hideMark/>
          </w:tcPr>
          <w:p w14:paraId="278E64C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384,2</w:t>
            </w:r>
          </w:p>
        </w:tc>
        <w:tc>
          <w:tcPr>
            <w:tcW w:w="1358" w:type="dxa"/>
            <w:tcBorders>
              <w:top w:val="nil"/>
              <w:left w:val="nil"/>
              <w:bottom w:val="single" w:sz="4" w:space="0" w:color="auto"/>
              <w:right w:val="double" w:sz="4" w:space="0" w:color="auto"/>
            </w:tcBorders>
            <w:shd w:val="clear" w:color="auto" w:fill="auto"/>
            <w:vAlign w:val="center"/>
            <w:hideMark/>
          </w:tcPr>
          <w:p w14:paraId="1CBD7DF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73,4</w:t>
            </w:r>
          </w:p>
        </w:tc>
      </w:tr>
      <w:tr w:rsidR="00D470B6" w:rsidRPr="00A53AD7" w14:paraId="543DBC44"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72813FFD"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купли-продажи лесных насаждений для собственных нужд</w:t>
            </w:r>
          </w:p>
        </w:tc>
        <w:tc>
          <w:tcPr>
            <w:tcW w:w="1149" w:type="dxa"/>
            <w:tcBorders>
              <w:top w:val="nil"/>
              <w:left w:val="nil"/>
              <w:bottom w:val="single" w:sz="4" w:space="0" w:color="auto"/>
              <w:right w:val="single" w:sz="4" w:space="0" w:color="auto"/>
            </w:tcBorders>
            <w:shd w:val="clear" w:color="auto" w:fill="auto"/>
            <w:vAlign w:val="center"/>
            <w:hideMark/>
          </w:tcPr>
          <w:p w14:paraId="6380D0B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75,8</w:t>
            </w:r>
          </w:p>
        </w:tc>
        <w:tc>
          <w:tcPr>
            <w:tcW w:w="1358" w:type="dxa"/>
            <w:tcBorders>
              <w:top w:val="nil"/>
              <w:left w:val="nil"/>
              <w:bottom w:val="single" w:sz="4" w:space="0" w:color="auto"/>
              <w:right w:val="double" w:sz="4" w:space="0" w:color="auto"/>
            </w:tcBorders>
            <w:shd w:val="clear" w:color="auto" w:fill="auto"/>
            <w:vAlign w:val="center"/>
            <w:hideMark/>
          </w:tcPr>
          <w:p w14:paraId="5FD39D1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5A972049" w14:textId="77777777" w:rsidTr="00ED2EC7">
        <w:trPr>
          <w:trHeight w:val="255"/>
        </w:trPr>
        <w:tc>
          <w:tcPr>
            <w:tcW w:w="9415" w:type="dxa"/>
            <w:gridSpan w:val="8"/>
            <w:tcBorders>
              <w:top w:val="single" w:sz="4" w:space="0" w:color="auto"/>
              <w:left w:val="double" w:sz="4" w:space="0" w:color="auto"/>
              <w:bottom w:val="single" w:sz="4" w:space="0" w:color="auto"/>
              <w:right w:val="double" w:sz="4" w:space="0" w:color="auto"/>
            </w:tcBorders>
            <w:shd w:val="clear" w:color="auto" w:fill="auto"/>
            <w:vAlign w:val="center"/>
            <w:hideMark/>
          </w:tcPr>
          <w:p w14:paraId="5F6C58CA" w14:textId="77777777" w:rsidR="00ED2EC7" w:rsidRPr="00A53AD7" w:rsidRDefault="00ED2EC7" w:rsidP="00ED2EC7">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2019 год</w:t>
            </w:r>
          </w:p>
        </w:tc>
      </w:tr>
      <w:tr w:rsidR="00D470B6" w:rsidRPr="00A53AD7" w14:paraId="5DB1BE9F"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72BE87BA"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по договорам аренды </w:t>
            </w:r>
          </w:p>
        </w:tc>
        <w:tc>
          <w:tcPr>
            <w:tcW w:w="1149" w:type="dxa"/>
            <w:tcBorders>
              <w:top w:val="nil"/>
              <w:left w:val="nil"/>
              <w:bottom w:val="single" w:sz="4" w:space="0" w:color="auto"/>
              <w:right w:val="single" w:sz="4" w:space="0" w:color="auto"/>
            </w:tcBorders>
            <w:shd w:val="clear" w:color="auto" w:fill="auto"/>
            <w:vAlign w:val="center"/>
            <w:hideMark/>
          </w:tcPr>
          <w:p w14:paraId="1269EA6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97,9</w:t>
            </w:r>
          </w:p>
        </w:tc>
        <w:tc>
          <w:tcPr>
            <w:tcW w:w="1358" w:type="dxa"/>
            <w:tcBorders>
              <w:top w:val="nil"/>
              <w:left w:val="nil"/>
              <w:bottom w:val="single" w:sz="4" w:space="0" w:color="auto"/>
              <w:right w:val="double" w:sz="4" w:space="0" w:color="auto"/>
            </w:tcBorders>
            <w:shd w:val="clear" w:color="auto" w:fill="auto"/>
            <w:vAlign w:val="center"/>
            <w:hideMark/>
          </w:tcPr>
          <w:p w14:paraId="0452206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60</w:t>
            </w:r>
          </w:p>
        </w:tc>
      </w:tr>
      <w:tr w:rsidR="00D470B6" w:rsidRPr="00A53AD7" w14:paraId="712E9AB2"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06EAC43D"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купли-продажи лесных насаждений</w:t>
            </w:r>
          </w:p>
        </w:tc>
        <w:tc>
          <w:tcPr>
            <w:tcW w:w="1149" w:type="dxa"/>
            <w:tcBorders>
              <w:top w:val="nil"/>
              <w:left w:val="nil"/>
              <w:bottom w:val="single" w:sz="4" w:space="0" w:color="auto"/>
              <w:right w:val="single" w:sz="4" w:space="0" w:color="auto"/>
            </w:tcBorders>
            <w:shd w:val="clear" w:color="auto" w:fill="auto"/>
            <w:vAlign w:val="center"/>
            <w:hideMark/>
          </w:tcPr>
          <w:p w14:paraId="77770FE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111</w:t>
            </w:r>
          </w:p>
        </w:tc>
        <w:tc>
          <w:tcPr>
            <w:tcW w:w="1358" w:type="dxa"/>
            <w:tcBorders>
              <w:top w:val="nil"/>
              <w:left w:val="nil"/>
              <w:bottom w:val="single" w:sz="4" w:space="0" w:color="auto"/>
              <w:right w:val="double" w:sz="4" w:space="0" w:color="auto"/>
            </w:tcBorders>
            <w:shd w:val="clear" w:color="auto" w:fill="auto"/>
            <w:vAlign w:val="center"/>
            <w:hideMark/>
          </w:tcPr>
          <w:p w14:paraId="2DAA168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76,4</w:t>
            </w:r>
          </w:p>
        </w:tc>
      </w:tr>
      <w:tr w:rsidR="00D470B6" w:rsidRPr="00A53AD7" w14:paraId="4A630F1E" w14:textId="77777777" w:rsidTr="00ED2EC7">
        <w:trPr>
          <w:trHeight w:val="255"/>
        </w:trPr>
        <w:tc>
          <w:tcPr>
            <w:tcW w:w="6908" w:type="dxa"/>
            <w:gridSpan w:val="6"/>
            <w:tcBorders>
              <w:top w:val="single" w:sz="4" w:space="0" w:color="auto"/>
              <w:left w:val="double" w:sz="4" w:space="0" w:color="auto"/>
              <w:bottom w:val="single" w:sz="4" w:space="0" w:color="auto"/>
              <w:right w:val="single" w:sz="4" w:space="0" w:color="auto"/>
            </w:tcBorders>
            <w:shd w:val="clear" w:color="auto" w:fill="auto"/>
            <w:vAlign w:val="center"/>
            <w:hideMark/>
          </w:tcPr>
          <w:p w14:paraId="23F18937"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по договорам купли-продажи лесных насаждений, заключаемых с субъектами малого и среднего предпринимательства </w:t>
            </w:r>
          </w:p>
        </w:tc>
        <w:tc>
          <w:tcPr>
            <w:tcW w:w="1149" w:type="dxa"/>
            <w:tcBorders>
              <w:top w:val="nil"/>
              <w:left w:val="nil"/>
              <w:bottom w:val="single" w:sz="4" w:space="0" w:color="auto"/>
              <w:right w:val="single" w:sz="4" w:space="0" w:color="auto"/>
            </w:tcBorders>
            <w:shd w:val="clear" w:color="auto" w:fill="auto"/>
            <w:vAlign w:val="center"/>
            <w:hideMark/>
          </w:tcPr>
          <w:p w14:paraId="0429C1D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412,9</w:t>
            </w:r>
          </w:p>
        </w:tc>
        <w:tc>
          <w:tcPr>
            <w:tcW w:w="1358" w:type="dxa"/>
            <w:tcBorders>
              <w:top w:val="nil"/>
              <w:left w:val="nil"/>
              <w:bottom w:val="single" w:sz="4" w:space="0" w:color="auto"/>
              <w:right w:val="double" w:sz="4" w:space="0" w:color="auto"/>
            </w:tcBorders>
            <w:shd w:val="clear" w:color="auto" w:fill="auto"/>
            <w:vAlign w:val="center"/>
            <w:hideMark/>
          </w:tcPr>
          <w:p w14:paraId="50FE648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81,2</w:t>
            </w:r>
          </w:p>
        </w:tc>
      </w:tr>
      <w:tr w:rsidR="00ED2EC7" w:rsidRPr="00A53AD7" w14:paraId="13400127" w14:textId="77777777" w:rsidTr="00ED2EC7">
        <w:trPr>
          <w:trHeight w:val="255"/>
        </w:trPr>
        <w:tc>
          <w:tcPr>
            <w:tcW w:w="6908" w:type="dxa"/>
            <w:gridSpan w:val="6"/>
            <w:tcBorders>
              <w:top w:val="single" w:sz="4" w:space="0" w:color="auto"/>
              <w:left w:val="double" w:sz="4" w:space="0" w:color="auto"/>
              <w:bottom w:val="double" w:sz="4" w:space="0" w:color="auto"/>
              <w:right w:val="single" w:sz="4" w:space="0" w:color="auto"/>
            </w:tcBorders>
            <w:shd w:val="clear" w:color="auto" w:fill="auto"/>
            <w:vAlign w:val="center"/>
            <w:hideMark/>
          </w:tcPr>
          <w:p w14:paraId="5547D2B4"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 договорам купли-продажи лесных насаждений для собственных нужд</w:t>
            </w:r>
          </w:p>
        </w:tc>
        <w:tc>
          <w:tcPr>
            <w:tcW w:w="1149" w:type="dxa"/>
            <w:tcBorders>
              <w:top w:val="nil"/>
              <w:left w:val="nil"/>
              <w:bottom w:val="double" w:sz="4" w:space="0" w:color="auto"/>
              <w:right w:val="single" w:sz="4" w:space="0" w:color="auto"/>
            </w:tcBorders>
            <w:shd w:val="clear" w:color="auto" w:fill="auto"/>
            <w:vAlign w:val="center"/>
            <w:hideMark/>
          </w:tcPr>
          <w:p w14:paraId="3F6B374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87,5</w:t>
            </w:r>
          </w:p>
        </w:tc>
        <w:tc>
          <w:tcPr>
            <w:tcW w:w="1358" w:type="dxa"/>
            <w:tcBorders>
              <w:top w:val="nil"/>
              <w:left w:val="nil"/>
              <w:bottom w:val="double" w:sz="4" w:space="0" w:color="auto"/>
              <w:right w:val="double" w:sz="4" w:space="0" w:color="auto"/>
            </w:tcBorders>
            <w:shd w:val="clear" w:color="auto" w:fill="auto"/>
            <w:vAlign w:val="center"/>
            <w:hideMark/>
          </w:tcPr>
          <w:p w14:paraId="0F35851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bl>
    <w:p w14:paraId="1978EC51" w14:textId="77777777" w:rsidR="00ED2EC7" w:rsidRPr="00A53AD7" w:rsidRDefault="00ED2EC7" w:rsidP="00ED2EC7">
      <w:pPr>
        <w:pStyle w:val="ad"/>
        <w:ind w:firstLine="709"/>
        <w:jc w:val="both"/>
        <w:rPr>
          <w:rFonts w:ascii="Times New Roman" w:hAnsi="Times New Roman"/>
          <w:sz w:val="28"/>
          <w:szCs w:val="28"/>
          <w:highlight w:val="cyan"/>
        </w:rPr>
      </w:pPr>
    </w:p>
    <w:p w14:paraId="4F0EAD4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Фактическая величина показателя объем платежей в бюджетную систему Российской Федерации от использования лесов, расположенных на землях лесного фонда, в расчете на 1 га земель лесного фонда - 74,7 руб./га рассчитан как фактическое поступление платежей в бюджеты в сумме 2 118,183 млн.руб. на площадь земель лесного фонда 28 366,7 тыс.га, плановый показатель 87,4 руб./га рассчитан как общий плановый объем платежей в бюджетную систему РФ от использования лесов в сумме 2 478,838 млн.руб. на площадь 28 362 тыс.га (данные Лесного плана АО на 2019 год). Согласно сведениям о доходах лесного хозяйства и их распределении по получателям за январь - декабрь 2019 года причитается платежей за отчетный период по договорам аренды, договорам купли-продажи в сумме 2 109,4 млн.руб., то есть объем платежей в бюджетную систему РФ по итогам 2019 года (по причитающимся платежам) составит 74,4 руб./га (2109,4/28366,7).</w:t>
      </w:r>
    </w:p>
    <w:p w14:paraId="011A4C12"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Также, в обоснование невыполнения целевого показателя министерство ЛПК ссылается на то, что одной из причин невыполнения показателя является завышенная сумма погашения задолженности прошлых лет, заложенная в расчет прогнозных доходов (по плану 56,0 млн.руб.; фактически - 6,0 млн.руб.).</w:t>
      </w:r>
    </w:p>
    <w:p w14:paraId="68E508C2"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Необходимо отметить, что объем платежей в бюджетную систему от использования лесов в расчете на 1 гектар рассчитывается министерством ЛПК как деление общего объем платежей в бюджетную систему РФ от использования лесов на землях лесного фонда на территории Архангельской области на площадь земель лесного фонда в Архангельской области. В свою очередь доходы (объем платежей в бюджетную систему РФ) рассчитывается исходя из сложившихся размеров ставок и средних цен на древесину при заключении договоров купли-продажи лесных насаждений и объема отпуска древесины. То есть, в расчет объема платежей в бюджетную систему Российской Федерации от использования лесов, расположенных на землях лесного фонда не должна включается сумма задолженности, как и, следствие того, что не является причиной невыполнения показателя. </w:t>
      </w:r>
    </w:p>
    <w:p w14:paraId="358DD97D" w14:textId="77777777" w:rsidR="00ED2EC7" w:rsidRPr="00A53AD7" w:rsidRDefault="00ED2EC7" w:rsidP="00ED2EC7">
      <w:pPr>
        <w:pStyle w:val="ad"/>
        <w:ind w:firstLine="851"/>
        <w:jc w:val="both"/>
        <w:rPr>
          <w:rFonts w:ascii="Times New Roman" w:hAnsi="Times New Roman"/>
          <w:sz w:val="28"/>
          <w:szCs w:val="28"/>
        </w:rPr>
      </w:pPr>
    </w:p>
    <w:p w14:paraId="1DDD5BA4" w14:textId="6B020ABD"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течение 2019 года областными законами «О внесении изменений в областной бюджета на 2019 год» бюджетные ассигнования по ГП АО № 459-пп корректировались, общее увеличение на сумму 176,1 млн.руб. (к бюджетной росписи + 206,8 млн.руб.), в том числе за счет дополнительных поступлений межбюджетных трансфертов из федераль</w:t>
      </w:r>
      <w:r w:rsidR="00163D1C" w:rsidRPr="00A53AD7">
        <w:rPr>
          <w:rFonts w:ascii="Times New Roman" w:hAnsi="Times New Roman"/>
          <w:sz w:val="28"/>
          <w:szCs w:val="28"/>
        </w:rPr>
        <w:t>ного бюджета на сумму 92,0 млн.</w:t>
      </w:r>
      <w:r w:rsidRPr="00A53AD7">
        <w:rPr>
          <w:rFonts w:ascii="Times New Roman" w:hAnsi="Times New Roman"/>
          <w:sz w:val="28"/>
          <w:szCs w:val="28"/>
        </w:rPr>
        <w:t>руб., а также за счет увеличения бюджетных ассигнований за счет областного бюджета на оплату исполнительных листов, на финансовое обеспечение деятельности ГАУ АО «Единый лесопожарный центр», на повышение заработной платы основного персонала областных казенных учреждений – лесничеств и лесопарка с 1 июля 2019 года на 15 % (участковые лесничие, мастера участка, инженеры).</w:t>
      </w:r>
    </w:p>
    <w:p w14:paraId="50116424"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целом, на реализацию мероприятий ГП АО №459-пп за счет средств федерального и областного бюджета направлено в 2019 году 1 350,0 млн.руб., что составляет 98,4% к уточненной сводной бюджетной росписи.</w:t>
      </w:r>
    </w:p>
    <w:p w14:paraId="463B9072"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ГП АО № 459-пп включает в себя четыре подпрограммы, исполнение мероприятий за 2019 год осуществлялось по всем подпрограммам, неисполненные назначения на сумму 21,6 млн.руб., по двум подпрограммам процент исполнения составил менее 98,0%: «Обеспечение использования лесов» (96,4% к уточненной сводной бюджетной росписи), «Обеспечение реализации ГП АО № 459-пп» (97,7% к уточненной сводной бюджетной росписи).</w:t>
      </w:r>
    </w:p>
    <w:p w14:paraId="7621374F" w14:textId="77777777" w:rsidR="00ED2EC7" w:rsidRPr="00A53AD7" w:rsidRDefault="00ED2EC7" w:rsidP="00ED2EC7">
      <w:pPr>
        <w:pStyle w:val="ad"/>
        <w:ind w:firstLine="851"/>
        <w:jc w:val="both"/>
        <w:rPr>
          <w:rFonts w:ascii="Times New Roman" w:hAnsi="Times New Roman"/>
          <w:sz w:val="28"/>
          <w:szCs w:val="28"/>
          <w:highlight w:val="cyan"/>
        </w:rPr>
      </w:pPr>
      <w:r w:rsidRPr="00A53AD7">
        <w:rPr>
          <w:rFonts w:ascii="Times New Roman" w:hAnsi="Times New Roman"/>
          <w:sz w:val="28"/>
          <w:szCs w:val="28"/>
        </w:rPr>
        <w:t>В целом по ГП АО № 459-пп за счет средств федерального и областного бюджета в 2019 году из 9 мероприятий, отраженных по целевым статьям, процент исполнения по 7 мероприятиям составил от 99,5 до 100 процентов, по 1-му – на 50,9% и по одному – исполнение 0. (см. таблицу).</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57"/>
        <w:gridCol w:w="1104"/>
        <w:gridCol w:w="1106"/>
        <w:gridCol w:w="970"/>
        <w:gridCol w:w="1382"/>
        <w:gridCol w:w="1205"/>
      </w:tblGrid>
      <w:tr w:rsidR="00D470B6" w:rsidRPr="00A53AD7" w14:paraId="3A65645A" w14:textId="77777777" w:rsidTr="00ED2EC7">
        <w:trPr>
          <w:trHeight w:val="1127"/>
        </w:trPr>
        <w:tc>
          <w:tcPr>
            <w:tcW w:w="1908" w:type="pct"/>
            <w:shd w:val="clear" w:color="000000" w:fill="FFFFFF"/>
            <w:vAlign w:val="center"/>
            <w:hideMark/>
          </w:tcPr>
          <w:p w14:paraId="7353BFF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Наименование</w:t>
            </w:r>
          </w:p>
        </w:tc>
        <w:tc>
          <w:tcPr>
            <w:tcW w:w="592" w:type="pct"/>
            <w:shd w:val="clear" w:color="000000" w:fill="FFFFFF"/>
            <w:vAlign w:val="center"/>
            <w:hideMark/>
          </w:tcPr>
          <w:p w14:paraId="6EF95B7F"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Утверждено на год (в ред. от 13.12.2019 № 189-13-ОЗ), тыс.руб.</w:t>
            </w:r>
          </w:p>
        </w:tc>
        <w:tc>
          <w:tcPr>
            <w:tcW w:w="593" w:type="pct"/>
            <w:shd w:val="clear" w:color="auto" w:fill="auto"/>
            <w:vAlign w:val="center"/>
            <w:hideMark/>
          </w:tcPr>
          <w:p w14:paraId="6F380A7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Уточненная сводная бюджетная роспись на 2019 год, тыс.руб.</w:t>
            </w:r>
          </w:p>
        </w:tc>
        <w:tc>
          <w:tcPr>
            <w:tcW w:w="520" w:type="pct"/>
            <w:shd w:val="clear" w:color="auto" w:fill="auto"/>
            <w:vAlign w:val="center"/>
            <w:hideMark/>
          </w:tcPr>
          <w:p w14:paraId="53F5CC9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Исполнено, тыс.руб.</w:t>
            </w:r>
          </w:p>
        </w:tc>
        <w:tc>
          <w:tcPr>
            <w:tcW w:w="741" w:type="pct"/>
            <w:shd w:val="clear" w:color="auto" w:fill="auto"/>
            <w:vAlign w:val="center"/>
            <w:hideMark/>
          </w:tcPr>
          <w:p w14:paraId="17B6D5F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Отклонение от уточненной сводной бюджетной росписи, тыс.руб.</w:t>
            </w:r>
          </w:p>
        </w:tc>
        <w:tc>
          <w:tcPr>
            <w:tcW w:w="646" w:type="pct"/>
            <w:shd w:val="clear" w:color="auto" w:fill="auto"/>
            <w:vAlign w:val="center"/>
            <w:hideMark/>
          </w:tcPr>
          <w:p w14:paraId="5C3A0F2F"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 уточненной сводной бюджетной росписи на год, в %</w:t>
            </w:r>
          </w:p>
        </w:tc>
      </w:tr>
      <w:tr w:rsidR="00D470B6" w:rsidRPr="00A53AD7" w14:paraId="058BBAEA" w14:textId="77777777" w:rsidTr="00ED2EC7">
        <w:trPr>
          <w:trHeight w:val="136"/>
        </w:trPr>
        <w:tc>
          <w:tcPr>
            <w:tcW w:w="1908" w:type="pct"/>
            <w:shd w:val="clear" w:color="auto" w:fill="auto"/>
            <w:vAlign w:val="center"/>
            <w:hideMark/>
          </w:tcPr>
          <w:p w14:paraId="5EC7A836" w14:textId="77777777" w:rsidR="00ED2EC7" w:rsidRPr="00A53AD7" w:rsidRDefault="00ED2EC7" w:rsidP="00ED2EC7">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Выполнение функций государственными органами в области лесных отношений</w:t>
            </w:r>
          </w:p>
        </w:tc>
        <w:tc>
          <w:tcPr>
            <w:tcW w:w="592" w:type="pct"/>
            <w:shd w:val="clear" w:color="auto" w:fill="auto"/>
            <w:noWrap/>
            <w:vAlign w:val="center"/>
            <w:hideMark/>
          </w:tcPr>
          <w:p w14:paraId="2C8CFF7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570,0</w:t>
            </w:r>
          </w:p>
        </w:tc>
        <w:tc>
          <w:tcPr>
            <w:tcW w:w="593" w:type="pct"/>
            <w:shd w:val="clear" w:color="auto" w:fill="auto"/>
            <w:noWrap/>
            <w:vAlign w:val="center"/>
            <w:hideMark/>
          </w:tcPr>
          <w:p w14:paraId="3830C4D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570,0</w:t>
            </w:r>
          </w:p>
        </w:tc>
        <w:tc>
          <w:tcPr>
            <w:tcW w:w="520" w:type="pct"/>
            <w:shd w:val="clear" w:color="auto" w:fill="auto"/>
            <w:noWrap/>
            <w:vAlign w:val="center"/>
            <w:hideMark/>
          </w:tcPr>
          <w:p w14:paraId="41FBE1F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290,0</w:t>
            </w:r>
          </w:p>
        </w:tc>
        <w:tc>
          <w:tcPr>
            <w:tcW w:w="741" w:type="pct"/>
            <w:shd w:val="clear" w:color="auto" w:fill="auto"/>
            <w:noWrap/>
            <w:vAlign w:val="center"/>
            <w:hideMark/>
          </w:tcPr>
          <w:p w14:paraId="7719931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-280,0</w:t>
            </w:r>
          </w:p>
        </w:tc>
        <w:tc>
          <w:tcPr>
            <w:tcW w:w="646" w:type="pct"/>
            <w:shd w:val="clear" w:color="auto" w:fill="auto"/>
            <w:noWrap/>
            <w:vAlign w:val="center"/>
            <w:hideMark/>
          </w:tcPr>
          <w:p w14:paraId="2B2D57BD" w14:textId="77777777" w:rsidR="00ED2EC7" w:rsidRPr="00A53AD7" w:rsidRDefault="00ED2EC7" w:rsidP="00ED2EC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50,9</w:t>
            </w:r>
          </w:p>
        </w:tc>
      </w:tr>
      <w:tr w:rsidR="00ED2EC7" w:rsidRPr="00A53AD7" w14:paraId="6EAE8FD2" w14:textId="77777777" w:rsidTr="00ED2EC7">
        <w:trPr>
          <w:trHeight w:val="47"/>
        </w:trPr>
        <w:tc>
          <w:tcPr>
            <w:tcW w:w="1908" w:type="pct"/>
            <w:shd w:val="clear" w:color="auto" w:fill="auto"/>
            <w:vAlign w:val="center"/>
            <w:hideMark/>
          </w:tcPr>
          <w:p w14:paraId="5C8E60E6" w14:textId="77777777" w:rsidR="00ED2EC7" w:rsidRPr="00A53AD7" w:rsidRDefault="00ED2EC7" w:rsidP="00ED2EC7">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Прочие выплаты по обязательствам государства</w:t>
            </w:r>
          </w:p>
        </w:tc>
        <w:tc>
          <w:tcPr>
            <w:tcW w:w="592" w:type="pct"/>
            <w:shd w:val="clear" w:color="auto" w:fill="auto"/>
            <w:noWrap/>
            <w:vAlign w:val="center"/>
            <w:hideMark/>
          </w:tcPr>
          <w:p w14:paraId="5D2832B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14 177,0</w:t>
            </w:r>
          </w:p>
        </w:tc>
        <w:tc>
          <w:tcPr>
            <w:tcW w:w="593" w:type="pct"/>
            <w:shd w:val="clear" w:color="auto" w:fill="auto"/>
            <w:noWrap/>
            <w:vAlign w:val="center"/>
            <w:hideMark/>
          </w:tcPr>
          <w:p w14:paraId="6A2F7F0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14 177,0</w:t>
            </w:r>
          </w:p>
        </w:tc>
        <w:tc>
          <w:tcPr>
            <w:tcW w:w="520" w:type="pct"/>
            <w:shd w:val="clear" w:color="auto" w:fill="auto"/>
            <w:noWrap/>
            <w:vAlign w:val="center"/>
            <w:hideMark/>
          </w:tcPr>
          <w:p w14:paraId="3B29583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741" w:type="pct"/>
            <w:shd w:val="clear" w:color="auto" w:fill="auto"/>
            <w:noWrap/>
            <w:vAlign w:val="center"/>
            <w:hideMark/>
          </w:tcPr>
          <w:p w14:paraId="3C29BE3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-14 177,0</w:t>
            </w:r>
          </w:p>
        </w:tc>
        <w:tc>
          <w:tcPr>
            <w:tcW w:w="646" w:type="pct"/>
            <w:shd w:val="clear" w:color="auto" w:fill="auto"/>
            <w:noWrap/>
            <w:vAlign w:val="center"/>
            <w:hideMark/>
          </w:tcPr>
          <w:p w14:paraId="287369CC" w14:textId="77777777" w:rsidR="00ED2EC7" w:rsidRPr="00A53AD7" w:rsidRDefault="00ED2EC7" w:rsidP="00ED2EC7">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w:t>
            </w:r>
          </w:p>
        </w:tc>
      </w:tr>
    </w:tbl>
    <w:p w14:paraId="39D06DE4" w14:textId="77777777" w:rsidR="00ED2EC7" w:rsidRPr="00A53AD7" w:rsidRDefault="00ED2EC7" w:rsidP="00ED2EC7">
      <w:pPr>
        <w:pStyle w:val="ad"/>
        <w:ind w:firstLine="709"/>
        <w:jc w:val="both"/>
        <w:rPr>
          <w:rFonts w:ascii="Times New Roman" w:hAnsi="Times New Roman"/>
          <w:sz w:val="28"/>
          <w:szCs w:val="28"/>
          <w:highlight w:val="cyan"/>
        </w:rPr>
      </w:pPr>
    </w:p>
    <w:p w14:paraId="0C148E63"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Необходимо отметить, что средства в сумме 14,177 млн.руб., согласно пояснительной записке к законопроекту «О внесении изменений в областной бюджет на 2019 год», планировалось направить на оплату исполнительных листов, в том числе о взыскании излишне уплаченной арендной платы и процентов на сумму 1,4 млн.руб. и возмещение расходов в размере 12,8 млн.руб. на проведение лесоустроительных работ в пользу ООО «Поморский лесной технопарк».</w:t>
      </w:r>
    </w:p>
    <w:p w14:paraId="0BA7152E"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Областным законом от 1 апреля 2019 г. № 68-6-ОЗ «О внесении изменений и дополнений в областной закон «Об областном бюджете на 2019 год и на плановый период 2020 и 2021 годов» бюджетные ассигнования министерству ЛПК по КБК 1540070030 830 «Прочие выплаты по обязательствам государства. Иные бюджетные ассигнования. Исполнение судебных актов» увеличены на 14,177 млн.руб.</w:t>
      </w:r>
    </w:p>
    <w:p w14:paraId="23E43571"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Причина неисполнения, согласно пояснительной записке к годовой бюджетной отчетности является отзыв исполнительных листов и принятие решения об уменьшении принятых в 2018 году обязательств на сумму 14 189 972,11 рублей».</w:t>
      </w:r>
    </w:p>
    <w:p w14:paraId="04E2FE94"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то же время, постановлением Арбитражного суда Северо-Западного округа от 11.03.2019 (за 20 дней до принятия областного закона) решение Арбитражного суда Архангельской области от 01.08.2018 и постановление Четырнадцатого арбитражного апелляционного суда от 16.10.2018 по делу № А05-4304/2018 о взыскании 12 778 296,51 в возмещение расходов, произведенных по договорам на выполнение лесоустроительных работ, заключенным с ФГБУ «Рослесинфорг» 08.06.2015 и 31.07.2015, в отношении лесных участков, предоставленных ООО «Поморский лесной технопарк» по договорам аренды № 1734 от 30.10.2014 и № 1735 от 10.11.2014 для реализации приоритетного инвестиционного проекта в области освоения лесов отменено и направлено на новое рассмотрение в Арбитражный суд Архангельской области. В соответствии со статьей 43 ФЗ от 02.10.2007 № 229-ФЗ «Об исполнительном производстве» исполнительное производство прекращается в случае отмены судебного акта, на основании которого был выдан исполнительный лист.</w:t>
      </w:r>
    </w:p>
    <w:p w14:paraId="134D3508"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Также на основании уведомления министерства ЛПК о зачете встречных требований от 29.03.2019 с ООО «Поморский лесной технопарк» проведен зачёт встречных требований на сумму 1 411 675,60 руб. по решениям Арбитражного суда Архангельской области от 12.09.2018 по делу № А05-513/201 и от 31.07.2018 по делу № А05-5201/2018.</w:t>
      </w:r>
    </w:p>
    <w:p w14:paraId="13F82F6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Указанный факт свидетельствует о том, что главный распорядитель, в лице министерства ЛПК, в марте 2019 года в полной мере владел сведениями о таких документах, в которых отражены факты об отсутствии необходимости увеличения бюджетных ассигнований в конце марта 2019 года (постановление Архангельского областного Собрания депутатов от 27.03.2019 № 207).</w:t>
      </w:r>
    </w:p>
    <w:p w14:paraId="333F3E7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федерального бюджета на осуществление отдельных полномочий в области лесных отношений за 2019 год поступило 790,8 млн.руб. или 99,2 % к прогнозу кассовых поступлений на 2019 год. Кассовое исполнение за счет средств федерального бюджета составило 790,8 млн.руб., в том числе на осуществление отдельных полномочий в области лесных отношений из федерального бюджета поступило 687,2 млн.руб. (план 693,6 млн.руб.), на реализацию федерального проекта «Сохранение лесов» - 103,6 млн.руб.</w:t>
      </w:r>
    </w:p>
    <w:p w14:paraId="1C4B151F"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общей суммы расходов (1350,0 млн.руб.) основная статья затрат – это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по итогам года направлено 600,1 млн.руб.</w:t>
      </w:r>
    </w:p>
    <w:p w14:paraId="0776163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На выполнение государственного задания перечислено ГАУ АО «Единый лесопожарный центр» (далее - ГАУ АО «ЕЛЦ») в сумме 461,9 млн.руб., к годовым назначениям исполнение 99,9%. Кассовые расходы ГАУ АО «ЕЛЦ» - 460,6 млн.руб., в том числе расходы на выплаты персоналу – 316,6 млн.руб., на закупку товаров, работ и услуг направлено 138,1 млн.руб. (78,7%). </w:t>
      </w:r>
    </w:p>
    <w:p w14:paraId="583EE83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Целевых субсидий ГАУ АО «ЕЛЦ» перечислено в размере 112,8 млн.руб., кассовые расходы составили 111,2 млн.руб., из них 107,1 млн.руб. перечислено на закупку товаров, работ и услуг. В рамках реализации ФП «Сохранение лесов» НП «Экология» на оснащение учреждений, выполняющих мероприятия по воспроизводству лесов, специализированной лесохозяйственной техникой и оборудованием для проведения комплекса мероприятий по лесовосстановлению и лесоразведению и лесопожарной техникой и оборудованием для проведения комплекса мероприятий по охране лесов от пожаров перечислено ГАУ АО «ЕЛЦ» 92,2 млн.руб. (см. раздел «Реализация приоритетных национальных проектов в 2019 году»).</w:t>
      </w:r>
    </w:p>
    <w:p w14:paraId="005E59B9" w14:textId="7471EE3D"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отчетам о выполнении государственного задания ГАУ АО «ЕЛЦ» за 2019 год ряд объёмных показателей по государственному заданию не выполнен в полном объеме (см. таблицу </w:t>
      </w:r>
      <w:r w:rsidR="0001618D" w:rsidRPr="00A53AD7">
        <w:rPr>
          <w:rFonts w:ascii="Times New Roman" w:hAnsi="Times New Roman"/>
          <w:sz w:val="28"/>
          <w:szCs w:val="28"/>
        </w:rPr>
        <w:t>57</w:t>
      </w:r>
      <w:r w:rsidRPr="00A53AD7">
        <w:rPr>
          <w:rFonts w:ascii="Times New Roman" w:hAnsi="Times New Roman"/>
          <w:sz w:val="28"/>
          <w:szCs w:val="28"/>
        </w:rPr>
        <w:t>).</w:t>
      </w:r>
    </w:p>
    <w:p w14:paraId="3EA4D158" w14:textId="77777777" w:rsidR="00ED2EC7" w:rsidRPr="00A53AD7" w:rsidRDefault="00ED2EC7" w:rsidP="00ED2EC7">
      <w:pPr>
        <w:pStyle w:val="ad"/>
        <w:jc w:val="both"/>
        <w:rPr>
          <w:rFonts w:ascii="Times New Roman" w:hAnsi="Times New Roman"/>
          <w:sz w:val="24"/>
          <w:szCs w:val="24"/>
        </w:rPr>
      </w:pPr>
    </w:p>
    <w:p w14:paraId="0049BCD6" w14:textId="77777777" w:rsidR="0001618D" w:rsidRPr="00A53AD7" w:rsidRDefault="0001618D" w:rsidP="00ED2EC7">
      <w:pPr>
        <w:pStyle w:val="ad"/>
        <w:jc w:val="both"/>
        <w:rPr>
          <w:rFonts w:ascii="Times New Roman" w:hAnsi="Times New Roman"/>
          <w:sz w:val="24"/>
          <w:szCs w:val="24"/>
        </w:rPr>
      </w:pPr>
    </w:p>
    <w:p w14:paraId="27DE0E13" w14:textId="77777777" w:rsidR="0001618D" w:rsidRPr="00A53AD7" w:rsidRDefault="0001618D" w:rsidP="00ED2EC7">
      <w:pPr>
        <w:pStyle w:val="ad"/>
        <w:jc w:val="both"/>
        <w:rPr>
          <w:rFonts w:ascii="Times New Roman" w:hAnsi="Times New Roman"/>
          <w:sz w:val="24"/>
          <w:szCs w:val="24"/>
        </w:rPr>
      </w:pPr>
    </w:p>
    <w:p w14:paraId="53FFED38" w14:textId="77777777" w:rsidR="00ED2EC7" w:rsidRPr="00A53AD7" w:rsidRDefault="00ED2EC7" w:rsidP="00ED2EC7">
      <w:pPr>
        <w:pStyle w:val="ad"/>
        <w:jc w:val="both"/>
        <w:rPr>
          <w:rFonts w:ascii="Times New Roman" w:hAnsi="Times New Roman"/>
          <w:sz w:val="24"/>
          <w:szCs w:val="24"/>
          <w:highlight w:val="cyan"/>
          <w:shd w:val="clear" w:color="auto" w:fill="FFFFFF"/>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57</w:t>
      </w:r>
      <w:r w:rsidRPr="00A53AD7">
        <w:rPr>
          <w:rFonts w:ascii="Times New Roman" w:hAnsi="Times New Roman"/>
          <w:sz w:val="24"/>
          <w:szCs w:val="24"/>
        </w:rPr>
        <w:fldChar w:fldCharType="end"/>
      </w:r>
      <w:r w:rsidRPr="00A53AD7">
        <w:rPr>
          <w:rFonts w:ascii="Times New Roman" w:hAnsi="Times New Roman"/>
          <w:sz w:val="24"/>
          <w:szCs w:val="24"/>
        </w:rPr>
        <w:t>. Выполнение государственного задания ГАУ АО «ЕЛЦ» за 2019 год</w:t>
      </w:r>
    </w:p>
    <w:tbl>
      <w:tblPr>
        <w:tblW w:w="920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397"/>
        <w:gridCol w:w="567"/>
        <w:gridCol w:w="1134"/>
        <w:gridCol w:w="993"/>
        <w:gridCol w:w="992"/>
        <w:gridCol w:w="963"/>
        <w:gridCol w:w="29"/>
        <w:gridCol w:w="1134"/>
      </w:tblGrid>
      <w:tr w:rsidR="00D470B6" w:rsidRPr="00A53AD7" w14:paraId="11530BE4" w14:textId="77777777" w:rsidTr="00ED2EC7">
        <w:trPr>
          <w:trHeight w:val="853"/>
        </w:trPr>
        <w:tc>
          <w:tcPr>
            <w:tcW w:w="3397" w:type="dxa"/>
            <w:vMerge w:val="restart"/>
            <w:shd w:val="clear" w:color="auto" w:fill="auto"/>
            <w:vAlign w:val="center"/>
            <w:hideMark/>
          </w:tcPr>
          <w:p w14:paraId="1C3C53D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567" w:type="dxa"/>
            <w:vMerge w:val="restart"/>
            <w:shd w:val="clear" w:color="auto" w:fill="auto"/>
            <w:vAlign w:val="center"/>
            <w:hideMark/>
          </w:tcPr>
          <w:p w14:paraId="51681D9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w:t>
            </w:r>
          </w:p>
        </w:tc>
        <w:tc>
          <w:tcPr>
            <w:tcW w:w="2127" w:type="dxa"/>
            <w:gridSpan w:val="2"/>
            <w:shd w:val="clear" w:color="auto" w:fill="auto"/>
            <w:vAlign w:val="center"/>
            <w:hideMark/>
          </w:tcPr>
          <w:p w14:paraId="224316B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 по государственному заданию</w:t>
            </w:r>
          </w:p>
        </w:tc>
        <w:tc>
          <w:tcPr>
            <w:tcW w:w="1984" w:type="dxa"/>
            <w:gridSpan w:val="3"/>
            <w:shd w:val="clear" w:color="auto" w:fill="auto"/>
            <w:vAlign w:val="center"/>
            <w:hideMark/>
          </w:tcPr>
          <w:p w14:paraId="02CA8E6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фактически выполнено </w:t>
            </w:r>
          </w:p>
        </w:tc>
        <w:tc>
          <w:tcPr>
            <w:tcW w:w="1134" w:type="dxa"/>
            <w:vMerge w:val="restart"/>
            <w:shd w:val="clear" w:color="auto" w:fill="auto"/>
            <w:vAlign w:val="center"/>
            <w:hideMark/>
          </w:tcPr>
          <w:p w14:paraId="2FC5897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Отклонение по объему/</w:t>
            </w:r>
          </w:p>
          <w:p w14:paraId="48376CB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сумме, тыс.руб.</w:t>
            </w:r>
          </w:p>
        </w:tc>
      </w:tr>
      <w:tr w:rsidR="00D470B6" w:rsidRPr="00A53AD7" w14:paraId="67A5FECE" w14:textId="77777777" w:rsidTr="00ED2EC7">
        <w:trPr>
          <w:trHeight w:val="212"/>
        </w:trPr>
        <w:tc>
          <w:tcPr>
            <w:tcW w:w="3397" w:type="dxa"/>
            <w:vMerge/>
            <w:vAlign w:val="center"/>
            <w:hideMark/>
          </w:tcPr>
          <w:p w14:paraId="39FBE805" w14:textId="77777777" w:rsidR="00ED2EC7" w:rsidRPr="00A53AD7" w:rsidRDefault="00ED2EC7" w:rsidP="00ED2EC7">
            <w:pPr>
              <w:spacing w:after="0" w:line="240" w:lineRule="auto"/>
              <w:rPr>
                <w:rFonts w:ascii="Times New Roman" w:eastAsia="Times New Roman" w:hAnsi="Times New Roman"/>
                <w:sz w:val="20"/>
                <w:szCs w:val="20"/>
                <w:lang w:eastAsia="ru-RU"/>
              </w:rPr>
            </w:pPr>
          </w:p>
        </w:tc>
        <w:tc>
          <w:tcPr>
            <w:tcW w:w="567" w:type="dxa"/>
            <w:vMerge/>
            <w:vAlign w:val="center"/>
            <w:hideMark/>
          </w:tcPr>
          <w:p w14:paraId="1000D884" w14:textId="77777777" w:rsidR="00ED2EC7" w:rsidRPr="00A53AD7" w:rsidRDefault="00ED2EC7" w:rsidP="00ED2EC7">
            <w:pPr>
              <w:spacing w:after="0" w:line="240" w:lineRule="auto"/>
              <w:rPr>
                <w:rFonts w:ascii="Times New Roman" w:eastAsia="Times New Roman" w:hAnsi="Times New Roman"/>
                <w:sz w:val="20"/>
                <w:szCs w:val="20"/>
                <w:lang w:eastAsia="ru-RU"/>
              </w:rPr>
            </w:pPr>
          </w:p>
        </w:tc>
        <w:tc>
          <w:tcPr>
            <w:tcW w:w="1134" w:type="dxa"/>
            <w:shd w:val="clear" w:color="auto" w:fill="auto"/>
            <w:vAlign w:val="center"/>
            <w:hideMark/>
          </w:tcPr>
          <w:p w14:paraId="0B7F0B7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объем </w:t>
            </w:r>
          </w:p>
        </w:tc>
        <w:tc>
          <w:tcPr>
            <w:tcW w:w="993" w:type="dxa"/>
            <w:shd w:val="clear" w:color="auto" w:fill="auto"/>
            <w:vAlign w:val="center"/>
            <w:hideMark/>
          </w:tcPr>
          <w:p w14:paraId="23E84B1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руб.</w:t>
            </w:r>
          </w:p>
        </w:tc>
        <w:tc>
          <w:tcPr>
            <w:tcW w:w="992" w:type="dxa"/>
            <w:shd w:val="clear" w:color="auto" w:fill="auto"/>
            <w:vAlign w:val="center"/>
            <w:hideMark/>
          </w:tcPr>
          <w:p w14:paraId="2196AB2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объем </w:t>
            </w:r>
          </w:p>
        </w:tc>
        <w:tc>
          <w:tcPr>
            <w:tcW w:w="992" w:type="dxa"/>
            <w:gridSpan w:val="2"/>
            <w:shd w:val="clear" w:color="auto" w:fill="auto"/>
            <w:vAlign w:val="center"/>
            <w:hideMark/>
          </w:tcPr>
          <w:p w14:paraId="2C307DD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тыс.руб.</w:t>
            </w:r>
          </w:p>
        </w:tc>
        <w:tc>
          <w:tcPr>
            <w:tcW w:w="1134" w:type="dxa"/>
            <w:vMerge/>
            <w:vAlign w:val="center"/>
            <w:hideMark/>
          </w:tcPr>
          <w:p w14:paraId="5B585AF3" w14:textId="77777777" w:rsidR="00ED2EC7" w:rsidRPr="00A53AD7" w:rsidRDefault="00ED2EC7" w:rsidP="00ED2EC7">
            <w:pPr>
              <w:spacing w:after="0" w:line="240" w:lineRule="auto"/>
              <w:rPr>
                <w:rFonts w:ascii="Times New Roman" w:eastAsia="Times New Roman" w:hAnsi="Times New Roman"/>
                <w:sz w:val="20"/>
                <w:szCs w:val="20"/>
                <w:lang w:eastAsia="ru-RU"/>
              </w:rPr>
            </w:pPr>
          </w:p>
        </w:tc>
      </w:tr>
      <w:tr w:rsidR="00D470B6" w:rsidRPr="00A53AD7" w14:paraId="6C20EBBE" w14:textId="77777777" w:rsidTr="00ED2EC7">
        <w:trPr>
          <w:trHeight w:val="255"/>
        </w:trPr>
        <w:tc>
          <w:tcPr>
            <w:tcW w:w="9209" w:type="dxa"/>
            <w:gridSpan w:val="8"/>
            <w:shd w:val="clear" w:color="auto" w:fill="auto"/>
            <w:vAlign w:val="center"/>
            <w:hideMark/>
          </w:tcPr>
          <w:p w14:paraId="662D1F9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Тушение лесных пожаров </w:t>
            </w:r>
          </w:p>
        </w:tc>
      </w:tr>
      <w:tr w:rsidR="00D470B6" w:rsidRPr="00A53AD7" w14:paraId="03E20289" w14:textId="77777777" w:rsidTr="00ED2EC7">
        <w:trPr>
          <w:trHeight w:val="255"/>
        </w:trPr>
        <w:tc>
          <w:tcPr>
            <w:tcW w:w="3397" w:type="dxa"/>
            <w:shd w:val="clear" w:color="auto" w:fill="auto"/>
            <w:vAlign w:val="center"/>
            <w:hideMark/>
          </w:tcPr>
          <w:p w14:paraId="4600D1B5"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Ликвидация лесного пожара силами парашютно-десантной службы</w:t>
            </w:r>
          </w:p>
        </w:tc>
        <w:tc>
          <w:tcPr>
            <w:tcW w:w="567" w:type="dxa"/>
            <w:shd w:val="clear" w:color="auto" w:fill="auto"/>
            <w:vAlign w:val="center"/>
            <w:hideMark/>
          </w:tcPr>
          <w:p w14:paraId="2879E5FF"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га</w:t>
            </w:r>
          </w:p>
        </w:tc>
        <w:tc>
          <w:tcPr>
            <w:tcW w:w="1134" w:type="dxa"/>
            <w:shd w:val="clear" w:color="auto" w:fill="auto"/>
            <w:vAlign w:val="center"/>
            <w:hideMark/>
          </w:tcPr>
          <w:p w14:paraId="677927E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278,8700</w:t>
            </w:r>
          </w:p>
        </w:tc>
        <w:tc>
          <w:tcPr>
            <w:tcW w:w="993" w:type="dxa"/>
            <w:shd w:val="clear" w:color="auto" w:fill="auto"/>
            <w:vAlign w:val="center"/>
            <w:hideMark/>
          </w:tcPr>
          <w:p w14:paraId="2DFD831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10 883,6</w:t>
            </w:r>
          </w:p>
        </w:tc>
        <w:tc>
          <w:tcPr>
            <w:tcW w:w="992" w:type="dxa"/>
            <w:shd w:val="clear" w:color="auto" w:fill="auto"/>
            <w:vAlign w:val="center"/>
            <w:hideMark/>
          </w:tcPr>
          <w:p w14:paraId="719AFAF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122,0500</w:t>
            </w:r>
          </w:p>
        </w:tc>
        <w:tc>
          <w:tcPr>
            <w:tcW w:w="992" w:type="dxa"/>
            <w:gridSpan w:val="2"/>
            <w:shd w:val="clear" w:color="auto" w:fill="auto"/>
            <w:vAlign w:val="center"/>
            <w:hideMark/>
          </w:tcPr>
          <w:p w14:paraId="6199FDD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9 841,4</w:t>
            </w:r>
          </w:p>
        </w:tc>
        <w:tc>
          <w:tcPr>
            <w:tcW w:w="1134" w:type="dxa"/>
            <w:shd w:val="clear" w:color="auto" w:fill="auto"/>
            <w:vAlign w:val="center"/>
            <w:hideMark/>
          </w:tcPr>
          <w:p w14:paraId="6BABF88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-156,82/</w:t>
            </w:r>
          </w:p>
          <w:p w14:paraId="3F6AEBB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-1 042,3</w:t>
            </w:r>
          </w:p>
        </w:tc>
      </w:tr>
      <w:tr w:rsidR="00D470B6" w:rsidRPr="00A53AD7" w14:paraId="4965743E" w14:textId="77777777" w:rsidTr="00ED2EC7">
        <w:trPr>
          <w:trHeight w:val="255"/>
        </w:trPr>
        <w:tc>
          <w:tcPr>
            <w:tcW w:w="9209" w:type="dxa"/>
            <w:gridSpan w:val="8"/>
            <w:shd w:val="clear" w:color="auto" w:fill="auto"/>
            <w:vAlign w:val="center"/>
            <w:hideMark/>
          </w:tcPr>
          <w:p w14:paraId="1087EB9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Проведение ухода за лесами</w:t>
            </w:r>
          </w:p>
        </w:tc>
      </w:tr>
      <w:tr w:rsidR="00D470B6" w:rsidRPr="00A53AD7" w14:paraId="17B9D4E3" w14:textId="77777777" w:rsidTr="00ED2EC7">
        <w:trPr>
          <w:trHeight w:val="255"/>
        </w:trPr>
        <w:tc>
          <w:tcPr>
            <w:tcW w:w="3397" w:type="dxa"/>
            <w:shd w:val="clear" w:color="auto" w:fill="auto"/>
            <w:noWrap/>
            <w:vAlign w:val="bottom"/>
            <w:hideMark/>
          </w:tcPr>
          <w:p w14:paraId="54294271"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Рубки </w:t>
            </w:r>
          </w:p>
        </w:tc>
        <w:tc>
          <w:tcPr>
            <w:tcW w:w="567" w:type="dxa"/>
            <w:shd w:val="clear" w:color="auto" w:fill="auto"/>
            <w:noWrap/>
            <w:vAlign w:val="bottom"/>
            <w:hideMark/>
          </w:tcPr>
          <w:p w14:paraId="4DE6D3AC"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га</w:t>
            </w:r>
          </w:p>
        </w:tc>
        <w:tc>
          <w:tcPr>
            <w:tcW w:w="1134" w:type="dxa"/>
            <w:shd w:val="clear" w:color="auto" w:fill="auto"/>
            <w:noWrap/>
            <w:vAlign w:val="bottom"/>
            <w:hideMark/>
          </w:tcPr>
          <w:p w14:paraId="2B53598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600,0</w:t>
            </w:r>
          </w:p>
        </w:tc>
        <w:tc>
          <w:tcPr>
            <w:tcW w:w="993" w:type="dxa"/>
            <w:shd w:val="clear" w:color="auto" w:fill="auto"/>
            <w:noWrap/>
            <w:vAlign w:val="bottom"/>
            <w:hideMark/>
          </w:tcPr>
          <w:p w14:paraId="379E8D6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375,4</w:t>
            </w:r>
          </w:p>
        </w:tc>
        <w:tc>
          <w:tcPr>
            <w:tcW w:w="992" w:type="dxa"/>
            <w:shd w:val="clear" w:color="auto" w:fill="auto"/>
            <w:noWrap/>
            <w:vAlign w:val="bottom"/>
            <w:hideMark/>
          </w:tcPr>
          <w:p w14:paraId="58A3577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599,08,</w:t>
            </w:r>
          </w:p>
        </w:tc>
        <w:tc>
          <w:tcPr>
            <w:tcW w:w="992" w:type="dxa"/>
            <w:gridSpan w:val="2"/>
            <w:shd w:val="clear" w:color="auto" w:fill="auto"/>
            <w:noWrap/>
            <w:vAlign w:val="bottom"/>
            <w:hideMark/>
          </w:tcPr>
          <w:p w14:paraId="0D5F997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374,9</w:t>
            </w:r>
          </w:p>
        </w:tc>
        <w:tc>
          <w:tcPr>
            <w:tcW w:w="1134" w:type="dxa"/>
            <w:shd w:val="clear" w:color="auto" w:fill="auto"/>
            <w:vAlign w:val="center"/>
            <w:hideMark/>
          </w:tcPr>
          <w:p w14:paraId="27905D2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-0,92/</w:t>
            </w:r>
          </w:p>
          <w:p w14:paraId="6851731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-0,576</w:t>
            </w:r>
          </w:p>
        </w:tc>
      </w:tr>
      <w:tr w:rsidR="00D470B6" w:rsidRPr="00A53AD7" w14:paraId="6AA1C87E" w14:textId="77777777" w:rsidTr="00ED2EC7">
        <w:trPr>
          <w:trHeight w:val="255"/>
        </w:trPr>
        <w:tc>
          <w:tcPr>
            <w:tcW w:w="9209" w:type="dxa"/>
            <w:gridSpan w:val="8"/>
            <w:shd w:val="clear" w:color="auto" w:fill="auto"/>
            <w:noWrap/>
            <w:vAlign w:val="bottom"/>
          </w:tcPr>
          <w:p w14:paraId="4F28C88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tc>
      </w:tr>
      <w:tr w:rsidR="00D470B6" w:rsidRPr="00A53AD7" w14:paraId="1284D160" w14:textId="77777777" w:rsidTr="00ED2EC7">
        <w:trPr>
          <w:trHeight w:val="255"/>
        </w:trPr>
        <w:tc>
          <w:tcPr>
            <w:tcW w:w="9209" w:type="dxa"/>
            <w:gridSpan w:val="8"/>
            <w:shd w:val="clear" w:color="auto" w:fill="auto"/>
            <w:noWrap/>
            <w:vAlign w:val="bottom"/>
            <w:hideMark/>
          </w:tcPr>
          <w:p w14:paraId="5B9587B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Выполнение работ по отводу лесосек</w:t>
            </w:r>
          </w:p>
        </w:tc>
      </w:tr>
      <w:tr w:rsidR="00D470B6" w:rsidRPr="00A53AD7" w14:paraId="62DFDFD7" w14:textId="77777777" w:rsidTr="00ED2EC7">
        <w:trPr>
          <w:trHeight w:val="510"/>
        </w:trPr>
        <w:tc>
          <w:tcPr>
            <w:tcW w:w="3397" w:type="dxa"/>
            <w:shd w:val="clear" w:color="auto" w:fill="auto"/>
            <w:vAlign w:val="center"/>
            <w:hideMark/>
          </w:tcPr>
          <w:p w14:paraId="0C610B72"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Отвод лесосек под рубки, проводимые в целях ухода за лесами</w:t>
            </w:r>
          </w:p>
        </w:tc>
        <w:tc>
          <w:tcPr>
            <w:tcW w:w="567" w:type="dxa"/>
            <w:shd w:val="clear" w:color="auto" w:fill="auto"/>
            <w:noWrap/>
            <w:vAlign w:val="bottom"/>
            <w:hideMark/>
          </w:tcPr>
          <w:p w14:paraId="0200D767"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га</w:t>
            </w:r>
          </w:p>
        </w:tc>
        <w:tc>
          <w:tcPr>
            <w:tcW w:w="1134" w:type="dxa"/>
            <w:shd w:val="clear" w:color="auto" w:fill="auto"/>
            <w:noWrap/>
            <w:vAlign w:val="bottom"/>
            <w:hideMark/>
          </w:tcPr>
          <w:p w14:paraId="75544CB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600,0</w:t>
            </w:r>
          </w:p>
        </w:tc>
        <w:tc>
          <w:tcPr>
            <w:tcW w:w="993" w:type="dxa"/>
            <w:shd w:val="clear" w:color="auto" w:fill="auto"/>
            <w:noWrap/>
            <w:vAlign w:val="bottom"/>
            <w:hideMark/>
          </w:tcPr>
          <w:p w14:paraId="3E10724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1 585,3</w:t>
            </w:r>
          </w:p>
        </w:tc>
        <w:tc>
          <w:tcPr>
            <w:tcW w:w="992" w:type="dxa"/>
            <w:shd w:val="clear" w:color="auto" w:fill="auto"/>
            <w:noWrap/>
            <w:vAlign w:val="bottom"/>
            <w:hideMark/>
          </w:tcPr>
          <w:p w14:paraId="17FC341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599,08</w:t>
            </w:r>
          </w:p>
        </w:tc>
        <w:tc>
          <w:tcPr>
            <w:tcW w:w="992" w:type="dxa"/>
            <w:gridSpan w:val="2"/>
            <w:shd w:val="clear" w:color="auto" w:fill="auto"/>
            <w:noWrap/>
            <w:vAlign w:val="bottom"/>
            <w:hideMark/>
          </w:tcPr>
          <w:p w14:paraId="4167B96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1 582,9</w:t>
            </w:r>
          </w:p>
        </w:tc>
        <w:tc>
          <w:tcPr>
            <w:tcW w:w="1134" w:type="dxa"/>
            <w:shd w:val="clear" w:color="auto" w:fill="auto"/>
            <w:vAlign w:val="center"/>
            <w:hideMark/>
          </w:tcPr>
          <w:p w14:paraId="433FF30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-0,92/</w:t>
            </w:r>
          </w:p>
          <w:p w14:paraId="075BABF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w:t>
            </w:r>
          </w:p>
        </w:tc>
      </w:tr>
      <w:tr w:rsidR="00D470B6" w:rsidRPr="00A53AD7" w14:paraId="78ACD4FC" w14:textId="77777777" w:rsidTr="00ED2EC7">
        <w:trPr>
          <w:trHeight w:val="255"/>
        </w:trPr>
        <w:tc>
          <w:tcPr>
            <w:tcW w:w="9209" w:type="dxa"/>
            <w:gridSpan w:val="8"/>
            <w:shd w:val="clear" w:color="auto" w:fill="auto"/>
            <w:noWrap/>
            <w:vAlign w:val="bottom"/>
            <w:hideMark/>
          </w:tcPr>
          <w:p w14:paraId="419B2A2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Мониторинг пожарной опасности в лесах и лесных пожаров</w:t>
            </w:r>
          </w:p>
        </w:tc>
      </w:tr>
      <w:tr w:rsidR="00D470B6" w:rsidRPr="00A53AD7" w14:paraId="3D93FCD5" w14:textId="77777777" w:rsidTr="00ED2EC7">
        <w:trPr>
          <w:trHeight w:val="510"/>
        </w:trPr>
        <w:tc>
          <w:tcPr>
            <w:tcW w:w="3397" w:type="dxa"/>
            <w:shd w:val="clear" w:color="auto" w:fill="auto"/>
            <w:vAlign w:val="center"/>
            <w:hideMark/>
          </w:tcPr>
          <w:p w14:paraId="1973B7F1"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Организация авиационного мониторинга путем авиационного патрулирования с использованием воздушных судов</w:t>
            </w:r>
          </w:p>
        </w:tc>
        <w:tc>
          <w:tcPr>
            <w:tcW w:w="567" w:type="dxa"/>
            <w:shd w:val="clear" w:color="auto" w:fill="auto"/>
            <w:noWrap/>
            <w:vAlign w:val="bottom"/>
            <w:hideMark/>
          </w:tcPr>
          <w:p w14:paraId="07645DB7" w14:textId="77777777" w:rsidR="00ED2EC7" w:rsidRPr="00A53AD7" w:rsidRDefault="00ED2EC7" w:rsidP="00ED2EC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Летный час </w:t>
            </w:r>
          </w:p>
        </w:tc>
        <w:tc>
          <w:tcPr>
            <w:tcW w:w="1134" w:type="dxa"/>
            <w:shd w:val="clear" w:color="auto" w:fill="auto"/>
            <w:noWrap/>
            <w:vAlign w:val="bottom"/>
            <w:hideMark/>
          </w:tcPr>
          <w:p w14:paraId="306BDBB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944,370</w:t>
            </w:r>
          </w:p>
        </w:tc>
        <w:tc>
          <w:tcPr>
            <w:tcW w:w="993" w:type="dxa"/>
            <w:shd w:val="clear" w:color="auto" w:fill="auto"/>
            <w:noWrap/>
            <w:vAlign w:val="bottom"/>
            <w:hideMark/>
          </w:tcPr>
          <w:p w14:paraId="34D8079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49 513,6</w:t>
            </w:r>
          </w:p>
        </w:tc>
        <w:tc>
          <w:tcPr>
            <w:tcW w:w="992" w:type="dxa"/>
            <w:shd w:val="clear" w:color="auto" w:fill="auto"/>
            <w:noWrap/>
            <w:vAlign w:val="bottom"/>
            <w:hideMark/>
          </w:tcPr>
          <w:p w14:paraId="5EA71F9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943,750</w:t>
            </w:r>
          </w:p>
        </w:tc>
        <w:tc>
          <w:tcPr>
            <w:tcW w:w="992" w:type="dxa"/>
            <w:gridSpan w:val="2"/>
            <w:shd w:val="clear" w:color="auto" w:fill="auto"/>
            <w:noWrap/>
            <w:vAlign w:val="bottom"/>
            <w:hideMark/>
          </w:tcPr>
          <w:p w14:paraId="4C73BC7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49 481,0</w:t>
            </w:r>
          </w:p>
        </w:tc>
        <w:tc>
          <w:tcPr>
            <w:tcW w:w="1134" w:type="dxa"/>
            <w:shd w:val="clear" w:color="auto" w:fill="auto"/>
            <w:vAlign w:val="center"/>
            <w:hideMark/>
          </w:tcPr>
          <w:p w14:paraId="0F13296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-0,62/</w:t>
            </w:r>
          </w:p>
          <w:p w14:paraId="6D28496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-32,5</w:t>
            </w:r>
          </w:p>
        </w:tc>
      </w:tr>
      <w:tr w:rsidR="00ED2EC7" w:rsidRPr="00A53AD7" w14:paraId="7DDEE9F5" w14:textId="77777777" w:rsidTr="00ED2EC7">
        <w:trPr>
          <w:trHeight w:val="328"/>
        </w:trPr>
        <w:tc>
          <w:tcPr>
            <w:tcW w:w="3397" w:type="dxa"/>
            <w:shd w:val="clear" w:color="auto" w:fill="auto"/>
            <w:vAlign w:val="center"/>
          </w:tcPr>
          <w:p w14:paraId="7157551D" w14:textId="77777777" w:rsidR="00ED2EC7" w:rsidRPr="00A53AD7" w:rsidRDefault="00ED2EC7" w:rsidP="00ED2EC7">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Итого по финансовому обеспечению, тыс.руб.</w:t>
            </w:r>
          </w:p>
        </w:tc>
        <w:tc>
          <w:tcPr>
            <w:tcW w:w="567" w:type="dxa"/>
            <w:shd w:val="clear" w:color="auto" w:fill="auto"/>
            <w:noWrap/>
            <w:vAlign w:val="bottom"/>
          </w:tcPr>
          <w:p w14:paraId="3E691C4B" w14:textId="77777777" w:rsidR="00ED2EC7" w:rsidRPr="00A53AD7" w:rsidRDefault="00ED2EC7" w:rsidP="00ED2EC7">
            <w:pPr>
              <w:spacing w:after="0" w:line="240" w:lineRule="auto"/>
              <w:rPr>
                <w:rFonts w:ascii="Times New Roman" w:eastAsia="Times New Roman" w:hAnsi="Times New Roman"/>
                <w:b/>
                <w:sz w:val="20"/>
                <w:szCs w:val="20"/>
                <w:lang w:eastAsia="ru-RU"/>
              </w:rPr>
            </w:pPr>
          </w:p>
        </w:tc>
        <w:tc>
          <w:tcPr>
            <w:tcW w:w="1134" w:type="dxa"/>
            <w:shd w:val="clear" w:color="auto" w:fill="auto"/>
            <w:noWrap/>
          </w:tcPr>
          <w:p w14:paraId="616F2C4E" w14:textId="77777777" w:rsidR="00ED2EC7" w:rsidRPr="00A53AD7" w:rsidRDefault="00ED2EC7" w:rsidP="00ED2EC7">
            <w:pPr>
              <w:spacing w:after="0" w:line="240" w:lineRule="auto"/>
              <w:rPr>
                <w:rFonts w:ascii="Times New Roman" w:eastAsia="Times New Roman" w:hAnsi="Times New Roman"/>
                <w:b/>
                <w:sz w:val="20"/>
                <w:szCs w:val="20"/>
                <w:lang w:eastAsia="ru-RU"/>
              </w:rPr>
            </w:pPr>
          </w:p>
        </w:tc>
        <w:tc>
          <w:tcPr>
            <w:tcW w:w="993" w:type="dxa"/>
            <w:shd w:val="clear" w:color="auto" w:fill="auto"/>
            <w:noWrap/>
          </w:tcPr>
          <w:p w14:paraId="01039BFC" w14:textId="77777777" w:rsidR="00ED2EC7" w:rsidRPr="00A53AD7" w:rsidRDefault="00ED2EC7" w:rsidP="00ED2EC7">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62357,9</w:t>
            </w:r>
          </w:p>
        </w:tc>
        <w:tc>
          <w:tcPr>
            <w:tcW w:w="992" w:type="dxa"/>
            <w:shd w:val="clear" w:color="auto" w:fill="auto"/>
            <w:noWrap/>
          </w:tcPr>
          <w:p w14:paraId="0283B864" w14:textId="77777777" w:rsidR="00ED2EC7" w:rsidRPr="00A53AD7" w:rsidRDefault="00ED2EC7" w:rsidP="00ED2EC7">
            <w:pPr>
              <w:spacing w:after="0" w:line="240" w:lineRule="auto"/>
              <w:rPr>
                <w:rFonts w:ascii="Times New Roman" w:eastAsia="Times New Roman" w:hAnsi="Times New Roman"/>
                <w:b/>
                <w:sz w:val="20"/>
                <w:szCs w:val="20"/>
                <w:lang w:eastAsia="ru-RU"/>
              </w:rPr>
            </w:pPr>
          </w:p>
        </w:tc>
        <w:tc>
          <w:tcPr>
            <w:tcW w:w="963" w:type="dxa"/>
            <w:shd w:val="clear" w:color="auto" w:fill="auto"/>
            <w:noWrap/>
          </w:tcPr>
          <w:p w14:paraId="12457D65" w14:textId="77777777" w:rsidR="00ED2EC7" w:rsidRPr="00A53AD7" w:rsidRDefault="00ED2EC7" w:rsidP="00ED2EC7">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61280,1</w:t>
            </w:r>
          </w:p>
        </w:tc>
        <w:tc>
          <w:tcPr>
            <w:tcW w:w="1163" w:type="dxa"/>
            <w:gridSpan w:val="2"/>
            <w:shd w:val="clear" w:color="auto" w:fill="auto"/>
          </w:tcPr>
          <w:p w14:paraId="0EE838FD" w14:textId="77777777" w:rsidR="00ED2EC7" w:rsidRPr="00A53AD7" w:rsidRDefault="00ED2EC7" w:rsidP="00ED2EC7">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 xml:space="preserve">-1 077,8 </w:t>
            </w:r>
          </w:p>
        </w:tc>
      </w:tr>
    </w:tbl>
    <w:p w14:paraId="6BC24C5B" w14:textId="77777777" w:rsidR="00ED2EC7" w:rsidRPr="00A53AD7" w:rsidRDefault="00ED2EC7" w:rsidP="00ED2EC7">
      <w:pPr>
        <w:pStyle w:val="ad"/>
        <w:ind w:firstLine="709"/>
        <w:jc w:val="both"/>
        <w:rPr>
          <w:rFonts w:ascii="Times New Roman" w:hAnsi="Times New Roman"/>
          <w:sz w:val="28"/>
          <w:szCs w:val="28"/>
          <w:highlight w:val="cyan"/>
          <w:shd w:val="clear" w:color="auto" w:fill="FFFFFF"/>
        </w:rPr>
      </w:pPr>
    </w:p>
    <w:p w14:paraId="17F83A52"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По итогам 2019 года фактическая площадь пожаров составила 278 га, при плановых расчетных показателях 435 га.</w:t>
      </w:r>
    </w:p>
    <w:p w14:paraId="28E207A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Возврат средств в сумме 1,077 млн.руб. в федеральный бюджет осуществлён ГАУ АО «ЕЛЦ» в январе 2020 года.</w:t>
      </w:r>
    </w:p>
    <w:p w14:paraId="1CC59C1B" w14:textId="316BA46C" w:rsidR="00ED2EC7" w:rsidRPr="00A53AD7" w:rsidRDefault="00ED2EC7" w:rsidP="00ED2EC7">
      <w:pPr>
        <w:pStyle w:val="3"/>
        <w:spacing w:line="240" w:lineRule="auto"/>
        <w:jc w:val="center"/>
        <w:rPr>
          <w:rFonts w:ascii="Times New Roman" w:hAnsi="Times New Roman"/>
          <w:b w:val="0"/>
          <w:sz w:val="28"/>
          <w:szCs w:val="28"/>
          <w:u w:val="single"/>
          <w:lang w:val="ru-RU"/>
        </w:rPr>
      </w:pPr>
      <w:bookmarkStart w:id="89" w:name="_Toc42006737"/>
      <w:r w:rsidRPr="00A53AD7">
        <w:rPr>
          <w:rFonts w:ascii="Times New Roman" w:hAnsi="Times New Roman"/>
          <w:b w:val="0"/>
          <w:sz w:val="28"/>
          <w:szCs w:val="28"/>
          <w:u w:val="single"/>
          <w:lang w:val="ru-RU"/>
        </w:rPr>
        <w:t xml:space="preserve">4.2.16. </w:t>
      </w:r>
      <w:r w:rsidRPr="00A53AD7">
        <w:rPr>
          <w:rFonts w:ascii="Times New Roman" w:hAnsi="Times New Roman"/>
          <w:b w:val="0"/>
          <w:sz w:val="28"/>
          <w:szCs w:val="28"/>
          <w:u w:val="single"/>
        </w:rPr>
        <w:t xml:space="preserve">Государственная программа Архангельской области </w:t>
      </w:r>
      <w:r w:rsidRPr="00A53AD7">
        <w:rPr>
          <w:rFonts w:ascii="Times New Roman" w:hAnsi="Times New Roman"/>
          <w:b w:val="0"/>
          <w:sz w:val="28"/>
          <w:szCs w:val="28"/>
          <w:u w:val="single"/>
          <w:lang w:val="ru-RU"/>
        </w:rPr>
        <w:t>«</w:t>
      </w:r>
      <w:r w:rsidRPr="00A53AD7">
        <w:rPr>
          <w:rFonts w:ascii="Times New Roman" w:hAnsi="Times New Roman"/>
          <w:b w:val="0"/>
          <w:sz w:val="28"/>
          <w:szCs w:val="28"/>
          <w:u w:val="single"/>
        </w:rPr>
        <w:t>Развитие энергетики и жилищно-коммунального хозяйства Архангельской области</w:t>
      </w:r>
      <w:r w:rsidRPr="00A53AD7">
        <w:rPr>
          <w:rFonts w:ascii="Times New Roman" w:hAnsi="Times New Roman"/>
          <w:b w:val="0"/>
          <w:sz w:val="28"/>
          <w:szCs w:val="28"/>
          <w:u w:val="single"/>
          <w:lang w:val="ru-RU"/>
        </w:rPr>
        <w:t>»</w:t>
      </w:r>
      <w:bookmarkEnd w:id="89"/>
    </w:p>
    <w:p w14:paraId="7219B78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об исполнении программных мероприятий в динамике с начала действия госпрограммы в разрезе подпрограмм и источников финансирования и подпрограмм представлена в таблице и графически:</w:t>
      </w:r>
      <w:r w:rsidRPr="00A53AD7">
        <w:rPr>
          <w:rFonts w:ascii="Times New Roman" w:hAnsi="Times New Roman"/>
          <w:sz w:val="28"/>
          <w:szCs w:val="28"/>
        </w:rPr>
        <w:tab/>
      </w:r>
    </w:p>
    <w:tbl>
      <w:tblPr>
        <w:tblW w:w="4913"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1"/>
        <w:gridCol w:w="694"/>
        <w:gridCol w:w="704"/>
        <w:gridCol w:w="700"/>
        <w:gridCol w:w="777"/>
        <w:gridCol w:w="702"/>
        <w:gridCol w:w="704"/>
        <w:gridCol w:w="700"/>
        <w:gridCol w:w="700"/>
      </w:tblGrid>
      <w:tr w:rsidR="00D470B6" w:rsidRPr="00A53AD7" w14:paraId="1E026652" w14:textId="77777777" w:rsidTr="00ED2EC7">
        <w:trPr>
          <w:trHeight w:val="180"/>
          <w:tblHeader/>
          <w:jc w:val="center"/>
        </w:trPr>
        <w:tc>
          <w:tcPr>
            <w:tcW w:w="1900" w:type="pct"/>
            <w:vMerge w:val="restart"/>
            <w:vAlign w:val="center"/>
          </w:tcPr>
          <w:p w14:paraId="5FA1999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показателя</w:t>
            </w:r>
          </w:p>
        </w:tc>
        <w:tc>
          <w:tcPr>
            <w:tcW w:w="2336" w:type="pct"/>
            <w:gridSpan w:val="6"/>
            <w:vAlign w:val="center"/>
          </w:tcPr>
          <w:p w14:paraId="558E2BDE" w14:textId="13A3FEB6" w:rsidR="00ED2EC7" w:rsidRPr="00A53AD7" w:rsidRDefault="00163D1C"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Фактические расходы, млн.</w:t>
            </w:r>
            <w:r w:rsidR="00ED2EC7" w:rsidRPr="00A53AD7">
              <w:rPr>
                <w:rFonts w:ascii="Times New Roman" w:eastAsia="Times New Roman" w:hAnsi="Times New Roman"/>
                <w:sz w:val="20"/>
                <w:szCs w:val="20"/>
                <w:lang w:eastAsia="ru-RU"/>
              </w:rPr>
              <w:t>руб.</w:t>
            </w:r>
          </w:p>
        </w:tc>
        <w:tc>
          <w:tcPr>
            <w:tcW w:w="382" w:type="pct"/>
            <w:vMerge w:val="restart"/>
            <w:vAlign w:val="center"/>
          </w:tcPr>
          <w:p w14:paraId="4A35C0B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2018, %</w:t>
            </w:r>
          </w:p>
        </w:tc>
        <w:tc>
          <w:tcPr>
            <w:tcW w:w="382" w:type="pct"/>
            <w:vMerge w:val="restart"/>
            <w:vAlign w:val="center"/>
          </w:tcPr>
          <w:p w14:paraId="0B2ED08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45F02167" w14:textId="77777777" w:rsidTr="00ED2EC7">
        <w:trPr>
          <w:trHeight w:val="270"/>
          <w:tblHeader/>
          <w:jc w:val="center"/>
        </w:trPr>
        <w:tc>
          <w:tcPr>
            <w:tcW w:w="1900" w:type="pct"/>
            <w:vMerge/>
            <w:vAlign w:val="center"/>
          </w:tcPr>
          <w:p w14:paraId="5D1C0FC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tc>
        <w:tc>
          <w:tcPr>
            <w:tcW w:w="379" w:type="pct"/>
            <w:vAlign w:val="center"/>
          </w:tcPr>
          <w:p w14:paraId="1895799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384" w:type="pct"/>
            <w:vAlign w:val="center"/>
          </w:tcPr>
          <w:p w14:paraId="39676AB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382" w:type="pct"/>
            <w:vAlign w:val="center"/>
          </w:tcPr>
          <w:p w14:paraId="4F75601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424" w:type="pct"/>
            <w:vAlign w:val="center"/>
          </w:tcPr>
          <w:p w14:paraId="64F4575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383" w:type="pct"/>
            <w:vAlign w:val="center"/>
          </w:tcPr>
          <w:p w14:paraId="0CC8015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384" w:type="pct"/>
            <w:vAlign w:val="center"/>
          </w:tcPr>
          <w:p w14:paraId="6FE86B2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tc>
        <w:tc>
          <w:tcPr>
            <w:tcW w:w="382" w:type="pct"/>
            <w:vMerge/>
            <w:vAlign w:val="center"/>
          </w:tcPr>
          <w:p w14:paraId="42639D5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tc>
        <w:tc>
          <w:tcPr>
            <w:tcW w:w="382" w:type="pct"/>
            <w:vMerge/>
            <w:vAlign w:val="center"/>
          </w:tcPr>
          <w:p w14:paraId="0299161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tc>
      </w:tr>
      <w:tr w:rsidR="00D470B6" w:rsidRPr="00A53AD7" w14:paraId="05CD1A43" w14:textId="77777777" w:rsidTr="00ED2EC7">
        <w:trPr>
          <w:trHeight w:val="194"/>
          <w:tblHeader/>
          <w:jc w:val="center"/>
        </w:trPr>
        <w:tc>
          <w:tcPr>
            <w:tcW w:w="1900" w:type="pct"/>
            <w:vAlign w:val="center"/>
          </w:tcPr>
          <w:p w14:paraId="283E521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w:t>
            </w:r>
          </w:p>
        </w:tc>
        <w:tc>
          <w:tcPr>
            <w:tcW w:w="379" w:type="pct"/>
          </w:tcPr>
          <w:p w14:paraId="79E0663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w:t>
            </w:r>
          </w:p>
        </w:tc>
        <w:tc>
          <w:tcPr>
            <w:tcW w:w="384" w:type="pct"/>
          </w:tcPr>
          <w:p w14:paraId="30BE43B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w:t>
            </w:r>
          </w:p>
        </w:tc>
        <w:tc>
          <w:tcPr>
            <w:tcW w:w="382" w:type="pct"/>
          </w:tcPr>
          <w:p w14:paraId="0E38A78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w:t>
            </w:r>
          </w:p>
        </w:tc>
        <w:tc>
          <w:tcPr>
            <w:tcW w:w="424" w:type="pct"/>
            <w:vAlign w:val="center"/>
          </w:tcPr>
          <w:p w14:paraId="2E7F12E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w:t>
            </w:r>
          </w:p>
        </w:tc>
        <w:tc>
          <w:tcPr>
            <w:tcW w:w="383" w:type="pct"/>
            <w:vAlign w:val="center"/>
          </w:tcPr>
          <w:p w14:paraId="5C03DD6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w:t>
            </w:r>
          </w:p>
        </w:tc>
        <w:tc>
          <w:tcPr>
            <w:tcW w:w="384" w:type="pct"/>
            <w:vAlign w:val="center"/>
          </w:tcPr>
          <w:p w14:paraId="1B50F9C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w:t>
            </w:r>
          </w:p>
        </w:tc>
        <w:tc>
          <w:tcPr>
            <w:tcW w:w="382" w:type="pct"/>
            <w:vAlign w:val="center"/>
          </w:tcPr>
          <w:p w14:paraId="0C8B26D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w:t>
            </w:r>
          </w:p>
        </w:tc>
        <w:tc>
          <w:tcPr>
            <w:tcW w:w="382" w:type="pct"/>
            <w:vAlign w:val="center"/>
          </w:tcPr>
          <w:p w14:paraId="515D5D3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w:t>
            </w:r>
          </w:p>
        </w:tc>
      </w:tr>
      <w:tr w:rsidR="00D470B6" w:rsidRPr="00A53AD7" w14:paraId="7BA47CB1" w14:textId="77777777" w:rsidTr="00ED2EC7">
        <w:trPr>
          <w:trHeight w:val="210"/>
          <w:jc w:val="center"/>
        </w:trPr>
        <w:tc>
          <w:tcPr>
            <w:tcW w:w="1900" w:type="pct"/>
            <w:vAlign w:val="center"/>
          </w:tcPr>
          <w:p w14:paraId="287540AD" w14:textId="77777777" w:rsidR="00ED2EC7" w:rsidRPr="00A53AD7" w:rsidRDefault="00ED2EC7" w:rsidP="00ED2EC7">
            <w:pPr>
              <w:tabs>
                <w:tab w:val="left" w:pos="253"/>
              </w:tabs>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 расходов по программе</w:t>
            </w:r>
          </w:p>
        </w:tc>
        <w:tc>
          <w:tcPr>
            <w:tcW w:w="379" w:type="pct"/>
          </w:tcPr>
          <w:p w14:paraId="353EF980"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iCs/>
                <w:sz w:val="20"/>
                <w:szCs w:val="20"/>
                <w:lang w:eastAsia="ru-RU"/>
              </w:rPr>
              <w:t>4321,3</w:t>
            </w:r>
          </w:p>
        </w:tc>
        <w:tc>
          <w:tcPr>
            <w:tcW w:w="384" w:type="pct"/>
          </w:tcPr>
          <w:p w14:paraId="4BF6765F"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iCs/>
                <w:sz w:val="20"/>
                <w:szCs w:val="20"/>
                <w:lang w:eastAsia="ru-RU"/>
              </w:rPr>
              <w:t>4424,3</w:t>
            </w:r>
          </w:p>
        </w:tc>
        <w:tc>
          <w:tcPr>
            <w:tcW w:w="382" w:type="pct"/>
          </w:tcPr>
          <w:p w14:paraId="4927F04E"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iCs/>
                <w:sz w:val="20"/>
                <w:szCs w:val="20"/>
                <w:lang w:eastAsia="ru-RU"/>
              </w:rPr>
              <w:t>5 051,2</w:t>
            </w:r>
          </w:p>
        </w:tc>
        <w:tc>
          <w:tcPr>
            <w:tcW w:w="424" w:type="pct"/>
            <w:vAlign w:val="center"/>
          </w:tcPr>
          <w:p w14:paraId="1C3AB95A"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iCs/>
                <w:sz w:val="20"/>
                <w:szCs w:val="20"/>
                <w:lang w:eastAsia="ru-RU"/>
              </w:rPr>
              <w:t>5 688,8</w:t>
            </w:r>
          </w:p>
        </w:tc>
        <w:tc>
          <w:tcPr>
            <w:tcW w:w="383" w:type="pct"/>
            <w:vAlign w:val="center"/>
          </w:tcPr>
          <w:p w14:paraId="13E58372"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iCs/>
                <w:sz w:val="20"/>
                <w:szCs w:val="20"/>
                <w:lang w:eastAsia="ru-RU"/>
              </w:rPr>
              <w:t>5 698,8</w:t>
            </w:r>
          </w:p>
        </w:tc>
        <w:tc>
          <w:tcPr>
            <w:tcW w:w="384" w:type="pct"/>
            <w:vAlign w:val="center"/>
          </w:tcPr>
          <w:p w14:paraId="66F06668" w14:textId="77777777" w:rsidR="00ED2EC7" w:rsidRPr="00A53AD7" w:rsidRDefault="00ED2EC7" w:rsidP="00ED2EC7">
            <w:pPr>
              <w:spacing w:after="0" w:line="240" w:lineRule="auto"/>
              <w:jc w:val="center"/>
              <w:rPr>
                <w:rFonts w:ascii="Times New Roman" w:eastAsia="Times New Roman" w:hAnsi="Times New Roman"/>
                <w:b/>
                <w:iCs/>
                <w:sz w:val="20"/>
                <w:szCs w:val="20"/>
                <w:lang w:eastAsia="ru-RU"/>
              </w:rPr>
            </w:pPr>
            <w:r w:rsidRPr="00A53AD7">
              <w:rPr>
                <w:rFonts w:ascii="Times New Roman" w:eastAsia="Times New Roman" w:hAnsi="Times New Roman"/>
                <w:b/>
                <w:sz w:val="20"/>
                <w:szCs w:val="20"/>
              </w:rPr>
              <w:t>6 345,0</w:t>
            </w:r>
          </w:p>
        </w:tc>
        <w:tc>
          <w:tcPr>
            <w:tcW w:w="382" w:type="pct"/>
          </w:tcPr>
          <w:p w14:paraId="2F959440" w14:textId="77777777" w:rsidR="00ED2EC7" w:rsidRPr="00A53AD7" w:rsidRDefault="00ED2EC7" w:rsidP="00ED2EC7">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111,3</w:t>
            </w:r>
          </w:p>
        </w:tc>
        <w:tc>
          <w:tcPr>
            <w:tcW w:w="382" w:type="pct"/>
            <w:vAlign w:val="center"/>
          </w:tcPr>
          <w:p w14:paraId="18652761" w14:textId="77777777" w:rsidR="00ED2EC7" w:rsidRPr="00A53AD7" w:rsidRDefault="00ED2EC7" w:rsidP="00ED2EC7">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146,8</w:t>
            </w:r>
          </w:p>
        </w:tc>
      </w:tr>
      <w:tr w:rsidR="00D470B6" w:rsidRPr="00A53AD7" w14:paraId="631F5C22" w14:textId="77777777" w:rsidTr="00ED2EC7">
        <w:trPr>
          <w:trHeight w:val="210"/>
          <w:jc w:val="center"/>
        </w:trPr>
        <w:tc>
          <w:tcPr>
            <w:tcW w:w="1900" w:type="pct"/>
            <w:vAlign w:val="center"/>
          </w:tcPr>
          <w:p w14:paraId="705084F0"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Федеральный бюджет</w:t>
            </w:r>
          </w:p>
        </w:tc>
        <w:tc>
          <w:tcPr>
            <w:tcW w:w="379" w:type="pct"/>
          </w:tcPr>
          <w:p w14:paraId="5C08E81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151,6</w:t>
            </w:r>
          </w:p>
        </w:tc>
        <w:tc>
          <w:tcPr>
            <w:tcW w:w="384" w:type="pct"/>
          </w:tcPr>
          <w:p w14:paraId="5CBCB2C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c>
          <w:tcPr>
            <w:tcW w:w="382" w:type="pct"/>
          </w:tcPr>
          <w:p w14:paraId="4E22DF1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c>
          <w:tcPr>
            <w:tcW w:w="424" w:type="pct"/>
            <w:vAlign w:val="center"/>
          </w:tcPr>
          <w:p w14:paraId="2AD4958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259,1</w:t>
            </w:r>
          </w:p>
        </w:tc>
        <w:tc>
          <w:tcPr>
            <w:tcW w:w="383" w:type="pct"/>
            <w:vAlign w:val="center"/>
          </w:tcPr>
          <w:p w14:paraId="3879034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20,8</w:t>
            </w:r>
          </w:p>
        </w:tc>
        <w:tc>
          <w:tcPr>
            <w:tcW w:w="384" w:type="pct"/>
            <w:vAlign w:val="center"/>
          </w:tcPr>
          <w:p w14:paraId="1580A81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33,2</w:t>
            </w:r>
          </w:p>
        </w:tc>
        <w:tc>
          <w:tcPr>
            <w:tcW w:w="382" w:type="pct"/>
          </w:tcPr>
          <w:p w14:paraId="03BC8120"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159,6</w:t>
            </w:r>
          </w:p>
        </w:tc>
        <w:tc>
          <w:tcPr>
            <w:tcW w:w="382" w:type="pct"/>
            <w:vAlign w:val="center"/>
          </w:tcPr>
          <w:p w14:paraId="71B26025"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21,9</w:t>
            </w:r>
          </w:p>
        </w:tc>
      </w:tr>
      <w:tr w:rsidR="00D470B6" w:rsidRPr="00A53AD7" w14:paraId="02271852" w14:textId="77777777" w:rsidTr="00ED2EC7">
        <w:trPr>
          <w:trHeight w:val="210"/>
          <w:jc w:val="center"/>
        </w:trPr>
        <w:tc>
          <w:tcPr>
            <w:tcW w:w="1900" w:type="pct"/>
            <w:vAlign w:val="center"/>
          </w:tcPr>
          <w:p w14:paraId="451E6562"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Областной бюджет</w:t>
            </w:r>
          </w:p>
        </w:tc>
        <w:tc>
          <w:tcPr>
            <w:tcW w:w="379" w:type="pct"/>
          </w:tcPr>
          <w:p w14:paraId="3A24430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3030,6</w:t>
            </w:r>
          </w:p>
        </w:tc>
        <w:tc>
          <w:tcPr>
            <w:tcW w:w="384" w:type="pct"/>
          </w:tcPr>
          <w:p w14:paraId="1C2D63D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3054,5</w:t>
            </w:r>
          </w:p>
        </w:tc>
        <w:tc>
          <w:tcPr>
            <w:tcW w:w="382" w:type="pct"/>
          </w:tcPr>
          <w:p w14:paraId="145C6E07"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3464,9</w:t>
            </w:r>
          </w:p>
        </w:tc>
        <w:tc>
          <w:tcPr>
            <w:tcW w:w="424" w:type="pct"/>
            <w:vAlign w:val="center"/>
          </w:tcPr>
          <w:p w14:paraId="38F5AF2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4 199,8</w:t>
            </w:r>
          </w:p>
        </w:tc>
        <w:tc>
          <w:tcPr>
            <w:tcW w:w="383" w:type="pct"/>
            <w:vAlign w:val="center"/>
          </w:tcPr>
          <w:p w14:paraId="444C3B6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3 815,8</w:t>
            </w:r>
          </w:p>
        </w:tc>
        <w:tc>
          <w:tcPr>
            <w:tcW w:w="384" w:type="pct"/>
            <w:vAlign w:val="center"/>
          </w:tcPr>
          <w:p w14:paraId="3B8F19DC"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4 514,3</w:t>
            </w:r>
          </w:p>
        </w:tc>
        <w:tc>
          <w:tcPr>
            <w:tcW w:w="382" w:type="pct"/>
          </w:tcPr>
          <w:p w14:paraId="7BDFDF0A"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118,3</w:t>
            </w:r>
          </w:p>
        </w:tc>
        <w:tc>
          <w:tcPr>
            <w:tcW w:w="382" w:type="pct"/>
            <w:vAlign w:val="center"/>
          </w:tcPr>
          <w:p w14:paraId="567C85D5"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149,0</w:t>
            </w:r>
          </w:p>
        </w:tc>
      </w:tr>
      <w:tr w:rsidR="00D470B6" w:rsidRPr="00A53AD7" w14:paraId="660D82BD" w14:textId="77777777" w:rsidTr="00ED2EC7">
        <w:trPr>
          <w:trHeight w:val="210"/>
          <w:jc w:val="center"/>
        </w:trPr>
        <w:tc>
          <w:tcPr>
            <w:tcW w:w="1900" w:type="pct"/>
            <w:vAlign w:val="center"/>
          </w:tcPr>
          <w:p w14:paraId="30DCB065"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Местный бюджет</w:t>
            </w:r>
          </w:p>
        </w:tc>
        <w:tc>
          <w:tcPr>
            <w:tcW w:w="379" w:type="pct"/>
          </w:tcPr>
          <w:p w14:paraId="1D67EBC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94,7</w:t>
            </w:r>
          </w:p>
        </w:tc>
        <w:tc>
          <w:tcPr>
            <w:tcW w:w="384" w:type="pct"/>
          </w:tcPr>
          <w:p w14:paraId="36CD476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78,0</w:t>
            </w:r>
          </w:p>
        </w:tc>
        <w:tc>
          <w:tcPr>
            <w:tcW w:w="382" w:type="pct"/>
          </w:tcPr>
          <w:p w14:paraId="7C38010B"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67,0</w:t>
            </w:r>
          </w:p>
        </w:tc>
        <w:tc>
          <w:tcPr>
            <w:tcW w:w="424" w:type="pct"/>
            <w:vAlign w:val="center"/>
          </w:tcPr>
          <w:p w14:paraId="0B8CF4A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57,2</w:t>
            </w:r>
          </w:p>
        </w:tc>
        <w:tc>
          <w:tcPr>
            <w:tcW w:w="383" w:type="pct"/>
            <w:vAlign w:val="center"/>
          </w:tcPr>
          <w:p w14:paraId="3992E65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41,1</w:t>
            </w:r>
          </w:p>
        </w:tc>
        <w:tc>
          <w:tcPr>
            <w:tcW w:w="384" w:type="pct"/>
            <w:vAlign w:val="center"/>
          </w:tcPr>
          <w:p w14:paraId="539C57FF"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55,3</w:t>
            </w:r>
          </w:p>
        </w:tc>
        <w:tc>
          <w:tcPr>
            <w:tcW w:w="382" w:type="pct"/>
          </w:tcPr>
          <w:p w14:paraId="2FE8C627"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134,5</w:t>
            </w:r>
          </w:p>
        </w:tc>
        <w:tc>
          <w:tcPr>
            <w:tcW w:w="382" w:type="pct"/>
            <w:vAlign w:val="center"/>
          </w:tcPr>
          <w:p w14:paraId="10068AF5"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58,4</w:t>
            </w:r>
          </w:p>
        </w:tc>
      </w:tr>
      <w:tr w:rsidR="00D470B6" w:rsidRPr="00A53AD7" w14:paraId="027F777E" w14:textId="77777777" w:rsidTr="00ED2EC7">
        <w:trPr>
          <w:trHeight w:val="210"/>
          <w:jc w:val="center"/>
        </w:trPr>
        <w:tc>
          <w:tcPr>
            <w:tcW w:w="1900" w:type="pct"/>
            <w:vAlign w:val="center"/>
          </w:tcPr>
          <w:p w14:paraId="2F5D6D2B"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Внебюджетные источники</w:t>
            </w:r>
          </w:p>
        </w:tc>
        <w:tc>
          <w:tcPr>
            <w:tcW w:w="379" w:type="pct"/>
          </w:tcPr>
          <w:p w14:paraId="2E31E2A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1044,5</w:t>
            </w:r>
          </w:p>
        </w:tc>
        <w:tc>
          <w:tcPr>
            <w:tcW w:w="384" w:type="pct"/>
          </w:tcPr>
          <w:p w14:paraId="4AD157A4"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1291,8</w:t>
            </w:r>
          </w:p>
        </w:tc>
        <w:tc>
          <w:tcPr>
            <w:tcW w:w="382" w:type="pct"/>
          </w:tcPr>
          <w:p w14:paraId="5C1C1E2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1 519,2</w:t>
            </w:r>
          </w:p>
        </w:tc>
        <w:tc>
          <w:tcPr>
            <w:tcW w:w="424" w:type="pct"/>
            <w:vAlign w:val="center"/>
          </w:tcPr>
          <w:p w14:paraId="3DBD5D0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1 172,8</w:t>
            </w:r>
          </w:p>
        </w:tc>
        <w:tc>
          <w:tcPr>
            <w:tcW w:w="383" w:type="pct"/>
            <w:vAlign w:val="center"/>
          </w:tcPr>
          <w:p w14:paraId="24A71C2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1821,1</w:t>
            </w:r>
          </w:p>
        </w:tc>
        <w:tc>
          <w:tcPr>
            <w:tcW w:w="384" w:type="pct"/>
            <w:vAlign w:val="center"/>
          </w:tcPr>
          <w:p w14:paraId="39F0D87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1 742,2</w:t>
            </w:r>
          </w:p>
        </w:tc>
        <w:tc>
          <w:tcPr>
            <w:tcW w:w="382" w:type="pct"/>
          </w:tcPr>
          <w:p w14:paraId="67AE340F"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95,7</w:t>
            </w:r>
          </w:p>
        </w:tc>
        <w:tc>
          <w:tcPr>
            <w:tcW w:w="382" w:type="pct"/>
            <w:vAlign w:val="center"/>
          </w:tcPr>
          <w:p w14:paraId="21101EEF" w14:textId="77777777" w:rsidR="00ED2EC7" w:rsidRPr="00A53AD7" w:rsidRDefault="00ED2EC7" w:rsidP="00ED2EC7">
            <w:pPr>
              <w:spacing w:after="0" w:line="240" w:lineRule="auto"/>
              <w:jc w:val="center"/>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166,8</w:t>
            </w:r>
          </w:p>
        </w:tc>
      </w:tr>
      <w:tr w:rsidR="00D470B6" w:rsidRPr="00A53AD7" w14:paraId="38198EF4" w14:textId="77777777" w:rsidTr="00ED2EC7">
        <w:trPr>
          <w:trHeight w:val="210"/>
          <w:jc w:val="center"/>
        </w:trPr>
        <w:tc>
          <w:tcPr>
            <w:tcW w:w="1900" w:type="pct"/>
            <w:vAlign w:val="center"/>
          </w:tcPr>
          <w:p w14:paraId="6F17C6E1" w14:textId="77777777" w:rsidR="00ED2EC7" w:rsidRPr="00A53AD7" w:rsidRDefault="00ED2EC7" w:rsidP="00ED2EC7">
            <w:pPr>
              <w:tabs>
                <w:tab w:val="left" w:pos="253"/>
              </w:tabs>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в том числе:</w:t>
            </w:r>
          </w:p>
        </w:tc>
        <w:tc>
          <w:tcPr>
            <w:tcW w:w="379" w:type="pct"/>
          </w:tcPr>
          <w:p w14:paraId="7E35A916"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384" w:type="pct"/>
          </w:tcPr>
          <w:p w14:paraId="6BA4B1CB"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382" w:type="pct"/>
          </w:tcPr>
          <w:p w14:paraId="28459BE1"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424" w:type="pct"/>
            <w:vAlign w:val="center"/>
          </w:tcPr>
          <w:p w14:paraId="1179C635"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383" w:type="pct"/>
            <w:vAlign w:val="center"/>
          </w:tcPr>
          <w:p w14:paraId="07B58CF7"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384" w:type="pct"/>
            <w:vAlign w:val="center"/>
          </w:tcPr>
          <w:p w14:paraId="5AED8B90" w14:textId="77777777" w:rsidR="00ED2EC7" w:rsidRPr="00A53AD7" w:rsidRDefault="00ED2EC7" w:rsidP="00ED2EC7">
            <w:pPr>
              <w:spacing w:after="0" w:line="240" w:lineRule="auto"/>
              <w:jc w:val="right"/>
              <w:rPr>
                <w:rFonts w:ascii="Times New Roman" w:eastAsia="Times New Roman" w:hAnsi="Times New Roman"/>
                <w:sz w:val="20"/>
                <w:szCs w:val="20"/>
                <w:lang w:eastAsia="ru-RU"/>
              </w:rPr>
            </w:pPr>
          </w:p>
        </w:tc>
        <w:tc>
          <w:tcPr>
            <w:tcW w:w="382" w:type="pct"/>
          </w:tcPr>
          <w:p w14:paraId="660FF71D" w14:textId="77777777" w:rsidR="00ED2EC7" w:rsidRPr="00A53AD7" w:rsidRDefault="00ED2EC7" w:rsidP="00ED2EC7">
            <w:pPr>
              <w:spacing w:after="0" w:line="240" w:lineRule="auto"/>
              <w:jc w:val="right"/>
              <w:rPr>
                <w:rFonts w:ascii="Times New Roman" w:eastAsia="Times New Roman" w:hAnsi="Times New Roman"/>
                <w:b/>
                <w:bCs/>
                <w:sz w:val="20"/>
                <w:szCs w:val="20"/>
                <w:lang w:eastAsia="ru-RU"/>
              </w:rPr>
            </w:pPr>
          </w:p>
        </w:tc>
        <w:tc>
          <w:tcPr>
            <w:tcW w:w="382" w:type="pct"/>
            <w:vAlign w:val="center"/>
          </w:tcPr>
          <w:p w14:paraId="0D8811A5" w14:textId="77777777" w:rsidR="00ED2EC7" w:rsidRPr="00A53AD7" w:rsidRDefault="00ED2EC7" w:rsidP="00ED2EC7">
            <w:pPr>
              <w:spacing w:after="0" w:line="240" w:lineRule="auto"/>
              <w:jc w:val="right"/>
              <w:rPr>
                <w:rFonts w:ascii="Times New Roman" w:eastAsia="Times New Roman" w:hAnsi="Times New Roman"/>
                <w:b/>
                <w:bCs/>
                <w:sz w:val="20"/>
                <w:szCs w:val="20"/>
                <w:lang w:eastAsia="ru-RU"/>
              </w:rPr>
            </w:pPr>
          </w:p>
        </w:tc>
      </w:tr>
      <w:tr w:rsidR="00D470B6" w:rsidRPr="00A53AD7" w14:paraId="2985E76B" w14:textId="77777777" w:rsidTr="00ED2EC7">
        <w:trPr>
          <w:trHeight w:val="210"/>
          <w:jc w:val="center"/>
        </w:trPr>
        <w:tc>
          <w:tcPr>
            <w:tcW w:w="1900" w:type="pct"/>
            <w:vAlign w:val="center"/>
          </w:tcPr>
          <w:p w14:paraId="478E0054" w14:textId="77777777" w:rsidR="00ED2EC7" w:rsidRPr="00A53AD7" w:rsidRDefault="00ED2EC7" w:rsidP="00ED2EC7">
            <w:pPr>
              <w:tabs>
                <w:tab w:val="left" w:pos="253"/>
              </w:tabs>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Подпрограмма № 1 «Энергосбережение и повышение энергетической эффективности в Архангельской области»</w:t>
            </w:r>
          </w:p>
        </w:tc>
        <w:tc>
          <w:tcPr>
            <w:tcW w:w="379" w:type="pct"/>
          </w:tcPr>
          <w:p w14:paraId="2DAF809E"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40E5E8AB"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4F1BB59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1405,2</w:t>
            </w:r>
          </w:p>
        </w:tc>
        <w:tc>
          <w:tcPr>
            <w:tcW w:w="384" w:type="pct"/>
          </w:tcPr>
          <w:p w14:paraId="7512816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1FA351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6D283F3"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1510,1</w:t>
            </w:r>
          </w:p>
        </w:tc>
        <w:tc>
          <w:tcPr>
            <w:tcW w:w="382" w:type="pct"/>
          </w:tcPr>
          <w:p w14:paraId="651CD2A6"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1DCA0E3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B8EFFC8"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1530,2</w:t>
            </w:r>
          </w:p>
        </w:tc>
        <w:tc>
          <w:tcPr>
            <w:tcW w:w="424" w:type="pct"/>
            <w:vAlign w:val="center"/>
          </w:tcPr>
          <w:p w14:paraId="67F78C4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1ECD3392"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1159,6</w:t>
            </w:r>
          </w:p>
        </w:tc>
        <w:tc>
          <w:tcPr>
            <w:tcW w:w="383" w:type="pct"/>
            <w:vAlign w:val="center"/>
          </w:tcPr>
          <w:p w14:paraId="41402F3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660669C"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1 741,6</w:t>
            </w:r>
          </w:p>
        </w:tc>
        <w:tc>
          <w:tcPr>
            <w:tcW w:w="384" w:type="pct"/>
            <w:vAlign w:val="center"/>
          </w:tcPr>
          <w:p w14:paraId="4B4D64C2" w14:textId="77777777" w:rsidR="00ED2EC7" w:rsidRPr="00A53AD7" w:rsidRDefault="00ED2EC7" w:rsidP="00ED2EC7">
            <w:pPr>
              <w:spacing w:after="0" w:line="240" w:lineRule="auto"/>
              <w:jc w:val="center"/>
              <w:rPr>
                <w:rFonts w:ascii="Times New Roman" w:hAnsi="Times New Roman"/>
                <w:i/>
                <w:sz w:val="20"/>
                <w:szCs w:val="20"/>
              </w:rPr>
            </w:pPr>
          </w:p>
          <w:p w14:paraId="731F4A81"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hAnsi="Times New Roman"/>
                <w:i/>
                <w:sz w:val="20"/>
                <w:szCs w:val="20"/>
              </w:rPr>
              <w:t>1 865,6</w:t>
            </w:r>
          </w:p>
        </w:tc>
        <w:tc>
          <w:tcPr>
            <w:tcW w:w="382" w:type="pct"/>
            <w:vAlign w:val="center"/>
          </w:tcPr>
          <w:p w14:paraId="127A2383"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72B11AC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107,1</w:t>
            </w:r>
          </w:p>
        </w:tc>
        <w:tc>
          <w:tcPr>
            <w:tcW w:w="382" w:type="pct"/>
            <w:vAlign w:val="center"/>
          </w:tcPr>
          <w:p w14:paraId="0F5C208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5C57A5F1"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132,8</w:t>
            </w:r>
          </w:p>
        </w:tc>
      </w:tr>
      <w:tr w:rsidR="00D470B6" w:rsidRPr="00A53AD7" w14:paraId="79F0C283" w14:textId="77777777" w:rsidTr="00ED2EC7">
        <w:trPr>
          <w:trHeight w:val="210"/>
          <w:jc w:val="center"/>
        </w:trPr>
        <w:tc>
          <w:tcPr>
            <w:tcW w:w="1900" w:type="pct"/>
            <w:vAlign w:val="center"/>
          </w:tcPr>
          <w:p w14:paraId="110BB7AF"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Федеральный бюджет</w:t>
            </w:r>
          </w:p>
        </w:tc>
        <w:tc>
          <w:tcPr>
            <w:tcW w:w="379" w:type="pct"/>
          </w:tcPr>
          <w:p w14:paraId="099276D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151,6</w:t>
            </w:r>
          </w:p>
        </w:tc>
        <w:tc>
          <w:tcPr>
            <w:tcW w:w="384" w:type="pct"/>
          </w:tcPr>
          <w:p w14:paraId="52E4D2E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tcPr>
          <w:p w14:paraId="2F7C548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4FC423C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3" w:type="pct"/>
            <w:vAlign w:val="center"/>
          </w:tcPr>
          <w:p w14:paraId="329E380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7AD7519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31629FF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2F9ECB7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w:t>
            </w:r>
          </w:p>
        </w:tc>
      </w:tr>
      <w:tr w:rsidR="00D470B6" w:rsidRPr="00A53AD7" w14:paraId="7C09D15D" w14:textId="77777777" w:rsidTr="00ED2EC7">
        <w:trPr>
          <w:trHeight w:val="210"/>
          <w:jc w:val="center"/>
        </w:trPr>
        <w:tc>
          <w:tcPr>
            <w:tcW w:w="1900" w:type="pct"/>
            <w:vAlign w:val="center"/>
          </w:tcPr>
          <w:p w14:paraId="24630876"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Областной бюджет</w:t>
            </w:r>
          </w:p>
        </w:tc>
        <w:tc>
          <w:tcPr>
            <w:tcW w:w="379" w:type="pct"/>
          </w:tcPr>
          <w:p w14:paraId="06486DD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202,1</w:t>
            </w:r>
          </w:p>
        </w:tc>
        <w:tc>
          <w:tcPr>
            <w:tcW w:w="384" w:type="pct"/>
          </w:tcPr>
          <w:p w14:paraId="23AB665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186,6</w:t>
            </w:r>
          </w:p>
        </w:tc>
        <w:tc>
          <w:tcPr>
            <w:tcW w:w="382" w:type="pct"/>
          </w:tcPr>
          <w:p w14:paraId="0181F42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113,4</w:t>
            </w:r>
          </w:p>
        </w:tc>
        <w:tc>
          <w:tcPr>
            <w:tcW w:w="424" w:type="pct"/>
            <w:vAlign w:val="center"/>
          </w:tcPr>
          <w:p w14:paraId="717FEF6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0,8</w:t>
            </w:r>
          </w:p>
        </w:tc>
        <w:tc>
          <w:tcPr>
            <w:tcW w:w="383" w:type="pct"/>
            <w:vAlign w:val="center"/>
          </w:tcPr>
          <w:p w14:paraId="54112D7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10,5</w:t>
            </w:r>
          </w:p>
        </w:tc>
        <w:tc>
          <w:tcPr>
            <w:tcW w:w="384" w:type="pct"/>
            <w:vAlign w:val="center"/>
          </w:tcPr>
          <w:p w14:paraId="320955B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91,9</w:t>
            </w:r>
          </w:p>
        </w:tc>
        <w:tc>
          <w:tcPr>
            <w:tcW w:w="382" w:type="pct"/>
            <w:vAlign w:val="center"/>
          </w:tcPr>
          <w:p w14:paraId="2B2B200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875,2</w:t>
            </w:r>
          </w:p>
        </w:tc>
        <w:tc>
          <w:tcPr>
            <w:tcW w:w="382" w:type="pct"/>
            <w:vAlign w:val="center"/>
          </w:tcPr>
          <w:p w14:paraId="3077B93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45,5</w:t>
            </w:r>
          </w:p>
        </w:tc>
      </w:tr>
      <w:tr w:rsidR="00D470B6" w:rsidRPr="00A53AD7" w14:paraId="0DA4578B" w14:textId="77777777" w:rsidTr="00ED2EC7">
        <w:trPr>
          <w:trHeight w:val="210"/>
          <w:jc w:val="center"/>
        </w:trPr>
        <w:tc>
          <w:tcPr>
            <w:tcW w:w="1900" w:type="pct"/>
            <w:vAlign w:val="center"/>
          </w:tcPr>
          <w:p w14:paraId="1FB1E130"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Местный бюджет</w:t>
            </w:r>
          </w:p>
        </w:tc>
        <w:tc>
          <w:tcPr>
            <w:tcW w:w="379" w:type="pct"/>
          </w:tcPr>
          <w:p w14:paraId="0618A06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89,6</w:t>
            </w:r>
          </w:p>
        </w:tc>
        <w:tc>
          <w:tcPr>
            <w:tcW w:w="384" w:type="pct"/>
          </w:tcPr>
          <w:p w14:paraId="79CEE24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77,5</w:t>
            </w:r>
          </w:p>
        </w:tc>
        <w:tc>
          <w:tcPr>
            <w:tcW w:w="382" w:type="pct"/>
          </w:tcPr>
          <w:p w14:paraId="10CB29C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66,2</w:t>
            </w:r>
          </w:p>
        </w:tc>
        <w:tc>
          <w:tcPr>
            <w:tcW w:w="424" w:type="pct"/>
            <w:vAlign w:val="center"/>
          </w:tcPr>
          <w:p w14:paraId="5D0EF13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41,2</w:t>
            </w:r>
          </w:p>
        </w:tc>
        <w:tc>
          <w:tcPr>
            <w:tcW w:w="383" w:type="pct"/>
            <w:vAlign w:val="center"/>
          </w:tcPr>
          <w:p w14:paraId="2147B13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41,0</w:t>
            </w:r>
          </w:p>
        </w:tc>
        <w:tc>
          <w:tcPr>
            <w:tcW w:w="384" w:type="pct"/>
            <w:vAlign w:val="center"/>
          </w:tcPr>
          <w:p w14:paraId="5666E26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55,3</w:t>
            </w:r>
          </w:p>
        </w:tc>
        <w:tc>
          <w:tcPr>
            <w:tcW w:w="382" w:type="pct"/>
            <w:vAlign w:val="center"/>
          </w:tcPr>
          <w:p w14:paraId="4408453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134,9</w:t>
            </w:r>
          </w:p>
        </w:tc>
        <w:tc>
          <w:tcPr>
            <w:tcW w:w="382" w:type="pct"/>
            <w:vAlign w:val="center"/>
          </w:tcPr>
          <w:p w14:paraId="0C54008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61,7</w:t>
            </w:r>
          </w:p>
        </w:tc>
      </w:tr>
      <w:tr w:rsidR="00D470B6" w:rsidRPr="00A53AD7" w14:paraId="64787A7B" w14:textId="77777777" w:rsidTr="00ED2EC7">
        <w:trPr>
          <w:trHeight w:val="210"/>
          <w:jc w:val="center"/>
        </w:trPr>
        <w:tc>
          <w:tcPr>
            <w:tcW w:w="1900" w:type="pct"/>
            <w:vAlign w:val="center"/>
          </w:tcPr>
          <w:p w14:paraId="74BF1A94"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Внебюджетные источники</w:t>
            </w:r>
          </w:p>
        </w:tc>
        <w:tc>
          <w:tcPr>
            <w:tcW w:w="379" w:type="pct"/>
          </w:tcPr>
          <w:p w14:paraId="626B8A9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961,9</w:t>
            </w:r>
          </w:p>
        </w:tc>
        <w:tc>
          <w:tcPr>
            <w:tcW w:w="384" w:type="pct"/>
          </w:tcPr>
          <w:p w14:paraId="52B183C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1246,1</w:t>
            </w:r>
          </w:p>
        </w:tc>
        <w:tc>
          <w:tcPr>
            <w:tcW w:w="382" w:type="pct"/>
          </w:tcPr>
          <w:p w14:paraId="7F191B7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1350,5</w:t>
            </w:r>
          </w:p>
        </w:tc>
        <w:tc>
          <w:tcPr>
            <w:tcW w:w="424" w:type="pct"/>
            <w:vAlign w:val="center"/>
          </w:tcPr>
          <w:p w14:paraId="0140A57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1 117,6</w:t>
            </w:r>
          </w:p>
        </w:tc>
        <w:tc>
          <w:tcPr>
            <w:tcW w:w="383" w:type="pct"/>
            <w:vAlign w:val="center"/>
          </w:tcPr>
          <w:p w14:paraId="28178C7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1 690,2</w:t>
            </w:r>
          </w:p>
        </w:tc>
        <w:tc>
          <w:tcPr>
            <w:tcW w:w="384" w:type="pct"/>
            <w:vAlign w:val="center"/>
          </w:tcPr>
          <w:p w14:paraId="2A753FE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hAnsi="Times New Roman"/>
                <w:sz w:val="16"/>
                <w:szCs w:val="16"/>
              </w:rPr>
              <w:t>1 718,4</w:t>
            </w:r>
          </w:p>
        </w:tc>
        <w:tc>
          <w:tcPr>
            <w:tcW w:w="382" w:type="pct"/>
            <w:vAlign w:val="center"/>
          </w:tcPr>
          <w:p w14:paraId="6F2036A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101,7</w:t>
            </w:r>
          </w:p>
        </w:tc>
        <w:tc>
          <w:tcPr>
            <w:tcW w:w="382" w:type="pct"/>
            <w:vAlign w:val="center"/>
          </w:tcPr>
          <w:p w14:paraId="41DD5E5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178,6</w:t>
            </w:r>
          </w:p>
        </w:tc>
      </w:tr>
      <w:tr w:rsidR="00D470B6" w:rsidRPr="00A53AD7" w14:paraId="11F5F4DD" w14:textId="77777777" w:rsidTr="00ED2EC7">
        <w:trPr>
          <w:trHeight w:val="210"/>
          <w:jc w:val="center"/>
        </w:trPr>
        <w:tc>
          <w:tcPr>
            <w:tcW w:w="1900" w:type="pct"/>
            <w:vAlign w:val="center"/>
          </w:tcPr>
          <w:p w14:paraId="7CFFA2D6" w14:textId="77777777" w:rsidR="00ED2EC7" w:rsidRPr="00A53AD7" w:rsidRDefault="00ED2EC7" w:rsidP="00ED2EC7">
            <w:pPr>
              <w:tabs>
                <w:tab w:val="left" w:pos="253"/>
              </w:tabs>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bCs/>
                <w:sz w:val="20"/>
                <w:szCs w:val="20"/>
                <w:lang w:eastAsia="ru-RU"/>
              </w:rPr>
              <w:t>Подпрограмма № 2 «Газификация Архангельской области»</w:t>
            </w:r>
          </w:p>
        </w:tc>
        <w:tc>
          <w:tcPr>
            <w:tcW w:w="379" w:type="pct"/>
          </w:tcPr>
          <w:p w14:paraId="7616E9FE"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81BB80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49,7</w:t>
            </w:r>
          </w:p>
        </w:tc>
        <w:tc>
          <w:tcPr>
            <w:tcW w:w="384" w:type="pct"/>
          </w:tcPr>
          <w:p w14:paraId="0A6F96AC"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75F40BD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47,5</w:t>
            </w:r>
          </w:p>
        </w:tc>
        <w:tc>
          <w:tcPr>
            <w:tcW w:w="382" w:type="pct"/>
          </w:tcPr>
          <w:p w14:paraId="2E7627C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05E0782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169,5</w:t>
            </w:r>
          </w:p>
        </w:tc>
        <w:tc>
          <w:tcPr>
            <w:tcW w:w="424" w:type="pct"/>
            <w:vAlign w:val="center"/>
          </w:tcPr>
          <w:p w14:paraId="0F6D2903"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9CB133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76,0</w:t>
            </w:r>
          </w:p>
        </w:tc>
        <w:tc>
          <w:tcPr>
            <w:tcW w:w="383" w:type="pct"/>
            <w:vAlign w:val="center"/>
          </w:tcPr>
          <w:p w14:paraId="2EACBE28"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3407DF92"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154,0</w:t>
            </w:r>
          </w:p>
        </w:tc>
        <w:tc>
          <w:tcPr>
            <w:tcW w:w="384" w:type="pct"/>
            <w:vAlign w:val="center"/>
          </w:tcPr>
          <w:p w14:paraId="2D18B21E"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775E6B7"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60,7</w:t>
            </w:r>
          </w:p>
        </w:tc>
        <w:tc>
          <w:tcPr>
            <w:tcW w:w="382" w:type="pct"/>
            <w:vAlign w:val="center"/>
          </w:tcPr>
          <w:p w14:paraId="7120CEB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12A6892A"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39,4</w:t>
            </w:r>
          </w:p>
        </w:tc>
        <w:tc>
          <w:tcPr>
            <w:tcW w:w="382" w:type="pct"/>
            <w:vAlign w:val="center"/>
          </w:tcPr>
          <w:p w14:paraId="19E8C589"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11EED1DE"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122,1</w:t>
            </w:r>
          </w:p>
        </w:tc>
      </w:tr>
      <w:tr w:rsidR="00D470B6" w:rsidRPr="00A53AD7" w14:paraId="08BCE488" w14:textId="77777777" w:rsidTr="00ED2EC7">
        <w:trPr>
          <w:trHeight w:val="210"/>
          <w:jc w:val="center"/>
        </w:trPr>
        <w:tc>
          <w:tcPr>
            <w:tcW w:w="1900" w:type="pct"/>
            <w:vAlign w:val="center"/>
          </w:tcPr>
          <w:p w14:paraId="23BF7324"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Федеральный бюджет</w:t>
            </w:r>
          </w:p>
        </w:tc>
        <w:tc>
          <w:tcPr>
            <w:tcW w:w="379" w:type="pct"/>
          </w:tcPr>
          <w:p w14:paraId="02B0F00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tcPr>
          <w:p w14:paraId="58F57FC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tcPr>
          <w:p w14:paraId="5D34E95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51E78CF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18,7</w:t>
            </w:r>
          </w:p>
        </w:tc>
        <w:tc>
          <w:tcPr>
            <w:tcW w:w="383" w:type="pct"/>
            <w:vAlign w:val="center"/>
          </w:tcPr>
          <w:p w14:paraId="3B18811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20,8</w:t>
            </w:r>
          </w:p>
        </w:tc>
        <w:tc>
          <w:tcPr>
            <w:tcW w:w="384" w:type="pct"/>
            <w:vAlign w:val="center"/>
          </w:tcPr>
          <w:p w14:paraId="361DAF5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33,2</w:t>
            </w:r>
          </w:p>
        </w:tc>
        <w:tc>
          <w:tcPr>
            <w:tcW w:w="382" w:type="pct"/>
            <w:vAlign w:val="center"/>
          </w:tcPr>
          <w:p w14:paraId="2BDB8D5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159,6</w:t>
            </w:r>
          </w:p>
        </w:tc>
        <w:tc>
          <w:tcPr>
            <w:tcW w:w="382" w:type="pct"/>
            <w:vAlign w:val="center"/>
          </w:tcPr>
          <w:p w14:paraId="20CA376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w:t>
            </w:r>
          </w:p>
        </w:tc>
      </w:tr>
      <w:tr w:rsidR="00D470B6" w:rsidRPr="00A53AD7" w14:paraId="4CC690C8" w14:textId="77777777" w:rsidTr="00ED2EC7">
        <w:trPr>
          <w:trHeight w:val="210"/>
          <w:jc w:val="center"/>
        </w:trPr>
        <w:tc>
          <w:tcPr>
            <w:tcW w:w="1900" w:type="pct"/>
            <w:vAlign w:val="center"/>
          </w:tcPr>
          <w:p w14:paraId="5197F505"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Областной бюджет</w:t>
            </w:r>
          </w:p>
        </w:tc>
        <w:tc>
          <w:tcPr>
            <w:tcW w:w="379" w:type="pct"/>
          </w:tcPr>
          <w:p w14:paraId="4D9FA2D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29,1</w:t>
            </w:r>
          </w:p>
        </w:tc>
        <w:tc>
          <w:tcPr>
            <w:tcW w:w="384" w:type="pct"/>
          </w:tcPr>
          <w:p w14:paraId="0036429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w:t>
            </w:r>
          </w:p>
        </w:tc>
        <w:tc>
          <w:tcPr>
            <w:tcW w:w="382" w:type="pct"/>
          </w:tcPr>
          <w:p w14:paraId="3CA618D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4B14A6F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2,9</w:t>
            </w:r>
          </w:p>
        </w:tc>
        <w:tc>
          <w:tcPr>
            <w:tcW w:w="383" w:type="pct"/>
            <w:vAlign w:val="center"/>
          </w:tcPr>
          <w:p w14:paraId="7256EB7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2,3</w:t>
            </w:r>
          </w:p>
        </w:tc>
        <w:tc>
          <w:tcPr>
            <w:tcW w:w="384" w:type="pct"/>
            <w:vAlign w:val="center"/>
          </w:tcPr>
          <w:p w14:paraId="0B93E68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3,7</w:t>
            </w:r>
          </w:p>
        </w:tc>
        <w:tc>
          <w:tcPr>
            <w:tcW w:w="382" w:type="pct"/>
            <w:vAlign w:val="center"/>
          </w:tcPr>
          <w:p w14:paraId="43FEDE9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160,9</w:t>
            </w:r>
          </w:p>
        </w:tc>
        <w:tc>
          <w:tcPr>
            <w:tcW w:w="382" w:type="pct"/>
            <w:vAlign w:val="center"/>
          </w:tcPr>
          <w:p w14:paraId="23AD5C9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12,7</w:t>
            </w:r>
          </w:p>
        </w:tc>
      </w:tr>
      <w:tr w:rsidR="00D470B6" w:rsidRPr="00A53AD7" w14:paraId="4FD8C8B5" w14:textId="77777777" w:rsidTr="00ED2EC7">
        <w:trPr>
          <w:trHeight w:val="210"/>
          <w:jc w:val="center"/>
        </w:trPr>
        <w:tc>
          <w:tcPr>
            <w:tcW w:w="1900" w:type="pct"/>
            <w:vAlign w:val="center"/>
          </w:tcPr>
          <w:p w14:paraId="78AD26C3"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Местный бюджет</w:t>
            </w:r>
          </w:p>
        </w:tc>
        <w:tc>
          <w:tcPr>
            <w:tcW w:w="379" w:type="pct"/>
          </w:tcPr>
          <w:p w14:paraId="25B50C7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5,0</w:t>
            </w:r>
          </w:p>
        </w:tc>
        <w:tc>
          <w:tcPr>
            <w:tcW w:w="384" w:type="pct"/>
          </w:tcPr>
          <w:p w14:paraId="2DAAF96F"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0,5</w:t>
            </w:r>
          </w:p>
        </w:tc>
        <w:tc>
          <w:tcPr>
            <w:tcW w:w="382" w:type="pct"/>
          </w:tcPr>
          <w:p w14:paraId="132FDB8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0,8</w:t>
            </w:r>
          </w:p>
        </w:tc>
        <w:tc>
          <w:tcPr>
            <w:tcW w:w="424" w:type="pct"/>
            <w:vAlign w:val="center"/>
          </w:tcPr>
          <w:p w14:paraId="2E04EF4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0,1</w:t>
            </w:r>
          </w:p>
        </w:tc>
        <w:tc>
          <w:tcPr>
            <w:tcW w:w="383" w:type="pct"/>
            <w:vAlign w:val="center"/>
          </w:tcPr>
          <w:p w14:paraId="0E5D5E7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0,02</w:t>
            </w:r>
          </w:p>
        </w:tc>
        <w:tc>
          <w:tcPr>
            <w:tcW w:w="384" w:type="pct"/>
            <w:vAlign w:val="center"/>
          </w:tcPr>
          <w:p w14:paraId="2EFD36D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0,04</w:t>
            </w:r>
          </w:p>
        </w:tc>
        <w:tc>
          <w:tcPr>
            <w:tcW w:w="382" w:type="pct"/>
            <w:vAlign w:val="center"/>
          </w:tcPr>
          <w:p w14:paraId="432CF65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200,0</w:t>
            </w:r>
          </w:p>
        </w:tc>
        <w:tc>
          <w:tcPr>
            <w:tcW w:w="382" w:type="pct"/>
            <w:vAlign w:val="center"/>
          </w:tcPr>
          <w:p w14:paraId="2EF388E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0,8</w:t>
            </w:r>
          </w:p>
        </w:tc>
      </w:tr>
      <w:tr w:rsidR="00D470B6" w:rsidRPr="00A53AD7" w14:paraId="0FA19165" w14:textId="77777777" w:rsidTr="00ED2EC7">
        <w:trPr>
          <w:trHeight w:val="210"/>
          <w:jc w:val="center"/>
        </w:trPr>
        <w:tc>
          <w:tcPr>
            <w:tcW w:w="1900" w:type="pct"/>
            <w:vAlign w:val="center"/>
          </w:tcPr>
          <w:p w14:paraId="4A98B513"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Внебюджетные источники</w:t>
            </w:r>
          </w:p>
        </w:tc>
        <w:tc>
          <w:tcPr>
            <w:tcW w:w="379" w:type="pct"/>
          </w:tcPr>
          <w:p w14:paraId="5F67744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15,5</w:t>
            </w:r>
          </w:p>
        </w:tc>
        <w:tc>
          <w:tcPr>
            <w:tcW w:w="384" w:type="pct"/>
          </w:tcPr>
          <w:p w14:paraId="1EE430C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45,7</w:t>
            </w:r>
          </w:p>
        </w:tc>
        <w:tc>
          <w:tcPr>
            <w:tcW w:w="382" w:type="pct"/>
          </w:tcPr>
          <w:p w14:paraId="3330984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168,7</w:t>
            </w:r>
          </w:p>
        </w:tc>
        <w:tc>
          <w:tcPr>
            <w:tcW w:w="424" w:type="pct"/>
            <w:vAlign w:val="center"/>
          </w:tcPr>
          <w:p w14:paraId="6A4F1FB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54,4</w:t>
            </w:r>
          </w:p>
        </w:tc>
        <w:tc>
          <w:tcPr>
            <w:tcW w:w="383" w:type="pct"/>
            <w:vAlign w:val="center"/>
          </w:tcPr>
          <w:p w14:paraId="7881226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130,9</w:t>
            </w:r>
          </w:p>
        </w:tc>
        <w:tc>
          <w:tcPr>
            <w:tcW w:w="384" w:type="pct"/>
            <w:vAlign w:val="center"/>
          </w:tcPr>
          <w:p w14:paraId="0D11784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23,8</w:t>
            </w:r>
          </w:p>
        </w:tc>
        <w:tc>
          <w:tcPr>
            <w:tcW w:w="382" w:type="pct"/>
            <w:vAlign w:val="center"/>
          </w:tcPr>
          <w:p w14:paraId="723EF6F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18,2</w:t>
            </w:r>
          </w:p>
        </w:tc>
        <w:tc>
          <w:tcPr>
            <w:tcW w:w="382" w:type="pct"/>
            <w:vAlign w:val="center"/>
          </w:tcPr>
          <w:p w14:paraId="7494E85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153,5</w:t>
            </w:r>
          </w:p>
        </w:tc>
      </w:tr>
      <w:tr w:rsidR="00D470B6" w:rsidRPr="00A53AD7" w14:paraId="3F519350" w14:textId="77777777" w:rsidTr="00ED2EC7">
        <w:trPr>
          <w:trHeight w:val="210"/>
          <w:jc w:val="center"/>
        </w:trPr>
        <w:tc>
          <w:tcPr>
            <w:tcW w:w="1900" w:type="pct"/>
            <w:vAlign w:val="center"/>
          </w:tcPr>
          <w:p w14:paraId="4453900E" w14:textId="77777777" w:rsidR="00ED2EC7" w:rsidRPr="00A53AD7" w:rsidRDefault="00ED2EC7" w:rsidP="00ED2EC7">
            <w:pPr>
              <w:tabs>
                <w:tab w:val="left" w:pos="253"/>
              </w:tabs>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Подпрограмма № 3 «Формирование и реализация региональной политики в сфере энергетики и жилищно-коммунального хозяйства Архангельской области»</w:t>
            </w:r>
          </w:p>
        </w:tc>
        <w:tc>
          <w:tcPr>
            <w:tcW w:w="379" w:type="pct"/>
          </w:tcPr>
          <w:p w14:paraId="54CA440C"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EA16DD4"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41FF4651"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79396544"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2866,5</w:t>
            </w:r>
          </w:p>
        </w:tc>
        <w:tc>
          <w:tcPr>
            <w:tcW w:w="384" w:type="pct"/>
          </w:tcPr>
          <w:p w14:paraId="29EEEBB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4DD5E22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1522373"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726C37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2866,7</w:t>
            </w:r>
          </w:p>
        </w:tc>
        <w:tc>
          <w:tcPr>
            <w:tcW w:w="382" w:type="pct"/>
          </w:tcPr>
          <w:p w14:paraId="5525EAD9"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AAF644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5A671F3"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7D6E4AAB"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3351,5</w:t>
            </w:r>
          </w:p>
        </w:tc>
        <w:tc>
          <w:tcPr>
            <w:tcW w:w="424" w:type="pct"/>
            <w:vAlign w:val="center"/>
          </w:tcPr>
          <w:p w14:paraId="0B3388B2"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30FD0D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0CB4FC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4 153,8</w:t>
            </w:r>
          </w:p>
        </w:tc>
        <w:tc>
          <w:tcPr>
            <w:tcW w:w="383" w:type="pct"/>
            <w:vAlign w:val="center"/>
          </w:tcPr>
          <w:p w14:paraId="32BF4075"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6E189BD2"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411EC6E4"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3 803,0</w:t>
            </w:r>
          </w:p>
        </w:tc>
        <w:tc>
          <w:tcPr>
            <w:tcW w:w="384" w:type="pct"/>
            <w:vAlign w:val="center"/>
          </w:tcPr>
          <w:p w14:paraId="54C0FF8E"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0B18C58D"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05F7954"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4 418,7</w:t>
            </w:r>
          </w:p>
        </w:tc>
        <w:tc>
          <w:tcPr>
            <w:tcW w:w="382" w:type="pct"/>
            <w:vAlign w:val="center"/>
          </w:tcPr>
          <w:p w14:paraId="79BE73D0"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1A6DECC6"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0621254D"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116,2</w:t>
            </w:r>
          </w:p>
        </w:tc>
        <w:tc>
          <w:tcPr>
            <w:tcW w:w="382" w:type="pct"/>
            <w:vAlign w:val="center"/>
          </w:tcPr>
          <w:p w14:paraId="40A0A562"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6DF57318"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p>
          <w:p w14:paraId="7C4D5F65" w14:textId="77777777" w:rsidR="00ED2EC7" w:rsidRPr="00A53AD7" w:rsidRDefault="00ED2EC7" w:rsidP="00ED2EC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154,2</w:t>
            </w:r>
          </w:p>
        </w:tc>
      </w:tr>
      <w:tr w:rsidR="00D470B6" w:rsidRPr="00A53AD7" w14:paraId="32AE47B7" w14:textId="77777777" w:rsidTr="00ED2EC7">
        <w:trPr>
          <w:trHeight w:val="210"/>
          <w:jc w:val="center"/>
        </w:trPr>
        <w:tc>
          <w:tcPr>
            <w:tcW w:w="1900" w:type="pct"/>
            <w:vAlign w:val="center"/>
          </w:tcPr>
          <w:p w14:paraId="378D3403"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Федеральный бюджет</w:t>
            </w:r>
          </w:p>
        </w:tc>
        <w:tc>
          <w:tcPr>
            <w:tcW w:w="379" w:type="pct"/>
          </w:tcPr>
          <w:p w14:paraId="3F1129A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tcPr>
          <w:p w14:paraId="107818A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tcPr>
          <w:p w14:paraId="6A578E5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3BFCBC9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3" w:type="pct"/>
            <w:vAlign w:val="center"/>
          </w:tcPr>
          <w:p w14:paraId="69DB683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2139AF6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3D0B608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78821D6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49944AA6" w14:textId="77777777" w:rsidTr="00ED2EC7">
        <w:trPr>
          <w:trHeight w:val="210"/>
          <w:jc w:val="center"/>
        </w:trPr>
        <w:tc>
          <w:tcPr>
            <w:tcW w:w="1900" w:type="pct"/>
            <w:vAlign w:val="center"/>
          </w:tcPr>
          <w:p w14:paraId="63020EEC"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Областной бюджет</w:t>
            </w:r>
          </w:p>
        </w:tc>
        <w:tc>
          <w:tcPr>
            <w:tcW w:w="379" w:type="pct"/>
          </w:tcPr>
          <w:p w14:paraId="61034C9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2799,3</w:t>
            </w:r>
          </w:p>
        </w:tc>
        <w:tc>
          <w:tcPr>
            <w:tcW w:w="384" w:type="pct"/>
          </w:tcPr>
          <w:p w14:paraId="569E73C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i/>
                <w:sz w:val="20"/>
                <w:szCs w:val="20"/>
                <w:lang w:eastAsia="ru-RU"/>
              </w:rPr>
              <w:t>2866,7</w:t>
            </w:r>
          </w:p>
        </w:tc>
        <w:tc>
          <w:tcPr>
            <w:tcW w:w="382" w:type="pct"/>
          </w:tcPr>
          <w:p w14:paraId="17CB9BB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3351,5</w:t>
            </w:r>
          </w:p>
        </w:tc>
        <w:tc>
          <w:tcPr>
            <w:tcW w:w="424" w:type="pct"/>
            <w:vAlign w:val="center"/>
          </w:tcPr>
          <w:p w14:paraId="792184D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4 153,7</w:t>
            </w:r>
          </w:p>
        </w:tc>
        <w:tc>
          <w:tcPr>
            <w:tcW w:w="383" w:type="pct"/>
            <w:vAlign w:val="center"/>
          </w:tcPr>
          <w:p w14:paraId="15F1D8E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3 803,0</w:t>
            </w:r>
          </w:p>
        </w:tc>
        <w:tc>
          <w:tcPr>
            <w:tcW w:w="384" w:type="pct"/>
            <w:vAlign w:val="center"/>
          </w:tcPr>
          <w:p w14:paraId="7A1B547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4 418,7</w:t>
            </w:r>
          </w:p>
        </w:tc>
        <w:tc>
          <w:tcPr>
            <w:tcW w:w="382" w:type="pct"/>
            <w:vAlign w:val="center"/>
          </w:tcPr>
          <w:p w14:paraId="0584095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116,2</w:t>
            </w:r>
          </w:p>
        </w:tc>
        <w:tc>
          <w:tcPr>
            <w:tcW w:w="382" w:type="pct"/>
            <w:vAlign w:val="center"/>
          </w:tcPr>
          <w:p w14:paraId="3566F36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154,2</w:t>
            </w:r>
          </w:p>
        </w:tc>
      </w:tr>
      <w:tr w:rsidR="00D470B6" w:rsidRPr="00A53AD7" w14:paraId="11A18718" w14:textId="77777777" w:rsidTr="00ED2EC7">
        <w:trPr>
          <w:trHeight w:val="210"/>
          <w:jc w:val="center"/>
        </w:trPr>
        <w:tc>
          <w:tcPr>
            <w:tcW w:w="1900" w:type="pct"/>
            <w:vAlign w:val="center"/>
          </w:tcPr>
          <w:p w14:paraId="59009DCA"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Местный бюджет</w:t>
            </w:r>
          </w:p>
        </w:tc>
        <w:tc>
          <w:tcPr>
            <w:tcW w:w="379" w:type="pct"/>
          </w:tcPr>
          <w:p w14:paraId="07B2464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tcPr>
          <w:p w14:paraId="5D3E908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tcPr>
          <w:p w14:paraId="443B14C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29992E0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0,1</w:t>
            </w:r>
          </w:p>
        </w:tc>
        <w:tc>
          <w:tcPr>
            <w:tcW w:w="383" w:type="pct"/>
            <w:vAlign w:val="center"/>
          </w:tcPr>
          <w:p w14:paraId="74876F3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0AC1DB4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4A0543D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4707CF1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5602F844" w14:textId="77777777" w:rsidTr="00ED2EC7">
        <w:trPr>
          <w:trHeight w:val="210"/>
          <w:jc w:val="center"/>
        </w:trPr>
        <w:tc>
          <w:tcPr>
            <w:tcW w:w="1900" w:type="pct"/>
            <w:vAlign w:val="center"/>
          </w:tcPr>
          <w:p w14:paraId="7CC86B59"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Внебюджетные источники</w:t>
            </w:r>
          </w:p>
        </w:tc>
        <w:tc>
          <w:tcPr>
            <w:tcW w:w="379" w:type="pct"/>
          </w:tcPr>
          <w:p w14:paraId="2FCB280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67,1</w:t>
            </w:r>
          </w:p>
        </w:tc>
        <w:tc>
          <w:tcPr>
            <w:tcW w:w="384" w:type="pct"/>
          </w:tcPr>
          <w:p w14:paraId="1FCC31C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tcPr>
          <w:p w14:paraId="779F25F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2F8154A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3" w:type="pct"/>
            <w:vAlign w:val="center"/>
          </w:tcPr>
          <w:p w14:paraId="0F9A046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22A7CCE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1A6D239F"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67FC52D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718567E0" w14:textId="77777777" w:rsidTr="00ED2EC7">
        <w:trPr>
          <w:trHeight w:hRule="exact" w:val="773"/>
          <w:jc w:val="center"/>
        </w:trPr>
        <w:tc>
          <w:tcPr>
            <w:tcW w:w="1900" w:type="pct"/>
            <w:vAlign w:val="center"/>
          </w:tcPr>
          <w:p w14:paraId="4AFB33B3" w14:textId="77777777" w:rsidR="00ED2EC7" w:rsidRPr="00A53AD7" w:rsidRDefault="00D470B6" w:rsidP="00ED2EC7">
            <w:pPr>
              <w:tabs>
                <w:tab w:val="left" w:pos="253"/>
              </w:tabs>
              <w:spacing w:after="0" w:line="240" w:lineRule="auto"/>
              <w:rPr>
                <w:rFonts w:ascii="Times New Roman" w:eastAsia="Times New Roman" w:hAnsi="Times New Roman"/>
                <w:bCs/>
                <w:sz w:val="20"/>
                <w:szCs w:val="20"/>
                <w:lang w:eastAsia="ru-RU"/>
              </w:rPr>
            </w:pPr>
            <w:hyperlink r:id="rId71" w:history="1">
              <w:r w:rsidR="00ED2EC7" w:rsidRPr="00A53AD7">
                <w:rPr>
                  <w:rFonts w:ascii="Times New Roman" w:eastAsia="Times New Roman" w:hAnsi="Times New Roman"/>
                  <w:sz w:val="20"/>
                  <w:szCs w:val="20"/>
                </w:rPr>
                <w:t>Подпрограмма № 4</w:t>
              </w:r>
            </w:hyperlink>
            <w:r w:rsidR="00ED2EC7" w:rsidRPr="00A53AD7">
              <w:rPr>
                <w:rFonts w:ascii="Times New Roman" w:eastAsia="Times New Roman" w:hAnsi="Times New Roman"/>
                <w:sz w:val="20"/>
                <w:szCs w:val="20"/>
              </w:rPr>
              <w:t xml:space="preserve"> "Формирование современной городской среды на территории Архангельской области"</w:t>
            </w:r>
          </w:p>
        </w:tc>
        <w:tc>
          <w:tcPr>
            <w:tcW w:w="379" w:type="pct"/>
          </w:tcPr>
          <w:p w14:paraId="21FB428E" w14:textId="77777777" w:rsidR="00ED2EC7" w:rsidRPr="00A53AD7" w:rsidRDefault="00ED2EC7" w:rsidP="00ED2EC7">
            <w:pPr>
              <w:jc w:val="center"/>
              <w:rPr>
                <w:rFonts w:ascii="Times New Roman" w:eastAsia="Times New Roman" w:hAnsi="Times New Roman"/>
                <w:i/>
                <w:sz w:val="20"/>
                <w:szCs w:val="20"/>
                <w:lang w:eastAsia="ru-RU"/>
              </w:rPr>
            </w:pPr>
          </w:p>
          <w:p w14:paraId="3F3503F9" w14:textId="77777777" w:rsidR="00ED2EC7" w:rsidRPr="00A53AD7" w:rsidRDefault="00ED2EC7" w:rsidP="00ED2EC7">
            <w:pPr>
              <w:jc w:val="center"/>
            </w:pPr>
            <w:r w:rsidRPr="00A53AD7">
              <w:rPr>
                <w:rFonts w:ascii="Times New Roman" w:eastAsia="Times New Roman" w:hAnsi="Times New Roman"/>
                <w:i/>
                <w:sz w:val="20"/>
                <w:szCs w:val="20"/>
                <w:lang w:eastAsia="ru-RU"/>
              </w:rPr>
              <w:t>0,0</w:t>
            </w:r>
          </w:p>
        </w:tc>
        <w:tc>
          <w:tcPr>
            <w:tcW w:w="384" w:type="pct"/>
          </w:tcPr>
          <w:p w14:paraId="6FE63EBF" w14:textId="77777777" w:rsidR="00ED2EC7" w:rsidRPr="00A53AD7" w:rsidRDefault="00ED2EC7" w:rsidP="00ED2EC7">
            <w:pPr>
              <w:jc w:val="center"/>
              <w:rPr>
                <w:rFonts w:ascii="Times New Roman" w:eastAsia="Times New Roman" w:hAnsi="Times New Roman"/>
                <w:i/>
                <w:sz w:val="20"/>
                <w:szCs w:val="20"/>
                <w:lang w:eastAsia="ru-RU"/>
              </w:rPr>
            </w:pPr>
          </w:p>
          <w:p w14:paraId="6F0216AD" w14:textId="77777777" w:rsidR="00ED2EC7" w:rsidRPr="00A53AD7" w:rsidRDefault="00ED2EC7" w:rsidP="00ED2EC7">
            <w:pPr>
              <w:jc w:val="center"/>
            </w:pPr>
            <w:r w:rsidRPr="00A53AD7">
              <w:rPr>
                <w:rFonts w:ascii="Times New Roman" w:eastAsia="Times New Roman" w:hAnsi="Times New Roman"/>
                <w:i/>
                <w:sz w:val="20"/>
                <w:szCs w:val="20"/>
                <w:lang w:eastAsia="ru-RU"/>
              </w:rPr>
              <w:t>0,0</w:t>
            </w:r>
          </w:p>
        </w:tc>
        <w:tc>
          <w:tcPr>
            <w:tcW w:w="382" w:type="pct"/>
          </w:tcPr>
          <w:p w14:paraId="3E2CDD43"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A313B44"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2DBB7712"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0,0</w:t>
            </w:r>
          </w:p>
        </w:tc>
        <w:tc>
          <w:tcPr>
            <w:tcW w:w="424" w:type="pct"/>
            <w:vAlign w:val="center"/>
          </w:tcPr>
          <w:p w14:paraId="0BD3BF70"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5563F39E"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299,6</w:t>
            </w:r>
          </w:p>
        </w:tc>
        <w:tc>
          <w:tcPr>
            <w:tcW w:w="383" w:type="pct"/>
            <w:vAlign w:val="center"/>
          </w:tcPr>
          <w:p w14:paraId="7685DC9F"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086DB301"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0,0</w:t>
            </w:r>
          </w:p>
        </w:tc>
        <w:tc>
          <w:tcPr>
            <w:tcW w:w="384" w:type="pct"/>
            <w:vAlign w:val="center"/>
          </w:tcPr>
          <w:p w14:paraId="7378EEEC"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p>
          <w:p w14:paraId="0172D178" w14:textId="77777777" w:rsidR="00ED2EC7" w:rsidRPr="00A53AD7" w:rsidRDefault="00ED2EC7" w:rsidP="00ED2EC7">
            <w:pPr>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0,0</w:t>
            </w:r>
          </w:p>
        </w:tc>
        <w:tc>
          <w:tcPr>
            <w:tcW w:w="382" w:type="pct"/>
            <w:vAlign w:val="center"/>
          </w:tcPr>
          <w:p w14:paraId="2CDA944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58773DA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7678E4A1" w14:textId="77777777" w:rsidTr="00ED2EC7">
        <w:trPr>
          <w:trHeight w:val="210"/>
          <w:jc w:val="center"/>
        </w:trPr>
        <w:tc>
          <w:tcPr>
            <w:tcW w:w="1900" w:type="pct"/>
            <w:vAlign w:val="center"/>
          </w:tcPr>
          <w:p w14:paraId="25EEFF0D"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Федеральный бюджет</w:t>
            </w:r>
          </w:p>
        </w:tc>
        <w:tc>
          <w:tcPr>
            <w:tcW w:w="379" w:type="pct"/>
            <w:vAlign w:val="center"/>
          </w:tcPr>
          <w:p w14:paraId="5CBB672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1C71C77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53FE212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574BD2B4"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240,4</w:t>
            </w:r>
          </w:p>
        </w:tc>
        <w:tc>
          <w:tcPr>
            <w:tcW w:w="383" w:type="pct"/>
            <w:vAlign w:val="center"/>
          </w:tcPr>
          <w:p w14:paraId="12DF19F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13F2B7C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6181DC0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4DE21CD5"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797DC55E" w14:textId="77777777" w:rsidTr="00ED2EC7">
        <w:trPr>
          <w:trHeight w:val="210"/>
          <w:jc w:val="center"/>
        </w:trPr>
        <w:tc>
          <w:tcPr>
            <w:tcW w:w="1900" w:type="pct"/>
            <w:vAlign w:val="center"/>
          </w:tcPr>
          <w:p w14:paraId="16E7D8BF"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Областной бюджет</w:t>
            </w:r>
          </w:p>
        </w:tc>
        <w:tc>
          <w:tcPr>
            <w:tcW w:w="379" w:type="pct"/>
            <w:vAlign w:val="center"/>
          </w:tcPr>
          <w:p w14:paraId="5772CC5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6A16CF5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081E433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0C051DF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42,4</w:t>
            </w:r>
          </w:p>
        </w:tc>
        <w:tc>
          <w:tcPr>
            <w:tcW w:w="383" w:type="pct"/>
            <w:vAlign w:val="center"/>
          </w:tcPr>
          <w:p w14:paraId="3B5BAB8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46CF49B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194C6AEB"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23AE870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22A4E0E9" w14:textId="77777777" w:rsidTr="00ED2EC7">
        <w:trPr>
          <w:trHeight w:val="249"/>
          <w:jc w:val="center"/>
        </w:trPr>
        <w:tc>
          <w:tcPr>
            <w:tcW w:w="1900" w:type="pct"/>
            <w:vAlign w:val="center"/>
          </w:tcPr>
          <w:p w14:paraId="69099418"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Местный бюджет</w:t>
            </w:r>
          </w:p>
        </w:tc>
        <w:tc>
          <w:tcPr>
            <w:tcW w:w="379" w:type="pct"/>
            <w:vAlign w:val="center"/>
          </w:tcPr>
          <w:p w14:paraId="2F833AC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5871D661"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223A200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2AEB8FC0"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15,8</w:t>
            </w:r>
          </w:p>
        </w:tc>
        <w:tc>
          <w:tcPr>
            <w:tcW w:w="383" w:type="pct"/>
            <w:vAlign w:val="center"/>
          </w:tcPr>
          <w:p w14:paraId="29F67F1C"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70771E26"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24CC94D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57779BE7"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r w:rsidR="00D470B6" w:rsidRPr="00A53AD7" w14:paraId="23ABEDF5" w14:textId="77777777" w:rsidTr="00ED2EC7">
        <w:trPr>
          <w:trHeight w:val="210"/>
          <w:jc w:val="center"/>
        </w:trPr>
        <w:tc>
          <w:tcPr>
            <w:tcW w:w="1900" w:type="pct"/>
            <w:vAlign w:val="center"/>
          </w:tcPr>
          <w:p w14:paraId="2A550504" w14:textId="77777777" w:rsidR="00ED2EC7" w:rsidRPr="00A53AD7" w:rsidRDefault="00ED2EC7" w:rsidP="00ED2EC7">
            <w:pPr>
              <w:tabs>
                <w:tab w:val="left" w:pos="253"/>
              </w:tabs>
              <w:spacing w:after="0" w:line="240" w:lineRule="auto"/>
              <w:rPr>
                <w:rFonts w:ascii="Times New Roman" w:eastAsia="Times New Roman" w:hAnsi="Times New Roman"/>
                <w:bCs/>
                <w:sz w:val="16"/>
                <w:szCs w:val="16"/>
                <w:lang w:eastAsia="ru-RU"/>
              </w:rPr>
            </w:pPr>
            <w:r w:rsidRPr="00A53AD7">
              <w:rPr>
                <w:rFonts w:ascii="Times New Roman" w:eastAsia="Times New Roman" w:hAnsi="Times New Roman"/>
                <w:bCs/>
                <w:sz w:val="16"/>
                <w:szCs w:val="16"/>
                <w:lang w:eastAsia="ru-RU"/>
              </w:rPr>
              <w:t>Внебюджетные источники</w:t>
            </w:r>
          </w:p>
        </w:tc>
        <w:tc>
          <w:tcPr>
            <w:tcW w:w="379" w:type="pct"/>
            <w:vAlign w:val="center"/>
          </w:tcPr>
          <w:p w14:paraId="1AAE310A"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279C0428"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27583CDD"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424" w:type="pct"/>
            <w:vAlign w:val="center"/>
          </w:tcPr>
          <w:p w14:paraId="7F23A4F3"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0,8</w:t>
            </w:r>
          </w:p>
        </w:tc>
        <w:tc>
          <w:tcPr>
            <w:tcW w:w="383" w:type="pct"/>
            <w:vAlign w:val="center"/>
          </w:tcPr>
          <w:p w14:paraId="157C071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4" w:type="pct"/>
            <w:vAlign w:val="center"/>
          </w:tcPr>
          <w:p w14:paraId="522917A2"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0,0</w:t>
            </w:r>
          </w:p>
        </w:tc>
        <w:tc>
          <w:tcPr>
            <w:tcW w:w="382" w:type="pct"/>
            <w:vAlign w:val="center"/>
          </w:tcPr>
          <w:p w14:paraId="0D7C7B9E"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c>
          <w:tcPr>
            <w:tcW w:w="382" w:type="pct"/>
            <w:vAlign w:val="center"/>
          </w:tcPr>
          <w:p w14:paraId="7B9F2719" w14:textId="77777777" w:rsidR="00ED2EC7" w:rsidRPr="00A53AD7" w:rsidRDefault="00ED2EC7" w:rsidP="00ED2EC7">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w:t>
            </w:r>
          </w:p>
        </w:tc>
      </w:tr>
    </w:tbl>
    <w:p w14:paraId="15D49DDB"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ab/>
      </w:r>
      <w:r w:rsidRPr="00A53AD7">
        <w:rPr>
          <w:noProof/>
          <w:lang w:eastAsia="ru-RU"/>
        </w:rPr>
        <w:drawing>
          <wp:inline distT="0" distB="0" distL="0" distR="0" wp14:anchorId="584B9E59" wp14:editId="6806A827">
            <wp:extent cx="5940425" cy="2423160"/>
            <wp:effectExtent l="0" t="0" r="3175"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8B8A9D6" w14:textId="77777777" w:rsidR="00ED2EC7" w:rsidRPr="00A53AD7" w:rsidRDefault="00ED2EC7" w:rsidP="00ED2EC7">
      <w:pPr>
        <w:spacing w:after="0" w:line="240" w:lineRule="auto"/>
        <w:jc w:val="both"/>
        <w:rPr>
          <w:rFonts w:ascii="Times New Roman" w:eastAsia="Times New Roman" w:hAnsi="Times New Roman"/>
          <w:b/>
          <w:sz w:val="28"/>
          <w:szCs w:val="28"/>
          <w:highlight w:val="cyan"/>
          <w:lang w:eastAsia="ru-RU"/>
        </w:rPr>
      </w:pPr>
    </w:p>
    <w:p w14:paraId="7F5830F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Таким образом, отмечаем устойчивый рост фактических расходов на реализацию мероприятий госпрограммы с начала её действия (2014 год) по отчетный (2019 год) или рост за указанный период составил 146,8 %. По сравнению с 2018 годом отмечен рост на 111,3 %. Наибольший удельный вес таких расходов – 69,3% приходится на реализацию мероприятий подпрограммы №3 «Формирование и реализация региональной политики в сфере энергетики и жилищно-коммунального хозяйства Архангельской области».</w:t>
      </w:r>
    </w:p>
    <w:p w14:paraId="755B2C6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Государственная программа в 2019 году реализовалась в рамках 3 подпрограмм.</w:t>
      </w:r>
    </w:p>
    <w:p w14:paraId="45C24501"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течение 2019 года изменения по целевым показателям государственной программы не вносились.</w:t>
      </w:r>
    </w:p>
    <w:p w14:paraId="48DE0105" w14:textId="62F151A6"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девяти общих целевых показателей государственной программы семь выполнены на 100% и более процентов, один выполнен на 98,7%, один выполнен на 88,5% «9</w:t>
      </w:r>
      <w:r w:rsidR="00523909" w:rsidRPr="00A53AD7">
        <w:rPr>
          <w:rFonts w:ascii="Times New Roman" w:hAnsi="Times New Roman"/>
          <w:sz w:val="28"/>
          <w:szCs w:val="28"/>
        </w:rPr>
        <w:t xml:space="preserve">. </w:t>
      </w:r>
      <w:r w:rsidRPr="00A53AD7">
        <w:rPr>
          <w:rFonts w:ascii="Times New Roman" w:hAnsi="Times New Roman"/>
          <w:sz w:val="28"/>
          <w:szCs w:val="28"/>
        </w:rPr>
        <w:t>Доля населения Архангельской области, обеспеченного качественной питьевой водой из централизованных систем водоснабжения в рамках реализации федерального проекта "Чистая вода" национального проекта "Экология"».</w:t>
      </w:r>
    </w:p>
    <w:p w14:paraId="07D9E580"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об изменениях объемов финансирования программных мероприятий на 2019 год представлена в таблице:</w:t>
      </w:r>
    </w:p>
    <w:tbl>
      <w:tblPr>
        <w:tblW w:w="935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3119"/>
        <w:gridCol w:w="1559"/>
        <w:gridCol w:w="1418"/>
        <w:gridCol w:w="1559"/>
        <w:gridCol w:w="992"/>
        <w:gridCol w:w="709"/>
      </w:tblGrid>
      <w:tr w:rsidR="00D470B6" w:rsidRPr="00A53AD7" w14:paraId="02E4C131" w14:textId="77777777" w:rsidTr="00ED2EC7">
        <w:trPr>
          <w:trHeight w:val="195"/>
        </w:trPr>
        <w:tc>
          <w:tcPr>
            <w:tcW w:w="3119" w:type="dxa"/>
            <w:vAlign w:val="center"/>
          </w:tcPr>
          <w:p w14:paraId="4D461A51" w14:textId="77777777" w:rsidR="00ED2EC7" w:rsidRPr="00A53AD7" w:rsidRDefault="00ED2EC7" w:rsidP="00ED2EC7">
            <w:pPr>
              <w:autoSpaceDE w:val="0"/>
              <w:autoSpaceDN w:val="0"/>
              <w:adjustRightInd w:val="0"/>
              <w:spacing w:after="0" w:line="240" w:lineRule="auto"/>
              <w:jc w:val="center"/>
              <w:rPr>
                <w:rFonts w:ascii="Times New Roman" w:hAnsi="Times New Roman"/>
              </w:rPr>
            </w:pPr>
            <w:r w:rsidRPr="00A53AD7">
              <w:rPr>
                <w:rFonts w:ascii="Times New Roman" w:hAnsi="Times New Roman"/>
              </w:rPr>
              <w:t>Наименование показателя</w:t>
            </w:r>
          </w:p>
        </w:tc>
        <w:tc>
          <w:tcPr>
            <w:tcW w:w="1559" w:type="dxa"/>
            <w:vAlign w:val="center"/>
          </w:tcPr>
          <w:p w14:paraId="156C85D2"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lang w:eastAsia="ru-RU"/>
              </w:rPr>
            </w:pPr>
            <w:r w:rsidRPr="00A53AD7">
              <w:rPr>
                <w:rFonts w:ascii="Times New Roman" w:hAnsi="Times New Roman"/>
                <w:sz w:val="20"/>
                <w:szCs w:val="20"/>
              </w:rPr>
              <w:t>Объем</w:t>
            </w:r>
            <w:r w:rsidRPr="00A53AD7">
              <w:rPr>
                <w:rFonts w:ascii="Times New Roman" w:hAnsi="Times New Roman"/>
                <w:sz w:val="20"/>
                <w:szCs w:val="20"/>
                <w:lang w:eastAsia="ru-RU"/>
              </w:rPr>
              <w:t xml:space="preserve"> </w:t>
            </w:r>
            <w:r w:rsidRPr="00A53AD7">
              <w:rPr>
                <w:rFonts w:ascii="Times New Roman" w:hAnsi="Times New Roman"/>
                <w:sz w:val="20"/>
                <w:szCs w:val="20"/>
              </w:rPr>
              <w:t>финансирования ГП на 01.01.2019</w:t>
            </w:r>
            <w:r w:rsidRPr="00A53AD7">
              <w:rPr>
                <w:rFonts w:ascii="Times New Roman" w:hAnsi="Times New Roman"/>
                <w:sz w:val="20"/>
                <w:szCs w:val="20"/>
                <w:lang w:eastAsia="ru-RU"/>
              </w:rPr>
              <w:t xml:space="preserve"> (в ред. от 26.12.20187. № 640-ПП)</w:t>
            </w:r>
            <w:r w:rsidRPr="00A53AD7">
              <w:rPr>
                <w:rFonts w:ascii="Times New Roman" w:hAnsi="Times New Roman"/>
                <w:sz w:val="20"/>
                <w:szCs w:val="20"/>
              </w:rPr>
              <w:t>,</w:t>
            </w:r>
          </w:p>
          <w:p w14:paraId="7F568E72" w14:textId="6B76B2E4" w:rsidR="00ED2EC7" w:rsidRPr="00A53AD7" w:rsidRDefault="00163D1C"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млн.</w:t>
            </w:r>
            <w:r w:rsidR="00ED2EC7" w:rsidRPr="00A53AD7">
              <w:rPr>
                <w:rFonts w:ascii="Times New Roman" w:hAnsi="Times New Roman"/>
                <w:sz w:val="20"/>
                <w:szCs w:val="20"/>
              </w:rPr>
              <w:t>руб.</w:t>
            </w:r>
          </w:p>
        </w:tc>
        <w:tc>
          <w:tcPr>
            <w:tcW w:w="1418" w:type="dxa"/>
            <w:vAlign w:val="center"/>
          </w:tcPr>
          <w:p w14:paraId="36A39E5B"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lang w:eastAsia="ru-RU"/>
              </w:rPr>
            </w:pPr>
            <w:r w:rsidRPr="00A53AD7">
              <w:rPr>
                <w:rFonts w:ascii="Times New Roman" w:hAnsi="Times New Roman"/>
                <w:sz w:val="20"/>
                <w:szCs w:val="20"/>
              </w:rPr>
              <w:t>Объем финансирования ГП на 31.12.2019</w:t>
            </w:r>
          </w:p>
          <w:p w14:paraId="3DFED51C" w14:textId="4ACF89FF"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lang w:eastAsia="ru-RU"/>
              </w:rPr>
              <w:t>(в ред. от 24.12. 2019 г. № 744-пп)</w:t>
            </w:r>
            <w:r w:rsidR="00163D1C" w:rsidRPr="00A53AD7">
              <w:rPr>
                <w:rFonts w:ascii="Times New Roman" w:hAnsi="Times New Roman"/>
                <w:sz w:val="20"/>
                <w:szCs w:val="20"/>
              </w:rPr>
              <w:t>, млн.</w:t>
            </w:r>
            <w:r w:rsidRPr="00A53AD7">
              <w:rPr>
                <w:rFonts w:ascii="Times New Roman" w:hAnsi="Times New Roman"/>
                <w:sz w:val="20"/>
                <w:szCs w:val="20"/>
              </w:rPr>
              <w:t>руб.</w:t>
            </w:r>
          </w:p>
        </w:tc>
        <w:tc>
          <w:tcPr>
            <w:tcW w:w="1559" w:type="dxa"/>
            <w:vAlign w:val="center"/>
          </w:tcPr>
          <w:p w14:paraId="74427B05"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Объем финансирования ГП на 24.01.2020</w:t>
            </w:r>
          </w:p>
          <w:p w14:paraId="35766594" w14:textId="5A96F1DE"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(в ред. от 23.01.2020 № 27-ПП),</w:t>
            </w:r>
          </w:p>
          <w:p w14:paraId="1A23B4DC" w14:textId="3C8B21D9" w:rsidR="00ED2EC7" w:rsidRPr="00A53AD7" w:rsidRDefault="00163D1C"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млн.</w:t>
            </w:r>
            <w:r w:rsidR="00ED2EC7" w:rsidRPr="00A53AD7">
              <w:rPr>
                <w:rFonts w:ascii="Times New Roman" w:hAnsi="Times New Roman"/>
                <w:sz w:val="20"/>
                <w:szCs w:val="20"/>
              </w:rPr>
              <w:t>руб.</w:t>
            </w:r>
          </w:p>
        </w:tc>
        <w:tc>
          <w:tcPr>
            <w:tcW w:w="992" w:type="dxa"/>
            <w:vAlign w:val="center"/>
          </w:tcPr>
          <w:p w14:paraId="66DE2A72"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Отклонение,</w:t>
            </w:r>
          </w:p>
          <w:p w14:paraId="740F3F09" w14:textId="6BC9BF1E"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(гр. 5 – гр.</w:t>
            </w:r>
            <w:r w:rsidR="00523909" w:rsidRPr="00A53AD7">
              <w:rPr>
                <w:rFonts w:ascii="Times New Roman" w:hAnsi="Times New Roman"/>
                <w:sz w:val="20"/>
                <w:szCs w:val="20"/>
              </w:rPr>
              <w:t xml:space="preserve"> </w:t>
            </w:r>
            <w:r w:rsidRPr="00A53AD7">
              <w:rPr>
                <w:rFonts w:ascii="Times New Roman" w:hAnsi="Times New Roman"/>
                <w:sz w:val="20"/>
                <w:szCs w:val="20"/>
              </w:rPr>
              <w:t>3)</w:t>
            </w:r>
          </w:p>
          <w:p w14:paraId="07F2447E"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млн. руб.</w:t>
            </w:r>
          </w:p>
        </w:tc>
        <w:tc>
          <w:tcPr>
            <w:tcW w:w="709" w:type="dxa"/>
            <w:vAlign w:val="center"/>
          </w:tcPr>
          <w:p w14:paraId="743A51F0"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Отклонение,</w:t>
            </w:r>
          </w:p>
          <w:p w14:paraId="7C665EEB" w14:textId="35B5CA33"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(гр. 5 / гр.</w:t>
            </w:r>
            <w:r w:rsidR="00523909" w:rsidRPr="00A53AD7">
              <w:rPr>
                <w:rFonts w:ascii="Times New Roman" w:hAnsi="Times New Roman"/>
                <w:sz w:val="20"/>
                <w:szCs w:val="20"/>
              </w:rPr>
              <w:t xml:space="preserve"> </w:t>
            </w:r>
            <w:r w:rsidRPr="00A53AD7">
              <w:rPr>
                <w:rFonts w:ascii="Times New Roman" w:hAnsi="Times New Roman"/>
                <w:sz w:val="20"/>
                <w:szCs w:val="20"/>
              </w:rPr>
              <w:t>3)</w:t>
            </w:r>
          </w:p>
          <w:p w14:paraId="7E544B96"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w:t>
            </w:r>
          </w:p>
        </w:tc>
      </w:tr>
      <w:tr w:rsidR="00D470B6" w:rsidRPr="00A53AD7" w14:paraId="4717E9D4" w14:textId="77777777" w:rsidTr="00ED2EC7">
        <w:trPr>
          <w:trHeight w:val="256"/>
        </w:trPr>
        <w:tc>
          <w:tcPr>
            <w:tcW w:w="3119" w:type="dxa"/>
          </w:tcPr>
          <w:p w14:paraId="1CD4267B"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w:t>
            </w:r>
          </w:p>
        </w:tc>
        <w:tc>
          <w:tcPr>
            <w:tcW w:w="1559" w:type="dxa"/>
          </w:tcPr>
          <w:p w14:paraId="11D50093"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3</w:t>
            </w:r>
          </w:p>
        </w:tc>
        <w:tc>
          <w:tcPr>
            <w:tcW w:w="1418" w:type="dxa"/>
          </w:tcPr>
          <w:p w14:paraId="3383C140"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4</w:t>
            </w:r>
          </w:p>
        </w:tc>
        <w:tc>
          <w:tcPr>
            <w:tcW w:w="1559" w:type="dxa"/>
          </w:tcPr>
          <w:p w14:paraId="6099706A"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5</w:t>
            </w:r>
          </w:p>
        </w:tc>
        <w:tc>
          <w:tcPr>
            <w:tcW w:w="992" w:type="dxa"/>
          </w:tcPr>
          <w:p w14:paraId="797A8D3D"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w:t>
            </w:r>
          </w:p>
        </w:tc>
        <w:tc>
          <w:tcPr>
            <w:tcW w:w="709" w:type="dxa"/>
          </w:tcPr>
          <w:p w14:paraId="6D894B3A" w14:textId="77777777" w:rsidR="00ED2EC7" w:rsidRPr="00A53AD7" w:rsidRDefault="00ED2EC7" w:rsidP="00ED2EC7">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7</w:t>
            </w:r>
          </w:p>
        </w:tc>
      </w:tr>
      <w:tr w:rsidR="00D470B6" w:rsidRPr="00A53AD7" w14:paraId="3EC56E2E" w14:textId="77777777" w:rsidTr="00ED2EC7">
        <w:trPr>
          <w:trHeight w:val="558"/>
        </w:trPr>
        <w:tc>
          <w:tcPr>
            <w:tcW w:w="3119" w:type="dxa"/>
          </w:tcPr>
          <w:p w14:paraId="7B724A4C" w14:textId="77777777" w:rsidR="00ED2EC7" w:rsidRPr="00A53AD7" w:rsidRDefault="00ED2EC7" w:rsidP="00ED2EC7">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Всего объем финансирования по государственной программе на 2019 год</w:t>
            </w:r>
          </w:p>
        </w:tc>
        <w:tc>
          <w:tcPr>
            <w:tcW w:w="1559" w:type="dxa"/>
          </w:tcPr>
          <w:p w14:paraId="6A992F1B"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p>
          <w:p w14:paraId="11B1156C"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r w:rsidRPr="00A53AD7">
              <w:rPr>
                <w:rFonts w:ascii="Times New Roman" w:hAnsi="Times New Roman"/>
                <w:b/>
                <w:sz w:val="20"/>
                <w:szCs w:val="20"/>
              </w:rPr>
              <w:t>4 643,4</w:t>
            </w:r>
          </w:p>
        </w:tc>
        <w:tc>
          <w:tcPr>
            <w:tcW w:w="1418" w:type="dxa"/>
          </w:tcPr>
          <w:p w14:paraId="518F9851"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p>
          <w:p w14:paraId="0CD32B3A"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r w:rsidRPr="00A53AD7">
              <w:rPr>
                <w:rFonts w:ascii="Times New Roman" w:hAnsi="Times New Roman"/>
                <w:b/>
                <w:sz w:val="20"/>
                <w:szCs w:val="20"/>
              </w:rPr>
              <w:t>5 998,6</w:t>
            </w:r>
          </w:p>
        </w:tc>
        <w:tc>
          <w:tcPr>
            <w:tcW w:w="1559" w:type="dxa"/>
          </w:tcPr>
          <w:p w14:paraId="1C2E14B5"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p>
          <w:p w14:paraId="2EDD25EB"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r w:rsidRPr="00A53AD7">
              <w:rPr>
                <w:rFonts w:ascii="Times New Roman" w:hAnsi="Times New Roman"/>
                <w:b/>
                <w:sz w:val="20"/>
                <w:szCs w:val="20"/>
              </w:rPr>
              <w:t>5 913,3</w:t>
            </w:r>
          </w:p>
        </w:tc>
        <w:tc>
          <w:tcPr>
            <w:tcW w:w="992" w:type="dxa"/>
          </w:tcPr>
          <w:p w14:paraId="75046AC1"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p>
          <w:p w14:paraId="45806BC5"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r w:rsidRPr="00A53AD7">
              <w:rPr>
                <w:rFonts w:ascii="Times New Roman" w:hAnsi="Times New Roman"/>
                <w:b/>
                <w:sz w:val="20"/>
                <w:szCs w:val="20"/>
              </w:rPr>
              <w:t>+1 269,9</w:t>
            </w:r>
          </w:p>
        </w:tc>
        <w:tc>
          <w:tcPr>
            <w:tcW w:w="709" w:type="dxa"/>
          </w:tcPr>
          <w:p w14:paraId="6AB32F91"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p>
          <w:p w14:paraId="7734C70E" w14:textId="77777777" w:rsidR="00ED2EC7" w:rsidRPr="00A53AD7" w:rsidRDefault="00ED2EC7" w:rsidP="00ED2EC7">
            <w:pPr>
              <w:autoSpaceDE w:val="0"/>
              <w:autoSpaceDN w:val="0"/>
              <w:adjustRightInd w:val="0"/>
              <w:spacing w:after="0" w:line="240" w:lineRule="auto"/>
              <w:jc w:val="right"/>
              <w:rPr>
                <w:rFonts w:ascii="Times New Roman" w:hAnsi="Times New Roman"/>
                <w:b/>
                <w:sz w:val="20"/>
                <w:szCs w:val="20"/>
              </w:rPr>
            </w:pPr>
            <w:r w:rsidRPr="00A53AD7">
              <w:rPr>
                <w:rFonts w:ascii="Times New Roman" w:hAnsi="Times New Roman"/>
                <w:b/>
                <w:sz w:val="20"/>
                <w:szCs w:val="20"/>
              </w:rPr>
              <w:t>127,4</w:t>
            </w:r>
          </w:p>
        </w:tc>
      </w:tr>
      <w:tr w:rsidR="00D470B6" w:rsidRPr="00A53AD7" w14:paraId="2F1F0932" w14:textId="77777777" w:rsidTr="00ED2EC7">
        <w:trPr>
          <w:trHeight w:val="697"/>
        </w:trPr>
        <w:tc>
          <w:tcPr>
            <w:tcW w:w="3119" w:type="dxa"/>
          </w:tcPr>
          <w:p w14:paraId="3720AB8F" w14:textId="77777777" w:rsidR="00ED2EC7" w:rsidRPr="00A53AD7" w:rsidRDefault="00D470B6" w:rsidP="00ED2EC7">
            <w:pPr>
              <w:autoSpaceDE w:val="0"/>
              <w:autoSpaceDN w:val="0"/>
              <w:adjustRightInd w:val="0"/>
              <w:spacing w:after="0" w:line="240" w:lineRule="auto"/>
              <w:rPr>
                <w:rFonts w:ascii="Times New Roman" w:hAnsi="Times New Roman"/>
                <w:sz w:val="20"/>
                <w:szCs w:val="20"/>
              </w:rPr>
            </w:pPr>
            <w:hyperlink r:id="rId73" w:history="1">
              <w:r w:rsidR="00ED2EC7" w:rsidRPr="00A53AD7">
                <w:rPr>
                  <w:rFonts w:ascii="Times New Roman" w:hAnsi="Times New Roman"/>
                  <w:sz w:val="20"/>
                  <w:szCs w:val="20"/>
                </w:rPr>
                <w:t>Подпрограмма</w:t>
              </w:r>
            </w:hyperlink>
            <w:r w:rsidR="00ED2EC7" w:rsidRPr="00A53AD7">
              <w:rPr>
                <w:rFonts w:ascii="Times New Roman" w:hAnsi="Times New Roman"/>
                <w:sz w:val="20"/>
                <w:szCs w:val="20"/>
              </w:rPr>
              <w:t xml:space="preserve"> № 1 "Энергосбережение и повышение энергетической эффективности в Архангельской области"</w:t>
            </w:r>
          </w:p>
        </w:tc>
        <w:tc>
          <w:tcPr>
            <w:tcW w:w="1559" w:type="dxa"/>
          </w:tcPr>
          <w:p w14:paraId="7B626669"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08FFC5B4"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1 239,4</w:t>
            </w:r>
          </w:p>
        </w:tc>
        <w:tc>
          <w:tcPr>
            <w:tcW w:w="1418" w:type="dxa"/>
          </w:tcPr>
          <w:p w14:paraId="57505219"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3F6A5C67"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1 396,2</w:t>
            </w:r>
          </w:p>
        </w:tc>
        <w:tc>
          <w:tcPr>
            <w:tcW w:w="1559" w:type="dxa"/>
          </w:tcPr>
          <w:p w14:paraId="6E67B4A8"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1B8A77B0"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1 311,0</w:t>
            </w:r>
          </w:p>
        </w:tc>
        <w:tc>
          <w:tcPr>
            <w:tcW w:w="992" w:type="dxa"/>
          </w:tcPr>
          <w:p w14:paraId="2A1E48B8"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66D89402"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+71,6</w:t>
            </w:r>
          </w:p>
        </w:tc>
        <w:tc>
          <w:tcPr>
            <w:tcW w:w="709" w:type="dxa"/>
          </w:tcPr>
          <w:p w14:paraId="1DB2F06A"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74BDC442"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105,8</w:t>
            </w:r>
          </w:p>
        </w:tc>
      </w:tr>
      <w:tr w:rsidR="00D470B6" w:rsidRPr="00A53AD7" w14:paraId="40A9DC01" w14:textId="77777777" w:rsidTr="00ED2EC7">
        <w:trPr>
          <w:trHeight w:val="518"/>
        </w:trPr>
        <w:tc>
          <w:tcPr>
            <w:tcW w:w="3119" w:type="dxa"/>
          </w:tcPr>
          <w:p w14:paraId="54B08852" w14:textId="77777777" w:rsidR="00ED2EC7" w:rsidRPr="00A53AD7" w:rsidRDefault="00D470B6" w:rsidP="00ED2EC7">
            <w:pPr>
              <w:autoSpaceDE w:val="0"/>
              <w:autoSpaceDN w:val="0"/>
              <w:adjustRightInd w:val="0"/>
              <w:spacing w:after="0" w:line="240" w:lineRule="auto"/>
              <w:rPr>
                <w:rFonts w:ascii="Times New Roman" w:hAnsi="Times New Roman"/>
                <w:sz w:val="20"/>
                <w:szCs w:val="20"/>
              </w:rPr>
            </w:pPr>
            <w:hyperlink r:id="rId74" w:history="1">
              <w:r w:rsidR="00ED2EC7" w:rsidRPr="00A53AD7">
                <w:rPr>
                  <w:rFonts w:ascii="Times New Roman" w:hAnsi="Times New Roman"/>
                  <w:sz w:val="20"/>
                  <w:szCs w:val="20"/>
                </w:rPr>
                <w:t>Подпрограмма</w:t>
              </w:r>
            </w:hyperlink>
            <w:r w:rsidR="00ED2EC7" w:rsidRPr="00A53AD7">
              <w:rPr>
                <w:rFonts w:ascii="Times New Roman" w:hAnsi="Times New Roman"/>
                <w:sz w:val="20"/>
                <w:szCs w:val="20"/>
              </w:rPr>
              <w:t xml:space="preserve"> № 2 "Газификация Архангельской области"</w:t>
            </w:r>
          </w:p>
        </w:tc>
        <w:tc>
          <w:tcPr>
            <w:tcW w:w="1559" w:type="dxa"/>
          </w:tcPr>
          <w:p w14:paraId="136AA4BB"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7D3E65D5"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116,6</w:t>
            </w:r>
          </w:p>
        </w:tc>
        <w:tc>
          <w:tcPr>
            <w:tcW w:w="1418" w:type="dxa"/>
          </w:tcPr>
          <w:p w14:paraId="5DD59CA8"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66E7B1AB"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64,9</w:t>
            </w:r>
          </w:p>
        </w:tc>
        <w:tc>
          <w:tcPr>
            <w:tcW w:w="1559" w:type="dxa"/>
          </w:tcPr>
          <w:p w14:paraId="6197E8C0"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1BC902B7"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64,9</w:t>
            </w:r>
          </w:p>
        </w:tc>
        <w:tc>
          <w:tcPr>
            <w:tcW w:w="992" w:type="dxa"/>
          </w:tcPr>
          <w:p w14:paraId="0979EEB7"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25C799DB"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-51,7</w:t>
            </w:r>
          </w:p>
        </w:tc>
        <w:tc>
          <w:tcPr>
            <w:tcW w:w="709" w:type="dxa"/>
          </w:tcPr>
          <w:p w14:paraId="756622F3"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6A57AD8D"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55,7</w:t>
            </w:r>
          </w:p>
        </w:tc>
      </w:tr>
      <w:tr w:rsidR="00ED2EC7" w:rsidRPr="00A53AD7" w14:paraId="49E37E87" w14:textId="77777777" w:rsidTr="00ED2EC7">
        <w:trPr>
          <w:trHeight w:val="273"/>
        </w:trPr>
        <w:tc>
          <w:tcPr>
            <w:tcW w:w="3119" w:type="dxa"/>
          </w:tcPr>
          <w:p w14:paraId="4F69EDC6" w14:textId="77777777" w:rsidR="00ED2EC7" w:rsidRPr="00A53AD7" w:rsidRDefault="00D470B6" w:rsidP="00ED2EC7">
            <w:pPr>
              <w:autoSpaceDE w:val="0"/>
              <w:autoSpaceDN w:val="0"/>
              <w:adjustRightInd w:val="0"/>
              <w:spacing w:after="0" w:line="240" w:lineRule="auto"/>
              <w:rPr>
                <w:rFonts w:ascii="Times New Roman" w:hAnsi="Times New Roman"/>
                <w:sz w:val="20"/>
                <w:szCs w:val="20"/>
              </w:rPr>
            </w:pPr>
            <w:hyperlink r:id="rId75" w:history="1">
              <w:r w:rsidR="00ED2EC7" w:rsidRPr="00A53AD7">
                <w:rPr>
                  <w:rFonts w:ascii="Times New Roman" w:hAnsi="Times New Roman"/>
                  <w:sz w:val="20"/>
                  <w:szCs w:val="20"/>
                </w:rPr>
                <w:t>Подпрограмма</w:t>
              </w:r>
            </w:hyperlink>
            <w:r w:rsidR="00ED2EC7" w:rsidRPr="00A53AD7">
              <w:rPr>
                <w:rFonts w:ascii="Times New Roman" w:hAnsi="Times New Roman"/>
                <w:sz w:val="20"/>
                <w:szCs w:val="20"/>
              </w:rPr>
              <w:t xml:space="preserve"> № 3 "Формирование и реализация региональной политики в сфере энергетики, связи и жилищно-коммунального хозяйства Архангельской области"</w:t>
            </w:r>
          </w:p>
        </w:tc>
        <w:tc>
          <w:tcPr>
            <w:tcW w:w="1559" w:type="dxa"/>
          </w:tcPr>
          <w:p w14:paraId="2DD3B5D9"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2DF41568"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3 287,4</w:t>
            </w:r>
          </w:p>
        </w:tc>
        <w:tc>
          <w:tcPr>
            <w:tcW w:w="1418" w:type="dxa"/>
          </w:tcPr>
          <w:p w14:paraId="07E60CE1"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1F88BBE7"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4 537,4</w:t>
            </w:r>
          </w:p>
        </w:tc>
        <w:tc>
          <w:tcPr>
            <w:tcW w:w="1559" w:type="dxa"/>
          </w:tcPr>
          <w:p w14:paraId="5B9D4E2E"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3CCD1C91"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4 537,4</w:t>
            </w:r>
          </w:p>
        </w:tc>
        <w:tc>
          <w:tcPr>
            <w:tcW w:w="992" w:type="dxa"/>
          </w:tcPr>
          <w:p w14:paraId="23CDC90F"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28A70AE2"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+1 250,0</w:t>
            </w:r>
          </w:p>
        </w:tc>
        <w:tc>
          <w:tcPr>
            <w:tcW w:w="709" w:type="dxa"/>
          </w:tcPr>
          <w:p w14:paraId="2B59500D"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p>
          <w:p w14:paraId="1C60D54C" w14:textId="77777777" w:rsidR="00ED2EC7" w:rsidRPr="00A53AD7" w:rsidRDefault="00ED2EC7" w:rsidP="00ED2EC7">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138,0</w:t>
            </w:r>
          </w:p>
        </w:tc>
      </w:tr>
    </w:tbl>
    <w:p w14:paraId="3779EA8B" w14:textId="77777777" w:rsidR="00ED2EC7" w:rsidRPr="00A53AD7" w:rsidRDefault="00ED2EC7" w:rsidP="00ED2EC7">
      <w:pPr>
        <w:spacing w:after="0" w:line="240" w:lineRule="atLeast"/>
        <w:ind w:firstLine="708"/>
        <w:jc w:val="both"/>
        <w:rPr>
          <w:rFonts w:ascii="Times New Roman" w:eastAsia="Times New Roman" w:hAnsi="Times New Roman"/>
          <w:sz w:val="28"/>
          <w:szCs w:val="28"/>
          <w:highlight w:val="cyan"/>
          <w:lang w:eastAsia="ru-RU"/>
        </w:rPr>
      </w:pPr>
    </w:p>
    <w:p w14:paraId="5B27A6BE" w14:textId="145B1C3D"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Расходы согласно отчету о реализации мероприятий госпрограммы за 2019 год, размещенному в системе КИАС, за счет всех источников с</w:t>
      </w:r>
      <w:r w:rsidR="00163D1C" w:rsidRPr="00A53AD7">
        <w:rPr>
          <w:rFonts w:ascii="Times New Roman" w:hAnsi="Times New Roman"/>
          <w:sz w:val="28"/>
          <w:szCs w:val="28"/>
        </w:rPr>
        <w:t>оставили в размере 6 345,0 млн.</w:t>
      </w:r>
      <w:r w:rsidRPr="00A53AD7">
        <w:rPr>
          <w:rFonts w:ascii="Times New Roman" w:hAnsi="Times New Roman"/>
          <w:sz w:val="28"/>
          <w:szCs w:val="28"/>
        </w:rPr>
        <w:t>руб. или 107,3% к плану на год или 111,3% к аналогичному периоду прошлого года.</w:t>
      </w:r>
    </w:p>
    <w:p w14:paraId="1B34B578" w14:textId="77777777" w:rsidR="00ED2EC7" w:rsidRPr="00A53AD7" w:rsidRDefault="00ED2EC7" w:rsidP="00ED2EC7">
      <w:pPr>
        <w:pStyle w:val="ad"/>
        <w:ind w:firstLine="851"/>
        <w:jc w:val="both"/>
        <w:rPr>
          <w:rFonts w:ascii="Times New Roman" w:hAnsi="Times New Roman"/>
          <w:sz w:val="28"/>
          <w:szCs w:val="28"/>
        </w:rPr>
      </w:pPr>
    </w:p>
    <w:p w14:paraId="50228C64" w14:textId="77777777" w:rsidR="00ED2EC7" w:rsidRPr="00A53AD7" w:rsidRDefault="00ED2EC7" w:rsidP="00ED2EC7">
      <w:pPr>
        <w:spacing w:after="0" w:line="240" w:lineRule="atLeast"/>
        <w:rPr>
          <w:rFonts w:ascii="Times New Roman" w:eastAsia="Times New Roman" w:hAnsi="Times New Roman"/>
          <w:sz w:val="28"/>
          <w:szCs w:val="28"/>
          <w:u w:val="single"/>
          <w:lang w:eastAsia="ru-RU"/>
        </w:rPr>
      </w:pPr>
      <w:r w:rsidRPr="00A53AD7">
        <w:rPr>
          <w:rFonts w:ascii="Times New Roman" w:eastAsia="Times New Roman" w:hAnsi="Times New Roman"/>
          <w:sz w:val="28"/>
          <w:szCs w:val="28"/>
          <w:u w:val="single"/>
          <w:lang w:eastAsia="ru-RU"/>
        </w:rPr>
        <w:t>Подпрограмма № 1</w:t>
      </w:r>
      <w:r w:rsidRPr="00A53AD7">
        <w:rPr>
          <w:rFonts w:ascii="Times New Roman" w:eastAsia="Times New Roman" w:hAnsi="Times New Roman"/>
          <w:b/>
          <w:sz w:val="28"/>
          <w:szCs w:val="28"/>
          <w:u w:val="single"/>
          <w:lang w:eastAsia="ru-RU"/>
        </w:rPr>
        <w:t xml:space="preserve"> </w:t>
      </w:r>
      <w:r w:rsidRPr="00A53AD7">
        <w:rPr>
          <w:rFonts w:ascii="Times New Roman" w:eastAsia="Times New Roman" w:hAnsi="Times New Roman"/>
          <w:sz w:val="28"/>
          <w:szCs w:val="28"/>
          <w:u w:val="single"/>
          <w:lang w:eastAsia="ru-RU"/>
        </w:rPr>
        <w:t>«Энергосбережение и повышение энергетической эффективности в Архангельской области»</w:t>
      </w:r>
    </w:p>
    <w:p w14:paraId="5870C353"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Целевые показатели подпрограммы № 1 утверждены в Приложении № 1 к ГП «Развитие энергетики и ЖКХ» (с 10 по 19), из девяти целевых показателей выполнены на 100% и более процентов четыре, три выполнены на 93,9 - 95,6%, один выполнен на 88,5%, один выполнен на 70% (11. Протяженность водопроводных сетей, модернизация или капитальный ремонт которых выполнен в текущем году факт 2,8 км при плане 4 км).</w:t>
      </w:r>
    </w:p>
    <w:p w14:paraId="79022FAD"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рамках подпрограммы в 2019 году запланировано к реализации 9 мероприятий. За отчетный период 6 мероприятий выполнены на 100% и выше, 1 мероприятие на 99,9%, 1 мероприятие выполнено на 82,8%, 1 мероприятие кассовое исполнение 0%.</w:t>
      </w:r>
    </w:p>
    <w:p w14:paraId="63EBE898"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Согласно отчету по государственной программе за 2019 год, размещенному в комплексной информационно-аналитической системе Архангельской области, информация об исполнении программных мероприятий из различных источников за 2019 год представлена в таблице:</w:t>
      </w:r>
    </w:p>
    <w:tbl>
      <w:tblPr>
        <w:tblW w:w="927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4"/>
        <w:gridCol w:w="2429"/>
        <w:gridCol w:w="1436"/>
        <w:gridCol w:w="1436"/>
      </w:tblGrid>
      <w:tr w:rsidR="00D470B6" w:rsidRPr="00A53AD7" w14:paraId="1F3DA109" w14:textId="77777777" w:rsidTr="00ED2EC7">
        <w:trPr>
          <w:trHeight w:val="973"/>
          <w:tblHeader/>
        </w:trPr>
        <w:tc>
          <w:tcPr>
            <w:tcW w:w="1985" w:type="dxa"/>
            <w:shd w:val="clear" w:color="auto" w:fill="auto"/>
          </w:tcPr>
          <w:p w14:paraId="6C470D05"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Наименование источника финансирования</w:t>
            </w:r>
          </w:p>
        </w:tc>
        <w:tc>
          <w:tcPr>
            <w:tcW w:w="1984" w:type="dxa"/>
            <w:shd w:val="clear" w:color="auto" w:fill="auto"/>
          </w:tcPr>
          <w:p w14:paraId="7CCB780B"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xml:space="preserve">Объем финансирования ГП (на 31.12.2019), </w:t>
            </w:r>
          </w:p>
          <w:p w14:paraId="24C92852"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2429" w:type="dxa"/>
            <w:shd w:val="clear" w:color="auto" w:fill="auto"/>
          </w:tcPr>
          <w:p w14:paraId="541CA209"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Исполнение (согласно отчету, размещенному в КИАС на 23.04.2020),</w:t>
            </w:r>
          </w:p>
          <w:p w14:paraId="698121B6"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1436" w:type="dxa"/>
          </w:tcPr>
          <w:p w14:paraId="19F73948"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Отклонение</w:t>
            </w:r>
          </w:p>
          <w:p w14:paraId="3C5D43CB"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1436" w:type="dxa"/>
            <w:shd w:val="clear" w:color="auto" w:fill="auto"/>
          </w:tcPr>
          <w:p w14:paraId="60FE84E8"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исполнения</w:t>
            </w:r>
          </w:p>
        </w:tc>
      </w:tr>
      <w:tr w:rsidR="00D470B6" w:rsidRPr="00A53AD7" w14:paraId="0ACBEA66" w14:textId="77777777" w:rsidTr="00ED2EC7">
        <w:tc>
          <w:tcPr>
            <w:tcW w:w="1985" w:type="dxa"/>
            <w:shd w:val="clear" w:color="auto" w:fill="auto"/>
          </w:tcPr>
          <w:p w14:paraId="1A578733"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федеральный</w:t>
            </w:r>
            <w:r w:rsidRPr="00A53AD7">
              <w:t xml:space="preserve"> </w:t>
            </w:r>
            <w:r w:rsidRPr="00A53AD7">
              <w:rPr>
                <w:rFonts w:ascii="Times New Roman" w:hAnsi="Times New Roman"/>
              </w:rPr>
              <w:t>бюджет</w:t>
            </w:r>
          </w:p>
        </w:tc>
        <w:tc>
          <w:tcPr>
            <w:tcW w:w="1984" w:type="dxa"/>
            <w:shd w:val="clear" w:color="auto" w:fill="auto"/>
          </w:tcPr>
          <w:p w14:paraId="2AEA7A75"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0</w:t>
            </w:r>
          </w:p>
        </w:tc>
        <w:tc>
          <w:tcPr>
            <w:tcW w:w="2429" w:type="dxa"/>
            <w:shd w:val="clear" w:color="auto" w:fill="auto"/>
          </w:tcPr>
          <w:p w14:paraId="0068A68F"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0</w:t>
            </w:r>
          </w:p>
        </w:tc>
        <w:tc>
          <w:tcPr>
            <w:tcW w:w="1436" w:type="dxa"/>
          </w:tcPr>
          <w:p w14:paraId="49CA7D70"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0</w:t>
            </w:r>
          </w:p>
        </w:tc>
        <w:tc>
          <w:tcPr>
            <w:tcW w:w="1436" w:type="dxa"/>
            <w:shd w:val="clear" w:color="auto" w:fill="auto"/>
          </w:tcPr>
          <w:p w14:paraId="783B0215"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0</w:t>
            </w:r>
          </w:p>
        </w:tc>
      </w:tr>
      <w:tr w:rsidR="00D470B6" w:rsidRPr="00A53AD7" w14:paraId="2FAFC9E7" w14:textId="77777777" w:rsidTr="00ED2EC7">
        <w:tc>
          <w:tcPr>
            <w:tcW w:w="1985" w:type="dxa"/>
            <w:shd w:val="clear" w:color="auto" w:fill="auto"/>
          </w:tcPr>
          <w:p w14:paraId="4BEC0DD1"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областной</w:t>
            </w:r>
            <w:r w:rsidRPr="00A53AD7">
              <w:t xml:space="preserve"> </w:t>
            </w:r>
            <w:r w:rsidRPr="00A53AD7">
              <w:rPr>
                <w:rFonts w:ascii="Times New Roman" w:hAnsi="Times New Roman"/>
              </w:rPr>
              <w:t>бюджет</w:t>
            </w:r>
          </w:p>
        </w:tc>
        <w:tc>
          <w:tcPr>
            <w:tcW w:w="1984" w:type="dxa"/>
            <w:shd w:val="clear" w:color="auto" w:fill="auto"/>
          </w:tcPr>
          <w:p w14:paraId="39DADEB2"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96,7</w:t>
            </w:r>
          </w:p>
        </w:tc>
        <w:tc>
          <w:tcPr>
            <w:tcW w:w="2429" w:type="dxa"/>
            <w:shd w:val="clear" w:color="auto" w:fill="auto"/>
          </w:tcPr>
          <w:p w14:paraId="1C9E2F5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91,9</w:t>
            </w:r>
          </w:p>
        </w:tc>
        <w:tc>
          <w:tcPr>
            <w:tcW w:w="1436" w:type="dxa"/>
          </w:tcPr>
          <w:p w14:paraId="7B8B5D9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- 4,8</w:t>
            </w:r>
          </w:p>
        </w:tc>
        <w:tc>
          <w:tcPr>
            <w:tcW w:w="1436" w:type="dxa"/>
            <w:shd w:val="clear" w:color="auto" w:fill="auto"/>
          </w:tcPr>
          <w:p w14:paraId="2C93730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95,0</w:t>
            </w:r>
          </w:p>
        </w:tc>
      </w:tr>
      <w:tr w:rsidR="00D470B6" w:rsidRPr="00A53AD7" w14:paraId="62C6C1E2" w14:textId="77777777" w:rsidTr="00ED2EC7">
        <w:tc>
          <w:tcPr>
            <w:tcW w:w="1985" w:type="dxa"/>
            <w:shd w:val="clear" w:color="auto" w:fill="auto"/>
          </w:tcPr>
          <w:p w14:paraId="05E162E9"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местный</w:t>
            </w:r>
            <w:r w:rsidRPr="00A53AD7">
              <w:t xml:space="preserve"> </w:t>
            </w:r>
            <w:r w:rsidRPr="00A53AD7">
              <w:rPr>
                <w:rFonts w:ascii="Times New Roman" w:hAnsi="Times New Roman"/>
              </w:rPr>
              <w:t>бюджет</w:t>
            </w:r>
          </w:p>
        </w:tc>
        <w:tc>
          <w:tcPr>
            <w:tcW w:w="1984" w:type="dxa"/>
            <w:shd w:val="clear" w:color="auto" w:fill="auto"/>
          </w:tcPr>
          <w:p w14:paraId="329C3CC4"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37,4</w:t>
            </w:r>
          </w:p>
        </w:tc>
        <w:tc>
          <w:tcPr>
            <w:tcW w:w="2429" w:type="dxa"/>
            <w:shd w:val="clear" w:color="auto" w:fill="auto"/>
          </w:tcPr>
          <w:p w14:paraId="2ED406EB"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55,3</w:t>
            </w:r>
          </w:p>
        </w:tc>
        <w:tc>
          <w:tcPr>
            <w:tcW w:w="1436" w:type="dxa"/>
          </w:tcPr>
          <w:p w14:paraId="171A2570"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+ 17,9</w:t>
            </w:r>
          </w:p>
        </w:tc>
        <w:tc>
          <w:tcPr>
            <w:tcW w:w="1436" w:type="dxa"/>
            <w:shd w:val="clear" w:color="auto" w:fill="auto"/>
          </w:tcPr>
          <w:p w14:paraId="611AF8C7"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147,9</w:t>
            </w:r>
          </w:p>
        </w:tc>
      </w:tr>
      <w:tr w:rsidR="00D470B6" w:rsidRPr="00A53AD7" w14:paraId="651F9B22" w14:textId="77777777" w:rsidTr="00ED2EC7">
        <w:tc>
          <w:tcPr>
            <w:tcW w:w="1985" w:type="dxa"/>
            <w:shd w:val="clear" w:color="auto" w:fill="auto"/>
          </w:tcPr>
          <w:p w14:paraId="7E08E1E6"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внебюджетные источники</w:t>
            </w:r>
          </w:p>
        </w:tc>
        <w:tc>
          <w:tcPr>
            <w:tcW w:w="1984" w:type="dxa"/>
            <w:shd w:val="clear" w:color="auto" w:fill="auto"/>
          </w:tcPr>
          <w:p w14:paraId="35CF3CD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1 176,9</w:t>
            </w:r>
          </w:p>
        </w:tc>
        <w:tc>
          <w:tcPr>
            <w:tcW w:w="2429" w:type="dxa"/>
            <w:shd w:val="clear" w:color="auto" w:fill="auto"/>
          </w:tcPr>
          <w:p w14:paraId="6A5E3A4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1 718,4</w:t>
            </w:r>
          </w:p>
        </w:tc>
        <w:tc>
          <w:tcPr>
            <w:tcW w:w="1436" w:type="dxa"/>
          </w:tcPr>
          <w:p w14:paraId="3BEDBF42"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+ 541,5</w:t>
            </w:r>
          </w:p>
        </w:tc>
        <w:tc>
          <w:tcPr>
            <w:tcW w:w="1436" w:type="dxa"/>
            <w:shd w:val="clear" w:color="auto" w:fill="auto"/>
          </w:tcPr>
          <w:p w14:paraId="2ACF132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146,0</w:t>
            </w:r>
          </w:p>
        </w:tc>
      </w:tr>
      <w:tr w:rsidR="00ED2EC7" w:rsidRPr="00A53AD7" w14:paraId="3AAFD770" w14:textId="77777777" w:rsidTr="00ED2EC7">
        <w:tc>
          <w:tcPr>
            <w:tcW w:w="1985" w:type="dxa"/>
            <w:shd w:val="clear" w:color="auto" w:fill="auto"/>
          </w:tcPr>
          <w:p w14:paraId="088F55E0"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Всего</w:t>
            </w:r>
          </w:p>
        </w:tc>
        <w:tc>
          <w:tcPr>
            <w:tcW w:w="1984" w:type="dxa"/>
            <w:shd w:val="clear" w:color="auto" w:fill="auto"/>
          </w:tcPr>
          <w:p w14:paraId="7DDE22C6"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1 311,0</w:t>
            </w:r>
          </w:p>
        </w:tc>
        <w:tc>
          <w:tcPr>
            <w:tcW w:w="2429" w:type="dxa"/>
            <w:shd w:val="clear" w:color="auto" w:fill="auto"/>
          </w:tcPr>
          <w:p w14:paraId="4DE9132B"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1 865,6</w:t>
            </w:r>
          </w:p>
        </w:tc>
        <w:tc>
          <w:tcPr>
            <w:tcW w:w="1436" w:type="dxa"/>
          </w:tcPr>
          <w:p w14:paraId="0191419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+554,6</w:t>
            </w:r>
          </w:p>
        </w:tc>
        <w:tc>
          <w:tcPr>
            <w:tcW w:w="1436" w:type="dxa"/>
            <w:shd w:val="clear" w:color="auto" w:fill="auto"/>
          </w:tcPr>
          <w:p w14:paraId="3C8E506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142,3</w:t>
            </w:r>
          </w:p>
        </w:tc>
      </w:tr>
    </w:tbl>
    <w:p w14:paraId="06E8BC55" w14:textId="77777777" w:rsidR="00ED2EC7" w:rsidRPr="00A53AD7" w:rsidRDefault="00ED2EC7" w:rsidP="00ED2EC7">
      <w:pPr>
        <w:pStyle w:val="ad"/>
        <w:ind w:firstLine="851"/>
        <w:jc w:val="both"/>
        <w:rPr>
          <w:rFonts w:ascii="Times New Roman" w:hAnsi="Times New Roman"/>
          <w:sz w:val="28"/>
          <w:szCs w:val="28"/>
        </w:rPr>
      </w:pPr>
    </w:p>
    <w:p w14:paraId="298DB7C9"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Исполнение мероприятий подпрограммы № 1 согласно отчету за 2019 год за счет всех источников финансирования составило 142,3% к плану года или 107,1% к аналогичному периоду прошлого года.</w:t>
      </w:r>
    </w:p>
    <w:p w14:paraId="3CD0689F"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Согласно отчету, превышение планового значения в сумме 561,1 млн.руб. по следующим мероприятиям:</w:t>
      </w:r>
    </w:p>
    <w:p w14:paraId="224A63FF" w14:textId="561054E8"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«1.4.1 Комплексные технические мероприятия по энергосбережению и повышению энергетической эффективности в государственных учреждениях» за счет средств внебю</w:t>
      </w:r>
      <w:r w:rsidR="00163D1C" w:rsidRPr="00A53AD7">
        <w:rPr>
          <w:sz w:val="28"/>
          <w:szCs w:val="28"/>
        </w:rPr>
        <w:t>джетных источников на 41,1 млн.</w:t>
      </w:r>
      <w:r w:rsidRPr="00A53AD7">
        <w:rPr>
          <w:sz w:val="28"/>
          <w:szCs w:val="28"/>
        </w:rPr>
        <w:t>руб.,</w:t>
      </w:r>
    </w:p>
    <w:p w14:paraId="1AEAE503" w14:textId="1C3CAC0D"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«1.5 Мероприятия по энергосбережению и повышению энергетической эффективности, выполняемые органами местного самоуправления муниципальных образований Архангельской области» за счет средст</w:t>
      </w:r>
      <w:r w:rsidR="00163D1C" w:rsidRPr="00A53AD7">
        <w:rPr>
          <w:sz w:val="28"/>
          <w:szCs w:val="28"/>
        </w:rPr>
        <w:t>в местных бюджетов на 17,4 млн.</w:t>
      </w:r>
      <w:r w:rsidRPr="00A53AD7">
        <w:rPr>
          <w:sz w:val="28"/>
          <w:szCs w:val="28"/>
        </w:rPr>
        <w:t>руб. и внебю</w:t>
      </w:r>
      <w:r w:rsidR="00163D1C" w:rsidRPr="00A53AD7">
        <w:rPr>
          <w:sz w:val="28"/>
          <w:szCs w:val="28"/>
        </w:rPr>
        <w:t>джетных источников на 18,1 млн.</w:t>
      </w:r>
      <w:r w:rsidRPr="00A53AD7">
        <w:rPr>
          <w:sz w:val="28"/>
          <w:szCs w:val="28"/>
        </w:rPr>
        <w:t>руб.,</w:t>
      </w:r>
    </w:p>
    <w:p w14:paraId="4060607B" w14:textId="6A52E609"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«1.8.1</w:t>
      </w:r>
      <w:r w:rsidRPr="00A53AD7">
        <w:t xml:space="preserve"> </w:t>
      </w:r>
      <w:r w:rsidRPr="00A53AD7">
        <w:rPr>
          <w:sz w:val="28"/>
          <w:szCs w:val="28"/>
        </w:rPr>
        <w:t>Мероприятия, направленные на постепенное замещение привозного топлива, используемого в коммунальной энергетике, на возобновляемые виды топлива, производимые (добываемые) на территории Архангельской области» за счет средств внебюд</w:t>
      </w:r>
      <w:r w:rsidR="00163D1C" w:rsidRPr="00A53AD7">
        <w:rPr>
          <w:sz w:val="28"/>
          <w:szCs w:val="28"/>
        </w:rPr>
        <w:t>жетных источников на 432,0 млн.</w:t>
      </w:r>
      <w:r w:rsidRPr="00A53AD7">
        <w:rPr>
          <w:sz w:val="28"/>
          <w:szCs w:val="28"/>
        </w:rPr>
        <w:t>руб.,</w:t>
      </w:r>
    </w:p>
    <w:p w14:paraId="4C6237F5" w14:textId="094FE64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«1.13. Мероприятия, направленные на модернизацию оборудования, используемого для выработки и передачи электрической энергии, путем замены на оборудование с более высоким коэффициентом полезного действия» за счет средств внебюджетных источников на 52,5 млн.руб.</w:t>
      </w:r>
    </w:p>
    <w:p w14:paraId="6F0993B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По мероприятиям </w:t>
      </w:r>
    </w:p>
    <w:p w14:paraId="5D74818F"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«1.4.1. Комплексные технические мероприятия по энергосбережению и повышению энергетической эффективности в государственных учреждениях» проводились в 118 государственных учреждениях Архангельской области;</w:t>
      </w:r>
    </w:p>
    <w:p w14:paraId="599B4010"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«1.5. Мероприятия по энергосбережению и повышению энергетической эффективности, выполняемые органами местного самоуправления муниципальных образований Архангельской области» реализованы в 21 муниципальном образовании Архангельской области;</w:t>
      </w:r>
    </w:p>
    <w:p w14:paraId="33F57BFB" w14:textId="4F5601A0"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«1.13 Мероприятия, направленные на модернизацию оборудования, используемого для выработки и передачи электрической энергии, путем замены на оборудование с более высоким коэффициентом полезного действия» отражена стоимость выполненных работ в рамках инвестиционных программ ресурсоснабжающих организаций Архангельской области с об</w:t>
      </w:r>
      <w:r w:rsidR="00163D1C" w:rsidRPr="00A53AD7">
        <w:rPr>
          <w:sz w:val="28"/>
          <w:szCs w:val="28"/>
        </w:rPr>
        <w:t>ъемом финансирования 891,0 млн.</w:t>
      </w:r>
      <w:r w:rsidRPr="00A53AD7">
        <w:rPr>
          <w:sz w:val="28"/>
          <w:szCs w:val="28"/>
        </w:rPr>
        <w:t>руб. (по итогам 9 месяцев 2019 года).</w:t>
      </w:r>
    </w:p>
    <w:p w14:paraId="6BA221AD" w14:textId="7A448193"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Согласно предоставленной по запросу КСП АО министерством ТЭК и ЖКХ АО информации о выполнении мероприятий инвестиционных программ ресурсоснабжающих организаций Архангельской области (отчетам размещенных на сайтах организаций) стоимость выполненных работ </w:t>
      </w:r>
      <w:r w:rsidR="00163D1C" w:rsidRPr="00A53AD7">
        <w:rPr>
          <w:rFonts w:ascii="Times New Roman" w:hAnsi="Times New Roman"/>
          <w:sz w:val="28"/>
          <w:szCs w:val="28"/>
        </w:rPr>
        <w:t>составляет в сумме 1 136,4 млн.</w:t>
      </w:r>
      <w:r w:rsidRPr="00A53AD7">
        <w:rPr>
          <w:rFonts w:ascii="Times New Roman" w:hAnsi="Times New Roman"/>
          <w:sz w:val="28"/>
          <w:szCs w:val="28"/>
        </w:rPr>
        <w:t>руб. или исполнение 135,5%;</w:t>
      </w:r>
    </w:p>
    <w:p w14:paraId="45F2CD5A" w14:textId="1A1ADA60"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«1.12.1.</w:t>
      </w:r>
      <w:r w:rsidR="00523909" w:rsidRPr="00A53AD7">
        <w:rPr>
          <w:sz w:val="28"/>
          <w:szCs w:val="28"/>
        </w:rPr>
        <w:t xml:space="preserve"> </w:t>
      </w:r>
      <w:r w:rsidRPr="00A53AD7">
        <w:rPr>
          <w:sz w:val="28"/>
          <w:szCs w:val="28"/>
        </w:rPr>
        <w:t>Реализация мероприятий по утеплению ограждающих стен и цоколя многоквартирных домов путем устройства навесного вентилируемого фасада» осуществляется путем предоставления субсидии некоммерческой организации «Фонд капитального ремонта многоквартирных домов Архангельской области» (далее – региональный оператор) в размере 30,0 млн.руб.</w:t>
      </w:r>
    </w:p>
    <w:p w14:paraId="0EBCD7EE" w14:textId="7D43F0BD"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Средства субсидии перечислены министерством ТЭК и ЖКХ АО региональному оператору в декабре 2019 года в полном объеме. Региональным оператором средства субсидии не использованы, соответственно исполнение за отчетный период должно составить 0,0%. В отчете, размещенном в КИАС, кассовые расходы по меропри</w:t>
      </w:r>
      <w:r w:rsidR="00163D1C" w:rsidRPr="00A53AD7">
        <w:rPr>
          <w:rFonts w:ascii="Times New Roman" w:hAnsi="Times New Roman"/>
          <w:sz w:val="28"/>
          <w:szCs w:val="28"/>
        </w:rPr>
        <w:t>ятию отражены в сумме 30,0 млн.</w:t>
      </w:r>
      <w:r w:rsidRPr="00A53AD7">
        <w:rPr>
          <w:rFonts w:ascii="Times New Roman" w:hAnsi="Times New Roman"/>
          <w:sz w:val="28"/>
          <w:szCs w:val="28"/>
        </w:rPr>
        <w:t xml:space="preserve">руб. </w:t>
      </w:r>
    </w:p>
    <w:p w14:paraId="7DB47DF4"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Региональным оператором проведена работа по отбору многоквартирных домов, претендующих на проведение работ с привлечением средств субсидии. В 2019 году региональному оператору направлены от МО «Северодвинск» только две заявки на получение субсидии.</w:t>
      </w:r>
    </w:p>
    <w:p w14:paraId="1050F833" w14:textId="764D33F6"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«1.13.1 Мероприятия, направленные на повышение пропускной способности электрических сетей на территории Архангельской области» - кассовые расх</w:t>
      </w:r>
      <w:r w:rsidR="00163D1C" w:rsidRPr="00A53AD7">
        <w:rPr>
          <w:sz w:val="28"/>
          <w:szCs w:val="28"/>
        </w:rPr>
        <w:t>оды составили в сумме 26,1 млн.</w:t>
      </w:r>
      <w:r w:rsidRPr="00A53AD7">
        <w:rPr>
          <w:sz w:val="28"/>
          <w:szCs w:val="28"/>
        </w:rPr>
        <w:t>руб. или исполнение за отчетный период 82,8%, в том числе за счет бюдж</w:t>
      </w:r>
      <w:r w:rsidR="00163D1C" w:rsidRPr="00A53AD7">
        <w:rPr>
          <w:sz w:val="28"/>
          <w:szCs w:val="28"/>
        </w:rPr>
        <w:t>етных средств в сумме 25,3 млн.</w:t>
      </w:r>
      <w:r w:rsidRPr="00A53AD7">
        <w:rPr>
          <w:sz w:val="28"/>
          <w:szCs w:val="28"/>
        </w:rPr>
        <w:t>руб., из которых:</w:t>
      </w:r>
    </w:p>
    <w:p w14:paraId="0D4E6810" w14:textId="6C9208E2" w:rsidR="00ED2EC7" w:rsidRPr="00A53AD7" w:rsidRDefault="00163D1C" w:rsidP="00ED2EC7">
      <w:pPr>
        <w:pStyle w:val="ad"/>
        <w:ind w:firstLine="851"/>
        <w:jc w:val="both"/>
        <w:rPr>
          <w:rFonts w:ascii="Times New Roman" w:hAnsi="Times New Roman"/>
          <w:sz w:val="28"/>
          <w:szCs w:val="28"/>
        </w:rPr>
      </w:pPr>
      <w:r w:rsidRPr="00A53AD7">
        <w:rPr>
          <w:rFonts w:ascii="Times New Roman" w:hAnsi="Times New Roman"/>
          <w:sz w:val="28"/>
          <w:szCs w:val="28"/>
        </w:rPr>
        <w:t>а) оплата в размере 10,8 млн.</w:t>
      </w:r>
      <w:r w:rsidR="00ED2EC7" w:rsidRPr="00A53AD7">
        <w:rPr>
          <w:rFonts w:ascii="Times New Roman" w:hAnsi="Times New Roman"/>
          <w:sz w:val="28"/>
          <w:szCs w:val="28"/>
        </w:rPr>
        <w:t>руб. произведена по договору на осуществление технологического присоединения к электрическим сетям филиала ПАО "МРСК Северо-Запада «Архэнерго»,</w:t>
      </w:r>
    </w:p>
    <w:p w14:paraId="13FAF5BF" w14:textId="4DD40EEE"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б) опл</w:t>
      </w:r>
      <w:r w:rsidR="00163D1C" w:rsidRPr="00A53AD7">
        <w:rPr>
          <w:rFonts w:ascii="Times New Roman" w:hAnsi="Times New Roman"/>
          <w:sz w:val="28"/>
          <w:szCs w:val="28"/>
        </w:rPr>
        <w:t>ата в размере 14,5 млн.</w:t>
      </w:r>
      <w:r w:rsidRPr="00A53AD7">
        <w:rPr>
          <w:rFonts w:ascii="Times New Roman" w:hAnsi="Times New Roman"/>
          <w:sz w:val="28"/>
          <w:szCs w:val="28"/>
        </w:rPr>
        <w:t>руб. (или 98,1% от стоимости контракта) произведена по контракту № 0124300022119000118-А-1</w:t>
      </w:r>
      <w:r w:rsidR="00523909" w:rsidRPr="00A53AD7">
        <w:rPr>
          <w:rFonts w:ascii="Times New Roman" w:hAnsi="Times New Roman"/>
          <w:sz w:val="28"/>
          <w:szCs w:val="28"/>
        </w:rPr>
        <w:t xml:space="preserve"> </w:t>
      </w:r>
      <w:r w:rsidRPr="00A53AD7">
        <w:rPr>
          <w:rFonts w:ascii="Times New Roman" w:hAnsi="Times New Roman"/>
          <w:sz w:val="28"/>
          <w:szCs w:val="28"/>
        </w:rPr>
        <w:t>на выполнение работ по реконструкции объекта по проекту "Реконструкция ВЛ-10 кВ, ВЛ10-65-18" от 14.10.2019 общества с ограниченной ответственностью «Межрегиональная компания терминал электрик», проектом предусмотрена установка 2-х пунктов автоматического регулирования напряжения и реконструкция ВЛ-10 кВ, ВЛ10-65-18 на участке от д. Явзора – д. Засурье в населенных пунктах МО «Сурское» и МО «Лавельское» и подключения нагрузки электрической энергии потребителей п. Новолавела Пинежского района.</w:t>
      </w:r>
    </w:p>
    <w:p w14:paraId="1DB26240" w14:textId="26380044"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Исполнение мероприятия за счет внебюджетных источников за отч</w:t>
      </w:r>
      <w:r w:rsidR="00163D1C" w:rsidRPr="00A53AD7">
        <w:rPr>
          <w:rFonts w:ascii="Times New Roman" w:hAnsi="Times New Roman"/>
          <w:sz w:val="28"/>
          <w:szCs w:val="28"/>
        </w:rPr>
        <w:t>етный период составило 0,8 млн.руб. при плане 3,0 млн.</w:t>
      </w:r>
      <w:r w:rsidRPr="00A53AD7">
        <w:rPr>
          <w:rFonts w:ascii="Times New Roman" w:hAnsi="Times New Roman"/>
          <w:sz w:val="28"/>
          <w:szCs w:val="28"/>
        </w:rPr>
        <w:t>руб. или исполнение 26,6%. По запросу КСП АО документы, подтверждающие указанные расходы не представлены, пояснения по низкому исполнению не представлены).</w:t>
      </w:r>
    </w:p>
    <w:p w14:paraId="5F6FFE20"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 xml:space="preserve">«1.19. Строительство и реконструкция объектов питьевого водоснабжения в рамках реализации федерального проекта «Чистая вода» национального проекта «Экология» - исполнение за отчетный период 0,0%, реализация мероприятия перенесена на 2020 год; </w:t>
      </w:r>
    </w:p>
    <w:p w14:paraId="6674F966"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«1.20. Приобретение здания насосной станции на о. Хайнозеро, водопровода напорного магистрального в Онежском муниципальном районе в государственную (муниципальную) собственность» - исполнение за отчетный период 39,1 млн.руб. или 99,9%.</w:t>
      </w:r>
    </w:p>
    <w:p w14:paraId="3090ADD9"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396A37F9" w14:textId="77777777" w:rsidR="00ED2EC7" w:rsidRPr="00A53AD7" w:rsidRDefault="00ED2EC7" w:rsidP="00ED2EC7">
      <w:pPr>
        <w:spacing w:after="0" w:line="240" w:lineRule="auto"/>
        <w:rPr>
          <w:rFonts w:ascii="Times New Roman" w:eastAsia="Times New Roman" w:hAnsi="Times New Roman"/>
          <w:b/>
          <w:sz w:val="28"/>
          <w:szCs w:val="28"/>
          <w:u w:val="single"/>
          <w:lang w:eastAsia="ru-RU"/>
        </w:rPr>
      </w:pPr>
      <w:r w:rsidRPr="00A53AD7">
        <w:rPr>
          <w:rFonts w:ascii="Times New Roman" w:eastAsia="Times New Roman" w:hAnsi="Times New Roman"/>
          <w:sz w:val="28"/>
          <w:szCs w:val="28"/>
          <w:u w:val="single"/>
          <w:lang w:eastAsia="ru-RU"/>
        </w:rPr>
        <w:t>Подпрограмма № 2</w:t>
      </w:r>
      <w:r w:rsidRPr="00A53AD7">
        <w:rPr>
          <w:rFonts w:ascii="Times New Roman" w:eastAsia="Times New Roman" w:hAnsi="Times New Roman"/>
          <w:b/>
          <w:sz w:val="28"/>
          <w:szCs w:val="28"/>
          <w:u w:val="single"/>
          <w:lang w:eastAsia="ru-RU"/>
        </w:rPr>
        <w:t xml:space="preserve"> «</w:t>
      </w:r>
      <w:r w:rsidRPr="00A53AD7">
        <w:rPr>
          <w:rFonts w:ascii="Times New Roman" w:eastAsia="Times New Roman" w:hAnsi="Times New Roman"/>
          <w:sz w:val="28"/>
          <w:szCs w:val="28"/>
          <w:u w:val="single"/>
          <w:lang w:eastAsia="ru-RU"/>
        </w:rPr>
        <w:t>Газификация Архангельской области»</w:t>
      </w:r>
      <w:r w:rsidRPr="00A53AD7">
        <w:rPr>
          <w:rFonts w:ascii="Times New Roman" w:eastAsia="Times New Roman" w:hAnsi="Times New Roman"/>
          <w:b/>
          <w:sz w:val="28"/>
          <w:szCs w:val="28"/>
          <w:u w:val="single"/>
          <w:lang w:eastAsia="ru-RU"/>
        </w:rPr>
        <w:t xml:space="preserve"> </w:t>
      </w:r>
    </w:p>
    <w:p w14:paraId="3AF212A4"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четырех целевых показателей подпрограммы № 2 (с 20 по 23) все четыре целевых показателя выполнены на 100% и более процентов:</w:t>
      </w:r>
    </w:p>
    <w:p w14:paraId="73C1E67B" w14:textId="044B2CDD"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реконструировано с переводом на природный газ и построено новых газовых котельных мощностью свыше 100 кВт, входящих в систему жилищно-коммунального хозяйства, предназначенных для отопления и горячего водоснабжения жилья и объектов социальной сферы (ежегодно) – в количестве 2 ед</w:t>
      </w:r>
      <w:r w:rsidR="00CF549B" w:rsidRPr="00A53AD7">
        <w:rPr>
          <w:sz w:val="28"/>
          <w:szCs w:val="28"/>
        </w:rPr>
        <w:t>.</w:t>
      </w:r>
      <w:r w:rsidRPr="00A53AD7">
        <w:rPr>
          <w:sz w:val="28"/>
          <w:szCs w:val="28"/>
        </w:rPr>
        <w:t>;</w:t>
      </w:r>
    </w:p>
    <w:p w14:paraId="70B3F2C5"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количество квартир и индивидуальных жилых домов, которые газифицированы природным газом и которым предоставлена техническая возможность для подключения к эксплуатирующимся газораспределительным сетям для эксплуатации бытовых приборов, потребляющих природный газ - 884 ед. (ежегодно);</w:t>
      </w:r>
    </w:p>
    <w:p w14:paraId="42755399" w14:textId="77777777" w:rsidR="00ED2EC7" w:rsidRPr="00A53AD7" w:rsidRDefault="00ED2EC7" w:rsidP="00CA1DDD">
      <w:pPr>
        <w:pStyle w:val="a8"/>
        <w:numPr>
          <w:ilvl w:val="0"/>
          <w:numId w:val="32"/>
        </w:numPr>
        <w:spacing w:line="320" w:lineRule="atLeast"/>
        <w:ind w:left="0" w:firstLine="851"/>
        <w:jc w:val="both"/>
        <w:rPr>
          <w:sz w:val="28"/>
          <w:szCs w:val="28"/>
        </w:rPr>
      </w:pPr>
      <w:r w:rsidRPr="00A53AD7">
        <w:rPr>
          <w:sz w:val="28"/>
          <w:szCs w:val="28"/>
        </w:rPr>
        <w:t>протяженность построенных сетей газоснабжения (включены показатели внепрограммных мероприятий) составила 20,47 км.</w:t>
      </w:r>
    </w:p>
    <w:p w14:paraId="2A14DAF1"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2019 году подпрограмма реализовывалась в рамках 12 мероприятий. За отчетный период по 8 мероприятиям исполнение от 66,3% до 93,9%, по 4 мероприятиям исполнение от 96,0% и выше.</w:t>
      </w:r>
    </w:p>
    <w:p w14:paraId="7D20188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Согласно отчету по государственной программе за 2019 год, размещенному в комплексной информационно-аналитической системе Архангельской области, информация об исполнении программных мероприятий из различных источников за 2019 год представлена в таблице:</w:t>
      </w:r>
    </w:p>
    <w:tbl>
      <w:tblPr>
        <w:tblW w:w="9356"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376"/>
        <w:gridCol w:w="2268"/>
        <w:gridCol w:w="2410"/>
        <w:gridCol w:w="1451"/>
        <w:gridCol w:w="851"/>
      </w:tblGrid>
      <w:tr w:rsidR="00D470B6" w:rsidRPr="00A53AD7" w14:paraId="3C92E076" w14:textId="77777777" w:rsidTr="00ED2EC7">
        <w:trPr>
          <w:trHeight w:val="1078"/>
          <w:tblHeader/>
        </w:trPr>
        <w:tc>
          <w:tcPr>
            <w:tcW w:w="2376" w:type="dxa"/>
            <w:shd w:val="clear" w:color="auto" w:fill="auto"/>
          </w:tcPr>
          <w:p w14:paraId="5359F019"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Наименование источника финансирования</w:t>
            </w:r>
          </w:p>
        </w:tc>
        <w:tc>
          <w:tcPr>
            <w:tcW w:w="2268" w:type="dxa"/>
            <w:shd w:val="clear" w:color="auto" w:fill="auto"/>
          </w:tcPr>
          <w:p w14:paraId="3C5CCF11"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 xml:space="preserve">Объем финансирования ГП (на 31.12.2019), </w:t>
            </w:r>
          </w:p>
          <w:p w14:paraId="4F808CCD"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млн.руб.</w:t>
            </w:r>
          </w:p>
        </w:tc>
        <w:tc>
          <w:tcPr>
            <w:tcW w:w="2410" w:type="dxa"/>
            <w:shd w:val="clear" w:color="auto" w:fill="auto"/>
          </w:tcPr>
          <w:p w14:paraId="11A67535"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Исполнение (</w:t>
            </w:r>
            <w:r w:rsidRPr="00A53AD7">
              <w:rPr>
                <w:rFonts w:ascii="Times New Roman" w:hAnsi="Times New Roman"/>
                <w:sz w:val="20"/>
                <w:szCs w:val="20"/>
              </w:rPr>
              <w:t>согласно отчету, размещенному в КИАС</w:t>
            </w:r>
            <w:r w:rsidRPr="00A53AD7">
              <w:rPr>
                <w:rFonts w:ascii="Times New Roman" w:hAnsi="Times New Roman"/>
                <w:sz w:val="24"/>
                <w:szCs w:val="24"/>
              </w:rPr>
              <w:t xml:space="preserve"> на 03.03.2020),</w:t>
            </w:r>
          </w:p>
          <w:p w14:paraId="39EB38D6"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млн.руб.</w:t>
            </w:r>
          </w:p>
        </w:tc>
        <w:tc>
          <w:tcPr>
            <w:tcW w:w="1451" w:type="dxa"/>
            <w:shd w:val="clear" w:color="auto" w:fill="auto"/>
          </w:tcPr>
          <w:p w14:paraId="0FF047A1"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Отклонение</w:t>
            </w:r>
          </w:p>
          <w:p w14:paraId="0FF8B5D2"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млн.руб.</w:t>
            </w:r>
          </w:p>
        </w:tc>
        <w:tc>
          <w:tcPr>
            <w:tcW w:w="851" w:type="dxa"/>
            <w:shd w:val="clear" w:color="auto" w:fill="auto"/>
          </w:tcPr>
          <w:p w14:paraId="5363F3F5"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 исполнения</w:t>
            </w:r>
          </w:p>
        </w:tc>
      </w:tr>
      <w:tr w:rsidR="00D470B6" w:rsidRPr="00A53AD7" w14:paraId="7313EE19" w14:textId="77777777" w:rsidTr="00ED2EC7">
        <w:tc>
          <w:tcPr>
            <w:tcW w:w="2376" w:type="dxa"/>
            <w:shd w:val="clear" w:color="auto" w:fill="auto"/>
          </w:tcPr>
          <w:p w14:paraId="69B9DC44"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федеральный</w:t>
            </w:r>
            <w:r w:rsidRPr="00A53AD7">
              <w:t xml:space="preserve"> </w:t>
            </w:r>
            <w:r w:rsidRPr="00A53AD7">
              <w:rPr>
                <w:rFonts w:ascii="Times New Roman" w:hAnsi="Times New Roman"/>
                <w:sz w:val="24"/>
                <w:szCs w:val="24"/>
              </w:rPr>
              <w:t>бюджет</w:t>
            </w:r>
          </w:p>
        </w:tc>
        <w:tc>
          <w:tcPr>
            <w:tcW w:w="2268" w:type="dxa"/>
            <w:shd w:val="clear" w:color="auto" w:fill="auto"/>
          </w:tcPr>
          <w:p w14:paraId="1A440EE5"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34,6</w:t>
            </w:r>
          </w:p>
        </w:tc>
        <w:tc>
          <w:tcPr>
            <w:tcW w:w="2410" w:type="dxa"/>
            <w:shd w:val="clear" w:color="auto" w:fill="auto"/>
          </w:tcPr>
          <w:p w14:paraId="3FFC3A23"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33,2</w:t>
            </w:r>
          </w:p>
        </w:tc>
        <w:tc>
          <w:tcPr>
            <w:tcW w:w="1451" w:type="dxa"/>
            <w:shd w:val="clear" w:color="auto" w:fill="auto"/>
          </w:tcPr>
          <w:p w14:paraId="4A4F2D7A"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-1,4</w:t>
            </w:r>
          </w:p>
        </w:tc>
        <w:tc>
          <w:tcPr>
            <w:tcW w:w="851" w:type="dxa"/>
            <w:shd w:val="clear" w:color="auto" w:fill="auto"/>
          </w:tcPr>
          <w:p w14:paraId="5A907636"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96,0</w:t>
            </w:r>
          </w:p>
        </w:tc>
      </w:tr>
      <w:tr w:rsidR="00D470B6" w:rsidRPr="00A53AD7" w14:paraId="2FE23137" w14:textId="77777777" w:rsidTr="00ED2EC7">
        <w:tc>
          <w:tcPr>
            <w:tcW w:w="2376" w:type="dxa"/>
            <w:shd w:val="clear" w:color="auto" w:fill="auto"/>
          </w:tcPr>
          <w:p w14:paraId="5EA23848"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областной</w:t>
            </w:r>
            <w:r w:rsidRPr="00A53AD7">
              <w:t xml:space="preserve"> </w:t>
            </w:r>
            <w:r w:rsidRPr="00A53AD7">
              <w:rPr>
                <w:rFonts w:ascii="Times New Roman" w:hAnsi="Times New Roman"/>
                <w:sz w:val="24"/>
                <w:szCs w:val="24"/>
              </w:rPr>
              <w:t>бюджет</w:t>
            </w:r>
          </w:p>
        </w:tc>
        <w:tc>
          <w:tcPr>
            <w:tcW w:w="2268" w:type="dxa"/>
            <w:shd w:val="clear" w:color="auto" w:fill="auto"/>
          </w:tcPr>
          <w:p w14:paraId="1055FE19"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3,8</w:t>
            </w:r>
          </w:p>
        </w:tc>
        <w:tc>
          <w:tcPr>
            <w:tcW w:w="2410" w:type="dxa"/>
            <w:shd w:val="clear" w:color="auto" w:fill="auto"/>
          </w:tcPr>
          <w:p w14:paraId="4E01B3B0"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3,7</w:t>
            </w:r>
          </w:p>
        </w:tc>
        <w:tc>
          <w:tcPr>
            <w:tcW w:w="1451" w:type="dxa"/>
            <w:shd w:val="clear" w:color="auto" w:fill="auto"/>
          </w:tcPr>
          <w:p w14:paraId="32574007"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-0,2</w:t>
            </w:r>
          </w:p>
        </w:tc>
        <w:tc>
          <w:tcPr>
            <w:tcW w:w="851" w:type="dxa"/>
            <w:shd w:val="clear" w:color="auto" w:fill="auto"/>
          </w:tcPr>
          <w:p w14:paraId="58402542"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96,0</w:t>
            </w:r>
          </w:p>
        </w:tc>
      </w:tr>
      <w:tr w:rsidR="00D470B6" w:rsidRPr="00A53AD7" w14:paraId="60206F99" w14:textId="77777777" w:rsidTr="00ED2EC7">
        <w:tc>
          <w:tcPr>
            <w:tcW w:w="2376" w:type="dxa"/>
            <w:shd w:val="clear" w:color="auto" w:fill="auto"/>
          </w:tcPr>
          <w:p w14:paraId="1386D576"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местный</w:t>
            </w:r>
            <w:r w:rsidRPr="00A53AD7">
              <w:t xml:space="preserve"> </w:t>
            </w:r>
            <w:r w:rsidRPr="00A53AD7">
              <w:rPr>
                <w:rFonts w:ascii="Times New Roman" w:hAnsi="Times New Roman"/>
                <w:sz w:val="24"/>
                <w:szCs w:val="24"/>
              </w:rPr>
              <w:t>бюджет</w:t>
            </w:r>
          </w:p>
        </w:tc>
        <w:tc>
          <w:tcPr>
            <w:tcW w:w="2268" w:type="dxa"/>
            <w:shd w:val="clear" w:color="auto" w:fill="auto"/>
          </w:tcPr>
          <w:p w14:paraId="36B7D879"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0,038</w:t>
            </w:r>
          </w:p>
        </w:tc>
        <w:tc>
          <w:tcPr>
            <w:tcW w:w="2410" w:type="dxa"/>
            <w:shd w:val="clear" w:color="auto" w:fill="auto"/>
          </w:tcPr>
          <w:p w14:paraId="45F8742C"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0,037</w:t>
            </w:r>
          </w:p>
        </w:tc>
        <w:tc>
          <w:tcPr>
            <w:tcW w:w="1451" w:type="dxa"/>
            <w:shd w:val="clear" w:color="auto" w:fill="auto"/>
          </w:tcPr>
          <w:p w14:paraId="678D8A22"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-0,001</w:t>
            </w:r>
          </w:p>
        </w:tc>
        <w:tc>
          <w:tcPr>
            <w:tcW w:w="851" w:type="dxa"/>
            <w:shd w:val="clear" w:color="auto" w:fill="auto"/>
          </w:tcPr>
          <w:p w14:paraId="3BF92580"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97,4</w:t>
            </w:r>
          </w:p>
        </w:tc>
      </w:tr>
      <w:tr w:rsidR="00D470B6" w:rsidRPr="00A53AD7" w14:paraId="4F41DD88" w14:textId="77777777" w:rsidTr="00ED2EC7">
        <w:tc>
          <w:tcPr>
            <w:tcW w:w="2376" w:type="dxa"/>
            <w:shd w:val="clear" w:color="auto" w:fill="auto"/>
          </w:tcPr>
          <w:p w14:paraId="57662117"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внебюджетные источники</w:t>
            </w:r>
          </w:p>
        </w:tc>
        <w:tc>
          <w:tcPr>
            <w:tcW w:w="2268" w:type="dxa"/>
            <w:shd w:val="clear" w:color="auto" w:fill="auto"/>
          </w:tcPr>
          <w:p w14:paraId="04104766"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26,5</w:t>
            </w:r>
          </w:p>
        </w:tc>
        <w:tc>
          <w:tcPr>
            <w:tcW w:w="2410" w:type="dxa"/>
            <w:shd w:val="clear" w:color="auto" w:fill="auto"/>
          </w:tcPr>
          <w:p w14:paraId="7F8FD7F0"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23,8</w:t>
            </w:r>
          </w:p>
        </w:tc>
        <w:tc>
          <w:tcPr>
            <w:tcW w:w="1451" w:type="dxa"/>
            <w:shd w:val="clear" w:color="auto" w:fill="auto"/>
          </w:tcPr>
          <w:p w14:paraId="4C5C01C1"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-2,7</w:t>
            </w:r>
          </w:p>
        </w:tc>
        <w:tc>
          <w:tcPr>
            <w:tcW w:w="851" w:type="dxa"/>
            <w:shd w:val="clear" w:color="auto" w:fill="auto"/>
          </w:tcPr>
          <w:p w14:paraId="00BC34CA"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90,0</w:t>
            </w:r>
          </w:p>
        </w:tc>
      </w:tr>
      <w:tr w:rsidR="00ED2EC7" w:rsidRPr="00A53AD7" w14:paraId="44DBD294" w14:textId="77777777" w:rsidTr="00ED2EC7">
        <w:tc>
          <w:tcPr>
            <w:tcW w:w="2376" w:type="dxa"/>
            <w:shd w:val="clear" w:color="auto" w:fill="auto"/>
          </w:tcPr>
          <w:p w14:paraId="2CDC946F"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Всего</w:t>
            </w:r>
          </w:p>
        </w:tc>
        <w:tc>
          <w:tcPr>
            <w:tcW w:w="2268" w:type="dxa"/>
            <w:shd w:val="clear" w:color="auto" w:fill="auto"/>
          </w:tcPr>
          <w:p w14:paraId="25372617"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64,9</w:t>
            </w:r>
          </w:p>
        </w:tc>
        <w:tc>
          <w:tcPr>
            <w:tcW w:w="2410" w:type="dxa"/>
            <w:shd w:val="clear" w:color="auto" w:fill="auto"/>
          </w:tcPr>
          <w:p w14:paraId="4FBD09EF"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60,7</w:t>
            </w:r>
          </w:p>
        </w:tc>
        <w:tc>
          <w:tcPr>
            <w:tcW w:w="1451" w:type="dxa"/>
            <w:shd w:val="clear" w:color="auto" w:fill="auto"/>
          </w:tcPr>
          <w:p w14:paraId="2232FDE7"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-4,2</w:t>
            </w:r>
          </w:p>
        </w:tc>
        <w:tc>
          <w:tcPr>
            <w:tcW w:w="851" w:type="dxa"/>
            <w:shd w:val="clear" w:color="auto" w:fill="auto"/>
          </w:tcPr>
          <w:p w14:paraId="194345DC"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93,5</w:t>
            </w:r>
          </w:p>
        </w:tc>
      </w:tr>
    </w:tbl>
    <w:p w14:paraId="402A4072" w14:textId="77777777" w:rsidR="00ED2EC7" w:rsidRPr="00A53AD7" w:rsidRDefault="00ED2EC7" w:rsidP="00ED2EC7">
      <w:pPr>
        <w:spacing w:after="0" w:line="240" w:lineRule="auto"/>
        <w:ind w:firstLine="851"/>
        <w:contextualSpacing/>
        <w:jc w:val="both"/>
        <w:rPr>
          <w:rFonts w:ascii="Times New Roman" w:hAnsi="Times New Roman"/>
          <w:sz w:val="28"/>
          <w:szCs w:val="28"/>
          <w:highlight w:val="cyan"/>
        </w:rPr>
      </w:pPr>
    </w:p>
    <w:p w14:paraId="2FF73699"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Исполнение мероприятий подпрограммы № 2 согласно отчету за 2019 год за счет всех источников финансирования составило 93,5% к плану года или 39,4% к аналогичному периоду прошлого года.</w:t>
      </w:r>
    </w:p>
    <w:p w14:paraId="39F6559D"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ab/>
        <w:t>По данной подпрограмме имеется согласно показателям ф. 0503190 «Сведения о вложениях в объекты недвижимого имущества, объектах незавершенного строительства» министерства ТЭК и ЖКХ АО по состоянию на 01.01.2020 года в составе годовой бухгалтерской отчетности, фактические расходы на реализацию инвестиционных проектов, которые составили в сумме всего 449,3 млн.руб. Информация по объектам приведена ниже:</w:t>
      </w:r>
    </w:p>
    <w:p w14:paraId="3A3F2D32"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по объектам нефинансовых активов в сфере газификации приведена в таблице:</w:t>
      </w:r>
    </w:p>
    <w:tbl>
      <w:tblPr>
        <w:tblW w:w="924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054"/>
        <w:gridCol w:w="1188"/>
      </w:tblGrid>
      <w:tr w:rsidR="00D470B6" w:rsidRPr="00A53AD7" w14:paraId="223A0D04" w14:textId="77777777" w:rsidTr="00ED2EC7">
        <w:tc>
          <w:tcPr>
            <w:tcW w:w="8054" w:type="dxa"/>
            <w:shd w:val="clear" w:color="auto" w:fill="auto"/>
            <w:hideMark/>
          </w:tcPr>
          <w:p w14:paraId="24B5A3BE" w14:textId="77777777" w:rsidR="00ED2EC7" w:rsidRPr="00A53AD7" w:rsidRDefault="00ED2EC7" w:rsidP="00ED2EC7">
            <w:pPr>
              <w:spacing w:after="0" w:line="240" w:lineRule="auto"/>
              <w:ind w:firstLine="708"/>
              <w:jc w:val="center"/>
              <w:rPr>
                <w:rFonts w:ascii="Times New Roman" w:hAnsi="Times New Roman"/>
                <w:sz w:val="20"/>
                <w:szCs w:val="20"/>
              </w:rPr>
            </w:pPr>
            <w:r w:rsidRPr="00A53AD7">
              <w:rPr>
                <w:rFonts w:ascii="Times New Roman" w:hAnsi="Times New Roman"/>
                <w:sz w:val="20"/>
                <w:szCs w:val="20"/>
              </w:rPr>
              <w:t>Наименование объекта</w:t>
            </w:r>
          </w:p>
        </w:tc>
        <w:tc>
          <w:tcPr>
            <w:tcW w:w="1188" w:type="dxa"/>
            <w:shd w:val="clear" w:color="auto" w:fill="auto"/>
            <w:hideMark/>
          </w:tcPr>
          <w:p w14:paraId="67577BEC"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Стоимость, млн.руб.</w:t>
            </w:r>
          </w:p>
        </w:tc>
      </w:tr>
      <w:tr w:rsidR="00D470B6" w:rsidRPr="00A53AD7" w14:paraId="48874C7D" w14:textId="77777777" w:rsidTr="00ED2EC7">
        <w:tc>
          <w:tcPr>
            <w:tcW w:w="8054" w:type="dxa"/>
            <w:shd w:val="clear" w:color="auto" w:fill="auto"/>
            <w:hideMark/>
          </w:tcPr>
          <w:p w14:paraId="281204BB"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Газопровод «Нюксеница – Архангельск» газопровод – отвод к п. Октябрьский</w:t>
            </w:r>
          </w:p>
        </w:tc>
        <w:tc>
          <w:tcPr>
            <w:tcW w:w="1188" w:type="dxa"/>
            <w:shd w:val="clear" w:color="auto" w:fill="auto"/>
            <w:hideMark/>
          </w:tcPr>
          <w:p w14:paraId="564C4F33"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46,9</w:t>
            </w:r>
          </w:p>
        </w:tc>
      </w:tr>
      <w:tr w:rsidR="00D470B6" w:rsidRPr="00A53AD7" w14:paraId="21C60BD7" w14:textId="77777777" w:rsidTr="00ED2EC7">
        <w:tc>
          <w:tcPr>
            <w:tcW w:w="8054" w:type="dxa"/>
            <w:shd w:val="clear" w:color="auto" w:fill="auto"/>
            <w:hideMark/>
          </w:tcPr>
          <w:p w14:paraId="098E4602"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Газификация МО «Плесецкий муниципальный район» (п. Савинский)</w:t>
            </w:r>
          </w:p>
        </w:tc>
        <w:tc>
          <w:tcPr>
            <w:tcW w:w="1188" w:type="dxa"/>
            <w:shd w:val="clear" w:color="auto" w:fill="auto"/>
            <w:hideMark/>
          </w:tcPr>
          <w:p w14:paraId="3220721A"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20,5</w:t>
            </w:r>
          </w:p>
        </w:tc>
      </w:tr>
      <w:tr w:rsidR="00D470B6" w:rsidRPr="00A53AD7" w14:paraId="3250F257" w14:textId="77777777" w:rsidTr="00ED2EC7">
        <w:tc>
          <w:tcPr>
            <w:tcW w:w="8054" w:type="dxa"/>
            <w:shd w:val="clear" w:color="auto" w:fill="auto"/>
            <w:hideMark/>
          </w:tcPr>
          <w:p w14:paraId="45C0FA04"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Газификация потребителей МО «Мирный»</w:t>
            </w:r>
          </w:p>
        </w:tc>
        <w:tc>
          <w:tcPr>
            <w:tcW w:w="1188" w:type="dxa"/>
            <w:shd w:val="clear" w:color="auto" w:fill="auto"/>
            <w:hideMark/>
          </w:tcPr>
          <w:p w14:paraId="17444D2A"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21,1</w:t>
            </w:r>
          </w:p>
        </w:tc>
      </w:tr>
      <w:tr w:rsidR="00D470B6" w:rsidRPr="00A53AD7" w14:paraId="25CA63AD" w14:textId="77777777" w:rsidTr="00ED2EC7">
        <w:tc>
          <w:tcPr>
            <w:tcW w:w="8054" w:type="dxa"/>
            <w:shd w:val="clear" w:color="auto" w:fill="auto"/>
            <w:hideMark/>
          </w:tcPr>
          <w:p w14:paraId="666DC247"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 xml:space="preserve">Газификация Устьянского района Архангельской области </w:t>
            </w:r>
          </w:p>
        </w:tc>
        <w:tc>
          <w:tcPr>
            <w:tcW w:w="1188" w:type="dxa"/>
            <w:shd w:val="clear" w:color="auto" w:fill="auto"/>
            <w:hideMark/>
          </w:tcPr>
          <w:p w14:paraId="1BC3135C"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3,8</w:t>
            </w:r>
          </w:p>
        </w:tc>
      </w:tr>
      <w:tr w:rsidR="00D470B6" w:rsidRPr="00A53AD7" w14:paraId="45D9EE7C" w14:textId="77777777" w:rsidTr="00ED2EC7">
        <w:tc>
          <w:tcPr>
            <w:tcW w:w="8054" w:type="dxa"/>
            <w:shd w:val="clear" w:color="auto" w:fill="auto"/>
            <w:hideMark/>
          </w:tcPr>
          <w:p w14:paraId="605EA09D"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Газопровод «Нюксеница – Архангельск» газопровод – отвод к п. Савинский</w:t>
            </w:r>
          </w:p>
        </w:tc>
        <w:tc>
          <w:tcPr>
            <w:tcW w:w="1188" w:type="dxa"/>
            <w:shd w:val="clear" w:color="auto" w:fill="auto"/>
            <w:hideMark/>
          </w:tcPr>
          <w:p w14:paraId="29448CCA"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25,9</w:t>
            </w:r>
          </w:p>
        </w:tc>
      </w:tr>
      <w:tr w:rsidR="00D470B6" w:rsidRPr="00A53AD7" w14:paraId="0B01693F" w14:textId="77777777" w:rsidTr="00ED2EC7">
        <w:tc>
          <w:tcPr>
            <w:tcW w:w="8054" w:type="dxa"/>
            <w:shd w:val="clear" w:color="auto" w:fill="auto"/>
            <w:hideMark/>
          </w:tcPr>
          <w:p w14:paraId="549EE15D"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Газопровод среднего давления ГРП № 1- котельная «Гараж»</w:t>
            </w:r>
          </w:p>
        </w:tc>
        <w:tc>
          <w:tcPr>
            <w:tcW w:w="1188" w:type="dxa"/>
            <w:shd w:val="clear" w:color="auto" w:fill="auto"/>
            <w:hideMark/>
          </w:tcPr>
          <w:p w14:paraId="6E389036"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0,4</w:t>
            </w:r>
          </w:p>
        </w:tc>
      </w:tr>
      <w:tr w:rsidR="00D470B6" w:rsidRPr="00A53AD7" w14:paraId="2B9D1A56" w14:textId="77777777" w:rsidTr="00ED2EC7">
        <w:tc>
          <w:tcPr>
            <w:tcW w:w="8054" w:type="dxa"/>
            <w:shd w:val="clear" w:color="auto" w:fill="auto"/>
            <w:hideMark/>
          </w:tcPr>
          <w:p w14:paraId="502F52A7"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Газопровод-отвод к космодрому «Плесецк» (участок км 374,8-км 642,7 газопровода к г.г. Архангельск, Северодвинск</w:t>
            </w:r>
          </w:p>
        </w:tc>
        <w:tc>
          <w:tcPr>
            <w:tcW w:w="1188" w:type="dxa"/>
            <w:shd w:val="clear" w:color="auto" w:fill="auto"/>
            <w:hideMark/>
          </w:tcPr>
          <w:p w14:paraId="4282B66C"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286,9</w:t>
            </w:r>
          </w:p>
        </w:tc>
      </w:tr>
      <w:tr w:rsidR="00D470B6" w:rsidRPr="00A53AD7" w14:paraId="5EC19480" w14:textId="77777777" w:rsidTr="00ED2EC7">
        <w:tc>
          <w:tcPr>
            <w:tcW w:w="8054" w:type="dxa"/>
            <w:shd w:val="clear" w:color="auto" w:fill="auto"/>
            <w:hideMark/>
          </w:tcPr>
          <w:p w14:paraId="45082B8F"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Газоснабжение п. Кулой</w:t>
            </w:r>
          </w:p>
        </w:tc>
        <w:tc>
          <w:tcPr>
            <w:tcW w:w="1188" w:type="dxa"/>
            <w:shd w:val="clear" w:color="auto" w:fill="auto"/>
            <w:hideMark/>
          </w:tcPr>
          <w:p w14:paraId="657BF061" w14:textId="77777777" w:rsidR="00ED2EC7" w:rsidRPr="00A53AD7" w:rsidRDefault="00ED2EC7" w:rsidP="00ED2EC7">
            <w:pPr>
              <w:spacing w:after="0" w:line="240" w:lineRule="auto"/>
              <w:ind w:firstLine="299"/>
              <w:rPr>
                <w:rFonts w:ascii="Times New Roman" w:hAnsi="Times New Roman"/>
                <w:sz w:val="20"/>
                <w:szCs w:val="20"/>
              </w:rPr>
            </w:pPr>
            <w:r w:rsidRPr="00A53AD7">
              <w:rPr>
                <w:rFonts w:ascii="Times New Roman" w:hAnsi="Times New Roman"/>
                <w:sz w:val="20"/>
                <w:szCs w:val="20"/>
              </w:rPr>
              <w:t>27,9</w:t>
            </w:r>
          </w:p>
        </w:tc>
      </w:tr>
      <w:tr w:rsidR="00ED2EC7" w:rsidRPr="00A53AD7" w14:paraId="5302AED8" w14:textId="77777777" w:rsidTr="00ED2EC7">
        <w:trPr>
          <w:trHeight w:val="516"/>
        </w:trPr>
        <w:tc>
          <w:tcPr>
            <w:tcW w:w="8054" w:type="dxa"/>
            <w:shd w:val="clear" w:color="auto" w:fill="auto"/>
            <w:hideMark/>
          </w:tcPr>
          <w:p w14:paraId="436AD57B" w14:textId="77777777" w:rsidR="00ED2EC7" w:rsidRPr="00A53AD7" w:rsidRDefault="00ED2EC7" w:rsidP="00ED2EC7">
            <w:pPr>
              <w:spacing w:after="0" w:line="240" w:lineRule="auto"/>
              <w:ind w:firstLine="318"/>
              <w:jc w:val="both"/>
              <w:rPr>
                <w:rFonts w:ascii="Times New Roman" w:hAnsi="Times New Roman"/>
                <w:sz w:val="20"/>
                <w:szCs w:val="20"/>
              </w:rPr>
            </w:pPr>
            <w:r w:rsidRPr="00A53AD7">
              <w:rPr>
                <w:rFonts w:ascii="Times New Roman" w:hAnsi="Times New Roman"/>
                <w:sz w:val="20"/>
                <w:szCs w:val="20"/>
              </w:rPr>
              <w:t>Корректировка генеральной схемы газоснабжения г.г. Архангельск, Северодвинск, Новодвинск</w:t>
            </w:r>
          </w:p>
        </w:tc>
        <w:tc>
          <w:tcPr>
            <w:tcW w:w="1188" w:type="dxa"/>
            <w:shd w:val="clear" w:color="auto" w:fill="auto"/>
            <w:hideMark/>
          </w:tcPr>
          <w:p w14:paraId="748CA77F" w14:textId="77777777" w:rsidR="00ED2EC7" w:rsidRPr="00A53AD7" w:rsidRDefault="00ED2EC7" w:rsidP="00ED2EC7">
            <w:pPr>
              <w:spacing w:after="0" w:line="240" w:lineRule="auto"/>
              <w:ind w:firstLine="299"/>
              <w:jc w:val="both"/>
              <w:rPr>
                <w:rFonts w:ascii="Times New Roman" w:hAnsi="Times New Roman"/>
                <w:sz w:val="20"/>
                <w:szCs w:val="20"/>
              </w:rPr>
            </w:pPr>
            <w:r w:rsidRPr="00A53AD7">
              <w:rPr>
                <w:rFonts w:ascii="Times New Roman" w:hAnsi="Times New Roman"/>
                <w:sz w:val="20"/>
                <w:szCs w:val="20"/>
              </w:rPr>
              <w:t>15,6</w:t>
            </w:r>
          </w:p>
        </w:tc>
      </w:tr>
    </w:tbl>
    <w:p w14:paraId="28FA6A1D" w14:textId="77777777" w:rsidR="00ED2EC7" w:rsidRPr="00A53AD7" w:rsidRDefault="00ED2EC7" w:rsidP="00ED2EC7">
      <w:pPr>
        <w:pStyle w:val="ad"/>
        <w:ind w:firstLine="851"/>
        <w:jc w:val="both"/>
        <w:rPr>
          <w:rFonts w:ascii="Times New Roman" w:hAnsi="Times New Roman"/>
          <w:sz w:val="28"/>
          <w:szCs w:val="28"/>
        </w:rPr>
      </w:pPr>
    </w:p>
    <w:p w14:paraId="29C5A59D" w14:textId="6181EC3D"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КСП АО (при проведении проверок в министерстве ТЭК и ЖКХ АО в 2013-2018 годы) отмечалось неоднократно, что неиспользование 9 объектов (2006-2008</w:t>
      </w:r>
      <w:r w:rsidR="00CF549B" w:rsidRPr="00A53AD7">
        <w:rPr>
          <w:rFonts w:ascii="Times New Roman" w:hAnsi="Times New Roman"/>
          <w:sz w:val="28"/>
          <w:szCs w:val="28"/>
        </w:rPr>
        <w:t xml:space="preserve"> </w:t>
      </w:r>
      <w:r w:rsidRPr="00A53AD7">
        <w:rPr>
          <w:rFonts w:ascii="Times New Roman" w:hAnsi="Times New Roman"/>
          <w:sz w:val="28"/>
          <w:szCs w:val="28"/>
        </w:rPr>
        <w:t>гг) незавершенного строительства по производственному назначению приведет к потерям эксплуатационных характеристик объектов, утери имущества Архангельской области, за 2019 год ситуация не изменилась - объекты незавершенного строительства не используются и (или) не переданы (проданы) другим собственникам.</w:t>
      </w:r>
    </w:p>
    <w:p w14:paraId="1E6F5207"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КСП АО отмечает, стоимость незавершенного строительства в сумме 449,3 млн.руб. является потерями бюджета Архангельской области.</w:t>
      </w:r>
    </w:p>
    <w:p w14:paraId="2FAA8FCA" w14:textId="77777777" w:rsidR="00ED2EC7" w:rsidRPr="00A53AD7" w:rsidRDefault="00ED2EC7" w:rsidP="00ED2EC7">
      <w:pPr>
        <w:pStyle w:val="ad"/>
        <w:ind w:firstLine="851"/>
        <w:jc w:val="both"/>
        <w:rPr>
          <w:rFonts w:ascii="Times New Roman" w:hAnsi="Times New Roman"/>
          <w:sz w:val="28"/>
          <w:szCs w:val="28"/>
        </w:rPr>
      </w:pPr>
    </w:p>
    <w:p w14:paraId="3D5B0988" w14:textId="77777777" w:rsidR="00ED2EC7" w:rsidRPr="00A53AD7" w:rsidRDefault="00ED2EC7" w:rsidP="00ED2EC7">
      <w:pPr>
        <w:spacing w:after="0" w:line="240" w:lineRule="auto"/>
        <w:rPr>
          <w:rFonts w:ascii="Times New Roman" w:eastAsia="Times New Roman" w:hAnsi="Times New Roman"/>
          <w:sz w:val="28"/>
          <w:szCs w:val="28"/>
          <w:u w:val="single"/>
          <w:lang w:eastAsia="ru-RU"/>
        </w:rPr>
      </w:pPr>
      <w:r w:rsidRPr="00A53AD7">
        <w:rPr>
          <w:rFonts w:ascii="Times New Roman" w:eastAsia="Times New Roman" w:hAnsi="Times New Roman"/>
          <w:sz w:val="28"/>
          <w:szCs w:val="28"/>
          <w:u w:val="single"/>
          <w:lang w:eastAsia="ru-RU"/>
        </w:rPr>
        <w:t>Подпрограмма № 3 «Формирование и реализация региональной политики в сфере энергетики и жилищно-коммунального хозяйства Архангельской области»</w:t>
      </w:r>
    </w:p>
    <w:p w14:paraId="68897561" w14:textId="6AF71C04"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Из девяти целевых показателей подпрограммы пять целевых показателя выполнено на 100% и более процентов, три целевых показателя выполнено 98,5- 99,2 %, один целевой показатель на 89,7% (</w:t>
      </w:r>
      <w:r w:rsidR="005F01D2" w:rsidRPr="00A53AD7">
        <w:rPr>
          <w:rFonts w:ascii="Times New Roman" w:hAnsi="Times New Roman"/>
          <w:sz w:val="28"/>
          <w:szCs w:val="28"/>
        </w:rPr>
        <w:t xml:space="preserve">показатель № </w:t>
      </w:r>
      <w:r w:rsidRPr="00A53AD7">
        <w:rPr>
          <w:rFonts w:ascii="Times New Roman" w:hAnsi="Times New Roman"/>
          <w:sz w:val="28"/>
          <w:szCs w:val="28"/>
        </w:rPr>
        <w:t>17.3. Доля субъектов, допустивших нарушения лицензионных требований).</w:t>
      </w:r>
    </w:p>
    <w:p w14:paraId="7C68F54F"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об исполнении программных мероприятий из различных источников за 2019 год по данным отчета, размещенного в КИАС представлена в таблице:</w:t>
      </w:r>
    </w:p>
    <w:tbl>
      <w:tblPr>
        <w:tblW w:w="934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660"/>
        <w:gridCol w:w="1843"/>
        <w:gridCol w:w="2268"/>
        <w:gridCol w:w="1436"/>
        <w:gridCol w:w="1134"/>
      </w:tblGrid>
      <w:tr w:rsidR="00D470B6" w:rsidRPr="00A53AD7" w14:paraId="3C1747C9" w14:textId="77777777" w:rsidTr="00ED2EC7">
        <w:trPr>
          <w:trHeight w:val="1423"/>
        </w:trPr>
        <w:tc>
          <w:tcPr>
            <w:tcW w:w="2660" w:type="dxa"/>
            <w:shd w:val="clear" w:color="auto" w:fill="auto"/>
          </w:tcPr>
          <w:p w14:paraId="6197C731" w14:textId="77777777" w:rsidR="00ED2EC7" w:rsidRPr="00A53AD7" w:rsidRDefault="00ED2EC7" w:rsidP="00ED2EC7">
            <w:pPr>
              <w:spacing w:after="0" w:line="240" w:lineRule="auto"/>
              <w:jc w:val="center"/>
              <w:rPr>
                <w:rFonts w:ascii="Times New Roman" w:hAnsi="Times New Roman"/>
                <w:sz w:val="24"/>
                <w:szCs w:val="24"/>
              </w:rPr>
            </w:pPr>
            <w:r w:rsidRPr="00A53AD7">
              <w:rPr>
                <w:rFonts w:ascii="Times New Roman" w:hAnsi="Times New Roman"/>
                <w:sz w:val="24"/>
                <w:szCs w:val="24"/>
              </w:rPr>
              <w:t>Наименование источника финансирования</w:t>
            </w:r>
          </w:p>
        </w:tc>
        <w:tc>
          <w:tcPr>
            <w:tcW w:w="1843" w:type="dxa"/>
            <w:shd w:val="clear" w:color="auto" w:fill="auto"/>
          </w:tcPr>
          <w:p w14:paraId="16C1876F"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xml:space="preserve">Объем финансирования ГП (на 31.12.2019), </w:t>
            </w:r>
          </w:p>
          <w:p w14:paraId="19755EA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2268" w:type="dxa"/>
            <w:shd w:val="clear" w:color="auto" w:fill="auto"/>
          </w:tcPr>
          <w:p w14:paraId="46BC0DE5"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Исполнение (согласно отчету, размещенному в КИАС на 23.04.2020),</w:t>
            </w:r>
          </w:p>
          <w:p w14:paraId="376DE80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1436" w:type="dxa"/>
            <w:shd w:val="clear" w:color="auto" w:fill="auto"/>
          </w:tcPr>
          <w:p w14:paraId="0E6A31B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Отклонение</w:t>
            </w:r>
          </w:p>
          <w:p w14:paraId="1B026B5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млн.руб.</w:t>
            </w:r>
          </w:p>
        </w:tc>
        <w:tc>
          <w:tcPr>
            <w:tcW w:w="1134" w:type="dxa"/>
            <w:shd w:val="clear" w:color="auto" w:fill="auto"/>
          </w:tcPr>
          <w:p w14:paraId="46DD8A8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 исполнения</w:t>
            </w:r>
          </w:p>
        </w:tc>
      </w:tr>
      <w:tr w:rsidR="00D470B6" w:rsidRPr="00A53AD7" w14:paraId="228AD772" w14:textId="77777777" w:rsidTr="00ED2EC7">
        <w:tc>
          <w:tcPr>
            <w:tcW w:w="2660" w:type="dxa"/>
            <w:shd w:val="clear" w:color="auto" w:fill="auto"/>
          </w:tcPr>
          <w:p w14:paraId="6429CA73"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федеральный</w:t>
            </w:r>
            <w:r w:rsidRPr="00A53AD7">
              <w:t xml:space="preserve"> </w:t>
            </w:r>
            <w:r w:rsidRPr="00A53AD7">
              <w:rPr>
                <w:rFonts w:ascii="Times New Roman" w:hAnsi="Times New Roman"/>
                <w:sz w:val="24"/>
                <w:szCs w:val="24"/>
              </w:rPr>
              <w:t>бюджет</w:t>
            </w:r>
          </w:p>
        </w:tc>
        <w:tc>
          <w:tcPr>
            <w:tcW w:w="1843" w:type="dxa"/>
            <w:shd w:val="clear" w:color="auto" w:fill="auto"/>
          </w:tcPr>
          <w:p w14:paraId="32489537"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2268" w:type="dxa"/>
            <w:shd w:val="clear" w:color="auto" w:fill="auto"/>
          </w:tcPr>
          <w:p w14:paraId="259126F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1436" w:type="dxa"/>
            <w:shd w:val="clear" w:color="auto" w:fill="auto"/>
          </w:tcPr>
          <w:p w14:paraId="4C9180BD"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w:t>
            </w:r>
          </w:p>
        </w:tc>
        <w:tc>
          <w:tcPr>
            <w:tcW w:w="1134" w:type="dxa"/>
            <w:shd w:val="clear" w:color="auto" w:fill="auto"/>
          </w:tcPr>
          <w:p w14:paraId="0504C1C8" w14:textId="77777777" w:rsidR="00ED2EC7" w:rsidRPr="00A53AD7" w:rsidRDefault="00ED2EC7" w:rsidP="00ED2EC7">
            <w:pPr>
              <w:spacing w:after="0" w:line="240" w:lineRule="auto"/>
              <w:jc w:val="right"/>
              <w:rPr>
                <w:rFonts w:ascii="Times New Roman" w:hAnsi="Times New Roman"/>
              </w:rPr>
            </w:pPr>
            <w:r w:rsidRPr="00A53AD7">
              <w:rPr>
                <w:rFonts w:ascii="Times New Roman" w:hAnsi="Times New Roman"/>
              </w:rPr>
              <w:t>-</w:t>
            </w:r>
          </w:p>
        </w:tc>
      </w:tr>
      <w:tr w:rsidR="00D470B6" w:rsidRPr="00A53AD7" w14:paraId="283813F6" w14:textId="77777777" w:rsidTr="00ED2EC7">
        <w:tc>
          <w:tcPr>
            <w:tcW w:w="2660" w:type="dxa"/>
            <w:shd w:val="clear" w:color="auto" w:fill="auto"/>
          </w:tcPr>
          <w:p w14:paraId="4377F653"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областной</w:t>
            </w:r>
            <w:r w:rsidRPr="00A53AD7">
              <w:t xml:space="preserve"> </w:t>
            </w:r>
            <w:r w:rsidRPr="00A53AD7">
              <w:rPr>
                <w:rFonts w:ascii="Times New Roman" w:hAnsi="Times New Roman"/>
                <w:sz w:val="24"/>
                <w:szCs w:val="24"/>
              </w:rPr>
              <w:t>бюджет</w:t>
            </w:r>
          </w:p>
        </w:tc>
        <w:tc>
          <w:tcPr>
            <w:tcW w:w="1843" w:type="dxa"/>
            <w:shd w:val="clear" w:color="auto" w:fill="auto"/>
          </w:tcPr>
          <w:p w14:paraId="6C3193AF"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4 537,4</w:t>
            </w:r>
          </w:p>
        </w:tc>
        <w:tc>
          <w:tcPr>
            <w:tcW w:w="2268" w:type="dxa"/>
            <w:shd w:val="clear" w:color="auto" w:fill="auto"/>
          </w:tcPr>
          <w:p w14:paraId="44FB8FFE"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4 418,7</w:t>
            </w:r>
          </w:p>
        </w:tc>
        <w:tc>
          <w:tcPr>
            <w:tcW w:w="1436" w:type="dxa"/>
            <w:shd w:val="clear" w:color="auto" w:fill="auto"/>
          </w:tcPr>
          <w:p w14:paraId="01CFE103"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-118,7</w:t>
            </w:r>
          </w:p>
        </w:tc>
        <w:tc>
          <w:tcPr>
            <w:tcW w:w="1134" w:type="dxa"/>
            <w:shd w:val="clear" w:color="auto" w:fill="auto"/>
          </w:tcPr>
          <w:p w14:paraId="1EF7EC7C"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97,4</w:t>
            </w:r>
          </w:p>
        </w:tc>
      </w:tr>
      <w:tr w:rsidR="00D470B6" w:rsidRPr="00A53AD7" w14:paraId="1F5DADBA" w14:textId="77777777" w:rsidTr="00ED2EC7">
        <w:tc>
          <w:tcPr>
            <w:tcW w:w="2660" w:type="dxa"/>
            <w:shd w:val="clear" w:color="auto" w:fill="auto"/>
          </w:tcPr>
          <w:p w14:paraId="0A6296B8"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местный</w:t>
            </w:r>
            <w:r w:rsidRPr="00A53AD7">
              <w:t xml:space="preserve"> </w:t>
            </w:r>
            <w:r w:rsidRPr="00A53AD7">
              <w:rPr>
                <w:rFonts w:ascii="Times New Roman" w:hAnsi="Times New Roman"/>
                <w:sz w:val="24"/>
                <w:szCs w:val="24"/>
              </w:rPr>
              <w:t>бюджет</w:t>
            </w:r>
          </w:p>
        </w:tc>
        <w:tc>
          <w:tcPr>
            <w:tcW w:w="1843" w:type="dxa"/>
            <w:shd w:val="clear" w:color="auto" w:fill="auto"/>
          </w:tcPr>
          <w:p w14:paraId="033CB5D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2268" w:type="dxa"/>
            <w:shd w:val="clear" w:color="auto" w:fill="auto"/>
          </w:tcPr>
          <w:p w14:paraId="4B19886C"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1436" w:type="dxa"/>
            <w:shd w:val="clear" w:color="auto" w:fill="auto"/>
          </w:tcPr>
          <w:p w14:paraId="2D93665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0ACAC113"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r>
      <w:tr w:rsidR="00D470B6" w:rsidRPr="00A53AD7" w14:paraId="03AFEBAE" w14:textId="77777777" w:rsidTr="00ED2EC7">
        <w:tc>
          <w:tcPr>
            <w:tcW w:w="2660" w:type="dxa"/>
            <w:shd w:val="clear" w:color="auto" w:fill="auto"/>
          </w:tcPr>
          <w:p w14:paraId="67DE7868" w14:textId="77777777" w:rsidR="00ED2EC7" w:rsidRPr="00A53AD7" w:rsidRDefault="00ED2EC7" w:rsidP="00ED2EC7">
            <w:pPr>
              <w:spacing w:after="0" w:line="240" w:lineRule="auto"/>
              <w:rPr>
                <w:rFonts w:ascii="Times New Roman" w:hAnsi="Times New Roman"/>
                <w:sz w:val="24"/>
                <w:szCs w:val="24"/>
              </w:rPr>
            </w:pPr>
            <w:r w:rsidRPr="00A53AD7">
              <w:rPr>
                <w:rFonts w:ascii="Times New Roman" w:hAnsi="Times New Roman"/>
                <w:sz w:val="24"/>
                <w:szCs w:val="24"/>
              </w:rPr>
              <w:t>внебюджетные источники</w:t>
            </w:r>
          </w:p>
        </w:tc>
        <w:tc>
          <w:tcPr>
            <w:tcW w:w="1843" w:type="dxa"/>
            <w:shd w:val="clear" w:color="auto" w:fill="auto"/>
          </w:tcPr>
          <w:p w14:paraId="5CBE24B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2268" w:type="dxa"/>
            <w:shd w:val="clear" w:color="auto" w:fill="auto"/>
          </w:tcPr>
          <w:p w14:paraId="05927E42"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1436" w:type="dxa"/>
            <w:shd w:val="clear" w:color="auto" w:fill="auto"/>
          </w:tcPr>
          <w:p w14:paraId="6002694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c>
          <w:tcPr>
            <w:tcW w:w="1134" w:type="dxa"/>
            <w:shd w:val="clear" w:color="auto" w:fill="auto"/>
          </w:tcPr>
          <w:p w14:paraId="578E2861"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w:t>
            </w:r>
          </w:p>
        </w:tc>
      </w:tr>
      <w:tr w:rsidR="00ED2EC7" w:rsidRPr="00A53AD7" w14:paraId="610B3E95" w14:textId="77777777" w:rsidTr="00ED2EC7">
        <w:tc>
          <w:tcPr>
            <w:tcW w:w="2660" w:type="dxa"/>
            <w:shd w:val="clear" w:color="auto" w:fill="auto"/>
          </w:tcPr>
          <w:p w14:paraId="0EF12EE8" w14:textId="77777777" w:rsidR="00ED2EC7" w:rsidRPr="00A53AD7" w:rsidRDefault="00ED2EC7" w:rsidP="00ED2EC7">
            <w:pPr>
              <w:spacing w:after="0" w:line="240" w:lineRule="auto"/>
              <w:rPr>
                <w:rFonts w:ascii="Times New Roman" w:hAnsi="Times New Roman"/>
              </w:rPr>
            </w:pPr>
            <w:r w:rsidRPr="00A53AD7">
              <w:rPr>
                <w:rFonts w:ascii="Times New Roman" w:hAnsi="Times New Roman"/>
              </w:rPr>
              <w:t>Всего</w:t>
            </w:r>
          </w:p>
        </w:tc>
        <w:tc>
          <w:tcPr>
            <w:tcW w:w="1843" w:type="dxa"/>
            <w:shd w:val="clear" w:color="auto" w:fill="auto"/>
          </w:tcPr>
          <w:p w14:paraId="55A132B4"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4 537,4</w:t>
            </w:r>
          </w:p>
        </w:tc>
        <w:tc>
          <w:tcPr>
            <w:tcW w:w="2268" w:type="dxa"/>
            <w:shd w:val="clear" w:color="auto" w:fill="auto"/>
          </w:tcPr>
          <w:p w14:paraId="2422F49D"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4 418,7</w:t>
            </w:r>
          </w:p>
        </w:tc>
        <w:tc>
          <w:tcPr>
            <w:tcW w:w="1436" w:type="dxa"/>
            <w:shd w:val="clear" w:color="auto" w:fill="auto"/>
          </w:tcPr>
          <w:p w14:paraId="6C0F00FA"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-118,7</w:t>
            </w:r>
          </w:p>
        </w:tc>
        <w:tc>
          <w:tcPr>
            <w:tcW w:w="1134" w:type="dxa"/>
            <w:shd w:val="clear" w:color="auto" w:fill="auto"/>
          </w:tcPr>
          <w:p w14:paraId="16A55DC6" w14:textId="77777777" w:rsidR="00ED2EC7" w:rsidRPr="00A53AD7" w:rsidRDefault="00ED2EC7" w:rsidP="00ED2EC7">
            <w:pPr>
              <w:spacing w:after="0" w:line="240" w:lineRule="auto"/>
              <w:jc w:val="center"/>
              <w:rPr>
                <w:rFonts w:ascii="Times New Roman" w:hAnsi="Times New Roman"/>
              </w:rPr>
            </w:pPr>
            <w:r w:rsidRPr="00A53AD7">
              <w:rPr>
                <w:rFonts w:ascii="Times New Roman" w:hAnsi="Times New Roman"/>
              </w:rPr>
              <w:t>97,4</w:t>
            </w:r>
          </w:p>
        </w:tc>
      </w:tr>
    </w:tbl>
    <w:p w14:paraId="076CC92D" w14:textId="77777777" w:rsidR="00ED2EC7" w:rsidRPr="00A53AD7" w:rsidRDefault="00ED2EC7" w:rsidP="00ED2EC7">
      <w:pPr>
        <w:spacing w:after="0" w:line="240" w:lineRule="atLeast"/>
        <w:ind w:firstLine="708"/>
        <w:jc w:val="both"/>
        <w:rPr>
          <w:rFonts w:ascii="Times New Roman" w:eastAsia="Times New Roman" w:hAnsi="Times New Roman"/>
          <w:sz w:val="28"/>
          <w:szCs w:val="28"/>
          <w:lang w:eastAsia="ru-RU"/>
        </w:rPr>
      </w:pPr>
    </w:p>
    <w:p w14:paraId="736E7E2A"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В рамках подпрограммы в 2019 году запланировано к реализации 12 мероприятий. Исполнение за счет всех источников составило 97,4 % к плану года или 116,2% к аналогичному периоду прошлого года.</w:t>
      </w:r>
    </w:p>
    <w:p w14:paraId="70EB01A6"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ab/>
      </w:r>
    </w:p>
    <w:p w14:paraId="02AB28D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Следует отметить о стабильном росте кассовых расходов областного бюджета, направленных в виде субсидий на возмещение недополученных доходов, возникающих в результате государственного регулирования тарифов организациям коммунального комплекса с начала действия госпрограммы (с 2014 год), см. таблицу:</w:t>
      </w:r>
    </w:p>
    <w:tbl>
      <w:tblPr>
        <w:tblW w:w="895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992"/>
        <w:gridCol w:w="993"/>
        <w:gridCol w:w="1011"/>
      </w:tblGrid>
      <w:tr w:rsidR="00D470B6" w:rsidRPr="00A53AD7" w14:paraId="22CDCE41" w14:textId="77777777" w:rsidTr="00ED2EC7">
        <w:trPr>
          <w:tblHeader/>
        </w:trPr>
        <w:tc>
          <w:tcPr>
            <w:tcW w:w="1985" w:type="dxa"/>
            <w:shd w:val="clear" w:color="auto" w:fill="auto"/>
          </w:tcPr>
          <w:p w14:paraId="7B4A19A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64C787F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55B9082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367A4A5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0C8379E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992" w:type="dxa"/>
            <w:shd w:val="clear" w:color="auto" w:fill="auto"/>
          </w:tcPr>
          <w:p w14:paraId="2AE740A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993" w:type="dxa"/>
            <w:shd w:val="clear" w:color="auto" w:fill="auto"/>
          </w:tcPr>
          <w:p w14:paraId="04A8C61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59C48F1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1011" w:type="dxa"/>
          </w:tcPr>
          <w:p w14:paraId="64B22F4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28E5F70C" w14:textId="77777777" w:rsidTr="00ED2EC7">
        <w:trPr>
          <w:trHeight w:val="116"/>
        </w:trPr>
        <w:tc>
          <w:tcPr>
            <w:tcW w:w="1985" w:type="dxa"/>
            <w:shd w:val="clear" w:color="auto" w:fill="auto"/>
          </w:tcPr>
          <w:p w14:paraId="4C6E645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 субсидий:</w:t>
            </w:r>
          </w:p>
        </w:tc>
        <w:tc>
          <w:tcPr>
            <w:tcW w:w="992" w:type="dxa"/>
            <w:shd w:val="clear" w:color="auto" w:fill="auto"/>
          </w:tcPr>
          <w:p w14:paraId="420B1C9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2 625,1</w:t>
            </w:r>
          </w:p>
        </w:tc>
        <w:tc>
          <w:tcPr>
            <w:tcW w:w="993" w:type="dxa"/>
            <w:shd w:val="clear" w:color="auto" w:fill="auto"/>
          </w:tcPr>
          <w:p w14:paraId="3F54AA4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2 661,8</w:t>
            </w:r>
          </w:p>
        </w:tc>
        <w:tc>
          <w:tcPr>
            <w:tcW w:w="992" w:type="dxa"/>
            <w:shd w:val="clear" w:color="auto" w:fill="auto"/>
          </w:tcPr>
          <w:p w14:paraId="2E15C62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3 107,4</w:t>
            </w:r>
          </w:p>
        </w:tc>
        <w:tc>
          <w:tcPr>
            <w:tcW w:w="992" w:type="dxa"/>
            <w:shd w:val="clear" w:color="auto" w:fill="auto"/>
          </w:tcPr>
          <w:p w14:paraId="145EB36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3 742,8</w:t>
            </w:r>
          </w:p>
        </w:tc>
        <w:tc>
          <w:tcPr>
            <w:tcW w:w="992" w:type="dxa"/>
            <w:shd w:val="clear" w:color="auto" w:fill="auto"/>
          </w:tcPr>
          <w:p w14:paraId="101496D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3 560,0</w:t>
            </w:r>
          </w:p>
        </w:tc>
        <w:tc>
          <w:tcPr>
            <w:tcW w:w="993" w:type="dxa"/>
            <w:shd w:val="clear" w:color="auto" w:fill="auto"/>
          </w:tcPr>
          <w:p w14:paraId="00EA65B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4 041,7</w:t>
            </w:r>
          </w:p>
        </w:tc>
        <w:tc>
          <w:tcPr>
            <w:tcW w:w="1011" w:type="dxa"/>
            <w:shd w:val="clear" w:color="auto" w:fill="auto"/>
          </w:tcPr>
          <w:p w14:paraId="3B4D8B4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r>
      <w:tr w:rsidR="00ED2EC7" w:rsidRPr="00A53AD7" w14:paraId="315093AB" w14:textId="77777777" w:rsidTr="00ED2EC7">
        <w:trPr>
          <w:trHeight w:val="362"/>
        </w:trPr>
        <w:tc>
          <w:tcPr>
            <w:tcW w:w="1985" w:type="dxa"/>
            <w:shd w:val="clear" w:color="auto" w:fill="auto"/>
          </w:tcPr>
          <w:p w14:paraId="19433FC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изменений</w:t>
            </w:r>
          </w:p>
        </w:tc>
        <w:tc>
          <w:tcPr>
            <w:tcW w:w="992" w:type="dxa"/>
            <w:shd w:val="clear" w:color="auto" w:fill="auto"/>
          </w:tcPr>
          <w:p w14:paraId="43F2ACE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993" w:type="dxa"/>
            <w:shd w:val="clear" w:color="auto" w:fill="auto"/>
          </w:tcPr>
          <w:p w14:paraId="4FDF09A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101,4</w:t>
            </w:r>
          </w:p>
        </w:tc>
        <w:tc>
          <w:tcPr>
            <w:tcW w:w="992" w:type="dxa"/>
            <w:shd w:val="clear" w:color="auto" w:fill="auto"/>
          </w:tcPr>
          <w:p w14:paraId="3A833F2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116,7</w:t>
            </w:r>
          </w:p>
        </w:tc>
        <w:tc>
          <w:tcPr>
            <w:tcW w:w="992" w:type="dxa"/>
            <w:shd w:val="clear" w:color="auto" w:fill="auto"/>
          </w:tcPr>
          <w:p w14:paraId="581AF7C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120,4</w:t>
            </w:r>
          </w:p>
        </w:tc>
        <w:tc>
          <w:tcPr>
            <w:tcW w:w="992" w:type="dxa"/>
            <w:shd w:val="clear" w:color="auto" w:fill="auto"/>
          </w:tcPr>
          <w:p w14:paraId="1D9FD4F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95,1</w:t>
            </w:r>
          </w:p>
        </w:tc>
        <w:tc>
          <w:tcPr>
            <w:tcW w:w="993" w:type="dxa"/>
            <w:shd w:val="clear" w:color="auto" w:fill="auto"/>
          </w:tcPr>
          <w:p w14:paraId="17B9315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113,5</w:t>
            </w:r>
          </w:p>
        </w:tc>
        <w:tc>
          <w:tcPr>
            <w:tcW w:w="1011" w:type="dxa"/>
            <w:shd w:val="clear" w:color="auto" w:fill="auto"/>
          </w:tcPr>
          <w:p w14:paraId="36A69FE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154,0</w:t>
            </w:r>
          </w:p>
        </w:tc>
      </w:tr>
    </w:tbl>
    <w:p w14:paraId="7B3DD68B" w14:textId="77777777" w:rsidR="00ED2EC7" w:rsidRPr="00A53AD7" w:rsidRDefault="00ED2EC7" w:rsidP="00ED2EC7">
      <w:pPr>
        <w:pStyle w:val="ad"/>
        <w:ind w:firstLine="851"/>
        <w:jc w:val="both"/>
        <w:rPr>
          <w:rFonts w:ascii="Times New Roman" w:hAnsi="Times New Roman"/>
          <w:sz w:val="28"/>
          <w:szCs w:val="28"/>
        </w:rPr>
      </w:pPr>
    </w:p>
    <w:p w14:paraId="0E5C8105"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На возмещение недополученных доходов, возникающих в результате государственного регулирования тарифов организаций коммунального комплекса, предприятиям направлены субсидии из областного бюджета в сумме 4 041,7 млн.руб. (или 98,8 % от годового плана или 113,5% к аналогичному периоду прошлого года).</w:t>
      </w:r>
    </w:p>
    <w:p w14:paraId="0DCE4D4C"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об объемах бюджетных ассигнований субсидий на возмещение недополученных доходов, возникающих в результате государственного регулирования, за 2019 год и кассовое исполнение в разрезе субсидий представлена в таблице:</w:t>
      </w:r>
    </w:p>
    <w:tbl>
      <w:tblPr>
        <w:tblW w:w="9462" w:type="dxa"/>
        <w:tblInd w:w="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51"/>
        <w:gridCol w:w="1276"/>
        <w:gridCol w:w="1134"/>
        <w:gridCol w:w="992"/>
        <w:gridCol w:w="709"/>
      </w:tblGrid>
      <w:tr w:rsidR="00D470B6" w:rsidRPr="00A53AD7" w14:paraId="12D6C970" w14:textId="77777777" w:rsidTr="00ED2EC7">
        <w:trPr>
          <w:cantSplit/>
          <w:trHeight w:val="1328"/>
          <w:tblHeader/>
        </w:trPr>
        <w:tc>
          <w:tcPr>
            <w:tcW w:w="5351" w:type="dxa"/>
            <w:vAlign w:val="center"/>
          </w:tcPr>
          <w:p w14:paraId="3E782417" w14:textId="77777777" w:rsidR="00ED2EC7" w:rsidRPr="00A53AD7" w:rsidRDefault="00ED2EC7" w:rsidP="00ED2EC7">
            <w:pPr>
              <w:suppressAutoHyphens/>
              <w:spacing w:after="0" w:line="240" w:lineRule="auto"/>
              <w:jc w:val="center"/>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Наименование субсидии</w:t>
            </w:r>
          </w:p>
        </w:tc>
        <w:tc>
          <w:tcPr>
            <w:tcW w:w="1276" w:type="dxa"/>
            <w:vAlign w:val="center"/>
          </w:tcPr>
          <w:p w14:paraId="220D6B23"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Уточненная сводная бюджетная роспись на 2019 год,</w:t>
            </w:r>
          </w:p>
          <w:p w14:paraId="77D3DCF4" w14:textId="37F1684C" w:rsidR="00ED2EC7" w:rsidRPr="00A53AD7" w:rsidRDefault="00163D1C"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млн.</w:t>
            </w:r>
            <w:r w:rsidR="00ED2EC7" w:rsidRPr="00A53AD7">
              <w:rPr>
                <w:rFonts w:ascii="Times New Roman" w:eastAsia="Times New Roman" w:hAnsi="Times New Roman"/>
                <w:iCs/>
                <w:sz w:val="20"/>
                <w:szCs w:val="20"/>
                <w:lang w:eastAsia="zh-CN"/>
              </w:rPr>
              <w:t>руб.</w:t>
            </w:r>
          </w:p>
        </w:tc>
        <w:tc>
          <w:tcPr>
            <w:tcW w:w="1134" w:type="dxa"/>
            <w:vAlign w:val="center"/>
          </w:tcPr>
          <w:p w14:paraId="15D0622C"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Кассовое исполнение за 2019 год, млн.руб.</w:t>
            </w:r>
          </w:p>
        </w:tc>
        <w:tc>
          <w:tcPr>
            <w:tcW w:w="992" w:type="dxa"/>
            <w:vAlign w:val="center"/>
          </w:tcPr>
          <w:p w14:paraId="7652EA41"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Отклонение</w:t>
            </w:r>
          </w:p>
          <w:p w14:paraId="65F1A943"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млн.руб.</w:t>
            </w:r>
          </w:p>
        </w:tc>
        <w:tc>
          <w:tcPr>
            <w:tcW w:w="709" w:type="dxa"/>
            <w:vAlign w:val="center"/>
          </w:tcPr>
          <w:p w14:paraId="02F74DAE"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w:t>
            </w:r>
          </w:p>
          <w:p w14:paraId="646BB39F" w14:textId="77777777" w:rsidR="00ED2EC7" w:rsidRPr="00A53AD7" w:rsidRDefault="00ED2EC7" w:rsidP="00ED2EC7">
            <w:pPr>
              <w:suppressAutoHyphens/>
              <w:spacing w:after="0" w:line="240" w:lineRule="auto"/>
              <w:jc w:val="center"/>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исполнения</w:t>
            </w:r>
          </w:p>
        </w:tc>
      </w:tr>
      <w:tr w:rsidR="00D470B6" w:rsidRPr="00A53AD7" w14:paraId="7CB4B27F" w14:textId="77777777" w:rsidTr="00ED2EC7">
        <w:trPr>
          <w:cantSplit/>
          <w:trHeight w:val="240"/>
        </w:trPr>
        <w:tc>
          <w:tcPr>
            <w:tcW w:w="5351" w:type="dxa"/>
            <w:vAlign w:val="center"/>
          </w:tcPr>
          <w:p w14:paraId="54FA7CAB" w14:textId="77777777" w:rsidR="00ED2EC7" w:rsidRPr="00A53AD7" w:rsidRDefault="00ED2EC7" w:rsidP="00ED2EC7">
            <w:pPr>
              <w:suppressAutoHyphens/>
              <w:spacing w:after="0" w:line="240" w:lineRule="auto"/>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Возмещение недополученных доходов, возникающих в результате государственного регулирования розничных цен на сжиженный газ, реализуемый для бытовых нужд населения (субсидия ∆Г)</w:t>
            </w:r>
          </w:p>
        </w:tc>
        <w:tc>
          <w:tcPr>
            <w:tcW w:w="1276" w:type="dxa"/>
            <w:vAlign w:val="center"/>
          </w:tcPr>
          <w:p w14:paraId="288D81B1" w14:textId="77777777" w:rsidR="00ED2EC7" w:rsidRPr="00A53AD7" w:rsidRDefault="00ED2EC7" w:rsidP="00ED2EC7">
            <w:pPr>
              <w:suppressAutoHyphens/>
              <w:spacing w:after="0" w:line="240" w:lineRule="auto"/>
              <w:jc w:val="right"/>
              <w:rPr>
                <w:rFonts w:ascii="Times New Roman" w:eastAsia="Times New Roman" w:hAnsi="Times New Roman"/>
                <w:sz w:val="20"/>
                <w:szCs w:val="20"/>
                <w:lang w:eastAsia="zh-CN"/>
              </w:rPr>
            </w:pPr>
            <w:r w:rsidRPr="00A53AD7">
              <w:rPr>
                <w:rFonts w:ascii="Times New Roman" w:eastAsia="Times New Roman" w:hAnsi="Times New Roman"/>
                <w:sz w:val="20"/>
                <w:szCs w:val="20"/>
                <w:lang w:eastAsia="zh-CN"/>
              </w:rPr>
              <w:t>70,0</w:t>
            </w:r>
          </w:p>
        </w:tc>
        <w:tc>
          <w:tcPr>
            <w:tcW w:w="1134" w:type="dxa"/>
            <w:vAlign w:val="center"/>
          </w:tcPr>
          <w:p w14:paraId="57B52769" w14:textId="77777777" w:rsidR="00ED2EC7" w:rsidRPr="00A53AD7" w:rsidRDefault="00ED2EC7" w:rsidP="00ED2EC7">
            <w:pPr>
              <w:suppressAutoHyphens/>
              <w:spacing w:after="0" w:line="240" w:lineRule="auto"/>
              <w:jc w:val="right"/>
              <w:rPr>
                <w:rFonts w:ascii="Times New Roman" w:eastAsia="Times New Roman" w:hAnsi="Times New Roman"/>
                <w:sz w:val="20"/>
                <w:szCs w:val="20"/>
                <w:lang w:eastAsia="zh-CN"/>
              </w:rPr>
            </w:pPr>
            <w:r w:rsidRPr="00A53AD7">
              <w:rPr>
                <w:rFonts w:ascii="Times New Roman" w:eastAsia="Times New Roman" w:hAnsi="Times New Roman"/>
                <w:sz w:val="20"/>
                <w:szCs w:val="20"/>
                <w:lang w:eastAsia="zh-CN"/>
              </w:rPr>
              <w:t>63,3</w:t>
            </w:r>
          </w:p>
        </w:tc>
        <w:tc>
          <w:tcPr>
            <w:tcW w:w="992" w:type="dxa"/>
            <w:vAlign w:val="center"/>
          </w:tcPr>
          <w:p w14:paraId="5BB5C541" w14:textId="77777777" w:rsidR="00ED2EC7" w:rsidRPr="00A53AD7" w:rsidRDefault="00ED2EC7" w:rsidP="00ED2EC7">
            <w:pPr>
              <w:suppressAutoHyphens/>
              <w:spacing w:after="0" w:line="240" w:lineRule="auto"/>
              <w:jc w:val="right"/>
              <w:rPr>
                <w:rFonts w:ascii="Times New Roman" w:eastAsia="Times New Roman" w:hAnsi="Times New Roman"/>
                <w:sz w:val="20"/>
                <w:szCs w:val="20"/>
                <w:lang w:eastAsia="zh-CN"/>
              </w:rPr>
            </w:pPr>
            <w:r w:rsidRPr="00A53AD7">
              <w:rPr>
                <w:rFonts w:ascii="Times New Roman" w:eastAsia="Times New Roman" w:hAnsi="Times New Roman"/>
                <w:sz w:val="20"/>
                <w:szCs w:val="20"/>
                <w:lang w:eastAsia="zh-CN"/>
              </w:rPr>
              <w:t>-6,7</w:t>
            </w:r>
          </w:p>
        </w:tc>
        <w:tc>
          <w:tcPr>
            <w:tcW w:w="709" w:type="dxa"/>
            <w:vAlign w:val="center"/>
          </w:tcPr>
          <w:p w14:paraId="675D2DD8" w14:textId="77777777" w:rsidR="00ED2EC7" w:rsidRPr="00A53AD7" w:rsidRDefault="00ED2EC7" w:rsidP="00ED2EC7">
            <w:pPr>
              <w:suppressAutoHyphens/>
              <w:spacing w:after="0" w:line="240" w:lineRule="auto"/>
              <w:jc w:val="right"/>
              <w:rPr>
                <w:rFonts w:ascii="Times New Roman" w:eastAsia="Times New Roman" w:hAnsi="Times New Roman"/>
                <w:sz w:val="20"/>
                <w:szCs w:val="20"/>
                <w:lang w:eastAsia="zh-CN"/>
              </w:rPr>
            </w:pPr>
            <w:r w:rsidRPr="00A53AD7">
              <w:rPr>
                <w:rFonts w:ascii="Times New Roman" w:eastAsia="Times New Roman" w:hAnsi="Times New Roman"/>
                <w:sz w:val="20"/>
                <w:szCs w:val="20"/>
                <w:lang w:eastAsia="zh-CN"/>
              </w:rPr>
              <w:t>90,4</w:t>
            </w:r>
          </w:p>
        </w:tc>
      </w:tr>
      <w:tr w:rsidR="00D470B6" w:rsidRPr="00A53AD7" w14:paraId="0519C4C2" w14:textId="77777777" w:rsidTr="00ED2EC7">
        <w:trPr>
          <w:cantSplit/>
          <w:trHeight w:val="240"/>
        </w:trPr>
        <w:tc>
          <w:tcPr>
            <w:tcW w:w="5351" w:type="dxa"/>
            <w:vAlign w:val="center"/>
          </w:tcPr>
          <w:p w14:paraId="3B30BC15" w14:textId="77777777" w:rsidR="00ED2EC7" w:rsidRPr="00A53AD7" w:rsidRDefault="00ED2EC7" w:rsidP="00ED2EC7">
            <w:pPr>
              <w:suppressAutoHyphens/>
              <w:spacing w:after="0" w:line="240" w:lineRule="auto"/>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Возмещение недополученных доходов организаций, возникающих в результате государственного регулирования тарифов на электрическую энергию, поставляемую покупателям на розничных рынках Архангельской области (субсидия ∆Э)</w:t>
            </w:r>
          </w:p>
        </w:tc>
        <w:tc>
          <w:tcPr>
            <w:tcW w:w="1276" w:type="dxa"/>
            <w:vAlign w:val="center"/>
          </w:tcPr>
          <w:p w14:paraId="57AC348A" w14:textId="77777777" w:rsidR="00ED2EC7" w:rsidRPr="00A53AD7" w:rsidRDefault="00ED2EC7" w:rsidP="00ED2EC7">
            <w:pPr>
              <w:suppressAutoHyphens/>
              <w:spacing w:after="0" w:line="240" w:lineRule="auto"/>
              <w:jc w:val="right"/>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850,8</w:t>
            </w:r>
          </w:p>
        </w:tc>
        <w:tc>
          <w:tcPr>
            <w:tcW w:w="1134" w:type="dxa"/>
            <w:vAlign w:val="center"/>
          </w:tcPr>
          <w:p w14:paraId="046873D8" w14:textId="77777777" w:rsidR="00ED2EC7" w:rsidRPr="00A53AD7" w:rsidRDefault="00ED2EC7" w:rsidP="00ED2EC7">
            <w:pPr>
              <w:suppressAutoHyphens/>
              <w:spacing w:after="0" w:line="240" w:lineRule="auto"/>
              <w:jc w:val="right"/>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848,1</w:t>
            </w:r>
          </w:p>
        </w:tc>
        <w:tc>
          <w:tcPr>
            <w:tcW w:w="992" w:type="dxa"/>
            <w:vAlign w:val="center"/>
          </w:tcPr>
          <w:p w14:paraId="3630D38D" w14:textId="77777777" w:rsidR="00ED2EC7" w:rsidRPr="00A53AD7" w:rsidRDefault="00ED2EC7" w:rsidP="00ED2EC7">
            <w:pPr>
              <w:suppressAutoHyphens/>
              <w:spacing w:after="0" w:line="240" w:lineRule="auto"/>
              <w:jc w:val="right"/>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-2,7</w:t>
            </w:r>
          </w:p>
        </w:tc>
        <w:tc>
          <w:tcPr>
            <w:tcW w:w="709" w:type="dxa"/>
            <w:vAlign w:val="center"/>
          </w:tcPr>
          <w:p w14:paraId="0A3096E7" w14:textId="77777777" w:rsidR="00ED2EC7" w:rsidRPr="00A53AD7" w:rsidRDefault="00ED2EC7" w:rsidP="00ED2EC7">
            <w:pPr>
              <w:suppressAutoHyphens/>
              <w:spacing w:after="0" w:line="240" w:lineRule="auto"/>
              <w:jc w:val="right"/>
              <w:rPr>
                <w:rFonts w:ascii="Times New Roman" w:eastAsia="Times New Roman" w:hAnsi="Times New Roman"/>
                <w:bCs/>
                <w:iCs/>
                <w:sz w:val="20"/>
                <w:szCs w:val="20"/>
                <w:lang w:eastAsia="zh-CN"/>
              </w:rPr>
            </w:pPr>
            <w:r w:rsidRPr="00A53AD7">
              <w:rPr>
                <w:rFonts w:ascii="Times New Roman" w:eastAsia="Times New Roman" w:hAnsi="Times New Roman"/>
                <w:bCs/>
                <w:iCs/>
                <w:sz w:val="20"/>
                <w:szCs w:val="20"/>
                <w:lang w:eastAsia="zh-CN"/>
              </w:rPr>
              <w:t>99,7</w:t>
            </w:r>
          </w:p>
        </w:tc>
      </w:tr>
      <w:tr w:rsidR="00D470B6" w:rsidRPr="00A53AD7" w14:paraId="766076D3" w14:textId="77777777" w:rsidTr="00ED2EC7">
        <w:trPr>
          <w:cantSplit/>
          <w:trHeight w:val="240"/>
        </w:trPr>
        <w:tc>
          <w:tcPr>
            <w:tcW w:w="5351" w:type="dxa"/>
            <w:vAlign w:val="center"/>
          </w:tcPr>
          <w:p w14:paraId="489DF9BA" w14:textId="77777777" w:rsidR="00ED2EC7" w:rsidRPr="00A53AD7" w:rsidRDefault="00ED2EC7" w:rsidP="00ED2EC7">
            <w:pPr>
              <w:suppressAutoHyphens/>
              <w:spacing w:after="0" w:line="240" w:lineRule="auto"/>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Возмещение недополученных доходов, возникающих в результате государственного регулирования тарифов на тепловую энергию, поставляемую населению и потребителям, приравненным к населению, на нужды теплоснабжения (субсидия ∆Т)</w:t>
            </w:r>
          </w:p>
        </w:tc>
        <w:tc>
          <w:tcPr>
            <w:tcW w:w="1276" w:type="dxa"/>
            <w:vAlign w:val="center"/>
          </w:tcPr>
          <w:p w14:paraId="6F8237B3"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2 007,2</w:t>
            </w:r>
          </w:p>
        </w:tc>
        <w:tc>
          <w:tcPr>
            <w:tcW w:w="1134" w:type="dxa"/>
            <w:vAlign w:val="center"/>
          </w:tcPr>
          <w:p w14:paraId="719FB3C7"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1 985,6</w:t>
            </w:r>
          </w:p>
        </w:tc>
        <w:tc>
          <w:tcPr>
            <w:tcW w:w="992" w:type="dxa"/>
            <w:vAlign w:val="center"/>
          </w:tcPr>
          <w:p w14:paraId="16C0CCE9"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-21,7</w:t>
            </w:r>
          </w:p>
        </w:tc>
        <w:tc>
          <w:tcPr>
            <w:tcW w:w="709" w:type="dxa"/>
            <w:vAlign w:val="center"/>
          </w:tcPr>
          <w:p w14:paraId="7D81C49B"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98,9</w:t>
            </w:r>
          </w:p>
        </w:tc>
      </w:tr>
      <w:tr w:rsidR="00D470B6" w:rsidRPr="00A53AD7" w14:paraId="5BD04D08" w14:textId="77777777" w:rsidTr="00ED2EC7">
        <w:trPr>
          <w:cantSplit/>
          <w:trHeight w:val="240"/>
        </w:trPr>
        <w:tc>
          <w:tcPr>
            <w:tcW w:w="5351" w:type="dxa"/>
            <w:vAlign w:val="center"/>
          </w:tcPr>
          <w:p w14:paraId="6DBB7B0E" w14:textId="77777777" w:rsidR="00ED2EC7" w:rsidRPr="00A53AD7" w:rsidRDefault="00ED2EC7" w:rsidP="00ED2EC7">
            <w:pPr>
              <w:suppressAutoHyphens/>
              <w:spacing w:after="0" w:line="240" w:lineRule="auto"/>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Возмещение недополученных доходов, возникающих в результате государственного регулирования розничных цен на топливо твердое, отпускаемое населению для нужд отопления (субсидия ∆Д)</w:t>
            </w:r>
          </w:p>
        </w:tc>
        <w:tc>
          <w:tcPr>
            <w:tcW w:w="1276" w:type="dxa"/>
            <w:vAlign w:val="center"/>
          </w:tcPr>
          <w:p w14:paraId="4C6CB269"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174,7</w:t>
            </w:r>
          </w:p>
        </w:tc>
        <w:tc>
          <w:tcPr>
            <w:tcW w:w="1134" w:type="dxa"/>
            <w:vAlign w:val="center"/>
          </w:tcPr>
          <w:p w14:paraId="01053666"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154,0</w:t>
            </w:r>
          </w:p>
        </w:tc>
        <w:tc>
          <w:tcPr>
            <w:tcW w:w="992" w:type="dxa"/>
            <w:vAlign w:val="center"/>
          </w:tcPr>
          <w:p w14:paraId="400488C6"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-20,7</w:t>
            </w:r>
          </w:p>
        </w:tc>
        <w:tc>
          <w:tcPr>
            <w:tcW w:w="709" w:type="dxa"/>
            <w:vAlign w:val="center"/>
          </w:tcPr>
          <w:p w14:paraId="08FFE3BC"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88,2</w:t>
            </w:r>
          </w:p>
        </w:tc>
      </w:tr>
      <w:tr w:rsidR="00D470B6" w:rsidRPr="00A53AD7" w14:paraId="4600CD81" w14:textId="77777777" w:rsidTr="00ED2EC7">
        <w:trPr>
          <w:cantSplit/>
          <w:trHeight w:val="240"/>
        </w:trPr>
        <w:tc>
          <w:tcPr>
            <w:tcW w:w="5351" w:type="dxa"/>
            <w:vAlign w:val="center"/>
          </w:tcPr>
          <w:p w14:paraId="61280C6A" w14:textId="77777777" w:rsidR="00ED2EC7" w:rsidRPr="00A53AD7" w:rsidRDefault="00ED2EC7" w:rsidP="00ED2EC7">
            <w:pPr>
              <w:suppressAutoHyphens/>
              <w:spacing w:after="0" w:line="240" w:lineRule="auto"/>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Возмещение недополученных доходов, возникающих в результате государственного регулирования тарифов на холодную воду и водоотведение для населения и потребителей, приравненных к населению (субсидия ∆В)</w:t>
            </w:r>
          </w:p>
        </w:tc>
        <w:tc>
          <w:tcPr>
            <w:tcW w:w="1276" w:type="dxa"/>
            <w:vAlign w:val="center"/>
          </w:tcPr>
          <w:p w14:paraId="5871168C"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990,6</w:t>
            </w:r>
          </w:p>
        </w:tc>
        <w:tc>
          <w:tcPr>
            <w:tcW w:w="1134" w:type="dxa"/>
            <w:vAlign w:val="center"/>
          </w:tcPr>
          <w:p w14:paraId="057AE31D"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990,6</w:t>
            </w:r>
          </w:p>
        </w:tc>
        <w:tc>
          <w:tcPr>
            <w:tcW w:w="992" w:type="dxa"/>
            <w:vAlign w:val="center"/>
          </w:tcPr>
          <w:p w14:paraId="56677260"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0,0</w:t>
            </w:r>
          </w:p>
        </w:tc>
        <w:tc>
          <w:tcPr>
            <w:tcW w:w="709" w:type="dxa"/>
            <w:vAlign w:val="center"/>
          </w:tcPr>
          <w:p w14:paraId="599BB879" w14:textId="77777777" w:rsidR="00ED2EC7" w:rsidRPr="00A53AD7" w:rsidRDefault="00ED2EC7" w:rsidP="00ED2EC7">
            <w:pPr>
              <w:suppressAutoHyphens/>
              <w:spacing w:after="0" w:line="240" w:lineRule="auto"/>
              <w:jc w:val="right"/>
              <w:rPr>
                <w:rFonts w:ascii="Times New Roman" w:eastAsia="Times New Roman" w:hAnsi="Times New Roman"/>
                <w:iCs/>
                <w:sz w:val="20"/>
                <w:szCs w:val="20"/>
                <w:lang w:eastAsia="zh-CN"/>
              </w:rPr>
            </w:pPr>
            <w:r w:rsidRPr="00A53AD7">
              <w:rPr>
                <w:rFonts w:ascii="Times New Roman" w:eastAsia="Times New Roman" w:hAnsi="Times New Roman"/>
                <w:iCs/>
                <w:sz w:val="20"/>
                <w:szCs w:val="20"/>
                <w:lang w:eastAsia="zh-CN"/>
              </w:rPr>
              <w:t>100,0</w:t>
            </w:r>
          </w:p>
        </w:tc>
      </w:tr>
      <w:tr w:rsidR="00ED2EC7" w:rsidRPr="00A53AD7" w14:paraId="642A6A57" w14:textId="77777777" w:rsidTr="00ED2EC7">
        <w:trPr>
          <w:cantSplit/>
          <w:trHeight w:val="240"/>
        </w:trPr>
        <w:tc>
          <w:tcPr>
            <w:tcW w:w="5351" w:type="dxa"/>
            <w:vAlign w:val="center"/>
          </w:tcPr>
          <w:p w14:paraId="27D895A5" w14:textId="77777777" w:rsidR="00ED2EC7" w:rsidRPr="00A53AD7" w:rsidRDefault="00ED2EC7" w:rsidP="00ED2EC7">
            <w:pPr>
              <w:suppressAutoHyphens/>
              <w:spacing w:after="0" w:line="240" w:lineRule="auto"/>
              <w:rPr>
                <w:rFonts w:ascii="Times New Roman" w:eastAsia="Times New Roman" w:hAnsi="Times New Roman"/>
                <w:b/>
                <w:iCs/>
                <w:sz w:val="20"/>
                <w:szCs w:val="20"/>
                <w:lang w:eastAsia="zh-CN"/>
              </w:rPr>
            </w:pPr>
            <w:r w:rsidRPr="00A53AD7">
              <w:rPr>
                <w:rFonts w:ascii="Times New Roman" w:eastAsia="Times New Roman" w:hAnsi="Times New Roman"/>
                <w:b/>
                <w:iCs/>
                <w:sz w:val="20"/>
                <w:szCs w:val="20"/>
                <w:lang w:eastAsia="zh-CN"/>
              </w:rPr>
              <w:t>Итого</w:t>
            </w:r>
          </w:p>
        </w:tc>
        <w:tc>
          <w:tcPr>
            <w:tcW w:w="1276" w:type="dxa"/>
            <w:vAlign w:val="center"/>
          </w:tcPr>
          <w:p w14:paraId="3AF1B53B" w14:textId="77777777" w:rsidR="00ED2EC7" w:rsidRPr="00A53AD7" w:rsidRDefault="00ED2EC7" w:rsidP="00ED2EC7">
            <w:pPr>
              <w:suppressAutoHyphens/>
              <w:spacing w:after="0" w:line="240" w:lineRule="auto"/>
              <w:jc w:val="center"/>
              <w:rPr>
                <w:rFonts w:ascii="Times New Roman" w:eastAsia="Times New Roman" w:hAnsi="Times New Roman"/>
                <w:b/>
                <w:iCs/>
                <w:sz w:val="20"/>
                <w:szCs w:val="20"/>
                <w:lang w:eastAsia="zh-CN"/>
              </w:rPr>
            </w:pPr>
            <w:r w:rsidRPr="00A53AD7">
              <w:rPr>
                <w:rFonts w:ascii="Times New Roman" w:eastAsia="Times New Roman" w:hAnsi="Times New Roman"/>
                <w:b/>
                <w:iCs/>
                <w:sz w:val="20"/>
                <w:szCs w:val="20"/>
                <w:lang w:eastAsia="zh-CN"/>
              </w:rPr>
              <w:t>4 093,3</w:t>
            </w:r>
          </w:p>
        </w:tc>
        <w:tc>
          <w:tcPr>
            <w:tcW w:w="1134" w:type="dxa"/>
            <w:vAlign w:val="center"/>
          </w:tcPr>
          <w:p w14:paraId="65C26D8D" w14:textId="77777777" w:rsidR="00ED2EC7" w:rsidRPr="00A53AD7" w:rsidRDefault="00ED2EC7" w:rsidP="00ED2EC7">
            <w:pPr>
              <w:suppressAutoHyphens/>
              <w:spacing w:after="0" w:line="240" w:lineRule="auto"/>
              <w:jc w:val="center"/>
              <w:rPr>
                <w:rFonts w:ascii="Times New Roman" w:eastAsia="Times New Roman" w:hAnsi="Times New Roman"/>
                <w:b/>
                <w:iCs/>
                <w:sz w:val="20"/>
                <w:szCs w:val="20"/>
                <w:lang w:eastAsia="zh-CN"/>
              </w:rPr>
            </w:pPr>
            <w:r w:rsidRPr="00A53AD7">
              <w:rPr>
                <w:rFonts w:ascii="Times New Roman" w:eastAsia="Times New Roman" w:hAnsi="Times New Roman"/>
                <w:b/>
                <w:iCs/>
                <w:sz w:val="20"/>
                <w:szCs w:val="20"/>
                <w:lang w:eastAsia="zh-CN"/>
              </w:rPr>
              <w:t>4 041,7</w:t>
            </w:r>
          </w:p>
        </w:tc>
        <w:tc>
          <w:tcPr>
            <w:tcW w:w="992" w:type="dxa"/>
          </w:tcPr>
          <w:p w14:paraId="6EF1A13F" w14:textId="77777777" w:rsidR="00ED2EC7" w:rsidRPr="00A53AD7" w:rsidRDefault="00ED2EC7" w:rsidP="00ED2EC7">
            <w:pPr>
              <w:suppressAutoHyphens/>
              <w:spacing w:after="0" w:line="240" w:lineRule="auto"/>
              <w:jc w:val="center"/>
              <w:rPr>
                <w:rFonts w:ascii="Times New Roman" w:eastAsia="Times New Roman" w:hAnsi="Times New Roman"/>
                <w:b/>
                <w:iCs/>
                <w:sz w:val="20"/>
                <w:szCs w:val="20"/>
                <w:lang w:eastAsia="zh-CN"/>
              </w:rPr>
            </w:pPr>
            <w:r w:rsidRPr="00A53AD7">
              <w:rPr>
                <w:rFonts w:ascii="Times New Roman" w:eastAsia="Times New Roman" w:hAnsi="Times New Roman"/>
                <w:b/>
                <w:iCs/>
                <w:sz w:val="20"/>
                <w:szCs w:val="20"/>
                <w:lang w:eastAsia="zh-CN"/>
              </w:rPr>
              <w:t>-51,6</w:t>
            </w:r>
          </w:p>
        </w:tc>
        <w:tc>
          <w:tcPr>
            <w:tcW w:w="709" w:type="dxa"/>
            <w:vAlign w:val="center"/>
          </w:tcPr>
          <w:p w14:paraId="46C3E4B9" w14:textId="77777777" w:rsidR="00ED2EC7" w:rsidRPr="00A53AD7" w:rsidRDefault="00ED2EC7" w:rsidP="00ED2EC7">
            <w:pPr>
              <w:suppressAutoHyphens/>
              <w:spacing w:after="0" w:line="240" w:lineRule="auto"/>
              <w:jc w:val="center"/>
              <w:rPr>
                <w:rFonts w:ascii="Times New Roman" w:eastAsia="Times New Roman" w:hAnsi="Times New Roman"/>
                <w:b/>
                <w:iCs/>
                <w:sz w:val="20"/>
                <w:szCs w:val="20"/>
                <w:lang w:eastAsia="zh-CN"/>
              </w:rPr>
            </w:pPr>
            <w:r w:rsidRPr="00A53AD7">
              <w:rPr>
                <w:rFonts w:ascii="Times New Roman" w:eastAsia="Times New Roman" w:hAnsi="Times New Roman"/>
                <w:b/>
                <w:iCs/>
                <w:sz w:val="20"/>
                <w:szCs w:val="20"/>
                <w:lang w:eastAsia="zh-CN"/>
              </w:rPr>
              <w:t>98,7</w:t>
            </w:r>
          </w:p>
        </w:tc>
      </w:tr>
    </w:tbl>
    <w:p w14:paraId="4A3E8357" w14:textId="77777777" w:rsidR="00ED2EC7" w:rsidRPr="00A53AD7" w:rsidRDefault="00ED2EC7" w:rsidP="00ED2EC7">
      <w:pPr>
        <w:spacing w:after="0" w:line="240" w:lineRule="auto"/>
        <w:jc w:val="both"/>
        <w:rPr>
          <w:rFonts w:ascii="Times New Roman" w:eastAsia="Times New Roman" w:hAnsi="Times New Roman"/>
          <w:sz w:val="28"/>
          <w:szCs w:val="28"/>
          <w:highlight w:val="cyan"/>
          <w:lang w:eastAsia="ru-RU"/>
        </w:rPr>
      </w:pPr>
    </w:p>
    <w:p w14:paraId="5B41847C"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Предоставление субсидий в 2019 году министерством ТЭК и ЖКХ АО осуществлялось на основании заключенных договоров с юридическими лицами, некоммерческими организациями (за исключением государственных (муниципальных) учреждений), индивидуальными предпринимателями, физическими лицами, всего заключено 225 договоров или 96,2% к уровню прошлого года.</w:t>
      </w:r>
    </w:p>
    <w:p w14:paraId="7B8467C1" w14:textId="77777777" w:rsidR="00ED2EC7" w:rsidRPr="00A53AD7" w:rsidRDefault="00ED2EC7" w:rsidP="00ED2EC7">
      <w:pPr>
        <w:pStyle w:val="ad"/>
        <w:ind w:firstLine="851"/>
        <w:jc w:val="both"/>
        <w:rPr>
          <w:rFonts w:ascii="Times New Roman" w:hAnsi="Times New Roman"/>
          <w:sz w:val="28"/>
          <w:szCs w:val="28"/>
        </w:rPr>
      </w:pPr>
    </w:p>
    <w:p w14:paraId="218D47BC"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∆Г</w:t>
      </w:r>
    </w:p>
    <w:p w14:paraId="4405AB13"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Информация о предоставлении субсидии ∆Г организациям коммунального комплекса в динамике с начала действия госпрограммы и фактических объемных показателей представлена в таблице и графически:</w:t>
      </w:r>
    </w:p>
    <w:tbl>
      <w:tblPr>
        <w:tblW w:w="9640"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992"/>
        <w:gridCol w:w="993"/>
        <w:gridCol w:w="850"/>
        <w:gridCol w:w="851"/>
      </w:tblGrid>
      <w:tr w:rsidR="00D470B6" w:rsidRPr="00A53AD7" w14:paraId="5B8E48B8" w14:textId="77777777" w:rsidTr="00ED2EC7">
        <w:trPr>
          <w:tblHeader/>
        </w:trPr>
        <w:tc>
          <w:tcPr>
            <w:tcW w:w="1985" w:type="dxa"/>
            <w:shd w:val="clear" w:color="auto" w:fill="auto"/>
          </w:tcPr>
          <w:p w14:paraId="2880BF1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6E2F77E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2E17824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56EDC1D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7A3181E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992" w:type="dxa"/>
            <w:shd w:val="clear" w:color="auto" w:fill="auto"/>
          </w:tcPr>
          <w:p w14:paraId="5852963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993" w:type="dxa"/>
            <w:shd w:val="clear" w:color="auto" w:fill="auto"/>
          </w:tcPr>
          <w:p w14:paraId="7358FD6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37FEB20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850" w:type="dxa"/>
          </w:tcPr>
          <w:p w14:paraId="40FFE32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2019 к 2018, </w:t>
            </w:r>
          </w:p>
          <w:p w14:paraId="33B9FC4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Pr>
          <w:p w14:paraId="010FF09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13CBB99B" w14:textId="77777777" w:rsidTr="00ED2EC7">
        <w:tc>
          <w:tcPr>
            <w:tcW w:w="1985" w:type="dxa"/>
            <w:shd w:val="clear" w:color="auto" w:fill="auto"/>
          </w:tcPr>
          <w:p w14:paraId="7C888F96"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bCs/>
                <w:iCs/>
                <w:sz w:val="20"/>
                <w:szCs w:val="20"/>
                <w:lang w:eastAsia="zh-CN"/>
              </w:rPr>
              <w:t>субсидия ∆Г</w:t>
            </w:r>
            <w:r w:rsidRPr="00A53AD7">
              <w:rPr>
                <w:rFonts w:ascii="Times New Roman" w:eastAsia="Times New Roman" w:hAnsi="Times New Roman"/>
                <w:sz w:val="20"/>
                <w:szCs w:val="20"/>
                <w:lang w:eastAsia="ru-RU"/>
              </w:rPr>
              <w:t>,</w:t>
            </w:r>
          </w:p>
          <w:p w14:paraId="1DF96382" w14:textId="4AD9B81D" w:rsidR="00ED2EC7" w:rsidRPr="00A53AD7" w:rsidRDefault="00163D1C"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млн.</w:t>
            </w:r>
            <w:r w:rsidR="00ED2EC7" w:rsidRPr="00A53AD7">
              <w:rPr>
                <w:rFonts w:ascii="Times New Roman" w:eastAsia="Times New Roman" w:hAnsi="Times New Roman"/>
                <w:sz w:val="20"/>
                <w:szCs w:val="20"/>
                <w:lang w:eastAsia="ru-RU"/>
              </w:rPr>
              <w:t>руб.</w:t>
            </w:r>
          </w:p>
        </w:tc>
        <w:tc>
          <w:tcPr>
            <w:tcW w:w="992" w:type="dxa"/>
          </w:tcPr>
          <w:p w14:paraId="036B290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66,8</w:t>
            </w:r>
          </w:p>
        </w:tc>
        <w:tc>
          <w:tcPr>
            <w:tcW w:w="993" w:type="dxa"/>
          </w:tcPr>
          <w:p w14:paraId="4110B65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74,0</w:t>
            </w:r>
          </w:p>
        </w:tc>
        <w:tc>
          <w:tcPr>
            <w:tcW w:w="992" w:type="dxa"/>
            <w:shd w:val="clear" w:color="auto" w:fill="auto"/>
          </w:tcPr>
          <w:p w14:paraId="39313E6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78,1</w:t>
            </w:r>
          </w:p>
        </w:tc>
        <w:tc>
          <w:tcPr>
            <w:tcW w:w="992" w:type="dxa"/>
            <w:shd w:val="clear" w:color="auto" w:fill="auto"/>
          </w:tcPr>
          <w:p w14:paraId="3133610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75,4</w:t>
            </w:r>
          </w:p>
        </w:tc>
        <w:tc>
          <w:tcPr>
            <w:tcW w:w="992" w:type="dxa"/>
            <w:shd w:val="clear" w:color="auto" w:fill="auto"/>
          </w:tcPr>
          <w:p w14:paraId="1B1E86E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64,5</w:t>
            </w:r>
          </w:p>
        </w:tc>
        <w:tc>
          <w:tcPr>
            <w:tcW w:w="993" w:type="dxa"/>
            <w:shd w:val="clear" w:color="auto" w:fill="auto"/>
          </w:tcPr>
          <w:p w14:paraId="7D298C8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zh-CN"/>
              </w:rPr>
              <w:t>63,3</w:t>
            </w:r>
          </w:p>
        </w:tc>
        <w:tc>
          <w:tcPr>
            <w:tcW w:w="850" w:type="dxa"/>
          </w:tcPr>
          <w:p w14:paraId="3E00FD9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98,1</w:t>
            </w:r>
          </w:p>
        </w:tc>
        <w:tc>
          <w:tcPr>
            <w:tcW w:w="851" w:type="dxa"/>
          </w:tcPr>
          <w:p w14:paraId="470E89D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94,8</w:t>
            </w:r>
          </w:p>
        </w:tc>
      </w:tr>
      <w:tr w:rsidR="00ED2EC7" w:rsidRPr="00A53AD7" w14:paraId="20C0EF00" w14:textId="77777777" w:rsidTr="00ED2EC7">
        <w:tc>
          <w:tcPr>
            <w:tcW w:w="1985" w:type="dxa"/>
            <w:shd w:val="clear" w:color="auto" w:fill="auto"/>
          </w:tcPr>
          <w:p w14:paraId="099C2C61" w14:textId="79C9A9D8" w:rsidR="00ED2EC7" w:rsidRPr="00A53AD7" w:rsidRDefault="00ED2EC7" w:rsidP="00ED2EC7">
            <w:pPr>
              <w:autoSpaceDE w:val="0"/>
              <w:autoSpaceDN w:val="0"/>
              <w:adjustRightInd w:val="0"/>
              <w:spacing w:after="0" w:line="240" w:lineRule="auto"/>
              <w:jc w:val="both"/>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Реализованный объем сжиженного газа, тыс.</w:t>
            </w:r>
            <w:r w:rsidR="00CF549B" w:rsidRPr="00A53AD7">
              <w:rPr>
                <w:rFonts w:ascii="Times New Roman" w:eastAsia="Times New Roman" w:hAnsi="Times New Roman"/>
                <w:i/>
                <w:sz w:val="20"/>
                <w:szCs w:val="20"/>
                <w:lang w:eastAsia="ru-RU"/>
              </w:rPr>
              <w:t xml:space="preserve"> </w:t>
            </w:r>
            <w:r w:rsidRPr="00A53AD7">
              <w:rPr>
                <w:rFonts w:ascii="Times New Roman" w:eastAsia="Times New Roman" w:hAnsi="Times New Roman"/>
                <w:i/>
                <w:sz w:val="20"/>
                <w:szCs w:val="20"/>
                <w:lang w:eastAsia="ru-RU"/>
              </w:rPr>
              <w:t>кг</w:t>
            </w:r>
          </w:p>
        </w:tc>
        <w:tc>
          <w:tcPr>
            <w:tcW w:w="992" w:type="dxa"/>
          </w:tcPr>
          <w:p w14:paraId="475F3A2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2B4633B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15031,2</w:t>
            </w:r>
          </w:p>
        </w:tc>
        <w:tc>
          <w:tcPr>
            <w:tcW w:w="993" w:type="dxa"/>
          </w:tcPr>
          <w:p w14:paraId="3F3A0B7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30D7430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14052,8</w:t>
            </w:r>
          </w:p>
        </w:tc>
        <w:tc>
          <w:tcPr>
            <w:tcW w:w="992" w:type="dxa"/>
            <w:shd w:val="clear" w:color="auto" w:fill="auto"/>
          </w:tcPr>
          <w:p w14:paraId="4D33391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4122D1A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14005,8</w:t>
            </w:r>
          </w:p>
        </w:tc>
        <w:tc>
          <w:tcPr>
            <w:tcW w:w="992" w:type="dxa"/>
            <w:shd w:val="clear" w:color="auto" w:fill="auto"/>
          </w:tcPr>
          <w:p w14:paraId="6FD1850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53EA22F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13736,8</w:t>
            </w:r>
          </w:p>
        </w:tc>
        <w:tc>
          <w:tcPr>
            <w:tcW w:w="992" w:type="dxa"/>
            <w:shd w:val="clear" w:color="auto" w:fill="auto"/>
          </w:tcPr>
          <w:p w14:paraId="584BE5B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72B9BAE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13190,6</w:t>
            </w:r>
          </w:p>
        </w:tc>
        <w:tc>
          <w:tcPr>
            <w:tcW w:w="993" w:type="dxa"/>
            <w:shd w:val="clear" w:color="auto" w:fill="auto"/>
          </w:tcPr>
          <w:p w14:paraId="5A4547E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2EE4441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12522,1</w:t>
            </w:r>
          </w:p>
        </w:tc>
        <w:tc>
          <w:tcPr>
            <w:tcW w:w="850" w:type="dxa"/>
          </w:tcPr>
          <w:p w14:paraId="06159BD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0607A33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94,9</w:t>
            </w:r>
          </w:p>
        </w:tc>
        <w:tc>
          <w:tcPr>
            <w:tcW w:w="851" w:type="dxa"/>
          </w:tcPr>
          <w:p w14:paraId="6E0DBD0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201A01B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83,3</w:t>
            </w:r>
          </w:p>
        </w:tc>
      </w:tr>
    </w:tbl>
    <w:p w14:paraId="249D8FD8" w14:textId="77777777" w:rsidR="00ED2EC7" w:rsidRPr="00A53AD7" w:rsidRDefault="00ED2EC7" w:rsidP="00ED2EC7">
      <w:pPr>
        <w:spacing w:after="0" w:line="240" w:lineRule="auto"/>
        <w:jc w:val="both"/>
        <w:rPr>
          <w:rFonts w:ascii="Times New Roman" w:eastAsia="Times New Roman" w:hAnsi="Times New Roman"/>
          <w:sz w:val="28"/>
          <w:szCs w:val="28"/>
          <w:highlight w:val="cyan"/>
          <w:lang w:eastAsia="ru-RU"/>
        </w:rPr>
      </w:pPr>
    </w:p>
    <w:p w14:paraId="4BA417D3" w14:textId="77777777" w:rsidR="00ED2EC7" w:rsidRPr="00A53AD7" w:rsidRDefault="00ED2EC7" w:rsidP="00ED2EC7">
      <w:pPr>
        <w:spacing w:after="0" w:line="240" w:lineRule="auto"/>
        <w:jc w:val="center"/>
        <w:rPr>
          <w:rFonts w:ascii="Times New Roman" w:eastAsia="Times New Roman" w:hAnsi="Times New Roman"/>
          <w:sz w:val="28"/>
          <w:szCs w:val="28"/>
          <w:lang w:eastAsia="ru-RU"/>
        </w:rPr>
      </w:pPr>
      <w:r w:rsidRPr="00A53AD7">
        <w:rPr>
          <w:rFonts w:ascii="Times New Roman" w:eastAsia="Times New Roman" w:hAnsi="Times New Roman"/>
          <w:noProof/>
          <w:sz w:val="28"/>
          <w:szCs w:val="28"/>
          <w:lang w:eastAsia="ru-RU"/>
        </w:rPr>
        <w:drawing>
          <wp:inline distT="0" distB="0" distL="0" distR="0" wp14:anchorId="626DC89E" wp14:editId="28B6372E">
            <wp:extent cx="3706569" cy="2228850"/>
            <wp:effectExtent l="0" t="0" r="825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14064" cy="2233357"/>
                    </a:xfrm>
                    <a:prstGeom prst="rect">
                      <a:avLst/>
                    </a:prstGeom>
                    <a:noFill/>
                  </pic:spPr>
                </pic:pic>
              </a:graphicData>
            </a:graphic>
          </wp:inline>
        </w:drawing>
      </w:r>
    </w:p>
    <w:p w14:paraId="7132E8FE"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49215554"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Газоснабжающими организациями за 2019 год фактически реализован объем сжиженного газа населению в количестве 12 522,1 тыс.кг или 94,9% к уровню 2018 года. Потребность субсидии ∆Г за 2019 год составила в сумме 69,4 млн.руб. (с учетом кредиторской задолженности на 01.01.2019) или 100,0% к уровню 2018 года, кредиторская задолженность на 01.01.2020 составила в сумме 6,0 млн.руб. или 125,0% к началу года.</w:t>
      </w:r>
    </w:p>
    <w:p w14:paraId="7549BEC5" w14:textId="77777777" w:rsidR="00ED2EC7" w:rsidRPr="00A53AD7" w:rsidRDefault="00ED2EC7" w:rsidP="00ED2EC7">
      <w:pPr>
        <w:pStyle w:val="ad"/>
        <w:ind w:firstLine="851"/>
        <w:jc w:val="both"/>
        <w:rPr>
          <w:rFonts w:ascii="Times New Roman" w:hAnsi="Times New Roman"/>
          <w:sz w:val="28"/>
          <w:szCs w:val="28"/>
        </w:rPr>
      </w:pPr>
    </w:p>
    <w:p w14:paraId="29287EA8" w14:textId="77777777" w:rsidR="00ED2EC7" w:rsidRPr="00A53AD7" w:rsidRDefault="00ED2EC7" w:rsidP="00ED2EC7">
      <w:pPr>
        <w:pStyle w:val="ad"/>
        <w:ind w:firstLine="851"/>
        <w:jc w:val="both"/>
        <w:rPr>
          <w:rFonts w:ascii="Times New Roman" w:hAnsi="Times New Roman"/>
          <w:sz w:val="28"/>
          <w:szCs w:val="28"/>
        </w:rPr>
      </w:pPr>
      <w:r w:rsidRPr="00A53AD7">
        <w:rPr>
          <w:rFonts w:ascii="Times New Roman" w:hAnsi="Times New Roman"/>
          <w:sz w:val="28"/>
          <w:szCs w:val="28"/>
        </w:rPr>
        <w:t xml:space="preserve">Факторный анализ отклонений представлен в таблице: </w:t>
      </w:r>
    </w:p>
    <w:p w14:paraId="118FCCE0"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r w:rsidRPr="00A53AD7">
        <w:rPr>
          <w:noProof/>
          <w:lang w:eastAsia="ru-RU"/>
        </w:rPr>
        <w:drawing>
          <wp:inline distT="0" distB="0" distL="0" distR="0" wp14:anchorId="716FBB1F" wp14:editId="666A852D">
            <wp:extent cx="5940425" cy="741988"/>
            <wp:effectExtent l="0" t="0" r="3175"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0425" cy="741988"/>
                    </a:xfrm>
                    <a:prstGeom prst="rect">
                      <a:avLst/>
                    </a:prstGeom>
                    <a:noFill/>
                    <a:ln>
                      <a:noFill/>
                    </a:ln>
                  </pic:spPr>
                </pic:pic>
              </a:graphicData>
            </a:graphic>
          </wp:inline>
        </w:drawing>
      </w:r>
    </w:p>
    <w:p w14:paraId="54B358AF" w14:textId="77777777" w:rsidR="00ED2EC7" w:rsidRPr="00A53AD7" w:rsidRDefault="00ED2EC7" w:rsidP="00ED2EC7">
      <w:pPr>
        <w:spacing w:after="0" w:line="240" w:lineRule="auto"/>
        <w:ind w:firstLine="708"/>
        <w:jc w:val="both"/>
        <w:rPr>
          <w:rFonts w:ascii="Times New Roman" w:eastAsia="Times New Roman" w:hAnsi="Times New Roman"/>
          <w:sz w:val="28"/>
          <w:szCs w:val="28"/>
          <w:lang w:eastAsia="ru-RU"/>
        </w:rPr>
      </w:pPr>
    </w:p>
    <w:p w14:paraId="7F5E0AF6" w14:textId="77777777" w:rsidR="00ED2EC7" w:rsidRPr="00A53AD7" w:rsidRDefault="00ED2EC7" w:rsidP="00ED2EC7">
      <w:pPr>
        <w:spacing w:after="0" w:line="240" w:lineRule="auto"/>
        <w:ind w:firstLine="708"/>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 Следует отметить, что объем средств, направленных в виде субсидии ∆Г к уровню 2018 года не изменился, при этом объем потребления газа населением уменьшился, сохранение объема потребности в средствах на уровне 2018 года при падении объема отпуска газа населению было обусловлено ростом отпускного тарифа, соответственно возросшей величины межтарифной разницы.</w:t>
      </w:r>
    </w:p>
    <w:p w14:paraId="55D773F4"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458849C2"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∆Э</w:t>
      </w:r>
    </w:p>
    <w:p w14:paraId="1882637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Информация о предоставлении субсидии ∆Э организациям коммунального комплекса в динамике с начала действия госпрограммы и фактических объемных показателей представлена в таблице и графически:</w:t>
      </w:r>
    </w:p>
    <w:tbl>
      <w:tblPr>
        <w:tblW w:w="9640"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992"/>
        <w:gridCol w:w="993"/>
        <w:gridCol w:w="850"/>
        <w:gridCol w:w="851"/>
      </w:tblGrid>
      <w:tr w:rsidR="00D470B6" w:rsidRPr="00A53AD7" w14:paraId="2B68845F" w14:textId="77777777" w:rsidTr="00ED2EC7">
        <w:trPr>
          <w:tblHeader/>
        </w:trPr>
        <w:tc>
          <w:tcPr>
            <w:tcW w:w="1985" w:type="dxa"/>
            <w:shd w:val="clear" w:color="auto" w:fill="auto"/>
          </w:tcPr>
          <w:p w14:paraId="5D2E3A0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5174CCB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08DDC4A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3ECEC59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1D7DFF4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992" w:type="dxa"/>
            <w:shd w:val="clear" w:color="auto" w:fill="auto"/>
          </w:tcPr>
          <w:p w14:paraId="05B80C9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993" w:type="dxa"/>
            <w:shd w:val="clear" w:color="auto" w:fill="auto"/>
          </w:tcPr>
          <w:p w14:paraId="00C7814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00B74FC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850" w:type="dxa"/>
          </w:tcPr>
          <w:p w14:paraId="137BFD4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2019 к 2018, </w:t>
            </w:r>
          </w:p>
          <w:p w14:paraId="16B0616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Pr>
          <w:p w14:paraId="0796488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656F6523" w14:textId="77777777" w:rsidTr="00ED2EC7">
        <w:tc>
          <w:tcPr>
            <w:tcW w:w="1985" w:type="dxa"/>
            <w:shd w:val="clear" w:color="auto" w:fill="auto"/>
          </w:tcPr>
          <w:p w14:paraId="63AB0A3D" w14:textId="77777777" w:rsidR="00ED2EC7" w:rsidRPr="00A53AD7" w:rsidRDefault="00ED2EC7" w:rsidP="00ED2EC7">
            <w:pPr>
              <w:autoSpaceDE w:val="0"/>
              <w:autoSpaceDN w:val="0"/>
              <w:adjustRightInd w:val="0"/>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bCs/>
                <w:iCs/>
                <w:sz w:val="20"/>
                <w:szCs w:val="20"/>
                <w:lang w:eastAsia="zh-CN"/>
              </w:rPr>
              <w:t>субсидия ∆Э</w:t>
            </w:r>
            <w:r w:rsidRPr="00A53AD7">
              <w:rPr>
                <w:rFonts w:ascii="Times New Roman" w:eastAsia="Times New Roman" w:hAnsi="Times New Roman"/>
                <w:sz w:val="20"/>
                <w:szCs w:val="20"/>
                <w:lang w:eastAsia="ru-RU"/>
              </w:rPr>
              <w:t>,</w:t>
            </w:r>
          </w:p>
          <w:p w14:paraId="33B4A090" w14:textId="45FA88C8" w:rsidR="00ED2EC7" w:rsidRPr="00A53AD7" w:rsidRDefault="00ED2EC7" w:rsidP="00ED2EC7">
            <w:pPr>
              <w:autoSpaceDE w:val="0"/>
              <w:autoSpaceDN w:val="0"/>
              <w:adjustRightInd w:val="0"/>
              <w:spacing w:after="0" w:line="240" w:lineRule="auto"/>
              <w:rPr>
                <w:rFonts w:ascii="Times New Roman" w:eastAsia="Times New Roman" w:hAnsi="Times New Roman"/>
                <w:sz w:val="20"/>
                <w:szCs w:val="20"/>
                <w:lang w:eastAsia="ru-RU"/>
              </w:rPr>
            </w:pPr>
            <w:r w:rsidRPr="00A53AD7">
              <w:rPr>
                <w:rFonts w:ascii="Times New Roman" w:hAnsi="Times New Roman"/>
                <w:sz w:val="20"/>
                <w:szCs w:val="20"/>
              </w:rPr>
              <w:t xml:space="preserve"> </w:t>
            </w:r>
            <w:r w:rsidR="00163D1C" w:rsidRPr="00A53AD7">
              <w:rPr>
                <w:rFonts w:ascii="Times New Roman" w:eastAsia="Times New Roman" w:hAnsi="Times New Roman"/>
                <w:sz w:val="20"/>
                <w:szCs w:val="20"/>
                <w:lang w:eastAsia="ru-RU"/>
              </w:rPr>
              <w:t>млн.</w:t>
            </w:r>
            <w:r w:rsidRPr="00A53AD7">
              <w:rPr>
                <w:rFonts w:ascii="Times New Roman" w:eastAsia="Times New Roman" w:hAnsi="Times New Roman"/>
                <w:sz w:val="20"/>
                <w:szCs w:val="20"/>
                <w:lang w:eastAsia="ru-RU"/>
              </w:rPr>
              <w:t>руб.</w:t>
            </w:r>
          </w:p>
        </w:tc>
        <w:tc>
          <w:tcPr>
            <w:tcW w:w="992" w:type="dxa"/>
          </w:tcPr>
          <w:p w14:paraId="338080B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806,8</w:t>
            </w:r>
          </w:p>
        </w:tc>
        <w:tc>
          <w:tcPr>
            <w:tcW w:w="993" w:type="dxa"/>
          </w:tcPr>
          <w:p w14:paraId="63D7B6F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783,5</w:t>
            </w:r>
          </w:p>
        </w:tc>
        <w:tc>
          <w:tcPr>
            <w:tcW w:w="992" w:type="dxa"/>
            <w:shd w:val="clear" w:color="auto" w:fill="auto"/>
          </w:tcPr>
          <w:p w14:paraId="6593EA1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926,8</w:t>
            </w:r>
          </w:p>
        </w:tc>
        <w:tc>
          <w:tcPr>
            <w:tcW w:w="992" w:type="dxa"/>
            <w:shd w:val="clear" w:color="auto" w:fill="auto"/>
          </w:tcPr>
          <w:p w14:paraId="7687661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902,2</w:t>
            </w:r>
          </w:p>
        </w:tc>
        <w:tc>
          <w:tcPr>
            <w:tcW w:w="992" w:type="dxa"/>
            <w:shd w:val="clear" w:color="auto" w:fill="auto"/>
          </w:tcPr>
          <w:p w14:paraId="4363767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774,1</w:t>
            </w:r>
          </w:p>
        </w:tc>
        <w:tc>
          <w:tcPr>
            <w:tcW w:w="993" w:type="dxa"/>
            <w:shd w:val="clear" w:color="auto" w:fill="auto"/>
          </w:tcPr>
          <w:p w14:paraId="59C56AD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bCs/>
                <w:iCs/>
                <w:sz w:val="20"/>
                <w:szCs w:val="20"/>
                <w:lang w:eastAsia="zh-CN"/>
              </w:rPr>
              <w:t>848,1</w:t>
            </w:r>
          </w:p>
        </w:tc>
        <w:tc>
          <w:tcPr>
            <w:tcW w:w="850" w:type="dxa"/>
          </w:tcPr>
          <w:p w14:paraId="05A13E6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109,6</w:t>
            </w:r>
          </w:p>
        </w:tc>
        <w:tc>
          <w:tcPr>
            <w:tcW w:w="851" w:type="dxa"/>
          </w:tcPr>
          <w:p w14:paraId="15E3F65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105,1</w:t>
            </w:r>
          </w:p>
        </w:tc>
      </w:tr>
      <w:tr w:rsidR="00ED2EC7" w:rsidRPr="00A53AD7" w14:paraId="333E89C3" w14:textId="77777777" w:rsidTr="00ED2EC7">
        <w:tc>
          <w:tcPr>
            <w:tcW w:w="1985" w:type="dxa"/>
            <w:shd w:val="clear" w:color="auto" w:fill="auto"/>
          </w:tcPr>
          <w:p w14:paraId="7D87EC9E" w14:textId="77777777" w:rsidR="00ED2EC7" w:rsidRPr="00A53AD7" w:rsidRDefault="00ED2EC7" w:rsidP="00ED2EC7">
            <w:pPr>
              <w:autoSpaceDE w:val="0"/>
              <w:autoSpaceDN w:val="0"/>
              <w:adjustRightInd w:val="0"/>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Отпущено эл. энергии,</w:t>
            </w:r>
          </w:p>
          <w:p w14:paraId="628D61BB" w14:textId="77777777" w:rsidR="00ED2EC7" w:rsidRPr="00A53AD7" w:rsidRDefault="00ED2EC7" w:rsidP="00ED2EC7">
            <w:pPr>
              <w:autoSpaceDE w:val="0"/>
              <w:autoSpaceDN w:val="0"/>
              <w:adjustRightInd w:val="0"/>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тыс.кВт*ч</w:t>
            </w:r>
          </w:p>
        </w:tc>
        <w:tc>
          <w:tcPr>
            <w:tcW w:w="992" w:type="dxa"/>
          </w:tcPr>
          <w:p w14:paraId="64EB385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2EDD7A0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32270,2</w:t>
            </w:r>
          </w:p>
        </w:tc>
        <w:tc>
          <w:tcPr>
            <w:tcW w:w="993" w:type="dxa"/>
          </w:tcPr>
          <w:p w14:paraId="019E8A1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3A24C61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32256,2</w:t>
            </w:r>
          </w:p>
        </w:tc>
        <w:tc>
          <w:tcPr>
            <w:tcW w:w="992" w:type="dxa"/>
            <w:shd w:val="clear" w:color="auto" w:fill="auto"/>
          </w:tcPr>
          <w:p w14:paraId="2FD00E2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5BBB395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32636,9</w:t>
            </w:r>
          </w:p>
        </w:tc>
        <w:tc>
          <w:tcPr>
            <w:tcW w:w="992" w:type="dxa"/>
            <w:shd w:val="clear" w:color="auto" w:fill="auto"/>
          </w:tcPr>
          <w:p w14:paraId="3893BCA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16B880A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32353,3</w:t>
            </w:r>
          </w:p>
        </w:tc>
        <w:tc>
          <w:tcPr>
            <w:tcW w:w="992" w:type="dxa"/>
            <w:shd w:val="clear" w:color="auto" w:fill="auto"/>
          </w:tcPr>
          <w:p w14:paraId="3F2B319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771997C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31396,1</w:t>
            </w:r>
          </w:p>
        </w:tc>
        <w:tc>
          <w:tcPr>
            <w:tcW w:w="993" w:type="dxa"/>
            <w:shd w:val="clear" w:color="auto" w:fill="auto"/>
          </w:tcPr>
          <w:p w14:paraId="2BDFF8F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4A600A8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61809,2</w:t>
            </w:r>
          </w:p>
        </w:tc>
        <w:tc>
          <w:tcPr>
            <w:tcW w:w="850" w:type="dxa"/>
          </w:tcPr>
          <w:p w14:paraId="617FD5B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0036F26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196,9</w:t>
            </w:r>
          </w:p>
        </w:tc>
        <w:tc>
          <w:tcPr>
            <w:tcW w:w="851" w:type="dxa"/>
          </w:tcPr>
          <w:p w14:paraId="56FE04E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6A0DECB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191,5</w:t>
            </w:r>
          </w:p>
        </w:tc>
      </w:tr>
    </w:tbl>
    <w:p w14:paraId="0137C58D"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p>
    <w:p w14:paraId="53A25F2E" w14:textId="77777777" w:rsidR="00ED2EC7" w:rsidRPr="00A53AD7" w:rsidRDefault="00ED2EC7" w:rsidP="00ED2EC7">
      <w:pPr>
        <w:spacing w:after="0" w:line="240" w:lineRule="auto"/>
        <w:jc w:val="center"/>
        <w:rPr>
          <w:rFonts w:ascii="Times New Roman" w:eastAsia="Times New Roman" w:hAnsi="Times New Roman"/>
          <w:sz w:val="28"/>
          <w:szCs w:val="28"/>
          <w:lang w:eastAsia="ru-RU"/>
        </w:rPr>
      </w:pPr>
      <w:r w:rsidRPr="00A53AD7">
        <w:rPr>
          <w:rFonts w:ascii="Times New Roman" w:eastAsia="Times New Roman" w:hAnsi="Times New Roman"/>
          <w:noProof/>
          <w:sz w:val="28"/>
          <w:szCs w:val="28"/>
          <w:lang w:eastAsia="ru-RU"/>
        </w:rPr>
        <w:drawing>
          <wp:inline distT="0" distB="0" distL="0" distR="0" wp14:anchorId="1F84055D" wp14:editId="26CE777C">
            <wp:extent cx="3969092" cy="2393315"/>
            <wp:effectExtent l="0" t="0" r="0" b="698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72947" cy="2395640"/>
                    </a:xfrm>
                    <a:prstGeom prst="rect">
                      <a:avLst/>
                    </a:prstGeom>
                    <a:noFill/>
                  </pic:spPr>
                </pic:pic>
              </a:graphicData>
            </a:graphic>
          </wp:inline>
        </w:drawing>
      </w:r>
    </w:p>
    <w:p w14:paraId="172A40F4" w14:textId="16F63613"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Энергоснабжающими предприятиями за 2019 год отпущено электрической энергии (потребленной всеми группами потребителей) в количестве 61 809,2 тыс. кВт*ч или 196,9% к уровню 2018 года. Потребность субсидии ∆Э в средствах областного бюджета за 2019 г</w:t>
      </w:r>
      <w:r w:rsidR="00163D1C" w:rsidRPr="00A53AD7">
        <w:rPr>
          <w:rFonts w:ascii="Times New Roman" w:eastAsia="Times New Roman" w:hAnsi="Times New Roman"/>
          <w:sz w:val="28"/>
          <w:szCs w:val="28"/>
          <w:lang w:eastAsia="ru-RU"/>
        </w:rPr>
        <w:t>од составила в сумме 941,8 млн.</w:t>
      </w:r>
      <w:r w:rsidRPr="00A53AD7">
        <w:rPr>
          <w:rFonts w:ascii="Times New Roman" w:eastAsia="Times New Roman" w:hAnsi="Times New Roman"/>
          <w:sz w:val="28"/>
          <w:szCs w:val="28"/>
          <w:lang w:eastAsia="ru-RU"/>
        </w:rPr>
        <w:t>руб. (с учетом кредиторской задолженности на 01.01.2019) или 111,9% к уровню 2018 года, кредиторская задолженность на 01.01.2020 составила в су</w:t>
      </w:r>
      <w:r w:rsidR="00163D1C" w:rsidRPr="00A53AD7">
        <w:rPr>
          <w:rFonts w:ascii="Times New Roman" w:eastAsia="Times New Roman" w:hAnsi="Times New Roman"/>
          <w:sz w:val="28"/>
          <w:szCs w:val="28"/>
          <w:lang w:eastAsia="ru-RU"/>
        </w:rPr>
        <w:t>мме 93,7 млн.</w:t>
      </w:r>
      <w:r w:rsidRPr="00A53AD7">
        <w:rPr>
          <w:rFonts w:ascii="Times New Roman" w:eastAsia="Times New Roman" w:hAnsi="Times New Roman"/>
          <w:sz w:val="28"/>
          <w:szCs w:val="28"/>
          <w:lang w:eastAsia="ru-RU"/>
        </w:rPr>
        <w:t>руб. или 139,4% к началу года.</w:t>
      </w:r>
    </w:p>
    <w:p w14:paraId="7DE8C1F4"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Рост потребности в средствах субсидии ∆Э в отчетном периоде обусловлен за счет роста величины межтарифной разницы при снижении стоимостного фактора, обусловленного ростом объема субсидированной энергии.</w:t>
      </w:r>
    </w:p>
    <w:p w14:paraId="6565B09D"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p>
    <w:p w14:paraId="0935645C"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∆Т</w:t>
      </w:r>
    </w:p>
    <w:p w14:paraId="6057D16C"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Информация о предоставлении субсидии ∆Т организациям коммунального комплекса в динамике с начала действия госпрограммы и фактических объемных показателей представлена в таблице и графически:</w:t>
      </w:r>
    </w:p>
    <w:tbl>
      <w:tblPr>
        <w:tblW w:w="9640"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992"/>
        <w:gridCol w:w="993"/>
        <w:gridCol w:w="850"/>
        <w:gridCol w:w="851"/>
      </w:tblGrid>
      <w:tr w:rsidR="00D470B6" w:rsidRPr="00A53AD7" w14:paraId="7899B0EE" w14:textId="77777777" w:rsidTr="00ED2EC7">
        <w:trPr>
          <w:tblHeader/>
        </w:trPr>
        <w:tc>
          <w:tcPr>
            <w:tcW w:w="1985" w:type="dxa"/>
            <w:shd w:val="clear" w:color="auto" w:fill="auto"/>
          </w:tcPr>
          <w:p w14:paraId="2D8844B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5FC0318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6B38480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6931164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1B308FD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992" w:type="dxa"/>
            <w:shd w:val="clear" w:color="auto" w:fill="auto"/>
          </w:tcPr>
          <w:p w14:paraId="310BE49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993" w:type="dxa"/>
            <w:shd w:val="clear" w:color="auto" w:fill="auto"/>
          </w:tcPr>
          <w:p w14:paraId="304DE78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37B8CC8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850" w:type="dxa"/>
          </w:tcPr>
          <w:p w14:paraId="478A919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2019 к 2018, </w:t>
            </w:r>
          </w:p>
          <w:p w14:paraId="29FFF2B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Pr>
          <w:p w14:paraId="5B0F64C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14680A77" w14:textId="77777777" w:rsidTr="00ED2EC7">
        <w:tc>
          <w:tcPr>
            <w:tcW w:w="1985" w:type="dxa"/>
            <w:shd w:val="clear" w:color="auto" w:fill="auto"/>
          </w:tcPr>
          <w:p w14:paraId="3B2592B9"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субсидия ∆Т</w:t>
            </w:r>
            <w:r w:rsidRPr="00A53AD7">
              <w:rPr>
                <w:rFonts w:ascii="Times New Roman" w:eastAsia="Times New Roman" w:hAnsi="Times New Roman"/>
                <w:sz w:val="20"/>
                <w:szCs w:val="20"/>
                <w:lang w:eastAsia="ru-RU"/>
              </w:rPr>
              <w:t>,</w:t>
            </w:r>
          </w:p>
          <w:p w14:paraId="2B7A8B37" w14:textId="576F691F" w:rsidR="00ED2EC7" w:rsidRPr="00A53AD7" w:rsidRDefault="00163D1C"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млн.</w:t>
            </w:r>
            <w:r w:rsidR="00ED2EC7" w:rsidRPr="00A53AD7">
              <w:rPr>
                <w:rFonts w:ascii="Times New Roman" w:eastAsia="Times New Roman" w:hAnsi="Times New Roman"/>
                <w:sz w:val="20"/>
                <w:szCs w:val="20"/>
                <w:lang w:eastAsia="ru-RU"/>
              </w:rPr>
              <w:t>руб.</w:t>
            </w:r>
          </w:p>
        </w:tc>
        <w:tc>
          <w:tcPr>
            <w:tcW w:w="992" w:type="dxa"/>
          </w:tcPr>
          <w:p w14:paraId="173B85D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1256,3</w:t>
            </w:r>
          </w:p>
        </w:tc>
        <w:tc>
          <w:tcPr>
            <w:tcW w:w="993" w:type="dxa"/>
          </w:tcPr>
          <w:p w14:paraId="6189455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1301,1</w:t>
            </w:r>
          </w:p>
        </w:tc>
        <w:tc>
          <w:tcPr>
            <w:tcW w:w="992" w:type="dxa"/>
            <w:shd w:val="clear" w:color="auto" w:fill="auto"/>
          </w:tcPr>
          <w:p w14:paraId="6A351C9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1 556,0</w:t>
            </w:r>
          </w:p>
        </w:tc>
        <w:tc>
          <w:tcPr>
            <w:tcW w:w="992" w:type="dxa"/>
            <w:shd w:val="clear" w:color="auto" w:fill="auto"/>
          </w:tcPr>
          <w:p w14:paraId="12961FA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1 768,1</w:t>
            </w:r>
          </w:p>
        </w:tc>
        <w:tc>
          <w:tcPr>
            <w:tcW w:w="992" w:type="dxa"/>
            <w:shd w:val="clear" w:color="auto" w:fill="auto"/>
          </w:tcPr>
          <w:p w14:paraId="2449F56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1 717,4</w:t>
            </w:r>
          </w:p>
        </w:tc>
        <w:tc>
          <w:tcPr>
            <w:tcW w:w="993" w:type="dxa"/>
            <w:shd w:val="clear" w:color="auto" w:fill="auto"/>
          </w:tcPr>
          <w:p w14:paraId="445779A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1 985,6</w:t>
            </w:r>
          </w:p>
        </w:tc>
        <w:tc>
          <w:tcPr>
            <w:tcW w:w="850" w:type="dxa"/>
          </w:tcPr>
          <w:p w14:paraId="6AE2FFB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115,6</w:t>
            </w:r>
          </w:p>
        </w:tc>
        <w:tc>
          <w:tcPr>
            <w:tcW w:w="851" w:type="dxa"/>
          </w:tcPr>
          <w:p w14:paraId="2178051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158,1</w:t>
            </w:r>
          </w:p>
        </w:tc>
      </w:tr>
      <w:tr w:rsidR="00D470B6" w:rsidRPr="00A53AD7" w14:paraId="731E6FDD" w14:textId="77777777" w:rsidTr="00ED2EC7">
        <w:tc>
          <w:tcPr>
            <w:tcW w:w="1985" w:type="dxa"/>
            <w:shd w:val="clear" w:color="auto" w:fill="auto"/>
          </w:tcPr>
          <w:p w14:paraId="7666392A"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 xml:space="preserve">Отпущено тепловой энергии, </w:t>
            </w:r>
          </w:p>
          <w:p w14:paraId="4AABFA77"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тыс. Гкал</w:t>
            </w:r>
          </w:p>
        </w:tc>
        <w:tc>
          <w:tcPr>
            <w:tcW w:w="992" w:type="dxa"/>
          </w:tcPr>
          <w:p w14:paraId="42B48AF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2343D02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1021,8</w:t>
            </w:r>
          </w:p>
        </w:tc>
        <w:tc>
          <w:tcPr>
            <w:tcW w:w="993" w:type="dxa"/>
          </w:tcPr>
          <w:p w14:paraId="7B94C79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15B92BB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1012,6</w:t>
            </w:r>
          </w:p>
        </w:tc>
        <w:tc>
          <w:tcPr>
            <w:tcW w:w="992" w:type="dxa"/>
            <w:shd w:val="clear" w:color="auto" w:fill="auto"/>
          </w:tcPr>
          <w:p w14:paraId="7BCEF91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4E372A5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1052,1</w:t>
            </w:r>
          </w:p>
        </w:tc>
        <w:tc>
          <w:tcPr>
            <w:tcW w:w="992" w:type="dxa"/>
            <w:shd w:val="clear" w:color="auto" w:fill="auto"/>
          </w:tcPr>
          <w:p w14:paraId="355F578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25AE3B7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1054,1</w:t>
            </w:r>
          </w:p>
        </w:tc>
        <w:tc>
          <w:tcPr>
            <w:tcW w:w="992" w:type="dxa"/>
            <w:shd w:val="clear" w:color="auto" w:fill="auto"/>
          </w:tcPr>
          <w:p w14:paraId="282C71D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4C1819A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1024,1</w:t>
            </w:r>
          </w:p>
        </w:tc>
        <w:tc>
          <w:tcPr>
            <w:tcW w:w="993" w:type="dxa"/>
            <w:shd w:val="clear" w:color="auto" w:fill="auto"/>
          </w:tcPr>
          <w:p w14:paraId="539BE4C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p>
          <w:p w14:paraId="1EA424A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1 719,8</w:t>
            </w:r>
          </w:p>
        </w:tc>
        <w:tc>
          <w:tcPr>
            <w:tcW w:w="850" w:type="dxa"/>
          </w:tcPr>
          <w:p w14:paraId="1A1EA7E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251D351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167,9</w:t>
            </w:r>
          </w:p>
        </w:tc>
        <w:tc>
          <w:tcPr>
            <w:tcW w:w="851" w:type="dxa"/>
          </w:tcPr>
          <w:p w14:paraId="6C89C4A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p w14:paraId="7C4B62E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168,3</w:t>
            </w:r>
          </w:p>
        </w:tc>
      </w:tr>
    </w:tbl>
    <w:p w14:paraId="71B66ECA"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ab/>
      </w:r>
    </w:p>
    <w:p w14:paraId="7EC51ECF" w14:textId="77777777" w:rsidR="00ED2EC7" w:rsidRPr="00A53AD7" w:rsidRDefault="00ED2EC7" w:rsidP="00ED2EC7">
      <w:pPr>
        <w:spacing w:after="0" w:line="240" w:lineRule="auto"/>
        <w:jc w:val="center"/>
        <w:rPr>
          <w:rFonts w:ascii="Times New Roman" w:eastAsia="Times New Roman" w:hAnsi="Times New Roman"/>
          <w:sz w:val="28"/>
          <w:szCs w:val="28"/>
          <w:lang w:eastAsia="ru-RU"/>
        </w:rPr>
      </w:pPr>
      <w:r w:rsidRPr="00A53AD7">
        <w:rPr>
          <w:rFonts w:ascii="Times New Roman" w:eastAsia="Times New Roman" w:hAnsi="Times New Roman"/>
          <w:noProof/>
          <w:sz w:val="28"/>
          <w:szCs w:val="28"/>
          <w:lang w:eastAsia="ru-RU"/>
        </w:rPr>
        <w:drawing>
          <wp:inline distT="0" distB="0" distL="0" distR="0" wp14:anchorId="681451A0" wp14:editId="6E8C5B43">
            <wp:extent cx="4997450" cy="2446501"/>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05369" cy="2450378"/>
                    </a:xfrm>
                    <a:prstGeom prst="rect">
                      <a:avLst/>
                    </a:prstGeom>
                    <a:noFill/>
                  </pic:spPr>
                </pic:pic>
              </a:graphicData>
            </a:graphic>
          </wp:inline>
        </w:drawing>
      </w:r>
    </w:p>
    <w:p w14:paraId="6B3BECE6"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Теплоснабжающими предприятиями за 2019 год отпущено тепловой энергии для нужд населения и потребителей, приравненных к населению, в количестве 1719,8 тыс. Гкал или 167,9% к уровню 2018 года. Потребность в средствах субсидии ∆Т составила в сумме 2 273,2 млн.руб. (с учетом кредиторской задолженности на 01.01.2019) или 117,4% к уровню 2018 года, кредиторская задолженность на 01.01.2020 по расчетам 2019 года составила в сумме 287,5 млн.руб. или 130,9% к началу года.</w:t>
      </w:r>
    </w:p>
    <w:p w14:paraId="74FC1D9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Факторный анализ отклонений представлен в таблице </w:t>
      </w:r>
    </w:p>
    <w:p w14:paraId="07079182"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r w:rsidRPr="00A53AD7">
        <w:rPr>
          <w:noProof/>
          <w:lang w:eastAsia="ru-RU"/>
        </w:rPr>
        <w:drawing>
          <wp:inline distT="0" distB="0" distL="0" distR="0" wp14:anchorId="19960803" wp14:editId="2BBE1982">
            <wp:extent cx="5940425" cy="539184"/>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0425" cy="539184"/>
                    </a:xfrm>
                    <a:prstGeom prst="rect">
                      <a:avLst/>
                    </a:prstGeom>
                    <a:noFill/>
                    <a:ln>
                      <a:noFill/>
                    </a:ln>
                  </pic:spPr>
                </pic:pic>
              </a:graphicData>
            </a:graphic>
          </wp:inline>
        </w:drawing>
      </w:r>
    </w:p>
    <w:p w14:paraId="4865DA81"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p>
    <w:p w14:paraId="067C5C2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Рост потребности в средствах субсидии ∆Т в отчетном периоде обусловлен ростом за счет роста объема потребления населением тепловой энергии при снижении с 1 июля 2019 года величины межтарифной разницы.</w:t>
      </w:r>
    </w:p>
    <w:p w14:paraId="6BE752F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2019 году предприятием, вновь субсидируемым и включенным в расчет фактической потребности в средствах субсидии, является ПАО "ТГК-2" с объемом тепловой энергии, поставленным населению и потребителям, приравненным к населению, в количестве 707,5 тыс. Гкал (МО "Город Архангельск" 702,7 тыс. Гкал и МО "Приморский муниципальный район" 4,8 тыс.Гкал) или 41,1% от общего субсидируемого объема отпуска тепловой энергии населению и потребностью в средствах областного бюджета в сумме 111,8 млн.руб. или 5,4% от общей потребности.</w:t>
      </w:r>
    </w:p>
    <w:p w14:paraId="246622E0"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7D54A2BE"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∆Д</w:t>
      </w:r>
    </w:p>
    <w:p w14:paraId="32F45C2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Информация о предоставлении субсидии ∆Д организациям коммунального комплекса в динамике с начала действия госпрограммы и фактических объемных показателей представлена в таблице и графически:</w:t>
      </w:r>
    </w:p>
    <w:tbl>
      <w:tblPr>
        <w:tblW w:w="9394"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869"/>
        <w:gridCol w:w="870"/>
        <w:gridCol w:w="850"/>
        <w:gridCol w:w="851"/>
      </w:tblGrid>
      <w:tr w:rsidR="00D470B6" w:rsidRPr="00A53AD7" w14:paraId="4C6E4A03" w14:textId="77777777" w:rsidTr="00ED2EC7">
        <w:trPr>
          <w:tblHeader/>
        </w:trPr>
        <w:tc>
          <w:tcPr>
            <w:tcW w:w="1985" w:type="dxa"/>
            <w:shd w:val="clear" w:color="auto" w:fill="auto"/>
          </w:tcPr>
          <w:p w14:paraId="637FBA8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3622B02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6BCC47A4"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16E5545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76E2624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869" w:type="dxa"/>
            <w:shd w:val="clear" w:color="auto" w:fill="auto"/>
          </w:tcPr>
          <w:p w14:paraId="65E2211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870" w:type="dxa"/>
            <w:shd w:val="clear" w:color="auto" w:fill="auto"/>
          </w:tcPr>
          <w:p w14:paraId="2F1CC97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7E69F76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850" w:type="dxa"/>
          </w:tcPr>
          <w:p w14:paraId="424613F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2019 к 2018, </w:t>
            </w:r>
          </w:p>
          <w:p w14:paraId="157814C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Pr>
          <w:p w14:paraId="3AC2561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0F2C2B9A" w14:textId="77777777" w:rsidTr="00ED2EC7">
        <w:tc>
          <w:tcPr>
            <w:tcW w:w="1985" w:type="dxa"/>
            <w:shd w:val="clear" w:color="auto" w:fill="auto"/>
          </w:tcPr>
          <w:p w14:paraId="3E1A26C3"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субсидия ∆Д</w:t>
            </w:r>
            <w:r w:rsidRPr="00A53AD7">
              <w:rPr>
                <w:rFonts w:ascii="Times New Roman" w:eastAsia="Times New Roman" w:hAnsi="Times New Roman"/>
                <w:sz w:val="20"/>
                <w:szCs w:val="20"/>
                <w:lang w:eastAsia="ru-RU"/>
              </w:rPr>
              <w:t>,</w:t>
            </w:r>
          </w:p>
          <w:p w14:paraId="0C4DE03C" w14:textId="4A74A663" w:rsidR="00ED2EC7" w:rsidRPr="00A53AD7" w:rsidRDefault="00163D1C" w:rsidP="00ED2EC7">
            <w:pPr>
              <w:autoSpaceDE w:val="0"/>
              <w:autoSpaceDN w:val="0"/>
              <w:adjustRightInd w:val="0"/>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млн.</w:t>
            </w:r>
            <w:r w:rsidR="00ED2EC7" w:rsidRPr="00A53AD7">
              <w:rPr>
                <w:rFonts w:ascii="Times New Roman" w:eastAsia="Times New Roman" w:hAnsi="Times New Roman"/>
                <w:sz w:val="20"/>
                <w:szCs w:val="20"/>
                <w:lang w:eastAsia="ru-RU"/>
              </w:rPr>
              <w:t>руб.</w:t>
            </w:r>
          </w:p>
        </w:tc>
        <w:tc>
          <w:tcPr>
            <w:tcW w:w="992" w:type="dxa"/>
          </w:tcPr>
          <w:p w14:paraId="22A005A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68,5</w:t>
            </w:r>
          </w:p>
        </w:tc>
        <w:tc>
          <w:tcPr>
            <w:tcW w:w="993" w:type="dxa"/>
          </w:tcPr>
          <w:p w14:paraId="7005F02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77,7</w:t>
            </w:r>
          </w:p>
        </w:tc>
        <w:tc>
          <w:tcPr>
            <w:tcW w:w="992" w:type="dxa"/>
            <w:shd w:val="clear" w:color="auto" w:fill="auto"/>
          </w:tcPr>
          <w:p w14:paraId="2EDAADC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93,6</w:t>
            </w:r>
          </w:p>
        </w:tc>
        <w:tc>
          <w:tcPr>
            <w:tcW w:w="992" w:type="dxa"/>
            <w:shd w:val="clear" w:color="auto" w:fill="auto"/>
          </w:tcPr>
          <w:p w14:paraId="1649B2B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107,2</w:t>
            </w:r>
          </w:p>
        </w:tc>
        <w:tc>
          <w:tcPr>
            <w:tcW w:w="869" w:type="dxa"/>
            <w:shd w:val="clear" w:color="auto" w:fill="auto"/>
          </w:tcPr>
          <w:p w14:paraId="2458EC6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96,7</w:t>
            </w:r>
          </w:p>
        </w:tc>
        <w:tc>
          <w:tcPr>
            <w:tcW w:w="870" w:type="dxa"/>
            <w:shd w:val="clear" w:color="auto" w:fill="auto"/>
          </w:tcPr>
          <w:p w14:paraId="0271AC1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154,0</w:t>
            </w:r>
          </w:p>
        </w:tc>
        <w:tc>
          <w:tcPr>
            <w:tcW w:w="850" w:type="dxa"/>
          </w:tcPr>
          <w:p w14:paraId="5DE3E08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159,3</w:t>
            </w:r>
          </w:p>
        </w:tc>
        <w:tc>
          <w:tcPr>
            <w:tcW w:w="851" w:type="dxa"/>
          </w:tcPr>
          <w:p w14:paraId="0A2A2DD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224,8</w:t>
            </w:r>
          </w:p>
        </w:tc>
      </w:tr>
      <w:tr w:rsidR="00ED2EC7" w:rsidRPr="00A53AD7" w14:paraId="313B2A92" w14:textId="77777777" w:rsidTr="00ED2EC7">
        <w:tc>
          <w:tcPr>
            <w:tcW w:w="1985" w:type="dxa"/>
            <w:shd w:val="clear" w:color="auto" w:fill="auto"/>
          </w:tcPr>
          <w:p w14:paraId="2C917EC6" w14:textId="77777777" w:rsidR="00ED2EC7" w:rsidRPr="00A53AD7" w:rsidRDefault="00ED2EC7" w:rsidP="00ED2EC7">
            <w:pPr>
              <w:autoSpaceDE w:val="0"/>
              <w:autoSpaceDN w:val="0"/>
              <w:adjustRightInd w:val="0"/>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 xml:space="preserve">Реализованный объем топлива твердого, </w:t>
            </w:r>
          </w:p>
          <w:p w14:paraId="64B944E0" w14:textId="77777777" w:rsidR="00ED2EC7" w:rsidRPr="00A53AD7" w:rsidRDefault="00ED2EC7" w:rsidP="00ED2EC7">
            <w:pPr>
              <w:autoSpaceDE w:val="0"/>
              <w:autoSpaceDN w:val="0"/>
              <w:adjustRightInd w:val="0"/>
              <w:spacing w:after="0" w:line="240" w:lineRule="auto"/>
              <w:jc w:val="both"/>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тыс. куб.м.</w:t>
            </w:r>
          </w:p>
        </w:tc>
        <w:tc>
          <w:tcPr>
            <w:tcW w:w="992" w:type="dxa"/>
          </w:tcPr>
          <w:p w14:paraId="77EE6D9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104,4</w:t>
            </w:r>
          </w:p>
        </w:tc>
        <w:tc>
          <w:tcPr>
            <w:tcW w:w="993" w:type="dxa"/>
          </w:tcPr>
          <w:p w14:paraId="5A6A0795"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97,2</w:t>
            </w:r>
          </w:p>
        </w:tc>
        <w:tc>
          <w:tcPr>
            <w:tcW w:w="992" w:type="dxa"/>
            <w:shd w:val="clear" w:color="auto" w:fill="auto"/>
          </w:tcPr>
          <w:p w14:paraId="2D5F704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109,7</w:t>
            </w:r>
          </w:p>
        </w:tc>
        <w:tc>
          <w:tcPr>
            <w:tcW w:w="992" w:type="dxa"/>
            <w:shd w:val="clear" w:color="auto" w:fill="auto"/>
          </w:tcPr>
          <w:p w14:paraId="0F9C0DE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104,8</w:t>
            </w:r>
          </w:p>
        </w:tc>
        <w:tc>
          <w:tcPr>
            <w:tcW w:w="869" w:type="dxa"/>
            <w:shd w:val="clear" w:color="auto" w:fill="auto"/>
          </w:tcPr>
          <w:p w14:paraId="4913611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94,7</w:t>
            </w:r>
          </w:p>
        </w:tc>
        <w:tc>
          <w:tcPr>
            <w:tcW w:w="870" w:type="dxa"/>
            <w:shd w:val="clear" w:color="auto" w:fill="auto"/>
          </w:tcPr>
          <w:p w14:paraId="4F42FE8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125,8</w:t>
            </w:r>
          </w:p>
        </w:tc>
        <w:tc>
          <w:tcPr>
            <w:tcW w:w="850" w:type="dxa"/>
          </w:tcPr>
          <w:p w14:paraId="2ADBC6C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132,8</w:t>
            </w:r>
          </w:p>
        </w:tc>
        <w:tc>
          <w:tcPr>
            <w:tcW w:w="851" w:type="dxa"/>
          </w:tcPr>
          <w:p w14:paraId="1E8A0DAB"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120,5</w:t>
            </w:r>
          </w:p>
        </w:tc>
      </w:tr>
    </w:tbl>
    <w:p w14:paraId="45DCE786"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46AADA45" w14:textId="77777777" w:rsidR="00ED2EC7" w:rsidRPr="00A53AD7" w:rsidRDefault="00ED2EC7" w:rsidP="00ED2EC7">
      <w:pPr>
        <w:spacing w:after="0" w:line="240" w:lineRule="auto"/>
        <w:jc w:val="center"/>
        <w:rPr>
          <w:rFonts w:ascii="Times New Roman" w:eastAsia="Times New Roman" w:hAnsi="Times New Roman"/>
          <w:sz w:val="28"/>
          <w:szCs w:val="28"/>
          <w:lang w:eastAsia="ru-RU"/>
        </w:rPr>
      </w:pPr>
      <w:r w:rsidRPr="00A53AD7">
        <w:rPr>
          <w:rFonts w:ascii="Times New Roman" w:eastAsia="Times New Roman" w:hAnsi="Times New Roman"/>
          <w:noProof/>
          <w:sz w:val="28"/>
          <w:szCs w:val="28"/>
          <w:lang w:eastAsia="ru-RU"/>
        </w:rPr>
        <w:drawing>
          <wp:inline distT="0" distB="0" distL="0" distR="0" wp14:anchorId="36E54F78" wp14:editId="16266DC3">
            <wp:extent cx="4305300" cy="2323259"/>
            <wp:effectExtent l="0" t="0" r="0" b="127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21894" cy="2332214"/>
                    </a:xfrm>
                    <a:prstGeom prst="rect">
                      <a:avLst/>
                    </a:prstGeom>
                    <a:noFill/>
                  </pic:spPr>
                </pic:pic>
              </a:graphicData>
            </a:graphic>
          </wp:inline>
        </w:drawing>
      </w:r>
    </w:p>
    <w:p w14:paraId="238453B2" w14:textId="31353282"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Топливоснабжающими организациями для нужд населения и потребителей, приравненных к населению, за 2019 год реализовано топлива твердого в объеме 125,8 тыс. куб м (или 132,8% к уровню 2018 года), Потребность в средствах областного бюджета ∆Д за 2019 год составила в сумме 167,2 м</w:t>
      </w:r>
      <w:r w:rsidR="00163D1C" w:rsidRPr="00A53AD7">
        <w:rPr>
          <w:rFonts w:ascii="Times New Roman" w:eastAsia="Times New Roman" w:hAnsi="Times New Roman"/>
          <w:sz w:val="28"/>
          <w:szCs w:val="28"/>
          <w:lang w:eastAsia="ru-RU"/>
        </w:rPr>
        <w:t>лн.</w:t>
      </w:r>
      <w:r w:rsidRPr="00A53AD7">
        <w:rPr>
          <w:rFonts w:ascii="Times New Roman" w:eastAsia="Times New Roman" w:hAnsi="Times New Roman"/>
          <w:sz w:val="28"/>
          <w:szCs w:val="28"/>
          <w:lang w:eastAsia="ru-RU"/>
        </w:rPr>
        <w:t>руб. (с учетом кредиторской задолженности на 01.01.2019) или 162,8% к уровню 2018 года. Кредиторская задолженность на 01.01.2</w:t>
      </w:r>
      <w:r w:rsidR="00163D1C" w:rsidRPr="00A53AD7">
        <w:rPr>
          <w:rFonts w:ascii="Times New Roman" w:eastAsia="Times New Roman" w:hAnsi="Times New Roman"/>
          <w:sz w:val="28"/>
          <w:szCs w:val="28"/>
          <w:lang w:eastAsia="ru-RU"/>
        </w:rPr>
        <w:t>020 составила в сумме 13,2 млн.</w:t>
      </w:r>
      <w:r w:rsidRPr="00A53AD7">
        <w:rPr>
          <w:rFonts w:ascii="Times New Roman" w:eastAsia="Times New Roman" w:hAnsi="Times New Roman"/>
          <w:sz w:val="28"/>
          <w:szCs w:val="28"/>
          <w:lang w:eastAsia="ru-RU"/>
        </w:rPr>
        <w:t>руб. или увеличение в 2,2 раза к началу года.</w:t>
      </w:r>
    </w:p>
    <w:p w14:paraId="268BAA3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Факторный анализ отклонений представлен в таблице:</w:t>
      </w:r>
    </w:p>
    <w:p w14:paraId="570D8539"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r w:rsidRPr="00A53AD7">
        <w:rPr>
          <w:noProof/>
          <w:lang w:eastAsia="ru-RU"/>
        </w:rPr>
        <w:drawing>
          <wp:inline distT="0" distB="0" distL="0" distR="0" wp14:anchorId="5B4D8A09" wp14:editId="48B55DF3">
            <wp:extent cx="5940425" cy="588536"/>
            <wp:effectExtent l="0" t="0" r="3175" b="254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0425" cy="588536"/>
                    </a:xfrm>
                    <a:prstGeom prst="rect">
                      <a:avLst/>
                    </a:prstGeom>
                    <a:noFill/>
                    <a:ln>
                      <a:noFill/>
                    </a:ln>
                  </pic:spPr>
                </pic:pic>
              </a:graphicData>
            </a:graphic>
          </wp:inline>
        </w:drawing>
      </w:r>
    </w:p>
    <w:p w14:paraId="3CBCD0F8" w14:textId="77777777" w:rsidR="00ED2EC7" w:rsidRPr="00A53AD7" w:rsidRDefault="00ED2EC7" w:rsidP="00ED2EC7">
      <w:pPr>
        <w:spacing w:after="0" w:line="240" w:lineRule="auto"/>
        <w:jc w:val="both"/>
        <w:rPr>
          <w:rFonts w:ascii="Times New Roman" w:eastAsia="Times New Roman" w:hAnsi="Times New Roman"/>
          <w:sz w:val="28"/>
          <w:szCs w:val="28"/>
          <w:lang w:eastAsia="ru-RU"/>
        </w:rPr>
      </w:pPr>
    </w:p>
    <w:p w14:paraId="32A99E3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Рост потребности в средствах субсидии ∆Д в отчетном периоде был обусловлен как ростом объема реализованного для нужд населения топлива твердого, так и возросшей величиной межтарифной разницы.</w:t>
      </w:r>
    </w:p>
    <w:p w14:paraId="3026D7C8" w14:textId="70C89C0D"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На предприятия, вновь подлежащих субсидированию в отчетном периоде, приходится объем потребности в средс</w:t>
      </w:r>
      <w:r w:rsidR="00163D1C" w:rsidRPr="00A53AD7">
        <w:rPr>
          <w:rFonts w:ascii="Times New Roman" w:eastAsia="Times New Roman" w:hAnsi="Times New Roman"/>
          <w:sz w:val="28"/>
          <w:szCs w:val="28"/>
          <w:lang w:eastAsia="ru-RU"/>
        </w:rPr>
        <w:t>твах субсидии в сумме 25,6 млн.</w:t>
      </w:r>
      <w:r w:rsidRPr="00A53AD7">
        <w:rPr>
          <w:rFonts w:ascii="Times New Roman" w:eastAsia="Times New Roman" w:hAnsi="Times New Roman"/>
          <w:sz w:val="28"/>
          <w:szCs w:val="28"/>
          <w:lang w:eastAsia="ru-RU"/>
        </w:rPr>
        <w:t>руб. или 24,9% к уровню 2018 года. Объем реализованного топлива твердого такими предприятиями - 29,5 тыс. м куб. или 31,2</w:t>
      </w:r>
      <w:r w:rsidR="00EE5979"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 к уровню объема 2018 года</w:t>
      </w:r>
      <w:r w:rsidR="008E70F7" w:rsidRPr="00A53AD7">
        <w:rPr>
          <w:rFonts w:ascii="Times New Roman" w:eastAsia="Times New Roman" w:hAnsi="Times New Roman"/>
          <w:sz w:val="28"/>
          <w:szCs w:val="28"/>
          <w:lang w:eastAsia="ru-RU"/>
        </w:rPr>
        <w:t>.</w:t>
      </w:r>
    </w:p>
    <w:p w14:paraId="5B179389" w14:textId="77777777" w:rsidR="008E70F7" w:rsidRPr="00A53AD7" w:rsidRDefault="008E70F7" w:rsidP="00ED2EC7">
      <w:pPr>
        <w:spacing w:after="0" w:line="240" w:lineRule="auto"/>
        <w:ind w:firstLine="851"/>
        <w:jc w:val="both"/>
        <w:rPr>
          <w:rFonts w:ascii="Times New Roman" w:eastAsia="Times New Roman" w:hAnsi="Times New Roman"/>
          <w:sz w:val="28"/>
          <w:szCs w:val="28"/>
          <w:lang w:eastAsia="ru-RU"/>
        </w:rPr>
      </w:pPr>
    </w:p>
    <w:p w14:paraId="36C83134" w14:textId="77777777" w:rsidR="00ED2EC7" w:rsidRPr="00A53AD7" w:rsidRDefault="00ED2EC7" w:rsidP="00ED2EC7">
      <w:pPr>
        <w:spacing w:after="0" w:line="240" w:lineRule="auto"/>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∆В</w:t>
      </w:r>
      <w:r w:rsidRPr="00A53AD7">
        <w:rPr>
          <w:rFonts w:ascii="Times New Roman" w:eastAsia="Times New Roman" w:hAnsi="Times New Roman"/>
          <w:b/>
          <w:sz w:val="28"/>
          <w:szCs w:val="28"/>
          <w:lang w:eastAsia="ru-RU"/>
        </w:rPr>
        <w:tab/>
      </w:r>
    </w:p>
    <w:p w14:paraId="391464C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Информация о предоставлении субсидии ∆В организациям коммунального комплекса в динамике с начала действия госпрограммы и фактических объемных показателей представлена в таблице и графически:</w:t>
      </w:r>
    </w:p>
    <w:tbl>
      <w:tblPr>
        <w:tblW w:w="9640"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85"/>
        <w:gridCol w:w="992"/>
        <w:gridCol w:w="993"/>
        <w:gridCol w:w="992"/>
        <w:gridCol w:w="992"/>
        <w:gridCol w:w="992"/>
        <w:gridCol w:w="993"/>
        <w:gridCol w:w="850"/>
        <w:gridCol w:w="851"/>
      </w:tblGrid>
      <w:tr w:rsidR="00D470B6" w:rsidRPr="00A53AD7" w14:paraId="57C28C5B" w14:textId="77777777" w:rsidTr="00ED2EC7">
        <w:trPr>
          <w:tblHeader/>
        </w:trPr>
        <w:tc>
          <w:tcPr>
            <w:tcW w:w="1985" w:type="dxa"/>
            <w:shd w:val="clear" w:color="auto" w:fill="auto"/>
          </w:tcPr>
          <w:p w14:paraId="5E6A9AF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992" w:type="dxa"/>
          </w:tcPr>
          <w:p w14:paraId="3AC8589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2014 год</w:t>
            </w:r>
          </w:p>
        </w:tc>
        <w:tc>
          <w:tcPr>
            <w:tcW w:w="993" w:type="dxa"/>
          </w:tcPr>
          <w:p w14:paraId="32FC592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2015 год</w:t>
            </w:r>
          </w:p>
        </w:tc>
        <w:tc>
          <w:tcPr>
            <w:tcW w:w="992" w:type="dxa"/>
            <w:shd w:val="clear" w:color="auto" w:fill="auto"/>
          </w:tcPr>
          <w:p w14:paraId="15F5DA8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2016 год</w:t>
            </w:r>
          </w:p>
        </w:tc>
        <w:tc>
          <w:tcPr>
            <w:tcW w:w="992" w:type="dxa"/>
            <w:shd w:val="clear" w:color="auto" w:fill="auto"/>
          </w:tcPr>
          <w:p w14:paraId="13CD5C5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2017 год</w:t>
            </w:r>
          </w:p>
        </w:tc>
        <w:tc>
          <w:tcPr>
            <w:tcW w:w="992" w:type="dxa"/>
            <w:shd w:val="clear" w:color="auto" w:fill="auto"/>
          </w:tcPr>
          <w:p w14:paraId="485B38C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2018 год</w:t>
            </w:r>
          </w:p>
        </w:tc>
        <w:tc>
          <w:tcPr>
            <w:tcW w:w="993" w:type="dxa"/>
            <w:shd w:val="clear" w:color="auto" w:fill="auto"/>
          </w:tcPr>
          <w:p w14:paraId="6E9E5B0C"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год</w:t>
            </w:r>
          </w:p>
          <w:p w14:paraId="4C17C801"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p>
        </w:tc>
        <w:tc>
          <w:tcPr>
            <w:tcW w:w="850" w:type="dxa"/>
          </w:tcPr>
          <w:p w14:paraId="4760B6E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2019 к 2018, </w:t>
            </w:r>
          </w:p>
          <w:p w14:paraId="64550B3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851" w:type="dxa"/>
          </w:tcPr>
          <w:p w14:paraId="2D9C144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 к 2014, %</w:t>
            </w:r>
          </w:p>
        </w:tc>
      </w:tr>
      <w:tr w:rsidR="00D470B6" w:rsidRPr="00A53AD7" w14:paraId="70D7C9FB" w14:textId="77777777" w:rsidTr="00ED2EC7">
        <w:tc>
          <w:tcPr>
            <w:tcW w:w="1985" w:type="dxa"/>
            <w:shd w:val="clear" w:color="auto" w:fill="auto"/>
          </w:tcPr>
          <w:p w14:paraId="5D8F7179" w14:textId="77777777" w:rsidR="00ED2EC7" w:rsidRPr="00A53AD7" w:rsidRDefault="00ED2EC7" w:rsidP="00ED2EC7">
            <w:pPr>
              <w:autoSpaceDE w:val="0"/>
              <w:autoSpaceDN w:val="0"/>
              <w:adjustRightInd w:val="0"/>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субсидия ∆В</w:t>
            </w:r>
            <w:r w:rsidRPr="00A53AD7">
              <w:rPr>
                <w:rFonts w:ascii="Times New Roman" w:eastAsia="Times New Roman" w:hAnsi="Times New Roman"/>
                <w:sz w:val="20"/>
                <w:szCs w:val="20"/>
                <w:lang w:eastAsia="ru-RU"/>
              </w:rPr>
              <w:t>,</w:t>
            </w:r>
          </w:p>
          <w:p w14:paraId="630116CE" w14:textId="721A9F92" w:rsidR="00ED2EC7" w:rsidRPr="00A53AD7" w:rsidRDefault="00EE5979" w:rsidP="00ED2EC7">
            <w:pPr>
              <w:autoSpaceDE w:val="0"/>
              <w:autoSpaceDN w:val="0"/>
              <w:adjustRightInd w:val="0"/>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млн.</w:t>
            </w:r>
            <w:r w:rsidR="00ED2EC7" w:rsidRPr="00A53AD7">
              <w:rPr>
                <w:rFonts w:ascii="Times New Roman" w:eastAsia="Times New Roman" w:hAnsi="Times New Roman"/>
                <w:sz w:val="20"/>
                <w:szCs w:val="20"/>
                <w:lang w:eastAsia="ru-RU"/>
              </w:rPr>
              <w:t>руб.</w:t>
            </w:r>
          </w:p>
        </w:tc>
        <w:tc>
          <w:tcPr>
            <w:tcW w:w="992" w:type="dxa"/>
          </w:tcPr>
          <w:p w14:paraId="3BD4D39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424,6</w:t>
            </w:r>
          </w:p>
        </w:tc>
        <w:tc>
          <w:tcPr>
            <w:tcW w:w="993" w:type="dxa"/>
          </w:tcPr>
          <w:p w14:paraId="6EC66A9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425,7</w:t>
            </w:r>
          </w:p>
        </w:tc>
        <w:tc>
          <w:tcPr>
            <w:tcW w:w="992" w:type="dxa"/>
            <w:shd w:val="clear" w:color="auto" w:fill="auto"/>
          </w:tcPr>
          <w:p w14:paraId="4CF45D80"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452,9</w:t>
            </w:r>
          </w:p>
        </w:tc>
        <w:tc>
          <w:tcPr>
            <w:tcW w:w="992" w:type="dxa"/>
            <w:shd w:val="clear" w:color="auto" w:fill="auto"/>
          </w:tcPr>
          <w:p w14:paraId="55B3E35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889,9</w:t>
            </w:r>
          </w:p>
        </w:tc>
        <w:tc>
          <w:tcPr>
            <w:tcW w:w="992" w:type="dxa"/>
            <w:shd w:val="clear" w:color="auto" w:fill="auto"/>
          </w:tcPr>
          <w:p w14:paraId="7124A93D"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907,3</w:t>
            </w:r>
          </w:p>
        </w:tc>
        <w:tc>
          <w:tcPr>
            <w:tcW w:w="993" w:type="dxa"/>
            <w:shd w:val="clear" w:color="auto" w:fill="auto"/>
          </w:tcPr>
          <w:p w14:paraId="267D6AF2"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iCs/>
                <w:sz w:val="20"/>
                <w:szCs w:val="20"/>
                <w:lang w:eastAsia="zh-CN"/>
              </w:rPr>
              <w:t>990,6</w:t>
            </w:r>
          </w:p>
        </w:tc>
        <w:tc>
          <w:tcPr>
            <w:tcW w:w="850" w:type="dxa"/>
          </w:tcPr>
          <w:p w14:paraId="347C7B0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109,2</w:t>
            </w:r>
          </w:p>
        </w:tc>
        <w:tc>
          <w:tcPr>
            <w:tcW w:w="851" w:type="dxa"/>
          </w:tcPr>
          <w:p w14:paraId="26890028"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233,3</w:t>
            </w:r>
          </w:p>
        </w:tc>
      </w:tr>
      <w:tr w:rsidR="00ED2EC7" w:rsidRPr="00A53AD7" w14:paraId="3B86A906" w14:textId="77777777" w:rsidTr="00ED2EC7">
        <w:tc>
          <w:tcPr>
            <w:tcW w:w="1985" w:type="dxa"/>
            <w:shd w:val="clear" w:color="auto" w:fill="auto"/>
          </w:tcPr>
          <w:p w14:paraId="216C9F04" w14:textId="77777777" w:rsidR="00ED2EC7" w:rsidRPr="00A53AD7" w:rsidRDefault="00ED2EC7" w:rsidP="00ED2EC7">
            <w:pPr>
              <w:autoSpaceDE w:val="0"/>
              <w:autoSpaceDN w:val="0"/>
              <w:adjustRightInd w:val="0"/>
              <w:spacing w:after="0" w:line="240" w:lineRule="auto"/>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Отпущено холодной воды, услуг водоотведения, тыс.куб.м.</w:t>
            </w:r>
          </w:p>
        </w:tc>
        <w:tc>
          <w:tcPr>
            <w:tcW w:w="992" w:type="dxa"/>
          </w:tcPr>
          <w:p w14:paraId="7C854643"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56 076,0</w:t>
            </w:r>
          </w:p>
        </w:tc>
        <w:tc>
          <w:tcPr>
            <w:tcW w:w="993" w:type="dxa"/>
          </w:tcPr>
          <w:p w14:paraId="418D7B66"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36115,6</w:t>
            </w:r>
          </w:p>
        </w:tc>
        <w:tc>
          <w:tcPr>
            <w:tcW w:w="992" w:type="dxa"/>
            <w:shd w:val="clear" w:color="auto" w:fill="auto"/>
          </w:tcPr>
          <w:p w14:paraId="513B7CAA"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41913,8</w:t>
            </w:r>
          </w:p>
        </w:tc>
        <w:tc>
          <w:tcPr>
            <w:tcW w:w="992" w:type="dxa"/>
            <w:shd w:val="clear" w:color="auto" w:fill="auto"/>
          </w:tcPr>
          <w:p w14:paraId="623A18DE"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48624,3</w:t>
            </w:r>
          </w:p>
        </w:tc>
        <w:tc>
          <w:tcPr>
            <w:tcW w:w="992" w:type="dxa"/>
            <w:shd w:val="clear" w:color="auto" w:fill="auto"/>
          </w:tcPr>
          <w:p w14:paraId="4235A237"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48044,9</w:t>
            </w:r>
          </w:p>
        </w:tc>
        <w:tc>
          <w:tcPr>
            <w:tcW w:w="993" w:type="dxa"/>
            <w:shd w:val="clear" w:color="auto" w:fill="auto"/>
          </w:tcPr>
          <w:p w14:paraId="0635141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i/>
                <w:sz w:val="20"/>
                <w:szCs w:val="20"/>
                <w:lang w:eastAsia="ru-RU"/>
              </w:rPr>
            </w:pPr>
            <w:r w:rsidRPr="00A53AD7">
              <w:rPr>
                <w:rFonts w:ascii="Times New Roman" w:eastAsia="Times New Roman" w:hAnsi="Times New Roman"/>
                <w:i/>
                <w:sz w:val="20"/>
                <w:szCs w:val="20"/>
                <w:lang w:eastAsia="ru-RU"/>
              </w:rPr>
              <w:t>47746,7</w:t>
            </w:r>
          </w:p>
        </w:tc>
        <w:tc>
          <w:tcPr>
            <w:tcW w:w="850" w:type="dxa"/>
          </w:tcPr>
          <w:p w14:paraId="7CCEE929"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99,4</w:t>
            </w:r>
          </w:p>
        </w:tc>
        <w:tc>
          <w:tcPr>
            <w:tcW w:w="851" w:type="dxa"/>
          </w:tcPr>
          <w:p w14:paraId="5DC3CC6F" w14:textId="77777777" w:rsidR="00ED2EC7" w:rsidRPr="00A53AD7" w:rsidRDefault="00ED2EC7" w:rsidP="00ED2EC7">
            <w:pPr>
              <w:autoSpaceDE w:val="0"/>
              <w:autoSpaceDN w:val="0"/>
              <w:adjustRightInd w:val="0"/>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85,1</w:t>
            </w:r>
          </w:p>
        </w:tc>
      </w:tr>
    </w:tbl>
    <w:p w14:paraId="380F17D5" w14:textId="77777777" w:rsidR="00ED2EC7" w:rsidRPr="00A53AD7" w:rsidRDefault="00ED2EC7" w:rsidP="00ED2EC7">
      <w:pPr>
        <w:spacing w:after="0" w:line="240" w:lineRule="auto"/>
        <w:jc w:val="both"/>
        <w:rPr>
          <w:rFonts w:ascii="Times New Roman" w:eastAsia="Times New Roman" w:hAnsi="Times New Roman"/>
          <w:sz w:val="28"/>
          <w:szCs w:val="28"/>
          <w:highlight w:val="cyan"/>
          <w:lang w:eastAsia="ru-RU"/>
        </w:rPr>
      </w:pPr>
    </w:p>
    <w:p w14:paraId="36121940" w14:textId="77777777" w:rsidR="00ED2EC7" w:rsidRPr="00A53AD7" w:rsidRDefault="00ED2EC7" w:rsidP="00ED2EC7">
      <w:pPr>
        <w:spacing w:after="0" w:line="240" w:lineRule="auto"/>
        <w:jc w:val="center"/>
        <w:rPr>
          <w:rFonts w:ascii="Times New Roman" w:eastAsia="Times New Roman" w:hAnsi="Times New Roman"/>
          <w:sz w:val="28"/>
          <w:szCs w:val="28"/>
          <w:lang w:eastAsia="ru-RU"/>
        </w:rPr>
      </w:pPr>
      <w:r w:rsidRPr="00A53AD7">
        <w:rPr>
          <w:rFonts w:ascii="Times New Roman" w:eastAsia="Times New Roman" w:hAnsi="Times New Roman"/>
          <w:noProof/>
          <w:sz w:val="28"/>
          <w:szCs w:val="28"/>
          <w:lang w:eastAsia="ru-RU"/>
        </w:rPr>
        <w:drawing>
          <wp:inline distT="0" distB="0" distL="0" distR="0" wp14:anchorId="70E21595" wp14:editId="2C62DAF5">
            <wp:extent cx="4768850" cy="2381966"/>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82272" cy="2388670"/>
                    </a:xfrm>
                    <a:prstGeom prst="rect">
                      <a:avLst/>
                    </a:prstGeom>
                    <a:noFill/>
                  </pic:spPr>
                </pic:pic>
              </a:graphicData>
            </a:graphic>
          </wp:inline>
        </w:drawing>
      </w:r>
    </w:p>
    <w:p w14:paraId="6F5F820A"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Организациями водопроводно-канализационного хозяйства для нужд населения и потребителей, приравненных к населению, за 2019 год отпущено </w:t>
      </w:r>
    </w:p>
    <w:p w14:paraId="3E0CB903" w14:textId="77777777" w:rsidR="00ED2EC7" w:rsidRPr="00A53AD7" w:rsidRDefault="00ED2EC7" w:rsidP="00CA1DDD">
      <w:pPr>
        <w:pStyle w:val="a8"/>
        <w:numPr>
          <w:ilvl w:val="0"/>
          <w:numId w:val="33"/>
        </w:numPr>
        <w:ind w:left="0" w:firstLine="851"/>
        <w:jc w:val="both"/>
        <w:rPr>
          <w:sz w:val="28"/>
          <w:szCs w:val="28"/>
        </w:rPr>
      </w:pPr>
      <w:r w:rsidRPr="00A53AD7">
        <w:rPr>
          <w:sz w:val="28"/>
          <w:szCs w:val="28"/>
        </w:rPr>
        <w:t>холодной воды в объеме 24 787,1 тыс. куб м или 99,3% к уровню 2018 года;</w:t>
      </w:r>
    </w:p>
    <w:p w14:paraId="092279D7" w14:textId="7FBFFAE4" w:rsidR="00ED2EC7" w:rsidRPr="00A53AD7" w:rsidRDefault="00ED2EC7" w:rsidP="00CA1DDD">
      <w:pPr>
        <w:pStyle w:val="a8"/>
        <w:numPr>
          <w:ilvl w:val="0"/>
          <w:numId w:val="33"/>
        </w:numPr>
        <w:ind w:left="0" w:firstLine="851"/>
        <w:jc w:val="both"/>
        <w:rPr>
          <w:sz w:val="28"/>
          <w:szCs w:val="28"/>
        </w:rPr>
      </w:pPr>
      <w:r w:rsidRPr="00A53AD7">
        <w:rPr>
          <w:sz w:val="28"/>
          <w:szCs w:val="28"/>
        </w:rPr>
        <w:t>услуг водоотведения в объеме 22 959,5 тыс. куб м или 99,5% к уровню 2018 года. Потребность в средствах областного бюджета ∆В за 2019 год</w:t>
      </w:r>
      <w:r w:rsidR="00EE5979" w:rsidRPr="00A53AD7">
        <w:rPr>
          <w:sz w:val="28"/>
          <w:szCs w:val="28"/>
        </w:rPr>
        <w:t xml:space="preserve"> составила в сумме 1 082,7 млн.</w:t>
      </w:r>
      <w:r w:rsidRPr="00A53AD7">
        <w:rPr>
          <w:sz w:val="28"/>
          <w:szCs w:val="28"/>
        </w:rPr>
        <w:t>руб. (с учетом кредиторской задолженности на 01.01.2019) или 108,9% к уровню 2018 года, кредиторская задолженность по расчетам 2019 года на 01.01.2020 составила в сумме 92,1 млн.руб. или 106,2% к началу года.</w:t>
      </w:r>
    </w:p>
    <w:p w14:paraId="30AC4827" w14:textId="4885CD56"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Рост потребности в средствах субсидии ∆В за 2019 год обусловлен ростом величины межтарифной разницы, при том, что объем отпущенной населению и потребителям, приравненным к населению, холодной воды и водоотведения ниже по сравнению с</w:t>
      </w:r>
      <w:r w:rsidR="00CF549B"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2018 годом.</w:t>
      </w:r>
    </w:p>
    <w:p w14:paraId="5C58CC72" w14:textId="091CB8F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2019 году министерством ТЭК и ЖКХ со счета 209.34 "Расчеты по доходам от компенсации затрат" произведено списание безнадежной и нереальной к взысканию дебиторской задолженности по исполнительным документам в части взыскания использованных не по целевому назначению субсидий на возмещение недополученных доходов в результате государственного регулиров</w:t>
      </w:r>
      <w:r w:rsidR="00EE5979" w:rsidRPr="00A53AD7">
        <w:rPr>
          <w:rFonts w:ascii="Times New Roman" w:eastAsia="Times New Roman" w:hAnsi="Times New Roman"/>
          <w:sz w:val="28"/>
          <w:szCs w:val="28"/>
          <w:lang w:eastAsia="ru-RU"/>
        </w:rPr>
        <w:t>ания тарифов на сумму 16,2 млн.</w:t>
      </w:r>
      <w:r w:rsidRPr="00A53AD7">
        <w:rPr>
          <w:rFonts w:ascii="Times New Roman" w:eastAsia="Times New Roman" w:hAnsi="Times New Roman"/>
          <w:sz w:val="28"/>
          <w:szCs w:val="28"/>
          <w:lang w:eastAsia="ru-RU"/>
        </w:rPr>
        <w:t>руб.</w:t>
      </w:r>
    </w:p>
    <w:p w14:paraId="55A807CE" w14:textId="7F8ABA3D"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Таким образом, указанные факты свидетельствуют об отвлечении ср</w:t>
      </w:r>
      <w:r w:rsidR="00EE5979" w:rsidRPr="00A53AD7">
        <w:rPr>
          <w:rFonts w:ascii="Times New Roman" w:eastAsia="Times New Roman" w:hAnsi="Times New Roman"/>
          <w:sz w:val="28"/>
          <w:szCs w:val="28"/>
          <w:lang w:eastAsia="ru-RU"/>
        </w:rPr>
        <w:t>едств бюджета в сумме 16,2 млн.</w:t>
      </w:r>
      <w:r w:rsidRPr="00A53AD7">
        <w:rPr>
          <w:rFonts w:ascii="Times New Roman" w:eastAsia="Times New Roman" w:hAnsi="Times New Roman"/>
          <w:sz w:val="28"/>
          <w:szCs w:val="28"/>
          <w:lang w:eastAsia="ru-RU"/>
        </w:rPr>
        <w:t>руб. и как следствие прямые потери областного бюджета в указанной сумме.</w:t>
      </w:r>
    </w:p>
    <w:p w14:paraId="2A40543C"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Согласно показателям ф. 0503127 «Отчет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 по состоянию на 01.01.2020» министерства ТЭК и ЖКХ по коду дохода 02311302992020000 130 «Прочие доходы от компенсации затрат бюджетов субъектов Российской Федерации» поступило в областной бюджет (возврат субсидий) в общей сумме 20,1 млн.руб. </w:t>
      </w:r>
    </w:p>
    <w:p w14:paraId="00EC58F1"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p>
    <w:p w14:paraId="061CD28C"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2019 году КСП АО проводились проверки обоснованности возмещения межтарифной разницы, возникающих в результате государственного регулирования тарифов в соответствии с пунктом 2.2.10.1 плана экспертно-аналитической и контрольной деятельности контрольно-счетной палаты на 2019 год в 3-х ресурсоснабжающих организациях: ООО «Альянстеплоэнерго», ООО «Архбиоэнерго», АО «Архангельскоблгаз».</w:t>
      </w:r>
    </w:p>
    <w:p w14:paraId="1AC5F2CB" w14:textId="0D64B5F9"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При проверке субсидии на возмещение недополученных доходов, возникающих в результате государственного регулирования тарифов на тепловую энергию, поставляемую населению и потребителям, приравненным к населению, на нужды теплоснабжения в ООО «Альянстеплоэнерго» установлено завышение потребности в средствах с</w:t>
      </w:r>
      <w:r w:rsidR="00EE5979" w:rsidRPr="00A53AD7">
        <w:rPr>
          <w:rFonts w:ascii="Times New Roman" w:eastAsia="Times New Roman" w:hAnsi="Times New Roman"/>
          <w:sz w:val="28"/>
          <w:szCs w:val="28"/>
          <w:lang w:eastAsia="ru-RU"/>
        </w:rPr>
        <w:t>убсидии за 2018 год на 0,1 млн.</w:t>
      </w:r>
      <w:r w:rsidRPr="00A53AD7">
        <w:rPr>
          <w:rFonts w:ascii="Times New Roman" w:eastAsia="Times New Roman" w:hAnsi="Times New Roman"/>
          <w:sz w:val="28"/>
          <w:szCs w:val="28"/>
          <w:lang w:eastAsia="ru-RU"/>
        </w:rPr>
        <w:t>руб.</w:t>
      </w:r>
    </w:p>
    <w:p w14:paraId="370021FB"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Нарушений в обосновании потребности в субсидии на возмещение недополученных доходов, возникающих в результате государственного регулирования тарифов на тепловую энергию в ООО «Архбиоэнерго» и розничных цен на сжиженный газ, реализуемый для бытовых нужд населения в «Архангельскоблгаз» не выявлено.</w:t>
      </w:r>
    </w:p>
    <w:p w14:paraId="1B2478A2" w14:textId="51B7740A"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Постановлением Правительства Архангельской области от 17.12.2019 № 711-пп в перечень мероприятий госпрограммы включено новое мероприятие «3.20 Мероприятия, направленные на компенсацию дополнительных расходов организаций жилищно-коммунального хозяйства Архангельской области, связанных с ростом цен на топливо» с объемом финансирования н</w:t>
      </w:r>
      <w:r w:rsidR="00EE5979" w:rsidRPr="00A53AD7">
        <w:rPr>
          <w:rFonts w:ascii="Times New Roman" w:eastAsia="Times New Roman" w:hAnsi="Times New Roman"/>
          <w:sz w:val="28"/>
          <w:szCs w:val="28"/>
          <w:lang w:eastAsia="ru-RU"/>
        </w:rPr>
        <w:t>а 2019 год в размере 186,0 млн.</w:t>
      </w:r>
      <w:r w:rsidRPr="00A53AD7">
        <w:rPr>
          <w:rFonts w:ascii="Times New Roman" w:eastAsia="Times New Roman" w:hAnsi="Times New Roman"/>
          <w:sz w:val="28"/>
          <w:szCs w:val="28"/>
          <w:lang w:eastAsia="ru-RU"/>
        </w:rPr>
        <w:t xml:space="preserve">руб. с количеством организаций, в адрес которых предоставлены субсидии на 2019 год - 1 ед. </w:t>
      </w:r>
    </w:p>
    <w:p w14:paraId="6134A3EF"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Порядку предоставления субсидий организациям жилищно-коммунального хозяйства Архангельской области на компенсацию дополнительных расходов, связанных с ростом цен на топливо (далее – Порядок), целью предоставления субсидии является компенсация дополнительных расходов, связанных с ростом цен на топливо в 2018 и 2019 годах, не включенных в тарифы ресурсоснабжающих организаций.</w:t>
      </w:r>
    </w:p>
    <w:p w14:paraId="3B81F3CC"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Из положений пункта 20 Порядка результатом предоставления субсидии является улучшение финансового состояния ресурсоснабжающих организаций. Показателем результата предоставления субсидии является сокращение кредиторской задолженности ресурсоснабжающих организаций на сумму предоставленной субсидии. В редакции ред. постановления Правительства Архангельской области от 24.12.2019 N 744-пп) </w:t>
      </w:r>
      <w:hyperlink r:id="rId84" w:history="1">
        <w:r w:rsidRPr="00A53AD7">
          <w:rPr>
            <w:rFonts w:ascii="Times New Roman" w:eastAsia="Times New Roman" w:hAnsi="Times New Roman"/>
            <w:sz w:val="28"/>
            <w:szCs w:val="28"/>
            <w:lang w:eastAsia="ru-RU"/>
          </w:rPr>
          <w:t>абзац второй пункта 20</w:t>
        </w:r>
      </w:hyperlink>
      <w:r w:rsidRPr="00A53AD7">
        <w:rPr>
          <w:rFonts w:ascii="Times New Roman" w:eastAsia="Times New Roman" w:hAnsi="Times New Roman"/>
          <w:sz w:val="28"/>
          <w:szCs w:val="28"/>
          <w:lang w:eastAsia="ru-RU"/>
        </w:rPr>
        <w:t xml:space="preserve"> изложен в иной редакции:" Показателем результата предоставления субсидии является сокращение кредиторской задолженности и (или) заемных средств ресурсоснабжающих организаций на сумму предоставленной субсидии."</w:t>
      </w:r>
    </w:p>
    <w:p w14:paraId="0372A92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Таким образом, следует отметить, что вновь введенный показатель результата предоставления субсидии имеет формальный характер и не отражает цели предоставления субсидии – сокращения кредиторской задолженности за топливо.</w:t>
      </w:r>
    </w:p>
    <w:p w14:paraId="60CF56E4" w14:textId="35EE9FFE"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Кассовые расходы за 2019 год по целевой субсидии за отчетный пери</w:t>
      </w:r>
      <w:r w:rsidR="00EE5979" w:rsidRPr="00A53AD7">
        <w:rPr>
          <w:rFonts w:ascii="Times New Roman" w:eastAsia="Times New Roman" w:hAnsi="Times New Roman"/>
          <w:sz w:val="28"/>
          <w:szCs w:val="28"/>
          <w:lang w:eastAsia="ru-RU"/>
        </w:rPr>
        <w:t>од составили в сумме 120,7 млн.</w:t>
      </w:r>
      <w:r w:rsidRPr="00A53AD7">
        <w:rPr>
          <w:rFonts w:ascii="Times New Roman" w:eastAsia="Times New Roman" w:hAnsi="Times New Roman"/>
          <w:sz w:val="28"/>
          <w:szCs w:val="28"/>
          <w:lang w:eastAsia="ru-RU"/>
        </w:rPr>
        <w:t>руб. или 64,9% к утвержденному плану.</w:t>
      </w:r>
    </w:p>
    <w:p w14:paraId="0D4544FE"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обоснование предоставления субсидии министерством ТЭК и ЖКХ АО (по запросу КСП АО от 04.03.2020) представлены следующие документы (исх. АО «Архоблэнерго» от 18.12.2019 № 2497 и от 27.03.2020 № 440):</w:t>
      </w:r>
    </w:p>
    <w:p w14:paraId="357487C9" w14:textId="77777777" w:rsidR="00ED2EC7" w:rsidRPr="00A53AD7" w:rsidRDefault="00ED2EC7" w:rsidP="00CA1DDD">
      <w:pPr>
        <w:pStyle w:val="a8"/>
        <w:numPr>
          <w:ilvl w:val="0"/>
          <w:numId w:val="33"/>
        </w:numPr>
        <w:ind w:left="0" w:firstLine="851"/>
        <w:jc w:val="both"/>
        <w:rPr>
          <w:sz w:val="28"/>
          <w:szCs w:val="28"/>
        </w:rPr>
      </w:pPr>
      <w:r w:rsidRPr="00A53AD7">
        <w:rPr>
          <w:sz w:val="28"/>
          <w:szCs w:val="28"/>
        </w:rPr>
        <w:t>Договор о предоставлении из областного бюджета субсидии на компенсацию дополнительных расходов, связанных с ростом цен на топливо № б/н от 19.12.2019 заключенный министерством с АО «Архангельская областная энергетическая компания» (далее – Общество);</w:t>
      </w:r>
    </w:p>
    <w:p w14:paraId="5289F6BF" w14:textId="77777777" w:rsidR="00ED2EC7" w:rsidRPr="00A53AD7" w:rsidRDefault="00ED2EC7" w:rsidP="00CA1DDD">
      <w:pPr>
        <w:pStyle w:val="a8"/>
        <w:numPr>
          <w:ilvl w:val="0"/>
          <w:numId w:val="33"/>
        </w:numPr>
        <w:ind w:left="0" w:firstLine="851"/>
        <w:jc w:val="both"/>
        <w:rPr>
          <w:sz w:val="28"/>
          <w:szCs w:val="28"/>
        </w:rPr>
      </w:pPr>
      <w:r w:rsidRPr="00A53AD7">
        <w:rPr>
          <w:sz w:val="28"/>
          <w:szCs w:val="28"/>
        </w:rPr>
        <w:t>отчет от 22.01.2020 за период с 19.12.2019 по 31.12.2019, содержащий следующие показатели:</w:t>
      </w:r>
    </w:p>
    <w:p w14:paraId="11CBD73B"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кредиторская задолженность на дату заключения договора в сумме 1 225 190 тыс. руб.,</w:t>
      </w:r>
    </w:p>
    <w:p w14:paraId="540C9DBE"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кредиторская задолженность на 31.12.2019 в сумме 951 921 тыс. руб.,</w:t>
      </w:r>
    </w:p>
    <w:p w14:paraId="030C5B6B"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использовано средств субсидии в сумме 120 658,39 тыс. руб.;</w:t>
      </w:r>
    </w:p>
    <w:p w14:paraId="0C1BBFBD" w14:textId="77777777" w:rsidR="00ED2EC7" w:rsidRPr="00A53AD7" w:rsidRDefault="00ED2EC7" w:rsidP="00CA1DDD">
      <w:pPr>
        <w:pStyle w:val="a8"/>
        <w:numPr>
          <w:ilvl w:val="0"/>
          <w:numId w:val="33"/>
        </w:numPr>
        <w:ind w:left="0" w:firstLine="851"/>
        <w:jc w:val="both"/>
        <w:rPr>
          <w:sz w:val="28"/>
          <w:szCs w:val="28"/>
        </w:rPr>
      </w:pPr>
      <w:r w:rsidRPr="00A53AD7">
        <w:rPr>
          <w:sz w:val="28"/>
          <w:szCs w:val="28"/>
        </w:rPr>
        <w:t>расчет превышения фактической цены списания топлива над ценой топлива, принятой при утверждении агентством по тарифам и ценам Архангельской области тарифов на электрическую и (или) тепловую энергию за 2018 год (далее - Расчет 2018) на сумму субсидии 96 654,61065 тыс.руб.;</w:t>
      </w:r>
    </w:p>
    <w:p w14:paraId="1F975B0E" w14:textId="77777777" w:rsidR="00ED2EC7" w:rsidRPr="00A53AD7" w:rsidRDefault="00ED2EC7" w:rsidP="00CA1DDD">
      <w:pPr>
        <w:pStyle w:val="a8"/>
        <w:numPr>
          <w:ilvl w:val="0"/>
          <w:numId w:val="33"/>
        </w:numPr>
        <w:ind w:left="0" w:firstLine="851"/>
        <w:jc w:val="both"/>
        <w:rPr>
          <w:sz w:val="28"/>
          <w:szCs w:val="28"/>
        </w:rPr>
      </w:pPr>
      <w:r w:rsidRPr="00A53AD7">
        <w:rPr>
          <w:sz w:val="28"/>
          <w:szCs w:val="28"/>
        </w:rPr>
        <w:t>расчет превышения фактической цены списания топлива над ценой топлива, принятой при утверждении агентством по тарифам и ценам Архангельской области тарифов на электрическую и (или) тепловую энергию за 2019 год (далее – Расчет 2019) на сумму субсидии 24 003,77847 тыс.руб.</w:t>
      </w:r>
    </w:p>
    <w:p w14:paraId="0C8CE4B2"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При этом следует отметить, что как показатели по кредиторской задолженности, так и показатели по использованию средств субсидии, отраженные в отчете Общества от 22.01.2020, указаны в общей сумме или не расшифрованы по видам топлива и по поставщикам. Такой вывод следует на основании анализа показателей Расчета 2018 и Расчета 2019:</w:t>
      </w:r>
    </w:p>
    <w:p w14:paraId="142E493C"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а) в Расчете 2018 отражены дополнительные расходы Общества, связанные с превышением фактической цены списания топлива над ценой списания топлива, принятой при утверждении тарифов, по видам топлива в разрезе территорий (действия тарифа):</w:t>
      </w:r>
    </w:p>
    <w:p w14:paraId="4EBC4658"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«мазута», приведены исходные данные по двум территориям МО «Город Архангельск» и МО «Савинское»,</w:t>
      </w:r>
    </w:p>
    <w:p w14:paraId="27E3815D"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«угля» - по шести территориям МО «Город Архангельск», МО «Мезенский муниципальный район», МО «Лешуконский муниципальный район», МО «Няндомское», МО «Вельское», МО «Ильинское»,</w:t>
      </w:r>
    </w:p>
    <w:p w14:paraId="5DE6916B"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«дизельного топлива» (производство тепловой энергии (далее -ТЭ) по трем территориям МО «Город Архангельск», МО «Няндомское» и МО «Шалакушское», МО «Сельское поселение «Соловецкое»,</w:t>
      </w:r>
    </w:p>
    <w:p w14:paraId="71659E6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«дизельного топлива» (производство электрической энергии (далее - ЭЭ) без указания территорий;</w:t>
      </w:r>
    </w:p>
    <w:p w14:paraId="627A7170"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б) в Расчете 2019 отражены дополнительные расходы по тарифам по видам топлива</w:t>
      </w:r>
    </w:p>
    <w:p w14:paraId="0E5ED37F"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«мазута» - только по одной территории МО «Савинское»,</w:t>
      </w:r>
    </w:p>
    <w:p w14:paraId="66E461A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«угля» - по трем территориям МО «Город Архангельск», МО «Мезенский муниципальный район», МО «Ильинское»,</w:t>
      </w:r>
    </w:p>
    <w:p w14:paraId="62829463"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«дизельного топлива» (производство ТЭ) только по одной территории МО «Сельское поселение «Соловецкое»,</w:t>
      </w:r>
    </w:p>
    <w:p w14:paraId="46838291"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части «дизельного топлива» (производство ЭЭ) без указания территорий.</w:t>
      </w:r>
    </w:p>
    <w:p w14:paraId="3E34BE08"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 учетом того, что показателем результата предоставления субсидии является сокращение кредиторской задолженности в целом по Обществу, считаем необходимым отметить, что не включение в механизм расчетов потребности в средствах субсидии за период 2018 и 2019 годов расходов по всем регулируемым территориям является некорректным и соответственно, не подтверждает требуемый фактический объем дополнительных расходов, связанных с ростом цен на топливо в 2018 и 2019 годах в целом по Обществу, (в расчеты включены расходы только по росту цены списания топлива, а не в целом по Обществу).</w:t>
      </w:r>
    </w:p>
    <w:p w14:paraId="086B0C15"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Отмечено, что фактический объем затраченного топлива на производство меньше чем объем покупного топлива, что вызывает сомнение в достоверности Расчета 2019 по территориям АО «Архангельская областная энергетическая компания».</w:t>
      </w:r>
    </w:p>
    <w:p w14:paraId="0DBB2692"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Необходимо отметить, что согласно условий подпункта 2 пункта 8 и Приложению № 2 Порядка предоставления субсидии, регулирующих расчет превышения фактической цены списания топлива над ценой списания топлива, принятой при утверждении агентством тарифов на электрическую и (или) тепловую энергию, дополнительные расходы ресурсоснабжающей организации определяются исходя из величины минимальной величины объема топлива, равной объему затраченного топлива исходя из тарифных решений или фактическому объему списания. </w:t>
      </w:r>
    </w:p>
    <w:p w14:paraId="5FC37791"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При анализе показателей Расчета 2018 и Расчета 2019 по видам топлива и информации по объемам поступления и списания топлива Общества на примере регулирования тарифов и отпуска энергоресурсов потребителям МО «Мезенский муниципальный район» составлена таблица и отмечено:</w:t>
      </w:r>
    </w:p>
    <w:tbl>
      <w:tblPr>
        <w:tblStyle w:val="a7"/>
        <w:tblW w:w="0" w:type="auto"/>
        <w:tblInd w:w="25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56"/>
        <w:gridCol w:w="1392"/>
        <w:gridCol w:w="1420"/>
        <w:gridCol w:w="1353"/>
        <w:gridCol w:w="1483"/>
        <w:gridCol w:w="1399"/>
        <w:gridCol w:w="1371"/>
      </w:tblGrid>
      <w:tr w:rsidR="00D470B6" w:rsidRPr="00A53AD7" w14:paraId="7CED165E" w14:textId="77777777" w:rsidTr="0086127D">
        <w:trPr>
          <w:tblHeader/>
        </w:trPr>
        <w:tc>
          <w:tcPr>
            <w:tcW w:w="678" w:type="dxa"/>
          </w:tcPr>
          <w:p w14:paraId="68CEEF48"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Год</w:t>
            </w:r>
          </w:p>
        </w:tc>
        <w:tc>
          <w:tcPr>
            <w:tcW w:w="1566" w:type="dxa"/>
          </w:tcPr>
          <w:p w14:paraId="65BE95C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Цена списания топлива при тарифном решении АТЦ, руб./т</w:t>
            </w:r>
          </w:p>
        </w:tc>
        <w:tc>
          <w:tcPr>
            <w:tcW w:w="1477" w:type="dxa"/>
          </w:tcPr>
          <w:p w14:paraId="5B85512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Фактическая цена списания топлива, руб./т</w:t>
            </w:r>
          </w:p>
        </w:tc>
        <w:tc>
          <w:tcPr>
            <w:tcW w:w="1156" w:type="dxa"/>
          </w:tcPr>
          <w:p w14:paraId="24873F2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Разница в цене, руб./т (превышение фактической цены списания топлива над ценой в тарифе),</w:t>
            </w:r>
          </w:p>
        </w:tc>
        <w:tc>
          <w:tcPr>
            <w:tcW w:w="1555" w:type="dxa"/>
          </w:tcPr>
          <w:p w14:paraId="738E89E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Объем затраченного топлива исходя из тарифного решения топлива, т</w:t>
            </w:r>
          </w:p>
        </w:tc>
        <w:tc>
          <w:tcPr>
            <w:tcW w:w="1451" w:type="dxa"/>
          </w:tcPr>
          <w:p w14:paraId="3E4DD28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Объем поступления топлива (по запросу КСП АО), т</w:t>
            </w:r>
          </w:p>
        </w:tc>
        <w:tc>
          <w:tcPr>
            <w:tcW w:w="1438" w:type="dxa"/>
          </w:tcPr>
          <w:p w14:paraId="4A92CDC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Отклонение в количестве топлива, т</w:t>
            </w:r>
          </w:p>
        </w:tc>
      </w:tr>
      <w:tr w:rsidR="00D470B6" w:rsidRPr="00A53AD7" w14:paraId="41A0FBA8" w14:textId="77777777" w:rsidTr="00ED2EC7">
        <w:tc>
          <w:tcPr>
            <w:tcW w:w="678" w:type="dxa"/>
          </w:tcPr>
          <w:p w14:paraId="2E801481" w14:textId="77777777" w:rsidR="00ED2EC7" w:rsidRPr="00A53AD7" w:rsidRDefault="00ED2EC7" w:rsidP="00ED2EC7">
            <w:pPr>
              <w:spacing w:after="0" w:line="240" w:lineRule="auto"/>
              <w:jc w:val="center"/>
              <w:rPr>
                <w:rFonts w:ascii="Times New Roman" w:hAnsi="Times New Roman"/>
                <w:sz w:val="20"/>
                <w:szCs w:val="20"/>
              </w:rPr>
            </w:pPr>
          </w:p>
        </w:tc>
        <w:tc>
          <w:tcPr>
            <w:tcW w:w="1566" w:type="dxa"/>
          </w:tcPr>
          <w:p w14:paraId="029F5230"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«уголь»</w:t>
            </w:r>
          </w:p>
        </w:tc>
        <w:tc>
          <w:tcPr>
            <w:tcW w:w="7077" w:type="dxa"/>
            <w:gridSpan w:val="5"/>
          </w:tcPr>
          <w:p w14:paraId="3520AD31"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по территории МО «Мезенский муниципальный район»</w:t>
            </w:r>
          </w:p>
        </w:tc>
      </w:tr>
      <w:tr w:rsidR="00D470B6" w:rsidRPr="00A53AD7" w14:paraId="1F89AD65" w14:textId="77777777" w:rsidTr="00ED2EC7">
        <w:tc>
          <w:tcPr>
            <w:tcW w:w="678" w:type="dxa"/>
          </w:tcPr>
          <w:p w14:paraId="57E3381E"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2018</w:t>
            </w:r>
          </w:p>
        </w:tc>
        <w:tc>
          <w:tcPr>
            <w:tcW w:w="1566" w:type="dxa"/>
          </w:tcPr>
          <w:p w14:paraId="42ECB9CE"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5467,67</w:t>
            </w:r>
          </w:p>
        </w:tc>
        <w:tc>
          <w:tcPr>
            <w:tcW w:w="1477" w:type="dxa"/>
          </w:tcPr>
          <w:p w14:paraId="0EA0E4B0"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5807,16</w:t>
            </w:r>
          </w:p>
        </w:tc>
        <w:tc>
          <w:tcPr>
            <w:tcW w:w="1156" w:type="dxa"/>
          </w:tcPr>
          <w:p w14:paraId="4D71E70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+339,49</w:t>
            </w:r>
          </w:p>
        </w:tc>
        <w:tc>
          <w:tcPr>
            <w:tcW w:w="1555" w:type="dxa"/>
          </w:tcPr>
          <w:p w14:paraId="25B93FD4"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6101,11</w:t>
            </w:r>
          </w:p>
        </w:tc>
        <w:tc>
          <w:tcPr>
            <w:tcW w:w="1451" w:type="dxa"/>
          </w:tcPr>
          <w:p w14:paraId="4ED26FA6"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5753</w:t>
            </w:r>
          </w:p>
        </w:tc>
        <w:tc>
          <w:tcPr>
            <w:tcW w:w="1438" w:type="dxa"/>
            <w:shd w:val="clear" w:color="auto" w:fill="D9D9D9" w:themeFill="background1" w:themeFillShade="D9"/>
          </w:tcPr>
          <w:p w14:paraId="7A11FFA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-348,11</w:t>
            </w:r>
          </w:p>
        </w:tc>
      </w:tr>
      <w:tr w:rsidR="00D470B6" w:rsidRPr="00A53AD7" w14:paraId="211231FA" w14:textId="77777777" w:rsidTr="00ED2EC7">
        <w:tc>
          <w:tcPr>
            <w:tcW w:w="678" w:type="dxa"/>
          </w:tcPr>
          <w:p w14:paraId="7FCDBBC0" w14:textId="77777777" w:rsidR="00ED2EC7" w:rsidRPr="00A53AD7" w:rsidRDefault="00ED2EC7" w:rsidP="00ED2EC7">
            <w:pPr>
              <w:spacing w:after="0" w:line="240" w:lineRule="auto"/>
              <w:jc w:val="center"/>
              <w:rPr>
                <w:rFonts w:ascii="Times New Roman" w:hAnsi="Times New Roman"/>
                <w:sz w:val="20"/>
                <w:szCs w:val="20"/>
              </w:rPr>
            </w:pPr>
          </w:p>
        </w:tc>
        <w:tc>
          <w:tcPr>
            <w:tcW w:w="1566" w:type="dxa"/>
          </w:tcPr>
          <w:p w14:paraId="12A8C092" w14:textId="77777777" w:rsidR="00ED2EC7" w:rsidRPr="00A53AD7" w:rsidRDefault="00ED2EC7" w:rsidP="00ED2EC7">
            <w:pPr>
              <w:spacing w:after="0" w:line="240" w:lineRule="auto"/>
              <w:jc w:val="center"/>
              <w:rPr>
                <w:rFonts w:ascii="Times New Roman" w:hAnsi="Times New Roman"/>
                <w:sz w:val="20"/>
                <w:szCs w:val="20"/>
              </w:rPr>
            </w:pPr>
          </w:p>
        </w:tc>
        <w:tc>
          <w:tcPr>
            <w:tcW w:w="1477" w:type="dxa"/>
          </w:tcPr>
          <w:p w14:paraId="6EF0526A" w14:textId="77777777" w:rsidR="00ED2EC7" w:rsidRPr="00A53AD7" w:rsidRDefault="00ED2EC7" w:rsidP="00ED2EC7">
            <w:pPr>
              <w:spacing w:after="0" w:line="240" w:lineRule="auto"/>
              <w:jc w:val="center"/>
              <w:rPr>
                <w:rFonts w:ascii="Times New Roman" w:hAnsi="Times New Roman"/>
                <w:sz w:val="20"/>
                <w:szCs w:val="20"/>
              </w:rPr>
            </w:pPr>
          </w:p>
        </w:tc>
        <w:tc>
          <w:tcPr>
            <w:tcW w:w="1156" w:type="dxa"/>
          </w:tcPr>
          <w:p w14:paraId="1496A140" w14:textId="77777777" w:rsidR="00ED2EC7" w:rsidRPr="00A53AD7" w:rsidRDefault="00ED2EC7" w:rsidP="00ED2EC7">
            <w:pPr>
              <w:spacing w:after="0" w:line="240" w:lineRule="auto"/>
              <w:jc w:val="center"/>
              <w:rPr>
                <w:rFonts w:ascii="Times New Roman" w:hAnsi="Times New Roman"/>
                <w:sz w:val="20"/>
                <w:szCs w:val="20"/>
              </w:rPr>
            </w:pPr>
          </w:p>
        </w:tc>
        <w:tc>
          <w:tcPr>
            <w:tcW w:w="1555" w:type="dxa"/>
          </w:tcPr>
          <w:p w14:paraId="71B4C7B9" w14:textId="77777777" w:rsidR="00ED2EC7" w:rsidRPr="00A53AD7" w:rsidRDefault="00ED2EC7" w:rsidP="00ED2EC7">
            <w:pPr>
              <w:spacing w:after="0" w:line="240" w:lineRule="auto"/>
              <w:jc w:val="center"/>
              <w:rPr>
                <w:rFonts w:ascii="Times New Roman" w:hAnsi="Times New Roman"/>
                <w:sz w:val="20"/>
                <w:szCs w:val="20"/>
              </w:rPr>
            </w:pPr>
          </w:p>
        </w:tc>
        <w:tc>
          <w:tcPr>
            <w:tcW w:w="1451" w:type="dxa"/>
          </w:tcPr>
          <w:p w14:paraId="3F5EFC3E" w14:textId="77777777" w:rsidR="00ED2EC7" w:rsidRPr="00A53AD7" w:rsidRDefault="00ED2EC7" w:rsidP="00ED2EC7">
            <w:pPr>
              <w:spacing w:after="0" w:line="240" w:lineRule="auto"/>
              <w:jc w:val="center"/>
              <w:rPr>
                <w:rFonts w:ascii="Times New Roman" w:hAnsi="Times New Roman"/>
                <w:sz w:val="20"/>
                <w:szCs w:val="20"/>
              </w:rPr>
            </w:pPr>
          </w:p>
        </w:tc>
        <w:tc>
          <w:tcPr>
            <w:tcW w:w="1438" w:type="dxa"/>
          </w:tcPr>
          <w:p w14:paraId="39FFB010" w14:textId="77777777" w:rsidR="00ED2EC7" w:rsidRPr="00A53AD7" w:rsidRDefault="00ED2EC7" w:rsidP="00ED2EC7">
            <w:pPr>
              <w:spacing w:after="0" w:line="240" w:lineRule="auto"/>
              <w:jc w:val="center"/>
              <w:rPr>
                <w:rFonts w:ascii="Times New Roman" w:hAnsi="Times New Roman"/>
                <w:sz w:val="20"/>
                <w:szCs w:val="20"/>
              </w:rPr>
            </w:pPr>
          </w:p>
        </w:tc>
      </w:tr>
      <w:tr w:rsidR="00D470B6" w:rsidRPr="00A53AD7" w14:paraId="4FFE782F" w14:textId="77777777" w:rsidTr="00ED2EC7">
        <w:tc>
          <w:tcPr>
            <w:tcW w:w="678" w:type="dxa"/>
          </w:tcPr>
          <w:p w14:paraId="52140754"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2019</w:t>
            </w:r>
          </w:p>
        </w:tc>
        <w:tc>
          <w:tcPr>
            <w:tcW w:w="1566" w:type="dxa"/>
            <w:shd w:val="clear" w:color="auto" w:fill="D9D9D9" w:themeFill="background1" w:themeFillShade="D9"/>
          </w:tcPr>
          <w:p w14:paraId="656A149B"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4234,15</w:t>
            </w:r>
          </w:p>
        </w:tc>
        <w:tc>
          <w:tcPr>
            <w:tcW w:w="1477" w:type="dxa"/>
          </w:tcPr>
          <w:p w14:paraId="31A55826"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6283,29</w:t>
            </w:r>
          </w:p>
        </w:tc>
        <w:tc>
          <w:tcPr>
            <w:tcW w:w="1156" w:type="dxa"/>
          </w:tcPr>
          <w:p w14:paraId="2F337B7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+2049,14</w:t>
            </w:r>
          </w:p>
        </w:tc>
        <w:tc>
          <w:tcPr>
            <w:tcW w:w="1555" w:type="dxa"/>
          </w:tcPr>
          <w:p w14:paraId="6514D0B5"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4313,13</w:t>
            </w:r>
          </w:p>
        </w:tc>
        <w:tc>
          <w:tcPr>
            <w:tcW w:w="1451" w:type="dxa"/>
          </w:tcPr>
          <w:p w14:paraId="6A97A45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202</w:t>
            </w:r>
          </w:p>
        </w:tc>
        <w:tc>
          <w:tcPr>
            <w:tcW w:w="1438" w:type="dxa"/>
            <w:shd w:val="clear" w:color="auto" w:fill="D9D9D9" w:themeFill="background1" w:themeFillShade="D9"/>
          </w:tcPr>
          <w:p w14:paraId="56888FB8"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- 4 111,13</w:t>
            </w:r>
          </w:p>
        </w:tc>
      </w:tr>
      <w:tr w:rsidR="00D470B6" w:rsidRPr="00A53AD7" w14:paraId="2CB0846D" w14:textId="77777777" w:rsidTr="00ED2EC7">
        <w:tc>
          <w:tcPr>
            <w:tcW w:w="678" w:type="dxa"/>
          </w:tcPr>
          <w:p w14:paraId="705583F4" w14:textId="77777777" w:rsidR="00ED2EC7" w:rsidRPr="00A53AD7" w:rsidRDefault="00ED2EC7" w:rsidP="00ED2EC7">
            <w:pPr>
              <w:spacing w:after="0" w:line="240" w:lineRule="auto"/>
              <w:jc w:val="center"/>
              <w:rPr>
                <w:rFonts w:ascii="Times New Roman" w:hAnsi="Times New Roman"/>
                <w:sz w:val="20"/>
                <w:szCs w:val="20"/>
              </w:rPr>
            </w:pPr>
          </w:p>
        </w:tc>
        <w:tc>
          <w:tcPr>
            <w:tcW w:w="5754" w:type="dxa"/>
            <w:gridSpan w:val="4"/>
          </w:tcPr>
          <w:p w14:paraId="1BB42287" w14:textId="77777777" w:rsidR="00ED2EC7" w:rsidRPr="00A53AD7" w:rsidRDefault="00ED2EC7" w:rsidP="00ED2EC7">
            <w:pPr>
              <w:spacing w:after="0" w:line="240" w:lineRule="auto"/>
              <w:rPr>
                <w:rFonts w:ascii="Times New Roman" w:hAnsi="Times New Roman"/>
                <w:sz w:val="20"/>
                <w:szCs w:val="20"/>
              </w:rPr>
            </w:pPr>
            <w:r w:rsidRPr="00A53AD7">
              <w:rPr>
                <w:rFonts w:ascii="Times New Roman" w:hAnsi="Times New Roman"/>
                <w:sz w:val="20"/>
                <w:szCs w:val="20"/>
              </w:rPr>
              <w:t>«дизельное топливо» (производство ЭЭ)</w:t>
            </w:r>
          </w:p>
        </w:tc>
        <w:tc>
          <w:tcPr>
            <w:tcW w:w="1451" w:type="dxa"/>
          </w:tcPr>
          <w:p w14:paraId="689D4452" w14:textId="77777777" w:rsidR="00ED2EC7" w:rsidRPr="00A53AD7" w:rsidRDefault="00ED2EC7" w:rsidP="00ED2EC7">
            <w:pPr>
              <w:spacing w:after="0" w:line="240" w:lineRule="auto"/>
              <w:jc w:val="center"/>
              <w:rPr>
                <w:rFonts w:ascii="Times New Roman" w:hAnsi="Times New Roman"/>
                <w:sz w:val="20"/>
                <w:szCs w:val="20"/>
              </w:rPr>
            </w:pPr>
          </w:p>
        </w:tc>
        <w:tc>
          <w:tcPr>
            <w:tcW w:w="1438" w:type="dxa"/>
          </w:tcPr>
          <w:p w14:paraId="7452EF3A" w14:textId="77777777" w:rsidR="00ED2EC7" w:rsidRPr="00A53AD7" w:rsidRDefault="00ED2EC7" w:rsidP="00ED2EC7">
            <w:pPr>
              <w:spacing w:after="0" w:line="240" w:lineRule="auto"/>
              <w:jc w:val="center"/>
              <w:rPr>
                <w:rFonts w:ascii="Times New Roman" w:hAnsi="Times New Roman"/>
                <w:sz w:val="20"/>
                <w:szCs w:val="20"/>
              </w:rPr>
            </w:pPr>
          </w:p>
        </w:tc>
      </w:tr>
      <w:tr w:rsidR="00D470B6" w:rsidRPr="00A53AD7" w14:paraId="590EE6DB" w14:textId="77777777" w:rsidTr="00ED2EC7">
        <w:tc>
          <w:tcPr>
            <w:tcW w:w="678" w:type="dxa"/>
          </w:tcPr>
          <w:p w14:paraId="0AD502EC"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2018</w:t>
            </w:r>
          </w:p>
        </w:tc>
        <w:tc>
          <w:tcPr>
            <w:tcW w:w="1566" w:type="dxa"/>
          </w:tcPr>
          <w:p w14:paraId="28DDC97D"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43557,46</w:t>
            </w:r>
          </w:p>
        </w:tc>
        <w:tc>
          <w:tcPr>
            <w:tcW w:w="1477" w:type="dxa"/>
          </w:tcPr>
          <w:p w14:paraId="5F878B43"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46412,78</w:t>
            </w:r>
          </w:p>
        </w:tc>
        <w:tc>
          <w:tcPr>
            <w:tcW w:w="1156" w:type="dxa"/>
          </w:tcPr>
          <w:p w14:paraId="6DF674C9"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+2855,32</w:t>
            </w:r>
          </w:p>
        </w:tc>
        <w:tc>
          <w:tcPr>
            <w:tcW w:w="1555" w:type="dxa"/>
          </w:tcPr>
          <w:p w14:paraId="22EB2EFE"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12307,0</w:t>
            </w:r>
          </w:p>
        </w:tc>
        <w:tc>
          <w:tcPr>
            <w:tcW w:w="1451" w:type="dxa"/>
          </w:tcPr>
          <w:p w14:paraId="3376965F"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12696,74</w:t>
            </w:r>
          </w:p>
        </w:tc>
        <w:tc>
          <w:tcPr>
            <w:tcW w:w="1438" w:type="dxa"/>
          </w:tcPr>
          <w:p w14:paraId="67739B04"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+389,74</w:t>
            </w:r>
          </w:p>
        </w:tc>
      </w:tr>
      <w:tr w:rsidR="00D470B6" w:rsidRPr="00A53AD7" w14:paraId="766B4AEE" w14:textId="77777777" w:rsidTr="00ED2EC7">
        <w:tc>
          <w:tcPr>
            <w:tcW w:w="678" w:type="dxa"/>
          </w:tcPr>
          <w:p w14:paraId="2BBB49CF" w14:textId="77777777" w:rsidR="00ED2EC7" w:rsidRPr="00A53AD7" w:rsidRDefault="00ED2EC7" w:rsidP="00ED2EC7">
            <w:pPr>
              <w:spacing w:after="0" w:line="240" w:lineRule="auto"/>
              <w:jc w:val="center"/>
              <w:rPr>
                <w:rFonts w:ascii="Times New Roman" w:hAnsi="Times New Roman"/>
                <w:sz w:val="20"/>
                <w:szCs w:val="20"/>
              </w:rPr>
            </w:pPr>
          </w:p>
        </w:tc>
        <w:tc>
          <w:tcPr>
            <w:tcW w:w="1566" w:type="dxa"/>
          </w:tcPr>
          <w:p w14:paraId="4B0B5367" w14:textId="77777777" w:rsidR="00ED2EC7" w:rsidRPr="00A53AD7" w:rsidRDefault="00ED2EC7" w:rsidP="00ED2EC7">
            <w:pPr>
              <w:spacing w:after="0" w:line="240" w:lineRule="auto"/>
              <w:jc w:val="center"/>
              <w:rPr>
                <w:rFonts w:ascii="Times New Roman" w:hAnsi="Times New Roman"/>
                <w:sz w:val="20"/>
                <w:szCs w:val="20"/>
              </w:rPr>
            </w:pPr>
          </w:p>
        </w:tc>
        <w:tc>
          <w:tcPr>
            <w:tcW w:w="1477" w:type="dxa"/>
          </w:tcPr>
          <w:p w14:paraId="0C8B8205" w14:textId="77777777" w:rsidR="00ED2EC7" w:rsidRPr="00A53AD7" w:rsidRDefault="00ED2EC7" w:rsidP="00ED2EC7">
            <w:pPr>
              <w:spacing w:after="0" w:line="240" w:lineRule="auto"/>
              <w:jc w:val="center"/>
              <w:rPr>
                <w:rFonts w:ascii="Times New Roman" w:hAnsi="Times New Roman"/>
                <w:sz w:val="20"/>
                <w:szCs w:val="20"/>
              </w:rPr>
            </w:pPr>
          </w:p>
        </w:tc>
        <w:tc>
          <w:tcPr>
            <w:tcW w:w="1156" w:type="dxa"/>
          </w:tcPr>
          <w:p w14:paraId="5F07A6FF" w14:textId="77777777" w:rsidR="00ED2EC7" w:rsidRPr="00A53AD7" w:rsidRDefault="00ED2EC7" w:rsidP="00ED2EC7">
            <w:pPr>
              <w:spacing w:after="0" w:line="240" w:lineRule="auto"/>
              <w:jc w:val="center"/>
              <w:rPr>
                <w:rFonts w:ascii="Times New Roman" w:hAnsi="Times New Roman"/>
                <w:sz w:val="20"/>
                <w:szCs w:val="20"/>
              </w:rPr>
            </w:pPr>
          </w:p>
        </w:tc>
        <w:tc>
          <w:tcPr>
            <w:tcW w:w="1555" w:type="dxa"/>
          </w:tcPr>
          <w:p w14:paraId="439E72C8" w14:textId="77777777" w:rsidR="00ED2EC7" w:rsidRPr="00A53AD7" w:rsidRDefault="00ED2EC7" w:rsidP="00ED2EC7">
            <w:pPr>
              <w:spacing w:after="0" w:line="240" w:lineRule="auto"/>
              <w:jc w:val="center"/>
              <w:rPr>
                <w:rFonts w:ascii="Times New Roman" w:hAnsi="Times New Roman"/>
                <w:sz w:val="20"/>
                <w:szCs w:val="20"/>
              </w:rPr>
            </w:pPr>
          </w:p>
        </w:tc>
        <w:tc>
          <w:tcPr>
            <w:tcW w:w="1451" w:type="dxa"/>
          </w:tcPr>
          <w:p w14:paraId="30A63CF2" w14:textId="77777777" w:rsidR="00ED2EC7" w:rsidRPr="00A53AD7" w:rsidRDefault="00ED2EC7" w:rsidP="00ED2EC7">
            <w:pPr>
              <w:spacing w:after="0" w:line="240" w:lineRule="auto"/>
              <w:jc w:val="center"/>
              <w:rPr>
                <w:rFonts w:ascii="Times New Roman" w:hAnsi="Times New Roman"/>
                <w:sz w:val="20"/>
                <w:szCs w:val="20"/>
              </w:rPr>
            </w:pPr>
          </w:p>
        </w:tc>
        <w:tc>
          <w:tcPr>
            <w:tcW w:w="1438" w:type="dxa"/>
          </w:tcPr>
          <w:p w14:paraId="747CE508" w14:textId="77777777" w:rsidR="00ED2EC7" w:rsidRPr="00A53AD7" w:rsidRDefault="00ED2EC7" w:rsidP="00ED2EC7">
            <w:pPr>
              <w:spacing w:after="0" w:line="240" w:lineRule="auto"/>
              <w:jc w:val="center"/>
              <w:rPr>
                <w:rFonts w:ascii="Times New Roman" w:hAnsi="Times New Roman"/>
                <w:sz w:val="20"/>
                <w:szCs w:val="20"/>
              </w:rPr>
            </w:pPr>
          </w:p>
        </w:tc>
      </w:tr>
      <w:tr w:rsidR="00D470B6" w:rsidRPr="00A53AD7" w14:paraId="7391E522" w14:textId="77777777" w:rsidTr="00ED2EC7">
        <w:tc>
          <w:tcPr>
            <w:tcW w:w="678" w:type="dxa"/>
          </w:tcPr>
          <w:p w14:paraId="0D268360"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2019</w:t>
            </w:r>
          </w:p>
        </w:tc>
        <w:tc>
          <w:tcPr>
            <w:tcW w:w="1566" w:type="dxa"/>
          </w:tcPr>
          <w:p w14:paraId="198AB78B"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50958,09</w:t>
            </w:r>
          </w:p>
        </w:tc>
        <w:tc>
          <w:tcPr>
            <w:tcW w:w="1477" w:type="dxa"/>
          </w:tcPr>
          <w:p w14:paraId="79B015C7"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52207,37</w:t>
            </w:r>
          </w:p>
        </w:tc>
        <w:tc>
          <w:tcPr>
            <w:tcW w:w="1156" w:type="dxa"/>
          </w:tcPr>
          <w:p w14:paraId="73405BAA"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+1249,28</w:t>
            </w:r>
          </w:p>
        </w:tc>
        <w:tc>
          <w:tcPr>
            <w:tcW w:w="1555" w:type="dxa"/>
          </w:tcPr>
          <w:p w14:paraId="07098A03"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8237,35</w:t>
            </w:r>
          </w:p>
        </w:tc>
        <w:tc>
          <w:tcPr>
            <w:tcW w:w="1451" w:type="dxa"/>
          </w:tcPr>
          <w:p w14:paraId="1400554E"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5491,12</w:t>
            </w:r>
          </w:p>
        </w:tc>
        <w:tc>
          <w:tcPr>
            <w:tcW w:w="1438" w:type="dxa"/>
            <w:shd w:val="clear" w:color="auto" w:fill="D9D9D9" w:themeFill="background1" w:themeFillShade="D9"/>
          </w:tcPr>
          <w:p w14:paraId="6BD55E5C" w14:textId="77777777" w:rsidR="00ED2EC7" w:rsidRPr="00A53AD7" w:rsidRDefault="00ED2EC7" w:rsidP="00ED2EC7">
            <w:pPr>
              <w:spacing w:after="0" w:line="240" w:lineRule="auto"/>
              <w:jc w:val="center"/>
              <w:rPr>
                <w:rFonts w:ascii="Times New Roman" w:hAnsi="Times New Roman"/>
                <w:sz w:val="20"/>
                <w:szCs w:val="20"/>
              </w:rPr>
            </w:pPr>
            <w:r w:rsidRPr="00A53AD7">
              <w:rPr>
                <w:rFonts w:ascii="Times New Roman" w:hAnsi="Times New Roman"/>
                <w:sz w:val="20"/>
                <w:szCs w:val="20"/>
              </w:rPr>
              <w:t>-2746,23</w:t>
            </w:r>
          </w:p>
        </w:tc>
      </w:tr>
    </w:tbl>
    <w:p w14:paraId="3F1030FA" w14:textId="77777777" w:rsidR="00ED2EC7" w:rsidRPr="00A53AD7" w:rsidRDefault="00ED2EC7" w:rsidP="00ED2EC7">
      <w:pPr>
        <w:spacing w:after="0" w:line="240" w:lineRule="auto"/>
        <w:jc w:val="both"/>
        <w:rPr>
          <w:rFonts w:ascii="Times New Roman" w:hAnsi="Times New Roman"/>
          <w:highlight w:val="cyan"/>
        </w:rPr>
      </w:pPr>
    </w:p>
    <w:p w14:paraId="6B33C8C0" w14:textId="64FF5809"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данным сайта госзакупки по поставке угля АО «Архангельская областная энергетическая компания» по договору №214-03/18 от 18.06.2018 с ООО «-6 ТЭК» в количестве 14050</w:t>
      </w:r>
      <w:r w:rsidR="009C29CE"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т на сумму 63 105 996,80 руб. без НДС. В 2018 году котельным на территории МО «Мезенский муниципальный район» отгружено и поставлено угля в количестве 5544</w:t>
      </w:r>
      <w:r w:rsidR="009C29CE"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т, соответственно по стоимости приобретения 1 т угля в размере 4 491,52 руб. Исходя из фактической цены списания 5807,16 руб. - стоимость доставки угля до котельной за 1</w:t>
      </w:r>
      <w:r w:rsidR="009C29CE"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т угля (транспортное плечо) составляет 1 315,64 руб. или 22,6% от фактической цены списания. Таким образом, за счет наличия остатка топлива «уголь» на 01.01.2018 дополнительные расходы за 2018 год по виду топлива «уголь» должны быть снижены по МО «Мезенский муниципальный район», расчетно не менее чем на 118,18 тыс. руб. (348,11</w:t>
      </w:r>
      <w:r w:rsidR="009C29CE"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т (5753 – 6101,11) * 339,49 руб./т).</w:t>
      </w:r>
    </w:p>
    <w:p w14:paraId="3CA9571A"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Согласно «Экспертному заключению агентства по тарифам и ценам Архангельской области об установлении тарифов на тепловую энергию, поставляемую АО «АрхоблЭнерго», на период с 1 января 2019 года по 31 декабря 2023 года, рассчитанных с применением метода индексации установленных тарифов» от 05.12.2018, цена на уголь принята в размере 4234,1 руб./т и средняя цена на доставку угля в размере 2153,4 руб./т. (или цена угля с доставкой на 2019 г. составляет 6387,5 руб./т). </w:t>
      </w:r>
    </w:p>
    <w:p w14:paraId="477F42E8" w14:textId="53B8144A"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Таким образом, исходя из наличия остатка топлива «уголь» на 01.01.2019 дополнительные расходы за 2019 год по виду топлива «уголь» должны быть снижены по МО «Мезенский муниципальный район» расчетно не менее чем на 8 424,29 тыс.руб. (4 111,13 т (или 202 т - 4313,13 т)</w:t>
      </w:r>
      <w:r w:rsidR="00B97F5B"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 2049,14 руб./т).</w:t>
      </w:r>
    </w:p>
    <w:p w14:paraId="78369C8A"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«Экспертному заключению по расчету цены (тарифа) на электрическую энергию, поставляемую АО «АрхоблЭнерго» покупателям на розничных рынках на территориях, технологически не связанных с Единой энергетической системой России и технологически изолированными территориями электроэнергетическими системами, по договорам купли-продажи (договорам энергоснабжения), без дифференциации по уровням напряжения на 2018 год» от 26.12.2017 цена списания дизельного топлива принята в размере 43 557,46 руб./т, остаток топлива на 31.12.2017 – 5 567,75 т.н.т. по стоимости 42 212,11 руб./ т.н.т. (тонн натурального топлива).</w:t>
      </w:r>
    </w:p>
    <w:p w14:paraId="6220474D" w14:textId="035C618E"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 учетом наличия остатка дизельного топлива на 01.01.2018 дополнительные расходы за 2018 год по топливу должны быть снижены по МО «Мезенский муниципальный район» расчетно не менее чем на 15 897,71 тыс. руб. (5567,75 * 2855,32</w:t>
      </w:r>
      <w:r w:rsidR="009C29CE"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руб./т).</w:t>
      </w:r>
    </w:p>
    <w:p w14:paraId="0B5C47D7"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«Экспертному заключению по расчету цены (тарифа) на электрическую энергию, поставляемую АО «АрхоблЭнерго» покупателям на розничных рынках на территориях, технологически не связанных с Единой энергетической системой России и технологически изолированными территориями электроэнергетическими системами, по договорам купли-продажи (договорам энергоснабжения), без дифференциации по уровням напряжения на 2019 год» от 20.12.2018 цена списания дизельного топлива принята в размере 50 958,09 руб./т, остаток топлива на 31.12.2018 – 4 558,53 т.н.т. по цене 50 006,86 руб./ т.н.т.</w:t>
      </w:r>
    </w:p>
    <w:p w14:paraId="6E3CC809"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Таким образом, с учетом наличия остатка дизельного топлива на 01.01.2019 дополнительные расходы за 2019 год по топливу МО «Мезенский муниципальный район» должны быть снижены расчетно не менее чем на </w:t>
      </w:r>
      <w:r w:rsidRPr="00A53AD7">
        <w:rPr>
          <w:rFonts w:ascii="Times New Roman" w:eastAsia="Times New Roman" w:hAnsi="Times New Roman"/>
          <w:b/>
          <w:sz w:val="28"/>
          <w:szCs w:val="28"/>
          <w:lang w:eastAsia="ru-RU"/>
        </w:rPr>
        <w:t>5 694,88 тыс.руб</w:t>
      </w:r>
      <w:r w:rsidRPr="00A53AD7">
        <w:rPr>
          <w:rFonts w:ascii="Times New Roman" w:eastAsia="Times New Roman" w:hAnsi="Times New Roman"/>
          <w:sz w:val="28"/>
          <w:szCs w:val="28"/>
          <w:lang w:eastAsia="ru-RU"/>
        </w:rPr>
        <w:t>. (4 558,53 * 1249,28 руб./т).</w:t>
      </w:r>
    </w:p>
    <w:p w14:paraId="2CD305AB" w14:textId="77777777" w:rsidR="00ED2EC7" w:rsidRPr="00A53AD7" w:rsidRDefault="00ED2EC7" w:rsidP="00ED2EC7">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Исходя из вышеизложенного, по расчетам контрольно-счетной палаты Архангельской области, с учетом Экспертных заключений по расчету цены (тарифа) на электрическую энергию, поставляемую АО «АрхоблЭнерго» и на тепловую энергию, отпускаемую потребителям, расположенным на территории МО «Мезенский муниципальный район» в отсутствие оснований завышение расчета превышения фактической цены списания топлива над ценой топлива, принятой при утверждении агентством по тарифам и ценам Архангельской области соответствующих тарифов составило в размере 30 135,06 тыс.руб.</w:t>
      </w:r>
    </w:p>
    <w:p w14:paraId="7ACD3003" w14:textId="12E8C2A8" w:rsidR="008D0599" w:rsidRPr="00A53AD7" w:rsidRDefault="00210DE5" w:rsidP="008D0599">
      <w:pPr>
        <w:pStyle w:val="3"/>
        <w:spacing w:line="240" w:lineRule="auto"/>
        <w:jc w:val="center"/>
        <w:rPr>
          <w:rFonts w:ascii="Times New Roman" w:hAnsi="Times New Roman"/>
          <w:b w:val="0"/>
          <w:sz w:val="28"/>
          <w:szCs w:val="28"/>
          <w:u w:val="single"/>
          <w:lang w:val="ru-RU" w:eastAsia="ru-RU"/>
        </w:rPr>
      </w:pPr>
      <w:bookmarkStart w:id="90" w:name="_Toc531877183"/>
      <w:bookmarkStart w:id="91" w:name="_Toc42006738"/>
      <w:r w:rsidRPr="00A53AD7">
        <w:rPr>
          <w:rFonts w:ascii="Times New Roman" w:hAnsi="Times New Roman"/>
          <w:b w:val="0"/>
          <w:sz w:val="28"/>
          <w:szCs w:val="28"/>
          <w:u w:val="single"/>
          <w:lang w:val="ru-RU" w:eastAsia="ru-RU"/>
        </w:rPr>
        <w:t>4.2.</w:t>
      </w:r>
      <w:r w:rsidR="00ED2EC7" w:rsidRPr="00A53AD7">
        <w:rPr>
          <w:rFonts w:ascii="Times New Roman" w:hAnsi="Times New Roman"/>
          <w:b w:val="0"/>
          <w:sz w:val="28"/>
          <w:szCs w:val="28"/>
          <w:u w:val="single"/>
          <w:lang w:val="ru-RU" w:eastAsia="ru-RU"/>
        </w:rPr>
        <w:t>17</w:t>
      </w:r>
      <w:r w:rsidRPr="00A53AD7">
        <w:rPr>
          <w:rFonts w:ascii="Times New Roman" w:hAnsi="Times New Roman"/>
          <w:b w:val="0"/>
          <w:sz w:val="28"/>
          <w:szCs w:val="28"/>
          <w:u w:val="single"/>
          <w:lang w:val="ru-RU" w:eastAsia="ru-RU"/>
        </w:rPr>
        <w:t xml:space="preserve">. </w:t>
      </w:r>
      <w:r w:rsidR="008D0599" w:rsidRPr="00A53AD7">
        <w:rPr>
          <w:rFonts w:ascii="Times New Roman" w:hAnsi="Times New Roman"/>
          <w:b w:val="0"/>
          <w:sz w:val="28"/>
          <w:szCs w:val="28"/>
          <w:u w:val="single"/>
          <w:lang w:val="ru-RU" w:eastAsia="ru-RU"/>
        </w:rPr>
        <w:t>Государственная программа «Развитие местного самоуправления в Архангельской области и государственная поддержка социально ориентированных некоммерческих организаций»</w:t>
      </w:r>
      <w:bookmarkEnd w:id="90"/>
      <w:bookmarkEnd w:id="91"/>
    </w:p>
    <w:p w14:paraId="4CE3FBA8" w14:textId="77777777" w:rsidR="00043868" w:rsidRPr="00A53AD7" w:rsidRDefault="00043868" w:rsidP="00A00A76">
      <w:pPr>
        <w:pStyle w:val="a8"/>
        <w:ind w:left="0" w:firstLine="851"/>
        <w:jc w:val="both"/>
        <w:rPr>
          <w:sz w:val="28"/>
          <w:szCs w:val="28"/>
        </w:rPr>
      </w:pPr>
      <w:r w:rsidRPr="00A53AD7">
        <w:rPr>
          <w:sz w:val="28"/>
          <w:szCs w:val="28"/>
        </w:rPr>
        <w:t>Финансовое обеспечение мероприятий государственной программы, в редакции от 19.11.2019 № 628-пп, в 2019 году составляет 269,1 млн.руб.</w:t>
      </w:r>
    </w:p>
    <w:p w14:paraId="613A27A2" w14:textId="5B62BB53" w:rsidR="00043868" w:rsidRPr="00A53AD7" w:rsidRDefault="00043868" w:rsidP="00A00A76">
      <w:pPr>
        <w:pStyle w:val="a8"/>
        <w:ind w:left="0" w:firstLine="851"/>
        <w:jc w:val="both"/>
        <w:rPr>
          <w:sz w:val="28"/>
          <w:szCs w:val="28"/>
        </w:rPr>
      </w:pPr>
      <w:r w:rsidRPr="00A53AD7">
        <w:rPr>
          <w:sz w:val="28"/>
          <w:szCs w:val="28"/>
        </w:rPr>
        <w:t>В течение года объем средств на реализацию госпрограммы увеличился в целом на 202,9 млн.руб. или в 4,0 раза, в том числе: за счет средств областного бюджета на 5,0 млн.руб., местных бюджетов на 1,6 млн.руб., бюджета города Москвы на 196,3 млн.руб., что представлено в таблице</w:t>
      </w:r>
      <w:r w:rsidR="0086127D" w:rsidRPr="00A53AD7">
        <w:rPr>
          <w:sz w:val="28"/>
          <w:szCs w:val="28"/>
        </w:rPr>
        <w:t xml:space="preserve"> 58</w:t>
      </w:r>
      <w:r w:rsidRPr="00A53AD7">
        <w:rPr>
          <w:sz w:val="28"/>
          <w:szCs w:val="28"/>
        </w:rPr>
        <w:t xml:space="preserve">. </w:t>
      </w:r>
    </w:p>
    <w:p w14:paraId="0F0F5642" w14:textId="77777777" w:rsidR="00043868" w:rsidRPr="00A53AD7" w:rsidRDefault="00043868" w:rsidP="00043868">
      <w:pPr>
        <w:spacing w:after="0" w:line="240" w:lineRule="auto"/>
        <w:rPr>
          <w:rFonts w:ascii="Times New Roman" w:hAnsi="Times New Roman"/>
          <w:sz w:val="24"/>
          <w:szCs w:val="24"/>
          <w:highlight w:val="cyan"/>
        </w:rPr>
      </w:pPr>
    </w:p>
    <w:p w14:paraId="75B93E88" w14:textId="77777777" w:rsidR="0086127D" w:rsidRPr="00A53AD7" w:rsidRDefault="0086127D" w:rsidP="00A00A76">
      <w:pPr>
        <w:pStyle w:val="aff0"/>
        <w:spacing w:after="0" w:line="240" w:lineRule="auto"/>
        <w:rPr>
          <w:rFonts w:ascii="Times New Roman" w:hAnsi="Times New Roman"/>
          <w:b w:val="0"/>
          <w:sz w:val="24"/>
          <w:szCs w:val="24"/>
        </w:rPr>
      </w:pPr>
    </w:p>
    <w:p w14:paraId="5EA0F060" w14:textId="77777777" w:rsidR="0086127D" w:rsidRPr="00A53AD7" w:rsidRDefault="0086127D" w:rsidP="00A00A76">
      <w:pPr>
        <w:pStyle w:val="aff0"/>
        <w:spacing w:after="0" w:line="240" w:lineRule="auto"/>
        <w:rPr>
          <w:rFonts w:ascii="Times New Roman" w:hAnsi="Times New Roman"/>
          <w:b w:val="0"/>
          <w:sz w:val="24"/>
          <w:szCs w:val="24"/>
        </w:rPr>
      </w:pPr>
    </w:p>
    <w:p w14:paraId="5F326E36" w14:textId="77777777" w:rsidR="0086127D" w:rsidRPr="00A53AD7" w:rsidRDefault="0086127D" w:rsidP="00A00A76">
      <w:pPr>
        <w:pStyle w:val="aff0"/>
        <w:spacing w:after="0" w:line="240" w:lineRule="auto"/>
        <w:rPr>
          <w:rFonts w:ascii="Times New Roman" w:hAnsi="Times New Roman"/>
          <w:b w:val="0"/>
          <w:sz w:val="24"/>
          <w:szCs w:val="24"/>
        </w:rPr>
      </w:pPr>
    </w:p>
    <w:p w14:paraId="2CBAF791" w14:textId="77777777" w:rsidR="0086127D" w:rsidRPr="00A53AD7" w:rsidRDefault="0086127D" w:rsidP="00A00A76">
      <w:pPr>
        <w:pStyle w:val="aff0"/>
        <w:spacing w:after="0" w:line="240" w:lineRule="auto"/>
        <w:rPr>
          <w:rFonts w:ascii="Times New Roman" w:hAnsi="Times New Roman"/>
          <w:b w:val="0"/>
          <w:sz w:val="24"/>
          <w:szCs w:val="24"/>
        </w:rPr>
      </w:pPr>
    </w:p>
    <w:p w14:paraId="5A6CE4BD" w14:textId="2F14EB98" w:rsidR="00043868" w:rsidRPr="00A53AD7" w:rsidRDefault="00A00A76" w:rsidP="00A00A76">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58</w:t>
      </w:r>
      <w:r w:rsidRPr="00A53AD7">
        <w:rPr>
          <w:rFonts w:ascii="Times New Roman" w:hAnsi="Times New Roman"/>
          <w:b w:val="0"/>
          <w:sz w:val="24"/>
          <w:szCs w:val="24"/>
        </w:rPr>
        <w:fldChar w:fldCharType="end"/>
      </w:r>
      <w:r w:rsidR="00043868" w:rsidRPr="00A53AD7">
        <w:rPr>
          <w:rFonts w:ascii="Times New Roman" w:hAnsi="Times New Roman"/>
          <w:b w:val="0"/>
          <w:sz w:val="24"/>
          <w:szCs w:val="24"/>
        </w:rPr>
        <w:t>. Изменения, внесенные в показатели финансового обеспечения ГП АО «Развитие местного самоуправления в Архангельской области и государственная поддержка социально ориентированных некоммерческих организаций», млн.руб.</w:t>
      </w:r>
    </w:p>
    <w:tbl>
      <w:tblPr>
        <w:tblW w:w="9356" w:type="dxa"/>
        <w:tblInd w:w="-23" w:type="dxa"/>
        <w:tblLook w:val="04A0" w:firstRow="1" w:lastRow="0" w:firstColumn="1" w:lastColumn="0" w:noHBand="0" w:noVBand="1"/>
      </w:tblPr>
      <w:tblGrid>
        <w:gridCol w:w="3261"/>
        <w:gridCol w:w="2268"/>
        <w:gridCol w:w="2126"/>
        <w:gridCol w:w="1701"/>
      </w:tblGrid>
      <w:tr w:rsidR="00D470B6" w:rsidRPr="00A53AD7" w14:paraId="207BF03B" w14:textId="77777777" w:rsidTr="0086127D">
        <w:trPr>
          <w:trHeight w:val="49"/>
          <w:tblHeader/>
        </w:trPr>
        <w:tc>
          <w:tcPr>
            <w:tcW w:w="3261"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E8FFA6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Показатели</w:t>
            </w:r>
          </w:p>
        </w:tc>
        <w:tc>
          <w:tcPr>
            <w:tcW w:w="6095" w:type="dxa"/>
            <w:gridSpan w:val="3"/>
            <w:tcBorders>
              <w:top w:val="double" w:sz="4" w:space="0" w:color="auto"/>
              <w:left w:val="nil"/>
              <w:bottom w:val="single" w:sz="4" w:space="0" w:color="auto"/>
              <w:right w:val="double" w:sz="4" w:space="0" w:color="auto"/>
            </w:tcBorders>
            <w:shd w:val="clear" w:color="auto" w:fill="auto"/>
            <w:vAlign w:val="bottom"/>
            <w:hideMark/>
          </w:tcPr>
          <w:p w14:paraId="14872AA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Финансовое обеспечение государственной программы</w:t>
            </w:r>
          </w:p>
        </w:tc>
      </w:tr>
      <w:tr w:rsidR="00D470B6" w:rsidRPr="00A53AD7" w14:paraId="4BF20122" w14:textId="77777777" w:rsidTr="0086127D">
        <w:trPr>
          <w:trHeight w:val="336"/>
          <w:tblHeader/>
        </w:trPr>
        <w:tc>
          <w:tcPr>
            <w:tcW w:w="3261" w:type="dxa"/>
            <w:vMerge/>
            <w:tcBorders>
              <w:top w:val="double" w:sz="6" w:space="0" w:color="auto"/>
              <w:left w:val="double" w:sz="4" w:space="0" w:color="auto"/>
              <w:bottom w:val="single" w:sz="4" w:space="0" w:color="auto"/>
              <w:right w:val="single" w:sz="4" w:space="0" w:color="auto"/>
            </w:tcBorders>
            <w:vAlign w:val="center"/>
            <w:hideMark/>
          </w:tcPr>
          <w:p w14:paraId="4DBBDDAD" w14:textId="77777777" w:rsidR="00043868" w:rsidRPr="00A53AD7" w:rsidRDefault="00043868" w:rsidP="00043868">
            <w:pPr>
              <w:spacing w:after="0" w:line="240" w:lineRule="auto"/>
              <w:rPr>
                <w:rFonts w:ascii="Times New Roman" w:eastAsia="Times New Roman" w:hAnsi="Times New Roman"/>
                <w:sz w:val="20"/>
                <w:szCs w:val="20"/>
                <w:lang w:eastAsia="ru-RU"/>
              </w:rPr>
            </w:pPr>
          </w:p>
        </w:tc>
        <w:tc>
          <w:tcPr>
            <w:tcW w:w="2268" w:type="dxa"/>
            <w:tcBorders>
              <w:top w:val="nil"/>
              <w:left w:val="nil"/>
              <w:bottom w:val="single" w:sz="4" w:space="0" w:color="auto"/>
              <w:right w:val="single" w:sz="4" w:space="0" w:color="auto"/>
            </w:tcBorders>
            <w:shd w:val="clear" w:color="auto" w:fill="auto"/>
            <w:vAlign w:val="bottom"/>
            <w:hideMark/>
          </w:tcPr>
          <w:p w14:paraId="3B34124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ГП в ред. от 20.11.2018 № 546-пп </w:t>
            </w:r>
          </w:p>
        </w:tc>
        <w:tc>
          <w:tcPr>
            <w:tcW w:w="2126" w:type="dxa"/>
            <w:tcBorders>
              <w:top w:val="nil"/>
              <w:left w:val="nil"/>
              <w:bottom w:val="single" w:sz="4" w:space="0" w:color="auto"/>
              <w:right w:val="single" w:sz="4" w:space="0" w:color="auto"/>
            </w:tcBorders>
            <w:shd w:val="clear" w:color="auto" w:fill="auto"/>
            <w:vAlign w:val="bottom"/>
            <w:hideMark/>
          </w:tcPr>
          <w:p w14:paraId="57AF4015"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ГП в редакции от 19.11.2019 № 628-пп </w:t>
            </w:r>
          </w:p>
        </w:tc>
        <w:tc>
          <w:tcPr>
            <w:tcW w:w="1701" w:type="dxa"/>
            <w:tcBorders>
              <w:top w:val="nil"/>
              <w:left w:val="nil"/>
              <w:bottom w:val="single" w:sz="4" w:space="0" w:color="auto"/>
              <w:right w:val="double" w:sz="4" w:space="0" w:color="auto"/>
            </w:tcBorders>
            <w:shd w:val="clear" w:color="auto" w:fill="auto"/>
            <w:vAlign w:val="center"/>
            <w:hideMark/>
          </w:tcPr>
          <w:p w14:paraId="793A483B"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Отклонение (+), (-), тыс.руб.</w:t>
            </w:r>
          </w:p>
        </w:tc>
      </w:tr>
      <w:tr w:rsidR="00D470B6" w:rsidRPr="00A53AD7" w14:paraId="36896468" w14:textId="77777777" w:rsidTr="009A3CBB">
        <w:trPr>
          <w:trHeight w:val="166"/>
        </w:trPr>
        <w:tc>
          <w:tcPr>
            <w:tcW w:w="3261" w:type="dxa"/>
            <w:tcBorders>
              <w:top w:val="nil"/>
              <w:left w:val="double" w:sz="4" w:space="0" w:color="auto"/>
              <w:bottom w:val="single" w:sz="4" w:space="0" w:color="auto"/>
              <w:right w:val="single" w:sz="4" w:space="0" w:color="auto"/>
            </w:tcBorders>
            <w:shd w:val="clear" w:color="auto" w:fill="auto"/>
            <w:vAlign w:val="center"/>
            <w:hideMark/>
          </w:tcPr>
          <w:p w14:paraId="1E225F61"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w:t>
            </w:r>
          </w:p>
        </w:tc>
        <w:tc>
          <w:tcPr>
            <w:tcW w:w="2268" w:type="dxa"/>
            <w:tcBorders>
              <w:top w:val="nil"/>
              <w:left w:val="nil"/>
              <w:bottom w:val="single" w:sz="4" w:space="0" w:color="auto"/>
              <w:right w:val="single" w:sz="4" w:space="0" w:color="auto"/>
            </w:tcBorders>
            <w:shd w:val="clear" w:color="auto" w:fill="auto"/>
            <w:vAlign w:val="bottom"/>
            <w:hideMark/>
          </w:tcPr>
          <w:p w14:paraId="27B1C08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2126" w:type="dxa"/>
            <w:tcBorders>
              <w:top w:val="nil"/>
              <w:left w:val="nil"/>
              <w:bottom w:val="single" w:sz="4" w:space="0" w:color="auto"/>
              <w:right w:val="nil"/>
            </w:tcBorders>
            <w:shd w:val="clear" w:color="auto" w:fill="auto"/>
            <w:vAlign w:val="bottom"/>
            <w:hideMark/>
          </w:tcPr>
          <w:p w14:paraId="69343FB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1701" w:type="dxa"/>
            <w:tcBorders>
              <w:top w:val="nil"/>
              <w:left w:val="single" w:sz="4" w:space="0" w:color="auto"/>
              <w:bottom w:val="single" w:sz="4" w:space="0" w:color="auto"/>
              <w:right w:val="double" w:sz="4" w:space="0" w:color="auto"/>
            </w:tcBorders>
            <w:shd w:val="clear" w:color="auto" w:fill="auto"/>
            <w:vAlign w:val="bottom"/>
            <w:hideMark/>
          </w:tcPr>
          <w:p w14:paraId="147DBB5C"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3=2-1</w:t>
            </w:r>
          </w:p>
        </w:tc>
      </w:tr>
      <w:tr w:rsidR="00D470B6" w:rsidRPr="00A53AD7" w14:paraId="077BB566" w14:textId="77777777" w:rsidTr="009A3CBB">
        <w:trPr>
          <w:trHeight w:val="240"/>
        </w:trPr>
        <w:tc>
          <w:tcPr>
            <w:tcW w:w="9356" w:type="dxa"/>
            <w:gridSpan w:val="4"/>
            <w:tcBorders>
              <w:top w:val="single" w:sz="4" w:space="0" w:color="auto"/>
              <w:left w:val="double" w:sz="4" w:space="0" w:color="auto"/>
              <w:bottom w:val="single" w:sz="4" w:space="0" w:color="auto"/>
              <w:right w:val="double" w:sz="4" w:space="0" w:color="auto"/>
            </w:tcBorders>
            <w:shd w:val="clear" w:color="auto" w:fill="auto"/>
            <w:vAlign w:val="bottom"/>
            <w:hideMark/>
          </w:tcPr>
          <w:p w14:paraId="4FDDB529" w14:textId="77777777" w:rsidR="00043868" w:rsidRPr="00A53AD7" w:rsidRDefault="00043868" w:rsidP="00043868">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Подпрограмма № 1 «Государственная поддержка социально ориентированных некоммерческих организаций»</w:t>
            </w:r>
          </w:p>
        </w:tc>
      </w:tr>
      <w:tr w:rsidR="00D470B6" w:rsidRPr="00A53AD7" w14:paraId="326274F7"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2FEAB2D1"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68" w:type="dxa"/>
            <w:tcBorders>
              <w:top w:val="nil"/>
              <w:left w:val="nil"/>
              <w:bottom w:val="single" w:sz="4" w:space="0" w:color="auto"/>
              <w:right w:val="single" w:sz="4" w:space="0" w:color="auto"/>
            </w:tcBorders>
            <w:shd w:val="clear" w:color="auto" w:fill="auto"/>
            <w:vAlign w:val="bottom"/>
            <w:hideMark/>
          </w:tcPr>
          <w:p w14:paraId="59DACE92"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21,9</w:t>
            </w:r>
          </w:p>
        </w:tc>
        <w:tc>
          <w:tcPr>
            <w:tcW w:w="2126" w:type="dxa"/>
            <w:tcBorders>
              <w:top w:val="nil"/>
              <w:left w:val="nil"/>
              <w:bottom w:val="single" w:sz="4" w:space="0" w:color="auto"/>
              <w:right w:val="single" w:sz="4" w:space="0" w:color="auto"/>
            </w:tcBorders>
            <w:shd w:val="clear" w:color="auto" w:fill="auto"/>
            <w:vAlign w:val="bottom"/>
            <w:hideMark/>
          </w:tcPr>
          <w:p w14:paraId="3A339E4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22,4</w:t>
            </w:r>
          </w:p>
        </w:tc>
        <w:tc>
          <w:tcPr>
            <w:tcW w:w="1701" w:type="dxa"/>
            <w:tcBorders>
              <w:top w:val="nil"/>
              <w:left w:val="nil"/>
              <w:bottom w:val="single" w:sz="4" w:space="0" w:color="auto"/>
              <w:right w:val="double" w:sz="4" w:space="0" w:color="auto"/>
            </w:tcBorders>
            <w:shd w:val="clear" w:color="auto" w:fill="auto"/>
            <w:vAlign w:val="bottom"/>
            <w:hideMark/>
          </w:tcPr>
          <w:p w14:paraId="694C6242"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0,5</w:t>
            </w:r>
          </w:p>
        </w:tc>
      </w:tr>
      <w:tr w:rsidR="00D470B6" w:rsidRPr="00A53AD7" w14:paraId="7F566818"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062DEC4B"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ОБ </w:t>
            </w:r>
          </w:p>
        </w:tc>
        <w:tc>
          <w:tcPr>
            <w:tcW w:w="2268" w:type="dxa"/>
            <w:tcBorders>
              <w:top w:val="nil"/>
              <w:left w:val="nil"/>
              <w:bottom w:val="single" w:sz="4" w:space="0" w:color="auto"/>
              <w:right w:val="single" w:sz="4" w:space="0" w:color="auto"/>
            </w:tcBorders>
            <w:shd w:val="clear" w:color="auto" w:fill="auto"/>
            <w:vAlign w:val="bottom"/>
            <w:hideMark/>
          </w:tcPr>
          <w:p w14:paraId="2ACEB471"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20,0</w:t>
            </w:r>
          </w:p>
        </w:tc>
        <w:tc>
          <w:tcPr>
            <w:tcW w:w="2126" w:type="dxa"/>
            <w:tcBorders>
              <w:top w:val="nil"/>
              <w:left w:val="nil"/>
              <w:bottom w:val="single" w:sz="4" w:space="0" w:color="auto"/>
              <w:right w:val="single" w:sz="4" w:space="0" w:color="auto"/>
            </w:tcBorders>
            <w:shd w:val="clear" w:color="auto" w:fill="auto"/>
            <w:vAlign w:val="bottom"/>
            <w:hideMark/>
          </w:tcPr>
          <w:p w14:paraId="56ED198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20,5</w:t>
            </w:r>
          </w:p>
        </w:tc>
        <w:tc>
          <w:tcPr>
            <w:tcW w:w="1701" w:type="dxa"/>
            <w:tcBorders>
              <w:top w:val="nil"/>
              <w:left w:val="nil"/>
              <w:bottom w:val="single" w:sz="4" w:space="0" w:color="auto"/>
              <w:right w:val="double" w:sz="4" w:space="0" w:color="auto"/>
            </w:tcBorders>
            <w:shd w:val="clear" w:color="auto" w:fill="auto"/>
            <w:vAlign w:val="bottom"/>
            <w:hideMark/>
          </w:tcPr>
          <w:p w14:paraId="60FA59D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0,5</w:t>
            </w:r>
          </w:p>
        </w:tc>
      </w:tr>
      <w:tr w:rsidR="00D470B6" w:rsidRPr="00A53AD7" w14:paraId="030B926F"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30E467BE"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МБ</w:t>
            </w:r>
          </w:p>
        </w:tc>
        <w:tc>
          <w:tcPr>
            <w:tcW w:w="2268" w:type="dxa"/>
            <w:tcBorders>
              <w:top w:val="nil"/>
              <w:left w:val="nil"/>
              <w:bottom w:val="single" w:sz="4" w:space="0" w:color="auto"/>
              <w:right w:val="single" w:sz="4" w:space="0" w:color="auto"/>
            </w:tcBorders>
            <w:shd w:val="clear" w:color="auto" w:fill="auto"/>
            <w:vAlign w:val="bottom"/>
            <w:hideMark/>
          </w:tcPr>
          <w:p w14:paraId="456CA3C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w:t>
            </w:r>
          </w:p>
        </w:tc>
        <w:tc>
          <w:tcPr>
            <w:tcW w:w="2126" w:type="dxa"/>
            <w:tcBorders>
              <w:top w:val="nil"/>
              <w:left w:val="nil"/>
              <w:bottom w:val="single" w:sz="4" w:space="0" w:color="auto"/>
              <w:right w:val="nil"/>
            </w:tcBorders>
            <w:shd w:val="clear" w:color="auto" w:fill="auto"/>
            <w:vAlign w:val="bottom"/>
            <w:hideMark/>
          </w:tcPr>
          <w:p w14:paraId="73D445F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w:t>
            </w:r>
          </w:p>
        </w:tc>
        <w:tc>
          <w:tcPr>
            <w:tcW w:w="1701" w:type="dxa"/>
            <w:tcBorders>
              <w:top w:val="nil"/>
              <w:left w:val="single" w:sz="4" w:space="0" w:color="auto"/>
              <w:bottom w:val="single" w:sz="4" w:space="0" w:color="auto"/>
              <w:right w:val="double" w:sz="4" w:space="0" w:color="auto"/>
            </w:tcBorders>
            <w:shd w:val="clear" w:color="auto" w:fill="auto"/>
            <w:vAlign w:val="bottom"/>
            <w:hideMark/>
          </w:tcPr>
          <w:p w14:paraId="318CD672"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2AEF7D0E" w14:textId="77777777" w:rsidTr="009A3CBB">
        <w:trPr>
          <w:trHeight w:val="259"/>
        </w:trPr>
        <w:tc>
          <w:tcPr>
            <w:tcW w:w="9356" w:type="dxa"/>
            <w:gridSpan w:val="4"/>
            <w:tcBorders>
              <w:top w:val="single" w:sz="4" w:space="0" w:color="auto"/>
              <w:left w:val="double" w:sz="4" w:space="0" w:color="auto"/>
              <w:bottom w:val="single" w:sz="4" w:space="0" w:color="auto"/>
              <w:right w:val="double" w:sz="4" w:space="0" w:color="auto"/>
            </w:tcBorders>
            <w:shd w:val="clear" w:color="auto" w:fill="auto"/>
            <w:hideMark/>
          </w:tcPr>
          <w:p w14:paraId="6DFD5695"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bCs/>
                <w:sz w:val="20"/>
                <w:szCs w:val="20"/>
                <w:lang w:eastAsia="ru-RU"/>
              </w:rPr>
              <w:t xml:space="preserve">Подпрограмма № 2 </w:t>
            </w:r>
            <w:r w:rsidRPr="00A53AD7">
              <w:rPr>
                <w:rFonts w:ascii="Times New Roman" w:eastAsia="Times New Roman" w:hAnsi="Times New Roman"/>
                <w:sz w:val="20"/>
                <w:szCs w:val="20"/>
                <w:lang w:eastAsia="ru-RU"/>
              </w:rPr>
              <w:t>«Развитие территориального общественного самоуправления в АО»</w:t>
            </w:r>
          </w:p>
        </w:tc>
      </w:tr>
      <w:tr w:rsidR="00D470B6" w:rsidRPr="00A53AD7" w14:paraId="38D5C66C"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409D5448"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68" w:type="dxa"/>
            <w:tcBorders>
              <w:top w:val="nil"/>
              <w:left w:val="nil"/>
              <w:bottom w:val="single" w:sz="4" w:space="0" w:color="auto"/>
              <w:right w:val="single" w:sz="4" w:space="0" w:color="auto"/>
            </w:tcBorders>
            <w:shd w:val="clear" w:color="auto" w:fill="auto"/>
            <w:vAlign w:val="bottom"/>
            <w:hideMark/>
          </w:tcPr>
          <w:p w14:paraId="6EB731F5"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24,0</w:t>
            </w:r>
          </w:p>
        </w:tc>
        <w:tc>
          <w:tcPr>
            <w:tcW w:w="2126" w:type="dxa"/>
            <w:tcBorders>
              <w:top w:val="nil"/>
              <w:left w:val="nil"/>
              <w:bottom w:val="single" w:sz="4" w:space="0" w:color="auto"/>
              <w:right w:val="single" w:sz="4" w:space="0" w:color="auto"/>
            </w:tcBorders>
            <w:shd w:val="clear" w:color="auto" w:fill="auto"/>
            <w:vAlign w:val="bottom"/>
            <w:hideMark/>
          </w:tcPr>
          <w:p w14:paraId="0504821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30,1</w:t>
            </w:r>
          </w:p>
        </w:tc>
        <w:tc>
          <w:tcPr>
            <w:tcW w:w="1701" w:type="dxa"/>
            <w:tcBorders>
              <w:top w:val="nil"/>
              <w:left w:val="nil"/>
              <w:bottom w:val="single" w:sz="4" w:space="0" w:color="auto"/>
              <w:right w:val="double" w:sz="4" w:space="0" w:color="auto"/>
            </w:tcBorders>
            <w:shd w:val="clear" w:color="auto" w:fill="auto"/>
            <w:vAlign w:val="bottom"/>
            <w:hideMark/>
          </w:tcPr>
          <w:p w14:paraId="19003AA0"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w:t>
            </w:r>
          </w:p>
        </w:tc>
      </w:tr>
      <w:tr w:rsidR="00D470B6" w:rsidRPr="00A53AD7" w14:paraId="04FC16F0"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7C29DCD8"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ОБ </w:t>
            </w:r>
          </w:p>
        </w:tc>
        <w:tc>
          <w:tcPr>
            <w:tcW w:w="2268" w:type="dxa"/>
            <w:tcBorders>
              <w:top w:val="nil"/>
              <w:left w:val="nil"/>
              <w:bottom w:val="single" w:sz="4" w:space="0" w:color="auto"/>
              <w:right w:val="single" w:sz="4" w:space="0" w:color="auto"/>
            </w:tcBorders>
            <w:shd w:val="clear" w:color="auto" w:fill="auto"/>
            <w:vAlign w:val="bottom"/>
            <w:hideMark/>
          </w:tcPr>
          <w:p w14:paraId="6D0A52D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18,5</w:t>
            </w:r>
          </w:p>
        </w:tc>
        <w:tc>
          <w:tcPr>
            <w:tcW w:w="2126" w:type="dxa"/>
            <w:tcBorders>
              <w:top w:val="nil"/>
              <w:left w:val="nil"/>
              <w:bottom w:val="single" w:sz="4" w:space="0" w:color="auto"/>
              <w:right w:val="nil"/>
            </w:tcBorders>
            <w:shd w:val="clear" w:color="auto" w:fill="auto"/>
            <w:vAlign w:val="bottom"/>
            <w:hideMark/>
          </w:tcPr>
          <w:p w14:paraId="4018CC0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23,0</w:t>
            </w:r>
          </w:p>
        </w:tc>
        <w:tc>
          <w:tcPr>
            <w:tcW w:w="1701" w:type="dxa"/>
            <w:tcBorders>
              <w:top w:val="nil"/>
              <w:left w:val="single" w:sz="4" w:space="0" w:color="auto"/>
              <w:bottom w:val="single" w:sz="4" w:space="0" w:color="auto"/>
              <w:right w:val="double" w:sz="4" w:space="0" w:color="auto"/>
            </w:tcBorders>
            <w:shd w:val="clear" w:color="auto" w:fill="auto"/>
            <w:vAlign w:val="bottom"/>
            <w:hideMark/>
          </w:tcPr>
          <w:p w14:paraId="12594015"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w:t>
            </w:r>
          </w:p>
        </w:tc>
      </w:tr>
      <w:tr w:rsidR="00D470B6" w:rsidRPr="00A53AD7" w14:paraId="54F372DD"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5608963B"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МБ</w:t>
            </w:r>
          </w:p>
        </w:tc>
        <w:tc>
          <w:tcPr>
            <w:tcW w:w="2268" w:type="dxa"/>
            <w:tcBorders>
              <w:top w:val="nil"/>
              <w:left w:val="nil"/>
              <w:bottom w:val="single" w:sz="4" w:space="0" w:color="auto"/>
              <w:right w:val="single" w:sz="4" w:space="0" w:color="auto"/>
            </w:tcBorders>
            <w:shd w:val="clear" w:color="auto" w:fill="auto"/>
            <w:vAlign w:val="bottom"/>
            <w:hideMark/>
          </w:tcPr>
          <w:p w14:paraId="2278333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5,6</w:t>
            </w:r>
          </w:p>
        </w:tc>
        <w:tc>
          <w:tcPr>
            <w:tcW w:w="2126" w:type="dxa"/>
            <w:tcBorders>
              <w:top w:val="nil"/>
              <w:left w:val="nil"/>
              <w:bottom w:val="single" w:sz="4" w:space="0" w:color="auto"/>
              <w:right w:val="nil"/>
            </w:tcBorders>
            <w:shd w:val="clear" w:color="auto" w:fill="auto"/>
            <w:vAlign w:val="bottom"/>
            <w:hideMark/>
          </w:tcPr>
          <w:p w14:paraId="7852BB3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w:t>
            </w:r>
          </w:p>
        </w:tc>
        <w:tc>
          <w:tcPr>
            <w:tcW w:w="1701" w:type="dxa"/>
            <w:tcBorders>
              <w:top w:val="nil"/>
              <w:left w:val="single" w:sz="4" w:space="0" w:color="auto"/>
              <w:bottom w:val="single" w:sz="4" w:space="0" w:color="auto"/>
              <w:right w:val="double" w:sz="4" w:space="0" w:color="auto"/>
            </w:tcBorders>
            <w:shd w:val="clear" w:color="auto" w:fill="auto"/>
            <w:vAlign w:val="bottom"/>
            <w:hideMark/>
          </w:tcPr>
          <w:p w14:paraId="18E6450B"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w:t>
            </w:r>
          </w:p>
        </w:tc>
      </w:tr>
      <w:tr w:rsidR="00D470B6" w:rsidRPr="00A53AD7" w14:paraId="4AA3CEA2" w14:textId="77777777" w:rsidTr="009A3CBB">
        <w:trPr>
          <w:trHeight w:val="249"/>
        </w:trPr>
        <w:tc>
          <w:tcPr>
            <w:tcW w:w="9356" w:type="dxa"/>
            <w:gridSpan w:val="4"/>
            <w:tcBorders>
              <w:top w:val="single" w:sz="4" w:space="0" w:color="auto"/>
              <w:left w:val="double" w:sz="4" w:space="0" w:color="auto"/>
              <w:bottom w:val="single" w:sz="4" w:space="0" w:color="auto"/>
              <w:right w:val="double" w:sz="4" w:space="0" w:color="auto"/>
            </w:tcBorders>
            <w:shd w:val="clear" w:color="auto" w:fill="auto"/>
            <w:vAlign w:val="bottom"/>
            <w:hideMark/>
          </w:tcPr>
          <w:p w14:paraId="1A8A672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Подпрограмма № 3 «Обеспечение реализации государственной программы»</w:t>
            </w:r>
          </w:p>
        </w:tc>
      </w:tr>
      <w:tr w:rsidR="00D470B6" w:rsidRPr="00A53AD7" w14:paraId="641EE7B8"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093AEEAD"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68" w:type="dxa"/>
            <w:tcBorders>
              <w:top w:val="nil"/>
              <w:left w:val="nil"/>
              <w:bottom w:val="single" w:sz="4" w:space="0" w:color="auto"/>
              <w:right w:val="single" w:sz="4" w:space="0" w:color="auto"/>
            </w:tcBorders>
            <w:shd w:val="clear" w:color="auto" w:fill="auto"/>
            <w:vAlign w:val="bottom"/>
            <w:hideMark/>
          </w:tcPr>
          <w:p w14:paraId="34E323D0"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17,4</w:t>
            </w:r>
          </w:p>
        </w:tc>
        <w:tc>
          <w:tcPr>
            <w:tcW w:w="2126" w:type="dxa"/>
            <w:tcBorders>
              <w:top w:val="nil"/>
              <w:left w:val="nil"/>
              <w:bottom w:val="single" w:sz="4" w:space="0" w:color="auto"/>
              <w:right w:val="single" w:sz="4" w:space="0" w:color="auto"/>
            </w:tcBorders>
            <w:shd w:val="clear" w:color="auto" w:fill="auto"/>
            <w:vAlign w:val="bottom"/>
            <w:hideMark/>
          </w:tcPr>
          <w:p w14:paraId="08E1A88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17,4</w:t>
            </w:r>
          </w:p>
        </w:tc>
        <w:tc>
          <w:tcPr>
            <w:tcW w:w="1701" w:type="dxa"/>
            <w:tcBorders>
              <w:top w:val="nil"/>
              <w:left w:val="nil"/>
              <w:bottom w:val="single" w:sz="4" w:space="0" w:color="auto"/>
              <w:right w:val="double" w:sz="4" w:space="0" w:color="auto"/>
            </w:tcBorders>
            <w:shd w:val="clear" w:color="auto" w:fill="auto"/>
            <w:vAlign w:val="bottom"/>
            <w:hideMark/>
          </w:tcPr>
          <w:p w14:paraId="540BCF5C"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3CDE6A3C"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10AC5BE2"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ОБ </w:t>
            </w:r>
          </w:p>
        </w:tc>
        <w:tc>
          <w:tcPr>
            <w:tcW w:w="2268" w:type="dxa"/>
            <w:tcBorders>
              <w:top w:val="nil"/>
              <w:left w:val="nil"/>
              <w:bottom w:val="single" w:sz="4" w:space="0" w:color="auto"/>
              <w:right w:val="single" w:sz="4" w:space="0" w:color="auto"/>
            </w:tcBorders>
            <w:shd w:val="clear" w:color="auto" w:fill="auto"/>
            <w:vAlign w:val="bottom"/>
            <w:hideMark/>
          </w:tcPr>
          <w:p w14:paraId="3F4D9F01"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17,4</w:t>
            </w:r>
          </w:p>
        </w:tc>
        <w:tc>
          <w:tcPr>
            <w:tcW w:w="2126" w:type="dxa"/>
            <w:tcBorders>
              <w:top w:val="nil"/>
              <w:left w:val="nil"/>
              <w:bottom w:val="single" w:sz="4" w:space="0" w:color="auto"/>
              <w:right w:val="single" w:sz="4" w:space="0" w:color="auto"/>
            </w:tcBorders>
            <w:shd w:val="clear" w:color="auto" w:fill="auto"/>
            <w:vAlign w:val="bottom"/>
            <w:hideMark/>
          </w:tcPr>
          <w:p w14:paraId="1FD9C228"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17,4</w:t>
            </w:r>
          </w:p>
        </w:tc>
        <w:tc>
          <w:tcPr>
            <w:tcW w:w="1701" w:type="dxa"/>
            <w:tcBorders>
              <w:top w:val="nil"/>
              <w:left w:val="nil"/>
              <w:bottom w:val="single" w:sz="4" w:space="0" w:color="auto"/>
              <w:right w:val="double" w:sz="4" w:space="0" w:color="auto"/>
            </w:tcBorders>
            <w:shd w:val="clear" w:color="auto" w:fill="auto"/>
            <w:vAlign w:val="bottom"/>
            <w:hideMark/>
          </w:tcPr>
          <w:p w14:paraId="7FFA355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425DB0DB" w14:textId="77777777" w:rsidTr="009A3CBB">
        <w:trPr>
          <w:trHeight w:val="488"/>
        </w:trPr>
        <w:tc>
          <w:tcPr>
            <w:tcW w:w="9356" w:type="dxa"/>
            <w:gridSpan w:val="4"/>
            <w:tcBorders>
              <w:top w:val="single" w:sz="4" w:space="0" w:color="auto"/>
              <w:left w:val="double" w:sz="4" w:space="0" w:color="auto"/>
              <w:bottom w:val="single" w:sz="4" w:space="0" w:color="auto"/>
              <w:right w:val="double" w:sz="4" w:space="0" w:color="auto"/>
            </w:tcBorders>
            <w:shd w:val="clear" w:color="auto" w:fill="auto"/>
            <w:hideMark/>
          </w:tcPr>
          <w:p w14:paraId="3B9E48D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bCs/>
                <w:sz w:val="20"/>
                <w:szCs w:val="20"/>
                <w:lang w:eastAsia="ru-RU"/>
              </w:rPr>
              <w:t>Подпрограмма № 4</w:t>
            </w:r>
            <w:r w:rsidRPr="00A53AD7">
              <w:rPr>
                <w:rFonts w:ascii="Times New Roman" w:eastAsia="Times New Roman" w:hAnsi="Times New Roman"/>
                <w:b/>
                <w:bCs/>
                <w:sz w:val="20"/>
                <w:szCs w:val="20"/>
                <w:lang w:eastAsia="ru-RU"/>
              </w:rPr>
              <w:t xml:space="preserve"> </w:t>
            </w:r>
            <w:r w:rsidRPr="00A53AD7">
              <w:rPr>
                <w:rFonts w:ascii="Times New Roman" w:eastAsia="Times New Roman" w:hAnsi="Times New Roman"/>
                <w:sz w:val="20"/>
                <w:szCs w:val="20"/>
                <w:lang w:eastAsia="ru-RU"/>
              </w:rPr>
              <w:t>«Укрепление единства российской нации и этнокультурное развитие народов России, проживающих на территории Архангельской области»</w:t>
            </w:r>
          </w:p>
        </w:tc>
      </w:tr>
      <w:tr w:rsidR="00D470B6" w:rsidRPr="00A53AD7" w14:paraId="6AA51690"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1F569D59"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68" w:type="dxa"/>
            <w:tcBorders>
              <w:top w:val="nil"/>
              <w:left w:val="nil"/>
              <w:bottom w:val="single" w:sz="4" w:space="0" w:color="auto"/>
              <w:right w:val="single" w:sz="4" w:space="0" w:color="auto"/>
            </w:tcBorders>
            <w:shd w:val="clear" w:color="auto" w:fill="auto"/>
            <w:vAlign w:val="bottom"/>
            <w:hideMark/>
          </w:tcPr>
          <w:p w14:paraId="58DF265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w:t>
            </w:r>
          </w:p>
        </w:tc>
        <w:tc>
          <w:tcPr>
            <w:tcW w:w="2126" w:type="dxa"/>
            <w:tcBorders>
              <w:top w:val="nil"/>
              <w:left w:val="nil"/>
              <w:bottom w:val="single" w:sz="4" w:space="0" w:color="auto"/>
              <w:right w:val="single" w:sz="4" w:space="0" w:color="auto"/>
            </w:tcBorders>
            <w:shd w:val="clear" w:color="auto" w:fill="auto"/>
            <w:vAlign w:val="bottom"/>
            <w:hideMark/>
          </w:tcPr>
          <w:p w14:paraId="03CF9F1F"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w:t>
            </w:r>
          </w:p>
        </w:tc>
        <w:tc>
          <w:tcPr>
            <w:tcW w:w="1701" w:type="dxa"/>
            <w:tcBorders>
              <w:top w:val="nil"/>
              <w:left w:val="nil"/>
              <w:bottom w:val="single" w:sz="4" w:space="0" w:color="auto"/>
              <w:right w:val="double" w:sz="4" w:space="0" w:color="auto"/>
            </w:tcBorders>
            <w:shd w:val="clear" w:color="auto" w:fill="auto"/>
            <w:vAlign w:val="bottom"/>
            <w:hideMark/>
          </w:tcPr>
          <w:p w14:paraId="4F1819D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7BE189D6"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5A5F8600"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в том числе: ФБ </w:t>
            </w:r>
          </w:p>
        </w:tc>
        <w:tc>
          <w:tcPr>
            <w:tcW w:w="2268" w:type="dxa"/>
            <w:tcBorders>
              <w:top w:val="nil"/>
              <w:left w:val="nil"/>
              <w:bottom w:val="single" w:sz="4" w:space="0" w:color="auto"/>
              <w:right w:val="single" w:sz="4" w:space="0" w:color="auto"/>
            </w:tcBorders>
            <w:shd w:val="clear" w:color="auto" w:fill="auto"/>
            <w:vAlign w:val="bottom"/>
            <w:hideMark/>
          </w:tcPr>
          <w:p w14:paraId="1DA4993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vAlign w:val="bottom"/>
            <w:hideMark/>
          </w:tcPr>
          <w:p w14:paraId="4E96F6C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w:t>
            </w:r>
          </w:p>
        </w:tc>
        <w:tc>
          <w:tcPr>
            <w:tcW w:w="1701" w:type="dxa"/>
            <w:tcBorders>
              <w:top w:val="nil"/>
              <w:left w:val="nil"/>
              <w:bottom w:val="single" w:sz="4" w:space="0" w:color="auto"/>
              <w:right w:val="double" w:sz="4" w:space="0" w:color="auto"/>
            </w:tcBorders>
            <w:shd w:val="clear" w:color="auto" w:fill="auto"/>
            <w:vAlign w:val="bottom"/>
            <w:hideMark/>
          </w:tcPr>
          <w:p w14:paraId="1085E652"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3F5D2BF0"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1671E3D6"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w:t>
            </w:r>
          </w:p>
        </w:tc>
        <w:tc>
          <w:tcPr>
            <w:tcW w:w="2268" w:type="dxa"/>
            <w:tcBorders>
              <w:top w:val="nil"/>
              <w:left w:val="nil"/>
              <w:bottom w:val="single" w:sz="4" w:space="0" w:color="auto"/>
              <w:right w:val="single" w:sz="4" w:space="0" w:color="auto"/>
            </w:tcBorders>
            <w:shd w:val="clear" w:color="auto" w:fill="auto"/>
            <w:vAlign w:val="bottom"/>
            <w:hideMark/>
          </w:tcPr>
          <w:p w14:paraId="2A3E3D6B"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w:t>
            </w:r>
          </w:p>
        </w:tc>
        <w:tc>
          <w:tcPr>
            <w:tcW w:w="2126" w:type="dxa"/>
            <w:tcBorders>
              <w:top w:val="nil"/>
              <w:left w:val="nil"/>
              <w:bottom w:val="single" w:sz="4" w:space="0" w:color="auto"/>
              <w:right w:val="single" w:sz="4" w:space="0" w:color="auto"/>
            </w:tcBorders>
            <w:shd w:val="clear" w:color="auto" w:fill="auto"/>
            <w:vAlign w:val="bottom"/>
            <w:hideMark/>
          </w:tcPr>
          <w:p w14:paraId="30C6FFF3"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w:t>
            </w:r>
          </w:p>
        </w:tc>
        <w:tc>
          <w:tcPr>
            <w:tcW w:w="1701" w:type="dxa"/>
            <w:tcBorders>
              <w:top w:val="nil"/>
              <w:left w:val="nil"/>
              <w:bottom w:val="single" w:sz="4" w:space="0" w:color="auto"/>
              <w:right w:val="double" w:sz="4" w:space="0" w:color="auto"/>
            </w:tcBorders>
            <w:shd w:val="clear" w:color="auto" w:fill="auto"/>
            <w:vAlign w:val="bottom"/>
            <w:hideMark/>
          </w:tcPr>
          <w:p w14:paraId="5D55CB17"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59A7035A" w14:textId="77777777" w:rsidTr="009A3CBB">
        <w:trPr>
          <w:trHeight w:val="398"/>
        </w:trPr>
        <w:tc>
          <w:tcPr>
            <w:tcW w:w="9356" w:type="dxa"/>
            <w:gridSpan w:val="4"/>
            <w:tcBorders>
              <w:top w:val="single" w:sz="4" w:space="0" w:color="auto"/>
              <w:left w:val="double" w:sz="4" w:space="0" w:color="auto"/>
              <w:bottom w:val="single" w:sz="4" w:space="0" w:color="auto"/>
              <w:right w:val="double" w:sz="4" w:space="0" w:color="auto"/>
            </w:tcBorders>
            <w:shd w:val="clear" w:color="auto" w:fill="auto"/>
            <w:hideMark/>
          </w:tcPr>
          <w:p w14:paraId="746B7651" w14:textId="77777777" w:rsidR="00043868" w:rsidRPr="00A53AD7" w:rsidRDefault="00043868" w:rsidP="00043868">
            <w:pPr>
              <w:spacing w:after="0" w:line="240" w:lineRule="auto"/>
              <w:jc w:val="center"/>
              <w:rPr>
                <w:rFonts w:ascii="Times New Roman" w:eastAsia="Times New Roman" w:hAnsi="Times New Roman"/>
                <w:bCs/>
                <w:sz w:val="20"/>
                <w:szCs w:val="20"/>
                <w:lang w:eastAsia="ru-RU"/>
              </w:rPr>
            </w:pPr>
            <w:r w:rsidRPr="00A53AD7">
              <w:rPr>
                <w:rFonts w:ascii="Times New Roman" w:eastAsia="Times New Roman" w:hAnsi="Times New Roman"/>
                <w:bCs/>
                <w:sz w:val="20"/>
                <w:szCs w:val="20"/>
                <w:lang w:eastAsia="ru-RU"/>
              </w:rPr>
              <w:t>Подпрограмма № 5 «Адресная поддержка муниципального образования "Ленский муниципальный район" Архангельской области"</w:t>
            </w:r>
          </w:p>
        </w:tc>
      </w:tr>
      <w:tr w:rsidR="00D470B6" w:rsidRPr="00A53AD7" w14:paraId="6997386C"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77386C55"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2268" w:type="dxa"/>
            <w:tcBorders>
              <w:top w:val="nil"/>
              <w:left w:val="nil"/>
              <w:bottom w:val="single" w:sz="4" w:space="0" w:color="auto"/>
              <w:right w:val="single" w:sz="4" w:space="0" w:color="auto"/>
            </w:tcBorders>
            <w:shd w:val="clear" w:color="auto" w:fill="auto"/>
            <w:vAlign w:val="bottom"/>
            <w:hideMark/>
          </w:tcPr>
          <w:p w14:paraId="4AA0F483"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c>
          <w:tcPr>
            <w:tcW w:w="2126" w:type="dxa"/>
            <w:tcBorders>
              <w:top w:val="nil"/>
              <w:left w:val="nil"/>
              <w:bottom w:val="single" w:sz="4" w:space="0" w:color="auto"/>
              <w:right w:val="single" w:sz="4" w:space="0" w:color="auto"/>
            </w:tcBorders>
            <w:shd w:val="clear" w:color="auto" w:fill="auto"/>
            <w:vAlign w:val="bottom"/>
            <w:hideMark/>
          </w:tcPr>
          <w:p w14:paraId="1BD11458"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196,3</w:t>
            </w:r>
          </w:p>
        </w:tc>
        <w:tc>
          <w:tcPr>
            <w:tcW w:w="1701" w:type="dxa"/>
            <w:tcBorders>
              <w:top w:val="nil"/>
              <w:left w:val="nil"/>
              <w:bottom w:val="single" w:sz="4" w:space="0" w:color="auto"/>
              <w:right w:val="double" w:sz="4" w:space="0" w:color="auto"/>
            </w:tcBorders>
            <w:shd w:val="clear" w:color="auto" w:fill="auto"/>
            <w:vAlign w:val="bottom"/>
            <w:hideMark/>
          </w:tcPr>
          <w:p w14:paraId="3F0623C6"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196,3</w:t>
            </w:r>
          </w:p>
        </w:tc>
      </w:tr>
      <w:tr w:rsidR="00D470B6" w:rsidRPr="00A53AD7" w14:paraId="1ABABAD0"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695C6ABD"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 том числе: бюджет Москвы</w:t>
            </w:r>
          </w:p>
        </w:tc>
        <w:tc>
          <w:tcPr>
            <w:tcW w:w="2268" w:type="dxa"/>
            <w:tcBorders>
              <w:top w:val="nil"/>
              <w:left w:val="nil"/>
              <w:bottom w:val="single" w:sz="4" w:space="0" w:color="auto"/>
              <w:right w:val="single" w:sz="4" w:space="0" w:color="auto"/>
            </w:tcBorders>
            <w:shd w:val="clear" w:color="auto" w:fill="auto"/>
            <w:vAlign w:val="bottom"/>
            <w:hideMark/>
          </w:tcPr>
          <w:p w14:paraId="1977B6E5"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c>
          <w:tcPr>
            <w:tcW w:w="2126" w:type="dxa"/>
            <w:tcBorders>
              <w:top w:val="nil"/>
              <w:left w:val="nil"/>
              <w:bottom w:val="single" w:sz="4" w:space="0" w:color="auto"/>
              <w:right w:val="single" w:sz="4" w:space="0" w:color="auto"/>
            </w:tcBorders>
            <w:shd w:val="clear" w:color="auto" w:fill="auto"/>
            <w:vAlign w:val="bottom"/>
            <w:hideMark/>
          </w:tcPr>
          <w:p w14:paraId="20B027B1"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196,3</w:t>
            </w:r>
          </w:p>
        </w:tc>
        <w:tc>
          <w:tcPr>
            <w:tcW w:w="1701" w:type="dxa"/>
            <w:tcBorders>
              <w:top w:val="nil"/>
              <w:left w:val="nil"/>
              <w:bottom w:val="single" w:sz="4" w:space="0" w:color="auto"/>
              <w:right w:val="double" w:sz="4" w:space="0" w:color="auto"/>
            </w:tcBorders>
            <w:shd w:val="clear" w:color="auto" w:fill="auto"/>
            <w:vAlign w:val="bottom"/>
            <w:hideMark/>
          </w:tcPr>
          <w:p w14:paraId="20EF6321"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196,3</w:t>
            </w:r>
          </w:p>
        </w:tc>
      </w:tr>
      <w:tr w:rsidR="00D470B6" w:rsidRPr="00A53AD7" w14:paraId="40B00C48"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089D7E87"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МБ</w:t>
            </w:r>
          </w:p>
        </w:tc>
        <w:tc>
          <w:tcPr>
            <w:tcW w:w="2268" w:type="dxa"/>
            <w:tcBorders>
              <w:top w:val="nil"/>
              <w:left w:val="nil"/>
              <w:bottom w:val="single" w:sz="4" w:space="0" w:color="auto"/>
              <w:right w:val="single" w:sz="4" w:space="0" w:color="auto"/>
            </w:tcBorders>
            <w:shd w:val="clear" w:color="auto" w:fill="auto"/>
            <w:vAlign w:val="bottom"/>
            <w:hideMark/>
          </w:tcPr>
          <w:p w14:paraId="1D0BC707"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c>
          <w:tcPr>
            <w:tcW w:w="2126" w:type="dxa"/>
            <w:tcBorders>
              <w:top w:val="nil"/>
              <w:left w:val="nil"/>
              <w:bottom w:val="single" w:sz="4" w:space="0" w:color="auto"/>
              <w:right w:val="single" w:sz="4" w:space="0" w:color="auto"/>
            </w:tcBorders>
            <w:shd w:val="clear" w:color="auto" w:fill="auto"/>
            <w:vAlign w:val="bottom"/>
            <w:hideMark/>
          </w:tcPr>
          <w:p w14:paraId="67DF240B"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0,03</w:t>
            </w:r>
          </w:p>
        </w:tc>
        <w:tc>
          <w:tcPr>
            <w:tcW w:w="1701" w:type="dxa"/>
            <w:tcBorders>
              <w:top w:val="nil"/>
              <w:left w:val="nil"/>
              <w:bottom w:val="single" w:sz="4" w:space="0" w:color="auto"/>
              <w:right w:val="double" w:sz="4" w:space="0" w:color="auto"/>
            </w:tcBorders>
            <w:shd w:val="clear" w:color="auto" w:fill="auto"/>
            <w:vAlign w:val="bottom"/>
            <w:hideMark/>
          </w:tcPr>
          <w:p w14:paraId="7676A54A"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0,03</w:t>
            </w:r>
          </w:p>
        </w:tc>
      </w:tr>
      <w:tr w:rsidR="00D470B6" w:rsidRPr="00A53AD7" w14:paraId="78371380"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3CD3FE7F" w14:textId="77777777" w:rsidR="00043868" w:rsidRPr="00A53AD7" w:rsidRDefault="00043868" w:rsidP="00043868">
            <w:pPr>
              <w:spacing w:after="0" w:line="240" w:lineRule="auto"/>
              <w:rPr>
                <w:rFonts w:ascii="Times New Roman" w:eastAsia="Times New Roman" w:hAnsi="Times New Roman"/>
                <w:bCs/>
                <w:i/>
                <w:iCs/>
                <w:sz w:val="20"/>
                <w:szCs w:val="20"/>
                <w:lang w:eastAsia="ru-RU"/>
              </w:rPr>
            </w:pPr>
            <w:r w:rsidRPr="00A53AD7">
              <w:rPr>
                <w:rFonts w:ascii="Times New Roman" w:eastAsia="Times New Roman" w:hAnsi="Times New Roman"/>
                <w:bCs/>
                <w:i/>
                <w:iCs/>
                <w:sz w:val="20"/>
                <w:szCs w:val="20"/>
                <w:lang w:eastAsia="ru-RU"/>
              </w:rPr>
              <w:t>Всего по ГП:</w:t>
            </w:r>
          </w:p>
        </w:tc>
        <w:tc>
          <w:tcPr>
            <w:tcW w:w="2268" w:type="dxa"/>
            <w:tcBorders>
              <w:top w:val="nil"/>
              <w:left w:val="nil"/>
              <w:bottom w:val="single" w:sz="4" w:space="0" w:color="auto"/>
              <w:right w:val="single" w:sz="4" w:space="0" w:color="auto"/>
            </w:tcBorders>
            <w:shd w:val="clear" w:color="auto" w:fill="auto"/>
            <w:vAlign w:val="bottom"/>
            <w:hideMark/>
          </w:tcPr>
          <w:p w14:paraId="2BD72DE6"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66,2</w:t>
            </w:r>
          </w:p>
        </w:tc>
        <w:tc>
          <w:tcPr>
            <w:tcW w:w="2126" w:type="dxa"/>
            <w:tcBorders>
              <w:top w:val="nil"/>
              <w:left w:val="nil"/>
              <w:bottom w:val="single" w:sz="4" w:space="0" w:color="auto"/>
              <w:right w:val="single" w:sz="4" w:space="0" w:color="auto"/>
            </w:tcBorders>
            <w:shd w:val="clear" w:color="auto" w:fill="auto"/>
            <w:vAlign w:val="bottom"/>
            <w:hideMark/>
          </w:tcPr>
          <w:p w14:paraId="79088946"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269,1</w:t>
            </w:r>
          </w:p>
        </w:tc>
        <w:tc>
          <w:tcPr>
            <w:tcW w:w="1701" w:type="dxa"/>
            <w:tcBorders>
              <w:top w:val="nil"/>
              <w:left w:val="nil"/>
              <w:bottom w:val="single" w:sz="4" w:space="0" w:color="auto"/>
              <w:right w:val="double" w:sz="4" w:space="0" w:color="auto"/>
            </w:tcBorders>
            <w:shd w:val="clear" w:color="auto" w:fill="auto"/>
            <w:vAlign w:val="bottom"/>
            <w:hideMark/>
          </w:tcPr>
          <w:p w14:paraId="57872F86"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202,9</w:t>
            </w:r>
          </w:p>
        </w:tc>
      </w:tr>
      <w:tr w:rsidR="00D470B6" w:rsidRPr="00A53AD7" w14:paraId="2F8CACD9"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73F3FDF2" w14:textId="77777777" w:rsidR="00043868" w:rsidRPr="00A53AD7" w:rsidRDefault="00043868" w:rsidP="00043868">
            <w:pPr>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 xml:space="preserve">в том числе: ОБ </w:t>
            </w:r>
          </w:p>
        </w:tc>
        <w:tc>
          <w:tcPr>
            <w:tcW w:w="2268" w:type="dxa"/>
            <w:tcBorders>
              <w:top w:val="nil"/>
              <w:left w:val="nil"/>
              <w:bottom w:val="single" w:sz="4" w:space="0" w:color="auto"/>
              <w:right w:val="single" w:sz="4" w:space="0" w:color="auto"/>
            </w:tcBorders>
            <w:shd w:val="clear" w:color="auto" w:fill="auto"/>
            <w:vAlign w:val="bottom"/>
            <w:hideMark/>
          </w:tcPr>
          <w:p w14:paraId="72623535"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56,5</w:t>
            </w:r>
          </w:p>
        </w:tc>
        <w:tc>
          <w:tcPr>
            <w:tcW w:w="2126" w:type="dxa"/>
            <w:tcBorders>
              <w:top w:val="nil"/>
              <w:left w:val="nil"/>
              <w:bottom w:val="single" w:sz="4" w:space="0" w:color="auto"/>
              <w:right w:val="single" w:sz="4" w:space="0" w:color="auto"/>
            </w:tcBorders>
            <w:shd w:val="clear" w:color="auto" w:fill="auto"/>
            <w:vAlign w:val="bottom"/>
            <w:hideMark/>
          </w:tcPr>
          <w:p w14:paraId="3CA01BAE"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61,5</w:t>
            </w:r>
          </w:p>
        </w:tc>
        <w:tc>
          <w:tcPr>
            <w:tcW w:w="1701" w:type="dxa"/>
            <w:tcBorders>
              <w:top w:val="nil"/>
              <w:left w:val="nil"/>
              <w:bottom w:val="single" w:sz="4" w:space="0" w:color="auto"/>
              <w:right w:val="double" w:sz="4" w:space="0" w:color="auto"/>
            </w:tcBorders>
            <w:shd w:val="clear" w:color="auto" w:fill="auto"/>
            <w:vAlign w:val="bottom"/>
            <w:hideMark/>
          </w:tcPr>
          <w:p w14:paraId="6552AB90"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5,0</w:t>
            </w:r>
          </w:p>
        </w:tc>
      </w:tr>
      <w:tr w:rsidR="00D470B6" w:rsidRPr="00A53AD7" w14:paraId="129DD38A"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42CFCC23" w14:textId="77777777" w:rsidR="00043868" w:rsidRPr="00A53AD7" w:rsidRDefault="00043868" w:rsidP="00043868">
            <w:pPr>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ФБ</w:t>
            </w:r>
          </w:p>
        </w:tc>
        <w:tc>
          <w:tcPr>
            <w:tcW w:w="2268" w:type="dxa"/>
            <w:tcBorders>
              <w:top w:val="nil"/>
              <w:left w:val="nil"/>
              <w:bottom w:val="single" w:sz="4" w:space="0" w:color="auto"/>
              <w:right w:val="single" w:sz="4" w:space="0" w:color="auto"/>
            </w:tcBorders>
            <w:shd w:val="clear" w:color="auto" w:fill="auto"/>
            <w:vAlign w:val="bottom"/>
            <w:hideMark/>
          </w:tcPr>
          <w:p w14:paraId="38D7233F"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2,2</w:t>
            </w:r>
          </w:p>
        </w:tc>
        <w:tc>
          <w:tcPr>
            <w:tcW w:w="2126" w:type="dxa"/>
            <w:tcBorders>
              <w:top w:val="nil"/>
              <w:left w:val="nil"/>
              <w:bottom w:val="single" w:sz="4" w:space="0" w:color="auto"/>
              <w:right w:val="single" w:sz="4" w:space="0" w:color="auto"/>
            </w:tcBorders>
            <w:shd w:val="clear" w:color="auto" w:fill="auto"/>
            <w:vAlign w:val="bottom"/>
            <w:hideMark/>
          </w:tcPr>
          <w:p w14:paraId="306FFB22"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2,2</w:t>
            </w:r>
          </w:p>
        </w:tc>
        <w:tc>
          <w:tcPr>
            <w:tcW w:w="1701" w:type="dxa"/>
            <w:tcBorders>
              <w:top w:val="nil"/>
              <w:left w:val="nil"/>
              <w:bottom w:val="single" w:sz="4" w:space="0" w:color="auto"/>
              <w:right w:val="double" w:sz="4" w:space="0" w:color="auto"/>
            </w:tcBorders>
            <w:shd w:val="clear" w:color="auto" w:fill="auto"/>
            <w:vAlign w:val="bottom"/>
            <w:hideMark/>
          </w:tcPr>
          <w:p w14:paraId="5302199F"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0,0</w:t>
            </w:r>
          </w:p>
        </w:tc>
      </w:tr>
      <w:tr w:rsidR="00D470B6" w:rsidRPr="00A53AD7" w14:paraId="3D4B063F" w14:textId="77777777" w:rsidTr="009A3CBB">
        <w:trPr>
          <w:trHeight w:val="255"/>
        </w:trPr>
        <w:tc>
          <w:tcPr>
            <w:tcW w:w="3261" w:type="dxa"/>
            <w:tcBorders>
              <w:top w:val="nil"/>
              <w:left w:val="double" w:sz="4" w:space="0" w:color="auto"/>
              <w:bottom w:val="single" w:sz="4" w:space="0" w:color="auto"/>
              <w:right w:val="single" w:sz="4" w:space="0" w:color="auto"/>
            </w:tcBorders>
            <w:shd w:val="clear" w:color="auto" w:fill="auto"/>
            <w:vAlign w:val="bottom"/>
            <w:hideMark/>
          </w:tcPr>
          <w:p w14:paraId="4BC90264" w14:textId="77777777" w:rsidR="00043868" w:rsidRPr="00A53AD7" w:rsidRDefault="00043868" w:rsidP="00043868">
            <w:pPr>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бюджет Москвы</w:t>
            </w:r>
          </w:p>
        </w:tc>
        <w:tc>
          <w:tcPr>
            <w:tcW w:w="2268" w:type="dxa"/>
            <w:tcBorders>
              <w:top w:val="nil"/>
              <w:left w:val="nil"/>
              <w:bottom w:val="single" w:sz="4" w:space="0" w:color="auto"/>
              <w:right w:val="single" w:sz="4" w:space="0" w:color="auto"/>
            </w:tcBorders>
            <w:shd w:val="clear" w:color="auto" w:fill="auto"/>
            <w:vAlign w:val="bottom"/>
            <w:hideMark/>
          </w:tcPr>
          <w:p w14:paraId="796D8513"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0,0</w:t>
            </w:r>
          </w:p>
        </w:tc>
        <w:tc>
          <w:tcPr>
            <w:tcW w:w="2126" w:type="dxa"/>
            <w:tcBorders>
              <w:top w:val="nil"/>
              <w:left w:val="nil"/>
              <w:bottom w:val="single" w:sz="4" w:space="0" w:color="auto"/>
              <w:right w:val="single" w:sz="4" w:space="0" w:color="auto"/>
            </w:tcBorders>
            <w:shd w:val="clear" w:color="auto" w:fill="auto"/>
            <w:vAlign w:val="bottom"/>
            <w:hideMark/>
          </w:tcPr>
          <w:p w14:paraId="7997266E"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196,3</w:t>
            </w:r>
          </w:p>
        </w:tc>
        <w:tc>
          <w:tcPr>
            <w:tcW w:w="1701" w:type="dxa"/>
            <w:tcBorders>
              <w:top w:val="nil"/>
              <w:left w:val="nil"/>
              <w:bottom w:val="single" w:sz="4" w:space="0" w:color="auto"/>
              <w:right w:val="double" w:sz="4" w:space="0" w:color="auto"/>
            </w:tcBorders>
            <w:shd w:val="clear" w:color="auto" w:fill="auto"/>
            <w:vAlign w:val="bottom"/>
            <w:hideMark/>
          </w:tcPr>
          <w:p w14:paraId="36AA45F8"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196,3</w:t>
            </w:r>
          </w:p>
        </w:tc>
      </w:tr>
      <w:tr w:rsidR="00043868" w:rsidRPr="00A53AD7" w14:paraId="3DD718E7" w14:textId="77777777" w:rsidTr="009A3CBB">
        <w:trPr>
          <w:trHeight w:val="255"/>
        </w:trPr>
        <w:tc>
          <w:tcPr>
            <w:tcW w:w="3261" w:type="dxa"/>
            <w:tcBorders>
              <w:top w:val="nil"/>
              <w:left w:val="double" w:sz="4" w:space="0" w:color="auto"/>
              <w:bottom w:val="double" w:sz="4" w:space="0" w:color="auto"/>
              <w:right w:val="single" w:sz="4" w:space="0" w:color="auto"/>
            </w:tcBorders>
            <w:shd w:val="clear" w:color="auto" w:fill="auto"/>
            <w:vAlign w:val="bottom"/>
            <w:hideMark/>
          </w:tcPr>
          <w:p w14:paraId="023B7FD9" w14:textId="77777777" w:rsidR="00043868" w:rsidRPr="00A53AD7" w:rsidRDefault="00043868" w:rsidP="00043868">
            <w:pPr>
              <w:spacing w:after="0" w:line="240" w:lineRule="auto"/>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МБ</w:t>
            </w:r>
          </w:p>
        </w:tc>
        <w:tc>
          <w:tcPr>
            <w:tcW w:w="2268" w:type="dxa"/>
            <w:tcBorders>
              <w:top w:val="nil"/>
              <w:left w:val="nil"/>
              <w:bottom w:val="double" w:sz="4" w:space="0" w:color="auto"/>
              <w:right w:val="single" w:sz="4" w:space="0" w:color="auto"/>
            </w:tcBorders>
            <w:shd w:val="clear" w:color="auto" w:fill="auto"/>
            <w:vAlign w:val="bottom"/>
            <w:hideMark/>
          </w:tcPr>
          <w:p w14:paraId="3FA45CF5"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7,5</w:t>
            </w:r>
          </w:p>
        </w:tc>
        <w:tc>
          <w:tcPr>
            <w:tcW w:w="2126" w:type="dxa"/>
            <w:tcBorders>
              <w:top w:val="nil"/>
              <w:left w:val="nil"/>
              <w:bottom w:val="double" w:sz="4" w:space="0" w:color="auto"/>
              <w:right w:val="single" w:sz="4" w:space="0" w:color="auto"/>
            </w:tcBorders>
            <w:shd w:val="clear" w:color="auto" w:fill="auto"/>
            <w:vAlign w:val="bottom"/>
            <w:hideMark/>
          </w:tcPr>
          <w:p w14:paraId="1F8EF488"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9,1</w:t>
            </w:r>
          </w:p>
        </w:tc>
        <w:tc>
          <w:tcPr>
            <w:tcW w:w="1701" w:type="dxa"/>
            <w:tcBorders>
              <w:top w:val="nil"/>
              <w:left w:val="nil"/>
              <w:bottom w:val="double" w:sz="4" w:space="0" w:color="auto"/>
              <w:right w:val="double" w:sz="4" w:space="0" w:color="auto"/>
            </w:tcBorders>
            <w:shd w:val="clear" w:color="auto" w:fill="auto"/>
            <w:vAlign w:val="bottom"/>
            <w:hideMark/>
          </w:tcPr>
          <w:p w14:paraId="4A47C180" w14:textId="77777777" w:rsidR="00043868" w:rsidRPr="00A53AD7" w:rsidRDefault="00043868" w:rsidP="00043868">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1,6</w:t>
            </w:r>
          </w:p>
        </w:tc>
      </w:tr>
    </w:tbl>
    <w:p w14:paraId="7FE321BE" w14:textId="77777777" w:rsidR="00043868" w:rsidRPr="00A53AD7" w:rsidRDefault="00043868" w:rsidP="00043868">
      <w:pPr>
        <w:pStyle w:val="ConsPlusNonformat"/>
        <w:jc w:val="both"/>
        <w:rPr>
          <w:rFonts w:ascii="Times New Roman" w:hAnsi="Times New Roman" w:cs="Times New Roman"/>
          <w:highlight w:val="cyan"/>
          <w:u w:val="single"/>
        </w:rPr>
      </w:pPr>
    </w:p>
    <w:p w14:paraId="47926F55" w14:textId="32583CC7" w:rsidR="00043868" w:rsidRPr="00A53AD7" w:rsidRDefault="00043868" w:rsidP="00024208">
      <w:pPr>
        <w:pStyle w:val="a8"/>
        <w:ind w:left="0" w:firstLine="851"/>
        <w:jc w:val="both"/>
        <w:rPr>
          <w:sz w:val="28"/>
          <w:szCs w:val="28"/>
        </w:rPr>
      </w:pPr>
      <w:r w:rsidRPr="00A53AD7">
        <w:rPr>
          <w:sz w:val="28"/>
          <w:szCs w:val="28"/>
        </w:rPr>
        <w:t>В течение 2019 года в государственную программу внесены изменения, связанные с приведением объемов финансирования в соответствие со сводной бюджетной росписью с изменениями и дополнениями вносимыми областными законами «О внесении изменений и дополнений в областной закон «Об областном бюджете на 2019 год и на плановый период 2020 и 2021 годов». В частности</w:t>
      </w:r>
      <w:r w:rsidR="00024208" w:rsidRPr="00A53AD7">
        <w:rPr>
          <w:sz w:val="28"/>
          <w:szCs w:val="28"/>
        </w:rPr>
        <w:t>,</w:t>
      </w:r>
      <w:r w:rsidRPr="00A53AD7">
        <w:rPr>
          <w:sz w:val="28"/>
          <w:szCs w:val="28"/>
        </w:rPr>
        <w:t xml:space="preserve"> увеличен на 0,5 млн.руб. объем финансирования мероприятия 3.1. подпрограммы № 1 организационно-техническое обеспечение деятельности Общественной палаты Архангельской области, увеличено на 4,5 млн.руб. финансирование подпрограммы № 2 «Развитие территориального общественного самоуправления в Архангельской области» на поддержку территориального общественного самоуправления муниципальных районов и городских округов Архангельской области.</w:t>
      </w:r>
    </w:p>
    <w:p w14:paraId="57C5ECB7" w14:textId="77777777" w:rsidR="00043868" w:rsidRPr="00A53AD7" w:rsidRDefault="00043868" w:rsidP="00024208">
      <w:pPr>
        <w:pStyle w:val="a8"/>
        <w:ind w:left="0" w:firstLine="851"/>
        <w:jc w:val="both"/>
        <w:rPr>
          <w:sz w:val="28"/>
          <w:szCs w:val="28"/>
        </w:rPr>
      </w:pPr>
      <w:r w:rsidRPr="00A53AD7">
        <w:rPr>
          <w:sz w:val="28"/>
          <w:szCs w:val="28"/>
        </w:rPr>
        <w:t>Увеличено финансирование подпрограммы № 5 «Адресная поддержка муниципальных образований Архангельской области» в связи с дополнительным финансированием из бюджета города Москвы на сумму 196,3 млн.руб. по соглашению от 16 ноября 2018 года, заключенному между Правительством Москвы и Правительством Архангельской области о предоставлении межбюджетного трансферта из бюджета города Москвы бюджету Архангельской области на социально-экономическое развитие Архангельской области.</w:t>
      </w:r>
    </w:p>
    <w:p w14:paraId="5F170457" w14:textId="77777777" w:rsidR="00043868" w:rsidRPr="00A53AD7" w:rsidRDefault="00043868" w:rsidP="00024208">
      <w:pPr>
        <w:pStyle w:val="a8"/>
        <w:ind w:left="0" w:firstLine="851"/>
        <w:jc w:val="both"/>
        <w:rPr>
          <w:sz w:val="28"/>
          <w:szCs w:val="28"/>
        </w:rPr>
      </w:pPr>
      <w:r w:rsidRPr="00A53AD7">
        <w:rPr>
          <w:sz w:val="28"/>
          <w:szCs w:val="28"/>
        </w:rPr>
        <w:t xml:space="preserve">Государственной программой (в ред. постановления от 19.11.2019 № 628-пп) установлено 36 целевых показателей. </w:t>
      </w:r>
    </w:p>
    <w:p w14:paraId="3F235CB9" w14:textId="77777777" w:rsidR="00024208" w:rsidRPr="00A53AD7" w:rsidRDefault="00043868" w:rsidP="00024208">
      <w:pPr>
        <w:pStyle w:val="a8"/>
        <w:ind w:left="0" w:firstLine="851"/>
        <w:jc w:val="both"/>
        <w:rPr>
          <w:sz w:val="28"/>
          <w:szCs w:val="28"/>
        </w:rPr>
      </w:pPr>
      <w:r w:rsidRPr="00A53AD7">
        <w:rPr>
          <w:sz w:val="28"/>
          <w:szCs w:val="28"/>
        </w:rPr>
        <w:t>В течение года осуществлена корректировка целевого показателя «Количество материалов в средствах массовой информации, в информационно-телекоммуникационной сети «Интернет» о деятельности ТОС в год» с 400 ед. до 0 ед. в связи с отсутствием финансирования соответствующего мероприятия государственной программы в 2019 году, дополнительно введено 10 целевых показателей.</w:t>
      </w:r>
    </w:p>
    <w:p w14:paraId="5A42E8AE" w14:textId="0885864F" w:rsidR="00043868" w:rsidRPr="00A53AD7" w:rsidRDefault="00024208" w:rsidP="00024208">
      <w:pPr>
        <w:pStyle w:val="a8"/>
        <w:ind w:left="0"/>
        <w:jc w:val="center"/>
        <w:rPr>
          <w:sz w:val="28"/>
          <w:szCs w:val="28"/>
        </w:rPr>
      </w:pPr>
      <w:r w:rsidRPr="00A53AD7">
        <w:rPr>
          <w:noProof/>
          <w:sz w:val="28"/>
          <w:szCs w:val="28"/>
        </w:rPr>
        <w:drawing>
          <wp:inline distT="0" distB="0" distL="0" distR="0" wp14:anchorId="0891FA91" wp14:editId="399FAD34">
            <wp:extent cx="5944235" cy="2664460"/>
            <wp:effectExtent l="0" t="0" r="0" b="254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4235" cy="2664460"/>
                    </a:xfrm>
                    <a:prstGeom prst="rect">
                      <a:avLst/>
                    </a:prstGeom>
                    <a:noFill/>
                  </pic:spPr>
                </pic:pic>
              </a:graphicData>
            </a:graphic>
          </wp:inline>
        </w:drawing>
      </w:r>
    </w:p>
    <w:p w14:paraId="1D059051" w14:textId="057E47C4" w:rsidR="00043868" w:rsidRPr="00A53AD7" w:rsidRDefault="00043868" w:rsidP="00043868">
      <w:pPr>
        <w:pStyle w:val="a8"/>
        <w:ind w:left="0" w:firstLine="851"/>
        <w:jc w:val="both"/>
        <w:rPr>
          <w:sz w:val="28"/>
          <w:szCs w:val="28"/>
        </w:rPr>
      </w:pPr>
      <w:r w:rsidRPr="00A53AD7">
        <w:rPr>
          <w:sz w:val="28"/>
          <w:szCs w:val="28"/>
        </w:rPr>
        <w:t>Расходы на реализацию мероприятий государственной программы из средств областного бюджета в 2019 году согласно Отчетам об исполнении бюджета главного распорядителя… на 01.01.2020 (форма 0503127) составили 145,2 млн.руб. или 55,9 % годовых назначений.</w:t>
      </w:r>
    </w:p>
    <w:p w14:paraId="797E3941" w14:textId="3930EA77" w:rsidR="00043868" w:rsidRPr="00A53AD7" w:rsidRDefault="00043868" w:rsidP="00043868">
      <w:pPr>
        <w:pStyle w:val="a8"/>
        <w:ind w:left="0" w:firstLine="851"/>
        <w:jc w:val="both"/>
        <w:rPr>
          <w:sz w:val="28"/>
          <w:szCs w:val="28"/>
        </w:rPr>
      </w:pPr>
      <w:r w:rsidRPr="00A53AD7">
        <w:rPr>
          <w:sz w:val="28"/>
          <w:szCs w:val="28"/>
        </w:rPr>
        <w:t>Низкое исполнение государственной программы на 41,8% наблюдается по подпрограмме «Адресная поддержка муниципального образования «Ленский муниципальный</w:t>
      </w:r>
      <w:r w:rsidR="00024208" w:rsidRPr="00A53AD7">
        <w:rPr>
          <w:sz w:val="28"/>
          <w:szCs w:val="28"/>
        </w:rPr>
        <w:t xml:space="preserve"> район» Архангельской области».</w:t>
      </w:r>
    </w:p>
    <w:p w14:paraId="7A677DE7" w14:textId="77777777" w:rsidR="00043868" w:rsidRPr="00A53AD7" w:rsidRDefault="00043868" w:rsidP="00043868">
      <w:pPr>
        <w:pStyle w:val="a8"/>
        <w:ind w:left="0" w:firstLine="851"/>
        <w:jc w:val="both"/>
        <w:rPr>
          <w:sz w:val="28"/>
          <w:szCs w:val="28"/>
        </w:rPr>
      </w:pPr>
      <w:r w:rsidRPr="00A53AD7">
        <w:rPr>
          <w:sz w:val="28"/>
          <w:szCs w:val="28"/>
        </w:rPr>
        <w:t>Данные о выполнении мероприятий подпрограммы «Адресная поддержка муниципального образования «Ленский муниципальный район» Архангельской области» и выполнении показателей представлены ниже.</w:t>
      </w:r>
    </w:p>
    <w:p w14:paraId="6F55FA88" w14:textId="77777777" w:rsidR="00043868" w:rsidRPr="00A53AD7" w:rsidRDefault="00043868" w:rsidP="00043868">
      <w:pPr>
        <w:pStyle w:val="a8"/>
        <w:ind w:left="0"/>
        <w:jc w:val="right"/>
        <w:rPr>
          <w:sz w:val="28"/>
          <w:szCs w:val="28"/>
        </w:rPr>
      </w:pPr>
      <w:r w:rsidRPr="00A53AD7">
        <w:rPr>
          <w:sz w:val="28"/>
          <w:szCs w:val="28"/>
        </w:rPr>
        <w:t>млн.руб</w:t>
      </w:r>
    </w:p>
    <w:tbl>
      <w:tblPr>
        <w:tblW w:w="9356" w:type="dxa"/>
        <w:tblInd w:w="-23" w:type="dxa"/>
        <w:tblLayout w:type="fixed"/>
        <w:tblLook w:val="04A0" w:firstRow="1" w:lastRow="0" w:firstColumn="1" w:lastColumn="0" w:noHBand="0" w:noVBand="1"/>
      </w:tblPr>
      <w:tblGrid>
        <w:gridCol w:w="4820"/>
        <w:gridCol w:w="1559"/>
        <w:gridCol w:w="851"/>
        <w:gridCol w:w="905"/>
        <w:gridCol w:w="1221"/>
      </w:tblGrid>
      <w:tr w:rsidR="00D470B6" w:rsidRPr="00A53AD7" w14:paraId="6186EA99" w14:textId="77777777" w:rsidTr="00016176">
        <w:trPr>
          <w:trHeight w:val="396"/>
          <w:tblHeader/>
        </w:trPr>
        <w:tc>
          <w:tcPr>
            <w:tcW w:w="482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07917BC"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Мероприятия</w:t>
            </w:r>
          </w:p>
        </w:tc>
        <w:tc>
          <w:tcPr>
            <w:tcW w:w="1559" w:type="dxa"/>
            <w:tcBorders>
              <w:top w:val="double" w:sz="6" w:space="0" w:color="auto"/>
              <w:left w:val="nil"/>
              <w:bottom w:val="single" w:sz="4" w:space="0" w:color="auto"/>
              <w:right w:val="single" w:sz="4" w:space="0" w:color="auto"/>
            </w:tcBorders>
            <w:shd w:val="clear" w:color="auto" w:fill="auto"/>
            <w:vAlign w:val="center"/>
            <w:hideMark/>
          </w:tcPr>
          <w:p w14:paraId="50906987"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Исполнитель</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4F2D3EE7"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905" w:type="dxa"/>
            <w:tcBorders>
              <w:top w:val="double" w:sz="6" w:space="0" w:color="auto"/>
              <w:left w:val="nil"/>
              <w:bottom w:val="single" w:sz="4" w:space="0" w:color="auto"/>
              <w:right w:val="single" w:sz="4" w:space="0" w:color="auto"/>
            </w:tcBorders>
            <w:shd w:val="clear" w:color="auto" w:fill="auto"/>
            <w:vAlign w:val="bottom"/>
            <w:hideMark/>
          </w:tcPr>
          <w:p w14:paraId="15D2FC1D"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Исполнение</w:t>
            </w:r>
          </w:p>
        </w:tc>
        <w:tc>
          <w:tcPr>
            <w:tcW w:w="1221" w:type="dxa"/>
            <w:tcBorders>
              <w:top w:val="double" w:sz="6" w:space="0" w:color="auto"/>
              <w:left w:val="nil"/>
              <w:bottom w:val="single" w:sz="4" w:space="0" w:color="auto"/>
              <w:right w:val="double" w:sz="6" w:space="0" w:color="auto"/>
            </w:tcBorders>
            <w:shd w:val="clear" w:color="auto" w:fill="auto"/>
            <w:vAlign w:val="bottom"/>
            <w:hideMark/>
          </w:tcPr>
          <w:p w14:paraId="5A1E8FFE" w14:textId="77777777" w:rsidR="00043868" w:rsidRPr="00A53AD7" w:rsidRDefault="00043868" w:rsidP="000438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D470B6" w:rsidRPr="00A53AD7" w14:paraId="4C4E4BE1" w14:textId="77777777" w:rsidTr="00024208">
        <w:trPr>
          <w:trHeight w:val="269"/>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0FE2DBEE"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Проектирование и строительство начальной школы на 320 мест в селе Яренск </w:t>
            </w:r>
          </w:p>
        </w:tc>
        <w:tc>
          <w:tcPr>
            <w:tcW w:w="1559" w:type="dxa"/>
            <w:tcBorders>
              <w:top w:val="nil"/>
              <w:left w:val="nil"/>
              <w:bottom w:val="single" w:sz="4" w:space="0" w:color="auto"/>
              <w:right w:val="single" w:sz="4" w:space="0" w:color="auto"/>
            </w:tcBorders>
            <w:shd w:val="clear" w:color="auto" w:fill="auto"/>
            <w:vAlign w:val="center"/>
            <w:hideMark/>
          </w:tcPr>
          <w:p w14:paraId="0D1C05F7"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строительства</w:t>
            </w:r>
          </w:p>
        </w:tc>
        <w:tc>
          <w:tcPr>
            <w:tcW w:w="851" w:type="dxa"/>
            <w:tcBorders>
              <w:top w:val="nil"/>
              <w:left w:val="nil"/>
              <w:bottom w:val="single" w:sz="4" w:space="0" w:color="auto"/>
              <w:right w:val="single" w:sz="4" w:space="0" w:color="auto"/>
            </w:tcBorders>
            <w:shd w:val="clear" w:color="auto" w:fill="auto"/>
            <w:vAlign w:val="center"/>
            <w:hideMark/>
          </w:tcPr>
          <w:p w14:paraId="071D99AB"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3,7</w:t>
            </w:r>
          </w:p>
        </w:tc>
        <w:tc>
          <w:tcPr>
            <w:tcW w:w="905" w:type="dxa"/>
            <w:tcBorders>
              <w:top w:val="nil"/>
              <w:left w:val="nil"/>
              <w:bottom w:val="single" w:sz="4" w:space="0" w:color="auto"/>
              <w:right w:val="single" w:sz="4" w:space="0" w:color="auto"/>
            </w:tcBorders>
            <w:shd w:val="clear" w:color="auto" w:fill="auto"/>
            <w:noWrap/>
            <w:vAlign w:val="center"/>
            <w:hideMark/>
          </w:tcPr>
          <w:p w14:paraId="159CECCC"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0 </w:t>
            </w:r>
          </w:p>
        </w:tc>
        <w:tc>
          <w:tcPr>
            <w:tcW w:w="1221" w:type="dxa"/>
            <w:tcBorders>
              <w:top w:val="nil"/>
              <w:left w:val="nil"/>
              <w:bottom w:val="single" w:sz="4" w:space="0" w:color="auto"/>
              <w:right w:val="double" w:sz="6" w:space="0" w:color="auto"/>
            </w:tcBorders>
            <w:shd w:val="clear" w:color="auto" w:fill="auto"/>
            <w:noWrap/>
            <w:vAlign w:val="center"/>
            <w:hideMark/>
          </w:tcPr>
          <w:p w14:paraId="40350003"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25C9B99B" w14:textId="77777777" w:rsidTr="00043868">
        <w:trPr>
          <w:trHeight w:val="878"/>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72C1D9F1"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 Проектирование и строительство автомобильной дороги общего пользования регионального значения Заболотье-Сольвычегодск-Яренск на участке Фоминская-Слободчиково</w:t>
            </w:r>
          </w:p>
        </w:tc>
        <w:tc>
          <w:tcPr>
            <w:tcW w:w="1559" w:type="dxa"/>
            <w:tcBorders>
              <w:top w:val="nil"/>
              <w:left w:val="nil"/>
              <w:bottom w:val="single" w:sz="4" w:space="0" w:color="auto"/>
              <w:right w:val="single" w:sz="4" w:space="0" w:color="auto"/>
            </w:tcBorders>
            <w:shd w:val="clear" w:color="auto" w:fill="auto"/>
            <w:vAlign w:val="center"/>
            <w:hideMark/>
          </w:tcPr>
          <w:p w14:paraId="11D2DF46"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транспорта</w:t>
            </w:r>
          </w:p>
        </w:tc>
        <w:tc>
          <w:tcPr>
            <w:tcW w:w="851" w:type="dxa"/>
            <w:tcBorders>
              <w:top w:val="nil"/>
              <w:left w:val="nil"/>
              <w:bottom w:val="single" w:sz="4" w:space="0" w:color="auto"/>
              <w:right w:val="single" w:sz="4" w:space="0" w:color="auto"/>
            </w:tcBorders>
            <w:shd w:val="clear" w:color="auto" w:fill="auto"/>
            <w:vAlign w:val="center"/>
            <w:hideMark/>
          </w:tcPr>
          <w:p w14:paraId="61CC497C"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w:t>
            </w:r>
          </w:p>
        </w:tc>
        <w:tc>
          <w:tcPr>
            <w:tcW w:w="905" w:type="dxa"/>
            <w:tcBorders>
              <w:top w:val="nil"/>
              <w:left w:val="nil"/>
              <w:bottom w:val="single" w:sz="4" w:space="0" w:color="auto"/>
              <w:right w:val="single" w:sz="4" w:space="0" w:color="auto"/>
            </w:tcBorders>
            <w:shd w:val="clear" w:color="auto" w:fill="auto"/>
            <w:noWrap/>
            <w:vAlign w:val="center"/>
            <w:hideMark/>
          </w:tcPr>
          <w:p w14:paraId="752BF7B4"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3, 4</w:t>
            </w:r>
          </w:p>
        </w:tc>
        <w:tc>
          <w:tcPr>
            <w:tcW w:w="1221" w:type="dxa"/>
            <w:tcBorders>
              <w:top w:val="nil"/>
              <w:left w:val="nil"/>
              <w:bottom w:val="single" w:sz="4" w:space="0" w:color="auto"/>
              <w:right w:val="double" w:sz="6" w:space="0" w:color="auto"/>
            </w:tcBorders>
            <w:shd w:val="clear" w:color="auto" w:fill="auto"/>
            <w:noWrap/>
            <w:vAlign w:val="center"/>
            <w:hideMark/>
          </w:tcPr>
          <w:p w14:paraId="32CAB68B"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38,2</w:t>
            </w:r>
          </w:p>
        </w:tc>
      </w:tr>
      <w:tr w:rsidR="00D470B6" w:rsidRPr="00A53AD7" w14:paraId="2D87E9C2" w14:textId="77777777" w:rsidTr="00043868">
        <w:trPr>
          <w:trHeight w:val="1074"/>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46E2313F"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1.6 Разработка рабочей документации и проведение противоаварийных работ на объекте культурного наследия народов Российской Федерации регионального значения «Церковь Спасс-Преображения»</w:t>
            </w:r>
          </w:p>
        </w:tc>
        <w:tc>
          <w:tcPr>
            <w:tcW w:w="1559" w:type="dxa"/>
            <w:tcBorders>
              <w:top w:val="nil"/>
              <w:left w:val="nil"/>
              <w:bottom w:val="single" w:sz="4" w:space="0" w:color="auto"/>
              <w:right w:val="single" w:sz="4" w:space="0" w:color="auto"/>
            </w:tcBorders>
            <w:shd w:val="clear" w:color="auto" w:fill="auto"/>
            <w:vAlign w:val="center"/>
            <w:hideMark/>
          </w:tcPr>
          <w:p w14:paraId="6E8811BB"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 xml:space="preserve">инспекция по охране объектов культурного наследия </w:t>
            </w:r>
          </w:p>
        </w:tc>
        <w:tc>
          <w:tcPr>
            <w:tcW w:w="851" w:type="dxa"/>
            <w:tcBorders>
              <w:top w:val="nil"/>
              <w:left w:val="nil"/>
              <w:bottom w:val="single" w:sz="4" w:space="0" w:color="auto"/>
              <w:right w:val="single" w:sz="4" w:space="0" w:color="auto"/>
            </w:tcBorders>
            <w:shd w:val="clear" w:color="auto" w:fill="auto"/>
            <w:vAlign w:val="center"/>
            <w:hideMark/>
          </w:tcPr>
          <w:p w14:paraId="751D1696"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w:t>
            </w:r>
          </w:p>
        </w:tc>
        <w:tc>
          <w:tcPr>
            <w:tcW w:w="905" w:type="dxa"/>
            <w:tcBorders>
              <w:top w:val="nil"/>
              <w:left w:val="nil"/>
              <w:bottom w:val="single" w:sz="4" w:space="0" w:color="auto"/>
              <w:right w:val="single" w:sz="4" w:space="0" w:color="auto"/>
            </w:tcBorders>
            <w:shd w:val="clear" w:color="auto" w:fill="auto"/>
            <w:noWrap/>
            <w:vAlign w:val="center"/>
            <w:hideMark/>
          </w:tcPr>
          <w:p w14:paraId="77F868CE"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w:t>
            </w:r>
          </w:p>
        </w:tc>
        <w:tc>
          <w:tcPr>
            <w:tcW w:w="1221" w:type="dxa"/>
            <w:tcBorders>
              <w:top w:val="nil"/>
              <w:left w:val="nil"/>
              <w:bottom w:val="single" w:sz="4" w:space="0" w:color="auto"/>
              <w:right w:val="double" w:sz="6" w:space="0" w:color="auto"/>
            </w:tcBorders>
            <w:shd w:val="clear" w:color="auto" w:fill="auto"/>
            <w:noWrap/>
            <w:vAlign w:val="center"/>
            <w:hideMark/>
          </w:tcPr>
          <w:p w14:paraId="0FD9B1D5"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243CFC4F" w14:textId="77777777" w:rsidTr="00043868">
        <w:trPr>
          <w:trHeight w:val="1052"/>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521F85DA"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1.7 Разработка научно-проектной документации на проведение ремонтно- реставрационных работ и реставрация, ремонт объекта культурного наследия народов Российской Федерации регионального значения «Церковь Спасс-Преображения»</w:t>
            </w:r>
          </w:p>
        </w:tc>
        <w:tc>
          <w:tcPr>
            <w:tcW w:w="1559" w:type="dxa"/>
            <w:tcBorders>
              <w:top w:val="nil"/>
              <w:left w:val="nil"/>
              <w:bottom w:val="single" w:sz="4" w:space="0" w:color="auto"/>
              <w:right w:val="single" w:sz="4" w:space="0" w:color="auto"/>
            </w:tcBorders>
            <w:shd w:val="clear" w:color="auto" w:fill="auto"/>
            <w:vAlign w:val="center"/>
            <w:hideMark/>
          </w:tcPr>
          <w:p w14:paraId="1E5ED5E3"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инспекция по охране объектов культурного наследия</w:t>
            </w:r>
          </w:p>
        </w:tc>
        <w:tc>
          <w:tcPr>
            <w:tcW w:w="851" w:type="dxa"/>
            <w:tcBorders>
              <w:top w:val="nil"/>
              <w:left w:val="nil"/>
              <w:bottom w:val="single" w:sz="4" w:space="0" w:color="auto"/>
              <w:right w:val="single" w:sz="4" w:space="0" w:color="auto"/>
            </w:tcBorders>
            <w:shd w:val="clear" w:color="auto" w:fill="auto"/>
            <w:vAlign w:val="center"/>
            <w:hideMark/>
          </w:tcPr>
          <w:p w14:paraId="37402933"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13,6</w:t>
            </w:r>
          </w:p>
        </w:tc>
        <w:tc>
          <w:tcPr>
            <w:tcW w:w="905" w:type="dxa"/>
            <w:tcBorders>
              <w:top w:val="nil"/>
              <w:left w:val="nil"/>
              <w:bottom w:val="single" w:sz="4" w:space="0" w:color="auto"/>
              <w:right w:val="single" w:sz="4" w:space="0" w:color="auto"/>
            </w:tcBorders>
            <w:shd w:val="clear" w:color="auto" w:fill="auto"/>
            <w:noWrap/>
            <w:vAlign w:val="center"/>
            <w:hideMark/>
          </w:tcPr>
          <w:p w14:paraId="33796B29"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13,6</w:t>
            </w:r>
          </w:p>
        </w:tc>
        <w:tc>
          <w:tcPr>
            <w:tcW w:w="1221" w:type="dxa"/>
            <w:tcBorders>
              <w:top w:val="nil"/>
              <w:left w:val="nil"/>
              <w:bottom w:val="single" w:sz="4" w:space="0" w:color="auto"/>
              <w:right w:val="double" w:sz="6" w:space="0" w:color="auto"/>
            </w:tcBorders>
            <w:shd w:val="clear" w:color="auto" w:fill="auto"/>
            <w:noWrap/>
            <w:vAlign w:val="center"/>
            <w:hideMark/>
          </w:tcPr>
          <w:p w14:paraId="5410D15F"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0CA7CD64" w14:textId="77777777" w:rsidTr="00016176">
        <w:trPr>
          <w:trHeight w:val="376"/>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52A83186"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1.8 Проектирование и строительство физкультурно-оздоровительного комплекса в селе Яренск</w:t>
            </w:r>
          </w:p>
        </w:tc>
        <w:tc>
          <w:tcPr>
            <w:tcW w:w="1559" w:type="dxa"/>
            <w:tcBorders>
              <w:top w:val="nil"/>
              <w:left w:val="nil"/>
              <w:bottom w:val="single" w:sz="4" w:space="0" w:color="auto"/>
              <w:right w:val="single" w:sz="4" w:space="0" w:color="auto"/>
            </w:tcBorders>
            <w:shd w:val="clear" w:color="auto" w:fill="auto"/>
            <w:vAlign w:val="center"/>
            <w:hideMark/>
          </w:tcPr>
          <w:p w14:paraId="1980BED1"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министерство строительства</w:t>
            </w:r>
          </w:p>
        </w:tc>
        <w:tc>
          <w:tcPr>
            <w:tcW w:w="851" w:type="dxa"/>
            <w:tcBorders>
              <w:top w:val="nil"/>
              <w:left w:val="nil"/>
              <w:bottom w:val="single" w:sz="4" w:space="0" w:color="auto"/>
              <w:right w:val="single" w:sz="4" w:space="0" w:color="auto"/>
            </w:tcBorders>
            <w:shd w:val="clear" w:color="auto" w:fill="auto"/>
            <w:vAlign w:val="center"/>
            <w:hideMark/>
          </w:tcPr>
          <w:p w14:paraId="7B25294B"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w:t>
            </w:r>
          </w:p>
        </w:tc>
        <w:tc>
          <w:tcPr>
            <w:tcW w:w="905" w:type="dxa"/>
            <w:tcBorders>
              <w:top w:val="nil"/>
              <w:left w:val="nil"/>
              <w:bottom w:val="single" w:sz="4" w:space="0" w:color="auto"/>
              <w:right w:val="single" w:sz="4" w:space="0" w:color="auto"/>
            </w:tcBorders>
            <w:shd w:val="clear" w:color="auto" w:fill="auto"/>
            <w:noWrap/>
            <w:vAlign w:val="center"/>
            <w:hideMark/>
          </w:tcPr>
          <w:p w14:paraId="5BAE2C7D"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221" w:type="dxa"/>
            <w:tcBorders>
              <w:top w:val="nil"/>
              <w:left w:val="nil"/>
              <w:bottom w:val="single" w:sz="4" w:space="0" w:color="auto"/>
              <w:right w:val="double" w:sz="6" w:space="0" w:color="auto"/>
            </w:tcBorders>
            <w:shd w:val="clear" w:color="auto" w:fill="auto"/>
            <w:noWrap/>
            <w:vAlign w:val="center"/>
            <w:hideMark/>
          </w:tcPr>
          <w:p w14:paraId="43ED9632"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764A6C94" w14:textId="77777777" w:rsidTr="00043868">
        <w:trPr>
          <w:trHeight w:val="480"/>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1C7F24E9"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1.9 Реконструкция системы водоснабжения в селе Яренск</w:t>
            </w:r>
          </w:p>
        </w:tc>
        <w:tc>
          <w:tcPr>
            <w:tcW w:w="1559" w:type="dxa"/>
            <w:tcBorders>
              <w:top w:val="nil"/>
              <w:left w:val="nil"/>
              <w:bottom w:val="single" w:sz="4" w:space="0" w:color="auto"/>
              <w:right w:val="single" w:sz="4" w:space="0" w:color="auto"/>
            </w:tcBorders>
            <w:shd w:val="clear" w:color="auto" w:fill="auto"/>
            <w:vAlign w:val="center"/>
            <w:hideMark/>
          </w:tcPr>
          <w:p w14:paraId="54B7BF3B"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министерство строительство</w:t>
            </w:r>
          </w:p>
        </w:tc>
        <w:tc>
          <w:tcPr>
            <w:tcW w:w="851" w:type="dxa"/>
            <w:tcBorders>
              <w:top w:val="nil"/>
              <w:left w:val="nil"/>
              <w:bottom w:val="single" w:sz="4" w:space="0" w:color="auto"/>
              <w:right w:val="single" w:sz="4" w:space="0" w:color="auto"/>
            </w:tcBorders>
            <w:shd w:val="clear" w:color="auto" w:fill="auto"/>
            <w:vAlign w:val="center"/>
            <w:hideMark/>
          </w:tcPr>
          <w:p w14:paraId="28302A4E"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905" w:type="dxa"/>
            <w:tcBorders>
              <w:top w:val="nil"/>
              <w:left w:val="nil"/>
              <w:bottom w:val="single" w:sz="4" w:space="0" w:color="auto"/>
              <w:right w:val="single" w:sz="4" w:space="0" w:color="auto"/>
            </w:tcBorders>
            <w:shd w:val="clear" w:color="auto" w:fill="auto"/>
            <w:noWrap/>
            <w:vAlign w:val="center"/>
            <w:hideMark/>
          </w:tcPr>
          <w:p w14:paraId="5AD3AD14"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221" w:type="dxa"/>
            <w:tcBorders>
              <w:top w:val="nil"/>
              <w:left w:val="nil"/>
              <w:bottom w:val="single" w:sz="4" w:space="0" w:color="auto"/>
              <w:right w:val="double" w:sz="6" w:space="0" w:color="auto"/>
            </w:tcBorders>
            <w:shd w:val="clear" w:color="auto" w:fill="auto"/>
            <w:noWrap/>
            <w:vAlign w:val="center"/>
            <w:hideMark/>
          </w:tcPr>
          <w:p w14:paraId="05A3C1B2"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w:t>
            </w:r>
          </w:p>
        </w:tc>
      </w:tr>
      <w:tr w:rsidR="00D470B6" w:rsidRPr="00A53AD7" w14:paraId="38317625" w14:textId="77777777" w:rsidTr="00043868">
        <w:trPr>
          <w:trHeight w:val="489"/>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20345C55"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1.10 Ремонт автомобильных дорог общего пользования местного значения и мостов</w:t>
            </w:r>
          </w:p>
        </w:tc>
        <w:tc>
          <w:tcPr>
            <w:tcW w:w="1559" w:type="dxa"/>
            <w:tcBorders>
              <w:top w:val="nil"/>
              <w:left w:val="nil"/>
              <w:bottom w:val="single" w:sz="4" w:space="0" w:color="auto"/>
              <w:right w:val="single" w:sz="4" w:space="0" w:color="auto"/>
            </w:tcBorders>
            <w:shd w:val="clear" w:color="auto" w:fill="auto"/>
            <w:vAlign w:val="center"/>
            <w:hideMark/>
          </w:tcPr>
          <w:p w14:paraId="13C6F861"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министерство транспорта</w:t>
            </w:r>
          </w:p>
        </w:tc>
        <w:tc>
          <w:tcPr>
            <w:tcW w:w="851" w:type="dxa"/>
            <w:tcBorders>
              <w:top w:val="nil"/>
              <w:left w:val="nil"/>
              <w:bottom w:val="single" w:sz="4" w:space="0" w:color="auto"/>
              <w:right w:val="single" w:sz="4" w:space="0" w:color="auto"/>
            </w:tcBorders>
            <w:shd w:val="clear" w:color="auto" w:fill="auto"/>
            <w:vAlign w:val="center"/>
            <w:hideMark/>
          </w:tcPr>
          <w:p w14:paraId="5333705D"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47,3</w:t>
            </w:r>
          </w:p>
        </w:tc>
        <w:tc>
          <w:tcPr>
            <w:tcW w:w="905" w:type="dxa"/>
            <w:tcBorders>
              <w:top w:val="nil"/>
              <w:left w:val="nil"/>
              <w:bottom w:val="single" w:sz="4" w:space="0" w:color="auto"/>
              <w:right w:val="single" w:sz="4" w:space="0" w:color="auto"/>
            </w:tcBorders>
            <w:shd w:val="clear" w:color="auto" w:fill="auto"/>
            <w:noWrap/>
            <w:vAlign w:val="center"/>
            <w:hideMark/>
          </w:tcPr>
          <w:p w14:paraId="776A726E"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47,3</w:t>
            </w:r>
          </w:p>
        </w:tc>
        <w:tc>
          <w:tcPr>
            <w:tcW w:w="1221" w:type="dxa"/>
            <w:tcBorders>
              <w:top w:val="nil"/>
              <w:left w:val="nil"/>
              <w:bottom w:val="single" w:sz="4" w:space="0" w:color="auto"/>
              <w:right w:val="double" w:sz="6" w:space="0" w:color="auto"/>
            </w:tcBorders>
            <w:shd w:val="clear" w:color="auto" w:fill="auto"/>
            <w:noWrap/>
            <w:vAlign w:val="center"/>
            <w:hideMark/>
          </w:tcPr>
          <w:p w14:paraId="49B4CD36"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5A9395EA" w14:textId="77777777" w:rsidTr="00043868">
        <w:trPr>
          <w:trHeight w:val="503"/>
        </w:trPr>
        <w:tc>
          <w:tcPr>
            <w:tcW w:w="4820" w:type="dxa"/>
            <w:tcBorders>
              <w:top w:val="nil"/>
              <w:left w:val="double" w:sz="6" w:space="0" w:color="auto"/>
              <w:bottom w:val="single" w:sz="4" w:space="0" w:color="auto"/>
              <w:right w:val="single" w:sz="4" w:space="0" w:color="auto"/>
            </w:tcBorders>
            <w:shd w:val="clear" w:color="auto" w:fill="auto"/>
            <w:vAlign w:val="center"/>
            <w:hideMark/>
          </w:tcPr>
          <w:p w14:paraId="5C8E4800" w14:textId="77777777" w:rsidR="00043868" w:rsidRPr="00A53AD7" w:rsidRDefault="00043868" w:rsidP="0002420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1.11 Ремонт образовательных организаций в населенных пунктах Ленского района</w:t>
            </w:r>
          </w:p>
        </w:tc>
        <w:tc>
          <w:tcPr>
            <w:tcW w:w="1559" w:type="dxa"/>
            <w:tcBorders>
              <w:top w:val="nil"/>
              <w:left w:val="nil"/>
              <w:bottom w:val="single" w:sz="4" w:space="0" w:color="auto"/>
              <w:right w:val="single" w:sz="4" w:space="0" w:color="auto"/>
            </w:tcBorders>
            <w:shd w:val="clear" w:color="auto" w:fill="auto"/>
            <w:vAlign w:val="center"/>
            <w:hideMark/>
          </w:tcPr>
          <w:p w14:paraId="596D0AAE"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министерство образования</w:t>
            </w:r>
          </w:p>
        </w:tc>
        <w:tc>
          <w:tcPr>
            <w:tcW w:w="851" w:type="dxa"/>
            <w:tcBorders>
              <w:top w:val="nil"/>
              <w:left w:val="nil"/>
              <w:bottom w:val="single" w:sz="4" w:space="0" w:color="auto"/>
              <w:right w:val="single" w:sz="4" w:space="0" w:color="auto"/>
            </w:tcBorders>
            <w:shd w:val="clear" w:color="auto" w:fill="auto"/>
            <w:vAlign w:val="center"/>
            <w:hideMark/>
          </w:tcPr>
          <w:p w14:paraId="473F9784"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w:t>
            </w:r>
          </w:p>
        </w:tc>
        <w:tc>
          <w:tcPr>
            <w:tcW w:w="905" w:type="dxa"/>
            <w:tcBorders>
              <w:top w:val="nil"/>
              <w:left w:val="nil"/>
              <w:bottom w:val="single" w:sz="4" w:space="0" w:color="auto"/>
              <w:right w:val="single" w:sz="4" w:space="0" w:color="auto"/>
            </w:tcBorders>
            <w:shd w:val="clear" w:color="auto" w:fill="auto"/>
            <w:noWrap/>
            <w:vAlign w:val="center"/>
            <w:hideMark/>
          </w:tcPr>
          <w:p w14:paraId="6DA488C7"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11,5</w:t>
            </w:r>
          </w:p>
        </w:tc>
        <w:tc>
          <w:tcPr>
            <w:tcW w:w="1221" w:type="dxa"/>
            <w:tcBorders>
              <w:top w:val="nil"/>
              <w:left w:val="nil"/>
              <w:bottom w:val="single" w:sz="4" w:space="0" w:color="auto"/>
              <w:right w:val="double" w:sz="6" w:space="0" w:color="auto"/>
            </w:tcBorders>
            <w:shd w:val="clear" w:color="auto" w:fill="auto"/>
            <w:noWrap/>
            <w:vAlign w:val="center"/>
            <w:hideMark/>
          </w:tcPr>
          <w:p w14:paraId="5C2034B9"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043868" w:rsidRPr="00A53AD7" w14:paraId="6C501275" w14:textId="77777777" w:rsidTr="00016176">
        <w:trPr>
          <w:trHeight w:val="163"/>
        </w:trPr>
        <w:tc>
          <w:tcPr>
            <w:tcW w:w="6379" w:type="dxa"/>
            <w:gridSpan w:val="2"/>
            <w:tcBorders>
              <w:top w:val="single" w:sz="4" w:space="0" w:color="auto"/>
              <w:left w:val="double" w:sz="6" w:space="0" w:color="auto"/>
              <w:bottom w:val="double" w:sz="6" w:space="0" w:color="auto"/>
              <w:right w:val="single" w:sz="4" w:space="0" w:color="000000"/>
            </w:tcBorders>
            <w:shd w:val="clear" w:color="auto" w:fill="auto"/>
            <w:vAlign w:val="center"/>
            <w:hideMark/>
          </w:tcPr>
          <w:p w14:paraId="6AEB23BF" w14:textId="77777777" w:rsidR="00043868" w:rsidRPr="00A53AD7" w:rsidRDefault="00043868" w:rsidP="00043868">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rPr>
              <w:t>Итого</w:t>
            </w:r>
          </w:p>
        </w:tc>
        <w:tc>
          <w:tcPr>
            <w:tcW w:w="851" w:type="dxa"/>
            <w:tcBorders>
              <w:top w:val="nil"/>
              <w:left w:val="nil"/>
              <w:bottom w:val="double" w:sz="6" w:space="0" w:color="auto"/>
              <w:right w:val="single" w:sz="4" w:space="0" w:color="auto"/>
            </w:tcBorders>
            <w:shd w:val="clear" w:color="auto" w:fill="auto"/>
            <w:vAlign w:val="center"/>
            <w:hideMark/>
          </w:tcPr>
          <w:p w14:paraId="59C74C3F"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196 ,3</w:t>
            </w:r>
          </w:p>
        </w:tc>
        <w:tc>
          <w:tcPr>
            <w:tcW w:w="905" w:type="dxa"/>
            <w:tcBorders>
              <w:top w:val="nil"/>
              <w:left w:val="nil"/>
              <w:bottom w:val="double" w:sz="6" w:space="0" w:color="auto"/>
              <w:right w:val="single" w:sz="4" w:space="0" w:color="auto"/>
            </w:tcBorders>
            <w:shd w:val="clear" w:color="auto" w:fill="auto"/>
            <w:vAlign w:val="center"/>
            <w:hideMark/>
          </w:tcPr>
          <w:p w14:paraId="4DC50273"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81 ,9</w:t>
            </w:r>
          </w:p>
        </w:tc>
        <w:tc>
          <w:tcPr>
            <w:tcW w:w="1221" w:type="dxa"/>
            <w:tcBorders>
              <w:top w:val="nil"/>
              <w:left w:val="nil"/>
              <w:bottom w:val="double" w:sz="6" w:space="0" w:color="auto"/>
              <w:right w:val="double" w:sz="6" w:space="0" w:color="auto"/>
            </w:tcBorders>
            <w:shd w:val="clear" w:color="auto" w:fill="auto"/>
            <w:noWrap/>
            <w:vAlign w:val="center"/>
            <w:hideMark/>
          </w:tcPr>
          <w:p w14:paraId="19FBCF65" w14:textId="77777777" w:rsidR="00043868" w:rsidRPr="00A53AD7" w:rsidRDefault="00043868" w:rsidP="0001617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41,8</w:t>
            </w:r>
          </w:p>
        </w:tc>
      </w:tr>
    </w:tbl>
    <w:p w14:paraId="7158E666" w14:textId="77777777" w:rsidR="00016176" w:rsidRPr="00A53AD7" w:rsidRDefault="00016176" w:rsidP="00043868">
      <w:pPr>
        <w:pStyle w:val="a8"/>
        <w:ind w:left="0" w:firstLine="851"/>
        <w:jc w:val="both"/>
        <w:rPr>
          <w:sz w:val="28"/>
          <w:szCs w:val="28"/>
        </w:rPr>
      </w:pPr>
    </w:p>
    <w:p w14:paraId="56E0F841" w14:textId="7FDDA1C2" w:rsidR="00043868" w:rsidRPr="00A53AD7" w:rsidRDefault="00043868" w:rsidP="00043868">
      <w:pPr>
        <w:pStyle w:val="a8"/>
        <w:ind w:left="0" w:firstLine="851"/>
        <w:jc w:val="both"/>
        <w:rPr>
          <w:sz w:val="28"/>
          <w:szCs w:val="28"/>
        </w:rPr>
      </w:pPr>
      <w:r w:rsidRPr="00A53AD7">
        <w:rPr>
          <w:sz w:val="28"/>
          <w:szCs w:val="28"/>
        </w:rPr>
        <w:t>В 2019 году в рамках подпрограммы № 5 «Адресная поддержка муниципального образования «Ленский муниципальный район» Архангельской области» осуществлялась реализация восьми мероприятий, из которых</w:t>
      </w:r>
      <w:r w:rsidR="00E46634" w:rsidRPr="00A53AD7">
        <w:rPr>
          <w:sz w:val="28"/>
          <w:szCs w:val="28"/>
        </w:rPr>
        <w:t xml:space="preserve"> </w:t>
      </w:r>
      <w:r w:rsidRPr="00A53AD7">
        <w:rPr>
          <w:sz w:val="28"/>
          <w:szCs w:val="28"/>
        </w:rPr>
        <w:t>по одному мероприятию «Проектирование и строительство автомобильной дороги общего пользования регионального значения Заболотье-Сольвычегодск-Яренск на участке Фоминская-Слободчиково» исполнение составило 38,2%,</w:t>
      </w:r>
      <w:r w:rsidR="00E46634" w:rsidRPr="00A53AD7">
        <w:rPr>
          <w:sz w:val="28"/>
          <w:szCs w:val="28"/>
        </w:rPr>
        <w:t xml:space="preserve"> </w:t>
      </w:r>
      <w:r w:rsidRPr="00A53AD7">
        <w:rPr>
          <w:sz w:val="28"/>
          <w:szCs w:val="28"/>
        </w:rPr>
        <w:t>а по трем мероприятиям кассовые расходы отсутствуют («Проектирование и строительство начальной школы на 320 мест в селе Яренск», «Проектирование и строительство физкультурно-оздоровительного комплекса в селе Яренск», «Реконструкция систем</w:t>
      </w:r>
      <w:r w:rsidR="00016176" w:rsidRPr="00A53AD7">
        <w:rPr>
          <w:sz w:val="28"/>
          <w:szCs w:val="28"/>
        </w:rPr>
        <w:t>ы водоснабжения в селе Яренск».</w:t>
      </w:r>
    </w:p>
    <w:p w14:paraId="0FA0C93B" w14:textId="77777777" w:rsidR="00043868" w:rsidRPr="00A53AD7" w:rsidRDefault="00043868" w:rsidP="00043868">
      <w:pPr>
        <w:spacing w:after="0" w:line="240" w:lineRule="auto"/>
        <w:ind w:firstLine="709"/>
        <w:jc w:val="both"/>
        <w:rPr>
          <w:rFonts w:ascii="Times New Roman" w:hAnsi="Times New Roman"/>
          <w:sz w:val="28"/>
          <w:szCs w:val="28"/>
        </w:rPr>
      </w:pPr>
    </w:p>
    <w:p w14:paraId="26549A54" w14:textId="77777777" w:rsidR="00043868" w:rsidRPr="00A53AD7" w:rsidRDefault="00043868" w:rsidP="00043868">
      <w:pPr>
        <w:spacing w:after="0" w:line="240" w:lineRule="auto"/>
        <w:ind w:firstLine="709"/>
        <w:jc w:val="both"/>
        <w:rPr>
          <w:rFonts w:ascii="Times New Roman" w:hAnsi="Times New Roman"/>
          <w:sz w:val="28"/>
          <w:szCs w:val="28"/>
        </w:rPr>
      </w:pPr>
      <w:r w:rsidRPr="00A53AD7">
        <w:rPr>
          <w:rFonts w:ascii="Times New Roman" w:hAnsi="Times New Roman"/>
          <w:sz w:val="28"/>
          <w:szCs w:val="28"/>
        </w:rPr>
        <w:t>Достижение поставленных целей и решение задач программы осуществлялось посредством реализации запланированных на отчетный год 25 мероприятий, 17 из которых выполнены в полном объеме, что составляет 68,0 % от общего их числа.</w:t>
      </w:r>
    </w:p>
    <w:p w14:paraId="16B13D58" w14:textId="32D14E7B" w:rsidR="00043868" w:rsidRPr="00A53AD7" w:rsidRDefault="00043868" w:rsidP="00043868">
      <w:pPr>
        <w:pStyle w:val="a8"/>
        <w:ind w:left="0" w:firstLine="851"/>
        <w:jc w:val="both"/>
        <w:rPr>
          <w:sz w:val="28"/>
          <w:szCs w:val="28"/>
        </w:rPr>
      </w:pPr>
      <w:r w:rsidRPr="00A53AD7">
        <w:rPr>
          <w:sz w:val="28"/>
          <w:szCs w:val="28"/>
        </w:rPr>
        <w:t>В отчетном году в рамках госпрограммы было запланировано достижение 36 целевых показателей. Согласно проведенной оценке достижения целевых показателей установлено, что 27 целевых показателей достигнуты на 100 % и выш</w:t>
      </w:r>
      <w:r w:rsidR="00016176" w:rsidRPr="00A53AD7">
        <w:rPr>
          <w:sz w:val="28"/>
          <w:szCs w:val="28"/>
        </w:rPr>
        <w:t>е, не достигнуто 9 показателей.</w:t>
      </w:r>
    </w:p>
    <w:p w14:paraId="288B0E9F" w14:textId="3828D737" w:rsidR="00043868" w:rsidRPr="00A53AD7" w:rsidRDefault="00043868" w:rsidP="0004386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госпрограммы по итогам 2019 года не выполнены ил</w:t>
      </w:r>
      <w:r w:rsidR="00016176" w:rsidRPr="00A53AD7">
        <w:rPr>
          <w:rFonts w:ascii="Times New Roman" w:hAnsi="Times New Roman"/>
          <w:sz w:val="28"/>
          <w:szCs w:val="28"/>
        </w:rPr>
        <w:t>и выполнены с нарушением срока:</w:t>
      </w:r>
    </w:p>
    <w:p w14:paraId="79BC9F55" w14:textId="77777777" w:rsidR="00043868" w:rsidRPr="00A53AD7" w:rsidRDefault="00043868" w:rsidP="00043868">
      <w:pPr>
        <w:autoSpaceDE w:val="0"/>
        <w:autoSpaceDN w:val="0"/>
        <w:adjustRightInd w:val="0"/>
        <w:spacing w:after="0" w:line="240" w:lineRule="auto"/>
        <w:ind w:right="-113" w:firstLine="851"/>
        <w:jc w:val="both"/>
        <w:rPr>
          <w:rFonts w:ascii="Times New Roman" w:hAnsi="Times New Roman"/>
          <w:sz w:val="28"/>
          <w:szCs w:val="28"/>
        </w:rPr>
      </w:pPr>
      <w:r w:rsidRPr="00A53AD7">
        <w:rPr>
          <w:rFonts w:ascii="Times New Roman" w:hAnsi="Times New Roman"/>
          <w:sz w:val="28"/>
          <w:szCs w:val="28"/>
        </w:rPr>
        <w:t>подпрограмма 2 мероприятие «Предоставление субсидий», показатель «Проведение муниципальных конкурсов проектов ТОС в рамках субсидирования, срок завершения» (план 1 июля, факт 02 декабря) и «Подведение итогов конкурса» (план 31 июля, факт 10 декабря) в связи с необходимостью приведения нормативной правовой базы в соответствие с вышестоящими правовыми актами, утверждением новых Положения и Порядка о проведении конкурса проектов территориального общественного самоуправления на конкурс проектов ТОС территории муниципального образования «Северодвинск»;</w:t>
      </w:r>
    </w:p>
    <w:p w14:paraId="54397B36" w14:textId="77777777" w:rsidR="00043868" w:rsidRPr="00A53AD7" w:rsidRDefault="00043868" w:rsidP="00043868">
      <w:pPr>
        <w:pStyle w:val="a8"/>
        <w:ind w:left="0" w:firstLine="851"/>
        <w:jc w:val="both"/>
        <w:rPr>
          <w:sz w:val="28"/>
          <w:szCs w:val="28"/>
        </w:rPr>
      </w:pPr>
      <w:r w:rsidRPr="00A53AD7">
        <w:rPr>
          <w:sz w:val="28"/>
          <w:szCs w:val="28"/>
        </w:rPr>
        <w:t>подпрограмма 3 мероприятие «Проведение ежегодного Северного межнационального форума с участием национальных общин, диаспор, иных некоммерческих организаций», показатель «Количество участников форума» (план 5 600, факт 4 428) в связи с ненадлежащим исполнением обязательств по контракту;</w:t>
      </w:r>
    </w:p>
    <w:p w14:paraId="3C389FDB" w14:textId="11D53346" w:rsidR="00043868" w:rsidRPr="00A53AD7" w:rsidRDefault="00043868" w:rsidP="00043868">
      <w:pPr>
        <w:autoSpaceDE w:val="0"/>
        <w:autoSpaceDN w:val="0"/>
        <w:adjustRightInd w:val="0"/>
        <w:spacing w:after="0" w:line="240" w:lineRule="auto"/>
        <w:ind w:right="-113" w:firstLine="851"/>
        <w:jc w:val="both"/>
        <w:rPr>
          <w:rFonts w:ascii="Times New Roman" w:hAnsi="Times New Roman"/>
          <w:sz w:val="28"/>
          <w:szCs w:val="28"/>
        </w:rPr>
      </w:pPr>
      <w:r w:rsidRPr="00A53AD7">
        <w:rPr>
          <w:rFonts w:ascii="Times New Roman" w:hAnsi="Times New Roman"/>
          <w:sz w:val="28"/>
          <w:szCs w:val="28"/>
        </w:rPr>
        <w:t>подпрограмма №</w:t>
      </w:r>
      <w:r w:rsidR="00016176" w:rsidRPr="00A53AD7">
        <w:rPr>
          <w:rFonts w:ascii="Times New Roman" w:hAnsi="Times New Roman"/>
          <w:sz w:val="28"/>
          <w:szCs w:val="28"/>
        </w:rPr>
        <w:t xml:space="preserve"> </w:t>
      </w:r>
      <w:r w:rsidRPr="00A53AD7">
        <w:rPr>
          <w:rFonts w:ascii="Times New Roman" w:hAnsi="Times New Roman"/>
          <w:sz w:val="28"/>
          <w:szCs w:val="28"/>
        </w:rPr>
        <w:t>5 мероприятие «Проектирование и строительство начальной школы на 320 мест в селе Яренск», показатель «Разработка проектной документации, %» план 100, факт 0, показатель не достигнут в связи с многочисленными замечаниями ГАУ АО «Управление государственной экспертизы» в процессе проведения технологического и ценового аудита обоснования инвестиций (получено отрицательное заключение);</w:t>
      </w:r>
    </w:p>
    <w:p w14:paraId="1CCE8255" w14:textId="6D4C2403" w:rsidR="009A3CBB" w:rsidRPr="00A53AD7" w:rsidRDefault="009A3CBB" w:rsidP="009A3CBB">
      <w:pPr>
        <w:widowControl w:val="0"/>
        <w:spacing w:after="0" w:line="240" w:lineRule="auto"/>
        <w:ind w:firstLine="709"/>
        <w:jc w:val="both"/>
        <w:rPr>
          <w:rFonts w:ascii="Times New Roman" w:hAnsi="Times New Roman"/>
          <w:sz w:val="28"/>
          <w:szCs w:val="28"/>
        </w:rPr>
      </w:pPr>
      <w:r w:rsidRPr="00A53AD7">
        <w:rPr>
          <w:rFonts w:ascii="Times New Roman" w:hAnsi="Times New Roman"/>
          <w:sz w:val="28"/>
          <w:szCs w:val="28"/>
        </w:rPr>
        <w:t xml:space="preserve">«Проектирование и строительство автомобильной дороги общего пользования регионального значения Заболотье - Сольвычегодск - Яренск </w:t>
      </w:r>
      <w:r w:rsidRPr="00A53AD7">
        <w:rPr>
          <w:rFonts w:ascii="Times New Roman" w:hAnsi="Times New Roman"/>
          <w:sz w:val="28"/>
          <w:szCs w:val="28"/>
        </w:rPr>
        <w:br/>
        <w:t>на участке Фоминская – Слободчиково», показатель «Разработка проектной документации,</w:t>
      </w:r>
      <w:r w:rsidR="00195076" w:rsidRPr="00A53AD7">
        <w:rPr>
          <w:rFonts w:ascii="Times New Roman" w:hAnsi="Times New Roman"/>
          <w:sz w:val="28"/>
          <w:szCs w:val="28"/>
        </w:rPr>
        <w:t xml:space="preserve"> </w:t>
      </w:r>
      <w:r w:rsidRPr="00A53AD7">
        <w:rPr>
          <w:rFonts w:ascii="Times New Roman" w:hAnsi="Times New Roman"/>
          <w:sz w:val="28"/>
          <w:szCs w:val="28"/>
        </w:rPr>
        <w:t>%» при плане 100% - факт 34%, показатель не достигнут в связи с включением расходов в закон об областном бюджете</w:t>
      </w:r>
      <w:r w:rsidR="008213C0" w:rsidRPr="00A53AD7">
        <w:rPr>
          <w:rFonts w:ascii="Times New Roman" w:hAnsi="Times New Roman"/>
          <w:sz w:val="28"/>
          <w:szCs w:val="28"/>
        </w:rPr>
        <w:t xml:space="preserve"> в конце сентября 2019 года</w:t>
      </w:r>
      <w:r w:rsidRPr="00A53AD7">
        <w:rPr>
          <w:rFonts w:ascii="Times New Roman" w:hAnsi="Times New Roman"/>
          <w:sz w:val="28"/>
          <w:szCs w:val="28"/>
        </w:rPr>
        <w:t>, что повлияло на сроки размещения закупки и заключения государственного контракта и не позволило предусмотреть в рамках государственного контракта выполнение полного комплекса работ по разработке проектной документации;</w:t>
      </w:r>
    </w:p>
    <w:p w14:paraId="7AD89A9C" w14:textId="4ED6770C" w:rsidR="00043868" w:rsidRPr="00A53AD7" w:rsidRDefault="009A3CBB" w:rsidP="009A3CBB">
      <w:pPr>
        <w:widowControl w:val="0"/>
        <w:spacing w:after="0" w:line="240" w:lineRule="auto"/>
        <w:ind w:firstLine="709"/>
        <w:jc w:val="both"/>
        <w:rPr>
          <w:rFonts w:ascii="Times New Roman" w:hAnsi="Times New Roman"/>
          <w:sz w:val="28"/>
          <w:szCs w:val="28"/>
        </w:rPr>
      </w:pPr>
      <w:r w:rsidRPr="00A53AD7">
        <w:rPr>
          <w:rFonts w:ascii="Times New Roman" w:hAnsi="Times New Roman"/>
          <w:sz w:val="28"/>
          <w:szCs w:val="28"/>
        </w:rPr>
        <w:t xml:space="preserve"> </w:t>
      </w:r>
      <w:r w:rsidR="00043868" w:rsidRPr="00A53AD7">
        <w:rPr>
          <w:rFonts w:ascii="Times New Roman" w:hAnsi="Times New Roman"/>
          <w:sz w:val="28"/>
          <w:szCs w:val="28"/>
        </w:rPr>
        <w:t>«Разработка рабочей документации и проведение противоаварийных работ на объекте культурного наследия народов Российской Федерации регионального значения «Церковь Спасс-Преображения», показатель «Проведение противоаварийных работ на объекте культурного наследия народов Российской Федерации регионального значения «Церковь Спасс-Преображения», план 100 факт 79, показатель не достигнут в связи невозможностью проведения ряда противоаварийных работ в осенне-зимний период;</w:t>
      </w:r>
    </w:p>
    <w:p w14:paraId="62B04443" w14:textId="15722F58" w:rsidR="00043868" w:rsidRPr="00A53AD7" w:rsidRDefault="00043868" w:rsidP="00043868">
      <w:pPr>
        <w:widowControl w:val="0"/>
        <w:spacing w:after="0" w:line="240" w:lineRule="auto"/>
        <w:ind w:firstLine="709"/>
        <w:jc w:val="both"/>
        <w:rPr>
          <w:rFonts w:ascii="Times New Roman" w:hAnsi="Times New Roman"/>
          <w:sz w:val="28"/>
          <w:szCs w:val="28"/>
        </w:rPr>
      </w:pPr>
      <w:r w:rsidRPr="00A53AD7">
        <w:rPr>
          <w:rFonts w:ascii="Times New Roman" w:hAnsi="Times New Roman"/>
          <w:sz w:val="28"/>
          <w:szCs w:val="28"/>
        </w:rPr>
        <w:t>«Разработка научно-проектной документации на проведение ремонтно- реставрационных работ и реставрация, ремонт объекта культурного наследия народов Российской Федерации регионального значения «Церковь Спасс-Преображения»,</w:t>
      </w:r>
      <w:r w:rsidR="00E46634" w:rsidRPr="00A53AD7">
        <w:rPr>
          <w:rFonts w:ascii="Times New Roman" w:hAnsi="Times New Roman"/>
          <w:sz w:val="28"/>
          <w:szCs w:val="28"/>
        </w:rPr>
        <w:t xml:space="preserve"> </w:t>
      </w:r>
      <w:r w:rsidRPr="00A53AD7">
        <w:rPr>
          <w:rFonts w:ascii="Times New Roman" w:hAnsi="Times New Roman"/>
          <w:sz w:val="28"/>
          <w:szCs w:val="28"/>
        </w:rPr>
        <w:t>показатель «Проведение противоаварийных работ на объекте культурного наследия народов Российской Федерации регионального значения «Церковь Спасс-Преображения» план 100</w:t>
      </w:r>
      <w:r w:rsidR="00E46634" w:rsidRPr="00A53AD7">
        <w:rPr>
          <w:rFonts w:ascii="Times New Roman" w:hAnsi="Times New Roman"/>
          <w:sz w:val="28"/>
          <w:szCs w:val="28"/>
        </w:rPr>
        <w:t xml:space="preserve"> </w:t>
      </w:r>
      <w:r w:rsidRPr="00A53AD7">
        <w:rPr>
          <w:rFonts w:ascii="Times New Roman" w:hAnsi="Times New Roman"/>
          <w:sz w:val="28"/>
          <w:szCs w:val="28"/>
        </w:rPr>
        <w:t xml:space="preserve">факт 48, показатель не достигнут в связи с поздним сроком доведения лимитов бюджетных обязательств до инспекция по охране объектов культурного наследия Архангельской области (в июле 2019 года), сдвинулись сроки проведения конкурсных процедур у подведомственного учреждения </w:t>
      </w:r>
      <w:r w:rsidRPr="00A53AD7">
        <w:rPr>
          <w:rFonts w:ascii="Times New Roman" w:hAnsi="Times New Roman"/>
          <w:sz w:val="28"/>
          <w:szCs w:val="28"/>
        </w:rPr>
        <w:br/>
        <w:t xml:space="preserve">и соответственно заключения контракта (срок выполнения работ в июне </w:t>
      </w:r>
      <w:r w:rsidRPr="00A53AD7">
        <w:rPr>
          <w:rFonts w:ascii="Times New Roman" w:hAnsi="Times New Roman"/>
          <w:sz w:val="28"/>
          <w:szCs w:val="28"/>
        </w:rPr>
        <w:br/>
        <w:t>2020 года);</w:t>
      </w:r>
    </w:p>
    <w:p w14:paraId="1F37A645" w14:textId="00043FEB" w:rsidR="00043868" w:rsidRPr="00A53AD7" w:rsidRDefault="00043868" w:rsidP="00043868">
      <w:pPr>
        <w:widowControl w:val="0"/>
        <w:spacing w:after="0" w:line="240" w:lineRule="auto"/>
        <w:ind w:firstLine="709"/>
        <w:jc w:val="both"/>
        <w:rPr>
          <w:rFonts w:ascii="Times New Roman" w:hAnsi="Times New Roman"/>
          <w:sz w:val="28"/>
          <w:szCs w:val="28"/>
        </w:rPr>
      </w:pPr>
      <w:r w:rsidRPr="00A53AD7">
        <w:rPr>
          <w:rFonts w:ascii="Times New Roman" w:hAnsi="Times New Roman"/>
          <w:sz w:val="28"/>
          <w:szCs w:val="28"/>
        </w:rPr>
        <w:t xml:space="preserve">«Проектирование и строительство физкультурно-оздоровительного комплекса в селе Яренск», работы по разработке обоснования инвестиций </w:t>
      </w:r>
      <w:r w:rsidRPr="00A53AD7">
        <w:rPr>
          <w:rFonts w:ascii="Times New Roman" w:hAnsi="Times New Roman"/>
          <w:sz w:val="28"/>
          <w:szCs w:val="28"/>
        </w:rPr>
        <w:br/>
        <w:t>и получению положительного заключения технологического и ценового аудита не выполнены, показатель «Проектирование физкультурно-оздоровительного комплекса в селе Яренск; %»,</w:t>
      </w:r>
      <w:r w:rsidR="00E46634" w:rsidRPr="00A53AD7">
        <w:rPr>
          <w:rFonts w:ascii="Times New Roman" w:hAnsi="Times New Roman"/>
          <w:sz w:val="28"/>
          <w:szCs w:val="28"/>
        </w:rPr>
        <w:t xml:space="preserve"> </w:t>
      </w:r>
      <w:r w:rsidRPr="00A53AD7">
        <w:rPr>
          <w:rFonts w:ascii="Times New Roman" w:hAnsi="Times New Roman"/>
          <w:sz w:val="28"/>
          <w:szCs w:val="28"/>
        </w:rPr>
        <w:t>план 100 факт 0, показатель не достигнут в связи с проработкой администрацией муниципального образования вопроса по подбору альтернативного проекта физкультурно-оздоровительного комплекса с бассейном с меньшей площадью;</w:t>
      </w:r>
    </w:p>
    <w:p w14:paraId="34F25612" w14:textId="77777777" w:rsidR="00043868" w:rsidRPr="00A53AD7" w:rsidRDefault="00043868" w:rsidP="00043868">
      <w:pPr>
        <w:widowControl w:val="0"/>
        <w:spacing w:after="0" w:line="240" w:lineRule="auto"/>
        <w:ind w:firstLine="709"/>
        <w:jc w:val="both"/>
        <w:rPr>
          <w:rFonts w:ascii="Times New Roman" w:hAnsi="Times New Roman"/>
          <w:sz w:val="28"/>
          <w:szCs w:val="28"/>
        </w:rPr>
      </w:pPr>
      <w:r w:rsidRPr="00A53AD7">
        <w:rPr>
          <w:rFonts w:ascii="Times New Roman" w:hAnsi="Times New Roman"/>
          <w:sz w:val="28"/>
          <w:szCs w:val="28"/>
        </w:rPr>
        <w:t>«Реконструкция системы водоснабжения в селе Яренск» показатель «Техническая готовность реконструкции системы водоснабжения; %» план 55 факт 0, показатель не выполнен в связи с тем, что проектная документация по объекту получила отрицательное заключение государственной экспертизы.</w:t>
      </w:r>
    </w:p>
    <w:p w14:paraId="09B47A05" w14:textId="67FDE045" w:rsidR="00517EF3" w:rsidRPr="00A53AD7" w:rsidRDefault="006F5D9B" w:rsidP="00517EF3">
      <w:pPr>
        <w:pStyle w:val="3"/>
        <w:spacing w:line="240" w:lineRule="auto"/>
        <w:jc w:val="center"/>
        <w:rPr>
          <w:rFonts w:ascii="Times New Roman" w:hAnsi="Times New Roman"/>
          <w:b w:val="0"/>
          <w:sz w:val="28"/>
          <w:szCs w:val="28"/>
          <w:u w:val="single"/>
          <w:lang w:val="ru-RU"/>
        </w:rPr>
      </w:pPr>
      <w:bookmarkStart w:id="92" w:name="_Toc42006739"/>
      <w:r w:rsidRPr="00A53AD7">
        <w:rPr>
          <w:rFonts w:ascii="Times New Roman" w:hAnsi="Times New Roman"/>
          <w:b w:val="0"/>
          <w:sz w:val="28"/>
          <w:szCs w:val="28"/>
          <w:u w:val="single"/>
          <w:lang w:val="ru-RU"/>
        </w:rPr>
        <w:t>4</w:t>
      </w:r>
      <w:r w:rsidR="00517EF3" w:rsidRPr="00A53AD7">
        <w:rPr>
          <w:rFonts w:ascii="Times New Roman" w:hAnsi="Times New Roman"/>
          <w:b w:val="0"/>
          <w:sz w:val="28"/>
          <w:szCs w:val="28"/>
          <w:u w:val="single"/>
          <w:lang w:val="ru-RU"/>
        </w:rPr>
        <w:t>.</w:t>
      </w:r>
      <w:r w:rsidRPr="00A53AD7">
        <w:rPr>
          <w:rFonts w:ascii="Times New Roman" w:hAnsi="Times New Roman"/>
          <w:b w:val="0"/>
          <w:sz w:val="28"/>
          <w:szCs w:val="28"/>
          <w:u w:val="single"/>
          <w:lang w:val="ru-RU"/>
        </w:rPr>
        <w:t>2</w:t>
      </w:r>
      <w:r w:rsidR="00517EF3" w:rsidRPr="00A53AD7">
        <w:rPr>
          <w:rFonts w:ascii="Times New Roman" w:hAnsi="Times New Roman"/>
          <w:b w:val="0"/>
          <w:sz w:val="28"/>
          <w:szCs w:val="28"/>
          <w:u w:val="single"/>
          <w:lang w:val="ru-RU"/>
        </w:rPr>
        <w:t>.</w:t>
      </w:r>
      <w:r w:rsidR="00ED2EC7" w:rsidRPr="00A53AD7">
        <w:rPr>
          <w:rFonts w:ascii="Times New Roman" w:hAnsi="Times New Roman"/>
          <w:b w:val="0"/>
          <w:sz w:val="28"/>
          <w:szCs w:val="28"/>
          <w:u w:val="single"/>
          <w:lang w:val="ru-RU"/>
        </w:rPr>
        <w:t>18</w:t>
      </w:r>
      <w:r w:rsidR="00517EF3" w:rsidRPr="00A53AD7">
        <w:rPr>
          <w:rFonts w:ascii="Times New Roman" w:hAnsi="Times New Roman"/>
          <w:b w:val="0"/>
          <w:sz w:val="28"/>
          <w:szCs w:val="28"/>
          <w:u w:val="single"/>
          <w:lang w:val="ru-RU"/>
        </w:rPr>
        <w:t>. Государственная программа А</w:t>
      </w:r>
      <w:r w:rsidR="00753B0B" w:rsidRPr="00A53AD7">
        <w:rPr>
          <w:rFonts w:ascii="Times New Roman" w:hAnsi="Times New Roman"/>
          <w:b w:val="0"/>
          <w:sz w:val="28"/>
          <w:szCs w:val="28"/>
          <w:u w:val="single"/>
          <w:lang w:val="ru-RU"/>
        </w:rPr>
        <w:t>рхангельской области</w:t>
      </w:r>
      <w:r w:rsidR="00517EF3" w:rsidRPr="00A53AD7">
        <w:rPr>
          <w:rFonts w:ascii="Times New Roman" w:hAnsi="Times New Roman"/>
          <w:b w:val="0"/>
          <w:sz w:val="28"/>
          <w:szCs w:val="28"/>
          <w:u w:val="single"/>
          <w:lang w:val="ru-RU"/>
        </w:rPr>
        <w:t xml:space="preserve"> </w:t>
      </w:r>
      <w:r w:rsidR="00753B0B" w:rsidRPr="00A53AD7">
        <w:rPr>
          <w:rFonts w:ascii="Times New Roman" w:hAnsi="Times New Roman"/>
          <w:b w:val="0"/>
          <w:sz w:val="28"/>
          <w:szCs w:val="28"/>
          <w:u w:val="single"/>
          <w:lang w:val="ru-RU"/>
        </w:rPr>
        <w:t>«</w:t>
      </w:r>
      <w:r w:rsidR="00517EF3" w:rsidRPr="00A53AD7">
        <w:rPr>
          <w:rFonts w:ascii="Times New Roman" w:hAnsi="Times New Roman"/>
          <w:b w:val="0"/>
          <w:sz w:val="28"/>
          <w:szCs w:val="28"/>
          <w:u w:val="single"/>
          <w:lang w:val="ru-RU"/>
        </w:rPr>
        <w:t>Развитие транспортной системы Архангельской области</w:t>
      </w:r>
      <w:r w:rsidR="00753B0B" w:rsidRPr="00A53AD7">
        <w:rPr>
          <w:rFonts w:ascii="Times New Roman" w:hAnsi="Times New Roman"/>
          <w:b w:val="0"/>
          <w:sz w:val="28"/>
          <w:szCs w:val="28"/>
          <w:u w:val="single"/>
          <w:lang w:val="ru-RU"/>
        </w:rPr>
        <w:t>»</w:t>
      </w:r>
      <w:bookmarkEnd w:id="92"/>
    </w:p>
    <w:p w14:paraId="7CB735F8" w14:textId="77777777" w:rsidR="00000803" w:rsidRPr="00A53AD7" w:rsidRDefault="004A13B7" w:rsidP="002814A6">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 </w:t>
      </w:r>
      <w:r w:rsidR="00000803" w:rsidRPr="00A53AD7">
        <w:rPr>
          <w:rFonts w:ascii="Times New Roman" w:eastAsia="Times New Roman" w:hAnsi="Times New Roman"/>
          <w:sz w:val="28"/>
          <w:szCs w:val="28"/>
          <w:lang w:eastAsia="ru-RU"/>
        </w:rPr>
        <w:t>Государственная программа Архангельской области «Развитие транспортной системы Архангельской области», утверждена постановлением Правительства Архангельской области от 08.10.2013 N 463-пп).</w:t>
      </w:r>
    </w:p>
    <w:p w14:paraId="1B9E6621" w14:textId="3CFB8057" w:rsidR="00000803" w:rsidRPr="00A53AD7" w:rsidRDefault="00000803" w:rsidP="00B050EE">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Информация о выполнении мероприятий госпрограммы в динамике с начала действия госпрограммы в разрезе источников финансирования представлена в таблице</w:t>
      </w:r>
      <w:r w:rsidR="00B050EE" w:rsidRPr="00A53AD7">
        <w:rPr>
          <w:rFonts w:ascii="Times New Roman" w:eastAsia="Times New Roman" w:hAnsi="Times New Roman"/>
          <w:sz w:val="28"/>
          <w:szCs w:val="28"/>
          <w:lang w:eastAsia="ru-RU"/>
        </w:rPr>
        <w:t>:</w:t>
      </w:r>
    </w:p>
    <w:tbl>
      <w:tblPr>
        <w:tblStyle w:val="a7"/>
        <w:tblW w:w="0" w:type="auto"/>
        <w:tblInd w:w="-459"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276"/>
        <w:gridCol w:w="709"/>
        <w:gridCol w:w="709"/>
        <w:gridCol w:w="708"/>
        <w:gridCol w:w="709"/>
        <w:gridCol w:w="709"/>
        <w:gridCol w:w="709"/>
        <w:gridCol w:w="708"/>
        <w:gridCol w:w="709"/>
        <w:gridCol w:w="709"/>
        <w:gridCol w:w="709"/>
        <w:gridCol w:w="708"/>
        <w:gridCol w:w="709"/>
      </w:tblGrid>
      <w:tr w:rsidR="00D470B6" w:rsidRPr="00A53AD7" w14:paraId="41ED8794" w14:textId="77777777" w:rsidTr="00F81277">
        <w:trPr>
          <w:trHeight w:val="345"/>
        </w:trPr>
        <w:tc>
          <w:tcPr>
            <w:tcW w:w="1276" w:type="dxa"/>
            <w:vMerge w:val="restart"/>
          </w:tcPr>
          <w:p w14:paraId="4B2D1CD5"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источника</w:t>
            </w:r>
          </w:p>
        </w:tc>
        <w:tc>
          <w:tcPr>
            <w:tcW w:w="1418" w:type="dxa"/>
            <w:gridSpan w:val="2"/>
          </w:tcPr>
          <w:p w14:paraId="1CB7E9E1"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2014 год</w:t>
            </w:r>
          </w:p>
        </w:tc>
        <w:tc>
          <w:tcPr>
            <w:tcW w:w="1417" w:type="dxa"/>
            <w:gridSpan w:val="2"/>
          </w:tcPr>
          <w:p w14:paraId="56940FB0"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2015 год</w:t>
            </w:r>
          </w:p>
        </w:tc>
        <w:tc>
          <w:tcPr>
            <w:tcW w:w="1418" w:type="dxa"/>
            <w:gridSpan w:val="2"/>
          </w:tcPr>
          <w:p w14:paraId="092AC090"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2016 год</w:t>
            </w:r>
          </w:p>
        </w:tc>
        <w:tc>
          <w:tcPr>
            <w:tcW w:w="1417" w:type="dxa"/>
            <w:gridSpan w:val="2"/>
          </w:tcPr>
          <w:p w14:paraId="4829FDD3"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2017 год</w:t>
            </w:r>
          </w:p>
        </w:tc>
        <w:tc>
          <w:tcPr>
            <w:tcW w:w="1418" w:type="dxa"/>
            <w:gridSpan w:val="2"/>
          </w:tcPr>
          <w:p w14:paraId="0DFB5342"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2018 год</w:t>
            </w:r>
          </w:p>
        </w:tc>
        <w:tc>
          <w:tcPr>
            <w:tcW w:w="1417" w:type="dxa"/>
            <w:gridSpan w:val="2"/>
          </w:tcPr>
          <w:p w14:paraId="7DB5C904"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2019 год</w:t>
            </w:r>
          </w:p>
        </w:tc>
      </w:tr>
      <w:tr w:rsidR="00D470B6" w:rsidRPr="00A53AD7" w14:paraId="2A967747" w14:textId="77777777" w:rsidTr="00F81277">
        <w:trPr>
          <w:trHeight w:val="337"/>
        </w:trPr>
        <w:tc>
          <w:tcPr>
            <w:tcW w:w="1276" w:type="dxa"/>
            <w:vMerge/>
          </w:tcPr>
          <w:p w14:paraId="50770C9C" w14:textId="77777777" w:rsidR="00000803" w:rsidRPr="00A53AD7" w:rsidRDefault="00000803" w:rsidP="00B050EE">
            <w:pPr>
              <w:spacing w:after="0" w:line="240" w:lineRule="auto"/>
              <w:jc w:val="center"/>
              <w:rPr>
                <w:rFonts w:ascii="Times New Roman" w:hAnsi="Times New Roman"/>
                <w:sz w:val="16"/>
                <w:szCs w:val="16"/>
              </w:rPr>
            </w:pPr>
          </w:p>
        </w:tc>
        <w:tc>
          <w:tcPr>
            <w:tcW w:w="709" w:type="dxa"/>
          </w:tcPr>
          <w:p w14:paraId="022BA055"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План</w:t>
            </w:r>
          </w:p>
        </w:tc>
        <w:tc>
          <w:tcPr>
            <w:tcW w:w="709" w:type="dxa"/>
          </w:tcPr>
          <w:p w14:paraId="5EB28052"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Факт</w:t>
            </w:r>
          </w:p>
        </w:tc>
        <w:tc>
          <w:tcPr>
            <w:tcW w:w="708" w:type="dxa"/>
          </w:tcPr>
          <w:p w14:paraId="00F1A06A"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9" w:type="dxa"/>
          </w:tcPr>
          <w:p w14:paraId="50A3A5B9"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Факт</w:t>
            </w:r>
          </w:p>
        </w:tc>
        <w:tc>
          <w:tcPr>
            <w:tcW w:w="709" w:type="dxa"/>
          </w:tcPr>
          <w:p w14:paraId="31199249"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9" w:type="dxa"/>
          </w:tcPr>
          <w:p w14:paraId="3D0DC4ED"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8" w:type="dxa"/>
          </w:tcPr>
          <w:p w14:paraId="544879BC"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9" w:type="dxa"/>
          </w:tcPr>
          <w:p w14:paraId="7B72FFA1"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Факт</w:t>
            </w:r>
          </w:p>
        </w:tc>
        <w:tc>
          <w:tcPr>
            <w:tcW w:w="709" w:type="dxa"/>
          </w:tcPr>
          <w:p w14:paraId="05C5B7A2"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9" w:type="dxa"/>
          </w:tcPr>
          <w:p w14:paraId="0D2263F3"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Факт </w:t>
            </w:r>
          </w:p>
        </w:tc>
        <w:tc>
          <w:tcPr>
            <w:tcW w:w="708" w:type="dxa"/>
          </w:tcPr>
          <w:p w14:paraId="7B610730" w14:textId="77777777" w:rsidR="00000803" w:rsidRPr="00A53AD7" w:rsidRDefault="00000803" w:rsidP="00B050EE">
            <w:pPr>
              <w:spacing w:after="0" w:line="240" w:lineRule="auto"/>
              <w:jc w:val="right"/>
              <w:rPr>
                <w:rFonts w:ascii="Times New Roman" w:hAnsi="Times New Roman"/>
                <w:sz w:val="16"/>
                <w:szCs w:val="16"/>
              </w:rPr>
            </w:pPr>
            <w:r w:rsidRPr="00A53AD7">
              <w:rPr>
                <w:rFonts w:ascii="Times New Roman" w:hAnsi="Times New Roman"/>
                <w:sz w:val="16"/>
                <w:szCs w:val="16"/>
              </w:rPr>
              <w:t xml:space="preserve">План </w:t>
            </w:r>
          </w:p>
        </w:tc>
        <w:tc>
          <w:tcPr>
            <w:tcW w:w="709" w:type="dxa"/>
          </w:tcPr>
          <w:p w14:paraId="545DB931"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 xml:space="preserve">Факт </w:t>
            </w:r>
          </w:p>
        </w:tc>
      </w:tr>
      <w:tr w:rsidR="00D470B6" w:rsidRPr="00A53AD7" w14:paraId="0B17C08B" w14:textId="77777777" w:rsidTr="00F81277">
        <w:tc>
          <w:tcPr>
            <w:tcW w:w="1276" w:type="dxa"/>
          </w:tcPr>
          <w:p w14:paraId="696A968A"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Федеральный бюджет</w:t>
            </w:r>
          </w:p>
        </w:tc>
        <w:tc>
          <w:tcPr>
            <w:tcW w:w="709" w:type="dxa"/>
          </w:tcPr>
          <w:p w14:paraId="391E0B5E"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42,8</w:t>
            </w:r>
          </w:p>
        </w:tc>
        <w:tc>
          <w:tcPr>
            <w:tcW w:w="709" w:type="dxa"/>
          </w:tcPr>
          <w:p w14:paraId="50A6E9D1" w14:textId="77777777" w:rsidR="00000803" w:rsidRPr="00A53AD7" w:rsidRDefault="00000803" w:rsidP="00B050EE">
            <w:pPr>
              <w:spacing w:after="0" w:line="240" w:lineRule="auto"/>
              <w:rPr>
                <w:rFonts w:ascii="Times New Roman" w:hAnsi="Times New Roman"/>
                <w:sz w:val="16"/>
                <w:szCs w:val="16"/>
              </w:rPr>
            </w:pPr>
          </w:p>
          <w:p w14:paraId="2E64DA82"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30,7</w:t>
            </w:r>
          </w:p>
        </w:tc>
        <w:tc>
          <w:tcPr>
            <w:tcW w:w="708" w:type="dxa"/>
          </w:tcPr>
          <w:p w14:paraId="6E1F700F"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1290,1</w:t>
            </w:r>
          </w:p>
        </w:tc>
        <w:tc>
          <w:tcPr>
            <w:tcW w:w="709" w:type="dxa"/>
          </w:tcPr>
          <w:p w14:paraId="471AF08D" w14:textId="77777777" w:rsidR="00000803" w:rsidRPr="00A53AD7" w:rsidRDefault="00000803" w:rsidP="00B050EE">
            <w:pPr>
              <w:spacing w:after="0" w:line="240" w:lineRule="auto"/>
              <w:rPr>
                <w:rFonts w:ascii="Times New Roman" w:hAnsi="Times New Roman"/>
                <w:sz w:val="16"/>
                <w:szCs w:val="16"/>
              </w:rPr>
            </w:pPr>
          </w:p>
          <w:p w14:paraId="6F8B29DC"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1290,1</w:t>
            </w:r>
          </w:p>
        </w:tc>
        <w:tc>
          <w:tcPr>
            <w:tcW w:w="709" w:type="dxa"/>
          </w:tcPr>
          <w:p w14:paraId="48D1D88E"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1559,1</w:t>
            </w:r>
          </w:p>
        </w:tc>
        <w:tc>
          <w:tcPr>
            <w:tcW w:w="709" w:type="dxa"/>
          </w:tcPr>
          <w:p w14:paraId="356D8E56" w14:textId="77777777" w:rsidR="00000803" w:rsidRPr="00A53AD7" w:rsidRDefault="00000803" w:rsidP="00B050EE">
            <w:pPr>
              <w:spacing w:after="0" w:line="240" w:lineRule="auto"/>
              <w:rPr>
                <w:rFonts w:ascii="Times New Roman" w:hAnsi="Times New Roman"/>
                <w:sz w:val="16"/>
                <w:szCs w:val="16"/>
              </w:rPr>
            </w:pPr>
          </w:p>
          <w:p w14:paraId="46FA4F6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1557,1</w:t>
            </w:r>
          </w:p>
        </w:tc>
        <w:tc>
          <w:tcPr>
            <w:tcW w:w="708" w:type="dxa"/>
          </w:tcPr>
          <w:p w14:paraId="0BC544A4"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489,7</w:t>
            </w:r>
          </w:p>
        </w:tc>
        <w:tc>
          <w:tcPr>
            <w:tcW w:w="709" w:type="dxa"/>
          </w:tcPr>
          <w:p w14:paraId="29E704B9" w14:textId="77777777" w:rsidR="00000803" w:rsidRPr="00A53AD7" w:rsidRDefault="00000803" w:rsidP="00B050EE">
            <w:pPr>
              <w:spacing w:after="0" w:line="240" w:lineRule="auto"/>
              <w:rPr>
                <w:rFonts w:ascii="Times New Roman" w:hAnsi="Times New Roman"/>
                <w:sz w:val="16"/>
                <w:szCs w:val="16"/>
              </w:rPr>
            </w:pPr>
          </w:p>
          <w:p w14:paraId="1EACE914"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479,8</w:t>
            </w:r>
          </w:p>
        </w:tc>
        <w:tc>
          <w:tcPr>
            <w:tcW w:w="709" w:type="dxa"/>
          </w:tcPr>
          <w:p w14:paraId="6A765CC2"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59D17D0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8" w:type="dxa"/>
          </w:tcPr>
          <w:p w14:paraId="54B66DBA"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1 981,2</w:t>
            </w:r>
          </w:p>
        </w:tc>
        <w:tc>
          <w:tcPr>
            <w:tcW w:w="709" w:type="dxa"/>
          </w:tcPr>
          <w:p w14:paraId="759C5FE5"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1 981,2</w:t>
            </w:r>
          </w:p>
        </w:tc>
      </w:tr>
      <w:tr w:rsidR="00D470B6" w:rsidRPr="00A53AD7" w14:paraId="1B79E258" w14:textId="77777777" w:rsidTr="00F81277">
        <w:tc>
          <w:tcPr>
            <w:tcW w:w="1276" w:type="dxa"/>
          </w:tcPr>
          <w:p w14:paraId="29423AC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Областной бюджет</w:t>
            </w:r>
          </w:p>
        </w:tc>
        <w:tc>
          <w:tcPr>
            <w:tcW w:w="709" w:type="dxa"/>
          </w:tcPr>
          <w:p w14:paraId="6CD603E3"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4554,3</w:t>
            </w:r>
          </w:p>
        </w:tc>
        <w:tc>
          <w:tcPr>
            <w:tcW w:w="709" w:type="dxa"/>
          </w:tcPr>
          <w:p w14:paraId="6960179E" w14:textId="77777777" w:rsidR="00000803" w:rsidRPr="00A53AD7" w:rsidRDefault="00000803" w:rsidP="00B050EE">
            <w:pPr>
              <w:spacing w:after="0" w:line="240" w:lineRule="auto"/>
              <w:rPr>
                <w:rFonts w:ascii="Times New Roman" w:hAnsi="Times New Roman"/>
                <w:sz w:val="16"/>
                <w:szCs w:val="16"/>
              </w:rPr>
            </w:pPr>
          </w:p>
          <w:p w14:paraId="267707DA"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4241,3</w:t>
            </w:r>
          </w:p>
        </w:tc>
        <w:tc>
          <w:tcPr>
            <w:tcW w:w="708" w:type="dxa"/>
          </w:tcPr>
          <w:p w14:paraId="3F750EE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3688,5</w:t>
            </w:r>
          </w:p>
        </w:tc>
        <w:tc>
          <w:tcPr>
            <w:tcW w:w="709" w:type="dxa"/>
          </w:tcPr>
          <w:p w14:paraId="08C9DCE3" w14:textId="77777777" w:rsidR="00000803" w:rsidRPr="00A53AD7" w:rsidRDefault="00000803" w:rsidP="00B050EE">
            <w:pPr>
              <w:spacing w:after="0" w:line="240" w:lineRule="auto"/>
              <w:rPr>
                <w:rFonts w:ascii="Times New Roman" w:hAnsi="Times New Roman"/>
                <w:sz w:val="16"/>
                <w:szCs w:val="16"/>
              </w:rPr>
            </w:pPr>
          </w:p>
          <w:p w14:paraId="432B9495"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3604,0</w:t>
            </w:r>
          </w:p>
        </w:tc>
        <w:tc>
          <w:tcPr>
            <w:tcW w:w="709" w:type="dxa"/>
          </w:tcPr>
          <w:p w14:paraId="79EFE0BB"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5275,8</w:t>
            </w:r>
          </w:p>
        </w:tc>
        <w:tc>
          <w:tcPr>
            <w:tcW w:w="709" w:type="dxa"/>
          </w:tcPr>
          <w:p w14:paraId="028D6684" w14:textId="77777777" w:rsidR="00000803" w:rsidRPr="00A53AD7" w:rsidRDefault="00000803" w:rsidP="00B050EE">
            <w:pPr>
              <w:spacing w:after="0" w:line="240" w:lineRule="auto"/>
              <w:rPr>
                <w:rFonts w:ascii="Times New Roman" w:hAnsi="Times New Roman"/>
                <w:sz w:val="16"/>
                <w:szCs w:val="16"/>
              </w:rPr>
            </w:pPr>
          </w:p>
          <w:p w14:paraId="05A27DBE"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4879,0</w:t>
            </w:r>
          </w:p>
        </w:tc>
        <w:tc>
          <w:tcPr>
            <w:tcW w:w="708" w:type="dxa"/>
          </w:tcPr>
          <w:p w14:paraId="45BEA6CF"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4793,3</w:t>
            </w:r>
          </w:p>
        </w:tc>
        <w:tc>
          <w:tcPr>
            <w:tcW w:w="709" w:type="dxa"/>
          </w:tcPr>
          <w:p w14:paraId="3E123A4B" w14:textId="77777777" w:rsidR="00000803" w:rsidRPr="00A53AD7" w:rsidRDefault="00000803" w:rsidP="00B050EE">
            <w:pPr>
              <w:spacing w:after="0" w:line="240" w:lineRule="auto"/>
              <w:rPr>
                <w:rFonts w:ascii="Times New Roman" w:hAnsi="Times New Roman"/>
                <w:sz w:val="16"/>
                <w:szCs w:val="16"/>
              </w:rPr>
            </w:pPr>
          </w:p>
          <w:p w14:paraId="5C53176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4756,1</w:t>
            </w:r>
          </w:p>
        </w:tc>
        <w:tc>
          <w:tcPr>
            <w:tcW w:w="709" w:type="dxa"/>
          </w:tcPr>
          <w:p w14:paraId="7AB5A12F"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5203,0</w:t>
            </w:r>
          </w:p>
        </w:tc>
        <w:tc>
          <w:tcPr>
            <w:tcW w:w="709" w:type="dxa"/>
          </w:tcPr>
          <w:p w14:paraId="24F56EF4"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5 203,0</w:t>
            </w:r>
          </w:p>
        </w:tc>
        <w:tc>
          <w:tcPr>
            <w:tcW w:w="708" w:type="dxa"/>
          </w:tcPr>
          <w:p w14:paraId="76AE4940"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5 709,3</w:t>
            </w:r>
          </w:p>
        </w:tc>
        <w:tc>
          <w:tcPr>
            <w:tcW w:w="709" w:type="dxa"/>
          </w:tcPr>
          <w:p w14:paraId="173D0873"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5 565,7</w:t>
            </w:r>
          </w:p>
        </w:tc>
      </w:tr>
      <w:tr w:rsidR="00D470B6" w:rsidRPr="00A53AD7" w14:paraId="151C1F25" w14:textId="77777777" w:rsidTr="00F81277">
        <w:tc>
          <w:tcPr>
            <w:tcW w:w="1276" w:type="dxa"/>
          </w:tcPr>
          <w:p w14:paraId="2DED1725"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Местный бюджет</w:t>
            </w:r>
          </w:p>
        </w:tc>
        <w:tc>
          <w:tcPr>
            <w:tcW w:w="709" w:type="dxa"/>
          </w:tcPr>
          <w:p w14:paraId="7B9DC3B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9,7</w:t>
            </w:r>
          </w:p>
        </w:tc>
        <w:tc>
          <w:tcPr>
            <w:tcW w:w="709" w:type="dxa"/>
          </w:tcPr>
          <w:p w14:paraId="6E6A95E0" w14:textId="77777777" w:rsidR="00000803" w:rsidRPr="00A53AD7" w:rsidRDefault="00000803" w:rsidP="00B050EE">
            <w:pPr>
              <w:spacing w:after="0" w:line="240" w:lineRule="auto"/>
              <w:rPr>
                <w:rFonts w:ascii="Times New Roman" w:hAnsi="Times New Roman"/>
                <w:sz w:val="16"/>
                <w:szCs w:val="16"/>
              </w:rPr>
            </w:pPr>
          </w:p>
          <w:p w14:paraId="0A04B461"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9,7</w:t>
            </w:r>
          </w:p>
        </w:tc>
        <w:tc>
          <w:tcPr>
            <w:tcW w:w="708" w:type="dxa"/>
          </w:tcPr>
          <w:p w14:paraId="7188A668"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1,6</w:t>
            </w:r>
          </w:p>
        </w:tc>
        <w:tc>
          <w:tcPr>
            <w:tcW w:w="709" w:type="dxa"/>
          </w:tcPr>
          <w:p w14:paraId="2264D453" w14:textId="77777777" w:rsidR="00000803" w:rsidRPr="00A53AD7" w:rsidRDefault="00000803" w:rsidP="00B050EE">
            <w:pPr>
              <w:spacing w:after="0" w:line="240" w:lineRule="auto"/>
              <w:rPr>
                <w:rFonts w:ascii="Times New Roman" w:hAnsi="Times New Roman"/>
                <w:sz w:val="16"/>
                <w:szCs w:val="16"/>
              </w:rPr>
            </w:pPr>
          </w:p>
          <w:p w14:paraId="1132476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1,7</w:t>
            </w:r>
          </w:p>
        </w:tc>
        <w:tc>
          <w:tcPr>
            <w:tcW w:w="709" w:type="dxa"/>
          </w:tcPr>
          <w:p w14:paraId="50E9E653"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0,2</w:t>
            </w:r>
          </w:p>
        </w:tc>
        <w:tc>
          <w:tcPr>
            <w:tcW w:w="709" w:type="dxa"/>
          </w:tcPr>
          <w:p w14:paraId="3835E8ED" w14:textId="77777777" w:rsidR="00000803" w:rsidRPr="00A53AD7" w:rsidRDefault="00000803" w:rsidP="00B050EE">
            <w:pPr>
              <w:spacing w:after="0" w:line="240" w:lineRule="auto"/>
              <w:rPr>
                <w:rFonts w:ascii="Times New Roman" w:hAnsi="Times New Roman"/>
                <w:sz w:val="16"/>
                <w:szCs w:val="16"/>
              </w:rPr>
            </w:pPr>
          </w:p>
          <w:p w14:paraId="07359FB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0,2</w:t>
            </w:r>
          </w:p>
        </w:tc>
        <w:tc>
          <w:tcPr>
            <w:tcW w:w="708" w:type="dxa"/>
          </w:tcPr>
          <w:p w14:paraId="2F3D2498"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43,4</w:t>
            </w:r>
          </w:p>
        </w:tc>
        <w:tc>
          <w:tcPr>
            <w:tcW w:w="709" w:type="dxa"/>
          </w:tcPr>
          <w:p w14:paraId="57B1B163" w14:textId="77777777" w:rsidR="00000803" w:rsidRPr="00A53AD7" w:rsidRDefault="00000803" w:rsidP="00B050EE">
            <w:pPr>
              <w:spacing w:after="0" w:line="240" w:lineRule="auto"/>
              <w:rPr>
                <w:rFonts w:ascii="Times New Roman" w:hAnsi="Times New Roman"/>
                <w:sz w:val="16"/>
                <w:szCs w:val="16"/>
              </w:rPr>
            </w:pPr>
          </w:p>
          <w:p w14:paraId="56EEF875"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42,1</w:t>
            </w:r>
          </w:p>
        </w:tc>
        <w:tc>
          <w:tcPr>
            <w:tcW w:w="709" w:type="dxa"/>
          </w:tcPr>
          <w:p w14:paraId="28BE8403"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72,0</w:t>
            </w:r>
          </w:p>
        </w:tc>
        <w:tc>
          <w:tcPr>
            <w:tcW w:w="709" w:type="dxa"/>
          </w:tcPr>
          <w:p w14:paraId="2FDB22F5"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71.3</w:t>
            </w:r>
          </w:p>
        </w:tc>
        <w:tc>
          <w:tcPr>
            <w:tcW w:w="708" w:type="dxa"/>
          </w:tcPr>
          <w:p w14:paraId="04D8EFDE"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298,5</w:t>
            </w:r>
          </w:p>
        </w:tc>
        <w:tc>
          <w:tcPr>
            <w:tcW w:w="709" w:type="dxa"/>
          </w:tcPr>
          <w:p w14:paraId="1176C97B"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290,2</w:t>
            </w:r>
          </w:p>
        </w:tc>
      </w:tr>
      <w:tr w:rsidR="00D470B6" w:rsidRPr="00A53AD7" w14:paraId="3733A436" w14:textId="77777777" w:rsidTr="00F81277">
        <w:tc>
          <w:tcPr>
            <w:tcW w:w="1276" w:type="dxa"/>
          </w:tcPr>
          <w:p w14:paraId="72E38F6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Внебюджетные источники</w:t>
            </w:r>
          </w:p>
        </w:tc>
        <w:tc>
          <w:tcPr>
            <w:tcW w:w="709" w:type="dxa"/>
          </w:tcPr>
          <w:p w14:paraId="1F014EC4"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103781DC" w14:textId="77777777" w:rsidR="00000803" w:rsidRPr="00A53AD7" w:rsidRDefault="00000803" w:rsidP="00B050EE">
            <w:pPr>
              <w:spacing w:after="0" w:line="240" w:lineRule="auto"/>
              <w:rPr>
                <w:rFonts w:ascii="Times New Roman" w:hAnsi="Times New Roman"/>
                <w:sz w:val="16"/>
                <w:szCs w:val="16"/>
              </w:rPr>
            </w:pPr>
          </w:p>
          <w:p w14:paraId="3C7D816E"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8" w:type="dxa"/>
          </w:tcPr>
          <w:p w14:paraId="35DB2EC1"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349D7B21" w14:textId="77777777" w:rsidR="00000803" w:rsidRPr="00A53AD7" w:rsidRDefault="00000803" w:rsidP="00B050EE">
            <w:pPr>
              <w:spacing w:after="0" w:line="240" w:lineRule="auto"/>
              <w:rPr>
                <w:rFonts w:ascii="Times New Roman" w:hAnsi="Times New Roman"/>
                <w:sz w:val="16"/>
                <w:szCs w:val="16"/>
              </w:rPr>
            </w:pPr>
          </w:p>
          <w:p w14:paraId="188972BD"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6C0376A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5BEBD522" w14:textId="77777777" w:rsidR="00000803" w:rsidRPr="00A53AD7" w:rsidRDefault="00000803" w:rsidP="00B050EE">
            <w:pPr>
              <w:spacing w:after="0" w:line="240" w:lineRule="auto"/>
              <w:rPr>
                <w:rFonts w:ascii="Times New Roman" w:hAnsi="Times New Roman"/>
                <w:sz w:val="16"/>
                <w:szCs w:val="16"/>
              </w:rPr>
            </w:pPr>
          </w:p>
          <w:p w14:paraId="015C6BEC"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8" w:type="dxa"/>
          </w:tcPr>
          <w:p w14:paraId="51A4E5CB"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3,1</w:t>
            </w:r>
          </w:p>
        </w:tc>
        <w:tc>
          <w:tcPr>
            <w:tcW w:w="709" w:type="dxa"/>
          </w:tcPr>
          <w:p w14:paraId="3E108B44" w14:textId="77777777" w:rsidR="00000803" w:rsidRPr="00A53AD7" w:rsidRDefault="00000803" w:rsidP="00B050EE">
            <w:pPr>
              <w:spacing w:after="0" w:line="240" w:lineRule="auto"/>
              <w:rPr>
                <w:rFonts w:ascii="Times New Roman" w:hAnsi="Times New Roman"/>
                <w:sz w:val="16"/>
                <w:szCs w:val="16"/>
              </w:rPr>
            </w:pPr>
          </w:p>
          <w:p w14:paraId="1BBB91F0"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3,1</w:t>
            </w:r>
          </w:p>
        </w:tc>
        <w:tc>
          <w:tcPr>
            <w:tcW w:w="709" w:type="dxa"/>
          </w:tcPr>
          <w:p w14:paraId="05DA5CB0"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25227DC4"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8" w:type="dxa"/>
          </w:tcPr>
          <w:p w14:paraId="373F9A07"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c>
          <w:tcPr>
            <w:tcW w:w="709" w:type="dxa"/>
          </w:tcPr>
          <w:p w14:paraId="1E04BF82"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0,0</w:t>
            </w:r>
          </w:p>
        </w:tc>
      </w:tr>
      <w:tr w:rsidR="00D470B6" w:rsidRPr="00A53AD7" w14:paraId="7E48A44D" w14:textId="77777777" w:rsidTr="00F81277">
        <w:tc>
          <w:tcPr>
            <w:tcW w:w="1276" w:type="dxa"/>
          </w:tcPr>
          <w:p w14:paraId="532F781E" w14:textId="77777777" w:rsidR="00000803" w:rsidRPr="00A53AD7" w:rsidRDefault="00000803" w:rsidP="00B050EE">
            <w:pPr>
              <w:spacing w:after="0" w:line="240" w:lineRule="auto"/>
              <w:jc w:val="center"/>
              <w:rPr>
                <w:rFonts w:ascii="Times New Roman" w:hAnsi="Times New Roman"/>
                <w:b/>
                <w:sz w:val="16"/>
                <w:szCs w:val="16"/>
              </w:rPr>
            </w:pPr>
            <w:r w:rsidRPr="00A53AD7">
              <w:rPr>
                <w:rFonts w:ascii="Times New Roman" w:hAnsi="Times New Roman"/>
                <w:b/>
                <w:sz w:val="16"/>
                <w:szCs w:val="16"/>
              </w:rPr>
              <w:t>Итого</w:t>
            </w:r>
          </w:p>
        </w:tc>
        <w:tc>
          <w:tcPr>
            <w:tcW w:w="709" w:type="dxa"/>
          </w:tcPr>
          <w:p w14:paraId="5F200232"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4606,8</w:t>
            </w:r>
          </w:p>
        </w:tc>
        <w:tc>
          <w:tcPr>
            <w:tcW w:w="709" w:type="dxa"/>
          </w:tcPr>
          <w:p w14:paraId="6A011632"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4281,8</w:t>
            </w:r>
          </w:p>
        </w:tc>
        <w:tc>
          <w:tcPr>
            <w:tcW w:w="708" w:type="dxa"/>
          </w:tcPr>
          <w:p w14:paraId="46BD7ACB"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4980,2</w:t>
            </w:r>
          </w:p>
        </w:tc>
        <w:tc>
          <w:tcPr>
            <w:tcW w:w="709" w:type="dxa"/>
          </w:tcPr>
          <w:p w14:paraId="6E1C9689"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iCs/>
                <w:sz w:val="16"/>
                <w:szCs w:val="16"/>
              </w:rPr>
              <w:t>4895,7</w:t>
            </w:r>
          </w:p>
        </w:tc>
        <w:tc>
          <w:tcPr>
            <w:tcW w:w="709" w:type="dxa"/>
          </w:tcPr>
          <w:p w14:paraId="59C7E8F9"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6835,0</w:t>
            </w:r>
          </w:p>
        </w:tc>
        <w:tc>
          <w:tcPr>
            <w:tcW w:w="709" w:type="dxa"/>
          </w:tcPr>
          <w:p w14:paraId="6541852D"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iCs/>
                <w:sz w:val="16"/>
                <w:szCs w:val="16"/>
              </w:rPr>
              <w:t>6436,3</w:t>
            </w:r>
          </w:p>
        </w:tc>
        <w:tc>
          <w:tcPr>
            <w:tcW w:w="708" w:type="dxa"/>
          </w:tcPr>
          <w:p w14:paraId="1D9EFEB2"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5329,5</w:t>
            </w:r>
          </w:p>
        </w:tc>
        <w:tc>
          <w:tcPr>
            <w:tcW w:w="709" w:type="dxa"/>
          </w:tcPr>
          <w:p w14:paraId="779DA2FD"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iCs/>
                <w:sz w:val="16"/>
                <w:szCs w:val="16"/>
              </w:rPr>
              <w:t>5281,0</w:t>
            </w:r>
          </w:p>
        </w:tc>
        <w:tc>
          <w:tcPr>
            <w:tcW w:w="709" w:type="dxa"/>
          </w:tcPr>
          <w:p w14:paraId="7582CA2E"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5396,0</w:t>
            </w:r>
          </w:p>
        </w:tc>
        <w:tc>
          <w:tcPr>
            <w:tcW w:w="709" w:type="dxa"/>
          </w:tcPr>
          <w:p w14:paraId="359333BC"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iCs/>
                <w:sz w:val="16"/>
                <w:szCs w:val="16"/>
              </w:rPr>
              <w:t>5274 ,3</w:t>
            </w:r>
          </w:p>
        </w:tc>
        <w:tc>
          <w:tcPr>
            <w:tcW w:w="708" w:type="dxa"/>
          </w:tcPr>
          <w:p w14:paraId="6B3471DC"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7 989,1</w:t>
            </w:r>
          </w:p>
        </w:tc>
        <w:tc>
          <w:tcPr>
            <w:tcW w:w="709" w:type="dxa"/>
          </w:tcPr>
          <w:p w14:paraId="5600F876" w14:textId="77777777" w:rsidR="00000803" w:rsidRPr="00A53AD7" w:rsidRDefault="00000803" w:rsidP="00B050EE">
            <w:pPr>
              <w:spacing w:after="0" w:line="240" w:lineRule="auto"/>
              <w:rPr>
                <w:rFonts w:ascii="Times New Roman" w:hAnsi="Times New Roman"/>
                <w:b/>
                <w:sz w:val="16"/>
                <w:szCs w:val="16"/>
              </w:rPr>
            </w:pPr>
            <w:r w:rsidRPr="00A53AD7">
              <w:rPr>
                <w:rFonts w:ascii="Times New Roman" w:hAnsi="Times New Roman"/>
                <w:b/>
                <w:sz w:val="16"/>
                <w:szCs w:val="16"/>
              </w:rPr>
              <w:t>7 837,1</w:t>
            </w:r>
          </w:p>
        </w:tc>
      </w:tr>
      <w:tr w:rsidR="00000803" w:rsidRPr="00A53AD7" w14:paraId="53EEEFED" w14:textId="77777777" w:rsidTr="00F81277">
        <w:tc>
          <w:tcPr>
            <w:tcW w:w="1276" w:type="dxa"/>
          </w:tcPr>
          <w:p w14:paraId="43D40B38" w14:textId="77777777" w:rsidR="00000803" w:rsidRPr="00A53AD7" w:rsidRDefault="00000803" w:rsidP="00B050EE">
            <w:pPr>
              <w:spacing w:after="0" w:line="240" w:lineRule="auto"/>
              <w:jc w:val="center"/>
              <w:rPr>
                <w:rFonts w:ascii="Times New Roman" w:hAnsi="Times New Roman"/>
                <w:sz w:val="16"/>
                <w:szCs w:val="16"/>
              </w:rPr>
            </w:pPr>
            <w:r w:rsidRPr="00A53AD7">
              <w:rPr>
                <w:rFonts w:ascii="Times New Roman" w:hAnsi="Times New Roman"/>
                <w:sz w:val="16"/>
                <w:szCs w:val="16"/>
              </w:rPr>
              <w:t>% исполнения</w:t>
            </w:r>
          </w:p>
        </w:tc>
        <w:tc>
          <w:tcPr>
            <w:tcW w:w="709" w:type="dxa"/>
          </w:tcPr>
          <w:p w14:paraId="38BF36E4" w14:textId="77777777" w:rsidR="00000803" w:rsidRPr="00A53AD7" w:rsidRDefault="00000803" w:rsidP="00B050EE">
            <w:pPr>
              <w:spacing w:after="0" w:line="240" w:lineRule="auto"/>
              <w:rPr>
                <w:rFonts w:ascii="Times New Roman" w:hAnsi="Times New Roman"/>
                <w:sz w:val="16"/>
                <w:szCs w:val="16"/>
              </w:rPr>
            </w:pPr>
          </w:p>
        </w:tc>
        <w:tc>
          <w:tcPr>
            <w:tcW w:w="709" w:type="dxa"/>
          </w:tcPr>
          <w:p w14:paraId="1AA9909D"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92,9</w:t>
            </w:r>
          </w:p>
        </w:tc>
        <w:tc>
          <w:tcPr>
            <w:tcW w:w="708" w:type="dxa"/>
          </w:tcPr>
          <w:p w14:paraId="761D8AF5" w14:textId="77777777" w:rsidR="00000803" w:rsidRPr="00A53AD7" w:rsidRDefault="00000803" w:rsidP="00B050EE">
            <w:pPr>
              <w:spacing w:after="0" w:line="240" w:lineRule="auto"/>
              <w:rPr>
                <w:rFonts w:ascii="Times New Roman" w:hAnsi="Times New Roman"/>
                <w:sz w:val="16"/>
                <w:szCs w:val="16"/>
              </w:rPr>
            </w:pPr>
          </w:p>
        </w:tc>
        <w:tc>
          <w:tcPr>
            <w:tcW w:w="709" w:type="dxa"/>
          </w:tcPr>
          <w:p w14:paraId="6668D47C"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98,3</w:t>
            </w:r>
          </w:p>
        </w:tc>
        <w:tc>
          <w:tcPr>
            <w:tcW w:w="709" w:type="dxa"/>
          </w:tcPr>
          <w:p w14:paraId="5EAC8012" w14:textId="77777777" w:rsidR="00000803" w:rsidRPr="00A53AD7" w:rsidRDefault="00000803" w:rsidP="00B050EE">
            <w:pPr>
              <w:spacing w:after="0" w:line="240" w:lineRule="auto"/>
              <w:rPr>
                <w:rFonts w:ascii="Times New Roman" w:hAnsi="Times New Roman"/>
                <w:sz w:val="16"/>
                <w:szCs w:val="16"/>
              </w:rPr>
            </w:pPr>
          </w:p>
        </w:tc>
        <w:tc>
          <w:tcPr>
            <w:tcW w:w="709" w:type="dxa"/>
          </w:tcPr>
          <w:p w14:paraId="1ABA2961" w14:textId="77777777" w:rsidR="00000803" w:rsidRPr="00A53AD7" w:rsidRDefault="00000803" w:rsidP="00B050EE">
            <w:pPr>
              <w:spacing w:after="0" w:line="240" w:lineRule="auto"/>
              <w:rPr>
                <w:rFonts w:ascii="Times New Roman" w:hAnsi="Times New Roman"/>
                <w:iCs/>
                <w:sz w:val="16"/>
                <w:szCs w:val="16"/>
              </w:rPr>
            </w:pPr>
            <w:r w:rsidRPr="00A53AD7">
              <w:rPr>
                <w:rFonts w:ascii="Times New Roman" w:hAnsi="Times New Roman"/>
                <w:iCs/>
                <w:sz w:val="16"/>
                <w:szCs w:val="16"/>
              </w:rPr>
              <w:t>94,2</w:t>
            </w:r>
          </w:p>
        </w:tc>
        <w:tc>
          <w:tcPr>
            <w:tcW w:w="708" w:type="dxa"/>
          </w:tcPr>
          <w:p w14:paraId="72D224DC" w14:textId="77777777" w:rsidR="00000803" w:rsidRPr="00A53AD7" w:rsidRDefault="00000803" w:rsidP="00B050EE">
            <w:pPr>
              <w:spacing w:after="0" w:line="240" w:lineRule="auto"/>
              <w:rPr>
                <w:rFonts w:ascii="Times New Roman" w:hAnsi="Times New Roman"/>
                <w:sz w:val="16"/>
                <w:szCs w:val="16"/>
              </w:rPr>
            </w:pPr>
          </w:p>
        </w:tc>
        <w:tc>
          <w:tcPr>
            <w:tcW w:w="709" w:type="dxa"/>
          </w:tcPr>
          <w:p w14:paraId="02DCF5BA" w14:textId="77777777" w:rsidR="00000803" w:rsidRPr="00A53AD7" w:rsidRDefault="00000803" w:rsidP="00B050EE">
            <w:pPr>
              <w:spacing w:after="0" w:line="240" w:lineRule="auto"/>
              <w:rPr>
                <w:rFonts w:ascii="Times New Roman" w:hAnsi="Times New Roman"/>
                <w:iCs/>
                <w:sz w:val="16"/>
                <w:szCs w:val="16"/>
              </w:rPr>
            </w:pPr>
            <w:r w:rsidRPr="00A53AD7">
              <w:rPr>
                <w:rFonts w:ascii="Times New Roman" w:hAnsi="Times New Roman"/>
                <w:iCs/>
                <w:sz w:val="16"/>
                <w:szCs w:val="16"/>
              </w:rPr>
              <w:t>99,1</w:t>
            </w:r>
          </w:p>
        </w:tc>
        <w:tc>
          <w:tcPr>
            <w:tcW w:w="709" w:type="dxa"/>
          </w:tcPr>
          <w:p w14:paraId="71CB7FF6" w14:textId="77777777" w:rsidR="00000803" w:rsidRPr="00A53AD7" w:rsidRDefault="00000803" w:rsidP="00B050EE">
            <w:pPr>
              <w:spacing w:after="0" w:line="240" w:lineRule="auto"/>
              <w:rPr>
                <w:rFonts w:ascii="Times New Roman" w:hAnsi="Times New Roman"/>
                <w:sz w:val="16"/>
                <w:szCs w:val="16"/>
              </w:rPr>
            </w:pPr>
          </w:p>
        </w:tc>
        <w:tc>
          <w:tcPr>
            <w:tcW w:w="709" w:type="dxa"/>
          </w:tcPr>
          <w:p w14:paraId="26F904B2" w14:textId="77777777" w:rsidR="00000803" w:rsidRPr="00A53AD7" w:rsidRDefault="00000803" w:rsidP="00B050EE">
            <w:pPr>
              <w:spacing w:after="0" w:line="240" w:lineRule="auto"/>
              <w:rPr>
                <w:rFonts w:ascii="Times New Roman" w:hAnsi="Times New Roman"/>
                <w:iCs/>
                <w:sz w:val="16"/>
                <w:szCs w:val="16"/>
              </w:rPr>
            </w:pPr>
            <w:r w:rsidRPr="00A53AD7">
              <w:rPr>
                <w:rFonts w:ascii="Times New Roman" w:hAnsi="Times New Roman"/>
                <w:iCs/>
                <w:sz w:val="16"/>
                <w:szCs w:val="16"/>
              </w:rPr>
              <w:t>97,7</w:t>
            </w:r>
          </w:p>
        </w:tc>
        <w:tc>
          <w:tcPr>
            <w:tcW w:w="708" w:type="dxa"/>
          </w:tcPr>
          <w:p w14:paraId="3A35E2AD" w14:textId="77777777" w:rsidR="00000803" w:rsidRPr="00A53AD7" w:rsidRDefault="00000803" w:rsidP="00B050EE">
            <w:pPr>
              <w:spacing w:after="0" w:line="240" w:lineRule="auto"/>
              <w:rPr>
                <w:rFonts w:ascii="Times New Roman" w:hAnsi="Times New Roman"/>
                <w:sz w:val="16"/>
                <w:szCs w:val="16"/>
              </w:rPr>
            </w:pPr>
          </w:p>
        </w:tc>
        <w:tc>
          <w:tcPr>
            <w:tcW w:w="709" w:type="dxa"/>
          </w:tcPr>
          <w:p w14:paraId="4045E1A9" w14:textId="77777777" w:rsidR="00000803" w:rsidRPr="00A53AD7" w:rsidRDefault="00000803" w:rsidP="00B050EE">
            <w:pPr>
              <w:spacing w:after="0" w:line="240" w:lineRule="auto"/>
              <w:rPr>
                <w:rFonts w:ascii="Times New Roman" w:hAnsi="Times New Roman"/>
                <w:sz w:val="16"/>
                <w:szCs w:val="16"/>
              </w:rPr>
            </w:pPr>
            <w:r w:rsidRPr="00A53AD7">
              <w:rPr>
                <w:rFonts w:ascii="Times New Roman" w:hAnsi="Times New Roman"/>
                <w:sz w:val="16"/>
                <w:szCs w:val="16"/>
              </w:rPr>
              <w:t>98,1</w:t>
            </w:r>
          </w:p>
        </w:tc>
      </w:tr>
    </w:tbl>
    <w:p w14:paraId="107747A5" w14:textId="77777777"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p>
    <w:p w14:paraId="4B0431AC" w14:textId="77777777"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 Начиная с 2019 года, госпрограмма реализуется в рамках семи подпрограмм.</w:t>
      </w:r>
    </w:p>
    <w:p w14:paraId="7AF27E2E" w14:textId="77777777"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В течение 2019 года по целевым показателям государственной программы изменения вносились 3 раза, в ресурсное обеспечение - 4 раза.</w:t>
      </w:r>
    </w:p>
    <w:p w14:paraId="43DF9DBA" w14:textId="0744B200"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отчету «Сведения о достижении целевых показателей ГП» за 2019 год, размещенному в КИАС, из 12 общих целевых показателей ГП самое низкое исполнение 70% по целевому показателю «5. Количество дорожно-транспортных происшествий на сети региональных автомобильных дорог из-за сопутствующих дорожных условий на 1 тыс. автотранспортных средств».</w:t>
      </w:r>
      <w:r w:rsidR="008D4148" w:rsidRPr="00A53AD7">
        <w:rPr>
          <w:rFonts w:ascii="Times New Roman" w:eastAsia="Times New Roman" w:hAnsi="Times New Roman"/>
          <w:sz w:val="28"/>
          <w:szCs w:val="28"/>
          <w:lang w:eastAsia="ru-RU"/>
        </w:rPr>
        <w:t xml:space="preserve"> </w:t>
      </w:r>
    </w:p>
    <w:p w14:paraId="74B2BB83" w14:textId="2EC811B1"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Согласно «Отчету о реализации мероприятий ГП за 2019 год», размещенному в системе КИАС, исполнение за счет всех источников </w:t>
      </w:r>
      <w:r w:rsidR="00EE5979" w:rsidRPr="00A53AD7">
        <w:rPr>
          <w:rFonts w:ascii="Times New Roman" w:eastAsia="Times New Roman" w:hAnsi="Times New Roman"/>
          <w:sz w:val="28"/>
          <w:szCs w:val="28"/>
          <w:lang w:eastAsia="ru-RU"/>
        </w:rPr>
        <w:t>составило в сумме 7 837,1 млн.</w:t>
      </w:r>
      <w:r w:rsidRPr="00A53AD7">
        <w:rPr>
          <w:rFonts w:ascii="Times New Roman" w:eastAsia="Times New Roman" w:hAnsi="Times New Roman"/>
          <w:sz w:val="28"/>
          <w:szCs w:val="28"/>
          <w:lang w:eastAsia="ru-RU"/>
        </w:rPr>
        <w:t>руб. или 98,1% к плану или 148,6% к уровню прошлого года.</w:t>
      </w:r>
    </w:p>
    <w:p w14:paraId="07D093B8" w14:textId="57D76117" w:rsidR="00000803" w:rsidRPr="00A53AD7" w:rsidRDefault="00000803" w:rsidP="007364DB">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Расходы на реализацию мероприятий госпрограммы в динамике с начала действия в разрезе источников финансирования представлены в таблице</w:t>
      </w:r>
      <w:r w:rsidR="007364DB"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и на диаграмме</w:t>
      </w:r>
      <w:r w:rsidR="007364DB" w:rsidRPr="00A53AD7">
        <w:rPr>
          <w:rFonts w:ascii="Times New Roman" w:eastAsia="Times New Roman" w:hAnsi="Times New Roman"/>
          <w:sz w:val="28"/>
          <w:szCs w:val="28"/>
          <w:lang w:eastAsia="ru-RU"/>
        </w:rPr>
        <w:t>:</w:t>
      </w:r>
    </w:p>
    <w:p w14:paraId="1BB84960" w14:textId="77777777" w:rsidR="0086127D" w:rsidRPr="00A53AD7" w:rsidRDefault="0086127D" w:rsidP="007364DB">
      <w:pPr>
        <w:spacing w:after="0" w:line="240" w:lineRule="auto"/>
        <w:jc w:val="right"/>
        <w:rPr>
          <w:rFonts w:ascii="Times New Roman" w:hAnsi="Times New Roman"/>
          <w:szCs w:val="20"/>
        </w:rPr>
      </w:pPr>
    </w:p>
    <w:p w14:paraId="07E3973C" w14:textId="77777777" w:rsidR="0086127D" w:rsidRPr="00A53AD7" w:rsidRDefault="0086127D" w:rsidP="007364DB">
      <w:pPr>
        <w:spacing w:after="0" w:line="240" w:lineRule="auto"/>
        <w:jc w:val="right"/>
        <w:rPr>
          <w:rFonts w:ascii="Times New Roman" w:hAnsi="Times New Roman"/>
          <w:szCs w:val="20"/>
        </w:rPr>
      </w:pPr>
    </w:p>
    <w:p w14:paraId="412D847B" w14:textId="77777777" w:rsidR="0086127D" w:rsidRPr="00A53AD7" w:rsidRDefault="0086127D" w:rsidP="007364DB">
      <w:pPr>
        <w:spacing w:after="0" w:line="240" w:lineRule="auto"/>
        <w:jc w:val="right"/>
        <w:rPr>
          <w:rFonts w:ascii="Times New Roman" w:hAnsi="Times New Roman"/>
          <w:szCs w:val="20"/>
        </w:rPr>
      </w:pPr>
    </w:p>
    <w:p w14:paraId="0A40388E" w14:textId="77777777" w:rsidR="0086127D" w:rsidRPr="00A53AD7" w:rsidRDefault="0086127D" w:rsidP="007364DB">
      <w:pPr>
        <w:spacing w:after="0" w:line="240" w:lineRule="auto"/>
        <w:jc w:val="right"/>
        <w:rPr>
          <w:rFonts w:ascii="Times New Roman" w:hAnsi="Times New Roman"/>
          <w:szCs w:val="20"/>
        </w:rPr>
      </w:pPr>
    </w:p>
    <w:p w14:paraId="5CC65934" w14:textId="77777777" w:rsidR="0086127D" w:rsidRPr="00A53AD7" w:rsidRDefault="0086127D" w:rsidP="007364DB">
      <w:pPr>
        <w:spacing w:after="0" w:line="240" w:lineRule="auto"/>
        <w:jc w:val="right"/>
        <w:rPr>
          <w:rFonts w:ascii="Times New Roman" w:hAnsi="Times New Roman"/>
          <w:szCs w:val="20"/>
        </w:rPr>
      </w:pPr>
    </w:p>
    <w:p w14:paraId="67BFA886" w14:textId="6F5F2E74" w:rsidR="00000803" w:rsidRPr="00A53AD7" w:rsidRDefault="00EE5979" w:rsidP="007364DB">
      <w:pPr>
        <w:spacing w:after="0" w:line="240" w:lineRule="auto"/>
        <w:jc w:val="right"/>
        <w:rPr>
          <w:rFonts w:ascii="Times New Roman" w:hAnsi="Times New Roman"/>
          <w:szCs w:val="20"/>
        </w:rPr>
      </w:pPr>
      <w:r w:rsidRPr="00A53AD7">
        <w:rPr>
          <w:rFonts w:ascii="Times New Roman" w:hAnsi="Times New Roman"/>
          <w:szCs w:val="20"/>
        </w:rPr>
        <w:t>млн.</w:t>
      </w:r>
      <w:r w:rsidR="00000803" w:rsidRPr="00A53AD7">
        <w:rPr>
          <w:rFonts w:ascii="Times New Roman" w:hAnsi="Times New Roman"/>
          <w:szCs w:val="20"/>
        </w:rPr>
        <w:t>руб.</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5ABFE367" w14:textId="77777777" w:rsidTr="00E8366D">
        <w:trPr>
          <w:trHeight w:val="587"/>
          <w:tblHeader/>
          <w:jc w:val="center"/>
        </w:trPr>
        <w:tc>
          <w:tcPr>
            <w:tcW w:w="1453" w:type="pct"/>
            <w:vAlign w:val="center"/>
          </w:tcPr>
          <w:p w14:paraId="3EB0FCBD" w14:textId="405913E1" w:rsidR="00000803" w:rsidRPr="00A53AD7" w:rsidRDefault="00000803" w:rsidP="0086127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7BD5A139"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3342E7FC"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7880E1F1"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67525EA8"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5E0639FB"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2FEB420E"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6F51CDD4"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30522771" w14:textId="77777777" w:rsidR="00000803" w:rsidRPr="00A53AD7" w:rsidRDefault="00000803" w:rsidP="00E8366D">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2D8584FC" w14:textId="77777777" w:rsidTr="007364DB">
        <w:trPr>
          <w:trHeight w:val="194"/>
          <w:tblHeader/>
          <w:jc w:val="center"/>
        </w:trPr>
        <w:tc>
          <w:tcPr>
            <w:tcW w:w="1453" w:type="pct"/>
            <w:vAlign w:val="center"/>
          </w:tcPr>
          <w:p w14:paraId="0E83DFF4"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74335EF1"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71CE3271"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0E7212AA"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4942AFBE"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1E5CD767"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6AC059EA" w14:textId="77777777" w:rsidR="00000803" w:rsidRPr="00A53AD7" w:rsidRDefault="00000803" w:rsidP="007364DB">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70465B7E" w14:textId="77777777" w:rsidR="00000803" w:rsidRPr="00A53AD7" w:rsidRDefault="00000803" w:rsidP="007364DB">
            <w:pPr>
              <w:spacing w:after="0" w:line="240" w:lineRule="auto"/>
              <w:jc w:val="center"/>
              <w:rPr>
                <w:rFonts w:ascii="Times New Roman" w:hAnsi="Times New Roman"/>
                <w:sz w:val="16"/>
                <w:szCs w:val="16"/>
              </w:rPr>
            </w:pPr>
          </w:p>
        </w:tc>
        <w:tc>
          <w:tcPr>
            <w:tcW w:w="353" w:type="pct"/>
          </w:tcPr>
          <w:p w14:paraId="5630E9C8" w14:textId="77777777" w:rsidR="00000803" w:rsidRPr="00A53AD7" w:rsidRDefault="00000803" w:rsidP="007364DB">
            <w:pPr>
              <w:spacing w:after="0" w:line="240" w:lineRule="auto"/>
              <w:jc w:val="center"/>
              <w:rPr>
                <w:rFonts w:ascii="Times New Roman" w:hAnsi="Times New Roman"/>
                <w:sz w:val="16"/>
                <w:szCs w:val="16"/>
              </w:rPr>
            </w:pPr>
          </w:p>
        </w:tc>
      </w:tr>
      <w:tr w:rsidR="00D470B6" w:rsidRPr="00A53AD7" w14:paraId="50611CF5" w14:textId="77777777" w:rsidTr="00E8366D">
        <w:trPr>
          <w:trHeight w:val="210"/>
          <w:jc w:val="center"/>
        </w:trPr>
        <w:tc>
          <w:tcPr>
            <w:tcW w:w="1453" w:type="pct"/>
            <w:vAlign w:val="center"/>
          </w:tcPr>
          <w:p w14:paraId="764B7D87" w14:textId="77777777" w:rsidR="00000803" w:rsidRPr="00A53AD7" w:rsidRDefault="00000803" w:rsidP="007364DB">
            <w:pPr>
              <w:tabs>
                <w:tab w:val="left" w:pos="253"/>
              </w:tabs>
              <w:spacing w:after="0" w:line="240" w:lineRule="auto"/>
              <w:rPr>
                <w:rFonts w:ascii="Times New Roman" w:hAnsi="Times New Roman"/>
                <w:b/>
                <w:bCs/>
                <w:sz w:val="20"/>
                <w:szCs w:val="20"/>
              </w:rPr>
            </w:pPr>
            <w:r w:rsidRPr="00A53AD7">
              <w:rPr>
                <w:rFonts w:ascii="Times New Roman" w:hAnsi="Times New Roman"/>
                <w:b/>
                <w:bCs/>
                <w:sz w:val="20"/>
                <w:szCs w:val="20"/>
              </w:rPr>
              <w:t>ВСЕГО расходов по программе</w:t>
            </w:r>
          </w:p>
        </w:tc>
        <w:tc>
          <w:tcPr>
            <w:tcW w:w="509" w:type="pct"/>
          </w:tcPr>
          <w:p w14:paraId="491B96E8"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4 281,8</w:t>
            </w:r>
          </w:p>
        </w:tc>
        <w:tc>
          <w:tcPr>
            <w:tcW w:w="509" w:type="pct"/>
          </w:tcPr>
          <w:p w14:paraId="42792DA7"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4 895,7</w:t>
            </w:r>
          </w:p>
        </w:tc>
        <w:tc>
          <w:tcPr>
            <w:tcW w:w="509" w:type="pct"/>
          </w:tcPr>
          <w:p w14:paraId="3DD944AC"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6 436,3</w:t>
            </w:r>
          </w:p>
        </w:tc>
        <w:tc>
          <w:tcPr>
            <w:tcW w:w="435" w:type="pct"/>
          </w:tcPr>
          <w:p w14:paraId="532C4EA1"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5 281,0</w:t>
            </w:r>
          </w:p>
        </w:tc>
        <w:tc>
          <w:tcPr>
            <w:tcW w:w="422" w:type="pct"/>
          </w:tcPr>
          <w:p w14:paraId="65D14FA7"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5 274 ,3</w:t>
            </w:r>
          </w:p>
        </w:tc>
        <w:tc>
          <w:tcPr>
            <w:tcW w:w="449" w:type="pct"/>
          </w:tcPr>
          <w:p w14:paraId="29E9995A" w14:textId="77777777" w:rsidR="00000803" w:rsidRPr="00A53AD7" w:rsidRDefault="00000803" w:rsidP="00E8366D">
            <w:pPr>
              <w:spacing w:after="0" w:line="240" w:lineRule="auto"/>
              <w:jc w:val="right"/>
              <w:rPr>
                <w:rFonts w:ascii="Times New Roman" w:hAnsi="Times New Roman"/>
                <w:b/>
                <w:iCs/>
                <w:sz w:val="20"/>
                <w:szCs w:val="20"/>
              </w:rPr>
            </w:pPr>
            <w:r w:rsidRPr="00A53AD7">
              <w:rPr>
                <w:rFonts w:ascii="Times New Roman" w:hAnsi="Times New Roman"/>
                <w:b/>
                <w:iCs/>
                <w:sz w:val="20"/>
                <w:szCs w:val="20"/>
              </w:rPr>
              <w:t>7837,1</w:t>
            </w:r>
          </w:p>
        </w:tc>
        <w:tc>
          <w:tcPr>
            <w:tcW w:w="361" w:type="pct"/>
          </w:tcPr>
          <w:p w14:paraId="01ACE9D1" w14:textId="77777777" w:rsidR="00000803" w:rsidRPr="00A53AD7" w:rsidRDefault="00000803" w:rsidP="00E8366D">
            <w:pPr>
              <w:spacing w:after="0" w:line="240" w:lineRule="auto"/>
              <w:jc w:val="right"/>
              <w:rPr>
                <w:rFonts w:ascii="Times New Roman" w:hAnsi="Times New Roman"/>
                <w:b/>
                <w:bCs/>
                <w:sz w:val="20"/>
                <w:szCs w:val="20"/>
              </w:rPr>
            </w:pPr>
            <w:r w:rsidRPr="00A53AD7">
              <w:rPr>
                <w:rFonts w:ascii="Times New Roman" w:hAnsi="Times New Roman"/>
                <w:b/>
                <w:bCs/>
                <w:sz w:val="20"/>
                <w:szCs w:val="20"/>
              </w:rPr>
              <w:t>183</w:t>
            </w:r>
          </w:p>
        </w:tc>
        <w:tc>
          <w:tcPr>
            <w:tcW w:w="353" w:type="pct"/>
          </w:tcPr>
          <w:p w14:paraId="61929B6A" w14:textId="77777777" w:rsidR="00000803" w:rsidRPr="00A53AD7" w:rsidRDefault="00000803" w:rsidP="00E8366D">
            <w:pPr>
              <w:spacing w:after="0" w:line="240" w:lineRule="auto"/>
              <w:jc w:val="right"/>
              <w:rPr>
                <w:rFonts w:ascii="Times New Roman" w:hAnsi="Times New Roman"/>
                <w:b/>
                <w:bCs/>
                <w:sz w:val="20"/>
                <w:szCs w:val="20"/>
              </w:rPr>
            </w:pPr>
            <w:r w:rsidRPr="00A53AD7">
              <w:rPr>
                <w:rFonts w:ascii="Times New Roman" w:hAnsi="Times New Roman"/>
                <w:b/>
                <w:bCs/>
                <w:sz w:val="20"/>
                <w:szCs w:val="20"/>
              </w:rPr>
              <w:t>149</w:t>
            </w:r>
          </w:p>
        </w:tc>
      </w:tr>
      <w:tr w:rsidR="00D470B6" w:rsidRPr="00A53AD7" w14:paraId="27542BAB" w14:textId="77777777" w:rsidTr="00E8366D">
        <w:trPr>
          <w:trHeight w:val="210"/>
          <w:jc w:val="center"/>
        </w:trPr>
        <w:tc>
          <w:tcPr>
            <w:tcW w:w="1453" w:type="pct"/>
            <w:vAlign w:val="center"/>
          </w:tcPr>
          <w:p w14:paraId="38A0BF9E" w14:textId="77777777" w:rsidR="00000803" w:rsidRPr="00A53AD7" w:rsidRDefault="00000803" w:rsidP="007364D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09E3D75C"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30,7</w:t>
            </w:r>
          </w:p>
        </w:tc>
        <w:tc>
          <w:tcPr>
            <w:tcW w:w="509" w:type="pct"/>
          </w:tcPr>
          <w:p w14:paraId="04C9986D"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1290,1</w:t>
            </w:r>
          </w:p>
        </w:tc>
        <w:tc>
          <w:tcPr>
            <w:tcW w:w="509" w:type="pct"/>
          </w:tcPr>
          <w:p w14:paraId="44E94352"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1557,1</w:t>
            </w:r>
          </w:p>
        </w:tc>
        <w:tc>
          <w:tcPr>
            <w:tcW w:w="435" w:type="pct"/>
          </w:tcPr>
          <w:p w14:paraId="43C883B2"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479,8</w:t>
            </w:r>
          </w:p>
        </w:tc>
        <w:tc>
          <w:tcPr>
            <w:tcW w:w="422" w:type="pct"/>
          </w:tcPr>
          <w:p w14:paraId="7E711482"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532CBF0E"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1981,2</w:t>
            </w:r>
          </w:p>
        </w:tc>
        <w:tc>
          <w:tcPr>
            <w:tcW w:w="361" w:type="pct"/>
          </w:tcPr>
          <w:p w14:paraId="76AA516D"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6453</w:t>
            </w:r>
          </w:p>
        </w:tc>
        <w:tc>
          <w:tcPr>
            <w:tcW w:w="353" w:type="pct"/>
          </w:tcPr>
          <w:p w14:paraId="7F02BE87"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w:t>
            </w:r>
          </w:p>
        </w:tc>
      </w:tr>
      <w:tr w:rsidR="00D470B6" w:rsidRPr="00A53AD7" w14:paraId="48A08575" w14:textId="77777777" w:rsidTr="00E8366D">
        <w:trPr>
          <w:trHeight w:val="210"/>
          <w:jc w:val="center"/>
        </w:trPr>
        <w:tc>
          <w:tcPr>
            <w:tcW w:w="1453" w:type="pct"/>
            <w:vAlign w:val="center"/>
          </w:tcPr>
          <w:p w14:paraId="631C04E1" w14:textId="77777777" w:rsidR="00000803" w:rsidRPr="00A53AD7" w:rsidRDefault="00000803" w:rsidP="007364D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44F409B3"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4241,3</w:t>
            </w:r>
          </w:p>
        </w:tc>
        <w:tc>
          <w:tcPr>
            <w:tcW w:w="509" w:type="pct"/>
          </w:tcPr>
          <w:p w14:paraId="6124E953"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3604,0</w:t>
            </w:r>
          </w:p>
        </w:tc>
        <w:tc>
          <w:tcPr>
            <w:tcW w:w="509" w:type="pct"/>
          </w:tcPr>
          <w:p w14:paraId="6017F210"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4879,0</w:t>
            </w:r>
          </w:p>
        </w:tc>
        <w:tc>
          <w:tcPr>
            <w:tcW w:w="435" w:type="pct"/>
          </w:tcPr>
          <w:p w14:paraId="11AE32A5"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4756,1</w:t>
            </w:r>
          </w:p>
        </w:tc>
        <w:tc>
          <w:tcPr>
            <w:tcW w:w="422" w:type="pct"/>
          </w:tcPr>
          <w:p w14:paraId="62D9ADD2"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5 203,0</w:t>
            </w:r>
          </w:p>
        </w:tc>
        <w:tc>
          <w:tcPr>
            <w:tcW w:w="449" w:type="pct"/>
          </w:tcPr>
          <w:p w14:paraId="53EE2EE0"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5565,7</w:t>
            </w:r>
          </w:p>
        </w:tc>
        <w:tc>
          <w:tcPr>
            <w:tcW w:w="361" w:type="pct"/>
          </w:tcPr>
          <w:p w14:paraId="73891C31"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131</w:t>
            </w:r>
          </w:p>
        </w:tc>
        <w:tc>
          <w:tcPr>
            <w:tcW w:w="353" w:type="pct"/>
          </w:tcPr>
          <w:p w14:paraId="6E0B7551"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107</w:t>
            </w:r>
          </w:p>
        </w:tc>
      </w:tr>
      <w:tr w:rsidR="00D470B6" w:rsidRPr="00A53AD7" w14:paraId="69CECDCA" w14:textId="77777777" w:rsidTr="00E8366D">
        <w:trPr>
          <w:trHeight w:val="210"/>
          <w:jc w:val="center"/>
        </w:trPr>
        <w:tc>
          <w:tcPr>
            <w:tcW w:w="1453" w:type="pct"/>
            <w:vAlign w:val="center"/>
          </w:tcPr>
          <w:p w14:paraId="512CBC09" w14:textId="77777777" w:rsidR="00000803" w:rsidRPr="00A53AD7" w:rsidRDefault="00000803" w:rsidP="007364D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3C3679A4"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9,7</w:t>
            </w:r>
          </w:p>
        </w:tc>
        <w:tc>
          <w:tcPr>
            <w:tcW w:w="509" w:type="pct"/>
          </w:tcPr>
          <w:p w14:paraId="10E5504A"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1,7</w:t>
            </w:r>
          </w:p>
        </w:tc>
        <w:tc>
          <w:tcPr>
            <w:tcW w:w="509" w:type="pct"/>
          </w:tcPr>
          <w:p w14:paraId="4845D3D7"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0,2</w:t>
            </w:r>
          </w:p>
        </w:tc>
        <w:tc>
          <w:tcPr>
            <w:tcW w:w="435" w:type="pct"/>
          </w:tcPr>
          <w:p w14:paraId="39DCB859"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42,1</w:t>
            </w:r>
          </w:p>
        </w:tc>
        <w:tc>
          <w:tcPr>
            <w:tcW w:w="422" w:type="pct"/>
          </w:tcPr>
          <w:p w14:paraId="6398EE9E"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71.3</w:t>
            </w:r>
          </w:p>
        </w:tc>
        <w:tc>
          <w:tcPr>
            <w:tcW w:w="449" w:type="pct"/>
          </w:tcPr>
          <w:p w14:paraId="7D071DC1"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290,2</w:t>
            </w:r>
          </w:p>
        </w:tc>
        <w:tc>
          <w:tcPr>
            <w:tcW w:w="361" w:type="pct"/>
          </w:tcPr>
          <w:p w14:paraId="150D66B5"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2992</w:t>
            </w:r>
          </w:p>
        </w:tc>
        <w:tc>
          <w:tcPr>
            <w:tcW w:w="353" w:type="pct"/>
          </w:tcPr>
          <w:p w14:paraId="3E29EF51"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407</w:t>
            </w:r>
          </w:p>
        </w:tc>
      </w:tr>
      <w:tr w:rsidR="00000803" w:rsidRPr="00A53AD7" w14:paraId="48E8C999" w14:textId="77777777" w:rsidTr="00E8366D">
        <w:trPr>
          <w:trHeight w:val="210"/>
          <w:jc w:val="center"/>
        </w:trPr>
        <w:tc>
          <w:tcPr>
            <w:tcW w:w="1453" w:type="pct"/>
            <w:vAlign w:val="center"/>
          </w:tcPr>
          <w:p w14:paraId="3DB9B6A5" w14:textId="77777777" w:rsidR="00000803" w:rsidRPr="00A53AD7" w:rsidRDefault="00000803" w:rsidP="007364D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Внебюджетные источники</w:t>
            </w:r>
          </w:p>
        </w:tc>
        <w:tc>
          <w:tcPr>
            <w:tcW w:w="509" w:type="pct"/>
          </w:tcPr>
          <w:p w14:paraId="18A09FE0"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6522163C"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67BBEF09"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35" w:type="pct"/>
          </w:tcPr>
          <w:p w14:paraId="2FCE140C"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3,1</w:t>
            </w:r>
          </w:p>
        </w:tc>
        <w:tc>
          <w:tcPr>
            <w:tcW w:w="422" w:type="pct"/>
          </w:tcPr>
          <w:p w14:paraId="0FE3D9CB"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3326F486"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787F7FDC" w14:textId="77777777" w:rsidR="00000803" w:rsidRPr="00A53AD7" w:rsidRDefault="00000803" w:rsidP="00E8366D">
            <w:pPr>
              <w:spacing w:after="0" w:line="240" w:lineRule="auto"/>
              <w:jc w:val="right"/>
              <w:rPr>
                <w:rFonts w:ascii="Times New Roman" w:hAnsi="Times New Roman"/>
                <w:bCs/>
                <w:sz w:val="16"/>
                <w:szCs w:val="16"/>
              </w:rPr>
            </w:pPr>
            <w:r w:rsidRPr="00A53AD7">
              <w:rPr>
                <w:rFonts w:ascii="Times New Roman" w:hAnsi="Times New Roman"/>
                <w:bCs/>
                <w:sz w:val="16"/>
                <w:szCs w:val="16"/>
              </w:rPr>
              <w:t>0</w:t>
            </w:r>
          </w:p>
        </w:tc>
        <w:tc>
          <w:tcPr>
            <w:tcW w:w="353" w:type="pct"/>
          </w:tcPr>
          <w:p w14:paraId="4E590A31" w14:textId="77777777" w:rsidR="00000803" w:rsidRPr="00A53AD7" w:rsidRDefault="00000803" w:rsidP="00E8366D">
            <w:pPr>
              <w:spacing w:after="0" w:line="240" w:lineRule="auto"/>
              <w:jc w:val="right"/>
              <w:rPr>
                <w:rFonts w:ascii="Times New Roman" w:hAnsi="Times New Roman"/>
                <w:sz w:val="16"/>
                <w:szCs w:val="16"/>
              </w:rPr>
            </w:pPr>
            <w:r w:rsidRPr="00A53AD7">
              <w:rPr>
                <w:rFonts w:ascii="Times New Roman" w:hAnsi="Times New Roman"/>
                <w:sz w:val="16"/>
                <w:szCs w:val="16"/>
              </w:rPr>
              <w:t>0</w:t>
            </w:r>
          </w:p>
        </w:tc>
      </w:tr>
    </w:tbl>
    <w:p w14:paraId="78744AB4" w14:textId="77777777" w:rsidR="0076147B" w:rsidRPr="00A53AD7" w:rsidRDefault="0076147B" w:rsidP="00000803">
      <w:pPr>
        <w:pStyle w:val="ConsPlusNormal"/>
        <w:ind w:firstLine="851"/>
        <w:jc w:val="both"/>
        <w:rPr>
          <w:rFonts w:ascii="Times New Roman" w:hAnsi="Times New Roman" w:cs="Times New Roman"/>
          <w:sz w:val="28"/>
          <w:szCs w:val="28"/>
          <w:highlight w:val="cyan"/>
        </w:rPr>
      </w:pPr>
    </w:p>
    <w:p w14:paraId="5B635F4A" w14:textId="77777777" w:rsidR="00000803" w:rsidRPr="00A53AD7" w:rsidRDefault="00000803" w:rsidP="00000803">
      <w:pPr>
        <w:pStyle w:val="ConsPlusNormal"/>
        <w:ind w:firstLine="851"/>
        <w:jc w:val="both"/>
        <w:rPr>
          <w:rFonts w:ascii="Times New Roman" w:hAnsi="Times New Roman" w:cs="Times New Roman"/>
          <w:sz w:val="28"/>
          <w:szCs w:val="28"/>
        </w:rPr>
      </w:pPr>
      <w:r w:rsidRPr="00A53AD7">
        <w:rPr>
          <w:rFonts w:ascii="Times New Roman" w:hAnsi="Times New Roman" w:cs="Times New Roman"/>
          <w:noProof/>
          <w:sz w:val="28"/>
          <w:szCs w:val="28"/>
        </w:rPr>
        <w:drawing>
          <wp:inline distT="0" distB="0" distL="0" distR="0" wp14:anchorId="114074B1" wp14:editId="70C953F5">
            <wp:extent cx="4596782" cy="267637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596782" cy="2676376"/>
                    </a:xfrm>
                    <a:prstGeom prst="rect">
                      <a:avLst/>
                    </a:prstGeom>
                  </pic:spPr>
                </pic:pic>
              </a:graphicData>
            </a:graphic>
          </wp:inline>
        </w:drawing>
      </w:r>
    </w:p>
    <w:p w14:paraId="14255D2D" w14:textId="77777777" w:rsidR="0076147B" w:rsidRPr="00A53AD7" w:rsidRDefault="0076147B" w:rsidP="00000803">
      <w:pPr>
        <w:pStyle w:val="ConsPlusNormal"/>
        <w:ind w:firstLine="851"/>
        <w:jc w:val="both"/>
        <w:rPr>
          <w:rFonts w:ascii="Times New Roman" w:hAnsi="Times New Roman" w:cs="Times New Roman"/>
          <w:sz w:val="28"/>
          <w:szCs w:val="28"/>
        </w:rPr>
      </w:pPr>
    </w:p>
    <w:p w14:paraId="01DF5826" w14:textId="0D7B40E2" w:rsidR="00000803" w:rsidRPr="00A53AD7" w:rsidRDefault="00000803" w:rsidP="00000803">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Отмечаем значительный рост расходов на реализацию программных мероприятий как за 2019 год по сравнению с 2014 годом – началом действия программы (или на 183%), так и</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 xml:space="preserve">по сравнению с 2018 годом на 149%. Указанный рост расходов сложился в связи с привлечением средств финансовой поддержки и за счет возросшей доли источников формирования дорожного фонда Архангельской области. </w:t>
      </w:r>
    </w:p>
    <w:p w14:paraId="70454E5E" w14:textId="77777777" w:rsidR="00000803" w:rsidRPr="00A53AD7" w:rsidRDefault="00000803" w:rsidP="00C97593">
      <w:pPr>
        <w:pStyle w:val="ConsPlusNormal"/>
        <w:ind w:firstLine="851"/>
        <w:jc w:val="both"/>
        <w:rPr>
          <w:rFonts w:ascii="Times New Roman" w:hAnsi="Times New Roman" w:cs="Times New Roman"/>
          <w:sz w:val="28"/>
          <w:szCs w:val="28"/>
        </w:rPr>
      </w:pPr>
    </w:p>
    <w:p w14:paraId="2DDC5E91" w14:textId="77777777" w:rsidR="00000803" w:rsidRPr="00A53AD7" w:rsidRDefault="00000803" w:rsidP="00967B91">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Подпрограмма № 1</w:t>
      </w:r>
      <w:r w:rsidRPr="00A53AD7">
        <w:rPr>
          <w:rFonts w:ascii="Times New Roman" w:hAnsi="Times New Roman"/>
          <w:b/>
          <w:sz w:val="28"/>
          <w:szCs w:val="28"/>
          <w:u w:val="single"/>
          <w:lang w:val="x-none" w:eastAsia="x-none"/>
        </w:rPr>
        <w:t xml:space="preserve"> «Проведение сбалансированной государственной тарифной политики на транспорте»</w:t>
      </w:r>
    </w:p>
    <w:p w14:paraId="6DE06DF3" w14:textId="4B78298F" w:rsidR="00000803" w:rsidRPr="00A53AD7" w:rsidRDefault="00000803" w:rsidP="003C5483">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финанси</w:t>
      </w:r>
      <w:r w:rsidR="003C5483" w:rsidRPr="00A53AD7">
        <w:rPr>
          <w:rFonts w:ascii="Times New Roman" w:hAnsi="Times New Roman" w:cs="Times New Roman"/>
          <w:sz w:val="28"/>
          <w:szCs w:val="28"/>
        </w:rPr>
        <w:t>рования представлены 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2C6F8D53" w14:textId="77777777" w:rsidTr="004001F4">
        <w:trPr>
          <w:trHeight w:val="587"/>
          <w:tblHeader/>
          <w:jc w:val="center"/>
        </w:trPr>
        <w:tc>
          <w:tcPr>
            <w:tcW w:w="1453" w:type="pct"/>
            <w:vAlign w:val="center"/>
          </w:tcPr>
          <w:p w14:paraId="55E7007B" w14:textId="345C7F79" w:rsidR="00000803" w:rsidRPr="00A53AD7" w:rsidRDefault="00000803" w:rsidP="0086127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1A8F6BB2"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635F4C8F"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22458BFD"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769281C9"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6D8A0283"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628F5D97"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31064964"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593A4B82" w14:textId="77777777" w:rsidR="00000803" w:rsidRPr="00A53AD7" w:rsidRDefault="00000803" w:rsidP="004001F4">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32F43530" w14:textId="77777777" w:rsidTr="00461FF6">
        <w:trPr>
          <w:trHeight w:val="210"/>
          <w:jc w:val="center"/>
        </w:trPr>
        <w:tc>
          <w:tcPr>
            <w:tcW w:w="1453" w:type="pct"/>
            <w:shd w:val="clear" w:color="auto" w:fill="D9D9D9" w:themeFill="background1" w:themeFillShade="D9"/>
            <w:vAlign w:val="center"/>
          </w:tcPr>
          <w:p w14:paraId="4E8D6D7D" w14:textId="77777777" w:rsidR="00000803" w:rsidRPr="00A53AD7" w:rsidRDefault="00000803" w:rsidP="004001F4">
            <w:pPr>
              <w:tabs>
                <w:tab w:val="left" w:pos="253"/>
              </w:tabs>
              <w:spacing w:after="0" w:line="240" w:lineRule="auto"/>
              <w:rPr>
                <w:rFonts w:ascii="Times New Roman" w:hAnsi="Times New Roman"/>
                <w:sz w:val="18"/>
                <w:szCs w:val="18"/>
              </w:rPr>
            </w:pPr>
            <w:r w:rsidRPr="00A53AD7">
              <w:rPr>
                <w:rFonts w:ascii="Times New Roman" w:hAnsi="Times New Roman"/>
                <w:sz w:val="18"/>
                <w:szCs w:val="18"/>
              </w:rPr>
              <w:t>Подпрограмма № 1 «Проведение сбалансированной государственной тарифной политики на транспорте»</w:t>
            </w:r>
          </w:p>
        </w:tc>
        <w:tc>
          <w:tcPr>
            <w:tcW w:w="509" w:type="pct"/>
            <w:shd w:val="clear" w:color="auto" w:fill="D9D9D9" w:themeFill="background1" w:themeFillShade="D9"/>
          </w:tcPr>
          <w:p w14:paraId="1A13505F" w14:textId="77777777" w:rsidR="00000803" w:rsidRPr="00A53AD7" w:rsidRDefault="00000803" w:rsidP="00461FF6">
            <w:pPr>
              <w:spacing w:after="0" w:line="240" w:lineRule="auto"/>
              <w:jc w:val="center"/>
              <w:rPr>
                <w:rFonts w:ascii="Times New Roman" w:hAnsi="Times New Roman"/>
                <w:sz w:val="18"/>
                <w:szCs w:val="18"/>
              </w:rPr>
            </w:pPr>
            <w:r w:rsidRPr="00A53AD7">
              <w:rPr>
                <w:rFonts w:ascii="Times New Roman" w:hAnsi="Times New Roman"/>
                <w:sz w:val="18"/>
                <w:szCs w:val="18"/>
              </w:rPr>
              <w:t>432,5</w:t>
            </w:r>
          </w:p>
        </w:tc>
        <w:tc>
          <w:tcPr>
            <w:tcW w:w="509" w:type="pct"/>
            <w:shd w:val="clear" w:color="auto" w:fill="D9D9D9" w:themeFill="background1" w:themeFillShade="D9"/>
          </w:tcPr>
          <w:p w14:paraId="4BC5C6CC" w14:textId="77777777" w:rsidR="00000803" w:rsidRPr="00A53AD7" w:rsidRDefault="00000803" w:rsidP="00461FF6">
            <w:pPr>
              <w:spacing w:after="0" w:line="240" w:lineRule="auto"/>
              <w:jc w:val="center"/>
              <w:rPr>
                <w:rFonts w:ascii="Times New Roman" w:hAnsi="Times New Roman"/>
                <w:sz w:val="18"/>
                <w:szCs w:val="18"/>
              </w:rPr>
            </w:pPr>
            <w:r w:rsidRPr="00A53AD7">
              <w:rPr>
                <w:rFonts w:ascii="Times New Roman" w:hAnsi="Times New Roman"/>
                <w:sz w:val="18"/>
                <w:szCs w:val="18"/>
              </w:rPr>
              <w:t>431,1</w:t>
            </w:r>
          </w:p>
        </w:tc>
        <w:tc>
          <w:tcPr>
            <w:tcW w:w="509" w:type="pct"/>
            <w:shd w:val="clear" w:color="auto" w:fill="D9D9D9" w:themeFill="background1" w:themeFillShade="D9"/>
          </w:tcPr>
          <w:p w14:paraId="4C4A2E89" w14:textId="77777777" w:rsidR="00000803" w:rsidRPr="00A53AD7" w:rsidRDefault="00000803" w:rsidP="00461FF6">
            <w:pPr>
              <w:spacing w:after="0" w:line="240" w:lineRule="auto"/>
              <w:jc w:val="center"/>
              <w:rPr>
                <w:rFonts w:ascii="Times New Roman" w:hAnsi="Times New Roman"/>
                <w:sz w:val="18"/>
                <w:szCs w:val="18"/>
              </w:rPr>
            </w:pPr>
            <w:r w:rsidRPr="00A53AD7">
              <w:rPr>
                <w:rFonts w:ascii="Times New Roman" w:hAnsi="Times New Roman"/>
                <w:sz w:val="18"/>
                <w:szCs w:val="18"/>
              </w:rPr>
              <w:t>480,3</w:t>
            </w:r>
          </w:p>
        </w:tc>
        <w:tc>
          <w:tcPr>
            <w:tcW w:w="435" w:type="pct"/>
            <w:shd w:val="clear" w:color="auto" w:fill="D9D9D9" w:themeFill="background1" w:themeFillShade="D9"/>
          </w:tcPr>
          <w:p w14:paraId="5BBF6B1E" w14:textId="77777777" w:rsidR="00000803" w:rsidRPr="00A53AD7" w:rsidRDefault="00000803" w:rsidP="00461FF6">
            <w:pPr>
              <w:spacing w:after="0" w:line="240" w:lineRule="auto"/>
              <w:jc w:val="center"/>
              <w:rPr>
                <w:rFonts w:ascii="Times New Roman" w:hAnsi="Times New Roman"/>
                <w:sz w:val="18"/>
                <w:szCs w:val="18"/>
              </w:rPr>
            </w:pPr>
            <w:r w:rsidRPr="00A53AD7">
              <w:rPr>
                <w:rFonts w:ascii="Times New Roman" w:hAnsi="Times New Roman"/>
                <w:sz w:val="18"/>
                <w:szCs w:val="18"/>
              </w:rPr>
              <w:t>460,5</w:t>
            </w:r>
          </w:p>
        </w:tc>
        <w:tc>
          <w:tcPr>
            <w:tcW w:w="422" w:type="pct"/>
            <w:shd w:val="clear" w:color="auto" w:fill="D9D9D9" w:themeFill="background1" w:themeFillShade="D9"/>
          </w:tcPr>
          <w:p w14:paraId="63AB180E" w14:textId="77777777" w:rsidR="00000803" w:rsidRPr="00A53AD7" w:rsidRDefault="00000803" w:rsidP="00461FF6">
            <w:pPr>
              <w:spacing w:after="0" w:line="240" w:lineRule="auto"/>
              <w:jc w:val="center"/>
              <w:rPr>
                <w:rFonts w:ascii="Times New Roman" w:hAnsi="Times New Roman"/>
                <w:sz w:val="18"/>
                <w:szCs w:val="18"/>
              </w:rPr>
            </w:pPr>
            <w:r w:rsidRPr="00A53AD7">
              <w:rPr>
                <w:rFonts w:ascii="Times New Roman" w:hAnsi="Times New Roman"/>
                <w:sz w:val="18"/>
                <w:szCs w:val="18"/>
              </w:rPr>
              <w:t>588,5</w:t>
            </w:r>
          </w:p>
        </w:tc>
        <w:tc>
          <w:tcPr>
            <w:tcW w:w="449" w:type="pct"/>
            <w:shd w:val="clear" w:color="auto" w:fill="D9D9D9" w:themeFill="background1" w:themeFillShade="D9"/>
          </w:tcPr>
          <w:p w14:paraId="682C0ED3" w14:textId="77777777" w:rsidR="00000803" w:rsidRPr="00A53AD7" w:rsidRDefault="00000803" w:rsidP="00461FF6">
            <w:pPr>
              <w:widowControl w:val="0"/>
              <w:autoSpaceDE w:val="0"/>
              <w:autoSpaceDN w:val="0"/>
              <w:spacing w:after="0" w:line="240" w:lineRule="auto"/>
              <w:ind w:left="-113" w:right="-113"/>
              <w:jc w:val="center"/>
              <w:rPr>
                <w:rFonts w:ascii="Times New Roman" w:hAnsi="Times New Roman"/>
                <w:sz w:val="18"/>
                <w:szCs w:val="18"/>
              </w:rPr>
            </w:pPr>
            <w:r w:rsidRPr="00A53AD7">
              <w:rPr>
                <w:rFonts w:ascii="Times New Roman" w:hAnsi="Times New Roman"/>
                <w:sz w:val="18"/>
                <w:szCs w:val="18"/>
              </w:rPr>
              <w:t>686,0</w:t>
            </w:r>
          </w:p>
        </w:tc>
        <w:tc>
          <w:tcPr>
            <w:tcW w:w="361" w:type="pct"/>
            <w:shd w:val="clear" w:color="auto" w:fill="D9D9D9" w:themeFill="background1" w:themeFillShade="D9"/>
          </w:tcPr>
          <w:p w14:paraId="16ED6F38" w14:textId="77777777" w:rsidR="00000803" w:rsidRPr="00A53AD7" w:rsidRDefault="00000803" w:rsidP="00461FF6">
            <w:pPr>
              <w:widowControl w:val="0"/>
              <w:autoSpaceDE w:val="0"/>
              <w:autoSpaceDN w:val="0"/>
              <w:spacing w:after="0" w:line="240" w:lineRule="auto"/>
              <w:ind w:left="-113" w:right="-113"/>
              <w:jc w:val="center"/>
              <w:rPr>
                <w:rFonts w:ascii="Times New Roman" w:hAnsi="Times New Roman"/>
                <w:sz w:val="18"/>
                <w:szCs w:val="18"/>
              </w:rPr>
            </w:pPr>
            <w:r w:rsidRPr="00A53AD7">
              <w:rPr>
                <w:rFonts w:ascii="Times New Roman" w:hAnsi="Times New Roman"/>
                <w:sz w:val="18"/>
                <w:szCs w:val="18"/>
              </w:rPr>
              <w:t>158,6</w:t>
            </w:r>
          </w:p>
        </w:tc>
        <w:tc>
          <w:tcPr>
            <w:tcW w:w="353" w:type="pct"/>
            <w:shd w:val="clear" w:color="auto" w:fill="D9D9D9" w:themeFill="background1" w:themeFillShade="D9"/>
          </w:tcPr>
          <w:p w14:paraId="5C25D89F" w14:textId="77777777" w:rsidR="00000803" w:rsidRPr="00A53AD7" w:rsidRDefault="00000803" w:rsidP="00461FF6">
            <w:pPr>
              <w:widowControl w:val="0"/>
              <w:autoSpaceDE w:val="0"/>
              <w:autoSpaceDN w:val="0"/>
              <w:spacing w:after="0" w:line="240" w:lineRule="auto"/>
              <w:ind w:left="-113" w:right="-113"/>
              <w:jc w:val="center"/>
              <w:rPr>
                <w:rFonts w:ascii="Times New Roman" w:hAnsi="Times New Roman"/>
                <w:sz w:val="18"/>
                <w:szCs w:val="18"/>
              </w:rPr>
            </w:pPr>
            <w:r w:rsidRPr="00A53AD7">
              <w:rPr>
                <w:rFonts w:ascii="Times New Roman" w:hAnsi="Times New Roman"/>
                <w:sz w:val="18"/>
                <w:szCs w:val="18"/>
              </w:rPr>
              <w:t>116,6</w:t>
            </w:r>
          </w:p>
        </w:tc>
      </w:tr>
      <w:tr w:rsidR="00D470B6" w:rsidRPr="00A53AD7" w14:paraId="0E067930" w14:textId="77777777" w:rsidTr="004001F4">
        <w:trPr>
          <w:trHeight w:val="210"/>
          <w:jc w:val="center"/>
        </w:trPr>
        <w:tc>
          <w:tcPr>
            <w:tcW w:w="1453" w:type="pct"/>
            <w:vAlign w:val="center"/>
          </w:tcPr>
          <w:p w14:paraId="5DA93BB7" w14:textId="77777777" w:rsidR="00000803" w:rsidRPr="00A53AD7" w:rsidRDefault="00000803" w:rsidP="004001F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4064CE0C"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509" w:type="pct"/>
          </w:tcPr>
          <w:p w14:paraId="764171C8"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509" w:type="pct"/>
          </w:tcPr>
          <w:p w14:paraId="47B6F42D"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35" w:type="pct"/>
          </w:tcPr>
          <w:p w14:paraId="50C23930"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4618D448"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49" w:type="pct"/>
          </w:tcPr>
          <w:p w14:paraId="4194B2EF"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361" w:type="pct"/>
          </w:tcPr>
          <w:p w14:paraId="00A1606E"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w:t>
            </w:r>
          </w:p>
        </w:tc>
        <w:tc>
          <w:tcPr>
            <w:tcW w:w="353" w:type="pct"/>
          </w:tcPr>
          <w:p w14:paraId="49FD1B20"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w:t>
            </w:r>
          </w:p>
        </w:tc>
      </w:tr>
      <w:tr w:rsidR="00D470B6" w:rsidRPr="00A53AD7" w14:paraId="51E463C0" w14:textId="77777777" w:rsidTr="004001F4">
        <w:trPr>
          <w:trHeight w:val="210"/>
          <w:jc w:val="center"/>
        </w:trPr>
        <w:tc>
          <w:tcPr>
            <w:tcW w:w="1453" w:type="pct"/>
            <w:vAlign w:val="center"/>
          </w:tcPr>
          <w:p w14:paraId="2963EE38" w14:textId="77777777" w:rsidR="00000803" w:rsidRPr="00A53AD7" w:rsidRDefault="00000803" w:rsidP="004001F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79B6B4A1"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432,8</w:t>
            </w:r>
          </w:p>
        </w:tc>
        <w:tc>
          <w:tcPr>
            <w:tcW w:w="509" w:type="pct"/>
          </w:tcPr>
          <w:p w14:paraId="713C7FF8"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431,1</w:t>
            </w:r>
          </w:p>
        </w:tc>
        <w:tc>
          <w:tcPr>
            <w:tcW w:w="509" w:type="pct"/>
          </w:tcPr>
          <w:p w14:paraId="3906341F"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480,3</w:t>
            </w:r>
          </w:p>
        </w:tc>
        <w:tc>
          <w:tcPr>
            <w:tcW w:w="435" w:type="pct"/>
          </w:tcPr>
          <w:p w14:paraId="3E0A59CF"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460,5</w:t>
            </w:r>
          </w:p>
        </w:tc>
        <w:tc>
          <w:tcPr>
            <w:tcW w:w="422" w:type="pct"/>
            <w:vAlign w:val="center"/>
          </w:tcPr>
          <w:p w14:paraId="2E243E28"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588,5</w:t>
            </w:r>
          </w:p>
        </w:tc>
        <w:tc>
          <w:tcPr>
            <w:tcW w:w="449" w:type="pct"/>
          </w:tcPr>
          <w:p w14:paraId="3F7143D9"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685,2</w:t>
            </w:r>
          </w:p>
        </w:tc>
        <w:tc>
          <w:tcPr>
            <w:tcW w:w="361" w:type="pct"/>
          </w:tcPr>
          <w:p w14:paraId="7744A1F6"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158,3</w:t>
            </w:r>
          </w:p>
        </w:tc>
        <w:tc>
          <w:tcPr>
            <w:tcW w:w="353" w:type="pct"/>
          </w:tcPr>
          <w:p w14:paraId="1F065B2C"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116,4</w:t>
            </w:r>
          </w:p>
        </w:tc>
      </w:tr>
      <w:tr w:rsidR="00000803" w:rsidRPr="00A53AD7" w14:paraId="421983FF" w14:textId="77777777" w:rsidTr="004001F4">
        <w:trPr>
          <w:trHeight w:val="210"/>
          <w:jc w:val="center"/>
        </w:trPr>
        <w:tc>
          <w:tcPr>
            <w:tcW w:w="1453" w:type="pct"/>
            <w:vAlign w:val="center"/>
          </w:tcPr>
          <w:p w14:paraId="41D3A281" w14:textId="77777777" w:rsidR="00000803" w:rsidRPr="00A53AD7" w:rsidRDefault="00000803" w:rsidP="004001F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6F0DFBF6"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509" w:type="pct"/>
          </w:tcPr>
          <w:p w14:paraId="0688090D"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509" w:type="pct"/>
          </w:tcPr>
          <w:p w14:paraId="2BCFF4CA"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35" w:type="pct"/>
          </w:tcPr>
          <w:p w14:paraId="63EEC4A5"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59FAD0EC" w14:textId="77777777" w:rsidR="00000803" w:rsidRPr="00A53AD7" w:rsidRDefault="00000803" w:rsidP="00D3145E">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49" w:type="pct"/>
          </w:tcPr>
          <w:p w14:paraId="062DC58E"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0,8</w:t>
            </w:r>
          </w:p>
        </w:tc>
        <w:tc>
          <w:tcPr>
            <w:tcW w:w="361" w:type="pct"/>
          </w:tcPr>
          <w:p w14:paraId="25008791"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0</w:t>
            </w:r>
          </w:p>
        </w:tc>
        <w:tc>
          <w:tcPr>
            <w:tcW w:w="353" w:type="pct"/>
          </w:tcPr>
          <w:p w14:paraId="205D9B3F" w14:textId="77777777" w:rsidR="00000803" w:rsidRPr="00A53AD7" w:rsidRDefault="00000803" w:rsidP="00D3145E">
            <w:pPr>
              <w:widowControl w:val="0"/>
              <w:autoSpaceDE w:val="0"/>
              <w:autoSpaceDN w:val="0"/>
              <w:spacing w:after="0" w:line="240" w:lineRule="auto"/>
              <w:ind w:left="-113" w:right="-113"/>
              <w:jc w:val="center"/>
              <w:rPr>
                <w:rFonts w:ascii="Times New Roman" w:hAnsi="Times New Roman"/>
                <w:sz w:val="16"/>
                <w:szCs w:val="16"/>
              </w:rPr>
            </w:pPr>
            <w:r w:rsidRPr="00A53AD7">
              <w:rPr>
                <w:rFonts w:ascii="Times New Roman" w:hAnsi="Times New Roman"/>
                <w:sz w:val="16"/>
                <w:szCs w:val="16"/>
              </w:rPr>
              <w:t>0</w:t>
            </w:r>
          </w:p>
        </w:tc>
      </w:tr>
    </w:tbl>
    <w:p w14:paraId="67E9ABBF" w14:textId="77777777" w:rsidR="00000803" w:rsidRPr="00A53AD7" w:rsidRDefault="00000803" w:rsidP="00967B91">
      <w:pPr>
        <w:pStyle w:val="ConsPlusNormal"/>
        <w:ind w:firstLine="851"/>
        <w:jc w:val="both"/>
        <w:rPr>
          <w:rFonts w:ascii="Times New Roman" w:hAnsi="Times New Roman" w:cs="Times New Roman"/>
          <w:sz w:val="28"/>
          <w:szCs w:val="28"/>
        </w:rPr>
      </w:pPr>
    </w:p>
    <w:p w14:paraId="50A1B16E" w14:textId="7FE23F67" w:rsidR="00000803" w:rsidRPr="00A53AD7" w:rsidRDefault="00000803" w:rsidP="00967B91">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рамках подпрограммы осуществлены кассовые расходы на возмещение недополученных доходов, возникающих в результате государственного регулирования тарифов на перевозку пассажиров и багажа всеми видами</w:t>
      </w:r>
      <w:r w:rsidR="00EE5979" w:rsidRPr="00A53AD7">
        <w:rPr>
          <w:rFonts w:ascii="Times New Roman" w:hAnsi="Times New Roman" w:cs="Times New Roman"/>
          <w:sz w:val="28"/>
          <w:szCs w:val="28"/>
        </w:rPr>
        <w:t xml:space="preserve"> транспорта на сумму 686,0 млн.</w:t>
      </w:r>
      <w:r w:rsidRPr="00A53AD7">
        <w:rPr>
          <w:rFonts w:ascii="Times New Roman" w:hAnsi="Times New Roman" w:cs="Times New Roman"/>
          <w:sz w:val="28"/>
          <w:szCs w:val="28"/>
        </w:rPr>
        <w:t>руб. или 91% к плану на год или 116,6% к уровню аналогичного периода прошлого года, в том числе:</w:t>
      </w:r>
    </w:p>
    <w:tbl>
      <w:tblPr>
        <w:tblStyle w:val="15"/>
        <w:tblW w:w="9039"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510"/>
        <w:gridCol w:w="1276"/>
        <w:gridCol w:w="992"/>
        <w:gridCol w:w="1276"/>
        <w:gridCol w:w="992"/>
        <w:gridCol w:w="993"/>
      </w:tblGrid>
      <w:tr w:rsidR="00D470B6" w:rsidRPr="00A53AD7" w14:paraId="26509B3A" w14:textId="77777777" w:rsidTr="00134099">
        <w:trPr>
          <w:trHeight w:val="865"/>
          <w:tblHeader/>
        </w:trPr>
        <w:tc>
          <w:tcPr>
            <w:tcW w:w="3510" w:type="dxa"/>
          </w:tcPr>
          <w:p w14:paraId="0E881356" w14:textId="77777777"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Theme="minorHAnsi" w:hAnsi="Times New Roman"/>
                <w:sz w:val="20"/>
                <w:szCs w:val="20"/>
              </w:rPr>
              <w:t xml:space="preserve">Наименование </w:t>
            </w:r>
          </w:p>
        </w:tc>
        <w:tc>
          <w:tcPr>
            <w:tcW w:w="1276" w:type="dxa"/>
          </w:tcPr>
          <w:p w14:paraId="155A7E9F" w14:textId="1E811671"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Theme="minorHAnsi" w:hAnsi="Times New Roman"/>
                <w:sz w:val="20"/>
                <w:szCs w:val="20"/>
              </w:rPr>
              <w:t>Касс</w:t>
            </w:r>
            <w:r w:rsidR="00EE5979" w:rsidRPr="00A53AD7">
              <w:rPr>
                <w:rFonts w:ascii="Times New Roman" w:eastAsiaTheme="minorHAnsi" w:hAnsi="Times New Roman"/>
                <w:sz w:val="20"/>
                <w:szCs w:val="20"/>
              </w:rPr>
              <w:t>овое исполнение 2018 года, млн.</w:t>
            </w:r>
            <w:r w:rsidRPr="00A53AD7">
              <w:rPr>
                <w:rFonts w:ascii="Times New Roman" w:eastAsiaTheme="minorHAnsi" w:hAnsi="Times New Roman"/>
                <w:sz w:val="20"/>
                <w:szCs w:val="20"/>
              </w:rPr>
              <w:t>руб.</w:t>
            </w:r>
          </w:p>
        </w:tc>
        <w:tc>
          <w:tcPr>
            <w:tcW w:w="992" w:type="dxa"/>
          </w:tcPr>
          <w:p w14:paraId="4BB84BF7" w14:textId="77777777"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Theme="minorHAnsi" w:hAnsi="Times New Roman"/>
                <w:sz w:val="20"/>
                <w:szCs w:val="20"/>
              </w:rPr>
              <w:t>План на 2019 год, млн. руб.</w:t>
            </w:r>
          </w:p>
        </w:tc>
        <w:tc>
          <w:tcPr>
            <w:tcW w:w="1276" w:type="dxa"/>
          </w:tcPr>
          <w:p w14:paraId="78471107" w14:textId="05CB49BF"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Theme="minorHAnsi" w:hAnsi="Times New Roman"/>
                <w:sz w:val="20"/>
                <w:szCs w:val="20"/>
              </w:rPr>
              <w:t>Кассовое ис</w:t>
            </w:r>
            <w:r w:rsidR="00EE5979" w:rsidRPr="00A53AD7">
              <w:rPr>
                <w:rFonts w:ascii="Times New Roman" w:eastAsiaTheme="minorHAnsi" w:hAnsi="Times New Roman"/>
                <w:sz w:val="20"/>
                <w:szCs w:val="20"/>
              </w:rPr>
              <w:t>полнение 2019 года, млн.</w:t>
            </w:r>
            <w:r w:rsidRPr="00A53AD7">
              <w:rPr>
                <w:rFonts w:ascii="Times New Roman" w:eastAsiaTheme="minorHAnsi" w:hAnsi="Times New Roman"/>
                <w:sz w:val="20"/>
                <w:szCs w:val="20"/>
              </w:rPr>
              <w:t>руб.</w:t>
            </w:r>
          </w:p>
        </w:tc>
        <w:tc>
          <w:tcPr>
            <w:tcW w:w="992" w:type="dxa"/>
          </w:tcPr>
          <w:p w14:paraId="596532A0" w14:textId="77777777"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Theme="minorHAnsi" w:hAnsi="Times New Roman"/>
                <w:sz w:val="20"/>
                <w:szCs w:val="20"/>
              </w:rPr>
              <w:t>Факт 2019 к плану 2019, %</w:t>
            </w:r>
          </w:p>
        </w:tc>
        <w:tc>
          <w:tcPr>
            <w:tcW w:w="993" w:type="dxa"/>
          </w:tcPr>
          <w:p w14:paraId="1A541259" w14:textId="77777777" w:rsidR="00000803" w:rsidRPr="00A53AD7" w:rsidRDefault="00000803" w:rsidP="00967B91">
            <w:pPr>
              <w:autoSpaceDE w:val="0"/>
              <w:autoSpaceDN w:val="0"/>
              <w:adjustRightInd w:val="0"/>
              <w:spacing w:after="0" w:line="240" w:lineRule="auto"/>
              <w:jc w:val="center"/>
              <w:rPr>
                <w:rFonts w:ascii="Times New Roman" w:eastAsiaTheme="minorHAnsi" w:hAnsi="Times New Roman"/>
                <w:sz w:val="20"/>
                <w:szCs w:val="20"/>
              </w:rPr>
            </w:pPr>
            <w:r w:rsidRPr="00A53AD7">
              <w:rPr>
                <w:rFonts w:ascii="Times New Roman" w:eastAsia="Courier New" w:hAnsi="Times New Roman"/>
                <w:sz w:val="20"/>
                <w:szCs w:val="20"/>
              </w:rPr>
              <w:t>Факт 2019 к факту 2018, %</w:t>
            </w:r>
          </w:p>
        </w:tc>
      </w:tr>
      <w:tr w:rsidR="00D470B6" w:rsidRPr="00A53AD7" w14:paraId="71B90DC5" w14:textId="77777777" w:rsidTr="00967B91">
        <w:trPr>
          <w:trHeight w:val="439"/>
        </w:trPr>
        <w:tc>
          <w:tcPr>
            <w:tcW w:w="3510" w:type="dxa"/>
          </w:tcPr>
          <w:p w14:paraId="7D5FD110" w14:textId="77777777" w:rsidR="00000803" w:rsidRPr="00A53AD7" w:rsidRDefault="00000803" w:rsidP="00967B91">
            <w:pPr>
              <w:autoSpaceDE w:val="0"/>
              <w:autoSpaceDN w:val="0"/>
              <w:adjustRightInd w:val="0"/>
              <w:spacing w:after="0" w:line="240" w:lineRule="auto"/>
              <w:rPr>
                <w:rFonts w:ascii="Times New Roman" w:eastAsiaTheme="minorHAnsi" w:hAnsi="Times New Roman"/>
                <w:sz w:val="20"/>
                <w:szCs w:val="20"/>
              </w:rPr>
            </w:pPr>
            <w:r w:rsidRPr="00A53AD7">
              <w:rPr>
                <w:rFonts w:ascii="Times New Roman" w:eastAsiaTheme="minorHAnsi" w:hAnsi="Times New Roman"/>
                <w:sz w:val="20"/>
                <w:szCs w:val="20"/>
              </w:rPr>
              <w:t>- организациям воздушного транспорта</w:t>
            </w:r>
          </w:p>
        </w:tc>
        <w:tc>
          <w:tcPr>
            <w:tcW w:w="1276" w:type="dxa"/>
          </w:tcPr>
          <w:p w14:paraId="5FE46093" w14:textId="77777777" w:rsidR="00000803" w:rsidRPr="00A53AD7" w:rsidRDefault="00000803" w:rsidP="00134099">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151,6</w:t>
            </w:r>
          </w:p>
        </w:tc>
        <w:tc>
          <w:tcPr>
            <w:tcW w:w="992" w:type="dxa"/>
          </w:tcPr>
          <w:p w14:paraId="5759DAB7"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245,8</w:t>
            </w:r>
          </w:p>
        </w:tc>
        <w:tc>
          <w:tcPr>
            <w:tcW w:w="1276" w:type="dxa"/>
          </w:tcPr>
          <w:p w14:paraId="2D288D3A"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hAnsi="Times New Roman"/>
                <w:sz w:val="20"/>
                <w:szCs w:val="20"/>
              </w:rPr>
              <w:t>214,6</w:t>
            </w:r>
          </w:p>
        </w:tc>
        <w:tc>
          <w:tcPr>
            <w:tcW w:w="992" w:type="dxa"/>
          </w:tcPr>
          <w:p w14:paraId="07BEAF62"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87,3</w:t>
            </w:r>
          </w:p>
        </w:tc>
        <w:tc>
          <w:tcPr>
            <w:tcW w:w="993" w:type="dxa"/>
          </w:tcPr>
          <w:p w14:paraId="395AF6C1"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141,6</w:t>
            </w:r>
          </w:p>
        </w:tc>
      </w:tr>
      <w:tr w:rsidR="00D470B6" w:rsidRPr="00A53AD7" w14:paraId="132B765A" w14:textId="77777777" w:rsidTr="00967B91">
        <w:tc>
          <w:tcPr>
            <w:tcW w:w="3510" w:type="dxa"/>
          </w:tcPr>
          <w:p w14:paraId="63523F97" w14:textId="77777777" w:rsidR="00000803" w:rsidRPr="00A53AD7" w:rsidRDefault="00000803" w:rsidP="00967B91">
            <w:pPr>
              <w:autoSpaceDE w:val="0"/>
              <w:autoSpaceDN w:val="0"/>
              <w:adjustRightInd w:val="0"/>
              <w:spacing w:after="0" w:line="240" w:lineRule="auto"/>
              <w:rPr>
                <w:rFonts w:ascii="Times New Roman" w:eastAsiaTheme="minorHAnsi" w:hAnsi="Times New Roman"/>
                <w:sz w:val="20"/>
                <w:szCs w:val="20"/>
              </w:rPr>
            </w:pPr>
            <w:r w:rsidRPr="00A53AD7">
              <w:rPr>
                <w:rFonts w:ascii="Times New Roman" w:eastAsiaTheme="minorHAnsi" w:hAnsi="Times New Roman"/>
                <w:sz w:val="20"/>
                <w:szCs w:val="20"/>
              </w:rPr>
              <w:t>- организациям водного транспорта</w:t>
            </w:r>
          </w:p>
        </w:tc>
        <w:tc>
          <w:tcPr>
            <w:tcW w:w="1276" w:type="dxa"/>
          </w:tcPr>
          <w:p w14:paraId="655E7BF7" w14:textId="77777777" w:rsidR="00000803" w:rsidRPr="00A53AD7" w:rsidRDefault="00000803" w:rsidP="00134099">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105,7</w:t>
            </w:r>
          </w:p>
        </w:tc>
        <w:tc>
          <w:tcPr>
            <w:tcW w:w="992" w:type="dxa"/>
          </w:tcPr>
          <w:p w14:paraId="74C69316"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113,1</w:t>
            </w:r>
          </w:p>
        </w:tc>
        <w:tc>
          <w:tcPr>
            <w:tcW w:w="1276" w:type="dxa"/>
          </w:tcPr>
          <w:p w14:paraId="0105A377"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104,7</w:t>
            </w:r>
          </w:p>
        </w:tc>
        <w:tc>
          <w:tcPr>
            <w:tcW w:w="992" w:type="dxa"/>
          </w:tcPr>
          <w:p w14:paraId="505CB212"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92,6</w:t>
            </w:r>
          </w:p>
        </w:tc>
        <w:tc>
          <w:tcPr>
            <w:tcW w:w="993" w:type="dxa"/>
          </w:tcPr>
          <w:p w14:paraId="0F282BF8"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99,1</w:t>
            </w:r>
          </w:p>
        </w:tc>
      </w:tr>
      <w:tr w:rsidR="00D470B6" w:rsidRPr="00A53AD7" w14:paraId="2CDD62C4" w14:textId="77777777" w:rsidTr="00967B91">
        <w:tc>
          <w:tcPr>
            <w:tcW w:w="3510" w:type="dxa"/>
          </w:tcPr>
          <w:p w14:paraId="05682973" w14:textId="77777777" w:rsidR="00000803" w:rsidRPr="00A53AD7" w:rsidRDefault="00000803" w:rsidP="00967B91">
            <w:pPr>
              <w:autoSpaceDE w:val="0"/>
              <w:autoSpaceDN w:val="0"/>
              <w:adjustRightInd w:val="0"/>
              <w:spacing w:after="0" w:line="240" w:lineRule="auto"/>
              <w:rPr>
                <w:rFonts w:ascii="Times New Roman" w:eastAsiaTheme="minorHAnsi" w:hAnsi="Times New Roman"/>
                <w:sz w:val="20"/>
                <w:szCs w:val="20"/>
              </w:rPr>
            </w:pPr>
            <w:r w:rsidRPr="00A53AD7">
              <w:rPr>
                <w:rFonts w:ascii="Times New Roman" w:eastAsiaTheme="minorHAnsi" w:hAnsi="Times New Roman"/>
                <w:sz w:val="20"/>
                <w:szCs w:val="20"/>
              </w:rPr>
              <w:t xml:space="preserve">- организациям железнодорожного транспорта </w:t>
            </w:r>
          </w:p>
        </w:tc>
        <w:tc>
          <w:tcPr>
            <w:tcW w:w="1276" w:type="dxa"/>
          </w:tcPr>
          <w:p w14:paraId="080AD096" w14:textId="77777777" w:rsidR="00000803" w:rsidRPr="00A53AD7" w:rsidRDefault="00000803" w:rsidP="00134099">
            <w:pPr>
              <w:autoSpaceDE w:val="0"/>
              <w:autoSpaceDN w:val="0"/>
              <w:adjustRightInd w:val="0"/>
              <w:spacing w:after="0" w:line="240" w:lineRule="auto"/>
              <w:jc w:val="right"/>
              <w:rPr>
                <w:rFonts w:ascii="Times New Roman" w:hAnsi="Times New Roman"/>
                <w:sz w:val="20"/>
                <w:szCs w:val="20"/>
              </w:rPr>
            </w:pPr>
            <w:r w:rsidRPr="00A53AD7">
              <w:rPr>
                <w:rFonts w:ascii="Times New Roman" w:hAnsi="Times New Roman"/>
                <w:sz w:val="20"/>
                <w:szCs w:val="20"/>
              </w:rPr>
              <w:t>331,1</w:t>
            </w:r>
          </w:p>
        </w:tc>
        <w:tc>
          <w:tcPr>
            <w:tcW w:w="992" w:type="dxa"/>
          </w:tcPr>
          <w:p w14:paraId="21F0B9A0"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394,9</w:t>
            </w:r>
          </w:p>
        </w:tc>
        <w:tc>
          <w:tcPr>
            <w:tcW w:w="1276" w:type="dxa"/>
          </w:tcPr>
          <w:p w14:paraId="2B0DEC45"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366,8</w:t>
            </w:r>
          </w:p>
        </w:tc>
        <w:tc>
          <w:tcPr>
            <w:tcW w:w="992" w:type="dxa"/>
          </w:tcPr>
          <w:p w14:paraId="502DCEEF"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92,9</w:t>
            </w:r>
          </w:p>
        </w:tc>
        <w:tc>
          <w:tcPr>
            <w:tcW w:w="993" w:type="dxa"/>
          </w:tcPr>
          <w:p w14:paraId="086885B0"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sz w:val="20"/>
                <w:szCs w:val="20"/>
              </w:rPr>
            </w:pPr>
            <w:r w:rsidRPr="00A53AD7">
              <w:rPr>
                <w:rFonts w:ascii="Times New Roman" w:eastAsiaTheme="minorHAnsi" w:hAnsi="Times New Roman"/>
                <w:sz w:val="20"/>
                <w:szCs w:val="20"/>
              </w:rPr>
              <w:t>110,8</w:t>
            </w:r>
          </w:p>
        </w:tc>
      </w:tr>
      <w:tr w:rsidR="00000803" w:rsidRPr="00A53AD7" w14:paraId="15BD43DF" w14:textId="77777777" w:rsidTr="00967B91">
        <w:trPr>
          <w:trHeight w:val="253"/>
        </w:trPr>
        <w:tc>
          <w:tcPr>
            <w:tcW w:w="3510" w:type="dxa"/>
          </w:tcPr>
          <w:p w14:paraId="4422CB06" w14:textId="77777777" w:rsidR="00000803" w:rsidRPr="00A53AD7" w:rsidRDefault="00000803" w:rsidP="00967B91">
            <w:pPr>
              <w:autoSpaceDE w:val="0"/>
              <w:autoSpaceDN w:val="0"/>
              <w:adjustRightInd w:val="0"/>
              <w:spacing w:after="0" w:line="240" w:lineRule="auto"/>
              <w:jc w:val="center"/>
              <w:rPr>
                <w:rFonts w:ascii="Times New Roman" w:eastAsiaTheme="minorHAnsi" w:hAnsi="Times New Roman"/>
                <w:b/>
                <w:sz w:val="20"/>
                <w:szCs w:val="20"/>
              </w:rPr>
            </w:pPr>
            <w:r w:rsidRPr="00A53AD7">
              <w:rPr>
                <w:rFonts w:ascii="Times New Roman" w:eastAsiaTheme="minorHAnsi" w:hAnsi="Times New Roman"/>
                <w:b/>
                <w:sz w:val="20"/>
                <w:szCs w:val="20"/>
              </w:rPr>
              <w:t>Итого</w:t>
            </w:r>
          </w:p>
        </w:tc>
        <w:tc>
          <w:tcPr>
            <w:tcW w:w="1276" w:type="dxa"/>
          </w:tcPr>
          <w:p w14:paraId="05D38C82"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b/>
                <w:sz w:val="20"/>
                <w:szCs w:val="20"/>
              </w:rPr>
            </w:pPr>
            <w:r w:rsidRPr="00A53AD7">
              <w:rPr>
                <w:rFonts w:ascii="Times New Roman" w:eastAsiaTheme="minorHAnsi" w:hAnsi="Times New Roman"/>
                <w:b/>
                <w:sz w:val="20"/>
                <w:szCs w:val="20"/>
              </w:rPr>
              <w:t>588,4</w:t>
            </w:r>
          </w:p>
        </w:tc>
        <w:tc>
          <w:tcPr>
            <w:tcW w:w="992" w:type="dxa"/>
          </w:tcPr>
          <w:p w14:paraId="1FC21D36"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b/>
                <w:sz w:val="20"/>
                <w:szCs w:val="20"/>
              </w:rPr>
            </w:pPr>
            <w:r w:rsidRPr="00A53AD7">
              <w:rPr>
                <w:rFonts w:ascii="Times New Roman" w:eastAsiaTheme="minorHAnsi" w:hAnsi="Times New Roman"/>
                <w:b/>
                <w:sz w:val="20"/>
                <w:szCs w:val="20"/>
              </w:rPr>
              <w:t>753,7</w:t>
            </w:r>
          </w:p>
        </w:tc>
        <w:tc>
          <w:tcPr>
            <w:tcW w:w="1276" w:type="dxa"/>
          </w:tcPr>
          <w:p w14:paraId="74E76D1E"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b/>
                <w:sz w:val="20"/>
                <w:szCs w:val="20"/>
              </w:rPr>
            </w:pPr>
            <w:r w:rsidRPr="00A53AD7">
              <w:rPr>
                <w:rFonts w:ascii="Times New Roman" w:eastAsiaTheme="minorHAnsi" w:hAnsi="Times New Roman"/>
                <w:b/>
                <w:sz w:val="20"/>
                <w:szCs w:val="20"/>
              </w:rPr>
              <w:t>686,0</w:t>
            </w:r>
          </w:p>
        </w:tc>
        <w:tc>
          <w:tcPr>
            <w:tcW w:w="992" w:type="dxa"/>
          </w:tcPr>
          <w:p w14:paraId="6D520331"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b/>
                <w:sz w:val="20"/>
                <w:szCs w:val="20"/>
              </w:rPr>
            </w:pPr>
            <w:r w:rsidRPr="00A53AD7">
              <w:rPr>
                <w:rFonts w:ascii="Times New Roman" w:eastAsiaTheme="minorHAnsi" w:hAnsi="Times New Roman"/>
                <w:b/>
                <w:sz w:val="20"/>
                <w:szCs w:val="20"/>
              </w:rPr>
              <w:t>91,1</w:t>
            </w:r>
          </w:p>
        </w:tc>
        <w:tc>
          <w:tcPr>
            <w:tcW w:w="993" w:type="dxa"/>
          </w:tcPr>
          <w:p w14:paraId="7E517332" w14:textId="77777777" w:rsidR="00000803" w:rsidRPr="00A53AD7" w:rsidRDefault="00000803" w:rsidP="00134099">
            <w:pPr>
              <w:autoSpaceDE w:val="0"/>
              <w:autoSpaceDN w:val="0"/>
              <w:adjustRightInd w:val="0"/>
              <w:spacing w:after="0" w:line="240" w:lineRule="auto"/>
              <w:jc w:val="right"/>
              <w:rPr>
                <w:rFonts w:ascii="Times New Roman" w:eastAsiaTheme="minorHAnsi" w:hAnsi="Times New Roman"/>
                <w:b/>
                <w:sz w:val="20"/>
                <w:szCs w:val="20"/>
              </w:rPr>
            </w:pPr>
            <w:r w:rsidRPr="00A53AD7">
              <w:rPr>
                <w:rFonts w:ascii="Times New Roman" w:eastAsiaTheme="minorHAnsi" w:hAnsi="Times New Roman"/>
                <w:b/>
                <w:sz w:val="20"/>
                <w:szCs w:val="20"/>
              </w:rPr>
              <w:t>116,6</w:t>
            </w:r>
          </w:p>
        </w:tc>
      </w:tr>
    </w:tbl>
    <w:p w14:paraId="15144DBB" w14:textId="77777777" w:rsidR="00394070" w:rsidRPr="00A53AD7" w:rsidRDefault="00394070" w:rsidP="00394070">
      <w:pPr>
        <w:pStyle w:val="ConsPlusNormal"/>
        <w:ind w:firstLine="851"/>
        <w:jc w:val="both"/>
        <w:rPr>
          <w:rFonts w:ascii="Times New Roman" w:hAnsi="Times New Roman" w:cs="Times New Roman"/>
          <w:sz w:val="28"/>
          <w:szCs w:val="28"/>
        </w:rPr>
      </w:pPr>
    </w:p>
    <w:p w14:paraId="18E17B7C" w14:textId="46F6AE97" w:rsidR="00000803" w:rsidRPr="00A53AD7" w:rsidRDefault="00000803" w:rsidP="00394070">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Наибольшую долю в сегменте возмещения перевозчикам</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недополученных доходов занимает железнодорожный транспорт или 53,5%, на долю воздушного транспорта приходится 31,3%, водного транспорта – 15,2%.</w:t>
      </w:r>
    </w:p>
    <w:p w14:paraId="1D4B03BD" w14:textId="2DEB8969" w:rsidR="00000803" w:rsidRPr="00A53AD7" w:rsidRDefault="00000803" w:rsidP="00394070">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части</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организации воздушного транспорта:</w:t>
      </w:r>
    </w:p>
    <w:p w14:paraId="61DB2C45" w14:textId="77777777" w:rsidR="00000803" w:rsidRPr="00A53AD7" w:rsidRDefault="00000803" w:rsidP="00394070">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 целью сдерживания тарифов для населения в пределах инфляционных процессов на местных воздушных линиях с 2014 по 2019 годы наблюдается ежегодное увеличение объема предоставления субсидий авиаперевозчикам на возмещение недополученных доходов, возникающих в результате государственного регулирования тарифов на перевозки пассажиров и багажа воздушным транспортом на территории Архангельской области. Существенный рост субсидии, начиная с 2018 года, обусловлен обновлением парка воздушных судов для авиаперевозчиков, соответственно возросшей долей непокрытых тарифами расходов по оплате лизинговых платежей.</w:t>
      </w:r>
    </w:p>
    <w:p w14:paraId="303E3F44" w14:textId="77777777" w:rsidR="00000803" w:rsidRPr="00A53AD7" w:rsidRDefault="00000803" w:rsidP="00394070">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 </w:t>
      </w:r>
    </w:p>
    <w:p w14:paraId="30486E3E" w14:textId="31180AE7" w:rsidR="00000803" w:rsidRPr="00A53AD7" w:rsidRDefault="00000803" w:rsidP="00394070">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Кассовое исполнение мероприятия подпрограммы № 1 за 2019 г</w:t>
      </w:r>
      <w:r w:rsidR="00EE5979" w:rsidRPr="00A53AD7">
        <w:rPr>
          <w:rFonts w:ascii="Times New Roman" w:hAnsi="Times New Roman" w:cs="Times New Roman"/>
          <w:sz w:val="28"/>
          <w:szCs w:val="28"/>
        </w:rPr>
        <w:t>од составило в сумме 214,6 млн.</w:t>
      </w:r>
      <w:r w:rsidRPr="00A53AD7">
        <w:rPr>
          <w:rFonts w:ascii="Times New Roman" w:hAnsi="Times New Roman" w:cs="Times New Roman"/>
          <w:sz w:val="28"/>
          <w:szCs w:val="28"/>
        </w:rPr>
        <w:t>руб. или 87,3% к сводной бюджетной ро</w:t>
      </w:r>
      <w:r w:rsidR="00394070" w:rsidRPr="00A53AD7">
        <w:rPr>
          <w:rFonts w:ascii="Times New Roman" w:hAnsi="Times New Roman" w:cs="Times New Roman"/>
          <w:sz w:val="28"/>
          <w:szCs w:val="28"/>
        </w:rPr>
        <w:t>списи, представлено в таблице:</w:t>
      </w:r>
    </w:p>
    <w:tbl>
      <w:tblPr>
        <w:tblStyle w:val="15"/>
        <w:tblW w:w="9640" w:type="dxa"/>
        <w:tblInd w:w="-17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686"/>
        <w:gridCol w:w="1276"/>
        <w:gridCol w:w="1134"/>
        <w:gridCol w:w="1134"/>
        <w:gridCol w:w="709"/>
        <w:gridCol w:w="992"/>
        <w:gridCol w:w="709"/>
      </w:tblGrid>
      <w:tr w:rsidR="00D470B6" w:rsidRPr="00A53AD7" w14:paraId="519E0E7F" w14:textId="77777777" w:rsidTr="00E0463C">
        <w:trPr>
          <w:trHeight w:val="1160"/>
        </w:trPr>
        <w:tc>
          <w:tcPr>
            <w:tcW w:w="3686" w:type="dxa"/>
          </w:tcPr>
          <w:p w14:paraId="65C5D0BE" w14:textId="518F8300" w:rsidR="00000803" w:rsidRPr="00A53AD7" w:rsidRDefault="00000803" w:rsidP="00E0463C">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Наименование субсидии</w:t>
            </w:r>
          </w:p>
        </w:tc>
        <w:tc>
          <w:tcPr>
            <w:tcW w:w="1276" w:type="dxa"/>
          </w:tcPr>
          <w:p w14:paraId="70E5F298"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Первоначальная редакция областного закона о бюджете 2019, тыс. руб.</w:t>
            </w:r>
          </w:p>
        </w:tc>
        <w:tc>
          <w:tcPr>
            <w:tcW w:w="1134" w:type="dxa"/>
          </w:tcPr>
          <w:p w14:paraId="4098AECD"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 xml:space="preserve">В редакции </w:t>
            </w:r>
          </w:p>
          <w:p w14:paraId="3C76B26F"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от 13.12.2019</w:t>
            </w:r>
          </w:p>
          <w:p w14:paraId="30A81C80"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 xml:space="preserve"> № 189-13-ОЗ, </w:t>
            </w:r>
          </w:p>
          <w:p w14:paraId="3C5A1B9D"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тыс. руб.</w:t>
            </w:r>
          </w:p>
        </w:tc>
        <w:tc>
          <w:tcPr>
            <w:tcW w:w="1134" w:type="dxa"/>
          </w:tcPr>
          <w:p w14:paraId="67E229F4"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Сводная бюджетная роспись на 2019 год, тыс. руб.</w:t>
            </w:r>
          </w:p>
        </w:tc>
        <w:tc>
          <w:tcPr>
            <w:tcW w:w="709" w:type="dxa"/>
          </w:tcPr>
          <w:p w14:paraId="6A706043"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 изменения</w:t>
            </w:r>
          </w:p>
        </w:tc>
        <w:tc>
          <w:tcPr>
            <w:tcW w:w="992" w:type="dxa"/>
          </w:tcPr>
          <w:p w14:paraId="7429D662"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Кассовое исполнение, тыс. руб.</w:t>
            </w:r>
          </w:p>
        </w:tc>
        <w:tc>
          <w:tcPr>
            <w:tcW w:w="709" w:type="dxa"/>
          </w:tcPr>
          <w:p w14:paraId="04126AF6"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 выполнения</w:t>
            </w:r>
          </w:p>
        </w:tc>
      </w:tr>
      <w:tr w:rsidR="00D470B6" w:rsidRPr="00A53AD7" w14:paraId="5266CDFE" w14:textId="77777777" w:rsidTr="00E0463C">
        <w:trPr>
          <w:trHeight w:val="703"/>
        </w:trPr>
        <w:tc>
          <w:tcPr>
            <w:tcW w:w="3686" w:type="dxa"/>
          </w:tcPr>
          <w:p w14:paraId="379F01A4" w14:textId="77777777" w:rsidR="00000803" w:rsidRPr="00A53AD7" w:rsidRDefault="00000803" w:rsidP="00394070">
            <w:pPr>
              <w:spacing w:after="0" w:line="240" w:lineRule="auto"/>
              <w:rPr>
                <w:rFonts w:ascii="Times New Roman" w:eastAsia="Courier New" w:hAnsi="Times New Roman"/>
                <w:sz w:val="16"/>
                <w:szCs w:val="16"/>
              </w:rPr>
            </w:pPr>
            <w:r w:rsidRPr="00A53AD7">
              <w:rPr>
                <w:rFonts w:ascii="Times New Roman" w:eastAsia="Courier New" w:hAnsi="Times New Roman"/>
                <w:sz w:val="16"/>
                <w:szCs w:val="16"/>
              </w:rPr>
              <w:t>Субсидии на возмещение недополученных доходов, возникающих в результате государственного регулирования тарифов на перевозку пассажиров и багажа</w:t>
            </w:r>
          </w:p>
        </w:tc>
        <w:tc>
          <w:tcPr>
            <w:tcW w:w="1276" w:type="dxa"/>
          </w:tcPr>
          <w:p w14:paraId="6A0ED2CF" w14:textId="77777777" w:rsidR="00000803" w:rsidRPr="00A53AD7" w:rsidRDefault="00000803" w:rsidP="00394070">
            <w:pPr>
              <w:spacing w:after="0" w:line="240" w:lineRule="auto"/>
              <w:jc w:val="center"/>
              <w:rPr>
                <w:rFonts w:ascii="Times New Roman" w:eastAsia="Courier New" w:hAnsi="Times New Roman"/>
                <w:sz w:val="16"/>
                <w:szCs w:val="16"/>
              </w:rPr>
            </w:pPr>
          </w:p>
        </w:tc>
        <w:tc>
          <w:tcPr>
            <w:tcW w:w="1134" w:type="dxa"/>
          </w:tcPr>
          <w:p w14:paraId="55BA2E0F" w14:textId="77777777" w:rsidR="00000803" w:rsidRPr="00A53AD7" w:rsidRDefault="00000803" w:rsidP="00394070">
            <w:pPr>
              <w:spacing w:after="0" w:line="240" w:lineRule="auto"/>
              <w:jc w:val="center"/>
              <w:rPr>
                <w:rFonts w:ascii="Times New Roman" w:eastAsia="Courier New" w:hAnsi="Times New Roman"/>
                <w:sz w:val="16"/>
                <w:szCs w:val="16"/>
              </w:rPr>
            </w:pPr>
          </w:p>
        </w:tc>
        <w:tc>
          <w:tcPr>
            <w:tcW w:w="1134" w:type="dxa"/>
          </w:tcPr>
          <w:p w14:paraId="6285CDA3" w14:textId="77777777" w:rsidR="00000803" w:rsidRPr="00A53AD7" w:rsidRDefault="00000803" w:rsidP="00394070">
            <w:pPr>
              <w:spacing w:after="0" w:line="240" w:lineRule="auto"/>
              <w:jc w:val="center"/>
              <w:rPr>
                <w:rFonts w:ascii="Times New Roman" w:eastAsia="Courier New" w:hAnsi="Times New Roman"/>
                <w:sz w:val="16"/>
                <w:szCs w:val="16"/>
              </w:rPr>
            </w:pPr>
          </w:p>
        </w:tc>
        <w:tc>
          <w:tcPr>
            <w:tcW w:w="709" w:type="dxa"/>
          </w:tcPr>
          <w:p w14:paraId="422EDE66" w14:textId="77777777" w:rsidR="00000803" w:rsidRPr="00A53AD7" w:rsidRDefault="00000803" w:rsidP="00394070">
            <w:pPr>
              <w:spacing w:after="0" w:line="240" w:lineRule="auto"/>
              <w:jc w:val="center"/>
              <w:rPr>
                <w:rFonts w:ascii="Times New Roman" w:eastAsia="Courier New" w:hAnsi="Times New Roman"/>
                <w:sz w:val="16"/>
                <w:szCs w:val="16"/>
              </w:rPr>
            </w:pPr>
          </w:p>
        </w:tc>
        <w:tc>
          <w:tcPr>
            <w:tcW w:w="992" w:type="dxa"/>
          </w:tcPr>
          <w:p w14:paraId="1B16D662" w14:textId="77777777" w:rsidR="00000803" w:rsidRPr="00A53AD7" w:rsidRDefault="00000803" w:rsidP="00394070">
            <w:pPr>
              <w:spacing w:after="0" w:line="240" w:lineRule="auto"/>
              <w:jc w:val="center"/>
              <w:rPr>
                <w:rFonts w:ascii="Times New Roman" w:eastAsia="Courier New" w:hAnsi="Times New Roman"/>
                <w:sz w:val="16"/>
                <w:szCs w:val="16"/>
              </w:rPr>
            </w:pPr>
          </w:p>
        </w:tc>
        <w:tc>
          <w:tcPr>
            <w:tcW w:w="709" w:type="dxa"/>
          </w:tcPr>
          <w:p w14:paraId="562B3395" w14:textId="77777777" w:rsidR="00000803" w:rsidRPr="00A53AD7" w:rsidRDefault="00000803" w:rsidP="00394070">
            <w:pPr>
              <w:spacing w:after="0" w:line="240" w:lineRule="auto"/>
              <w:jc w:val="center"/>
              <w:rPr>
                <w:rFonts w:ascii="Times New Roman" w:eastAsia="Courier New" w:hAnsi="Times New Roman"/>
                <w:sz w:val="16"/>
                <w:szCs w:val="16"/>
              </w:rPr>
            </w:pPr>
          </w:p>
        </w:tc>
      </w:tr>
      <w:tr w:rsidR="00000803" w:rsidRPr="00A53AD7" w14:paraId="2DC3FCB6" w14:textId="77777777" w:rsidTr="00E0463C">
        <w:tc>
          <w:tcPr>
            <w:tcW w:w="3686" w:type="dxa"/>
          </w:tcPr>
          <w:p w14:paraId="18F9E314" w14:textId="77777777" w:rsidR="00000803" w:rsidRPr="00A53AD7" w:rsidRDefault="00000803" w:rsidP="00394070">
            <w:pPr>
              <w:spacing w:after="0" w:line="240" w:lineRule="auto"/>
              <w:rPr>
                <w:rFonts w:ascii="Times New Roman" w:eastAsia="Courier New" w:hAnsi="Times New Roman"/>
                <w:sz w:val="16"/>
                <w:szCs w:val="16"/>
              </w:rPr>
            </w:pPr>
            <w:r w:rsidRPr="00A53AD7">
              <w:rPr>
                <w:rFonts w:ascii="Times New Roman" w:eastAsia="Courier New" w:hAnsi="Times New Roman"/>
                <w:sz w:val="16"/>
                <w:szCs w:val="16"/>
              </w:rPr>
              <w:t>- субсидии организациям воздушного транспорта</w:t>
            </w:r>
          </w:p>
        </w:tc>
        <w:tc>
          <w:tcPr>
            <w:tcW w:w="1276" w:type="dxa"/>
          </w:tcPr>
          <w:p w14:paraId="39D6D269"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198 611,2</w:t>
            </w:r>
          </w:p>
        </w:tc>
        <w:tc>
          <w:tcPr>
            <w:tcW w:w="1134" w:type="dxa"/>
          </w:tcPr>
          <w:p w14:paraId="64CEE80D"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245 788,5</w:t>
            </w:r>
          </w:p>
        </w:tc>
        <w:tc>
          <w:tcPr>
            <w:tcW w:w="1134" w:type="dxa"/>
          </w:tcPr>
          <w:p w14:paraId="24BFB055"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245 788,5</w:t>
            </w:r>
          </w:p>
        </w:tc>
        <w:tc>
          <w:tcPr>
            <w:tcW w:w="709" w:type="dxa"/>
          </w:tcPr>
          <w:p w14:paraId="6EE4159E"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123,8</w:t>
            </w:r>
          </w:p>
        </w:tc>
        <w:tc>
          <w:tcPr>
            <w:tcW w:w="992" w:type="dxa"/>
          </w:tcPr>
          <w:p w14:paraId="063C1868"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214 596,7</w:t>
            </w:r>
          </w:p>
        </w:tc>
        <w:tc>
          <w:tcPr>
            <w:tcW w:w="709" w:type="dxa"/>
          </w:tcPr>
          <w:p w14:paraId="5233F17C" w14:textId="77777777" w:rsidR="00000803" w:rsidRPr="00A53AD7" w:rsidRDefault="00000803" w:rsidP="00394070">
            <w:pPr>
              <w:spacing w:after="0" w:line="240" w:lineRule="auto"/>
              <w:jc w:val="center"/>
              <w:rPr>
                <w:rFonts w:ascii="Times New Roman" w:eastAsia="Courier New" w:hAnsi="Times New Roman"/>
                <w:sz w:val="16"/>
                <w:szCs w:val="16"/>
              </w:rPr>
            </w:pPr>
            <w:r w:rsidRPr="00A53AD7">
              <w:rPr>
                <w:rFonts w:ascii="Times New Roman" w:eastAsia="Courier New" w:hAnsi="Times New Roman"/>
                <w:sz w:val="16"/>
                <w:szCs w:val="16"/>
              </w:rPr>
              <w:t>87,3</w:t>
            </w:r>
          </w:p>
        </w:tc>
      </w:tr>
    </w:tbl>
    <w:p w14:paraId="4DF6F7DF" w14:textId="77777777" w:rsidR="0045616C" w:rsidRPr="00A53AD7" w:rsidRDefault="0045616C" w:rsidP="0045616C">
      <w:pPr>
        <w:pStyle w:val="ConsPlusNormal"/>
        <w:ind w:firstLine="851"/>
        <w:jc w:val="both"/>
        <w:rPr>
          <w:rFonts w:ascii="Times New Roman" w:hAnsi="Times New Roman" w:cs="Times New Roman"/>
          <w:sz w:val="28"/>
          <w:szCs w:val="28"/>
        </w:rPr>
      </w:pPr>
    </w:p>
    <w:p w14:paraId="52C2A3B7" w14:textId="332E8B05" w:rsidR="00000803" w:rsidRPr="00A53AD7" w:rsidRDefault="00000803" w:rsidP="0045616C">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«Отчетам о результатах деятельности при осуществлении перевозок пассажиров и багажа…» за 2019 год АО «2-й Архангельский ОАО» и АО «Комиавиатранс», фактически выполнено рейсов 993,5 ед. или 103,7% к заплан</w:t>
      </w:r>
      <w:r w:rsidR="0086127D" w:rsidRPr="00A53AD7">
        <w:rPr>
          <w:rFonts w:ascii="Times New Roman" w:hAnsi="Times New Roman" w:cs="Times New Roman"/>
          <w:sz w:val="28"/>
          <w:szCs w:val="28"/>
        </w:rPr>
        <w:t>ированным, перевезено 19,2 тыс.</w:t>
      </w:r>
      <w:r w:rsidRPr="00A53AD7">
        <w:rPr>
          <w:rFonts w:ascii="Times New Roman" w:hAnsi="Times New Roman" w:cs="Times New Roman"/>
          <w:sz w:val="28"/>
          <w:szCs w:val="28"/>
        </w:rPr>
        <w:t>чел. или 107,5% к уровню анал</w:t>
      </w:r>
      <w:r w:rsidR="0045616C" w:rsidRPr="00A53AD7">
        <w:rPr>
          <w:rFonts w:ascii="Times New Roman" w:hAnsi="Times New Roman" w:cs="Times New Roman"/>
          <w:sz w:val="28"/>
          <w:szCs w:val="28"/>
        </w:rPr>
        <w:t>огичного периода прошлого года.</w:t>
      </w:r>
    </w:p>
    <w:p w14:paraId="100F75E8" w14:textId="77777777" w:rsidR="00000803" w:rsidRPr="00A53AD7" w:rsidRDefault="00000803" w:rsidP="0045616C">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отчетном периоде министерством транспорта субсидии на возмещение недополученных доходов, возникающих в результате государственного регулирования тарифов на перевозку пассажиров и багажа воздушным транспортом, предоставлялась на основании договоров с перевозчиками:</w:t>
      </w:r>
    </w:p>
    <w:p w14:paraId="3C2AF144" w14:textId="0F732075" w:rsidR="00000803" w:rsidRPr="00A53AD7" w:rsidRDefault="00000803" w:rsidP="0045616C">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1. АО </w:t>
      </w:r>
      <w:r w:rsidR="0045713F" w:rsidRPr="00A53AD7">
        <w:rPr>
          <w:rFonts w:ascii="Times New Roman" w:hAnsi="Times New Roman" w:cs="Times New Roman"/>
          <w:sz w:val="28"/>
          <w:szCs w:val="28"/>
        </w:rPr>
        <w:t>«</w:t>
      </w:r>
      <w:r w:rsidRPr="00A53AD7">
        <w:rPr>
          <w:rFonts w:ascii="Times New Roman" w:hAnsi="Times New Roman" w:cs="Times New Roman"/>
          <w:sz w:val="28"/>
          <w:szCs w:val="28"/>
        </w:rPr>
        <w:t>2-й Архангельский ОАО</w:t>
      </w:r>
      <w:r w:rsidR="0045713F" w:rsidRPr="00A53AD7">
        <w:rPr>
          <w:rFonts w:ascii="Times New Roman" w:hAnsi="Times New Roman" w:cs="Times New Roman"/>
          <w:sz w:val="28"/>
          <w:szCs w:val="28"/>
        </w:rPr>
        <w:t>»</w:t>
      </w:r>
      <w:r w:rsidRPr="00A53AD7">
        <w:rPr>
          <w:rFonts w:ascii="Times New Roman" w:hAnsi="Times New Roman" w:cs="Times New Roman"/>
          <w:sz w:val="28"/>
          <w:szCs w:val="28"/>
        </w:rPr>
        <w:t xml:space="preserve"> № 2019/ВТС-1 от 27.02.2019 на сумму 198 611 200,0 руб. Дополнительным соглашением № 1 от 17.06.2019 сумма соглашения изменена на 213 589 600,0 руб. или увеличение на 7,5%.</w:t>
      </w:r>
    </w:p>
    <w:p w14:paraId="56768914" w14:textId="77777777" w:rsidR="00000803" w:rsidRPr="00A53AD7" w:rsidRDefault="00000803" w:rsidP="0045616C">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Договор об организации регулярных перевозок пассажиров и багажа воздушным транспортом в межмуниципальном сообщении на территории Архангельской области заключен с АО "2-й Архангельский ОАО" № 2019/ВТО-1 от 27.02.2019. В Приложении № 1 к договору «Параметры транспортного заказа» определены 17 маршрутов, типы транспортных средств – Л-410 и Ан-2, прогнозируемый годовой налет по маршрутам – 2 567,1 час, количество оборотных рейсов – 869 ед.</w:t>
      </w:r>
    </w:p>
    <w:p w14:paraId="1C75BA21" w14:textId="77777777" w:rsidR="00000803" w:rsidRPr="00A53AD7" w:rsidRDefault="00000803" w:rsidP="0045616C">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По данным «Отчета фактически выполненных воздушных перевозках пассажиров и багажа на межмуниципальных воздушных линиях на территории Архангельской области за 2019 год» и «Отчета о результатах деятельности при осуществлении перевозок пассажиров и багажа в условиях государственного регулирования тарифов на пассажирском транспорте по состоянию на 01 января 2020 года» АО "2-й Архангельский ОАО" следует, что за период 2019 г.: </w:t>
      </w:r>
    </w:p>
    <w:p w14:paraId="6B72531C" w14:textId="7013F373" w:rsidR="00000803" w:rsidRPr="00A53AD7" w:rsidRDefault="00000803" w:rsidP="00CA1DDD">
      <w:pPr>
        <w:pStyle w:val="a8"/>
        <w:numPr>
          <w:ilvl w:val="0"/>
          <w:numId w:val="33"/>
        </w:numPr>
        <w:ind w:left="0" w:firstLine="851"/>
        <w:jc w:val="both"/>
        <w:rPr>
          <w:sz w:val="28"/>
          <w:szCs w:val="28"/>
        </w:rPr>
      </w:pPr>
      <w:r w:rsidRPr="00A53AD7">
        <w:rPr>
          <w:sz w:val="28"/>
          <w:szCs w:val="28"/>
        </w:rPr>
        <w:t>количество перевезенных</w:t>
      </w:r>
      <w:r w:rsidR="0045713F" w:rsidRPr="00A53AD7">
        <w:rPr>
          <w:sz w:val="28"/>
          <w:szCs w:val="28"/>
        </w:rPr>
        <w:t xml:space="preserve"> пассажиров 18 527 чел.;</w:t>
      </w:r>
    </w:p>
    <w:p w14:paraId="1BEB522F" w14:textId="78964DCA" w:rsidR="00000803" w:rsidRPr="00A53AD7" w:rsidRDefault="0045713F" w:rsidP="00CA1DDD">
      <w:pPr>
        <w:pStyle w:val="a8"/>
        <w:numPr>
          <w:ilvl w:val="0"/>
          <w:numId w:val="33"/>
        </w:numPr>
        <w:ind w:left="0" w:firstLine="851"/>
        <w:jc w:val="both"/>
        <w:rPr>
          <w:sz w:val="28"/>
          <w:szCs w:val="28"/>
        </w:rPr>
      </w:pPr>
      <w:r w:rsidRPr="00A53AD7">
        <w:rPr>
          <w:sz w:val="28"/>
          <w:szCs w:val="28"/>
        </w:rPr>
        <w:t>налет часов 2 578,2 час;</w:t>
      </w:r>
    </w:p>
    <w:p w14:paraId="2DBC960A" w14:textId="7A151EEE" w:rsidR="00000803" w:rsidRPr="00A53AD7" w:rsidRDefault="00000803" w:rsidP="00CA1DDD">
      <w:pPr>
        <w:pStyle w:val="a8"/>
        <w:numPr>
          <w:ilvl w:val="0"/>
          <w:numId w:val="33"/>
        </w:numPr>
        <w:ind w:left="0" w:firstLine="851"/>
        <w:jc w:val="both"/>
        <w:rPr>
          <w:sz w:val="28"/>
          <w:szCs w:val="28"/>
        </w:rPr>
      </w:pPr>
      <w:r w:rsidRPr="00A53AD7">
        <w:rPr>
          <w:sz w:val="28"/>
          <w:szCs w:val="28"/>
        </w:rPr>
        <w:t>количество рейсов - в соответствии с расписанием</w:t>
      </w:r>
      <w:r w:rsidR="0045713F" w:rsidRPr="00A53AD7">
        <w:rPr>
          <w:sz w:val="28"/>
          <w:szCs w:val="28"/>
        </w:rPr>
        <w:t xml:space="preserve"> 923 и фактически выполнено 965;</w:t>
      </w:r>
    </w:p>
    <w:p w14:paraId="36D4C39E" w14:textId="05696283" w:rsidR="00000803" w:rsidRPr="00A53AD7" w:rsidRDefault="00000803" w:rsidP="00CA1DDD">
      <w:pPr>
        <w:pStyle w:val="a8"/>
        <w:numPr>
          <w:ilvl w:val="0"/>
          <w:numId w:val="33"/>
        </w:numPr>
        <w:ind w:left="0" w:firstLine="851"/>
        <w:jc w:val="both"/>
        <w:rPr>
          <w:sz w:val="28"/>
          <w:szCs w:val="28"/>
        </w:rPr>
      </w:pPr>
      <w:r w:rsidRPr="00A53AD7">
        <w:rPr>
          <w:sz w:val="28"/>
          <w:szCs w:val="28"/>
        </w:rPr>
        <w:t>фактически недополученные доходы при осуществлении авиаперевозок пассажиров и багажа за текущий финансовый год -204 952 179 р</w:t>
      </w:r>
      <w:r w:rsidR="0045713F" w:rsidRPr="00A53AD7">
        <w:rPr>
          <w:sz w:val="28"/>
          <w:szCs w:val="28"/>
        </w:rPr>
        <w:t>уб.;</w:t>
      </w:r>
    </w:p>
    <w:p w14:paraId="1B6150E7" w14:textId="36F4E301" w:rsidR="00000803" w:rsidRPr="00A53AD7" w:rsidRDefault="00000803" w:rsidP="00CA1DDD">
      <w:pPr>
        <w:pStyle w:val="a8"/>
        <w:numPr>
          <w:ilvl w:val="0"/>
          <w:numId w:val="33"/>
        </w:numPr>
        <w:ind w:left="0" w:firstLine="851"/>
        <w:jc w:val="both"/>
        <w:rPr>
          <w:sz w:val="28"/>
          <w:szCs w:val="28"/>
        </w:rPr>
      </w:pPr>
      <w:r w:rsidRPr="00A53AD7">
        <w:rPr>
          <w:sz w:val="28"/>
          <w:szCs w:val="28"/>
        </w:rPr>
        <w:t>фактически перечислено из областного бюджета</w:t>
      </w:r>
      <w:r w:rsidR="007364DB" w:rsidRPr="00A53AD7">
        <w:rPr>
          <w:sz w:val="28"/>
          <w:szCs w:val="28"/>
        </w:rPr>
        <w:t xml:space="preserve"> </w:t>
      </w:r>
      <w:r w:rsidRPr="00A53AD7">
        <w:rPr>
          <w:sz w:val="28"/>
          <w:szCs w:val="28"/>
        </w:rPr>
        <w:t>- 206 969 663,0 руб.</w:t>
      </w:r>
      <w:r w:rsidR="0045713F" w:rsidRPr="00A53AD7">
        <w:rPr>
          <w:sz w:val="28"/>
          <w:szCs w:val="28"/>
        </w:rPr>
        <w:t>;</w:t>
      </w:r>
    </w:p>
    <w:p w14:paraId="7F6972D9" w14:textId="1E036848" w:rsidR="00000803" w:rsidRPr="00A53AD7" w:rsidRDefault="00000803" w:rsidP="00CA1DDD">
      <w:pPr>
        <w:pStyle w:val="a8"/>
        <w:numPr>
          <w:ilvl w:val="0"/>
          <w:numId w:val="33"/>
        </w:numPr>
        <w:ind w:left="0" w:firstLine="851"/>
        <w:jc w:val="both"/>
        <w:rPr>
          <w:sz w:val="28"/>
          <w:szCs w:val="28"/>
        </w:rPr>
      </w:pPr>
      <w:r w:rsidRPr="00A53AD7">
        <w:rPr>
          <w:sz w:val="28"/>
          <w:szCs w:val="28"/>
        </w:rPr>
        <w:t>задолженность областного бюджета на конец отчетного периода – «-2 585 063,0» руб.</w:t>
      </w:r>
    </w:p>
    <w:p w14:paraId="0B67F33C" w14:textId="77777777"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парке АО «2-й Архангельский объединенный авиаотряд» эксплуатируются 5 воздушных судов Л-410 УВП, из них четыре воздушных судна приобретены в лизинг. Высокий уровень расходов на выполнение авиарейсов обусловлен значительной долей лизинговых платежей в стоимости летного часа (50-60%) при существующем налете и как следствие возросшую долю потребности в средства целевой субсидии перевозчику.</w:t>
      </w:r>
    </w:p>
    <w:p w14:paraId="2DEAF6C7" w14:textId="0A1734C5"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2. АО </w:t>
      </w:r>
      <w:r w:rsidR="00F81277" w:rsidRPr="00A53AD7">
        <w:rPr>
          <w:rFonts w:ascii="Times New Roman" w:hAnsi="Times New Roman" w:cs="Times New Roman"/>
          <w:sz w:val="28"/>
          <w:szCs w:val="28"/>
        </w:rPr>
        <w:t>«</w:t>
      </w:r>
      <w:r w:rsidRPr="00A53AD7">
        <w:rPr>
          <w:rFonts w:ascii="Times New Roman" w:hAnsi="Times New Roman" w:cs="Times New Roman"/>
          <w:sz w:val="28"/>
          <w:szCs w:val="28"/>
        </w:rPr>
        <w:t>Комиавиатранс</w:t>
      </w:r>
      <w:r w:rsidR="00F81277" w:rsidRPr="00A53AD7">
        <w:rPr>
          <w:rFonts w:ascii="Times New Roman" w:hAnsi="Times New Roman" w:cs="Times New Roman"/>
          <w:sz w:val="28"/>
          <w:szCs w:val="28"/>
        </w:rPr>
        <w:t>»</w:t>
      </w:r>
      <w:r w:rsidRPr="00A53AD7">
        <w:rPr>
          <w:rFonts w:ascii="Times New Roman" w:hAnsi="Times New Roman" w:cs="Times New Roman"/>
          <w:sz w:val="28"/>
          <w:szCs w:val="28"/>
        </w:rPr>
        <w:t xml:space="preserve"> № 2019/ВТС-3 от 16.08.2019 на сумму 9 205 000,0 руб. Согласно п.</w:t>
      </w:r>
      <w:r w:rsidR="009C29CE" w:rsidRPr="00A53AD7">
        <w:rPr>
          <w:rFonts w:ascii="Times New Roman" w:hAnsi="Times New Roman" w:cs="Times New Roman"/>
          <w:sz w:val="28"/>
          <w:szCs w:val="28"/>
        </w:rPr>
        <w:t xml:space="preserve"> </w:t>
      </w:r>
      <w:r w:rsidRPr="00A53AD7">
        <w:rPr>
          <w:rFonts w:ascii="Times New Roman" w:hAnsi="Times New Roman" w:cs="Times New Roman"/>
          <w:sz w:val="28"/>
          <w:szCs w:val="28"/>
        </w:rPr>
        <w:t>6.3. Договора №2019/ВТС-3 от 16.08.2019 распространяет свое действие на отношения, возникшие с 23.09.2019 по 31.12.2019.</w:t>
      </w:r>
    </w:p>
    <w:p w14:paraId="2A09E9B1" w14:textId="0147F0AB"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Договор об организации регулярных перевозок пассажиров и багажа воздушным транспортом в межмуниципальном сообщении на территории Архангельской области заключен с АО </w:t>
      </w:r>
      <w:r w:rsidR="0045713F" w:rsidRPr="00A53AD7">
        <w:rPr>
          <w:rFonts w:ascii="Times New Roman" w:hAnsi="Times New Roman" w:cs="Times New Roman"/>
          <w:sz w:val="28"/>
          <w:szCs w:val="28"/>
        </w:rPr>
        <w:t>«</w:t>
      </w:r>
      <w:r w:rsidRPr="00A53AD7">
        <w:rPr>
          <w:rFonts w:ascii="Times New Roman" w:hAnsi="Times New Roman" w:cs="Times New Roman"/>
          <w:sz w:val="28"/>
          <w:szCs w:val="28"/>
        </w:rPr>
        <w:t>Комиавиатранс</w:t>
      </w:r>
      <w:r w:rsidR="0045713F" w:rsidRPr="00A53AD7">
        <w:rPr>
          <w:rFonts w:ascii="Times New Roman" w:hAnsi="Times New Roman" w:cs="Times New Roman"/>
          <w:sz w:val="28"/>
          <w:szCs w:val="28"/>
        </w:rPr>
        <w:t>»</w:t>
      </w:r>
      <w:r w:rsidRPr="00A53AD7">
        <w:rPr>
          <w:rFonts w:ascii="Times New Roman" w:hAnsi="Times New Roman" w:cs="Times New Roman"/>
          <w:sz w:val="28"/>
          <w:szCs w:val="28"/>
        </w:rPr>
        <w:t xml:space="preserve"> № 2019/ВТО-2 от 16.08.2019. </w:t>
      </w:r>
    </w:p>
    <w:p w14:paraId="5956E405" w14:textId="01F1AB60"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 В Приложении № 1 к Договору № 2019/ВТО-2 от 16.08.2019</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«Параметры транспортного заказа» определен 1 маршрут, типы транспортных средств – Л-410, прогнозируемый годовой налет по маршрутам – 122,5 час, количество оборотных рейсов – 35 ед.</w:t>
      </w:r>
    </w:p>
    <w:p w14:paraId="757680E9" w14:textId="38BFAE83"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По данным «Отчета о фактически выполненных перевозках пассажиров и багажа воздушным транспортом в условиях государственного регулирования тарифов на пассажирском транспорте на ВС ВЛ-410» АО </w:t>
      </w:r>
      <w:r w:rsidR="00F81277" w:rsidRPr="00A53AD7">
        <w:rPr>
          <w:rFonts w:ascii="Times New Roman" w:hAnsi="Times New Roman" w:cs="Times New Roman"/>
          <w:sz w:val="28"/>
          <w:szCs w:val="28"/>
        </w:rPr>
        <w:t>«</w:t>
      </w:r>
      <w:r w:rsidRPr="00A53AD7">
        <w:rPr>
          <w:rFonts w:ascii="Times New Roman" w:hAnsi="Times New Roman" w:cs="Times New Roman"/>
          <w:sz w:val="28"/>
          <w:szCs w:val="28"/>
        </w:rPr>
        <w:t>Комиавиатранс</w:t>
      </w:r>
      <w:r w:rsidR="00F81277" w:rsidRPr="00A53AD7">
        <w:rPr>
          <w:rFonts w:ascii="Times New Roman" w:hAnsi="Times New Roman" w:cs="Times New Roman"/>
          <w:sz w:val="28"/>
          <w:szCs w:val="28"/>
        </w:rPr>
        <w:t>»</w:t>
      </w:r>
      <w:r w:rsidRPr="00A53AD7">
        <w:rPr>
          <w:rFonts w:ascii="Times New Roman" w:hAnsi="Times New Roman" w:cs="Times New Roman"/>
          <w:sz w:val="28"/>
          <w:szCs w:val="28"/>
        </w:rPr>
        <w:t xml:space="preserve"> по состоянию на 01.01.2020 следует, что за отчетный период:</w:t>
      </w:r>
    </w:p>
    <w:p w14:paraId="5E3C5677" w14:textId="57D94190" w:rsidR="00000803" w:rsidRPr="00A53AD7" w:rsidRDefault="00000803" w:rsidP="00CA1DDD">
      <w:pPr>
        <w:pStyle w:val="a8"/>
        <w:numPr>
          <w:ilvl w:val="0"/>
          <w:numId w:val="33"/>
        </w:numPr>
        <w:ind w:left="0" w:firstLine="851"/>
        <w:jc w:val="both"/>
        <w:rPr>
          <w:sz w:val="28"/>
          <w:szCs w:val="28"/>
        </w:rPr>
      </w:pPr>
      <w:r w:rsidRPr="00A53AD7">
        <w:rPr>
          <w:sz w:val="28"/>
          <w:szCs w:val="28"/>
        </w:rPr>
        <w:t>количество п</w:t>
      </w:r>
      <w:r w:rsidR="0045713F" w:rsidRPr="00A53AD7">
        <w:rPr>
          <w:sz w:val="28"/>
          <w:szCs w:val="28"/>
        </w:rPr>
        <w:t>еревезенных пассажиров 633 чел.;</w:t>
      </w:r>
    </w:p>
    <w:p w14:paraId="4BCDFBC1" w14:textId="710C423E" w:rsidR="00000803" w:rsidRPr="00A53AD7" w:rsidRDefault="0045713F" w:rsidP="00CA1DDD">
      <w:pPr>
        <w:pStyle w:val="a8"/>
        <w:numPr>
          <w:ilvl w:val="0"/>
          <w:numId w:val="33"/>
        </w:numPr>
        <w:ind w:left="0" w:firstLine="851"/>
        <w:jc w:val="both"/>
        <w:rPr>
          <w:sz w:val="28"/>
          <w:szCs w:val="28"/>
        </w:rPr>
      </w:pPr>
      <w:r w:rsidRPr="00A53AD7">
        <w:rPr>
          <w:sz w:val="28"/>
          <w:szCs w:val="28"/>
        </w:rPr>
        <w:t>налет часов 90,5 час;</w:t>
      </w:r>
    </w:p>
    <w:p w14:paraId="384003DD" w14:textId="4BC5E5B4" w:rsidR="00000803" w:rsidRPr="00A53AD7" w:rsidRDefault="00000803" w:rsidP="00CA1DDD">
      <w:pPr>
        <w:pStyle w:val="a8"/>
        <w:numPr>
          <w:ilvl w:val="0"/>
          <w:numId w:val="33"/>
        </w:numPr>
        <w:ind w:left="0" w:firstLine="851"/>
        <w:jc w:val="both"/>
        <w:rPr>
          <w:sz w:val="28"/>
          <w:szCs w:val="28"/>
        </w:rPr>
      </w:pPr>
      <w:r w:rsidRPr="00A53AD7">
        <w:rPr>
          <w:sz w:val="28"/>
          <w:szCs w:val="28"/>
        </w:rPr>
        <w:t xml:space="preserve">количество рейсов - в соответствии с расписанием 35 ед. </w:t>
      </w:r>
      <w:r w:rsidR="0045713F" w:rsidRPr="00A53AD7">
        <w:rPr>
          <w:sz w:val="28"/>
          <w:szCs w:val="28"/>
        </w:rPr>
        <w:t>и фактически выполнено 28,5 ед.;</w:t>
      </w:r>
    </w:p>
    <w:p w14:paraId="0AE10C95" w14:textId="550C2035" w:rsidR="00000803" w:rsidRPr="00A53AD7" w:rsidRDefault="00000803" w:rsidP="00CA1DDD">
      <w:pPr>
        <w:pStyle w:val="a8"/>
        <w:numPr>
          <w:ilvl w:val="0"/>
          <w:numId w:val="33"/>
        </w:numPr>
        <w:ind w:left="0" w:firstLine="851"/>
        <w:jc w:val="both"/>
        <w:rPr>
          <w:sz w:val="28"/>
          <w:szCs w:val="28"/>
        </w:rPr>
      </w:pPr>
      <w:r w:rsidRPr="00A53AD7">
        <w:rPr>
          <w:sz w:val="28"/>
          <w:szCs w:val="28"/>
        </w:rPr>
        <w:t>подлежит возмещению из областного бюджета в текущем фина</w:t>
      </w:r>
      <w:r w:rsidR="0045713F" w:rsidRPr="00A53AD7">
        <w:rPr>
          <w:sz w:val="28"/>
          <w:szCs w:val="28"/>
        </w:rPr>
        <w:t>нсовом году – 7 495 500,00 руб.;</w:t>
      </w:r>
    </w:p>
    <w:p w14:paraId="76AC54B1" w14:textId="4D3C80D3" w:rsidR="00000803" w:rsidRPr="00A53AD7" w:rsidRDefault="00000803" w:rsidP="00CA1DDD">
      <w:pPr>
        <w:pStyle w:val="a8"/>
        <w:numPr>
          <w:ilvl w:val="0"/>
          <w:numId w:val="33"/>
        </w:numPr>
        <w:ind w:left="0" w:firstLine="851"/>
        <w:jc w:val="both"/>
        <w:rPr>
          <w:sz w:val="28"/>
          <w:szCs w:val="28"/>
        </w:rPr>
      </w:pPr>
      <w:r w:rsidRPr="00A53AD7">
        <w:rPr>
          <w:sz w:val="28"/>
          <w:szCs w:val="28"/>
        </w:rPr>
        <w:t>фактически перечислено из областного бюджета</w:t>
      </w:r>
      <w:r w:rsidR="007364DB" w:rsidRPr="00A53AD7">
        <w:rPr>
          <w:sz w:val="28"/>
          <w:szCs w:val="28"/>
        </w:rPr>
        <w:t xml:space="preserve"> </w:t>
      </w:r>
      <w:r w:rsidRPr="00A53AD7">
        <w:rPr>
          <w:sz w:val="28"/>
          <w:szCs w:val="28"/>
        </w:rPr>
        <w:t>- 7 627 000,00 руб.</w:t>
      </w:r>
      <w:r w:rsidR="0045713F" w:rsidRPr="00A53AD7">
        <w:rPr>
          <w:sz w:val="28"/>
          <w:szCs w:val="28"/>
        </w:rPr>
        <w:t>;</w:t>
      </w:r>
    </w:p>
    <w:p w14:paraId="4C39FCB7" w14:textId="344C2AD7" w:rsidR="00000803" w:rsidRPr="00A53AD7" w:rsidRDefault="00000803" w:rsidP="00CA1DDD">
      <w:pPr>
        <w:pStyle w:val="a8"/>
        <w:numPr>
          <w:ilvl w:val="0"/>
          <w:numId w:val="33"/>
        </w:numPr>
        <w:ind w:left="0" w:firstLine="851"/>
        <w:jc w:val="both"/>
        <w:rPr>
          <w:sz w:val="28"/>
          <w:szCs w:val="28"/>
        </w:rPr>
      </w:pPr>
      <w:r w:rsidRPr="00A53AD7">
        <w:rPr>
          <w:sz w:val="28"/>
          <w:szCs w:val="28"/>
        </w:rPr>
        <w:t>задолженность областного бюджета на конец отчетного периода – «-131 500,0» руб.</w:t>
      </w:r>
    </w:p>
    <w:p w14:paraId="67A0E067" w14:textId="7F58D91B"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Таким образом, фактические расходы на возмещение недополученных доходов, возникающих в результате государственного регулирования тарифов на перевозку пассажиров и багажа воздушным транспортом за 2019 го</w:t>
      </w:r>
      <w:r w:rsidR="006619AA" w:rsidRPr="00A53AD7">
        <w:rPr>
          <w:rFonts w:ascii="Times New Roman" w:hAnsi="Times New Roman" w:cs="Times New Roman"/>
          <w:sz w:val="28"/>
          <w:szCs w:val="28"/>
        </w:rPr>
        <w:t>д составляют 212,4 млн.</w:t>
      </w:r>
      <w:r w:rsidRPr="00A53AD7">
        <w:rPr>
          <w:rFonts w:ascii="Times New Roman" w:hAnsi="Times New Roman" w:cs="Times New Roman"/>
          <w:sz w:val="28"/>
          <w:szCs w:val="28"/>
        </w:rPr>
        <w:t>руб. или отклонение «-2,1» (214,5-212,4) млн.руб</w:t>
      </w:r>
      <w:r w:rsidR="000D0EDB" w:rsidRPr="00A53AD7">
        <w:rPr>
          <w:rFonts w:ascii="Times New Roman" w:hAnsi="Times New Roman" w:cs="Times New Roman"/>
          <w:sz w:val="28"/>
          <w:szCs w:val="28"/>
        </w:rPr>
        <w:t>.</w:t>
      </w:r>
      <w:r w:rsidRPr="00A53AD7">
        <w:rPr>
          <w:rFonts w:ascii="Times New Roman" w:hAnsi="Times New Roman" w:cs="Times New Roman"/>
          <w:sz w:val="28"/>
          <w:szCs w:val="28"/>
        </w:rPr>
        <w:t xml:space="preserve"> Следовательно, исполнение мероприятия составит 86,4% к плану или отклонение «-0,9»</w:t>
      </w:r>
      <w:r w:rsidR="006619AA" w:rsidRPr="00A53AD7">
        <w:rPr>
          <w:rFonts w:ascii="Times New Roman" w:hAnsi="Times New Roman" w:cs="Times New Roman"/>
          <w:sz w:val="28"/>
          <w:szCs w:val="28"/>
        </w:rPr>
        <w:t xml:space="preserve"> </w:t>
      </w:r>
      <w:r w:rsidRPr="00A53AD7">
        <w:rPr>
          <w:rFonts w:ascii="Times New Roman" w:hAnsi="Times New Roman" w:cs="Times New Roman"/>
          <w:sz w:val="28"/>
          <w:szCs w:val="28"/>
        </w:rPr>
        <w:t>%.</w:t>
      </w:r>
    </w:p>
    <w:p w14:paraId="7CCB737C" w14:textId="77777777" w:rsidR="00F81277" w:rsidRPr="00A53AD7" w:rsidRDefault="00F81277" w:rsidP="00F81277">
      <w:pPr>
        <w:pStyle w:val="ConsPlusNormal"/>
        <w:ind w:firstLine="851"/>
        <w:jc w:val="both"/>
        <w:rPr>
          <w:rFonts w:ascii="Times New Roman" w:hAnsi="Times New Roman" w:cs="Times New Roman"/>
          <w:sz w:val="28"/>
          <w:szCs w:val="28"/>
        </w:rPr>
      </w:pPr>
    </w:p>
    <w:p w14:paraId="21CDCD26" w14:textId="27337991"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части организации водного транспорта:</w:t>
      </w:r>
    </w:p>
    <w:p w14:paraId="1E424D53" w14:textId="241A44A6"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информация в разрезе исполнителей согласно «Отчетам о фактически выполненном объеме работ по перевозке пассажиров и багажа водным транспортом …» за 2019 год, представленным по запросу КСП АО министерством транспорта, приведена в таблице:</w:t>
      </w:r>
    </w:p>
    <w:tbl>
      <w:tblPr>
        <w:tblStyle w:val="a7"/>
        <w:tblW w:w="0" w:type="auto"/>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534"/>
        <w:gridCol w:w="3543"/>
        <w:gridCol w:w="1560"/>
        <w:gridCol w:w="1417"/>
        <w:gridCol w:w="992"/>
        <w:gridCol w:w="1525"/>
      </w:tblGrid>
      <w:tr w:rsidR="00D470B6" w:rsidRPr="00A53AD7" w14:paraId="2994403E" w14:textId="77777777" w:rsidTr="00F8684B">
        <w:trPr>
          <w:trHeight w:val="345"/>
          <w:tblHeader/>
        </w:trPr>
        <w:tc>
          <w:tcPr>
            <w:tcW w:w="534" w:type="dxa"/>
            <w:vMerge w:val="restart"/>
          </w:tcPr>
          <w:p w14:paraId="709D2B03" w14:textId="77777777" w:rsidR="00000803" w:rsidRPr="00A53AD7" w:rsidRDefault="00000803" w:rsidP="00F81277">
            <w:pPr>
              <w:spacing w:after="0" w:line="240" w:lineRule="auto"/>
              <w:jc w:val="both"/>
              <w:rPr>
                <w:rFonts w:ascii="Times New Roman" w:hAnsi="Times New Roman"/>
              </w:rPr>
            </w:pPr>
            <w:r w:rsidRPr="00A53AD7">
              <w:rPr>
                <w:rFonts w:ascii="Times New Roman" w:hAnsi="Times New Roman"/>
              </w:rPr>
              <w:t>№ п/п</w:t>
            </w:r>
          </w:p>
        </w:tc>
        <w:tc>
          <w:tcPr>
            <w:tcW w:w="3543" w:type="dxa"/>
            <w:vMerge w:val="restart"/>
          </w:tcPr>
          <w:p w14:paraId="58880554" w14:textId="77777777" w:rsidR="00000803" w:rsidRPr="00A53AD7" w:rsidRDefault="00000803" w:rsidP="00F81277">
            <w:pPr>
              <w:spacing w:after="0" w:line="240" w:lineRule="auto"/>
              <w:jc w:val="center"/>
              <w:rPr>
                <w:rFonts w:ascii="Times New Roman" w:hAnsi="Times New Roman"/>
              </w:rPr>
            </w:pPr>
            <w:r w:rsidRPr="00A53AD7">
              <w:rPr>
                <w:rFonts w:ascii="Times New Roman" w:hAnsi="Times New Roman"/>
              </w:rPr>
              <w:t>Наименование показателя / исполнитель</w:t>
            </w:r>
          </w:p>
        </w:tc>
        <w:tc>
          <w:tcPr>
            <w:tcW w:w="2977" w:type="dxa"/>
            <w:gridSpan w:val="2"/>
          </w:tcPr>
          <w:p w14:paraId="75414F70" w14:textId="77777777" w:rsidR="00000803" w:rsidRPr="00A53AD7" w:rsidRDefault="00000803" w:rsidP="00F81277">
            <w:pPr>
              <w:spacing w:after="0" w:line="240" w:lineRule="auto"/>
              <w:jc w:val="center"/>
              <w:rPr>
                <w:rFonts w:ascii="Times New Roman" w:hAnsi="Times New Roman"/>
              </w:rPr>
            </w:pPr>
            <w:r w:rsidRPr="00A53AD7">
              <w:rPr>
                <w:rFonts w:ascii="Times New Roman" w:hAnsi="Times New Roman"/>
              </w:rPr>
              <w:t>Количество рейсов, ед.</w:t>
            </w:r>
          </w:p>
        </w:tc>
        <w:tc>
          <w:tcPr>
            <w:tcW w:w="992" w:type="dxa"/>
            <w:vMerge w:val="restart"/>
          </w:tcPr>
          <w:p w14:paraId="6591796A"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 исполнения</w:t>
            </w:r>
          </w:p>
        </w:tc>
        <w:tc>
          <w:tcPr>
            <w:tcW w:w="1525" w:type="dxa"/>
            <w:vMerge w:val="restart"/>
          </w:tcPr>
          <w:p w14:paraId="18EBCFEC"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Количество перевезенных пассажиров, чел.</w:t>
            </w:r>
          </w:p>
        </w:tc>
      </w:tr>
      <w:tr w:rsidR="00D470B6" w:rsidRPr="00A53AD7" w14:paraId="3AE7A2E9" w14:textId="77777777" w:rsidTr="00F8684B">
        <w:trPr>
          <w:trHeight w:val="300"/>
          <w:tblHeader/>
        </w:trPr>
        <w:tc>
          <w:tcPr>
            <w:tcW w:w="534" w:type="dxa"/>
            <w:vMerge/>
          </w:tcPr>
          <w:p w14:paraId="37714425" w14:textId="77777777" w:rsidR="00000803" w:rsidRPr="00A53AD7" w:rsidRDefault="00000803" w:rsidP="00F81277">
            <w:pPr>
              <w:spacing w:after="0" w:line="240" w:lineRule="auto"/>
              <w:jc w:val="both"/>
              <w:rPr>
                <w:rFonts w:ascii="Times New Roman" w:hAnsi="Times New Roman"/>
              </w:rPr>
            </w:pPr>
          </w:p>
        </w:tc>
        <w:tc>
          <w:tcPr>
            <w:tcW w:w="3543" w:type="dxa"/>
            <w:vMerge/>
          </w:tcPr>
          <w:p w14:paraId="0F500D12" w14:textId="77777777" w:rsidR="00000803" w:rsidRPr="00A53AD7" w:rsidRDefault="00000803" w:rsidP="00F81277">
            <w:pPr>
              <w:spacing w:after="0" w:line="240" w:lineRule="auto"/>
              <w:jc w:val="center"/>
              <w:rPr>
                <w:rFonts w:ascii="Times New Roman" w:hAnsi="Times New Roman"/>
              </w:rPr>
            </w:pPr>
          </w:p>
        </w:tc>
        <w:tc>
          <w:tcPr>
            <w:tcW w:w="1560" w:type="dxa"/>
          </w:tcPr>
          <w:p w14:paraId="0D1225E9"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в соответствии с расписанием</w:t>
            </w:r>
          </w:p>
        </w:tc>
        <w:tc>
          <w:tcPr>
            <w:tcW w:w="1417" w:type="dxa"/>
          </w:tcPr>
          <w:p w14:paraId="0C45223B"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выполнение</w:t>
            </w:r>
          </w:p>
        </w:tc>
        <w:tc>
          <w:tcPr>
            <w:tcW w:w="992" w:type="dxa"/>
            <w:vMerge/>
          </w:tcPr>
          <w:p w14:paraId="533EE8F4" w14:textId="77777777" w:rsidR="00000803" w:rsidRPr="00A53AD7" w:rsidRDefault="00000803" w:rsidP="00F81277">
            <w:pPr>
              <w:spacing w:after="0" w:line="240" w:lineRule="auto"/>
              <w:jc w:val="both"/>
              <w:rPr>
                <w:rFonts w:ascii="Times New Roman" w:hAnsi="Times New Roman"/>
              </w:rPr>
            </w:pPr>
          </w:p>
        </w:tc>
        <w:tc>
          <w:tcPr>
            <w:tcW w:w="1525" w:type="dxa"/>
            <w:vMerge/>
          </w:tcPr>
          <w:p w14:paraId="2F7BC956" w14:textId="77777777" w:rsidR="00000803" w:rsidRPr="00A53AD7" w:rsidRDefault="00000803" w:rsidP="00F81277">
            <w:pPr>
              <w:spacing w:after="0" w:line="240" w:lineRule="auto"/>
              <w:jc w:val="both"/>
              <w:rPr>
                <w:rFonts w:ascii="Times New Roman" w:hAnsi="Times New Roman"/>
              </w:rPr>
            </w:pPr>
          </w:p>
        </w:tc>
      </w:tr>
      <w:tr w:rsidR="00D470B6" w:rsidRPr="00A53AD7" w14:paraId="21E453DC" w14:textId="77777777" w:rsidTr="00F81277">
        <w:tc>
          <w:tcPr>
            <w:tcW w:w="534" w:type="dxa"/>
            <w:shd w:val="clear" w:color="auto" w:fill="D9D9D9" w:themeFill="background1" w:themeFillShade="D9"/>
          </w:tcPr>
          <w:p w14:paraId="6361A719"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w:t>
            </w:r>
          </w:p>
        </w:tc>
        <w:tc>
          <w:tcPr>
            <w:tcW w:w="3543" w:type="dxa"/>
            <w:shd w:val="clear" w:color="auto" w:fill="D9D9D9" w:themeFill="background1" w:themeFillShade="D9"/>
          </w:tcPr>
          <w:p w14:paraId="34545DD9"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межмуниципальные маршруты</w:t>
            </w:r>
          </w:p>
        </w:tc>
        <w:tc>
          <w:tcPr>
            <w:tcW w:w="1560" w:type="dxa"/>
            <w:shd w:val="clear" w:color="auto" w:fill="D9D9D9" w:themeFill="background1" w:themeFillShade="D9"/>
          </w:tcPr>
          <w:p w14:paraId="23A119A9"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10122</w:t>
            </w:r>
          </w:p>
        </w:tc>
        <w:tc>
          <w:tcPr>
            <w:tcW w:w="1417" w:type="dxa"/>
            <w:shd w:val="clear" w:color="auto" w:fill="D9D9D9" w:themeFill="background1" w:themeFillShade="D9"/>
          </w:tcPr>
          <w:p w14:paraId="76623B56"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9892</w:t>
            </w:r>
          </w:p>
        </w:tc>
        <w:tc>
          <w:tcPr>
            <w:tcW w:w="992" w:type="dxa"/>
            <w:shd w:val="clear" w:color="auto" w:fill="D9D9D9" w:themeFill="background1" w:themeFillShade="D9"/>
          </w:tcPr>
          <w:p w14:paraId="318B555E"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97,7</w:t>
            </w:r>
          </w:p>
        </w:tc>
        <w:tc>
          <w:tcPr>
            <w:tcW w:w="1525" w:type="dxa"/>
            <w:shd w:val="clear" w:color="auto" w:fill="D9D9D9" w:themeFill="background1" w:themeFillShade="D9"/>
          </w:tcPr>
          <w:p w14:paraId="4956CC31"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382201</w:t>
            </w:r>
          </w:p>
        </w:tc>
      </w:tr>
      <w:tr w:rsidR="00D470B6" w:rsidRPr="00A53AD7" w14:paraId="01B5387B" w14:textId="77777777" w:rsidTr="00F81277">
        <w:tc>
          <w:tcPr>
            <w:tcW w:w="534" w:type="dxa"/>
          </w:tcPr>
          <w:p w14:paraId="4F71F384"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1.1</w:t>
            </w:r>
          </w:p>
        </w:tc>
        <w:tc>
          <w:tcPr>
            <w:tcW w:w="3543" w:type="dxa"/>
          </w:tcPr>
          <w:p w14:paraId="6197EB90" w14:textId="77777777" w:rsidR="00000803" w:rsidRPr="00A53AD7" w:rsidRDefault="00000803" w:rsidP="00F81277">
            <w:pPr>
              <w:spacing w:after="0" w:line="240" w:lineRule="auto"/>
              <w:jc w:val="both"/>
              <w:rPr>
                <w:rFonts w:ascii="Times New Roman" w:hAnsi="Times New Roman"/>
                <w:sz w:val="20"/>
                <w:szCs w:val="20"/>
              </w:rPr>
            </w:pPr>
            <w:r w:rsidRPr="00A53AD7">
              <w:rPr>
                <w:rFonts w:ascii="Times New Roman" w:hAnsi="Times New Roman"/>
                <w:sz w:val="20"/>
                <w:szCs w:val="20"/>
              </w:rPr>
              <w:t>ООО "СК "АРТИКРЕЙД"</w:t>
            </w:r>
          </w:p>
        </w:tc>
        <w:tc>
          <w:tcPr>
            <w:tcW w:w="1560" w:type="dxa"/>
          </w:tcPr>
          <w:p w14:paraId="1C34E0A3"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36</w:t>
            </w:r>
          </w:p>
        </w:tc>
        <w:tc>
          <w:tcPr>
            <w:tcW w:w="1417" w:type="dxa"/>
          </w:tcPr>
          <w:p w14:paraId="339A8137"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36</w:t>
            </w:r>
          </w:p>
        </w:tc>
        <w:tc>
          <w:tcPr>
            <w:tcW w:w="992" w:type="dxa"/>
          </w:tcPr>
          <w:p w14:paraId="495BF71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100</w:t>
            </w:r>
          </w:p>
        </w:tc>
        <w:tc>
          <w:tcPr>
            <w:tcW w:w="1525" w:type="dxa"/>
          </w:tcPr>
          <w:p w14:paraId="68222A14"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541</w:t>
            </w:r>
          </w:p>
        </w:tc>
      </w:tr>
      <w:tr w:rsidR="00D470B6" w:rsidRPr="00A53AD7" w14:paraId="27D81BF7" w14:textId="77777777" w:rsidTr="00F81277">
        <w:tc>
          <w:tcPr>
            <w:tcW w:w="534" w:type="dxa"/>
          </w:tcPr>
          <w:p w14:paraId="204479C9"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1.2</w:t>
            </w:r>
          </w:p>
        </w:tc>
        <w:tc>
          <w:tcPr>
            <w:tcW w:w="3543" w:type="dxa"/>
          </w:tcPr>
          <w:p w14:paraId="7E00E936" w14:textId="77777777" w:rsidR="00000803" w:rsidRPr="00A53AD7" w:rsidRDefault="00000803" w:rsidP="00F81277">
            <w:pPr>
              <w:spacing w:after="0" w:line="240" w:lineRule="auto"/>
              <w:jc w:val="both"/>
              <w:rPr>
                <w:rFonts w:ascii="Times New Roman" w:hAnsi="Times New Roman"/>
                <w:sz w:val="20"/>
                <w:szCs w:val="20"/>
              </w:rPr>
            </w:pPr>
            <w:r w:rsidRPr="00A53AD7">
              <w:rPr>
                <w:rFonts w:ascii="Times New Roman" w:hAnsi="Times New Roman"/>
                <w:sz w:val="20"/>
                <w:szCs w:val="20"/>
              </w:rPr>
              <w:t>АО "Архангельский речной порт"</w:t>
            </w:r>
          </w:p>
        </w:tc>
        <w:tc>
          <w:tcPr>
            <w:tcW w:w="1560" w:type="dxa"/>
          </w:tcPr>
          <w:p w14:paraId="03FFC19E"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8250</w:t>
            </w:r>
          </w:p>
        </w:tc>
        <w:tc>
          <w:tcPr>
            <w:tcW w:w="1417" w:type="dxa"/>
          </w:tcPr>
          <w:p w14:paraId="05B38DC3"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8079</w:t>
            </w:r>
          </w:p>
        </w:tc>
        <w:tc>
          <w:tcPr>
            <w:tcW w:w="992" w:type="dxa"/>
          </w:tcPr>
          <w:p w14:paraId="545230A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98</w:t>
            </w:r>
          </w:p>
        </w:tc>
        <w:tc>
          <w:tcPr>
            <w:tcW w:w="1525" w:type="dxa"/>
          </w:tcPr>
          <w:p w14:paraId="7020729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354 971</w:t>
            </w:r>
          </w:p>
        </w:tc>
      </w:tr>
      <w:tr w:rsidR="00D470B6" w:rsidRPr="00A53AD7" w14:paraId="67434103" w14:textId="77777777" w:rsidTr="00F81277">
        <w:tc>
          <w:tcPr>
            <w:tcW w:w="534" w:type="dxa"/>
          </w:tcPr>
          <w:p w14:paraId="28B58CCD"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1.3</w:t>
            </w:r>
          </w:p>
        </w:tc>
        <w:tc>
          <w:tcPr>
            <w:tcW w:w="3543" w:type="dxa"/>
          </w:tcPr>
          <w:p w14:paraId="57E7658B" w14:textId="77777777" w:rsidR="00000803" w:rsidRPr="00A53AD7" w:rsidRDefault="00000803" w:rsidP="00F81277">
            <w:pPr>
              <w:spacing w:after="0" w:line="240" w:lineRule="auto"/>
              <w:jc w:val="both"/>
              <w:rPr>
                <w:rFonts w:ascii="Times New Roman" w:hAnsi="Times New Roman"/>
                <w:sz w:val="20"/>
                <w:szCs w:val="20"/>
              </w:rPr>
            </w:pPr>
            <w:r w:rsidRPr="00A53AD7">
              <w:rPr>
                <w:rFonts w:ascii="Times New Roman" w:hAnsi="Times New Roman"/>
                <w:sz w:val="20"/>
                <w:szCs w:val="20"/>
              </w:rPr>
              <w:t>ИП Емельянов В.В.</w:t>
            </w:r>
          </w:p>
        </w:tc>
        <w:tc>
          <w:tcPr>
            <w:tcW w:w="1560" w:type="dxa"/>
          </w:tcPr>
          <w:p w14:paraId="632F73DD"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280</w:t>
            </w:r>
          </w:p>
        </w:tc>
        <w:tc>
          <w:tcPr>
            <w:tcW w:w="1417" w:type="dxa"/>
          </w:tcPr>
          <w:p w14:paraId="2E7CD47B"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280</w:t>
            </w:r>
          </w:p>
        </w:tc>
        <w:tc>
          <w:tcPr>
            <w:tcW w:w="992" w:type="dxa"/>
          </w:tcPr>
          <w:p w14:paraId="05F03B7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100</w:t>
            </w:r>
          </w:p>
        </w:tc>
        <w:tc>
          <w:tcPr>
            <w:tcW w:w="1525" w:type="dxa"/>
          </w:tcPr>
          <w:p w14:paraId="6C251FD6"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8 212</w:t>
            </w:r>
          </w:p>
        </w:tc>
      </w:tr>
      <w:tr w:rsidR="00D470B6" w:rsidRPr="00A53AD7" w14:paraId="517AC5BC" w14:textId="77777777" w:rsidTr="00F81277">
        <w:tc>
          <w:tcPr>
            <w:tcW w:w="534" w:type="dxa"/>
          </w:tcPr>
          <w:p w14:paraId="1A21FC10"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1.4</w:t>
            </w:r>
          </w:p>
        </w:tc>
        <w:tc>
          <w:tcPr>
            <w:tcW w:w="3543" w:type="dxa"/>
          </w:tcPr>
          <w:p w14:paraId="24CFC1D7" w14:textId="77777777" w:rsidR="00000803" w:rsidRPr="00A53AD7" w:rsidRDefault="00000803" w:rsidP="00F81277">
            <w:pPr>
              <w:spacing w:after="0" w:line="240" w:lineRule="auto"/>
              <w:jc w:val="both"/>
              <w:rPr>
                <w:rFonts w:ascii="Times New Roman" w:hAnsi="Times New Roman"/>
                <w:sz w:val="20"/>
                <w:szCs w:val="20"/>
              </w:rPr>
            </w:pPr>
            <w:r w:rsidRPr="00A53AD7">
              <w:rPr>
                <w:rFonts w:ascii="Times New Roman" w:hAnsi="Times New Roman"/>
                <w:sz w:val="20"/>
                <w:szCs w:val="20"/>
              </w:rPr>
              <w:t>МУП "НЭСК"</w:t>
            </w:r>
          </w:p>
        </w:tc>
        <w:tc>
          <w:tcPr>
            <w:tcW w:w="1560" w:type="dxa"/>
          </w:tcPr>
          <w:p w14:paraId="514C0848"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1432</w:t>
            </w:r>
          </w:p>
        </w:tc>
        <w:tc>
          <w:tcPr>
            <w:tcW w:w="1417" w:type="dxa"/>
          </w:tcPr>
          <w:p w14:paraId="6CE68E5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1376</w:t>
            </w:r>
          </w:p>
        </w:tc>
        <w:tc>
          <w:tcPr>
            <w:tcW w:w="992" w:type="dxa"/>
          </w:tcPr>
          <w:p w14:paraId="63EEA34C"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96,1</w:t>
            </w:r>
          </w:p>
        </w:tc>
        <w:tc>
          <w:tcPr>
            <w:tcW w:w="1525" w:type="dxa"/>
          </w:tcPr>
          <w:p w14:paraId="54FB8DC6"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16 281</w:t>
            </w:r>
          </w:p>
        </w:tc>
      </w:tr>
      <w:tr w:rsidR="00D470B6" w:rsidRPr="00A53AD7" w14:paraId="07E0F2F0" w14:textId="77777777" w:rsidTr="00F81277">
        <w:tc>
          <w:tcPr>
            <w:tcW w:w="534" w:type="dxa"/>
          </w:tcPr>
          <w:p w14:paraId="6E00B135"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1.5</w:t>
            </w:r>
          </w:p>
        </w:tc>
        <w:tc>
          <w:tcPr>
            <w:tcW w:w="3543" w:type="dxa"/>
          </w:tcPr>
          <w:p w14:paraId="2B9B3E62" w14:textId="77777777" w:rsidR="00000803" w:rsidRPr="00A53AD7" w:rsidRDefault="00000803" w:rsidP="00F81277">
            <w:pPr>
              <w:spacing w:after="0" w:line="240" w:lineRule="auto"/>
              <w:jc w:val="both"/>
              <w:rPr>
                <w:rFonts w:ascii="Times New Roman" w:hAnsi="Times New Roman"/>
                <w:sz w:val="20"/>
                <w:szCs w:val="20"/>
              </w:rPr>
            </w:pPr>
            <w:r w:rsidRPr="00A53AD7">
              <w:rPr>
                <w:rFonts w:ascii="Times New Roman" w:hAnsi="Times New Roman"/>
                <w:sz w:val="20"/>
                <w:szCs w:val="20"/>
              </w:rPr>
              <w:t>ИП Сидоров А.Б.</w:t>
            </w:r>
          </w:p>
        </w:tc>
        <w:tc>
          <w:tcPr>
            <w:tcW w:w="1560" w:type="dxa"/>
          </w:tcPr>
          <w:p w14:paraId="7DB50074"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124</w:t>
            </w:r>
          </w:p>
        </w:tc>
        <w:tc>
          <w:tcPr>
            <w:tcW w:w="1417" w:type="dxa"/>
          </w:tcPr>
          <w:p w14:paraId="23DF4D97"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121</w:t>
            </w:r>
          </w:p>
        </w:tc>
        <w:tc>
          <w:tcPr>
            <w:tcW w:w="992" w:type="dxa"/>
          </w:tcPr>
          <w:p w14:paraId="48B05F9D"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97,6</w:t>
            </w:r>
          </w:p>
        </w:tc>
        <w:tc>
          <w:tcPr>
            <w:tcW w:w="1525" w:type="dxa"/>
          </w:tcPr>
          <w:p w14:paraId="3150E7FF"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2 196</w:t>
            </w:r>
          </w:p>
        </w:tc>
      </w:tr>
      <w:tr w:rsidR="00D470B6" w:rsidRPr="00A53AD7" w14:paraId="10C38734" w14:textId="77777777" w:rsidTr="00F81277">
        <w:tc>
          <w:tcPr>
            <w:tcW w:w="534" w:type="dxa"/>
            <w:shd w:val="clear" w:color="auto" w:fill="D9D9D9" w:themeFill="background1" w:themeFillShade="D9"/>
          </w:tcPr>
          <w:p w14:paraId="5BD497BC"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2</w:t>
            </w:r>
          </w:p>
        </w:tc>
        <w:tc>
          <w:tcPr>
            <w:tcW w:w="3543" w:type="dxa"/>
            <w:shd w:val="clear" w:color="auto" w:fill="D9D9D9" w:themeFill="background1" w:themeFillShade="D9"/>
          </w:tcPr>
          <w:p w14:paraId="05CDEA22"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муниципальные </w:t>
            </w:r>
          </w:p>
          <w:p w14:paraId="479BBDDE"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маршруты</w:t>
            </w:r>
          </w:p>
        </w:tc>
        <w:tc>
          <w:tcPr>
            <w:tcW w:w="1560" w:type="dxa"/>
            <w:shd w:val="clear" w:color="auto" w:fill="D9D9D9" w:themeFill="background1" w:themeFillShade="D9"/>
          </w:tcPr>
          <w:p w14:paraId="3CCFCB3C"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11694,5</w:t>
            </w:r>
          </w:p>
        </w:tc>
        <w:tc>
          <w:tcPr>
            <w:tcW w:w="1417" w:type="dxa"/>
            <w:shd w:val="clear" w:color="auto" w:fill="D9D9D9" w:themeFill="background1" w:themeFillShade="D9"/>
          </w:tcPr>
          <w:p w14:paraId="0AB4919F"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11552,5</w:t>
            </w:r>
          </w:p>
        </w:tc>
        <w:tc>
          <w:tcPr>
            <w:tcW w:w="992" w:type="dxa"/>
            <w:shd w:val="clear" w:color="auto" w:fill="D9D9D9" w:themeFill="background1" w:themeFillShade="D9"/>
          </w:tcPr>
          <w:p w14:paraId="4C43258D"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98,8</w:t>
            </w:r>
          </w:p>
        </w:tc>
        <w:tc>
          <w:tcPr>
            <w:tcW w:w="1525" w:type="dxa"/>
            <w:shd w:val="clear" w:color="auto" w:fill="D9D9D9" w:themeFill="background1" w:themeFillShade="D9"/>
          </w:tcPr>
          <w:p w14:paraId="4704732E" w14:textId="77777777" w:rsidR="00000803" w:rsidRPr="00A53AD7" w:rsidRDefault="00000803" w:rsidP="00F81277">
            <w:pPr>
              <w:spacing w:after="0" w:line="240" w:lineRule="auto"/>
              <w:jc w:val="center"/>
              <w:rPr>
                <w:rFonts w:ascii="Times New Roman" w:hAnsi="Times New Roman"/>
                <w:b/>
                <w:sz w:val="20"/>
                <w:szCs w:val="20"/>
              </w:rPr>
            </w:pPr>
            <w:r w:rsidRPr="00A53AD7">
              <w:rPr>
                <w:rFonts w:ascii="Times New Roman" w:hAnsi="Times New Roman"/>
                <w:b/>
                <w:sz w:val="20"/>
                <w:szCs w:val="20"/>
              </w:rPr>
              <w:t>481939</w:t>
            </w:r>
          </w:p>
        </w:tc>
      </w:tr>
      <w:tr w:rsidR="00D470B6" w:rsidRPr="00A53AD7" w14:paraId="5F098147" w14:textId="77777777" w:rsidTr="00F81277">
        <w:tc>
          <w:tcPr>
            <w:tcW w:w="534" w:type="dxa"/>
          </w:tcPr>
          <w:p w14:paraId="3826810D"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2.1</w:t>
            </w:r>
          </w:p>
        </w:tc>
        <w:tc>
          <w:tcPr>
            <w:tcW w:w="3543" w:type="dxa"/>
          </w:tcPr>
          <w:p w14:paraId="38319B2D" w14:textId="77777777" w:rsidR="00000803" w:rsidRPr="00A53AD7" w:rsidRDefault="00000803" w:rsidP="00F81277">
            <w:pPr>
              <w:spacing w:after="0" w:line="240" w:lineRule="auto"/>
              <w:rPr>
                <w:rFonts w:ascii="Times New Roman" w:hAnsi="Times New Roman"/>
                <w:sz w:val="20"/>
                <w:szCs w:val="20"/>
              </w:rPr>
            </w:pPr>
            <w:r w:rsidRPr="00A53AD7">
              <w:rPr>
                <w:rFonts w:ascii="Times New Roman" w:hAnsi="Times New Roman"/>
                <w:sz w:val="20"/>
                <w:szCs w:val="20"/>
              </w:rPr>
              <w:t>МО «Онежский муниципальный район»</w:t>
            </w:r>
          </w:p>
        </w:tc>
        <w:tc>
          <w:tcPr>
            <w:tcW w:w="1560" w:type="dxa"/>
            <w:shd w:val="clear" w:color="auto" w:fill="auto"/>
          </w:tcPr>
          <w:p w14:paraId="621AE3D0"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1965</w:t>
            </w:r>
          </w:p>
        </w:tc>
        <w:tc>
          <w:tcPr>
            <w:tcW w:w="1417" w:type="dxa"/>
            <w:shd w:val="clear" w:color="auto" w:fill="auto"/>
          </w:tcPr>
          <w:p w14:paraId="3CA293EE"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1963</w:t>
            </w:r>
          </w:p>
        </w:tc>
        <w:tc>
          <w:tcPr>
            <w:tcW w:w="992" w:type="dxa"/>
            <w:shd w:val="clear" w:color="auto" w:fill="auto"/>
          </w:tcPr>
          <w:p w14:paraId="4411E47B"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99,9</w:t>
            </w:r>
          </w:p>
        </w:tc>
        <w:tc>
          <w:tcPr>
            <w:tcW w:w="1525" w:type="dxa"/>
            <w:shd w:val="clear" w:color="auto" w:fill="auto"/>
          </w:tcPr>
          <w:p w14:paraId="7D772669"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88233</w:t>
            </w:r>
          </w:p>
        </w:tc>
      </w:tr>
      <w:tr w:rsidR="00D470B6" w:rsidRPr="00A53AD7" w14:paraId="00AAC253" w14:textId="77777777" w:rsidTr="00F81277">
        <w:tc>
          <w:tcPr>
            <w:tcW w:w="534" w:type="dxa"/>
          </w:tcPr>
          <w:p w14:paraId="0AB179CE"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2.2</w:t>
            </w:r>
          </w:p>
        </w:tc>
        <w:tc>
          <w:tcPr>
            <w:tcW w:w="3543" w:type="dxa"/>
          </w:tcPr>
          <w:p w14:paraId="559A94B9" w14:textId="77777777" w:rsidR="00000803" w:rsidRPr="00A53AD7" w:rsidRDefault="00000803" w:rsidP="00F81277">
            <w:pPr>
              <w:spacing w:after="0" w:line="240" w:lineRule="auto"/>
              <w:rPr>
                <w:rFonts w:ascii="Times New Roman" w:hAnsi="Times New Roman"/>
                <w:sz w:val="20"/>
                <w:szCs w:val="20"/>
              </w:rPr>
            </w:pPr>
            <w:r w:rsidRPr="00A53AD7">
              <w:rPr>
                <w:rFonts w:ascii="Times New Roman" w:hAnsi="Times New Roman"/>
                <w:sz w:val="20"/>
                <w:szCs w:val="20"/>
              </w:rPr>
              <w:t>МО «Город Архангельск»</w:t>
            </w:r>
          </w:p>
        </w:tc>
        <w:tc>
          <w:tcPr>
            <w:tcW w:w="1560" w:type="dxa"/>
          </w:tcPr>
          <w:p w14:paraId="26486296"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8761,5</w:t>
            </w:r>
          </w:p>
        </w:tc>
        <w:tc>
          <w:tcPr>
            <w:tcW w:w="1417" w:type="dxa"/>
          </w:tcPr>
          <w:p w14:paraId="41FAE51E"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8627</w:t>
            </w:r>
          </w:p>
        </w:tc>
        <w:tc>
          <w:tcPr>
            <w:tcW w:w="992" w:type="dxa"/>
          </w:tcPr>
          <w:p w14:paraId="51347475"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98,5</w:t>
            </w:r>
          </w:p>
        </w:tc>
        <w:tc>
          <w:tcPr>
            <w:tcW w:w="1525" w:type="dxa"/>
          </w:tcPr>
          <w:p w14:paraId="64648E0F"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360 981</w:t>
            </w:r>
          </w:p>
        </w:tc>
      </w:tr>
      <w:tr w:rsidR="00D470B6" w:rsidRPr="00A53AD7" w14:paraId="0D54E194" w14:textId="77777777" w:rsidTr="00F81277">
        <w:tc>
          <w:tcPr>
            <w:tcW w:w="534" w:type="dxa"/>
          </w:tcPr>
          <w:p w14:paraId="31ED9AB5"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2.3</w:t>
            </w:r>
          </w:p>
        </w:tc>
        <w:tc>
          <w:tcPr>
            <w:tcW w:w="3543" w:type="dxa"/>
          </w:tcPr>
          <w:p w14:paraId="0354E036" w14:textId="77777777" w:rsidR="00000803" w:rsidRPr="00A53AD7" w:rsidRDefault="00000803" w:rsidP="00F81277">
            <w:pPr>
              <w:spacing w:after="0" w:line="240" w:lineRule="auto"/>
              <w:rPr>
                <w:rFonts w:ascii="Times New Roman" w:hAnsi="Times New Roman"/>
                <w:sz w:val="20"/>
                <w:szCs w:val="20"/>
              </w:rPr>
            </w:pPr>
            <w:r w:rsidRPr="00A53AD7">
              <w:rPr>
                <w:rFonts w:ascii="Times New Roman" w:hAnsi="Times New Roman"/>
                <w:sz w:val="20"/>
                <w:szCs w:val="20"/>
              </w:rPr>
              <w:t>МО «Приморский муниципальный район»</w:t>
            </w:r>
          </w:p>
        </w:tc>
        <w:tc>
          <w:tcPr>
            <w:tcW w:w="1560" w:type="dxa"/>
          </w:tcPr>
          <w:p w14:paraId="6A2A170C"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308</w:t>
            </w:r>
          </w:p>
        </w:tc>
        <w:tc>
          <w:tcPr>
            <w:tcW w:w="1417" w:type="dxa"/>
          </w:tcPr>
          <w:p w14:paraId="6BC31BFC"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309</w:t>
            </w:r>
          </w:p>
        </w:tc>
        <w:tc>
          <w:tcPr>
            <w:tcW w:w="992" w:type="dxa"/>
          </w:tcPr>
          <w:p w14:paraId="37158BEE"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100,3</w:t>
            </w:r>
          </w:p>
        </w:tc>
        <w:tc>
          <w:tcPr>
            <w:tcW w:w="1525" w:type="dxa"/>
          </w:tcPr>
          <w:p w14:paraId="50A60D3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4 162</w:t>
            </w:r>
          </w:p>
        </w:tc>
      </w:tr>
      <w:tr w:rsidR="00D470B6" w:rsidRPr="00A53AD7" w14:paraId="1E742119" w14:textId="77777777" w:rsidTr="00F81277">
        <w:tc>
          <w:tcPr>
            <w:tcW w:w="534" w:type="dxa"/>
          </w:tcPr>
          <w:p w14:paraId="0C5E96E7"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2.4</w:t>
            </w:r>
          </w:p>
        </w:tc>
        <w:tc>
          <w:tcPr>
            <w:tcW w:w="3543" w:type="dxa"/>
          </w:tcPr>
          <w:p w14:paraId="23CFCEDF" w14:textId="77777777" w:rsidR="00000803" w:rsidRPr="00A53AD7" w:rsidRDefault="00000803" w:rsidP="00F81277">
            <w:pPr>
              <w:spacing w:after="0" w:line="240" w:lineRule="auto"/>
              <w:rPr>
                <w:rFonts w:ascii="Times New Roman" w:hAnsi="Times New Roman"/>
                <w:sz w:val="20"/>
                <w:szCs w:val="20"/>
              </w:rPr>
            </w:pPr>
            <w:r w:rsidRPr="00A53AD7">
              <w:rPr>
                <w:rFonts w:ascii="Times New Roman" w:hAnsi="Times New Roman"/>
                <w:sz w:val="20"/>
                <w:szCs w:val="20"/>
              </w:rPr>
              <w:t>МО «Мезенский муниципальный район»</w:t>
            </w:r>
          </w:p>
        </w:tc>
        <w:tc>
          <w:tcPr>
            <w:tcW w:w="1560" w:type="dxa"/>
          </w:tcPr>
          <w:p w14:paraId="76400844"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566</w:t>
            </w:r>
          </w:p>
        </w:tc>
        <w:tc>
          <w:tcPr>
            <w:tcW w:w="1417" w:type="dxa"/>
          </w:tcPr>
          <w:p w14:paraId="118A0EF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566</w:t>
            </w:r>
          </w:p>
        </w:tc>
        <w:tc>
          <w:tcPr>
            <w:tcW w:w="992" w:type="dxa"/>
          </w:tcPr>
          <w:p w14:paraId="786BFF4D"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100</w:t>
            </w:r>
          </w:p>
        </w:tc>
        <w:tc>
          <w:tcPr>
            <w:tcW w:w="1525" w:type="dxa"/>
          </w:tcPr>
          <w:p w14:paraId="622E1F50"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20343</w:t>
            </w:r>
          </w:p>
        </w:tc>
      </w:tr>
      <w:tr w:rsidR="00D470B6" w:rsidRPr="00A53AD7" w14:paraId="45D56EF9" w14:textId="77777777" w:rsidTr="00F81277">
        <w:tc>
          <w:tcPr>
            <w:tcW w:w="534" w:type="dxa"/>
          </w:tcPr>
          <w:p w14:paraId="6826782C"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2.5</w:t>
            </w:r>
          </w:p>
        </w:tc>
        <w:tc>
          <w:tcPr>
            <w:tcW w:w="3543" w:type="dxa"/>
          </w:tcPr>
          <w:p w14:paraId="26DD23C0" w14:textId="77777777" w:rsidR="00000803" w:rsidRPr="00A53AD7" w:rsidRDefault="00000803" w:rsidP="00F81277">
            <w:pPr>
              <w:spacing w:after="0" w:line="240" w:lineRule="auto"/>
              <w:rPr>
                <w:rFonts w:ascii="Times New Roman" w:hAnsi="Times New Roman"/>
                <w:sz w:val="20"/>
                <w:szCs w:val="20"/>
              </w:rPr>
            </w:pPr>
            <w:r w:rsidRPr="00A53AD7">
              <w:rPr>
                <w:rFonts w:ascii="Times New Roman" w:hAnsi="Times New Roman"/>
                <w:sz w:val="20"/>
                <w:szCs w:val="20"/>
              </w:rPr>
              <w:t>МО «Верхнетоемский муниципальный район»</w:t>
            </w:r>
          </w:p>
        </w:tc>
        <w:tc>
          <w:tcPr>
            <w:tcW w:w="1560" w:type="dxa"/>
          </w:tcPr>
          <w:p w14:paraId="0CB14895"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94</w:t>
            </w:r>
          </w:p>
        </w:tc>
        <w:tc>
          <w:tcPr>
            <w:tcW w:w="1417" w:type="dxa"/>
          </w:tcPr>
          <w:p w14:paraId="083A28B7"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87,5</w:t>
            </w:r>
          </w:p>
        </w:tc>
        <w:tc>
          <w:tcPr>
            <w:tcW w:w="992" w:type="dxa"/>
          </w:tcPr>
          <w:p w14:paraId="3A38AAE1"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93,1</w:t>
            </w:r>
          </w:p>
        </w:tc>
        <w:tc>
          <w:tcPr>
            <w:tcW w:w="1525" w:type="dxa"/>
          </w:tcPr>
          <w:p w14:paraId="2B004EA2" w14:textId="77777777" w:rsidR="00000803" w:rsidRPr="00A53AD7" w:rsidRDefault="00000803" w:rsidP="00F81277">
            <w:pPr>
              <w:spacing w:after="0" w:line="240" w:lineRule="auto"/>
              <w:jc w:val="center"/>
              <w:rPr>
                <w:rFonts w:ascii="Times New Roman" w:hAnsi="Times New Roman"/>
                <w:sz w:val="20"/>
                <w:szCs w:val="20"/>
              </w:rPr>
            </w:pPr>
            <w:r w:rsidRPr="00A53AD7">
              <w:rPr>
                <w:rFonts w:ascii="Times New Roman" w:hAnsi="Times New Roman"/>
                <w:sz w:val="20"/>
                <w:szCs w:val="20"/>
              </w:rPr>
              <w:t>8220</w:t>
            </w:r>
          </w:p>
        </w:tc>
      </w:tr>
      <w:tr w:rsidR="00D470B6" w:rsidRPr="00A53AD7" w14:paraId="7244F5D8" w14:textId="77777777" w:rsidTr="00F81277">
        <w:tc>
          <w:tcPr>
            <w:tcW w:w="534" w:type="dxa"/>
            <w:shd w:val="clear" w:color="auto" w:fill="D9D9D9" w:themeFill="background1" w:themeFillShade="D9"/>
          </w:tcPr>
          <w:p w14:paraId="280F234C"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3</w:t>
            </w:r>
          </w:p>
        </w:tc>
        <w:tc>
          <w:tcPr>
            <w:tcW w:w="3543" w:type="dxa"/>
            <w:shd w:val="clear" w:color="auto" w:fill="D9D9D9" w:themeFill="background1" w:themeFillShade="D9"/>
          </w:tcPr>
          <w:p w14:paraId="67C9D01B"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Всего</w:t>
            </w:r>
          </w:p>
        </w:tc>
        <w:tc>
          <w:tcPr>
            <w:tcW w:w="1560" w:type="dxa"/>
            <w:shd w:val="clear" w:color="auto" w:fill="D9D9D9" w:themeFill="background1" w:themeFillShade="D9"/>
          </w:tcPr>
          <w:p w14:paraId="4441902C"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21 816,5</w:t>
            </w:r>
          </w:p>
        </w:tc>
        <w:tc>
          <w:tcPr>
            <w:tcW w:w="1417" w:type="dxa"/>
            <w:shd w:val="clear" w:color="auto" w:fill="D9D9D9" w:themeFill="background1" w:themeFillShade="D9"/>
          </w:tcPr>
          <w:p w14:paraId="2244C533"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21 444,5</w:t>
            </w:r>
          </w:p>
        </w:tc>
        <w:tc>
          <w:tcPr>
            <w:tcW w:w="992" w:type="dxa"/>
            <w:shd w:val="clear" w:color="auto" w:fill="D9D9D9" w:themeFill="background1" w:themeFillShade="D9"/>
          </w:tcPr>
          <w:p w14:paraId="434DE781"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98,3</w:t>
            </w:r>
          </w:p>
        </w:tc>
        <w:tc>
          <w:tcPr>
            <w:tcW w:w="1525" w:type="dxa"/>
            <w:shd w:val="clear" w:color="auto" w:fill="D9D9D9" w:themeFill="background1" w:themeFillShade="D9"/>
          </w:tcPr>
          <w:p w14:paraId="1EB71FA0" w14:textId="77777777" w:rsidR="00000803" w:rsidRPr="00A53AD7" w:rsidRDefault="00000803" w:rsidP="00F81277">
            <w:pPr>
              <w:spacing w:after="0" w:line="240" w:lineRule="auto"/>
              <w:jc w:val="center"/>
              <w:rPr>
                <w:rFonts w:ascii="Times New Roman" w:hAnsi="Times New Roman"/>
                <w:b/>
              </w:rPr>
            </w:pPr>
            <w:r w:rsidRPr="00A53AD7">
              <w:rPr>
                <w:rFonts w:ascii="Times New Roman" w:hAnsi="Times New Roman"/>
                <w:b/>
              </w:rPr>
              <w:t>864 140</w:t>
            </w:r>
          </w:p>
        </w:tc>
      </w:tr>
    </w:tbl>
    <w:p w14:paraId="5A984C90" w14:textId="77777777" w:rsidR="00000803" w:rsidRPr="00A53AD7" w:rsidRDefault="00000803" w:rsidP="00000803">
      <w:pPr>
        <w:spacing w:line="320" w:lineRule="atLeast"/>
        <w:ind w:firstLine="709"/>
        <w:jc w:val="both"/>
        <w:rPr>
          <w:b/>
          <w:sz w:val="28"/>
          <w:szCs w:val="28"/>
          <w:highlight w:val="cyan"/>
        </w:rPr>
      </w:pPr>
    </w:p>
    <w:p w14:paraId="1FBE1C23" w14:textId="77777777"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Следует отметить, что в отчетных формах по межмуниципальным маршрутам (заказчиком которых является непосредственно министерство транспорта) количество рейсов по расписанию за 2019 год не соответствует по количеству, отраженному в государственных контрактах (размещенным на сайте госзакупки) на 251 рейс, в том числе: АО "Архангельский речной порт" отклонение на 243 ед. или 2,9% от плана, МУП "НЭСК" отклонение на 8 ед. или 0,6% от плана.</w:t>
      </w:r>
    </w:p>
    <w:p w14:paraId="5B4A2CCD" w14:textId="4015254A"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результатам контрольного мероприятия, проводимого в МО «Приморский муниципальный район» по вопросу проверки</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обоснованности предоставления субсидии на возмещение недополученных доходов, возникающих в результате государственного регулирования тарифов на перевозку пассажиров и багажа водным транспортом (акт проверки от 09 декабря 2019 года) установлено: «Согласно отчетам Администрации МО «Боброво-Лявленское» за отчетный период ООО «Устьпинежский ЛПХ» выполнило по расписанию 308 рейсов или 100% выполнение, перевезено пассажиров в количестве 4 162 чел., кассовые расходы МО составили в сумме 2 684 378,0 руб., в том числе средства районного бюджета в сумме 26 578,0 руб.».</w:t>
      </w:r>
    </w:p>
    <w:p w14:paraId="47A59641" w14:textId="6373C74E"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Таким образом, с учетом вышеизложенного, фактическое общее выполнение рейсов по муниципальным и межмуниципальным маршрутам, осуществленным водным транспортом по расписанию составит 21 443,5 ед. при плане 2</w:t>
      </w:r>
      <w:r w:rsidR="0045713F" w:rsidRPr="00A53AD7">
        <w:rPr>
          <w:rFonts w:ascii="Times New Roman" w:hAnsi="Times New Roman" w:cs="Times New Roman"/>
          <w:sz w:val="28"/>
          <w:szCs w:val="28"/>
        </w:rPr>
        <w:t>2 067 ед. или исполнение 97,2%.</w:t>
      </w:r>
    </w:p>
    <w:p w14:paraId="36821707" w14:textId="0B2826B8"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Целевой показатель «Количество перевезенных пассажиров на субсидируемых маршрутах водного транспорта» должен составить 864,14 тыс.чел. и</w:t>
      </w:r>
      <w:r w:rsidR="00F81277" w:rsidRPr="00A53AD7">
        <w:rPr>
          <w:rFonts w:ascii="Times New Roman" w:hAnsi="Times New Roman" w:cs="Times New Roman"/>
          <w:sz w:val="28"/>
          <w:szCs w:val="28"/>
        </w:rPr>
        <w:t>ли отклонение «-0,38 тыс. чел.».</w:t>
      </w:r>
    </w:p>
    <w:p w14:paraId="5863E3D4" w14:textId="77777777" w:rsidR="00F81277" w:rsidRPr="00A53AD7" w:rsidRDefault="00F81277" w:rsidP="00F81277">
      <w:pPr>
        <w:pStyle w:val="ConsPlusNormal"/>
        <w:ind w:firstLine="851"/>
        <w:jc w:val="both"/>
        <w:rPr>
          <w:rFonts w:ascii="Times New Roman" w:hAnsi="Times New Roman" w:cs="Times New Roman"/>
          <w:sz w:val="28"/>
          <w:szCs w:val="28"/>
        </w:rPr>
      </w:pPr>
    </w:p>
    <w:p w14:paraId="37BA3219" w14:textId="77777777"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В части организации железнодорожного транспорта: </w:t>
      </w:r>
    </w:p>
    <w:p w14:paraId="7D20B8A7" w14:textId="6082FD62"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«Расчетам фактической потребности в средствах субсидии АО «СППК» на возмещение недополученных расходов…» и «Отчетов АО «СППК» о фактических выполненных перевозках пассажиров железнодоро</w:t>
      </w:r>
      <w:r w:rsidR="00F81277" w:rsidRPr="00A53AD7">
        <w:rPr>
          <w:rFonts w:ascii="Times New Roman" w:hAnsi="Times New Roman" w:cs="Times New Roman"/>
          <w:sz w:val="28"/>
          <w:szCs w:val="28"/>
        </w:rPr>
        <w:t>жным транспортом…» за 2019 год:</w:t>
      </w:r>
    </w:p>
    <w:p w14:paraId="6B58DB1F" w14:textId="63FBED7B" w:rsidR="00000803" w:rsidRPr="00A53AD7" w:rsidRDefault="00000803" w:rsidP="00CA1DDD">
      <w:pPr>
        <w:pStyle w:val="a8"/>
        <w:numPr>
          <w:ilvl w:val="0"/>
          <w:numId w:val="33"/>
        </w:numPr>
        <w:ind w:left="0" w:firstLine="851"/>
        <w:jc w:val="both"/>
        <w:rPr>
          <w:sz w:val="28"/>
          <w:szCs w:val="28"/>
        </w:rPr>
      </w:pPr>
      <w:r w:rsidRPr="00A53AD7">
        <w:rPr>
          <w:sz w:val="28"/>
          <w:szCs w:val="28"/>
        </w:rPr>
        <w:t>размер не дополученных доходов соста</w:t>
      </w:r>
      <w:r w:rsidR="00534784" w:rsidRPr="00A53AD7">
        <w:rPr>
          <w:sz w:val="28"/>
          <w:szCs w:val="28"/>
        </w:rPr>
        <w:t>вил в сумме 331 700 275,84 руб.;</w:t>
      </w:r>
    </w:p>
    <w:p w14:paraId="4ADB2939" w14:textId="6EBFE326" w:rsidR="00000803" w:rsidRPr="00A53AD7" w:rsidRDefault="00000803" w:rsidP="00CA1DDD">
      <w:pPr>
        <w:pStyle w:val="a8"/>
        <w:numPr>
          <w:ilvl w:val="0"/>
          <w:numId w:val="33"/>
        </w:numPr>
        <w:ind w:left="0" w:firstLine="851"/>
        <w:jc w:val="both"/>
        <w:rPr>
          <w:sz w:val="28"/>
          <w:szCs w:val="28"/>
        </w:rPr>
      </w:pPr>
      <w:r w:rsidRPr="00A53AD7">
        <w:rPr>
          <w:sz w:val="28"/>
          <w:szCs w:val="28"/>
        </w:rPr>
        <w:t>фактически выполнено рейсов 20,4 тыс. ед</w:t>
      </w:r>
      <w:r w:rsidR="00534784" w:rsidRPr="00A53AD7">
        <w:rPr>
          <w:sz w:val="28"/>
          <w:szCs w:val="28"/>
        </w:rPr>
        <w:t>. или 100,0% к запланированным;</w:t>
      </w:r>
    </w:p>
    <w:p w14:paraId="54C95E60" w14:textId="0E81EF21" w:rsidR="00000803" w:rsidRPr="00A53AD7" w:rsidRDefault="00000803" w:rsidP="00CA1DDD">
      <w:pPr>
        <w:pStyle w:val="a8"/>
        <w:numPr>
          <w:ilvl w:val="0"/>
          <w:numId w:val="33"/>
        </w:numPr>
        <w:ind w:left="0" w:firstLine="851"/>
        <w:jc w:val="both"/>
        <w:rPr>
          <w:sz w:val="28"/>
          <w:szCs w:val="28"/>
        </w:rPr>
      </w:pPr>
      <w:r w:rsidRPr="00A53AD7">
        <w:rPr>
          <w:sz w:val="28"/>
          <w:szCs w:val="28"/>
        </w:rPr>
        <w:t>перевезено 1 537</w:t>
      </w:r>
      <w:r w:rsidR="00F81277" w:rsidRPr="00A53AD7">
        <w:rPr>
          <w:sz w:val="28"/>
          <w:szCs w:val="28"/>
        </w:rPr>
        <w:t> </w:t>
      </w:r>
      <w:r w:rsidRPr="00A53AD7">
        <w:rPr>
          <w:sz w:val="28"/>
          <w:szCs w:val="28"/>
        </w:rPr>
        <w:t>151 чел</w:t>
      </w:r>
      <w:r w:rsidR="00F81277" w:rsidRPr="00A53AD7">
        <w:rPr>
          <w:sz w:val="28"/>
          <w:szCs w:val="28"/>
        </w:rPr>
        <w:t>.</w:t>
      </w:r>
      <w:r w:rsidRPr="00A53AD7">
        <w:rPr>
          <w:sz w:val="28"/>
          <w:szCs w:val="28"/>
        </w:rPr>
        <w:t xml:space="preserve"> или 101,5% к уровню аналогичного периода прошлого года. </w:t>
      </w:r>
    </w:p>
    <w:p w14:paraId="4C366D94" w14:textId="77777777"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данным «Отчета о фактических перевозках обучающихся, воспользовавшихся правом льготного проезда» АО «СППК» за 2019 год фактически перевезено 75,6 тыс. чел. или 106,1% к уровню прошлого года.</w:t>
      </w:r>
    </w:p>
    <w:p w14:paraId="5F16A566" w14:textId="2F25D5DB" w:rsidR="00000803" w:rsidRPr="00A53AD7" w:rsidRDefault="00000803" w:rsidP="00F81277">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Таким образом, фактические расходы на возмещение недополученных доходов, возникающих в результате государственного регулирования тарифов на перевозки пассажиров железнодорожным транспортом общего пользования в пригородном сообщении за 2019 год составляют </w:t>
      </w:r>
      <w:r w:rsidR="00C30A6D" w:rsidRPr="00A53AD7">
        <w:rPr>
          <w:rFonts w:ascii="Times New Roman" w:hAnsi="Times New Roman" w:cs="Times New Roman"/>
          <w:sz w:val="28"/>
          <w:szCs w:val="28"/>
        </w:rPr>
        <w:t>367,2 млн.руб. или отклонение «+0,4» млн.</w:t>
      </w:r>
      <w:r w:rsidRPr="00A53AD7">
        <w:rPr>
          <w:rFonts w:ascii="Times New Roman" w:hAnsi="Times New Roman" w:cs="Times New Roman"/>
          <w:sz w:val="28"/>
          <w:szCs w:val="28"/>
        </w:rPr>
        <w:t>руб. Следовательно, исполнение мероприятия составит 93,0% к плану или отклонение «+0,1»</w:t>
      </w:r>
      <w:r w:rsidR="00C30A6D" w:rsidRPr="00A53AD7">
        <w:rPr>
          <w:rFonts w:ascii="Times New Roman" w:hAnsi="Times New Roman" w:cs="Times New Roman"/>
          <w:sz w:val="28"/>
          <w:szCs w:val="28"/>
        </w:rPr>
        <w:t xml:space="preserve"> </w:t>
      </w:r>
      <w:r w:rsidR="00534784" w:rsidRPr="00A53AD7">
        <w:rPr>
          <w:rFonts w:ascii="Times New Roman" w:hAnsi="Times New Roman" w:cs="Times New Roman"/>
          <w:sz w:val="28"/>
          <w:szCs w:val="28"/>
        </w:rPr>
        <w:t>%.</w:t>
      </w:r>
    </w:p>
    <w:p w14:paraId="02D423B5" w14:textId="4593B8D5"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ab/>
        <w:t>Целевой показатель госпрограммы «Количество перевезенных пассажиров на субсидируемых маршрутах» должен составить 2 420,45 тыс. чел или отклонение от достигнутого согласно отчетности «-0,38 тыс. чел», фактическое исполнение мероприятий подпрограммы долж</w:t>
      </w:r>
      <w:r w:rsidR="00EE5979" w:rsidRPr="00A53AD7">
        <w:rPr>
          <w:rFonts w:ascii="Times New Roman" w:hAnsi="Times New Roman" w:cs="Times New Roman"/>
          <w:sz w:val="28"/>
          <w:szCs w:val="28"/>
        </w:rPr>
        <w:t>но составить в сумме 684,3 млн.</w:t>
      </w:r>
      <w:r w:rsidRPr="00A53AD7">
        <w:rPr>
          <w:rFonts w:ascii="Times New Roman" w:hAnsi="Times New Roman" w:cs="Times New Roman"/>
          <w:sz w:val="28"/>
          <w:szCs w:val="28"/>
        </w:rPr>
        <w:t>руб. или исполнение 90,8</w:t>
      </w:r>
      <w:r w:rsidR="00C30A6D" w:rsidRPr="00A53AD7">
        <w:rPr>
          <w:rFonts w:ascii="Times New Roman" w:hAnsi="Times New Roman" w:cs="Times New Roman"/>
          <w:sz w:val="28"/>
          <w:szCs w:val="28"/>
        </w:rPr>
        <w:t xml:space="preserve"> </w:t>
      </w:r>
      <w:r w:rsidRPr="00A53AD7">
        <w:rPr>
          <w:rFonts w:ascii="Times New Roman" w:hAnsi="Times New Roman" w:cs="Times New Roman"/>
          <w:sz w:val="28"/>
          <w:szCs w:val="28"/>
        </w:rPr>
        <w:t>%, отклонение «-0,3»</w:t>
      </w:r>
      <w:r w:rsidR="00EE7240" w:rsidRPr="00A53AD7">
        <w:rPr>
          <w:rFonts w:ascii="Times New Roman" w:hAnsi="Times New Roman" w:cs="Times New Roman"/>
          <w:sz w:val="28"/>
          <w:szCs w:val="28"/>
        </w:rPr>
        <w:t xml:space="preserve"> </w:t>
      </w:r>
      <w:r w:rsidRPr="00A53AD7">
        <w:rPr>
          <w:rFonts w:ascii="Times New Roman" w:hAnsi="Times New Roman" w:cs="Times New Roman"/>
          <w:sz w:val="28"/>
          <w:szCs w:val="28"/>
        </w:rPr>
        <w:t>%.</w:t>
      </w:r>
    </w:p>
    <w:p w14:paraId="55EC839B" w14:textId="7CDECF4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«Сведений о достижении целевых показателей госпрограммы» исполнение целевого показателя «10. Количество перевезенных пассажиров на субсидируемых маршрутах», размещенных в КИАС, составило 2 420,826 тыс. чел. или 98,8% от плана. Информация по выполнению целевого показателя в разрезе видов тр</w:t>
      </w:r>
      <w:r w:rsidR="00C30A6D" w:rsidRPr="00A53AD7">
        <w:rPr>
          <w:rFonts w:ascii="Times New Roman" w:hAnsi="Times New Roman" w:cs="Times New Roman"/>
          <w:sz w:val="28"/>
          <w:szCs w:val="28"/>
        </w:rPr>
        <w:t>анспорта приведена в таблице:</w:t>
      </w:r>
    </w:p>
    <w:tbl>
      <w:tblPr>
        <w:tblStyle w:val="15"/>
        <w:tblW w:w="9039"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2943"/>
        <w:gridCol w:w="1560"/>
        <w:gridCol w:w="1134"/>
        <w:gridCol w:w="1417"/>
        <w:gridCol w:w="992"/>
        <w:gridCol w:w="993"/>
      </w:tblGrid>
      <w:tr w:rsidR="00D470B6" w:rsidRPr="00A53AD7" w14:paraId="0145BFBD" w14:textId="77777777" w:rsidTr="00C30A6D">
        <w:trPr>
          <w:trHeight w:val="290"/>
        </w:trPr>
        <w:tc>
          <w:tcPr>
            <w:tcW w:w="2943" w:type="dxa"/>
            <w:vMerge w:val="restart"/>
          </w:tcPr>
          <w:p w14:paraId="4FAEADC7"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Наименование показателя</w:t>
            </w:r>
          </w:p>
          <w:p w14:paraId="7B4D7851" w14:textId="77777777" w:rsidR="00000803" w:rsidRPr="00A53AD7" w:rsidRDefault="00000803" w:rsidP="00C30A6D">
            <w:pPr>
              <w:spacing w:after="0" w:line="240" w:lineRule="auto"/>
              <w:jc w:val="both"/>
              <w:rPr>
                <w:rFonts w:ascii="Times New Roman" w:eastAsia="Courier New" w:hAnsi="Times New Roman"/>
                <w:sz w:val="20"/>
                <w:szCs w:val="20"/>
              </w:rPr>
            </w:pPr>
          </w:p>
        </w:tc>
        <w:tc>
          <w:tcPr>
            <w:tcW w:w="1560" w:type="dxa"/>
            <w:vMerge w:val="restart"/>
          </w:tcPr>
          <w:p w14:paraId="660DB123"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 xml:space="preserve">Значение целевого показателя фактическое за 2018 год, </w:t>
            </w:r>
          </w:p>
          <w:p w14:paraId="36517357"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тыс. чел</w:t>
            </w:r>
          </w:p>
        </w:tc>
        <w:tc>
          <w:tcPr>
            <w:tcW w:w="2551" w:type="dxa"/>
            <w:gridSpan w:val="2"/>
          </w:tcPr>
          <w:p w14:paraId="6DC2B276"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Значение целевого показателя за 2019 год, тыс.чел.</w:t>
            </w:r>
          </w:p>
          <w:p w14:paraId="61453B3F" w14:textId="77777777" w:rsidR="00000803" w:rsidRPr="00A53AD7" w:rsidRDefault="00000803" w:rsidP="00C30A6D">
            <w:pPr>
              <w:spacing w:after="0" w:line="240" w:lineRule="auto"/>
              <w:jc w:val="center"/>
              <w:rPr>
                <w:rFonts w:ascii="Times New Roman" w:eastAsia="Courier New" w:hAnsi="Times New Roman"/>
                <w:sz w:val="20"/>
                <w:szCs w:val="20"/>
              </w:rPr>
            </w:pPr>
          </w:p>
          <w:p w14:paraId="37FECCC2"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992" w:type="dxa"/>
            <w:vMerge w:val="restart"/>
          </w:tcPr>
          <w:p w14:paraId="45020565"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Факт 2019 к плану 2019, %</w:t>
            </w:r>
          </w:p>
        </w:tc>
        <w:tc>
          <w:tcPr>
            <w:tcW w:w="993" w:type="dxa"/>
            <w:vMerge w:val="restart"/>
          </w:tcPr>
          <w:p w14:paraId="7995C223"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Факт 2019 к факту 2018, %</w:t>
            </w:r>
          </w:p>
        </w:tc>
      </w:tr>
      <w:tr w:rsidR="00D470B6" w:rsidRPr="00A53AD7" w14:paraId="32B664D2" w14:textId="77777777" w:rsidTr="00C30A6D">
        <w:trPr>
          <w:trHeight w:val="187"/>
        </w:trPr>
        <w:tc>
          <w:tcPr>
            <w:tcW w:w="2943" w:type="dxa"/>
            <w:vMerge/>
          </w:tcPr>
          <w:p w14:paraId="6BD9756C" w14:textId="77777777" w:rsidR="00000803" w:rsidRPr="00A53AD7" w:rsidRDefault="00000803" w:rsidP="00C30A6D">
            <w:pPr>
              <w:spacing w:after="0" w:line="240" w:lineRule="auto"/>
              <w:rPr>
                <w:rFonts w:ascii="Times New Roman" w:eastAsia="Courier New" w:hAnsi="Times New Roman"/>
                <w:sz w:val="20"/>
                <w:szCs w:val="20"/>
              </w:rPr>
            </w:pPr>
          </w:p>
        </w:tc>
        <w:tc>
          <w:tcPr>
            <w:tcW w:w="1560" w:type="dxa"/>
            <w:vMerge/>
          </w:tcPr>
          <w:p w14:paraId="107AA02F"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1134" w:type="dxa"/>
          </w:tcPr>
          <w:p w14:paraId="4B5FD1F6"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плановое</w:t>
            </w:r>
          </w:p>
        </w:tc>
        <w:tc>
          <w:tcPr>
            <w:tcW w:w="1417" w:type="dxa"/>
          </w:tcPr>
          <w:p w14:paraId="3606AE9F"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фактическое</w:t>
            </w:r>
          </w:p>
        </w:tc>
        <w:tc>
          <w:tcPr>
            <w:tcW w:w="992" w:type="dxa"/>
            <w:vMerge/>
          </w:tcPr>
          <w:p w14:paraId="3965E4F3"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993" w:type="dxa"/>
            <w:vMerge/>
          </w:tcPr>
          <w:p w14:paraId="150D1A4B" w14:textId="77777777" w:rsidR="00000803" w:rsidRPr="00A53AD7" w:rsidRDefault="00000803" w:rsidP="00C30A6D">
            <w:pPr>
              <w:spacing w:after="0" w:line="240" w:lineRule="auto"/>
              <w:jc w:val="center"/>
              <w:rPr>
                <w:rFonts w:ascii="Times New Roman" w:eastAsia="Courier New" w:hAnsi="Times New Roman"/>
                <w:sz w:val="20"/>
                <w:szCs w:val="20"/>
              </w:rPr>
            </w:pPr>
          </w:p>
        </w:tc>
      </w:tr>
      <w:tr w:rsidR="00D470B6" w:rsidRPr="00A53AD7" w14:paraId="7E94476D" w14:textId="77777777" w:rsidTr="00C30A6D">
        <w:trPr>
          <w:trHeight w:val="533"/>
        </w:trPr>
        <w:tc>
          <w:tcPr>
            <w:tcW w:w="2943" w:type="dxa"/>
          </w:tcPr>
          <w:p w14:paraId="1A46A143" w14:textId="77777777" w:rsidR="00000803" w:rsidRPr="00A53AD7" w:rsidRDefault="00000803" w:rsidP="00C30A6D">
            <w:pPr>
              <w:spacing w:after="0" w:line="240" w:lineRule="auto"/>
              <w:rPr>
                <w:rFonts w:ascii="Times New Roman" w:eastAsia="Courier New" w:hAnsi="Times New Roman"/>
                <w:sz w:val="20"/>
                <w:szCs w:val="20"/>
              </w:rPr>
            </w:pPr>
            <w:r w:rsidRPr="00A53AD7">
              <w:rPr>
                <w:rFonts w:ascii="Times New Roman" w:eastAsia="Courier New" w:hAnsi="Times New Roman"/>
                <w:sz w:val="20"/>
                <w:szCs w:val="20"/>
              </w:rPr>
              <w:t>Количество перевезенных пассажиров на субсидируемых маршрутах, в том числе:</w:t>
            </w:r>
          </w:p>
        </w:tc>
        <w:tc>
          <w:tcPr>
            <w:tcW w:w="1560" w:type="dxa"/>
          </w:tcPr>
          <w:p w14:paraId="22A53A12"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1134" w:type="dxa"/>
          </w:tcPr>
          <w:p w14:paraId="37B176E4"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1417" w:type="dxa"/>
          </w:tcPr>
          <w:p w14:paraId="2E2AE511"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992" w:type="dxa"/>
          </w:tcPr>
          <w:p w14:paraId="3EA287A8" w14:textId="77777777" w:rsidR="00000803" w:rsidRPr="00A53AD7" w:rsidRDefault="00000803" w:rsidP="00C30A6D">
            <w:pPr>
              <w:spacing w:after="0" w:line="240" w:lineRule="auto"/>
              <w:jc w:val="center"/>
              <w:rPr>
                <w:rFonts w:ascii="Times New Roman" w:eastAsia="Courier New" w:hAnsi="Times New Roman"/>
                <w:sz w:val="20"/>
                <w:szCs w:val="20"/>
              </w:rPr>
            </w:pPr>
          </w:p>
        </w:tc>
        <w:tc>
          <w:tcPr>
            <w:tcW w:w="993" w:type="dxa"/>
          </w:tcPr>
          <w:p w14:paraId="7C3B00A2" w14:textId="77777777" w:rsidR="00000803" w:rsidRPr="00A53AD7" w:rsidRDefault="00000803" w:rsidP="00C30A6D">
            <w:pPr>
              <w:spacing w:after="0" w:line="240" w:lineRule="auto"/>
              <w:jc w:val="center"/>
              <w:rPr>
                <w:rFonts w:ascii="Times New Roman" w:eastAsia="Courier New" w:hAnsi="Times New Roman"/>
                <w:sz w:val="20"/>
                <w:szCs w:val="20"/>
              </w:rPr>
            </w:pPr>
          </w:p>
        </w:tc>
      </w:tr>
      <w:tr w:rsidR="00D470B6" w:rsidRPr="00A53AD7" w14:paraId="710260F7" w14:textId="77777777" w:rsidTr="00C30A6D">
        <w:trPr>
          <w:trHeight w:val="286"/>
        </w:trPr>
        <w:tc>
          <w:tcPr>
            <w:tcW w:w="2943" w:type="dxa"/>
          </w:tcPr>
          <w:p w14:paraId="1985151D" w14:textId="77777777" w:rsidR="00000803" w:rsidRPr="00A53AD7" w:rsidRDefault="00000803" w:rsidP="00C30A6D">
            <w:pPr>
              <w:spacing w:after="0" w:line="240" w:lineRule="auto"/>
              <w:rPr>
                <w:rFonts w:ascii="Times New Roman" w:eastAsia="Courier New" w:hAnsi="Times New Roman"/>
                <w:sz w:val="20"/>
                <w:szCs w:val="20"/>
              </w:rPr>
            </w:pPr>
            <w:r w:rsidRPr="00A53AD7">
              <w:rPr>
                <w:rFonts w:ascii="Times New Roman" w:eastAsia="Courier New" w:hAnsi="Times New Roman"/>
                <w:sz w:val="20"/>
                <w:szCs w:val="20"/>
              </w:rPr>
              <w:t>- воздушный транспорт</w:t>
            </w:r>
          </w:p>
        </w:tc>
        <w:tc>
          <w:tcPr>
            <w:tcW w:w="1560" w:type="dxa"/>
          </w:tcPr>
          <w:p w14:paraId="2187BE65"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17,8</w:t>
            </w:r>
          </w:p>
        </w:tc>
        <w:tc>
          <w:tcPr>
            <w:tcW w:w="1134" w:type="dxa"/>
          </w:tcPr>
          <w:p w14:paraId="6F9FFFC1"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23,7</w:t>
            </w:r>
          </w:p>
        </w:tc>
        <w:tc>
          <w:tcPr>
            <w:tcW w:w="1417" w:type="dxa"/>
          </w:tcPr>
          <w:p w14:paraId="682391DC"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19,2</w:t>
            </w:r>
          </w:p>
        </w:tc>
        <w:tc>
          <w:tcPr>
            <w:tcW w:w="992" w:type="dxa"/>
          </w:tcPr>
          <w:p w14:paraId="379FA3C7"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80,8</w:t>
            </w:r>
          </w:p>
        </w:tc>
        <w:tc>
          <w:tcPr>
            <w:tcW w:w="993" w:type="dxa"/>
          </w:tcPr>
          <w:p w14:paraId="025AD0A1"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107,5</w:t>
            </w:r>
          </w:p>
        </w:tc>
      </w:tr>
      <w:tr w:rsidR="00D470B6" w:rsidRPr="00A53AD7" w14:paraId="3EB3494F" w14:textId="77777777" w:rsidTr="00C30A6D">
        <w:tc>
          <w:tcPr>
            <w:tcW w:w="2943" w:type="dxa"/>
          </w:tcPr>
          <w:p w14:paraId="034ED195" w14:textId="77777777" w:rsidR="00000803" w:rsidRPr="00A53AD7" w:rsidRDefault="00000803" w:rsidP="00C30A6D">
            <w:pPr>
              <w:spacing w:after="0" w:line="240" w:lineRule="auto"/>
              <w:rPr>
                <w:rFonts w:ascii="Times New Roman" w:eastAsia="Courier New" w:hAnsi="Times New Roman"/>
                <w:sz w:val="20"/>
                <w:szCs w:val="20"/>
              </w:rPr>
            </w:pPr>
            <w:r w:rsidRPr="00A53AD7">
              <w:rPr>
                <w:rFonts w:ascii="Times New Roman" w:eastAsia="Courier New" w:hAnsi="Times New Roman"/>
                <w:sz w:val="20"/>
                <w:szCs w:val="20"/>
              </w:rPr>
              <w:t>- водный транспорт</w:t>
            </w:r>
          </w:p>
        </w:tc>
        <w:tc>
          <w:tcPr>
            <w:tcW w:w="1560" w:type="dxa"/>
          </w:tcPr>
          <w:p w14:paraId="01CAF043"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986,7</w:t>
            </w:r>
          </w:p>
        </w:tc>
        <w:tc>
          <w:tcPr>
            <w:tcW w:w="1134" w:type="dxa"/>
            <w:vAlign w:val="center"/>
          </w:tcPr>
          <w:p w14:paraId="616FF77B"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932,5</w:t>
            </w:r>
          </w:p>
        </w:tc>
        <w:tc>
          <w:tcPr>
            <w:tcW w:w="1417" w:type="dxa"/>
            <w:vAlign w:val="center"/>
          </w:tcPr>
          <w:p w14:paraId="1F7622EA"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864,5</w:t>
            </w:r>
          </w:p>
        </w:tc>
        <w:tc>
          <w:tcPr>
            <w:tcW w:w="992" w:type="dxa"/>
          </w:tcPr>
          <w:p w14:paraId="12263929"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92,7</w:t>
            </w:r>
          </w:p>
        </w:tc>
        <w:tc>
          <w:tcPr>
            <w:tcW w:w="993" w:type="dxa"/>
          </w:tcPr>
          <w:p w14:paraId="5F6B9EAD"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87,6</w:t>
            </w:r>
          </w:p>
        </w:tc>
      </w:tr>
      <w:tr w:rsidR="00D470B6" w:rsidRPr="00A53AD7" w14:paraId="597207D6" w14:textId="77777777" w:rsidTr="00C30A6D">
        <w:tc>
          <w:tcPr>
            <w:tcW w:w="2943" w:type="dxa"/>
          </w:tcPr>
          <w:p w14:paraId="7F103C34" w14:textId="77777777" w:rsidR="00000803" w:rsidRPr="00A53AD7" w:rsidRDefault="00000803" w:rsidP="00C30A6D">
            <w:pPr>
              <w:spacing w:after="0" w:line="240" w:lineRule="auto"/>
              <w:rPr>
                <w:rFonts w:ascii="Times New Roman" w:eastAsia="Courier New" w:hAnsi="Times New Roman"/>
                <w:sz w:val="20"/>
                <w:szCs w:val="20"/>
              </w:rPr>
            </w:pPr>
            <w:r w:rsidRPr="00A53AD7">
              <w:rPr>
                <w:rFonts w:ascii="Times New Roman" w:eastAsia="Courier New" w:hAnsi="Times New Roman"/>
                <w:sz w:val="20"/>
                <w:szCs w:val="20"/>
              </w:rPr>
              <w:t xml:space="preserve">- железнодорожный транспорт </w:t>
            </w:r>
          </w:p>
        </w:tc>
        <w:tc>
          <w:tcPr>
            <w:tcW w:w="1560" w:type="dxa"/>
          </w:tcPr>
          <w:p w14:paraId="2CE2954C"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1514,3</w:t>
            </w:r>
          </w:p>
        </w:tc>
        <w:tc>
          <w:tcPr>
            <w:tcW w:w="1134" w:type="dxa"/>
            <w:vAlign w:val="center"/>
          </w:tcPr>
          <w:p w14:paraId="0B864893"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1 493,1</w:t>
            </w:r>
          </w:p>
        </w:tc>
        <w:tc>
          <w:tcPr>
            <w:tcW w:w="1417" w:type="dxa"/>
            <w:vAlign w:val="center"/>
          </w:tcPr>
          <w:p w14:paraId="399AD937"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1 537,2</w:t>
            </w:r>
          </w:p>
        </w:tc>
        <w:tc>
          <w:tcPr>
            <w:tcW w:w="992" w:type="dxa"/>
          </w:tcPr>
          <w:p w14:paraId="048BD419"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103,0</w:t>
            </w:r>
          </w:p>
        </w:tc>
        <w:tc>
          <w:tcPr>
            <w:tcW w:w="993" w:type="dxa"/>
          </w:tcPr>
          <w:p w14:paraId="035470A4"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101,5</w:t>
            </w:r>
          </w:p>
        </w:tc>
      </w:tr>
      <w:tr w:rsidR="00000803" w:rsidRPr="00A53AD7" w14:paraId="20E04E9C" w14:textId="77777777" w:rsidTr="00C30A6D">
        <w:trPr>
          <w:trHeight w:val="197"/>
        </w:trPr>
        <w:tc>
          <w:tcPr>
            <w:tcW w:w="2943" w:type="dxa"/>
          </w:tcPr>
          <w:p w14:paraId="06A388CC"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Итого</w:t>
            </w:r>
          </w:p>
        </w:tc>
        <w:tc>
          <w:tcPr>
            <w:tcW w:w="1560" w:type="dxa"/>
          </w:tcPr>
          <w:p w14:paraId="4AC39B61"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2518,8</w:t>
            </w:r>
          </w:p>
        </w:tc>
        <w:tc>
          <w:tcPr>
            <w:tcW w:w="1134" w:type="dxa"/>
            <w:vAlign w:val="center"/>
          </w:tcPr>
          <w:p w14:paraId="4D2CA497"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2 449,3</w:t>
            </w:r>
          </w:p>
        </w:tc>
        <w:tc>
          <w:tcPr>
            <w:tcW w:w="1417" w:type="dxa"/>
            <w:vAlign w:val="center"/>
          </w:tcPr>
          <w:p w14:paraId="44B31237" w14:textId="77777777" w:rsidR="00000803" w:rsidRPr="00A53AD7" w:rsidRDefault="00000803" w:rsidP="00C30A6D">
            <w:pPr>
              <w:spacing w:after="0" w:line="240" w:lineRule="auto"/>
              <w:jc w:val="center"/>
              <w:rPr>
                <w:rFonts w:ascii="Times New Roman" w:hAnsi="Times New Roman"/>
                <w:sz w:val="20"/>
                <w:szCs w:val="20"/>
              </w:rPr>
            </w:pPr>
            <w:r w:rsidRPr="00A53AD7">
              <w:rPr>
                <w:rFonts w:ascii="Times New Roman" w:hAnsi="Times New Roman"/>
                <w:sz w:val="20"/>
                <w:szCs w:val="20"/>
              </w:rPr>
              <w:t xml:space="preserve"> 2 420,9</w:t>
            </w:r>
          </w:p>
        </w:tc>
        <w:tc>
          <w:tcPr>
            <w:tcW w:w="992" w:type="dxa"/>
          </w:tcPr>
          <w:p w14:paraId="24CEAE42"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98,8</w:t>
            </w:r>
          </w:p>
        </w:tc>
        <w:tc>
          <w:tcPr>
            <w:tcW w:w="993" w:type="dxa"/>
          </w:tcPr>
          <w:p w14:paraId="27FFF17F" w14:textId="77777777" w:rsidR="00000803" w:rsidRPr="00A53AD7" w:rsidRDefault="00000803" w:rsidP="00C30A6D">
            <w:pPr>
              <w:spacing w:after="0" w:line="240" w:lineRule="auto"/>
              <w:jc w:val="center"/>
              <w:rPr>
                <w:rFonts w:ascii="Times New Roman" w:eastAsia="Courier New" w:hAnsi="Times New Roman"/>
                <w:sz w:val="20"/>
                <w:szCs w:val="20"/>
              </w:rPr>
            </w:pPr>
            <w:r w:rsidRPr="00A53AD7">
              <w:rPr>
                <w:rFonts w:ascii="Times New Roman" w:eastAsia="Courier New" w:hAnsi="Times New Roman"/>
                <w:sz w:val="20"/>
                <w:szCs w:val="20"/>
              </w:rPr>
              <w:t>96,2</w:t>
            </w:r>
          </w:p>
        </w:tc>
      </w:tr>
    </w:tbl>
    <w:p w14:paraId="479352F2" w14:textId="77777777" w:rsidR="00C30A6D" w:rsidRPr="00A53AD7" w:rsidRDefault="00C30A6D" w:rsidP="00C30A6D">
      <w:pPr>
        <w:pStyle w:val="ConsPlusNormal"/>
        <w:ind w:firstLine="851"/>
        <w:jc w:val="both"/>
        <w:rPr>
          <w:rFonts w:ascii="Times New Roman" w:hAnsi="Times New Roman" w:cs="Times New Roman"/>
          <w:sz w:val="28"/>
          <w:szCs w:val="28"/>
        </w:rPr>
      </w:pPr>
    </w:p>
    <w:p w14:paraId="610A0F64" w14:textId="77777777" w:rsidR="00000803" w:rsidRPr="00A53AD7" w:rsidRDefault="00000803" w:rsidP="00C30A6D">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Подпрограмма № 2 «Развитие общественного пассажирского транспорта и транспортной инфраструктуры Архангельской области»</w:t>
      </w:r>
    </w:p>
    <w:p w14:paraId="68C99BCD" w14:textId="7F180CA6"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финансир</w:t>
      </w:r>
      <w:r w:rsidR="00C30A6D" w:rsidRPr="00A53AD7">
        <w:rPr>
          <w:rFonts w:ascii="Times New Roman" w:hAnsi="Times New Roman" w:cs="Times New Roman"/>
          <w:sz w:val="28"/>
          <w:szCs w:val="28"/>
        </w:rPr>
        <w:t>ования представлены 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2195E7F1" w14:textId="77777777" w:rsidTr="00C30A6D">
        <w:trPr>
          <w:trHeight w:val="587"/>
          <w:tblHeader/>
          <w:jc w:val="center"/>
        </w:trPr>
        <w:tc>
          <w:tcPr>
            <w:tcW w:w="1453" w:type="pct"/>
            <w:vAlign w:val="center"/>
          </w:tcPr>
          <w:p w14:paraId="196B0907" w14:textId="78E9DA51" w:rsidR="00000803" w:rsidRPr="00A53AD7" w:rsidRDefault="00000803" w:rsidP="00EE1C61">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2B8EBEBD"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6C3B5293"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1DD9DAEC"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0D81B897"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44932CB5"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5D26E9E7"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38E82E11"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3E3C1246" w14:textId="77777777" w:rsidR="00000803" w:rsidRPr="00A53AD7" w:rsidRDefault="00000803" w:rsidP="006B7638">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1CC320B0" w14:textId="77777777" w:rsidTr="00C30A6D">
        <w:trPr>
          <w:trHeight w:val="194"/>
          <w:tblHeader/>
          <w:jc w:val="center"/>
        </w:trPr>
        <w:tc>
          <w:tcPr>
            <w:tcW w:w="1453" w:type="pct"/>
            <w:vAlign w:val="center"/>
          </w:tcPr>
          <w:p w14:paraId="0EEFBA3B"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1DC82D52"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237F6BFF"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6A5EDADE"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53FF708E"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098DE5BC"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23B31139" w14:textId="77777777" w:rsidR="00000803" w:rsidRPr="00A53AD7" w:rsidRDefault="00000803" w:rsidP="006B7638">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27A88CD4" w14:textId="77777777" w:rsidR="00000803" w:rsidRPr="00A53AD7" w:rsidRDefault="00000803" w:rsidP="006B7638">
            <w:pPr>
              <w:spacing w:after="0" w:line="240" w:lineRule="auto"/>
              <w:jc w:val="center"/>
              <w:rPr>
                <w:rFonts w:ascii="Times New Roman" w:hAnsi="Times New Roman"/>
                <w:sz w:val="16"/>
                <w:szCs w:val="16"/>
              </w:rPr>
            </w:pPr>
          </w:p>
        </w:tc>
        <w:tc>
          <w:tcPr>
            <w:tcW w:w="353" w:type="pct"/>
          </w:tcPr>
          <w:p w14:paraId="082F61AF" w14:textId="77777777" w:rsidR="00000803" w:rsidRPr="00A53AD7" w:rsidRDefault="00000803" w:rsidP="006B7638">
            <w:pPr>
              <w:spacing w:after="0" w:line="240" w:lineRule="auto"/>
              <w:jc w:val="center"/>
              <w:rPr>
                <w:rFonts w:ascii="Times New Roman" w:hAnsi="Times New Roman"/>
                <w:sz w:val="16"/>
                <w:szCs w:val="16"/>
              </w:rPr>
            </w:pPr>
          </w:p>
        </w:tc>
      </w:tr>
      <w:tr w:rsidR="00D470B6" w:rsidRPr="00A53AD7" w14:paraId="52FE3EAA" w14:textId="77777777" w:rsidTr="00C30A6D">
        <w:trPr>
          <w:trHeight w:val="210"/>
          <w:jc w:val="center"/>
        </w:trPr>
        <w:tc>
          <w:tcPr>
            <w:tcW w:w="1453" w:type="pct"/>
            <w:shd w:val="clear" w:color="auto" w:fill="D9D9D9" w:themeFill="background1" w:themeFillShade="D9"/>
            <w:vAlign w:val="center"/>
          </w:tcPr>
          <w:p w14:paraId="04C9B690" w14:textId="0A992E89" w:rsidR="00000803" w:rsidRPr="00A53AD7" w:rsidRDefault="00000803" w:rsidP="006B7638">
            <w:pPr>
              <w:tabs>
                <w:tab w:val="left" w:pos="253"/>
              </w:tabs>
              <w:spacing w:after="0" w:line="240" w:lineRule="auto"/>
              <w:rPr>
                <w:rFonts w:ascii="Times New Roman" w:hAnsi="Times New Roman"/>
                <w:sz w:val="18"/>
                <w:szCs w:val="18"/>
              </w:rPr>
            </w:pPr>
            <w:r w:rsidRPr="00A53AD7">
              <w:rPr>
                <w:rFonts w:ascii="Times New Roman" w:hAnsi="Times New Roman"/>
                <w:bCs/>
                <w:sz w:val="18"/>
                <w:szCs w:val="18"/>
              </w:rPr>
              <w:t>Подпрограмма № 2 «Развитие общественного пассажирского транспорта и транспортной инфраструктуры</w:t>
            </w:r>
            <w:r w:rsidR="007364DB" w:rsidRPr="00A53AD7">
              <w:rPr>
                <w:rFonts w:ascii="Times New Roman" w:hAnsi="Times New Roman"/>
                <w:bCs/>
                <w:sz w:val="18"/>
                <w:szCs w:val="18"/>
              </w:rPr>
              <w:t xml:space="preserve"> </w:t>
            </w:r>
            <w:r w:rsidRPr="00A53AD7">
              <w:rPr>
                <w:rFonts w:ascii="Times New Roman" w:hAnsi="Times New Roman"/>
                <w:bCs/>
                <w:sz w:val="18"/>
                <w:szCs w:val="18"/>
              </w:rPr>
              <w:t>Архангельской области»</w:t>
            </w:r>
          </w:p>
        </w:tc>
        <w:tc>
          <w:tcPr>
            <w:tcW w:w="509" w:type="pct"/>
            <w:shd w:val="clear" w:color="auto" w:fill="D9D9D9" w:themeFill="background1" w:themeFillShade="D9"/>
            <w:vAlign w:val="bottom"/>
          </w:tcPr>
          <w:p w14:paraId="652BB52F"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38,7</w:t>
            </w:r>
          </w:p>
        </w:tc>
        <w:tc>
          <w:tcPr>
            <w:tcW w:w="509" w:type="pct"/>
            <w:shd w:val="clear" w:color="auto" w:fill="D9D9D9" w:themeFill="background1" w:themeFillShade="D9"/>
            <w:vAlign w:val="bottom"/>
          </w:tcPr>
          <w:p w14:paraId="64C53415"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149,1</w:t>
            </w:r>
          </w:p>
        </w:tc>
        <w:tc>
          <w:tcPr>
            <w:tcW w:w="509" w:type="pct"/>
            <w:shd w:val="clear" w:color="auto" w:fill="D9D9D9" w:themeFill="background1" w:themeFillShade="D9"/>
            <w:vAlign w:val="bottom"/>
          </w:tcPr>
          <w:p w14:paraId="083F6B7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441,0</w:t>
            </w:r>
          </w:p>
        </w:tc>
        <w:tc>
          <w:tcPr>
            <w:tcW w:w="435" w:type="pct"/>
            <w:shd w:val="clear" w:color="auto" w:fill="D9D9D9" w:themeFill="background1" w:themeFillShade="D9"/>
            <w:vAlign w:val="bottom"/>
          </w:tcPr>
          <w:p w14:paraId="6E962053"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276,9</w:t>
            </w:r>
          </w:p>
        </w:tc>
        <w:tc>
          <w:tcPr>
            <w:tcW w:w="422" w:type="pct"/>
            <w:shd w:val="clear" w:color="auto" w:fill="D9D9D9" w:themeFill="background1" w:themeFillShade="D9"/>
            <w:vAlign w:val="bottom"/>
          </w:tcPr>
          <w:p w14:paraId="41B1193D"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653,0</w:t>
            </w:r>
          </w:p>
        </w:tc>
        <w:tc>
          <w:tcPr>
            <w:tcW w:w="449" w:type="pct"/>
            <w:shd w:val="clear" w:color="auto" w:fill="D9D9D9" w:themeFill="background1" w:themeFillShade="D9"/>
            <w:vAlign w:val="bottom"/>
          </w:tcPr>
          <w:p w14:paraId="31118F3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670,7</w:t>
            </w:r>
          </w:p>
        </w:tc>
        <w:tc>
          <w:tcPr>
            <w:tcW w:w="361" w:type="pct"/>
            <w:shd w:val="clear" w:color="auto" w:fill="D9D9D9" w:themeFill="background1" w:themeFillShade="D9"/>
            <w:vAlign w:val="bottom"/>
          </w:tcPr>
          <w:p w14:paraId="17A83BA3"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1733,1</w:t>
            </w:r>
          </w:p>
        </w:tc>
        <w:tc>
          <w:tcPr>
            <w:tcW w:w="353" w:type="pct"/>
            <w:shd w:val="clear" w:color="auto" w:fill="D9D9D9" w:themeFill="background1" w:themeFillShade="D9"/>
            <w:vAlign w:val="bottom"/>
          </w:tcPr>
          <w:p w14:paraId="32110BC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102,7</w:t>
            </w:r>
          </w:p>
        </w:tc>
      </w:tr>
      <w:tr w:rsidR="00D470B6" w:rsidRPr="00A53AD7" w14:paraId="325EB0B9" w14:textId="77777777" w:rsidTr="00C30A6D">
        <w:trPr>
          <w:trHeight w:val="210"/>
          <w:jc w:val="center"/>
        </w:trPr>
        <w:tc>
          <w:tcPr>
            <w:tcW w:w="1453" w:type="pct"/>
            <w:vAlign w:val="center"/>
          </w:tcPr>
          <w:p w14:paraId="7EB6EA61" w14:textId="77777777" w:rsidR="00000803" w:rsidRPr="00A53AD7" w:rsidRDefault="00000803" w:rsidP="006B7638">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4A4A7749"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509" w:type="pct"/>
          </w:tcPr>
          <w:p w14:paraId="25CF02AA"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509" w:type="pct"/>
          </w:tcPr>
          <w:p w14:paraId="11A5F0C1"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100,0</w:t>
            </w:r>
          </w:p>
        </w:tc>
        <w:tc>
          <w:tcPr>
            <w:tcW w:w="435" w:type="pct"/>
          </w:tcPr>
          <w:p w14:paraId="2611CA0C"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422" w:type="pct"/>
            <w:vAlign w:val="center"/>
          </w:tcPr>
          <w:p w14:paraId="1380EF1A"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449" w:type="pct"/>
          </w:tcPr>
          <w:p w14:paraId="54616986"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200,0</w:t>
            </w:r>
          </w:p>
        </w:tc>
        <w:tc>
          <w:tcPr>
            <w:tcW w:w="361" w:type="pct"/>
          </w:tcPr>
          <w:p w14:paraId="381A128C"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w:t>
            </w:r>
          </w:p>
        </w:tc>
        <w:tc>
          <w:tcPr>
            <w:tcW w:w="353" w:type="pct"/>
          </w:tcPr>
          <w:p w14:paraId="5B4648A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w:t>
            </w:r>
          </w:p>
        </w:tc>
      </w:tr>
      <w:tr w:rsidR="00D470B6" w:rsidRPr="00A53AD7" w14:paraId="1DE312CB" w14:textId="77777777" w:rsidTr="00C30A6D">
        <w:trPr>
          <w:trHeight w:val="210"/>
          <w:jc w:val="center"/>
        </w:trPr>
        <w:tc>
          <w:tcPr>
            <w:tcW w:w="1453" w:type="pct"/>
            <w:vAlign w:val="center"/>
          </w:tcPr>
          <w:p w14:paraId="75AE728F" w14:textId="77777777" w:rsidR="00000803" w:rsidRPr="00A53AD7" w:rsidRDefault="00000803" w:rsidP="006B7638">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406DD17C"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29,0</w:t>
            </w:r>
          </w:p>
        </w:tc>
        <w:tc>
          <w:tcPr>
            <w:tcW w:w="509" w:type="pct"/>
          </w:tcPr>
          <w:p w14:paraId="500A4D80"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147,4</w:t>
            </w:r>
          </w:p>
        </w:tc>
        <w:tc>
          <w:tcPr>
            <w:tcW w:w="509" w:type="pct"/>
          </w:tcPr>
          <w:p w14:paraId="364BFDF8"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340,9</w:t>
            </w:r>
          </w:p>
        </w:tc>
        <w:tc>
          <w:tcPr>
            <w:tcW w:w="435" w:type="pct"/>
          </w:tcPr>
          <w:p w14:paraId="1C5ADE19"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231,7</w:t>
            </w:r>
          </w:p>
        </w:tc>
        <w:tc>
          <w:tcPr>
            <w:tcW w:w="422" w:type="pct"/>
            <w:vAlign w:val="center"/>
          </w:tcPr>
          <w:p w14:paraId="6507381A"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581,7</w:t>
            </w:r>
          </w:p>
        </w:tc>
        <w:tc>
          <w:tcPr>
            <w:tcW w:w="449" w:type="pct"/>
          </w:tcPr>
          <w:p w14:paraId="6100212C"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336,1</w:t>
            </w:r>
          </w:p>
        </w:tc>
        <w:tc>
          <w:tcPr>
            <w:tcW w:w="361" w:type="pct"/>
          </w:tcPr>
          <w:p w14:paraId="5D058C1E"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1159,0</w:t>
            </w:r>
          </w:p>
        </w:tc>
        <w:tc>
          <w:tcPr>
            <w:tcW w:w="353" w:type="pct"/>
          </w:tcPr>
          <w:p w14:paraId="38DD53C2"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57,8</w:t>
            </w:r>
          </w:p>
        </w:tc>
      </w:tr>
      <w:tr w:rsidR="00D470B6" w:rsidRPr="00A53AD7" w14:paraId="78B8AA82" w14:textId="77777777" w:rsidTr="00C30A6D">
        <w:trPr>
          <w:trHeight w:val="210"/>
          <w:jc w:val="center"/>
        </w:trPr>
        <w:tc>
          <w:tcPr>
            <w:tcW w:w="1453" w:type="pct"/>
            <w:vAlign w:val="center"/>
          </w:tcPr>
          <w:p w14:paraId="2B54BD01" w14:textId="77777777" w:rsidR="00000803" w:rsidRPr="00A53AD7" w:rsidRDefault="00000803" w:rsidP="006B7638">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6CE39F3C"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9,7</w:t>
            </w:r>
          </w:p>
        </w:tc>
        <w:tc>
          <w:tcPr>
            <w:tcW w:w="509" w:type="pct"/>
          </w:tcPr>
          <w:p w14:paraId="7360B2C3"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1,7</w:t>
            </w:r>
          </w:p>
        </w:tc>
        <w:tc>
          <w:tcPr>
            <w:tcW w:w="509" w:type="pct"/>
          </w:tcPr>
          <w:p w14:paraId="5FB6C751"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0,2</w:t>
            </w:r>
          </w:p>
        </w:tc>
        <w:tc>
          <w:tcPr>
            <w:tcW w:w="435" w:type="pct"/>
          </w:tcPr>
          <w:p w14:paraId="02095E99"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42,1</w:t>
            </w:r>
          </w:p>
        </w:tc>
        <w:tc>
          <w:tcPr>
            <w:tcW w:w="422" w:type="pct"/>
            <w:vAlign w:val="center"/>
          </w:tcPr>
          <w:p w14:paraId="3C7EC3D6"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72,3</w:t>
            </w:r>
          </w:p>
        </w:tc>
        <w:tc>
          <w:tcPr>
            <w:tcW w:w="449" w:type="pct"/>
          </w:tcPr>
          <w:p w14:paraId="662BC1AF"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134,5</w:t>
            </w:r>
          </w:p>
        </w:tc>
        <w:tc>
          <w:tcPr>
            <w:tcW w:w="361" w:type="pct"/>
          </w:tcPr>
          <w:p w14:paraId="37B2385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1386,6</w:t>
            </w:r>
          </w:p>
        </w:tc>
        <w:tc>
          <w:tcPr>
            <w:tcW w:w="353" w:type="pct"/>
          </w:tcPr>
          <w:p w14:paraId="4B28D679"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186,0</w:t>
            </w:r>
          </w:p>
        </w:tc>
      </w:tr>
      <w:tr w:rsidR="00000803" w:rsidRPr="00A53AD7" w14:paraId="51B301DA" w14:textId="77777777" w:rsidTr="00C30A6D">
        <w:trPr>
          <w:trHeight w:val="210"/>
          <w:jc w:val="center"/>
        </w:trPr>
        <w:tc>
          <w:tcPr>
            <w:tcW w:w="1453" w:type="pct"/>
            <w:vAlign w:val="center"/>
          </w:tcPr>
          <w:p w14:paraId="5F72332A" w14:textId="77777777" w:rsidR="00000803" w:rsidRPr="00A53AD7" w:rsidRDefault="00000803" w:rsidP="006B7638">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Внебюджетные источники</w:t>
            </w:r>
          </w:p>
        </w:tc>
        <w:tc>
          <w:tcPr>
            <w:tcW w:w="509" w:type="pct"/>
          </w:tcPr>
          <w:p w14:paraId="3B21A880"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509" w:type="pct"/>
          </w:tcPr>
          <w:p w14:paraId="154A12F7"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509" w:type="pct"/>
          </w:tcPr>
          <w:p w14:paraId="55C646C0"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435" w:type="pct"/>
          </w:tcPr>
          <w:p w14:paraId="3295165B"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3,1</w:t>
            </w:r>
          </w:p>
        </w:tc>
        <w:tc>
          <w:tcPr>
            <w:tcW w:w="422" w:type="pct"/>
            <w:vAlign w:val="center"/>
          </w:tcPr>
          <w:p w14:paraId="1C877C66"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449" w:type="pct"/>
          </w:tcPr>
          <w:p w14:paraId="14BC18A5"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0,0</w:t>
            </w:r>
          </w:p>
        </w:tc>
        <w:tc>
          <w:tcPr>
            <w:tcW w:w="361" w:type="pct"/>
          </w:tcPr>
          <w:p w14:paraId="0F0A1F47"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w:t>
            </w:r>
          </w:p>
        </w:tc>
        <w:tc>
          <w:tcPr>
            <w:tcW w:w="353" w:type="pct"/>
          </w:tcPr>
          <w:p w14:paraId="125E9627" w14:textId="77777777" w:rsidR="00000803" w:rsidRPr="00A53AD7" w:rsidRDefault="00000803" w:rsidP="00534784">
            <w:pPr>
              <w:spacing w:after="0" w:line="240" w:lineRule="auto"/>
              <w:jc w:val="right"/>
              <w:rPr>
                <w:rFonts w:ascii="Times New Roman" w:hAnsi="Times New Roman"/>
              </w:rPr>
            </w:pPr>
            <w:r w:rsidRPr="00A53AD7">
              <w:rPr>
                <w:rFonts w:ascii="Times New Roman" w:hAnsi="Times New Roman"/>
              </w:rPr>
              <w:t>0</w:t>
            </w:r>
          </w:p>
        </w:tc>
      </w:tr>
    </w:tbl>
    <w:p w14:paraId="5B5ADE10" w14:textId="77777777" w:rsidR="00000803" w:rsidRPr="00A53AD7" w:rsidRDefault="00000803" w:rsidP="00C30A6D">
      <w:pPr>
        <w:pStyle w:val="ConsPlusNormal"/>
        <w:ind w:firstLine="851"/>
        <w:jc w:val="both"/>
        <w:rPr>
          <w:rFonts w:ascii="Times New Roman" w:hAnsi="Times New Roman" w:cs="Times New Roman"/>
          <w:sz w:val="28"/>
          <w:szCs w:val="28"/>
        </w:rPr>
      </w:pPr>
    </w:p>
    <w:p w14:paraId="4805EBCC" w14:textId="192DA1B8"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рамках подпрограммы осуществлены кассовые расходы на сумму</w:t>
      </w:r>
      <w:r w:rsidR="007364DB" w:rsidRPr="00A53AD7">
        <w:rPr>
          <w:rFonts w:ascii="Times New Roman" w:hAnsi="Times New Roman" w:cs="Times New Roman"/>
          <w:sz w:val="28"/>
          <w:szCs w:val="28"/>
        </w:rPr>
        <w:t xml:space="preserve"> </w:t>
      </w:r>
      <w:r w:rsidR="00C30A6D" w:rsidRPr="00A53AD7">
        <w:rPr>
          <w:rFonts w:ascii="Times New Roman" w:hAnsi="Times New Roman" w:cs="Times New Roman"/>
          <w:sz w:val="28"/>
          <w:szCs w:val="28"/>
        </w:rPr>
        <w:t>670,7 млн.</w:t>
      </w:r>
      <w:r w:rsidRPr="00A53AD7">
        <w:rPr>
          <w:rFonts w:ascii="Times New Roman" w:hAnsi="Times New Roman" w:cs="Times New Roman"/>
          <w:sz w:val="28"/>
          <w:szCs w:val="28"/>
        </w:rPr>
        <w:t>руб. или 96,3% к плану на год, в том числе за счет средст</w:t>
      </w:r>
      <w:r w:rsidR="00EE5979" w:rsidRPr="00A53AD7">
        <w:rPr>
          <w:rFonts w:ascii="Times New Roman" w:hAnsi="Times New Roman" w:cs="Times New Roman"/>
          <w:sz w:val="28"/>
          <w:szCs w:val="28"/>
        </w:rPr>
        <w:t>в областного бюджета 336,1 млн.</w:t>
      </w:r>
      <w:r w:rsidRPr="00A53AD7">
        <w:rPr>
          <w:rFonts w:ascii="Times New Roman" w:hAnsi="Times New Roman" w:cs="Times New Roman"/>
          <w:sz w:val="28"/>
          <w:szCs w:val="28"/>
        </w:rPr>
        <w:t>руб. или 93,6% к плану.</w:t>
      </w:r>
    </w:p>
    <w:p w14:paraId="2633BEBD" w14:textId="69C28D00"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Из десяти мероприятий подпрограммы в отчетном периоде кассовые расходы осуществлены по восьми мероприятиям, в том числе: по 7 мероприятиям исполнение 96,5% и выше, по 1 мероприятию исполнение 21,5%, по 2 мероприятиям исполнением 0% (1.15.</w:t>
      </w:r>
      <w:r w:rsidR="00EE7240" w:rsidRPr="00A53AD7">
        <w:rPr>
          <w:rFonts w:ascii="Times New Roman" w:hAnsi="Times New Roman" w:cs="Times New Roman"/>
          <w:sz w:val="28"/>
          <w:szCs w:val="28"/>
        </w:rPr>
        <w:t xml:space="preserve"> </w:t>
      </w:r>
      <w:r w:rsidRPr="00A53AD7">
        <w:rPr>
          <w:rFonts w:ascii="Times New Roman" w:hAnsi="Times New Roman" w:cs="Times New Roman"/>
          <w:sz w:val="28"/>
          <w:szCs w:val="28"/>
        </w:rPr>
        <w:t>Обеспечение земельных участков дорожной инфраструктурой для строительства многоквартирных домов в VII жилом районе г. Архангельска и 1.17. Строительство автомобильной дороги по проспекту Мира на участке от ул. Ушинского до объездной автомобильной дороги</w:t>
      </w:r>
      <w:r w:rsidR="00C30A6D" w:rsidRPr="00A53AD7">
        <w:rPr>
          <w:rFonts w:ascii="Times New Roman" w:hAnsi="Times New Roman" w:cs="Times New Roman"/>
          <w:sz w:val="28"/>
          <w:szCs w:val="28"/>
        </w:rPr>
        <w:t xml:space="preserve"> "Котлас-Коряжма, км 0-км 41").</w:t>
      </w:r>
    </w:p>
    <w:p w14:paraId="2A291308" w14:textId="6D39F070"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«1.6. Ремонт автомобильных дорог общего пользования местного значения в муниципальных районах и городских округах Архангельской области» за отчетный период министерством транспорта заключены соглашения с 13 муниципальными образованиями со значениями показателей результативности по ремонту автомобильных дорог общего пользования местного значения – 16,667 км и 155 675,98 кв</w:t>
      </w:r>
      <w:r w:rsidR="00EE7240" w:rsidRPr="00A53AD7">
        <w:rPr>
          <w:rFonts w:ascii="Times New Roman" w:hAnsi="Times New Roman" w:cs="Times New Roman"/>
          <w:sz w:val="28"/>
          <w:szCs w:val="28"/>
        </w:rPr>
        <w:t>.</w:t>
      </w:r>
      <w:r w:rsidR="00EE5979" w:rsidRPr="00A53AD7">
        <w:rPr>
          <w:rFonts w:ascii="Times New Roman" w:hAnsi="Times New Roman" w:cs="Times New Roman"/>
          <w:sz w:val="28"/>
          <w:szCs w:val="28"/>
        </w:rPr>
        <w:t>м на общую сумму 183,3 млн.</w:t>
      </w:r>
      <w:r w:rsidRPr="00A53AD7">
        <w:rPr>
          <w:rFonts w:ascii="Times New Roman" w:hAnsi="Times New Roman" w:cs="Times New Roman"/>
          <w:sz w:val="28"/>
          <w:szCs w:val="28"/>
        </w:rPr>
        <w:t>руб., в том числе за счет средств област</w:t>
      </w:r>
      <w:r w:rsidR="00EE5979" w:rsidRPr="00A53AD7">
        <w:rPr>
          <w:rFonts w:ascii="Times New Roman" w:hAnsi="Times New Roman" w:cs="Times New Roman"/>
          <w:sz w:val="28"/>
          <w:szCs w:val="28"/>
        </w:rPr>
        <w:t>ного бюджета в сумме 159,6 млн.</w:t>
      </w:r>
      <w:r w:rsidRPr="00A53AD7">
        <w:rPr>
          <w:rFonts w:ascii="Times New Roman" w:hAnsi="Times New Roman" w:cs="Times New Roman"/>
          <w:sz w:val="28"/>
          <w:szCs w:val="28"/>
        </w:rPr>
        <w:t>руб., средств мес</w:t>
      </w:r>
      <w:r w:rsidR="00C30A6D" w:rsidRPr="00A53AD7">
        <w:rPr>
          <w:rFonts w:ascii="Times New Roman" w:hAnsi="Times New Roman" w:cs="Times New Roman"/>
          <w:sz w:val="28"/>
          <w:szCs w:val="28"/>
        </w:rPr>
        <w:t>тного бюджета в сумме 24,2 млн.</w:t>
      </w:r>
      <w:r w:rsidRPr="00A53AD7">
        <w:rPr>
          <w:rFonts w:ascii="Times New Roman" w:hAnsi="Times New Roman" w:cs="Times New Roman"/>
          <w:sz w:val="28"/>
          <w:szCs w:val="28"/>
        </w:rPr>
        <w:t>руб.</w:t>
      </w:r>
    </w:p>
    <w:p w14:paraId="04CBE07E" w14:textId="72C8CF69"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Отмечено наличие отклонения по отношению к объему финансирования, предусмотренному в составе перечня мероприятий</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приложения №</w:t>
      </w:r>
      <w:r w:rsidR="00C30A6D" w:rsidRPr="00A53AD7">
        <w:rPr>
          <w:rFonts w:ascii="Times New Roman" w:hAnsi="Times New Roman" w:cs="Times New Roman"/>
          <w:sz w:val="28"/>
          <w:szCs w:val="28"/>
        </w:rPr>
        <w:t xml:space="preserve"> </w:t>
      </w:r>
      <w:r w:rsidRPr="00A53AD7">
        <w:rPr>
          <w:rFonts w:ascii="Times New Roman" w:hAnsi="Times New Roman" w:cs="Times New Roman"/>
          <w:sz w:val="28"/>
          <w:szCs w:val="28"/>
        </w:rPr>
        <w:t>2 к госпрограмме – средства местного бюджета по</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мероприятию 1.6.</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 xml:space="preserve">в размере </w:t>
      </w:r>
      <w:r w:rsidR="00C30A6D" w:rsidRPr="00A53AD7">
        <w:rPr>
          <w:rFonts w:ascii="Times New Roman" w:hAnsi="Times New Roman" w:cs="Times New Roman"/>
          <w:sz w:val="28"/>
          <w:szCs w:val="28"/>
        </w:rPr>
        <w:t>0,2 млн.</w:t>
      </w:r>
      <w:r w:rsidRPr="00A53AD7">
        <w:rPr>
          <w:rFonts w:ascii="Times New Roman" w:hAnsi="Times New Roman" w:cs="Times New Roman"/>
          <w:sz w:val="28"/>
          <w:szCs w:val="28"/>
        </w:rPr>
        <w:t>руб., чем нарушен пункт 28 Порядка № 299-пп</w:t>
      </w:r>
      <w:r w:rsidR="00C30A6D" w:rsidRPr="00A53AD7">
        <w:rPr>
          <w:rFonts w:ascii="Times New Roman" w:hAnsi="Times New Roman" w:cs="Times New Roman"/>
          <w:sz w:val="28"/>
          <w:szCs w:val="28"/>
        </w:rPr>
        <w:t xml:space="preserve">. </w:t>
      </w:r>
      <w:r w:rsidRPr="00A53AD7">
        <w:rPr>
          <w:rFonts w:ascii="Times New Roman" w:hAnsi="Times New Roman" w:cs="Times New Roman"/>
          <w:sz w:val="28"/>
          <w:szCs w:val="28"/>
        </w:rPr>
        <w:t>Согласно положению п. 28 Порядка № 299-пп в</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финансовое обеспечение реализации государственных программ включаются расходы федерального бюджета, областного бюджета, бюджетов муниципальных образований Архангельской области, организаций, являющихся участниками реализации государственной программы.</w:t>
      </w:r>
    </w:p>
    <w:p w14:paraId="1C6FF94C" w14:textId="7777777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 Обеспечение условий софинансирования из бюджета муниципальных образований по соглашениям составило от 6% (Каргопольский и Вилегодский районы) до 33% (Вельский район), чем соблюдено условие пункта 5 порядка предоставления субсидий (не менее пяти процентов от общего объема средств на реализацию мероприятия), утвержденного в составе госпрограммы.</w:t>
      </w:r>
    </w:p>
    <w:p w14:paraId="0EBBA2F1" w14:textId="07F9FB8A"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показателям, установленным в соглашениях и по данным отчетов муниципальных образований за 2019 год</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подтвержд</w:t>
      </w:r>
      <w:r w:rsidR="00C30A6D" w:rsidRPr="00A53AD7">
        <w:rPr>
          <w:rFonts w:ascii="Times New Roman" w:hAnsi="Times New Roman" w:cs="Times New Roman"/>
          <w:sz w:val="28"/>
          <w:szCs w:val="28"/>
        </w:rPr>
        <w:t>ены расходы на сумму 181,4 млн.</w:t>
      </w:r>
      <w:r w:rsidRPr="00A53AD7">
        <w:rPr>
          <w:rFonts w:ascii="Times New Roman" w:hAnsi="Times New Roman" w:cs="Times New Roman"/>
          <w:sz w:val="28"/>
          <w:szCs w:val="28"/>
        </w:rPr>
        <w:t>руб. или исполнение 98,7%, в том числе за счет средств областного бюджета в сумм</w:t>
      </w:r>
      <w:r w:rsidR="00C30A6D" w:rsidRPr="00A53AD7">
        <w:rPr>
          <w:rFonts w:ascii="Times New Roman" w:hAnsi="Times New Roman" w:cs="Times New Roman"/>
          <w:sz w:val="28"/>
          <w:szCs w:val="28"/>
        </w:rPr>
        <w:t>е 157,5 млн.</w:t>
      </w:r>
      <w:r w:rsidRPr="00A53AD7">
        <w:rPr>
          <w:rFonts w:ascii="Times New Roman" w:hAnsi="Times New Roman" w:cs="Times New Roman"/>
          <w:sz w:val="28"/>
          <w:szCs w:val="28"/>
        </w:rPr>
        <w:t>руб. (или исполнение 98,7%) и мес</w:t>
      </w:r>
      <w:r w:rsidR="00C30A6D" w:rsidRPr="00A53AD7">
        <w:rPr>
          <w:rFonts w:ascii="Times New Roman" w:hAnsi="Times New Roman" w:cs="Times New Roman"/>
          <w:sz w:val="28"/>
          <w:szCs w:val="28"/>
        </w:rPr>
        <w:t>тного бюджета в сумме 23,9 млн.</w:t>
      </w:r>
      <w:r w:rsidRPr="00A53AD7">
        <w:rPr>
          <w:rFonts w:ascii="Times New Roman" w:hAnsi="Times New Roman" w:cs="Times New Roman"/>
          <w:sz w:val="28"/>
          <w:szCs w:val="28"/>
        </w:rPr>
        <w:t>руб. (или исполнение 98,8%) со значениями показателей результативности по ремонту автомобильных дорог общего пользования местного значения – 16,694 км (или исполнение 100,2%)</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и 137 293,38 кв</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м (или исполнение 88,2%).</w:t>
      </w:r>
      <w:r w:rsidR="007364DB" w:rsidRPr="00A53AD7">
        <w:rPr>
          <w:rFonts w:ascii="Times New Roman" w:hAnsi="Times New Roman" w:cs="Times New Roman"/>
          <w:sz w:val="28"/>
          <w:szCs w:val="28"/>
        </w:rPr>
        <w:t xml:space="preserve"> </w:t>
      </w:r>
    </w:p>
    <w:p w14:paraId="4F66B238" w14:textId="5C8A3EC4"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При проведении анализа и исследования указанных документов</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отмечен</w:t>
      </w:r>
      <w:r w:rsidR="00672389" w:rsidRPr="00A53AD7">
        <w:rPr>
          <w:rFonts w:ascii="Times New Roman" w:hAnsi="Times New Roman" w:cs="Times New Roman"/>
          <w:sz w:val="28"/>
          <w:szCs w:val="28"/>
        </w:rPr>
        <w:t>ы</w:t>
      </w:r>
      <w:r w:rsidRPr="00A53AD7">
        <w:rPr>
          <w:rFonts w:ascii="Times New Roman" w:hAnsi="Times New Roman" w:cs="Times New Roman"/>
          <w:sz w:val="28"/>
          <w:szCs w:val="28"/>
        </w:rPr>
        <w:t xml:space="preserve"> нарушени</w:t>
      </w:r>
      <w:r w:rsidR="00672389" w:rsidRPr="00A53AD7">
        <w:rPr>
          <w:rFonts w:ascii="Times New Roman" w:hAnsi="Times New Roman" w:cs="Times New Roman"/>
          <w:sz w:val="28"/>
          <w:szCs w:val="28"/>
        </w:rPr>
        <w:t>я</w:t>
      </w:r>
      <w:r w:rsidRPr="00A53AD7">
        <w:rPr>
          <w:rFonts w:ascii="Times New Roman" w:hAnsi="Times New Roman" w:cs="Times New Roman"/>
          <w:sz w:val="28"/>
          <w:szCs w:val="28"/>
        </w:rPr>
        <w:t xml:space="preserve"> министерством транспорта пунктов 4.1.2 и 4.1.3 Соглашений в части сроков предоставления муниципальными образованиями отчетности, её состава (оформления, подтверждения) со следующими муниципальными образованиями: Коряжма (отчет предоставлен 23.03.2020), Плесецкий муниципальный район» (отчет принят без подписей на 25.03.2020), «Виноградовский муниципальный район» (в отчете значения показателей результативности по ремонту автомобильных дорог общего пользования мес</w:t>
      </w:r>
      <w:r w:rsidR="00C30A6D" w:rsidRPr="00A53AD7">
        <w:rPr>
          <w:rFonts w:ascii="Times New Roman" w:hAnsi="Times New Roman" w:cs="Times New Roman"/>
          <w:sz w:val="28"/>
          <w:szCs w:val="28"/>
        </w:rPr>
        <w:t>тного значения приняты 12139 кв.</w:t>
      </w:r>
      <w:r w:rsidRPr="00A53AD7">
        <w:rPr>
          <w:rFonts w:ascii="Times New Roman" w:hAnsi="Times New Roman" w:cs="Times New Roman"/>
          <w:sz w:val="28"/>
          <w:szCs w:val="28"/>
        </w:rPr>
        <w:t>м или 44,7% от плана при 100% использовании субсидии), «Вилегодский муниципальный район» (в отчете отсутствует площадь – в соглашении 5748 кв</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м).</w:t>
      </w:r>
    </w:p>
    <w:p w14:paraId="31CFF0CD" w14:textId="7D763825"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Согласно отчету, размещенному в системе КИАС </w:t>
      </w:r>
      <w:r w:rsidR="00C30A6D" w:rsidRPr="00A53AD7">
        <w:rPr>
          <w:rFonts w:ascii="Times New Roman" w:hAnsi="Times New Roman" w:cs="Times New Roman"/>
          <w:sz w:val="28"/>
          <w:szCs w:val="28"/>
        </w:rPr>
        <w:t xml:space="preserve">Архангельской области </w:t>
      </w:r>
      <w:r w:rsidRPr="00A53AD7">
        <w:rPr>
          <w:rFonts w:ascii="Times New Roman" w:hAnsi="Times New Roman" w:cs="Times New Roman"/>
          <w:sz w:val="28"/>
          <w:szCs w:val="28"/>
        </w:rPr>
        <w:t>в части выполненных в 2019 году работ по ремонту автомобильных дорог общего пользования местного значения следует, что</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 xml:space="preserve"> как и в 2018 году работы проведены в 13 муниципальных районах и городских округах Архангельской области, однако объем выполненных работ составил 17,6 км,</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меньше, чем произведено в 2018 на 4,7 км. При этом, объемы выполненных работ завышены на 0,9 (0,895) км. (17,6-16,7).</w:t>
      </w:r>
    </w:p>
    <w:p w14:paraId="1155B5E0" w14:textId="791ED76B"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«1.9. Развитие аэропортовой инфраструктуры на территории Архангельской области» фактическое ис</w:t>
      </w:r>
      <w:r w:rsidR="00EE5979" w:rsidRPr="00A53AD7">
        <w:rPr>
          <w:rFonts w:ascii="Times New Roman" w:hAnsi="Times New Roman" w:cs="Times New Roman"/>
          <w:sz w:val="28"/>
          <w:szCs w:val="28"/>
        </w:rPr>
        <w:t>полнение 42,0 млн.</w:t>
      </w:r>
      <w:r w:rsidRPr="00A53AD7">
        <w:rPr>
          <w:rFonts w:ascii="Times New Roman" w:hAnsi="Times New Roman" w:cs="Times New Roman"/>
          <w:sz w:val="28"/>
          <w:szCs w:val="28"/>
        </w:rPr>
        <w:t>руб. (исполнение 100,0%).</w:t>
      </w:r>
    </w:p>
    <w:p w14:paraId="202F1E34" w14:textId="4124347B"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Предоставление субсидии осуществляется в соответствии с порядк</w:t>
      </w:r>
      <w:r w:rsidR="00C30A6D" w:rsidRPr="00A53AD7">
        <w:rPr>
          <w:rFonts w:ascii="Times New Roman" w:hAnsi="Times New Roman" w:cs="Times New Roman"/>
          <w:sz w:val="28"/>
          <w:szCs w:val="28"/>
        </w:rPr>
        <w:t>о</w:t>
      </w:r>
      <w:r w:rsidRPr="00A53AD7">
        <w:rPr>
          <w:rFonts w:ascii="Times New Roman" w:hAnsi="Times New Roman" w:cs="Times New Roman"/>
          <w:sz w:val="28"/>
          <w:szCs w:val="28"/>
        </w:rPr>
        <w:t xml:space="preserve">м предоставления субсидий на возмещение части затрат, связанных с развитием аэропортовой инфраструктуры на территории Архангельской области, утвержденном в составе госпрограммы. </w:t>
      </w:r>
    </w:p>
    <w:p w14:paraId="4AA683D6" w14:textId="7777777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Договор о предоставлении из областного бюджета субсидий на возмещение части затрат, связанных с развитием аэропортовой инфраструктуры на территории Архангельской области № 01 от 19.12.2019 заключен между министерством транспорта АО и АО «Аэропорт Архангельск».</w:t>
      </w:r>
    </w:p>
    <w:p w14:paraId="711C8580" w14:textId="0834BD7D"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Отчет об использовании средств от 13.01.2020 с указанием о расходах за </w:t>
      </w:r>
      <w:r w:rsidR="00EE5979" w:rsidRPr="00A53AD7">
        <w:rPr>
          <w:rFonts w:ascii="Times New Roman" w:hAnsi="Times New Roman" w:cs="Times New Roman"/>
          <w:sz w:val="28"/>
          <w:szCs w:val="28"/>
        </w:rPr>
        <w:t>счет субсидии в сумме 42,0 млн.</w:t>
      </w:r>
      <w:r w:rsidRPr="00A53AD7">
        <w:rPr>
          <w:rFonts w:ascii="Times New Roman" w:hAnsi="Times New Roman" w:cs="Times New Roman"/>
          <w:sz w:val="28"/>
          <w:szCs w:val="28"/>
        </w:rPr>
        <w:t>руб.</w:t>
      </w:r>
    </w:p>
    <w:p w14:paraId="6E3A7AC1" w14:textId="71DEEA41"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Следует отметить, что согласно порядку</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 xml:space="preserve"> заявителю возмещается часть</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затрат</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 xml:space="preserve"> связанных с развитием аэропортовой инфраструктуры, из смысла чего следует, что в качестве внебюджетного источника для реализации данного мероприятия в объеме финансирования мероприятия 1.9. перечня мероприятий госпрограммы должны быть обозначены средства.</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Вопреки требованиям пункта 28 Порядка №</w:t>
      </w:r>
      <w:r w:rsidR="00C30A6D" w:rsidRPr="00A53AD7">
        <w:rPr>
          <w:rFonts w:ascii="Times New Roman" w:hAnsi="Times New Roman" w:cs="Times New Roman"/>
          <w:sz w:val="28"/>
          <w:szCs w:val="28"/>
        </w:rPr>
        <w:t xml:space="preserve"> </w:t>
      </w:r>
      <w:r w:rsidRPr="00A53AD7">
        <w:rPr>
          <w:rFonts w:ascii="Times New Roman" w:hAnsi="Times New Roman" w:cs="Times New Roman"/>
          <w:sz w:val="28"/>
          <w:szCs w:val="28"/>
        </w:rPr>
        <w:t>299-пп, в</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 xml:space="preserve">финансовое обеспечение реализации мероприятия 1.9. госпрограммы не включены расходы организации, являющейся участником реализации государственной программы. </w:t>
      </w:r>
    </w:p>
    <w:p w14:paraId="548436AC" w14:textId="7777777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Информация о расходах общества за счет собственных (внебюджетных) средств отсутствует и в отчетной документации. В составе документов отсутствует акт ввода объекта обществом в эксплуатацию.</w:t>
      </w:r>
    </w:p>
    <w:p w14:paraId="6F32485C" w14:textId="55551109"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Отмечено также, что в конкурсной документации заявителя отсутствует (не содержится) утвержденный план по развитию аэропортовой инфраструктуры АО «Аэропорт Архангельск», соответствующего интересам (направлениям) развития воздушно-транспортного комплекса Архангельской области, который является одним из критериев для оценки конкурсной документации на предоставление субсидии, указанных в приложении </w:t>
      </w:r>
      <w:r w:rsidR="00EE2EF2" w:rsidRPr="00A53AD7">
        <w:rPr>
          <w:rFonts w:ascii="Times New Roman" w:hAnsi="Times New Roman" w:cs="Times New Roman"/>
          <w:sz w:val="28"/>
          <w:szCs w:val="28"/>
        </w:rPr>
        <w:t>№</w:t>
      </w:r>
      <w:r w:rsidRPr="00A53AD7">
        <w:rPr>
          <w:rFonts w:ascii="Times New Roman" w:hAnsi="Times New Roman" w:cs="Times New Roman"/>
          <w:sz w:val="28"/>
          <w:szCs w:val="28"/>
        </w:rPr>
        <w:t xml:space="preserve"> 1 к порядку предоставления субсидий.</w:t>
      </w:r>
    </w:p>
    <w:p w14:paraId="770EF67E" w14:textId="01EDE784"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«1.11 Реконструкция пр. Ленинградского от ул. Первомайской до ул. Смольный Буян в г. Архангельске» фа</w:t>
      </w:r>
      <w:r w:rsidR="00EE5979" w:rsidRPr="00A53AD7">
        <w:rPr>
          <w:rFonts w:ascii="Times New Roman" w:hAnsi="Times New Roman" w:cs="Times New Roman"/>
          <w:sz w:val="28"/>
          <w:szCs w:val="28"/>
        </w:rPr>
        <w:t>ктическое исполнение 129,8 млн.</w:t>
      </w:r>
      <w:r w:rsidRPr="00A53AD7">
        <w:rPr>
          <w:rFonts w:ascii="Times New Roman" w:hAnsi="Times New Roman" w:cs="Times New Roman"/>
          <w:sz w:val="28"/>
          <w:szCs w:val="28"/>
        </w:rPr>
        <w:t>руб. или исполнение 96,5%.</w:t>
      </w:r>
    </w:p>
    <w:p w14:paraId="14133065" w14:textId="6763518D"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 «Площадь приведенных в нормативное состояние автомобильных дорог общего пользования местного значения» утверждена в качестве показателя со значением 45605,8 м</w:t>
      </w:r>
      <w:r w:rsidRPr="00A53AD7">
        <w:rPr>
          <w:rFonts w:ascii="Times New Roman" w:hAnsi="Times New Roman" w:cs="Times New Roman"/>
          <w:sz w:val="28"/>
          <w:szCs w:val="28"/>
          <w:vertAlign w:val="superscript"/>
        </w:rPr>
        <w:t>2</w:t>
      </w:r>
      <w:r w:rsidRPr="00A53AD7">
        <w:rPr>
          <w:rFonts w:ascii="Times New Roman" w:hAnsi="Times New Roman" w:cs="Times New Roman"/>
          <w:sz w:val="28"/>
          <w:szCs w:val="28"/>
        </w:rPr>
        <w:t>, при этом не обозначена к выполнению в Соглашении 02/ДФ-4 о предоставлении в 2018 и 2019 годах субсидии бюджету муниципального образования «Город Архангельск» на реконструкцию пр. Ленинградского от ул. Первомайской до ул. Смольный Буян в рамках реализации пункта 1.11 перечня мероприятий подпрограммы №</w:t>
      </w:r>
      <w:r w:rsidR="00C30A6D" w:rsidRPr="00A53AD7">
        <w:rPr>
          <w:rFonts w:ascii="Times New Roman" w:hAnsi="Times New Roman" w:cs="Times New Roman"/>
          <w:sz w:val="28"/>
          <w:szCs w:val="28"/>
        </w:rPr>
        <w:t> </w:t>
      </w:r>
      <w:r w:rsidRPr="00A53AD7">
        <w:rPr>
          <w:rFonts w:ascii="Times New Roman" w:hAnsi="Times New Roman" w:cs="Times New Roman"/>
          <w:sz w:val="28"/>
          <w:szCs w:val="28"/>
        </w:rPr>
        <w:t>2 государственной программы от 31.05.2018, заключенном между министерством транспорта АО и Администрацией МО «Город Архангельск».</w:t>
      </w:r>
    </w:p>
    <w:p w14:paraId="3F344678" w14:textId="3B7B5D56"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Кроме того, по указанному мероприятию в государственной программе</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(Приложение №</w:t>
      </w:r>
      <w:r w:rsidR="00EE2EF2" w:rsidRPr="00A53AD7">
        <w:rPr>
          <w:rFonts w:ascii="Times New Roman" w:hAnsi="Times New Roman" w:cs="Times New Roman"/>
          <w:sz w:val="28"/>
          <w:szCs w:val="28"/>
        </w:rPr>
        <w:t xml:space="preserve"> </w:t>
      </w:r>
      <w:r w:rsidRPr="00A53AD7">
        <w:rPr>
          <w:rFonts w:ascii="Times New Roman" w:hAnsi="Times New Roman" w:cs="Times New Roman"/>
          <w:sz w:val="28"/>
          <w:szCs w:val="28"/>
        </w:rPr>
        <w:t>2) определена связь с целевыми показателями государственной программы – «Пункт 14 раздела приложения № 1», который в Приложении № 1 «Перечень целевых показателей государственной программы</w:t>
      </w:r>
      <w:r w:rsidR="00C30A6D" w:rsidRPr="00A53AD7">
        <w:rPr>
          <w:rFonts w:ascii="Times New Roman" w:hAnsi="Times New Roman" w:cs="Times New Roman"/>
          <w:sz w:val="28"/>
          <w:szCs w:val="28"/>
        </w:rPr>
        <w:t>…</w:t>
      </w:r>
      <w:r w:rsidRPr="00A53AD7">
        <w:rPr>
          <w:rFonts w:ascii="Times New Roman" w:hAnsi="Times New Roman" w:cs="Times New Roman"/>
          <w:sz w:val="28"/>
          <w:szCs w:val="28"/>
        </w:rPr>
        <w:t>» на 2019 год не утвержден.</w:t>
      </w:r>
    </w:p>
    <w:p w14:paraId="538030C6" w14:textId="1ED75606"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«1.12 Реконструкция моста через Никольское устье Северной Двины в г. Северодвинске» - фактическое исполнение 253,4 млн.руб., в том числе за счет федерального и областного бюджетов исполнение 100,0%,</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за счет местного бюджета исполнение 99,5%.</w:t>
      </w:r>
    </w:p>
    <w:p w14:paraId="77DC0B32" w14:textId="5FFDEF20"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запросу КСП АО министерством транспорта по указанному мероприятию предоставлены отчеты Администрации МО «Северодвинск» за 2019 год, согласно которым - СМР выполнены на сумму 25</w:t>
      </w:r>
      <w:r w:rsidR="00EE5979" w:rsidRPr="00A53AD7">
        <w:rPr>
          <w:rFonts w:ascii="Times New Roman" w:hAnsi="Times New Roman" w:cs="Times New Roman"/>
          <w:sz w:val="28"/>
          <w:szCs w:val="28"/>
        </w:rPr>
        <w:t>3,3 млн.</w:t>
      </w:r>
      <w:r w:rsidRPr="00A53AD7">
        <w:rPr>
          <w:rFonts w:ascii="Times New Roman" w:hAnsi="Times New Roman" w:cs="Times New Roman"/>
          <w:sz w:val="28"/>
          <w:szCs w:val="28"/>
        </w:rPr>
        <w:t>руб., прочие работы (корректировка и экспертиза сметной д</w:t>
      </w:r>
      <w:r w:rsidR="00EE5979" w:rsidRPr="00A53AD7">
        <w:rPr>
          <w:rFonts w:ascii="Times New Roman" w:hAnsi="Times New Roman" w:cs="Times New Roman"/>
          <w:sz w:val="28"/>
          <w:szCs w:val="28"/>
        </w:rPr>
        <w:t>окументации) на сумму 0,09 млн.</w:t>
      </w:r>
      <w:r w:rsidRPr="00A53AD7">
        <w:rPr>
          <w:rFonts w:ascii="Times New Roman" w:hAnsi="Times New Roman" w:cs="Times New Roman"/>
          <w:sz w:val="28"/>
          <w:szCs w:val="28"/>
        </w:rPr>
        <w:t xml:space="preserve">руб. Техническая готовность объекта в отчетном периоде - 9 %. </w:t>
      </w:r>
    </w:p>
    <w:p w14:paraId="4FA67340" w14:textId="7777777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«1.17. Строительство автомобильной дороги по проспекту Мира на участке от ул. Ушинского до объездной автомобильной дороги "Котлас-Коряжма, км 0-км 41" нарушены сроки заключения муниципального контракта и начала подготовительных работ, техническая готовность объекта в отчетном периоде 5 процентов - не достигнута.</w:t>
      </w:r>
    </w:p>
    <w:p w14:paraId="3FA04248" w14:textId="39602D51"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По мероприятию «2.7. Организация перевозок пассажиров автомобильным транспортом в междугородном и пригородном сообщении» фактическое исполнение 0,7 </w:t>
      </w:r>
      <w:r w:rsidR="00EE5979" w:rsidRPr="00A53AD7">
        <w:rPr>
          <w:rFonts w:ascii="Times New Roman" w:hAnsi="Times New Roman" w:cs="Times New Roman"/>
          <w:sz w:val="28"/>
          <w:szCs w:val="28"/>
        </w:rPr>
        <w:t>млн.</w:t>
      </w:r>
      <w:r w:rsidR="00C30A6D" w:rsidRPr="00A53AD7">
        <w:rPr>
          <w:rFonts w:ascii="Times New Roman" w:hAnsi="Times New Roman" w:cs="Times New Roman"/>
          <w:sz w:val="28"/>
          <w:szCs w:val="28"/>
        </w:rPr>
        <w:t>руб. или исполнение 21,5%.</w:t>
      </w:r>
    </w:p>
    <w:p w14:paraId="021B8A71" w14:textId="77777777"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Целевой показатель «Доля рейсов на маршрутах, фактически выполненных в соответствии с расписанием при осуществлении пассажирских перевозок автомобильным транспортом в междугородном и пригородном сообщении, в общем количестве рейсов, установленных в соответствии с расписанием» выполнен на 96,0 %.</w:t>
      </w:r>
    </w:p>
    <w:p w14:paraId="759AD30F" w14:textId="676A5BDD"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данным «Справки об исполнении (выполненные рейсы по межмуниципальным маршрутам) государственных контрактов за 2019 год»</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(исх. минтранса АО №</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01-02/267 от 17.03.2020) следует, что фактическое количество рейсов за 2019 год исполнено в количестве 242 149 рейсов</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при плане 257 928 рейсов или выполнение</w:t>
      </w:r>
      <w:r w:rsidR="007364DB" w:rsidRPr="00A53AD7">
        <w:rPr>
          <w:rFonts w:ascii="Times New Roman" w:hAnsi="Times New Roman" w:cs="Times New Roman"/>
          <w:sz w:val="28"/>
          <w:szCs w:val="28"/>
        </w:rPr>
        <w:t xml:space="preserve"> </w:t>
      </w:r>
      <w:r w:rsidRPr="00A53AD7">
        <w:rPr>
          <w:rFonts w:ascii="Times New Roman" w:hAnsi="Times New Roman" w:cs="Times New Roman"/>
          <w:sz w:val="28"/>
          <w:szCs w:val="28"/>
        </w:rPr>
        <w:t>93,9%.</w:t>
      </w:r>
    </w:p>
    <w:p w14:paraId="4F9FE7A1" w14:textId="77777777" w:rsidR="00000803" w:rsidRPr="00A53AD7" w:rsidRDefault="00000803" w:rsidP="00C30A6D">
      <w:pPr>
        <w:pStyle w:val="ConsPlusNormal"/>
        <w:ind w:firstLine="851"/>
        <w:jc w:val="both"/>
        <w:rPr>
          <w:rFonts w:ascii="Times New Roman" w:hAnsi="Times New Roman" w:cs="Times New Roman"/>
          <w:sz w:val="28"/>
          <w:szCs w:val="28"/>
        </w:rPr>
      </w:pPr>
    </w:p>
    <w:p w14:paraId="4485DBBD" w14:textId="77777777" w:rsidR="00000803" w:rsidRPr="00A53AD7" w:rsidRDefault="00000803" w:rsidP="00C30A6D">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Подпрограмма № 3 «Развитие и совершенствование сети автомобильных дорог общего пользования регионального значения»</w:t>
      </w:r>
    </w:p>
    <w:p w14:paraId="5E4BA9BD" w14:textId="715355C1" w:rsidR="00000803" w:rsidRPr="00A53AD7" w:rsidRDefault="00000803" w:rsidP="00C30A6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финансирования представлены в таблице</w:t>
      </w:r>
      <w:r w:rsidR="00C30A6D" w:rsidRPr="00A53AD7">
        <w:rPr>
          <w:rFonts w:ascii="Times New Roman" w:hAnsi="Times New Roman" w:cs="Times New Roman"/>
          <w:sz w:val="28"/>
          <w:szCs w:val="28"/>
        </w:rPr>
        <w:t>:</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1"/>
        <w:gridCol w:w="959"/>
        <w:gridCol w:w="959"/>
        <w:gridCol w:w="959"/>
        <w:gridCol w:w="820"/>
        <w:gridCol w:w="795"/>
        <w:gridCol w:w="846"/>
        <w:gridCol w:w="680"/>
        <w:gridCol w:w="673"/>
      </w:tblGrid>
      <w:tr w:rsidR="00D470B6" w:rsidRPr="00A53AD7" w14:paraId="10268044" w14:textId="77777777" w:rsidTr="00BF1744">
        <w:trPr>
          <w:trHeight w:val="394"/>
          <w:tblHeader/>
          <w:jc w:val="center"/>
        </w:trPr>
        <w:tc>
          <w:tcPr>
            <w:tcW w:w="1454" w:type="pct"/>
            <w:vAlign w:val="center"/>
          </w:tcPr>
          <w:p w14:paraId="54FDA50B" w14:textId="683C70FA" w:rsidR="00000803" w:rsidRPr="00A53AD7" w:rsidRDefault="00000803" w:rsidP="00EE1C61">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317E99AE"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377FF822"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2C709581"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697FE4A8"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6A73ECDA"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7C524FA4"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7CC64EB8"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5EC6EAB1"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71B4FC61" w14:textId="77777777" w:rsidTr="00C30A6D">
        <w:trPr>
          <w:trHeight w:val="194"/>
          <w:tblHeader/>
          <w:jc w:val="center"/>
        </w:trPr>
        <w:tc>
          <w:tcPr>
            <w:tcW w:w="1454" w:type="pct"/>
            <w:vAlign w:val="center"/>
          </w:tcPr>
          <w:p w14:paraId="30135CC3"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71DA772F"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651B37D0"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60391C93"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0A0A1078"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3F266FA2"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409581DA"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42A36688" w14:textId="77777777" w:rsidR="00000803" w:rsidRPr="00A53AD7" w:rsidRDefault="00000803" w:rsidP="00BF1744">
            <w:pPr>
              <w:spacing w:after="0" w:line="240" w:lineRule="auto"/>
              <w:jc w:val="center"/>
              <w:rPr>
                <w:rFonts w:ascii="Times New Roman" w:hAnsi="Times New Roman"/>
                <w:sz w:val="16"/>
                <w:szCs w:val="16"/>
              </w:rPr>
            </w:pPr>
          </w:p>
        </w:tc>
        <w:tc>
          <w:tcPr>
            <w:tcW w:w="353" w:type="pct"/>
          </w:tcPr>
          <w:p w14:paraId="11A13D2F" w14:textId="77777777" w:rsidR="00000803" w:rsidRPr="00A53AD7" w:rsidRDefault="00000803" w:rsidP="00BF1744">
            <w:pPr>
              <w:spacing w:after="0" w:line="240" w:lineRule="auto"/>
              <w:jc w:val="center"/>
              <w:rPr>
                <w:rFonts w:ascii="Times New Roman" w:hAnsi="Times New Roman"/>
                <w:sz w:val="16"/>
                <w:szCs w:val="16"/>
              </w:rPr>
            </w:pPr>
          </w:p>
        </w:tc>
      </w:tr>
      <w:tr w:rsidR="00D470B6" w:rsidRPr="00A53AD7" w14:paraId="4A35B538" w14:textId="77777777" w:rsidTr="0011347E">
        <w:trPr>
          <w:trHeight w:val="210"/>
          <w:jc w:val="center"/>
        </w:trPr>
        <w:tc>
          <w:tcPr>
            <w:tcW w:w="1454" w:type="pct"/>
            <w:shd w:val="clear" w:color="auto" w:fill="D9D9D9" w:themeFill="background1" w:themeFillShade="D9"/>
            <w:vAlign w:val="center"/>
          </w:tcPr>
          <w:p w14:paraId="4742F9F1" w14:textId="77777777" w:rsidR="00000803" w:rsidRPr="00A53AD7" w:rsidRDefault="00000803" w:rsidP="00BF1744">
            <w:pPr>
              <w:tabs>
                <w:tab w:val="left" w:pos="253"/>
              </w:tabs>
              <w:spacing w:after="0" w:line="240" w:lineRule="auto"/>
              <w:rPr>
                <w:rFonts w:ascii="Times New Roman" w:hAnsi="Times New Roman"/>
                <w:sz w:val="18"/>
                <w:szCs w:val="18"/>
              </w:rPr>
            </w:pPr>
            <w:r w:rsidRPr="00A53AD7">
              <w:rPr>
                <w:rFonts w:ascii="Times New Roman" w:hAnsi="Times New Roman"/>
                <w:sz w:val="18"/>
                <w:szCs w:val="18"/>
              </w:rPr>
              <w:t>Подпрограмма № 3 «Развитие и совершенствование сети автомобильных дорог общего пользования регионального значения»</w:t>
            </w:r>
          </w:p>
        </w:tc>
        <w:tc>
          <w:tcPr>
            <w:tcW w:w="509" w:type="pct"/>
            <w:shd w:val="clear" w:color="auto" w:fill="D9D9D9" w:themeFill="background1" w:themeFillShade="D9"/>
          </w:tcPr>
          <w:p w14:paraId="60F8F48A" w14:textId="77777777" w:rsidR="00000803" w:rsidRPr="00A53AD7" w:rsidRDefault="00000803" w:rsidP="0011347E">
            <w:pPr>
              <w:spacing w:after="0" w:line="240" w:lineRule="auto"/>
              <w:jc w:val="right"/>
              <w:rPr>
                <w:rFonts w:ascii="Times New Roman" w:hAnsi="Times New Roman"/>
                <w:sz w:val="18"/>
                <w:szCs w:val="18"/>
              </w:rPr>
            </w:pPr>
            <w:r w:rsidRPr="00A53AD7">
              <w:rPr>
                <w:rFonts w:ascii="Times New Roman" w:hAnsi="Times New Roman"/>
                <w:sz w:val="18"/>
                <w:szCs w:val="18"/>
              </w:rPr>
              <w:t>579,0</w:t>
            </w:r>
          </w:p>
        </w:tc>
        <w:tc>
          <w:tcPr>
            <w:tcW w:w="509" w:type="pct"/>
            <w:shd w:val="clear" w:color="auto" w:fill="D9D9D9" w:themeFill="background1" w:themeFillShade="D9"/>
          </w:tcPr>
          <w:p w14:paraId="54A081E4" w14:textId="77777777" w:rsidR="00000803" w:rsidRPr="00A53AD7" w:rsidRDefault="00000803" w:rsidP="0011347E">
            <w:pPr>
              <w:spacing w:after="0" w:line="240" w:lineRule="auto"/>
              <w:jc w:val="right"/>
              <w:rPr>
                <w:rFonts w:ascii="Times New Roman" w:hAnsi="Times New Roman"/>
                <w:sz w:val="18"/>
                <w:szCs w:val="18"/>
              </w:rPr>
            </w:pPr>
            <w:r w:rsidRPr="00A53AD7">
              <w:rPr>
                <w:rFonts w:ascii="Times New Roman" w:hAnsi="Times New Roman"/>
                <w:sz w:val="18"/>
                <w:szCs w:val="18"/>
              </w:rPr>
              <w:t>1135,5</w:t>
            </w:r>
          </w:p>
        </w:tc>
        <w:tc>
          <w:tcPr>
            <w:tcW w:w="509" w:type="pct"/>
            <w:shd w:val="clear" w:color="auto" w:fill="D9D9D9" w:themeFill="background1" w:themeFillShade="D9"/>
          </w:tcPr>
          <w:p w14:paraId="3CF1EF7C" w14:textId="77777777" w:rsidR="00000803" w:rsidRPr="00A53AD7" w:rsidRDefault="00000803" w:rsidP="0011347E">
            <w:pPr>
              <w:spacing w:after="0" w:line="240" w:lineRule="auto"/>
              <w:jc w:val="right"/>
              <w:rPr>
                <w:rFonts w:ascii="Times New Roman" w:hAnsi="Times New Roman"/>
                <w:sz w:val="18"/>
                <w:szCs w:val="18"/>
              </w:rPr>
            </w:pPr>
            <w:r w:rsidRPr="00A53AD7">
              <w:rPr>
                <w:rFonts w:ascii="Times New Roman" w:hAnsi="Times New Roman"/>
                <w:sz w:val="18"/>
                <w:szCs w:val="18"/>
              </w:rPr>
              <w:t>1094,6</w:t>
            </w:r>
          </w:p>
        </w:tc>
        <w:tc>
          <w:tcPr>
            <w:tcW w:w="435" w:type="pct"/>
            <w:shd w:val="clear" w:color="auto" w:fill="D9D9D9" w:themeFill="background1" w:themeFillShade="D9"/>
          </w:tcPr>
          <w:p w14:paraId="23FDBFC4" w14:textId="77777777" w:rsidR="00000803" w:rsidRPr="00A53AD7" w:rsidRDefault="00000803" w:rsidP="0011347E">
            <w:pPr>
              <w:spacing w:after="0" w:line="240" w:lineRule="auto"/>
              <w:jc w:val="right"/>
              <w:rPr>
                <w:rFonts w:ascii="Times New Roman" w:hAnsi="Times New Roman"/>
                <w:sz w:val="18"/>
                <w:szCs w:val="18"/>
              </w:rPr>
            </w:pPr>
            <w:r w:rsidRPr="00A53AD7">
              <w:rPr>
                <w:rFonts w:ascii="Times New Roman" w:hAnsi="Times New Roman"/>
                <w:sz w:val="18"/>
                <w:szCs w:val="18"/>
              </w:rPr>
              <w:t>547,0</w:t>
            </w:r>
          </w:p>
        </w:tc>
        <w:tc>
          <w:tcPr>
            <w:tcW w:w="422" w:type="pct"/>
            <w:shd w:val="clear" w:color="auto" w:fill="D9D9D9" w:themeFill="background1" w:themeFillShade="D9"/>
          </w:tcPr>
          <w:p w14:paraId="54CEBE0D" w14:textId="77777777" w:rsidR="00000803" w:rsidRPr="00A53AD7" w:rsidRDefault="00000803" w:rsidP="0011347E">
            <w:pPr>
              <w:spacing w:after="0" w:line="240" w:lineRule="auto"/>
              <w:jc w:val="right"/>
              <w:rPr>
                <w:rFonts w:ascii="Times New Roman" w:hAnsi="Times New Roman"/>
                <w:sz w:val="18"/>
                <w:szCs w:val="18"/>
              </w:rPr>
            </w:pPr>
            <w:r w:rsidRPr="00A53AD7">
              <w:rPr>
                <w:rFonts w:ascii="Times New Roman" w:hAnsi="Times New Roman"/>
                <w:sz w:val="18"/>
                <w:szCs w:val="18"/>
              </w:rPr>
              <w:t>115,3</w:t>
            </w:r>
          </w:p>
        </w:tc>
        <w:tc>
          <w:tcPr>
            <w:tcW w:w="449" w:type="pct"/>
            <w:shd w:val="clear" w:color="auto" w:fill="D9D9D9" w:themeFill="background1" w:themeFillShade="D9"/>
          </w:tcPr>
          <w:p w14:paraId="2DA28168" w14:textId="77777777" w:rsidR="00000803" w:rsidRPr="00A53AD7" w:rsidRDefault="00000803" w:rsidP="0011347E">
            <w:pPr>
              <w:spacing w:after="0" w:line="240" w:lineRule="auto"/>
              <w:ind w:left="-77" w:right="-86"/>
              <w:jc w:val="right"/>
              <w:rPr>
                <w:rFonts w:ascii="Times New Roman" w:hAnsi="Times New Roman"/>
                <w:sz w:val="18"/>
                <w:szCs w:val="18"/>
              </w:rPr>
            </w:pPr>
            <w:r w:rsidRPr="00A53AD7">
              <w:rPr>
                <w:rFonts w:ascii="Times New Roman" w:hAnsi="Times New Roman"/>
                <w:sz w:val="18"/>
                <w:szCs w:val="18"/>
              </w:rPr>
              <w:t>142,6</w:t>
            </w:r>
          </w:p>
        </w:tc>
        <w:tc>
          <w:tcPr>
            <w:tcW w:w="361" w:type="pct"/>
            <w:shd w:val="clear" w:color="auto" w:fill="D9D9D9" w:themeFill="background1" w:themeFillShade="D9"/>
          </w:tcPr>
          <w:p w14:paraId="36C092FF" w14:textId="77777777" w:rsidR="00000803" w:rsidRPr="00A53AD7" w:rsidRDefault="00000803" w:rsidP="0011347E">
            <w:pPr>
              <w:spacing w:after="0" w:line="240" w:lineRule="auto"/>
              <w:ind w:left="-77" w:right="-86"/>
              <w:jc w:val="right"/>
              <w:rPr>
                <w:rFonts w:ascii="Times New Roman" w:hAnsi="Times New Roman"/>
                <w:sz w:val="18"/>
                <w:szCs w:val="18"/>
              </w:rPr>
            </w:pPr>
            <w:r w:rsidRPr="00A53AD7">
              <w:rPr>
                <w:rFonts w:ascii="Times New Roman" w:hAnsi="Times New Roman"/>
                <w:sz w:val="18"/>
                <w:szCs w:val="18"/>
              </w:rPr>
              <w:t>24,6</w:t>
            </w:r>
          </w:p>
        </w:tc>
        <w:tc>
          <w:tcPr>
            <w:tcW w:w="353" w:type="pct"/>
            <w:shd w:val="clear" w:color="auto" w:fill="D9D9D9" w:themeFill="background1" w:themeFillShade="D9"/>
          </w:tcPr>
          <w:p w14:paraId="0EA0CF19" w14:textId="77777777" w:rsidR="00000803" w:rsidRPr="00A53AD7" w:rsidRDefault="00000803" w:rsidP="0011347E">
            <w:pPr>
              <w:spacing w:after="0" w:line="240" w:lineRule="auto"/>
              <w:ind w:left="-77" w:right="-86"/>
              <w:jc w:val="right"/>
              <w:rPr>
                <w:rFonts w:ascii="Times New Roman" w:hAnsi="Times New Roman"/>
                <w:sz w:val="18"/>
                <w:szCs w:val="18"/>
              </w:rPr>
            </w:pPr>
            <w:r w:rsidRPr="00A53AD7">
              <w:rPr>
                <w:rFonts w:ascii="Times New Roman" w:hAnsi="Times New Roman"/>
                <w:sz w:val="18"/>
                <w:szCs w:val="18"/>
              </w:rPr>
              <w:t>123,7</w:t>
            </w:r>
          </w:p>
        </w:tc>
      </w:tr>
      <w:tr w:rsidR="00D470B6" w:rsidRPr="00A53AD7" w14:paraId="2DE7E389" w14:textId="77777777" w:rsidTr="0011347E">
        <w:trPr>
          <w:trHeight w:val="210"/>
          <w:jc w:val="center"/>
        </w:trPr>
        <w:tc>
          <w:tcPr>
            <w:tcW w:w="1454" w:type="pct"/>
            <w:vAlign w:val="center"/>
          </w:tcPr>
          <w:p w14:paraId="0975F598"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0D5B904E"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30,7</w:t>
            </w:r>
          </w:p>
        </w:tc>
        <w:tc>
          <w:tcPr>
            <w:tcW w:w="509" w:type="pct"/>
          </w:tcPr>
          <w:p w14:paraId="0CBBA9C6"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1081,0</w:t>
            </w:r>
          </w:p>
        </w:tc>
        <w:tc>
          <w:tcPr>
            <w:tcW w:w="509" w:type="pct"/>
          </w:tcPr>
          <w:p w14:paraId="166CD591"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947,6</w:t>
            </w:r>
          </w:p>
        </w:tc>
        <w:tc>
          <w:tcPr>
            <w:tcW w:w="435" w:type="pct"/>
          </w:tcPr>
          <w:p w14:paraId="6849DDD6"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290,5</w:t>
            </w:r>
          </w:p>
        </w:tc>
        <w:tc>
          <w:tcPr>
            <w:tcW w:w="422" w:type="pct"/>
          </w:tcPr>
          <w:p w14:paraId="74D0437D"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74BA1010"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2107272E"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2A76E2CF"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w:t>
            </w:r>
          </w:p>
        </w:tc>
      </w:tr>
      <w:tr w:rsidR="00D470B6" w:rsidRPr="00A53AD7" w14:paraId="61D28F11" w14:textId="77777777" w:rsidTr="0011347E">
        <w:trPr>
          <w:trHeight w:val="210"/>
          <w:jc w:val="center"/>
        </w:trPr>
        <w:tc>
          <w:tcPr>
            <w:tcW w:w="1454" w:type="pct"/>
            <w:vAlign w:val="center"/>
          </w:tcPr>
          <w:p w14:paraId="3410CB6C"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0358C11C"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548,3</w:t>
            </w:r>
          </w:p>
        </w:tc>
        <w:tc>
          <w:tcPr>
            <w:tcW w:w="509" w:type="pct"/>
          </w:tcPr>
          <w:p w14:paraId="7EF4FE99"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54,4</w:t>
            </w:r>
          </w:p>
        </w:tc>
        <w:tc>
          <w:tcPr>
            <w:tcW w:w="509" w:type="pct"/>
          </w:tcPr>
          <w:p w14:paraId="17D832F7"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147,0</w:t>
            </w:r>
          </w:p>
        </w:tc>
        <w:tc>
          <w:tcPr>
            <w:tcW w:w="435" w:type="pct"/>
          </w:tcPr>
          <w:p w14:paraId="5C27D91D"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256,5</w:t>
            </w:r>
          </w:p>
        </w:tc>
        <w:tc>
          <w:tcPr>
            <w:tcW w:w="422" w:type="pct"/>
          </w:tcPr>
          <w:p w14:paraId="7FC10DE4"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115,3</w:t>
            </w:r>
          </w:p>
        </w:tc>
        <w:tc>
          <w:tcPr>
            <w:tcW w:w="449" w:type="pct"/>
          </w:tcPr>
          <w:p w14:paraId="2C3ED44C" w14:textId="77777777" w:rsidR="00000803" w:rsidRPr="00A53AD7" w:rsidRDefault="00000803" w:rsidP="0011347E">
            <w:pPr>
              <w:spacing w:after="0" w:line="240" w:lineRule="auto"/>
              <w:ind w:left="-77" w:right="-86"/>
              <w:jc w:val="right"/>
              <w:rPr>
                <w:rFonts w:ascii="Times New Roman" w:hAnsi="Times New Roman"/>
                <w:sz w:val="16"/>
                <w:szCs w:val="16"/>
              </w:rPr>
            </w:pPr>
            <w:r w:rsidRPr="00A53AD7">
              <w:rPr>
                <w:rFonts w:ascii="Times New Roman" w:hAnsi="Times New Roman"/>
                <w:sz w:val="16"/>
                <w:szCs w:val="16"/>
              </w:rPr>
              <w:t>142,6</w:t>
            </w:r>
          </w:p>
        </w:tc>
        <w:tc>
          <w:tcPr>
            <w:tcW w:w="361" w:type="pct"/>
          </w:tcPr>
          <w:p w14:paraId="016333D1" w14:textId="77777777" w:rsidR="00000803" w:rsidRPr="00A53AD7" w:rsidRDefault="00000803" w:rsidP="0011347E">
            <w:pPr>
              <w:spacing w:after="0" w:line="240" w:lineRule="auto"/>
              <w:ind w:left="-77" w:right="-86"/>
              <w:jc w:val="right"/>
              <w:rPr>
                <w:rFonts w:ascii="Times New Roman" w:hAnsi="Times New Roman"/>
                <w:sz w:val="16"/>
                <w:szCs w:val="16"/>
              </w:rPr>
            </w:pPr>
            <w:r w:rsidRPr="00A53AD7">
              <w:rPr>
                <w:rFonts w:ascii="Times New Roman" w:hAnsi="Times New Roman"/>
                <w:sz w:val="16"/>
                <w:szCs w:val="16"/>
              </w:rPr>
              <w:t>26,0</w:t>
            </w:r>
          </w:p>
        </w:tc>
        <w:tc>
          <w:tcPr>
            <w:tcW w:w="353" w:type="pct"/>
          </w:tcPr>
          <w:p w14:paraId="55C781FC" w14:textId="77777777" w:rsidR="00000803" w:rsidRPr="00A53AD7" w:rsidRDefault="00000803" w:rsidP="0011347E">
            <w:pPr>
              <w:spacing w:after="0" w:line="240" w:lineRule="auto"/>
              <w:ind w:left="-77" w:right="-86"/>
              <w:jc w:val="right"/>
              <w:rPr>
                <w:rFonts w:ascii="Times New Roman" w:hAnsi="Times New Roman"/>
                <w:sz w:val="16"/>
                <w:szCs w:val="16"/>
              </w:rPr>
            </w:pPr>
            <w:r w:rsidRPr="00A53AD7">
              <w:rPr>
                <w:rFonts w:ascii="Times New Roman" w:hAnsi="Times New Roman"/>
                <w:sz w:val="16"/>
                <w:szCs w:val="16"/>
              </w:rPr>
              <w:t>123,7</w:t>
            </w:r>
          </w:p>
        </w:tc>
      </w:tr>
      <w:tr w:rsidR="00D470B6" w:rsidRPr="00A53AD7" w14:paraId="67A4A0DF" w14:textId="77777777" w:rsidTr="0011347E">
        <w:trPr>
          <w:trHeight w:val="210"/>
          <w:jc w:val="center"/>
        </w:trPr>
        <w:tc>
          <w:tcPr>
            <w:tcW w:w="1454" w:type="pct"/>
            <w:vAlign w:val="center"/>
          </w:tcPr>
          <w:p w14:paraId="65C76168"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2CF0B1A4"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28DBB8C5"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104C2F64"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35" w:type="pct"/>
          </w:tcPr>
          <w:p w14:paraId="55C2D04A"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22" w:type="pct"/>
          </w:tcPr>
          <w:p w14:paraId="2DBD933B"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5CC60AEF"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349E5E1F"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3A8DA94C"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0</w:t>
            </w:r>
          </w:p>
        </w:tc>
      </w:tr>
      <w:tr w:rsidR="00000803" w:rsidRPr="00A53AD7" w14:paraId="1681C31F" w14:textId="77777777" w:rsidTr="0011347E">
        <w:trPr>
          <w:trHeight w:val="210"/>
          <w:jc w:val="center"/>
        </w:trPr>
        <w:tc>
          <w:tcPr>
            <w:tcW w:w="1454" w:type="pct"/>
            <w:vAlign w:val="center"/>
          </w:tcPr>
          <w:p w14:paraId="31BC8A2B"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290D5077"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9" w:type="pct"/>
          </w:tcPr>
          <w:p w14:paraId="7ED4AB96"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9" w:type="pct"/>
          </w:tcPr>
          <w:p w14:paraId="3FC788D6"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35" w:type="pct"/>
          </w:tcPr>
          <w:p w14:paraId="64D95095"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22" w:type="pct"/>
          </w:tcPr>
          <w:p w14:paraId="7FF551F8"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49" w:type="pct"/>
          </w:tcPr>
          <w:p w14:paraId="0156A23D"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154,8</w:t>
            </w:r>
          </w:p>
        </w:tc>
        <w:tc>
          <w:tcPr>
            <w:tcW w:w="361" w:type="pct"/>
          </w:tcPr>
          <w:p w14:paraId="739ABD79"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353" w:type="pct"/>
          </w:tcPr>
          <w:p w14:paraId="1263B775" w14:textId="77777777" w:rsidR="00000803" w:rsidRPr="00A53AD7" w:rsidRDefault="00000803" w:rsidP="0011347E">
            <w:pPr>
              <w:spacing w:after="0" w:line="240" w:lineRule="auto"/>
              <w:jc w:val="right"/>
              <w:rPr>
                <w:rFonts w:ascii="Times New Roman" w:hAnsi="Times New Roman"/>
                <w:sz w:val="16"/>
                <w:szCs w:val="16"/>
              </w:rPr>
            </w:pPr>
            <w:r w:rsidRPr="00A53AD7">
              <w:rPr>
                <w:rFonts w:ascii="Times New Roman" w:hAnsi="Times New Roman"/>
                <w:sz w:val="16"/>
                <w:szCs w:val="16"/>
              </w:rPr>
              <w:t>-</w:t>
            </w:r>
          </w:p>
        </w:tc>
      </w:tr>
    </w:tbl>
    <w:p w14:paraId="0B2737E8" w14:textId="77777777" w:rsidR="00000803" w:rsidRPr="00A53AD7" w:rsidRDefault="00000803" w:rsidP="00BF1744">
      <w:pPr>
        <w:pStyle w:val="ConsPlusNormal"/>
        <w:ind w:firstLine="851"/>
        <w:jc w:val="both"/>
        <w:rPr>
          <w:rFonts w:ascii="Times New Roman" w:hAnsi="Times New Roman" w:cs="Times New Roman"/>
          <w:sz w:val="28"/>
          <w:szCs w:val="28"/>
        </w:rPr>
      </w:pPr>
    </w:p>
    <w:p w14:paraId="7A98893B"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«Сведений о достижении целевых показателей госпрограммы» исполнение по пяти целевым показателям подпрограммы № 3 составило 100% и выше.</w:t>
      </w:r>
    </w:p>
    <w:p w14:paraId="48D5A75A" w14:textId="45E32980"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рамках подпрограммы осуществлены кассовые расходы по двум м</w:t>
      </w:r>
      <w:r w:rsidR="00EE5979" w:rsidRPr="00A53AD7">
        <w:rPr>
          <w:rFonts w:ascii="Times New Roman" w:hAnsi="Times New Roman" w:cs="Times New Roman"/>
          <w:sz w:val="28"/>
          <w:szCs w:val="28"/>
        </w:rPr>
        <w:t>ероприятиям на сумму 142,6 млн.</w:t>
      </w:r>
      <w:r w:rsidRPr="00A53AD7">
        <w:rPr>
          <w:rFonts w:ascii="Times New Roman" w:hAnsi="Times New Roman" w:cs="Times New Roman"/>
          <w:sz w:val="28"/>
          <w:szCs w:val="28"/>
        </w:rPr>
        <w:t>руб. или 96,3% к плану на год. Мероприятия по подпрограмме осуществлены полностью в соответствии с планом реализации государственной программы.</w:t>
      </w:r>
    </w:p>
    <w:p w14:paraId="4781F88B" w14:textId="26CC5919"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Мероприятие «4.4.</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 xml:space="preserve">Реконструкция автомобильной дороги Усть-Ваеньга - Осиново – Фалюки (до дер. Задориха) на участке км 43+500 – 63+000 (I пусковой комплекс)» реализуется в рамках федерального проекта </w:t>
      </w:r>
      <w:r w:rsidR="00A43434" w:rsidRPr="00A53AD7">
        <w:rPr>
          <w:rFonts w:ascii="Times New Roman" w:hAnsi="Times New Roman" w:cs="Times New Roman"/>
          <w:sz w:val="28"/>
          <w:szCs w:val="28"/>
        </w:rPr>
        <w:t>«</w:t>
      </w:r>
      <w:r w:rsidRPr="00A53AD7">
        <w:rPr>
          <w:rFonts w:ascii="Times New Roman" w:hAnsi="Times New Roman" w:cs="Times New Roman"/>
          <w:sz w:val="28"/>
          <w:szCs w:val="28"/>
        </w:rPr>
        <w:t>Дорожная сеть</w:t>
      </w:r>
      <w:r w:rsidR="00A43434" w:rsidRPr="00A53AD7">
        <w:rPr>
          <w:rFonts w:ascii="Times New Roman" w:hAnsi="Times New Roman" w:cs="Times New Roman"/>
          <w:sz w:val="28"/>
          <w:szCs w:val="28"/>
        </w:rPr>
        <w:t>»</w:t>
      </w:r>
      <w:r w:rsidRPr="00A53AD7">
        <w:rPr>
          <w:rFonts w:ascii="Times New Roman" w:hAnsi="Times New Roman" w:cs="Times New Roman"/>
          <w:sz w:val="28"/>
          <w:szCs w:val="28"/>
        </w:rPr>
        <w:t xml:space="preserve"> национального проекта </w:t>
      </w:r>
      <w:r w:rsidR="0011347E" w:rsidRPr="00A53AD7">
        <w:rPr>
          <w:rFonts w:ascii="Times New Roman" w:hAnsi="Times New Roman" w:cs="Times New Roman"/>
          <w:sz w:val="28"/>
          <w:szCs w:val="28"/>
        </w:rPr>
        <w:t>«</w:t>
      </w:r>
      <w:r w:rsidRPr="00A53AD7">
        <w:rPr>
          <w:rFonts w:ascii="Times New Roman" w:hAnsi="Times New Roman" w:cs="Times New Roman"/>
          <w:sz w:val="28"/>
          <w:szCs w:val="28"/>
        </w:rPr>
        <w:t>Безопасные и качественные автомобильные дороги</w:t>
      </w:r>
      <w:r w:rsidR="00A43434" w:rsidRPr="00A53AD7">
        <w:rPr>
          <w:rFonts w:ascii="Times New Roman" w:hAnsi="Times New Roman" w:cs="Times New Roman"/>
          <w:sz w:val="28"/>
          <w:szCs w:val="28"/>
        </w:rPr>
        <w:t>»</w:t>
      </w:r>
      <w:r w:rsidRPr="00A53AD7">
        <w:rPr>
          <w:rFonts w:ascii="Times New Roman" w:hAnsi="Times New Roman" w:cs="Times New Roman"/>
          <w:sz w:val="28"/>
          <w:szCs w:val="28"/>
        </w:rPr>
        <w:t xml:space="preserve"> (См. в разделе региональный проект «Дорожная сеть (Архангельская область)»).</w:t>
      </w:r>
    </w:p>
    <w:p w14:paraId="4027330B" w14:textId="77777777" w:rsidR="00BF1744" w:rsidRPr="00A53AD7" w:rsidRDefault="00BF1744" w:rsidP="00BF1744">
      <w:pPr>
        <w:pStyle w:val="ConsPlusNormal"/>
        <w:ind w:firstLine="851"/>
        <w:jc w:val="both"/>
        <w:rPr>
          <w:rFonts w:ascii="Times New Roman" w:hAnsi="Times New Roman" w:cs="Times New Roman"/>
          <w:sz w:val="28"/>
          <w:szCs w:val="28"/>
        </w:rPr>
      </w:pPr>
    </w:p>
    <w:p w14:paraId="6028C5F5" w14:textId="77777777" w:rsidR="00000803" w:rsidRPr="00A53AD7" w:rsidRDefault="00000803" w:rsidP="00BF1744">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Подпрограмма № 4 «Улучшение эксплуатационного состояния автомобильных дорог общего пользования регионального значения за счет ремонта, капитального ремонта и содержания»</w:t>
      </w:r>
    </w:p>
    <w:p w14:paraId="173F4390" w14:textId="3AC94E14"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финансир</w:t>
      </w:r>
      <w:r w:rsidR="00BF1744" w:rsidRPr="00A53AD7">
        <w:rPr>
          <w:rFonts w:ascii="Times New Roman" w:hAnsi="Times New Roman" w:cs="Times New Roman"/>
          <w:sz w:val="28"/>
          <w:szCs w:val="28"/>
        </w:rPr>
        <w:t>ования представлены 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42E8562C" w14:textId="77777777" w:rsidTr="00BF1744">
        <w:trPr>
          <w:trHeight w:val="524"/>
          <w:tblHeader/>
          <w:jc w:val="center"/>
        </w:trPr>
        <w:tc>
          <w:tcPr>
            <w:tcW w:w="1453" w:type="pct"/>
            <w:vAlign w:val="center"/>
          </w:tcPr>
          <w:p w14:paraId="710FB2F1" w14:textId="1E510C0B" w:rsidR="00000803" w:rsidRPr="00A53AD7" w:rsidRDefault="00EE1C61" w:rsidP="00EE1C61">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6E06A023"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4A8106D7"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6675D136"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6F4766E2"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2142D54E"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1BFDC5B7"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7196AFAE"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3CDE9AE0" w14:textId="77777777" w:rsidR="00000803" w:rsidRPr="00A53AD7" w:rsidRDefault="00000803" w:rsidP="00BF1744">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233A0CD2" w14:textId="77777777" w:rsidTr="00BF1744">
        <w:trPr>
          <w:trHeight w:val="194"/>
          <w:tblHeader/>
          <w:jc w:val="center"/>
        </w:trPr>
        <w:tc>
          <w:tcPr>
            <w:tcW w:w="1453" w:type="pct"/>
            <w:vAlign w:val="center"/>
          </w:tcPr>
          <w:p w14:paraId="663EA4CF"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0C457657"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5FD9929D"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38DA74EA"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2FC413B8"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1035441A"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66824D25"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2FD66B05" w14:textId="77777777" w:rsidR="00000803" w:rsidRPr="00A53AD7" w:rsidRDefault="00000803" w:rsidP="00BF1744">
            <w:pPr>
              <w:spacing w:after="0" w:line="240" w:lineRule="auto"/>
              <w:jc w:val="center"/>
              <w:rPr>
                <w:rFonts w:ascii="Times New Roman" w:hAnsi="Times New Roman"/>
                <w:sz w:val="16"/>
                <w:szCs w:val="16"/>
              </w:rPr>
            </w:pPr>
          </w:p>
        </w:tc>
        <w:tc>
          <w:tcPr>
            <w:tcW w:w="353" w:type="pct"/>
          </w:tcPr>
          <w:p w14:paraId="4FD46BD8" w14:textId="77777777" w:rsidR="00000803" w:rsidRPr="00A53AD7" w:rsidRDefault="00000803" w:rsidP="00BF1744">
            <w:pPr>
              <w:spacing w:after="0" w:line="240" w:lineRule="auto"/>
              <w:jc w:val="center"/>
              <w:rPr>
                <w:rFonts w:ascii="Times New Roman" w:hAnsi="Times New Roman"/>
                <w:sz w:val="16"/>
                <w:szCs w:val="16"/>
              </w:rPr>
            </w:pPr>
          </w:p>
        </w:tc>
      </w:tr>
      <w:tr w:rsidR="00D470B6" w:rsidRPr="00A53AD7" w14:paraId="201AEE87" w14:textId="77777777" w:rsidTr="00A43434">
        <w:trPr>
          <w:trHeight w:val="210"/>
          <w:jc w:val="center"/>
        </w:trPr>
        <w:tc>
          <w:tcPr>
            <w:tcW w:w="1453" w:type="pct"/>
            <w:shd w:val="clear" w:color="auto" w:fill="D9D9D9" w:themeFill="background1" w:themeFillShade="D9"/>
            <w:vAlign w:val="center"/>
          </w:tcPr>
          <w:p w14:paraId="050A957B" w14:textId="77777777" w:rsidR="00000803" w:rsidRPr="00A53AD7" w:rsidRDefault="00D470B6" w:rsidP="00BF1744">
            <w:pPr>
              <w:tabs>
                <w:tab w:val="left" w:pos="253"/>
              </w:tabs>
              <w:spacing w:after="0" w:line="240" w:lineRule="auto"/>
              <w:rPr>
                <w:rFonts w:ascii="Times New Roman" w:hAnsi="Times New Roman"/>
                <w:bCs/>
                <w:sz w:val="18"/>
                <w:szCs w:val="18"/>
              </w:rPr>
            </w:pPr>
            <w:hyperlink r:id="rId87" w:history="1">
              <w:r w:rsidR="00000803" w:rsidRPr="00A53AD7">
                <w:rPr>
                  <w:rFonts w:ascii="Times New Roman" w:hAnsi="Times New Roman"/>
                  <w:sz w:val="18"/>
                  <w:szCs w:val="18"/>
                </w:rPr>
                <w:t>Подпрограмма № 4</w:t>
              </w:r>
            </w:hyperlink>
            <w:r w:rsidR="00000803" w:rsidRPr="00A53AD7">
              <w:rPr>
                <w:rFonts w:ascii="Times New Roman" w:hAnsi="Times New Roman"/>
                <w:sz w:val="18"/>
                <w:szCs w:val="18"/>
              </w:rPr>
              <w:t xml:space="preserve"> "Улучшение эксплуатационного состояния автомобильных дорог общего пользования регионального значения за счет ремонта, капитального ремонта и содержания "</w:t>
            </w:r>
          </w:p>
        </w:tc>
        <w:tc>
          <w:tcPr>
            <w:tcW w:w="509" w:type="pct"/>
            <w:shd w:val="clear" w:color="auto" w:fill="D9D9D9" w:themeFill="background1" w:themeFillShade="D9"/>
          </w:tcPr>
          <w:p w14:paraId="72070D3B"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2555,9</w:t>
            </w:r>
          </w:p>
        </w:tc>
        <w:tc>
          <w:tcPr>
            <w:tcW w:w="509" w:type="pct"/>
            <w:shd w:val="clear" w:color="auto" w:fill="D9D9D9" w:themeFill="background1" w:themeFillShade="D9"/>
          </w:tcPr>
          <w:p w14:paraId="5DA51FEA"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2551,6</w:t>
            </w:r>
          </w:p>
        </w:tc>
        <w:tc>
          <w:tcPr>
            <w:tcW w:w="509" w:type="pct"/>
            <w:shd w:val="clear" w:color="auto" w:fill="D9D9D9" w:themeFill="background1" w:themeFillShade="D9"/>
          </w:tcPr>
          <w:p w14:paraId="6F5402C5"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3758,0</w:t>
            </w:r>
          </w:p>
        </w:tc>
        <w:tc>
          <w:tcPr>
            <w:tcW w:w="435" w:type="pct"/>
            <w:shd w:val="clear" w:color="auto" w:fill="D9D9D9" w:themeFill="background1" w:themeFillShade="D9"/>
          </w:tcPr>
          <w:p w14:paraId="3E33B39A"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3278,8</w:t>
            </w:r>
          </w:p>
        </w:tc>
        <w:tc>
          <w:tcPr>
            <w:tcW w:w="422" w:type="pct"/>
            <w:shd w:val="clear" w:color="auto" w:fill="D9D9D9" w:themeFill="background1" w:themeFillShade="D9"/>
          </w:tcPr>
          <w:p w14:paraId="5A0241C1"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3 146,4</w:t>
            </w:r>
          </w:p>
        </w:tc>
        <w:tc>
          <w:tcPr>
            <w:tcW w:w="449" w:type="pct"/>
            <w:shd w:val="clear" w:color="auto" w:fill="D9D9D9" w:themeFill="background1" w:themeFillShade="D9"/>
          </w:tcPr>
          <w:p w14:paraId="006F670D" w14:textId="77777777" w:rsidR="00000803" w:rsidRPr="00A53AD7" w:rsidRDefault="00000803" w:rsidP="00A43434">
            <w:pPr>
              <w:spacing w:after="0" w:line="240" w:lineRule="auto"/>
              <w:ind w:hanging="108"/>
              <w:jc w:val="right"/>
              <w:rPr>
                <w:rFonts w:ascii="Times New Roman" w:hAnsi="Times New Roman"/>
                <w:sz w:val="18"/>
                <w:szCs w:val="18"/>
              </w:rPr>
            </w:pPr>
            <w:r w:rsidRPr="00A53AD7">
              <w:rPr>
                <w:rFonts w:ascii="Times New Roman" w:hAnsi="Times New Roman"/>
                <w:sz w:val="18"/>
                <w:szCs w:val="18"/>
              </w:rPr>
              <w:t>3197,1</w:t>
            </w:r>
          </w:p>
        </w:tc>
        <w:tc>
          <w:tcPr>
            <w:tcW w:w="361" w:type="pct"/>
            <w:shd w:val="clear" w:color="auto" w:fill="D9D9D9" w:themeFill="background1" w:themeFillShade="D9"/>
          </w:tcPr>
          <w:p w14:paraId="0B00C98A" w14:textId="77777777" w:rsidR="00000803" w:rsidRPr="00A53AD7" w:rsidRDefault="00000803" w:rsidP="00A43434">
            <w:pPr>
              <w:spacing w:after="0" w:line="240" w:lineRule="auto"/>
              <w:ind w:hanging="108"/>
              <w:jc w:val="right"/>
              <w:rPr>
                <w:rFonts w:ascii="Times New Roman" w:hAnsi="Times New Roman"/>
                <w:sz w:val="18"/>
                <w:szCs w:val="18"/>
              </w:rPr>
            </w:pPr>
            <w:r w:rsidRPr="00A53AD7">
              <w:rPr>
                <w:rFonts w:ascii="Times New Roman" w:hAnsi="Times New Roman"/>
                <w:sz w:val="18"/>
                <w:szCs w:val="18"/>
              </w:rPr>
              <w:t>125,1</w:t>
            </w:r>
          </w:p>
        </w:tc>
        <w:tc>
          <w:tcPr>
            <w:tcW w:w="353" w:type="pct"/>
            <w:shd w:val="clear" w:color="auto" w:fill="D9D9D9" w:themeFill="background1" w:themeFillShade="D9"/>
          </w:tcPr>
          <w:p w14:paraId="1CD7DBE0" w14:textId="77777777" w:rsidR="00000803" w:rsidRPr="00A53AD7" w:rsidRDefault="00000803" w:rsidP="00A43434">
            <w:pPr>
              <w:spacing w:after="0" w:line="240" w:lineRule="auto"/>
              <w:ind w:hanging="108"/>
              <w:jc w:val="right"/>
              <w:rPr>
                <w:rFonts w:ascii="Times New Roman" w:hAnsi="Times New Roman"/>
                <w:sz w:val="18"/>
                <w:szCs w:val="18"/>
              </w:rPr>
            </w:pPr>
            <w:r w:rsidRPr="00A53AD7">
              <w:rPr>
                <w:rFonts w:ascii="Times New Roman" w:hAnsi="Times New Roman"/>
                <w:sz w:val="18"/>
                <w:szCs w:val="18"/>
              </w:rPr>
              <w:t>101,6</w:t>
            </w:r>
          </w:p>
        </w:tc>
      </w:tr>
      <w:tr w:rsidR="00D470B6" w:rsidRPr="00A53AD7" w14:paraId="2196C34F" w14:textId="77777777" w:rsidTr="00A43434">
        <w:trPr>
          <w:trHeight w:val="210"/>
          <w:jc w:val="center"/>
        </w:trPr>
        <w:tc>
          <w:tcPr>
            <w:tcW w:w="1453" w:type="pct"/>
            <w:vAlign w:val="center"/>
          </w:tcPr>
          <w:p w14:paraId="443D75D4"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04DE161E"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5703370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188,1</w:t>
            </w:r>
          </w:p>
        </w:tc>
        <w:tc>
          <w:tcPr>
            <w:tcW w:w="509" w:type="pct"/>
          </w:tcPr>
          <w:p w14:paraId="3163790A"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509,5</w:t>
            </w:r>
          </w:p>
        </w:tc>
        <w:tc>
          <w:tcPr>
            <w:tcW w:w="435" w:type="pct"/>
          </w:tcPr>
          <w:p w14:paraId="50273884"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189,2</w:t>
            </w:r>
          </w:p>
        </w:tc>
        <w:tc>
          <w:tcPr>
            <w:tcW w:w="422" w:type="pct"/>
          </w:tcPr>
          <w:p w14:paraId="0BB00F86"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7C504CE9"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2FA3808E"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2E878F72"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r>
      <w:tr w:rsidR="00D470B6" w:rsidRPr="00A53AD7" w14:paraId="6C0B32F5" w14:textId="77777777" w:rsidTr="00A43434">
        <w:trPr>
          <w:trHeight w:val="210"/>
          <w:jc w:val="center"/>
        </w:trPr>
        <w:tc>
          <w:tcPr>
            <w:tcW w:w="1453" w:type="pct"/>
            <w:vAlign w:val="center"/>
          </w:tcPr>
          <w:p w14:paraId="2FCF7EB3"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463C5A11"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2555,9</w:t>
            </w:r>
          </w:p>
        </w:tc>
        <w:tc>
          <w:tcPr>
            <w:tcW w:w="509" w:type="pct"/>
          </w:tcPr>
          <w:p w14:paraId="14580B21"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2363,5</w:t>
            </w:r>
          </w:p>
        </w:tc>
        <w:tc>
          <w:tcPr>
            <w:tcW w:w="509" w:type="pct"/>
          </w:tcPr>
          <w:p w14:paraId="10AFB95F"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3248,5</w:t>
            </w:r>
          </w:p>
        </w:tc>
        <w:tc>
          <w:tcPr>
            <w:tcW w:w="435" w:type="pct"/>
          </w:tcPr>
          <w:p w14:paraId="406736D2"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3089,6</w:t>
            </w:r>
          </w:p>
        </w:tc>
        <w:tc>
          <w:tcPr>
            <w:tcW w:w="422" w:type="pct"/>
          </w:tcPr>
          <w:p w14:paraId="52AEF0CD"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3 146,4</w:t>
            </w:r>
          </w:p>
        </w:tc>
        <w:tc>
          <w:tcPr>
            <w:tcW w:w="449" w:type="pct"/>
          </w:tcPr>
          <w:p w14:paraId="1C58D280" w14:textId="77777777" w:rsidR="00000803" w:rsidRPr="00A53AD7" w:rsidRDefault="00000803" w:rsidP="00A43434">
            <w:pPr>
              <w:spacing w:after="0" w:line="240" w:lineRule="auto"/>
              <w:ind w:hanging="108"/>
              <w:jc w:val="right"/>
              <w:rPr>
                <w:rFonts w:ascii="Times New Roman" w:hAnsi="Times New Roman"/>
                <w:sz w:val="16"/>
                <w:szCs w:val="16"/>
              </w:rPr>
            </w:pPr>
            <w:r w:rsidRPr="00A53AD7">
              <w:rPr>
                <w:rFonts w:ascii="Times New Roman" w:hAnsi="Times New Roman"/>
                <w:sz w:val="16"/>
                <w:szCs w:val="16"/>
              </w:rPr>
              <w:t>3197,1</w:t>
            </w:r>
          </w:p>
        </w:tc>
        <w:tc>
          <w:tcPr>
            <w:tcW w:w="361" w:type="pct"/>
          </w:tcPr>
          <w:p w14:paraId="16902CCE" w14:textId="77777777" w:rsidR="00000803" w:rsidRPr="00A53AD7" w:rsidRDefault="00000803" w:rsidP="00A43434">
            <w:pPr>
              <w:spacing w:after="0" w:line="240" w:lineRule="auto"/>
              <w:ind w:hanging="108"/>
              <w:jc w:val="right"/>
              <w:rPr>
                <w:rFonts w:ascii="Times New Roman" w:hAnsi="Times New Roman"/>
                <w:sz w:val="16"/>
                <w:szCs w:val="16"/>
              </w:rPr>
            </w:pPr>
            <w:r w:rsidRPr="00A53AD7">
              <w:rPr>
                <w:rFonts w:ascii="Times New Roman" w:hAnsi="Times New Roman"/>
                <w:sz w:val="16"/>
                <w:szCs w:val="16"/>
              </w:rPr>
              <w:t>125,1</w:t>
            </w:r>
          </w:p>
        </w:tc>
        <w:tc>
          <w:tcPr>
            <w:tcW w:w="353" w:type="pct"/>
          </w:tcPr>
          <w:p w14:paraId="34138612" w14:textId="77777777" w:rsidR="00000803" w:rsidRPr="00A53AD7" w:rsidRDefault="00000803" w:rsidP="00A43434">
            <w:pPr>
              <w:spacing w:after="0" w:line="240" w:lineRule="auto"/>
              <w:ind w:hanging="108"/>
              <w:jc w:val="right"/>
              <w:rPr>
                <w:rFonts w:ascii="Times New Roman" w:hAnsi="Times New Roman"/>
                <w:sz w:val="16"/>
                <w:szCs w:val="16"/>
              </w:rPr>
            </w:pPr>
            <w:r w:rsidRPr="00A53AD7">
              <w:rPr>
                <w:rFonts w:ascii="Times New Roman" w:hAnsi="Times New Roman"/>
                <w:sz w:val="16"/>
                <w:szCs w:val="16"/>
              </w:rPr>
              <w:t>101,6</w:t>
            </w:r>
          </w:p>
        </w:tc>
      </w:tr>
      <w:tr w:rsidR="00000803" w:rsidRPr="00A53AD7" w14:paraId="490E1A17" w14:textId="77777777" w:rsidTr="00A43434">
        <w:trPr>
          <w:trHeight w:val="156"/>
          <w:jc w:val="center"/>
        </w:trPr>
        <w:tc>
          <w:tcPr>
            <w:tcW w:w="1453" w:type="pct"/>
            <w:vAlign w:val="center"/>
          </w:tcPr>
          <w:p w14:paraId="04AED9B8"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42E30CEF"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1B74034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4CAF1F40"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35" w:type="pct"/>
          </w:tcPr>
          <w:p w14:paraId="754EAD45"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22" w:type="pct"/>
          </w:tcPr>
          <w:p w14:paraId="665A13C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28B649F5"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74401577"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598471C9"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r>
    </w:tbl>
    <w:p w14:paraId="13F961D0" w14:textId="77777777" w:rsidR="00BF1744" w:rsidRPr="00A53AD7" w:rsidRDefault="00BF1744" w:rsidP="00BF1744">
      <w:pPr>
        <w:pStyle w:val="ConsPlusNormal"/>
        <w:ind w:firstLine="851"/>
        <w:jc w:val="both"/>
        <w:rPr>
          <w:rFonts w:ascii="Times New Roman" w:hAnsi="Times New Roman" w:cs="Times New Roman"/>
          <w:sz w:val="28"/>
          <w:szCs w:val="28"/>
        </w:rPr>
      </w:pPr>
    </w:p>
    <w:p w14:paraId="3D0BB7AD" w14:textId="1075DB2F"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«Сведений о достижении целевых показателей ГП» исполнение из четырех целевых показателей подпрограммы № 4 по двум целевым показателям исполнение составило 100% и выше, по одному целевому показателю исполнение составило 86,5% к плану, по целевому показателю «28. Доля дорожно-транспортных происшествий, совершению которых сопутствовало наличие неудовлетворительных дорожных условий, в общем количестве дорожно-транспортных происшествий на региональных автомобильных дорогах» исполнение составило 13</w:t>
      </w:r>
      <w:r w:rsidR="00BF1744" w:rsidRPr="00A53AD7">
        <w:rPr>
          <w:rFonts w:ascii="Times New Roman" w:hAnsi="Times New Roman" w:cs="Times New Roman"/>
          <w:sz w:val="28"/>
          <w:szCs w:val="28"/>
        </w:rPr>
        <w:t>,6% при плане 7,5% (или 181,4%)</w:t>
      </w:r>
      <w:r w:rsidRPr="00A53AD7">
        <w:rPr>
          <w:rFonts w:ascii="Times New Roman" w:hAnsi="Times New Roman" w:cs="Times New Roman"/>
          <w:sz w:val="28"/>
          <w:szCs w:val="28"/>
        </w:rPr>
        <w:t>.</w:t>
      </w:r>
    </w:p>
    <w:p w14:paraId="05924117" w14:textId="21BABD35"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рамках подпрограммы осуществлены кассовые расходы на сумму</w:t>
      </w:r>
      <w:r w:rsidR="007364DB" w:rsidRPr="00A53AD7">
        <w:rPr>
          <w:rFonts w:ascii="Times New Roman" w:hAnsi="Times New Roman" w:cs="Times New Roman"/>
          <w:sz w:val="28"/>
          <w:szCs w:val="28"/>
        </w:rPr>
        <w:t xml:space="preserve"> </w:t>
      </w:r>
      <w:r w:rsidR="00BF1744" w:rsidRPr="00A53AD7">
        <w:rPr>
          <w:rFonts w:ascii="Times New Roman" w:hAnsi="Times New Roman" w:cs="Times New Roman"/>
          <w:sz w:val="28"/>
          <w:szCs w:val="28"/>
        </w:rPr>
        <w:t>3 197,1 млн.</w:t>
      </w:r>
      <w:r w:rsidRPr="00A53AD7">
        <w:rPr>
          <w:rFonts w:ascii="Times New Roman" w:hAnsi="Times New Roman" w:cs="Times New Roman"/>
          <w:sz w:val="28"/>
          <w:szCs w:val="28"/>
        </w:rPr>
        <w:t>руб. или 99,5% к плану на год.</w:t>
      </w:r>
    </w:p>
    <w:p w14:paraId="56D7CFA5" w14:textId="6ECB942D"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Из тринадцати мероприятий подпрограммы в отчетном периоде кассовые расходы осуществлены по всем мероприятиям, в том числе: по 10 мероприятиям исполнение 93,5% и выше, по 1 мероприятию исполнением 82,3%, по 1 мероприятию исполнение 77,3% (1.10 Разработка и реализация проектной документации на капитальный ремонт и ремонт участков региональных автомобильных дорог, не включенных в маршруты), по 1 мероприятию исполнение 78,0% (3.5.</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Устройство автобусных остановок в рамках обеспечения безопасности движения по регио</w:t>
      </w:r>
      <w:r w:rsidR="00BF1744" w:rsidRPr="00A53AD7">
        <w:rPr>
          <w:rFonts w:ascii="Times New Roman" w:hAnsi="Times New Roman" w:cs="Times New Roman"/>
          <w:sz w:val="28"/>
          <w:szCs w:val="28"/>
        </w:rPr>
        <w:t>нальным автомобильным дорогам).</w:t>
      </w:r>
    </w:p>
    <w:p w14:paraId="3045C0F0"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«3.5 Устройство автобусных остановок в рамках обеспечения безопасности движения по региональным автомобильным дорогам» показатель реализации мероприятия при плане на год 2 единицы устроенных автобусных остановок не выполнен (исполнение 0 единиц).</w:t>
      </w:r>
    </w:p>
    <w:p w14:paraId="7F078269" w14:textId="69AA1F28"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КСП АО отмечал</w:t>
      </w:r>
      <w:r w:rsidR="00B35D0C" w:rsidRPr="00A53AD7">
        <w:rPr>
          <w:rFonts w:ascii="Times New Roman" w:hAnsi="Times New Roman" w:cs="Times New Roman"/>
          <w:sz w:val="28"/>
          <w:szCs w:val="28"/>
        </w:rPr>
        <w:t>а</w:t>
      </w:r>
      <w:r w:rsidRPr="00A53AD7">
        <w:rPr>
          <w:rFonts w:ascii="Times New Roman" w:hAnsi="Times New Roman" w:cs="Times New Roman"/>
          <w:sz w:val="28"/>
          <w:szCs w:val="28"/>
        </w:rPr>
        <w:t xml:space="preserve"> в </w:t>
      </w:r>
      <w:r w:rsidR="00BF1744" w:rsidRPr="00A53AD7">
        <w:rPr>
          <w:rFonts w:ascii="Times New Roman" w:hAnsi="Times New Roman" w:cs="Times New Roman"/>
          <w:sz w:val="28"/>
          <w:szCs w:val="28"/>
        </w:rPr>
        <w:t>заключении</w:t>
      </w:r>
      <w:r w:rsidRPr="00A53AD7">
        <w:rPr>
          <w:rFonts w:ascii="Times New Roman" w:hAnsi="Times New Roman" w:cs="Times New Roman"/>
          <w:sz w:val="28"/>
          <w:szCs w:val="28"/>
        </w:rPr>
        <w:t xml:space="preserve"> по результатам экспертно-аналитического мероприятия «Экспертиза и анализ исполнения областного и консолидированного бюджетов Архангельской области за девять месяцев 2019 года» от 05 декабря 2019 г. о рисках невыполнения м</w:t>
      </w:r>
      <w:r w:rsidR="00BF1744" w:rsidRPr="00A53AD7">
        <w:rPr>
          <w:rFonts w:ascii="Times New Roman" w:hAnsi="Times New Roman" w:cs="Times New Roman"/>
          <w:sz w:val="28"/>
          <w:szCs w:val="28"/>
        </w:rPr>
        <w:t>ероприятия в установленный срок.</w:t>
      </w:r>
    </w:p>
    <w:p w14:paraId="5E23046F" w14:textId="77777777" w:rsidR="00000803" w:rsidRPr="00A53AD7" w:rsidRDefault="00000803" w:rsidP="00BF1744">
      <w:pPr>
        <w:pStyle w:val="ConsPlusNormal"/>
        <w:ind w:firstLine="851"/>
        <w:jc w:val="both"/>
        <w:rPr>
          <w:rFonts w:ascii="Times New Roman" w:hAnsi="Times New Roman" w:cs="Times New Roman"/>
          <w:sz w:val="28"/>
          <w:szCs w:val="28"/>
        </w:rPr>
      </w:pPr>
    </w:p>
    <w:p w14:paraId="006DEDC5"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Подпрограмма № 5 «Создание условий для реализации государственной программы и осуществления иных расходов»</w:t>
      </w:r>
    </w:p>
    <w:p w14:paraId="0EFDE35B" w14:textId="1B06AEBE"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финансир</w:t>
      </w:r>
      <w:r w:rsidR="00BF1744" w:rsidRPr="00A53AD7">
        <w:rPr>
          <w:rFonts w:ascii="Times New Roman" w:hAnsi="Times New Roman" w:cs="Times New Roman"/>
          <w:sz w:val="28"/>
          <w:szCs w:val="28"/>
        </w:rPr>
        <w:t>ования представлены 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184F3B63" w14:textId="77777777" w:rsidTr="00B35D0C">
        <w:trPr>
          <w:trHeight w:val="587"/>
          <w:tblHeader/>
          <w:jc w:val="center"/>
        </w:trPr>
        <w:tc>
          <w:tcPr>
            <w:tcW w:w="1453" w:type="pct"/>
            <w:vAlign w:val="center"/>
          </w:tcPr>
          <w:p w14:paraId="3D07C16F" w14:textId="713EB1BA"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787E4522"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6DB09178"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38C20768"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331CB277"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6EF74390"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1EE7DE54"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40490F76"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4DE2FEA1" w14:textId="77777777"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3523C717" w14:textId="77777777" w:rsidTr="00BF1744">
        <w:trPr>
          <w:trHeight w:val="194"/>
          <w:tblHeader/>
          <w:jc w:val="center"/>
        </w:trPr>
        <w:tc>
          <w:tcPr>
            <w:tcW w:w="1453" w:type="pct"/>
            <w:vAlign w:val="center"/>
          </w:tcPr>
          <w:p w14:paraId="32A5F0B9"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2310C60C"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558A6FDB"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3AF218EC"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74B2F2F1"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101F0642"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113FCB73" w14:textId="77777777" w:rsidR="00000803" w:rsidRPr="00A53AD7" w:rsidRDefault="00000803" w:rsidP="00BF1744">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576CBA77" w14:textId="77777777" w:rsidR="00000803" w:rsidRPr="00A53AD7" w:rsidRDefault="00000803" w:rsidP="00BF1744">
            <w:pPr>
              <w:spacing w:after="0" w:line="240" w:lineRule="auto"/>
              <w:jc w:val="center"/>
              <w:rPr>
                <w:rFonts w:ascii="Times New Roman" w:hAnsi="Times New Roman"/>
                <w:sz w:val="16"/>
                <w:szCs w:val="16"/>
              </w:rPr>
            </w:pPr>
          </w:p>
        </w:tc>
        <w:tc>
          <w:tcPr>
            <w:tcW w:w="353" w:type="pct"/>
          </w:tcPr>
          <w:p w14:paraId="013A5036" w14:textId="77777777" w:rsidR="00000803" w:rsidRPr="00A53AD7" w:rsidRDefault="00000803" w:rsidP="00BF1744">
            <w:pPr>
              <w:spacing w:after="0" w:line="240" w:lineRule="auto"/>
              <w:jc w:val="center"/>
              <w:rPr>
                <w:rFonts w:ascii="Times New Roman" w:hAnsi="Times New Roman"/>
                <w:sz w:val="16"/>
                <w:szCs w:val="16"/>
              </w:rPr>
            </w:pPr>
          </w:p>
        </w:tc>
      </w:tr>
      <w:tr w:rsidR="00D470B6" w:rsidRPr="00A53AD7" w14:paraId="584D7BB8" w14:textId="77777777" w:rsidTr="00BF1744">
        <w:trPr>
          <w:trHeight w:val="210"/>
          <w:jc w:val="center"/>
        </w:trPr>
        <w:tc>
          <w:tcPr>
            <w:tcW w:w="1453" w:type="pct"/>
            <w:shd w:val="clear" w:color="auto" w:fill="D9D9D9" w:themeFill="background1" w:themeFillShade="D9"/>
            <w:vAlign w:val="center"/>
          </w:tcPr>
          <w:p w14:paraId="38997BEC" w14:textId="77777777" w:rsidR="00000803" w:rsidRPr="00A53AD7" w:rsidRDefault="00D470B6" w:rsidP="00BF1744">
            <w:pPr>
              <w:tabs>
                <w:tab w:val="left" w:pos="253"/>
              </w:tabs>
              <w:spacing w:after="0" w:line="240" w:lineRule="auto"/>
              <w:rPr>
                <w:rFonts w:ascii="Times New Roman" w:hAnsi="Times New Roman"/>
                <w:bCs/>
                <w:sz w:val="18"/>
                <w:szCs w:val="18"/>
              </w:rPr>
            </w:pPr>
            <w:hyperlink r:id="rId88" w:history="1">
              <w:r w:rsidR="00000803" w:rsidRPr="00A53AD7">
                <w:rPr>
                  <w:rFonts w:ascii="Times New Roman" w:hAnsi="Times New Roman"/>
                  <w:sz w:val="18"/>
                  <w:szCs w:val="18"/>
                </w:rPr>
                <w:t>Подпрограмма № 5</w:t>
              </w:r>
            </w:hyperlink>
            <w:r w:rsidR="00000803" w:rsidRPr="00A53AD7">
              <w:rPr>
                <w:rFonts w:ascii="Times New Roman" w:hAnsi="Times New Roman"/>
                <w:sz w:val="18"/>
                <w:szCs w:val="18"/>
              </w:rPr>
              <w:t xml:space="preserve"> " Создание условий для реализации государственной программы и осуществления иных расходов "</w:t>
            </w:r>
          </w:p>
        </w:tc>
        <w:tc>
          <w:tcPr>
            <w:tcW w:w="509" w:type="pct"/>
            <w:shd w:val="clear" w:color="auto" w:fill="D9D9D9" w:themeFill="background1" w:themeFillShade="D9"/>
          </w:tcPr>
          <w:p w14:paraId="673A8462"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675,3</w:t>
            </w:r>
          </w:p>
        </w:tc>
        <w:tc>
          <w:tcPr>
            <w:tcW w:w="509" w:type="pct"/>
            <w:shd w:val="clear" w:color="auto" w:fill="D9D9D9" w:themeFill="background1" w:themeFillShade="D9"/>
          </w:tcPr>
          <w:p w14:paraId="1CDC1C15"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628,5</w:t>
            </w:r>
          </w:p>
        </w:tc>
        <w:tc>
          <w:tcPr>
            <w:tcW w:w="509" w:type="pct"/>
            <w:shd w:val="clear" w:color="auto" w:fill="D9D9D9" w:themeFill="background1" w:themeFillShade="D9"/>
          </w:tcPr>
          <w:p w14:paraId="39798715"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615,3</w:t>
            </w:r>
          </w:p>
        </w:tc>
        <w:tc>
          <w:tcPr>
            <w:tcW w:w="435" w:type="pct"/>
            <w:shd w:val="clear" w:color="auto" w:fill="D9D9D9" w:themeFill="background1" w:themeFillShade="D9"/>
          </w:tcPr>
          <w:p w14:paraId="78A063C6"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634,6</w:t>
            </w:r>
          </w:p>
        </w:tc>
        <w:tc>
          <w:tcPr>
            <w:tcW w:w="422" w:type="pct"/>
            <w:shd w:val="clear" w:color="auto" w:fill="D9D9D9" w:themeFill="background1" w:themeFillShade="D9"/>
            <w:vAlign w:val="center"/>
          </w:tcPr>
          <w:p w14:paraId="6B05F3C0" w14:textId="77777777" w:rsidR="00000803" w:rsidRPr="00A53AD7" w:rsidRDefault="00000803" w:rsidP="00A43434">
            <w:pPr>
              <w:spacing w:after="0" w:line="240" w:lineRule="auto"/>
              <w:jc w:val="right"/>
              <w:rPr>
                <w:rFonts w:ascii="Times New Roman" w:hAnsi="Times New Roman"/>
                <w:sz w:val="18"/>
                <w:szCs w:val="18"/>
              </w:rPr>
            </w:pPr>
            <w:r w:rsidRPr="00A53AD7">
              <w:rPr>
                <w:rFonts w:ascii="Times New Roman" w:hAnsi="Times New Roman"/>
                <w:sz w:val="18"/>
                <w:szCs w:val="18"/>
              </w:rPr>
              <w:t>682,1</w:t>
            </w:r>
          </w:p>
        </w:tc>
        <w:tc>
          <w:tcPr>
            <w:tcW w:w="449" w:type="pct"/>
            <w:shd w:val="clear" w:color="auto" w:fill="D9D9D9" w:themeFill="background1" w:themeFillShade="D9"/>
          </w:tcPr>
          <w:p w14:paraId="75726FCF" w14:textId="77777777" w:rsidR="00000803" w:rsidRPr="00A53AD7" w:rsidRDefault="00000803" w:rsidP="00A43434">
            <w:pPr>
              <w:widowControl w:val="0"/>
              <w:autoSpaceDE w:val="0"/>
              <w:autoSpaceDN w:val="0"/>
              <w:spacing w:after="0" w:line="240" w:lineRule="auto"/>
              <w:jc w:val="right"/>
              <w:rPr>
                <w:rFonts w:ascii="Times New Roman" w:hAnsi="Times New Roman"/>
                <w:sz w:val="18"/>
                <w:szCs w:val="18"/>
              </w:rPr>
            </w:pPr>
            <w:r w:rsidRPr="00A53AD7">
              <w:rPr>
                <w:rFonts w:ascii="Times New Roman" w:hAnsi="Times New Roman"/>
                <w:sz w:val="18"/>
                <w:szCs w:val="18"/>
              </w:rPr>
              <w:t>654,4</w:t>
            </w:r>
          </w:p>
        </w:tc>
        <w:tc>
          <w:tcPr>
            <w:tcW w:w="361" w:type="pct"/>
            <w:shd w:val="clear" w:color="auto" w:fill="D9D9D9" w:themeFill="background1" w:themeFillShade="D9"/>
          </w:tcPr>
          <w:p w14:paraId="5144051D" w14:textId="77777777" w:rsidR="00000803" w:rsidRPr="00A53AD7" w:rsidRDefault="00000803" w:rsidP="00A43434">
            <w:pPr>
              <w:widowControl w:val="0"/>
              <w:autoSpaceDE w:val="0"/>
              <w:autoSpaceDN w:val="0"/>
              <w:spacing w:after="0" w:line="240" w:lineRule="auto"/>
              <w:jc w:val="right"/>
              <w:rPr>
                <w:rFonts w:ascii="Times New Roman" w:hAnsi="Times New Roman"/>
                <w:sz w:val="18"/>
                <w:szCs w:val="18"/>
              </w:rPr>
            </w:pPr>
            <w:r w:rsidRPr="00A53AD7">
              <w:rPr>
                <w:rFonts w:ascii="Times New Roman" w:hAnsi="Times New Roman"/>
                <w:sz w:val="18"/>
                <w:szCs w:val="18"/>
              </w:rPr>
              <w:t>96,9</w:t>
            </w:r>
          </w:p>
        </w:tc>
        <w:tc>
          <w:tcPr>
            <w:tcW w:w="353" w:type="pct"/>
            <w:shd w:val="clear" w:color="auto" w:fill="D9D9D9" w:themeFill="background1" w:themeFillShade="D9"/>
          </w:tcPr>
          <w:p w14:paraId="379B3503" w14:textId="77777777" w:rsidR="00000803" w:rsidRPr="00A53AD7" w:rsidRDefault="00000803" w:rsidP="00A43434">
            <w:pPr>
              <w:widowControl w:val="0"/>
              <w:autoSpaceDE w:val="0"/>
              <w:autoSpaceDN w:val="0"/>
              <w:spacing w:after="0" w:line="240" w:lineRule="auto"/>
              <w:jc w:val="right"/>
              <w:rPr>
                <w:rFonts w:ascii="Times New Roman" w:hAnsi="Times New Roman"/>
                <w:sz w:val="18"/>
                <w:szCs w:val="18"/>
              </w:rPr>
            </w:pPr>
            <w:r w:rsidRPr="00A53AD7">
              <w:rPr>
                <w:rFonts w:ascii="Times New Roman" w:hAnsi="Times New Roman"/>
                <w:sz w:val="18"/>
                <w:szCs w:val="18"/>
              </w:rPr>
              <w:t>95,9</w:t>
            </w:r>
          </w:p>
        </w:tc>
      </w:tr>
      <w:tr w:rsidR="00D470B6" w:rsidRPr="00A53AD7" w14:paraId="63BDEF09" w14:textId="77777777" w:rsidTr="00BF1744">
        <w:trPr>
          <w:trHeight w:val="210"/>
          <w:jc w:val="center"/>
        </w:trPr>
        <w:tc>
          <w:tcPr>
            <w:tcW w:w="1453" w:type="pct"/>
            <w:vAlign w:val="center"/>
          </w:tcPr>
          <w:p w14:paraId="2F90348F"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tcPr>
          <w:p w14:paraId="4A3D2F4F"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284CCFFA"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20,9</w:t>
            </w:r>
          </w:p>
        </w:tc>
        <w:tc>
          <w:tcPr>
            <w:tcW w:w="509" w:type="pct"/>
          </w:tcPr>
          <w:p w14:paraId="25D38157"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35" w:type="pct"/>
          </w:tcPr>
          <w:p w14:paraId="3E15A013"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5EAADEF4"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5C381F9D"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7021B63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5858DA5C"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r>
      <w:tr w:rsidR="00D470B6" w:rsidRPr="00A53AD7" w14:paraId="711C3955" w14:textId="77777777" w:rsidTr="00BF1744">
        <w:trPr>
          <w:trHeight w:val="210"/>
          <w:jc w:val="center"/>
        </w:trPr>
        <w:tc>
          <w:tcPr>
            <w:tcW w:w="1453" w:type="pct"/>
            <w:vAlign w:val="center"/>
          </w:tcPr>
          <w:p w14:paraId="08881087"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tcPr>
          <w:p w14:paraId="66EEBFDE"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675,3</w:t>
            </w:r>
          </w:p>
        </w:tc>
        <w:tc>
          <w:tcPr>
            <w:tcW w:w="509" w:type="pct"/>
          </w:tcPr>
          <w:p w14:paraId="704383A8"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607,6</w:t>
            </w:r>
          </w:p>
        </w:tc>
        <w:tc>
          <w:tcPr>
            <w:tcW w:w="509" w:type="pct"/>
          </w:tcPr>
          <w:p w14:paraId="691EC654"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615,3</w:t>
            </w:r>
          </w:p>
        </w:tc>
        <w:tc>
          <w:tcPr>
            <w:tcW w:w="435" w:type="pct"/>
          </w:tcPr>
          <w:p w14:paraId="5CAB7FEC"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634,6</w:t>
            </w:r>
          </w:p>
        </w:tc>
        <w:tc>
          <w:tcPr>
            <w:tcW w:w="422" w:type="pct"/>
            <w:vAlign w:val="center"/>
          </w:tcPr>
          <w:p w14:paraId="3A5760C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682,1</w:t>
            </w:r>
          </w:p>
        </w:tc>
        <w:tc>
          <w:tcPr>
            <w:tcW w:w="449" w:type="pct"/>
          </w:tcPr>
          <w:p w14:paraId="45292057" w14:textId="77777777" w:rsidR="00000803" w:rsidRPr="00A53AD7" w:rsidRDefault="00000803" w:rsidP="00A43434">
            <w:pPr>
              <w:widowControl w:val="0"/>
              <w:autoSpaceDE w:val="0"/>
              <w:autoSpaceDN w:val="0"/>
              <w:spacing w:after="0" w:line="240" w:lineRule="auto"/>
              <w:jc w:val="right"/>
              <w:rPr>
                <w:rFonts w:ascii="Times New Roman" w:hAnsi="Times New Roman"/>
                <w:sz w:val="16"/>
                <w:szCs w:val="16"/>
              </w:rPr>
            </w:pPr>
            <w:r w:rsidRPr="00A53AD7">
              <w:rPr>
                <w:rFonts w:ascii="Times New Roman" w:hAnsi="Times New Roman"/>
                <w:sz w:val="16"/>
                <w:szCs w:val="16"/>
              </w:rPr>
              <w:t>654,4</w:t>
            </w:r>
          </w:p>
        </w:tc>
        <w:tc>
          <w:tcPr>
            <w:tcW w:w="361" w:type="pct"/>
          </w:tcPr>
          <w:p w14:paraId="55CA8637" w14:textId="77777777" w:rsidR="00000803" w:rsidRPr="00A53AD7" w:rsidRDefault="00000803" w:rsidP="00A43434">
            <w:pPr>
              <w:widowControl w:val="0"/>
              <w:autoSpaceDE w:val="0"/>
              <w:autoSpaceDN w:val="0"/>
              <w:spacing w:after="0" w:line="240" w:lineRule="auto"/>
              <w:jc w:val="right"/>
              <w:rPr>
                <w:rFonts w:ascii="Times New Roman" w:hAnsi="Times New Roman"/>
                <w:sz w:val="16"/>
                <w:szCs w:val="16"/>
              </w:rPr>
            </w:pPr>
            <w:r w:rsidRPr="00A53AD7">
              <w:rPr>
                <w:rFonts w:ascii="Times New Roman" w:hAnsi="Times New Roman"/>
                <w:sz w:val="16"/>
                <w:szCs w:val="16"/>
              </w:rPr>
              <w:t>96,9</w:t>
            </w:r>
          </w:p>
        </w:tc>
        <w:tc>
          <w:tcPr>
            <w:tcW w:w="353" w:type="pct"/>
          </w:tcPr>
          <w:p w14:paraId="558BD94D" w14:textId="77777777" w:rsidR="00000803" w:rsidRPr="00A53AD7" w:rsidRDefault="00000803" w:rsidP="00A43434">
            <w:pPr>
              <w:widowControl w:val="0"/>
              <w:autoSpaceDE w:val="0"/>
              <w:autoSpaceDN w:val="0"/>
              <w:spacing w:after="0" w:line="240" w:lineRule="auto"/>
              <w:jc w:val="right"/>
              <w:rPr>
                <w:rFonts w:ascii="Times New Roman" w:hAnsi="Times New Roman"/>
                <w:sz w:val="16"/>
                <w:szCs w:val="16"/>
              </w:rPr>
            </w:pPr>
            <w:r w:rsidRPr="00A53AD7">
              <w:rPr>
                <w:rFonts w:ascii="Times New Roman" w:hAnsi="Times New Roman"/>
                <w:sz w:val="16"/>
                <w:szCs w:val="16"/>
              </w:rPr>
              <w:t>95,9</w:t>
            </w:r>
          </w:p>
        </w:tc>
      </w:tr>
      <w:tr w:rsidR="00000803" w:rsidRPr="00A53AD7" w14:paraId="2EAA0BBB" w14:textId="77777777" w:rsidTr="00BF1744">
        <w:trPr>
          <w:trHeight w:val="210"/>
          <w:jc w:val="center"/>
        </w:trPr>
        <w:tc>
          <w:tcPr>
            <w:tcW w:w="1453" w:type="pct"/>
            <w:vAlign w:val="center"/>
          </w:tcPr>
          <w:p w14:paraId="62D07454" w14:textId="77777777" w:rsidR="00000803" w:rsidRPr="00A53AD7" w:rsidRDefault="00000803" w:rsidP="00BF1744">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tcPr>
          <w:p w14:paraId="720B9D7E"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42A5E8F4"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509" w:type="pct"/>
          </w:tcPr>
          <w:p w14:paraId="71E6ADFB"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35" w:type="pct"/>
          </w:tcPr>
          <w:p w14:paraId="39AD721E"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4DFFAD28"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449" w:type="pct"/>
          </w:tcPr>
          <w:p w14:paraId="64A2C393"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0,0</w:t>
            </w:r>
          </w:p>
        </w:tc>
        <w:tc>
          <w:tcPr>
            <w:tcW w:w="361" w:type="pct"/>
          </w:tcPr>
          <w:p w14:paraId="5335DBC2"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c>
          <w:tcPr>
            <w:tcW w:w="353" w:type="pct"/>
          </w:tcPr>
          <w:p w14:paraId="543C76E5" w14:textId="77777777" w:rsidR="00000803" w:rsidRPr="00A53AD7" w:rsidRDefault="00000803" w:rsidP="00A43434">
            <w:pPr>
              <w:spacing w:after="0" w:line="240" w:lineRule="auto"/>
              <w:jc w:val="right"/>
              <w:rPr>
                <w:rFonts w:ascii="Times New Roman" w:hAnsi="Times New Roman"/>
                <w:sz w:val="16"/>
                <w:szCs w:val="16"/>
              </w:rPr>
            </w:pPr>
            <w:r w:rsidRPr="00A53AD7">
              <w:rPr>
                <w:rFonts w:ascii="Times New Roman" w:hAnsi="Times New Roman"/>
                <w:sz w:val="16"/>
                <w:szCs w:val="16"/>
              </w:rPr>
              <w:t>0</w:t>
            </w:r>
          </w:p>
        </w:tc>
      </w:tr>
    </w:tbl>
    <w:p w14:paraId="4C90C4EC" w14:textId="77777777" w:rsidR="00000803" w:rsidRPr="00A53AD7" w:rsidRDefault="00000803" w:rsidP="00BF1744">
      <w:pPr>
        <w:pStyle w:val="ConsPlusNormal"/>
        <w:ind w:firstLine="851"/>
        <w:jc w:val="both"/>
        <w:rPr>
          <w:rFonts w:ascii="Times New Roman" w:hAnsi="Times New Roman" w:cs="Times New Roman"/>
          <w:sz w:val="28"/>
          <w:szCs w:val="28"/>
        </w:rPr>
      </w:pPr>
    </w:p>
    <w:p w14:paraId="68DF7037"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«Сведений о достижении целевых показателей ГП» исполнение из 9 целевых показателей подпрограммы № 5 по семи целевым показателям исполнение составило 99% и выше. Целевой показатель «36. Доля самоходных машин и прицепов, прошедших государственный технический осмотр, в общем количестве зарегистрированных самоходных машин и прицепов» при плане 31% исполнен на 23% или выполнение 74,2%.</w:t>
      </w:r>
    </w:p>
    <w:p w14:paraId="5EE0F00E" w14:textId="5C6B4BDA"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Не выполнен целевой показатель «33. Доля инновационных разработок, рекомендованных к внедрению, в общем количестве государственных контрактов, заключенных на разработку (адаптацию) инновационных решений в дорожном хозяйстве Архангельской области» при плане 90% исполнение составило 0% с пояснение причины неисполнения - с 2019 года реализация мероприятия «2.2 Научно-исследовательские и опытно-конструкто</w:t>
      </w:r>
      <w:r w:rsidR="00BF1744" w:rsidRPr="00A53AD7">
        <w:rPr>
          <w:rFonts w:ascii="Times New Roman" w:hAnsi="Times New Roman" w:cs="Times New Roman"/>
          <w:sz w:val="28"/>
          <w:szCs w:val="28"/>
        </w:rPr>
        <w:t>рские работы» не предусмотрена.</w:t>
      </w:r>
    </w:p>
    <w:p w14:paraId="76662F83"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КСП АО отмечает, что указанный целевой показатель начиная с 2019 года по 2024 год утвержден государственной программой в значении 90% ежегодно при отсутствии финансирования по мероприятию «2.2 Научно-исследовательские и опытно-конструкторские работы».</w:t>
      </w:r>
    </w:p>
    <w:p w14:paraId="49399A0B" w14:textId="7777777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За отчетный период в рамках подпрограммы осуществлялась реализация шести мероприятий.</w:t>
      </w:r>
    </w:p>
    <w:p w14:paraId="41D76FBD" w14:textId="38BFD4C6"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Мероприятие «2.1. Субсидии бюджетным учреждениям на финансовое обеспечение (ответственный исполнитель – министерство транспорта Архангельской области) в сум</w:t>
      </w:r>
      <w:r w:rsidR="00EE5979" w:rsidRPr="00A53AD7">
        <w:rPr>
          <w:rFonts w:ascii="Times New Roman" w:hAnsi="Times New Roman" w:cs="Times New Roman"/>
          <w:sz w:val="28"/>
          <w:szCs w:val="28"/>
        </w:rPr>
        <w:t>ме 60,588 млн.</w:t>
      </w:r>
      <w:r w:rsidRPr="00A53AD7">
        <w:rPr>
          <w:rFonts w:ascii="Times New Roman" w:hAnsi="Times New Roman" w:cs="Times New Roman"/>
          <w:sz w:val="28"/>
          <w:szCs w:val="28"/>
        </w:rPr>
        <w:t>руб. (полученных ГБУ АО «РТС» в качестве субсидии на выполнение гос</w:t>
      </w:r>
      <w:r w:rsidR="00EE5979" w:rsidRPr="00A53AD7">
        <w:rPr>
          <w:rFonts w:ascii="Times New Roman" w:hAnsi="Times New Roman" w:cs="Times New Roman"/>
          <w:sz w:val="28"/>
          <w:szCs w:val="28"/>
        </w:rPr>
        <w:t>ударственного задания 60,2 млн.</w:t>
      </w:r>
      <w:r w:rsidRPr="00A53AD7">
        <w:rPr>
          <w:rFonts w:ascii="Times New Roman" w:hAnsi="Times New Roman" w:cs="Times New Roman"/>
          <w:sz w:val="28"/>
          <w:szCs w:val="28"/>
        </w:rPr>
        <w:t>руб. и</w:t>
      </w:r>
      <w:r w:rsidR="00EE5979" w:rsidRPr="00A53AD7">
        <w:rPr>
          <w:rFonts w:ascii="Times New Roman" w:hAnsi="Times New Roman" w:cs="Times New Roman"/>
          <w:sz w:val="28"/>
          <w:szCs w:val="28"/>
        </w:rPr>
        <w:t xml:space="preserve"> субсидии на иные цели 0,4 млн.</w:t>
      </w:r>
      <w:r w:rsidRPr="00A53AD7">
        <w:rPr>
          <w:rFonts w:ascii="Times New Roman" w:hAnsi="Times New Roman" w:cs="Times New Roman"/>
          <w:sz w:val="28"/>
          <w:szCs w:val="28"/>
        </w:rPr>
        <w:t>руб.). Согласно ф.</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 xml:space="preserve">0503737 «Отчет об исполнении учреждением плана его финансово-хозяйственной деятельности», размещенному в системе СВОД-СМАРТ», кассовые расходы на финансовое обеспечение ГБУ АО «РТС» в </w:t>
      </w:r>
      <w:r w:rsidR="00EE5979" w:rsidRPr="00A53AD7">
        <w:rPr>
          <w:rFonts w:ascii="Times New Roman" w:hAnsi="Times New Roman" w:cs="Times New Roman"/>
          <w:sz w:val="28"/>
          <w:szCs w:val="28"/>
        </w:rPr>
        <w:t>2019 году составили 43,313 млн.</w:t>
      </w:r>
      <w:r w:rsidRPr="00A53AD7">
        <w:rPr>
          <w:rFonts w:ascii="Times New Roman" w:hAnsi="Times New Roman" w:cs="Times New Roman"/>
          <w:sz w:val="28"/>
          <w:szCs w:val="28"/>
        </w:rPr>
        <w:t xml:space="preserve">руб. или исполнение </w:t>
      </w:r>
      <w:r w:rsidR="00FB5BE3" w:rsidRPr="00A53AD7">
        <w:rPr>
          <w:rFonts w:ascii="Times New Roman" w:hAnsi="Times New Roman" w:cs="Times New Roman"/>
          <w:sz w:val="28"/>
          <w:szCs w:val="28"/>
        </w:rPr>
        <w:t>71,5%, отклонение «-17,275 млн.</w:t>
      </w:r>
      <w:r w:rsidRPr="00A53AD7">
        <w:rPr>
          <w:rFonts w:ascii="Times New Roman" w:hAnsi="Times New Roman" w:cs="Times New Roman"/>
          <w:sz w:val="28"/>
          <w:szCs w:val="28"/>
        </w:rPr>
        <w:t>руб.»</w:t>
      </w:r>
      <w:r w:rsidR="00BF1744" w:rsidRPr="00A53AD7">
        <w:rPr>
          <w:rFonts w:ascii="Times New Roman" w:hAnsi="Times New Roman" w:cs="Times New Roman"/>
          <w:sz w:val="28"/>
          <w:szCs w:val="28"/>
        </w:rPr>
        <w:t>.</w:t>
      </w:r>
    </w:p>
    <w:p w14:paraId="00E6740A" w14:textId="2350FE2E"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Мероприятие «2.1.1. Субсидии бюджетным учреждениям Архангельской области на финансовое обеспечение» (ответственный исполнитель – министерство связи и информационных технологий Архангел</w:t>
      </w:r>
      <w:r w:rsidR="00BF1744" w:rsidRPr="00A53AD7">
        <w:rPr>
          <w:rFonts w:ascii="Times New Roman" w:hAnsi="Times New Roman" w:cs="Times New Roman"/>
          <w:sz w:val="28"/>
          <w:szCs w:val="28"/>
        </w:rPr>
        <w:t>ьской области) в сумме 4,4 млн.</w:t>
      </w:r>
      <w:r w:rsidRPr="00A53AD7">
        <w:rPr>
          <w:rFonts w:ascii="Times New Roman" w:hAnsi="Times New Roman" w:cs="Times New Roman"/>
          <w:sz w:val="28"/>
          <w:szCs w:val="28"/>
        </w:rPr>
        <w:t>руб. (полученных ГБУ АО «Архтелецентр» в качестве субсидии на выполнение го</w:t>
      </w:r>
      <w:r w:rsidR="00EE5979" w:rsidRPr="00A53AD7">
        <w:rPr>
          <w:rFonts w:ascii="Times New Roman" w:hAnsi="Times New Roman" w:cs="Times New Roman"/>
          <w:sz w:val="28"/>
          <w:szCs w:val="28"/>
        </w:rPr>
        <w:t>сударственного задания 4,2 млн.</w:t>
      </w:r>
      <w:r w:rsidRPr="00A53AD7">
        <w:rPr>
          <w:rFonts w:ascii="Times New Roman" w:hAnsi="Times New Roman" w:cs="Times New Roman"/>
          <w:sz w:val="28"/>
          <w:szCs w:val="28"/>
        </w:rPr>
        <w:t xml:space="preserve">руб. и субсидии на </w:t>
      </w:r>
      <w:r w:rsidR="00FB5BE3" w:rsidRPr="00A53AD7">
        <w:rPr>
          <w:rFonts w:ascii="Times New Roman" w:hAnsi="Times New Roman" w:cs="Times New Roman"/>
          <w:sz w:val="28"/>
          <w:szCs w:val="28"/>
        </w:rPr>
        <w:t>иные цели 0,2 млн.</w:t>
      </w:r>
      <w:r w:rsidRPr="00A53AD7">
        <w:rPr>
          <w:rFonts w:ascii="Times New Roman" w:hAnsi="Times New Roman" w:cs="Times New Roman"/>
          <w:sz w:val="28"/>
          <w:szCs w:val="28"/>
        </w:rPr>
        <w:t>руб.) или исполнение 100%.</w:t>
      </w:r>
    </w:p>
    <w:p w14:paraId="23FE56F6" w14:textId="65522168"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ф.</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0503737 «Отчет об исполнении учреждением плана его финансово-хозяйственной деятельности», размещенному в системе СВОД-СМАРТ», кассовые расходы на финансовое обеспечение ГБУ АО «Архтелецентр»</w:t>
      </w:r>
      <w:r w:rsidR="00BF1744" w:rsidRPr="00A53AD7">
        <w:rPr>
          <w:rFonts w:ascii="Times New Roman" w:hAnsi="Times New Roman" w:cs="Times New Roman"/>
          <w:sz w:val="28"/>
          <w:szCs w:val="28"/>
        </w:rPr>
        <w:t xml:space="preserve"> в 2019 году составили 3,8 млн.</w:t>
      </w:r>
      <w:r w:rsidRPr="00A53AD7">
        <w:rPr>
          <w:rFonts w:ascii="Times New Roman" w:hAnsi="Times New Roman" w:cs="Times New Roman"/>
          <w:sz w:val="28"/>
          <w:szCs w:val="28"/>
        </w:rPr>
        <w:t>руб. или исполнен</w:t>
      </w:r>
      <w:r w:rsidR="00EE5979" w:rsidRPr="00A53AD7">
        <w:rPr>
          <w:rFonts w:ascii="Times New Roman" w:hAnsi="Times New Roman" w:cs="Times New Roman"/>
          <w:sz w:val="28"/>
          <w:szCs w:val="28"/>
        </w:rPr>
        <w:t>ие 86,4%, отклонение «-0,6 млн.</w:t>
      </w:r>
      <w:r w:rsidRPr="00A53AD7">
        <w:rPr>
          <w:rFonts w:ascii="Times New Roman" w:hAnsi="Times New Roman" w:cs="Times New Roman"/>
          <w:sz w:val="28"/>
          <w:szCs w:val="28"/>
        </w:rPr>
        <w:t>руб.»</w:t>
      </w:r>
      <w:r w:rsidR="00BF1744" w:rsidRPr="00A53AD7">
        <w:rPr>
          <w:rFonts w:ascii="Times New Roman" w:hAnsi="Times New Roman" w:cs="Times New Roman"/>
          <w:sz w:val="28"/>
          <w:szCs w:val="28"/>
        </w:rPr>
        <w:t>.</w:t>
      </w:r>
    </w:p>
    <w:p w14:paraId="6F5ADF1A" w14:textId="20BCD1E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Таким образом, КСП АО отмечает некачественное планирование при формировании государственных заданий и</w:t>
      </w:r>
      <w:r w:rsidR="00BF1744" w:rsidRPr="00A53AD7">
        <w:rPr>
          <w:rFonts w:ascii="Times New Roman" w:hAnsi="Times New Roman" w:cs="Times New Roman"/>
          <w:sz w:val="28"/>
          <w:szCs w:val="28"/>
        </w:rPr>
        <w:t>,</w:t>
      </w:r>
      <w:r w:rsidRPr="00A53AD7">
        <w:rPr>
          <w:rFonts w:ascii="Times New Roman" w:hAnsi="Times New Roman" w:cs="Times New Roman"/>
          <w:sz w:val="28"/>
          <w:szCs w:val="28"/>
        </w:rPr>
        <w:t xml:space="preserve"> как следствие</w:t>
      </w:r>
      <w:r w:rsidR="00BF1744" w:rsidRPr="00A53AD7">
        <w:rPr>
          <w:rFonts w:ascii="Times New Roman" w:hAnsi="Times New Roman" w:cs="Times New Roman"/>
          <w:sz w:val="28"/>
          <w:szCs w:val="28"/>
        </w:rPr>
        <w:t>,</w:t>
      </w:r>
      <w:r w:rsidRPr="00A53AD7">
        <w:rPr>
          <w:rFonts w:ascii="Times New Roman" w:hAnsi="Times New Roman" w:cs="Times New Roman"/>
          <w:sz w:val="28"/>
          <w:szCs w:val="28"/>
        </w:rPr>
        <w:t xml:space="preserve"> завышение размера субсидии на выполнение государственного задания ГБУ.</w:t>
      </w:r>
    </w:p>
    <w:p w14:paraId="0C2DD595" w14:textId="7BDD20A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«Мероприятие 2.1.3. Приобретение зданий мод</w:t>
      </w:r>
      <w:r w:rsidR="00EE5979" w:rsidRPr="00A53AD7">
        <w:rPr>
          <w:rFonts w:ascii="Times New Roman" w:hAnsi="Times New Roman" w:cs="Times New Roman"/>
          <w:sz w:val="28"/>
          <w:szCs w:val="28"/>
        </w:rPr>
        <w:t>ульного типа» в сумме 10,6 млн.</w:t>
      </w:r>
      <w:r w:rsidRPr="00A53AD7">
        <w:rPr>
          <w:rFonts w:ascii="Times New Roman" w:hAnsi="Times New Roman" w:cs="Times New Roman"/>
          <w:sz w:val="28"/>
          <w:szCs w:val="28"/>
        </w:rPr>
        <w:t>руб. или исполнение 100%.</w:t>
      </w:r>
    </w:p>
    <w:p w14:paraId="55676B00" w14:textId="7B3E2367"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плане реализации государственной программы этапом выполнения мероприятия в 2019 году является разработка и согласование проекта здания модульного типа со сроком до 31 декабря 2019 года, срок реализации согласно отчету, размещенному в системе КИАС, - 16 января 2020 года. Кассовые расходы ГБУ АО «Архтелецентр»</w:t>
      </w:r>
      <w:r w:rsidR="00EE5979" w:rsidRPr="00A53AD7">
        <w:rPr>
          <w:rFonts w:ascii="Times New Roman" w:hAnsi="Times New Roman" w:cs="Times New Roman"/>
          <w:sz w:val="28"/>
          <w:szCs w:val="28"/>
        </w:rPr>
        <w:t xml:space="preserve"> в 2019 году составили 0,0 млн.</w:t>
      </w:r>
      <w:r w:rsidRPr="00A53AD7">
        <w:rPr>
          <w:rFonts w:ascii="Times New Roman" w:hAnsi="Times New Roman" w:cs="Times New Roman"/>
          <w:sz w:val="28"/>
          <w:szCs w:val="28"/>
        </w:rPr>
        <w:t>руб. или исполнение 0%, отклонение «-10</w:t>
      </w:r>
      <w:r w:rsidR="00EE5979" w:rsidRPr="00A53AD7">
        <w:rPr>
          <w:rFonts w:ascii="Times New Roman" w:hAnsi="Times New Roman" w:cs="Times New Roman"/>
          <w:sz w:val="28"/>
          <w:szCs w:val="28"/>
        </w:rPr>
        <w:t>,6 млн.</w:t>
      </w:r>
      <w:r w:rsidRPr="00A53AD7">
        <w:rPr>
          <w:rFonts w:ascii="Times New Roman" w:hAnsi="Times New Roman" w:cs="Times New Roman"/>
          <w:sz w:val="28"/>
          <w:szCs w:val="28"/>
        </w:rPr>
        <w:t>руб.».</w:t>
      </w:r>
    </w:p>
    <w:p w14:paraId="7B80CFD7" w14:textId="61FB4194" w:rsidR="00000803" w:rsidRPr="00A53AD7" w:rsidRDefault="00000803" w:rsidP="00BF1744">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Таким образом, КСП АО считает - фактическое исполнение по подпрограмме № </w:t>
      </w:r>
      <w:r w:rsidR="00EE5979" w:rsidRPr="00A53AD7">
        <w:rPr>
          <w:rFonts w:ascii="Times New Roman" w:hAnsi="Times New Roman" w:cs="Times New Roman"/>
          <w:sz w:val="28"/>
          <w:szCs w:val="28"/>
        </w:rPr>
        <w:t>5 составляет в сумме 636,5 млн.руб. (отклонение «-17,875 млн.</w:t>
      </w:r>
      <w:r w:rsidRPr="00A53AD7">
        <w:rPr>
          <w:rFonts w:ascii="Times New Roman" w:hAnsi="Times New Roman" w:cs="Times New Roman"/>
          <w:sz w:val="28"/>
          <w:szCs w:val="28"/>
        </w:rPr>
        <w:t>руб.») или исполнение 97,1% (отклонение «-2,7%»).</w:t>
      </w:r>
    </w:p>
    <w:p w14:paraId="17B25A14" w14:textId="77777777" w:rsidR="00000803" w:rsidRPr="00A53AD7" w:rsidRDefault="00000803" w:rsidP="00BF1744">
      <w:pPr>
        <w:pStyle w:val="ConsPlusNormal"/>
        <w:ind w:firstLine="851"/>
        <w:jc w:val="both"/>
        <w:rPr>
          <w:rFonts w:ascii="Times New Roman" w:hAnsi="Times New Roman" w:cs="Times New Roman"/>
          <w:sz w:val="28"/>
          <w:szCs w:val="28"/>
        </w:rPr>
      </w:pPr>
    </w:p>
    <w:p w14:paraId="30366531" w14:textId="77777777" w:rsidR="00000803" w:rsidRPr="00A53AD7" w:rsidRDefault="00000803" w:rsidP="0076147B">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 xml:space="preserve">Подпрограмма № 6 «Повышение безопасности дорожного движения </w:t>
      </w:r>
      <w:r w:rsidRPr="00A53AD7">
        <w:rPr>
          <w:rFonts w:ascii="Times New Roman" w:hAnsi="Times New Roman"/>
          <w:b/>
          <w:sz w:val="28"/>
          <w:szCs w:val="28"/>
          <w:u w:val="single"/>
          <w:lang w:eastAsia="x-none"/>
        </w:rPr>
        <w:br/>
        <w:t>в Архангельской области»</w:t>
      </w:r>
    </w:p>
    <w:p w14:paraId="4E526766" w14:textId="638EEC2C"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Расходы на реализацию мероприятий подпрограммы в динамике в разрезе источников финансирования представлены </w:t>
      </w:r>
      <w:r w:rsidR="0076147B" w:rsidRPr="00A53AD7">
        <w:rPr>
          <w:rFonts w:ascii="Times New Roman" w:hAnsi="Times New Roman" w:cs="Times New Roman"/>
          <w:sz w:val="28"/>
          <w:szCs w:val="28"/>
        </w:rPr>
        <w:t>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0"/>
        <w:gridCol w:w="959"/>
        <w:gridCol w:w="959"/>
        <w:gridCol w:w="959"/>
        <w:gridCol w:w="820"/>
        <w:gridCol w:w="795"/>
        <w:gridCol w:w="846"/>
        <w:gridCol w:w="681"/>
        <w:gridCol w:w="673"/>
      </w:tblGrid>
      <w:tr w:rsidR="00D470B6" w:rsidRPr="00A53AD7" w14:paraId="5C757A17" w14:textId="77777777" w:rsidTr="0076147B">
        <w:trPr>
          <w:trHeight w:val="587"/>
          <w:tblHeader/>
          <w:jc w:val="center"/>
        </w:trPr>
        <w:tc>
          <w:tcPr>
            <w:tcW w:w="1453" w:type="pct"/>
            <w:vAlign w:val="center"/>
          </w:tcPr>
          <w:p w14:paraId="4A558487" w14:textId="0D3528BB" w:rsidR="00000803" w:rsidRPr="00A53AD7" w:rsidRDefault="00000803" w:rsidP="00B35D0C">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9" w:type="pct"/>
            <w:vAlign w:val="center"/>
          </w:tcPr>
          <w:p w14:paraId="5B3C5257"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9" w:type="pct"/>
            <w:vAlign w:val="center"/>
          </w:tcPr>
          <w:p w14:paraId="26DB2088"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9" w:type="pct"/>
            <w:vAlign w:val="center"/>
          </w:tcPr>
          <w:p w14:paraId="0C4F204E"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07D304B8"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2" w:type="pct"/>
            <w:vAlign w:val="center"/>
          </w:tcPr>
          <w:p w14:paraId="4568BE11"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9" w:type="pct"/>
            <w:vAlign w:val="center"/>
          </w:tcPr>
          <w:p w14:paraId="5E5066FE"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4D8C0FCA"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3" w:type="pct"/>
            <w:vAlign w:val="center"/>
          </w:tcPr>
          <w:p w14:paraId="11469958"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2A3F8DBB" w14:textId="77777777" w:rsidTr="0076147B">
        <w:trPr>
          <w:trHeight w:val="194"/>
          <w:tblHeader/>
          <w:jc w:val="center"/>
        </w:trPr>
        <w:tc>
          <w:tcPr>
            <w:tcW w:w="1453" w:type="pct"/>
            <w:vAlign w:val="center"/>
          </w:tcPr>
          <w:p w14:paraId="21D9BC3E"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1</w:t>
            </w:r>
          </w:p>
        </w:tc>
        <w:tc>
          <w:tcPr>
            <w:tcW w:w="509" w:type="pct"/>
          </w:tcPr>
          <w:p w14:paraId="391761FA"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2</w:t>
            </w:r>
          </w:p>
        </w:tc>
        <w:tc>
          <w:tcPr>
            <w:tcW w:w="509" w:type="pct"/>
          </w:tcPr>
          <w:p w14:paraId="51168A49"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3</w:t>
            </w:r>
          </w:p>
        </w:tc>
        <w:tc>
          <w:tcPr>
            <w:tcW w:w="509" w:type="pct"/>
          </w:tcPr>
          <w:p w14:paraId="68C403E2"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4</w:t>
            </w:r>
          </w:p>
        </w:tc>
        <w:tc>
          <w:tcPr>
            <w:tcW w:w="435" w:type="pct"/>
          </w:tcPr>
          <w:p w14:paraId="42D5EE7C"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5</w:t>
            </w:r>
          </w:p>
        </w:tc>
        <w:tc>
          <w:tcPr>
            <w:tcW w:w="422" w:type="pct"/>
            <w:vAlign w:val="center"/>
          </w:tcPr>
          <w:p w14:paraId="242AEEC7"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6</w:t>
            </w:r>
          </w:p>
        </w:tc>
        <w:tc>
          <w:tcPr>
            <w:tcW w:w="449" w:type="pct"/>
            <w:vAlign w:val="center"/>
          </w:tcPr>
          <w:p w14:paraId="1E171911"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7</w:t>
            </w:r>
          </w:p>
        </w:tc>
        <w:tc>
          <w:tcPr>
            <w:tcW w:w="361" w:type="pct"/>
            <w:vAlign w:val="center"/>
          </w:tcPr>
          <w:p w14:paraId="772973AB" w14:textId="77777777" w:rsidR="00000803" w:rsidRPr="00A53AD7" w:rsidRDefault="00000803" w:rsidP="0076147B">
            <w:pPr>
              <w:spacing w:after="0" w:line="240" w:lineRule="auto"/>
              <w:jc w:val="center"/>
              <w:rPr>
                <w:rFonts w:ascii="Times New Roman" w:hAnsi="Times New Roman"/>
                <w:sz w:val="16"/>
                <w:szCs w:val="16"/>
              </w:rPr>
            </w:pPr>
          </w:p>
        </w:tc>
        <w:tc>
          <w:tcPr>
            <w:tcW w:w="353" w:type="pct"/>
          </w:tcPr>
          <w:p w14:paraId="0C4766CD" w14:textId="77777777" w:rsidR="00000803" w:rsidRPr="00A53AD7" w:rsidRDefault="00000803" w:rsidP="0076147B">
            <w:pPr>
              <w:spacing w:after="0" w:line="240" w:lineRule="auto"/>
              <w:jc w:val="center"/>
              <w:rPr>
                <w:rFonts w:ascii="Times New Roman" w:hAnsi="Times New Roman"/>
                <w:sz w:val="16"/>
                <w:szCs w:val="16"/>
              </w:rPr>
            </w:pPr>
          </w:p>
        </w:tc>
      </w:tr>
      <w:tr w:rsidR="00D470B6" w:rsidRPr="00A53AD7" w14:paraId="0B0ED61B" w14:textId="77777777" w:rsidTr="0076147B">
        <w:trPr>
          <w:trHeight w:val="210"/>
          <w:jc w:val="center"/>
        </w:trPr>
        <w:tc>
          <w:tcPr>
            <w:tcW w:w="1453" w:type="pct"/>
            <w:shd w:val="clear" w:color="auto" w:fill="D9D9D9" w:themeFill="background1" w:themeFillShade="D9"/>
            <w:vAlign w:val="center"/>
          </w:tcPr>
          <w:p w14:paraId="632D0ECE" w14:textId="77777777" w:rsidR="00000803" w:rsidRPr="00A53AD7" w:rsidRDefault="00D470B6" w:rsidP="0076147B">
            <w:pPr>
              <w:tabs>
                <w:tab w:val="left" w:pos="253"/>
              </w:tabs>
              <w:spacing w:after="0" w:line="240" w:lineRule="auto"/>
              <w:rPr>
                <w:rFonts w:ascii="Times New Roman" w:hAnsi="Times New Roman"/>
                <w:bCs/>
                <w:sz w:val="18"/>
                <w:szCs w:val="18"/>
              </w:rPr>
            </w:pPr>
            <w:hyperlink r:id="rId89" w:history="1">
              <w:r w:rsidR="00000803" w:rsidRPr="00A53AD7">
                <w:rPr>
                  <w:rFonts w:ascii="Times New Roman" w:hAnsi="Times New Roman"/>
                  <w:sz w:val="18"/>
                  <w:szCs w:val="18"/>
                </w:rPr>
                <w:t>Подпрограмма № 6</w:t>
              </w:r>
            </w:hyperlink>
            <w:r w:rsidR="00000803" w:rsidRPr="00A53AD7">
              <w:rPr>
                <w:rFonts w:ascii="Times New Roman" w:hAnsi="Times New Roman"/>
                <w:sz w:val="18"/>
                <w:szCs w:val="18"/>
              </w:rPr>
              <w:t xml:space="preserve"> " Повышение безопасности дорожного движения в Архангельской области "</w:t>
            </w:r>
          </w:p>
        </w:tc>
        <w:tc>
          <w:tcPr>
            <w:tcW w:w="509" w:type="pct"/>
            <w:shd w:val="clear" w:color="auto" w:fill="D9D9D9" w:themeFill="background1" w:themeFillShade="D9"/>
            <w:vAlign w:val="center"/>
          </w:tcPr>
          <w:p w14:paraId="0EAC2AE1"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509" w:type="pct"/>
            <w:shd w:val="clear" w:color="auto" w:fill="D9D9D9" w:themeFill="background1" w:themeFillShade="D9"/>
            <w:vAlign w:val="center"/>
          </w:tcPr>
          <w:p w14:paraId="574D4E45"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509" w:type="pct"/>
            <w:shd w:val="clear" w:color="auto" w:fill="D9D9D9" w:themeFill="background1" w:themeFillShade="D9"/>
            <w:vAlign w:val="center"/>
          </w:tcPr>
          <w:p w14:paraId="5DB04CA8"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47,0</w:t>
            </w:r>
          </w:p>
        </w:tc>
        <w:tc>
          <w:tcPr>
            <w:tcW w:w="435" w:type="pct"/>
            <w:shd w:val="clear" w:color="auto" w:fill="D9D9D9" w:themeFill="background1" w:themeFillShade="D9"/>
            <w:vAlign w:val="center"/>
          </w:tcPr>
          <w:p w14:paraId="4B55AE0B"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83,2</w:t>
            </w:r>
          </w:p>
        </w:tc>
        <w:tc>
          <w:tcPr>
            <w:tcW w:w="422" w:type="pct"/>
            <w:shd w:val="clear" w:color="auto" w:fill="D9D9D9" w:themeFill="background1" w:themeFillShade="D9"/>
            <w:vAlign w:val="center"/>
          </w:tcPr>
          <w:p w14:paraId="511F443E"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89,1</w:t>
            </w:r>
          </w:p>
        </w:tc>
        <w:tc>
          <w:tcPr>
            <w:tcW w:w="449" w:type="pct"/>
            <w:shd w:val="clear" w:color="auto" w:fill="D9D9D9" w:themeFill="background1" w:themeFillShade="D9"/>
            <w:vAlign w:val="center"/>
          </w:tcPr>
          <w:p w14:paraId="73D1BF92"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89,2</w:t>
            </w:r>
          </w:p>
        </w:tc>
        <w:tc>
          <w:tcPr>
            <w:tcW w:w="361" w:type="pct"/>
            <w:shd w:val="clear" w:color="auto" w:fill="D9D9D9" w:themeFill="background1" w:themeFillShade="D9"/>
            <w:vAlign w:val="center"/>
          </w:tcPr>
          <w:p w14:paraId="54FB65BA"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w:t>
            </w:r>
          </w:p>
        </w:tc>
        <w:tc>
          <w:tcPr>
            <w:tcW w:w="353" w:type="pct"/>
            <w:shd w:val="clear" w:color="auto" w:fill="D9D9D9" w:themeFill="background1" w:themeFillShade="D9"/>
            <w:vAlign w:val="center"/>
          </w:tcPr>
          <w:p w14:paraId="179004A4" w14:textId="77777777" w:rsidR="00000803" w:rsidRPr="00A53AD7" w:rsidRDefault="00000803" w:rsidP="0076147B">
            <w:pPr>
              <w:spacing w:after="0" w:line="240" w:lineRule="auto"/>
              <w:jc w:val="center"/>
              <w:rPr>
                <w:rFonts w:ascii="Times New Roman" w:hAnsi="Times New Roman"/>
                <w:sz w:val="18"/>
                <w:szCs w:val="18"/>
              </w:rPr>
            </w:pPr>
            <w:r w:rsidRPr="00A53AD7">
              <w:rPr>
                <w:rFonts w:ascii="Times New Roman" w:hAnsi="Times New Roman"/>
                <w:sz w:val="18"/>
                <w:szCs w:val="18"/>
              </w:rPr>
              <w:t>100,1</w:t>
            </w:r>
          </w:p>
        </w:tc>
      </w:tr>
      <w:tr w:rsidR="00D470B6" w:rsidRPr="00A53AD7" w14:paraId="3AF4D0CC" w14:textId="77777777" w:rsidTr="0076147B">
        <w:trPr>
          <w:trHeight w:val="210"/>
          <w:jc w:val="center"/>
        </w:trPr>
        <w:tc>
          <w:tcPr>
            <w:tcW w:w="1453" w:type="pct"/>
            <w:vAlign w:val="center"/>
          </w:tcPr>
          <w:p w14:paraId="53388B12" w14:textId="77777777" w:rsidR="00000803" w:rsidRPr="00A53AD7" w:rsidRDefault="00000803" w:rsidP="0076147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9" w:type="pct"/>
            <w:vAlign w:val="center"/>
          </w:tcPr>
          <w:p w14:paraId="3B3C1365"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0AC0EC13"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262D5B56"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35" w:type="pct"/>
            <w:vAlign w:val="center"/>
          </w:tcPr>
          <w:p w14:paraId="3515C231"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1EC7A460"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49" w:type="pct"/>
            <w:vAlign w:val="center"/>
          </w:tcPr>
          <w:p w14:paraId="6BF9B0CB"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361" w:type="pct"/>
            <w:vAlign w:val="center"/>
          </w:tcPr>
          <w:p w14:paraId="6500453E"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w:t>
            </w:r>
          </w:p>
        </w:tc>
        <w:tc>
          <w:tcPr>
            <w:tcW w:w="353" w:type="pct"/>
            <w:vAlign w:val="center"/>
          </w:tcPr>
          <w:p w14:paraId="566D5222"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w:t>
            </w:r>
          </w:p>
        </w:tc>
      </w:tr>
      <w:tr w:rsidR="00D470B6" w:rsidRPr="00A53AD7" w14:paraId="39E79AA0" w14:textId="77777777" w:rsidTr="0076147B">
        <w:trPr>
          <w:trHeight w:val="210"/>
          <w:jc w:val="center"/>
        </w:trPr>
        <w:tc>
          <w:tcPr>
            <w:tcW w:w="1453" w:type="pct"/>
            <w:vAlign w:val="center"/>
          </w:tcPr>
          <w:p w14:paraId="5CFAF1E8" w14:textId="77777777" w:rsidR="00000803" w:rsidRPr="00A53AD7" w:rsidRDefault="00000803" w:rsidP="0076147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9" w:type="pct"/>
            <w:vAlign w:val="center"/>
          </w:tcPr>
          <w:p w14:paraId="221F3C48"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23585852"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0F41042E"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47,0</w:t>
            </w:r>
          </w:p>
        </w:tc>
        <w:tc>
          <w:tcPr>
            <w:tcW w:w="435" w:type="pct"/>
            <w:vAlign w:val="center"/>
          </w:tcPr>
          <w:p w14:paraId="4C4A09A4"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83,2</w:t>
            </w:r>
          </w:p>
        </w:tc>
        <w:tc>
          <w:tcPr>
            <w:tcW w:w="422" w:type="pct"/>
            <w:vAlign w:val="center"/>
          </w:tcPr>
          <w:p w14:paraId="4F60A381"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89,1</w:t>
            </w:r>
          </w:p>
        </w:tc>
        <w:tc>
          <w:tcPr>
            <w:tcW w:w="449" w:type="pct"/>
            <w:vAlign w:val="center"/>
          </w:tcPr>
          <w:p w14:paraId="496D7E47"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89,2</w:t>
            </w:r>
          </w:p>
        </w:tc>
        <w:tc>
          <w:tcPr>
            <w:tcW w:w="361" w:type="pct"/>
            <w:vAlign w:val="center"/>
          </w:tcPr>
          <w:p w14:paraId="089251A6"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353" w:type="pct"/>
            <w:vAlign w:val="center"/>
          </w:tcPr>
          <w:p w14:paraId="7052F756"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100,1</w:t>
            </w:r>
          </w:p>
        </w:tc>
      </w:tr>
      <w:tr w:rsidR="00000803" w:rsidRPr="00A53AD7" w14:paraId="411F99A6" w14:textId="77777777" w:rsidTr="0076147B">
        <w:trPr>
          <w:trHeight w:val="210"/>
          <w:jc w:val="center"/>
        </w:trPr>
        <w:tc>
          <w:tcPr>
            <w:tcW w:w="1453" w:type="pct"/>
            <w:vAlign w:val="center"/>
          </w:tcPr>
          <w:p w14:paraId="0523B3AF" w14:textId="77777777" w:rsidR="00000803" w:rsidRPr="00A53AD7" w:rsidRDefault="00000803" w:rsidP="0076147B">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9" w:type="pct"/>
            <w:vAlign w:val="center"/>
          </w:tcPr>
          <w:p w14:paraId="45B105F5"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333E697D"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w:t>
            </w:r>
          </w:p>
        </w:tc>
        <w:tc>
          <w:tcPr>
            <w:tcW w:w="509" w:type="pct"/>
            <w:vAlign w:val="center"/>
          </w:tcPr>
          <w:p w14:paraId="7C619FF2"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35" w:type="pct"/>
            <w:vAlign w:val="center"/>
          </w:tcPr>
          <w:p w14:paraId="48420851"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22" w:type="pct"/>
            <w:vAlign w:val="center"/>
          </w:tcPr>
          <w:p w14:paraId="2845D994"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449" w:type="pct"/>
            <w:vAlign w:val="center"/>
          </w:tcPr>
          <w:p w14:paraId="1AB8C78D"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0,0</w:t>
            </w:r>
          </w:p>
        </w:tc>
        <w:tc>
          <w:tcPr>
            <w:tcW w:w="361" w:type="pct"/>
            <w:vAlign w:val="center"/>
          </w:tcPr>
          <w:p w14:paraId="3DCC3C52"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w:t>
            </w:r>
          </w:p>
        </w:tc>
        <w:tc>
          <w:tcPr>
            <w:tcW w:w="353" w:type="pct"/>
            <w:vAlign w:val="center"/>
          </w:tcPr>
          <w:p w14:paraId="5F32F64C" w14:textId="77777777" w:rsidR="00000803" w:rsidRPr="00A53AD7" w:rsidRDefault="00000803" w:rsidP="0076147B">
            <w:pPr>
              <w:spacing w:after="0" w:line="240" w:lineRule="auto"/>
              <w:jc w:val="center"/>
              <w:rPr>
                <w:rFonts w:ascii="Times New Roman" w:hAnsi="Times New Roman"/>
                <w:sz w:val="16"/>
                <w:szCs w:val="16"/>
              </w:rPr>
            </w:pPr>
            <w:r w:rsidRPr="00A53AD7">
              <w:rPr>
                <w:rFonts w:ascii="Times New Roman" w:hAnsi="Times New Roman"/>
                <w:sz w:val="16"/>
                <w:szCs w:val="16"/>
              </w:rPr>
              <w:t>0</w:t>
            </w:r>
          </w:p>
        </w:tc>
      </w:tr>
    </w:tbl>
    <w:p w14:paraId="0F330B83" w14:textId="77777777" w:rsidR="0076147B" w:rsidRPr="00A53AD7" w:rsidRDefault="0076147B" w:rsidP="0076147B">
      <w:pPr>
        <w:pStyle w:val="ConsPlusNormal"/>
        <w:ind w:firstLine="851"/>
        <w:jc w:val="both"/>
        <w:rPr>
          <w:rFonts w:ascii="Times New Roman" w:hAnsi="Times New Roman" w:cs="Times New Roman"/>
          <w:sz w:val="28"/>
          <w:szCs w:val="28"/>
        </w:rPr>
      </w:pPr>
    </w:p>
    <w:p w14:paraId="309C93CB" w14:textId="09EB15EA"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Исполнение целевых показателей, определенных для подпрогр</w:t>
      </w:r>
      <w:r w:rsidR="0076147B" w:rsidRPr="00A53AD7">
        <w:rPr>
          <w:rFonts w:ascii="Times New Roman" w:hAnsi="Times New Roman" w:cs="Times New Roman"/>
          <w:sz w:val="28"/>
          <w:szCs w:val="28"/>
        </w:rPr>
        <w:t>аммы представлено в таблице:</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638"/>
        <w:gridCol w:w="964"/>
        <w:gridCol w:w="964"/>
        <w:gridCol w:w="1092"/>
        <w:gridCol w:w="833"/>
        <w:gridCol w:w="833"/>
      </w:tblGrid>
      <w:tr w:rsidR="00D470B6" w:rsidRPr="00A53AD7" w14:paraId="310846D3" w14:textId="77777777" w:rsidTr="0076147B">
        <w:trPr>
          <w:tblHeader/>
        </w:trPr>
        <w:tc>
          <w:tcPr>
            <w:tcW w:w="4928" w:type="dxa"/>
          </w:tcPr>
          <w:p w14:paraId="01DE980F"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Наименование целевых показателей</w:t>
            </w:r>
          </w:p>
        </w:tc>
        <w:tc>
          <w:tcPr>
            <w:tcW w:w="992" w:type="dxa"/>
          </w:tcPr>
          <w:p w14:paraId="537C2B99"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Факт 2018</w:t>
            </w:r>
          </w:p>
        </w:tc>
        <w:tc>
          <w:tcPr>
            <w:tcW w:w="992" w:type="dxa"/>
          </w:tcPr>
          <w:p w14:paraId="5DA1769B"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План 2019</w:t>
            </w:r>
          </w:p>
        </w:tc>
        <w:tc>
          <w:tcPr>
            <w:tcW w:w="1134" w:type="dxa"/>
          </w:tcPr>
          <w:p w14:paraId="165009FA"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Факт 2019</w:t>
            </w:r>
          </w:p>
        </w:tc>
        <w:tc>
          <w:tcPr>
            <w:tcW w:w="567" w:type="dxa"/>
          </w:tcPr>
          <w:p w14:paraId="179B845B"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Факт 2019 к плану 2019,%</w:t>
            </w:r>
          </w:p>
        </w:tc>
        <w:tc>
          <w:tcPr>
            <w:tcW w:w="567" w:type="dxa"/>
          </w:tcPr>
          <w:p w14:paraId="443143F1"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Факт 2019 к факту 2018,%</w:t>
            </w:r>
          </w:p>
        </w:tc>
      </w:tr>
      <w:tr w:rsidR="00D470B6" w:rsidRPr="00A53AD7" w14:paraId="554C4F7D" w14:textId="77777777" w:rsidTr="0076147B">
        <w:tc>
          <w:tcPr>
            <w:tcW w:w="4928" w:type="dxa"/>
          </w:tcPr>
          <w:p w14:paraId="2591D110" w14:textId="77777777" w:rsidR="00000803" w:rsidRPr="00A53AD7" w:rsidRDefault="00000803" w:rsidP="0076147B">
            <w:pPr>
              <w:suppressAutoHyphens/>
              <w:spacing w:after="0" w:line="240" w:lineRule="auto"/>
              <w:rPr>
                <w:rFonts w:ascii="Times New Roman" w:hAnsi="Times New Roman"/>
                <w:sz w:val="20"/>
                <w:szCs w:val="20"/>
                <w:lang w:eastAsia="ar-SA"/>
              </w:rPr>
            </w:pPr>
            <w:r w:rsidRPr="00A53AD7">
              <w:rPr>
                <w:rFonts w:ascii="Times New Roman" w:hAnsi="Times New Roman"/>
                <w:sz w:val="20"/>
                <w:szCs w:val="20"/>
                <w:lang w:eastAsia="ar-SA"/>
              </w:rPr>
              <w:t>41. Количество лиц, погибших в дорожно-транспортных происшествиях на региональных автомобильных дорогах, чел.</w:t>
            </w:r>
          </w:p>
        </w:tc>
        <w:tc>
          <w:tcPr>
            <w:tcW w:w="992" w:type="dxa"/>
          </w:tcPr>
          <w:p w14:paraId="47E53F13"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56,00</w:t>
            </w:r>
          </w:p>
        </w:tc>
        <w:tc>
          <w:tcPr>
            <w:tcW w:w="992" w:type="dxa"/>
          </w:tcPr>
          <w:p w14:paraId="773D9207"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65,00</w:t>
            </w:r>
          </w:p>
        </w:tc>
        <w:tc>
          <w:tcPr>
            <w:tcW w:w="1134" w:type="dxa"/>
          </w:tcPr>
          <w:p w14:paraId="1018206A"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43</w:t>
            </w:r>
          </w:p>
        </w:tc>
        <w:tc>
          <w:tcPr>
            <w:tcW w:w="567" w:type="dxa"/>
          </w:tcPr>
          <w:p w14:paraId="08A03E61"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151,2</w:t>
            </w:r>
          </w:p>
        </w:tc>
        <w:tc>
          <w:tcPr>
            <w:tcW w:w="567" w:type="dxa"/>
          </w:tcPr>
          <w:p w14:paraId="0685C7BD"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76,8</w:t>
            </w:r>
          </w:p>
        </w:tc>
      </w:tr>
      <w:tr w:rsidR="00D470B6" w:rsidRPr="00A53AD7" w14:paraId="26049D57" w14:textId="77777777" w:rsidTr="0076147B">
        <w:tc>
          <w:tcPr>
            <w:tcW w:w="4928" w:type="dxa"/>
          </w:tcPr>
          <w:p w14:paraId="6B92403B" w14:textId="77777777" w:rsidR="00000803" w:rsidRPr="00A53AD7" w:rsidRDefault="00000803" w:rsidP="0076147B">
            <w:pPr>
              <w:suppressAutoHyphens/>
              <w:spacing w:after="0" w:line="240" w:lineRule="auto"/>
              <w:rPr>
                <w:rFonts w:ascii="Times New Roman" w:hAnsi="Times New Roman"/>
                <w:sz w:val="20"/>
                <w:szCs w:val="20"/>
                <w:lang w:eastAsia="ar-SA"/>
              </w:rPr>
            </w:pPr>
            <w:r w:rsidRPr="00A53AD7">
              <w:rPr>
                <w:rFonts w:ascii="Times New Roman" w:hAnsi="Times New Roman"/>
                <w:sz w:val="20"/>
                <w:szCs w:val="20"/>
                <w:lang w:eastAsia="ar-SA"/>
              </w:rPr>
              <w:t>41.1. Количество погибших в дорожно-транспортных происшествиях на 100 тысяч населения, чел.</w:t>
            </w:r>
          </w:p>
        </w:tc>
        <w:tc>
          <w:tcPr>
            <w:tcW w:w="992" w:type="dxa"/>
          </w:tcPr>
          <w:p w14:paraId="64B6FEC2"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0,00</w:t>
            </w:r>
          </w:p>
        </w:tc>
        <w:tc>
          <w:tcPr>
            <w:tcW w:w="992" w:type="dxa"/>
          </w:tcPr>
          <w:p w14:paraId="5B5844E5"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1134" w:type="dxa"/>
          </w:tcPr>
          <w:p w14:paraId="6457FF06"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11,4</w:t>
            </w:r>
          </w:p>
        </w:tc>
        <w:tc>
          <w:tcPr>
            <w:tcW w:w="567" w:type="dxa"/>
          </w:tcPr>
          <w:p w14:paraId="1EDF705C"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114,0</w:t>
            </w:r>
          </w:p>
        </w:tc>
        <w:tc>
          <w:tcPr>
            <w:tcW w:w="567" w:type="dxa"/>
          </w:tcPr>
          <w:p w14:paraId="7CE63177"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w:t>
            </w:r>
          </w:p>
        </w:tc>
      </w:tr>
      <w:tr w:rsidR="00D470B6" w:rsidRPr="00A53AD7" w14:paraId="4B8D4458" w14:textId="77777777" w:rsidTr="0076147B">
        <w:tc>
          <w:tcPr>
            <w:tcW w:w="4928" w:type="dxa"/>
          </w:tcPr>
          <w:p w14:paraId="1A14D6DE" w14:textId="748F3D69" w:rsidR="00000803" w:rsidRPr="00A53AD7" w:rsidRDefault="00000803" w:rsidP="0076147B">
            <w:pPr>
              <w:suppressAutoHyphens/>
              <w:spacing w:after="0" w:line="240" w:lineRule="auto"/>
              <w:rPr>
                <w:rFonts w:ascii="Times New Roman" w:hAnsi="Times New Roman"/>
                <w:sz w:val="20"/>
                <w:szCs w:val="20"/>
                <w:lang w:eastAsia="ar-SA"/>
              </w:rPr>
            </w:pPr>
            <w:r w:rsidRPr="00A53AD7">
              <w:rPr>
                <w:rFonts w:ascii="Times New Roman" w:hAnsi="Times New Roman"/>
                <w:sz w:val="20"/>
                <w:szCs w:val="20"/>
                <w:lang w:eastAsia="ar-SA"/>
              </w:rPr>
              <w:t>42. Тяжесть последствий дорожно-транспортных происшествий на региональных автомобильных дорогах (доля лиц, погибших в дорожно-транспортных происшествиях на дорогах регионального значения, на 100 пострадавших),</w:t>
            </w:r>
            <w:r w:rsidR="0076147B" w:rsidRPr="00A53AD7">
              <w:rPr>
                <w:rFonts w:ascii="Times New Roman" w:hAnsi="Times New Roman"/>
                <w:sz w:val="20"/>
                <w:szCs w:val="20"/>
                <w:lang w:eastAsia="ar-SA"/>
              </w:rPr>
              <w:t xml:space="preserve"> </w:t>
            </w:r>
            <w:r w:rsidRPr="00A53AD7">
              <w:rPr>
                <w:rFonts w:ascii="Times New Roman" w:hAnsi="Times New Roman"/>
                <w:sz w:val="20"/>
                <w:szCs w:val="20"/>
                <w:lang w:eastAsia="ar-SA"/>
              </w:rPr>
              <w:t>%</w:t>
            </w:r>
          </w:p>
        </w:tc>
        <w:tc>
          <w:tcPr>
            <w:tcW w:w="992" w:type="dxa"/>
          </w:tcPr>
          <w:p w14:paraId="56A93BDF"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9,90</w:t>
            </w:r>
          </w:p>
        </w:tc>
        <w:tc>
          <w:tcPr>
            <w:tcW w:w="992" w:type="dxa"/>
          </w:tcPr>
          <w:p w14:paraId="58D8EB7F"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8,60</w:t>
            </w:r>
          </w:p>
        </w:tc>
        <w:tc>
          <w:tcPr>
            <w:tcW w:w="1134" w:type="dxa"/>
          </w:tcPr>
          <w:p w14:paraId="6FDC92E4"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8,3</w:t>
            </w:r>
          </w:p>
        </w:tc>
        <w:tc>
          <w:tcPr>
            <w:tcW w:w="567" w:type="dxa"/>
          </w:tcPr>
          <w:p w14:paraId="15D32259"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103,6</w:t>
            </w:r>
          </w:p>
        </w:tc>
        <w:tc>
          <w:tcPr>
            <w:tcW w:w="567" w:type="dxa"/>
          </w:tcPr>
          <w:p w14:paraId="339739B3"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83,8</w:t>
            </w:r>
          </w:p>
        </w:tc>
      </w:tr>
      <w:tr w:rsidR="00000803" w:rsidRPr="00A53AD7" w14:paraId="249C92EB" w14:textId="77777777" w:rsidTr="0076147B">
        <w:tc>
          <w:tcPr>
            <w:tcW w:w="4928" w:type="dxa"/>
          </w:tcPr>
          <w:p w14:paraId="0583C647" w14:textId="77777777" w:rsidR="00000803" w:rsidRPr="00A53AD7" w:rsidRDefault="00000803" w:rsidP="0076147B">
            <w:pPr>
              <w:suppressAutoHyphens/>
              <w:spacing w:after="0" w:line="240" w:lineRule="auto"/>
              <w:rPr>
                <w:rFonts w:ascii="Times New Roman" w:hAnsi="Times New Roman"/>
                <w:sz w:val="20"/>
                <w:szCs w:val="20"/>
                <w:lang w:eastAsia="ar-SA"/>
              </w:rPr>
            </w:pPr>
            <w:r w:rsidRPr="00A53AD7">
              <w:rPr>
                <w:rFonts w:ascii="Times New Roman" w:hAnsi="Times New Roman"/>
                <w:sz w:val="20"/>
                <w:szCs w:val="20"/>
                <w:lang w:eastAsia="ar-SA"/>
              </w:rPr>
              <w:t>43. Количество мест концентрации дорожно-транспортных происшествий на региональных автомобильных дорогах, ед.</w:t>
            </w:r>
          </w:p>
        </w:tc>
        <w:tc>
          <w:tcPr>
            <w:tcW w:w="992" w:type="dxa"/>
          </w:tcPr>
          <w:p w14:paraId="2B5A5142"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1,00</w:t>
            </w:r>
          </w:p>
        </w:tc>
        <w:tc>
          <w:tcPr>
            <w:tcW w:w="992" w:type="dxa"/>
          </w:tcPr>
          <w:p w14:paraId="42EC250C" w14:textId="77777777" w:rsidR="00000803" w:rsidRPr="00A53AD7" w:rsidRDefault="00000803" w:rsidP="0076147B">
            <w:pPr>
              <w:spacing w:after="0" w:line="240" w:lineRule="auto"/>
              <w:jc w:val="center"/>
              <w:rPr>
                <w:rFonts w:ascii="Times New Roman" w:hAnsi="Times New Roman"/>
                <w:sz w:val="20"/>
                <w:szCs w:val="20"/>
              </w:rPr>
            </w:pPr>
            <w:r w:rsidRPr="00A53AD7">
              <w:rPr>
                <w:rFonts w:ascii="Times New Roman" w:hAnsi="Times New Roman"/>
                <w:sz w:val="20"/>
                <w:szCs w:val="20"/>
              </w:rPr>
              <w:t>5,00</w:t>
            </w:r>
          </w:p>
        </w:tc>
        <w:tc>
          <w:tcPr>
            <w:tcW w:w="1134" w:type="dxa"/>
          </w:tcPr>
          <w:p w14:paraId="78560F8D"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w:t>
            </w:r>
          </w:p>
        </w:tc>
        <w:tc>
          <w:tcPr>
            <w:tcW w:w="567" w:type="dxa"/>
          </w:tcPr>
          <w:p w14:paraId="189F9E65"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20,0</w:t>
            </w:r>
          </w:p>
        </w:tc>
        <w:tc>
          <w:tcPr>
            <w:tcW w:w="567" w:type="dxa"/>
          </w:tcPr>
          <w:p w14:paraId="3E8C3A12" w14:textId="77777777" w:rsidR="00000803" w:rsidRPr="00A53AD7" w:rsidRDefault="00000803" w:rsidP="0076147B">
            <w:pPr>
              <w:suppressAutoHyphens/>
              <w:spacing w:after="0" w:line="240" w:lineRule="auto"/>
              <w:jc w:val="center"/>
              <w:rPr>
                <w:rFonts w:ascii="Times New Roman" w:hAnsi="Times New Roman"/>
                <w:sz w:val="20"/>
                <w:szCs w:val="20"/>
                <w:lang w:eastAsia="ar-SA"/>
              </w:rPr>
            </w:pPr>
            <w:r w:rsidRPr="00A53AD7">
              <w:rPr>
                <w:rFonts w:ascii="Times New Roman" w:hAnsi="Times New Roman"/>
                <w:sz w:val="20"/>
                <w:szCs w:val="20"/>
                <w:lang w:eastAsia="ar-SA"/>
              </w:rPr>
              <w:t>100,0</w:t>
            </w:r>
          </w:p>
        </w:tc>
      </w:tr>
    </w:tbl>
    <w:p w14:paraId="25BCF4B3" w14:textId="77777777" w:rsidR="00000803" w:rsidRPr="00A53AD7" w:rsidRDefault="00000803" w:rsidP="0076147B">
      <w:pPr>
        <w:pStyle w:val="ConsPlusNormal"/>
        <w:ind w:firstLine="851"/>
        <w:jc w:val="both"/>
        <w:rPr>
          <w:rFonts w:ascii="Times New Roman" w:hAnsi="Times New Roman" w:cs="Times New Roman"/>
          <w:sz w:val="28"/>
          <w:szCs w:val="28"/>
        </w:rPr>
      </w:pPr>
    </w:p>
    <w:p w14:paraId="5D043AC3" w14:textId="77777777"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За отчетный период в рамках подпрограммы осуществлялась реализация двух мероприятий.</w:t>
      </w:r>
    </w:p>
    <w:p w14:paraId="064F2C7A" w14:textId="0DFDE91F"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отчету о реализации за 2019 год государственной программы, размещенному в системе КИАС, за 2019 год в рамках подпрограммы осуществлены касс</w:t>
      </w:r>
      <w:r w:rsidR="0076147B" w:rsidRPr="00A53AD7">
        <w:rPr>
          <w:rFonts w:ascii="Times New Roman" w:hAnsi="Times New Roman" w:cs="Times New Roman"/>
          <w:sz w:val="28"/>
          <w:szCs w:val="28"/>
        </w:rPr>
        <w:t>овые расходы на сумму 89,2 млн.</w:t>
      </w:r>
      <w:r w:rsidRPr="00A53AD7">
        <w:rPr>
          <w:rFonts w:ascii="Times New Roman" w:hAnsi="Times New Roman" w:cs="Times New Roman"/>
          <w:sz w:val="28"/>
          <w:szCs w:val="28"/>
        </w:rPr>
        <w:t xml:space="preserve">руб. или 96,7% к плану на год. </w:t>
      </w:r>
    </w:p>
    <w:p w14:paraId="2669EB6F" w14:textId="1775311C"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Указанные кассовые расходы являются кассовыми расходами министерства транспорта, которые перечислены ГБУ АО «РТС» как субсидия</w:t>
      </w:r>
      <w:r w:rsidR="0076147B" w:rsidRPr="00A53AD7">
        <w:rPr>
          <w:rFonts w:ascii="Times New Roman" w:hAnsi="Times New Roman" w:cs="Times New Roman"/>
          <w:sz w:val="28"/>
          <w:szCs w:val="28"/>
        </w:rPr>
        <w:t xml:space="preserve"> на иные цели в сумме 92,2 млн.</w:t>
      </w:r>
      <w:r w:rsidRPr="00A53AD7">
        <w:rPr>
          <w:rFonts w:ascii="Times New Roman" w:hAnsi="Times New Roman" w:cs="Times New Roman"/>
          <w:sz w:val="28"/>
          <w:szCs w:val="28"/>
        </w:rPr>
        <w:t>руб. Кассовые расходы ГБУ АО «РТС» (субсидия на иные цели) согласно ф.</w:t>
      </w:r>
      <w:r w:rsidR="00FB5BE3" w:rsidRPr="00A53AD7">
        <w:rPr>
          <w:rFonts w:ascii="Times New Roman" w:hAnsi="Times New Roman" w:cs="Times New Roman"/>
          <w:sz w:val="28"/>
          <w:szCs w:val="28"/>
        </w:rPr>
        <w:t xml:space="preserve"> </w:t>
      </w:r>
      <w:r w:rsidRPr="00A53AD7">
        <w:rPr>
          <w:rFonts w:ascii="Times New Roman" w:hAnsi="Times New Roman" w:cs="Times New Roman"/>
          <w:sz w:val="28"/>
          <w:szCs w:val="28"/>
        </w:rPr>
        <w:t>0503737 «Отчет об исполнении учреждением плана его финансово-хозяйственной деятельности» и ф. 0503769 «Сведения по дебиторской и кредиторской задолженности учреждения» по двум мероприятиям подпрограммы №</w:t>
      </w:r>
      <w:r w:rsidR="00EE5979" w:rsidRPr="00A53AD7">
        <w:rPr>
          <w:rFonts w:ascii="Times New Roman" w:hAnsi="Times New Roman" w:cs="Times New Roman"/>
          <w:sz w:val="28"/>
          <w:szCs w:val="28"/>
        </w:rPr>
        <w:t xml:space="preserve"> 6 составили в сумме 79,95 млн.</w:t>
      </w:r>
      <w:r w:rsidRPr="00A53AD7">
        <w:rPr>
          <w:rFonts w:ascii="Times New Roman" w:hAnsi="Times New Roman" w:cs="Times New Roman"/>
          <w:sz w:val="28"/>
          <w:szCs w:val="28"/>
        </w:rPr>
        <w:t>руб. или исполнение 86,7% к плану.</w:t>
      </w:r>
    </w:p>
    <w:p w14:paraId="4879D41F" w14:textId="7C98867E"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«1.1 Развитие системы автоматического контроля и выявления нарушений Правил дорожного движения Российской Федерации, утвержденных постановлением Совета Министров - Правительства Российской Федерации от 23 октября 1993 года № 1090 (далее - Правила дорожного движения)» кас</w:t>
      </w:r>
      <w:r w:rsidR="00EE5979" w:rsidRPr="00A53AD7">
        <w:rPr>
          <w:rFonts w:ascii="Times New Roman" w:hAnsi="Times New Roman" w:cs="Times New Roman"/>
          <w:sz w:val="28"/>
          <w:szCs w:val="28"/>
        </w:rPr>
        <w:t>совые расходы в сумме 65,5 млн.</w:t>
      </w:r>
      <w:r w:rsidRPr="00A53AD7">
        <w:rPr>
          <w:rFonts w:ascii="Times New Roman" w:hAnsi="Times New Roman" w:cs="Times New Roman"/>
          <w:sz w:val="28"/>
          <w:szCs w:val="28"/>
        </w:rPr>
        <w:t>руб. или 95,6% к плану, согласно отчету о реализации за 2019 год государственной программы, размещенному в системе КИАС. Согласно данных, размещенных на сайте госзакупки, оплата ГБУ АО «РТС</w:t>
      </w:r>
      <w:r w:rsidR="0054228B" w:rsidRPr="00A53AD7">
        <w:rPr>
          <w:rFonts w:ascii="Times New Roman" w:hAnsi="Times New Roman" w:cs="Times New Roman"/>
          <w:sz w:val="28"/>
          <w:szCs w:val="28"/>
        </w:rPr>
        <w:t>» проведена в сумме 56,3 млн.руб. или отклонение «-9,2 млн.</w:t>
      </w:r>
      <w:r w:rsidRPr="00A53AD7">
        <w:rPr>
          <w:rFonts w:ascii="Times New Roman" w:hAnsi="Times New Roman" w:cs="Times New Roman"/>
          <w:sz w:val="28"/>
          <w:szCs w:val="28"/>
        </w:rPr>
        <w:t>руб.».</w:t>
      </w:r>
    </w:p>
    <w:p w14:paraId="04CB7817" w14:textId="022E7110" w:rsidR="00000803" w:rsidRPr="00A53AD7" w:rsidRDefault="00000803" w:rsidP="0076147B">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Кроме того</w:t>
      </w:r>
      <w:r w:rsidR="0076147B" w:rsidRPr="00A53AD7">
        <w:rPr>
          <w:rFonts w:ascii="Times New Roman" w:hAnsi="Times New Roman" w:cs="Times New Roman"/>
          <w:sz w:val="28"/>
          <w:szCs w:val="28"/>
        </w:rPr>
        <w:t>,</w:t>
      </w:r>
      <w:r w:rsidRPr="00A53AD7">
        <w:rPr>
          <w:rFonts w:ascii="Times New Roman" w:hAnsi="Times New Roman" w:cs="Times New Roman"/>
          <w:sz w:val="28"/>
          <w:szCs w:val="28"/>
        </w:rPr>
        <w:t xml:space="preserve"> при анализе показателей реализации мероприятия установлено следующее:</w:t>
      </w:r>
    </w:p>
    <w:p w14:paraId="0CCAC122" w14:textId="0077CB11"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установка систем автоматического контроля и выявления нарушений Правил дорожного движения в отчете фактически 9 единиц при плане 7 единиц. Согласно актам приемки передачи товара, размещенных </w:t>
      </w:r>
      <w:r w:rsidR="00D93F4D" w:rsidRPr="00A53AD7">
        <w:rPr>
          <w:rFonts w:ascii="Times New Roman" w:hAnsi="Times New Roman" w:cs="Times New Roman"/>
          <w:sz w:val="28"/>
          <w:szCs w:val="28"/>
        </w:rPr>
        <w:t>на сайте госзакупки – 19 единиц;</w:t>
      </w:r>
    </w:p>
    <w:p w14:paraId="595FE05C" w14:textId="7547F1BD"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проведение конкурсных процедур нарушено по сроку завершения, при плане 28 июня, конкурсные </w:t>
      </w:r>
      <w:r w:rsidR="00D93F4D" w:rsidRPr="00A53AD7">
        <w:rPr>
          <w:rFonts w:ascii="Times New Roman" w:hAnsi="Times New Roman" w:cs="Times New Roman"/>
          <w:sz w:val="28"/>
          <w:szCs w:val="28"/>
        </w:rPr>
        <w:t>процедуры завершены 19 августа;</w:t>
      </w:r>
    </w:p>
    <w:p w14:paraId="4E2F0D4D" w14:textId="1954EAB6"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поставка и монтаж систем автоматического контроля нарушено по сроку завершения, при плане 30 октября,</w:t>
      </w:r>
      <w:r w:rsidRPr="00A53AD7">
        <w:t xml:space="preserve"> </w:t>
      </w:r>
      <w:r w:rsidRPr="00A53AD7">
        <w:rPr>
          <w:rFonts w:ascii="Times New Roman" w:hAnsi="Times New Roman" w:cs="Times New Roman"/>
          <w:sz w:val="28"/>
          <w:szCs w:val="28"/>
        </w:rPr>
        <w:t>согласно отчету</w:t>
      </w:r>
      <w:r w:rsidRPr="00A53AD7">
        <w:t xml:space="preserve"> </w:t>
      </w:r>
      <w:r w:rsidRPr="00A53AD7">
        <w:rPr>
          <w:rFonts w:ascii="Times New Roman" w:hAnsi="Times New Roman" w:cs="Times New Roman"/>
          <w:sz w:val="28"/>
          <w:szCs w:val="28"/>
        </w:rPr>
        <w:t>31 октября, фактически п</w:t>
      </w:r>
      <w:r w:rsidR="00D93F4D" w:rsidRPr="00A53AD7">
        <w:rPr>
          <w:rFonts w:ascii="Times New Roman" w:hAnsi="Times New Roman" w:cs="Times New Roman"/>
          <w:sz w:val="28"/>
          <w:szCs w:val="28"/>
        </w:rPr>
        <w:t>оставка и монтаж 27 и 29 ноября;</w:t>
      </w:r>
    </w:p>
    <w:p w14:paraId="7E1E21AE" w14:textId="4ADC0D83"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оплата в соответствии с контрактом на поставку нарушена по сроку завершения</w:t>
      </w:r>
      <w:r w:rsidRPr="00A53AD7">
        <w:t xml:space="preserve"> </w:t>
      </w:r>
      <w:r w:rsidRPr="00A53AD7">
        <w:rPr>
          <w:rFonts w:ascii="Times New Roman" w:hAnsi="Times New Roman" w:cs="Times New Roman"/>
          <w:sz w:val="28"/>
          <w:szCs w:val="28"/>
        </w:rPr>
        <w:t>29 ноября, оплата согласно отчету 30 октября, фактически 19,20 и 29 ноября.</w:t>
      </w:r>
    </w:p>
    <w:p w14:paraId="64FF00D4" w14:textId="40911F83"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«1.2 Эффективное применение специальных технических средств фиксации нарушений Правил дорожного движения, работающих в автоматическом режиме» кассо</w:t>
      </w:r>
      <w:r w:rsidR="0054228B" w:rsidRPr="00A53AD7">
        <w:rPr>
          <w:rFonts w:ascii="Times New Roman" w:hAnsi="Times New Roman" w:cs="Times New Roman"/>
          <w:sz w:val="28"/>
          <w:szCs w:val="28"/>
        </w:rPr>
        <w:t>вые расходы в сумме 23,719 млн.</w:t>
      </w:r>
      <w:r w:rsidRPr="00A53AD7">
        <w:rPr>
          <w:rFonts w:ascii="Times New Roman" w:hAnsi="Times New Roman" w:cs="Times New Roman"/>
          <w:sz w:val="28"/>
          <w:szCs w:val="28"/>
        </w:rPr>
        <w:t>руб. или 100,0% к плану, согласно отчету о реализации за 2019 год государственной программы, размещенному в системе КИАС. Согласно «Отчету об использовании средств субсидии на иные цели на 01.01.2020 ГБУ АО «РТС», предоставленного по запросу КСП АО, кассовые ра</w:t>
      </w:r>
      <w:r w:rsidR="0054228B" w:rsidRPr="00A53AD7">
        <w:rPr>
          <w:rFonts w:ascii="Times New Roman" w:hAnsi="Times New Roman" w:cs="Times New Roman"/>
          <w:sz w:val="28"/>
          <w:szCs w:val="28"/>
        </w:rPr>
        <w:t>сходы в сумме 23,686 млн.</w:t>
      </w:r>
      <w:r w:rsidRPr="00A53AD7">
        <w:rPr>
          <w:rFonts w:ascii="Times New Roman" w:hAnsi="Times New Roman" w:cs="Times New Roman"/>
          <w:sz w:val="28"/>
          <w:szCs w:val="28"/>
        </w:rPr>
        <w:t>р</w:t>
      </w:r>
      <w:r w:rsidR="0054228B" w:rsidRPr="00A53AD7">
        <w:rPr>
          <w:rFonts w:ascii="Times New Roman" w:hAnsi="Times New Roman" w:cs="Times New Roman"/>
          <w:sz w:val="28"/>
          <w:szCs w:val="28"/>
        </w:rPr>
        <w:t>уб. или отклонение «-0,033 млн.</w:t>
      </w:r>
      <w:r w:rsidRPr="00A53AD7">
        <w:rPr>
          <w:rFonts w:ascii="Times New Roman" w:hAnsi="Times New Roman" w:cs="Times New Roman"/>
          <w:sz w:val="28"/>
          <w:szCs w:val="28"/>
        </w:rPr>
        <w:t>руб.».</w:t>
      </w:r>
    </w:p>
    <w:p w14:paraId="25CF9F28" w14:textId="4DEC11C4"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Таким образом, КСП АО считает - фактическое исполнение по подпрограмме № </w:t>
      </w:r>
      <w:r w:rsidR="0054228B" w:rsidRPr="00A53AD7">
        <w:rPr>
          <w:rFonts w:ascii="Times New Roman" w:hAnsi="Times New Roman" w:cs="Times New Roman"/>
          <w:sz w:val="28"/>
          <w:szCs w:val="28"/>
        </w:rPr>
        <w:t>6 составляет в сумме 79,95 млн.</w:t>
      </w:r>
      <w:r w:rsidRPr="00A53AD7">
        <w:rPr>
          <w:rFonts w:ascii="Times New Roman" w:hAnsi="Times New Roman" w:cs="Times New Roman"/>
          <w:sz w:val="28"/>
          <w:szCs w:val="28"/>
        </w:rPr>
        <w:t>руб. (отклонение «-9,268 млн.руб.») или исполнение 86,7% (отклонение «-10,0%»).</w:t>
      </w:r>
    </w:p>
    <w:p w14:paraId="291988B7" w14:textId="77777777" w:rsidR="00000803" w:rsidRPr="00A53AD7" w:rsidRDefault="00000803" w:rsidP="00C65E7D">
      <w:pPr>
        <w:pStyle w:val="ConsPlusNormal"/>
        <w:ind w:firstLine="851"/>
        <w:jc w:val="both"/>
        <w:rPr>
          <w:rFonts w:ascii="Times New Roman" w:hAnsi="Times New Roman" w:cs="Times New Roman"/>
          <w:sz w:val="28"/>
          <w:szCs w:val="28"/>
        </w:rPr>
      </w:pPr>
    </w:p>
    <w:p w14:paraId="539E9D63" w14:textId="77777777" w:rsidR="00000803" w:rsidRPr="00A53AD7" w:rsidRDefault="00000803" w:rsidP="00C65E7D">
      <w:pPr>
        <w:spacing w:after="0" w:line="240" w:lineRule="auto"/>
        <w:rPr>
          <w:rFonts w:ascii="Times New Roman" w:hAnsi="Times New Roman"/>
          <w:b/>
          <w:sz w:val="28"/>
          <w:szCs w:val="28"/>
          <w:u w:val="single"/>
          <w:lang w:eastAsia="x-none"/>
        </w:rPr>
      </w:pPr>
      <w:r w:rsidRPr="00A53AD7">
        <w:rPr>
          <w:rFonts w:ascii="Times New Roman" w:hAnsi="Times New Roman"/>
          <w:b/>
          <w:sz w:val="28"/>
          <w:szCs w:val="28"/>
          <w:u w:val="single"/>
          <w:lang w:eastAsia="x-none"/>
        </w:rPr>
        <w:t xml:space="preserve">Подпрограмма № 7 </w:t>
      </w:r>
      <w:bookmarkStart w:id="93" w:name="_Hlk5963477"/>
      <w:r w:rsidRPr="00A53AD7">
        <w:rPr>
          <w:rFonts w:ascii="Times New Roman" w:hAnsi="Times New Roman"/>
          <w:b/>
          <w:sz w:val="28"/>
          <w:szCs w:val="28"/>
          <w:u w:val="single"/>
          <w:lang w:eastAsia="x-none"/>
        </w:rPr>
        <w:t>«Комплексное развитие объединенной дорожной сети Архангельской области и Архангельской городской агломерации»</w:t>
      </w:r>
      <w:bookmarkEnd w:id="93"/>
    </w:p>
    <w:p w14:paraId="0708AEB1" w14:textId="25AA6835"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Расходы на реализацию мероприятий подпрограммы в динамике в разрезе источников финанс</w:t>
      </w:r>
      <w:r w:rsidR="00C65E7D" w:rsidRPr="00A53AD7">
        <w:rPr>
          <w:rFonts w:ascii="Times New Roman" w:hAnsi="Times New Roman" w:cs="Times New Roman"/>
          <w:sz w:val="28"/>
          <w:szCs w:val="28"/>
        </w:rPr>
        <w:t>ирования представлены в таблице:</w:t>
      </w:r>
    </w:p>
    <w:tbl>
      <w:tblPr>
        <w:tblW w:w="5058"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42"/>
        <w:gridCol w:w="959"/>
        <w:gridCol w:w="959"/>
        <w:gridCol w:w="958"/>
        <w:gridCol w:w="821"/>
        <w:gridCol w:w="794"/>
        <w:gridCol w:w="845"/>
        <w:gridCol w:w="681"/>
        <w:gridCol w:w="673"/>
      </w:tblGrid>
      <w:tr w:rsidR="00D470B6" w:rsidRPr="00A53AD7" w14:paraId="03C105B1" w14:textId="77777777" w:rsidTr="00C65E7D">
        <w:trPr>
          <w:trHeight w:val="587"/>
          <w:tblHeader/>
          <w:jc w:val="center"/>
        </w:trPr>
        <w:tc>
          <w:tcPr>
            <w:tcW w:w="1453" w:type="pct"/>
            <w:vAlign w:val="center"/>
          </w:tcPr>
          <w:p w14:paraId="732279F7" w14:textId="3EDA0C94" w:rsidR="00000803" w:rsidRPr="00A53AD7" w:rsidRDefault="00000803" w:rsidP="00D352AF">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источников</w:t>
            </w:r>
          </w:p>
        </w:tc>
        <w:tc>
          <w:tcPr>
            <w:tcW w:w="508" w:type="pct"/>
            <w:vAlign w:val="center"/>
          </w:tcPr>
          <w:p w14:paraId="06457C67"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2014 год</w:t>
            </w:r>
          </w:p>
        </w:tc>
        <w:tc>
          <w:tcPr>
            <w:tcW w:w="508" w:type="pct"/>
            <w:vAlign w:val="center"/>
          </w:tcPr>
          <w:p w14:paraId="60C9DF20"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2015 год</w:t>
            </w:r>
          </w:p>
        </w:tc>
        <w:tc>
          <w:tcPr>
            <w:tcW w:w="508" w:type="pct"/>
            <w:vAlign w:val="center"/>
          </w:tcPr>
          <w:p w14:paraId="7BAC666C"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2016 год</w:t>
            </w:r>
          </w:p>
        </w:tc>
        <w:tc>
          <w:tcPr>
            <w:tcW w:w="435" w:type="pct"/>
            <w:vAlign w:val="center"/>
          </w:tcPr>
          <w:p w14:paraId="41B58D8A"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2017 год</w:t>
            </w:r>
          </w:p>
        </w:tc>
        <w:tc>
          <w:tcPr>
            <w:tcW w:w="421" w:type="pct"/>
            <w:vAlign w:val="center"/>
          </w:tcPr>
          <w:p w14:paraId="6D03CB16"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448" w:type="pct"/>
            <w:vAlign w:val="center"/>
          </w:tcPr>
          <w:p w14:paraId="4592F0AB"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361" w:type="pct"/>
            <w:vAlign w:val="center"/>
          </w:tcPr>
          <w:p w14:paraId="3127BCB2"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2019 к 2014,%</w:t>
            </w:r>
          </w:p>
        </w:tc>
        <w:tc>
          <w:tcPr>
            <w:tcW w:w="357" w:type="pct"/>
            <w:vAlign w:val="center"/>
          </w:tcPr>
          <w:p w14:paraId="5C7EB3B5" w14:textId="77777777" w:rsidR="00000803" w:rsidRPr="00A53AD7" w:rsidRDefault="00000803" w:rsidP="00C65E7D">
            <w:pPr>
              <w:spacing w:after="0" w:line="240" w:lineRule="auto"/>
              <w:jc w:val="center"/>
              <w:rPr>
                <w:rFonts w:ascii="Times New Roman" w:hAnsi="Times New Roman"/>
                <w:sz w:val="20"/>
                <w:szCs w:val="20"/>
              </w:rPr>
            </w:pPr>
            <w:r w:rsidRPr="00A53AD7">
              <w:rPr>
                <w:rFonts w:ascii="Times New Roman" w:hAnsi="Times New Roman"/>
                <w:sz w:val="20"/>
                <w:szCs w:val="20"/>
              </w:rPr>
              <w:t>2019 к 2018,%</w:t>
            </w:r>
          </w:p>
        </w:tc>
      </w:tr>
      <w:tr w:rsidR="00D470B6" w:rsidRPr="00A53AD7" w14:paraId="2AC18C0A" w14:textId="77777777" w:rsidTr="00D93F4D">
        <w:trPr>
          <w:trHeight w:val="210"/>
          <w:jc w:val="center"/>
        </w:trPr>
        <w:tc>
          <w:tcPr>
            <w:tcW w:w="1453" w:type="pct"/>
            <w:shd w:val="clear" w:color="auto" w:fill="D9D9D9" w:themeFill="background1" w:themeFillShade="D9"/>
            <w:vAlign w:val="center"/>
          </w:tcPr>
          <w:p w14:paraId="71EC4AF7" w14:textId="77777777" w:rsidR="00000803" w:rsidRPr="00A53AD7" w:rsidRDefault="00D470B6" w:rsidP="00C65E7D">
            <w:pPr>
              <w:tabs>
                <w:tab w:val="left" w:pos="253"/>
              </w:tabs>
              <w:spacing w:after="0" w:line="240" w:lineRule="auto"/>
              <w:rPr>
                <w:rFonts w:ascii="Times New Roman" w:hAnsi="Times New Roman"/>
                <w:bCs/>
                <w:sz w:val="18"/>
                <w:szCs w:val="18"/>
              </w:rPr>
            </w:pPr>
            <w:hyperlink r:id="rId90" w:history="1">
              <w:r w:rsidR="00000803" w:rsidRPr="00A53AD7">
                <w:rPr>
                  <w:rFonts w:ascii="Times New Roman" w:hAnsi="Times New Roman"/>
                  <w:sz w:val="18"/>
                  <w:szCs w:val="18"/>
                </w:rPr>
                <w:t>Подпрограмма № 7</w:t>
              </w:r>
            </w:hyperlink>
            <w:r w:rsidR="00000803" w:rsidRPr="00A53AD7">
              <w:rPr>
                <w:rFonts w:ascii="Times New Roman" w:hAnsi="Times New Roman"/>
                <w:sz w:val="18"/>
                <w:szCs w:val="18"/>
              </w:rPr>
              <w:t xml:space="preserve"> " Комплексное развитие объединенной дорожной сети Архангельской области и Архангельской агломерации "</w:t>
            </w:r>
          </w:p>
        </w:tc>
        <w:tc>
          <w:tcPr>
            <w:tcW w:w="508" w:type="pct"/>
            <w:shd w:val="clear" w:color="auto" w:fill="D9D9D9" w:themeFill="background1" w:themeFillShade="D9"/>
          </w:tcPr>
          <w:p w14:paraId="5985AC9A"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508" w:type="pct"/>
            <w:shd w:val="clear" w:color="auto" w:fill="D9D9D9" w:themeFill="background1" w:themeFillShade="D9"/>
          </w:tcPr>
          <w:p w14:paraId="4F9B600B"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508" w:type="pct"/>
            <w:shd w:val="clear" w:color="auto" w:fill="D9D9D9" w:themeFill="background1" w:themeFillShade="D9"/>
          </w:tcPr>
          <w:p w14:paraId="5652F993"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435" w:type="pct"/>
            <w:shd w:val="clear" w:color="auto" w:fill="D9D9D9" w:themeFill="background1" w:themeFillShade="D9"/>
          </w:tcPr>
          <w:p w14:paraId="399E12DE"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421" w:type="pct"/>
            <w:shd w:val="clear" w:color="auto" w:fill="D9D9D9" w:themeFill="background1" w:themeFillShade="D9"/>
          </w:tcPr>
          <w:p w14:paraId="2F199B6B"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448" w:type="pct"/>
            <w:shd w:val="clear" w:color="auto" w:fill="D9D9D9" w:themeFill="background1" w:themeFillShade="D9"/>
          </w:tcPr>
          <w:p w14:paraId="45A205F4"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2 397,1</w:t>
            </w:r>
          </w:p>
        </w:tc>
        <w:tc>
          <w:tcPr>
            <w:tcW w:w="361" w:type="pct"/>
            <w:shd w:val="clear" w:color="auto" w:fill="D9D9D9" w:themeFill="background1" w:themeFillShade="D9"/>
          </w:tcPr>
          <w:p w14:paraId="73CB39C1"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c>
          <w:tcPr>
            <w:tcW w:w="357" w:type="pct"/>
            <w:shd w:val="clear" w:color="auto" w:fill="D9D9D9" w:themeFill="background1" w:themeFillShade="D9"/>
          </w:tcPr>
          <w:p w14:paraId="56739254" w14:textId="77777777" w:rsidR="00000803" w:rsidRPr="00A53AD7" w:rsidRDefault="00000803" w:rsidP="00D93F4D">
            <w:pPr>
              <w:spacing w:after="0" w:line="240" w:lineRule="auto"/>
              <w:jc w:val="right"/>
              <w:rPr>
                <w:rFonts w:ascii="Times New Roman" w:hAnsi="Times New Roman"/>
                <w:sz w:val="18"/>
                <w:szCs w:val="18"/>
              </w:rPr>
            </w:pPr>
            <w:r w:rsidRPr="00A53AD7">
              <w:rPr>
                <w:rFonts w:ascii="Times New Roman" w:hAnsi="Times New Roman"/>
                <w:sz w:val="18"/>
                <w:szCs w:val="18"/>
              </w:rPr>
              <w:t>-</w:t>
            </w:r>
          </w:p>
        </w:tc>
      </w:tr>
      <w:tr w:rsidR="00D470B6" w:rsidRPr="00A53AD7" w14:paraId="328AE2C2" w14:textId="77777777" w:rsidTr="00D93F4D">
        <w:trPr>
          <w:trHeight w:val="210"/>
          <w:jc w:val="center"/>
        </w:trPr>
        <w:tc>
          <w:tcPr>
            <w:tcW w:w="1453" w:type="pct"/>
            <w:vAlign w:val="center"/>
          </w:tcPr>
          <w:p w14:paraId="5E262835" w14:textId="77777777" w:rsidR="00000803" w:rsidRPr="00A53AD7" w:rsidRDefault="00000803" w:rsidP="00C65E7D">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Федеральный бюджет</w:t>
            </w:r>
          </w:p>
        </w:tc>
        <w:tc>
          <w:tcPr>
            <w:tcW w:w="508" w:type="pct"/>
          </w:tcPr>
          <w:p w14:paraId="78E16B84"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7AE6A73A"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7DAA5B12"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35" w:type="pct"/>
          </w:tcPr>
          <w:p w14:paraId="0B74BD40"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21" w:type="pct"/>
          </w:tcPr>
          <w:p w14:paraId="188CEF88"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48" w:type="pct"/>
          </w:tcPr>
          <w:p w14:paraId="71CDFF7B"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1781,2</w:t>
            </w:r>
          </w:p>
        </w:tc>
        <w:tc>
          <w:tcPr>
            <w:tcW w:w="361" w:type="pct"/>
          </w:tcPr>
          <w:p w14:paraId="06CF120A"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357" w:type="pct"/>
          </w:tcPr>
          <w:p w14:paraId="50F3C2F4"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r>
      <w:tr w:rsidR="00D470B6" w:rsidRPr="00A53AD7" w14:paraId="736AF164" w14:textId="77777777" w:rsidTr="00D93F4D">
        <w:trPr>
          <w:trHeight w:val="210"/>
          <w:jc w:val="center"/>
        </w:trPr>
        <w:tc>
          <w:tcPr>
            <w:tcW w:w="1453" w:type="pct"/>
            <w:vAlign w:val="center"/>
          </w:tcPr>
          <w:p w14:paraId="1529F755" w14:textId="77777777" w:rsidR="00000803" w:rsidRPr="00A53AD7" w:rsidRDefault="00000803" w:rsidP="00C65E7D">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Областной бюджет</w:t>
            </w:r>
          </w:p>
        </w:tc>
        <w:tc>
          <w:tcPr>
            <w:tcW w:w="508" w:type="pct"/>
          </w:tcPr>
          <w:p w14:paraId="06023CF7"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1EE99557"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0212FAA2"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35" w:type="pct"/>
          </w:tcPr>
          <w:p w14:paraId="2D25CC07"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21" w:type="pct"/>
          </w:tcPr>
          <w:p w14:paraId="1E1104B6"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48" w:type="pct"/>
          </w:tcPr>
          <w:p w14:paraId="0DEE6E45"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461,1</w:t>
            </w:r>
          </w:p>
        </w:tc>
        <w:tc>
          <w:tcPr>
            <w:tcW w:w="361" w:type="pct"/>
          </w:tcPr>
          <w:p w14:paraId="0F0910BB"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357" w:type="pct"/>
          </w:tcPr>
          <w:p w14:paraId="69D38A3B"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r>
      <w:tr w:rsidR="00000803" w:rsidRPr="00A53AD7" w14:paraId="1A5AA954" w14:textId="77777777" w:rsidTr="00D93F4D">
        <w:trPr>
          <w:trHeight w:val="210"/>
          <w:jc w:val="center"/>
        </w:trPr>
        <w:tc>
          <w:tcPr>
            <w:tcW w:w="1453" w:type="pct"/>
            <w:vAlign w:val="center"/>
          </w:tcPr>
          <w:p w14:paraId="68BB821C" w14:textId="77777777" w:rsidR="00000803" w:rsidRPr="00A53AD7" w:rsidRDefault="00000803" w:rsidP="00C65E7D">
            <w:pPr>
              <w:tabs>
                <w:tab w:val="left" w:pos="253"/>
              </w:tabs>
              <w:spacing w:after="0" w:line="240" w:lineRule="auto"/>
              <w:rPr>
                <w:rFonts w:ascii="Times New Roman" w:hAnsi="Times New Roman"/>
                <w:bCs/>
                <w:sz w:val="16"/>
                <w:szCs w:val="16"/>
              </w:rPr>
            </w:pPr>
            <w:r w:rsidRPr="00A53AD7">
              <w:rPr>
                <w:rFonts w:ascii="Times New Roman" w:hAnsi="Times New Roman"/>
                <w:bCs/>
                <w:sz w:val="16"/>
                <w:szCs w:val="16"/>
              </w:rPr>
              <w:t>Местный бюджет</w:t>
            </w:r>
          </w:p>
        </w:tc>
        <w:tc>
          <w:tcPr>
            <w:tcW w:w="508" w:type="pct"/>
          </w:tcPr>
          <w:p w14:paraId="7C7B64E1"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24D9FD7B"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508" w:type="pct"/>
          </w:tcPr>
          <w:p w14:paraId="59DE2755"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35" w:type="pct"/>
          </w:tcPr>
          <w:p w14:paraId="3A97C4F1"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21" w:type="pct"/>
          </w:tcPr>
          <w:p w14:paraId="6B6B1BF4"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448" w:type="pct"/>
          </w:tcPr>
          <w:p w14:paraId="071C47A5"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154,8</w:t>
            </w:r>
          </w:p>
        </w:tc>
        <w:tc>
          <w:tcPr>
            <w:tcW w:w="361" w:type="pct"/>
          </w:tcPr>
          <w:p w14:paraId="62F53CE9"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c>
          <w:tcPr>
            <w:tcW w:w="357" w:type="pct"/>
          </w:tcPr>
          <w:p w14:paraId="752EAAC8" w14:textId="77777777" w:rsidR="00000803" w:rsidRPr="00A53AD7" w:rsidRDefault="00000803" w:rsidP="00D93F4D">
            <w:pPr>
              <w:spacing w:after="0" w:line="240" w:lineRule="auto"/>
              <w:jc w:val="right"/>
              <w:rPr>
                <w:rFonts w:ascii="Times New Roman" w:hAnsi="Times New Roman"/>
                <w:sz w:val="16"/>
                <w:szCs w:val="16"/>
              </w:rPr>
            </w:pPr>
            <w:r w:rsidRPr="00A53AD7">
              <w:rPr>
                <w:rFonts w:ascii="Times New Roman" w:hAnsi="Times New Roman"/>
                <w:sz w:val="16"/>
                <w:szCs w:val="16"/>
              </w:rPr>
              <w:t>-</w:t>
            </w:r>
          </w:p>
        </w:tc>
      </w:tr>
    </w:tbl>
    <w:p w14:paraId="231EB9EF" w14:textId="77777777" w:rsidR="00000803" w:rsidRPr="00A53AD7" w:rsidRDefault="00000803" w:rsidP="00C65E7D">
      <w:pPr>
        <w:pStyle w:val="ConsPlusNormal"/>
        <w:ind w:firstLine="851"/>
        <w:jc w:val="both"/>
        <w:rPr>
          <w:rFonts w:ascii="Times New Roman" w:hAnsi="Times New Roman" w:cs="Times New Roman"/>
          <w:sz w:val="28"/>
          <w:szCs w:val="28"/>
        </w:rPr>
      </w:pPr>
    </w:p>
    <w:p w14:paraId="6CCFC510" w14:textId="77777777"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«Сведений о достижении целевых показателей ГП» исполнение по 9 целевым показателям подпрограммы № 7 составило: по 8 целевым показателям исполнение 100% и выше, 1 целевой показатель не выполнен.</w:t>
      </w:r>
    </w:p>
    <w:p w14:paraId="79C7DC56" w14:textId="77777777"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За отчетный период в рамках подпрограммы осуществлялась реализация двух мероприятий.</w:t>
      </w:r>
    </w:p>
    <w:p w14:paraId="035CD43E" w14:textId="131DDB9C"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рамках подпрограммы осуществлены кассовые расходы на сумму</w:t>
      </w:r>
      <w:r w:rsidR="007364DB" w:rsidRPr="00A53AD7">
        <w:rPr>
          <w:rFonts w:ascii="Times New Roman" w:hAnsi="Times New Roman" w:cs="Times New Roman"/>
          <w:sz w:val="28"/>
          <w:szCs w:val="28"/>
        </w:rPr>
        <w:t xml:space="preserve"> </w:t>
      </w:r>
      <w:r w:rsidR="006E35B4" w:rsidRPr="00A53AD7">
        <w:rPr>
          <w:rFonts w:ascii="Times New Roman" w:hAnsi="Times New Roman" w:cs="Times New Roman"/>
          <w:sz w:val="28"/>
          <w:szCs w:val="28"/>
        </w:rPr>
        <w:t>2 397,1 млн.</w:t>
      </w:r>
      <w:r w:rsidRPr="00A53AD7">
        <w:rPr>
          <w:rFonts w:ascii="Times New Roman" w:hAnsi="Times New Roman" w:cs="Times New Roman"/>
          <w:sz w:val="28"/>
          <w:szCs w:val="28"/>
        </w:rPr>
        <w:t>руб. или 98,7 % к плану, в том числе за счет средств феде</w:t>
      </w:r>
      <w:r w:rsidR="006E35B4" w:rsidRPr="00A53AD7">
        <w:rPr>
          <w:rFonts w:ascii="Times New Roman" w:hAnsi="Times New Roman" w:cs="Times New Roman"/>
          <w:sz w:val="28"/>
          <w:szCs w:val="28"/>
        </w:rPr>
        <w:t>рального бюджета – 1 781,2 млн.</w:t>
      </w:r>
      <w:r w:rsidRPr="00A53AD7">
        <w:rPr>
          <w:rFonts w:ascii="Times New Roman" w:hAnsi="Times New Roman" w:cs="Times New Roman"/>
          <w:sz w:val="28"/>
          <w:szCs w:val="28"/>
        </w:rPr>
        <w:t>руб. или 100,0% к плану на год, за счет средств областного бюджета –</w:t>
      </w:r>
      <w:r w:rsidR="007364DB" w:rsidRPr="00A53AD7">
        <w:rPr>
          <w:rFonts w:ascii="Times New Roman" w:hAnsi="Times New Roman" w:cs="Times New Roman"/>
          <w:sz w:val="28"/>
          <w:szCs w:val="28"/>
        </w:rPr>
        <w:t xml:space="preserve"> </w:t>
      </w:r>
      <w:r w:rsidR="006E35B4" w:rsidRPr="00A53AD7">
        <w:rPr>
          <w:rFonts w:ascii="Times New Roman" w:hAnsi="Times New Roman" w:cs="Times New Roman"/>
          <w:sz w:val="28"/>
          <w:szCs w:val="28"/>
        </w:rPr>
        <w:t>461,1 млн.</w:t>
      </w:r>
      <w:r w:rsidRPr="00A53AD7">
        <w:rPr>
          <w:rFonts w:ascii="Times New Roman" w:hAnsi="Times New Roman" w:cs="Times New Roman"/>
          <w:sz w:val="28"/>
          <w:szCs w:val="28"/>
        </w:rPr>
        <w:t>руб. или 94,6 % к плану на год, за счет средст</w:t>
      </w:r>
      <w:r w:rsidR="006E35B4" w:rsidRPr="00A53AD7">
        <w:rPr>
          <w:rFonts w:ascii="Times New Roman" w:hAnsi="Times New Roman" w:cs="Times New Roman"/>
          <w:sz w:val="28"/>
          <w:szCs w:val="28"/>
        </w:rPr>
        <w:t>в местного бюджета – 154,8 млн.</w:t>
      </w:r>
      <w:r w:rsidR="00D93F4D" w:rsidRPr="00A53AD7">
        <w:rPr>
          <w:rFonts w:ascii="Times New Roman" w:hAnsi="Times New Roman" w:cs="Times New Roman"/>
          <w:sz w:val="28"/>
          <w:szCs w:val="28"/>
        </w:rPr>
        <w:t>руб. или 96,7% к плану на год.</w:t>
      </w:r>
    </w:p>
    <w:p w14:paraId="1B4711E3" w14:textId="2F65E354"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«1.1 Приведение в нормативное состояние региональных автомобильных дорог», исполнитель ГКУ Архангельской области «Дорожное агентство «Архангельскавтодор» кассовое исполнение составило в сумме 1 533,8 млн.руб. или 98,4 % к плану.</w:t>
      </w:r>
    </w:p>
    <w:p w14:paraId="1085F042" w14:textId="5B4E6275"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мероприятию «1.2</w:t>
      </w:r>
      <w:bookmarkStart w:id="94" w:name="_Hlk5964785"/>
      <w:r w:rsidRPr="00A53AD7">
        <w:rPr>
          <w:rFonts w:ascii="Times New Roman" w:hAnsi="Times New Roman" w:cs="Times New Roman"/>
          <w:sz w:val="28"/>
          <w:szCs w:val="28"/>
        </w:rPr>
        <w:t xml:space="preserve"> Приведение в нормативное состояние автомобильных дорог Архангельской городской агломерации</w:t>
      </w:r>
      <w:bookmarkEnd w:id="94"/>
      <w:r w:rsidRPr="00A53AD7">
        <w:rPr>
          <w:rFonts w:ascii="Times New Roman" w:hAnsi="Times New Roman" w:cs="Times New Roman"/>
          <w:sz w:val="28"/>
          <w:szCs w:val="28"/>
        </w:rPr>
        <w:t>» исполнение соста</w:t>
      </w:r>
      <w:r w:rsidR="00E6143A" w:rsidRPr="00A53AD7">
        <w:rPr>
          <w:rFonts w:ascii="Times New Roman" w:hAnsi="Times New Roman" w:cs="Times New Roman"/>
          <w:sz w:val="28"/>
          <w:szCs w:val="28"/>
        </w:rPr>
        <w:t>вило в сумме 863,4 млн.</w:t>
      </w:r>
      <w:r w:rsidRPr="00A53AD7">
        <w:rPr>
          <w:rFonts w:ascii="Times New Roman" w:hAnsi="Times New Roman" w:cs="Times New Roman"/>
          <w:sz w:val="28"/>
          <w:szCs w:val="28"/>
        </w:rPr>
        <w:t>руб. или 99,2 % к плану.</w:t>
      </w:r>
    </w:p>
    <w:p w14:paraId="7D5ECFB1" w14:textId="23DC95EB"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предоставленным «Отчетам о расходах, в целях софинансирования которых предоставляется Иной межбюджетный трансферт на 01 января 2020 года» по муниципальным образованиям в сумм</w:t>
      </w:r>
      <w:r w:rsidR="00E6143A" w:rsidRPr="00A53AD7">
        <w:rPr>
          <w:rFonts w:ascii="Times New Roman" w:hAnsi="Times New Roman" w:cs="Times New Roman"/>
          <w:sz w:val="28"/>
          <w:szCs w:val="28"/>
        </w:rPr>
        <w:t>е 862,9 млн.</w:t>
      </w:r>
      <w:r w:rsidR="00C65E7D" w:rsidRPr="00A53AD7">
        <w:rPr>
          <w:rFonts w:ascii="Times New Roman" w:hAnsi="Times New Roman" w:cs="Times New Roman"/>
          <w:sz w:val="28"/>
          <w:szCs w:val="28"/>
        </w:rPr>
        <w:t>руб., в том числе:</w:t>
      </w:r>
    </w:p>
    <w:p w14:paraId="3952B096" w14:textId="4306A8D5"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«Город Арх</w:t>
      </w:r>
      <w:r w:rsidR="00E6143A" w:rsidRPr="00A53AD7">
        <w:rPr>
          <w:rFonts w:ascii="Times New Roman" w:hAnsi="Times New Roman" w:cs="Times New Roman"/>
          <w:sz w:val="28"/>
          <w:szCs w:val="28"/>
        </w:rPr>
        <w:t>ангельск» исполнение 510,8 млн.</w:t>
      </w:r>
      <w:r w:rsidRPr="00A53AD7">
        <w:rPr>
          <w:rFonts w:ascii="Times New Roman" w:hAnsi="Times New Roman" w:cs="Times New Roman"/>
          <w:sz w:val="28"/>
          <w:szCs w:val="28"/>
        </w:rPr>
        <w:t xml:space="preserve">руб. </w:t>
      </w:r>
      <w:r w:rsidR="00D93F4D" w:rsidRPr="00A53AD7">
        <w:rPr>
          <w:rFonts w:ascii="Times New Roman" w:hAnsi="Times New Roman" w:cs="Times New Roman"/>
          <w:sz w:val="28"/>
          <w:szCs w:val="28"/>
        </w:rPr>
        <w:t>(уровень софинансирования 78%);</w:t>
      </w:r>
    </w:p>
    <w:p w14:paraId="344D4AED" w14:textId="015A34B6"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«Приморский муниципаль</w:t>
      </w:r>
      <w:r w:rsidR="00C65E7D" w:rsidRPr="00A53AD7">
        <w:rPr>
          <w:rFonts w:ascii="Times New Roman" w:hAnsi="Times New Roman" w:cs="Times New Roman"/>
          <w:sz w:val="28"/>
          <w:szCs w:val="28"/>
        </w:rPr>
        <w:t>ный район» исполнение 48,5 млн.</w:t>
      </w:r>
      <w:r w:rsidRPr="00A53AD7">
        <w:rPr>
          <w:rFonts w:ascii="Times New Roman" w:hAnsi="Times New Roman" w:cs="Times New Roman"/>
          <w:sz w:val="28"/>
          <w:szCs w:val="28"/>
        </w:rPr>
        <w:t>руб. (ур</w:t>
      </w:r>
      <w:r w:rsidR="00D93F4D" w:rsidRPr="00A53AD7">
        <w:rPr>
          <w:rFonts w:ascii="Times New Roman" w:hAnsi="Times New Roman" w:cs="Times New Roman"/>
          <w:sz w:val="28"/>
          <w:szCs w:val="28"/>
        </w:rPr>
        <w:t>овень софинансирования 93,93%);</w:t>
      </w:r>
    </w:p>
    <w:p w14:paraId="1440372C" w14:textId="5A37F483"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«Город Н</w:t>
      </w:r>
      <w:r w:rsidR="00C65E7D" w:rsidRPr="00A53AD7">
        <w:rPr>
          <w:rFonts w:ascii="Times New Roman" w:hAnsi="Times New Roman" w:cs="Times New Roman"/>
          <w:sz w:val="28"/>
          <w:szCs w:val="28"/>
        </w:rPr>
        <w:t>оводвинск» исполнение 65,3 млн.</w:t>
      </w:r>
      <w:r w:rsidRPr="00A53AD7">
        <w:rPr>
          <w:rFonts w:ascii="Times New Roman" w:hAnsi="Times New Roman" w:cs="Times New Roman"/>
          <w:sz w:val="28"/>
          <w:szCs w:val="28"/>
        </w:rPr>
        <w:t>руб. (</w:t>
      </w:r>
      <w:r w:rsidR="00D93F4D" w:rsidRPr="00A53AD7">
        <w:rPr>
          <w:rFonts w:ascii="Times New Roman" w:hAnsi="Times New Roman" w:cs="Times New Roman"/>
          <w:sz w:val="28"/>
          <w:szCs w:val="28"/>
        </w:rPr>
        <w:t>уровень софинансирования 90,0%);</w:t>
      </w:r>
    </w:p>
    <w:p w14:paraId="7E915AFD" w14:textId="587F41A0" w:rsidR="00000803" w:rsidRPr="00A53AD7" w:rsidRDefault="00000803" w:rsidP="00CA1DDD">
      <w:pPr>
        <w:pStyle w:val="ConsPlusNonformat"/>
        <w:numPr>
          <w:ilvl w:val="0"/>
          <w:numId w:val="41"/>
        </w:numPr>
        <w:ind w:left="0" w:firstLine="851"/>
        <w:jc w:val="both"/>
        <w:rPr>
          <w:rFonts w:ascii="Times New Roman" w:hAnsi="Times New Roman" w:cs="Times New Roman"/>
          <w:sz w:val="28"/>
          <w:szCs w:val="28"/>
        </w:rPr>
      </w:pPr>
      <w:r w:rsidRPr="00A53AD7">
        <w:rPr>
          <w:rFonts w:ascii="Times New Roman" w:hAnsi="Times New Roman" w:cs="Times New Roman"/>
          <w:sz w:val="28"/>
          <w:szCs w:val="28"/>
        </w:rPr>
        <w:t>«Севе</w:t>
      </w:r>
      <w:r w:rsidR="00C65E7D" w:rsidRPr="00A53AD7">
        <w:rPr>
          <w:rFonts w:ascii="Times New Roman" w:hAnsi="Times New Roman" w:cs="Times New Roman"/>
          <w:sz w:val="28"/>
          <w:szCs w:val="28"/>
        </w:rPr>
        <w:t>родвинск» исполнение 238,3 млн.</w:t>
      </w:r>
      <w:r w:rsidRPr="00A53AD7">
        <w:rPr>
          <w:rFonts w:ascii="Times New Roman" w:hAnsi="Times New Roman" w:cs="Times New Roman"/>
          <w:sz w:val="28"/>
          <w:szCs w:val="28"/>
        </w:rPr>
        <w:t>руб. (уровень софинансирования 85,02%).</w:t>
      </w:r>
    </w:p>
    <w:p w14:paraId="295C8B1B" w14:textId="77777777"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Мероприятия реализуются в рамках федерального проекта «Дорожная сеть» национального проекта «Безопасные и качественные автомобильные дороги» (См. в разделе региональный проект «Дорожная сеть (Архангельская область)»).</w:t>
      </w:r>
    </w:p>
    <w:p w14:paraId="5E515390" w14:textId="2B8CCCD8" w:rsidR="00000803" w:rsidRPr="00A53AD7" w:rsidRDefault="00000803" w:rsidP="00C65E7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Таким образом, - фактическое исполнение по подпрограмме № 7 составляет 2 396,6 м</w:t>
      </w:r>
      <w:r w:rsidR="00552BA7" w:rsidRPr="00A53AD7">
        <w:rPr>
          <w:rFonts w:ascii="Times New Roman" w:hAnsi="Times New Roman" w:cs="Times New Roman"/>
          <w:sz w:val="28"/>
          <w:szCs w:val="28"/>
        </w:rPr>
        <w:t>лн.руб. (отклонение «-0,5 млн.</w:t>
      </w:r>
      <w:r w:rsidRPr="00A53AD7">
        <w:rPr>
          <w:rFonts w:ascii="Times New Roman" w:hAnsi="Times New Roman" w:cs="Times New Roman"/>
          <w:sz w:val="28"/>
          <w:szCs w:val="28"/>
        </w:rPr>
        <w:t>руб.»).</w:t>
      </w:r>
    </w:p>
    <w:p w14:paraId="70FFA376" w14:textId="77777777" w:rsidR="00000803" w:rsidRPr="00A53AD7" w:rsidRDefault="00000803" w:rsidP="00C65E7D">
      <w:pPr>
        <w:pStyle w:val="ConsPlusNormal"/>
        <w:ind w:firstLine="851"/>
        <w:jc w:val="both"/>
        <w:rPr>
          <w:rFonts w:ascii="Times New Roman" w:hAnsi="Times New Roman" w:cs="Times New Roman"/>
          <w:sz w:val="28"/>
          <w:szCs w:val="28"/>
        </w:rPr>
      </w:pPr>
    </w:p>
    <w:p w14:paraId="1A2ED224" w14:textId="0571D53E" w:rsidR="00000803" w:rsidRPr="00A53AD7" w:rsidRDefault="00000803" w:rsidP="00000803">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 учетом вышеизложенного исполнение мероприятий госпрограммы за счет всех источников за 2019 год состави</w:t>
      </w:r>
      <w:r w:rsidR="00552BA7" w:rsidRPr="00A53AD7">
        <w:rPr>
          <w:rFonts w:ascii="Times New Roman" w:hAnsi="Times New Roman" w:cs="Times New Roman"/>
          <w:sz w:val="28"/>
          <w:szCs w:val="28"/>
        </w:rPr>
        <w:t>т в сумме 7 807,8 млн.</w:t>
      </w:r>
      <w:r w:rsidRPr="00A53AD7">
        <w:rPr>
          <w:rFonts w:ascii="Times New Roman" w:hAnsi="Times New Roman" w:cs="Times New Roman"/>
          <w:sz w:val="28"/>
          <w:szCs w:val="28"/>
        </w:rPr>
        <w:t>руб. (о</w:t>
      </w:r>
      <w:r w:rsidR="00552BA7" w:rsidRPr="00A53AD7">
        <w:rPr>
          <w:rFonts w:ascii="Times New Roman" w:hAnsi="Times New Roman" w:cs="Times New Roman"/>
          <w:sz w:val="28"/>
          <w:szCs w:val="28"/>
        </w:rPr>
        <w:t>тклонение -29,3 млн.</w:t>
      </w:r>
      <w:r w:rsidRPr="00A53AD7">
        <w:rPr>
          <w:rFonts w:ascii="Times New Roman" w:hAnsi="Times New Roman" w:cs="Times New Roman"/>
          <w:sz w:val="28"/>
          <w:szCs w:val="28"/>
        </w:rPr>
        <w:t>руб.) или 97,7% к плану (отклонение -0,4%).</w:t>
      </w:r>
    </w:p>
    <w:p w14:paraId="5D2477B9" w14:textId="05B9434E" w:rsidR="00023996" w:rsidRPr="00A53AD7" w:rsidRDefault="00023996" w:rsidP="00023996">
      <w:pPr>
        <w:pStyle w:val="3"/>
        <w:spacing w:line="240" w:lineRule="auto"/>
        <w:jc w:val="center"/>
        <w:rPr>
          <w:rFonts w:ascii="Times New Roman" w:hAnsi="Times New Roman"/>
          <w:b w:val="0"/>
          <w:sz w:val="28"/>
          <w:szCs w:val="28"/>
          <w:u w:val="single"/>
          <w:lang w:val="ru-RU"/>
        </w:rPr>
      </w:pPr>
      <w:bookmarkStart w:id="95" w:name="_Toc42006740"/>
      <w:r w:rsidRPr="00A53AD7">
        <w:rPr>
          <w:rFonts w:ascii="Times New Roman" w:hAnsi="Times New Roman"/>
          <w:b w:val="0"/>
          <w:sz w:val="28"/>
          <w:szCs w:val="28"/>
          <w:u w:val="single"/>
          <w:lang w:val="ru-RU"/>
        </w:rPr>
        <w:t>4.2.</w:t>
      </w:r>
      <w:r w:rsidR="009118AF" w:rsidRPr="00A53AD7">
        <w:rPr>
          <w:rFonts w:ascii="Times New Roman" w:hAnsi="Times New Roman"/>
          <w:b w:val="0"/>
          <w:sz w:val="28"/>
          <w:szCs w:val="28"/>
          <w:u w:val="single"/>
          <w:lang w:val="ru-RU"/>
        </w:rPr>
        <w:t>19</w:t>
      </w:r>
      <w:r w:rsidRPr="00A53AD7">
        <w:rPr>
          <w:rFonts w:ascii="Times New Roman" w:hAnsi="Times New Roman"/>
          <w:b w:val="0"/>
          <w:sz w:val="28"/>
          <w:szCs w:val="28"/>
          <w:u w:val="single"/>
          <w:lang w:val="ru-RU"/>
        </w:rPr>
        <w:t>. Государственная программа Архангельской области «Устойчивое развитие сельских территорий Архангельской области (2014</w:t>
      </w:r>
      <w:r w:rsidR="005B369A" w:rsidRPr="00A53AD7">
        <w:rPr>
          <w:rFonts w:ascii="Times New Roman" w:hAnsi="Times New Roman"/>
          <w:b w:val="0"/>
          <w:sz w:val="28"/>
          <w:szCs w:val="28"/>
          <w:u w:val="single"/>
          <w:lang w:val="ru-RU"/>
        </w:rPr>
        <w:t xml:space="preserve"> – </w:t>
      </w:r>
      <w:r w:rsidRPr="00A53AD7">
        <w:rPr>
          <w:rFonts w:ascii="Times New Roman" w:hAnsi="Times New Roman"/>
          <w:b w:val="0"/>
          <w:sz w:val="28"/>
          <w:szCs w:val="28"/>
          <w:u w:val="single"/>
          <w:lang w:val="ru-RU"/>
        </w:rPr>
        <w:t>2021 годы)»</w:t>
      </w:r>
      <w:bookmarkEnd w:id="95"/>
    </w:p>
    <w:p w14:paraId="43779232"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Государственная программа Архангельской области «Устойчивое развитие сельских территорий Архангельской области (2014-2021 годы)» утверждена постановлением Правительства АО от 08.10.2013 №461-пп (далее – ГП №461-пп). Ответственный исполнитель ГП № 461-пп - министерство агропромышленного комплекса и торговли АО, соисполнители: министерство ТЭК и ЖКХ АО, министерство строительства и архитектуры </w:t>
      </w:r>
      <w:bookmarkStart w:id="96" w:name="sub_1134"/>
      <w:r w:rsidRPr="00A53AD7">
        <w:rPr>
          <w:rFonts w:ascii="Times New Roman" w:hAnsi="Times New Roman" w:cs="Times New Roman"/>
          <w:sz w:val="28"/>
          <w:szCs w:val="28"/>
        </w:rPr>
        <w:t xml:space="preserve">АО, министерство транспорта </w:t>
      </w:r>
      <w:bookmarkEnd w:id="96"/>
      <w:r w:rsidRPr="00A53AD7">
        <w:rPr>
          <w:rFonts w:ascii="Times New Roman" w:hAnsi="Times New Roman" w:cs="Times New Roman"/>
          <w:sz w:val="28"/>
          <w:szCs w:val="28"/>
        </w:rPr>
        <w:t>АО, администрация Губернатора АО и Правительства АО.</w:t>
      </w:r>
    </w:p>
    <w:p w14:paraId="5D3052DE"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Изменения в ГП №461-пп за отчетный период вносились 4 раза.</w:t>
      </w:r>
    </w:p>
    <w:p w14:paraId="21E7EC29" w14:textId="3BC8690E"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 xml:space="preserve">Сравнение редакций программы, действующей на начало финансового года и по состоянию на 31.12.2019, в части источников финансирования на 2019 </w:t>
      </w:r>
      <w:r w:rsidR="003D03EE" w:rsidRPr="00A53AD7">
        <w:rPr>
          <w:rFonts w:ascii="Times New Roman" w:hAnsi="Times New Roman" w:cs="Times New Roman"/>
          <w:sz w:val="28"/>
          <w:szCs w:val="28"/>
        </w:rPr>
        <w:t>год представлено ниже</w:t>
      </w:r>
      <w:r w:rsidRPr="00A53AD7">
        <w:rPr>
          <w:rFonts w:ascii="Times New Roman" w:hAnsi="Times New Roman" w:cs="Times New Roman"/>
          <w:sz w:val="28"/>
          <w:szCs w:val="28"/>
        </w:rPr>
        <w:t>:</w:t>
      </w:r>
    </w:p>
    <w:p w14:paraId="595BAEBE" w14:textId="5829907D" w:rsidR="00D3181A" w:rsidRPr="00A53AD7" w:rsidRDefault="00D3181A" w:rsidP="00D3181A">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W w:w="9371" w:type="dxa"/>
        <w:tblInd w:w="93" w:type="dxa"/>
        <w:tblLook w:val="04A0" w:firstRow="1" w:lastRow="0" w:firstColumn="1" w:lastColumn="0" w:noHBand="0" w:noVBand="1"/>
      </w:tblPr>
      <w:tblGrid>
        <w:gridCol w:w="3134"/>
        <w:gridCol w:w="2410"/>
        <w:gridCol w:w="2409"/>
        <w:gridCol w:w="1418"/>
      </w:tblGrid>
      <w:tr w:rsidR="00D470B6" w:rsidRPr="00A53AD7" w14:paraId="5434EBE4" w14:textId="77777777" w:rsidTr="003D03EE">
        <w:trPr>
          <w:trHeight w:val="264"/>
        </w:trPr>
        <w:tc>
          <w:tcPr>
            <w:tcW w:w="3134"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D4BA4AA"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источник финансирования</w:t>
            </w:r>
          </w:p>
        </w:tc>
        <w:tc>
          <w:tcPr>
            <w:tcW w:w="2410" w:type="dxa"/>
            <w:vMerge w:val="restart"/>
            <w:tcBorders>
              <w:top w:val="double" w:sz="4" w:space="0" w:color="auto"/>
              <w:left w:val="nil"/>
              <w:right w:val="single" w:sz="4" w:space="0" w:color="auto"/>
            </w:tcBorders>
            <w:shd w:val="clear" w:color="auto" w:fill="auto"/>
            <w:vAlign w:val="center"/>
            <w:hideMark/>
          </w:tcPr>
          <w:p w14:paraId="49F8C7FA"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 ред. от 26.12.2018</w:t>
            </w:r>
          </w:p>
          <w:p w14:paraId="681CA0D4"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644-пп</w:t>
            </w:r>
          </w:p>
        </w:tc>
        <w:tc>
          <w:tcPr>
            <w:tcW w:w="2409" w:type="dxa"/>
            <w:tcBorders>
              <w:top w:val="double" w:sz="4" w:space="0" w:color="auto"/>
              <w:left w:val="nil"/>
              <w:right w:val="single" w:sz="4" w:space="0" w:color="auto"/>
            </w:tcBorders>
            <w:shd w:val="clear" w:color="auto" w:fill="auto"/>
            <w:vAlign w:val="center"/>
            <w:hideMark/>
          </w:tcPr>
          <w:p w14:paraId="2D52CB25"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 ред. от 10.10.2019</w:t>
            </w:r>
          </w:p>
        </w:tc>
        <w:tc>
          <w:tcPr>
            <w:tcW w:w="1418"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5C481405"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изменения</w:t>
            </w:r>
          </w:p>
        </w:tc>
      </w:tr>
      <w:tr w:rsidR="00D470B6" w:rsidRPr="00A53AD7" w14:paraId="312FF181" w14:textId="77777777" w:rsidTr="003D03EE">
        <w:trPr>
          <w:trHeight w:val="264"/>
        </w:trPr>
        <w:tc>
          <w:tcPr>
            <w:tcW w:w="3134" w:type="dxa"/>
            <w:vMerge/>
            <w:tcBorders>
              <w:top w:val="single" w:sz="4" w:space="0" w:color="auto"/>
              <w:left w:val="double" w:sz="4" w:space="0" w:color="auto"/>
              <w:bottom w:val="single" w:sz="4" w:space="0" w:color="auto"/>
              <w:right w:val="single" w:sz="4" w:space="0" w:color="auto"/>
            </w:tcBorders>
            <w:vAlign w:val="center"/>
            <w:hideMark/>
          </w:tcPr>
          <w:p w14:paraId="0D4A6F22" w14:textId="77777777" w:rsidR="00D3181A" w:rsidRPr="00A53AD7" w:rsidRDefault="00D3181A" w:rsidP="00D3181A">
            <w:pPr>
              <w:spacing w:after="0" w:line="240" w:lineRule="auto"/>
              <w:rPr>
                <w:rFonts w:ascii="Times New Roman" w:eastAsia="Times New Roman" w:hAnsi="Times New Roman"/>
                <w:lang w:eastAsia="ru-RU"/>
              </w:rPr>
            </w:pPr>
          </w:p>
        </w:tc>
        <w:tc>
          <w:tcPr>
            <w:tcW w:w="2410" w:type="dxa"/>
            <w:vMerge/>
            <w:tcBorders>
              <w:left w:val="nil"/>
              <w:bottom w:val="single" w:sz="4" w:space="0" w:color="auto"/>
              <w:right w:val="single" w:sz="4" w:space="0" w:color="auto"/>
            </w:tcBorders>
            <w:shd w:val="clear" w:color="auto" w:fill="auto"/>
            <w:vAlign w:val="center"/>
            <w:hideMark/>
          </w:tcPr>
          <w:p w14:paraId="7B963501" w14:textId="77777777" w:rsidR="00D3181A" w:rsidRPr="00A53AD7" w:rsidRDefault="00D3181A" w:rsidP="00D3181A">
            <w:pPr>
              <w:spacing w:after="0" w:line="240" w:lineRule="auto"/>
              <w:jc w:val="center"/>
              <w:rPr>
                <w:rFonts w:ascii="Times New Roman" w:eastAsia="Times New Roman" w:hAnsi="Times New Roman"/>
                <w:lang w:eastAsia="ru-RU"/>
              </w:rPr>
            </w:pPr>
          </w:p>
        </w:tc>
        <w:tc>
          <w:tcPr>
            <w:tcW w:w="2409" w:type="dxa"/>
            <w:tcBorders>
              <w:top w:val="nil"/>
              <w:left w:val="nil"/>
              <w:bottom w:val="single" w:sz="4" w:space="0" w:color="auto"/>
              <w:right w:val="single" w:sz="4" w:space="0" w:color="auto"/>
            </w:tcBorders>
            <w:shd w:val="clear" w:color="auto" w:fill="auto"/>
            <w:vAlign w:val="center"/>
            <w:hideMark/>
          </w:tcPr>
          <w:p w14:paraId="4C7C5668"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555-пп</w:t>
            </w:r>
          </w:p>
        </w:tc>
        <w:tc>
          <w:tcPr>
            <w:tcW w:w="1418" w:type="dxa"/>
            <w:vMerge/>
            <w:tcBorders>
              <w:top w:val="single" w:sz="4" w:space="0" w:color="auto"/>
              <w:left w:val="single" w:sz="4" w:space="0" w:color="auto"/>
              <w:bottom w:val="single" w:sz="4" w:space="0" w:color="auto"/>
              <w:right w:val="double" w:sz="4" w:space="0" w:color="auto"/>
            </w:tcBorders>
            <w:vAlign w:val="center"/>
            <w:hideMark/>
          </w:tcPr>
          <w:p w14:paraId="590BB51D" w14:textId="77777777" w:rsidR="00D3181A" w:rsidRPr="00A53AD7" w:rsidRDefault="00D3181A" w:rsidP="00D3181A">
            <w:pPr>
              <w:spacing w:after="0" w:line="240" w:lineRule="auto"/>
              <w:rPr>
                <w:rFonts w:ascii="Times New Roman" w:eastAsia="Times New Roman" w:hAnsi="Times New Roman"/>
                <w:lang w:eastAsia="ru-RU"/>
              </w:rPr>
            </w:pPr>
          </w:p>
        </w:tc>
      </w:tr>
      <w:tr w:rsidR="00D470B6" w:rsidRPr="00A53AD7" w14:paraId="56BE3C38" w14:textId="77777777" w:rsidTr="003D03EE">
        <w:trPr>
          <w:trHeight w:val="264"/>
        </w:trPr>
        <w:tc>
          <w:tcPr>
            <w:tcW w:w="3134" w:type="dxa"/>
            <w:tcBorders>
              <w:top w:val="nil"/>
              <w:left w:val="double" w:sz="4" w:space="0" w:color="auto"/>
              <w:bottom w:val="single" w:sz="4" w:space="0" w:color="auto"/>
              <w:right w:val="single" w:sz="4" w:space="0" w:color="auto"/>
            </w:tcBorders>
            <w:shd w:val="clear" w:color="auto" w:fill="auto"/>
            <w:vAlign w:val="center"/>
            <w:hideMark/>
          </w:tcPr>
          <w:p w14:paraId="17509EC8"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2410" w:type="dxa"/>
            <w:tcBorders>
              <w:top w:val="nil"/>
              <w:left w:val="nil"/>
              <w:bottom w:val="single" w:sz="4" w:space="0" w:color="auto"/>
              <w:right w:val="single" w:sz="4" w:space="0" w:color="auto"/>
            </w:tcBorders>
            <w:shd w:val="clear" w:color="auto" w:fill="auto"/>
            <w:vAlign w:val="center"/>
            <w:hideMark/>
          </w:tcPr>
          <w:p w14:paraId="0AE82BFC" w14:textId="0AE122D5"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521,00</w:t>
            </w:r>
            <w:r w:rsidR="005915D8" w:rsidRPr="00A53AD7">
              <w:rPr>
                <w:rFonts w:ascii="Times New Roman" w:eastAsia="Times New Roman" w:hAnsi="Times New Roman"/>
                <w:lang w:eastAsia="ru-RU"/>
              </w:rPr>
              <w:t xml:space="preserve"> </w:t>
            </w:r>
          </w:p>
        </w:tc>
        <w:tc>
          <w:tcPr>
            <w:tcW w:w="2409" w:type="dxa"/>
            <w:tcBorders>
              <w:top w:val="nil"/>
              <w:left w:val="nil"/>
              <w:bottom w:val="single" w:sz="4" w:space="0" w:color="auto"/>
              <w:right w:val="single" w:sz="4" w:space="0" w:color="auto"/>
            </w:tcBorders>
            <w:shd w:val="clear" w:color="auto" w:fill="auto"/>
            <w:vAlign w:val="center"/>
            <w:hideMark/>
          </w:tcPr>
          <w:p w14:paraId="07EC2769" w14:textId="37AC4721"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513,3</w:t>
            </w:r>
            <w:r w:rsidR="005915D8" w:rsidRPr="00A53AD7">
              <w:rPr>
                <w:rFonts w:ascii="Times New Roman" w:eastAsia="Times New Roman" w:hAnsi="Times New Roman"/>
                <w:lang w:eastAsia="ru-RU"/>
              </w:rPr>
              <w:t xml:space="preserve"> </w:t>
            </w:r>
          </w:p>
        </w:tc>
        <w:tc>
          <w:tcPr>
            <w:tcW w:w="1418" w:type="dxa"/>
            <w:tcBorders>
              <w:top w:val="nil"/>
              <w:left w:val="nil"/>
              <w:bottom w:val="single" w:sz="4" w:space="0" w:color="auto"/>
              <w:right w:val="double" w:sz="4" w:space="0" w:color="auto"/>
            </w:tcBorders>
            <w:shd w:val="clear" w:color="auto" w:fill="auto"/>
            <w:vAlign w:val="center"/>
            <w:hideMark/>
          </w:tcPr>
          <w:p w14:paraId="09B097DA" w14:textId="73BC1CF6"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- 7,7</w:t>
            </w:r>
            <w:r w:rsidR="005915D8" w:rsidRPr="00A53AD7">
              <w:rPr>
                <w:rFonts w:ascii="Times New Roman" w:eastAsia="Times New Roman" w:hAnsi="Times New Roman"/>
                <w:lang w:eastAsia="ru-RU"/>
              </w:rPr>
              <w:t xml:space="preserve"> </w:t>
            </w:r>
          </w:p>
        </w:tc>
      </w:tr>
      <w:tr w:rsidR="00D470B6" w:rsidRPr="00A53AD7" w14:paraId="5A4E8C0F" w14:textId="77777777" w:rsidTr="003D03EE">
        <w:trPr>
          <w:trHeight w:val="303"/>
        </w:trPr>
        <w:tc>
          <w:tcPr>
            <w:tcW w:w="3134" w:type="dxa"/>
            <w:tcBorders>
              <w:top w:val="nil"/>
              <w:left w:val="double" w:sz="4" w:space="0" w:color="auto"/>
              <w:bottom w:val="single" w:sz="4" w:space="0" w:color="auto"/>
              <w:right w:val="single" w:sz="4" w:space="0" w:color="auto"/>
            </w:tcBorders>
            <w:shd w:val="clear" w:color="auto" w:fill="auto"/>
            <w:vAlign w:val="center"/>
            <w:hideMark/>
          </w:tcPr>
          <w:p w14:paraId="5B1908C2"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2410" w:type="dxa"/>
            <w:tcBorders>
              <w:top w:val="nil"/>
              <w:left w:val="nil"/>
              <w:bottom w:val="single" w:sz="4" w:space="0" w:color="auto"/>
              <w:right w:val="single" w:sz="4" w:space="0" w:color="auto"/>
            </w:tcBorders>
            <w:shd w:val="clear" w:color="auto" w:fill="auto"/>
            <w:vAlign w:val="center"/>
            <w:hideMark/>
          </w:tcPr>
          <w:p w14:paraId="6A71E133" w14:textId="05A2C0D8"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186,20</w:t>
            </w:r>
            <w:r w:rsidR="005915D8" w:rsidRPr="00A53AD7">
              <w:rPr>
                <w:rFonts w:ascii="Times New Roman" w:eastAsia="Times New Roman" w:hAnsi="Times New Roman"/>
                <w:lang w:eastAsia="ru-RU"/>
              </w:rPr>
              <w:t xml:space="preserve"> </w:t>
            </w:r>
          </w:p>
        </w:tc>
        <w:tc>
          <w:tcPr>
            <w:tcW w:w="2409" w:type="dxa"/>
            <w:tcBorders>
              <w:top w:val="nil"/>
              <w:left w:val="nil"/>
              <w:bottom w:val="single" w:sz="4" w:space="0" w:color="auto"/>
              <w:right w:val="single" w:sz="4" w:space="0" w:color="auto"/>
            </w:tcBorders>
            <w:shd w:val="clear" w:color="auto" w:fill="auto"/>
            <w:vAlign w:val="center"/>
            <w:hideMark/>
          </w:tcPr>
          <w:p w14:paraId="2DD962DB" w14:textId="7DD5F725"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186,2</w:t>
            </w:r>
            <w:r w:rsidR="005915D8" w:rsidRPr="00A53AD7">
              <w:rPr>
                <w:rFonts w:ascii="Times New Roman" w:eastAsia="Times New Roman" w:hAnsi="Times New Roman"/>
                <w:lang w:eastAsia="ru-RU"/>
              </w:rPr>
              <w:t xml:space="preserve"> </w:t>
            </w:r>
          </w:p>
        </w:tc>
        <w:tc>
          <w:tcPr>
            <w:tcW w:w="1418" w:type="dxa"/>
            <w:tcBorders>
              <w:top w:val="nil"/>
              <w:left w:val="nil"/>
              <w:bottom w:val="single" w:sz="4" w:space="0" w:color="auto"/>
              <w:right w:val="double" w:sz="4" w:space="0" w:color="auto"/>
            </w:tcBorders>
            <w:shd w:val="clear" w:color="auto" w:fill="auto"/>
            <w:vAlign w:val="center"/>
            <w:hideMark/>
          </w:tcPr>
          <w:p w14:paraId="07B232AB" w14:textId="3F42953D"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r w:rsidR="005915D8" w:rsidRPr="00A53AD7">
              <w:rPr>
                <w:rFonts w:ascii="Times New Roman" w:eastAsia="Times New Roman" w:hAnsi="Times New Roman"/>
                <w:lang w:eastAsia="ru-RU"/>
              </w:rPr>
              <w:t xml:space="preserve"> </w:t>
            </w:r>
          </w:p>
        </w:tc>
      </w:tr>
      <w:tr w:rsidR="00D470B6" w:rsidRPr="00A53AD7" w14:paraId="68590897" w14:textId="77777777" w:rsidTr="003D03EE">
        <w:trPr>
          <w:trHeight w:val="280"/>
        </w:trPr>
        <w:tc>
          <w:tcPr>
            <w:tcW w:w="3134" w:type="dxa"/>
            <w:tcBorders>
              <w:top w:val="nil"/>
              <w:left w:val="double" w:sz="4" w:space="0" w:color="auto"/>
              <w:bottom w:val="single" w:sz="4" w:space="0" w:color="auto"/>
              <w:right w:val="single" w:sz="4" w:space="0" w:color="auto"/>
            </w:tcBorders>
            <w:shd w:val="clear" w:color="auto" w:fill="auto"/>
            <w:vAlign w:val="center"/>
            <w:hideMark/>
          </w:tcPr>
          <w:p w14:paraId="125FEF4C"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2410" w:type="dxa"/>
            <w:tcBorders>
              <w:top w:val="nil"/>
              <w:left w:val="nil"/>
              <w:bottom w:val="single" w:sz="4" w:space="0" w:color="auto"/>
              <w:right w:val="single" w:sz="4" w:space="0" w:color="auto"/>
            </w:tcBorders>
            <w:shd w:val="clear" w:color="auto" w:fill="auto"/>
            <w:vAlign w:val="center"/>
            <w:hideMark/>
          </w:tcPr>
          <w:p w14:paraId="056BF3E8" w14:textId="31AD4FB4"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212,50</w:t>
            </w:r>
            <w:r w:rsidR="005915D8" w:rsidRPr="00A53AD7">
              <w:rPr>
                <w:rFonts w:ascii="Times New Roman" w:eastAsia="Times New Roman" w:hAnsi="Times New Roman"/>
                <w:lang w:eastAsia="ru-RU"/>
              </w:rPr>
              <w:t xml:space="preserve"> </w:t>
            </w:r>
          </w:p>
        </w:tc>
        <w:tc>
          <w:tcPr>
            <w:tcW w:w="2409" w:type="dxa"/>
            <w:tcBorders>
              <w:top w:val="nil"/>
              <w:left w:val="nil"/>
              <w:bottom w:val="single" w:sz="4" w:space="0" w:color="auto"/>
              <w:right w:val="single" w:sz="4" w:space="0" w:color="auto"/>
            </w:tcBorders>
            <w:shd w:val="clear" w:color="auto" w:fill="auto"/>
            <w:vAlign w:val="center"/>
            <w:hideMark/>
          </w:tcPr>
          <w:p w14:paraId="1978AEBA" w14:textId="440F3C18"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199,9</w:t>
            </w:r>
            <w:r w:rsidR="005915D8" w:rsidRPr="00A53AD7">
              <w:rPr>
                <w:rFonts w:ascii="Times New Roman" w:eastAsia="Times New Roman" w:hAnsi="Times New Roman"/>
                <w:lang w:eastAsia="ru-RU"/>
              </w:rPr>
              <w:t xml:space="preserve"> </w:t>
            </w:r>
          </w:p>
        </w:tc>
        <w:tc>
          <w:tcPr>
            <w:tcW w:w="1418" w:type="dxa"/>
            <w:tcBorders>
              <w:top w:val="nil"/>
              <w:left w:val="nil"/>
              <w:bottom w:val="single" w:sz="4" w:space="0" w:color="auto"/>
              <w:right w:val="double" w:sz="4" w:space="0" w:color="auto"/>
            </w:tcBorders>
            <w:shd w:val="clear" w:color="auto" w:fill="auto"/>
            <w:vAlign w:val="center"/>
            <w:hideMark/>
          </w:tcPr>
          <w:p w14:paraId="45D3C5D3" w14:textId="52A058C3"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- 12,6</w:t>
            </w:r>
            <w:r w:rsidR="005915D8" w:rsidRPr="00A53AD7">
              <w:rPr>
                <w:rFonts w:ascii="Times New Roman" w:eastAsia="Times New Roman" w:hAnsi="Times New Roman"/>
                <w:lang w:eastAsia="ru-RU"/>
              </w:rPr>
              <w:t xml:space="preserve"> </w:t>
            </w:r>
          </w:p>
        </w:tc>
      </w:tr>
      <w:tr w:rsidR="00D470B6" w:rsidRPr="00A53AD7" w14:paraId="679B23C7" w14:textId="77777777" w:rsidTr="003D03EE">
        <w:trPr>
          <w:trHeight w:val="264"/>
        </w:trPr>
        <w:tc>
          <w:tcPr>
            <w:tcW w:w="3134" w:type="dxa"/>
            <w:tcBorders>
              <w:top w:val="nil"/>
              <w:left w:val="double" w:sz="4" w:space="0" w:color="auto"/>
              <w:bottom w:val="single" w:sz="4" w:space="0" w:color="auto"/>
              <w:right w:val="single" w:sz="4" w:space="0" w:color="auto"/>
            </w:tcBorders>
            <w:shd w:val="clear" w:color="auto" w:fill="auto"/>
            <w:vAlign w:val="center"/>
            <w:hideMark/>
          </w:tcPr>
          <w:p w14:paraId="3AAB79FF"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местный бюджет</w:t>
            </w:r>
          </w:p>
        </w:tc>
        <w:tc>
          <w:tcPr>
            <w:tcW w:w="2410" w:type="dxa"/>
            <w:tcBorders>
              <w:top w:val="nil"/>
              <w:left w:val="nil"/>
              <w:bottom w:val="single" w:sz="4" w:space="0" w:color="auto"/>
              <w:right w:val="single" w:sz="4" w:space="0" w:color="auto"/>
            </w:tcBorders>
            <w:shd w:val="clear" w:color="auto" w:fill="auto"/>
            <w:vAlign w:val="center"/>
            <w:hideMark/>
          </w:tcPr>
          <w:p w14:paraId="5F74101D" w14:textId="2051CE63"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8,80</w:t>
            </w:r>
            <w:r w:rsidR="005915D8" w:rsidRPr="00A53AD7">
              <w:rPr>
                <w:rFonts w:ascii="Times New Roman" w:eastAsia="Times New Roman" w:hAnsi="Times New Roman"/>
                <w:lang w:eastAsia="ru-RU"/>
              </w:rPr>
              <w:t xml:space="preserve"> </w:t>
            </w:r>
          </w:p>
        </w:tc>
        <w:tc>
          <w:tcPr>
            <w:tcW w:w="2409" w:type="dxa"/>
            <w:tcBorders>
              <w:top w:val="nil"/>
              <w:left w:val="nil"/>
              <w:bottom w:val="single" w:sz="4" w:space="0" w:color="auto"/>
              <w:right w:val="single" w:sz="4" w:space="0" w:color="auto"/>
            </w:tcBorders>
            <w:shd w:val="clear" w:color="auto" w:fill="auto"/>
            <w:vAlign w:val="center"/>
            <w:hideMark/>
          </w:tcPr>
          <w:p w14:paraId="029B18A2"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7,2 </w:t>
            </w:r>
          </w:p>
        </w:tc>
        <w:tc>
          <w:tcPr>
            <w:tcW w:w="1418" w:type="dxa"/>
            <w:tcBorders>
              <w:top w:val="nil"/>
              <w:left w:val="nil"/>
              <w:bottom w:val="single" w:sz="4" w:space="0" w:color="auto"/>
              <w:right w:val="double" w:sz="4" w:space="0" w:color="auto"/>
            </w:tcBorders>
            <w:shd w:val="clear" w:color="auto" w:fill="auto"/>
            <w:vAlign w:val="center"/>
            <w:hideMark/>
          </w:tcPr>
          <w:p w14:paraId="130CA824" w14:textId="0307353E"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- 1,6</w:t>
            </w:r>
            <w:r w:rsidR="005915D8" w:rsidRPr="00A53AD7">
              <w:rPr>
                <w:rFonts w:ascii="Times New Roman" w:eastAsia="Times New Roman" w:hAnsi="Times New Roman"/>
                <w:lang w:eastAsia="ru-RU"/>
              </w:rPr>
              <w:t xml:space="preserve"> </w:t>
            </w:r>
          </w:p>
        </w:tc>
      </w:tr>
      <w:tr w:rsidR="00D3181A" w:rsidRPr="00A53AD7" w14:paraId="7E74E3B9" w14:textId="77777777" w:rsidTr="003D03EE">
        <w:trPr>
          <w:trHeight w:val="274"/>
        </w:trPr>
        <w:tc>
          <w:tcPr>
            <w:tcW w:w="3134" w:type="dxa"/>
            <w:tcBorders>
              <w:top w:val="nil"/>
              <w:left w:val="double" w:sz="4" w:space="0" w:color="auto"/>
              <w:bottom w:val="double" w:sz="4" w:space="0" w:color="auto"/>
              <w:right w:val="single" w:sz="4" w:space="0" w:color="auto"/>
            </w:tcBorders>
            <w:shd w:val="clear" w:color="auto" w:fill="auto"/>
            <w:vAlign w:val="center"/>
            <w:hideMark/>
          </w:tcPr>
          <w:p w14:paraId="45B86AB3"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источники</w:t>
            </w:r>
          </w:p>
        </w:tc>
        <w:tc>
          <w:tcPr>
            <w:tcW w:w="2410" w:type="dxa"/>
            <w:tcBorders>
              <w:top w:val="nil"/>
              <w:left w:val="nil"/>
              <w:bottom w:val="double" w:sz="4" w:space="0" w:color="auto"/>
              <w:right w:val="single" w:sz="4" w:space="0" w:color="auto"/>
            </w:tcBorders>
            <w:shd w:val="clear" w:color="auto" w:fill="auto"/>
            <w:vAlign w:val="center"/>
            <w:hideMark/>
          </w:tcPr>
          <w:p w14:paraId="4EE233F6" w14:textId="734E3742"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113,50</w:t>
            </w:r>
            <w:r w:rsidR="005915D8" w:rsidRPr="00A53AD7">
              <w:rPr>
                <w:rFonts w:ascii="Times New Roman" w:eastAsia="Times New Roman" w:hAnsi="Times New Roman"/>
                <w:lang w:eastAsia="ru-RU"/>
              </w:rPr>
              <w:t xml:space="preserve"> </w:t>
            </w:r>
          </w:p>
        </w:tc>
        <w:tc>
          <w:tcPr>
            <w:tcW w:w="2409" w:type="dxa"/>
            <w:tcBorders>
              <w:top w:val="nil"/>
              <w:left w:val="nil"/>
              <w:bottom w:val="double" w:sz="4" w:space="0" w:color="auto"/>
              <w:right w:val="single" w:sz="4" w:space="0" w:color="auto"/>
            </w:tcBorders>
            <w:shd w:val="clear" w:color="auto" w:fill="auto"/>
            <w:vAlign w:val="center"/>
            <w:hideMark/>
          </w:tcPr>
          <w:p w14:paraId="56F04386" w14:textId="26BCAAD8"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119,9</w:t>
            </w:r>
            <w:r w:rsidR="005915D8" w:rsidRPr="00A53AD7">
              <w:rPr>
                <w:rFonts w:ascii="Times New Roman" w:eastAsia="Times New Roman" w:hAnsi="Times New Roman"/>
                <w:lang w:eastAsia="ru-RU"/>
              </w:rPr>
              <w:t xml:space="preserve"> </w:t>
            </w:r>
          </w:p>
        </w:tc>
        <w:tc>
          <w:tcPr>
            <w:tcW w:w="1418" w:type="dxa"/>
            <w:tcBorders>
              <w:top w:val="nil"/>
              <w:left w:val="nil"/>
              <w:bottom w:val="double" w:sz="4" w:space="0" w:color="auto"/>
              <w:right w:val="double" w:sz="4" w:space="0" w:color="auto"/>
            </w:tcBorders>
            <w:shd w:val="clear" w:color="auto" w:fill="auto"/>
            <w:vAlign w:val="center"/>
            <w:hideMark/>
          </w:tcPr>
          <w:p w14:paraId="5A5B5FBE" w14:textId="378B3C20"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6,4</w:t>
            </w:r>
            <w:r w:rsidR="005915D8" w:rsidRPr="00A53AD7">
              <w:rPr>
                <w:rFonts w:ascii="Times New Roman" w:eastAsia="Times New Roman" w:hAnsi="Times New Roman"/>
                <w:lang w:eastAsia="ru-RU"/>
              </w:rPr>
              <w:t xml:space="preserve"> </w:t>
            </w:r>
          </w:p>
        </w:tc>
      </w:tr>
    </w:tbl>
    <w:p w14:paraId="65511908" w14:textId="77777777" w:rsidR="00D3181A" w:rsidRPr="00A53AD7" w:rsidRDefault="00D3181A" w:rsidP="00D3181A">
      <w:pPr>
        <w:autoSpaceDE w:val="0"/>
        <w:autoSpaceDN w:val="0"/>
        <w:adjustRightInd w:val="0"/>
        <w:spacing w:after="0" w:line="240" w:lineRule="auto"/>
        <w:ind w:firstLine="709"/>
        <w:jc w:val="both"/>
        <w:rPr>
          <w:rFonts w:ascii="Times New Roman" w:hAnsi="Times New Roman"/>
          <w:sz w:val="28"/>
          <w:szCs w:val="28"/>
          <w:highlight w:val="cyan"/>
        </w:rPr>
      </w:pPr>
    </w:p>
    <w:p w14:paraId="733A263D" w14:textId="18044B04"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отчету о реализации мероприятий ГП № 461-пп за 2019 год, размещенному в комплексной информационно – аналитической системе Kias.dvinaland.ru (далее – КИАС), кассовые расходы по ГП №461-пп составили 549,7 млн.руб., из запланированных на год 513,3 млн.руб. (или 107%) в том числ</w:t>
      </w:r>
      <w:r w:rsidR="003D03EE" w:rsidRPr="00A53AD7">
        <w:rPr>
          <w:rFonts w:ascii="Times New Roman" w:hAnsi="Times New Roman" w:cs="Times New Roman"/>
          <w:sz w:val="28"/>
          <w:szCs w:val="28"/>
        </w:rPr>
        <w:t>е по источникам финансирования:</w:t>
      </w:r>
    </w:p>
    <w:p w14:paraId="18D9E64D" w14:textId="610ECA25" w:rsidR="00D3181A" w:rsidRPr="00A53AD7" w:rsidRDefault="00D3181A" w:rsidP="00D3181A">
      <w:pPr>
        <w:autoSpaceDE w:val="0"/>
        <w:autoSpaceDN w:val="0"/>
        <w:adjustRightInd w:val="0"/>
        <w:spacing w:after="0" w:line="240" w:lineRule="auto"/>
        <w:ind w:firstLine="709"/>
        <w:jc w:val="right"/>
        <w:rPr>
          <w:rFonts w:ascii="Times New Roman" w:hAnsi="Times New Roman"/>
          <w:sz w:val="24"/>
          <w:szCs w:val="24"/>
        </w:rPr>
      </w:pPr>
      <w:r w:rsidRPr="00A53AD7">
        <w:rPr>
          <w:rFonts w:ascii="Times New Roman" w:hAnsi="Times New Roman"/>
          <w:sz w:val="24"/>
          <w:szCs w:val="24"/>
        </w:rPr>
        <w:t>млн.руб.</w:t>
      </w:r>
    </w:p>
    <w:tbl>
      <w:tblPr>
        <w:tblW w:w="937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984"/>
        <w:gridCol w:w="1701"/>
        <w:gridCol w:w="1701"/>
        <w:gridCol w:w="1985"/>
      </w:tblGrid>
      <w:tr w:rsidR="00D470B6" w:rsidRPr="00A53AD7" w14:paraId="63B6506B" w14:textId="77777777" w:rsidTr="00D352AF">
        <w:trPr>
          <w:trHeight w:val="312"/>
          <w:tblHeader/>
        </w:trPr>
        <w:tc>
          <w:tcPr>
            <w:tcW w:w="3984" w:type="dxa"/>
            <w:shd w:val="clear" w:color="auto" w:fill="auto"/>
            <w:vAlign w:val="center"/>
            <w:hideMark/>
          </w:tcPr>
          <w:p w14:paraId="7A64E06D"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источник финансирования</w:t>
            </w:r>
          </w:p>
        </w:tc>
        <w:tc>
          <w:tcPr>
            <w:tcW w:w="1701" w:type="dxa"/>
            <w:shd w:val="clear" w:color="auto" w:fill="auto"/>
            <w:vAlign w:val="center"/>
            <w:hideMark/>
          </w:tcPr>
          <w:p w14:paraId="0B02A83E"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План (в ред. от 10.10.2019</w:t>
            </w:r>
          </w:p>
          <w:p w14:paraId="7FFD02B3"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555-пп)</w:t>
            </w:r>
          </w:p>
        </w:tc>
        <w:tc>
          <w:tcPr>
            <w:tcW w:w="1701" w:type="dxa"/>
            <w:shd w:val="clear" w:color="auto" w:fill="auto"/>
            <w:vAlign w:val="center"/>
            <w:hideMark/>
          </w:tcPr>
          <w:p w14:paraId="285D855D" w14:textId="0F6DC6D6"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w:t>
            </w:r>
          </w:p>
        </w:tc>
        <w:tc>
          <w:tcPr>
            <w:tcW w:w="1985" w:type="dxa"/>
            <w:shd w:val="clear" w:color="auto" w:fill="auto"/>
            <w:vAlign w:val="center"/>
            <w:hideMark/>
          </w:tcPr>
          <w:p w14:paraId="26D20FD6" w14:textId="77777777" w:rsidR="00D3181A" w:rsidRPr="00A53AD7" w:rsidRDefault="00D3181A" w:rsidP="003D03EE">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исполнения</w:t>
            </w:r>
          </w:p>
        </w:tc>
      </w:tr>
      <w:tr w:rsidR="00D470B6" w:rsidRPr="00A53AD7" w14:paraId="456D8BA1" w14:textId="77777777" w:rsidTr="00D352AF">
        <w:trPr>
          <w:trHeight w:hRule="exact" w:val="255"/>
        </w:trPr>
        <w:tc>
          <w:tcPr>
            <w:tcW w:w="3984" w:type="dxa"/>
            <w:shd w:val="clear" w:color="auto" w:fill="auto"/>
            <w:vAlign w:val="center"/>
            <w:hideMark/>
          </w:tcPr>
          <w:p w14:paraId="6438043E"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701" w:type="dxa"/>
            <w:shd w:val="clear" w:color="auto" w:fill="auto"/>
            <w:vAlign w:val="center"/>
            <w:hideMark/>
          </w:tcPr>
          <w:p w14:paraId="5407A387" w14:textId="3AC91239"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513,3</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44194630" w14:textId="24925D6F"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549,7</w:t>
            </w:r>
            <w:r w:rsidR="005915D8" w:rsidRPr="00A53AD7">
              <w:rPr>
                <w:rFonts w:ascii="Times New Roman" w:eastAsia="Times New Roman" w:hAnsi="Times New Roman"/>
                <w:lang w:eastAsia="ru-RU"/>
              </w:rPr>
              <w:t xml:space="preserve"> </w:t>
            </w:r>
          </w:p>
        </w:tc>
        <w:tc>
          <w:tcPr>
            <w:tcW w:w="1985" w:type="dxa"/>
            <w:shd w:val="clear" w:color="auto" w:fill="auto"/>
            <w:vAlign w:val="center"/>
            <w:hideMark/>
          </w:tcPr>
          <w:p w14:paraId="18A6789B" w14:textId="79EE1A28"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107</w:t>
            </w:r>
            <w:r w:rsidR="005915D8" w:rsidRPr="00A53AD7">
              <w:rPr>
                <w:rFonts w:ascii="Times New Roman" w:eastAsia="Times New Roman" w:hAnsi="Times New Roman"/>
                <w:lang w:eastAsia="ru-RU"/>
              </w:rPr>
              <w:t xml:space="preserve"> </w:t>
            </w:r>
          </w:p>
        </w:tc>
      </w:tr>
      <w:tr w:rsidR="00D470B6" w:rsidRPr="00A53AD7" w14:paraId="18C6CEDE" w14:textId="77777777" w:rsidTr="00D352AF">
        <w:trPr>
          <w:trHeight w:hRule="exact" w:val="255"/>
        </w:trPr>
        <w:tc>
          <w:tcPr>
            <w:tcW w:w="3984" w:type="dxa"/>
            <w:shd w:val="clear" w:color="auto" w:fill="auto"/>
            <w:vAlign w:val="center"/>
            <w:hideMark/>
          </w:tcPr>
          <w:p w14:paraId="1692779B"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федеральный бюджет</w:t>
            </w:r>
          </w:p>
        </w:tc>
        <w:tc>
          <w:tcPr>
            <w:tcW w:w="1701" w:type="dxa"/>
            <w:shd w:val="clear" w:color="auto" w:fill="auto"/>
            <w:vAlign w:val="center"/>
            <w:hideMark/>
          </w:tcPr>
          <w:p w14:paraId="0C03402A" w14:textId="2C55402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186,20</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73C15057" w14:textId="31E6DCC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184,1</w:t>
            </w:r>
            <w:r w:rsidR="005915D8" w:rsidRPr="00A53AD7">
              <w:rPr>
                <w:rFonts w:ascii="Times New Roman" w:eastAsia="Times New Roman" w:hAnsi="Times New Roman"/>
                <w:lang w:eastAsia="ru-RU"/>
              </w:rPr>
              <w:t xml:space="preserve"> </w:t>
            </w:r>
          </w:p>
        </w:tc>
        <w:tc>
          <w:tcPr>
            <w:tcW w:w="1985" w:type="dxa"/>
            <w:shd w:val="clear" w:color="auto" w:fill="auto"/>
            <w:vAlign w:val="center"/>
            <w:hideMark/>
          </w:tcPr>
          <w:p w14:paraId="5A340593" w14:textId="0EE0A386"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98</w:t>
            </w:r>
            <w:r w:rsidR="005915D8" w:rsidRPr="00A53AD7">
              <w:rPr>
                <w:rFonts w:ascii="Times New Roman" w:eastAsia="Times New Roman" w:hAnsi="Times New Roman"/>
                <w:lang w:eastAsia="ru-RU"/>
              </w:rPr>
              <w:t xml:space="preserve"> </w:t>
            </w:r>
          </w:p>
        </w:tc>
      </w:tr>
      <w:tr w:rsidR="00D470B6" w:rsidRPr="00A53AD7" w14:paraId="24F056AA" w14:textId="77777777" w:rsidTr="00D352AF">
        <w:trPr>
          <w:trHeight w:hRule="exact" w:val="255"/>
        </w:trPr>
        <w:tc>
          <w:tcPr>
            <w:tcW w:w="3984" w:type="dxa"/>
            <w:shd w:val="clear" w:color="auto" w:fill="auto"/>
            <w:vAlign w:val="center"/>
            <w:hideMark/>
          </w:tcPr>
          <w:p w14:paraId="1DFAD4CC"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областной бюджет</w:t>
            </w:r>
          </w:p>
        </w:tc>
        <w:tc>
          <w:tcPr>
            <w:tcW w:w="1701" w:type="dxa"/>
            <w:shd w:val="clear" w:color="auto" w:fill="auto"/>
            <w:vAlign w:val="center"/>
            <w:hideMark/>
          </w:tcPr>
          <w:p w14:paraId="3AC247CA" w14:textId="764BAB3F"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199,9</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4A48D444" w14:textId="197201DE"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194,7</w:t>
            </w:r>
            <w:r w:rsidR="005915D8" w:rsidRPr="00A53AD7">
              <w:rPr>
                <w:rFonts w:ascii="Times New Roman" w:eastAsia="Times New Roman" w:hAnsi="Times New Roman"/>
                <w:lang w:eastAsia="ru-RU"/>
              </w:rPr>
              <w:t xml:space="preserve"> </w:t>
            </w:r>
          </w:p>
        </w:tc>
        <w:tc>
          <w:tcPr>
            <w:tcW w:w="1985" w:type="dxa"/>
            <w:shd w:val="clear" w:color="auto" w:fill="auto"/>
            <w:vAlign w:val="center"/>
            <w:hideMark/>
          </w:tcPr>
          <w:p w14:paraId="67042445" w14:textId="349A7E5B"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97</w:t>
            </w:r>
            <w:r w:rsidR="005915D8" w:rsidRPr="00A53AD7">
              <w:rPr>
                <w:rFonts w:ascii="Times New Roman" w:eastAsia="Times New Roman" w:hAnsi="Times New Roman"/>
                <w:lang w:eastAsia="ru-RU"/>
              </w:rPr>
              <w:t xml:space="preserve"> </w:t>
            </w:r>
          </w:p>
        </w:tc>
      </w:tr>
      <w:tr w:rsidR="00D470B6" w:rsidRPr="00A53AD7" w14:paraId="46C2109D" w14:textId="77777777" w:rsidTr="00D352AF">
        <w:trPr>
          <w:trHeight w:hRule="exact" w:val="255"/>
        </w:trPr>
        <w:tc>
          <w:tcPr>
            <w:tcW w:w="3984" w:type="dxa"/>
            <w:shd w:val="clear" w:color="auto" w:fill="auto"/>
            <w:vAlign w:val="center"/>
            <w:hideMark/>
          </w:tcPr>
          <w:p w14:paraId="33398B4E"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местный бюджет</w:t>
            </w:r>
          </w:p>
        </w:tc>
        <w:tc>
          <w:tcPr>
            <w:tcW w:w="1701" w:type="dxa"/>
            <w:shd w:val="clear" w:color="auto" w:fill="auto"/>
            <w:vAlign w:val="center"/>
            <w:hideMark/>
          </w:tcPr>
          <w:p w14:paraId="41A1F71E" w14:textId="3D67474F"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7,2</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7D92142F" w14:textId="0B7ED186"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11,2</w:t>
            </w:r>
            <w:r w:rsidR="005915D8" w:rsidRPr="00A53AD7">
              <w:rPr>
                <w:rFonts w:ascii="Times New Roman" w:eastAsia="Times New Roman" w:hAnsi="Times New Roman"/>
                <w:lang w:eastAsia="ru-RU"/>
              </w:rPr>
              <w:t xml:space="preserve"> </w:t>
            </w:r>
          </w:p>
        </w:tc>
        <w:tc>
          <w:tcPr>
            <w:tcW w:w="1985" w:type="dxa"/>
            <w:shd w:val="clear" w:color="auto" w:fill="auto"/>
            <w:vAlign w:val="center"/>
            <w:hideMark/>
          </w:tcPr>
          <w:p w14:paraId="681D4A8E"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155 </w:t>
            </w:r>
          </w:p>
        </w:tc>
      </w:tr>
      <w:tr w:rsidR="00D3181A" w:rsidRPr="00A53AD7" w14:paraId="20E12C87" w14:textId="77777777" w:rsidTr="00D352AF">
        <w:trPr>
          <w:trHeight w:hRule="exact" w:val="255"/>
        </w:trPr>
        <w:tc>
          <w:tcPr>
            <w:tcW w:w="3984" w:type="dxa"/>
            <w:shd w:val="clear" w:color="auto" w:fill="auto"/>
            <w:vAlign w:val="center"/>
            <w:hideMark/>
          </w:tcPr>
          <w:p w14:paraId="1E042783"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внебюджетные источники</w:t>
            </w:r>
          </w:p>
        </w:tc>
        <w:tc>
          <w:tcPr>
            <w:tcW w:w="1701" w:type="dxa"/>
            <w:shd w:val="clear" w:color="auto" w:fill="auto"/>
            <w:vAlign w:val="center"/>
            <w:hideMark/>
          </w:tcPr>
          <w:p w14:paraId="206C8337" w14:textId="6AF1E109"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119,9</w:t>
            </w:r>
            <w:r w:rsidR="005915D8" w:rsidRPr="00A53AD7">
              <w:rPr>
                <w:rFonts w:ascii="Times New Roman" w:eastAsia="Times New Roman" w:hAnsi="Times New Roman"/>
                <w:lang w:eastAsia="ru-RU"/>
              </w:rPr>
              <w:t xml:space="preserve"> </w:t>
            </w:r>
          </w:p>
        </w:tc>
        <w:tc>
          <w:tcPr>
            <w:tcW w:w="1701" w:type="dxa"/>
            <w:shd w:val="clear" w:color="auto" w:fill="auto"/>
            <w:vAlign w:val="center"/>
            <w:hideMark/>
          </w:tcPr>
          <w:p w14:paraId="7DF2986A" w14:textId="780B2EE0"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159,7</w:t>
            </w:r>
            <w:r w:rsidR="005915D8" w:rsidRPr="00A53AD7">
              <w:rPr>
                <w:rFonts w:ascii="Times New Roman" w:eastAsia="Times New Roman" w:hAnsi="Times New Roman"/>
                <w:lang w:eastAsia="ru-RU"/>
              </w:rPr>
              <w:t xml:space="preserve"> </w:t>
            </w:r>
          </w:p>
        </w:tc>
        <w:tc>
          <w:tcPr>
            <w:tcW w:w="1985" w:type="dxa"/>
            <w:shd w:val="clear" w:color="auto" w:fill="auto"/>
            <w:vAlign w:val="center"/>
            <w:hideMark/>
          </w:tcPr>
          <w:p w14:paraId="5ECE06A1" w14:textId="35908A46"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133</w:t>
            </w:r>
            <w:r w:rsidR="005915D8" w:rsidRPr="00A53AD7">
              <w:rPr>
                <w:rFonts w:ascii="Times New Roman" w:eastAsia="Times New Roman" w:hAnsi="Times New Roman"/>
                <w:lang w:eastAsia="ru-RU"/>
              </w:rPr>
              <w:t xml:space="preserve"> </w:t>
            </w:r>
          </w:p>
        </w:tc>
      </w:tr>
    </w:tbl>
    <w:p w14:paraId="7975E8F1" w14:textId="77777777" w:rsidR="00D3181A" w:rsidRPr="00A53AD7" w:rsidRDefault="00D3181A" w:rsidP="003D03EE">
      <w:pPr>
        <w:pStyle w:val="ConsPlusNormal"/>
        <w:ind w:firstLine="851"/>
        <w:jc w:val="both"/>
        <w:rPr>
          <w:rFonts w:ascii="Times New Roman" w:hAnsi="Times New Roman" w:cs="Times New Roman"/>
          <w:sz w:val="28"/>
          <w:szCs w:val="28"/>
        </w:rPr>
      </w:pPr>
    </w:p>
    <w:p w14:paraId="480230AC" w14:textId="095CF7C5" w:rsidR="00D3181A" w:rsidRPr="00A53AD7" w:rsidRDefault="00D3181A" w:rsidP="003D03EE">
      <w:pPr>
        <w:pStyle w:val="ConsPlusNormal"/>
        <w:ind w:firstLine="851"/>
        <w:jc w:val="both"/>
        <w:rPr>
          <w:rFonts w:ascii="Times New Roman" w:hAnsi="Times New Roman"/>
          <w:sz w:val="28"/>
          <w:szCs w:val="28"/>
          <w:highlight w:val="cyan"/>
        </w:rPr>
      </w:pPr>
      <w:r w:rsidRPr="00A53AD7">
        <w:rPr>
          <w:rFonts w:ascii="Times New Roman" w:hAnsi="Times New Roman" w:cs="Times New Roman"/>
          <w:sz w:val="28"/>
          <w:szCs w:val="28"/>
        </w:rPr>
        <w:t>Согласно отчету, размещенному в КИАС за 2019 г. значение достижения целевых показателей ГП №461-пп следующее:</w:t>
      </w:r>
    </w:p>
    <w:tbl>
      <w:tblPr>
        <w:tblW w:w="9356" w:type="dxa"/>
        <w:tblInd w:w="108" w:type="dxa"/>
        <w:tblLayout w:type="fixed"/>
        <w:tblLook w:val="04A0" w:firstRow="1" w:lastRow="0" w:firstColumn="1" w:lastColumn="0" w:noHBand="0" w:noVBand="1"/>
      </w:tblPr>
      <w:tblGrid>
        <w:gridCol w:w="3402"/>
        <w:gridCol w:w="1843"/>
        <w:gridCol w:w="1134"/>
        <w:gridCol w:w="709"/>
        <w:gridCol w:w="850"/>
        <w:gridCol w:w="1418"/>
      </w:tblGrid>
      <w:tr w:rsidR="00D470B6" w:rsidRPr="00A53AD7" w14:paraId="639888D6" w14:textId="77777777" w:rsidTr="003D03EE">
        <w:trPr>
          <w:trHeight w:val="264"/>
          <w:tblHeader/>
        </w:trPr>
        <w:tc>
          <w:tcPr>
            <w:tcW w:w="3402" w:type="dxa"/>
            <w:vMerge w:val="restart"/>
            <w:tcBorders>
              <w:top w:val="double" w:sz="4" w:space="0" w:color="auto"/>
              <w:left w:val="double" w:sz="4" w:space="0" w:color="auto"/>
              <w:bottom w:val="single" w:sz="4" w:space="0" w:color="000000"/>
              <w:right w:val="nil"/>
            </w:tcBorders>
            <w:shd w:val="clear" w:color="auto" w:fill="auto"/>
            <w:vAlign w:val="center"/>
            <w:hideMark/>
          </w:tcPr>
          <w:p w14:paraId="171203D0"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целевого показателя</w:t>
            </w:r>
          </w:p>
        </w:tc>
        <w:tc>
          <w:tcPr>
            <w:tcW w:w="1843"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2929076C"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Исполнитель</w:t>
            </w:r>
          </w:p>
        </w:tc>
        <w:tc>
          <w:tcPr>
            <w:tcW w:w="1134" w:type="dxa"/>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14:paraId="260E914E"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 измерения</w:t>
            </w:r>
          </w:p>
        </w:tc>
        <w:tc>
          <w:tcPr>
            <w:tcW w:w="2977" w:type="dxa"/>
            <w:gridSpan w:val="3"/>
            <w:tcBorders>
              <w:top w:val="double" w:sz="4" w:space="0" w:color="auto"/>
              <w:left w:val="nil"/>
              <w:bottom w:val="single" w:sz="4" w:space="0" w:color="auto"/>
              <w:right w:val="double" w:sz="4" w:space="0" w:color="auto"/>
            </w:tcBorders>
            <w:shd w:val="clear" w:color="auto" w:fill="auto"/>
            <w:vAlign w:val="center"/>
            <w:hideMark/>
          </w:tcPr>
          <w:p w14:paraId="17E9135D"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Значение целевых показателей</w:t>
            </w:r>
          </w:p>
        </w:tc>
      </w:tr>
      <w:tr w:rsidR="00D470B6" w:rsidRPr="00A53AD7" w14:paraId="73025B4D" w14:textId="77777777" w:rsidTr="003D03EE">
        <w:trPr>
          <w:trHeight w:val="450"/>
          <w:tblHeader/>
        </w:trPr>
        <w:tc>
          <w:tcPr>
            <w:tcW w:w="3402" w:type="dxa"/>
            <w:vMerge/>
            <w:tcBorders>
              <w:top w:val="single" w:sz="4" w:space="0" w:color="auto"/>
              <w:left w:val="double" w:sz="4" w:space="0" w:color="auto"/>
              <w:bottom w:val="single" w:sz="4" w:space="0" w:color="000000"/>
              <w:right w:val="nil"/>
            </w:tcBorders>
            <w:vAlign w:val="center"/>
            <w:hideMark/>
          </w:tcPr>
          <w:p w14:paraId="6DC66077"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1843" w:type="dxa"/>
            <w:vMerge/>
            <w:tcBorders>
              <w:top w:val="single" w:sz="4" w:space="0" w:color="auto"/>
              <w:left w:val="single" w:sz="4" w:space="0" w:color="auto"/>
              <w:bottom w:val="single" w:sz="4" w:space="0" w:color="000000"/>
              <w:right w:val="single" w:sz="4" w:space="0" w:color="auto"/>
            </w:tcBorders>
            <w:vAlign w:val="center"/>
            <w:hideMark/>
          </w:tcPr>
          <w:p w14:paraId="6E6FB68E"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4EBB5335"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73E835"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109FE577"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c>
          <w:tcPr>
            <w:tcW w:w="1418" w:type="dxa"/>
            <w:vMerge w:val="restart"/>
            <w:tcBorders>
              <w:top w:val="nil"/>
              <w:left w:val="single" w:sz="4" w:space="0" w:color="auto"/>
              <w:bottom w:val="single" w:sz="4" w:space="0" w:color="auto"/>
              <w:right w:val="double" w:sz="4" w:space="0" w:color="auto"/>
            </w:tcBorders>
            <w:shd w:val="clear" w:color="auto" w:fill="auto"/>
            <w:vAlign w:val="center"/>
            <w:hideMark/>
          </w:tcPr>
          <w:p w14:paraId="6132C026"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 исполнения</w:t>
            </w:r>
          </w:p>
        </w:tc>
      </w:tr>
      <w:tr w:rsidR="00D470B6" w:rsidRPr="00A53AD7" w14:paraId="4E2ABCDA" w14:textId="77777777" w:rsidTr="003D03EE">
        <w:trPr>
          <w:trHeight w:val="450"/>
        </w:trPr>
        <w:tc>
          <w:tcPr>
            <w:tcW w:w="3402" w:type="dxa"/>
            <w:vMerge/>
            <w:tcBorders>
              <w:top w:val="single" w:sz="4" w:space="0" w:color="auto"/>
              <w:left w:val="double" w:sz="4" w:space="0" w:color="auto"/>
              <w:bottom w:val="single" w:sz="4" w:space="0" w:color="000000"/>
              <w:right w:val="nil"/>
            </w:tcBorders>
            <w:vAlign w:val="center"/>
            <w:hideMark/>
          </w:tcPr>
          <w:p w14:paraId="3C758F96"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1843" w:type="dxa"/>
            <w:vMerge/>
            <w:tcBorders>
              <w:top w:val="single" w:sz="4" w:space="0" w:color="auto"/>
              <w:left w:val="single" w:sz="4" w:space="0" w:color="auto"/>
              <w:bottom w:val="single" w:sz="4" w:space="0" w:color="000000"/>
              <w:right w:val="single" w:sz="4" w:space="0" w:color="auto"/>
            </w:tcBorders>
            <w:vAlign w:val="center"/>
            <w:hideMark/>
          </w:tcPr>
          <w:p w14:paraId="051235A7"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26A0F813"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709" w:type="dxa"/>
            <w:vMerge/>
            <w:tcBorders>
              <w:top w:val="nil"/>
              <w:left w:val="single" w:sz="4" w:space="0" w:color="auto"/>
              <w:bottom w:val="single" w:sz="4" w:space="0" w:color="auto"/>
              <w:right w:val="single" w:sz="4" w:space="0" w:color="auto"/>
            </w:tcBorders>
            <w:vAlign w:val="center"/>
            <w:hideMark/>
          </w:tcPr>
          <w:p w14:paraId="0859B16B"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850" w:type="dxa"/>
            <w:vMerge/>
            <w:tcBorders>
              <w:top w:val="nil"/>
              <w:left w:val="single" w:sz="4" w:space="0" w:color="auto"/>
              <w:bottom w:val="single" w:sz="4" w:space="0" w:color="auto"/>
              <w:right w:val="single" w:sz="4" w:space="0" w:color="auto"/>
            </w:tcBorders>
            <w:vAlign w:val="center"/>
            <w:hideMark/>
          </w:tcPr>
          <w:p w14:paraId="73F81868" w14:textId="77777777" w:rsidR="00D3181A" w:rsidRPr="00A53AD7" w:rsidRDefault="00D3181A" w:rsidP="00D3181A">
            <w:pPr>
              <w:spacing w:after="0" w:line="240" w:lineRule="auto"/>
              <w:rPr>
                <w:rFonts w:ascii="Times New Roman" w:eastAsia="Times New Roman" w:hAnsi="Times New Roman"/>
                <w:sz w:val="20"/>
                <w:szCs w:val="20"/>
                <w:lang w:eastAsia="ru-RU"/>
              </w:rPr>
            </w:pPr>
          </w:p>
        </w:tc>
        <w:tc>
          <w:tcPr>
            <w:tcW w:w="1418" w:type="dxa"/>
            <w:vMerge/>
            <w:tcBorders>
              <w:top w:val="nil"/>
              <w:left w:val="single" w:sz="4" w:space="0" w:color="auto"/>
              <w:bottom w:val="single" w:sz="4" w:space="0" w:color="auto"/>
              <w:right w:val="double" w:sz="4" w:space="0" w:color="auto"/>
            </w:tcBorders>
            <w:vAlign w:val="center"/>
            <w:hideMark/>
          </w:tcPr>
          <w:p w14:paraId="0FCD3303" w14:textId="77777777" w:rsidR="00D3181A" w:rsidRPr="00A53AD7" w:rsidRDefault="00D3181A" w:rsidP="00D3181A">
            <w:pPr>
              <w:spacing w:after="0" w:line="240" w:lineRule="auto"/>
              <w:rPr>
                <w:rFonts w:ascii="Times New Roman" w:eastAsia="Times New Roman" w:hAnsi="Times New Roman"/>
                <w:sz w:val="20"/>
                <w:szCs w:val="20"/>
                <w:lang w:eastAsia="ru-RU"/>
              </w:rPr>
            </w:pPr>
          </w:p>
        </w:tc>
      </w:tr>
      <w:tr w:rsidR="00D470B6" w:rsidRPr="00A53AD7" w14:paraId="4103B55B" w14:textId="77777777" w:rsidTr="003D03EE">
        <w:trPr>
          <w:trHeight w:val="528"/>
        </w:trPr>
        <w:tc>
          <w:tcPr>
            <w:tcW w:w="3402" w:type="dxa"/>
            <w:tcBorders>
              <w:top w:val="nil"/>
              <w:left w:val="double" w:sz="4" w:space="0" w:color="auto"/>
              <w:bottom w:val="single" w:sz="4" w:space="0" w:color="auto"/>
              <w:right w:val="nil"/>
            </w:tcBorders>
            <w:shd w:val="clear" w:color="auto" w:fill="auto"/>
            <w:vAlign w:val="center"/>
            <w:hideMark/>
          </w:tcPr>
          <w:p w14:paraId="589BCAF7"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(приобретение) жилья для граждан, проживающих в сельской местности</w:t>
            </w:r>
          </w:p>
        </w:tc>
        <w:tc>
          <w:tcPr>
            <w:tcW w:w="1843" w:type="dxa"/>
            <w:tcBorders>
              <w:top w:val="nil"/>
              <w:left w:val="single" w:sz="4" w:space="0" w:color="auto"/>
              <w:bottom w:val="single" w:sz="4" w:space="0" w:color="auto"/>
              <w:right w:val="nil"/>
            </w:tcBorders>
            <w:shd w:val="clear" w:color="auto" w:fill="auto"/>
            <w:vAlign w:val="center"/>
            <w:hideMark/>
          </w:tcPr>
          <w:p w14:paraId="6BC6426A"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АПК</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FEED0CC"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кв. м</w:t>
            </w:r>
          </w:p>
        </w:tc>
        <w:tc>
          <w:tcPr>
            <w:tcW w:w="709" w:type="dxa"/>
            <w:tcBorders>
              <w:top w:val="nil"/>
              <w:left w:val="nil"/>
              <w:bottom w:val="single" w:sz="4" w:space="0" w:color="auto"/>
              <w:right w:val="single" w:sz="4" w:space="0" w:color="auto"/>
            </w:tcBorders>
            <w:shd w:val="clear" w:color="auto" w:fill="auto"/>
            <w:vAlign w:val="center"/>
            <w:hideMark/>
          </w:tcPr>
          <w:p w14:paraId="77CCF859"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5,00</w:t>
            </w:r>
          </w:p>
        </w:tc>
        <w:tc>
          <w:tcPr>
            <w:tcW w:w="850" w:type="dxa"/>
            <w:tcBorders>
              <w:top w:val="nil"/>
              <w:left w:val="nil"/>
              <w:bottom w:val="single" w:sz="4" w:space="0" w:color="auto"/>
              <w:right w:val="single" w:sz="4" w:space="0" w:color="auto"/>
            </w:tcBorders>
            <w:shd w:val="clear" w:color="auto" w:fill="auto"/>
            <w:vAlign w:val="center"/>
            <w:hideMark/>
          </w:tcPr>
          <w:p w14:paraId="0D607129"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6,90</w:t>
            </w:r>
          </w:p>
        </w:tc>
        <w:tc>
          <w:tcPr>
            <w:tcW w:w="1418" w:type="dxa"/>
            <w:tcBorders>
              <w:top w:val="nil"/>
              <w:left w:val="nil"/>
              <w:bottom w:val="single" w:sz="4" w:space="0" w:color="auto"/>
              <w:right w:val="double" w:sz="4" w:space="0" w:color="auto"/>
            </w:tcBorders>
            <w:shd w:val="clear" w:color="auto" w:fill="auto"/>
            <w:vAlign w:val="center"/>
            <w:hideMark/>
          </w:tcPr>
          <w:p w14:paraId="47E1EB11"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138,0</w:t>
            </w:r>
          </w:p>
        </w:tc>
      </w:tr>
      <w:tr w:rsidR="00D470B6" w:rsidRPr="00A53AD7" w14:paraId="13CC3997" w14:textId="77777777" w:rsidTr="003D03EE">
        <w:trPr>
          <w:trHeight w:val="792"/>
        </w:trPr>
        <w:tc>
          <w:tcPr>
            <w:tcW w:w="3402" w:type="dxa"/>
            <w:tcBorders>
              <w:top w:val="nil"/>
              <w:left w:val="double" w:sz="4" w:space="0" w:color="auto"/>
              <w:bottom w:val="single" w:sz="4" w:space="0" w:color="auto"/>
              <w:right w:val="nil"/>
            </w:tcBorders>
            <w:shd w:val="clear" w:color="auto" w:fill="auto"/>
            <w:vAlign w:val="center"/>
            <w:hideMark/>
          </w:tcPr>
          <w:p w14:paraId="46513727"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(приобретение) жилья в сельской местности для молодых семей и молодых специалистов</w:t>
            </w:r>
          </w:p>
        </w:tc>
        <w:tc>
          <w:tcPr>
            <w:tcW w:w="1843" w:type="dxa"/>
            <w:tcBorders>
              <w:top w:val="nil"/>
              <w:left w:val="single" w:sz="4" w:space="0" w:color="auto"/>
              <w:bottom w:val="single" w:sz="4" w:space="0" w:color="auto"/>
              <w:right w:val="nil"/>
            </w:tcBorders>
            <w:shd w:val="clear" w:color="auto" w:fill="auto"/>
            <w:vAlign w:val="center"/>
            <w:hideMark/>
          </w:tcPr>
          <w:p w14:paraId="34BDBDDE"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АПК</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29BA4C"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кв. м</w:t>
            </w:r>
          </w:p>
        </w:tc>
        <w:tc>
          <w:tcPr>
            <w:tcW w:w="709" w:type="dxa"/>
            <w:tcBorders>
              <w:top w:val="nil"/>
              <w:left w:val="nil"/>
              <w:bottom w:val="single" w:sz="4" w:space="0" w:color="auto"/>
              <w:right w:val="single" w:sz="4" w:space="0" w:color="auto"/>
            </w:tcBorders>
            <w:shd w:val="clear" w:color="auto" w:fill="auto"/>
            <w:vAlign w:val="center"/>
            <w:hideMark/>
          </w:tcPr>
          <w:p w14:paraId="51DCEED8"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4,20</w:t>
            </w:r>
          </w:p>
        </w:tc>
        <w:tc>
          <w:tcPr>
            <w:tcW w:w="850" w:type="dxa"/>
            <w:tcBorders>
              <w:top w:val="nil"/>
              <w:left w:val="nil"/>
              <w:bottom w:val="single" w:sz="4" w:space="0" w:color="auto"/>
              <w:right w:val="single" w:sz="4" w:space="0" w:color="auto"/>
            </w:tcBorders>
            <w:shd w:val="clear" w:color="auto" w:fill="auto"/>
            <w:vAlign w:val="center"/>
            <w:hideMark/>
          </w:tcPr>
          <w:p w14:paraId="23C3AA6A"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5,10</w:t>
            </w:r>
          </w:p>
        </w:tc>
        <w:tc>
          <w:tcPr>
            <w:tcW w:w="1418" w:type="dxa"/>
            <w:tcBorders>
              <w:top w:val="nil"/>
              <w:left w:val="nil"/>
              <w:bottom w:val="single" w:sz="4" w:space="0" w:color="auto"/>
              <w:right w:val="double" w:sz="4" w:space="0" w:color="auto"/>
            </w:tcBorders>
            <w:shd w:val="clear" w:color="auto" w:fill="auto"/>
            <w:vAlign w:val="center"/>
            <w:hideMark/>
          </w:tcPr>
          <w:p w14:paraId="246D6519"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121,4</w:t>
            </w:r>
          </w:p>
        </w:tc>
      </w:tr>
      <w:tr w:rsidR="00D470B6" w:rsidRPr="00A53AD7" w14:paraId="5CE20CB7" w14:textId="77777777" w:rsidTr="003D03EE">
        <w:trPr>
          <w:trHeight w:val="792"/>
        </w:trPr>
        <w:tc>
          <w:tcPr>
            <w:tcW w:w="3402" w:type="dxa"/>
            <w:tcBorders>
              <w:top w:val="nil"/>
              <w:left w:val="double" w:sz="4" w:space="0" w:color="auto"/>
              <w:bottom w:val="single" w:sz="4" w:space="0" w:color="auto"/>
              <w:right w:val="nil"/>
            </w:tcBorders>
            <w:shd w:val="clear" w:color="auto" w:fill="auto"/>
            <w:vAlign w:val="center"/>
            <w:hideMark/>
          </w:tcPr>
          <w:p w14:paraId="1CCA109A"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(приобретение) ведомственного жилья для специалистов сельскохозяйственных товаропроизводителей</w:t>
            </w:r>
          </w:p>
        </w:tc>
        <w:tc>
          <w:tcPr>
            <w:tcW w:w="1843" w:type="dxa"/>
            <w:tcBorders>
              <w:top w:val="nil"/>
              <w:left w:val="single" w:sz="4" w:space="0" w:color="auto"/>
              <w:bottom w:val="single" w:sz="4" w:space="0" w:color="auto"/>
              <w:right w:val="nil"/>
            </w:tcBorders>
            <w:shd w:val="clear" w:color="auto" w:fill="auto"/>
            <w:vAlign w:val="center"/>
            <w:hideMark/>
          </w:tcPr>
          <w:p w14:paraId="0EEBA702"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АПК</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172C103"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кв. м</w:t>
            </w:r>
          </w:p>
        </w:tc>
        <w:tc>
          <w:tcPr>
            <w:tcW w:w="709" w:type="dxa"/>
            <w:tcBorders>
              <w:top w:val="nil"/>
              <w:left w:val="nil"/>
              <w:bottom w:val="single" w:sz="4" w:space="0" w:color="auto"/>
              <w:right w:val="single" w:sz="4" w:space="0" w:color="auto"/>
            </w:tcBorders>
            <w:shd w:val="clear" w:color="auto" w:fill="auto"/>
            <w:vAlign w:val="center"/>
            <w:hideMark/>
          </w:tcPr>
          <w:p w14:paraId="2A6335EE"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0,40</w:t>
            </w:r>
          </w:p>
        </w:tc>
        <w:tc>
          <w:tcPr>
            <w:tcW w:w="850" w:type="dxa"/>
            <w:tcBorders>
              <w:top w:val="nil"/>
              <w:left w:val="nil"/>
              <w:bottom w:val="single" w:sz="4" w:space="0" w:color="auto"/>
              <w:right w:val="single" w:sz="4" w:space="0" w:color="auto"/>
            </w:tcBorders>
            <w:shd w:val="clear" w:color="auto" w:fill="auto"/>
            <w:vAlign w:val="center"/>
            <w:hideMark/>
          </w:tcPr>
          <w:p w14:paraId="3B18BAE3"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0,32</w:t>
            </w:r>
          </w:p>
        </w:tc>
        <w:tc>
          <w:tcPr>
            <w:tcW w:w="1418" w:type="dxa"/>
            <w:tcBorders>
              <w:top w:val="nil"/>
              <w:left w:val="nil"/>
              <w:bottom w:val="single" w:sz="4" w:space="0" w:color="auto"/>
              <w:right w:val="double" w:sz="4" w:space="0" w:color="auto"/>
            </w:tcBorders>
            <w:shd w:val="clear" w:color="auto" w:fill="auto"/>
            <w:vAlign w:val="center"/>
            <w:hideMark/>
          </w:tcPr>
          <w:p w14:paraId="3EC66A1F"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81,0</w:t>
            </w:r>
          </w:p>
        </w:tc>
      </w:tr>
      <w:tr w:rsidR="00D470B6" w:rsidRPr="00A53AD7" w14:paraId="604EFD9F" w14:textId="77777777" w:rsidTr="003D03EE">
        <w:trPr>
          <w:trHeight w:val="1848"/>
        </w:trPr>
        <w:tc>
          <w:tcPr>
            <w:tcW w:w="3402" w:type="dxa"/>
            <w:tcBorders>
              <w:top w:val="nil"/>
              <w:left w:val="double" w:sz="4" w:space="0" w:color="auto"/>
              <w:bottom w:val="single" w:sz="4" w:space="0" w:color="auto"/>
              <w:right w:val="nil"/>
            </w:tcBorders>
            <w:shd w:val="clear" w:color="auto" w:fill="auto"/>
            <w:vAlign w:val="center"/>
            <w:hideMark/>
          </w:tcPr>
          <w:p w14:paraId="670EA012"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выданных свидетельств о предоставлении социальных выплат на строительство (приобретение) жилья в сельской местности гражданам, проживающих в сельской местности, в том числе молодым семьям и молодым специалистам</w:t>
            </w:r>
          </w:p>
        </w:tc>
        <w:tc>
          <w:tcPr>
            <w:tcW w:w="1843" w:type="dxa"/>
            <w:tcBorders>
              <w:top w:val="nil"/>
              <w:left w:val="single" w:sz="4" w:space="0" w:color="auto"/>
              <w:bottom w:val="single" w:sz="4" w:space="0" w:color="auto"/>
              <w:right w:val="nil"/>
            </w:tcBorders>
            <w:shd w:val="clear" w:color="auto" w:fill="auto"/>
            <w:vAlign w:val="center"/>
            <w:hideMark/>
          </w:tcPr>
          <w:p w14:paraId="371FB957"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АПК</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7162089"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9" w:type="dxa"/>
            <w:tcBorders>
              <w:top w:val="nil"/>
              <w:left w:val="nil"/>
              <w:bottom w:val="single" w:sz="4" w:space="0" w:color="auto"/>
              <w:right w:val="single" w:sz="4" w:space="0" w:color="auto"/>
            </w:tcBorders>
            <w:shd w:val="clear" w:color="auto" w:fill="auto"/>
            <w:vAlign w:val="center"/>
            <w:hideMark/>
          </w:tcPr>
          <w:p w14:paraId="06EB111F"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129,0</w:t>
            </w:r>
          </w:p>
        </w:tc>
        <w:tc>
          <w:tcPr>
            <w:tcW w:w="850" w:type="dxa"/>
            <w:tcBorders>
              <w:top w:val="nil"/>
              <w:left w:val="nil"/>
              <w:bottom w:val="single" w:sz="4" w:space="0" w:color="auto"/>
              <w:right w:val="single" w:sz="4" w:space="0" w:color="auto"/>
            </w:tcBorders>
            <w:shd w:val="clear" w:color="auto" w:fill="auto"/>
            <w:vAlign w:val="center"/>
            <w:hideMark/>
          </w:tcPr>
          <w:p w14:paraId="02FC9494"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173,00</w:t>
            </w:r>
          </w:p>
        </w:tc>
        <w:tc>
          <w:tcPr>
            <w:tcW w:w="1418" w:type="dxa"/>
            <w:tcBorders>
              <w:top w:val="nil"/>
              <w:left w:val="nil"/>
              <w:bottom w:val="single" w:sz="4" w:space="0" w:color="auto"/>
              <w:right w:val="double" w:sz="4" w:space="0" w:color="auto"/>
            </w:tcBorders>
            <w:shd w:val="clear" w:color="auto" w:fill="auto"/>
            <w:vAlign w:val="center"/>
            <w:hideMark/>
          </w:tcPr>
          <w:p w14:paraId="2EDC9BBA"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134,1</w:t>
            </w:r>
          </w:p>
        </w:tc>
      </w:tr>
      <w:tr w:rsidR="00D470B6" w:rsidRPr="00A53AD7" w14:paraId="0A956F84" w14:textId="77777777" w:rsidTr="003D03EE">
        <w:trPr>
          <w:trHeight w:val="528"/>
        </w:trPr>
        <w:tc>
          <w:tcPr>
            <w:tcW w:w="3402" w:type="dxa"/>
            <w:tcBorders>
              <w:top w:val="nil"/>
              <w:left w:val="double" w:sz="4" w:space="0" w:color="auto"/>
              <w:bottom w:val="single" w:sz="4" w:space="0" w:color="auto"/>
              <w:right w:val="nil"/>
            </w:tcBorders>
            <w:shd w:val="clear" w:color="auto" w:fill="auto"/>
            <w:vAlign w:val="center"/>
            <w:hideMark/>
          </w:tcPr>
          <w:p w14:paraId="51649F71"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в действие фельдшерско-акушерских пунктов и (или) офисов врача общей практики</w:t>
            </w:r>
          </w:p>
        </w:tc>
        <w:tc>
          <w:tcPr>
            <w:tcW w:w="1843" w:type="dxa"/>
            <w:tcBorders>
              <w:top w:val="nil"/>
              <w:left w:val="single" w:sz="4" w:space="0" w:color="auto"/>
              <w:bottom w:val="single" w:sz="4" w:space="0" w:color="auto"/>
              <w:right w:val="nil"/>
            </w:tcBorders>
            <w:shd w:val="clear" w:color="auto" w:fill="auto"/>
            <w:vAlign w:val="center"/>
            <w:hideMark/>
          </w:tcPr>
          <w:p w14:paraId="1C45945C"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строительства и архитектуры АО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4594CE3"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9" w:type="dxa"/>
            <w:tcBorders>
              <w:top w:val="nil"/>
              <w:left w:val="nil"/>
              <w:bottom w:val="single" w:sz="4" w:space="0" w:color="auto"/>
              <w:right w:val="single" w:sz="4" w:space="0" w:color="auto"/>
            </w:tcBorders>
            <w:shd w:val="clear" w:color="auto" w:fill="auto"/>
            <w:vAlign w:val="center"/>
            <w:hideMark/>
          </w:tcPr>
          <w:p w14:paraId="60E77488"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14:paraId="2A6E7DF8"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1418" w:type="dxa"/>
            <w:tcBorders>
              <w:top w:val="nil"/>
              <w:left w:val="nil"/>
              <w:bottom w:val="single" w:sz="4" w:space="0" w:color="auto"/>
              <w:right w:val="double" w:sz="4" w:space="0" w:color="auto"/>
            </w:tcBorders>
            <w:shd w:val="clear" w:color="auto" w:fill="auto"/>
            <w:vAlign w:val="center"/>
            <w:hideMark/>
          </w:tcPr>
          <w:p w14:paraId="6BE35088"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659F7982" w14:textId="77777777" w:rsidTr="003D03EE">
        <w:trPr>
          <w:trHeight w:val="528"/>
        </w:trPr>
        <w:tc>
          <w:tcPr>
            <w:tcW w:w="3402" w:type="dxa"/>
            <w:tcBorders>
              <w:top w:val="nil"/>
              <w:left w:val="double" w:sz="4" w:space="0" w:color="auto"/>
              <w:bottom w:val="single" w:sz="4" w:space="0" w:color="auto"/>
              <w:right w:val="nil"/>
            </w:tcBorders>
            <w:shd w:val="clear" w:color="auto" w:fill="auto"/>
            <w:vAlign w:val="center"/>
            <w:hideMark/>
          </w:tcPr>
          <w:p w14:paraId="21E3C30B"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в действие плоскостных спортивных сооружений</w:t>
            </w:r>
          </w:p>
        </w:tc>
        <w:tc>
          <w:tcPr>
            <w:tcW w:w="1843" w:type="dxa"/>
            <w:tcBorders>
              <w:top w:val="nil"/>
              <w:left w:val="single" w:sz="4" w:space="0" w:color="auto"/>
              <w:bottom w:val="single" w:sz="4" w:space="0" w:color="auto"/>
              <w:right w:val="nil"/>
            </w:tcBorders>
            <w:shd w:val="clear" w:color="auto" w:fill="auto"/>
            <w:vAlign w:val="center"/>
            <w:hideMark/>
          </w:tcPr>
          <w:p w14:paraId="39BE374B"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строительства и архитектуры АО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15BF7DC"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кв. м</w:t>
            </w:r>
          </w:p>
        </w:tc>
        <w:tc>
          <w:tcPr>
            <w:tcW w:w="709" w:type="dxa"/>
            <w:tcBorders>
              <w:top w:val="nil"/>
              <w:left w:val="nil"/>
              <w:bottom w:val="single" w:sz="4" w:space="0" w:color="auto"/>
              <w:right w:val="single" w:sz="4" w:space="0" w:color="auto"/>
            </w:tcBorders>
            <w:shd w:val="clear" w:color="auto" w:fill="auto"/>
            <w:vAlign w:val="center"/>
            <w:hideMark/>
          </w:tcPr>
          <w:p w14:paraId="504094ED"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924,0</w:t>
            </w:r>
          </w:p>
        </w:tc>
        <w:tc>
          <w:tcPr>
            <w:tcW w:w="850" w:type="dxa"/>
            <w:tcBorders>
              <w:top w:val="nil"/>
              <w:left w:val="nil"/>
              <w:bottom w:val="single" w:sz="4" w:space="0" w:color="auto"/>
              <w:right w:val="single" w:sz="4" w:space="0" w:color="auto"/>
            </w:tcBorders>
            <w:shd w:val="clear" w:color="auto" w:fill="auto"/>
            <w:vAlign w:val="center"/>
            <w:hideMark/>
          </w:tcPr>
          <w:p w14:paraId="589E386A"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1144,0</w:t>
            </w:r>
          </w:p>
        </w:tc>
        <w:tc>
          <w:tcPr>
            <w:tcW w:w="1418" w:type="dxa"/>
            <w:tcBorders>
              <w:top w:val="nil"/>
              <w:left w:val="nil"/>
              <w:bottom w:val="single" w:sz="4" w:space="0" w:color="auto"/>
              <w:right w:val="double" w:sz="4" w:space="0" w:color="auto"/>
            </w:tcBorders>
            <w:shd w:val="clear" w:color="auto" w:fill="auto"/>
            <w:vAlign w:val="center"/>
            <w:hideMark/>
          </w:tcPr>
          <w:p w14:paraId="48E71F10"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123,8</w:t>
            </w:r>
          </w:p>
        </w:tc>
      </w:tr>
      <w:tr w:rsidR="00D470B6" w:rsidRPr="00A53AD7" w14:paraId="365F057D" w14:textId="77777777" w:rsidTr="003D03EE">
        <w:trPr>
          <w:trHeight w:val="467"/>
        </w:trPr>
        <w:tc>
          <w:tcPr>
            <w:tcW w:w="3402" w:type="dxa"/>
            <w:tcBorders>
              <w:top w:val="nil"/>
              <w:left w:val="double" w:sz="4" w:space="0" w:color="auto"/>
              <w:bottom w:val="single" w:sz="4" w:space="0" w:color="auto"/>
              <w:right w:val="nil"/>
            </w:tcBorders>
            <w:shd w:val="clear" w:color="auto" w:fill="auto"/>
            <w:vAlign w:val="center"/>
            <w:hideMark/>
          </w:tcPr>
          <w:p w14:paraId="3205621E"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в действие распределительных газовых сетей в сельской местности</w:t>
            </w:r>
          </w:p>
        </w:tc>
        <w:tc>
          <w:tcPr>
            <w:tcW w:w="1843" w:type="dxa"/>
            <w:tcBorders>
              <w:top w:val="nil"/>
              <w:left w:val="single" w:sz="4" w:space="0" w:color="auto"/>
              <w:bottom w:val="single" w:sz="4" w:space="0" w:color="auto"/>
              <w:right w:val="nil"/>
            </w:tcBorders>
            <w:shd w:val="clear" w:color="auto" w:fill="auto"/>
            <w:vAlign w:val="center"/>
            <w:hideMark/>
          </w:tcPr>
          <w:p w14:paraId="1391F656"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ТЭК и ЖКХ АО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A4081F"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км</w:t>
            </w:r>
          </w:p>
        </w:tc>
        <w:tc>
          <w:tcPr>
            <w:tcW w:w="709" w:type="dxa"/>
            <w:tcBorders>
              <w:top w:val="nil"/>
              <w:left w:val="nil"/>
              <w:bottom w:val="single" w:sz="4" w:space="0" w:color="auto"/>
              <w:right w:val="single" w:sz="4" w:space="0" w:color="auto"/>
            </w:tcBorders>
            <w:shd w:val="clear" w:color="auto" w:fill="auto"/>
            <w:vAlign w:val="center"/>
            <w:hideMark/>
          </w:tcPr>
          <w:p w14:paraId="6CD88705"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w:t>
            </w:r>
          </w:p>
        </w:tc>
        <w:tc>
          <w:tcPr>
            <w:tcW w:w="850" w:type="dxa"/>
            <w:tcBorders>
              <w:top w:val="nil"/>
              <w:left w:val="nil"/>
              <w:bottom w:val="single" w:sz="4" w:space="0" w:color="auto"/>
              <w:right w:val="single" w:sz="4" w:space="0" w:color="auto"/>
            </w:tcBorders>
            <w:shd w:val="clear" w:color="auto" w:fill="auto"/>
            <w:vAlign w:val="center"/>
            <w:hideMark/>
          </w:tcPr>
          <w:p w14:paraId="49C0AB06"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w:t>
            </w:r>
          </w:p>
        </w:tc>
        <w:tc>
          <w:tcPr>
            <w:tcW w:w="1418" w:type="dxa"/>
            <w:tcBorders>
              <w:top w:val="nil"/>
              <w:left w:val="nil"/>
              <w:bottom w:val="single" w:sz="4" w:space="0" w:color="auto"/>
              <w:right w:val="double" w:sz="4" w:space="0" w:color="auto"/>
            </w:tcBorders>
            <w:shd w:val="clear" w:color="auto" w:fill="auto"/>
            <w:vAlign w:val="center"/>
            <w:hideMark/>
          </w:tcPr>
          <w:p w14:paraId="7F6DE7B5"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77908E29" w14:textId="77777777" w:rsidTr="003D03EE">
        <w:trPr>
          <w:trHeight w:val="2112"/>
        </w:trPr>
        <w:tc>
          <w:tcPr>
            <w:tcW w:w="3402" w:type="dxa"/>
            <w:tcBorders>
              <w:top w:val="nil"/>
              <w:left w:val="double" w:sz="4" w:space="0" w:color="auto"/>
              <w:bottom w:val="single" w:sz="4" w:space="0" w:color="auto"/>
              <w:right w:val="nil"/>
            </w:tcBorders>
            <w:shd w:val="clear" w:color="auto" w:fill="auto"/>
            <w:vAlign w:val="center"/>
            <w:hideMark/>
          </w:tcPr>
          <w:p w14:paraId="76625443"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Ввод в эксплуатацию автодорог общего пользования с твердым покрытием, ведущих от сети автодорог общего пользования к ближайшим общественно значимым объектам сельских населенных пунктов, а также к объектам производства и переработки сельскохозяйственной продукции</w:t>
            </w:r>
          </w:p>
        </w:tc>
        <w:tc>
          <w:tcPr>
            <w:tcW w:w="1843" w:type="dxa"/>
            <w:tcBorders>
              <w:top w:val="nil"/>
              <w:left w:val="single" w:sz="4" w:space="0" w:color="auto"/>
              <w:bottom w:val="single" w:sz="4" w:space="0" w:color="auto"/>
              <w:right w:val="nil"/>
            </w:tcBorders>
            <w:shd w:val="clear" w:color="auto" w:fill="auto"/>
            <w:vAlign w:val="center"/>
            <w:hideMark/>
          </w:tcPr>
          <w:p w14:paraId="354795F6"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транспорта АО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50CF84"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км</w:t>
            </w:r>
          </w:p>
        </w:tc>
        <w:tc>
          <w:tcPr>
            <w:tcW w:w="709" w:type="dxa"/>
            <w:tcBorders>
              <w:top w:val="nil"/>
              <w:left w:val="nil"/>
              <w:bottom w:val="single" w:sz="4" w:space="0" w:color="auto"/>
              <w:right w:val="single" w:sz="4" w:space="0" w:color="auto"/>
            </w:tcBorders>
            <w:shd w:val="clear" w:color="auto" w:fill="auto"/>
            <w:vAlign w:val="center"/>
            <w:hideMark/>
          </w:tcPr>
          <w:p w14:paraId="3535C9EE"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4,6</w:t>
            </w:r>
          </w:p>
        </w:tc>
        <w:tc>
          <w:tcPr>
            <w:tcW w:w="850" w:type="dxa"/>
            <w:tcBorders>
              <w:top w:val="nil"/>
              <w:left w:val="nil"/>
              <w:bottom w:val="single" w:sz="4" w:space="0" w:color="auto"/>
              <w:right w:val="single" w:sz="4" w:space="0" w:color="auto"/>
            </w:tcBorders>
            <w:shd w:val="clear" w:color="auto" w:fill="auto"/>
            <w:vAlign w:val="center"/>
            <w:hideMark/>
          </w:tcPr>
          <w:p w14:paraId="6B90742B"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4,6</w:t>
            </w:r>
          </w:p>
        </w:tc>
        <w:tc>
          <w:tcPr>
            <w:tcW w:w="1418" w:type="dxa"/>
            <w:tcBorders>
              <w:top w:val="nil"/>
              <w:left w:val="nil"/>
              <w:bottom w:val="single" w:sz="4" w:space="0" w:color="auto"/>
              <w:right w:val="double" w:sz="4" w:space="0" w:color="auto"/>
            </w:tcBorders>
            <w:shd w:val="clear" w:color="auto" w:fill="auto"/>
            <w:vAlign w:val="center"/>
            <w:hideMark/>
          </w:tcPr>
          <w:p w14:paraId="1FC5851E"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21943664" w14:textId="77777777" w:rsidTr="00D352AF">
        <w:trPr>
          <w:trHeight w:val="474"/>
        </w:trPr>
        <w:tc>
          <w:tcPr>
            <w:tcW w:w="3402" w:type="dxa"/>
            <w:tcBorders>
              <w:top w:val="nil"/>
              <w:left w:val="double" w:sz="4" w:space="0" w:color="auto"/>
              <w:bottom w:val="single" w:sz="4" w:space="0" w:color="auto"/>
              <w:right w:val="nil"/>
            </w:tcBorders>
            <w:shd w:val="clear" w:color="auto" w:fill="auto"/>
            <w:vAlign w:val="center"/>
            <w:hideMark/>
          </w:tcPr>
          <w:p w14:paraId="7FAAB8EC"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разработанной проектной документации по строительству автодорог общего пользования с твердым покрытием, ведущих от сети автодорог общего пользования к ближайшим общественно значимым объектам сельских населенных пунктов, а также к объектам производства и переработки сельскохозяйственной продукции</w:t>
            </w:r>
          </w:p>
        </w:tc>
        <w:tc>
          <w:tcPr>
            <w:tcW w:w="1843" w:type="dxa"/>
            <w:tcBorders>
              <w:top w:val="nil"/>
              <w:left w:val="single" w:sz="4" w:space="0" w:color="auto"/>
              <w:bottom w:val="single" w:sz="4" w:space="0" w:color="auto"/>
              <w:right w:val="nil"/>
            </w:tcBorders>
            <w:shd w:val="clear" w:color="auto" w:fill="auto"/>
            <w:vAlign w:val="center"/>
            <w:hideMark/>
          </w:tcPr>
          <w:p w14:paraId="538523A7"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транспорта АО</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5B5A97E"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9" w:type="dxa"/>
            <w:tcBorders>
              <w:top w:val="nil"/>
              <w:left w:val="nil"/>
              <w:bottom w:val="single" w:sz="4" w:space="0" w:color="auto"/>
              <w:right w:val="single" w:sz="4" w:space="0" w:color="auto"/>
            </w:tcBorders>
            <w:shd w:val="clear" w:color="auto" w:fill="auto"/>
            <w:vAlign w:val="center"/>
            <w:hideMark/>
          </w:tcPr>
          <w:p w14:paraId="153408DD"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14:paraId="0844C1B5"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1418" w:type="dxa"/>
            <w:tcBorders>
              <w:top w:val="nil"/>
              <w:left w:val="nil"/>
              <w:bottom w:val="single" w:sz="4" w:space="0" w:color="auto"/>
              <w:right w:val="double" w:sz="4" w:space="0" w:color="auto"/>
            </w:tcBorders>
            <w:shd w:val="clear" w:color="auto" w:fill="auto"/>
            <w:vAlign w:val="center"/>
            <w:hideMark/>
          </w:tcPr>
          <w:p w14:paraId="50C7F1CD"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3181A" w:rsidRPr="00A53AD7" w14:paraId="179C7B5D" w14:textId="77777777" w:rsidTr="003D03EE">
        <w:trPr>
          <w:trHeight w:val="1056"/>
        </w:trPr>
        <w:tc>
          <w:tcPr>
            <w:tcW w:w="3402" w:type="dxa"/>
            <w:tcBorders>
              <w:top w:val="nil"/>
              <w:left w:val="double" w:sz="4" w:space="0" w:color="auto"/>
              <w:bottom w:val="double" w:sz="4" w:space="0" w:color="auto"/>
              <w:right w:val="nil"/>
            </w:tcBorders>
            <w:shd w:val="clear" w:color="auto" w:fill="auto"/>
            <w:vAlign w:val="center"/>
            <w:hideMark/>
          </w:tcPr>
          <w:p w14:paraId="4DF769E7"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реализованных проектов местных инициатив граждан, проживающих в сельской местности, получивших грантовую поддержку</w:t>
            </w:r>
          </w:p>
        </w:tc>
        <w:tc>
          <w:tcPr>
            <w:tcW w:w="1843" w:type="dxa"/>
            <w:tcBorders>
              <w:top w:val="nil"/>
              <w:left w:val="single" w:sz="4" w:space="0" w:color="auto"/>
              <w:bottom w:val="double" w:sz="4" w:space="0" w:color="auto"/>
              <w:right w:val="nil"/>
            </w:tcBorders>
            <w:shd w:val="clear" w:color="auto" w:fill="auto"/>
            <w:vAlign w:val="center"/>
            <w:hideMark/>
          </w:tcPr>
          <w:p w14:paraId="27A69903" w14:textId="77777777" w:rsidR="00D3181A" w:rsidRPr="00A53AD7" w:rsidRDefault="00D3181A" w:rsidP="00D3181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Администрация Губернатора АО</w:t>
            </w:r>
            <w:r w:rsidRPr="00A53AD7">
              <w:rPr>
                <w:rFonts w:ascii="Times New Roman" w:eastAsia="Times New Roman" w:hAnsi="Times New Roman"/>
                <w:sz w:val="20"/>
                <w:szCs w:val="20"/>
                <w:lang w:eastAsia="ru-RU"/>
              </w:rPr>
              <w:br/>
              <w:t>и Правительства АО</w:t>
            </w:r>
          </w:p>
        </w:tc>
        <w:tc>
          <w:tcPr>
            <w:tcW w:w="1134" w:type="dxa"/>
            <w:tcBorders>
              <w:top w:val="nil"/>
              <w:left w:val="single" w:sz="4" w:space="0" w:color="auto"/>
              <w:bottom w:val="double" w:sz="4" w:space="0" w:color="auto"/>
              <w:right w:val="single" w:sz="4" w:space="0" w:color="auto"/>
            </w:tcBorders>
            <w:shd w:val="clear" w:color="auto" w:fill="auto"/>
            <w:vAlign w:val="center"/>
            <w:hideMark/>
          </w:tcPr>
          <w:p w14:paraId="3D48D69D"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9" w:type="dxa"/>
            <w:tcBorders>
              <w:top w:val="nil"/>
              <w:left w:val="nil"/>
              <w:bottom w:val="double" w:sz="4" w:space="0" w:color="auto"/>
              <w:right w:val="single" w:sz="4" w:space="0" w:color="auto"/>
            </w:tcBorders>
            <w:shd w:val="clear" w:color="auto" w:fill="auto"/>
            <w:vAlign w:val="center"/>
            <w:hideMark/>
          </w:tcPr>
          <w:p w14:paraId="2E5E2CAA"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c>
          <w:tcPr>
            <w:tcW w:w="850" w:type="dxa"/>
            <w:tcBorders>
              <w:top w:val="nil"/>
              <w:left w:val="nil"/>
              <w:bottom w:val="double" w:sz="4" w:space="0" w:color="auto"/>
              <w:right w:val="single" w:sz="4" w:space="0" w:color="auto"/>
            </w:tcBorders>
            <w:shd w:val="clear" w:color="auto" w:fill="auto"/>
            <w:vAlign w:val="center"/>
            <w:hideMark/>
          </w:tcPr>
          <w:p w14:paraId="6DE43140"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7,0</w:t>
            </w:r>
          </w:p>
        </w:tc>
        <w:tc>
          <w:tcPr>
            <w:tcW w:w="1418" w:type="dxa"/>
            <w:tcBorders>
              <w:top w:val="nil"/>
              <w:left w:val="nil"/>
              <w:bottom w:val="double" w:sz="4" w:space="0" w:color="auto"/>
              <w:right w:val="double" w:sz="4" w:space="0" w:color="auto"/>
            </w:tcBorders>
            <w:shd w:val="clear" w:color="auto" w:fill="auto"/>
            <w:vAlign w:val="center"/>
            <w:hideMark/>
          </w:tcPr>
          <w:p w14:paraId="664246A1" w14:textId="77777777" w:rsidR="00D3181A" w:rsidRPr="00A53AD7" w:rsidRDefault="00D3181A" w:rsidP="00D3181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175,0</w:t>
            </w:r>
          </w:p>
        </w:tc>
      </w:tr>
    </w:tbl>
    <w:p w14:paraId="69354F56" w14:textId="77777777" w:rsidR="00D3181A" w:rsidRPr="00A53AD7" w:rsidRDefault="00D3181A" w:rsidP="003D03EE">
      <w:pPr>
        <w:pStyle w:val="ConsPlusNormal"/>
        <w:ind w:firstLine="851"/>
        <w:jc w:val="both"/>
        <w:rPr>
          <w:rFonts w:ascii="Times New Roman" w:hAnsi="Times New Roman" w:cs="Times New Roman"/>
          <w:sz w:val="28"/>
          <w:szCs w:val="28"/>
        </w:rPr>
      </w:pPr>
    </w:p>
    <w:p w14:paraId="3D318B0E"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Согласно областному закону о бюджете на 2019 год в редакции от 13.12.2019 и уточненной сводной бюджетной росписи, а также отчета об исполнении областного бюджета за 2019 год на реализацию мероприятий ГП №461-пп расходы на реализацию программных мероприятий составили в сумме 386,1 млн.руб. (из них ФБ – 186,2 млн.руб., ОБ – 199,9 млн.руб.), исполнено 378,8 млн.руб. или 98% к утвержденным расходам на год, в том числе по главным распорядителям:</w:t>
      </w:r>
    </w:p>
    <w:p w14:paraId="30B078BF" w14:textId="211E4292" w:rsidR="00D3181A" w:rsidRPr="00A53AD7" w:rsidRDefault="00D3181A" w:rsidP="00D3181A">
      <w:pPr>
        <w:spacing w:after="0" w:line="240" w:lineRule="auto"/>
        <w:ind w:firstLine="709"/>
        <w:jc w:val="right"/>
        <w:rPr>
          <w:rFonts w:ascii="Times New Roman" w:hAnsi="Times New Roman"/>
          <w:sz w:val="24"/>
          <w:szCs w:val="24"/>
        </w:rPr>
      </w:pPr>
      <w:r w:rsidRPr="00A53AD7">
        <w:rPr>
          <w:rFonts w:ascii="Times New Roman" w:hAnsi="Times New Roman"/>
          <w:sz w:val="24"/>
          <w:szCs w:val="24"/>
        </w:rPr>
        <w:t>млн.руб.</w:t>
      </w:r>
    </w:p>
    <w:tbl>
      <w:tblPr>
        <w:tblW w:w="937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126"/>
        <w:gridCol w:w="2268"/>
        <w:gridCol w:w="1418"/>
        <w:gridCol w:w="1559"/>
      </w:tblGrid>
      <w:tr w:rsidR="00D470B6" w:rsidRPr="00A53AD7" w14:paraId="5CCF41E6" w14:textId="77777777" w:rsidTr="003D03EE">
        <w:trPr>
          <w:trHeight w:val="552"/>
        </w:trPr>
        <w:tc>
          <w:tcPr>
            <w:tcW w:w="4126" w:type="dxa"/>
            <w:shd w:val="clear" w:color="auto" w:fill="auto"/>
            <w:vAlign w:val="center"/>
            <w:hideMark/>
          </w:tcPr>
          <w:p w14:paraId="7D14F6FF" w14:textId="77777777" w:rsidR="00D3181A" w:rsidRPr="00A53AD7" w:rsidRDefault="00D3181A" w:rsidP="00D3181A">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ГРБС</w:t>
            </w:r>
          </w:p>
        </w:tc>
        <w:tc>
          <w:tcPr>
            <w:tcW w:w="2268" w:type="dxa"/>
            <w:shd w:val="clear" w:color="auto" w:fill="auto"/>
            <w:vAlign w:val="center"/>
            <w:hideMark/>
          </w:tcPr>
          <w:p w14:paraId="28549D02"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Уточненная сводная бюджетная роспись</w:t>
            </w:r>
          </w:p>
        </w:tc>
        <w:tc>
          <w:tcPr>
            <w:tcW w:w="1418" w:type="dxa"/>
            <w:shd w:val="clear" w:color="auto" w:fill="auto"/>
            <w:vAlign w:val="center"/>
            <w:hideMark/>
          </w:tcPr>
          <w:p w14:paraId="51181FAE"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исполнено</w:t>
            </w:r>
          </w:p>
        </w:tc>
        <w:tc>
          <w:tcPr>
            <w:tcW w:w="1559" w:type="dxa"/>
            <w:shd w:val="clear" w:color="auto" w:fill="auto"/>
            <w:vAlign w:val="center"/>
            <w:hideMark/>
          </w:tcPr>
          <w:p w14:paraId="25843AC4"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процент исполнения</w:t>
            </w:r>
          </w:p>
        </w:tc>
      </w:tr>
      <w:tr w:rsidR="00D470B6" w:rsidRPr="00A53AD7" w14:paraId="501E9F9A" w14:textId="77777777" w:rsidTr="003D03EE">
        <w:trPr>
          <w:trHeight w:val="276"/>
        </w:trPr>
        <w:tc>
          <w:tcPr>
            <w:tcW w:w="4126" w:type="dxa"/>
            <w:shd w:val="clear" w:color="auto" w:fill="auto"/>
            <w:vAlign w:val="center"/>
            <w:hideMark/>
          </w:tcPr>
          <w:p w14:paraId="16200673"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АПК</w:t>
            </w:r>
          </w:p>
        </w:tc>
        <w:tc>
          <w:tcPr>
            <w:tcW w:w="2268" w:type="dxa"/>
            <w:shd w:val="clear" w:color="auto" w:fill="auto"/>
            <w:vAlign w:val="center"/>
            <w:hideMark/>
          </w:tcPr>
          <w:p w14:paraId="65A420D9"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124,7</w:t>
            </w:r>
          </w:p>
        </w:tc>
        <w:tc>
          <w:tcPr>
            <w:tcW w:w="1418" w:type="dxa"/>
            <w:shd w:val="clear" w:color="auto" w:fill="auto"/>
            <w:vAlign w:val="center"/>
            <w:hideMark/>
          </w:tcPr>
          <w:p w14:paraId="648D1213"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119,4</w:t>
            </w:r>
          </w:p>
        </w:tc>
        <w:tc>
          <w:tcPr>
            <w:tcW w:w="1559" w:type="dxa"/>
            <w:shd w:val="clear" w:color="auto" w:fill="auto"/>
            <w:vAlign w:val="center"/>
            <w:hideMark/>
          </w:tcPr>
          <w:p w14:paraId="12FB5CAA"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95,7%</w:t>
            </w:r>
          </w:p>
        </w:tc>
      </w:tr>
      <w:tr w:rsidR="00D470B6" w:rsidRPr="00A53AD7" w14:paraId="6EF6F878" w14:textId="77777777" w:rsidTr="003D03EE">
        <w:trPr>
          <w:trHeight w:val="276"/>
        </w:trPr>
        <w:tc>
          <w:tcPr>
            <w:tcW w:w="4126" w:type="dxa"/>
            <w:shd w:val="clear" w:color="auto" w:fill="auto"/>
            <w:vAlign w:val="center"/>
            <w:hideMark/>
          </w:tcPr>
          <w:p w14:paraId="41DDB97A"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ТЭК и ЖКХ АО</w:t>
            </w:r>
          </w:p>
        </w:tc>
        <w:tc>
          <w:tcPr>
            <w:tcW w:w="2268" w:type="dxa"/>
            <w:shd w:val="clear" w:color="auto" w:fill="auto"/>
            <w:vAlign w:val="center"/>
            <w:hideMark/>
          </w:tcPr>
          <w:p w14:paraId="722151B0"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30,2</w:t>
            </w:r>
          </w:p>
        </w:tc>
        <w:tc>
          <w:tcPr>
            <w:tcW w:w="1418" w:type="dxa"/>
            <w:shd w:val="clear" w:color="auto" w:fill="auto"/>
            <w:vAlign w:val="center"/>
            <w:hideMark/>
          </w:tcPr>
          <w:p w14:paraId="0347BB03"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28,1</w:t>
            </w:r>
          </w:p>
        </w:tc>
        <w:tc>
          <w:tcPr>
            <w:tcW w:w="1559" w:type="dxa"/>
            <w:shd w:val="clear" w:color="auto" w:fill="auto"/>
            <w:vAlign w:val="center"/>
            <w:hideMark/>
          </w:tcPr>
          <w:p w14:paraId="71DE0F1E"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93,0%</w:t>
            </w:r>
          </w:p>
        </w:tc>
      </w:tr>
      <w:tr w:rsidR="00D470B6" w:rsidRPr="00A53AD7" w14:paraId="2034D40E" w14:textId="77777777" w:rsidTr="003D03EE">
        <w:trPr>
          <w:trHeight w:val="276"/>
        </w:trPr>
        <w:tc>
          <w:tcPr>
            <w:tcW w:w="4126" w:type="dxa"/>
            <w:shd w:val="clear" w:color="auto" w:fill="auto"/>
            <w:vAlign w:val="center"/>
            <w:hideMark/>
          </w:tcPr>
          <w:p w14:paraId="13A70D35"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строительство АО</w:t>
            </w:r>
          </w:p>
        </w:tc>
        <w:tc>
          <w:tcPr>
            <w:tcW w:w="2268" w:type="dxa"/>
            <w:shd w:val="clear" w:color="auto" w:fill="auto"/>
            <w:vAlign w:val="center"/>
            <w:hideMark/>
          </w:tcPr>
          <w:p w14:paraId="0AB2563E"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50,7</w:t>
            </w:r>
          </w:p>
        </w:tc>
        <w:tc>
          <w:tcPr>
            <w:tcW w:w="1418" w:type="dxa"/>
            <w:shd w:val="clear" w:color="auto" w:fill="auto"/>
            <w:vAlign w:val="center"/>
            <w:hideMark/>
          </w:tcPr>
          <w:p w14:paraId="76A32D89"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50,7</w:t>
            </w:r>
          </w:p>
        </w:tc>
        <w:tc>
          <w:tcPr>
            <w:tcW w:w="1559" w:type="dxa"/>
            <w:shd w:val="clear" w:color="auto" w:fill="auto"/>
            <w:vAlign w:val="center"/>
            <w:hideMark/>
          </w:tcPr>
          <w:p w14:paraId="6D16D6A1"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2D0DD586" w14:textId="77777777" w:rsidTr="003D03EE">
        <w:trPr>
          <w:trHeight w:val="276"/>
        </w:trPr>
        <w:tc>
          <w:tcPr>
            <w:tcW w:w="4126" w:type="dxa"/>
            <w:shd w:val="clear" w:color="auto" w:fill="auto"/>
            <w:vAlign w:val="center"/>
            <w:hideMark/>
          </w:tcPr>
          <w:p w14:paraId="25B7D06A"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министерство транспорта АО</w:t>
            </w:r>
          </w:p>
        </w:tc>
        <w:tc>
          <w:tcPr>
            <w:tcW w:w="2268" w:type="dxa"/>
            <w:shd w:val="clear" w:color="auto" w:fill="auto"/>
            <w:vAlign w:val="center"/>
            <w:hideMark/>
          </w:tcPr>
          <w:p w14:paraId="17C3363F"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179,1</w:t>
            </w:r>
          </w:p>
        </w:tc>
        <w:tc>
          <w:tcPr>
            <w:tcW w:w="1418" w:type="dxa"/>
            <w:shd w:val="clear" w:color="auto" w:fill="auto"/>
            <w:vAlign w:val="center"/>
            <w:hideMark/>
          </w:tcPr>
          <w:p w14:paraId="3704CA28"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179,1</w:t>
            </w:r>
          </w:p>
        </w:tc>
        <w:tc>
          <w:tcPr>
            <w:tcW w:w="1559" w:type="dxa"/>
            <w:shd w:val="clear" w:color="auto" w:fill="auto"/>
            <w:vAlign w:val="center"/>
            <w:hideMark/>
          </w:tcPr>
          <w:p w14:paraId="4DCC2E02"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672D121C" w14:textId="77777777" w:rsidTr="003D03EE">
        <w:trPr>
          <w:trHeight w:val="552"/>
        </w:trPr>
        <w:tc>
          <w:tcPr>
            <w:tcW w:w="4126" w:type="dxa"/>
            <w:shd w:val="clear" w:color="auto" w:fill="auto"/>
            <w:vAlign w:val="center"/>
            <w:hideMark/>
          </w:tcPr>
          <w:p w14:paraId="06C54482"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администрация Губернатора АО и Правительства АО</w:t>
            </w:r>
          </w:p>
        </w:tc>
        <w:tc>
          <w:tcPr>
            <w:tcW w:w="2268" w:type="dxa"/>
            <w:shd w:val="clear" w:color="auto" w:fill="auto"/>
            <w:vAlign w:val="center"/>
            <w:hideMark/>
          </w:tcPr>
          <w:p w14:paraId="58E1E5FF"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c>
          <w:tcPr>
            <w:tcW w:w="1418" w:type="dxa"/>
            <w:shd w:val="clear" w:color="auto" w:fill="auto"/>
            <w:vAlign w:val="center"/>
            <w:hideMark/>
          </w:tcPr>
          <w:p w14:paraId="6D415F5F"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w:t>
            </w:r>
          </w:p>
        </w:tc>
        <w:tc>
          <w:tcPr>
            <w:tcW w:w="1559" w:type="dxa"/>
            <w:shd w:val="clear" w:color="auto" w:fill="auto"/>
            <w:vAlign w:val="center"/>
            <w:hideMark/>
          </w:tcPr>
          <w:p w14:paraId="7FF4A363"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100,0%</w:t>
            </w:r>
          </w:p>
        </w:tc>
      </w:tr>
      <w:tr w:rsidR="00D3181A" w:rsidRPr="00A53AD7" w14:paraId="06F4D103" w14:textId="77777777" w:rsidTr="003D03EE">
        <w:trPr>
          <w:trHeight w:val="276"/>
        </w:trPr>
        <w:tc>
          <w:tcPr>
            <w:tcW w:w="4126" w:type="dxa"/>
            <w:shd w:val="clear" w:color="auto" w:fill="auto"/>
            <w:vAlign w:val="center"/>
            <w:hideMark/>
          </w:tcPr>
          <w:p w14:paraId="471CB3D5" w14:textId="77777777" w:rsidR="00D3181A" w:rsidRPr="00A53AD7" w:rsidRDefault="00D3181A" w:rsidP="00D3181A">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2268" w:type="dxa"/>
            <w:shd w:val="clear" w:color="auto" w:fill="auto"/>
            <w:vAlign w:val="center"/>
            <w:hideMark/>
          </w:tcPr>
          <w:p w14:paraId="332BCF4B"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386,2</w:t>
            </w:r>
          </w:p>
        </w:tc>
        <w:tc>
          <w:tcPr>
            <w:tcW w:w="1418" w:type="dxa"/>
            <w:shd w:val="clear" w:color="auto" w:fill="auto"/>
            <w:vAlign w:val="center"/>
            <w:hideMark/>
          </w:tcPr>
          <w:p w14:paraId="32BC2CB7"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378,8</w:t>
            </w:r>
          </w:p>
        </w:tc>
        <w:tc>
          <w:tcPr>
            <w:tcW w:w="1559" w:type="dxa"/>
            <w:shd w:val="clear" w:color="auto" w:fill="auto"/>
            <w:vAlign w:val="center"/>
            <w:hideMark/>
          </w:tcPr>
          <w:p w14:paraId="780C325B" w14:textId="77777777" w:rsidR="00D3181A" w:rsidRPr="00A53AD7" w:rsidRDefault="00D3181A" w:rsidP="00D3181A">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w:t>
            </w:r>
          </w:p>
        </w:tc>
      </w:tr>
    </w:tbl>
    <w:p w14:paraId="79030E9E" w14:textId="77777777" w:rsidR="00D3181A" w:rsidRPr="00A53AD7" w:rsidRDefault="00D3181A" w:rsidP="00D3181A">
      <w:pPr>
        <w:pStyle w:val="ad"/>
        <w:ind w:firstLine="708"/>
        <w:jc w:val="both"/>
        <w:rPr>
          <w:rFonts w:ascii="Times New Roman" w:hAnsi="Times New Roman"/>
          <w:sz w:val="28"/>
          <w:szCs w:val="28"/>
          <w:highlight w:val="cyan"/>
        </w:rPr>
      </w:pPr>
    </w:p>
    <w:p w14:paraId="0554BBE3" w14:textId="0D763B05" w:rsidR="00D3181A" w:rsidRPr="00A53AD7" w:rsidRDefault="003D03EE" w:rsidP="003D03EE">
      <w:pPr>
        <w:pStyle w:val="ad"/>
        <w:ind w:firstLine="851"/>
        <w:jc w:val="both"/>
        <w:rPr>
          <w:rFonts w:ascii="Times New Roman" w:hAnsi="Times New Roman"/>
          <w:sz w:val="28"/>
          <w:szCs w:val="28"/>
        </w:rPr>
      </w:pPr>
      <w:r w:rsidRPr="00A53AD7">
        <w:rPr>
          <w:rFonts w:ascii="Times New Roman" w:hAnsi="Times New Roman"/>
          <w:b/>
          <w:sz w:val="28"/>
          <w:szCs w:val="28"/>
        </w:rPr>
        <w:t>М</w:t>
      </w:r>
      <w:r w:rsidR="00D3181A" w:rsidRPr="00A53AD7">
        <w:rPr>
          <w:rFonts w:ascii="Times New Roman" w:hAnsi="Times New Roman"/>
          <w:b/>
          <w:sz w:val="28"/>
          <w:szCs w:val="28"/>
        </w:rPr>
        <w:t>инистерству агропромышленного комплекса и торговли АО (министерство АПК),</w:t>
      </w:r>
      <w:r w:rsidR="00D3181A" w:rsidRPr="00A53AD7">
        <w:rPr>
          <w:rFonts w:ascii="Times New Roman" w:hAnsi="Times New Roman"/>
          <w:sz w:val="28"/>
          <w:szCs w:val="28"/>
        </w:rPr>
        <w:t xml:space="preserve"> согласно закону о бюджете в редакции от 13.12.2019 и уточненной сводной бюджетной росписи расходы на год утверждены в объеме 124,7 млн.руб., исполнено – 119,4 млн.руб. (ФБ – 69,8 млн.руб., ОБ – 49,6 млн.руб.) или 95,71% к годовым назначениям, из них:</w:t>
      </w:r>
    </w:p>
    <w:p w14:paraId="1EB8A9F1"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1) в соответствии с приложением №2 ГП №461-пп, по мероприятию 1.1 на улучшение жилищных условий граждан, проживающих в сельской местности, в том числе молодых семей и молодых специалистов запланировано на год 118,1 млн.руб., в соответствии с отчетом о реализации мероприятий ГП №461-пп за 2019 год, размещенному в КИАС, исполнено – 117,6 млн.руб., из них ФБ – 69,8 млн.руб., ОБ – 47,8 млн.руб. или 99,59% от годовых плановых назначений.</w:t>
      </w:r>
    </w:p>
    <w:p w14:paraId="2D5C380D" w14:textId="2FAC3C81"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Во исполнение мероприятия №1.1. ГП №</w:t>
      </w:r>
      <w:r w:rsidR="00D93F4D" w:rsidRPr="00A53AD7">
        <w:rPr>
          <w:rFonts w:ascii="Times New Roman" w:hAnsi="Times New Roman" w:cs="Times New Roman"/>
          <w:sz w:val="28"/>
          <w:szCs w:val="28"/>
        </w:rPr>
        <w:t xml:space="preserve"> </w:t>
      </w:r>
      <w:r w:rsidRPr="00A53AD7">
        <w:rPr>
          <w:rFonts w:ascii="Times New Roman" w:hAnsi="Times New Roman" w:cs="Times New Roman"/>
          <w:sz w:val="28"/>
          <w:szCs w:val="28"/>
        </w:rPr>
        <w:t>461-пп министерством АПК АО в целях софинансирования в 2019 г. расходов по реализации программного мероприятия, заключены соглашения с девятнадцатью районами на общую сумму 118,1 млн.руб.</w:t>
      </w:r>
      <w:r w:rsidR="005915D8" w:rsidRPr="00A53AD7">
        <w:rPr>
          <w:rFonts w:ascii="Times New Roman" w:hAnsi="Times New Roman" w:cs="Times New Roman"/>
          <w:sz w:val="28"/>
          <w:szCs w:val="28"/>
        </w:rPr>
        <w:t xml:space="preserve"> </w:t>
      </w:r>
      <w:r w:rsidRPr="00A53AD7">
        <w:rPr>
          <w:rFonts w:ascii="Times New Roman" w:hAnsi="Times New Roman" w:cs="Times New Roman"/>
          <w:sz w:val="28"/>
          <w:szCs w:val="28"/>
        </w:rPr>
        <w:t>или 100% от запланированных расходов на год, из них по целевым статьям:</w:t>
      </w:r>
    </w:p>
    <w:p w14:paraId="45DF18B9" w14:textId="20ABB86E" w:rsidR="00D3181A" w:rsidRPr="00A53AD7" w:rsidRDefault="00D3181A" w:rsidP="00CA1DDD">
      <w:pPr>
        <w:pStyle w:val="ad"/>
        <w:numPr>
          <w:ilvl w:val="0"/>
          <w:numId w:val="53"/>
        </w:numPr>
        <w:ind w:left="0" w:firstLine="851"/>
        <w:jc w:val="both"/>
        <w:rPr>
          <w:rFonts w:ascii="Times New Roman" w:hAnsi="Times New Roman"/>
          <w:sz w:val="28"/>
          <w:szCs w:val="28"/>
        </w:rPr>
      </w:pPr>
      <w:r w:rsidRPr="00A53AD7">
        <w:rPr>
          <w:rFonts w:ascii="Times New Roman" w:hAnsi="Times New Roman"/>
          <w:sz w:val="28"/>
          <w:szCs w:val="28"/>
        </w:rPr>
        <w:t>24001R5670 - 19 соглашений в июне 2019 на сумму 77,894 млн.руб. (ФБ – 70,1 млн.руб., ОБ – 7,7 млн.руб.);</w:t>
      </w:r>
    </w:p>
    <w:p w14:paraId="1AC44E6C" w14:textId="03149A8E" w:rsidR="00D3181A" w:rsidRPr="00A53AD7" w:rsidRDefault="00D3181A" w:rsidP="00CA1DDD">
      <w:pPr>
        <w:pStyle w:val="ad"/>
        <w:numPr>
          <w:ilvl w:val="0"/>
          <w:numId w:val="53"/>
        </w:numPr>
        <w:ind w:left="0" w:firstLine="851"/>
        <w:jc w:val="both"/>
        <w:rPr>
          <w:rFonts w:ascii="Times New Roman" w:hAnsi="Times New Roman"/>
          <w:sz w:val="28"/>
          <w:szCs w:val="28"/>
        </w:rPr>
      </w:pPr>
      <w:r w:rsidRPr="00A53AD7">
        <w:rPr>
          <w:rFonts w:ascii="Times New Roman" w:hAnsi="Times New Roman"/>
          <w:sz w:val="28"/>
          <w:szCs w:val="28"/>
        </w:rPr>
        <w:t>2400178130 заключены 19 соглашений от 30.07.2019 на сумму 40,2 млн.руб. за счет средств областного бюджета.</w:t>
      </w:r>
    </w:p>
    <w:p w14:paraId="78013735"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Необходимо отметить, что в декабре 2019 во все соглашения внесены изменения в части значений целевых показателей, а также размера средств, предоставляемой субсидии.</w:t>
      </w:r>
    </w:p>
    <w:p w14:paraId="61AFF260"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По информации министерства АПК АО о расходовании средств предоставленной за 2019 г. субсидии по целевой статье 2400178130, средства направлены во все районы в общей сумме 40,05 млн.руб. или 99,6% от суммы, предусмотренной ГП №461-пп.</w:t>
      </w:r>
    </w:p>
    <w:p w14:paraId="35F22C1C"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При этом, следует отметить, что в нарушение пункта 4.3.6 соглашений с муниципальными образованиями министерством АПК АО не предоставлены к проверке отчеты муниципальных образований о расходовании средств субсидии, предоставленной в соответствии с соглашениями, заключенными от 30.07.2019 года.</w:t>
      </w:r>
    </w:p>
    <w:p w14:paraId="269302D8" w14:textId="0593623A"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соответствии с отчетами муниципальных образований о расходовании средств предоставленной субсидии по целевой статье 24001R5670, средства направлены во все районы в общей сумме 77,6 млн.руб. или 99,58% от сум</w:t>
      </w:r>
      <w:r w:rsidR="003D03EE" w:rsidRPr="00A53AD7">
        <w:rPr>
          <w:rFonts w:ascii="Times New Roman" w:hAnsi="Times New Roman" w:cs="Times New Roman"/>
          <w:sz w:val="28"/>
          <w:szCs w:val="28"/>
        </w:rPr>
        <w:t>мы, предусмотренной ГП №461-пп.</w:t>
      </w:r>
    </w:p>
    <w:p w14:paraId="70E0D5AF"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2) Мероприятие 1.3. На обеспечение жильем в сельской местности специалистов сельскохозяйственных товаропроизводителей на 2019 г. утверждено 6,0 млн.руб средств областного бюджета, исполнено – 1,1 млн.руб. или 18,3% от годового плана. Введено 0,3 тыс. кв. метров ведомственного жилья для 5-ти специалистов 3-х сельскохозяйственных товаропроизводителей в Вельском районе Архангельской области.</w:t>
      </w:r>
    </w:p>
    <w:p w14:paraId="7C7283C5" w14:textId="77777777" w:rsidR="00D3181A" w:rsidRPr="00A53AD7" w:rsidRDefault="00D3181A" w:rsidP="003D03EE">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В отчетном периоде не израсходованы средства областного бюджета в размере 4,9 млн.руб.. Причиной явилось следующее: построенный двухквартирный дом в Устьянском районе Архангельской области не успели оформить в собственность в 2019 году из-за изменений в законодательстве РФ о градостроительной деятельности.</w:t>
      </w:r>
    </w:p>
    <w:p w14:paraId="50361DAB" w14:textId="77777777" w:rsidR="00D3181A" w:rsidRPr="00A53AD7" w:rsidRDefault="00D3181A" w:rsidP="00C80D3D">
      <w:pPr>
        <w:pStyle w:val="ConsPlusNormal"/>
        <w:ind w:firstLine="851"/>
        <w:jc w:val="both"/>
        <w:rPr>
          <w:rFonts w:ascii="Times New Roman" w:hAnsi="Times New Roman" w:cs="Times New Roman"/>
          <w:sz w:val="28"/>
          <w:szCs w:val="28"/>
        </w:rPr>
      </w:pPr>
      <w:r w:rsidRPr="00A53AD7">
        <w:rPr>
          <w:rFonts w:ascii="Times New Roman" w:hAnsi="Times New Roman" w:cs="Times New Roman"/>
          <w:sz w:val="28"/>
          <w:szCs w:val="28"/>
        </w:rPr>
        <w:t>3) Мероприятие 1.4. На финансовое обеспечение выполнения государственного задания ГАУ АО «Инвестсельстрой» утверждено 0,6 млн.руб., исполнено – 100%.</w:t>
      </w:r>
    </w:p>
    <w:p w14:paraId="7EA550A7" w14:textId="77777777" w:rsidR="00C80D3D" w:rsidRPr="00A53AD7" w:rsidRDefault="00C80D3D" w:rsidP="00C80D3D">
      <w:pPr>
        <w:pStyle w:val="ConsPlusNormal"/>
        <w:ind w:firstLine="851"/>
        <w:jc w:val="both"/>
        <w:rPr>
          <w:rFonts w:ascii="Times New Roman" w:hAnsi="Times New Roman" w:cs="Times New Roman"/>
          <w:sz w:val="28"/>
          <w:szCs w:val="28"/>
        </w:rPr>
      </w:pPr>
    </w:p>
    <w:p w14:paraId="471D01C3" w14:textId="0B6FD7F6" w:rsidR="00D3181A" w:rsidRPr="00A53AD7" w:rsidRDefault="00C80D3D" w:rsidP="00C80D3D">
      <w:pPr>
        <w:spacing w:after="0" w:line="240" w:lineRule="auto"/>
        <w:ind w:firstLine="851"/>
        <w:jc w:val="both"/>
        <w:rPr>
          <w:rFonts w:ascii="Times New Roman" w:hAnsi="Times New Roman"/>
          <w:sz w:val="28"/>
          <w:szCs w:val="28"/>
        </w:rPr>
      </w:pPr>
      <w:r w:rsidRPr="00A53AD7">
        <w:rPr>
          <w:rFonts w:ascii="Times New Roman" w:hAnsi="Times New Roman"/>
          <w:b/>
          <w:sz w:val="28"/>
          <w:szCs w:val="28"/>
        </w:rPr>
        <w:t>М</w:t>
      </w:r>
      <w:r w:rsidR="00D3181A" w:rsidRPr="00A53AD7">
        <w:rPr>
          <w:rFonts w:ascii="Times New Roman" w:hAnsi="Times New Roman"/>
          <w:b/>
          <w:sz w:val="28"/>
          <w:szCs w:val="28"/>
        </w:rPr>
        <w:t>инистерство ТЭК и ЖКХ АО:</w:t>
      </w:r>
      <w:r w:rsidR="00D3181A" w:rsidRPr="00A53AD7">
        <w:rPr>
          <w:rFonts w:ascii="Times New Roman" w:hAnsi="Times New Roman"/>
          <w:sz w:val="28"/>
          <w:szCs w:val="28"/>
        </w:rPr>
        <w:t xml:space="preserve"> </w:t>
      </w:r>
    </w:p>
    <w:p w14:paraId="3ED96B1C" w14:textId="5CBCAACB" w:rsidR="00D3181A" w:rsidRPr="00A53AD7" w:rsidRDefault="00D3181A" w:rsidP="00C80D3D">
      <w:pPr>
        <w:spacing w:after="0" w:line="240" w:lineRule="auto"/>
        <w:ind w:firstLine="851"/>
        <w:jc w:val="both"/>
        <w:rPr>
          <w:rFonts w:ascii="Times New Roman" w:hAnsi="Times New Roman"/>
          <w:sz w:val="28"/>
          <w:szCs w:val="28"/>
          <w:u w:val="single"/>
        </w:rPr>
      </w:pPr>
      <w:r w:rsidRPr="00A53AD7">
        <w:rPr>
          <w:rFonts w:ascii="Times New Roman" w:hAnsi="Times New Roman"/>
          <w:sz w:val="28"/>
          <w:szCs w:val="28"/>
          <w:u w:val="single"/>
        </w:rPr>
        <w:t>Мероприятие №</w:t>
      </w:r>
      <w:r w:rsidR="00C80D3D" w:rsidRPr="00A53AD7">
        <w:rPr>
          <w:rFonts w:ascii="Times New Roman" w:hAnsi="Times New Roman"/>
          <w:sz w:val="28"/>
          <w:szCs w:val="28"/>
          <w:u w:val="single"/>
        </w:rPr>
        <w:t xml:space="preserve"> </w:t>
      </w:r>
      <w:r w:rsidRPr="00A53AD7">
        <w:rPr>
          <w:rFonts w:ascii="Times New Roman" w:hAnsi="Times New Roman"/>
          <w:sz w:val="28"/>
          <w:szCs w:val="28"/>
          <w:u w:val="single"/>
        </w:rPr>
        <w:t xml:space="preserve">2.5 «Развитие газификации в сельской местности». </w:t>
      </w:r>
    </w:p>
    <w:p w14:paraId="35EEDFC6" w14:textId="17967947" w:rsidR="00D3181A" w:rsidRPr="00A53AD7" w:rsidRDefault="00D3181A" w:rsidP="00C80D3D">
      <w:pPr>
        <w:widowControl w:val="0"/>
        <w:spacing w:after="0" w:line="240" w:lineRule="auto"/>
        <w:ind w:firstLine="851"/>
        <w:jc w:val="both"/>
        <w:rPr>
          <w:rFonts w:ascii="Times New Roman" w:eastAsia="Times New Roman" w:hAnsi="Times New Roman"/>
          <w:sz w:val="28"/>
          <w:szCs w:val="28"/>
          <w:lang w:eastAsia="ru-RU"/>
        </w:rPr>
      </w:pPr>
      <w:r w:rsidRPr="00A53AD7">
        <w:rPr>
          <w:rFonts w:ascii="Times New Roman" w:hAnsi="Times New Roman"/>
          <w:sz w:val="28"/>
          <w:szCs w:val="28"/>
        </w:rPr>
        <w:t>Министерству в 2019 году, согласно Закону о бюджете (ред. 13.12.2019) и уточненной сводной бюджетной росписи расходы на год утверждены в объеме 30,2 млн.руб., исполнены 28,1 млн.руб. или 93,0% к</w:t>
      </w:r>
      <w:r w:rsidR="00C80D3D" w:rsidRPr="00A53AD7">
        <w:rPr>
          <w:rFonts w:ascii="Times New Roman" w:hAnsi="Times New Roman"/>
          <w:sz w:val="28"/>
          <w:szCs w:val="28"/>
        </w:rPr>
        <w:t xml:space="preserve"> показателям бюджетной росписи.</w:t>
      </w:r>
    </w:p>
    <w:p w14:paraId="280B772A"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Целевой показатель «9. Ввод в действие распределительных газовых сетей в сельской местности» в 2019 году установлен 5,5 км, согласно Отчету о достижении показателей результативности на 01.01.2020 года, направленному министерством ТЭК и ЖКХ АО 14.01.2020 года в адрес министерства АПК, выполнен на 100% из них:</w:t>
      </w:r>
    </w:p>
    <w:p w14:paraId="5AE73DA1" w14:textId="1CC7B2A4" w:rsidR="00D3181A" w:rsidRPr="00A53AD7" w:rsidRDefault="00C80D3D" w:rsidP="00CA1DDD">
      <w:pPr>
        <w:pStyle w:val="ad"/>
        <w:numPr>
          <w:ilvl w:val="0"/>
          <w:numId w:val="53"/>
        </w:numPr>
        <w:ind w:left="0" w:firstLine="851"/>
        <w:jc w:val="both"/>
        <w:rPr>
          <w:rFonts w:ascii="Times New Roman" w:hAnsi="Times New Roman"/>
          <w:sz w:val="28"/>
          <w:szCs w:val="28"/>
        </w:rPr>
      </w:pPr>
      <w:r w:rsidRPr="00A53AD7">
        <w:rPr>
          <w:rFonts w:ascii="Times New Roman" w:hAnsi="Times New Roman"/>
          <w:sz w:val="28"/>
          <w:szCs w:val="28"/>
        </w:rPr>
        <w:t>г</w:t>
      </w:r>
      <w:r w:rsidR="00D3181A" w:rsidRPr="00A53AD7">
        <w:rPr>
          <w:rFonts w:ascii="Times New Roman" w:hAnsi="Times New Roman"/>
          <w:sz w:val="28"/>
          <w:szCs w:val="28"/>
        </w:rPr>
        <w:t>азопровод высокого, среднего и низкого давления в МО «Аргуновское» Вельского района Архангельской области (2 очередь) выполнено 0,65 км;</w:t>
      </w:r>
    </w:p>
    <w:p w14:paraId="74342C3E" w14:textId="22B56721" w:rsidR="00D3181A" w:rsidRPr="00A53AD7" w:rsidRDefault="00D3181A" w:rsidP="00CA1DDD">
      <w:pPr>
        <w:pStyle w:val="ad"/>
        <w:numPr>
          <w:ilvl w:val="0"/>
          <w:numId w:val="53"/>
        </w:numPr>
        <w:ind w:left="0" w:firstLine="851"/>
        <w:jc w:val="both"/>
        <w:rPr>
          <w:rFonts w:ascii="Times New Roman" w:hAnsi="Times New Roman"/>
          <w:sz w:val="28"/>
          <w:szCs w:val="28"/>
        </w:rPr>
      </w:pPr>
      <w:r w:rsidRPr="00A53AD7">
        <w:rPr>
          <w:rFonts w:ascii="Times New Roman" w:hAnsi="Times New Roman"/>
          <w:sz w:val="28"/>
          <w:szCs w:val="28"/>
        </w:rPr>
        <w:t>газопровода высокого, среднего и низкого давления в МО «Аргуновское» Вельского района Архангельской области (3 очередь) выполнено 3,35 км;</w:t>
      </w:r>
    </w:p>
    <w:p w14:paraId="10922FCD" w14:textId="1580012F" w:rsidR="00D3181A" w:rsidRPr="00A53AD7" w:rsidRDefault="00D3181A" w:rsidP="00CA1DDD">
      <w:pPr>
        <w:pStyle w:val="ad"/>
        <w:numPr>
          <w:ilvl w:val="0"/>
          <w:numId w:val="53"/>
        </w:numPr>
        <w:ind w:left="0" w:firstLine="851"/>
        <w:jc w:val="both"/>
        <w:rPr>
          <w:rFonts w:ascii="Times New Roman" w:hAnsi="Times New Roman"/>
          <w:sz w:val="28"/>
          <w:szCs w:val="28"/>
        </w:rPr>
      </w:pPr>
      <w:r w:rsidRPr="00A53AD7">
        <w:rPr>
          <w:rFonts w:ascii="Times New Roman" w:hAnsi="Times New Roman"/>
          <w:sz w:val="28"/>
          <w:szCs w:val="28"/>
        </w:rPr>
        <w:t>газораспределительная сеть дер. Куимиха Котласского района Архангельской области (газификация улиц: Рябиновая, Полевая, Сиреневая, Строительная) выполнено 1,5 км.</w:t>
      </w:r>
    </w:p>
    <w:p w14:paraId="534086E4"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МО «Вельсий муниципальный район» о расходах, в целях софинансирования которых предоставлена субсидия, кассовые расходы за счет средств федерального и областного бюджетов за 2019 год составили – 25,7 млн.руб., или 99,98% от бюджетных назначений, из них:</w:t>
      </w:r>
    </w:p>
    <w:p w14:paraId="6D83B43D"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 в рамках мероприятия по строительству газопровода высокого, среднего и низкого давления в МО «Аргуновское» Вельского района АО (2 очередь) в декабре 2017 заключен муниципальный контракт № 47/133/17 от 26.12.2017 с ООО «Устюггазсервис» на сумму 48,3 млн.руб. </w:t>
      </w:r>
    </w:p>
    <w:p w14:paraId="70A67913"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соответствии со справкой о стоимости выполненных работ и затрат от 15.06.2018 по ф. КС-3, работы выполнены в полном объеме. Общий объем оплаченных работ составил 45,6 млн.руб. Остаток кредиторской задолженности на 01.01.2019 составлял 2,8 млн.руб. </w:t>
      </w:r>
    </w:p>
    <w:p w14:paraId="3D7FC3EA" w14:textId="0F7EF493"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23.04.2019 п/п №</w:t>
      </w:r>
      <w:r w:rsidR="00C80D3D" w:rsidRPr="00A53AD7">
        <w:rPr>
          <w:rFonts w:ascii="Times New Roman" w:hAnsi="Times New Roman"/>
          <w:sz w:val="28"/>
          <w:szCs w:val="28"/>
        </w:rPr>
        <w:t xml:space="preserve"> </w:t>
      </w:r>
      <w:r w:rsidRPr="00A53AD7">
        <w:rPr>
          <w:rFonts w:ascii="Times New Roman" w:hAnsi="Times New Roman"/>
          <w:sz w:val="28"/>
          <w:szCs w:val="28"/>
        </w:rPr>
        <w:t xml:space="preserve">687214 администрация МО «Вельский муниципальный район» перечислила ООО «Устюггазсервис» 2,8 млн.руб. </w:t>
      </w:r>
    </w:p>
    <w:p w14:paraId="698BC524" w14:textId="38D48FAE"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как фактически все работы по строительству газопровода высокого, среднего и низкого давления в МО «Аргуновское» Вельского района Архангельской области (2 очередь) выполнены подрядчиком еще в 2018 году, к тому же, в едином реестре муниципальной собственности МО «Вельский муниципальный район» объект учтен по состоянию на 10.12.2018 года, следует, что целевой показатель «9. Ввод в действие распределительных газовых сетей в сельской местности» 0,65 км, указанный в отчете за 2019 год о достижении значений целевых показателей, был достигнут в 2018 г.,</w:t>
      </w:r>
      <w:r w:rsidR="005915D8" w:rsidRPr="00A53AD7">
        <w:rPr>
          <w:rFonts w:ascii="Times New Roman" w:hAnsi="Times New Roman"/>
          <w:sz w:val="28"/>
          <w:szCs w:val="28"/>
        </w:rPr>
        <w:t xml:space="preserve"> </w:t>
      </w:r>
      <w:r w:rsidRPr="00A53AD7">
        <w:rPr>
          <w:rFonts w:ascii="Times New Roman" w:hAnsi="Times New Roman"/>
          <w:sz w:val="28"/>
          <w:szCs w:val="28"/>
        </w:rPr>
        <w:t>соответственно в отчете за 2019 г. – отражен некорректно.</w:t>
      </w:r>
    </w:p>
    <w:p w14:paraId="3216EDD1"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2) Во исполнение мероприятия по строительству газопровода высокого, среднего и низкого давления в МО «Аргуновское» Вельского района Архангельской области (3 очередь) (далее – объект) заключен муниципальный контракт №52/241/19 от 19.08.2019 с ООО «Устюггазсервис» на сумму 53,2 млн.руб. </w:t>
      </w:r>
    </w:p>
    <w:p w14:paraId="34AE2871"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Срок выполнения строительных работ 4,1 месяца, объем выполнения работ по устройству наружных сетей газоснабжения – 9 433,7 м. </w:t>
      </w:r>
    </w:p>
    <w:p w14:paraId="185255C3"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состоянию на 06.11.2019 работы выполнены в полном объеме на общую сумму 53,2 млн.руб. Администрацией МО «Вельский муниципальный район» 17.10.2019 произведена оплата по контракту в размере 22,9 млн.руб. Кредиторская задолженность на 01.01.2020 года составляет 30,3 млн.руб. </w:t>
      </w:r>
    </w:p>
    <w:p w14:paraId="29B0E418" w14:textId="20677A6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Акт приемки законченного строительства объекта газораспределительной сети датируется 02.0</w:t>
      </w:r>
      <w:r w:rsidR="00C80D3D" w:rsidRPr="00A53AD7">
        <w:rPr>
          <w:rFonts w:ascii="Times New Roman" w:hAnsi="Times New Roman"/>
          <w:sz w:val="28"/>
          <w:szCs w:val="28"/>
        </w:rPr>
        <w:t>3.2020, протяженностью 9 457,99 </w:t>
      </w:r>
      <w:r w:rsidRPr="00A53AD7">
        <w:rPr>
          <w:rFonts w:ascii="Times New Roman" w:hAnsi="Times New Roman"/>
          <w:sz w:val="28"/>
          <w:szCs w:val="28"/>
        </w:rPr>
        <w:t>м.</w:t>
      </w:r>
    </w:p>
    <w:p w14:paraId="022B46C9" w14:textId="244477D3" w:rsidR="00D3181A" w:rsidRPr="00A53AD7" w:rsidRDefault="00D3181A" w:rsidP="00C80D3D">
      <w:pPr>
        <w:spacing w:after="0" w:line="240" w:lineRule="auto"/>
        <w:ind w:firstLine="851"/>
        <w:jc w:val="both"/>
        <w:rPr>
          <w:rFonts w:ascii="Times New Roman" w:hAnsi="Times New Roman"/>
          <w:sz w:val="28"/>
          <w:szCs w:val="28"/>
          <w:u w:val="single"/>
        </w:rPr>
      </w:pPr>
      <w:r w:rsidRPr="00A53AD7">
        <w:rPr>
          <w:rFonts w:ascii="Times New Roman" w:hAnsi="Times New Roman"/>
          <w:sz w:val="28"/>
          <w:szCs w:val="28"/>
        </w:rPr>
        <w:t>Таким образом, по состоянию на 01.01.2020 объект не введен в эксплуатацию. Целевой показатель 3,35 км, указанный в отчете за 2019 год о достижении значений целевых показателей, некорректен.</w:t>
      </w:r>
    </w:p>
    <w:p w14:paraId="51474D3B"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администрации МО «Котласский муниципальный район» о расходах, в целях которых предоставлена субсидия за 2019 год, кассовые расходы за счет средств областного и федерального бюджетов за 2019 год составили 2,5 млн.руб. или 55% от выделенных бюджетных ассигнований.</w:t>
      </w:r>
    </w:p>
    <w:p w14:paraId="376AC3D4" w14:textId="77777777" w:rsidR="00D3181A" w:rsidRPr="00A53AD7" w:rsidRDefault="00D3181A" w:rsidP="00C80D3D">
      <w:pPr>
        <w:widowControl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Во исполнение мероприятия 14.10.2019 Управление имущественно-хозяйственного комплекса администрации МО «Котласский муниципальный район» и ООО "КГС" заключили муниципальный контракт №68 на выполнение работ по строительству объекта: "Газораспределительная сеть дер. Куимиха Котласского района Архангельской области (газификация ул. Рябиновая, ул. Полевая, ул. Сиреневая, ул. Строительная)". Цена контракта – 2,5 млн.руб. Акт выполненных работ подписан 27.11.2019 года, оплата в полном объеме проведена 30.12.2019 года.</w:t>
      </w:r>
    </w:p>
    <w:p w14:paraId="15E75C02" w14:textId="77777777" w:rsidR="00D3181A" w:rsidRPr="00A53AD7" w:rsidRDefault="00D3181A" w:rsidP="00C80D3D">
      <w:pPr>
        <w:spacing w:after="0" w:line="240" w:lineRule="auto"/>
        <w:ind w:firstLine="851"/>
        <w:jc w:val="both"/>
        <w:rPr>
          <w:rFonts w:ascii="Times New Roman" w:hAnsi="Times New Roman"/>
          <w:sz w:val="28"/>
          <w:szCs w:val="28"/>
          <w:u w:val="single"/>
        </w:rPr>
      </w:pPr>
      <w:r w:rsidRPr="00A53AD7">
        <w:rPr>
          <w:rFonts w:ascii="Times New Roman" w:hAnsi="Times New Roman"/>
          <w:sz w:val="28"/>
          <w:szCs w:val="28"/>
        </w:rPr>
        <w:t>Выполнение расходных обязательств составило 55% к плану, при этом строительство газораспределительной сети выполнено на 100%, однако по состоянию на 01.01.2020 года ввод в действие газораспределительной сети не осуществлен. Целевой показатель ввода в эксплуатацию - 1,5 км, указанный в отчете о достижении значений целевых показателей, отражен некорректно.</w:t>
      </w:r>
    </w:p>
    <w:p w14:paraId="67C170D9"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основании вышеизложенного, в нарушение установленного Приложением №1 ГП АО №461-пп значения целевого показателя №9 «Ввод в действие газораспределительных сетей в сельской местности», министерством ТЭК и ЖКХ АО, как ответственным исполнителем мероприятия целевой показатель, не достигнут, или процент исполнения целевого показателя – 0.</w:t>
      </w:r>
    </w:p>
    <w:p w14:paraId="249E7142" w14:textId="77777777" w:rsidR="00C80D3D" w:rsidRPr="00A53AD7" w:rsidRDefault="00C80D3D" w:rsidP="00C80D3D">
      <w:pPr>
        <w:spacing w:after="0" w:line="240" w:lineRule="auto"/>
        <w:ind w:firstLine="851"/>
        <w:jc w:val="both"/>
        <w:rPr>
          <w:rFonts w:ascii="Times New Roman" w:hAnsi="Times New Roman"/>
          <w:sz w:val="28"/>
          <w:szCs w:val="28"/>
        </w:rPr>
      </w:pPr>
    </w:p>
    <w:p w14:paraId="0313108C" w14:textId="59B40584" w:rsidR="00D3181A" w:rsidRPr="00A53AD7" w:rsidRDefault="00C80D3D" w:rsidP="00C80D3D">
      <w:pPr>
        <w:spacing w:after="0" w:line="240" w:lineRule="auto"/>
        <w:ind w:firstLine="851"/>
        <w:jc w:val="both"/>
        <w:rPr>
          <w:rFonts w:ascii="Times New Roman" w:hAnsi="Times New Roman"/>
          <w:b/>
          <w:sz w:val="28"/>
          <w:szCs w:val="28"/>
        </w:rPr>
      </w:pPr>
      <w:r w:rsidRPr="00A53AD7">
        <w:rPr>
          <w:rFonts w:ascii="Times New Roman" w:hAnsi="Times New Roman"/>
          <w:b/>
          <w:sz w:val="28"/>
          <w:szCs w:val="28"/>
        </w:rPr>
        <w:t>М</w:t>
      </w:r>
      <w:r w:rsidR="00D3181A" w:rsidRPr="00A53AD7">
        <w:rPr>
          <w:rFonts w:ascii="Times New Roman" w:hAnsi="Times New Roman"/>
          <w:b/>
          <w:sz w:val="28"/>
          <w:szCs w:val="28"/>
        </w:rPr>
        <w:t>инистерство строительства и архитектуры АО.</w:t>
      </w:r>
    </w:p>
    <w:p w14:paraId="0D6E8AED"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закону о бюджете (ред. 13.12.2019) и уточненной сводной бюджетной росписи расходы на год утверждены в общем объеме 50,7 млн.руб., исполнены 50,7 млн.руб. или 100% к годовым назначениям. Из них:</w:t>
      </w:r>
    </w:p>
    <w:p w14:paraId="64D46530"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запланировано на мероприятие 2.2. Развитие сети фельдшерско-акушерских пунктов (далее ФАП) и/или офисов врача общей практики в сельской местности 7,5 млн. руб. (ФБ – 2,2 млн.руб., ОБ – 5,3 млн.руб.), исполнено – 7,5 млн.руб. или 100%.</w:t>
      </w:r>
    </w:p>
    <w:p w14:paraId="433AD108"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ГКУ АО «ГУКС» заключило государственный контракт от 23.07.2019 года с ИП Медведева Г.Н. на приобретение ФАП в 2019 и 2020 гг. Цена контракта 15,04 млн.руб. Срок передачи ФАП в 2019 году – 30.11.2019 года.</w:t>
      </w:r>
    </w:p>
    <w:p w14:paraId="4271FDA4"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Акт приема-передачи 25.12.2019 года. Адрес объекта: Архангельская область, Холмогорский район, МО «Емецкое», деревня Погост, ул. Ленинградская, д. 170А, площадью 104 кв.м., стоимостью 7,5 млн.руб.;</w:t>
      </w:r>
    </w:p>
    <w:p w14:paraId="2A1C5F56" w14:textId="07464311"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2)</w:t>
      </w:r>
      <w:r w:rsidR="005915D8" w:rsidRPr="00A53AD7">
        <w:rPr>
          <w:rFonts w:ascii="Times New Roman" w:hAnsi="Times New Roman"/>
          <w:sz w:val="28"/>
          <w:szCs w:val="28"/>
        </w:rPr>
        <w:t xml:space="preserve"> </w:t>
      </w:r>
      <w:r w:rsidRPr="00A53AD7">
        <w:rPr>
          <w:rFonts w:ascii="Times New Roman" w:hAnsi="Times New Roman"/>
          <w:sz w:val="28"/>
          <w:szCs w:val="28"/>
        </w:rPr>
        <w:t>запланировано на мероприятие 2.3. развитие сети учреждений культурно-досугового типа в сельской местности 40,0 млн.руб. (ФБ – 20,0 млн.руб., ОБ – 20,0 млн.руб.), исполнено – 40,0 млн.руб.</w:t>
      </w:r>
      <w:r w:rsidR="005915D8" w:rsidRPr="00A53AD7">
        <w:rPr>
          <w:rFonts w:ascii="Times New Roman" w:hAnsi="Times New Roman"/>
          <w:sz w:val="28"/>
          <w:szCs w:val="28"/>
        </w:rPr>
        <w:t xml:space="preserve"> </w:t>
      </w:r>
      <w:r w:rsidRPr="00A53AD7">
        <w:rPr>
          <w:rFonts w:ascii="Times New Roman" w:hAnsi="Times New Roman"/>
          <w:sz w:val="28"/>
          <w:szCs w:val="28"/>
        </w:rPr>
        <w:t>или 100% от плана, предусмотренного ГП №461-пп.</w:t>
      </w:r>
    </w:p>
    <w:p w14:paraId="1D822928"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Средства направлены на строительство центра культурного развития на 120 мест в с. Ильинско-Подомское Вилегодского района Архангельской области». Администрацией МО «Вилегодский муниципальный район» с ООО «Стройгазсервис» заключен муниципальный контракт от 08.06.2018 №1-КА/2018 на выполнение работ по строительству объекта, стоимостью -121,8 млн.руб. Ввод в эксплуатацию объекта - 2020 год;</w:t>
      </w:r>
    </w:p>
    <w:p w14:paraId="25719EE0" w14:textId="4BCF3D43" w:rsidR="00D3181A" w:rsidRPr="00A53AD7" w:rsidRDefault="00D3181A" w:rsidP="00C80D3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3)</w:t>
      </w:r>
      <w:r w:rsidR="005915D8" w:rsidRPr="00A53AD7">
        <w:rPr>
          <w:rFonts w:ascii="Times New Roman" w:hAnsi="Times New Roman"/>
          <w:sz w:val="28"/>
          <w:szCs w:val="28"/>
        </w:rPr>
        <w:t xml:space="preserve"> </w:t>
      </w:r>
      <w:r w:rsidRPr="00A53AD7">
        <w:rPr>
          <w:rFonts w:ascii="Times New Roman" w:hAnsi="Times New Roman"/>
          <w:sz w:val="28"/>
          <w:szCs w:val="28"/>
        </w:rPr>
        <w:t>запланировано на мероприятие 2.4. Развитие сети плоскостных спортивных сооружений в сельской местности на сумму 3,2 млн.руб. (ФБ – 2,3 млн.руб., ОБ –</w:t>
      </w:r>
      <w:r w:rsidR="00C80D3D" w:rsidRPr="00A53AD7">
        <w:rPr>
          <w:rFonts w:ascii="Times New Roman" w:hAnsi="Times New Roman"/>
          <w:sz w:val="28"/>
          <w:szCs w:val="28"/>
        </w:rPr>
        <w:t xml:space="preserve"> 0,9 млн.руб.), исполнено – 3,2</w:t>
      </w:r>
      <w:r w:rsidRPr="00A53AD7">
        <w:rPr>
          <w:rFonts w:ascii="Times New Roman" w:hAnsi="Times New Roman"/>
          <w:sz w:val="28"/>
          <w:szCs w:val="28"/>
        </w:rPr>
        <w:t xml:space="preserve"> млн.руб.</w:t>
      </w:r>
      <w:r w:rsidR="005915D8" w:rsidRPr="00A53AD7">
        <w:rPr>
          <w:rFonts w:ascii="Times New Roman" w:hAnsi="Times New Roman"/>
          <w:sz w:val="28"/>
          <w:szCs w:val="28"/>
        </w:rPr>
        <w:t xml:space="preserve"> </w:t>
      </w:r>
      <w:r w:rsidR="00F457CB" w:rsidRPr="00A53AD7">
        <w:rPr>
          <w:rFonts w:ascii="Times New Roman" w:hAnsi="Times New Roman"/>
          <w:sz w:val="28"/>
          <w:szCs w:val="28"/>
        </w:rPr>
        <w:t>или 100%.</w:t>
      </w:r>
    </w:p>
    <w:p w14:paraId="12E8CBD2" w14:textId="77777777" w:rsidR="00D3181A" w:rsidRPr="00A53AD7" w:rsidRDefault="00D3181A" w:rsidP="00C80D3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Произведено устройство поля для мини-футбола с искусственным покрытием, расположенного п. Шалакуша ул. Заводская, 10 Няндомского района.</w:t>
      </w:r>
    </w:p>
    <w:p w14:paraId="07E005F8" w14:textId="77777777" w:rsidR="00D3181A" w:rsidRPr="00A53AD7" w:rsidRDefault="00D3181A" w:rsidP="00C80D3D">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целевой показатель «8. Ввод в действие плоскостных спортивных сооружений в сельской местности» на 2019 год установлен в размере 924 кв.м. По состоянию на 01.01.2020 показатель достигнут на 123,8% или больше утвержденного плана на 220 кв.м.</w:t>
      </w:r>
    </w:p>
    <w:p w14:paraId="60C07451" w14:textId="77777777" w:rsidR="00C80D3D" w:rsidRPr="00A53AD7" w:rsidRDefault="00C80D3D" w:rsidP="00C80D3D">
      <w:pPr>
        <w:autoSpaceDE w:val="0"/>
        <w:autoSpaceDN w:val="0"/>
        <w:adjustRightInd w:val="0"/>
        <w:spacing w:after="0" w:line="240" w:lineRule="auto"/>
        <w:ind w:firstLine="851"/>
        <w:jc w:val="both"/>
        <w:rPr>
          <w:rFonts w:ascii="Times New Roman" w:hAnsi="Times New Roman"/>
          <w:sz w:val="28"/>
          <w:szCs w:val="28"/>
        </w:rPr>
      </w:pPr>
    </w:p>
    <w:p w14:paraId="3851A3EE" w14:textId="45E0A0D3" w:rsidR="00D3181A" w:rsidRPr="00A53AD7" w:rsidRDefault="00C80D3D" w:rsidP="00C80D3D">
      <w:pPr>
        <w:pStyle w:val="afe"/>
        <w:spacing w:after="0"/>
        <w:ind w:firstLine="851"/>
        <w:rPr>
          <w:rFonts w:ascii="Times New Roman" w:hAnsi="Times New Roman"/>
          <w:b/>
          <w:sz w:val="28"/>
          <w:szCs w:val="28"/>
        </w:rPr>
      </w:pPr>
      <w:r w:rsidRPr="00A53AD7">
        <w:rPr>
          <w:rFonts w:ascii="Times New Roman" w:hAnsi="Times New Roman"/>
          <w:b/>
          <w:sz w:val="28"/>
          <w:szCs w:val="28"/>
          <w:lang w:val="ru-RU"/>
        </w:rPr>
        <w:t>М</w:t>
      </w:r>
      <w:r w:rsidR="00D3181A" w:rsidRPr="00A53AD7">
        <w:rPr>
          <w:rFonts w:ascii="Times New Roman" w:hAnsi="Times New Roman"/>
          <w:b/>
          <w:sz w:val="28"/>
          <w:szCs w:val="28"/>
        </w:rPr>
        <w:t>инистерство транспорта АО.</w:t>
      </w:r>
    </w:p>
    <w:p w14:paraId="2F0ABB14" w14:textId="677F5AD4" w:rsidR="00D3181A" w:rsidRPr="00A53AD7" w:rsidRDefault="00D3181A" w:rsidP="00C80D3D">
      <w:pPr>
        <w:pStyle w:val="afe"/>
        <w:spacing w:after="0"/>
        <w:ind w:firstLine="851"/>
        <w:rPr>
          <w:sz w:val="26"/>
          <w:szCs w:val="26"/>
        </w:rPr>
      </w:pPr>
      <w:r w:rsidRPr="00A53AD7">
        <w:rPr>
          <w:rFonts w:ascii="Times New Roman" w:hAnsi="Times New Roman"/>
          <w:sz w:val="28"/>
          <w:szCs w:val="28"/>
        </w:rPr>
        <w:t>Согласно закону о бюджете расходы на 2019 год утверждены в объеме 179,1 млн.руб., уточненной сводной бюджетной росписью – 179,1 млн.руб.</w:t>
      </w:r>
      <w:r w:rsidR="005915D8" w:rsidRPr="00A53AD7">
        <w:rPr>
          <w:rFonts w:ascii="Times New Roman" w:hAnsi="Times New Roman"/>
          <w:sz w:val="28"/>
          <w:szCs w:val="28"/>
        </w:rPr>
        <w:t xml:space="preserve"> </w:t>
      </w:r>
      <w:r w:rsidRPr="00A53AD7">
        <w:rPr>
          <w:rFonts w:ascii="Times New Roman" w:hAnsi="Times New Roman"/>
          <w:sz w:val="28"/>
          <w:szCs w:val="28"/>
        </w:rPr>
        <w:t>исполнены – 100 %, из них:</w:t>
      </w:r>
    </w:p>
    <w:p w14:paraId="49B7AB08" w14:textId="77777777" w:rsidR="00D3181A" w:rsidRPr="00A53AD7" w:rsidRDefault="00D3181A" w:rsidP="00C80D3D">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мероприятие 2.8. Развитие сети автомобильных дорог, ведущих к общественно значимым объектам сельских населенных пунктов, объектам производства и переработки сельскохозяйственной продукции:</w:t>
      </w:r>
    </w:p>
    <w:p w14:paraId="262937A9" w14:textId="7EF709F7" w:rsidR="00D3181A" w:rsidRPr="00A53AD7" w:rsidRDefault="00D3181A" w:rsidP="00CA1DDD">
      <w:pPr>
        <w:pStyle w:val="a8"/>
        <w:numPr>
          <w:ilvl w:val="0"/>
          <w:numId w:val="54"/>
        </w:numPr>
        <w:ind w:left="0" w:firstLine="840"/>
        <w:jc w:val="both"/>
        <w:rPr>
          <w:sz w:val="28"/>
          <w:szCs w:val="28"/>
        </w:rPr>
      </w:pPr>
      <w:r w:rsidRPr="00A53AD7">
        <w:rPr>
          <w:sz w:val="28"/>
          <w:szCs w:val="28"/>
        </w:rPr>
        <w:t>разработка проектной документации на реконструкцию автомобильной дороги Усть-Ваеньга – Осиново – Фалюки на участке км 85 – км 97 в Виноградовском районе Архангельской области (ОБ – 5,0 млн.руб. исполнено на 100%.</w:t>
      </w:r>
    </w:p>
    <w:p w14:paraId="16491B80" w14:textId="09B3C2CF" w:rsidR="00D3181A" w:rsidRPr="00A53AD7" w:rsidRDefault="00D3181A" w:rsidP="00CA1DDD">
      <w:pPr>
        <w:pStyle w:val="a8"/>
        <w:numPr>
          <w:ilvl w:val="0"/>
          <w:numId w:val="54"/>
        </w:numPr>
        <w:ind w:left="0" w:firstLine="840"/>
        <w:jc w:val="both"/>
        <w:rPr>
          <w:sz w:val="28"/>
          <w:szCs w:val="28"/>
        </w:rPr>
      </w:pPr>
      <w:r w:rsidRPr="00A53AD7">
        <w:rPr>
          <w:sz w:val="28"/>
          <w:szCs w:val="28"/>
        </w:rPr>
        <w:t>строительство автомобильной дороги к селу Ненокса от автомобильной дороги «Северодвинск – Онега» запланировано 173,9 млн.руб. (ФБ – 63,3 млн.руб., ОБ – 110,6 млн.руб.), исполнено – 173,9 млн.руб.</w:t>
      </w:r>
      <w:r w:rsidR="005915D8" w:rsidRPr="00A53AD7">
        <w:rPr>
          <w:sz w:val="28"/>
          <w:szCs w:val="28"/>
        </w:rPr>
        <w:t xml:space="preserve"> </w:t>
      </w:r>
      <w:r w:rsidRPr="00A53AD7">
        <w:rPr>
          <w:sz w:val="28"/>
          <w:szCs w:val="28"/>
        </w:rPr>
        <w:t>или 100%.</w:t>
      </w:r>
    </w:p>
    <w:p w14:paraId="0DB0AD75" w14:textId="77777777" w:rsidR="00D3181A" w:rsidRPr="00A53AD7" w:rsidRDefault="00D3181A" w:rsidP="00905668">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Администрация МО «Северодвинск» заключила с ООО «Севзапдорстрой» муниципальный контракт, цена которого составляет 423,7 млн.руб. Работы должны быть выполнены в два этапа: в 2019 и 2020 годах. Цена работ первого этапа составляет 181,5 млн.руб. (2019). Это участок дороги протяженностью 4 километра 566 метров от Онежского тракта до моста через реку Карахту.</w:t>
      </w:r>
    </w:p>
    <w:p w14:paraId="4DFB1E92" w14:textId="686E1079" w:rsidR="00D3181A" w:rsidRPr="00A53AD7" w:rsidRDefault="00D3181A" w:rsidP="009056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приложении №</w:t>
      </w:r>
      <w:r w:rsidR="00905668" w:rsidRPr="00A53AD7">
        <w:rPr>
          <w:rFonts w:ascii="Times New Roman" w:hAnsi="Times New Roman"/>
          <w:sz w:val="28"/>
          <w:szCs w:val="28"/>
        </w:rPr>
        <w:t xml:space="preserve"> </w:t>
      </w:r>
      <w:r w:rsidRPr="00A53AD7">
        <w:rPr>
          <w:rFonts w:ascii="Times New Roman" w:hAnsi="Times New Roman"/>
          <w:sz w:val="28"/>
          <w:szCs w:val="28"/>
        </w:rPr>
        <w:t>2 к ГП №</w:t>
      </w:r>
      <w:r w:rsidR="00905668" w:rsidRPr="00A53AD7">
        <w:rPr>
          <w:rFonts w:ascii="Times New Roman" w:hAnsi="Times New Roman"/>
          <w:sz w:val="28"/>
          <w:szCs w:val="28"/>
        </w:rPr>
        <w:t xml:space="preserve"> </w:t>
      </w:r>
      <w:r w:rsidRPr="00A53AD7">
        <w:rPr>
          <w:rFonts w:ascii="Times New Roman" w:hAnsi="Times New Roman"/>
          <w:sz w:val="28"/>
          <w:szCs w:val="28"/>
        </w:rPr>
        <w:t>461-пп объем средств на реализацию мероприятия 2.8.7. «Строительство автомобильной дороги к селу Ненокса от автодороги "Северодвинск - Онега"» установлен в размере 178,9 млн.руб. (ФБ – 63,3 млн.руб., ОБ – 110,6 млн.руб., МБ – 4,9 млн.руб.)</w:t>
      </w:r>
      <w:r w:rsidR="00F457CB" w:rsidRPr="00A53AD7">
        <w:rPr>
          <w:rFonts w:ascii="Times New Roman" w:hAnsi="Times New Roman"/>
          <w:sz w:val="28"/>
          <w:szCs w:val="28"/>
        </w:rPr>
        <w:t>.</w:t>
      </w:r>
    </w:p>
    <w:p w14:paraId="35D0A24D" w14:textId="5A7612C5" w:rsidR="00D3181A" w:rsidRPr="00A53AD7" w:rsidRDefault="00D3181A" w:rsidP="009056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отчетом о расходах, в целях софинансирования которых предоставлена субсидия на 01.01.2020 года министерства транспорта АО, кассовые расходы за счет средств федерального и областного бюджета составили – 173,9 млн.руб. (ФБ – 63,3 млн.руб., ОБ – 110,6 млн.руб.). Платежными поручения с 18.06.2019 по 26.12.2019 администрацией МО «Северодвинск» перечислено ООО «Севзапдорстрой» 181,5 млн.руб., с учетом местного бюджета 7,5 млн.руб., что является полной стоимостью первого этапа строительства - 2019 год.</w:t>
      </w:r>
    </w:p>
    <w:p w14:paraId="7EBAE402" w14:textId="77777777" w:rsidR="00905668" w:rsidRPr="00A53AD7" w:rsidRDefault="00905668" w:rsidP="00905668">
      <w:pPr>
        <w:spacing w:after="0" w:line="240" w:lineRule="auto"/>
        <w:ind w:firstLine="851"/>
        <w:jc w:val="both"/>
        <w:rPr>
          <w:rFonts w:ascii="Times New Roman" w:hAnsi="Times New Roman"/>
          <w:sz w:val="28"/>
          <w:szCs w:val="28"/>
        </w:rPr>
      </w:pPr>
    </w:p>
    <w:p w14:paraId="1FEF46F5" w14:textId="6B25F5F7" w:rsidR="00D3181A" w:rsidRPr="00A53AD7" w:rsidRDefault="00905668" w:rsidP="00EA3C8D">
      <w:pPr>
        <w:spacing w:after="0" w:line="240" w:lineRule="auto"/>
        <w:ind w:firstLine="851"/>
        <w:jc w:val="both"/>
        <w:rPr>
          <w:rFonts w:ascii="Times New Roman" w:hAnsi="Times New Roman"/>
          <w:b/>
          <w:sz w:val="28"/>
          <w:szCs w:val="28"/>
        </w:rPr>
      </w:pPr>
      <w:r w:rsidRPr="00A53AD7">
        <w:rPr>
          <w:rFonts w:ascii="Times New Roman" w:hAnsi="Times New Roman"/>
          <w:b/>
          <w:sz w:val="28"/>
          <w:szCs w:val="28"/>
        </w:rPr>
        <w:t>А</w:t>
      </w:r>
      <w:r w:rsidR="00D3181A" w:rsidRPr="00A53AD7">
        <w:rPr>
          <w:rFonts w:ascii="Times New Roman" w:hAnsi="Times New Roman"/>
          <w:b/>
          <w:sz w:val="28"/>
          <w:szCs w:val="28"/>
        </w:rPr>
        <w:t>дминистрация Губернатора Архангельской области и Правительства Архангельской области.</w:t>
      </w:r>
    </w:p>
    <w:p w14:paraId="3981D675" w14:textId="666068D7" w:rsidR="00D3181A" w:rsidRPr="00A53AD7" w:rsidRDefault="00D3181A" w:rsidP="00EA3C8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закону о бюджете расходы на 2019 год утверждены в объеме 1,5 млн.руб., исполнены 1,5 млн.руб. (или 100%) на реализацию мероприятия 3.1 «Грантовая поддержка местных инициатив граждан, про</w:t>
      </w:r>
      <w:r w:rsidR="00EA3C8D" w:rsidRPr="00A53AD7">
        <w:rPr>
          <w:rFonts w:ascii="Times New Roman" w:hAnsi="Times New Roman"/>
          <w:sz w:val="28"/>
          <w:szCs w:val="28"/>
        </w:rPr>
        <w:t>живающих в сельской местности».</w:t>
      </w:r>
    </w:p>
    <w:p w14:paraId="450D1BD9" w14:textId="77777777" w:rsidR="00D3181A" w:rsidRPr="00A53AD7" w:rsidRDefault="00D3181A" w:rsidP="00EA3C8D">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Реализовано семь проектов местных инициатив граждан, проживающих в сельской местности в Вельском, Вилегодском, Няндомском, Приморском, Устьянском и Холмогорском муниципальных районах области.</w:t>
      </w:r>
    </w:p>
    <w:p w14:paraId="22F22967" w14:textId="2559E327" w:rsidR="00D3181A" w:rsidRPr="00A53AD7" w:rsidRDefault="00D3181A" w:rsidP="00EA3C8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по реализации мероприятий ГП №</w:t>
      </w:r>
      <w:r w:rsidR="00EF1B15" w:rsidRPr="00A53AD7">
        <w:rPr>
          <w:rFonts w:ascii="Times New Roman" w:hAnsi="Times New Roman"/>
          <w:sz w:val="28"/>
          <w:szCs w:val="28"/>
        </w:rPr>
        <w:t xml:space="preserve"> </w:t>
      </w:r>
      <w:r w:rsidRPr="00A53AD7">
        <w:rPr>
          <w:rFonts w:ascii="Times New Roman" w:hAnsi="Times New Roman"/>
          <w:sz w:val="28"/>
          <w:szCs w:val="28"/>
        </w:rPr>
        <w:t>461-пп за счет средств федерального и областного бюджета исполнено 98% от бюджетных назначений. Оценка реализации государственной программы по расходованию средств высокая – 97 из 100, с учетом уровня расходования средств по всем исполнителям.</w:t>
      </w:r>
    </w:p>
    <w:p w14:paraId="157F7517" w14:textId="5F048FFC" w:rsidR="00212654" w:rsidRPr="00A53AD7" w:rsidRDefault="00D6063F" w:rsidP="00212654">
      <w:pPr>
        <w:pStyle w:val="3"/>
        <w:spacing w:line="240" w:lineRule="auto"/>
        <w:jc w:val="center"/>
        <w:rPr>
          <w:rFonts w:ascii="Times New Roman" w:hAnsi="Times New Roman"/>
          <w:b w:val="0"/>
          <w:sz w:val="28"/>
          <w:szCs w:val="28"/>
          <w:u w:val="single"/>
          <w:lang w:val="ru-RU"/>
        </w:rPr>
      </w:pPr>
      <w:bookmarkStart w:id="97" w:name="_Toc42006741"/>
      <w:r w:rsidRPr="00A53AD7">
        <w:rPr>
          <w:rFonts w:ascii="Times New Roman" w:hAnsi="Times New Roman"/>
          <w:b w:val="0"/>
          <w:sz w:val="28"/>
          <w:szCs w:val="28"/>
          <w:u w:val="single"/>
          <w:lang w:val="ru-RU"/>
        </w:rPr>
        <w:t>4.2.</w:t>
      </w:r>
      <w:r w:rsidR="009118AF" w:rsidRPr="00A53AD7">
        <w:rPr>
          <w:rFonts w:ascii="Times New Roman" w:hAnsi="Times New Roman"/>
          <w:b w:val="0"/>
          <w:sz w:val="28"/>
          <w:szCs w:val="28"/>
          <w:u w:val="single"/>
          <w:lang w:val="ru-RU"/>
        </w:rPr>
        <w:t>20</w:t>
      </w:r>
      <w:r w:rsidRPr="00A53AD7">
        <w:rPr>
          <w:rFonts w:ascii="Times New Roman" w:hAnsi="Times New Roman"/>
          <w:b w:val="0"/>
          <w:sz w:val="28"/>
          <w:szCs w:val="28"/>
          <w:u w:val="single"/>
          <w:lang w:val="ru-RU"/>
        </w:rPr>
        <w:t xml:space="preserve">. </w:t>
      </w:r>
      <w:r w:rsidR="00C604E1" w:rsidRPr="00A53AD7">
        <w:rPr>
          <w:rFonts w:ascii="Times New Roman" w:hAnsi="Times New Roman"/>
          <w:b w:val="0"/>
          <w:sz w:val="28"/>
          <w:szCs w:val="28"/>
          <w:u w:val="single"/>
          <w:lang w:val="ru-RU"/>
        </w:rPr>
        <w:t>Обеспечение мероприятий по капитальному ремонту многоквартирных домов, переселению граждан из аварийного жилищного фонда и переселению граждан из аварийного жилищного фонда с учетом необходимости развития малоэтажного строительства</w:t>
      </w:r>
      <w:bookmarkEnd w:id="97"/>
    </w:p>
    <w:p w14:paraId="6C75C783" w14:textId="77777777" w:rsidR="00C604E1" w:rsidRPr="00A53AD7" w:rsidRDefault="000D6118" w:rsidP="00C604E1">
      <w:pPr>
        <w:pStyle w:val="ad"/>
        <w:ind w:firstLine="851"/>
        <w:jc w:val="both"/>
        <w:rPr>
          <w:rFonts w:ascii="Times New Roman" w:hAnsi="Times New Roman"/>
          <w:sz w:val="28"/>
          <w:szCs w:val="28"/>
        </w:rPr>
      </w:pPr>
      <w:r w:rsidRPr="00A53AD7">
        <w:rPr>
          <w:rFonts w:ascii="Times New Roman" w:hAnsi="Times New Roman"/>
          <w:sz w:val="28"/>
          <w:szCs w:val="28"/>
        </w:rPr>
        <w:t xml:space="preserve"> </w:t>
      </w:r>
      <w:r w:rsidR="00C604E1" w:rsidRPr="00A53AD7">
        <w:rPr>
          <w:rFonts w:ascii="Times New Roman" w:hAnsi="Times New Roman"/>
          <w:sz w:val="28"/>
          <w:szCs w:val="28"/>
        </w:rPr>
        <w:t>Мероприятия по переселению граждан в отчетном периоде реализовывались в рамках адресных программ Архангельской области «Переселение граждан из аварийного жилищного фонда» на 2013 – 2018 годы» (далее АП 2013-2018) и «Переселение граждан из аварийного жилищного фонда» на 2019 – 2025 годы (далее АП 2019-2025).</w:t>
      </w:r>
    </w:p>
    <w:p w14:paraId="7D73CE11" w14:textId="77777777"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паспортом АП 2013-2018 на 31.12.2018 года (дата завершения мероприятий Программы 2013-2018) действовала редакция от 16.10.2018 №505-пп.</w:t>
      </w:r>
    </w:p>
    <w:p w14:paraId="5EB56E84" w14:textId="77777777"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АО от 16.04.2019 года №197-пп утверждены изменения, которые вносятся в Программу 2013-2018:</w:t>
      </w:r>
    </w:p>
    <w:p w14:paraId="715DA008" w14:textId="77777777"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а) число переселенных жителей – 15 634 чел.;</w:t>
      </w:r>
    </w:p>
    <w:p w14:paraId="2FD14A32" w14:textId="77777777"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б) общее число освобожденных жилых помещений – 6 307 помещений;</w:t>
      </w:r>
    </w:p>
    <w:p w14:paraId="0B181A3D" w14:textId="77777777"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в) общая площадь расселенных жилых помещений – 264 770,03 кв.м.;</w:t>
      </w:r>
    </w:p>
    <w:p w14:paraId="36B340DF" w14:textId="42855962" w:rsidR="00C604E1" w:rsidRPr="00A53AD7" w:rsidRDefault="00C604E1" w:rsidP="008D64B0">
      <w:pPr>
        <w:pStyle w:val="ad"/>
        <w:ind w:firstLine="851"/>
        <w:jc w:val="both"/>
        <w:rPr>
          <w:rFonts w:ascii="Times New Roman" w:hAnsi="Times New Roman"/>
          <w:sz w:val="28"/>
          <w:szCs w:val="28"/>
        </w:rPr>
      </w:pPr>
      <w:r w:rsidRPr="00A53AD7">
        <w:rPr>
          <w:rFonts w:ascii="Times New Roman" w:hAnsi="Times New Roman"/>
          <w:sz w:val="28"/>
          <w:szCs w:val="28"/>
        </w:rPr>
        <w:t>г) общий объем финансирования – 9 756, 46 млн</w:t>
      </w:r>
      <w:r w:rsidR="00EF1B15" w:rsidRPr="00A53AD7">
        <w:rPr>
          <w:rFonts w:ascii="Times New Roman" w:hAnsi="Times New Roman"/>
          <w:sz w:val="28"/>
          <w:szCs w:val="28"/>
        </w:rPr>
        <w:t>.руб.</w:t>
      </w:r>
    </w:p>
    <w:p w14:paraId="5F654FA5" w14:textId="3929A88E" w:rsidR="00C604E1" w:rsidRPr="00A53AD7" w:rsidRDefault="00C604E1" w:rsidP="00C604E1">
      <w:pPr>
        <w:autoSpaceDE w:val="0"/>
        <w:autoSpaceDN w:val="0"/>
        <w:adjustRightInd w:val="0"/>
        <w:spacing w:after="0" w:line="240" w:lineRule="auto"/>
        <w:ind w:firstLine="709"/>
        <w:jc w:val="right"/>
        <w:rPr>
          <w:rFonts w:ascii="Times New Roman" w:hAnsi="Times New Roman"/>
          <w:sz w:val="24"/>
          <w:szCs w:val="24"/>
        </w:rPr>
      </w:pPr>
      <w:r w:rsidRPr="00A53AD7">
        <w:rPr>
          <w:rFonts w:ascii="Times New Roman" w:hAnsi="Times New Roman"/>
          <w:sz w:val="24"/>
          <w:szCs w:val="24"/>
        </w:rPr>
        <w:t>млн.руб.</w:t>
      </w:r>
    </w:p>
    <w:tbl>
      <w:tblPr>
        <w:tblW w:w="9123"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969"/>
        <w:gridCol w:w="2127"/>
        <w:gridCol w:w="1578"/>
        <w:gridCol w:w="1449"/>
      </w:tblGrid>
      <w:tr w:rsidR="00D470B6" w:rsidRPr="00A53AD7" w14:paraId="48B47CC6" w14:textId="77777777" w:rsidTr="00D352AF">
        <w:trPr>
          <w:trHeight w:val="424"/>
          <w:tblHeader/>
        </w:trPr>
        <w:tc>
          <w:tcPr>
            <w:tcW w:w="3969" w:type="dxa"/>
            <w:shd w:val="clear" w:color="auto" w:fill="auto"/>
            <w:vAlign w:val="center"/>
            <w:hideMark/>
          </w:tcPr>
          <w:p w14:paraId="4CAD5C0F"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Источник финансирования</w:t>
            </w:r>
          </w:p>
        </w:tc>
        <w:tc>
          <w:tcPr>
            <w:tcW w:w="2127" w:type="dxa"/>
            <w:shd w:val="clear" w:color="auto" w:fill="auto"/>
            <w:vAlign w:val="center"/>
            <w:hideMark/>
          </w:tcPr>
          <w:p w14:paraId="31B1939A"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На 31.12.2018 </w:t>
            </w:r>
          </w:p>
        </w:tc>
        <w:tc>
          <w:tcPr>
            <w:tcW w:w="1578" w:type="dxa"/>
            <w:shd w:val="clear" w:color="auto" w:fill="auto"/>
            <w:vAlign w:val="center"/>
            <w:hideMark/>
          </w:tcPr>
          <w:p w14:paraId="047840DB"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31.12.2019</w:t>
            </w:r>
          </w:p>
        </w:tc>
        <w:tc>
          <w:tcPr>
            <w:tcW w:w="1449" w:type="dxa"/>
            <w:shd w:val="clear" w:color="auto" w:fill="auto"/>
            <w:vAlign w:val="center"/>
            <w:hideMark/>
          </w:tcPr>
          <w:p w14:paraId="145CD718"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Отклонение</w:t>
            </w:r>
          </w:p>
        </w:tc>
      </w:tr>
      <w:tr w:rsidR="00D470B6" w:rsidRPr="00A53AD7" w14:paraId="712F7B59" w14:textId="77777777" w:rsidTr="00783E43">
        <w:trPr>
          <w:trHeight w:hRule="exact" w:val="255"/>
        </w:trPr>
        <w:tc>
          <w:tcPr>
            <w:tcW w:w="3969" w:type="dxa"/>
            <w:shd w:val="clear" w:color="auto" w:fill="auto"/>
            <w:vAlign w:val="center"/>
            <w:hideMark/>
          </w:tcPr>
          <w:p w14:paraId="4F239597" w14:textId="77777777" w:rsidR="00C604E1" w:rsidRPr="00A53AD7" w:rsidRDefault="00C604E1" w:rsidP="00C604E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Средства Фонда</w:t>
            </w:r>
          </w:p>
        </w:tc>
        <w:tc>
          <w:tcPr>
            <w:tcW w:w="2127" w:type="dxa"/>
            <w:shd w:val="clear" w:color="auto" w:fill="auto"/>
            <w:vAlign w:val="center"/>
            <w:hideMark/>
          </w:tcPr>
          <w:p w14:paraId="232E9DA5"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6 585,024</w:t>
            </w:r>
          </w:p>
        </w:tc>
        <w:tc>
          <w:tcPr>
            <w:tcW w:w="1578" w:type="dxa"/>
            <w:shd w:val="clear" w:color="auto" w:fill="auto"/>
            <w:vAlign w:val="center"/>
            <w:hideMark/>
          </w:tcPr>
          <w:p w14:paraId="4E6289F9"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6 521,229</w:t>
            </w:r>
          </w:p>
        </w:tc>
        <w:tc>
          <w:tcPr>
            <w:tcW w:w="1449" w:type="dxa"/>
            <w:shd w:val="clear" w:color="auto" w:fill="auto"/>
            <w:vAlign w:val="center"/>
            <w:hideMark/>
          </w:tcPr>
          <w:p w14:paraId="3553F6CA"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-63,795</w:t>
            </w:r>
          </w:p>
        </w:tc>
      </w:tr>
      <w:tr w:rsidR="00D470B6" w:rsidRPr="00A53AD7" w14:paraId="0D568652" w14:textId="77777777" w:rsidTr="00783E43">
        <w:trPr>
          <w:trHeight w:hRule="exact" w:val="255"/>
        </w:trPr>
        <w:tc>
          <w:tcPr>
            <w:tcW w:w="3969" w:type="dxa"/>
            <w:shd w:val="clear" w:color="auto" w:fill="auto"/>
            <w:vAlign w:val="center"/>
            <w:hideMark/>
          </w:tcPr>
          <w:p w14:paraId="459BE89D" w14:textId="77777777" w:rsidR="00C604E1" w:rsidRPr="00A53AD7" w:rsidRDefault="00C604E1" w:rsidP="00C604E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Средства областного бюджета</w:t>
            </w:r>
          </w:p>
        </w:tc>
        <w:tc>
          <w:tcPr>
            <w:tcW w:w="2127" w:type="dxa"/>
            <w:shd w:val="clear" w:color="auto" w:fill="auto"/>
            <w:vAlign w:val="center"/>
            <w:hideMark/>
          </w:tcPr>
          <w:p w14:paraId="09379C71"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2 731,404</w:t>
            </w:r>
          </w:p>
        </w:tc>
        <w:tc>
          <w:tcPr>
            <w:tcW w:w="1578" w:type="dxa"/>
            <w:shd w:val="clear" w:color="auto" w:fill="auto"/>
            <w:vAlign w:val="center"/>
            <w:hideMark/>
          </w:tcPr>
          <w:p w14:paraId="35794084"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2 722,343</w:t>
            </w:r>
          </w:p>
        </w:tc>
        <w:tc>
          <w:tcPr>
            <w:tcW w:w="1449" w:type="dxa"/>
            <w:shd w:val="clear" w:color="auto" w:fill="auto"/>
            <w:vAlign w:val="center"/>
            <w:hideMark/>
          </w:tcPr>
          <w:p w14:paraId="07ACDAE7"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-9,060</w:t>
            </w:r>
          </w:p>
        </w:tc>
      </w:tr>
      <w:tr w:rsidR="00D470B6" w:rsidRPr="00A53AD7" w14:paraId="3A2ED6BB" w14:textId="77777777" w:rsidTr="00783E43">
        <w:trPr>
          <w:trHeight w:hRule="exact" w:val="255"/>
        </w:trPr>
        <w:tc>
          <w:tcPr>
            <w:tcW w:w="3969" w:type="dxa"/>
            <w:shd w:val="clear" w:color="auto" w:fill="auto"/>
            <w:vAlign w:val="center"/>
            <w:hideMark/>
          </w:tcPr>
          <w:p w14:paraId="4B6BA652" w14:textId="77777777" w:rsidR="00C604E1" w:rsidRPr="00A53AD7" w:rsidRDefault="00C604E1" w:rsidP="00C604E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Средства местных бюджетов</w:t>
            </w:r>
          </w:p>
        </w:tc>
        <w:tc>
          <w:tcPr>
            <w:tcW w:w="2127" w:type="dxa"/>
            <w:shd w:val="clear" w:color="auto" w:fill="auto"/>
            <w:vAlign w:val="center"/>
            <w:hideMark/>
          </w:tcPr>
          <w:p w14:paraId="7BD869E8"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512,755</w:t>
            </w:r>
          </w:p>
        </w:tc>
        <w:tc>
          <w:tcPr>
            <w:tcW w:w="1578" w:type="dxa"/>
            <w:shd w:val="clear" w:color="auto" w:fill="auto"/>
            <w:vAlign w:val="center"/>
            <w:hideMark/>
          </w:tcPr>
          <w:p w14:paraId="3863EC7B"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512,162</w:t>
            </w:r>
          </w:p>
        </w:tc>
        <w:tc>
          <w:tcPr>
            <w:tcW w:w="1449" w:type="dxa"/>
            <w:shd w:val="clear" w:color="auto" w:fill="auto"/>
            <w:vAlign w:val="center"/>
            <w:hideMark/>
          </w:tcPr>
          <w:p w14:paraId="6C74069E" w14:textId="068FB9C2"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-0,592</w:t>
            </w:r>
            <w:r w:rsidR="00E46634" w:rsidRPr="00A53AD7">
              <w:rPr>
                <w:rFonts w:ascii="Times New Roman" w:eastAsia="Times New Roman" w:hAnsi="Times New Roman"/>
                <w:lang w:eastAsia="ru-RU"/>
              </w:rPr>
              <w:t xml:space="preserve"> </w:t>
            </w:r>
          </w:p>
        </w:tc>
      </w:tr>
      <w:tr w:rsidR="00C604E1" w:rsidRPr="00A53AD7" w14:paraId="2BFBEC44" w14:textId="77777777" w:rsidTr="00783E43">
        <w:trPr>
          <w:trHeight w:hRule="exact" w:val="255"/>
        </w:trPr>
        <w:tc>
          <w:tcPr>
            <w:tcW w:w="3969" w:type="dxa"/>
            <w:shd w:val="clear" w:color="auto" w:fill="auto"/>
            <w:vAlign w:val="center"/>
            <w:hideMark/>
          </w:tcPr>
          <w:p w14:paraId="31F09D2D" w14:textId="77777777" w:rsidR="00C604E1" w:rsidRPr="00A53AD7" w:rsidRDefault="00C604E1" w:rsidP="00C604E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Всего </w:t>
            </w:r>
          </w:p>
        </w:tc>
        <w:tc>
          <w:tcPr>
            <w:tcW w:w="2127" w:type="dxa"/>
            <w:shd w:val="clear" w:color="auto" w:fill="auto"/>
            <w:vAlign w:val="center"/>
            <w:hideMark/>
          </w:tcPr>
          <w:p w14:paraId="76CA87A2"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9 829,183</w:t>
            </w:r>
          </w:p>
        </w:tc>
        <w:tc>
          <w:tcPr>
            <w:tcW w:w="1578" w:type="dxa"/>
            <w:shd w:val="clear" w:color="auto" w:fill="auto"/>
            <w:vAlign w:val="center"/>
            <w:hideMark/>
          </w:tcPr>
          <w:p w14:paraId="52C24C35"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9 756,460</w:t>
            </w:r>
          </w:p>
        </w:tc>
        <w:tc>
          <w:tcPr>
            <w:tcW w:w="1449" w:type="dxa"/>
            <w:shd w:val="clear" w:color="auto" w:fill="auto"/>
            <w:vAlign w:val="center"/>
            <w:hideMark/>
          </w:tcPr>
          <w:p w14:paraId="02F27EED" w14:textId="77777777" w:rsidR="00C604E1" w:rsidRPr="00A53AD7" w:rsidRDefault="00C604E1" w:rsidP="00C604E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-72,723</w:t>
            </w:r>
          </w:p>
        </w:tc>
      </w:tr>
    </w:tbl>
    <w:p w14:paraId="7AA3BFF3" w14:textId="77777777" w:rsidR="00C604E1" w:rsidRPr="00A53AD7" w:rsidRDefault="00C604E1" w:rsidP="00C604E1">
      <w:pPr>
        <w:autoSpaceDE w:val="0"/>
        <w:autoSpaceDN w:val="0"/>
        <w:adjustRightInd w:val="0"/>
        <w:spacing w:after="0" w:line="240" w:lineRule="auto"/>
        <w:ind w:firstLine="709"/>
        <w:jc w:val="both"/>
        <w:rPr>
          <w:rFonts w:ascii="Times New Roman" w:hAnsi="Times New Roman"/>
          <w:sz w:val="28"/>
          <w:szCs w:val="28"/>
        </w:rPr>
      </w:pPr>
    </w:p>
    <w:p w14:paraId="7707B68C" w14:textId="06CC8899" w:rsidR="00C604E1" w:rsidRPr="00A53AD7" w:rsidRDefault="0024627F" w:rsidP="0024627F">
      <w:pPr>
        <w:pStyle w:val="ad"/>
        <w:ind w:firstLine="851"/>
        <w:jc w:val="both"/>
        <w:rPr>
          <w:rFonts w:ascii="Times New Roman" w:hAnsi="Times New Roman"/>
          <w:sz w:val="28"/>
          <w:szCs w:val="28"/>
        </w:rPr>
      </w:pPr>
      <w:r w:rsidRPr="00A53AD7">
        <w:rPr>
          <w:rFonts w:ascii="Times New Roman" w:hAnsi="Times New Roman"/>
          <w:sz w:val="28"/>
          <w:szCs w:val="28"/>
        </w:rPr>
        <w:t>Таким образом,</w:t>
      </w:r>
      <w:r w:rsidR="00C604E1" w:rsidRPr="00A53AD7">
        <w:rPr>
          <w:rFonts w:ascii="Times New Roman" w:hAnsi="Times New Roman"/>
          <w:sz w:val="28"/>
          <w:szCs w:val="28"/>
        </w:rPr>
        <w:t xml:space="preserve"> </w:t>
      </w:r>
      <w:r w:rsidRPr="00A53AD7">
        <w:rPr>
          <w:rFonts w:ascii="Times New Roman" w:hAnsi="Times New Roman"/>
          <w:sz w:val="28"/>
          <w:szCs w:val="28"/>
        </w:rPr>
        <w:t xml:space="preserve">имеет место </w:t>
      </w:r>
      <w:r w:rsidR="00C604E1" w:rsidRPr="00A53AD7">
        <w:rPr>
          <w:rFonts w:ascii="Times New Roman" w:hAnsi="Times New Roman"/>
          <w:sz w:val="28"/>
          <w:szCs w:val="28"/>
        </w:rPr>
        <w:t>уменьшение объемов финансового обеспечения по всем источникам финансирования.</w:t>
      </w:r>
    </w:p>
    <w:p w14:paraId="7DF32100" w14:textId="10C2E809" w:rsidR="00C604E1" w:rsidRPr="00A53AD7" w:rsidRDefault="00C604E1" w:rsidP="0024627F">
      <w:pPr>
        <w:pStyle w:val="ad"/>
        <w:ind w:firstLine="851"/>
        <w:jc w:val="both"/>
        <w:rPr>
          <w:rFonts w:ascii="Times New Roman" w:hAnsi="Times New Roman"/>
          <w:sz w:val="28"/>
          <w:szCs w:val="28"/>
        </w:rPr>
      </w:pPr>
      <w:bookmarkStart w:id="98" w:name="Par0"/>
      <w:bookmarkStart w:id="99" w:name="dst100782"/>
      <w:bookmarkEnd w:id="98"/>
      <w:bookmarkEnd w:id="99"/>
      <w:r w:rsidRPr="00A53AD7">
        <w:rPr>
          <w:rFonts w:ascii="Times New Roman" w:hAnsi="Times New Roman"/>
          <w:sz w:val="28"/>
          <w:szCs w:val="28"/>
        </w:rPr>
        <w:t>В соответствии</w:t>
      </w:r>
      <w:r w:rsidR="00E46634" w:rsidRPr="00A53AD7">
        <w:rPr>
          <w:rFonts w:ascii="Times New Roman" w:hAnsi="Times New Roman"/>
          <w:sz w:val="28"/>
          <w:szCs w:val="28"/>
        </w:rPr>
        <w:t xml:space="preserve"> </w:t>
      </w:r>
      <w:r w:rsidRPr="00A53AD7">
        <w:rPr>
          <w:rFonts w:ascii="Times New Roman" w:hAnsi="Times New Roman"/>
          <w:sz w:val="28"/>
          <w:szCs w:val="28"/>
        </w:rPr>
        <w:t>с пунктом 11.1. статьи 16 Федерального закона от 21.07.2007 N 185-ФЗ "О Фонде содействия реформированию жилищно-коммунального хозяйств закона» (далее - закон №</w:t>
      </w:r>
      <w:r w:rsidR="0095402E" w:rsidRPr="00A53AD7">
        <w:rPr>
          <w:rFonts w:ascii="Times New Roman" w:hAnsi="Times New Roman"/>
          <w:sz w:val="28"/>
          <w:szCs w:val="28"/>
        </w:rPr>
        <w:t xml:space="preserve"> </w:t>
      </w:r>
      <w:r w:rsidRPr="00A53AD7">
        <w:rPr>
          <w:rFonts w:ascii="Times New Roman" w:hAnsi="Times New Roman"/>
          <w:sz w:val="28"/>
          <w:szCs w:val="28"/>
        </w:rPr>
        <w:t>185-ФЗ), внесение изменений в региональную адресную программу по переселению граждан из аварийного жилищного фонда, предусматривающих продление срока реализации этапа этой программы в связи с необходимостью завершения мероприятий, предусмотренных таким этапом, не является основанием для неприменения предусмотренных </w:t>
      </w:r>
      <w:hyperlink r:id="rId91" w:anchor="dst100277" w:history="1">
        <w:r w:rsidRPr="00A53AD7">
          <w:rPr>
            <w:rFonts w:ascii="Times New Roman" w:hAnsi="Times New Roman"/>
            <w:sz w:val="28"/>
            <w:szCs w:val="28"/>
          </w:rPr>
          <w:t>статьей 23.1</w:t>
        </w:r>
      </w:hyperlink>
      <w:r w:rsidRPr="00A53AD7">
        <w:rPr>
          <w:rFonts w:ascii="Times New Roman" w:hAnsi="Times New Roman"/>
          <w:sz w:val="28"/>
          <w:szCs w:val="28"/>
        </w:rPr>
        <w:t> закона №</w:t>
      </w:r>
      <w:r w:rsidR="00EF1B15" w:rsidRPr="00A53AD7">
        <w:rPr>
          <w:rFonts w:ascii="Times New Roman" w:hAnsi="Times New Roman"/>
          <w:sz w:val="28"/>
          <w:szCs w:val="28"/>
        </w:rPr>
        <w:t xml:space="preserve"> </w:t>
      </w:r>
      <w:r w:rsidRPr="00A53AD7">
        <w:rPr>
          <w:rFonts w:ascii="Times New Roman" w:hAnsi="Times New Roman"/>
          <w:sz w:val="28"/>
          <w:szCs w:val="28"/>
        </w:rPr>
        <w:t>185-ФЗ последствий нарушения требований</w:t>
      </w:r>
      <w:r w:rsidR="00E46634" w:rsidRPr="00A53AD7">
        <w:rPr>
          <w:rFonts w:ascii="Times New Roman" w:hAnsi="Times New Roman"/>
          <w:sz w:val="28"/>
          <w:szCs w:val="28"/>
        </w:rPr>
        <w:t xml:space="preserve"> </w:t>
      </w:r>
      <w:hyperlink r:id="rId92" w:history="1">
        <w:r w:rsidRPr="00A53AD7">
          <w:rPr>
            <w:rFonts w:ascii="Times New Roman" w:hAnsi="Times New Roman"/>
            <w:sz w:val="28"/>
            <w:szCs w:val="28"/>
          </w:rPr>
          <w:t>части 11</w:t>
        </w:r>
      </w:hyperlink>
      <w:r w:rsidRPr="00A53AD7">
        <w:rPr>
          <w:rFonts w:ascii="Times New Roman" w:hAnsi="Times New Roman"/>
          <w:sz w:val="28"/>
          <w:szCs w:val="28"/>
        </w:rPr>
        <w:t xml:space="preserve"> статьи 16, в которой говорится: «Финансовая поддержка, предоставленная за счет средств Фонда, подлежит возврату в Фонд субъектом Российской Федерации в срок, предусмотренный частью 8 статьи «в течение девяноста дней со дня получения высшим должностным лицом субъекта РФ копии решения о возврате средств Фонда», в случае неустранения субъектом РФ или муниципальным образованием нарушения требований, установленных частью 11 статьи 16, в течение четырех месяцев со дня принятия правлением Фонда решения об установлении факта указанного нарушения.</w:t>
      </w:r>
    </w:p>
    <w:p w14:paraId="7345FED9" w14:textId="77777777" w:rsidR="00C604E1" w:rsidRPr="00A53AD7" w:rsidRDefault="00C604E1" w:rsidP="0024627F">
      <w:pPr>
        <w:pStyle w:val="ad"/>
        <w:ind w:firstLine="851"/>
        <w:jc w:val="both"/>
        <w:rPr>
          <w:rFonts w:ascii="Times New Roman" w:hAnsi="Times New Roman"/>
          <w:sz w:val="28"/>
          <w:szCs w:val="28"/>
        </w:rPr>
      </w:pPr>
      <w:r w:rsidRPr="00A53AD7">
        <w:rPr>
          <w:rFonts w:ascii="Times New Roman" w:hAnsi="Times New Roman"/>
          <w:sz w:val="28"/>
          <w:szCs w:val="28"/>
        </w:rPr>
        <w:t>Внесение изменений в части изменения целевых показателей, уменьшения объема финансового обеспечения мероприятий в Программу 2013-2018 отдельными постановлениями Правительства АО происходит с целью приведения к соответствию с фактическими результатами выполнения мероприятий.</w:t>
      </w:r>
    </w:p>
    <w:p w14:paraId="5F4EC2CA" w14:textId="77777777" w:rsidR="00C604E1" w:rsidRPr="00A53AD7" w:rsidRDefault="00C604E1" w:rsidP="0024627F">
      <w:pPr>
        <w:pStyle w:val="ad"/>
        <w:ind w:firstLine="851"/>
        <w:jc w:val="both"/>
        <w:rPr>
          <w:rFonts w:ascii="Times New Roman" w:hAnsi="Times New Roman"/>
          <w:sz w:val="28"/>
          <w:szCs w:val="28"/>
        </w:rPr>
      </w:pPr>
      <w:r w:rsidRPr="00A53AD7">
        <w:rPr>
          <w:rFonts w:ascii="Times New Roman" w:hAnsi="Times New Roman"/>
          <w:sz w:val="28"/>
          <w:szCs w:val="28"/>
        </w:rPr>
        <w:t>Общий объем расходов по статье 5120000000 утвержден областным законом на 2019 год (ред. от 13.12.2019) в размере 1 992,4 млн.руб. и в соответствии с показателями уточненной сводной бюджетной росписи областного бюджета в сумме 2 524,2 млн.руб., из них средства ГК - Фонд содействия реформированию жилищно-коммунального хозяйства (далее – Фонд) – 2 445,37 млн.руб., средства областного бюджета – 78,84 млн.руб., в том числе:</w:t>
      </w:r>
    </w:p>
    <w:p w14:paraId="6B93B83D" w14:textId="69E8825F"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АП 2013-2018 всего 176,6 млн.руб. (средства Фонда – 163,5 млн.руб., средства об</w:t>
      </w:r>
      <w:r w:rsidR="0095402E" w:rsidRPr="00A53AD7">
        <w:rPr>
          <w:sz w:val="28"/>
          <w:szCs w:val="28"/>
        </w:rPr>
        <w:t>ластного бюджета 13,1 млн.руб.);</w:t>
      </w:r>
    </w:p>
    <w:p w14:paraId="1D0FFBD7" w14:textId="1A96DC4B"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АП 2019-2025 всего 2 347,56 млн.руб. (средства Фонда – 2 281,82 млн.руб., средства областного бюджета 65,74 млн.руб.).</w:t>
      </w:r>
    </w:p>
    <w:p w14:paraId="093D2E5E" w14:textId="77777777" w:rsidR="00C604E1" w:rsidRPr="00A53AD7" w:rsidRDefault="00C604E1" w:rsidP="0095402E">
      <w:pPr>
        <w:pStyle w:val="ad"/>
        <w:ind w:firstLine="851"/>
        <w:jc w:val="both"/>
        <w:rPr>
          <w:rFonts w:ascii="Times New Roman" w:hAnsi="Times New Roman"/>
          <w:sz w:val="28"/>
          <w:szCs w:val="28"/>
        </w:rPr>
      </w:pPr>
      <w:r w:rsidRPr="00A53AD7">
        <w:rPr>
          <w:rFonts w:ascii="Times New Roman" w:hAnsi="Times New Roman"/>
          <w:sz w:val="28"/>
          <w:szCs w:val="28"/>
        </w:rPr>
        <w:t>Кассовые расходы за 2019 год составили 469,8 млн.руб. или 18,6% от уточненного годового плана, в том числе за счет средств Фонда – 453,95 млн.руб., за счет средств областного бюджета – 15,85 млн.руб., из них:</w:t>
      </w:r>
    </w:p>
    <w:p w14:paraId="0B2875AA" w14:textId="2B92929A"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АП 2013-2018 всего 32,77 млн.руб. (средства Фонда – 28,81 млн.руб., средства об</w:t>
      </w:r>
      <w:r w:rsidR="00EF1B15" w:rsidRPr="00A53AD7">
        <w:rPr>
          <w:sz w:val="28"/>
          <w:szCs w:val="28"/>
        </w:rPr>
        <w:t>ластного бюджета 3,96 млн.руб.);</w:t>
      </w:r>
    </w:p>
    <w:p w14:paraId="2A36A000" w14:textId="4CBA3C19"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АП 2019-2025 всего 437,02 млн.руб. (средства Фонда – 425,13 млн.руб., средства областного бюджета 11,89 млн.руб.).</w:t>
      </w:r>
    </w:p>
    <w:p w14:paraId="0CA4DE0B" w14:textId="77777777" w:rsidR="00C604E1" w:rsidRPr="00A53AD7" w:rsidRDefault="00C604E1" w:rsidP="00C604E1">
      <w:pPr>
        <w:shd w:val="clear" w:color="auto" w:fill="FFFFFF"/>
        <w:spacing w:after="0" w:line="240" w:lineRule="auto"/>
        <w:ind w:firstLine="709"/>
        <w:jc w:val="right"/>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млн.руб.</w:t>
      </w:r>
    </w:p>
    <w:tbl>
      <w:tblPr>
        <w:tblW w:w="9248"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858"/>
        <w:gridCol w:w="2693"/>
        <w:gridCol w:w="1134"/>
        <w:gridCol w:w="1134"/>
        <w:gridCol w:w="2429"/>
      </w:tblGrid>
      <w:tr w:rsidR="00D470B6" w:rsidRPr="00A53AD7" w14:paraId="348EA4F0" w14:textId="77777777" w:rsidTr="008331D2">
        <w:trPr>
          <w:trHeight w:val="531"/>
          <w:tblHeader/>
        </w:trPr>
        <w:tc>
          <w:tcPr>
            <w:tcW w:w="1858" w:type="dxa"/>
            <w:shd w:val="clear" w:color="auto" w:fill="auto"/>
            <w:vAlign w:val="center"/>
            <w:hideMark/>
          </w:tcPr>
          <w:p w14:paraId="2BE70EC2"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программа переселения</w:t>
            </w:r>
          </w:p>
        </w:tc>
        <w:tc>
          <w:tcPr>
            <w:tcW w:w="2693" w:type="dxa"/>
            <w:shd w:val="clear" w:color="auto" w:fill="auto"/>
            <w:vAlign w:val="center"/>
            <w:hideMark/>
          </w:tcPr>
          <w:p w14:paraId="5A2DFC3F"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показатели</w:t>
            </w:r>
          </w:p>
        </w:tc>
        <w:tc>
          <w:tcPr>
            <w:tcW w:w="1134" w:type="dxa"/>
            <w:shd w:val="clear" w:color="auto" w:fill="auto"/>
            <w:vAlign w:val="center"/>
            <w:hideMark/>
          </w:tcPr>
          <w:p w14:paraId="3132D993"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всего</w:t>
            </w:r>
          </w:p>
        </w:tc>
        <w:tc>
          <w:tcPr>
            <w:tcW w:w="1134" w:type="dxa"/>
            <w:shd w:val="clear" w:color="auto" w:fill="auto"/>
            <w:vAlign w:val="center"/>
            <w:hideMark/>
          </w:tcPr>
          <w:p w14:paraId="06D1AA55"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средства Фонда</w:t>
            </w:r>
          </w:p>
        </w:tc>
        <w:tc>
          <w:tcPr>
            <w:tcW w:w="2429" w:type="dxa"/>
            <w:shd w:val="clear" w:color="auto" w:fill="auto"/>
            <w:vAlign w:val="center"/>
            <w:hideMark/>
          </w:tcPr>
          <w:p w14:paraId="34802EC2"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средства областного бюджета</w:t>
            </w:r>
          </w:p>
        </w:tc>
      </w:tr>
      <w:tr w:rsidR="00D470B6" w:rsidRPr="00A53AD7" w14:paraId="658DF78F" w14:textId="77777777" w:rsidTr="008331D2">
        <w:trPr>
          <w:trHeight w:val="624"/>
        </w:trPr>
        <w:tc>
          <w:tcPr>
            <w:tcW w:w="1858" w:type="dxa"/>
            <w:vMerge w:val="restart"/>
            <w:shd w:val="clear" w:color="auto" w:fill="auto"/>
            <w:vAlign w:val="center"/>
            <w:hideMark/>
          </w:tcPr>
          <w:p w14:paraId="5F5A6A92"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АП 2013-2018</w:t>
            </w:r>
          </w:p>
        </w:tc>
        <w:tc>
          <w:tcPr>
            <w:tcW w:w="2693" w:type="dxa"/>
            <w:shd w:val="clear" w:color="auto" w:fill="auto"/>
            <w:vAlign w:val="center"/>
            <w:hideMark/>
          </w:tcPr>
          <w:p w14:paraId="2AB745A5"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Уточненная сводная бюджетная роспись</w:t>
            </w:r>
          </w:p>
        </w:tc>
        <w:tc>
          <w:tcPr>
            <w:tcW w:w="1134" w:type="dxa"/>
            <w:shd w:val="clear" w:color="auto" w:fill="auto"/>
            <w:vAlign w:val="center"/>
            <w:hideMark/>
          </w:tcPr>
          <w:p w14:paraId="53F7A647" w14:textId="31C1DF24"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176,6</w:t>
            </w:r>
            <w:r w:rsidR="00E46634"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5EB2DBBD" w14:textId="35F1934F"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163,5</w:t>
            </w:r>
            <w:r w:rsidR="00E46634" w:rsidRPr="00A53AD7">
              <w:rPr>
                <w:rFonts w:ascii="Times New Roman" w:eastAsia="Times New Roman" w:hAnsi="Times New Roman"/>
                <w:sz w:val="24"/>
                <w:szCs w:val="24"/>
                <w:lang w:eastAsia="ru-RU"/>
              </w:rPr>
              <w:t xml:space="preserve"> </w:t>
            </w:r>
          </w:p>
        </w:tc>
        <w:tc>
          <w:tcPr>
            <w:tcW w:w="2429" w:type="dxa"/>
            <w:shd w:val="clear" w:color="auto" w:fill="auto"/>
            <w:vAlign w:val="center"/>
            <w:hideMark/>
          </w:tcPr>
          <w:p w14:paraId="0EA4DBB9" w14:textId="7C0B7638"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13,1</w:t>
            </w:r>
            <w:r w:rsidR="00E46634" w:rsidRPr="00A53AD7">
              <w:rPr>
                <w:rFonts w:ascii="Times New Roman" w:eastAsia="Times New Roman" w:hAnsi="Times New Roman"/>
                <w:sz w:val="24"/>
                <w:szCs w:val="24"/>
                <w:lang w:eastAsia="ru-RU"/>
              </w:rPr>
              <w:t xml:space="preserve"> </w:t>
            </w:r>
          </w:p>
        </w:tc>
      </w:tr>
      <w:tr w:rsidR="00D470B6" w:rsidRPr="00A53AD7" w14:paraId="37A483EB" w14:textId="77777777" w:rsidTr="008331D2">
        <w:trPr>
          <w:trHeight w:val="362"/>
        </w:trPr>
        <w:tc>
          <w:tcPr>
            <w:tcW w:w="1858" w:type="dxa"/>
            <w:vMerge/>
            <w:vAlign w:val="center"/>
            <w:hideMark/>
          </w:tcPr>
          <w:p w14:paraId="125F215D" w14:textId="77777777" w:rsidR="00C604E1" w:rsidRPr="00A53AD7" w:rsidRDefault="00C604E1" w:rsidP="00C604E1">
            <w:pPr>
              <w:spacing w:after="0" w:line="240" w:lineRule="auto"/>
              <w:rPr>
                <w:rFonts w:ascii="Times New Roman" w:eastAsia="Times New Roman" w:hAnsi="Times New Roman"/>
                <w:sz w:val="24"/>
                <w:szCs w:val="24"/>
                <w:lang w:eastAsia="ru-RU"/>
              </w:rPr>
            </w:pPr>
          </w:p>
        </w:tc>
        <w:tc>
          <w:tcPr>
            <w:tcW w:w="2693" w:type="dxa"/>
            <w:shd w:val="clear" w:color="auto" w:fill="auto"/>
            <w:vAlign w:val="center"/>
            <w:hideMark/>
          </w:tcPr>
          <w:p w14:paraId="668F9C4A"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исполнено на 01.01.2020</w:t>
            </w:r>
          </w:p>
        </w:tc>
        <w:tc>
          <w:tcPr>
            <w:tcW w:w="1134" w:type="dxa"/>
            <w:shd w:val="clear" w:color="auto" w:fill="auto"/>
            <w:vAlign w:val="center"/>
            <w:hideMark/>
          </w:tcPr>
          <w:p w14:paraId="2E6BA2DE" w14:textId="027E1663"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32,77</w:t>
            </w:r>
            <w:r w:rsidR="00E46634"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7253EC45" w14:textId="0147197F"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28,81</w:t>
            </w:r>
            <w:r w:rsidR="00E46634" w:rsidRPr="00A53AD7">
              <w:rPr>
                <w:rFonts w:ascii="Times New Roman" w:eastAsia="Times New Roman" w:hAnsi="Times New Roman"/>
                <w:sz w:val="24"/>
                <w:szCs w:val="24"/>
                <w:lang w:eastAsia="ru-RU"/>
              </w:rPr>
              <w:t xml:space="preserve"> </w:t>
            </w:r>
          </w:p>
        </w:tc>
        <w:tc>
          <w:tcPr>
            <w:tcW w:w="2429" w:type="dxa"/>
            <w:shd w:val="clear" w:color="auto" w:fill="auto"/>
            <w:vAlign w:val="center"/>
            <w:hideMark/>
          </w:tcPr>
          <w:p w14:paraId="189C1A2A" w14:textId="4D7ECDB2"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3,96</w:t>
            </w:r>
            <w:r w:rsidR="00E46634" w:rsidRPr="00A53AD7">
              <w:rPr>
                <w:rFonts w:ascii="Times New Roman" w:eastAsia="Times New Roman" w:hAnsi="Times New Roman"/>
                <w:sz w:val="24"/>
                <w:szCs w:val="24"/>
                <w:lang w:eastAsia="ru-RU"/>
              </w:rPr>
              <w:t xml:space="preserve"> </w:t>
            </w:r>
          </w:p>
        </w:tc>
      </w:tr>
      <w:tr w:rsidR="00D470B6" w:rsidRPr="00A53AD7" w14:paraId="2CE9D218" w14:textId="77777777" w:rsidTr="008331D2">
        <w:trPr>
          <w:trHeight w:val="267"/>
        </w:trPr>
        <w:tc>
          <w:tcPr>
            <w:tcW w:w="1858" w:type="dxa"/>
            <w:vMerge/>
            <w:vAlign w:val="center"/>
            <w:hideMark/>
          </w:tcPr>
          <w:p w14:paraId="3D658CDD" w14:textId="77777777" w:rsidR="00C604E1" w:rsidRPr="00A53AD7" w:rsidRDefault="00C604E1" w:rsidP="00C604E1">
            <w:pPr>
              <w:spacing w:after="0" w:line="240" w:lineRule="auto"/>
              <w:rPr>
                <w:rFonts w:ascii="Times New Roman" w:eastAsia="Times New Roman" w:hAnsi="Times New Roman"/>
                <w:sz w:val="24"/>
                <w:szCs w:val="24"/>
                <w:lang w:eastAsia="ru-RU"/>
              </w:rPr>
            </w:pPr>
          </w:p>
        </w:tc>
        <w:tc>
          <w:tcPr>
            <w:tcW w:w="2693" w:type="dxa"/>
            <w:shd w:val="clear" w:color="auto" w:fill="auto"/>
            <w:vAlign w:val="center"/>
            <w:hideMark/>
          </w:tcPr>
          <w:p w14:paraId="7BD9C07D"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процент от плана</w:t>
            </w:r>
          </w:p>
        </w:tc>
        <w:tc>
          <w:tcPr>
            <w:tcW w:w="1134" w:type="dxa"/>
            <w:shd w:val="clear" w:color="auto" w:fill="auto"/>
            <w:vAlign w:val="center"/>
            <w:hideMark/>
          </w:tcPr>
          <w:p w14:paraId="6BBA832E" w14:textId="3F5798DD"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18,5</w:t>
            </w:r>
            <w:r w:rsidR="00E46634" w:rsidRPr="00A53AD7">
              <w:rPr>
                <w:rFonts w:ascii="Times New Roman" w:eastAsia="Times New Roman" w:hAnsi="Times New Roman"/>
                <w:b/>
                <w:sz w:val="24"/>
                <w:szCs w:val="24"/>
                <w:lang w:eastAsia="ru-RU"/>
              </w:rPr>
              <w:t xml:space="preserve"> </w:t>
            </w:r>
          </w:p>
        </w:tc>
        <w:tc>
          <w:tcPr>
            <w:tcW w:w="1134" w:type="dxa"/>
            <w:shd w:val="clear" w:color="auto" w:fill="auto"/>
            <w:vAlign w:val="center"/>
            <w:hideMark/>
          </w:tcPr>
          <w:p w14:paraId="6D475AA5" w14:textId="19A1EF2F"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17,6</w:t>
            </w:r>
            <w:r w:rsidR="00E46634" w:rsidRPr="00A53AD7">
              <w:rPr>
                <w:rFonts w:ascii="Times New Roman" w:eastAsia="Times New Roman" w:hAnsi="Times New Roman"/>
                <w:b/>
                <w:sz w:val="24"/>
                <w:szCs w:val="24"/>
                <w:lang w:eastAsia="ru-RU"/>
              </w:rPr>
              <w:t xml:space="preserve"> </w:t>
            </w:r>
          </w:p>
        </w:tc>
        <w:tc>
          <w:tcPr>
            <w:tcW w:w="2429" w:type="dxa"/>
            <w:shd w:val="clear" w:color="auto" w:fill="auto"/>
            <w:vAlign w:val="center"/>
            <w:hideMark/>
          </w:tcPr>
          <w:p w14:paraId="656D4B2C" w14:textId="5EDD1719"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30,2</w:t>
            </w:r>
            <w:r w:rsidR="00E46634" w:rsidRPr="00A53AD7">
              <w:rPr>
                <w:rFonts w:ascii="Times New Roman" w:eastAsia="Times New Roman" w:hAnsi="Times New Roman"/>
                <w:b/>
                <w:sz w:val="24"/>
                <w:szCs w:val="24"/>
                <w:lang w:eastAsia="ru-RU"/>
              </w:rPr>
              <w:t xml:space="preserve"> </w:t>
            </w:r>
          </w:p>
        </w:tc>
      </w:tr>
      <w:tr w:rsidR="00D470B6" w:rsidRPr="00A53AD7" w14:paraId="67ED016E" w14:textId="77777777" w:rsidTr="008331D2">
        <w:trPr>
          <w:trHeight w:val="370"/>
        </w:trPr>
        <w:tc>
          <w:tcPr>
            <w:tcW w:w="1858" w:type="dxa"/>
            <w:vMerge w:val="restart"/>
            <w:shd w:val="clear" w:color="auto" w:fill="auto"/>
            <w:vAlign w:val="center"/>
            <w:hideMark/>
          </w:tcPr>
          <w:p w14:paraId="212DA6E8" w14:textId="77777777"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АП 2019-2025</w:t>
            </w:r>
          </w:p>
        </w:tc>
        <w:tc>
          <w:tcPr>
            <w:tcW w:w="2693" w:type="dxa"/>
            <w:shd w:val="clear" w:color="auto" w:fill="auto"/>
            <w:vAlign w:val="center"/>
            <w:hideMark/>
          </w:tcPr>
          <w:p w14:paraId="6F68D0FE"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Уточненная сводная бюджетная роспись</w:t>
            </w:r>
          </w:p>
        </w:tc>
        <w:tc>
          <w:tcPr>
            <w:tcW w:w="1134" w:type="dxa"/>
            <w:shd w:val="clear" w:color="auto" w:fill="auto"/>
            <w:vAlign w:val="center"/>
            <w:hideMark/>
          </w:tcPr>
          <w:p w14:paraId="2326A1C0" w14:textId="494D48E2"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2 347,56</w:t>
            </w:r>
            <w:r w:rsidR="00E46634"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1C1817CC" w14:textId="3F2BA695"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2 281,82</w:t>
            </w:r>
            <w:r w:rsidR="00E46634" w:rsidRPr="00A53AD7">
              <w:rPr>
                <w:rFonts w:ascii="Times New Roman" w:eastAsia="Times New Roman" w:hAnsi="Times New Roman"/>
                <w:sz w:val="24"/>
                <w:szCs w:val="24"/>
                <w:lang w:eastAsia="ru-RU"/>
              </w:rPr>
              <w:t xml:space="preserve"> </w:t>
            </w:r>
          </w:p>
        </w:tc>
        <w:tc>
          <w:tcPr>
            <w:tcW w:w="2429" w:type="dxa"/>
            <w:shd w:val="clear" w:color="auto" w:fill="auto"/>
            <w:vAlign w:val="center"/>
            <w:hideMark/>
          </w:tcPr>
          <w:p w14:paraId="6355A6CD" w14:textId="5E52158E"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65,74</w:t>
            </w:r>
            <w:r w:rsidR="00E46634" w:rsidRPr="00A53AD7">
              <w:rPr>
                <w:rFonts w:ascii="Times New Roman" w:eastAsia="Times New Roman" w:hAnsi="Times New Roman"/>
                <w:sz w:val="24"/>
                <w:szCs w:val="24"/>
                <w:lang w:eastAsia="ru-RU"/>
              </w:rPr>
              <w:t xml:space="preserve"> </w:t>
            </w:r>
          </w:p>
        </w:tc>
      </w:tr>
      <w:tr w:rsidR="00D470B6" w:rsidRPr="00A53AD7" w14:paraId="1399B455" w14:textId="77777777" w:rsidTr="008331D2">
        <w:trPr>
          <w:trHeight w:val="367"/>
        </w:trPr>
        <w:tc>
          <w:tcPr>
            <w:tcW w:w="1858" w:type="dxa"/>
            <w:vMerge/>
            <w:vAlign w:val="center"/>
            <w:hideMark/>
          </w:tcPr>
          <w:p w14:paraId="0A5CB593" w14:textId="77777777" w:rsidR="00C604E1" w:rsidRPr="00A53AD7" w:rsidRDefault="00C604E1" w:rsidP="00C604E1">
            <w:pPr>
              <w:spacing w:after="0" w:line="240" w:lineRule="auto"/>
              <w:rPr>
                <w:rFonts w:ascii="Times New Roman" w:eastAsia="Times New Roman" w:hAnsi="Times New Roman"/>
                <w:sz w:val="24"/>
                <w:szCs w:val="24"/>
                <w:lang w:eastAsia="ru-RU"/>
              </w:rPr>
            </w:pPr>
          </w:p>
        </w:tc>
        <w:tc>
          <w:tcPr>
            <w:tcW w:w="2693" w:type="dxa"/>
            <w:shd w:val="clear" w:color="auto" w:fill="auto"/>
            <w:vAlign w:val="center"/>
            <w:hideMark/>
          </w:tcPr>
          <w:p w14:paraId="21AE8F5D"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исполнено на 01.01.2020</w:t>
            </w:r>
          </w:p>
        </w:tc>
        <w:tc>
          <w:tcPr>
            <w:tcW w:w="1134" w:type="dxa"/>
            <w:shd w:val="clear" w:color="auto" w:fill="auto"/>
            <w:vAlign w:val="center"/>
            <w:hideMark/>
          </w:tcPr>
          <w:p w14:paraId="40BE96C9" w14:textId="5C7EC8B2"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437,02</w:t>
            </w:r>
            <w:r w:rsidR="00E46634" w:rsidRPr="00A53AD7">
              <w:rPr>
                <w:rFonts w:ascii="Times New Roman" w:eastAsia="Times New Roman" w:hAnsi="Times New Roman"/>
                <w:sz w:val="24"/>
                <w:szCs w:val="24"/>
                <w:lang w:eastAsia="ru-RU"/>
              </w:rPr>
              <w:t xml:space="preserve"> </w:t>
            </w:r>
          </w:p>
        </w:tc>
        <w:tc>
          <w:tcPr>
            <w:tcW w:w="1134" w:type="dxa"/>
            <w:shd w:val="clear" w:color="auto" w:fill="auto"/>
            <w:vAlign w:val="center"/>
            <w:hideMark/>
          </w:tcPr>
          <w:p w14:paraId="6AAB791B" w14:textId="4AE5B641"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425,13</w:t>
            </w:r>
            <w:r w:rsidR="00E46634" w:rsidRPr="00A53AD7">
              <w:rPr>
                <w:rFonts w:ascii="Times New Roman" w:eastAsia="Times New Roman" w:hAnsi="Times New Roman"/>
                <w:sz w:val="24"/>
                <w:szCs w:val="24"/>
                <w:lang w:eastAsia="ru-RU"/>
              </w:rPr>
              <w:t xml:space="preserve"> </w:t>
            </w:r>
          </w:p>
        </w:tc>
        <w:tc>
          <w:tcPr>
            <w:tcW w:w="2429" w:type="dxa"/>
            <w:shd w:val="clear" w:color="auto" w:fill="auto"/>
            <w:vAlign w:val="center"/>
            <w:hideMark/>
          </w:tcPr>
          <w:p w14:paraId="4F51E3B7" w14:textId="7D90A823" w:rsidR="00C604E1" w:rsidRPr="00A53AD7" w:rsidRDefault="00C604E1" w:rsidP="00C604E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11,89</w:t>
            </w:r>
            <w:r w:rsidR="00E46634" w:rsidRPr="00A53AD7">
              <w:rPr>
                <w:rFonts w:ascii="Times New Roman" w:eastAsia="Times New Roman" w:hAnsi="Times New Roman"/>
                <w:sz w:val="24"/>
                <w:szCs w:val="24"/>
                <w:lang w:eastAsia="ru-RU"/>
              </w:rPr>
              <w:t xml:space="preserve"> </w:t>
            </w:r>
          </w:p>
        </w:tc>
      </w:tr>
      <w:tr w:rsidR="00C604E1" w:rsidRPr="00A53AD7" w14:paraId="018912B9" w14:textId="77777777" w:rsidTr="008331D2">
        <w:trPr>
          <w:trHeight w:val="160"/>
        </w:trPr>
        <w:tc>
          <w:tcPr>
            <w:tcW w:w="1858" w:type="dxa"/>
            <w:vMerge/>
            <w:vAlign w:val="center"/>
            <w:hideMark/>
          </w:tcPr>
          <w:p w14:paraId="0AA7D3FC" w14:textId="77777777" w:rsidR="00C604E1" w:rsidRPr="00A53AD7" w:rsidRDefault="00C604E1" w:rsidP="00C604E1">
            <w:pPr>
              <w:spacing w:after="0" w:line="240" w:lineRule="auto"/>
              <w:rPr>
                <w:rFonts w:ascii="Times New Roman" w:eastAsia="Times New Roman" w:hAnsi="Times New Roman"/>
                <w:sz w:val="24"/>
                <w:szCs w:val="24"/>
                <w:lang w:eastAsia="ru-RU"/>
              </w:rPr>
            </w:pPr>
          </w:p>
        </w:tc>
        <w:tc>
          <w:tcPr>
            <w:tcW w:w="2693" w:type="dxa"/>
            <w:shd w:val="clear" w:color="auto" w:fill="auto"/>
            <w:vAlign w:val="center"/>
            <w:hideMark/>
          </w:tcPr>
          <w:p w14:paraId="637C1960" w14:textId="77777777" w:rsidR="00C604E1" w:rsidRPr="00A53AD7" w:rsidRDefault="00C604E1" w:rsidP="00C604E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процент от плана</w:t>
            </w:r>
          </w:p>
        </w:tc>
        <w:tc>
          <w:tcPr>
            <w:tcW w:w="1134" w:type="dxa"/>
            <w:shd w:val="clear" w:color="auto" w:fill="auto"/>
            <w:vAlign w:val="center"/>
            <w:hideMark/>
          </w:tcPr>
          <w:p w14:paraId="2AE665DF" w14:textId="5D871ACF"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18,6</w:t>
            </w:r>
            <w:r w:rsidR="00E46634" w:rsidRPr="00A53AD7">
              <w:rPr>
                <w:rFonts w:ascii="Times New Roman" w:eastAsia="Times New Roman" w:hAnsi="Times New Roman"/>
                <w:b/>
                <w:sz w:val="24"/>
                <w:szCs w:val="24"/>
                <w:lang w:eastAsia="ru-RU"/>
              </w:rPr>
              <w:t xml:space="preserve"> </w:t>
            </w:r>
          </w:p>
        </w:tc>
        <w:tc>
          <w:tcPr>
            <w:tcW w:w="1134" w:type="dxa"/>
            <w:shd w:val="clear" w:color="auto" w:fill="auto"/>
            <w:vAlign w:val="center"/>
            <w:hideMark/>
          </w:tcPr>
          <w:p w14:paraId="63DEE85D" w14:textId="1512281F"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18,6</w:t>
            </w:r>
            <w:r w:rsidR="00E46634" w:rsidRPr="00A53AD7">
              <w:rPr>
                <w:rFonts w:ascii="Times New Roman" w:eastAsia="Times New Roman" w:hAnsi="Times New Roman"/>
                <w:b/>
                <w:sz w:val="24"/>
                <w:szCs w:val="24"/>
                <w:lang w:eastAsia="ru-RU"/>
              </w:rPr>
              <w:t xml:space="preserve"> </w:t>
            </w:r>
          </w:p>
        </w:tc>
        <w:tc>
          <w:tcPr>
            <w:tcW w:w="2429" w:type="dxa"/>
            <w:shd w:val="clear" w:color="auto" w:fill="auto"/>
            <w:vAlign w:val="center"/>
            <w:hideMark/>
          </w:tcPr>
          <w:p w14:paraId="79851525" w14:textId="4E2FE5C1" w:rsidR="00C604E1" w:rsidRPr="00A53AD7" w:rsidRDefault="00C604E1" w:rsidP="00C604E1">
            <w:pPr>
              <w:spacing w:after="0" w:line="240" w:lineRule="auto"/>
              <w:jc w:val="center"/>
              <w:rPr>
                <w:rFonts w:ascii="Times New Roman" w:eastAsia="Times New Roman" w:hAnsi="Times New Roman"/>
                <w:b/>
                <w:sz w:val="24"/>
                <w:szCs w:val="24"/>
                <w:lang w:eastAsia="ru-RU"/>
              </w:rPr>
            </w:pPr>
            <w:r w:rsidRPr="00A53AD7">
              <w:rPr>
                <w:rFonts w:ascii="Times New Roman" w:eastAsia="Times New Roman" w:hAnsi="Times New Roman"/>
                <w:b/>
                <w:sz w:val="24"/>
                <w:szCs w:val="24"/>
                <w:lang w:eastAsia="ru-RU"/>
              </w:rPr>
              <w:t>18,0</w:t>
            </w:r>
            <w:r w:rsidR="00E46634" w:rsidRPr="00A53AD7">
              <w:rPr>
                <w:rFonts w:ascii="Times New Roman" w:eastAsia="Times New Roman" w:hAnsi="Times New Roman"/>
                <w:b/>
                <w:sz w:val="24"/>
                <w:szCs w:val="24"/>
                <w:lang w:eastAsia="ru-RU"/>
              </w:rPr>
              <w:t xml:space="preserve"> </w:t>
            </w:r>
          </w:p>
        </w:tc>
      </w:tr>
    </w:tbl>
    <w:p w14:paraId="029FF470" w14:textId="77777777" w:rsidR="00C604E1" w:rsidRPr="00A53AD7" w:rsidRDefault="00C604E1" w:rsidP="00C604E1">
      <w:pPr>
        <w:shd w:val="clear" w:color="auto" w:fill="FFFFFF"/>
        <w:spacing w:after="0" w:line="240" w:lineRule="auto"/>
        <w:ind w:firstLine="709"/>
        <w:jc w:val="right"/>
        <w:rPr>
          <w:rFonts w:ascii="Times New Roman" w:eastAsia="Times New Roman" w:hAnsi="Times New Roman"/>
          <w:sz w:val="28"/>
          <w:szCs w:val="28"/>
          <w:highlight w:val="cyan"/>
          <w:lang w:eastAsia="ru-RU"/>
        </w:rPr>
      </w:pPr>
    </w:p>
    <w:p w14:paraId="4D712D20" w14:textId="77777777"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Отмечаем неисполнение расходов в утвержденных объемах по АП 2013-2018.</w:t>
      </w:r>
    </w:p>
    <w:p w14:paraId="010A841F" w14:textId="1D59AD39"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Поступление средс</w:t>
      </w:r>
      <w:r w:rsidR="00E6143A" w:rsidRPr="00A53AD7">
        <w:rPr>
          <w:rFonts w:ascii="Times New Roman" w:hAnsi="Times New Roman"/>
          <w:sz w:val="28"/>
          <w:szCs w:val="28"/>
        </w:rPr>
        <w:t>тв Фонда в объеме 2 281,82 млн.</w:t>
      </w:r>
      <w:r w:rsidRPr="00A53AD7">
        <w:rPr>
          <w:rFonts w:ascii="Times New Roman" w:hAnsi="Times New Roman"/>
          <w:sz w:val="28"/>
          <w:szCs w:val="28"/>
        </w:rPr>
        <w:t>руб. в 2019 году по АП 2019-2025 нельзя считать полностью не освоенными в течение 2019 года, поскольку</w:t>
      </w:r>
      <w:r w:rsidR="00F13B8A" w:rsidRPr="00A53AD7">
        <w:rPr>
          <w:rFonts w:ascii="Times New Roman" w:hAnsi="Times New Roman"/>
          <w:sz w:val="28"/>
          <w:szCs w:val="28"/>
        </w:rPr>
        <w:t xml:space="preserve"> </w:t>
      </w:r>
      <w:r w:rsidRPr="00A53AD7">
        <w:rPr>
          <w:rFonts w:ascii="Times New Roman" w:hAnsi="Times New Roman"/>
          <w:sz w:val="28"/>
          <w:szCs w:val="28"/>
        </w:rPr>
        <w:t>с</w:t>
      </w:r>
      <w:r w:rsidR="00E6143A" w:rsidRPr="00A53AD7">
        <w:rPr>
          <w:rFonts w:ascii="Times New Roman" w:hAnsi="Times New Roman"/>
          <w:sz w:val="28"/>
          <w:szCs w:val="28"/>
        </w:rPr>
        <w:t>редства в размере 2 281,82 млн.</w:t>
      </w:r>
      <w:r w:rsidRPr="00A53AD7">
        <w:rPr>
          <w:rFonts w:ascii="Times New Roman" w:hAnsi="Times New Roman"/>
          <w:sz w:val="28"/>
          <w:szCs w:val="28"/>
        </w:rPr>
        <w:t>руб. выделены на исполнение мероприятий 1 и 2 этапов АП 2019-2025, сроки реализации которых рассчитаны на 3 финансовых года до 31.12.2021 года, часть из указанного объема господдержки, а именно 523 млн.руб. поступили в</w:t>
      </w:r>
      <w:r w:rsidR="00F13B8A" w:rsidRPr="00A53AD7">
        <w:rPr>
          <w:rFonts w:ascii="Times New Roman" w:hAnsi="Times New Roman"/>
          <w:sz w:val="28"/>
          <w:szCs w:val="28"/>
        </w:rPr>
        <w:t xml:space="preserve"> областной бюджет 31.12.2019.</w:t>
      </w:r>
    </w:p>
    <w:p w14:paraId="0B7B555C" w14:textId="77777777" w:rsidR="00C604E1" w:rsidRPr="00A53AD7" w:rsidRDefault="00C604E1" w:rsidP="00F13B8A">
      <w:pPr>
        <w:pStyle w:val="ad"/>
        <w:ind w:firstLine="851"/>
        <w:jc w:val="both"/>
        <w:rPr>
          <w:rFonts w:ascii="Times New Roman" w:hAnsi="Times New Roman"/>
          <w:sz w:val="28"/>
          <w:szCs w:val="28"/>
        </w:rPr>
      </w:pPr>
    </w:p>
    <w:p w14:paraId="15865177" w14:textId="4F8745AB"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Необходимо отметить, что согласно приложению № 12 к областному закону об областном бюджете на 2019 год расходы по программам АП 2013-2018 и АП 2019-2025 утверждены по одной целевой статье 5120000000</w:t>
      </w:r>
      <w:r w:rsidR="00F13B8A" w:rsidRPr="00A53AD7">
        <w:rPr>
          <w:rFonts w:ascii="Times New Roman" w:hAnsi="Times New Roman"/>
          <w:sz w:val="28"/>
          <w:szCs w:val="28"/>
        </w:rPr>
        <w:t>.</w:t>
      </w:r>
    </w:p>
    <w:p w14:paraId="5CEFF332" w14:textId="0BB425C4"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При этом, согласно статье 21 БК РФ, целевые статьи расходов бюджетов формируются, в том числе, в соответствии с государственными (муниципальными) программами, подлежащими исполнению за счет средств соответствующих бюджетов. Учитывая стать</w:t>
      </w:r>
      <w:r w:rsidR="00D352AF" w:rsidRPr="00A53AD7">
        <w:rPr>
          <w:rFonts w:ascii="Times New Roman" w:hAnsi="Times New Roman"/>
          <w:sz w:val="28"/>
          <w:szCs w:val="28"/>
        </w:rPr>
        <w:t>ю</w:t>
      </w:r>
      <w:r w:rsidRPr="00A53AD7">
        <w:rPr>
          <w:rFonts w:ascii="Times New Roman" w:hAnsi="Times New Roman"/>
          <w:sz w:val="28"/>
          <w:szCs w:val="28"/>
        </w:rPr>
        <w:t xml:space="preserve"> 85 БК РФ, расходные обязательства субъекта РФ возникают в результате принятия законов, иных нормативных правовых актов, заключения договоров или соглашений…</w:t>
      </w:r>
    </w:p>
    <w:p w14:paraId="7C51A6C1" w14:textId="63083E64"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Поскольку расходы по АП 2013-2018, которая действовала до 31.12.2018 года продолжаются, а 26.03.2019 года утверждена новая адресная программа АП 2019-2025, к тому же 25.04.2019 субъект заключил Договор о предоставлении и использовании финансовой поддержки за счет средств Фонда на переселение граждан из аварийного жилищного фонда в рамках именно АП 2019-2025, возникает необходимость разделения целевых статей двух программ переселения.</w:t>
      </w:r>
    </w:p>
    <w:p w14:paraId="63773DAF" w14:textId="5E00609D" w:rsidR="00C604E1" w:rsidRPr="00A53AD7" w:rsidRDefault="00C604E1" w:rsidP="00F13B8A">
      <w:pPr>
        <w:pStyle w:val="ad"/>
        <w:ind w:firstLine="851"/>
        <w:jc w:val="both"/>
        <w:rPr>
          <w:rFonts w:ascii="Times New Roman" w:hAnsi="Times New Roman"/>
          <w:sz w:val="28"/>
          <w:szCs w:val="28"/>
        </w:rPr>
      </w:pPr>
      <w:r w:rsidRPr="00A53AD7">
        <w:rPr>
          <w:rFonts w:ascii="Times New Roman" w:hAnsi="Times New Roman"/>
          <w:sz w:val="28"/>
          <w:szCs w:val="28"/>
        </w:rPr>
        <w:t xml:space="preserve">(Подробно о реализации мероприятий АП 2019-2025 написано в исполнении регионального проекта «Обеспечение устойчивого сокращения непригодного для проживания жилищного фонда», поскольку программа была </w:t>
      </w:r>
      <w:r w:rsidR="00F13B8A" w:rsidRPr="00A53AD7">
        <w:rPr>
          <w:rFonts w:ascii="Times New Roman" w:hAnsi="Times New Roman"/>
          <w:sz w:val="28"/>
          <w:szCs w:val="28"/>
        </w:rPr>
        <w:t>утверждена для его реализации).</w:t>
      </w:r>
    </w:p>
    <w:p w14:paraId="59DE51EF" w14:textId="77777777" w:rsidR="00012A60" w:rsidRPr="00A53AD7" w:rsidRDefault="00012A60" w:rsidP="00F13B8A">
      <w:pPr>
        <w:pStyle w:val="ad"/>
        <w:ind w:firstLine="851"/>
        <w:jc w:val="both"/>
        <w:rPr>
          <w:rFonts w:ascii="Times New Roman" w:hAnsi="Times New Roman"/>
          <w:sz w:val="28"/>
          <w:szCs w:val="28"/>
        </w:rPr>
      </w:pPr>
    </w:p>
    <w:p w14:paraId="70866146" w14:textId="77777777" w:rsidR="00C604E1" w:rsidRPr="00A53AD7" w:rsidRDefault="00C604E1" w:rsidP="00012A60">
      <w:pPr>
        <w:shd w:val="clear" w:color="auto" w:fill="FFFFFF"/>
        <w:spacing w:after="0" w:line="240" w:lineRule="auto"/>
        <w:ind w:firstLine="851"/>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Министерство строительства и архитектуры АО.</w:t>
      </w:r>
    </w:p>
    <w:p w14:paraId="6E4EC08D" w14:textId="4844B4EE" w:rsidR="00C604E1" w:rsidRPr="00A53AD7" w:rsidRDefault="00C604E1" w:rsidP="00F96679">
      <w:pPr>
        <w:pStyle w:val="ad"/>
        <w:ind w:firstLine="851"/>
        <w:jc w:val="both"/>
        <w:rPr>
          <w:rFonts w:ascii="Times New Roman" w:hAnsi="Times New Roman"/>
          <w:sz w:val="28"/>
          <w:szCs w:val="28"/>
        </w:rPr>
      </w:pPr>
      <w:r w:rsidRPr="00A53AD7">
        <w:rPr>
          <w:rFonts w:ascii="Times New Roman" w:hAnsi="Times New Roman"/>
          <w:sz w:val="28"/>
          <w:szCs w:val="28"/>
        </w:rPr>
        <w:t>Согласно приложению №</w:t>
      </w:r>
      <w:r w:rsidR="00F96679" w:rsidRPr="00A53AD7">
        <w:rPr>
          <w:rFonts w:ascii="Times New Roman" w:hAnsi="Times New Roman"/>
          <w:sz w:val="28"/>
          <w:szCs w:val="28"/>
        </w:rPr>
        <w:t xml:space="preserve"> </w:t>
      </w:r>
      <w:r w:rsidRPr="00A53AD7">
        <w:rPr>
          <w:rFonts w:ascii="Times New Roman" w:hAnsi="Times New Roman"/>
          <w:sz w:val="28"/>
          <w:szCs w:val="28"/>
        </w:rPr>
        <w:t>12 к отчету о исполнении бюджета за 2019 год по ведомственной структуре, министерству строительства и архитектуры АО на обеспечение мероприятий по капитальному ремонту многоквартирных домов, переселению граждан из аварийного жилищного фонда и переселению граждан из аварийного жилищного фонда с учетом необходимости развития малоэтажного жилищного строительства по целевой статье 5120000000 утверждены расходы (в</w:t>
      </w:r>
      <w:r w:rsidR="00E46634" w:rsidRPr="00A53AD7">
        <w:rPr>
          <w:rFonts w:ascii="Times New Roman" w:hAnsi="Times New Roman"/>
          <w:sz w:val="28"/>
          <w:szCs w:val="28"/>
        </w:rPr>
        <w:t xml:space="preserve"> </w:t>
      </w:r>
      <w:r w:rsidRPr="00A53AD7">
        <w:rPr>
          <w:rFonts w:ascii="Times New Roman" w:hAnsi="Times New Roman"/>
          <w:sz w:val="28"/>
          <w:szCs w:val="28"/>
        </w:rPr>
        <w:t>ред. 13.12.2019 № 189-13-ОЗ) в размере 1 817,8 млн.руб., уточненной бюджетной росписью 2 330,17 млн.руб., исполнено 343,39 млн.руб. или 14,7% от сводной бюджетной росписи.</w:t>
      </w:r>
    </w:p>
    <w:p w14:paraId="5E3DC074" w14:textId="77777777" w:rsidR="00C604E1" w:rsidRPr="00A53AD7" w:rsidRDefault="00C604E1" w:rsidP="00F96679">
      <w:pPr>
        <w:pStyle w:val="ad"/>
        <w:ind w:firstLine="851"/>
        <w:jc w:val="both"/>
        <w:rPr>
          <w:rFonts w:ascii="Times New Roman" w:hAnsi="Times New Roman"/>
          <w:sz w:val="28"/>
          <w:szCs w:val="28"/>
        </w:rPr>
      </w:pPr>
      <w:r w:rsidRPr="00A53AD7">
        <w:rPr>
          <w:rFonts w:ascii="Times New Roman" w:hAnsi="Times New Roman"/>
          <w:sz w:val="28"/>
          <w:szCs w:val="28"/>
        </w:rPr>
        <w:t>Расходы в рамках АП 2013-2018 исполнены на 23,12 млн.руб., из них:</w:t>
      </w:r>
    </w:p>
    <w:p w14:paraId="020D1D40" w14:textId="3FB0926F"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средства Фонда – 20,8 млн.руб., из них 20,5 млн.руб. направлены для выплаты выкупной цены собственникам аварийных жилых помещений МО «Город Архангельск» в рамках исполнения судебных решений, и для ГКУ АО «ГУКС» 0,3 млн.руб. направлены на мероприятия по строительству МКД, приобретение жилых помещений в МКД в рамках реали</w:t>
      </w:r>
      <w:r w:rsidR="00F96679" w:rsidRPr="00A53AD7">
        <w:rPr>
          <w:sz w:val="28"/>
          <w:szCs w:val="28"/>
        </w:rPr>
        <w:t>зации 4 и 5 этапов АП 2013-2018;</w:t>
      </w:r>
    </w:p>
    <w:p w14:paraId="4C27E46F" w14:textId="1F5EB94A"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средства областного бюджета – 2,32 млн.руб. направлены для ГКУ АО на мероприятия по строительству МКД, приобретение жилых помещений в МКД в рамках реализ</w:t>
      </w:r>
      <w:r w:rsidR="00F96679" w:rsidRPr="00A53AD7">
        <w:rPr>
          <w:sz w:val="28"/>
          <w:szCs w:val="28"/>
        </w:rPr>
        <w:t>ации 4 и 5 этапов АП 2013-2018.</w:t>
      </w:r>
    </w:p>
    <w:p w14:paraId="31735B68" w14:textId="77777777" w:rsidR="00C604E1" w:rsidRPr="00A53AD7" w:rsidRDefault="00C604E1" w:rsidP="00F96679">
      <w:pPr>
        <w:pStyle w:val="ad"/>
        <w:ind w:firstLine="851"/>
        <w:jc w:val="both"/>
        <w:rPr>
          <w:rFonts w:ascii="Times New Roman" w:hAnsi="Times New Roman"/>
          <w:sz w:val="28"/>
          <w:szCs w:val="28"/>
        </w:rPr>
      </w:pPr>
      <w:r w:rsidRPr="00A53AD7">
        <w:rPr>
          <w:rFonts w:ascii="Times New Roman" w:hAnsi="Times New Roman"/>
          <w:sz w:val="28"/>
          <w:szCs w:val="28"/>
        </w:rPr>
        <w:t>Расходы в рамках АП 2019-2015 исполнены на 320,26 млн.руб. (средства Фонда – 310,59 млн.руб., средства областного бюджета – 9,67 млн.руб.).</w:t>
      </w:r>
    </w:p>
    <w:p w14:paraId="16D3C4EC" w14:textId="77777777" w:rsidR="00F96679" w:rsidRPr="00A53AD7" w:rsidRDefault="00F96679" w:rsidP="00F96679">
      <w:pPr>
        <w:pStyle w:val="ad"/>
        <w:ind w:firstLine="851"/>
        <w:jc w:val="both"/>
        <w:rPr>
          <w:rFonts w:ascii="Times New Roman" w:hAnsi="Times New Roman"/>
          <w:sz w:val="28"/>
          <w:szCs w:val="28"/>
        </w:rPr>
      </w:pPr>
    </w:p>
    <w:p w14:paraId="31867089" w14:textId="77777777" w:rsidR="00C604E1" w:rsidRPr="00A53AD7" w:rsidRDefault="00C604E1" w:rsidP="00F96679">
      <w:pPr>
        <w:shd w:val="clear" w:color="auto" w:fill="FFFFFF"/>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b/>
          <w:sz w:val="28"/>
          <w:szCs w:val="28"/>
          <w:lang w:eastAsia="ru-RU"/>
        </w:rPr>
        <w:t>Министерство ТЭК и ЖКХ АО.</w:t>
      </w:r>
    </w:p>
    <w:p w14:paraId="0D9803C0" w14:textId="3E158BDF"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Согласно приложению №</w:t>
      </w:r>
      <w:r w:rsidR="00A83130" w:rsidRPr="00A53AD7">
        <w:rPr>
          <w:rFonts w:ascii="Times New Roman" w:hAnsi="Times New Roman"/>
          <w:sz w:val="28"/>
          <w:szCs w:val="28"/>
        </w:rPr>
        <w:t xml:space="preserve"> </w:t>
      </w:r>
      <w:r w:rsidRPr="00A53AD7">
        <w:rPr>
          <w:rFonts w:ascii="Times New Roman" w:hAnsi="Times New Roman"/>
          <w:sz w:val="28"/>
          <w:szCs w:val="28"/>
        </w:rPr>
        <w:t>12 к отчету о исполнении бюджета за 2019 год по ведомственной структуре, министерству ТЭК и ЖКХ АО на обеспечение мероприятий по переселению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бюджетом утверждены расходы в размере 174,5 млн.руб., уточненной бюджетной росписью 194,0 млн.руб., исполнено 126,4 млн.руб. или 65% от сводной бюджетной росписи.</w:t>
      </w:r>
    </w:p>
    <w:p w14:paraId="1BD49746" w14:textId="77777777"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Расходы в рамках АП 2013-2018 исполнены на 9,65 млн.руб. (средства Фонда – 8,01 млн.руб., средства областного бюджета – 1,64 млн.руб.).</w:t>
      </w:r>
    </w:p>
    <w:p w14:paraId="45BC0696" w14:textId="77777777"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Расходы в рамках АП 2019-2015 составили 116,76 млн.руб. (средства Фонда – 114,549 млн.руб., средства областного бюджета – 2,21 млн.руб.).</w:t>
      </w:r>
    </w:p>
    <w:p w14:paraId="59557E22" w14:textId="28E3A812"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Согласно оборотно-сальдовой ведомости по счету 205.64 за 2019 год по АП 2013-2018 остаток средств Фонда на 01.01.2019 года составлял 167,42 млн.руб. В течение 2019 года муниципальными образованиями возвращены остатки средств Фонда в сумме 3,78 млн.руб.</w:t>
      </w:r>
    </w:p>
    <w:p w14:paraId="3FD4CFCB" w14:textId="77777777"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Кассовые расходы за счет средств Фонда на реализацию мероприятий АП 2013-2018 за 2019 год составили 21,73, из них направлено:</w:t>
      </w:r>
    </w:p>
    <w:p w14:paraId="623478BC" w14:textId="25F70F2F"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7,20 млн.руб.</w:t>
      </w:r>
      <w:r w:rsidR="00E46634" w:rsidRPr="00A53AD7">
        <w:rPr>
          <w:sz w:val="28"/>
          <w:szCs w:val="28"/>
        </w:rPr>
        <w:t xml:space="preserve"> </w:t>
      </w:r>
      <w:r w:rsidR="00EF1B15" w:rsidRPr="00A53AD7">
        <w:rPr>
          <w:sz w:val="28"/>
          <w:szCs w:val="28"/>
        </w:rPr>
        <w:t>МО «Северодвинск»;</w:t>
      </w:r>
    </w:p>
    <w:p w14:paraId="1208A3E9" w14:textId="4AABA50D" w:rsidR="00C604E1" w:rsidRPr="00A53AD7" w:rsidRDefault="003F303D" w:rsidP="00CA1DDD">
      <w:pPr>
        <w:pStyle w:val="a8"/>
        <w:numPr>
          <w:ilvl w:val="0"/>
          <w:numId w:val="30"/>
        </w:numPr>
        <w:shd w:val="clear" w:color="auto" w:fill="FFFFFF"/>
        <w:ind w:left="0" w:firstLine="851"/>
        <w:jc w:val="both"/>
        <w:rPr>
          <w:sz w:val="28"/>
          <w:szCs w:val="28"/>
        </w:rPr>
      </w:pPr>
      <w:r w:rsidRPr="00A53AD7">
        <w:rPr>
          <w:sz w:val="28"/>
          <w:szCs w:val="28"/>
        </w:rPr>
        <w:t>0,81 млн.</w:t>
      </w:r>
      <w:r w:rsidR="00C604E1" w:rsidRPr="00A53AD7">
        <w:rPr>
          <w:sz w:val="28"/>
          <w:szCs w:val="28"/>
        </w:rPr>
        <w:t>руб. МО «</w:t>
      </w:r>
      <w:r w:rsidR="00EF1B15" w:rsidRPr="00A53AD7">
        <w:rPr>
          <w:sz w:val="28"/>
          <w:szCs w:val="28"/>
        </w:rPr>
        <w:t>Няндомский муниципальный район»;</w:t>
      </w:r>
    </w:p>
    <w:p w14:paraId="7084CC6D" w14:textId="5429EF88"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13,72 млн.руб. министерству строительства и архитектуры АО.</w:t>
      </w:r>
    </w:p>
    <w:p w14:paraId="31A366F0" w14:textId="6FDCB7A8" w:rsidR="00C604E1" w:rsidRPr="00A53AD7" w:rsidRDefault="00C604E1" w:rsidP="003F303D">
      <w:pPr>
        <w:pStyle w:val="ad"/>
        <w:ind w:firstLine="851"/>
        <w:jc w:val="both"/>
        <w:rPr>
          <w:rFonts w:ascii="Times New Roman" w:hAnsi="Times New Roman"/>
          <w:sz w:val="28"/>
          <w:szCs w:val="28"/>
        </w:rPr>
      </w:pPr>
      <w:r w:rsidRPr="00A53AD7">
        <w:rPr>
          <w:rFonts w:ascii="Times New Roman" w:hAnsi="Times New Roman"/>
          <w:sz w:val="28"/>
          <w:szCs w:val="28"/>
        </w:rPr>
        <w:t>Также в 2019 году Архангельской областью осуществлен возврат средств финансово</w:t>
      </w:r>
      <w:r w:rsidR="003F303D" w:rsidRPr="00A53AD7">
        <w:rPr>
          <w:rFonts w:ascii="Times New Roman" w:hAnsi="Times New Roman"/>
          <w:sz w:val="28"/>
          <w:szCs w:val="28"/>
        </w:rPr>
        <w:t>й поддержки Фонду в размере 10,</w:t>
      </w:r>
      <w:r w:rsidRPr="00A53AD7">
        <w:rPr>
          <w:rFonts w:ascii="Times New Roman" w:hAnsi="Times New Roman"/>
          <w:sz w:val="28"/>
          <w:szCs w:val="28"/>
        </w:rPr>
        <w:t>07 млн.руб., из них:</w:t>
      </w:r>
    </w:p>
    <w:p w14:paraId="64B0CA0B" w14:textId="1703E79E"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1,68 млн.руб. по заявке от</w:t>
      </w:r>
      <w:r w:rsidR="00EF1B15" w:rsidRPr="00A53AD7">
        <w:rPr>
          <w:sz w:val="28"/>
          <w:szCs w:val="28"/>
        </w:rPr>
        <w:t xml:space="preserve"> 27.02.2018;</w:t>
      </w:r>
    </w:p>
    <w:p w14:paraId="6D44056C" w14:textId="1796D946"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8,39 млн.руб. по заявке от 14.06.2013.</w:t>
      </w:r>
    </w:p>
    <w:p w14:paraId="659102FB" w14:textId="690BCD28"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Остаток средств Фонда на 01.01.2020 года в соответствии с оборотно-сальдовой ведомостью по счету 205.64 составляет – 139,4 млн.руб.</w:t>
      </w:r>
    </w:p>
    <w:p w14:paraId="072C560A" w14:textId="2A44C4EE"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В 2019 году для целей взаимодействия по реализации мероприятий АП 2013-2018 министерство ТЭК и ЖКХ АО заключило дополнительные соглашения с:</w:t>
      </w:r>
    </w:p>
    <w:p w14:paraId="4AED84F7" w14:textId="01214EC0" w:rsidR="00C604E1" w:rsidRPr="00A53AD7" w:rsidRDefault="006630C7" w:rsidP="006630C7">
      <w:pPr>
        <w:pStyle w:val="ad"/>
        <w:ind w:firstLine="851"/>
        <w:jc w:val="both"/>
        <w:rPr>
          <w:rFonts w:ascii="Times New Roman" w:hAnsi="Times New Roman"/>
          <w:sz w:val="28"/>
          <w:szCs w:val="28"/>
        </w:rPr>
      </w:pPr>
      <w:r w:rsidRPr="00A53AD7">
        <w:rPr>
          <w:rFonts w:ascii="Times New Roman" w:hAnsi="Times New Roman"/>
          <w:sz w:val="28"/>
          <w:szCs w:val="28"/>
        </w:rPr>
        <w:t xml:space="preserve">а) </w:t>
      </w:r>
      <w:r w:rsidR="00C604E1" w:rsidRPr="00A53AD7">
        <w:rPr>
          <w:rFonts w:ascii="Times New Roman" w:hAnsi="Times New Roman"/>
          <w:sz w:val="28"/>
          <w:szCs w:val="28"/>
        </w:rPr>
        <w:t>МО «Няндомский муниципальный район» 20.11.2019 соглашение №2 к Дополнительному соглашению №4 от 13.07.2015 года к Договору №10ФП-13 от 29.07.2013 года. Дополнительное соглашение №4 от 13.07.2015 заключено в рамках реализации мероприятий третьего этапа АП 2013-2018.</w:t>
      </w:r>
    </w:p>
    <w:p w14:paraId="1512CE93"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Согласно карточкам счета 206.51 за 2019 год 28.11.2019 года министерство ТЭК и ЖКХ АО перечислило в управление финансов администрации МО «Няндомский муниципальный район» средства финансовой поддержки в сумме 1,49 млн.руб., из них 0,81 млн.руб. – средства Фонда, 0,68 млн.руб. – средства областного бюджета, на оплату задолженности по муниципальному контракту по решению Арбитражного суда Архангельской области по делу № А05-2204/2018 от 30.04.2019 года;</w:t>
      </w:r>
    </w:p>
    <w:p w14:paraId="0D8BA4E3" w14:textId="749530CA" w:rsidR="00C604E1" w:rsidRPr="00A53AD7" w:rsidRDefault="002877EB" w:rsidP="006630C7">
      <w:pPr>
        <w:pStyle w:val="ad"/>
        <w:ind w:firstLine="851"/>
        <w:jc w:val="both"/>
        <w:rPr>
          <w:rFonts w:ascii="Times New Roman" w:hAnsi="Times New Roman"/>
          <w:sz w:val="28"/>
          <w:szCs w:val="28"/>
        </w:rPr>
      </w:pPr>
      <w:r w:rsidRPr="00A53AD7">
        <w:rPr>
          <w:rFonts w:ascii="Times New Roman" w:hAnsi="Times New Roman"/>
          <w:sz w:val="28"/>
          <w:szCs w:val="28"/>
        </w:rPr>
        <w:t>б)</w:t>
      </w:r>
      <w:r w:rsidR="00C604E1" w:rsidRPr="00A53AD7">
        <w:rPr>
          <w:rFonts w:ascii="Times New Roman" w:hAnsi="Times New Roman"/>
          <w:sz w:val="28"/>
          <w:szCs w:val="28"/>
        </w:rPr>
        <w:t xml:space="preserve"> МО «Северодвинск» 24.05.2019 соглашение №3 к Дополнительному соглашению №4 от 13.07.2015 года к Договору №17ФП-13 от 29.07.2013 года. Дополнительное соглашение №4 от 13.07.2015 заключено в рамках реализации мероприятий третьего этапа А</w:t>
      </w:r>
      <w:r w:rsidR="00C22B29" w:rsidRPr="00A53AD7">
        <w:rPr>
          <w:rFonts w:ascii="Times New Roman" w:hAnsi="Times New Roman"/>
          <w:sz w:val="28"/>
          <w:szCs w:val="28"/>
        </w:rPr>
        <w:t>П 2013-2018.</w:t>
      </w:r>
    </w:p>
    <w:p w14:paraId="414156E1"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Также 24.05.2019 заключено соглашение №4 к Дополнительному соглашению №6 от 04.07.2016 года к Договору №17ФП-13 от 29.07.2013. Дополнительное соглашение №6 от 04.07.2016 заключено в рамках реализации мероприятий четвертого этапа АП 2013-2018.</w:t>
      </w:r>
    </w:p>
    <w:p w14:paraId="02AEDB58" w14:textId="796CD07A"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Общая сумма финансовой поддержки согласно соглашениям с министерством ТЭК и ЖКХ АО за весь период для МО «Северодвинск» составила 1 733,31 млн.руб., из них за счет средств Фонда 1 320,20 млн.руб., за счет средств обл</w:t>
      </w:r>
      <w:r w:rsidR="00C22B29" w:rsidRPr="00A53AD7">
        <w:rPr>
          <w:rFonts w:ascii="Times New Roman" w:hAnsi="Times New Roman"/>
          <w:sz w:val="28"/>
          <w:szCs w:val="28"/>
        </w:rPr>
        <w:t>астного бюджета 413,11 млн.руб.</w:t>
      </w:r>
    </w:p>
    <w:p w14:paraId="09217E23"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При этом</w:t>
      </w:r>
      <w:r w:rsidRPr="00A53AD7">
        <w:rPr>
          <w:rFonts w:ascii="Times New Roman" w:hAnsi="Times New Roman"/>
          <w:sz w:val="28"/>
          <w:szCs w:val="28"/>
        </w:rPr>
        <w:tab/>
        <w:t>отмечено, что объем финансирования по соглашениям не соответствует объему финансового обеспечения, установленному в разделе VI. «Ресурсное обеспечение Программы», изменения внесены 13.02.2018 года. Объем финансирования в АП 2013-2018 для МО «Северодвинск» составляет 1 712,23 млн.руб. или на 21,08 млн.руб. меньше, чем указано в соглашениях, из них: меньше за счет средств Фонда на 18,87 млн.руб., меньше за счет средств областного бюджета на 2,21 млн.руб., тем самым министерством ТЭК и ЖКХ АО объем финансового обеспечения для переселения граждан на территории МО «Северодвинск» в рамках заключенных соглашений о долевом финансировании адресных программ не приведен в соответствии с объемом финансового обеспечения, отражённым в разделе VI «Ресурсное обеспечение Программы» АП 2013-2018».</w:t>
      </w:r>
    </w:p>
    <w:p w14:paraId="64F0BCE9"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отчетом о расходовании средств Фонда, областного бюджета на реализацию региональных адресных программ по переселению граждан из аварийного жилищного фонда на 01.01.2020 года администрации МО «Северодвинск» в 2019 году в бюджет муниципального образования поступили средства областного бюджета в размере 0,96 млн.руб., средства Фонда – 7,17 млн.руб. Кассовые расходы составили 100% от поступлений.</w:t>
      </w:r>
    </w:p>
    <w:p w14:paraId="028C3053" w14:textId="794C642F"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 xml:space="preserve">За счет субсидий выплачено денежное возмещение за изымаемые в рамках программы </w:t>
      </w:r>
      <w:r w:rsidR="006630C7" w:rsidRPr="00A53AD7">
        <w:rPr>
          <w:rFonts w:ascii="Times New Roman" w:hAnsi="Times New Roman"/>
          <w:sz w:val="28"/>
          <w:szCs w:val="28"/>
        </w:rPr>
        <w:t>переселения 11 жилых помещений.</w:t>
      </w:r>
    </w:p>
    <w:p w14:paraId="572683BE" w14:textId="26719F5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Согласно данным бухгалтерского учета (карточки счетов, представленные к проверке) за период с 2013 по 2019 годы МО «Северодвинск» на реализацию мероприятий Программы 2013-2018 получило 1 718,33 млн.руб., из них 1 306,17 млн.руб. за счет средств Фонда, 412,16 млн.руб. за с</w:t>
      </w:r>
      <w:r w:rsidR="006630C7" w:rsidRPr="00A53AD7">
        <w:rPr>
          <w:rFonts w:ascii="Times New Roman" w:hAnsi="Times New Roman"/>
          <w:sz w:val="28"/>
          <w:szCs w:val="28"/>
        </w:rPr>
        <w:t>чет средств областного бюджета.</w:t>
      </w:r>
    </w:p>
    <w:p w14:paraId="7B98F494" w14:textId="59C8489F"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На основании вышеизложенного, Министерством ТЭК и ЖКХ АО, в нарушени</w:t>
      </w:r>
      <w:r w:rsidR="0072051E" w:rsidRPr="00A53AD7">
        <w:rPr>
          <w:rFonts w:ascii="Times New Roman" w:hAnsi="Times New Roman"/>
          <w:sz w:val="28"/>
          <w:szCs w:val="28"/>
        </w:rPr>
        <w:t>е</w:t>
      </w:r>
      <w:r w:rsidRPr="00A53AD7">
        <w:rPr>
          <w:rFonts w:ascii="Times New Roman" w:hAnsi="Times New Roman"/>
          <w:sz w:val="28"/>
          <w:szCs w:val="28"/>
        </w:rPr>
        <w:t xml:space="preserve"> установленных объемов финансирования АП 2013-2018, отраженных в разделе VI «Ресурсное обеспечение Программы» и в отсутствии к тому правовых оснований, осуществлено для МО «Северодвинск» направление денежных средст</w:t>
      </w:r>
      <w:r w:rsidR="002877EB" w:rsidRPr="00A53AD7">
        <w:rPr>
          <w:rFonts w:ascii="Times New Roman" w:hAnsi="Times New Roman"/>
          <w:sz w:val="28"/>
          <w:szCs w:val="28"/>
        </w:rPr>
        <w:t>в в размере 6,</w:t>
      </w:r>
      <w:r w:rsidR="006630C7" w:rsidRPr="00A53AD7">
        <w:rPr>
          <w:rFonts w:ascii="Times New Roman" w:hAnsi="Times New Roman"/>
          <w:sz w:val="28"/>
          <w:szCs w:val="28"/>
        </w:rPr>
        <w:t>10 млн.руб. (4,</w:t>
      </w:r>
      <w:r w:rsidRPr="00A53AD7">
        <w:rPr>
          <w:rFonts w:ascii="Times New Roman" w:hAnsi="Times New Roman"/>
          <w:sz w:val="28"/>
          <w:szCs w:val="28"/>
        </w:rPr>
        <w:t>84 млн.руб.- средства Фонда, 1 262,46 млн.руб.</w:t>
      </w:r>
      <w:r w:rsidR="006630C7" w:rsidRPr="00A53AD7">
        <w:rPr>
          <w:rFonts w:ascii="Times New Roman" w:hAnsi="Times New Roman"/>
          <w:sz w:val="28"/>
          <w:szCs w:val="28"/>
        </w:rPr>
        <w:t xml:space="preserve"> – средств областного бюджета).</w:t>
      </w:r>
    </w:p>
    <w:p w14:paraId="35EBB978"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По состоянию на 01.01.2020 года согласно годового отчета по Архангельской области расселены 6307 аварийных помещений площадью 264 770,03 кв.м, стоимость расселения составила – 9 756,46 млн.руб. Постановлением Правительства АО от 16.04.2019 года АП 2013-2018 приведена в соответствие с достигнутыми показателями.</w:t>
      </w:r>
    </w:p>
    <w:p w14:paraId="2F36F30E" w14:textId="77777777" w:rsidR="00C604E1" w:rsidRPr="00A53AD7" w:rsidRDefault="00C604E1" w:rsidP="006630C7">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реестром о наличии непредвиденных обстоятельств на 01.01.2020 остаются не расселенными 176 помещений, признанных аварийными площадью 5 725,59 кв.м. по муниципальным образованиям:</w:t>
      </w:r>
    </w:p>
    <w:p w14:paraId="6A173E58" w14:textId="610516A8"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«Город Архангельск» - 104 по</w:t>
      </w:r>
      <w:r w:rsidR="00111A95" w:rsidRPr="00A53AD7">
        <w:rPr>
          <w:sz w:val="28"/>
          <w:szCs w:val="28"/>
        </w:rPr>
        <w:t>мещения площадью 3 371,72 кв.м;</w:t>
      </w:r>
    </w:p>
    <w:p w14:paraId="18BFA324" w14:textId="1B9B682C"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«Плосское» – 3</w:t>
      </w:r>
      <w:r w:rsidR="00111A95" w:rsidRPr="00A53AD7">
        <w:rPr>
          <w:sz w:val="28"/>
          <w:szCs w:val="28"/>
        </w:rPr>
        <w:t xml:space="preserve"> помещений площадью 136,3 кв.м;</w:t>
      </w:r>
    </w:p>
    <w:p w14:paraId="0AE26882" w14:textId="53E92FAB"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 xml:space="preserve">МО «Шалакушское» – </w:t>
      </w:r>
      <w:r w:rsidR="00111A95" w:rsidRPr="00A53AD7">
        <w:rPr>
          <w:sz w:val="28"/>
          <w:szCs w:val="28"/>
        </w:rPr>
        <w:t>1 помещение площадью 39,9 кв.м;</w:t>
      </w:r>
    </w:p>
    <w:p w14:paraId="2AD00132" w14:textId="4C432480"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«Онежское» -</w:t>
      </w:r>
      <w:r w:rsidR="00E46634" w:rsidRPr="00A53AD7">
        <w:rPr>
          <w:sz w:val="28"/>
          <w:szCs w:val="28"/>
        </w:rPr>
        <w:t xml:space="preserve"> </w:t>
      </w:r>
      <w:r w:rsidRPr="00A53AD7">
        <w:rPr>
          <w:sz w:val="28"/>
          <w:szCs w:val="28"/>
        </w:rPr>
        <w:t>7</w:t>
      </w:r>
      <w:r w:rsidR="00111A95" w:rsidRPr="00A53AD7">
        <w:rPr>
          <w:sz w:val="28"/>
          <w:szCs w:val="28"/>
        </w:rPr>
        <w:t xml:space="preserve"> помещений площадью 223,3 кв.м;</w:t>
      </w:r>
    </w:p>
    <w:p w14:paraId="08CA96F6" w14:textId="051588D5"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«Северодвинск» - 59</w:t>
      </w:r>
      <w:r w:rsidR="00111A95" w:rsidRPr="00A53AD7">
        <w:rPr>
          <w:sz w:val="28"/>
          <w:szCs w:val="28"/>
        </w:rPr>
        <w:t xml:space="preserve"> помещений площадью 1 874 кв.м;</w:t>
      </w:r>
    </w:p>
    <w:p w14:paraId="5F0E0CE5" w14:textId="18445A4D"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«Оксовское» -</w:t>
      </w:r>
      <w:r w:rsidR="00E46634" w:rsidRPr="00A53AD7">
        <w:rPr>
          <w:sz w:val="28"/>
          <w:szCs w:val="28"/>
        </w:rPr>
        <w:t xml:space="preserve"> </w:t>
      </w:r>
      <w:r w:rsidR="00111A95" w:rsidRPr="00A53AD7">
        <w:rPr>
          <w:sz w:val="28"/>
          <w:szCs w:val="28"/>
        </w:rPr>
        <w:t>1 помещение площадью 41,0 кв.м;</w:t>
      </w:r>
    </w:p>
    <w:p w14:paraId="39118981" w14:textId="111A16FE" w:rsidR="00C604E1" w:rsidRPr="00A53AD7" w:rsidRDefault="00C604E1" w:rsidP="00CA1DDD">
      <w:pPr>
        <w:pStyle w:val="a8"/>
        <w:numPr>
          <w:ilvl w:val="0"/>
          <w:numId w:val="30"/>
        </w:numPr>
        <w:shd w:val="clear" w:color="auto" w:fill="FFFFFF"/>
        <w:ind w:left="0" w:firstLine="851"/>
        <w:jc w:val="both"/>
        <w:rPr>
          <w:sz w:val="28"/>
          <w:szCs w:val="28"/>
        </w:rPr>
      </w:pPr>
      <w:r w:rsidRPr="00A53AD7">
        <w:rPr>
          <w:sz w:val="28"/>
          <w:szCs w:val="28"/>
        </w:rPr>
        <w:t>МО «Покровское» - 1</w:t>
      </w:r>
      <w:r w:rsidR="00D925B9" w:rsidRPr="00A53AD7">
        <w:rPr>
          <w:sz w:val="28"/>
          <w:szCs w:val="28"/>
        </w:rPr>
        <w:t xml:space="preserve"> </w:t>
      </w:r>
      <w:r w:rsidRPr="00A53AD7">
        <w:rPr>
          <w:sz w:val="28"/>
          <w:szCs w:val="28"/>
        </w:rPr>
        <w:t>помещение площадью 39,2 кв.м.</w:t>
      </w:r>
    </w:p>
    <w:p w14:paraId="70D4EB4F" w14:textId="49170744" w:rsidR="00C604E1" w:rsidRPr="00A53AD7" w:rsidRDefault="00D470B6" w:rsidP="002877EB">
      <w:pPr>
        <w:pStyle w:val="ad"/>
        <w:ind w:firstLine="851"/>
        <w:jc w:val="both"/>
        <w:rPr>
          <w:rFonts w:ascii="Times New Roman" w:hAnsi="Times New Roman"/>
          <w:sz w:val="28"/>
          <w:szCs w:val="28"/>
        </w:rPr>
      </w:pPr>
      <w:hyperlink r:id="rId93" w:history="1">
        <w:r w:rsidR="00C604E1" w:rsidRPr="00A53AD7">
          <w:rPr>
            <w:rFonts w:ascii="Times New Roman" w:hAnsi="Times New Roman"/>
            <w:sz w:val="28"/>
            <w:szCs w:val="28"/>
          </w:rPr>
          <w:t>Частью 11 статьи 16</w:t>
        </w:r>
      </w:hyperlink>
      <w:r w:rsidR="00C604E1" w:rsidRPr="00A53AD7">
        <w:rPr>
          <w:rFonts w:ascii="Times New Roman" w:hAnsi="Times New Roman"/>
          <w:sz w:val="28"/>
          <w:szCs w:val="28"/>
        </w:rPr>
        <w:t xml:space="preserve"> закона №</w:t>
      </w:r>
      <w:r w:rsidR="00C22B29" w:rsidRPr="00A53AD7">
        <w:rPr>
          <w:rFonts w:ascii="Times New Roman" w:hAnsi="Times New Roman"/>
          <w:sz w:val="28"/>
          <w:szCs w:val="28"/>
        </w:rPr>
        <w:t xml:space="preserve"> </w:t>
      </w:r>
      <w:r w:rsidR="00C604E1" w:rsidRPr="00A53AD7">
        <w:rPr>
          <w:rFonts w:ascii="Times New Roman" w:hAnsi="Times New Roman"/>
          <w:sz w:val="28"/>
          <w:szCs w:val="28"/>
        </w:rPr>
        <w:t>185-ФЗ установлены сроки реализации региональных адресных программ. Срок завершения переселения граждан в рамках реализации пятого этапа АП 2013</w:t>
      </w:r>
      <w:r w:rsidR="00C22B29" w:rsidRPr="00A53AD7">
        <w:rPr>
          <w:rFonts w:ascii="Times New Roman" w:hAnsi="Times New Roman"/>
          <w:sz w:val="28"/>
          <w:szCs w:val="28"/>
        </w:rPr>
        <w:t xml:space="preserve"> – </w:t>
      </w:r>
      <w:r w:rsidR="00C604E1" w:rsidRPr="00A53AD7">
        <w:rPr>
          <w:rFonts w:ascii="Times New Roman" w:hAnsi="Times New Roman"/>
          <w:sz w:val="28"/>
          <w:szCs w:val="28"/>
        </w:rPr>
        <w:t>2018 не позднее 31.12.2018. Поскольку по завершению установленного законом срока АП 2013-2018 не завершена, реализация пятого этапа продолжалась также в отчетном периоде министерством ТЭК и ЖКХ АО, как главным распорядителем бюджетных средств, в соответствии с подпунктом 1 пункта 1 статьи 158 БК РФ, не обеспечена результативность использования бюджетных средств на указанные цели.</w:t>
      </w:r>
    </w:p>
    <w:p w14:paraId="25226702" w14:textId="03C18EA6" w:rsidR="006F68B1" w:rsidRPr="00A53AD7" w:rsidRDefault="00210DE5" w:rsidP="006F68B1">
      <w:pPr>
        <w:pStyle w:val="2"/>
        <w:spacing w:line="240" w:lineRule="auto"/>
        <w:jc w:val="center"/>
        <w:rPr>
          <w:rFonts w:ascii="Times New Roman" w:hAnsi="Times New Roman"/>
          <w:lang w:val="ru-RU"/>
        </w:rPr>
      </w:pPr>
      <w:bookmarkStart w:id="100" w:name="_Toc42006742"/>
      <w:r w:rsidRPr="00A53AD7">
        <w:rPr>
          <w:rFonts w:ascii="Times New Roman" w:hAnsi="Times New Roman"/>
          <w:lang w:val="ru-RU"/>
        </w:rPr>
        <w:t>4</w:t>
      </w:r>
      <w:r w:rsidR="006F68B1" w:rsidRPr="00A53AD7">
        <w:rPr>
          <w:rFonts w:ascii="Times New Roman" w:hAnsi="Times New Roman"/>
          <w:lang w:val="ru-RU"/>
        </w:rPr>
        <w:t>.</w:t>
      </w:r>
      <w:r w:rsidRPr="00A53AD7">
        <w:rPr>
          <w:rFonts w:ascii="Times New Roman" w:hAnsi="Times New Roman"/>
          <w:lang w:val="ru-RU"/>
        </w:rPr>
        <w:t>3</w:t>
      </w:r>
      <w:r w:rsidR="006F68B1" w:rsidRPr="00A53AD7">
        <w:rPr>
          <w:rFonts w:ascii="Times New Roman" w:hAnsi="Times New Roman"/>
          <w:lang w:val="ru-RU"/>
        </w:rPr>
        <w:t>. Расходы областного бюджета за счет средств резервного фонда Правительства Архангельской области</w:t>
      </w:r>
      <w:bookmarkEnd w:id="100"/>
    </w:p>
    <w:p w14:paraId="17D012E2" w14:textId="77777777" w:rsidR="00125FAC" w:rsidRPr="00A53AD7" w:rsidRDefault="00125FAC" w:rsidP="00125FAC">
      <w:pPr>
        <w:pStyle w:val="a8"/>
        <w:ind w:left="0" w:firstLine="851"/>
        <w:jc w:val="both"/>
        <w:rPr>
          <w:rFonts w:eastAsia="Calibri"/>
          <w:iCs/>
          <w:sz w:val="28"/>
          <w:szCs w:val="28"/>
        </w:rPr>
      </w:pPr>
      <w:r w:rsidRPr="00A53AD7">
        <w:rPr>
          <w:rFonts w:eastAsia="Calibri"/>
          <w:sz w:val="28"/>
          <w:szCs w:val="28"/>
        </w:rPr>
        <w:t xml:space="preserve">В соответствии со ст. 81 БК РФ объем резервного фонда Правительства Архангельской области для финансового обеспечения непредвиденных расходов на 2019 год утвержден п. 1 ст. 15 закона </w:t>
      </w:r>
      <w:r w:rsidRPr="00A53AD7">
        <w:rPr>
          <w:rFonts w:eastAsia="Calibri"/>
          <w:iCs/>
          <w:sz w:val="28"/>
          <w:szCs w:val="28"/>
        </w:rPr>
        <w:t>«Об областном бюджете» (в ред. от 17.12.2018) в сумме 253,4 млн.руб.</w:t>
      </w:r>
    </w:p>
    <w:p w14:paraId="2471185B" w14:textId="7689B96C" w:rsidR="00125FAC" w:rsidRPr="00A53AD7" w:rsidRDefault="00125FAC" w:rsidP="00125FAC">
      <w:pPr>
        <w:pStyle w:val="a8"/>
        <w:ind w:left="0" w:firstLine="851"/>
        <w:jc w:val="both"/>
        <w:rPr>
          <w:rFonts w:eastAsia="Calibri"/>
          <w:sz w:val="28"/>
          <w:szCs w:val="28"/>
        </w:rPr>
      </w:pPr>
      <w:r w:rsidRPr="00A53AD7">
        <w:rPr>
          <w:rFonts w:eastAsia="Calibri"/>
          <w:sz w:val="28"/>
          <w:szCs w:val="28"/>
        </w:rPr>
        <w:t>В течение года объем резервного фонда увелич</w:t>
      </w:r>
      <w:r w:rsidR="00960516" w:rsidRPr="00A53AD7">
        <w:rPr>
          <w:rFonts w:eastAsia="Calibri"/>
          <w:sz w:val="28"/>
          <w:szCs w:val="28"/>
        </w:rPr>
        <w:t>ен</w:t>
      </w:r>
      <w:r w:rsidRPr="00A53AD7">
        <w:rPr>
          <w:rFonts w:eastAsia="Calibri"/>
          <w:sz w:val="28"/>
          <w:szCs w:val="28"/>
        </w:rPr>
        <w:t xml:space="preserve"> на 36,7 млн.руб.</w:t>
      </w:r>
      <w:r w:rsidR="00960516" w:rsidRPr="00A53AD7">
        <w:rPr>
          <w:rFonts w:eastAsia="Calibri"/>
          <w:sz w:val="28"/>
          <w:szCs w:val="28"/>
        </w:rPr>
        <w:t>, в том числе</w:t>
      </w:r>
      <w:r w:rsidRPr="00A53AD7">
        <w:rPr>
          <w:rFonts w:eastAsia="Calibri"/>
          <w:sz w:val="28"/>
          <w:szCs w:val="28"/>
        </w:rPr>
        <w:t xml:space="preserve"> областным законом от 25.09.2019 № 125-10-ОЗ </w:t>
      </w:r>
      <w:r w:rsidR="00960516" w:rsidRPr="00A53AD7">
        <w:rPr>
          <w:rFonts w:eastAsia="Calibri"/>
          <w:sz w:val="28"/>
          <w:szCs w:val="28"/>
        </w:rPr>
        <w:t xml:space="preserve">на </w:t>
      </w:r>
      <w:r w:rsidRPr="00A53AD7">
        <w:rPr>
          <w:rFonts w:eastAsia="Calibri"/>
          <w:sz w:val="28"/>
          <w:szCs w:val="28"/>
        </w:rPr>
        <w:t xml:space="preserve">20,0 млн.руб.) и областным законом от 19.11.2019 № 177-12-ОЗ </w:t>
      </w:r>
      <w:r w:rsidR="00960516" w:rsidRPr="00A53AD7">
        <w:rPr>
          <w:rFonts w:eastAsia="Calibri"/>
          <w:sz w:val="28"/>
          <w:szCs w:val="28"/>
        </w:rPr>
        <w:t xml:space="preserve">на </w:t>
      </w:r>
      <w:r w:rsidRPr="00A53AD7">
        <w:rPr>
          <w:rFonts w:eastAsia="Calibri"/>
          <w:sz w:val="28"/>
          <w:szCs w:val="28"/>
        </w:rPr>
        <w:t>16,7 млн.руб.</w:t>
      </w:r>
    </w:p>
    <w:p w14:paraId="21C03400" w14:textId="77777777" w:rsidR="00125FAC" w:rsidRPr="00A53AD7" w:rsidRDefault="00125FAC" w:rsidP="00125FAC">
      <w:pPr>
        <w:pStyle w:val="a8"/>
        <w:ind w:left="0" w:firstLine="851"/>
        <w:jc w:val="both"/>
        <w:rPr>
          <w:rFonts w:eastAsia="Calibri"/>
          <w:sz w:val="28"/>
          <w:szCs w:val="28"/>
        </w:rPr>
      </w:pPr>
      <w:r w:rsidRPr="00A53AD7">
        <w:rPr>
          <w:rFonts w:eastAsia="Calibri"/>
          <w:sz w:val="28"/>
          <w:szCs w:val="28"/>
        </w:rPr>
        <w:t>В соответствии с постановлением министерства финансов Архангельской области от 25.05.2016 № 6-пф «Об утверждении указаний о порядке применения целевых статей классификации расходов областного бюджета и бюджета территориального фонда обязательного медицинского страхования» по целевой статье 6700071400 планируются ассигнования областного бюджета и осуществляется расходование средств резервного фонда Правительства Архангельской области.</w:t>
      </w:r>
    </w:p>
    <w:p w14:paraId="6597AEC7" w14:textId="77777777" w:rsidR="00125FAC" w:rsidRPr="00A53AD7" w:rsidRDefault="00125FAC" w:rsidP="00125FAC">
      <w:pPr>
        <w:pStyle w:val="a8"/>
        <w:ind w:left="0" w:firstLine="851"/>
        <w:jc w:val="both"/>
        <w:rPr>
          <w:rFonts w:eastAsia="Calibri"/>
          <w:sz w:val="28"/>
          <w:szCs w:val="28"/>
        </w:rPr>
      </w:pPr>
      <w:r w:rsidRPr="00A53AD7">
        <w:rPr>
          <w:rFonts w:eastAsia="Calibri"/>
          <w:sz w:val="28"/>
          <w:szCs w:val="28"/>
        </w:rPr>
        <w:t>Сводной бюджетной росписью и кассовым планом по расходам на 2019 год резервный фронд Правительства Архангельской области утвержден в сумме 253,4 млн.руб., что соответствует ст. 15 закона «Об областном бюджете».</w:t>
      </w:r>
    </w:p>
    <w:p w14:paraId="0718ECC7" w14:textId="3E3B3C5E" w:rsidR="00125FAC" w:rsidRPr="00A53AD7" w:rsidRDefault="00125FAC" w:rsidP="00125FAC">
      <w:pPr>
        <w:pStyle w:val="a8"/>
        <w:ind w:left="0" w:firstLine="851"/>
        <w:jc w:val="both"/>
        <w:rPr>
          <w:rFonts w:eastAsia="Calibri"/>
          <w:sz w:val="28"/>
          <w:szCs w:val="28"/>
        </w:rPr>
      </w:pPr>
      <w:r w:rsidRPr="00A53AD7">
        <w:rPr>
          <w:rFonts w:eastAsia="Calibri"/>
          <w:sz w:val="28"/>
          <w:szCs w:val="28"/>
        </w:rPr>
        <w:t>Распределено средств резервного фонда Правительства Архангельской области, согласно уточненной сводной бюджетной росписи на 2019 год, по главным распорядителям областного бюджета 250,8 млн.руб., нераспределенный остаток 2,5 млн.руб. (глава 090, вид расходов 870</w:t>
      </w:r>
      <w:r w:rsidR="009D554A" w:rsidRPr="00A53AD7">
        <w:rPr>
          <w:rFonts w:eastAsia="Calibri"/>
          <w:sz w:val="28"/>
          <w:szCs w:val="28"/>
        </w:rPr>
        <w:t>)</w:t>
      </w:r>
      <w:r w:rsidRPr="00A53AD7">
        <w:rPr>
          <w:rFonts w:eastAsia="Calibri"/>
          <w:sz w:val="28"/>
          <w:szCs w:val="28"/>
        </w:rPr>
        <w:t>.</w:t>
      </w:r>
    </w:p>
    <w:p w14:paraId="624031A8" w14:textId="77777777" w:rsidR="00125FAC" w:rsidRPr="00A53AD7" w:rsidRDefault="00125FAC" w:rsidP="00125FAC">
      <w:pPr>
        <w:pStyle w:val="a8"/>
        <w:ind w:left="0" w:firstLine="851"/>
        <w:jc w:val="both"/>
        <w:rPr>
          <w:rFonts w:eastAsia="Calibri"/>
          <w:sz w:val="28"/>
          <w:szCs w:val="28"/>
        </w:rPr>
      </w:pPr>
      <w:r w:rsidRPr="00A53AD7">
        <w:rPr>
          <w:rFonts w:eastAsia="Calibri"/>
          <w:iCs/>
          <w:sz w:val="28"/>
          <w:szCs w:val="28"/>
        </w:rPr>
        <w:t xml:space="preserve">Согласно, отчету об исполнении областного бюджета за 2019 год по ведомственной структуре, кассовые расходы за счет средств резервного фонда составили </w:t>
      </w:r>
      <w:r w:rsidRPr="00A53AD7">
        <w:rPr>
          <w:rFonts w:eastAsia="Calibri"/>
          <w:sz w:val="28"/>
          <w:szCs w:val="28"/>
        </w:rPr>
        <w:t>244,5 млн.руб. или 97,5 % к параметрам, утвержденным законом «Об областном бюджете» и уточненной сводной бюджетной росписи.</w:t>
      </w:r>
    </w:p>
    <w:p w14:paraId="53BDF00B" w14:textId="0D8329A1" w:rsidR="00125FAC" w:rsidRPr="00A53AD7" w:rsidRDefault="00125FAC" w:rsidP="00125FAC">
      <w:pPr>
        <w:spacing w:after="0" w:line="240" w:lineRule="auto"/>
        <w:ind w:firstLine="851"/>
        <w:contextualSpacing/>
        <w:jc w:val="both"/>
        <w:rPr>
          <w:rFonts w:ascii="Times New Roman" w:hAnsi="Times New Roman"/>
          <w:sz w:val="28"/>
          <w:szCs w:val="28"/>
          <w:lang w:val="x-none" w:eastAsia="x-none"/>
        </w:rPr>
      </w:pPr>
      <w:r w:rsidRPr="00A53AD7">
        <w:rPr>
          <w:rFonts w:ascii="Times New Roman" w:hAnsi="Times New Roman"/>
          <w:sz w:val="28"/>
          <w:szCs w:val="28"/>
          <w:lang w:val="x-none" w:eastAsia="x-none"/>
        </w:rPr>
        <w:t>В целом за 201</w:t>
      </w:r>
      <w:r w:rsidRPr="00A53AD7">
        <w:rPr>
          <w:rFonts w:ascii="Times New Roman" w:hAnsi="Times New Roman"/>
          <w:sz w:val="28"/>
          <w:szCs w:val="28"/>
          <w:lang w:eastAsia="x-none"/>
        </w:rPr>
        <w:t>9</w:t>
      </w:r>
      <w:r w:rsidRPr="00A53AD7">
        <w:rPr>
          <w:rFonts w:ascii="Times New Roman" w:hAnsi="Times New Roman"/>
          <w:sz w:val="28"/>
          <w:szCs w:val="28"/>
          <w:lang w:val="x-none" w:eastAsia="x-none"/>
        </w:rPr>
        <w:t xml:space="preserve"> год </w:t>
      </w:r>
      <w:r w:rsidRPr="00A53AD7">
        <w:rPr>
          <w:rFonts w:ascii="Times New Roman" w:hAnsi="Times New Roman"/>
          <w:sz w:val="28"/>
          <w:szCs w:val="28"/>
          <w:lang w:eastAsia="x-none"/>
        </w:rPr>
        <w:t xml:space="preserve">расходование </w:t>
      </w:r>
      <w:r w:rsidRPr="00A53AD7">
        <w:rPr>
          <w:rFonts w:ascii="Times New Roman" w:hAnsi="Times New Roman"/>
          <w:sz w:val="28"/>
          <w:szCs w:val="28"/>
          <w:lang w:val="x-none" w:eastAsia="x-none"/>
        </w:rPr>
        <w:t xml:space="preserve">средства резервного фонда </w:t>
      </w:r>
      <w:r w:rsidRPr="00A53AD7">
        <w:rPr>
          <w:rFonts w:ascii="Times New Roman" w:hAnsi="Times New Roman"/>
          <w:sz w:val="28"/>
          <w:szCs w:val="28"/>
          <w:lang w:eastAsia="x-none"/>
        </w:rPr>
        <w:t>Правительства Архангельской области характеризуются следующими показателями (рисунок</w:t>
      </w:r>
      <w:r w:rsidR="003227FA" w:rsidRPr="00A53AD7">
        <w:rPr>
          <w:rFonts w:ascii="Times New Roman" w:hAnsi="Times New Roman"/>
          <w:sz w:val="28"/>
          <w:szCs w:val="28"/>
          <w:lang w:eastAsia="x-none"/>
        </w:rPr>
        <w:t xml:space="preserve"> </w:t>
      </w:r>
      <w:r w:rsidR="00527383" w:rsidRPr="00A53AD7">
        <w:rPr>
          <w:rFonts w:ascii="Times New Roman" w:hAnsi="Times New Roman"/>
          <w:sz w:val="28"/>
          <w:szCs w:val="28"/>
          <w:lang w:eastAsia="x-none"/>
        </w:rPr>
        <w:t>52</w:t>
      </w:r>
      <w:r w:rsidRPr="00A53AD7">
        <w:rPr>
          <w:rFonts w:ascii="Times New Roman" w:hAnsi="Times New Roman"/>
          <w:sz w:val="28"/>
          <w:szCs w:val="28"/>
          <w:lang w:eastAsia="x-none"/>
        </w:rPr>
        <w:t>)</w:t>
      </w:r>
      <w:r w:rsidRPr="00A53AD7">
        <w:rPr>
          <w:rFonts w:ascii="Times New Roman" w:hAnsi="Times New Roman"/>
          <w:sz w:val="28"/>
          <w:szCs w:val="28"/>
          <w:lang w:val="x-none" w:eastAsia="x-none"/>
        </w:rPr>
        <w:t>:</w:t>
      </w:r>
    </w:p>
    <w:p w14:paraId="211810DB" w14:textId="04D29D80" w:rsidR="00125FAC" w:rsidRPr="00A53AD7" w:rsidRDefault="00715C99" w:rsidP="00715C99">
      <w:pPr>
        <w:spacing w:after="0" w:line="240" w:lineRule="auto"/>
        <w:contextualSpacing/>
        <w:jc w:val="center"/>
        <w:rPr>
          <w:rFonts w:ascii="Times New Roman" w:hAnsi="Times New Roman"/>
          <w:sz w:val="28"/>
          <w:szCs w:val="28"/>
          <w:lang w:val="en-US" w:eastAsia="x-none"/>
        </w:rPr>
      </w:pPr>
      <w:r w:rsidRPr="00A53AD7">
        <w:rPr>
          <w:rFonts w:ascii="Times New Roman" w:hAnsi="Times New Roman"/>
          <w:noProof/>
          <w:sz w:val="28"/>
          <w:szCs w:val="28"/>
          <w:lang w:eastAsia="ru-RU"/>
        </w:rPr>
        <w:drawing>
          <wp:inline distT="0" distB="0" distL="0" distR="0" wp14:anchorId="2DBE0573" wp14:editId="6949F617">
            <wp:extent cx="5825490" cy="1898073"/>
            <wp:effectExtent l="0" t="0" r="381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71925" cy="1913202"/>
                    </a:xfrm>
                    <a:prstGeom prst="rect">
                      <a:avLst/>
                    </a:prstGeom>
                    <a:noFill/>
                  </pic:spPr>
                </pic:pic>
              </a:graphicData>
            </a:graphic>
          </wp:inline>
        </w:drawing>
      </w:r>
    </w:p>
    <w:p w14:paraId="22D72340" w14:textId="25FCA02A" w:rsidR="00125FAC" w:rsidRPr="00A53AD7" w:rsidRDefault="00715C99" w:rsidP="00715C99">
      <w:pPr>
        <w:pStyle w:val="aff0"/>
        <w:spacing w:after="0" w:line="240" w:lineRule="auto"/>
        <w:rPr>
          <w:rFonts w:ascii="Times New Roman" w:hAnsi="Times New Roman"/>
          <w:b w:val="0"/>
          <w:sz w:val="24"/>
          <w:szCs w:val="24"/>
          <w:lang w:val="x-none" w:eastAsia="x-none"/>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52</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125FAC" w:rsidRPr="00A53AD7">
        <w:rPr>
          <w:rFonts w:ascii="Times New Roman" w:hAnsi="Times New Roman"/>
          <w:b w:val="0"/>
          <w:sz w:val="24"/>
          <w:szCs w:val="24"/>
          <w:lang w:eastAsia="x-none"/>
        </w:rPr>
        <w:t>Структура использования средств резервного фонда Правительства Архангельской области в 2018 – 2019 годах, млн.руб.</w:t>
      </w:r>
    </w:p>
    <w:p w14:paraId="0F12B78A" w14:textId="77777777" w:rsidR="00296310" w:rsidRPr="00A53AD7" w:rsidRDefault="00296310" w:rsidP="00296310">
      <w:pPr>
        <w:spacing w:after="0" w:line="240" w:lineRule="auto"/>
        <w:ind w:firstLine="851"/>
        <w:contextualSpacing/>
        <w:jc w:val="both"/>
        <w:rPr>
          <w:rFonts w:ascii="Times New Roman" w:hAnsi="Times New Roman"/>
          <w:sz w:val="28"/>
          <w:szCs w:val="28"/>
          <w:lang w:val="x-none" w:eastAsia="x-none"/>
        </w:rPr>
      </w:pPr>
    </w:p>
    <w:p w14:paraId="32701A87" w14:textId="13AC2353" w:rsidR="00125FAC" w:rsidRPr="00A53AD7" w:rsidRDefault="00296310" w:rsidP="00296310">
      <w:pPr>
        <w:spacing w:after="0" w:line="240" w:lineRule="auto"/>
        <w:ind w:firstLine="851"/>
        <w:contextualSpacing/>
        <w:jc w:val="both"/>
        <w:rPr>
          <w:rFonts w:ascii="Times New Roman" w:hAnsi="Times New Roman"/>
          <w:sz w:val="28"/>
          <w:szCs w:val="28"/>
          <w:lang w:val="x-none" w:eastAsia="x-none"/>
        </w:rPr>
      </w:pPr>
      <w:r w:rsidRPr="00A53AD7">
        <w:rPr>
          <w:rFonts w:ascii="Times New Roman" w:hAnsi="Times New Roman"/>
          <w:sz w:val="28"/>
          <w:szCs w:val="28"/>
          <w:lang w:eastAsia="x-none"/>
        </w:rPr>
        <w:t>С</w:t>
      </w:r>
      <w:r w:rsidR="00125FAC" w:rsidRPr="00A53AD7">
        <w:rPr>
          <w:rFonts w:ascii="Times New Roman" w:hAnsi="Times New Roman"/>
          <w:sz w:val="28"/>
          <w:szCs w:val="28"/>
          <w:lang w:eastAsia="x-none"/>
        </w:rPr>
        <w:t>убсидии</w:t>
      </w:r>
      <w:r w:rsidR="00125FAC" w:rsidRPr="00A53AD7">
        <w:rPr>
          <w:rFonts w:ascii="Times New Roman" w:hAnsi="Times New Roman"/>
          <w:sz w:val="28"/>
          <w:szCs w:val="28"/>
          <w:lang w:val="x-none" w:eastAsia="x-none"/>
        </w:rPr>
        <w:t xml:space="preserve"> государственным бюджетным и автономным учреждениям – 62,9 млн.руб. и выполнены на 97,1 %, удельный – 25,7 %. Наибольший объем средств 6,5 млн.руб. за счет средств резервного фонда предоставлен ГАУ АО «Региональный центр спортивной подготовки «Водник», из них 6,3 млн.руб. на устройство спортивного паркета в универсальном зале центра развития спорта «Норд Арена»</w:t>
      </w:r>
      <w:r w:rsidRPr="00A53AD7">
        <w:rPr>
          <w:rFonts w:ascii="Times New Roman" w:hAnsi="Times New Roman"/>
          <w:sz w:val="28"/>
          <w:szCs w:val="28"/>
          <w:lang w:eastAsia="x-none"/>
        </w:rPr>
        <w:t xml:space="preserve"> (г. Архангельск)</w:t>
      </w:r>
      <w:r w:rsidR="00125FAC" w:rsidRPr="00A53AD7">
        <w:rPr>
          <w:rFonts w:ascii="Times New Roman" w:hAnsi="Times New Roman"/>
          <w:sz w:val="28"/>
          <w:szCs w:val="28"/>
          <w:lang w:val="x-none" w:eastAsia="x-none"/>
        </w:rPr>
        <w:t>, 5,4 млн.руб. для ГБПОУ АО «Архангельский музыкальный колледж» на приобретение оборудования для улучшения акустики Большого концертного зала и 4,7 млн.руб. для ГБОУДО АО «Дворец детского и юношеского творчества» на ремонт витражной части кровли здания и системы противопожарной защиты. В 2018 году на данные цели направлено 83,5 млн.руб. (40,9%)</w:t>
      </w:r>
      <w:r w:rsidR="00C54138" w:rsidRPr="00A53AD7">
        <w:rPr>
          <w:rFonts w:ascii="Times New Roman" w:hAnsi="Times New Roman"/>
          <w:sz w:val="28"/>
          <w:szCs w:val="28"/>
          <w:lang w:val="x-none" w:eastAsia="x-none"/>
        </w:rPr>
        <w:t>.</w:t>
      </w:r>
    </w:p>
    <w:p w14:paraId="11B68370" w14:textId="73AE4980" w:rsidR="00125FAC" w:rsidRPr="00A53AD7" w:rsidRDefault="00C54138" w:rsidP="00C54138">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Р</w:t>
      </w:r>
      <w:r w:rsidR="00125FAC" w:rsidRPr="00A53AD7">
        <w:rPr>
          <w:rFonts w:ascii="Times New Roman" w:hAnsi="Times New Roman"/>
          <w:sz w:val="28"/>
          <w:szCs w:val="28"/>
          <w:lang w:eastAsia="x-none"/>
        </w:rPr>
        <w:t>асходы главных распорядителей и казенных учреждений – 14,6 млн.руб., выполнение составило 79,3%, удельный вес 6,0%. Наибольший объем средств резервного фонда 3,9 млн.руб. выделен министерству природных ресурсов и лесопромышленного комплекса Архангельской области выплаты вознаграждений за добычу волка на территории Архангельской области и 3,8 млн.руб. министерству транспорта Архангельской области для организации перевозки организованных групп людей внутренним водным транспортом в период осеннего ледостава на межмуниципальном маршруте «Хабарка – Выселки». В 2018 году непосредственно главным распорядителям выделено 11,8 млн.руб., что составляет 5,8 % всех расходов за счет средств резервного фонда</w:t>
      </w:r>
      <w:r w:rsidR="003E4F61" w:rsidRPr="00A53AD7">
        <w:rPr>
          <w:rFonts w:ascii="Times New Roman" w:hAnsi="Times New Roman"/>
          <w:sz w:val="28"/>
          <w:szCs w:val="28"/>
          <w:lang w:eastAsia="x-none"/>
        </w:rPr>
        <w:t>.</w:t>
      </w:r>
    </w:p>
    <w:p w14:paraId="21DD23B9" w14:textId="36A9478B" w:rsidR="00125FAC" w:rsidRPr="00A53AD7" w:rsidRDefault="003E4F61" w:rsidP="003E4F61">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К</w:t>
      </w:r>
      <w:r w:rsidR="00125FAC" w:rsidRPr="00A53AD7">
        <w:rPr>
          <w:rFonts w:ascii="Times New Roman" w:hAnsi="Times New Roman"/>
          <w:sz w:val="28"/>
          <w:szCs w:val="28"/>
          <w:lang w:eastAsia="x-none"/>
        </w:rPr>
        <w:t xml:space="preserve">апитальные вложения в объекты государственной собственности – 3,6 млн.руб., выполнение составило 100%, удельный вес 1,5%. Средства направлены на приобретение жилого помещения в черте г. Архангельска для последующей его передачи в муниципальную собственность и предоставления </w:t>
      </w:r>
      <w:r w:rsidR="00EA0604" w:rsidRPr="00A53AD7">
        <w:rPr>
          <w:rFonts w:ascii="Times New Roman" w:hAnsi="Times New Roman"/>
          <w:sz w:val="28"/>
          <w:szCs w:val="28"/>
          <w:lang w:eastAsia="x-none"/>
        </w:rPr>
        <w:t>физическому лицу</w:t>
      </w:r>
      <w:r w:rsidR="00125FAC" w:rsidRPr="00A53AD7">
        <w:rPr>
          <w:rFonts w:ascii="Times New Roman" w:hAnsi="Times New Roman"/>
          <w:sz w:val="28"/>
          <w:szCs w:val="28"/>
          <w:lang w:eastAsia="x-none"/>
        </w:rPr>
        <w:t xml:space="preserve"> в целях исполнения решения Октябрьского районного суда г. Архангельска от 18 апреля 2013 года по делу № 2-1414/2013</w:t>
      </w:r>
      <w:r w:rsidR="00EA0604" w:rsidRPr="00A53AD7">
        <w:rPr>
          <w:rFonts w:ascii="Times New Roman" w:hAnsi="Times New Roman"/>
          <w:sz w:val="28"/>
          <w:szCs w:val="28"/>
          <w:lang w:eastAsia="x-none"/>
        </w:rPr>
        <w:t>.</w:t>
      </w:r>
    </w:p>
    <w:p w14:paraId="3BB04759" w14:textId="6072005F" w:rsidR="00125FAC" w:rsidRPr="00A53AD7" w:rsidRDefault="00EA0604" w:rsidP="00EA0604">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М</w:t>
      </w:r>
      <w:r w:rsidR="00125FAC" w:rsidRPr="00A53AD7">
        <w:rPr>
          <w:rFonts w:ascii="Times New Roman" w:hAnsi="Times New Roman"/>
          <w:sz w:val="28"/>
          <w:szCs w:val="28"/>
          <w:lang w:eastAsia="x-none"/>
        </w:rPr>
        <w:t xml:space="preserve">ежбюджетные трансферты местным бюджетам составили 149,3 млн.руб., выполнение </w:t>
      </w:r>
      <w:r w:rsidR="00DF11CE" w:rsidRPr="00A53AD7">
        <w:rPr>
          <w:rFonts w:ascii="Times New Roman" w:hAnsi="Times New Roman"/>
          <w:sz w:val="28"/>
          <w:szCs w:val="28"/>
          <w:lang w:eastAsia="x-none"/>
        </w:rPr>
        <w:t xml:space="preserve">– </w:t>
      </w:r>
      <w:r w:rsidR="00125FAC" w:rsidRPr="00A53AD7">
        <w:rPr>
          <w:rFonts w:ascii="Times New Roman" w:hAnsi="Times New Roman"/>
          <w:sz w:val="28"/>
          <w:szCs w:val="28"/>
          <w:lang w:eastAsia="x-none"/>
        </w:rPr>
        <w:t>99,9 % и их удельный вес в составе расходов за счет средств резервного фонда Правительства Архангельской области составляет 61,1%. Наибольший объем межбюджетных трансфертов</w:t>
      </w:r>
      <w:r w:rsidR="00DF11CE" w:rsidRPr="00A53AD7">
        <w:rPr>
          <w:rFonts w:ascii="Times New Roman" w:hAnsi="Times New Roman"/>
          <w:sz w:val="28"/>
          <w:szCs w:val="28"/>
          <w:lang w:eastAsia="x-none"/>
        </w:rPr>
        <w:t xml:space="preserve"> направлен в</w:t>
      </w:r>
      <w:r w:rsidR="00125FAC" w:rsidRPr="00A53AD7">
        <w:rPr>
          <w:rFonts w:ascii="Times New Roman" w:hAnsi="Times New Roman"/>
          <w:sz w:val="28"/>
          <w:szCs w:val="28"/>
          <w:lang w:eastAsia="x-none"/>
        </w:rPr>
        <w:t xml:space="preserve"> МО «Пинежский муниципальный район» - 16,6 млн.руб., из которых 13,0 млн.руб. направлены на выполнение работ по ремонту асфальтобетонного покрытия автомобильных дорог общего пользования местного значения, расположенных по ул. Ленина и ул. Федора Абрамова в с. Карпогоры. В 2018 году бюджетам муниципальных образований Архангельской области направлено 101,4 млн.руб. или 49,7 % резервного фонда Прав</w:t>
      </w:r>
      <w:r w:rsidR="00DF11CE" w:rsidRPr="00A53AD7">
        <w:rPr>
          <w:rFonts w:ascii="Times New Roman" w:hAnsi="Times New Roman"/>
          <w:sz w:val="28"/>
          <w:szCs w:val="28"/>
          <w:lang w:eastAsia="x-none"/>
        </w:rPr>
        <w:t>ительства Архангельской области.</w:t>
      </w:r>
    </w:p>
    <w:p w14:paraId="74AE04AF" w14:textId="1097B978" w:rsidR="00125FAC" w:rsidRPr="00A53AD7" w:rsidRDefault="00D1021C" w:rsidP="00D1021C">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С</w:t>
      </w:r>
      <w:r w:rsidR="00125FAC" w:rsidRPr="00A53AD7">
        <w:rPr>
          <w:rFonts w:ascii="Times New Roman" w:hAnsi="Times New Roman"/>
          <w:sz w:val="28"/>
          <w:szCs w:val="28"/>
          <w:lang w:eastAsia="x-none"/>
        </w:rPr>
        <w:t xml:space="preserve">убсидии некоммерческим организациям (за исключением </w:t>
      </w:r>
      <w:r w:rsidRPr="00A53AD7">
        <w:rPr>
          <w:rFonts w:ascii="Times New Roman" w:hAnsi="Times New Roman"/>
          <w:sz w:val="28"/>
          <w:szCs w:val="28"/>
          <w:lang w:eastAsia="x-none"/>
        </w:rPr>
        <w:t xml:space="preserve">государственных </w:t>
      </w:r>
      <w:r w:rsidR="00125FAC" w:rsidRPr="00A53AD7">
        <w:rPr>
          <w:rFonts w:ascii="Times New Roman" w:hAnsi="Times New Roman"/>
          <w:sz w:val="28"/>
          <w:szCs w:val="28"/>
          <w:lang w:eastAsia="x-none"/>
        </w:rPr>
        <w:t>(муниципальных) учреждений – 14,1 млн.руб., выполнение составило 100,0 %, удельный вес 5,8 %. Наибольший объем субсидии за счет резервного фонда – 5,4 млн.руб. направлен фонду поддержки образования детей, молодежи и социальной помощи семьям «ПОМОРЬЕ» на проведение полевого сбора «Летняя Соловецкая школа юнг» и торжественных мероприятий, посвященных празднованию 80-летия учебного отряда Северного флота, 75-летия Петсамо-Киркенесской операции. В 2018 году исполнение данного показателя составило 7,4 млн.руб. или 3,6 % всех расходов резервного фонда.</w:t>
      </w:r>
    </w:p>
    <w:p w14:paraId="52F6A83B" w14:textId="77777777" w:rsidR="00125FAC" w:rsidRPr="00A53AD7" w:rsidRDefault="00125FAC" w:rsidP="00002B24">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Согласно, представленному отчету об использовании средств резервного фонда Правительства Архангельской области, в 2019 году по 245 распоряжениям Правительства Архангельской области выделено средств в сумме 250,8 млн.руб. исполнено 244,5 млн.руб. не исполнено 6,4 млн.руб., в том числе по министерству природных ресурсов и лесопромышленного комплекса Архангельской области – 2,8 млн.руб., по министерству образования и науки Архангельской области – 1,5 млн.руб., по министерству строительства и архитектуры Архангельской области – 0,9 млн.руб., по Администрации Губернатора Архангельской области и Правительства Архангельской области – 0,6 млн.руб. и по министерству труда, занятости и социального развития Архангельской области – 0,4 млн.руб.</w:t>
      </w:r>
    </w:p>
    <w:p w14:paraId="5BA0C69C" w14:textId="77777777" w:rsidR="00125FAC" w:rsidRPr="00A53AD7" w:rsidRDefault="00125FAC" w:rsidP="00584DAE">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В основном, средств резервного фонда за 2019 году выделялись на решение вопросов в социальной сфере (образование, культура, здравоохранение, социальная политика, физическая культура и спорт). Кассовые расходы за отчетный период на эти цели составили 139,4 млн.руб. или 57,0 % всех расходов произведенных за счет средств резервного фонда. Расходы резервного фонда на национальную экономику и жилищно-коммунальное хозяйство составили 64,9 млн.руб. или 26,5 % всех расходов за счет резервного фонда.</w:t>
      </w:r>
    </w:p>
    <w:p w14:paraId="01AC71AB" w14:textId="77777777" w:rsidR="00125FAC" w:rsidRPr="00A53AD7" w:rsidRDefault="00125FAC" w:rsidP="00125FAC">
      <w:pPr>
        <w:pStyle w:val="a8"/>
        <w:ind w:left="0" w:firstLine="851"/>
        <w:jc w:val="both"/>
        <w:rPr>
          <w:rFonts w:eastAsia="Calibri"/>
          <w:sz w:val="28"/>
          <w:szCs w:val="28"/>
        </w:rPr>
      </w:pPr>
      <w:r w:rsidRPr="00A53AD7">
        <w:rPr>
          <w:rFonts w:eastAsia="Calibri"/>
          <w:sz w:val="28"/>
          <w:szCs w:val="28"/>
        </w:rPr>
        <w:t>В части распределения средств резервного фонда Правительства Архангельской области контрольно-счетная палата отмечает:</w:t>
      </w:r>
    </w:p>
    <w:p w14:paraId="4F915FFF" w14:textId="77777777" w:rsidR="00125FAC" w:rsidRPr="00A53AD7" w:rsidRDefault="00125FAC" w:rsidP="00BB09B8">
      <w:pPr>
        <w:pStyle w:val="a8"/>
        <w:numPr>
          <w:ilvl w:val="0"/>
          <w:numId w:val="10"/>
        </w:numPr>
        <w:ind w:left="0" w:firstLine="993"/>
        <w:jc w:val="both"/>
        <w:rPr>
          <w:rFonts w:eastAsia="Calibri"/>
          <w:sz w:val="28"/>
          <w:szCs w:val="28"/>
        </w:rPr>
      </w:pPr>
      <w:r w:rsidRPr="00A53AD7">
        <w:rPr>
          <w:rFonts w:eastAsia="Calibri"/>
          <w:sz w:val="28"/>
          <w:szCs w:val="28"/>
        </w:rPr>
        <w:t>Распоряжением Правительства Архангельской области от 20.05.2019 № 209-рп (в ред. от 10.12.2019 № 576-рп) министерству имущественных отношений Архангельской области выделены средства резервного фонда в сумме 0,04 млн.руб., которые направлены в бюджет МО «Мезенский муниципальный район» на проведение кадастровых работ в отношении земельных участков, предоставляемых многодетным семьям.</w:t>
      </w:r>
    </w:p>
    <w:p w14:paraId="171CA04B" w14:textId="3E47C26D" w:rsidR="00125FAC" w:rsidRPr="00A53AD7" w:rsidRDefault="0053708A" w:rsidP="00125FAC">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г</w:t>
      </w:r>
      <w:r w:rsidR="00125FAC" w:rsidRPr="00A53AD7">
        <w:rPr>
          <w:rFonts w:ascii="Times New Roman" w:hAnsi="Times New Roman"/>
          <w:sz w:val="28"/>
          <w:szCs w:val="28"/>
        </w:rPr>
        <w:t>осударственной программой Архангельской области «Обеспечение качественным, доступным жильем и объектами инженерной инфраструктуры населения Архангельской области» подпрограммой «Создание условий для обеспечения доступным и комфортным жильем жителей Архангельской области» предусмотрено мероприятие по проведению кадастровых работ в отношении земельных участков, предоставляемых многодетным семьям, однако средства на выполнение данного мероприятия в 2019 году не предусмотрены.</w:t>
      </w:r>
    </w:p>
    <w:p w14:paraId="403E21E1" w14:textId="0AC0B6F4" w:rsidR="00125FAC" w:rsidRPr="00A53AD7" w:rsidRDefault="0037157B" w:rsidP="00125FAC">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w:t>
      </w:r>
      <w:r w:rsidR="00125FAC" w:rsidRPr="00A53AD7">
        <w:rPr>
          <w:rFonts w:ascii="Times New Roman" w:hAnsi="Times New Roman"/>
          <w:sz w:val="28"/>
          <w:szCs w:val="28"/>
        </w:rPr>
        <w:t xml:space="preserve"> </w:t>
      </w:r>
      <w:r w:rsidR="00504C0F" w:rsidRPr="00A53AD7">
        <w:rPr>
          <w:rFonts w:ascii="Times New Roman" w:hAnsi="Times New Roman"/>
          <w:sz w:val="28"/>
          <w:szCs w:val="28"/>
        </w:rPr>
        <w:t>указанные</w:t>
      </w:r>
      <w:r w:rsidR="00125FAC" w:rsidRPr="00A53AD7">
        <w:rPr>
          <w:rFonts w:ascii="Times New Roman" w:hAnsi="Times New Roman"/>
          <w:sz w:val="28"/>
          <w:szCs w:val="28"/>
        </w:rPr>
        <w:t xml:space="preserve"> расходы не носят непредвиденный характер и могли быть предусмотрены в бюджете на 2019 год. Также данный факт свидетельствует о </w:t>
      </w:r>
      <w:r w:rsidRPr="00A53AD7">
        <w:rPr>
          <w:rFonts w:ascii="Times New Roman" w:hAnsi="Times New Roman"/>
          <w:sz w:val="28"/>
          <w:szCs w:val="28"/>
        </w:rPr>
        <w:t xml:space="preserve">недостаточно </w:t>
      </w:r>
      <w:r w:rsidR="00125FAC" w:rsidRPr="00A53AD7">
        <w:rPr>
          <w:rFonts w:ascii="Times New Roman" w:hAnsi="Times New Roman"/>
          <w:sz w:val="28"/>
          <w:szCs w:val="28"/>
        </w:rPr>
        <w:t>качественном планировании финансирования и сроков реализации мероприятий государственной программы ответственным исполнителем – министерством строительства и архитектуры Архангельской области.</w:t>
      </w:r>
    </w:p>
    <w:p w14:paraId="5F47B653" w14:textId="77777777" w:rsidR="00D41319" w:rsidRPr="00A53AD7" w:rsidRDefault="00125FAC" w:rsidP="00BB09B8">
      <w:pPr>
        <w:pStyle w:val="a8"/>
        <w:numPr>
          <w:ilvl w:val="0"/>
          <w:numId w:val="10"/>
        </w:numPr>
        <w:ind w:left="0" w:firstLine="851"/>
        <w:jc w:val="both"/>
        <w:rPr>
          <w:rFonts w:eastAsia="Calibri"/>
          <w:bCs/>
          <w:sz w:val="28"/>
          <w:szCs w:val="28"/>
        </w:rPr>
      </w:pPr>
      <w:r w:rsidRPr="00A53AD7">
        <w:rPr>
          <w:rFonts w:eastAsia="Calibri"/>
          <w:sz w:val="28"/>
          <w:szCs w:val="28"/>
        </w:rPr>
        <w:t>Распоряжениями Правительства Архангельской области от 19.03.2019 № 85-рп и от 29.08.2019 № 404-рп министерству топливно-энергетического комплекса и жилищно-коммунального хозяйства Архангельской области выделены средства резервного фонда в сумме 1,9 млн.руб. для МО «Лешуконский муниципальный район» на выполнение работ по замене водонапорной башни, расположенной по адресу: Архангельская область, Лешуконский район, с. Лешуконское, ул. Новоселова и 0,6 млн.руб. для МО «Коношский муниципальный район» на выполнение работ по замене и реконструкции участка водопроводных сетей, монтажу электрооборудования артезианской скважины с системой водоснабжения и водопроводными сетями в п. Подюга.</w:t>
      </w:r>
    </w:p>
    <w:p w14:paraId="2AA69D44" w14:textId="3F31E974" w:rsidR="00125FAC" w:rsidRPr="00A53AD7" w:rsidRDefault="00125FAC" w:rsidP="00D41319">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Государственной программой Архангельской области «Устойчивое развитие сельских территорий Архангельской области» предусмотрено мероприятие по развитию водоснабжения в сельской местности. Однако средства на реализацию данных мероприятий в 2019 году государственной программой не запланированы.</w:t>
      </w:r>
    </w:p>
    <w:p w14:paraId="54EBFC17" w14:textId="4CE17466" w:rsidR="00125FAC" w:rsidRPr="00A53AD7" w:rsidRDefault="00504C0F" w:rsidP="00504C0F">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Приведенные</w:t>
      </w:r>
      <w:r w:rsidR="00125FAC" w:rsidRPr="00A53AD7">
        <w:rPr>
          <w:rFonts w:ascii="Times New Roman" w:hAnsi="Times New Roman"/>
          <w:sz w:val="28"/>
          <w:szCs w:val="28"/>
        </w:rPr>
        <w:t xml:space="preserve"> факты свидетельствуют о недостаточно качественном планировании расходов на реализацию государственной программы ответственным исполнителем – министерством агропромышленного комплекса и торговли Архангельской области.</w:t>
      </w:r>
    </w:p>
    <w:p w14:paraId="7C32D5A5" w14:textId="456AEDD7" w:rsidR="00125FAC" w:rsidRPr="00A53AD7" w:rsidRDefault="00125FAC" w:rsidP="00BB09B8">
      <w:pPr>
        <w:pStyle w:val="a8"/>
        <w:numPr>
          <w:ilvl w:val="0"/>
          <w:numId w:val="10"/>
        </w:numPr>
        <w:spacing w:after="200"/>
        <w:ind w:left="0" w:firstLine="851"/>
        <w:jc w:val="both"/>
        <w:rPr>
          <w:rFonts w:eastAsia="Calibri"/>
          <w:bCs/>
          <w:sz w:val="28"/>
          <w:szCs w:val="28"/>
        </w:rPr>
      </w:pPr>
      <w:r w:rsidRPr="00A53AD7">
        <w:rPr>
          <w:rFonts w:eastAsia="Calibri"/>
          <w:bCs/>
          <w:sz w:val="28"/>
          <w:szCs w:val="28"/>
        </w:rPr>
        <w:t>Распоряжением Правительства Архангельской области от 23.07.2019 № 346-рп (в ред.</w:t>
      </w:r>
      <w:r w:rsidR="0025463D" w:rsidRPr="00A53AD7">
        <w:rPr>
          <w:rFonts w:eastAsia="Calibri"/>
          <w:bCs/>
          <w:sz w:val="28"/>
          <w:szCs w:val="28"/>
        </w:rPr>
        <w:t xml:space="preserve"> </w:t>
      </w:r>
      <w:r w:rsidRPr="00A53AD7">
        <w:rPr>
          <w:rFonts w:eastAsia="Calibri"/>
          <w:bCs/>
          <w:sz w:val="28"/>
          <w:szCs w:val="28"/>
        </w:rPr>
        <w:t>расп.</w:t>
      </w:r>
      <w:r w:rsidR="0025463D" w:rsidRPr="00A53AD7">
        <w:rPr>
          <w:rFonts w:eastAsia="Calibri"/>
          <w:bCs/>
          <w:sz w:val="28"/>
          <w:szCs w:val="28"/>
        </w:rPr>
        <w:t xml:space="preserve"> № </w:t>
      </w:r>
      <w:r w:rsidRPr="00A53AD7">
        <w:rPr>
          <w:rFonts w:eastAsia="Calibri"/>
          <w:bCs/>
          <w:sz w:val="28"/>
          <w:szCs w:val="28"/>
        </w:rPr>
        <w:t>627-рп от 24.12.2019) министерству труда, занятости и социального развития Архангельской области выделены средства резервного фонда на проведение ремонтных работ, приобретение оборудования и мебели и разработку проектной документации на замену лифтов для государственного бюджетного стационарного учреждения социального обслуживания системы социальной защиты населения Архангельской области «Новодвинский детский дом-интернат для детей с серьезными нарушениями в интеллектуальном развитии» в сумме 3,2 млн.руб</w:t>
      </w:r>
      <w:r w:rsidR="00441E05" w:rsidRPr="00A53AD7">
        <w:rPr>
          <w:rFonts w:eastAsia="Calibri"/>
          <w:bCs/>
          <w:sz w:val="28"/>
          <w:szCs w:val="28"/>
        </w:rPr>
        <w:t>.</w:t>
      </w:r>
    </w:p>
    <w:p w14:paraId="453B0C3C" w14:textId="77777777" w:rsidR="00125FAC" w:rsidRPr="00A53AD7" w:rsidRDefault="00125FAC" w:rsidP="006B3ECB">
      <w:pPr>
        <w:pStyle w:val="a8"/>
        <w:ind w:left="0" w:firstLine="851"/>
        <w:jc w:val="both"/>
        <w:rPr>
          <w:rFonts w:eastAsia="Calibri"/>
          <w:bCs/>
          <w:sz w:val="28"/>
          <w:szCs w:val="28"/>
        </w:rPr>
      </w:pPr>
      <w:r w:rsidRPr="00A53AD7">
        <w:rPr>
          <w:rFonts w:eastAsia="Calibri"/>
          <w:bCs/>
          <w:sz w:val="28"/>
          <w:szCs w:val="28"/>
        </w:rPr>
        <w:t>Государственной программой Архангельской области «Социальная поддержка граждан в Архангельской области» подпрограммой «Семья и дети в Архангельской области» предусмотрена реализация мероприятия по проведению ремонтных работ в государственных организациях социального обслуживания семьи и детей. Однако средства на реализацию данного мероприятия в 2019 году госпрограммой не предусмотрены.</w:t>
      </w:r>
    </w:p>
    <w:p w14:paraId="055125DA" w14:textId="33AC83B9" w:rsidR="00125FAC" w:rsidRPr="00A53AD7" w:rsidRDefault="00F87B7F" w:rsidP="00F87B7F">
      <w:pPr>
        <w:pStyle w:val="a8"/>
        <w:ind w:left="0" w:firstLine="851"/>
        <w:jc w:val="both"/>
        <w:rPr>
          <w:rFonts w:eastAsia="Calibri"/>
          <w:bCs/>
          <w:sz w:val="28"/>
          <w:szCs w:val="28"/>
        </w:rPr>
      </w:pPr>
      <w:r w:rsidRPr="00A53AD7">
        <w:rPr>
          <w:rFonts w:eastAsia="Calibri"/>
          <w:bCs/>
          <w:sz w:val="28"/>
          <w:szCs w:val="28"/>
        </w:rPr>
        <w:t xml:space="preserve">Таким образом, </w:t>
      </w:r>
      <w:r w:rsidR="00125FAC" w:rsidRPr="00A53AD7">
        <w:rPr>
          <w:rFonts w:eastAsia="Calibri"/>
          <w:bCs/>
          <w:sz w:val="28"/>
          <w:szCs w:val="28"/>
        </w:rPr>
        <w:t xml:space="preserve">указанные расходы не носят непредвиденный характер, что подтверждает наличие аналогичных мероприятий в </w:t>
      </w:r>
      <w:r w:rsidRPr="00A53AD7">
        <w:rPr>
          <w:rFonts w:eastAsia="Calibri"/>
          <w:bCs/>
          <w:sz w:val="28"/>
          <w:szCs w:val="28"/>
        </w:rPr>
        <w:t xml:space="preserve">соответствующей </w:t>
      </w:r>
      <w:r w:rsidR="00125FAC" w:rsidRPr="00A53AD7">
        <w:rPr>
          <w:rFonts w:eastAsia="Calibri"/>
          <w:bCs/>
          <w:sz w:val="28"/>
          <w:szCs w:val="28"/>
        </w:rPr>
        <w:t xml:space="preserve">государственной программе Архангельской области. Кроме того, </w:t>
      </w:r>
      <w:r w:rsidRPr="00A53AD7">
        <w:rPr>
          <w:rFonts w:eastAsia="Calibri"/>
          <w:bCs/>
          <w:sz w:val="28"/>
          <w:szCs w:val="28"/>
        </w:rPr>
        <w:t>имеет место</w:t>
      </w:r>
      <w:r w:rsidR="00125FAC" w:rsidRPr="00A53AD7">
        <w:rPr>
          <w:rFonts w:eastAsia="Calibri"/>
          <w:bCs/>
          <w:sz w:val="28"/>
          <w:szCs w:val="28"/>
        </w:rPr>
        <w:t xml:space="preserve"> недостаточно качественно</w:t>
      </w:r>
      <w:r w:rsidRPr="00A53AD7">
        <w:rPr>
          <w:rFonts w:eastAsia="Calibri"/>
          <w:bCs/>
          <w:sz w:val="28"/>
          <w:szCs w:val="28"/>
        </w:rPr>
        <w:t>е</w:t>
      </w:r>
      <w:r w:rsidR="00125FAC" w:rsidRPr="00A53AD7">
        <w:rPr>
          <w:rFonts w:eastAsia="Calibri"/>
          <w:bCs/>
          <w:sz w:val="28"/>
          <w:szCs w:val="28"/>
        </w:rPr>
        <w:t xml:space="preserve"> планировани</w:t>
      </w:r>
      <w:r w:rsidRPr="00A53AD7">
        <w:rPr>
          <w:rFonts w:eastAsia="Calibri"/>
          <w:bCs/>
          <w:sz w:val="28"/>
          <w:szCs w:val="28"/>
        </w:rPr>
        <w:t>е</w:t>
      </w:r>
      <w:r w:rsidR="00125FAC" w:rsidRPr="00A53AD7">
        <w:rPr>
          <w:rFonts w:eastAsia="Calibri"/>
          <w:bCs/>
          <w:sz w:val="28"/>
          <w:szCs w:val="28"/>
        </w:rPr>
        <w:t xml:space="preserve"> расходов и сроков реализации мероприятий государственной программы ответственным исполнителем – министерством труда, занятости и социального развития Архангельской области.</w:t>
      </w:r>
    </w:p>
    <w:p w14:paraId="1525DDB0" w14:textId="77777777" w:rsidR="00125FAC" w:rsidRPr="00A53AD7" w:rsidRDefault="00125FAC" w:rsidP="00BB09B8">
      <w:pPr>
        <w:pStyle w:val="a8"/>
        <w:numPr>
          <w:ilvl w:val="0"/>
          <w:numId w:val="10"/>
        </w:numPr>
        <w:ind w:left="0" w:firstLine="851"/>
        <w:jc w:val="both"/>
        <w:rPr>
          <w:rFonts w:eastAsia="Calibri"/>
          <w:bCs/>
          <w:sz w:val="28"/>
          <w:szCs w:val="28"/>
        </w:rPr>
      </w:pPr>
      <w:r w:rsidRPr="00A53AD7">
        <w:rPr>
          <w:rFonts w:eastAsia="Calibri"/>
          <w:bCs/>
          <w:sz w:val="28"/>
          <w:szCs w:val="28"/>
        </w:rPr>
        <w:t>Распоряжением Правительства Архангельской области от 04.06.2019 № 252-рп из средств резервного фонда выделено 3,9 млн.руб. министерству природных ресурсов и лесопромышленного комплекса Архангельской области для выплаты вознаграждений за добычу волка на территории Архангельской области. Данные расходы носят систематический характер, так на данные цели в 2017 году выделено – 3,0 млн.руб., в 2018 году – 4,2 млн.руб.</w:t>
      </w:r>
    </w:p>
    <w:p w14:paraId="68B652F8" w14:textId="77777777" w:rsidR="00125FAC" w:rsidRPr="00A53AD7" w:rsidRDefault="00125FAC" w:rsidP="003E100C">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Следовательно, расходы для выплаты вознаграждений за добычу волка на территории Архангельской области не являются непредвиденными и могли быть предусмотрены в бюджете на соответствующий финансовый год.</w:t>
      </w:r>
    </w:p>
    <w:p w14:paraId="3599F07A" w14:textId="0BA865F1" w:rsidR="00125FAC" w:rsidRPr="00A53AD7" w:rsidRDefault="00125FAC" w:rsidP="00BB09B8">
      <w:pPr>
        <w:numPr>
          <w:ilvl w:val="0"/>
          <w:numId w:val="10"/>
        </w:numPr>
        <w:spacing w:after="0" w:line="240" w:lineRule="auto"/>
        <w:ind w:left="0" w:firstLine="708"/>
        <w:contextualSpacing/>
        <w:jc w:val="both"/>
        <w:rPr>
          <w:rFonts w:ascii="Times New Roman" w:hAnsi="Times New Roman"/>
          <w:sz w:val="28"/>
          <w:szCs w:val="28"/>
          <w:lang w:val="x-none" w:eastAsia="x-none"/>
        </w:rPr>
      </w:pPr>
      <w:r w:rsidRPr="00A53AD7">
        <w:rPr>
          <w:rFonts w:ascii="Times New Roman" w:hAnsi="Times New Roman"/>
          <w:sz w:val="28"/>
          <w:szCs w:val="28"/>
          <w:lang w:val="x-none" w:eastAsia="x-none"/>
        </w:rPr>
        <w:t>Распоряжени</w:t>
      </w:r>
      <w:r w:rsidRPr="00A53AD7">
        <w:rPr>
          <w:rFonts w:ascii="Times New Roman" w:hAnsi="Times New Roman"/>
          <w:sz w:val="28"/>
          <w:szCs w:val="28"/>
          <w:lang w:eastAsia="x-none"/>
        </w:rPr>
        <w:t>ями</w:t>
      </w:r>
      <w:r w:rsidRPr="00A53AD7">
        <w:rPr>
          <w:rFonts w:ascii="Times New Roman" w:hAnsi="Times New Roman"/>
          <w:sz w:val="28"/>
          <w:szCs w:val="28"/>
          <w:lang w:val="x-none" w:eastAsia="x-none"/>
        </w:rPr>
        <w:t xml:space="preserve"> </w:t>
      </w:r>
      <w:r w:rsidRPr="00A53AD7">
        <w:rPr>
          <w:rFonts w:ascii="Times New Roman" w:hAnsi="Times New Roman"/>
          <w:sz w:val="28"/>
          <w:szCs w:val="28"/>
          <w:lang w:eastAsia="x-none"/>
        </w:rPr>
        <w:t>Правительства</w:t>
      </w:r>
      <w:r w:rsidRPr="00A53AD7">
        <w:rPr>
          <w:rFonts w:ascii="Times New Roman" w:hAnsi="Times New Roman"/>
          <w:sz w:val="28"/>
          <w:szCs w:val="28"/>
          <w:lang w:val="x-none" w:eastAsia="x-none"/>
        </w:rPr>
        <w:t xml:space="preserve"> Архангельской области </w:t>
      </w:r>
      <w:r w:rsidR="00220D7B" w:rsidRPr="00A53AD7">
        <w:rPr>
          <w:rFonts w:ascii="Times New Roman" w:hAnsi="Times New Roman"/>
          <w:sz w:val="28"/>
          <w:szCs w:val="28"/>
          <w:lang w:eastAsia="x-none"/>
        </w:rPr>
        <w:t>в</w:t>
      </w:r>
      <w:r w:rsidRPr="00A53AD7">
        <w:rPr>
          <w:rFonts w:ascii="Times New Roman" w:hAnsi="Times New Roman"/>
          <w:sz w:val="28"/>
          <w:szCs w:val="28"/>
          <w:lang w:eastAsia="x-none"/>
        </w:rPr>
        <w:t xml:space="preserve"> 2019</w:t>
      </w:r>
      <w:r w:rsidRPr="00A53AD7">
        <w:rPr>
          <w:rFonts w:ascii="Times New Roman" w:hAnsi="Times New Roman"/>
          <w:sz w:val="28"/>
          <w:szCs w:val="28"/>
          <w:lang w:val="x-none" w:eastAsia="x-none"/>
        </w:rPr>
        <w:t xml:space="preserve"> год</w:t>
      </w:r>
      <w:r w:rsidR="00220D7B" w:rsidRPr="00A53AD7">
        <w:rPr>
          <w:rFonts w:ascii="Times New Roman" w:hAnsi="Times New Roman"/>
          <w:sz w:val="28"/>
          <w:szCs w:val="28"/>
          <w:lang w:eastAsia="x-none"/>
        </w:rPr>
        <w:t>у</w:t>
      </w:r>
      <w:r w:rsidRPr="00A53AD7">
        <w:rPr>
          <w:rFonts w:ascii="Times New Roman" w:hAnsi="Times New Roman"/>
          <w:sz w:val="28"/>
          <w:szCs w:val="28"/>
          <w:lang w:eastAsia="x-none"/>
        </w:rPr>
        <w:t xml:space="preserve"> </w:t>
      </w:r>
      <w:r w:rsidRPr="00A53AD7">
        <w:rPr>
          <w:rFonts w:ascii="Times New Roman" w:hAnsi="Times New Roman"/>
          <w:sz w:val="28"/>
          <w:szCs w:val="28"/>
          <w:lang w:val="x-none" w:eastAsia="x-none"/>
        </w:rPr>
        <w:t>выделялись средства из резервного фонда на приобретение оборудования и мебели, на проведение ремонтных работ для государственных учреждений здравоохранения в</w:t>
      </w:r>
      <w:r w:rsidR="00220D7B" w:rsidRPr="00A53AD7">
        <w:rPr>
          <w:rFonts w:ascii="Times New Roman" w:hAnsi="Times New Roman"/>
          <w:sz w:val="28"/>
          <w:szCs w:val="28"/>
          <w:lang w:eastAsia="x-none"/>
        </w:rPr>
        <w:t xml:space="preserve"> общей</w:t>
      </w:r>
      <w:r w:rsidRPr="00A53AD7">
        <w:rPr>
          <w:rFonts w:ascii="Times New Roman" w:hAnsi="Times New Roman"/>
          <w:sz w:val="28"/>
          <w:szCs w:val="28"/>
          <w:lang w:val="x-none" w:eastAsia="x-none"/>
        </w:rPr>
        <w:t xml:space="preserve"> сумме </w:t>
      </w:r>
      <w:r w:rsidRPr="00A53AD7">
        <w:rPr>
          <w:rFonts w:ascii="Times New Roman" w:hAnsi="Times New Roman"/>
          <w:sz w:val="28"/>
          <w:szCs w:val="28"/>
          <w:lang w:eastAsia="x-none"/>
        </w:rPr>
        <w:t>2,7</w:t>
      </w:r>
      <w:r w:rsidRPr="00A53AD7">
        <w:rPr>
          <w:rFonts w:ascii="Times New Roman" w:hAnsi="Times New Roman"/>
          <w:sz w:val="28"/>
          <w:szCs w:val="28"/>
          <w:lang w:val="x-none" w:eastAsia="x-none"/>
        </w:rPr>
        <w:t xml:space="preserve"> млн.руб.</w:t>
      </w:r>
    </w:p>
    <w:p w14:paraId="6DAB3FE0" w14:textId="77777777" w:rsidR="00125FAC" w:rsidRPr="00A53AD7" w:rsidRDefault="00125FAC" w:rsidP="00125FAC">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При этом в рамках реализации государственной программы «Развитие здравоохранения Архангельской области», подпрограммой «Совершенствование системы территориального планирования Архангельской области» на 2019 год предусмотрены мероприятия по приобретению оборудования и мебели для государственных медицинских организаций на сумму 582,2 млн.руб. и 461,1 млн.руб. по проведению текущих и капитальных ремонтов, обследований строительных конструкций… в государственных медицинских организациях.</w:t>
      </w:r>
    </w:p>
    <w:p w14:paraId="5DBE601F" w14:textId="77777777" w:rsidR="00125FAC" w:rsidRPr="00A53AD7" w:rsidRDefault="00125FAC" w:rsidP="00125FAC">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Таким образом, в соответствии с п. 3 Положения № 292-пп, указанные расходы, не являются непредвиденными и предусмотрены в областном бюджете на 2019 год.</w:t>
      </w:r>
    </w:p>
    <w:p w14:paraId="6B7A66E4" w14:textId="77777777" w:rsidR="00125FAC" w:rsidRPr="00A53AD7" w:rsidRDefault="00125FAC" w:rsidP="00125FAC">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Данный факт свидетельствует о недостаточно качественном планировании расходов на реализацию мероприятий государственной программы «Развитие здравоохранения Архангельской области» ответственным исполнителем – министерством здравоохранения Архангельской области.</w:t>
      </w:r>
    </w:p>
    <w:p w14:paraId="51CA2CAB" w14:textId="77777777" w:rsidR="00125FAC" w:rsidRPr="00A53AD7" w:rsidRDefault="00125FAC" w:rsidP="00BB09B8">
      <w:pPr>
        <w:pStyle w:val="a8"/>
        <w:numPr>
          <w:ilvl w:val="0"/>
          <w:numId w:val="10"/>
        </w:numPr>
        <w:ind w:left="0" w:firstLine="851"/>
        <w:jc w:val="both"/>
        <w:rPr>
          <w:sz w:val="28"/>
          <w:szCs w:val="28"/>
        </w:rPr>
      </w:pPr>
      <w:r w:rsidRPr="00A53AD7">
        <w:rPr>
          <w:sz w:val="28"/>
          <w:szCs w:val="28"/>
        </w:rPr>
        <w:t>Распоряжением Правительства Архангельской области от 12.03.2019 № 79-рп и 19.12.2019 № 601-рп министерству природных ресурсов и лесопромышленного комплекса Архангельской области выделены средства в общей сумме 1,3 млн.руб. на выплату вознаграждения за добровольную выдачу незаконно хранящихся предметов вооружения.</w:t>
      </w:r>
    </w:p>
    <w:p w14:paraId="54206F11" w14:textId="77777777" w:rsidR="00125FAC" w:rsidRPr="00A53AD7" w:rsidRDefault="00125FAC" w:rsidP="00963FB7">
      <w:pPr>
        <w:pStyle w:val="a8"/>
        <w:ind w:left="0" w:firstLine="851"/>
        <w:jc w:val="both"/>
        <w:rPr>
          <w:sz w:val="28"/>
          <w:szCs w:val="28"/>
        </w:rPr>
      </w:pPr>
      <w:r w:rsidRPr="00A53AD7">
        <w:rPr>
          <w:sz w:val="28"/>
          <w:szCs w:val="28"/>
        </w:rPr>
        <w:t>Государственной программой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предусмотрена реализация мероприятия «Организация и проведение добровольной сдачи населением незаконно хранящегося оружия на возмездной основе» однако средства на реализацию данного мероприятия на 2019 год не предусмотрены.</w:t>
      </w:r>
    </w:p>
    <w:p w14:paraId="7B51BBEF" w14:textId="420A21C9" w:rsidR="00125FAC" w:rsidRPr="00A53AD7" w:rsidRDefault="00125FAC" w:rsidP="00125FAC">
      <w:pPr>
        <w:spacing w:after="0" w:line="240" w:lineRule="auto"/>
        <w:ind w:firstLine="851"/>
        <w:contextualSpacing/>
        <w:jc w:val="both"/>
        <w:rPr>
          <w:rFonts w:ascii="Times New Roman" w:eastAsia="Times New Roman" w:hAnsi="Times New Roman"/>
          <w:sz w:val="28"/>
          <w:szCs w:val="28"/>
          <w:lang w:eastAsia="ru-RU"/>
        </w:rPr>
      </w:pPr>
      <w:r w:rsidRPr="00A53AD7">
        <w:rPr>
          <w:rFonts w:ascii="Times New Roman" w:hAnsi="Times New Roman"/>
          <w:sz w:val="28"/>
          <w:szCs w:val="28"/>
          <w:lang w:eastAsia="x-none"/>
        </w:rPr>
        <w:t>В соответствии с п. 3 Положения № 292-пп, указанные расходы, не являются непредвиденными и могли быть предусмотрены в областном бюджете на 2019 год, что также свидетельствует о недостаточно качественном планировании расходов на реализацию мероприятий указанной государственной программы.</w:t>
      </w:r>
    </w:p>
    <w:p w14:paraId="09A3BB16" w14:textId="17B832E0" w:rsidR="00125FAC" w:rsidRPr="00A53AD7" w:rsidRDefault="00E619BB" w:rsidP="00125FAC">
      <w:pPr>
        <w:spacing w:after="0" w:line="240" w:lineRule="auto"/>
        <w:ind w:firstLine="851"/>
        <w:contextualSpacing/>
        <w:jc w:val="both"/>
        <w:rPr>
          <w:rFonts w:ascii="Times New Roman" w:hAnsi="Times New Roman"/>
          <w:sz w:val="28"/>
          <w:szCs w:val="28"/>
          <w:lang w:eastAsia="x-none"/>
        </w:rPr>
      </w:pPr>
      <w:r w:rsidRPr="00A53AD7">
        <w:rPr>
          <w:rFonts w:ascii="Times New Roman" w:hAnsi="Times New Roman"/>
          <w:sz w:val="28"/>
          <w:szCs w:val="28"/>
          <w:lang w:eastAsia="x-none"/>
        </w:rPr>
        <w:t>О</w:t>
      </w:r>
      <w:r w:rsidR="00125FAC" w:rsidRPr="00A53AD7">
        <w:rPr>
          <w:rFonts w:ascii="Times New Roman" w:hAnsi="Times New Roman"/>
          <w:sz w:val="28"/>
          <w:szCs w:val="28"/>
          <w:lang w:eastAsia="x-none"/>
        </w:rPr>
        <w:t>статок средств резервного фонда на счетах бюджетов муниципальных образований на 01.01.2019 составил 17,3 млн.руб., по состоянию на 01.01.2020 остаток средства резервного фонда на счетах бюджетов муниципальных образований составил 2</w:t>
      </w:r>
      <w:r w:rsidR="002E1F70" w:rsidRPr="00A53AD7">
        <w:rPr>
          <w:rFonts w:ascii="Times New Roman" w:hAnsi="Times New Roman"/>
          <w:sz w:val="28"/>
          <w:szCs w:val="28"/>
          <w:lang w:eastAsia="x-none"/>
        </w:rPr>
        <w:t>4</w:t>
      </w:r>
      <w:r w:rsidR="00125FAC" w:rsidRPr="00A53AD7">
        <w:rPr>
          <w:rFonts w:ascii="Times New Roman" w:hAnsi="Times New Roman"/>
          <w:sz w:val="28"/>
          <w:szCs w:val="28"/>
          <w:lang w:eastAsia="x-none"/>
        </w:rPr>
        <w:t>,</w:t>
      </w:r>
      <w:r w:rsidR="002E1F70" w:rsidRPr="00A53AD7">
        <w:rPr>
          <w:rFonts w:ascii="Times New Roman" w:hAnsi="Times New Roman"/>
          <w:sz w:val="28"/>
          <w:szCs w:val="28"/>
          <w:lang w:eastAsia="x-none"/>
        </w:rPr>
        <w:t>5</w:t>
      </w:r>
      <w:r w:rsidR="00125FAC" w:rsidRPr="00A53AD7">
        <w:rPr>
          <w:rFonts w:ascii="Times New Roman" w:hAnsi="Times New Roman"/>
          <w:sz w:val="28"/>
          <w:szCs w:val="28"/>
          <w:lang w:eastAsia="x-none"/>
        </w:rPr>
        <w:t xml:space="preserve"> млн.руб.</w:t>
      </w:r>
      <w:r w:rsidR="00A90EA4" w:rsidRPr="00A53AD7">
        <w:rPr>
          <w:rFonts w:ascii="Times New Roman" w:hAnsi="Times New Roman"/>
          <w:sz w:val="28"/>
          <w:szCs w:val="28"/>
          <w:lang w:eastAsia="x-none"/>
        </w:rPr>
        <w:t xml:space="preserve"> (по информации, представленной главными распорядителями средств областного бюджета).</w:t>
      </w:r>
    </w:p>
    <w:p w14:paraId="694CE6D3" w14:textId="77777777" w:rsidR="00125FAC" w:rsidRPr="00A53AD7" w:rsidRDefault="00125FAC" w:rsidP="00697102">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министерством ТЭК и ЖКХ Архангельской области в 2019 году за счет средств резервного фонда предоставлено муниципальным образованиям Архангельской области 19,6 млн.руб. Остаток средств резервного фонда на счетах муниципальных образований на 01.01.2020 составил 9,8 млн.руб. (МО «Каргопольский муниципальный район» - 6,0 млн.руб., МО «Лешуконский муниципальный район» - 1,9 млн.руб., МО «Приморский муниципальный район» - 1,0 млн.руб. и МО «Пинежский муниципальный район» - 0,8 млн.руб., МО «Котласский муниципальный район» -0,1 млн.руб.);</w:t>
      </w:r>
    </w:p>
    <w:p w14:paraId="46401075" w14:textId="450D60C8" w:rsidR="00125FAC" w:rsidRPr="00A53AD7" w:rsidRDefault="00125FAC"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министерство</w:t>
      </w:r>
      <w:r w:rsidR="002C2C4D" w:rsidRPr="00A53AD7">
        <w:rPr>
          <w:rFonts w:ascii="Times New Roman" w:eastAsia="Times New Roman" w:hAnsi="Times New Roman"/>
          <w:sz w:val="28"/>
          <w:szCs w:val="28"/>
          <w:lang w:eastAsia="ru-RU"/>
        </w:rPr>
        <w:t>м</w:t>
      </w:r>
      <w:r w:rsidRPr="00A53AD7">
        <w:rPr>
          <w:rFonts w:ascii="Times New Roman" w:eastAsia="Times New Roman" w:hAnsi="Times New Roman"/>
          <w:sz w:val="28"/>
          <w:szCs w:val="28"/>
          <w:lang w:eastAsia="ru-RU"/>
        </w:rPr>
        <w:t xml:space="preserve"> культуры Архангельской области в 2019 году за счет средств резервного фонда Правительства Архангельской области предоставлено муниципальным образованиям Архангельской области 34,3 млн.руб. Остаток средств резервного фонда на счетах муниципальных образований на конец 2019 года составил 8,1 млн.руб. (МО «Каргопольский муниципальный район» - 3,1 млн.руб., МО «Виноградовский муниципальный район» - 3,0 млн.руб. и МО «Котласский муниципальный район» - 2,0 млн.руб.);</w:t>
      </w:r>
    </w:p>
    <w:p w14:paraId="22C4303F" w14:textId="63399FFB" w:rsidR="00125FAC" w:rsidRPr="00A53AD7" w:rsidRDefault="00125FAC" w:rsidP="00AD5399">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агентством по спорту Архангельской области в 2019 году за счет средств резервного фонда предоставлено муниципальным образованиям 6,3 млн.руб. Остаток средств резервного фонда на счетах муниципальных образования на 01.01.2020 составил 3,2 млн.руб. (МО «Северодвинск» - 3,0 млн.руб. и МО «Няндомский муниципальный район» - 0,2 млн.руб.)</w:t>
      </w:r>
      <w:r w:rsidR="00D27CB2" w:rsidRPr="00A53AD7">
        <w:rPr>
          <w:rFonts w:ascii="Times New Roman" w:eastAsia="Times New Roman" w:hAnsi="Times New Roman"/>
          <w:sz w:val="28"/>
          <w:szCs w:val="28"/>
          <w:lang w:eastAsia="ru-RU"/>
        </w:rPr>
        <w:t>;</w:t>
      </w:r>
    </w:p>
    <w:p w14:paraId="5B7BAF43" w14:textId="77777777" w:rsidR="00125FAC" w:rsidRPr="00A53AD7" w:rsidRDefault="00125FAC"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агентством государственной противопожарной службы и гражданской защиты Архангельской области в 2019 году за счет средств резервного фонда Правительства Архангельской области предоставлено муниципальным образованиям Архангельской области 1,5 млн.руб. Остаток средств резервного фонда на счетах муниципальных образований на 01.01.2020 составил 1,5 млн.руб. (МО «Пинежский муниципальный район» - 0,7 млн.руб. и МО «Котласский муниципальный район» - 0,8 млн.руб.);</w:t>
      </w:r>
    </w:p>
    <w:p w14:paraId="32FF7708" w14:textId="77777777" w:rsidR="00125FAC" w:rsidRPr="00A53AD7" w:rsidRDefault="00125FAC"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министерством образования и науки Архангельской области в 2019 году за счет средств резервного фонда предоставлено муниципальным образованиям Архангельской области 39,6 млн.руб. Остаток средств резервного фонда на счетах муниципальных образований на 01.01.2020 составил 1,2 млн.руб. (МО «Онежский муниципальный район» - 1,0 млн.руб., МО «Лешуконский муниципальный район» - 0,1 млн.руб. и МО «Котлас» - 0,1 млн.руб.);</w:t>
      </w:r>
    </w:p>
    <w:p w14:paraId="0D8631A5" w14:textId="6C19DAB8" w:rsidR="00125FAC" w:rsidRPr="00A53AD7" w:rsidRDefault="00ED5589"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а</w:t>
      </w:r>
      <w:r w:rsidR="00125FAC" w:rsidRPr="00A53AD7">
        <w:rPr>
          <w:rFonts w:ascii="Times New Roman" w:eastAsia="Times New Roman" w:hAnsi="Times New Roman"/>
          <w:sz w:val="28"/>
          <w:szCs w:val="28"/>
          <w:lang w:eastAsia="ru-RU"/>
        </w:rPr>
        <w:t>дминистрацией Губернатора Архангельской области и Правительства Архангельской области за счет средств резервного фонда Правительства Архангельской области в 2019 году предоставлено муниципальным образованиям – 9,6 млн.руб. Остаток средств резервного фонда на счетах муниципальных образований по состоянию на 01.01.2020 составил 0,8 млн.руб. (МО «Шенкурский муниципальный район»)</w:t>
      </w:r>
      <w:r w:rsidRPr="00A53AD7">
        <w:rPr>
          <w:rFonts w:ascii="Times New Roman" w:eastAsia="Times New Roman" w:hAnsi="Times New Roman"/>
          <w:sz w:val="28"/>
          <w:szCs w:val="28"/>
          <w:lang w:eastAsia="ru-RU"/>
        </w:rPr>
        <w:t>;</w:t>
      </w:r>
    </w:p>
    <w:p w14:paraId="702B4235" w14:textId="53FA1383" w:rsidR="00125FAC" w:rsidRPr="00A53AD7" w:rsidRDefault="00125FAC"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министерством связи и информационных технологий Архангельской области в 2019 году за счет средств резервного фонда предоставлено муниципальным образованиям Архангельской области 0,8 млн.руб. Остаток средств резервного фонда на счетах муниципальных образований на 01.01.2020 составил 0,8 млн.руб. (МО «В</w:t>
      </w:r>
      <w:r w:rsidR="000737BB" w:rsidRPr="00A53AD7">
        <w:rPr>
          <w:rFonts w:ascii="Times New Roman" w:eastAsia="Times New Roman" w:hAnsi="Times New Roman"/>
          <w:sz w:val="28"/>
          <w:szCs w:val="28"/>
          <w:lang w:eastAsia="ru-RU"/>
        </w:rPr>
        <w:t>и</w:t>
      </w:r>
      <w:r w:rsidRPr="00A53AD7">
        <w:rPr>
          <w:rFonts w:ascii="Times New Roman" w:eastAsia="Times New Roman" w:hAnsi="Times New Roman"/>
          <w:sz w:val="28"/>
          <w:szCs w:val="28"/>
          <w:lang w:eastAsia="ru-RU"/>
        </w:rPr>
        <w:t>легодский муниципальный район»);</w:t>
      </w:r>
    </w:p>
    <w:p w14:paraId="4697DF18" w14:textId="77777777" w:rsidR="00125FAC" w:rsidRPr="00A53AD7" w:rsidRDefault="00125FAC" w:rsidP="00125FAC">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министерством транспорта Архангельской области за счет средств резервного фонда в 2019 году предоставлено муниципальным образованиям 33,3 млн.руб. Остаток средств на счетах муниципальных образований на 01.01.2020 составил 0,6 млн.руб. (МО «Город Архангельск» - 0,2 млн.руб. и МО «Устьянский муниципальный район» - 0,4 млн.руб.).</w:t>
      </w:r>
    </w:p>
    <w:p w14:paraId="4B566EAA" w14:textId="77777777" w:rsidR="00125FAC" w:rsidRPr="00A53AD7" w:rsidRDefault="00125FAC" w:rsidP="00125FAC">
      <w:pPr>
        <w:spacing w:after="0" w:line="240" w:lineRule="auto"/>
        <w:ind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Согласно Сведениям по дебиторской и кредиторской задолженности (ф. 0503169), остаток средств резервного фонда на счетах бюджетных и автономных учреждений на 01.01.2019 – 30,5 млн.руб. по состоянию на 01.01.2020 – 12,2 млн.руб., из них подведомственных:</w:t>
      </w:r>
    </w:p>
    <w:p w14:paraId="30E45F36" w14:textId="77777777" w:rsidR="00125FAC" w:rsidRPr="00A53AD7" w:rsidRDefault="00125FAC" w:rsidP="004E7528">
      <w:pPr>
        <w:numPr>
          <w:ilvl w:val="0"/>
          <w:numId w:val="4"/>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министерству образования и науки Архангельской области – 3,7 млн.руб., из них 1,5 млн.руб. для государственного бюджетного учреждения Архангельской области для детей-сирот и детей, оставшихся без попечения родителей, «Коряжемский детский дом-школа» на выполнение работ по ремонту помещения жилого корпуса № 4, 0,8 млн.руб. – на разработку проектно-сметной документации и строительство спортивного поля и универсальной спортивной площадки для государственного автономного профессионального образовательного учреждения Архангельской области «Котласский электромеханический техникум», 0,6 млн.руб. – на ремонт внутреннего противопожарного водопровода по проекту «Капитальный ремонт системы противопожарной защиты» государственного бюджетного образовательного учреждения дополнительного образования Архангельской области «Дворец детского и юношеского творчества», 0,5 млн.руб. - на приобретение деревообрабатывающего оборудования для государственного автономного профессионального образовательного учреждения Архангельской области «Архангельский политехнический техникум», 0,2 млн.руб. – на приобретение кухонного оборудования для пищеблока для государственного автономного профессионального образовательного учреждения Архангельской области «Устьянский индустриальный техникум», 0,1 млн.руб. –на проведение в Архангельской области федерального этапа Всероссийского конкурса профессионального мастерства «Лучший по профессии» в номинации «Лучший плотник» для государственного бюджетного профессионального образовательного учреждения Архангельской области «Архангельский техникум строительства и экономики»;</w:t>
      </w:r>
    </w:p>
    <w:p w14:paraId="44256CBD" w14:textId="77777777" w:rsidR="00125FAC" w:rsidRPr="00A53AD7" w:rsidRDefault="00125FAC" w:rsidP="00CA1DDD">
      <w:pPr>
        <w:pStyle w:val="a8"/>
        <w:numPr>
          <w:ilvl w:val="0"/>
          <w:numId w:val="22"/>
        </w:numPr>
        <w:ind w:left="0" w:firstLine="851"/>
        <w:jc w:val="both"/>
        <w:rPr>
          <w:sz w:val="28"/>
          <w:szCs w:val="28"/>
        </w:rPr>
      </w:pPr>
      <w:r w:rsidRPr="00A53AD7">
        <w:rPr>
          <w:sz w:val="28"/>
          <w:szCs w:val="28"/>
        </w:rPr>
        <w:t>министерству культуры Архангельской области – 3,4 млн.руб. - для государственного бюджетного учреждения культуры Архангельской области «Дом народного творчества» на проведение мероприятий культурной программы III Ломоносовской ассамблеи 14 декабря 2019 года;</w:t>
      </w:r>
    </w:p>
    <w:p w14:paraId="6AC96B7E" w14:textId="77777777" w:rsidR="00125FAC" w:rsidRPr="00A53AD7" w:rsidRDefault="00125FAC" w:rsidP="00CA1DDD">
      <w:pPr>
        <w:pStyle w:val="a8"/>
        <w:numPr>
          <w:ilvl w:val="0"/>
          <w:numId w:val="22"/>
        </w:numPr>
        <w:ind w:left="0" w:firstLine="851"/>
        <w:jc w:val="both"/>
        <w:rPr>
          <w:sz w:val="28"/>
          <w:szCs w:val="28"/>
        </w:rPr>
      </w:pPr>
      <w:r w:rsidRPr="00A53AD7">
        <w:rPr>
          <w:sz w:val="28"/>
          <w:szCs w:val="28"/>
        </w:rPr>
        <w:t>министерству транспорта Архангельской области 0,3 млн.руб. – на оплату расходов по рассылке постановлений (извещений, уведомлений) по делам об административных правонарушениях в области дорожного движения, зафиксированных специальными техническими средствами автоматической фотовидеофиксации, установленными на автомобильных дорогах федерального значения на территории Архангельской области и принадлежащими федеральному казенному учреждению «Управление автомобильной магистрали Москва –Архангельск Федерального дорожного агентства» для ГБУ АО «Региональная транспортная служба».</w:t>
      </w:r>
    </w:p>
    <w:p w14:paraId="703916F8" w14:textId="7BBCD7A9" w:rsidR="007C1C62" w:rsidRPr="00A53AD7" w:rsidRDefault="00210DE5" w:rsidP="00772338">
      <w:pPr>
        <w:pStyle w:val="2"/>
        <w:spacing w:line="240" w:lineRule="auto"/>
        <w:jc w:val="center"/>
        <w:rPr>
          <w:rFonts w:ascii="Times New Roman" w:hAnsi="Times New Roman"/>
          <w:lang w:val="ru-RU"/>
        </w:rPr>
      </w:pPr>
      <w:bookmarkStart w:id="101" w:name="_Toc42006743"/>
      <w:r w:rsidRPr="00A53AD7">
        <w:rPr>
          <w:rFonts w:ascii="Times New Roman" w:hAnsi="Times New Roman"/>
          <w:lang w:val="ru-RU"/>
        </w:rPr>
        <w:t>4</w:t>
      </w:r>
      <w:r w:rsidR="007C1C62" w:rsidRPr="00A53AD7">
        <w:rPr>
          <w:rFonts w:ascii="Times New Roman" w:hAnsi="Times New Roman"/>
          <w:lang w:val="ru-RU"/>
        </w:rPr>
        <w:t>.</w:t>
      </w:r>
      <w:r w:rsidR="00DE2EB8" w:rsidRPr="00A53AD7">
        <w:rPr>
          <w:rFonts w:ascii="Times New Roman" w:hAnsi="Times New Roman"/>
          <w:lang w:val="ru-RU"/>
        </w:rPr>
        <w:t>4</w:t>
      </w:r>
      <w:r w:rsidR="007C1C62" w:rsidRPr="00A53AD7">
        <w:rPr>
          <w:rFonts w:ascii="Times New Roman" w:hAnsi="Times New Roman"/>
          <w:lang w:val="ru-RU"/>
        </w:rPr>
        <w:t xml:space="preserve">. </w:t>
      </w:r>
      <w:r w:rsidR="000871B0" w:rsidRPr="00A53AD7">
        <w:rPr>
          <w:rFonts w:ascii="Times New Roman" w:hAnsi="Times New Roman"/>
          <w:lang w:val="ru-RU"/>
        </w:rPr>
        <w:t>Реализация областной адресной инвестиционной программы в 201</w:t>
      </w:r>
      <w:r w:rsidR="00014897" w:rsidRPr="00A53AD7">
        <w:rPr>
          <w:rFonts w:ascii="Times New Roman" w:hAnsi="Times New Roman"/>
          <w:lang w:val="ru-RU"/>
        </w:rPr>
        <w:t>9</w:t>
      </w:r>
      <w:r w:rsidR="000871B0" w:rsidRPr="00A53AD7">
        <w:rPr>
          <w:rFonts w:ascii="Times New Roman" w:hAnsi="Times New Roman"/>
          <w:lang w:val="ru-RU"/>
        </w:rPr>
        <w:t xml:space="preserve"> году</w:t>
      </w:r>
      <w:bookmarkEnd w:id="101"/>
    </w:p>
    <w:p w14:paraId="53240EFC" w14:textId="03A956B4" w:rsidR="00B823F8" w:rsidRPr="00A53AD7" w:rsidRDefault="00B823F8" w:rsidP="0003358F">
      <w:pPr>
        <w:pStyle w:val="ad"/>
        <w:ind w:firstLine="851"/>
        <w:jc w:val="both"/>
        <w:rPr>
          <w:rFonts w:ascii="Times New Roman" w:hAnsi="Times New Roman"/>
          <w:sz w:val="28"/>
          <w:szCs w:val="28"/>
        </w:rPr>
      </w:pPr>
      <w:r w:rsidRPr="00A53AD7">
        <w:rPr>
          <w:rFonts w:ascii="Times New Roman" w:hAnsi="Times New Roman"/>
          <w:sz w:val="28"/>
          <w:szCs w:val="28"/>
        </w:rPr>
        <w:t>В течение 2019 года в состав областной адресной инвестиционной программы, далее ОАИП, неоднократно вносились изменения, которые характери</w:t>
      </w:r>
      <w:r w:rsidR="0003358F" w:rsidRPr="00A53AD7">
        <w:rPr>
          <w:rFonts w:ascii="Times New Roman" w:hAnsi="Times New Roman"/>
          <w:sz w:val="28"/>
          <w:szCs w:val="28"/>
        </w:rPr>
        <w:t>зуются следующими показателями.</w:t>
      </w:r>
    </w:p>
    <w:p w14:paraId="295FC8AB" w14:textId="77777777" w:rsidR="00B823F8" w:rsidRPr="00A53AD7" w:rsidRDefault="00B823F8" w:rsidP="00B823F8">
      <w:pPr>
        <w:pStyle w:val="ad"/>
        <w:ind w:firstLine="709"/>
        <w:jc w:val="right"/>
        <w:rPr>
          <w:rFonts w:ascii="Times New Roman" w:hAnsi="Times New Roman"/>
          <w:sz w:val="28"/>
          <w:szCs w:val="28"/>
        </w:rPr>
      </w:pPr>
      <w:r w:rsidRPr="00A53AD7">
        <w:rPr>
          <w:rFonts w:ascii="Times New Roman" w:hAnsi="Times New Roman"/>
          <w:sz w:val="28"/>
          <w:szCs w:val="28"/>
        </w:rPr>
        <w:t xml:space="preserve"> (млн.руб.)</w:t>
      </w:r>
    </w:p>
    <w:tbl>
      <w:tblPr>
        <w:tblStyle w:val="a7"/>
        <w:tblW w:w="9352"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251"/>
        <w:gridCol w:w="1144"/>
        <w:gridCol w:w="1041"/>
        <w:gridCol w:w="986"/>
        <w:gridCol w:w="986"/>
        <w:gridCol w:w="986"/>
        <w:gridCol w:w="986"/>
        <w:gridCol w:w="986"/>
        <w:gridCol w:w="986"/>
      </w:tblGrid>
      <w:tr w:rsidR="00D470B6" w:rsidRPr="00A53AD7" w14:paraId="586BA216" w14:textId="77777777" w:rsidTr="00390EE1">
        <w:tc>
          <w:tcPr>
            <w:tcW w:w="1251" w:type="dxa"/>
          </w:tcPr>
          <w:p w14:paraId="30B20ECA" w14:textId="77777777" w:rsidR="00014897" w:rsidRPr="00A53AD7" w:rsidRDefault="00014897" w:rsidP="00014897">
            <w:pPr>
              <w:pStyle w:val="ad"/>
              <w:jc w:val="center"/>
              <w:rPr>
                <w:rFonts w:ascii="Times New Roman" w:hAnsi="Times New Roman"/>
                <w:b/>
              </w:rPr>
            </w:pPr>
          </w:p>
        </w:tc>
        <w:tc>
          <w:tcPr>
            <w:tcW w:w="1144" w:type="dxa"/>
          </w:tcPr>
          <w:p w14:paraId="39EE3B97" w14:textId="1103A024" w:rsidR="00014897" w:rsidRPr="00A53AD7" w:rsidRDefault="00D23E21" w:rsidP="00230407">
            <w:pPr>
              <w:pStyle w:val="ad"/>
              <w:jc w:val="center"/>
              <w:rPr>
                <w:rFonts w:ascii="Times New Roman" w:hAnsi="Times New Roman"/>
                <w:b/>
              </w:rPr>
            </w:pPr>
            <w:r w:rsidRPr="00A53AD7">
              <w:rPr>
                <w:rFonts w:ascii="Times New Roman" w:hAnsi="Times New Roman"/>
                <w:b/>
              </w:rPr>
              <w:t>01.01.19</w:t>
            </w:r>
          </w:p>
        </w:tc>
        <w:tc>
          <w:tcPr>
            <w:tcW w:w="1041" w:type="dxa"/>
          </w:tcPr>
          <w:p w14:paraId="0370F264" w14:textId="3CA23D52" w:rsidR="00014897" w:rsidRPr="00A53AD7" w:rsidRDefault="00014897" w:rsidP="00014897">
            <w:pPr>
              <w:pStyle w:val="ad"/>
              <w:jc w:val="center"/>
              <w:rPr>
                <w:rFonts w:ascii="Times New Roman" w:hAnsi="Times New Roman"/>
                <w:b/>
              </w:rPr>
            </w:pPr>
            <w:r w:rsidRPr="00A53AD7">
              <w:rPr>
                <w:rFonts w:ascii="Times New Roman" w:hAnsi="Times New Roman"/>
                <w:b/>
              </w:rPr>
              <w:t>13.02.19</w:t>
            </w:r>
          </w:p>
        </w:tc>
        <w:tc>
          <w:tcPr>
            <w:tcW w:w="986" w:type="dxa"/>
          </w:tcPr>
          <w:p w14:paraId="1F0F9456" w14:textId="37173DCB" w:rsidR="00014897" w:rsidRPr="00A53AD7" w:rsidRDefault="00014897" w:rsidP="00014897">
            <w:pPr>
              <w:pStyle w:val="ad"/>
              <w:jc w:val="center"/>
              <w:rPr>
                <w:rFonts w:ascii="Times New Roman" w:hAnsi="Times New Roman"/>
                <w:b/>
              </w:rPr>
            </w:pPr>
            <w:r w:rsidRPr="00A53AD7">
              <w:rPr>
                <w:rFonts w:ascii="Times New Roman" w:hAnsi="Times New Roman"/>
                <w:b/>
              </w:rPr>
              <w:t>01.04.19</w:t>
            </w:r>
          </w:p>
        </w:tc>
        <w:tc>
          <w:tcPr>
            <w:tcW w:w="986" w:type="dxa"/>
          </w:tcPr>
          <w:p w14:paraId="33BA6EF3" w14:textId="11AA67C5" w:rsidR="00014897" w:rsidRPr="00A53AD7" w:rsidRDefault="00014897" w:rsidP="00014897">
            <w:pPr>
              <w:pStyle w:val="ad"/>
              <w:jc w:val="center"/>
              <w:rPr>
                <w:rFonts w:ascii="Times New Roman" w:hAnsi="Times New Roman"/>
                <w:b/>
              </w:rPr>
            </w:pPr>
            <w:r w:rsidRPr="00A53AD7">
              <w:rPr>
                <w:rFonts w:ascii="Times New Roman" w:hAnsi="Times New Roman"/>
                <w:b/>
              </w:rPr>
              <w:t>30.04.19</w:t>
            </w:r>
          </w:p>
        </w:tc>
        <w:tc>
          <w:tcPr>
            <w:tcW w:w="986" w:type="dxa"/>
          </w:tcPr>
          <w:p w14:paraId="123F339A" w14:textId="515BADEF" w:rsidR="00014897" w:rsidRPr="00A53AD7" w:rsidRDefault="00014897" w:rsidP="00014897">
            <w:pPr>
              <w:pStyle w:val="ad"/>
              <w:jc w:val="center"/>
              <w:rPr>
                <w:rFonts w:ascii="Times New Roman" w:hAnsi="Times New Roman"/>
                <w:b/>
              </w:rPr>
            </w:pPr>
            <w:r w:rsidRPr="00A53AD7">
              <w:rPr>
                <w:rFonts w:ascii="Times New Roman" w:hAnsi="Times New Roman"/>
                <w:b/>
              </w:rPr>
              <w:t>02.07.19</w:t>
            </w:r>
          </w:p>
        </w:tc>
        <w:tc>
          <w:tcPr>
            <w:tcW w:w="986" w:type="dxa"/>
          </w:tcPr>
          <w:p w14:paraId="1DAB4DD3" w14:textId="452C7A99" w:rsidR="00014897" w:rsidRPr="00A53AD7" w:rsidRDefault="00014897" w:rsidP="00014897">
            <w:pPr>
              <w:pStyle w:val="ad"/>
              <w:jc w:val="center"/>
              <w:rPr>
                <w:rFonts w:ascii="Times New Roman" w:hAnsi="Times New Roman"/>
                <w:b/>
              </w:rPr>
            </w:pPr>
            <w:r w:rsidRPr="00A53AD7">
              <w:rPr>
                <w:rFonts w:ascii="Times New Roman" w:hAnsi="Times New Roman"/>
                <w:b/>
              </w:rPr>
              <w:t>25.09.19</w:t>
            </w:r>
          </w:p>
        </w:tc>
        <w:tc>
          <w:tcPr>
            <w:tcW w:w="986" w:type="dxa"/>
          </w:tcPr>
          <w:p w14:paraId="4FD557F1" w14:textId="56681214" w:rsidR="00014897" w:rsidRPr="00A53AD7" w:rsidRDefault="00014897" w:rsidP="00014897">
            <w:pPr>
              <w:pStyle w:val="ad"/>
              <w:jc w:val="center"/>
              <w:rPr>
                <w:rFonts w:ascii="Times New Roman" w:hAnsi="Times New Roman"/>
                <w:b/>
              </w:rPr>
            </w:pPr>
            <w:r w:rsidRPr="00A53AD7">
              <w:rPr>
                <w:rFonts w:ascii="Times New Roman" w:hAnsi="Times New Roman"/>
                <w:b/>
              </w:rPr>
              <w:t>19.11.19</w:t>
            </w:r>
          </w:p>
        </w:tc>
        <w:tc>
          <w:tcPr>
            <w:tcW w:w="986" w:type="dxa"/>
          </w:tcPr>
          <w:p w14:paraId="469B8C8C" w14:textId="718A6294" w:rsidR="00014897" w:rsidRPr="00A53AD7" w:rsidRDefault="00014897" w:rsidP="00014897">
            <w:pPr>
              <w:pStyle w:val="ad"/>
              <w:jc w:val="center"/>
              <w:rPr>
                <w:rFonts w:ascii="Times New Roman" w:hAnsi="Times New Roman"/>
                <w:b/>
              </w:rPr>
            </w:pPr>
            <w:r w:rsidRPr="00A53AD7">
              <w:rPr>
                <w:rFonts w:ascii="Times New Roman" w:hAnsi="Times New Roman"/>
                <w:b/>
              </w:rPr>
              <w:t>13.12.19</w:t>
            </w:r>
          </w:p>
        </w:tc>
      </w:tr>
      <w:tr w:rsidR="00D470B6" w:rsidRPr="00A53AD7" w14:paraId="46B38B08" w14:textId="77777777" w:rsidTr="00390EE1">
        <w:tc>
          <w:tcPr>
            <w:tcW w:w="1251" w:type="dxa"/>
          </w:tcPr>
          <w:p w14:paraId="5AA209E8" w14:textId="2ED9D562" w:rsidR="00014897" w:rsidRPr="00A53AD7" w:rsidRDefault="007B2666" w:rsidP="00230407">
            <w:pPr>
              <w:pStyle w:val="ad"/>
              <w:rPr>
                <w:rFonts w:ascii="Times New Roman" w:hAnsi="Times New Roman"/>
              </w:rPr>
            </w:pPr>
            <w:r w:rsidRPr="00A53AD7">
              <w:rPr>
                <w:rFonts w:ascii="Times New Roman" w:hAnsi="Times New Roman"/>
              </w:rPr>
              <w:t>На начало</w:t>
            </w:r>
          </w:p>
        </w:tc>
        <w:tc>
          <w:tcPr>
            <w:tcW w:w="1144" w:type="dxa"/>
          </w:tcPr>
          <w:p w14:paraId="7BD1BB3F" w14:textId="72FEC221" w:rsidR="00014897" w:rsidRPr="00A53AD7" w:rsidRDefault="00D23E21" w:rsidP="00390EE1">
            <w:pPr>
              <w:pStyle w:val="ad"/>
              <w:jc w:val="center"/>
              <w:rPr>
                <w:rFonts w:ascii="Times New Roman" w:hAnsi="Times New Roman"/>
              </w:rPr>
            </w:pPr>
            <w:r w:rsidRPr="00A53AD7">
              <w:rPr>
                <w:rFonts w:ascii="Times New Roman" w:hAnsi="Times New Roman"/>
              </w:rPr>
              <w:t>1 902,5</w:t>
            </w:r>
          </w:p>
        </w:tc>
        <w:tc>
          <w:tcPr>
            <w:tcW w:w="1041" w:type="dxa"/>
          </w:tcPr>
          <w:p w14:paraId="1562F58E" w14:textId="27E7738C"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10730E1F" w14:textId="75487A5A"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28F18452" w14:textId="788ACD3F"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546DF516" w14:textId="7FF0E225"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196028C8" w14:textId="572093CF"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190947B1" w14:textId="17D35B78" w:rsidR="00014897" w:rsidRPr="00A53AD7" w:rsidRDefault="00C97987" w:rsidP="00390EE1">
            <w:pPr>
              <w:pStyle w:val="ad"/>
              <w:jc w:val="center"/>
              <w:rPr>
                <w:rFonts w:ascii="Times New Roman" w:hAnsi="Times New Roman"/>
              </w:rPr>
            </w:pPr>
            <w:r w:rsidRPr="00A53AD7">
              <w:rPr>
                <w:rFonts w:ascii="Times New Roman" w:hAnsi="Times New Roman"/>
              </w:rPr>
              <w:t>х</w:t>
            </w:r>
          </w:p>
        </w:tc>
        <w:tc>
          <w:tcPr>
            <w:tcW w:w="986" w:type="dxa"/>
          </w:tcPr>
          <w:p w14:paraId="14100C46" w14:textId="2268DA52" w:rsidR="00014897" w:rsidRPr="00A53AD7" w:rsidRDefault="00C97987" w:rsidP="00390EE1">
            <w:pPr>
              <w:pStyle w:val="ad"/>
              <w:jc w:val="center"/>
              <w:rPr>
                <w:rFonts w:ascii="Times New Roman" w:hAnsi="Times New Roman"/>
              </w:rPr>
            </w:pPr>
            <w:r w:rsidRPr="00A53AD7">
              <w:rPr>
                <w:rFonts w:ascii="Times New Roman" w:hAnsi="Times New Roman"/>
              </w:rPr>
              <w:t>х</w:t>
            </w:r>
          </w:p>
        </w:tc>
      </w:tr>
      <w:tr w:rsidR="00D470B6" w:rsidRPr="00A53AD7" w14:paraId="32F4EA13" w14:textId="77777777" w:rsidTr="00390EE1">
        <w:tc>
          <w:tcPr>
            <w:tcW w:w="1251" w:type="dxa"/>
          </w:tcPr>
          <w:p w14:paraId="70E9952F" w14:textId="7DB29839" w:rsidR="007B2666" w:rsidRPr="00A53AD7" w:rsidRDefault="007B2666" w:rsidP="00230407">
            <w:pPr>
              <w:pStyle w:val="ad"/>
              <w:rPr>
                <w:rFonts w:ascii="Times New Roman" w:hAnsi="Times New Roman"/>
              </w:rPr>
            </w:pPr>
            <w:r w:rsidRPr="00A53AD7">
              <w:rPr>
                <w:rFonts w:ascii="Times New Roman" w:hAnsi="Times New Roman"/>
              </w:rPr>
              <w:t>Изменения</w:t>
            </w:r>
          </w:p>
        </w:tc>
        <w:tc>
          <w:tcPr>
            <w:tcW w:w="1144" w:type="dxa"/>
          </w:tcPr>
          <w:p w14:paraId="579A77F4" w14:textId="2B8C3975" w:rsidR="007B2666" w:rsidRPr="00A53AD7" w:rsidRDefault="00C97987" w:rsidP="00390EE1">
            <w:pPr>
              <w:pStyle w:val="ad"/>
              <w:jc w:val="center"/>
              <w:rPr>
                <w:rFonts w:ascii="Times New Roman" w:hAnsi="Times New Roman"/>
              </w:rPr>
            </w:pPr>
            <w:r w:rsidRPr="00A53AD7">
              <w:rPr>
                <w:rFonts w:ascii="Times New Roman" w:hAnsi="Times New Roman"/>
              </w:rPr>
              <w:t>х</w:t>
            </w:r>
          </w:p>
        </w:tc>
        <w:tc>
          <w:tcPr>
            <w:tcW w:w="1041" w:type="dxa"/>
          </w:tcPr>
          <w:p w14:paraId="4C0D1FC3" w14:textId="2494503D" w:rsidR="007B2666" w:rsidRPr="00A53AD7" w:rsidRDefault="007B2666" w:rsidP="00390EE1">
            <w:pPr>
              <w:pStyle w:val="ad"/>
              <w:jc w:val="center"/>
              <w:rPr>
                <w:rFonts w:ascii="Times New Roman" w:hAnsi="Times New Roman"/>
              </w:rPr>
            </w:pPr>
            <w:r w:rsidRPr="00A53AD7">
              <w:rPr>
                <w:rFonts w:ascii="Times New Roman" w:hAnsi="Times New Roman"/>
              </w:rPr>
              <w:t>0</w:t>
            </w:r>
          </w:p>
        </w:tc>
        <w:tc>
          <w:tcPr>
            <w:tcW w:w="986" w:type="dxa"/>
          </w:tcPr>
          <w:p w14:paraId="2E886710" w14:textId="1A80BE5D" w:rsidR="007B2666" w:rsidRPr="00A53AD7" w:rsidRDefault="007B2666" w:rsidP="00390EE1">
            <w:pPr>
              <w:pStyle w:val="ad"/>
              <w:jc w:val="center"/>
              <w:rPr>
                <w:rFonts w:ascii="Times New Roman" w:hAnsi="Times New Roman"/>
              </w:rPr>
            </w:pPr>
            <w:r w:rsidRPr="00A53AD7">
              <w:rPr>
                <w:rFonts w:ascii="Times New Roman" w:hAnsi="Times New Roman"/>
              </w:rPr>
              <w:t>+ 539,6</w:t>
            </w:r>
          </w:p>
        </w:tc>
        <w:tc>
          <w:tcPr>
            <w:tcW w:w="986" w:type="dxa"/>
          </w:tcPr>
          <w:p w14:paraId="41E6A7E1" w14:textId="05B8BC5C" w:rsidR="007B2666" w:rsidRPr="00A53AD7" w:rsidRDefault="007B2666" w:rsidP="00390EE1">
            <w:pPr>
              <w:pStyle w:val="ad"/>
              <w:jc w:val="center"/>
              <w:rPr>
                <w:rFonts w:ascii="Times New Roman" w:hAnsi="Times New Roman"/>
              </w:rPr>
            </w:pPr>
            <w:r w:rsidRPr="00A53AD7">
              <w:rPr>
                <w:rFonts w:ascii="Times New Roman" w:hAnsi="Times New Roman"/>
              </w:rPr>
              <w:t>0</w:t>
            </w:r>
          </w:p>
        </w:tc>
        <w:tc>
          <w:tcPr>
            <w:tcW w:w="986" w:type="dxa"/>
          </w:tcPr>
          <w:p w14:paraId="48C33F20" w14:textId="07C02936" w:rsidR="007B2666" w:rsidRPr="00A53AD7" w:rsidRDefault="007B2666" w:rsidP="00390EE1">
            <w:pPr>
              <w:pStyle w:val="ad"/>
              <w:jc w:val="center"/>
              <w:rPr>
                <w:rFonts w:ascii="Times New Roman" w:hAnsi="Times New Roman"/>
              </w:rPr>
            </w:pPr>
            <w:r w:rsidRPr="00A53AD7">
              <w:rPr>
                <w:rFonts w:ascii="Times New Roman" w:hAnsi="Times New Roman"/>
              </w:rPr>
              <w:t>+ 363,9</w:t>
            </w:r>
          </w:p>
        </w:tc>
        <w:tc>
          <w:tcPr>
            <w:tcW w:w="986" w:type="dxa"/>
          </w:tcPr>
          <w:p w14:paraId="0559870B" w14:textId="14C844AB" w:rsidR="007B2666" w:rsidRPr="00A53AD7" w:rsidRDefault="007B2666" w:rsidP="00390EE1">
            <w:pPr>
              <w:pStyle w:val="ad"/>
              <w:jc w:val="center"/>
              <w:rPr>
                <w:rFonts w:ascii="Times New Roman" w:hAnsi="Times New Roman"/>
              </w:rPr>
            </w:pPr>
            <w:r w:rsidRPr="00A53AD7">
              <w:rPr>
                <w:rFonts w:ascii="Times New Roman" w:hAnsi="Times New Roman"/>
              </w:rPr>
              <w:t>- 115,4</w:t>
            </w:r>
          </w:p>
        </w:tc>
        <w:tc>
          <w:tcPr>
            <w:tcW w:w="986" w:type="dxa"/>
          </w:tcPr>
          <w:p w14:paraId="569E715C" w14:textId="0F82CDE1" w:rsidR="007B2666" w:rsidRPr="00A53AD7" w:rsidRDefault="007B2666" w:rsidP="00390EE1">
            <w:pPr>
              <w:pStyle w:val="ad"/>
              <w:jc w:val="center"/>
              <w:rPr>
                <w:rFonts w:ascii="Times New Roman" w:hAnsi="Times New Roman"/>
              </w:rPr>
            </w:pPr>
            <w:r w:rsidRPr="00A53AD7">
              <w:rPr>
                <w:rFonts w:ascii="Times New Roman" w:hAnsi="Times New Roman"/>
              </w:rPr>
              <w:t>- 39,0</w:t>
            </w:r>
          </w:p>
        </w:tc>
        <w:tc>
          <w:tcPr>
            <w:tcW w:w="986" w:type="dxa"/>
          </w:tcPr>
          <w:p w14:paraId="176FB163" w14:textId="10DA23EA" w:rsidR="007B2666" w:rsidRPr="00A53AD7" w:rsidRDefault="007B2666" w:rsidP="00390EE1">
            <w:pPr>
              <w:pStyle w:val="ad"/>
              <w:jc w:val="center"/>
              <w:rPr>
                <w:rFonts w:ascii="Times New Roman" w:hAnsi="Times New Roman"/>
              </w:rPr>
            </w:pPr>
            <w:r w:rsidRPr="00A53AD7">
              <w:rPr>
                <w:rFonts w:ascii="Times New Roman" w:hAnsi="Times New Roman"/>
              </w:rPr>
              <w:t>- 432,5</w:t>
            </w:r>
          </w:p>
        </w:tc>
      </w:tr>
      <w:tr w:rsidR="007B2666" w:rsidRPr="00A53AD7" w14:paraId="51A13D91" w14:textId="77777777" w:rsidTr="00390EE1">
        <w:tc>
          <w:tcPr>
            <w:tcW w:w="1251" w:type="dxa"/>
          </w:tcPr>
          <w:p w14:paraId="78C49CD6" w14:textId="0DA4666C" w:rsidR="007B2666" w:rsidRPr="00A53AD7" w:rsidRDefault="007B2666" w:rsidP="00230407">
            <w:pPr>
              <w:pStyle w:val="ad"/>
              <w:rPr>
                <w:rFonts w:ascii="Times New Roman" w:hAnsi="Times New Roman"/>
              </w:rPr>
            </w:pPr>
            <w:r w:rsidRPr="00A53AD7">
              <w:rPr>
                <w:rFonts w:ascii="Times New Roman" w:hAnsi="Times New Roman"/>
              </w:rPr>
              <w:t>С учетом изменений</w:t>
            </w:r>
          </w:p>
        </w:tc>
        <w:tc>
          <w:tcPr>
            <w:tcW w:w="1144" w:type="dxa"/>
          </w:tcPr>
          <w:p w14:paraId="6C4D58BA" w14:textId="3D8503CA" w:rsidR="007B2666" w:rsidRPr="00A53AD7" w:rsidRDefault="00C97987" w:rsidP="00390EE1">
            <w:pPr>
              <w:pStyle w:val="ad"/>
              <w:jc w:val="center"/>
              <w:rPr>
                <w:rFonts w:ascii="Times New Roman" w:hAnsi="Times New Roman"/>
              </w:rPr>
            </w:pPr>
            <w:r w:rsidRPr="00A53AD7">
              <w:rPr>
                <w:rFonts w:ascii="Times New Roman" w:hAnsi="Times New Roman"/>
              </w:rPr>
              <w:t>х</w:t>
            </w:r>
          </w:p>
        </w:tc>
        <w:tc>
          <w:tcPr>
            <w:tcW w:w="1041" w:type="dxa"/>
          </w:tcPr>
          <w:p w14:paraId="29C1B7F4" w14:textId="566266DD" w:rsidR="007B2666" w:rsidRPr="00A53AD7" w:rsidRDefault="007B2666" w:rsidP="00390EE1">
            <w:pPr>
              <w:pStyle w:val="ad"/>
              <w:jc w:val="center"/>
              <w:rPr>
                <w:rFonts w:ascii="Times New Roman" w:hAnsi="Times New Roman"/>
              </w:rPr>
            </w:pPr>
            <w:r w:rsidRPr="00A53AD7">
              <w:rPr>
                <w:rFonts w:ascii="Times New Roman" w:hAnsi="Times New Roman"/>
              </w:rPr>
              <w:t>1 902,5</w:t>
            </w:r>
          </w:p>
        </w:tc>
        <w:tc>
          <w:tcPr>
            <w:tcW w:w="986" w:type="dxa"/>
          </w:tcPr>
          <w:p w14:paraId="07BAC903" w14:textId="18111E41" w:rsidR="007B2666" w:rsidRPr="00A53AD7" w:rsidRDefault="007B2666" w:rsidP="00390EE1">
            <w:pPr>
              <w:pStyle w:val="ad"/>
              <w:jc w:val="center"/>
              <w:rPr>
                <w:rFonts w:ascii="Times New Roman" w:hAnsi="Times New Roman"/>
              </w:rPr>
            </w:pPr>
            <w:r w:rsidRPr="00A53AD7">
              <w:rPr>
                <w:rFonts w:ascii="Times New Roman" w:hAnsi="Times New Roman"/>
              </w:rPr>
              <w:t>2 442,1</w:t>
            </w:r>
          </w:p>
        </w:tc>
        <w:tc>
          <w:tcPr>
            <w:tcW w:w="986" w:type="dxa"/>
          </w:tcPr>
          <w:p w14:paraId="23BE2280" w14:textId="63C261A7" w:rsidR="007B2666" w:rsidRPr="00A53AD7" w:rsidRDefault="007B2666" w:rsidP="00390EE1">
            <w:pPr>
              <w:pStyle w:val="ad"/>
              <w:jc w:val="center"/>
              <w:rPr>
                <w:rFonts w:ascii="Times New Roman" w:hAnsi="Times New Roman"/>
              </w:rPr>
            </w:pPr>
            <w:r w:rsidRPr="00A53AD7">
              <w:rPr>
                <w:rFonts w:ascii="Times New Roman" w:hAnsi="Times New Roman"/>
              </w:rPr>
              <w:t>2 442,1</w:t>
            </w:r>
          </w:p>
        </w:tc>
        <w:tc>
          <w:tcPr>
            <w:tcW w:w="986" w:type="dxa"/>
          </w:tcPr>
          <w:p w14:paraId="503E5AFF" w14:textId="33292CCB" w:rsidR="007B2666" w:rsidRPr="00A53AD7" w:rsidRDefault="007B2666" w:rsidP="00390EE1">
            <w:pPr>
              <w:pStyle w:val="ad"/>
              <w:jc w:val="center"/>
              <w:rPr>
                <w:rFonts w:ascii="Times New Roman" w:hAnsi="Times New Roman"/>
              </w:rPr>
            </w:pPr>
            <w:r w:rsidRPr="00A53AD7">
              <w:rPr>
                <w:rFonts w:ascii="Times New Roman" w:hAnsi="Times New Roman"/>
              </w:rPr>
              <w:t>2 806,0</w:t>
            </w:r>
          </w:p>
        </w:tc>
        <w:tc>
          <w:tcPr>
            <w:tcW w:w="986" w:type="dxa"/>
          </w:tcPr>
          <w:p w14:paraId="0335C1F5" w14:textId="4DA83B84" w:rsidR="007B2666" w:rsidRPr="00A53AD7" w:rsidRDefault="007B2666" w:rsidP="00390EE1">
            <w:pPr>
              <w:pStyle w:val="ad"/>
              <w:jc w:val="center"/>
              <w:rPr>
                <w:rFonts w:ascii="Times New Roman" w:hAnsi="Times New Roman"/>
              </w:rPr>
            </w:pPr>
            <w:r w:rsidRPr="00A53AD7">
              <w:rPr>
                <w:rFonts w:ascii="Times New Roman" w:hAnsi="Times New Roman"/>
              </w:rPr>
              <w:t>2 690,6</w:t>
            </w:r>
          </w:p>
        </w:tc>
        <w:tc>
          <w:tcPr>
            <w:tcW w:w="986" w:type="dxa"/>
          </w:tcPr>
          <w:p w14:paraId="405E74E6" w14:textId="7FFE4880" w:rsidR="007B2666" w:rsidRPr="00A53AD7" w:rsidRDefault="007B2666" w:rsidP="00390EE1">
            <w:pPr>
              <w:pStyle w:val="ad"/>
              <w:jc w:val="center"/>
              <w:rPr>
                <w:rFonts w:ascii="Times New Roman" w:hAnsi="Times New Roman"/>
              </w:rPr>
            </w:pPr>
            <w:r w:rsidRPr="00A53AD7">
              <w:rPr>
                <w:rFonts w:ascii="Times New Roman" w:hAnsi="Times New Roman"/>
              </w:rPr>
              <w:t>2 651,6</w:t>
            </w:r>
          </w:p>
        </w:tc>
        <w:tc>
          <w:tcPr>
            <w:tcW w:w="986" w:type="dxa"/>
          </w:tcPr>
          <w:p w14:paraId="02B76B6F" w14:textId="5930531B" w:rsidR="007B2666" w:rsidRPr="00A53AD7" w:rsidRDefault="007B2666" w:rsidP="00390EE1">
            <w:pPr>
              <w:pStyle w:val="ad"/>
              <w:jc w:val="center"/>
              <w:rPr>
                <w:rFonts w:ascii="Times New Roman" w:hAnsi="Times New Roman"/>
              </w:rPr>
            </w:pPr>
            <w:r w:rsidRPr="00A53AD7">
              <w:rPr>
                <w:rFonts w:ascii="Times New Roman" w:hAnsi="Times New Roman"/>
              </w:rPr>
              <w:t>2 219,1</w:t>
            </w:r>
          </w:p>
        </w:tc>
      </w:tr>
    </w:tbl>
    <w:p w14:paraId="23674071" w14:textId="77777777" w:rsidR="0003358F" w:rsidRPr="00A53AD7" w:rsidRDefault="0003358F" w:rsidP="0003358F">
      <w:pPr>
        <w:pStyle w:val="ad"/>
        <w:ind w:firstLine="851"/>
        <w:jc w:val="both"/>
        <w:rPr>
          <w:rFonts w:ascii="Times New Roman" w:hAnsi="Times New Roman"/>
          <w:sz w:val="28"/>
          <w:szCs w:val="28"/>
        </w:rPr>
      </w:pPr>
    </w:p>
    <w:p w14:paraId="1786ED20" w14:textId="77777777" w:rsidR="00B823F8" w:rsidRPr="00A53AD7" w:rsidRDefault="00B823F8" w:rsidP="0003358F">
      <w:pPr>
        <w:pStyle w:val="ad"/>
        <w:ind w:firstLine="851"/>
        <w:jc w:val="both"/>
        <w:rPr>
          <w:rFonts w:ascii="Times New Roman" w:hAnsi="Times New Roman"/>
          <w:sz w:val="28"/>
          <w:szCs w:val="28"/>
        </w:rPr>
      </w:pPr>
      <w:r w:rsidRPr="00A53AD7">
        <w:rPr>
          <w:rFonts w:ascii="Times New Roman" w:hAnsi="Times New Roman"/>
          <w:sz w:val="28"/>
          <w:szCs w:val="28"/>
        </w:rPr>
        <w:t>Таким образом за 2019 год увеличены расходы в рамках ОАИП в сравнении с началом года на 903,5 млн.руб. или на 47,5% за год, уменьшены расходы с начала года на 586,9 млн.руб. или на 30,8%. Всего расходы ОАИП за год увеличены на 316,6 млн.руб. или на 16,6%</w:t>
      </w:r>
    </w:p>
    <w:p w14:paraId="20E197BB" w14:textId="36916939" w:rsidR="00B823F8" w:rsidRPr="00A53AD7" w:rsidRDefault="00B823F8" w:rsidP="00222AB2">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течение 2019 года в сравнении с показателями бюджетной росписи и запланированным количеством объектов характеризуется следующими показателями:</w:t>
      </w:r>
    </w:p>
    <w:tbl>
      <w:tblPr>
        <w:tblStyle w:val="a7"/>
        <w:tblW w:w="933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689"/>
        <w:gridCol w:w="1701"/>
        <w:gridCol w:w="1674"/>
        <w:gridCol w:w="1648"/>
        <w:gridCol w:w="1622"/>
      </w:tblGrid>
      <w:tr w:rsidR="00D470B6" w:rsidRPr="00A53AD7" w14:paraId="5EF0B27D" w14:textId="77777777" w:rsidTr="0067236A">
        <w:tc>
          <w:tcPr>
            <w:tcW w:w="2689" w:type="dxa"/>
          </w:tcPr>
          <w:p w14:paraId="0986AB6A" w14:textId="77777777" w:rsidR="00B823F8" w:rsidRPr="00A53AD7" w:rsidRDefault="00B823F8" w:rsidP="00B823F8">
            <w:pPr>
              <w:pStyle w:val="ad"/>
              <w:jc w:val="both"/>
              <w:rPr>
                <w:rFonts w:ascii="Times New Roman" w:hAnsi="Times New Roman"/>
              </w:rPr>
            </w:pPr>
          </w:p>
        </w:tc>
        <w:tc>
          <w:tcPr>
            <w:tcW w:w="1701" w:type="dxa"/>
          </w:tcPr>
          <w:p w14:paraId="0E6ACA1E"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674" w:type="dxa"/>
          </w:tcPr>
          <w:p w14:paraId="31D894C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648" w:type="dxa"/>
          </w:tcPr>
          <w:p w14:paraId="5CCF57E6"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622" w:type="dxa"/>
          </w:tcPr>
          <w:p w14:paraId="196BFDB4"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5865A5CC" w14:textId="77777777" w:rsidTr="0067236A">
        <w:tc>
          <w:tcPr>
            <w:tcW w:w="2689" w:type="dxa"/>
          </w:tcPr>
          <w:p w14:paraId="52FC45EB" w14:textId="77777777" w:rsidR="00B823F8" w:rsidRPr="00A53AD7" w:rsidRDefault="00B823F8" w:rsidP="00D41322">
            <w:pPr>
              <w:pStyle w:val="ad"/>
              <w:rPr>
                <w:rFonts w:ascii="Times New Roman" w:hAnsi="Times New Roman"/>
              </w:rPr>
            </w:pPr>
            <w:r w:rsidRPr="00A53AD7">
              <w:rPr>
                <w:rFonts w:ascii="Times New Roman" w:hAnsi="Times New Roman"/>
              </w:rPr>
              <w:t>ОАИП план</w:t>
            </w:r>
          </w:p>
        </w:tc>
        <w:tc>
          <w:tcPr>
            <w:tcW w:w="1701" w:type="dxa"/>
          </w:tcPr>
          <w:p w14:paraId="3313206A" w14:textId="77777777" w:rsidR="00B823F8" w:rsidRPr="00A53AD7" w:rsidRDefault="00B823F8" w:rsidP="00B823F8">
            <w:pPr>
              <w:pStyle w:val="ad"/>
              <w:jc w:val="center"/>
              <w:rPr>
                <w:rFonts w:ascii="Times New Roman" w:hAnsi="Times New Roman"/>
              </w:rPr>
            </w:pPr>
            <w:r w:rsidRPr="00A53AD7">
              <w:rPr>
                <w:rFonts w:ascii="Times New Roman" w:hAnsi="Times New Roman"/>
              </w:rPr>
              <w:t>2 019,3</w:t>
            </w:r>
          </w:p>
        </w:tc>
        <w:tc>
          <w:tcPr>
            <w:tcW w:w="1674" w:type="dxa"/>
          </w:tcPr>
          <w:p w14:paraId="7FCF4664" w14:textId="77777777" w:rsidR="00B823F8" w:rsidRPr="00A53AD7" w:rsidRDefault="00B823F8" w:rsidP="00B823F8">
            <w:pPr>
              <w:pStyle w:val="ad"/>
              <w:jc w:val="center"/>
              <w:rPr>
                <w:rFonts w:ascii="Times New Roman" w:hAnsi="Times New Roman"/>
              </w:rPr>
            </w:pPr>
            <w:r w:rsidRPr="00A53AD7">
              <w:rPr>
                <w:rFonts w:ascii="Times New Roman" w:hAnsi="Times New Roman"/>
              </w:rPr>
              <w:t>2 423,2</w:t>
            </w:r>
          </w:p>
        </w:tc>
        <w:tc>
          <w:tcPr>
            <w:tcW w:w="1648" w:type="dxa"/>
          </w:tcPr>
          <w:p w14:paraId="4DCC59E5" w14:textId="77777777" w:rsidR="00B823F8" w:rsidRPr="00A53AD7" w:rsidRDefault="00B823F8" w:rsidP="00B823F8">
            <w:pPr>
              <w:pStyle w:val="ad"/>
              <w:jc w:val="center"/>
              <w:rPr>
                <w:rFonts w:ascii="Times New Roman" w:hAnsi="Times New Roman"/>
              </w:rPr>
            </w:pPr>
            <w:r w:rsidRPr="00A53AD7">
              <w:rPr>
                <w:rFonts w:ascii="Times New Roman" w:hAnsi="Times New Roman"/>
              </w:rPr>
              <w:t>2 678,0</w:t>
            </w:r>
          </w:p>
        </w:tc>
        <w:tc>
          <w:tcPr>
            <w:tcW w:w="1622" w:type="dxa"/>
          </w:tcPr>
          <w:p w14:paraId="33A191DD" w14:textId="77777777" w:rsidR="00B823F8" w:rsidRPr="00A53AD7" w:rsidRDefault="00B823F8" w:rsidP="00B823F8">
            <w:pPr>
              <w:pStyle w:val="ad"/>
              <w:jc w:val="center"/>
              <w:rPr>
                <w:rFonts w:ascii="Times New Roman" w:hAnsi="Times New Roman"/>
              </w:rPr>
            </w:pPr>
            <w:r w:rsidRPr="00A53AD7">
              <w:rPr>
                <w:rFonts w:ascii="Times New Roman" w:hAnsi="Times New Roman"/>
              </w:rPr>
              <w:t>2 219,1</w:t>
            </w:r>
          </w:p>
        </w:tc>
      </w:tr>
      <w:tr w:rsidR="00D470B6" w:rsidRPr="00A53AD7" w14:paraId="6F8B53A6" w14:textId="77777777" w:rsidTr="0067236A">
        <w:tc>
          <w:tcPr>
            <w:tcW w:w="2689" w:type="dxa"/>
          </w:tcPr>
          <w:p w14:paraId="4E966D22" w14:textId="77777777" w:rsidR="00B823F8" w:rsidRPr="00A53AD7" w:rsidRDefault="00B823F8" w:rsidP="00D41322">
            <w:pPr>
              <w:pStyle w:val="ad"/>
              <w:rPr>
                <w:rFonts w:ascii="Times New Roman" w:hAnsi="Times New Roman"/>
              </w:rPr>
            </w:pPr>
            <w:r w:rsidRPr="00A53AD7">
              <w:rPr>
                <w:rFonts w:ascii="Times New Roman" w:hAnsi="Times New Roman"/>
              </w:rPr>
              <w:t>Исполнено</w:t>
            </w:r>
          </w:p>
        </w:tc>
        <w:tc>
          <w:tcPr>
            <w:tcW w:w="1701" w:type="dxa"/>
          </w:tcPr>
          <w:p w14:paraId="7BE58C03" w14:textId="77777777" w:rsidR="00B823F8" w:rsidRPr="00A53AD7" w:rsidRDefault="00B823F8" w:rsidP="00B823F8">
            <w:pPr>
              <w:pStyle w:val="ad"/>
              <w:jc w:val="center"/>
              <w:rPr>
                <w:rFonts w:ascii="Times New Roman" w:hAnsi="Times New Roman"/>
              </w:rPr>
            </w:pPr>
            <w:r w:rsidRPr="00A53AD7">
              <w:rPr>
                <w:rFonts w:ascii="Times New Roman" w:hAnsi="Times New Roman"/>
              </w:rPr>
              <w:t>122,9</w:t>
            </w:r>
          </w:p>
        </w:tc>
        <w:tc>
          <w:tcPr>
            <w:tcW w:w="1674" w:type="dxa"/>
          </w:tcPr>
          <w:p w14:paraId="3039470D" w14:textId="77777777" w:rsidR="00B823F8" w:rsidRPr="00A53AD7" w:rsidRDefault="00B823F8" w:rsidP="00B823F8">
            <w:pPr>
              <w:pStyle w:val="ad"/>
              <w:jc w:val="center"/>
              <w:rPr>
                <w:rFonts w:ascii="Times New Roman" w:hAnsi="Times New Roman"/>
              </w:rPr>
            </w:pPr>
            <w:r w:rsidRPr="00A53AD7">
              <w:rPr>
                <w:rFonts w:ascii="Times New Roman" w:hAnsi="Times New Roman"/>
              </w:rPr>
              <w:t>337,8</w:t>
            </w:r>
          </w:p>
        </w:tc>
        <w:tc>
          <w:tcPr>
            <w:tcW w:w="1648" w:type="dxa"/>
          </w:tcPr>
          <w:p w14:paraId="20679039" w14:textId="77777777" w:rsidR="00B823F8" w:rsidRPr="00A53AD7" w:rsidRDefault="00B823F8" w:rsidP="00B823F8">
            <w:pPr>
              <w:pStyle w:val="ad"/>
              <w:jc w:val="center"/>
              <w:rPr>
                <w:rFonts w:ascii="Times New Roman" w:hAnsi="Times New Roman"/>
              </w:rPr>
            </w:pPr>
            <w:r w:rsidRPr="00A53AD7">
              <w:rPr>
                <w:rFonts w:ascii="Times New Roman" w:hAnsi="Times New Roman"/>
              </w:rPr>
              <w:t>820,6</w:t>
            </w:r>
          </w:p>
        </w:tc>
        <w:tc>
          <w:tcPr>
            <w:tcW w:w="1622" w:type="dxa"/>
          </w:tcPr>
          <w:p w14:paraId="40148DA9" w14:textId="77777777" w:rsidR="00B823F8" w:rsidRPr="00A53AD7" w:rsidRDefault="00B823F8" w:rsidP="00B823F8">
            <w:pPr>
              <w:pStyle w:val="ad"/>
              <w:jc w:val="center"/>
              <w:rPr>
                <w:rFonts w:ascii="Times New Roman" w:hAnsi="Times New Roman"/>
              </w:rPr>
            </w:pPr>
            <w:r w:rsidRPr="00A53AD7">
              <w:rPr>
                <w:rFonts w:ascii="Times New Roman" w:hAnsi="Times New Roman"/>
              </w:rPr>
              <w:t>1 654,7</w:t>
            </w:r>
          </w:p>
        </w:tc>
      </w:tr>
      <w:tr w:rsidR="00D470B6" w:rsidRPr="00A53AD7" w14:paraId="6E612051" w14:textId="77777777" w:rsidTr="0067236A">
        <w:tc>
          <w:tcPr>
            <w:tcW w:w="2689" w:type="dxa"/>
          </w:tcPr>
          <w:p w14:paraId="4F14FD8A" w14:textId="5A30CF84" w:rsidR="00B823F8" w:rsidRPr="00A53AD7" w:rsidRDefault="00B823F8" w:rsidP="00D41322">
            <w:pPr>
              <w:pStyle w:val="ad"/>
              <w:ind w:hanging="113"/>
              <w:rPr>
                <w:rFonts w:ascii="Times New Roman" w:hAnsi="Times New Roman"/>
                <w:b/>
              </w:rPr>
            </w:pPr>
            <w:r w:rsidRPr="00A53AD7">
              <w:rPr>
                <w:rFonts w:ascii="Times New Roman" w:hAnsi="Times New Roman"/>
                <w:b/>
              </w:rPr>
              <w:t>Исполнено</w:t>
            </w:r>
            <w:r w:rsidR="0067236A" w:rsidRPr="00A53AD7">
              <w:rPr>
                <w:rFonts w:ascii="Times New Roman" w:hAnsi="Times New Roman"/>
                <w:b/>
              </w:rPr>
              <w:t>,</w:t>
            </w:r>
            <w:r w:rsidRPr="00A53AD7">
              <w:rPr>
                <w:rFonts w:ascii="Times New Roman" w:hAnsi="Times New Roman"/>
                <w:b/>
              </w:rPr>
              <w:t xml:space="preserve"> %</w:t>
            </w:r>
          </w:p>
        </w:tc>
        <w:tc>
          <w:tcPr>
            <w:tcW w:w="1701" w:type="dxa"/>
          </w:tcPr>
          <w:p w14:paraId="734F893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6,1%</w:t>
            </w:r>
          </w:p>
        </w:tc>
        <w:tc>
          <w:tcPr>
            <w:tcW w:w="1674" w:type="dxa"/>
          </w:tcPr>
          <w:p w14:paraId="4D51283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13,9%</w:t>
            </w:r>
          </w:p>
        </w:tc>
        <w:tc>
          <w:tcPr>
            <w:tcW w:w="1648" w:type="dxa"/>
          </w:tcPr>
          <w:p w14:paraId="3D811A1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30,6%</w:t>
            </w:r>
          </w:p>
        </w:tc>
        <w:tc>
          <w:tcPr>
            <w:tcW w:w="1622" w:type="dxa"/>
          </w:tcPr>
          <w:p w14:paraId="1CD339E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74,6%</w:t>
            </w:r>
          </w:p>
        </w:tc>
      </w:tr>
      <w:tr w:rsidR="00D470B6" w:rsidRPr="00A53AD7" w14:paraId="2C0895B3" w14:textId="77777777" w:rsidTr="0067236A">
        <w:tc>
          <w:tcPr>
            <w:tcW w:w="2689" w:type="dxa"/>
          </w:tcPr>
          <w:p w14:paraId="1F21B59E" w14:textId="77777777" w:rsidR="00B823F8" w:rsidRPr="00A53AD7" w:rsidRDefault="00B823F8" w:rsidP="00D41322">
            <w:pPr>
              <w:pStyle w:val="ad"/>
              <w:rPr>
                <w:rFonts w:ascii="Times New Roman" w:hAnsi="Times New Roman"/>
              </w:rPr>
            </w:pPr>
            <w:r w:rsidRPr="00A53AD7">
              <w:rPr>
                <w:rFonts w:ascii="Times New Roman" w:hAnsi="Times New Roman"/>
              </w:rPr>
              <w:t>Кол-во объектов ОАИП план</w:t>
            </w:r>
          </w:p>
        </w:tc>
        <w:tc>
          <w:tcPr>
            <w:tcW w:w="1701" w:type="dxa"/>
          </w:tcPr>
          <w:p w14:paraId="6B414157" w14:textId="77777777" w:rsidR="00B823F8" w:rsidRPr="00A53AD7" w:rsidRDefault="00B823F8" w:rsidP="00B823F8">
            <w:pPr>
              <w:pStyle w:val="ad"/>
              <w:jc w:val="center"/>
              <w:rPr>
                <w:rFonts w:ascii="Times New Roman" w:hAnsi="Times New Roman"/>
              </w:rPr>
            </w:pPr>
          </w:p>
          <w:p w14:paraId="4174A9BB" w14:textId="77777777" w:rsidR="00B823F8" w:rsidRPr="00A53AD7" w:rsidRDefault="00B823F8" w:rsidP="00B823F8">
            <w:pPr>
              <w:pStyle w:val="ad"/>
              <w:jc w:val="center"/>
              <w:rPr>
                <w:rFonts w:ascii="Times New Roman" w:hAnsi="Times New Roman"/>
              </w:rPr>
            </w:pPr>
            <w:r w:rsidRPr="00A53AD7">
              <w:rPr>
                <w:rFonts w:ascii="Times New Roman" w:hAnsi="Times New Roman"/>
              </w:rPr>
              <w:t>68</w:t>
            </w:r>
          </w:p>
        </w:tc>
        <w:tc>
          <w:tcPr>
            <w:tcW w:w="1674" w:type="dxa"/>
          </w:tcPr>
          <w:p w14:paraId="33A03FFA" w14:textId="77777777" w:rsidR="00B823F8" w:rsidRPr="00A53AD7" w:rsidRDefault="00B823F8" w:rsidP="00B823F8">
            <w:pPr>
              <w:pStyle w:val="ad"/>
              <w:jc w:val="center"/>
              <w:rPr>
                <w:rFonts w:ascii="Times New Roman" w:hAnsi="Times New Roman"/>
              </w:rPr>
            </w:pPr>
          </w:p>
          <w:p w14:paraId="25C339E1" w14:textId="77777777" w:rsidR="00B823F8" w:rsidRPr="00A53AD7" w:rsidRDefault="00B823F8" w:rsidP="00B823F8">
            <w:pPr>
              <w:pStyle w:val="ad"/>
              <w:jc w:val="center"/>
              <w:rPr>
                <w:rFonts w:ascii="Times New Roman" w:hAnsi="Times New Roman"/>
              </w:rPr>
            </w:pPr>
            <w:r w:rsidRPr="00A53AD7">
              <w:rPr>
                <w:rFonts w:ascii="Times New Roman" w:hAnsi="Times New Roman"/>
              </w:rPr>
              <w:t>90</w:t>
            </w:r>
          </w:p>
        </w:tc>
        <w:tc>
          <w:tcPr>
            <w:tcW w:w="1648" w:type="dxa"/>
          </w:tcPr>
          <w:p w14:paraId="4D904155" w14:textId="77777777" w:rsidR="00B823F8" w:rsidRPr="00A53AD7" w:rsidRDefault="00B823F8" w:rsidP="00B823F8">
            <w:pPr>
              <w:pStyle w:val="ad"/>
              <w:jc w:val="center"/>
              <w:rPr>
                <w:rFonts w:ascii="Times New Roman" w:hAnsi="Times New Roman"/>
              </w:rPr>
            </w:pPr>
          </w:p>
          <w:p w14:paraId="3227367E" w14:textId="77777777" w:rsidR="00B823F8" w:rsidRPr="00A53AD7" w:rsidRDefault="00B823F8" w:rsidP="00B823F8">
            <w:pPr>
              <w:pStyle w:val="ad"/>
              <w:jc w:val="center"/>
              <w:rPr>
                <w:rFonts w:ascii="Times New Roman" w:hAnsi="Times New Roman"/>
              </w:rPr>
            </w:pPr>
            <w:r w:rsidRPr="00A53AD7">
              <w:rPr>
                <w:rFonts w:ascii="Times New Roman" w:hAnsi="Times New Roman"/>
              </w:rPr>
              <w:t>104</w:t>
            </w:r>
          </w:p>
        </w:tc>
        <w:tc>
          <w:tcPr>
            <w:tcW w:w="1622" w:type="dxa"/>
          </w:tcPr>
          <w:p w14:paraId="256246BC" w14:textId="77777777" w:rsidR="00B823F8" w:rsidRPr="00A53AD7" w:rsidRDefault="00B823F8" w:rsidP="00B823F8">
            <w:pPr>
              <w:pStyle w:val="ad"/>
              <w:jc w:val="center"/>
              <w:rPr>
                <w:rFonts w:ascii="Times New Roman" w:hAnsi="Times New Roman"/>
              </w:rPr>
            </w:pPr>
          </w:p>
          <w:p w14:paraId="46404E4C" w14:textId="77777777" w:rsidR="00B823F8" w:rsidRPr="00A53AD7" w:rsidRDefault="00B823F8" w:rsidP="00B823F8">
            <w:pPr>
              <w:pStyle w:val="ad"/>
              <w:jc w:val="center"/>
              <w:rPr>
                <w:rFonts w:ascii="Times New Roman" w:hAnsi="Times New Roman"/>
              </w:rPr>
            </w:pPr>
            <w:r w:rsidRPr="00A53AD7">
              <w:rPr>
                <w:rFonts w:ascii="Times New Roman" w:hAnsi="Times New Roman"/>
              </w:rPr>
              <w:t>96</w:t>
            </w:r>
          </w:p>
        </w:tc>
      </w:tr>
      <w:tr w:rsidR="00D470B6" w:rsidRPr="00A53AD7" w14:paraId="783136E3" w14:textId="77777777" w:rsidTr="0067236A">
        <w:tc>
          <w:tcPr>
            <w:tcW w:w="2689" w:type="dxa"/>
          </w:tcPr>
          <w:p w14:paraId="6063B091" w14:textId="77777777" w:rsidR="00B823F8" w:rsidRPr="00A53AD7" w:rsidRDefault="00B823F8" w:rsidP="00D41322">
            <w:pPr>
              <w:pStyle w:val="ad"/>
              <w:rPr>
                <w:rFonts w:ascii="Times New Roman" w:hAnsi="Times New Roman"/>
              </w:rPr>
            </w:pPr>
            <w:r w:rsidRPr="00A53AD7">
              <w:rPr>
                <w:rFonts w:ascii="Times New Roman" w:hAnsi="Times New Roman"/>
              </w:rPr>
              <w:t>Исполнено</w:t>
            </w:r>
          </w:p>
        </w:tc>
        <w:tc>
          <w:tcPr>
            <w:tcW w:w="1701" w:type="dxa"/>
          </w:tcPr>
          <w:p w14:paraId="6B79A1E2"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674" w:type="dxa"/>
          </w:tcPr>
          <w:p w14:paraId="34445AEE" w14:textId="77777777" w:rsidR="00B823F8" w:rsidRPr="00A53AD7" w:rsidRDefault="00B823F8" w:rsidP="00B823F8">
            <w:pPr>
              <w:pStyle w:val="ad"/>
              <w:jc w:val="center"/>
              <w:rPr>
                <w:rFonts w:ascii="Times New Roman" w:hAnsi="Times New Roman"/>
              </w:rPr>
            </w:pPr>
            <w:r w:rsidRPr="00A53AD7">
              <w:rPr>
                <w:rFonts w:ascii="Times New Roman" w:hAnsi="Times New Roman"/>
              </w:rPr>
              <w:t>36</w:t>
            </w:r>
          </w:p>
        </w:tc>
        <w:tc>
          <w:tcPr>
            <w:tcW w:w="1648" w:type="dxa"/>
          </w:tcPr>
          <w:p w14:paraId="3D6131CE" w14:textId="77777777" w:rsidR="00B823F8" w:rsidRPr="00A53AD7" w:rsidRDefault="00B823F8" w:rsidP="00B823F8">
            <w:pPr>
              <w:pStyle w:val="ad"/>
              <w:jc w:val="center"/>
              <w:rPr>
                <w:rFonts w:ascii="Times New Roman" w:hAnsi="Times New Roman"/>
              </w:rPr>
            </w:pPr>
            <w:r w:rsidRPr="00A53AD7">
              <w:rPr>
                <w:rFonts w:ascii="Times New Roman" w:hAnsi="Times New Roman"/>
              </w:rPr>
              <w:t>54</w:t>
            </w:r>
          </w:p>
        </w:tc>
        <w:tc>
          <w:tcPr>
            <w:tcW w:w="1622" w:type="dxa"/>
          </w:tcPr>
          <w:p w14:paraId="54C08167"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r>
      <w:tr w:rsidR="00B823F8" w:rsidRPr="00A53AD7" w14:paraId="688ADAC2" w14:textId="77777777" w:rsidTr="00D41322">
        <w:trPr>
          <w:trHeight w:val="126"/>
        </w:trPr>
        <w:tc>
          <w:tcPr>
            <w:tcW w:w="2689" w:type="dxa"/>
          </w:tcPr>
          <w:p w14:paraId="1313A6F1" w14:textId="77777777" w:rsidR="00B823F8" w:rsidRPr="00A53AD7" w:rsidRDefault="00B823F8" w:rsidP="00D41322">
            <w:pPr>
              <w:pStyle w:val="ad"/>
              <w:rPr>
                <w:rFonts w:ascii="Times New Roman" w:hAnsi="Times New Roman"/>
                <w:b/>
              </w:rPr>
            </w:pPr>
            <w:r w:rsidRPr="00A53AD7">
              <w:rPr>
                <w:rFonts w:ascii="Times New Roman" w:hAnsi="Times New Roman"/>
                <w:b/>
              </w:rPr>
              <w:t>В %%</w:t>
            </w:r>
          </w:p>
        </w:tc>
        <w:tc>
          <w:tcPr>
            <w:tcW w:w="1701" w:type="dxa"/>
          </w:tcPr>
          <w:p w14:paraId="73F8246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17,6%</w:t>
            </w:r>
          </w:p>
        </w:tc>
        <w:tc>
          <w:tcPr>
            <w:tcW w:w="1674" w:type="dxa"/>
          </w:tcPr>
          <w:p w14:paraId="119A17E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40,0%</w:t>
            </w:r>
          </w:p>
        </w:tc>
        <w:tc>
          <w:tcPr>
            <w:tcW w:w="1648" w:type="dxa"/>
          </w:tcPr>
          <w:p w14:paraId="5F93DCA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51,9%</w:t>
            </w:r>
          </w:p>
        </w:tc>
        <w:tc>
          <w:tcPr>
            <w:tcW w:w="1622" w:type="dxa"/>
          </w:tcPr>
          <w:p w14:paraId="46849D1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83,3%</w:t>
            </w:r>
          </w:p>
        </w:tc>
      </w:tr>
    </w:tbl>
    <w:p w14:paraId="6177A580" w14:textId="77777777" w:rsidR="00FA31D1" w:rsidRPr="00A53AD7" w:rsidRDefault="00FA31D1" w:rsidP="00B823F8">
      <w:pPr>
        <w:pStyle w:val="ad"/>
        <w:ind w:firstLine="709"/>
        <w:jc w:val="both"/>
        <w:rPr>
          <w:rFonts w:ascii="Times New Roman" w:hAnsi="Times New Roman"/>
          <w:sz w:val="28"/>
          <w:szCs w:val="28"/>
          <w:highlight w:val="cyan"/>
        </w:rPr>
      </w:pPr>
    </w:p>
    <w:p w14:paraId="31F74428" w14:textId="28475860" w:rsidR="00B823F8" w:rsidRPr="00A53AD7" w:rsidRDefault="00B823F8" w:rsidP="00FA31D1">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течение года количество объектов было увеличено на 36 и уменьшено на 8, работы выполнялись только на 80 объектах, к 16 объектам</w:t>
      </w:r>
      <w:r w:rsidR="00FA31D1" w:rsidRPr="00A53AD7">
        <w:rPr>
          <w:rFonts w:ascii="Times New Roman" w:hAnsi="Times New Roman"/>
          <w:sz w:val="28"/>
          <w:szCs w:val="28"/>
        </w:rPr>
        <w:t>,</w:t>
      </w:r>
      <w:r w:rsidRPr="00A53AD7">
        <w:rPr>
          <w:rFonts w:ascii="Times New Roman" w:hAnsi="Times New Roman"/>
          <w:sz w:val="28"/>
          <w:szCs w:val="28"/>
        </w:rPr>
        <w:t xml:space="preserve"> на которые были предусмотрены расходы бюджетной росписью, не приступали, в том числе по главным распорядителям:</w:t>
      </w:r>
    </w:p>
    <w:p w14:paraId="75FE79C9" w14:textId="57CBC542" w:rsidR="00B823F8" w:rsidRPr="00A53AD7" w:rsidRDefault="00B823F8" w:rsidP="00CA1DDD">
      <w:pPr>
        <w:pStyle w:val="ad"/>
        <w:numPr>
          <w:ilvl w:val="0"/>
          <w:numId w:val="23"/>
        </w:numPr>
        <w:ind w:left="0" w:firstLine="839"/>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 на 14 объектов средства в составе ОАИП были запланированы, однако министерство не приступило к исполнению работ на указанных 14 объектах;</w:t>
      </w:r>
    </w:p>
    <w:p w14:paraId="3E930A42" w14:textId="2ED9E35B" w:rsidR="00B823F8" w:rsidRPr="00A53AD7" w:rsidRDefault="00B823F8" w:rsidP="00CA1DDD">
      <w:pPr>
        <w:pStyle w:val="ad"/>
        <w:numPr>
          <w:ilvl w:val="0"/>
          <w:numId w:val="23"/>
        </w:numPr>
        <w:ind w:left="0" w:firstLine="839"/>
        <w:jc w:val="both"/>
        <w:rPr>
          <w:rFonts w:ascii="Times New Roman" w:hAnsi="Times New Roman"/>
          <w:sz w:val="28"/>
          <w:szCs w:val="28"/>
        </w:rPr>
      </w:pPr>
      <w:r w:rsidRPr="00A53AD7">
        <w:rPr>
          <w:rFonts w:ascii="Times New Roman" w:hAnsi="Times New Roman"/>
          <w:sz w:val="28"/>
          <w:szCs w:val="28"/>
        </w:rPr>
        <w:t>министерство транспорта не приступило к исполнению 2 объектов, средства на которые были утверждены.</w:t>
      </w:r>
    </w:p>
    <w:p w14:paraId="29FD51BB" w14:textId="77777777" w:rsidR="00B823F8" w:rsidRPr="00A53AD7" w:rsidRDefault="00B823F8" w:rsidP="00AB15CA">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по главным распорядителям областного бюджета за счет средств областного бюджета составило:</w:t>
      </w:r>
    </w:p>
    <w:p w14:paraId="76353EE8"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06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138"/>
        <w:gridCol w:w="1554"/>
        <w:gridCol w:w="1554"/>
        <w:gridCol w:w="1554"/>
        <w:gridCol w:w="1133"/>
        <w:gridCol w:w="1134"/>
      </w:tblGrid>
      <w:tr w:rsidR="00D470B6" w:rsidRPr="00A53AD7" w14:paraId="1A46713F" w14:textId="77777777" w:rsidTr="00AB15CA">
        <w:tc>
          <w:tcPr>
            <w:tcW w:w="2138" w:type="dxa"/>
          </w:tcPr>
          <w:p w14:paraId="73BB5186" w14:textId="77777777" w:rsidR="00B823F8" w:rsidRPr="00A53AD7" w:rsidRDefault="00B823F8" w:rsidP="00B823F8">
            <w:pPr>
              <w:pStyle w:val="ad"/>
              <w:jc w:val="center"/>
              <w:rPr>
                <w:rFonts w:ascii="Times New Roman" w:hAnsi="Times New Roman"/>
              </w:rPr>
            </w:pPr>
            <w:r w:rsidRPr="00A53AD7">
              <w:rPr>
                <w:rFonts w:ascii="Times New Roman" w:hAnsi="Times New Roman"/>
              </w:rPr>
              <w:t>ГРБС</w:t>
            </w:r>
          </w:p>
        </w:tc>
        <w:tc>
          <w:tcPr>
            <w:tcW w:w="1554" w:type="dxa"/>
          </w:tcPr>
          <w:p w14:paraId="74337CA2" w14:textId="77777777" w:rsidR="00B823F8" w:rsidRPr="00A53AD7" w:rsidRDefault="00B823F8" w:rsidP="00B823F8">
            <w:pPr>
              <w:pStyle w:val="ad"/>
              <w:jc w:val="center"/>
              <w:rPr>
                <w:rFonts w:ascii="Times New Roman" w:hAnsi="Times New Roman"/>
              </w:rPr>
            </w:pPr>
            <w:r w:rsidRPr="00A53AD7">
              <w:rPr>
                <w:rFonts w:ascii="Times New Roman" w:hAnsi="Times New Roman"/>
              </w:rPr>
              <w:t>Закон о бюджете</w:t>
            </w:r>
          </w:p>
        </w:tc>
        <w:tc>
          <w:tcPr>
            <w:tcW w:w="1554" w:type="dxa"/>
          </w:tcPr>
          <w:p w14:paraId="764155E6" w14:textId="77777777" w:rsidR="00B823F8" w:rsidRPr="00A53AD7" w:rsidRDefault="00B823F8" w:rsidP="00B823F8">
            <w:pPr>
              <w:pStyle w:val="ad"/>
              <w:jc w:val="center"/>
              <w:rPr>
                <w:rFonts w:ascii="Times New Roman" w:hAnsi="Times New Roman"/>
              </w:rPr>
            </w:pPr>
            <w:r w:rsidRPr="00A53AD7">
              <w:rPr>
                <w:rFonts w:ascii="Times New Roman" w:hAnsi="Times New Roman"/>
              </w:rPr>
              <w:t>Бюджетная роспись</w:t>
            </w:r>
          </w:p>
        </w:tc>
        <w:tc>
          <w:tcPr>
            <w:tcW w:w="1554" w:type="dxa"/>
          </w:tcPr>
          <w:p w14:paraId="43894CEB" w14:textId="77777777" w:rsidR="00B823F8" w:rsidRPr="00A53AD7" w:rsidRDefault="00B823F8" w:rsidP="00B823F8">
            <w:pPr>
              <w:pStyle w:val="ad"/>
              <w:jc w:val="center"/>
              <w:rPr>
                <w:rFonts w:ascii="Times New Roman" w:hAnsi="Times New Roman"/>
              </w:rPr>
            </w:pPr>
            <w:r w:rsidRPr="00A53AD7">
              <w:rPr>
                <w:rFonts w:ascii="Times New Roman" w:hAnsi="Times New Roman"/>
              </w:rPr>
              <w:t>Отчет за 2019 год</w:t>
            </w:r>
          </w:p>
        </w:tc>
        <w:tc>
          <w:tcPr>
            <w:tcW w:w="1133" w:type="dxa"/>
          </w:tcPr>
          <w:p w14:paraId="0558B0A9" w14:textId="77777777" w:rsidR="00B823F8" w:rsidRPr="00A53AD7" w:rsidRDefault="00B823F8" w:rsidP="00B823F8">
            <w:pPr>
              <w:pStyle w:val="ad"/>
              <w:jc w:val="center"/>
              <w:rPr>
                <w:rFonts w:ascii="Times New Roman" w:hAnsi="Times New Roman"/>
              </w:rPr>
            </w:pPr>
            <w:r w:rsidRPr="00A53AD7">
              <w:rPr>
                <w:rFonts w:ascii="Times New Roman" w:hAnsi="Times New Roman"/>
              </w:rPr>
              <w:t>в%% к закону</w:t>
            </w:r>
          </w:p>
        </w:tc>
        <w:tc>
          <w:tcPr>
            <w:tcW w:w="1134" w:type="dxa"/>
          </w:tcPr>
          <w:p w14:paraId="367DFC57" w14:textId="77777777" w:rsidR="00B823F8" w:rsidRPr="00A53AD7" w:rsidRDefault="00B823F8" w:rsidP="00B823F8">
            <w:pPr>
              <w:pStyle w:val="ad"/>
              <w:jc w:val="center"/>
              <w:rPr>
                <w:rFonts w:ascii="Times New Roman" w:hAnsi="Times New Roman"/>
              </w:rPr>
            </w:pPr>
            <w:r w:rsidRPr="00A53AD7">
              <w:rPr>
                <w:rFonts w:ascii="Times New Roman" w:hAnsi="Times New Roman"/>
              </w:rPr>
              <w:t>в %% к росписи</w:t>
            </w:r>
          </w:p>
        </w:tc>
      </w:tr>
      <w:tr w:rsidR="00D470B6" w:rsidRPr="00A53AD7" w14:paraId="4293B5E9" w14:textId="77777777" w:rsidTr="00AB15CA">
        <w:tc>
          <w:tcPr>
            <w:tcW w:w="2138" w:type="dxa"/>
          </w:tcPr>
          <w:p w14:paraId="1B7336FC" w14:textId="77777777" w:rsidR="00B823F8" w:rsidRPr="00A53AD7" w:rsidRDefault="00B823F8" w:rsidP="00B823F8">
            <w:pPr>
              <w:pStyle w:val="ad"/>
              <w:rPr>
                <w:rFonts w:ascii="Times New Roman" w:hAnsi="Times New Roman"/>
              </w:rPr>
            </w:pPr>
            <w:r w:rsidRPr="00A53AD7">
              <w:rPr>
                <w:rFonts w:ascii="Times New Roman" w:hAnsi="Times New Roman"/>
              </w:rPr>
              <w:t>Минстроительства</w:t>
            </w:r>
          </w:p>
        </w:tc>
        <w:tc>
          <w:tcPr>
            <w:tcW w:w="1554" w:type="dxa"/>
          </w:tcPr>
          <w:p w14:paraId="2E1124C2" w14:textId="77777777" w:rsidR="00B823F8" w:rsidRPr="00A53AD7" w:rsidRDefault="00B823F8" w:rsidP="00B823F8">
            <w:pPr>
              <w:pStyle w:val="ad"/>
              <w:jc w:val="right"/>
              <w:rPr>
                <w:rFonts w:ascii="Times New Roman" w:hAnsi="Times New Roman"/>
              </w:rPr>
            </w:pPr>
            <w:r w:rsidRPr="00A53AD7">
              <w:rPr>
                <w:rFonts w:ascii="Times New Roman" w:hAnsi="Times New Roman"/>
              </w:rPr>
              <w:t>1 609,7</w:t>
            </w:r>
          </w:p>
        </w:tc>
        <w:tc>
          <w:tcPr>
            <w:tcW w:w="1554" w:type="dxa"/>
          </w:tcPr>
          <w:p w14:paraId="62BBFDB1" w14:textId="77777777" w:rsidR="00B823F8" w:rsidRPr="00A53AD7" w:rsidRDefault="00B823F8" w:rsidP="00B823F8">
            <w:pPr>
              <w:pStyle w:val="ad"/>
              <w:jc w:val="right"/>
              <w:rPr>
                <w:rFonts w:ascii="Times New Roman" w:hAnsi="Times New Roman"/>
              </w:rPr>
            </w:pPr>
            <w:r w:rsidRPr="00A53AD7">
              <w:rPr>
                <w:rFonts w:ascii="Times New Roman" w:hAnsi="Times New Roman"/>
              </w:rPr>
              <w:t>1 609,8</w:t>
            </w:r>
          </w:p>
        </w:tc>
        <w:tc>
          <w:tcPr>
            <w:tcW w:w="1554" w:type="dxa"/>
          </w:tcPr>
          <w:p w14:paraId="6100599F" w14:textId="77777777" w:rsidR="00B823F8" w:rsidRPr="00A53AD7" w:rsidRDefault="00B823F8" w:rsidP="00B823F8">
            <w:pPr>
              <w:pStyle w:val="ad"/>
              <w:jc w:val="right"/>
              <w:rPr>
                <w:rFonts w:ascii="Times New Roman" w:hAnsi="Times New Roman"/>
              </w:rPr>
            </w:pPr>
            <w:r w:rsidRPr="00A53AD7">
              <w:rPr>
                <w:rFonts w:ascii="Times New Roman" w:hAnsi="Times New Roman"/>
              </w:rPr>
              <w:t>1 079,0</w:t>
            </w:r>
          </w:p>
        </w:tc>
        <w:tc>
          <w:tcPr>
            <w:tcW w:w="1133" w:type="dxa"/>
          </w:tcPr>
          <w:p w14:paraId="657B1F4C" w14:textId="4D447BEA" w:rsidR="00B823F8" w:rsidRPr="00A53AD7" w:rsidRDefault="00B823F8" w:rsidP="003A50AD">
            <w:pPr>
              <w:pStyle w:val="ad"/>
              <w:jc w:val="right"/>
              <w:rPr>
                <w:rFonts w:ascii="Times New Roman" w:hAnsi="Times New Roman"/>
              </w:rPr>
            </w:pPr>
            <w:r w:rsidRPr="00A53AD7">
              <w:rPr>
                <w:rFonts w:ascii="Times New Roman" w:hAnsi="Times New Roman"/>
              </w:rPr>
              <w:t>67,0</w:t>
            </w:r>
          </w:p>
        </w:tc>
        <w:tc>
          <w:tcPr>
            <w:tcW w:w="1134" w:type="dxa"/>
          </w:tcPr>
          <w:p w14:paraId="3F6C8E16" w14:textId="33D8316A" w:rsidR="00B823F8" w:rsidRPr="00A53AD7" w:rsidRDefault="00B823F8" w:rsidP="00B823F8">
            <w:pPr>
              <w:pStyle w:val="ad"/>
              <w:jc w:val="right"/>
              <w:rPr>
                <w:rFonts w:ascii="Times New Roman" w:hAnsi="Times New Roman"/>
                <w:b/>
              </w:rPr>
            </w:pPr>
            <w:r w:rsidRPr="00A53AD7">
              <w:rPr>
                <w:rFonts w:ascii="Times New Roman" w:hAnsi="Times New Roman"/>
                <w:b/>
              </w:rPr>
              <w:t>6</w:t>
            </w:r>
            <w:r w:rsidR="003A50AD" w:rsidRPr="00A53AD7">
              <w:rPr>
                <w:rFonts w:ascii="Times New Roman" w:hAnsi="Times New Roman"/>
                <w:b/>
              </w:rPr>
              <w:t>7,0</w:t>
            </w:r>
          </w:p>
        </w:tc>
      </w:tr>
      <w:tr w:rsidR="00D470B6" w:rsidRPr="00A53AD7" w14:paraId="47FB4428" w14:textId="77777777" w:rsidTr="00AB15CA">
        <w:tc>
          <w:tcPr>
            <w:tcW w:w="2138" w:type="dxa"/>
          </w:tcPr>
          <w:p w14:paraId="37B69645" w14:textId="77777777" w:rsidR="00B823F8" w:rsidRPr="00A53AD7" w:rsidRDefault="00B823F8" w:rsidP="00B823F8">
            <w:pPr>
              <w:pStyle w:val="ad"/>
              <w:rPr>
                <w:rFonts w:ascii="Times New Roman" w:hAnsi="Times New Roman"/>
              </w:rPr>
            </w:pPr>
            <w:r w:rsidRPr="00A53AD7">
              <w:rPr>
                <w:rFonts w:ascii="Times New Roman" w:hAnsi="Times New Roman"/>
              </w:rPr>
              <w:t>МинТЭКиЖКХ</w:t>
            </w:r>
          </w:p>
        </w:tc>
        <w:tc>
          <w:tcPr>
            <w:tcW w:w="1554" w:type="dxa"/>
          </w:tcPr>
          <w:p w14:paraId="72AF9ABF" w14:textId="77777777" w:rsidR="00B823F8" w:rsidRPr="00A53AD7" w:rsidRDefault="00B823F8" w:rsidP="00B823F8">
            <w:pPr>
              <w:pStyle w:val="ad"/>
              <w:jc w:val="right"/>
              <w:rPr>
                <w:rFonts w:ascii="Times New Roman" w:hAnsi="Times New Roman"/>
              </w:rPr>
            </w:pPr>
            <w:r w:rsidRPr="00A53AD7">
              <w:rPr>
                <w:rFonts w:ascii="Times New Roman" w:hAnsi="Times New Roman"/>
              </w:rPr>
              <w:t>52,4</w:t>
            </w:r>
          </w:p>
        </w:tc>
        <w:tc>
          <w:tcPr>
            <w:tcW w:w="1554" w:type="dxa"/>
          </w:tcPr>
          <w:p w14:paraId="55D08EBE" w14:textId="77777777" w:rsidR="00B823F8" w:rsidRPr="00A53AD7" w:rsidRDefault="00B823F8" w:rsidP="00B823F8">
            <w:pPr>
              <w:pStyle w:val="ad"/>
              <w:jc w:val="right"/>
              <w:rPr>
                <w:rFonts w:ascii="Times New Roman" w:hAnsi="Times New Roman"/>
              </w:rPr>
            </w:pPr>
            <w:r w:rsidRPr="00A53AD7">
              <w:rPr>
                <w:rFonts w:ascii="Times New Roman" w:hAnsi="Times New Roman"/>
              </w:rPr>
              <w:t>52,2</w:t>
            </w:r>
          </w:p>
        </w:tc>
        <w:tc>
          <w:tcPr>
            <w:tcW w:w="1554" w:type="dxa"/>
          </w:tcPr>
          <w:p w14:paraId="3D00E484" w14:textId="77777777" w:rsidR="00B823F8" w:rsidRPr="00A53AD7" w:rsidRDefault="00B823F8" w:rsidP="00B823F8">
            <w:pPr>
              <w:pStyle w:val="ad"/>
              <w:jc w:val="right"/>
              <w:rPr>
                <w:rFonts w:ascii="Times New Roman" w:hAnsi="Times New Roman"/>
              </w:rPr>
            </w:pPr>
            <w:r w:rsidRPr="00A53AD7">
              <w:rPr>
                <w:rFonts w:ascii="Times New Roman" w:hAnsi="Times New Roman"/>
              </w:rPr>
              <w:t>47,6</w:t>
            </w:r>
          </w:p>
        </w:tc>
        <w:tc>
          <w:tcPr>
            <w:tcW w:w="1133" w:type="dxa"/>
          </w:tcPr>
          <w:p w14:paraId="664B7F75" w14:textId="170769F4" w:rsidR="00B823F8" w:rsidRPr="00A53AD7" w:rsidRDefault="003A50AD" w:rsidP="00B823F8">
            <w:pPr>
              <w:pStyle w:val="ad"/>
              <w:jc w:val="right"/>
              <w:rPr>
                <w:rFonts w:ascii="Times New Roman" w:hAnsi="Times New Roman"/>
              </w:rPr>
            </w:pPr>
            <w:r w:rsidRPr="00A53AD7">
              <w:rPr>
                <w:rFonts w:ascii="Times New Roman" w:hAnsi="Times New Roman"/>
              </w:rPr>
              <w:t>90,8</w:t>
            </w:r>
          </w:p>
        </w:tc>
        <w:tc>
          <w:tcPr>
            <w:tcW w:w="1134" w:type="dxa"/>
          </w:tcPr>
          <w:p w14:paraId="79658DBB" w14:textId="15FC886D" w:rsidR="00B823F8" w:rsidRPr="00A53AD7" w:rsidRDefault="003A50AD" w:rsidP="00B823F8">
            <w:pPr>
              <w:pStyle w:val="ad"/>
              <w:jc w:val="right"/>
              <w:rPr>
                <w:rFonts w:ascii="Times New Roman" w:hAnsi="Times New Roman"/>
                <w:b/>
              </w:rPr>
            </w:pPr>
            <w:r w:rsidRPr="00A53AD7">
              <w:rPr>
                <w:rFonts w:ascii="Times New Roman" w:hAnsi="Times New Roman"/>
                <w:b/>
              </w:rPr>
              <w:t>91,2</w:t>
            </w:r>
          </w:p>
        </w:tc>
      </w:tr>
      <w:tr w:rsidR="00D470B6" w:rsidRPr="00A53AD7" w14:paraId="03618467" w14:textId="77777777" w:rsidTr="00AB15CA">
        <w:tc>
          <w:tcPr>
            <w:tcW w:w="2138" w:type="dxa"/>
          </w:tcPr>
          <w:p w14:paraId="0D728AE0" w14:textId="77777777" w:rsidR="00B823F8" w:rsidRPr="00A53AD7" w:rsidRDefault="00B823F8" w:rsidP="00B823F8">
            <w:pPr>
              <w:pStyle w:val="ad"/>
              <w:rPr>
                <w:rFonts w:ascii="Times New Roman" w:hAnsi="Times New Roman"/>
              </w:rPr>
            </w:pPr>
            <w:r w:rsidRPr="00A53AD7">
              <w:rPr>
                <w:rFonts w:ascii="Times New Roman" w:hAnsi="Times New Roman"/>
              </w:rPr>
              <w:t>Минздрав</w:t>
            </w:r>
          </w:p>
        </w:tc>
        <w:tc>
          <w:tcPr>
            <w:tcW w:w="1554" w:type="dxa"/>
          </w:tcPr>
          <w:p w14:paraId="7E466CC4" w14:textId="77777777" w:rsidR="00B823F8" w:rsidRPr="00A53AD7" w:rsidRDefault="00B823F8" w:rsidP="00B823F8">
            <w:pPr>
              <w:pStyle w:val="ad"/>
              <w:jc w:val="right"/>
              <w:rPr>
                <w:rFonts w:ascii="Times New Roman" w:hAnsi="Times New Roman"/>
              </w:rPr>
            </w:pPr>
            <w:r w:rsidRPr="00A53AD7">
              <w:rPr>
                <w:rFonts w:ascii="Times New Roman" w:hAnsi="Times New Roman"/>
              </w:rPr>
              <w:t>10,4</w:t>
            </w:r>
          </w:p>
        </w:tc>
        <w:tc>
          <w:tcPr>
            <w:tcW w:w="1554" w:type="dxa"/>
          </w:tcPr>
          <w:p w14:paraId="6EC7A0A6" w14:textId="77777777" w:rsidR="00B823F8" w:rsidRPr="00A53AD7" w:rsidRDefault="00B823F8" w:rsidP="00B823F8">
            <w:pPr>
              <w:pStyle w:val="ad"/>
              <w:jc w:val="right"/>
              <w:rPr>
                <w:rFonts w:ascii="Times New Roman" w:hAnsi="Times New Roman"/>
              </w:rPr>
            </w:pPr>
            <w:r w:rsidRPr="00A53AD7">
              <w:rPr>
                <w:rFonts w:ascii="Times New Roman" w:hAnsi="Times New Roman"/>
              </w:rPr>
              <w:t>10,4</w:t>
            </w:r>
          </w:p>
        </w:tc>
        <w:tc>
          <w:tcPr>
            <w:tcW w:w="1554" w:type="dxa"/>
          </w:tcPr>
          <w:p w14:paraId="7B6AED79" w14:textId="77777777" w:rsidR="00B823F8" w:rsidRPr="00A53AD7" w:rsidRDefault="00B823F8" w:rsidP="00B823F8">
            <w:pPr>
              <w:pStyle w:val="ad"/>
              <w:jc w:val="right"/>
              <w:rPr>
                <w:rFonts w:ascii="Times New Roman" w:hAnsi="Times New Roman"/>
              </w:rPr>
            </w:pPr>
            <w:r w:rsidRPr="00A53AD7">
              <w:rPr>
                <w:rFonts w:ascii="Times New Roman" w:hAnsi="Times New Roman"/>
              </w:rPr>
              <w:t>10,4</w:t>
            </w:r>
          </w:p>
        </w:tc>
        <w:tc>
          <w:tcPr>
            <w:tcW w:w="1133" w:type="dxa"/>
          </w:tcPr>
          <w:p w14:paraId="50252DD2" w14:textId="346A8746"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3D5BBCA9" w14:textId="6E420759"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D470B6" w:rsidRPr="00A53AD7" w14:paraId="1F7848DF" w14:textId="77777777" w:rsidTr="00AB15CA">
        <w:tc>
          <w:tcPr>
            <w:tcW w:w="2138" w:type="dxa"/>
          </w:tcPr>
          <w:p w14:paraId="4F211133" w14:textId="77777777" w:rsidR="00B823F8" w:rsidRPr="00A53AD7" w:rsidRDefault="00B823F8" w:rsidP="00B823F8">
            <w:pPr>
              <w:pStyle w:val="ad"/>
              <w:rPr>
                <w:rFonts w:ascii="Times New Roman" w:hAnsi="Times New Roman"/>
              </w:rPr>
            </w:pPr>
            <w:r w:rsidRPr="00A53AD7">
              <w:rPr>
                <w:rFonts w:ascii="Times New Roman" w:hAnsi="Times New Roman"/>
              </w:rPr>
              <w:t>Минкультуры</w:t>
            </w:r>
          </w:p>
        </w:tc>
        <w:tc>
          <w:tcPr>
            <w:tcW w:w="1554" w:type="dxa"/>
          </w:tcPr>
          <w:p w14:paraId="429DAAB1"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554" w:type="dxa"/>
          </w:tcPr>
          <w:p w14:paraId="35AA27FC"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554" w:type="dxa"/>
          </w:tcPr>
          <w:p w14:paraId="5BCCC6A9"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133" w:type="dxa"/>
          </w:tcPr>
          <w:p w14:paraId="59EE329C" w14:textId="6D18E1C6"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2218761F" w14:textId="6703104E"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D470B6" w:rsidRPr="00A53AD7" w14:paraId="0E48DF32" w14:textId="77777777" w:rsidTr="00AB15CA">
        <w:tc>
          <w:tcPr>
            <w:tcW w:w="2138" w:type="dxa"/>
          </w:tcPr>
          <w:p w14:paraId="64906309" w14:textId="77777777" w:rsidR="00B823F8" w:rsidRPr="00A53AD7" w:rsidRDefault="00B823F8" w:rsidP="00B823F8">
            <w:pPr>
              <w:pStyle w:val="ad"/>
              <w:rPr>
                <w:rFonts w:ascii="Times New Roman" w:hAnsi="Times New Roman"/>
              </w:rPr>
            </w:pPr>
            <w:r w:rsidRPr="00A53AD7">
              <w:rPr>
                <w:rFonts w:ascii="Times New Roman" w:hAnsi="Times New Roman"/>
              </w:rPr>
              <w:t>Минсвязи и ИТ</w:t>
            </w:r>
          </w:p>
        </w:tc>
        <w:tc>
          <w:tcPr>
            <w:tcW w:w="1554" w:type="dxa"/>
          </w:tcPr>
          <w:p w14:paraId="123429D0"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554" w:type="dxa"/>
          </w:tcPr>
          <w:p w14:paraId="7634C65C"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554" w:type="dxa"/>
          </w:tcPr>
          <w:p w14:paraId="61AAA14B"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133" w:type="dxa"/>
          </w:tcPr>
          <w:p w14:paraId="69FAAD69" w14:textId="33729E1A"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50DB75F4" w14:textId="3187FEC5"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D470B6" w:rsidRPr="00A53AD7" w14:paraId="610BAC1B" w14:textId="77777777" w:rsidTr="00AB15CA">
        <w:tc>
          <w:tcPr>
            <w:tcW w:w="2138" w:type="dxa"/>
          </w:tcPr>
          <w:p w14:paraId="1CA73491" w14:textId="77777777" w:rsidR="00B823F8" w:rsidRPr="00A53AD7" w:rsidRDefault="00B823F8" w:rsidP="00B823F8">
            <w:pPr>
              <w:pStyle w:val="ad"/>
              <w:rPr>
                <w:rFonts w:ascii="Times New Roman" w:hAnsi="Times New Roman"/>
              </w:rPr>
            </w:pPr>
            <w:r w:rsidRPr="00A53AD7">
              <w:rPr>
                <w:rFonts w:ascii="Times New Roman" w:hAnsi="Times New Roman"/>
              </w:rPr>
              <w:t>Минобразования</w:t>
            </w:r>
          </w:p>
        </w:tc>
        <w:tc>
          <w:tcPr>
            <w:tcW w:w="1554" w:type="dxa"/>
          </w:tcPr>
          <w:p w14:paraId="55986961" w14:textId="77777777" w:rsidR="00B823F8" w:rsidRPr="00A53AD7" w:rsidRDefault="00B823F8" w:rsidP="00B823F8">
            <w:pPr>
              <w:pStyle w:val="ad"/>
              <w:jc w:val="right"/>
              <w:rPr>
                <w:rFonts w:ascii="Times New Roman" w:hAnsi="Times New Roman"/>
              </w:rPr>
            </w:pPr>
            <w:r w:rsidRPr="00A53AD7">
              <w:rPr>
                <w:rFonts w:ascii="Times New Roman" w:hAnsi="Times New Roman"/>
              </w:rPr>
              <w:t>0,171</w:t>
            </w:r>
          </w:p>
        </w:tc>
        <w:tc>
          <w:tcPr>
            <w:tcW w:w="1554" w:type="dxa"/>
          </w:tcPr>
          <w:p w14:paraId="530F8BBF" w14:textId="77777777" w:rsidR="00B823F8" w:rsidRPr="00A53AD7" w:rsidRDefault="00B823F8" w:rsidP="00B823F8">
            <w:pPr>
              <w:pStyle w:val="ad"/>
              <w:jc w:val="right"/>
              <w:rPr>
                <w:rFonts w:ascii="Times New Roman" w:hAnsi="Times New Roman"/>
              </w:rPr>
            </w:pPr>
            <w:r w:rsidRPr="00A53AD7">
              <w:rPr>
                <w:rFonts w:ascii="Times New Roman" w:hAnsi="Times New Roman"/>
              </w:rPr>
              <w:t>0,171</w:t>
            </w:r>
          </w:p>
        </w:tc>
        <w:tc>
          <w:tcPr>
            <w:tcW w:w="1554" w:type="dxa"/>
          </w:tcPr>
          <w:p w14:paraId="1671129A" w14:textId="77777777" w:rsidR="00B823F8" w:rsidRPr="00A53AD7" w:rsidRDefault="00B823F8" w:rsidP="00B823F8">
            <w:pPr>
              <w:pStyle w:val="ad"/>
              <w:jc w:val="right"/>
              <w:rPr>
                <w:rFonts w:ascii="Times New Roman" w:hAnsi="Times New Roman"/>
              </w:rPr>
            </w:pPr>
            <w:r w:rsidRPr="00A53AD7">
              <w:rPr>
                <w:rFonts w:ascii="Times New Roman" w:hAnsi="Times New Roman"/>
              </w:rPr>
              <w:t>0,171</w:t>
            </w:r>
          </w:p>
        </w:tc>
        <w:tc>
          <w:tcPr>
            <w:tcW w:w="1133" w:type="dxa"/>
          </w:tcPr>
          <w:p w14:paraId="0AE36D39" w14:textId="500ECB81"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51E1DDED" w14:textId="10AACFAA"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D470B6" w:rsidRPr="00A53AD7" w14:paraId="0BA28ACA" w14:textId="77777777" w:rsidTr="00AB15CA">
        <w:tc>
          <w:tcPr>
            <w:tcW w:w="2138" w:type="dxa"/>
          </w:tcPr>
          <w:p w14:paraId="17D66DF0" w14:textId="77777777" w:rsidR="00B823F8" w:rsidRPr="00A53AD7" w:rsidRDefault="00B823F8" w:rsidP="00B823F8">
            <w:pPr>
              <w:pStyle w:val="ad"/>
              <w:rPr>
                <w:rFonts w:ascii="Times New Roman" w:hAnsi="Times New Roman"/>
              </w:rPr>
            </w:pPr>
            <w:r w:rsidRPr="00A53AD7">
              <w:rPr>
                <w:rFonts w:ascii="Times New Roman" w:hAnsi="Times New Roman"/>
              </w:rPr>
              <w:t>Минтранспорта</w:t>
            </w:r>
          </w:p>
        </w:tc>
        <w:tc>
          <w:tcPr>
            <w:tcW w:w="1554" w:type="dxa"/>
          </w:tcPr>
          <w:p w14:paraId="184459C5" w14:textId="77777777" w:rsidR="00B823F8" w:rsidRPr="00A53AD7" w:rsidRDefault="00B823F8" w:rsidP="00B823F8">
            <w:pPr>
              <w:pStyle w:val="ad"/>
              <w:jc w:val="right"/>
              <w:rPr>
                <w:rFonts w:ascii="Times New Roman" w:hAnsi="Times New Roman"/>
              </w:rPr>
            </w:pPr>
            <w:r w:rsidRPr="00A53AD7">
              <w:rPr>
                <w:rFonts w:ascii="Times New Roman" w:hAnsi="Times New Roman"/>
              </w:rPr>
              <w:t>447,4</w:t>
            </w:r>
          </w:p>
        </w:tc>
        <w:tc>
          <w:tcPr>
            <w:tcW w:w="1554" w:type="dxa"/>
          </w:tcPr>
          <w:p w14:paraId="11349C48" w14:textId="77777777" w:rsidR="00B823F8" w:rsidRPr="00A53AD7" w:rsidRDefault="00B823F8" w:rsidP="00B823F8">
            <w:pPr>
              <w:pStyle w:val="ad"/>
              <w:jc w:val="right"/>
              <w:rPr>
                <w:rFonts w:ascii="Times New Roman" w:hAnsi="Times New Roman"/>
              </w:rPr>
            </w:pPr>
            <w:r w:rsidRPr="00A53AD7">
              <w:rPr>
                <w:rFonts w:ascii="Times New Roman" w:hAnsi="Times New Roman"/>
              </w:rPr>
              <w:t>447,4</w:t>
            </w:r>
          </w:p>
        </w:tc>
        <w:tc>
          <w:tcPr>
            <w:tcW w:w="1554" w:type="dxa"/>
          </w:tcPr>
          <w:p w14:paraId="2A5C3519" w14:textId="77777777" w:rsidR="00B823F8" w:rsidRPr="00A53AD7" w:rsidRDefault="00B823F8" w:rsidP="00B823F8">
            <w:pPr>
              <w:pStyle w:val="ad"/>
              <w:jc w:val="right"/>
              <w:rPr>
                <w:rFonts w:ascii="Times New Roman" w:hAnsi="Times New Roman"/>
              </w:rPr>
            </w:pPr>
            <w:r w:rsidRPr="00A53AD7">
              <w:rPr>
                <w:rFonts w:ascii="Times New Roman" w:hAnsi="Times New Roman"/>
              </w:rPr>
              <w:t>418,6</w:t>
            </w:r>
          </w:p>
        </w:tc>
        <w:tc>
          <w:tcPr>
            <w:tcW w:w="1133" w:type="dxa"/>
          </w:tcPr>
          <w:p w14:paraId="2E6DC9BD" w14:textId="7A3717E7" w:rsidR="00B823F8" w:rsidRPr="00A53AD7" w:rsidRDefault="003A50AD" w:rsidP="00B823F8">
            <w:pPr>
              <w:pStyle w:val="ad"/>
              <w:jc w:val="right"/>
              <w:rPr>
                <w:rFonts w:ascii="Times New Roman" w:hAnsi="Times New Roman"/>
              </w:rPr>
            </w:pPr>
            <w:r w:rsidRPr="00A53AD7">
              <w:rPr>
                <w:rFonts w:ascii="Times New Roman" w:hAnsi="Times New Roman"/>
              </w:rPr>
              <w:t>93,6</w:t>
            </w:r>
          </w:p>
        </w:tc>
        <w:tc>
          <w:tcPr>
            <w:tcW w:w="1134" w:type="dxa"/>
          </w:tcPr>
          <w:p w14:paraId="44E12057" w14:textId="42C0046B" w:rsidR="00B823F8" w:rsidRPr="00A53AD7" w:rsidRDefault="003A50AD" w:rsidP="00B823F8">
            <w:pPr>
              <w:pStyle w:val="ad"/>
              <w:jc w:val="right"/>
              <w:rPr>
                <w:rFonts w:ascii="Times New Roman" w:hAnsi="Times New Roman"/>
                <w:b/>
              </w:rPr>
            </w:pPr>
            <w:r w:rsidRPr="00A53AD7">
              <w:rPr>
                <w:rFonts w:ascii="Times New Roman" w:hAnsi="Times New Roman"/>
                <w:b/>
              </w:rPr>
              <w:t>93,6</w:t>
            </w:r>
          </w:p>
        </w:tc>
      </w:tr>
      <w:tr w:rsidR="00D470B6" w:rsidRPr="00A53AD7" w14:paraId="2408E7B0" w14:textId="77777777" w:rsidTr="00AB15CA">
        <w:tc>
          <w:tcPr>
            <w:tcW w:w="2138" w:type="dxa"/>
          </w:tcPr>
          <w:p w14:paraId="75B33169" w14:textId="77777777" w:rsidR="00B823F8" w:rsidRPr="00A53AD7" w:rsidRDefault="00B823F8" w:rsidP="00B823F8">
            <w:pPr>
              <w:pStyle w:val="ad"/>
              <w:rPr>
                <w:rFonts w:ascii="Times New Roman" w:hAnsi="Times New Roman"/>
              </w:rPr>
            </w:pPr>
            <w:r w:rsidRPr="00A53AD7">
              <w:rPr>
                <w:rFonts w:ascii="Times New Roman" w:hAnsi="Times New Roman"/>
              </w:rPr>
              <w:t>Минсоцзащиты</w:t>
            </w:r>
          </w:p>
        </w:tc>
        <w:tc>
          <w:tcPr>
            <w:tcW w:w="1554" w:type="dxa"/>
          </w:tcPr>
          <w:p w14:paraId="767B74AA"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554" w:type="dxa"/>
          </w:tcPr>
          <w:p w14:paraId="793790C5"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554" w:type="dxa"/>
          </w:tcPr>
          <w:p w14:paraId="63B9CEE0"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133" w:type="dxa"/>
          </w:tcPr>
          <w:p w14:paraId="6A424435" w14:textId="566CF340"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0B3FA77C" w14:textId="68283BEC"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D470B6" w:rsidRPr="00A53AD7" w14:paraId="6C04D1D7" w14:textId="77777777" w:rsidTr="00AB15CA">
        <w:tc>
          <w:tcPr>
            <w:tcW w:w="2138" w:type="dxa"/>
          </w:tcPr>
          <w:p w14:paraId="04AD01CA" w14:textId="77777777" w:rsidR="00B823F8" w:rsidRPr="00A53AD7" w:rsidRDefault="00B823F8" w:rsidP="00B823F8">
            <w:pPr>
              <w:pStyle w:val="ad"/>
              <w:rPr>
                <w:rFonts w:ascii="Times New Roman" w:hAnsi="Times New Roman"/>
              </w:rPr>
            </w:pPr>
            <w:r w:rsidRPr="00A53AD7">
              <w:rPr>
                <w:rFonts w:ascii="Times New Roman" w:hAnsi="Times New Roman"/>
              </w:rPr>
              <w:t>Минспорта</w:t>
            </w:r>
          </w:p>
        </w:tc>
        <w:tc>
          <w:tcPr>
            <w:tcW w:w="1554" w:type="dxa"/>
          </w:tcPr>
          <w:p w14:paraId="7C2A545B"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554" w:type="dxa"/>
          </w:tcPr>
          <w:p w14:paraId="7EF32D2D"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554" w:type="dxa"/>
          </w:tcPr>
          <w:p w14:paraId="52191CF2"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133" w:type="dxa"/>
          </w:tcPr>
          <w:p w14:paraId="287844A9" w14:textId="60002FBD" w:rsidR="00B823F8" w:rsidRPr="00A53AD7" w:rsidRDefault="003A50AD" w:rsidP="00B823F8">
            <w:pPr>
              <w:pStyle w:val="ad"/>
              <w:jc w:val="right"/>
              <w:rPr>
                <w:rFonts w:ascii="Times New Roman" w:hAnsi="Times New Roman"/>
              </w:rPr>
            </w:pPr>
            <w:r w:rsidRPr="00A53AD7">
              <w:rPr>
                <w:rFonts w:ascii="Times New Roman" w:hAnsi="Times New Roman"/>
              </w:rPr>
              <w:t>100,0</w:t>
            </w:r>
          </w:p>
        </w:tc>
        <w:tc>
          <w:tcPr>
            <w:tcW w:w="1134" w:type="dxa"/>
          </w:tcPr>
          <w:p w14:paraId="28EECB95" w14:textId="26DBC5B6" w:rsidR="00B823F8" w:rsidRPr="00A53AD7" w:rsidRDefault="003A50AD" w:rsidP="00B823F8">
            <w:pPr>
              <w:pStyle w:val="ad"/>
              <w:jc w:val="right"/>
              <w:rPr>
                <w:rFonts w:ascii="Times New Roman" w:hAnsi="Times New Roman"/>
              </w:rPr>
            </w:pPr>
            <w:r w:rsidRPr="00A53AD7">
              <w:rPr>
                <w:rFonts w:ascii="Times New Roman" w:hAnsi="Times New Roman"/>
              </w:rPr>
              <w:t>100,0</w:t>
            </w:r>
          </w:p>
        </w:tc>
      </w:tr>
      <w:tr w:rsidR="00B823F8" w:rsidRPr="00A53AD7" w14:paraId="6F389657" w14:textId="77777777" w:rsidTr="00AB15CA">
        <w:tc>
          <w:tcPr>
            <w:tcW w:w="2138" w:type="dxa"/>
          </w:tcPr>
          <w:p w14:paraId="0931C852" w14:textId="77777777" w:rsidR="00B823F8" w:rsidRPr="00A53AD7" w:rsidRDefault="00B823F8" w:rsidP="00B823F8">
            <w:pPr>
              <w:pStyle w:val="ad"/>
              <w:ind w:right="-92"/>
              <w:rPr>
                <w:rFonts w:ascii="Times New Roman" w:hAnsi="Times New Roman"/>
                <w:b/>
              </w:rPr>
            </w:pPr>
            <w:r w:rsidRPr="00A53AD7">
              <w:rPr>
                <w:rFonts w:ascii="Times New Roman" w:hAnsi="Times New Roman"/>
                <w:b/>
              </w:rPr>
              <w:t>ИТОГО</w:t>
            </w:r>
          </w:p>
        </w:tc>
        <w:tc>
          <w:tcPr>
            <w:tcW w:w="1554" w:type="dxa"/>
          </w:tcPr>
          <w:p w14:paraId="55DEAB7C" w14:textId="77777777" w:rsidR="00B823F8" w:rsidRPr="00A53AD7" w:rsidRDefault="00B823F8" w:rsidP="00B823F8">
            <w:pPr>
              <w:pStyle w:val="ad"/>
              <w:jc w:val="right"/>
              <w:rPr>
                <w:rFonts w:ascii="Times New Roman" w:hAnsi="Times New Roman"/>
                <w:b/>
              </w:rPr>
            </w:pPr>
            <w:r w:rsidRPr="00A53AD7">
              <w:rPr>
                <w:rFonts w:ascii="Times New Roman" w:hAnsi="Times New Roman"/>
                <w:b/>
              </w:rPr>
              <w:t>2 219,1</w:t>
            </w:r>
          </w:p>
        </w:tc>
        <w:tc>
          <w:tcPr>
            <w:tcW w:w="1554" w:type="dxa"/>
          </w:tcPr>
          <w:p w14:paraId="5A6588A4" w14:textId="77777777" w:rsidR="00B823F8" w:rsidRPr="00A53AD7" w:rsidRDefault="00B823F8" w:rsidP="00B823F8">
            <w:pPr>
              <w:pStyle w:val="ad"/>
              <w:jc w:val="right"/>
              <w:rPr>
                <w:rFonts w:ascii="Times New Roman" w:hAnsi="Times New Roman"/>
                <w:b/>
              </w:rPr>
            </w:pPr>
            <w:r w:rsidRPr="00A53AD7">
              <w:rPr>
                <w:rFonts w:ascii="Times New Roman" w:hAnsi="Times New Roman"/>
                <w:b/>
              </w:rPr>
              <w:t>2 219,1</w:t>
            </w:r>
          </w:p>
        </w:tc>
        <w:tc>
          <w:tcPr>
            <w:tcW w:w="1554" w:type="dxa"/>
          </w:tcPr>
          <w:p w14:paraId="0437D832" w14:textId="77777777" w:rsidR="00B823F8" w:rsidRPr="00A53AD7" w:rsidRDefault="00B823F8" w:rsidP="00B823F8">
            <w:pPr>
              <w:pStyle w:val="ad"/>
              <w:jc w:val="right"/>
              <w:rPr>
                <w:rFonts w:ascii="Times New Roman" w:hAnsi="Times New Roman"/>
                <w:b/>
              </w:rPr>
            </w:pPr>
            <w:r w:rsidRPr="00A53AD7">
              <w:rPr>
                <w:rFonts w:ascii="Times New Roman" w:hAnsi="Times New Roman"/>
                <w:b/>
              </w:rPr>
              <w:t>1 654,7</w:t>
            </w:r>
          </w:p>
        </w:tc>
        <w:tc>
          <w:tcPr>
            <w:tcW w:w="1133" w:type="dxa"/>
          </w:tcPr>
          <w:p w14:paraId="6D6D96C1" w14:textId="2DF58F50" w:rsidR="00B823F8" w:rsidRPr="00A53AD7" w:rsidRDefault="003A50AD" w:rsidP="00B823F8">
            <w:pPr>
              <w:pStyle w:val="ad"/>
              <w:jc w:val="right"/>
              <w:rPr>
                <w:rFonts w:ascii="Times New Roman" w:hAnsi="Times New Roman"/>
                <w:b/>
              </w:rPr>
            </w:pPr>
            <w:r w:rsidRPr="00A53AD7">
              <w:rPr>
                <w:rFonts w:ascii="Times New Roman" w:hAnsi="Times New Roman"/>
                <w:b/>
              </w:rPr>
              <w:t>74,6</w:t>
            </w:r>
          </w:p>
        </w:tc>
        <w:tc>
          <w:tcPr>
            <w:tcW w:w="1134" w:type="dxa"/>
          </w:tcPr>
          <w:p w14:paraId="203D6AD8" w14:textId="273028C9" w:rsidR="00B823F8" w:rsidRPr="00A53AD7" w:rsidRDefault="003A50AD" w:rsidP="00B823F8">
            <w:pPr>
              <w:pStyle w:val="ad"/>
              <w:jc w:val="right"/>
              <w:rPr>
                <w:rFonts w:ascii="Times New Roman" w:hAnsi="Times New Roman"/>
                <w:b/>
              </w:rPr>
            </w:pPr>
            <w:r w:rsidRPr="00A53AD7">
              <w:rPr>
                <w:rFonts w:ascii="Times New Roman" w:hAnsi="Times New Roman"/>
                <w:b/>
              </w:rPr>
              <w:t>74,6</w:t>
            </w:r>
          </w:p>
        </w:tc>
      </w:tr>
    </w:tbl>
    <w:p w14:paraId="68EC7872" w14:textId="77777777" w:rsidR="00B823F8" w:rsidRPr="00A53AD7" w:rsidRDefault="00B823F8" w:rsidP="00B823F8">
      <w:pPr>
        <w:pStyle w:val="ad"/>
        <w:ind w:firstLine="709"/>
        <w:jc w:val="both"/>
        <w:rPr>
          <w:rFonts w:ascii="Times New Roman" w:hAnsi="Times New Roman"/>
          <w:sz w:val="28"/>
          <w:szCs w:val="28"/>
          <w:highlight w:val="cyan"/>
        </w:rPr>
      </w:pPr>
    </w:p>
    <w:p w14:paraId="52D59C88" w14:textId="77777777" w:rsidR="00B823F8" w:rsidRPr="00A53AD7" w:rsidRDefault="00B823F8" w:rsidP="003A50AD">
      <w:pPr>
        <w:pStyle w:val="ad"/>
        <w:ind w:firstLine="851"/>
        <w:jc w:val="both"/>
        <w:rPr>
          <w:rFonts w:ascii="Times New Roman" w:hAnsi="Times New Roman"/>
          <w:sz w:val="28"/>
          <w:szCs w:val="28"/>
        </w:rPr>
      </w:pPr>
      <w:r w:rsidRPr="00A53AD7">
        <w:rPr>
          <w:rFonts w:ascii="Times New Roman" w:hAnsi="Times New Roman"/>
          <w:sz w:val="28"/>
          <w:szCs w:val="28"/>
        </w:rPr>
        <w:t>Таким образом, исполнение ОАИП за 2019 год составило 1 654,7 млн.руб. или 74,6% к утвержденным показателям.</w:t>
      </w:r>
    </w:p>
    <w:p w14:paraId="67E2F58E" w14:textId="666C7AA0" w:rsidR="00B823F8" w:rsidRPr="00A53AD7" w:rsidRDefault="00B823F8" w:rsidP="003A50AD">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ФСР ЖКХ, областного бюджета расходы на капитальные вложения в течение и по итогам 2019 года, согласно бюджетной росписи в составе ведомственной структуры расходов за 2019 год,</w:t>
      </w:r>
      <w:r w:rsidR="003A50AD" w:rsidRPr="00A53AD7">
        <w:rPr>
          <w:rFonts w:ascii="Times New Roman" w:hAnsi="Times New Roman"/>
          <w:sz w:val="28"/>
          <w:szCs w:val="28"/>
        </w:rPr>
        <w:t xml:space="preserve"> составили:</w:t>
      </w:r>
    </w:p>
    <w:p w14:paraId="08F334DC"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64"/>
        <w:gridCol w:w="1865"/>
        <w:gridCol w:w="1865"/>
        <w:gridCol w:w="1865"/>
        <w:gridCol w:w="1865"/>
      </w:tblGrid>
      <w:tr w:rsidR="00D470B6" w:rsidRPr="00A53AD7" w14:paraId="1F67EB17" w14:textId="77777777" w:rsidTr="00273C3C">
        <w:tc>
          <w:tcPr>
            <w:tcW w:w="1869" w:type="dxa"/>
          </w:tcPr>
          <w:p w14:paraId="753FA174" w14:textId="77777777" w:rsidR="00B823F8" w:rsidRPr="00A53AD7" w:rsidRDefault="00B823F8" w:rsidP="00B823F8">
            <w:pPr>
              <w:pStyle w:val="ad"/>
              <w:jc w:val="both"/>
              <w:rPr>
                <w:rFonts w:ascii="Times New Roman" w:hAnsi="Times New Roman"/>
              </w:rPr>
            </w:pPr>
          </w:p>
        </w:tc>
        <w:tc>
          <w:tcPr>
            <w:tcW w:w="1869" w:type="dxa"/>
          </w:tcPr>
          <w:p w14:paraId="2521CE9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869" w:type="dxa"/>
          </w:tcPr>
          <w:p w14:paraId="1CFE21B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869" w:type="dxa"/>
          </w:tcPr>
          <w:p w14:paraId="5C5F195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869" w:type="dxa"/>
          </w:tcPr>
          <w:p w14:paraId="475B94CA"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2054B92E" w14:textId="77777777" w:rsidTr="00273C3C">
        <w:tc>
          <w:tcPr>
            <w:tcW w:w="1869" w:type="dxa"/>
          </w:tcPr>
          <w:p w14:paraId="70B2A5CC"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869" w:type="dxa"/>
          </w:tcPr>
          <w:p w14:paraId="108F7827" w14:textId="77777777" w:rsidR="00B823F8" w:rsidRPr="00A53AD7" w:rsidRDefault="00B823F8" w:rsidP="00B823F8">
            <w:pPr>
              <w:pStyle w:val="ad"/>
              <w:jc w:val="center"/>
              <w:rPr>
                <w:rFonts w:ascii="Times New Roman" w:hAnsi="Times New Roman"/>
              </w:rPr>
            </w:pPr>
            <w:r w:rsidRPr="00A53AD7">
              <w:rPr>
                <w:rFonts w:ascii="Times New Roman" w:hAnsi="Times New Roman"/>
              </w:rPr>
              <w:t>7 707,7</w:t>
            </w:r>
          </w:p>
        </w:tc>
        <w:tc>
          <w:tcPr>
            <w:tcW w:w="1869" w:type="dxa"/>
          </w:tcPr>
          <w:p w14:paraId="6B011927" w14:textId="77777777" w:rsidR="00B823F8" w:rsidRPr="00A53AD7" w:rsidRDefault="00B823F8" w:rsidP="00B823F8">
            <w:pPr>
              <w:pStyle w:val="ad"/>
              <w:jc w:val="center"/>
              <w:rPr>
                <w:rFonts w:ascii="Times New Roman" w:hAnsi="Times New Roman"/>
              </w:rPr>
            </w:pPr>
            <w:r w:rsidRPr="00A53AD7">
              <w:rPr>
                <w:rFonts w:ascii="Times New Roman" w:hAnsi="Times New Roman"/>
              </w:rPr>
              <w:t>10 060,5</w:t>
            </w:r>
          </w:p>
        </w:tc>
        <w:tc>
          <w:tcPr>
            <w:tcW w:w="1869" w:type="dxa"/>
          </w:tcPr>
          <w:p w14:paraId="242ED4B9" w14:textId="77777777" w:rsidR="00B823F8" w:rsidRPr="00A53AD7" w:rsidRDefault="00B823F8" w:rsidP="00B823F8">
            <w:pPr>
              <w:pStyle w:val="ad"/>
              <w:jc w:val="center"/>
              <w:rPr>
                <w:rFonts w:ascii="Times New Roman" w:hAnsi="Times New Roman"/>
              </w:rPr>
            </w:pPr>
            <w:r w:rsidRPr="00A53AD7">
              <w:rPr>
                <w:rFonts w:ascii="Times New Roman" w:hAnsi="Times New Roman"/>
              </w:rPr>
              <w:t>10 155,6</w:t>
            </w:r>
          </w:p>
        </w:tc>
        <w:tc>
          <w:tcPr>
            <w:tcW w:w="1869" w:type="dxa"/>
          </w:tcPr>
          <w:p w14:paraId="33A371E2" w14:textId="77777777" w:rsidR="00B823F8" w:rsidRPr="00A53AD7" w:rsidRDefault="00B823F8" w:rsidP="00B823F8">
            <w:pPr>
              <w:pStyle w:val="ad"/>
              <w:jc w:val="center"/>
              <w:rPr>
                <w:rFonts w:ascii="Times New Roman" w:hAnsi="Times New Roman"/>
              </w:rPr>
            </w:pPr>
            <w:r w:rsidRPr="00A53AD7">
              <w:rPr>
                <w:rFonts w:ascii="Times New Roman" w:hAnsi="Times New Roman"/>
              </w:rPr>
              <w:t>10 348,1</w:t>
            </w:r>
          </w:p>
        </w:tc>
      </w:tr>
      <w:tr w:rsidR="00D470B6" w:rsidRPr="00A53AD7" w14:paraId="15993B89" w14:textId="77777777" w:rsidTr="00273C3C">
        <w:tc>
          <w:tcPr>
            <w:tcW w:w="1869" w:type="dxa"/>
          </w:tcPr>
          <w:p w14:paraId="6D50D786"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869" w:type="dxa"/>
          </w:tcPr>
          <w:p w14:paraId="51692A43" w14:textId="77777777" w:rsidR="00B823F8" w:rsidRPr="00A53AD7" w:rsidRDefault="00B823F8" w:rsidP="00B823F8">
            <w:pPr>
              <w:pStyle w:val="ad"/>
              <w:jc w:val="center"/>
              <w:rPr>
                <w:rFonts w:ascii="Times New Roman" w:hAnsi="Times New Roman"/>
              </w:rPr>
            </w:pPr>
            <w:r w:rsidRPr="00A53AD7">
              <w:rPr>
                <w:rFonts w:ascii="Times New Roman" w:hAnsi="Times New Roman"/>
              </w:rPr>
              <w:t>556,0</w:t>
            </w:r>
          </w:p>
        </w:tc>
        <w:tc>
          <w:tcPr>
            <w:tcW w:w="1869" w:type="dxa"/>
          </w:tcPr>
          <w:p w14:paraId="4A872C79" w14:textId="77777777" w:rsidR="00B823F8" w:rsidRPr="00A53AD7" w:rsidRDefault="00B823F8" w:rsidP="00B823F8">
            <w:pPr>
              <w:pStyle w:val="ad"/>
              <w:jc w:val="center"/>
              <w:rPr>
                <w:rFonts w:ascii="Times New Roman" w:hAnsi="Times New Roman"/>
              </w:rPr>
            </w:pPr>
            <w:r w:rsidRPr="00A53AD7">
              <w:rPr>
                <w:rFonts w:ascii="Times New Roman" w:hAnsi="Times New Roman"/>
              </w:rPr>
              <w:t>1 335,3</w:t>
            </w:r>
          </w:p>
        </w:tc>
        <w:tc>
          <w:tcPr>
            <w:tcW w:w="1869" w:type="dxa"/>
          </w:tcPr>
          <w:p w14:paraId="3EC1F985" w14:textId="77777777" w:rsidR="00B823F8" w:rsidRPr="00A53AD7" w:rsidRDefault="00B823F8" w:rsidP="00B823F8">
            <w:pPr>
              <w:pStyle w:val="ad"/>
              <w:jc w:val="center"/>
              <w:rPr>
                <w:rFonts w:ascii="Times New Roman" w:hAnsi="Times New Roman"/>
              </w:rPr>
            </w:pPr>
            <w:r w:rsidRPr="00A53AD7">
              <w:rPr>
                <w:rFonts w:ascii="Times New Roman" w:hAnsi="Times New Roman"/>
              </w:rPr>
              <w:t>3 020,7</w:t>
            </w:r>
          </w:p>
        </w:tc>
        <w:tc>
          <w:tcPr>
            <w:tcW w:w="1869" w:type="dxa"/>
          </w:tcPr>
          <w:p w14:paraId="328E3BCF" w14:textId="77777777" w:rsidR="00B823F8" w:rsidRPr="00A53AD7" w:rsidRDefault="00B823F8" w:rsidP="00B823F8">
            <w:pPr>
              <w:pStyle w:val="ad"/>
              <w:jc w:val="center"/>
              <w:rPr>
                <w:rFonts w:ascii="Times New Roman" w:hAnsi="Times New Roman"/>
              </w:rPr>
            </w:pPr>
            <w:r w:rsidRPr="00A53AD7">
              <w:rPr>
                <w:rFonts w:ascii="Times New Roman" w:hAnsi="Times New Roman"/>
              </w:rPr>
              <w:t>5 555,3</w:t>
            </w:r>
          </w:p>
        </w:tc>
      </w:tr>
      <w:tr w:rsidR="00B823F8" w:rsidRPr="00A53AD7" w14:paraId="07A6CAF7" w14:textId="77777777" w:rsidTr="00273C3C">
        <w:tc>
          <w:tcPr>
            <w:tcW w:w="1869" w:type="dxa"/>
          </w:tcPr>
          <w:p w14:paraId="328DA740"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869" w:type="dxa"/>
          </w:tcPr>
          <w:p w14:paraId="7F5609B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7,2 %</w:t>
            </w:r>
          </w:p>
        </w:tc>
        <w:tc>
          <w:tcPr>
            <w:tcW w:w="1869" w:type="dxa"/>
          </w:tcPr>
          <w:p w14:paraId="22C02FB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13,3 %</w:t>
            </w:r>
          </w:p>
        </w:tc>
        <w:tc>
          <w:tcPr>
            <w:tcW w:w="1869" w:type="dxa"/>
          </w:tcPr>
          <w:p w14:paraId="41F33EC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29,7 %</w:t>
            </w:r>
          </w:p>
        </w:tc>
        <w:tc>
          <w:tcPr>
            <w:tcW w:w="1869" w:type="dxa"/>
          </w:tcPr>
          <w:p w14:paraId="2BBCDE3E" w14:textId="65BBEB05" w:rsidR="00B823F8" w:rsidRPr="00A53AD7" w:rsidRDefault="00B823F8" w:rsidP="00B823F8">
            <w:pPr>
              <w:pStyle w:val="ad"/>
              <w:jc w:val="center"/>
              <w:rPr>
                <w:rFonts w:ascii="Times New Roman" w:hAnsi="Times New Roman"/>
                <w:b/>
              </w:rPr>
            </w:pPr>
            <w:r w:rsidRPr="00A53AD7">
              <w:rPr>
                <w:rFonts w:ascii="Times New Roman" w:hAnsi="Times New Roman"/>
                <w:b/>
              </w:rPr>
              <w:t>53,7</w:t>
            </w:r>
            <w:r w:rsidR="00E46634" w:rsidRPr="00A53AD7">
              <w:rPr>
                <w:rFonts w:ascii="Times New Roman" w:hAnsi="Times New Roman"/>
                <w:b/>
              </w:rPr>
              <w:t xml:space="preserve"> </w:t>
            </w:r>
            <w:r w:rsidRPr="00A53AD7">
              <w:rPr>
                <w:rFonts w:ascii="Times New Roman" w:hAnsi="Times New Roman"/>
                <w:b/>
              </w:rPr>
              <w:t>%</w:t>
            </w:r>
          </w:p>
        </w:tc>
      </w:tr>
    </w:tbl>
    <w:p w14:paraId="24C5226D" w14:textId="77777777" w:rsidR="00B823F8" w:rsidRPr="00A53AD7" w:rsidRDefault="00B823F8" w:rsidP="00B823F8">
      <w:pPr>
        <w:pStyle w:val="ad"/>
        <w:ind w:firstLine="709"/>
        <w:jc w:val="both"/>
        <w:rPr>
          <w:rFonts w:ascii="Times New Roman" w:hAnsi="Times New Roman"/>
          <w:b/>
          <w:sz w:val="28"/>
          <w:szCs w:val="28"/>
          <w:highlight w:val="cyan"/>
        </w:rPr>
      </w:pPr>
    </w:p>
    <w:p w14:paraId="39C66805" w14:textId="68CB14B0" w:rsidR="00B823F8" w:rsidRPr="00A53AD7" w:rsidRDefault="00B823F8" w:rsidP="00747A61">
      <w:pPr>
        <w:pStyle w:val="ad"/>
        <w:ind w:firstLine="851"/>
        <w:jc w:val="both"/>
        <w:rPr>
          <w:rFonts w:ascii="Times New Roman" w:hAnsi="Times New Roman"/>
          <w:sz w:val="28"/>
          <w:szCs w:val="28"/>
        </w:rPr>
      </w:pPr>
      <w:r w:rsidRPr="00A53AD7">
        <w:rPr>
          <w:rFonts w:ascii="Times New Roman" w:hAnsi="Times New Roman"/>
          <w:sz w:val="28"/>
          <w:szCs w:val="28"/>
        </w:rPr>
        <w:t>Согласно ведомственной структуре по исполнению областного бюджета за 2019 год показатели закона 9 392,4 млн.руб., бюджетной росписи 10 348,1 млн.руб.. отчета 5555,3 млн.руб.</w:t>
      </w:r>
      <w:r w:rsidR="00E46634" w:rsidRPr="00A53AD7">
        <w:rPr>
          <w:rFonts w:ascii="Times New Roman" w:hAnsi="Times New Roman"/>
          <w:sz w:val="28"/>
          <w:szCs w:val="28"/>
        </w:rPr>
        <w:t xml:space="preserve"> </w:t>
      </w:r>
    </w:p>
    <w:p w14:paraId="6211AA93" w14:textId="77777777" w:rsidR="00B823F8" w:rsidRPr="00A53AD7" w:rsidRDefault="00B823F8" w:rsidP="00B7128D">
      <w:pPr>
        <w:pStyle w:val="ad"/>
        <w:ind w:firstLine="851"/>
        <w:jc w:val="both"/>
        <w:rPr>
          <w:rFonts w:ascii="Times New Roman" w:hAnsi="Times New Roman"/>
          <w:sz w:val="28"/>
          <w:szCs w:val="28"/>
        </w:rPr>
      </w:pPr>
      <w:r w:rsidRPr="00A53AD7">
        <w:rPr>
          <w:rFonts w:ascii="Times New Roman" w:hAnsi="Times New Roman"/>
          <w:sz w:val="28"/>
          <w:szCs w:val="28"/>
        </w:rPr>
        <w:t>Исполнение капитальных вложений за 2019 год по главным распорядителям областного бюджета за счет всех источников финансирования, согласно ведомственной структуры расходов за 2019 год и показателям областного закона, бюджетной росписи и отчета об исполнении бюджета, составило:</w:t>
      </w:r>
    </w:p>
    <w:p w14:paraId="5AC9B05A"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33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830"/>
        <w:gridCol w:w="1266"/>
        <w:gridCol w:w="1418"/>
        <w:gridCol w:w="1554"/>
        <w:gridCol w:w="1133"/>
        <w:gridCol w:w="1134"/>
      </w:tblGrid>
      <w:tr w:rsidR="00D470B6" w:rsidRPr="00A53AD7" w14:paraId="6291E908" w14:textId="77777777" w:rsidTr="00D96B84">
        <w:trPr>
          <w:tblHeader/>
        </w:trPr>
        <w:tc>
          <w:tcPr>
            <w:tcW w:w="2830" w:type="dxa"/>
          </w:tcPr>
          <w:p w14:paraId="067F5C91" w14:textId="77777777" w:rsidR="00B823F8" w:rsidRPr="00A53AD7" w:rsidRDefault="00B823F8" w:rsidP="00B823F8">
            <w:pPr>
              <w:pStyle w:val="ad"/>
              <w:jc w:val="center"/>
              <w:rPr>
                <w:rFonts w:ascii="Times New Roman" w:hAnsi="Times New Roman"/>
              </w:rPr>
            </w:pPr>
            <w:r w:rsidRPr="00A53AD7">
              <w:rPr>
                <w:rFonts w:ascii="Times New Roman" w:hAnsi="Times New Roman"/>
              </w:rPr>
              <w:t>ГРБС</w:t>
            </w:r>
          </w:p>
        </w:tc>
        <w:tc>
          <w:tcPr>
            <w:tcW w:w="1266" w:type="dxa"/>
          </w:tcPr>
          <w:p w14:paraId="5F0EE16B" w14:textId="77777777" w:rsidR="00B823F8" w:rsidRPr="00A53AD7" w:rsidRDefault="00B823F8" w:rsidP="00B823F8">
            <w:pPr>
              <w:pStyle w:val="ad"/>
              <w:jc w:val="center"/>
              <w:rPr>
                <w:rFonts w:ascii="Times New Roman" w:hAnsi="Times New Roman"/>
              </w:rPr>
            </w:pPr>
            <w:r w:rsidRPr="00A53AD7">
              <w:rPr>
                <w:rFonts w:ascii="Times New Roman" w:hAnsi="Times New Roman"/>
              </w:rPr>
              <w:t>Закон о бюджете</w:t>
            </w:r>
          </w:p>
        </w:tc>
        <w:tc>
          <w:tcPr>
            <w:tcW w:w="1418" w:type="dxa"/>
          </w:tcPr>
          <w:p w14:paraId="58EAAF4B" w14:textId="77777777" w:rsidR="00B823F8" w:rsidRPr="00A53AD7" w:rsidRDefault="00B823F8" w:rsidP="00B823F8">
            <w:pPr>
              <w:pStyle w:val="ad"/>
              <w:jc w:val="center"/>
              <w:rPr>
                <w:rFonts w:ascii="Times New Roman" w:hAnsi="Times New Roman"/>
              </w:rPr>
            </w:pPr>
            <w:r w:rsidRPr="00A53AD7">
              <w:rPr>
                <w:rFonts w:ascii="Times New Roman" w:hAnsi="Times New Roman"/>
              </w:rPr>
              <w:t>Бюджетная роспись</w:t>
            </w:r>
          </w:p>
        </w:tc>
        <w:tc>
          <w:tcPr>
            <w:tcW w:w="1554" w:type="dxa"/>
          </w:tcPr>
          <w:p w14:paraId="3E53BFE4" w14:textId="77777777" w:rsidR="00B823F8" w:rsidRPr="00A53AD7" w:rsidRDefault="00B823F8" w:rsidP="00B823F8">
            <w:pPr>
              <w:pStyle w:val="ad"/>
              <w:jc w:val="center"/>
              <w:rPr>
                <w:rFonts w:ascii="Times New Roman" w:hAnsi="Times New Roman"/>
              </w:rPr>
            </w:pPr>
            <w:r w:rsidRPr="00A53AD7">
              <w:rPr>
                <w:rFonts w:ascii="Times New Roman" w:hAnsi="Times New Roman"/>
              </w:rPr>
              <w:t>Отчет за 2019 год</w:t>
            </w:r>
          </w:p>
        </w:tc>
        <w:tc>
          <w:tcPr>
            <w:tcW w:w="1133" w:type="dxa"/>
          </w:tcPr>
          <w:p w14:paraId="2DF55A08" w14:textId="77777777" w:rsidR="00B823F8" w:rsidRPr="00A53AD7" w:rsidRDefault="00B823F8" w:rsidP="00B823F8">
            <w:pPr>
              <w:pStyle w:val="ad"/>
              <w:jc w:val="center"/>
              <w:rPr>
                <w:rFonts w:ascii="Times New Roman" w:hAnsi="Times New Roman"/>
              </w:rPr>
            </w:pPr>
            <w:r w:rsidRPr="00A53AD7">
              <w:rPr>
                <w:rFonts w:ascii="Times New Roman" w:hAnsi="Times New Roman"/>
              </w:rPr>
              <w:t>в%% к закону</w:t>
            </w:r>
          </w:p>
        </w:tc>
        <w:tc>
          <w:tcPr>
            <w:tcW w:w="1134" w:type="dxa"/>
          </w:tcPr>
          <w:p w14:paraId="388BB455" w14:textId="77777777" w:rsidR="00B823F8" w:rsidRPr="00A53AD7" w:rsidRDefault="00B823F8" w:rsidP="00B823F8">
            <w:pPr>
              <w:pStyle w:val="ad"/>
              <w:jc w:val="center"/>
              <w:rPr>
                <w:rFonts w:ascii="Times New Roman" w:hAnsi="Times New Roman"/>
              </w:rPr>
            </w:pPr>
            <w:r w:rsidRPr="00A53AD7">
              <w:rPr>
                <w:rFonts w:ascii="Times New Roman" w:hAnsi="Times New Roman"/>
              </w:rPr>
              <w:t>в %% к росписи</w:t>
            </w:r>
          </w:p>
        </w:tc>
      </w:tr>
      <w:tr w:rsidR="00D470B6" w:rsidRPr="00A53AD7" w14:paraId="1DD51CA6" w14:textId="77777777" w:rsidTr="00B7128D">
        <w:tc>
          <w:tcPr>
            <w:tcW w:w="2830" w:type="dxa"/>
          </w:tcPr>
          <w:p w14:paraId="12A5D50A" w14:textId="77777777" w:rsidR="00B823F8" w:rsidRPr="00A53AD7" w:rsidRDefault="00B823F8" w:rsidP="00B823F8">
            <w:pPr>
              <w:pStyle w:val="ad"/>
              <w:rPr>
                <w:rFonts w:ascii="Times New Roman" w:hAnsi="Times New Roman"/>
              </w:rPr>
            </w:pPr>
            <w:r w:rsidRPr="00A53AD7">
              <w:rPr>
                <w:rFonts w:ascii="Times New Roman" w:hAnsi="Times New Roman"/>
              </w:rPr>
              <w:t>Минстроительства</w:t>
            </w:r>
          </w:p>
        </w:tc>
        <w:tc>
          <w:tcPr>
            <w:tcW w:w="1266" w:type="dxa"/>
          </w:tcPr>
          <w:p w14:paraId="7EEAA124" w14:textId="77777777" w:rsidR="00B823F8" w:rsidRPr="00A53AD7" w:rsidRDefault="00B823F8" w:rsidP="00B823F8">
            <w:pPr>
              <w:pStyle w:val="ad"/>
              <w:jc w:val="right"/>
              <w:rPr>
                <w:rFonts w:ascii="Times New Roman" w:hAnsi="Times New Roman"/>
              </w:rPr>
            </w:pPr>
            <w:r w:rsidRPr="00A53AD7">
              <w:rPr>
                <w:rFonts w:ascii="Times New Roman" w:hAnsi="Times New Roman"/>
              </w:rPr>
              <w:t>7 906,8</w:t>
            </w:r>
          </w:p>
        </w:tc>
        <w:tc>
          <w:tcPr>
            <w:tcW w:w="1418" w:type="dxa"/>
          </w:tcPr>
          <w:p w14:paraId="0A34F158" w14:textId="77777777" w:rsidR="00B823F8" w:rsidRPr="00A53AD7" w:rsidRDefault="00B823F8" w:rsidP="00B823F8">
            <w:pPr>
              <w:pStyle w:val="ad"/>
              <w:jc w:val="right"/>
              <w:rPr>
                <w:rFonts w:ascii="Times New Roman" w:hAnsi="Times New Roman"/>
              </w:rPr>
            </w:pPr>
            <w:r w:rsidRPr="00A53AD7">
              <w:rPr>
                <w:rFonts w:ascii="Times New Roman" w:hAnsi="Times New Roman"/>
              </w:rPr>
              <w:t>8 928,1</w:t>
            </w:r>
          </w:p>
        </w:tc>
        <w:tc>
          <w:tcPr>
            <w:tcW w:w="1554" w:type="dxa"/>
          </w:tcPr>
          <w:p w14:paraId="2C1B7BD6" w14:textId="77777777" w:rsidR="00B823F8" w:rsidRPr="00A53AD7" w:rsidRDefault="00B823F8" w:rsidP="00B823F8">
            <w:pPr>
              <w:pStyle w:val="ad"/>
              <w:jc w:val="right"/>
              <w:rPr>
                <w:rFonts w:ascii="Times New Roman" w:hAnsi="Times New Roman"/>
              </w:rPr>
            </w:pPr>
            <w:r w:rsidRPr="00A53AD7">
              <w:rPr>
                <w:rFonts w:ascii="Times New Roman" w:hAnsi="Times New Roman"/>
              </w:rPr>
              <w:t>4 237,1</w:t>
            </w:r>
          </w:p>
        </w:tc>
        <w:tc>
          <w:tcPr>
            <w:tcW w:w="1133" w:type="dxa"/>
          </w:tcPr>
          <w:p w14:paraId="356A836E" w14:textId="0C5DCAB9" w:rsidR="00B823F8" w:rsidRPr="00A53AD7" w:rsidRDefault="008F089F" w:rsidP="00B823F8">
            <w:pPr>
              <w:pStyle w:val="ad"/>
              <w:jc w:val="right"/>
              <w:rPr>
                <w:rFonts w:ascii="Times New Roman" w:hAnsi="Times New Roman"/>
              </w:rPr>
            </w:pPr>
            <w:r w:rsidRPr="00A53AD7">
              <w:rPr>
                <w:rFonts w:ascii="Times New Roman" w:hAnsi="Times New Roman"/>
              </w:rPr>
              <w:t>53,6</w:t>
            </w:r>
          </w:p>
        </w:tc>
        <w:tc>
          <w:tcPr>
            <w:tcW w:w="1134" w:type="dxa"/>
          </w:tcPr>
          <w:p w14:paraId="5240DFC3" w14:textId="10951C57" w:rsidR="00B823F8" w:rsidRPr="00A53AD7" w:rsidRDefault="008F089F" w:rsidP="00B823F8">
            <w:pPr>
              <w:pStyle w:val="ad"/>
              <w:jc w:val="right"/>
              <w:rPr>
                <w:rFonts w:ascii="Times New Roman" w:hAnsi="Times New Roman"/>
                <w:b/>
              </w:rPr>
            </w:pPr>
            <w:r w:rsidRPr="00A53AD7">
              <w:rPr>
                <w:rFonts w:ascii="Times New Roman" w:hAnsi="Times New Roman"/>
                <w:b/>
              </w:rPr>
              <w:t>47,5</w:t>
            </w:r>
          </w:p>
        </w:tc>
      </w:tr>
      <w:tr w:rsidR="00D470B6" w:rsidRPr="00A53AD7" w14:paraId="07D05867" w14:textId="77777777" w:rsidTr="00B7128D">
        <w:tc>
          <w:tcPr>
            <w:tcW w:w="2830" w:type="dxa"/>
          </w:tcPr>
          <w:p w14:paraId="13B8D9DC" w14:textId="77777777" w:rsidR="00B823F8" w:rsidRPr="00A53AD7" w:rsidRDefault="00B823F8" w:rsidP="00B823F8">
            <w:pPr>
              <w:pStyle w:val="ad"/>
              <w:rPr>
                <w:rFonts w:ascii="Times New Roman" w:hAnsi="Times New Roman"/>
              </w:rPr>
            </w:pPr>
            <w:r w:rsidRPr="00A53AD7">
              <w:rPr>
                <w:rFonts w:ascii="Times New Roman" w:hAnsi="Times New Roman"/>
              </w:rPr>
              <w:t>МинТЭКиЖКХ</w:t>
            </w:r>
          </w:p>
        </w:tc>
        <w:tc>
          <w:tcPr>
            <w:tcW w:w="1266" w:type="dxa"/>
          </w:tcPr>
          <w:p w14:paraId="358A8053" w14:textId="77777777" w:rsidR="00B823F8" w:rsidRPr="00A53AD7" w:rsidRDefault="00B823F8" w:rsidP="00B823F8">
            <w:pPr>
              <w:pStyle w:val="ad"/>
              <w:jc w:val="right"/>
              <w:rPr>
                <w:rFonts w:ascii="Times New Roman" w:hAnsi="Times New Roman"/>
              </w:rPr>
            </w:pPr>
            <w:r w:rsidRPr="00A53AD7">
              <w:rPr>
                <w:rFonts w:ascii="Times New Roman" w:hAnsi="Times New Roman"/>
              </w:rPr>
              <w:t>367,2</w:t>
            </w:r>
          </w:p>
        </w:tc>
        <w:tc>
          <w:tcPr>
            <w:tcW w:w="1418" w:type="dxa"/>
          </w:tcPr>
          <w:p w14:paraId="1D69BADC" w14:textId="77777777" w:rsidR="00B823F8" w:rsidRPr="00A53AD7" w:rsidRDefault="00B823F8" w:rsidP="00B823F8">
            <w:pPr>
              <w:pStyle w:val="ad"/>
              <w:jc w:val="right"/>
              <w:rPr>
                <w:rFonts w:ascii="Times New Roman" w:hAnsi="Times New Roman"/>
              </w:rPr>
            </w:pPr>
            <w:r w:rsidRPr="00A53AD7">
              <w:rPr>
                <w:rFonts w:ascii="Times New Roman" w:hAnsi="Times New Roman"/>
              </w:rPr>
              <w:t>301,6</w:t>
            </w:r>
          </w:p>
        </w:tc>
        <w:tc>
          <w:tcPr>
            <w:tcW w:w="1554" w:type="dxa"/>
          </w:tcPr>
          <w:p w14:paraId="7C324111" w14:textId="77777777" w:rsidR="00B823F8" w:rsidRPr="00A53AD7" w:rsidRDefault="00B823F8" w:rsidP="00B823F8">
            <w:pPr>
              <w:pStyle w:val="ad"/>
              <w:jc w:val="right"/>
              <w:rPr>
                <w:rFonts w:ascii="Times New Roman" w:hAnsi="Times New Roman"/>
              </w:rPr>
            </w:pPr>
            <w:r w:rsidRPr="00A53AD7">
              <w:rPr>
                <w:rFonts w:ascii="Times New Roman" w:hAnsi="Times New Roman"/>
              </w:rPr>
              <w:t>228,6</w:t>
            </w:r>
          </w:p>
        </w:tc>
        <w:tc>
          <w:tcPr>
            <w:tcW w:w="1133" w:type="dxa"/>
          </w:tcPr>
          <w:p w14:paraId="2EF71D64" w14:textId="225364DF" w:rsidR="00B823F8" w:rsidRPr="00A53AD7" w:rsidRDefault="008F089F" w:rsidP="00B823F8">
            <w:pPr>
              <w:pStyle w:val="ad"/>
              <w:jc w:val="right"/>
              <w:rPr>
                <w:rFonts w:ascii="Times New Roman" w:hAnsi="Times New Roman"/>
              </w:rPr>
            </w:pPr>
            <w:r w:rsidRPr="00A53AD7">
              <w:rPr>
                <w:rFonts w:ascii="Times New Roman" w:hAnsi="Times New Roman"/>
              </w:rPr>
              <w:t xml:space="preserve">62,2 </w:t>
            </w:r>
          </w:p>
        </w:tc>
        <w:tc>
          <w:tcPr>
            <w:tcW w:w="1134" w:type="dxa"/>
          </w:tcPr>
          <w:p w14:paraId="592F54AD" w14:textId="47B773F3" w:rsidR="00B823F8" w:rsidRPr="00A53AD7" w:rsidRDefault="008F089F" w:rsidP="00B823F8">
            <w:pPr>
              <w:pStyle w:val="ad"/>
              <w:jc w:val="right"/>
              <w:rPr>
                <w:rFonts w:ascii="Times New Roman" w:hAnsi="Times New Roman"/>
                <w:b/>
              </w:rPr>
            </w:pPr>
            <w:r w:rsidRPr="00A53AD7">
              <w:rPr>
                <w:rFonts w:ascii="Times New Roman" w:hAnsi="Times New Roman"/>
                <w:b/>
              </w:rPr>
              <w:t>75,8</w:t>
            </w:r>
          </w:p>
        </w:tc>
      </w:tr>
      <w:tr w:rsidR="00D470B6" w:rsidRPr="00A53AD7" w14:paraId="75473AC5" w14:textId="77777777" w:rsidTr="00B7128D">
        <w:tc>
          <w:tcPr>
            <w:tcW w:w="2830" w:type="dxa"/>
          </w:tcPr>
          <w:p w14:paraId="5EDC1BF1" w14:textId="77777777" w:rsidR="00B823F8" w:rsidRPr="00A53AD7" w:rsidRDefault="00B823F8" w:rsidP="00B823F8">
            <w:pPr>
              <w:pStyle w:val="ad"/>
              <w:rPr>
                <w:rFonts w:ascii="Times New Roman" w:hAnsi="Times New Roman"/>
              </w:rPr>
            </w:pPr>
            <w:r w:rsidRPr="00A53AD7">
              <w:rPr>
                <w:rFonts w:ascii="Times New Roman" w:hAnsi="Times New Roman"/>
              </w:rPr>
              <w:t>Минздрав</w:t>
            </w:r>
          </w:p>
        </w:tc>
        <w:tc>
          <w:tcPr>
            <w:tcW w:w="1266" w:type="dxa"/>
          </w:tcPr>
          <w:p w14:paraId="3D28D30E" w14:textId="77777777" w:rsidR="00B823F8" w:rsidRPr="00A53AD7" w:rsidRDefault="00B823F8" w:rsidP="00B823F8">
            <w:pPr>
              <w:pStyle w:val="ad"/>
              <w:jc w:val="right"/>
              <w:rPr>
                <w:rFonts w:ascii="Times New Roman" w:hAnsi="Times New Roman"/>
              </w:rPr>
            </w:pPr>
            <w:r w:rsidRPr="00A53AD7">
              <w:rPr>
                <w:rFonts w:ascii="Times New Roman" w:hAnsi="Times New Roman"/>
              </w:rPr>
              <w:t>15,4</w:t>
            </w:r>
          </w:p>
        </w:tc>
        <w:tc>
          <w:tcPr>
            <w:tcW w:w="1418" w:type="dxa"/>
          </w:tcPr>
          <w:p w14:paraId="62358624" w14:textId="77777777" w:rsidR="00B823F8" w:rsidRPr="00A53AD7" w:rsidRDefault="00B823F8" w:rsidP="00B823F8">
            <w:pPr>
              <w:pStyle w:val="ad"/>
              <w:jc w:val="right"/>
              <w:rPr>
                <w:rFonts w:ascii="Times New Roman" w:hAnsi="Times New Roman"/>
              </w:rPr>
            </w:pPr>
            <w:r w:rsidRPr="00A53AD7">
              <w:rPr>
                <w:rFonts w:ascii="Times New Roman" w:hAnsi="Times New Roman"/>
              </w:rPr>
              <w:t>15,4</w:t>
            </w:r>
          </w:p>
        </w:tc>
        <w:tc>
          <w:tcPr>
            <w:tcW w:w="1554" w:type="dxa"/>
          </w:tcPr>
          <w:p w14:paraId="3A680CEA" w14:textId="77777777" w:rsidR="00B823F8" w:rsidRPr="00A53AD7" w:rsidRDefault="00B823F8" w:rsidP="00B823F8">
            <w:pPr>
              <w:pStyle w:val="ad"/>
              <w:jc w:val="right"/>
              <w:rPr>
                <w:rFonts w:ascii="Times New Roman" w:hAnsi="Times New Roman"/>
              </w:rPr>
            </w:pPr>
            <w:r w:rsidRPr="00A53AD7">
              <w:rPr>
                <w:rFonts w:ascii="Times New Roman" w:hAnsi="Times New Roman"/>
              </w:rPr>
              <w:t>15,4</w:t>
            </w:r>
          </w:p>
        </w:tc>
        <w:tc>
          <w:tcPr>
            <w:tcW w:w="1133" w:type="dxa"/>
          </w:tcPr>
          <w:p w14:paraId="44C42DD2" w14:textId="739C3756"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351EAFB3" w14:textId="5AB6F046"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0166ED8E" w14:textId="77777777" w:rsidTr="00B7128D">
        <w:tc>
          <w:tcPr>
            <w:tcW w:w="2830" w:type="dxa"/>
          </w:tcPr>
          <w:p w14:paraId="48A6821D" w14:textId="77777777" w:rsidR="00B823F8" w:rsidRPr="00A53AD7" w:rsidRDefault="00B823F8" w:rsidP="00B823F8">
            <w:pPr>
              <w:pStyle w:val="ad"/>
              <w:rPr>
                <w:rFonts w:ascii="Times New Roman" w:hAnsi="Times New Roman"/>
              </w:rPr>
            </w:pPr>
            <w:r w:rsidRPr="00A53AD7">
              <w:rPr>
                <w:rFonts w:ascii="Times New Roman" w:hAnsi="Times New Roman"/>
              </w:rPr>
              <w:t>Минкультуры</w:t>
            </w:r>
          </w:p>
        </w:tc>
        <w:tc>
          <w:tcPr>
            <w:tcW w:w="1266" w:type="dxa"/>
          </w:tcPr>
          <w:p w14:paraId="36DA77C4"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418" w:type="dxa"/>
          </w:tcPr>
          <w:p w14:paraId="76315CE3"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554" w:type="dxa"/>
          </w:tcPr>
          <w:p w14:paraId="5EC563A1" w14:textId="77777777" w:rsidR="00B823F8" w:rsidRPr="00A53AD7" w:rsidRDefault="00B823F8" w:rsidP="00B823F8">
            <w:pPr>
              <w:pStyle w:val="ad"/>
              <w:jc w:val="right"/>
              <w:rPr>
                <w:rFonts w:ascii="Times New Roman" w:hAnsi="Times New Roman"/>
              </w:rPr>
            </w:pPr>
            <w:r w:rsidRPr="00A53AD7">
              <w:rPr>
                <w:rFonts w:ascii="Times New Roman" w:hAnsi="Times New Roman"/>
              </w:rPr>
              <w:t>32,0</w:t>
            </w:r>
          </w:p>
        </w:tc>
        <w:tc>
          <w:tcPr>
            <w:tcW w:w="1133" w:type="dxa"/>
          </w:tcPr>
          <w:p w14:paraId="558BF85F" w14:textId="6FA47FB5"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75C42907" w14:textId="4242B441"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384396FE" w14:textId="77777777" w:rsidTr="00B7128D">
        <w:tc>
          <w:tcPr>
            <w:tcW w:w="2830" w:type="dxa"/>
          </w:tcPr>
          <w:p w14:paraId="64B40560" w14:textId="77777777" w:rsidR="00B823F8" w:rsidRPr="00A53AD7" w:rsidRDefault="00B823F8" w:rsidP="00B823F8">
            <w:pPr>
              <w:pStyle w:val="ad"/>
              <w:rPr>
                <w:rFonts w:ascii="Times New Roman" w:hAnsi="Times New Roman"/>
              </w:rPr>
            </w:pPr>
            <w:r w:rsidRPr="00A53AD7">
              <w:rPr>
                <w:rFonts w:ascii="Times New Roman" w:hAnsi="Times New Roman"/>
              </w:rPr>
              <w:t>Минсвязи и ИТ</w:t>
            </w:r>
          </w:p>
        </w:tc>
        <w:tc>
          <w:tcPr>
            <w:tcW w:w="1266" w:type="dxa"/>
          </w:tcPr>
          <w:p w14:paraId="693F14D5"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418" w:type="dxa"/>
          </w:tcPr>
          <w:p w14:paraId="340F1655"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554" w:type="dxa"/>
          </w:tcPr>
          <w:p w14:paraId="41D88462" w14:textId="77777777" w:rsidR="00B823F8" w:rsidRPr="00A53AD7" w:rsidRDefault="00B823F8" w:rsidP="00B823F8">
            <w:pPr>
              <w:pStyle w:val="ad"/>
              <w:jc w:val="right"/>
              <w:rPr>
                <w:rFonts w:ascii="Times New Roman" w:hAnsi="Times New Roman"/>
              </w:rPr>
            </w:pPr>
            <w:r w:rsidRPr="00A53AD7">
              <w:rPr>
                <w:rFonts w:ascii="Times New Roman" w:hAnsi="Times New Roman"/>
              </w:rPr>
              <w:t>39,5</w:t>
            </w:r>
          </w:p>
        </w:tc>
        <w:tc>
          <w:tcPr>
            <w:tcW w:w="1133" w:type="dxa"/>
          </w:tcPr>
          <w:p w14:paraId="2A5B84B6" w14:textId="4846A2F4"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13FEFD2E" w14:textId="60678723"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672C06D6" w14:textId="77777777" w:rsidTr="00B7128D">
        <w:tc>
          <w:tcPr>
            <w:tcW w:w="2830" w:type="dxa"/>
          </w:tcPr>
          <w:p w14:paraId="14045A7B" w14:textId="77777777" w:rsidR="00B823F8" w:rsidRPr="00A53AD7" w:rsidRDefault="00B823F8" w:rsidP="00B823F8">
            <w:pPr>
              <w:pStyle w:val="ad"/>
              <w:rPr>
                <w:rFonts w:ascii="Times New Roman" w:hAnsi="Times New Roman"/>
              </w:rPr>
            </w:pPr>
            <w:r w:rsidRPr="00A53AD7">
              <w:rPr>
                <w:rFonts w:ascii="Times New Roman" w:hAnsi="Times New Roman"/>
              </w:rPr>
              <w:t>Минобразования</w:t>
            </w:r>
          </w:p>
        </w:tc>
        <w:tc>
          <w:tcPr>
            <w:tcW w:w="1266" w:type="dxa"/>
          </w:tcPr>
          <w:p w14:paraId="060FC9C0" w14:textId="77777777" w:rsidR="00B823F8" w:rsidRPr="00A53AD7" w:rsidRDefault="00B823F8" w:rsidP="00B823F8">
            <w:pPr>
              <w:pStyle w:val="ad"/>
              <w:jc w:val="right"/>
              <w:rPr>
                <w:rFonts w:ascii="Times New Roman" w:hAnsi="Times New Roman"/>
              </w:rPr>
            </w:pPr>
            <w:r w:rsidRPr="00A53AD7">
              <w:rPr>
                <w:rFonts w:ascii="Times New Roman" w:hAnsi="Times New Roman"/>
              </w:rPr>
              <w:t>0,2</w:t>
            </w:r>
          </w:p>
        </w:tc>
        <w:tc>
          <w:tcPr>
            <w:tcW w:w="1418" w:type="dxa"/>
          </w:tcPr>
          <w:p w14:paraId="26BB6C8B" w14:textId="77777777" w:rsidR="00B823F8" w:rsidRPr="00A53AD7" w:rsidRDefault="00B823F8" w:rsidP="00B823F8">
            <w:pPr>
              <w:pStyle w:val="ad"/>
              <w:jc w:val="right"/>
              <w:rPr>
                <w:rFonts w:ascii="Times New Roman" w:hAnsi="Times New Roman"/>
              </w:rPr>
            </w:pPr>
            <w:r w:rsidRPr="00A53AD7">
              <w:rPr>
                <w:rFonts w:ascii="Times New Roman" w:hAnsi="Times New Roman"/>
              </w:rPr>
              <w:t>0,2</w:t>
            </w:r>
          </w:p>
        </w:tc>
        <w:tc>
          <w:tcPr>
            <w:tcW w:w="1554" w:type="dxa"/>
          </w:tcPr>
          <w:p w14:paraId="7F3FE742" w14:textId="77777777" w:rsidR="00B823F8" w:rsidRPr="00A53AD7" w:rsidRDefault="00B823F8" w:rsidP="00B823F8">
            <w:pPr>
              <w:pStyle w:val="ad"/>
              <w:jc w:val="right"/>
              <w:rPr>
                <w:rFonts w:ascii="Times New Roman" w:hAnsi="Times New Roman"/>
              </w:rPr>
            </w:pPr>
            <w:r w:rsidRPr="00A53AD7">
              <w:rPr>
                <w:rFonts w:ascii="Times New Roman" w:hAnsi="Times New Roman"/>
              </w:rPr>
              <w:t>0,2</w:t>
            </w:r>
          </w:p>
        </w:tc>
        <w:tc>
          <w:tcPr>
            <w:tcW w:w="1133" w:type="dxa"/>
          </w:tcPr>
          <w:p w14:paraId="5197DC37" w14:textId="178175F7"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49E812F4" w14:textId="7938D041"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277DAEA8" w14:textId="77777777" w:rsidTr="00B7128D">
        <w:tc>
          <w:tcPr>
            <w:tcW w:w="2830" w:type="dxa"/>
          </w:tcPr>
          <w:p w14:paraId="1F0F24AC" w14:textId="77777777" w:rsidR="00B823F8" w:rsidRPr="00A53AD7" w:rsidRDefault="00B823F8" w:rsidP="00B823F8">
            <w:pPr>
              <w:pStyle w:val="ad"/>
              <w:rPr>
                <w:rFonts w:ascii="Times New Roman" w:hAnsi="Times New Roman"/>
              </w:rPr>
            </w:pPr>
            <w:r w:rsidRPr="00A53AD7">
              <w:rPr>
                <w:rFonts w:ascii="Times New Roman" w:hAnsi="Times New Roman"/>
              </w:rPr>
              <w:t>Минтранспорта</w:t>
            </w:r>
          </w:p>
        </w:tc>
        <w:tc>
          <w:tcPr>
            <w:tcW w:w="1266" w:type="dxa"/>
          </w:tcPr>
          <w:p w14:paraId="22FEA7AA" w14:textId="77777777" w:rsidR="00B823F8" w:rsidRPr="00A53AD7" w:rsidRDefault="00B823F8" w:rsidP="00B823F8">
            <w:pPr>
              <w:pStyle w:val="ad"/>
              <w:jc w:val="right"/>
              <w:rPr>
                <w:rFonts w:ascii="Times New Roman" w:hAnsi="Times New Roman"/>
              </w:rPr>
            </w:pPr>
            <w:r w:rsidRPr="00A53AD7">
              <w:rPr>
                <w:rFonts w:ascii="Times New Roman" w:hAnsi="Times New Roman"/>
              </w:rPr>
              <w:t>1 003,8</w:t>
            </w:r>
          </w:p>
        </w:tc>
        <w:tc>
          <w:tcPr>
            <w:tcW w:w="1418" w:type="dxa"/>
          </w:tcPr>
          <w:p w14:paraId="1E72DBAF" w14:textId="77777777" w:rsidR="00B823F8" w:rsidRPr="00A53AD7" w:rsidRDefault="00B823F8" w:rsidP="00B823F8">
            <w:pPr>
              <w:pStyle w:val="ad"/>
              <w:jc w:val="right"/>
              <w:rPr>
                <w:rFonts w:ascii="Times New Roman" w:hAnsi="Times New Roman"/>
              </w:rPr>
            </w:pPr>
            <w:r w:rsidRPr="00A53AD7">
              <w:rPr>
                <w:rFonts w:ascii="Times New Roman" w:hAnsi="Times New Roman"/>
              </w:rPr>
              <w:t>1 003,8</w:t>
            </w:r>
          </w:p>
        </w:tc>
        <w:tc>
          <w:tcPr>
            <w:tcW w:w="1554" w:type="dxa"/>
          </w:tcPr>
          <w:p w14:paraId="37628185" w14:textId="77777777" w:rsidR="00B823F8" w:rsidRPr="00A53AD7" w:rsidRDefault="00B823F8" w:rsidP="00B823F8">
            <w:pPr>
              <w:pStyle w:val="ad"/>
              <w:jc w:val="right"/>
              <w:rPr>
                <w:rFonts w:ascii="Times New Roman" w:hAnsi="Times New Roman"/>
              </w:rPr>
            </w:pPr>
            <w:r w:rsidRPr="00A53AD7">
              <w:rPr>
                <w:rFonts w:ascii="Times New Roman" w:hAnsi="Times New Roman"/>
              </w:rPr>
              <w:t>975,0</w:t>
            </w:r>
          </w:p>
        </w:tc>
        <w:tc>
          <w:tcPr>
            <w:tcW w:w="1133" w:type="dxa"/>
          </w:tcPr>
          <w:p w14:paraId="590FA6F4" w14:textId="349B49A7" w:rsidR="00B823F8" w:rsidRPr="00A53AD7" w:rsidRDefault="008F089F" w:rsidP="00B823F8">
            <w:pPr>
              <w:pStyle w:val="ad"/>
              <w:jc w:val="right"/>
              <w:rPr>
                <w:rFonts w:ascii="Times New Roman" w:hAnsi="Times New Roman"/>
              </w:rPr>
            </w:pPr>
            <w:r w:rsidRPr="00A53AD7">
              <w:rPr>
                <w:rFonts w:ascii="Times New Roman" w:hAnsi="Times New Roman"/>
              </w:rPr>
              <w:t>97,1</w:t>
            </w:r>
          </w:p>
        </w:tc>
        <w:tc>
          <w:tcPr>
            <w:tcW w:w="1134" w:type="dxa"/>
          </w:tcPr>
          <w:p w14:paraId="4884BE19" w14:textId="219C9D31" w:rsidR="00B823F8" w:rsidRPr="00A53AD7" w:rsidRDefault="008F089F" w:rsidP="00B823F8">
            <w:pPr>
              <w:pStyle w:val="ad"/>
              <w:jc w:val="right"/>
              <w:rPr>
                <w:rFonts w:ascii="Times New Roman" w:hAnsi="Times New Roman"/>
                <w:b/>
              </w:rPr>
            </w:pPr>
            <w:r w:rsidRPr="00A53AD7">
              <w:rPr>
                <w:rFonts w:ascii="Times New Roman" w:hAnsi="Times New Roman"/>
                <w:b/>
              </w:rPr>
              <w:t>97,1</w:t>
            </w:r>
          </w:p>
        </w:tc>
      </w:tr>
      <w:tr w:rsidR="00D470B6" w:rsidRPr="00A53AD7" w14:paraId="31DCB0D5" w14:textId="77777777" w:rsidTr="00B7128D">
        <w:tc>
          <w:tcPr>
            <w:tcW w:w="2830" w:type="dxa"/>
          </w:tcPr>
          <w:p w14:paraId="1BA23A40" w14:textId="77777777" w:rsidR="00B823F8" w:rsidRPr="00A53AD7" w:rsidRDefault="00B823F8" w:rsidP="00B823F8">
            <w:pPr>
              <w:pStyle w:val="ad"/>
              <w:rPr>
                <w:rFonts w:ascii="Times New Roman" w:hAnsi="Times New Roman"/>
              </w:rPr>
            </w:pPr>
            <w:r w:rsidRPr="00A53AD7">
              <w:rPr>
                <w:rFonts w:ascii="Times New Roman" w:hAnsi="Times New Roman"/>
              </w:rPr>
              <w:t>Минсоцзащиты</w:t>
            </w:r>
          </w:p>
        </w:tc>
        <w:tc>
          <w:tcPr>
            <w:tcW w:w="1266" w:type="dxa"/>
          </w:tcPr>
          <w:p w14:paraId="39A16D36"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418" w:type="dxa"/>
          </w:tcPr>
          <w:p w14:paraId="00E780CB"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554" w:type="dxa"/>
          </w:tcPr>
          <w:p w14:paraId="4C44ACDC" w14:textId="77777777" w:rsidR="00B823F8" w:rsidRPr="00A53AD7" w:rsidRDefault="00B823F8" w:rsidP="00B823F8">
            <w:pPr>
              <w:pStyle w:val="ad"/>
              <w:jc w:val="right"/>
              <w:rPr>
                <w:rFonts w:ascii="Times New Roman" w:hAnsi="Times New Roman"/>
              </w:rPr>
            </w:pPr>
            <w:r w:rsidRPr="00A53AD7">
              <w:rPr>
                <w:rFonts w:ascii="Times New Roman" w:hAnsi="Times New Roman"/>
              </w:rPr>
              <w:t>25,0</w:t>
            </w:r>
          </w:p>
        </w:tc>
        <w:tc>
          <w:tcPr>
            <w:tcW w:w="1133" w:type="dxa"/>
          </w:tcPr>
          <w:p w14:paraId="01A847D9" w14:textId="014D19E5"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2FD8F932" w14:textId="155431C4"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141DC99A" w14:textId="77777777" w:rsidTr="00B7128D">
        <w:tc>
          <w:tcPr>
            <w:tcW w:w="2830" w:type="dxa"/>
          </w:tcPr>
          <w:p w14:paraId="7A78AD29" w14:textId="77777777" w:rsidR="00B823F8" w:rsidRPr="00A53AD7" w:rsidRDefault="00B823F8" w:rsidP="00B823F8">
            <w:pPr>
              <w:pStyle w:val="ad"/>
              <w:rPr>
                <w:rFonts w:ascii="Times New Roman" w:hAnsi="Times New Roman"/>
              </w:rPr>
            </w:pPr>
            <w:r w:rsidRPr="00A53AD7">
              <w:rPr>
                <w:rFonts w:ascii="Times New Roman" w:hAnsi="Times New Roman"/>
              </w:rPr>
              <w:t>Минспорта</w:t>
            </w:r>
          </w:p>
        </w:tc>
        <w:tc>
          <w:tcPr>
            <w:tcW w:w="1266" w:type="dxa"/>
          </w:tcPr>
          <w:p w14:paraId="0297F4EC"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418" w:type="dxa"/>
          </w:tcPr>
          <w:p w14:paraId="1A9BB6B6"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554" w:type="dxa"/>
          </w:tcPr>
          <w:p w14:paraId="62BD27B4" w14:textId="77777777" w:rsidR="00B823F8" w:rsidRPr="00A53AD7" w:rsidRDefault="00B823F8" w:rsidP="00B823F8">
            <w:pPr>
              <w:pStyle w:val="ad"/>
              <w:jc w:val="right"/>
              <w:rPr>
                <w:rFonts w:ascii="Times New Roman" w:hAnsi="Times New Roman"/>
              </w:rPr>
            </w:pPr>
            <w:r w:rsidRPr="00A53AD7">
              <w:rPr>
                <w:rFonts w:ascii="Times New Roman" w:hAnsi="Times New Roman"/>
              </w:rPr>
              <w:t>2,5</w:t>
            </w:r>
          </w:p>
        </w:tc>
        <w:tc>
          <w:tcPr>
            <w:tcW w:w="1133" w:type="dxa"/>
          </w:tcPr>
          <w:p w14:paraId="0DA90F18" w14:textId="0BD97D6E" w:rsidR="00B823F8" w:rsidRPr="00A53AD7" w:rsidRDefault="008F089F" w:rsidP="00B823F8">
            <w:pPr>
              <w:pStyle w:val="ad"/>
              <w:jc w:val="right"/>
              <w:rPr>
                <w:rFonts w:ascii="Times New Roman" w:hAnsi="Times New Roman"/>
              </w:rPr>
            </w:pPr>
            <w:r w:rsidRPr="00A53AD7">
              <w:rPr>
                <w:rFonts w:ascii="Times New Roman" w:hAnsi="Times New Roman"/>
              </w:rPr>
              <w:t>100,0</w:t>
            </w:r>
          </w:p>
        </w:tc>
        <w:tc>
          <w:tcPr>
            <w:tcW w:w="1134" w:type="dxa"/>
          </w:tcPr>
          <w:p w14:paraId="29B4B202" w14:textId="2E71473D" w:rsidR="00B823F8" w:rsidRPr="00A53AD7" w:rsidRDefault="008F089F" w:rsidP="00B823F8">
            <w:pPr>
              <w:pStyle w:val="ad"/>
              <w:jc w:val="right"/>
              <w:rPr>
                <w:rFonts w:ascii="Times New Roman" w:hAnsi="Times New Roman"/>
              </w:rPr>
            </w:pPr>
            <w:r w:rsidRPr="00A53AD7">
              <w:rPr>
                <w:rFonts w:ascii="Times New Roman" w:hAnsi="Times New Roman"/>
              </w:rPr>
              <w:t>100,0</w:t>
            </w:r>
          </w:p>
        </w:tc>
      </w:tr>
      <w:tr w:rsidR="00D470B6" w:rsidRPr="00A53AD7" w14:paraId="70EAC2FB" w14:textId="77777777" w:rsidTr="00B7128D">
        <w:tc>
          <w:tcPr>
            <w:tcW w:w="2830" w:type="dxa"/>
          </w:tcPr>
          <w:p w14:paraId="746ECC6A" w14:textId="77777777" w:rsidR="00B823F8" w:rsidRPr="00A53AD7" w:rsidRDefault="00B823F8" w:rsidP="00B823F8">
            <w:pPr>
              <w:pStyle w:val="ad"/>
              <w:ind w:right="-92"/>
              <w:rPr>
                <w:rFonts w:ascii="Times New Roman" w:hAnsi="Times New Roman"/>
                <w:b/>
              </w:rPr>
            </w:pPr>
            <w:r w:rsidRPr="00A53AD7">
              <w:rPr>
                <w:rFonts w:ascii="Times New Roman" w:hAnsi="Times New Roman"/>
                <w:b/>
              </w:rPr>
              <w:t>ИТОГО</w:t>
            </w:r>
          </w:p>
        </w:tc>
        <w:tc>
          <w:tcPr>
            <w:tcW w:w="1266" w:type="dxa"/>
          </w:tcPr>
          <w:p w14:paraId="59A4FB69" w14:textId="77777777" w:rsidR="00B823F8" w:rsidRPr="00A53AD7" w:rsidRDefault="00B823F8" w:rsidP="00B823F8">
            <w:pPr>
              <w:pStyle w:val="ad"/>
              <w:jc w:val="right"/>
              <w:rPr>
                <w:rFonts w:ascii="Times New Roman" w:hAnsi="Times New Roman"/>
                <w:b/>
              </w:rPr>
            </w:pPr>
            <w:r w:rsidRPr="00A53AD7">
              <w:rPr>
                <w:rFonts w:ascii="Times New Roman" w:hAnsi="Times New Roman"/>
                <w:b/>
              </w:rPr>
              <w:t>9 392,4</w:t>
            </w:r>
          </w:p>
        </w:tc>
        <w:tc>
          <w:tcPr>
            <w:tcW w:w="1418" w:type="dxa"/>
          </w:tcPr>
          <w:p w14:paraId="294DE38E" w14:textId="77777777" w:rsidR="00B823F8" w:rsidRPr="00A53AD7" w:rsidRDefault="00B823F8" w:rsidP="00B823F8">
            <w:pPr>
              <w:pStyle w:val="ad"/>
              <w:jc w:val="right"/>
              <w:rPr>
                <w:rFonts w:ascii="Times New Roman" w:hAnsi="Times New Roman"/>
                <w:b/>
              </w:rPr>
            </w:pPr>
            <w:r w:rsidRPr="00A53AD7">
              <w:rPr>
                <w:rFonts w:ascii="Times New Roman" w:hAnsi="Times New Roman"/>
                <w:b/>
              </w:rPr>
              <w:t>10 348,1</w:t>
            </w:r>
          </w:p>
        </w:tc>
        <w:tc>
          <w:tcPr>
            <w:tcW w:w="1554" w:type="dxa"/>
          </w:tcPr>
          <w:p w14:paraId="2C1F9475" w14:textId="77777777" w:rsidR="00B823F8" w:rsidRPr="00A53AD7" w:rsidRDefault="00B823F8" w:rsidP="00B823F8">
            <w:pPr>
              <w:pStyle w:val="ad"/>
              <w:jc w:val="right"/>
              <w:rPr>
                <w:rFonts w:ascii="Times New Roman" w:hAnsi="Times New Roman"/>
                <w:b/>
              </w:rPr>
            </w:pPr>
            <w:r w:rsidRPr="00A53AD7">
              <w:rPr>
                <w:rFonts w:ascii="Times New Roman" w:hAnsi="Times New Roman"/>
                <w:b/>
              </w:rPr>
              <w:t>5 555,3</w:t>
            </w:r>
          </w:p>
        </w:tc>
        <w:tc>
          <w:tcPr>
            <w:tcW w:w="1133" w:type="dxa"/>
          </w:tcPr>
          <w:p w14:paraId="528F061F" w14:textId="31AD9BC4" w:rsidR="00B823F8" w:rsidRPr="00A53AD7" w:rsidRDefault="00B823F8" w:rsidP="00B823F8">
            <w:pPr>
              <w:pStyle w:val="ad"/>
              <w:jc w:val="right"/>
              <w:rPr>
                <w:rFonts w:ascii="Times New Roman" w:hAnsi="Times New Roman"/>
                <w:b/>
              </w:rPr>
            </w:pPr>
            <w:r w:rsidRPr="00A53AD7">
              <w:rPr>
                <w:rFonts w:ascii="Times New Roman" w:hAnsi="Times New Roman"/>
                <w:b/>
              </w:rPr>
              <w:t>59,9</w:t>
            </w:r>
          </w:p>
        </w:tc>
        <w:tc>
          <w:tcPr>
            <w:tcW w:w="1134" w:type="dxa"/>
          </w:tcPr>
          <w:p w14:paraId="53EAC740" w14:textId="70559C14" w:rsidR="00B823F8" w:rsidRPr="00A53AD7" w:rsidRDefault="00B823F8" w:rsidP="00B823F8">
            <w:pPr>
              <w:pStyle w:val="ad"/>
              <w:jc w:val="right"/>
              <w:rPr>
                <w:rFonts w:ascii="Times New Roman" w:hAnsi="Times New Roman"/>
                <w:b/>
              </w:rPr>
            </w:pPr>
            <w:r w:rsidRPr="00A53AD7">
              <w:rPr>
                <w:rFonts w:ascii="Times New Roman" w:hAnsi="Times New Roman"/>
                <w:b/>
              </w:rPr>
              <w:t>53,7</w:t>
            </w:r>
            <w:r w:rsidR="00E46634" w:rsidRPr="00A53AD7">
              <w:rPr>
                <w:rFonts w:ascii="Times New Roman" w:hAnsi="Times New Roman"/>
                <w:b/>
              </w:rPr>
              <w:t xml:space="preserve"> </w:t>
            </w:r>
          </w:p>
        </w:tc>
      </w:tr>
      <w:tr w:rsidR="00B823F8" w:rsidRPr="00A53AD7" w14:paraId="58CC3666" w14:textId="77777777" w:rsidTr="00B7128D">
        <w:tc>
          <w:tcPr>
            <w:tcW w:w="2830" w:type="dxa"/>
          </w:tcPr>
          <w:p w14:paraId="79470420" w14:textId="77777777" w:rsidR="00B823F8" w:rsidRPr="00A53AD7" w:rsidRDefault="00B823F8" w:rsidP="00B823F8">
            <w:pPr>
              <w:pStyle w:val="ad"/>
              <w:ind w:right="-92"/>
              <w:rPr>
                <w:rFonts w:ascii="Times New Roman" w:hAnsi="Times New Roman"/>
                <w:b/>
              </w:rPr>
            </w:pPr>
            <w:r w:rsidRPr="00A53AD7">
              <w:rPr>
                <w:rFonts w:ascii="Times New Roman" w:hAnsi="Times New Roman"/>
                <w:b/>
              </w:rPr>
              <w:t>В т.ч. муниц. образов.</w:t>
            </w:r>
          </w:p>
        </w:tc>
        <w:tc>
          <w:tcPr>
            <w:tcW w:w="1266" w:type="dxa"/>
          </w:tcPr>
          <w:p w14:paraId="34764406" w14:textId="77777777" w:rsidR="00B823F8" w:rsidRPr="00A53AD7" w:rsidRDefault="00B823F8" w:rsidP="00B823F8">
            <w:pPr>
              <w:pStyle w:val="ad"/>
              <w:jc w:val="right"/>
              <w:rPr>
                <w:rFonts w:ascii="Times New Roman" w:hAnsi="Times New Roman"/>
                <w:b/>
              </w:rPr>
            </w:pPr>
            <w:r w:rsidRPr="00A53AD7">
              <w:rPr>
                <w:rFonts w:ascii="Times New Roman" w:hAnsi="Times New Roman"/>
                <w:b/>
              </w:rPr>
              <w:t>5 632,9</w:t>
            </w:r>
          </w:p>
        </w:tc>
        <w:tc>
          <w:tcPr>
            <w:tcW w:w="1418" w:type="dxa"/>
          </w:tcPr>
          <w:p w14:paraId="381C7285" w14:textId="77777777" w:rsidR="00B823F8" w:rsidRPr="00A53AD7" w:rsidRDefault="00B823F8" w:rsidP="00B823F8">
            <w:pPr>
              <w:pStyle w:val="ad"/>
              <w:jc w:val="right"/>
              <w:rPr>
                <w:rFonts w:ascii="Times New Roman" w:hAnsi="Times New Roman"/>
                <w:b/>
              </w:rPr>
            </w:pPr>
            <w:r w:rsidRPr="00A53AD7">
              <w:rPr>
                <w:rFonts w:ascii="Times New Roman" w:hAnsi="Times New Roman"/>
                <w:b/>
              </w:rPr>
              <w:t>6 154,7</w:t>
            </w:r>
          </w:p>
        </w:tc>
        <w:tc>
          <w:tcPr>
            <w:tcW w:w="1554" w:type="dxa"/>
          </w:tcPr>
          <w:p w14:paraId="36623813" w14:textId="77777777" w:rsidR="00B823F8" w:rsidRPr="00A53AD7" w:rsidRDefault="00B823F8" w:rsidP="00B823F8">
            <w:pPr>
              <w:pStyle w:val="ad"/>
              <w:jc w:val="right"/>
              <w:rPr>
                <w:rFonts w:ascii="Times New Roman" w:hAnsi="Times New Roman"/>
                <w:b/>
              </w:rPr>
            </w:pPr>
            <w:r w:rsidRPr="00A53AD7">
              <w:rPr>
                <w:rFonts w:ascii="Times New Roman" w:hAnsi="Times New Roman"/>
                <w:b/>
              </w:rPr>
              <w:t>2 969,4</w:t>
            </w:r>
          </w:p>
        </w:tc>
        <w:tc>
          <w:tcPr>
            <w:tcW w:w="1133" w:type="dxa"/>
          </w:tcPr>
          <w:p w14:paraId="710E0FFC" w14:textId="00F10104" w:rsidR="00B823F8" w:rsidRPr="00A53AD7" w:rsidRDefault="008F089F" w:rsidP="00B823F8">
            <w:pPr>
              <w:pStyle w:val="ad"/>
              <w:jc w:val="right"/>
              <w:rPr>
                <w:rFonts w:ascii="Times New Roman" w:hAnsi="Times New Roman"/>
                <w:b/>
              </w:rPr>
            </w:pPr>
            <w:r w:rsidRPr="00A53AD7">
              <w:rPr>
                <w:rFonts w:ascii="Times New Roman" w:hAnsi="Times New Roman"/>
                <w:b/>
              </w:rPr>
              <w:t>52,7</w:t>
            </w:r>
          </w:p>
        </w:tc>
        <w:tc>
          <w:tcPr>
            <w:tcW w:w="1134" w:type="dxa"/>
          </w:tcPr>
          <w:p w14:paraId="438823A4" w14:textId="3A032299" w:rsidR="00B823F8" w:rsidRPr="00A53AD7" w:rsidRDefault="008F089F" w:rsidP="00B823F8">
            <w:pPr>
              <w:pStyle w:val="ad"/>
              <w:jc w:val="right"/>
              <w:rPr>
                <w:rFonts w:ascii="Times New Roman" w:hAnsi="Times New Roman"/>
                <w:b/>
              </w:rPr>
            </w:pPr>
            <w:r w:rsidRPr="00A53AD7">
              <w:rPr>
                <w:rFonts w:ascii="Times New Roman" w:hAnsi="Times New Roman"/>
                <w:b/>
              </w:rPr>
              <w:t>48,2</w:t>
            </w:r>
          </w:p>
        </w:tc>
      </w:tr>
    </w:tbl>
    <w:p w14:paraId="7A1DDDC2" w14:textId="77777777" w:rsidR="00DD13E9" w:rsidRPr="00A53AD7" w:rsidRDefault="00DD13E9" w:rsidP="00DD13E9">
      <w:pPr>
        <w:pStyle w:val="ad"/>
        <w:ind w:firstLine="851"/>
        <w:jc w:val="both"/>
        <w:rPr>
          <w:rFonts w:ascii="Times New Roman" w:hAnsi="Times New Roman"/>
          <w:sz w:val="28"/>
          <w:szCs w:val="28"/>
        </w:rPr>
      </w:pPr>
    </w:p>
    <w:p w14:paraId="2D4FCF82" w14:textId="77777777" w:rsidR="00B823F8" w:rsidRPr="00A53AD7" w:rsidRDefault="00B823F8" w:rsidP="00DD13E9">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положений статьи 158 БК РФ министерствами строительства, ТЭКиЖКХ, транспорта, не обеспечена результативность использования бюджетных средств на капитальные вложения в объекты государственной и муниципальной собственности.</w:t>
      </w:r>
    </w:p>
    <w:p w14:paraId="69D869A4" w14:textId="77777777" w:rsidR="00B823F8" w:rsidRPr="00A53AD7" w:rsidRDefault="00B823F8" w:rsidP="00DD13E9">
      <w:pPr>
        <w:pStyle w:val="ad"/>
        <w:ind w:firstLine="851"/>
        <w:jc w:val="both"/>
        <w:rPr>
          <w:rFonts w:ascii="Times New Roman" w:hAnsi="Times New Roman"/>
          <w:sz w:val="28"/>
          <w:szCs w:val="28"/>
        </w:rPr>
      </w:pPr>
      <w:r w:rsidRPr="00A53AD7">
        <w:rPr>
          <w:rFonts w:ascii="Times New Roman" w:hAnsi="Times New Roman"/>
          <w:sz w:val="28"/>
          <w:szCs w:val="28"/>
        </w:rPr>
        <w:t>Приведенные показатели свидетельствуют о низком уровне организации исполнения областной адресной инвестиционной программы как в течении, так и по итогам 2019 года, как со стороны министерства строительства, так и главных распорядителей областного бюджета и заказчиков по объектам, об отсутствии ответственности за неисполнение и несвоевременное исполнение программы, как финансовой, так и административной.</w:t>
      </w:r>
    </w:p>
    <w:p w14:paraId="2E59BA5B" w14:textId="0DBF79A6" w:rsidR="00B823F8" w:rsidRPr="00A53AD7" w:rsidRDefault="00B823F8" w:rsidP="00DD13E9">
      <w:pPr>
        <w:pStyle w:val="ad"/>
        <w:ind w:firstLine="851"/>
        <w:jc w:val="both"/>
        <w:rPr>
          <w:rFonts w:ascii="Times New Roman" w:hAnsi="Times New Roman"/>
          <w:sz w:val="28"/>
          <w:szCs w:val="28"/>
        </w:rPr>
      </w:pPr>
      <w:r w:rsidRPr="00A53AD7">
        <w:rPr>
          <w:rFonts w:ascii="Times New Roman" w:hAnsi="Times New Roman"/>
          <w:sz w:val="28"/>
          <w:szCs w:val="28"/>
        </w:rPr>
        <w:t>В рамках государственных и иных программ Архангельской области изменение в течение 2019 года и исполнение ОАИП за 2019 год за счет всех источников финансирования характеризуется следующими показателями:</w:t>
      </w:r>
    </w:p>
    <w:p w14:paraId="434EFF9D"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25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060"/>
        <w:gridCol w:w="1312"/>
        <w:gridCol w:w="1281"/>
        <w:gridCol w:w="1412"/>
        <w:gridCol w:w="1192"/>
      </w:tblGrid>
      <w:tr w:rsidR="00D470B6" w:rsidRPr="00A53AD7" w14:paraId="6B9B3D58" w14:textId="77777777" w:rsidTr="00113AA0">
        <w:trPr>
          <w:tblHeader/>
        </w:trPr>
        <w:tc>
          <w:tcPr>
            <w:tcW w:w="4060" w:type="dxa"/>
          </w:tcPr>
          <w:p w14:paraId="48B0F99C" w14:textId="77777777" w:rsidR="00B823F8" w:rsidRPr="00A53AD7" w:rsidRDefault="00B823F8" w:rsidP="00676D78">
            <w:pPr>
              <w:pStyle w:val="ad"/>
              <w:jc w:val="center"/>
              <w:rPr>
                <w:rFonts w:ascii="Times New Roman" w:hAnsi="Times New Roman"/>
              </w:rPr>
            </w:pPr>
            <w:r w:rsidRPr="00A53AD7">
              <w:rPr>
                <w:rFonts w:ascii="Times New Roman" w:hAnsi="Times New Roman"/>
              </w:rPr>
              <w:t>ПРОГРАММЫ</w:t>
            </w:r>
          </w:p>
        </w:tc>
        <w:tc>
          <w:tcPr>
            <w:tcW w:w="1312" w:type="dxa"/>
          </w:tcPr>
          <w:p w14:paraId="4864ABC4" w14:textId="77777777" w:rsidR="00B823F8" w:rsidRPr="00A53AD7" w:rsidRDefault="00B823F8" w:rsidP="00676D78">
            <w:pPr>
              <w:pStyle w:val="ad"/>
              <w:jc w:val="center"/>
              <w:rPr>
                <w:rFonts w:ascii="Times New Roman" w:hAnsi="Times New Roman"/>
              </w:rPr>
            </w:pPr>
            <w:r w:rsidRPr="00A53AD7">
              <w:rPr>
                <w:rFonts w:ascii="Times New Roman" w:hAnsi="Times New Roman"/>
              </w:rPr>
              <w:t>Закон о бюджете</w:t>
            </w:r>
          </w:p>
        </w:tc>
        <w:tc>
          <w:tcPr>
            <w:tcW w:w="1281" w:type="dxa"/>
          </w:tcPr>
          <w:p w14:paraId="591E4CBA" w14:textId="77777777" w:rsidR="00B823F8" w:rsidRPr="00A53AD7" w:rsidRDefault="00B823F8" w:rsidP="00676D78">
            <w:pPr>
              <w:pStyle w:val="ad"/>
              <w:jc w:val="center"/>
              <w:rPr>
                <w:rFonts w:ascii="Times New Roman" w:hAnsi="Times New Roman"/>
              </w:rPr>
            </w:pPr>
            <w:r w:rsidRPr="00A53AD7">
              <w:rPr>
                <w:rFonts w:ascii="Times New Roman" w:hAnsi="Times New Roman"/>
              </w:rPr>
              <w:t>Бюджетная роспись</w:t>
            </w:r>
          </w:p>
        </w:tc>
        <w:tc>
          <w:tcPr>
            <w:tcW w:w="1412" w:type="dxa"/>
          </w:tcPr>
          <w:p w14:paraId="7A726331" w14:textId="77777777" w:rsidR="00B823F8" w:rsidRPr="00A53AD7" w:rsidRDefault="00B823F8" w:rsidP="00676D78">
            <w:pPr>
              <w:pStyle w:val="ad"/>
              <w:jc w:val="center"/>
              <w:rPr>
                <w:rFonts w:ascii="Times New Roman" w:hAnsi="Times New Roman"/>
              </w:rPr>
            </w:pPr>
            <w:r w:rsidRPr="00A53AD7">
              <w:rPr>
                <w:rFonts w:ascii="Times New Roman" w:hAnsi="Times New Roman"/>
              </w:rPr>
              <w:t>Отчет за 2019 год</w:t>
            </w:r>
          </w:p>
        </w:tc>
        <w:tc>
          <w:tcPr>
            <w:tcW w:w="1192" w:type="dxa"/>
          </w:tcPr>
          <w:p w14:paraId="11545706" w14:textId="5D885F3C" w:rsidR="00B823F8" w:rsidRPr="00A53AD7" w:rsidRDefault="002E78FB" w:rsidP="00676D78">
            <w:pPr>
              <w:pStyle w:val="ad"/>
              <w:jc w:val="center"/>
              <w:rPr>
                <w:rFonts w:ascii="Times New Roman" w:hAnsi="Times New Roman"/>
              </w:rPr>
            </w:pPr>
            <w:r w:rsidRPr="00A53AD7">
              <w:rPr>
                <w:rFonts w:ascii="Times New Roman" w:hAnsi="Times New Roman"/>
              </w:rPr>
              <w:t>Исполн. в %</w:t>
            </w:r>
          </w:p>
        </w:tc>
      </w:tr>
      <w:tr w:rsidR="00D470B6" w:rsidRPr="00A53AD7" w14:paraId="01C62E85" w14:textId="77777777" w:rsidTr="00F81BE9">
        <w:tc>
          <w:tcPr>
            <w:tcW w:w="4060" w:type="dxa"/>
            <w:shd w:val="clear" w:color="auto" w:fill="auto"/>
          </w:tcPr>
          <w:p w14:paraId="3D8D53B4" w14:textId="135CF642" w:rsidR="00B823F8" w:rsidRPr="00A53AD7" w:rsidRDefault="00B823F8" w:rsidP="00F81BE9">
            <w:pPr>
              <w:pStyle w:val="ad"/>
              <w:rPr>
                <w:rFonts w:ascii="Times New Roman" w:hAnsi="Times New Roman"/>
              </w:rPr>
            </w:pPr>
            <w:r w:rsidRPr="00A53AD7">
              <w:rPr>
                <w:rFonts w:ascii="Times New Roman" w:hAnsi="Times New Roman"/>
              </w:rPr>
              <w:t>Обеспечение качественным, доступным жильем и объектами инженерной инфраструктуры населения АО</w:t>
            </w:r>
          </w:p>
        </w:tc>
        <w:tc>
          <w:tcPr>
            <w:tcW w:w="1312" w:type="dxa"/>
            <w:shd w:val="clear" w:color="auto" w:fill="auto"/>
          </w:tcPr>
          <w:p w14:paraId="3DDBC5E8" w14:textId="77777777" w:rsidR="00B823F8" w:rsidRPr="00A53AD7" w:rsidRDefault="00B823F8" w:rsidP="00B823F8">
            <w:pPr>
              <w:pStyle w:val="ad"/>
              <w:jc w:val="center"/>
              <w:rPr>
                <w:rFonts w:ascii="Times New Roman" w:hAnsi="Times New Roman"/>
              </w:rPr>
            </w:pPr>
            <w:r w:rsidRPr="00A53AD7">
              <w:rPr>
                <w:rFonts w:ascii="Times New Roman" w:hAnsi="Times New Roman"/>
              </w:rPr>
              <w:t>926,2</w:t>
            </w:r>
          </w:p>
        </w:tc>
        <w:tc>
          <w:tcPr>
            <w:tcW w:w="1281" w:type="dxa"/>
            <w:shd w:val="clear" w:color="auto" w:fill="auto"/>
          </w:tcPr>
          <w:p w14:paraId="79D47915" w14:textId="77777777" w:rsidR="00B823F8" w:rsidRPr="00A53AD7" w:rsidRDefault="00B823F8" w:rsidP="00B823F8">
            <w:pPr>
              <w:pStyle w:val="ad"/>
              <w:jc w:val="center"/>
              <w:rPr>
                <w:rFonts w:ascii="Times New Roman" w:hAnsi="Times New Roman"/>
              </w:rPr>
            </w:pPr>
            <w:r w:rsidRPr="00A53AD7">
              <w:rPr>
                <w:rFonts w:ascii="Times New Roman" w:hAnsi="Times New Roman"/>
              </w:rPr>
              <w:t>945,7</w:t>
            </w:r>
          </w:p>
        </w:tc>
        <w:tc>
          <w:tcPr>
            <w:tcW w:w="1412" w:type="dxa"/>
            <w:shd w:val="clear" w:color="auto" w:fill="auto"/>
          </w:tcPr>
          <w:p w14:paraId="6E56084B" w14:textId="77777777" w:rsidR="00B823F8" w:rsidRPr="00A53AD7" w:rsidRDefault="00B823F8" w:rsidP="00B823F8">
            <w:pPr>
              <w:pStyle w:val="ad"/>
              <w:jc w:val="center"/>
              <w:rPr>
                <w:rFonts w:ascii="Times New Roman" w:hAnsi="Times New Roman"/>
              </w:rPr>
            </w:pPr>
            <w:r w:rsidRPr="00A53AD7">
              <w:rPr>
                <w:rFonts w:ascii="Times New Roman" w:hAnsi="Times New Roman"/>
              </w:rPr>
              <w:t>842,5</w:t>
            </w:r>
          </w:p>
        </w:tc>
        <w:tc>
          <w:tcPr>
            <w:tcW w:w="1192" w:type="dxa"/>
            <w:shd w:val="clear" w:color="auto" w:fill="auto"/>
          </w:tcPr>
          <w:p w14:paraId="1AD1E836" w14:textId="2D4E9BBA" w:rsidR="00B823F8" w:rsidRPr="00A53AD7" w:rsidRDefault="00113AA0" w:rsidP="00B823F8">
            <w:pPr>
              <w:pStyle w:val="ad"/>
              <w:jc w:val="center"/>
            </w:pPr>
            <w:r w:rsidRPr="00A53AD7">
              <w:rPr>
                <w:rFonts w:ascii="Times New Roman" w:hAnsi="Times New Roman"/>
              </w:rPr>
              <w:t xml:space="preserve">89,1 </w:t>
            </w:r>
          </w:p>
        </w:tc>
      </w:tr>
      <w:tr w:rsidR="00D470B6" w:rsidRPr="00A53AD7" w14:paraId="3F554C72" w14:textId="77777777" w:rsidTr="00F81BE9">
        <w:tc>
          <w:tcPr>
            <w:tcW w:w="4060" w:type="dxa"/>
            <w:shd w:val="clear" w:color="auto" w:fill="auto"/>
          </w:tcPr>
          <w:p w14:paraId="2AF3620F"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5605A6B4"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873,7</w:t>
            </w:r>
          </w:p>
        </w:tc>
        <w:tc>
          <w:tcPr>
            <w:tcW w:w="1281" w:type="dxa"/>
            <w:shd w:val="clear" w:color="auto" w:fill="auto"/>
          </w:tcPr>
          <w:p w14:paraId="31D91C49"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893,2</w:t>
            </w:r>
          </w:p>
        </w:tc>
        <w:tc>
          <w:tcPr>
            <w:tcW w:w="1412" w:type="dxa"/>
            <w:shd w:val="clear" w:color="auto" w:fill="auto"/>
          </w:tcPr>
          <w:p w14:paraId="711EEEA3"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794,8</w:t>
            </w:r>
          </w:p>
        </w:tc>
        <w:tc>
          <w:tcPr>
            <w:tcW w:w="1192" w:type="dxa"/>
            <w:shd w:val="clear" w:color="auto" w:fill="auto"/>
          </w:tcPr>
          <w:p w14:paraId="4AB5E66A" w14:textId="42D82916" w:rsidR="00B823F8" w:rsidRPr="00A53AD7" w:rsidRDefault="00113AA0" w:rsidP="00B823F8">
            <w:pPr>
              <w:pStyle w:val="ad"/>
              <w:jc w:val="center"/>
              <w:rPr>
                <w:rFonts w:ascii="Times New Roman" w:hAnsi="Times New Roman"/>
                <w:i/>
              </w:rPr>
            </w:pPr>
            <w:r w:rsidRPr="00A53AD7">
              <w:rPr>
                <w:rFonts w:ascii="Times New Roman" w:hAnsi="Times New Roman"/>
                <w:i/>
              </w:rPr>
              <w:t>89,0</w:t>
            </w:r>
          </w:p>
        </w:tc>
      </w:tr>
      <w:tr w:rsidR="00D470B6" w:rsidRPr="00A53AD7" w14:paraId="59A70C02" w14:textId="77777777" w:rsidTr="00F81BE9">
        <w:tc>
          <w:tcPr>
            <w:tcW w:w="4060" w:type="dxa"/>
            <w:shd w:val="clear" w:color="auto" w:fill="auto"/>
          </w:tcPr>
          <w:p w14:paraId="46628662" w14:textId="77777777" w:rsidR="00B823F8" w:rsidRPr="00A53AD7" w:rsidRDefault="00B823F8" w:rsidP="00676D78">
            <w:pPr>
              <w:pStyle w:val="ad"/>
              <w:rPr>
                <w:rFonts w:ascii="Times New Roman" w:hAnsi="Times New Roman"/>
              </w:rPr>
            </w:pPr>
            <w:r w:rsidRPr="00A53AD7">
              <w:rPr>
                <w:rFonts w:ascii="Times New Roman" w:hAnsi="Times New Roman"/>
              </w:rPr>
              <w:t>Развитие образования и науки АО</w:t>
            </w:r>
          </w:p>
        </w:tc>
        <w:tc>
          <w:tcPr>
            <w:tcW w:w="1312" w:type="dxa"/>
            <w:shd w:val="clear" w:color="auto" w:fill="auto"/>
          </w:tcPr>
          <w:p w14:paraId="04A0FD05" w14:textId="77777777" w:rsidR="00B823F8" w:rsidRPr="00A53AD7" w:rsidRDefault="00B823F8" w:rsidP="00B823F8">
            <w:pPr>
              <w:pStyle w:val="ad"/>
              <w:jc w:val="center"/>
              <w:rPr>
                <w:rFonts w:ascii="Times New Roman" w:hAnsi="Times New Roman"/>
              </w:rPr>
            </w:pPr>
            <w:r w:rsidRPr="00A53AD7">
              <w:rPr>
                <w:rFonts w:ascii="Times New Roman" w:hAnsi="Times New Roman"/>
              </w:rPr>
              <w:t>2 620,1</w:t>
            </w:r>
          </w:p>
        </w:tc>
        <w:tc>
          <w:tcPr>
            <w:tcW w:w="1281" w:type="dxa"/>
            <w:shd w:val="clear" w:color="auto" w:fill="auto"/>
          </w:tcPr>
          <w:p w14:paraId="2E9876C8" w14:textId="77777777" w:rsidR="00B823F8" w:rsidRPr="00A53AD7" w:rsidRDefault="00B823F8" w:rsidP="00B823F8">
            <w:pPr>
              <w:pStyle w:val="ad"/>
              <w:jc w:val="center"/>
              <w:rPr>
                <w:rFonts w:ascii="Times New Roman" w:hAnsi="Times New Roman"/>
              </w:rPr>
            </w:pPr>
            <w:r w:rsidRPr="00A53AD7">
              <w:rPr>
                <w:rFonts w:ascii="Times New Roman" w:hAnsi="Times New Roman"/>
              </w:rPr>
              <w:t>2 964,1</w:t>
            </w:r>
          </w:p>
        </w:tc>
        <w:tc>
          <w:tcPr>
            <w:tcW w:w="1412" w:type="dxa"/>
            <w:shd w:val="clear" w:color="auto" w:fill="auto"/>
          </w:tcPr>
          <w:p w14:paraId="0117A78F" w14:textId="77777777" w:rsidR="00B823F8" w:rsidRPr="00A53AD7" w:rsidRDefault="00B823F8" w:rsidP="00B823F8">
            <w:pPr>
              <w:pStyle w:val="ad"/>
              <w:jc w:val="center"/>
              <w:rPr>
                <w:rFonts w:ascii="Times New Roman" w:hAnsi="Times New Roman"/>
              </w:rPr>
            </w:pPr>
            <w:r w:rsidRPr="00A53AD7">
              <w:rPr>
                <w:rFonts w:ascii="Times New Roman" w:hAnsi="Times New Roman"/>
              </w:rPr>
              <w:t>1 089,8</w:t>
            </w:r>
          </w:p>
        </w:tc>
        <w:tc>
          <w:tcPr>
            <w:tcW w:w="1192" w:type="dxa"/>
            <w:shd w:val="clear" w:color="auto" w:fill="auto"/>
          </w:tcPr>
          <w:p w14:paraId="7085D771" w14:textId="7E7CBF6F" w:rsidR="00B823F8" w:rsidRPr="00A53AD7" w:rsidRDefault="00113AA0" w:rsidP="00B823F8">
            <w:pPr>
              <w:pStyle w:val="ad"/>
              <w:jc w:val="center"/>
              <w:rPr>
                <w:rFonts w:ascii="Times New Roman" w:hAnsi="Times New Roman"/>
              </w:rPr>
            </w:pPr>
            <w:r w:rsidRPr="00A53AD7">
              <w:rPr>
                <w:rFonts w:ascii="Times New Roman" w:hAnsi="Times New Roman"/>
              </w:rPr>
              <w:t>36,8</w:t>
            </w:r>
          </w:p>
        </w:tc>
      </w:tr>
      <w:tr w:rsidR="00D470B6" w:rsidRPr="00A53AD7" w14:paraId="5F920882" w14:textId="77777777" w:rsidTr="00F81BE9">
        <w:tc>
          <w:tcPr>
            <w:tcW w:w="4060" w:type="dxa"/>
            <w:shd w:val="clear" w:color="auto" w:fill="auto"/>
          </w:tcPr>
          <w:p w14:paraId="78849059"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10A2AE8E"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2 539,1</w:t>
            </w:r>
          </w:p>
        </w:tc>
        <w:tc>
          <w:tcPr>
            <w:tcW w:w="1281" w:type="dxa"/>
            <w:shd w:val="clear" w:color="auto" w:fill="auto"/>
          </w:tcPr>
          <w:p w14:paraId="4C0F39C1"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2 883,0</w:t>
            </w:r>
          </w:p>
        </w:tc>
        <w:tc>
          <w:tcPr>
            <w:tcW w:w="1412" w:type="dxa"/>
            <w:shd w:val="clear" w:color="auto" w:fill="auto"/>
          </w:tcPr>
          <w:p w14:paraId="7F27757B"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1 013,9</w:t>
            </w:r>
          </w:p>
        </w:tc>
        <w:tc>
          <w:tcPr>
            <w:tcW w:w="1192" w:type="dxa"/>
            <w:shd w:val="clear" w:color="auto" w:fill="auto"/>
          </w:tcPr>
          <w:p w14:paraId="27D2DDC1" w14:textId="34831E55" w:rsidR="00B823F8" w:rsidRPr="00A53AD7" w:rsidRDefault="00B823F8" w:rsidP="00B823F8">
            <w:pPr>
              <w:pStyle w:val="ad"/>
              <w:jc w:val="center"/>
              <w:rPr>
                <w:rFonts w:ascii="Times New Roman" w:hAnsi="Times New Roman"/>
                <w:i/>
              </w:rPr>
            </w:pPr>
            <w:r w:rsidRPr="00A53AD7">
              <w:rPr>
                <w:rFonts w:ascii="Times New Roman" w:hAnsi="Times New Roman"/>
                <w:i/>
              </w:rPr>
              <w:t>35,2</w:t>
            </w:r>
          </w:p>
        </w:tc>
      </w:tr>
      <w:tr w:rsidR="00D470B6" w:rsidRPr="00A53AD7" w14:paraId="2246B94B" w14:textId="77777777" w:rsidTr="00F81BE9">
        <w:tc>
          <w:tcPr>
            <w:tcW w:w="4060" w:type="dxa"/>
            <w:shd w:val="clear" w:color="auto" w:fill="auto"/>
          </w:tcPr>
          <w:p w14:paraId="005D4370" w14:textId="77777777" w:rsidR="00B823F8" w:rsidRPr="00A53AD7" w:rsidRDefault="00B823F8" w:rsidP="00676D78">
            <w:pPr>
              <w:pStyle w:val="ad"/>
              <w:rPr>
                <w:rFonts w:ascii="Times New Roman" w:hAnsi="Times New Roman"/>
              </w:rPr>
            </w:pPr>
            <w:r w:rsidRPr="00A53AD7">
              <w:rPr>
                <w:rFonts w:ascii="Times New Roman" w:hAnsi="Times New Roman"/>
              </w:rPr>
              <w:t>Культура Русского Севера</w:t>
            </w:r>
          </w:p>
        </w:tc>
        <w:tc>
          <w:tcPr>
            <w:tcW w:w="1312" w:type="dxa"/>
            <w:shd w:val="clear" w:color="auto" w:fill="auto"/>
          </w:tcPr>
          <w:p w14:paraId="14F0DBDC" w14:textId="77777777" w:rsidR="00B823F8" w:rsidRPr="00A53AD7" w:rsidRDefault="00B823F8" w:rsidP="00B823F8">
            <w:pPr>
              <w:pStyle w:val="ad"/>
              <w:jc w:val="center"/>
              <w:rPr>
                <w:rFonts w:ascii="Times New Roman" w:hAnsi="Times New Roman"/>
              </w:rPr>
            </w:pPr>
            <w:r w:rsidRPr="00A53AD7">
              <w:rPr>
                <w:rFonts w:ascii="Times New Roman" w:hAnsi="Times New Roman"/>
              </w:rPr>
              <w:t>397,3</w:t>
            </w:r>
          </w:p>
        </w:tc>
        <w:tc>
          <w:tcPr>
            <w:tcW w:w="1281" w:type="dxa"/>
            <w:shd w:val="clear" w:color="auto" w:fill="auto"/>
          </w:tcPr>
          <w:p w14:paraId="772F34ED" w14:textId="77777777" w:rsidR="00B823F8" w:rsidRPr="00A53AD7" w:rsidRDefault="00B823F8" w:rsidP="00B823F8">
            <w:pPr>
              <w:pStyle w:val="ad"/>
              <w:jc w:val="center"/>
              <w:rPr>
                <w:rFonts w:ascii="Times New Roman" w:hAnsi="Times New Roman"/>
              </w:rPr>
            </w:pPr>
            <w:r w:rsidRPr="00A53AD7">
              <w:rPr>
                <w:rFonts w:ascii="Times New Roman" w:hAnsi="Times New Roman"/>
              </w:rPr>
              <w:t>397,3</w:t>
            </w:r>
          </w:p>
        </w:tc>
        <w:tc>
          <w:tcPr>
            <w:tcW w:w="1412" w:type="dxa"/>
            <w:shd w:val="clear" w:color="auto" w:fill="auto"/>
          </w:tcPr>
          <w:p w14:paraId="690E6488" w14:textId="77777777" w:rsidR="00B823F8" w:rsidRPr="00A53AD7" w:rsidRDefault="00B823F8" w:rsidP="00B823F8">
            <w:pPr>
              <w:pStyle w:val="ad"/>
              <w:jc w:val="center"/>
              <w:rPr>
                <w:rFonts w:ascii="Times New Roman" w:hAnsi="Times New Roman"/>
              </w:rPr>
            </w:pPr>
            <w:r w:rsidRPr="00A53AD7">
              <w:rPr>
                <w:rFonts w:ascii="Times New Roman" w:hAnsi="Times New Roman"/>
              </w:rPr>
              <w:t>397,3</w:t>
            </w:r>
          </w:p>
        </w:tc>
        <w:tc>
          <w:tcPr>
            <w:tcW w:w="1192" w:type="dxa"/>
            <w:shd w:val="clear" w:color="auto" w:fill="auto"/>
          </w:tcPr>
          <w:p w14:paraId="6833B229" w14:textId="285AC154" w:rsidR="00B823F8" w:rsidRPr="00A53AD7" w:rsidRDefault="00113AA0" w:rsidP="00B823F8">
            <w:pPr>
              <w:pStyle w:val="ad"/>
              <w:jc w:val="center"/>
              <w:rPr>
                <w:rFonts w:ascii="Times New Roman" w:hAnsi="Times New Roman"/>
              </w:rPr>
            </w:pPr>
            <w:r w:rsidRPr="00A53AD7">
              <w:rPr>
                <w:rFonts w:ascii="Times New Roman" w:hAnsi="Times New Roman"/>
              </w:rPr>
              <w:t>100,0</w:t>
            </w:r>
          </w:p>
        </w:tc>
      </w:tr>
      <w:tr w:rsidR="00D470B6" w:rsidRPr="00A53AD7" w14:paraId="286824BE" w14:textId="77777777" w:rsidTr="00F81BE9">
        <w:tc>
          <w:tcPr>
            <w:tcW w:w="4060" w:type="dxa"/>
            <w:shd w:val="clear" w:color="auto" w:fill="auto"/>
          </w:tcPr>
          <w:p w14:paraId="0E3F4964"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2CEF3E52"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12,0</w:t>
            </w:r>
          </w:p>
        </w:tc>
        <w:tc>
          <w:tcPr>
            <w:tcW w:w="1281" w:type="dxa"/>
            <w:shd w:val="clear" w:color="auto" w:fill="auto"/>
          </w:tcPr>
          <w:p w14:paraId="7136A415"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12,0</w:t>
            </w:r>
          </w:p>
        </w:tc>
        <w:tc>
          <w:tcPr>
            <w:tcW w:w="1412" w:type="dxa"/>
            <w:shd w:val="clear" w:color="auto" w:fill="auto"/>
          </w:tcPr>
          <w:p w14:paraId="5841A0BB"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12,0</w:t>
            </w:r>
          </w:p>
        </w:tc>
        <w:tc>
          <w:tcPr>
            <w:tcW w:w="1192" w:type="dxa"/>
            <w:shd w:val="clear" w:color="auto" w:fill="auto"/>
          </w:tcPr>
          <w:p w14:paraId="68BFFD5F" w14:textId="6871B0D5" w:rsidR="00B823F8" w:rsidRPr="00A53AD7" w:rsidRDefault="00113AA0" w:rsidP="00B823F8">
            <w:pPr>
              <w:pStyle w:val="ad"/>
              <w:jc w:val="center"/>
              <w:rPr>
                <w:rFonts w:ascii="Times New Roman" w:hAnsi="Times New Roman"/>
                <w:i/>
              </w:rPr>
            </w:pPr>
            <w:r w:rsidRPr="00A53AD7">
              <w:rPr>
                <w:rFonts w:ascii="Times New Roman" w:hAnsi="Times New Roman"/>
                <w:i/>
              </w:rPr>
              <w:t>100,0</w:t>
            </w:r>
          </w:p>
        </w:tc>
      </w:tr>
      <w:tr w:rsidR="00D470B6" w:rsidRPr="00A53AD7" w14:paraId="68AE64D9" w14:textId="77777777" w:rsidTr="00F81BE9">
        <w:tc>
          <w:tcPr>
            <w:tcW w:w="4060" w:type="dxa"/>
            <w:shd w:val="clear" w:color="auto" w:fill="auto"/>
          </w:tcPr>
          <w:p w14:paraId="3E5650D5" w14:textId="77777777" w:rsidR="00B823F8" w:rsidRPr="00A53AD7" w:rsidRDefault="00B823F8" w:rsidP="00676D78">
            <w:pPr>
              <w:pStyle w:val="ad"/>
              <w:rPr>
                <w:rFonts w:ascii="Times New Roman" w:hAnsi="Times New Roman"/>
              </w:rPr>
            </w:pPr>
            <w:r w:rsidRPr="00A53AD7">
              <w:rPr>
                <w:rFonts w:ascii="Times New Roman" w:hAnsi="Times New Roman"/>
              </w:rPr>
              <w:t>Развитие здравоохранения АО</w:t>
            </w:r>
          </w:p>
        </w:tc>
        <w:tc>
          <w:tcPr>
            <w:tcW w:w="1312" w:type="dxa"/>
            <w:shd w:val="clear" w:color="auto" w:fill="auto"/>
          </w:tcPr>
          <w:p w14:paraId="1067E3FB" w14:textId="77777777" w:rsidR="00B823F8" w:rsidRPr="00A53AD7" w:rsidRDefault="00B823F8" w:rsidP="00B823F8">
            <w:pPr>
              <w:pStyle w:val="ad"/>
              <w:jc w:val="center"/>
              <w:rPr>
                <w:rFonts w:ascii="Times New Roman" w:hAnsi="Times New Roman"/>
              </w:rPr>
            </w:pPr>
            <w:r w:rsidRPr="00A53AD7">
              <w:rPr>
                <w:rFonts w:ascii="Times New Roman" w:hAnsi="Times New Roman"/>
              </w:rPr>
              <w:t>160,0</w:t>
            </w:r>
          </w:p>
        </w:tc>
        <w:tc>
          <w:tcPr>
            <w:tcW w:w="1281" w:type="dxa"/>
            <w:shd w:val="clear" w:color="auto" w:fill="auto"/>
          </w:tcPr>
          <w:p w14:paraId="7CA1DD89" w14:textId="77777777" w:rsidR="00B823F8" w:rsidRPr="00A53AD7" w:rsidRDefault="00B823F8" w:rsidP="00B823F8">
            <w:pPr>
              <w:pStyle w:val="ad"/>
              <w:jc w:val="center"/>
              <w:rPr>
                <w:rFonts w:ascii="Times New Roman" w:hAnsi="Times New Roman"/>
              </w:rPr>
            </w:pPr>
            <w:r w:rsidRPr="00A53AD7">
              <w:rPr>
                <w:rFonts w:ascii="Times New Roman" w:hAnsi="Times New Roman"/>
              </w:rPr>
              <w:t>160,0</w:t>
            </w:r>
          </w:p>
        </w:tc>
        <w:tc>
          <w:tcPr>
            <w:tcW w:w="1412" w:type="dxa"/>
            <w:shd w:val="clear" w:color="auto" w:fill="auto"/>
          </w:tcPr>
          <w:p w14:paraId="68BCCA4D" w14:textId="77777777" w:rsidR="00B823F8" w:rsidRPr="00A53AD7" w:rsidRDefault="00B823F8" w:rsidP="00B823F8">
            <w:pPr>
              <w:pStyle w:val="ad"/>
              <w:jc w:val="center"/>
              <w:rPr>
                <w:rFonts w:ascii="Times New Roman" w:hAnsi="Times New Roman"/>
              </w:rPr>
            </w:pPr>
            <w:r w:rsidRPr="00A53AD7">
              <w:rPr>
                <w:rFonts w:ascii="Times New Roman" w:hAnsi="Times New Roman"/>
              </w:rPr>
              <w:t>153,4</w:t>
            </w:r>
          </w:p>
        </w:tc>
        <w:tc>
          <w:tcPr>
            <w:tcW w:w="1192" w:type="dxa"/>
            <w:shd w:val="clear" w:color="auto" w:fill="auto"/>
          </w:tcPr>
          <w:p w14:paraId="2DA9DDCA" w14:textId="630B9182" w:rsidR="00B823F8" w:rsidRPr="00A53AD7" w:rsidRDefault="00113AA0" w:rsidP="00B823F8">
            <w:pPr>
              <w:pStyle w:val="ad"/>
              <w:jc w:val="center"/>
              <w:rPr>
                <w:rFonts w:ascii="Times New Roman" w:hAnsi="Times New Roman"/>
              </w:rPr>
            </w:pPr>
            <w:r w:rsidRPr="00A53AD7">
              <w:rPr>
                <w:rFonts w:ascii="Times New Roman" w:hAnsi="Times New Roman"/>
              </w:rPr>
              <w:t>95,9</w:t>
            </w:r>
          </w:p>
        </w:tc>
      </w:tr>
      <w:tr w:rsidR="00D470B6" w:rsidRPr="00A53AD7" w14:paraId="0880BEDD" w14:textId="77777777" w:rsidTr="00F81BE9">
        <w:tc>
          <w:tcPr>
            <w:tcW w:w="4060" w:type="dxa"/>
            <w:shd w:val="clear" w:color="auto" w:fill="auto"/>
          </w:tcPr>
          <w:p w14:paraId="055FCA34"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46DCD98C"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8,6</w:t>
            </w:r>
          </w:p>
        </w:tc>
        <w:tc>
          <w:tcPr>
            <w:tcW w:w="1281" w:type="dxa"/>
            <w:shd w:val="clear" w:color="auto" w:fill="auto"/>
          </w:tcPr>
          <w:p w14:paraId="2192B397"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8,6</w:t>
            </w:r>
          </w:p>
        </w:tc>
        <w:tc>
          <w:tcPr>
            <w:tcW w:w="1412" w:type="dxa"/>
            <w:shd w:val="clear" w:color="auto" w:fill="auto"/>
          </w:tcPr>
          <w:p w14:paraId="140078A2"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8,6</w:t>
            </w:r>
          </w:p>
        </w:tc>
        <w:tc>
          <w:tcPr>
            <w:tcW w:w="1192" w:type="dxa"/>
            <w:shd w:val="clear" w:color="auto" w:fill="auto"/>
          </w:tcPr>
          <w:p w14:paraId="71208AFB" w14:textId="445C607F" w:rsidR="00B823F8" w:rsidRPr="00A53AD7" w:rsidRDefault="00113AA0" w:rsidP="00B823F8">
            <w:pPr>
              <w:pStyle w:val="ad"/>
              <w:jc w:val="center"/>
              <w:rPr>
                <w:rFonts w:ascii="Times New Roman" w:hAnsi="Times New Roman"/>
                <w:i/>
              </w:rPr>
            </w:pPr>
            <w:r w:rsidRPr="00A53AD7">
              <w:rPr>
                <w:rFonts w:ascii="Times New Roman" w:hAnsi="Times New Roman"/>
                <w:i/>
              </w:rPr>
              <w:t>100,0</w:t>
            </w:r>
          </w:p>
        </w:tc>
      </w:tr>
      <w:tr w:rsidR="00D470B6" w:rsidRPr="00A53AD7" w14:paraId="647D5466" w14:textId="77777777" w:rsidTr="00F81BE9">
        <w:tc>
          <w:tcPr>
            <w:tcW w:w="4060" w:type="dxa"/>
            <w:shd w:val="clear" w:color="auto" w:fill="auto"/>
          </w:tcPr>
          <w:p w14:paraId="4E26EB8B" w14:textId="77777777" w:rsidR="00B823F8" w:rsidRPr="00A53AD7" w:rsidRDefault="00B823F8" w:rsidP="00676D78">
            <w:pPr>
              <w:pStyle w:val="ad"/>
              <w:rPr>
                <w:rFonts w:ascii="Times New Roman" w:hAnsi="Times New Roman"/>
              </w:rPr>
            </w:pPr>
            <w:r w:rsidRPr="00A53AD7">
              <w:rPr>
                <w:rFonts w:ascii="Times New Roman" w:hAnsi="Times New Roman"/>
              </w:rPr>
              <w:t>Развитие транспортной системы Архангельской области</w:t>
            </w:r>
          </w:p>
        </w:tc>
        <w:tc>
          <w:tcPr>
            <w:tcW w:w="1312" w:type="dxa"/>
            <w:shd w:val="clear" w:color="auto" w:fill="auto"/>
          </w:tcPr>
          <w:p w14:paraId="61B91F1D" w14:textId="77777777" w:rsidR="00B823F8" w:rsidRPr="00A53AD7" w:rsidRDefault="00B823F8" w:rsidP="00B823F8">
            <w:pPr>
              <w:pStyle w:val="ad"/>
              <w:jc w:val="center"/>
              <w:rPr>
                <w:rFonts w:ascii="Times New Roman" w:hAnsi="Times New Roman"/>
              </w:rPr>
            </w:pPr>
            <w:r w:rsidRPr="00A53AD7">
              <w:rPr>
                <w:rFonts w:ascii="Times New Roman" w:hAnsi="Times New Roman"/>
              </w:rPr>
              <w:t>490,1</w:t>
            </w:r>
          </w:p>
        </w:tc>
        <w:tc>
          <w:tcPr>
            <w:tcW w:w="1281" w:type="dxa"/>
            <w:shd w:val="clear" w:color="auto" w:fill="auto"/>
          </w:tcPr>
          <w:p w14:paraId="06980351" w14:textId="77777777" w:rsidR="00B823F8" w:rsidRPr="00A53AD7" w:rsidRDefault="00B823F8" w:rsidP="00B823F8">
            <w:pPr>
              <w:pStyle w:val="ad"/>
              <w:jc w:val="center"/>
              <w:rPr>
                <w:rFonts w:ascii="Times New Roman" w:hAnsi="Times New Roman"/>
              </w:rPr>
            </w:pPr>
            <w:r w:rsidRPr="00A53AD7">
              <w:rPr>
                <w:rFonts w:ascii="Times New Roman" w:hAnsi="Times New Roman"/>
              </w:rPr>
              <w:t>490,1</w:t>
            </w:r>
          </w:p>
        </w:tc>
        <w:tc>
          <w:tcPr>
            <w:tcW w:w="1412" w:type="dxa"/>
            <w:shd w:val="clear" w:color="auto" w:fill="auto"/>
          </w:tcPr>
          <w:p w14:paraId="46A1B311" w14:textId="77777777" w:rsidR="00B823F8" w:rsidRPr="00A53AD7" w:rsidRDefault="00B823F8" w:rsidP="00B823F8">
            <w:pPr>
              <w:pStyle w:val="ad"/>
              <w:jc w:val="center"/>
              <w:rPr>
                <w:rFonts w:ascii="Times New Roman" w:hAnsi="Times New Roman"/>
              </w:rPr>
            </w:pPr>
            <w:r w:rsidRPr="00A53AD7">
              <w:rPr>
                <w:rFonts w:ascii="Times New Roman" w:hAnsi="Times New Roman"/>
              </w:rPr>
              <w:t>466,9</w:t>
            </w:r>
          </w:p>
        </w:tc>
        <w:tc>
          <w:tcPr>
            <w:tcW w:w="1192" w:type="dxa"/>
            <w:shd w:val="clear" w:color="auto" w:fill="auto"/>
          </w:tcPr>
          <w:p w14:paraId="1A1CF8B1" w14:textId="30A5A4B8" w:rsidR="00B823F8" w:rsidRPr="00A53AD7" w:rsidRDefault="00113AA0" w:rsidP="00B823F8">
            <w:pPr>
              <w:pStyle w:val="ad"/>
              <w:jc w:val="center"/>
              <w:rPr>
                <w:rFonts w:ascii="Times New Roman" w:hAnsi="Times New Roman"/>
              </w:rPr>
            </w:pPr>
            <w:r w:rsidRPr="00A53AD7">
              <w:rPr>
                <w:rFonts w:ascii="Times New Roman" w:hAnsi="Times New Roman"/>
              </w:rPr>
              <w:t>95,3</w:t>
            </w:r>
          </w:p>
        </w:tc>
      </w:tr>
      <w:tr w:rsidR="00D470B6" w:rsidRPr="00A53AD7" w14:paraId="32BAFA16" w14:textId="77777777" w:rsidTr="00F81BE9">
        <w:tc>
          <w:tcPr>
            <w:tcW w:w="4060" w:type="dxa"/>
            <w:shd w:val="clear" w:color="auto" w:fill="auto"/>
          </w:tcPr>
          <w:p w14:paraId="371BAC70"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3BB3274B"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342,1</w:t>
            </w:r>
          </w:p>
        </w:tc>
        <w:tc>
          <w:tcPr>
            <w:tcW w:w="1281" w:type="dxa"/>
            <w:shd w:val="clear" w:color="auto" w:fill="auto"/>
          </w:tcPr>
          <w:p w14:paraId="62F74395"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342,1</w:t>
            </w:r>
          </w:p>
        </w:tc>
        <w:tc>
          <w:tcPr>
            <w:tcW w:w="1412" w:type="dxa"/>
            <w:shd w:val="clear" w:color="auto" w:fill="auto"/>
          </w:tcPr>
          <w:p w14:paraId="42E89514"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324,3</w:t>
            </w:r>
          </w:p>
        </w:tc>
        <w:tc>
          <w:tcPr>
            <w:tcW w:w="1192" w:type="dxa"/>
            <w:shd w:val="clear" w:color="auto" w:fill="auto"/>
          </w:tcPr>
          <w:p w14:paraId="6FABF3F5" w14:textId="4D3A36B3" w:rsidR="00B823F8" w:rsidRPr="00A53AD7" w:rsidRDefault="00113AA0" w:rsidP="00B823F8">
            <w:pPr>
              <w:pStyle w:val="ad"/>
              <w:jc w:val="center"/>
              <w:rPr>
                <w:rFonts w:ascii="Times New Roman" w:hAnsi="Times New Roman"/>
                <w:i/>
              </w:rPr>
            </w:pPr>
            <w:r w:rsidRPr="00A53AD7">
              <w:rPr>
                <w:rFonts w:ascii="Times New Roman" w:hAnsi="Times New Roman"/>
                <w:i/>
              </w:rPr>
              <w:t>94,8</w:t>
            </w:r>
          </w:p>
        </w:tc>
      </w:tr>
      <w:tr w:rsidR="00D470B6" w:rsidRPr="00A53AD7" w14:paraId="1111BE3D" w14:textId="77777777" w:rsidTr="00F81BE9">
        <w:tc>
          <w:tcPr>
            <w:tcW w:w="4060" w:type="dxa"/>
            <w:shd w:val="clear" w:color="auto" w:fill="auto"/>
          </w:tcPr>
          <w:p w14:paraId="4A18F00A" w14:textId="77777777" w:rsidR="00B823F8" w:rsidRPr="00A53AD7" w:rsidRDefault="00B823F8" w:rsidP="00676D78">
            <w:pPr>
              <w:pStyle w:val="ad"/>
              <w:rPr>
                <w:rFonts w:ascii="Times New Roman" w:hAnsi="Times New Roman"/>
              </w:rPr>
            </w:pPr>
            <w:r w:rsidRPr="00A53AD7">
              <w:rPr>
                <w:rFonts w:ascii="Times New Roman" w:hAnsi="Times New Roman"/>
              </w:rPr>
              <w:t>Развитие инфраструктуры Соловецкого архипелага</w:t>
            </w:r>
          </w:p>
        </w:tc>
        <w:tc>
          <w:tcPr>
            <w:tcW w:w="1312" w:type="dxa"/>
            <w:shd w:val="clear" w:color="auto" w:fill="auto"/>
          </w:tcPr>
          <w:p w14:paraId="36B75F7C" w14:textId="77777777" w:rsidR="00B823F8" w:rsidRPr="00A53AD7" w:rsidRDefault="00B823F8" w:rsidP="00B823F8">
            <w:pPr>
              <w:pStyle w:val="ad"/>
              <w:jc w:val="center"/>
              <w:rPr>
                <w:rFonts w:ascii="Times New Roman" w:hAnsi="Times New Roman"/>
              </w:rPr>
            </w:pPr>
            <w:r w:rsidRPr="00A53AD7">
              <w:rPr>
                <w:rFonts w:ascii="Times New Roman" w:hAnsi="Times New Roman"/>
              </w:rPr>
              <w:t>1 724,3</w:t>
            </w:r>
          </w:p>
        </w:tc>
        <w:tc>
          <w:tcPr>
            <w:tcW w:w="1281" w:type="dxa"/>
            <w:shd w:val="clear" w:color="auto" w:fill="auto"/>
          </w:tcPr>
          <w:p w14:paraId="5635D837" w14:textId="77777777" w:rsidR="00B823F8" w:rsidRPr="00A53AD7" w:rsidRDefault="00B823F8" w:rsidP="00B823F8">
            <w:pPr>
              <w:pStyle w:val="ad"/>
              <w:jc w:val="center"/>
              <w:rPr>
                <w:rFonts w:ascii="Times New Roman" w:hAnsi="Times New Roman"/>
              </w:rPr>
            </w:pPr>
            <w:r w:rsidRPr="00A53AD7">
              <w:rPr>
                <w:rFonts w:ascii="Times New Roman" w:hAnsi="Times New Roman"/>
              </w:rPr>
              <w:t>1 828,4</w:t>
            </w:r>
          </w:p>
        </w:tc>
        <w:tc>
          <w:tcPr>
            <w:tcW w:w="1412" w:type="dxa"/>
            <w:shd w:val="clear" w:color="auto" w:fill="auto"/>
          </w:tcPr>
          <w:p w14:paraId="2EDB3BFC" w14:textId="77777777" w:rsidR="00B823F8" w:rsidRPr="00A53AD7" w:rsidRDefault="00B823F8" w:rsidP="00B823F8">
            <w:pPr>
              <w:pStyle w:val="ad"/>
              <w:jc w:val="center"/>
              <w:rPr>
                <w:rFonts w:ascii="Times New Roman" w:hAnsi="Times New Roman"/>
              </w:rPr>
            </w:pPr>
            <w:r w:rsidRPr="00A53AD7">
              <w:rPr>
                <w:rFonts w:ascii="Times New Roman" w:hAnsi="Times New Roman"/>
              </w:rPr>
              <w:t>1 504,5</w:t>
            </w:r>
          </w:p>
        </w:tc>
        <w:tc>
          <w:tcPr>
            <w:tcW w:w="1192" w:type="dxa"/>
            <w:shd w:val="clear" w:color="auto" w:fill="auto"/>
          </w:tcPr>
          <w:p w14:paraId="2729FE69" w14:textId="432AB2E4" w:rsidR="00B823F8" w:rsidRPr="00A53AD7" w:rsidRDefault="00113AA0" w:rsidP="00B823F8">
            <w:pPr>
              <w:pStyle w:val="ad"/>
              <w:jc w:val="center"/>
              <w:rPr>
                <w:rFonts w:ascii="Times New Roman" w:hAnsi="Times New Roman"/>
              </w:rPr>
            </w:pPr>
            <w:r w:rsidRPr="00A53AD7">
              <w:rPr>
                <w:rFonts w:ascii="Times New Roman" w:hAnsi="Times New Roman"/>
              </w:rPr>
              <w:t>82,3</w:t>
            </w:r>
          </w:p>
        </w:tc>
      </w:tr>
      <w:tr w:rsidR="00D470B6" w:rsidRPr="00A53AD7" w14:paraId="7A667DD3" w14:textId="77777777" w:rsidTr="00F81BE9">
        <w:tc>
          <w:tcPr>
            <w:tcW w:w="4060" w:type="dxa"/>
            <w:shd w:val="clear" w:color="auto" w:fill="auto"/>
          </w:tcPr>
          <w:p w14:paraId="70BBF78F" w14:textId="77777777" w:rsidR="00B823F8" w:rsidRPr="00A53AD7" w:rsidRDefault="00B823F8" w:rsidP="00676D78">
            <w:pPr>
              <w:pStyle w:val="ad"/>
              <w:rPr>
                <w:rFonts w:ascii="Times New Roman" w:hAnsi="Times New Roman"/>
              </w:rPr>
            </w:pPr>
            <w:r w:rsidRPr="00A53AD7">
              <w:rPr>
                <w:rFonts w:ascii="Times New Roman" w:hAnsi="Times New Roman"/>
              </w:rPr>
              <w:t>Устойчивое развитие сельских территорий АО</w:t>
            </w:r>
          </w:p>
        </w:tc>
        <w:tc>
          <w:tcPr>
            <w:tcW w:w="1312" w:type="dxa"/>
            <w:shd w:val="clear" w:color="auto" w:fill="auto"/>
          </w:tcPr>
          <w:p w14:paraId="22BF0707" w14:textId="77777777" w:rsidR="00B823F8" w:rsidRPr="00A53AD7" w:rsidRDefault="00B823F8" w:rsidP="00B823F8">
            <w:pPr>
              <w:pStyle w:val="ad"/>
              <w:jc w:val="center"/>
              <w:rPr>
                <w:rFonts w:ascii="Times New Roman" w:hAnsi="Times New Roman"/>
              </w:rPr>
            </w:pPr>
            <w:r w:rsidRPr="00A53AD7">
              <w:rPr>
                <w:rFonts w:ascii="Times New Roman" w:hAnsi="Times New Roman"/>
              </w:rPr>
              <w:t>259,9</w:t>
            </w:r>
          </w:p>
        </w:tc>
        <w:tc>
          <w:tcPr>
            <w:tcW w:w="1281" w:type="dxa"/>
            <w:shd w:val="clear" w:color="auto" w:fill="auto"/>
          </w:tcPr>
          <w:p w14:paraId="0326CB52" w14:textId="77777777" w:rsidR="00B823F8" w:rsidRPr="00A53AD7" w:rsidRDefault="00B823F8" w:rsidP="00B823F8">
            <w:pPr>
              <w:pStyle w:val="ad"/>
              <w:jc w:val="center"/>
              <w:rPr>
                <w:rFonts w:ascii="Times New Roman" w:hAnsi="Times New Roman"/>
              </w:rPr>
            </w:pPr>
            <w:r w:rsidRPr="00A53AD7">
              <w:rPr>
                <w:rFonts w:ascii="Times New Roman" w:hAnsi="Times New Roman"/>
              </w:rPr>
              <w:t>259,9</w:t>
            </w:r>
          </w:p>
        </w:tc>
        <w:tc>
          <w:tcPr>
            <w:tcW w:w="1412" w:type="dxa"/>
            <w:shd w:val="clear" w:color="auto" w:fill="auto"/>
          </w:tcPr>
          <w:p w14:paraId="394722D0" w14:textId="77777777" w:rsidR="00B823F8" w:rsidRPr="00A53AD7" w:rsidRDefault="00B823F8" w:rsidP="00B823F8">
            <w:pPr>
              <w:pStyle w:val="ad"/>
              <w:jc w:val="center"/>
              <w:rPr>
                <w:rFonts w:ascii="Times New Roman" w:hAnsi="Times New Roman"/>
              </w:rPr>
            </w:pPr>
            <w:r w:rsidRPr="00A53AD7">
              <w:rPr>
                <w:rFonts w:ascii="Times New Roman" w:hAnsi="Times New Roman"/>
              </w:rPr>
              <w:t>257,9</w:t>
            </w:r>
          </w:p>
        </w:tc>
        <w:tc>
          <w:tcPr>
            <w:tcW w:w="1192" w:type="dxa"/>
            <w:shd w:val="clear" w:color="auto" w:fill="auto"/>
          </w:tcPr>
          <w:p w14:paraId="5B44D32E" w14:textId="02C04A75" w:rsidR="00B823F8" w:rsidRPr="00A53AD7" w:rsidRDefault="00113AA0" w:rsidP="00B823F8">
            <w:pPr>
              <w:pStyle w:val="ad"/>
              <w:jc w:val="center"/>
              <w:rPr>
                <w:rFonts w:ascii="Times New Roman" w:hAnsi="Times New Roman"/>
              </w:rPr>
            </w:pPr>
            <w:r w:rsidRPr="00A53AD7">
              <w:rPr>
                <w:rFonts w:ascii="Times New Roman" w:hAnsi="Times New Roman"/>
              </w:rPr>
              <w:t>99,2</w:t>
            </w:r>
          </w:p>
        </w:tc>
      </w:tr>
      <w:tr w:rsidR="00D470B6" w:rsidRPr="00A53AD7" w14:paraId="441B63CC" w14:textId="77777777" w:rsidTr="00F81BE9">
        <w:tc>
          <w:tcPr>
            <w:tcW w:w="4060" w:type="dxa"/>
            <w:shd w:val="clear" w:color="auto" w:fill="auto"/>
          </w:tcPr>
          <w:p w14:paraId="48F5F9FE"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1F84664F"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247,4</w:t>
            </w:r>
          </w:p>
        </w:tc>
        <w:tc>
          <w:tcPr>
            <w:tcW w:w="1281" w:type="dxa"/>
            <w:shd w:val="clear" w:color="auto" w:fill="auto"/>
          </w:tcPr>
          <w:p w14:paraId="3555A0CB"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247,4</w:t>
            </w:r>
          </w:p>
        </w:tc>
        <w:tc>
          <w:tcPr>
            <w:tcW w:w="1412" w:type="dxa"/>
            <w:shd w:val="clear" w:color="auto" w:fill="auto"/>
          </w:tcPr>
          <w:p w14:paraId="31065926"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245,3</w:t>
            </w:r>
          </w:p>
        </w:tc>
        <w:tc>
          <w:tcPr>
            <w:tcW w:w="1192" w:type="dxa"/>
            <w:shd w:val="clear" w:color="auto" w:fill="auto"/>
          </w:tcPr>
          <w:p w14:paraId="5B96D2A1" w14:textId="4644469A" w:rsidR="00B823F8" w:rsidRPr="00A53AD7" w:rsidRDefault="00113AA0" w:rsidP="00B823F8">
            <w:pPr>
              <w:pStyle w:val="ad"/>
              <w:jc w:val="center"/>
              <w:rPr>
                <w:rFonts w:ascii="Times New Roman" w:hAnsi="Times New Roman"/>
                <w:i/>
              </w:rPr>
            </w:pPr>
            <w:r w:rsidRPr="00A53AD7">
              <w:rPr>
                <w:rFonts w:ascii="Times New Roman" w:hAnsi="Times New Roman"/>
                <w:i/>
              </w:rPr>
              <w:t>99,2</w:t>
            </w:r>
          </w:p>
        </w:tc>
      </w:tr>
      <w:tr w:rsidR="00D470B6" w:rsidRPr="00A53AD7" w14:paraId="2AD93014" w14:textId="77777777" w:rsidTr="00F81BE9">
        <w:tc>
          <w:tcPr>
            <w:tcW w:w="4060" w:type="dxa"/>
            <w:shd w:val="clear" w:color="auto" w:fill="auto"/>
          </w:tcPr>
          <w:p w14:paraId="69D065DE" w14:textId="3AF08DE6" w:rsidR="00B823F8" w:rsidRPr="00A53AD7" w:rsidRDefault="00B823F8" w:rsidP="00CD1053">
            <w:pPr>
              <w:pStyle w:val="ad"/>
              <w:rPr>
                <w:rFonts w:ascii="Times New Roman" w:hAnsi="Times New Roman"/>
              </w:rPr>
            </w:pPr>
            <w:r w:rsidRPr="00A53AD7">
              <w:rPr>
                <w:rFonts w:ascii="Times New Roman" w:hAnsi="Times New Roman"/>
              </w:rPr>
              <w:t>Охрана окружающей среды, воспроизводство и использование природных ресурсов АО</w:t>
            </w:r>
          </w:p>
        </w:tc>
        <w:tc>
          <w:tcPr>
            <w:tcW w:w="1312" w:type="dxa"/>
            <w:shd w:val="clear" w:color="auto" w:fill="auto"/>
          </w:tcPr>
          <w:p w14:paraId="27763A42" w14:textId="77777777" w:rsidR="00B823F8" w:rsidRPr="00A53AD7" w:rsidRDefault="00B823F8" w:rsidP="00B823F8">
            <w:pPr>
              <w:pStyle w:val="ad"/>
              <w:jc w:val="center"/>
              <w:rPr>
                <w:rFonts w:ascii="Times New Roman" w:hAnsi="Times New Roman"/>
              </w:rPr>
            </w:pPr>
            <w:r w:rsidRPr="00A53AD7">
              <w:rPr>
                <w:rFonts w:ascii="Times New Roman" w:hAnsi="Times New Roman"/>
              </w:rPr>
              <w:t>206,4</w:t>
            </w:r>
          </w:p>
        </w:tc>
        <w:tc>
          <w:tcPr>
            <w:tcW w:w="1281" w:type="dxa"/>
            <w:shd w:val="clear" w:color="auto" w:fill="auto"/>
          </w:tcPr>
          <w:p w14:paraId="1DFA6814" w14:textId="77777777" w:rsidR="00B823F8" w:rsidRPr="00A53AD7" w:rsidRDefault="00B823F8" w:rsidP="00B823F8">
            <w:pPr>
              <w:pStyle w:val="ad"/>
              <w:jc w:val="center"/>
              <w:rPr>
                <w:rFonts w:ascii="Times New Roman" w:hAnsi="Times New Roman"/>
              </w:rPr>
            </w:pPr>
            <w:r w:rsidRPr="00A53AD7">
              <w:rPr>
                <w:rFonts w:ascii="Times New Roman" w:hAnsi="Times New Roman"/>
              </w:rPr>
              <w:t>244,3</w:t>
            </w:r>
          </w:p>
        </w:tc>
        <w:tc>
          <w:tcPr>
            <w:tcW w:w="1412" w:type="dxa"/>
            <w:shd w:val="clear" w:color="auto" w:fill="auto"/>
          </w:tcPr>
          <w:p w14:paraId="1F186413" w14:textId="77777777" w:rsidR="00B823F8" w:rsidRPr="00A53AD7" w:rsidRDefault="00B823F8" w:rsidP="00B823F8">
            <w:pPr>
              <w:pStyle w:val="ad"/>
              <w:jc w:val="center"/>
              <w:rPr>
                <w:rFonts w:ascii="Times New Roman" w:hAnsi="Times New Roman"/>
              </w:rPr>
            </w:pPr>
            <w:r w:rsidRPr="00A53AD7">
              <w:rPr>
                <w:rFonts w:ascii="Times New Roman" w:hAnsi="Times New Roman"/>
              </w:rPr>
              <w:t>41,3</w:t>
            </w:r>
          </w:p>
        </w:tc>
        <w:tc>
          <w:tcPr>
            <w:tcW w:w="1192" w:type="dxa"/>
            <w:shd w:val="clear" w:color="auto" w:fill="auto"/>
          </w:tcPr>
          <w:p w14:paraId="3C693313" w14:textId="18BAAAB0" w:rsidR="00B823F8" w:rsidRPr="00A53AD7" w:rsidRDefault="00113AA0" w:rsidP="00B823F8">
            <w:pPr>
              <w:pStyle w:val="ad"/>
              <w:jc w:val="center"/>
              <w:rPr>
                <w:rFonts w:ascii="Times New Roman" w:hAnsi="Times New Roman"/>
              </w:rPr>
            </w:pPr>
            <w:r w:rsidRPr="00A53AD7">
              <w:rPr>
                <w:rFonts w:ascii="Times New Roman" w:hAnsi="Times New Roman"/>
              </w:rPr>
              <w:t>16,9</w:t>
            </w:r>
          </w:p>
        </w:tc>
      </w:tr>
      <w:tr w:rsidR="00D470B6" w:rsidRPr="00A53AD7" w14:paraId="4B9A56D7" w14:textId="77777777" w:rsidTr="00F81BE9">
        <w:tc>
          <w:tcPr>
            <w:tcW w:w="4060" w:type="dxa"/>
            <w:shd w:val="clear" w:color="auto" w:fill="auto"/>
          </w:tcPr>
          <w:p w14:paraId="69163060" w14:textId="77777777" w:rsidR="00B823F8" w:rsidRPr="00A53AD7" w:rsidRDefault="00B823F8" w:rsidP="00676D78">
            <w:pPr>
              <w:pStyle w:val="ad"/>
              <w:rPr>
                <w:rFonts w:ascii="Times New Roman" w:hAnsi="Times New Roman"/>
              </w:rPr>
            </w:pPr>
            <w:r w:rsidRPr="00A53AD7">
              <w:rPr>
                <w:rFonts w:ascii="Times New Roman" w:hAnsi="Times New Roman"/>
              </w:rPr>
              <w:t>Патриотическое воспитание, развитие физической культуры, спорта, туризма и повышение эффективности реализации молодежной политики АО</w:t>
            </w:r>
          </w:p>
        </w:tc>
        <w:tc>
          <w:tcPr>
            <w:tcW w:w="1312" w:type="dxa"/>
            <w:shd w:val="clear" w:color="auto" w:fill="auto"/>
          </w:tcPr>
          <w:p w14:paraId="3C3537E0" w14:textId="77777777" w:rsidR="00B823F8" w:rsidRPr="00A53AD7" w:rsidRDefault="00B823F8" w:rsidP="00B823F8">
            <w:pPr>
              <w:pStyle w:val="ad"/>
              <w:jc w:val="center"/>
              <w:rPr>
                <w:rFonts w:ascii="Times New Roman" w:hAnsi="Times New Roman"/>
              </w:rPr>
            </w:pPr>
            <w:r w:rsidRPr="00A53AD7">
              <w:rPr>
                <w:rFonts w:ascii="Times New Roman" w:hAnsi="Times New Roman"/>
              </w:rPr>
              <w:t>262,8</w:t>
            </w:r>
          </w:p>
        </w:tc>
        <w:tc>
          <w:tcPr>
            <w:tcW w:w="1281" w:type="dxa"/>
            <w:shd w:val="clear" w:color="auto" w:fill="auto"/>
          </w:tcPr>
          <w:p w14:paraId="4B060BC1" w14:textId="77777777" w:rsidR="00B823F8" w:rsidRPr="00A53AD7" w:rsidRDefault="00B823F8" w:rsidP="00B823F8">
            <w:pPr>
              <w:pStyle w:val="ad"/>
              <w:jc w:val="center"/>
              <w:rPr>
                <w:rFonts w:ascii="Times New Roman" w:hAnsi="Times New Roman"/>
              </w:rPr>
            </w:pPr>
            <w:r w:rsidRPr="00A53AD7">
              <w:rPr>
                <w:rFonts w:ascii="Times New Roman" w:hAnsi="Times New Roman"/>
              </w:rPr>
              <w:t>262,8</w:t>
            </w:r>
          </w:p>
        </w:tc>
        <w:tc>
          <w:tcPr>
            <w:tcW w:w="1412" w:type="dxa"/>
            <w:shd w:val="clear" w:color="auto" w:fill="auto"/>
          </w:tcPr>
          <w:p w14:paraId="2A1466CD" w14:textId="77777777" w:rsidR="00B823F8" w:rsidRPr="00A53AD7" w:rsidRDefault="00B823F8" w:rsidP="00B823F8">
            <w:pPr>
              <w:pStyle w:val="ad"/>
              <w:jc w:val="center"/>
              <w:rPr>
                <w:rFonts w:ascii="Times New Roman" w:hAnsi="Times New Roman"/>
              </w:rPr>
            </w:pPr>
            <w:r w:rsidRPr="00A53AD7">
              <w:rPr>
                <w:rFonts w:ascii="Times New Roman" w:hAnsi="Times New Roman"/>
              </w:rPr>
              <w:t>178,4</w:t>
            </w:r>
          </w:p>
        </w:tc>
        <w:tc>
          <w:tcPr>
            <w:tcW w:w="1192" w:type="dxa"/>
            <w:shd w:val="clear" w:color="auto" w:fill="auto"/>
          </w:tcPr>
          <w:p w14:paraId="7A7DEA81" w14:textId="55E16D4A" w:rsidR="00B823F8" w:rsidRPr="00A53AD7" w:rsidRDefault="00113AA0" w:rsidP="00B823F8">
            <w:pPr>
              <w:pStyle w:val="ad"/>
              <w:jc w:val="center"/>
              <w:rPr>
                <w:rFonts w:ascii="Times New Roman" w:hAnsi="Times New Roman"/>
              </w:rPr>
            </w:pPr>
            <w:r w:rsidRPr="00A53AD7">
              <w:rPr>
                <w:rFonts w:ascii="Times New Roman" w:hAnsi="Times New Roman"/>
              </w:rPr>
              <w:t>67,9</w:t>
            </w:r>
          </w:p>
        </w:tc>
      </w:tr>
      <w:tr w:rsidR="00D470B6" w:rsidRPr="00A53AD7" w14:paraId="51D2B8D9" w14:textId="77777777" w:rsidTr="00F81BE9">
        <w:tc>
          <w:tcPr>
            <w:tcW w:w="4060" w:type="dxa"/>
            <w:shd w:val="clear" w:color="auto" w:fill="auto"/>
          </w:tcPr>
          <w:p w14:paraId="7B02593B"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2426388D"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236,4</w:t>
            </w:r>
          </w:p>
        </w:tc>
        <w:tc>
          <w:tcPr>
            <w:tcW w:w="1281" w:type="dxa"/>
            <w:shd w:val="clear" w:color="auto" w:fill="auto"/>
          </w:tcPr>
          <w:p w14:paraId="69544679"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236,4</w:t>
            </w:r>
          </w:p>
        </w:tc>
        <w:tc>
          <w:tcPr>
            <w:tcW w:w="1412" w:type="dxa"/>
            <w:shd w:val="clear" w:color="auto" w:fill="auto"/>
          </w:tcPr>
          <w:p w14:paraId="61207436"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178,3</w:t>
            </w:r>
          </w:p>
        </w:tc>
        <w:tc>
          <w:tcPr>
            <w:tcW w:w="1192" w:type="dxa"/>
            <w:shd w:val="clear" w:color="auto" w:fill="auto"/>
          </w:tcPr>
          <w:p w14:paraId="351716CE" w14:textId="3173530A" w:rsidR="00B823F8" w:rsidRPr="00A53AD7" w:rsidRDefault="00113AA0" w:rsidP="00B823F8">
            <w:pPr>
              <w:pStyle w:val="ad"/>
              <w:jc w:val="center"/>
              <w:rPr>
                <w:rFonts w:ascii="Times New Roman" w:hAnsi="Times New Roman"/>
                <w:i/>
              </w:rPr>
            </w:pPr>
            <w:r w:rsidRPr="00A53AD7">
              <w:rPr>
                <w:rFonts w:ascii="Times New Roman" w:hAnsi="Times New Roman"/>
                <w:i/>
              </w:rPr>
              <w:t>75,4</w:t>
            </w:r>
          </w:p>
        </w:tc>
      </w:tr>
      <w:tr w:rsidR="00D470B6" w:rsidRPr="00A53AD7" w14:paraId="130E339F" w14:textId="77777777" w:rsidTr="00F81BE9">
        <w:tc>
          <w:tcPr>
            <w:tcW w:w="4060" w:type="dxa"/>
            <w:shd w:val="clear" w:color="auto" w:fill="auto"/>
          </w:tcPr>
          <w:p w14:paraId="1C0A38C6" w14:textId="77777777" w:rsidR="00B823F8" w:rsidRPr="00A53AD7" w:rsidRDefault="00B823F8" w:rsidP="00676D78">
            <w:pPr>
              <w:pStyle w:val="ad"/>
              <w:rPr>
                <w:rFonts w:ascii="Times New Roman" w:hAnsi="Times New Roman"/>
              </w:rPr>
            </w:pPr>
            <w:r w:rsidRPr="00A53AD7">
              <w:rPr>
                <w:rFonts w:ascii="Times New Roman" w:hAnsi="Times New Roman"/>
              </w:rPr>
              <w:t>Развитие энергетики и ЖКХ АО</w:t>
            </w:r>
          </w:p>
        </w:tc>
        <w:tc>
          <w:tcPr>
            <w:tcW w:w="1312" w:type="dxa"/>
            <w:shd w:val="clear" w:color="auto" w:fill="auto"/>
          </w:tcPr>
          <w:p w14:paraId="4F30B289" w14:textId="77777777" w:rsidR="00B823F8" w:rsidRPr="00A53AD7" w:rsidRDefault="00B823F8" w:rsidP="00B823F8">
            <w:pPr>
              <w:pStyle w:val="ad"/>
              <w:jc w:val="center"/>
              <w:rPr>
                <w:rFonts w:ascii="Times New Roman" w:hAnsi="Times New Roman"/>
              </w:rPr>
            </w:pPr>
            <w:r w:rsidRPr="00A53AD7">
              <w:rPr>
                <w:rFonts w:ascii="Times New Roman" w:hAnsi="Times New Roman"/>
              </w:rPr>
              <w:t xml:space="preserve">162,5 </w:t>
            </w:r>
          </w:p>
        </w:tc>
        <w:tc>
          <w:tcPr>
            <w:tcW w:w="1281" w:type="dxa"/>
            <w:shd w:val="clear" w:color="auto" w:fill="auto"/>
          </w:tcPr>
          <w:p w14:paraId="1A3E0ADD" w14:textId="77777777" w:rsidR="00B823F8" w:rsidRPr="00A53AD7" w:rsidRDefault="00B823F8" w:rsidP="00B823F8">
            <w:pPr>
              <w:pStyle w:val="ad"/>
              <w:jc w:val="center"/>
              <w:rPr>
                <w:rFonts w:ascii="Times New Roman" w:hAnsi="Times New Roman"/>
              </w:rPr>
            </w:pPr>
            <w:r w:rsidRPr="00A53AD7">
              <w:rPr>
                <w:rFonts w:ascii="Times New Roman" w:hAnsi="Times New Roman"/>
              </w:rPr>
              <w:t>77,4</w:t>
            </w:r>
          </w:p>
        </w:tc>
        <w:tc>
          <w:tcPr>
            <w:tcW w:w="1412" w:type="dxa"/>
            <w:shd w:val="clear" w:color="auto" w:fill="auto"/>
          </w:tcPr>
          <w:p w14:paraId="593372A3" w14:textId="77777777" w:rsidR="00B823F8" w:rsidRPr="00A53AD7" w:rsidRDefault="00B823F8" w:rsidP="00B823F8">
            <w:pPr>
              <w:pStyle w:val="ad"/>
              <w:jc w:val="center"/>
              <w:rPr>
                <w:rFonts w:ascii="Times New Roman" w:hAnsi="Times New Roman"/>
              </w:rPr>
            </w:pPr>
            <w:r w:rsidRPr="00A53AD7">
              <w:rPr>
                <w:rFonts w:ascii="Times New Roman" w:hAnsi="Times New Roman"/>
              </w:rPr>
              <w:t>74,1</w:t>
            </w:r>
          </w:p>
        </w:tc>
        <w:tc>
          <w:tcPr>
            <w:tcW w:w="1192" w:type="dxa"/>
            <w:shd w:val="clear" w:color="auto" w:fill="auto"/>
          </w:tcPr>
          <w:p w14:paraId="25C1B374" w14:textId="758F516D" w:rsidR="00B823F8" w:rsidRPr="00A53AD7" w:rsidRDefault="00113AA0" w:rsidP="00B823F8">
            <w:pPr>
              <w:pStyle w:val="ad"/>
              <w:jc w:val="center"/>
              <w:rPr>
                <w:rFonts w:ascii="Times New Roman" w:hAnsi="Times New Roman"/>
              </w:rPr>
            </w:pPr>
            <w:r w:rsidRPr="00A53AD7">
              <w:rPr>
                <w:rFonts w:ascii="Times New Roman" w:hAnsi="Times New Roman"/>
              </w:rPr>
              <w:t>95,7</w:t>
            </w:r>
          </w:p>
        </w:tc>
      </w:tr>
      <w:tr w:rsidR="00D470B6" w:rsidRPr="00A53AD7" w14:paraId="5F6CA318" w14:textId="77777777" w:rsidTr="00F81BE9">
        <w:tc>
          <w:tcPr>
            <w:tcW w:w="4060" w:type="dxa"/>
            <w:shd w:val="clear" w:color="auto" w:fill="auto"/>
          </w:tcPr>
          <w:p w14:paraId="22DF235F"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655CA75C"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162,5</w:t>
            </w:r>
          </w:p>
        </w:tc>
        <w:tc>
          <w:tcPr>
            <w:tcW w:w="1281" w:type="dxa"/>
            <w:shd w:val="clear" w:color="auto" w:fill="auto"/>
          </w:tcPr>
          <w:p w14:paraId="2E8D68F0"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77,4</w:t>
            </w:r>
          </w:p>
        </w:tc>
        <w:tc>
          <w:tcPr>
            <w:tcW w:w="1412" w:type="dxa"/>
            <w:shd w:val="clear" w:color="auto" w:fill="auto"/>
          </w:tcPr>
          <w:p w14:paraId="01FF83FA"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74,1</w:t>
            </w:r>
          </w:p>
        </w:tc>
        <w:tc>
          <w:tcPr>
            <w:tcW w:w="1192" w:type="dxa"/>
            <w:shd w:val="clear" w:color="auto" w:fill="auto"/>
          </w:tcPr>
          <w:p w14:paraId="4276B78E" w14:textId="5BB3998F" w:rsidR="00B823F8" w:rsidRPr="00A53AD7" w:rsidRDefault="00113AA0" w:rsidP="00B823F8">
            <w:pPr>
              <w:pStyle w:val="ad"/>
              <w:jc w:val="center"/>
              <w:rPr>
                <w:rFonts w:ascii="Times New Roman" w:hAnsi="Times New Roman"/>
                <w:i/>
              </w:rPr>
            </w:pPr>
            <w:r w:rsidRPr="00A53AD7">
              <w:rPr>
                <w:rFonts w:ascii="Times New Roman" w:hAnsi="Times New Roman"/>
                <w:i/>
              </w:rPr>
              <w:t>95,7</w:t>
            </w:r>
          </w:p>
        </w:tc>
      </w:tr>
      <w:tr w:rsidR="00D470B6" w:rsidRPr="00A53AD7" w14:paraId="0C32372B" w14:textId="77777777" w:rsidTr="00F81BE9">
        <w:tc>
          <w:tcPr>
            <w:tcW w:w="4060" w:type="dxa"/>
            <w:shd w:val="clear" w:color="auto" w:fill="auto"/>
          </w:tcPr>
          <w:p w14:paraId="65B9BEC3" w14:textId="77777777" w:rsidR="00B823F8" w:rsidRPr="00A53AD7" w:rsidRDefault="00B823F8" w:rsidP="00676D78">
            <w:pPr>
              <w:pStyle w:val="ad"/>
              <w:rPr>
                <w:rFonts w:ascii="Times New Roman" w:hAnsi="Times New Roman"/>
              </w:rPr>
            </w:pPr>
            <w:r w:rsidRPr="00A53AD7">
              <w:rPr>
                <w:rFonts w:ascii="Times New Roman" w:hAnsi="Times New Roman"/>
              </w:rPr>
              <w:t>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АО</w:t>
            </w:r>
          </w:p>
        </w:tc>
        <w:tc>
          <w:tcPr>
            <w:tcW w:w="1312" w:type="dxa"/>
            <w:shd w:val="clear" w:color="auto" w:fill="auto"/>
          </w:tcPr>
          <w:p w14:paraId="17E51A9F"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c>
          <w:tcPr>
            <w:tcW w:w="1281" w:type="dxa"/>
            <w:shd w:val="clear" w:color="auto" w:fill="auto"/>
          </w:tcPr>
          <w:p w14:paraId="6A96FC53"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c>
          <w:tcPr>
            <w:tcW w:w="1412" w:type="dxa"/>
            <w:shd w:val="clear" w:color="auto" w:fill="auto"/>
          </w:tcPr>
          <w:p w14:paraId="7068832E" w14:textId="77777777" w:rsidR="00B823F8" w:rsidRPr="00A53AD7" w:rsidRDefault="00B823F8" w:rsidP="00B823F8">
            <w:pPr>
              <w:pStyle w:val="ad"/>
              <w:jc w:val="center"/>
              <w:rPr>
                <w:rFonts w:ascii="Times New Roman" w:hAnsi="Times New Roman"/>
              </w:rPr>
            </w:pPr>
            <w:r w:rsidRPr="00A53AD7">
              <w:rPr>
                <w:rFonts w:ascii="Times New Roman" w:hAnsi="Times New Roman"/>
              </w:rPr>
              <w:t>7,9</w:t>
            </w:r>
          </w:p>
        </w:tc>
        <w:tc>
          <w:tcPr>
            <w:tcW w:w="1192" w:type="dxa"/>
            <w:shd w:val="clear" w:color="auto" w:fill="auto"/>
          </w:tcPr>
          <w:p w14:paraId="2BE5065F" w14:textId="4EA20637" w:rsidR="00B823F8" w:rsidRPr="00A53AD7" w:rsidRDefault="00113AA0" w:rsidP="00B823F8">
            <w:pPr>
              <w:pStyle w:val="ad"/>
              <w:jc w:val="center"/>
              <w:rPr>
                <w:rFonts w:ascii="Times New Roman" w:hAnsi="Times New Roman"/>
              </w:rPr>
            </w:pPr>
            <w:r w:rsidRPr="00A53AD7">
              <w:rPr>
                <w:rFonts w:ascii="Times New Roman" w:hAnsi="Times New Roman"/>
              </w:rPr>
              <w:t>98,8</w:t>
            </w:r>
          </w:p>
        </w:tc>
      </w:tr>
      <w:tr w:rsidR="00D470B6" w:rsidRPr="00A53AD7" w14:paraId="5269FDBF" w14:textId="77777777" w:rsidTr="00F81BE9">
        <w:tc>
          <w:tcPr>
            <w:tcW w:w="4060" w:type="dxa"/>
            <w:shd w:val="clear" w:color="auto" w:fill="auto"/>
          </w:tcPr>
          <w:p w14:paraId="7D7B1920" w14:textId="77777777" w:rsidR="00B823F8" w:rsidRPr="00A53AD7" w:rsidRDefault="00B823F8" w:rsidP="00676D78">
            <w:pPr>
              <w:pStyle w:val="ad"/>
              <w:rPr>
                <w:rFonts w:ascii="Times New Roman" w:hAnsi="Times New Roman"/>
              </w:rPr>
            </w:pPr>
            <w:r w:rsidRPr="00A53AD7">
              <w:rPr>
                <w:rFonts w:ascii="Times New Roman" w:hAnsi="Times New Roman"/>
              </w:rPr>
              <w:t>Социальная поддержка граждан в Архангельской области</w:t>
            </w:r>
          </w:p>
        </w:tc>
        <w:tc>
          <w:tcPr>
            <w:tcW w:w="1312" w:type="dxa"/>
            <w:shd w:val="clear" w:color="auto" w:fill="auto"/>
          </w:tcPr>
          <w:p w14:paraId="2245BDC0" w14:textId="77777777" w:rsidR="00B823F8" w:rsidRPr="00A53AD7" w:rsidRDefault="00B823F8" w:rsidP="00B823F8">
            <w:pPr>
              <w:pStyle w:val="ad"/>
              <w:jc w:val="center"/>
              <w:rPr>
                <w:rFonts w:ascii="Times New Roman" w:hAnsi="Times New Roman"/>
              </w:rPr>
            </w:pPr>
            <w:r w:rsidRPr="00A53AD7">
              <w:rPr>
                <w:rFonts w:ascii="Times New Roman" w:hAnsi="Times New Roman"/>
              </w:rPr>
              <w:t>25,0</w:t>
            </w:r>
          </w:p>
        </w:tc>
        <w:tc>
          <w:tcPr>
            <w:tcW w:w="1281" w:type="dxa"/>
            <w:shd w:val="clear" w:color="auto" w:fill="auto"/>
          </w:tcPr>
          <w:p w14:paraId="093E9E8E" w14:textId="77777777" w:rsidR="00B823F8" w:rsidRPr="00A53AD7" w:rsidRDefault="00B823F8" w:rsidP="00B823F8">
            <w:pPr>
              <w:pStyle w:val="ad"/>
              <w:jc w:val="center"/>
              <w:rPr>
                <w:rFonts w:ascii="Times New Roman" w:hAnsi="Times New Roman"/>
              </w:rPr>
            </w:pPr>
            <w:r w:rsidRPr="00A53AD7">
              <w:rPr>
                <w:rFonts w:ascii="Times New Roman" w:hAnsi="Times New Roman"/>
              </w:rPr>
              <w:t>25,0</w:t>
            </w:r>
          </w:p>
        </w:tc>
        <w:tc>
          <w:tcPr>
            <w:tcW w:w="1412" w:type="dxa"/>
            <w:shd w:val="clear" w:color="auto" w:fill="auto"/>
          </w:tcPr>
          <w:p w14:paraId="634DD3E4" w14:textId="77777777" w:rsidR="00B823F8" w:rsidRPr="00A53AD7" w:rsidRDefault="00B823F8" w:rsidP="00B823F8">
            <w:pPr>
              <w:pStyle w:val="ad"/>
              <w:jc w:val="center"/>
              <w:rPr>
                <w:rFonts w:ascii="Times New Roman" w:hAnsi="Times New Roman"/>
              </w:rPr>
            </w:pPr>
            <w:r w:rsidRPr="00A53AD7">
              <w:rPr>
                <w:rFonts w:ascii="Times New Roman" w:hAnsi="Times New Roman"/>
              </w:rPr>
              <w:t>25,0</w:t>
            </w:r>
          </w:p>
        </w:tc>
        <w:tc>
          <w:tcPr>
            <w:tcW w:w="1192" w:type="dxa"/>
            <w:shd w:val="clear" w:color="auto" w:fill="auto"/>
          </w:tcPr>
          <w:p w14:paraId="54FB9402"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542D24E1" w14:textId="77777777" w:rsidTr="00F81BE9">
        <w:tc>
          <w:tcPr>
            <w:tcW w:w="4060" w:type="dxa"/>
            <w:shd w:val="clear" w:color="auto" w:fill="auto"/>
          </w:tcPr>
          <w:p w14:paraId="47386D3D" w14:textId="68DB4DCF" w:rsidR="00B823F8" w:rsidRPr="00A53AD7" w:rsidRDefault="00B823F8" w:rsidP="00113AA0">
            <w:pPr>
              <w:pStyle w:val="ad"/>
              <w:rPr>
                <w:rFonts w:ascii="Times New Roman" w:hAnsi="Times New Roman"/>
              </w:rPr>
            </w:pPr>
            <w:r w:rsidRPr="00A53AD7">
              <w:rPr>
                <w:rFonts w:ascii="Times New Roman" w:hAnsi="Times New Roman"/>
              </w:rPr>
              <w:t>Развитие местного самоуправления в АО</w:t>
            </w:r>
          </w:p>
        </w:tc>
        <w:tc>
          <w:tcPr>
            <w:tcW w:w="1312" w:type="dxa"/>
            <w:shd w:val="clear" w:color="auto" w:fill="auto"/>
          </w:tcPr>
          <w:p w14:paraId="1F534C58"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281" w:type="dxa"/>
            <w:shd w:val="clear" w:color="auto" w:fill="auto"/>
          </w:tcPr>
          <w:p w14:paraId="177D814B"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412" w:type="dxa"/>
            <w:shd w:val="clear" w:color="auto" w:fill="auto"/>
          </w:tcPr>
          <w:p w14:paraId="5D30169D" w14:textId="77777777" w:rsidR="00B823F8" w:rsidRPr="00A53AD7" w:rsidRDefault="00B823F8" w:rsidP="00B823F8">
            <w:pPr>
              <w:pStyle w:val="ad"/>
              <w:jc w:val="center"/>
              <w:rPr>
                <w:rFonts w:ascii="Times New Roman" w:hAnsi="Times New Roman"/>
              </w:rPr>
            </w:pPr>
            <w:r w:rsidRPr="00A53AD7">
              <w:rPr>
                <w:rFonts w:ascii="Times New Roman" w:hAnsi="Times New Roman"/>
              </w:rPr>
              <w:t>3,4</w:t>
            </w:r>
          </w:p>
        </w:tc>
        <w:tc>
          <w:tcPr>
            <w:tcW w:w="1192" w:type="dxa"/>
            <w:shd w:val="clear" w:color="auto" w:fill="auto"/>
          </w:tcPr>
          <w:p w14:paraId="74E36F2E" w14:textId="691538C3" w:rsidR="00B823F8" w:rsidRPr="00A53AD7" w:rsidRDefault="00113AA0" w:rsidP="00B823F8">
            <w:pPr>
              <w:pStyle w:val="ad"/>
              <w:jc w:val="center"/>
              <w:rPr>
                <w:rFonts w:ascii="Times New Roman" w:hAnsi="Times New Roman"/>
              </w:rPr>
            </w:pPr>
            <w:r w:rsidRPr="00A53AD7">
              <w:rPr>
                <w:rFonts w:ascii="Times New Roman" w:hAnsi="Times New Roman"/>
              </w:rPr>
              <w:t>2,9</w:t>
            </w:r>
          </w:p>
        </w:tc>
      </w:tr>
      <w:tr w:rsidR="00D470B6" w:rsidRPr="00A53AD7" w14:paraId="500D39C5" w14:textId="77777777" w:rsidTr="00F81BE9">
        <w:tc>
          <w:tcPr>
            <w:tcW w:w="4060" w:type="dxa"/>
            <w:shd w:val="clear" w:color="auto" w:fill="auto"/>
          </w:tcPr>
          <w:p w14:paraId="62ECBE9A"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2F59053E"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100,0</w:t>
            </w:r>
          </w:p>
        </w:tc>
        <w:tc>
          <w:tcPr>
            <w:tcW w:w="1281" w:type="dxa"/>
            <w:shd w:val="clear" w:color="auto" w:fill="auto"/>
          </w:tcPr>
          <w:p w14:paraId="052AF990"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100,0</w:t>
            </w:r>
          </w:p>
        </w:tc>
        <w:tc>
          <w:tcPr>
            <w:tcW w:w="1412" w:type="dxa"/>
            <w:shd w:val="clear" w:color="auto" w:fill="auto"/>
          </w:tcPr>
          <w:p w14:paraId="5CB4BB37"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0</w:t>
            </w:r>
          </w:p>
        </w:tc>
        <w:tc>
          <w:tcPr>
            <w:tcW w:w="1192" w:type="dxa"/>
            <w:shd w:val="clear" w:color="auto" w:fill="auto"/>
          </w:tcPr>
          <w:p w14:paraId="1C7F05C6" w14:textId="2D0AFC26" w:rsidR="00B823F8" w:rsidRPr="00A53AD7" w:rsidRDefault="00113AA0" w:rsidP="00B823F8">
            <w:pPr>
              <w:pStyle w:val="ad"/>
              <w:jc w:val="center"/>
              <w:rPr>
                <w:rFonts w:ascii="Times New Roman" w:hAnsi="Times New Roman"/>
                <w:i/>
              </w:rPr>
            </w:pPr>
            <w:r w:rsidRPr="00A53AD7">
              <w:rPr>
                <w:rFonts w:ascii="Times New Roman" w:hAnsi="Times New Roman"/>
                <w:i/>
              </w:rPr>
              <w:t>0,0</w:t>
            </w:r>
          </w:p>
        </w:tc>
      </w:tr>
      <w:tr w:rsidR="00D470B6" w:rsidRPr="00A53AD7" w14:paraId="6BE62A6A" w14:textId="77777777" w:rsidTr="00F81BE9">
        <w:tc>
          <w:tcPr>
            <w:tcW w:w="4060" w:type="dxa"/>
            <w:shd w:val="clear" w:color="auto" w:fill="auto"/>
          </w:tcPr>
          <w:p w14:paraId="266E274A" w14:textId="77777777" w:rsidR="00B823F8" w:rsidRPr="00A53AD7" w:rsidRDefault="00B823F8" w:rsidP="00676D78">
            <w:pPr>
              <w:pStyle w:val="ad"/>
              <w:rPr>
                <w:rFonts w:ascii="Times New Roman" w:hAnsi="Times New Roman"/>
              </w:rPr>
            </w:pPr>
            <w:r w:rsidRPr="00A53AD7">
              <w:rPr>
                <w:rFonts w:ascii="Times New Roman" w:hAnsi="Times New Roman"/>
              </w:rPr>
              <w:t>Эффективное государственное управление АО</w:t>
            </w:r>
          </w:p>
        </w:tc>
        <w:tc>
          <w:tcPr>
            <w:tcW w:w="1312" w:type="dxa"/>
            <w:shd w:val="clear" w:color="auto" w:fill="auto"/>
          </w:tcPr>
          <w:p w14:paraId="163B96FB" w14:textId="77777777" w:rsidR="00B823F8" w:rsidRPr="00A53AD7" w:rsidRDefault="00B823F8" w:rsidP="00B823F8">
            <w:pPr>
              <w:pStyle w:val="ad"/>
              <w:jc w:val="center"/>
              <w:rPr>
                <w:rFonts w:ascii="Times New Roman" w:hAnsi="Times New Roman"/>
              </w:rPr>
            </w:pPr>
            <w:r w:rsidRPr="00A53AD7">
              <w:rPr>
                <w:rFonts w:ascii="Times New Roman" w:hAnsi="Times New Roman"/>
              </w:rPr>
              <w:t>39,5</w:t>
            </w:r>
          </w:p>
        </w:tc>
        <w:tc>
          <w:tcPr>
            <w:tcW w:w="1281" w:type="dxa"/>
            <w:shd w:val="clear" w:color="auto" w:fill="auto"/>
          </w:tcPr>
          <w:p w14:paraId="51BFB076" w14:textId="77777777" w:rsidR="00B823F8" w:rsidRPr="00A53AD7" w:rsidRDefault="00B823F8" w:rsidP="00B823F8">
            <w:pPr>
              <w:pStyle w:val="ad"/>
              <w:jc w:val="center"/>
              <w:rPr>
                <w:rFonts w:ascii="Times New Roman" w:hAnsi="Times New Roman"/>
              </w:rPr>
            </w:pPr>
            <w:r w:rsidRPr="00A53AD7">
              <w:rPr>
                <w:rFonts w:ascii="Times New Roman" w:hAnsi="Times New Roman"/>
              </w:rPr>
              <w:t>39,5</w:t>
            </w:r>
          </w:p>
        </w:tc>
        <w:tc>
          <w:tcPr>
            <w:tcW w:w="1412" w:type="dxa"/>
            <w:shd w:val="clear" w:color="auto" w:fill="auto"/>
          </w:tcPr>
          <w:p w14:paraId="02E8FD88" w14:textId="77777777" w:rsidR="00B823F8" w:rsidRPr="00A53AD7" w:rsidRDefault="00B823F8" w:rsidP="00B823F8">
            <w:pPr>
              <w:pStyle w:val="ad"/>
              <w:jc w:val="center"/>
              <w:rPr>
                <w:rFonts w:ascii="Times New Roman" w:hAnsi="Times New Roman"/>
              </w:rPr>
            </w:pPr>
            <w:r w:rsidRPr="00A53AD7">
              <w:rPr>
                <w:rFonts w:ascii="Times New Roman" w:hAnsi="Times New Roman"/>
              </w:rPr>
              <w:t>39,5</w:t>
            </w:r>
          </w:p>
        </w:tc>
        <w:tc>
          <w:tcPr>
            <w:tcW w:w="1192" w:type="dxa"/>
            <w:shd w:val="clear" w:color="auto" w:fill="auto"/>
          </w:tcPr>
          <w:p w14:paraId="6E7DD1CA" w14:textId="2F9D21B3" w:rsidR="00B823F8" w:rsidRPr="00A53AD7" w:rsidRDefault="00113AA0" w:rsidP="00B823F8">
            <w:pPr>
              <w:pStyle w:val="ad"/>
              <w:jc w:val="center"/>
              <w:rPr>
                <w:rFonts w:ascii="Times New Roman" w:hAnsi="Times New Roman"/>
              </w:rPr>
            </w:pPr>
            <w:r w:rsidRPr="00A53AD7">
              <w:rPr>
                <w:rFonts w:ascii="Times New Roman" w:hAnsi="Times New Roman"/>
              </w:rPr>
              <w:t>100,0</w:t>
            </w:r>
          </w:p>
        </w:tc>
      </w:tr>
      <w:tr w:rsidR="00D470B6" w:rsidRPr="00A53AD7" w14:paraId="74CED894" w14:textId="77777777" w:rsidTr="00F81BE9">
        <w:tc>
          <w:tcPr>
            <w:tcW w:w="4060" w:type="dxa"/>
            <w:shd w:val="clear" w:color="auto" w:fill="auto"/>
          </w:tcPr>
          <w:p w14:paraId="77F62468" w14:textId="77777777" w:rsidR="00B823F8" w:rsidRPr="00A53AD7" w:rsidRDefault="00B823F8" w:rsidP="00676D78">
            <w:pPr>
              <w:pStyle w:val="ad"/>
              <w:rPr>
                <w:rFonts w:ascii="Times New Roman" w:hAnsi="Times New Roman"/>
              </w:rPr>
            </w:pPr>
            <w:r w:rsidRPr="00A53AD7">
              <w:rPr>
                <w:rFonts w:ascii="Times New Roman" w:hAnsi="Times New Roman"/>
              </w:rPr>
              <w:t>Переселение граждан из аварийного жилищного фонда</w:t>
            </w:r>
          </w:p>
        </w:tc>
        <w:tc>
          <w:tcPr>
            <w:tcW w:w="1312" w:type="dxa"/>
            <w:shd w:val="clear" w:color="auto" w:fill="auto"/>
          </w:tcPr>
          <w:p w14:paraId="77E4F627" w14:textId="77777777" w:rsidR="00B823F8" w:rsidRPr="00A53AD7" w:rsidRDefault="00B823F8" w:rsidP="00B823F8">
            <w:pPr>
              <w:pStyle w:val="ad"/>
              <w:jc w:val="center"/>
              <w:rPr>
                <w:rFonts w:ascii="Times New Roman" w:hAnsi="Times New Roman"/>
              </w:rPr>
            </w:pPr>
            <w:r w:rsidRPr="00A53AD7">
              <w:rPr>
                <w:rFonts w:ascii="Times New Roman" w:hAnsi="Times New Roman"/>
              </w:rPr>
              <w:t>1 992,4</w:t>
            </w:r>
          </w:p>
        </w:tc>
        <w:tc>
          <w:tcPr>
            <w:tcW w:w="1281" w:type="dxa"/>
            <w:shd w:val="clear" w:color="auto" w:fill="auto"/>
          </w:tcPr>
          <w:p w14:paraId="71DCDE0C" w14:textId="77777777" w:rsidR="00B823F8" w:rsidRPr="00A53AD7" w:rsidRDefault="00B823F8" w:rsidP="00B823F8">
            <w:pPr>
              <w:pStyle w:val="ad"/>
              <w:jc w:val="center"/>
              <w:rPr>
                <w:rFonts w:ascii="Times New Roman" w:hAnsi="Times New Roman"/>
              </w:rPr>
            </w:pPr>
            <w:r w:rsidRPr="00A53AD7">
              <w:rPr>
                <w:rFonts w:ascii="Times New Roman" w:hAnsi="Times New Roman"/>
              </w:rPr>
              <w:t>2 524,2</w:t>
            </w:r>
          </w:p>
        </w:tc>
        <w:tc>
          <w:tcPr>
            <w:tcW w:w="1412" w:type="dxa"/>
            <w:shd w:val="clear" w:color="auto" w:fill="auto"/>
          </w:tcPr>
          <w:p w14:paraId="3A7F6B9C" w14:textId="77777777" w:rsidR="00B823F8" w:rsidRPr="00A53AD7" w:rsidRDefault="00B823F8" w:rsidP="00B823F8">
            <w:pPr>
              <w:pStyle w:val="ad"/>
              <w:jc w:val="center"/>
              <w:rPr>
                <w:rFonts w:ascii="Times New Roman" w:hAnsi="Times New Roman"/>
              </w:rPr>
            </w:pPr>
            <w:r w:rsidRPr="00A53AD7">
              <w:rPr>
                <w:rFonts w:ascii="Times New Roman" w:hAnsi="Times New Roman"/>
              </w:rPr>
              <w:t>469,8</w:t>
            </w:r>
          </w:p>
        </w:tc>
        <w:tc>
          <w:tcPr>
            <w:tcW w:w="1192" w:type="dxa"/>
            <w:shd w:val="clear" w:color="auto" w:fill="auto"/>
          </w:tcPr>
          <w:p w14:paraId="2A96C34B" w14:textId="5E518187" w:rsidR="00B823F8" w:rsidRPr="00A53AD7" w:rsidRDefault="00113AA0" w:rsidP="00B823F8">
            <w:pPr>
              <w:pStyle w:val="ad"/>
              <w:jc w:val="center"/>
              <w:rPr>
                <w:rFonts w:ascii="Times New Roman" w:hAnsi="Times New Roman"/>
              </w:rPr>
            </w:pPr>
            <w:r w:rsidRPr="00A53AD7">
              <w:rPr>
                <w:rFonts w:ascii="Times New Roman" w:hAnsi="Times New Roman"/>
              </w:rPr>
              <w:t>18,6</w:t>
            </w:r>
          </w:p>
        </w:tc>
      </w:tr>
      <w:tr w:rsidR="00D470B6" w:rsidRPr="00A53AD7" w14:paraId="7945936E" w14:textId="77777777" w:rsidTr="00113AA0">
        <w:trPr>
          <w:trHeight w:val="211"/>
        </w:trPr>
        <w:tc>
          <w:tcPr>
            <w:tcW w:w="4060" w:type="dxa"/>
            <w:shd w:val="clear" w:color="auto" w:fill="auto"/>
          </w:tcPr>
          <w:p w14:paraId="3E5798C8" w14:textId="77777777" w:rsidR="00B823F8" w:rsidRPr="00A53AD7" w:rsidRDefault="00B823F8" w:rsidP="00676D78">
            <w:pPr>
              <w:pStyle w:val="ad"/>
              <w:rPr>
                <w:rFonts w:ascii="Times New Roman" w:hAnsi="Times New Roman"/>
                <w:i/>
              </w:rPr>
            </w:pPr>
            <w:r w:rsidRPr="00A53AD7">
              <w:rPr>
                <w:rFonts w:ascii="Times New Roman" w:hAnsi="Times New Roman"/>
                <w:i/>
              </w:rPr>
              <w:t>в т.ч муниц. образованиям</w:t>
            </w:r>
          </w:p>
        </w:tc>
        <w:tc>
          <w:tcPr>
            <w:tcW w:w="1312" w:type="dxa"/>
            <w:shd w:val="clear" w:color="auto" w:fill="auto"/>
          </w:tcPr>
          <w:p w14:paraId="418D039A"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1 111,2</w:t>
            </w:r>
          </w:p>
        </w:tc>
        <w:tc>
          <w:tcPr>
            <w:tcW w:w="1281" w:type="dxa"/>
            <w:shd w:val="clear" w:color="auto" w:fill="auto"/>
          </w:tcPr>
          <w:p w14:paraId="59D007B5"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1 354,7</w:t>
            </w:r>
          </w:p>
        </w:tc>
        <w:tc>
          <w:tcPr>
            <w:tcW w:w="1412" w:type="dxa"/>
            <w:shd w:val="clear" w:color="auto" w:fill="auto"/>
          </w:tcPr>
          <w:p w14:paraId="1CC47FA6" w14:textId="77777777" w:rsidR="00B823F8" w:rsidRPr="00A53AD7" w:rsidRDefault="00B823F8" w:rsidP="00B823F8">
            <w:pPr>
              <w:pStyle w:val="ad"/>
              <w:jc w:val="center"/>
              <w:rPr>
                <w:rFonts w:ascii="Times New Roman" w:hAnsi="Times New Roman"/>
                <w:i/>
              </w:rPr>
            </w:pPr>
            <w:r w:rsidRPr="00A53AD7">
              <w:rPr>
                <w:rFonts w:ascii="Times New Roman" w:hAnsi="Times New Roman"/>
                <w:i/>
              </w:rPr>
              <w:t>318,1</w:t>
            </w:r>
          </w:p>
        </w:tc>
        <w:tc>
          <w:tcPr>
            <w:tcW w:w="1192" w:type="dxa"/>
            <w:shd w:val="clear" w:color="auto" w:fill="auto"/>
          </w:tcPr>
          <w:p w14:paraId="3961D56D" w14:textId="593AF334" w:rsidR="00B823F8" w:rsidRPr="00A53AD7" w:rsidRDefault="00113AA0" w:rsidP="00B823F8">
            <w:pPr>
              <w:pStyle w:val="ad"/>
              <w:jc w:val="center"/>
              <w:rPr>
                <w:rFonts w:ascii="Times New Roman" w:hAnsi="Times New Roman"/>
                <w:i/>
              </w:rPr>
            </w:pPr>
            <w:r w:rsidRPr="00A53AD7">
              <w:rPr>
                <w:rFonts w:ascii="Times New Roman" w:hAnsi="Times New Roman"/>
                <w:i/>
              </w:rPr>
              <w:t>23,5</w:t>
            </w:r>
          </w:p>
        </w:tc>
      </w:tr>
      <w:tr w:rsidR="00D470B6" w:rsidRPr="00A53AD7" w14:paraId="1EF5284E" w14:textId="77777777" w:rsidTr="00F81BE9">
        <w:tc>
          <w:tcPr>
            <w:tcW w:w="4060" w:type="dxa"/>
            <w:shd w:val="clear" w:color="auto" w:fill="auto"/>
          </w:tcPr>
          <w:p w14:paraId="7D35E52F" w14:textId="77777777" w:rsidR="00B823F8" w:rsidRPr="00A53AD7" w:rsidRDefault="00B823F8" w:rsidP="00676D78">
            <w:pPr>
              <w:pStyle w:val="ad"/>
              <w:rPr>
                <w:rFonts w:ascii="Times New Roman" w:hAnsi="Times New Roman"/>
              </w:rPr>
            </w:pPr>
            <w:r w:rsidRPr="00A53AD7">
              <w:rPr>
                <w:rFonts w:ascii="Times New Roman" w:hAnsi="Times New Roman"/>
              </w:rPr>
              <w:t>Резервный фонд Правительства</w:t>
            </w:r>
          </w:p>
        </w:tc>
        <w:tc>
          <w:tcPr>
            <w:tcW w:w="1312" w:type="dxa"/>
            <w:shd w:val="clear" w:color="auto" w:fill="auto"/>
          </w:tcPr>
          <w:p w14:paraId="17A63097"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281" w:type="dxa"/>
            <w:shd w:val="clear" w:color="auto" w:fill="auto"/>
          </w:tcPr>
          <w:p w14:paraId="5DA2D5B7" w14:textId="77777777" w:rsidR="00B823F8" w:rsidRPr="00A53AD7" w:rsidRDefault="00B823F8" w:rsidP="00B823F8">
            <w:pPr>
              <w:pStyle w:val="ad"/>
              <w:jc w:val="center"/>
              <w:rPr>
                <w:rFonts w:ascii="Times New Roman" w:hAnsi="Times New Roman"/>
              </w:rPr>
            </w:pPr>
            <w:r w:rsidRPr="00A53AD7">
              <w:rPr>
                <w:rFonts w:ascii="Times New Roman" w:hAnsi="Times New Roman"/>
              </w:rPr>
              <w:t>3,6</w:t>
            </w:r>
          </w:p>
        </w:tc>
        <w:tc>
          <w:tcPr>
            <w:tcW w:w="1412" w:type="dxa"/>
            <w:shd w:val="clear" w:color="auto" w:fill="auto"/>
          </w:tcPr>
          <w:p w14:paraId="4AEDA48C" w14:textId="77777777" w:rsidR="00B823F8" w:rsidRPr="00A53AD7" w:rsidRDefault="00B823F8" w:rsidP="00B823F8">
            <w:pPr>
              <w:pStyle w:val="ad"/>
              <w:jc w:val="center"/>
              <w:rPr>
                <w:rFonts w:ascii="Times New Roman" w:hAnsi="Times New Roman"/>
              </w:rPr>
            </w:pPr>
            <w:r w:rsidRPr="00A53AD7">
              <w:rPr>
                <w:rFonts w:ascii="Times New Roman" w:hAnsi="Times New Roman"/>
              </w:rPr>
              <w:t>3,6</w:t>
            </w:r>
          </w:p>
        </w:tc>
        <w:tc>
          <w:tcPr>
            <w:tcW w:w="1192" w:type="dxa"/>
            <w:shd w:val="clear" w:color="auto" w:fill="auto"/>
          </w:tcPr>
          <w:p w14:paraId="19CE6B40" w14:textId="63E9B404" w:rsidR="00B823F8" w:rsidRPr="00A53AD7" w:rsidRDefault="00113AA0" w:rsidP="00B823F8">
            <w:pPr>
              <w:pStyle w:val="ad"/>
              <w:jc w:val="center"/>
              <w:rPr>
                <w:rFonts w:ascii="Times New Roman" w:hAnsi="Times New Roman"/>
              </w:rPr>
            </w:pPr>
            <w:r w:rsidRPr="00A53AD7">
              <w:rPr>
                <w:rFonts w:ascii="Times New Roman" w:hAnsi="Times New Roman"/>
              </w:rPr>
              <w:t>100,0</w:t>
            </w:r>
          </w:p>
        </w:tc>
      </w:tr>
      <w:tr w:rsidR="00D470B6" w:rsidRPr="00A53AD7" w14:paraId="26C2F87A" w14:textId="77777777" w:rsidTr="00F81BE9">
        <w:tc>
          <w:tcPr>
            <w:tcW w:w="4060" w:type="dxa"/>
            <w:shd w:val="clear" w:color="auto" w:fill="auto"/>
          </w:tcPr>
          <w:p w14:paraId="3E17F8B3" w14:textId="77777777" w:rsidR="00B823F8" w:rsidRPr="00A53AD7" w:rsidRDefault="00B823F8" w:rsidP="00676D78">
            <w:pPr>
              <w:pStyle w:val="ad"/>
              <w:rPr>
                <w:rFonts w:ascii="Times New Roman" w:hAnsi="Times New Roman"/>
                <w:b/>
              </w:rPr>
            </w:pPr>
            <w:r w:rsidRPr="00A53AD7">
              <w:rPr>
                <w:rFonts w:ascii="Times New Roman" w:hAnsi="Times New Roman"/>
                <w:b/>
              </w:rPr>
              <w:t>ИТОГО:</w:t>
            </w:r>
          </w:p>
        </w:tc>
        <w:tc>
          <w:tcPr>
            <w:tcW w:w="1312" w:type="dxa"/>
            <w:shd w:val="clear" w:color="auto" w:fill="auto"/>
          </w:tcPr>
          <w:p w14:paraId="38ACC5F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9 392,2</w:t>
            </w:r>
          </w:p>
        </w:tc>
        <w:tc>
          <w:tcPr>
            <w:tcW w:w="1281" w:type="dxa"/>
            <w:shd w:val="clear" w:color="auto" w:fill="auto"/>
          </w:tcPr>
          <w:p w14:paraId="5734686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10 348,1</w:t>
            </w:r>
          </w:p>
        </w:tc>
        <w:tc>
          <w:tcPr>
            <w:tcW w:w="1412" w:type="dxa"/>
            <w:shd w:val="clear" w:color="auto" w:fill="auto"/>
          </w:tcPr>
          <w:p w14:paraId="1095398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5 555,3</w:t>
            </w:r>
          </w:p>
        </w:tc>
        <w:tc>
          <w:tcPr>
            <w:tcW w:w="1192" w:type="dxa"/>
            <w:shd w:val="clear" w:color="auto" w:fill="auto"/>
          </w:tcPr>
          <w:p w14:paraId="47CD36FA" w14:textId="3B43324F" w:rsidR="00B823F8" w:rsidRPr="00A53AD7" w:rsidRDefault="00113AA0" w:rsidP="00B823F8">
            <w:pPr>
              <w:pStyle w:val="ad"/>
              <w:jc w:val="center"/>
              <w:rPr>
                <w:rFonts w:ascii="Times New Roman" w:hAnsi="Times New Roman"/>
                <w:b/>
              </w:rPr>
            </w:pPr>
            <w:r w:rsidRPr="00A53AD7">
              <w:rPr>
                <w:rFonts w:ascii="Times New Roman" w:hAnsi="Times New Roman"/>
                <w:b/>
              </w:rPr>
              <w:t>53,7</w:t>
            </w:r>
          </w:p>
        </w:tc>
      </w:tr>
      <w:tr w:rsidR="00D470B6" w:rsidRPr="00A53AD7" w14:paraId="6A7764DF" w14:textId="77777777" w:rsidTr="00113AA0">
        <w:trPr>
          <w:trHeight w:val="296"/>
        </w:trPr>
        <w:tc>
          <w:tcPr>
            <w:tcW w:w="4060" w:type="dxa"/>
          </w:tcPr>
          <w:p w14:paraId="20C32A20" w14:textId="77777777" w:rsidR="00B823F8" w:rsidRPr="00A53AD7" w:rsidRDefault="00B823F8" w:rsidP="00676D78">
            <w:pPr>
              <w:pStyle w:val="ad"/>
              <w:rPr>
                <w:rFonts w:ascii="Times New Roman" w:hAnsi="Times New Roman"/>
                <w:b/>
                <w:i/>
              </w:rPr>
            </w:pPr>
            <w:r w:rsidRPr="00A53AD7">
              <w:rPr>
                <w:rFonts w:ascii="Times New Roman" w:hAnsi="Times New Roman"/>
                <w:b/>
                <w:i/>
              </w:rPr>
              <w:t>в т.ч муниц. образованиям</w:t>
            </w:r>
          </w:p>
        </w:tc>
        <w:tc>
          <w:tcPr>
            <w:tcW w:w="1312" w:type="dxa"/>
          </w:tcPr>
          <w:p w14:paraId="7A33E43D" w14:textId="77777777" w:rsidR="00B823F8" w:rsidRPr="00A53AD7" w:rsidRDefault="00B823F8" w:rsidP="00B823F8">
            <w:pPr>
              <w:pStyle w:val="ad"/>
              <w:jc w:val="center"/>
              <w:rPr>
                <w:rFonts w:ascii="Times New Roman" w:hAnsi="Times New Roman"/>
                <w:b/>
                <w:i/>
              </w:rPr>
            </w:pPr>
            <w:r w:rsidRPr="00A53AD7">
              <w:rPr>
                <w:rFonts w:ascii="Times New Roman" w:hAnsi="Times New Roman"/>
                <w:b/>
                <w:i/>
              </w:rPr>
              <w:t>5 632,9</w:t>
            </w:r>
          </w:p>
        </w:tc>
        <w:tc>
          <w:tcPr>
            <w:tcW w:w="1281" w:type="dxa"/>
          </w:tcPr>
          <w:p w14:paraId="33C7F777" w14:textId="77777777" w:rsidR="00B823F8" w:rsidRPr="00A53AD7" w:rsidRDefault="00B823F8" w:rsidP="00B823F8">
            <w:pPr>
              <w:pStyle w:val="ad"/>
              <w:jc w:val="center"/>
              <w:rPr>
                <w:rFonts w:ascii="Times New Roman" w:hAnsi="Times New Roman"/>
                <w:b/>
                <w:i/>
              </w:rPr>
            </w:pPr>
            <w:r w:rsidRPr="00A53AD7">
              <w:rPr>
                <w:rFonts w:ascii="Times New Roman" w:hAnsi="Times New Roman"/>
                <w:b/>
                <w:i/>
              </w:rPr>
              <w:t>6 154,7</w:t>
            </w:r>
          </w:p>
        </w:tc>
        <w:tc>
          <w:tcPr>
            <w:tcW w:w="1412" w:type="dxa"/>
          </w:tcPr>
          <w:p w14:paraId="196D5B16" w14:textId="77777777" w:rsidR="00B823F8" w:rsidRPr="00A53AD7" w:rsidRDefault="00B823F8" w:rsidP="00B823F8">
            <w:pPr>
              <w:pStyle w:val="ad"/>
              <w:jc w:val="center"/>
              <w:rPr>
                <w:rFonts w:ascii="Times New Roman" w:hAnsi="Times New Roman"/>
                <w:b/>
                <w:i/>
              </w:rPr>
            </w:pPr>
            <w:r w:rsidRPr="00A53AD7">
              <w:rPr>
                <w:rFonts w:ascii="Times New Roman" w:hAnsi="Times New Roman"/>
                <w:b/>
                <w:i/>
              </w:rPr>
              <w:t>2 969,4</w:t>
            </w:r>
          </w:p>
        </w:tc>
        <w:tc>
          <w:tcPr>
            <w:tcW w:w="1192" w:type="dxa"/>
          </w:tcPr>
          <w:p w14:paraId="134C2014" w14:textId="0DBABF42" w:rsidR="00B823F8" w:rsidRPr="00A53AD7" w:rsidRDefault="00113AA0" w:rsidP="00B823F8">
            <w:pPr>
              <w:pStyle w:val="ad"/>
              <w:jc w:val="center"/>
              <w:rPr>
                <w:rFonts w:ascii="Times New Roman" w:hAnsi="Times New Roman"/>
                <w:b/>
                <w:i/>
              </w:rPr>
            </w:pPr>
            <w:r w:rsidRPr="00A53AD7">
              <w:rPr>
                <w:rFonts w:ascii="Times New Roman" w:hAnsi="Times New Roman"/>
                <w:b/>
                <w:i/>
              </w:rPr>
              <w:t>48,2</w:t>
            </w:r>
          </w:p>
        </w:tc>
      </w:tr>
    </w:tbl>
    <w:p w14:paraId="1A1243BC" w14:textId="5E7FBE2F" w:rsidR="002E78FB" w:rsidRPr="00A53AD7" w:rsidRDefault="007364DB" w:rsidP="002E78FB">
      <w:pPr>
        <w:spacing w:after="0" w:line="240" w:lineRule="auto"/>
      </w:pPr>
      <w:r w:rsidRPr="00A53AD7">
        <w:t xml:space="preserve"> </w:t>
      </w:r>
    </w:p>
    <w:p w14:paraId="5BE41A61" w14:textId="77777777" w:rsidR="00B823F8" w:rsidRPr="00A53AD7" w:rsidRDefault="00B823F8" w:rsidP="006D7A26">
      <w:pPr>
        <w:pStyle w:val="ad"/>
        <w:ind w:firstLine="851"/>
        <w:jc w:val="both"/>
        <w:rPr>
          <w:rFonts w:ascii="Times New Roman" w:hAnsi="Times New Roman"/>
          <w:sz w:val="28"/>
          <w:szCs w:val="28"/>
        </w:rPr>
      </w:pPr>
      <w:r w:rsidRPr="00A53AD7">
        <w:rPr>
          <w:rFonts w:ascii="Times New Roman" w:hAnsi="Times New Roman"/>
          <w:sz w:val="28"/>
          <w:szCs w:val="28"/>
        </w:rPr>
        <w:t>Исполнение государственных и иных программ Архангельской области главными распорядителями областного бюджета в части исполнения капитальных вложений характеризуется следующими показателями.</w:t>
      </w:r>
    </w:p>
    <w:p w14:paraId="58D4F093" w14:textId="092C6C07" w:rsidR="00B823F8" w:rsidRPr="00A53AD7" w:rsidRDefault="00B823F8" w:rsidP="006D7A26">
      <w:pPr>
        <w:pStyle w:val="ad"/>
        <w:ind w:firstLine="851"/>
        <w:jc w:val="both"/>
        <w:rPr>
          <w:rFonts w:ascii="Times New Roman" w:hAnsi="Times New Roman"/>
          <w:sz w:val="28"/>
          <w:szCs w:val="28"/>
        </w:rPr>
      </w:pPr>
      <w:r w:rsidRPr="00A53AD7">
        <w:rPr>
          <w:rFonts w:ascii="Times New Roman" w:hAnsi="Times New Roman"/>
          <w:sz w:val="28"/>
          <w:szCs w:val="28"/>
        </w:rPr>
        <w:t>1. ГП АО «Обеспечение качественным, доступным жильем и объектами инженерной инфраструктуры населения Архангельской области» запланированы расходы по пр</w:t>
      </w:r>
      <w:r w:rsidR="006D7A26" w:rsidRPr="00A53AD7">
        <w:rPr>
          <w:rFonts w:ascii="Times New Roman" w:hAnsi="Times New Roman"/>
          <w:sz w:val="28"/>
          <w:szCs w:val="28"/>
        </w:rPr>
        <w:t>иведенному количеству объектов:</w:t>
      </w:r>
    </w:p>
    <w:p w14:paraId="7C1E2279"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0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19"/>
        <w:gridCol w:w="1124"/>
        <w:gridCol w:w="1056"/>
        <w:gridCol w:w="1056"/>
        <w:gridCol w:w="1056"/>
        <w:gridCol w:w="1056"/>
        <w:gridCol w:w="1021"/>
        <w:gridCol w:w="992"/>
        <w:gridCol w:w="1126"/>
      </w:tblGrid>
      <w:tr w:rsidR="00D470B6" w:rsidRPr="00A53AD7" w14:paraId="16482EAF" w14:textId="77777777" w:rsidTr="003E1E89">
        <w:trPr>
          <w:tblHeader/>
        </w:trPr>
        <w:tc>
          <w:tcPr>
            <w:tcW w:w="1119" w:type="dxa"/>
          </w:tcPr>
          <w:p w14:paraId="2B1D6B74" w14:textId="77777777" w:rsidR="00B823F8" w:rsidRPr="00A53AD7" w:rsidRDefault="00B823F8" w:rsidP="003E1E89">
            <w:pPr>
              <w:pStyle w:val="ad"/>
              <w:jc w:val="center"/>
              <w:rPr>
                <w:rFonts w:ascii="Times New Roman" w:hAnsi="Times New Roman"/>
              </w:rPr>
            </w:pPr>
            <w:r w:rsidRPr="00A53AD7">
              <w:rPr>
                <w:rFonts w:ascii="Times New Roman" w:hAnsi="Times New Roman"/>
              </w:rPr>
              <w:t>На даты:</w:t>
            </w:r>
          </w:p>
        </w:tc>
        <w:tc>
          <w:tcPr>
            <w:tcW w:w="1124" w:type="dxa"/>
          </w:tcPr>
          <w:p w14:paraId="22AFFF68" w14:textId="77777777" w:rsidR="00B823F8" w:rsidRPr="00A53AD7" w:rsidRDefault="00B823F8" w:rsidP="003E1E89">
            <w:pPr>
              <w:pStyle w:val="ad"/>
              <w:jc w:val="center"/>
              <w:rPr>
                <w:rFonts w:ascii="Times New Roman" w:hAnsi="Times New Roman"/>
              </w:rPr>
            </w:pPr>
            <w:r w:rsidRPr="00A53AD7">
              <w:rPr>
                <w:rFonts w:ascii="Times New Roman" w:hAnsi="Times New Roman"/>
              </w:rPr>
              <w:t>01.01.19</w:t>
            </w:r>
          </w:p>
        </w:tc>
        <w:tc>
          <w:tcPr>
            <w:tcW w:w="1056" w:type="dxa"/>
          </w:tcPr>
          <w:p w14:paraId="54E61072" w14:textId="77777777" w:rsidR="00B823F8" w:rsidRPr="00A53AD7" w:rsidRDefault="00B823F8" w:rsidP="003E1E89">
            <w:pPr>
              <w:pStyle w:val="ad"/>
              <w:jc w:val="center"/>
              <w:rPr>
                <w:rFonts w:ascii="Times New Roman" w:hAnsi="Times New Roman"/>
              </w:rPr>
            </w:pPr>
            <w:r w:rsidRPr="00A53AD7">
              <w:rPr>
                <w:rFonts w:ascii="Times New Roman" w:hAnsi="Times New Roman"/>
              </w:rPr>
              <w:t>01.04.19</w:t>
            </w:r>
          </w:p>
        </w:tc>
        <w:tc>
          <w:tcPr>
            <w:tcW w:w="1056" w:type="dxa"/>
          </w:tcPr>
          <w:p w14:paraId="1911D330" w14:textId="77777777" w:rsidR="00B823F8" w:rsidRPr="00A53AD7" w:rsidRDefault="00B823F8" w:rsidP="003E1E89">
            <w:pPr>
              <w:pStyle w:val="ad"/>
              <w:jc w:val="center"/>
              <w:rPr>
                <w:rFonts w:ascii="Times New Roman" w:hAnsi="Times New Roman"/>
              </w:rPr>
            </w:pPr>
            <w:r w:rsidRPr="00A53AD7">
              <w:rPr>
                <w:rFonts w:ascii="Times New Roman" w:hAnsi="Times New Roman"/>
              </w:rPr>
              <w:t>02.07.19</w:t>
            </w:r>
          </w:p>
        </w:tc>
        <w:tc>
          <w:tcPr>
            <w:tcW w:w="1056" w:type="dxa"/>
          </w:tcPr>
          <w:p w14:paraId="5BDF8FE2" w14:textId="77777777" w:rsidR="00B823F8" w:rsidRPr="00A53AD7" w:rsidRDefault="00B823F8" w:rsidP="003E1E89">
            <w:pPr>
              <w:pStyle w:val="ad"/>
              <w:jc w:val="center"/>
              <w:rPr>
                <w:rFonts w:ascii="Times New Roman" w:hAnsi="Times New Roman"/>
              </w:rPr>
            </w:pPr>
            <w:r w:rsidRPr="00A53AD7">
              <w:rPr>
                <w:rFonts w:ascii="Times New Roman" w:hAnsi="Times New Roman"/>
              </w:rPr>
              <w:t>25.09.19</w:t>
            </w:r>
          </w:p>
        </w:tc>
        <w:tc>
          <w:tcPr>
            <w:tcW w:w="1056" w:type="dxa"/>
          </w:tcPr>
          <w:p w14:paraId="2A9FBAD4" w14:textId="77777777" w:rsidR="00B823F8" w:rsidRPr="00A53AD7" w:rsidRDefault="00B823F8" w:rsidP="003E1E89">
            <w:pPr>
              <w:pStyle w:val="ad"/>
              <w:jc w:val="center"/>
              <w:rPr>
                <w:rFonts w:ascii="Times New Roman" w:hAnsi="Times New Roman"/>
              </w:rPr>
            </w:pPr>
            <w:r w:rsidRPr="00A53AD7">
              <w:rPr>
                <w:rFonts w:ascii="Times New Roman" w:hAnsi="Times New Roman"/>
              </w:rPr>
              <w:t>19.11.19</w:t>
            </w:r>
          </w:p>
        </w:tc>
        <w:tc>
          <w:tcPr>
            <w:tcW w:w="1021" w:type="dxa"/>
          </w:tcPr>
          <w:p w14:paraId="4CCF15CE" w14:textId="77777777" w:rsidR="00B823F8" w:rsidRPr="00A53AD7" w:rsidRDefault="00B823F8" w:rsidP="003E1E89">
            <w:pPr>
              <w:pStyle w:val="ad"/>
              <w:jc w:val="center"/>
              <w:rPr>
                <w:rFonts w:ascii="Times New Roman" w:hAnsi="Times New Roman"/>
              </w:rPr>
            </w:pPr>
            <w:r w:rsidRPr="00A53AD7">
              <w:rPr>
                <w:rFonts w:ascii="Times New Roman" w:hAnsi="Times New Roman"/>
              </w:rPr>
              <w:t>13.12.19</w:t>
            </w:r>
          </w:p>
        </w:tc>
        <w:tc>
          <w:tcPr>
            <w:tcW w:w="992" w:type="dxa"/>
          </w:tcPr>
          <w:p w14:paraId="3F8461EB" w14:textId="77777777" w:rsidR="00B823F8" w:rsidRPr="00A53AD7" w:rsidRDefault="00B823F8" w:rsidP="003E1E89">
            <w:pPr>
              <w:pStyle w:val="ad"/>
              <w:jc w:val="center"/>
              <w:rPr>
                <w:rFonts w:ascii="Times New Roman" w:hAnsi="Times New Roman"/>
              </w:rPr>
            </w:pPr>
            <w:r w:rsidRPr="00A53AD7">
              <w:rPr>
                <w:rFonts w:ascii="Times New Roman" w:hAnsi="Times New Roman"/>
              </w:rPr>
              <w:t>Отчет на 31.12.19</w:t>
            </w:r>
          </w:p>
        </w:tc>
        <w:tc>
          <w:tcPr>
            <w:tcW w:w="1126" w:type="dxa"/>
          </w:tcPr>
          <w:p w14:paraId="54AD454B" w14:textId="58DE5426" w:rsidR="00B823F8" w:rsidRPr="00A53AD7" w:rsidRDefault="00B823F8" w:rsidP="003E1E89">
            <w:pPr>
              <w:pStyle w:val="ad"/>
              <w:ind w:left="-116" w:firstLine="116"/>
              <w:jc w:val="center"/>
              <w:rPr>
                <w:rFonts w:ascii="Times New Roman" w:hAnsi="Times New Roman"/>
              </w:rPr>
            </w:pPr>
            <w:r w:rsidRPr="00A53AD7">
              <w:rPr>
                <w:rFonts w:ascii="Times New Roman" w:hAnsi="Times New Roman"/>
              </w:rPr>
              <w:t>Исполнено в %</w:t>
            </w:r>
          </w:p>
        </w:tc>
      </w:tr>
      <w:tr w:rsidR="00D470B6" w:rsidRPr="00A53AD7" w14:paraId="7EFF3666" w14:textId="77777777" w:rsidTr="002C331C">
        <w:tc>
          <w:tcPr>
            <w:tcW w:w="1119" w:type="dxa"/>
          </w:tcPr>
          <w:p w14:paraId="6A339A48" w14:textId="77777777" w:rsidR="00B823F8" w:rsidRPr="00A53AD7" w:rsidRDefault="00B823F8" w:rsidP="002C331C">
            <w:pPr>
              <w:pStyle w:val="ad"/>
              <w:ind w:right="-108" w:hanging="113"/>
              <w:rPr>
                <w:rFonts w:ascii="Times New Roman" w:hAnsi="Times New Roman"/>
              </w:rPr>
            </w:pPr>
            <w:r w:rsidRPr="00A53AD7">
              <w:rPr>
                <w:rFonts w:ascii="Times New Roman" w:hAnsi="Times New Roman"/>
              </w:rPr>
              <w:t xml:space="preserve">Сумма </w:t>
            </w:r>
          </w:p>
        </w:tc>
        <w:tc>
          <w:tcPr>
            <w:tcW w:w="1124" w:type="dxa"/>
          </w:tcPr>
          <w:p w14:paraId="58B2AA86" w14:textId="77777777" w:rsidR="00B823F8" w:rsidRPr="00A53AD7" w:rsidRDefault="00B823F8" w:rsidP="00B823F8">
            <w:pPr>
              <w:pStyle w:val="ad"/>
              <w:jc w:val="center"/>
              <w:rPr>
                <w:rFonts w:ascii="Times New Roman" w:hAnsi="Times New Roman"/>
              </w:rPr>
            </w:pPr>
            <w:r w:rsidRPr="00A53AD7">
              <w:rPr>
                <w:rFonts w:ascii="Times New Roman" w:hAnsi="Times New Roman"/>
              </w:rPr>
              <w:t>193,7</w:t>
            </w:r>
          </w:p>
        </w:tc>
        <w:tc>
          <w:tcPr>
            <w:tcW w:w="1056" w:type="dxa"/>
          </w:tcPr>
          <w:p w14:paraId="5944C5DF" w14:textId="77777777" w:rsidR="00B823F8" w:rsidRPr="00A53AD7" w:rsidRDefault="00B823F8" w:rsidP="00B823F8">
            <w:pPr>
              <w:pStyle w:val="ad"/>
              <w:jc w:val="center"/>
              <w:rPr>
                <w:rFonts w:ascii="Times New Roman" w:hAnsi="Times New Roman"/>
              </w:rPr>
            </w:pPr>
            <w:r w:rsidRPr="00A53AD7">
              <w:rPr>
                <w:rFonts w:ascii="Times New Roman" w:hAnsi="Times New Roman"/>
              </w:rPr>
              <w:t>336,2</w:t>
            </w:r>
          </w:p>
        </w:tc>
        <w:tc>
          <w:tcPr>
            <w:tcW w:w="1056" w:type="dxa"/>
          </w:tcPr>
          <w:p w14:paraId="3E67EB21" w14:textId="77777777" w:rsidR="00B823F8" w:rsidRPr="00A53AD7" w:rsidRDefault="00B823F8" w:rsidP="00B823F8">
            <w:pPr>
              <w:pStyle w:val="ad"/>
              <w:jc w:val="center"/>
              <w:rPr>
                <w:rFonts w:ascii="Times New Roman" w:hAnsi="Times New Roman"/>
              </w:rPr>
            </w:pPr>
            <w:r w:rsidRPr="00A53AD7">
              <w:rPr>
                <w:rFonts w:ascii="Times New Roman" w:hAnsi="Times New Roman"/>
              </w:rPr>
              <w:t>171,3</w:t>
            </w:r>
          </w:p>
        </w:tc>
        <w:tc>
          <w:tcPr>
            <w:tcW w:w="1056" w:type="dxa"/>
          </w:tcPr>
          <w:p w14:paraId="33B43924" w14:textId="77777777" w:rsidR="00B823F8" w:rsidRPr="00A53AD7" w:rsidRDefault="00B823F8" w:rsidP="00B823F8">
            <w:pPr>
              <w:pStyle w:val="ad"/>
              <w:jc w:val="center"/>
              <w:rPr>
                <w:rFonts w:ascii="Times New Roman" w:hAnsi="Times New Roman"/>
              </w:rPr>
            </w:pPr>
            <w:r w:rsidRPr="00A53AD7">
              <w:rPr>
                <w:rFonts w:ascii="Times New Roman" w:hAnsi="Times New Roman"/>
              </w:rPr>
              <w:t>177,8</w:t>
            </w:r>
          </w:p>
        </w:tc>
        <w:tc>
          <w:tcPr>
            <w:tcW w:w="1056" w:type="dxa"/>
          </w:tcPr>
          <w:p w14:paraId="2400DFFD" w14:textId="77777777" w:rsidR="00B823F8" w:rsidRPr="00A53AD7" w:rsidRDefault="00B823F8" w:rsidP="00B823F8">
            <w:pPr>
              <w:pStyle w:val="ad"/>
              <w:jc w:val="center"/>
              <w:rPr>
                <w:rFonts w:ascii="Times New Roman" w:hAnsi="Times New Roman"/>
              </w:rPr>
            </w:pPr>
            <w:r w:rsidRPr="00A53AD7">
              <w:rPr>
                <w:rFonts w:ascii="Times New Roman" w:hAnsi="Times New Roman"/>
              </w:rPr>
              <w:t>223,8</w:t>
            </w:r>
          </w:p>
        </w:tc>
        <w:tc>
          <w:tcPr>
            <w:tcW w:w="1021" w:type="dxa"/>
          </w:tcPr>
          <w:p w14:paraId="509DB271" w14:textId="77777777" w:rsidR="00B823F8" w:rsidRPr="00A53AD7" w:rsidRDefault="00B823F8" w:rsidP="00B823F8">
            <w:pPr>
              <w:pStyle w:val="ad"/>
              <w:jc w:val="center"/>
              <w:rPr>
                <w:rFonts w:ascii="Times New Roman" w:hAnsi="Times New Roman"/>
              </w:rPr>
            </w:pPr>
            <w:r w:rsidRPr="00A53AD7">
              <w:rPr>
                <w:rFonts w:ascii="Times New Roman" w:hAnsi="Times New Roman"/>
              </w:rPr>
              <w:t>215,8</w:t>
            </w:r>
          </w:p>
        </w:tc>
        <w:tc>
          <w:tcPr>
            <w:tcW w:w="992" w:type="dxa"/>
          </w:tcPr>
          <w:p w14:paraId="4CD38878" w14:textId="77777777" w:rsidR="00B823F8" w:rsidRPr="00A53AD7" w:rsidRDefault="00B823F8" w:rsidP="00B823F8">
            <w:pPr>
              <w:pStyle w:val="ad"/>
              <w:jc w:val="center"/>
              <w:rPr>
                <w:rFonts w:ascii="Times New Roman" w:hAnsi="Times New Roman"/>
              </w:rPr>
            </w:pPr>
            <w:r w:rsidRPr="00A53AD7">
              <w:rPr>
                <w:rFonts w:ascii="Times New Roman" w:hAnsi="Times New Roman"/>
              </w:rPr>
              <w:t>155,6</w:t>
            </w:r>
          </w:p>
        </w:tc>
        <w:tc>
          <w:tcPr>
            <w:tcW w:w="1126" w:type="dxa"/>
          </w:tcPr>
          <w:p w14:paraId="6A274140" w14:textId="4A65441A" w:rsidR="00B823F8" w:rsidRPr="00A53AD7" w:rsidRDefault="000355C5" w:rsidP="00B823F8">
            <w:pPr>
              <w:pStyle w:val="ad"/>
              <w:jc w:val="center"/>
              <w:rPr>
                <w:rFonts w:ascii="Times New Roman" w:hAnsi="Times New Roman"/>
              </w:rPr>
            </w:pPr>
            <w:r w:rsidRPr="00A53AD7">
              <w:rPr>
                <w:rFonts w:ascii="Times New Roman" w:hAnsi="Times New Roman"/>
              </w:rPr>
              <w:t>72,1</w:t>
            </w:r>
          </w:p>
        </w:tc>
      </w:tr>
      <w:tr w:rsidR="00D470B6" w:rsidRPr="00A53AD7" w14:paraId="2CBF2BD1" w14:textId="77777777" w:rsidTr="002C331C">
        <w:tc>
          <w:tcPr>
            <w:tcW w:w="1119" w:type="dxa"/>
          </w:tcPr>
          <w:p w14:paraId="1FD6D474" w14:textId="77777777" w:rsidR="00B823F8" w:rsidRPr="00A53AD7" w:rsidRDefault="00B823F8" w:rsidP="002C331C">
            <w:pPr>
              <w:pStyle w:val="ad"/>
              <w:ind w:right="-108" w:hanging="113"/>
              <w:rPr>
                <w:rFonts w:ascii="Times New Roman" w:hAnsi="Times New Roman"/>
              </w:rPr>
            </w:pPr>
            <w:r w:rsidRPr="00A53AD7">
              <w:rPr>
                <w:rFonts w:ascii="Times New Roman" w:hAnsi="Times New Roman"/>
              </w:rPr>
              <w:t>кол-во объектов</w:t>
            </w:r>
          </w:p>
        </w:tc>
        <w:tc>
          <w:tcPr>
            <w:tcW w:w="1124" w:type="dxa"/>
          </w:tcPr>
          <w:p w14:paraId="0FA1211D" w14:textId="77777777" w:rsidR="00B823F8" w:rsidRPr="00A53AD7" w:rsidRDefault="00B823F8" w:rsidP="00B823F8">
            <w:pPr>
              <w:pStyle w:val="ad"/>
              <w:jc w:val="center"/>
              <w:rPr>
                <w:rFonts w:ascii="Times New Roman" w:hAnsi="Times New Roman"/>
              </w:rPr>
            </w:pPr>
          </w:p>
          <w:p w14:paraId="33800724"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056" w:type="dxa"/>
          </w:tcPr>
          <w:p w14:paraId="519EACFE" w14:textId="77777777" w:rsidR="00B823F8" w:rsidRPr="00A53AD7" w:rsidRDefault="00B823F8" w:rsidP="00B823F8">
            <w:pPr>
              <w:pStyle w:val="ad"/>
              <w:jc w:val="center"/>
              <w:rPr>
                <w:rFonts w:ascii="Times New Roman" w:hAnsi="Times New Roman"/>
              </w:rPr>
            </w:pPr>
          </w:p>
          <w:p w14:paraId="4F5F7FF6" w14:textId="77777777" w:rsidR="00B823F8" w:rsidRPr="00A53AD7" w:rsidRDefault="00B823F8" w:rsidP="00B823F8">
            <w:pPr>
              <w:pStyle w:val="ad"/>
              <w:jc w:val="center"/>
              <w:rPr>
                <w:rFonts w:ascii="Times New Roman" w:hAnsi="Times New Roman"/>
              </w:rPr>
            </w:pPr>
            <w:r w:rsidRPr="00A53AD7">
              <w:rPr>
                <w:rFonts w:ascii="Times New Roman" w:hAnsi="Times New Roman"/>
              </w:rPr>
              <w:t>9</w:t>
            </w:r>
          </w:p>
        </w:tc>
        <w:tc>
          <w:tcPr>
            <w:tcW w:w="1056" w:type="dxa"/>
          </w:tcPr>
          <w:p w14:paraId="1DBCEB98" w14:textId="77777777" w:rsidR="00B823F8" w:rsidRPr="00A53AD7" w:rsidRDefault="00B823F8" w:rsidP="00B823F8">
            <w:pPr>
              <w:pStyle w:val="ad"/>
              <w:jc w:val="center"/>
              <w:rPr>
                <w:rFonts w:ascii="Times New Roman" w:hAnsi="Times New Roman"/>
              </w:rPr>
            </w:pPr>
          </w:p>
          <w:p w14:paraId="73A6D6EB" w14:textId="77777777" w:rsidR="00B823F8" w:rsidRPr="00A53AD7" w:rsidRDefault="00B823F8" w:rsidP="00B823F8">
            <w:pPr>
              <w:pStyle w:val="ad"/>
              <w:jc w:val="center"/>
              <w:rPr>
                <w:rFonts w:ascii="Times New Roman" w:hAnsi="Times New Roman"/>
              </w:rPr>
            </w:pPr>
            <w:r w:rsidRPr="00A53AD7">
              <w:rPr>
                <w:rFonts w:ascii="Times New Roman" w:hAnsi="Times New Roman"/>
              </w:rPr>
              <w:t>11</w:t>
            </w:r>
          </w:p>
        </w:tc>
        <w:tc>
          <w:tcPr>
            <w:tcW w:w="1056" w:type="dxa"/>
          </w:tcPr>
          <w:p w14:paraId="628FF81F" w14:textId="77777777" w:rsidR="00B823F8" w:rsidRPr="00A53AD7" w:rsidRDefault="00B823F8" w:rsidP="00B823F8">
            <w:pPr>
              <w:pStyle w:val="ad"/>
              <w:jc w:val="center"/>
              <w:rPr>
                <w:rFonts w:ascii="Times New Roman" w:hAnsi="Times New Roman"/>
              </w:rPr>
            </w:pPr>
          </w:p>
          <w:p w14:paraId="482E95C0"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056" w:type="dxa"/>
          </w:tcPr>
          <w:p w14:paraId="3E33D472" w14:textId="77777777" w:rsidR="00B823F8" w:rsidRPr="00A53AD7" w:rsidRDefault="00B823F8" w:rsidP="00B823F8">
            <w:pPr>
              <w:pStyle w:val="ad"/>
              <w:jc w:val="center"/>
              <w:rPr>
                <w:rFonts w:ascii="Times New Roman" w:hAnsi="Times New Roman"/>
              </w:rPr>
            </w:pPr>
          </w:p>
          <w:p w14:paraId="6569F041" w14:textId="77777777" w:rsidR="00B823F8" w:rsidRPr="00A53AD7" w:rsidRDefault="00B823F8" w:rsidP="00B823F8">
            <w:pPr>
              <w:pStyle w:val="ad"/>
              <w:jc w:val="center"/>
              <w:rPr>
                <w:rFonts w:ascii="Times New Roman" w:hAnsi="Times New Roman"/>
              </w:rPr>
            </w:pPr>
            <w:r w:rsidRPr="00A53AD7">
              <w:rPr>
                <w:rFonts w:ascii="Times New Roman" w:hAnsi="Times New Roman"/>
              </w:rPr>
              <w:t>11</w:t>
            </w:r>
          </w:p>
        </w:tc>
        <w:tc>
          <w:tcPr>
            <w:tcW w:w="1021" w:type="dxa"/>
          </w:tcPr>
          <w:p w14:paraId="2C32DB76" w14:textId="77777777" w:rsidR="00B823F8" w:rsidRPr="00A53AD7" w:rsidRDefault="00B823F8" w:rsidP="00B823F8">
            <w:pPr>
              <w:pStyle w:val="ad"/>
              <w:jc w:val="center"/>
              <w:rPr>
                <w:rFonts w:ascii="Times New Roman" w:hAnsi="Times New Roman"/>
              </w:rPr>
            </w:pPr>
          </w:p>
          <w:p w14:paraId="3619FC49" w14:textId="77777777" w:rsidR="00B823F8" w:rsidRPr="00A53AD7" w:rsidRDefault="00B823F8" w:rsidP="00B823F8">
            <w:pPr>
              <w:pStyle w:val="ad"/>
              <w:jc w:val="center"/>
              <w:rPr>
                <w:rFonts w:ascii="Times New Roman" w:hAnsi="Times New Roman"/>
              </w:rPr>
            </w:pPr>
            <w:r w:rsidRPr="00A53AD7">
              <w:rPr>
                <w:rFonts w:ascii="Times New Roman" w:hAnsi="Times New Roman"/>
              </w:rPr>
              <w:t>11</w:t>
            </w:r>
          </w:p>
        </w:tc>
        <w:tc>
          <w:tcPr>
            <w:tcW w:w="992" w:type="dxa"/>
          </w:tcPr>
          <w:p w14:paraId="1DF03BC3" w14:textId="77777777" w:rsidR="00B823F8" w:rsidRPr="00A53AD7" w:rsidRDefault="00B823F8" w:rsidP="00B823F8">
            <w:pPr>
              <w:pStyle w:val="ad"/>
              <w:jc w:val="center"/>
              <w:rPr>
                <w:rFonts w:ascii="Times New Roman" w:hAnsi="Times New Roman"/>
              </w:rPr>
            </w:pPr>
          </w:p>
          <w:p w14:paraId="24316702" w14:textId="77777777" w:rsidR="00B823F8" w:rsidRPr="00A53AD7" w:rsidRDefault="00B823F8" w:rsidP="00B823F8">
            <w:pPr>
              <w:pStyle w:val="ad"/>
              <w:jc w:val="center"/>
              <w:rPr>
                <w:rFonts w:ascii="Times New Roman" w:hAnsi="Times New Roman"/>
              </w:rPr>
            </w:pPr>
            <w:r w:rsidRPr="00A53AD7">
              <w:rPr>
                <w:rFonts w:ascii="Times New Roman" w:hAnsi="Times New Roman"/>
              </w:rPr>
              <w:t>10</w:t>
            </w:r>
          </w:p>
        </w:tc>
        <w:tc>
          <w:tcPr>
            <w:tcW w:w="1126" w:type="dxa"/>
          </w:tcPr>
          <w:p w14:paraId="16496FED" w14:textId="77777777" w:rsidR="00B823F8" w:rsidRPr="00A53AD7" w:rsidRDefault="00B823F8" w:rsidP="00B823F8">
            <w:pPr>
              <w:pStyle w:val="ad"/>
              <w:jc w:val="center"/>
              <w:rPr>
                <w:rFonts w:ascii="Times New Roman" w:hAnsi="Times New Roman"/>
              </w:rPr>
            </w:pPr>
          </w:p>
          <w:p w14:paraId="1A57936B" w14:textId="550CAB64" w:rsidR="00B823F8" w:rsidRPr="00A53AD7" w:rsidRDefault="000355C5" w:rsidP="00B823F8">
            <w:pPr>
              <w:pStyle w:val="ad"/>
              <w:jc w:val="center"/>
              <w:rPr>
                <w:rFonts w:ascii="Times New Roman" w:hAnsi="Times New Roman"/>
              </w:rPr>
            </w:pPr>
            <w:r w:rsidRPr="00A53AD7">
              <w:rPr>
                <w:rFonts w:ascii="Times New Roman" w:hAnsi="Times New Roman"/>
              </w:rPr>
              <w:t>90,9</w:t>
            </w:r>
          </w:p>
        </w:tc>
      </w:tr>
      <w:tr w:rsidR="00D470B6" w:rsidRPr="00A53AD7" w14:paraId="72463A2F" w14:textId="77777777" w:rsidTr="002C331C">
        <w:tc>
          <w:tcPr>
            <w:tcW w:w="1119" w:type="dxa"/>
          </w:tcPr>
          <w:p w14:paraId="3D00B064" w14:textId="77777777" w:rsidR="00B823F8" w:rsidRPr="00A53AD7" w:rsidRDefault="00B823F8" w:rsidP="002C331C">
            <w:pPr>
              <w:pStyle w:val="ad"/>
              <w:ind w:hanging="113"/>
              <w:rPr>
                <w:rFonts w:ascii="Times New Roman" w:hAnsi="Times New Roman"/>
              </w:rPr>
            </w:pPr>
            <w:r w:rsidRPr="00A53AD7">
              <w:rPr>
                <w:rFonts w:ascii="Times New Roman" w:hAnsi="Times New Roman"/>
              </w:rPr>
              <w:t>(+, -) сумма</w:t>
            </w:r>
          </w:p>
        </w:tc>
        <w:tc>
          <w:tcPr>
            <w:tcW w:w="1124" w:type="dxa"/>
          </w:tcPr>
          <w:p w14:paraId="5E7BC065" w14:textId="77777777" w:rsidR="00B823F8" w:rsidRPr="00A53AD7" w:rsidRDefault="00B823F8" w:rsidP="00B823F8">
            <w:pPr>
              <w:pStyle w:val="ad"/>
              <w:jc w:val="center"/>
              <w:rPr>
                <w:rFonts w:ascii="Times New Roman" w:hAnsi="Times New Roman"/>
              </w:rPr>
            </w:pPr>
          </w:p>
        </w:tc>
        <w:tc>
          <w:tcPr>
            <w:tcW w:w="1056" w:type="dxa"/>
          </w:tcPr>
          <w:p w14:paraId="4C90DB40" w14:textId="77777777" w:rsidR="00B823F8" w:rsidRPr="00A53AD7" w:rsidRDefault="00B823F8" w:rsidP="00B823F8">
            <w:pPr>
              <w:pStyle w:val="ad"/>
              <w:jc w:val="center"/>
              <w:rPr>
                <w:rFonts w:ascii="Times New Roman" w:hAnsi="Times New Roman"/>
              </w:rPr>
            </w:pPr>
            <w:r w:rsidRPr="00A53AD7">
              <w:rPr>
                <w:rFonts w:ascii="Times New Roman" w:hAnsi="Times New Roman"/>
              </w:rPr>
              <w:t>+142,5</w:t>
            </w:r>
          </w:p>
        </w:tc>
        <w:tc>
          <w:tcPr>
            <w:tcW w:w="1056" w:type="dxa"/>
          </w:tcPr>
          <w:p w14:paraId="6C380A0D" w14:textId="77777777" w:rsidR="00B823F8" w:rsidRPr="00A53AD7" w:rsidRDefault="00B823F8" w:rsidP="00B823F8">
            <w:pPr>
              <w:pStyle w:val="ad"/>
              <w:jc w:val="center"/>
              <w:rPr>
                <w:rFonts w:ascii="Times New Roman" w:hAnsi="Times New Roman"/>
              </w:rPr>
            </w:pPr>
            <w:r w:rsidRPr="00A53AD7">
              <w:rPr>
                <w:rFonts w:ascii="Times New Roman" w:hAnsi="Times New Roman"/>
              </w:rPr>
              <w:t>-164,9</w:t>
            </w:r>
          </w:p>
        </w:tc>
        <w:tc>
          <w:tcPr>
            <w:tcW w:w="1056" w:type="dxa"/>
          </w:tcPr>
          <w:p w14:paraId="3CE692D4" w14:textId="77777777" w:rsidR="00B823F8" w:rsidRPr="00A53AD7" w:rsidRDefault="00B823F8" w:rsidP="00B823F8">
            <w:pPr>
              <w:pStyle w:val="ad"/>
              <w:jc w:val="center"/>
              <w:rPr>
                <w:rFonts w:ascii="Times New Roman" w:hAnsi="Times New Roman"/>
              </w:rPr>
            </w:pPr>
            <w:r w:rsidRPr="00A53AD7">
              <w:rPr>
                <w:rFonts w:ascii="Times New Roman" w:hAnsi="Times New Roman"/>
              </w:rPr>
              <w:t>+6,5</w:t>
            </w:r>
          </w:p>
        </w:tc>
        <w:tc>
          <w:tcPr>
            <w:tcW w:w="1056" w:type="dxa"/>
          </w:tcPr>
          <w:p w14:paraId="749B9D76" w14:textId="77777777" w:rsidR="00B823F8" w:rsidRPr="00A53AD7" w:rsidRDefault="00B823F8" w:rsidP="00B823F8">
            <w:pPr>
              <w:pStyle w:val="ad"/>
              <w:jc w:val="center"/>
              <w:rPr>
                <w:rFonts w:ascii="Times New Roman" w:hAnsi="Times New Roman"/>
              </w:rPr>
            </w:pPr>
            <w:r w:rsidRPr="00A53AD7">
              <w:rPr>
                <w:rFonts w:ascii="Times New Roman" w:hAnsi="Times New Roman"/>
              </w:rPr>
              <w:t>+46,0</w:t>
            </w:r>
          </w:p>
        </w:tc>
        <w:tc>
          <w:tcPr>
            <w:tcW w:w="1021" w:type="dxa"/>
          </w:tcPr>
          <w:p w14:paraId="10F4BEE4"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c>
          <w:tcPr>
            <w:tcW w:w="992" w:type="dxa"/>
          </w:tcPr>
          <w:p w14:paraId="184BF098" w14:textId="77777777" w:rsidR="00B823F8" w:rsidRPr="00A53AD7" w:rsidRDefault="00B823F8" w:rsidP="00B823F8">
            <w:pPr>
              <w:pStyle w:val="ad"/>
              <w:jc w:val="center"/>
              <w:rPr>
                <w:rFonts w:ascii="Times New Roman" w:hAnsi="Times New Roman"/>
              </w:rPr>
            </w:pPr>
          </w:p>
        </w:tc>
        <w:tc>
          <w:tcPr>
            <w:tcW w:w="1126" w:type="dxa"/>
          </w:tcPr>
          <w:p w14:paraId="3459C0CD" w14:textId="77777777" w:rsidR="00B823F8" w:rsidRPr="00A53AD7" w:rsidRDefault="00B823F8" w:rsidP="00B823F8">
            <w:pPr>
              <w:pStyle w:val="ad"/>
              <w:jc w:val="center"/>
              <w:rPr>
                <w:rFonts w:ascii="Times New Roman" w:hAnsi="Times New Roman"/>
              </w:rPr>
            </w:pPr>
          </w:p>
        </w:tc>
      </w:tr>
      <w:tr w:rsidR="00B823F8" w:rsidRPr="00A53AD7" w14:paraId="04ED4C95" w14:textId="77777777" w:rsidTr="002C331C">
        <w:tc>
          <w:tcPr>
            <w:tcW w:w="1119" w:type="dxa"/>
          </w:tcPr>
          <w:p w14:paraId="0B330261"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объекты</w:t>
            </w:r>
          </w:p>
        </w:tc>
        <w:tc>
          <w:tcPr>
            <w:tcW w:w="1124" w:type="dxa"/>
          </w:tcPr>
          <w:p w14:paraId="3EEF0CE5" w14:textId="77777777" w:rsidR="00B823F8" w:rsidRPr="00A53AD7" w:rsidRDefault="00B823F8" w:rsidP="00B823F8">
            <w:pPr>
              <w:pStyle w:val="ad"/>
              <w:jc w:val="center"/>
              <w:rPr>
                <w:rFonts w:ascii="Times New Roman" w:hAnsi="Times New Roman"/>
              </w:rPr>
            </w:pPr>
          </w:p>
        </w:tc>
        <w:tc>
          <w:tcPr>
            <w:tcW w:w="1056" w:type="dxa"/>
          </w:tcPr>
          <w:p w14:paraId="73CE75DE"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056" w:type="dxa"/>
          </w:tcPr>
          <w:p w14:paraId="528CCD31"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7EA8C144"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2B0B4032"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21" w:type="dxa"/>
          </w:tcPr>
          <w:p w14:paraId="69AA869E"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992" w:type="dxa"/>
          </w:tcPr>
          <w:p w14:paraId="4DFB4E0A" w14:textId="77777777" w:rsidR="00B823F8" w:rsidRPr="00A53AD7" w:rsidRDefault="00B823F8" w:rsidP="00B823F8">
            <w:pPr>
              <w:pStyle w:val="ad"/>
              <w:jc w:val="center"/>
              <w:rPr>
                <w:rFonts w:ascii="Times New Roman" w:hAnsi="Times New Roman"/>
              </w:rPr>
            </w:pPr>
          </w:p>
        </w:tc>
        <w:tc>
          <w:tcPr>
            <w:tcW w:w="1126" w:type="dxa"/>
          </w:tcPr>
          <w:p w14:paraId="3CEDAC07" w14:textId="77777777" w:rsidR="00B823F8" w:rsidRPr="00A53AD7" w:rsidRDefault="00B823F8" w:rsidP="00B823F8">
            <w:pPr>
              <w:pStyle w:val="ad"/>
              <w:jc w:val="center"/>
              <w:rPr>
                <w:rFonts w:ascii="Times New Roman" w:hAnsi="Times New Roman"/>
              </w:rPr>
            </w:pPr>
          </w:p>
        </w:tc>
      </w:tr>
    </w:tbl>
    <w:p w14:paraId="1E9FA0E9" w14:textId="77777777" w:rsidR="00B823F8" w:rsidRPr="00A53AD7" w:rsidRDefault="00B823F8" w:rsidP="00B823F8">
      <w:pPr>
        <w:pStyle w:val="ad"/>
        <w:ind w:firstLine="709"/>
        <w:jc w:val="both"/>
        <w:rPr>
          <w:rFonts w:ascii="Times New Roman" w:hAnsi="Times New Roman"/>
          <w:sz w:val="28"/>
          <w:szCs w:val="28"/>
          <w:highlight w:val="cyan"/>
        </w:rPr>
      </w:pPr>
    </w:p>
    <w:p w14:paraId="6CECC7A2" w14:textId="4746AB1B" w:rsidR="00B823F8" w:rsidRPr="00A53AD7" w:rsidRDefault="00B823F8" w:rsidP="003E1E89">
      <w:pPr>
        <w:pStyle w:val="ad"/>
        <w:ind w:firstLine="851"/>
        <w:jc w:val="both"/>
        <w:rPr>
          <w:rFonts w:ascii="Times New Roman" w:hAnsi="Times New Roman"/>
          <w:sz w:val="28"/>
          <w:szCs w:val="28"/>
        </w:rPr>
      </w:pPr>
      <w:r w:rsidRPr="00A53AD7">
        <w:rPr>
          <w:rFonts w:ascii="Times New Roman" w:hAnsi="Times New Roman"/>
          <w:sz w:val="28"/>
          <w:szCs w:val="28"/>
        </w:rPr>
        <w:t xml:space="preserve">Главный распорядитель программы </w:t>
      </w:r>
      <w:r w:rsidR="00451A72" w:rsidRPr="00A53AD7">
        <w:rPr>
          <w:rFonts w:ascii="Times New Roman" w:hAnsi="Times New Roman"/>
          <w:sz w:val="28"/>
          <w:szCs w:val="28"/>
        </w:rPr>
        <w:t xml:space="preserve">– </w:t>
      </w:r>
      <w:r w:rsidRPr="00A53AD7">
        <w:rPr>
          <w:rFonts w:ascii="Times New Roman" w:hAnsi="Times New Roman"/>
          <w:sz w:val="28"/>
          <w:szCs w:val="28"/>
        </w:rPr>
        <w:t>министерство строительства и архитектуры.</w:t>
      </w:r>
    </w:p>
    <w:p w14:paraId="52B38C82" w14:textId="7DBA830C" w:rsidR="00B823F8" w:rsidRPr="00A53AD7" w:rsidRDefault="00B823F8" w:rsidP="003E1E89">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4D223E67"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962"/>
        <w:gridCol w:w="1665"/>
        <w:gridCol w:w="1559"/>
        <w:gridCol w:w="1560"/>
        <w:gridCol w:w="1559"/>
      </w:tblGrid>
      <w:tr w:rsidR="00D470B6" w:rsidRPr="00A53AD7" w14:paraId="1A4A3E67" w14:textId="77777777" w:rsidTr="008927EB">
        <w:tc>
          <w:tcPr>
            <w:tcW w:w="2962" w:type="dxa"/>
          </w:tcPr>
          <w:p w14:paraId="35C0D3D4" w14:textId="77777777" w:rsidR="00B823F8" w:rsidRPr="00A53AD7" w:rsidRDefault="00B823F8" w:rsidP="00B823F8">
            <w:pPr>
              <w:pStyle w:val="ad"/>
              <w:jc w:val="both"/>
              <w:rPr>
                <w:rFonts w:ascii="Times New Roman" w:hAnsi="Times New Roman"/>
              </w:rPr>
            </w:pPr>
          </w:p>
        </w:tc>
        <w:tc>
          <w:tcPr>
            <w:tcW w:w="1665" w:type="dxa"/>
          </w:tcPr>
          <w:p w14:paraId="418B40C2" w14:textId="77777777" w:rsidR="00B823F8" w:rsidRPr="00A53AD7" w:rsidRDefault="00B823F8" w:rsidP="008927EB">
            <w:pPr>
              <w:pStyle w:val="ad"/>
              <w:jc w:val="center"/>
              <w:rPr>
                <w:rFonts w:ascii="Times New Roman" w:hAnsi="Times New Roman"/>
              </w:rPr>
            </w:pPr>
            <w:r w:rsidRPr="00A53AD7">
              <w:rPr>
                <w:rFonts w:ascii="Times New Roman" w:hAnsi="Times New Roman"/>
              </w:rPr>
              <w:t>На 01.04.2019</w:t>
            </w:r>
          </w:p>
        </w:tc>
        <w:tc>
          <w:tcPr>
            <w:tcW w:w="1559" w:type="dxa"/>
          </w:tcPr>
          <w:p w14:paraId="16403D07" w14:textId="77777777" w:rsidR="00B823F8" w:rsidRPr="00A53AD7" w:rsidRDefault="00B823F8" w:rsidP="008927EB">
            <w:pPr>
              <w:pStyle w:val="ad"/>
              <w:jc w:val="center"/>
              <w:rPr>
                <w:rFonts w:ascii="Times New Roman" w:hAnsi="Times New Roman"/>
              </w:rPr>
            </w:pPr>
            <w:r w:rsidRPr="00A53AD7">
              <w:rPr>
                <w:rFonts w:ascii="Times New Roman" w:hAnsi="Times New Roman"/>
              </w:rPr>
              <w:t>На 01.07.2019</w:t>
            </w:r>
          </w:p>
        </w:tc>
        <w:tc>
          <w:tcPr>
            <w:tcW w:w="1560" w:type="dxa"/>
          </w:tcPr>
          <w:p w14:paraId="3971F442" w14:textId="77777777" w:rsidR="00B823F8" w:rsidRPr="00A53AD7" w:rsidRDefault="00B823F8" w:rsidP="008927EB">
            <w:pPr>
              <w:pStyle w:val="ad"/>
              <w:jc w:val="center"/>
              <w:rPr>
                <w:rFonts w:ascii="Times New Roman" w:hAnsi="Times New Roman"/>
              </w:rPr>
            </w:pPr>
            <w:r w:rsidRPr="00A53AD7">
              <w:rPr>
                <w:rFonts w:ascii="Times New Roman" w:hAnsi="Times New Roman"/>
              </w:rPr>
              <w:t>На 01.10.2019</w:t>
            </w:r>
          </w:p>
        </w:tc>
        <w:tc>
          <w:tcPr>
            <w:tcW w:w="1559" w:type="dxa"/>
          </w:tcPr>
          <w:p w14:paraId="63B46316" w14:textId="77777777" w:rsidR="00B823F8" w:rsidRPr="00A53AD7" w:rsidRDefault="00B823F8" w:rsidP="008927EB">
            <w:pPr>
              <w:pStyle w:val="ad"/>
              <w:jc w:val="center"/>
              <w:rPr>
                <w:rFonts w:ascii="Times New Roman" w:hAnsi="Times New Roman"/>
              </w:rPr>
            </w:pPr>
            <w:r w:rsidRPr="00A53AD7">
              <w:rPr>
                <w:rFonts w:ascii="Times New Roman" w:hAnsi="Times New Roman"/>
              </w:rPr>
              <w:t>На 31.12.2019</w:t>
            </w:r>
          </w:p>
        </w:tc>
      </w:tr>
      <w:tr w:rsidR="00D470B6" w:rsidRPr="00A53AD7" w14:paraId="0F762E65" w14:textId="77777777" w:rsidTr="008927EB">
        <w:tc>
          <w:tcPr>
            <w:tcW w:w="2962" w:type="dxa"/>
          </w:tcPr>
          <w:p w14:paraId="2D48AF1D" w14:textId="77777777" w:rsidR="00B823F8" w:rsidRPr="00A53AD7" w:rsidRDefault="00B823F8" w:rsidP="008927EB">
            <w:pPr>
              <w:pStyle w:val="ad"/>
              <w:rPr>
                <w:rFonts w:ascii="Times New Roman" w:hAnsi="Times New Roman"/>
              </w:rPr>
            </w:pPr>
            <w:r w:rsidRPr="00A53AD7">
              <w:rPr>
                <w:rFonts w:ascii="Times New Roman" w:hAnsi="Times New Roman"/>
              </w:rPr>
              <w:t>ОАИП план</w:t>
            </w:r>
          </w:p>
        </w:tc>
        <w:tc>
          <w:tcPr>
            <w:tcW w:w="1665" w:type="dxa"/>
          </w:tcPr>
          <w:p w14:paraId="5872C021" w14:textId="77777777" w:rsidR="00B823F8" w:rsidRPr="00A53AD7" w:rsidRDefault="00B823F8" w:rsidP="00B823F8">
            <w:pPr>
              <w:pStyle w:val="ad"/>
              <w:jc w:val="center"/>
              <w:rPr>
                <w:rFonts w:ascii="Times New Roman" w:hAnsi="Times New Roman"/>
              </w:rPr>
            </w:pPr>
            <w:r w:rsidRPr="00A53AD7">
              <w:rPr>
                <w:rFonts w:ascii="Times New Roman" w:hAnsi="Times New Roman"/>
              </w:rPr>
              <w:t>193,7</w:t>
            </w:r>
          </w:p>
        </w:tc>
        <w:tc>
          <w:tcPr>
            <w:tcW w:w="1559" w:type="dxa"/>
          </w:tcPr>
          <w:p w14:paraId="45418E9A" w14:textId="77777777" w:rsidR="00B823F8" w:rsidRPr="00A53AD7" w:rsidRDefault="00B823F8" w:rsidP="00B823F8">
            <w:pPr>
              <w:pStyle w:val="ad"/>
              <w:jc w:val="center"/>
              <w:rPr>
                <w:rFonts w:ascii="Times New Roman" w:hAnsi="Times New Roman"/>
              </w:rPr>
            </w:pPr>
            <w:r w:rsidRPr="00A53AD7">
              <w:rPr>
                <w:rFonts w:ascii="Times New Roman" w:hAnsi="Times New Roman"/>
              </w:rPr>
              <w:t>325,8</w:t>
            </w:r>
          </w:p>
        </w:tc>
        <w:tc>
          <w:tcPr>
            <w:tcW w:w="1560" w:type="dxa"/>
          </w:tcPr>
          <w:p w14:paraId="7F0870E6" w14:textId="77777777" w:rsidR="00B823F8" w:rsidRPr="00A53AD7" w:rsidRDefault="00B823F8" w:rsidP="00B823F8">
            <w:pPr>
              <w:pStyle w:val="ad"/>
              <w:jc w:val="center"/>
              <w:rPr>
                <w:rFonts w:ascii="Times New Roman" w:hAnsi="Times New Roman"/>
              </w:rPr>
            </w:pPr>
            <w:r w:rsidRPr="00A53AD7">
              <w:rPr>
                <w:rFonts w:ascii="Times New Roman" w:hAnsi="Times New Roman"/>
              </w:rPr>
              <w:t>177,8</w:t>
            </w:r>
          </w:p>
        </w:tc>
        <w:tc>
          <w:tcPr>
            <w:tcW w:w="1559" w:type="dxa"/>
          </w:tcPr>
          <w:p w14:paraId="01E02849" w14:textId="77777777" w:rsidR="00B823F8" w:rsidRPr="00A53AD7" w:rsidRDefault="00B823F8" w:rsidP="00B823F8">
            <w:pPr>
              <w:pStyle w:val="ad"/>
              <w:jc w:val="center"/>
              <w:rPr>
                <w:rFonts w:ascii="Times New Roman" w:hAnsi="Times New Roman"/>
              </w:rPr>
            </w:pPr>
            <w:r w:rsidRPr="00A53AD7">
              <w:rPr>
                <w:rFonts w:ascii="Times New Roman" w:hAnsi="Times New Roman"/>
              </w:rPr>
              <w:t>215,8</w:t>
            </w:r>
          </w:p>
        </w:tc>
      </w:tr>
      <w:tr w:rsidR="00D470B6" w:rsidRPr="00A53AD7" w14:paraId="1711CF60" w14:textId="77777777" w:rsidTr="008927EB">
        <w:tc>
          <w:tcPr>
            <w:tcW w:w="2962" w:type="dxa"/>
          </w:tcPr>
          <w:p w14:paraId="43DEA32C" w14:textId="77777777" w:rsidR="00B823F8" w:rsidRPr="00A53AD7" w:rsidRDefault="00B823F8" w:rsidP="008927EB">
            <w:pPr>
              <w:pStyle w:val="ad"/>
              <w:rPr>
                <w:rFonts w:ascii="Times New Roman" w:hAnsi="Times New Roman"/>
              </w:rPr>
            </w:pPr>
            <w:r w:rsidRPr="00A53AD7">
              <w:rPr>
                <w:rFonts w:ascii="Times New Roman" w:hAnsi="Times New Roman"/>
              </w:rPr>
              <w:t>Исполнено</w:t>
            </w:r>
          </w:p>
        </w:tc>
        <w:tc>
          <w:tcPr>
            <w:tcW w:w="1665" w:type="dxa"/>
          </w:tcPr>
          <w:p w14:paraId="4F26AE98" w14:textId="77777777" w:rsidR="00B823F8" w:rsidRPr="00A53AD7" w:rsidRDefault="00B823F8" w:rsidP="00B823F8">
            <w:pPr>
              <w:pStyle w:val="ad"/>
              <w:jc w:val="center"/>
              <w:rPr>
                <w:rFonts w:ascii="Times New Roman" w:hAnsi="Times New Roman"/>
              </w:rPr>
            </w:pPr>
            <w:r w:rsidRPr="00A53AD7">
              <w:rPr>
                <w:rFonts w:ascii="Times New Roman" w:hAnsi="Times New Roman"/>
              </w:rPr>
              <w:t>18,6</w:t>
            </w:r>
          </w:p>
        </w:tc>
        <w:tc>
          <w:tcPr>
            <w:tcW w:w="1559" w:type="dxa"/>
          </w:tcPr>
          <w:p w14:paraId="1A04CE5E" w14:textId="77777777" w:rsidR="00B823F8" w:rsidRPr="00A53AD7" w:rsidRDefault="00B823F8" w:rsidP="00B823F8">
            <w:pPr>
              <w:pStyle w:val="ad"/>
              <w:jc w:val="center"/>
              <w:rPr>
                <w:rFonts w:ascii="Times New Roman" w:hAnsi="Times New Roman"/>
              </w:rPr>
            </w:pPr>
            <w:r w:rsidRPr="00A53AD7">
              <w:rPr>
                <w:rFonts w:ascii="Times New Roman" w:hAnsi="Times New Roman"/>
              </w:rPr>
              <w:t>80,0</w:t>
            </w:r>
          </w:p>
        </w:tc>
        <w:tc>
          <w:tcPr>
            <w:tcW w:w="1560" w:type="dxa"/>
          </w:tcPr>
          <w:p w14:paraId="456DBB1F" w14:textId="77777777" w:rsidR="00B823F8" w:rsidRPr="00A53AD7" w:rsidRDefault="00B823F8" w:rsidP="00B823F8">
            <w:pPr>
              <w:pStyle w:val="ad"/>
              <w:jc w:val="center"/>
              <w:rPr>
                <w:rFonts w:ascii="Times New Roman" w:hAnsi="Times New Roman"/>
              </w:rPr>
            </w:pPr>
            <w:r w:rsidRPr="00A53AD7">
              <w:rPr>
                <w:rFonts w:ascii="Times New Roman" w:hAnsi="Times New Roman"/>
              </w:rPr>
              <w:t>110,0</w:t>
            </w:r>
          </w:p>
        </w:tc>
        <w:tc>
          <w:tcPr>
            <w:tcW w:w="1559" w:type="dxa"/>
          </w:tcPr>
          <w:p w14:paraId="1DB07F56" w14:textId="77777777" w:rsidR="00B823F8" w:rsidRPr="00A53AD7" w:rsidRDefault="00B823F8" w:rsidP="00B823F8">
            <w:pPr>
              <w:pStyle w:val="ad"/>
              <w:jc w:val="center"/>
              <w:rPr>
                <w:rFonts w:ascii="Times New Roman" w:hAnsi="Times New Roman"/>
              </w:rPr>
            </w:pPr>
            <w:r w:rsidRPr="00A53AD7">
              <w:rPr>
                <w:rFonts w:ascii="Times New Roman" w:hAnsi="Times New Roman"/>
              </w:rPr>
              <w:t>155,6</w:t>
            </w:r>
          </w:p>
        </w:tc>
      </w:tr>
      <w:tr w:rsidR="00D470B6" w:rsidRPr="00A53AD7" w14:paraId="627897DA" w14:textId="77777777" w:rsidTr="008927EB">
        <w:tc>
          <w:tcPr>
            <w:tcW w:w="2962" w:type="dxa"/>
          </w:tcPr>
          <w:p w14:paraId="214D5425" w14:textId="77777777" w:rsidR="00B823F8" w:rsidRPr="00A53AD7" w:rsidRDefault="00B823F8" w:rsidP="008927EB">
            <w:pPr>
              <w:pStyle w:val="ad"/>
              <w:ind w:hanging="113"/>
              <w:rPr>
                <w:rFonts w:ascii="Times New Roman" w:hAnsi="Times New Roman"/>
              </w:rPr>
            </w:pPr>
            <w:r w:rsidRPr="00A53AD7">
              <w:rPr>
                <w:rFonts w:ascii="Times New Roman" w:hAnsi="Times New Roman"/>
              </w:rPr>
              <w:t>Исполнено в %%</w:t>
            </w:r>
          </w:p>
        </w:tc>
        <w:tc>
          <w:tcPr>
            <w:tcW w:w="1665" w:type="dxa"/>
          </w:tcPr>
          <w:p w14:paraId="2EA1C0B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9,6%</w:t>
            </w:r>
          </w:p>
        </w:tc>
        <w:tc>
          <w:tcPr>
            <w:tcW w:w="1559" w:type="dxa"/>
          </w:tcPr>
          <w:p w14:paraId="0E6C26C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24,6%</w:t>
            </w:r>
          </w:p>
        </w:tc>
        <w:tc>
          <w:tcPr>
            <w:tcW w:w="1560" w:type="dxa"/>
          </w:tcPr>
          <w:p w14:paraId="6619178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61,9%</w:t>
            </w:r>
          </w:p>
        </w:tc>
        <w:tc>
          <w:tcPr>
            <w:tcW w:w="1559" w:type="dxa"/>
          </w:tcPr>
          <w:p w14:paraId="6BA98C4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72,1%</w:t>
            </w:r>
          </w:p>
        </w:tc>
      </w:tr>
      <w:tr w:rsidR="00D470B6" w:rsidRPr="00A53AD7" w14:paraId="2C6D0651" w14:textId="77777777" w:rsidTr="008927EB">
        <w:tc>
          <w:tcPr>
            <w:tcW w:w="2962" w:type="dxa"/>
          </w:tcPr>
          <w:p w14:paraId="4766686D" w14:textId="39808F1D" w:rsidR="00B823F8" w:rsidRPr="00A53AD7" w:rsidRDefault="00B823F8" w:rsidP="00CD1053">
            <w:pPr>
              <w:pStyle w:val="ad"/>
              <w:rPr>
                <w:rFonts w:ascii="Times New Roman" w:hAnsi="Times New Roman"/>
              </w:rPr>
            </w:pPr>
            <w:r w:rsidRPr="00A53AD7">
              <w:rPr>
                <w:rFonts w:ascii="Times New Roman" w:hAnsi="Times New Roman"/>
              </w:rPr>
              <w:t>Кол-во объектов ОАИП план</w:t>
            </w:r>
          </w:p>
        </w:tc>
        <w:tc>
          <w:tcPr>
            <w:tcW w:w="1665" w:type="dxa"/>
          </w:tcPr>
          <w:p w14:paraId="3EC0FC75" w14:textId="77777777" w:rsidR="00B823F8" w:rsidRPr="00A53AD7" w:rsidRDefault="00B823F8" w:rsidP="00B823F8">
            <w:pPr>
              <w:pStyle w:val="ad"/>
              <w:jc w:val="center"/>
              <w:rPr>
                <w:rFonts w:ascii="Times New Roman" w:hAnsi="Times New Roman"/>
              </w:rPr>
            </w:pPr>
          </w:p>
          <w:p w14:paraId="0CA1ECB3"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3B023A7D" w14:textId="77777777" w:rsidR="00B823F8" w:rsidRPr="00A53AD7" w:rsidRDefault="00B823F8" w:rsidP="00B823F8">
            <w:pPr>
              <w:pStyle w:val="ad"/>
              <w:jc w:val="center"/>
              <w:rPr>
                <w:rFonts w:ascii="Times New Roman" w:hAnsi="Times New Roman"/>
              </w:rPr>
            </w:pPr>
          </w:p>
          <w:p w14:paraId="5F8A8E5F" w14:textId="77777777" w:rsidR="00B823F8" w:rsidRPr="00A53AD7" w:rsidRDefault="00B823F8" w:rsidP="00B823F8">
            <w:pPr>
              <w:pStyle w:val="ad"/>
              <w:jc w:val="center"/>
              <w:rPr>
                <w:rFonts w:ascii="Times New Roman" w:hAnsi="Times New Roman"/>
              </w:rPr>
            </w:pPr>
            <w:r w:rsidRPr="00A53AD7">
              <w:rPr>
                <w:rFonts w:ascii="Times New Roman" w:hAnsi="Times New Roman"/>
              </w:rPr>
              <w:t>9</w:t>
            </w:r>
          </w:p>
        </w:tc>
        <w:tc>
          <w:tcPr>
            <w:tcW w:w="1560" w:type="dxa"/>
          </w:tcPr>
          <w:p w14:paraId="6184BEDB" w14:textId="77777777" w:rsidR="00B823F8" w:rsidRPr="00A53AD7" w:rsidRDefault="00B823F8" w:rsidP="00B823F8">
            <w:pPr>
              <w:pStyle w:val="ad"/>
              <w:jc w:val="center"/>
              <w:rPr>
                <w:rFonts w:ascii="Times New Roman" w:hAnsi="Times New Roman"/>
              </w:rPr>
            </w:pPr>
          </w:p>
          <w:p w14:paraId="3C9ACA6D"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559" w:type="dxa"/>
          </w:tcPr>
          <w:p w14:paraId="19547C89" w14:textId="77777777" w:rsidR="00B823F8" w:rsidRPr="00A53AD7" w:rsidRDefault="00B823F8" w:rsidP="00B823F8">
            <w:pPr>
              <w:pStyle w:val="ad"/>
              <w:jc w:val="center"/>
              <w:rPr>
                <w:rFonts w:ascii="Times New Roman" w:hAnsi="Times New Roman"/>
              </w:rPr>
            </w:pPr>
          </w:p>
          <w:p w14:paraId="593A4B71" w14:textId="77777777" w:rsidR="00B823F8" w:rsidRPr="00A53AD7" w:rsidRDefault="00B823F8" w:rsidP="00B823F8">
            <w:pPr>
              <w:pStyle w:val="ad"/>
              <w:jc w:val="center"/>
              <w:rPr>
                <w:rFonts w:ascii="Times New Roman" w:hAnsi="Times New Roman"/>
              </w:rPr>
            </w:pPr>
            <w:r w:rsidRPr="00A53AD7">
              <w:rPr>
                <w:rFonts w:ascii="Times New Roman" w:hAnsi="Times New Roman"/>
              </w:rPr>
              <w:t>11</w:t>
            </w:r>
          </w:p>
        </w:tc>
      </w:tr>
      <w:tr w:rsidR="00D470B6" w:rsidRPr="00A53AD7" w14:paraId="4B5A167B" w14:textId="77777777" w:rsidTr="008927EB">
        <w:tc>
          <w:tcPr>
            <w:tcW w:w="2962" w:type="dxa"/>
          </w:tcPr>
          <w:p w14:paraId="6D982A37" w14:textId="77777777" w:rsidR="00B823F8" w:rsidRPr="00A53AD7" w:rsidRDefault="00B823F8" w:rsidP="008927EB">
            <w:pPr>
              <w:pStyle w:val="ad"/>
              <w:rPr>
                <w:rFonts w:ascii="Times New Roman" w:hAnsi="Times New Roman"/>
              </w:rPr>
            </w:pPr>
            <w:r w:rsidRPr="00A53AD7">
              <w:rPr>
                <w:rFonts w:ascii="Times New Roman" w:hAnsi="Times New Roman"/>
              </w:rPr>
              <w:t>Исполнено</w:t>
            </w:r>
          </w:p>
        </w:tc>
        <w:tc>
          <w:tcPr>
            <w:tcW w:w="1665" w:type="dxa"/>
          </w:tcPr>
          <w:p w14:paraId="01986331"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4E21EECB"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60" w:type="dxa"/>
          </w:tcPr>
          <w:p w14:paraId="06D2D118"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559" w:type="dxa"/>
          </w:tcPr>
          <w:p w14:paraId="60AC4183" w14:textId="77777777" w:rsidR="00B823F8" w:rsidRPr="00A53AD7" w:rsidRDefault="00B823F8" w:rsidP="00B823F8">
            <w:pPr>
              <w:pStyle w:val="ad"/>
              <w:jc w:val="center"/>
              <w:rPr>
                <w:rFonts w:ascii="Times New Roman" w:hAnsi="Times New Roman"/>
              </w:rPr>
            </w:pPr>
            <w:r w:rsidRPr="00A53AD7">
              <w:rPr>
                <w:rFonts w:ascii="Times New Roman" w:hAnsi="Times New Roman"/>
              </w:rPr>
              <w:t>10</w:t>
            </w:r>
          </w:p>
        </w:tc>
      </w:tr>
      <w:tr w:rsidR="00B823F8" w:rsidRPr="00A53AD7" w14:paraId="148346FA" w14:textId="77777777" w:rsidTr="008927EB">
        <w:tc>
          <w:tcPr>
            <w:tcW w:w="2962" w:type="dxa"/>
          </w:tcPr>
          <w:p w14:paraId="5A1D48FE" w14:textId="77777777" w:rsidR="00B823F8" w:rsidRPr="00A53AD7" w:rsidRDefault="00B823F8" w:rsidP="008927EB">
            <w:pPr>
              <w:pStyle w:val="ad"/>
              <w:rPr>
                <w:rFonts w:ascii="Times New Roman" w:hAnsi="Times New Roman"/>
              </w:rPr>
            </w:pPr>
            <w:r w:rsidRPr="00A53AD7">
              <w:rPr>
                <w:rFonts w:ascii="Times New Roman" w:hAnsi="Times New Roman"/>
              </w:rPr>
              <w:t>В %%</w:t>
            </w:r>
          </w:p>
        </w:tc>
        <w:tc>
          <w:tcPr>
            <w:tcW w:w="1665" w:type="dxa"/>
          </w:tcPr>
          <w:p w14:paraId="3086301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16,7%</w:t>
            </w:r>
          </w:p>
        </w:tc>
        <w:tc>
          <w:tcPr>
            <w:tcW w:w="1559" w:type="dxa"/>
          </w:tcPr>
          <w:p w14:paraId="26EF807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66,7%</w:t>
            </w:r>
          </w:p>
        </w:tc>
        <w:tc>
          <w:tcPr>
            <w:tcW w:w="1560" w:type="dxa"/>
          </w:tcPr>
          <w:p w14:paraId="4D20A2E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66,7%</w:t>
            </w:r>
          </w:p>
        </w:tc>
        <w:tc>
          <w:tcPr>
            <w:tcW w:w="1559" w:type="dxa"/>
          </w:tcPr>
          <w:p w14:paraId="78168F45" w14:textId="77777777" w:rsidR="00B823F8" w:rsidRPr="00A53AD7" w:rsidRDefault="00B823F8" w:rsidP="00B823F8">
            <w:pPr>
              <w:pStyle w:val="ad"/>
              <w:jc w:val="center"/>
              <w:rPr>
                <w:rFonts w:ascii="Times New Roman" w:hAnsi="Times New Roman"/>
              </w:rPr>
            </w:pPr>
            <w:r w:rsidRPr="00A53AD7">
              <w:rPr>
                <w:rFonts w:ascii="Times New Roman" w:hAnsi="Times New Roman"/>
              </w:rPr>
              <w:t>90,9%</w:t>
            </w:r>
          </w:p>
        </w:tc>
      </w:tr>
    </w:tbl>
    <w:p w14:paraId="0B469082" w14:textId="77777777" w:rsidR="00B823F8" w:rsidRPr="00A53AD7" w:rsidRDefault="00B823F8" w:rsidP="00B823F8">
      <w:pPr>
        <w:pStyle w:val="ad"/>
        <w:ind w:firstLine="709"/>
        <w:jc w:val="both"/>
        <w:rPr>
          <w:rFonts w:ascii="Times New Roman" w:hAnsi="Times New Roman"/>
          <w:sz w:val="28"/>
          <w:szCs w:val="28"/>
        </w:rPr>
      </w:pPr>
    </w:p>
    <w:p w14:paraId="2D227ABC" w14:textId="3E85E6B9" w:rsidR="00B823F8" w:rsidRPr="00A53AD7" w:rsidRDefault="00B823F8" w:rsidP="00594D41">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926,2 млн.руб., согласно показателям бюджетной росписи 945,7 млн.руб., согласно отчету об исполнении бюджета расходы исполнены на 842,5 млн.руб. Исполнитель программы</w:t>
      </w:r>
      <w:r w:rsidR="00235615" w:rsidRPr="00A53AD7">
        <w:rPr>
          <w:rFonts w:ascii="Times New Roman" w:hAnsi="Times New Roman"/>
          <w:sz w:val="28"/>
          <w:szCs w:val="28"/>
        </w:rPr>
        <w:t>:</w:t>
      </w:r>
      <w:r w:rsidRPr="00A53AD7">
        <w:rPr>
          <w:rFonts w:ascii="Times New Roman" w:hAnsi="Times New Roman"/>
          <w:sz w:val="28"/>
          <w:szCs w:val="28"/>
        </w:rPr>
        <w:t xml:space="preserve"> министерство строительства и архитектуры.</w:t>
      </w:r>
    </w:p>
    <w:p w14:paraId="1ECB37EB" w14:textId="77777777" w:rsidR="00B823F8" w:rsidRPr="00A53AD7" w:rsidRDefault="00B823F8" w:rsidP="00B823F8">
      <w:pPr>
        <w:pStyle w:val="ad"/>
        <w:jc w:val="right"/>
        <w:rPr>
          <w:rFonts w:ascii="Times New Roman" w:hAnsi="Times New Roman"/>
          <w:sz w:val="28"/>
          <w:szCs w:val="28"/>
        </w:rPr>
      </w:pPr>
      <w:r w:rsidRPr="00A53AD7">
        <w:rPr>
          <w:rFonts w:ascii="Times New Roman" w:hAnsi="Times New Roman"/>
          <w:sz w:val="28"/>
          <w:szCs w:val="28"/>
        </w:rPr>
        <w:t>(млн.руб.)</w:t>
      </w:r>
    </w:p>
    <w:tbl>
      <w:tblPr>
        <w:tblStyle w:val="a7"/>
        <w:tblW w:w="935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14"/>
        <w:gridCol w:w="1559"/>
        <w:gridCol w:w="1560"/>
        <w:gridCol w:w="1559"/>
        <w:gridCol w:w="1559"/>
      </w:tblGrid>
      <w:tr w:rsidR="00D470B6" w:rsidRPr="00A53AD7" w14:paraId="59EBA173" w14:textId="77777777" w:rsidTr="00235615">
        <w:tc>
          <w:tcPr>
            <w:tcW w:w="3114" w:type="dxa"/>
          </w:tcPr>
          <w:p w14:paraId="752CFFFE" w14:textId="17F473C8" w:rsidR="00B823F8" w:rsidRPr="00A53AD7" w:rsidRDefault="00594D41" w:rsidP="00594D41">
            <w:pPr>
              <w:pStyle w:val="ad"/>
              <w:jc w:val="center"/>
              <w:rPr>
                <w:rFonts w:ascii="Times New Roman" w:hAnsi="Times New Roman"/>
              </w:rPr>
            </w:pPr>
            <w:r w:rsidRPr="00A53AD7">
              <w:rPr>
                <w:rFonts w:ascii="Times New Roman" w:hAnsi="Times New Roman"/>
                <w:b/>
              </w:rPr>
              <w:t>Минстроительства</w:t>
            </w:r>
          </w:p>
        </w:tc>
        <w:tc>
          <w:tcPr>
            <w:tcW w:w="1559" w:type="dxa"/>
          </w:tcPr>
          <w:p w14:paraId="5A65BA5E" w14:textId="77777777" w:rsidR="00B823F8" w:rsidRPr="00A53AD7" w:rsidRDefault="00B823F8" w:rsidP="00594D41">
            <w:pPr>
              <w:pStyle w:val="ad"/>
              <w:jc w:val="center"/>
              <w:rPr>
                <w:rFonts w:ascii="Times New Roman" w:hAnsi="Times New Roman"/>
              </w:rPr>
            </w:pPr>
            <w:r w:rsidRPr="00A53AD7">
              <w:rPr>
                <w:rFonts w:ascii="Times New Roman" w:hAnsi="Times New Roman"/>
              </w:rPr>
              <w:t>На 01.04.2019</w:t>
            </w:r>
          </w:p>
        </w:tc>
        <w:tc>
          <w:tcPr>
            <w:tcW w:w="1560" w:type="dxa"/>
          </w:tcPr>
          <w:p w14:paraId="0BAB952C" w14:textId="77777777" w:rsidR="00B823F8" w:rsidRPr="00A53AD7" w:rsidRDefault="00B823F8" w:rsidP="00594D41">
            <w:pPr>
              <w:pStyle w:val="ad"/>
              <w:jc w:val="center"/>
              <w:rPr>
                <w:rFonts w:ascii="Times New Roman" w:hAnsi="Times New Roman"/>
              </w:rPr>
            </w:pPr>
            <w:r w:rsidRPr="00A53AD7">
              <w:rPr>
                <w:rFonts w:ascii="Times New Roman" w:hAnsi="Times New Roman"/>
              </w:rPr>
              <w:t>На 01.07.2019</w:t>
            </w:r>
          </w:p>
        </w:tc>
        <w:tc>
          <w:tcPr>
            <w:tcW w:w="1559" w:type="dxa"/>
          </w:tcPr>
          <w:p w14:paraId="50867779" w14:textId="77777777" w:rsidR="00B823F8" w:rsidRPr="00A53AD7" w:rsidRDefault="00B823F8" w:rsidP="00594D41">
            <w:pPr>
              <w:pStyle w:val="ad"/>
              <w:jc w:val="center"/>
              <w:rPr>
                <w:rFonts w:ascii="Times New Roman" w:hAnsi="Times New Roman"/>
              </w:rPr>
            </w:pPr>
            <w:r w:rsidRPr="00A53AD7">
              <w:rPr>
                <w:rFonts w:ascii="Times New Roman" w:hAnsi="Times New Roman"/>
              </w:rPr>
              <w:t>На 01.10.2019</w:t>
            </w:r>
          </w:p>
        </w:tc>
        <w:tc>
          <w:tcPr>
            <w:tcW w:w="1559" w:type="dxa"/>
          </w:tcPr>
          <w:p w14:paraId="51A24987" w14:textId="77777777" w:rsidR="00B823F8" w:rsidRPr="00A53AD7" w:rsidRDefault="00B823F8" w:rsidP="00594D41">
            <w:pPr>
              <w:pStyle w:val="ad"/>
              <w:jc w:val="center"/>
              <w:rPr>
                <w:rFonts w:ascii="Times New Roman" w:hAnsi="Times New Roman"/>
              </w:rPr>
            </w:pPr>
            <w:r w:rsidRPr="00A53AD7">
              <w:rPr>
                <w:rFonts w:ascii="Times New Roman" w:hAnsi="Times New Roman"/>
              </w:rPr>
              <w:t>На 31.12.2019</w:t>
            </w:r>
          </w:p>
        </w:tc>
      </w:tr>
      <w:tr w:rsidR="00D470B6" w:rsidRPr="00A53AD7" w14:paraId="21532F01" w14:textId="77777777" w:rsidTr="00235615">
        <w:tc>
          <w:tcPr>
            <w:tcW w:w="3114" w:type="dxa"/>
          </w:tcPr>
          <w:p w14:paraId="2EEFC42E"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59" w:type="dxa"/>
          </w:tcPr>
          <w:p w14:paraId="3F45E537" w14:textId="77777777" w:rsidR="00B823F8" w:rsidRPr="00A53AD7" w:rsidRDefault="00B823F8" w:rsidP="00B823F8">
            <w:pPr>
              <w:pStyle w:val="ad"/>
              <w:jc w:val="center"/>
              <w:rPr>
                <w:rFonts w:ascii="Times New Roman" w:hAnsi="Times New Roman"/>
              </w:rPr>
            </w:pPr>
            <w:r w:rsidRPr="00A53AD7">
              <w:rPr>
                <w:rFonts w:ascii="Times New Roman" w:hAnsi="Times New Roman"/>
              </w:rPr>
              <w:t>904,1</w:t>
            </w:r>
          </w:p>
        </w:tc>
        <w:tc>
          <w:tcPr>
            <w:tcW w:w="1560" w:type="dxa"/>
          </w:tcPr>
          <w:p w14:paraId="777733E9" w14:textId="77777777" w:rsidR="00B823F8" w:rsidRPr="00A53AD7" w:rsidRDefault="00B823F8" w:rsidP="00B823F8">
            <w:pPr>
              <w:pStyle w:val="ad"/>
              <w:jc w:val="center"/>
              <w:rPr>
                <w:rFonts w:ascii="Times New Roman" w:hAnsi="Times New Roman"/>
              </w:rPr>
            </w:pPr>
            <w:r w:rsidRPr="00A53AD7">
              <w:rPr>
                <w:rFonts w:ascii="Times New Roman" w:hAnsi="Times New Roman"/>
              </w:rPr>
              <w:t>1 055,7</w:t>
            </w:r>
          </w:p>
        </w:tc>
        <w:tc>
          <w:tcPr>
            <w:tcW w:w="1559" w:type="dxa"/>
          </w:tcPr>
          <w:p w14:paraId="330F760B" w14:textId="77777777" w:rsidR="00B823F8" w:rsidRPr="00A53AD7" w:rsidRDefault="00B823F8" w:rsidP="00B823F8">
            <w:pPr>
              <w:pStyle w:val="ad"/>
              <w:jc w:val="center"/>
              <w:rPr>
                <w:rFonts w:ascii="Times New Roman" w:hAnsi="Times New Roman"/>
              </w:rPr>
            </w:pPr>
            <w:r w:rsidRPr="00A53AD7">
              <w:rPr>
                <w:rFonts w:ascii="Times New Roman" w:hAnsi="Times New Roman"/>
              </w:rPr>
              <w:t>781,2</w:t>
            </w:r>
          </w:p>
        </w:tc>
        <w:tc>
          <w:tcPr>
            <w:tcW w:w="1559" w:type="dxa"/>
          </w:tcPr>
          <w:p w14:paraId="73305C55" w14:textId="77777777" w:rsidR="00B823F8" w:rsidRPr="00A53AD7" w:rsidRDefault="00B823F8" w:rsidP="00B823F8">
            <w:pPr>
              <w:pStyle w:val="ad"/>
              <w:jc w:val="center"/>
              <w:rPr>
                <w:rFonts w:ascii="Times New Roman" w:hAnsi="Times New Roman"/>
              </w:rPr>
            </w:pPr>
            <w:r w:rsidRPr="00A53AD7">
              <w:rPr>
                <w:rFonts w:ascii="Times New Roman" w:hAnsi="Times New Roman"/>
              </w:rPr>
              <w:t>945,7</w:t>
            </w:r>
          </w:p>
        </w:tc>
      </w:tr>
      <w:tr w:rsidR="00D470B6" w:rsidRPr="00A53AD7" w14:paraId="0CB65735" w14:textId="77777777" w:rsidTr="00235615">
        <w:tc>
          <w:tcPr>
            <w:tcW w:w="3114" w:type="dxa"/>
          </w:tcPr>
          <w:p w14:paraId="0F3EF23D"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59" w:type="dxa"/>
          </w:tcPr>
          <w:p w14:paraId="7CDFBC76" w14:textId="77777777" w:rsidR="00B823F8" w:rsidRPr="00A53AD7" w:rsidRDefault="00B823F8" w:rsidP="00B823F8">
            <w:pPr>
              <w:pStyle w:val="ad"/>
              <w:jc w:val="center"/>
              <w:rPr>
                <w:rFonts w:ascii="Times New Roman" w:hAnsi="Times New Roman"/>
              </w:rPr>
            </w:pPr>
            <w:r w:rsidRPr="00A53AD7">
              <w:rPr>
                <w:rFonts w:ascii="Times New Roman" w:hAnsi="Times New Roman"/>
              </w:rPr>
              <w:t>18,6</w:t>
            </w:r>
          </w:p>
        </w:tc>
        <w:tc>
          <w:tcPr>
            <w:tcW w:w="1560" w:type="dxa"/>
          </w:tcPr>
          <w:p w14:paraId="2E4E04D0" w14:textId="77777777" w:rsidR="00B823F8" w:rsidRPr="00A53AD7" w:rsidRDefault="00B823F8" w:rsidP="00B823F8">
            <w:pPr>
              <w:pStyle w:val="ad"/>
              <w:jc w:val="center"/>
              <w:rPr>
                <w:rFonts w:ascii="Times New Roman" w:hAnsi="Times New Roman"/>
              </w:rPr>
            </w:pPr>
            <w:r w:rsidRPr="00A53AD7">
              <w:rPr>
                <w:rFonts w:ascii="Times New Roman" w:hAnsi="Times New Roman"/>
              </w:rPr>
              <w:t>384,4</w:t>
            </w:r>
          </w:p>
        </w:tc>
        <w:tc>
          <w:tcPr>
            <w:tcW w:w="1559" w:type="dxa"/>
          </w:tcPr>
          <w:p w14:paraId="021B627A" w14:textId="77777777" w:rsidR="00B823F8" w:rsidRPr="00A53AD7" w:rsidRDefault="00B823F8" w:rsidP="00B823F8">
            <w:pPr>
              <w:pStyle w:val="ad"/>
              <w:jc w:val="center"/>
              <w:rPr>
                <w:rFonts w:ascii="Times New Roman" w:hAnsi="Times New Roman"/>
              </w:rPr>
            </w:pPr>
            <w:r w:rsidRPr="00A53AD7">
              <w:rPr>
                <w:rFonts w:ascii="Times New Roman" w:hAnsi="Times New Roman"/>
              </w:rPr>
              <w:t>543,6</w:t>
            </w:r>
          </w:p>
        </w:tc>
        <w:tc>
          <w:tcPr>
            <w:tcW w:w="1559" w:type="dxa"/>
          </w:tcPr>
          <w:p w14:paraId="6F9D9DA9" w14:textId="77777777" w:rsidR="00B823F8" w:rsidRPr="00A53AD7" w:rsidRDefault="00B823F8" w:rsidP="00B823F8">
            <w:pPr>
              <w:pStyle w:val="ad"/>
              <w:jc w:val="center"/>
              <w:rPr>
                <w:rFonts w:ascii="Times New Roman" w:hAnsi="Times New Roman"/>
              </w:rPr>
            </w:pPr>
            <w:r w:rsidRPr="00A53AD7">
              <w:rPr>
                <w:rFonts w:ascii="Times New Roman" w:hAnsi="Times New Roman"/>
              </w:rPr>
              <w:t>842,5</w:t>
            </w:r>
          </w:p>
        </w:tc>
      </w:tr>
      <w:tr w:rsidR="00D470B6" w:rsidRPr="00A53AD7" w14:paraId="51279458" w14:textId="77777777" w:rsidTr="00235615">
        <w:tc>
          <w:tcPr>
            <w:tcW w:w="3114" w:type="dxa"/>
          </w:tcPr>
          <w:p w14:paraId="4A3C4B91"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59" w:type="dxa"/>
          </w:tcPr>
          <w:p w14:paraId="062BE62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2,1%</w:t>
            </w:r>
          </w:p>
        </w:tc>
        <w:tc>
          <w:tcPr>
            <w:tcW w:w="1560" w:type="dxa"/>
          </w:tcPr>
          <w:p w14:paraId="5D2A006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36,4%</w:t>
            </w:r>
          </w:p>
        </w:tc>
        <w:tc>
          <w:tcPr>
            <w:tcW w:w="1559" w:type="dxa"/>
          </w:tcPr>
          <w:p w14:paraId="2F5F124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69,6%</w:t>
            </w:r>
          </w:p>
        </w:tc>
        <w:tc>
          <w:tcPr>
            <w:tcW w:w="1559" w:type="dxa"/>
          </w:tcPr>
          <w:p w14:paraId="6D4D7FA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89,1 %</w:t>
            </w:r>
          </w:p>
        </w:tc>
      </w:tr>
      <w:tr w:rsidR="00D470B6" w:rsidRPr="00A53AD7" w14:paraId="184D8AEA" w14:textId="77777777" w:rsidTr="00235615">
        <w:tc>
          <w:tcPr>
            <w:tcW w:w="3114" w:type="dxa"/>
          </w:tcPr>
          <w:p w14:paraId="7672C9E9"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559" w:type="dxa"/>
          </w:tcPr>
          <w:p w14:paraId="2CB8D69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A0D753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344,7</w:t>
            </w:r>
          </w:p>
        </w:tc>
        <w:tc>
          <w:tcPr>
            <w:tcW w:w="1559" w:type="dxa"/>
          </w:tcPr>
          <w:p w14:paraId="01576DD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496,3</w:t>
            </w:r>
          </w:p>
        </w:tc>
        <w:tc>
          <w:tcPr>
            <w:tcW w:w="1559" w:type="dxa"/>
          </w:tcPr>
          <w:p w14:paraId="121DB24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794,8</w:t>
            </w:r>
          </w:p>
        </w:tc>
      </w:tr>
      <w:tr w:rsidR="00B823F8" w:rsidRPr="00A53AD7" w14:paraId="201759F7" w14:textId="77777777" w:rsidTr="00235615">
        <w:trPr>
          <w:trHeight w:val="268"/>
        </w:trPr>
        <w:tc>
          <w:tcPr>
            <w:tcW w:w="3114" w:type="dxa"/>
          </w:tcPr>
          <w:p w14:paraId="71D703A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559" w:type="dxa"/>
          </w:tcPr>
          <w:p w14:paraId="60B4925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0A5F2CB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41,9%</w:t>
            </w:r>
          </w:p>
        </w:tc>
        <w:tc>
          <w:tcPr>
            <w:tcW w:w="1559" w:type="dxa"/>
          </w:tcPr>
          <w:p w14:paraId="004212F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68,9%</w:t>
            </w:r>
          </w:p>
        </w:tc>
        <w:tc>
          <w:tcPr>
            <w:tcW w:w="1559" w:type="dxa"/>
          </w:tcPr>
          <w:p w14:paraId="01DD411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89,0%</w:t>
            </w:r>
          </w:p>
        </w:tc>
      </w:tr>
    </w:tbl>
    <w:p w14:paraId="180A7C47" w14:textId="77777777" w:rsidR="00594D41" w:rsidRPr="00A53AD7" w:rsidRDefault="00594D41" w:rsidP="00B823F8">
      <w:pPr>
        <w:pStyle w:val="ad"/>
        <w:ind w:firstLine="708"/>
        <w:jc w:val="both"/>
        <w:rPr>
          <w:rFonts w:ascii="Times New Roman" w:hAnsi="Times New Roman"/>
          <w:sz w:val="28"/>
          <w:szCs w:val="28"/>
          <w:highlight w:val="cyan"/>
        </w:rPr>
      </w:pPr>
    </w:p>
    <w:p w14:paraId="3AE32093" w14:textId="12F1796A" w:rsidR="00B823F8" w:rsidRPr="00A53AD7" w:rsidRDefault="00B823F8" w:rsidP="00594D41">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рамках указанной программы, министерство строительства и архитектуры не приступило к 1 объекту и не обеспечило расходование средств как федерального на 43,0 млн.руб., так и областного бюджетов на 60,2 млн.руб.</w:t>
      </w:r>
    </w:p>
    <w:p w14:paraId="366588C6" w14:textId="77777777" w:rsidR="00B823F8" w:rsidRPr="00A53AD7" w:rsidRDefault="00B823F8" w:rsidP="00B823F8">
      <w:pPr>
        <w:pStyle w:val="ad"/>
        <w:ind w:firstLine="709"/>
        <w:jc w:val="both"/>
        <w:rPr>
          <w:rFonts w:ascii="Times New Roman" w:hAnsi="Times New Roman"/>
          <w:b/>
          <w:sz w:val="28"/>
          <w:szCs w:val="28"/>
          <w:highlight w:val="cyan"/>
        </w:rPr>
      </w:pPr>
    </w:p>
    <w:p w14:paraId="703CDC28" w14:textId="1C16EFD9" w:rsidR="00B823F8" w:rsidRPr="00A53AD7" w:rsidRDefault="00B823F8" w:rsidP="009A5925">
      <w:pPr>
        <w:pStyle w:val="ad"/>
        <w:ind w:firstLine="851"/>
        <w:jc w:val="both"/>
        <w:rPr>
          <w:rFonts w:ascii="Times New Roman" w:hAnsi="Times New Roman"/>
          <w:sz w:val="28"/>
          <w:szCs w:val="28"/>
        </w:rPr>
      </w:pPr>
      <w:r w:rsidRPr="00A53AD7">
        <w:rPr>
          <w:rFonts w:ascii="Times New Roman" w:hAnsi="Times New Roman"/>
          <w:sz w:val="28"/>
          <w:szCs w:val="28"/>
        </w:rPr>
        <w:t>2. ГП АО «Развитие образования и науки Архангельской области» запланированы расходы по приведенному количеству объектов:</w:t>
      </w:r>
    </w:p>
    <w:p w14:paraId="69D6EEA1"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3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29"/>
        <w:gridCol w:w="1056"/>
        <w:gridCol w:w="1056"/>
        <w:gridCol w:w="1056"/>
        <w:gridCol w:w="1056"/>
        <w:gridCol w:w="1056"/>
        <w:gridCol w:w="1056"/>
        <w:gridCol w:w="1185"/>
        <w:gridCol w:w="984"/>
      </w:tblGrid>
      <w:tr w:rsidR="00D470B6" w:rsidRPr="00A53AD7" w14:paraId="3AA34097" w14:textId="77777777" w:rsidTr="00565C30">
        <w:tc>
          <w:tcPr>
            <w:tcW w:w="1129" w:type="dxa"/>
          </w:tcPr>
          <w:p w14:paraId="758D7951"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даты:</w:t>
            </w:r>
          </w:p>
        </w:tc>
        <w:tc>
          <w:tcPr>
            <w:tcW w:w="1056" w:type="dxa"/>
          </w:tcPr>
          <w:p w14:paraId="4F7408AB"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01.01.19</w:t>
            </w:r>
          </w:p>
        </w:tc>
        <w:tc>
          <w:tcPr>
            <w:tcW w:w="1056" w:type="dxa"/>
          </w:tcPr>
          <w:p w14:paraId="317D65DC"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01.04.19</w:t>
            </w:r>
          </w:p>
        </w:tc>
        <w:tc>
          <w:tcPr>
            <w:tcW w:w="1056" w:type="dxa"/>
          </w:tcPr>
          <w:p w14:paraId="32B96551"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02.07.19</w:t>
            </w:r>
          </w:p>
        </w:tc>
        <w:tc>
          <w:tcPr>
            <w:tcW w:w="1056" w:type="dxa"/>
          </w:tcPr>
          <w:p w14:paraId="0D709757"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25.09.19</w:t>
            </w:r>
          </w:p>
        </w:tc>
        <w:tc>
          <w:tcPr>
            <w:tcW w:w="1056" w:type="dxa"/>
          </w:tcPr>
          <w:p w14:paraId="336A9FF3"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19.11.19</w:t>
            </w:r>
          </w:p>
        </w:tc>
        <w:tc>
          <w:tcPr>
            <w:tcW w:w="1056" w:type="dxa"/>
          </w:tcPr>
          <w:p w14:paraId="1C8701B9"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13.12.19</w:t>
            </w:r>
          </w:p>
        </w:tc>
        <w:tc>
          <w:tcPr>
            <w:tcW w:w="1185" w:type="dxa"/>
          </w:tcPr>
          <w:p w14:paraId="0259E4E3"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Отчет на 31.12.19</w:t>
            </w:r>
          </w:p>
        </w:tc>
        <w:tc>
          <w:tcPr>
            <w:tcW w:w="984" w:type="dxa"/>
          </w:tcPr>
          <w:p w14:paraId="4DAE814D" w14:textId="77777777" w:rsidR="00B823F8" w:rsidRPr="00A53AD7" w:rsidRDefault="00B823F8" w:rsidP="00B823F8">
            <w:pPr>
              <w:pStyle w:val="ad"/>
              <w:ind w:left="-117" w:right="-108" w:firstLine="65"/>
              <w:jc w:val="both"/>
              <w:rPr>
                <w:rFonts w:ascii="Times New Roman" w:hAnsi="Times New Roman"/>
                <w:sz w:val="24"/>
                <w:szCs w:val="24"/>
              </w:rPr>
            </w:pPr>
            <w:r w:rsidRPr="00A53AD7">
              <w:rPr>
                <w:rFonts w:ascii="Times New Roman" w:hAnsi="Times New Roman"/>
                <w:sz w:val="24"/>
                <w:szCs w:val="24"/>
              </w:rPr>
              <w:t>Исполнено в %%</w:t>
            </w:r>
          </w:p>
        </w:tc>
      </w:tr>
      <w:tr w:rsidR="00D470B6" w:rsidRPr="00A53AD7" w14:paraId="7EAFC45A" w14:textId="77777777" w:rsidTr="00565C30">
        <w:tc>
          <w:tcPr>
            <w:tcW w:w="1129" w:type="dxa"/>
          </w:tcPr>
          <w:p w14:paraId="23F1B4A1" w14:textId="77777777" w:rsidR="00B823F8" w:rsidRPr="00A53AD7" w:rsidRDefault="00B823F8" w:rsidP="00271766">
            <w:pPr>
              <w:pStyle w:val="ad"/>
              <w:ind w:right="-108" w:hanging="113"/>
              <w:rPr>
                <w:rFonts w:ascii="Times New Roman" w:hAnsi="Times New Roman"/>
                <w:sz w:val="24"/>
                <w:szCs w:val="24"/>
              </w:rPr>
            </w:pPr>
            <w:r w:rsidRPr="00A53AD7">
              <w:rPr>
                <w:rFonts w:ascii="Times New Roman" w:hAnsi="Times New Roman"/>
                <w:sz w:val="24"/>
                <w:szCs w:val="24"/>
              </w:rPr>
              <w:t xml:space="preserve">Сумма </w:t>
            </w:r>
          </w:p>
        </w:tc>
        <w:tc>
          <w:tcPr>
            <w:tcW w:w="1056" w:type="dxa"/>
          </w:tcPr>
          <w:p w14:paraId="0AAB3AD1"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247,9</w:t>
            </w:r>
          </w:p>
        </w:tc>
        <w:tc>
          <w:tcPr>
            <w:tcW w:w="1056" w:type="dxa"/>
          </w:tcPr>
          <w:p w14:paraId="65FC0B7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384,5</w:t>
            </w:r>
          </w:p>
        </w:tc>
        <w:tc>
          <w:tcPr>
            <w:tcW w:w="1056" w:type="dxa"/>
          </w:tcPr>
          <w:p w14:paraId="115190A8"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423,9</w:t>
            </w:r>
          </w:p>
        </w:tc>
        <w:tc>
          <w:tcPr>
            <w:tcW w:w="1056" w:type="dxa"/>
          </w:tcPr>
          <w:p w14:paraId="01273322"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442,0</w:t>
            </w:r>
          </w:p>
        </w:tc>
        <w:tc>
          <w:tcPr>
            <w:tcW w:w="1056" w:type="dxa"/>
          </w:tcPr>
          <w:p w14:paraId="57E1585F"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445,0</w:t>
            </w:r>
          </w:p>
        </w:tc>
        <w:tc>
          <w:tcPr>
            <w:tcW w:w="1056" w:type="dxa"/>
          </w:tcPr>
          <w:p w14:paraId="7B08171E"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275,5</w:t>
            </w:r>
          </w:p>
        </w:tc>
        <w:tc>
          <w:tcPr>
            <w:tcW w:w="1185" w:type="dxa"/>
          </w:tcPr>
          <w:p w14:paraId="006BC0B4"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154,6</w:t>
            </w:r>
          </w:p>
        </w:tc>
        <w:tc>
          <w:tcPr>
            <w:tcW w:w="984" w:type="dxa"/>
          </w:tcPr>
          <w:p w14:paraId="40CC74F5"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56,1%</w:t>
            </w:r>
          </w:p>
        </w:tc>
      </w:tr>
      <w:tr w:rsidR="00D470B6" w:rsidRPr="00A53AD7" w14:paraId="50BB6A3D" w14:textId="77777777" w:rsidTr="00565C30">
        <w:tc>
          <w:tcPr>
            <w:tcW w:w="1129" w:type="dxa"/>
          </w:tcPr>
          <w:p w14:paraId="380CA4D6" w14:textId="77777777" w:rsidR="00B823F8" w:rsidRPr="00A53AD7" w:rsidRDefault="00B823F8" w:rsidP="00271766">
            <w:pPr>
              <w:pStyle w:val="ad"/>
              <w:ind w:right="-108" w:hanging="113"/>
              <w:rPr>
                <w:rFonts w:ascii="Times New Roman" w:hAnsi="Times New Roman"/>
                <w:sz w:val="24"/>
                <w:szCs w:val="24"/>
              </w:rPr>
            </w:pPr>
            <w:r w:rsidRPr="00A53AD7">
              <w:rPr>
                <w:rFonts w:ascii="Times New Roman" w:hAnsi="Times New Roman"/>
                <w:sz w:val="24"/>
                <w:szCs w:val="24"/>
              </w:rPr>
              <w:t>кол-во объектов</w:t>
            </w:r>
          </w:p>
        </w:tc>
        <w:tc>
          <w:tcPr>
            <w:tcW w:w="1056" w:type="dxa"/>
          </w:tcPr>
          <w:p w14:paraId="581C6E32" w14:textId="77777777" w:rsidR="00B823F8" w:rsidRPr="00A53AD7" w:rsidRDefault="00B823F8" w:rsidP="00B823F8">
            <w:pPr>
              <w:pStyle w:val="ad"/>
              <w:jc w:val="center"/>
              <w:rPr>
                <w:rFonts w:ascii="Times New Roman" w:hAnsi="Times New Roman"/>
                <w:sz w:val="24"/>
                <w:szCs w:val="24"/>
              </w:rPr>
            </w:pPr>
          </w:p>
          <w:p w14:paraId="55BC66CE"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12</w:t>
            </w:r>
          </w:p>
        </w:tc>
        <w:tc>
          <w:tcPr>
            <w:tcW w:w="1056" w:type="dxa"/>
          </w:tcPr>
          <w:p w14:paraId="37C0C33B" w14:textId="77777777" w:rsidR="00B823F8" w:rsidRPr="00A53AD7" w:rsidRDefault="00B823F8" w:rsidP="00B823F8">
            <w:pPr>
              <w:pStyle w:val="ad"/>
              <w:jc w:val="center"/>
              <w:rPr>
                <w:rFonts w:ascii="Times New Roman" w:hAnsi="Times New Roman"/>
                <w:sz w:val="24"/>
                <w:szCs w:val="24"/>
              </w:rPr>
            </w:pPr>
          </w:p>
          <w:p w14:paraId="790E7277"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24</w:t>
            </w:r>
          </w:p>
        </w:tc>
        <w:tc>
          <w:tcPr>
            <w:tcW w:w="1056" w:type="dxa"/>
          </w:tcPr>
          <w:p w14:paraId="3A4A3CBC" w14:textId="77777777" w:rsidR="00B823F8" w:rsidRPr="00A53AD7" w:rsidRDefault="00B823F8" w:rsidP="00B823F8">
            <w:pPr>
              <w:pStyle w:val="ad"/>
              <w:jc w:val="center"/>
              <w:rPr>
                <w:rFonts w:ascii="Times New Roman" w:hAnsi="Times New Roman"/>
                <w:sz w:val="24"/>
                <w:szCs w:val="24"/>
              </w:rPr>
            </w:pPr>
          </w:p>
          <w:p w14:paraId="4D08DBBA"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25</w:t>
            </w:r>
          </w:p>
        </w:tc>
        <w:tc>
          <w:tcPr>
            <w:tcW w:w="1056" w:type="dxa"/>
          </w:tcPr>
          <w:p w14:paraId="67E249D5" w14:textId="77777777" w:rsidR="00B823F8" w:rsidRPr="00A53AD7" w:rsidRDefault="00B823F8" w:rsidP="00B823F8">
            <w:pPr>
              <w:pStyle w:val="ad"/>
              <w:jc w:val="center"/>
              <w:rPr>
                <w:rFonts w:ascii="Times New Roman" w:hAnsi="Times New Roman"/>
                <w:sz w:val="24"/>
                <w:szCs w:val="24"/>
              </w:rPr>
            </w:pPr>
          </w:p>
          <w:p w14:paraId="6F37535B"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25</w:t>
            </w:r>
          </w:p>
        </w:tc>
        <w:tc>
          <w:tcPr>
            <w:tcW w:w="1056" w:type="dxa"/>
          </w:tcPr>
          <w:p w14:paraId="3885C83D" w14:textId="77777777" w:rsidR="00B823F8" w:rsidRPr="00A53AD7" w:rsidRDefault="00B823F8" w:rsidP="00B823F8">
            <w:pPr>
              <w:pStyle w:val="ad"/>
              <w:jc w:val="center"/>
              <w:rPr>
                <w:rFonts w:ascii="Times New Roman" w:hAnsi="Times New Roman"/>
                <w:sz w:val="24"/>
                <w:szCs w:val="24"/>
              </w:rPr>
            </w:pPr>
          </w:p>
          <w:p w14:paraId="7F5FA180"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25</w:t>
            </w:r>
          </w:p>
        </w:tc>
        <w:tc>
          <w:tcPr>
            <w:tcW w:w="1056" w:type="dxa"/>
          </w:tcPr>
          <w:p w14:paraId="12C3A76F" w14:textId="77777777" w:rsidR="00B823F8" w:rsidRPr="00A53AD7" w:rsidRDefault="00B823F8" w:rsidP="00B823F8">
            <w:pPr>
              <w:pStyle w:val="ad"/>
              <w:jc w:val="center"/>
              <w:rPr>
                <w:rFonts w:ascii="Times New Roman" w:hAnsi="Times New Roman"/>
                <w:sz w:val="24"/>
                <w:szCs w:val="24"/>
              </w:rPr>
            </w:pPr>
          </w:p>
          <w:p w14:paraId="76FB1195"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25</w:t>
            </w:r>
          </w:p>
        </w:tc>
        <w:tc>
          <w:tcPr>
            <w:tcW w:w="1185" w:type="dxa"/>
          </w:tcPr>
          <w:p w14:paraId="18DE6D2E" w14:textId="77777777" w:rsidR="00B823F8" w:rsidRPr="00A53AD7" w:rsidRDefault="00B823F8" w:rsidP="00B823F8">
            <w:pPr>
              <w:pStyle w:val="ad"/>
              <w:jc w:val="center"/>
              <w:rPr>
                <w:rFonts w:ascii="Times New Roman" w:hAnsi="Times New Roman"/>
                <w:sz w:val="24"/>
                <w:szCs w:val="24"/>
              </w:rPr>
            </w:pPr>
          </w:p>
          <w:p w14:paraId="280F2E7E"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18</w:t>
            </w:r>
          </w:p>
        </w:tc>
        <w:tc>
          <w:tcPr>
            <w:tcW w:w="984" w:type="dxa"/>
          </w:tcPr>
          <w:p w14:paraId="697754C3" w14:textId="77777777" w:rsidR="00B823F8" w:rsidRPr="00A53AD7" w:rsidRDefault="00B823F8" w:rsidP="00B823F8">
            <w:pPr>
              <w:pStyle w:val="ad"/>
              <w:jc w:val="center"/>
              <w:rPr>
                <w:rFonts w:ascii="Times New Roman" w:hAnsi="Times New Roman"/>
                <w:sz w:val="24"/>
                <w:szCs w:val="24"/>
              </w:rPr>
            </w:pPr>
          </w:p>
          <w:p w14:paraId="21FBB780"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78,3%</w:t>
            </w:r>
          </w:p>
        </w:tc>
      </w:tr>
      <w:tr w:rsidR="00D470B6" w:rsidRPr="00A53AD7" w14:paraId="5E46E5DE" w14:textId="77777777" w:rsidTr="00565C30">
        <w:tc>
          <w:tcPr>
            <w:tcW w:w="1129" w:type="dxa"/>
          </w:tcPr>
          <w:p w14:paraId="40E77D9A" w14:textId="77777777" w:rsidR="00B823F8" w:rsidRPr="00A53AD7" w:rsidRDefault="00B823F8" w:rsidP="00271766">
            <w:pPr>
              <w:pStyle w:val="ad"/>
              <w:ind w:hanging="113"/>
              <w:rPr>
                <w:rFonts w:ascii="Times New Roman" w:hAnsi="Times New Roman"/>
                <w:sz w:val="24"/>
                <w:szCs w:val="24"/>
              </w:rPr>
            </w:pPr>
            <w:r w:rsidRPr="00A53AD7">
              <w:rPr>
                <w:rFonts w:ascii="Times New Roman" w:hAnsi="Times New Roman"/>
                <w:sz w:val="24"/>
                <w:szCs w:val="24"/>
              </w:rPr>
              <w:t>(+, -) сумма</w:t>
            </w:r>
          </w:p>
        </w:tc>
        <w:tc>
          <w:tcPr>
            <w:tcW w:w="1056" w:type="dxa"/>
          </w:tcPr>
          <w:p w14:paraId="0BCA55D0" w14:textId="77777777" w:rsidR="00B823F8" w:rsidRPr="00A53AD7" w:rsidRDefault="00B823F8" w:rsidP="00B823F8">
            <w:pPr>
              <w:pStyle w:val="ad"/>
              <w:jc w:val="center"/>
              <w:rPr>
                <w:rFonts w:ascii="Times New Roman" w:hAnsi="Times New Roman"/>
                <w:sz w:val="24"/>
                <w:szCs w:val="24"/>
              </w:rPr>
            </w:pPr>
          </w:p>
        </w:tc>
        <w:tc>
          <w:tcPr>
            <w:tcW w:w="1056" w:type="dxa"/>
          </w:tcPr>
          <w:p w14:paraId="6C4AD05F"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+136,6</w:t>
            </w:r>
          </w:p>
        </w:tc>
        <w:tc>
          <w:tcPr>
            <w:tcW w:w="1056" w:type="dxa"/>
          </w:tcPr>
          <w:p w14:paraId="0D28B51D"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+39,4</w:t>
            </w:r>
          </w:p>
        </w:tc>
        <w:tc>
          <w:tcPr>
            <w:tcW w:w="1056" w:type="dxa"/>
          </w:tcPr>
          <w:p w14:paraId="6DB8E2E3"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-18,1</w:t>
            </w:r>
          </w:p>
        </w:tc>
        <w:tc>
          <w:tcPr>
            <w:tcW w:w="1056" w:type="dxa"/>
          </w:tcPr>
          <w:p w14:paraId="68E517FF"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+3,0</w:t>
            </w:r>
          </w:p>
        </w:tc>
        <w:tc>
          <w:tcPr>
            <w:tcW w:w="1056" w:type="dxa"/>
          </w:tcPr>
          <w:p w14:paraId="37D68374"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-169,5</w:t>
            </w:r>
          </w:p>
        </w:tc>
        <w:tc>
          <w:tcPr>
            <w:tcW w:w="1185" w:type="dxa"/>
          </w:tcPr>
          <w:p w14:paraId="3B7DCF9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-120,9</w:t>
            </w:r>
          </w:p>
        </w:tc>
        <w:tc>
          <w:tcPr>
            <w:tcW w:w="984" w:type="dxa"/>
          </w:tcPr>
          <w:p w14:paraId="64925EA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56,1%</w:t>
            </w:r>
          </w:p>
        </w:tc>
      </w:tr>
      <w:tr w:rsidR="00B823F8" w:rsidRPr="00A53AD7" w14:paraId="31EB355C" w14:textId="77777777" w:rsidTr="00565C30">
        <w:tc>
          <w:tcPr>
            <w:tcW w:w="1129" w:type="dxa"/>
          </w:tcPr>
          <w:p w14:paraId="60ED5960" w14:textId="77777777" w:rsidR="00B823F8" w:rsidRPr="00A53AD7" w:rsidRDefault="00B823F8" w:rsidP="00271766">
            <w:pPr>
              <w:pStyle w:val="ad"/>
              <w:ind w:hanging="113"/>
              <w:rPr>
                <w:rFonts w:ascii="Times New Roman" w:hAnsi="Times New Roman"/>
                <w:sz w:val="24"/>
                <w:szCs w:val="24"/>
              </w:rPr>
            </w:pPr>
            <w:r w:rsidRPr="00A53AD7">
              <w:rPr>
                <w:rFonts w:ascii="Times New Roman" w:hAnsi="Times New Roman"/>
                <w:sz w:val="24"/>
                <w:szCs w:val="24"/>
              </w:rPr>
              <w:t>(+,-) объекты</w:t>
            </w:r>
          </w:p>
        </w:tc>
        <w:tc>
          <w:tcPr>
            <w:tcW w:w="1056" w:type="dxa"/>
          </w:tcPr>
          <w:p w14:paraId="0C8AAF04" w14:textId="77777777" w:rsidR="00B823F8" w:rsidRPr="00A53AD7" w:rsidRDefault="00B823F8" w:rsidP="00B823F8">
            <w:pPr>
              <w:pStyle w:val="ad"/>
              <w:jc w:val="center"/>
              <w:rPr>
                <w:rFonts w:ascii="Times New Roman" w:hAnsi="Times New Roman"/>
                <w:sz w:val="24"/>
                <w:szCs w:val="24"/>
              </w:rPr>
            </w:pPr>
          </w:p>
        </w:tc>
        <w:tc>
          <w:tcPr>
            <w:tcW w:w="1056" w:type="dxa"/>
          </w:tcPr>
          <w:p w14:paraId="3F68D896"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+12</w:t>
            </w:r>
          </w:p>
        </w:tc>
        <w:tc>
          <w:tcPr>
            <w:tcW w:w="1056" w:type="dxa"/>
          </w:tcPr>
          <w:p w14:paraId="3449CBCF"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w:t>
            </w:r>
          </w:p>
        </w:tc>
        <w:tc>
          <w:tcPr>
            <w:tcW w:w="1056" w:type="dxa"/>
          </w:tcPr>
          <w:p w14:paraId="0E1C8B76" w14:textId="77777777" w:rsidR="00B823F8" w:rsidRPr="00A53AD7" w:rsidRDefault="00B823F8" w:rsidP="00B823F8">
            <w:pPr>
              <w:pStyle w:val="ad"/>
              <w:jc w:val="center"/>
              <w:rPr>
                <w:rFonts w:ascii="Times New Roman" w:hAnsi="Times New Roman"/>
                <w:sz w:val="24"/>
                <w:szCs w:val="24"/>
              </w:rPr>
            </w:pPr>
          </w:p>
        </w:tc>
        <w:tc>
          <w:tcPr>
            <w:tcW w:w="1056" w:type="dxa"/>
          </w:tcPr>
          <w:p w14:paraId="781ED760" w14:textId="77777777" w:rsidR="00B823F8" w:rsidRPr="00A53AD7" w:rsidRDefault="00B823F8" w:rsidP="00B823F8">
            <w:pPr>
              <w:pStyle w:val="ad"/>
              <w:jc w:val="center"/>
              <w:rPr>
                <w:rFonts w:ascii="Times New Roman" w:hAnsi="Times New Roman"/>
                <w:sz w:val="24"/>
                <w:szCs w:val="24"/>
              </w:rPr>
            </w:pPr>
          </w:p>
        </w:tc>
        <w:tc>
          <w:tcPr>
            <w:tcW w:w="1056" w:type="dxa"/>
          </w:tcPr>
          <w:p w14:paraId="52396FD7" w14:textId="77777777" w:rsidR="00B823F8" w:rsidRPr="00A53AD7" w:rsidRDefault="00B823F8" w:rsidP="00B823F8">
            <w:pPr>
              <w:pStyle w:val="ad"/>
              <w:jc w:val="center"/>
              <w:rPr>
                <w:rFonts w:ascii="Times New Roman" w:hAnsi="Times New Roman"/>
                <w:sz w:val="24"/>
                <w:szCs w:val="24"/>
              </w:rPr>
            </w:pPr>
          </w:p>
        </w:tc>
        <w:tc>
          <w:tcPr>
            <w:tcW w:w="1185" w:type="dxa"/>
          </w:tcPr>
          <w:p w14:paraId="00846F97" w14:textId="77777777" w:rsidR="00B823F8" w:rsidRPr="00A53AD7" w:rsidRDefault="00B823F8" w:rsidP="00B823F8">
            <w:pPr>
              <w:pStyle w:val="ad"/>
              <w:jc w:val="center"/>
              <w:rPr>
                <w:rFonts w:ascii="Times New Roman" w:hAnsi="Times New Roman"/>
                <w:sz w:val="24"/>
                <w:szCs w:val="24"/>
              </w:rPr>
            </w:pPr>
          </w:p>
        </w:tc>
        <w:tc>
          <w:tcPr>
            <w:tcW w:w="984" w:type="dxa"/>
          </w:tcPr>
          <w:p w14:paraId="73B99738" w14:textId="77777777" w:rsidR="00B823F8" w:rsidRPr="00A53AD7" w:rsidRDefault="00B823F8" w:rsidP="00B823F8">
            <w:pPr>
              <w:pStyle w:val="ad"/>
              <w:jc w:val="center"/>
              <w:rPr>
                <w:rFonts w:ascii="Times New Roman" w:hAnsi="Times New Roman"/>
                <w:sz w:val="24"/>
                <w:szCs w:val="24"/>
              </w:rPr>
            </w:pPr>
          </w:p>
        </w:tc>
      </w:tr>
    </w:tbl>
    <w:p w14:paraId="276ACCBC" w14:textId="77777777" w:rsidR="00B823F8" w:rsidRPr="00A53AD7" w:rsidRDefault="00B823F8" w:rsidP="00B823F8">
      <w:pPr>
        <w:pStyle w:val="ad"/>
        <w:ind w:firstLine="709"/>
        <w:jc w:val="both"/>
        <w:rPr>
          <w:rFonts w:ascii="Times New Roman" w:hAnsi="Times New Roman"/>
          <w:sz w:val="28"/>
          <w:szCs w:val="28"/>
          <w:highlight w:val="cyan"/>
        </w:rPr>
      </w:pPr>
    </w:p>
    <w:p w14:paraId="473D189F" w14:textId="37E75DED" w:rsidR="00B823F8" w:rsidRPr="00A53AD7" w:rsidRDefault="00B823F8" w:rsidP="00271766">
      <w:pPr>
        <w:pStyle w:val="ad"/>
        <w:ind w:firstLine="851"/>
        <w:jc w:val="both"/>
        <w:rPr>
          <w:rFonts w:ascii="Times New Roman" w:hAnsi="Times New Roman"/>
          <w:sz w:val="28"/>
          <w:szCs w:val="28"/>
        </w:rPr>
      </w:pPr>
      <w:r w:rsidRPr="00A53AD7">
        <w:rPr>
          <w:rFonts w:ascii="Times New Roman" w:hAnsi="Times New Roman"/>
          <w:sz w:val="28"/>
          <w:szCs w:val="28"/>
        </w:rPr>
        <w:t>Главный распорядитель программы министерство строительства и архитектуры, по 1 объекту министерство образования и науки Архангельской области.</w:t>
      </w:r>
    </w:p>
    <w:p w14:paraId="0DE65AD0" w14:textId="3EF0F3AE" w:rsidR="00B823F8" w:rsidRPr="00A53AD7" w:rsidRDefault="00B823F8" w:rsidP="001F5489">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5936A93D"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64"/>
        <w:gridCol w:w="1865"/>
        <w:gridCol w:w="1865"/>
        <w:gridCol w:w="1865"/>
        <w:gridCol w:w="1865"/>
      </w:tblGrid>
      <w:tr w:rsidR="00D470B6" w:rsidRPr="00A53AD7" w14:paraId="555FC41C" w14:textId="77777777" w:rsidTr="001F5489">
        <w:tc>
          <w:tcPr>
            <w:tcW w:w="1869" w:type="dxa"/>
          </w:tcPr>
          <w:p w14:paraId="21077489" w14:textId="77777777" w:rsidR="00B823F8" w:rsidRPr="00A53AD7" w:rsidRDefault="00B823F8" w:rsidP="001F5489">
            <w:pPr>
              <w:pStyle w:val="ad"/>
              <w:jc w:val="center"/>
              <w:rPr>
                <w:rFonts w:ascii="Times New Roman" w:hAnsi="Times New Roman"/>
              </w:rPr>
            </w:pPr>
          </w:p>
        </w:tc>
        <w:tc>
          <w:tcPr>
            <w:tcW w:w="1869" w:type="dxa"/>
          </w:tcPr>
          <w:p w14:paraId="360E6A69" w14:textId="77777777" w:rsidR="00B823F8" w:rsidRPr="00A53AD7" w:rsidRDefault="00B823F8" w:rsidP="001F5489">
            <w:pPr>
              <w:pStyle w:val="ad"/>
              <w:jc w:val="center"/>
              <w:rPr>
                <w:rFonts w:ascii="Times New Roman" w:hAnsi="Times New Roman"/>
              </w:rPr>
            </w:pPr>
            <w:r w:rsidRPr="00A53AD7">
              <w:rPr>
                <w:rFonts w:ascii="Times New Roman" w:hAnsi="Times New Roman"/>
              </w:rPr>
              <w:t>На 01.04.2019</w:t>
            </w:r>
          </w:p>
        </w:tc>
        <w:tc>
          <w:tcPr>
            <w:tcW w:w="1869" w:type="dxa"/>
          </w:tcPr>
          <w:p w14:paraId="6215124A" w14:textId="77777777" w:rsidR="00B823F8" w:rsidRPr="00A53AD7" w:rsidRDefault="00B823F8" w:rsidP="001F5489">
            <w:pPr>
              <w:pStyle w:val="ad"/>
              <w:jc w:val="center"/>
              <w:rPr>
                <w:rFonts w:ascii="Times New Roman" w:hAnsi="Times New Roman"/>
              </w:rPr>
            </w:pPr>
            <w:r w:rsidRPr="00A53AD7">
              <w:rPr>
                <w:rFonts w:ascii="Times New Roman" w:hAnsi="Times New Roman"/>
              </w:rPr>
              <w:t>На 01.07.2019</w:t>
            </w:r>
          </w:p>
        </w:tc>
        <w:tc>
          <w:tcPr>
            <w:tcW w:w="1869" w:type="dxa"/>
          </w:tcPr>
          <w:p w14:paraId="5D6B7A0C" w14:textId="77777777" w:rsidR="00B823F8" w:rsidRPr="00A53AD7" w:rsidRDefault="00B823F8" w:rsidP="001F5489">
            <w:pPr>
              <w:pStyle w:val="ad"/>
              <w:jc w:val="center"/>
              <w:rPr>
                <w:rFonts w:ascii="Times New Roman" w:hAnsi="Times New Roman"/>
              </w:rPr>
            </w:pPr>
            <w:r w:rsidRPr="00A53AD7">
              <w:rPr>
                <w:rFonts w:ascii="Times New Roman" w:hAnsi="Times New Roman"/>
              </w:rPr>
              <w:t>На 01.10.2019</w:t>
            </w:r>
          </w:p>
        </w:tc>
        <w:tc>
          <w:tcPr>
            <w:tcW w:w="1869" w:type="dxa"/>
          </w:tcPr>
          <w:p w14:paraId="7F35FE0A" w14:textId="77777777" w:rsidR="00B823F8" w:rsidRPr="00A53AD7" w:rsidRDefault="00B823F8" w:rsidP="001F5489">
            <w:pPr>
              <w:pStyle w:val="ad"/>
              <w:jc w:val="center"/>
              <w:rPr>
                <w:rFonts w:ascii="Times New Roman" w:hAnsi="Times New Roman"/>
              </w:rPr>
            </w:pPr>
            <w:r w:rsidRPr="00A53AD7">
              <w:rPr>
                <w:rFonts w:ascii="Times New Roman" w:hAnsi="Times New Roman"/>
              </w:rPr>
              <w:t>На 31.12.2019</w:t>
            </w:r>
          </w:p>
        </w:tc>
      </w:tr>
      <w:tr w:rsidR="00D470B6" w:rsidRPr="00A53AD7" w14:paraId="0282607C" w14:textId="77777777" w:rsidTr="001F5489">
        <w:tc>
          <w:tcPr>
            <w:tcW w:w="1869" w:type="dxa"/>
          </w:tcPr>
          <w:p w14:paraId="55F35763"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869" w:type="dxa"/>
          </w:tcPr>
          <w:p w14:paraId="736C5C69" w14:textId="77777777" w:rsidR="00B823F8" w:rsidRPr="00A53AD7" w:rsidRDefault="00B823F8" w:rsidP="00B823F8">
            <w:pPr>
              <w:pStyle w:val="ad"/>
              <w:jc w:val="center"/>
              <w:rPr>
                <w:rFonts w:ascii="Times New Roman" w:hAnsi="Times New Roman"/>
              </w:rPr>
            </w:pPr>
            <w:r w:rsidRPr="00A53AD7">
              <w:rPr>
                <w:rFonts w:ascii="Times New Roman" w:hAnsi="Times New Roman"/>
              </w:rPr>
              <w:t>309,2</w:t>
            </w:r>
          </w:p>
        </w:tc>
        <w:tc>
          <w:tcPr>
            <w:tcW w:w="1869" w:type="dxa"/>
          </w:tcPr>
          <w:p w14:paraId="1F22141E" w14:textId="77777777" w:rsidR="00B823F8" w:rsidRPr="00A53AD7" w:rsidRDefault="00B823F8" w:rsidP="00B823F8">
            <w:pPr>
              <w:pStyle w:val="ad"/>
              <w:jc w:val="center"/>
              <w:rPr>
                <w:rFonts w:ascii="Times New Roman" w:hAnsi="Times New Roman"/>
              </w:rPr>
            </w:pPr>
            <w:r w:rsidRPr="00A53AD7">
              <w:rPr>
                <w:rFonts w:ascii="Times New Roman" w:hAnsi="Times New Roman"/>
              </w:rPr>
              <w:t>384,5</w:t>
            </w:r>
          </w:p>
        </w:tc>
        <w:tc>
          <w:tcPr>
            <w:tcW w:w="1869" w:type="dxa"/>
          </w:tcPr>
          <w:p w14:paraId="796A92FE" w14:textId="77777777" w:rsidR="00B823F8" w:rsidRPr="00A53AD7" w:rsidRDefault="00B823F8" w:rsidP="00B823F8">
            <w:pPr>
              <w:pStyle w:val="ad"/>
              <w:jc w:val="center"/>
              <w:rPr>
                <w:rFonts w:ascii="Times New Roman" w:hAnsi="Times New Roman"/>
              </w:rPr>
            </w:pPr>
            <w:r w:rsidRPr="00A53AD7">
              <w:rPr>
                <w:rFonts w:ascii="Times New Roman" w:hAnsi="Times New Roman"/>
              </w:rPr>
              <w:t>442,0</w:t>
            </w:r>
          </w:p>
        </w:tc>
        <w:tc>
          <w:tcPr>
            <w:tcW w:w="1869" w:type="dxa"/>
          </w:tcPr>
          <w:p w14:paraId="08962126" w14:textId="77777777" w:rsidR="00B823F8" w:rsidRPr="00A53AD7" w:rsidRDefault="00B823F8" w:rsidP="00B823F8">
            <w:pPr>
              <w:pStyle w:val="ad"/>
              <w:jc w:val="center"/>
              <w:rPr>
                <w:rFonts w:ascii="Times New Roman" w:hAnsi="Times New Roman"/>
              </w:rPr>
            </w:pPr>
            <w:r w:rsidRPr="00A53AD7">
              <w:rPr>
                <w:rFonts w:ascii="Times New Roman" w:hAnsi="Times New Roman"/>
              </w:rPr>
              <w:t>275,5</w:t>
            </w:r>
          </w:p>
        </w:tc>
      </w:tr>
      <w:tr w:rsidR="00D470B6" w:rsidRPr="00A53AD7" w14:paraId="22A9B5B6" w14:textId="77777777" w:rsidTr="001F5489">
        <w:tc>
          <w:tcPr>
            <w:tcW w:w="1869" w:type="dxa"/>
          </w:tcPr>
          <w:p w14:paraId="5EBC38E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869" w:type="dxa"/>
          </w:tcPr>
          <w:p w14:paraId="75E0F207" w14:textId="77777777" w:rsidR="00B823F8" w:rsidRPr="00A53AD7" w:rsidRDefault="00B823F8" w:rsidP="00B823F8">
            <w:pPr>
              <w:pStyle w:val="ad"/>
              <w:jc w:val="center"/>
              <w:rPr>
                <w:rFonts w:ascii="Times New Roman" w:hAnsi="Times New Roman"/>
              </w:rPr>
            </w:pPr>
            <w:r w:rsidRPr="00A53AD7">
              <w:rPr>
                <w:rFonts w:ascii="Times New Roman" w:hAnsi="Times New Roman"/>
              </w:rPr>
              <w:t>9,3</w:t>
            </w:r>
          </w:p>
        </w:tc>
        <w:tc>
          <w:tcPr>
            <w:tcW w:w="1869" w:type="dxa"/>
          </w:tcPr>
          <w:p w14:paraId="51B1F924" w14:textId="77777777" w:rsidR="00B823F8" w:rsidRPr="00A53AD7" w:rsidRDefault="00B823F8" w:rsidP="00B823F8">
            <w:pPr>
              <w:pStyle w:val="ad"/>
              <w:jc w:val="center"/>
              <w:rPr>
                <w:rFonts w:ascii="Times New Roman" w:hAnsi="Times New Roman"/>
              </w:rPr>
            </w:pPr>
            <w:r w:rsidRPr="00A53AD7">
              <w:rPr>
                <w:rFonts w:ascii="Times New Roman" w:hAnsi="Times New Roman"/>
              </w:rPr>
              <w:t>29,0</w:t>
            </w:r>
          </w:p>
        </w:tc>
        <w:tc>
          <w:tcPr>
            <w:tcW w:w="1869" w:type="dxa"/>
          </w:tcPr>
          <w:p w14:paraId="33AFCAFF" w14:textId="77777777" w:rsidR="00B823F8" w:rsidRPr="00A53AD7" w:rsidRDefault="00B823F8" w:rsidP="00B823F8">
            <w:pPr>
              <w:pStyle w:val="ad"/>
              <w:jc w:val="center"/>
              <w:rPr>
                <w:rFonts w:ascii="Times New Roman" w:hAnsi="Times New Roman"/>
              </w:rPr>
            </w:pPr>
            <w:r w:rsidRPr="00A53AD7">
              <w:rPr>
                <w:rFonts w:ascii="Times New Roman" w:hAnsi="Times New Roman"/>
              </w:rPr>
              <w:t>66,1</w:t>
            </w:r>
          </w:p>
        </w:tc>
        <w:tc>
          <w:tcPr>
            <w:tcW w:w="1869" w:type="dxa"/>
          </w:tcPr>
          <w:p w14:paraId="7A0B6835" w14:textId="77777777" w:rsidR="00B823F8" w:rsidRPr="00A53AD7" w:rsidRDefault="00B823F8" w:rsidP="00B823F8">
            <w:pPr>
              <w:pStyle w:val="ad"/>
              <w:jc w:val="center"/>
              <w:rPr>
                <w:rFonts w:ascii="Times New Roman" w:hAnsi="Times New Roman"/>
              </w:rPr>
            </w:pPr>
            <w:r w:rsidRPr="00A53AD7">
              <w:rPr>
                <w:rFonts w:ascii="Times New Roman" w:hAnsi="Times New Roman"/>
              </w:rPr>
              <w:t>154,6</w:t>
            </w:r>
          </w:p>
        </w:tc>
      </w:tr>
      <w:tr w:rsidR="00D470B6" w:rsidRPr="00A53AD7" w14:paraId="377D59BF" w14:textId="77777777" w:rsidTr="001F5489">
        <w:tc>
          <w:tcPr>
            <w:tcW w:w="1869" w:type="dxa"/>
          </w:tcPr>
          <w:p w14:paraId="63ACD5B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869" w:type="dxa"/>
          </w:tcPr>
          <w:p w14:paraId="788FBC1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3,0%</w:t>
            </w:r>
          </w:p>
        </w:tc>
        <w:tc>
          <w:tcPr>
            <w:tcW w:w="1869" w:type="dxa"/>
          </w:tcPr>
          <w:p w14:paraId="3D2F02A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w:t>
            </w:r>
          </w:p>
        </w:tc>
        <w:tc>
          <w:tcPr>
            <w:tcW w:w="1869" w:type="dxa"/>
          </w:tcPr>
          <w:p w14:paraId="4F850A0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15,0%</w:t>
            </w:r>
          </w:p>
        </w:tc>
        <w:tc>
          <w:tcPr>
            <w:tcW w:w="1869" w:type="dxa"/>
          </w:tcPr>
          <w:p w14:paraId="3DDF383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56,1%</w:t>
            </w:r>
          </w:p>
        </w:tc>
      </w:tr>
      <w:tr w:rsidR="00D470B6" w:rsidRPr="00A53AD7" w14:paraId="4FB4F325" w14:textId="77777777" w:rsidTr="001F5489">
        <w:tc>
          <w:tcPr>
            <w:tcW w:w="1869" w:type="dxa"/>
          </w:tcPr>
          <w:p w14:paraId="5EE8C934" w14:textId="2B8D90A8" w:rsidR="00B823F8" w:rsidRPr="00A53AD7" w:rsidRDefault="00B823F8" w:rsidP="00BF3573">
            <w:pPr>
              <w:pStyle w:val="ad"/>
              <w:jc w:val="both"/>
              <w:rPr>
                <w:rFonts w:ascii="Times New Roman" w:hAnsi="Times New Roman"/>
              </w:rPr>
            </w:pPr>
            <w:r w:rsidRPr="00A53AD7">
              <w:rPr>
                <w:rFonts w:ascii="Times New Roman" w:hAnsi="Times New Roman"/>
              </w:rPr>
              <w:t>Кол-во объектов ОАИП план</w:t>
            </w:r>
          </w:p>
        </w:tc>
        <w:tc>
          <w:tcPr>
            <w:tcW w:w="1869" w:type="dxa"/>
          </w:tcPr>
          <w:p w14:paraId="237BC169" w14:textId="77777777" w:rsidR="00B823F8" w:rsidRPr="00A53AD7" w:rsidRDefault="00B823F8" w:rsidP="00B823F8">
            <w:pPr>
              <w:pStyle w:val="ad"/>
              <w:jc w:val="center"/>
              <w:rPr>
                <w:rFonts w:ascii="Times New Roman" w:hAnsi="Times New Roman"/>
              </w:rPr>
            </w:pPr>
          </w:p>
          <w:p w14:paraId="5DB793BD" w14:textId="77777777" w:rsidR="00B823F8" w:rsidRPr="00A53AD7" w:rsidRDefault="00B823F8" w:rsidP="00B823F8">
            <w:pPr>
              <w:pStyle w:val="ad"/>
              <w:jc w:val="center"/>
              <w:rPr>
                <w:rFonts w:ascii="Times New Roman" w:hAnsi="Times New Roman"/>
              </w:rPr>
            </w:pPr>
            <w:r w:rsidRPr="00A53AD7">
              <w:rPr>
                <w:rFonts w:ascii="Times New Roman" w:hAnsi="Times New Roman"/>
              </w:rPr>
              <w:t>23</w:t>
            </w:r>
          </w:p>
        </w:tc>
        <w:tc>
          <w:tcPr>
            <w:tcW w:w="1869" w:type="dxa"/>
          </w:tcPr>
          <w:p w14:paraId="66AB9525" w14:textId="77777777" w:rsidR="00B823F8" w:rsidRPr="00A53AD7" w:rsidRDefault="00B823F8" w:rsidP="00B823F8">
            <w:pPr>
              <w:pStyle w:val="ad"/>
              <w:jc w:val="center"/>
              <w:rPr>
                <w:rFonts w:ascii="Times New Roman" w:hAnsi="Times New Roman"/>
              </w:rPr>
            </w:pPr>
          </w:p>
          <w:p w14:paraId="5F85A453"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869" w:type="dxa"/>
          </w:tcPr>
          <w:p w14:paraId="24FDF5F8" w14:textId="77777777" w:rsidR="00B823F8" w:rsidRPr="00A53AD7" w:rsidRDefault="00B823F8" w:rsidP="00B823F8">
            <w:pPr>
              <w:pStyle w:val="ad"/>
              <w:jc w:val="center"/>
              <w:rPr>
                <w:rFonts w:ascii="Times New Roman" w:hAnsi="Times New Roman"/>
              </w:rPr>
            </w:pPr>
          </w:p>
          <w:p w14:paraId="3DD20190"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869" w:type="dxa"/>
          </w:tcPr>
          <w:p w14:paraId="3C92BC51" w14:textId="77777777" w:rsidR="00B823F8" w:rsidRPr="00A53AD7" w:rsidRDefault="00B823F8" w:rsidP="00B823F8">
            <w:pPr>
              <w:pStyle w:val="ad"/>
              <w:jc w:val="center"/>
              <w:rPr>
                <w:rFonts w:ascii="Times New Roman" w:hAnsi="Times New Roman"/>
              </w:rPr>
            </w:pPr>
          </w:p>
          <w:p w14:paraId="644F4272" w14:textId="77777777" w:rsidR="00B823F8" w:rsidRPr="00A53AD7" w:rsidRDefault="00B823F8" w:rsidP="00B823F8">
            <w:pPr>
              <w:pStyle w:val="ad"/>
              <w:jc w:val="center"/>
              <w:rPr>
                <w:rFonts w:ascii="Times New Roman" w:hAnsi="Times New Roman"/>
              </w:rPr>
            </w:pPr>
            <w:r w:rsidRPr="00A53AD7">
              <w:rPr>
                <w:rFonts w:ascii="Times New Roman" w:hAnsi="Times New Roman"/>
              </w:rPr>
              <w:t>23</w:t>
            </w:r>
          </w:p>
        </w:tc>
      </w:tr>
      <w:tr w:rsidR="00D470B6" w:rsidRPr="00A53AD7" w14:paraId="66C7042F" w14:textId="77777777" w:rsidTr="001F5489">
        <w:tc>
          <w:tcPr>
            <w:tcW w:w="1869" w:type="dxa"/>
          </w:tcPr>
          <w:p w14:paraId="6BE0A336"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869" w:type="dxa"/>
          </w:tcPr>
          <w:p w14:paraId="23E2477B"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869" w:type="dxa"/>
          </w:tcPr>
          <w:p w14:paraId="3ADCECB6"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869" w:type="dxa"/>
          </w:tcPr>
          <w:p w14:paraId="4871D058" w14:textId="77777777" w:rsidR="00B823F8" w:rsidRPr="00A53AD7" w:rsidRDefault="00B823F8" w:rsidP="00B823F8">
            <w:pPr>
              <w:pStyle w:val="ad"/>
              <w:jc w:val="center"/>
              <w:rPr>
                <w:rFonts w:ascii="Times New Roman" w:hAnsi="Times New Roman"/>
              </w:rPr>
            </w:pPr>
            <w:r w:rsidRPr="00A53AD7">
              <w:rPr>
                <w:rFonts w:ascii="Times New Roman" w:hAnsi="Times New Roman"/>
              </w:rPr>
              <w:t>11</w:t>
            </w:r>
          </w:p>
        </w:tc>
        <w:tc>
          <w:tcPr>
            <w:tcW w:w="1869" w:type="dxa"/>
          </w:tcPr>
          <w:p w14:paraId="51528BB8" w14:textId="77777777" w:rsidR="00B823F8" w:rsidRPr="00A53AD7" w:rsidRDefault="00B823F8" w:rsidP="00B823F8">
            <w:pPr>
              <w:pStyle w:val="ad"/>
              <w:jc w:val="center"/>
              <w:rPr>
                <w:rFonts w:ascii="Times New Roman" w:hAnsi="Times New Roman"/>
              </w:rPr>
            </w:pPr>
            <w:r w:rsidRPr="00A53AD7">
              <w:rPr>
                <w:rFonts w:ascii="Times New Roman" w:hAnsi="Times New Roman"/>
              </w:rPr>
              <w:t>18</w:t>
            </w:r>
          </w:p>
        </w:tc>
      </w:tr>
      <w:tr w:rsidR="00B823F8" w:rsidRPr="00A53AD7" w14:paraId="75A00702" w14:textId="77777777" w:rsidTr="001F5489">
        <w:tc>
          <w:tcPr>
            <w:tcW w:w="1869" w:type="dxa"/>
          </w:tcPr>
          <w:p w14:paraId="7BF85FF4"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869" w:type="dxa"/>
          </w:tcPr>
          <w:p w14:paraId="02860E8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17,4%</w:t>
            </w:r>
          </w:p>
        </w:tc>
        <w:tc>
          <w:tcPr>
            <w:tcW w:w="1869" w:type="dxa"/>
          </w:tcPr>
          <w:p w14:paraId="6BE8005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32,%</w:t>
            </w:r>
          </w:p>
        </w:tc>
        <w:tc>
          <w:tcPr>
            <w:tcW w:w="1869" w:type="dxa"/>
          </w:tcPr>
          <w:p w14:paraId="3E613B3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44,0%</w:t>
            </w:r>
          </w:p>
        </w:tc>
        <w:tc>
          <w:tcPr>
            <w:tcW w:w="1869" w:type="dxa"/>
          </w:tcPr>
          <w:p w14:paraId="332A378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78,3%</w:t>
            </w:r>
          </w:p>
        </w:tc>
      </w:tr>
    </w:tbl>
    <w:p w14:paraId="36E30985" w14:textId="77777777" w:rsidR="001F5489" w:rsidRPr="00A53AD7" w:rsidRDefault="001F5489" w:rsidP="00B823F8">
      <w:pPr>
        <w:pStyle w:val="ad"/>
        <w:ind w:firstLine="709"/>
        <w:jc w:val="both"/>
        <w:rPr>
          <w:rFonts w:ascii="Times New Roman" w:hAnsi="Times New Roman"/>
          <w:sz w:val="28"/>
          <w:szCs w:val="28"/>
          <w:highlight w:val="cyan"/>
        </w:rPr>
      </w:pPr>
    </w:p>
    <w:p w14:paraId="1F51ABE7" w14:textId="77777777" w:rsidR="00B823F8" w:rsidRPr="00A53AD7" w:rsidRDefault="00B823F8" w:rsidP="001F5489">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2 620,1 млн.руб., согласно показателям бюджетной росписи 2 964,1 млн.руб., согласно отчету об исполнении бюджета расходы исполнены на 1 089,8 млн.руб.</w:t>
      </w:r>
    </w:p>
    <w:p w14:paraId="1B3C7E1C"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5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47"/>
        <w:gridCol w:w="1701"/>
        <w:gridCol w:w="1701"/>
        <w:gridCol w:w="1701"/>
        <w:gridCol w:w="1701"/>
      </w:tblGrid>
      <w:tr w:rsidR="00D470B6" w:rsidRPr="00A53AD7" w14:paraId="3AA0D844" w14:textId="77777777" w:rsidTr="00C214B8">
        <w:tc>
          <w:tcPr>
            <w:tcW w:w="2547" w:type="dxa"/>
          </w:tcPr>
          <w:p w14:paraId="7ABEACB1" w14:textId="77777777" w:rsidR="00B823F8" w:rsidRPr="00A53AD7" w:rsidRDefault="00B823F8" w:rsidP="00B823F8">
            <w:pPr>
              <w:pStyle w:val="ad"/>
              <w:jc w:val="both"/>
              <w:rPr>
                <w:rFonts w:ascii="Times New Roman" w:hAnsi="Times New Roman"/>
                <w:sz w:val="24"/>
                <w:szCs w:val="24"/>
              </w:rPr>
            </w:pPr>
          </w:p>
        </w:tc>
        <w:tc>
          <w:tcPr>
            <w:tcW w:w="1701" w:type="dxa"/>
          </w:tcPr>
          <w:p w14:paraId="7FF40F2A"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01.04.2019</w:t>
            </w:r>
          </w:p>
        </w:tc>
        <w:tc>
          <w:tcPr>
            <w:tcW w:w="1701" w:type="dxa"/>
          </w:tcPr>
          <w:p w14:paraId="50F6AAAE"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01.07.2019</w:t>
            </w:r>
          </w:p>
        </w:tc>
        <w:tc>
          <w:tcPr>
            <w:tcW w:w="1701" w:type="dxa"/>
          </w:tcPr>
          <w:p w14:paraId="21FEA8C2"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01.10.2019</w:t>
            </w:r>
          </w:p>
        </w:tc>
        <w:tc>
          <w:tcPr>
            <w:tcW w:w="1701" w:type="dxa"/>
          </w:tcPr>
          <w:p w14:paraId="419CE242"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31.12.2019</w:t>
            </w:r>
          </w:p>
        </w:tc>
      </w:tr>
      <w:tr w:rsidR="00D470B6" w:rsidRPr="00A53AD7" w14:paraId="22F36C96" w14:textId="77777777" w:rsidTr="00C214B8">
        <w:tc>
          <w:tcPr>
            <w:tcW w:w="2547" w:type="dxa"/>
          </w:tcPr>
          <w:p w14:paraId="47957DD2"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ОАИП план</w:t>
            </w:r>
          </w:p>
        </w:tc>
        <w:tc>
          <w:tcPr>
            <w:tcW w:w="1701" w:type="dxa"/>
          </w:tcPr>
          <w:p w14:paraId="4D08C851"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2 951,4</w:t>
            </w:r>
          </w:p>
        </w:tc>
        <w:tc>
          <w:tcPr>
            <w:tcW w:w="1701" w:type="dxa"/>
          </w:tcPr>
          <w:p w14:paraId="64F99BE6"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3 026,7</w:t>
            </w:r>
          </w:p>
        </w:tc>
        <w:tc>
          <w:tcPr>
            <w:tcW w:w="1701" w:type="dxa"/>
          </w:tcPr>
          <w:p w14:paraId="56DEA38A"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3 130,7</w:t>
            </w:r>
          </w:p>
        </w:tc>
        <w:tc>
          <w:tcPr>
            <w:tcW w:w="1701" w:type="dxa"/>
          </w:tcPr>
          <w:p w14:paraId="3634CEEF"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2 964,1</w:t>
            </w:r>
          </w:p>
        </w:tc>
      </w:tr>
      <w:tr w:rsidR="00D470B6" w:rsidRPr="00A53AD7" w14:paraId="5650498C" w14:textId="77777777" w:rsidTr="00C214B8">
        <w:tc>
          <w:tcPr>
            <w:tcW w:w="2547" w:type="dxa"/>
          </w:tcPr>
          <w:p w14:paraId="6F996E16"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Исполнено</w:t>
            </w:r>
          </w:p>
        </w:tc>
        <w:tc>
          <w:tcPr>
            <w:tcW w:w="1701" w:type="dxa"/>
          </w:tcPr>
          <w:p w14:paraId="6C2139A6"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44,1</w:t>
            </w:r>
          </w:p>
        </w:tc>
        <w:tc>
          <w:tcPr>
            <w:tcW w:w="1701" w:type="dxa"/>
          </w:tcPr>
          <w:p w14:paraId="51AD98A7"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186,2</w:t>
            </w:r>
          </w:p>
        </w:tc>
        <w:tc>
          <w:tcPr>
            <w:tcW w:w="1701" w:type="dxa"/>
          </w:tcPr>
          <w:p w14:paraId="0BC6288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478,6</w:t>
            </w:r>
          </w:p>
        </w:tc>
        <w:tc>
          <w:tcPr>
            <w:tcW w:w="1701" w:type="dxa"/>
          </w:tcPr>
          <w:p w14:paraId="4C0E2939"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1 089,8</w:t>
            </w:r>
          </w:p>
        </w:tc>
      </w:tr>
      <w:tr w:rsidR="00D470B6" w:rsidRPr="00A53AD7" w14:paraId="1B2AD6DE" w14:textId="77777777" w:rsidTr="00C214B8">
        <w:tc>
          <w:tcPr>
            <w:tcW w:w="2547" w:type="dxa"/>
          </w:tcPr>
          <w:p w14:paraId="61225188"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701" w:type="dxa"/>
          </w:tcPr>
          <w:p w14:paraId="7C9EA7CB"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1,5%</w:t>
            </w:r>
          </w:p>
        </w:tc>
        <w:tc>
          <w:tcPr>
            <w:tcW w:w="1701" w:type="dxa"/>
          </w:tcPr>
          <w:p w14:paraId="6D980B55"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6,2%</w:t>
            </w:r>
          </w:p>
        </w:tc>
        <w:tc>
          <w:tcPr>
            <w:tcW w:w="1701" w:type="dxa"/>
          </w:tcPr>
          <w:p w14:paraId="7CF7ADFE"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15,3%</w:t>
            </w:r>
          </w:p>
        </w:tc>
        <w:tc>
          <w:tcPr>
            <w:tcW w:w="1701" w:type="dxa"/>
          </w:tcPr>
          <w:p w14:paraId="44DADBB0"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36,8%</w:t>
            </w:r>
          </w:p>
        </w:tc>
      </w:tr>
      <w:tr w:rsidR="00D470B6" w:rsidRPr="00A53AD7" w14:paraId="5CC270B7" w14:textId="77777777" w:rsidTr="00C214B8">
        <w:tc>
          <w:tcPr>
            <w:tcW w:w="2547" w:type="dxa"/>
          </w:tcPr>
          <w:p w14:paraId="5581B3A7" w14:textId="77777777" w:rsidR="00B823F8" w:rsidRPr="00A53AD7" w:rsidRDefault="00B823F8" w:rsidP="00B823F8">
            <w:pPr>
              <w:pStyle w:val="ad"/>
              <w:ind w:hanging="113"/>
              <w:jc w:val="both"/>
              <w:rPr>
                <w:rFonts w:ascii="Times New Roman" w:hAnsi="Times New Roman"/>
                <w:b/>
                <w:sz w:val="24"/>
                <w:szCs w:val="24"/>
              </w:rPr>
            </w:pPr>
            <w:r w:rsidRPr="00A53AD7">
              <w:rPr>
                <w:rFonts w:ascii="Times New Roman" w:hAnsi="Times New Roman"/>
                <w:b/>
                <w:sz w:val="24"/>
                <w:szCs w:val="24"/>
              </w:rPr>
              <w:t>Минстроительства</w:t>
            </w:r>
          </w:p>
        </w:tc>
        <w:tc>
          <w:tcPr>
            <w:tcW w:w="1701" w:type="dxa"/>
          </w:tcPr>
          <w:p w14:paraId="6BD5DF90" w14:textId="77777777" w:rsidR="00B823F8" w:rsidRPr="00A53AD7" w:rsidRDefault="00B823F8" w:rsidP="00B823F8">
            <w:pPr>
              <w:pStyle w:val="ad"/>
              <w:jc w:val="center"/>
              <w:rPr>
                <w:rFonts w:ascii="Times New Roman" w:hAnsi="Times New Roman"/>
                <w:sz w:val="24"/>
                <w:szCs w:val="24"/>
              </w:rPr>
            </w:pPr>
          </w:p>
        </w:tc>
        <w:tc>
          <w:tcPr>
            <w:tcW w:w="1701" w:type="dxa"/>
          </w:tcPr>
          <w:p w14:paraId="06EE859C" w14:textId="77777777" w:rsidR="00B823F8" w:rsidRPr="00A53AD7" w:rsidRDefault="00B823F8" w:rsidP="00B823F8">
            <w:pPr>
              <w:pStyle w:val="ad"/>
              <w:jc w:val="center"/>
              <w:rPr>
                <w:rFonts w:ascii="Times New Roman" w:hAnsi="Times New Roman"/>
                <w:sz w:val="24"/>
                <w:szCs w:val="24"/>
              </w:rPr>
            </w:pPr>
          </w:p>
        </w:tc>
        <w:tc>
          <w:tcPr>
            <w:tcW w:w="1701" w:type="dxa"/>
          </w:tcPr>
          <w:p w14:paraId="0788738A" w14:textId="77777777" w:rsidR="00B823F8" w:rsidRPr="00A53AD7" w:rsidRDefault="00B823F8" w:rsidP="00B823F8">
            <w:pPr>
              <w:pStyle w:val="ad"/>
              <w:jc w:val="center"/>
              <w:rPr>
                <w:rFonts w:ascii="Times New Roman" w:hAnsi="Times New Roman"/>
                <w:sz w:val="24"/>
                <w:szCs w:val="24"/>
              </w:rPr>
            </w:pPr>
          </w:p>
        </w:tc>
        <w:tc>
          <w:tcPr>
            <w:tcW w:w="1701" w:type="dxa"/>
          </w:tcPr>
          <w:p w14:paraId="18C51BA6" w14:textId="77777777" w:rsidR="00B823F8" w:rsidRPr="00A53AD7" w:rsidRDefault="00B823F8" w:rsidP="00B823F8">
            <w:pPr>
              <w:pStyle w:val="ad"/>
              <w:jc w:val="center"/>
              <w:rPr>
                <w:rFonts w:ascii="Times New Roman" w:hAnsi="Times New Roman"/>
                <w:sz w:val="24"/>
                <w:szCs w:val="24"/>
              </w:rPr>
            </w:pPr>
          </w:p>
        </w:tc>
      </w:tr>
      <w:tr w:rsidR="00D470B6" w:rsidRPr="00A53AD7" w14:paraId="4A0CCA81" w14:textId="77777777" w:rsidTr="00C214B8">
        <w:tc>
          <w:tcPr>
            <w:tcW w:w="2547" w:type="dxa"/>
          </w:tcPr>
          <w:p w14:paraId="2A6B0C46"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Утверждено</w:t>
            </w:r>
          </w:p>
        </w:tc>
        <w:tc>
          <w:tcPr>
            <w:tcW w:w="1701" w:type="dxa"/>
          </w:tcPr>
          <w:p w14:paraId="67C2B391"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2 951,4</w:t>
            </w:r>
          </w:p>
        </w:tc>
        <w:tc>
          <w:tcPr>
            <w:tcW w:w="1701" w:type="dxa"/>
          </w:tcPr>
          <w:p w14:paraId="336FAF39"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3 026,6</w:t>
            </w:r>
          </w:p>
        </w:tc>
        <w:tc>
          <w:tcPr>
            <w:tcW w:w="1701" w:type="dxa"/>
          </w:tcPr>
          <w:p w14:paraId="5EA1E69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3 130,5</w:t>
            </w:r>
          </w:p>
        </w:tc>
        <w:tc>
          <w:tcPr>
            <w:tcW w:w="1701" w:type="dxa"/>
          </w:tcPr>
          <w:p w14:paraId="0418E4C3"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2 963,9</w:t>
            </w:r>
          </w:p>
        </w:tc>
      </w:tr>
      <w:tr w:rsidR="00D470B6" w:rsidRPr="00A53AD7" w14:paraId="1C6EB52A" w14:textId="77777777" w:rsidTr="00C214B8">
        <w:tc>
          <w:tcPr>
            <w:tcW w:w="2547" w:type="dxa"/>
          </w:tcPr>
          <w:p w14:paraId="67C1A382"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w:t>
            </w:r>
          </w:p>
        </w:tc>
        <w:tc>
          <w:tcPr>
            <w:tcW w:w="1701" w:type="dxa"/>
          </w:tcPr>
          <w:p w14:paraId="0AAA9A9B"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44,1</w:t>
            </w:r>
          </w:p>
        </w:tc>
        <w:tc>
          <w:tcPr>
            <w:tcW w:w="1701" w:type="dxa"/>
          </w:tcPr>
          <w:p w14:paraId="4DF9E0C2"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186,1</w:t>
            </w:r>
          </w:p>
        </w:tc>
        <w:tc>
          <w:tcPr>
            <w:tcW w:w="1701" w:type="dxa"/>
          </w:tcPr>
          <w:p w14:paraId="06305204"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478,5</w:t>
            </w:r>
          </w:p>
        </w:tc>
        <w:tc>
          <w:tcPr>
            <w:tcW w:w="1701" w:type="dxa"/>
          </w:tcPr>
          <w:p w14:paraId="06C70746"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1 089,7</w:t>
            </w:r>
          </w:p>
        </w:tc>
      </w:tr>
      <w:tr w:rsidR="00D470B6" w:rsidRPr="00A53AD7" w14:paraId="258F33E0" w14:textId="77777777" w:rsidTr="00C214B8">
        <w:tc>
          <w:tcPr>
            <w:tcW w:w="2547" w:type="dxa"/>
          </w:tcPr>
          <w:p w14:paraId="5E28D097"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701" w:type="dxa"/>
          </w:tcPr>
          <w:p w14:paraId="5ED723DE"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1,5%</w:t>
            </w:r>
          </w:p>
        </w:tc>
        <w:tc>
          <w:tcPr>
            <w:tcW w:w="1701" w:type="dxa"/>
          </w:tcPr>
          <w:p w14:paraId="7E87F4E1"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6,1%</w:t>
            </w:r>
          </w:p>
        </w:tc>
        <w:tc>
          <w:tcPr>
            <w:tcW w:w="1701" w:type="dxa"/>
          </w:tcPr>
          <w:p w14:paraId="40CA57E5"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15,3 %</w:t>
            </w:r>
          </w:p>
        </w:tc>
        <w:tc>
          <w:tcPr>
            <w:tcW w:w="1701" w:type="dxa"/>
          </w:tcPr>
          <w:p w14:paraId="2D9AC54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36,8%</w:t>
            </w:r>
          </w:p>
        </w:tc>
      </w:tr>
      <w:tr w:rsidR="00D470B6" w:rsidRPr="00A53AD7" w14:paraId="76931F43" w14:textId="77777777" w:rsidTr="00C214B8">
        <w:tc>
          <w:tcPr>
            <w:tcW w:w="2547" w:type="dxa"/>
          </w:tcPr>
          <w:p w14:paraId="01C5CE41" w14:textId="77777777" w:rsidR="00B823F8" w:rsidRPr="00A53AD7" w:rsidRDefault="00B823F8" w:rsidP="00B823F8">
            <w:pPr>
              <w:pStyle w:val="ad"/>
              <w:ind w:hanging="113"/>
              <w:jc w:val="both"/>
              <w:rPr>
                <w:rFonts w:ascii="Times New Roman" w:hAnsi="Times New Roman"/>
                <w:b/>
                <w:sz w:val="24"/>
                <w:szCs w:val="24"/>
              </w:rPr>
            </w:pPr>
            <w:r w:rsidRPr="00A53AD7">
              <w:rPr>
                <w:rFonts w:ascii="Times New Roman" w:hAnsi="Times New Roman"/>
                <w:b/>
                <w:sz w:val="24"/>
                <w:szCs w:val="24"/>
              </w:rPr>
              <w:t>Минобразования</w:t>
            </w:r>
          </w:p>
        </w:tc>
        <w:tc>
          <w:tcPr>
            <w:tcW w:w="1701" w:type="dxa"/>
          </w:tcPr>
          <w:p w14:paraId="1C8637BB" w14:textId="77777777" w:rsidR="00B823F8" w:rsidRPr="00A53AD7" w:rsidRDefault="00B823F8" w:rsidP="00B823F8">
            <w:pPr>
              <w:pStyle w:val="ad"/>
              <w:jc w:val="center"/>
              <w:rPr>
                <w:rFonts w:ascii="Times New Roman" w:hAnsi="Times New Roman"/>
                <w:b/>
                <w:sz w:val="24"/>
                <w:szCs w:val="24"/>
              </w:rPr>
            </w:pPr>
          </w:p>
        </w:tc>
        <w:tc>
          <w:tcPr>
            <w:tcW w:w="1701" w:type="dxa"/>
          </w:tcPr>
          <w:p w14:paraId="6414C98A" w14:textId="77777777" w:rsidR="00B823F8" w:rsidRPr="00A53AD7" w:rsidRDefault="00B823F8" w:rsidP="00B823F8">
            <w:pPr>
              <w:pStyle w:val="ad"/>
              <w:jc w:val="center"/>
              <w:rPr>
                <w:rFonts w:ascii="Times New Roman" w:hAnsi="Times New Roman"/>
                <w:b/>
                <w:sz w:val="24"/>
                <w:szCs w:val="24"/>
              </w:rPr>
            </w:pPr>
          </w:p>
        </w:tc>
        <w:tc>
          <w:tcPr>
            <w:tcW w:w="1701" w:type="dxa"/>
          </w:tcPr>
          <w:p w14:paraId="0C84A45A" w14:textId="77777777" w:rsidR="00B823F8" w:rsidRPr="00A53AD7" w:rsidRDefault="00B823F8" w:rsidP="00B823F8">
            <w:pPr>
              <w:pStyle w:val="ad"/>
              <w:jc w:val="center"/>
              <w:rPr>
                <w:rFonts w:ascii="Times New Roman" w:hAnsi="Times New Roman"/>
                <w:b/>
                <w:sz w:val="24"/>
                <w:szCs w:val="24"/>
              </w:rPr>
            </w:pPr>
          </w:p>
        </w:tc>
        <w:tc>
          <w:tcPr>
            <w:tcW w:w="1701" w:type="dxa"/>
          </w:tcPr>
          <w:p w14:paraId="57A1D5C7" w14:textId="77777777" w:rsidR="00B823F8" w:rsidRPr="00A53AD7" w:rsidRDefault="00B823F8" w:rsidP="00B823F8">
            <w:pPr>
              <w:pStyle w:val="ad"/>
              <w:jc w:val="center"/>
              <w:rPr>
                <w:rFonts w:ascii="Times New Roman" w:hAnsi="Times New Roman"/>
                <w:b/>
                <w:sz w:val="24"/>
                <w:szCs w:val="24"/>
              </w:rPr>
            </w:pPr>
          </w:p>
        </w:tc>
      </w:tr>
      <w:tr w:rsidR="00D470B6" w:rsidRPr="00A53AD7" w14:paraId="7F2295F1" w14:textId="77777777" w:rsidTr="00C214B8">
        <w:trPr>
          <w:trHeight w:val="92"/>
        </w:trPr>
        <w:tc>
          <w:tcPr>
            <w:tcW w:w="2547" w:type="dxa"/>
          </w:tcPr>
          <w:p w14:paraId="052343BB"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Утверждено</w:t>
            </w:r>
          </w:p>
        </w:tc>
        <w:tc>
          <w:tcPr>
            <w:tcW w:w="1701" w:type="dxa"/>
          </w:tcPr>
          <w:p w14:paraId="34EA101C"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1278DE56"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0,171</w:t>
            </w:r>
          </w:p>
        </w:tc>
        <w:tc>
          <w:tcPr>
            <w:tcW w:w="1701" w:type="dxa"/>
          </w:tcPr>
          <w:p w14:paraId="41F64CC1"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0,171</w:t>
            </w:r>
          </w:p>
        </w:tc>
        <w:tc>
          <w:tcPr>
            <w:tcW w:w="1701" w:type="dxa"/>
          </w:tcPr>
          <w:p w14:paraId="20EB54D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0,171</w:t>
            </w:r>
          </w:p>
        </w:tc>
      </w:tr>
      <w:tr w:rsidR="00D470B6" w:rsidRPr="00A53AD7" w14:paraId="7F504BD1" w14:textId="77777777" w:rsidTr="00C214B8">
        <w:tc>
          <w:tcPr>
            <w:tcW w:w="2547" w:type="dxa"/>
          </w:tcPr>
          <w:p w14:paraId="6CDF3695"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w:t>
            </w:r>
          </w:p>
        </w:tc>
        <w:tc>
          <w:tcPr>
            <w:tcW w:w="1701" w:type="dxa"/>
          </w:tcPr>
          <w:p w14:paraId="4A3DF208"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w:t>
            </w:r>
          </w:p>
        </w:tc>
        <w:tc>
          <w:tcPr>
            <w:tcW w:w="1701" w:type="dxa"/>
          </w:tcPr>
          <w:p w14:paraId="457AF925"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0,171</w:t>
            </w:r>
          </w:p>
        </w:tc>
        <w:tc>
          <w:tcPr>
            <w:tcW w:w="1701" w:type="dxa"/>
          </w:tcPr>
          <w:p w14:paraId="19B4CAE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0,171</w:t>
            </w:r>
          </w:p>
        </w:tc>
        <w:tc>
          <w:tcPr>
            <w:tcW w:w="1701" w:type="dxa"/>
          </w:tcPr>
          <w:p w14:paraId="47D98857"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0,171</w:t>
            </w:r>
          </w:p>
        </w:tc>
      </w:tr>
      <w:tr w:rsidR="00D470B6" w:rsidRPr="00A53AD7" w14:paraId="50399E85" w14:textId="77777777" w:rsidTr="00C214B8">
        <w:tc>
          <w:tcPr>
            <w:tcW w:w="2547" w:type="dxa"/>
          </w:tcPr>
          <w:p w14:paraId="46798570"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701" w:type="dxa"/>
          </w:tcPr>
          <w:p w14:paraId="3F0104E9"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252635B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100,0%</w:t>
            </w:r>
          </w:p>
        </w:tc>
        <w:tc>
          <w:tcPr>
            <w:tcW w:w="1701" w:type="dxa"/>
          </w:tcPr>
          <w:p w14:paraId="45E76381"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100,0%</w:t>
            </w:r>
          </w:p>
        </w:tc>
        <w:tc>
          <w:tcPr>
            <w:tcW w:w="1701" w:type="dxa"/>
          </w:tcPr>
          <w:p w14:paraId="58E1244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100,0%</w:t>
            </w:r>
          </w:p>
        </w:tc>
      </w:tr>
      <w:tr w:rsidR="00D470B6" w:rsidRPr="00A53AD7" w14:paraId="3AE0FBC8" w14:textId="77777777" w:rsidTr="00C214B8">
        <w:tc>
          <w:tcPr>
            <w:tcW w:w="2547" w:type="dxa"/>
          </w:tcPr>
          <w:p w14:paraId="4D832F47"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в т.ч. мун. образов.</w:t>
            </w:r>
          </w:p>
        </w:tc>
        <w:tc>
          <w:tcPr>
            <w:tcW w:w="1701" w:type="dxa"/>
          </w:tcPr>
          <w:p w14:paraId="3CB9A444"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44,1</w:t>
            </w:r>
          </w:p>
        </w:tc>
        <w:tc>
          <w:tcPr>
            <w:tcW w:w="1701" w:type="dxa"/>
          </w:tcPr>
          <w:p w14:paraId="38DF86A4"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163,8</w:t>
            </w:r>
          </w:p>
        </w:tc>
        <w:tc>
          <w:tcPr>
            <w:tcW w:w="1701" w:type="dxa"/>
          </w:tcPr>
          <w:p w14:paraId="723D156C"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407,0</w:t>
            </w:r>
          </w:p>
        </w:tc>
        <w:tc>
          <w:tcPr>
            <w:tcW w:w="1701" w:type="dxa"/>
          </w:tcPr>
          <w:p w14:paraId="2C6BB3E4"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1 013,9</w:t>
            </w:r>
          </w:p>
        </w:tc>
      </w:tr>
      <w:tr w:rsidR="00B823F8" w:rsidRPr="00A53AD7" w14:paraId="2BEFFB34" w14:textId="77777777" w:rsidTr="00C214B8">
        <w:tc>
          <w:tcPr>
            <w:tcW w:w="2547" w:type="dxa"/>
          </w:tcPr>
          <w:p w14:paraId="64280C35"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 xml:space="preserve"> В % к бюдж. росписи</w:t>
            </w:r>
          </w:p>
        </w:tc>
        <w:tc>
          <w:tcPr>
            <w:tcW w:w="1701" w:type="dxa"/>
          </w:tcPr>
          <w:p w14:paraId="6F694450"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1,5%</w:t>
            </w:r>
          </w:p>
        </w:tc>
        <w:tc>
          <w:tcPr>
            <w:tcW w:w="1701" w:type="dxa"/>
          </w:tcPr>
          <w:p w14:paraId="346EA2F4"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5,5%</w:t>
            </w:r>
          </w:p>
        </w:tc>
        <w:tc>
          <w:tcPr>
            <w:tcW w:w="1701" w:type="dxa"/>
          </w:tcPr>
          <w:p w14:paraId="136E4814"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13,3%</w:t>
            </w:r>
          </w:p>
        </w:tc>
        <w:tc>
          <w:tcPr>
            <w:tcW w:w="1701" w:type="dxa"/>
          </w:tcPr>
          <w:p w14:paraId="08CFEE2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35,2%</w:t>
            </w:r>
          </w:p>
        </w:tc>
      </w:tr>
    </w:tbl>
    <w:p w14:paraId="3084B3BD" w14:textId="77777777" w:rsidR="00B823F8" w:rsidRPr="00A53AD7" w:rsidRDefault="00B823F8" w:rsidP="00B823F8">
      <w:pPr>
        <w:pStyle w:val="ad"/>
        <w:tabs>
          <w:tab w:val="left" w:pos="1680"/>
        </w:tabs>
        <w:ind w:firstLine="709"/>
        <w:jc w:val="both"/>
        <w:rPr>
          <w:rFonts w:ascii="Times New Roman" w:hAnsi="Times New Roman"/>
          <w:sz w:val="28"/>
          <w:szCs w:val="28"/>
          <w:highlight w:val="cyan"/>
        </w:rPr>
      </w:pPr>
    </w:p>
    <w:p w14:paraId="6DF015D3" w14:textId="379BA6EB" w:rsidR="00B823F8" w:rsidRPr="00A53AD7" w:rsidRDefault="00B823F8" w:rsidP="00F77BF4">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рамках указанной программы, министерство строительства не приступило к 5 объектам и не обеспечило расходование средств как федерального, так и областного бюджетов. Так, по данным представленным министерством строительства, исполнение федерального бюджета составило 34,8% (утверждены расходы в сумме 2 688,6 млн.руб., исполнены 935,2 млн.руб.), областного бюджета 56,1% (утверждены расходы 275,3 млн.руб., исполнены 154,5 млн.руб.), местные бюджеты исполнены на 75,8% (утверждены расходы 9,5 млн.руб., исполнены 7,2 млн.руб.).</w:t>
      </w:r>
    </w:p>
    <w:p w14:paraId="2E823A63" w14:textId="695F6713" w:rsidR="00B823F8" w:rsidRPr="00A53AD7" w:rsidRDefault="00B823F8" w:rsidP="00F77BF4">
      <w:pPr>
        <w:pStyle w:val="ad"/>
        <w:ind w:firstLine="851"/>
        <w:jc w:val="both"/>
        <w:rPr>
          <w:rFonts w:ascii="Times New Roman" w:hAnsi="Times New Roman"/>
          <w:sz w:val="28"/>
          <w:szCs w:val="28"/>
        </w:rPr>
      </w:pPr>
      <w:r w:rsidRPr="00A53AD7">
        <w:rPr>
          <w:rFonts w:ascii="Times New Roman" w:hAnsi="Times New Roman"/>
          <w:sz w:val="28"/>
          <w:szCs w:val="28"/>
        </w:rPr>
        <w:t>Согласно ведомственной структуре расходов за 2019 год министерство строительства план 2 963,9 млн.руб., отчет 1 089,7 млн.руб. или 36,8%, расходы министерства образования на 1 объект составили 0,171 млн.руб. или 100,0% к утвержденным назначениям.</w:t>
      </w:r>
    </w:p>
    <w:p w14:paraId="5506AFD2" w14:textId="75C07293" w:rsidR="00B823F8" w:rsidRPr="00A53AD7" w:rsidRDefault="00B823F8" w:rsidP="00F81640">
      <w:pPr>
        <w:pStyle w:val="ad"/>
        <w:ind w:firstLine="851"/>
        <w:jc w:val="both"/>
        <w:rPr>
          <w:rFonts w:ascii="Times New Roman" w:hAnsi="Times New Roman"/>
          <w:sz w:val="28"/>
          <w:szCs w:val="28"/>
        </w:rPr>
      </w:pPr>
    </w:p>
    <w:p w14:paraId="7C4BF10D" w14:textId="499BF581" w:rsidR="00B823F8" w:rsidRPr="00A53AD7" w:rsidRDefault="00FC5B0D" w:rsidP="004D2C1D">
      <w:pPr>
        <w:pStyle w:val="ad"/>
        <w:ind w:firstLine="708"/>
        <w:jc w:val="both"/>
        <w:rPr>
          <w:rFonts w:ascii="Times New Roman" w:hAnsi="Times New Roman"/>
          <w:sz w:val="28"/>
          <w:szCs w:val="28"/>
        </w:rPr>
      </w:pPr>
      <w:r w:rsidRPr="00A53AD7">
        <w:rPr>
          <w:rFonts w:ascii="Times New Roman" w:hAnsi="Times New Roman"/>
          <w:sz w:val="28"/>
          <w:szCs w:val="28"/>
        </w:rPr>
        <w:t>3</w:t>
      </w:r>
      <w:r w:rsidR="00B823F8" w:rsidRPr="00A53AD7">
        <w:rPr>
          <w:rFonts w:ascii="Times New Roman" w:hAnsi="Times New Roman"/>
          <w:sz w:val="28"/>
          <w:szCs w:val="28"/>
        </w:rPr>
        <w:t>. ГП АО «Развитие здравоохранения Архангельской области» запланированы расходы по приведенному количеству объектов:</w:t>
      </w:r>
    </w:p>
    <w:p w14:paraId="086B7F67"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2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19"/>
        <w:gridCol w:w="1056"/>
        <w:gridCol w:w="1060"/>
        <w:gridCol w:w="1056"/>
        <w:gridCol w:w="1056"/>
        <w:gridCol w:w="1056"/>
        <w:gridCol w:w="1056"/>
        <w:gridCol w:w="1185"/>
        <w:gridCol w:w="984"/>
      </w:tblGrid>
      <w:tr w:rsidR="00D470B6" w:rsidRPr="00A53AD7" w14:paraId="28794B14" w14:textId="77777777" w:rsidTr="00C214B8">
        <w:trPr>
          <w:tblHeader/>
        </w:trPr>
        <w:tc>
          <w:tcPr>
            <w:tcW w:w="1119" w:type="dxa"/>
          </w:tcPr>
          <w:p w14:paraId="1F0359AD" w14:textId="77777777" w:rsidR="00B823F8" w:rsidRPr="00A53AD7" w:rsidRDefault="00B823F8" w:rsidP="00B823F8">
            <w:pPr>
              <w:pStyle w:val="ad"/>
              <w:jc w:val="both"/>
              <w:rPr>
                <w:rFonts w:ascii="Times New Roman" w:hAnsi="Times New Roman"/>
              </w:rPr>
            </w:pPr>
            <w:r w:rsidRPr="00A53AD7">
              <w:rPr>
                <w:rFonts w:ascii="Times New Roman" w:hAnsi="Times New Roman"/>
              </w:rPr>
              <w:t>На даты:</w:t>
            </w:r>
          </w:p>
        </w:tc>
        <w:tc>
          <w:tcPr>
            <w:tcW w:w="1056" w:type="dxa"/>
          </w:tcPr>
          <w:p w14:paraId="5E9411B8" w14:textId="77777777" w:rsidR="00B823F8" w:rsidRPr="00A53AD7" w:rsidRDefault="00B823F8" w:rsidP="00B823F8">
            <w:pPr>
              <w:pStyle w:val="ad"/>
              <w:jc w:val="both"/>
              <w:rPr>
                <w:rFonts w:ascii="Times New Roman" w:hAnsi="Times New Roman"/>
              </w:rPr>
            </w:pPr>
            <w:r w:rsidRPr="00A53AD7">
              <w:rPr>
                <w:rFonts w:ascii="Times New Roman" w:hAnsi="Times New Roman"/>
              </w:rPr>
              <w:t>01.01.19</w:t>
            </w:r>
          </w:p>
        </w:tc>
        <w:tc>
          <w:tcPr>
            <w:tcW w:w="1060" w:type="dxa"/>
          </w:tcPr>
          <w:p w14:paraId="7178B1CF" w14:textId="77777777" w:rsidR="00B823F8" w:rsidRPr="00A53AD7" w:rsidRDefault="00B823F8" w:rsidP="00B823F8">
            <w:pPr>
              <w:pStyle w:val="ad"/>
              <w:jc w:val="both"/>
              <w:rPr>
                <w:rFonts w:ascii="Times New Roman" w:hAnsi="Times New Roman"/>
              </w:rPr>
            </w:pPr>
            <w:r w:rsidRPr="00A53AD7">
              <w:rPr>
                <w:rFonts w:ascii="Times New Roman" w:hAnsi="Times New Roman"/>
              </w:rPr>
              <w:t>01.04.19</w:t>
            </w:r>
          </w:p>
        </w:tc>
        <w:tc>
          <w:tcPr>
            <w:tcW w:w="1056" w:type="dxa"/>
          </w:tcPr>
          <w:p w14:paraId="3E4A369B" w14:textId="77777777" w:rsidR="00B823F8" w:rsidRPr="00A53AD7" w:rsidRDefault="00B823F8" w:rsidP="00B823F8">
            <w:pPr>
              <w:pStyle w:val="ad"/>
              <w:jc w:val="both"/>
              <w:rPr>
                <w:rFonts w:ascii="Times New Roman" w:hAnsi="Times New Roman"/>
              </w:rPr>
            </w:pPr>
            <w:r w:rsidRPr="00A53AD7">
              <w:rPr>
                <w:rFonts w:ascii="Times New Roman" w:hAnsi="Times New Roman"/>
              </w:rPr>
              <w:t>02.07.19</w:t>
            </w:r>
          </w:p>
        </w:tc>
        <w:tc>
          <w:tcPr>
            <w:tcW w:w="1056" w:type="dxa"/>
          </w:tcPr>
          <w:p w14:paraId="401D9B12" w14:textId="77777777" w:rsidR="00B823F8" w:rsidRPr="00A53AD7" w:rsidRDefault="00B823F8" w:rsidP="00B823F8">
            <w:pPr>
              <w:pStyle w:val="ad"/>
              <w:jc w:val="both"/>
              <w:rPr>
                <w:rFonts w:ascii="Times New Roman" w:hAnsi="Times New Roman"/>
              </w:rPr>
            </w:pPr>
            <w:r w:rsidRPr="00A53AD7">
              <w:rPr>
                <w:rFonts w:ascii="Times New Roman" w:hAnsi="Times New Roman"/>
              </w:rPr>
              <w:t>25.09.19</w:t>
            </w:r>
          </w:p>
        </w:tc>
        <w:tc>
          <w:tcPr>
            <w:tcW w:w="1056" w:type="dxa"/>
          </w:tcPr>
          <w:p w14:paraId="4AD2D54F" w14:textId="77777777" w:rsidR="00B823F8" w:rsidRPr="00A53AD7" w:rsidRDefault="00B823F8" w:rsidP="00B823F8">
            <w:pPr>
              <w:pStyle w:val="ad"/>
              <w:jc w:val="both"/>
              <w:rPr>
                <w:rFonts w:ascii="Times New Roman" w:hAnsi="Times New Roman"/>
              </w:rPr>
            </w:pPr>
            <w:r w:rsidRPr="00A53AD7">
              <w:rPr>
                <w:rFonts w:ascii="Times New Roman" w:hAnsi="Times New Roman"/>
              </w:rPr>
              <w:t>19.11.19</w:t>
            </w:r>
          </w:p>
        </w:tc>
        <w:tc>
          <w:tcPr>
            <w:tcW w:w="1056" w:type="dxa"/>
          </w:tcPr>
          <w:p w14:paraId="154E1463" w14:textId="77777777" w:rsidR="00B823F8" w:rsidRPr="00A53AD7" w:rsidRDefault="00B823F8" w:rsidP="00B823F8">
            <w:pPr>
              <w:pStyle w:val="ad"/>
              <w:jc w:val="both"/>
              <w:rPr>
                <w:rFonts w:ascii="Times New Roman" w:hAnsi="Times New Roman"/>
              </w:rPr>
            </w:pPr>
            <w:r w:rsidRPr="00A53AD7">
              <w:rPr>
                <w:rFonts w:ascii="Times New Roman" w:hAnsi="Times New Roman"/>
              </w:rPr>
              <w:t>13.12.19</w:t>
            </w:r>
          </w:p>
        </w:tc>
        <w:tc>
          <w:tcPr>
            <w:tcW w:w="1185" w:type="dxa"/>
          </w:tcPr>
          <w:p w14:paraId="6F70E7E3" w14:textId="77777777" w:rsidR="00B823F8" w:rsidRPr="00A53AD7" w:rsidRDefault="00B823F8" w:rsidP="00B823F8">
            <w:pPr>
              <w:pStyle w:val="ad"/>
              <w:jc w:val="both"/>
              <w:rPr>
                <w:rFonts w:ascii="Times New Roman" w:hAnsi="Times New Roman"/>
              </w:rPr>
            </w:pPr>
            <w:r w:rsidRPr="00A53AD7">
              <w:rPr>
                <w:rFonts w:ascii="Times New Roman" w:hAnsi="Times New Roman"/>
              </w:rPr>
              <w:t>Отчет на 31.12.19</w:t>
            </w:r>
          </w:p>
        </w:tc>
        <w:tc>
          <w:tcPr>
            <w:tcW w:w="984" w:type="dxa"/>
          </w:tcPr>
          <w:p w14:paraId="597CEC12" w14:textId="77777777" w:rsidR="00B823F8" w:rsidRPr="00A53AD7" w:rsidRDefault="00B823F8" w:rsidP="00B823F8">
            <w:pPr>
              <w:pStyle w:val="ad"/>
              <w:ind w:left="-117"/>
              <w:jc w:val="both"/>
              <w:rPr>
                <w:rFonts w:ascii="Times New Roman" w:hAnsi="Times New Roman"/>
              </w:rPr>
            </w:pPr>
            <w:r w:rsidRPr="00A53AD7">
              <w:rPr>
                <w:rFonts w:ascii="Times New Roman" w:hAnsi="Times New Roman"/>
              </w:rPr>
              <w:t>Исполнено в %%</w:t>
            </w:r>
          </w:p>
        </w:tc>
      </w:tr>
      <w:tr w:rsidR="00D470B6" w:rsidRPr="00A53AD7" w14:paraId="69E691D7" w14:textId="77777777" w:rsidTr="00EF203B">
        <w:tc>
          <w:tcPr>
            <w:tcW w:w="1119" w:type="dxa"/>
          </w:tcPr>
          <w:p w14:paraId="5041FE41" w14:textId="77777777" w:rsidR="00B823F8" w:rsidRPr="00A53AD7" w:rsidRDefault="00B823F8" w:rsidP="00EF203B">
            <w:pPr>
              <w:pStyle w:val="ad"/>
              <w:ind w:right="-108" w:hanging="113"/>
              <w:rPr>
                <w:rFonts w:ascii="Times New Roman" w:hAnsi="Times New Roman"/>
              </w:rPr>
            </w:pPr>
            <w:r w:rsidRPr="00A53AD7">
              <w:rPr>
                <w:rFonts w:ascii="Times New Roman" w:hAnsi="Times New Roman"/>
              </w:rPr>
              <w:t xml:space="preserve">Сумма </w:t>
            </w:r>
          </w:p>
        </w:tc>
        <w:tc>
          <w:tcPr>
            <w:tcW w:w="1056" w:type="dxa"/>
          </w:tcPr>
          <w:p w14:paraId="0EC3E21A" w14:textId="77777777" w:rsidR="00B823F8" w:rsidRPr="00A53AD7" w:rsidRDefault="00B823F8" w:rsidP="00B823F8">
            <w:pPr>
              <w:pStyle w:val="ad"/>
              <w:jc w:val="center"/>
              <w:rPr>
                <w:rFonts w:ascii="Times New Roman" w:hAnsi="Times New Roman"/>
              </w:rPr>
            </w:pPr>
            <w:r w:rsidRPr="00A53AD7">
              <w:rPr>
                <w:rFonts w:ascii="Times New Roman" w:hAnsi="Times New Roman"/>
              </w:rPr>
              <w:t>209,2</w:t>
            </w:r>
          </w:p>
        </w:tc>
        <w:tc>
          <w:tcPr>
            <w:tcW w:w="1060" w:type="dxa"/>
          </w:tcPr>
          <w:p w14:paraId="0BC5B4CC" w14:textId="77777777" w:rsidR="00B823F8" w:rsidRPr="00A53AD7" w:rsidRDefault="00B823F8" w:rsidP="00B823F8">
            <w:pPr>
              <w:pStyle w:val="ad"/>
              <w:jc w:val="center"/>
              <w:rPr>
                <w:rFonts w:ascii="Times New Roman" w:hAnsi="Times New Roman"/>
              </w:rPr>
            </w:pPr>
            <w:r w:rsidRPr="00A53AD7">
              <w:rPr>
                <w:rFonts w:ascii="Times New Roman" w:hAnsi="Times New Roman"/>
              </w:rPr>
              <w:t>218,9</w:t>
            </w:r>
          </w:p>
        </w:tc>
        <w:tc>
          <w:tcPr>
            <w:tcW w:w="1056" w:type="dxa"/>
          </w:tcPr>
          <w:p w14:paraId="3AB5B62C" w14:textId="77777777" w:rsidR="00B823F8" w:rsidRPr="00A53AD7" w:rsidRDefault="00B823F8" w:rsidP="00B823F8">
            <w:pPr>
              <w:pStyle w:val="ad"/>
              <w:jc w:val="center"/>
              <w:rPr>
                <w:rFonts w:ascii="Times New Roman" w:hAnsi="Times New Roman"/>
              </w:rPr>
            </w:pPr>
            <w:r w:rsidRPr="00A53AD7">
              <w:rPr>
                <w:rFonts w:ascii="Times New Roman" w:hAnsi="Times New Roman"/>
              </w:rPr>
              <w:t>245,4</w:t>
            </w:r>
          </w:p>
        </w:tc>
        <w:tc>
          <w:tcPr>
            <w:tcW w:w="1056" w:type="dxa"/>
          </w:tcPr>
          <w:p w14:paraId="681A9B6F" w14:textId="77777777" w:rsidR="00B823F8" w:rsidRPr="00A53AD7" w:rsidRDefault="00B823F8" w:rsidP="00B823F8">
            <w:pPr>
              <w:pStyle w:val="ad"/>
              <w:jc w:val="center"/>
              <w:rPr>
                <w:rFonts w:ascii="Times New Roman" w:hAnsi="Times New Roman"/>
              </w:rPr>
            </w:pPr>
            <w:r w:rsidRPr="00A53AD7">
              <w:rPr>
                <w:rFonts w:ascii="Times New Roman" w:hAnsi="Times New Roman"/>
              </w:rPr>
              <w:t>241,5</w:t>
            </w:r>
          </w:p>
        </w:tc>
        <w:tc>
          <w:tcPr>
            <w:tcW w:w="1056" w:type="dxa"/>
          </w:tcPr>
          <w:p w14:paraId="5FC9EF47" w14:textId="77777777" w:rsidR="00B823F8" w:rsidRPr="00A53AD7" w:rsidRDefault="00B823F8" w:rsidP="00B823F8">
            <w:pPr>
              <w:pStyle w:val="ad"/>
              <w:jc w:val="center"/>
              <w:rPr>
                <w:rFonts w:ascii="Times New Roman" w:hAnsi="Times New Roman"/>
              </w:rPr>
            </w:pPr>
            <w:r w:rsidRPr="00A53AD7">
              <w:rPr>
                <w:rFonts w:ascii="Times New Roman" w:hAnsi="Times New Roman"/>
              </w:rPr>
              <w:t>241,3</w:t>
            </w:r>
          </w:p>
        </w:tc>
        <w:tc>
          <w:tcPr>
            <w:tcW w:w="1056" w:type="dxa"/>
          </w:tcPr>
          <w:p w14:paraId="60ED5D98" w14:textId="77777777" w:rsidR="00B823F8" w:rsidRPr="00A53AD7" w:rsidRDefault="00B823F8" w:rsidP="00B823F8">
            <w:pPr>
              <w:pStyle w:val="ad"/>
              <w:jc w:val="center"/>
              <w:rPr>
                <w:rFonts w:ascii="Times New Roman" w:hAnsi="Times New Roman"/>
              </w:rPr>
            </w:pPr>
            <w:r w:rsidRPr="00A53AD7">
              <w:rPr>
                <w:rFonts w:ascii="Times New Roman" w:hAnsi="Times New Roman"/>
              </w:rPr>
              <w:t>155,1</w:t>
            </w:r>
          </w:p>
        </w:tc>
        <w:tc>
          <w:tcPr>
            <w:tcW w:w="1185" w:type="dxa"/>
          </w:tcPr>
          <w:p w14:paraId="0D2C7227" w14:textId="77777777" w:rsidR="00B823F8" w:rsidRPr="00A53AD7" w:rsidRDefault="00B823F8" w:rsidP="00B823F8">
            <w:pPr>
              <w:pStyle w:val="ad"/>
              <w:jc w:val="center"/>
              <w:rPr>
                <w:rFonts w:ascii="Times New Roman" w:hAnsi="Times New Roman"/>
              </w:rPr>
            </w:pPr>
            <w:r w:rsidRPr="00A53AD7">
              <w:rPr>
                <w:rFonts w:ascii="Times New Roman" w:hAnsi="Times New Roman"/>
              </w:rPr>
              <w:t>148,4</w:t>
            </w:r>
          </w:p>
        </w:tc>
        <w:tc>
          <w:tcPr>
            <w:tcW w:w="984" w:type="dxa"/>
          </w:tcPr>
          <w:p w14:paraId="7D240527" w14:textId="77777777" w:rsidR="00B823F8" w:rsidRPr="00A53AD7" w:rsidRDefault="00B823F8" w:rsidP="00B823F8">
            <w:pPr>
              <w:pStyle w:val="ad"/>
              <w:tabs>
                <w:tab w:val="left" w:pos="51"/>
              </w:tabs>
              <w:ind w:left="-117" w:right="-108"/>
              <w:jc w:val="center"/>
              <w:rPr>
                <w:rFonts w:ascii="Times New Roman" w:hAnsi="Times New Roman"/>
              </w:rPr>
            </w:pPr>
            <w:r w:rsidRPr="00A53AD7">
              <w:rPr>
                <w:rFonts w:ascii="Times New Roman" w:hAnsi="Times New Roman"/>
              </w:rPr>
              <w:t>95,7%</w:t>
            </w:r>
          </w:p>
        </w:tc>
      </w:tr>
      <w:tr w:rsidR="00D470B6" w:rsidRPr="00A53AD7" w14:paraId="43AC2728" w14:textId="77777777" w:rsidTr="00EF203B">
        <w:tc>
          <w:tcPr>
            <w:tcW w:w="1119" w:type="dxa"/>
          </w:tcPr>
          <w:p w14:paraId="4D75DBDE" w14:textId="77777777" w:rsidR="00B823F8" w:rsidRPr="00A53AD7" w:rsidRDefault="00B823F8" w:rsidP="00EF203B">
            <w:pPr>
              <w:pStyle w:val="ad"/>
              <w:ind w:right="-108" w:hanging="113"/>
              <w:rPr>
                <w:rFonts w:ascii="Times New Roman" w:hAnsi="Times New Roman"/>
              </w:rPr>
            </w:pPr>
            <w:r w:rsidRPr="00A53AD7">
              <w:rPr>
                <w:rFonts w:ascii="Times New Roman" w:hAnsi="Times New Roman"/>
              </w:rPr>
              <w:t>кол-во объектов</w:t>
            </w:r>
          </w:p>
        </w:tc>
        <w:tc>
          <w:tcPr>
            <w:tcW w:w="1056" w:type="dxa"/>
          </w:tcPr>
          <w:p w14:paraId="3D80A9AB" w14:textId="77777777" w:rsidR="00B823F8" w:rsidRPr="00A53AD7" w:rsidRDefault="00B823F8" w:rsidP="00B823F8">
            <w:pPr>
              <w:pStyle w:val="ad"/>
              <w:jc w:val="center"/>
              <w:rPr>
                <w:rFonts w:ascii="Times New Roman" w:hAnsi="Times New Roman"/>
              </w:rPr>
            </w:pPr>
          </w:p>
          <w:p w14:paraId="0BF9CCAE"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060" w:type="dxa"/>
          </w:tcPr>
          <w:p w14:paraId="092DF499" w14:textId="77777777" w:rsidR="00B823F8" w:rsidRPr="00A53AD7" w:rsidRDefault="00B823F8" w:rsidP="00B823F8">
            <w:pPr>
              <w:pStyle w:val="ad"/>
              <w:jc w:val="center"/>
              <w:rPr>
                <w:rFonts w:ascii="Times New Roman" w:hAnsi="Times New Roman"/>
              </w:rPr>
            </w:pPr>
          </w:p>
          <w:p w14:paraId="430D4CB3" w14:textId="77777777" w:rsidR="00B823F8" w:rsidRPr="00A53AD7" w:rsidRDefault="00B823F8" w:rsidP="00B823F8">
            <w:pPr>
              <w:pStyle w:val="ad"/>
              <w:jc w:val="center"/>
              <w:rPr>
                <w:rFonts w:ascii="Times New Roman" w:hAnsi="Times New Roman"/>
              </w:rPr>
            </w:pPr>
            <w:r w:rsidRPr="00A53AD7">
              <w:rPr>
                <w:rFonts w:ascii="Times New Roman" w:hAnsi="Times New Roman"/>
              </w:rPr>
              <w:t>14</w:t>
            </w:r>
          </w:p>
        </w:tc>
        <w:tc>
          <w:tcPr>
            <w:tcW w:w="1056" w:type="dxa"/>
          </w:tcPr>
          <w:p w14:paraId="704454ED" w14:textId="77777777" w:rsidR="00B823F8" w:rsidRPr="00A53AD7" w:rsidRDefault="00B823F8" w:rsidP="00B823F8">
            <w:pPr>
              <w:pStyle w:val="ad"/>
              <w:jc w:val="center"/>
              <w:rPr>
                <w:rFonts w:ascii="Times New Roman" w:hAnsi="Times New Roman"/>
              </w:rPr>
            </w:pPr>
          </w:p>
          <w:p w14:paraId="087B0981" w14:textId="77777777" w:rsidR="00B823F8" w:rsidRPr="00A53AD7" w:rsidRDefault="00B823F8" w:rsidP="00B823F8">
            <w:pPr>
              <w:pStyle w:val="ad"/>
              <w:jc w:val="center"/>
              <w:rPr>
                <w:rFonts w:ascii="Times New Roman" w:hAnsi="Times New Roman"/>
              </w:rPr>
            </w:pPr>
            <w:r w:rsidRPr="00A53AD7">
              <w:rPr>
                <w:rFonts w:ascii="Times New Roman" w:hAnsi="Times New Roman"/>
              </w:rPr>
              <w:t>15</w:t>
            </w:r>
          </w:p>
        </w:tc>
        <w:tc>
          <w:tcPr>
            <w:tcW w:w="1056" w:type="dxa"/>
          </w:tcPr>
          <w:p w14:paraId="732841A6" w14:textId="77777777" w:rsidR="00B823F8" w:rsidRPr="00A53AD7" w:rsidRDefault="00B823F8" w:rsidP="00B823F8">
            <w:pPr>
              <w:pStyle w:val="ad"/>
              <w:jc w:val="center"/>
              <w:rPr>
                <w:rFonts w:ascii="Times New Roman" w:hAnsi="Times New Roman"/>
              </w:rPr>
            </w:pPr>
          </w:p>
          <w:p w14:paraId="6A6B6873" w14:textId="77777777" w:rsidR="00B823F8" w:rsidRPr="00A53AD7" w:rsidRDefault="00B823F8" w:rsidP="00B823F8">
            <w:pPr>
              <w:pStyle w:val="ad"/>
              <w:jc w:val="center"/>
              <w:rPr>
                <w:rFonts w:ascii="Times New Roman" w:hAnsi="Times New Roman"/>
              </w:rPr>
            </w:pPr>
            <w:r w:rsidRPr="00A53AD7">
              <w:rPr>
                <w:rFonts w:ascii="Times New Roman" w:hAnsi="Times New Roman"/>
              </w:rPr>
              <w:t>15</w:t>
            </w:r>
          </w:p>
        </w:tc>
        <w:tc>
          <w:tcPr>
            <w:tcW w:w="1056" w:type="dxa"/>
          </w:tcPr>
          <w:p w14:paraId="3592FA64" w14:textId="77777777" w:rsidR="00B823F8" w:rsidRPr="00A53AD7" w:rsidRDefault="00B823F8" w:rsidP="00B823F8">
            <w:pPr>
              <w:pStyle w:val="ad"/>
              <w:jc w:val="center"/>
              <w:rPr>
                <w:rFonts w:ascii="Times New Roman" w:hAnsi="Times New Roman"/>
              </w:rPr>
            </w:pPr>
          </w:p>
          <w:p w14:paraId="629C9668" w14:textId="77777777" w:rsidR="00B823F8" w:rsidRPr="00A53AD7" w:rsidRDefault="00B823F8" w:rsidP="00B823F8">
            <w:pPr>
              <w:pStyle w:val="ad"/>
              <w:jc w:val="center"/>
              <w:rPr>
                <w:rFonts w:ascii="Times New Roman" w:hAnsi="Times New Roman"/>
              </w:rPr>
            </w:pPr>
            <w:r w:rsidRPr="00A53AD7">
              <w:rPr>
                <w:rFonts w:ascii="Times New Roman" w:hAnsi="Times New Roman"/>
              </w:rPr>
              <w:t>17</w:t>
            </w:r>
          </w:p>
        </w:tc>
        <w:tc>
          <w:tcPr>
            <w:tcW w:w="1056" w:type="dxa"/>
          </w:tcPr>
          <w:p w14:paraId="2C4309F2" w14:textId="77777777" w:rsidR="00B823F8" w:rsidRPr="00A53AD7" w:rsidRDefault="00B823F8" w:rsidP="00B823F8">
            <w:pPr>
              <w:pStyle w:val="ad"/>
              <w:jc w:val="center"/>
              <w:rPr>
                <w:rFonts w:ascii="Times New Roman" w:hAnsi="Times New Roman"/>
              </w:rPr>
            </w:pPr>
          </w:p>
          <w:p w14:paraId="22E14D8D"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185" w:type="dxa"/>
          </w:tcPr>
          <w:p w14:paraId="3868DC63" w14:textId="77777777" w:rsidR="00B823F8" w:rsidRPr="00A53AD7" w:rsidRDefault="00B823F8" w:rsidP="00B823F8">
            <w:pPr>
              <w:pStyle w:val="ad"/>
              <w:jc w:val="center"/>
              <w:rPr>
                <w:rFonts w:ascii="Times New Roman" w:hAnsi="Times New Roman"/>
              </w:rPr>
            </w:pPr>
          </w:p>
          <w:p w14:paraId="29DB845A"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984" w:type="dxa"/>
          </w:tcPr>
          <w:p w14:paraId="657147FC" w14:textId="77777777" w:rsidR="00B823F8" w:rsidRPr="00A53AD7" w:rsidRDefault="00B823F8" w:rsidP="00B823F8">
            <w:pPr>
              <w:pStyle w:val="ad"/>
              <w:jc w:val="center"/>
              <w:rPr>
                <w:rFonts w:ascii="Times New Roman" w:hAnsi="Times New Roman"/>
              </w:rPr>
            </w:pPr>
          </w:p>
          <w:p w14:paraId="45E37FD7" w14:textId="77777777" w:rsidR="00B823F8" w:rsidRPr="00A53AD7" w:rsidRDefault="00B823F8" w:rsidP="00B823F8">
            <w:pPr>
              <w:pStyle w:val="ad"/>
              <w:jc w:val="center"/>
              <w:rPr>
                <w:rFonts w:ascii="Times New Roman" w:hAnsi="Times New Roman"/>
              </w:rPr>
            </w:pPr>
            <w:r w:rsidRPr="00A53AD7">
              <w:rPr>
                <w:rFonts w:ascii="Times New Roman" w:hAnsi="Times New Roman"/>
              </w:rPr>
              <w:t>71,4%</w:t>
            </w:r>
          </w:p>
        </w:tc>
      </w:tr>
      <w:tr w:rsidR="00D470B6" w:rsidRPr="00A53AD7" w14:paraId="554EBF1D" w14:textId="77777777" w:rsidTr="00EF203B">
        <w:tc>
          <w:tcPr>
            <w:tcW w:w="1119" w:type="dxa"/>
          </w:tcPr>
          <w:p w14:paraId="3E671162" w14:textId="77777777" w:rsidR="00B823F8" w:rsidRPr="00A53AD7" w:rsidRDefault="00B823F8" w:rsidP="00EF203B">
            <w:pPr>
              <w:pStyle w:val="ad"/>
              <w:ind w:hanging="113"/>
              <w:rPr>
                <w:rFonts w:ascii="Times New Roman" w:hAnsi="Times New Roman"/>
              </w:rPr>
            </w:pPr>
            <w:r w:rsidRPr="00A53AD7">
              <w:rPr>
                <w:rFonts w:ascii="Times New Roman" w:hAnsi="Times New Roman"/>
              </w:rPr>
              <w:t>(+, -) сумма</w:t>
            </w:r>
          </w:p>
        </w:tc>
        <w:tc>
          <w:tcPr>
            <w:tcW w:w="1056" w:type="dxa"/>
          </w:tcPr>
          <w:p w14:paraId="1312AD01" w14:textId="77777777" w:rsidR="00B823F8" w:rsidRPr="00A53AD7" w:rsidRDefault="00B823F8" w:rsidP="00B823F8">
            <w:pPr>
              <w:pStyle w:val="ad"/>
              <w:jc w:val="center"/>
              <w:rPr>
                <w:rFonts w:ascii="Times New Roman" w:hAnsi="Times New Roman"/>
              </w:rPr>
            </w:pPr>
          </w:p>
        </w:tc>
        <w:tc>
          <w:tcPr>
            <w:tcW w:w="1060" w:type="dxa"/>
          </w:tcPr>
          <w:p w14:paraId="4E83AF04" w14:textId="77777777" w:rsidR="00B823F8" w:rsidRPr="00A53AD7" w:rsidRDefault="00B823F8" w:rsidP="00B823F8">
            <w:pPr>
              <w:pStyle w:val="ad"/>
              <w:jc w:val="center"/>
              <w:rPr>
                <w:rFonts w:ascii="Times New Roman" w:hAnsi="Times New Roman"/>
              </w:rPr>
            </w:pPr>
            <w:r w:rsidRPr="00A53AD7">
              <w:rPr>
                <w:rFonts w:ascii="Times New Roman" w:hAnsi="Times New Roman"/>
              </w:rPr>
              <w:t>+9,7</w:t>
            </w:r>
          </w:p>
        </w:tc>
        <w:tc>
          <w:tcPr>
            <w:tcW w:w="1056" w:type="dxa"/>
          </w:tcPr>
          <w:p w14:paraId="2CDE1A60" w14:textId="77777777" w:rsidR="00B823F8" w:rsidRPr="00A53AD7" w:rsidRDefault="00B823F8" w:rsidP="00B823F8">
            <w:pPr>
              <w:pStyle w:val="ad"/>
              <w:jc w:val="center"/>
              <w:rPr>
                <w:rFonts w:ascii="Times New Roman" w:hAnsi="Times New Roman"/>
              </w:rPr>
            </w:pPr>
            <w:r w:rsidRPr="00A53AD7">
              <w:rPr>
                <w:rFonts w:ascii="Times New Roman" w:hAnsi="Times New Roman"/>
              </w:rPr>
              <w:t>+26,5</w:t>
            </w:r>
          </w:p>
        </w:tc>
        <w:tc>
          <w:tcPr>
            <w:tcW w:w="1056" w:type="dxa"/>
          </w:tcPr>
          <w:p w14:paraId="5FA69A42" w14:textId="77777777" w:rsidR="00B823F8" w:rsidRPr="00A53AD7" w:rsidRDefault="00B823F8" w:rsidP="00B823F8">
            <w:pPr>
              <w:pStyle w:val="ad"/>
              <w:jc w:val="center"/>
              <w:rPr>
                <w:rFonts w:ascii="Times New Roman" w:hAnsi="Times New Roman"/>
              </w:rPr>
            </w:pPr>
            <w:r w:rsidRPr="00A53AD7">
              <w:rPr>
                <w:rFonts w:ascii="Times New Roman" w:hAnsi="Times New Roman"/>
              </w:rPr>
              <w:t>-3,9</w:t>
            </w:r>
          </w:p>
        </w:tc>
        <w:tc>
          <w:tcPr>
            <w:tcW w:w="1056" w:type="dxa"/>
          </w:tcPr>
          <w:p w14:paraId="1578B776" w14:textId="77777777" w:rsidR="00B823F8" w:rsidRPr="00A53AD7" w:rsidRDefault="00B823F8" w:rsidP="00B823F8">
            <w:pPr>
              <w:pStyle w:val="ad"/>
              <w:jc w:val="center"/>
              <w:rPr>
                <w:rFonts w:ascii="Times New Roman" w:hAnsi="Times New Roman"/>
              </w:rPr>
            </w:pPr>
            <w:r w:rsidRPr="00A53AD7">
              <w:rPr>
                <w:rFonts w:ascii="Times New Roman" w:hAnsi="Times New Roman"/>
              </w:rPr>
              <w:t>-0,2</w:t>
            </w:r>
          </w:p>
        </w:tc>
        <w:tc>
          <w:tcPr>
            <w:tcW w:w="1056" w:type="dxa"/>
          </w:tcPr>
          <w:p w14:paraId="5322E968" w14:textId="77777777" w:rsidR="00B823F8" w:rsidRPr="00A53AD7" w:rsidRDefault="00B823F8" w:rsidP="00B823F8">
            <w:pPr>
              <w:pStyle w:val="ad"/>
              <w:jc w:val="center"/>
              <w:rPr>
                <w:rFonts w:ascii="Times New Roman" w:hAnsi="Times New Roman"/>
              </w:rPr>
            </w:pPr>
            <w:r w:rsidRPr="00A53AD7">
              <w:rPr>
                <w:rFonts w:ascii="Times New Roman" w:hAnsi="Times New Roman"/>
              </w:rPr>
              <w:t>-86,2</w:t>
            </w:r>
          </w:p>
        </w:tc>
        <w:tc>
          <w:tcPr>
            <w:tcW w:w="1185" w:type="dxa"/>
          </w:tcPr>
          <w:p w14:paraId="7D6115D1" w14:textId="77777777" w:rsidR="00B823F8" w:rsidRPr="00A53AD7" w:rsidRDefault="00B823F8" w:rsidP="00B823F8">
            <w:pPr>
              <w:pStyle w:val="ad"/>
              <w:jc w:val="center"/>
              <w:rPr>
                <w:rFonts w:ascii="Times New Roman" w:hAnsi="Times New Roman"/>
              </w:rPr>
            </w:pPr>
          </w:p>
        </w:tc>
        <w:tc>
          <w:tcPr>
            <w:tcW w:w="984" w:type="dxa"/>
          </w:tcPr>
          <w:p w14:paraId="108EE75E" w14:textId="77777777" w:rsidR="00B823F8" w:rsidRPr="00A53AD7" w:rsidRDefault="00B823F8" w:rsidP="00B823F8">
            <w:pPr>
              <w:pStyle w:val="ad"/>
              <w:jc w:val="center"/>
              <w:rPr>
                <w:rFonts w:ascii="Times New Roman" w:hAnsi="Times New Roman"/>
              </w:rPr>
            </w:pPr>
          </w:p>
        </w:tc>
      </w:tr>
      <w:tr w:rsidR="00B823F8" w:rsidRPr="00A53AD7" w14:paraId="2BB59C10" w14:textId="77777777" w:rsidTr="00EF203B">
        <w:tc>
          <w:tcPr>
            <w:tcW w:w="1119" w:type="dxa"/>
          </w:tcPr>
          <w:p w14:paraId="49069DB1" w14:textId="77777777" w:rsidR="00B823F8" w:rsidRPr="00A53AD7" w:rsidRDefault="00B823F8" w:rsidP="00EF203B">
            <w:pPr>
              <w:pStyle w:val="ad"/>
              <w:ind w:hanging="113"/>
              <w:rPr>
                <w:rFonts w:ascii="Times New Roman" w:hAnsi="Times New Roman"/>
              </w:rPr>
            </w:pPr>
            <w:r w:rsidRPr="00A53AD7">
              <w:rPr>
                <w:rFonts w:ascii="Times New Roman" w:hAnsi="Times New Roman"/>
              </w:rPr>
              <w:t>(+,-) объекты</w:t>
            </w:r>
          </w:p>
        </w:tc>
        <w:tc>
          <w:tcPr>
            <w:tcW w:w="1056" w:type="dxa"/>
          </w:tcPr>
          <w:p w14:paraId="1DDC6732" w14:textId="77777777" w:rsidR="00B823F8" w:rsidRPr="00A53AD7" w:rsidRDefault="00B823F8" w:rsidP="00B823F8">
            <w:pPr>
              <w:pStyle w:val="ad"/>
              <w:jc w:val="center"/>
              <w:rPr>
                <w:rFonts w:ascii="Times New Roman" w:hAnsi="Times New Roman"/>
              </w:rPr>
            </w:pPr>
          </w:p>
        </w:tc>
        <w:tc>
          <w:tcPr>
            <w:tcW w:w="1060" w:type="dxa"/>
          </w:tcPr>
          <w:p w14:paraId="2B6F9F1D"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7437ECFB"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208B4409"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056" w:type="dxa"/>
          </w:tcPr>
          <w:p w14:paraId="19BDC1A6"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1FBAAF82" w14:textId="77777777" w:rsidR="00B823F8" w:rsidRPr="00A53AD7" w:rsidRDefault="00B823F8" w:rsidP="00B823F8">
            <w:pPr>
              <w:pStyle w:val="ad"/>
              <w:jc w:val="center"/>
              <w:rPr>
                <w:rFonts w:ascii="Times New Roman" w:hAnsi="Times New Roman"/>
              </w:rPr>
            </w:pPr>
            <w:r w:rsidRPr="00A53AD7">
              <w:rPr>
                <w:rFonts w:ascii="Times New Roman" w:hAnsi="Times New Roman"/>
              </w:rPr>
              <w:t>-10</w:t>
            </w:r>
          </w:p>
        </w:tc>
        <w:tc>
          <w:tcPr>
            <w:tcW w:w="1185" w:type="dxa"/>
          </w:tcPr>
          <w:p w14:paraId="57EBDC87" w14:textId="77777777" w:rsidR="00B823F8" w:rsidRPr="00A53AD7" w:rsidRDefault="00B823F8" w:rsidP="00B823F8">
            <w:pPr>
              <w:pStyle w:val="ad"/>
              <w:jc w:val="center"/>
              <w:rPr>
                <w:rFonts w:ascii="Times New Roman" w:hAnsi="Times New Roman"/>
              </w:rPr>
            </w:pPr>
          </w:p>
        </w:tc>
        <w:tc>
          <w:tcPr>
            <w:tcW w:w="984" w:type="dxa"/>
          </w:tcPr>
          <w:p w14:paraId="0E77F9C4" w14:textId="77777777" w:rsidR="00B823F8" w:rsidRPr="00A53AD7" w:rsidRDefault="00B823F8" w:rsidP="00B823F8">
            <w:pPr>
              <w:pStyle w:val="ad"/>
              <w:jc w:val="center"/>
              <w:rPr>
                <w:rFonts w:ascii="Times New Roman" w:hAnsi="Times New Roman"/>
              </w:rPr>
            </w:pPr>
          </w:p>
        </w:tc>
      </w:tr>
    </w:tbl>
    <w:p w14:paraId="7130CCB4" w14:textId="77777777" w:rsidR="00B823F8" w:rsidRPr="00A53AD7" w:rsidRDefault="00B823F8" w:rsidP="00EF203B">
      <w:pPr>
        <w:pStyle w:val="ad"/>
        <w:ind w:firstLine="708"/>
        <w:jc w:val="both"/>
        <w:rPr>
          <w:rFonts w:ascii="Times New Roman" w:hAnsi="Times New Roman"/>
          <w:sz w:val="28"/>
          <w:szCs w:val="28"/>
        </w:rPr>
      </w:pPr>
    </w:p>
    <w:p w14:paraId="782A0CC0" w14:textId="26D376EA" w:rsidR="00B823F8" w:rsidRPr="00A53AD7" w:rsidRDefault="00B823F8" w:rsidP="00EF203B">
      <w:pPr>
        <w:pStyle w:val="ad"/>
        <w:ind w:firstLine="708"/>
        <w:jc w:val="both"/>
        <w:rPr>
          <w:rFonts w:ascii="Times New Roman" w:hAnsi="Times New Roman"/>
          <w:sz w:val="28"/>
          <w:szCs w:val="28"/>
        </w:rPr>
      </w:pPr>
      <w:r w:rsidRPr="00A53AD7">
        <w:rPr>
          <w:rFonts w:ascii="Times New Roman" w:hAnsi="Times New Roman"/>
          <w:sz w:val="28"/>
          <w:szCs w:val="28"/>
        </w:rPr>
        <w:t>Главный распорядитель реализации программы министерство строительства и архитектуры, по 2 объектам министерство здравоохранения, заказчики:</w:t>
      </w:r>
    </w:p>
    <w:p w14:paraId="0038093B" w14:textId="1C7C79D4"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ГКУ АО «ГУКС</w:t>
      </w:r>
      <w:r w:rsidR="00EF203B" w:rsidRPr="00A53AD7">
        <w:rPr>
          <w:rFonts w:ascii="Times New Roman" w:hAnsi="Times New Roman"/>
          <w:sz w:val="28"/>
          <w:szCs w:val="28"/>
        </w:rPr>
        <w:t>»</w:t>
      </w:r>
      <w:r w:rsidR="00BB0EB4" w:rsidRPr="00A53AD7">
        <w:rPr>
          <w:rFonts w:ascii="Times New Roman" w:hAnsi="Times New Roman"/>
          <w:sz w:val="28"/>
          <w:szCs w:val="28"/>
        </w:rPr>
        <w:t>;</w:t>
      </w:r>
    </w:p>
    <w:p w14:paraId="00C6CA12" w14:textId="21A5443A"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ГБУЗ</w:t>
      </w:r>
      <w:r w:rsidR="00BB0EB4" w:rsidRPr="00A53AD7">
        <w:rPr>
          <w:rFonts w:ascii="Times New Roman" w:hAnsi="Times New Roman"/>
          <w:sz w:val="28"/>
          <w:szCs w:val="28"/>
        </w:rPr>
        <w:t xml:space="preserve"> АО «Плесецкая ЦРБ по 1 объекту;</w:t>
      </w:r>
    </w:p>
    <w:p w14:paraId="6542B967" w14:textId="54A17236"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ГБУЗ АО «</w:t>
      </w:r>
      <w:r w:rsidR="00BB0EB4" w:rsidRPr="00A53AD7">
        <w:rPr>
          <w:rFonts w:ascii="Times New Roman" w:hAnsi="Times New Roman"/>
          <w:sz w:val="28"/>
          <w:szCs w:val="28"/>
        </w:rPr>
        <w:t>Красноборская ЦРБ» по 1 объекту;</w:t>
      </w:r>
    </w:p>
    <w:p w14:paraId="4BCF9AB7" w14:textId="541BD72E"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администрация МО «Лешуконский район» по 1 объекту.</w:t>
      </w:r>
    </w:p>
    <w:p w14:paraId="766F4C06" w14:textId="0809DBF3" w:rsidR="00B823F8" w:rsidRPr="00A53AD7" w:rsidRDefault="00B823F8" w:rsidP="00B823F8">
      <w:pPr>
        <w:pStyle w:val="ad"/>
        <w:ind w:firstLine="708"/>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на которые предусмотрено финансирование, составило:</w:t>
      </w:r>
    </w:p>
    <w:p w14:paraId="26C47173"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64"/>
        <w:gridCol w:w="1865"/>
        <w:gridCol w:w="1865"/>
        <w:gridCol w:w="1865"/>
        <w:gridCol w:w="1865"/>
      </w:tblGrid>
      <w:tr w:rsidR="00D470B6" w:rsidRPr="00A53AD7" w14:paraId="13F203D1" w14:textId="77777777" w:rsidTr="00BF3573">
        <w:trPr>
          <w:tblHeader/>
        </w:trPr>
        <w:tc>
          <w:tcPr>
            <w:tcW w:w="1869" w:type="dxa"/>
          </w:tcPr>
          <w:p w14:paraId="59411893" w14:textId="77777777" w:rsidR="00B823F8" w:rsidRPr="00A53AD7" w:rsidRDefault="00B823F8" w:rsidP="00A17DE0">
            <w:pPr>
              <w:pStyle w:val="ad"/>
              <w:jc w:val="center"/>
              <w:rPr>
                <w:rFonts w:ascii="Times New Roman" w:hAnsi="Times New Roman"/>
              </w:rPr>
            </w:pPr>
          </w:p>
        </w:tc>
        <w:tc>
          <w:tcPr>
            <w:tcW w:w="1869" w:type="dxa"/>
          </w:tcPr>
          <w:p w14:paraId="3158AA67" w14:textId="77777777" w:rsidR="00B823F8" w:rsidRPr="00A53AD7" w:rsidRDefault="00B823F8" w:rsidP="00A17DE0">
            <w:pPr>
              <w:pStyle w:val="ad"/>
              <w:jc w:val="center"/>
              <w:rPr>
                <w:rFonts w:ascii="Times New Roman" w:hAnsi="Times New Roman"/>
              </w:rPr>
            </w:pPr>
            <w:r w:rsidRPr="00A53AD7">
              <w:rPr>
                <w:rFonts w:ascii="Times New Roman" w:hAnsi="Times New Roman"/>
              </w:rPr>
              <w:t>На 01.04.2019</w:t>
            </w:r>
          </w:p>
        </w:tc>
        <w:tc>
          <w:tcPr>
            <w:tcW w:w="1869" w:type="dxa"/>
          </w:tcPr>
          <w:p w14:paraId="318DF395" w14:textId="77777777" w:rsidR="00B823F8" w:rsidRPr="00A53AD7" w:rsidRDefault="00B823F8" w:rsidP="00A17DE0">
            <w:pPr>
              <w:pStyle w:val="ad"/>
              <w:jc w:val="center"/>
              <w:rPr>
                <w:rFonts w:ascii="Times New Roman" w:hAnsi="Times New Roman"/>
              </w:rPr>
            </w:pPr>
            <w:r w:rsidRPr="00A53AD7">
              <w:rPr>
                <w:rFonts w:ascii="Times New Roman" w:hAnsi="Times New Roman"/>
              </w:rPr>
              <w:t>На 01.07.2019</w:t>
            </w:r>
          </w:p>
        </w:tc>
        <w:tc>
          <w:tcPr>
            <w:tcW w:w="1869" w:type="dxa"/>
          </w:tcPr>
          <w:p w14:paraId="2DC65D84" w14:textId="77777777" w:rsidR="00B823F8" w:rsidRPr="00A53AD7" w:rsidRDefault="00B823F8" w:rsidP="00A17DE0">
            <w:pPr>
              <w:pStyle w:val="ad"/>
              <w:jc w:val="center"/>
              <w:rPr>
                <w:rFonts w:ascii="Times New Roman" w:hAnsi="Times New Roman"/>
              </w:rPr>
            </w:pPr>
            <w:r w:rsidRPr="00A53AD7">
              <w:rPr>
                <w:rFonts w:ascii="Times New Roman" w:hAnsi="Times New Roman"/>
              </w:rPr>
              <w:t>На 01.10.2019</w:t>
            </w:r>
          </w:p>
        </w:tc>
        <w:tc>
          <w:tcPr>
            <w:tcW w:w="1869" w:type="dxa"/>
          </w:tcPr>
          <w:p w14:paraId="2DFE683F" w14:textId="77777777" w:rsidR="00B823F8" w:rsidRPr="00A53AD7" w:rsidRDefault="00B823F8" w:rsidP="00A17DE0">
            <w:pPr>
              <w:pStyle w:val="ad"/>
              <w:jc w:val="center"/>
              <w:rPr>
                <w:rFonts w:ascii="Times New Roman" w:hAnsi="Times New Roman"/>
              </w:rPr>
            </w:pPr>
            <w:r w:rsidRPr="00A53AD7">
              <w:rPr>
                <w:rFonts w:ascii="Times New Roman" w:hAnsi="Times New Roman"/>
              </w:rPr>
              <w:t>На 31.12.2019</w:t>
            </w:r>
          </w:p>
        </w:tc>
      </w:tr>
      <w:tr w:rsidR="00D470B6" w:rsidRPr="00A53AD7" w14:paraId="132E9DAD" w14:textId="77777777" w:rsidTr="00A17DE0">
        <w:tc>
          <w:tcPr>
            <w:tcW w:w="1869" w:type="dxa"/>
          </w:tcPr>
          <w:p w14:paraId="468934FA" w14:textId="77777777" w:rsidR="00B823F8" w:rsidRPr="00A53AD7" w:rsidRDefault="00B823F8" w:rsidP="00A17DE0">
            <w:pPr>
              <w:pStyle w:val="ad"/>
              <w:rPr>
                <w:rFonts w:ascii="Times New Roman" w:hAnsi="Times New Roman"/>
              </w:rPr>
            </w:pPr>
            <w:r w:rsidRPr="00A53AD7">
              <w:rPr>
                <w:rFonts w:ascii="Times New Roman" w:hAnsi="Times New Roman"/>
              </w:rPr>
              <w:t>ОАИП план</w:t>
            </w:r>
          </w:p>
        </w:tc>
        <w:tc>
          <w:tcPr>
            <w:tcW w:w="1869" w:type="dxa"/>
          </w:tcPr>
          <w:p w14:paraId="18C242AC" w14:textId="77777777" w:rsidR="00B823F8" w:rsidRPr="00A53AD7" w:rsidRDefault="00B823F8" w:rsidP="00B823F8">
            <w:pPr>
              <w:pStyle w:val="ad"/>
              <w:jc w:val="center"/>
              <w:rPr>
                <w:rFonts w:ascii="Times New Roman" w:hAnsi="Times New Roman"/>
              </w:rPr>
            </w:pPr>
            <w:r w:rsidRPr="00A53AD7">
              <w:rPr>
                <w:rFonts w:ascii="Times New Roman" w:hAnsi="Times New Roman"/>
              </w:rPr>
              <w:t>209,2</w:t>
            </w:r>
          </w:p>
        </w:tc>
        <w:tc>
          <w:tcPr>
            <w:tcW w:w="1869" w:type="dxa"/>
          </w:tcPr>
          <w:p w14:paraId="6F8490E1" w14:textId="77777777" w:rsidR="00B823F8" w:rsidRPr="00A53AD7" w:rsidRDefault="00B823F8" w:rsidP="00B823F8">
            <w:pPr>
              <w:pStyle w:val="ad"/>
              <w:jc w:val="center"/>
              <w:rPr>
                <w:rFonts w:ascii="Times New Roman" w:hAnsi="Times New Roman"/>
              </w:rPr>
            </w:pPr>
            <w:r w:rsidRPr="00A53AD7">
              <w:rPr>
                <w:rFonts w:ascii="Times New Roman" w:hAnsi="Times New Roman"/>
              </w:rPr>
              <w:t>220,8</w:t>
            </w:r>
          </w:p>
        </w:tc>
        <w:tc>
          <w:tcPr>
            <w:tcW w:w="1869" w:type="dxa"/>
          </w:tcPr>
          <w:p w14:paraId="4BB7041E" w14:textId="77777777" w:rsidR="00B823F8" w:rsidRPr="00A53AD7" w:rsidRDefault="00B823F8" w:rsidP="00B823F8">
            <w:pPr>
              <w:pStyle w:val="ad"/>
              <w:jc w:val="center"/>
              <w:rPr>
                <w:rFonts w:ascii="Times New Roman" w:hAnsi="Times New Roman"/>
              </w:rPr>
            </w:pPr>
            <w:r w:rsidRPr="00A53AD7">
              <w:rPr>
                <w:rFonts w:ascii="Times New Roman" w:hAnsi="Times New Roman"/>
              </w:rPr>
              <w:t>241,5</w:t>
            </w:r>
          </w:p>
        </w:tc>
        <w:tc>
          <w:tcPr>
            <w:tcW w:w="1869" w:type="dxa"/>
          </w:tcPr>
          <w:p w14:paraId="4725E0D1" w14:textId="77777777" w:rsidR="00B823F8" w:rsidRPr="00A53AD7" w:rsidRDefault="00B823F8" w:rsidP="00B823F8">
            <w:pPr>
              <w:pStyle w:val="ad"/>
              <w:jc w:val="center"/>
              <w:rPr>
                <w:rFonts w:ascii="Times New Roman" w:hAnsi="Times New Roman"/>
              </w:rPr>
            </w:pPr>
            <w:r w:rsidRPr="00A53AD7">
              <w:rPr>
                <w:rFonts w:ascii="Times New Roman" w:hAnsi="Times New Roman"/>
              </w:rPr>
              <w:t>155,1</w:t>
            </w:r>
          </w:p>
        </w:tc>
      </w:tr>
      <w:tr w:rsidR="00D470B6" w:rsidRPr="00A53AD7" w14:paraId="12215361" w14:textId="77777777" w:rsidTr="00A17DE0">
        <w:tc>
          <w:tcPr>
            <w:tcW w:w="1869" w:type="dxa"/>
          </w:tcPr>
          <w:p w14:paraId="7E63B0F6" w14:textId="77777777" w:rsidR="00B823F8" w:rsidRPr="00A53AD7" w:rsidRDefault="00B823F8" w:rsidP="00A17DE0">
            <w:pPr>
              <w:pStyle w:val="ad"/>
              <w:rPr>
                <w:rFonts w:ascii="Times New Roman" w:hAnsi="Times New Roman"/>
              </w:rPr>
            </w:pPr>
            <w:r w:rsidRPr="00A53AD7">
              <w:rPr>
                <w:rFonts w:ascii="Times New Roman" w:hAnsi="Times New Roman"/>
              </w:rPr>
              <w:t>Исполнено</w:t>
            </w:r>
          </w:p>
        </w:tc>
        <w:tc>
          <w:tcPr>
            <w:tcW w:w="1869" w:type="dxa"/>
          </w:tcPr>
          <w:p w14:paraId="5188D9A2" w14:textId="77777777" w:rsidR="00B823F8" w:rsidRPr="00A53AD7" w:rsidRDefault="00B823F8" w:rsidP="00B823F8">
            <w:pPr>
              <w:pStyle w:val="ad"/>
              <w:jc w:val="center"/>
              <w:rPr>
                <w:rFonts w:ascii="Times New Roman" w:hAnsi="Times New Roman"/>
              </w:rPr>
            </w:pPr>
            <w:r w:rsidRPr="00A53AD7">
              <w:rPr>
                <w:rFonts w:ascii="Times New Roman" w:hAnsi="Times New Roman"/>
              </w:rPr>
              <w:t>4,6</w:t>
            </w:r>
          </w:p>
        </w:tc>
        <w:tc>
          <w:tcPr>
            <w:tcW w:w="1869" w:type="dxa"/>
          </w:tcPr>
          <w:p w14:paraId="0A11F6E5" w14:textId="77777777" w:rsidR="00B823F8" w:rsidRPr="00A53AD7" w:rsidRDefault="00B823F8" w:rsidP="00B823F8">
            <w:pPr>
              <w:pStyle w:val="ad"/>
              <w:jc w:val="center"/>
              <w:rPr>
                <w:rFonts w:ascii="Times New Roman" w:hAnsi="Times New Roman"/>
              </w:rPr>
            </w:pPr>
            <w:r w:rsidRPr="00A53AD7">
              <w:rPr>
                <w:rFonts w:ascii="Times New Roman" w:hAnsi="Times New Roman"/>
              </w:rPr>
              <w:t>27,2</w:t>
            </w:r>
          </w:p>
        </w:tc>
        <w:tc>
          <w:tcPr>
            <w:tcW w:w="1869" w:type="dxa"/>
          </w:tcPr>
          <w:p w14:paraId="6E3956E7" w14:textId="77777777" w:rsidR="00B823F8" w:rsidRPr="00A53AD7" w:rsidRDefault="00B823F8" w:rsidP="00B823F8">
            <w:pPr>
              <w:pStyle w:val="ad"/>
              <w:jc w:val="center"/>
              <w:rPr>
                <w:rFonts w:ascii="Times New Roman" w:hAnsi="Times New Roman"/>
              </w:rPr>
            </w:pPr>
            <w:r w:rsidRPr="00A53AD7">
              <w:rPr>
                <w:rFonts w:ascii="Times New Roman" w:hAnsi="Times New Roman"/>
              </w:rPr>
              <w:t>84,9</w:t>
            </w:r>
          </w:p>
        </w:tc>
        <w:tc>
          <w:tcPr>
            <w:tcW w:w="1869" w:type="dxa"/>
          </w:tcPr>
          <w:p w14:paraId="28C7C019" w14:textId="77777777" w:rsidR="00B823F8" w:rsidRPr="00A53AD7" w:rsidRDefault="00B823F8" w:rsidP="00B823F8">
            <w:pPr>
              <w:pStyle w:val="ad"/>
              <w:jc w:val="center"/>
              <w:rPr>
                <w:rFonts w:ascii="Times New Roman" w:hAnsi="Times New Roman"/>
              </w:rPr>
            </w:pPr>
            <w:r w:rsidRPr="00A53AD7">
              <w:rPr>
                <w:rFonts w:ascii="Times New Roman" w:hAnsi="Times New Roman"/>
              </w:rPr>
              <w:t>148,4</w:t>
            </w:r>
          </w:p>
        </w:tc>
      </w:tr>
      <w:tr w:rsidR="00D470B6" w:rsidRPr="00A53AD7" w14:paraId="37F0EBDD" w14:textId="77777777" w:rsidTr="00A17DE0">
        <w:tc>
          <w:tcPr>
            <w:tcW w:w="1869" w:type="dxa"/>
          </w:tcPr>
          <w:p w14:paraId="238870FA" w14:textId="77777777" w:rsidR="00B823F8" w:rsidRPr="00A53AD7" w:rsidRDefault="00B823F8" w:rsidP="00A17DE0">
            <w:pPr>
              <w:pStyle w:val="ad"/>
              <w:ind w:hanging="113"/>
              <w:rPr>
                <w:rFonts w:ascii="Times New Roman" w:hAnsi="Times New Roman"/>
              </w:rPr>
            </w:pPr>
            <w:r w:rsidRPr="00A53AD7">
              <w:rPr>
                <w:rFonts w:ascii="Times New Roman" w:hAnsi="Times New Roman"/>
              </w:rPr>
              <w:t>Исполнено в %%</w:t>
            </w:r>
          </w:p>
        </w:tc>
        <w:tc>
          <w:tcPr>
            <w:tcW w:w="1869" w:type="dxa"/>
          </w:tcPr>
          <w:p w14:paraId="4462FE4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w:t>
            </w:r>
          </w:p>
        </w:tc>
        <w:tc>
          <w:tcPr>
            <w:tcW w:w="1869" w:type="dxa"/>
          </w:tcPr>
          <w:p w14:paraId="24C1293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12,3%</w:t>
            </w:r>
          </w:p>
        </w:tc>
        <w:tc>
          <w:tcPr>
            <w:tcW w:w="1869" w:type="dxa"/>
          </w:tcPr>
          <w:p w14:paraId="21569A1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35,2%</w:t>
            </w:r>
          </w:p>
        </w:tc>
        <w:tc>
          <w:tcPr>
            <w:tcW w:w="1869" w:type="dxa"/>
          </w:tcPr>
          <w:p w14:paraId="1261406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95,7%</w:t>
            </w:r>
          </w:p>
        </w:tc>
      </w:tr>
      <w:tr w:rsidR="00D470B6" w:rsidRPr="00A53AD7" w14:paraId="51BAC8FD" w14:textId="77777777" w:rsidTr="00A17DE0">
        <w:tc>
          <w:tcPr>
            <w:tcW w:w="1869" w:type="dxa"/>
          </w:tcPr>
          <w:p w14:paraId="30955075" w14:textId="02DE6AB5" w:rsidR="00B823F8" w:rsidRPr="00A53AD7" w:rsidRDefault="00B823F8" w:rsidP="00A17DE0">
            <w:pPr>
              <w:pStyle w:val="ad"/>
              <w:rPr>
                <w:rFonts w:ascii="Times New Roman" w:hAnsi="Times New Roman"/>
              </w:rPr>
            </w:pPr>
            <w:r w:rsidRPr="00A53AD7">
              <w:rPr>
                <w:rFonts w:ascii="Times New Roman" w:hAnsi="Times New Roman"/>
              </w:rPr>
              <w:t>Кол-во объектов ОАИП план</w:t>
            </w:r>
          </w:p>
        </w:tc>
        <w:tc>
          <w:tcPr>
            <w:tcW w:w="1869" w:type="dxa"/>
          </w:tcPr>
          <w:p w14:paraId="6B3C63CE" w14:textId="77777777" w:rsidR="00B823F8" w:rsidRPr="00A53AD7" w:rsidRDefault="00B823F8" w:rsidP="00B823F8">
            <w:pPr>
              <w:pStyle w:val="ad"/>
              <w:jc w:val="center"/>
              <w:rPr>
                <w:rFonts w:ascii="Times New Roman" w:hAnsi="Times New Roman"/>
              </w:rPr>
            </w:pPr>
          </w:p>
          <w:p w14:paraId="06CDC4BC"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869" w:type="dxa"/>
          </w:tcPr>
          <w:p w14:paraId="1F010D2E" w14:textId="77777777" w:rsidR="00B823F8" w:rsidRPr="00A53AD7" w:rsidRDefault="00B823F8" w:rsidP="00B823F8">
            <w:pPr>
              <w:pStyle w:val="ad"/>
              <w:jc w:val="center"/>
              <w:rPr>
                <w:rFonts w:ascii="Times New Roman" w:hAnsi="Times New Roman"/>
              </w:rPr>
            </w:pPr>
          </w:p>
          <w:p w14:paraId="06636FFC" w14:textId="77777777" w:rsidR="00B823F8" w:rsidRPr="00A53AD7" w:rsidRDefault="00B823F8" w:rsidP="00B823F8">
            <w:pPr>
              <w:pStyle w:val="ad"/>
              <w:jc w:val="center"/>
              <w:rPr>
                <w:rFonts w:ascii="Times New Roman" w:hAnsi="Times New Roman"/>
              </w:rPr>
            </w:pPr>
            <w:r w:rsidRPr="00A53AD7">
              <w:rPr>
                <w:rFonts w:ascii="Times New Roman" w:hAnsi="Times New Roman"/>
              </w:rPr>
              <w:t>15</w:t>
            </w:r>
          </w:p>
        </w:tc>
        <w:tc>
          <w:tcPr>
            <w:tcW w:w="1869" w:type="dxa"/>
          </w:tcPr>
          <w:p w14:paraId="2FCBDAF5" w14:textId="77777777" w:rsidR="00B823F8" w:rsidRPr="00A53AD7" w:rsidRDefault="00B823F8" w:rsidP="00B823F8">
            <w:pPr>
              <w:pStyle w:val="ad"/>
              <w:jc w:val="center"/>
              <w:rPr>
                <w:rFonts w:ascii="Times New Roman" w:hAnsi="Times New Roman"/>
              </w:rPr>
            </w:pPr>
          </w:p>
          <w:p w14:paraId="3A9BBCA0" w14:textId="77777777" w:rsidR="00B823F8" w:rsidRPr="00A53AD7" w:rsidRDefault="00B823F8" w:rsidP="00B823F8">
            <w:pPr>
              <w:pStyle w:val="ad"/>
              <w:jc w:val="center"/>
              <w:rPr>
                <w:rFonts w:ascii="Times New Roman" w:hAnsi="Times New Roman"/>
              </w:rPr>
            </w:pPr>
            <w:r w:rsidRPr="00A53AD7">
              <w:rPr>
                <w:rFonts w:ascii="Times New Roman" w:hAnsi="Times New Roman"/>
              </w:rPr>
              <w:t>15</w:t>
            </w:r>
          </w:p>
        </w:tc>
        <w:tc>
          <w:tcPr>
            <w:tcW w:w="1869" w:type="dxa"/>
          </w:tcPr>
          <w:p w14:paraId="03A014E1" w14:textId="77777777" w:rsidR="00B823F8" w:rsidRPr="00A53AD7" w:rsidRDefault="00B823F8" w:rsidP="00B823F8">
            <w:pPr>
              <w:pStyle w:val="ad"/>
              <w:jc w:val="center"/>
              <w:rPr>
                <w:rFonts w:ascii="Times New Roman" w:hAnsi="Times New Roman"/>
              </w:rPr>
            </w:pPr>
          </w:p>
          <w:p w14:paraId="2F4DAB8B"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r>
      <w:tr w:rsidR="00D470B6" w:rsidRPr="00A53AD7" w14:paraId="40E16CB0" w14:textId="77777777" w:rsidTr="00A17DE0">
        <w:tc>
          <w:tcPr>
            <w:tcW w:w="1869" w:type="dxa"/>
          </w:tcPr>
          <w:p w14:paraId="05BD756B" w14:textId="77777777" w:rsidR="00B823F8" w:rsidRPr="00A53AD7" w:rsidRDefault="00B823F8" w:rsidP="00A17DE0">
            <w:pPr>
              <w:pStyle w:val="ad"/>
              <w:rPr>
                <w:rFonts w:ascii="Times New Roman" w:hAnsi="Times New Roman"/>
              </w:rPr>
            </w:pPr>
            <w:r w:rsidRPr="00A53AD7">
              <w:rPr>
                <w:rFonts w:ascii="Times New Roman" w:hAnsi="Times New Roman"/>
              </w:rPr>
              <w:t>Исполнено</w:t>
            </w:r>
          </w:p>
        </w:tc>
        <w:tc>
          <w:tcPr>
            <w:tcW w:w="1869" w:type="dxa"/>
          </w:tcPr>
          <w:p w14:paraId="504E45B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869" w:type="dxa"/>
          </w:tcPr>
          <w:p w14:paraId="65D64284"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869" w:type="dxa"/>
          </w:tcPr>
          <w:p w14:paraId="67C2C081"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869" w:type="dxa"/>
          </w:tcPr>
          <w:p w14:paraId="35600D0D"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r>
      <w:tr w:rsidR="00B823F8" w:rsidRPr="00A53AD7" w14:paraId="4344E007" w14:textId="77777777" w:rsidTr="00A17DE0">
        <w:tc>
          <w:tcPr>
            <w:tcW w:w="1869" w:type="dxa"/>
          </w:tcPr>
          <w:p w14:paraId="231361EC" w14:textId="77777777" w:rsidR="00B823F8" w:rsidRPr="00A53AD7" w:rsidRDefault="00B823F8" w:rsidP="00A17DE0">
            <w:pPr>
              <w:pStyle w:val="ad"/>
              <w:rPr>
                <w:rFonts w:ascii="Times New Roman" w:hAnsi="Times New Roman"/>
              </w:rPr>
            </w:pPr>
            <w:r w:rsidRPr="00A53AD7">
              <w:rPr>
                <w:rFonts w:ascii="Times New Roman" w:hAnsi="Times New Roman"/>
              </w:rPr>
              <w:t>В %%</w:t>
            </w:r>
          </w:p>
        </w:tc>
        <w:tc>
          <w:tcPr>
            <w:tcW w:w="1869" w:type="dxa"/>
          </w:tcPr>
          <w:p w14:paraId="39A0673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8,3%</w:t>
            </w:r>
          </w:p>
        </w:tc>
        <w:tc>
          <w:tcPr>
            <w:tcW w:w="1869" w:type="dxa"/>
          </w:tcPr>
          <w:p w14:paraId="59A5541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13,3%</w:t>
            </w:r>
          </w:p>
        </w:tc>
        <w:tc>
          <w:tcPr>
            <w:tcW w:w="1869" w:type="dxa"/>
          </w:tcPr>
          <w:p w14:paraId="3697FAC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13,3%</w:t>
            </w:r>
          </w:p>
        </w:tc>
        <w:tc>
          <w:tcPr>
            <w:tcW w:w="1869" w:type="dxa"/>
          </w:tcPr>
          <w:p w14:paraId="7F7B966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71,4%</w:t>
            </w:r>
          </w:p>
        </w:tc>
      </w:tr>
    </w:tbl>
    <w:p w14:paraId="44534FD3" w14:textId="77777777" w:rsidR="00B823F8" w:rsidRPr="00A53AD7" w:rsidRDefault="00B823F8" w:rsidP="00B823F8">
      <w:pPr>
        <w:pStyle w:val="ad"/>
        <w:jc w:val="both"/>
        <w:rPr>
          <w:rFonts w:ascii="Times New Roman" w:hAnsi="Times New Roman"/>
          <w:sz w:val="28"/>
          <w:szCs w:val="28"/>
          <w:highlight w:val="cyan"/>
        </w:rPr>
      </w:pPr>
    </w:p>
    <w:p w14:paraId="4B2A1EFA" w14:textId="77777777" w:rsidR="00B823F8" w:rsidRPr="00A53AD7" w:rsidRDefault="00B823F8" w:rsidP="00A17DE0">
      <w:pPr>
        <w:pStyle w:val="ad"/>
        <w:ind w:firstLine="708"/>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160,0 млн.руб., согласно показателям бюджетной росписи 160,0 млн.руб., согласно отчету об исполнении бюджета расходы исполнены на 153,4 млн.руб.</w:t>
      </w:r>
    </w:p>
    <w:p w14:paraId="29F3480B"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312"/>
        <w:gridCol w:w="1753"/>
        <w:gridCol w:w="1753"/>
        <w:gridCol w:w="1753"/>
        <w:gridCol w:w="1753"/>
      </w:tblGrid>
      <w:tr w:rsidR="00D470B6" w:rsidRPr="00A53AD7" w14:paraId="00E422CA" w14:textId="77777777" w:rsidTr="00FC5B0D">
        <w:trPr>
          <w:tblHeader/>
        </w:trPr>
        <w:tc>
          <w:tcPr>
            <w:tcW w:w="2319" w:type="dxa"/>
          </w:tcPr>
          <w:p w14:paraId="751FA50F" w14:textId="77777777" w:rsidR="00B823F8" w:rsidRPr="00A53AD7" w:rsidRDefault="00B823F8" w:rsidP="00B823F8">
            <w:pPr>
              <w:pStyle w:val="ad"/>
              <w:jc w:val="both"/>
              <w:rPr>
                <w:rFonts w:ascii="Times New Roman" w:hAnsi="Times New Roman"/>
              </w:rPr>
            </w:pPr>
          </w:p>
        </w:tc>
        <w:tc>
          <w:tcPr>
            <w:tcW w:w="1840" w:type="dxa"/>
          </w:tcPr>
          <w:p w14:paraId="5A0C3333"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840" w:type="dxa"/>
          </w:tcPr>
          <w:p w14:paraId="21150405"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840" w:type="dxa"/>
          </w:tcPr>
          <w:p w14:paraId="3E47FB26"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840" w:type="dxa"/>
          </w:tcPr>
          <w:p w14:paraId="6A7AB7A5"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7343520A" w14:textId="77777777" w:rsidTr="00A17DE0">
        <w:tc>
          <w:tcPr>
            <w:tcW w:w="2319" w:type="dxa"/>
          </w:tcPr>
          <w:p w14:paraId="4B175DCC"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840" w:type="dxa"/>
          </w:tcPr>
          <w:p w14:paraId="5A7640B6" w14:textId="77777777" w:rsidR="00B823F8" w:rsidRPr="00A53AD7" w:rsidRDefault="00B823F8" w:rsidP="00B823F8">
            <w:pPr>
              <w:pStyle w:val="ad"/>
              <w:jc w:val="center"/>
              <w:rPr>
                <w:rFonts w:ascii="Times New Roman" w:hAnsi="Times New Roman"/>
              </w:rPr>
            </w:pPr>
            <w:r w:rsidRPr="00A53AD7">
              <w:rPr>
                <w:rFonts w:ascii="Times New Roman" w:hAnsi="Times New Roman"/>
              </w:rPr>
              <w:t>209,2</w:t>
            </w:r>
          </w:p>
        </w:tc>
        <w:tc>
          <w:tcPr>
            <w:tcW w:w="1840" w:type="dxa"/>
          </w:tcPr>
          <w:p w14:paraId="059D771D" w14:textId="77777777" w:rsidR="00B823F8" w:rsidRPr="00A53AD7" w:rsidRDefault="00B823F8" w:rsidP="00B823F8">
            <w:pPr>
              <w:pStyle w:val="ad"/>
              <w:jc w:val="center"/>
              <w:rPr>
                <w:rFonts w:ascii="Times New Roman" w:hAnsi="Times New Roman"/>
              </w:rPr>
            </w:pPr>
            <w:r w:rsidRPr="00A53AD7">
              <w:rPr>
                <w:rFonts w:ascii="Times New Roman" w:hAnsi="Times New Roman"/>
              </w:rPr>
              <w:t>225,7</w:t>
            </w:r>
          </w:p>
        </w:tc>
        <w:tc>
          <w:tcPr>
            <w:tcW w:w="1840" w:type="dxa"/>
          </w:tcPr>
          <w:p w14:paraId="04EF43B8" w14:textId="77777777" w:rsidR="00B823F8" w:rsidRPr="00A53AD7" w:rsidRDefault="00B823F8" w:rsidP="00B823F8">
            <w:pPr>
              <w:pStyle w:val="ad"/>
              <w:jc w:val="center"/>
              <w:rPr>
                <w:rFonts w:ascii="Times New Roman" w:hAnsi="Times New Roman"/>
              </w:rPr>
            </w:pPr>
            <w:r w:rsidRPr="00A53AD7">
              <w:rPr>
                <w:rFonts w:ascii="Times New Roman" w:hAnsi="Times New Roman"/>
              </w:rPr>
              <w:t>246,4</w:t>
            </w:r>
          </w:p>
        </w:tc>
        <w:tc>
          <w:tcPr>
            <w:tcW w:w="1840" w:type="dxa"/>
          </w:tcPr>
          <w:p w14:paraId="6A059573" w14:textId="77777777" w:rsidR="00B823F8" w:rsidRPr="00A53AD7" w:rsidRDefault="00B823F8" w:rsidP="00B823F8">
            <w:pPr>
              <w:pStyle w:val="ad"/>
              <w:jc w:val="center"/>
              <w:rPr>
                <w:rFonts w:ascii="Times New Roman" w:hAnsi="Times New Roman"/>
              </w:rPr>
            </w:pPr>
            <w:r w:rsidRPr="00A53AD7">
              <w:rPr>
                <w:rFonts w:ascii="Times New Roman" w:hAnsi="Times New Roman"/>
              </w:rPr>
              <w:t>160,0</w:t>
            </w:r>
          </w:p>
        </w:tc>
      </w:tr>
      <w:tr w:rsidR="00D470B6" w:rsidRPr="00A53AD7" w14:paraId="3B17304D" w14:textId="77777777" w:rsidTr="00A17DE0">
        <w:tc>
          <w:tcPr>
            <w:tcW w:w="2319" w:type="dxa"/>
          </w:tcPr>
          <w:p w14:paraId="78AF2DBC"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840" w:type="dxa"/>
          </w:tcPr>
          <w:p w14:paraId="737A78E9" w14:textId="77777777" w:rsidR="00B823F8" w:rsidRPr="00A53AD7" w:rsidRDefault="00B823F8" w:rsidP="00B823F8">
            <w:pPr>
              <w:pStyle w:val="ad"/>
              <w:jc w:val="center"/>
              <w:rPr>
                <w:rFonts w:ascii="Times New Roman" w:hAnsi="Times New Roman"/>
              </w:rPr>
            </w:pPr>
            <w:r w:rsidRPr="00A53AD7">
              <w:rPr>
                <w:rFonts w:ascii="Times New Roman" w:hAnsi="Times New Roman"/>
              </w:rPr>
              <w:t>4,6</w:t>
            </w:r>
          </w:p>
        </w:tc>
        <w:tc>
          <w:tcPr>
            <w:tcW w:w="1840" w:type="dxa"/>
          </w:tcPr>
          <w:p w14:paraId="3C7D66F9" w14:textId="77777777" w:rsidR="00B823F8" w:rsidRPr="00A53AD7" w:rsidRDefault="00B823F8" w:rsidP="00B823F8">
            <w:pPr>
              <w:pStyle w:val="ad"/>
              <w:jc w:val="center"/>
              <w:rPr>
                <w:rFonts w:ascii="Times New Roman" w:hAnsi="Times New Roman"/>
              </w:rPr>
            </w:pPr>
            <w:r w:rsidRPr="00A53AD7">
              <w:rPr>
                <w:rFonts w:ascii="Times New Roman" w:hAnsi="Times New Roman"/>
              </w:rPr>
              <w:t>27,2</w:t>
            </w:r>
          </w:p>
        </w:tc>
        <w:tc>
          <w:tcPr>
            <w:tcW w:w="1840" w:type="dxa"/>
          </w:tcPr>
          <w:p w14:paraId="31E440B0" w14:textId="77777777" w:rsidR="00B823F8" w:rsidRPr="00A53AD7" w:rsidRDefault="00B823F8" w:rsidP="00B823F8">
            <w:pPr>
              <w:pStyle w:val="ad"/>
              <w:jc w:val="center"/>
              <w:rPr>
                <w:rFonts w:ascii="Times New Roman" w:hAnsi="Times New Roman"/>
              </w:rPr>
            </w:pPr>
            <w:r w:rsidRPr="00A53AD7">
              <w:rPr>
                <w:rFonts w:ascii="Times New Roman" w:hAnsi="Times New Roman"/>
              </w:rPr>
              <w:t>89,9</w:t>
            </w:r>
          </w:p>
        </w:tc>
        <w:tc>
          <w:tcPr>
            <w:tcW w:w="1840" w:type="dxa"/>
          </w:tcPr>
          <w:p w14:paraId="1C927ECD" w14:textId="77777777" w:rsidR="00B823F8" w:rsidRPr="00A53AD7" w:rsidRDefault="00B823F8" w:rsidP="00B823F8">
            <w:pPr>
              <w:pStyle w:val="ad"/>
              <w:jc w:val="center"/>
              <w:rPr>
                <w:rFonts w:ascii="Times New Roman" w:hAnsi="Times New Roman"/>
              </w:rPr>
            </w:pPr>
            <w:r w:rsidRPr="00A53AD7">
              <w:rPr>
                <w:rFonts w:ascii="Times New Roman" w:hAnsi="Times New Roman"/>
              </w:rPr>
              <w:t>153,4</w:t>
            </w:r>
          </w:p>
        </w:tc>
      </w:tr>
      <w:tr w:rsidR="00D470B6" w:rsidRPr="00A53AD7" w14:paraId="4D22D594" w14:textId="77777777" w:rsidTr="00F85EE7">
        <w:trPr>
          <w:trHeight w:val="240"/>
        </w:trPr>
        <w:tc>
          <w:tcPr>
            <w:tcW w:w="2319" w:type="dxa"/>
          </w:tcPr>
          <w:p w14:paraId="03A4CBCC"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840" w:type="dxa"/>
          </w:tcPr>
          <w:p w14:paraId="642B121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w:t>
            </w:r>
          </w:p>
        </w:tc>
        <w:tc>
          <w:tcPr>
            <w:tcW w:w="1840" w:type="dxa"/>
          </w:tcPr>
          <w:p w14:paraId="636128E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12,1%</w:t>
            </w:r>
          </w:p>
        </w:tc>
        <w:tc>
          <w:tcPr>
            <w:tcW w:w="1840" w:type="dxa"/>
          </w:tcPr>
          <w:p w14:paraId="216A58F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36,5%</w:t>
            </w:r>
          </w:p>
        </w:tc>
        <w:tc>
          <w:tcPr>
            <w:tcW w:w="1840" w:type="dxa"/>
          </w:tcPr>
          <w:p w14:paraId="07E3E70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95,9%</w:t>
            </w:r>
          </w:p>
        </w:tc>
      </w:tr>
      <w:tr w:rsidR="00D470B6" w:rsidRPr="00A53AD7" w14:paraId="4AD00356" w14:textId="77777777" w:rsidTr="00A17DE0">
        <w:tc>
          <w:tcPr>
            <w:tcW w:w="2319" w:type="dxa"/>
          </w:tcPr>
          <w:p w14:paraId="4C686708"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Минстроительства</w:t>
            </w:r>
          </w:p>
        </w:tc>
        <w:tc>
          <w:tcPr>
            <w:tcW w:w="1840" w:type="dxa"/>
          </w:tcPr>
          <w:p w14:paraId="5C4576B2" w14:textId="77777777" w:rsidR="00B823F8" w:rsidRPr="00A53AD7" w:rsidRDefault="00B823F8" w:rsidP="00B823F8">
            <w:pPr>
              <w:pStyle w:val="ad"/>
              <w:jc w:val="center"/>
              <w:rPr>
                <w:rFonts w:ascii="Times New Roman" w:hAnsi="Times New Roman"/>
                <w:b/>
              </w:rPr>
            </w:pPr>
          </w:p>
        </w:tc>
        <w:tc>
          <w:tcPr>
            <w:tcW w:w="1840" w:type="dxa"/>
          </w:tcPr>
          <w:p w14:paraId="6FE76DDE" w14:textId="77777777" w:rsidR="00B823F8" w:rsidRPr="00A53AD7" w:rsidRDefault="00B823F8" w:rsidP="00B823F8">
            <w:pPr>
              <w:pStyle w:val="ad"/>
              <w:jc w:val="center"/>
              <w:rPr>
                <w:rFonts w:ascii="Times New Roman" w:hAnsi="Times New Roman"/>
                <w:b/>
              </w:rPr>
            </w:pPr>
          </w:p>
        </w:tc>
        <w:tc>
          <w:tcPr>
            <w:tcW w:w="1840" w:type="dxa"/>
          </w:tcPr>
          <w:p w14:paraId="1C6ECA5F" w14:textId="77777777" w:rsidR="00B823F8" w:rsidRPr="00A53AD7" w:rsidRDefault="00B823F8" w:rsidP="00B823F8">
            <w:pPr>
              <w:pStyle w:val="ad"/>
              <w:jc w:val="center"/>
              <w:rPr>
                <w:rFonts w:ascii="Times New Roman" w:hAnsi="Times New Roman"/>
                <w:b/>
              </w:rPr>
            </w:pPr>
          </w:p>
        </w:tc>
        <w:tc>
          <w:tcPr>
            <w:tcW w:w="1840" w:type="dxa"/>
          </w:tcPr>
          <w:p w14:paraId="61566791" w14:textId="77777777" w:rsidR="00B823F8" w:rsidRPr="00A53AD7" w:rsidRDefault="00B823F8" w:rsidP="00B823F8">
            <w:pPr>
              <w:pStyle w:val="ad"/>
              <w:jc w:val="center"/>
              <w:rPr>
                <w:rFonts w:ascii="Times New Roman" w:hAnsi="Times New Roman"/>
                <w:b/>
              </w:rPr>
            </w:pPr>
          </w:p>
        </w:tc>
      </w:tr>
      <w:tr w:rsidR="00D470B6" w:rsidRPr="00A53AD7" w14:paraId="6E748403" w14:textId="77777777" w:rsidTr="00A17DE0">
        <w:tc>
          <w:tcPr>
            <w:tcW w:w="2319" w:type="dxa"/>
          </w:tcPr>
          <w:p w14:paraId="291CD60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840" w:type="dxa"/>
          </w:tcPr>
          <w:p w14:paraId="524BB7F0" w14:textId="77777777" w:rsidR="00B823F8" w:rsidRPr="00A53AD7" w:rsidRDefault="00B823F8" w:rsidP="00B823F8">
            <w:pPr>
              <w:pStyle w:val="ad"/>
              <w:jc w:val="center"/>
              <w:rPr>
                <w:rFonts w:ascii="Times New Roman" w:hAnsi="Times New Roman"/>
              </w:rPr>
            </w:pPr>
            <w:r w:rsidRPr="00A53AD7">
              <w:rPr>
                <w:rFonts w:ascii="Times New Roman" w:hAnsi="Times New Roman"/>
              </w:rPr>
              <w:t>209,2</w:t>
            </w:r>
          </w:p>
        </w:tc>
        <w:tc>
          <w:tcPr>
            <w:tcW w:w="1840" w:type="dxa"/>
          </w:tcPr>
          <w:p w14:paraId="3DDC5385" w14:textId="77777777" w:rsidR="00B823F8" w:rsidRPr="00A53AD7" w:rsidRDefault="00B823F8" w:rsidP="00B823F8">
            <w:pPr>
              <w:pStyle w:val="ad"/>
              <w:jc w:val="center"/>
              <w:rPr>
                <w:rFonts w:ascii="Times New Roman" w:hAnsi="Times New Roman"/>
              </w:rPr>
            </w:pPr>
            <w:r w:rsidRPr="00A53AD7">
              <w:rPr>
                <w:rFonts w:ascii="Times New Roman" w:hAnsi="Times New Roman"/>
              </w:rPr>
              <w:t>210,3</w:t>
            </w:r>
          </w:p>
        </w:tc>
        <w:tc>
          <w:tcPr>
            <w:tcW w:w="1840" w:type="dxa"/>
          </w:tcPr>
          <w:p w14:paraId="487CED48" w14:textId="77777777" w:rsidR="00B823F8" w:rsidRPr="00A53AD7" w:rsidRDefault="00B823F8" w:rsidP="00B823F8">
            <w:pPr>
              <w:pStyle w:val="ad"/>
              <w:jc w:val="center"/>
              <w:rPr>
                <w:rFonts w:ascii="Times New Roman" w:hAnsi="Times New Roman"/>
              </w:rPr>
            </w:pPr>
            <w:r w:rsidRPr="00A53AD7">
              <w:rPr>
                <w:rFonts w:ascii="Times New Roman" w:hAnsi="Times New Roman"/>
              </w:rPr>
              <w:t>231,0</w:t>
            </w:r>
          </w:p>
        </w:tc>
        <w:tc>
          <w:tcPr>
            <w:tcW w:w="1840" w:type="dxa"/>
          </w:tcPr>
          <w:p w14:paraId="7BA7C66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144,6</w:t>
            </w:r>
          </w:p>
        </w:tc>
      </w:tr>
      <w:tr w:rsidR="00D470B6" w:rsidRPr="00A53AD7" w14:paraId="10DD5302" w14:textId="77777777" w:rsidTr="00A17DE0">
        <w:tc>
          <w:tcPr>
            <w:tcW w:w="2319" w:type="dxa"/>
          </w:tcPr>
          <w:p w14:paraId="06F95251"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840" w:type="dxa"/>
          </w:tcPr>
          <w:p w14:paraId="25D79E35" w14:textId="77777777" w:rsidR="00B823F8" w:rsidRPr="00A53AD7" w:rsidRDefault="00B823F8" w:rsidP="00B823F8">
            <w:pPr>
              <w:pStyle w:val="ad"/>
              <w:jc w:val="center"/>
              <w:rPr>
                <w:rFonts w:ascii="Times New Roman" w:hAnsi="Times New Roman"/>
              </w:rPr>
            </w:pPr>
            <w:r w:rsidRPr="00A53AD7">
              <w:rPr>
                <w:rFonts w:ascii="Times New Roman" w:hAnsi="Times New Roman"/>
              </w:rPr>
              <w:t>4,6</w:t>
            </w:r>
          </w:p>
        </w:tc>
        <w:tc>
          <w:tcPr>
            <w:tcW w:w="1840" w:type="dxa"/>
          </w:tcPr>
          <w:p w14:paraId="5BDD143F" w14:textId="77777777" w:rsidR="00B823F8" w:rsidRPr="00A53AD7" w:rsidRDefault="00B823F8" w:rsidP="00B823F8">
            <w:pPr>
              <w:pStyle w:val="ad"/>
              <w:jc w:val="center"/>
              <w:rPr>
                <w:rFonts w:ascii="Times New Roman" w:hAnsi="Times New Roman"/>
              </w:rPr>
            </w:pPr>
            <w:r w:rsidRPr="00A53AD7">
              <w:rPr>
                <w:rFonts w:ascii="Times New Roman" w:hAnsi="Times New Roman"/>
              </w:rPr>
              <w:t>27,2</w:t>
            </w:r>
          </w:p>
        </w:tc>
        <w:tc>
          <w:tcPr>
            <w:tcW w:w="1840" w:type="dxa"/>
          </w:tcPr>
          <w:p w14:paraId="4B5E892E" w14:textId="77777777" w:rsidR="00B823F8" w:rsidRPr="00A53AD7" w:rsidRDefault="00B823F8" w:rsidP="00B823F8">
            <w:pPr>
              <w:pStyle w:val="ad"/>
              <w:jc w:val="center"/>
              <w:rPr>
                <w:rFonts w:ascii="Times New Roman" w:hAnsi="Times New Roman"/>
              </w:rPr>
            </w:pPr>
            <w:r w:rsidRPr="00A53AD7">
              <w:rPr>
                <w:rFonts w:ascii="Times New Roman" w:hAnsi="Times New Roman"/>
              </w:rPr>
              <w:t>84,9</w:t>
            </w:r>
          </w:p>
        </w:tc>
        <w:tc>
          <w:tcPr>
            <w:tcW w:w="1840" w:type="dxa"/>
          </w:tcPr>
          <w:p w14:paraId="04C190D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138,0</w:t>
            </w:r>
          </w:p>
        </w:tc>
      </w:tr>
      <w:tr w:rsidR="00D470B6" w:rsidRPr="00A53AD7" w14:paraId="36BF0A5D" w14:textId="77777777" w:rsidTr="00A17DE0">
        <w:tc>
          <w:tcPr>
            <w:tcW w:w="2319" w:type="dxa"/>
          </w:tcPr>
          <w:p w14:paraId="15C6263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840" w:type="dxa"/>
          </w:tcPr>
          <w:p w14:paraId="6DB5693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w:t>
            </w:r>
          </w:p>
        </w:tc>
        <w:tc>
          <w:tcPr>
            <w:tcW w:w="1840" w:type="dxa"/>
          </w:tcPr>
          <w:p w14:paraId="6393581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12,9%</w:t>
            </w:r>
          </w:p>
        </w:tc>
        <w:tc>
          <w:tcPr>
            <w:tcW w:w="1840" w:type="dxa"/>
          </w:tcPr>
          <w:p w14:paraId="26A88CF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36,8%</w:t>
            </w:r>
          </w:p>
        </w:tc>
        <w:tc>
          <w:tcPr>
            <w:tcW w:w="1840" w:type="dxa"/>
          </w:tcPr>
          <w:p w14:paraId="2B354C5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95,4%</w:t>
            </w:r>
          </w:p>
        </w:tc>
      </w:tr>
      <w:tr w:rsidR="00D470B6" w:rsidRPr="00A53AD7" w14:paraId="3A7BC435" w14:textId="77777777" w:rsidTr="00A17DE0">
        <w:tc>
          <w:tcPr>
            <w:tcW w:w="2319" w:type="dxa"/>
          </w:tcPr>
          <w:p w14:paraId="59FD5A51"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Минздравоохранения</w:t>
            </w:r>
          </w:p>
        </w:tc>
        <w:tc>
          <w:tcPr>
            <w:tcW w:w="1840" w:type="dxa"/>
          </w:tcPr>
          <w:p w14:paraId="677EA8AB" w14:textId="77777777" w:rsidR="00B823F8" w:rsidRPr="00A53AD7" w:rsidRDefault="00B823F8" w:rsidP="00B823F8">
            <w:pPr>
              <w:pStyle w:val="ad"/>
              <w:jc w:val="center"/>
              <w:rPr>
                <w:rFonts w:ascii="Times New Roman" w:hAnsi="Times New Roman"/>
                <w:b/>
              </w:rPr>
            </w:pPr>
          </w:p>
        </w:tc>
        <w:tc>
          <w:tcPr>
            <w:tcW w:w="1840" w:type="dxa"/>
          </w:tcPr>
          <w:p w14:paraId="0119A0C3" w14:textId="77777777" w:rsidR="00B823F8" w:rsidRPr="00A53AD7" w:rsidRDefault="00B823F8" w:rsidP="00B823F8">
            <w:pPr>
              <w:pStyle w:val="ad"/>
              <w:jc w:val="center"/>
              <w:rPr>
                <w:rFonts w:ascii="Times New Roman" w:hAnsi="Times New Roman"/>
                <w:b/>
              </w:rPr>
            </w:pPr>
          </w:p>
        </w:tc>
        <w:tc>
          <w:tcPr>
            <w:tcW w:w="1840" w:type="dxa"/>
          </w:tcPr>
          <w:p w14:paraId="4F38F6E3" w14:textId="77777777" w:rsidR="00B823F8" w:rsidRPr="00A53AD7" w:rsidRDefault="00B823F8" w:rsidP="00B823F8">
            <w:pPr>
              <w:pStyle w:val="ad"/>
              <w:jc w:val="center"/>
              <w:rPr>
                <w:rFonts w:ascii="Times New Roman" w:hAnsi="Times New Roman"/>
                <w:b/>
              </w:rPr>
            </w:pPr>
          </w:p>
        </w:tc>
        <w:tc>
          <w:tcPr>
            <w:tcW w:w="1840" w:type="dxa"/>
          </w:tcPr>
          <w:p w14:paraId="57643616" w14:textId="77777777" w:rsidR="00B823F8" w:rsidRPr="00A53AD7" w:rsidRDefault="00B823F8" w:rsidP="00B823F8">
            <w:pPr>
              <w:pStyle w:val="ad"/>
              <w:jc w:val="center"/>
              <w:rPr>
                <w:rFonts w:ascii="Times New Roman" w:hAnsi="Times New Roman"/>
                <w:b/>
              </w:rPr>
            </w:pPr>
          </w:p>
        </w:tc>
      </w:tr>
      <w:tr w:rsidR="00D470B6" w:rsidRPr="00A53AD7" w14:paraId="5216F8D1" w14:textId="77777777" w:rsidTr="00A17DE0">
        <w:tc>
          <w:tcPr>
            <w:tcW w:w="2319" w:type="dxa"/>
          </w:tcPr>
          <w:p w14:paraId="3922F36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840" w:type="dxa"/>
          </w:tcPr>
          <w:p w14:paraId="0CE0A19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20A307C7" w14:textId="77777777" w:rsidR="00B823F8" w:rsidRPr="00A53AD7" w:rsidRDefault="00B823F8" w:rsidP="00B823F8">
            <w:pPr>
              <w:pStyle w:val="ad"/>
              <w:jc w:val="center"/>
              <w:rPr>
                <w:rFonts w:ascii="Times New Roman" w:hAnsi="Times New Roman"/>
              </w:rPr>
            </w:pPr>
            <w:r w:rsidRPr="00A53AD7">
              <w:rPr>
                <w:rFonts w:ascii="Times New Roman" w:hAnsi="Times New Roman"/>
              </w:rPr>
              <w:t>15,4</w:t>
            </w:r>
          </w:p>
        </w:tc>
        <w:tc>
          <w:tcPr>
            <w:tcW w:w="1840" w:type="dxa"/>
          </w:tcPr>
          <w:p w14:paraId="296E1770" w14:textId="77777777" w:rsidR="00B823F8" w:rsidRPr="00A53AD7" w:rsidRDefault="00B823F8" w:rsidP="00B823F8">
            <w:pPr>
              <w:pStyle w:val="ad"/>
              <w:jc w:val="center"/>
              <w:rPr>
                <w:rFonts w:ascii="Times New Roman" w:hAnsi="Times New Roman"/>
              </w:rPr>
            </w:pPr>
            <w:r w:rsidRPr="00A53AD7">
              <w:rPr>
                <w:rFonts w:ascii="Times New Roman" w:hAnsi="Times New Roman"/>
              </w:rPr>
              <w:t>15,4</w:t>
            </w:r>
          </w:p>
        </w:tc>
        <w:tc>
          <w:tcPr>
            <w:tcW w:w="1840" w:type="dxa"/>
          </w:tcPr>
          <w:p w14:paraId="7F85FBB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15,4</w:t>
            </w:r>
          </w:p>
        </w:tc>
      </w:tr>
      <w:tr w:rsidR="00D470B6" w:rsidRPr="00A53AD7" w14:paraId="01483BE7" w14:textId="77777777" w:rsidTr="00A17DE0">
        <w:tc>
          <w:tcPr>
            <w:tcW w:w="2319" w:type="dxa"/>
          </w:tcPr>
          <w:p w14:paraId="565459A5"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840" w:type="dxa"/>
          </w:tcPr>
          <w:p w14:paraId="7CFFE21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7F923DD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840" w:type="dxa"/>
          </w:tcPr>
          <w:p w14:paraId="285B29B6" w14:textId="77777777" w:rsidR="00B823F8" w:rsidRPr="00A53AD7" w:rsidRDefault="00B823F8" w:rsidP="00B823F8">
            <w:pPr>
              <w:pStyle w:val="ad"/>
              <w:jc w:val="center"/>
              <w:rPr>
                <w:rFonts w:ascii="Times New Roman" w:hAnsi="Times New Roman"/>
              </w:rPr>
            </w:pPr>
            <w:r w:rsidRPr="00A53AD7">
              <w:rPr>
                <w:rFonts w:ascii="Times New Roman" w:hAnsi="Times New Roman"/>
              </w:rPr>
              <w:t>5,0</w:t>
            </w:r>
          </w:p>
        </w:tc>
        <w:tc>
          <w:tcPr>
            <w:tcW w:w="1840" w:type="dxa"/>
          </w:tcPr>
          <w:p w14:paraId="4C5C056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15,4</w:t>
            </w:r>
          </w:p>
        </w:tc>
      </w:tr>
      <w:tr w:rsidR="00D470B6" w:rsidRPr="00A53AD7" w14:paraId="757E2D10" w14:textId="77777777" w:rsidTr="00A17DE0">
        <w:tc>
          <w:tcPr>
            <w:tcW w:w="2319" w:type="dxa"/>
          </w:tcPr>
          <w:p w14:paraId="4B2ECD95"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840" w:type="dxa"/>
          </w:tcPr>
          <w:p w14:paraId="5D919D9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3658056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69D3D57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32,5%</w:t>
            </w:r>
          </w:p>
        </w:tc>
        <w:tc>
          <w:tcPr>
            <w:tcW w:w="1840" w:type="dxa"/>
          </w:tcPr>
          <w:p w14:paraId="7EB15E5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037007CE" w14:textId="77777777" w:rsidTr="00A17DE0">
        <w:tc>
          <w:tcPr>
            <w:tcW w:w="2319" w:type="dxa"/>
          </w:tcPr>
          <w:p w14:paraId="0493B4D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840" w:type="dxa"/>
          </w:tcPr>
          <w:p w14:paraId="318CDFC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047219C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2852E4FF" w14:textId="77777777" w:rsidR="00B823F8" w:rsidRPr="00A53AD7" w:rsidRDefault="00B823F8" w:rsidP="00B823F8">
            <w:pPr>
              <w:pStyle w:val="ad"/>
              <w:jc w:val="center"/>
              <w:rPr>
                <w:rFonts w:ascii="Times New Roman" w:hAnsi="Times New Roman"/>
              </w:rPr>
            </w:pPr>
            <w:r w:rsidRPr="00A53AD7">
              <w:rPr>
                <w:rFonts w:ascii="Times New Roman" w:hAnsi="Times New Roman"/>
              </w:rPr>
              <w:t>8,6</w:t>
            </w:r>
          </w:p>
        </w:tc>
        <w:tc>
          <w:tcPr>
            <w:tcW w:w="1840" w:type="dxa"/>
          </w:tcPr>
          <w:p w14:paraId="0F27C2F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8,6</w:t>
            </w:r>
          </w:p>
        </w:tc>
      </w:tr>
      <w:tr w:rsidR="00B823F8" w:rsidRPr="00A53AD7" w14:paraId="21A4F0FE" w14:textId="77777777" w:rsidTr="00A17DE0">
        <w:tc>
          <w:tcPr>
            <w:tcW w:w="2319" w:type="dxa"/>
          </w:tcPr>
          <w:p w14:paraId="7BE81D8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840" w:type="dxa"/>
          </w:tcPr>
          <w:p w14:paraId="12C1F75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363ADE6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840" w:type="dxa"/>
          </w:tcPr>
          <w:p w14:paraId="0B741EA5"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840" w:type="dxa"/>
          </w:tcPr>
          <w:p w14:paraId="00C85D0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4FBDFCE4" w14:textId="77777777" w:rsidR="00B823F8" w:rsidRPr="00A53AD7" w:rsidRDefault="00B823F8" w:rsidP="00B823F8">
      <w:pPr>
        <w:pStyle w:val="ad"/>
        <w:jc w:val="right"/>
        <w:rPr>
          <w:rFonts w:ascii="Times New Roman" w:hAnsi="Times New Roman"/>
          <w:sz w:val="28"/>
          <w:szCs w:val="28"/>
          <w:highlight w:val="cyan"/>
        </w:rPr>
      </w:pPr>
    </w:p>
    <w:p w14:paraId="469B9A25" w14:textId="3FAE9ABF" w:rsidR="00B823F8" w:rsidRPr="00A53AD7" w:rsidRDefault="00B823F8" w:rsidP="00B823F8">
      <w:pPr>
        <w:pStyle w:val="ad"/>
        <w:ind w:firstLine="708"/>
        <w:jc w:val="both"/>
        <w:rPr>
          <w:rFonts w:ascii="Times New Roman" w:hAnsi="Times New Roman"/>
          <w:sz w:val="28"/>
          <w:szCs w:val="28"/>
        </w:rPr>
      </w:pPr>
      <w:r w:rsidRPr="00A53AD7">
        <w:rPr>
          <w:rFonts w:ascii="Times New Roman" w:hAnsi="Times New Roman"/>
          <w:sz w:val="28"/>
          <w:szCs w:val="28"/>
        </w:rPr>
        <w:t>Таким образом, в рамках указанной программы уменьшено количество объектов на 8, расходы на реализацию программы в указанной части, министерство строительства не приступило к 2 объектам и не обеспечило расходование средств как федеральн</w:t>
      </w:r>
      <w:r w:rsidR="001A3B82" w:rsidRPr="00A53AD7">
        <w:rPr>
          <w:rFonts w:ascii="Times New Roman" w:hAnsi="Times New Roman"/>
          <w:sz w:val="28"/>
          <w:szCs w:val="28"/>
        </w:rPr>
        <w:t>ого, так и областного бюджетов.</w:t>
      </w:r>
    </w:p>
    <w:p w14:paraId="5A756165" w14:textId="65A0684D" w:rsidR="00B823F8" w:rsidRPr="00A53AD7" w:rsidRDefault="00B823F8" w:rsidP="00F85EE7">
      <w:pPr>
        <w:pStyle w:val="ad"/>
        <w:ind w:firstLine="708"/>
        <w:jc w:val="both"/>
        <w:rPr>
          <w:rFonts w:ascii="Times New Roman" w:hAnsi="Times New Roman"/>
          <w:sz w:val="28"/>
          <w:szCs w:val="28"/>
        </w:rPr>
      </w:pPr>
      <w:r w:rsidRPr="00A53AD7">
        <w:rPr>
          <w:rFonts w:ascii="Times New Roman" w:hAnsi="Times New Roman"/>
          <w:sz w:val="28"/>
          <w:szCs w:val="28"/>
        </w:rPr>
        <w:t>Министерство строительства</w:t>
      </w:r>
      <w:r w:rsidR="00F85EE7" w:rsidRPr="00A53AD7">
        <w:rPr>
          <w:rFonts w:ascii="Times New Roman" w:hAnsi="Times New Roman"/>
          <w:sz w:val="28"/>
          <w:szCs w:val="28"/>
        </w:rPr>
        <w:t>:</w:t>
      </w:r>
      <w:r w:rsidRPr="00A53AD7">
        <w:rPr>
          <w:rFonts w:ascii="Times New Roman" w:hAnsi="Times New Roman"/>
          <w:sz w:val="28"/>
          <w:szCs w:val="28"/>
        </w:rPr>
        <w:t xml:space="preserve"> план 144,6 млн.руб., отчет 138,0 млн.руб. или 95,4%, министерство здравоохранения план 15,4 млн.руб., отчет 15,4 млн.руб.:</w:t>
      </w:r>
    </w:p>
    <w:p w14:paraId="6426455E" w14:textId="63EC6CA7"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строительство больницы Обозерского филиала Плесецкой ЦРБ на сумму 71,7 млн.руб., объект сдан в эксплуатацию;</w:t>
      </w:r>
    </w:p>
    <w:p w14:paraId="2B4013A5" w14:textId="3000250A"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строительство больницы в п. Березник Виноградовского района 56,6 млн.руб.;</w:t>
      </w:r>
    </w:p>
    <w:p w14:paraId="543E7B61" w14:textId="0979D90D"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корректировка проектной документации лечебно-диагностического корпуса ГБУЗ «Архангельская областная детская клиническая больница им. П.Г. Выжлецова» – 9,6 млн.руб.;</w:t>
      </w:r>
    </w:p>
    <w:p w14:paraId="7C101B4A" w14:textId="08140128"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изготовление и корректировка проектно-сметной документации на три объекта.</w:t>
      </w:r>
    </w:p>
    <w:p w14:paraId="788C6333" w14:textId="77777777" w:rsidR="00B823F8" w:rsidRPr="00A53AD7" w:rsidRDefault="00B823F8" w:rsidP="00B823F8">
      <w:pPr>
        <w:pStyle w:val="ad"/>
        <w:ind w:right="-143" w:firstLine="708"/>
        <w:jc w:val="both"/>
        <w:rPr>
          <w:rFonts w:ascii="Times New Roman" w:hAnsi="Times New Roman"/>
          <w:sz w:val="28"/>
          <w:szCs w:val="28"/>
          <w:highlight w:val="cyan"/>
        </w:rPr>
      </w:pPr>
    </w:p>
    <w:p w14:paraId="7CC0F29F" w14:textId="7717DD06" w:rsidR="00B12279" w:rsidRPr="00A53AD7" w:rsidRDefault="00FC5B0D" w:rsidP="0050227C">
      <w:pPr>
        <w:pStyle w:val="ad"/>
        <w:ind w:firstLine="851"/>
        <w:jc w:val="both"/>
        <w:rPr>
          <w:rFonts w:ascii="Times New Roman" w:hAnsi="Times New Roman"/>
          <w:sz w:val="28"/>
          <w:szCs w:val="28"/>
        </w:rPr>
      </w:pPr>
      <w:r w:rsidRPr="00A53AD7">
        <w:rPr>
          <w:rFonts w:ascii="Times New Roman" w:hAnsi="Times New Roman"/>
          <w:sz w:val="28"/>
          <w:szCs w:val="28"/>
        </w:rPr>
        <w:t>4</w:t>
      </w:r>
      <w:r w:rsidR="00B823F8" w:rsidRPr="00A53AD7">
        <w:rPr>
          <w:rFonts w:ascii="Times New Roman" w:hAnsi="Times New Roman"/>
          <w:sz w:val="28"/>
          <w:szCs w:val="28"/>
        </w:rPr>
        <w:t>. ГП АО «Развитие транспортной системы Архангельской области (2014-2024 годы)» запланированы расходы по приведенному количеству</w:t>
      </w:r>
      <w:r w:rsidR="00B12279" w:rsidRPr="00A53AD7">
        <w:rPr>
          <w:rFonts w:ascii="Times New Roman" w:hAnsi="Times New Roman"/>
          <w:sz w:val="28"/>
          <w:szCs w:val="28"/>
        </w:rPr>
        <w:t xml:space="preserve"> </w:t>
      </w:r>
      <w:r w:rsidR="00B823F8" w:rsidRPr="00A53AD7">
        <w:rPr>
          <w:rFonts w:ascii="Times New Roman" w:hAnsi="Times New Roman"/>
          <w:sz w:val="28"/>
          <w:szCs w:val="28"/>
        </w:rPr>
        <w:t>объектов:</w:t>
      </w:r>
    </w:p>
    <w:p w14:paraId="3CC69ECD" w14:textId="64656EF5" w:rsidR="00B823F8" w:rsidRPr="00A53AD7" w:rsidRDefault="00B823F8" w:rsidP="00B12279">
      <w:pPr>
        <w:pStyle w:val="ad"/>
        <w:ind w:firstLine="708"/>
        <w:jc w:val="right"/>
        <w:rPr>
          <w:rFonts w:ascii="Times New Roman" w:hAnsi="Times New Roman"/>
          <w:sz w:val="24"/>
          <w:szCs w:val="24"/>
        </w:rPr>
      </w:pPr>
      <w:r w:rsidRPr="00A53AD7">
        <w:rPr>
          <w:rFonts w:ascii="Times New Roman" w:hAnsi="Times New Roman"/>
          <w:sz w:val="24"/>
          <w:szCs w:val="24"/>
        </w:rPr>
        <w:t>(млн.руб.)</w:t>
      </w:r>
    </w:p>
    <w:tbl>
      <w:tblPr>
        <w:tblStyle w:val="a7"/>
        <w:tblW w:w="9560"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19"/>
        <w:gridCol w:w="992"/>
        <w:gridCol w:w="1056"/>
        <w:gridCol w:w="1056"/>
        <w:gridCol w:w="1056"/>
        <w:gridCol w:w="1056"/>
        <w:gridCol w:w="1056"/>
        <w:gridCol w:w="1185"/>
        <w:gridCol w:w="984"/>
      </w:tblGrid>
      <w:tr w:rsidR="00D470B6" w:rsidRPr="00A53AD7" w14:paraId="3B2CECCA" w14:textId="77777777" w:rsidTr="00B12279">
        <w:tc>
          <w:tcPr>
            <w:tcW w:w="1119" w:type="dxa"/>
          </w:tcPr>
          <w:p w14:paraId="2AC7014E" w14:textId="77777777" w:rsidR="00B823F8" w:rsidRPr="00A53AD7" w:rsidRDefault="00B823F8" w:rsidP="00D43915">
            <w:pPr>
              <w:pStyle w:val="ad"/>
              <w:jc w:val="center"/>
              <w:rPr>
                <w:rFonts w:ascii="Times New Roman" w:hAnsi="Times New Roman"/>
              </w:rPr>
            </w:pPr>
            <w:r w:rsidRPr="00A53AD7">
              <w:rPr>
                <w:rFonts w:ascii="Times New Roman" w:hAnsi="Times New Roman"/>
              </w:rPr>
              <w:t>На даты:</w:t>
            </w:r>
          </w:p>
        </w:tc>
        <w:tc>
          <w:tcPr>
            <w:tcW w:w="992" w:type="dxa"/>
          </w:tcPr>
          <w:p w14:paraId="2F89D737" w14:textId="77777777" w:rsidR="00B823F8" w:rsidRPr="00A53AD7" w:rsidRDefault="00B823F8" w:rsidP="00D43915">
            <w:pPr>
              <w:pStyle w:val="ad"/>
              <w:ind w:hanging="108"/>
              <w:jc w:val="center"/>
              <w:rPr>
                <w:rFonts w:ascii="Times New Roman" w:hAnsi="Times New Roman"/>
              </w:rPr>
            </w:pPr>
            <w:r w:rsidRPr="00A53AD7">
              <w:rPr>
                <w:rFonts w:ascii="Times New Roman" w:hAnsi="Times New Roman"/>
              </w:rPr>
              <w:t>01.01.19</w:t>
            </w:r>
          </w:p>
        </w:tc>
        <w:tc>
          <w:tcPr>
            <w:tcW w:w="1056" w:type="dxa"/>
          </w:tcPr>
          <w:p w14:paraId="56123691" w14:textId="77777777" w:rsidR="00B823F8" w:rsidRPr="00A53AD7" w:rsidRDefault="00B823F8" w:rsidP="00D43915">
            <w:pPr>
              <w:pStyle w:val="ad"/>
              <w:jc w:val="center"/>
              <w:rPr>
                <w:rFonts w:ascii="Times New Roman" w:hAnsi="Times New Roman"/>
              </w:rPr>
            </w:pPr>
            <w:r w:rsidRPr="00A53AD7">
              <w:rPr>
                <w:rFonts w:ascii="Times New Roman" w:hAnsi="Times New Roman"/>
              </w:rPr>
              <w:t>01.04.19</w:t>
            </w:r>
          </w:p>
        </w:tc>
        <w:tc>
          <w:tcPr>
            <w:tcW w:w="1056" w:type="dxa"/>
          </w:tcPr>
          <w:p w14:paraId="13C42D7F" w14:textId="77777777" w:rsidR="00B823F8" w:rsidRPr="00A53AD7" w:rsidRDefault="00B823F8" w:rsidP="00D43915">
            <w:pPr>
              <w:pStyle w:val="ad"/>
              <w:jc w:val="center"/>
              <w:rPr>
                <w:rFonts w:ascii="Times New Roman" w:hAnsi="Times New Roman"/>
              </w:rPr>
            </w:pPr>
            <w:r w:rsidRPr="00A53AD7">
              <w:rPr>
                <w:rFonts w:ascii="Times New Roman" w:hAnsi="Times New Roman"/>
              </w:rPr>
              <w:t>02.07.19</w:t>
            </w:r>
          </w:p>
        </w:tc>
        <w:tc>
          <w:tcPr>
            <w:tcW w:w="1056" w:type="dxa"/>
          </w:tcPr>
          <w:p w14:paraId="68122C4A" w14:textId="77777777" w:rsidR="00B823F8" w:rsidRPr="00A53AD7" w:rsidRDefault="00B823F8" w:rsidP="00D43915">
            <w:pPr>
              <w:pStyle w:val="ad"/>
              <w:jc w:val="center"/>
              <w:rPr>
                <w:rFonts w:ascii="Times New Roman" w:hAnsi="Times New Roman"/>
              </w:rPr>
            </w:pPr>
            <w:r w:rsidRPr="00A53AD7">
              <w:rPr>
                <w:rFonts w:ascii="Times New Roman" w:hAnsi="Times New Roman"/>
              </w:rPr>
              <w:t>25.09.19</w:t>
            </w:r>
          </w:p>
        </w:tc>
        <w:tc>
          <w:tcPr>
            <w:tcW w:w="1056" w:type="dxa"/>
          </w:tcPr>
          <w:p w14:paraId="1C39F3D8" w14:textId="77777777" w:rsidR="00B823F8" w:rsidRPr="00A53AD7" w:rsidRDefault="00B823F8" w:rsidP="00D43915">
            <w:pPr>
              <w:pStyle w:val="ad"/>
              <w:jc w:val="center"/>
              <w:rPr>
                <w:rFonts w:ascii="Times New Roman" w:hAnsi="Times New Roman"/>
              </w:rPr>
            </w:pPr>
            <w:r w:rsidRPr="00A53AD7">
              <w:rPr>
                <w:rFonts w:ascii="Times New Roman" w:hAnsi="Times New Roman"/>
              </w:rPr>
              <w:t>19.11.19</w:t>
            </w:r>
          </w:p>
        </w:tc>
        <w:tc>
          <w:tcPr>
            <w:tcW w:w="1056" w:type="dxa"/>
          </w:tcPr>
          <w:p w14:paraId="764C5A97" w14:textId="77777777" w:rsidR="00B823F8" w:rsidRPr="00A53AD7" w:rsidRDefault="00B823F8" w:rsidP="00D43915">
            <w:pPr>
              <w:pStyle w:val="ad"/>
              <w:jc w:val="center"/>
              <w:rPr>
                <w:rFonts w:ascii="Times New Roman" w:hAnsi="Times New Roman"/>
              </w:rPr>
            </w:pPr>
            <w:r w:rsidRPr="00A53AD7">
              <w:rPr>
                <w:rFonts w:ascii="Times New Roman" w:hAnsi="Times New Roman"/>
              </w:rPr>
              <w:t>13.12.19</w:t>
            </w:r>
          </w:p>
        </w:tc>
        <w:tc>
          <w:tcPr>
            <w:tcW w:w="1185" w:type="dxa"/>
          </w:tcPr>
          <w:p w14:paraId="6A3C4ABD" w14:textId="77777777" w:rsidR="00B823F8" w:rsidRPr="00A53AD7" w:rsidRDefault="00B823F8" w:rsidP="00D43915">
            <w:pPr>
              <w:pStyle w:val="ad"/>
              <w:jc w:val="center"/>
              <w:rPr>
                <w:rFonts w:ascii="Times New Roman" w:hAnsi="Times New Roman"/>
              </w:rPr>
            </w:pPr>
            <w:r w:rsidRPr="00A53AD7">
              <w:rPr>
                <w:rFonts w:ascii="Times New Roman" w:hAnsi="Times New Roman"/>
              </w:rPr>
              <w:t>Отчет на 31.12.19</w:t>
            </w:r>
          </w:p>
        </w:tc>
        <w:tc>
          <w:tcPr>
            <w:tcW w:w="984" w:type="dxa"/>
          </w:tcPr>
          <w:p w14:paraId="260C267A" w14:textId="77777777" w:rsidR="00B823F8" w:rsidRPr="00A53AD7" w:rsidRDefault="00B823F8" w:rsidP="00D43915">
            <w:pPr>
              <w:pStyle w:val="ad"/>
              <w:ind w:left="-53" w:right="-31" w:hanging="78"/>
              <w:jc w:val="center"/>
              <w:rPr>
                <w:rFonts w:ascii="Times New Roman" w:hAnsi="Times New Roman"/>
              </w:rPr>
            </w:pPr>
            <w:r w:rsidRPr="00A53AD7">
              <w:rPr>
                <w:rFonts w:ascii="Times New Roman" w:hAnsi="Times New Roman"/>
              </w:rPr>
              <w:t>Исполнено в %%</w:t>
            </w:r>
          </w:p>
        </w:tc>
      </w:tr>
      <w:tr w:rsidR="00D470B6" w:rsidRPr="00A53AD7" w14:paraId="4D5A1160" w14:textId="77777777" w:rsidTr="00B12279">
        <w:tc>
          <w:tcPr>
            <w:tcW w:w="1119" w:type="dxa"/>
          </w:tcPr>
          <w:p w14:paraId="4584CC63"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xml:space="preserve">Сумма </w:t>
            </w:r>
          </w:p>
        </w:tc>
        <w:tc>
          <w:tcPr>
            <w:tcW w:w="992" w:type="dxa"/>
          </w:tcPr>
          <w:p w14:paraId="12A1C4FD" w14:textId="77777777" w:rsidR="00B823F8" w:rsidRPr="00A53AD7" w:rsidRDefault="00B823F8" w:rsidP="00B823F8">
            <w:pPr>
              <w:pStyle w:val="ad"/>
              <w:jc w:val="center"/>
              <w:rPr>
                <w:rFonts w:ascii="Times New Roman" w:hAnsi="Times New Roman"/>
              </w:rPr>
            </w:pPr>
            <w:r w:rsidRPr="00A53AD7">
              <w:rPr>
                <w:rFonts w:ascii="Times New Roman" w:hAnsi="Times New Roman"/>
              </w:rPr>
              <w:t>199,2</w:t>
            </w:r>
          </w:p>
        </w:tc>
        <w:tc>
          <w:tcPr>
            <w:tcW w:w="1056" w:type="dxa"/>
          </w:tcPr>
          <w:p w14:paraId="630EDB46" w14:textId="77777777" w:rsidR="00B823F8" w:rsidRPr="00A53AD7" w:rsidRDefault="00B823F8" w:rsidP="00B823F8">
            <w:pPr>
              <w:pStyle w:val="ad"/>
              <w:jc w:val="center"/>
              <w:rPr>
                <w:rFonts w:ascii="Times New Roman" w:hAnsi="Times New Roman"/>
              </w:rPr>
            </w:pPr>
            <w:r w:rsidRPr="00A53AD7">
              <w:rPr>
                <w:rFonts w:ascii="Times New Roman" w:hAnsi="Times New Roman"/>
              </w:rPr>
              <w:t>275,1</w:t>
            </w:r>
          </w:p>
        </w:tc>
        <w:tc>
          <w:tcPr>
            <w:tcW w:w="1056" w:type="dxa"/>
          </w:tcPr>
          <w:p w14:paraId="4BFF0391" w14:textId="77777777" w:rsidR="00B823F8" w:rsidRPr="00A53AD7" w:rsidRDefault="00B823F8" w:rsidP="00B823F8">
            <w:pPr>
              <w:pStyle w:val="ad"/>
              <w:jc w:val="center"/>
              <w:rPr>
                <w:rFonts w:ascii="Times New Roman" w:hAnsi="Times New Roman"/>
              </w:rPr>
            </w:pPr>
            <w:r w:rsidRPr="00A53AD7">
              <w:rPr>
                <w:rFonts w:ascii="Times New Roman" w:hAnsi="Times New Roman"/>
              </w:rPr>
              <w:t>275,1</w:t>
            </w:r>
          </w:p>
        </w:tc>
        <w:tc>
          <w:tcPr>
            <w:tcW w:w="1056" w:type="dxa"/>
          </w:tcPr>
          <w:p w14:paraId="1138A42D" w14:textId="77777777" w:rsidR="00B823F8" w:rsidRPr="00A53AD7" w:rsidRDefault="00B823F8" w:rsidP="00B823F8">
            <w:pPr>
              <w:pStyle w:val="ad"/>
              <w:jc w:val="center"/>
              <w:rPr>
                <w:rFonts w:ascii="Times New Roman" w:hAnsi="Times New Roman"/>
              </w:rPr>
            </w:pPr>
            <w:r w:rsidRPr="00A53AD7">
              <w:rPr>
                <w:rFonts w:ascii="Times New Roman" w:hAnsi="Times New Roman"/>
              </w:rPr>
              <w:t>285,1</w:t>
            </w:r>
          </w:p>
        </w:tc>
        <w:tc>
          <w:tcPr>
            <w:tcW w:w="1056" w:type="dxa"/>
          </w:tcPr>
          <w:p w14:paraId="44FF054D" w14:textId="77777777" w:rsidR="00B823F8" w:rsidRPr="00A53AD7" w:rsidRDefault="00B823F8" w:rsidP="00B823F8">
            <w:pPr>
              <w:pStyle w:val="ad"/>
              <w:jc w:val="center"/>
              <w:rPr>
                <w:rFonts w:ascii="Times New Roman" w:hAnsi="Times New Roman"/>
              </w:rPr>
            </w:pPr>
            <w:r w:rsidRPr="00A53AD7">
              <w:rPr>
                <w:rFonts w:ascii="Times New Roman" w:hAnsi="Times New Roman"/>
              </w:rPr>
              <w:t>290,1</w:t>
            </w:r>
          </w:p>
        </w:tc>
        <w:tc>
          <w:tcPr>
            <w:tcW w:w="1056" w:type="dxa"/>
          </w:tcPr>
          <w:p w14:paraId="067B223C" w14:textId="77777777" w:rsidR="00B823F8" w:rsidRPr="00A53AD7" w:rsidRDefault="00B823F8" w:rsidP="00B823F8">
            <w:pPr>
              <w:pStyle w:val="ad"/>
              <w:jc w:val="center"/>
              <w:rPr>
                <w:rFonts w:ascii="Times New Roman" w:hAnsi="Times New Roman"/>
              </w:rPr>
            </w:pPr>
            <w:r w:rsidRPr="00A53AD7">
              <w:rPr>
                <w:rFonts w:ascii="Times New Roman" w:hAnsi="Times New Roman"/>
              </w:rPr>
              <w:t>290,1</w:t>
            </w:r>
          </w:p>
        </w:tc>
        <w:tc>
          <w:tcPr>
            <w:tcW w:w="1185" w:type="dxa"/>
          </w:tcPr>
          <w:p w14:paraId="3CDD014F" w14:textId="77777777" w:rsidR="00B823F8" w:rsidRPr="00A53AD7" w:rsidRDefault="00B823F8" w:rsidP="00B823F8">
            <w:pPr>
              <w:pStyle w:val="ad"/>
              <w:jc w:val="center"/>
              <w:rPr>
                <w:rFonts w:ascii="Times New Roman" w:hAnsi="Times New Roman"/>
              </w:rPr>
            </w:pPr>
            <w:r w:rsidRPr="00A53AD7">
              <w:rPr>
                <w:rFonts w:ascii="Times New Roman" w:hAnsi="Times New Roman"/>
              </w:rPr>
              <w:t>266,1</w:t>
            </w:r>
          </w:p>
        </w:tc>
        <w:tc>
          <w:tcPr>
            <w:tcW w:w="984" w:type="dxa"/>
          </w:tcPr>
          <w:p w14:paraId="0587FF4E" w14:textId="77777777" w:rsidR="00B823F8" w:rsidRPr="00A53AD7" w:rsidRDefault="00B823F8" w:rsidP="00B823F8">
            <w:pPr>
              <w:pStyle w:val="ad"/>
              <w:jc w:val="center"/>
              <w:rPr>
                <w:rFonts w:ascii="Times New Roman" w:hAnsi="Times New Roman"/>
              </w:rPr>
            </w:pPr>
            <w:r w:rsidRPr="00A53AD7">
              <w:rPr>
                <w:rFonts w:ascii="Times New Roman" w:hAnsi="Times New Roman"/>
              </w:rPr>
              <w:t>92,0%</w:t>
            </w:r>
          </w:p>
        </w:tc>
      </w:tr>
      <w:tr w:rsidR="00D470B6" w:rsidRPr="00A53AD7" w14:paraId="40E0DFB8" w14:textId="77777777" w:rsidTr="00B12279">
        <w:tc>
          <w:tcPr>
            <w:tcW w:w="1119" w:type="dxa"/>
          </w:tcPr>
          <w:p w14:paraId="13597901" w14:textId="77777777" w:rsidR="00B823F8" w:rsidRPr="00A53AD7" w:rsidRDefault="00B823F8" w:rsidP="00B12279">
            <w:pPr>
              <w:pStyle w:val="ad"/>
              <w:ind w:right="-108" w:hanging="113"/>
              <w:rPr>
                <w:rFonts w:ascii="Times New Roman" w:hAnsi="Times New Roman"/>
              </w:rPr>
            </w:pPr>
            <w:r w:rsidRPr="00A53AD7">
              <w:rPr>
                <w:rFonts w:ascii="Times New Roman" w:hAnsi="Times New Roman"/>
              </w:rPr>
              <w:t>кол-во объектов</w:t>
            </w:r>
          </w:p>
        </w:tc>
        <w:tc>
          <w:tcPr>
            <w:tcW w:w="992" w:type="dxa"/>
          </w:tcPr>
          <w:p w14:paraId="6A83C8C4" w14:textId="77777777" w:rsidR="00B823F8" w:rsidRPr="00A53AD7" w:rsidRDefault="00B823F8" w:rsidP="00B823F8">
            <w:pPr>
              <w:pStyle w:val="ad"/>
              <w:jc w:val="center"/>
              <w:rPr>
                <w:rFonts w:ascii="Times New Roman" w:hAnsi="Times New Roman"/>
              </w:rPr>
            </w:pPr>
          </w:p>
          <w:p w14:paraId="5CBA0A40"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056" w:type="dxa"/>
          </w:tcPr>
          <w:p w14:paraId="68282D89" w14:textId="77777777" w:rsidR="00B823F8" w:rsidRPr="00A53AD7" w:rsidRDefault="00B823F8" w:rsidP="00B823F8">
            <w:pPr>
              <w:pStyle w:val="ad"/>
              <w:jc w:val="center"/>
              <w:rPr>
                <w:rFonts w:ascii="Times New Roman" w:hAnsi="Times New Roman"/>
              </w:rPr>
            </w:pPr>
          </w:p>
          <w:p w14:paraId="6867DD60"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056" w:type="dxa"/>
          </w:tcPr>
          <w:p w14:paraId="73A48855" w14:textId="77777777" w:rsidR="00B823F8" w:rsidRPr="00A53AD7" w:rsidRDefault="00B823F8" w:rsidP="00B823F8">
            <w:pPr>
              <w:pStyle w:val="ad"/>
              <w:jc w:val="center"/>
              <w:rPr>
                <w:rFonts w:ascii="Times New Roman" w:hAnsi="Times New Roman"/>
              </w:rPr>
            </w:pPr>
          </w:p>
          <w:p w14:paraId="0A0F2AA1"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056" w:type="dxa"/>
          </w:tcPr>
          <w:p w14:paraId="02E31ECF" w14:textId="77777777" w:rsidR="00B823F8" w:rsidRPr="00A53AD7" w:rsidRDefault="00B823F8" w:rsidP="00B823F8">
            <w:pPr>
              <w:pStyle w:val="ad"/>
              <w:jc w:val="center"/>
              <w:rPr>
                <w:rFonts w:ascii="Times New Roman" w:hAnsi="Times New Roman"/>
              </w:rPr>
            </w:pPr>
          </w:p>
          <w:p w14:paraId="5E21A724"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056" w:type="dxa"/>
          </w:tcPr>
          <w:p w14:paraId="4C15F5E8" w14:textId="77777777" w:rsidR="00B823F8" w:rsidRPr="00A53AD7" w:rsidRDefault="00B823F8" w:rsidP="00B823F8">
            <w:pPr>
              <w:pStyle w:val="ad"/>
              <w:jc w:val="center"/>
              <w:rPr>
                <w:rFonts w:ascii="Times New Roman" w:hAnsi="Times New Roman"/>
              </w:rPr>
            </w:pPr>
          </w:p>
          <w:p w14:paraId="0187B05C"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056" w:type="dxa"/>
          </w:tcPr>
          <w:p w14:paraId="4D855C30" w14:textId="77777777" w:rsidR="00B823F8" w:rsidRPr="00A53AD7" w:rsidRDefault="00B823F8" w:rsidP="00B823F8">
            <w:pPr>
              <w:pStyle w:val="ad"/>
              <w:jc w:val="center"/>
              <w:rPr>
                <w:rFonts w:ascii="Times New Roman" w:hAnsi="Times New Roman"/>
              </w:rPr>
            </w:pPr>
          </w:p>
          <w:p w14:paraId="102E8212"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185" w:type="dxa"/>
          </w:tcPr>
          <w:p w14:paraId="6340A94E" w14:textId="77777777" w:rsidR="00B823F8" w:rsidRPr="00A53AD7" w:rsidRDefault="00B823F8" w:rsidP="00B823F8">
            <w:pPr>
              <w:pStyle w:val="ad"/>
              <w:jc w:val="center"/>
              <w:rPr>
                <w:rFonts w:ascii="Times New Roman" w:hAnsi="Times New Roman"/>
              </w:rPr>
            </w:pPr>
          </w:p>
          <w:p w14:paraId="42ABFB17"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984" w:type="dxa"/>
          </w:tcPr>
          <w:p w14:paraId="5ACC6E75" w14:textId="77777777" w:rsidR="00B823F8" w:rsidRPr="00A53AD7" w:rsidRDefault="00B823F8" w:rsidP="00B823F8">
            <w:pPr>
              <w:pStyle w:val="ad"/>
              <w:jc w:val="center"/>
              <w:rPr>
                <w:rFonts w:ascii="Times New Roman" w:hAnsi="Times New Roman"/>
              </w:rPr>
            </w:pPr>
          </w:p>
          <w:p w14:paraId="6FB654D2" w14:textId="77777777" w:rsidR="00B823F8" w:rsidRPr="00A53AD7" w:rsidRDefault="00B823F8" w:rsidP="00B823F8">
            <w:pPr>
              <w:pStyle w:val="ad"/>
              <w:jc w:val="center"/>
              <w:rPr>
                <w:rFonts w:ascii="Times New Roman" w:hAnsi="Times New Roman"/>
              </w:rPr>
            </w:pPr>
            <w:r w:rsidRPr="00A53AD7">
              <w:rPr>
                <w:rFonts w:ascii="Times New Roman" w:hAnsi="Times New Roman"/>
              </w:rPr>
              <w:t>71,4%</w:t>
            </w:r>
          </w:p>
        </w:tc>
      </w:tr>
      <w:tr w:rsidR="00D470B6" w:rsidRPr="00A53AD7" w14:paraId="5C3CBEA2" w14:textId="77777777" w:rsidTr="00B12279">
        <w:tc>
          <w:tcPr>
            <w:tcW w:w="1119" w:type="dxa"/>
          </w:tcPr>
          <w:p w14:paraId="0DF3712F" w14:textId="77777777" w:rsidR="00B823F8" w:rsidRPr="00A53AD7" w:rsidRDefault="00B823F8" w:rsidP="00B12279">
            <w:pPr>
              <w:pStyle w:val="ad"/>
              <w:ind w:hanging="113"/>
              <w:rPr>
                <w:rFonts w:ascii="Times New Roman" w:hAnsi="Times New Roman"/>
              </w:rPr>
            </w:pPr>
            <w:r w:rsidRPr="00A53AD7">
              <w:rPr>
                <w:rFonts w:ascii="Times New Roman" w:hAnsi="Times New Roman"/>
              </w:rPr>
              <w:t>(+, -) сумма</w:t>
            </w:r>
          </w:p>
        </w:tc>
        <w:tc>
          <w:tcPr>
            <w:tcW w:w="992" w:type="dxa"/>
          </w:tcPr>
          <w:p w14:paraId="4F49DBA9" w14:textId="77777777" w:rsidR="00B823F8" w:rsidRPr="00A53AD7" w:rsidRDefault="00B823F8" w:rsidP="00B823F8">
            <w:pPr>
              <w:pStyle w:val="ad"/>
              <w:jc w:val="center"/>
              <w:rPr>
                <w:rFonts w:ascii="Times New Roman" w:hAnsi="Times New Roman"/>
              </w:rPr>
            </w:pPr>
          </w:p>
        </w:tc>
        <w:tc>
          <w:tcPr>
            <w:tcW w:w="1056" w:type="dxa"/>
          </w:tcPr>
          <w:p w14:paraId="5F7CB616" w14:textId="77777777" w:rsidR="00B823F8" w:rsidRPr="00A53AD7" w:rsidRDefault="00B823F8" w:rsidP="00B823F8">
            <w:pPr>
              <w:pStyle w:val="ad"/>
              <w:jc w:val="center"/>
              <w:rPr>
                <w:rFonts w:ascii="Times New Roman" w:hAnsi="Times New Roman"/>
              </w:rPr>
            </w:pPr>
            <w:r w:rsidRPr="00A53AD7">
              <w:rPr>
                <w:rFonts w:ascii="Times New Roman" w:hAnsi="Times New Roman"/>
              </w:rPr>
              <w:t>+75,9</w:t>
            </w:r>
          </w:p>
        </w:tc>
        <w:tc>
          <w:tcPr>
            <w:tcW w:w="1056" w:type="dxa"/>
          </w:tcPr>
          <w:p w14:paraId="4E626613"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056" w:type="dxa"/>
          </w:tcPr>
          <w:p w14:paraId="2FF2B8F3" w14:textId="77777777" w:rsidR="00B823F8" w:rsidRPr="00A53AD7" w:rsidRDefault="00B823F8" w:rsidP="00B823F8">
            <w:pPr>
              <w:pStyle w:val="ad"/>
              <w:jc w:val="center"/>
              <w:rPr>
                <w:rFonts w:ascii="Times New Roman" w:hAnsi="Times New Roman"/>
              </w:rPr>
            </w:pPr>
            <w:r w:rsidRPr="00A53AD7">
              <w:rPr>
                <w:rFonts w:ascii="Times New Roman" w:hAnsi="Times New Roman"/>
              </w:rPr>
              <w:t>+10,0</w:t>
            </w:r>
          </w:p>
        </w:tc>
        <w:tc>
          <w:tcPr>
            <w:tcW w:w="1056" w:type="dxa"/>
          </w:tcPr>
          <w:p w14:paraId="0DAE1826" w14:textId="77777777" w:rsidR="00B823F8" w:rsidRPr="00A53AD7" w:rsidRDefault="00B823F8" w:rsidP="00B823F8">
            <w:pPr>
              <w:pStyle w:val="ad"/>
              <w:jc w:val="center"/>
              <w:rPr>
                <w:rFonts w:ascii="Times New Roman" w:hAnsi="Times New Roman"/>
              </w:rPr>
            </w:pPr>
            <w:r w:rsidRPr="00A53AD7">
              <w:rPr>
                <w:rFonts w:ascii="Times New Roman" w:hAnsi="Times New Roman"/>
              </w:rPr>
              <w:t>+5,0</w:t>
            </w:r>
          </w:p>
        </w:tc>
        <w:tc>
          <w:tcPr>
            <w:tcW w:w="1056" w:type="dxa"/>
          </w:tcPr>
          <w:p w14:paraId="6AE1236C"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185" w:type="dxa"/>
          </w:tcPr>
          <w:p w14:paraId="5A18DA39" w14:textId="77777777" w:rsidR="00B823F8" w:rsidRPr="00A53AD7" w:rsidRDefault="00B823F8" w:rsidP="00B823F8">
            <w:pPr>
              <w:pStyle w:val="ad"/>
              <w:jc w:val="center"/>
              <w:rPr>
                <w:rFonts w:ascii="Times New Roman" w:hAnsi="Times New Roman"/>
              </w:rPr>
            </w:pPr>
          </w:p>
        </w:tc>
        <w:tc>
          <w:tcPr>
            <w:tcW w:w="984" w:type="dxa"/>
          </w:tcPr>
          <w:p w14:paraId="06789D71" w14:textId="77777777" w:rsidR="00B823F8" w:rsidRPr="00A53AD7" w:rsidRDefault="00B823F8" w:rsidP="00B823F8">
            <w:pPr>
              <w:pStyle w:val="ad"/>
              <w:jc w:val="center"/>
              <w:rPr>
                <w:rFonts w:ascii="Times New Roman" w:hAnsi="Times New Roman"/>
              </w:rPr>
            </w:pPr>
          </w:p>
        </w:tc>
      </w:tr>
      <w:tr w:rsidR="00B823F8" w:rsidRPr="00A53AD7" w14:paraId="34817009" w14:textId="77777777" w:rsidTr="00B12279">
        <w:tc>
          <w:tcPr>
            <w:tcW w:w="1119" w:type="dxa"/>
          </w:tcPr>
          <w:p w14:paraId="216A2ABD" w14:textId="77777777" w:rsidR="00B823F8" w:rsidRPr="00A53AD7" w:rsidRDefault="00B823F8" w:rsidP="00B12279">
            <w:pPr>
              <w:pStyle w:val="ad"/>
              <w:ind w:hanging="113"/>
              <w:rPr>
                <w:rFonts w:ascii="Times New Roman" w:hAnsi="Times New Roman"/>
              </w:rPr>
            </w:pPr>
            <w:r w:rsidRPr="00A53AD7">
              <w:rPr>
                <w:rFonts w:ascii="Times New Roman" w:hAnsi="Times New Roman"/>
              </w:rPr>
              <w:t>(+,-) объекты</w:t>
            </w:r>
          </w:p>
        </w:tc>
        <w:tc>
          <w:tcPr>
            <w:tcW w:w="992" w:type="dxa"/>
          </w:tcPr>
          <w:p w14:paraId="00F65EFE" w14:textId="77777777" w:rsidR="00B823F8" w:rsidRPr="00A53AD7" w:rsidRDefault="00B823F8" w:rsidP="00B823F8">
            <w:pPr>
              <w:pStyle w:val="ad"/>
              <w:jc w:val="center"/>
              <w:rPr>
                <w:rFonts w:ascii="Times New Roman" w:hAnsi="Times New Roman"/>
              </w:rPr>
            </w:pPr>
          </w:p>
        </w:tc>
        <w:tc>
          <w:tcPr>
            <w:tcW w:w="1056" w:type="dxa"/>
          </w:tcPr>
          <w:p w14:paraId="06A6F0F2"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4D763002"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056" w:type="dxa"/>
          </w:tcPr>
          <w:p w14:paraId="4A1C95A0"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45A4EDFF"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634B256E"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185" w:type="dxa"/>
          </w:tcPr>
          <w:p w14:paraId="54E7C5FA" w14:textId="77777777" w:rsidR="00B823F8" w:rsidRPr="00A53AD7" w:rsidRDefault="00B823F8" w:rsidP="00B823F8">
            <w:pPr>
              <w:pStyle w:val="ad"/>
              <w:jc w:val="center"/>
              <w:rPr>
                <w:rFonts w:ascii="Times New Roman" w:hAnsi="Times New Roman"/>
              </w:rPr>
            </w:pPr>
          </w:p>
        </w:tc>
        <w:tc>
          <w:tcPr>
            <w:tcW w:w="984" w:type="dxa"/>
          </w:tcPr>
          <w:p w14:paraId="5AA2D991" w14:textId="77777777" w:rsidR="00B823F8" w:rsidRPr="00A53AD7" w:rsidRDefault="00B823F8" w:rsidP="00B823F8">
            <w:pPr>
              <w:pStyle w:val="ad"/>
              <w:jc w:val="center"/>
              <w:rPr>
                <w:rFonts w:ascii="Times New Roman" w:hAnsi="Times New Roman"/>
              </w:rPr>
            </w:pPr>
          </w:p>
        </w:tc>
      </w:tr>
    </w:tbl>
    <w:p w14:paraId="64B3D35F" w14:textId="77777777" w:rsidR="00B823F8" w:rsidRPr="00A53AD7" w:rsidRDefault="00B823F8" w:rsidP="00B823F8">
      <w:pPr>
        <w:pStyle w:val="ad"/>
        <w:ind w:firstLine="709"/>
        <w:jc w:val="both"/>
        <w:rPr>
          <w:rFonts w:ascii="Times New Roman" w:hAnsi="Times New Roman"/>
          <w:sz w:val="28"/>
          <w:szCs w:val="28"/>
          <w:highlight w:val="cyan"/>
        </w:rPr>
      </w:pPr>
    </w:p>
    <w:p w14:paraId="61C0D600" w14:textId="4D9A0069" w:rsidR="00B823F8" w:rsidRPr="00A53AD7" w:rsidRDefault="00B823F8" w:rsidP="0050227C">
      <w:pPr>
        <w:pStyle w:val="ad"/>
        <w:ind w:firstLine="851"/>
        <w:jc w:val="both"/>
        <w:rPr>
          <w:rFonts w:ascii="Times New Roman" w:hAnsi="Times New Roman"/>
          <w:sz w:val="28"/>
          <w:szCs w:val="28"/>
        </w:rPr>
      </w:pPr>
      <w:r w:rsidRPr="00A53AD7">
        <w:rPr>
          <w:rFonts w:ascii="Times New Roman" w:hAnsi="Times New Roman"/>
          <w:sz w:val="28"/>
          <w:szCs w:val="28"/>
        </w:rPr>
        <w:t>Главный распорядитель реализации программы министерство транспорта АО, заказчики:</w:t>
      </w:r>
    </w:p>
    <w:p w14:paraId="3DDEACD2" w14:textId="52818424"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ГКУ АО «Дорожное агентство «Архангельскавтодор»,</w:t>
      </w:r>
    </w:p>
    <w:p w14:paraId="2298C091" w14:textId="05F3B98D"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администрации муниципальных образований «Город Архангельск» (2), «Город Котлас» (2), «Город Северодвинск» (1), по 5 объектам.</w:t>
      </w:r>
    </w:p>
    <w:p w14:paraId="59205111" w14:textId="7222116A" w:rsidR="00B823F8" w:rsidRPr="00A53AD7" w:rsidRDefault="00B823F8" w:rsidP="0050227C">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47D2E393"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2C11D40E" w14:textId="77777777" w:rsidTr="00C214B8">
        <w:trPr>
          <w:tblHeader/>
        </w:trPr>
        <w:tc>
          <w:tcPr>
            <w:tcW w:w="3104" w:type="dxa"/>
          </w:tcPr>
          <w:p w14:paraId="0071558C" w14:textId="77777777" w:rsidR="00B823F8" w:rsidRPr="00A53AD7" w:rsidRDefault="00B823F8" w:rsidP="00B823F8">
            <w:pPr>
              <w:pStyle w:val="ad"/>
              <w:jc w:val="both"/>
              <w:rPr>
                <w:rFonts w:ascii="Times New Roman" w:hAnsi="Times New Roman"/>
              </w:rPr>
            </w:pPr>
          </w:p>
        </w:tc>
        <w:tc>
          <w:tcPr>
            <w:tcW w:w="1523" w:type="dxa"/>
          </w:tcPr>
          <w:p w14:paraId="16EB98DB"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6753B77D"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11B3290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21393E25"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1A04E0C4" w14:textId="77777777" w:rsidTr="00EE5F33">
        <w:tc>
          <w:tcPr>
            <w:tcW w:w="3104" w:type="dxa"/>
          </w:tcPr>
          <w:p w14:paraId="4300E2EB"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140E364D" w14:textId="77777777" w:rsidR="00B823F8" w:rsidRPr="00A53AD7" w:rsidRDefault="00B823F8" w:rsidP="00B823F8">
            <w:pPr>
              <w:pStyle w:val="ad"/>
              <w:jc w:val="center"/>
              <w:rPr>
                <w:rFonts w:ascii="Times New Roman" w:hAnsi="Times New Roman"/>
              </w:rPr>
            </w:pPr>
            <w:r w:rsidRPr="00A53AD7">
              <w:rPr>
                <w:rFonts w:ascii="Times New Roman" w:hAnsi="Times New Roman"/>
              </w:rPr>
              <w:t>225,2</w:t>
            </w:r>
          </w:p>
        </w:tc>
        <w:tc>
          <w:tcPr>
            <w:tcW w:w="1560" w:type="dxa"/>
          </w:tcPr>
          <w:p w14:paraId="0045F527" w14:textId="77777777" w:rsidR="00B823F8" w:rsidRPr="00A53AD7" w:rsidRDefault="00B823F8" w:rsidP="00B823F8">
            <w:pPr>
              <w:pStyle w:val="ad"/>
              <w:jc w:val="center"/>
              <w:rPr>
                <w:rFonts w:ascii="Times New Roman" w:hAnsi="Times New Roman"/>
              </w:rPr>
            </w:pPr>
            <w:r w:rsidRPr="00A53AD7">
              <w:rPr>
                <w:rFonts w:ascii="Times New Roman" w:hAnsi="Times New Roman"/>
              </w:rPr>
              <w:t>275,1</w:t>
            </w:r>
          </w:p>
        </w:tc>
        <w:tc>
          <w:tcPr>
            <w:tcW w:w="1559" w:type="dxa"/>
          </w:tcPr>
          <w:p w14:paraId="16DA9018" w14:textId="77777777" w:rsidR="00B823F8" w:rsidRPr="00A53AD7" w:rsidRDefault="00B823F8" w:rsidP="00B823F8">
            <w:pPr>
              <w:pStyle w:val="ad"/>
              <w:jc w:val="center"/>
              <w:rPr>
                <w:rFonts w:ascii="Times New Roman" w:hAnsi="Times New Roman"/>
              </w:rPr>
            </w:pPr>
            <w:r w:rsidRPr="00A53AD7">
              <w:rPr>
                <w:rFonts w:ascii="Times New Roman" w:hAnsi="Times New Roman"/>
              </w:rPr>
              <w:t>285,1</w:t>
            </w:r>
          </w:p>
        </w:tc>
        <w:tc>
          <w:tcPr>
            <w:tcW w:w="1559" w:type="dxa"/>
          </w:tcPr>
          <w:p w14:paraId="59D6A1AA" w14:textId="77777777" w:rsidR="00B823F8" w:rsidRPr="00A53AD7" w:rsidRDefault="00B823F8" w:rsidP="00B823F8">
            <w:pPr>
              <w:pStyle w:val="ad"/>
              <w:jc w:val="center"/>
              <w:rPr>
                <w:rFonts w:ascii="Times New Roman" w:hAnsi="Times New Roman"/>
              </w:rPr>
            </w:pPr>
            <w:r w:rsidRPr="00A53AD7">
              <w:rPr>
                <w:rFonts w:ascii="Times New Roman" w:hAnsi="Times New Roman"/>
              </w:rPr>
              <w:t>290,1</w:t>
            </w:r>
          </w:p>
        </w:tc>
      </w:tr>
      <w:tr w:rsidR="00D470B6" w:rsidRPr="00A53AD7" w14:paraId="781B394F" w14:textId="77777777" w:rsidTr="00EE5F33">
        <w:tc>
          <w:tcPr>
            <w:tcW w:w="3104" w:type="dxa"/>
          </w:tcPr>
          <w:p w14:paraId="482F7B5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609CBFE1" w14:textId="77777777" w:rsidR="00B823F8" w:rsidRPr="00A53AD7" w:rsidRDefault="00B823F8" w:rsidP="00B823F8">
            <w:pPr>
              <w:pStyle w:val="ad"/>
              <w:jc w:val="center"/>
              <w:rPr>
                <w:rFonts w:ascii="Times New Roman" w:hAnsi="Times New Roman"/>
              </w:rPr>
            </w:pPr>
            <w:r w:rsidRPr="00A53AD7">
              <w:rPr>
                <w:rFonts w:ascii="Times New Roman" w:hAnsi="Times New Roman"/>
              </w:rPr>
              <w:t>24,6</w:t>
            </w:r>
          </w:p>
        </w:tc>
        <w:tc>
          <w:tcPr>
            <w:tcW w:w="1560" w:type="dxa"/>
          </w:tcPr>
          <w:p w14:paraId="787A08CE" w14:textId="77777777" w:rsidR="00B823F8" w:rsidRPr="00A53AD7" w:rsidRDefault="00B823F8" w:rsidP="00B823F8">
            <w:pPr>
              <w:pStyle w:val="ad"/>
              <w:jc w:val="center"/>
              <w:rPr>
                <w:rFonts w:ascii="Times New Roman" w:hAnsi="Times New Roman"/>
              </w:rPr>
            </w:pPr>
            <w:r w:rsidRPr="00A53AD7">
              <w:rPr>
                <w:rFonts w:ascii="Times New Roman" w:hAnsi="Times New Roman"/>
              </w:rPr>
              <w:t>87,5</w:t>
            </w:r>
          </w:p>
        </w:tc>
        <w:tc>
          <w:tcPr>
            <w:tcW w:w="1559" w:type="dxa"/>
          </w:tcPr>
          <w:p w14:paraId="7CB0C084" w14:textId="77777777" w:rsidR="00B823F8" w:rsidRPr="00A53AD7" w:rsidRDefault="00B823F8" w:rsidP="00B823F8">
            <w:pPr>
              <w:pStyle w:val="ad"/>
              <w:jc w:val="center"/>
              <w:rPr>
                <w:rFonts w:ascii="Times New Roman" w:hAnsi="Times New Roman"/>
              </w:rPr>
            </w:pPr>
            <w:r w:rsidRPr="00A53AD7">
              <w:rPr>
                <w:rFonts w:ascii="Times New Roman" w:hAnsi="Times New Roman"/>
              </w:rPr>
              <w:t>197,3</w:t>
            </w:r>
          </w:p>
        </w:tc>
        <w:tc>
          <w:tcPr>
            <w:tcW w:w="1559" w:type="dxa"/>
          </w:tcPr>
          <w:p w14:paraId="23D6878F" w14:textId="77777777" w:rsidR="00B823F8" w:rsidRPr="00A53AD7" w:rsidRDefault="00B823F8" w:rsidP="00B823F8">
            <w:pPr>
              <w:pStyle w:val="ad"/>
              <w:jc w:val="center"/>
              <w:rPr>
                <w:rFonts w:ascii="Times New Roman" w:hAnsi="Times New Roman"/>
              </w:rPr>
            </w:pPr>
            <w:r w:rsidRPr="00A53AD7">
              <w:rPr>
                <w:rFonts w:ascii="Times New Roman" w:hAnsi="Times New Roman"/>
              </w:rPr>
              <w:t>266,9</w:t>
            </w:r>
          </w:p>
        </w:tc>
      </w:tr>
      <w:tr w:rsidR="00D470B6" w:rsidRPr="00A53AD7" w14:paraId="2A66B832" w14:textId="77777777" w:rsidTr="00EE5F33">
        <w:tc>
          <w:tcPr>
            <w:tcW w:w="3104" w:type="dxa"/>
          </w:tcPr>
          <w:p w14:paraId="47728D0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10990CC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10,9%</w:t>
            </w:r>
          </w:p>
        </w:tc>
        <w:tc>
          <w:tcPr>
            <w:tcW w:w="1560" w:type="dxa"/>
          </w:tcPr>
          <w:p w14:paraId="5A8CE45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31,8%</w:t>
            </w:r>
          </w:p>
        </w:tc>
        <w:tc>
          <w:tcPr>
            <w:tcW w:w="1559" w:type="dxa"/>
          </w:tcPr>
          <w:p w14:paraId="6A20F5E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69,2%</w:t>
            </w:r>
          </w:p>
        </w:tc>
        <w:tc>
          <w:tcPr>
            <w:tcW w:w="1559" w:type="dxa"/>
          </w:tcPr>
          <w:p w14:paraId="0D87B63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92,0%</w:t>
            </w:r>
          </w:p>
        </w:tc>
      </w:tr>
      <w:tr w:rsidR="00D470B6" w:rsidRPr="00A53AD7" w14:paraId="4956AAA8" w14:textId="77777777" w:rsidTr="00EE5F33">
        <w:tc>
          <w:tcPr>
            <w:tcW w:w="3104" w:type="dxa"/>
          </w:tcPr>
          <w:p w14:paraId="41B529EF" w14:textId="414AE227" w:rsidR="00B823F8" w:rsidRPr="00A53AD7" w:rsidRDefault="00B823F8" w:rsidP="00EE5F33">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22FF7984"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60" w:type="dxa"/>
          </w:tcPr>
          <w:p w14:paraId="2B4CC1A1"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559" w:type="dxa"/>
          </w:tcPr>
          <w:p w14:paraId="1879BBD6"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3B73176E"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r>
      <w:tr w:rsidR="00D470B6" w:rsidRPr="00A53AD7" w14:paraId="123EC7FA" w14:textId="77777777" w:rsidTr="00EE5F33">
        <w:tc>
          <w:tcPr>
            <w:tcW w:w="3104" w:type="dxa"/>
          </w:tcPr>
          <w:p w14:paraId="1CDDC4C0"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02D1CBC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458426FA"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79D824CD"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7408D776"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r>
      <w:tr w:rsidR="00B823F8" w:rsidRPr="00A53AD7" w14:paraId="1D9EA296" w14:textId="77777777" w:rsidTr="00EE5F33">
        <w:tc>
          <w:tcPr>
            <w:tcW w:w="3104" w:type="dxa"/>
          </w:tcPr>
          <w:p w14:paraId="0D8A69E9"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120DC9F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60" w:type="dxa"/>
          </w:tcPr>
          <w:p w14:paraId="3608E22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80,0%</w:t>
            </w:r>
          </w:p>
        </w:tc>
        <w:tc>
          <w:tcPr>
            <w:tcW w:w="1559" w:type="dxa"/>
          </w:tcPr>
          <w:p w14:paraId="0DD9474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66,7%</w:t>
            </w:r>
          </w:p>
        </w:tc>
        <w:tc>
          <w:tcPr>
            <w:tcW w:w="1559" w:type="dxa"/>
          </w:tcPr>
          <w:p w14:paraId="638FC5A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71,4%</w:t>
            </w:r>
          </w:p>
        </w:tc>
      </w:tr>
    </w:tbl>
    <w:p w14:paraId="69D02530" w14:textId="77777777" w:rsidR="00B823F8" w:rsidRPr="00A53AD7" w:rsidRDefault="00B823F8" w:rsidP="00EE5F33">
      <w:pPr>
        <w:pStyle w:val="ad"/>
        <w:ind w:firstLine="851"/>
        <w:jc w:val="both"/>
        <w:rPr>
          <w:rFonts w:ascii="Times New Roman" w:hAnsi="Times New Roman"/>
          <w:sz w:val="28"/>
          <w:szCs w:val="28"/>
        </w:rPr>
      </w:pPr>
    </w:p>
    <w:p w14:paraId="712F9453" w14:textId="77777777" w:rsidR="00B823F8" w:rsidRPr="00A53AD7" w:rsidRDefault="00B823F8" w:rsidP="00EE5F33">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490,1 млн.руб., бюджетной росписи 490,1 млн.руб., отчет 466,9 млн.руб., с учетом показателей бюджетной росписи исполнение составило:</w:t>
      </w:r>
    </w:p>
    <w:p w14:paraId="495A37F3"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6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5"/>
        <w:gridCol w:w="1691"/>
        <w:gridCol w:w="1701"/>
        <w:gridCol w:w="1701"/>
        <w:gridCol w:w="1869"/>
      </w:tblGrid>
      <w:tr w:rsidR="00D470B6" w:rsidRPr="00A53AD7" w14:paraId="33BD5F74" w14:textId="77777777" w:rsidTr="000413C6">
        <w:tc>
          <w:tcPr>
            <w:tcW w:w="2405" w:type="dxa"/>
          </w:tcPr>
          <w:p w14:paraId="2521529A" w14:textId="77777777" w:rsidR="00B823F8" w:rsidRPr="00A53AD7" w:rsidRDefault="00B823F8" w:rsidP="00B823F8">
            <w:pPr>
              <w:pStyle w:val="ad"/>
              <w:jc w:val="both"/>
              <w:rPr>
                <w:rFonts w:ascii="Times New Roman" w:hAnsi="Times New Roman"/>
              </w:rPr>
            </w:pPr>
          </w:p>
        </w:tc>
        <w:tc>
          <w:tcPr>
            <w:tcW w:w="1691" w:type="dxa"/>
          </w:tcPr>
          <w:p w14:paraId="0A6A91F3" w14:textId="77777777" w:rsidR="00B823F8" w:rsidRPr="00A53AD7" w:rsidRDefault="00B823F8" w:rsidP="00C214B8">
            <w:pPr>
              <w:pStyle w:val="ad"/>
              <w:jc w:val="center"/>
              <w:rPr>
                <w:rFonts w:ascii="Times New Roman" w:hAnsi="Times New Roman"/>
              </w:rPr>
            </w:pPr>
            <w:r w:rsidRPr="00A53AD7">
              <w:rPr>
                <w:rFonts w:ascii="Times New Roman" w:hAnsi="Times New Roman"/>
              </w:rPr>
              <w:t>На 01.04.2019</w:t>
            </w:r>
          </w:p>
        </w:tc>
        <w:tc>
          <w:tcPr>
            <w:tcW w:w="1701" w:type="dxa"/>
          </w:tcPr>
          <w:p w14:paraId="356DCD00" w14:textId="77777777" w:rsidR="00B823F8" w:rsidRPr="00A53AD7" w:rsidRDefault="00B823F8" w:rsidP="00C214B8">
            <w:pPr>
              <w:pStyle w:val="ad"/>
              <w:jc w:val="center"/>
              <w:rPr>
                <w:rFonts w:ascii="Times New Roman" w:hAnsi="Times New Roman"/>
              </w:rPr>
            </w:pPr>
            <w:r w:rsidRPr="00A53AD7">
              <w:rPr>
                <w:rFonts w:ascii="Times New Roman" w:hAnsi="Times New Roman"/>
              </w:rPr>
              <w:t>На 01.07.2019</w:t>
            </w:r>
          </w:p>
        </w:tc>
        <w:tc>
          <w:tcPr>
            <w:tcW w:w="1701" w:type="dxa"/>
          </w:tcPr>
          <w:p w14:paraId="505E5BE8" w14:textId="77777777" w:rsidR="00B823F8" w:rsidRPr="00A53AD7" w:rsidRDefault="00B823F8" w:rsidP="00C214B8">
            <w:pPr>
              <w:pStyle w:val="ad"/>
              <w:jc w:val="center"/>
              <w:rPr>
                <w:rFonts w:ascii="Times New Roman" w:hAnsi="Times New Roman"/>
              </w:rPr>
            </w:pPr>
            <w:r w:rsidRPr="00A53AD7">
              <w:rPr>
                <w:rFonts w:ascii="Times New Roman" w:hAnsi="Times New Roman"/>
              </w:rPr>
              <w:t>На 01.10.2019</w:t>
            </w:r>
          </w:p>
        </w:tc>
        <w:tc>
          <w:tcPr>
            <w:tcW w:w="1869" w:type="dxa"/>
          </w:tcPr>
          <w:p w14:paraId="4EF8A421" w14:textId="77777777" w:rsidR="00B823F8" w:rsidRPr="00A53AD7" w:rsidRDefault="00B823F8" w:rsidP="00C214B8">
            <w:pPr>
              <w:pStyle w:val="ad"/>
              <w:jc w:val="center"/>
              <w:rPr>
                <w:rFonts w:ascii="Times New Roman" w:hAnsi="Times New Roman"/>
              </w:rPr>
            </w:pPr>
            <w:r w:rsidRPr="00A53AD7">
              <w:rPr>
                <w:rFonts w:ascii="Times New Roman" w:hAnsi="Times New Roman"/>
              </w:rPr>
              <w:t>На 31.12.2019</w:t>
            </w:r>
          </w:p>
        </w:tc>
      </w:tr>
      <w:tr w:rsidR="00D470B6" w:rsidRPr="00A53AD7" w14:paraId="275ADF9D" w14:textId="77777777" w:rsidTr="000413C6">
        <w:tc>
          <w:tcPr>
            <w:tcW w:w="2405" w:type="dxa"/>
          </w:tcPr>
          <w:p w14:paraId="0303BA57" w14:textId="77777777" w:rsidR="00B823F8" w:rsidRPr="00A53AD7" w:rsidRDefault="00B823F8" w:rsidP="00B823F8">
            <w:pPr>
              <w:pStyle w:val="ad"/>
              <w:jc w:val="both"/>
              <w:rPr>
                <w:rFonts w:ascii="Times New Roman" w:hAnsi="Times New Roman"/>
              </w:rPr>
            </w:pPr>
            <w:r w:rsidRPr="00A53AD7">
              <w:rPr>
                <w:rFonts w:ascii="Times New Roman" w:hAnsi="Times New Roman"/>
                <w:b/>
              </w:rPr>
              <w:t>Минтранспорта</w:t>
            </w:r>
          </w:p>
        </w:tc>
        <w:tc>
          <w:tcPr>
            <w:tcW w:w="1691" w:type="dxa"/>
          </w:tcPr>
          <w:p w14:paraId="41103CE0" w14:textId="77777777" w:rsidR="00B823F8" w:rsidRPr="00A53AD7" w:rsidRDefault="00B823F8" w:rsidP="00B823F8">
            <w:pPr>
              <w:pStyle w:val="ad"/>
              <w:jc w:val="both"/>
              <w:rPr>
                <w:rFonts w:ascii="Times New Roman" w:hAnsi="Times New Roman"/>
              </w:rPr>
            </w:pPr>
          </w:p>
        </w:tc>
        <w:tc>
          <w:tcPr>
            <w:tcW w:w="1701" w:type="dxa"/>
          </w:tcPr>
          <w:p w14:paraId="26FC29BB" w14:textId="77777777" w:rsidR="00B823F8" w:rsidRPr="00A53AD7" w:rsidRDefault="00B823F8" w:rsidP="00B823F8">
            <w:pPr>
              <w:pStyle w:val="ad"/>
              <w:jc w:val="both"/>
              <w:rPr>
                <w:rFonts w:ascii="Times New Roman" w:hAnsi="Times New Roman"/>
              </w:rPr>
            </w:pPr>
          </w:p>
        </w:tc>
        <w:tc>
          <w:tcPr>
            <w:tcW w:w="1701" w:type="dxa"/>
          </w:tcPr>
          <w:p w14:paraId="32D9B8EF" w14:textId="77777777" w:rsidR="00B823F8" w:rsidRPr="00A53AD7" w:rsidRDefault="00B823F8" w:rsidP="00B823F8">
            <w:pPr>
              <w:pStyle w:val="ad"/>
              <w:jc w:val="both"/>
              <w:rPr>
                <w:rFonts w:ascii="Times New Roman" w:hAnsi="Times New Roman"/>
              </w:rPr>
            </w:pPr>
          </w:p>
        </w:tc>
        <w:tc>
          <w:tcPr>
            <w:tcW w:w="1869" w:type="dxa"/>
          </w:tcPr>
          <w:p w14:paraId="65988608" w14:textId="77777777" w:rsidR="00B823F8" w:rsidRPr="00A53AD7" w:rsidRDefault="00B823F8" w:rsidP="00B823F8">
            <w:pPr>
              <w:pStyle w:val="ad"/>
              <w:jc w:val="both"/>
              <w:rPr>
                <w:rFonts w:ascii="Times New Roman" w:hAnsi="Times New Roman"/>
              </w:rPr>
            </w:pPr>
          </w:p>
        </w:tc>
      </w:tr>
      <w:tr w:rsidR="00D470B6" w:rsidRPr="00A53AD7" w14:paraId="0086C0E5" w14:textId="77777777" w:rsidTr="000413C6">
        <w:tc>
          <w:tcPr>
            <w:tcW w:w="2405" w:type="dxa"/>
          </w:tcPr>
          <w:p w14:paraId="6441436E"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691" w:type="dxa"/>
          </w:tcPr>
          <w:p w14:paraId="36C4B20C" w14:textId="77777777" w:rsidR="00B823F8" w:rsidRPr="00A53AD7" w:rsidRDefault="00B823F8" w:rsidP="00B823F8">
            <w:pPr>
              <w:pStyle w:val="ad"/>
              <w:jc w:val="center"/>
              <w:rPr>
                <w:rFonts w:ascii="Times New Roman" w:hAnsi="Times New Roman"/>
              </w:rPr>
            </w:pPr>
            <w:r w:rsidRPr="00A53AD7">
              <w:rPr>
                <w:rFonts w:ascii="Times New Roman" w:hAnsi="Times New Roman"/>
              </w:rPr>
              <w:t>225,2</w:t>
            </w:r>
          </w:p>
        </w:tc>
        <w:tc>
          <w:tcPr>
            <w:tcW w:w="1701" w:type="dxa"/>
          </w:tcPr>
          <w:p w14:paraId="32EF3D18" w14:textId="77777777" w:rsidR="00B823F8" w:rsidRPr="00A53AD7" w:rsidRDefault="00B823F8" w:rsidP="00B823F8">
            <w:pPr>
              <w:pStyle w:val="ad"/>
              <w:jc w:val="center"/>
              <w:rPr>
                <w:rFonts w:ascii="Times New Roman" w:hAnsi="Times New Roman"/>
              </w:rPr>
            </w:pPr>
            <w:r w:rsidRPr="00A53AD7">
              <w:rPr>
                <w:rFonts w:ascii="Times New Roman" w:hAnsi="Times New Roman"/>
              </w:rPr>
              <w:t>475,1</w:t>
            </w:r>
          </w:p>
        </w:tc>
        <w:tc>
          <w:tcPr>
            <w:tcW w:w="1701" w:type="dxa"/>
          </w:tcPr>
          <w:p w14:paraId="1F07872E" w14:textId="77777777" w:rsidR="00B823F8" w:rsidRPr="00A53AD7" w:rsidRDefault="00B823F8" w:rsidP="00B823F8">
            <w:pPr>
              <w:pStyle w:val="ad"/>
              <w:jc w:val="center"/>
              <w:rPr>
                <w:rFonts w:ascii="Times New Roman" w:hAnsi="Times New Roman"/>
              </w:rPr>
            </w:pPr>
            <w:r w:rsidRPr="00A53AD7">
              <w:rPr>
                <w:rFonts w:ascii="Times New Roman" w:hAnsi="Times New Roman"/>
              </w:rPr>
              <w:t>485,1</w:t>
            </w:r>
          </w:p>
        </w:tc>
        <w:tc>
          <w:tcPr>
            <w:tcW w:w="1869" w:type="dxa"/>
          </w:tcPr>
          <w:p w14:paraId="7ED9B1CB" w14:textId="77777777" w:rsidR="00B823F8" w:rsidRPr="00A53AD7" w:rsidRDefault="00B823F8" w:rsidP="00B823F8">
            <w:pPr>
              <w:pStyle w:val="ad"/>
              <w:jc w:val="center"/>
              <w:rPr>
                <w:rFonts w:ascii="Times New Roman" w:hAnsi="Times New Roman"/>
              </w:rPr>
            </w:pPr>
            <w:r w:rsidRPr="00A53AD7">
              <w:rPr>
                <w:rFonts w:ascii="Times New Roman" w:hAnsi="Times New Roman"/>
              </w:rPr>
              <w:t>490,1</w:t>
            </w:r>
          </w:p>
        </w:tc>
      </w:tr>
      <w:tr w:rsidR="00D470B6" w:rsidRPr="00A53AD7" w14:paraId="21194A48" w14:textId="77777777" w:rsidTr="000413C6">
        <w:tc>
          <w:tcPr>
            <w:tcW w:w="2405" w:type="dxa"/>
          </w:tcPr>
          <w:p w14:paraId="4CA2C651"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691" w:type="dxa"/>
          </w:tcPr>
          <w:p w14:paraId="1B9EE2F4" w14:textId="77777777" w:rsidR="00B823F8" w:rsidRPr="00A53AD7" w:rsidRDefault="00B823F8" w:rsidP="00B823F8">
            <w:pPr>
              <w:pStyle w:val="ad"/>
              <w:jc w:val="center"/>
              <w:rPr>
                <w:rFonts w:ascii="Times New Roman" w:hAnsi="Times New Roman"/>
              </w:rPr>
            </w:pPr>
            <w:r w:rsidRPr="00A53AD7">
              <w:rPr>
                <w:rFonts w:ascii="Times New Roman" w:hAnsi="Times New Roman"/>
              </w:rPr>
              <w:t>24,6</w:t>
            </w:r>
          </w:p>
        </w:tc>
        <w:tc>
          <w:tcPr>
            <w:tcW w:w="1701" w:type="dxa"/>
          </w:tcPr>
          <w:p w14:paraId="39755B32" w14:textId="77777777" w:rsidR="00B823F8" w:rsidRPr="00A53AD7" w:rsidRDefault="00B823F8" w:rsidP="00B823F8">
            <w:pPr>
              <w:pStyle w:val="ad"/>
              <w:jc w:val="center"/>
              <w:rPr>
                <w:rFonts w:ascii="Times New Roman" w:hAnsi="Times New Roman"/>
              </w:rPr>
            </w:pPr>
            <w:r w:rsidRPr="00A53AD7">
              <w:rPr>
                <w:rFonts w:ascii="Times New Roman" w:hAnsi="Times New Roman"/>
              </w:rPr>
              <w:t>87,5</w:t>
            </w:r>
          </w:p>
        </w:tc>
        <w:tc>
          <w:tcPr>
            <w:tcW w:w="1701" w:type="dxa"/>
          </w:tcPr>
          <w:p w14:paraId="66385B9D" w14:textId="77777777" w:rsidR="00B823F8" w:rsidRPr="00A53AD7" w:rsidRDefault="00B823F8" w:rsidP="00B823F8">
            <w:pPr>
              <w:pStyle w:val="ad"/>
              <w:jc w:val="center"/>
              <w:rPr>
                <w:rFonts w:ascii="Times New Roman" w:hAnsi="Times New Roman"/>
              </w:rPr>
            </w:pPr>
            <w:r w:rsidRPr="00A53AD7">
              <w:rPr>
                <w:rFonts w:ascii="Times New Roman" w:hAnsi="Times New Roman"/>
              </w:rPr>
              <w:t>197,3</w:t>
            </w:r>
          </w:p>
        </w:tc>
        <w:tc>
          <w:tcPr>
            <w:tcW w:w="1869" w:type="dxa"/>
          </w:tcPr>
          <w:p w14:paraId="1B1F76B2" w14:textId="77777777" w:rsidR="00B823F8" w:rsidRPr="00A53AD7" w:rsidRDefault="00B823F8" w:rsidP="00B823F8">
            <w:pPr>
              <w:pStyle w:val="ad"/>
              <w:jc w:val="center"/>
              <w:rPr>
                <w:rFonts w:ascii="Times New Roman" w:hAnsi="Times New Roman"/>
              </w:rPr>
            </w:pPr>
            <w:r w:rsidRPr="00A53AD7">
              <w:rPr>
                <w:rFonts w:ascii="Times New Roman" w:hAnsi="Times New Roman"/>
              </w:rPr>
              <w:t>466,9</w:t>
            </w:r>
          </w:p>
        </w:tc>
      </w:tr>
      <w:tr w:rsidR="00D470B6" w:rsidRPr="00A53AD7" w14:paraId="459CF2C9" w14:textId="77777777" w:rsidTr="000413C6">
        <w:tc>
          <w:tcPr>
            <w:tcW w:w="2405" w:type="dxa"/>
          </w:tcPr>
          <w:p w14:paraId="624367CC"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691" w:type="dxa"/>
          </w:tcPr>
          <w:p w14:paraId="4EF1ED6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10,9 %</w:t>
            </w:r>
          </w:p>
        </w:tc>
        <w:tc>
          <w:tcPr>
            <w:tcW w:w="1701" w:type="dxa"/>
          </w:tcPr>
          <w:p w14:paraId="322E532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18,4 %</w:t>
            </w:r>
          </w:p>
        </w:tc>
        <w:tc>
          <w:tcPr>
            <w:tcW w:w="1701" w:type="dxa"/>
          </w:tcPr>
          <w:p w14:paraId="3638CFD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40,7 %</w:t>
            </w:r>
          </w:p>
        </w:tc>
        <w:tc>
          <w:tcPr>
            <w:tcW w:w="1869" w:type="dxa"/>
          </w:tcPr>
          <w:p w14:paraId="3C8B432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95,3 %</w:t>
            </w:r>
          </w:p>
        </w:tc>
      </w:tr>
      <w:tr w:rsidR="00D470B6" w:rsidRPr="00A53AD7" w14:paraId="12516B5A" w14:textId="77777777" w:rsidTr="000413C6">
        <w:tc>
          <w:tcPr>
            <w:tcW w:w="2405" w:type="dxa"/>
          </w:tcPr>
          <w:p w14:paraId="311ACFE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691" w:type="dxa"/>
          </w:tcPr>
          <w:p w14:paraId="6CA6A45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701" w:type="dxa"/>
          </w:tcPr>
          <w:p w14:paraId="4FFA714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58,6</w:t>
            </w:r>
          </w:p>
        </w:tc>
        <w:tc>
          <w:tcPr>
            <w:tcW w:w="1701" w:type="dxa"/>
          </w:tcPr>
          <w:p w14:paraId="55D8469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101,0</w:t>
            </w:r>
          </w:p>
        </w:tc>
        <w:tc>
          <w:tcPr>
            <w:tcW w:w="1869" w:type="dxa"/>
          </w:tcPr>
          <w:p w14:paraId="65192FF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324,3</w:t>
            </w:r>
          </w:p>
        </w:tc>
      </w:tr>
      <w:tr w:rsidR="00B823F8" w:rsidRPr="00A53AD7" w14:paraId="070873C1" w14:textId="77777777" w:rsidTr="000413C6">
        <w:tc>
          <w:tcPr>
            <w:tcW w:w="2405" w:type="dxa"/>
          </w:tcPr>
          <w:p w14:paraId="589008A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691" w:type="dxa"/>
          </w:tcPr>
          <w:p w14:paraId="28A8C7E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701" w:type="dxa"/>
          </w:tcPr>
          <w:p w14:paraId="6E09F5E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17,9%</w:t>
            </w:r>
          </w:p>
        </w:tc>
        <w:tc>
          <w:tcPr>
            <w:tcW w:w="1701" w:type="dxa"/>
          </w:tcPr>
          <w:p w14:paraId="0F2CA5D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30,0%</w:t>
            </w:r>
          </w:p>
        </w:tc>
        <w:tc>
          <w:tcPr>
            <w:tcW w:w="1869" w:type="dxa"/>
          </w:tcPr>
          <w:p w14:paraId="3EE2349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94,8%</w:t>
            </w:r>
          </w:p>
        </w:tc>
      </w:tr>
    </w:tbl>
    <w:p w14:paraId="6A4D5FFE" w14:textId="77777777" w:rsidR="00B823F8" w:rsidRPr="00A53AD7" w:rsidRDefault="00B823F8" w:rsidP="000413C6">
      <w:pPr>
        <w:pStyle w:val="ad"/>
        <w:ind w:firstLine="851"/>
        <w:jc w:val="both"/>
        <w:rPr>
          <w:rFonts w:ascii="Times New Roman" w:hAnsi="Times New Roman"/>
          <w:sz w:val="28"/>
          <w:szCs w:val="28"/>
        </w:rPr>
      </w:pPr>
    </w:p>
    <w:p w14:paraId="35688BE9" w14:textId="02F50B8F" w:rsidR="00B823F8" w:rsidRPr="00A53AD7" w:rsidRDefault="00FC5B0D" w:rsidP="000413C6">
      <w:pPr>
        <w:pStyle w:val="ad"/>
        <w:ind w:firstLine="851"/>
        <w:jc w:val="both"/>
        <w:rPr>
          <w:rFonts w:ascii="Times New Roman" w:hAnsi="Times New Roman"/>
          <w:sz w:val="28"/>
          <w:szCs w:val="28"/>
        </w:rPr>
      </w:pPr>
      <w:r w:rsidRPr="00A53AD7">
        <w:rPr>
          <w:rFonts w:ascii="Times New Roman" w:hAnsi="Times New Roman"/>
          <w:sz w:val="28"/>
          <w:szCs w:val="28"/>
        </w:rPr>
        <w:t>5</w:t>
      </w:r>
      <w:r w:rsidR="00B823F8" w:rsidRPr="00A53AD7">
        <w:rPr>
          <w:rFonts w:ascii="Times New Roman" w:hAnsi="Times New Roman"/>
          <w:sz w:val="28"/>
          <w:szCs w:val="28"/>
        </w:rPr>
        <w:t>. ГП АО «Развитие инфраструктуры Соловецкого архипелага» запланированы расходы по приведенному количеству объектов:</w:t>
      </w:r>
    </w:p>
    <w:p w14:paraId="06CC2E0F"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766"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19"/>
        <w:gridCol w:w="1056"/>
        <w:gridCol w:w="1056"/>
        <w:gridCol w:w="1056"/>
        <w:gridCol w:w="1056"/>
        <w:gridCol w:w="1056"/>
        <w:gridCol w:w="1056"/>
        <w:gridCol w:w="1185"/>
        <w:gridCol w:w="1126"/>
      </w:tblGrid>
      <w:tr w:rsidR="00D470B6" w:rsidRPr="00A53AD7" w14:paraId="74BC3CF0" w14:textId="77777777" w:rsidTr="00BF62F7">
        <w:tc>
          <w:tcPr>
            <w:tcW w:w="1119" w:type="dxa"/>
          </w:tcPr>
          <w:p w14:paraId="620FA2B4" w14:textId="77777777" w:rsidR="00B823F8" w:rsidRPr="00A53AD7" w:rsidRDefault="00B823F8" w:rsidP="00C214B8">
            <w:pPr>
              <w:pStyle w:val="ad"/>
              <w:jc w:val="center"/>
              <w:rPr>
                <w:rFonts w:ascii="Times New Roman" w:hAnsi="Times New Roman"/>
              </w:rPr>
            </w:pPr>
            <w:r w:rsidRPr="00A53AD7">
              <w:rPr>
                <w:rFonts w:ascii="Times New Roman" w:hAnsi="Times New Roman"/>
              </w:rPr>
              <w:t>На даты:</w:t>
            </w:r>
          </w:p>
        </w:tc>
        <w:tc>
          <w:tcPr>
            <w:tcW w:w="1056" w:type="dxa"/>
          </w:tcPr>
          <w:p w14:paraId="0CE1C882" w14:textId="77777777" w:rsidR="00B823F8" w:rsidRPr="00A53AD7" w:rsidRDefault="00B823F8" w:rsidP="00C214B8">
            <w:pPr>
              <w:pStyle w:val="ad"/>
              <w:jc w:val="center"/>
              <w:rPr>
                <w:rFonts w:ascii="Times New Roman" w:hAnsi="Times New Roman"/>
              </w:rPr>
            </w:pPr>
            <w:r w:rsidRPr="00A53AD7">
              <w:rPr>
                <w:rFonts w:ascii="Times New Roman" w:hAnsi="Times New Roman"/>
              </w:rPr>
              <w:t>01.01.19</w:t>
            </w:r>
          </w:p>
        </w:tc>
        <w:tc>
          <w:tcPr>
            <w:tcW w:w="1056" w:type="dxa"/>
          </w:tcPr>
          <w:p w14:paraId="4CD5D308" w14:textId="77777777" w:rsidR="00B823F8" w:rsidRPr="00A53AD7" w:rsidRDefault="00B823F8" w:rsidP="00C214B8">
            <w:pPr>
              <w:pStyle w:val="ad"/>
              <w:jc w:val="center"/>
              <w:rPr>
                <w:rFonts w:ascii="Times New Roman" w:hAnsi="Times New Roman"/>
              </w:rPr>
            </w:pPr>
            <w:r w:rsidRPr="00A53AD7">
              <w:rPr>
                <w:rFonts w:ascii="Times New Roman" w:hAnsi="Times New Roman"/>
              </w:rPr>
              <w:t>01.04.19</w:t>
            </w:r>
          </w:p>
        </w:tc>
        <w:tc>
          <w:tcPr>
            <w:tcW w:w="1056" w:type="dxa"/>
          </w:tcPr>
          <w:p w14:paraId="420DAF66" w14:textId="77777777" w:rsidR="00B823F8" w:rsidRPr="00A53AD7" w:rsidRDefault="00B823F8" w:rsidP="00C214B8">
            <w:pPr>
              <w:pStyle w:val="ad"/>
              <w:jc w:val="center"/>
              <w:rPr>
                <w:rFonts w:ascii="Times New Roman" w:hAnsi="Times New Roman"/>
              </w:rPr>
            </w:pPr>
            <w:r w:rsidRPr="00A53AD7">
              <w:rPr>
                <w:rFonts w:ascii="Times New Roman" w:hAnsi="Times New Roman"/>
              </w:rPr>
              <w:t>02.07.19</w:t>
            </w:r>
          </w:p>
        </w:tc>
        <w:tc>
          <w:tcPr>
            <w:tcW w:w="1056" w:type="dxa"/>
          </w:tcPr>
          <w:p w14:paraId="220EBF90" w14:textId="77777777" w:rsidR="00B823F8" w:rsidRPr="00A53AD7" w:rsidRDefault="00B823F8" w:rsidP="00C214B8">
            <w:pPr>
              <w:pStyle w:val="ad"/>
              <w:jc w:val="center"/>
              <w:rPr>
                <w:rFonts w:ascii="Times New Roman" w:hAnsi="Times New Roman"/>
              </w:rPr>
            </w:pPr>
            <w:r w:rsidRPr="00A53AD7">
              <w:rPr>
                <w:rFonts w:ascii="Times New Roman" w:hAnsi="Times New Roman"/>
              </w:rPr>
              <w:t>25.09.19</w:t>
            </w:r>
          </w:p>
        </w:tc>
        <w:tc>
          <w:tcPr>
            <w:tcW w:w="1056" w:type="dxa"/>
          </w:tcPr>
          <w:p w14:paraId="2AD7B32F" w14:textId="77777777" w:rsidR="00B823F8" w:rsidRPr="00A53AD7" w:rsidRDefault="00B823F8" w:rsidP="00C214B8">
            <w:pPr>
              <w:pStyle w:val="ad"/>
              <w:jc w:val="center"/>
              <w:rPr>
                <w:rFonts w:ascii="Times New Roman" w:hAnsi="Times New Roman"/>
              </w:rPr>
            </w:pPr>
            <w:r w:rsidRPr="00A53AD7">
              <w:rPr>
                <w:rFonts w:ascii="Times New Roman" w:hAnsi="Times New Roman"/>
              </w:rPr>
              <w:t>19.11.19</w:t>
            </w:r>
          </w:p>
        </w:tc>
        <w:tc>
          <w:tcPr>
            <w:tcW w:w="1056" w:type="dxa"/>
          </w:tcPr>
          <w:p w14:paraId="3001CA92" w14:textId="77777777" w:rsidR="00B823F8" w:rsidRPr="00A53AD7" w:rsidRDefault="00B823F8" w:rsidP="00C214B8">
            <w:pPr>
              <w:pStyle w:val="ad"/>
              <w:jc w:val="center"/>
              <w:rPr>
                <w:rFonts w:ascii="Times New Roman" w:hAnsi="Times New Roman"/>
              </w:rPr>
            </w:pPr>
            <w:r w:rsidRPr="00A53AD7">
              <w:rPr>
                <w:rFonts w:ascii="Times New Roman" w:hAnsi="Times New Roman"/>
              </w:rPr>
              <w:t>13.12.19</w:t>
            </w:r>
          </w:p>
        </w:tc>
        <w:tc>
          <w:tcPr>
            <w:tcW w:w="1185" w:type="dxa"/>
          </w:tcPr>
          <w:p w14:paraId="4FC51B3B" w14:textId="77777777" w:rsidR="00B823F8" w:rsidRPr="00A53AD7" w:rsidRDefault="00B823F8" w:rsidP="00C214B8">
            <w:pPr>
              <w:pStyle w:val="ad"/>
              <w:jc w:val="center"/>
              <w:rPr>
                <w:rFonts w:ascii="Times New Roman" w:hAnsi="Times New Roman"/>
              </w:rPr>
            </w:pPr>
            <w:r w:rsidRPr="00A53AD7">
              <w:rPr>
                <w:rFonts w:ascii="Times New Roman" w:hAnsi="Times New Roman"/>
              </w:rPr>
              <w:t>Отчет на 31.12.19</w:t>
            </w:r>
          </w:p>
        </w:tc>
        <w:tc>
          <w:tcPr>
            <w:tcW w:w="1126" w:type="dxa"/>
          </w:tcPr>
          <w:p w14:paraId="57B27841" w14:textId="77777777" w:rsidR="00B823F8" w:rsidRPr="00A53AD7" w:rsidRDefault="00B823F8" w:rsidP="00C214B8">
            <w:pPr>
              <w:pStyle w:val="ad"/>
              <w:ind w:left="25" w:hanging="25"/>
              <w:jc w:val="center"/>
              <w:rPr>
                <w:rFonts w:ascii="Times New Roman" w:hAnsi="Times New Roman"/>
              </w:rPr>
            </w:pPr>
            <w:r w:rsidRPr="00A53AD7">
              <w:rPr>
                <w:rFonts w:ascii="Times New Roman" w:hAnsi="Times New Roman"/>
              </w:rPr>
              <w:t>Исполнено в %%</w:t>
            </w:r>
          </w:p>
        </w:tc>
      </w:tr>
      <w:tr w:rsidR="00D470B6" w:rsidRPr="00A53AD7" w14:paraId="7D130E2D" w14:textId="77777777" w:rsidTr="00BF62F7">
        <w:tc>
          <w:tcPr>
            <w:tcW w:w="1119" w:type="dxa"/>
          </w:tcPr>
          <w:p w14:paraId="747AAF88"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xml:space="preserve">Сумма </w:t>
            </w:r>
          </w:p>
        </w:tc>
        <w:tc>
          <w:tcPr>
            <w:tcW w:w="1056" w:type="dxa"/>
          </w:tcPr>
          <w:p w14:paraId="21ACE76C" w14:textId="77777777" w:rsidR="00B823F8" w:rsidRPr="00A53AD7" w:rsidRDefault="00B823F8" w:rsidP="00B823F8">
            <w:pPr>
              <w:pStyle w:val="ad"/>
              <w:jc w:val="center"/>
              <w:rPr>
                <w:rFonts w:ascii="Times New Roman" w:hAnsi="Times New Roman"/>
              </w:rPr>
            </w:pPr>
            <w:r w:rsidRPr="00A53AD7">
              <w:rPr>
                <w:rFonts w:ascii="Times New Roman" w:hAnsi="Times New Roman"/>
              </w:rPr>
              <w:t>467,6</w:t>
            </w:r>
          </w:p>
        </w:tc>
        <w:tc>
          <w:tcPr>
            <w:tcW w:w="1056" w:type="dxa"/>
          </w:tcPr>
          <w:p w14:paraId="0136ED2F" w14:textId="77777777" w:rsidR="00B823F8" w:rsidRPr="00A53AD7" w:rsidRDefault="00B823F8" w:rsidP="00B823F8">
            <w:pPr>
              <w:pStyle w:val="ad"/>
              <w:jc w:val="center"/>
              <w:rPr>
                <w:rFonts w:ascii="Times New Roman" w:hAnsi="Times New Roman"/>
              </w:rPr>
            </w:pPr>
            <w:r w:rsidRPr="00A53AD7">
              <w:rPr>
                <w:rFonts w:ascii="Times New Roman" w:hAnsi="Times New Roman"/>
              </w:rPr>
              <w:t>572,0</w:t>
            </w:r>
          </w:p>
        </w:tc>
        <w:tc>
          <w:tcPr>
            <w:tcW w:w="1056" w:type="dxa"/>
          </w:tcPr>
          <w:p w14:paraId="3335DA79" w14:textId="77777777" w:rsidR="00B823F8" w:rsidRPr="00A53AD7" w:rsidRDefault="00B823F8" w:rsidP="00B823F8">
            <w:pPr>
              <w:pStyle w:val="ad"/>
              <w:jc w:val="center"/>
              <w:rPr>
                <w:rFonts w:ascii="Times New Roman" w:hAnsi="Times New Roman"/>
              </w:rPr>
            </w:pPr>
            <w:r w:rsidRPr="00A53AD7">
              <w:rPr>
                <w:rFonts w:ascii="Times New Roman" w:hAnsi="Times New Roman"/>
              </w:rPr>
              <w:t>832,0</w:t>
            </w:r>
          </w:p>
        </w:tc>
        <w:tc>
          <w:tcPr>
            <w:tcW w:w="1056" w:type="dxa"/>
          </w:tcPr>
          <w:p w14:paraId="340B28DA" w14:textId="77777777" w:rsidR="00B823F8" w:rsidRPr="00A53AD7" w:rsidRDefault="00B823F8" w:rsidP="00B823F8">
            <w:pPr>
              <w:pStyle w:val="ad"/>
              <w:jc w:val="center"/>
              <w:rPr>
                <w:rFonts w:ascii="Times New Roman" w:hAnsi="Times New Roman"/>
              </w:rPr>
            </w:pPr>
            <w:r w:rsidRPr="00A53AD7">
              <w:rPr>
                <w:rFonts w:ascii="Times New Roman" w:hAnsi="Times New Roman"/>
              </w:rPr>
              <w:t>675,7</w:t>
            </w:r>
          </w:p>
        </w:tc>
        <w:tc>
          <w:tcPr>
            <w:tcW w:w="1056" w:type="dxa"/>
          </w:tcPr>
          <w:p w14:paraId="2B2B10D2" w14:textId="77777777" w:rsidR="00B823F8" w:rsidRPr="00A53AD7" w:rsidRDefault="00B823F8" w:rsidP="00B823F8">
            <w:pPr>
              <w:pStyle w:val="ad"/>
              <w:jc w:val="center"/>
              <w:rPr>
                <w:rFonts w:ascii="Times New Roman" w:hAnsi="Times New Roman"/>
              </w:rPr>
            </w:pPr>
            <w:r w:rsidRPr="00A53AD7">
              <w:rPr>
                <w:rFonts w:ascii="Times New Roman" w:hAnsi="Times New Roman"/>
              </w:rPr>
              <w:t>612,2</w:t>
            </w:r>
          </w:p>
        </w:tc>
        <w:tc>
          <w:tcPr>
            <w:tcW w:w="1056" w:type="dxa"/>
          </w:tcPr>
          <w:p w14:paraId="2E310D69" w14:textId="77777777" w:rsidR="00B823F8" w:rsidRPr="00A53AD7" w:rsidRDefault="00B823F8" w:rsidP="00B823F8">
            <w:pPr>
              <w:pStyle w:val="ad"/>
              <w:jc w:val="center"/>
              <w:rPr>
                <w:rFonts w:ascii="Times New Roman" w:hAnsi="Times New Roman"/>
              </w:rPr>
            </w:pPr>
            <w:r w:rsidRPr="00A53AD7">
              <w:rPr>
                <w:rFonts w:ascii="Times New Roman" w:hAnsi="Times New Roman"/>
              </w:rPr>
              <w:t>450,8</w:t>
            </w:r>
          </w:p>
        </w:tc>
        <w:tc>
          <w:tcPr>
            <w:tcW w:w="1185" w:type="dxa"/>
          </w:tcPr>
          <w:p w14:paraId="2ADC516C" w14:textId="77777777" w:rsidR="00B823F8" w:rsidRPr="00A53AD7" w:rsidRDefault="00B823F8" w:rsidP="00B823F8">
            <w:pPr>
              <w:pStyle w:val="ad"/>
              <w:jc w:val="center"/>
              <w:rPr>
                <w:rFonts w:ascii="Times New Roman" w:hAnsi="Times New Roman"/>
              </w:rPr>
            </w:pPr>
            <w:r w:rsidRPr="00A53AD7">
              <w:rPr>
                <w:rFonts w:ascii="Times New Roman" w:hAnsi="Times New Roman"/>
              </w:rPr>
              <w:t>404,5</w:t>
            </w:r>
          </w:p>
        </w:tc>
        <w:tc>
          <w:tcPr>
            <w:tcW w:w="1126" w:type="dxa"/>
          </w:tcPr>
          <w:p w14:paraId="612C5704" w14:textId="77777777" w:rsidR="00B823F8" w:rsidRPr="00A53AD7" w:rsidRDefault="00B823F8" w:rsidP="00B823F8">
            <w:pPr>
              <w:pStyle w:val="ad"/>
              <w:jc w:val="center"/>
              <w:rPr>
                <w:rFonts w:ascii="Times New Roman" w:hAnsi="Times New Roman"/>
              </w:rPr>
            </w:pPr>
            <w:r w:rsidRPr="00A53AD7">
              <w:rPr>
                <w:rFonts w:ascii="Times New Roman" w:hAnsi="Times New Roman"/>
              </w:rPr>
              <w:t>89,7%</w:t>
            </w:r>
          </w:p>
        </w:tc>
      </w:tr>
      <w:tr w:rsidR="00D470B6" w:rsidRPr="00A53AD7" w14:paraId="4973242A" w14:textId="77777777" w:rsidTr="00BF62F7">
        <w:tc>
          <w:tcPr>
            <w:tcW w:w="1119" w:type="dxa"/>
          </w:tcPr>
          <w:p w14:paraId="5F13D513" w14:textId="77777777" w:rsidR="00B823F8" w:rsidRPr="00A53AD7" w:rsidRDefault="00B823F8" w:rsidP="00BF62F7">
            <w:pPr>
              <w:pStyle w:val="ad"/>
              <w:ind w:right="-108" w:hanging="113"/>
              <w:rPr>
                <w:rFonts w:ascii="Times New Roman" w:hAnsi="Times New Roman"/>
              </w:rPr>
            </w:pPr>
            <w:r w:rsidRPr="00A53AD7">
              <w:rPr>
                <w:rFonts w:ascii="Times New Roman" w:hAnsi="Times New Roman"/>
              </w:rPr>
              <w:t>кол-во объектов</w:t>
            </w:r>
          </w:p>
        </w:tc>
        <w:tc>
          <w:tcPr>
            <w:tcW w:w="1056" w:type="dxa"/>
          </w:tcPr>
          <w:p w14:paraId="16E21624" w14:textId="77777777" w:rsidR="00B823F8" w:rsidRPr="00A53AD7" w:rsidRDefault="00B823F8" w:rsidP="00B823F8">
            <w:pPr>
              <w:pStyle w:val="ad"/>
              <w:jc w:val="center"/>
              <w:rPr>
                <w:rFonts w:ascii="Times New Roman" w:hAnsi="Times New Roman"/>
              </w:rPr>
            </w:pPr>
          </w:p>
          <w:p w14:paraId="7A782D8E"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6F788F8D" w14:textId="77777777" w:rsidR="00B823F8" w:rsidRPr="00A53AD7" w:rsidRDefault="00B823F8" w:rsidP="00B823F8">
            <w:pPr>
              <w:pStyle w:val="ad"/>
              <w:jc w:val="center"/>
              <w:rPr>
                <w:rFonts w:ascii="Times New Roman" w:hAnsi="Times New Roman"/>
              </w:rPr>
            </w:pPr>
          </w:p>
          <w:p w14:paraId="7F2814DF"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056" w:type="dxa"/>
          </w:tcPr>
          <w:p w14:paraId="3FB5AA92" w14:textId="77777777" w:rsidR="00B823F8" w:rsidRPr="00A53AD7" w:rsidRDefault="00B823F8" w:rsidP="00B823F8">
            <w:pPr>
              <w:pStyle w:val="ad"/>
              <w:jc w:val="center"/>
              <w:rPr>
                <w:rFonts w:ascii="Times New Roman" w:hAnsi="Times New Roman"/>
              </w:rPr>
            </w:pPr>
          </w:p>
          <w:p w14:paraId="375D6ABF"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056" w:type="dxa"/>
          </w:tcPr>
          <w:p w14:paraId="15D4F4B6" w14:textId="77777777" w:rsidR="00B823F8" w:rsidRPr="00A53AD7" w:rsidRDefault="00B823F8" w:rsidP="00B823F8">
            <w:pPr>
              <w:pStyle w:val="ad"/>
              <w:jc w:val="center"/>
              <w:rPr>
                <w:rFonts w:ascii="Times New Roman" w:hAnsi="Times New Roman"/>
              </w:rPr>
            </w:pPr>
          </w:p>
          <w:p w14:paraId="25BC9CFF"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056" w:type="dxa"/>
          </w:tcPr>
          <w:p w14:paraId="4FDFA2ED" w14:textId="77777777" w:rsidR="00B823F8" w:rsidRPr="00A53AD7" w:rsidRDefault="00B823F8" w:rsidP="00B823F8">
            <w:pPr>
              <w:pStyle w:val="ad"/>
              <w:jc w:val="center"/>
              <w:rPr>
                <w:rFonts w:ascii="Times New Roman" w:hAnsi="Times New Roman"/>
              </w:rPr>
            </w:pPr>
          </w:p>
          <w:p w14:paraId="517A3217"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056" w:type="dxa"/>
          </w:tcPr>
          <w:p w14:paraId="57E08DF2" w14:textId="77777777" w:rsidR="00B823F8" w:rsidRPr="00A53AD7" w:rsidRDefault="00B823F8" w:rsidP="00B823F8">
            <w:pPr>
              <w:pStyle w:val="ad"/>
              <w:jc w:val="center"/>
              <w:rPr>
                <w:rFonts w:ascii="Times New Roman" w:hAnsi="Times New Roman"/>
              </w:rPr>
            </w:pPr>
          </w:p>
          <w:p w14:paraId="5CB264D7"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185" w:type="dxa"/>
          </w:tcPr>
          <w:p w14:paraId="42D36379" w14:textId="77777777" w:rsidR="00B823F8" w:rsidRPr="00A53AD7" w:rsidRDefault="00B823F8" w:rsidP="00B823F8">
            <w:pPr>
              <w:pStyle w:val="ad"/>
              <w:jc w:val="center"/>
              <w:rPr>
                <w:rFonts w:ascii="Times New Roman" w:hAnsi="Times New Roman"/>
              </w:rPr>
            </w:pPr>
          </w:p>
          <w:p w14:paraId="429BEADB"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126" w:type="dxa"/>
          </w:tcPr>
          <w:p w14:paraId="728D9B7D" w14:textId="77777777" w:rsidR="00B823F8" w:rsidRPr="00A53AD7" w:rsidRDefault="00B823F8" w:rsidP="00B823F8">
            <w:pPr>
              <w:pStyle w:val="ad"/>
              <w:ind w:left="-116"/>
              <w:jc w:val="center"/>
              <w:rPr>
                <w:rFonts w:ascii="Times New Roman" w:hAnsi="Times New Roman"/>
              </w:rPr>
            </w:pPr>
          </w:p>
          <w:p w14:paraId="3D92F2A3" w14:textId="77777777" w:rsidR="00B823F8" w:rsidRPr="00A53AD7" w:rsidRDefault="00B823F8" w:rsidP="00B823F8">
            <w:pPr>
              <w:pStyle w:val="ad"/>
              <w:ind w:left="-116"/>
              <w:jc w:val="center"/>
              <w:rPr>
                <w:rFonts w:ascii="Times New Roman" w:hAnsi="Times New Roman"/>
              </w:rPr>
            </w:pPr>
            <w:r w:rsidRPr="00A53AD7">
              <w:rPr>
                <w:rFonts w:ascii="Times New Roman" w:hAnsi="Times New Roman"/>
              </w:rPr>
              <w:t>100,0%</w:t>
            </w:r>
          </w:p>
        </w:tc>
      </w:tr>
      <w:tr w:rsidR="00D470B6" w:rsidRPr="00A53AD7" w14:paraId="2D849543" w14:textId="77777777" w:rsidTr="00BF62F7">
        <w:tc>
          <w:tcPr>
            <w:tcW w:w="1119" w:type="dxa"/>
          </w:tcPr>
          <w:p w14:paraId="613F4E00" w14:textId="77777777" w:rsidR="00B823F8" w:rsidRPr="00A53AD7" w:rsidRDefault="00B823F8" w:rsidP="00BF62F7">
            <w:pPr>
              <w:pStyle w:val="ad"/>
              <w:ind w:hanging="113"/>
              <w:rPr>
                <w:rFonts w:ascii="Times New Roman" w:hAnsi="Times New Roman"/>
              </w:rPr>
            </w:pPr>
            <w:r w:rsidRPr="00A53AD7">
              <w:rPr>
                <w:rFonts w:ascii="Times New Roman" w:hAnsi="Times New Roman"/>
              </w:rPr>
              <w:t>(+, -) сумма</w:t>
            </w:r>
          </w:p>
        </w:tc>
        <w:tc>
          <w:tcPr>
            <w:tcW w:w="1056" w:type="dxa"/>
          </w:tcPr>
          <w:p w14:paraId="54A041AC" w14:textId="77777777" w:rsidR="00B823F8" w:rsidRPr="00A53AD7" w:rsidRDefault="00B823F8" w:rsidP="00B823F8">
            <w:pPr>
              <w:pStyle w:val="ad"/>
              <w:jc w:val="center"/>
              <w:rPr>
                <w:rFonts w:ascii="Times New Roman" w:hAnsi="Times New Roman"/>
              </w:rPr>
            </w:pPr>
          </w:p>
        </w:tc>
        <w:tc>
          <w:tcPr>
            <w:tcW w:w="1056" w:type="dxa"/>
          </w:tcPr>
          <w:p w14:paraId="23043E00" w14:textId="77777777" w:rsidR="00B823F8" w:rsidRPr="00A53AD7" w:rsidRDefault="00B823F8" w:rsidP="00B823F8">
            <w:pPr>
              <w:pStyle w:val="ad"/>
              <w:jc w:val="center"/>
              <w:rPr>
                <w:rFonts w:ascii="Times New Roman" w:hAnsi="Times New Roman"/>
              </w:rPr>
            </w:pPr>
            <w:r w:rsidRPr="00A53AD7">
              <w:rPr>
                <w:rFonts w:ascii="Times New Roman" w:hAnsi="Times New Roman"/>
              </w:rPr>
              <w:t>+104,4</w:t>
            </w:r>
          </w:p>
        </w:tc>
        <w:tc>
          <w:tcPr>
            <w:tcW w:w="1056" w:type="dxa"/>
          </w:tcPr>
          <w:p w14:paraId="74CB49A8" w14:textId="77777777" w:rsidR="00B823F8" w:rsidRPr="00A53AD7" w:rsidRDefault="00B823F8" w:rsidP="00B823F8">
            <w:pPr>
              <w:pStyle w:val="ad"/>
              <w:jc w:val="center"/>
              <w:rPr>
                <w:rFonts w:ascii="Times New Roman" w:hAnsi="Times New Roman"/>
              </w:rPr>
            </w:pPr>
            <w:r w:rsidRPr="00A53AD7">
              <w:rPr>
                <w:rFonts w:ascii="Times New Roman" w:hAnsi="Times New Roman"/>
              </w:rPr>
              <w:t>+260,0</w:t>
            </w:r>
          </w:p>
        </w:tc>
        <w:tc>
          <w:tcPr>
            <w:tcW w:w="1056" w:type="dxa"/>
          </w:tcPr>
          <w:p w14:paraId="35D5B30F" w14:textId="77777777" w:rsidR="00B823F8" w:rsidRPr="00A53AD7" w:rsidRDefault="00B823F8" w:rsidP="00B823F8">
            <w:pPr>
              <w:pStyle w:val="ad"/>
              <w:jc w:val="center"/>
              <w:rPr>
                <w:rFonts w:ascii="Times New Roman" w:hAnsi="Times New Roman"/>
              </w:rPr>
            </w:pPr>
            <w:r w:rsidRPr="00A53AD7">
              <w:rPr>
                <w:rFonts w:ascii="Times New Roman" w:hAnsi="Times New Roman"/>
              </w:rPr>
              <w:t>-156,3</w:t>
            </w:r>
          </w:p>
        </w:tc>
        <w:tc>
          <w:tcPr>
            <w:tcW w:w="1056" w:type="dxa"/>
          </w:tcPr>
          <w:p w14:paraId="62431832" w14:textId="77777777" w:rsidR="00B823F8" w:rsidRPr="00A53AD7" w:rsidRDefault="00B823F8" w:rsidP="00B823F8">
            <w:pPr>
              <w:pStyle w:val="ad"/>
              <w:jc w:val="center"/>
              <w:rPr>
                <w:rFonts w:ascii="Times New Roman" w:hAnsi="Times New Roman"/>
              </w:rPr>
            </w:pPr>
            <w:r w:rsidRPr="00A53AD7">
              <w:rPr>
                <w:rFonts w:ascii="Times New Roman" w:hAnsi="Times New Roman"/>
              </w:rPr>
              <w:t>-63,5</w:t>
            </w:r>
          </w:p>
        </w:tc>
        <w:tc>
          <w:tcPr>
            <w:tcW w:w="1056" w:type="dxa"/>
          </w:tcPr>
          <w:p w14:paraId="43041686" w14:textId="77777777" w:rsidR="00B823F8" w:rsidRPr="00A53AD7" w:rsidRDefault="00B823F8" w:rsidP="00B823F8">
            <w:pPr>
              <w:pStyle w:val="ad"/>
              <w:jc w:val="center"/>
              <w:rPr>
                <w:rFonts w:ascii="Times New Roman" w:hAnsi="Times New Roman"/>
              </w:rPr>
            </w:pPr>
            <w:r w:rsidRPr="00A53AD7">
              <w:rPr>
                <w:rFonts w:ascii="Times New Roman" w:hAnsi="Times New Roman"/>
              </w:rPr>
              <w:t>-161,4</w:t>
            </w:r>
          </w:p>
        </w:tc>
        <w:tc>
          <w:tcPr>
            <w:tcW w:w="1185" w:type="dxa"/>
          </w:tcPr>
          <w:p w14:paraId="0EE0DCC9" w14:textId="77777777" w:rsidR="00B823F8" w:rsidRPr="00A53AD7" w:rsidRDefault="00B823F8" w:rsidP="00B823F8">
            <w:pPr>
              <w:pStyle w:val="ad"/>
              <w:jc w:val="center"/>
              <w:rPr>
                <w:rFonts w:ascii="Times New Roman" w:hAnsi="Times New Roman"/>
              </w:rPr>
            </w:pPr>
          </w:p>
        </w:tc>
        <w:tc>
          <w:tcPr>
            <w:tcW w:w="1126" w:type="dxa"/>
          </w:tcPr>
          <w:p w14:paraId="6382D725" w14:textId="77777777" w:rsidR="00B823F8" w:rsidRPr="00A53AD7" w:rsidRDefault="00B823F8" w:rsidP="00B823F8">
            <w:pPr>
              <w:pStyle w:val="ad"/>
              <w:jc w:val="center"/>
              <w:rPr>
                <w:rFonts w:ascii="Times New Roman" w:hAnsi="Times New Roman"/>
              </w:rPr>
            </w:pPr>
          </w:p>
        </w:tc>
      </w:tr>
      <w:tr w:rsidR="00B823F8" w:rsidRPr="00A53AD7" w14:paraId="1FA87D67" w14:textId="77777777" w:rsidTr="00BF62F7">
        <w:tc>
          <w:tcPr>
            <w:tcW w:w="1119" w:type="dxa"/>
          </w:tcPr>
          <w:p w14:paraId="525EF79E" w14:textId="77777777" w:rsidR="00B823F8" w:rsidRPr="00A53AD7" w:rsidRDefault="00B823F8" w:rsidP="00BF62F7">
            <w:pPr>
              <w:pStyle w:val="ad"/>
              <w:ind w:hanging="113"/>
              <w:rPr>
                <w:rFonts w:ascii="Times New Roman" w:hAnsi="Times New Roman"/>
              </w:rPr>
            </w:pPr>
            <w:r w:rsidRPr="00A53AD7">
              <w:rPr>
                <w:rFonts w:ascii="Times New Roman" w:hAnsi="Times New Roman"/>
              </w:rPr>
              <w:t>(+,-)объекты</w:t>
            </w:r>
          </w:p>
        </w:tc>
        <w:tc>
          <w:tcPr>
            <w:tcW w:w="1056" w:type="dxa"/>
          </w:tcPr>
          <w:p w14:paraId="204E3ECB" w14:textId="77777777" w:rsidR="00B823F8" w:rsidRPr="00A53AD7" w:rsidRDefault="00B823F8" w:rsidP="00B823F8">
            <w:pPr>
              <w:pStyle w:val="ad"/>
              <w:jc w:val="center"/>
              <w:rPr>
                <w:rFonts w:ascii="Times New Roman" w:hAnsi="Times New Roman"/>
              </w:rPr>
            </w:pPr>
          </w:p>
        </w:tc>
        <w:tc>
          <w:tcPr>
            <w:tcW w:w="1056" w:type="dxa"/>
          </w:tcPr>
          <w:p w14:paraId="74CBB5C7"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460990CC" w14:textId="77777777" w:rsidR="00B823F8" w:rsidRPr="00A53AD7" w:rsidRDefault="00B823F8" w:rsidP="00B823F8">
            <w:pPr>
              <w:pStyle w:val="ad"/>
              <w:jc w:val="center"/>
              <w:rPr>
                <w:rFonts w:ascii="Times New Roman" w:hAnsi="Times New Roman"/>
              </w:rPr>
            </w:pPr>
          </w:p>
        </w:tc>
        <w:tc>
          <w:tcPr>
            <w:tcW w:w="1056" w:type="dxa"/>
          </w:tcPr>
          <w:p w14:paraId="7804C589" w14:textId="77777777" w:rsidR="00B823F8" w:rsidRPr="00A53AD7" w:rsidRDefault="00B823F8" w:rsidP="00B823F8">
            <w:pPr>
              <w:pStyle w:val="ad"/>
              <w:jc w:val="center"/>
              <w:rPr>
                <w:rFonts w:ascii="Times New Roman" w:hAnsi="Times New Roman"/>
              </w:rPr>
            </w:pPr>
          </w:p>
        </w:tc>
        <w:tc>
          <w:tcPr>
            <w:tcW w:w="1056" w:type="dxa"/>
          </w:tcPr>
          <w:p w14:paraId="6A1B1A65"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2CD077D3" w14:textId="77777777" w:rsidR="00B823F8" w:rsidRPr="00A53AD7" w:rsidRDefault="00B823F8" w:rsidP="00B823F8">
            <w:pPr>
              <w:pStyle w:val="ad"/>
              <w:jc w:val="center"/>
              <w:rPr>
                <w:rFonts w:ascii="Times New Roman" w:hAnsi="Times New Roman"/>
              </w:rPr>
            </w:pPr>
          </w:p>
        </w:tc>
        <w:tc>
          <w:tcPr>
            <w:tcW w:w="1185" w:type="dxa"/>
          </w:tcPr>
          <w:p w14:paraId="5491990A" w14:textId="77777777" w:rsidR="00B823F8" w:rsidRPr="00A53AD7" w:rsidRDefault="00B823F8" w:rsidP="00B823F8">
            <w:pPr>
              <w:pStyle w:val="ad"/>
              <w:jc w:val="center"/>
              <w:rPr>
                <w:rFonts w:ascii="Times New Roman" w:hAnsi="Times New Roman"/>
              </w:rPr>
            </w:pPr>
          </w:p>
        </w:tc>
        <w:tc>
          <w:tcPr>
            <w:tcW w:w="1126" w:type="dxa"/>
          </w:tcPr>
          <w:p w14:paraId="70A90818" w14:textId="77777777" w:rsidR="00B823F8" w:rsidRPr="00A53AD7" w:rsidRDefault="00B823F8" w:rsidP="00B823F8">
            <w:pPr>
              <w:pStyle w:val="ad"/>
              <w:jc w:val="center"/>
              <w:rPr>
                <w:rFonts w:ascii="Times New Roman" w:hAnsi="Times New Roman"/>
              </w:rPr>
            </w:pPr>
          </w:p>
        </w:tc>
      </w:tr>
    </w:tbl>
    <w:p w14:paraId="1DDF957D" w14:textId="77777777" w:rsidR="00B823F8" w:rsidRPr="00A53AD7" w:rsidRDefault="00B823F8" w:rsidP="00B823F8">
      <w:pPr>
        <w:pStyle w:val="ad"/>
        <w:ind w:firstLine="709"/>
        <w:jc w:val="both"/>
        <w:rPr>
          <w:rFonts w:ascii="Times New Roman" w:hAnsi="Times New Roman"/>
          <w:sz w:val="28"/>
          <w:szCs w:val="28"/>
        </w:rPr>
      </w:pPr>
    </w:p>
    <w:p w14:paraId="25769150" w14:textId="77777777" w:rsidR="00B823F8" w:rsidRPr="00A53AD7" w:rsidRDefault="00B823F8" w:rsidP="00BF62F7">
      <w:pPr>
        <w:pStyle w:val="ad"/>
        <w:ind w:firstLine="851"/>
        <w:jc w:val="both"/>
        <w:rPr>
          <w:rFonts w:ascii="Times New Roman" w:hAnsi="Times New Roman"/>
          <w:sz w:val="28"/>
          <w:szCs w:val="28"/>
        </w:rPr>
      </w:pPr>
      <w:r w:rsidRPr="00A53AD7">
        <w:rPr>
          <w:rFonts w:ascii="Times New Roman" w:hAnsi="Times New Roman"/>
          <w:sz w:val="28"/>
          <w:szCs w:val="28"/>
        </w:rPr>
        <w:t>Главные распорядители реализации программы:</w:t>
      </w:r>
    </w:p>
    <w:p w14:paraId="50B166AE" w14:textId="6654A5E4"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w:t>
      </w:r>
      <w:r w:rsidR="00BF62F7" w:rsidRPr="00A53AD7">
        <w:rPr>
          <w:rFonts w:ascii="Times New Roman" w:hAnsi="Times New Roman"/>
          <w:sz w:val="28"/>
          <w:szCs w:val="28"/>
        </w:rPr>
        <w:t xml:space="preserve"> строительства и архитектуры АО;</w:t>
      </w:r>
    </w:p>
    <w:p w14:paraId="40BCF907" w14:textId="2C1E986C" w:rsidR="00B823F8" w:rsidRPr="00A53AD7" w:rsidRDefault="00BF62F7"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а</w:t>
      </w:r>
      <w:r w:rsidR="00B823F8" w:rsidRPr="00A53AD7">
        <w:rPr>
          <w:rFonts w:ascii="Times New Roman" w:hAnsi="Times New Roman"/>
          <w:sz w:val="28"/>
          <w:szCs w:val="28"/>
        </w:rPr>
        <w:t>гентство по развитию Соловецкого архипелага.</w:t>
      </w:r>
    </w:p>
    <w:p w14:paraId="2CAA56E3" w14:textId="32E8DCCD" w:rsidR="00B823F8" w:rsidRPr="00A53AD7" w:rsidRDefault="00B823F8" w:rsidP="00BF62F7">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1DD41809"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4FB6CCF3" w14:textId="77777777" w:rsidTr="00477648">
        <w:tc>
          <w:tcPr>
            <w:tcW w:w="3104" w:type="dxa"/>
          </w:tcPr>
          <w:p w14:paraId="6CAAD560" w14:textId="77777777" w:rsidR="00B823F8" w:rsidRPr="00A53AD7" w:rsidRDefault="00B823F8" w:rsidP="00B823F8">
            <w:pPr>
              <w:pStyle w:val="ad"/>
              <w:jc w:val="both"/>
              <w:rPr>
                <w:rFonts w:ascii="Times New Roman" w:hAnsi="Times New Roman"/>
              </w:rPr>
            </w:pPr>
          </w:p>
        </w:tc>
        <w:tc>
          <w:tcPr>
            <w:tcW w:w="1523" w:type="dxa"/>
          </w:tcPr>
          <w:p w14:paraId="70C8C858"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61BADD9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58D2D86B"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2BC56B6C"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3BC66A30" w14:textId="77777777" w:rsidTr="00477648">
        <w:tc>
          <w:tcPr>
            <w:tcW w:w="3104" w:type="dxa"/>
          </w:tcPr>
          <w:p w14:paraId="32E16164"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0B620E60" w14:textId="77777777" w:rsidR="00B823F8" w:rsidRPr="00A53AD7" w:rsidRDefault="00B823F8" w:rsidP="00B823F8">
            <w:pPr>
              <w:pStyle w:val="ad"/>
              <w:jc w:val="center"/>
              <w:rPr>
                <w:rFonts w:ascii="Times New Roman" w:hAnsi="Times New Roman"/>
              </w:rPr>
            </w:pPr>
            <w:r w:rsidRPr="00A53AD7">
              <w:rPr>
                <w:rFonts w:ascii="Times New Roman" w:hAnsi="Times New Roman"/>
              </w:rPr>
              <w:t>497,1</w:t>
            </w:r>
          </w:p>
        </w:tc>
        <w:tc>
          <w:tcPr>
            <w:tcW w:w="1560" w:type="dxa"/>
          </w:tcPr>
          <w:p w14:paraId="4BCE3292" w14:textId="77777777" w:rsidR="00B823F8" w:rsidRPr="00A53AD7" w:rsidRDefault="00B823F8" w:rsidP="00B823F8">
            <w:pPr>
              <w:pStyle w:val="ad"/>
              <w:jc w:val="center"/>
              <w:rPr>
                <w:rFonts w:ascii="Times New Roman" w:hAnsi="Times New Roman"/>
              </w:rPr>
            </w:pPr>
            <w:r w:rsidRPr="00A53AD7">
              <w:rPr>
                <w:rFonts w:ascii="Times New Roman" w:hAnsi="Times New Roman"/>
              </w:rPr>
              <w:t>569,9</w:t>
            </w:r>
          </w:p>
        </w:tc>
        <w:tc>
          <w:tcPr>
            <w:tcW w:w="1559" w:type="dxa"/>
          </w:tcPr>
          <w:p w14:paraId="4076DFA2" w14:textId="77777777" w:rsidR="00B823F8" w:rsidRPr="00A53AD7" w:rsidRDefault="00B823F8" w:rsidP="00B823F8">
            <w:pPr>
              <w:pStyle w:val="ad"/>
              <w:jc w:val="center"/>
              <w:rPr>
                <w:rFonts w:ascii="Times New Roman" w:hAnsi="Times New Roman"/>
              </w:rPr>
            </w:pPr>
            <w:r w:rsidRPr="00A53AD7">
              <w:rPr>
                <w:rFonts w:ascii="Times New Roman" w:hAnsi="Times New Roman"/>
              </w:rPr>
              <w:t>675,7</w:t>
            </w:r>
          </w:p>
        </w:tc>
        <w:tc>
          <w:tcPr>
            <w:tcW w:w="1559" w:type="dxa"/>
          </w:tcPr>
          <w:p w14:paraId="2B6E2677" w14:textId="77777777" w:rsidR="00B823F8" w:rsidRPr="00A53AD7" w:rsidRDefault="00B823F8" w:rsidP="00B823F8">
            <w:pPr>
              <w:pStyle w:val="ad"/>
              <w:jc w:val="center"/>
              <w:rPr>
                <w:rFonts w:ascii="Times New Roman" w:hAnsi="Times New Roman"/>
              </w:rPr>
            </w:pPr>
            <w:r w:rsidRPr="00A53AD7">
              <w:rPr>
                <w:rFonts w:ascii="Times New Roman" w:hAnsi="Times New Roman"/>
              </w:rPr>
              <w:t>442,2</w:t>
            </w:r>
          </w:p>
        </w:tc>
      </w:tr>
      <w:tr w:rsidR="00D470B6" w:rsidRPr="00A53AD7" w14:paraId="71C0B814" w14:textId="77777777" w:rsidTr="00477648">
        <w:tc>
          <w:tcPr>
            <w:tcW w:w="3104" w:type="dxa"/>
          </w:tcPr>
          <w:p w14:paraId="45E48DCD"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6C20CD8F" w14:textId="77777777" w:rsidR="00B823F8" w:rsidRPr="00A53AD7" w:rsidRDefault="00B823F8" w:rsidP="00B823F8">
            <w:pPr>
              <w:pStyle w:val="ad"/>
              <w:jc w:val="center"/>
              <w:rPr>
                <w:rFonts w:ascii="Times New Roman" w:hAnsi="Times New Roman"/>
              </w:rPr>
            </w:pPr>
            <w:r w:rsidRPr="00A53AD7">
              <w:rPr>
                <w:rFonts w:ascii="Times New Roman" w:hAnsi="Times New Roman"/>
              </w:rPr>
              <w:t>53,1</w:t>
            </w:r>
          </w:p>
        </w:tc>
        <w:tc>
          <w:tcPr>
            <w:tcW w:w="1560" w:type="dxa"/>
          </w:tcPr>
          <w:p w14:paraId="417AC9DB" w14:textId="77777777" w:rsidR="00B823F8" w:rsidRPr="00A53AD7" w:rsidRDefault="00B823F8" w:rsidP="00B823F8">
            <w:pPr>
              <w:pStyle w:val="ad"/>
              <w:jc w:val="center"/>
              <w:rPr>
                <w:rFonts w:ascii="Times New Roman" w:hAnsi="Times New Roman"/>
              </w:rPr>
            </w:pPr>
            <w:r w:rsidRPr="00A53AD7">
              <w:rPr>
                <w:rFonts w:ascii="Times New Roman" w:hAnsi="Times New Roman"/>
              </w:rPr>
              <w:t>56,7</w:t>
            </w:r>
          </w:p>
        </w:tc>
        <w:tc>
          <w:tcPr>
            <w:tcW w:w="1559" w:type="dxa"/>
          </w:tcPr>
          <w:p w14:paraId="1E9EA769" w14:textId="77777777" w:rsidR="00B823F8" w:rsidRPr="00A53AD7" w:rsidRDefault="00B823F8" w:rsidP="00B823F8">
            <w:pPr>
              <w:pStyle w:val="ad"/>
              <w:jc w:val="center"/>
              <w:rPr>
                <w:rFonts w:ascii="Times New Roman" w:hAnsi="Times New Roman"/>
              </w:rPr>
            </w:pPr>
            <w:r w:rsidRPr="00A53AD7">
              <w:rPr>
                <w:rFonts w:ascii="Times New Roman" w:hAnsi="Times New Roman"/>
              </w:rPr>
              <w:t>129,3</w:t>
            </w:r>
          </w:p>
        </w:tc>
        <w:tc>
          <w:tcPr>
            <w:tcW w:w="1559" w:type="dxa"/>
          </w:tcPr>
          <w:p w14:paraId="47891A3F" w14:textId="77777777" w:rsidR="00B823F8" w:rsidRPr="00A53AD7" w:rsidRDefault="00B823F8" w:rsidP="00B823F8">
            <w:pPr>
              <w:pStyle w:val="ad"/>
              <w:jc w:val="center"/>
              <w:rPr>
                <w:rFonts w:ascii="Times New Roman" w:hAnsi="Times New Roman"/>
              </w:rPr>
            </w:pPr>
            <w:r w:rsidRPr="00A53AD7">
              <w:rPr>
                <w:rFonts w:ascii="Times New Roman" w:hAnsi="Times New Roman"/>
              </w:rPr>
              <w:t>404,5</w:t>
            </w:r>
          </w:p>
        </w:tc>
      </w:tr>
      <w:tr w:rsidR="00D470B6" w:rsidRPr="00A53AD7" w14:paraId="56980CD5" w14:textId="77777777" w:rsidTr="00477648">
        <w:tc>
          <w:tcPr>
            <w:tcW w:w="3104" w:type="dxa"/>
          </w:tcPr>
          <w:p w14:paraId="0962C54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2D3667B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10,7%</w:t>
            </w:r>
          </w:p>
        </w:tc>
        <w:tc>
          <w:tcPr>
            <w:tcW w:w="1560" w:type="dxa"/>
          </w:tcPr>
          <w:p w14:paraId="1B34CEA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w:t>
            </w:r>
          </w:p>
        </w:tc>
        <w:tc>
          <w:tcPr>
            <w:tcW w:w="1559" w:type="dxa"/>
          </w:tcPr>
          <w:p w14:paraId="53E90FA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19,1%</w:t>
            </w:r>
          </w:p>
        </w:tc>
        <w:tc>
          <w:tcPr>
            <w:tcW w:w="1559" w:type="dxa"/>
          </w:tcPr>
          <w:p w14:paraId="2F0B110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91,5%</w:t>
            </w:r>
          </w:p>
        </w:tc>
      </w:tr>
      <w:tr w:rsidR="00D470B6" w:rsidRPr="00A53AD7" w14:paraId="19FE8109" w14:textId="77777777" w:rsidTr="00477648">
        <w:tc>
          <w:tcPr>
            <w:tcW w:w="3104" w:type="dxa"/>
          </w:tcPr>
          <w:p w14:paraId="22312D6F" w14:textId="2A6B73AC" w:rsidR="00B823F8" w:rsidRPr="00A53AD7" w:rsidRDefault="00B823F8" w:rsidP="000474C0">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0B8B6606"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60" w:type="dxa"/>
          </w:tcPr>
          <w:p w14:paraId="0A371691"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2DF0DFA2"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413499D6"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r>
      <w:tr w:rsidR="00D470B6" w:rsidRPr="00A53AD7" w14:paraId="6A0C27B9" w14:textId="77777777" w:rsidTr="00477648">
        <w:tc>
          <w:tcPr>
            <w:tcW w:w="3104" w:type="dxa"/>
          </w:tcPr>
          <w:p w14:paraId="53A8E506"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1166FE36"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60" w:type="dxa"/>
          </w:tcPr>
          <w:p w14:paraId="373307BA"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3BBC478F"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4111FC63"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r>
      <w:tr w:rsidR="00B823F8" w:rsidRPr="00A53AD7" w14:paraId="5B35662B" w14:textId="77777777" w:rsidTr="00477648">
        <w:tc>
          <w:tcPr>
            <w:tcW w:w="3104" w:type="dxa"/>
          </w:tcPr>
          <w:p w14:paraId="6F5CC22A"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5491BCE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75,0%</w:t>
            </w:r>
          </w:p>
        </w:tc>
        <w:tc>
          <w:tcPr>
            <w:tcW w:w="1560" w:type="dxa"/>
          </w:tcPr>
          <w:p w14:paraId="7609605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50,0%</w:t>
            </w:r>
          </w:p>
        </w:tc>
        <w:tc>
          <w:tcPr>
            <w:tcW w:w="1559" w:type="dxa"/>
          </w:tcPr>
          <w:p w14:paraId="60C26CD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66,7%</w:t>
            </w:r>
          </w:p>
        </w:tc>
        <w:tc>
          <w:tcPr>
            <w:tcW w:w="1559" w:type="dxa"/>
          </w:tcPr>
          <w:p w14:paraId="1DD6F9A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83,3%</w:t>
            </w:r>
          </w:p>
        </w:tc>
      </w:tr>
    </w:tbl>
    <w:p w14:paraId="2A9D7749" w14:textId="77777777" w:rsidR="00B823F8" w:rsidRPr="00A53AD7" w:rsidRDefault="00B823F8" w:rsidP="00B823F8">
      <w:pPr>
        <w:pStyle w:val="ad"/>
        <w:jc w:val="both"/>
        <w:rPr>
          <w:rFonts w:ascii="Times New Roman" w:hAnsi="Times New Roman"/>
          <w:sz w:val="28"/>
          <w:szCs w:val="28"/>
          <w:highlight w:val="cyan"/>
        </w:rPr>
      </w:pPr>
    </w:p>
    <w:p w14:paraId="75F5E210" w14:textId="77777777" w:rsidR="00B823F8" w:rsidRPr="00A53AD7" w:rsidRDefault="00B823F8" w:rsidP="000474C0">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главному распорядителю министерству строительства и архитектуры согласно закону о бюджете в объеме 1 724,3 млн.руб., согласно показателям бюджетной росписи 1 828,4 млн.руб., согласно отчету об исполнении бюджета расходы исполнены на 1 504,5 млн.руб.</w:t>
      </w:r>
    </w:p>
    <w:p w14:paraId="74EE8901"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209"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972"/>
        <w:gridCol w:w="1559"/>
        <w:gridCol w:w="1560"/>
        <w:gridCol w:w="1559"/>
        <w:gridCol w:w="1559"/>
      </w:tblGrid>
      <w:tr w:rsidR="00D470B6" w:rsidRPr="00A53AD7" w14:paraId="49B3A0F5" w14:textId="77777777" w:rsidTr="00A102AC">
        <w:tc>
          <w:tcPr>
            <w:tcW w:w="2972" w:type="dxa"/>
          </w:tcPr>
          <w:p w14:paraId="019A86D8" w14:textId="77777777" w:rsidR="00B823F8" w:rsidRPr="00A53AD7" w:rsidRDefault="00B823F8" w:rsidP="00B823F8">
            <w:pPr>
              <w:pStyle w:val="ad"/>
              <w:jc w:val="both"/>
              <w:rPr>
                <w:rFonts w:ascii="Times New Roman" w:hAnsi="Times New Roman"/>
              </w:rPr>
            </w:pPr>
          </w:p>
        </w:tc>
        <w:tc>
          <w:tcPr>
            <w:tcW w:w="1559" w:type="dxa"/>
          </w:tcPr>
          <w:p w14:paraId="2033BDD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7C06FC3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3306627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16FB81EA"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296D4C5A" w14:textId="77777777" w:rsidTr="00A102AC">
        <w:tc>
          <w:tcPr>
            <w:tcW w:w="2972" w:type="dxa"/>
          </w:tcPr>
          <w:p w14:paraId="0B32C4A1"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59" w:type="dxa"/>
          </w:tcPr>
          <w:p w14:paraId="35ADFE00" w14:textId="77777777" w:rsidR="00B823F8" w:rsidRPr="00A53AD7" w:rsidRDefault="00B823F8" w:rsidP="00B823F8">
            <w:pPr>
              <w:pStyle w:val="ad"/>
              <w:jc w:val="center"/>
              <w:rPr>
                <w:rFonts w:ascii="Times New Roman" w:hAnsi="Times New Roman"/>
              </w:rPr>
            </w:pPr>
            <w:r w:rsidRPr="00A53AD7">
              <w:rPr>
                <w:rFonts w:ascii="Times New Roman" w:hAnsi="Times New Roman"/>
              </w:rPr>
              <w:t>1 883,3</w:t>
            </w:r>
          </w:p>
        </w:tc>
        <w:tc>
          <w:tcPr>
            <w:tcW w:w="1560" w:type="dxa"/>
          </w:tcPr>
          <w:p w14:paraId="6EF6119A" w14:textId="77777777" w:rsidR="00B823F8" w:rsidRPr="00A53AD7" w:rsidRDefault="00B823F8" w:rsidP="00B823F8">
            <w:pPr>
              <w:pStyle w:val="ad"/>
              <w:jc w:val="center"/>
              <w:rPr>
                <w:rFonts w:ascii="Times New Roman" w:hAnsi="Times New Roman"/>
              </w:rPr>
            </w:pPr>
            <w:r w:rsidRPr="00A53AD7">
              <w:rPr>
                <w:rFonts w:ascii="Times New Roman" w:hAnsi="Times New Roman"/>
              </w:rPr>
              <w:t>1 956,1</w:t>
            </w:r>
          </w:p>
        </w:tc>
        <w:tc>
          <w:tcPr>
            <w:tcW w:w="1559" w:type="dxa"/>
          </w:tcPr>
          <w:p w14:paraId="710E2559" w14:textId="77777777" w:rsidR="00B823F8" w:rsidRPr="00A53AD7" w:rsidRDefault="00B823F8" w:rsidP="00B823F8">
            <w:pPr>
              <w:pStyle w:val="ad"/>
              <w:jc w:val="center"/>
              <w:rPr>
                <w:rFonts w:ascii="Times New Roman" w:hAnsi="Times New Roman"/>
              </w:rPr>
            </w:pPr>
            <w:r w:rsidRPr="00A53AD7">
              <w:rPr>
                <w:rFonts w:ascii="Times New Roman" w:hAnsi="Times New Roman"/>
              </w:rPr>
              <w:t>2 061,9</w:t>
            </w:r>
          </w:p>
        </w:tc>
        <w:tc>
          <w:tcPr>
            <w:tcW w:w="1559" w:type="dxa"/>
          </w:tcPr>
          <w:p w14:paraId="46BBB075" w14:textId="77777777" w:rsidR="00B823F8" w:rsidRPr="00A53AD7" w:rsidRDefault="00B823F8" w:rsidP="00B823F8">
            <w:pPr>
              <w:pStyle w:val="ad"/>
              <w:jc w:val="center"/>
              <w:rPr>
                <w:rFonts w:ascii="Times New Roman" w:hAnsi="Times New Roman"/>
              </w:rPr>
            </w:pPr>
            <w:r w:rsidRPr="00A53AD7">
              <w:rPr>
                <w:rFonts w:ascii="Times New Roman" w:hAnsi="Times New Roman"/>
              </w:rPr>
              <w:t>1 828,4</w:t>
            </w:r>
          </w:p>
        </w:tc>
      </w:tr>
      <w:tr w:rsidR="00D470B6" w:rsidRPr="00A53AD7" w14:paraId="7BA3867B" w14:textId="77777777" w:rsidTr="00A102AC">
        <w:tc>
          <w:tcPr>
            <w:tcW w:w="2972" w:type="dxa"/>
          </w:tcPr>
          <w:p w14:paraId="6116D5FC"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59" w:type="dxa"/>
          </w:tcPr>
          <w:p w14:paraId="441C14B7" w14:textId="77777777" w:rsidR="00B823F8" w:rsidRPr="00A53AD7" w:rsidRDefault="00B823F8" w:rsidP="00B823F8">
            <w:pPr>
              <w:pStyle w:val="ad"/>
              <w:jc w:val="center"/>
              <w:rPr>
                <w:rFonts w:ascii="Times New Roman" w:hAnsi="Times New Roman"/>
              </w:rPr>
            </w:pPr>
            <w:r w:rsidRPr="00A53AD7">
              <w:rPr>
                <w:rFonts w:ascii="Times New Roman" w:hAnsi="Times New Roman"/>
              </w:rPr>
              <w:t>452,7</w:t>
            </w:r>
          </w:p>
        </w:tc>
        <w:tc>
          <w:tcPr>
            <w:tcW w:w="1560" w:type="dxa"/>
          </w:tcPr>
          <w:p w14:paraId="0453871A" w14:textId="77777777" w:rsidR="00B823F8" w:rsidRPr="00A53AD7" w:rsidRDefault="00B823F8" w:rsidP="00B823F8">
            <w:pPr>
              <w:pStyle w:val="ad"/>
              <w:jc w:val="center"/>
              <w:rPr>
                <w:rFonts w:ascii="Times New Roman" w:hAnsi="Times New Roman"/>
              </w:rPr>
            </w:pPr>
            <w:r w:rsidRPr="00A53AD7">
              <w:rPr>
                <w:rFonts w:ascii="Times New Roman" w:hAnsi="Times New Roman"/>
              </w:rPr>
              <w:t>487,3</w:t>
            </w:r>
          </w:p>
        </w:tc>
        <w:tc>
          <w:tcPr>
            <w:tcW w:w="1559" w:type="dxa"/>
          </w:tcPr>
          <w:p w14:paraId="1372A306" w14:textId="77777777" w:rsidR="00B823F8" w:rsidRPr="00A53AD7" w:rsidRDefault="00B823F8" w:rsidP="00B823F8">
            <w:pPr>
              <w:pStyle w:val="ad"/>
              <w:jc w:val="center"/>
              <w:rPr>
                <w:rFonts w:ascii="Times New Roman" w:hAnsi="Times New Roman"/>
              </w:rPr>
            </w:pPr>
            <w:r w:rsidRPr="00A53AD7">
              <w:rPr>
                <w:rFonts w:ascii="Times New Roman" w:hAnsi="Times New Roman"/>
              </w:rPr>
              <w:t>1 005,4</w:t>
            </w:r>
          </w:p>
        </w:tc>
        <w:tc>
          <w:tcPr>
            <w:tcW w:w="1559" w:type="dxa"/>
          </w:tcPr>
          <w:p w14:paraId="2FE4E7F6" w14:textId="77777777" w:rsidR="00B823F8" w:rsidRPr="00A53AD7" w:rsidRDefault="00B823F8" w:rsidP="00B823F8">
            <w:pPr>
              <w:pStyle w:val="ad"/>
              <w:jc w:val="center"/>
              <w:rPr>
                <w:rFonts w:ascii="Times New Roman" w:hAnsi="Times New Roman"/>
              </w:rPr>
            </w:pPr>
            <w:r w:rsidRPr="00A53AD7">
              <w:rPr>
                <w:rFonts w:ascii="Times New Roman" w:hAnsi="Times New Roman"/>
              </w:rPr>
              <w:t>1 504,5</w:t>
            </w:r>
          </w:p>
        </w:tc>
      </w:tr>
      <w:tr w:rsidR="00D470B6" w:rsidRPr="00A53AD7" w14:paraId="502441C6" w14:textId="77777777" w:rsidTr="00A102AC">
        <w:tc>
          <w:tcPr>
            <w:tcW w:w="2972" w:type="dxa"/>
          </w:tcPr>
          <w:p w14:paraId="4B6B0CC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59" w:type="dxa"/>
          </w:tcPr>
          <w:p w14:paraId="64D5FDF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24,0 %</w:t>
            </w:r>
          </w:p>
        </w:tc>
        <w:tc>
          <w:tcPr>
            <w:tcW w:w="1560" w:type="dxa"/>
          </w:tcPr>
          <w:p w14:paraId="007BE39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24,9%</w:t>
            </w:r>
          </w:p>
        </w:tc>
        <w:tc>
          <w:tcPr>
            <w:tcW w:w="1559" w:type="dxa"/>
          </w:tcPr>
          <w:p w14:paraId="2BD7C87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48,8%</w:t>
            </w:r>
          </w:p>
        </w:tc>
        <w:tc>
          <w:tcPr>
            <w:tcW w:w="1559" w:type="dxa"/>
          </w:tcPr>
          <w:p w14:paraId="103158B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82,3%</w:t>
            </w:r>
          </w:p>
        </w:tc>
      </w:tr>
      <w:tr w:rsidR="00D470B6" w:rsidRPr="00A53AD7" w14:paraId="68F4D3DC" w14:textId="77777777" w:rsidTr="00A102AC">
        <w:tc>
          <w:tcPr>
            <w:tcW w:w="2972" w:type="dxa"/>
          </w:tcPr>
          <w:p w14:paraId="19FC255B"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Минстроительства</w:t>
            </w:r>
          </w:p>
        </w:tc>
        <w:tc>
          <w:tcPr>
            <w:tcW w:w="1559" w:type="dxa"/>
          </w:tcPr>
          <w:p w14:paraId="7931DCBC" w14:textId="77777777" w:rsidR="00B823F8" w:rsidRPr="00A53AD7" w:rsidRDefault="00B823F8" w:rsidP="00B823F8">
            <w:pPr>
              <w:pStyle w:val="ad"/>
              <w:jc w:val="center"/>
              <w:rPr>
                <w:rFonts w:ascii="Times New Roman" w:hAnsi="Times New Roman"/>
                <w:b/>
              </w:rPr>
            </w:pPr>
          </w:p>
        </w:tc>
        <w:tc>
          <w:tcPr>
            <w:tcW w:w="1560" w:type="dxa"/>
          </w:tcPr>
          <w:p w14:paraId="08EE1FD9" w14:textId="77777777" w:rsidR="00B823F8" w:rsidRPr="00A53AD7" w:rsidRDefault="00B823F8" w:rsidP="00B823F8">
            <w:pPr>
              <w:pStyle w:val="ad"/>
              <w:jc w:val="center"/>
              <w:rPr>
                <w:rFonts w:ascii="Times New Roman" w:hAnsi="Times New Roman"/>
                <w:b/>
              </w:rPr>
            </w:pPr>
          </w:p>
        </w:tc>
        <w:tc>
          <w:tcPr>
            <w:tcW w:w="1559" w:type="dxa"/>
          </w:tcPr>
          <w:p w14:paraId="32486B93" w14:textId="77777777" w:rsidR="00B823F8" w:rsidRPr="00A53AD7" w:rsidRDefault="00B823F8" w:rsidP="00B823F8">
            <w:pPr>
              <w:pStyle w:val="ad"/>
              <w:jc w:val="center"/>
              <w:rPr>
                <w:rFonts w:ascii="Times New Roman" w:hAnsi="Times New Roman"/>
                <w:b/>
              </w:rPr>
            </w:pPr>
          </w:p>
        </w:tc>
        <w:tc>
          <w:tcPr>
            <w:tcW w:w="1559" w:type="dxa"/>
          </w:tcPr>
          <w:p w14:paraId="1F53B288" w14:textId="77777777" w:rsidR="00B823F8" w:rsidRPr="00A53AD7" w:rsidRDefault="00B823F8" w:rsidP="00B823F8">
            <w:pPr>
              <w:pStyle w:val="ad"/>
              <w:jc w:val="center"/>
              <w:rPr>
                <w:rFonts w:ascii="Times New Roman" w:hAnsi="Times New Roman"/>
                <w:b/>
              </w:rPr>
            </w:pPr>
          </w:p>
        </w:tc>
      </w:tr>
      <w:tr w:rsidR="00D470B6" w:rsidRPr="00A53AD7" w14:paraId="28ED7791" w14:textId="77777777" w:rsidTr="00A102AC">
        <w:tc>
          <w:tcPr>
            <w:tcW w:w="2972" w:type="dxa"/>
          </w:tcPr>
          <w:p w14:paraId="13709191"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59" w:type="dxa"/>
          </w:tcPr>
          <w:p w14:paraId="608D17B4" w14:textId="77777777" w:rsidR="00B823F8" w:rsidRPr="00A53AD7" w:rsidRDefault="00B823F8" w:rsidP="00B823F8">
            <w:pPr>
              <w:pStyle w:val="ad"/>
              <w:jc w:val="center"/>
              <w:rPr>
                <w:rFonts w:ascii="Times New Roman" w:hAnsi="Times New Roman"/>
              </w:rPr>
            </w:pPr>
            <w:r w:rsidRPr="00A53AD7">
              <w:rPr>
                <w:rFonts w:ascii="Times New Roman" w:hAnsi="Times New Roman"/>
              </w:rPr>
              <w:t>1 883,3</w:t>
            </w:r>
          </w:p>
        </w:tc>
        <w:tc>
          <w:tcPr>
            <w:tcW w:w="1560" w:type="dxa"/>
          </w:tcPr>
          <w:p w14:paraId="1FD33ECB" w14:textId="77777777" w:rsidR="00B823F8" w:rsidRPr="00A53AD7" w:rsidRDefault="00B823F8" w:rsidP="00B823F8">
            <w:pPr>
              <w:pStyle w:val="ad"/>
              <w:jc w:val="center"/>
              <w:rPr>
                <w:rFonts w:ascii="Times New Roman" w:hAnsi="Times New Roman"/>
              </w:rPr>
            </w:pPr>
            <w:r w:rsidRPr="00A53AD7">
              <w:rPr>
                <w:rFonts w:ascii="Times New Roman" w:hAnsi="Times New Roman"/>
              </w:rPr>
              <w:t>1 952,7</w:t>
            </w:r>
          </w:p>
        </w:tc>
        <w:tc>
          <w:tcPr>
            <w:tcW w:w="1559" w:type="dxa"/>
          </w:tcPr>
          <w:p w14:paraId="061CA287" w14:textId="77777777" w:rsidR="00B823F8" w:rsidRPr="00A53AD7" w:rsidRDefault="00B823F8" w:rsidP="00B823F8">
            <w:pPr>
              <w:pStyle w:val="ad"/>
              <w:jc w:val="center"/>
              <w:rPr>
                <w:rFonts w:ascii="Times New Roman" w:hAnsi="Times New Roman"/>
              </w:rPr>
            </w:pPr>
            <w:r w:rsidRPr="00A53AD7">
              <w:rPr>
                <w:rFonts w:ascii="Times New Roman" w:hAnsi="Times New Roman"/>
              </w:rPr>
              <w:t>2 060,1</w:t>
            </w:r>
          </w:p>
        </w:tc>
        <w:tc>
          <w:tcPr>
            <w:tcW w:w="1559" w:type="dxa"/>
          </w:tcPr>
          <w:p w14:paraId="1393D20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1 828,4</w:t>
            </w:r>
          </w:p>
        </w:tc>
      </w:tr>
      <w:tr w:rsidR="00D470B6" w:rsidRPr="00A53AD7" w14:paraId="5C37748C" w14:textId="77777777" w:rsidTr="00A102AC">
        <w:tc>
          <w:tcPr>
            <w:tcW w:w="2972" w:type="dxa"/>
          </w:tcPr>
          <w:p w14:paraId="3910B66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59" w:type="dxa"/>
          </w:tcPr>
          <w:p w14:paraId="5132D7F3" w14:textId="77777777" w:rsidR="00B823F8" w:rsidRPr="00A53AD7" w:rsidRDefault="00B823F8" w:rsidP="00B823F8">
            <w:pPr>
              <w:pStyle w:val="ad"/>
              <w:jc w:val="center"/>
              <w:rPr>
                <w:rFonts w:ascii="Times New Roman" w:hAnsi="Times New Roman"/>
              </w:rPr>
            </w:pPr>
            <w:r w:rsidRPr="00A53AD7">
              <w:rPr>
                <w:rFonts w:ascii="Times New Roman" w:hAnsi="Times New Roman"/>
              </w:rPr>
              <w:t>452,7</w:t>
            </w:r>
          </w:p>
        </w:tc>
        <w:tc>
          <w:tcPr>
            <w:tcW w:w="1560" w:type="dxa"/>
          </w:tcPr>
          <w:p w14:paraId="26935E25" w14:textId="77777777" w:rsidR="00B823F8" w:rsidRPr="00A53AD7" w:rsidRDefault="00B823F8" w:rsidP="00B823F8">
            <w:pPr>
              <w:pStyle w:val="ad"/>
              <w:jc w:val="center"/>
              <w:rPr>
                <w:rFonts w:ascii="Times New Roman" w:hAnsi="Times New Roman"/>
              </w:rPr>
            </w:pPr>
            <w:r w:rsidRPr="00A53AD7">
              <w:rPr>
                <w:rFonts w:ascii="Times New Roman" w:hAnsi="Times New Roman"/>
              </w:rPr>
              <w:t>487,3</w:t>
            </w:r>
          </w:p>
        </w:tc>
        <w:tc>
          <w:tcPr>
            <w:tcW w:w="1559" w:type="dxa"/>
          </w:tcPr>
          <w:p w14:paraId="7E8F753F" w14:textId="77777777" w:rsidR="00B823F8" w:rsidRPr="00A53AD7" w:rsidRDefault="00B823F8" w:rsidP="00B823F8">
            <w:pPr>
              <w:pStyle w:val="ad"/>
              <w:jc w:val="center"/>
              <w:rPr>
                <w:rFonts w:ascii="Times New Roman" w:hAnsi="Times New Roman"/>
              </w:rPr>
            </w:pPr>
            <w:r w:rsidRPr="00A53AD7">
              <w:rPr>
                <w:rFonts w:ascii="Times New Roman" w:hAnsi="Times New Roman"/>
              </w:rPr>
              <w:t>1 005,4</w:t>
            </w:r>
          </w:p>
        </w:tc>
        <w:tc>
          <w:tcPr>
            <w:tcW w:w="1559" w:type="dxa"/>
          </w:tcPr>
          <w:p w14:paraId="609200D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1 504,5</w:t>
            </w:r>
          </w:p>
        </w:tc>
      </w:tr>
      <w:tr w:rsidR="00D470B6" w:rsidRPr="00A53AD7" w14:paraId="4D2E3425" w14:textId="77777777" w:rsidTr="00A102AC">
        <w:tc>
          <w:tcPr>
            <w:tcW w:w="2972" w:type="dxa"/>
          </w:tcPr>
          <w:p w14:paraId="567F186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59" w:type="dxa"/>
          </w:tcPr>
          <w:p w14:paraId="64D7A5F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24,0%</w:t>
            </w:r>
          </w:p>
        </w:tc>
        <w:tc>
          <w:tcPr>
            <w:tcW w:w="1560" w:type="dxa"/>
          </w:tcPr>
          <w:p w14:paraId="4007F02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25,0%</w:t>
            </w:r>
          </w:p>
        </w:tc>
        <w:tc>
          <w:tcPr>
            <w:tcW w:w="1559" w:type="dxa"/>
          </w:tcPr>
          <w:p w14:paraId="0B9574D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48,8%</w:t>
            </w:r>
          </w:p>
        </w:tc>
        <w:tc>
          <w:tcPr>
            <w:tcW w:w="1559" w:type="dxa"/>
          </w:tcPr>
          <w:p w14:paraId="7FB13AE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82,3%</w:t>
            </w:r>
          </w:p>
        </w:tc>
      </w:tr>
      <w:tr w:rsidR="00D470B6" w:rsidRPr="00A53AD7" w14:paraId="14ED4C9E" w14:textId="77777777" w:rsidTr="00A102AC">
        <w:tc>
          <w:tcPr>
            <w:tcW w:w="2972" w:type="dxa"/>
          </w:tcPr>
          <w:p w14:paraId="00934324"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Аг-во по Соловкам</w:t>
            </w:r>
          </w:p>
        </w:tc>
        <w:tc>
          <w:tcPr>
            <w:tcW w:w="1559" w:type="dxa"/>
          </w:tcPr>
          <w:p w14:paraId="2C836B6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8BD535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223444E2" w14:textId="77777777" w:rsidR="00B823F8" w:rsidRPr="00A53AD7" w:rsidRDefault="00B823F8" w:rsidP="00B823F8">
            <w:pPr>
              <w:pStyle w:val="ad"/>
              <w:jc w:val="center"/>
              <w:rPr>
                <w:rFonts w:ascii="Times New Roman" w:hAnsi="Times New Roman"/>
                <w:b/>
              </w:rPr>
            </w:pPr>
          </w:p>
        </w:tc>
        <w:tc>
          <w:tcPr>
            <w:tcW w:w="1559" w:type="dxa"/>
          </w:tcPr>
          <w:p w14:paraId="4A435A5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D470B6" w:rsidRPr="00A53AD7" w14:paraId="6D2FFA72" w14:textId="77777777" w:rsidTr="00A102AC">
        <w:tc>
          <w:tcPr>
            <w:tcW w:w="2972" w:type="dxa"/>
          </w:tcPr>
          <w:p w14:paraId="6EA105C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59" w:type="dxa"/>
          </w:tcPr>
          <w:p w14:paraId="3267FFA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5AC7B1D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3,4</w:t>
            </w:r>
          </w:p>
        </w:tc>
        <w:tc>
          <w:tcPr>
            <w:tcW w:w="1559" w:type="dxa"/>
          </w:tcPr>
          <w:p w14:paraId="39FD53F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1,9</w:t>
            </w:r>
          </w:p>
        </w:tc>
        <w:tc>
          <w:tcPr>
            <w:tcW w:w="1559" w:type="dxa"/>
          </w:tcPr>
          <w:p w14:paraId="468B686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D470B6" w:rsidRPr="00A53AD7" w14:paraId="48F13053" w14:textId="77777777" w:rsidTr="00A102AC">
        <w:tc>
          <w:tcPr>
            <w:tcW w:w="2972" w:type="dxa"/>
          </w:tcPr>
          <w:p w14:paraId="64A7E3DE"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59" w:type="dxa"/>
          </w:tcPr>
          <w:p w14:paraId="17DDB09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2ECD3F4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1300F17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263B387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D470B6" w:rsidRPr="00A53AD7" w14:paraId="073F1E55" w14:textId="77777777" w:rsidTr="00A102AC">
        <w:tc>
          <w:tcPr>
            <w:tcW w:w="2972" w:type="dxa"/>
          </w:tcPr>
          <w:p w14:paraId="67D7C1D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59" w:type="dxa"/>
          </w:tcPr>
          <w:p w14:paraId="5B34E95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17E989D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755932D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7A00AEC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D470B6" w:rsidRPr="00A53AD7" w14:paraId="6EB98C47" w14:textId="77777777" w:rsidTr="00A102AC">
        <w:tc>
          <w:tcPr>
            <w:tcW w:w="2972" w:type="dxa"/>
          </w:tcPr>
          <w:p w14:paraId="1B7B6259"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559" w:type="dxa"/>
          </w:tcPr>
          <w:p w14:paraId="67789E0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1953B7D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3BC023D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552B070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B823F8" w:rsidRPr="00A53AD7" w14:paraId="48B309A2" w14:textId="77777777" w:rsidTr="00A102AC">
        <w:tc>
          <w:tcPr>
            <w:tcW w:w="2972" w:type="dxa"/>
          </w:tcPr>
          <w:p w14:paraId="5F477FD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559" w:type="dxa"/>
          </w:tcPr>
          <w:p w14:paraId="55006BA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0C2E5B2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696CBD1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0B9E085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bl>
    <w:p w14:paraId="3FFFF4CF" w14:textId="77777777" w:rsidR="00A102AC" w:rsidRPr="00A53AD7" w:rsidRDefault="00A102AC" w:rsidP="00B823F8">
      <w:pPr>
        <w:pStyle w:val="ad"/>
        <w:ind w:firstLine="708"/>
        <w:jc w:val="both"/>
        <w:rPr>
          <w:rFonts w:ascii="Times New Roman" w:hAnsi="Times New Roman"/>
          <w:sz w:val="28"/>
          <w:szCs w:val="28"/>
          <w:highlight w:val="cyan"/>
        </w:rPr>
      </w:pPr>
    </w:p>
    <w:p w14:paraId="17857AC0" w14:textId="59CF9D43" w:rsidR="00B823F8" w:rsidRPr="00A53AD7" w:rsidRDefault="00B823F8" w:rsidP="00A102AC">
      <w:pPr>
        <w:pStyle w:val="ad"/>
        <w:ind w:firstLine="851"/>
        <w:jc w:val="both"/>
        <w:rPr>
          <w:rFonts w:ascii="Times New Roman" w:hAnsi="Times New Roman"/>
          <w:sz w:val="28"/>
          <w:szCs w:val="28"/>
        </w:rPr>
      </w:pPr>
      <w:r w:rsidRPr="00A53AD7">
        <w:rPr>
          <w:rFonts w:ascii="Times New Roman" w:hAnsi="Times New Roman"/>
          <w:sz w:val="28"/>
          <w:szCs w:val="28"/>
        </w:rPr>
        <w:t>Таким образом, в рамках указанной программы, министерство не обеспечило расходование средств как федерального 286,2 млн.руб., так и областного бюджетов</w:t>
      </w:r>
      <w:r w:rsidR="00A102AC" w:rsidRPr="00A53AD7">
        <w:rPr>
          <w:rFonts w:ascii="Times New Roman" w:hAnsi="Times New Roman"/>
          <w:sz w:val="28"/>
          <w:szCs w:val="28"/>
        </w:rPr>
        <w:t xml:space="preserve"> 37,7 млн.руб.</w:t>
      </w:r>
    </w:p>
    <w:p w14:paraId="76C2C4A1" w14:textId="77777777" w:rsidR="00B823F8" w:rsidRPr="00A53AD7" w:rsidRDefault="00B823F8" w:rsidP="00A102AC">
      <w:pPr>
        <w:pStyle w:val="ad"/>
        <w:ind w:firstLine="851"/>
        <w:jc w:val="both"/>
        <w:rPr>
          <w:rFonts w:ascii="Times New Roman" w:hAnsi="Times New Roman"/>
          <w:sz w:val="28"/>
          <w:szCs w:val="28"/>
        </w:rPr>
      </w:pPr>
      <w:r w:rsidRPr="00A53AD7">
        <w:rPr>
          <w:rFonts w:ascii="Times New Roman" w:hAnsi="Times New Roman"/>
          <w:sz w:val="28"/>
          <w:szCs w:val="28"/>
        </w:rPr>
        <w:t>Агентством по развитию Соловецкого архипелага при утвержденных расходах в составе ОАИП в сумме 3,4 млн.руб., по состоянию на конец года расходы уменьшены на 3,4 млн.руб., расходы не были произведены.</w:t>
      </w:r>
    </w:p>
    <w:p w14:paraId="28FE4D20" w14:textId="77777777" w:rsidR="00B823F8" w:rsidRPr="00A53AD7" w:rsidRDefault="00B823F8" w:rsidP="00B823F8">
      <w:pPr>
        <w:pStyle w:val="ad"/>
        <w:jc w:val="right"/>
        <w:rPr>
          <w:rFonts w:ascii="Times New Roman" w:hAnsi="Times New Roman"/>
          <w:sz w:val="28"/>
          <w:szCs w:val="28"/>
          <w:highlight w:val="cyan"/>
        </w:rPr>
      </w:pPr>
    </w:p>
    <w:p w14:paraId="6D58B1A1" w14:textId="77277031" w:rsidR="00B823F8" w:rsidRPr="00A53AD7" w:rsidRDefault="00FC5B0D" w:rsidP="005A79F9">
      <w:pPr>
        <w:pStyle w:val="ad"/>
        <w:ind w:firstLine="851"/>
        <w:jc w:val="both"/>
        <w:rPr>
          <w:rFonts w:ascii="Times New Roman" w:hAnsi="Times New Roman"/>
          <w:sz w:val="28"/>
          <w:szCs w:val="28"/>
        </w:rPr>
      </w:pPr>
      <w:r w:rsidRPr="00A53AD7">
        <w:rPr>
          <w:rFonts w:ascii="Times New Roman" w:hAnsi="Times New Roman"/>
          <w:sz w:val="28"/>
          <w:szCs w:val="28"/>
        </w:rPr>
        <w:t>6</w:t>
      </w:r>
      <w:r w:rsidR="00B823F8" w:rsidRPr="00A53AD7">
        <w:rPr>
          <w:rFonts w:ascii="Times New Roman" w:hAnsi="Times New Roman"/>
          <w:sz w:val="28"/>
          <w:szCs w:val="28"/>
        </w:rPr>
        <w:t>. ГП АО «Устойчивое развитие сельских территорий Архангельской области (2014-2021 годы)» запланированы расходы по приведенному количеству объектов:</w:t>
      </w:r>
    </w:p>
    <w:p w14:paraId="7EA35A5B"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741"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555"/>
        <w:gridCol w:w="992"/>
        <w:gridCol w:w="992"/>
        <w:gridCol w:w="992"/>
        <w:gridCol w:w="993"/>
        <w:gridCol w:w="992"/>
        <w:gridCol w:w="1056"/>
        <w:gridCol w:w="1185"/>
        <w:gridCol w:w="984"/>
      </w:tblGrid>
      <w:tr w:rsidR="00D470B6" w:rsidRPr="00A53AD7" w14:paraId="515E29FE" w14:textId="77777777" w:rsidTr="00C81C1D">
        <w:trPr>
          <w:tblHeader/>
        </w:trPr>
        <w:tc>
          <w:tcPr>
            <w:tcW w:w="1555" w:type="dxa"/>
          </w:tcPr>
          <w:p w14:paraId="5BCE526A" w14:textId="77777777" w:rsidR="00B823F8" w:rsidRPr="00A53AD7" w:rsidRDefault="00B823F8" w:rsidP="008C59EF">
            <w:pPr>
              <w:pStyle w:val="ad"/>
              <w:jc w:val="center"/>
              <w:rPr>
                <w:rFonts w:ascii="Times New Roman" w:hAnsi="Times New Roman"/>
              </w:rPr>
            </w:pPr>
            <w:r w:rsidRPr="00A53AD7">
              <w:rPr>
                <w:rFonts w:ascii="Times New Roman" w:hAnsi="Times New Roman"/>
              </w:rPr>
              <w:t>На даты:</w:t>
            </w:r>
          </w:p>
        </w:tc>
        <w:tc>
          <w:tcPr>
            <w:tcW w:w="992" w:type="dxa"/>
          </w:tcPr>
          <w:p w14:paraId="153C8201" w14:textId="77777777" w:rsidR="00B823F8" w:rsidRPr="00A53AD7" w:rsidRDefault="00B823F8" w:rsidP="008C59EF">
            <w:pPr>
              <w:pStyle w:val="ad"/>
              <w:jc w:val="center"/>
              <w:rPr>
                <w:rFonts w:ascii="Times New Roman" w:hAnsi="Times New Roman"/>
              </w:rPr>
            </w:pPr>
            <w:r w:rsidRPr="00A53AD7">
              <w:rPr>
                <w:rFonts w:ascii="Times New Roman" w:hAnsi="Times New Roman"/>
              </w:rPr>
              <w:t>01.01.19</w:t>
            </w:r>
          </w:p>
        </w:tc>
        <w:tc>
          <w:tcPr>
            <w:tcW w:w="992" w:type="dxa"/>
          </w:tcPr>
          <w:p w14:paraId="4D541D81" w14:textId="77777777" w:rsidR="00B823F8" w:rsidRPr="00A53AD7" w:rsidRDefault="00B823F8" w:rsidP="008C59EF">
            <w:pPr>
              <w:pStyle w:val="ad"/>
              <w:jc w:val="center"/>
              <w:rPr>
                <w:rFonts w:ascii="Times New Roman" w:hAnsi="Times New Roman"/>
              </w:rPr>
            </w:pPr>
            <w:r w:rsidRPr="00A53AD7">
              <w:rPr>
                <w:rFonts w:ascii="Times New Roman" w:hAnsi="Times New Roman"/>
              </w:rPr>
              <w:t>01.04.19</w:t>
            </w:r>
          </w:p>
        </w:tc>
        <w:tc>
          <w:tcPr>
            <w:tcW w:w="992" w:type="dxa"/>
          </w:tcPr>
          <w:p w14:paraId="2EFCC018" w14:textId="77777777" w:rsidR="00B823F8" w:rsidRPr="00A53AD7" w:rsidRDefault="00B823F8" w:rsidP="008C59EF">
            <w:pPr>
              <w:pStyle w:val="ad"/>
              <w:jc w:val="center"/>
              <w:rPr>
                <w:rFonts w:ascii="Times New Roman" w:hAnsi="Times New Roman"/>
              </w:rPr>
            </w:pPr>
            <w:r w:rsidRPr="00A53AD7">
              <w:rPr>
                <w:rFonts w:ascii="Times New Roman" w:hAnsi="Times New Roman"/>
              </w:rPr>
              <w:t>02.07.19</w:t>
            </w:r>
          </w:p>
        </w:tc>
        <w:tc>
          <w:tcPr>
            <w:tcW w:w="993" w:type="dxa"/>
          </w:tcPr>
          <w:p w14:paraId="31623794" w14:textId="77777777" w:rsidR="00B823F8" w:rsidRPr="00A53AD7" w:rsidRDefault="00B823F8" w:rsidP="008C59EF">
            <w:pPr>
              <w:pStyle w:val="ad"/>
              <w:jc w:val="center"/>
              <w:rPr>
                <w:rFonts w:ascii="Times New Roman" w:hAnsi="Times New Roman"/>
              </w:rPr>
            </w:pPr>
            <w:r w:rsidRPr="00A53AD7">
              <w:rPr>
                <w:rFonts w:ascii="Times New Roman" w:hAnsi="Times New Roman"/>
              </w:rPr>
              <w:t>25.09.19</w:t>
            </w:r>
          </w:p>
        </w:tc>
        <w:tc>
          <w:tcPr>
            <w:tcW w:w="992" w:type="dxa"/>
          </w:tcPr>
          <w:p w14:paraId="1FFB00F5" w14:textId="77777777" w:rsidR="00B823F8" w:rsidRPr="00A53AD7" w:rsidRDefault="00B823F8" w:rsidP="008C59EF">
            <w:pPr>
              <w:pStyle w:val="ad"/>
              <w:jc w:val="center"/>
              <w:rPr>
                <w:rFonts w:ascii="Times New Roman" w:hAnsi="Times New Roman"/>
              </w:rPr>
            </w:pPr>
            <w:r w:rsidRPr="00A53AD7">
              <w:rPr>
                <w:rFonts w:ascii="Times New Roman" w:hAnsi="Times New Roman"/>
              </w:rPr>
              <w:t>19.11.19</w:t>
            </w:r>
          </w:p>
        </w:tc>
        <w:tc>
          <w:tcPr>
            <w:tcW w:w="1056" w:type="dxa"/>
          </w:tcPr>
          <w:p w14:paraId="7B6088D3" w14:textId="77777777" w:rsidR="00B823F8" w:rsidRPr="00A53AD7" w:rsidRDefault="00B823F8" w:rsidP="008C59EF">
            <w:pPr>
              <w:pStyle w:val="ad"/>
              <w:jc w:val="center"/>
              <w:rPr>
                <w:rFonts w:ascii="Times New Roman" w:hAnsi="Times New Roman"/>
              </w:rPr>
            </w:pPr>
            <w:r w:rsidRPr="00A53AD7">
              <w:rPr>
                <w:rFonts w:ascii="Times New Roman" w:hAnsi="Times New Roman"/>
              </w:rPr>
              <w:t>13.12.19</w:t>
            </w:r>
          </w:p>
        </w:tc>
        <w:tc>
          <w:tcPr>
            <w:tcW w:w="1185" w:type="dxa"/>
          </w:tcPr>
          <w:p w14:paraId="416DEDFB" w14:textId="77777777" w:rsidR="00B823F8" w:rsidRPr="00A53AD7" w:rsidRDefault="00B823F8" w:rsidP="008C59EF">
            <w:pPr>
              <w:pStyle w:val="ad"/>
              <w:jc w:val="center"/>
              <w:rPr>
                <w:rFonts w:ascii="Times New Roman" w:hAnsi="Times New Roman"/>
              </w:rPr>
            </w:pPr>
            <w:r w:rsidRPr="00A53AD7">
              <w:rPr>
                <w:rFonts w:ascii="Times New Roman" w:hAnsi="Times New Roman"/>
              </w:rPr>
              <w:t>Отчет на 31.12.19</w:t>
            </w:r>
          </w:p>
        </w:tc>
        <w:tc>
          <w:tcPr>
            <w:tcW w:w="984" w:type="dxa"/>
          </w:tcPr>
          <w:p w14:paraId="314F7C3E" w14:textId="5744CF6F" w:rsidR="00B823F8" w:rsidRPr="00A53AD7" w:rsidRDefault="00B823F8" w:rsidP="00D43915">
            <w:pPr>
              <w:pStyle w:val="ad"/>
              <w:ind w:left="-117"/>
              <w:jc w:val="center"/>
              <w:rPr>
                <w:rFonts w:ascii="Times New Roman" w:hAnsi="Times New Roman"/>
              </w:rPr>
            </w:pPr>
            <w:r w:rsidRPr="00A53AD7">
              <w:rPr>
                <w:rFonts w:ascii="Times New Roman" w:hAnsi="Times New Roman"/>
              </w:rPr>
              <w:t>Исполнено в %</w:t>
            </w:r>
          </w:p>
        </w:tc>
      </w:tr>
      <w:tr w:rsidR="00D470B6" w:rsidRPr="00A53AD7" w14:paraId="5258DA75" w14:textId="77777777" w:rsidTr="00C81C1D">
        <w:tc>
          <w:tcPr>
            <w:tcW w:w="1555" w:type="dxa"/>
          </w:tcPr>
          <w:p w14:paraId="247DDC74"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xml:space="preserve">Сумма </w:t>
            </w:r>
          </w:p>
        </w:tc>
        <w:tc>
          <w:tcPr>
            <w:tcW w:w="992" w:type="dxa"/>
          </w:tcPr>
          <w:p w14:paraId="0B7F0631" w14:textId="77777777" w:rsidR="00B823F8" w:rsidRPr="00A53AD7" w:rsidRDefault="00B823F8" w:rsidP="00B823F8">
            <w:pPr>
              <w:pStyle w:val="ad"/>
              <w:jc w:val="center"/>
              <w:rPr>
                <w:rFonts w:ascii="Times New Roman" w:hAnsi="Times New Roman"/>
              </w:rPr>
            </w:pPr>
            <w:r w:rsidRPr="00A53AD7">
              <w:rPr>
                <w:rFonts w:ascii="Times New Roman" w:hAnsi="Times New Roman"/>
              </w:rPr>
              <w:t>157,8</w:t>
            </w:r>
          </w:p>
        </w:tc>
        <w:tc>
          <w:tcPr>
            <w:tcW w:w="992" w:type="dxa"/>
          </w:tcPr>
          <w:p w14:paraId="231D342F" w14:textId="77777777" w:rsidR="00B823F8" w:rsidRPr="00A53AD7" w:rsidRDefault="00B823F8" w:rsidP="00B823F8">
            <w:pPr>
              <w:pStyle w:val="ad"/>
              <w:jc w:val="center"/>
              <w:rPr>
                <w:rFonts w:ascii="Times New Roman" w:hAnsi="Times New Roman"/>
              </w:rPr>
            </w:pPr>
            <w:r w:rsidRPr="00A53AD7">
              <w:rPr>
                <w:rFonts w:ascii="Times New Roman" w:hAnsi="Times New Roman"/>
              </w:rPr>
              <w:t>163,8</w:t>
            </w:r>
          </w:p>
        </w:tc>
        <w:tc>
          <w:tcPr>
            <w:tcW w:w="992" w:type="dxa"/>
          </w:tcPr>
          <w:p w14:paraId="3267B343" w14:textId="77777777" w:rsidR="00B823F8" w:rsidRPr="00A53AD7" w:rsidRDefault="00B823F8" w:rsidP="00B823F8">
            <w:pPr>
              <w:pStyle w:val="ad"/>
              <w:jc w:val="center"/>
              <w:rPr>
                <w:rFonts w:ascii="Times New Roman" w:hAnsi="Times New Roman"/>
              </w:rPr>
            </w:pPr>
            <w:r w:rsidRPr="00A53AD7">
              <w:rPr>
                <w:rFonts w:ascii="Times New Roman" w:hAnsi="Times New Roman"/>
              </w:rPr>
              <w:t>157,7</w:t>
            </w:r>
          </w:p>
        </w:tc>
        <w:tc>
          <w:tcPr>
            <w:tcW w:w="993" w:type="dxa"/>
          </w:tcPr>
          <w:p w14:paraId="4F54D00E" w14:textId="77777777" w:rsidR="00B823F8" w:rsidRPr="00A53AD7" w:rsidRDefault="00B823F8" w:rsidP="00B823F8">
            <w:pPr>
              <w:pStyle w:val="ad"/>
              <w:jc w:val="center"/>
              <w:rPr>
                <w:rFonts w:ascii="Times New Roman" w:hAnsi="Times New Roman"/>
              </w:rPr>
            </w:pPr>
            <w:r w:rsidRPr="00A53AD7">
              <w:rPr>
                <w:rFonts w:ascii="Times New Roman" w:hAnsi="Times New Roman"/>
              </w:rPr>
              <w:t>158,6</w:t>
            </w:r>
          </w:p>
        </w:tc>
        <w:tc>
          <w:tcPr>
            <w:tcW w:w="992" w:type="dxa"/>
          </w:tcPr>
          <w:p w14:paraId="03BE8434" w14:textId="77777777" w:rsidR="00B823F8" w:rsidRPr="00A53AD7" w:rsidRDefault="00B823F8" w:rsidP="00B823F8">
            <w:pPr>
              <w:pStyle w:val="ad"/>
              <w:jc w:val="center"/>
              <w:rPr>
                <w:rFonts w:ascii="Times New Roman" w:hAnsi="Times New Roman"/>
              </w:rPr>
            </w:pPr>
            <w:r w:rsidRPr="00A53AD7">
              <w:rPr>
                <w:rFonts w:ascii="Times New Roman" w:hAnsi="Times New Roman"/>
              </w:rPr>
              <w:t>145,2</w:t>
            </w:r>
          </w:p>
        </w:tc>
        <w:tc>
          <w:tcPr>
            <w:tcW w:w="1056" w:type="dxa"/>
          </w:tcPr>
          <w:p w14:paraId="3EE26D92" w14:textId="77777777" w:rsidR="00B823F8" w:rsidRPr="00A53AD7" w:rsidRDefault="00B823F8" w:rsidP="00B823F8">
            <w:pPr>
              <w:pStyle w:val="ad"/>
              <w:jc w:val="center"/>
              <w:rPr>
                <w:rFonts w:ascii="Times New Roman" w:hAnsi="Times New Roman"/>
              </w:rPr>
            </w:pPr>
            <w:r w:rsidRPr="00A53AD7">
              <w:rPr>
                <w:rFonts w:ascii="Times New Roman" w:hAnsi="Times New Roman"/>
              </w:rPr>
              <w:t>145,2</w:t>
            </w:r>
          </w:p>
        </w:tc>
        <w:tc>
          <w:tcPr>
            <w:tcW w:w="1185" w:type="dxa"/>
          </w:tcPr>
          <w:p w14:paraId="0F925A1A" w14:textId="77777777" w:rsidR="00B823F8" w:rsidRPr="00A53AD7" w:rsidRDefault="00B823F8" w:rsidP="00B823F8">
            <w:pPr>
              <w:pStyle w:val="ad"/>
              <w:jc w:val="center"/>
              <w:rPr>
                <w:rFonts w:ascii="Times New Roman" w:hAnsi="Times New Roman"/>
              </w:rPr>
            </w:pPr>
            <w:r w:rsidRPr="00A53AD7">
              <w:rPr>
                <w:rFonts w:ascii="Times New Roman" w:hAnsi="Times New Roman"/>
              </w:rPr>
              <w:t>144,9</w:t>
            </w:r>
          </w:p>
        </w:tc>
        <w:tc>
          <w:tcPr>
            <w:tcW w:w="984" w:type="dxa"/>
          </w:tcPr>
          <w:p w14:paraId="7C9745AC" w14:textId="19247A43" w:rsidR="00B823F8" w:rsidRPr="00A53AD7" w:rsidRDefault="00D43915" w:rsidP="00B823F8">
            <w:pPr>
              <w:pStyle w:val="ad"/>
              <w:jc w:val="center"/>
              <w:rPr>
                <w:rFonts w:ascii="Times New Roman" w:hAnsi="Times New Roman"/>
              </w:rPr>
            </w:pPr>
            <w:r w:rsidRPr="00A53AD7">
              <w:rPr>
                <w:rFonts w:ascii="Times New Roman" w:hAnsi="Times New Roman"/>
              </w:rPr>
              <w:t>99,8</w:t>
            </w:r>
          </w:p>
        </w:tc>
      </w:tr>
      <w:tr w:rsidR="00D470B6" w:rsidRPr="00A53AD7" w14:paraId="36CBD9C0" w14:textId="77777777" w:rsidTr="00C81C1D">
        <w:tc>
          <w:tcPr>
            <w:tcW w:w="1555" w:type="dxa"/>
          </w:tcPr>
          <w:p w14:paraId="35C1A7D3"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кол-во объектов</w:t>
            </w:r>
          </w:p>
        </w:tc>
        <w:tc>
          <w:tcPr>
            <w:tcW w:w="992" w:type="dxa"/>
          </w:tcPr>
          <w:p w14:paraId="5A82898A"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992" w:type="dxa"/>
          </w:tcPr>
          <w:p w14:paraId="18688E7C" w14:textId="77777777" w:rsidR="00B823F8" w:rsidRPr="00A53AD7" w:rsidRDefault="00B823F8" w:rsidP="00B823F8">
            <w:pPr>
              <w:pStyle w:val="ad"/>
              <w:jc w:val="center"/>
              <w:rPr>
                <w:rFonts w:ascii="Times New Roman" w:hAnsi="Times New Roman"/>
              </w:rPr>
            </w:pPr>
            <w:r w:rsidRPr="00A53AD7">
              <w:rPr>
                <w:rFonts w:ascii="Times New Roman" w:hAnsi="Times New Roman"/>
              </w:rPr>
              <w:t>9</w:t>
            </w:r>
          </w:p>
        </w:tc>
        <w:tc>
          <w:tcPr>
            <w:tcW w:w="992" w:type="dxa"/>
          </w:tcPr>
          <w:p w14:paraId="670D2CFF"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993" w:type="dxa"/>
          </w:tcPr>
          <w:p w14:paraId="0AE79314"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992" w:type="dxa"/>
          </w:tcPr>
          <w:p w14:paraId="788B60BA"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056" w:type="dxa"/>
          </w:tcPr>
          <w:p w14:paraId="34916A82"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185" w:type="dxa"/>
          </w:tcPr>
          <w:p w14:paraId="760644F2"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984" w:type="dxa"/>
          </w:tcPr>
          <w:p w14:paraId="50FDE1CA" w14:textId="057D27BB" w:rsidR="00B823F8" w:rsidRPr="00A53AD7" w:rsidRDefault="00D43915" w:rsidP="00B823F8">
            <w:pPr>
              <w:pStyle w:val="ad"/>
              <w:ind w:left="-117"/>
              <w:jc w:val="center"/>
              <w:rPr>
                <w:rFonts w:ascii="Times New Roman" w:hAnsi="Times New Roman"/>
              </w:rPr>
            </w:pPr>
            <w:r w:rsidRPr="00A53AD7">
              <w:rPr>
                <w:rFonts w:ascii="Times New Roman" w:hAnsi="Times New Roman"/>
              </w:rPr>
              <w:t>100,0</w:t>
            </w:r>
          </w:p>
        </w:tc>
      </w:tr>
      <w:tr w:rsidR="00D470B6" w:rsidRPr="00A53AD7" w14:paraId="50D4F413" w14:textId="77777777" w:rsidTr="00C81C1D">
        <w:tc>
          <w:tcPr>
            <w:tcW w:w="1555" w:type="dxa"/>
          </w:tcPr>
          <w:p w14:paraId="456D6CA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 сумма</w:t>
            </w:r>
          </w:p>
        </w:tc>
        <w:tc>
          <w:tcPr>
            <w:tcW w:w="992" w:type="dxa"/>
          </w:tcPr>
          <w:p w14:paraId="11EDE43D" w14:textId="77777777" w:rsidR="00B823F8" w:rsidRPr="00A53AD7" w:rsidRDefault="00B823F8" w:rsidP="00B823F8">
            <w:pPr>
              <w:pStyle w:val="ad"/>
              <w:jc w:val="center"/>
              <w:rPr>
                <w:rFonts w:ascii="Times New Roman" w:hAnsi="Times New Roman"/>
              </w:rPr>
            </w:pPr>
          </w:p>
        </w:tc>
        <w:tc>
          <w:tcPr>
            <w:tcW w:w="992" w:type="dxa"/>
          </w:tcPr>
          <w:p w14:paraId="6E59BA05" w14:textId="77777777" w:rsidR="00B823F8" w:rsidRPr="00A53AD7" w:rsidRDefault="00B823F8" w:rsidP="00B823F8">
            <w:pPr>
              <w:pStyle w:val="ad"/>
              <w:jc w:val="center"/>
              <w:rPr>
                <w:rFonts w:ascii="Times New Roman" w:hAnsi="Times New Roman"/>
              </w:rPr>
            </w:pPr>
            <w:r w:rsidRPr="00A53AD7">
              <w:rPr>
                <w:rFonts w:ascii="Times New Roman" w:hAnsi="Times New Roman"/>
              </w:rPr>
              <w:t>+6,0</w:t>
            </w:r>
          </w:p>
        </w:tc>
        <w:tc>
          <w:tcPr>
            <w:tcW w:w="992" w:type="dxa"/>
          </w:tcPr>
          <w:p w14:paraId="0342450F" w14:textId="77777777" w:rsidR="00B823F8" w:rsidRPr="00A53AD7" w:rsidRDefault="00B823F8" w:rsidP="00B823F8">
            <w:pPr>
              <w:pStyle w:val="ad"/>
              <w:jc w:val="center"/>
              <w:rPr>
                <w:rFonts w:ascii="Times New Roman" w:hAnsi="Times New Roman"/>
              </w:rPr>
            </w:pPr>
            <w:r w:rsidRPr="00A53AD7">
              <w:rPr>
                <w:rFonts w:ascii="Times New Roman" w:hAnsi="Times New Roman"/>
              </w:rPr>
              <w:t>-6,1</w:t>
            </w:r>
          </w:p>
        </w:tc>
        <w:tc>
          <w:tcPr>
            <w:tcW w:w="993" w:type="dxa"/>
          </w:tcPr>
          <w:p w14:paraId="20601204" w14:textId="77777777" w:rsidR="00B823F8" w:rsidRPr="00A53AD7" w:rsidRDefault="00B823F8" w:rsidP="00B823F8">
            <w:pPr>
              <w:pStyle w:val="ad"/>
              <w:jc w:val="center"/>
              <w:rPr>
                <w:rFonts w:ascii="Times New Roman" w:hAnsi="Times New Roman"/>
              </w:rPr>
            </w:pPr>
            <w:r w:rsidRPr="00A53AD7">
              <w:rPr>
                <w:rFonts w:ascii="Times New Roman" w:hAnsi="Times New Roman"/>
              </w:rPr>
              <w:t>+0,9</w:t>
            </w:r>
          </w:p>
        </w:tc>
        <w:tc>
          <w:tcPr>
            <w:tcW w:w="992" w:type="dxa"/>
          </w:tcPr>
          <w:p w14:paraId="209FD476" w14:textId="77777777" w:rsidR="00B823F8" w:rsidRPr="00A53AD7" w:rsidRDefault="00B823F8" w:rsidP="00B823F8">
            <w:pPr>
              <w:pStyle w:val="ad"/>
              <w:jc w:val="center"/>
              <w:rPr>
                <w:rFonts w:ascii="Times New Roman" w:hAnsi="Times New Roman"/>
              </w:rPr>
            </w:pPr>
            <w:r w:rsidRPr="00A53AD7">
              <w:rPr>
                <w:rFonts w:ascii="Times New Roman" w:hAnsi="Times New Roman"/>
              </w:rPr>
              <w:t>-13,4</w:t>
            </w:r>
          </w:p>
        </w:tc>
        <w:tc>
          <w:tcPr>
            <w:tcW w:w="1056" w:type="dxa"/>
          </w:tcPr>
          <w:p w14:paraId="2EA67568" w14:textId="77777777" w:rsidR="00B823F8" w:rsidRPr="00A53AD7" w:rsidRDefault="00B823F8" w:rsidP="00B823F8">
            <w:pPr>
              <w:pStyle w:val="ad"/>
              <w:jc w:val="center"/>
              <w:rPr>
                <w:rFonts w:ascii="Times New Roman" w:hAnsi="Times New Roman"/>
              </w:rPr>
            </w:pPr>
          </w:p>
        </w:tc>
        <w:tc>
          <w:tcPr>
            <w:tcW w:w="1185" w:type="dxa"/>
          </w:tcPr>
          <w:p w14:paraId="42F2D5A5" w14:textId="77777777" w:rsidR="00B823F8" w:rsidRPr="00A53AD7" w:rsidRDefault="00B823F8" w:rsidP="00B823F8">
            <w:pPr>
              <w:pStyle w:val="ad"/>
              <w:jc w:val="center"/>
              <w:rPr>
                <w:rFonts w:ascii="Times New Roman" w:hAnsi="Times New Roman"/>
              </w:rPr>
            </w:pPr>
          </w:p>
        </w:tc>
        <w:tc>
          <w:tcPr>
            <w:tcW w:w="984" w:type="dxa"/>
          </w:tcPr>
          <w:p w14:paraId="78FB03FD" w14:textId="77777777" w:rsidR="00B823F8" w:rsidRPr="00A53AD7" w:rsidRDefault="00B823F8" w:rsidP="00B823F8">
            <w:pPr>
              <w:pStyle w:val="ad"/>
              <w:jc w:val="center"/>
              <w:rPr>
                <w:rFonts w:ascii="Times New Roman" w:hAnsi="Times New Roman"/>
              </w:rPr>
            </w:pPr>
          </w:p>
        </w:tc>
      </w:tr>
      <w:tr w:rsidR="00B823F8" w:rsidRPr="00A53AD7" w14:paraId="5C5A90D2" w14:textId="77777777" w:rsidTr="00C81C1D">
        <w:tc>
          <w:tcPr>
            <w:tcW w:w="1555" w:type="dxa"/>
          </w:tcPr>
          <w:p w14:paraId="14A45DCA" w14:textId="2D69D666" w:rsidR="00B823F8" w:rsidRPr="00A53AD7" w:rsidRDefault="00B823F8" w:rsidP="00B823F8">
            <w:pPr>
              <w:pStyle w:val="ad"/>
              <w:ind w:hanging="113"/>
              <w:jc w:val="both"/>
              <w:rPr>
                <w:rFonts w:ascii="Times New Roman" w:hAnsi="Times New Roman"/>
              </w:rPr>
            </w:pPr>
            <w:r w:rsidRPr="00A53AD7">
              <w:rPr>
                <w:rFonts w:ascii="Times New Roman" w:hAnsi="Times New Roman"/>
              </w:rPr>
              <w:t>(+,-)</w:t>
            </w:r>
            <w:r w:rsidR="00D43915" w:rsidRPr="00A53AD7">
              <w:rPr>
                <w:rFonts w:ascii="Times New Roman" w:hAnsi="Times New Roman"/>
              </w:rPr>
              <w:t xml:space="preserve"> </w:t>
            </w:r>
            <w:r w:rsidRPr="00A53AD7">
              <w:rPr>
                <w:rFonts w:ascii="Times New Roman" w:hAnsi="Times New Roman"/>
              </w:rPr>
              <w:t>объекты</w:t>
            </w:r>
          </w:p>
        </w:tc>
        <w:tc>
          <w:tcPr>
            <w:tcW w:w="992" w:type="dxa"/>
          </w:tcPr>
          <w:p w14:paraId="00AEBC8B" w14:textId="77777777" w:rsidR="00B823F8" w:rsidRPr="00A53AD7" w:rsidRDefault="00B823F8" w:rsidP="00B823F8">
            <w:pPr>
              <w:pStyle w:val="ad"/>
              <w:jc w:val="center"/>
              <w:rPr>
                <w:rFonts w:ascii="Times New Roman" w:hAnsi="Times New Roman"/>
              </w:rPr>
            </w:pPr>
          </w:p>
        </w:tc>
        <w:tc>
          <w:tcPr>
            <w:tcW w:w="992" w:type="dxa"/>
          </w:tcPr>
          <w:p w14:paraId="4A83CFC7"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992" w:type="dxa"/>
          </w:tcPr>
          <w:p w14:paraId="3DC6D05F"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993" w:type="dxa"/>
          </w:tcPr>
          <w:p w14:paraId="0F34B1F8" w14:textId="77777777" w:rsidR="00B823F8" w:rsidRPr="00A53AD7" w:rsidRDefault="00B823F8" w:rsidP="00B823F8">
            <w:pPr>
              <w:pStyle w:val="ad"/>
              <w:jc w:val="center"/>
              <w:rPr>
                <w:rFonts w:ascii="Times New Roman" w:hAnsi="Times New Roman"/>
              </w:rPr>
            </w:pPr>
          </w:p>
        </w:tc>
        <w:tc>
          <w:tcPr>
            <w:tcW w:w="992" w:type="dxa"/>
          </w:tcPr>
          <w:p w14:paraId="739C2852" w14:textId="77777777" w:rsidR="00B823F8" w:rsidRPr="00A53AD7" w:rsidRDefault="00B823F8" w:rsidP="00B823F8">
            <w:pPr>
              <w:pStyle w:val="ad"/>
              <w:jc w:val="center"/>
              <w:rPr>
                <w:rFonts w:ascii="Times New Roman" w:hAnsi="Times New Roman"/>
              </w:rPr>
            </w:pPr>
          </w:p>
        </w:tc>
        <w:tc>
          <w:tcPr>
            <w:tcW w:w="1056" w:type="dxa"/>
          </w:tcPr>
          <w:p w14:paraId="48C3B897" w14:textId="77777777" w:rsidR="00B823F8" w:rsidRPr="00A53AD7" w:rsidRDefault="00B823F8" w:rsidP="00B823F8">
            <w:pPr>
              <w:pStyle w:val="ad"/>
              <w:jc w:val="center"/>
              <w:rPr>
                <w:rFonts w:ascii="Times New Roman" w:hAnsi="Times New Roman"/>
              </w:rPr>
            </w:pPr>
          </w:p>
        </w:tc>
        <w:tc>
          <w:tcPr>
            <w:tcW w:w="1185" w:type="dxa"/>
          </w:tcPr>
          <w:p w14:paraId="178D5ACA" w14:textId="77777777" w:rsidR="00B823F8" w:rsidRPr="00A53AD7" w:rsidRDefault="00B823F8" w:rsidP="00B823F8">
            <w:pPr>
              <w:pStyle w:val="ad"/>
              <w:jc w:val="center"/>
              <w:rPr>
                <w:rFonts w:ascii="Times New Roman" w:hAnsi="Times New Roman"/>
              </w:rPr>
            </w:pPr>
          </w:p>
        </w:tc>
        <w:tc>
          <w:tcPr>
            <w:tcW w:w="984" w:type="dxa"/>
          </w:tcPr>
          <w:p w14:paraId="24E0BA5F" w14:textId="77777777" w:rsidR="00B823F8" w:rsidRPr="00A53AD7" w:rsidRDefault="00B823F8" w:rsidP="00B823F8">
            <w:pPr>
              <w:pStyle w:val="ad"/>
              <w:jc w:val="center"/>
              <w:rPr>
                <w:rFonts w:ascii="Times New Roman" w:hAnsi="Times New Roman"/>
              </w:rPr>
            </w:pPr>
          </w:p>
        </w:tc>
      </w:tr>
    </w:tbl>
    <w:p w14:paraId="1972BEFA" w14:textId="77777777" w:rsidR="00B823F8" w:rsidRPr="00A53AD7" w:rsidRDefault="00B823F8" w:rsidP="00B823F8">
      <w:pPr>
        <w:pStyle w:val="ad"/>
        <w:ind w:firstLine="709"/>
        <w:jc w:val="both"/>
        <w:rPr>
          <w:rFonts w:ascii="Times New Roman" w:hAnsi="Times New Roman"/>
          <w:sz w:val="28"/>
          <w:szCs w:val="28"/>
        </w:rPr>
      </w:pPr>
    </w:p>
    <w:p w14:paraId="62154BDE" w14:textId="77777777" w:rsidR="00B823F8" w:rsidRPr="00A53AD7" w:rsidRDefault="00B823F8" w:rsidP="00C81C1D">
      <w:pPr>
        <w:pStyle w:val="ad"/>
        <w:ind w:firstLine="851"/>
        <w:jc w:val="both"/>
        <w:rPr>
          <w:rFonts w:ascii="Times New Roman" w:hAnsi="Times New Roman"/>
          <w:sz w:val="28"/>
          <w:szCs w:val="28"/>
        </w:rPr>
      </w:pPr>
      <w:r w:rsidRPr="00A53AD7">
        <w:rPr>
          <w:rFonts w:ascii="Times New Roman" w:hAnsi="Times New Roman"/>
          <w:sz w:val="28"/>
          <w:szCs w:val="28"/>
        </w:rPr>
        <w:t>Главные распорядители реализации программы:</w:t>
      </w:r>
    </w:p>
    <w:p w14:paraId="660C75B0" w14:textId="265069B6"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 АО по 5 объектам,</w:t>
      </w:r>
    </w:p>
    <w:p w14:paraId="070BCC50" w14:textId="6423A17A"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ТЭК и ЖКХ АО по 1 объекту,</w:t>
      </w:r>
    </w:p>
    <w:p w14:paraId="6AA9D7B3" w14:textId="233EFFB7"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транспорта по 2 объектам.</w:t>
      </w:r>
    </w:p>
    <w:p w14:paraId="10C4E88A" w14:textId="77777777" w:rsidR="00B823F8" w:rsidRPr="00A53AD7" w:rsidRDefault="00B823F8" w:rsidP="00B823F8">
      <w:pPr>
        <w:pStyle w:val="ad"/>
        <w:rPr>
          <w:rFonts w:ascii="Times New Roman" w:hAnsi="Times New Roman"/>
          <w:sz w:val="28"/>
          <w:szCs w:val="28"/>
          <w:highlight w:val="cyan"/>
        </w:rPr>
      </w:pPr>
    </w:p>
    <w:p w14:paraId="6D19A8EF" w14:textId="106E1853" w:rsidR="00B823F8" w:rsidRPr="00A53AD7" w:rsidRDefault="00B823F8" w:rsidP="00E51A87">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0C72B883"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2AADE21A" w14:textId="77777777" w:rsidTr="00C214B8">
        <w:trPr>
          <w:tblHeader/>
        </w:trPr>
        <w:tc>
          <w:tcPr>
            <w:tcW w:w="3104" w:type="dxa"/>
          </w:tcPr>
          <w:p w14:paraId="281D2B6B" w14:textId="77777777" w:rsidR="00B823F8" w:rsidRPr="00A53AD7" w:rsidRDefault="00B823F8" w:rsidP="00B823F8">
            <w:pPr>
              <w:pStyle w:val="ad"/>
              <w:jc w:val="both"/>
              <w:rPr>
                <w:rFonts w:ascii="Times New Roman" w:hAnsi="Times New Roman"/>
              </w:rPr>
            </w:pPr>
          </w:p>
        </w:tc>
        <w:tc>
          <w:tcPr>
            <w:tcW w:w="1523" w:type="dxa"/>
          </w:tcPr>
          <w:p w14:paraId="021779B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59A462A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1268807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4E158576"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4B19BC6C" w14:textId="77777777" w:rsidTr="00E51A87">
        <w:tc>
          <w:tcPr>
            <w:tcW w:w="3104" w:type="dxa"/>
          </w:tcPr>
          <w:p w14:paraId="6BC7B7F0"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67E870BD" w14:textId="77777777" w:rsidR="00B823F8" w:rsidRPr="00A53AD7" w:rsidRDefault="00B823F8" w:rsidP="00B823F8">
            <w:pPr>
              <w:pStyle w:val="ad"/>
              <w:jc w:val="center"/>
              <w:rPr>
                <w:rFonts w:ascii="Times New Roman" w:hAnsi="Times New Roman"/>
              </w:rPr>
            </w:pPr>
            <w:r w:rsidRPr="00A53AD7">
              <w:rPr>
                <w:rFonts w:ascii="Times New Roman" w:hAnsi="Times New Roman"/>
              </w:rPr>
              <w:t>157,8</w:t>
            </w:r>
          </w:p>
        </w:tc>
        <w:tc>
          <w:tcPr>
            <w:tcW w:w="1560" w:type="dxa"/>
          </w:tcPr>
          <w:p w14:paraId="5B39FAEB" w14:textId="77777777" w:rsidR="00B823F8" w:rsidRPr="00A53AD7" w:rsidRDefault="00B823F8" w:rsidP="00B823F8">
            <w:pPr>
              <w:pStyle w:val="ad"/>
              <w:jc w:val="center"/>
              <w:rPr>
                <w:rFonts w:ascii="Times New Roman" w:hAnsi="Times New Roman"/>
              </w:rPr>
            </w:pPr>
            <w:r w:rsidRPr="00A53AD7">
              <w:rPr>
                <w:rFonts w:ascii="Times New Roman" w:hAnsi="Times New Roman"/>
              </w:rPr>
              <w:t>151,2</w:t>
            </w:r>
          </w:p>
        </w:tc>
        <w:tc>
          <w:tcPr>
            <w:tcW w:w="1559" w:type="dxa"/>
          </w:tcPr>
          <w:p w14:paraId="5A5BF7AA" w14:textId="77777777" w:rsidR="00B823F8" w:rsidRPr="00A53AD7" w:rsidRDefault="00B823F8" w:rsidP="00B823F8">
            <w:pPr>
              <w:pStyle w:val="ad"/>
              <w:jc w:val="center"/>
              <w:rPr>
                <w:rFonts w:ascii="Times New Roman" w:hAnsi="Times New Roman"/>
              </w:rPr>
            </w:pPr>
            <w:r w:rsidRPr="00A53AD7">
              <w:rPr>
                <w:rFonts w:ascii="Times New Roman" w:hAnsi="Times New Roman"/>
              </w:rPr>
              <w:t>146,0</w:t>
            </w:r>
          </w:p>
        </w:tc>
        <w:tc>
          <w:tcPr>
            <w:tcW w:w="1559" w:type="dxa"/>
          </w:tcPr>
          <w:p w14:paraId="15391CFC" w14:textId="77777777" w:rsidR="00B823F8" w:rsidRPr="00A53AD7" w:rsidRDefault="00B823F8" w:rsidP="00B823F8">
            <w:pPr>
              <w:pStyle w:val="ad"/>
              <w:jc w:val="center"/>
              <w:rPr>
                <w:rFonts w:ascii="Times New Roman" w:hAnsi="Times New Roman"/>
              </w:rPr>
            </w:pPr>
            <w:r w:rsidRPr="00A53AD7">
              <w:rPr>
                <w:rFonts w:ascii="Times New Roman" w:hAnsi="Times New Roman"/>
              </w:rPr>
              <w:t>145,2</w:t>
            </w:r>
          </w:p>
        </w:tc>
      </w:tr>
      <w:tr w:rsidR="00D470B6" w:rsidRPr="00A53AD7" w14:paraId="4E19148E" w14:textId="77777777" w:rsidTr="00E51A87">
        <w:tc>
          <w:tcPr>
            <w:tcW w:w="3104" w:type="dxa"/>
          </w:tcPr>
          <w:p w14:paraId="355E6303"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0109338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590A4F74" w14:textId="77777777" w:rsidR="00B823F8" w:rsidRPr="00A53AD7" w:rsidRDefault="00B823F8" w:rsidP="00B823F8">
            <w:pPr>
              <w:pStyle w:val="ad"/>
              <w:jc w:val="center"/>
              <w:rPr>
                <w:rFonts w:ascii="Times New Roman" w:hAnsi="Times New Roman"/>
              </w:rPr>
            </w:pPr>
            <w:r w:rsidRPr="00A53AD7">
              <w:rPr>
                <w:rFonts w:ascii="Times New Roman" w:hAnsi="Times New Roman"/>
              </w:rPr>
              <w:t>2,2</w:t>
            </w:r>
          </w:p>
        </w:tc>
        <w:tc>
          <w:tcPr>
            <w:tcW w:w="1559" w:type="dxa"/>
          </w:tcPr>
          <w:p w14:paraId="7B9702AF" w14:textId="77777777" w:rsidR="00B823F8" w:rsidRPr="00A53AD7" w:rsidRDefault="00B823F8" w:rsidP="00B823F8">
            <w:pPr>
              <w:pStyle w:val="ad"/>
              <w:jc w:val="center"/>
              <w:rPr>
                <w:rFonts w:ascii="Times New Roman" w:hAnsi="Times New Roman"/>
              </w:rPr>
            </w:pPr>
            <w:r w:rsidRPr="00A53AD7">
              <w:rPr>
                <w:rFonts w:ascii="Times New Roman" w:hAnsi="Times New Roman"/>
              </w:rPr>
              <w:t>35,6</w:t>
            </w:r>
          </w:p>
        </w:tc>
        <w:tc>
          <w:tcPr>
            <w:tcW w:w="1559" w:type="dxa"/>
          </w:tcPr>
          <w:p w14:paraId="6B4EEE4E" w14:textId="77777777" w:rsidR="00B823F8" w:rsidRPr="00A53AD7" w:rsidRDefault="00B823F8" w:rsidP="00B823F8">
            <w:pPr>
              <w:pStyle w:val="ad"/>
              <w:jc w:val="center"/>
              <w:rPr>
                <w:rFonts w:ascii="Times New Roman" w:hAnsi="Times New Roman"/>
              </w:rPr>
            </w:pPr>
            <w:r w:rsidRPr="00A53AD7">
              <w:rPr>
                <w:rFonts w:ascii="Times New Roman" w:hAnsi="Times New Roman"/>
              </w:rPr>
              <w:t>144,9</w:t>
            </w:r>
          </w:p>
        </w:tc>
      </w:tr>
      <w:tr w:rsidR="00D470B6" w:rsidRPr="00A53AD7" w14:paraId="1E3C0990" w14:textId="77777777" w:rsidTr="00E51A87">
        <w:tc>
          <w:tcPr>
            <w:tcW w:w="3104" w:type="dxa"/>
          </w:tcPr>
          <w:p w14:paraId="33366CE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49FD4B5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1540058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1,5%</w:t>
            </w:r>
          </w:p>
        </w:tc>
        <w:tc>
          <w:tcPr>
            <w:tcW w:w="1559" w:type="dxa"/>
          </w:tcPr>
          <w:p w14:paraId="5420B30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24,4%</w:t>
            </w:r>
          </w:p>
        </w:tc>
        <w:tc>
          <w:tcPr>
            <w:tcW w:w="1559" w:type="dxa"/>
          </w:tcPr>
          <w:p w14:paraId="0580189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99,8%</w:t>
            </w:r>
          </w:p>
        </w:tc>
      </w:tr>
      <w:tr w:rsidR="00D470B6" w:rsidRPr="00A53AD7" w14:paraId="620A4980" w14:textId="77777777" w:rsidTr="00E51A87">
        <w:tc>
          <w:tcPr>
            <w:tcW w:w="3104" w:type="dxa"/>
          </w:tcPr>
          <w:p w14:paraId="00478F57" w14:textId="6843E9D2" w:rsidR="00B823F8" w:rsidRPr="00A53AD7" w:rsidRDefault="00B823F8" w:rsidP="00E51A87">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030349C3"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560" w:type="dxa"/>
          </w:tcPr>
          <w:p w14:paraId="76280754" w14:textId="77777777" w:rsidR="00B823F8" w:rsidRPr="00A53AD7" w:rsidRDefault="00B823F8" w:rsidP="00B823F8">
            <w:pPr>
              <w:pStyle w:val="ad"/>
              <w:jc w:val="center"/>
              <w:rPr>
                <w:rFonts w:ascii="Times New Roman" w:hAnsi="Times New Roman"/>
              </w:rPr>
            </w:pPr>
            <w:r w:rsidRPr="00A53AD7">
              <w:rPr>
                <w:rFonts w:ascii="Times New Roman" w:hAnsi="Times New Roman"/>
              </w:rPr>
              <w:t>9</w:t>
            </w:r>
          </w:p>
        </w:tc>
        <w:tc>
          <w:tcPr>
            <w:tcW w:w="1559" w:type="dxa"/>
          </w:tcPr>
          <w:p w14:paraId="47960C87"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559" w:type="dxa"/>
          </w:tcPr>
          <w:p w14:paraId="4DE4EAA3"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r>
      <w:tr w:rsidR="00D470B6" w:rsidRPr="00A53AD7" w14:paraId="18F20B8B" w14:textId="77777777" w:rsidTr="00E51A87">
        <w:tc>
          <w:tcPr>
            <w:tcW w:w="3104" w:type="dxa"/>
          </w:tcPr>
          <w:p w14:paraId="3FB2AEFB"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44EFBA3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3BC77A17"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6EA3A157"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559" w:type="dxa"/>
          </w:tcPr>
          <w:p w14:paraId="16717068"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r>
      <w:tr w:rsidR="00B823F8" w:rsidRPr="00A53AD7" w14:paraId="1D0B2562" w14:textId="77777777" w:rsidTr="00E51A87">
        <w:tc>
          <w:tcPr>
            <w:tcW w:w="3104" w:type="dxa"/>
          </w:tcPr>
          <w:p w14:paraId="18B18B18"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6E31E903" w14:textId="77777777" w:rsidR="00B823F8" w:rsidRPr="00A53AD7" w:rsidRDefault="00B823F8" w:rsidP="00B823F8">
            <w:pPr>
              <w:pStyle w:val="ad"/>
              <w:jc w:val="center"/>
              <w:rPr>
                <w:rFonts w:ascii="Times New Roman" w:hAnsi="Times New Roman"/>
                <w:b/>
              </w:rPr>
            </w:pPr>
          </w:p>
        </w:tc>
        <w:tc>
          <w:tcPr>
            <w:tcW w:w="1560" w:type="dxa"/>
          </w:tcPr>
          <w:p w14:paraId="0BC51B5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22,2%</w:t>
            </w:r>
          </w:p>
        </w:tc>
        <w:tc>
          <w:tcPr>
            <w:tcW w:w="1559" w:type="dxa"/>
          </w:tcPr>
          <w:p w14:paraId="23B7A19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62,5%</w:t>
            </w:r>
          </w:p>
        </w:tc>
        <w:tc>
          <w:tcPr>
            <w:tcW w:w="1559" w:type="dxa"/>
          </w:tcPr>
          <w:p w14:paraId="56BFF44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4FA5CF0E" w14:textId="77777777" w:rsidR="00B823F8" w:rsidRPr="00A53AD7" w:rsidRDefault="00B823F8" w:rsidP="00B823F8">
      <w:pPr>
        <w:pStyle w:val="ad"/>
        <w:jc w:val="both"/>
        <w:rPr>
          <w:rFonts w:ascii="Times New Roman" w:hAnsi="Times New Roman"/>
          <w:sz w:val="28"/>
          <w:szCs w:val="28"/>
        </w:rPr>
      </w:pPr>
    </w:p>
    <w:p w14:paraId="27053D9B" w14:textId="55F14874" w:rsidR="00B823F8" w:rsidRPr="00A53AD7" w:rsidRDefault="00B823F8" w:rsidP="00B116C6">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по главному распорядителю министерству строительства составило:</w:t>
      </w:r>
    </w:p>
    <w:p w14:paraId="0F191DE8"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14"/>
        <w:gridCol w:w="1529"/>
        <w:gridCol w:w="1560"/>
        <w:gridCol w:w="1559"/>
        <w:gridCol w:w="1559"/>
      </w:tblGrid>
      <w:tr w:rsidR="00D470B6" w:rsidRPr="00A53AD7" w14:paraId="36E9E08C" w14:textId="77777777" w:rsidTr="000826E4">
        <w:tc>
          <w:tcPr>
            <w:tcW w:w="3114" w:type="dxa"/>
          </w:tcPr>
          <w:p w14:paraId="519D0268" w14:textId="77777777" w:rsidR="00B823F8" w:rsidRPr="00A53AD7" w:rsidRDefault="00B823F8" w:rsidP="00B823F8">
            <w:pPr>
              <w:pStyle w:val="ad"/>
              <w:jc w:val="both"/>
              <w:rPr>
                <w:rFonts w:ascii="Times New Roman" w:hAnsi="Times New Roman"/>
              </w:rPr>
            </w:pPr>
          </w:p>
        </w:tc>
        <w:tc>
          <w:tcPr>
            <w:tcW w:w="1529" w:type="dxa"/>
          </w:tcPr>
          <w:p w14:paraId="0F72214E"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287478C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174AB3D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27E27D33"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701CB25E" w14:textId="77777777" w:rsidTr="000826E4">
        <w:tc>
          <w:tcPr>
            <w:tcW w:w="3114" w:type="dxa"/>
          </w:tcPr>
          <w:p w14:paraId="45583E97"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9" w:type="dxa"/>
          </w:tcPr>
          <w:p w14:paraId="6565F7A0" w14:textId="77777777" w:rsidR="00B823F8" w:rsidRPr="00A53AD7" w:rsidRDefault="00B823F8" w:rsidP="00B823F8">
            <w:pPr>
              <w:pStyle w:val="ad"/>
              <w:jc w:val="center"/>
              <w:rPr>
                <w:rFonts w:ascii="Times New Roman" w:hAnsi="Times New Roman"/>
              </w:rPr>
            </w:pPr>
            <w:r w:rsidRPr="00A53AD7">
              <w:rPr>
                <w:rFonts w:ascii="Times New Roman" w:hAnsi="Times New Roman"/>
              </w:rPr>
              <w:t>26,5</w:t>
            </w:r>
          </w:p>
        </w:tc>
        <w:tc>
          <w:tcPr>
            <w:tcW w:w="1560" w:type="dxa"/>
          </w:tcPr>
          <w:p w14:paraId="13D9ADFD" w14:textId="77777777" w:rsidR="00B823F8" w:rsidRPr="00A53AD7" w:rsidRDefault="00B823F8" w:rsidP="00B823F8">
            <w:pPr>
              <w:pStyle w:val="ad"/>
              <w:jc w:val="center"/>
              <w:rPr>
                <w:rFonts w:ascii="Times New Roman" w:hAnsi="Times New Roman"/>
              </w:rPr>
            </w:pPr>
            <w:r w:rsidRPr="00A53AD7">
              <w:rPr>
                <w:rFonts w:ascii="Times New Roman" w:hAnsi="Times New Roman"/>
              </w:rPr>
              <w:t>26,5</w:t>
            </w:r>
          </w:p>
        </w:tc>
        <w:tc>
          <w:tcPr>
            <w:tcW w:w="1559" w:type="dxa"/>
          </w:tcPr>
          <w:p w14:paraId="20F475DD" w14:textId="77777777" w:rsidR="00B823F8" w:rsidRPr="00A53AD7" w:rsidRDefault="00B823F8" w:rsidP="00B823F8">
            <w:pPr>
              <w:pStyle w:val="ad"/>
              <w:jc w:val="center"/>
              <w:rPr>
                <w:rFonts w:ascii="Times New Roman" w:hAnsi="Times New Roman"/>
              </w:rPr>
            </w:pPr>
            <w:r w:rsidRPr="00A53AD7">
              <w:rPr>
                <w:rFonts w:ascii="Times New Roman" w:hAnsi="Times New Roman"/>
              </w:rPr>
              <w:t>27,3</w:t>
            </w:r>
          </w:p>
        </w:tc>
        <w:tc>
          <w:tcPr>
            <w:tcW w:w="1559" w:type="dxa"/>
          </w:tcPr>
          <w:p w14:paraId="5D5A668A" w14:textId="77777777" w:rsidR="00B823F8" w:rsidRPr="00A53AD7" w:rsidRDefault="00B823F8" w:rsidP="00B823F8">
            <w:pPr>
              <w:pStyle w:val="ad"/>
              <w:jc w:val="center"/>
              <w:rPr>
                <w:rFonts w:ascii="Times New Roman" w:hAnsi="Times New Roman"/>
              </w:rPr>
            </w:pPr>
            <w:r w:rsidRPr="00A53AD7">
              <w:rPr>
                <w:rFonts w:ascii="Times New Roman" w:hAnsi="Times New Roman"/>
              </w:rPr>
              <w:t>26,4</w:t>
            </w:r>
          </w:p>
        </w:tc>
      </w:tr>
      <w:tr w:rsidR="00D470B6" w:rsidRPr="00A53AD7" w14:paraId="6D2E4F9E" w14:textId="77777777" w:rsidTr="000826E4">
        <w:tc>
          <w:tcPr>
            <w:tcW w:w="3114" w:type="dxa"/>
          </w:tcPr>
          <w:p w14:paraId="17F3B21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7B04E703"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061F4E30" w14:textId="77777777" w:rsidR="00B823F8" w:rsidRPr="00A53AD7" w:rsidRDefault="00B823F8" w:rsidP="00B823F8">
            <w:pPr>
              <w:pStyle w:val="ad"/>
              <w:jc w:val="center"/>
              <w:rPr>
                <w:rFonts w:ascii="Times New Roman" w:hAnsi="Times New Roman"/>
              </w:rPr>
            </w:pPr>
            <w:r w:rsidRPr="00A53AD7">
              <w:rPr>
                <w:rFonts w:ascii="Times New Roman" w:hAnsi="Times New Roman"/>
              </w:rPr>
              <w:t>1,9</w:t>
            </w:r>
          </w:p>
        </w:tc>
        <w:tc>
          <w:tcPr>
            <w:tcW w:w="1559" w:type="dxa"/>
          </w:tcPr>
          <w:p w14:paraId="7A0730B8" w14:textId="77777777" w:rsidR="00B823F8" w:rsidRPr="00A53AD7" w:rsidRDefault="00B823F8" w:rsidP="00B823F8">
            <w:pPr>
              <w:pStyle w:val="ad"/>
              <w:jc w:val="center"/>
              <w:rPr>
                <w:rFonts w:ascii="Times New Roman" w:hAnsi="Times New Roman"/>
              </w:rPr>
            </w:pPr>
            <w:r w:rsidRPr="00A53AD7">
              <w:rPr>
                <w:rFonts w:ascii="Times New Roman" w:hAnsi="Times New Roman"/>
              </w:rPr>
              <w:t>7,7</w:t>
            </w:r>
          </w:p>
        </w:tc>
        <w:tc>
          <w:tcPr>
            <w:tcW w:w="1559" w:type="dxa"/>
          </w:tcPr>
          <w:p w14:paraId="00E50646" w14:textId="77777777" w:rsidR="00B823F8" w:rsidRPr="00A53AD7" w:rsidRDefault="00B823F8" w:rsidP="00B823F8">
            <w:pPr>
              <w:pStyle w:val="ad"/>
              <w:jc w:val="center"/>
              <w:rPr>
                <w:rFonts w:ascii="Times New Roman" w:hAnsi="Times New Roman"/>
              </w:rPr>
            </w:pPr>
            <w:r w:rsidRPr="00A53AD7">
              <w:rPr>
                <w:rFonts w:ascii="Times New Roman" w:hAnsi="Times New Roman"/>
              </w:rPr>
              <w:t>26,4</w:t>
            </w:r>
          </w:p>
        </w:tc>
      </w:tr>
      <w:tr w:rsidR="00D470B6" w:rsidRPr="00A53AD7" w14:paraId="19373C38" w14:textId="77777777" w:rsidTr="000826E4">
        <w:tc>
          <w:tcPr>
            <w:tcW w:w="3114" w:type="dxa"/>
          </w:tcPr>
          <w:p w14:paraId="24B1565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9" w:type="dxa"/>
          </w:tcPr>
          <w:p w14:paraId="424A02E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2C5D18D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7,2%</w:t>
            </w:r>
          </w:p>
        </w:tc>
        <w:tc>
          <w:tcPr>
            <w:tcW w:w="1559" w:type="dxa"/>
          </w:tcPr>
          <w:p w14:paraId="0A8F35F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28,2%</w:t>
            </w:r>
          </w:p>
        </w:tc>
        <w:tc>
          <w:tcPr>
            <w:tcW w:w="1559" w:type="dxa"/>
          </w:tcPr>
          <w:p w14:paraId="3317201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226960FC" w14:textId="77777777" w:rsidTr="000826E4">
        <w:tc>
          <w:tcPr>
            <w:tcW w:w="3114" w:type="dxa"/>
          </w:tcPr>
          <w:p w14:paraId="770E01B6" w14:textId="01CF0A8F" w:rsidR="00B823F8" w:rsidRPr="00A53AD7" w:rsidRDefault="00B823F8" w:rsidP="00EE1515">
            <w:pPr>
              <w:pStyle w:val="ad"/>
              <w:jc w:val="both"/>
              <w:rPr>
                <w:rFonts w:ascii="Times New Roman" w:hAnsi="Times New Roman"/>
              </w:rPr>
            </w:pPr>
            <w:r w:rsidRPr="00A53AD7">
              <w:rPr>
                <w:rFonts w:ascii="Times New Roman" w:hAnsi="Times New Roman"/>
              </w:rPr>
              <w:t>Кол-во объектов ОАИП план</w:t>
            </w:r>
          </w:p>
        </w:tc>
        <w:tc>
          <w:tcPr>
            <w:tcW w:w="1529" w:type="dxa"/>
          </w:tcPr>
          <w:p w14:paraId="045B8136"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60" w:type="dxa"/>
          </w:tcPr>
          <w:p w14:paraId="3F8DC122"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28A78CF5"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644767E3"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r>
      <w:tr w:rsidR="00D470B6" w:rsidRPr="00A53AD7" w14:paraId="3ECDC1AC" w14:textId="77777777" w:rsidTr="000826E4">
        <w:tc>
          <w:tcPr>
            <w:tcW w:w="3114" w:type="dxa"/>
          </w:tcPr>
          <w:p w14:paraId="3FBA5E24"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6BBA6690"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68FD9A32"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641161FA"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09E8B0A8"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r>
      <w:tr w:rsidR="00B823F8" w:rsidRPr="00A53AD7" w14:paraId="441FB690" w14:textId="77777777" w:rsidTr="000826E4">
        <w:tc>
          <w:tcPr>
            <w:tcW w:w="3114" w:type="dxa"/>
          </w:tcPr>
          <w:p w14:paraId="768BB680"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9" w:type="dxa"/>
          </w:tcPr>
          <w:p w14:paraId="68E5569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137D61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59" w:type="dxa"/>
          </w:tcPr>
          <w:p w14:paraId="161C23A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66,7%</w:t>
            </w:r>
          </w:p>
        </w:tc>
        <w:tc>
          <w:tcPr>
            <w:tcW w:w="1559" w:type="dxa"/>
          </w:tcPr>
          <w:p w14:paraId="50901FC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0FAB7EAB" w14:textId="77777777" w:rsidR="00B823F8" w:rsidRPr="00A53AD7" w:rsidRDefault="00B823F8" w:rsidP="000826E4">
      <w:pPr>
        <w:pStyle w:val="ad"/>
        <w:ind w:firstLine="851"/>
        <w:jc w:val="both"/>
        <w:rPr>
          <w:rFonts w:ascii="Times New Roman" w:hAnsi="Times New Roman"/>
          <w:sz w:val="28"/>
          <w:szCs w:val="28"/>
        </w:rPr>
      </w:pPr>
    </w:p>
    <w:p w14:paraId="41271D1E" w14:textId="15820EC4" w:rsidR="00B823F8" w:rsidRPr="00A53AD7" w:rsidRDefault="00B823F8" w:rsidP="000826E4">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по главному распорядителю министерству ТЭК</w:t>
      </w:r>
      <w:r w:rsidR="00D43915" w:rsidRPr="00A53AD7">
        <w:rPr>
          <w:rFonts w:ascii="Times New Roman" w:hAnsi="Times New Roman"/>
          <w:sz w:val="28"/>
          <w:szCs w:val="28"/>
        </w:rPr>
        <w:t xml:space="preserve"> </w:t>
      </w:r>
      <w:r w:rsidRPr="00A53AD7">
        <w:rPr>
          <w:rFonts w:ascii="Times New Roman" w:hAnsi="Times New Roman"/>
          <w:sz w:val="28"/>
          <w:szCs w:val="28"/>
        </w:rPr>
        <w:t>и</w:t>
      </w:r>
      <w:r w:rsidR="00D43915" w:rsidRPr="00A53AD7">
        <w:rPr>
          <w:rFonts w:ascii="Times New Roman" w:hAnsi="Times New Roman"/>
          <w:sz w:val="28"/>
          <w:szCs w:val="28"/>
        </w:rPr>
        <w:t xml:space="preserve"> </w:t>
      </w:r>
      <w:r w:rsidRPr="00A53AD7">
        <w:rPr>
          <w:rFonts w:ascii="Times New Roman" w:hAnsi="Times New Roman"/>
          <w:sz w:val="28"/>
          <w:szCs w:val="28"/>
        </w:rPr>
        <w:t>ЖКХ составило:</w:t>
      </w:r>
    </w:p>
    <w:p w14:paraId="1494EE2E"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586C3D57" w14:textId="77777777" w:rsidTr="00A15478">
        <w:tc>
          <w:tcPr>
            <w:tcW w:w="3104" w:type="dxa"/>
          </w:tcPr>
          <w:p w14:paraId="30820BDD" w14:textId="77777777" w:rsidR="00B823F8" w:rsidRPr="00A53AD7" w:rsidRDefault="00B823F8" w:rsidP="00B823F8">
            <w:pPr>
              <w:pStyle w:val="ad"/>
              <w:jc w:val="both"/>
              <w:rPr>
                <w:rFonts w:ascii="Times New Roman" w:hAnsi="Times New Roman"/>
              </w:rPr>
            </w:pPr>
          </w:p>
        </w:tc>
        <w:tc>
          <w:tcPr>
            <w:tcW w:w="1523" w:type="dxa"/>
          </w:tcPr>
          <w:p w14:paraId="080DFD1F"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1BB44DF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6F1F4C40"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1EBD1F73"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46FFB753" w14:textId="77777777" w:rsidTr="00A15478">
        <w:tc>
          <w:tcPr>
            <w:tcW w:w="3104" w:type="dxa"/>
          </w:tcPr>
          <w:p w14:paraId="4B7A2625"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281636BB" w14:textId="77777777" w:rsidR="00B823F8" w:rsidRPr="00A53AD7" w:rsidRDefault="00B823F8" w:rsidP="00B823F8">
            <w:pPr>
              <w:pStyle w:val="ad"/>
              <w:jc w:val="center"/>
              <w:rPr>
                <w:rFonts w:ascii="Times New Roman" w:hAnsi="Times New Roman"/>
              </w:rPr>
            </w:pPr>
            <w:r w:rsidRPr="00A53AD7">
              <w:rPr>
                <w:rFonts w:ascii="Times New Roman" w:hAnsi="Times New Roman"/>
              </w:rPr>
              <w:t>3,0</w:t>
            </w:r>
          </w:p>
        </w:tc>
        <w:tc>
          <w:tcPr>
            <w:tcW w:w="1560" w:type="dxa"/>
          </w:tcPr>
          <w:p w14:paraId="773E5CE0" w14:textId="77777777" w:rsidR="00B823F8" w:rsidRPr="00A53AD7" w:rsidRDefault="00B823F8" w:rsidP="00B823F8">
            <w:pPr>
              <w:pStyle w:val="ad"/>
              <w:jc w:val="center"/>
              <w:rPr>
                <w:rFonts w:ascii="Times New Roman" w:hAnsi="Times New Roman"/>
              </w:rPr>
            </w:pPr>
            <w:r w:rsidRPr="00A53AD7">
              <w:rPr>
                <w:rFonts w:ascii="Times New Roman" w:hAnsi="Times New Roman"/>
              </w:rPr>
              <w:t>3,0</w:t>
            </w:r>
          </w:p>
        </w:tc>
        <w:tc>
          <w:tcPr>
            <w:tcW w:w="1559" w:type="dxa"/>
          </w:tcPr>
          <w:p w14:paraId="2E7DFF61" w14:textId="77777777" w:rsidR="00B823F8" w:rsidRPr="00A53AD7" w:rsidRDefault="00B823F8" w:rsidP="00B823F8">
            <w:pPr>
              <w:pStyle w:val="ad"/>
              <w:jc w:val="center"/>
              <w:rPr>
                <w:rFonts w:ascii="Times New Roman" w:hAnsi="Times New Roman"/>
              </w:rPr>
            </w:pPr>
            <w:r w:rsidRPr="00A53AD7">
              <w:rPr>
                <w:rFonts w:ascii="Times New Roman" w:hAnsi="Times New Roman"/>
              </w:rPr>
              <w:t>3,0</w:t>
            </w:r>
          </w:p>
        </w:tc>
        <w:tc>
          <w:tcPr>
            <w:tcW w:w="1559" w:type="dxa"/>
          </w:tcPr>
          <w:p w14:paraId="32BAE569" w14:textId="77777777" w:rsidR="00B823F8" w:rsidRPr="00A53AD7" w:rsidRDefault="00B823F8" w:rsidP="00B823F8">
            <w:pPr>
              <w:pStyle w:val="ad"/>
              <w:jc w:val="center"/>
              <w:rPr>
                <w:rFonts w:ascii="Times New Roman" w:hAnsi="Times New Roman"/>
              </w:rPr>
            </w:pPr>
            <w:r w:rsidRPr="00A53AD7">
              <w:rPr>
                <w:rFonts w:ascii="Times New Roman" w:hAnsi="Times New Roman"/>
              </w:rPr>
              <w:t>3,0</w:t>
            </w:r>
          </w:p>
        </w:tc>
      </w:tr>
      <w:tr w:rsidR="00D470B6" w:rsidRPr="00A53AD7" w14:paraId="21755693" w14:textId="77777777" w:rsidTr="00A15478">
        <w:tc>
          <w:tcPr>
            <w:tcW w:w="3104" w:type="dxa"/>
          </w:tcPr>
          <w:p w14:paraId="5B28BE3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4517619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2D078425" w14:textId="77777777" w:rsidR="00B823F8" w:rsidRPr="00A53AD7" w:rsidRDefault="00B823F8" w:rsidP="00B823F8">
            <w:pPr>
              <w:pStyle w:val="ad"/>
              <w:jc w:val="center"/>
              <w:rPr>
                <w:rFonts w:ascii="Times New Roman" w:hAnsi="Times New Roman"/>
              </w:rPr>
            </w:pPr>
            <w:r w:rsidRPr="00A53AD7">
              <w:rPr>
                <w:rFonts w:ascii="Times New Roman" w:hAnsi="Times New Roman"/>
              </w:rPr>
              <w:t>0,3</w:t>
            </w:r>
          </w:p>
        </w:tc>
        <w:tc>
          <w:tcPr>
            <w:tcW w:w="1559" w:type="dxa"/>
          </w:tcPr>
          <w:p w14:paraId="14655251" w14:textId="77777777" w:rsidR="00B823F8" w:rsidRPr="00A53AD7" w:rsidRDefault="00B823F8" w:rsidP="00B823F8">
            <w:pPr>
              <w:pStyle w:val="ad"/>
              <w:jc w:val="center"/>
              <w:rPr>
                <w:rFonts w:ascii="Times New Roman" w:hAnsi="Times New Roman"/>
              </w:rPr>
            </w:pPr>
            <w:r w:rsidRPr="00A53AD7">
              <w:rPr>
                <w:rFonts w:ascii="Times New Roman" w:hAnsi="Times New Roman"/>
              </w:rPr>
              <w:t>0,3</w:t>
            </w:r>
          </w:p>
        </w:tc>
        <w:tc>
          <w:tcPr>
            <w:tcW w:w="1559" w:type="dxa"/>
          </w:tcPr>
          <w:p w14:paraId="0E139CDC" w14:textId="77777777" w:rsidR="00B823F8" w:rsidRPr="00A53AD7" w:rsidRDefault="00B823F8" w:rsidP="00B823F8">
            <w:pPr>
              <w:pStyle w:val="ad"/>
              <w:jc w:val="center"/>
              <w:rPr>
                <w:rFonts w:ascii="Times New Roman" w:hAnsi="Times New Roman"/>
              </w:rPr>
            </w:pPr>
            <w:r w:rsidRPr="00A53AD7">
              <w:rPr>
                <w:rFonts w:ascii="Times New Roman" w:hAnsi="Times New Roman"/>
              </w:rPr>
              <w:t>2,8</w:t>
            </w:r>
          </w:p>
        </w:tc>
      </w:tr>
      <w:tr w:rsidR="00D470B6" w:rsidRPr="00A53AD7" w14:paraId="2D652F82" w14:textId="77777777" w:rsidTr="00A15478">
        <w:tc>
          <w:tcPr>
            <w:tcW w:w="3104" w:type="dxa"/>
          </w:tcPr>
          <w:p w14:paraId="2D87172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328FED2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60" w:type="dxa"/>
          </w:tcPr>
          <w:p w14:paraId="568A2E5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w:t>
            </w:r>
          </w:p>
        </w:tc>
        <w:tc>
          <w:tcPr>
            <w:tcW w:w="1559" w:type="dxa"/>
          </w:tcPr>
          <w:p w14:paraId="0E2171E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w:t>
            </w:r>
          </w:p>
        </w:tc>
        <w:tc>
          <w:tcPr>
            <w:tcW w:w="1559" w:type="dxa"/>
          </w:tcPr>
          <w:p w14:paraId="341BE67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93,3%</w:t>
            </w:r>
          </w:p>
        </w:tc>
      </w:tr>
      <w:tr w:rsidR="00D470B6" w:rsidRPr="00A53AD7" w14:paraId="7D837F1B" w14:textId="77777777" w:rsidTr="00A15478">
        <w:tc>
          <w:tcPr>
            <w:tcW w:w="3104" w:type="dxa"/>
          </w:tcPr>
          <w:p w14:paraId="1DDC649F" w14:textId="08656F01" w:rsidR="00B823F8" w:rsidRPr="00A53AD7" w:rsidRDefault="00B823F8" w:rsidP="00A15478">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29BEC841"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60" w:type="dxa"/>
          </w:tcPr>
          <w:p w14:paraId="20DD689B"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2A017ACD"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09AE446B"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r>
      <w:tr w:rsidR="00D470B6" w:rsidRPr="00A53AD7" w14:paraId="40C706BC" w14:textId="77777777" w:rsidTr="00A15478">
        <w:tc>
          <w:tcPr>
            <w:tcW w:w="3104" w:type="dxa"/>
          </w:tcPr>
          <w:p w14:paraId="38B01E87"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578FF44A"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489B8D27"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1282FBF2"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4608202C"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r>
      <w:tr w:rsidR="00B823F8" w:rsidRPr="00A53AD7" w14:paraId="7C5F1EFD" w14:textId="77777777" w:rsidTr="00A15478">
        <w:tc>
          <w:tcPr>
            <w:tcW w:w="3104" w:type="dxa"/>
          </w:tcPr>
          <w:p w14:paraId="2E5A3077"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55021AB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CC80EB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59" w:type="dxa"/>
          </w:tcPr>
          <w:p w14:paraId="31E93E5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59" w:type="dxa"/>
          </w:tcPr>
          <w:p w14:paraId="5C09BB3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6834C818" w14:textId="77777777" w:rsidR="00B823F8" w:rsidRPr="00A53AD7" w:rsidRDefault="00B823F8" w:rsidP="00B823F8">
      <w:pPr>
        <w:pStyle w:val="ad"/>
        <w:jc w:val="both"/>
        <w:rPr>
          <w:rFonts w:ascii="Times New Roman" w:hAnsi="Times New Roman"/>
          <w:sz w:val="28"/>
          <w:szCs w:val="28"/>
          <w:highlight w:val="cyan"/>
        </w:rPr>
      </w:pPr>
    </w:p>
    <w:p w14:paraId="4BED280B" w14:textId="366034C8" w:rsidR="00B823F8" w:rsidRPr="00A53AD7" w:rsidRDefault="00B823F8" w:rsidP="00A15478">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по главному распорядителю министерству транспорта составило:</w:t>
      </w:r>
    </w:p>
    <w:p w14:paraId="64261A57"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23617C30" w14:textId="77777777" w:rsidTr="00D20AD6">
        <w:tc>
          <w:tcPr>
            <w:tcW w:w="3104" w:type="dxa"/>
          </w:tcPr>
          <w:p w14:paraId="24CD6E79" w14:textId="77777777" w:rsidR="00B823F8" w:rsidRPr="00A53AD7" w:rsidRDefault="00B823F8" w:rsidP="00B823F8">
            <w:pPr>
              <w:pStyle w:val="ad"/>
              <w:jc w:val="both"/>
              <w:rPr>
                <w:rFonts w:ascii="Times New Roman" w:hAnsi="Times New Roman"/>
              </w:rPr>
            </w:pPr>
          </w:p>
        </w:tc>
        <w:tc>
          <w:tcPr>
            <w:tcW w:w="1523" w:type="dxa"/>
          </w:tcPr>
          <w:p w14:paraId="7813DCE3" w14:textId="77777777" w:rsidR="00B823F8" w:rsidRPr="00A53AD7" w:rsidRDefault="00B823F8" w:rsidP="00D20AD6">
            <w:pPr>
              <w:pStyle w:val="ad"/>
              <w:ind w:right="-50"/>
              <w:jc w:val="both"/>
              <w:rPr>
                <w:rFonts w:ascii="Times New Roman" w:hAnsi="Times New Roman"/>
              </w:rPr>
            </w:pPr>
            <w:r w:rsidRPr="00A53AD7">
              <w:rPr>
                <w:rFonts w:ascii="Times New Roman" w:hAnsi="Times New Roman"/>
              </w:rPr>
              <w:t>На 01.04.2019</w:t>
            </w:r>
          </w:p>
        </w:tc>
        <w:tc>
          <w:tcPr>
            <w:tcW w:w="1560" w:type="dxa"/>
          </w:tcPr>
          <w:p w14:paraId="2D0DF4DD"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0B779AA1"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0673CBE3"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532950DF" w14:textId="77777777" w:rsidTr="00D20AD6">
        <w:tc>
          <w:tcPr>
            <w:tcW w:w="3104" w:type="dxa"/>
          </w:tcPr>
          <w:p w14:paraId="6DE6042B"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2C3AD172" w14:textId="77777777" w:rsidR="00B823F8" w:rsidRPr="00A53AD7" w:rsidRDefault="00B823F8" w:rsidP="00B823F8">
            <w:pPr>
              <w:pStyle w:val="ad"/>
              <w:jc w:val="center"/>
              <w:rPr>
                <w:rFonts w:ascii="Times New Roman" w:hAnsi="Times New Roman"/>
              </w:rPr>
            </w:pPr>
            <w:r w:rsidRPr="00A53AD7">
              <w:rPr>
                <w:rFonts w:ascii="Times New Roman" w:hAnsi="Times New Roman"/>
              </w:rPr>
              <w:t>128,3</w:t>
            </w:r>
          </w:p>
        </w:tc>
        <w:tc>
          <w:tcPr>
            <w:tcW w:w="1560" w:type="dxa"/>
          </w:tcPr>
          <w:p w14:paraId="6781C493" w14:textId="77777777" w:rsidR="00B823F8" w:rsidRPr="00A53AD7" w:rsidRDefault="00B823F8" w:rsidP="00B823F8">
            <w:pPr>
              <w:pStyle w:val="ad"/>
              <w:jc w:val="center"/>
              <w:rPr>
                <w:rFonts w:ascii="Times New Roman" w:hAnsi="Times New Roman"/>
              </w:rPr>
            </w:pPr>
            <w:r w:rsidRPr="00A53AD7">
              <w:rPr>
                <w:rFonts w:ascii="Times New Roman" w:hAnsi="Times New Roman"/>
              </w:rPr>
              <w:t>115,7</w:t>
            </w:r>
          </w:p>
        </w:tc>
        <w:tc>
          <w:tcPr>
            <w:tcW w:w="1559" w:type="dxa"/>
          </w:tcPr>
          <w:p w14:paraId="785F2426" w14:textId="77777777" w:rsidR="00B823F8" w:rsidRPr="00A53AD7" w:rsidRDefault="00B823F8" w:rsidP="00B823F8">
            <w:pPr>
              <w:pStyle w:val="ad"/>
              <w:jc w:val="center"/>
              <w:rPr>
                <w:rFonts w:ascii="Times New Roman" w:hAnsi="Times New Roman"/>
              </w:rPr>
            </w:pPr>
            <w:r w:rsidRPr="00A53AD7">
              <w:rPr>
                <w:rFonts w:ascii="Times New Roman" w:hAnsi="Times New Roman"/>
              </w:rPr>
              <w:t>115,7</w:t>
            </w:r>
          </w:p>
        </w:tc>
        <w:tc>
          <w:tcPr>
            <w:tcW w:w="1559" w:type="dxa"/>
          </w:tcPr>
          <w:p w14:paraId="74FAC375" w14:textId="77777777" w:rsidR="00B823F8" w:rsidRPr="00A53AD7" w:rsidRDefault="00B823F8" w:rsidP="00B823F8">
            <w:pPr>
              <w:pStyle w:val="ad"/>
              <w:jc w:val="center"/>
              <w:rPr>
                <w:rFonts w:ascii="Times New Roman" w:hAnsi="Times New Roman"/>
              </w:rPr>
            </w:pPr>
            <w:r w:rsidRPr="00A53AD7">
              <w:rPr>
                <w:rFonts w:ascii="Times New Roman" w:hAnsi="Times New Roman"/>
              </w:rPr>
              <w:t>115,7</w:t>
            </w:r>
          </w:p>
        </w:tc>
      </w:tr>
      <w:tr w:rsidR="00D470B6" w:rsidRPr="00A53AD7" w14:paraId="7403153E" w14:textId="77777777" w:rsidTr="00D20AD6">
        <w:tc>
          <w:tcPr>
            <w:tcW w:w="3104" w:type="dxa"/>
          </w:tcPr>
          <w:p w14:paraId="73104E1B"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53914C81" w14:textId="77777777" w:rsidR="00B823F8" w:rsidRPr="00A53AD7" w:rsidRDefault="00B823F8" w:rsidP="00B823F8">
            <w:pPr>
              <w:pStyle w:val="ad"/>
              <w:jc w:val="center"/>
              <w:rPr>
                <w:rFonts w:ascii="Times New Roman" w:hAnsi="Times New Roman"/>
              </w:rPr>
            </w:pPr>
            <w:r w:rsidRPr="00A53AD7">
              <w:rPr>
                <w:rFonts w:ascii="Times New Roman" w:hAnsi="Times New Roman"/>
              </w:rPr>
              <w:t>0,0</w:t>
            </w:r>
          </w:p>
        </w:tc>
        <w:tc>
          <w:tcPr>
            <w:tcW w:w="1560" w:type="dxa"/>
          </w:tcPr>
          <w:p w14:paraId="0830E3E2"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56A3019C" w14:textId="77777777" w:rsidR="00B823F8" w:rsidRPr="00A53AD7" w:rsidRDefault="00B823F8" w:rsidP="00B823F8">
            <w:pPr>
              <w:pStyle w:val="ad"/>
              <w:jc w:val="center"/>
              <w:rPr>
                <w:rFonts w:ascii="Times New Roman" w:hAnsi="Times New Roman"/>
              </w:rPr>
            </w:pPr>
            <w:r w:rsidRPr="00A53AD7">
              <w:rPr>
                <w:rFonts w:ascii="Times New Roman" w:hAnsi="Times New Roman"/>
              </w:rPr>
              <w:t>27,6</w:t>
            </w:r>
          </w:p>
        </w:tc>
        <w:tc>
          <w:tcPr>
            <w:tcW w:w="1559" w:type="dxa"/>
          </w:tcPr>
          <w:p w14:paraId="46819377" w14:textId="77777777" w:rsidR="00B823F8" w:rsidRPr="00A53AD7" w:rsidRDefault="00B823F8" w:rsidP="00B823F8">
            <w:pPr>
              <w:pStyle w:val="ad"/>
              <w:jc w:val="center"/>
              <w:rPr>
                <w:rFonts w:ascii="Times New Roman" w:hAnsi="Times New Roman"/>
              </w:rPr>
            </w:pPr>
            <w:r w:rsidRPr="00A53AD7">
              <w:rPr>
                <w:rFonts w:ascii="Times New Roman" w:hAnsi="Times New Roman"/>
              </w:rPr>
              <w:t>115,7</w:t>
            </w:r>
          </w:p>
        </w:tc>
      </w:tr>
      <w:tr w:rsidR="00D470B6" w:rsidRPr="00A53AD7" w14:paraId="0E2565AD" w14:textId="77777777" w:rsidTr="00D20AD6">
        <w:tc>
          <w:tcPr>
            <w:tcW w:w="3104" w:type="dxa"/>
          </w:tcPr>
          <w:p w14:paraId="3552E3A2"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47F39E4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60" w:type="dxa"/>
          </w:tcPr>
          <w:p w14:paraId="680C279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3557BA3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23,9%</w:t>
            </w:r>
          </w:p>
        </w:tc>
        <w:tc>
          <w:tcPr>
            <w:tcW w:w="1559" w:type="dxa"/>
          </w:tcPr>
          <w:p w14:paraId="01900BE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4AD1C46A" w14:textId="77777777" w:rsidTr="00D20AD6">
        <w:tc>
          <w:tcPr>
            <w:tcW w:w="3104" w:type="dxa"/>
          </w:tcPr>
          <w:p w14:paraId="4BBA5FA3" w14:textId="66AE1F4D" w:rsidR="00B823F8" w:rsidRPr="00A53AD7" w:rsidRDefault="00B823F8" w:rsidP="00712390">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6D57EB58"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60" w:type="dxa"/>
          </w:tcPr>
          <w:p w14:paraId="696F1415"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069ABA92"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4911CC27"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r>
      <w:tr w:rsidR="00D470B6" w:rsidRPr="00A53AD7" w14:paraId="09A802E0" w14:textId="77777777" w:rsidTr="00D20AD6">
        <w:tc>
          <w:tcPr>
            <w:tcW w:w="3104" w:type="dxa"/>
          </w:tcPr>
          <w:p w14:paraId="6C6904F3"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13EFD471"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72B5B7C2"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40577CF8"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77621AB8"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r>
      <w:tr w:rsidR="00B823F8" w:rsidRPr="00A53AD7" w14:paraId="5E4A8007" w14:textId="77777777" w:rsidTr="00D20AD6">
        <w:tc>
          <w:tcPr>
            <w:tcW w:w="3104" w:type="dxa"/>
          </w:tcPr>
          <w:p w14:paraId="0D8312EF"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787A203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60" w:type="dxa"/>
          </w:tcPr>
          <w:p w14:paraId="003272B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2A687C4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559" w:type="dxa"/>
          </w:tcPr>
          <w:p w14:paraId="05746B7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6B1E6C4D" w14:textId="77777777" w:rsidR="00B823F8" w:rsidRPr="00A53AD7" w:rsidRDefault="00B823F8" w:rsidP="00712390">
      <w:pPr>
        <w:pStyle w:val="ad"/>
        <w:ind w:firstLine="851"/>
        <w:jc w:val="both"/>
        <w:rPr>
          <w:rFonts w:ascii="Times New Roman" w:hAnsi="Times New Roman"/>
          <w:sz w:val="28"/>
          <w:szCs w:val="28"/>
        </w:rPr>
      </w:pPr>
    </w:p>
    <w:p w14:paraId="092DA50F" w14:textId="77777777" w:rsidR="00B823F8" w:rsidRPr="00A53AD7" w:rsidRDefault="00B823F8" w:rsidP="00712390">
      <w:pPr>
        <w:pStyle w:val="ad"/>
        <w:ind w:firstLine="851"/>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259,9 млн.руб., согласно показателям бюджетной росписи 259,9 млн.руб., согласно отчету об исполнении бюджета расходы исполнены на 257,9 млн.руб.</w:t>
      </w:r>
    </w:p>
    <w:p w14:paraId="3721F742"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49"/>
        <w:gridCol w:w="1560"/>
        <w:gridCol w:w="1559"/>
        <w:gridCol w:w="1559"/>
      </w:tblGrid>
      <w:tr w:rsidR="00D470B6" w:rsidRPr="00A53AD7" w14:paraId="44EA5605" w14:textId="77777777" w:rsidTr="002166D1">
        <w:tc>
          <w:tcPr>
            <w:tcW w:w="3104" w:type="dxa"/>
          </w:tcPr>
          <w:p w14:paraId="2D176B68" w14:textId="77777777" w:rsidR="00B823F8" w:rsidRPr="00A53AD7" w:rsidRDefault="00B823F8" w:rsidP="00B823F8">
            <w:pPr>
              <w:pStyle w:val="ad"/>
              <w:jc w:val="both"/>
              <w:rPr>
                <w:rFonts w:ascii="Times New Roman" w:hAnsi="Times New Roman"/>
              </w:rPr>
            </w:pPr>
          </w:p>
        </w:tc>
        <w:tc>
          <w:tcPr>
            <w:tcW w:w="1549" w:type="dxa"/>
          </w:tcPr>
          <w:p w14:paraId="768032BE"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2F27AB8B"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1FECCB8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5A493104"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56BAFC4E" w14:textId="77777777" w:rsidTr="002166D1">
        <w:tc>
          <w:tcPr>
            <w:tcW w:w="3104" w:type="dxa"/>
          </w:tcPr>
          <w:p w14:paraId="6CF2E969"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49" w:type="dxa"/>
          </w:tcPr>
          <w:p w14:paraId="3DF15B0E" w14:textId="77777777" w:rsidR="00B823F8" w:rsidRPr="00A53AD7" w:rsidRDefault="00B823F8" w:rsidP="00B823F8">
            <w:pPr>
              <w:pStyle w:val="ad"/>
              <w:jc w:val="center"/>
              <w:rPr>
                <w:rFonts w:ascii="Times New Roman" w:hAnsi="Times New Roman"/>
              </w:rPr>
            </w:pPr>
            <w:r w:rsidRPr="00A53AD7">
              <w:rPr>
                <w:rFonts w:ascii="Times New Roman" w:hAnsi="Times New Roman"/>
              </w:rPr>
              <w:t>272,5</w:t>
            </w:r>
          </w:p>
        </w:tc>
        <w:tc>
          <w:tcPr>
            <w:tcW w:w="1560" w:type="dxa"/>
          </w:tcPr>
          <w:p w14:paraId="6F3EEFF1" w14:textId="77777777" w:rsidR="00B823F8" w:rsidRPr="00A53AD7" w:rsidRDefault="00B823F8" w:rsidP="00B823F8">
            <w:pPr>
              <w:pStyle w:val="ad"/>
              <w:jc w:val="center"/>
              <w:rPr>
                <w:rFonts w:ascii="Times New Roman" w:hAnsi="Times New Roman"/>
              </w:rPr>
            </w:pPr>
            <w:r w:rsidRPr="00A53AD7">
              <w:rPr>
                <w:rFonts w:ascii="Times New Roman" w:hAnsi="Times New Roman"/>
              </w:rPr>
              <w:t>266,0</w:t>
            </w:r>
          </w:p>
        </w:tc>
        <w:tc>
          <w:tcPr>
            <w:tcW w:w="1559" w:type="dxa"/>
          </w:tcPr>
          <w:p w14:paraId="5C87D1CE" w14:textId="77777777" w:rsidR="00B823F8" w:rsidRPr="00A53AD7" w:rsidRDefault="00B823F8" w:rsidP="00B823F8">
            <w:pPr>
              <w:pStyle w:val="ad"/>
              <w:jc w:val="center"/>
              <w:rPr>
                <w:rFonts w:ascii="Times New Roman" w:hAnsi="Times New Roman"/>
              </w:rPr>
            </w:pPr>
            <w:r w:rsidRPr="00A53AD7">
              <w:rPr>
                <w:rFonts w:ascii="Times New Roman" w:hAnsi="Times New Roman"/>
              </w:rPr>
              <w:t>260,8</w:t>
            </w:r>
          </w:p>
        </w:tc>
        <w:tc>
          <w:tcPr>
            <w:tcW w:w="1559" w:type="dxa"/>
          </w:tcPr>
          <w:p w14:paraId="6188C358" w14:textId="77777777" w:rsidR="00B823F8" w:rsidRPr="00A53AD7" w:rsidRDefault="00B823F8" w:rsidP="00B823F8">
            <w:pPr>
              <w:pStyle w:val="ad"/>
              <w:jc w:val="center"/>
              <w:rPr>
                <w:rFonts w:ascii="Times New Roman" w:hAnsi="Times New Roman"/>
              </w:rPr>
            </w:pPr>
            <w:r w:rsidRPr="00A53AD7">
              <w:rPr>
                <w:rFonts w:ascii="Times New Roman" w:hAnsi="Times New Roman"/>
              </w:rPr>
              <w:t>259,9</w:t>
            </w:r>
          </w:p>
        </w:tc>
      </w:tr>
      <w:tr w:rsidR="00D470B6" w:rsidRPr="00A53AD7" w14:paraId="2D05A526" w14:textId="77777777" w:rsidTr="002166D1">
        <w:tc>
          <w:tcPr>
            <w:tcW w:w="3104" w:type="dxa"/>
          </w:tcPr>
          <w:p w14:paraId="5E6E2768"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42EAB04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4079520F" w14:textId="77777777" w:rsidR="00B823F8" w:rsidRPr="00A53AD7" w:rsidRDefault="00B823F8" w:rsidP="00B823F8">
            <w:pPr>
              <w:pStyle w:val="ad"/>
              <w:jc w:val="center"/>
              <w:rPr>
                <w:rFonts w:ascii="Times New Roman" w:hAnsi="Times New Roman"/>
              </w:rPr>
            </w:pPr>
            <w:r w:rsidRPr="00A53AD7">
              <w:rPr>
                <w:rFonts w:ascii="Times New Roman" w:hAnsi="Times New Roman"/>
              </w:rPr>
              <w:t>6,6</w:t>
            </w:r>
          </w:p>
        </w:tc>
        <w:tc>
          <w:tcPr>
            <w:tcW w:w="1559" w:type="dxa"/>
          </w:tcPr>
          <w:p w14:paraId="094DE11E" w14:textId="77777777" w:rsidR="00B823F8" w:rsidRPr="00A53AD7" w:rsidRDefault="00B823F8" w:rsidP="00B823F8">
            <w:pPr>
              <w:pStyle w:val="ad"/>
              <w:jc w:val="center"/>
              <w:rPr>
                <w:rFonts w:ascii="Times New Roman" w:hAnsi="Times New Roman"/>
              </w:rPr>
            </w:pPr>
            <w:r w:rsidRPr="00A53AD7">
              <w:rPr>
                <w:rFonts w:ascii="Times New Roman" w:hAnsi="Times New Roman"/>
              </w:rPr>
              <w:t>60,2</w:t>
            </w:r>
          </w:p>
        </w:tc>
        <w:tc>
          <w:tcPr>
            <w:tcW w:w="1559" w:type="dxa"/>
          </w:tcPr>
          <w:p w14:paraId="0BC2034F" w14:textId="77777777" w:rsidR="00B823F8" w:rsidRPr="00A53AD7" w:rsidRDefault="00B823F8" w:rsidP="00B823F8">
            <w:pPr>
              <w:pStyle w:val="ad"/>
              <w:jc w:val="center"/>
              <w:rPr>
                <w:rFonts w:ascii="Times New Roman" w:hAnsi="Times New Roman"/>
              </w:rPr>
            </w:pPr>
            <w:r w:rsidRPr="00A53AD7">
              <w:rPr>
                <w:rFonts w:ascii="Times New Roman" w:hAnsi="Times New Roman"/>
              </w:rPr>
              <w:t>257,9</w:t>
            </w:r>
          </w:p>
        </w:tc>
      </w:tr>
      <w:tr w:rsidR="00D470B6" w:rsidRPr="00A53AD7" w14:paraId="38011DE7" w14:textId="77777777" w:rsidTr="002166D1">
        <w:tc>
          <w:tcPr>
            <w:tcW w:w="3104" w:type="dxa"/>
          </w:tcPr>
          <w:p w14:paraId="4C9D662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4D653E6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018243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2,5%</w:t>
            </w:r>
          </w:p>
        </w:tc>
        <w:tc>
          <w:tcPr>
            <w:tcW w:w="1559" w:type="dxa"/>
          </w:tcPr>
          <w:p w14:paraId="793295F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23,1%</w:t>
            </w:r>
          </w:p>
        </w:tc>
        <w:tc>
          <w:tcPr>
            <w:tcW w:w="1559" w:type="dxa"/>
          </w:tcPr>
          <w:p w14:paraId="24B111B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99,2%</w:t>
            </w:r>
          </w:p>
        </w:tc>
      </w:tr>
      <w:tr w:rsidR="00D470B6" w:rsidRPr="00A53AD7" w14:paraId="7ADC3B2B" w14:textId="77777777" w:rsidTr="002166D1">
        <w:tc>
          <w:tcPr>
            <w:tcW w:w="3104" w:type="dxa"/>
          </w:tcPr>
          <w:p w14:paraId="1DE4F5E5"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Минстроительства</w:t>
            </w:r>
          </w:p>
        </w:tc>
        <w:tc>
          <w:tcPr>
            <w:tcW w:w="1549" w:type="dxa"/>
          </w:tcPr>
          <w:p w14:paraId="73BA16E6" w14:textId="77777777" w:rsidR="00B823F8" w:rsidRPr="00A53AD7" w:rsidRDefault="00B823F8" w:rsidP="00B823F8">
            <w:pPr>
              <w:pStyle w:val="ad"/>
              <w:jc w:val="center"/>
              <w:rPr>
                <w:rFonts w:ascii="Times New Roman" w:hAnsi="Times New Roman"/>
                <w:b/>
              </w:rPr>
            </w:pPr>
          </w:p>
        </w:tc>
        <w:tc>
          <w:tcPr>
            <w:tcW w:w="1560" w:type="dxa"/>
          </w:tcPr>
          <w:p w14:paraId="450D650C" w14:textId="77777777" w:rsidR="00B823F8" w:rsidRPr="00A53AD7" w:rsidRDefault="00B823F8" w:rsidP="00B823F8">
            <w:pPr>
              <w:pStyle w:val="ad"/>
              <w:jc w:val="center"/>
              <w:rPr>
                <w:rFonts w:ascii="Times New Roman" w:hAnsi="Times New Roman"/>
                <w:b/>
              </w:rPr>
            </w:pPr>
          </w:p>
        </w:tc>
        <w:tc>
          <w:tcPr>
            <w:tcW w:w="1559" w:type="dxa"/>
          </w:tcPr>
          <w:p w14:paraId="2DEA61FD" w14:textId="77777777" w:rsidR="00B823F8" w:rsidRPr="00A53AD7" w:rsidRDefault="00B823F8" w:rsidP="00B823F8">
            <w:pPr>
              <w:pStyle w:val="ad"/>
              <w:jc w:val="center"/>
              <w:rPr>
                <w:rFonts w:ascii="Times New Roman" w:hAnsi="Times New Roman"/>
                <w:b/>
              </w:rPr>
            </w:pPr>
          </w:p>
        </w:tc>
        <w:tc>
          <w:tcPr>
            <w:tcW w:w="1559" w:type="dxa"/>
          </w:tcPr>
          <w:p w14:paraId="13BDFE94" w14:textId="77777777" w:rsidR="00B823F8" w:rsidRPr="00A53AD7" w:rsidRDefault="00B823F8" w:rsidP="00B823F8">
            <w:pPr>
              <w:pStyle w:val="ad"/>
              <w:jc w:val="center"/>
              <w:rPr>
                <w:rFonts w:ascii="Times New Roman" w:hAnsi="Times New Roman"/>
                <w:b/>
              </w:rPr>
            </w:pPr>
          </w:p>
        </w:tc>
      </w:tr>
      <w:tr w:rsidR="00D470B6" w:rsidRPr="00A53AD7" w14:paraId="3D473697" w14:textId="77777777" w:rsidTr="002166D1">
        <w:tc>
          <w:tcPr>
            <w:tcW w:w="3104" w:type="dxa"/>
          </w:tcPr>
          <w:p w14:paraId="6DD6E4C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49" w:type="dxa"/>
          </w:tcPr>
          <w:p w14:paraId="68142978" w14:textId="77777777" w:rsidR="00B823F8" w:rsidRPr="00A53AD7" w:rsidRDefault="00B823F8" w:rsidP="00B823F8">
            <w:pPr>
              <w:pStyle w:val="ad"/>
              <w:jc w:val="center"/>
              <w:rPr>
                <w:rFonts w:ascii="Times New Roman" w:hAnsi="Times New Roman"/>
              </w:rPr>
            </w:pPr>
            <w:r w:rsidRPr="00A53AD7">
              <w:rPr>
                <w:rFonts w:ascii="Times New Roman" w:hAnsi="Times New Roman"/>
              </w:rPr>
              <w:t>50,7</w:t>
            </w:r>
          </w:p>
        </w:tc>
        <w:tc>
          <w:tcPr>
            <w:tcW w:w="1560" w:type="dxa"/>
          </w:tcPr>
          <w:p w14:paraId="6887C5D2" w14:textId="77777777" w:rsidR="00B823F8" w:rsidRPr="00A53AD7" w:rsidRDefault="00B823F8" w:rsidP="00B823F8">
            <w:pPr>
              <w:pStyle w:val="ad"/>
              <w:jc w:val="center"/>
              <w:rPr>
                <w:rFonts w:ascii="Times New Roman" w:hAnsi="Times New Roman"/>
              </w:rPr>
            </w:pPr>
            <w:r w:rsidRPr="00A53AD7">
              <w:rPr>
                <w:rFonts w:ascii="Times New Roman" w:hAnsi="Times New Roman"/>
              </w:rPr>
              <w:t>50,7</w:t>
            </w:r>
          </w:p>
        </w:tc>
        <w:tc>
          <w:tcPr>
            <w:tcW w:w="1559" w:type="dxa"/>
          </w:tcPr>
          <w:p w14:paraId="3BBCF257" w14:textId="77777777" w:rsidR="00B823F8" w:rsidRPr="00A53AD7" w:rsidRDefault="00B823F8" w:rsidP="00B823F8">
            <w:pPr>
              <w:pStyle w:val="ad"/>
              <w:jc w:val="center"/>
              <w:rPr>
                <w:rFonts w:ascii="Times New Roman" w:hAnsi="Times New Roman"/>
              </w:rPr>
            </w:pPr>
            <w:r w:rsidRPr="00A53AD7">
              <w:rPr>
                <w:rFonts w:ascii="Times New Roman" w:hAnsi="Times New Roman"/>
              </w:rPr>
              <w:t>51,6</w:t>
            </w:r>
          </w:p>
        </w:tc>
        <w:tc>
          <w:tcPr>
            <w:tcW w:w="1559" w:type="dxa"/>
          </w:tcPr>
          <w:p w14:paraId="5AA9C068" w14:textId="77777777" w:rsidR="00B823F8" w:rsidRPr="00A53AD7" w:rsidRDefault="00B823F8" w:rsidP="00B823F8">
            <w:pPr>
              <w:pStyle w:val="ad"/>
              <w:jc w:val="center"/>
              <w:rPr>
                <w:rFonts w:ascii="Times New Roman" w:hAnsi="Times New Roman"/>
              </w:rPr>
            </w:pPr>
            <w:r w:rsidRPr="00A53AD7">
              <w:rPr>
                <w:rFonts w:ascii="Times New Roman" w:hAnsi="Times New Roman"/>
              </w:rPr>
              <w:t>50,7</w:t>
            </w:r>
          </w:p>
        </w:tc>
      </w:tr>
      <w:tr w:rsidR="00D470B6" w:rsidRPr="00A53AD7" w14:paraId="2D354D8B" w14:textId="77777777" w:rsidTr="002166D1">
        <w:tc>
          <w:tcPr>
            <w:tcW w:w="3104" w:type="dxa"/>
          </w:tcPr>
          <w:p w14:paraId="70060C6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49" w:type="dxa"/>
          </w:tcPr>
          <w:p w14:paraId="3316CB8C"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0C8B84B7" w14:textId="77777777" w:rsidR="00B823F8" w:rsidRPr="00A53AD7" w:rsidRDefault="00B823F8" w:rsidP="00B823F8">
            <w:pPr>
              <w:pStyle w:val="ad"/>
              <w:jc w:val="center"/>
              <w:rPr>
                <w:rFonts w:ascii="Times New Roman" w:hAnsi="Times New Roman"/>
              </w:rPr>
            </w:pPr>
            <w:r w:rsidRPr="00A53AD7">
              <w:rPr>
                <w:rFonts w:ascii="Times New Roman" w:hAnsi="Times New Roman"/>
              </w:rPr>
              <w:t>3,9</w:t>
            </w:r>
          </w:p>
        </w:tc>
        <w:tc>
          <w:tcPr>
            <w:tcW w:w="1559" w:type="dxa"/>
          </w:tcPr>
          <w:p w14:paraId="5F6F2590" w14:textId="77777777" w:rsidR="00B823F8" w:rsidRPr="00A53AD7" w:rsidRDefault="00B823F8" w:rsidP="00B823F8">
            <w:pPr>
              <w:pStyle w:val="ad"/>
              <w:jc w:val="center"/>
              <w:rPr>
                <w:rFonts w:ascii="Times New Roman" w:hAnsi="Times New Roman"/>
              </w:rPr>
            </w:pPr>
            <w:r w:rsidRPr="00A53AD7">
              <w:rPr>
                <w:rFonts w:ascii="Times New Roman" w:hAnsi="Times New Roman"/>
              </w:rPr>
              <w:t>16,9</w:t>
            </w:r>
          </w:p>
        </w:tc>
        <w:tc>
          <w:tcPr>
            <w:tcW w:w="1559" w:type="dxa"/>
          </w:tcPr>
          <w:p w14:paraId="4600F149" w14:textId="77777777" w:rsidR="00B823F8" w:rsidRPr="00A53AD7" w:rsidRDefault="00B823F8" w:rsidP="00B823F8">
            <w:pPr>
              <w:pStyle w:val="ad"/>
              <w:jc w:val="center"/>
              <w:rPr>
                <w:rFonts w:ascii="Times New Roman" w:hAnsi="Times New Roman"/>
              </w:rPr>
            </w:pPr>
            <w:r w:rsidRPr="00A53AD7">
              <w:rPr>
                <w:rFonts w:ascii="Times New Roman" w:hAnsi="Times New Roman"/>
              </w:rPr>
              <w:t>50,7</w:t>
            </w:r>
          </w:p>
        </w:tc>
      </w:tr>
      <w:tr w:rsidR="00D470B6" w:rsidRPr="00A53AD7" w14:paraId="2AC99C67" w14:textId="77777777" w:rsidTr="002166D1">
        <w:tc>
          <w:tcPr>
            <w:tcW w:w="3104" w:type="dxa"/>
          </w:tcPr>
          <w:p w14:paraId="70ECA70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w:t>
            </w:r>
          </w:p>
        </w:tc>
        <w:tc>
          <w:tcPr>
            <w:tcW w:w="1549" w:type="dxa"/>
          </w:tcPr>
          <w:p w14:paraId="41D0E06E" w14:textId="77777777" w:rsidR="00B823F8" w:rsidRPr="00A53AD7" w:rsidRDefault="00B823F8" w:rsidP="00B823F8">
            <w:pPr>
              <w:pStyle w:val="ad"/>
              <w:jc w:val="center"/>
              <w:rPr>
                <w:rFonts w:ascii="Times New Roman" w:hAnsi="Times New Roman"/>
                <w:b/>
              </w:rPr>
            </w:pPr>
          </w:p>
        </w:tc>
        <w:tc>
          <w:tcPr>
            <w:tcW w:w="1560" w:type="dxa"/>
          </w:tcPr>
          <w:p w14:paraId="053EC5F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7,7%</w:t>
            </w:r>
          </w:p>
        </w:tc>
        <w:tc>
          <w:tcPr>
            <w:tcW w:w="1559" w:type="dxa"/>
          </w:tcPr>
          <w:p w14:paraId="543E2F3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32,8 %</w:t>
            </w:r>
          </w:p>
        </w:tc>
        <w:tc>
          <w:tcPr>
            <w:tcW w:w="1559" w:type="dxa"/>
          </w:tcPr>
          <w:p w14:paraId="70A5FC3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77F8C25A" w14:textId="77777777" w:rsidTr="002166D1">
        <w:tc>
          <w:tcPr>
            <w:tcW w:w="3104" w:type="dxa"/>
          </w:tcPr>
          <w:p w14:paraId="1381EDC4"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МинТЭКиЖКХ</w:t>
            </w:r>
          </w:p>
        </w:tc>
        <w:tc>
          <w:tcPr>
            <w:tcW w:w="1549" w:type="dxa"/>
          </w:tcPr>
          <w:p w14:paraId="7A8B4394" w14:textId="77777777" w:rsidR="00B823F8" w:rsidRPr="00A53AD7" w:rsidRDefault="00B823F8" w:rsidP="00B823F8">
            <w:pPr>
              <w:pStyle w:val="ad"/>
              <w:jc w:val="center"/>
              <w:rPr>
                <w:rFonts w:ascii="Times New Roman" w:hAnsi="Times New Roman"/>
                <w:b/>
              </w:rPr>
            </w:pPr>
          </w:p>
        </w:tc>
        <w:tc>
          <w:tcPr>
            <w:tcW w:w="1560" w:type="dxa"/>
          </w:tcPr>
          <w:p w14:paraId="4BAC7AA1" w14:textId="77777777" w:rsidR="00B823F8" w:rsidRPr="00A53AD7" w:rsidRDefault="00B823F8" w:rsidP="00B823F8">
            <w:pPr>
              <w:pStyle w:val="ad"/>
              <w:jc w:val="center"/>
              <w:rPr>
                <w:rFonts w:ascii="Times New Roman" w:hAnsi="Times New Roman"/>
                <w:b/>
              </w:rPr>
            </w:pPr>
          </w:p>
        </w:tc>
        <w:tc>
          <w:tcPr>
            <w:tcW w:w="1559" w:type="dxa"/>
          </w:tcPr>
          <w:p w14:paraId="32E941B0" w14:textId="77777777" w:rsidR="00B823F8" w:rsidRPr="00A53AD7" w:rsidRDefault="00B823F8" w:rsidP="00B823F8">
            <w:pPr>
              <w:pStyle w:val="ad"/>
              <w:jc w:val="center"/>
              <w:rPr>
                <w:rFonts w:ascii="Times New Roman" w:hAnsi="Times New Roman"/>
                <w:b/>
              </w:rPr>
            </w:pPr>
          </w:p>
        </w:tc>
        <w:tc>
          <w:tcPr>
            <w:tcW w:w="1559" w:type="dxa"/>
          </w:tcPr>
          <w:p w14:paraId="3989D68D" w14:textId="77777777" w:rsidR="00B823F8" w:rsidRPr="00A53AD7" w:rsidRDefault="00B823F8" w:rsidP="00B823F8">
            <w:pPr>
              <w:pStyle w:val="ad"/>
              <w:jc w:val="center"/>
              <w:rPr>
                <w:rFonts w:ascii="Times New Roman" w:hAnsi="Times New Roman"/>
                <w:b/>
              </w:rPr>
            </w:pPr>
          </w:p>
        </w:tc>
      </w:tr>
      <w:tr w:rsidR="00D470B6" w:rsidRPr="00A53AD7" w14:paraId="66A5B07A" w14:textId="77777777" w:rsidTr="002166D1">
        <w:tc>
          <w:tcPr>
            <w:tcW w:w="3104" w:type="dxa"/>
          </w:tcPr>
          <w:p w14:paraId="1D44DC73"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49" w:type="dxa"/>
          </w:tcPr>
          <w:p w14:paraId="75C9F507" w14:textId="77777777" w:rsidR="00B823F8" w:rsidRPr="00A53AD7" w:rsidRDefault="00B823F8" w:rsidP="00B823F8">
            <w:pPr>
              <w:pStyle w:val="ad"/>
              <w:jc w:val="center"/>
              <w:rPr>
                <w:rFonts w:ascii="Times New Roman" w:hAnsi="Times New Roman"/>
              </w:rPr>
            </w:pPr>
            <w:r w:rsidRPr="00A53AD7">
              <w:rPr>
                <w:rFonts w:ascii="Times New Roman" w:hAnsi="Times New Roman"/>
              </w:rPr>
              <w:t>30,2</w:t>
            </w:r>
          </w:p>
        </w:tc>
        <w:tc>
          <w:tcPr>
            <w:tcW w:w="1560" w:type="dxa"/>
          </w:tcPr>
          <w:p w14:paraId="5FC9F1CC" w14:textId="77777777" w:rsidR="00B823F8" w:rsidRPr="00A53AD7" w:rsidRDefault="00B823F8" w:rsidP="00B823F8">
            <w:pPr>
              <w:pStyle w:val="ad"/>
              <w:jc w:val="center"/>
              <w:rPr>
                <w:rFonts w:ascii="Times New Roman" w:hAnsi="Times New Roman"/>
              </w:rPr>
            </w:pPr>
            <w:r w:rsidRPr="00A53AD7">
              <w:rPr>
                <w:rFonts w:ascii="Times New Roman" w:hAnsi="Times New Roman"/>
              </w:rPr>
              <w:t>30,2</w:t>
            </w:r>
          </w:p>
        </w:tc>
        <w:tc>
          <w:tcPr>
            <w:tcW w:w="1559" w:type="dxa"/>
          </w:tcPr>
          <w:p w14:paraId="614DFA72" w14:textId="77777777" w:rsidR="00B823F8" w:rsidRPr="00A53AD7" w:rsidRDefault="00B823F8" w:rsidP="00B823F8">
            <w:pPr>
              <w:pStyle w:val="ad"/>
              <w:jc w:val="center"/>
              <w:rPr>
                <w:rFonts w:ascii="Times New Roman" w:hAnsi="Times New Roman"/>
              </w:rPr>
            </w:pPr>
            <w:r w:rsidRPr="00A53AD7">
              <w:rPr>
                <w:rFonts w:ascii="Times New Roman" w:hAnsi="Times New Roman"/>
              </w:rPr>
              <w:t>30,2</w:t>
            </w:r>
          </w:p>
        </w:tc>
        <w:tc>
          <w:tcPr>
            <w:tcW w:w="1559" w:type="dxa"/>
          </w:tcPr>
          <w:p w14:paraId="078DD15E" w14:textId="77777777" w:rsidR="00B823F8" w:rsidRPr="00A53AD7" w:rsidRDefault="00B823F8" w:rsidP="00B823F8">
            <w:pPr>
              <w:pStyle w:val="ad"/>
              <w:jc w:val="center"/>
              <w:rPr>
                <w:rFonts w:ascii="Times New Roman" w:hAnsi="Times New Roman"/>
              </w:rPr>
            </w:pPr>
            <w:r w:rsidRPr="00A53AD7">
              <w:rPr>
                <w:rFonts w:ascii="Times New Roman" w:hAnsi="Times New Roman"/>
              </w:rPr>
              <w:t>30,2</w:t>
            </w:r>
          </w:p>
        </w:tc>
      </w:tr>
      <w:tr w:rsidR="00D470B6" w:rsidRPr="00A53AD7" w14:paraId="4E2AA168" w14:textId="77777777" w:rsidTr="002166D1">
        <w:tc>
          <w:tcPr>
            <w:tcW w:w="3104" w:type="dxa"/>
          </w:tcPr>
          <w:p w14:paraId="7D70346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49" w:type="dxa"/>
          </w:tcPr>
          <w:p w14:paraId="54972577" w14:textId="77777777" w:rsidR="00B823F8" w:rsidRPr="00A53AD7" w:rsidRDefault="00B823F8" w:rsidP="00B823F8">
            <w:pPr>
              <w:pStyle w:val="ad"/>
              <w:jc w:val="center"/>
              <w:rPr>
                <w:rFonts w:ascii="Times New Roman" w:hAnsi="Times New Roman"/>
              </w:rPr>
            </w:pPr>
          </w:p>
        </w:tc>
        <w:tc>
          <w:tcPr>
            <w:tcW w:w="1560" w:type="dxa"/>
          </w:tcPr>
          <w:p w14:paraId="45851C2C" w14:textId="77777777" w:rsidR="00B823F8" w:rsidRPr="00A53AD7" w:rsidRDefault="00B823F8" w:rsidP="00B823F8">
            <w:pPr>
              <w:pStyle w:val="ad"/>
              <w:jc w:val="center"/>
              <w:rPr>
                <w:rFonts w:ascii="Times New Roman" w:hAnsi="Times New Roman"/>
              </w:rPr>
            </w:pPr>
            <w:r w:rsidRPr="00A53AD7">
              <w:rPr>
                <w:rFonts w:ascii="Times New Roman" w:hAnsi="Times New Roman"/>
              </w:rPr>
              <w:t>2,7</w:t>
            </w:r>
          </w:p>
        </w:tc>
        <w:tc>
          <w:tcPr>
            <w:tcW w:w="1559" w:type="dxa"/>
          </w:tcPr>
          <w:p w14:paraId="1E96AAF0" w14:textId="77777777" w:rsidR="00B823F8" w:rsidRPr="00A53AD7" w:rsidRDefault="00B823F8" w:rsidP="00B823F8">
            <w:pPr>
              <w:pStyle w:val="ad"/>
              <w:jc w:val="center"/>
              <w:rPr>
                <w:rFonts w:ascii="Times New Roman" w:hAnsi="Times New Roman"/>
              </w:rPr>
            </w:pPr>
            <w:r w:rsidRPr="00A53AD7">
              <w:rPr>
                <w:rFonts w:ascii="Times New Roman" w:hAnsi="Times New Roman"/>
              </w:rPr>
              <w:t>2,7</w:t>
            </w:r>
          </w:p>
        </w:tc>
        <w:tc>
          <w:tcPr>
            <w:tcW w:w="1559" w:type="dxa"/>
          </w:tcPr>
          <w:p w14:paraId="152882B2" w14:textId="77777777" w:rsidR="00B823F8" w:rsidRPr="00A53AD7" w:rsidRDefault="00B823F8" w:rsidP="00B823F8">
            <w:pPr>
              <w:pStyle w:val="ad"/>
              <w:jc w:val="center"/>
              <w:rPr>
                <w:rFonts w:ascii="Times New Roman" w:hAnsi="Times New Roman"/>
              </w:rPr>
            </w:pPr>
            <w:r w:rsidRPr="00A53AD7">
              <w:rPr>
                <w:rFonts w:ascii="Times New Roman" w:hAnsi="Times New Roman"/>
              </w:rPr>
              <w:t>28,2</w:t>
            </w:r>
          </w:p>
        </w:tc>
      </w:tr>
      <w:tr w:rsidR="00D470B6" w:rsidRPr="00A53AD7" w14:paraId="52CA24BE" w14:textId="77777777" w:rsidTr="002166D1">
        <w:tc>
          <w:tcPr>
            <w:tcW w:w="3104" w:type="dxa"/>
          </w:tcPr>
          <w:p w14:paraId="547EFC3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269E4689" w14:textId="77777777" w:rsidR="00B823F8" w:rsidRPr="00A53AD7" w:rsidRDefault="00B823F8" w:rsidP="00B823F8">
            <w:pPr>
              <w:pStyle w:val="ad"/>
              <w:jc w:val="center"/>
              <w:rPr>
                <w:rFonts w:ascii="Times New Roman" w:hAnsi="Times New Roman"/>
                <w:b/>
              </w:rPr>
            </w:pPr>
          </w:p>
        </w:tc>
        <w:tc>
          <w:tcPr>
            <w:tcW w:w="1560" w:type="dxa"/>
          </w:tcPr>
          <w:p w14:paraId="2104C1F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9,3 %</w:t>
            </w:r>
          </w:p>
        </w:tc>
        <w:tc>
          <w:tcPr>
            <w:tcW w:w="1559" w:type="dxa"/>
          </w:tcPr>
          <w:p w14:paraId="4E923CE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8,9%</w:t>
            </w:r>
          </w:p>
        </w:tc>
        <w:tc>
          <w:tcPr>
            <w:tcW w:w="1559" w:type="dxa"/>
          </w:tcPr>
          <w:p w14:paraId="5B36724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93,4%</w:t>
            </w:r>
          </w:p>
        </w:tc>
      </w:tr>
      <w:tr w:rsidR="00D470B6" w:rsidRPr="00A53AD7" w14:paraId="0732B525" w14:textId="77777777" w:rsidTr="002166D1">
        <w:tc>
          <w:tcPr>
            <w:tcW w:w="3104" w:type="dxa"/>
          </w:tcPr>
          <w:p w14:paraId="2FF073E7"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Минтранспорта</w:t>
            </w:r>
          </w:p>
        </w:tc>
        <w:tc>
          <w:tcPr>
            <w:tcW w:w="1549" w:type="dxa"/>
          </w:tcPr>
          <w:p w14:paraId="369B2775" w14:textId="77777777" w:rsidR="00B823F8" w:rsidRPr="00A53AD7" w:rsidRDefault="00B823F8" w:rsidP="00B823F8">
            <w:pPr>
              <w:pStyle w:val="ad"/>
              <w:jc w:val="center"/>
              <w:rPr>
                <w:rFonts w:ascii="Times New Roman" w:hAnsi="Times New Roman"/>
                <w:b/>
              </w:rPr>
            </w:pPr>
          </w:p>
        </w:tc>
        <w:tc>
          <w:tcPr>
            <w:tcW w:w="1560" w:type="dxa"/>
          </w:tcPr>
          <w:p w14:paraId="7945725E" w14:textId="77777777" w:rsidR="00B823F8" w:rsidRPr="00A53AD7" w:rsidRDefault="00B823F8" w:rsidP="00B823F8">
            <w:pPr>
              <w:pStyle w:val="ad"/>
              <w:jc w:val="center"/>
              <w:rPr>
                <w:rFonts w:ascii="Times New Roman" w:hAnsi="Times New Roman"/>
                <w:b/>
              </w:rPr>
            </w:pPr>
          </w:p>
        </w:tc>
        <w:tc>
          <w:tcPr>
            <w:tcW w:w="1559" w:type="dxa"/>
          </w:tcPr>
          <w:p w14:paraId="78416932" w14:textId="77777777" w:rsidR="00B823F8" w:rsidRPr="00A53AD7" w:rsidRDefault="00B823F8" w:rsidP="00B823F8">
            <w:pPr>
              <w:pStyle w:val="ad"/>
              <w:jc w:val="center"/>
              <w:rPr>
                <w:rFonts w:ascii="Times New Roman" w:hAnsi="Times New Roman"/>
                <w:b/>
              </w:rPr>
            </w:pPr>
          </w:p>
        </w:tc>
        <w:tc>
          <w:tcPr>
            <w:tcW w:w="1559" w:type="dxa"/>
          </w:tcPr>
          <w:p w14:paraId="006D967C" w14:textId="77777777" w:rsidR="00B823F8" w:rsidRPr="00A53AD7" w:rsidRDefault="00B823F8" w:rsidP="00B823F8">
            <w:pPr>
              <w:pStyle w:val="ad"/>
              <w:jc w:val="center"/>
              <w:rPr>
                <w:rFonts w:ascii="Times New Roman" w:hAnsi="Times New Roman"/>
                <w:b/>
              </w:rPr>
            </w:pPr>
          </w:p>
        </w:tc>
      </w:tr>
      <w:tr w:rsidR="00D470B6" w:rsidRPr="00A53AD7" w14:paraId="3CFC72BD" w14:textId="77777777" w:rsidTr="002166D1">
        <w:tc>
          <w:tcPr>
            <w:tcW w:w="3104" w:type="dxa"/>
          </w:tcPr>
          <w:p w14:paraId="3F5BF25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49" w:type="dxa"/>
          </w:tcPr>
          <w:p w14:paraId="456D6EF4" w14:textId="77777777" w:rsidR="00B823F8" w:rsidRPr="00A53AD7" w:rsidRDefault="00B823F8" w:rsidP="00B823F8">
            <w:pPr>
              <w:pStyle w:val="ad"/>
              <w:jc w:val="center"/>
              <w:rPr>
                <w:rFonts w:ascii="Times New Roman" w:hAnsi="Times New Roman"/>
              </w:rPr>
            </w:pPr>
            <w:r w:rsidRPr="00A53AD7">
              <w:rPr>
                <w:rFonts w:ascii="Times New Roman" w:hAnsi="Times New Roman"/>
              </w:rPr>
              <w:t>191,6</w:t>
            </w:r>
          </w:p>
        </w:tc>
        <w:tc>
          <w:tcPr>
            <w:tcW w:w="1560" w:type="dxa"/>
          </w:tcPr>
          <w:p w14:paraId="1246595D" w14:textId="77777777" w:rsidR="00B823F8" w:rsidRPr="00A53AD7" w:rsidRDefault="00B823F8" w:rsidP="00B823F8">
            <w:pPr>
              <w:pStyle w:val="ad"/>
              <w:jc w:val="center"/>
              <w:rPr>
                <w:rFonts w:ascii="Times New Roman" w:hAnsi="Times New Roman"/>
              </w:rPr>
            </w:pPr>
            <w:r w:rsidRPr="00A53AD7">
              <w:rPr>
                <w:rFonts w:ascii="Times New Roman" w:hAnsi="Times New Roman"/>
              </w:rPr>
              <w:t>179,1</w:t>
            </w:r>
          </w:p>
        </w:tc>
        <w:tc>
          <w:tcPr>
            <w:tcW w:w="1559" w:type="dxa"/>
          </w:tcPr>
          <w:p w14:paraId="2FDF0CA5" w14:textId="77777777" w:rsidR="00B823F8" w:rsidRPr="00A53AD7" w:rsidRDefault="00B823F8" w:rsidP="00B823F8">
            <w:pPr>
              <w:pStyle w:val="ad"/>
              <w:jc w:val="center"/>
              <w:rPr>
                <w:rFonts w:ascii="Times New Roman" w:hAnsi="Times New Roman"/>
              </w:rPr>
            </w:pPr>
            <w:r w:rsidRPr="00A53AD7">
              <w:rPr>
                <w:rFonts w:ascii="Times New Roman" w:hAnsi="Times New Roman"/>
              </w:rPr>
              <w:t>179,1</w:t>
            </w:r>
          </w:p>
        </w:tc>
        <w:tc>
          <w:tcPr>
            <w:tcW w:w="1559" w:type="dxa"/>
          </w:tcPr>
          <w:p w14:paraId="1AF4D0D6" w14:textId="77777777" w:rsidR="00B823F8" w:rsidRPr="00A53AD7" w:rsidRDefault="00B823F8" w:rsidP="00B823F8">
            <w:pPr>
              <w:pStyle w:val="ad"/>
              <w:jc w:val="center"/>
              <w:rPr>
                <w:rFonts w:ascii="Times New Roman" w:hAnsi="Times New Roman"/>
              </w:rPr>
            </w:pPr>
            <w:r w:rsidRPr="00A53AD7">
              <w:rPr>
                <w:rFonts w:ascii="Times New Roman" w:hAnsi="Times New Roman"/>
              </w:rPr>
              <w:t>179,1</w:t>
            </w:r>
          </w:p>
        </w:tc>
      </w:tr>
      <w:tr w:rsidR="00D470B6" w:rsidRPr="00A53AD7" w14:paraId="79BC9791" w14:textId="77777777" w:rsidTr="002166D1">
        <w:tc>
          <w:tcPr>
            <w:tcW w:w="3104" w:type="dxa"/>
          </w:tcPr>
          <w:p w14:paraId="3BCAA410"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49" w:type="dxa"/>
          </w:tcPr>
          <w:p w14:paraId="6804C6C3"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1A4A159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272AE0CD" w14:textId="77777777" w:rsidR="00B823F8" w:rsidRPr="00A53AD7" w:rsidRDefault="00B823F8" w:rsidP="00B823F8">
            <w:pPr>
              <w:pStyle w:val="ad"/>
              <w:jc w:val="center"/>
              <w:rPr>
                <w:rFonts w:ascii="Times New Roman" w:hAnsi="Times New Roman"/>
              </w:rPr>
            </w:pPr>
            <w:r w:rsidRPr="00A53AD7">
              <w:rPr>
                <w:rFonts w:ascii="Times New Roman" w:hAnsi="Times New Roman"/>
              </w:rPr>
              <w:t>40,6</w:t>
            </w:r>
          </w:p>
        </w:tc>
        <w:tc>
          <w:tcPr>
            <w:tcW w:w="1559" w:type="dxa"/>
          </w:tcPr>
          <w:p w14:paraId="32FEF2FD" w14:textId="77777777" w:rsidR="00B823F8" w:rsidRPr="00A53AD7" w:rsidRDefault="00B823F8" w:rsidP="00B823F8">
            <w:pPr>
              <w:pStyle w:val="ad"/>
              <w:jc w:val="center"/>
              <w:rPr>
                <w:rFonts w:ascii="Times New Roman" w:hAnsi="Times New Roman"/>
              </w:rPr>
            </w:pPr>
            <w:r w:rsidRPr="00A53AD7">
              <w:rPr>
                <w:rFonts w:ascii="Times New Roman" w:hAnsi="Times New Roman"/>
              </w:rPr>
              <w:t>179,1</w:t>
            </w:r>
          </w:p>
        </w:tc>
      </w:tr>
      <w:tr w:rsidR="00D470B6" w:rsidRPr="00A53AD7" w14:paraId="5E6F8103" w14:textId="77777777" w:rsidTr="002166D1">
        <w:tc>
          <w:tcPr>
            <w:tcW w:w="3104" w:type="dxa"/>
          </w:tcPr>
          <w:p w14:paraId="530F96B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18154924" w14:textId="77777777" w:rsidR="00B823F8" w:rsidRPr="00A53AD7" w:rsidRDefault="00B823F8" w:rsidP="00B823F8">
            <w:pPr>
              <w:pStyle w:val="ad"/>
              <w:jc w:val="center"/>
              <w:rPr>
                <w:rFonts w:ascii="Times New Roman" w:hAnsi="Times New Roman"/>
                <w:b/>
              </w:rPr>
            </w:pPr>
          </w:p>
        </w:tc>
        <w:tc>
          <w:tcPr>
            <w:tcW w:w="1560" w:type="dxa"/>
          </w:tcPr>
          <w:p w14:paraId="03A3A41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37DA370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22,7%</w:t>
            </w:r>
          </w:p>
        </w:tc>
        <w:tc>
          <w:tcPr>
            <w:tcW w:w="1559" w:type="dxa"/>
          </w:tcPr>
          <w:p w14:paraId="497D13D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5B276093" w14:textId="77777777" w:rsidTr="002166D1">
        <w:tc>
          <w:tcPr>
            <w:tcW w:w="3104" w:type="dxa"/>
          </w:tcPr>
          <w:p w14:paraId="76B542B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549" w:type="dxa"/>
          </w:tcPr>
          <w:p w14:paraId="22CDD65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DA418A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6,6</w:t>
            </w:r>
          </w:p>
        </w:tc>
        <w:tc>
          <w:tcPr>
            <w:tcW w:w="1559" w:type="dxa"/>
          </w:tcPr>
          <w:p w14:paraId="2B51903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55,1</w:t>
            </w:r>
          </w:p>
        </w:tc>
        <w:tc>
          <w:tcPr>
            <w:tcW w:w="1559" w:type="dxa"/>
          </w:tcPr>
          <w:p w14:paraId="73172D0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245,3</w:t>
            </w:r>
          </w:p>
        </w:tc>
      </w:tr>
      <w:tr w:rsidR="00B823F8" w:rsidRPr="00A53AD7" w14:paraId="09C6E30F" w14:textId="77777777" w:rsidTr="002166D1">
        <w:tc>
          <w:tcPr>
            <w:tcW w:w="3104" w:type="dxa"/>
          </w:tcPr>
          <w:p w14:paraId="10B0CB23"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549" w:type="dxa"/>
          </w:tcPr>
          <w:p w14:paraId="696DA81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2ED7A61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2,6%</w:t>
            </w:r>
          </w:p>
        </w:tc>
        <w:tc>
          <w:tcPr>
            <w:tcW w:w="1559" w:type="dxa"/>
          </w:tcPr>
          <w:p w14:paraId="220CCC9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22,2%</w:t>
            </w:r>
          </w:p>
        </w:tc>
        <w:tc>
          <w:tcPr>
            <w:tcW w:w="1559" w:type="dxa"/>
          </w:tcPr>
          <w:p w14:paraId="6011110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99,2%</w:t>
            </w:r>
          </w:p>
        </w:tc>
      </w:tr>
    </w:tbl>
    <w:p w14:paraId="2E015BB1" w14:textId="77777777" w:rsidR="00B823F8" w:rsidRPr="00A53AD7" w:rsidRDefault="00B823F8" w:rsidP="00B823F8">
      <w:pPr>
        <w:pStyle w:val="ad"/>
        <w:ind w:firstLine="708"/>
        <w:jc w:val="both"/>
        <w:rPr>
          <w:rFonts w:ascii="Times New Roman" w:hAnsi="Times New Roman"/>
          <w:sz w:val="28"/>
          <w:szCs w:val="28"/>
        </w:rPr>
      </w:pPr>
    </w:p>
    <w:p w14:paraId="05275358" w14:textId="77777777" w:rsidR="00B823F8" w:rsidRPr="00A53AD7" w:rsidRDefault="00B823F8" w:rsidP="002166D1">
      <w:pPr>
        <w:pStyle w:val="ad"/>
        <w:ind w:firstLine="851"/>
        <w:jc w:val="both"/>
        <w:rPr>
          <w:rFonts w:ascii="Times New Roman" w:hAnsi="Times New Roman"/>
          <w:sz w:val="28"/>
          <w:szCs w:val="28"/>
        </w:rPr>
      </w:pPr>
      <w:r w:rsidRPr="00A53AD7">
        <w:rPr>
          <w:rFonts w:ascii="Times New Roman" w:hAnsi="Times New Roman"/>
          <w:sz w:val="28"/>
          <w:szCs w:val="28"/>
        </w:rPr>
        <w:t>В том числе по главным распорядителям: министерство строительства и архитектуры утверждены расходы 50,7 млн.руб., исполнены 50,7 млн.руб., министерство ТЭКи ЖКХ утверждены расходы 30,2 млн.руб., исполнены 28,2 млн.руб., министерство транспорта утверждены расходы 179,1 млн.руб., исполнены 179,1 млн.руб.</w:t>
      </w:r>
    </w:p>
    <w:p w14:paraId="50B519BB" w14:textId="77777777" w:rsidR="00B823F8" w:rsidRPr="00A53AD7" w:rsidRDefault="00B823F8" w:rsidP="00B823F8">
      <w:pPr>
        <w:pStyle w:val="ad"/>
        <w:jc w:val="right"/>
        <w:rPr>
          <w:rFonts w:ascii="Times New Roman" w:hAnsi="Times New Roman"/>
          <w:sz w:val="28"/>
          <w:szCs w:val="28"/>
          <w:highlight w:val="cyan"/>
        </w:rPr>
      </w:pPr>
    </w:p>
    <w:p w14:paraId="41DA4C14" w14:textId="3227E01C" w:rsidR="00B823F8" w:rsidRPr="00A53AD7" w:rsidRDefault="00FC5B0D" w:rsidP="002166D1">
      <w:pPr>
        <w:pStyle w:val="ad"/>
        <w:ind w:firstLine="851"/>
        <w:jc w:val="both"/>
        <w:rPr>
          <w:rFonts w:ascii="Times New Roman" w:hAnsi="Times New Roman"/>
          <w:sz w:val="28"/>
          <w:szCs w:val="28"/>
        </w:rPr>
      </w:pPr>
      <w:r w:rsidRPr="00A53AD7">
        <w:rPr>
          <w:rFonts w:ascii="Times New Roman" w:hAnsi="Times New Roman"/>
          <w:sz w:val="28"/>
          <w:szCs w:val="28"/>
        </w:rPr>
        <w:t>7</w:t>
      </w:r>
      <w:r w:rsidR="00B823F8" w:rsidRPr="00A53AD7">
        <w:rPr>
          <w:rFonts w:ascii="Times New Roman" w:hAnsi="Times New Roman"/>
          <w:sz w:val="28"/>
          <w:szCs w:val="28"/>
        </w:rPr>
        <w:t>. ГП АО «Охрана окружающей среды, воспроизводство и использование природных ресурсов Архангельской области (2014-2024 годы)» запланированы расходы по приведенному количеству объектов:</w:t>
      </w:r>
    </w:p>
    <w:p w14:paraId="6EA56930"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25"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261"/>
        <w:gridCol w:w="851"/>
        <w:gridCol w:w="1056"/>
        <w:gridCol w:w="1056"/>
        <w:gridCol w:w="1056"/>
        <w:gridCol w:w="1056"/>
        <w:gridCol w:w="879"/>
        <w:gridCol w:w="1185"/>
        <w:gridCol w:w="1225"/>
      </w:tblGrid>
      <w:tr w:rsidR="00D470B6" w:rsidRPr="00A53AD7" w14:paraId="29959475" w14:textId="77777777" w:rsidTr="00B854FE">
        <w:trPr>
          <w:tblHeader/>
        </w:trPr>
        <w:tc>
          <w:tcPr>
            <w:tcW w:w="1261" w:type="dxa"/>
          </w:tcPr>
          <w:p w14:paraId="5AC1530B" w14:textId="77777777" w:rsidR="00B823F8" w:rsidRPr="00A53AD7" w:rsidRDefault="00B823F8" w:rsidP="00B854FE">
            <w:pPr>
              <w:pStyle w:val="ad"/>
              <w:jc w:val="center"/>
              <w:rPr>
                <w:rFonts w:ascii="Times New Roman" w:hAnsi="Times New Roman"/>
              </w:rPr>
            </w:pPr>
            <w:r w:rsidRPr="00A53AD7">
              <w:rPr>
                <w:rFonts w:ascii="Times New Roman" w:hAnsi="Times New Roman"/>
              </w:rPr>
              <w:t>На даты:</w:t>
            </w:r>
          </w:p>
        </w:tc>
        <w:tc>
          <w:tcPr>
            <w:tcW w:w="851" w:type="dxa"/>
          </w:tcPr>
          <w:p w14:paraId="459BA988" w14:textId="77777777" w:rsidR="00B823F8" w:rsidRPr="00A53AD7" w:rsidRDefault="00B823F8" w:rsidP="00B854FE">
            <w:pPr>
              <w:pStyle w:val="ad"/>
              <w:ind w:left="-108" w:right="-108"/>
              <w:jc w:val="center"/>
              <w:rPr>
                <w:rFonts w:ascii="Times New Roman" w:hAnsi="Times New Roman"/>
              </w:rPr>
            </w:pPr>
            <w:r w:rsidRPr="00A53AD7">
              <w:rPr>
                <w:rFonts w:ascii="Times New Roman" w:hAnsi="Times New Roman"/>
              </w:rPr>
              <w:t>01.01.19</w:t>
            </w:r>
          </w:p>
        </w:tc>
        <w:tc>
          <w:tcPr>
            <w:tcW w:w="1056" w:type="dxa"/>
          </w:tcPr>
          <w:p w14:paraId="7FC3ACC1" w14:textId="77777777" w:rsidR="00B823F8" w:rsidRPr="00A53AD7" w:rsidRDefault="00B823F8" w:rsidP="00B854FE">
            <w:pPr>
              <w:pStyle w:val="ad"/>
              <w:jc w:val="center"/>
              <w:rPr>
                <w:rFonts w:ascii="Times New Roman" w:hAnsi="Times New Roman"/>
              </w:rPr>
            </w:pPr>
            <w:r w:rsidRPr="00A53AD7">
              <w:rPr>
                <w:rFonts w:ascii="Times New Roman" w:hAnsi="Times New Roman"/>
              </w:rPr>
              <w:t>01.04.19</w:t>
            </w:r>
          </w:p>
        </w:tc>
        <w:tc>
          <w:tcPr>
            <w:tcW w:w="1056" w:type="dxa"/>
          </w:tcPr>
          <w:p w14:paraId="10C76CF7" w14:textId="77777777" w:rsidR="00B823F8" w:rsidRPr="00A53AD7" w:rsidRDefault="00B823F8" w:rsidP="00B854FE">
            <w:pPr>
              <w:pStyle w:val="ad"/>
              <w:jc w:val="center"/>
              <w:rPr>
                <w:rFonts w:ascii="Times New Roman" w:hAnsi="Times New Roman"/>
              </w:rPr>
            </w:pPr>
            <w:r w:rsidRPr="00A53AD7">
              <w:rPr>
                <w:rFonts w:ascii="Times New Roman" w:hAnsi="Times New Roman"/>
              </w:rPr>
              <w:t>02.07.19</w:t>
            </w:r>
          </w:p>
        </w:tc>
        <w:tc>
          <w:tcPr>
            <w:tcW w:w="1056" w:type="dxa"/>
          </w:tcPr>
          <w:p w14:paraId="4DABF527" w14:textId="77777777" w:rsidR="00B823F8" w:rsidRPr="00A53AD7" w:rsidRDefault="00B823F8" w:rsidP="00B854FE">
            <w:pPr>
              <w:pStyle w:val="ad"/>
              <w:jc w:val="center"/>
              <w:rPr>
                <w:rFonts w:ascii="Times New Roman" w:hAnsi="Times New Roman"/>
              </w:rPr>
            </w:pPr>
            <w:r w:rsidRPr="00A53AD7">
              <w:rPr>
                <w:rFonts w:ascii="Times New Roman" w:hAnsi="Times New Roman"/>
              </w:rPr>
              <w:t>25.09.19</w:t>
            </w:r>
          </w:p>
        </w:tc>
        <w:tc>
          <w:tcPr>
            <w:tcW w:w="1056" w:type="dxa"/>
          </w:tcPr>
          <w:p w14:paraId="58E8C690" w14:textId="77777777" w:rsidR="00B823F8" w:rsidRPr="00A53AD7" w:rsidRDefault="00B823F8" w:rsidP="00B854FE">
            <w:pPr>
              <w:pStyle w:val="ad"/>
              <w:jc w:val="center"/>
              <w:rPr>
                <w:rFonts w:ascii="Times New Roman" w:hAnsi="Times New Roman"/>
              </w:rPr>
            </w:pPr>
            <w:r w:rsidRPr="00A53AD7">
              <w:rPr>
                <w:rFonts w:ascii="Times New Roman" w:hAnsi="Times New Roman"/>
              </w:rPr>
              <w:t>19.11.19</w:t>
            </w:r>
          </w:p>
        </w:tc>
        <w:tc>
          <w:tcPr>
            <w:tcW w:w="879" w:type="dxa"/>
          </w:tcPr>
          <w:p w14:paraId="751663A4" w14:textId="77777777" w:rsidR="00B823F8" w:rsidRPr="00A53AD7" w:rsidRDefault="00B823F8" w:rsidP="00B854FE">
            <w:pPr>
              <w:pStyle w:val="ad"/>
              <w:ind w:right="-108" w:hanging="80"/>
              <w:jc w:val="center"/>
              <w:rPr>
                <w:rFonts w:ascii="Times New Roman" w:hAnsi="Times New Roman"/>
              </w:rPr>
            </w:pPr>
            <w:r w:rsidRPr="00A53AD7">
              <w:rPr>
                <w:rFonts w:ascii="Times New Roman" w:hAnsi="Times New Roman"/>
              </w:rPr>
              <w:t>13.12.19</w:t>
            </w:r>
          </w:p>
        </w:tc>
        <w:tc>
          <w:tcPr>
            <w:tcW w:w="1185" w:type="dxa"/>
          </w:tcPr>
          <w:p w14:paraId="76F988E7" w14:textId="77777777" w:rsidR="00B823F8" w:rsidRPr="00A53AD7" w:rsidRDefault="00B823F8" w:rsidP="00B854FE">
            <w:pPr>
              <w:pStyle w:val="ad"/>
              <w:jc w:val="center"/>
              <w:rPr>
                <w:rFonts w:ascii="Times New Roman" w:hAnsi="Times New Roman"/>
              </w:rPr>
            </w:pPr>
            <w:r w:rsidRPr="00A53AD7">
              <w:rPr>
                <w:rFonts w:ascii="Times New Roman" w:hAnsi="Times New Roman"/>
              </w:rPr>
              <w:t>Отчет на 31.12.19</w:t>
            </w:r>
          </w:p>
        </w:tc>
        <w:tc>
          <w:tcPr>
            <w:tcW w:w="1225" w:type="dxa"/>
          </w:tcPr>
          <w:p w14:paraId="5E060FB6" w14:textId="77777777" w:rsidR="00B823F8" w:rsidRPr="00A53AD7" w:rsidRDefault="00B823F8" w:rsidP="00B854FE">
            <w:pPr>
              <w:pStyle w:val="ad"/>
              <w:jc w:val="center"/>
              <w:rPr>
                <w:rFonts w:ascii="Times New Roman" w:hAnsi="Times New Roman"/>
              </w:rPr>
            </w:pPr>
            <w:r w:rsidRPr="00A53AD7">
              <w:rPr>
                <w:rFonts w:ascii="Times New Roman" w:hAnsi="Times New Roman"/>
              </w:rPr>
              <w:t>Исполнено в %%</w:t>
            </w:r>
          </w:p>
        </w:tc>
      </w:tr>
      <w:tr w:rsidR="00D470B6" w:rsidRPr="00A53AD7" w14:paraId="4B88DCED" w14:textId="77777777" w:rsidTr="00B854FE">
        <w:tc>
          <w:tcPr>
            <w:tcW w:w="1261" w:type="dxa"/>
          </w:tcPr>
          <w:p w14:paraId="6A6D1016"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xml:space="preserve">Сумма </w:t>
            </w:r>
          </w:p>
        </w:tc>
        <w:tc>
          <w:tcPr>
            <w:tcW w:w="851" w:type="dxa"/>
          </w:tcPr>
          <w:p w14:paraId="750F160C" w14:textId="77777777" w:rsidR="00B823F8" w:rsidRPr="00A53AD7" w:rsidRDefault="00B823F8" w:rsidP="00B823F8">
            <w:pPr>
              <w:pStyle w:val="ad"/>
              <w:jc w:val="center"/>
              <w:rPr>
                <w:rFonts w:ascii="Times New Roman" w:hAnsi="Times New Roman"/>
              </w:rPr>
            </w:pPr>
            <w:r w:rsidRPr="00A53AD7">
              <w:rPr>
                <w:rFonts w:ascii="Times New Roman" w:hAnsi="Times New Roman"/>
              </w:rPr>
              <w:t>85,9</w:t>
            </w:r>
          </w:p>
        </w:tc>
        <w:tc>
          <w:tcPr>
            <w:tcW w:w="1056" w:type="dxa"/>
          </w:tcPr>
          <w:p w14:paraId="5ECDC670" w14:textId="77777777" w:rsidR="00B823F8" w:rsidRPr="00A53AD7" w:rsidRDefault="00B823F8" w:rsidP="00B823F8">
            <w:pPr>
              <w:pStyle w:val="ad"/>
              <w:jc w:val="center"/>
              <w:rPr>
                <w:rFonts w:ascii="Times New Roman" w:hAnsi="Times New Roman"/>
              </w:rPr>
            </w:pPr>
            <w:r w:rsidRPr="00A53AD7">
              <w:rPr>
                <w:rFonts w:ascii="Times New Roman" w:hAnsi="Times New Roman"/>
              </w:rPr>
              <w:t>112,1</w:t>
            </w:r>
          </w:p>
        </w:tc>
        <w:tc>
          <w:tcPr>
            <w:tcW w:w="1056" w:type="dxa"/>
          </w:tcPr>
          <w:p w14:paraId="1742AF1A" w14:textId="77777777" w:rsidR="00B823F8" w:rsidRPr="00A53AD7" w:rsidRDefault="00B823F8" w:rsidP="00B823F8">
            <w:pPr>
              <w:pStyle w:val="ad"/>
              <w:jc w:val="center"/>
              <w:rPr>
                <w:rFonts w:ascii="Times New Roman" w:hAnsi="Times New Roman"/>
              </w:rPr>
            </w:pPr>
            <w:r w:rsidRPr="00A53AD7">
              <w:rPr>
                <w:rFonts w:ascii="Times New Roman" w:hAnsi="Times New Roman"/>
              </w:rPr>
              <w:t>130,0</w:t>
            </w:r>
          </w:p>
        </w:tc>
        <w:tc>
          <w:tcPr>
            <w:tcW w:w="1056" w:type="dxa"/>
          </w:tcPr>
          <w:p w14:paraId="744427F2" w14:textId="77777777" w:rsidR="00B823F8" w:rsidRPr="00A53AD7" w:rsidRDefault="00B823F8" w:rsidP="00B823F8">
            <w:pPr>
              <w:pStyle w:val="ad"/>
              <w:jc w:val="center"/>
              <w:rPr>
                <w:rFonts w:ascii="Times New Roman" w:hAnsi="Times New Roman"/>
              </w:rPr>
            </w:pPr>
            <w:r w:rsidRPr="00A53AD7">
              <w:rPr>
                <w:rFonts w:ascii="Times New Roman" w:hAnsi="Times New Roman"/>
              </w:rPr>
              <w:t>133,5</w:t>
            </w:r>
          </w:p>
        </w:tc>
        <w:tc>
          <w:tcPr>
            <w:tcW w:w="1056" w:type="dxa"/>
          </w:tcPr>
          <w:p w14:paraId="75BD7542" w14:textId="77777777" w:rsidR="00B823F8" w:rsidRPr="00A53AD7" w:rsidRDefault="00B823F8" w:rsidP="00B823F8">
            <w:pPr>
              <w:pStyle w:val="ad"/>
              <w:jc w:val="center"/>
              <w:rPr>
                <w:rFonts w:ascii="Times New Roman" w:hAnsi="Times New Roman"/>
              </w:rPr>
            </w:pPr>
            <w:r w:rsidRPr="00A53AD7">
              <w:rPr>
                <w:rFonts w:ascii="Times New Roman" w:hAnsi="Times New Roman"/>
              </w:rPr>
              <w:t>133,5</w:t>
            </w:r>
          </w:p>
        </w:tc>
        <w:tc>
          <w:tcPr>
            <w:tcW w:w="879" w:type="dxa"/>
          </w:tcPr>
          <w:p w14:paraId="0048590B" w14:textId="77777777" w:rsidR="00B823F8" w:rsidRPr="00A53AD7" w:rsidRDefault="00B823F8" w:rsidP="00B823F8">
            <w:pPr>
              <w:pStyle w:val="ad"/>
              <w:jc w:val="center"/>
              <w:rPr>
                <w:rFonts w:ascii="Times New Roman" w:hAnsi="Times New Roman"/>
              </w:rPr>
            </w:pPr>
            <w:r w:rsidRPr="00A53AD7">
              <w:rPr>
                <w:rFonts w:ascii="Times New Roman" w:hAnsi="Times New Roman"/>
              </w:rPr>
              <w:t>130,0</w:t>
            </w:r>
          </w:p>
        </w:tc>
        <w:tc>
          <w:tcPr>
            <w:tcW w:w="1185" w:type="dxa"/>
          </w:tcPr>
          <w:p w14:paraId="728CBC68" w14:textId="77777777" w:rsidR="00B823F8" w:rsidRPr="00A53AD7" w:rsidRDefault="00B823F8" w:rsidP="00B823F8">
            <w:pPr>
              <w:pStyle w:val="ad"/>
              <w:jc w:val="center"/>
              <w:rPr>
                <w:rFonts w:ascii="Times New Roman" w:hAnsi="Times New Roman"/>
              </w:rPr>
            </w:pPr>
            <w:r w:rsidRPr="00A53AD7">
              <w:rPr>
                <w:rFonts w:ascii="Times New Roman" w:hAnsi="Times New Roman"/>
              </w:rPr>
              <w:t>41,3</w:t>
            </w:r>
          </w:p>
        </w:tc>
        <w:tc>
          <w:tcPr>
            <w:tcW w:w="1225" w:type="dxa"/>
          </w:tcPr>
          <w:p w14:paraId="1C24D194" w14:textId="77777777" w:rsidR="00B823F8" w:rsidRPr="00A53AD7" w:rsidRDefault="00B823F8" w:rsidP="00B823F8">
            <w:pPr>
              <w:pStyle w:val="ad"/>
              <w:jc w:val="center"/>
              <w:rPr>
                <w:rFonts w:ascii="Times New Roman" w:hAnsi="Times New Roman"/>
              </w:rPr>
            </w:pPr>
            <w:r w:rsidRPr="00A53AD7">
              <w:rPr>
                <w:rFonts w:ascii="Times New Roman" w:hAnsi="Times New Roman"/>
              </w:rPr>
              <w:t>31,8%</w:t>
            </w:r>
          </w:p>
        </w:tc>
      </w:tr>
      <w:tr w:rsidR="00D470B6" w:rsidRPr="00A53AD7" w14:paraId="263D1201" w14:textId="77777777" w:rsidTr="00B854FE">
        <w:tc>
          <w:tcPr>
            <w:tcW w:w="1261" w:type="dxa"/>
          </w:tcPr>
          <w:p w14:paraId="5C9058D9"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кол-во объектов</w:t>
            </w:r>
          </w:p>
        </w:tc>
        <w:tc>
          <w:tcPr>
            <w:tcW w:w="851" w:type="dxa"/>
          </w:tcPr>
          <w:p w14:paraId="1C811A8E"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056" w:type="dxa"/>
          </w:tcPr>
          <w:p w14:paraId="1CE7A611"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48CE9F6B"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17D26622"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396A9E7F"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879" w:type="dxa"/>
          </w:tcPr>
          <w:p w14:paraId="5EB7116C"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185" w:type="dxa"/>
          </w:tcPr>
          <w:p w14:paraId="79C7F6B9"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225" w:type="dxa"/>
          </w:tcPr>
          <w:p w14:paraId="4DED5E07"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62A9787E" w14:textId="77777777" w:rsidTr="00B854FE">
        <w:tc>
          <w:tcPr>
            <w:tcW w:w="1261" w:type="dxa"/>
          </w:tcPr>
          <w:p w14:paraId="0FE8739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 сумма</w:t>
            </w:r>
          </w:p>
        </w:tc>
        <w:tc>
          <w:tcPr>
            <w:tcW w:w="851" w:type="dxa"/>
          </w:tcPr>
          <w:p w14:paraId="63A6A59E" w14:textId="77777777" w:rsidR="00B823F8" w:rsidRPr="00A53AD7" w:rsidRDefault="00B823F8" w:rsidP="00B823F8">
            <w:pPr>
              <w:pStyle w:val="ad"/>
              <w:jc w:val="center"/>
              <w:rPr>
                <w:rFonts w:ascii="Times New Roman" w:hAnsi="Times New Roman"/>
              </w:rPr>
            </w:pPr>
          </w:p>
        </w:tc>
        <w:tc>
          <w:tcPr>
            <w:tcW w:w="1056" w:type="dxa"/>
          </w:tcPr>
          <w:p w14:paraId="0B2C88BA" w14:textId="77777777" w:rsidR="00B823F8" w:rsidRPr="00A53AD7" w:rsidRDefault="00B823F8" w:rsidP="00B823F8">
            <w:pPr>
              <w:pStyle w:val="ad"/>
              <w:jc w:val="center"/>
              <w:rPr>
                <w:rFonts w:ascii="Times New Roman" w:hAnsi="Times New Roman"/>
              </w:rPr>
            </w:pPr>
            <w:r w:rsidRPr="00A53AD7">
              <w:rPr>
                <w:rFonts w:ascii="Times New Roman" w:hAnsi="Times New Roman"/>
              </w:rPr>
              <w:t>+26,2</w:t>
            </w:r>
          </w:p>
        </w:tc>
        <w:tc>
          <w:tcPr>
            <w:tcW w:w="1056" w:type="dxa"/>
          </w:tcPr>
          <w:p w14:paraId="4685F161" w14:textId="77777777" w:rsidR="00B823F8" w:rsidRPr="00A53AD7" w:rsidRDefault="00B823F8" w:rsidP="00B823F8">
            <w:pPr>
              <w:pStyle w:val="ad"/>
              <w:jc w:val="center"/>
              <w:rPr>
                <w:rFonts w:ascii="Times New Roman" w:hAnsi="Times New Roman"/>
              </w:rPr>
            </w:pPr>
            <w:r w:rsidRPr="00A53AD7">
              <w:rPr>
                <w:rFonts w:ascii="Times New Roman" w:hAnsi="Times New Roman"/>
              </w:rPr>
              <w:t>+17,9</w:t>
            </w:r>
          </w:p>
        </w:tc>
        <w:tc>
          <w:tcPr>
            <w:tcW w:w="1056" w:type="dxa"/>
          </w:tcPr>
          <w:p w14:paraId="1B89FDB8" w14:textId="77777777" w:rsidR="00B823F8" w:rsidRPr="00A53AD7" w:rsidRDefault="00B823F8" w:rsidP="00B823F8">
            <w:pPr>
              <w:pStyle w:val="ad"/>
              <w:jc w:val="center"/>
              <w:rPr>
                <w:rFonts w:ascii="Times New Roman" w:hAnsi="Times New Roman"/>
              </w:rPr>
            </w:pPr>
            <w:r w:rsidRPr="00A53AD7">
              <w:rPr>
                <w:rFonts w:ascii="Times New Roman" w:hAnsi="Times New Roman"/>
              </w:rPr>
              <w:t>+3,5</w:t>
            </w:r>
          </w:p>
        </w:tc>
        <w:tc>
          <w:tcPr>
            <w:tcW w:w="1056" w:type="dxa"/>
          </w:tcPr>
          <w:p w14:paraId="17D72967"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879" w:type="dxa"/>
          </w:tcPr>
          <w:p w14:paraId="345C18AE" w14:textId="77777777" w:rsidR="00B823F8" w:rsidRPr="00A53AD7" w:rsidRDefault="00B823F8" w:rsidP="00B823F8">
            <w:pPr>
              <w:pStyle w:val="ad"/>
              <w:jc w:val="center"/>
              <w:rPr>
                <w:rFonts w:ascii="Times New Roman" w:hAnsi="Times New Roman"/>
              </w:rPr>
            </w:pPr>
            <w:r w:rsidRPr="00A53AD7">
              <w:rPr>
                <w:rFonts w:ascii="Times New Roman" w:hAnsi="Times New Roman"/>
              </w:rPr>
              <w:t>-3,5</w:t>
            </w:r>
          </w:p>
        </w:tc>
        <w:tc>
          <w:tcPr>
            <w:tcW w:w="1185" w:type="dxa"/>
          </w:tcPr>
          <w:p w14:paraId="4C2B90E5" w14:textId="77777777" w:rsidR="00B823F8" w:rsidRPr="00A53AD7" w:rsidRDefault="00B823F8" w:rsidP="00B823F8">
            <w:pPr>
              <w:pStyle w:val="ad"/>
              <w:jc w:val="center"/>
              <w:rPr>
                <w:rFonts w:ascii="Times New Roman" w:hAnsi="Times New Roman"/>
              </w:rPr>
            </w:pPr>
          </w:p>
        </w:tc>
        <w:tc>
          <w:tcPr>
            <w:tcW w:w="1225" w:type="dxa"/>
          </w:tcPr>
          <w:p w14:paraId="3E62782F" w14:textId="77777777" w:rsidR="00B823F8" w:rsidRPr="00A53AD7" w:rsidRDefault="00B823F8" w:rsidP="00B823F8">
            <w:pPr>
              <w:pStyle w:val="ad"/>
              <w:jc w:val="center"/>
              <w:rPr>
                <w:rFonts w:ascii="Times New Roman" w:hAnsi="Times New Roman"/>
              </w:rPr>
            </w:pPr>
          </w:p>
        </w:tc>
      </w:tr>
      <w:tr w:rsidR="00B823F8" w:rsidRPr="00A53AD7" w14:paraId="1DD42174" w14:textId="77777777" w:rsidTr="00B854FE">
        <w:tc>
          <w:tcPr>
            <w:tcW w:w="1261" w:type="dxa"/>
          </w:tcPr>
          <w:p w14:paraId="1A805650"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объекты</w:t>
            </w:r>
          </w:p>
        </w:tc>
        <w:tc>
          <w:tcPr>
            <w:tcW w:w="851" w:type="dxa"/>
          </w:tcPr>
          <w:p w14:paraId="487BFB0D" w14:textId="77777777" w:rsidR="00B823F8" w:rsidRPr="00A53AD7" w:rsidRDefault="00B823F8" w:rsidP="00B823F8">
            <w:pPr>
              <w:pStyle w:val="ad"/>
              <w:jc w:val="center"/>
              <w:rPr>
                <w:rFonts w:ascii="Times New Roman" w:hAnsi="Times New Roman"/>
              </w:rPr>
            </w:pPr>
          </w:p>
        </w:tc>
        <w:tc>
          <w:tcPr>
            <w:tcW w:w="1056" w:type="dxa"/>
          </w:tcPr>
          <w:p w14:paraId="575B0035"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5923CCF7" w14:textId="77777777" w:rsidR="00B823F8" w:rsidRPr="00A53AD7" w:rsidRDefault="00B823F8" w:rsidP="00B823F8">
            <w:pPr>
              <w:pStyle w:val="ad"/>
              <w:jc w:val="center"/>
              <w:rPr>
                <w:rFonts w:ascii="Times New Roman" w:hAnsi="Times New Roman"/>
              </w:rPr>
            </w:pPr>
          </w:p>
        </w:tc>
        <w:tc>
          <w:tcPr>
            <w:tcW w:w="1056" w:type="dxa"/>
          </w:tcPr>
          <w:p w14:paraId="4D7B0628" w14:textId="77777777" w:rsidR="00B823F8" w:rsidRPr="00A53AD7" w:rsidRDefault="00B823F8" w:rsidP="00B823F8">
            <w:pPr>
              <w:pStyle w:val="ad"/>
              <w:jc w:val="center"/>
              <w:rPr>
                <w:rFonts w:ascii="Times New Roman" w:hAnsi="Times New Roman"/>
              </w:rPr>
            </w:pPr>
          </w:p>
        </w:tc>
        <w:tc>
          <w:tcPr>
            <w:tcW w:w="1056" w:type="dxa"/>
          </w:tcPr>
          <w:p w14:paraId="03A811FD" w14:textId="77777777" w:rsidR="00B823F8" w:rsidRPr="00A53AD7" w:rsidRDefault="00B823F8" w:rsidP="00B823F8">
            <w:pPr>
              <w:pStyle w:val="ad"/>
              <w:jc w:val="center"/>
              <w:rPr>
                <w:rFonts w:ascii="Times New Roman" w:hAnsi="Times New Roman"/>
              </w:rPr>
            </w:pPr>
          </w:p>
        </w:tc>
        <w:tc>
          <w:tcPr>
            <w:tcW w:w="879" w:type="dxa"/>
          </w:tcPr>
          <w:p w14:paraId="61C6C823" w14:textId="77777777" w:rsidR="00B823F8" w:rsidRPr="00A53AD7" w:rsidRDefault="00B823F8" w:rsidP="00B823F8">
            <w:pPr>
              <w:pStyle w:val="ad"/>
              <w:jc w:val="center"/>
              <w:rPr>
                <w:rFonts w:ascii="Times New Roman" w:hAnsi="Times New Roman"/>
              </w:rPr>
            </w:pPr>
          </w:p>
        </w:tc>
        <w:tc>
          <w:tcPr>
            <w:tcW w:w="1185" w:type="dxa"/>
          </w:tcPr>
          <w:p w14:paraId="21F8CD85" w14:textId="77777777" w:rsidR="00B823F8" w:rsidRPr="00A53AD7" w:rsidRDefault="00B823F8" w:rsidP="00B823F8">
            <w:pPr>
              <w:pStyle w:val="ad"/>
              <w:jc w:val="center"/>
              <w:rPr>
                <w:rFonts w:ascii="Times New Roman" w:hAnsi="Times New Roman"/>
              </w:rPr>
            </w:pPr>
          </w:p>
        </w:tc>
        <w:tc>
          <w:tcPr>
            <w:tcW w:w="1225" w:type="dxa"/>
          </w:tcPr>
          <w:p w14:paraId="60F122E2" w14:textId="77777777" w:rsidR="00B823F8" w:rsidRPr="00A53AD7" w:rsidRDefault="00B823F8" w:rsidP="00B823F8">
            <w:pPr>
              <w:pStyle w:val="ad"/>
              <w:jc w:val="center"/>
              <w:rPr>
                <w:rFonts w:ascii="Times New Roman" w:hAnsi="Times New Roman"/>
              </w:rPr>
            </w:pPr>
          </w:p>
        </w:tc>
      </w:tr>
    </w:tbl>
    <w:p w14:paraId="6E142173" w14:textId="77777777" w:rsidR="00B823F8" w:rsidRPr="00A53AD7" w:rsidRDefault="00B823F8" w:rsidP="00B823F8">
      <w:pPr>
        <w:pStyle w:val="ad"/>
        <w:ind w:firstLine="709"/>
        <w:jc w:val="both"/>
        <w:rPr>
          <w:rFonts w:ascii="Times New Roman" w:hAnsi="Times New Roman"/>
          <w:sz w:val="28"/>
          <w:szCs w:val="28"/>
          <w:highlight w:val="cyan"/>
        </w:rPr>
      </w:pPr>
    </w:p>
    <w:p w14:paraId="15542F77" w14:textId="77777777" w:rsidR="00B823F8" w:rsidRPr="00A53AD7" w:rsidRDefault="00B823F8" w:rsidP="001C324D">
      <w:pPr>
        <w:pStyle w:val="ad"/>
        <w:ind w:firstLine="851"/>
        <w:jc w:val="both"/>
        <w:rPr>
          <w:rFonts w:ascii="Times New Roman" w:hAnsi="Times New Roman"/>
          <w:sz w:val="28"/>
          <w:szCs w:val="28"/>
        </w:rPr>
      </w:pPr>
      <w:r w:rsidRPr="00A53AD7">
        <w:rPr>
          <w:rFonts w:ascii="Times New Roman" w:hAnsi="Times New Roman"/>
          <w:sz w:val="28"/>
          <w:szCs w:val="28"/>
        </w:rPr>
        <w:t>Главный распорядитель реализации программы министерство строительства и архитектуры.</w:t>
      </w:r>
    </w:p>
    <w:p w14:paraId="59ADB747" w14:textId="10DE3FA8" w:rsidR="00B823F8" w:rsidRPr="00A53AD7" w:rsidRDefault="00B823F8" w:rsidP="001C324D">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785D10D5"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0CE444D4" w14:textId="77777777" w:rsidTr="003527C5">
        <w:trPr>
          <w:tblHeader/>
        </w:trPr>
        <w:tc>
          <w:tcPr>
            <w:tcW w:w="3104" w:type="dxa"/>
          </w:tcPr>
          <w:p w14:paraId="255BA6C1" w14:textId="77777777" w:rsidR="00B823F8" w:rsidRPr="00A53AD7" w:rsidRDefault="00B823F8" w:rsidP="00B823F8">
            <w:pPr>
              <w:pStyle w:val="ad"/>
              <w:jc w:val="both"/>
              <w:rPr>
                <w:rFonts w:ascii="Times New Roman" w:hAnsi="Times New Roman"/>
              </w:rPr>
            </w:pPr>
          </w:p>
        </w:tc>
        <w:tc>
          <w:tcPr>
            <w:tcW w:w="1523" w:type="dxa"/>
          </w:tcPr>
          <w:p w14:paraId="4818F8D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010EB82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2CBA9F0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0E73D5F8"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1735A680" w14:textId="77777777" w:rsidTr="00161360">
        <w:tc>
          <w:tcPr>
            <w:tcW w:w="3104" w:type="dxa"/>
          </w:tcPr>
          <w:p w14:paraId="2C313DEA"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78210160" w14:textId="77777777" w:rsidR="00B823F8" w:rsidRPr="00A53AD7" w:rsidRDefault="00B823F8" w:rsidP="00B823F8">
            <w:pPr>
              <w:pStyle w:val="ad"/>
              <w:jc w:val="center"/>
              <w:rPr>
                <w:rFonts w:ascii="Times New Roman" w:hAnsi="Times New Roman"/>
              </w:rPr>
            </w:pPr>
            <w:r w:rsidRPr="00A53AD7">
              <w:rPr>
                <w:rFonts w:ascii="Times New Roman" w:hAnsi="Times New Roman"/>
              </w:rPr>
              <w:t>85,9</w:t>
            </w:r>
          </w:p>
        </w:tc>
        <w:tc>
          <w:tcPr>
            <w:tcW w:w="1560" w:type="dxa"/>
          </w:tcPr>
          <w:p w14:paraId="253EAD62" w14:textId="77777777" w:rsidR="00B823F8" w:rsidRPr="00A53AD7" w:rsidRDefault="00B823F8" w:rsidP="00B823F8">
            <w:pPr>
              <w:pStyle w:val="ad"/>
              <w:jc w:val="center"/>
              <w:rPr>
                <w:rFonts w:ascii="Times New Roman" w:hAnsi="Times New Roman"/>
              </w:rPr>
            </w:pPr>
            <w:r w:rsidRPr="00A53AD7">
              <w:rPr>
                <w:rFonts w:ascii="Times New Roman" w:hAnsi="Times New Roman"/>
              </w:rPr>
              <w:t>112,1</w:t>
            </w:r>
          </w:p>
        </w:tc>
        <w:tc>
          <w:tcPr>
            <w:tcW w:w="1559" w:type="dxa"/>
          </w:tcPr>
          <w:p w14:paraId="708E613D" w14:textId="77777777" w:rsidR="00B823F8" w:rsidRPr="00A53AD7" w:rsidRDefault="00B823F8" w:rsidP="00B823F8">
            <w:pPr>
              <w:pStyle w:val="ad"/>
              <w:jc w:val="center"/>
              <w:rPr>
                <w:rFonts w:ascii="Times New Roman" w:hAnsi="Times New Roman"/>
              </w:rPr>
            </w:pPr>
            <w:r w:rsidRPr="00A53AD7">
              <w:rPr>
                <w:rFonts w:ascii="Times New Roman" w:hAnsi="Times New Roman"/>
              </w:rPr>
              <w:t>133,5</w:t>
            </w:r>
          </w:p>
        </w:tc>
        <w:tc>
          <w:tcPr>
            <w:tcW w:w="1559" w:type="dxa"/>
          </w:tcPr>
          <w:p w14:paraId="21355CCB" w14:textId="77777777" w:rsidR="00B823F8" w:rsidRPr="00A53AD7" w:rsidRDefault="00B823F8" w:rsidP="00B823F8">
            <w:pPr>
              <w:pStyle w:val="ad"/>
              <w:jc w:val="center"/>
              <w:rPr>
                <w:rFonts w:ascii="Times New Roman" w:hAnsi="Times New Roman"/>
              </w:rPr>
            </w:pPr>
            <w:r w:rsidRPr="00A53AD7">
              <w:rPr>
                <w:rFonts w:ascii="Times New Roman" w:hAnsi="Times New Roman"/>
              </w:rPr>
              <w:t>130,0</w:t>
            </w:r>
          </w:p>
        </w:tc>
      </w:tr>
      <w:tr w:rsidR="00D470B6" w:rsidRPr="00A53AD7" w14:paraId="6819940A" w14:textId="77777777" w:rsidTr="00161360">
        <w:tc>
          <w:tcPr>
            <w:tcW w:w="3104" w:type="dxa"/>
          </w:tcPr>
          <w:p w14:paraId="00412C4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5F4D81D4" w14:textId="77777777" w:rsidR="00B823F8" w:rsidRPr="00A53AD7" w:rsidRDefault="00B823F8" w:rsidP="00B823F8">
            <w:pPr>
              <w:pStyle w:val="ad"/>
              <w:jc w:val="center"/>
              <w:rPr>
                <w:rFonts w:ascii="Times New Roman" w:hAnsi="Times New Roman"/>
              </w:rPr>
            </w:pPr>
            <w:r w:rsidRPr="00A53AD7">
              <w:rPr>
                <w:rFonts w:ascii="Times New Roman" w:hAnsi="Times New Roman"/>
              </w:rPr>
              <w:t>9,0</w:t>
            </w:r>
          </w:p>
        </w:tc>
        <w:tc>
          <w:tcPr>
            <w:tcW w:w="1560" w:type="dxa"/>
          </w:tcPr>
          <w:p w14:paraId="3B7A8586" w14:textId="77777777" w:rsidR="00B823F8" w:rsidRPr="00A53AD7" w:rsidRDefault="00B823F8" w:rsidP="00B823F8">
            <w:pPr>
              <w:pStyle w:val="ad"/>
              <w:jc w:val="center"/>
              <w:rPr>
                <w:rFonts w:ascii="Times New Roman" w:hAnsi="Times New Roman"/>
              </w:rPr>
            </w:pPr>
            <w:r w:rsidRPr="00A53AD7">
              <w:rPr>
                <w:rFonts w:ascii="Times New Roman" w:hAnsi="Times New Roman"/>
              </w:rPr>
              <w:t>11,0</w:t>
            </w:r>
          </w:p>
        </w:tc>
        <w:tc>
          <w:tcPr>
            <w:tcW w:w="1559" w:type="dxa"/>
          </w:tcPr>
          <w:p w14:paraId="66612FEE" w14:textId="77777777" w:rsidR="00B823F8" w:rsidRPr="00A53AD7" w:rsidRDefault="00B823F8" w:rsidP="00B823F8">
            <w:pPr>
              <w:pStyle w:val="ad"/>
              <w:jc w:val="center"/>
              <w:rPr>
                <w:rFonts w:ascii="Times New Roman" w:hAnsi="Times New Roman"/>
              </w:rPr>
            </w:pPr>
            <w:r w:rsidRPr="00A53AD7">
              <w:rPr>
                <w:rFonts w:ascii="Times New Roman" w:hAnsi="Times New Roman"/>
              </w:rPr>
              <w:t>23,3</w:t>
            </w:r>
          </w:p>
        </w:tc>
        <w:tc>
          <w:tcPr>
            <w:tcW w:w="1559" w:type="dxa"/>
          </w:tcPr>
          <w:p w14:paraId="3978BDE4" w14:textId="77777777" w:rsidR="00B823F8" w:rsidRPr="00A53AD7" w:rsidRDefault="00B823F8" w:rsidP="00B823F8">
            <w:pPr>
              <w:pStyle w:val="ad"/>
              <w:jc w:val="center"/>
              <w:rPr>
                <w:rFonts w:ascii="Times New Roman" w:hAnsi="Times New Roman"/>
              </w:rPr>
            </w:pPr>
            <w:r w:rsidRPr="00A53AD7">
              <w:rPr>
                <w:rFonts w:ascii="Times New Roman" w:hAnsi="Times New Roman"/>
              </w:rPr>
              <w:t>24,1</w:t>
            </w:r>
          </w:p>
        </w:tc>
      </w:tr>
      <w:tr w:rsidR="00D470B6" w:rsidRPr="00A53AD7" w14:paraId="438E391F" w14:textId="77777777" w:rsidTr="00161360">
        <w:tc>
          <w:tcPr>
            <w:tcW w:w="3104" w:type="dxa"/>
          </w:tcPr>
          <w:p w14:paraId="3851370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1EB8B08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10,5%</w:t>
            </w:r>
          </w:p>
        </w:tc>
        <w:tc>
          <w:tcPr>
            <w:tcW w:w="1560" w:type="dxa"/>
          </w:tcPr>
          <w:p w14:paraId="2E59129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9,8%</w:t>
            </w:r>
          </w:p>
        </w:tc>
        <w:tc>
          <w:tcPr>
            <w:tcW w:w="1559" w:type="dxa"/>
          </w:tcPr>
          <w:p w14:paraId="2A2B2C1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17,5%</w:t>
            </w:r>
          </w:p>
        </w:tc>
        <w:tc>
          <w:tcPr>
            <w:tcW w:w="1559" w:type="dxa"/>
          </w:tcPr>
          <w:p w14:paraId="5547EE4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18,5%</w:t>
            </w:r>
          </w:p>
        </w:tc>
      </w:tr>
      <w:tr w:rsidR="00D470B6" w:rsidRPr="00A53AD7" w14:paraId="6C02D3A1" w14:textId="77777777" w:rsidTr="00161360">
        <w:tc>
          <w:tcPr>
            <w:tcW w:w="3104" w:type="dxa"/>
          </w:tcPr>
          <w:p w14:paraId="42322DBB" w14:textId="210A3806" w:rsidR="00B823F8" w:rsidRPr="00A53AD7" w:rsidRDefault="00B823F8" w:rsidP="00161360">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23BB7E95"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60" w:type="dxa"/>
          </w:tcPr>
          <w:p w14:paraId="2B1FCB90"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58B33165"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1E638C1C"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r>
      <w:tr w:rsidR="00D470B6" w:rsidRPr="00A53AD7" w14:paraId="4962A544" w14:textId="77777777" w:rsidTr="00161360">
        <w:tc>
          <w:tcPr>
            <w:tcW w:w="3104" w:type="dxa"/>
          </w:tcPr>
          <w:p w14:paraId="437DAFF0"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47D36C1E"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14E7A440"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1594ED91"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0D6A7DA4"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r>
      <w:tr w:rsidR="00B823F8" w:rsidRPr="00A53AD7" w14:paraId="691B835E" w14:textId="77777777" w:rsidTr="00161360">
        <w:tc>
          <w:tcPr>
            <w:tcW w:w="3104" w:type="dxa"/>
          </w:tcPr>
          <w:p w14:paraId="686AED61"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69218D9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60" w:type="dxa"/>
          </w:tcPr>
          <w:p w14:paraId="47427EA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50,0%</w:t>
            </w:r>
          </w:p>
        </w:tc>
        <w:tc>
          <w:tcPr>
            <w:tcW w:w="1559" w:type="dxa"/>
          </w:tcPr>
          <w:p w14:paraId="5D0286F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75,0%</w:t>
            </w:r>
          </w:p>
        </w:tc>
        <w:tc>
          <w:tcPr>
            <w:tcW w:w="1559" w:type="dxa"/>
          </w:tcPr>
          <w:p w14:paraId="4501977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5F8BABA0" w14:textId="77777777" w:rsidR="00B823F8" w:rsidRPr="00A53AD7" w:rsidRDefault="00B823F8" w:rsidP="00B823F8">
      <w:pPr>
        <w:pStyle w:val="ad"/>
        <w:jc w:val="both"/>
        <w:rPr>
          <w:rFonts w:ascii="Times New Roman" w:hAnsi="Times New Roman"/>
          <w:sz w:val="28"/>
          <w:szCs w:val="28"/>
        </w:rPr>
      </w:pPr>
    </w:p>
    <w:p w14:paraId="294D970E" w14:textId="77777777" w:rsidR="00B823F8" w:rsidRPr="00A53AD7" w:rsidRDefault="00B823F8" w:rsidP="00B823F8">
      <w:pPr>
        <w:pStyle w:val="ad"/>
        <w:ind w:firstLine="709"/>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206,4 млн.руб., согласно показателям бюджетной росписи 244,3 млн.руб., согласно отчету об исполнении бюджета расходы исполнены на 41,3 млн.руб.</w:t>
      </w:r>
    </w:p>
    <w:p w14:paraId="20A8B9B2"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49"/>
        <w:gridCol w:w="1560"/>
        <w:gridCol w:w="1559"/>
        <w:gridCol w:w="1559"/>
      </w:tblGrid>
      <w:tr w:rsidR="00D470B6" w:rsidRPr="00A53AD7" w14:paraId="0BDE0AB1" w14:textId="77777777" w:rsidTr="001124BF">
        <w:tc>
          <w:tcPr>
            <w:tcW w:w="3104" w:type="dxa"/>
          </w:tcPr>
          <w:p w14:paraId="03E8B1B1" w14:textId="21351E9C" w:rsidR="00B823F8" w:rsidRPr="00A53AD7" w:rsidRDefault="00654B28" w:rsidP="00FF0F8E">
            <w:pPr>
              <w:pStyle w:val="ad"/>
              <w:jc w:val="center"/>
              <w:rPr>
                <w:rFonts w:ascii="Times New Roman" w:hAnsi="Times New Roman"/>
              </w:rPr>
            </w:pPr>
            <w:r w:rsidRPr="00A53AD7">
              <w:rPr>
                <w:rFonts w:ascii="Times New Roman" w:hAnsi="Times New Roman"/>
                <w:b/>
              </w:rPr>
              <w:t>Минстроительства</w:t>
            </w:r>
          </w:p>
        </w:tc>
        <w:tc>
          <w:tcPr>
            <w:tcW w:w="1549" w:type="dxa"/>
          </w:tcPr>
          <w:p w14:paraId="10F5867B"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3634D27C"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237BA28F"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591814AD"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6133EC66" w14:textId="77777777" w:rsidTr="001124BF">
        <w:tc>
          <w:tcPr>
            <w:tcW w:w="3104" w:type="dxa"/>
          </w:tcPr>
          <w:p w14:paraId="60735DD7"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49" w:type="dxa"/>
          </w:tcPr>
          <w:p w14:paraId="44E3FD1D" w14:textId="77777777" w:rsidR="00B823F8" w:rsidRPr="00A53AD7" w:rsidRDefault="00B823F8" w:rsidP="00B823F8">
            <w:pPr>
              <w:pStyle w:val="ad"/>
              <w:jc w:val="center"/>
              <w:rPr>
                <w:rFonts w:ascii="Times New Roman" w:hAnsi="Times New Roman"/>
              </w:rPr>
            </w:pPr>
            <w:r w:rsidRPr="00A53AD7">
              <w:rPr>
                <w:rFonts w:ascii="Times New Roman" w:hAnsi="Times New Roman"/>
              </w:rPr>
              <w:t>200,2</w:t>
            </w:r>
          </w:p>
        </w:tc>
        <w:tc>
          <w:tcPr>
            <w:tcW w:w="1560" w:type="dxa"/>
          </w:tcPr>
          <w:p w14:paraId="79720C9C" w14:textId="77777777" w:rsidR="00B823F8" w:rsidRPr="00A53AD7" w:rsidRDefault="00B823F8" w:rsidP="00B823F8">
            <w:pPr>
              <w:pStyle w:val="ad"/>
              <w:jc w:val="center"/>
              <w:rPr>
                <w:rFonts w:ascii="Times New Roman" w:hAnsi="Times New Roman"/>
              </w:rPr>
            </w:pPr>
            <w:r w:rsidRPr="00A53AD7">
              <w:rPr>
                <w:rFonts w:ascii="Times New Roman" w:hAnsi="Times New Roman"/>
              </w:rPr>
              <w:t>226,4</w:t>
            </w:r>
          </w:p>
        </w:tc>
        <w:tc>
          <w:tcPr>
            <w:tcW w:w="1559" w:type="dxa"/>
          </w:tcPr>
          <w:p w14:paraId="275ABD07" w14:textId="77777777" w:rsidR="00B823F8" w:rsidRPr="00A53AD7" w:rsidRDefault="00B823F8" w:rsidP="00B823F8">
            <w:pPr>
              <w:pStyle w:val="ad"/>
              <w:jc w:val="center"/>
              <w:rPr>
                <w:rFonts w:ascii="Times New Roman" w:hAnsi="Times New Roman"/>
              </w:rPr>
            </w:pPr>
            <w:r w:rsidRPr="00A53AD7">
              <w:rPr>
                <w:rFonts w:ascii="Times New Roman" w:hAnsi="Times New Roman"/>
              </w:rPr>
              <w:t>247,8</w:t>
            </w:r>
          </w:p>
        </w:tc>
        <w:tc>
          <w:tcPr>
            <w:tcW w:w="1559" w:type="dxa"/>
          </w:tcPr>
          <w:p w14:paraId="5F126EDD" w14:textId="77777777" w:rsidR="00B823F8" w:rsidRPr="00A53AD7" w:rsidRDefault="00B823F8" w:rsidP="00B823F8">
            <w:pPr>
              <w:pStyle w:val="ad"/>
              <w:jc w:val="center"/>
              <w:rPr>
                <w:rFonts w:ascii="Times New Roman" w:hAnsi="Times New Roman"/>
              </w:rPr>
            </w:pPr>
            <w:r w:rsidRPr="00A53AD7">
              <w:rPr>
                <w:rFonts w:ascii="Times New Roman" w:hAnsi="Times New Roman"/>
              </w:rPr>
              <w:t>244,3</w:t>
            </w:r>
          </w:p>
        </w:tc>
      </w:tr>
      <w:tr w:rsidR="00D470B6" w:rsidRPr="00A53AD7" w14:paraId="032205D2" w14:textId="77777777" w:rsidTr="001124BF">
        <w:tc>
          <w:tcPr>
            <w:tcW w:w="3104" w:type="dxa"/>
          </w:tcPr>
          <w:p w14:paraId="2000F646"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5FF4A083" w14:textId="77777777" w:rsidR="00B823F8" w:rsidRPr="00A53AD7" w:rsidRDefault="00B823F8" w:rsidP="00B823F8">
            <w:pPr>
              <w:pStyle w:val="ad"/>
              <w:jc w:val="center"/>
              <w:rPr>
                <w:rFonts w:ascii="Times New Roman" w:hAnsi="Times New Roman"/>
              </w:rPr>
            </w:pPr>
            <w:r w:rsidRPr="00A53AD7">
              <w:rPr>
                <w:rFonts w:ascii="Times New Roman" w:hAnsi="Times New Roman"/>
              </w:rPr>
              <w:t>9,0</w:t>
            </w:r>
          </w:p>
        </w:tc>
        <w:tc>
          <w:tcPr>
            <w:tcW w:w="1560" w:type="dxa"/>
          </w:tcPr>
          <w:p w14:paraId="46BEAD90" w14:textId="77777777" w:rsidR="00B823F8" w:rsidRPr="00A53AD7" w:rsidRDefault="00B823F8" w:rsidP="00B823F8">
            <w:pPr>
              <w:pStyle w:val="ad"/>
              <w:jc w:val="center"/>
              <w:rPr>
                <w:rFonts w:ascii="Times New Roman" w:hAnsi="Times New Roman"/>
              </w:rPr>
            </w:pPr>
            <w:r w:rsidRPr="00A53AD7">
              <w:rPr>
                <w:rFonts w:ascii="Times New Roman" w:hAnsi="Times New Roman"/>
              </w:rPr>
              <w:t>26,1</w:t>
            </w:r>
          </w:p>
        </w:tc>
        <w:tc>
          <w:tcPr>
            <w:tcW w:w="1559" w:type="dxa"/>
          </w:tcPr>
          <w:p w14:paraId="1C153D57" w14:textId="77777777" w:rsidR="00B823F8" w:rsidRPr="00A53AD7" w:rsidRDefault="00B823F8" w:rsidP="00B823F8">
            <w:pPr>
              <w:pStyle w:val="ad"/>
              <w:jc w:val="center"/>
              <w:rPr>
                <w:rFonts w:ascii="Times New Roman" w:hAnsi="Times New Roman"/>
              </w:rPr>
            </w:pPr>
            <w:r w:rsidRPr="00A53AD7">
              <w:rPr>
                <w:rFonts w:ascii="Times New Roman" w:hAnsi="Times New Roman"/>
              </w:rPr>
              <w:t>39,7</w:t>
            </w:r>
          </w:p>
        </w:tc>
        <w:tc>
          <w:tcPr>
            <w:tcW w:w="1559" w:type="dxa"/>
          </w:tcPr>
          <w:p w14:paraId="75DEE5C7" w14:textId="77777777" w:rsidR="00B823F8" w:rsidRPr="00A53AD7" w:rsidRDefault="00B823F8" w:rsidP="00B823F8">
            <w:pPr>
              <w:pStyle w:val="ad"/>
              <w:jc w:val="center"/>
              <w:rPr>
                <w:rFonts w:ascii="Times New Roman" w:hAnsi="Times New Roman"/>
              </w:rPr>
            </w:pPr>
            <w:r w:rsidRPr="00A53AD7">
              <w:rPr>
                <w:rFonts w:ascii="Times New Roman" w:hAnsi="Times New Roman"/>
              </w:rPr>
              <w:t>41,3</w:t>
            </w:r>
          </w:p>
        </w:tc>
      </w:tr>
      <w:tr w:rsidR="00B823F8" w:rsidRPr="00A53AD7" w14:paraId="0ECB8880" w14:textId="77777777" w:rsidTr="001124BF">
        <w:tc>
          <w:tcPr>
            <w:tcW w:w="3104" w:type="dxa"/>
          </w:tcPr>
          <w:p w14:paraId="4B460CF3"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596BA0F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4,5%</w:t>
            </w:r>
          </w:p>
        </w:tc>
        <w:tc>
          <w:tcPr>
            <w:tcW w:w="1560" w:type="dxa"/>
          </w:tcPr>
          <w:p w14:paraId="110A262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11,5%</w:t>
            </w:r>
          </w:p>
        </w:tc>
        <w:tc>
          <w:tcPr>
            <w:tcW w:w="1559" w:type="dxa"/>
          </w:tcPr>
          <w:p w14:paraId="4D666F8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16,0%</w:t>
            </w:r>
          </w:p>
        </w:tc>
        <w:tc>
          <w:tcPr>
            <w:tcW w:w="1559" w:type="dxa"/>
          </w:tcPr>
          <w:p w14:paraId="6DD13AD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16,9%</w:t>
            </w:r>
          </w:p>
        </w:tc>
      </w:tr>
    </w:tbl>
    <w:p w14:paraId="31405F1B" w14:textId="77777777" w:rsidR="00B823F8" w:rsidRPr="00A53AD7" w:rsidRDefault="00B823F8" w:rsidP="001124BF">
      <w:pPr>
        <w:pStyle w:val="ad"/>
        <w:ind w:firstLine="709"/>
        <w:jc w:val="both"/>
        <w:rPr>
          <w:rFonts w:ascii="Times New Roman" w:hAnsi="Times New Roman"/>
          <w:sz w:val="28"/>
          <w:szCs w:val="28"/>
        </w:rPr>
      </w:pPr>
    </w:p>
    <w:p w14:paraId="0D8D6907" w14:textId="25701693" w:rsidR="00B823F8" w:rsidRPr="00A53AD7" w:rsidRDefault="00B823F8" w:rsidP="001124BF">
      <w:pPr>
        <w:pStyle w:val="ad"/>
        <w:ind w:firstLine="709"/>
        <w:jc w:val="both"/>
        <w:rPr>
          <w:rFonts w:ascii="Times New Roman" w:hAnsi="Times New Roman"/>
          <w:sz w:val="28"/>
          <w:szCs w:val="28"/>
        </w:rPr>
      </w:pPr>
      <w:r w:rsidRPr="00A53AD7">
        <w:rPr>
          <w:rFonts w:ascii="Times New Roman" w:hAnsi="Times New Roman"/>
          <w:sz w:val="28"/>
          <w:szCs w:val="28"/>
        </w:rPr>
        <w:t>Таким образом, в рамках указанной программы, министерство не обеспечило расходование средств как федерального 97,1 млн.руб., так и обла</w:t>
      </w:r>
      <w:r w:rsidR="001124BF" w:rsidRPr="00A53AD7">
        <w:rPr>
          <w:rFonts w:ascii="Times New Roman" w:hAnsi="Times New Roman"/>
          <w:sz w:val="28"/>
          <w:szCs w:val="28"/>
        </w:rPr>
        <w:t>стного бюджетов 105,9 млн.руб.</w:t>
      </w:r>
    </w:p>
    <w:p w14:paraId="0502D955" w14:textId="77777777" w:rsidR="00B823F8" w:rsidRPr="00A53AD7" w:rsidRDefault="00B823F8" w:rsidP="001124BF">
      <w:pPr>
        <w:pStyle w:val="ad"/>
        <w:ind w:firstLine="709"/>
        <w:jc w:val="both"/>
        <w:rPr>
          <w:rFonts w:ascii="Times New Roman" w:hAnsi="Times New Roman"/>
          <w:sz w:val="28"/>
          <w:szCs w:val="28"/>
        </w:rPr>
      </w:pPr>
      <w:r w:rsidRPr="00A53AD7">
        <w:rPr>
          <w:rFonts w:ascii="Times New Roman" w:hAnsi="Times New Roman"/>
          <w:sz w:val="28"/>
          <w:szCs w:val="28"/>
        </w:rPr>
        <w:tab/>
      </w:r>
    </w:p>
    <w:p w14:paraId="595856A9" w14:textId="6AAF9582" w:rsidR="00B823F8" w:rsidRPr="00A53AD7" w:rsidRDefault="00FC5B0D" w:rsidP="001124BF">
      <w:pPr>
        <w:pStyle w:val="ad"/>
        <w:ind w:firstLine="709"/>
        <w:jc w:val="both"/>
        <w:rPr>
          <w:rFonts w:ascii="Times New Roman" w:hAnsi="Times New Roman"/>
          <w:sz w:val="28"/>
          <w:szCs w:val="28"/>
        </w:rPr>
      </w:pPr>
      <w:r w:rsidRPr="00A53AD7">
        <w:rPr>
          <w:rFonts w:ascii="Times New Roman" w:hAnsi="Times New Roman"/>
          <w:sz w:val="28"/>
          <w:szCs w:val="28"/>
        </w:rPr>
        <w:t>8</w:t>
      </w:r>
      <w:r w:rsidR="00B823F8" w:rsidRPr="00A53AD7">
        <w:rPr>
          <w:rFonts w:ascii="Times New Roman" w:hAnsi="Times New Roman"/>
          <w:sz w:val="28"/>
          <w:szCs w:val="28"/>
        </w:rPr>
        <w:t>. ГП АО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(2014-2024 годы)» запланированы расходы по приведенному количеству объектов:</w:t>
      </w:r>
    </w:p>
    <w:p w14:paraId="2D0187DC"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2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119"/>
        <w:gridCol w:w="1056"/>
        <w:gridCol w:w="1056"/>
        <w:gridCol w:w="1056"/>
        <w:gridCol w:w="1056"/>
        <w:gridCol w:w="1056"/>
        <w:gridCol w:w="1056"/>
        <w:gridCol w:w="1185"/>
        <w:gridCol w:w="984"/>
      </w:tblGrid>
      <w:tr w:rsidR="00D470B6" w:rsidRPr="00A53AD7" w14:paraId="7E71A55F" w14:textId="77777777" w:rsidTr="004B73B1">
        <w:trPr>
          <w:tblHeader/>
        </w:trPr>
        <w:tc>
          <w:tcPr>
            <w:tcW w:w="1119" w:type="dxa"/>
          </w:tcPr>
          <w:p w14:paraId="2EC5BD11" w14:textId="77777777" w:rsidR="00B823F8" w:rsidRPr="00A53AD7" w:rsidRDefault="00B823F8" w:rsidP="004B73B1">
            <w:pPr>
              <w:pStyle w:val="ad"/>
              <w:jc w:val="center"/>
              <w:rPr>
                <w:rFonts w:ascii="Times New Roman" w:hAnsi="Times New Roman"/>
              </w:rPr>
            </w:pPr>
            <w:r w:rsidRPr="00A53AD7">
              <w:rPr>
                <w:rFonts w:ascii="Times New Roman" w:hAnsi="Times New Roman"/>
              </w:rPr>
              <w:t>На даты:</w:t>
            </w:r>
          </w:p>
        </w:tc>
        <w:tc>
          <w:tcPr>
            <w:tcW w:w="1056" w:type="dxa"/>
          </w:tcPr>
          <w:p w14:paraId="72F30D37" w14:textId="77777777" w:rsidR="00B823F8" w:rsidRPr="00A53AD7" w:rsidRDefault="00B823F8" w:rsidP="004B73B1">
            <w:pPr>
              <w:pStyle w:val="ad"/>
              <w:jc w:val="center"/>
              <w:rPr>
                <w:rFonts w:ascii="Times New Roman" w:hAnsi="Times New Roman"/>
              </w:rPr>
            </w:pPr>
            <w:r w:rsidRPr="00A53AD7">
              <w:rPr>
                <w:rFonts w:ascii="Times New Roman" w:hAnsi="Times New Roman"/>
              </w:rPr>
              <w:t>01.01.19</w:t>
            </w:r>
          </w:p>
        </w:tc>
        <w:tc>
          <w:tcPr>
            <w:tcW w:w="1056" w:type="dxa"/>
          </w:tcPr>
          <w:p w14:paraId="714EE13A" w14:textId="77777777" w:rsidR="00B823F8" w:rsidRPr="00A53AD7" w:rsidRDefault="00B823F8" w:rsidP="004B73B1">
            <w:pPr>
              <w:pStyle w:val="ad"/>
              <w:jc w:val="center"/>
              <w:rPr>
                <w:rFonts w:ascii="Times New Roman" w:hAnsi="Times New Roman"/>
              </w:rPr>
            </w:pPr>
            <w:r w:rsidRPr="00A53AD7">
              <w:rPr>
                <w:rFonts w:ascii="Times New Roman" w:hAnsi="Times New Roman"/>
              </w:rPr>
              <w:t>01.04.19</w:t>
            </w:r>
          </w:p>
        </w:tc>
        <w:tc>
          <w:tcPr>
            <w:tcW w:w="1056" w:type="dxa"/>
          </w:tcPr>
          <w:p w14:paraId="7A235DC9" w14:textId="77777777" w:rsidR="00B823F8" w:rsidRPr="00A53AD7" w:rsidRDefault="00B823F8" w:rsidP="004B73B1">
            <w:pPr>
              <w:pStyle w:val="ad"/>
              <w:jc w:val="center"/>
              <w:rPr>
                <w:rFonts w:ascii="Times New Roman" w:hAnsi="Times New Roman"/>
              </w:rPr>
            </w:pPr>
            <w:r w:rsidRPr="00A53AD7">
              <w:rPr>
                <w:rFonts w:ascii="Times New Roman" w:hAnsi="Times New Roman"/>
              </w:rPr>
              <w:t>02.07.19</w:t>
            </w:r>
          </w:p>
        </w:tc>
        <w:tc>
          <w:tcPr>
            <w:tcW w:w="1056" w:type="dxa"/>
          </w:tcPr>
          <w:p w14:paraId="39D1E1A1" w14:textId="77777777" w:rsidR="00B823F8" w:rsidRPr="00A53AD7" w:rsidRDefault="00B823F8" w:rsidP="004B73B1">
            <w:pPr>
              <w:pStyle w:val="ad"/>
              <w:jc w:val="center"/>
              <w:rPr>
                <w:rFonts w:ascii="Times New Roman" w:hAnsi="Times New Roman"/>
              </w:rPr>
            </w:pPr>
            <w:r w:rsidRPr="00A53AD7">
              <w:rPr>
                <w:rFonts w:ascii="Times New Roman" w:hAnsi="Times New Roman"/>
              </w:rPr>
              <w:t>25.09.19</w:t>
            </w:r>
          </w:p>
        </w:tc>
        <w:tc>
          <w:tcPr>
            <w:tcW w:w="1056" w:type="dxa"/>
          </w:tcPr>
          <w:p w14:paraId="43C9AFD6" w14:textId="77777777" w:rsidR="00B823F8" w:rsidRPr="00A53AD7" w:rsidRDefault="00B823F8" w:rsidP="004B73B1">
            <w:pPr>
              <w:pStyle w:val="ad"/>
              <w:jc w:val="center"/>
              <w:rPr>
                <w:rFonts w:ascii="Times New Roman" w:hAnsi="Times New Roman"/>
              </w:rPr>
            </w:pPr>
            <w:r w:rsidRPr="00A53AD7">
              <w:rPr>
                <w:rFonts w:ascii="Times New Roman" w:hAnsi="Times New Roman"/>
              </w:rPr>
              <w:t>19.11.19</w:t>
            </w:r>
          </w:p>
        </w:tc>
        <w:tc>
          <w:tcPr>
            <w:tcW w:w="1056" w:type="dxa"/>
          </w:tcPr>
          <w:p w14:paraId="2B6B701F" w14:textId="77777777" w:rsidR="00B823F8" w:rsidRPr="00A53AD7" w:rsidRDefault="00B823F8" w:rsidP="004B73B1">
            <w:pPr>
              <w:pStyle w:val="ad"/>
              <w:jc w:val="center"/>
              <w:rPr>
                <w:rFonts w:ascii="Times New Roman" w:hAnsi="Times New Roman"/>
              </w:rPr>
            </w:pPr>
            <w:r w:rsidRPr="00A53AD7">
              <w:rPr>
                <w:rFonts w:ascii="Times New Roman" w:hAnsi="Times New Roman"/>
              </w:rPr>
              <w:t>13.12.19</w:t>
            </w:r>
          </w:p>
        </w:tc>
        <w:tc>
          <w:tcPr>
            <w:tcW w:w="1185" w:type="dxa"/>
          </w:tcPr>
          <w:p w14:paraId="53B924C2" w14:textId="77777777" w:rsidR="00B823F8" w:rsidRPr="00A53AD7" w:rsidRDefault="00B823F8" w:rsidP="004B73B1">
            <w:pPr>
              <w:pStyle w:val="ad"/>
              <w:jc w:val="center"/>
              <w:rPr>
                <w:rFonts w:ascii="Times New Roman" w:hAnsi="Times New Roman"/>
              </w:rPr>
            </w:pPr>
            <w:r w:rsidRPr="00A53AD7">
              <w:rPr>
                <w:rFonts w:ascii="Times New Roman" w:hAnsi="Times New Roman"/>
              </w:rPr>
              <w:t>Отчет на 31.12.19</w:t>
            </w:r>
          </w:p>
        </w:tc>
        <w:tc>
          <w:tcPr>
            <w:tcW w:w="984" w:type="dxa"/>
          </w:tcPr>
          <w:p w14:paraId="00C41BF8" w14:textId="2B6A34F9" w:rsidR="00B823F8" w:rsidRPr="00A53AD7" w:rsidRDefault="00B823F8" w:rsidP="004B73B1">
            <w:pPr>
              <w:pStyle w:val="ad"/>
              <w:ind w:hanging="117"/>
              <w:jc w:val="center"/>
              <w:rPr>
                <w:rFonts w:ascii="Times New Roman" w:hAnsi="Times New Roman"/>
              </w:rPr>
            </w:pPr>
            <w:r w:rsidRPr="00A53AD7">
              <w:rPr>
                <w:rFonts w:ascii="Times New Roman" w:hAnsi="Times New Roman"/>
              </w:rPr>
              <w:t>Исполнено в %</w:t>
            </w:r>
          </w:p>
        </w:tc>
      </w:tr>
      <w:tr w:rsidR="00D470B6" w:rsidRPr="00A53AD7" w14:paraId="38699F46" w14:textId="77777777" w:rsidTr="004B73B1">
        <w:tc>
          <w:tcPr>
            <w:tcW w:w="1119" w:type="dxa"/>
          </w:tcPr>
          <w:p w14:paraId="68E23B20" w14:textId="77777777" w:rsidR="00B823F8" w:rsidRPr="00A53AD7" w:rsidRDefault="00B823F8" w:rsidP="004B73B1">
            <w:pPr>
              <w:pStyle w:val="ad"/>
              <w:ind w:right="-108" w:hanging="113"/>
              <w:rPr>
                <w:rFonts w:ascii="Times New Roman" w:hAnsi="Times New Roman"/>
              </w:rPr>
            </w:pPr>
            <w:r w:rsidRPr="00A53AD7">
              <w:rPr>
                <w:rFonts w:ascii="Times New Roman" w:hAnsi="Times New Roman"/>
              </w:rPr>
              <w:t xml:space="preserve">Сумма </w:t>
            </w:r>
          </w:p>
        </w:tc>
        <w:tc>
          <w:tcPr>
            <w:tcW w:w="1056" w:type="dxa"/>
          </w:tcPr>
          <w:p w14:paraId="4A032B8B" w14:textId="77777777" w:rsidR="00B823F8" w:rsidRPr="00A53AD7" w:rsidRDefault="00B823F8" w:rsidP="00B823F8">
            <w:pPr>
              <w:pStyle w:val="ad"/>
              <w:jc w:val="center"/>
              <w:rPr>
                <w:rFonts w:ascii="Times New Roman" w:hAnsi="Times New Roman"/>
              </w:rPr>
            </w:pPr>
            <w:r w:rsidRPr="00A53AD7">
              <w:rPr>
                <w:rFonts w:ascii="Times New Roman" w:hAnsi="Times New Roman"/>
              </w:rPr>
              <w:t>102,0</w:t>
            </w:r>
          </w:p>
        </w:tc>
        <w:tc>
          <w:tcPr>
            <w:tcW w:w="1056" w:type="dxa"/>
          </w:tcPr>
          <w:p w14:paraId="76AA4311" w14:textId="77777777" w:rsidR="00B823F8" w:rsidRPr="00A53AD7" w:rsidRDefault="00B823F8" w:rsidP="00B823F8">
            <w:pPr>
              <w:pStyle w:val="ad"/>
              <w:jc w:val="center"/>
              <w:rPr>
                <w:rFonts w:ascii="Times New Roman" w:hAnsi="Times New Roman"/>
              </w:rPr>
            </w:pPr>
            <w:r w:rsidRPr="00A53AD7">
              <w:rPr>
                <w:rFonts w:ascii="Times New Roman" w:hAnsi="Times New Roman"/>
              </w:rPr>
              <w:t>135,0</w:t>
            </w:r>
          </w:p>
        </w:tc>
        <w:tc>
          <w:tcPr>
            <w:tcW w:w="1056" w:type="dxa"/>
          </w:tcPr>
          <w:p w14:paraId="7CDBDFA1" w14:textId="77777777" w:rsidR="00B823F8" w:rsidRPr="00A53AD7" w:rsidRDefault="00B823F8" w:rsidP="00B823F8">
            <w:pPr>
              <w:pStyle w:val="ad"/>
              <w:jc w:val="center"/>
              <w:rPr>
                <w:rFonts w:ascii="Times New Roman" w:hAnsi="Times New Roman"/>
              </w:rPr>
            </w:pPr>
            <w:r w:rsidRPr="00A53AD7">
              <w:rPr>
                <w:rFonts w:ascii="Times New Roman" w:hAnsi="Times New Roman"/>
              </w:rPr>
              <w:t>136,2</w:t>
            </w:r>
          </w:p>
        </w:tc>
        <w:tc>
          <w:tcPr>
            <w:tcW w:w="1056" w:type="dxa"/>
          </w:tcPr>
          <w:p w14:paraId="1A1F1874" w14:textId="77777777" w:rsidR="00B823F8" w:rsidRPr="00A53AD7" w:rsidRDefault="00B823F8" w:rsidP="00B823F8">
            <w:pPr>
              <w:pStyle w:val="ad"/>
              <w:jc w:val="center"/>
              <w:rPr>
                <w:rFonts w:ascii="Times New Roman" w:hAnsi="Times New Roman"/>
              </w:rPr>
            </w:pPr>
            <w:r w:rsidRPr="00A53AD7">
              <w:rPr>
                <w:rFonts w:ascii="Times New Roman" w:hAnsi="Times New Roman"/>
              </w:rPr>
              <w:t>136,2</w:t>
            </w:r>
          </w:p>
        </w:tc>
        <w:tc>
          <w:tcPr>
            <w:tcW w:w="1056" w:type="dxa"/>
          </w:tcPr>
          <w:p w14:paraId="35F9E273" w14:textId="77777777" w:rsidR="00B823F8" w:rsidRPr="00A53AD7" w:rsidRDefault="00B823F8" w:rsidP="00B823F8">
            <w:pPr>
              <w:pStyle w:val="ad"/>
              <w:jc w:val="center"/>
              <w:rPr>
                <w:rFonts w:ascii="Times New Roman" w:hAnsi="Times New Roman"/>
              </w:rPr>
            </w:pPr>
            <w:r w:rsidRPr="00A53AD7">
              <w:rPr>
                <w:rFonts w:ascii="Times New Roman" w:hAnsi="Times New Roman"/>
              </w:rPr>
              <w:t>154,2</w:t>
            </w:r>
          </w:p>
        </w:tc>
        <w:tc>
          <w:tcPr>
            <w:tcW w:w="1056" w:type="dxa"/>
          </w:tcPr>
          <w:p w14:paraId="4E71141E" w14:textId="77777777" w:rsidR="00B823F8" w:rsidRPr="00A53AD7" w:rsidRDefault="00B823F8" w:rsidP="00B823F8">
            <w:pPr>
              <w:pStyle w:val="ad"/>
              <w:jc w:val="center"/>
              <w:rPr>
                <w:rFonts w:ascii="Times New Roman" w:hAnsi="Times New Roman"/>
              </w:rPr>
            </w:pPr>
            <w:r w:rsidRPr="00A53AD7">
              <w:rPr>
                <w:rFonts w:ascii="Times New Roman" w:hAnsi="Times New Roman"/>
              </w:rPr>
              <w:t>150,9</w:t>
            </w:r>
          </w:p>
        </w:tc>
        <w:tc>
          <w:tcPr>
            <w:tcW w:w="1185" w:type="dxa"/>
          </w:tcPr>
          <w:p w14:paraId="631DA188" w14:textId="77777777" w:rsidR="00B823F8" w:rsidRPr="00A53AD7" w:rsidRDefault="00B823F8" w:rsidP="00B823F8">
            <w:pPr>
              <w:pStyle w:val="ad"/>
              <w:jc w:val="center"/>
              <w:rPr>
                <w:rFonts w:ascii="Times New Roman" w:hAnsi="Times New Roman"/>
              </w:rPr>
            </w:pPr>
            <w:r w:rsidRPr="00A53AD7">
              <w:rPr>
                <w:rFonts w:ascii="Times New Roman" w:hAnsi="Times New Roman"/>
              </w:rPr>
              <w:t>178,4</w:t>
            </w:r>
          </w:p>
        </w:tc>
        <w:tc>
          <w:tcPr>
            <w:tcW w:w="984" w:type="dxa"/>
          </w:tcPr>
          <w:p w14:paraId="02CAC80F" w14:textId="77777777" w:rsidR="00B823F8" w:rsidRPr="00A53AD7" w:rsidRDefault="00B823F8" w:rsidP="00B823F8">
            <w:pPr>
              <w:pStyle w:val="ad"/>
              <w:jc w:val="center"/>
              <w:rPr>
                <w:rFonts w:ascii="Times New Roman" w:hAnsi="Times New Roman"/>
              </w:rPr>
            </w:pPr>
            <w:r w:rsidRPr="00A53AD7">
              <w:rPr>
                <w:rFonts w:ascii="Times New Roman" w:hAnsi="Times New Roman"/>
              </w:rPr>
              <w:t>67,9%</w:t>
            </w:r>
          </w:p>
        </w:tc>
      </w:tr>
      <w:tr w:rsidR="00D470B6" w:rsidRPr="00A53AD7" w14:paraId="10D81C5B" w14:textId="77777777" w:rsidTr="004B73B1">
        <w:tc>
          <w:tcPr>
            <w:tcW w:w="1119" w:type="dxa"/>
          </w:tcPr>
          <w:p w14:paraId="47100045" w14:textId="77777777" w:rsidR="00B823F8" w:rsidRPr="00A53AD7" w:rsidRDefault="00B823F8" w:rsidP="004B73B1">
            <w:pPr>
              <w:pStyle w:val="ad"/>
              <w:ind w:right="-108" w:hanging="113"/>
              <w:rPr>
                <w:rFonts w:ascii="Times New Roman" w:hAnsi="Times New Roman"/>
              </w:rPr>
            </w:pPr>
            <w:r w:rsidRPr="00A53AD7">
              <w:rPr>
                <w:rFonts w:ascii="Times New Roman" w:hAnsi="Times New Roman"/>
              </w:rPr>
              <w:t>кол-во объектов</w:t>
            </w:r>
          </w:p>
        </w:tc>
        <w:tc>
          <w:tcPr>
            <w:tcW w:w="1056" w:type="dxa"/>
          </w:tcPr>
          <w:p w14:paraId="015A0E4A"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056" w:type="dxa"/>
          </w:tcPr>
          <w:p w14:paraId="7AABC53C"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056" w:type="dxa"/>
          </w:tcPr>
          <w:p w14:paraId="52D5FBB1"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056" w:type="dxa"/>
          </w:tcPr>
          <w:p w14:paraId="1DAE5EB0"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056" w:type="dxa"/>
          </w:tcPr>
          <w:p w14:paraId="71B05AB1"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056" w:type="dxa"/>
          </w:tcPr>
          <w:p w14:paraId="72094174"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c>
          <w:tcPr>
            <w:tcW w:w="1185" w:type="dxa"/>
          </w:tcPr>
          <w:p w14:paraId="5241A38C"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984" w:type="dxa"/>
          </w:tcPr>
          <w:p w14:paraId="279817DC" w14:textId="77777777" w:rsidR="00B823F8" w:rsidRPr="00A53AD7" w:rsidRDefault="00B823F8" w:rsidP="00B823F8">
            <w:pPr>
              <w:pStyle w:val="ad"/>
              <w:jc w:val="center"/>
              <w:rPr>
                <w:rFonts w:ascii="Times New Roman" w:hAnsi="Times New Roman"/>
              </w:rPr>
            </w:pPr>
            <w:r w:rsidRPr="00A53AD7">
              <w:rPr>
                <w:rFonts w:ascii="Times New Roman" w:hAnsi="Times New Roman"/>
              </w:rPr>
              <w:t>75,0%</w:t>
            </w:r>
          </w:p>
        </w:tc>
      </w:tr>
      <w:tr w:rsidR="00D470B6" w:rsidRPr="00A53AD7" w14:paraId="6E4672D7" w14:textId="77777777" w:rsidTr="004B73B1">
        <w:tc>
          <w:tcPr>
            <w:tcW w:w="1119" w:type="dxa"/>
          </w:tcPr>
          <w:p w14:paraId="4DC482D5" w14:textId="77777777" w:rsidR="00B823F8" w:rsidRPr="00A53AD7" w:rsidRDefault="00B823F8" w:rsidP="004B73B1">
            <w:pPr>
              <w:pStyle w:val="ad"/>
              <w:ind w:hanging="113"/>
              <w:rPr>
                <w:rFonts w:ascii="Times New Roman" w:hAnsi="Times New Roman"/>
              </w:rPr>
            </w:pPr>
            <w:r w:rsidRPr="00A53AD7">
              <w:rPr>
                <w:rFonts w:ascii="Times New Roman" w:hAnsi="Times New Roman"/>
              </w:rPr>
              <w:t>(+, -) сумма</w:t>
            </w:r>
          </w:p>
        </w:tc>
        <w:tc>
          <w:tcPr>
            <w:tcW w:w="1056" w:type="dxa"/>
          </w:tcPr>
          <w:p w14:paraId="06DC12EE" w14:textId="77777777" w:rsidR="00B823F8" w:rsidRPr="00A53AD7" w:rsidRDefault="00B823F8" w:rsidP="00B823F8">
            <w:pPr>
              <w:pStyle w:val="ad"/>
              <w:jc w:val="center"/>
              <w:rPr>
                <w:rFonts w:ascii="Times New Roman" w:hAnsi="Times New Roman"/>
              </w:rPr>
            </w:pPr>
          </w:p>
        </w:tc>
        <w:tc>
          <w:tcPr>
            <w:tcW w:w="1056" w:type="dxa"/>
          </w:tcPr>
          <w:p w14:paraId="43CED701" w14:textId="77777777" w:rsidR="00B823F8" w:rsidRPr="00A53AD7" w:rsidRDefault="00B823F8" w:rsidP="00B823F8">
            <w:pPr>
              <w:pStyle w:val="ad"/>
              <w:jc w:val="center"/>
              <w:rPr>
                <w:rFonts w:ascii="Times New Roman" w:hAnsi="Times New Roman"/>
              </w:rPr>
            </w:pPr>
            <w:r w:rsidRPr="00A53AD7">
              <w:rPr>
                <w:rFonts w:ascii="Times New Roman" w:hAnsi="Times New Roman"/>
              </w:rPr>
              <w:t>+33,0</w:t>
            </w:r>
          </w:p>
        </w:tc>
        <w:tc>
          <w:tcPr>
            <w:tcW w:w="1056" w:type="dxa"/>
          </w:tcPr>
          <w:p w14:paraId="711B1116"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056" w:type="dxa"/>
          </w:tcPr>
          <w:p w14:paraId="366B5D06"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056" w:type="dxa"/>
          </w:tcPr>
          <w:p w14:paraId="4FDC7589" w14:textId="77777777" w:rsidR="00B823F8" w:rsidRPr="00A53AD7" w:rsidRDefault="00B823F8" w:rsidP="00B823F8">
            <w:pPr>
              <w:pStyle w:val="ad"/>
              <w:jc w:val="center"/>
              <w:rPr>
                <w:rFonts w:ascii="Times New Roman" w:hAnsi="Times New Roman"/>
              </w:rPr>
            </w:pPr>
            <w:r w:rsidRPr="00A53AD7">
              <w:rPr>
                <w:rFonts w:ascii="Times New Roman" w:hAnsi="Times New Roman"/>
              </w:rPr>
              <w:t>+18,0</w:t>
            </w:r>
          </w:p>
        </w:tc>
        <w:tc>
          <w:tcPr>
            <w:tcW w:w="1056" w:type="dxa"/>
          </w:tcPr>
          <w:p w14:paraId="5795F81D" w14:textId="77777777" w:rsidR="00B823F8" w:rsidRPr="00A53AD7" w:rsidRDefault="00B823F8" w:rsidP="00B823F8">
            <w:pPr>
              <w:pStyle w:val="ad"/>
              <w:jc w:val="center"/>
              <w:rPr>
                <w:rFonts w:ascii="Times New Roman" w:hAnsi="Times New Roman"/>
              </w:rPr>
            </w:pPr>
            <w:r w:rsidRPr="00A53AD7">
              <w:rPr>
                <w:rFonts w:ascii="Times New Roman" w:hAnsi="Times New Roman"/>
              </w:rPr>
              <w:t>-3,3</w:t>
            </w:r>
          </w:p>
        </w:tc>
        <w:tc>
          <w:tcPr>
            <w:tcW w:w="1185" w:type="dxa"/>
          </w:tcPr>
          <w:p w14:paraId="2F5C473B" w14:textId="77777777" w:rsidR="00B823F8" w:rsidRPr="00A53AD7" w:rsidRDefault="00B823F8" w:rsidP="00B823F8">
            <w:pPr>
              <w:pStyle w:val="ad"/>
              <w:jc w:val="center"/>
              <w:rPr>
                <w:rFonts w:ascii="Times New Roman" w:hAnsi="Times New Roman"/>
              </w:rPr>
            </w:pPr>
          </w:p>
        </w:tc>
        <w:tc>
          <w:tcPr>
            <w:tcW w:w="984" w:type="dxa"/>
          </w:tcPr>
          <w:p w14:paraId="02255BFC" w14:textId="77777777" w:rsidR="00B823F8" w:rsidRPr="00A53AD7" w:rsidRDefault="00B823F8" w:rsidP="00B823F8">
            <w:pPr>
              <w:pStyle w:val="ad"/>
              <w:jc w:val="center"/>
              <w:rPr>
                <w:rFonts w:ascii="Times New Roman" w:hAnsi="Times New Roman"/>
              </w:rPr>
            </w:pPr>
          </w:p>
        </w:tc>
      </w:tr>
      <w:tr w:rsidR="00B823F8" w:rsidRPr="00A53AD7" w14:paraId="060FBDAA" w14:textId="77777777" w:rsidTr="004B73B1">
        <w:tc>
          <w:tcPr>
            <w:tcW w:w="1119" w:type="dxa"/>
          </w:tcPr>
          <w:p w14:paraId="1FB086F7" w14:textId="77777777" w:rsidR="00B823F8" w:rsidRPr="00A53AD7" w:rsidRDefault="00B823F8" w:rsidP="004B73B1">
            <w:pPr>
              <w:pStyle w:val="ad"/>
              <w:ind w:right="-108" w:hanging="113"/>
              <w:rPr>
                <w:rFonts w:ascii="Times New Roman" w:hAnsi="Times New Roman"/>
              </w:rPr>
            </w:pPr>
            <w:r w:rsidRPr="00A53AD7">
              <w:rPr>
                <w:rFonts w:ascii="Times New Roman" w:hAnsi="Times New Roman"/>
              </w:rPr>
              <w:t>(+,-) объекты</w:t>
            </w:r>
          </w:p>
        </w:tc>
        <w:tc>
          <w:tcPr>
            <w:tcW w:w="1056" w:type="dxa"/>
          </w:tcPr>
          <w:p w14:paraId="523668A7" w14:textId="77777777" w:rsidR="00B823F8" w:rsidRPr="00A53AD7" w:rsidRDefault="00B823F8" w:rsidP="00B823F8">
            <w:pPr>
              <w:pStyle w:val="ad"/>
              <w:jc w:val="center"/>
              <w:rPr>
                <w:rFonts w:ascii="Times New Roman" w:hAnsi="Times New Roman"/>
              </w:rPr>
            </w:pPr>
          </w:p>
        </w:tc>
        <w:tc>
          <w:tcPr>
            <w:tcW w:w="1056" w:type="dxa"/>
          </w:tcPr>
          <w:p w14:paraId="0C59ADFB" w14:textId="77777777" w:rsidR="00B823F8" w:rsidRPr="00A53AD7" w:rsidRDefault="00B823F8" w:rsidP="00B823F8">
            <w:pPr>
              <w:pStyle w:val="ad"/>
              <w:jc w:val="center"/>
              <w:rPr>
                <w:rFonts w:ascii="Times New Roman" w:hAnsi="Times New Roman"/>
              </w:rPr>
            </w:pPr>
          </w:p>
        </w:tc>
        <w:tc>
          <w:tcPr>
            <w:tcW w:w="1056" w:type="dxa"/>
          </w:tcPr>
          <w:p w14:paraId="67742B75"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6EB406F6" w14:textId="77777777" w:rsidR="00B823F8" w:rsidRPr="00A53AD7" w:rsidRDefault="00B823F8" w:rsidP="00B823F8">
            <w:pPr>
              <w:pStyle w:val="ad"/>
              <w:jc w:val="center"/>
              <w:rPr>
                <w:rFonts w:ascii="Times New Roman" w:hAnsi="Times New Roman"/>
              </w:rPr>
            </w:pPr>
          </w:p>
        </w:tc>
        <w:tc>
          <w:tcPr>
            <w:tcW w:w="1056" w:type="dxa"/>
          </w:tcPr>
          <w:p w14:paraId="0B7BF4F2"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2D7098D8" w14:textId="77777777" w:rsidR="00B823F8" w:rsidRPr="00A53AD7" w:rsidRDefault="00B823F8" w:rsidP="00B823F8">
            <w:pPr>
              <w:pStyle w:val="ad"/>
              <w:jc w:val="center"/>
              <w:rPr>
                <w:rFonts w:ascii="Times New Roman" w:hAnsi="Times New Roman"/>
              </w:rPr>
            </w:pPr>
          </w:p>
        </w:tc>
        <w:tc>
          <w:tcPr>
            <w:tcW w:w="1185" w:type="dxa"/>
          </w:tcPr>
          <w:p w14:paraId="53A46165" w14:textId="77777777" w:rsidR="00B823F8" w:rsidRPr="00A53AD7" w:rsidRDefault="00B823F8" w:rsidP="00B823F8">
            <w:pPr>
              <w:pStyle w:val="ad"/>
              <w:jc w:val="center"/>
              <w:rPr>
                <w:rFonts w:ascii="Times New Roman" w:hAnsi="Times New Roman"/>
              </w:rPr>
            </w:pPr>
          </w:p>
        </w:tc>
        <w:tc>
          <w:tcPr>
            <w:tcW w:w="984" w:type="dxa"/>
          </w:tcPr>
          <w:p w14:paraId="6439521B" w14:textId="77777777" w:rsidR="00B823F8" w:rsidRPr="00A53AD7" w:rsidRDefault="00B823F8" w:rsidP="00B823F8">
            <w:pPr>
              <w:pStyle w:val="ad"/>
              <w:jc w:val="center"/>
              <w:rPr>
                <w:rFonts w:ascii="Times New Roman" w:hAnsi="Times New Roman"/>
              </w:rPr>
            </w:pPr>
          </w:p>
        </w:tc>
      </w:tr>
    </w:tbl>
    <w:p w14:paraId="24EBCCCB" w14:textId="77777777" w:rsidR="00B823F8" w:rsidRPr="00A53AD7" w:rsidRDefault="00B823F8" w:rsidP="00B823F8">
      <w:pPr>
        <w:pStyle w:val="ad"/>
        <w:ind w:firstLine="709"/>
        <w:jc w:val="both"/>
        <w:rPr>
          <w:rFonts w:ascii="Times New Roman" w:hAnsi="Times New Roman"/>
          <w:sz w:val="28"/>
          <w:szCs w:val="28"/>
          <w:highlight w:val="cyan"/>
        </w:rPr>
      </w:pPr>
    </w:p>
    <w:p w14:paraId="051C5DC5" w14:textId="77777777" w:rsidR="00B823F8" w:rsidRPr="00A53AD7" w:rsidRDefault="00B823F8" w:rsidP="004B73B1">
      <w:pPr>
        <w:pStyle w:val="ad"/>
        <w:ind w:firstLine="709"/>
        <w:jc w:val="both"/>
        <w:rPr>
          <w:rFonts w:ascii="Times New Roman" w:hAnsi="Times New Roman"/>
          <w:sz w:val="28"/>
          <w:szCs w:val="28"/>
        </w:rPr>
      </w:pPr>
      <w:r w:rsidRPr="00A53AD7">
        <w:rPr>
          <w:rFonts w:ascii="Times New Roman" w:hAnsi="Times New Roman"/>
          <w:sz w:val="28"/>
          <w:szCs w:val="28"/>
        </w:rPr>
        <w:t>Главные распорядители реализации программы:</w:t>
      </w:r>
    </w:p>
    <w:p w14:paraId="2C45EFC3" w14:textId="0362E3C3"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w:t>
      </w:r>
    </w:p>
    <w:p w14:paraId="120BD13A" w14:textId="71865A6D"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агентство по спорту по 1 объекту.</w:t>
      </w:r>
    </w:p>
    <w:p w14:paraId="6A665930" w14:textId="2B4003FB" w:rsidR="00B823F8" w:rsidRPr="00A53AD7" w:rsidRDefault="00B823F8" w:rsidP="00826099">
      <w:pPr>
        <w:pStyle w:val="ad"/>
        <w:ind w:firstLine="709"/>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73786C56"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4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59"/>
        <w:gridCol w:w="1559"/>
        <w:gridCol w:w="1560"/>
        <w:gridCol w:w="1559"/>
      </w:tblGrid>
      <w:tr w:rsidR="00D470B6" w:rsidRPr="00A53AD7" w14:paraId="39F18983" w14:textId="77777777" w:rsidTr="00FC5B0D">
        <w:trPr>
          <w:tblHeader/>
        </w:trPr>
        <w:tc>
          <w:tcPr>
            <w:tcW w:w="3104" w:type="dxa"/>
          </w:tcPr>
          <w:p w14:paraId="6DE120A4" w14:textId="77777777" w:rsidR="00B823F8" w:rsidRPr="00A53AD7" w:rsidRDefault="00B823F8" w:rsidP="00B823F8">
            <w:pPr>
              <w:pStyle w:val="ad"/>
              <w:jc w:val="both"/>
              <w:rPr>
                <w:rFonts w:ascii="Times New Roman" w:hAnsi="Times New Roman"/>
              </w:rPr>
            </w:pPr>
          </w:p>
        </w:tc>
        <w:tc>
          <w:tcPr>
            <w:tcW w:w="1559" w:type="dxa"/>
          </w:tcPr>
          <w:p w14:paraId="70AE2817"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59" w:type="dxa"/>
          </w:tcPr>
          <w:p w14:paraId="6444E593"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60" w:type="dxa"/>
          </w:tcPr>
          <w:p w14:paraId="422835E8"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1BA8E8A4"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3D5CD1B1" w14:textId="77777777" w:rsidTr="00E84E29">
        <w:tc>
          <w:tcPr>
            <w:tcW w:w="3104" w:type="dxa"/>
          </w:tcPr>
          <w:p w14:paraId="02352755"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59" w:type="dxa"/>
          </w:tcPr>
          <w:p w14:paraId="4C3298F5" w14:textId="77777777" w:rsidR="00B823F8" w:rsidRPr="00A53AD7" w:rsidRDefault="00B823F8" w:rsidP="00B823F8">
            <w:pPr>
              <w:pStyle w:val="ad"/>
              <w:jc w:val="center"/>
              <w:rPr>
                <w:rFonts w:ascii="Times New Roman" w:hAnsi="Times New Roman"/>
              </w:rPr>
            </w:pPr>
            <w:r w:rsidRPr="00A53AD7">
              <w:rPr>
                <w:rFonts w:ascii="Times New Roman" w:hAnsi="Times New Roman"/>
              </w:rPr>
              <w:t>102,0</w:t>
            </w:r>
          </w:p>
        </w:tc>
        <w:tc>
          <w:tcPr>
            <w:tcW w:w="1559" w:type="dxa"/>
          </w:tcPr>
          <w:p w14:paraId="4C22C7DF" w14:textId="77777777" w:rsidR="00B823F8" w:rsidRPr="00A53AD7" w:rsidRDefault="00B823F8" w:rsidP="00B823F8">
            <w:pPr>
              <w:pStyle w:val="ad"/>
              <w:jc w:val="center"/>
              <w:rPr>
                <w:rFonts w:ascii="Times New Roman" w:hAnsi="Times New Roman"/>
              </w:rPr>
            </w:pPr>
            <w:r w:rsidRPr="00A53AD7">
              <w:rPr>
                <w:rFonts w:ascii="Times New Roman" w:hAnsi="Times New Roman"/>
              </w:rPr>
              <w:t>135,0</w:t>
            </w:r>
          </w:p>
        </w:tc>
        <w:tc>
          <w:tcPr>
            <w:tcW w:w="1560" w:type="dxa"/>
          </w:tcPr>
          <w:p w14:paraId="6D5A90D3" w14:textId="77777777" w:rsidR="00B823F8" w:rsidRPr="00A53AD7" w:rsidRDefault="00B823F8" w:rsidP="00B823F8">
            <w:pPr>
              <w:pStyle w:val="ad"/>
              <w:jc w:val="center"/>
              <w:rPr>
                <w:rFonts w:ascii="Times New Roman" w:hAnsi="Times New Roman"/>
              </w:rPr>
            </w:pPr>
            <w:r w:rsidRPr="00A53AD7">
              <w:rPr>
                <w:rFonts w:ascii="Times New Roman" w:hAnsi="Times New Roman"/>
              </w:rPr>
              <w:t>136,2</w:t>
            </w:r>
          </w:p>
        </w:tc>
        <w:tc>
          <w:tcPr>
            <w:tcW w:w="1559" w:type="dxa"/>
          </w:tcPr>
          <w:p w14:paraId="4672CE30" w14:textId="77777777" w:rsidR="00B823F8" w:rsidRPr="00A53AD7" w:rsidRDefault="00B823F8" w:rsidP="00B823F8">
            <w:pPr>
              <w:pStyle w:val="ad"/>
              <w:jc w:val="center"/>
              <w:rPr>
                <w:rFonts w:ascii="Times New Roman" w:hAnsi="Times New Roman"/>
              </w:rPr>
            </w:pPr>
            <w:r w:rsidRPr="00A53AD7">
              <w:rPr>
                <w:rFonts w:ascii="Times New Roman" w:hAnsi="Times New Roman"/>
              </w:rPr>
              <w:t>150,9</w:t>
            </w:r>
          </w:p>
        </w:tc>
      </w:tr>
      <w:tr w:rsidR="00D470B6" w:rsidRPr="00A53AD7" w14:paraId="3DF877EC" w14:textId="77777777" w:rsidTr="00E84E29">
        <w:tc>
          <w:tcPr>
            <w:tcW w:w="3104" w:type="dxa"/>
          </w:tcPr>
          <w:p w14:paraId="2CE54D5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59" w:type="dxa"/>
          </w:tcPr>
          <w:p w14:paraId="73D5CF5C" w14:textId="77777777" w:rsidR="00B823F8" w:rsidRPr="00A53AD7" w:rsidRDefault="00B823F8" w:rsidP="00B823F8">
            <w:pPr>
              <w:pStyle w:val="ad"/>
              <w:jc w:val="center"/>
              <w:rPr>
                <w:rFonts w:ascii="Times New Roman" w:hAnsi="Times New Roman"/>
              </w:rPr>
            </w:pPr>
            <w:r w:rsidRPr="00A53AD7">
              <w:rPr>
                <w:rFonts w:ascii="Times New Roman" w:hAnsi="Times New Roman"/>
              </w:rPr>
              <w:t>3,6</w:t>
            </w:r>
          </w:p>
        </w:tc>
        <w:tc>
          <w:tcPr>
            <w:tcW w:w="1559" w:type="dxa"/>
          </w:tcPr>
          <w:p w14:paraId="6C80EFCF" w14:textId="77777777" w:rsidR="00B823F8" w:rsidRPr="00A53AD7" w:rsidRDefault="00B823F8" w:rsidP="00B823F8">
            <w:pPr>
              <w:pStyle w:val="ad"/>
              <w:jc w:val="center"/>
              <w:rPr>
                <w:rFonts w:ascii="Times New Roman" w:hAnsi="Times New Roman"/>
              </w:rPr>
            </w:pPr>
            <w:r w:rsidRPr="00A53AD7">
              <w:rPr>
                <w:rFonts w:ascii="Times New Roman" w:hAnsi="Times New Roman"/>
              </w:rPr>
              <w:t>11,7</w:t>
            </w:r>
          </w:p>
        </w:tc>
        <w:tc>
          <w:tcPr>
            <w:tcW w:w="1560" w:type="dxa"/>
          </w:tcPr>
          <w:p w14:paraId="297CCDEA" w14:textId="77777777" w:rsidR="00B823F8" w:rsidRPr="00A53AD7" w:rsidRDefault="00B823F8" w:rsidP="00B823F8">
            <w:pPr>
              <w:pStyle w:val="ad"/>
              <w:jc w:val="center"/>
              <w:rPr>
                <w:rFonts w:ascii="Times New Roman" w:hAnsi="Times New Roman"/>
              </w:rPr>
            </w:pPr>
            <w:r w:rsidRPr="00A53AD7">
              <w:rPr>
                <w:rFonts w:ascii="Times New Roman" w:hAnsi="Times New Roman"/>
              </w:rPr>
              <w:t>74,0</w:t>
            </w:r>
          </w:p>
        </w:tc>
        <w:tc>
          <w:tcPr>
            <w:tcW w:w="1559" w:type="dxa"/>
          </w:tcPr>
          <w:p w14:paraId="33F44B45" w14:textId="77777777" w:rsidR="00B823F8" w:rsidRPr="00A53AD7" w:rsidRDefault="00B823F8" w:rsidP="00B823F8">
            <w:pPr>
              <w:pStyle w:val="ad"/>
              <w:jc w:val="center"/>
              <w:rPr>
                <w:rFonts w:ascii="Times New Roman" w:hAnsi="Times New Roman"/>
              </w:rPr>
            </w:pPr>
            <w:r w:rsidRPr="00A53AD7">
              <w:rPr>
                <w:rFonts w:ascii="Times New Roman" w:hAnsi="Times New Roman"/>
              </w:rPr>
              <w:t>118,8</w:t>
            </w:r>
          </w:p>
        </w:tc>
      </w:tr>
      <w:tr w:rsidR="00D470B6" w:rsidRPr="00A53AD7" w14:paraId="2958CF97" w14:textId="77777777" w:rsidTr="00E84E29">
        <w:tc>
          <w:tcPr>
            <w:tcW w:w="3104" w:type="dxa"/>
          </w:tcPr>
          <w:p w14:paraId="001D7B1F"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59" w:type="dxa"/>
          </w:tcPr>
          <w:p w14:paraId="0608F45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3,5%</w:t>
            </w:r>
          </w:p>
        </w:tc>
        <w:tc>
          <w:tcPr>
            <w:tcW w:w="1559" w:type="dxa"/>
          </w:tcPr>
          <w:p w14:paraId="209230D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8,7%</w:t>
            </w:r>
          </w:p>
        </w:tc>
        <w:tc>
          <w:tcPr>
            <w:tcW w:w="1560" w:type="dxa"/>
          </w:tcPr>
          <w:p w14:paraId="236815F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54,3%</w:t>
            </w:r>
          </w:p>
        </w:tc>
        <w:tc>
          <w:tcPr>
            <w:tcW w:w="1559" w:type="dxa"/>
          </w:tcPr>
          <w:p w14:paraId="6B1F42F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78,7%</w:t>
            </w:r>
          </w:p>
        </w:tc>
      </w:tr>
      <w:tr w:rsidR="00D470B6" w:rsidRPr="00A53AD7" w14:paraId="1896E12C" w14:textId="77777777" w:rsidTr="00E84E29">
        <w:tc>
          <w:tcPr>
            <w:tcW w:w="3104" w:type="dxa"/>
          </w:tcPr>
          <w:p w14:paraId="4F20AB99" w14:textId="51E5816F" w:rsidR="00B823F8" w:rsidRPr="00A53AD7" w:rsidRDefault="00B823F8" w:rsidP="00826099">
            <w:pPr>
              <w:pStyle w:val="ad"/>
              <w:jc w:val="both"/>
              <w:rPr>
                <w:rFonts w:ascii="Times New Roman" w:hAnsi="Times New Roman"/>
              </w:rPr>
            </w:pPr>
            <w:r w:rsidRPr="00A53AD7">
              <w:rPr>
                <w:rFonts w:ascii="Times New Roman" w:hAnsi="Times New Roman"/>
              </w:rPr>
              <w:t>Кол-во объектов ОАИП план</w:t>
            </w:r>
          </w:p>
        </w:tc>
        <w:tc>
          <w:tcPr>
            <w:tcW w:w="1559" w:type="dxa"/>
          </w:tcPr>
          <w:p w14:paraId="18D3C2B2"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559" w:type="dxa"/>
          </w:tcPr>
          <w:p w14:paraId="658D2CAF"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c>
          <w:tcPr>
            <w:tcW w:w="1560" w:type="dxa"/>
          </w:tcPr>
          <w:p w14:paraId="12599A4F"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c>
          <w:tcPr>
            <w:tcW w:w="1559" w:type="dxa"/>
          </w:tcPr>
          <w:p w14:paraId="0AE1EEE8" w14:textId="77777777" w:rsidR="00B823F8" w:rsidRPr="00A53AD7" w:rsidRDefault="00B823F8" w:rsidP="00B823F8">
            <w:pPr>
              <w:pStyle w:val="ad"/>
              <w:jc w:val="center"/>
              <w:rPr>
                <w:rFonts w:ascii="Times New Roman" w:hAnsi="Times New Roman"/>
              </w:rPr>
            </w:pPr>
            <w:r w:rsidRPr="00A53AD7">
              <w:rPr>
                <w:rFonts w:ascii="Times New Roman" w:hAnsi="Times New Roman"/>
              </w:rPr>
              <w:t>8</w:t>
            </w:r>
          </w:p>
        </w:tc>
      </w:tr>
      <w:tr w:rsidR="00D470B6" w:rsidRPr="00A53AD7" w14:paraId="0F361673" w14:textId="77777777" w:rsidTr="00E84E29">
        <w:tc>
          <w:tcPr>
            <w:tcW w:w="3104" w:type="dxa"/>
          </w:tcPr>
          <w:p w14:paraId="6F4912D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59" w:type="dxa"/>
          </w:tcPr>
          <w:p w14:paraId="6165F690"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1FB0CE67"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60" w:type="dxa"/>
          </w:tcPr>
          <w:p w14:paraId="5CEB01F5"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3EB70B37"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r>
      <w:tr w:rsidR="00B823F8" w:rsidRPr="00A53AD7" w14:paraId="665DE1B8" w14:textId="77777777" w:rsidTr="00E84E29">
        <w:tc>
          <w:tcPr>
            <w:tcW w:w="3104" w:type="dxa"/>
          </w:tcPr>
          <w:p w14:paraId="2907E89C"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59" w:type="dxa"/>
          </w:tcPr>
          <w:p w14:paraId="2F73704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20,0%</w:t>
            </w:r>
          </w:p>
        </w:tc>
        <w:tc>
          <w:tcPr>
            <w:tcW w:w="1559" w:type="dxa"/>
          </w:tcPr>
          <w:p w14:paraId="7AA82CA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40,0%</w:t>
            </w:r>
          </w:p>
        </w:tc>
        <w:tc>
          <w:tcPr>
            <w:tcW w:w="1560" w:type="dxa"/>
          </w:tcPr>
          <w:p w14:paraId="20C7394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57,1%</w:t>
            </w:r>
          </w:p>
        </w:tc>
        <w:tc>
          <w:tcPr>
            <w:tcW w:w="1559" w:type="dxa"/>
          </w:tcPr>
          <w:p w14:paraId="15EDFF0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75,0%</w:t>
            </w:r>
          </w:p>
        </w:tc>
      </w:tr>
    </w:tbl>
    <w:p w14:paraId="3AA94DCD" w14:textId="77777777" w:rsidR="00B823F8" w:rsidRPr="00A53AD7" w:rsidRDefault="00B823F8" w:rsidP="00E84E29">
      <w:pPr>
        <w:pStyle w:val="ad"/>
        <w:ind w:firstLine="709"/>
        <w:jc w:val="both"/>
        <w:rPr>
          <w:rFonts w:ascii="Times New Roman" w:hAnsi="Times New Roman"/>
          <w:sz w:val="28"/>
          <w:szCs w:val="28"/>
        </w:rPr>
      </w:pPr>
    </w:p>
    <w:p w14:paraId="0C1A71EA" w14:textId="7F72E998" w:rsidR="00B823F8" w:rsidRPr="00A53AD7" w:rsidRDefault="00B823F8" w:rsidP="00E84E29">
      <w:pPr>
        <w:pStyle w:val="ad"/>
        <w:ind w:firstLine="709"/>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по главному распорядителю министерству строительства составило:</w:t>
      </w:r>
    </w:p>
    <w:p w14:paraId="6D90D993"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3"/>
        <w:gridCol w:w="1560"/>
        <w:gridCol w:w="1559"/>
        <w:gridCol w:w="1559"/>
      </w:tblGrid>
      <w:tr w:rsidR="00D470B6" w:rsidRPr="00A53AD7" w14:paraId="289DDCA6" w14:textId="77777777" w:rsidTr="00E84E29">
        <w:tc>
          <w:tcPr>
            <w:tcW w:w="3104" w:type="dxa"/>
          </w:tcPr>
          <w:p w14:paraId="68F7C5C0" w14:textId="77777777" w:rsidR="00B823F8" w:rsidRPr="00A53AD7" w:rsidRDefault="00B823F8" w:rsidP="00B823F8">
            <w:pPr>
              <w:pStyle w:val="ad"/>
              <w:jc w:val="both"/>
              <w:rPr>
                <w:rFonts w:ascii="Times New Roman" w:hAnsi="Times New Roman"/>
              </w:rPr>
            </w:pPr>
          </w:p>
        </w:tc>
        <w:tc>
          <w:tcPr>
            <w:tcW w:w="1523" w:type="dxa"/>
          </w:tcPr>
          <w:p w14:paraId="046A3F9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7B15C8A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0DBFE89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1649CF2E"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2E25C3EC" w14:textId="77777777" w:rsidTr="00E84E29">
        <w:tc>
          <w:tcPr>
            <w:tcW w:w="3104" w:type="dxa"/>
          </w:tcPr>
          <w:p w14:paraId="4B2683FA"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3" w:type="dxa"/>
          </w:tcPr>
          <w:p w14:paraId="1FA1E617" w14:textId="77777777" w:rsidR="00B823F8" w:rsidRPr="00A53AD7" w:rsidRDefault="00B823F8" w:rsidP="00B823F8">
            <w:pPr>
              <w:pStyle w:val="ad"/>
              <w:jc w:val="center"/>
              <w:rPr>
                <w:rFonts w:ascii="Times New Roman" w:hAnsi="Times New Roman"/>
              </w:rPr>
            </w:pPr>
            <w:r w:rsidRPr="00A53AD7">
              <w:rPr>
                <w:rFonts w:ascii="Times New Roman" w:hAnsi="Times New Roman"/>
              </w:rPr>
              <w:t>99,5</w:t>
            </w:r>
          </w:p>
        </w:tc>
        <w:tc>
          <w:tcPr>
            <w:tcW w:w="1560" w:type="dxa"/>
          </w:tcPr>
          <w:p w14:paraId="2104B2C9" w14:textId="77777777" w:rsidR="00B823F8" w:rsidRPr="00A53AD7" w:rsidRDefault="00B823F8" w:rsidP="00B823F8">
            <w:pPr>
              <w:pStyle w:val="ad"/>
              <w:jc w:val="center"/>
              <w:rPr>
                <w:rFonts w:ascii="Times New Roman" w:hAnsi="Times New Roman"/>
              </w:rPr>
            </w:pPr>
            <w:r w:rsidRPr="00A53AD7">
              <w:rPr>
                <w:rFonts w:ascii="Times New Roman" w:hAnsi="Times New Roman"/>
              </w:rPr>
              <w:t>132,5</w:t>
            </w:r>
          </w:p>
        </w:tc>
        <w:tc>
          <w:tcPr>
            <w:tcW w:w="1559" w:type="dxa"/>
          </w:tcPr>
          <w:p w14:paraId="4C4B85DC" w14:textId="77777777" w:rsidR="00B823F8" w:rsidRPr="00A53AD7" w:rsidRDefault="00B823F8" w:rsidP="00B823F8">
            <w:pPr>
              <w:pStyle w:val="ad"/>
              <w:jc w:val="center"/>
              <w:rPr>
                <w:rFonts w:ascii="Times New Roman" w:hAnsi="Times New Roman"/>
              </w:rPr>
            </w:pPr>
            <w:r w:rsidRPr="00A53AD7">
              <w:rPr>
                <w:rFonts w:ascii="Times New Roman" w:hAnsi="Times New Roman"/>
              </w:rPr>
              <w:t>133,7</w:t>
            </w:r>
          </w:p>
        </w:tc>
        <w:tc>
          <w:tcPr>
            <w:tcW w:w="1559" w:type="dxa"/>
          </w:tcPr>
          <w:p w14:paraId="085B35A6" w14:textId="77777777" w:rsidR="00B823F8" w:rsidRPr="00A53AD7" w:rsidRDefault="00B823F8" w:rsidP="00B823F8">
            <w:pPr>
              <w:pStyle w:val="ad"/>
              <w:jc w:val="center"/>
              <w:rPr>
                <w:rFonts w:ascii="Times New Roman" w:hAnsi="Times New Roman"/>
              </w:rPr>
            </w:pPr>
            <w:r w:rsidRPr="00A53AD7">
              <w:rPr>
                <w:rFonts w:ascii="Times New Roman" w:hAnsi="Times New Roman"/>
              </w:rPr>
              <w:t>148,4</w:t>
            </w:r>
          </w:p>
        </w:tc>
      </w:tr>
      <w:tr w:rsidR="00D470B6" w:rsidRPr="00A53AD7" w14:paraId="29126D1A" w14:textId="77777777" w:rsidTr="00E84E29">
        <w:tc>
          <w:tcPr>
            <w:tcW w:w="3104" w:type="dxa"/>
          </w:tcPr>
          <w:p w14:paraId="79DA0B6C"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3CF53482" w14:textId="77777777" w:rsidR="00B823F8" w:rsidRPr="00A53AD7" w:rsidRDefault="00B823F8" w:rsidP="00B823F8">
            <w:pPr>
              <w:pStyle w:val="ad"/>
              <w:jc w:val="center"/>
              <w:rPr>
                <w:rFonts w:ascii="Times New Roman" w:hAnsi="Times New Roman"/>
              </w:rPr>
            </w:pPr>
            <w:r w:rsidRPr="00A53AD7">
              <w:rPr>
                <w:rFonts w:ascii="Times New Roman" w:hAnsi="Times New Roman"/>
              </w:rPr>
              <w:t>3,6</w:t>
            </w:r>
          </w:p>
        </w:tc>
        <w:tc>
          <w:tcPr>
            <w:tcW w:w="1560" w:type="dxa"/>
          </w:tcPr>
          <w:p w14:paraId="25EC25E3" w14:textId="77777777" w:rsidR="00B823F8" w:rsidRPr="00A53AD7" w:rsidRDefault="00B823F8" w:rsidP="00B823F8">
            <w:pPr>
              <w:pStyle w:val="ad"/>
              <w:jc w:val="center"/>
              <w:rPr>
                <w:rFonts w:ascii="Times New Roman" w:hAnsi="Times New Roman"/>
              </w:rPr>
            </w:pPr>
            <w:r w:rsidRPr="00A53AD7">
              <w:rPr>
                <w:rFonts w:ascii="Times New Roman" w:hAnsi="Times New Roman"/>
              </w:rPr>
              <w:t>11,7</w:t>
            </w:r>
          </w:p>
        </w:tc>
        <w:tc>
          <w:tcPr>
            <w:tcW w:w="1559" w:type="dxa"/>
          </w:tcPr>
          <w:p w14:paraId="6F7633F4" w14:textId="77777777" w:rsidR="00B823F8" w:rsidRPr="00A53AD7" w:rsidRDefault="00B823F8" w:rsidP="00B823F8">
            <w:pPr>
              <w:pStyle w:val="ad"/>
              <w:jc w:val="center"/>
              <w:rPr>
                <w:rFonts w:ascii="Times New Roman" w:hAnsi="Times New Roman"/>
              </w:rPr>
            </w:pPr>
            <w:r w:rsidRPr="00A53AD7">
              <w:rPr>
                <w:rFonts w:ascii="Times New Roman" w:hAnsi="Times New Roman"/>
              </w:rPr>
              <w:t>74,0</w:t>
            </w:r>
          </w:p>
        </w:tc>
        <w:tc>
          <w:tcPr>
            <w:tcW w:w="1559" w:type="dxa"/>
          </w:tcPr>
          <w:p w14:paraId="24B40437" w14:textId="77777777" w:rsidR="00B823F8" w:rsidRPr="00A53AD7" w:rsidRDefault="00B823F8" w:rsidP="00B823F8">
            <w:pPr>
              <w:pStyle w:val="ad"/>
              <w:jc w:val="center"/>
              <w:rPr>
                <w:rFonts w:ascii="Times New Roman" w:hAnsi="Times New Roman"/>
              </w:rPr>
            </w:pPr>
            <w:r w:rsidRPr="00A53AD7">
              <w:rPr>
                <w:rFonts w:ascii="Times New Roman" w:hAnsi="Times New Roman"/>
              </w:rPr>
              <w:t>116,3</w:t>
            </w:r>
          </w:p>
        </w:tc>
      </w:tr>
      <w:tr w:rsidR="00D470B6" w:rsidRPr="00A53AD7" w14:paraId="1D1E704D" w14:textId="77777777" w:rsidTr="00E84E29">
        <w:tc>
          <w:tcPr>
            <w:tcW w:w="3104" w:type="dxa"/>
          </w:tcPr>
          <w:p w14:paraId="42F03DFC"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3" w:type="dxa"/>
          </w:tcPr>
          <w:p w14:paraId="1586C79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w:t>
            </w:r>
          </w:p>
        </w:tc>
        <w:tc>
          <w:tcPr>
            <w:tcW w:w="1560" w:type="dxa"/>
          </w:tcPr>
          <w:p w14:paraId="6EA3939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8,8%</w:t>
            </w:r>
          </w:p>
        </w:tc>
        <w:tc>
          <w:tcPr>
            <w:tcW w:w="1559" w:type="dxa"/>
          </w:tcPr>
          <w:p w14:paraId="146105D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55,3%</w:t>
            </w:r>
          </w:p>
        </w:tc>
        <w:tc>
          <w:tcPr>
            <w:tcW w:w="1559" w:type="dxa"/>
          </w:tcPr>
          <w:p w14:paraId="692A76DA" w14:textId="77777777" w:rsidR="00B823F8" w:rsidRPr="00A53AD7" w:rsidRDefault="00B823F8" w:rsidP="00B823F8">
            <w:pPr>
              <w:pStyle w:val="ad"/>
              <w:jc w:val="center"/>
              <w:rPr>
                <w:rFonts w:ascii="Times New Roman" w:hAnsi="Times New Roman"/>
              </w:rPr>
            </w:pPr>
            <w:r w:rsidRPr="00A53AD7">
              <w:rPr>
                <w:rFonts w:ascii="Times New Roman" w:hAnsi="Times New Roman"/>
              </w:rPr>
              <w:t>78,4%</w:t>
            </w:r>
          </w:p>
        </w:tc>
      </w:tr>
      <w:tr w:rsidR="00D470B6" w:rsidRPr="00A53AD7" w14:paraId="4712B8EA" w14:textId="77777777" w:rsidTr="00E84E29">
        <w:tc>
          <w:tcPr>
            <w:tcW w:w="3104" w:type="dxa"/>
          </w:tcPr>
          <w:p w14:paraId="33C6EB0D" w14:textId="3C2C2EC7" w:rsidR="00B823F8" w:rsidRPr="00A53AD7" w:rsidRDefault="00B823F8" w:rsidP="00E84E29">
            <w:pPr>
              <w:pStyle w:val="ad"/>
              <w:jc w:val="both"/>
              <w:rPr>
                <w:rFonts w:ascii="Times New Roman" w:hAnsi="Times New Roman"/>
              </w:rPr>
            </w:pPr>
            <w:r w:rsidRPr="00A53AD7">
              <w:rPr>
                <w:rFonts w:ascii="Times New Roman" w:hAnsi="Times New Roman"/>
              </w:rPr>
              <w:t>Кол-во объектов ОАИП план</w:t>
            </w:r>
          </w:p>
        </w:tc>
        <w:tc>
          <w:tcPr>
            <w:tcW w:w="1523" w:type="dxa"/>
          </w:tcPr>
          <w:p w14:paraId="7952A6AA"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60" w:type="dxa"/>
          </w:tcPr>
          <w:p w14:paraId="4B0D62B9"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6AEA3D7F"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1730D2C6" w14:textId="77777777" w:rsidR="00B823F8" w:rsidRPr="00A53AD7" w:rsidRDefault="00B823F8" w:rsidP="00B823F8">
            <w:pPr>
              <w:pStyle w:val="ad"/>
              <w:jc w:val="center"/>
              <w:rPr>
                <w:rFonts w:ascii="Times New Roman" w:hAnsi="Times New Roman"/>
              </w:rPr>
            </w:pPr>
            <w:r w:rsidRPr="00A53AD7">
              <w:rPr>
                <w:rFonts w:ascii="Times New Roman" w:hAnsi="Times New Roman"/>
              </w:rPr>
              <w:t>7</w:t>
            </w:r>
          </w:p>
        </w:tc>
      </w:tr>
      <w:tr w:rsidR="00D470B6" w:rsidRPr="00A53AD7" w14:paraId="328ECB8B" w14:textId="77777777" w:rsidTr="00E84E29">
        <w:tc>
          <w:tcPr>
            <w:tcW w:w="3104" w:type="dxa"/>
          </w:tcPr>
          <w:p w14:paraId="344CD1A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3" w:type="dxa"/>
          </w:tcPr>
          <w:p w14:paraId="0214F6E7"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7950A49A"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25C799FE"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756B5AFE" w14:textId="77777777" w:rsidR="00B823F8" w:rsidRPr="00A53AD7" w:rsidRDefault="00B823F8" w:rsidP="00B823F8">
            <w:pPr>
              <w:pStyle w:val="ad"/>
              <w:jc w:val="center"/>
              <w:rPr>
                <w:rFonts w:ascii="Times New Roman" w:hAnsi="Times New Roman"/>
              </w:rPr>
            </w:pPr>
            <w:r w:rsidRPr="00A53AD7">
              <w:rPr>
                <w:rFonts w:ascii="Times New Roman" w:hAnsi="Times New Roman"/>
              </w:rPr>
              <w:t>5</w:t>
            </w:r>
          </w:p>
        </w:tc>
      </w:tr>
      <w:tr w:rsidR="00B823F8" w:rsidRPr="00A53AD7" w14:paraId="07F7F8ED" w14:textId="77777777" w:rsidTr="00E84E29">
        <w:tc>
          <w:tcPr>
            <w:tcW w:w="3104" w:type="dxa"/>
          </w:tcPr>
          <w:p w14:paraId="2B236458"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3" w:type="dxa"/>
          </w:tcPr>
          <w:p w14:paraId="07CD5D7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25,0%</w:t>
            </w:r>
          </w:p>
        </w:tc>
        <w:tc>
          <w:tcPr>
            <w:tcW w:w="1560" w:type="dxa"/>
          </w:tcPr>
          <w:p w14:paraId="6C86408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50,0%</w:t>
            </w:r>
          </w:p>
        </w:tc>
        <w:tc>
          <w:tcPr>
            <w:tcW w:w="1559" w:type="dxa"/>
          </w:tcPr>
          <w:p w14:paraId="7565F5F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57,1%</w:t>
            </w:r>
          </w:p>
        </w:tc>
        <w:tc>
          <w:tcPr>
            <w:tcW w:w="1559" w:type="dxa"/>
          </w:tcPr>
          <w:p w14:paraId="639937A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71,4%</w:t>
            </w:r>
          </w:p>
        </w:tc>
      </w:tr>
    </w:tbl>
    <w:p w14:paraId="4F1562FB" w14:textId="77777777" w:rsidR="00B823F8" w:rsidRPr="00A53AD7" w:rsidRDefault="00B823F8" w:rsidP="00B823F8">
      <w:pPr>
        <w:pStyle w:val="ad"/>
        <w:jc w:val="both"/>
        <w:rPr>
          <w:rFonts w:ascii="Times New Roman" w:hAnsi="Times New Roman"/>
          <w:sz w:val="28"/>
          <w:szCs w:val="28"/>
          <w:highlight w:val="cyan"/>
        </w:rPr>
      </w:pPr>
    </w:p>
    <w:p w14:paraId="02830A95" w14:textId="7F22A172" w:rsidR="00B823F8" w:rsidRPr="00A53AD7" w:rsidRDefault="00B823F8" w:rsidP="00E84E29">
      <w:pPr>
        <w:pStyle w:val="ad"/>
        <w:ind w:firstLine="709"/>
        <w:jc w:val="both"/>
        <w:rPr>
          <w:rFonts w:ascii="Times New Roman" w:hAnsi="Times New Roman"/>
          <w:sz w:val="28"/>
          <w:szCs w:val="28"/>
        </w:rPr>
      </w:pPr>
      <w:r w:rsidRPr="00A53AD7">
        <w:rPr>
          <w:rFonts w:ascii="Times New Roman" w:hAnsi="Times New Roman"/>
          <w:sz w:val="28"/>
          <w:szCs w:val="28"/>
        </w:rPr>
        <w:t xml:space="preserve">Таким образом, в рамках указанной программы, министерство не приступило к 2 объектам и не обеспечило расходование средств областного бюджета 32,1 </w:t>
      </w:r>
      <w:r w:rsidR="00FA0441" w:rsidRPr="00A53AD7">
        <w:rPr>
          <w:rFonts w:ascii="Times New Roman" w:hAnsi="Times New Roman"/>
          <w:sz w:val="28"/>
          <w:szCs w:val="28"/>
        </w:rPr>
        <w:t>млн.руб.</w:t>
      </w:r>
    </w:p>
    <w:p w14:paraId="7839AFF8" w14:textId="6E988DAC" w:rsidR="00B823F8" w:rsidRPr="00A53AD7" w:rsidRDefault="00B823F8" w:rsidP="00E84E29">
      <w:pPr>
        <w:pStyle w:val="ad"/>
        <w:ind w:firstLine="709"/>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по главному распорядителю агентству по спорту составило:</w:t>
      </w:r>
    </w:p>
    <w:p w14:paraId="5820C5FD"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14"/>
        <w:gridCol w:w="1529"/>
        <w:gridCol w:w="1560"/>
        <w:gridCol w:w="1559"/>
        <w:gridCol w:w="1559"/>
      </w:tblGrid>
      <w:tr w:rsidR="00D470B6" w:rsidRPr="00A53AD7" w14:paraId="615E529A" w14:textId="77777777" w:rsidTr="00FA0441">
        <w:tc>
          <w:tcPr>
            <w:tcW w:w="3114" w:type="dxa"/>
          </w:tcPr>
          <w:p w14:paraId="7C586647" w14:textId="77777777" w:rsidR="00B823F8" w:rsidRPr="00A53AD7" w:rsidRDefault="00B823F8" w:rsidP="00B823F8">
            <w:pPr>
              <w:pStyle w:val="ad"/>
              <w:jc w:val="both"/>
              <w:rPr>
                <w:rFonts w:ascii="Times New Roman" w:hAnsi="Times New Roman"/>
              </w:rPr>
            </w:pPr>
          </w:p>
        </w:tc>
        <w:tc>
          <w:tcPr>
            <w:tcW w:w="1529" w:type="dxa"/>
          </w:tcPr>
          <w:p w14:paraId="6658BD28"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755DA20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241E32CD"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358F9BF2"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67638130" w14:textId="77777777" w:rsidTr="00FA0441">
        <w:tc>
          <w:tcPr>
            <w:tcW w:w="3114" w:type="dxa"/>
          </w:tcPr>
          <w:p w14:paraId="7A93C6EB"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9" w:type="dxa"/>
          </w:tcPr>
          <w:p w14:paraId="12431192"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60" w:type="dxa"/>
          </w:tcPr>
          <w:p w14:paraId="3205CC9B"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59" w:type="dxa"/>
          </w:tcPr>
          <w:p w14:paraId="2387237D"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59" w:type="dxa"/>
          </w:tcPr>
          <w:p w14:paraId="12692956"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r>
      <w:tr w:rsidR="00D470B6" w:rsidRPr="00A53AD7" w14:paraId="1F2B08E6" w14:textId="77777777" w:rsidTr="00FA0441">
        <w:tc>
          <w:tcPr>
            <w:tcW w:w="3114" w:type="dxa"/>
          </w:tcPr>
          <w:p w14:paraId="6F5FEA12"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4DA3BA5C"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1D314526" w14:textId="77777777" w:rsidR="00B823F8" w:rsidRPr="00A53AD7" w:rsidRDefault="00B823F8" w:rsidP="00B823F8">
            <w:pPr>
              <w:pStyle w:val="ad"/>
              <w:jc w:val="center"/>
              <w:rPr>
                <w:rFonts w:ascii="Times New Roman" w:hAnsi="Times New Roman"/>
              </w:rPr>
            </w:pPr>
            <w:r w:rsidRPr="00A53AD7">
              <w:rPr>
                <w:rFonts w:ascii="Times New Roman" w:hAnsi="Times New Roman"/>
              </w:rPr>
              <w:t>0,0</w:t>
            </w:r>
          </w:p>
        </w:tc>
        <w:tc>
          <w:tcPr>
            <w:tcW w:w="1559" w:type="dxa"/>
          </w:tcPr>
          <w:p w14:paraId="06368199" w14:textId="77777777" w:rsidR="00B823F8" w:rsidRPr="00A53AD7" w:rsidRDefault="00B823F8" w:rsidP="00B823F8">
            <w:pPr>
              <w:pStyle w:val="ad"/>
              <w:jc w:val="center"/>
              <w:rPr>
                <w:rFonts w:ascii="Times New Roman" w:hAnsi="Times New Roman"/>
              </w:rPr>
            </w:pPr>
            <w:r w:rsidRPr="00A53AD7">
              <w:rPr>
                <w:rFonts w:ascii="Times New Roman" w:hAnsi="Times New Roman"/>
              </w:rPr>
              <w:t>0,0</w:t>
            </w:r>
          </w:p>
        </w:tc>
        <w:tc>
          <w:tcPr>
            <w:tcW w:w="1559" w:type="dxa"/>
          </w:tcPr>
          <w:p w14:paraId="7416864C"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r>
      <w:tr w:rsidR="00D470B6" w:rsidRPr="00A53AD7" w14:paraId="7FEB7340" w14:textId="77777777" w:rsidTr="00FA0441">
        <w:tc>
          <w:tcPr>
            <w:tcW w:w="3114" w:type="dxa"/>
          </w:tcPr>
          <w:p w14:paraId="510119A0"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9" w:type="dxa"/>
          </w:tcPr>
          <w:p w14:paraId="3240E03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60" w:type="dxa"/>
          </w:tcPr>
          <w:p w14:paraId="7DE5CC8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73E46C9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1D2718B4"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71FAF0AA" w14:textId="77777777" w:rsidTr="00FA0441">
        <w:tc>
          <w:tcPr>
            <w:tcW w:w="3114" w:type="dxa"/>
          </w:tcPr>
          <w:p w14:paraId="06B1517E" w14:textId="062C11EB" w:rsidR="00B823F8" w:rsidRPr="00A53AD7" w:rsidRDefault="00B823F8" w:rsidP="00FA0441">
            <w:pPr>
              <w:pStyle w:val="ad"/>
              <w:jc w:val="both"/>
              <w:rPr>
                <w:rFonts w:ascii="Times New Roman" w:hAnsi="Times New Roman"/>
              </w:rPr>
            </w:pPr>
            <w:r w:rsidRPr="00A53AD7">
              <w:rPr>
                <w:rFonts w:ascii="Times New Roman" w:hAnsi="Times New Roman"/>
              </w:rPr>
              <w:t>Кол-во объектов ОАИП план</w:t>
            </w:r>
          </w:p>
        </w:tc>
        <w:tc>
          <w:tcPr>
            <w:tcW w:w="1529" w:type="dxa"/>
          </w:tcPr>
          <w:p w14:paraId="40CF8A9C"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688A2CF8"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55EE2CAA"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4CF51A33"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r>
      <w:tr w:rsidR="00D470B6" w:rsidRPr="00A53AD7" w14:paraId="4F986490" w14:textId="77777777" w:rsidTr="00FA0441">
        <w:tc>
          <w:tcPr>
            <w:tcW w:w="3114" w:type="dxa"/>
          </w:tcPr>
          <w:p w14:paraId="42EF974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7C8C5463"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2E8E5DFD"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26B88ED9"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114CEFCE"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r>
      <w:tr w:rsidR="00B823F8" w:rsidRPr="00A53AD7" w14:paraId="57C66B83" w14:textId="77777777" w:rsidTr="00FA0441">
        <w:tc>
          <w:tcPr>
            <w:tcW w:w="3114" w:type="dxa"/>
          </w:tcPr>
          <w:p w14:paraId="2456C108"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9" w:type="dxa"/>
          </w:tcPr>
          <w:p w14:paraId="2F3805C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60" w:type="dxa"/>
          </w:tcPr>
          <w:p w14:paraId="1342942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7C39CB5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0,0%</w:t>
            </w:r>
          </w:p>
        </w:tc>
        <w:tc>
          <w:tcPr>
            <w:tcW w:w="1559" w:type="dxa"/>
          </w:tcPr>
          <w:p w14:paraId="5039E30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72176BBC" w14:textId="77777777" w:rsidR="00B823F8" w:rsidRPr="00A53AD7" w:rsidRDefault="00B823F8" w:rsidP="00B823F8">
      <w:pPr>
        <w:pStyle w:val="ad"/>
        <w:jc w:val="both"/>
        <w:rPr>
          <w:rFonts w:ascii="Times New Roman" w:hAnsi="Times New Roman"/>
          <w:sz w:val="28"/>
          <w:szCs w:val="28"/>
          <w:highlight w:val="cyan"/>
        </w:rPr>
      </w:pPr>
    </w:p>
    <w:p w14:paraId="078D01C3" w14:textId="77777777" w:rsidR="00B823F8" w:rsidRPr="00A53AD7" w:rsidRDefault="00B823F8" w:rsidP="00B823F8">
      <w:pPr>
        <w:pStyle w:val="ad"/>
        <w:ind w:firstLine="709"/>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262,8 млн.руб., согласно показателям бюджетной росписи 262,8 млн.руб., согласно отчету об исполнении бюджета расходы исполнены на 178,4 млн.руб.</w:t>
      </w:r>
    </w:p>
    <w:p w14:paraId="4789500F"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49"/>
        <w:gridCol w:w="1560"/>
        <w:gridCol w:w="1559"/>
        <w:gridCol w:w="1559"/>
      </w:tblGrid>
      <w:tr w:rsidR="00D470B6" w:rsidRPr="00A53AD7" w14:paraId="1F79DF44" w14:textId="77777777" w:rsidTr="00FC5B0D">
        <w:trPr>
          <w:tblHeader/>
        </w:trPr>
        <w:tc>
          <w:tcPr>
            <w:tcW w:w="3104" w:type="dxa"/>
          </w:tcPr>
          <w:p w14:paraId="79D12E75" w14:textId="77777777" w:rsidR="00B823F8" w:rsidRPr="00A53AD7" w:rsidRDefault="00B823F8" w:rsidP="00B823F8">
            <w:pPr>
              <w:pStyle w:val="ad"/>
              <w:jc w:val="both"/>
              <w:rPr>
                <w:rFonts w:ascii="Times New Roman" w:hAnsi="Times New Roman"/>
              </w:rPr>
            </w:pPr>
          </w:p>
        </w:tc>
        <w:tc>
          <w:tcPr>
            <w:tcW w:w="1549" w:type="dxa"/>
          </w:tcPr>
          <w:p w14:paraId="68F024A1"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5FBA2481"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031757E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31944077"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3DDBDCD7" w14:textId="77777777" w:rsidTr="00FA0441">
        <w:tc>
          <w:tcPr>
            <w:tcW w:w="3104" w:type="dxa"/>
          </w:tcPr>
          <w:p w14:paraId="2176E981"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49" w:type="dxa"/>
          </w:tcPr>
          <w:p w14:paraId="69E8BD5F" w14:textId="77777777" w:rsidR="00B823F8" w:rsidRPr="00A53AD7" w:rsidRDefault="00B823F8" w:rsidP="00B823F8">
            <w:pPr>
              <w:pStyle w:val="ad"/>
              <w:jc w:val="center"/>
              <w:rPr>
                <w:rFonts w:ascii="Times New Roman" w:hAnsi="Times New Roman"/>
              </w:rPr>
            </w:pPr>
            <w:r w:rsidRPr="00A53AD7">
              <w:rPr>
                <w:rFonts w:ascii="Times New Roman" w:hAnsi="Times New Roman"/>
              </w:rPr>
              <w:t>213,9</w:t>
            </w:r>
          </w:p>
        </w:tc>
        <w:tc>
          <w:tcPr>
            <w:tcW w:w="1560" w:type="dxa"/>
          </w:tcPr>
          <w:p w14:paraId="20B5D89B" w14:textId="77777777" w:rsidR="00B823F8" w:rsidRPr="00A53AD7" w:rsidRDefault="00B823F8" w:rsidP="00B823F8">
            <w:pPr>
              <w:pStyle w:val="ad"/>
              <w:jc w:val="center"/>
              <w:rPr>
                <w:rFonts w:ascii="Times New Roman" w:hAnsi="Times New Roman"/>
              </w:rPr>
            </w:pPr>
            <w:r w:rsidRPr="00A53AD7">
              <w:rPr>
                <w:rFonts w:ascii="Times New Roman" w:hAnsi="Times New Roman"/>
              </w:rPr>
              <w:t>246,9</w:t>
            </w:r>
          </w:p>
        </w:tc>
        <w:tc>
          <w:tcPr>
            <w:tcW w:w="1559" w:type="dxa"/>
          </w:tcPr>
          <w:p w14:paraId="7B4365C8" w14:textId="77777777" w:rsidR="00B823F8" w:rsidRPr="00A53AD7" w:rsidRDefault="00B823F8" w:rsidP="00B823F8">
            <w:pPr>
              <w:pStyle w:val="ad"/>
              <w:jc w:val="center"/>
              <w:rPr>
                <w:rFonts w:ascii="Times New Roman" w:hAnsi="Times New Roman"/>
              </w:rPr>
            </w:pPr>
            <w:r w:rsidRPr="00A53AD7">
              <w:rPr>
                <w:rFonts w:ascii="Times New Roman" w:hAnsi="Times New Roman"/>
              </w:rPr>
              <w:t>248,1</w:t>
            </w:r>
          </w:p>
        </w:tc>
        <w:tc>
          <w:tcPr>
            <w:tcW w:w="1559" w:type="dxa"/>
          </w:tcPr>
          <w:p w14:paraId="63A4A1B1" w14:textId="77777777" w:rsidR="00B823F8" w:rsidRPr="00A53AD7" w:rsidRDefault="00B823F8" w:rsidP="00B823F8">
            <w:pPr>
              <w:pStyle w:val="ad"/>
              <w:jc w:val="center"/>
              <w:rPr>
                <w:rFonts w:ascii="Times New Roman" w:hAnsi="Times New Roman"/>
              </w:rPr>
            </w:pPr>
            <w:r w:rsidRPr="00A53AD7">
              <w:rPr>
                <w:rFonts w:ascii="Times New Roman" w:hAnsi="Times New Roman"/>
              </w:rPr>
              <w:t>262,8</w:t>
            </w:r>
          </w:p>
        </w:tc>
      </w:tr>
      <w:tr w:rsidR="00D470B6" w:rsidRPr="00A53AD7" w14:paraId="0159E026" w14:textId="77777777" w:rsidTr="00FA0441">
        <w:tc>
          <w:tcPr>
            <w:tcW w:w="3104" w:type="dxa"/>
          </w:tcPr>
          <w:p w14:paraId="36B40045"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327B1A94" w14:textId="77777777" w:rsidR="00B823F8" w:rsidRPr="00A53AD7" w:rsidRDefault="00B823F8" w:rsidP="00B823F8">
            <w:pPr>
              <w:pStyle w:val="ad"/>
              <w:jc w:val="center"/>
              <w:rPr>
                <w:rFonts w:ascii="Times New Roman" w:hAnsi="Times New Roman"/>
              </w:rPr>
            </w:pPr>
            <w:r w:rsidRPr="00A53AD7">
              <w:rPr>
                <w:rFonts w:ascii="Times New Roman" w:hAnsi="Times New Roman"/>
              </w:rPr>
              <w:t>8,2</w:t>
            </w:r>
          </w:p>
        </w:tc>
        <w:tc>
          <w:tcPr>
            <w:tcW w:w="1560" w:type="dxa"/>
          </w:tcPr>
          <w:p w14:paraId="37B76C7E" w14:textId="77777777" w:rsidR="00B823F8" w:rsidRPr="00A53AD7" w:rsidRDefault="00B823F8" w:rsidP="00B823F8">
            <w:pPr>
              <w:pStyle w:val="ad"/>
              <w:jc w:val="center"/>
              <w:rPr>
                <w:rFonts w:ascii="Times New Roman" w:hAnsi="Times New Roman"/>
              </w:rPr>
            </w:pPr>
            <w:r w:rsidRPr="00A53AD7">
              <w:rPr>
                <w:rFonts w:ascii="Times New Roman" w:hAnsi="Times New Roman"/>
              </w:rPr>
              <w:t>11,7</w:t>
            </w:r>
          </w:p>
        </w:tc>
        <w:tc>
          <w:tcPr>
            <w:tcW w:w="1559" w:type="dxa"/>
          </w:tcPr>
          <w:p w14:paraId="12C9F79E" w14:textId="77777777" w:rsidR="00B823F8" w:rsidRPr="00A53AD7" w:rsidRDefault="00B823F8" w:rsidP="00B823F8">
            <w:pPr>
              <w:pStyle w:val="ad"/>
              <w:jc w:val="center"/>
              <w:rPr>
                <w:rFonts w:ascii="Times New Roman" w:hAnsi="Times New Roman"/>
              </w:rPr>
            </w:pPr>
            <w:r w:rsidRPr="00A53AD7">
              <w:rPr>
                <w:rFonts w:ascii="Times New Roman" w:hAnsi="Times New Roman"/>
              </w:rPr>
              <w:t>78,3</w:t>
            </w:r>
          </w:p>
        </w:tc>
        <w:tc>
          <w:tcPr>
            <w:tcW w:w="1559" w:type="dxa"/>
          </w:tcPr>
          <w:p w14:paraId="692D13B4" w14:textId="77777777" w:rsidR="00B823F8" w:rsidRPr="00A53AD7" w:rsidRDefault="00B823F8" w:rsidP="00B823F8">
            <w:pPr>
              <w:pStyle w:val="ad"/>
              <w:jc w:val="center"/>
              <w:rPr>
                <w:rFonts w:ascii="Times New Roman" w:hAnsi="Times New Roman"/>
              </w:rPr>
            </w:pPr>
            <w:r w:rsidRPr="00A53AD7">
              <w:rPr>
                <w:rFonts w:ascii="Times New Roman" w:hAnsi="Times New Roman"/>
              </w:rPr>
              <w:t>178,4</w:t>
            </w:r>
          </w:p>
        </w:tc>
      </w:tr>
      <w:tr w:rsidR="00D470B6" w:rsidRPr="00A53AD7" w14:paraId="3FC58597" w14:textId="77777777" w:rsidTr="00FA0441">
        <w:tc>
          <w:tcPr>
            <w:tcW w:w="3104" w:type="dxa"/>
          </w:tcPr>
          <w:p w14:paraId="6FF8B9A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33F7A0E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3,8 %</w:t>
            </w:r>
          </w:p>
        </w:tc>
        <w:tc>
          <w:tcPr>
            <w:tcW w:w="1560" w:type="dxa"/>
          </w:tcPr>
          <w:p w14:paraId="3DE388F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4,7%</w:t>
            </w:r>
          </w:p>
        </w:tc>
        <w:tc>
          <w:tcPr>
            <w:tcW w:w="1559" w:type="dxa"/>
          </w:tcPr>
          <w:p w14:paraId="5D0A528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31,6%</w:t>
            </w:r>
          </w:p>
        </w:tc>
        <w:tc>
          <w:tcPr>
            <w:tcW w:w="1559" w:type="dxa"/>
          </w:tcPr>
          <w:p w14:paraId="700D0D5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67,9%</w:t>
            </w:r>
          </w:p>
        </w:tc>
      </w:tr>
      <w:tr w:rsidR="00D470B6" w:rsidRPr="00A53AD7" w14:paraId="01898616" w14:textId="77777777" w:rsidTr="00FA0441">
        <w:tc>
          <w:tcPr>
            <w:tcW w:w="3104" w:type="dxa"/>
          </w:tcPr>
          <w:p w14:paraId="17A2DAAF"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Минстроительства</w:t>
            </w:r>
          </w:p>
        </w:tc>
        <w:tc>
          <w:tcPr>
            <w:tcW w:w="1549" w:type="dxa"/>
          </w:tcPr>
          <w:p w14:paraId="5DAC2378" w14:textId="77777777" w:rsidR="00B823F8" w:rsidRPr="00A53AD7" w:rsidRDefault="00B823F8" w:rsidP="00B823F8">
            <w:pPr>
              <w:pStyle w:val="ad"/>
              <w:jc w:val="center"/>
              <w:rPr>
                <w:rFonts w:ascii="Times New Roman" w:hAnsi="Times New Roman"/>
                <w:b/>
              </w:rPr>
            </w:pPr>
          </w:p>
        </w:tc>
        <w:tc>
          <w:tcPr>
            <w:tcW w:w="1560" w:type="dxa"/>
          </w:tcPr>
          <w:p w14:paraId="2FD99FC4" w14:textId="77777777" w:rsidR="00B823F8" w:rsidRPr="00A53AD7" w:rsidRDefault="00B823F8" w:rsidP="00B823F8">
            <w:pPr>
              <w:pStyle w:val="ad"/>
              <w:jc w:val="center"/>
              <w:rPr>
                <w:rFonts w:ascii="Times New Roman" w:hAnsi="Times New Roman"/>
                <w:b/>
              </w:rPr>
            </w:pPr>
          </w:p>
        </w:tc>
        <w:tc>
          <w:tcPr>
            <w:tcW w:w="1559" w:type="dxa"/>
          </w:tcPr>
          <w:p w14:paraId="4AD2EEA1" w14:textId="77777777" w:rsidR="00B823F8" w:rsidRPr="00A53AD7" w:rsidRDefault="00B823F8" w:rsidP="00B823F8">
            <w:pPr>
              <w:pStyle w:val="ad"/>
              <w:jc w:val="center"/>
              <w:rPr>
                <w:rFonts w:ascii="Times New Roman" w:hAnsi="Times New Roman"/>
                <w:b/>
              </w:rPr>
            </w:pPr>
          </w:p>
        </w:tc>
        <w:tc>
          <w:tcPr>
            <w:tcW w:w="1559" w:type="dxa"/>
          </w:tcPr>
          <w:p w14:paraId="19197AD2" w14:textId="77777777" w:rsidR="00B823F8" w:rsidRPr="00A53AD7" w:rsidRDefault="00B823F8" w:rsidP="00B823F8">
            <w:pPr>
              <w:pStyle w:val="ad"/>
              <w:jc w:val="center"/>
              <w:rPr>
                <w:rFonts w:ascii="Times New Roman" w:hAnsi="Times New Roman"/>
                <w:b/>
              </w:rPr>
            </w:pPr>
          </w:p>
        </w:tc>
      </w:tr>
      <w:tr w:rsidR="00D470B6" w:rsidRPr="00A53AD7" w14:paraId="2784F8A8" w14:textId="77777777" w:rsidTr="00FA0441">
        <w:tc>
          <w:tcPr>
            <w:tcW w:w="3104" w:type="dxa"/>
          </w:tcPr>
          <w:p w14:paraId="13E9AB8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49" w:type="dxa"/>
          </w:tcPr>
          <w:p w14:paraId="0665E9A2" w14:textId="77777777" w:rsidR="00B823F8" w:rsidRPr="00A53AD7" w:rsidRDefault="00B823F8" w:rsidP="00B823F8">
            <w:pPr>
              <w:pStyle w:val="ad"/>
              <w:jc w:val="center"/>
              <w:rPr>
                <w:rFonts w:ascii="Times New Roman" w:hAnsi="Times New Roman"/>
              </w:rPr>
            </w:pPr>
            <w:r w:rsidRPr="00A53AD7">
              <w:rPr>
                <w:rFonts w:ascii="Times New Roman" w:hAnsi="Times New Roman"/>
              </w:rPr>
              <w:t>211,4</w:t>
            </w:r>
          </w:p>
        </w:tc>
        <w:tc>
          <w:tcPr>
            <w:tcW w:w="1560" w:type="dxa"/>
          </w:tcPr>
          <w:p w14:paraId="0EC0A271" w14:textId="77777777" w:rsidR="00B823F8" w:rsidRPr="00A53AD7" w:rsidRDefault="00B823F8" w:rsidP="00B823F8">
            <w:pPr>
              <w:pStyle w:val="ad"/>
              <w:jc w:val="center"/>
              <w:rPr>
                <w:rFonts w:ascii="Times New Roman" w:hAnsi="Times New Roman"/>
              </w:rPr>
            </w:pPr>
            <w:r w:rsidRPr="00A53AD7">
              <w:rPr>
                <w:rFonts w:ascii="Times New Roman" w:hAnsi="Times New Roman"/>
              </w:rPr>
              <w:t>244,4</w:t>
            </w:r>
          </w:p>
        </w:tc>
        <w:tc>
          <w:tcPr>
            <w:tcW w:w="1559" w:type="dxa"/>
          </w:tcPr>
          <w:p w14:paraId="0F2475D3" w14:textId="77777777" w:rsidR="00B823F8" w:rsidRPr="00A53AD7" w:rsidRDefault="00B823F8" w:rsidP="00B823F8">
            <w:pPr>
              <w:pStyle w:val="ad"/>
              <w:jc w:val="center"/>
              <w:rPr>
                <w:rFonts w:ascii="Times New Roman" w:hAnsi="Times New Roman"/>
              </w:rPr>
            </w:pPr>
            <w:r w:rsidRPr="00A53AD7">
              <w:rPr>
                <w:rFonts w:ascii="Times New Roman" w:hAnsi="Times New Roman"/>
              </w:rPr>
              <w:t>245,6</w:t>
            </w:r>
          </w:p>
        </w:tc>
        <w:tc>
          <w:tcPr>
            <w:tcW w:w="1559" w:type="dxa"/>
          </w:tcPr>
          <w:p w14:paraId="04C8D44B" w14:textId="77777777" w:rsidR="00B823F8" w:rsidRPr="00A53AD7" w:rsidRDefault="00B823F8" w:rsidP="00B823F8">
            <w:pPr>
              <w:pStyle w:val="ad"/>
              <w:jc w:val="center"/>
              <w:rPr>
                <w:rFonts w:ascii="Times New Roman" w:hAnsi="Times New Roman"/>
              </w:rPr>
            </w:pPr>
            <w:r w:rsidRPr="00A53AD7">
              <w:rPr>
                <w:rFonts w:ascii="Times New Roman" w:hAnsi="Times New Roman"/>
              </w:rPr>
              <w:t>260,3</w:t>
            </w:r>
          </w:p>
        </w:tc>
      </w:tr>
      <w:tr w:rsidR="00D470B6" w:rsidRPr="00A53AD7" w14:paraId="13A6DB5F" w14:textId="77777777" w:rsidTr="00FA0441">
        <w:tc>
          <w:tcPr>
            <w:tcW w:w="3104" w:type="dxa"/>
          </w:tcPr>
          <w:p w14:paraId="33441817"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49" w:type="dxa"/>
          </w:tcPr>
          <w:p w14:paraId="565CFE63" w14:textId="77777777" w:rsidR="00B823F8" w:rsidRPr="00A53AD7" w:rsidRDefault="00B823F8" w:rsidP="00B823F8">
            <w:pPr>
              <w:pStyle w:val="ad"/>
              <w:jc w:val="center"/>
              <w:rPr>
                <w:rFonts w:ascii="Times New Roman" w:hAnsi="Times New Roman"/>
              </w:rPr>
            </w:pPr>
            <w:r w:rsidRPr="00A53AD7">
              <w:rPr>
                <w:rFonts w:ascii="Times New Roman" w:hAnsi="Times New Roman"/>
              </w:rPr>
              <w:t>8,2</w:t>
            </w:r>
          </w:p>
        </w:tc>
        <w:tc>
          <w:tcPr>
            <w:tcW w:w="1560" w:type="dxa"/>
          </w:tcPr>
          <w:p w14:paraId="4897FDDC" w14:textId="77777777" w:rsidR="00B823F8" w:rsidRPr="00A53AD7" w:rsidRDefault="00B823F8" w:rsidP="00B823F8">
            <w:pPr>
              <w:pStyle w:val="ad"/>
              <w:jc w:val="center"/>
              <w:rPr>
                <w:rFonts w:ascii="Times New Roman" w:hAnsi="Times New Roman"/>
              </w:rPr>
            </w:pPr>
            <w:r w:rsidRPr="00A53AD7">
              <w:rPr>
                <w:rFonts w:ascii="Times New Roman" w:hAnsi="Times New Roman"/>
              </w:rPr>
              <w:t>11,7</w:t>
            </w:r>
          </w:p>
        </w:tc>
        <w:tc>
          <w:tcPr>
            <w:tcW w:w="1559" w:type="dxa"/>
          </w:tcPr>
          <w:p w14:paraId="09F2B3A5" w14:textId="77777777" w:rsidR="00B823F8" w:rsidRPr="00A53AD7" w:rsidRDefault="00B823F8" w:rsidP="00B823F8">
            <w:pPr>
              <w:pStyle w:val="ad"/>
              <w:jc w:val="center"/>
              <w:rPr>
                <w:rFonts w:ascii="Times New Roman" w:hAnsi="Times New Roman"/>
              </w:rPr>
            </w:pPr>
            <w:r w:rsidRPr="00A53AD7">
              <w:rPr>
                <w:rFonts w:ascii="Times New Roman" w:hAnsi="Times New Roman"/>
              </w:rPr>
              <w:t>78,3</w:t>
            </w:r>
          </w:p>
        </w:tc>
        <w:tc>
          <w:tcPr>
            <w:tcW w:w="1559" w:type="dxa"/>
          </w:tcPr>
          <w:p w14:paraId="3EE288CC" w14:textId="77777777" w:rsidR="00B823F8" w:rsidRPr="00A53AD7" w:rsidRDefault="00B823F8" w:rsidP="00B823F8">
            <w:pPr>
              <w:pStyle w:val="ad"/>
              <w:jc w:val="center"/>
              <w:rPr>
                <w:rFonts w:ascii="Times New Roman" w:hAnsi="Times New Roman"/>
              </w:rPr>
            </w:pPr>
            <w:r w:rsidRPr="00A53AD7">
              <w:rPr>
                <w:rFonts w:ascii="Times New Roman" w:hAnsi="Times New Roman"/>
              </w:rPr>
              <w:t>175,9</w:t>
            </w:r>
          </w:p>
        </w:tc>
      </w:tr>
      <w:tr w:rsidR="00D470B6" w:rsidRPr="00A53AD7" w14:paraId="3C0976B4" w14:textId="77777777" w:rsidTr="00FA0441">
        <w:tc>
          <w:tcPr>
            <w:tcW w:w="3104" w:type="dxa"/>
          </w:tcPr>
          <w:p w14:paraId="033A762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74D350D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3,9 %</w:t>
            </w:r>
          </w:p>
        </w:tc>
        <w:tc>
          <w:tcPr>
            <w:tcW w:w="1560" w:type="dxa"/>
          </w:tcPr>
          <w:p w14:paraId="69D13B6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4,8%</w:t>
            </w:r>
          </w:p>
        </w:tc>
        <w:tc>
          <w:tcPr>
            <w:tcW w:w="1559" w:type="dxa"/>
          </w:tcPr>
          <w:p w14:paraId="1AE17D9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31,9%</w:t>
            </w:r>
          </w:p>
        </w:tc>
        <w:tc>
          <w:tcPr>
            <w:tcW w:w="1559" w:type="dxa"/>
          </w:tcPr>
          <w:p w14:paraId="579CF90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67,6%</w:t>
            </w:r>
          </w:p>
        </w:tc>
      </w:tr>
      <w:tr w:rsidR="00D470B6" w:rsidRPr="00A53AD7" w14:paraId="299CBD6A" w14:textId="77777777" w:rsidTr="00FA0441">
        <w:tc>
          <w:tcPr>
            <w:tcW w:w="3104" w:type="dxa"/>
          </w:tcPr>
          <w:p w14:paraId="521B9AFA" w14:textId="77777777" w:rsidR="00B823F8" w:rsidRPr="00A53AD7" w:rsidRDefault="00B823F8" w:rsidP="00B823F8">
            <w:pPr>
              <w:pStyle w:val="ad"/>
              <w:ind w:hanging="113"/>
              <w:jc w:val="both"/>
              <w:rPr>
                <w:rFonts w:ascii="Times New Roman" w:hAnsi="Times New Roman"/>
                <w:b/>
              </w:rPr>
            </w:pPr>
            <w:r w:rsidRPr="00A53AD7">
              <w:rPr>
                <w:rFonts w:ascii="Times New Roman" w:hAnsi="Times New Roman"/>
                <w:b/>
              </w:rPr>
              <w:t>Аг-во по спорту</w:t>
            </w:r>
          </w:p>
        </w:tc>
        <w:tc>
          <w:tcPr>
            <w:tcW w:w="1549" w:type="dxa"/>
          </w:tcPr>
          <w:p w14:paraId="08153C85" w14:textId="77777777" w:rsidR="00B823F8" w:rsidRPr="00A53AD7" w:rsidRDefault="00B823F8" w:rsidP="00B823F8">
            <w:pPr>
              <w:pStyle w:val="ad"/>
              <w:jc w:val="center"/>
              <w:rPr>
                <w:rFonts w:ascii="Times New Roman" w:hAnsi="Times New Roman"/>
                <w:b/>
              </w:rPr>
            </w:pPr>
          </w:p>
        </w:tc>
        <w:tc>
          <w:tcPr>
            <w:tcW w:w="1560" w:type="dxa"/>
          </w:tcPr>
          <w:p w14:paraId="31BF69AC" w14:textId="77777777" w:rsidR="00B823F8" w:rsidRPr="00A53AD7" w:rsidRDefault="00B823F8" w:rsidP="00B823F8">
            <w:pPr>
              <w:pStyle w:val="ad"/>
              <w:jc w:val="center"/>
              <w:rPr>
                <w:rFonts w:ascii="Times New Roman" w:hAnsi="Times New Roman"/>
                <w:b/>
              </w:rPr>
            </w:pPr>
          </w:p>
        </w:tc>
        <w:tc>
          <w:tcPr>
            <w:tcW w:w="1559" w:type="dxa"/>
          </w:tcPr>
          <w:p w14:paraId="1745BD89" w14:textId="77777777" w:rsidR="00B823F8" w:rsidRPr="00A53AD7" w:rsidRDefault="00B823F8" w:rsidP="00B823F8">
            <w:pPr>
              <w:pStyle w:val="ad"/>
              <w:jc w:val="center"/>
              <w:rPr>
                <w:rFonts w:ascii="Times New Roman" w:hAnsi="Times New Roman"/>
                <w:b/>
              </w:rPr>
            </w:pPr>
          </w:p>
        </w:tc>
        <w:tc>
          <w:tcPr>
            <w:tcW w:w="1559" w:type="dxa"/>
          </w:tcPr>
          <w:p w14:paraId="6984E046" w14:textId="77777777" w:rsidR="00B823F8" w:rsidRPr="00A53AD7" w:rsidRDefault="00B823F8" w:rsidP="00B823F8">
            <w:pPr>
              <w:pStyle w:val="ad"/>
              <w:jc w:val="center"/>
              <w:rPr>
                <w:rFonts w:ascii="Times New Roman" w:hAnsi="Times New Roman"/>
                <w:b/>
              </w:rPr>
            </w:pPr>
          </w:p>
        </w:tc>
      </w:tr>
      <w:tr w:rsidR="00D470B6" w:rsidRPr="00A53AD7" w14:paraId="33D99A98" w14:textId="77777777" w:rsidTr="00FA0441">
        <w:tc>
          <w:tcPr>
            <w:tcW w:w="3104" w:type="dxa"/>
          </w:tcPr>
          <w:p w14:paraId="7D1B5921"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Утверждено</w:t>
            </w:r>
          </w:p>
        </w:tc>
        <w:tc>
          <w:tcPr>
            <w:tcW w:w="1549" w:type="dxa"/>
          </w:tcPr>
          <w:p w14:paraId="1D374E16"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60" w:type="dxa"/>
          </w:tcPr>
          <w:p w14:paraId="6DBB68A6"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59" w:type="dxa"/>
          </w:tcPr>
          <w:p w14:paraId="49AA8D28"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c>
          <w:tcPr>
            <w:tcW w:w="1559" w:type="dxa"/>
          </w:tcPr>
          <w:p w14:paraId="2EF62441"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r>
      <w:tr w:rsidR="00D470B6" w:rsidRPr="00A53AD7" w14:paraId="70DC9C1D" w14:textId="77777777" w:rsidTr="00FA0441">
        <w:tc>
          <w:tcPr>
            <w:tcW w:w="3104" w:type="dxa"/>
          </w:tcPr>
          <w:p w14:paraId="3E0C8FE9"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w:t>
            </w:r>
          </w:p>
        </w:tc>
        <w:tc>
          <w:tcPr>
            <w:tcW w:w="1549" w:type="dxa"/>
          </w:tcPr>
          <w:p w14:paraId="02F9BD8F"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41E9B73E"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3E27AA61"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12C02874" w14:textId="77777777" w:rsidR="00B823F8" w:rsidRPr="00A53AD7" w:rsidRDefault="00B823F8" w:rsidP="00B823F8">
            <w:pPr>
              <w:pStyle w:val="ad"/>
              <w:jc w:val="center"/>
              <w:rPr>
                <w:rFonts w:ascii="Times New Roman" w:hAnsi="Times New Roman"/>
              </w:rPr>
            </w:pPr>
            <w:r w:rsidRPr="00A53AD7">
              <w:rPr>
                <w:rFonts w:ascii="Times New Roman" w:hAnsi="Times New Roman"/>
              </w:rPr>
              <w:t>2,5</w:t>
            </w:r>
          </w:p>
        </w:tc>
      </w:tr>
      <w:tr w:rsidR="00D470B6" w:rsidRPr="00A53AD7" w14:paraId="2C2A5832" w14:textId="77777777" w:rsidTr="00FA0441">
        <w:tc>
          <w:tcPr>
            <w:tcW w:w="3104" w:type="dxa"/>
          </w:tcPr>
          <w:p w14:paraId="5A5E0AA8"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64CBAE4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74E93B5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32978F1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7B594EA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0AF89114" w14:textId="77777777" w:rsidTr="00FA0441">
        <w:tc>
          <w:tcPr>
            <w:tcW w:w="3104" w:type="dxa"/>
          </w:tcPr>
          <w:p w14:paraId="6F864A9B"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549" w:type="dxa"/>
          </w:tcPr>
          <w:p w14:paraId="0DE9115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w:t>
            </w:r>
          </w:p>
        </w:tc>
        <w:tc>
          <w:tcPr>
            <w:tcW w:w="1560" w:type="dxa"/>
          </w:tcPr>
          <w:p w14:paraId="414B52A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11,7</w:t>
            </w:r>
          </w:p>
        </w:tc>
        <w:tc>
          <w:tcPr>
            <w:tcW w:w="1559" w:type="dxa"/>
          </w:tcPr>
          <w:p w14:paraId="01AFC4C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78,3</w:t>
            </w:r>
          </w:p>
        </w:tc>
        <w:tc>
          <w:tcPr>
            <w:tcW w:w="1559" w:type="dxa"/>
          </w:tcPr>
          <w:p w14:paraId="4F1C47B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178,3</w:t>
            </w:r>
          </w:p>
        </w:tc>
      </w:tr>
      <w:tr w:rsidR="00B823F8" w:rsidRPr="00A53AD7" w14:paraId="36DBAD16" w14:textId="77777777" w:rsidTr="00FA0441">
        <w:tc>
          <w:tcPr>
            <w:tcW w:w="3104" w:type="dxa"/>
          </w:tcPr>
          <w:p w14:paraId="7CE262F6"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549" w:type="dxa"/>
          </w:tcPr>
          <w:p w14:paraId="13FB682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w:t>
            </w:r>
          </w:p>
        </w:tc>
        <w:tc>
          <w:tcPr>
            <w:tcW w:w="1560" w:type="dxa"/>
          </w:tcPr>
          <w:p w14:paraId="2ED6C86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4,7%</w:t>
            </w:r>
          </w:p>
        </w:tc>
        <w:tc>
          <w:tcPr>
            <w:tcW w:w="1559" w:type="dxa"/>
          </w:tcPr>
          <w:p w14:paraId="00D3E2E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33,3%</w:t>
            </w:r>
          </w:p>
        </w:tc>
        <w:tc>
          <w:tcPr>
            <w:tcW w:w="1559" w:type="dxa"/>
          </w:tcPr>
          <w:p w14:paraId="5BB4819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75,4%</w:t>
            </w:r>
          </w:p>
        </w:tc>
      </w:tr>
    </w:tbl>
    <w:p w14:paraId="6BCBF290" w14:textId="77777777" w:rsidR="00FA0441" w:rsidRPr="00A53AD7" w:rsidRDefault="00FA0441" w:rsidP="00FA0441">
      <w:pPr>
        <w:pStyle w:val="ad"/>
        <w:ind w:firstLine="709"/>
        <w:jc w:val="both"/>
        <w:rPr>
          <w:rFonts w:ascii="Times New Roman" w:hAnsi="Times New Roman"/>
          <w:sz w:val="28"/>
          <w:szCs w:val="28"/>
        </w:rPr>
      </w:pPr>
    </w:p>
    <w:p w14:paraId="248BEB47" w14:textId="4CDD95E3" w:rsidR="00B823F8" w:rsidRPr="00A53AD7" w:rsidRDefault="00B823F8" w:rsidP="00FA0441">
      <w:pPr>
        <w:pStyle w:val="ad"/>
        <w:ind w:firstLine="709"/>
        <w:jc w:val="both"/>
        <w:rPr>
          <w:rFonts w:ascii="Times New Roman" w:hAnsi="Times New Roman"/>
          <w:sz w:val="28"/>
          <w:szCs w:val="28"/>
        </w:rPr>
      </w:pPr>
      <w:r w:rsidRPr="00A53AD7">
        <w:rPr>
          <w:rFonts w:ascii="Times New Roman" w:hAnsi="Times New Roman"/>
          <w:sz w:val="28"/>
          <w:szCs w:val="28"/>
        </w:rPr>
        <w:t>Таким образом, министерством строительства не обеспечено исполнение мероприятий государственной программы и расходование средств федерального бюджета. 52,3 млн.руб.</w:t>
      </w:r>
    </w:p>
    <w:p w14:paraId="71E88216" w14:textId="77777777" w:rsidR="003B670A" w:rsidRPr="00A53AD7" w:rsidRDefault="003B670A" w:rsidP="00FA0441">
      <w:pPr>
        <w:pStyle w:val="ad"/>
        <w:ind w:firstLine="709"/>
        <w:jc w:val="both"/>
        <w:rPr>
          <w:rFonts w:ascii="Times New Roman" w:hAnsi="Times New Roman"/>
          <w:sz w:val="28"/>
          <w:szCs w:val="28"/>
        </w:rPr>
      </w:pPr>
    </w:p>
    <w:p w14:paraId="26CDC4CF" w14:textId="1707E354" w:rsidR="00B823F8" w:rsidRPr="00A53AD7" w:rsidRDefault="00FC5B0D" w:rsidP="00FA0441">
      <w:pPr>
        <w:pStyle w:val="ad"/>
        <w:ind w:firstLine="709"/>
        <w:jc w:val="both"/>
        <w:rPr>
          <w:rFonts w:ascii="Times New Roman" w:hAnsi="Times New Roman"/>
          <w:sz w:val="28"/>
          <w:szCs w:val="28"/>
        </w:rPr>
      </w:pPr>
      <w:r w:rsidRPr="00A53AD7">
        <w:rPr>
          <w:rFonts w:ascii="Times New Roman" w:hAnsi="Times New Roman"/>
          <w:sz w:val="28"/>
          <w:szCs w:val="28"/>
        </w:rPr>
        <w:t>9</w:t>
      </w:r>
      <w:r w:rsidR="00B823F8" w:rsidRPr="00A53AD7">
        <w:rPr>
          <w:rFonts w:ascii="Times New Roman" w:hAnsi="Times New Roman"/>
          <w:sz w:val="28"/>
          <w:szCs w:val="28"/>
        </w:rPr>
        <w:t>. ГП АО «Развитие энергетики и жилищно-коммунального хозяйства Архангельской области» запланированы расходы по приведенному количеству объектов:</w:t>
      </w:r>
    </w:p>
    <w:p w14:paraId="3F03EDA6"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624"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261"/>
        <w:gridCol w:w="992"/>
        <w:gridCol w:w="1056"/>
        <w:gridCol w:w="1056"/>
        <w:gridCol w:w="1056"/>
        <w:gridCol w:w="1056"/>
        <w:gridCol w:w="1056"/>
        <w:gridCol w:w="1185"/>
        <w:gridCol w:w="906"/>
      </w:tblGrid>
      <w:tr w:rsidR="00D470B6" w:rsidRPr="00A53AD7" w14:paraId="1E3B19E0" w14:textId="77777777" w:rsidTr="003B670A">
        <w:tc>
          <w:tcPr>
            <w:tcW w:w="1261" w:type="dxa"/>
          </w:tcPr>
          <w:p w14:paraId="14C0D8D7" w14:textId="77777777" w:rsidR="00B823F8" w:rsidRPr="00A53AD7" w:rsidRDefault="00B823F8" w:rsidP="003B670A">
            <w:pPr>
              <w:pStyle w:val="ad"/>
              <w:jc w:val="center"/>
              <w:rPr>
                <w:rFonts w:ascii="Times New Roman" w:hAnsi="Times New Roman"/>
              </w:rPr>
            </w:pPr>
            <w:r w:rsidRPr="00A53AD7">
              <w:rPr>
                <w:rFonts w:ascii="Times New Roman" w:hAnsi="Times New Roman"/>
              </w:rPr>
              <w:t>На даты:</w:t>
            </w:r>
          </w:p>
        </w:tc>
        <w:tc>
          <w:tcPr>
            <w:tcW w:w="992" w:type="dxa"/>
          </w:tcPr>
          <w:p w14:paraId="454B7A49" w14:textId="77777777" w:rsidR="00B823F8" w:rsidRPr="00A53AD7" w:rsidRDefault="00B823F8" w:rsidP="003B670A">
            <w:pPr>
              <w:pStyle w:val="ad"/>
              <w:ind w:right="-108" w:hanging="108"/>
              <w:jc w:val="center"/>
              <w:rPr>
                <w:rFonts w:ascii="Times New Roman" w:hAnsi="Times New Roman"/>
              </w:rPr>
            </w:pPr>
            <w:r w:rsidRPr="00A53AD7">
              <w:rPr>
                <w:rFonts w:ascii="Times New Roman" w:hAnsi="Times New Roman"/>
              </w:rPr>
              <w:t>01.01.19</w:t>
            </w:r>
          </w:p>
        </w:tc>
        <w:tc>
          <w:tcPr>
            <w:tcW w:w="1056" w:type="dxa"/>
          </w:tcPr>
          <w:p w14:paraId="7B9F159D" w14:textId="77777777" w:rsidR="00B823F8" w:rsidRPr="00A53AD7" w:rsidRDefault="00B823F8" w:rsidP="003B670A">
            <w:pPr>
              <w:pStyle w:val="ad"/>
              <w:jc w:val="center"/>
              <w:rPr>
                <w:rFonts w:ascii="Times New Roman" w:hAnsi="Times New Roman"/>
              </w:rPr>
            </w:pPr>
            <w:r w:rsidRPr="00A53AD7">
              <w:rPr>
                <w:rFonts w:ascii="Times New Roman" w:hAnsi="Times New Roman"/>
              </w:rPr>
              <w:t>01.04.19</w:t>
            </w:r>
          </w:p>
        </w:tc>
        <w:tc>
          <w:tcPr>
            <w:tcW w:w="1056" w:type="dxa"/>
          </w:tcPr>
          <w:p w14:paraId="210D12BC" w14:textId="77777777" w:rsidR="00B823F8" w:rsidRPr="00A53AD7" w:rsidRDefault="00B823F8" w:rsidP="003B670A">
            <w:pPr>
              <w:pStyle w:val="ad"/>
              <w:jc w:val="center"/>
              <w:rPr>
                <w:rFonts w:ascii="Times New Roman" w:hAnsi="Times New Roman"/>
              </w:rPr>
            </w:pPr>
            <w:r w:rsidRPr="00A53AD7">
              <w:rPr>
                <w:rFonts w:ascii="Times New Roman" w:hAnsi="Times New Roman"/>
              </w:rPr>
              <w:t>02.07.19</w:t>
            </w:r>
          </w:p>
        </w:tc>
        <w:tc>
          <w:tcPr>
            <w:tcW w:w="1056" w:type="dxa"/>
          </w:tcPr>
          <w:p w14:paraId="0D9482F4" w14:textId="77777777" w:rsidR="00B823F8" w:rsidRPr="00A53AD7" w:rsidRDefault="00B823F8" w:rsidP="003B670A">
            <w:pPr>
              <w:pStyle w:val="ad"/>
              <w:jc w:val="center"/>
              <w:rPr>
                <w:rFonts w:ascii="Times New Roman" w:hAnsi="Times New Roman"/>
              </w:rPr>
            </w:pPr>
            <w:r w:rsidRPr="00A53AD7">
              <w:rPr>
                <w:rFonts w:ascii="Times New Roman" w:hAnsi="Times New Roman"/>
              </w:rPr>
              <w:t>25.09.19</w:t>
            </w:r>
          </w:p>
        </w:tc>
        <w:tc>
          <w:tcPr>
            <w:tcW w:w="1056" w:type="dxa"/>
          </w:tcPr>
          <w:p w14:paraId="15707727" w14:textId="77777777" w:rsidR="00B823F8" w:rsidRPr="00A53AD7" w:rsidRDefault="00B823F8" w:rsidP="003B670A">
            <w:pPr>
              <w:pStyle w:val="ad"/>
              <w:jc w:val="center"/>
              <w:rPr>
                <w:rFonts w:ascii="Times New Roman" w:hAnsi="Times New Roman"/>
              </w:rPr>
            </w:pPr>
            <w:r w:rsidRPr="00A53AD7">
              <w:rPr>
                <w:rFonts w:ascii="Times New Roman" w:hAnsi="Times New Roman"/>
              </w:rPr>
              <w:t>19.11.19</w:t>
            </w:r>
          </w:p>
        </w:tc>
        <w:tc>
          <w:tcPr>
            <w:tcW w:w="1056" w:type="dxa"/>
          </w:tcPr>
          <w:p w14:paraId="1697C29A" w14:textId="77777777" w:rsidR="00B823F8" w:rsidRPr="00A53AD7" w:rsidRDefault="00B823F8" w:rsidP="003B670A">
            <w:pPr>
              <w:pStyle w:val="ad"/>
              <w:jc w:val="center"/>
              <w:rPr>
                <w:rFonts w:ascii="Times New Roman" w:hAnsi="Times New Roman"/>
              </w:rPr>
            </w:pPr>
            <w:r w:rsidRPr="00A53AD7">
              <w:rPr>
                <w:rFonts w:ascii="Times New Roman" w:hAnsi="Times New Roman"/>
              </w:rPr>
              <w:t>13.12.19</w:t>
            </w:r>
          </w:p>
        </w:tc>
        <w:tc>
          <w:tcPr>
            <w:tcW w:w="1185" w:type="dxa"/>
          </w:tcPr>
          <w:p w14:paraId="57114099" w14:textId="77777777" w:rsidR="00B823F8" w:rsidRPr="00A53AD7" w:rsidRDefault="00B823F8" w:rsidP="003B670A">
            <w:pPr>
              <w:pStyle w:val="ad"/>
              <w:jc w:val="center"/>
              <w:rPr>
                <w:rFonts w:ascii="Times New Roman" w:hAnsi="Times New Roman"/>
              </w:rPr>
            </w:pPr>
            <w:r w:rsidRPr="00A53AD7">
              <w:rPr>
                <w:rFonts w:ascii="Times New Roman" w:hAnsi="Times New Roman"/>
              </w:rPr>
              <w:t>Отчет на 31.12.19</w:t>
            </w:r>
          </w:p>
        </w:tc>
        <w:tc>
          <w:tcPr>
            <w:tcW w:w="906" w:type="dxa"/>
          </w:tcPr>
          <w:p w14:paraId="4BE7FF54" w14:textId="77777777" w:rsidR="00B823F8" w:rsidRPr="00A53AD7" w:rsidRDefault="00B823F8" w:rsidP="003B670A">
            <w:pPr>
              <w:pStyle w:val="ad"/>
              <w:ind w:left="163" w:hanging="163"/>
              <w:jc w:val="center"/>
              <w:rPr>
                <w:rFonts w:ascii="Times New Roman" w:hAnsi="Times New Roman"/>
              </w:rPr>
            </w:pPr>
            <w:r w:rsidRPr="00A53AD7">
              <w:rPr>
                <w:rFonts w:ascii="Times New Roman" w:hAnsi="Times New Roman"/>
              </w:rPr>
              <w:t>Исполнено в %%</w:t>
            </w:r>
          </w:p>
        </w:tc>
      </w:tr>
      <w:tr w:rsidR="00D470B6" w:rsidRPr="00A53AD7" w14:paraId="4B2638E0" w14:textId="77777777" w:rsidTr="003B670A">
        <w:tc>
          <w:tcPr>
            <w:tcW w:w="1261" w:type="dxa"/>
          </w:tcPr>
          <w:p w14:paraId="5C5C707A"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 xml:space="preserve">Сумма </w:t>
            </w:r>
          </w:p>
        </w:tc>
        <w:tc>
          <w:tcPr>
            <w:tcW w:w="992" w:type="dxa"/>
          </w:tcPr>
          <w:p w14:paraId="6153EACF" w14:textId="77777777" w:rsidR="00B823F8" w:rsidRPr="00A53AD7" w:rsidRDefault="00B823F8" w:rsidP="00B823F8">
            <w:pPr>
              <w:pStyle w:val="ad"/>
              <w:jc w:val="center"/>
              <w:rPr>
                <w:rFonts w:ascii="Times New Roman" w:hAnsi="Times New Roman"/>
              </w:rPr>
            </w:pPr>
            <w:r w:rsidRPr="00A53AD7">
              <w:rPr>
                <w:rFonts w:ascii="Times New Roman" w:hAnsi="Times New Roman"/>
              </w:rPr>
              <w:t>3,8</w:t>
            </w:r>
          </w:p>
        </w:tc>
        <w:tc>
          <w:tcPr>
            <w:tcW w:w="1056" w:type="dxa"/>
          </w:tcPr>
          <w:p w14:paraId="6B63F604"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056" w:type="dxa"/>
          </w:tcPr>
          <w:p w14:paraId="74E1EA17"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056" w:type="dxa"/>
          </w:tcPr>
          <w:p w14:paraId="19DE7143"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056" w:type="dxa"/>
          </w:tcPr>
          <w:p w14:paraId="05ABE964"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056" w:type="dxa"/>
          </w:tcPr>
          <w:p w14:paraId="2F2550D6"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185" w:type="dxa"/>
          </w:tcPr>
          <w:p w14:paraId="459ADB5D" w14:textId="77777777" w:rsidR="00B823F8" w:rsidRPr="00A53AD7" w:rsidRDefault="00B823F8" w:rsidP="00B823F8">
            <w:pPr>
              <w:pStyle w:val="ad"/>
              <w:jc w:val="center"/>
              <w:rPr>
                <w:rFonts w:ascii="Times New Roman" w:hAnsi="Times New Roman"/>
              </w:rPr>
            </w:pPr>
            <w:r w:rsidRPr="00A53AD7">
              <w:rPr>
                <w:rFonts w:ascii="Times New Roman" w:hAnsi="Times New Roman"/>
              </w:rPr>
              <w:t>74,1</w:t>
            </w:r>
          </w:p>
        </w:tc>
        <w:tc>
          <w:tcPr>
            <w:tcW w:w="906" w:type="dxa"/>
          </w:tcPr>
          <w:p w14:paraId="60DE4C69" w14:textId="77777777" w:rsidR="00B823F8" w:rsidRPr="00A53AD7" w:rsidRDefault="00B823F8" w:rsidP="00B823F8">
            <w:pPr>
              <w:pStyle w:val="ad"/>
              <w:jc w:val="center"/>
              <w:rPr>
                <w:rFonts w:ascii="Times New Roman" w:hAnsi="Times New Roman"/>
              </w:rPr>
            </w:pPr>
            <w:r w:rsidRPr="00A53AD7">
              <w:rPr>
                <w:rFonts w:ascii="Times New Roman" w:hAnsi="Times New Roman"/>
              </w:rPr>
              <w:t>98,0%</w:t>
            </w:r>
          </w:p>
        </w:tc>
      </w:tr>
      <w:tr w:rsidR="00D470B6" w:rsidRPr="00A53AD7" w14:paraId="72A5D7C4" w14:textId="77777777" w:rsidTr="003B670A">
        <w:tc>
          <w:tcPr>
            <w:tcW w:w="1261" w:type="dxa"/>
          </w:tcPr>
          <w:p w14:paraId="1460D653" w14:textId="77777777" w:rsidR="00B823F8" w:rsidRPr="00A53AD7" w:rsidRDefault="00B823F8" w:rsidP="00B823F8">
            <w:pPr>
              <w:pStyle w:val="ad"/>
              <w:ind w:right="-108" w:hanging="113"/>
              <w:jc w:val="both"/>
              <w:rPr>
                <w:rFonts w:ascii="Times New Roman" w:hAnsi="Times New Roman"/>
              </w:rPr>
            </w:pPr>
            <w:r w:rsidRPr="00A53AD7">
              <w:rPr>
                <w:rFonts w:ascii="Times New Roman" w:hAnsi="Times New Roman"/>
              </w:rPr>
              <w:t>кол-во объектов</w:t>
            </w:r>
          </w:p>
        </w:tc>
        <w:tc>
          <w:tcPr>
            <w:tcW w:w="992" w:type="dxa"/>
          </w:tcPr>
          <w:p w14:paraId="620AE5AC" w14:textId="77777777" w:rsidR="00B823F8" w:rsidRPr="00A53AD7" w:rsidRDefault="00B823F8" w:rsidP="00B823F8">
            <w:pPr>
              <w:pStyle w:val="ad"/>
              <w:jc w:val="center"/>
              <w:rPr>
                <w:rFonts w:ascii="Times New Roman" w:hAnsi="Times New Roman"/>
              </w:rPr>
            </w:pPr>
          </w:p>
          <w:p w14:paraId="5719E82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17ECE762" w14:textId="77777777" w:rsidR="00B823F8" w:rsidRPr="00A53AD7" w:rsidRDefault="00B823F8" w:rsidP="00B823F8">
            <w:pPr>
              <w:pStyle w:val="ad"/>
              <w:jc w:val="center"/>
              <w:rPr>
                <w:rFonts w:ascii="Times New Roman" w:hAnsi="Times New Roman"/>
              </w:rPr>
            </w:pPr>
          </w:p>
          <w:p w14:paraId="767556B1"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0E8BB811" w14:textId="77777777" w:rsidR="00B823F8" w:rsidRPr="00A53AD7" w:rsidRDefault="00B823F8" w:rsidP="00B823F8">
            <w:pPr>
              <w:pStyle w:val="ad"/>
              <w:jc w:val="center"/>
              <w:rPr>
                <w:rFonts w:ascii="Times New Roman" w:hAnsi="Times New Roman"/>
              </w:rPr>
            </w:pPr>
          </w:p>
          <w:p w14:paraId="21213015"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113E492F" w14:textId="77777777" w:rsidR="00B823F8" w:rsidRPr="00A53AD7" w:rsidRDefault="00B823F8" w:rsidP="00B823F8">
            <w:pPr>
              <w:pStyle w:val="ad"/>
              <w:jc w:val="center"/>
              <w:rPr>
                <w:rFonts w:ascii="Times New Roman" w:hAnsi="Times New Roman"/>
              </w:rPr>
            </w:pPr>
          </w:p>
          <w:p w14:paraId="1D8A425B"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5C204BF6" w14:textId="77777777" w:rsidR="00B823F8" w:rsidRPr="00A53AD7" w:rsidRDefault="00B823F8" w:rsidP="00B823F8">
            <w:pPr>
              <w:pStyle w:val="ad"/>
              <w:jc w:val="center"/>
              <w:rPr>
                <w:rFonts w:ascii="Times New Roman" w:hAnsi="Times New Roman"/>
              </w:rPr>
            </w:pPr>
          </w:p>
          <w:p w14:paraId="5E0F1154"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056" w:type="dxa"/>
          </w:tcPr>
          <w:p w14:paraId="0318B21D" w14:textId="77777777" w:rsidR="00B823F8" w:rsidRPr="00A53AD7" w:rsidRDefault="00B823F8" w:rsidP="00B823F8">
            <w:pPr>
              <w:pStyle w:val="ad"/>
              <w:jc w:val="center"/>
              <w:rPr>
                <w:rFonts w:ascii="Times New Roman" w:hAnsi="Times New Roman"/>
              </w:rPr>
            </w:pPr>
          </w:p>
          <w:p w14:paraId="6575B9E8"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185" w:type="dxa"/>
          </w:tcPr>
          <w:p w14:paraId="7069DC09" w14:textId="77777777" w:rsidR="00B823F8" w:rsidRPr="00A53AD7" w:rsidRDefault="00B823F8" w:rsidP="00B823F8">
            <w:pPr>
              <w:pStyle w:val="ad"/>
              <w:jc w:val="center"/>
              <w:rPr>
                <w:rFonts w:ascii="Times New Roman" w:hAnsi="Times New Roman"/>
              </w:rPr>
            </w:pPr>
          </w:p>
          <w:p w14:paraId="282B458C"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906" w:type="dxa"/>
          </w:tcPr>
          <w:p w14:paraId="1F17E480"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1BE64026" w14:textId="77777777" w:rsidTr="003B670A">
        <w:tc>
          <w:tcPr>
            <w:tcW w:w="1261" w:type="dxa"/>
          </w:tcPr>
          <w:p w14:paraId="5F536F2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 сумма</w:t>
            </w:r>
          </w:p>
        </w:tc>
        <w:tc>
          <w:tcPr>
            <w:tcW w:w="992" w:type="dxa"/>
          </w:tcPr>
          <w:p w14:paraId="1EDC8CEE" w14:textId="77777777" w:rsidR="00B823F8" w:rsidRPr="00A53AD7" w:rsidRDefault="00B823F8" w:rsidP="00B823F8">
            <w:pPr>
              <w:pStyle w:val="ad"/>
              <w:jc w:val="center"/>
              <w:rPr>
                <w:rFonts w:ascii="Times New Roman" w:hAnsi="Times New Roman"/>
              </w:rPr>
            </w:pPr>
          </w:p>
        </w:tc>
        <w:tc>
          <w:tcPr>
            <w:tcW w:w="1056" w:type="dxa"/>
          </w:tcPr>
          <w:p w14:paraId="0E1744CE" w14:textId="77777777" w:rsidR="00B823F8" w:rsidRPr="00A53AD7" w:rsidRDefault="00B823F8" w:rsidP="00B823F8">
            <w:pPr>
              <w:pStyle w:val="ad"/>
              <w:jc w:val="center"/>
              <w:rPr>
                <w:rFonts w:ascii="Times New Roman" w:hAnsi="Times New Roman"/>
              </w:rPr>
            </w:pPr>
            <w:r w:rsidRPr="00A53AD7">
              <w:rPr>
                <w:rFonts w:ascii="Times New Roman" w:hAnsi="Times New Roman"/>
              </w:rPr>
              <w:t>+37,3</w:t>
            </w:r>
          </w:p>
        </w:tc>
        <w:tc>
          <w:tcPr>
            <w:tcW w:w="1056" w:type="dxa"/>
          </w:tcPr>
          <w:p w14:paraId="2DB74B1C" w14:textId="77777777" w:rsidR="00B823F8" w:rsidRPr="00A53AD7" w:rsidRDefault="00B823F8" w:rsidP="00B823F8">
            <w:pPr>
              <w:pStyle w:val="ad"/>
              <w:jc w:val="center"/>
              <w:rPr>
                <w:rFonts w:ascii="Times New Roman" w:hAnsi="Times New Roman"/>
              </w:rPr>
            </w:pPr>
          </w:p>
        </w:tc>
        <w:tc>
          <w:tcPr>
            <w:tcW w:w="1056" w:type="dxa"/>
          </w:tcPr>
          <w:p w14:paraId="6BC93475" w14:textId="77777777" w:rsidR="00B823F8" w:rsidRPr="00A53AD7" w:rsidRDefault="00B823F8" w:rsidP="00B823F8">
            <w:pPr>
              <w:pStyle w:val="ad"/>
              <w:jc w:val="center"/>
              <w:rPr>
                <w:rFonts w:ascii="Times New Roman" w:hAnsi="Times New Roman"/>
              </w:rPr>
            </w:pPr>
          </w:p>
        </w:tc>
        <w:tc>
          <w:tcPr>
            <w:tcW w:w="1056" w:type="dxa"/>
          </w:tcPr>
          <w:p w14:paraId="20EE4AB1" w14:textId="77777777" w:rsidR="00B823F8" w:rsidRPr="00A53AD7" w:rsidRDefault="00B823F8" w:rsidP="00B823F8">
            <w:pPr>
              <w:pStyle w:val="ad"/>
              <w:jc w:val="center"/>
              <w:rPr>
                <w:rFonts w:ascii="Times New Roman" w:hAnsi="Times New Roman"/>
              </w:rPr>
            </w:pPr>
          </w:p>
        </w:tc>
        <w:tc>
          <w:tcPr>
            <w:tcW w:w="1056" w:type="dxa"/>
          </w:tcPr>
          <w:p w14:paraId="70B42836" w14:textId="77777777" w:rsidR="00B823F8" w:rsidRPr="00A53AD7" w:rsidRDefault="00B823F8" w:rsidP="00B823F8">
            <w:pPr>
              <w:pStyle w:val="ad"/>
              <w:jc w:val="center"/>
              <w:rPr>
                <w:rFonts w:ascii="Times New Roman" w:hAnsi="Times New Roman"/>
              </w:rPr>
            </w:pPr>
          </w:p>
        </w:tc>
        <w:tc>
          <w:tcPr>
            <w:tcW w:w="1185" w:type="dxa"/>
          </w:tcPr>
          <w:p w14:paraId="4A779D7F" w14:textId="77777777" w:rsidR="00B823F8" w:rsidRPr="00A53AD7" w:rsidRDefault="00B823F8" w:rsidP="00B823F8">
            <w:pPr>
              <w:pStyle w:val="ad"/>
              <w:jc w:val="center"/>
              <w:rPr>
                <w:rFonts w:ascii="Times New Roman" w:hAnsi="Times New Roman"/>
              </w:rPr>
            </w:pPr>
          </w:p>
        </w:tc>
        <w:tc>
          <w:tcPr>
            <w:tcW w:w="906" w:type="dxa"/>
          </w:tcPr>
          <w:p w14:paraId="69E1F0F8" w14:textId="77777777" w:rsidR="00B823F8" w:rsidRPr="00A53AD7" w:rsidRDefault="00B823F8" w:rsidP="00B823F8">
            <w:pPr>
              <w:pStyle w:val="ad"/>
              <w:jc w:val="center"/>
              <w:rPr>
                <w:rFonts w:ascii="Times New Roman" w:hAnsi="Times New Roman"/>
              </w:rPr>
            </w:pPr>
          </w:p>
        </w:tc>
      </w:tr>
      <w:tr w:rsidR="00B823F8" w:rsidRPr="00A53AD7" w14:paraId="75F420DD" w14:textId="77777777" w:rsidTr="003B670A">
        <w:tc>
          <w:tcPr>
            <w:tcW w:w="1261" w:type="dxa"/>
          </w:tcPr>
          <w:p w14:paraId="6B37B46A"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объекты</w:t>
            </w:r>
          </w:p>
        </w:tc>
        <w:tc>
          <w:tcPr>
            <w:tcW w:w="992" w:type="dxa"/>
          </w:tcPr>
          <w:p w14:paraId="531132B4" w14:textId="77777777" w:rsidR="00B823F8" w:rsidRPr="00A53AD7" w:rsidRDefault="00B823F8" w:rsidP="00B823F8">
            <w:pPr>
              <w:pStyle w:val="ad"/>
              <w:jc w:val="center"/>
              <w:rPr>
                <w:rFonts w:ascii="Times New Roman" w:hAnsi="Times New Roman"/>
              </w:rPr>
            </w:pPr>
          </w:p>
        </w:tc>
        <w:tc>
          <w:tcPr>
            <w:tcW w:w="1056" w:type="dxa"/>
          </w:tcPr>
          <w:p w14:paraId="55D30851"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1BF2FEF8" w14:textId="77777777" w:rsidR="00B823F8" w:rsidRPr="00A53AD7" w:rsidRDefault="00B823F8" w:rsidP="00B823F8">
            <w:pPr>
              <w:pStyle w:val="ad"/>
              <w:jc w:val="center"/>
              <w:rPr>
                <w:rFonts w:ascii="Times New Roman" w:hAnsi="Times New Roman"/>
              </w:rPr>
            </w:pPr>
          </w:p>
        </w:tc>
        <w:tc>
          <w:tcPr>
            <w:tcW w:w="1056" w:type="dxa"/>
          </w:tcPr>
          <w:p w14:paraId="542C2704" w14:textId="77777777" w:rsidR="00B823F8" w:rsidRPr="00A53AD7" w:rsidRDefault="00B823F8" w:rsidP="00B823F8">
            <w:pPr>
              <w:pStyle w:val="ad"/>
              <w:jc w:val="center"/>
              <w:rPr>
                <w:rFonts w:ascii="Times New Roman" w:hAnsi="Times New Roman"/>
              </w:rPr>
            </w:pPr>
          </w:p>
        </w:tc>
        <w:tc>
          <w:tcPr>
            <w:tcW w:w="1056" w:type="dxa"/>
          </w:tcPr>
          <w:p w14:paraId="3CE1A3C3" w14:textId="77777777" w:rsidR="00B823F8" w:rsidRPr="00A53AD7" w:rsidRDefault="00B823F8" w:rsidP="00B823F8">
            <w:pPr>
              <w:pStyle w:val="ad"/>
              <w:jc w:val="center"/>
              <w:rPr>
                <w:rFonts w:ascii="Times New Roman" w:hAnsi="Times New Roman"/>
              </w:rPr>
            </w:pPr>
          </w:p>
        </w:tc>
        <w:tc>
          <w:tcPr>
            <w:tcW w:w="1056" w:type="dxa"/>
          </w:tcPr>
          <w:p w14:paraId="37544B7A" w14:textId="77777777" w:rsidR="00B823F8" w:rsidRPr="00A53AD7" w:rsidRDefault="00B823F8" w:rsidP="00B823F8">
            <w:pPr>
              <w:pStyle w:val="ad"/>
              <w:jc w:val="center"/>
              <w:rPr>
                <w:rFonts w:ascii="Times New Roman" w:hAnsi="Times New Roman"/>
              </w:rPr>
            </w:pPr>
          </w:p>
        </w:tc>
        <w:tc>
          <w:tcPr>
            <w:tcW w:w="1185" w:type="dxa"/>
          </w:tcPr>
          <w:p w14:paraId="37E066C8" w14:textId="77777777" w:rsidR="00B823F8" w:rsidRPr="00A53AD7" w:rsidRDefault="00B823F8" w:rsidP="00B823F8">
            <w:pPr>
              <w:pStyle w:val="ad"/>
              <w:jc w:val="center"/>
              <w:rPr>
                <w:rFonts w:ascii="Times New Roman" w:hAnsi="Times New Roman"/>
              </w:rPr>
            </w:pPr>
          </w:p>
        </w:tc>
        <w:tc>
          <w:tcPr>
            <w:tcW w:w="906" w:type="dxa"/>
          </w:tcPr>
          <w:p w14:paraId="36D3C9DE" w14:textId="77777777" w:rsidR="00B823F8" w:rsidRPr="00A53AD7" w:rsidRDefault="00B823F8" w:rsidP="00B823F8">
            <w:pPr>
              <w:pStyle w:val="ad"/>
              <w:jc w:val="center"/>
              <w:rPr>
                <w:rFonts w:ascii="Times New Roman" w:hAnsi="Times New Roman"/>
              </w:rPr>
            </w:pPr>
          </w:p>
        </w:tc>
      </w:tr>
    </w:tbl>
    <w:p w14:paraId="319DA89C" w14:textId="77777777" w:rsidR="00B823F8" w:rsidRPr="00A53AD7" w:rsidRDefault="00B823F8" w:rsidP="005B2A3D">
      <w:pPr>
        <w:pStyle w:val="ad"/>
        <w:ind w:firstLine="709"/>
        <w:jc w:val="both"/>
        <w:rPr>
          <w:rFonts w:ascii="Times New Roman" w:hAnsi="Times New Roman"/>
          <w:sz w:val="28"/>
          <w:szCs w:val="28"/>
        </w:rPr>
      </w:pPr>
    </w:p>
    <w:p w14:paraId="085A38EC" w14:textId="6821C63D" w:rsidR="00B823F8" w:rsidRPr="00A53AD7" w:rsidRDefault="00B823F8" w:rsidP="005B2A3D">
      <w:pPr>
        <w:pStyle w:val="ad"/>
        <w:ind w:firstLine="709"/>
        <w:jc w:val="both"/>
        <w:rPr>
          <w:rFonts w:ascii="Times New Roman" w:hAnsi="Times New Roman"/>
          <w:sz w:val="28"/>
          <w:szCs w:val="28"/>
        </w:rPr>
      </w:pPr>
      <w:r w:rsidRPr="00A53AD7">
        <w:rPr>
          <w:rFonts w:ascii="Times New Roman" w:hAnsi="Times New Roman"/>
          <w:sz w:val="28"/>
          <w:szCs w:val="28"/>
        </w:rPr>
        <w:t>Главный распорядитель программы Министерство ТЭК и ЖКХ АО.</w:t>
      </w:r>
    </w:p>
    <w:p w14:paraId="08467DD2" w14:textId="72BF0AF1" w:rsidR="00B823F8" w:rsidRPr="00A53AD7" w:rsidRDefault="00B823F8" w:rsidP="005B2A3D">
      <w:pPr>
        <w:pStyle w:val="ad"/>
        <w:ind w:firstLine="709"/>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13558ABA"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29"/>
        <w:gridCol w:w="1560"/>
        <w:gridCol w:w="1559"/>
        <w:gridCol w:w="1559"/>
      </w:tblGrid>
      <w:tr w:rsidR="00D470B6" w:rsidRPr="00A53AD7" w14:paraId="25053AB1" w14:textId="77777777" w:rsidTr="005E6BE5">
        <w:trPr>
          <w:tblHeader/>
        </w:trPr>
        <w:tc>
          <w:tcPr>
            <w:tcW w:w="3104" w:type="dxa"/>
          </w:tcPr>
          <w:p w14:paraId="53B7C634" w14:textId="77777777" w:rsidR="00B823F8" w:rsidRPr="00A53AD7" w:rsidRDefault="00B823F8" w:rsidP="00B823F8">
            <w:pPr>
              <w:pStyle w:val="ad"/>
              <w:jc w:val="both"/>
              <w:rPr>
                <w:rFonts w:ascii="Times New Roman" w:hAnsi="Times New Roman"/>
              </w:rPr>
            </w:pPr>
          </w:p>
        </w:tc>
        <w:tc>
          <w:tcPr>
            <w:tcW w:w="1529" w:type="dxa"/>
          </w:tcPr>
          <w:p w14:paraId="4C3BA16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26AC484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3A5CE345"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188798FF"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7CB21FE3" w14:textId="77777777" w:rsidTr="005E6BE5">
        <w:tc>
          <w:tcPr>
            <w:tcW w:w="3104" w:type="dxa"/>
          </w:tcPr>
          <w:p w14:paraId="54A959CA"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9" w:type="dxa"/>
          </w:tcPr>
          <w:p w14:paraId="7FE66AC7" w14:textId="77777777" w:rsidR="00B823F8" w:rsidRPr="00A53AD7" w:rsidRDefault="00B823F8" w:rsidP="00B823F8">
            <w:pPr>
              <w:pStyle w:val="ad"/>
              <w:jc w:val="center"/>
              <w:rPr>
                <w:rFonts w:ascii="Times New Roman" w:hAnsi="Times New Roman"/>
              </w:rPr>
            </w:pPr>
            <w:r w:rsidRPr="00A53AD7">
              <w:rPr>
                <w:rFonts w:ascii="Times New Roman" w:hAnsi="Times New Roman"/>
              </w:rPr>
              <w:t>3,8</w:t>
            </w:r>
          </w:p>
        </w:tc>
        <w:tc>
          <w:tcPr>
            <w:tcW w:w="1560" w:type="dxa"/>
          </w:tcPr>
          <w:p w14:paraId="459B50AD"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559" w:type="dxa"/>
          </w:tcPr>
          <w:p w14:paraId="7272C467"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c>
          <w:tcPr>
            <w:tcW w:w="1559" w:type="dxa"/>
          </w:tcPr>
          <w:p w14:paraId="37E58F2A" w14:textId="77777777" w:rsidR="00B823F8" w:rsidRPr="00A53AD7" w:rsidRDefault="00B823F8" w:rsidP="00B823F8">
            <w:pPr>
              <w:pStyle w:val="ad"/>
              <w:jc w:val="center"/>
              <w:rPr>
                <w:rFonts w:ascii="Times New Roman" w:hAnsi="Times New Roman"/>
              </w:rPr>
            </w:pPr>
            <w:r w:rsidRPr="00A53AD7">
              <w:rPr>
                <w:rFonts w:ascii="Times New Roman" w:hAnsi="Times New Roman"/>
              </w:rPr>
              <w:t>41,1</w:t>
            </w:r>
          </w:p>
        </w:tc>
      </w:tr>
      <w:tr w:rsidR="00D470B6" w:rsidRPr="00A53AD7" w14:paraId="68054545" w14:textId="77777777" w:rsidTr="005E6BE5">
        <w:tc>
          <w:tcPr>
            <w:tcW w:w="3104" w:type="dxa"/>
          </w:tcPr>
          <w:p w14:paraId="587E3B4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7DB5F247"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481C90EB" w14:textId="77777777" w:rsidR="00B823F8" w:rsidRPr="00A53AD7" w:rsidRDefault="00B823F8" w:rsidP="00B823F8">
            <w:pPr>
              <w:pStyle w:val="ad"/>
              <w:jc w:val="center"/>
              <w:rPr>
                <w:rFonts w:ascii="Times New Roman" w:hAnsi="Times New Roman"/>
              </w:rPr>
            </w:pPr>
            <w:r w:rsidRPr="00A53AD7">
              <w:rPr>
                <w:rFonts w:ascii="Times New Roman" w:hAnsi="Times New Roman"/>
              </w:rPr>
              <w:t>3,7</w:t>
            </w:r>
          </w:p>
        </w:tc>
        <w:tc>
          <w:tcPr>
            <w:tcW w:w="1559" w:type="dxa"/>
          </w:tcPr>
          <w:p w14:paraId="0AF05C6B" w14:textId="77777777" w:rsidR="00B823F8" w:rsidRPr="00A53AD7" w:rsidRDefault="00B823F8" w:rsidP="00B823F8">
            <w:pPr>
              <w:pStyle w:val="ad"/>
              <w:jc w:val="center"/>
              <w:rPr>
                <w:rFonts w:ascii="Times New Roman" w:hAnsi="Times New Roman"/>
              </w:rPr>
            </w:pPr>
            <w:r w:rsidRPr="00A53AD7">
              <w:rPr>
                <w:rFonts w:ascii="Times New Roman" w:hAnsi="Times New Roman"/>
              </w:rPr>
              <w:t>40,9</w:t>
            </w:r>
          </w:p>
        </w:tc>
        <w:tc>
          <w:tcPr>
            <w:tcW w:w="1559" w:type="dxa"/>
          </w:tcPr>
          <w:p w14:paraId="42162E91" w14:textId="77777777" w:rsidR="00B823F8" w:rsidRPr="00A53AD7" w:rsidRDefault="00B823F8" w:rsidP="00B823F8">
            <w:pPr>
              <w:pStyle w:val="ad"/>
              <w:jc w:val="center"/>
              <w:rPr>
                <w:rFonts w:ascii="Times New Roman" w:hAnsi="Times New Roman"/>
              </w:rPr>
            </w:pPr>
            <w:r w:rsidRPr="00A53AD7">
              <w:rPr>
                <w:rFonts w:ascii="Times New Roman" w:hAnsi="Times New Roman"/>
              </w:rPr>
              <w:t>40,9</w:t>
            </w:r>
          </w:p>
        </w:tc>
      </w:tr>
      <w:tr w:rsidR="00D470B6" w:rsidRPr="00A53AD7" w14:paraId="3C56D81B" w14:textId="77777777" w:rsidTr="005E6BE5">
        <w:tc>
          <w:tcPr>
            <w:tcW w:w="3104" w:type="dxa"/>
          </w:tcPr>
          <w:p w14:paraId="2D3F44AE"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9" w:type="dxa"/>
          </w:tcPr>
          <w:p w14:paraId="6F3A8E2A" w14:textId="77777777" w:rsidR="00B823F8" w:rsidRPr="00A53AD7" w:rsidRDefault="00B823F8" w:rsidP="00B823F8">
            <w:pPr>
              <w:pStyle w:val="ad"/>
              <w:jc w:val="center"/>
              <w:rPr>
                <w:rFonts w:ascii="Times New Roman" w:hAnsi="Times New Roman"/>
                <w:b/>
              </w:rPr>
            </w:pPr>
          </w:p>
        </w:tc>
        <w:tc>
          <w:tcPr>
            <w:tcW w:w="1560" w:type="dxa"/>
          </w:tcPr>
          <w:p w14:paraId="346CE1F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9,0%</w:t>
            </w:r>
          </w:p>
        </w:tc>
        <w:tc>
          <w:tcPr>
            <w:tcW w:w="1559" w:type="dxa"/>
          </w:tcPr>
          <w:p w14:paraId="50265CC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99,5%</w:t>
            </w:r>
          </w:p>
        </w:tc>
        <w:tc>
          <w:tcPr>
            <w:tcW w:w="1559" w:type="dxa"/>
          </w:tcPr>
          <w:p w14:paraId="6AC2557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99,5%</w:t>
            </w:r>
          </w:p>
        </w:tc>
      </w:tr>
      <w:tr w:rsidR="00D470B6" w:rsidRPr="00A53AD7" w14:paraId="204C9D1C" w14:textId="77777777" w:rsidTr="005E6BE5">
        <w:tc>
          <w:tcPr>
            <w:tcW w:w="3104" w:type="dxa"/>
          </w:tcPr>
          <w:p w14:paraId="6AAD5E05" w14:textId="717EB093" w:rsidR="00B823F8" w:rsidRPr="00A53AD7" w:rsidRDefault="00B823F8" w:rsidP="00FF0F8E">
            <w:pPr>
              <w:pStyle w:val="ad"/>
              <w:jc w:val="both"/>
              <w:rPr>
                <w:rFonts w:ascii="Times New Roman" w:hAnsi="Times New Roman"/>
              </w:rPr>
            </w:pPr>
            <w:r w:rsidRPr="00A53AD7">
              <w:rPr>
                <w:rFonts w:ascii="Times New Roman" w:hAnsi="Times New Roman"/>
              </w:rPr>
              <w:t>Кол-во объектов ОАИП план</w:t>
            </w:r>
          </w:p>
        </w:tc>
        <w:tc>
          <w:tcPr>
            <w:tcW w:w="1529" w:type="dxa"/>
          </w:tcPr>
          <w:p w14:paraId="5A50B3A9"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316FC211"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497DCE3B"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6E9D36CF"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r>
      <w:tr w:rsidR="00D470B6" w:rsidRPr="00A53AD7" w14:paraId="762CE34F" w14:textId="77777777" w:rsidTr="005E6BE5">
        <w:tc>
          <w:tcPr>
            <w:tcW w:w="3104" w:type="dxa"/>
          </w:tcPr>
          <w:p w14:paraId="36340307"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046504CE"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3275FD79"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7389CBFE"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c>
          <w:tcPr>
            <w:tcW w:w="1559" w:type="dxa"/>
          </w:tcPr>
          <w:p w14:paraId="0863C298" w14:textId="77777777" w:rsidR="00B823F8" w:rsidRPr="00A53AD7" w:rsidRDefault="00B823F8" w:rsidP="00B823F8">
            <w:pPr>
              <w:pStyle w:val="ad"/>
              <w:jc w:val="center"/>
              <w:rPr>
                <w:rFonts w:ascii="Times New Roman" w:hAnsi="Times New Roman"/>
              </w:rPr>
            </w:pPr>
            <w:r w:rsidRPr="00A53AD7">
              <w:rPr>
                <w:rFonts w:ascii="Times New Roman" w:hAnsi="Times New Roman"/>
              </w:rPr>
              <w:t>2</w:t>
            </w:r>
          </w:p>
        </w:tc>
      </w:tr>
      <w:tr w:rsidR="00B823F8" w:rsidRPr="00A53AD7" w14:paraId="1481EC51" w14:textId="77777777" w:rsidTr="005E6BE5">
        <w:tc>
          <w:tcPr>
            <w:tcW w:w="3104" w:type="dxa"/>
          </w:tcPr>
          <w:p w14:paraId="33194057"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9" w:type="dxa"/>
          </w:tcPr>
          <w:p w14:paraId="6AC6202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DCC23C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50,0%</w:t>
            </w:r>
          </w:p>
        </w:tc>
        <w:tc>
          <w:tcPr>
            <w:tcW w:w="1559" w:type="dxa"/>
          </w:tcPr>
          <w:p w14:paraId="2B85585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559" w:type="dxa"/>
          </w:tcPr>
          <w:p w14:paraId="359AF3A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bl>
    <w:p w14:paraId="57539E11" w14:textId="77777777" w:rsidR="00B823F8" w:rsidRPr="00A53AD7" w:rsidRDefault="00B823F8" w:rsidP="00B823F8">
      <w:pPr>
        <w:pStyle w:val="ad"/>
        <w:jc w:val="both"/>
        <w:rPr>
          <w:rFonts w:ascii="Times New Roman" w:hAnsi="Times New Roman"/>
          <w:sz w:val="28"/>
          <w:szCs w:val="28"/>
          <w:highlight w:val="cyan"/>
        </w:rPr>
      </w:pPr>
    </w:p>
    <w:p w14:paraId="3DE3C652" w14:textId="421B3C59" w:rsidR="00B823F8" w:rsidRPr="00A53AD7" w:rsidRDefault="00B823F8" w:rsidP="00B823F8">
      <w:pPr>
        <w:pStyle w:val="ad"/>
        <w:ind w:firstLine="709"/>
        <w:jc w:val="both"/>
        <w:rPr>
          <w:rFonts w:ascii="Times New Roman" w:hAnsi="Times New Roman"/>
          <w:sz w:val="28"/>
          <w:szCs w:val="28"/>
        </w:rPr>
      </w:pPr>
      <w:r w:rsidRPr="00A53AD7">
        <w:rPr>
          <w:rFonts w:ascii="Times New Roman" w:hAnsi="Times New Roman"/>
          <w:sz w:val="28"/>
          <w:szCs w:val="28"/>
        </w:rPr>
        <w:t>С учетом средств федерального бюджета расходы на реализацию капитальных вложений в рамках программы на 2019 год утверждены согласно закону о бюджете в объеме 162,5 млн.руб., согласно показателям бюджетной росписи 77,4 млн.руб., согласно отчету об исполнении бюджета расходы исполнены на 74,1 млн.руб.</w:t>
      </w:r>
    </w:p>
    <w:p w14:paraId="663C10F4"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67"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5"/>
        <w:gridCol w:w="1691"/>
        <w:gridCol w:w="1701"/>
        <w:gridCol w:w="1701"/>
        <w:gridCol w:w="1869"/>
      </w:tblGrid>
      <w:tr w:rsidR="00D470B6" w:rsidRPr="00A53AD7" w14:paraId="16EDCF95" w14:textId="77777777" w:rsidTr="004D2F7B">
        <w:tc>
          <w:tcPr>
            <w:tcW w:w="2405" w:type="dxa"/>
          </w:tcPr>
          <w:p w14:paraId="29634053" w14:textId="3488568E" w:rsidR="00B823F8" w:rsidRPr="00A53AD7" w:rsidRDefault="004D2F7B" w:rsidP="004D2F7B">
            <w:pPr>
              <w:pStyle w:val="ad"/>
              <w:jc w:val="center"/>
              <w:rPr>
                <w:rFonts w:ascii="Times New Roman" w:hAnsi="Times New Roman"/>
              </w:rPr>
            </w:pPr>
            <w:r w:rsidRPr="00A53AD7">
              <w:rPr>
                <w:rFonts w:ascii="Times New Roman" w:hAnsi="Times New Roman"/>
              </w:rPr>
              <w:t>МинТЭКиЖКХ</w:t>
            </w:r>
          </w:p>
        </w:tc>
        <w:tc>
          <w:tcPr>
            <w:tcW w:w="1691" w:type="dxa"/>
          </w:tcPr>
          <w:p w14:paraId="5FA7884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701" w:type="dxa"/>
          </w:tcPr>
          <w:p w14:paraId="392389EC"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701" w:type="dxa"/>
          </w:tcPr>
          <w:p w14:paraId="236EE7D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869" w:type="dxa"/>
          </w:tcPr>
          <w:p w14:paraId="70C028E5"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01FC97A4" w14:textId="77777777" w:rsidTr="004D2F7B">
        <w:tc>
          <w:tcPr>
            <w:tcW w:w="2405" w:type="dxa"/>
          </w:tcPr>
          <w:p w14:paraId="180690A3"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691" w:type="dxa"/>
          </w:tcPr>
          <w:p w14:paraId="4EE78751" w14:textId="77777777" w:rsidR="00B823F8" w:rsidRPr="00A53AD7" w:rsidRDefault="00B823F8" w:rsidP="00B823F8">
            <w:pPr>
              <w:pStyle w:val="ad"/>
              <w:jc w:val="center"/>
              <w:rPr>
                <w:rFonts w:ascii="Times New Roman" w:hAnsi="Times New Roman"/>
              </w:rPr>
            </w:pPr>
            <w:r w:rsidRPr="00A53AD7">
              <w:rPr>
                <w:rFonts w:ascii="Times New Roman" w:hAnsi="Times New Roman"/>
              </w:rPr>
              <w:t>152,3</w:t>
            </w:r>
          </w:p>
        </w:tc>
        <w:tc>
          <w:tcPr>
            <w:tcW w:w="1701" w:type="dxa"/>
          </w:tcPr>
          <w:p w14:paraId="233F20EB" w14:textId="77777777" w:rsidR="00B823F8" w:rsidRPr="00A53AD7" w:rsidRDefault="00B823F8" w:rsidP="00B823F8">
            <w:pPr>
              <w:pStyle w:val="ad"/>
              <w:jc w:val="center"/>
              <w:rPr>
                <w:rFonts w:ascii="Times New Roman" w:hAnsi="Times New Roman"/>
              </w:rPr>
            </w:pPr>
            <w:r w:rsidRPr="00A53AD7">
              <w:rPr>
                <w:rFonts w:ascii="Times New Roman" w:hAnsi="Times New Roman"/>
              </w:rPr>
              <w:t>162,5</w:t>
            </w:r>
          </w:p>
        </w:tc>
        <w:tc>
          <w:tcPr>
            <w:tcW w:w="1701" w:type="dxa"/>
          </w:tcPr>
          <w:p w14:paraId="47DE9FD4" w14:textId="77777777" w:rsidR="00B823F8" w:rsidRPr="00A53AD7" w:rsidRDefault="00B823F8" w:rsidP="00B823F8">
            <w:pPr>
              <w:pStyle w:val="ad"/>
              <w:jc w:val="center"/>
              <w:rPr>
                <w:rFonts w:ascii="Times New Roman" w:hAnsi="Times New Roman"/>
              </w:rPr>
            </w:pPr>
            <w:r w:rsidRPr="00A53AD7">
              <w:rPr>
                <w:rFonts w:ascii="Times New Roman" w:hAnsi="Times New Roman"/>
              </w:rPr>
              <w:t>75,6</w:t>
            </w:r>
          </w:p>
        </w:tc>
        <w:tc>
          <w:tcPr>
            <w:tcW w:w="1869" w:type="dxa"/>
          </w:tcPr>
          <w:p w14:paraId="42A6544B" w14:textId="77777777" w:rsidR="00B823F8" w:rsidRPr="00A53AD7" w:rsidRDefault="00B823F8" w:rsidP="00B823F8">
            <w:pPr>
              <w:pStyle w:val="ad"/>
              <w:jc w:val="center"/>
              <w:rPr>
                <w:rFonts w:ascii="Times New Roman" w:hAnsi="Times New Roman"/>
              </w:rPr>
            </w:pPr>
            <w:r w:rsidRPr="00A53AD7">
              <w:rPr>
                <w:rFonts w:ascii="Times New Roman" w:hAnsi="Times New Roman"/>
              </w:rPr>
              <w:t>77,4</w:t>
            </w:r>
          </w:p>
        </w:tc>
      </w:tr>
      <w:tr w:rsidR="00D470B6" w:rsidRPr="00A53AD7" w14:paraId="0CB7B48B" w14:textId="77777777" w:rsidTr="004D2F7B">
        <w:tc>
          <w:tcPr>
            <w:tcW w:w="2405" w:type="dxa"/>
          </w:tcPr>
          <w:p w14:paraId="5252329D"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691" w:type="dxa"/>
          </w:tcPr>
          <w:p w14:paraId="366C882E"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701" w:type="dxa"/>
          </w:tcPr>
          <w:p w14:paraId="7CB120B4" w14:textId="77777777" w:rsidR="00B823F8" w:rsidRPr="00A53AD7" w:rsidRDefault="00B823F8" w:rsidP="00B823F8">
            <w:pPr>
              <w:pStyle w:val="ad"/>
              <w:jc w:val="center"/>
              <w:rPr>
                <w:rFonts w:ascii="Times New Roman" w:hAnsi="Times New Roman"/>
              </w:rPr>
            </w:pPr>
            <w:r w:rsidRPr="00A53AD7">
              <w:rPr>
                <w:rFonts w:ascii="Times New Roman" w:hAnsi="Times New Roman"/>
              </w:rPr>
              <w:t>36,8</w:t>
            </w:r>
          </w:p>
        </w:tc>
        <w:tc>
          <w:tcPr>
            <w:tcW w:w="1701" w:type="dxa"/>
          </w:tcPr>
          <w:p w14:paraId="32408AFC" w14:textId="77777777" w:rsidR="00B823F8" w:rsidRPr="00A53AD7" w:rsidRDefault="00B823F8" w:rsidP="00B823F8">
            <w:pPr>
              <w:pStyle w:val="ad"/>
              <w:jc w:val="center"/>
              <w:rPr>
                <w:rFonts w:ascii="Times New Roman" w:hAnsi="Times New Roman"/>
              </w:rPr>
            </w:pPr>
            <w:r w:rsidRPr="00A53AD7">
              <w:rPr>
                <w:rFonts w:ascii="Times New Roman" w:hAnsi="Times New Roman"/>
              </w:rPr>
              <w:t>74,1</w:t>
            </w:r>
          </w:p>
        </w:tc>
        <w:tc>
          <w:tcPr>
            <w:tcW w:w="1869" w:type="dxa"/>
          </w:tcPr>
          <w:p w14:paraId="7120A71B" w14:textId="77777777" w:rsidR="00B823F8" w:rsidRPr="00A53AD7" w:rsidRDefault="00B823F8" w:rsidP="00B823F8">
            <w:pPr>
              <w:pStyle w:val="ad"/>
              <w:jc w:val="center"/>
              <w:rPr>
                <w:rFonts w:ascii="Times New Roman" w:hAnsi="Times New Roman"/>
              </w:rPr>
            </w:pPr>
            <w:r w:rsidRPr="00A53AD7">
              <w:rPr>
                <w:rFonts w:ascii="Times New Roman" w:hAnsi="Times New Roman"/>
              </w:rPr>
              <w:t>74,1</w:t>
            </w:r>
          </w:p>
        </w:tc>
      </w:tr>
      <w:tr w:rsidR="00D470B6" w:rsidRPr="00A53AD7" w14:paraId="60BDB8A8" w14:textId="77777777" w:rsidTr="004D2F7B">
        <w:tc>
          <w:tcPr>
            <w:tcW w:w="2405" w:type="dxa"/>
          </w:tcPr>
          <w:p w14:paraId="7E95E42D"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691" w:type="dxa"/>
          </w:tcPr>
          <w:p w14:paraId="575F8E9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701" w:type="dxa"/>
          </w:tcPr>
          <w:p w14:paraId="07EDA3E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22,6%</w:t>
            </w:r>
          </w:p>
        </w:tc>
        <w:tc>
          <w:tcPr>
            <w:tcW w:w="1701" w:type="dxa"/>
          </w:tcPr>
          <w:p w14:paraId="42B58A1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98,0%</w:t>
            </w:r>
          </w:p>
        </w:tc>
        <w:tc>
          <w:tcPr>
            <w:tcW w:w="1869" w:type="dxa"/>
          </w:tcPr>
          <w:p w14:paraId="4980796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95,7 %</w:t>
            </w:r>
          </w:p>
        </w:tc>
      </w:tr>
      <w:tr w:rsidR="00D470B6" w:rsidRPr="00A53AD7" w14:paraId="5206D32F" w14:textId="77777777" w:rsidTr="004D2F7B">
        <w:tc>
          <w:tcPr>
            <w:tcW w:w="2405" w:type="dxa"/>
          </w:tcPr>
          <w:p w14:paraId="6962023C"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691" w:type="dxa"/>
          </w:tcPr>
          <w:p w14:paraId="6FFCA5A4"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701" w:type="dxa"/>
          </w:tcPr>
          <w:p w14:paraId="4A6B695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36,8</w:t>
            </w:r>
          </w:p>
        </w:tc>
        <w:tc>
          <w:tcPr>
            <w:tcW w:w="1701" w:type="dxa"/>
          </w:tcPr>
          <w:p w14:paraId="15B5ADB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76,1</w:t>
            </w:r>
          </w:p>
        </w:tc>
        <w:tc>
          <w:tcPr>
            <w:tcW w:w="1869" w:type="dxa"/>
          </w:tcPr>
          <w:p w14:paraId="75D6F1C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74,1</w:t>
            </w:r>
          </w:p>
        </w:tc>
      </w:tr>
      <w:tr w:rsidR="00B823F8" w:rsidRPr="00A53AD7" w14:paraId="512A5D71" w14:textId="77777777" w:rsidTr="004D2F7B">
        <w:trPr>
          <w:trHeight w:val="149"/>
        </w:trPr>
        <w:tc>
          <w:tcPr>
            <w:tcW w:w="2405" w:type="dxa"/>
          </w:tcPr>
          <w:p w14:paraId="6AE0953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691" w:type="dxa"/>
          </w:tcPr>
          <w:p w14:paraId="44C8D1A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701" w:type="dxa"/>
          </w:tcPr>
          <w:p w14:paraId="671F743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22,6%</w:t>
            </w:r>
          </w:p>
        </w:tc>
        <w:tc>
          <w:tcPr>
            <w:tcW w:w="1701" w:type="dxa"/>
          </w:tcPr>
          <w:p w14:paraId="3CB9600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869" w:type="dxa"/>
          </w:tcPr>
          <w:p w14:paraId="2EA6D44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95,7%</w:t>
            </w:r>
          </w:p>
        </w:tc>
      </w:tr>
    </w:tbl>
    <w:p w14:paraId="614F93FC" w14:textId="77777777" w:rsidR="00B823F8" w:rsidRPr="00A53AD7" w:rsidRDefault="00B823F8" w:rsidP="004D2F7B">
      <w:pPr>
        <w:pStyle w:val="ad"/>
        <w:ind w:firstLine="709"/>
        <w:jc w:val="both"/>
        <w:rPr>
          <w:rFonts w:ascii="Times New Roman" w:hAnsi="Times New Roman"/>
          <w:sz w:val="28"/>
          <w:szCs w:val="28"/>
        </w:rPr>
      </w:pPr>
    </w:p>
    <w:p w14:paraId="44ED25E1" w14:textId="7987BBDD" w:rsidR="00B823F8" w:rsidRPr="00A53AD7" w:rsidRDefault="00B823F8" w:rsidP="004D2F7B">
      <w:pPr>
        <w:pStyle w:val="ad"/>
        <w:ind w:firstLine="709"/>
        <w:jc w:val="both"/>
        <w:rPr>
          <w:rFonts w:ascii="Times New Roman" w:hAnsi="Times New Roman"/>
          <w:sz w:val="28"/>
          <w:szCs w:val="28"/>
        </w:rPr>
      </w:pPr>
      <w:r w:rsidRPr="00A53AD7">
        <w:rPr>
          <w:rFonts w:ascii="Times New Roman" w:hAnsi="Times New Roman"/>
          <w:sz w:val="28"/>
          <w:szCs w:val="28"/>
        </w:rPr>
        <w:t>1</w:t>
      </w:r>
      <w:r w:rsidR="00FC5B0D" w:rsidRPr="00A53AD7">
        <w:rPr>
          <w:rFonts w:ascii="Times New Roman" w:hAnsi="Times New Roman"/>
          <w:sz w:val="28"/>
          <w:szCs w:val="28"/>
        </w:rPr>
        <w:t>0</w:t>
      </w:r>
      <w:r w:rsidRPr="00A53AD7">
        <w:rPr>
          <w:rFonts w:ascii="Times New Roman" w:hAnsi="Times New Roman"/>
          <w:sz w:val="28"/>
          <w:szCs w:val="28"/>
        </w:rPr>
        <w:t>. ГП АО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запланированы расходы по приведенному количеству объектов:</w:t>
      </w:r>
    </w:p>
    <w:p w14:paraId="58D301D4" w14:textId="77777777" w:rsidR="00B823F8" w:rsidRPr="00A53AD7" w:rsidRDefault="00B823F8" w:rsidP="00B823F8">
      <w:pPr>
        <w:pStyle w:val="ad"/>
        <w:ind w:firstLine="709"/>
        <w:jc w:val="right"/>
        <w:rPr>
          <w:rFonts w:ascii="Times New Roman" w:hAnsi="Times New Roman"/>
          <w:sz w:val="24"/>
          <w:szCs w:val="24"/>
        </w:rPr>
      </w:pPr>
      <w:r w:rsidRPr="00A53AD7">
        <w:rPr>
          <w:rFonts w:ascii="Times New Roman" w:hAnsi="Times New Roman"/>
          <w:sz w:val="24"/>
          <w:szCs w:val="24"/>
        </w:rPr>
        <w:t>(млн.руб.)</w:t>
      </w:r>
    </w:p>
    <w:tbl>
      <w:tblPr>
        <w:tblStyle w:val="a7"/>
        <w:tblW w:w="9483"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978"/>
        <w:gridCol w:w="1056"/>
        <w:gridCol w:w="1056"/>
        <w:gridCol w:w="1056"/>
        <w:gridCol w:w="1056"/>
        <w:gridCol w:w="1056"/>
        <w:gridCol w:w="1056"/>
        <w:gridCol w:w="1185"/>
        <w:gridCol w:w="984"/>
      </w:tblGrid>
      <w:tr w:rsidR="00D470B6" w:rsidRPr="00A53AD7" w14:paraId="62805B7A" w14:textId="77777777" w:rsidTr="00056FA3">
        <w:tc>
          <w:tcPr>
            <w:tcW w:w="978" w:type="dxa"/>
          </w:tcPr>
          <w:p w14:paraId="31F9FABB" w14:textId="42496E3A" w:rsidR="00B823F8" w:rsidRPr="00A53AD7" w:rsidRDefault="00056FA3" w:rsidP="00056FA3">
            <w:pPr>
              <w:pStyle w:val="ad"/>
              <w:jc w:val="center"/>
              <w:rPr>
                <w:rFonts w:ascii="Times New Roman" w:hAnsi="Times New Roman"/>
              </w:rPr>
            </w:pPr>
            <w:r w:rsidRPr="00A53AD7">
              <w:rPr>
                <w:rFonts w:ascii="Times New Roman" w:hAnsi="Times New Roman"/>
              </w:rPr>
              <w:t>На даты</w:t>
            </w:r>
          </w:p>
        </w:tc>
        <w:tc>
          <w:tcPr>
            <w:tcW w:w="1056" w:type="dxa"/>
          </w:tcPr>
          <w:p w14:paraId="5E14B42B" w14:textId="77777777" w:rsidR="00B823F8" w:rsidRPr="00A53AD7" w:rsidRDefault="00B823F8" w:rsidP="00056FA3">
            <w:pPr>
              <w:pStyle w:val="ad"/>
              <w:jc w:val="center"/>
              <w:rPr>
                <w:rFonts w:ascii="Times New Roman" w:hAnsi="Times New Roman"/>
              </w:rPr>
            </w:pPr>
            <w:r w:rsidRPr="00A53AD7">
              <w:rPr>
                <w:rFonts w:ascii="Times New Roman" w:hAnsi="Times New Roman"/>
              </w:rPr>
              <w:t>01.01.19</w:t>
            </w:r>
          </w:p>
        </w:tc>
        <w:tc>
          <w:tcPr>
            <w:tcW w:w="1056" w:type="dxa"/>
          </w:tcPr>
          <w:p w14:paraId="5B50C676" w14:textId="77777777" w:rsidR="00B823F8" w:rsidRPr="00A53AD7" w:rsidRDefault="00B823F8" w:rsidP="00056FA3">
            <w:pPr>
              <w:pStyle w:val="ad"/>
              <w:jc w:val="center"/>
              <w:rPr>
                <w:rFonts w:ascii="Times New Roman" w:hAnsi="Times New Roman"/>
              </w:rPr>
            </w:pPr>
            <w:r w:rsidRPr="00A53AD7">
              <w:rPr>
                <w:rFonts w:ascii="Times New Roman" w:hAnsi="Times New Roman"/>
              </w:rPr>
              <w:t>01.04.19</w:t>
            </w:r>
          </w:p>
        </w:tc>
        <w:tc>
          <w:tcPr>
            <w:tcW w:w="1056" w:type="dxa"/>
          </w:tcPr>
          <w:p w14:paraId="44DA8BD6" w14:textId="77777777" w:rsidR="00B823F8" w:rsidRPr="00A53AD7" w:rsidRDefault="00B823F8" w:rsidP="00056FA3">
            <w:pPr>
              <w:pStyle w:val="ad"/>
              <w:jc w:val="center"/>
              <w:rPr>
                <w:rFonts w:ascii="Times New Roman" w:hAnsi="Times New Roman"/>
              </w:rPr>
            </w:pPr>
            <w:r w:rsidRPr="00A53AD7">
              <w:rPr>
                <w:rFonts w:ascii="Times New Roman" w:hAnsi="Times New Roman"/>
              </w:rPr>
              <w:t>02.07.19</w:t>
            </w:r>
          </w:p>
        </w:tc>
        <w:tc>
          <w:tcPr>
            <w:tcW w:w="1056" w:type="dxa"/>
          </w:tcPr>
          <w:p w14:paraId="0F336AF6" w14:textId="77777777" w:rsidR="00B823F8" w:rsidRPr="00A53AD7" w:rsidRDefault="00B823F8" w:rsidP="00056FA3">
            <w:pPr>
              <w:pStyle w:val="ad"/>
              <w:jc w:val="center"/>
              <w:rPr>
                <w:rFonts w:ascii="Times New Roman" w:hAnsi="Times New Roman"/>
              </w:rPr>
            </w:pPr>
            <w:r w:rsidRPr="00A53AD7">
              <w:rPr>
                <w:rFonts w:ascii="Times New Roman" w:hAnsi="Times New Roman"/>
              </w:rPr>
              <w:t>25.09.19</w:t>
            </w:r>
          </w:p>
        </w:tc>
        <w:tc>
          <w:tcPr>
            <w:tcW w:w="1056" w:type="dxa"/>
          </w:tcPr>
          <w:p w14:paraId="429B0727" w14:textId="77777777" w:rsidR="00B823F8" w:rsidRPr="00A53AD7" w:rsidRDefault="00B823F8" w:rsidP="00056FA3">
            <w:pPr>
              <w:pStyle w:val="ad"/>
              <w:jc w:val="center"/>
              <w:rPr>
                <w:rFonts w:ascii="Times New Roman" w:hAnsi="Times New Roman"/>
              </w:rPr>
            </w:pPr>
            <w:r w:rsidRPr="00A53AD7">
              <w:rPr>
                <w:rFonts w:ascii="Times New Roman" w:hAnsi="Times New Roman"/>
              </w:rPr>
              <w:t>19.11.19</w:t>
            </w:r>
          </w:p>
        </w:tc>
        <w:tc>
          <w:tcPr>
            <w:tcW w:w="1056" w:type="dxa"/>
          </w:tcPr>
          <w:p w14:paraId="506E4E51" w14:textId="77777777" w:rsidR="00B823F8" w:rsidRPr="00A53AD7" w:rsidRDefault="00B823F8" w:rsidP="00056FA3">
            <w:pPr>
              <w:pStyle w:val="ad"/>
              <w:jc w:val="center"/>
              <w:rPr>
                <w:rFonts w:ascii="Times New Roman" w:hAnsi="Times New Roman"/>
              </w:rPr>
            </w:pPr>
            <w:r w:rsidRPr="00A53AD7">
              <w:rPr>
                <w:rFonts w:ascii="Times New Roman" w:hAnsi="Times New Roman"/>
              </w:rPr>
              <w:t>13.12.19</w:t>
            </w:r>
          </w:p>
        </w:tc>
        <w:tc>
          <w:tcPr>
            <w:tcW w:w="1185" w:type="dxa"/>
          </w:tcPr>
          <w:p w14:paraId="32BF4986" w14:textId="77777777" w:rsidR="00B823F8" w:rsidRPr="00A53AD7" w:rsidRDefault="00B823F8" w:rsidP="00056FA3">
            <w:pPr>
              <w:pStyle w:val="ad"/>
              <w:jc w:val="center"/>
              <w:rPr>
                <w:rFonts w:ascii="Times New Roman" w:hAnsi="Times New Roman"/>
              </w:rPr>
            </w:pPr>
            <w:r w:rsidRPr="00A53AD7">
              <w:rPr>
                <w:rFonts w:ascii="Times New Roman" w:hAnsi="Times New Roman"/>
              </w:rPr>
              <w:t>Отчет на 31.12.19</w:t>
            </w:r>
          </w:p>
        </w:tc>
        <w:tc>
          <w:tcPr>
            <w:tcW w:w="984" w:type="dxa"/>
          </w:tcPr>
          <w:p w14:paraId="6F747A2F" w14:textId="05DAB995" w:rsidR="00B823F8" w:rsidRPr="00A53AD7" w:rsidRDefault="00B823F8" w:rsidP="00056FA3">
            <w:pPr>
              <w:pStyle w:val="ad"/>
              <w:ind w:left="-117"/>
              <w:jc w:val="center"/>
              <w:rPr>
                <w:rFonts w:ascii="Times New Roman" w:hAnsi="Times New Roman"/>
              </w:rPr>
            </w:pPr>
            <w:r w:rsidRPr="00A53AD7">
              <w:rPr>
                <w:rFonts w:ascii="Times New Roman" w:hAnsi="Times New Roman"/>
              </w:rPr>
              <w:t>Исполнено в %</w:t>
            </w:r>
          </w:p>
        </w:tc>
      </w:tr>
      <w:tr w:rsidR="00D470B6" w:rsidRPr="00A53AD7" w14:paraId="4C26C022" w14:textId="77777777" w:rsidTr="00056FA3">
        <w:tc>
          <w:tcPr>
            <w:tcW w:w="978" w:type="dxa"/>
          </w:tcPr>
          <w:p w14:paraId="714241A4" w14:textId="77777777" w:rsidR="00B823F8" w:rsidRPr="00A53AD7" w:rsidRDefault="00B823F8" w:rsidP="00B801F1">
            <w:pPr>
              <w:pStyle w:val="ad"/>
              <w:ind w:right="-108" w:hanging="113"/>
              <w:rPr>
                <w:rFonts w:ascii="Times New Roman" w:hAnsi="Times New Roman"/>
              </w:rPr>
            </w:pPr>
            <w:r w:rsidRPr="00A53AD7">
              <w:rPr>
                <w:rFonts w:ascii="Times New Roman" w:hAnsi="Times New Roman"/>
              </w:rPr>
              <w:t xml:space="preserve">Сумма </w:t>
            </w:r>
          </w:p>
        </w:tc>
        <w:tc>
          <w:tcPr>
            <w:tcW w:w="1056" w:type="dxa"/>
          </w:tcPr>
          <w:p w14:paraId="15DD271E" w14:textId="77777777" w:rsidR="00B823F8" w:rsidRPr="00A53AD7" w:rsidRDefault="00B823F8" w:rsidP="00B823F8">
            <w:pPr>
              <w:pStyle w:val="ad"/>
              <w:jc w:val="center"/>
              <w:rPr>
                <w:rFonts w:ascii="Times New Roman" w:hAnsi="Times New Roman"/>
              </w:rPr>
            </w:pPr>
            <w:r w:rsidRPr="00A53AD7">
              <w:rPr>
                <w:rFonts w:ascii="Times New Roman" w:hAnsi="Times New Roman"/>
              </w:rPr>
              <w:t>150,0</w:t>
            </w:r>
          </w:p>
        </w:tc>
        <w:tc>
          <w:tcPr>
            <w:tcW w:w="1056" w:type="dxa"/>
          </w:tcPr>
          <w:p w14:paraId="60326B29" w14:textId="77777777" w:rsidR="00B823F8" w:rsidRPr="00A53AD7" w:rsidRDefault="00B823F8" w:rsidP="00B823F8">
            <w:pPr>
              <w:pStyle w:val="ad"/>
              <w:jc w:val="center"/>
              <w:rPr>
                <w:rFonts w:ascii="Times New Roman" w:hAnsi="Times New Roman"/>
              </w:rPr>
            </w:pPr>
            <w:r w:rsidRPr="00A53AD7">
              <w:rPr>
                <w:rFonts w:ascii="Times New Roman" w:hAnsi="Times New Roman"/>
              </w:rPr>
              <w:t>30,0</w:t>
            </w:r>
          </w:p>
        </w:tc>
        <w:tc>
          <w:tcPr>
            <w:tcW w:w="1056" w:type="dxa"/>
          </w:tcPr>
          <w:p w14:paraId="0945E5C1" w14:textId="77777777" w:rsidR="00B823F8" w:rsidRPr="00A53AD7" w:rsidRDefault="00B823F8" w:rsidP="00B823F8">
            <w:pPr>
              <w:pStyle w:val="ad"/>
              <w:jc w:val="center"/>
              <w:rPr>
                <w:rFonts w:ascii="Times New Roman" w:hAnsi="Times New Roman"/>
              </w:rPr>
            </w:pPr>
            <w:r w:rsidRPr="00A53AD7">
              <w:rPr>
                <w:rFonts w:ascii="Times New Roman" w:hAnsi="Times New Roman"/>
              </w:rPr>
              <w:t>57,7</w:t>
            </w:r>
          </w:p>
        </w:tc>
        <w:tc>
          <w:tcPr>
            <w:tcW w:w="1056" w:type="dxa"/>
          </w:tcPr>
          <w:p w14:paraId="598BD921" w14:textId="77777777" w:rsidR="00B823F8" w:rsidRPr="00A53AD7" w:rsidRDefault="00B823F8" w:rsidP="00B823F8">
            <w:pPr>
              <w:pStyle w:val="ad"/>
              <w:jc w:val="center"/>
              <w:rPr>
                <w:rFonts w:ascii="Times New Roman" w:hAnsi="Times New Roman"/>
              </w:rPr>
            </w:pPr>
            <w:r w:rsidRPr="00A53AD7">
              <w:rPr>
                <w:rFonts w:ascii="Times New Roman" w:hAnsi="Times New Roman"/>
              </w:rPr>
              <w:t>58,2</w:t>
            </w:r>
          </w:p>
        </w:tc>
        <w:tc>
          <w:tcPr>
            <w:tcW w:w="1056" w:type="dxa"/>
          </w:tcPr>
          <w:p w14:paraId="6515B3C8" w14:textId="77777777" w:rsidR="00B823F8" w:rsidRPr="00A53AD7" w:rsidRDefault="00B823F8" w:rsidP="00B823F8">
            <w:pPr>
              <w:pStyle w:val="ad"/>
              <w:jc w:val="center"/>
              <w:rPr>
                <w:rFonts w:ascii="Times New Roman" w:hAnsi="Times New Roman"/>
              </w:rPr>
            </w:pPr>
            <w:r w:rsidRPr="00A53AD7">
              <w:rPr>
                <w:rFonts w:ascii="Times New Roman" w:hAnsi="Times New Roman"/>
              </w:rPr>
              <w:t>19,6</w:t>
            </w:r>
          </w:p>
        </w:tc>
        <w:tc>
          <w:tcPr>
            <w:tcW w:w="1056" w:type="dxa"/>
          </w:tcPr>
          <w:p w14:paraId="0C9EF5F9"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c>
          <w:tcPr>
            <w:tcW w:w="1185" w:type="dxa"/>
          </w:tcPr>
          <w:p w14:paraId="494EFDAA" w14:textId="77777777" w:rsidR="00B823F8" w:rsidRPr="00A53AD7" w:rsidRDefault="00B823F8" w:rsidP="00B823F8">
            <w:pPr>
              <w:pStyle w:val="ad"/>
              <w:jc w:val="center"/>
              <w:rPr>
                <w:rFonts w:ascii="Times New Roman" w:hAnsi="Times New Roman"/>
              </w:rPr>
            </w:pPr>
            <w:r w:rsidRPr="00A53AD7">
              <w:rPr>
                <w:rFonts w:ascii="Times New Roman" w:hAnsi="Times New Roman"/>
              </w:rPr>
              <w:t>7,9</w:t>
            </w:r>
          </w:p>
        </w:tc>
        <w:tc>
          <w:tcPr>
            <w:tcW w:w="984" w:type="dxa"/>
          </w:tcPr>
          <w:p w14:paraId="7666430A" w14:textId="77777777" w:rsidR="00B823F8" w:rsidRPr="00A53AD7" w:rsidRDefault="00B823F8" w:rsidP="00B823F8">
            <w:pPr>
              <w:pStyle w:val="ad"/>
              <w:jc w:val="center"/>
              <w:rPr>
                <w:rFonts w:ascii="Times New Roman" w:hAnsi="Times New Roman"/>
              </w:rPr>
            </w:pPr>
            <w:r w:rsidRPr="00A53AD7">
              <w:rPr>
                <w:rFonts w:ascii="Times New Roman" w:hAnsi="Times New Roman"/>
              </w:rPr>
              <w:t>98,8%</w:t>
            </w:r>
          </w:p>
        </w:tc>
      </w:tr>
      <w:tr w:rsidR="00D470B6" w:rsidRPr="00A53AD7" w14:paraId="44C6DC1C" w14:textId="77777777" w:rsidTr="00056FA3">
        <w:tc>
          <w:tcPr>
            <w:tcW w:w="978" w:type="dxa"/>
          </w:tcPr>
          <w:p w14:paraId="05A5A89B" w14:textId="77777777" w:rsidR="00B823F8" w:rsidRPr="00A53AD7" w:rsidRDefault="00B823F8" w:rsidP="00B801F1">
            <w:pPr>
              <w:pStyle w:val="ad"/>
              <w:ind w:right="-108" w:hanging="113"/>
              <w:rPr>
                <w:rFonts w:ascii="Times New Roman" w:hAnsi="Times New Roman"/>
              </w:rPr>
            </w:pPr>
            <w:r w:rsidRPr="00A53AD7">
              <w:rPr>
                <w:rFonts w:ascii="Times New Roman" w:hAnsi="Times New Roman"/>
              </w:rPr>
              <w:t>кол-во объектов</w:t>
            </w:r>
          </w:p>
        </w:tc>
        <w:tc>
          <w:tcPr>
            <w:tcW w:w="1056" w:type="dxa"/>
          </w:tcPr>
          <w:p w14:paraId="5DD5B057"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0D80D079"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6EDE2B42"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7D2F471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3029634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056" w:type="dxa"/>
          </w:tcPr>
          <w:p w14:paraId="4913FFF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185" w:type="dxa"/>
          </w:tcPr>
          <w:p w14:paraId="6D4E6538"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p w14:paraId="738DF865" w14:textId="77777777" w:rsidR="00B823F8" w:rsidRPr="00A53AD7" w:rsidRDefault="00B823F8" w:rsidP="00B823F8">
            <w:pPr>
              <w:pStyle w:val="ad"/>
              <w:jc w:val="center"/>
              <w:rPr>
                <w:rFonts w:ascii="Times New Roman" w:hAnsi="Times New Roman"/>
              </w:rPr>
            </w:pPr>
          </w:p>
        </w:tc>
        <w:tc>
          <w:tcPr>
            <w:tcW w:w="984" w:type="dxa"/>
          </w:tcPr>
          <w:p w14:paraId="34C6AC25"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02571C61" w14:textId="77777777" w:rsidTr="00056FA3">
        <w:tc>
          <w:tcPr>
            <w:tcW w:w="978" w:type="dxa"/>
          </w:tcPr>
          <w:p w14:paraId="1BF701C1" w14:textId="77777777" w:rsidR="00B823F8" w:rsidRPr="00A53AD7" w:rsidRDefault="00B823F8" w:rsidP="00B801F1">
            <w:pPr>
              <w:pStyle w:val="ad"/>
              <w:ind w:hanging="113"/>
              <w:rPr>
                <w:rFonts w:ascii="Times New Roman" w:hAnsi="Times New Roman"/>
              </w:rPr>
            </w:pPr>
            <w:r w:rsidRPr="00A53AD7">
              <w:rPr>
                <w:rFonts w:ascii="Times New Roman" w:hAnsi="Times New Roman"/>
              </w:rPr>
              <w:t>(+, -) сумма</w:t>
            </w:r>
          </w:p>
        </w:tc>
        <w:tc>
          <w:tcPr>
            <w:tcW w:w="1056" w:type="dxa"/>
          </w:tcPr>
          <w:p w14:paraId="6E0B0BF2" w14:textId="77777777" w:rsidR="00B823F8" w:rsidRPr="00A53AD7" w:rsidRDefault="00B823F8" w:rsidP="00B823F8">
            <w:pPr>
              <w:pStyle w:val="ad"/>
              <w:jc w:val="center"/>
              <w:rPr>
                <w:rFonts w:ascii="Times New Roman" w:hAnsi="Times New Roman"/>
              </w:rPr>
            </w:pPr>
          </w:p>
        </w:tc>
        <w:tc>
          <w:tcPr>
            <w:tcW w:w="1056" w:type="dxa"/>
          </w:tcPr>
          <w:p w14:paraId="38D64404" w14:textId="77777777" w:rsidR="00B823F8" w:rsidRPr="00A53AD7" w:rsidRDefault="00B823F8" w:rsidP="00B823F8">
            <w:pPr>
              <w:pStyle w:val="ad"/>
              <w:jc w:val="center"/>
              <w:rPr>
                <w:rFonts w:ascii="Times New Roman" w:hAnsi="Times New Roman"/>
              </w:rPr>
            </w:pPr>
            <w:r w:rsidRPr="00A53AD7">
              <w:rPr>
                <w:rFonts w:ascii="Times New Roman" w:hAnsi="Times New Roman"/>
              </w:rPr>
              <w:t>-120,0</w:t>
            </w:r>
          </w:p>
        </w:tc>
        <w:tc>
          <w:tcPr>
            <w:tcW w:w="1056" w:type="dxa"/>
          </w:tcPr>
          <w:p w14:paraId="0EFC2619" w14:textId="77777777" w:rsidR="00B823F8" w:rsidRPr="00A53AD7" w:rsidRDefault="00B823F8" w:rsidP="00B823F8">
            <w:pPr>
              <w:pStyle w:val="ad"/>
              <w:rPr>
                <w:rFonts w:ascii="Times New Roman" w:hAnsi="Times New Roman"/>
              </w:rPr>
            </w:pPr>
            <w:r w:rsidRPr="00A53AD7">
              <w:rPr>
                <w:rFonts w:ascii="Times New Roman" w:hAnsi="Times New Roman"/>
              </w:rPr>
              <w:t>+27,7</w:t>
            </w:r>
          </w:p>
        </w:tc>
        <w:tc>
          <w:tcPr>
            <w:tcW w:w="1056" w:type="dxa"/>
          </w:tcPr>
          <w:p w14:paraId="7A4E3BFC" w14:textId="77777777" w:rsidR="00B823F8" w:rsidRPr="00A53AD7" w:rsidRDefault="00B823F8" w:rsidP="00B823F8">
            <w:pPr>
              <w:pStyle w:val="ad"/>
              <w:jc w:val="center"/>
              <w:rPr>
                <w:rFonts w:ascii="Times New Roman" w:hAnsi="Times New Roman"/>
              </w:rPr>
            </w:pPr>
            <w:r w:rsidRPr="00A53AD7">
              <w:rPr>
                <w:rFonts w:ascii="Times New Roman" w:hAnsi="Times New Roman"/>
              </w:rPr>
              <w:t>+0,5</w:t>
            </w:r>
          </w:p>
        </w:tc>
        <w:tc>
          <w:tcPr>
            <w:tcW w:w="1056" w:type="dxa"/>
          </w:tcPr>
          <w:p w14:paraId="26602783" w14:textId="77777777" w:rsidR="00B823F8" w:rsidRPr="00A53AD7" w:rsidRDefault="00B823F8" w:rsidP="00B823F8">
            <w:pPr>
              <w:pStyle w:val="ad"/>
              <w:jc w:val="center"/>
              <w:rPr>
                <w:rFonts w:ascii="Times New Roman" w:hAnsi="Times New Roman"/>
              </w:rPr>
            </w:pPr>
            <w:r w:rsidRPr="00A53AD7">
              <w:rPr>
                <w:rFonts w:ascii="Times New Roman" w:hAnsi="Times New Roman"/>
              </w:rPr>
              <w:t>-38,6</w:t>
            </w:r>
          </w:p>
        </w:tc>
        <w:tc>
          <w:tcPr>
            <w:tcW w:w="1056" w:type="dxa"/>
          </w:tcPr>
          <w:p w14:paraId="51D894E5" w14:textId="77777777" w:rsidR="00B823F8" w:rsidRPr="00A53AD7" w:rsidRDefault="00B823F8" w:rsidP="00B823F8">
            <w:pPr>
              <w:pStyle w:val="ad"/>
              <w:jc w:val="center"/>
              <w:rPr>
                <w:rFonts w:ascii="Times New Roman" w:hAnsi="Times New Roman"/>
              </w:rPr>
            </w:pPr>
            <w:r w:rsidRPr="00A53AD7">
              <w:rPr>
                <w:rFonts w:ascii="Times New Roman" w:hAnsi="Times New Roman"/>
              </w:rPr>
              <w:t>-11,6</w:t>
            </w:r>
          </w:p>
        </w:tc>
        <w:tc>
          <w:tcPr>
            <w:tcW w:w="1185" w:type="dxa"/>
          </w:tcPr>
          <w:p w14:paraId="7CD4F9E4" w14:textId="77777777" w:rsidR="00B823F8" w:rsidRPr="00A53AD7" w:rsidRDefault="00B823F8" w:rsidP="00B823F8">
            <w:pPr>
              <w:pStyle w:val="ad"/>
              <w:jc w:val="center"/>
              <w:rPr>
                <w:rFonts w:ascii="Times New Roman" w:hAnsi="Times New Roman"/>
              </w:rPr>
            </w:pPr>
          </w:p>
        </w:tc>
        <w:tc>
          <w:tcPr>
            <w:tcW w:w="984" w:type="dxa"/>
          </w:tcPr>
          <w:p w14:paraId="1183A4D4" w14:textId="77777777" w:rsidR="00B823F8" w:rsidRPr="00A53AD7" w:rsidRDefault="00B823F8" w:rsidP="00B823F8">
            <w:pPr>
              <w:pStyle w:val="ad"/>
              <w:jc w:val="center"/>
              <w:rPr>
                <w:rFonts w:ascii="Times New Roman" w:hAnsi="Times New Roman"/>
              </w:rPr>
            </w:pPr>
          </w:p>
        </w:tc>
      </w:tr>
      <w:tr w:rsidR="00B823F8" w:rsidRPr="00A53AD7" w14:paraId="6A5AD906" w14:textId="77777777" w:rsidTr="00056FA3">
        <w:tc>
          <w:tcPr>
            <w:tcW w:w="978" w:type="dxa"/>
          </w:tcPr>
          <w:p w14:paraId="62E87407" w14:textId="77777777" w:rsidR="00B823F8" w:rsidRPr="00A53AD7" w:rsidRDefault="00B823F8" w:rsidP="00B801F1">
            <w:pPr>
              <w:pStyle w:val="ad"/>
              <w:ind w:hanging="113"/>
              <w:rPr>
                <w:rFonts w:ascii="Times New Roman" w:hAnsi="Times New Roman"/>
              </w:rPr>
            </w:pPr>
            <w:r w:rsidRPr="00A53AD7">
              <w:rPr>
                <w:rFonts w:ascii="Times New Roman" w:hAnsi="Times New Roman"/>
              </w:rPr>
              <w:t>(+,-) объекты</w:t>
            </w:r>
          </w:p>
        </w:tc>
        <w:tc>
          <w:tcPr>
            <w:tcW w:w="1056" w:type="dxa"/>
          </w:tcPr>
          <w:p w14:paraId="0AB812A1" w14:textId="77777777" w:rsidR="00B823F8" w:rsidRPr="00A53AD7" w:rsidRDefault="00B823F8" w:rsidP="00B823F8">
            <w:pPr>
              <w:pStyle w:val="ad"/>
              <w:jc w:val="center"/>
              <w:rPr>
                <w:rFonts w:ascii="Times New Roman" w:hAnsi="Times New Roman"/>
              </w:rPr>
            </w:pPr>
          </w:p>
        </w:tc>
        <w:tc>
          <w:tcPr>
            <w:tcW w:w="1056" w:type="dxa"/>
          </w:tcPr>
          <w:p w14:paraId="52AF6C0D" w14:textId="77777777" w:rsidR="00B823F8" w:rsidRPr="00A53AD7" w:rsidRDefault="00B823F8" w:rsidP="00B823F8">
            <w:pPr>
              <w:pStyle w:val="ad"/>
              <w:jc w:val="center"/>
              <w:rPr>
                <w:rFonts w:ascii="Times New Roman" w:hAnsi="Times New Roman"/>
              </w:rPr>
            </w:pPr>
          </w:p>
        </w:tc>
        <w:tc>
          <w:tcPr>
            <w:tcW w:w="1056" w:type="dxa"/>
          </w:tcPr>
          <w:p w14:paraId="2ED10617" w14:textId="77777777" w:rsidR="00B823F8" w:rsidRPr="00A53AD7" w:rsidRDefault="00B823F8" w:rsidP="00B823F8">
            <w:pPr>
              <w:pStyle w:val="ad"/>
              <w:jc w:val="center"/>
              <w:rPr>
                <w:rFonts w:ascii="Times New Roman" w:hAnsi="Times New Roman"/>
              </w:rPr>
            </w:pPr>
          </w:p>
        </w:tc>
        <w:tc>
          <w:tcPr>
            <w:tcW w:w="1056" w:type="dxa"/>
          </w:tcPr>
          <w:p w14:paraId="23E37241" w14:textId="77777777" w:rsidR="00B823F8" w:rsidRPr="00A53AD7" w:rsidRDefault="00B823F8" w:rsidP="00B823F8">
            <w:pPr>
              <w:pStyle w:val="ad"/>
              <w:jc w:val="center"/>
              <w:rPr>
                <w:rFonts w:ascii="Times New Roman" w:hAnsi="Times New Roman"/>
              </w:rPr>
            </w:pPr>
          </w:p>
        </w:tc>
        <w:tc>
          <w:tcPr>
            <w:tcW w:w="1056" w:type="dxa"/>
          </w:tcPr>
          <w:p w14:paraId="67A2EF8B" w14:textId="77777777" w:rsidR="00B823F8" w:rsidRPr="00A53AD7" w:rsidRDefault="00B823F8" w:rsidP="00B823F8">
            <w:pPr>
              <w:pStyle w:val="ad"/>
              <w:jc w:val="center"/>
              <w:rPr>
                <w:rFonts w:ascii="Times New Roman" w:hAnsi="Times New Roman"/>
              </w:rPr>
            </w:pPr>
          </w:p>
        </w:tc>
        <w:tc>
          <w:tcPr>
            <w:tcW w:w="1056" w:type="dxa"/>
          </w:tcPr>
          <w:p w14:paraId="70CC8FB8" w14:textId="77777777" w:rsidR="00B823F8" w:rsidRPr="00A53AD7" w:rsidRDefault="00B823F8" w:rsidP="00B823F8">
            <w:pPr>
              <w:pStyle w:val="ad"/>
              <w:jc w:val="center"/>
              <w:rPr>
                <w:rFonts w:ascii="Times New Roman" w:hAnsi="Times New Roman"/>
              </w:rPr>
            </w:pPr>
          </w:p>
        </w:tc>
        <w:tc>
          <w:tcPr>
            <w:tcW w:w="1185" w:type="dxa"/>
          </w:tcPr>
          <w:p w14:paraId="72B27915" w14:textId="77777777" w:rsidR="00B823F8" w:rsidRPr="00A53AD7" w:rsidRDefault="00B823F8" w:rsidP="00B823F8">
            <w:pPr>
              <w:pStyle w:val="ad"/>
              <w:jc w:val="center"/>
              <w:rPr>
                <w:rFonts w:ascii="Times New Roman" w:hAnsi="Times New Roman"/>
              </w:rPr>
            </w:pPr>
          </w:p>
        </w:tc>
        <w:tc>
          <w:tcPr>
            <w:tcW w:w="984" w:type="dxa"/>
          </w:tcPr>
          <w:p w14:paraId="43DC028E" w14:textId="77777777" w:rsidR="00B823F8" w:rsidRPr="00A53AD7" w:rsidRDefault="00B823F8" w:rsidP="00B823F8">
            <w:pPr>
              <w:pStyle w:val="ad"/>
              <w:jc w:val="center"/>
              <w:rPr>
                <w:rFonts w:ascii="Times New Roman" w:hAnsi="Times New Roman"/>
              </w:rPr>
            </w:pPr>
          </w:p>
        </w:tc>
      </w:tr>
    </w:tbl>
    <w:p w14:paraId="3A44BA69" w14:textId="77777777" w:rsidR="00B823F8" w:rsidRPr="00A53AD7" w:rsidRDefault="00B823F8" w:rsidP="007B7777">
      <w:pPr>
        <w:pStyle w:val="ad"/>
        <w:ind w:firstLine="709"/>
        <w:jc w:val="both"/>
        <w:rPr>
          <w:rFonts w:ascii="Times New Roman" w:hAnsi="Times New Roman"/>
          <w:sz w:val="28"/>
          <w:szCs w:val="28"/>
        </w:rPr>
      </w:pPr>
    </w:p>
    <w:p w14:paraId="79B011F4" w14:textId="43000A04" w:rsidR="00B823F8" w:rsidRPr="00A53AD7" w:rsidRDefault="00B823F8" w:rsidP="007B7777">
      <w:pPr>
        <w:pStyle w:val="ad"/>
        <w:ind w:firstLine="709"/>
        <w:jc w:val="both"/>
        <w:rPr>
          <w:rFonts w:ascii="Times New Roman" w:hAnsi="Times New Roman"/>
          <w:sz w:val="28"/>
          <w:szCs w:val="28"/>
        </w:rPr>
      </w:pPr>
      <w:r w:rsidRPr="00A53AD7">
        <w:rPr>
          <w:rFonts w:ascii="Times New Roman" w:hAnsi="Times New Roman"/>
          <w:sz w:val="28"/>
          <w:szCs w:val="28"/>
        </w:rPr>
        <w:t>Главный распорядитель министерство строительства и архитектуры АО, заказчик ГКУ АО «ГУКС».</w:t>
      </w:r>
      <w:r w:rsidRPr="00A53AD7">
        <w:rPr>
          <w:rFonts w:ascii="Times New Roman" w:hAnsi="Times New Roman"/>
          <w:sz w:val="28"/>
          <w:szCs w:val="28"/>
        </w:rPr>
        <w:tab/>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72ADA63D"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04"/>
        <w:gridCol w:w="1549"/>
        <w:gridCol w:w="1560"/>
        <w:gridCol w:w="1559"/>
        <w:gridCol w:w="1559"/>
      </w:tblGrid>
      <w:tr w:rsidR="00D470B6" w:rsidRPr="00A53AD7" w14:paraId="5E5A790E" w14:textId="77777777" w:rsidTr="00FF0F8E">
        <w:trPr>
          <w:tblHeader/>
        </w:trPr>
        <w:tc>
          <w:tcPr>
            <w:tcW w:w="3104" w:type="dxa"/>
          </w:tcPr>
          <w:p w14:paraId="0ACF61E2" w14:textId="77777777" w:rsidR="00B823F8" w:rsidRPr="00A53AD7" w:rsidRDefault="00B823F8" w:rsidP="00B823F8">
            <w:pPr>
              <w:pStyle w:val="ad"/>
              <w:jc w:val="both"/>
              <w:rPr>
                <w:rFonts w:ascii="Times New Roman" w:hAnsi="Times New Roman"/>
              </w:rPr>
            </w:pPr>
          </w:p>
        </w:tc>
        <w:tc>
          <w:tcPr>
            <w:tcW w:w="1549" w:type="dxa"/>
          </w:tcPr>
          <w:p w14:paraId="50EAC7FC"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5A06E0D1"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54EB9CB3"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6DE752A5"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31A82BE8" w14:textId="77777777" w:rsidTr="00BD76FB">
        <w:tc>
          <w:tcPr>
            <w:tcW w:w="3104" w:type="dxa"/>
          </w:tcPr>
          <w:p w14:paraId="4FE2E454" w14:textId="77777777" w:rsidR="00B823F8" w:rsidRPr="00A53AD7" w:rsidRDefault="00B823F8" w:rsidP="00BD76FB">
            <w:pPr>
              <w:pStyle w:val="ad"/>
              <w:rPr>
                <w:rFonts w:ascii="Times New Roman" w:hAnsi="Times New Roman"/>
              </w:rPr>
            </w:pPr>
            <w:r w:rsidRPr="00A53AD7">
              <w:rPr>
                <w:rFonts w:ascii="Times New Roman" w:hAnsi="Times New Roman"/>
              </w:rPr>
              <w:t>ОАИП план</w:t>
            </w:r>
          </w:p>
        </w:tc>
        <w:tc>
          <w:tcPr>
            <w:tcW w:w="1549" w:type="dxa"/>
          </w:tcPr>
          <w:p w14:paraId="4E5E46FA" w14:textId="77777777" w:rsidR="00B823F8" w:rsidRPr="00A53AD7" w:rsidRDefault="00B823F8" w:rsidP="00B823F8">
            <w:pPr>
              <w:pStyle w:val="ad"/>
              <w:jc w:val="center"/>
              <w:rPr>
                <w:rFonts w:ascii="Times New Roman" w:hAnsi="Times New Roman"/>
              </w:rPr>
            </w:pPr>
            <w:r w:rsidRPr="00A53AD7">
              <w:rPr>
                <w:rFonts w:ascii="Times New Roman" w:hAnsi="Times New Roman"/>
              </w:rPr>
              <w:t>150,0</w:t>
            </w:r>
          </w:p>
        </w:tc>
        <w:tc>
          <w:tcPr>
            <w:tcW w:w="1560" w:type="dxa"/>
          </w:tcPr>
          <w:p w14:paraId="11D5C435" w14:textId="77777777" w:rsidR="00B823F8" w:rsidRPr="00A53AD7" w:rsidRDefault="00B823F8" w:rsidP="00B823F8">
            <w:pPr>
              <w:pStyle w:val="ad"/>
              <w:jc w:val="center"/>
              <w:rPr>
                <w:rFonts w:ascii="Times New Roman" w:hAnsi="Times New Roman"/>
              </w:rPr>
            </w:pPr>
            <w:r w:rsidRPr="00A53AD7">
              <w:rPr>
                <w:rFonts w:ascii="Times New Roman" w:hAnsi="Times New Roman"/>
              </w:rPr>
              <w:t>30,0</w:t>
            </w:r>
          </w:p>
        </w:tc>
        <w:tc>
          <w:tcPr>
            <w:tcW w:w="1559" w:type="dxa"/>
          </w:tcPr>
          <w:p w14:paraId="50D4E17F" w14:textId="77777777" w:rsidR="00B823F8" w:rsidRPr="00A53AD7" w:rsidRDefault="00B823F8" w:rsidP="00B823F8">
            <w:pPr>
              <w:pStyle w:val="ad"/>
              <w:jc w:val="center"/>
              <w:rPr>
                <w:rFonts w:ascii="Times New Roman" w:hAnsi="Times New Roman"/>
              </w:rPr>
            </w:pPr>
            <w:r w:rsidRPr="00A53AD7">
              <w:rPr>
                <w:rFonts w:ascii="Times New Roman" w:hAnsi="Times New Roman"/>
              </w:rPr>
              <w:t>58,2</w:t>
            </w:r>
          </w:p>
        </w:tc>
        <w:tc>
          <w:tcPr>
            <w:tcW w:w="1559" w:type="dxa"/>
          </w:tcPr>
          <w:p w14:paraId="11DBA07A" w14:textId="77777777" w:rsidR="00B823F8" w:rsidRPr="00A53AD7" w:rsidRDefault="00B823F8" w:rsidP="00B823F8">
            <w:pPr>
              <w:pStyle w:val="ad"/>
              <w:jc w:val="center"/>
              <w:rPr>
                <w:rFonts w:ascii="Times New Roman" w:hAnsi="Times New Roman"/>
              </w:rPr>
            </w:pPr>
            <w:r w:rsidRPr="00A53AD7">
              <w:rPr>
                <w:rFonts w:ascii="Times New Roman" w:hAnsi="Times New Roman"/>
              </w:rPr>
              <w:t>8,0</w:t>
            </w:r>
          </w:p>
        </w:tc>
      </w:tr>
      <w:tr w:rsidR="00D470B6" w:rsidRPr="00A53AD7" w14:paraId="7B3CE05F" w14:textId="77777777" w:rsidTr="00BD76FB">
        <w:tc>
          <w:tcPr>
            <w:tcW w:w="3104" w:type="dxa"/>
          </w:tcPr>
          <w:p w14:paraId="1BA936FB" w14:textId="77777777" w:rsidR="00B823F8" w:rsidRPr="00A53AD7" w:rsidRDefault="00B823F8" w:rsidP="00BD76FB">
            <w:pPr>
              <w:pStyle w:val="ad"/>
              <w:rPr>
                <w:rFonts w:ascii="Times New Roman" w:hAnsi="Times New Roman"/>
              </w:rPr>
            </w:pPr>
            <w:r w:rsidRPr="00A53AD7">
              <w:rPr>
                <w:rFonts w:ascii="Times New Roman" w:hAnsi="Times New Roman"/>
              </w:rPr>
              <w:t>Исполнено</w:t>
            </w:r>
          </w:p>
        </w:tc>
        <w:tc>
          <w:tcPr>
            <w:tcW w:w="1549" w:type="dxa"/>
          </w:tcPr>
          <w:p w14:paraId="45AEEA8A"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6268822D" w14:textId="77777777" w:rsidR="00B823F8" w:rsidRPr="00A53AD7" w:rsidRDefault="00B823F8" w:rsidP="00B823F8">
            <w:pPr>
              <w:pStyle w:val="ad"/>
              <w:jc w:val="center"/>
              <w:rPr>
                <w:rFonts w:ascii="Times New Roman" w:hAnsi="Times New Roman"/>
              </w:rPr>
            </w:pPr>
            <w:r w:rsidRPr="00A53AD7">
              <w:rPr>
                <w:rFonts w:ascii="Times New Roman" w:hAnsi="Times New Roman"/>
              </w:rPr>
              <w:t>1,2</w:t>
            </w:r>
          </w:p>
        </w:tc>
        <w:tc>
          <w:tcPr>
            <w:tcW w:w="1559" w:type="dxa"/>
          </w:tcPr>
          <w:p w14:paraId="5E56F494" w14:textId="77777777" w:rsidR="00B823F8" w:rsidRPr="00A53AD7" w:rsidRDefault="00B823F8" w:rsidP="00B823F8">
            <w:pPr>
              <w:pStyle w:val="ad"/>
              <w:jc w:val="center"/>
              <w:rPr>
                <w:rFonts w:ascii="Times New Roman" w:hAnsi="Times New Roman"/>
              </w:rPr>
            </w:pPr>
            <w:r w:rsidRPr="00A53AD7">
              <w:rPr>
                <w:rFonts w:ascii="Times New Roman" w:hAnsi="Times New Roman"/>
              </w:rPr>
              <w:t>5,7</w:t>
            </w:r>
          </w:p>
        </w:tc>
        <w:tc>
          <w:tcPr>
            <w:tcW w:w="1559" w:type="dxa"/>
          </w:tcPr>
          <w:p w14:paraId="48F1B1C0" w14:textId="77777777" w:rsidR="00B823F8" w:rsidRPr="00A53AD7" w:rsidRDefault="00B823F8" w:rsidP="00B823F8">
            <w:pPr>
              <w:pStyle w:val="ad"/>
              <w:jc w:val="center"/>
              <w:rPr>
                <w:rFonts w:ascii="Times New Roman" w:hAnsi="Times New Roman"/>
              </w:rPr>
            </w:pPr>
            <w:r w:rsidRPr="00A53AD7">
              <w:rPr>
                <w:rFonts w:ascii="Times New Roman" w:hAnsi="Times New Roman"/>
              </w:rPr>
              <w:t>7,9</w:t>
            </w:r>
          </w:p>
        </w:tc>
      </w:tr>
      <w:tr w:rsidR="00D470B6" w:rsidRPr="00A53AD7" w14:paraId="1BDE5130" w14:textId="77777777" w:rsidTr="00BD76FB">
        <w:tc>
          <w:tcPr>
            <w:tcW w:w="3104" w:type="dxa"/>
          </w:tcPr>
          <w:p w14:paraId="6978A39B" w14:textId="77777777" w:rsidR="00B823F8" w:rsidRPr="00A53AD7" w:rsidRDefault="00B823F8" w:rsidP="00BD76FB">
            <w:pPr>
              <w:pStyle w:val="ad"/>
              <w:ind w:hanging="113"/>
              <w:rPr>
                <w:rFonts w:ascii="Times New Roman" w:hAnsi="Times New Roman"/>
              </w:rPr>
            </w:pPr>
            <w:r w:rsidRPr="00A53AD7">
              <w:rPr>
                <w:rFonts w:ascii="Times New Roman" w:hAnsi="Times New Roman"/>
              </w:rPr>
              <w:t>Исполнено в %%</w:t>
            </w:r>
          </w:p>
        </w:tc>
        <w:tc>
          <w:tcPr>
            <w:tcW w:w="1549" w:type="dxa"/>
          </w:tcPr>
          <w:p w14:paraId="54295E54" w14:textId="77777777" w:rsidR="00B823F8" w:rsidRPr="00A53AD7" w:rsidRDefault="00B823F8" w:rsidP="00B823F8">
            <w:pPr>
              <w:pStyle w:val="ad"/>
              <w:jc w:val="center"/>
              <w:rPr>
                <w:rFonts w:ascii="Times New Roman" w:hAnsi="Times New Roman"/>
                <w:b/>
              </w:rPr>
            </w:pPr>
          </w:p>
        </w:tc>
        <w:tc>
          <w:tcPr>
            <w:tcW w:w="1560" w:type="dxa"/>
          </w:tcPr>
          <w:p w14:paraId="5214A15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4,0%</w:t>
            </w:r>
          </w:p>
        </w:tc>
        <w:tc>
          <w:tcPr>
            <w:tcW w:w="1559" w:type="dxa"/>
          </w:tcPr>
          <w:p w14:paraId="7C7F7FB7"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9,7%</w:t>
            </w:r>
          </w:p>
        </w:tc>
        <w:tc>
          <w:tcPr>
            <w:tcW w:w="1559" w:type="dxa"/>
          </w:tcPr>
          <w:p w14:paraId="4253974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98,8%</w:t>
            </w:r>
          </w:p>
        </w:tc>
      </w:tr>
      <w:tr w:rsidR="00D470B6" w:rsidRPr="00A53AD7" w14:paraId="5555F9B0" w14:textId="77777777" w:rsidTr="00BD76FB">
        <w:tc>
          <w:tcPr>
            <w:tcW w:w="3104" w:type="dxa"/>
          </w:tcPr>
          <w:p w14:paraId="3ADD573C" w14:textId="738D21CD" w:rsidR="00B823F8" w:rsidRPr="00A53AD7" w:rsidRDefault="00B823F8" w:rsidP="00BD76FB">
            <w:pPr>
              <w:pStyle w:val="ad"/>
              <w:rPr>
                <w:rFonts w:ascii="Times New Roman" w:hAnsi="Times New Roman"/>
              </w:rPr>
            </w:pPr>
            <w:r w:rsidRPr="00A53AD7">
              <w:rPr>
                <w:rFonts w:ascii="Times New Roman" w:hAnsi="Times New Roman"/>
              </w:rPr>
              <w:t>Кол-во объектов ОАИП план</w:t>
            </w:r>
          </w:p>
        </w:tc>
        <w:tc>
          <w:tcPr>
            <w:tcW w:w="1549" w:type="dxa"/>
          </w:tcPr>
          <w:p w14:paraId="3830FDD7"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33D50FF0"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67517310"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4276743C"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r>
      <w:tr w:rsidR="00D470B6" w:rsidRPr="00A53AD7" w14:paraId="7D408725" w14:textId="77777777" w:rsidTr="00BD76FB">
        <w:tc>
          <w:tcPr>
            <w:tcW w:w="3104" w:type="dxa"/>
          </w:tcPr>
          <w:p w14:paraId="5E58B13F" w14:textId="77777777" w:rsidR="00B823F8" w:rsidRPr="00A53AD7" w:rsidRDefault="00B823F8" w:rsidP="00BD76FB">
            <w:pPr>
              <w:pStyle w:val="ad"/>
              <w:rPr>
                <w:rFonts w:ascii="Times New Roman" w:hAnsi="Times New Roman"/>
              </w:rPr>
            </w:pPr>
            <w:r w:rsidRPr="00A53AD7">
              <w:rPr>
                <w:rFonts w:ascii="Times New Roman" w:hAnsi="Times New Roman"/>
              </w:rPr>
              <w:t>Исполнено</w:t>
            </w:r>
          </w:p>
        </w:tc>
        <w:tc>
          <w:tcPr>
            <w:tcW w:w="1549" w:type="dxa"/>
          </w:tcPr>
          <w:p w14:paraId="0B94B5B3"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630B5883"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454F742E"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59" w:type="dxa"/>
          </w:tcPr>
          <w:p w14:paraId="1428D358"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r>
      <w:tr w:rsidR="00D470B6" w:rsidRPr="00A53AD7" w14:paraId="0287D553" w14:textId="77777777" w:rsidTr="00BD76FB">
        <w:tc>
          <w:tcPr>
            <w:tcW w:w="3104" w:type="dxa"/>
          </w:tcPr>
          <w:p w14:paraId="2F8D8EC7" w14:textId="77777777" w:rsidR="00B823F8" w:rsidRPr="00A53AD7" w:rsidRDefault="00B823F8" w:rsidP="00BD76FB">
            <w:pPr>
              <w:pStyle w:val="ad"/>
              <w:rPr>
                <w:rFonts w:ascii="Times New Roman" w:hAnsi="Times New Roman"/>
              </w:rPr>
            </w:pPr>
            <w:r w:rsidRPr="00A53AD7">
              <w:rPr>
                <w:rFonts w:ascii="Times New Roman" w:hAnsi="Times New Roman"/>
              </w:rPr>
              <w:t>В %%</w:t>
            </w:r>
          </w:p>
        </w:tc>
        <w:tc>
          <w:tcPr>
            <w:tcW w:w="1549" w:type="dxa"/>
          </w:tcPr>
          <w:p w14:paraId="64AB3757" w14:textId="77777777" w:rsidR="00B823F8" w:rsidRPr="00A53AD7" w:rsidRDefault="00B823F8" w:rsidP="00B823F8">
            <w:pPr>
              <w:pStyle w:val="ad"/>
              <w:jc w:val="center"/>
              <w:rPr>
                <w:rFonts w:ascii="Times New Roman" w:hAnsi="Times New Roman"/>
                <w:b/>
              </w:rPr>
            </w:pPr>
          </w:p>
        </w:tc>
        <w:tc>
          <w:tcPr>
            <w:tcW w:w="1560" w:type="dxa"/>
          </w:tcPr>
          <w:p w14:paraId="1776F6A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559" w:type="dxa"/>
          </w:tcPr>
          <w:p w14:paraId="49E10350"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559" w:type="dxa"/>
          </w:tcPr>
          <w:p w14:paraId="5848F91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r>
      <w:tr w:rsidR="00D470B6" w:rsidRPr="00A53AD7" w14:paraId="3079CE26" w14:textId="77777777" w:rsidTr="00BD76FB">
        <w:tc>
          <w:tcPr>
            <w:tcW w:w="3104" w:type="dxa"/>
          </w:tcPr>
          <w:p w14:paraId="300F83F4" w14:textId="77777777" w:rsidR="00B823F8" w:rsidRPr="00A53AD7" w:rsidRDefault="00B823F8" w:rsidP="00BD76FB">
            <w:pPr>
              <w:pStyle w:val="ad"/>
              <w:ind w:hanging="113"/>
              <w:rPr>
                <w:rFonts w:ascii="Times New Roman" w:hAnsi="Times New Roman"/>
              </w:rPr>
            </w:pPr>
            <w:r w:rsidRPr="00A53AD7">
              <w:rPr>
                <w:rFonts w:ascii="Times New Roman" w:hAnsi="Times New Roman"/>
              </w:rPr>
              <w:t>в т.ч. мун. образов.</w:t>
            </w:r>
          </w:p>
        </w:tc>
        <w:tc>
          <w:tcPr>
            <w:tcW w:w="1549" w:type="dxa"/>
          </w:tcPr>
          <w:p w14:paraId="5E460753"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3F93EA4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288F413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1AC5C74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r w:rsidR="00B823F8" w:rsidRPr="00A53AD7" w14:paraId="3B04FBB7" w14:textId="77777777" w:rsidTr="00BD76FB">
        <w:tc>
          <w:tcPr>
            <w:tcW w:w="3104" w:type="dxa"/>
          </w:tcPr>
          <w:p w14:paraId="4BE650DC" w14:textId="77777777" w:rsidR="00B823F8" w:rsidRPr="00A53AD7" w:rsidRDefault="00B823F8" w:rsidP="00BD76FB">
            <w:pPr>
              <w:pStyle w:val="ad"/>
              <w:ind w:hanging="113"/>
              <w:rPr>
                <w:rFonts w:ascii="Times New Roman" w:hAnsi="Times New Roman"/>
              </w:rPr>
            </w:pPr>
            <w:r w:rsidRPr="00A53AD7">
              <w:rPr>
                <w:rFonts w:ascii="Times New Roman" w:hAnsi="Times New Roman"/>
              </w:rPr>
              <w:t xml:space="preserve"> В % к бюдж. росписи</w:t>
            </w:r>
          </w:p>
        </w:tc>
        <w:tc>
          <w:tcPr>
            <w:tcW w:w="1549" w:type="dxa"/>
          </w:tcPr>
          <w:p w14:paraId="5DB8E59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194C60E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222EDE6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7B16F6BF"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r>
    </w:tbl>
    <w:p w14:paraId="49397EE9" w14:textId="77777777" w:rsidR="00B823F8" w:rsidRPr="00A53AD7" w:rsidRDefault="00B823F8" w:rsidP="00BD76FB">
      <w:pPr>
        <w:pStyle w:val="ad"/>
        <w:ind w:firstLine="709"/>
        <w:jc w:val="both"/>
        <w:rPr>
          <w:rFonts w:ascii="Times New Roman" w:hAnsi="Times New Roman"/>
          <w:sz w:val="28"/>
          <w:szCs w:val="28"/>
        </w:rPr>
      </w:pPr>
    </w:p>
    <w:p w14:paraId="6ED098DB" w14:textId="21E7480E" w:rsidR="00B823F8" w:rsidRPr="00A53AD7" w:rsidRDefault="00B823F8" w:rsidP="00DD63C7">
      <w:pPr>
        <w:pStyle w:val="ad"/>
        <w:ind w:firstLine="709"/>
        <w:jc w:val="both"/>
        <w:rPr>
          <w:rFonts w:ascii="Times New Roman" w:hAnsi="Times New Roman"/>
          <w:sz w:val="28"/>
          <w:szCs w:val="28"/>
        </w:rPr>
      </w:pPr>
      <w:r w:rsidRPr="00A53AD7">
        <w:rPr>
          <w:rFonts w:ascii="Times New Roman" w:hAnsi="Times New Roman"/>
          <w:sz w:val="28"/>
          <w:szCs w:val="28"/>
        </w:rPr>
        <w:t>1</w:t>
      </w:r>
      <w:r w:rsidR="00FC5B0D" w:rsidRPr="00A53AD7">
        <w:rPr>
          <w:rFonts w:ascii="Times New Roman" w:hAnsi="Times New Roman"/>
          <w:sz w:val="28"/>
          <w:szCs w:val="28"/>
        </w:rPr>
        <w:t>1</w:t>
      </w:r>
      <w:r w:rsidRPr="00A53AD7">
        <w:rPr>
          <w:rFonts w:ascii="Times New Roman" w:hAnsi="Times New Roman"/>
          <w:sz w:val="28"/>
          <w:szCs w:val="28"/>
        </w:rPr>
        <w:t>. ГП АО «Развитие местного самоуправления в Архангельской области и государственная поддержка социально ориентированных некоммерческих организаций» запланированы расходы по приведенному количеству объектов:</w:t>
      </w:r>
    </w:p>
    <w:p w14:paraId="5385014B" w14:textId="77777777" w:rsidR="00B823F8" w:rsidRPr="00A53AD7" w:rsidRDefault="00B823F8" w:rsidP="00B823F8">
      <w:pPr>
        <w:pStyle w:val="ad"/>
        <w:ind w:firstLine="709"/>
        <w:jc w:val="right"/>
        <w:rPr>
          <w:rFonts w:ascii="Times New Roman" w:hAnsi="Times New Roman"/>
          <w:sz w:val="28"/>
          <w:szCs w:val="28"/>
        </w:rPr>
      </w:pPr>
      <w:r w:rsidRPr="00A53AD7">
        <w:rPr>
          <w:rFonts w:ascii="Times New Roman" w:hAnsi="Times New Roman"/>
          <w:sz w:val="28"/>
          <w:szCs w:val="28"/>
        </w:rPr>
        <w:t>(млн.руб.)</w:t>
      </w:r>
    </w:p>
    <w:tbl>
      <w:tblPr>
        <w:tblStyle w:val="a7"/>
        <w:tblW w:w="9850"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119"/>
        <w:gridCol w:w="1056"/>
        <w:gridCol w:w="1056"/>
        <w:gridCol w:w="1056"/>
        <w:gridCol w:w="1056"/>
        <w:gridCol w:w="1056"/>
        <w:gridCol w:w="1056"/>
        <w:gridCol w:w="1185"/>
        <w:gridCol w:w="1210"/>
      </w:tblGrid>
      <w:tr w:rsidR="00D470B6" w:rsidRPr="00A53AD7" w14:paraId="114DB414" w14:textId="77777777" w:rsidTr="00E7008B">
        <w:tc>
          <w:tcPr>
            <w:tcW w:w="1119" w:type="dxa"/>
          </w:tcPr>
          <w:p w14:paraId="308F7E47" w14:textId="77777777" w:rsidR="00B823F8" w:rsidRPr="00A53AD7" w:rsidRDefault="00B823F8" w:rsidP="00E7008B">
            <w:pPr>
              <w:pStyle w:val="ad"/>
              <w:jc w:val="center"/>
              <w:rPr>
                <w:rFonts w:ascii="Times New Roman" w:hAnsi="Times New Roman"/>
              </w:rPr>
            </w:pPr>
            <w:r w:rsidRPr="00A53AD7">
              <w:rPr>
                <w:rFonts w:ascii="Times New Roman" w:hAnsi="Times New Roman"/>
              </w:rPr>
              <w:t>На даты:</w:t>
            </w:r>
          </w:p>
        </w:tc>
        <w:tc>
          <w:tcPr>
            <w:tcW w:w="1056" w:type="dxa"/>
          </w:tcPr>
          <w:p w14:paraId="0BEC3014" w14:textId="77777777" w:rsidR="00B823F8" w:rsidRPr="00A53AD7" w:rsidRDefault="00B823F8" w:rsidP="00E7008B">
            <w:pPr>
              <w:pStyle w:val="ad"/>
              <w:jc w:val="center"/>
              <w:rPr>
                <w:rFonts w:ascii="Times New Roman" w:hAnsi="Times New Roman"/>
              </w:rPr>
            </w:pPr>
            <w:r w:rsidRPr="00A53AD7">
              <w:rPr>
                <w:rFonts w:ascii="Times New Roman" w:hAnsi="Times New Roman"/>
              </w:rPr>
              <w:t>01.01.19</w:t>
            </w:r>
          </w:p>
        </w:tc>
        <w:tc>
          <w:tcPr>
            <w:tcW w:w="1056" w:type="dxa"/>
          </w:tcPr>
          <w:p w14:paraId="7EFD3146" w14:textId="77777777" w:rsidR="00B823F8" w:rsidRPr="00A53AD7" w:rsidRDefault="00B823F8" w:rsidP="00E7008B">
            <w:pPr>
              <w:pStyle w:val="ad"/>
              <w:jc w:val="center"/>
              <w:rPr>
                <w:rFonts w:ascii="Times New Roman" w:hAnsi="Times New Roman"/>
              </w:rPr>
            </w:pPr>
            <w:r w:rsidRPr="00A53AD7">
              <w:rPr>
                <w:rFonts w:ascii="Times New Roman" w:hAnsi="Times New Roman"/>
              </w:rPr>
              <w:t>01.04.19</w:t>
            </w:r>
          </w:p>
        </w:tc>
        <w:tc>
          <w:tcPr>
            <w:tcW w:w="1056" w:type="dxa"/>
          </w:tcPr>
          <w:p w14:paraId="52584B9B" w14:textId="77777777" w:rsidR="00B823F8" w:rsidRPr="00A53AD7" w:rsidRDefault="00B823F8" w:rsidP="00E7008B">
            <w:pPr>
              <w:pStyle w:val="ad"/>
              <w:jc w:val="center"/>
              <w:rPr>
                <w:rFonts w:ascii="Times New Roman" w:hAnsi="Times New Roman"/>
              </w:rPr>
            </w:pPr>
            <w:r w:rsidRPr="00A53AD7">
              <w:rPr>
                <w:rFonts w:ascii="Times New Roman" w:hAnsi="Times New Roman"/>
              </w:rPr>
              <w:t>02.07.19</w:t>
            </w:r>
          </w:p>
        </w:tc>
        <w:tc>
          <w:tcPr>
            <w:tcW w:w="1056" w:type="dxa"/>
          </w:tcPr>
          <w:p w14:paraId="205958D8" w14:textId="77777777" w:rsidR="00B823F8" w:rsidRPr="00A53AD7" w:rsidRDefault="00B823F8" w:rsidP="00E7008B">
            <w:pPr>
              <w:pStyle w:val="ad"/>
              <w:jc w:val="center"/>
              <w:rPr>
                <w:rFonts w:ascii="Times New Roman" w:hAnsi="Times New Roman"/>
              </w:rPr>
            </w:pPr>
            <w:r w:rsidRPr="00A53AD7">
              <w:rPr>
                <w:rFonts w:ascii="Times New Roman" w:hAnsi="Times New Roman"/>
              </w:rPr>
              <w:t>25.09.19</w:t>
            </w:r>
          </w:p>
        </w:tc>
        <w:tc>
          <w:tcPr>
            <w:tcW w:w="1056" w:type="dxa"/>
          </w:tcPr>
          <w:p w14:paraId="1EB220A6" w14:textId="77777777" w:rsidR="00B823F8" w:rsidRPr="00A53AD7" w:rsidRDefault="00B823F8" w:rsidP="00E7008B">
            <w:pPr>
              <w:pStyle w:val="ad"/>
              <w:jc w:val="center"/>
              <w:rPr>
                <w:rFonts w:ascii="Times New Roman" w:hAnsi="Times New Roman"/>
              </w:rPr>
            </w:pPr>
            <w:r w:rsidRPr="00A53AD7">
              <w:rPr>
                <w:rFonts w:ascii="Times New Roman" w:hAnsi="Times New Roman"/>
              </w:rPr>
              <w:t>19.11.19</w:t>
            </w:r>
          </w:p>
        </w:tc>
        <w:tc>
          <w:tcPr>
            <w:tcW w:w="1056" w:type="dxa"/>
          </w:tcPr>
          <w:p w14:paraId="329B5367" w14:textId="77777777" w:rsidR="00B823F8" w:rsidRPr="00A53AD7" w:rsidRDefault="00B823F8" w:rsidP="00E7008B">
            <w:pPr>
              <w:pStyle w:val="ad"/>
              <w:jc w:val="center"/>
              <w:rPr>
                <w:rFonts w:ascii="Times New Roman" w:hAnsi="Times New Roman"/>
              </w:rPr>
            </w:pPr>
            <w:r w:rsidRPr="00A53AD7">
              <w:rPr>
                <w:rFonts w:ascii="Times New Roman" w:hAnsi="Times New Roman"/>
              </w:rPr>
              <w:t>13.12.19</w:t>
            </w:r>
          </w:p>
        </w:tc>
        <w:tc>
          <w:tcPr>
            <w:tcW w:w="1185" w:type="dxa"/>
          </w:tcPr>
          <w:p w14:paraId="0BDB5AC2" w14:textId="77777777" w:rsidR="00B823F8" w:rsidRPr="00A53AD7" w:rsidRDefault="00B823F8" w:rsidP="00E7008B">
            <w:pPr>
              <w:pStyle w:val="ad"/>
              <w:jc w:val="center"/>
              <w:rPr>
                <w:rFonts w:ascii="Times New Roman" w:hAnsi="Times New Roman"/>
              </w:rPr>
            </w:pPr>
            <w:r w:rsidRPr="00A53AD7">
              <w:rPr>
                <w:rFonts w:ascii="Times New Roman" w:hAnsi="Times New Roman"/>
              </w:rPr>
              <w:t>Отчет на 31.12.19</w:t>
            </w:r>
          </w:p>
        </w:tc>
        <w:tc>
          <w:tcPr>
            <w:tcW w:w="1210" w:type="dxa"/>
          </w:tcPr>
          <w:p w14:paraId="79356AC3" w14:textId="7053F042" w:rsidR="00B823F8" w:rsidRPr="00A53AD7" w:rsidRDefault="00B823F8" w:rsidP="00E7008B">
            <w:pPr>
              <w:pStyle w:val="ad"/>
              <w:ind w:left="25" w:hanging="163"/>
              <w:jc w:val="center"/>
              <w:rPr>
                <w:rFonts w:ascii="Times New Roman" w:hAnsi="Times New Roman"/>
              </w:rPr>
            </w:pPr>
            <w:r w:rsidRPr="00A53AD7">
              <w:rPr>
                <w:rFonts w:ascii="Times New Roman" w:hAnsi="Times New Roman"/>
              </w:rPr>
              <w:t>Исполнено в %</w:t>
            </w:r>
          </w:p>
        </w:tc>
      </w:tr>
      <w:tr w:rsidR="00D470B6" w:rsidRPr="00A53AD7" w14:paraId="31DD59D9" w14:textId="77777777" w:rsidTr="00E7008B">
        <w:tc>
          <w:tcPr>
            <w:tcW w:w="1119" w:type="dxa"/>
          </w:tcPr>
          <w:p w14:paraId="6D0212D8" w14:textId="77777777" w:rsidR="00B823F8" w:rsidRPr="00A53AD7" w:rsidRDefault="00B823F8" w:rsidP="00E7008B">
            <w:pPr>
              <w:pStyle w:val="ad"/>
              <w:ind w:right="-108" w:hanging="113"/>
              <w:rPr>
                <w:rFonts w:ascii="Times New Roman" w:hAnsi="Times New Roman"/>
              </w:rPr>
            </w:pPr>
            <w:r w:rsidRPr="00A53AD7">
              <w:rPr>
                <w:rFonts w:ascii="Times New Roman" w:hAnsi="Times New Roman"/>
              </w:rPr>
              <w:t xml:space="preserve">Сумма </w:t>
            </w:r>
          </w:p>
        </w:tc>
        <w:tc>
          <w:tcPr>
            <w:tcW w:w="1056" w:type="dxa"/>
          </w:tcPr>
          <w:p w14:paraId="0399CF6D" w14:textId="77777777" w:rsidR="00B823F8" w:rsidRPr="00A53AD7" w:rsidRDefault="00B823F8" w:rsidP="00B823F8">
            <w:pPr>
              <w:pStyle w:val="ad"/>
              <w:jc w:val="center"/>
              <w:rPr>
                <w:rFonts w:ascii="Times New Roman" w:hAnsi="Times New Roman"/>
              </w:rPr>
            </w:pPr>
          </w:p>
        </w:tc>
        <w:tc>
          <w:tcPr>
            <w:tcW w:w="1056" w:type="dxa"/>
          </w:tcPr>
          <w:p w14:paraId="3EB72BE4"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056" w:type="dxa"/>
          </w:tcPr>
          <w:p w14:paraId="141B9283"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056" w:type="dxa"/>
          </w:tcPr>
          <w:p w14:paraId="00D0666A"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056" w:type="dxa"/>
          </w:tcPr>
          <w:p w14:paraId="55F5942C"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056" w:type="dxa"/>
          </w:tcPr>
          <w:p w14:paraId="49424782"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185" w:type="dxa"/>
          </w:tcPr>
          <w:p w14:paraId="0EBE1E45" w14:textId="77777777" w:rsidR="00B823F8" w:rsidRPr="00A53AD7" w:rsidRDefault="00B823F8" w:rsidP="00B823F8">
            <w:pPr>
              <w:pStyle w:val="ad"/>
              <w:jc w:val="center"/>
              <w:rPr>
                <w:rFonts w:ascii="Times New Roman" w:hAnsi="Times New Roman"/>
              </w:rPr>
            </w:pPr>
          </w:p>
        </w:tc>
        <w:tc>
          <w:tcPr>
            <w:tcW w:w="1210" w:type="dxa"/>
          </w:tcPr>
          <w:p w14:paraId="2E9C00F4" w14:textId="77777777" w:rsidR="00B823F8" w:rsidRPr="00A53AD7" w:rsidRDefault="00B823F8" w:rsidP="00B823F8">
            <w:pPr>
              <w:pStyle w:val="ad"/>
              <w:jc w:val="center"/>
              <w:rPr>
                <w:rFonts w:ascii="Times New Roman" w:hAnsi="Times New Roman"/>
              </w:rPr>
            </w:pPr>
          </w:p>
        </w:tc>
      </w:tr>
      <w:tr w:rsidR="00D470B6" w:rsidRPr="00A53AD7" w14:paraId="26D4A937" w14:textId="77777777" w:rsidTr="00E7008B">
        <w:tc>
          <w:tcPr>
            <w:tcW w:w="1119" w:type="dxa"/>
          </w:tcPr>
          <w:p w14:paraId="13CC9F12" w14:textId="77777777" w:rsidR="00B823F8" w:rsidRPr="00A53AD7" w:rsidRDefault="00B823F8" w:rsidP="00E7008B">
            <w:pPr>
              <w:pStyle w:val="ad"/>
              <w:ind w:right="-108" w:hanging="113"/>
              <w:rPr>
                <w:rFonts w:ascii="Times New Roman" w:hAnsi="Times New Roman"/>
              </w:rPr>
            </w:pPr>
            <w:r w:rsidRPr="00A53AD7">
              <w:rPr>
                <w:rFonts w:ascii="Times New Roman" w:hAnsi="Times New Roman"/>
              </w:rPr>
              <w:t>кол-во объектов</w:t>
            </w:r>
          </w:p>
        </w:tc>
        <w:tc>
          <w:tcPr>
            <w:tcW w:w="1056" w:type="dxa"/>
          </w:tcPr>
          <w:p w14:paraId="2BFF22B9" w14:textId="77777777" w:rsidR="00B823F8" w:rsidRPr="00A53AD7" w:rsidRDefault="00B823F8" w:rsidP="00B823F8">
            <w:pPr>
              <w:pStyle w:val="ad"/>
              <w:jc w:val="center"/>
              <w:rPr>
                <w:rFonts w:ascii="Times New Roman" w:hAnsi="Times New Roman"/>
              </w:rPr>
            </w:pPr>
          </w:p>
        </w:tc>
        <w:tc>
          <w:tcPr>
            <w:tcW w:w="1056" w:type="dxa"/>
          </w:tcPr>
          <w:p w14:paraId="75E3DAFC" w14:textId="77777777" w:rsidR="00B823F8" w:rsidRPr="00A53AD7" w:rsidRDefault="00B823F8" w:rsidP="00B823F8">
            <w:pPr>
              <w:pStyle w:val="ad"/>
              <w:jc w:val="center"/>
              <w:rPr>
                <w:rFonts w:ascii="Times New Roman" w:hAnsi="Times New Roman"/>
              </w:rPr>
            </w:pPr>
          </w:p>
          <w:p w14:paraId="4154F633"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7375D7B8" w14:textId="77777777" w:rsidR="00B823F8" w:rsidRPr="00A53AD7" w:rsidRDefault="00B823F8" w:rsidP="00B823F8">
            <w:pPr>
              <w:pStyle w:val="ad"/>
              <w:jc w:val="center"/>
              <w:rPr>
                <w:rFonts w:ascii="Times New Roman" w:hAnsi="Times New Roman"/>
              </w:rPr>
            </w:pPr>
          </w:p>
          <w:p w14:paraId="0AE19BD8"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0C245376" w14:textId="77777777" w:rsidR="00B823F8" w:rsidRPr="00A53AD7" w:rsidRDefault="00B823F8" w:rsidP="00B823F8">
            <w:pPr>
              <w:pStyle w:val="ad"/>
              <w:jc w:val="center"/>
              <w:rPr>
                <w:rFonts w:ascii="Times New Roman" w:hAnsi="Times New Roman"/>
              </w:rPr>
            </w:pPr>
          </w:p>
          <w:p w14:paraId="68A28CDD"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3F02E090" w14:textId="77777777" w:rsidR="00B823F8" w:rsidRPr="00A53AD7" w:rsidRDefault="00B823F8" w:rsidP="00B823F8">
            <w:pPr>
              <w:pStyle w:val="ad"/>
              <w:jc w:val="center"/>
              <w:rPr>
                <w:rFonts w:ascii="Times New Roman" w:hAnsi="Times New Roman"/>
              </w:rPr>
            </w:pPr>
          </w:p>
          <w:p w14:paraId="6C6DCBD4"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4B3163D9" w14:textId="77777777" w:rsidR="00B823F8" w:rsidRPr="00A53AD7" w:rsidRDefault="00B823F8" w:rsidP="00B823F8">
            <w:pPr>
              <w:pStyle w:val="ad"/>
              <w:jc w:val="center"/>
              <w:rPr>
                <w:rFonts w:ascii="Times New Roman" w:hAnsi="Times New Roman"/>
              </w:rPr>
            </w:pPr>
          </w:p>
          <w:p w14:paraId="40D061F6"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185" w:type="dxa"/>
          </w:tcPr>
          <w:p w14:paraId="154AE3F3" w14:textId="77777777" w:rsidR="00B823F8" w:rsidRPr="00A53AD7" w:rsidRDefault="00B823F8" w:rsidP="00B823F8">
            <w:pPr>
              <w:pStyle w:val="ad"/>
              <w:jc w:val="center"/>
              <w:rPr>
                <w:rFonts w:ascii="Times New Roman" w:hAnsi="Times New Roman"/>
              </w:rPr>
            </w:pPr>
          </w:p>
        </w:tc>
        <w:tc>
          <w:tcPr>
            <w:tcW w:w="1210" w:type="dxa"/>
          </w:tcPr>
          <w:p w14:paraId="7517A2FD" w14:textId="77777777" w:rsidR="00B823F8" w:rsidRPr="00A53AD7" w:rsidRDefault="00B823F8" w:rsidP="00B823F8">
            <w:pPr>
              <w:pStyle w:val="ad"/>
              <w:jc w:val="center"/>
              <w:rPr>
                <w:rFonts w:ascii="Times New Roman" w:hAnsi="Times New Roman"/>
              </w:rPr>
            </w:pPr>
          </w:p>
        </w:tc>
      </w:tr>
      <w:tr w:rsidR="00D470B6" w:rsidRPr="00A53AD7" w14:paraId="79E647E4" w14:textId="77777777" w:rsidTr="00E7008B">
        <w:tc>
          <w:tcPr>
            <w:tcW w:w="1119" w:type="dxa"/>
          </w:tcPr>
          <w:p w14:paraId="476C6CA3" w14:textId="77777777" w:rsidR="00B823F8" w:rsidRPr="00A53AD7" w:rsidRDefault="00B823F8" w:rsidP="00E7008B">
            <w:pPr>
              <w:pStyle w:val="ad"/>
              <w:ind w:hanging="113"/>
              <w:rPr>
                <w:rFonts w:ascii="Times New Roman" w:hAnsi="Times New Roman"/>
              </w:rPr>
            </w:pPr>
            <w:r w:rsidRPr="00A53AD7">
              <w:rPr>
                <w:rFonts w:ascii="Times New Roman" w:hAnsi="Times New Roman"/>
              </w:rPr>
              <w:t>(+, -) сумма</w:t>
            </w:r>
          </w:p>
        </w:tc>
        <w:tc>
          <w:tcPr>
            <w:tcW w:w="1056" w:type="dxa"/>
          </w:tcPr>
          <w:p w14:paraId="259071E6" w14:textId="77777777" w:rsidR="00B823F8" w:rsidRPr="00A53AD7" w:rsidRDefault="00B823F8" w:rsidP="00B823F8">
            <w:pPr>
              <w:pStyle w:val="ad"/>
              <w:jc w:val="center"/>
              <w:rPr>
                <w:rFonts w:ascii="Times New Roman" w:hAnsi="Times New Roman"/>
              </w:rPr>
            </w:pPr>
          </w:p>
        </w:tc>
        <w:tc>
          <w:tcPr>
            <w:tcW w:w="1056" w:type="dxa"/>
          </w:tcPr>
          <w:p w14:paraId="316E3F60"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056" w:type="dxa"/>
          </w:tcPr>
          <w:p w14:paraId="6D820FE7" w14:textId="77777777" w:rsidR="00B823F8" w:rsidRPr="00A53AD7" w:rsidRDefault="00B823F8" w:rsidP="00B823F8">
            <w:pPr>
              <w:pStyle w:val="ad"/>
              <w:jc w:val="center"/>
              <w:rPr>
                <w:rFonts w:ascii="Times New Roman" w:hAnsi="Times New Roman"/>
              </w:rPr>
            </w:pPr>
          </w:p>
        </w:tc>
        <w:tc>
          <w:tcPr>
            <w:tcW w:w="1056" w:type="dxa"/>
          </w:tcPr>
          <w:p w14:paraId="31A8FC71" w14:textId="77777777" w:rsidR="00B823F8" w:rsidRPr="00A53AD7" w:rsidRDefault="00B823F8" w:rsidP="00B823F8">
            <w:pPr>
              <w:pStyle w:val="ad"/>
              <w:jc w:val="center"/>
              <w:rPr>
                <w:rFonts w:ascii="Times New Roman" w:hAnsi="Times New Roman"/>
              </w:rPr>
            </w:pPr>
          </w:p>
        </w:tc>
        <w:tc>
          <w:tcPr>
            <w:tcW w:w="1056" w:type="dxa"/>
          </w:tcPr>
          <w:p w14:paraId="3AE947B4" w14:textId="77777777" w:rsidR="00B823F8" w:rsidRPr="00A53AD7" w:rsidRDefault="00B823F8" w:rsidP="00B823F8">
            <w:pPr>
              <w:pStyle w:val="ad"/>
              <w:jc w:val="center"/>
              <w:rPr>
                <w:rFonts w:ascii="Times New Roman" w:hAnsi="Times New Roman"/>
              </w:rPr>
            </w:pPr>
          </w:p>
        </w:tc>
        <w:tc>
          <w:tcPr>
            <w:tcW w:w="1056" w:type="dxa"/>
          </w:tcPr>
          <w:p w14:paraId="22709743" w14:textId="77777777" w:rsidR="00B823F8" w:rsidRPr="00A53AD7" w:rsidRDefault="00B823F8" w:rsidP="00B823F8">
            <w:pPr>
              <w:pStyle w:val="ad"/>
              <w:jc w:val="center"/>
              <w:rPr>
                <w:rFonts w:ascii="Times New Roman" w:hAnsi="Times New Roman"/>
              </w:rPr>
            </w:pPr>
          </w:p>
        </w:tc>
        <w:tc>
          <w:tcPr>
            <w:tcW w:w="1185" w:type="dxa"/>
          </w:tcPr>
          <w:p w14:paraId="5467BB22" w14:textId="77777777" w:rsidR="00B823F8" w:rsidRPr="00A53AD7" w:rsidRDefault="00B823F8" w:rsidP="00B823F8">
            <w:pPr>
              <w:pStyle w:val="ad"/>
              <w:jc w:val="center"/>
              <w:rPr>
                <w:rFonts w:ascii="Times New Roman" w:hAnsi="Times New Roman"/>
              </w:rPr>
            </w:pPr>
          </w:p>
        </w:tc>
        <w:tc>
          <w:tcPr>
            <w:tcW w:w="1210" w:type="dxa"/>
          </w:tcPr>
          <w:p w14:paraId="2A82E05E" w14:textId="77777777" w:rsidR="00B823F8" w:rsidRPr="00A53AD7" w:rsidRDefault="00B823F8" w:rsidP="00B823F8">
            <w:pPr>
              <w:pStyle w:val="ad"/>
              <w:jc w:val="center"/>
              <w:rPr>
                <w:rFonts w:ascii="Times New Roman" w:hAnsi="Times New Roman"/>
              </w:rPr>
            </w:pPr>
          </w:p>
        </w:tc>
      </w:tr>
      <w:tr w:rsidR="00B823F8" w:rsidRPr="00A53AD7" w14:paraId="6BE239A1" w14:textId="77777777" w:rsidTr="00E7008B">
        <w:tc>
          <w:tcPr>
            <w:tcW w:w="1119" w:type="dxa"/>
          </w:tcPr>
          <w:p w14:paraId="1260FC8D" w14:textId="77777777" w:rsidR="00B823F8" w:rsidRPr="00A53AD7" w:rsidRDefault="00B823F8" w:rsidP="00E7008B">
            <w:pPr>
              <w:pStyle w:val="ad"/>
              <w:ind w:right="-250" w:hanging="113"/>
              <w:rPr>
                <w:rFonts w:ascii="Times New Roman" w:hAnsi="Times New Roman"/>
              </w:rPr>
            </w:pPr>
            <w:r w:rsidRPr="00A53AD7">
              <w:rPr>
                <w:rFonts w:ascii="Times New Roman" w:hAnsi="Times New Roman"/>
              </w:rPr>
              <w:t>(+,-) объекты</w:t>
            </w:r>
          </w:p>
        </w:tc>
        <w:tc>
          <w:tcPr>
            <w:tcW w:w="1056" w:type="dxa"/>
          </w:tcPr>
          <w:p w14:paraId="2DC5777A" w14:textId="77777777" w:rsidR="00B823F8" w:rsidRPr="00A53AD7" w:rsidRDefault="00B823F8" w:rsidP="00B823F8">
            <w:pPr>
              <w:pStyle w:val="ad"/>
              <w:jc w:val="center"/>
              <w:rPr>
                <w:rFonts w:ascii="Times New Roman" w:hAnsi="Times New Roman"/>
              </w:rPr>
            </w:pPr>
          </w:p>
        </w:tc>
        <w:tc>
          <w:tcPr>
            <w:tcW w:w="1056" w:type="dxa"/>
          </w:tcPr>
          <w:p w14:paraId="0B855D63"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056" w:type="dxa"/>
          </w:tcPr>
          <w:p w14:paraId="165C5F2E" w14:textId="77777777" w:rsidR="00B823F8" w:rsidRPr="00A53AD7" w:rsidRDefault="00B823F8" w:rsidP="00B823F8">
            <w:pPr>
              <w:pStyle w:val="ad"/>
              <w:jc w:val="center"/>
              <w:rPr>
                <w:rFonts w:ascii="Times New Roman" w:hAnsi="Times New Roman"/>
              </w:rPr>
            </w:pPr>
          </w:p>
        </w:tc>
        <w:tc>
          <w:tcPr>
            <w:tcW w:w="1056" w:type="dxa"/>
          </w:tcPr>
          <w:p w14:paraId="70BC34BC" w14:textId="77777777" w:rsidR="00B823F8" w:rsidRPr="00A53AD7" w:rsidRDefault="00B823F8" w:rsidP="00B823F8">
            <w:pPr>
              <w:pStyle w:val="ad"/>
              <w:jc w:val="center"/>
              <w:rPr>
                <w:rFonts w:ascii="Times New Roman" w:hAnsi="Times New Roman"/>
              </w:rPr>
            </w:pPr>
          </w:p>
        </w:tc>
        <w:tc>
          <w:tcPr>
            <w:tcW w:w="1056" w:type="dxa"/>
          </w:tcPr>
          <w:p w14:paraId="7F400601" w14:textId="77777777" w:rsidR="00B823F8" w:rsidRPr="00A53AD7" w:rsidRDefault="00B823F8" w:rsidP="00B823F8">
            <w:pPr>
              <w:pStyle w:val="ad"/>
              <w:jc w:val="center"/>
              <w:rPr>
                <w:rFonts w:ascii="Times New Roman" w:hAnsi="Times New Roman"/>
              </w:rPr>
            </w:pPr>
          </w:p>
        </w:tc>
        <w:tc>
          <w:tcPr>
            <w:tcW w:w="1056" w:type="dxa"/>
          </w:tcPr>
          <w:p w14:paraId="5633625A" w14:textId="77777777" w:rsidR="00B823F8" w:rsidRPr="00A53AD7" w:rsidRDefault="00B823F8" w:rsidP="00B823F8">
            <w:pPr>
              <w:pStyle w:val="ad"/>
              <w:jc w:val="center"/>
              <w:rPr>
                <w:rFonts w:ascii="Times New Roman" w:hAnsi="Times New Roman"/>
              </w:rPr>
            </w:pPr>
          </w:p>
        </w:tc>
        <w:tc>
          <w:tcPr>
            <w:tcW w:w="1185" w:type="dxa"/>
          </w:tcPr>
          <w:p w14:paraId="0C50F8A1" w14:textId="77777777" w:rsidR="00B823F8" w:rsidRPr="00A53AD7" w:rsidRDefault="00B823F8" w:rsidP="00B823F8">
            <w:pPr>
              <w:pStyle w:val="ad"/>
              <w:jc w:val="center"/>
              <w:rPr>
                <w:rFonts w:ascii="Times New Roman" w:hAnsi="Times New Roman"/>
              </w:rPr>
            </w:pPr>
          </w:p>
        </w:tc>
        <w:tc>
          <w:tcPr>
            <w:tcW w:w="1210" w:type="dxa"/>
          </w:tcPr>
          <w:p w14:paraId="195EFB7A" w14:textId="77777777" w:rsidR="00B823F8" w:rsidRPr="00A53AD7" w:rsidRDefault="00B823F8" w:rsidP="00B823F8">
            <w:pPr>
              <w:pStyle w:val="ad"/>
              <w:jc w:val="center"/>
              <w:rPr>
                <w:rFonts w:ascii="Times New Roman" w:hAnsi="Times New Roman"/>
              </w:rPr>
            </w:pPr>
          </w:p>
        </w:tc>
      </w:tr>
    </w:tbl>
    <w:p w14:paraId="60C9CC2C" w14:textId="77777777" w:rsidR="00B823F8" w:rsidRPr="00A53AD7" w:rsidRDefault="00B823F8" w:rsidP="00B823F8">
      <w:pPr>
        <w:pStyle w:val="ad"/>
        <w:ind w:firstLine="709"/>
        <w:jc w:val="both"/>
        <w:rPr>
          <w:rFonts w:ascii="Times New Roman" w:hAnsi="Times New Roman"/>
          <w:sz w:val="28"/>
          <w:szCs w:val="28"/>
        </w:rPr>
      </w:pPr>
    </w:p>
    <w:p w14:paraId="38AAA966" w14:textId="65AFD133" w:rsidR="00B823F8" w:rsidRPr="00A53AD7" w:rsidRDefault="00B823F8" w:rsidP="001D005C">
      <w:pPr>
        <w:pStyle w:val="ad"/>
        <w:ind w:firstLine="851"/>
        <w:jc w:val="both"/>
        <w:rPr>
          <w:rFonts w:ascii="Times New Roman" w:hAnsi="Times New Roman"/>
          <w:sz w:val="28"/>
          <w:szCs w:val="28"/>
        </w:rPr>
      </w:pPr>
      <w:r w:rsidRPr="00A53AD7">
        <w:rPr>
          <w:rFonts w:ascii="Times New Roman" w:hAnsi="Times New Roman"/>
          <w:sz w:val="28"/>
          <w:szCs w:val="28"/>
        </w:rPr>
        <w:t>Главные распорядители:</w:t>
      </w:r>
    </w:p>
    <w:p w14:paraId="063179BC" w14:textId="32C3A552"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 по 3 объектам</w:t>
      </w:r>
    </w:p>
    <w:p w14:paraId="3317E64F" w14:textId="33DED1D1"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транспорта по 1 объекту.</w:t>
      </w:r>
    </w:p>
    <w:p w14:paraId="36EB2357" w14:textId="30CDA15E" w:rsidR="00B823F8" w:rsidRPr="00A53AD7" w:rsidRDefault="00B823F8" w:rsidP="001D005C">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75B794BF"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114"/>
        <w:gridCol w:w="1529"/>
        <w:gridCol w:w="1560"/>
        <w:gridCol w:w="1559"/>
        <w:gridCol w:w="1559"/>
      </w:tblGrid>
      <w:tr w:rsidR="00D470B6" w:rsidRPr="00A53AD7" w14:paraId="70906060" w14:textId="77777777" w:rsidTr="00E90F4A">
        <w:trPr>
          <w:tblHeader/>
        </w:trPr>
        <w:tc>
          <w:tcPr>
            <w:tcW w:w="3114" w:type="dxa"/>
          </w:tcPr>
          <w:p w14:paraId="1ED262EB" w14:textId="77777777" w:rsidR="00B823F8" w:rsidRPr="00A53AD7" w:rsidRDefault="00B823F8" w:rsidP="00B823F8">
            <w:pPr>
              <w:pStyle w:val="ad"/>
              <w:jc w:val="both"/>
              <w:rPr>
                <w:rFonts w:ascii="Times New Roman" w:hAnsi="Times New Roman"/>
              </w:rPr>
            </w:pPr>
          </w:p>
        </w:tc>
        <w:tc>
          <w:tcPr>
            <w:tcW w:w="1529" w:type="dxa"/>
          </w:tcPr>
          <w:p w14:paraId="08298AD8"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3CC04029"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366A2782"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217A6C10"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6F3C5203" w14:textId="77777777" w:rsidTr="00E90F4A">
        <w:tc>
          <w:tcPr>
            <w:tcW w:w="3114" w:type="dxa"/>
          </w:tcPr>
          <w:p w14:paraId="6DCE3669"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29" w:type="dxa"/>
          </w:tcPr>
          <w:p w14:paraId="1B0A5DF2" w14:textId="77777777" w:rsidR="00B823F8" w:rsidRPr="00A53AD7" w:rsidRDefault="00B823F8" w:rsidP="00B823F8">
            <w:pPr>
              <w:pStyle w:val="ad"/>
              <w:jc w:val="center"/>
              <w:rPr>
                <w:rFonts w:ascii="Times New Roman" w:hAnsi="Times New Roman"/>
              </w:rPr>
            </w:pPr>
          </w:p>
        </w:tc>
        <w:tc>
          <w:tcPr>
            <w:tcW w:w="1560" w:type="dxa"/>
          </w:tcPr>
          <w:p w14:paraId="77C2D3DE" w14:textId="77777777" w:rsidR="00B823F8" w:rsidRPr="00A53AD7" w:rsidRDefault="00B823F8" w:rsidP="00B823F8">
            <w:pPr>
              <w:pStyle w:val="ad"/>
              <w:rPr>
                <w:rFonts w:ascii="Times New Roman" w:hAnsi="Times New Roman"/>
              </w:rPr>
            </w:pPr>
          </w:p>
        </w:tc>
        <w:tc>
          <w:tcPr>
            <w:tcW w:w="1559" w:type="dxa"/>
          </w:tcPr>
          <w:p w14:paraId="0846EC61"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c>
          <w:tcPr>
            <w:tcW w:w="1559" w:type="dxa"/>
          </w:tcPr>
          <w:p w14:paraId="23E6FB1D" w14:textId="77777777" w:rsidR="00B823F8" w:rsidRPr="00A53AD7" w:rsidRDefault="00B823F8" w:rsidP="00B823F8">
            <w:pPr>
              <w:pStyle w:val="ad"/>
              <w:jc w:val="center"/>
              <w:rPr>
                <w:rFonts w:ascii="Times New Roman" w:hAnsi="Times New Roman"/>
              </w:rPr>
            </w:pPr>
            <w:r w:rsidRPr="00A53AD7">
              <w:rPr>
                <w:rFonts w:ascii="Times New Roman" w:hAnsi="Times New Roman"/>
              </w:rPr>
              <w:t>117,7</w:t>
            </w:r>
          </w:p>
        </w:tc>
      </w:tr>
      <w:tr w:rsidR="00D470B6" w:rsidRPr="00A53AD7" w14:paraId="174C3C6C" w14:textId="77777777" w:rsidTr="00E90F4A">
        <w:tc>
          <w:tcPr>
            <w:tcW w:w="3114" w:type="dxa"/>
          </w:tcPr>
          <w:p w14:paraId="78232C0E"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785E15BC" w14:textId="77777777" w:rsidR="00B823F8" w:rsidRPr="00A53AD7" w:rsidRDefault="00B823F8" w:rsidP="00B823F8">
            <w:pPr>
              <w:pStyle w:val="ad"/>
              <w:jc w:val="center"/>
              <w:rPr>
                <w:rFonts w:ascii="Times New Roman" w:hAnsi="Times New Roman"/>
              </w:rPr>
            </w:pPr>
          </w:p>
        </w:tc>
        <w:tc>
          <w:tcPr>
            <w:tcW w:w="1560" w:type="dxa"/>
          </w:tcPr>
          <w:p w14:paraId="4C74C8DA" w14:textId="77777777" w:rsidR="00B823F8" w:rsidRPr="00A53AD7" w:rsidRDefault="00B823F8" w:rsidP="00B823F8">
            <w:pPr>
              <w:pStyle w:val="ad"/>
              <w:jc w:val="center"/>
              <w:rPr>
                <w:rFonts w:ascii="Times New Roman" w:hAnsi="Times New Roman"/>
              </w:rPr>
            </w:pPr>
          </w:p>
        </w:tc>
        <w:tc>
          <w:tcPr>
            <w:tcW w:w="1559" w:type="dxa"/>
          </w:tcPr>
          <w:p w14:paraId="374A4144"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36B6A106" w14:textId="77777777" w:rsidR="00B823F8" w:rsidRPr="00A53AD7" w:rsidRDefault="00B823F8" w:rsidP="00B823F8">
            <w:pPr>
              <w:pStyle w:val="ad"/>
              <w:jc w:val="center"/>
              <w:rPr>
                <w:rFonts w:ascii="Times New Roman" w:hAnsi="Times New Roman"/>
              </w:rPr>
            </w:pPr>
            <w:r w:rsidRPr="00A53AD7">
              <w:rPr>
                <w:rFonts w:ascii="Times New Roman" w:hAnsi="Times New Roman"/>
              </w:rPr>
              <w:t>3,4</w:t>
            </w:r>
          </w:p>
        </w:tc>
      </w:tr>
      <w:tr w:rsidR="00D470B6" w:rsidRPr="00A53AD7" w14:paraId="3ACC0C80" w14:textId="77777777" w:rsidTr="00E90F4A">
        <w:tc>
          <w:tcPr>
            <w:tcW w:w="3114" w:type="dxa"/>
          </w:tcPr>
          <w:p w14:paraId="62B6BB85"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29" w:type="dxa"/>
          </w:tcPr>
          <w:p w14:paraId="1744D7AD" w14:textId="77777777" w:rsidR="00B823F8" w:rsidRPr="00A53AD7" w:rsidRDefault="00B823F8" w:rsidP="00B823F8">
            <w:pPr>
              <w:pStyle w:val="ad"/>
              <w:jc w:val="center"/>
              <w:rPr>
                <w:rFonts w:ascii="Times New Roman" w:hAnsi="Times New Roman"/>
                <w:b/>
              </w:rPr>
            </w:pPr>
          </w:p>
        </w:tc>
        <w:tc>
          <w:tcPr>
            <w:tcW w:w="1560" w:type="dxa"/>
          </w:tcPr>
          <w:p w14:paraId="4712D313" w14:textId="77777777" w:rsidR="00B823F8" w:rsidRPr="00A53AD7" w:rsidRDefault="00B823F8" w:rsidP="00B823F8">
            <w:pPr>
              <w:pStyle w:val="ad"/>
              <w:jc w:val="center"/>
              <w:rPr>
                <w:rFonts w:ascii="Times New Roman" w:hAnsi="Times New Roman"/>
                <w:b/>
              </w:rPr>
            </w:pPr>
          </w:p>
        </w:tc>
        <w:tc>
          <w:tcPr>
            <w:tcW w:w="1559" w:type="dxa"/>
          </w:tcPr>
          <w:p w14:paraId="383867D4" w14:textId="77777777" w:rsidR="00B823F8" w:rsidRPr="00A53AD7" w:rsidRDefault="00B823F8" w:rsidP="00B823F8">
            <w:pPr>
              <w:pStyle w:val="ad"/>
              <w:jc w:val="center"/>
              <w:rPr>
                <w:rFonts w:ascii="Times New Roman" w:hAnsi="Times New Roman"/>
                <w:b/>
              </w:rPr>
            </w:pPr>
          </w:p>
        </w:tc>
        <w:tc>
          <w:tcPr>
            <w:tcW w:w="1559" w:type="dxa"/>
          </w:tcPr>
          <w:p w14:paraId="66F40761" w14:textId="77777777" w:rsidR="00B823F8" w:rsidRPr="00A53AD7" w:rsidRDefault="00B823F8" w:rsidP="00B823F8">
            <w:pPr>
              <w:pStyle w:val="ad"/>
              <w:jc w:val="center"/>
              <w:rPr>
                <w:rFonts w:ascii="Times New Roman" w:hAnsi="Times New Roman"/>
              </w:rPr>
            </w:pPr>
          </w:p>
        </w:tc>
      </w:tr>
      <w:tr w:rsidR="00D470B6" w:rsidRPr="00A53AD7" w14:paraId="5AB67FA8" w14:textId="77777777" w:rsidTr="00E90F4A">
        <w:tc>
          <w:tcPr>
            <w:tcW w:w="3114" w:type="dxa"/>
          </w:tcPr>
          <w:p w14:paraId="4108526E"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Кол-во объектов ОАИП план</w:t>
            </w:r>
          </w:p>
        </w:tc>
        <w:tc>
          <w:tcPr>
            <w:tcW w:w="1529" w:type="dxa"/>
          </w:tcPr>
          <w:p w14:paraId="774F2E2F" w14:textId="77777777" w:rsidR="00B823F8" w:rsidRPr="00A53AD7" w:rsidRDefault="00B823F8" w:rsidP="00B823F8">
            <w:pPr>
              <w:pStyle w:val="ad"/>
              <w:jc w:val="center"/>
              <w:rPr>
                <w:rFonts w:ascii="Times New Roman" w:hAnsi="Times New Roman"/>
              </w:rPr>
            </w:pPr>
          </w:p>
        </w:tc>
        <w:tc>
          <w:tcPr>
            <w:tcW w:w="1560" w:type="dxa"/>
          </w:tcPr>
          <w:p w14:paraId="33ABB451" w14:textId="77777777" w:rsidR="00B823F8" w:rsidRPr="00A53AD7" w:rsidRDefault="00B823F8" w:rsidP="00B823F8">
            <w:pPr>
              <w:pStyle w:val="ad"/>
              <w:jc w:val="center"/>
              <w:rPr>
                <w:rFonts w:ascii="Times New Roman" w:hAnsi="Times New Roman"/>
              </w:rPr>
            </w:pPr>
          </w:p>
        </w:tc>
        <w:tc>
          <w:tcPr>
            <w:tcW w:w="1559" w:type="dxa"/>
          </w:tcPr>
          <w:p w14:paraId="46C9E947"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6A97C03B"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r>
      <w:tr w:rsidR="00D470B6" w:rsidRPr="00A53AD7" w14:paraId="349B15E3" w14:textId="77777777" w:rsidTr="00E90F4A">
        <w:tc>
          <w:tcPr>
            <w:tcW w:w="3114" w:type="dxa"/>
          </w:tcPr>
          <w:p w14:paraId="264C4346"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29" w:type="dxa"/>
          </w:tcPr>
          <w:p w14:paraId="56BD95D7" w14:textId="77777777" w:rsidR="00B823F8" w:rsidRPr="00A53AD7" w:rsidRDefault="00B823F8" w:rsidP="00B823F8">
            <w:pPr>
              <w:pStyle w:val="ad"/>
              <w:jc w:val="center"/>
              <w:rPr>
                <w:rFonts w:ascii="Times New Roman" w:hAnsi="Times New Roman"/>
              </w:rPr>
            </w:pPr>
          </w:p>
        </w:tc>
        <w:tc>
          <w:tcPr>
            <w:tcW w:w="1560" w:type="dxa"/>
          </w:tcPr>
          <w:p w14:paraId="422A48E6" w14:textId="77777777" w:rsidR="00B823F8" w:rsidRPr="00A53AD7" w:rsidRDefault="00B823F8" w:rsidP="00B823F8">
            <w:pPr>
              <w:pStyle w:val="ad"/>
              <w:jc w:val="center"/>
              <w:rPr>
                <w:rFonts w:ascii="Times New Roman" w:hAnsi="Times New Roman"/>
              </w:rPr>
            </w:pPr>
          </w:p>
        </w:tc>
        <w:tc>
          <w:tcPr>
            <w:tcW w:w="1559" w:type="dxa"/>
          </w:tcPr>
          <w:p w14:paraId="6B3B79B1"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59" w:type="dxa"/>
          </w:tcPr>
          <w:p w14:paraId="63B868D8"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r>
      <w:tr w:rsidR="00B823F8" w:rsidRPr="00A53AD7" w14:paraId="53996C98" w14:textId="77777777" w:rsidTr="00E90F4A">
        <w:tc>
          <w:tcPr>
            <w:tcW w:w="3114" w:type="dxa"/>
          </w:tcPr>
          <w:p w14:paraId="3CA38320"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29" w:type="dxa"/>
          </w:tcPr>
          <w:p w14:paraId="67EA3E69" w14:textId="77777777" w:rsidR="00B823F8" w:rsidRPr="00A53AD7" w:rsidRDefault="00B823F8" w:rsidP="00B823F8">
            <w:pPr>
              <w:pStyle w:val="ad"/>
              <w:jc w:val="center"/>
              <w:rPr>
                <w:rFonts w:ascii="Times New Roman" w:hAnsi="Times New Roman"/>
                <w:b/>
              </w:rPr>
            </w:pPr>
          </w:p>
        </w:tc>
        <w:tc>
          <w:tcPr>
            <w:tcW w:w="1560" w:type="dxa"/>
          </w:tcPr>
          <w:p w14:paraId="20692F8B" w14:textId="77777777" w:rsidR="00B823F8" w:rsidRPr="00A53AD7" w:rsidRDefault="00B823F8" w:rsidP="00B823F8">
            <w:pPr>
              <w:pStyle w:val="ad"/>
              <w:jc w:val="center"/>
              <w:rPr>
                <w:rFonts w:ascii="Times New Roman" w:hAnsi="Times New Roman"/>
                <w:b/>
              </w:rPr>
            </w:pPr>
          </w:p>
        </w:tc>
        <w:tc>
          <w:tcPr>
            <w:tcW w:w="1559" w:type="dxa"/>
          </w:tcPr>
          <w:p w14:paraId="7E51A27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59" w:type="dxa"/>
          </w:tcPr>
          <w:p w14:paraId="1CD28733" w14:textId="77777777" w:rsidR="00B823F8" w:rsidRPr="00A53AD7" w:rsidRDefault="00B823F8" w:rsidP="00B823F8">
            <w:pPr>
              <w:pStyle w:val="ad"/>
              <w:jc w:val="center"/>
              <w:rPr>
                <w:rFonts w:ascii="Times New Roman" w:hAnsi="Times New Roman"/>
              </w:rPr>
            </w:pPr>
            <w:r w:rsidRPr="00A53AD7">
              <w:rPr>
                <w:rFonts w:ascii="Times New Roman" w:hAnsi="Times New Roman"/>
              </w:rPr>
              <w:t>25,0%</w:t>
            </w:r>
          </w:p>
        </w:tc>
      </w:tr>
    </w:tbl>
    <w:p w14:paraId="3FE7DE7B" w14:textId="77777777" w:rsidR="00B823F8" w:rsidRPr="00A53AD7" w:rsidRDefault="00B823F8" w:rsidP="001D005C">
      <w:pPr>
        <w:pStyle w:val="ad"/>
        <w:ind w:firstLine="851"/>
        <w:jc w:val="both"/>
        <w:rPr>
          <w:rFonts w:ascii="Times New Roman" w:hAnsi="Times New Roman"/>
          <w:sz w:val="28"/>
          <w:szCs w:val="28"/>
        </w:rPr>
      </w:pPr>
    </w:p>
    <w:p w14:paraId="3D4EF7AA" w14:textId="77777777" w:rsidR="00B823F8" w:rsidRPr="00A53AD7" w:rsidRDefault="00B823F8" w:rsidP="001D005C">
      <w:pPr>
        <w:pStyle w:val="ad"/>
        <w:ind w:firstLine="851"/>
        <w:jc w:val="both"/>
        <w:rPr>
          <w:rFonts w:ascii="Times New Roman" w:hAnsi="Times New Roman"/>
          <w:sz w:val="28"/>
          <w:szCs w:val="28"/>
        </w:rPr>
      </w:pPr>
      <w:r w:rsidRPr="00A53AD7">
        <w:rPr>
          <w:rFonts w:ascii="Times New Roman" w:hAnsi="Times New Roman"/>
          <w:sz w:val="28"/>
          <w:szCs w:val="28"/>
        </w:rPr>
        <w:t>Расходы на реализацию капитальных вложений в рамках программы на 2019 год утверждены согласно закону о бюджете в объеме 117,7 млн.руб., согласно показателям бюджетной росписи 117,7 млн.руб., согласно отчету об исполнении бюджета расходы исполнены на 3,4 млн.руб. Министерство строительства не приступило к исполнению мероприятий программы.</w:t>
      </w:r>
    </w:p>
    <w:p w14:paraId="19800C94"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6" w:type="dxa"/>
        <w:tblInd w:w="-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42"/>
        <w:gridCol w:w="1691"/>
        <w:gridCol w:w="1701"/>
        <w:gridCol w:w="1701"/>
        <w:gridCol w:w="1701"/>
      </w:tblGrid>
      <w:tr w:rsidR="00D470B6" w:rsidRPr="00A53AD7" w14:paraId="3B7D8104" w14:textId="77777777" w:rsidTr="00BA0D23">
        <w:tc>
          <w:tcPr>
            <w:tcW w:w="2542" w:type="dxa"/>
          </w:tcPr>
          <w:p w14:paraId="606F38BE" w14:textId="77777777" w:rsidR="00B823F8" w:rsidRPr="00A53AD7" w:rsidRDefault="00B823F8" w:rsidP="00B823F8">
            <w:pPr>
              <w:pStyle w:val="ad"/>
              <w:jc w:val="both"/>
              <w:rPr>
                <w:rFonts w:ascii="Times New Roman" w:hAnsi="Times New Roman"/>
                <w:sz w:val="24"/>
                <w:szCs w:val="24"/>
              </w:rPr>
            </w:pPr>
          </w:p>
        </w:tc>
        <w:tc>
          <w:tcPr>
            <w:tcW w:w="1691" w:type="dxa"/>
          </w:tcPr>
          <w:p w14:paraId="25E0CCF5"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01.04.2019</w:t>
            </w:r>
          </w:p>
        </w:tc>
        <w:tc>
          <w:tcPr>
            <w:tcW w:w="1701" w:type="dxa"/>
          </w:tcPr>
          <w:p w14:paraId="3C23971D"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01.07.2019</w:t>
            </w:r>
          </w:p>
        </w:tc>
        <w:tc>
          <w:tcPr>
            <w:tcW w:w="1701" w:type="dxa"/>
          </w:tcPr>
          <w:p w14:paraId="3C6911A5"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01.10.2019</w:t>
            </w:r>
          </w:p>
        </w:tc>
        <w:tc>
          <w:tcPr>
            <w:tcW w:w="1701" w:type="dxa"/>
          </w:tcPr>
          <w:p w14:paraId="25D6C62D"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На 31.12.2019</w:t>
            </w:r>
          </w:p>
        </w:tc>
      </w:tr>
      <w:tr w:rsidR="00D470B6" w:rsidRPr="00A53AD7" w14:paraId="0E19A149" w14:textId="77777777" w:rsidTr="00BA0D23">
        <w:tc>
          <w:tcPr>
            <w:tcW w:w="2542" w:type="dxa"/>
          </w:tcPr>
          <w:p w14:paraId="046B63A8"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ОАИП план</w:t>
            </w:r>
          </w:p>
        </w:tc>
        <w:tc>
          <w:tcPr>
            <w:tcW w:w="1691" w:type="dxa"/>
          </w:tcPr>
          <w:p w14:paraId="26DAC6F3"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w:t>
            </w:r>
          </w:p>
        </w:tc>
        <w:tc>
          <w:tcPr>
            <w:tcW w:w="1701" w:type="dxa"/>
          </w:tcPr>
          <w:p w14:paraId="320F247B"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9,0</w:t>
            </w:r>
          </w:p>
        </w:tc>
        <w:tc>
          <w:tcPr>
            <w:tcW w:w="1701" w:type="dxa"/>
          </w:tcPr>
          <w:p w14:paraId="09F7521C"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117,7</w:t>
            </w:r>
          </w:p>
        </w:tc>
        <w:tc>
          <w:tcPr>
            <w:tcW w:w="1701" w:type="dxa"/>
          </w:tcPr>
          <w:p w14:paraId="7015C453"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117,7</w:t>
            </w:r>
          </w:p>
        </w:tc>
      </w:tr>
      <w:tr w:rsidR="00D470B6" w:rsidRPr="00A53AD7" w14:paraId="239EC49D" w14:textId="77777777" w:rsidTr="00BA0D23">
        <w:tc>
          <w:tcPr>
            <w:tcW w:w="2542" w:type="dxa"/>
          </w:tcPr>
          <w:p w14:paraId="084D2E30" w14:textId="77777777" w:rsidR="00B823F8" w:rsidRPr="00A53AD7" w:rsidRDefault="00B823F8" w:rsidP="00B823F8">
            <w:pPr>
              <w:pStyle w:val="ad"/>
              <w:jc w:val="both"/>
              <w:rPr>
                <w:rFonts w:ascii="Times New Roman" w:hAnsi="Times New Roman"/>
                <w:sz w:val="24"/>
                <w:szCs w:val="24"/>
              </w:rPr>
            </w:pPr>
            <w:r w:rsidRPr="00A53AD7">
              <w:rPr>
                <w:rFonts w:ascii="Times New Roman" w:hAnsi="Times New Roman"/>
                <w:sz w:val="24"/>
                <w:szCs w:val="24"/>
              </w:rPr>
              <w:t>Исполнено</w:t>
            </w:r>
          </w:p>
        </w:tc>
        <w:tc>
          <w:tcPr>
            <w:tcW w:w="1691" w:type="dxa"/>
          </w:tcPr>
          <w:p w14:paraId="13F1918D"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w:t>
            </w:r>
          </w:p>
        </w:tc>
        <w:tc>
          <w:tcPr>
            <w:tcW w:w="1701" w:type="dxa"/>
          </w:tcPr>
          <w:p w14:paraId="356984D9"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w:t>
            </w:r>
          </w:p>
        </w:tc>
        <w:tc>
          <w:tcPr>
            <w:tcW w:w="1701" w:type="dxa"/>
          </w:tcPr>
          <w:p w14:paraId="2C1A3C45"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0</w:t>
            </w:r>
          </w:p>
        </w:tc>
        <w:tc>
          <w:tcPr>
            <w:tcW w:w="1701" w:type="dxa"/>
          </w:tcPr>
          <w:p w14:paraId="0586E8D4" w14:textId="77777777" w:rsidR="00B823F8" w:rsidRPr="00A53AD7" w:rsidRDefault="00B823F8" w:rsidP="00B823F8">
            <w:pPr>
              <w:pStyle w:val="ad"/>
              <w:jc w:val="center"/>
              <w:rPr>
                <w:rFonts w:ascii="Times New Roman" w:hAnsi="Times New Roman"/>
                <w:sz w:val="24"/>
                <w:szCs w:val="24"/>
              </w:rPr>
            </w:pPr>
            <w:r w:rsidRPr="00A53AD7">
              <w:rPr>
                <w:rFonts w:ascii="Times New Roman" w:hAnsi="Times New Roman"/>
                <w:sz w:val="24"/>
                <w:szCs w:val="24"/>
              </w:rPr>
              <w:t>3,4</w:t>
            </w:r>
          </w:p>
        </w:tc>
      </w:tr>
      <w:tr w:rsidR="00D470B6" w:rsidRPr="00A53AD7" w14:paraId="7DA57D0B" w14:textId="77777777" w:rsidTr="00BA0D23">
        <w:tc>
          <w:tcPr>
            <w:tcW w:w="2542" w:type="dxa"/>
          </w:tcPr>
          <w:p w14:paraId="1CE98C56"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691" w:type="dxa"/>
          </w:tcPr>
          <w:p w14:paraId="46B975CA" w14:textId="77777777" w:rsidR="00B823F8" w:rsidRPr="00A53AD7" w:rsidRDefault="00B823F8" w:rsidP="00B823F8">
            <w:pPr>
              <w:pStyle w:val="ad"/>
              <w:jc w:val="center"/>
              <w:rPr>
                <w:rFonts w:ascii="Times New Roman" w:hAnsi="Times New Roman"/>
                <w:b/>
                <w:sz w:val="24"/>
                <w:szCs w:val="24"/>
              </w:rPr>
            </w:pPr>
          </w:p>
        </w:tc>
        <w:tc>
          <w:tcPr>
            <w:tcW w:w="1701" w:type="dxa"/>
          </w:tcPr>
          <w:p w14:paraId="53E8A936"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1FB06CDD"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4E4D1182"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2,5%</w:t>
            </w:r>
          </w:p>
        </w:tc>
      </w:tr>
      <w:tr w:rsidR="00D470B6" w:rsidRPr="00A53AD7" w14:paraId="59B218ED" w14:textId="77777777" w:rsidTr="00BA0D23">
        <w:tc>
          <w:tcPr>
            <w:tcW w:w="2542" w:type="dxa"/>
          </w:tcPr>
          <w:p w14:paraId="50BB0083" w14:textId="77777777" w:rsidR="00B823F8" w:rsidRPr="00A53AD7" w:rsidRDefault="00B823F8" w:rsidP="00B823F8">
            <w:pPr>
              <w:pStyle w:val="ad"/>
              <w:ind w:hanging="113"/>
              <w:jc w:val="both"/>
              <w:rPr>
                <w:rFonts w:ascii="Times New Roman" w:hAnsi="Times New Roman"/>
                <w:b/>
                <w:sz w:val="24"/>
                <w:szCs w:val="24"/>
              </w:rPr>
            </w:pPr>
            <w:r w:rsidRPr="00A53AD7">
              <w:rPr>
                <w:rFonts w:ascii="Times New Roman" w:hAnsi="Times New Roman"/>
                <w:b/>
                <w:sz w:val="24"/>
                <w:szCs w:val="24"/>
              </w:rPr>
              <w:t>Минстроительства</w:t>
            </w:r>
          </w:p>
        </w:tc>
        <w:tc>
          <w:tcPr>
            <w:tcW w:w="1691" w:type="dxa"/>
          </w:tcPr>
          <w:p w14:paraId="310F82A0"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3B12F03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609661BE"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0430A83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r>
      <w:tr w:rsidR="00D470B6" w:rsidRPr="00A53AD7" w14:paraId="4CB7B58B" w14:textId="77777777" w:rsidTr="00BA0D23">
        <w:trPr>
          <w:trHeight w:val="193"/>
        </w:trPr>
        <w:tc>
          <w:tcPr>
            <w:tcW w:w="2542" w:type="dxa"/>
          </w:tcPr>
          <w:p w14:paraId="207318DC"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Утверждено</w:t>
            </w:r>
          </w:p>
        </w:tc>
        <w:tc>
          <w:tcPr>
            <w:tcW w:w="1691" w:type="dxa"/>
          </w:tcPr>
          <w:p w14:paraId="7A8D84D0" w14:textId="77777777" w:rsidR="00B823F8" w:rsidRPr="00A53AD7" w:rsidRDefault="00B823F8" w:rsidP="00B823F8">
            <w:pPr>
              <w:pStyle w:val="ad"/>
              <w:jc w:val="center"/>
              <w:rPr>
                <w:rFonts w:ascii="Times New Roman" w:hAnsi="Times New Roman"/>
                <w:b/>
                <w:sz w:val="24"/>
                <w:szCs w:val="24"/>
              </w:rPr>
            </w:pPr>
          </w:p>
        </w:tc>
        <w:tc>
          <w:tcPr>
            <w:tcW w:w="1701" w:type="dxa"/>
          </w:tcPr>
          <w:p w14:paraId="222D180D" w14:textId="77777777" w:rsidR="00B823F8" w:rsidRPr="00A53AD7" w:rsidRDefault="00B823F8" w:rsidP="00B823F8">
            <w:pPr>
              <w:pStyle w:val="ad"/>
              <w:jc w:val="center"/>
              <w:rPr>
                <w:rFonts w:ascii="Times New Roman" w:hAnsi="Times New Roman"/>
                <w:b/>
                <w:sz w:val="24"/>
                <w:szCs w:val="24"/>
              </w:rPr>
            </w:pPr>
          </w:p>
        </w:tc>
        <w:tc>
          <w:tcPr>
            <w:tcW w:w="1701" w:type="dxa"/>
          </w:tcPr>
          <w:p w14:paraId="37006132"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108,7</w:t>
            </w:r>
          </w:p>
        </w:tc>
        <w:tc>
          <w:tcPr>
            <w:tcW w:w="1701" w:type="dxa"/>
          </w:tcPr>
          <w:p w14:paraId="249D970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108,7</w:t>
            </w:r>
          </w:p>
        </w:tc>
      </w:tr>
      <w:tr w:rsidR="00D470B6" w:rsidRPr="00A53AD7" w14:paraId="0FFFF26A" w14:textId="77777777" w:rsidTr="00BA0D23">
        <w:tc>
          <w:tcPr>
            <w:tcW w:w="2542" w:type="dxa"/>
          </w:tcPr>
          <w:p w14:paraId="3EBC72B5"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w:t>
            </w:r>
          </w:p>
        </w:tc>
        <w:tc>
          <w:tcPr>
            <w:tcW w:w="1691" w:type="dxa"/>
          </w:tcPr>
          <w:p w14:paraId="5E896218" w14:textId="77777777" w:rsidR="00B823F8" w:rsidRPr="00A53AD7" w:rsidRDefault="00B823F8" w:rsidP="00B823F8">
            <w:pPr>
              <w:pStyle w:val="ad"/>
              <w:jc w:val="center"/>
              <w:rPr>
                <w:rFonts w:ascii="Times New Roman" w:hAnsi="Times New Roman"/>
                <w:b/>
                <w:sz w:val="24"/>
                <w:szCs w:val="24"/>
              </w:rPr>
            </w:pPr>
          </w:p>
        </w:tc>
        <w:tc>
          <w:tcPr>
            <w:tcW w:w="1701" w:type="dxa"/>
          </w:tcPr>
          <w:p w14:paraId="5785127A" w14:textId="77777777" w:rsidR="00B823F8" w:rsidRPr="00A53AD7" w:rsidRDefault="00B823F8" w:rsidP="00B823F8">
            <w:pPr>
              <w:pStyle w:val="ad"/>
              <w:jc w:val="center"/>
              <w:rPr>
                <w:rFonts w:ascii="Times New Roman" w:hAnsi="Times New Roman"/>
                <w:b/>
                <w:sz w:val="24"/>
                <w:szCs w:val="24"/>
              </w:rPr>
            </w:pPr>
          </w:p>
        </w:tc>
        <w:tc>
          <w:tcPr>
            <w:tcW w:w="1701" w:type="dxa"/>
          </w:tcPr>
          <w:p w14:paraId="2722B16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78FCA983"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r>
      <w:tr w:rsidR="00D470B6" w:rsidRPr="00A53AD7" w14:paraId="0F29BB0B" w14:textId="77777777" w:rsidTr="00BA0D23">
        <w:tc>
          <w:tcPr>
            <w:tcW w:w="2542" w:type="dxa"/>
          </w:tcPr>
          <w:p w14:paraId="69038EAB"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691" w:type="dxa"/>
          </w:tcPr>
          <w:p w14:paraId="48851EDF" w14:textId="77777777" w:rsidR="00B823F8" w:rsidRPr="00A53AD7" w:rsidRDefault="00B823F8" w:rsidP="00B823F8">
            <w:pPr>
              <w:pStyle w:val="ad"/>
              <w:jc w:val="center"/>
              <w:rPr>
                <w:rFonts w:ascii="Times New Roman" w:hAnsi="Times New Roman"/>
                <w:b/>
                <w:sz w:val="24"/>
                <w:szCs w:val="24"/>
              </w:rPr>
            </w:pPr>
          </w:p>
        </w:tc>
        <w:tc>
          <w:tcPr>
            <w:tcW w:w="1701" w:type="dxa"/>
          </w:tcPr>
          <w:p w14:paraId="35FE284E" w14:textId="77777777" w:rsidR="00B823F8" w:rsidRPr="00A53AD7" w:rsidRDefault="00B823F8" w:rsidP="00B823F8">
            <w:pPr>
              <w:pStyle w:val="ad"/>
              <w:jc w:val="center"/>
              <w:rPr>
                <w:rFonts w:ascii="Times New Roman" w:hAnsi="Times New Roman"/>
                <w:b/>
                <w:sz w:val="24"/>
                <w:szCs w:val="24"/>
              </w:rPr>
            </w:pPr>
          </w:p>
        </w:tc>
        <w:tc>
          <w:tcPr>
            <w:tcW w:w="1701" w:type="dxa"/>
          </w:tcPr>
          <w:p w14:paraId="725D0343"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755313C1"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r>
      <w:tr w:rsidR="00D470B6" w:rsidRPr="00A53AD7" w14:paraId="79D28C04" w14:textId="77777777" w:rsidTr="00BA0D23">
        <w:tc>
          <w:tcPr>
            <w:tcW w:w="2542" w:type="dxa"/>
          </w:tcPr>
          <w:p w14:paraId="4EF94613" w14:textId="77777777" w:rsidR="00B823F8" w:rsidRPr="00A53AD7" w:rsidRDefault="00B823F8" w:rsidP="00B823F8">
            <w:pPr>
              <w:pStyle w:val="ad"/>
              <w:ind w:hanging="113"/>
              <w:jc w:val="both"/>
              <w:rPr>
                <w:rFonts w:ascii="Times New Roman" w:hAnsi="Times New Roman"/>
                <w:b/>
                <w:sz w:val="24"/>
                <w:szCs w:val="24"/>
              </w:rPr>
            </w:pPr>
            <w:r w:rsidRPr="00A53AD7">
              <w:rPr>
                <w:rFonts w:ascii="Times New Roman" w:hAnsi="Times New Roman"/>
                <w:b/>
                <w:sz w:val="24"/>
                <w:szCs w:val="24"/>
              </w:rPr>
              <w:t>Минтранспорта</w:t>
            </w:r>
          </w:p>
        </w:tc>
        <w:tc>
          <w:tcPr>
            <w:tcW w:w="1691" w:type="dxa"/>
          </w:tcPr>
          <w:p w14:paraId="4C021FC4" w14:textId="77777777" w:rsidR="00B823F8" w:rsidRPr="00A53AD7" w:rsidRDefault="00B823F8" w:rsidP="00B823F8">
            <w:pPr>
              <w:pStyle w:val="ad"/>
              <w:jc w:val="center"/>
              <w:rPr>
                <w:rFonts w:ascii="Times New Roman" w:hAnsi="Times New Roman"/>
                <w:b/>
                <w:sz w:val="24"/>
                <w:szCs w:val="24"/>
              </w:rPr>
            </w:pPr>
          </w:p>
        </w:tc>
        <w:tc>
          <w:tcPr>
            <w:tcW w:w="1701" w:type="dxa"/>
          </w:tcPr>
          <w:p w14:paraId="08898C61" w14:textId="77777777" w:rsidR="00B823F8" w:rsidRPr="00A53AD7" w:rsidRDefault="00B823F8" w:rsidP="00B823F8">
            <w:pPr>
              <w:pStyle w:val="ad"/>
              <w:jc w:val="center"/>
              <w:rPr>
                <w:rFonts w:ascii="Times New Roman" w:hAnsi="Times New Roman"/>
                <w:b/>
                <w:sz w:val="24"/>
                <w:szCs w:val="24"/>
              </w:rPr>
            </w:pPr>
          </w:p>
        </w:tc>
        <w:tc>
          <w:tcPr>
            <w:tcW w:w="1701" w:type="dxa"/>
          </w:tcPr>
          <w:p w14:paraId="1FDB277A" w14:textId="77777777" w:rsidR="00B823F8" w:rsidRPr="00A53AD7" w:rsidRDefault="00B823F8" w:rsidP="00B823F8">
            <w:pPr>
              <w:pStyle w:val="ad"/>
              <w:jc w:val="center"/>
              <w:rPr>
                <w:rFonts w:ascii="Times New Roman" w:hAnsi="Times New Roman"/>
                <w:b/>
                <w:sz w:val="24"/>
                <w:szCs w:val="24"/>
              </w:rPr>
            </w:pPr>
          </w:p>
        </w:tc>
        <w:tc>
          <w:tcPr>
            <w:tcW w:w="1701" w:type="dxa"/>
          </w:tcPr>
          <w:p w14:paraId="35863CAD" w14:textId="77777777" w:rsidR="00B823F8" w:rsidRPr="00A53AD7" w:rsidRDefault="00B823F8" w:rsidP="00B823F8">
            <w:pPr>
              <w:pStyle w:val="ad"/>
              <w:jc w:val="center"/>
              <w:rPr>
                <w:rFonts w:ascii="Times New Roman" w:hAnsi="Times New Roman"/>
                <w:b/>
                <w:sz w:val="24"/>
                <w:szCs w:val="24"/>
              </w:rPr>
            </w:pPr>
          </w:p>
        </w:tc>
      </w:tr>
      <w:tr w:rsidR="00D470B6" w:rsidRPr="00A53AD7" w14:paraId="5A6C650E" w14:textId="77777777" w:rsidTr="00BA0D23">
        <w:tc>
          <w:tcPr>
            <w:tcW w:w="2542" w:type="dxa"/>
          </w:tcPr>
          <w:p w14:paraId="1D52671F"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Утверждено</w:t>
            </w:r>
          </w:p>
        </w:tc>
        <w:tc>
          <w:tcPr>
            <w:tcW w:w="1691" w:type="dxa"/>
          </w:tcPr>
          <w:p w14:paraId="7D4AD8DD" w14:textId="77777777" w:rsidR="00B823F8" w:rsidRPr="00A53AD7" w:rsidRDefault="00B823F8" w:rsidP="00B823F8">
            <w:pPr>
              <w:pStyle w:val="ad"/>
              <w:jc w:val="center"/>
              <w:rPr>
                <w:rFonts w:ascii="Times New Roman" w:hAnsi="Times New Roman"/>
                <w:b/>
                <w:sz w:val="24"/>
                <w:szCs w:val="24"/>
              </w:rPr>
            </w:pPr>
          </w:p>
        </w:tc>
        <w:tc>
          <w:tcPr>
            <w:tcW w:w="1701" w:type="dxa"/>
          </w:tcPr>
          <w:p w14:paraId="3B6E96DD"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9,0</w:t>
            </w:r>
          </w:p>
        </w:tc>
        <w:tc>
          <w:tcPr>
            <w:tcW w:w="1701" w:type="dxa"/>
          </w:tcPr>
          <w:p w14:paraId="1C9E6A70"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9,0</w:t>
            </w:r>
          </w:p>
        </w:tc>
        <w:tc>
          <w:tcPr>
            <w:tcW w:w="1701" w:type="dxa"/>
          </w:tcPr>
          <w:p w14:paraId="04660F7A"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9,0</w:t>
            </w:r>
          </w:p>
        </w:tc>
      </w:tr>
      <w:tr w:rsidR="00D470B6" w:rsidRPr="00A53AD7" w14:paraId="39E20617" w14:textId="77777777" w:rsidTr="00BA0D23">
        <w:tc>
          <w:tcPr>
            <w:tcW w:w="2542" w:type="dxa"/>
          </w:tcPr>
          <w:p w14:paraId="0B6DAA99"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w:t>
            </w:r>
          </w:p>
        </w:tc>
        <w:tc>
          <w:tcPr>
            <w:tcW w:w="1691" w:type="dxa"/>
          </w:tcPr>
          <w:p w14:paraId="09366143" w14:textId="77777777" w:rsidR="00B823F8" w:rsidRPr="00A53AD7" w:rsidRDefault="00B823F8" w:rsidP="00B823F8">
            <w:pPr>
              <w:pStyle w:val="ad"/>
              <w:jc w:val="center"/>
              <w:rPr>
                <w:rFonts w:ascii="Times New Roman" w:hAnsi="Times New Roman"/>
                <w:b/>
                <w:sz w:val="24"/>
                <w:szCs w:val="24"/>
              </w:rPr>
            </w:pPr>
          </w:p>
        </w:tc>
        <w:tc>
          <w:tcPr>
            <w:tcW w:w="1701" w:type="dxa"/>
          </w:tcPr>
          <w:p w14:paraId="063E0B3B"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1541794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0BD65E0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3,4</w:t>
            </w:r>
          </w:p>
        </w:tc>
      </w:tr>
      <w:tr w:rsidR="00D470B6" w:rsidRPr="00A53AD7" w14:paraId="2110D0D8" w14:textId="77777777" w:rsidTr="00BA0D23">
        <w:tc>
          <w:tcPr>
            <w:tcW w:w="2542" w:type="dxa"/>
          </w:tcPr>
          <w:p w14:paraId="2F106823"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Исполнено в %%</w:t>
            </w:r>
          </w:p>
        </w:tc>
        <w:tc>
          <w:tcPr>
            <w:tcW w:w="1691" w:type="dxa"/>
          </w:tcPr>
          <w:p w14:paraId="2377E101" w14:textId="77777777" w:rsidR="00B823F8" w:rsidRPr="00A53AD7" w:rsidRDefault="00B823F8" w:rsidP="00B823F8">
            <w:pPr>
              <w:pStyle w:val="ad"/>
              <w:jc w:val="center"/>
              <w:rPr>
                <w:rFonts w:ascii="Times New Roman" w:hAnsi="Times New Roman"/>
                <w:b/>
                <w:sz w:val="24"/>
                <w:szCs w:val="24"/>
              </w:rPr>
            </w:pPr>
          </w:p>
        </w:tc>
        <w:tc>
          <w:tcPr>
            <w:tcW w:w="1701" w:type="dxa"/>
          </w:tcPr>
          <w:p w14:paraId="48FFB87B"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0,0%</w:t>
            </w:r>
          </w:p>
        </w:tc>
        <w:tc>
          <w:tcPr>
            <w:tcW w:w="1701" w:type="dxa"/>
          </w:tcPr>
          <w:p w14:paraId="15552DB7"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7FC76F96"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37,82%</w:t>
            </w:r>
          </w:p>
        </w:tc>
      </w:tr>
      <w:tr w:rsidR="00D470B6" w:rsidRPr="00A53AD7" w14:paraId="3CE547C4" w14:textId="77777777" w:rsidTr="00BA0D23">
        <w:tc>
          <w:tcPr>
            <w:tcW w:w="2542" w:type="dxa"/>
          </w:tcPr>
          <w:p w14:paraId="1D28B1FB"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в т.ч. мун. образов.</w:t>
            </w:r>
          </w:p>
        </w:tc>
        <w:tc>
          <w:tcPr>
            <w:tcW w:w="1691" w:type="dxa"/>
          </w:tcPr>
          <w:p w14:paraId="3D40B6E9"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76B5E27B"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3ABE80B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w:t>
            </w:r>
          </w:p>
        </w:tc>
        <w:tc>
          <w:tcPr>
            <w:tcW w:w="1701" w:type="dxa"/>
          </w:tcPr>
          <w:p w14:paraId="395CEC62"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100,0</w:t>
            </w:r>
          </w:p>
        </w:tc>
      </w:tr>
      <w:tr w:rsidR="00B823F8" w:rsidRPr="00A53AD7" w14:paraId="6DDAE511" w14:textId="77777777" w:rsidTr="00BA0D23">
        <w:tc>
          <w:tcPr>
            <w:tcW w:w="2542" w:type="dxa"/>
          </w:tcPr>
          <w:p w14:paraId="42FEEDB7" w14:textId="77777777" w:rsidR="00B823F8" w:rsidRPr="00A53AD7" w:rsidRDefault="00B823F8" w:rsidP="00B823F8">
            <w:pPr>
              <w:pStyle w:val="ad"/>
              <w:ind w:hanging="113"/>
              <w:jc w:val="both"/>
              <w:rPr>
                <w:rFonts w:ascii="Times New Roman" w:hAnsi="Times New Roman"/>
                <w:sz w:val="24"/>
                <w:szCs w:val="24"/>
              </w:rPr>
            </w:pPr>
            <w:r w:rsidRPr="00A53AD7">
              <w:rPr>
                <w:rFonts w:ascii="Times New Roman" w:hAnsi="Times New Roman"/>
                <w:sz w:val="24"/>
                <w:szCs w:val="24"/>
              </w:rPr>
              <w:t xml:space="preserve"> В % к бюдж. росписи</w:t>
            </w:r>
          </w:p>
        </w:tc>
        <w:tc>
          <w:tcPr>
            <w:tcW w:w="1691" w:type="dxa"/>
          </w:tcPr>
          <w:p w14:paraId="48F25235" w14:textId="77777777" w:rsidR="00B823F8" w:rsidRPr="00A53AD7" w:rsidRDefault="00B823F8" w:rsidP="00B823F8">
            <w:pPr>
              <w:pStyle w:val="ad"/>
              <w:jc w:val="center"/>
              <w:rPr>
                <w:rFonts w:ascii="Times New Roman" w:hAnsi="Times New Roman"/>
                <w:b/>
                <w:sz w:val="24"/>
                <w:szCs w:val="24"/>
              </w:rPr>
            </w:pPr>
          </w:p>
        </w:tc>
        <w:tc>
          <w:tcPr>
            <w:tcW w:w="1701" w:type="dxa"/>
          </w:tcPr>
          <w:p w14:paraId="13489519" w14:textId="77777777" w:rsidR="00B823F8" w:rsidRPr="00A53AD7" w:rsidRDefault="00B823F8" w:rsidP="00B823F8">
            <w:pPr>
              <w:pStyle w:val="ad"/>
              <w:jc w:val="center"/>
              <w:rPr>
                <w:rFonts w:ascii="Times New Roman" w:hAnsi="Times New Roman"/>
                <w:b/>
                <w:sz w:val="24"/>
                <w:szCs w:val="24"/>
              </w:rPr>
            </w:pPr>
          </w:p>
        </w:tc>
        <w:tc>
          <w:tcPr>
            <w:tcW w:w="1701" w:type="dxa"/>
          </w:tcPr>
          <w:p w14:paraId="628C8B64" w14:textId="77777777" w:rsidR="00B823F8" w:rsidRPr="00A53AD7" w:rsidRDefault="00B823F8" w:rsidP="00B823F8">
            <w:pPr>
              <w:pStyle w:val="ad"/>
              <w:jc w:val="center"/>
              <w:rPr>
                <w:rFonts w:ascii="Times New Roman" w:hAnsi="Times New Roman"/>
                <w:b/>
                <w:sz w:val="24"/>
                <w:szCs w:val="24"/>
              </w:rPr>
            </w:pPr>
          </w:p>
        </w:tc>
        <w:tc>
          <w:tcPr>
            <w:tcW w:w="1701" w:type="dxa"/>
          </w:tcPr>
          <w:p w14:paraId="44CC54B8" w14:textId="77777777" w:rsidR="00B823F8" w:rsidRPr="00A53AD7" w:rsidRDefault="00B823F8" w:rsidP="00B823F8">
            <w:pPr>
              <w:pStyle w:val="ad"/>
              <w:jc w:val="center"/>
              <w:rPr>
                <w:rFonts w:ascii="Times New Roman" w:hAnsi="Times New Roman"/>
                <w:b/>
                <w:sz w:val="24"/>
                <w:szCs w:val="24"/>
              </w:rPr>
            </w:pPr>
            <w:r w:rsidRPr="00A53AD7">
              <w:rPr>
                <w:rFonts w:ascii="Times New Roman" w:hAnsi="Times New Roman"/>
                <w:b/>
                <w:sz w:val="24"/>
                <w:szCs w:val="24"/>
              </w:rPr>
              <w:t>0,0%</w:t>
            </w:r>
          </w:p>
        </w:tc>
      </w:tr>
    </w:tbl>
    <w:p w14:paraId="0192AF4C" w14:textId="77777777" w:rsidR="00B823F8" w:rsidRPr="00A53AD7" w:rsidRDefault="00B823F8" w:rsidP="00B823F8">
      <w:pPr>
        <w:pStyle w:val="ad"/>
        <w:jc w:val="both"/>
        <w:rPr>
          <w:rFonts w:ascii="Times New Roman" w:hAnsi="Times New Roman"/>
          <w:sz w:val="28"/>
          <w:szCs w:val="28"/>
          <w:highlight w:val="cyan"/>
        </w:rPr>
      </w:pPr>
    </w:p>
    <w:p w14:paraId="6A6F17EA" w14:textId="012199C9" w:rsidR="00B823F8" w:rsidRPr="00A53AD7" w:rsidRDefault="00B823F8" w:rsidP="0018260E">
      <w:pPr>
        <w:pStyle w:val="ad"/>
        <w:ind w:firstLine="851"/>
        <w:jc w:val="both"/>
        <w:rPr>
          <w:rFonts w:ascii="Times New Roman" w:hAnsi="Times New Roman"/>
          <w:sz w:val="28"/>
          <w:szCs w:val="28"/>
        </w:rPr>
      </w:pPr>
      <w:r w:rsidRPr="00A53AD7">
        <w:rPr>
          <w:rFonts w:ascii="Times New Roman" w:hAnsi="Times New Roman"/>
          <w:sz w:val="28"/>
          <w:szCs w:val="28"/>
        </w:rPr>
        <w:t>1</w:t>
      </w:r>
      <w:r w:rsidR="00FC5B0D" w:rsidRPr="00A53AD7">
        <w:rPr>
          <w:rFonts w:ascii="Times New Roman" w:hAnsi="Times New Roman"/>
          <w:sz w:val="28"/>
          <w:szCs w:val="28"/>
        </w:rPr>
        <w:t>2</w:t>
      </w:r>
      <w:r w:rsidRPr="00A53AD7">
        <w:rPr>
          <w:rFonts w:ascii="Times New Roman" w:hAnsi="Times New Roman"/>
          <w:sz w:val="28"/>
          <w:szCs w:val="28"/>
        </w:rPr>
        <w:t xml:space="preserve">. АП АО «Переселение граждан из аварийного жилищного фонда на 2019 – 2025 годы и на 2013-2018 годы» </w:t>
      </w:r>
    </w:p>
    <w:p w14:paraId="42F55FEC" w14:textId="2E43DB68" w:rsidR="00B823F8" w:rsidRPr="00A53AD7" w:rsidRDefault="00B823F8" w:rsidP="0018260E">
      <w:pPr>
        <w:pStyle w:val="ad"/>
        <w:ind w:firstLine="851"/>
        <w:jc w:val="both"/>
        <w:rPr>
          <w:rFonts w:ascii="Times New Roman" w:hAnsi="Times New Roman"/>
          <w:sz w:val="28"/>
          <w:szCs w:val="28"/>
        </w:rPr>
      </w:pPr>
      <w:r w:rsidRPr="00A53AD7">
        <w:rPr>
          <w:rFonts w:ascii="Times New Roman" w:hAnsi="Times New Roman"/>
          <w:sz w:val="28"/>
          <w:szCs w:val="28"/>
        </w:rPr>
        <w:t>Согласно закону о бюджете утверждены расходы в сумме 1 992,4 млн.руб., бюджетной росписи 2 524,2 млн.руб., отчета 469,8 млн.руб.</w:t>
      </w:r>
      <w:r w:rsidRPr="00A53AD7">
        <w:rPr>
          <w:rFonts w:ascii="Times New Roman" w:hAnsi="Times New Roman"/>
          <w:sz w:val="28"/>
          <w:szCs w:val="28"/>
        </w:rPr>
        <w:tab/>
      </w:r>
    </w:p>
    <w:p w14:paraId="5A6DBA7F" w14:textId="7C44EA63" w:rsidR="00B823F8" w:rsidRPr="00A53AD7" w:rsidRDefault="00B823F8" w:rsidP="000264D9">
      <w:pPr>
        <w:pStyle w:val="ad"/>
        <w:ind w:firstLine="851"/>
        <w:jc w:val="both"/>
        <w:rPr>
          <w:rFonts w:ascii="Times New Roman" w:hAnsi="Times New Roman"/>
          <w:sz w:val="28"/>
          <w:szCs w:val="28"/>
        </w:rPr>
      </w:pPr>
      <w:r w:rsidRPr="00A53AD7">
        <w:rPr>
          <w:rFonts w:ascii="Times New Roman" w:hAnsi="Times New Roman"/>
          <w:sz w:val="28"/>
          <w:szCs w:val="28"/>
        </w:rPr>
        <w:t>Исполнение ОАИП за счет всех источников финансирования в рамках указанной программы в течение 2019 года в сравнении с показателями бюджетной росписи и запланированным количеством объектов составило:</w:t>
      </w:r>
    </w:p>
    <w:p w14:paraId="3E988B34" w14:textId="77777777" w:rsidR="00B823F8" w:rsidRPr="00A53AD7" w:rsidRDefault="00B823F8" w:rsidP="00B823F8">
      <w:pPr>
        <w:pStyle w:val="ad"/>
        <w:jc w:val="right"/>
        <w:rPr>
          <w:rFonts w:ascii="Times New Roman" w:hAnsi="Times New Roman"/>
          <w:sz w:val="24"/>
          <w:szCs w:val="24"/>
        </w:rPr>
      </w:pPr>
      <w:r w:rsidRPr="00A53AD7">
        <w:rPr>
          <w:rFonts w:ascii="Times New Roman" w:hAnsi="Times New Roman"/>
          <w:sz w:val="24"/>
          <w:szCs w:val="24"/>
        </w:rPr>
        <w:t>(млн.руб.)</w:t>
      </w:r>
    </w:p>
    <w:tbl>
      <w:tblPr>
        <w:tblStyle w:val="a7"/>
        <w:tblW w:w="9331" w:type="dxa"/>
        <w:tblBorders>
          <w:top w:val="double" w:sz="4" w:space="0" w:color="auto"/>
          <w:left w:val="double" w:sz="4" w:space="0" w:color="auto"/>
          <w:bottom w:val="double" w:sz="4" w:space="0" w:color="auto"/>
          <w:right w:val="double" w:sz="4" w:space="0" w:color="auto"/>
        </w:tblBorders>
        <w:tblLook w:val="0480" w:firstRow="0" w:lastRow="0" w:firstColumn="1" w:lastColumn="0" w:noHBand="0" w:noVBand="1"/>
      </w:tblPr>
      <w:tblGrid>
        <w:gridCol w:w="3104"/>
        <w:gridCol w:w="1549"/>
        <w:gridCol w:w="1560"/>
        <w:gridCol w:w="1559"/>
        <w:gridCol w:w="1559"/>
      </w:tblGrid>
      <w:tr w:rsidR="00D470B6" w:rsidRPr="00A53AD7" w14:paraId="1C89C582" w14:textId="77777777" w:rsidTr="00FC5B0D">
        <w:trPr>
          <w:tblHeader/>
        </w:trPr>
        <w:tc>
          <w:tcPr>
            <w:tcW w:w="3104" w:type="dxa"/>
          </w:tcPr>
          <w:p w14:paraId="7D212766" w14:textId="77777777" w:rsidR="00B823F8" w:rsidRPr="00A53AD7" w:rsidRDefault="00B823F8" w:rsidP="00B823F8">
            <w:pPr>
              <w:pStyle w:val="ad"/>
              <w:jc w:val="both"/>
              <w:rPr>
                <w:rFonts w:ascii="Times New Roman" w:hAnsi="Times New Roman"/>
              </w:rPr>
            </w:pPr>
          </w:p>
        </w:tc>
        <w:tc>
          <w:tcPr>
            <w:tcW w:w="1549" w:type="dxa"/>
          </w:tcPr>
          <w:p w14:paraId="7BF16844"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01.04.2019</w:t>
            </w:r>
          </w:p>
        </w:tc>
        <w:tc>
          <w:tcPr>
            <w:tcW w:w="1560" w:type="dxa"/>
          </w:tcPr>
          <w:p w14:paraId="7739EE6A" w14:textId="77777777" w:rsidR="00B823F8" w:rsidRPr="00A53AD7" w:rsidRDefault="00B823F8" w:rsidP="00B823F8">
            <w:pPr>
              <w:pStyle w:val="ad"/>
              <w:jc w:val="both"/>
              <w:rPr>
                <w:rFonts w:ascii="Times New Roman" w:hAnsi="Times New Roman"/>
              </w:rPr>
            </w:pPr>
            <w:r w:rsidRPr="00A53AD7">
              <w:rPr>
                <w:rFonts w:ascii="Times New Roman" w:hAnsi="Times New Roman"/>
              </w:rPr>
              <w:t>На 01.07.2019</w:t>
            </w:r>
          </w:p>
        </w:tc>
        <w:tc>
          <w:tcPr>
            <w:tcW w:w="1559" w:type="dxa"/>
          </w:tcPr>
          <w:p w14:paraId="047C4023" w14:textId="77777777" w:rsidR="00B823F8" w:rsidRPr="00A53AD7" w:rsidRDefault="00B823F8" w:rsidP="00B823F8">
            <w:pPr>
              <w:pStyle w:val="ad"/>
              <w:jc w:val="both"/>
              <w:rPr>
                <w:rFonts w:ascii="Times New Roman" w:hAnsi="Times New Roman"/>
              </w:rPr>
            </w:pPr>
            <w:r w:rsidRPr="00A53AD7">
              <w:rPr>
                <w:rFonts w:ascii="Times New Roman" w:hAnsi="Times New Roman"/>
              </w:rPr>
              <w:t>На 01.10.2019</w:t>
            </w:r>
          </w:p>
        </w:tc>
        <w:tc>
          <w:tcPr>
            <w:tcW w:w="1559" w:type="dxa"/>
          </w:tcPr>
          <w:p w14:paraId="2DB53A49" w14:textId="77777777" w:rsidR="00B823F8" w:rsidRPr="00A53AD7" w:rsidRDefault="00B823F8" w:rsidP="00B823F8">
            <w:pPr>
              <w:pStyle w:val="ad"/>
              <w:jc w:val="both"/>
              <w:rPr>
                <w:rFonts w:ascii="Times New Roman" w:hAnsi="Times New Roman"/>
              </w:rPr>
            </w:pPr>
            <w:r w:rsidRPr="00A53AD7">
              <w:rPr>
                <w:rFonts w:ascii="Times New Roman" w:hAnsi="Times New Roman"/>
              </w:rPr>
              <w:t>На 31.12.2019</w:t>
            </w:r>
          </w:p>
        </w:tc>
      </w:tr>
      <w:tr w:rsidR="00D470B6" w:rsidRPr="00A53AD7" w14:paraId="20675E1F" w14:textId="77777777" w:rsidTr="003E6F6C">
        <w:tc>
          <w:tcPr>
            <w:tcW w:w="3104" w:type="dxa"/>
          </w:tcPr>
          <w:p w14:paraId="6C6ACE89" w14:textId="77777777" w:rsidR="00B823F8" w:rsidRPr="00A53AD7" w:rsidRDefault="00B823F8" w:rsidP="00B823F8">
            <w:pPr>
              <w:pStyle w:val="ad"/>
              <w:jc w:val="both"/>
              <w:rPr>
                <w:rFonts w:ascii="Times New Roman" w:hAnsi="Times New Roman"/>
              </w:rPr>
            </w:pPr>
            <w:r w:rsidRPr="00A53AD7">
              <w:rPr>
                <w:rFonts w:ascii="Times New Roman" w:hAnsi="Times New Roman"/>
              </w:rPr>
              <w:t>ОАИП план</w:t>
            </w:r>
          </w:p>
        </w:tc>
        <w:tc>
          <w:tcPr>
            <w:tcW w:w="1549" w:type="dxa"/>
          </w:tcPr>
          <w:p w14:paraId="58825474" w14:textId="77777777" w:rsidR="00B823F8" w:rsidRPr="00A53AD7" w:rsidRDefault="00B823F8" w:rsidP="00B823F8">
            <w:pPr>
              <w:pStyle w:val="ad"/>
              <w:jc w:val="center"/>
              <w:rPr>
                <w:rFonts w:ascii="Times New Roman" w:hAnsi="Times New Roman"/>
              </w:rPr>
            </w:pPr>
            <w:r w:rsidRPr="00A53AD7">
              <w:rPr>
                <w:rFonts w:ascii="Times New Roman" w:hAnsi="Times New Roman"/>
              </w:rPr>
              <w:t>216,4</w:t>
            </w:r>
          </w:p>
        </w:tc>
        <w:tc>
          <w:tcPr>
            <w:tcW w:w="1560" w:type="dxa"/>
          </w:tcPr>
          <w:p w14:paraId="1AEEDB8E" w14:textId="77777777" w:rsidR="00B823F8" w:rsidRPr="00A53AD7" w:rsidRDefault="00B823F8" w:rsidP="00B823F8">
            <w:pPr>
              <w:pStyle w:val="ad"/>
              <w:jc w:val="center"/>
              <w:rPr>
                <w:rFonts w:ascii="Times New Roman" w:hAnsi="Times New Roman"/>
              </w:rPr>
            </w:pPr>
            <w:r w:rsidRPr="00A53AD7">
              <w:rPr>
                <w:rFonts w:ascii="Times New Roman" w:hAnsi="Times New Roman"/>
              </w:rPr>
              <w:t>1 968,0</w:t>
            </w:r>
          </w:p>
        </w:tc>
        <w:tc>
          <w:tcPr>
            <w:tcW w:w="1559" w:type="dxa"/>
          </w:tcPr>
          <w:p w14:paraId="5869A243" w14:textId="77777777" w:rsidR="00B823F8" w:rsidRPr="00A53AD7" w:rsidRDefault="00B823F8" w:rsidP="00B823F8">
            <w:pPr>
              <w:pStyle w:val="ad"/>
              <w:jc w:val="center"/>
              <w:rPr>
                <w:rFonts w:ascii="Times New Roman" w:hAnsi="Times New Roman"/>
              </w:rPr>
            </w:pPr>
            <w:r w:rsidRPr="00A53AD7">
              <w:rPr>
                <w:rFonts w:ascii="Times New Roman" w:hAnsi="Times New Roman"/>
              </w:rPr>
              <w:t>1 992,4</w:t>
            </w:r>
          </w:p>
        </w:tc>
        <w:tc>
          <w:tcPr>
            <w:tcW w:w="1559" w:type="dxa"/>
          </w:tcPr>
          <w:p w14:paraId="6782CFB6" w14:textId="77777777" w:rsidR="00B823F8" w:rsidRPr="00A53AD7" w:rsidRDefault="00B823F8" w:rsidP="00B823F8">
            <w:pPr>
              <w:pStyle w:val="ad"/>
              <w:jc w:val="center"/>
              <w:rPr>
                <w:rFonts w:ascii="Times New Roman" w:hAnsi="Times New Roman"/>
              </w:rPr>
            </w:pPr>
            <w:r w:rsidRPr="00A53AD7">
              <w:rPr>
                <w:rFonts w:ascii="Times New Roman" w:hAnsi="Times New Roman"/>
              </w:rPr>
              <w:t>2 524,2</w:t>
            </w:r>
          </w:p>
        </w:tc>
      </w:tr>
      <w:tr w:rsidR="00D470B6" w:rsidRPr="00A53AD7" w14:paraId="2FF752F3" w14:textId="77777777" w:rsidTr="003E6F6C">
        <w:tc>
          <w:tcPr>
            <w:tcW w:w="3104" w:type="dxa"/>
          </w:tcPr>
          <w:p w14:paraId="38929F68"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6BFA31F2"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785AF098" w14:textId="77777777" w:rsidR="00B823F8" w:rsidRPr="00A53AD7" w:rsidRDefault="00B823F8" w:rsidP="00B823F8">
            <w:pPr>
              <w:pStyle w:val="ad"/>
              <w:jc w:val="center"/>
              <w:rPr>
                <w:rFonts w:ascii="Times New Roman" w:hAnsi="Times New Roman"/>
              </w:rPr>
            </w:pPr>
            <w:r w:rsidRPr="00A53AD7">
              <w:rPr>
                <w:rFonts w:ascii="Times New Roman" w:hAnsi="Times New Roman"/>
              </w:rPr>
              <w:t>45,5</w:t>
            </w:r>
          </w:p>
        </w:tc>
        <w:tc>
          <w:tcPr>
            <w:tcW w:w="1559" w:type="dxa"/>
          </w:tcPr>
          <w:p w14:paraId="53CCF5C6" w14:textId="77777777" w:rsidR="00B823F8" w:rsidRPr="00A53AD7" w:rsidRDefault="00B823F8" w:rsidP="00B823F8">
            <w:pPr>
              <w:pStyle w:val="ad"/>
              <w:jc w:val="center"/>
              <w:rPr>
                <w:rFonts w:ascii="Times New Roman" w:hAnsi="Times New Roman"/>
              </w:rPr>
            </w:pPr>
            <w:r w:rsidRPr="00A53AD7">
              <w:rPr>
                <w:rFonts w:ascii="Times New Roman" w:hAnsi="Times New Roman"/>
              </w:rPr>
              <w:t>192,1</w:t>
            </w:r>
          </w:p>
        </w:tc>
        <w:tc>
          <w:tcPr>
            <w:tcW w:w="1559" w:type="dxa"/>
          </w:tcPr>
          <w:p w14:paraId="78FD7ED3" w14:textId="77777777" w:rsidR="00B823F8" w:rsidRPr="00A53AD7" w:rsidRDefault="00B823F8" w:rsidP="00B823F8">
            <w:pPr>
              <w:pStyle w:val="ad"/>
              <w:jc w:val="center"/>
              <w:rPr>
                <w:rFonts w:ascii="Times New Roman" w:hAnsi="Times New Roman"/>
              </w:rPr>
            </w:pPr>
            <w:r w:rsidRPr="00A53AD7">
              <w:rPr>
                <w:rFonts w:ascii="Times New Roman" w:hAnsi="Times New Roman"/>
              </w:rPr>
              <w:t>469,8</w:t>
            </w:r>
          </w:p>
        </w:tc>
      </w:tr>
      <w:tr w:rsidR="00D470B6" w:rsidRPr="00A53AD7" w14:paraId="5E556CB7" w14:textId="77777777" w:rsidTr="003E6F6C">
        <w:tc>
          <w:tcPr>
            <w:tcW w:w="3104" w:type="dxa"/>
          </w:tcPr>
          <w:p w14:paraId="3E35F624"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Исполнено в %%</w:t>
            </w:r>
          </w:p>
        </w:tc>
        <w:tc>
          <w:tcPr>
            <w:tcW w:w="1549" w:type="dxa"/>
          </w:tcPr>
          <w:p w14:paraId="37308FF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5D0F6B6A"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2,3%</w:t>
            </w:r>
          </w:p>
        </w:tc>
        <w:tc>
          <w:tcPr>
            <w:tcW w:w="1559" w:type="dxa"/>
          </w:tcPr>
          <w:p w14:paraId="3398B14D"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9,6%</w:t>
            </w:r>
          </w:p>
        </w:tc>
        <w:tc>
          <w:tcPr>
            <w:tcW w:w="1559" w:type="dxa"/>
          </w:tcPr>
          <w:p w14:paraId="03D6B11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18,6%</w:t>
            </w:r>
          </w:p>
        </w:tc>
      </w:tr>
      <w:tr w:rsidR="00D470B6" w:rsidRPr="00A53AD7" w14:paraId="55AB16AE" w14:textId="77777777" w:rsidTr="003E6F6C">
        <w:tc>
          <w:tcPr>
            <w:tcW w:w="3104" w:type="dxa"/>
          </w:tcPr>
          <w:p w14:paraId="0E3897C1"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Кол-во объектов ОАИП план</w:t>
            </w:r>
          </w:p>
        </w:tc>
        <w:tc>
          <w:tcPr>
            <w:tcW w:w="1549" w:type="dxa"/>
          </w:tcPr>
          <w:p w14:paraId="4041B5FD" w14:textId="77777777" w:rsidR="00B823F8" w:rsidRPr="00A53AD7" w:rsidRDefault="00B823F8" w:rsidP="00B823F8">
            <w:pPr>
              <w:pStyle w:val="ad"/>
              <w:jc w:val="center"/>
              <w:rPr>
                <w:rFonts w:ascii="Times New Roman" w:hAnsi="Times New Roman"/>
              </w:rPr>
            </w:pPr>
            <w:r w:rsidRPr="00A53AD7">
              <w:rPr>
                <w:rFonts w:ascii="Times New Roman" w:hAnsi="Times New Roman"/>
              </w:rPr>
              <w:t>1</w:t>
            </w:r>
          </w:p>
        </w:tc>
        <w:tc>
          <w:tcPr>
            <w:tcW w:w="1560" w:type="dxa"/>
          </w:tcPr>
          <w:p w14:paraId="03D64D2E" w14:textId="77777777" w:rsidR="00B823F8" w:rsidRPr="00A53AD7" w:rsidRDefault="00B823F8" w:rsidP="00B823F8">
            <w:pPr>
              <w:pStyle w:val="ad"/>
              <w:jc w:val="center"/>
              <w:rPr>
                <w:rFonts w:ascii="Times New Roman" w:hAnsi="Times New Roman"/>
              </w:rPr>
            </w:pPr>
            <w:r w:rsidRPr="00A53AD7">
              <w:rPr>
                <w:rFonts w:ascii="Times New Roman" w:hAnsi="Times New Roman"/>
              </w:rPr>
              <w:t>4</w:t>
            </w:r>
          </w:p>
        </w:tc>
        <w:tc>
          <w:tcPr>
            <w:tcW w:w="1559" w:type="dxa"/>
          </w:tcPr>
          <w:p w14:paraId="07030E6F"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01D4A42D"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r>
      <w:tr w:rsidR="00D470B6" w:rsidRPr="00A53AD7" w14:paraId="490032E3" w14:textId="77777777" w:rsidTr="003E6F6C">
        <w:tc>
          <w:tcPr>
            <w:tcW w:w="3104" w:type="dxa"/>
          </w:tcPr>
          <w:p w14:paraId="1F92043B"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3FB90EF2"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397F26A4" w14:textId="77777777" w:rsidR="00B823F8" w:rsidRPr="00A53AD7" w:rsidRDefault="00B823F8" w:rsidP="00B823F8">
            <w:pPr>
              <w:pStyle w:val="ad"/>
              <w:jc w:val="center"/>
              <w:rPr>
                <w:rFonts w:ascii="Times New Roman" w:hAnsi="Times New Roman"/>
              </w:rPr>
            </w:pPr>
            <w:r w:rsidRPr="00A53AD7">
              <w:rPr>
                <w:rFonts w:ascii="Times New Roman" w:hAnsi="Times New Roman"/>
              </w:rPr>
              <w:t>3</w:t>
            </w:r>
          </w:p>
        </w:tc>
        <w:tc>
          <w:tcPr>
            <w:tcW w:w="1559" w:type="dxa"/>
          </w:tcPr>
          <w:p w14:paraId="5DFA3B6A"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c>
          <w:tcPr>
            <w:tcW w:w="1559" w:type="dxa"/>
          </w:tcPr>
          <w:p w14:paraId="63C6498B" w14:textId="77777777" w:rsidR="00B823F8" w:rsidRPr="00A53AD7" w:rsidRDefault="00B823F8" w:rsidP="00B823F8">
            <w:pPr>
              <w:pStyle w:val="ad"/>
              <w:jc w:val="center"/>
              <w:rPr>
                <w:rFonts w:ascii="Times New Roman" w:hAnsi="Times New Roman"/>
              </w:rPr>
            </w:pPr>
            <w:r w:rsidRPr="00A53AD7">
              <w:rPr>
                <w:rFonts w:ascii="Times New Roman" w:hAnsi="Times New Roman"/>
              </w:rPr>
              <w:t>6</w:t>
            </w:r>
          </w:p>
        </w:tc>
      </w:tr>
      <w:tr w:rsidR="00D470B6" w:rsidRPr="00A53AD7" w14:paraId="47BF6AB8" w14:textId="77777777" w:rsidTr="003E6F6C">
        <w:tc>
          <w:tcPr>
            <w:tcW w:w="3104" w:type="dxa"/>
          </w:tcPr>
          <w:p w14:paraId="27ACFCB1" w14:textId="77777777" w:rsidR="00B823F8" w:rsidRPr="00A53AD7" w:rsidRDefault="00B823F8" w:rsidP="00B823F8">
            <w:pPr>
              <w:pStyle w:val="ad"/>
              <w:jc w:val="both"/>
              <w:rPr>
                <w:rFonts w:ascii="Times New Roman" w:hAnsi="Times New Roman"/>
              </w:rPr>
            </w:pPr>
            <w:r w:rsidRPr="00A53AD7">
              <w:rPr>
                <w:rFonts w:ascii="Times New Roman" w:hAnsi="Times New Roman"/>
              </w:rPr>
              <w:t>В %%</w:t>
            </w:r>
          </w:p>
        </w:tc>
        <w:tc>
          <w:tcPr>
            <w:tcW w:w="1549" w:type="dxa"/>
          </w:tcPr>
          <w:p w14:paraId="3266DE0E" w14:textId="77777777" w:rsidR="00B823F8" w:rsidRPr="00A53AD7" w:rsidRDefault="00B823F8" w:rsidP="00B823F8">
            <w:pPr>
              <w:pStyle w:val="ad"/>
              <w:jc w:val="center"/>
              <w:rPr>
                <w:rFonts w:ascii="Times New Roman" w:hAnsi="Times New Roman"/>
                <w:b/>
              </w:rPr>
            </w:pPr>
          </w:p>
        </w:tc>
        <w:tc>
          <w:tcPr>
            <w:tcW w:w="1560" w:type="dxa"/>
          </w:tcPr>
          <w:p w14:paraId="2F618B1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75,0%</w:t>
            </w:r>
          </w:p>
        </w:tc>
        <w:tc>
          <w:tcPr>
            <w:tcW w:w="1559" w:type="dxa"/>
          </w:tcPr>
          <w:p w14:paraId="4C20C5B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100,0%</w:t>
            </w:r>
          </w:p>
        </w:tc>
        <w:tc>
          <w:tcPr>
            <w:tcW w:w="1559" w:type="dxa"/>
          </w:tcPr>
          <w:p w14:paraId="204D122F" w14:textId="77777777" w:rsidR="00B823F8" w:rsidRPr="00A53AD7" w:rsidRDefault="00B823F8" w:rsidP="00B823F8">
            <w:pPr>
              <w:pStyle w:val="ad"/>
              <w:jc w:val="center"/>
              <w:rPr>
                <w:rFonts w:ascii="Times New Roman" w:hAnsi="Times New Roman"/>
              </w:rPr>
            </w:pPr>
            <w:r w:rsidRPr="00A53AD7">
              <w:rPr>
                <w:rFonts w:ascii="Times New Roman" w:hAnsi="Times New Roman"/>
              </w:rPr>
              <w:t>100,0%</w:t>
            </w:r>
          </w:p>
        </w:tc>
      </w:tr>
      <w:tr w:rsidR="00D470B6" w:rsidRPr="00A53AD7" w14:paraId="62ADD451" w14:textId="77777777" w:rsidTr="003E6F6C">
        <w:tc>
          <w:tcPr>
            <w:tcW w:w="3104" w:type="dxa"/>
          </w:tcPr>
          <w:p w14:paraId="156DDFED" w14:textId="77777777" w:rsidR="00B823F8" w:rsidRPr="00A53AD7" w:rsidRDefault="00B823F8" w:rsidP="00B823F8">
            <w:pPr>
              <w:pStyle w:val="ad"/>
              <w:jc w:val="both"/>
              <w:rPr>
                <w:rFonts w:ascii="Times New Roman" w:hAnsi="Times New Roman"/>
                <w:b/>
              </w:rPr>
            </w:pPr>
            <w:r w:rsidRPr="00A53AD7">
              <w:rPr>
                <w:rFonts w:ascii="Times New Roman" w:hAnsi="Times New Roman"/>
                <w:b/>
              </w:rPr>
              <w:t>Минстроительства</w:t>
            </w:r>
          </w:p>
        </w:tc>
        <w:tc>
          <w:tcPr>
            <w:tcW w:w="1549" w:type="dxa"/>
          </w:tcPr>
          <w:p w14:paraId="33343AB9" w14:textId="77777777" w:rsidR="00B823F8" w:rsidRPr="00A53AD7" w:rsidRDefault="00B823F8" w:rsidP="00B823F8">
            <w:pPr>
              <w:pStyle w:val="ad"/>
              <w:jc w:val="center"/>
              <w:rPr>
                <w:rFonts w:ascii="Times New Roman" w:hAnsi="Times New Roman"/>
                <w:b/>
              </w:rPr>
            </w:pPr>
          </w:p>
        </w:tc>
        <w:tc>
          <w:tcPr>
            <w:tcW w:w="1560" w:type="dxa"/>
          </w:tcPr>
          <w:p w14:paraId="75BDAAD0" w14:textId="77777777" w:rsidR="00B823F8" w:rsidRPr="00A53AD7" w:rsidRDefault="00B823F8" w:rsidP="00B823F8">
            <w:pPr>
              <w:pStyle w:val="ad"/>
              <w:jc w:val="center"/>
              <w:rPr>
                <w:rFonts w:ascii="Times New Roman" w:hAnsi="Times New Roman"/>
                <w:b/>
              </w:rPr>
            </w:pPr>
          </w:p>
        </w:tc>
        <w:tc>
          <w:tcPr>
            <w:tcW w:w="1559" w:type="dxa"/>
          </w:tcPr>
          <w:p w14:paraId="084EE514" w14:textId="77777777" w:rsidR="00B823F8" w:rsidRPr="00A53AD7" w:rsidRDefault="00B823F8" w:rsidP="00B823F8">
            <w:pPr>
              <w:pStyle w:val="ad"/>
              <w:jc w:val="center"/>
              <w:rPr>
                <w:rFonts w:ascii="Times New Roman" w:hAnsi="Times New Roman"/>
                <w:b/>
              </w:rPr>
            </w:pPr>
          </w:p>
        </w:tc>
        <w:tc>
          <w:tcPr>
            <w:tcW w:w="1559" w:type="dxa"/>
          </w:tcPr>
          <w:p w14:paraId="55B6D8F3" w14:textId="77777777" w:rsidR="00B823F8" w:rsidRPr="00A53AD7" w:rsidRDefault="00B823F8" w:rsidP="00B823F8">
            <w:pPr>
              <w:pStyle w:val="ad"/>
              <w:jc w:val="center"/>
              <w:rPr>
                <w:rFonts w:ascii="Times New Roman" w:hAnsi="Times New Roman"/>
              </w:rPr>
            </w:pPr>
          </w:p>
        </w:tc>
      </w:tr>
      <w:tr w:rsidR="00D470B6" w:rsidRPr="00A53AD7" w14:paraId="66673910" w14:textId="77777777" w:rsidTr="003E6F6C">
        <w:tc>
          <w:tcPr>
            <w:tcW w:w="3104" w:type="dxa"/>
          </w:tcPr>
          <w:p w14:paraId="41B712CC" w14:textId="77777777" w:rsidR="00B823F8" w:rsidRPr="00A53AD7" w:rsidRDefault="00B823F8" w:rsidP="00B823F8">
            <w:pPr>
              <w:pStyle w:val="ad"/>
              <w:jc w:val="both"/>
              <w:rPr>
                <w:rFonts w:ascii="Times New Roman" w:hAnsi="Times New Roman"/>
              </w:rPr>
            </w:pPr>
            <w:r w:rsidRPr="00A53AD7">
              <w:rPr>
                <w:rFonts w:ascii="Times New Roman" w:hAnsi="Times New Roman"/>
              </w:rPr>
              <w:t>Утверждено</w:t>
            </w:r>
          </w:p>
        </w:tc>
        <w:tc>
          <w:tcPr>
            <w:tcW w:w="1549" w:type="dxa"/>
          </w:tcPr>
          <w:p w14:paraId="2759011D" w14:textId="77777777" w:rsidR="00B823F8" w:rsidRPr="00A53AD7" w:rsidRDefault="00B823F8" w:rsidP="00B823F8">
            <w:pPr>
              <w:pStyle w:val="ad"/>
              <w:jc w:val="center"/>
              <w:rPr>
                <w:rFonts w:ascii="Times New Roman" w:hAnsi="Times New Roman"/>
              </w:rPr>
            </w:pPr>
            <w:r w:rsidRPr="00A53AD7">
              <w:rPr>
                <w:rFonts w:ascii="Times New Roman" w:hAnsi="Times New Roman"/>
              </w:rPr>
              <w:t>135,6</w:t>
            </w:r>
          </w:p>
        </w:tc>
        <w:tc>
          <w:tcPr>
            <w:tcW w:w="1560" w:type="dxa"/>
          </w:tcPr>
          <w:p w14:paraId="1C8C89AF" w14:textId="77777777" w:rsidR="00B823F8" w:rsidRPr="00A53AD7" w:rsidRDefault="00B823F8" w:rsidP="00B823F8">
            <w:pPr>
              <w:pStyle w:val="ad"/>
              <w:jc w:val="center"/>
              <w:rPr>
                <w:rFonts w:ascii="Times New Roman" w:hAnsi="Times New Roman"/>
              </w:rPr>
            </w:pPr>
            <w:r w:rsidRPr="00A53AD7">
              <w:rPr>
                <w:rFonts w:ascii="Times New Roman" w:hAnsi="Times New Roman"/>
              </w:rPr>
              <w:t>1 793,5</w:t>
            </w:r>
          </w:p>
        </w:tc>
        <w:tc>
          <w:tcPr>
            <w:tcW w:w="1559" w:type="dxa"/>
          </w:tcPr>
          <w:p w14:paraId="568AB160" w14:textId="77777777" w:rsidR="00B823F8" w:rsidRPr="00A53AD7" w:rsidRDefault="00B823F8" w:rsidP="00B823F8">
            <w:pPr>
              <w:pStyle w:val="ad"/>
              <w:jc w:val="center"/>
              <w:rPr>
                <w:rFonts w:ascii="Times New Roman" w:hAnsi="Times New Roman"/>
              </w:rPr>
            </w:pPr>
            <w:r w:rsidRPr="00A53AD7">
              <w:rPr>
                <w:rFonts w:ascii="Times New Roman" w:hAnsi="Times New Roman"/>
              </w:rPr>
              <w:t>1 798,4</w:t>
            </w:r>
          </w:p>
        </w:tc>
        <w:tc>
          <w:tcPr>
            <w:tcW w:w="1559" w:type="dxa"/>
          </w:tcPr>
          <w:p w14:paraId="21C38F90" w14:textId="77777777" w:rsidR="00B823F8" w:rsidRPr="00A53AD7" w:rsidRDefault="00B823F8" w:rsidP="00B823F8">
            <w:pPr>
              <w:pStyle w:val="ad"/>
              <w:jc w:val="center"/>
              <w:rPr>
                <w:rFonts w:ascii="Times New Roman" w:hAnsi="Times New Roman"/>
              </w:rPr>
            </w:pPr>
            <w:r w:rsidRPr="00A53AD7">
              <w:rPr>
                <w:rFonts w:ascii="Times New Roman" w:hAnsi="Times New Roman"/>
              </w:rPr>
              <w:t>2 330,2</w:t>
            </w:r>
          </w:p>
        </w:tc>
      </w:tr>
      <w:tr w:rsidR="00D470B6" w:rsidRPr="00A53AD7" w14:paraId="7FC0A26B" w14:textId="77777777" w:rsidTr="003E6F6C">
        <w:tc>
          <w:tcPr>
            <w:tcW w:w="3104" w:type="dxa"/>
          </w:tcPr>
          <w:p w14:paraId="21050C08"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59AB53FD"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1CC1FCE2" w14:textId="77777777" w:rsidR="00B823F8" w:rsidRPr="00A53AD7" w:rsidRDefault="00B823F8" w:rsidP="00B823F8">
            <w:pPr>
              <w:pStyle w:val="ad"/>
              <w:jc w:val="center"/>
              <w:rPr>
                <w:rFonts w:ascii="Times New Roman" w:hAnsi="Times New Roman"/>
              </w:rPr>
            </w:pPr>
            <w:r w:rsidRPr="00A53AD7">
              <w:rPr>
                <w:rFonts w:ascii="Times New Roman" w:hAnsi="Times New Roman"/>
              </w:rPr>
              <w:t>38,1</w:t>
            </w:r>
          </w:p>
        </w:tc>
        <w:tc>
          <w:tcPr>
            <w:tcW w:w="1559" w:type="dxa"/>
          </w:tcPr>
          <w:p w14:paraId="590F3A20" w14:textId="77777777" w:rsidR="00B823F8" w:rsidRPr="00A53AD7" w:rsidRDefault="00B823F8" w:rsidP="00B823F8">
            <w:pPr>
              <w:pStyle w:val="ad"/>
              <w:jc w:val="center"/>
              <w:rPr>
                <w:rFonts w:ascii="Times New Roman" w:hAnsi="Times New Roman"/>
              </w:rPr>
            </w:pPr>
            <w:r w:rsidRPr="00A53AD7">
              <w:rPr>
                <w:rFonts w:ascii="Times New Roman" w:hAnsi="Times New Roman"/>
              </w:rPr>
              <w:t>103,7</w:t>
            </w:r>
          </w:p>
        </w:tc>
        <w:tc>
          <w:tcPr>
            <w:tcW w:w="1559" w:type="dxa"/>
          </w:tcPr>
          <w:p w14:paraId="3835B72A" w14:textId="77777777" w:rsidR="00B823F8" w:rsidRPr="00A53AD7" w:rsidRDefault="00B823F8" w:rsidP="00B823F8">
            <w:pPr>
              <w:pStyle w:val="ad"/>
              <w:jc w:val="center"/>
              <w:rPr>
                <w:rFonts w:ascii="Times New Roman" w:hAnsi="Times New Roman"/>
              </w:rPr>
            </w:pPr>
            <w:r w:rsidRPr="00A53AD7">
              <w:rPr>
                <w:rFonts w:ascii="Times New Roman" w:hAnsi="Times New Roman"/>
              </w:rPr>
              <w:t>343,4</w:t>
            </w:r>
          </w:p>
        </w:tc>
      </w:tr>
      <w:tr w:rsidR="00D470B6" w:rsidRPr="00A53AD7" w14:paraId="2ED816D8" w14:textId="77777777" w:rsidTr="003E6F6C">
        <w:tc>
          <w:tcPr>
            <w:tcW w:w="3104" w:type="dxa"/>
          </w:tcPr>
          <w:p w14:paraId="1C23CCBF"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 в %%</w:t>
            </w:r>
          </w:p>
        </w:tc>
        <w:tc>
          <w:tcPr>
            <w:tcW w:w="1549" w:type="dxa"/>
          </w:tcPr>
          <w:p w14:paraId="2472883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58DF7A3E"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2,1%</w:t>
            </w:r>
          </w:p>
        </w:tc>
        <w:tc>
          <w:tcPr>
            <w:tcW w:w="1559" w:type="dxa"/>
          </w:tcPr>
          <w:p w14:paraId="1061907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5,8%</w:t>
            </w:r>
          </w:p>
        </w:tc>
        <w:tc>
          <w:tcPr>
            <w:tcW w:w="1559" w:type="dxa"/>
          </w:tcPr>
          <w:p w14:paraId="09EEF27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14,7%</w:t>
            </w:r>
          </w:p>
        </w:tc>
      </w:tr>
      <w:tr w:rsidR="00D470B6" w:rsidRPr="00A53AD7" w14:paraId="5B5EE256" w14:textId="77777777" w:rsidTr="003E6F6C">
        <w:tc>
          <w:tcPr>
            <w:tcW w:w="3104" w:type="dxa"/>
          </w:tcPr>
          <w:p w14:paraId="32F139FB" w14:textId="77777777" w:rsidR="00B823F8" w:rsidRPr="00A53AD7" w:rsidRDefault="00B823F8" w:rsidP="00B823F8">
            <w:pPr>
              <w:pStyle w:val="ad"/>
              <w:jc w:val="both"/>
              <w:rPr>
                <w:rFonts w:ascii="Times New Roman" w:hAnsi="Times New Roman"/>
                <w:b/>
              </w:rPr>
            </w:pPr>
            <w:r w:rsidRPr="00A53AD7">
              <w:rPr>
                <w:rFonts w:ascii="Times New Roman" w:hAnsi="Times New Roman"/>
                <w:b/>
              </w:rPr>
              <w:t>МинТЭКиЖКХ</w:t>
            </w:r>
          </w:p>
        </w:tc>
        <w:tc>
          <w:tcPr>
            <w:tcW w:w="1549" w:type="dxa"/>
          </w:tcPr>
          <w:p w14:paraId="6B4A2008" w14:textId="77777777" w:rsidR="00B823F8" w:rsidRPr="00A53AD7" w:rsidRDefault="00B823F8" w:rsidP="00B823F8">
            <w:pPr>
              <w:pStyle w:val="ad"/>
              <w:jc w:val="center"/>
              <w:rPr>
                <w:rFonts w:ascii="Times New Roman" w:hAnsi="Times New Roman"/>
                <w:b/>
              </w:rPr>
            </w:pPr>
          </w:p>
        </w:tc>
        <w:tc>
          <w:tcPr>
            <w:tcW w:w="1560" w:type="dxa"/>
          </w:tcPr>
          <w:p w14:paraId="15BBC88C" w14:textId="77777777" w:rsidR="00B823F8" w:rsidRPr="00A53AD7" w:rsidRDefault="00B823F8" w:rsidP="00B823F8">
            <w:pPr>
              <w:pStyle w:val="ad"/>
              <w:jc w:val="center"/>
              <w:rPr>
                <w:rFonts w:ascii="Times New Roman" w:hAnsi="Times New Roman"/>
                <w:b/>
              </w:rPr>
            </w:pPr>
          </w:p>
        </w:tc>
        <w:tc>
          <w:tcPr>
            <w:tcW w:w="1559" w:type="dxa"/>
          </w:tcPr>
          <w:p w14:paraId="60095D3A" w14:textId="77777777" w:rsidR="00B823F8" w:rsidRPr="00A53AD7" w:rsidRDefault="00B823F8" w:rsidP="00B823F8">
            <w:pPr>
              <w:pStyle w:val="ad"/>
              <w:jc w:val="center"/>
              <w:rPr>
                <w:rFonts w:ascii="Times New Roman" w:hAnsi="Times New Roman"/>
                <w:b/>
              </w:rPr>
            </w:pPr>
          </w:p>
        </w:tc>
        <w:tc>
          <w:tcPr>
            <w:tcW w:w="1559" w:type="dxa"/>
          </w:tcPr>
          <w:p w14:paraId="624A6704" w14:textId="77777777" w:rsidR="00B823F8" w:rsidRPr="00A53AD7" w:rsidRDefault="00B823F8" w:rsidP="00B823F8">
            <w:pPr>
              <w:pStyle w:val="ad"/>
              <w:jc w:val="center"/>
              <w:rPr>
                <w:rFonts w:ascii="Times New Roman" w:hAnsi="Times New Roman"/>
              </w:rPr>
            </w:pPr>
          </w:p>
        </w:tc>
      </w:tr>
      <w:tr w:rsidR="00D470B6" w:rsidRPr="00A53AD7" w14:paraId="640B35E9" w14:textId="77777777" w:rsidTr="003E6F6C">
        <w:tc>
          <w:tcPr>
            <w:tcW w:w="3104" w:type="dxa"/>
          </w:tcPr>
          <w:p w14:paraId="621DEDEF" w14:textId="77777777" w:rsidR="00B823F8" w:rsidRPr="00A53AD7" w:rsidRDefault="00B823F8" w:rsidP="00B823F8">
            <w:pPr>
              <w:pStyle w:val="ad"/>
              <w:jc w:val="both"/>
              <w:rPr>
                <w:rFonts w:ascii="Times New Roman" w:hAnsi="Times New Roman"/>
              </w:rPr>
            </w:pPr>
            <w:r w:rsidRPr="00A53AD7">
              <w:rPr>
                <w:rFonts w:ascii="Times New Roman" w:hAnsi="Times New Roman"/>
              </w:rPr>
              <w:t>Утверждено</w:t>
            </w:r>
          </w:p>
        </w:tc>
        <w:tc>
          <w:tcPr>
            <w:tcW w:w="1549" w:type="dxa"/>
          </w:tcPr>
          <w:p w14:paraId="313DCADC" w14:textId="77777777" w:rsidR="00B823F8" w:rsidRPr="00A53AD7" w:rsidRDefault="00B823F8" w:rsidP="00B823F8">
            <w:pPr>
              <w:pStyle w:val="ad"/>
              <w:jc w:val="center"/>
              <w:rPr>
                <w:rFonts w:ascii="Times New Roman" w:hAnsi="Times New Roman"/>
              </w:rPr>
            </w:pPr>
            <w:r w:rsidRPr="00A53AD7">
              <w:rPr>
                <w:rFonts w:ascii="Times New Roman" w:hAnsi="Times New Roman"/>
              </w:rPr>
              <w:t>80,9</w:t>
            </w:r>
          </w:p>
        </w:tc>
        <w:tc>
          <w:tcPr>
            <w:tcW w:w="1560" w:type="dxa"/>
          </w:tcPr>
          <w:p w14:paraId="2A9C1604" w14:textId="77777777" w:rsidR="00B823F8" w:rsidRPr="00A53AD7" w:rsidRDefault="00B823F8" w:rsidP="00B823F8">
            <w:pPr>
              <w:pStyle w:val="ad"/>
              <w:jc w:val="center"/>
              <w:rPr>
                <w:rFonts w:ascii="Times New Roman" w:hAnsi="Times New Roman"/>
              </w:rPr>
            </w:pPr>
            <w:r w:rsidRPr="00A53AD7">
              <w:rPr>
                <w:rFonts w:ascii="Times New Roman" w:hAnsi="Times New Roman"/>
              </w:rPr>
              <w:t>174,5</w:t>
            </w:r>
          </w:p>
        </w:tc>
        <w:tc>
          <w:tcPr>
            <w:tcW w:w="1559" w:type="dxa"/>
          </w:tcPr>
          <w:p w14:paraId="410564DB" w14:textId="77777777" w:rsidR="00B823F8" w:rsidRPr="00A53AD7" w:rsidRDefault="00B823F8" w:rsidP="00B823F8">
            <w:pPr>
              <w:pStyle w:val="ad"/>
              <w:jc w:val="center"/>
              <w:rPr>
                <w:rFonts w:ascii="Times New Roman" w:hAnsi="Times New Roman"/>
              </w:rPr>
            </w:pPr>
            <w:r w:rsidRPr="00A53AD7">
              <w:rPr>
                <w:rFonts w:ascii="Times New Roman" w:hAnsi="Times New Roman"/>
              </w:rPr>
              <w:t>194,0</w:t>
            </w:r>
          </w:p>
        </w:tc>
        <w:tc>
          <w:tcPr>
            <w:tcW w:w="1559" w:type="dxa"/>
          </w:tcPr>
          <w:p w14:paraId="06FAF164" w14:textId="77777777" w:rsidR="00B823F8" w:rsidRPr="00A53AD7" w:rsidRDefault="00B823F8" w:rsidP="00B823F8">
            <w:pPr>
              <w:pStyle w:val="ad"/>
              <w:jc w:val="center"/>
              <w:rPr>
                <w:rFonts w:ascii="Times New Roman" w:hAnsi="Times New Roman"/>
              </w:rPr>
            </w:pPr>
            <w:r w:rsidRPr="00A53AD7">
              <w:rPr>
                <w:rFonts w:ascii="Times New Roman" w:hAnsi="Times New Roman"/>
              </w:rPr>
              <w:t>194,0</w:t>
            </w:r>
          </w:p>
        </w:tc>
      </w:tr>
      <w:tr w:rsidR="00D470B6" w:rsidRPr="00A53AD7" w14:paraId="15E44A28" w14:textId="77777777" w:rsidTr="003E6F6C">
        <w:tc>
          <w:tcPr>
            <w:tcW w:w="3104" w:type="dxa"/>
          </w:tcPr>
          <w:p w14:paraId="1D200869"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w:t>
            </w:r>
          </w:p>
        </w:tc>
        <w:tc>
          <w:tcPr>
            <w:tcW w:w="1549" w:type="dxa"/>
          </w:tcPr>
          <w:p w14:paraId="70EF52AC" w14:textId="77777777" w:rsidR="00B823F8" w:rsidRPr="00A53AD7" w:rsidRDefault="00B823F8" w:rsidP="00B823F8">
            <w:pPr>
              <w:pStyle w:val="ad"/>
              <w:jc w:val="center"/>
              <w:rPr>
                <w:rFonts w:ascii="Times New Roman" w:hAnsi="Times New Roman"/>
              </w:rPr>
            </w:pPr>
            <w:r w:rsidRPr="00A53AD7">
              <w:rPr>
                <w:rFonts w:ascii="Times New Roman" w:hAnsi="Times New Roman"/>
              </w:rPr>
              <w:t>0</w:t>
            </w:r>
          </w:p>
        </w:tc>
        <w:tc>
          <w:tcPr>
            <w:tcW w:w="1560" w:type="dxa"/>
          </w:tcPr>
          <w:p w14:paraId="284388F9" w14:textId="77777777" w:rsidR="00B823F8" w:rsidRPr="00A53AD7" w:rsidRDefault="00B823F8" w:rsidP="00B823F8">
            <w:pPr>
              <w:pStyle w:val="ad"/>
              <w:jc w:val="center"/>
              <w:rPr>
                <w:rFonts w:ascii="Times New Roman" w:hAnsi="Times New Roman"/>
              </w:rPr>
            </w:pPr>
            <w:r w:rsidRPr="00A53AD7">
              <w:rPr>
                <w:rFonts w:ascii="Times New Roman" w:hAnsi="Times New Roman"/>
              </w:rPr>
              <w:t>7,4</w:t>
            </w:r>
          </w:p>
        </w:tc>
        <w:tc>
          <w:tcPr>
            <w:tcW w:w="1559" w:type="dxa"/>
          </w:tcPr>
          <w:p w14:paraId="41EA6EEE" w14:textId="77777777" w:rsidR="00B823F8" w:rsidRPr="00A53AD7" w:rsidRDefault="00B823F8" w:rsidP="00B823F8">
            <w:pPr>
              <w:pStyle w:val="ad"/>
              <w:jc w:val="center"/>
              <w:rPr>
                <w:rFonts w:ascii="Times New Roman" w:hAnsi="Times New Roman"/>
              </w:rPr>
            </w:pPr>
            <w:r w:rsidRPr="00A53AD7">
              <w:rPr>
                <w:rFonts w:ascii="Times New Roman" w:hAnsi="Times New Roman"/>
              </w:rPr>
              <w:t>88,4</w:t>
            </w:r>
          </w:p>
        </w:tc>
        <w:tc>
          <w:tcPr>
            <w:tcW w:w="1559" w:type="dxa"/>
          </w:tcPr>
          <w:p w14:paraId="59AE7C52" w14:textId="77777777" w:rsidR="00B823F8" w:rsidRPr="00A53AD7" w:rsidRDefault="00B823F8" w:rsidP="00B823F8">
            <w:pPr>
              <w:pStyle w:val="ad"/>
              <w:jc w:val="center"/>
              <w:rPr>
                <w:rFonts w:ascii="Times New Roman" w:hAnsi="Times New Roman"/>
              </w:rPr>
            </w:pPr>
            <w:r w:rsidRPr="00A53AD7">
              <w:rPr>
                <w:rFonts w:ascii="Times New Roman" w:hAnsi="Times New Roman"/>
              </w:rPr>
              <w:t>126,4</w:t>
            </w:r>
          </w:p>
        </w:tc>
      </w:tr>
      <w:tr w:rsidR="00D470B6" w:rsidRPr="00A53AD7" w14:paraId="767185D9" w14:textId="77777777" w:rsidTr="003E6F6C">
        <w:tc>
          <w:tcPr>
            <w:tcW w:w="3104" w:type="dxa"/>
          </w:tcPr>
          <w:p w14:paraId="71FD9760" w14:textId="77777777" w:rsidR="00B823F8" w:rsidRPr="00A53AD7" w:rsidRDefault="00B823F8" w:rsidP="00B823F8">
            <w:pPr>
              <w:pStyle w:val="ad"/>
              <w:jc w:val="both"/>
              <w:rPr>
                <w:rFonts w:ascii="Times New Roman" w:hAnsi="Times New Roman"/>
              </w:rPr>
            </w:pPr>
            <w:r w:rsidRPr="00A53AD7">
              <w:rPr>
                <w:rFonts w:ascii="Times New Roman" w:hAnsi="Times New Roman"/>
              </w:rPr>
              <w:t>Исполнено в %%</w:t>
            </w:r>
          </w:p>
        </w:tc>
        <w:tc>
          <w:tcPr>
            <w:tcW w:w="1549" w:type="dxa"/>
          </w:tcPr>
          <w:p w14:paraId="28A53C9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6611D99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4,2%</w:t>
            </w:r>
          </w:p>
        </w:tc>
        <w:tc>
          <w:tcPr>
            <w:tcW w:w="1559" w:type="dxa"/>
          </w:tcPr>
          <w:p w14:paraId="55D5A8A2"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45,6%</w:t>
            </w:r>
          </w:p>
        </w:tc>
        <w:tc>
          <w:tcPr>
            <w:tcW w:w="1559" w:type="dxa"/>
          </w:tcPr>
          <w:p w14:paraId="00B337D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65,2%</w:t>
            </w:r>
          </w:p>
        </w:tc>
      </w:tr>
      <w:tr w:rsidR="00D470B6" w:rsidRPr="00A53AD7" w14:paraId="24BE4BCB" w14:textId="77777777" w:rsidTr="003E6F6C">
        <w:tc>
          <w:tcPr>
            <w:tcW w:w="3104" w:type="dxa"/>
          </w:tcPr>
          <w:p w14:paraId="7C28BAC2"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в т.ч. мун. образов.</w:t>
            </w:r>
          </w:p>
        </w:tc>
        <w:tc>
          <w:tcPr>
            <w:tcW w:w="1549" w:type="dxa"/>
          </w:tcPr>
          <w:p w14:paraId="4191A3A1"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0B3F3AC6"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32,0</w:t>
            </w:r>
          </w:p>
        </w:tc>
        <w:tc>
          <w:tcPr>
            <w:tcW w:w="1559" w:type="dxa"/>
          </w:tcPr>
          <w:p w14:paraId="13BE64E5"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176,4</w:t>
            </w:r>
          </w:p>
        </w:tc>
        <w:tc>
          <w:tcPr>
            <w:tcW w:w="1559" w:type="dxa"/>
          </w:tcPr>
          <w:p w14:paraId="0A316A0E" w14:textId="77777777" w:rsidR="00B823F8" w:rsidRPr="00A53AD7" w:rsidRDefault="00B823F8" w:rsidP="00B823F8">
            <w:pPr>
              <w:pStyle w:val="ad"/>
              <w:jc w:val="center"/>
              <w:rPr>
                <w:rFonts w:ascii="Times New Roman" w:hAnsi="Times New Roman"/>
              </w:rPr>
            </w:pPr>
            <w:r w:rsidRPr="00A53AD7">
              <w:rPr>
                <w:rFonts w:ascii="Times New Roman" w:hAnsi="Times New Roman"/>
              </w:rPr>
              <w:t>318,1</w:t>
            </w:r>
          </w:p>
        </w:tc>
      </w:tr>
      <w:tr w:rsidR="00B823F8" w:rsidRPr="00A53AD7" w14:paraId="290DEE98" w14:textId="77777777" w:rsidTr="003E6F6C">
        <w:tc>
          <w:tcPr>
            <w:tcW w:w="3104" w:type="dxa"/>
          </w:tcPr>
          <w:p w14:paraId="336E60C5" w14:textId="77777777" w:rsidR="00B823F8" w:rsidRPr="00A53AD7" w:rsidRDefault="00B823F8" w:rsidP="00B823F8">
            <w:pPr>
              <w:pStyle w:val="ad"/>
              <w:ind w:hanging="113"/>
              <w:jc w:val="both"/>
              <w:rPr>
                <w:rFonts w:ascii="Times New Roman" w:hAnsi="Times New Roman"/>
              </w:rPr>
            </w:pPr>
            <w:r w:rsidRPr="00A53AD7">
              <w:rPr>
                <w:rFonts w:ascii="Times New Roman" w:hAnsi="Times New Roman"/>
              </w:rPr>
              <w:t xml:space="preserve"> В % к бюдж. росписи</w:t>
            </w:r>
          </w:p>
        </w:tc>
        <w:tc>
          <w:tcPr>
            <w:tcW w:w="1549" w:type="dxa"/>
          </w:tcPr>
          <w:p w14:paraId="2C833DFC"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0</w:t>
            </w:r>
          </w:p>
        </w:tc>
        <w:tc>
          <w:tcPr>
            <w:tcW w:w="1560" w:type="dxa"/>
          </w:tcPr>
          <w:p w14:paraId="41EDACE9"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2,9%</w:t>
            </w:r>
          </w:p>
        </w:tc>
        <w:tc>
          <w:tcPr>
            <w:tcW w:w="1559" w:type="dxa"/>
          </w:tcPr>
          <w:p w14:paraId="560F419B"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15,9%</w:t>
            </w:r>
          </w:p>
        </w:tc>
        <w:tc>
          <w:tcPr>
            <w:tcW w:w="1559" w:type="dxa"/>
          </w:tcPr>
          <w:p w14:paraId="2254C4C8" w14:textId="77777777" w:rsidR="00B823F8" w:rsidRPr="00A53AD7" w:rsidRDefault="00B823F8" w:rsidP="00B823F8">
            <w:pPr>
              <w:pStyle w:val="ad"/>
              <w:jc w:val="center"/>
              <w:rPr>
                <w:rFonts w:ascii="Times New Roman" w:hAnsi="Times New Roman"/>
                <w:b/>
              </w:rPr>
            </w:pPr>
            <w:r w:rsidRPr="00A53AD7">
              <w:rPr>
                <w:rFonts w:ascii="Times New Roman" w:hAnsi="Times New Roman"/>
                <w:b/>
              </w:rPr>
              <w:t>23,5%</w:t>
            </w:r>
          </w:p>
        </w:tc>
      </w:tr>
    </w:tbl>
    <w:p w14:paraId="16871111" w14:textId="77777777" w:rsidR="00B823F8" w:rsidRPr="00A53AD7" w:rsidRDefault="00B823F8" w:rsidP="00B823F8">
      <w:pPr>
        <w:pStyle w:val="ad"/>
        <w:jc w:val="both"/>
        <w:rPr>
          <w:rFonts w:ascii="Times New Roman" w:hAnsi="Times New Roman"/>
          <w:sz w:val="28"/>
          <w:szCs w:val="28"/>
          <w:highlight w:val="cyan"/>
        </w:rPr>
      </w:pPr>
    </w:p>
    <w:p w14:paraId="56A67677" w14:textId="77777777" w:rsidR="00B823F8" w:rsidRPr="00A53AD7" w:rsidRDefault="00B823F8" w:rsidP="003E6F6C">
      <w:pPr>
        <w:pStyle w:val="ad"/>
        <w:ind w:firstLine="851"/>
        <w:jc w:val="both"/>
        <w:rPr>
          <w:rFonts w:ascii="Times New Roman" w:hAnsi="Times New Roman"/>
          <w:sz w:val="28"/>
          <w:szCs w:val="28"/>
        </w:rPr>
      </w:pPr>
      <w:r w:rsidRPr="00A53AD7">
        <w:rPr>
          <w:rFonts w:ascii="Times New Roman" w:hAnsi="Times New Roman"/>
          <w:sz w:val="28"/>
          <w:szCs w:val="28"/>
        </w:rPr>
        <w:t>Главные распорядители:</w:t>
      </w:r>
    </w:p>
    <w:p w14:paraId="4B1BA366" w14:textId="549990C9"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 xml:space="preserve"> министерство строительства и архитектуры утверждены расходы согласно закону в сумме 1 817,9 млн.руб., бюджетной росписи 2 330,2 млн.руб., исполнены 343,4 млн.руб. или на 14,7% к показателям бюджетной росписи;</w:t>
      </w:r>
    </w:p>
    <w:p w14:paraId="7E5856AB" w14:textId="3EF5ED17" w:rsidR="00B823F8" w:rsidRPr="00A53AD7" w:rsidRDefault="00B823F8" w:rsidP="00CA1DDD">
      <w:pPr>
        <w:pStyle w:val="ad"/>
        <w:numPr>
          <w:ilvl w:val="0"/>
          <w:numId w:val="24"/>
        </w:numPr>
        <w:ind w:left="0" w:firstLine="851"/>
        <w:jc w:val="both"/>
        <w:rPr>
          <w:rFonts w:ascii="Times New Roman" w:hAnsi="Times New Roman"/>
          <w:sz w:val="28"/>
          <w:szCs w:val="28"/>
        </w:rPr>
      </w:pPr>
      <w:r w:rsidRPr="00A53AD7">
        <w:rPr>
          <w:rFonts w:ascii="Times New Roman" w:hAnsi="Times New Roman"/>
          <w:sz w:val="28"/>
          <w:szCs w:val="28"/>
        </w:rPr>
        <w:t>министерство ТЭК и ЖКХ утверждены расходы согласно закону в сумме 174,5 млн.руб., бюджетной росписи 194,0 млн.руб., исполнены 126,4 млн.руб. или на 65,2% к показателям бюджетной росписи.</w:t>
      </w:r>
    </w:p>
    <w:p w14:paraId="549C8221" w14:textId="5DC25014" w:rsidR="00C65E7D" w:rsidRPr="00A53AD7" w:rsidRDefault="00C65E7D" w:rsidP="00C65E7D">
      <w:pPr>
        <w:pStyle w:val="2"/>
        <w:spacing w:line="240" w:lineRule="auto"/>
        <w:jc w:val="center"/>
        <w:rPr>
          <w:rFonts w:ascii="Times New Roman" w:hAnsi="Times New Roman"/>
          <w:lang w:val="ru-RU"/>
        </w:rPr>
      </w:pPr>
      <w:bookmarkStart w:id="102" w:name="_Toc42006744"/>
      <w:r w:rsidRPr="00A53AD7">
        <w:rPr>
          <w:rFonts w:ascii="Times New Roman" w:hAnsi="Times New Roman"/>
          <w:lang w:val="ru-RU"/>
        </w:rPr>
        <w:t>4.5.</w:t>
      </w:r>
      <w:r w:rsidR="00552BA7" w:rsidRPr="00A53AD7">
        <w:rPr>
          <w:rFonts w:ascii="Times New Roman" w:hAnsi="Times New Roman"/>
          <w:lang w:val="ru-RU"/>
        </w:rPr>
        <w:t xml:space="preserve"> </w:t>
      </w:r>
      <w:r w:rsidR="001B526D" w:rsidRPr="00A53AD7">
        <w:rPr>
          <w:rFonts w:ascii="Times New Roman" w:hAnsi="Times New Roman"/>
          <w:lang w:val="ru-RU"/>
        </w:rPr>
        <w:t>Дорожный фонд Архангельской области 2019 года</w:t>
      </w:r>
      <w:bookmarkEnd w:id="102"/>
      <w:r w:rsidRPr="00A53AD7">
        <w:rPr>
          <w:rFonts w:ascii="Times New Roman" w:hAnsi="Times New Roman"/>
          <w:lang w:val="ru-RU"/>
        </w:rPr>
        <w:t xml:space="preserve"> </w:t>
      </w:r>
    </w:p>
    <w:p w14:paraId="4C6BDAFE" w14:textId="60F9CD2B" w:rsidR="00EA3C8D" w:rsidRPr="00A53AD7" w:rsidRDefault="00EA3C8D" w:rsidP="00EA3C8D">
      <w:pPr>
        <w:pStyle w:val="ad"/>
        <w:ind w:firstLine="851"/>
        <w:jc w:val="both"/>
        <w:rPr>
          <w:rFonts w:ascii="Times New Roman" w:hAnsi="Times New Roman"/>
          <w:sz w:val="28"/>
          <w:szCs w:val="28"/>
        </w:rPr>
      </w:pPr>
      <w:bookmarkStart w:id="103" w:name="_Toc26445483"/>
      <w:r w:rsidRPr="00A53AD7">
        <w:rPr>
          <w:rFonts w:ascii="Times New Roman" w:hAnsi="Times New Roman"/>
          <w:sz w:val="28"/>
          <w:szCs w:val="28"/>
        </w:rPr>
        <w:t>В соответствии с пунктом 1 ст. 10 Закона о бюджете за 2019 год (ред. от 13.12.2019) общий объем дорожного фонда АО на 2019 год утвержден в сумме 7 186,3 млн. руб., увеличен на 2 381,7 млн.руб. по сравнению с первоначальной редакцией (17.12.2018) Закона о бюджете.</w:t>
      </w:r>
    </w:p>
    <w:p w14:paraId="60BD2E52" w14:textId="5616227D"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В соответствии с пунктом 2 ст. 10 Закона о бюджете за 2019 год (ред. от 13.12.2019) субсидий бюджетам МР и ГО области на софинансирование дорожной деятельности в отношении автомобильных дорог общего пользования местного значения, капитального ремонта и ремонта дворовых территорий многоквартирных домов, проездов к дворовым территориям многоквартирных домов населенных пунктов, осуществляемых за счет бюджетных ассигнований муниципальных дорожных фондов на 2019 год утвержден в сумме 312,5 млн. руб., увеличен на 33,3 млн.руб. по сравнению с первоначальной редакцией (17.12.2018) Закона о бюджете.</w:t>
      </w:r>
    </w:p>
    <w:p w14:paraId="54A6D6C8" w14:textId="55785349"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Источники дорожного фонда исполнены на 104% от плановых значений или 7 184,2 млн.руб. из них средства федерального бюджета 2 337,6 млн.руб. Включен неиспользованный остаток 2018 года в размере 297,2 млн.руб.</w:t>
      </w:r>
    </w:p>
    <w:p w14:paraId="1F8A8C14"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Основная доля поступлений – это акцизы на нефтепродукты, по итогам 2019 года поступило акцизов в сумме 3 196,97 млн.руб., что составляет 43% к общим источникам поступлений, и больше утвержденных ассигнований на 295,8 млн.руб.</w:t>
      </w:r>
    </w:p>
    <w:p w14:paraId="212C9171"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Транспортный налог поступил в сумме 1240,9 млн.руб., что составляет 17% к общим источникам поступлений.</w:t>
      </w:r>
    </w:p>
    <w:p w14:paraId="45D45C0A"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Также поступили средства федерального бюджета в размере 2 337,6 млн.руб., что составляет 31% к общим источникам поступлений.</w:t>
      </w:r>
    </w:p>
    <w:p w14:paraId="7EDBCA1D"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Общий объем расходов дорожного фонда Архангельской области за 2019 года составил 7 122,2 млн.руб. или 99% от плана, и по отношению к аналогичным расходам за 2018 год увеличился на 3 080,7 млн.руб., в основном за счет межбюджетных трансфертов.</w:t>
      </w:r>
    </w:p>
    <w:p w14:paraId="45EF7958" w14:textId="36C0D06C" w:rsidR="00EA3C8D" w:rsidRPr="00A53AD7" w:rsidRDefault="00EA3C8D" w:rsidP="00EA3C8D">
      <w:pPr>
        <w:pStyle w:val="ad"/>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4D691BD6" wp14:editId="5A3807F5">
            <wp:extent cx="3556000" cy="2133304"/>
            <wp:effectExtent l="0" t="0" r="6350" b="63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77476" cy="2146188"/>
                    </a:xfrm>
                    <a:prstGeom prst="rect">
                      <a:avLst/>
                    </a:prstGeom>
                    <a:noFill/>
                  </pic:spPr>
                </pic:pic>
              </a:graphicData>
            </a:graphic>
          </wp:inline>
        </w:drawing>
      </w:r>
    </w:p>
    <w:p w14:paraId="1881931A"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В приложение №12 Закона о бюджете в ред. от 13.12.2019 министерству транспорта АО по целевой статье дорожное хозяйство (дорожные фонды) утверждены расходы в размере – 7 186,3 млн.руб., исполнено 7 122,2 млн.руб. или 99% от плановых назначений, из них:</w:t>
      </w:r>
    </w:p>
    <w:p w14:paraId="3DF50B89" w14:textId="0BB2B1A2"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1)</w:t>
      </w:r>
      <w:r w:rsidR="005915D8" w:rsidRPr="00A53AD7">
        <w:rPr>
          <w:rFonts w:ascii="Times New Roman" w:hAnsi="Times New Roman"/>
          <w:sz w:val="28"/>
          <w:szCs w:val="28"/>
        </w:rPr>
        <w:t xml:space="preserve"> </w:t>
      </w:r>
      <w:r w:rsidRPr="00A53AD7">
        <w:rPr>
          <w:rFonts w:ascii="Times New Roman" w:hAnsi="Times New Roman"/>
          <w:sz w:val="28"/>
          <w:szCs w:val="28"/>
        </w:rPr>
        <w:t>расходы на реализацию мероприятий ГП АО "Культура Русского Севера (2013 - 2024 годы)" утверждены в размере 325,7 млн.руб., исполнено 100,0 %, в том числе за счет средств ФБ 293,1 млн.руб. Средства направлены на реконструкцию мостового перехода через реку Вага на км 2+067 автомобильной дороги Вельск – Шангалы. Срок завершения – 31.10.2021 г.</w:t>
      </w:r>
    </w:p>
    <w:p w14:paraId="7CC85E5B"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2) расходы на реализацию мероприятий ГП АО "Развитие транспортной системы Архангельской области" утверждены в размере 6 324,4 млн.руб., исполнено 6 266,1 млн.руб., в том числе за счет ФБ 1 981,2 млн.рублей. Средства направлены на:</w:t>
      </w:r>
    </w:p>
    <w:p w14:paraId="2DD8D63A"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 xml:space="preserve"> ГКУ АО «Архангельскавтодор»:</w:t>
      </w:r>
    </w:p>
    <w:p w14:paraId="729F2AA3" w14:textId="4957F7A2"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обеспечение деаятельности – 103,6 млн.руб. или 99,5% от плана;</w:t>
      </w:r>
    </w:p>
    <w:p w14:paraId="5F339890"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строительство, реконструкцию, капитальный ремонт, ремонт и содержание региональных автомобильных дорог общего пользования регионального значения (в том числе на финансовое обеспечение дорожной деятельности в рамках реализации НП «Безопасные и качественные автомобильные дороги») – 4 873,5 млн.руб.</w:t>
      </w:r>
    </w:p>
    <w:p w14:paraId="5970B523" w14:textId="77777777" w:rsidR="00EA3C8D" w:rsidRPr="00A53AD7" w:rsidRDefault="00EA3C8D" w:rsidP="00EA3C8D">
      <w:pPr>
        <w:pStyle w:val="ad"/>
        <w:ind w:firstLine="851"/>
        <w:jc w:val="both"/>
        <w:rPr>
          <w:rFonts w:ascii="Times New Roman" w:hAnsi="Times New Roman"/>
          <w:sz w:val="28"/>
          <w:szCs w:val="28"/>
        </w:rPr>
      </w:pPr>
      <w:r w:rsidRPr="00A53AD7">
        <w:rPr>
          <w:rFonts w:ascii="Times New Roman" w:hAnsi="Times New Roman"/>
          <w:sz w:val="28"/>
          <w:szCs w:val="28"/>
        </w:rPr>
        <w:t>предоставление субсидии ГБУ АО «РТС» на мероприятия:</w:t>
      </w:r>
    </w:p>
    <w:p w14:paraId="53E1DDF9" w14:textId="517B69C0" w:rsidR="00EA3C8D" w:rsidRPr="00A53AD7" w:rsidRDefault="00EA3C8D" w:rsidP="00CA1DDD">
      <w:pPr>
        <w:pStyle w:val="a8"/>
        <w:numPr>
          <w:ilvl w:val="0"/>
          <w:numId w:val="55"/>
        </w:numPr>
        <w:autoSpaceDE w:val="0"/>
        <w:autoSpaceDN w:val="0"/>
        <w:adjustRightInd w:val="0"/>
        <w:ind w:left="0" w:firstLine="839"/>
        <w:jc w:val="both"/>
        <w:rPr>
          <w:bCs/>
          <w:iCs/>
          <w:sz w:val="28"/>
          <w:szCs w:val="28"/>
        </w:rPr>
      </w:pPr>
      <w:r w:rsidRPr="00A53AD7">
        <w:rPr>
          <w:bCs/>
          <w:iCs/>
          <w:sz w:val="28"/>
          <w:szCs w:val="28"/>
        </w:rPr>
        <w:t>по содержанию комплексов фото-, видеофиксации нарушений ПДД – 9,6 млн.руб. исполнено 100% от плановых назначений;</w:t>
      </w:r>
    </w:p>
    <w:p w14:paraId="1B0D86A1" w14:textId="1609F23A" w:rsidR="00EA3C8D" w:rsidRPr="00A53AD7" w:rsidRDefault="00EA3C8D" w:rsidP="00CA1DDD">
      <w:pPr>
        <w:pStyle w:val="a8"/>
        <w:numPr>
          <w:ilvl w:val="0"/>
          <w:numId w:val="55"/>
        </w:numPr>
        <w:autoSpaceDE w:val="0"/>
        <w:autoSpaceDN w:val="0"/>
        <w:adjustRightInd w:val="0"/>
        <w:ind w:left="0" w:firstLine="839"/>
        <w:jc w:val="both"/>
        <w:rPr>
          <w:bCs/>
          <w:iCs/>
          <w:sz w:val="28"/>
          <w:szCs w:val="28"/>
        </w:rPr>
      </w:pPr>
      <w:r w:rsidRPr="00A53AD7">
        <w:rPr>
          <w:bCs/>
          <w:iCs/>
          <w:sz w:val="28"/>
          <w:szCs w:val="28"/>
        </w:rPr>
        <w:t>выявление и сокращение количества мест концентрации ДТП на дорогах АО – 89,2 млн.руб. или 96% от плановых назначений;</w:t>
      </w:r>
    </w:p>
    <w:p w14:paraId="70F29AEA" w14:textId="77777777" w:rsidR="00EA3C8D" w:rsidRPr="00A53AD7" w:rsidRDefault="00EA3C8D" w:rsidP="00BE0AE6">
      <w:pPr>
        <w:pStyle w:val="ad"/>
        <w:ind w:firstLine="851"/>
        <w:jc w:val="both"/>
        <w:rPr>
          <w:rFonts w:ascii="Times New Roman" w:hAnsi="Times New Roman"/>
          <w:sz w:val="28"/>
          <w:szCs w:val="28"/>
        </w:rPr>
      </w:pPr>
      <w:r w:rsidRPr="00A53AD7">
        <w:rPr>
          <w:rFonts w:ascii="Times New Roman" w:hAnsi="Times New Roman"/>
          <w:sz w:val="28"/>
          <w:szCs w:val="28"/>
        </w:rPr>
        <w:t>предоставление субсидий местным бюджетам на софинансирование дорожной деятельности (в том числе на финансовое обеспечение дорожной деятельности в рамках реализации НП «Безопасные и качественные автомобильные дороги») – 1 190,3 млн.руб.</w:t>
      </w:r>
    </w:p>
    <w:p w14:paraId="262DE757" w14:textId="59E77738" w:rsidR="00EA3C8D" w:rsidRPr="00A53AD7" w:rsidRDefault="00EA3C8D" w:rsidP="00BE0AE6">
      <w:pPr>
        <w:pStyle w:val="ad"/>
        <w:ind w:firstLine="851"/>
        <w:jc w:val="both"/>
        <w:rPr>
          <w:rFonts w:ascii="Times New Roman" w:hAnsi="Times New Roman"/>
          <w:sz w:val="28"/>
          <w:szCs w:val="28"/>
        </w:rPr>
      </w:pPr>
      <w:r w:rsidRPr="00A53AD7">
        <w:rPr>
          <w:rFonts w:ascii="Times New Roman" w:hAnsi="Times New Roman"/>
          <w:sz w:val="28"/>
          <w:szCs w:val="28"/>
        </w:rPr>
        <w:t>Получатели средств дорожного фонда в рамках исполнения ГП АО "Развитие транспортной системы Архангельской области"</w:t>
      </w:r>
      <w:r w:rsidR="009618EC" w:rsidRPr="00A53AD7">
        <w:rPr>
          <w:rFonts w:ascii="Times New Roman" w:hAnsi="Times New Roman"/>
          <w:sz w:val="28"/>
          <w:szCs w:val="28"/>
        </w:rPr>
        <w:t>:</w:t>
      </w:r>
    </w:p>
    <w:p w14:paraId="36C35EEE" w14:textId="2B8224B7" w:rsidR="009618EC" w:rsidRPr="00A53AD7" w:rsidRDefault="009618EC" w:rsidP="009618EC">
      <w:pPr>
        <w:pStyle w:val="ad"/>
        <w:ind w:firstLine="142"/>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2F88E918" wp14:editId="76670E94">
            <wp:extent cx="3728417" cy="2105660"/>
            <wp:effectExtent l="0" t="0" r="5715" b="889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33359" cy="2108451"/>
                    </a:xfrm>
                    <a:prstGeom prst="rect">
                      <a:avLst/>
                    </a:prstGeom>
                    <a:noFill/>
                  </pic:spPr>
                </pic:pic>
              </a:graphicData>
            </a:graphic>
          </wp:inline>
        </w:drawing>
      </w:r>
    </w:p>
    <w:p w14:paraId="7D4EF0D0" w14:textId="77777777" w:rsidR="00EA3C8D" w:rsidRPr="00A53AD7" w:rsidRDefault="00EA3C8D" w:rsidP="004570E6">
      <w:pPr>
        <w:pStyle w:val="ad"/>
        <w:ind w:firstLine="851"/>
        <w:jc w:val="both"/>
        <w:rPr>
          <w:rFonts w:ascii="Times New Roman" w:hAnsi="Times New Roman"/>
          <w:sz w:val="28"/>
          <w:szCs w:val="28"/>
        </w:rPr>
      </w:pPr>
      <w:r w:rsidRPr="00A53AD7">
        <w:rPr>
          <w:rFonts w:ascii="Times New Roman" w:hAnsi="Times New Roman"/>
          <w:sz w:val="28"/>
          <w:szCs w:val="28"/>
        </w:rPr>
        <w:t>3) расходы на реализацию мероприятий ГП АО "Устойчивое развитие сельских территорий Архангельской области (2014 - 2021 годы)" утверждены в размере 179,0 млн.руб., исполнено 100,0 % плановых назначений, в том числе за счет средств ФБ 63,3 млн. руб. Средства направлены:</w:t>
      </w:r>
    </w:p>
    <w:p w14:paraId="58795A1D" w14:textId="0B3FE2AF" w:rsidR="00EA3C8D" w:rsidRPr="00A53AD7" w:rsidRDefault="00EA3C8D" w:rsidP="00CA1DDD">
      <w:pPr>
        <w:pStyle w:val="a8"/>
        <w:numPr>
          <w:ilvl w:val="0"/>
          <w:numId w:val="56"/>
        </w:numPr>
        <w:ind w:left="0" w:firstLine="839"/>
        <w:jc w:val="both"/>
        <w:rPr>
          <w:sz w:val="28"/>
          <w:szCs w:val="28"/>
        </w:rPr>
      </w:pPr>
      <w:r w:rsidRPr="00A53AD7">
        <w:rPr>
          <w:sz w:val="28"/>
          <w:szCs w:val="28"/>
        </w:rPr>
        <w:t>разработка проектной документации на реконструкцию автомобильной дороги Усть-Ваеньга – Осиново – Фалюки на участке км 85 – км 97 в Виноградовском районе Архангельской области (ОБ – 5,0 млн.руб. исполнено на 100%.</w:t>
      </w:r>
    </w:p>
    <w:p w14:paraId="428302CC" w14:textId="6BED2D9A" w:rsidR="00EA3C8D" w:rsidRPr="00A53AD7" w:rsidRDefault="00EA3C8D" w:rsidP="00CA1DDD">
      <w:pPr>
        <w:pStyle w:val="a8"/>
        <w:numPr>
          <w:ilvl w:val="0"/>
          <w:numId w:val="56"/>
        </w:numPr>
        <w:ind w:left="0" w:firstLine="839"/>
        <w:jc w:val="both"/>
        <w:rPr>
          <w:sz w:val="28"/>
          <w:szCs w:val="28"/>
        </w:rPr>
      </w:pPr>
      <w:r w:rsidRPr="00A53AD7">
        <w:rPr>
          <w:sz w:val="28"/>
          <w:szCs w:val="28"/>
        </w:rPr>
        <w:t>строительство автомобильной дороги к селу Ненокса от автомобильной дороги «Северодвинск – Онега» запланировано 173,9 млн.руб. (ФБ – 63,3 млн.руб., ОБ – 110,6 млн.руб.), исполнено – 173,9 млн.руб.</w:t>
      </w:r>
      <w:r w:rsidR="005915D8" w:rsidRPr="00A53AD7">
        <w:rPr>
          <w:sz w:val="28"/>
          <w:szCs w:val="28"/>
        </w:rPr>
        <w:t xml:space="preserve"> </w:t>
      </w:r>
      <w:r w:rsidRPr="00A53AD7">
        <w:rPr>
          <w:sz w:val="28"/>
          <w:szCs w:val="28"/>
        </w:rPr>
        <w:t>или 100%. В соответствии с отчетом о расходах, в целях софинансирования которых предоставлена субсидия на 01.01.2020 года министерства транспорта АО, кассовые расходы за счет средств федерального и областного бюджета составили – 173,9 млн.руб. (ФБ – 63,3 млн.руб., ОБ – 110,6 млн.руб.). Платежными поручения с 18.06.2019 по 26.12.2019 администрацией МО «Северодвинск» перечислено ООО «Севзапдорстрой» 181,5 млн.руб.,</w:t>
      </w:r>
      <w:r w:rsidR="005915D8" w:rsidRPr="00A53AD7">
        <w:rPr>
          <w:sz w:val="28"/>
          <w:szCs w:val="28"/>
        </w:rPr>
        <w:t xml:space="preserve"> </w:t>
      </w:r>
      <w:r w:rsidRPr="00A53AD7">
        <w:rPr>
          <w:sz w:val="28"/>
          <w:szCs w:val="28"/>
        </w:rPr>
        <w:t>с учетом местного бюджета 7,5 млн.руб., что является полной стоимостью первого этапа строительства - 2019 год.</w:t>
      </w:r>
    </w:p>
    <w:p w14:paraId="370F140B" w14:textId="77777777" w:rsidR="00EA3C8D" w:rsidRPr="00A53AD7" w:rsidRDefault="00EA3C8D" w:rsidP="00FE5BCC">
      <w:pPr>
        <w:pStyle w:val="ad"/>
        <w:ind w:firstLine="851"/>
        <w:jc w:val="both"/>
        <w:rPr>
          <w:rFonts w:ascii="Times New Roman" w:hAnsi="Times New Roman"/>
          <w:sz w:val="28"/>
          <w:szCs w:val="28"/>
        </w:rPr>
      </w:pPr>
      <w:r w:rsidRPr="00A53AD7">
        <w:rPr>
          <w:rFonts w:ascii="Times New Roman" w:hAnsi="Times New Roman"/>
          <w:sz w:val="28"/>
          <w:szCs w:val="28"/>
        </w:rPr>
        <w:t>Согласно ст. 10 Закона о бюджете в 2019 году на расходы по проектированию и строительству, реконструкции автомобильных дорог общего пользования регионального значения с твердым покрытием до сельских населенных пунктов, не имеющих круглогодичной связи с сетью автомобильных дорог общего пользования с твердым покрытием, а также на их капитальный ремонт и ремонт в рамках мероприятий подпрограммы "Развитие и совершенствование сети автомобильных дорог общего пользования регионального значения" приложения N 2 к ГП АО "Развитие транспортной системы Архангельской области", и мероприятия, указанного в пункте 2.8 приложения N 2 к ГП АО "Устойчивое развитие сельских территорий Архангельской области (2014 - 2021 годы)" направляется не менее 5 % объема бюджетных ассигнований дорожного фонда АО, формируемого за счет доходов областного бюджета от акцизов на нефтепродукты, а также транспортного налога. Соответственно на указанные мероприятия должно быть направлено 221,9 млн.руб. (4437,9 млн.руб. * 5%).</w:t>
      </w:r>
    </w:p>
    <w:p w14:paraId="5880ABDB" w14:textId="77777777" w:rsidR="00EA3C8D" w:rsidRPr="00A53AD7" w:rsidRDefault="00EA3C8D" w:rsidP="00FE5BCC">
      <w:pPr>
        <w:pStyle w:val="ad"/>
        <w:ind w:firstLine="851"/>
        <w:jc w:val="both"/>
        <w:rPr>
          <w:rFonts w:ascii="Times New Roman" w:hAnsi="Times New Roman"/>
          <w:sz w:val="28"/>
          <w:szCs w:val="28"/>
        </w:rPr>
      </w:pPr>
      <w:r w:rsidRPr="00A53AD7">
        <w:rPr>
          <w:rFonts w:ascii="Times New Roman" w:hAnsi="Times New Roman"/>
          <w:sz w:val="28"/>
          <w:szCs w:val="28"/>
        </w:rPr>
        <w:t>Фактически на реализацию вышеуказанных мероприятий направлено 358,19 млн.руб. или 8% от объема бюджетных ассигнований, что соответсвует условиям статьи 10 Закона о бюджете.</w:t>
      </w:r>
    </w:p>
    <w:p w14:paraId="5B4DE3CC" w14:textId="77777777" w:rsidR="00EA3C8D" w:rsidRPr="00A53AD7" w:rsidRDefault="00EA3C8D" w:rsidP="00FE5BCC">
      <w:pPr>
        <w:pStyle w:val="ad"/>
        <w:ind w:firstLine="851"/>
        <w:jc w:val="both"/>
        <w:rPr>
          <w:rFonts w:ascii="Times New Roman" w:hAnsi="Times New Roman"/>
          <w:sz w:val="28"/>
          <w:szCs w:val="28"/>
        </w:rPr>
      </w:pPr>
      <w:r w:rsidRPr="00A53AD7">
        <w:rPr>
          <w:rFonts w:ascii="Times New Roman" w:hAnsi="Times New Roman"/>
          <w:sz w:val="28"/>
          <w:szCs w:val="28"/>
        </w:rPr>
        <w:t>4) непрограммные расходы в области дорожного хозяйства утверждены в размере 357,5 млн.руб., исполнено 351,3 млн. рублей (или 98,3 % плановых назначений), из них:</w:t>
      </w:r>
    </w:p>
    <w:p w14:paraId="5628F0E2" w14:textId="77777777" w:rsidR="00EA3C8D" w:rsidRPr="00A53AD7" w:rsidRDefault="00EA3C8D" w:rsidP="00FE5BCC">
      <w:pPr>
        <w:pStyle w:val="ad"/>
        <w:ind w:firstLine="851"/>
        <w:jc w:val="both"/>
        <w:rPr>
          <w:rFonts w:ascii="Times New Roman" w:hAnsi="Times New Roman"/>
          <w:sz w:val="28"/>
          <w:szCs w:val="28"/>
        </w:rPr>
      </w:pPr>
      <w:r w:rsidRPr="00A53AD7">
        <w:rPr>
          <w:rFonts w:ascii="Times New Roman" w:hAnsi="Times New Roman"/>
          <w:sz w:val="28"/>
          <w:szCs w:val="28"/>
        </w:rPr>
        <w:t>субсидии муниципальным образованиям на софинансирование дорожной деятельности – 309,4 млн.руб.;</w:t>
      </w:r>
    </w:p>
    <w:p w14:paraId="7BADFDE4" w14:textId="77777777" w:rsidR="00EA3C8D" w:rsidRPr="00A53AD7" w:rsidRDefault="00EA3C8D" w:rsidP="00FE5BCC">
      <w:pPr>
        <w:pStyle w:val="ad"/>
        <w:ind w:firstLine="851"/>
        <w:jc w:val="both"/>
        <w:rPr>
          <w:rFonts w:ascii="Times New Roman" w:hAnsi="Times New Roman"/>
          <w:sz w:val="28"/>
          <w:szCs w:val="28"/>
        </w:rPr>
      </w:pPr>
      <w:r w:rsidRPr="00A53AD7">
        <w:rPr>
          <w:rFonts w:ascii="Times New Roman" w:hAnsi="Times New Roman"/>
          <w:sz w:val="28"/>
          <w:szCs w:val="28"/>
        </w:rPr>
        <w:t>расходы на ликвидацию потерь дорожного хозяйства от осенне-весенних паводков и неблагоприятных последствий природного и техногенного характера – 41,9 млн.руб.</w:t>
      </w:r>
    </w:p>
    <w:p w14:paraId="5ABA3C24" w14:textId="76BFF157" w:rsidR="00DE2EB8" w:rsidRPr="00A53AD7" w:rsidRDefault="00DE2EB8" w:rsidP="00DE2EB8">
      <w:pPr>
        <w:pStyle w:val="2"/>
        <w:spacing w:line="240" w:lineRule="auto"/>
        <w:jc w:val="center"/>
        <w:rPr>
          <w:rFonts w:ascii="Times New Roman" w:hAnsi="Times New Roman"/>
          <w:lang w:val="ru-RU"/>
        </w:rPr>
      </w:pPr>
      <w:bookmarkStart w:id="104" w:name="_Toc42006745"/>
      <w:r w:rsidRPr="00A53AD7">
        <w:rPr>
          <w:rFonts w:ascii="Times New Roman" w:hAnsi="Times New Roman"/>
          <w:lang w:val="ru-RU"/>
        </w:rPr>
        <w:t>4.</w:t>
      </w:r>
      <w:r w:rsidR="006B7638" w:rsidRPr="00A53AD7">
        <w:rPr>
          <w:rFonts w:ascii="Times New Roman" w:hAnsi="Times New Roman"/>
          <w:lang w:val="ru-RU"/>
        </w:rPr>
        <w:t>6</w:t>
      </w:r>
      <w:r w:rsidRPr="00A53AD7">
        <w:rPr>
          <w:rFonts w:ascii="Times New Roman" w:hAnsi="Times New Roman"/>
          <w:lang w:val="ru-RU"/>
        </w:rPr>
        <w:t xml:space="preserve">.. Реализация приоритетных национальных проектов и программ </w:t>
      </w:r>
      <w:r w:rsidR="00F26726" w:rsidRPr="00A53AD7">
        <w:rPr>
          <w:rFonts w:ascii="Times New Roman" w:hAnsi="Times New Roman"/>
          <w:lang w:val="ru-RU"/>
        </w:rPr>
        <w:t>в</w:t>
      </w:r>
      <w:r w:rsidRPr="00A53AD7">
        <w:rPr>
          <w:rFonts w:ascii="Times New Roman" w:hAnsi="Times New Roman"/>
          <w:lang w:val="ru-RU"/>
        </w:rPr>
        <w:t xml:space="preserve"> 2019 год</w:t>
      </w:r>
      <w:bookmarkEnd w:id="103"/>
      <w:r w:rsidR="00F26726" w:rsidRPr="00A53AD7">
        <w:rPr>
          <w:rFonts w:ascii="Times New Roman" w:hAnsi="Times New Roman"/>
          <w:lang w:val="ru-RU"/>
        </w:rPr>
        <w:t>у</w:t>
      </w:r>
      <w:bookmarkEnd w:id="104"/>
    </w:p>
    <w:p w14:paraId="3150FE85" w14:textId="33D3FBA5" w:rsidR="00520087" w:rsidRPr="00A53AD7" w:rsidRDefault="00520087" w:rsidP="00D5039A">
      <w:pPr>
        <w:pStyle w:val="ad"/>
        <w:ind w:firstLine="851"/>
        <w:jc w:val="both"/>
        <w:rPr>
          <w:rFonts w:ascii="Times New Roman" w:hAnsi="Times New Roman"/>
          <w:sz w:val="28"/>
          <w:szCs w:val="28"/>
        </w:rPr>
      </w:pPr>
      <w:r w:rsidRPr="00A53AD7">
        <w:rPr>
          <w:rFonts w:ascii="Times New Roman" w:hAnsi="Times New Roman"/>
          <w:sz w:val="28"/>
          <w:szCs w:val="28"/>
        </w:rPr>
        <w:t>Согласно показателям сводной бюджетной росписи областного бюджета на 2019 год, действующей на 01.01.2019, расходы на реализацию приоритетных национальных проектов РФ (далее – НП РФ) в областном бюджете утверждены в общей сумме 1 134,1 млн.руб</w:t>
      </w:r>
      <w:r w:rsidR="00D5039A" w:rsidRPr="00A53AD7">
        <w:rPr>
          <w:rFonts w:ascii="Times New Roman" w:hAnsi="Times New Roman"/>
          <w:sz w:val="28"/>
          <w:szCs w:val="28"/>
        </w:rPr>
        <w:t xml:space="preserve">. </w:t>
      </w:r>
      <w:r w:rsidRPr="00A53AD7">
        <w:rPr>
          <w:rFonts w:ascii="Times New Roman" w:hAnsi="Times New Roman"/>
          <w:sz w:val="28"/>
          <w:szCs w:val="28"/>
        </w:rPr>
        <w:t>По состоянию на 31.12.2019 расходы из областного бюджета на реализацию НП РФ уточненной сводной бюджетной росписью на 2019 год утверждены в общей сумме 12 738,8 млн.руб.</w:t>
      </w:r>
      <w:r w:rsidR="002361EF" w:rsidRPr="00A53AD7">
        <w:rPr>
          <w:rFonts w:ascii="Times New Roman" w:hAnsi="Times New Roman"/>
          <w:sz w:val="28"/>
          <w:szCs w:val="28"/>
        </w:rPr>
        <w:t>, то есть</w:t>
      </w:r>
      <w:r w:rsidRPr="00A53AD7">
        <w:rPr>
          <w:rFonts w:ascii="Times New Roman" w:hAnsi="Times New Roman"/>
          <w:sz w:val="28"/>
          <w:szCs w:val="28"/>
        </w:rPr>
        <w:t xml:space="preserve"> за 2019 год они были увеличены на 11 </w:t>
      </w:r>
      <w:r w:rsidR="002361EF" w:rsidRPr="00A53AD7">
        <w:rPr>
          <w:rFonts w:ascii="Times New Roman" w:hAnsi="Times New Roman"/>
          <w:sz w:val="28"/>
          <w:szCs w:val="28"/>
        </w:rPr>
        <w:t>604,7 млн.руб. или в 11,2 раза.</w:t>
      </w:r>
    </w:p>
    <w:p w14:paraId="0B40FB21" w14:textId="77777777" w:rsidR="00520087" w:rsidRPr="00A53AD7" w:rsidRDefault="00520087" w:rsidP="002361EF">
      <w:pPr>
        <w:pStyle w:val="ad"/>
        <w:ind w:firstLine="851"/>
        <w:jc w:val="both"/>
        <w:rPr>
          <w:rFonts w:ascii="Times New Roman" w:hAnsi="Times New Roman"/>
          <w:sz w:val="28"/>
          <w:szCs w:val="28"/>
        </w:rPr>
      </w:pPr>
      <w:r w:rsidRPr="00A53AD7">
        <w:rPr>
          <w:rFonts w:ascii="Times New Roman" w:hAnsi="Times New Roman"/>
          <w:sz w:val="28"/>
          <w:szCs w:val="28"/>
        </w:rPr>
        <w:t>Межбюджетные трансферты бюджетам муниципальных образований на реализацию НП РФ из областного бюджета предусмотрены в общей сумме 3 359,6 млн.руб. или 26,4 % от общей суммы расходов.</w:t>
      </w:r>
    </w:p>
    <w:p w14:paraId="56EEC70D" w14:textId="77777777" w:rsidR="00520087" w:rsidRPr="00A53AD7" w:rsidRDefault="00520087" w:rsidP="002361EF">
      <w:pPr>
        <w:pStyle w:val="ad"/>
        <w:ind w:firstLine="851"/>
        <w:jc w:val="both"/>
        <w:rPr>
          <w:rFonts w:ascii="Times New Roman" w:hAnsi="Times New Roman"/>
          <w:sz w:val="28"/>
          <w:szCs w:val="28"/>
        </w:rPr>
      </w:pPr>
      <w:r w:rsidRPr="00A53AD7">
        <w:rPr>
          <w:rFonts w:ascii="Times New Roman" w:hAnsi="Times New Roman"/>
          <w:sz w:val="28"/>
          <w:szCs w:val="28"/>
        </w:rPr>
        <w:t>Удельный вес расходов на реализацию НП РФ в общей сумме расходов областного бюджета, утвержденных на 2019 год, составляет 13,4 %.</w:t>
      </w:r>
    </w:p>
    <w:p w14:paraId="2157220E" w14:textId="77777777" w:rsidR="00520087" w:rsidRPr="00A53AD7" w:rsidRDefault="00520087" w:rsidP="00753E9A">
      <w:pPr>
        <w:pStyle w:val="ad"/>
        <w:ind w:firstLine="851"/>
        <w:jc w:val="both"/>
        <w:rPr>
          <w:rFonts w:ascii="Times New Roman" w:hAnsi="Times New Roman"/>
          <w:sz w:val="28"/>
          <w:szCs w:val="28"/>
        </w:rPr>
      </w:pPr>
      <w:r w:rsidRPr="00A53AD7">
        <w:rPr>
          <w:rFonts w:ascii="Times New Roman" w:hAnsi="Times New Roman"/>
          <w:sz w:val="28"/>
          <w:szCs w:val="28"/>
        </w:rPr>
        <w:t>Согласно уточненной сводной бюджетной росписи (на 31.12.2019) из областного бюджета в 2019 году предусмотрена реализация мероприятий 9 приоритетных национальных проектов РФ, в составе которых 33 региональных проекта (далее – РП АО) Архангельской области, расходы на которые утверждены в рамках реализации 16 государственных программ Архангельской области и 1 адресной программы.</w:t>
      </w:r>
    </w:p>
    <w:p w14:paraId="26C22EE1" w14:textId="77777777" w:rsidR="00520087" w:rsidRPr="00A53AD7" w:rsidRDefault="00520087" w:rsidP="0005358B">
      <w:pPr>
        <w:pStyle w:val="ad"/>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областного бюджета за 2019 год общая сумма расходов на реализацию НП РФ составила 8 846,4 млн.руб., что составило 69,4 % к утвержденным уточненной сводной бюджетной росписью назначениям и ее удельный вес в общей сумме расходов из областного бюджета составляет 9,9 %.</w:t>
      </w:r>
    </w:p>
    <w:p w14:paraId="028D45A2" w14:textId="319C5CD7" w:rsidR="00520087" w:rsidRPr="00A53AD7" w:rsidRDefault="00C03DE1" w:rsidP="00C03DE1">
      <w:pPr>
        <w:pStyle w:val="ad"/>
        <w:ind w:firstLine="851"/>
        <w:jc w:val="both"/>
        <w:rPr>
          <w:rFonts w:ascii="Times New Roman" w:hAnsi="Times New Roman"/>
          <w:sz w:val="28"/>
          <w:szCs w:val="28"/>
        </w:rPr>
      </w:pPr>
      <w:r w:rsidRPr="00A53AD7">
        <w:rPr>
          <w:rFonts w:ascii="Times New Roman" w:hAnsi="Times New Roman"/>
          <w:sz w:val="28"/>
          <w:szCs w:val="28"/>
        </w:rPr>
        <w:t>Сведения</w:t>
      </w:r>
      <w:r w:rsidR="00520087" w:rsidRPr="00A53AD7">
        <w:rPr>
          <w:rFonts w:ascii="Times New Roman" w:hAnsi="Times New Roman"/>
          <w:sz w:val="28"/>
          <w:szCs w:val="28"/>
        </w:rPr>
        <w:t xml:space="preserve"> о расходах из областного бюджета на 2019 год на реализацию НП РФ представлена в таблице </w:t>
      </w:r>
      <w:r w:rsidR="006263AF" w:rsidRPr="00A53AD7">
        <w:rPr>
          <w:rFonts w:ascii="Times New Roman" w:hAnsi="Times New Roman"/>
          <w:sz w:val="28"/>
          <w:szCs w:val="28"/>
        </w:rPr>
        <w:t xml:space="preserve">59 </w:t>
      </w:r>
      <w:r w:rsidR="00520087" w:rsidRPr="00A53AD7">
        <w:rPr>
          <w:rFonts w:ascii="Times New Roman" w:hAnsi="Times New Roman"/>
          <w:sz w:val="28"/>
          <w:szCs w:val="28"/>
        </w:rPr>
        <w:t xml:space="preserve">и на рисунке </w:t>
      </w:r>
      <w:r w:rsidR="006263AF" w:rsidRPr="00A53AD7">
        <w:rPr>
          <w:rFonts w:ascii="Times New Roman" w:hAnsi="Times New Roman"/>
          <w:sz w:val="28"/>
          <w:szCs w:val="28"/>
        </w:rPr>
        <w:t>53</w:t>
      </w:r>
      <w:r w:rsidR="00520087" w:rsidRPr="00A53AD7">
        <w:rPr>
          <w:rFonts w:ascii="Times New Roman" w:hAnsi="Times New Roman"/>
          <w:sz w:val="28"/>
          <w:szCs w:val="28"/>
        </w:rPr>
        <w:t>.</w:t>
      </w:r>
    </w:p>
    <w:p w14:paraId="319D5E1F" w14:textId="77777777" w:rsidR="00C03DE1" w:rsidRPr="00A53AD7" w:rsidRDefault="00C03DE1" w:rsidP="0002563E">
      <w:pPr>
        <w:pStyle w:val="aff0"/>
        <w:spacing w:after="0" w:line="240" w:lineRule="auto"/>
        <w:rPr>
          <w:rFonts w:ascii="Times New Roman" w:hAnsi="Times New Roman"/>
          <w:b w:val="0"/>
          <w:sz w:val="24"/>
          <w:szCs w:val="24"/>
        </w:rPr>
      </w:pPr>
    </w:p>
    <w:p w14:paraId="3CDF42EC" w14:textId="4BB95600" w:rsidR="00520087" w:rsidRPr="00A53AD7" w:rsidRDefault="00520087" w:rsidP="0002563E">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Таблица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59</w:t>
      </w:r>
      <w:r w:rsidRPr="00A53AD7">
        <w:rPr>
          <w:rFonts w:ascii="Times New Roman" w:hAnsi="Times New Roman"/>
          <w:b w:val="0"/>
          <w:noProof/>
          <w:sz w:val="24"/>
          <w:szCs w:val="24"/>
        </w:rPr>
        <w:fldChar w:fldCharType="end"/>
      </w:r>
      <w:r w:rsidRPr="00A53AD7">
        <w:rPr>
          <w:rFonts w:ascii="Times New Roman" w:hAnsi="Times New Roman"/>
          <w:b w:val="0"/>
          <w:sz w:val="24"/>
          <w:szCs w:val="24"/>
        </w:rPr>
        <w:t>. Расходы из областного бюджета за 2019 год, направленные на реализацию приоритетных национальных проектов РФ, млн.руб.</w:t>
      </w:r>
    </w:p>
    <w:tbl>
      <w:tblPr>
        <w:tblW w:w="9220" w:type="dxa"/>
        <w:tblInd w:w="85" w:type="dxa"/>
        <w:tblLook w:val="04A0" w:firstRow="1" w:lastRow="0" w:firstColumn="1" w:lastColumn="0" w:noHBand="0" w:noVBand="1"/>
      </w:tblPr>
      <w:tblGrid>
        <w:gridCol w:w="6129"/>
        <w:gridCol w:w="1134"/>
        <w:gridCol w:w="919"/>
        <w:gridCol w:w="1038"/>
      </w:tblGrid>
      <w:tr w:rsidR="00D470B6" w:rsidRPr="00A53AD7" w14:paraId="18442ECF" w14:textId="77777777" w:rsidTr="00BA6806">
        <w:trPr>
          <w:trHeight w:val="18"/>
          <w:tblHeader/>
        </w:trPr>
        <w:tc>
          <w:tcPr>
            <w:tcW w:w="612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C173337" w14:textId="77777777" w:rsidR="00520087" w:rsidRPr="00A53AD7" w:rsidRDefault="00520087" w:rsidP="00BA6806">
            <w:pPr>
              <w:spacing w:after="0" w:line="240" w:lineRule="auto"/>
              <w:ind w:right="-76"/>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 национального проекта</w:t>
            </w:r>
          </w:p>
        </w:tc>
        <w:tc>
          <w:tcPr>
            <w:tcW w:w="1134" w:type="dxa"/>
            <w:tcBorders>
              <w:top w:val="double" w:sz="6" w:space="0" w:color="auto"/>
              <w:left w:val="nil"/>
              <w:bottom w:val="single" w:sz="4" w:space="0" w:color="auto"/>
              <w:right w:val="single" w:sz="4" w:space="0" w:color="auto"/>
            </w:tcBorders>
            <w:shd w:val="clear" w:color="auto" w:fill="auto"/>
            <w:vAlign w:val="center"/>
            <w:hideMark/>
          </w:tcPr>
          <w:p w14:paraId="0114A9C3" w14:textId="77777777" w:rsidR="00520087" w:rsidRPr="00A53AD7" w:rsidRDefault="00520087" w:rsidP="00BA680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Утвер-ждено</w:t>
            </w:r>
          </w:p>
        </w:tc>
        <w:tc>
          <w:tcPr>
            <w:tcW w:w="919" w:type="dxa"/>
            <w:tcBorders>
              <w:top w:val="double" w:sz="6" w:space="0" w:color="auto"/>
              <w:left w:val="nil"/>
              <w:bottom w:val="single" w:sz="4" w:space="0" w:color="auto"/>
              <w:right w:val="single" w:sz="4" w:space="0" w:color="auto"/>
            </w:tcBorders>
            <w:shd w:val="clear" w:color="auto" w:fill="auto"/>
            <w:vAlign w:val="center"/>
            <w:hideMark/>
          </w:tcPr>
          <w:p w14:paraId="10C15D15" w14:textId="77777777" w:rsidR="00520087" w:rsidRPr="00A53AD7" w:rsidRDefault="00520087" w:rsidP="00BA680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Испол-нено</w:t>
            </w:r>
          </w:p>
        </w:tc>
        <w:tc>
          <w:tcPr>
            <w:tcW w:w="1038" w:type="dxa"/>
            <w:tcBorders>
              <w:top w:val="double" w:sz="6" w:space="0" w:color="auto"/>
              <w:left w:val="nil"/>
              <w:bottom w:val="single" w:sz="4" w:space="0" w:color="auto"/>
              <w:right w:val="double" w:sz="6" w:space="0" w:color="auto"/>
            </w:tcBorders>
            <w:shd w:val="clear" w:color="auto" w:fill="auto"/>
            <w:vAlign w:val="center"/>
            <w:hideMark/>
          </w:tcPr>
          <w:p w14:paraId="651CADCB" w14:textId="77777777" w:rsidR="00520087" w:rsidRPr="00A53AD7" w:rsidRDefault="00520087" w:rsidP="00BA680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Неис-полнено</w:t>
            </w:r>
          </w:p>
        </w:tc>
      </w:tr>
      <w:tr w:rsidR="00D470B6" w:rsidRPr="00A53AD7" w14:paraId="7201976E"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0AC48622"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"Демография"</w:t>
            </w:r>
          </w:p>
        </w:tc>
        <w:tc>
          <w:tcPr>
            <w:tcW w:w="1134" w:type="dxa"/>
            <w:tcBorders>
              <w:top w:val="nil"/>
              <w:left w:val="nil"/>
              <w:bottom w:val="single" w:sz="4" w:space="0" w:color="auto"/>
              <w:right w:val="single" w:sz="4" w:space="0" w:color="auto"/>
            </w:tcBorders>
            <w:shd w:val="clear" w:color="auto" w:fill="auto"/>
            <w:vAlign w:val="center"/>
            <w:hideMark/>
          </w:tcPr>
          <w:p w14:paraId="305A6C0B"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3 651,8 </w:t>
            </w:r>
          </w:p>
        </w:tc>
        <w:tc>
          <w:tcPr>
            <w:tcW w:w="919" w:type="dxa"/>
            <w:tcBorders>
              <w:top w:val="nil"/>
              <w:left w:val="nil"/>
              <w:bottom w:val="single" w:sz="4" w:space="0" w:color="auto"/>
              <w:right w:val="single" w:sz="4" w:space="0" w:color="auto"/>
            </w:tcBorders>
            <w:shd w:val="clear" w:color="auto" w:fill="auto"/>
            <w:vAlign w:val="center"/>
            <w:hideMark/>
          </w:tcPr>
          <w:p w14:paraId="17EFA37C"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2 136,4 </w:t>
            </w:r>
          </w:p>
        </w:tc>
        <w:tc>
          <w:tcPr>
            <w:tcW w:w="1038" w:type="dxa"/>
            <w:tcBorders>
              <w:top w:val="nil"/>
              <w:left w:val="nil"/>
              <w:bottom w:val="single" w:sz="4" w:space="0" w:color="auto"/>
              <w:right w:val="double" w:sz="6" w:space="0" w:color="auto"/>
            </w:tcBorders>
            <w:shd w:val="clear" w:color="auto" w:fill="auto"/>
            <w:vAlign w:val="center"/>
            <w:hideMark/>
          </w:tcPr>
          <w:p w14:paraId="5F5F9C71"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1 515,4 </w:t>
            </w:r>
          </w:p>
        </w:tc>
      </w:tr>
      <w:tr w:rsidR="00D470B6" w:rsidRPr="00A53AD7" w14:paraId="34F76828"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421B44E2"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"Малое и среднее предпринимательство и поддержка индивидуальной предпринимательской инициативы"</w:t>
            </w:r>
          </w:p>
        </w:tc>
        <w:tc>
          <w:tcPr>
            <w:tcW w:w="1134" w:type="dxa"/>
            <w:tcBorders>
              <w:top w:val="nil"/>
              <w:left w:val="nil"/>
              <w:bottom w:val="single" w:sz="4" w:space="0" w:color="auto"/>
              <w:right w:val="single" w:sz="4" w:space="0" w:color="auto"/>
            </w:tcBorders>
            <w:shd w:val="clear" w:color="auto" w:fill="auto"/>
            <w:vAlign w:val="center"/>
            <w:hideMark/>
          </w:tcPr>
          <w:p w14:paraId="2B2E5790"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538,6 </w:t>
            </w:r>
          </w:p>
        </w:tc>
        <w:tc>
          <w:tcPr>
            <w:tcW w:w="919" w:type="dxa"/>
            <w:tcBorders>
              <w:top w:val="nil"/>
              <w:left w:val="nil"/>
              <w:bottom w:val="single" w:sz="4" w:space="0" w:color="auto"/>
              <w:right w:val="single" w:sz="4" w:space="0" w:color="auto"/>
            </w:tcBorders>
            <w:shd w:val="clear" w:color="auto" w:fill="auto"/>
            <w:vAlign w:val="center"/>
            <w:hideMark/>
          </w:tcPr>
          <w:p w14:paraId="2BE1F167"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535,4 </w:t>
            </w:r>
          </w:p>
        </w:tc>
        <w:tc>
          <w:tcPr>
            <w:tcW w:w="1038" w:type="dxa"/>
            <w:tcBorders>
              <w:top w:val="nil"/>
              <w:left w:val="nil"/>
              <w:bottom w:val="single" w:sz="4" w:space="0" w:color="auto"/>
              <w:right w:val="double" w:sz="6" w:space="0" w:color="auto"/>
            </w:tcBorders>
            <w:shd w:val="clear" w:color="auto" w:fill="auto"/>
            <w:vAlign w:val="center"/>
            <w:hideMark/>
          </w:tcPr>
          <w:p w14:paraId="15F6B7D7"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3,2 </w:t>
            </w:r>
          </w:p>
        </w:tc>
      </w:tr>
      <w:tr w:rsidR="00D470B6" w:rsidRPr="00A53AD7" w14:paraId="1464D5FC"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12639117"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"Экология"</w:t>
            </w:r>
          </w:p>
        </w:tc>
        <w:tc>
          <w:tcPr>
            <w:tcW w:w="1134" w:type="dxa"/>
            <w:tcBorders>
              <w:top w:val="nil"/>
              <w:left w:val="nil"/>
              <w:bottom w:val="single" w:sz="4" w:space="0" w:color="auto"/>
              <w:right w:val="single" w:sz="4" w:space="0" w:color="auto"/>
            </w:tcBorders>
            <w:shd w:val="clear" w:color="auto" w:fill="auto"/>
            <w:vAlign w:val="center"/>
            <w:hideMark/>
          </w:tcPr>
          <w:p w14:paraId="10C1C892"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111,6 </w:t>
            </w:r>
          </w:p>
        </w:tc>
        <w:tc>
          <w:tcPr>
            <w:tcW w:w="919" w:type="dxa"/>
            <w:tcBorders>
              <w:top w:val="nil"/>
              <w:left w:val="nil"/>
              <w:bottom w:val="single" w:sz="4" w:space="0" w:color="auto"/>
              <w:right w:val="single" w:sz="4" w:space="0" w:color="auto"/>
            </w:tcBorders>
            <w:shd w:val="clear" w:color="auto" w:fill="auto"/>
            <w:vAlign w:val="center"/>
            <w:hideMark/>
          </w:tcPr>
          <w:p w14:paraId="753838C4"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109,9 </w:t>
            </w:r>
          </w:p>
        </w:tc>
        <w:tc>
          <w:tcPr>
            <w:tcW w:w="1038" w:type="dxa"/>
            <w:tcBorders>
              <w:top w:val="nil"/>
              <w:left w:val="nil"/>
              <w:bottom w:val="single" w:sz="4" w:space="0" w:color="auto"/>
              <w:right w:val="double" w:sz="6" w:space="0" w:color="auto"/>
            </w:tcBorders>
            <w:shd w:val="clear" w:color="auto" w:fill="auto"/>
            <w:vAlign w:val="center"/>
            <w:hideMark/>
          </w:tcPr>
          <w:p w14:paraId="08E6AC18"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1,7 </w:t>
            </w:r>
          </w:p>
        </w:tc>
      </w:tr>
      <w:tr w:rsidR="00D470B6" w:rsidRPr="00A53AD7" w14:paraId="7D7083F7"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7B71E009" w14:textId="3A955E2E" w:rsidR="00520087" w:rsidRPr="00A53AD7" w:rsidRDefault="00FC5B0D"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xml:space="preserve">Комплексный </w:t>
            </w:r>
            <w:r w:rsidR="00520087" w:rsidRPr="00A53AD7">
              <w:rPr>
                <w:rFonts w:ascii="Times New Roman" w:eastAsia="Times New Roman" w:hAnsi="Times New Roman"/>
                <w:lang w:eastAsia="ru-RU"/>
              </w:rPr>
              <w:t>план модернизации и расширения магистральной инфраструктуры</w:t>
            </w:r>
          </w:p>
        </w:tc>
        <w:tc>
          <w:tcPr>
            <w:tcW w:w="1134" w:type="dxa"/>
            <w:tcBorders>
              <w:top w:val="nil"/>
              <w:left w:val="nil"/>
              <w:bottom w:val="single" w:sz="4" w:space="0" w:color="auto"/>
              <w:right w:val="single" w:sz="4" w:space="0" w:color="auto"/>
            </w:tcBorders>
            <w:shd w:val="clear" w:color="auto" w:fill="auto"/>
            <w:vAlign w:val="center"/>
            <w:hideMark/>
          </w:tcPr>
          <w:p w14:paraId="5AACC203"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1 222,2 </w:t>
            </w:r>
          </w:p>
        </w:tc>
        <w:tc>
          <w:tcPr>
            <w:tcW w:w="919" w:type="dxa"/>
            <w:tcBorders>
              <w:top w:val="nil"/>
              <w:left w:val="nil"/>
              <w:bottom w:val="single" w:sz="4" w:space="0" w:color="auto"/>
              <w:right w:val="single" w:sz="4" w:space="0" w:color="auto"/>
            </w:tcBorders>
            <w:shd w:val="clear" w:color="auto" w:fill="auto"/>
            <w:vAlign w:val="center"/>
            <w:hideMark/>
          </w:tcPr>
          <w:p w14:paraId="309BD9F6"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1 222,2 </w:t>
            </w:r>
          </w:p>
        </w:tc>
        <w:tc>
          <w:tcPr>
            <w:tcW w:w="1038" w:type="dxa"/>
            <w:tcBorders>
              <w:top w:val="nil"/>
              <w:left w:val="nil"/>
              <w:bottom w:val="single" w:sz="4" w:space="0" w:color="auto"/>
              <w:right w:val="double" w:sz="6" w:space="0" w:color="auto"/>
            </w:tcBorders>
            <w:shd w:val="clear" w:color="auto" w:fill="auto"/>
            <w:vAlign w:val="center"/>
            <w:hideMark/>
          </w:tcPr>
          <w:p w14:paraId="66058948"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7E4123CD"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6083A1C0"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"Безопасные и качественные автомобильные дороги"</w:t>
            </w:r>
          </w:p>
        </w:tc>
        <w:tc>
          <w:tcPr>
            <w:tcW w:w="1134" w:type="dxa"/>
            <w:tcBorders>
              <w:top w:val="nil"/>
              <w:left w:val="nil"/>
              <w:bottom w:val="single" w:sz="4" w:space="0" w:color="auto"/>
              <w:right w:val="single" w:sz="4" w:space="0" w:color="auto"/>
            </w:tcBorders>
            <w:shd w:val="clear" w:color="auto" w:fill="auto"/>
            <w:vAlign w:val="center"/>
            <w:hideMark/>
          </w:tcPr>
          <w:p w14:paraId="34E128E1"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2 482,4 </w:t>
            </w:r>
          </w:p>
        </w:tc>
        <w:tc>
          <w:tcPr>
            <w:tcW w:w="919" w:type="dxa"/>
            <w:tcBorders>
              <w:top w:val="nil"/>
              <w:left w:val="nil"/>
              <w:bottom w:val="single" w:sz="4" w:space="0" w:color="auto"/>
              <w:right w:val="single" w:sz="4" w:space="0" w:color="auto"/>
            </w:tcBorders>
            <w:shd w:val="clear" w:color="auto" w:fill="auto"/>
            <w:vAlign w:val="center"/>
            <w:hideMark/>
          </w:tcPr>
          <w:p w14:paraId="3CEA0952"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2 449,3 </w:t>
            </w:r>
          </w:p>
        </w:tc>
        <w:tc>
          <w:tcPr>
            <w:tcW w:w="1038" w:type="dxa"/>
            <w:tcBorders>
              <w:top w:val="nil"/>
              <w:left w:val="nil"/>
              <w:bottom w:val="single" w:sz="4" w:space="0" w:color="auto"/>
              <w:right w:val="double" w:sz="6" w:space="0" w:color="auto"/>
            </w:tcBorders>
            <w:shd w:val="clear" w:color="auto" w:fill="auto"/>
            <w:vAlign w:val="center"/>
            <w:hideMark/>
          </w:tcPr>
          <w:p w14:paraId="7974507F"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33,1 </w:t>
            </w:r>
          </w:p>
        </w:tc>
      </w:tr>
      <w:tr w:rsidR="00D470B6" w:rsidRPr="00A53AD7" w14:paraId="780BAE6F"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24075F7E"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"Жилье и городская среда"</w:t>
            </w:r>
          </w:p>
        </w:tc>
        <w:tc>
          <w:tcPr>
            <w:tcW w:w="1134" w:type="dxa"/>
            <w:tcBorders>
              <w:top w:val="nil"/>
              <w:left w:val="nil"/>
              <w:bottom w:val="single" w:sz="4" w:space="0" w:color="auto"/>
              <w:right w:val="single" w:sz="4" w:space="0" w:color="auto"/>
            </w:tcBorders>
            <w:shd w:val="clear" w:color="auto" w:fill="auto"/>
            <w:vAlign w:val="center"/>
            <w:hideMark/>
          </w:tcPr>
          <w:p w14:paraId="49E72D87"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3 069,1 </w:t>
            </w:r>
          </w:p>
        </w:tc>
        <w:tc>
          <w:tcPr>
            <w:tcW w:w="919" w:type="dxa"/>
            <w:tcBorders>
              <w:top w:val="nil"/>
              <w:left w:val="nil"/>
              <w:bottom w:val="single" w:sz="4" w:space="0" w:color="auto"/>
              <w:right w:val="single" w:sz="4" w:space="0" w:color="auto"/>
            </w:tcBorders>
            <w:shd w:val="clear" w:color="auto" w:fill="auto"/>
            <w:vAlign w:val="center"/>
            <w:hideMark/>
          </w:tcPr>
          <w:p w14:paraId="44CA7C31"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1 023,6 </w:t>
            </w:r>
          </w:p>
        </w:tc>
        <w:tc>
          <w:tcPr>
            <w:tcW w:w="1038" w:type="dxa"/>
            <w:tcBorders>
              <w:top w:val="nil"/>
              <w:left w:val="nil"/>
              <w:bottom w:val="single" w:sz="4" w:space="0" w:color="auto"/>
              <w:right w:val="double" w:sz="6" w:space="0" w:color="auto"/>
            </w:tcBorders>
            <w:shd w:val="clear" w:color="auto" w:fill="auto"/>
            <w:vAlign w:val="center"/>
            <w:hideMark/>
          </w:tcPr>
          <w:p w14:paraId="270B5013"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2 045,5 </w:t>
            </w:r>
          </w:p>
        </w:tc>
      </w:tr>
      <w:tr w:rsidR="00D470B6" w:rsidRPr="00A53AD7" w14:paraId="0BB8AD5B"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732FC7BD"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"Образование"</w:t>
            </w:r>
          </w:p>
        </w:tc>
        <w:tc>
          <w:tcPr>
            <w:tcW w:w="1134" w:type="dxa"/>
            <w:tcBorders>
              <w:top w:val="nil"/>
              <w:left w:val="nil"/>
              <w:bottom w:val="single" w:sz="4" w:space="0" w:color="auto"/>
              <w:right w:val="single" w:sz="4" w:space="0" w:color="auto"/>
            </w:tcBorders>
            <w:shd w:val="clear" w:color="auto" w:fill="auto"/>
            <w:vAlign w:val="center"/>
            <w:hideMark/>
          </w:tcPr>
          <w:p w14:paraId="0B0EA1C3"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626,3 </w:t>
            </w:r>
          </w:p>
        </w:tc>
        <w:tc>
          <w:tcPr>
            <w:tcW w:w="919" w:type="dxa"/>
            <w:tcBorders>
              <w:top w:val="nil"/>
              <w:left w:val="nil"/>
              <w:bottom w:val="single" w:sz="4" w:space="0" w:color="auto"/>
              <w:right w:val="single" w:sz="4" w:space="0" w:color="auto"/>
            </w:tcBorders>
            <w:shd w:val="clear" w:color="auto" w:fill="auto"/>
            <w:vAlign w:val="center"/>
            <w:hideMark/>
          </w:tcPr>
          <w:p w14:paraId="4B60724E"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332,9 </w:t>
            </w:r>
          </w:p>
        </w:tc>
        <w:tc>
          <w:tcPr>
            <w:tcW w:w="1038" w:type="dxa"/>
            <w:tcBorders>
              <w:top w:val="nil"/>
              <w:left w:val="nil"/>
              <w:bottom w:val="single" w:sz="4" w:space="0" w:color="auto"/>
              <w:right w:val="double" w:sz="6" w:space="0" w:color="auto"/>
            </w:tcBorders>
            <w:shd w:val="clear" w:color="auto" w:fill="auto"/>
            <w:vAlign w:val="center"/>
            <w:hideMark/>
          </w:tcPr>
          <w:p w14:paraId="4E0E0A94"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293,5 </w:t>
            </w:r>
          </w:p>
        </w:tc>
      </w:tr>
      <w:tr w:rsidR="00D470B6" w:rsidRPr="00A53AD7" w14:paraId="1A379E91"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46DF2A84"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"Культура"</w:t>
            </w:r>
          </w:p>
        </w:tc>
        <w:tc>
          <w:tcPr>
            <w:tcW w:w="1134" w:type="dxa"/>
            <w:tcBorders>
              <w:top w:val="nil"/>
              <w:left w:val="nil"/>
              <w:bottom w:val="single" w:sz="4" w:space="0" w:color="auto"/>
              <w:right w:val="single" w:sz="4" w:space="0" w:color="auto"/>
            </w:tcBorders>
            <w:shd w:val="clear" w:color="auto" w:fill="auto"/>
            <w:vAlign w:val="center"/>
            <w:hideMark/>
          </w:tcPr>
          <w:p w14:paraId="7A6ED51A"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94,3 </w:t>
            </w:r>
          </w:p>
        </w:tc>
        <w:tc>
          <w:tcPr>
            <w:tcW w:w="919" w:type="dxa"/>
            <w:tcBorders>
              <w:top w:val="nil"/>
              <w:left w:val="nil"/>
              <w:bottom w:val="single" w:sz="4" w:space="0" w:color="auto"/>
              <w:right w:val="single" w:sz="4" w:space="0" w:color="auto"/>
            </w:tcBorders>
            <w:shd w:val="clear" w:color="auto" w:fill="auto"/>
            <w:vAlign w:val="center"/>
            <w:hideMark/>
          </w:tcPr>
          <w:p w14:paraId="08F24DC5"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94,3 </w:t>
            </w:r>
          </w:p>
        </w:tc>
        <w:tc>
          <w:tcPr>
            <w:tcW w:w="1038" w:type="dxa"/>
            <w:tcBorders>
              <w:top w:val="nil"/>
              <w:left w:val="nil"/>
              <w:bottom w:val="single" w:sz="4" w:space="0" w:color="auto"/>
              <w:right w:val="double" w:sz="6" w:space="0" w:color="auto"/>
            </w:tcBorders>
            <w:shd w:val="clear" w:color="auto" w:fill="auto"/>
            <w:vAlign w:val="center"/>
            <w:hideMark/>
          </w:tcPr>
          <w:p w14:paraId="529E33D7"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1397DF08" w14:textId="77777777" w:rsidTr="00BA6806">
        <w:trPr>
          <w:trHeight w:val="53"/>
        </w:trPr>
        <w:tc>
          <w:tcPr>
            <w:tcW w:w="6129" w:type="dxa"/>
            <w:tcBorders>
              <w:top w:val="nil"/>
              <w:left w:val="double" w:sz="6" w:space="0" w:color="auto"/>
              <w:bottom w:val="single" w:sz="4" w:space="0" w:color="auto"/>
              <w:right w:val="single" w:sz="4" w:space="0" w:color="auto"/>
            </w:tcBorders>
            <w:shd w:val="clear" w:color="auto" w:fill="auto"/>
            <w:vAlign w:val="center"/>
            <w:hideMark/>
          </w:tcPr>
          <w:p w14:paraId="62CAE3E2" w14:textId="77777777" w:rsidR="00520087" w:rsidRPr="00A53AD7" w:rsidRDefault="00520087" w:rsidP="00BA680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"Здравоохранение"</w:t>
            </w:r>
          </w:p>
        </w:tc>
        <w:tc>
          <w:tcPr>
            <w:tcW w:w="1134" w:type="dxa"/>
            <w:tcBorders>
              <w:top w:val="nil"/>
              <w:left w:val="nil"/>
              <w:bottom w:val="single" w:sz="4" w:space="0" w:color="auto"/>
              <w:right w:val="single" w:sz="4" w:space="0" w:color="auto"/>
            </w:tcBorders>
            <w:shd w:val="clear" w:color="auto" w:fill="auto"/>
            <w:vAlign w:val="center"/>
            <w:hideMark/>
          </w:tcPr>
          <w:p w14:paraId="1C9552AF"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942,4 </w:t>
            </w:r>
          </w:p>
        </w:tc>
        <w:tc>
          <w:tcPr>
            <w:tcW w:w="919" w:type="dxa"/>
            <w:tcBorders>
              <w:top w:val="nil"/>
              <w:left w:val="nil"/>
              <w:bottom w:val="single" w:sz="4" w:space="0" w:color="auto"/>
              <w:right w:val="single" w:sz="4" w:space="0" w:color="auto"/>
            </w:tcBorders>
            <w:shd w:val="clear" w:color="auto" w:fill="auto"/>
            <w:vAlign w:val="center"/>
            <w:hideMark/>
          </w:tcPr>
          <w:p w14:paraId="2791C789"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942,4 </w:t>
            </w:r>
          </w:p>
        </w:tc>
        <w:tc>
          <w:tcPr>
            <w:tcW w:w="1038" w:type="dxa"/>
            <w:tcBorders>
              <w:top w:val="nil"/>
              <w:left w:val="nil"/>
              <w:bottom w:val="single" w:sz="4" w:space="0" w:color="auto"/>
              <w:right w:val="double" w:sz="6" w:space="0" w:color="auto"/>
            </w:tcBorders>
            <w:shd w:val="clear" w:color="auto" w:fill="auto"/>
            <w:vAlign w:val="center"/>
            <w:hideMark/>
          </w:tcPr>
          <w:p w14:paraId="1EA0A2F2" w14:textId="77777777" w:rsidR="00520087" w:rsidRPr="00A53AD7" w:rsidRDefault="00520087" w:rsidP="00BA680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520087" w:rsidRPr="00A53AD7" w14:paraId="2D59CFA2" w14:textId="77777777" w:rsidTr="00BA6806">
        <w:trPr>
          <w:trHeight w:val="53"/>
        </w:trPr>
        <w:tc>
          <w:tcPr>
            <w:tcW w:w="6129" w:type="dxa"/>
            <w:tcBorders>
              <w:top w:val="nil"/>
              <w:left w:val="double" w:sz="6" w:space="0" w:color="auto"/>
              <w:bottom w:val="double" w:sz="6" w:space="0" w:color="auto"/>
              <w:right w:val="single" w:sz="4" w:space="0" w:color="auto"/>
            </w:tcBorders>
            <w:shd w:val="clear" w:color="auto" w:fill="auto"/>
            <w:vAlign w:val="center"/>
            <w:hideMark/>
          </w:tcPr>
          <w:p w14:paraId="4453E376" w14:textId="77777777" w:rsidR="00520087" w:rsidRPr="00A53AD7" w:rsidRDefault="00520087" w:rsidP="00BA680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134" w:type="dxa"/>
            <w:tcBorders>
              <w:top w:val="nil"/>
              <w:left w:val="nil"/>
              <w:bottom w:val="double" w:sz="6" w:space="0" w:color="auto"/>
              <w:right w:val="single" w:sz="4" w:space="0" w:color="auto"/>
            </w:tcBorders>
            <w:shd w:val="clear" w:color="auto" w:fill="auto"/>
            <w:vAlign w:val="center"/>
            <w:hideMark/>
          </w:tcPr>
          <w:p w14:paraId="614A107D" w14:textId="77777777" w:rsidR="00520087" w:rsidRPr="00A53AD7" w:rsidRDefault="00520087" w:rsidP="00BA680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12 738,8 </w:t>
            </w:r>
          </w:p>
        </w:tc>
        <w:tc>
          <w:tcPr>
            <w:tcW w:w="919" w:type="dxa"/>
            <w:tcBorders>
              <w:top w:val="nil"/>
              <w:left w:val="nil"/>
              <w:bottom w:val="double" w:sz="6" w:space="0" w:color="auto"/>
              <w:right w:val="single" w:sz="4" w:space="0" w:color="auto"/>
            </w:tcBorders>
            <w:shd w:val="clear" w:color="auto" w:fill="auto"/>
            <w:vAlign w:val="center"/>
            <w:hideMark/>
          </w:tcPr>
          <w:p w14:paraId="71677774" w14:textId="77777777" w:rsidR="00520087" w:rsidRPr="00A53AD7" w:rsidRDefault="00520087" w:rsidP="00BA680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8 846,4 </w:t>
            </w:r>
          </w:p>
        </w:tc>
        <w:tc>
          <w:tcPr>
            <w:tcW w:w="1038" w:type="dxa"/>
            <w:tcBorders>
              <w:top w:val="nil"/>
              <w:left w:val="nil"/>
              <w:bottom w:val="double" w:sz="6" w:space="0" w:color="auto"/>
              <w:right w:val="double" w:sz="6" w:space="0" w:color="auto"/>
            </w:tcBorders>
            <w:shd w:val="clear" w:color="auto" w:fill="auto"/>
            <w:vAlign w:val="center"/>
            <w:hideMark/>
          </w:tcPr>
          <w:p w14:paraId="295E9A7F" w14:textId="77777777" w:rsidR="00520087" w:rsidRPr="00A53AD7" w:rsidRDefault="00520087" w:rsidP="00BA680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3 892,4 </w:t>
            </w:r>
          </w:p>
        </w:tc>
      </w:tr>
    </w:tbl>
    <w:p w14:paraId="697F36FE" w14:textId="77777777" w:rsidR="00520087" w:rsidRPr="00A53AD7" w:rsidRDefault="00520087" w:rsidP="00520087">
      <w:pPr>
        <w:rPr>
          <w:sz w:val="16"/>
          <w:szCs w:val="16"/>
          <w:highlight w:val="cyan"/>
        </w:rPr>
      </w:pPr>
    </w:p>
    <w:p w14:paraId="506D9081" w14:textId="77777777" w:rsidR="00520087" w:rsidRPr="00A53AD7" w:rsidRDefault="00520087" w:rsidP="00520087">
      <w:pPr>
        <w:keepNext/>
        <w:jc w:val="center"/>
      </w:pPr>
      <w:r w:rsidRPr="00A53AD7">
        <w:rPr>
          <w:noProof/>
          <w:lang w:eastAsia="ru-RU"/>
        </w:rPr>
        <w:drawing>
          <wp:inline distT="0" distB="0" distL="0" distR="0" wp14:anchorId="3BBA841C" wp14:editId="7D6AF4D8">
            <wp:extent cx="5471770" cy="21945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72000" cy="2194652"/>
                    </a:xfrm>
                    <a:prstGeom prst="rect">
                      <a:avLst/>
                    </a:prstGeom>
                    <a:noFill/>
                  </pic:spPr>
                </pic:pic>
              </a:graphicData>
            </a:graphic>
          </wp:inline>
        </w:drawing>
      </w:r>
    </w:p>
    <w:p w14:paraId="164D83BA" w14:textId="448F3FE8" w:rsidR="00520087" w:rsidRPr="00A53AD7" w:rsidRDefault="00520087" w:rsidP="00D772F2">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53</w:t>
      </w:r>
      <w:r w:rsidRPr="00A53AD7">
        <w:rPr>
          <w:rFonts w:ascii="Times New Roman" w:hAnsi="Times New Roman"/>
          <w:b w:val="0"/>
          <w:sz w:val="24"/>
          <w:szCs w:val="24"/>
        </w:rPr>
        <w:fldChar w:fldCharType="end"/>
      </w:r>
      <w:r w:rsidRPr="00A53AD7">
        <w:rPr>
          <w:rFonts w:ascii="Times New Roman" w:hAnsi="Times New Roman"/>
          <w:b w:val="0"/>
          <w:sz w:val="24"/>
          <w:szCs w:val="24"/>
        </w:rPr>
        <w:t>. </w:t>
      </w:r>
      <w:r w:rsidR="00D772F2" w:rsidRPr="00A53AD7">
        <w:rPr>
          <w:rFonts w:ascii="Times New Roman" w:hAnsi="Times New Roman"/>
          <w:b w:val="0"/>
          <w:sz w:val="24"/>
          <w:szCs w:val="24"/>
        </w:rPr>
        <w:t>Уровень исполнения</w:t>
      </w:r>
      <w:r w:rsidRPr="00A53AD7">
        <w:rPr>
          <w:rFonts w:ascii="Times New Roman" w:hAnsi="Times New Roman"/>
          <w:b w:val="0"/>
          <w:sz w:val="24"/>
          <w:szCs w:val="24"/>
        </w:rPr>
        <w:t xml:space="preserve"> областного бюджета к утвержденным параметрам, предусмотренным на реализацию приоритетных национальных проектов РФ за 2019 год, %</w:t>
      </w:r>
    </w:p>
    <w:p w14:paraId="36C32866" w14:textId="77777777" w:rsidR="00520087" w:rsidRPr="00A53AD7" w:rsidRDefault="00520087" w:rsidP="001819E1">
      <w:pPr>
        <w:pStyle w:val="ad"/>
        <w:ind w:firstLine="851"/>
        <w:jc w:val="both"/>
        <w:rPr>
          <w:rFonts w:ascii="Times New Roman" w:hAnsi="Times New Roman"/>
          <w:sz w:val="28"/>
          <w:szCs w:val="28"/>
        </w:rPr>
      </w:pPr>
    </w:p>
    <w:p w14:paraId="77F1A2E0" w14:textId="048925B5" w:rsidR="00520087" w:rsidRPr="00A53AD7" w:rsidRDefault="00520087" w:rsidP="001819E1">
      <w:pPr>
        <w:pStyle w:val="ad"/>
        <w:ind w:firstLine="851"/>
        <w:jc w:val="both"/>
        <w:rPr>
          <w:rFonts w:ascii="Times New Roman" w:hAnsi="Times New Roman"/>
          <w:sz w:val="28"/>
          <w:szCs w:val="28"/>
        </w:rPr>
      </w:pPr>
      <w:r w:rsidRPr="00A53AD7">
        <w:rPr>
          <w:rFonts w:ascii="Times New Roman" w:hAnsi="Times New Roman"/>
          <w:sz w:val="28"/>
          <w:szCs w:val="28"/>
        </w:rPr>
        <w:t>Из 9 приоритетных национальных проектов РФ, предусмотренных к финансированию из областного бюджета в 2019 году, в полном объеме осуществлены расходы только по 3 НП РФ: Комплексный план модернизации и расширения магистральной инфраструктуры; «Культура»; «Здравоохранение».</w:t>
      </w:r>
      <w:r w:rsidR="001819E1" w:rsidRPr="00A53AD7">
        <w:rPr>
          <w:rFonts w:ascii="Times New Roman" w:hAnsi="Times New Roman"/>
          <w:sz w:val="28"/>
          <w:szCs w:val="28"/>
        </w:rPr>
        <w:t xml:space="preserve"> Наименьший уровень исполнения </w:t>
      </w:r>
      <w:r w:rsidR="00602911" w:rsidRPr="00A53AD7">
        <w:rPr>
          <w:rFonts w:ascii="Times New Roman" w:hAnsi="Times New Roman"/>
          <w:sz w:val="28"/>
          <w:szCs w:val="28"/>
        </w:rPr>
        <w:t>фиксируется по НП «Жилье и городская среда» - 33,4 %.</w:t>
      </w:r>
    </w:p>
    <w:p w14:paraId="0C0252B4" w14:textId="1C785325" w:rsidR="00520087" w:rsidRPr="00A53AD7" w:rsidRDefault="00520087" w:rsidP="001819E1">
      <w:pPr>
        <w:pStyle w:val="ad"/>
        <w:ind w:firstLine="851"/>
        <w:jc w:val="both"/>
        <w:rPr>
          <w:rFonts w:ascii="Times New Roman" w:hAnsi="Times New Roman"/>
          <w:sz w:val="28"/>
          <w:szCs w:val="28"/>
        </w:rPr>
      </w:pPr>
      <w:r w:rsidRPr="00A53AD7">
        <w:rPr>
          <w:rFonts w:ascii="Times New Roman" w:hAnsi="Times New Roman"/>
          <w:sz w:val="28"/>
          <w:szCs w:val="28"/>
        </w:rPr>
        <w:t>Межбюджетные трансферты местным бюджетам на реализацию НП РФ из областного бюджета за 2019 год составили 2 540,2 млн.руб. или на 47,4 % к утвержденным параметрам.</w:t>
      </w:r>
    </w:p>
    <w:p w14:paraId="502B8973" w14:textId="7CD04AAD" w:rsidR="00520087" w:rsidRPr="00A53AD7" w:rsidRDefault="00FD1C38" w:rsidP="001819E1">
      <w:pPr>
        <w:pStyle w:val="ad"/>
        <w:ind w:firstLine="851"/>
        <w:jc w:val="both"/>
        <w:rPr>
          <w:rFonts w:ascii="Times New Roman" w:hAnsi="Times New Roman"/>
          <w:sz w:val="28"/>
          <w:szCs w:val="28"/>
        </w:rPr>
      </w:pPr>
      <w:r w:rsidRPr="00A53AD7">
        <w:rPr>
          <w:rFonts w:ascii="Times New Roman" w:hAnsi="Times New Roman"/>
          <w:sz w:val="28"/>
          <w:szCs w:val="28"/>
        </w:rPr>
        <w:t xml:space="preserve">В разрезе видов расходов классификации расходов бюджетов, </w:t>
      </w:r>
      <w:r w:rsidR="00520087" w:rsidRPr="00A53AD7">
        <w:rPr>
          <w:rFonts w:ascii="Times New Roman" w:hAnsi="Times New Roman"/>
          <w:sz w:val="28"/>
          <w:szCs w:val="28"/>
        </w:rPr>
        <w:t xml:space="preserve">произведенные за 2019 год расходы областного бюджета на реализацию НП РФ представлены в таблице </w:t>
      </w:r>
      <w:r w:rsidR="00702796" w:rsidRPr="00A53AD7">
        <w:rPr>
          <w:rFonts w:ascii="Times New Roman" w:hAnsi="Times New Roman"/>
          <w:sz w:val="28"/>
          <w:szCs w:val="28"/>
        </w:rPr>
        <w:t>60</w:t>
      </w:r>
      <w:r w:rsidR="00520087" w:rsidRPr="00A53AD7">
        <w:rPr>
          <w:rFonts w:ascii="Times New Roman" w:hAnsi="Times New Roman"/>
          <w:sz w:val="28"/>
          <w:szCs w:val="28"/>
        </w:rPr>
        <w:t>.</w:t>
      </w:r>
    </w:p>
    <w:p w14:paraId="3144D440" w14:textId="77777777" w:rsidR="00520087" w:rsidRPr="00A53AD7" w:rsidRDefault="00520087" w:rsidP="00FD1C38">
      <w:pPr>
        <w:pStyle w:val="aff0"/>
        <w:spacing w:after="0" w:line="240" w:lineRule="auto"/>
        <w:rPr>
          <w:rFonts w:ascii="Times New Roman" w:hAnsi="Times New Roman"/>
          <w:b w:val="0"/>
          <w:sz w:val="24"/>
          <w:szCs w:val="24"/>
        </w:rPr>
      </w:pPr>
    </w:p>
    <w:p w14:paraId="5E76F2AA" w14:textId="77777777" w:rsidR="00702796" w:rsidRPr="00A53AD7" w:rsidRDefault="00702796" w:rsidP="00FD1C38">
      <w:pPr>
        <w:pStyle w:val="aff0"/>
        <w:spacing w:after="0" w:line="240" w:lineRule="auto"/>
        <w:rPr>
          <w:rFonts w:ascii="Times New Roman" w:hAnsi="Times New Roman"/>
          <w:b w:val="0"/>
          <w:sz w:val="24"/>
          <w:szCs w:val="24"/>
        </w:rPr>
      </w:pPr>
    </w:p>
    <w:p w14:paraId="14485427" w14:textId="77777777" w:rsidR="00702796" w:rsidRPr="00A53AD7" w:rsidRDefault="00702796" w:rsidP="00FD1C38">
      <w:pPr>
        <w:pStyle w:val="aff0"/>
        <w:spacing w:after="0" w:line="240" w:lineRule="auto"/>
        <w:rPr>
          <w:rFonts w:ascii="Times New Roman" w:hAnsi="Times New Roman"/>
          <w:b w:val="0"/>
          <w:sz w:val="24"/>
          <w:szCs w:val="24"/>
        </w:rPr>
      </w:pPr>
    </w:p>
    <w:p w14:paraId="35D12154" w14:textId="77777777" w:rsidR="00702796" w:rsidRPr="00A53AD7" w:rsidRDefault="00702796" w:rsidP="00FD1C38">
      <w:pPr>
        <w:pStyle w:val="aff0"/>
        <w:spacing w:after="0" w:line="240" w:lineRule="auto"/>
        <w:rPr>
          <w:rFonts w:ascii="Times New Roman" w:hAnsi="Times New Roman"/>
          <w:b w:val="0"/>
          <w:sz w:val="24"/>
          <w:szCs w:val="24"/>
        </w:rPr>
      </w:pPr>
    </w:p>
    <w:p w14:paraId="32F86018" w14:textId="77777777" w:rsidR="00702796" w:rsidRPr="00A53AD7" w:rsidRDefault="00702796" w:rsidP="00FD1C38">
      <w:pPr>
        <w:pStyle w:val="aff0"/>
        <w:spacing w:after="0" w:line="240" w:lineRule="auto"/>
        <w:rPr>
          <w:rFonts w:ascii="Times New Roman" w:hAnsi="Times New Roman"/>
          <w:b w:val="0"/>
          <w:sz w:val="24"/>
          <w:szCs w:val="24"/>
        </w:rPr>
      </w:pPr>
    </w:p>
    <w:p w14:paraId="7D8B449E" w14:textId="77777777" w:rsidR="00702796" w:rsidRPr="00A53AD7" w:rsidRDefault="00702796" w:rsidP="00FD1C38">
      <w:pPr>
        <w:pStyle w:val="aff0"/>
        <w:spacing w:after="0" w:line="240" w:lineRule="auto"/>
        <w:rPr>
          <w:rFonts w:ascii="Times New Roman" w:hAnsi="Times New Roman"/>
          <w:b w:val="0"/>
          <w:sz w:val="24"/>
          <w:szCs w:val="24"/>
        </w:rPr>
      </w:pPr>
    </w:p>
    <w:p w14:paraId="388F5C10" w14:textId="2A039F55" w:rsidR="00520087" w:rsidRPr="00A53AD7" w:rsidRDefault="00520087" w:rsidP="00FD1C3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60</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Расходы из областного бюджета на реализацию приоритетных национальных проектов РФ за 2019 год по группам и элементам видов расходов, </w:t>
      </w:r>
      <w:r w:rsidR="00FD1C38" w:rsidRPr="00A53AD7">
        <w:rPr>
          <w:rFonts w:ascii="Times New Roman" w:hAnsi="Times New Roman"/>
          <w:b w:val="0"/>
          <w:sz w:val="24"/>
          <w:szCs w:val="24"/>
        </w:rPr>
        <w:t>млн.руб.</w:t>
      </w:r>
    </w:p>
    <w:tbl>
      <w:tblPr>
        <w:tblW w:w="9231" w:type="dxa"/>
        <w:tblInd w:w="85" w:type="dxa"/>
        <w:tblLook w:val="04A0" w:firstRow="1" w:lastRow="0" w:firstColumn="1" w:lastColumn="0" w:noHBand="0" w:noVBand="1"/>
      </w:tblPr>
      <w:tblGrid>
        <w:gridCol w:w="4712"/>
        <w:gridCol w:w="957"/>
        <w:gridCol w:w="1188"/>
        <w:gridCol w:w="1188"/>
        <w:gridCol w:w="1186"/>
      </w:tblGrid>
      <w:tr w:rsidR="00D470B6" w:rsidRPr="00A53AD7" w14:paraId="5824C41B" w14:textId="77777777" w:rsidTr="00BA0371">
        <w:trPr>
          <w:trHeight w:val="525"/>
          <w:tblHeader/>
        </w:trPr>
        <w:tc>
          <w:tcPr>
            <w:tcW w:w="4712"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ECBB038" w14:textId="77777777" w:rsidR="00520087" w:rsidRPr="00A53AD7" w:rsidRDefault="00520087" w:rsidP="00BA0371">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957" w:type="dxa"/>
            <w:tcBorders>
              <w:top w:val="double" w:sz="6" w:space="0" w:color="auto"/>
              <w:left w:val="nil"/>
              <w:bottom w:val="single" w:sz="4" w:space="0" w:color="auto"/>
              <w:right w:val="single" w:sz="4" w:space="0" w:color="auto"/>
            </w:tcBorders>
            <w:shd w:val="clear" w:color="auto" w:fill="auto"/>
            <w:vAlign w:val="center"/>
            <w:hideMark/>
          </w:tcPr>
          <w:p w14:paraId="17344F74" w14:textId="77777777" w:rsidR="00520087" w:rsidRPr="00A53AD7" w:rsidRDefault="00520087" w:rsidP="00BA0371">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ВР</w:t>
            </w:r>
          </w:p>
        </w:tc>
        <w:tc>
          <w:tcPr>
            <w:tcW w:w="1188" w:type="dxa"/>
            <w:tcBorders>
              <w:top w:val="double" w:sz="6" w:space="0" w:color="auto"/>
              <w:left w:val="nil"/>
              <w:bottom w:val="single" w:sz="4" w:space="0" w:color="auto"/>
              <w:right w:val="single" w:sz="4" w:space="0" w:color="auto"/>
            </w:tcBorders>
            <w:shd w:val="clear" w:color="auto" w:fill="auto"/>
            <w:vAlign w:val="center"/>
            <w:hideMark/>
          </w:tcPr>
          <w:p w14:paraId="4CD8D966" w14:textId="77777777" w:rsidR="00520087" w:rsidRPr="00A53AD7" w:rsidRDefault="00520087" w:rsidP="00BA0371">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Утвер-ждено</w:t>
            </w:r>
          </w:p>
        </w:tc>
        <w:tc>
          <w:tcPr>
            <w:tcW w:w="1188" w:type="dxa"/>
            <w:tcBorders>
              <w:top w:val="double" w:sz="6" w:space="0" w:color="auto"/>
              <w:left w:val="nil"/>
              <w:bottom w:val="single" w:sz="4" w:space="0" w:color="auto"/>
              <w:right w:val="single" w:sz="4" w:space="0" w:color="auto"/>
            </w:tcBorders>
            <w:shd w:val="clear" w:color="auto" w:fill="auto"/>
            <w:vAlign w:val="center"/>
            <w:hideMark/>
          </w:tcPr>
          <w:p w14:paraId="36190A1A" w14:textId="77777777" w:rsidR="00520087" w:rsidRPr="00A53AD7" w:rsidRDefault="00520087" w:rsidP="00BA0371">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Испол-нено</w:t>
            </w:r>
          </w:p>
        </w:tc>
        <w:tc>
          <w:tcPr>
            <w:tcW w:w="1186" w:type="dxa"/>
            <w:tcBorders>
              <w:top w:val="double" w:sz="6" w:space="0" w:color="auto"/>
              <w:left w:val="nil"/>
              <w:bottom w:val="single" w:sz="4" w:space="0" w:color="auto"/>
              <w:right w:val="double" w:sz="6" w:space="0" w:color="auto"/>
            </w:tcBorders>
            <w:shd w:val="clear" w:color="auto" w:fill="auto"/>
            <w:vAlign w:val="center"/>
            <w:hideMark/>
          </w:tcPr>
          <w:p w14:paraId="79A55E6F" w14:textId="77777777" w:rsidR="00520087" w:rsidRPr="00A53AD7" w:rsidRDefault="00520087" w:rsidP="00BA0371">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испол-нения</w:t>
            </w:r>
          </w:p>
        </w:tc>
      </w:tr>
      <w:tr w:rsidR="00D470B6" w:rsidRPr="00A53AD7" w14:paraId="0EB30452" w14:textId="77777777" w:rsidTr="00BA0371">
        <w:trPr>
          <w:trHeight w:val="53"/>
        </w:trPr>
        <w:tc>
          <w:tcPr>
            <w:tcW w:w="4712" w:type="dxa"/>
            <w:tcBorders>
              <w:top w:val="nil"/>
              <w:left w:val="double" w:sz="6" w:space="0" w:color="auto"/>
              <w:bottom w:val="single" w:sz="4" w:space="0" w:color="auto"/>
              <w:right w:val="single" w:sz="4" w:space="0" w:color="auto"/>
            </w:tcBorders>
            <w:shd w:val="clear" w:color="auto" w:fill="auto"/>
            <w:vAlign w:val="center"/>
            <w:hideMark/>
          </w:tcPr>
          <w:p w14:paraId="15841C59" w14:textId="77777777" w:rsidR="00520087" w:rsidRPr="00A53AD7" w:rsidRDefault="00520087" w:rsidP="00BA037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Контрактуемые расходы бюджета</w:t>
            </w:r>
          </w:p>
        </w:tc>
        <w:tc>
          <w:tcPr>
            <w:tcW w:w="957" w:type="dxa"/>
            <w:tcBorders>
              <w:top w:val="nil"/>
              <w:left w:val="nil"/>
              <w:bottom w:val="single" w:sz="4" w:space="0" w:color="auto"/>
              <w:right w:val="single" w:sz="4" w:space="0" w:color="auto"/>
            </w:tcBorders>
            <w:shd w:val="clear" w:color="auto" w:fill="auto"/>
            <w:vAlign w:val="center"/>
            <w:hideMark/>
          </w:tcPr>
          <w:p w14:paraId="08404253" w14:textId="77777777" w:rsidR="00520087" w:rsidRPr="00A53AD7" w:rsidRDefault="00520087" w:rsidP="00BA037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240, 412, 414</w:t>
            </w:r>
          </w:p>
        </w:tc>
        <w:tc>
          <w:tcPr>
            <w:tcW w:w="1188" w:type="dxa"/>
            <w:tcBorders>
              <w:top w:val="nil"/>
              <w:left w:val="nil"/>
              <w:bottom w:val="single" w:sz="4" w:space="0" w:color="auto"/>
              <w:right w:val="single" w:sz="4" w:space="0" w:color="auto"/>
            </w:tcBorders>
            <w:shd w:val="clear" w:color="auto" w:fill="auto"/>
            <w:vAlign w:val="center"/>
            <w:hideMark/>
          </w:tcPr>
          <w:p w14:paraId="243D2247"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4 300,7 </w:t>
            </w:r>
          </w:p>
        </w:tc>
        <w:tc>
          <w:tcPr>
            <w:tcW w:w="1188" w:type="dxa"/>
            <w:tcBorders>
              <w:top w:val="nil"/>
              <w:left w:val="nil"/>
              <w:bottom w:val="single" w:sz="4" w:space="0" w:color="auto"/>
              <w:right w:val="single" w:sz="4" w:space="0" w:color="auto"/>
            </w:tcBorders>
            <w:shd w:val="clear" w:color="auto" w:fill="auto"/>
            <w:vAlign w:val="center"/>
            <w:hideMark/>
          </w:tcPr>
          <w:p w14:paraId="5858B324"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3 248,4 </w:t>
            </w:r>
          </w:p>
        </w:tc>
        <w:tc>
          <w:tcPr>
            <w:tcW w:w="1186" w:type="dxa"/>
            <w:tcBorders>
              <w:top w:val="nil"/>
              <w:left w:val="nil"/>
              <w:bottom w:val="single" w:sz="4" w:space="0" w:color="auto"/>
              <w:right w:val="double" w:sz="6" w:space="0" w:color="auto"/>
            </w:tcBorders>
            <w:shd w:val="clear" w:color="auto" w:fill="auto"/>
            <w:vAlign w:val="center"/>
            <w:hideMark/>
          </w:tcPr>
          <w:p w14:paraId="5DDD5281" w14:textId="77777777" w:rsidR="00520087" w:rsidRPr="00A53AD7" w:rsidRDefault="00520087" w:rsidP="00B57A1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75,5</w:t>
            </w:r>
          </w:p>
        </w:tc>
      </w:tr>
      <w:tr w:rsidR="00D470B6" w:rsidRPr="00A53AD7" w14:paraId="3073E9D7" w14:textId="77777777" w:rsidTr="00BA0371">
        <w:trPr>
          <w:trHeight w:val="53"/>
        </w:trPr>
        <w:tc>
          <w:tcPr>
            <w:tcW w:w="4712" w:type="dxa"/>
            <w:tcBorders>
              <w:top w:val="nil"/>
              <w:left w:val="double" w:sz="6" w:space="0" w:color="auto"/>
              <w:bottom w:val="single" w:sz="4" w:space="0" w:color="auto"/>
              <w:right w:val="single" w:sz="4" w:space="0" w:color="auto"/>
            </w:tcBorders>
            <w:shd w:val="clear" w:color="auto" w:fill="auto"/>
            <w:vAlign w:val="center"/>
            <w:hideMark/>
          </w:tcPr>
          <w:p w14:paraId="04B96F05" w14:textId="77777777" w:rsidR="00520087" w:rsidRPr="00A53AD7" w:rsidRDefault="00520087" w:rsidP="00BA037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Межбюджетные трансферты</w:t>
            </w:r>
          </w:p>
        </w:tc>
        <w:tc>
          <w:tcPr>
            <w:tcW w:w="957" w:type="dxa"/>
            <w:tcBorders>
              <w:top w:val="nil"/>
              <w:left w:val="nil"/>
              <w:bottom w:val="single" w:sz="4" w:space="0" w:color="auto"/>
              <w:right w:val="single" w:sz="4" w:space="0" w:color="auto"/>
            </w:tcBorders>
            <w:shd w:val="clear" w:color="auto" w:fill="auto"/>
            <w:vAlign w:val="center"/>
            <w:hideMark/>
          </w:tcPr>
          <w:p w14:paraId="58E4D341" w14:textId="77777777" w:rsidR="00520087" w:rsidRPr="00A53AD7" w:rsidRDefault="00520087" w:rsidP="00BA037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500</w:t>
            </w:r>
          </w:p>
        </w:tc>
        <w:tc>
          <w:tcPr>
            <w:tcW w:w="1188" w:type="dxa"/>
            <w:tcBorders>
              <w:top w:val="nil"/>
              <w:left w:val="nil"/>
              <w:bottom w:val="single" w:sz="4" w:space="0" w:color="auto"/>
              <w:right w:val="single" w:sz="4" w:space="0" w:color="auto"/>
            </w:tcBorders>
            <w:shd w:val="clear" w:color="auto" w:fill="auto"/>
            <w:vAlign w:val="center"/>
            <w:hideMark/>
          </w:tcPr>
          <w:p w14:paraId="5D89468B"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5 359,6 </w:t>
            </w:r>
          </w:p>
        </w:tc>
        <w:tc>
          <w:tcPr>
            <w:tcW w:w="1188" w:type="dxa"/>
            <w:tcBorders>
              <w:top w:val="nil"/>
              <w:left w:val="nil"/>
              <w:bottom w:val="single" w:sz="4" w:space="0" w:color="auto"/>
              <w:right w:val="single" w:sz="4" w:space="0" w:color="auto"/>
            </w:tcBorders>
            <w:shd w:val="clear" w:color="auto" w:fill="auto"/>
            <w:vAlign w:val="center"/>
            <w:hideMark/>
          </w:tcPr>
          <w:p w14:paraId="76642BD8"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2 540,2 </w:t>
            </w:r>
          </w:p>
        </w:tc>
        <w:tc>
          <w:tcPr>
            <w:tcW w:w="1186" w:type="dxa"/>
            <w:tcBorders>
              <w:top w:val="nil"/>
              <w:left w:val="nil"/>
              <w:bottom w:val="single" w:sz="4" w:space="0" w:color="auto"/>
              <w:right w:val="double" w:sz="6" w:space="0" w:color="auto"/>
            </w:tcBorders>
            <w:shd w:val="clear" w:color="auto" w:fill="auto"/>
            <w:vAlign w:val="center"/>
            <w:hideMark/>
          </w:tcPr>
          <w:p w14:paraId="7BF2E624" w14:textId="77777777" w:rsidR="00520087" w:rsidRPr="00A53AD7" w:rsidRDefault="00520087" w:rsidP="00B57A1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47,4</w:t>
            </w:r>
          </w:p>
        </w:tc>
      </w:tr>
      <w:tr w:rsidR="00D470B6" w:rsidRPr="00A53AD7" w14:paraId="1567F9B9" w14:textId="77777777" w:rsidTr="00BA0371">
        <w:trPr>
          <w:trHeight w:val="53"/>
        </w:trPr>
        <w:tc>
          <w:tcPr>
            <w:tcW w:w="4712" w:type="dxa"/>
            <w:tcBorders>
              <w:top w:val="nil"/>
              <w:left w:val="double" w:sz="6" w:space="0" w:color="auto"/>
              <w:bottom w:val="single" w:sz="4" w:space="0" w:color="auto"/>
              <w:right w:val="single" w:sz="4" w:space="0" w:color="auto"/>
            </w:tcBorders>
            <w:shd w:val="clear" w:color="auto" w:fill="auto"/>
            <w:vAlign w:val="center"/>
            <w:hideMark/>
          </w:tcPr>
          <w:p w14:paraId="69DEB332" w14:textId="77777777" w:rsidR="00520087" w:rsidRPr="00A53AD7" w:rsidRDefault="00520087" w:rsidP="00BA037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Субсидии бюджетным, автономным учреждениям и НКО</w:t>
            </w:r>
          </w:p>
        </w:tc>
        <w:tc>
          <w:tcPr>
            <w:tcW w:w="957" w:type="dxa"/>
            <w:tcBorders>
              <w:top w:val="nil"/>
              <w:left w:val="nil"/>
              <w:bottom w:val="single" w:sz="4" w:space="0" w:color="auto"/>
              <w:right w:val="single" w:sz="4" w:space="0" w:color="auto"/>
            </w:tcBorders>
            <w:shd w:val="clear" w:color="auto" w:fill="auto"/>
            <w:vAlign w:val="center"/>
            <w:hideMark/>
          </w:tcPr>
          <w:p w14:paraId="1F8D7A0E" w14:textId="77777777" w:rsidR="00520087" w:rsidRPr="00A53AD7" w:rsidRDefault="00520087" w:rsidP="00BA037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600, 461</w:t>
            </w:r>
          </w:p>
        </w:tc>
        <w:tc>
          <w:tcPr>
            <w:tcW w:w="1188" w:type="dxa"/>
            <w:tcBorders>
              <w:top w:val="nil"/>
              <w:left w:val="nil"/>
              <w:bottom w:val="single" w:sz="4" w:space="0" w:color="auto"/>
              <w:right w:val="single" w:sz="4" w:space="0" w:color="auto"/>
            </w:tcBorders>
            <w:shd w:val="clear" w:color="auto" w:fill="auto"/>
            <w:vAlign w:val="center"/>
            <w:hideMark/>
          </w:tcPr>
          <w:p w14:paraId="11902C5A"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1 720,1 </w:t>
            </w:r>
          </w:p>
        </w:tc>
        <w:tc>
          <w:tcPr>
            <w:tcW w:w="1188" w:type="dxa"/>
            <w:tcBorders>
              <w:top w:val="nil"/>
              <w:left w:val="nil"/>
              <w:bottom w:val="single" w:sz="4" w:space="0" w:color="auto"/>
              <w:right w:val="single" w:sz="4" w:space="0" w:color="auto"/>
            </w:tcBorders>
            <w:shd w:val="clear" w:color="auto" w:fill="auto"/>
            <w:vAlign w:val="center"/>
            <w:hideMark/>
          </w:tcPr>
          <w:p w14:paraId="63023430"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1 720,1 </w:t>
            </w:r>
          </w:p>
        </w:tc>
        <w:tc>
          <w:tcPr>
            <w:tcW w:w="1186" w:type="dxa"/>
            <w:tcBorders>
              <w:top w:val="nil"/>
              <w:left w:val="nil"/>
              <w:bottom w:val="single" w:sz="4" w:space="0" w:color="auto"/>
              <w:right w:val="double" w:sz="6" w:space="0" w:color="auto"/>
            </w:tcBorders>
            <w:shd w:val="clear" w:color="auto" w:fill="auto"/>
            <w:vAlign w:val="center"/>
            <w:hideMark/>
          </w:tcPr>
          <w:p w14:paraId="6698F7D1" w14:textId="77777777" w:rsidR="00520087" w:rsidRPr="00A53AD7" w:rsidRDefault="00520087" w:rsidP="00B57A1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100,0</w:t>
            </w:r>
          </w:p>
        </w:tc>
      </w:tr>
      <w:tr w:rsidR="00D470B6" w:rsidRPr="00A53AD7" w14:paraId="65CDB876" w14:textId="77777777" w:rsidTr="00BA0371">
        <w:trPr>
          <w:trHeight w:val="53"/>
        </w:trPr>
        <w:tc>
          <w:tcPr>
            <w:tcW w:w="4712" w:type="dxa"/>
            <w:tcBorders>
              <w:top w:val="nil"/>
              <w:left w:val="double" w:sz="6" w:space="0" w:color="auto"/>
              <w:bottom w:val="single" w:sz="4" w:space="0" w:color="auto"/>
              <w:right w:val="single" w:sz="4" w:space="0" w:color="auto"/>
            </w:tcBorders>
            <w:shd w:val="clear" w:color="auto" w:fill="auto"/>
            <w:vAlign w:val="center"/>
            <w:hideMark/>
          </w:tcPr>
          <w:p w14:paraId="50E3FE28" w14:textId="77777777" w:rsidR="00520087" w:rsidRPr="00A53AD7" w:rsidRDefault="00520087" w:rsidP="00BA037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Социальное обеспечение и иные выплаты населению</w:t>
            </w:r>
          </w:p>
        </w:tc>
        <w:tc>
          <w:tcPr>
            <w:tcW w:w="957" w:type="dxa"/>
            <w:tcBorders>
              <w:top w:val="nil"/>
              <w:left w:val="nil"/>
              <w:bottom w:val="single" w:sz="4" w:space="0" w:color="auto"/>
              <w:right w:val="single" w:sz="4" w:space="0" w:color="auto"/>
            </w:tcBorders>
            <w:shd w:val="clear" w:color="auto" w:fill="auto"/>
            <w:vAlign w:val="center"/>
            <w:hideMark/>
          </w:tcPr>
          <w:p w14:paraId="559A171A" w14:textId="77777777" w:rsidR="00520087" w:rsidRPr="00A53AD7" w:rsidRDefault="00520087" w:rsidP="00BA037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300</w:t>
            </w:r>
          </w:p>
        </w:tc>
        <w:tc>
          <w:tcPr>
            <w:tcW w:w="1188" w:type="dxa"/>
            <w:tcBorders>
              <w:top w:val="nil"/>
              <w:left w:val="nil"/>
              <w:bottom w:val="single" w:sz="4" w:space="0" w:color="auto"/>
              <w:right w:val="single" w:sz="4" w:space="0" w:color="auto"/>
            </w:tcBorders>
            <w:shd w:val="clear" w:color="auto" w:fill="auto"/>
            <w:vAlign w:val="center"/>
            <w:hideMark/>
          </w:tcPr>
          <w:p w14:paraId="137520BB"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1 340,0 </w:t>
            </w:r>
          </w:p>
        </w:tc>
        <w:tc>
          <w:tcPr>
            <w:tcW w:w="1188" w:type="dxa"/>
            <w:tcBorders>
              <w:top w:val="nil"/>
              <w:left w:val="nil"/>
              <w:bottom w:val="single" w:sz="4" w:space="0" w:color="auto"/>
              <w:right w:val="single" w:sz="4" w:space="0" w:color="auto"/>
            </w:tcBorders>
            <w:shd w:val="clear" w:color="auto" w:fill="auto"/>
            <w:vAlign w:val="center"/>
            <w:hideMark/>
          </w:tcPr>
          <w:p w14:paraId="0F756913"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1 326,6 </w:t>
            </w:r>
          </w:p>
        </w:tc>
        <w:tc>
          <w:tcPr>
            <w:tcW w:w="1186" w:type="dxa"/>
            <w:tcBorders>
              <w:top w:val="nil"/>
              <w:left w:val="nil"/>
              <w:bottom w:val="single" w:sz="4" w:space="0" w:color="auto"/>
              <w:right w:val="double" w:sz="6" w:space="0" w:color="auto"/>
            </w:tcBorders>
            <w:shd w:val="clear" w:color="auto" w:fill="auto"/>
            <w:vAlign w:val="center"/>
            <w:hideMark/>
          </w:tcPr>
          <w:p w14:paraId="264CA7CA" w14:textId="77777777" w:rsidR="00520087" w:rsidRPr="00A53AD7" w:rsidRDefault="00520087" w:rsidP="00B57A1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99,0</w:t>
            </w:r>
          </w:p>
        </w:tc>
      </w:tr>
      <w:tr w:rsidR="00D470B6" w:rsidRPr="00A53AD7" w14:paraId="5AA13334" w14:textId="77777777" w:rsidTr="00BA0371">
        <w:trPr>
          <w:trHeight w:val="53"/>
        </w:trPr>
        <w:tc>
          <w:tcPr>
            <w:tcW w:w="4712" w:type="dxa"/>
            <w:tcBorders>
              <w:top w:val="nil"/>
              <w:left w:val="double" w:sz="6" w:space="0" w:color="auto"/>
              <w:bottom w:val="single" w:sz="4" w:space="0" w:color="auto"/>
              <w:right w:val="single" w:sz="4" w:space="0" w:color="auto"/>
            </w:tcBorders>
            <w:shd w:val="clear" w:color="auto" w:fill="auto"/>
            <w:vAlign w:val="center"/>
            <w:hideMark/>
          </w:tcPr>
          <w:p w14:paraId="202A7D08" w14:textId="77777777" w:rsidR="00520087" w:rsidRPr="00A53AD7" w:rsidRDefault="00520087" w:rsidP="00BA037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Субсидии юридическим лицам</w:t>
            </w:r>
          </w:p>
        </w:tc>
        <w:tc>
          <w:tcPr>
            <w:tcW w:w="957" w:type="dxa"/>
            <w:tcBorders>
              <w:top w:val="nil"/>
              <w:left w:val="nil"/>
              <w:bottom w:val="single" w:sz="4" w:space="0" w:color="auto"/>
              <w:right w:val="single" w:sz="4" w:space="0" w:color="auto"/>
            </w:tcBorders>
            <w:shd w:val="clear" w:color="auto" w:fill="auto"/>
            <w:vAlign w:val="center"/>
            <w:hideMark/>
          </w:tcPr>
          <w:p w14:paraId="190B608B" w14:textId="77777777" w:rsidR="00520087" w:rsidRPr="00A53AD7" w:rsidRDefault="00520087" w:rsidP="00BA037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800</w:t>
            </w:r>
          </w:p>
        </w:tc>
        <w:tc>
          <w:tcPr>
            <w:tcW w:w="1188" w:type="dxa"/>
            <w:tcBorders>
              <w:top w:val="nil"/>
              <w:left w:val="nil"/>
              <w:bottom w:val="single" w:sz="4" w:space="0" w:color="auto"/>
              <w:right w:val="single" w:sz="4" w:space="0" w:color="auto"/>
            </w:tcBorders>
            <w:shd w:val="clear" w:color="auto" w:fill="auto"/>
            <w:vAlign w:val="center"/>
            <w:hideMark/>
          </w:tcPr>
          <w:p w14:paraId="648376A8"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18,4 </w:t>
            </w:r>
          </w:p>
        </w:tc>
        <w:tc>
          <w:tcPr>
            <w:tcW w:w="1188" w:type="dxa"/>
            <w:tcBorders>
              <w:top w:val="nil"/>
              <w:left w:val="nil"/>
              <w:bottom w:val="single" w:sz="4" w:space="0" w:color="auto"/>
              <w:right w:val="single" w:sz="4" w:space="0" w:color="auto"/>
            </w:tcBorders>
            <w:shd w:val="clear" w:color="auto" w:fill="auto"/>
            <w:vAlign w:val="center"/>
            <w:hideMark/>
          </w:tcPr>
          <w:p w14:paraId="226BF3C8" w14:textId="77777777" w:rsidR="00520087" w:rsidRPr="00A53AD7" w:rsidRDefault="00520087" w:rsidP="00BA0371">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11,0 </w:t>
            </w:r>
          </w:p>
        </w:tc>
        <w:tc>
          <w:tcPr>
            <w:tcW w:w="1186" w:type="dxa"/>
            <w:tcBorders>
              <w:top w:val="nil"/>
              <w:left w:val="nil"/>
              <w:bottom w:val="single" w:sz="4" w:space="0" w:color="auto"/>
              <w:right w:val="double" w:sz="6" w:space="0" w:color="auto"/>
            </w:tcBorders>
            <w:shd w:val="clear" w:color="auto" w:fill="auto"/>
            <w:vAlign w:val="center"/>
            <w:hideMark/>
          </w:tcPr>
          <w:p w14:paraId="227416F3" w14:textId="77777777" w:rsidR="00520087" w:rsidRPr="00A53AD7" w:rsidRDefault="00520087" w:rsidP="00B57A1A">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60,0</w:t>
            </w:r>
          </w:p>
        </w:tc>
      </w:tr>
      <w:tr w:rsidR="00D470B6" w:rsidRPr="00A53AD7" w14:paraId="265DDEA9" w14:textId="77777777" w:rsidTr="00B617B0">
        <w:trPr>
          <w:trHeight w:val="53"/>
        </w:trPr>
        <w:tc>
          <w:tcPr>
            <w:tcW w:w="4712" w:type="dxa"/>
            <w:tcBorders>
              <w:top w:val="nil"/>
              <w:left w:val="double" w:sz="6" w:space="0" w:color="auto"/>
              <w:bottom w:val="double" w:sz="4" w:space="0" w:color="auto"/>
              <w:right w:val="single" w:sz="4" w:space="0" w:color="auto"/>
            </w:tcBorders>
            <w:shd w:val="clear" w:color="auto" w:fill="auto"/>
            <w:vAlign w:val="center"/>
            <w:hideMark/>
          </w:tcPr>
          <w:p w14:paraId="7536444E" w14:textId="77777777" w:rsidR="00520087" w:rsidRPr="00A53AD7" w:rsidRDefault="00520087" w:rsidP="00BA0371">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957" w:type="dxa"/>
            <w:tcBorders>
              <w:top w:val="nil"/>
              <w:left w:val="nil"/>
              <w:bottom w:val="double" w:sz="4" w:space="0" w:color="auto"/>
              <w:right w:val="single" w:sz="4" w:space="0" w:color="auto"/>
            </w:tcBorders>
            <w:shd w:val="clear" w:color="auto" w:fill="auto"/>
            <w:vAlign w:val="center"/>
            <w:hideMark/>
          </w:tcPr>
          <w:p w14:paraId="3DE74C30" w14:textId="77777777" w:rsidR="00520087" w:rsidRPr="00A53AD7" w:rsidRDefault="00520087" w:rsidP="00BA0371">
            <w:pPr>
              <w:spacing w:after="0" w:line="240" w:lineRule="auto"/>
              <w:jc w:val="center"/>
              <w:rPr>
                <w:rFonts w:ascii="Times New Roman" w:eastAsia="Times New Roman" w:hAnsi="Times New Roman"/>
                <w:b/>
                <w:bCs/>
                <w:lang w:eastAsia="ru-RU"/>
              </w:rPr>
            </w:pPr>
          </w:p>
        </w:tc>
        <w:tc>
          <w:tcPr>
            <w:tcW w:w="1188" w:type="dxa"/>
            <w:tcBorders>
              <w:top w:val="nil"/>
              <w:left w:val="nil"/>
              <w:bottom w:val="double" w:sz="4" w:space="0" w:color="auto"/>
              <w:right w:val="single" w:sz="4" w:space="0" w:color="auto"/>
            </w:tcBorders>
            <w:shd w:val="clear" w:color="auto" w:fill="auto"/>
            <w:vAlign w:val="center"/>
            <w:hideMark/>
          </w:tcPr>
          <w:p w14:paraId="6D629DFC" w14:textId="77777777" w:rsidR="00520087" w:rsidRPr="00A53AD7" w:rsidRDefault="00520087" w:rsidP="00BA0371">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12 738,8 </w:t>
            </w:r>
          </w:p>
        </w:tc>
        <w:tc>
          <w:tcPr>
            <w:tcW w:w="1188" w:type="dxa"/>
            <w:tcBorders>
              <w:top w:val="nil"/>
              <w:left w:val="nil"/>
              <w:bottom w:val="double" w:sz="4" w:space="0" w:color="auto"/>
              <w:right w:val="single" w:sz="4" w:space="0" w:color="auto"/>
            </w:tcBorders>
            <w:shd w:val="clear" w:color="auto" w:fill="auto"/>
            <w:vAlign w:val="center"/>
            <w:hideMark/>
          </w:tcPr>
          <w:p w14:paraId="7B53B07F" w14:textId="77777777" w:rsidR="00520087" w:rsidRPr="00A53AD7" w:rsidRDefault="00520087" w:rsidP="00BA0371">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8 846,4 </w:t>
            </w:r>
          </w:p>
        </w:tc>
        <w:tc>
          <w:tcPr>
            <w:tcW w:w="1186" w:type="dxa"/>
            <w:tcBorders>
              <w:top w:val="nil"/>
              <w:left w:val="nil"/>
              <w:bottom w:val="double" w:sz="4" w:space="0" w:color="auto"/>
              <w:right w:val="double" w:sz="6" w:space="0" w:color="auto"/>
            </w:tcBorders>
            <w:shd w:val="clear" w:color="auto" w:fill="auto"/>
            <w:vAlign w:val="center"/>
            <w:hideMark/>
          </w:tcPr>
          <w:p w14:paraId="54A70454" w14:textId="77777777" w:rsidR="00520087" w:rsidRPr="00A53AD7" w:rsidRDefault="00520087" w:rsidP="00B57A1A">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69,4</w:t>
            </w:r>
          </w:p>
        </w:tc>
      </w:tr>
      <w:tr w:rsidR="00B617B0" w:rsidRPr="00A53AD7" w14:paraId="29C6B86F" w14:textId="77777777" w:rsidTr="00B617B0">
        <w:trPr>
          <w:trHeight w:val="27"/>
        </w:trPr>
        <w:tc>
          <w:tcPr>
            <w:tcW w:w="4712" w:type="dxa"/>
            <w:tcBorders>
              <w:top w:val="double" w:sz="4" w:space="0" w:color="auto"/>
              <w:left w:val="double" w:sz="6" w:space="0" w:color="auto"/>
              <w:bottom w:val="double" w:sz="4" w:space="0" w:color="auto"/>
              <w:right w:val="single" w:sz="4" w:space="0" w:color="auto"/>
            </w:tcBorders>
            <w:shd w:val="clear" w:color="auto" w:fill="auto"/>
            <w:vAlign w:val="center"/>
          </w:tcPr>
          <w:p w14:paraId="6E03B407" w14:textId="12550AE2" w:rsidR="00B617B0" w:rsidRPr="00A53AD7" w:rsidRDefault="00B617B0" w:rsidP="00BA0371">
            <w:pPr>
              <w:spacing w:after="0" w:line="240" w:lineRule="auto"/>
              <w:rPr>
                <w:rFonts w:ascii="Times New Roman" w:eastAsia="Times New Roman" w:hAnsi="Times New Roman"/>
                <w:bCs/>
                <w:lang w:eastAsia="ru-RU"/>
              </w:rPr>
            </w:pPr>
            <w:r w:rsidRPr="00A53AD7">
              <w:rPr>
                <w:rFonts w:ascii="Times New Roman" w:eastAsia="Times New Roman" w:hAnsi="Times New Roman"/>
                <w:bCs/>
                <w:lang w:eastAsia="ru-RU"/>
              </w:rPr>
              <w:t>из общей суммы расходов – расходы на бюджетные инвестиции в объекты государственной собственности</w:t>
            </w:r>
          </w:p>
        </w:tc>
        <w:tc>
          <w:tcPr>
            <w:tcW w:w="957" w:type="dxa"/>
            <w:tcBorders>
              <w:top w:val="double" w:sz="4" w:space="0" w:color="auto"/>
              <w:left w:val="nil"/>
              <w:bottom w:val="double" w:sz="4" w:space="0" w:color="auto"/>
              <w:right w:val="single" w:sz="4" w:space="0" w:color="auto"/>
            </w:tcBorders>
            <w:shd w:val="clear" w:color="auto" w:fill="auto"/>
            <w:vAlign w:val="center"/>
          </w:tcPr>
          <w:p w14:paraId="1F1E6C67" w14:textId="638F2989" w:rsidR="00B617B0" w:rsidRPr="00A53AD7" w:rsidRDefault="00B617B0" w:rsidP="00BA0371">
            <w:pPr>
              <w:spacing w:after="0" w:line="240" w:lineRule="auto"/>
              <w:jc w:val="center"/>
              <w:rPr>
                <w:rFonts w:ascii="Times New Roman" w:eastAsia="Times New Roman" w:hAnsi="Times New Roman"/>
                <w:bCs/>
                <w:lang w:eastAsia="ru-RU"/>
              </w:rPr>
            </w:pPr>
            <w:r w:rsidRPr="00A53AD7">
              <w:rPr>
                <w:rFonts w:ascii="Times New Roman" w:eastAsia="Times New Roman" w:hAnsi="Times New Roman"/>
                <w:bCs/>
                <w:lang w:eastAsia="ru-RU"/>
              </w:rPr>
              <w:t>400</w:t>
            </w:r>
          </w:p>
        </w:tc>
        <w:tc>
          <w:tcPr>
            <w:tcW w:w="1188" w:type="dxa"/>
            <w:tcBorders>
              <w:top w:val="double" w:sz="4" w:space="0" w:color="auto"/>
              <w:left w:val="nil"/>
              <w:bottom w:val="double" w:sz="4" w:space="0" w:color="auto"/>
              <w:right w:val="single" w:sz="4" w:space="0" w:color="auto"/>
            </w:tcBorders>
            <w:shd w:val="clear" w:color="auto" w:fill="auto"/>
            <w:vAlign w:val="center"/>
          </w:tcPr>
          <w:p w14:paraId="6D3168A2" w14:textId="5E71B3A7" w:rsidR="00B617B0" w:rsidRPr="00A53AD7" w:rsidRDefault="00827788" w:rsidP="00BA0371">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2 550,5</w:t>
            </w:r>
          </w:p>
        </w:tc>
        <w:tc>
          <w:tcPr>
            <w:tcW w:w="1188" w:type="dxa"/>
            <w:tcBorders>
              <w:top w:val="double" w:sz="4" w:space="0" w:color="auto"/>
              <w:left w:val="nil"/>
              <w:bottom w:val="double" w:sz="4" w:space="0" w:color="auto"/>
              <w:right w:val="single" w:sz="4" w:space="0" w:color="auto"/>
            </w:tcBorders>
            <w:shd w:val="clear" w:color="auto" w:fill="auto"/>
            <w:vAlign w:val="center"/>
          </w:tcPr>
          <w:p w14:paraId="1B87F80E" w14:textId="1E9E850D" w:rsidR="00B617B0" w:rsidRPr="00A53AD7" w:rsidRDefault="00827788" w:rsidP="00BA0371">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1 537,5</w:t>
            </w:r>
          </w:p>
        </w:tc>
        <w:tc>
          <w:tcPr>
            <w:tcW w:w="1186" w:type="dxa"/>
            <w:tcBorders>
              <w:top w:val="double" w:sz="4" w:space="0" w:color="auto"/>
              <w:left w:val="nil"/>
              <w:bottom w:val="double" w:sz="4" w:space="0" w:color="auto"/>
              <w:right w:val="double" w:sz="6" w:space="0" w:color="auto"/>
            </w:tcBorders>
            <w:shd w:val="clear" w:color="auto" w:fill="auto"/>
            <w:vAlign w:val="center"/>
          </w:tcPr>
          <w:p w14:paraId="4A43E576" w14:textId="4262FC4B" w:rsidR="00B617B0" w:rsidRPr="00A53AD7" w:rsidRDefault="00827788" w:rsidP="00B57A1A">
            <w:pPr>
              <w:spacing w:after="0" w:line="240" w:lineRule="auto"/>
              <w:jc w:val="right"/>
              <w:rPr>
                <w:rFonts w:ascii="Times New Roman" w:eastAsia="Times New Roman" w:hAnsi="Times New Roman"/>
                <w:bCs/>
                <w:lang w:eastAsia="ru-RU"/>
              </w:rPr>
            </w:pPr>
            <w:r w:rsidRPr="00A53AD7">
              <w:rPr>
                <w:rFonts w:ascii="Times New Roman" w:eastAsia="Times New Roman" w:hAnsi="Times New Roman"/>
                <w:bCs/>
                <w:lang w:eastAsia="ru-RU"/>
              </w:rPr>
              <w:t>60,3</w:t>
            </w:r>
          </w:p>
        </w:tc>
      </w:tr>
    </w:tbl>
    <w:p w14:paraId="7A33D28E" w14:textId="77777777" w:rsidR="00520087" w:rsidRPr="00A53AD7" w:rsidRDefault="00520087" w:rsidP="00B57A1A">
      <w:pPr>
        <w:pStyle w:val="ad"/>
        <w:ind w:firstLine="851"/>
        <w:jc w:val="both"/>
        <w:rPr>
          <w:rFonts w:ascii="Times New Roman" w:hAnsi="Times New Roman"/>
          <w:sz w:val="28"/>
          <w:szCs w:val="28"/>
        </w:rPr>
      </w:pPr>
    </w:p>
    <w:p w14:paraId="312197A2" w14:textId="17AE2E5C" w:rsidR="00520087" w:rsidRPr="00A53AD7" w:rsidRDefault="00520087" w:rsidP="00B57A1A">
      <w:pPr>
        <w:pStyle w:val="ad"/>
        <w:ind w:firstLine="851"/>
        <w:jc w:val="both"/>
        <w:rPr>
          <w:rFonts w:ascii="Times New Roman" w:hAnsi="Times New Roman"/>
          <w:sz w:val="28"/>
          <w:szCs w:val="28"/>
        </w:rPr>
      </w:pPr>
      <w:r w:rsidRPr="00A53AD7">
        <w:rPr>
          <w:rFonts w:ascii="Times New Roman" w:hAnsi="Times New Roman"/>
          <w:sz w:val="28"/>
          <w:szCs w:val="28"/>
        </w:rPr>
        <w:t>На 100,0 % исполнены расходы только в виде субсидий государственным бюджетным и автономным учреждениям, иным некоммерческим организациям.</w:t>
      </w:r>
    </w:p>
    <w:p w14:paraId="70C2FA0A" w14:textId="25257C41" w:rsidR="00520087" w:rsidRPr="00A53AD7" w:rsidRDefault="00520087" w:rsidP="00B57A1A">
      <w:pPr>
        <w:pStyle w:val="ad"/>
        <w:ind w:firstLine="851"/>
        <w:jc w:val="both"/>
        <w:rPr>
          <w:rFonts w:ascii="Times New Roman" w:hAnsi="Times New Roman"/>
          <w:sz w:val="28"/>
          <w:szCs w:val="28"/>
        </w:rPr>
      </w:pPr>
      <w:r w:rsidRPr="00A53AD7">
        <w:rPr>
          <w:rFonts w:ascii="Times New Roman" w:hAnsi="Times New Roman"/>
          <w:sz w:val="28"/>
          <w:szCs w:val="28"/>
        </w:rPr>
        <w:t xml:space="preserve">Поквартальные расходы из областного бюджета на реализацию НП РФ представлены в таблице </w:t>
      </w:r>
      <w:r w:rsidR="00702796" w:rsidRPr="00A53AD7">
        <w:rPr>
          <w:rFonts w:ascii="Times New Roman" w:hAnsi="Times New Roman"/>
          <w:sz w:val="28"/>
          <w:szCs w:val="28"/>
        </w:rPr>
        <w:t xml:space="preserve">61 </w:t>
      </w:r>
      <w:r w:rsidRPr="00A53AD7">
        <w:rPr>
          <w:rFonts w:ascii="Times New Roman" w:hAnsi="Times New Roman"/>
          <w:sz w:val="28"/>
          <w:szCs w:val="28"/>
        </w:rPr>
        <w:t xml:space="preserve">и на рисунке </w:t>
      </w:r>
      <w:r w:rsidR="00702796" w:rsidRPr="00A53AD7">
        <w:rPr>
          <w:rFonts w:ascii="Times New Roman" w:hAnsi="Times New Roman"/>
          <w:sz w:val="28"/>
          <w:szCs w:val="28"/>
        </w:rPr>
        <w:t>54</w:t>
      </w:r>
      <w:r w:rsidRPr="00A53AD7">
        <w:rPr>
          <w:rFonts w:ascii="Times New Roman" w:hAnsi="Times New Roman"/>
          <w:sz w:val="28"/>
          <w:szCs w:val="28"/>
        </w:rPr>
        <w:t>.</w:t>
      </w:r>
    </w:p>
    <w:p w14:paraId="02FF49D2" w14:textId="77777777" w:rsidR="00520087" w:rsidRPr="00A53AD7" w:rsidRDefault="00520087" w:rsidP="0015769F">
      <w:pPr>
        <w:pStyle w:val="aff0"/>
        <w:spacing w:after="0" w:line="240" w:lineRule="auto"/>
        <w:rPr>
          <w:rFonts w:ascii="Times New Roman" w:hAnsi="Times New Roman"/>
          <w:b w:val="0"/>
          <w:sz w:val="24"/>
          <w:szCs w:val="24"/>
        </w:rPr>
      </w:pPr>
    </w:p>
    <w:p w14:paraId="16BFBE41" w14:textId="4A79B58E" w:rsidR="00520087" w:rsidRPr="00A53AD7" w:rsidRDefault="00520087" w:rsidP="0015769F">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61</w:t>
      </w:r>
      <w:r w:rsidRPr="00A53AD7">
        <w:rPr>
          <w:rFonts w:ascii="Times New Roman" w:hAnsi="Times New Roman"/>
          <w:b w:val="0"/>
          <w:sz w:val="24"/>
          <w:szCs w:val="24"/>
        </w:rPr>
        <w:fldChar w:fldCharType="end"/>
      </w:r>
      <w:r w:rsidRPr="00A53AD7">
        <w:rPr>
          <w:rFonts w:ascii="Times New Roman" w:hAnsi="Times New Roman"/>
          <w:b w:val="0"/>
          <w:sz w:val="24"/>
          <w:szCs w:val="24"/>
        </w:rPr>
        <w:t>. Ежеквартальные расходы областного бюджета на реализацию приоритетных национальных проектов РФ за 2019 год, млн.руб.</w:t>
      </w:r>
    </w:p>
    <w:tbl>
      <w:tblPr>
        <w:tblW w:w="9246" w:type="dxa"/>
        <w:tblInd w:w="85" w:type="dxa"/>
        <w:tblLook w:val="04A0" w:firstRow="1" w:lastRow="0" w:firstColumn="1" w:lastColumn="0" w:noHBand="0" w:noVBand="1"/>
      </w:tblPr>
      <w:tblGrid>
        <w:gridCol w:w="4570"/>
        <w:gridCol w:w="711"/>
        <w:gridCol w:w="990"/>
        <w:gridCol w:w="993"/>
        <w:gridCol w:w="992"/>
        <w:gridCol w:w="990"/>
      </w:tblGrid>
      <w:tr w:rsidR="00D470B6" w:rsidRPr="00A53AD7" w14:paraId="422A4C33" w14:textId="77777777" w:rsidTr="0005658D">
        <w:trPr>
          <w:trHeight w:val="21"/>
          <w:tblHeader/>
        </w:trPr>
        <w:tc>
          <w:tcPr>
            <w:tcW w:w="457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54F28999"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 показателя</w:t>
            </w:r>
          </w:p>
        </w:tc>
        <w:tc>
          <w:tcPr>
            <w:tcW w:w="711" w:type="dxa"/>
            <w:tcBorders>
              <w:top w:val="double" w:sz="6" w:space="0" w:color="auto"/>
              <w:left w:val="nil"/>
              <w:bottom w:val="single" w:sz="4" w:space="0" w:color="auto"/>
              <w:right w:val="single" w:sz="4" w:space="0" w:color="auto"/>
            </w:tcBorders>
            <w:shd w:val="clear" w:color="auto" w:fill="auto"/>
            <w:vAlign w:val="center"/>
            <w:hideMark/>
          </w:tcPr>
          <w:p w14:paraId="77959615"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за I кв.</w:t>
            </w:r>
          </w:p>
        </w:tc>
        <w:tc>
          <w:tcPr>
            <w:tcW w:w="990" w:type="dxa"/>
            <w:tcBorders>
              <w:top w:val="double" w:sz="6" w:space="0" w:color="auto"/>
              <w:left w:val="nil"/>
              <w:bottom w:val="single" w:sz="4" w:space="0" w:color="auto"/>
              <w:right w:val="single" w:sz="4" w:space="0" w:color="auto"/>
            </w:tcBorders>
            <w:shd w:val="clear" w:color="auto" w:fill="auto"/>
            <w:vAlign w:val="center"/>
            <w:hideMark/>
          </w:tcPr>
          <w:p w14:paraId="40ABAC39"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за II кв.</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14FAE5A5"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за III кв.</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7848A3BC"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за IV кв.</w:t>
            </w:r>
          </w:p>
        </w:tc>
        <w:tc>
          <w:tcPr>
            <w:tcW w:w="990" w:type="dxa"/>
            <w:tcBorders>
              <w:top w:val="double" w:sz="6" w:space="0" w:color="auto"/>
              <w:left w:val="nil"/>
              <w:bottom w:val="single" w:sz="4" w:space="0" w:color="auto"/>
              <w:right w:val="double" w:sz="6" w:space="0" w:color="auto"/>
            </w:tcBorders>
            <w:shd w:val="clear" w:color="auto" w:fill="auto"/>
            <w:vAlign w:val="center"/>
            <w:hideMark/>
          </w:tcPr>
          <w:p w14:paraId="15BE575D" w14:textId="77777777" w:rsidR="00520087" w:rsidRPr="00A53AD7" w:rsidRDefault="00520087" w:rsidP="0015769F">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Итого за год</w:t>
            </w:r>
          </w:p>
        </w:tc>
      </w:tr>
      <w:tr w:rsidR="00D470B6" w:rsidRPr="00A53AD7" w14:paraId="19AF44C1"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6BBA09F4"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"Цифровая экономика Российской Федерации"</w:t>
            </w:r>
          </w:p>
        </w:tc>
        <w:tc>
          <w:tcPr>
            <w:tcW w:w="711" w:type="dxa"/>
            <w:tcBorders>
              <w:top w:val="nil"/>
              <w:left w:val="nil"/>
              <w:bottom w:val="single" w:sz="4" w:space="0" w:color="auto"/>
              <w:right w:val="single" w:sz="4" w:space="0" w:color="auto"/>
            </w:tcBorders>
            <w:shd w:val="clear" w:color="auto" w:fill="auto"/>
            <w:vAlign w:val="center"/>
            <w:hideMark/>
          </w:tcPr>
          <w:p w14:paraId="5B1CD624"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90" w:type="dxa"/>
            <w:tcBorders>
              <w:top w:val="nil"/>
              <w:left w:val="nil"/>
              <w:bottom w:val="single" w:sz="4" w:space="0" w:color="auto"/>
              <w:right w:val="single" w:sz="4" w:space="0" w:color="auto"/>
            </w:tcBorders>
            <w:shd w:val="clear" w:color="auto" w:fill="auto"/>
            <w:vAlign w:val="center"/>
            <w:hideMark/>
          </w:tcPr>
          <w:p w14:paraId="7C5010B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11,9 </w:t>
            </w:r>
          </w:p>
        </w:tc>
        <w:tc>
          <w:tcPr>
            <w:tcW w:w="993" w:type="dxa"/>
            <w:tcBorders>
              <w:top w:val="nil"/>
              <w:left w:val="nil"/>
              <w:bottom w:val="single" w:sz="4" w:space="0" w:color="auto"/>
              <w:right w:val="single" w:sz="4" w:space="0" w:color="auto"/>
            </w:tcBorders>
            <w:shd w:val="clear" w:color="auto" w:fill="auto"/>
            <w:vAlign w:val="center"/>
            <w:hideMark/>
          </w:tcPr>
          <w:p w14:paraId="269D72E7"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-11,9 </w:t>
            </w:r>
          </w:p>
        </w:tc>
        <w:tc>
          <w:tcPr>
            <w:tcW w:w="992" w:type="dxa"/>
            <w:tcBorders>
              <w:top w:val="nil"/>
              <w:left w:val="nil"/>
              <w:bottom w:val="single" w:sz="4" w:space="0" w:color="auto"/>
              <w:right w:val="single" w:sz="4" w:space="0" w:color="auto"/>
            </w:tcBorders>
            <w:shd w:val="clear" w:color="auto" w:fill="auto"/>
            <w:vAlign w:val="center"/>
            <w:hideMark/>
          </w:tcPr>
          <w:p w14:paraId="014DD3AD"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90" w:type="dxa"/>
            <w:tcBorders>
              <w:top w:val="nil"/>
              <w:left w:val="nil"/>
              <w:bottom w:val="single" w:sz="4" w:space="0" w:color="auto"/>
              <w:right w:val="double" w:sz="6" w:space="0" w:color="auto"/>
            </w:tcBorders>
            <w:shd w:val="clear" w:color="auto" w:fill="auto"/>
            <w:vAlign w:val="center"/>
            <w:hideMark/>
          </w:tcPr>
          <w:p w14:paraId="21BE3977"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r>
      <w:tr w:rsidR="00D470B6" w:rsidRPr="00A53AD7" w14:paraId="3911CBE2"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3ED59C5"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"Культура"</w:t>
            </w:r>
          </w:p>
        </w:tc>
        <w:tc>
          <w:tcPr>
            <w:tcW w:w="711" w:type="dxa"/>
            <w:tcBorders>
              <w:top w:val="nil"/>
              <w:left w:val="nil"/>
              <w:bottom w:val="single" w:sz="4" w:space="0" w:color="auto"/>
              <w:right w:val="single" w:sz="4" w:space="0" w:color="auto"/>
            </w:tcBorders>
            <w:shd w:val="clear" w:color="auto" w:fill="auto"/>
            <w:vAlign w:val="center"/>
            <w:hideMark/>
          </w:tcPr>
          <w:p w14:paraId="7399BEDB"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w:t>
            </w:r>
          </w:p>
        </w:tc>
        <w:tc>
          <w:tcPr>
            <w:tcW w:w="990" w:type="dxa"/>
            <w:tcBorders>
              <w:top w:val="nil"/>
              <w:left w:val="nil"/>
              <w:bottom w:val="single" w:sz="4" w:space="0" w:color="auto"/>
              <w:right w:val="single" w:sz="4" w:space="0" w:color="auto"/>
            </w:tcBorders>
            <w:shd w:val="clear" w:color="auto" w:fill="auto"/>
            <w:vAlign w:val="center"/>
            <w:hideMark/>
          </w:tcPr>
          <w:p w14:paraId="6C3BC986"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46,2 </w:t>
            </w:r>
          </w:p>
        </w:tc>
        <w:tc>
          <w:tcPr>
            <w:tcW w:w="993" w:type="dxa"/>
            <w:tcBorders>
              <w:top w:val="nil"/>
              <w:left w:val="nil"/>
              <w:bottom w:val="single" w:sz="4" w:space="0" w:color="auto"/>
              <w:right w:val="single" w:sz="4" w:space="0" w:color="auto"/>
            </w:tcBorders>
            <w:shd w:val="clear" w:color="auto" w:fill="auto"/>
            <w:vAlign w:val="center"/>
            <w:hideMark/>
          </w:tcPr>
          <w:p w14:paraId="4CAEFE28"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20,0 </w:t>
            </w:r>
          </w:p>
        </w:tc>
        <w:tc>
          <w:tcPr>
            <w:tcW w:w="992" w:type="dxa"/>
            <w:tcBorders>
              <w:top w:val="nil"/>
              <w:left w:val="nil"/>
              <w:bottom w:val="single" w:sz="4" w:space="0" w:color="auto"/>
              <w:right w:val="single" w:sz="4" w:space="0" w:color="auto"/>
            </w:tcBorders>
            <w:shd w:val="clear" w:color="auto" w:fill="auto"/>
            <w:vAlign w:val="center"/>
            <w:hideMark/>
          </w:tcPr>
          <w:p w14:paraId="705934B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26,8 </w:t>
            </w:r>
          </w:p>
        </w:tc>
        <w:tc>
          <w:tcPr>
            <w:tcW w:w="990" w:type="dxa"/>
            <w:tcBorders>
              <w:top w:val="nil"/>
              <w:left w:val="nil"/>
              <w:bottom w:val="single" w:sz="4" w:space="0" w:color="auto"/>
              <w:right w:val="double" w:sz="6" w:space="0" w:color="auto"/>
            </w:tcBorders>
            <w:shd w:val="clear" w:color="auto" w:fill="auto"/>
            <w:vAlign w:val="center"/>
            <w:hideMark/>
          </w:tcPr>
          <w:p w14:paraId="29478DA5"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94,3 </w:t>
            </w:r>
          </w:p>
        </w:tc>
      </w:tr>
      <w:tr w:rsidR="00D470B6" w:rsidRPr="00A53AD7" w14:paraId="747C6E1A"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AC767E0"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"Демография"</w:t>
            </w:r>
          </w:p>
        </w:tc>
        <w:tc>
          <w:tcPr>
            <w:tcW w:w="711" w:type="dxa"/>
            <w:tcBorders>
              <w:top w:val="nil"/>
              <w:left w:val="nil"/>
              <w:bottom w:val="single" w:sz="4" w:space="0" w:color="auto"/>
              <w:right w:val="single" w:sz="4" w:space="0" w:color="auto"/>
            </w:tcBorders>
            <w:shd w:val="clear" w:color="auto" w:fill="auto"/>
            <w:vAlign w:val="center"/>
            <w:hideMark/>
          </w:tcPr>
          <w:p w14:paraId="4EE90737"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356,1 </w:t>
            </w:r>
          </w:p>
        </w:tc>
        <w:tc>
          <w:tcPr>
            <w:tcW w:w="990" w:type="dxa"/>
            <w:tcBorders>
              <w:top w:val="nil"/>
              <w:left w:val="nil"/>
              <w:bottom w:val="single" w:sz="4" w:space="0" w:color="auto"/>
              <w:right w:val="single" w:sz="4" w:space="0" w:color="auto"/>
            </w:tcBorders>
            <w:shd w:val="clear" w:color="auto" w:fill="auto"/>
            <w:vAlign w:val="center"/>
            <w:hideMark/>
          </w:tcPr>
          <w:p w14:paraId="5CC6B926"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456,1 </w:t>
            </w:r>
          </w:p>
        </w:tc>
        <w:tc>
          <w:tcPr>
            <w:tcW w:w="993" w:type="dxa"/>
            <w:tcBorders>
              <w:top w:val="nil"/>
              <w:left w:val="nil"/>
              <w:bottom w:val="single" w:sz="4" w:space="0" w:color="auto"/>
              <w:right w:val="single" w:sz="4" w:space="0" w:color="auto"/>
            </w:tcBorders>
            <w:shd w:val="clear" w:color="auto" w:fill="auto"/>
            <w:vAlign w:val="center"/>
            <w:hideMark/>
          </w:tcPr>
          <w:p w14:paraId="4EB9BD6C"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542,7 </w:t>
            </w:r>
          </w:p>
        </w:tc>
        <w:tc>
          <w:tcPr>
            <w:tcW w:w="992" w:type="dxa"/>
            <w:tcBorders>
              <w:top w:val="nil"/>
              <w:left w:val="nil"/>
              <w:bottom w:val="single" w:sz="4" w:space="0" w:color="auto"/>
              <w:right w:val="single" w:sz="4" w:space="0" w:color="auto"/>
            </w:tcBorders>
            <w:shd w:val="clear" w:color="auto" w:fill="auto"/>
            <w:vAlign w:val="center"/>
            <w:hideMark/>
          </w:tcPr>
          <w:p w14:paraId="46A4B12D"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781,5 </w:t>
            </w:r>
          </w:p>
        </w:tc>
        <w:tc>
          <w:tcPr>
            <w:tcW w:w="990" w:type="dxa"/>
            <w:tcBorders>
              <w:top w:val="nil"/>
              <w:left w:val="nil"/>
              <w:bottom w:val="single" w:sz="4" w:space="0" w:color="auto"/>
              <w:right w:val="double" w:sz="6" w:space="0" w:color="auto"/>
            </w:tcBorders>
            <w:shd w:val="clear" w:color="auto" w:fill="auto"/>
            <w:vAlign w:val="center"/>
            <w:hideMark/>
          </w:tcPr>
          <w:p w14:paraId="372DD621"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2 136,4 </w:t>
            </w:r>
          </w:p>
        </w:tc>
      </w:tr>
      <w:tr w:rsidR="00D470B6" w:rsidRPr="00A53AD7" w14:paraId="3807FA40"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6498CB89"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"Малое и среднее предпринимательство и поддержка индивидуальной предпринимательской инициативы"</w:t>
            </w:r>
          </w:p>
        </w:tc>
        <w:tc>
          <w:tcPr>
            <w:tcW w:w="711" w:type="dxa"/>
            <w:tcBorders>
              <w:top w:val="nil"/>
              <w:left w:val="nil"/>
              <w:bottom w:val="single" w:sz="4" w:space="0" w:color="auto"/>
              <w:right w:val="single" w:sz="4" w:space="0" w:color="auto"/>
            </w:tcBorders>
            <w:shd w:val="clear" w:color="auto" w:fill="auto"/>
            <w:vAlign w:val="center"/>
            <w:hideMark/>
          </w:tcPr>
          <w:p w14:paraId="54C53CC8"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100,2 </w:t>
            </w:r>
          </w:p>
        </w:tc>
        <w:tc>
          <w:tcPr>
            <w:tcW w:w="990" w:type="dxa"/>
            <w:tcBorders>
              <w:top w:val="nil"/>
              <w:left w:val="nil"/>
              <w:bottom w:val="single" w:sz="4" w:space="0" w:color="auto"/>
              <w:right w:val="single" w:sz="4" w:space="0" w:color="auto"/>
            </w:tcBorders>
            <w:shd w:val="clear" w:color="auto" w:fill="auto"/>
            <w:vAlign w:val="center"/>
            <w:hideMark/>
          </w:tcPr>
          <w:p w14:paraId="2DB9A1B8"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155,2 </w:t>
            </w:r>
          </w:p>
        </w:tc>
        <w:tc>
          <w:tcPr>
            <w:tcW w:w="993" w:type="dxa"/>
            <w:tcBorders>
              <w:top w:val="nil"/>
              <w:left w:val="nil"/>
              <w:bottom w:val="single" w:sz="4" w:space="0" w:color="auto"/>
              <w:right w:val="single" w:sz="4" w:space="0" w:color="auto"/>
            </w:tcBorders>
            <w:shd w:val="clear" w:color="auto" w:fill="auto"/>
            <w:vAlign w:val="center"/>
            <w:hideMark/>
          </w:tcPr>
          <w:p w14:paraId="457DDA3F"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225,7 </w:t>
            </w:r>
          </w:p>
        </w:tc>
        <w:tc>
          <w:tcPr>
            <w:tcW w:w="992" w:type="dxa"/>
            <w:tcBorders>
              <w:top w:val="nil"/>
              <w:left w:val="nil"/>
              <w:bottom w:val="single" w:sz="4" w:space="0" w:color="auto"/>
              <w:right w:val="single" w:sz="4" w:space="0" w:color="auto"/>
            </w:tcBorders>
            <w:shd w:val="clear" w:color="auto" w:fill="auto"/>
            <w:vAlign w:val="center"/>
            <w:hideMark/>
          </w:tcPr>
          <w:p w14:paraId="082A8AE4"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54,2 </w:t>
            </w:r>
          </w:p>
        </w:tc>
        <w:tc>
          <w:tcPr>
            <w:tcW w:w="990" w:type="dxa"/>
            <w:tcBorders>
              <w:top w:val="nil"/>
              <w:left w:val="nil"/>
              <w:bottom w:val="single" w:sz="4" w:space="0" w:color="auto"/>
              <w:right w:val="double" w:sz="6" w:space="0" w:color="auto"/>
            </w:tcBorders>
            <w:shd w:val="clear" w:color="auto" w:fill="auto"/>
            <w:vAlign w:val="center"/>
            <w:hideMark/>
          </w:tcPr>
          <w:p w14:paraId="631F04CC"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535,4 </w:t>
            </w:r>
          </w:p>
        </w:tc>
      </w:tr>
      <w:tr w:rsidR="00D470B6" w:rsidRPr="00A53AD7" w14:paraId="2FAFA15A"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2518318F"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"Экология"</w:t>
            </w:r>
          </w:p>
        </w:tc>
        <w:tc>
          <w:tcPr>
            <w:tcW w:w="711" w:type="dxa"/>
            <w:tcBorders>
              <w:top w:val="nil"/>
              <w:left w:val="nil"/>
              <w:bottom w:val="single" w:sz="4" w:space="0" w:color="auto"/>
              <w:right w:val="single" w:sz="4" w:space="0" w:color="auto"/>
            </w:tcBorders>
            <w:shd w:val="clear" w:color="auto" w:fill="auto"/>
            <w:vAlign w:val="center"/>
            <w:hideMark/>
          </w:tcPr>
          <w:p w14:paraId="2C31F94B"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990" w:type="dxa"/>
            <w:tcBorders>
              <w:top w:val="nil"/>
              <w:left w:val="nil"/>
              <w:bottom w:val="single" w:sz="4" w:space="0" w:color="auto"/>
              <w:right w:val="single" w:sz="4" w:space="0" w:color="auto"/>
            </w:tcBorders>
            <w:shd w:val="clear" w:color="auto" w:fill="auto"/>
            <w:vAlign w:val="center"/>
            <w:hideMark/>
          </w:tcPr>
          <w:p w14:paraId="14356A85"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65,5 </w:t>
            </w:r>
          </w:p>
        </w:tc>
        <w:tc>
          <w:tcPr>
            <w:tcW w:w="993" w:type="dxa"/>
            <w:tcBorders>
              <w:top w:val="nil"/>
              <w:left w:val="nil"/>
              <w:bottom w:val="single" w:sz="4" w:space="0" w:color="auto"/>
              <w:right w:val="single" w:sz="4" w:space="0" w:color="auto"/>
            </w:tcBorders>
            <w:shd w:val="clear" w:color="auto" w:fill="auto"/>
            <w:vAlign w:val="center"/>
            <w:hideMark/>
          </w:tcPr>
          <w:p w14:paraId="6044339A"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13,7 </w:t>
            </w:r>
          </w:p>
        </w:tc>
        <w:tc>
          <w:tcPr>
            <w:tcW w:w="992" w:type="dxa"/>
            <w:tcBorders>
              <w:top w:val="nil"/>
              <w:left w:val="nil"/>
              <w:bottom w:val="single" w:sz="4" w:space="0" w:color="auto"/>
              <w:right w:val="single" w:sz="4" w:space="0" w:color="auto"/>
            </w:tcBorders>
            <w:shd w:val="clear" w:color="auto" w:fill="auto"/>
            <w:vAlign w:val="center"/>
            <w:hideMark/>
          </w:tcPr>
          <w:p w14:paraId="337C792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30,7 </w:t>
            </w:r>
          </w:p>
        </w:tc>
        <w:tc>
          <w:tcPr>
            <w:tcW w:w="990" w:type="dxa"/>
            <w:tcBorders>
              <w:top w:val="nil"/>
              <w:left w:val="nil"/>
              <w:bottom w:val="single" w:sz="4" w:space="0" w:color="auto"/>
              <w:right w:val="double" w:sz="6" w:space="0" w:color="auto"/>
            </w:tcBorders>
            <w:shd w:val="clear" w:color="auto" w:fill="auto"/>
            <w:vAlign w:val="center"/>
            <w:hideMark/>
          </w:tcPr>
          <w:p w14:paraId="493FCD31"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109,9 </w:t>
            </w:r>
          </w:p>
        </w:tc>
      </w:tr>
      <w:tr w:rsidR="00D470B6" w:rsidRPr="00A53AD7" w14:paraId="3A0ADDC4"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FCDB748"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Комплексный план модернизации и расширения магистральной инфраструктуры</w:t>
            </w:r>
          </w:p>
        </w:tc>
        <w:tc>
          <w:tcPr>
            <w:tcW w:w="711" w:type="dxa"/>
            <w:tcBorders>
              <w:top w:val="nil"/>
              <w:left w:val="nil"/>
              <w:bottom w:val="single" w:sz="4" w:space="0" w:color="auto"/>
              <w:right w:val="single" w:sz="4" w:space="0" w:color="auto"/>
            </w:tcBorders>
            <w:shd w:val="clear" w:color="auto" w:fill="auto"/>
            <w:vAlign w:val="center"/>
            <w:hideMark/>
          </w:tcPr>
          <w:p w14:paraId="11FD5133"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442,6 </w:t>
            </w:r>
          </w:p>
        </w:tc>
        <w:tc>
          <w:tcPr>
            <w:tcW w:w="990" w:type="dxa"/>
            <w:tcBorders>
              <w:top w:val="nil"/>
              <w:left w:val="nil"/>
              <w:bottom w:val="single" w:sz="4" w:space="0" w:color="auto"/>
              <w:right w:val="single" w:sz="4" w:space="0" w:color="auto"/>
            </w:tcBorders>
            <w:shd w:val="clear" w:color="auto" w:fill="auto"/>
            <w:vAlign w:val="center"/>
            <w:hideMark/>
          </w:tcPr>
          <w:p w14:paraId="3E20D7BC"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35,8 </w:t>
            </w:r>
          </w:p>
        </w:tc>
        <w:tc>
          <w:tcPr>
            <w:tcW w:w="993" w:type="dxa"/>
            <w:tcBorders>
              <w:top w:val="nil"/>
              <w:left w:val="nil"/>
              <w:bottom w:val="single" w:sz="4" w:space="0" w:color="auto"/>
              <w:right w:val="single" w:sz="4" w:space="0" w:color="auto"/>
            </w:tcBorders>
            <w:shd w:val="clear" w:color="auto" w:fill="auto"/>
            <w:vAlign w:val="center"/>
            <w:hideMark/>
          </w:tcPr>
          <w:p w14:paraId="0D0128B5"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495,1 </w:t>
            </w:r>
          </w:p>
        </w:tc>
        <w:tc>
          <w:tcPr>
            <w:tcW w:w="992" w:type="dxa"/>
            <w:tcBorders>
              <w:top w:val="nil"/>
              <w:left w:val="nil"/>
              <w:bottom w:val="single" w:sz="4" w:space="0" w:color="auto"/>
              <w:right w:val="single" w:sz="4" w:space="0" w:color="auto"/>
            </w:tcBorders>
            <w:shd w:val="clear" w:color="auto" w:fill="auto"/>
            <w:vAlign w:val="center"/>
            <w:hideMark/>
          </w:tcPr>
          <w:p w14:paraId="00836054"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248,8 </w:t>
            </w:r>
          </w:p>
        </w:tc>
        <w:tc>
          <w:tcPr>
            <w:tcW w:w="990" w:type="dxa"/>
            <w:tcBorders>
              <w:top w:val="nil"/>
              <w:left w:val="nil"/>
              <w:bottom w:val="single" w:sz="4" w:space="0" w:color="auto"/>
              <w:right w:val="double" w:sz="6" w:space="0" w:color="auto"/>
            </w:tcBorders>
            <w:shd w:val="clear" w:color="auto" w:fill="auto"/>
            <w:vAlign w:val="center"/>
            <w:hideMark/>
          </w:tcPr>
          <w:p w14:paraId="4B132F50"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1 222,2 </w:t>
            </w:r>
          </w:p>
        </w:tc>
      </w:tr>
      <w:tr w:rsidR="00D470B6" w:rsidRPr="00A53AD7" w14:paraId="598BE439"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4DEA7501"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"Безопасные и качественные автомобильные дороги"</w:t>
            </w:r>
          </w:p>
        </w:tc>
        <w:tc>
          <w:tcPr>
            <w:tcW w:w="711" w:type="dxa"/>
            <w:tcBorders>
              <w:top w:val="nil"/>
              <w:left w:val="nil"/>
              <w:bottom w:val="single" w:sz="4" w:space="0" w:color="auto"/>
              <w:right w:val="single" w:sz="4" w:space="0" w:color="auto"/>
            </w:tcBorders>
            <w:shd w:val="clear" w:color="auto" w:fill="auto"/>
            <w:vAlign w:val="center"/>
            <w:hideMark/>
          </w:tcPr>
          <w:p w14:paraId="3697882C"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24,6 </w:t>
            </w:r>
          </w:p>
        </w:tc>
        <w:tc>
          <w:tcPr>
            <w:tcW w:w="990" w:type="dxa"/>
            <w:tcBorders>
              <w:top w:val="nil"/>
              <w:left w:val="nil"/>
              <w:bottom w:val="single" w:sz="4" w:space="0" w:color="auto"/>
              <w:right w:val="single" w:sz="4" w:space="0" w:color="auto"/>
            </w:tcBorders>
            <w:shd w:val="clear" w:color="auto" w:fill="auto"/>
            <w:vAlign w:val="center"/>
            <w:hideMark/>
          </w:tcPr>
          <w:p w14:paraId="6E4FCD88"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79,0 </w:t>
            </w:r>
          </w:p>
        </w:tc>
        <w:tc>
          <w:tcPr>
            <w:tcW w:w="993" w:type="dxa"/>
            <w:tcBorders>
              <w:top w:val="nil"/>
              <w:left w:val="nil"/>
              <w:bottom w:val="single" w:sz="4" w:space="0" w:color="auto"/>
              <w:right w:val="single" w:sz="4" w:space="0" w:color="auto"/>
            </w:tcBorders>
            <w:shd w:val="clear" w:color="auto" w:fill="auto"/>
            <w:vAlign w:val="center"/>
            <w:hideMark/>
          </w:tcPr>
          <w:p w14:paraId="068CDA8A"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1 639,6 </w:t>
            </w:r>
          </w:p>
        </w:tc>
        <w:tc>
          <w:tcPr>
            <w:tcW w:w="992" w:type="dxa"/>
            <w:tcBorders>
              <w:top w:val="nil"/>
              <w:left w:val="nil"/>
              <w:bottom w:val="single" w:sz="4" w:space="0" w:color="auto"/>
              <w:right w:val="single" w:sz="4" w:space="0" w:color="auto"/>
            </w:tcBorders>
            <w:shd w:val="clear" w:color="auto" w:fill="auto"/>
            <w:vAlign w:val="center"/>
            <w:hideMark/>
          </w:tcPr>
          <w:p w14:paraId="64A8849F"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706,1 </w:t>
            </w:r>
          </w:p>
        </w:tc>
        <w:tc>
          <w:tcPr>
            <w:tcW w:w="990" w:type="dxa"/>
            <w:tcBorders>
              <w:top w:val="nil"/>
              <w:left w:val="nil"/>
              <w:bottom w:val="single" w:sz="4" w:space="0" w:color="auto"/>
              <w:right w:val="double" w:sz="6" w:space="0" w:color="auto"/>
            </w:tcBorders>
            <w:shd w:val="clear" w:color="auto" w:fill="auto"/>
            <w:vAlign w:val="center"/>
            <w:hideMark/>
          </w:tcPr>
          <w:p w14:paraId="2FF4B336"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2 449,3 </w:t>
            </w:r>
          </w:p>
        </w:tc>
      </w:tr>
      <w:tr w:rsidR="00D470B6" w:rsidRPr="00A53AD7" w14:paraId="310F48C4"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66BF5517"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"Жилье и городская среда"</w:t>
            </w:r>
          </w:p>
        </w:tc>
        <w:tc>
          <w:tcPr>
            <w:tcW w:w="711" w:type="dxa"/>
            <w:tcBorders>
              <w:top w:val="nil"/>
              <w:left w:val="nil"/>
              <w:bottom w:val="single" w:sz="4" w:space="0" w:color="auto"/>
              <w:right w:val="single" w:sz="4" w:space="0" w:color="auto"/>
            </w:tcBorders>
            <w:shd w:val="clear" w:color="auto" w:fill="auto"/>
            <w:vAlign w:val="center"/>
            <w:hideMark/>
          </w:tcPr>
          <w:p w14:paraId="5530534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0,3 </w:t>
            </w:r>
          </w:p>
        </w:tc>
        <w:tc>
          <w:tcPr>
            <w:tcW w:w="990" w:type="dxa"/>
            <w:tcBorders>
              <w:top w:val="nil"/>
              <w:left w:val="nil"/>
              <w:bottom w:val="single" w:sz="4" w:space="0" w:color="auto"/>
              <w:right w:val="single" w:sz="4" w:space="0" w:color="auto"/>
            </w:tcBorders>
            <w:shd w:val="clear" w:color="auto" w:fill="auto"/>
            <w:vAlign w:val="center"/>
            <w:hideMark/>
          </w:tcPr>
          <w:p w14:paraId="39F6E724"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75,7 </w:t>
            </w:r>
          </w:p>
        </w:tc>
        <w:tc>
          <w:tcPr>
            <w:tcW w:w="993" w:type="dxa"/>
            <w:tcBorders>
              <w:top w:val="nil"/>
              <w:left w:val="nil"/>
              <w:bottom w:val="single" w:sz="4" w:space="0" w:color="auto"/>
              <w:right w:val="single" w:sz="4" w:space="0" w:color="auto"/>
            </w:tcBorders>
            <w:shd w:val="clear" w:color="auto" w:fill="auto"/>
            <w:vAlign w:val="center"/>
            <w:hideMark/>
          </w:tcPr>
          <w:p w14:paraId="500E1396"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337,5 </w:t>
            </w:r>
          </w:p>
        </w:tc>
        <w:tc>
          <w:tcPr>
            <w:tcW w:w="992" w:type="dxa"/>
            <w:tcBorders>
              <w:top w:val="nil"/>
              <w:left w:val="nil"/>
              <w:bottom w:val="single" w:sz="4" w:space="0" w:color="auto"/>
              <w:right w:val="single" w:sz="4" w:space="0" w:color="auto"/>
            </w:tcBorders>
            <w:shd w:val="clear" w:color="auto" w:fill="auto"/>
            <w:vAlign w:val="center"/>
            <w:hideMark/>
          </w:tcPr>
          <w:p w14:paraId="47125495"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610,0 </w:t>
            </w:r>
          </w:p>
        </w:tc>
        <w:tc>
          <w:tcPr>
            <w:tcW w:w="990" w:type="dxa"/>
            <w:tcBorders>
              <w:top w:val="nil"/>
              <w:left w:val="nil"/>
              <w:bottom w:val="single" w:sz="4" w:space="0" w:color="auto"/>
              <w:right w:val="double" w:sz="6" w:space="0" w:color="auto"/>
            </w:tcBorders>
            <w:shd w:val="clear" w:color="auto" w:fill="auto"/>
            <w:vAlign w:val="center"/>
            <w:hideMark/>
          </w:tcPr>
          <w:p w14:paraId="2543B1F8"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1 023,6 </w:t>
            </w:r>
          </w:p>
        </w:tc>
      </w:tr>
      <w:tr w:rsidR="00D470B6" w:rsidRPr="00A53AD7" w14:paraId="62FF0865"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32676098"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"Образование"</w:t>
            </w:r>
          </w:p>
        </w:tc>
        <w:tc>
          <w:tcPr>
            <w:tcW w:w="711" w:type="dxa"/>
            <w:tcBorders>
              <w:top w:val="nil"/>
              <w:left w:val="nil"/>
              <w:bottom w:val="single" w:sz="4" w:space="0" w:color="auto"/>
              <w:right w:val="single" w:sz="4" w:space="0" w:color="auto"/>
            </w:tcBorders>
            <w:shd w:val="clear" w:color="auto" w:fill="auto"/>
            <w:vAlign w:val="center"/>
            <w:hideMark/>
          </w:tcPr>
          <w:p w14:paraId="42F1757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15,5 </w:t>
            </w:r>
          </w:p>
        </w:tc>
        <w:tc>
          <w:tcPr>
            <w:tcW w:w="990" w:type="dxa"/>
            <w:tcBorders>
              <w:top w:val="nil"/>
              <w:left w:val="nil"/>
              <w:bottom w:val="single" w:sz="4" w:space="0" w:color="auto"/>
              <w:right w:val="single" w:sz="4" w:space="0" w:color="auto"/>
            </w:tcBorders>
            <w:shd w:val="clear" w:color="auto" w:fill="auto"/>
            <w:vAlign w:val="center"/>
            <w:hideMark/>
          </w:tcPr>
          <w:p w14:paraId="4433622B"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13,7 </w:t>
            </w:r>
          </w:p>
        </w:tc>
        <w:tc>
          <w:tcPr>
            <w:tcW w:w="993" w:type="dxa"/>
            <w:tcBorders>
              <w:top w:val="nil"/>
              <w:left w:val="nil"/>
              <w:bottom w:val="single" w:sz="4" w:space="0" w:color="auto"/>
              <w:right w:val="single" w:sz="4" w:space="0" w:color="auto"/>
            </w:tcBorders>
            <w:shd w:val="clear" w:color="auto" w:fill="auto"/>
            <w:vAlign w:val="center"/>
            <w:hideMark/>
          </w:tcPr>
          <w:p w14:paraId="0249D79A"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149,8 </w:t>
            </w:r>
          </w:p>
        </w:tc>
        <w:tc>
          <w:tcPr>
            <w:tcW w:w="992" w:type="dxa"/>
            <w:tcBorders>
              <w:top w:val="nil"/>
              <w:left w:val="nil"/>
              <w:bottom w:val="single" w:sz="4" w:space="0" w:color="auto"/>
              <w:right w:val="single" w:sz="4" w:space="0" w:color="auto"/>
            </w:tcBorders>
            <w:shd w:val="clear" w:color="auto" w:fill="auto"/>
            <w:vAlign w:val="center"/>
            <w:hideMark/>
          </w:tcPr>
          <w:p w14:paraId="65E0E976"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153,9 </w:t>
            </w:r>
          </w:p>
        </w:tc>
        <w:tc>
          <w:tcPr>
            <w:tcW w:w="990" w:type="dxa"/>
            <w:tcBorders>
              <w:top w:val="nil"/>
              <w:left w:val="nil"/>
              <w:bottom w:val="single" w:sz="4" w:space="0" w:color="auto"/>
              <w:right w:val="double" w:sz="6" w:space="0" w:color="auto"/>
            </w:tcBorders>
            <w:shd w:val="clear" w:color="auto" w:fill="auto"/>
            <w:vAlign w:val="center"/>
            <w:hideMark/>
          </w:tcPr>
          <w:p w14:paraId="00694EC2"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332,9 </w:t>
            </w:r>
          </w:p>
        </w:tc>
      </w:tr>
      <w:tr w:rsidR="00D470B6" w:rsidRPr="00A53AD7" w14:paraId="0634A588" w14:textId="77777777" w:rsidTr="0005658D">
        <w:trPr>
          <w:trHeight w:val="56"/>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6CF1F311" w14:textId="77777777" w:rsidR="00520087" w:rsidRPr="00A53AD7" w:rsidRDefault="00520087" w:rsidP="0015769F">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НП "Здравоохранение"</w:t>
            </w:r>
          </w:p>
        </w:tc>
        <w:tc>
          <w:tcPr>
            <w:tcW w:w="711" w:type="dxa"/>
            <w:tcBorders>
              <w:top w:val="nil"/>
              <w:left w:val="nil"/>
              <w:bottom w:val="single" w:sz="4" w:space="0" w:color="auto"/>
              <w:right w:val="single" w:sz="4" w:space="0" w:color="auto"/>
            </w:tcBorders>
            <w:shd w:val="clear" w:color="auto" w:fill="auto"/>
            <w:vAlign w:val="center"/>
            <w:hideMark/>
          </w:tcPr>
          <w:p w14:paraId="1906BC61"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35,8 </w:t>
            </w:r>
          </w:p>
        </w:tc>
        <w:tc>
          <w:tcPr>
            <w:tcW w:w="990" w:type="dxa"/>
            <w:tcBorders>
              <w:top w:val="nil"/>
              <w:left w:val="nil"/>
              <w:bottom w:val="single" w:sz="4" w:space="0" w:color="auto"/>
              <w:right w:val="single" w:sz="4" w:space="0" w:color="auto"/>
            </w:tcBorders>
            <w:shd w:val="clear" w:color="auto" w:fill="auto"/>
            <w:vAlign w:val="center"/>
            <w:hideMark/>
          </w:tcPr>
          <w:p w14:paraId="3275899D"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847,4 </w:t>
            </w:r>
          </w:p>
        </w:tc>
        <w:tc>
          <w:tcPr>
            <w:tcW w:w="993" w:type="dxa"/>
            <w:tcBorders>
              <w:top w:val="nil"/>
              <w:left w:val="nil"/>
              <w:bottom w:val="single" w:sz="4" w:space="0" w:color="auto"/>
              <w:right w:val="single" w:sz="4" w:space="0" w:color="auto"/>
            </w:tcBorders>
            <w:shd w:val="clear" w:color="auto" w:fill="auto"/>
            <w:vAlign w:val="center"/>
            <w:hideMark/>
          </w:tcPr>
          <w:p w14:paraId="622D2499"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37,0 </w:t>
            </w:r>
          </w:p>
        </w:tc>
        <w:tc>
          <w:tcPr>
            <w:tcW w:w="992" w:type="dxa"/>
            <w:tcBorders>
              <w:top w:val="nil"/>
              <w:left w:val="nil"/>
              <w:bottom w:val="single" w:sz="4" w:space="0" w:color="auto"/>
              <w:right w:val="single" w:sz="4" w:space="0" w:color="auto"/>
            </w:tcBorders>
            <w:shd w:val="clear" w:color="auto" w:fill="auto"/>
            <w:vAlign w:val="center"/>
            <w:hideMark/>
          </w:tcPr>
          <w:p w14:paraId="78E1F63E"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22,1 </w:t>
            </w:r>
          </w:p>
        </w:tc>
        <w:tc>
          <w:tcPr>
            <w:tcW w:w="990" w:type="dxa"/>
            <w:tcBorders>
              <w:top w:val="nil"/>
              <w:left w:val="nil"/>
              <w:bottom w:val="single" w:sz="4" w:space="0" w:color="auto"/>
              <w:right w:val="double" w:sz="6" w:space="0" w:color="auto"/>
            </w:tcBorders>
            <w:shd w:val="clear" w:color="auto" w:fill="auto"/>
            <w:vAlign w:val="center"/>
            <w:hideMark/>
          </w:tcPr>
          <w:p w14:paraId="0FB0A19C" w14:textId="77777777" w:rsidR="00520087" w:rsidRPr="00A53AD7" w:rsidRDefault="00520087" w:rsidP="0015769F">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942,4 </w:t>
            </w:r>
          </w:p>
        </w:tc>
      </w:tr>
      <w:tr w:rsidR="00D470B6" w:rsidRPr="00A53AD7" w14:paraId="6CF8F4A5" w14:textId="77777777" w:rsidTr="0005658D">
        <w:trPr>
          <w:trHeight w:val="56"/>
        </w:trPr>
        <w:tc>
          <w:tcPr>
            <w:tcW w:w="4570" w:type="dxa"/>
            <w:tcBorders>
              <w:top w:val="nil"/>
              <w:left w:val="double" w:sz="6" w:space="0" w:color="auto"/>
              <w:bottom w:val="double" w:sz="6" w:space="0" w:color="auto"/>
              <w:right w:val="single" w:sz="4" w:space="0" w:color="auto"/>
            </w:tcBorders>
            <w:shd w:val="clear" w:color="auto" w:fill="auto"/>
            <w:vAlign w:val="center"/>
            <w:hideMark/>
          </w:tcPr>
          <w:p w14:paraId="2CBF0D4D" w14:textId="77777777" w:rsidR="00520087" w:rsidRPr="00A53AD7" w:rsidRDefault="00520087" w:rsidP="0015769F">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711" w:type="dxa"/>
            <w:tcBorders>
              <w:top w:val="nil"/>
              <w:left w:val="nil"/>
              <w:bottom w:val="double" w:sz="6" w:space="0" w:color="auto"/>
              <w:right w:val="single" w:sz="4" w:space="0" w:color="auto"/>
            </w:tcBorders>
            <w:shd w:val="clear" w:color="auto" w:fill="auto"/>
            <w:vAlign w:val="center"/>
            <w:hideMark/>
          </w:tcPr>
          <w:p w14:paraId="386E13F9" w14:textId="77777777" w:rsidR="00520087" w:rsidRPr="00A53AD7" w:rsidRDefault="00520087" w:rsidP="0015769F">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976,5 </w:t>
            </w:r>
          </w:p>
        </w:tc>
        <w:tc>
          <w:tcPr>
            <w:tcW w:w="990" w:type="dxa"/>
            <w:tcBorders>
              <w:top w:val="nil"/>
              <w:left w:val="nil"/>
              <w:bottom w:val="double" w:sz="6" w:space="0" w:color="auto"/>
              <w:right w:val="single" w:sz="4" w:space="0" w:color="auto"/>
            </w:tcBorders>
            <w:shd w:val="clear" w:color="auto" w:fill="auto"/>
            <w:vAlign w:val="center"/>
            <w:hideMark/>
          </w:tcPr>
          <w:p w14:paraId="7200F87E" w14:textId="77777777" w:rsidR="00520087" w:rsidRPr="00A53AD7" w:rsidRDefault="00520087" w:rsidP="0015769F">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1 786,5 </w:t>
            </w:r>
          </w:p>
        </w:tc>
        <w:tc>
          <w:tcPr>
            <w:tcW w:w="993" w:type="dxa"/>
            <w:tcBorders>
              <w:top w:val="nil"/>
              <w:left w:val="nil"/>
              <w:bottom w:val="double" w:sz="6" w:space="0" w:color="auto"/>
              <w:right w:val="single" w:sz="4" w:space="0" w:color="auto"/>
            </w:tcBorders>
            <w:shd w:val="clear" w:color="auto" w:fill="auto"/>
            <w:vAlign w:val="center"/>
            <w:hideMark/>
          </w:tcPr>
          <w:p w14:paraId="2A49ED17" w14:textId="77777777" w:rsidR="00520087" w:rsidRPr="00A53AD7" w:rsidRDefault="00520087" w:rsidP="0015769F">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3 449,3 </w:t>
            </w:r>
          </w:p>
        </w:tc>
        <w:tc>
          <w:tcPr>
            <w:tcW w:w="992" w:type="dxa"/>
            <w:tcBorders>
              <w:top w:val="nil"/>
              <w:left w:val="nil"/>
              <w:bottom w:val="double" w:sz="6" w:space="0" w:color="auto"/>
              <w:right w:val="single" w:sz="4" w:space="0" w:color="auto"/>
            </w:tcBorders>
            <w:shd w:val="clear" w:color="auto" w:fill="auto"/>
            <w:vAlign w:val="center"/>
            <w:hideMark/>
          </w:tcPr>
          <w:p w14:paraId="711953CF" w14:textId="77777777" w:rsidR="00520087" w:rsidRPr="00A53AD7" w:rsidRDefault="00520087" w:rsidP="0015769F">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2 634,1 </w:t>
            </w:r>
          </w:p>
        </w:tc>
        <w:tc>
          <w:tcPr>
            <w:tcW w:w="990" w:type="dxa"/>
            <w:tcBorders>
              <w:top w:val="nil"/>
              <w:left w:val="nil"/>
              <w:bottom w:val="double" w:sz="6" w:space="0" w:color="auto"/>
              <w:right w:val="double" w:sz="6" w:space="0" w:color="auto"/>
            </w:tcBorders>
            <w:shd w:val="clear" w:color="auto" w:fill="auto"/>
            <w:vAlign w:val="center"/>
            <w:hideMark/>
          </w:tcPr>
          <w:p w14:paraId="73B11ED6" w14:textId="77777777" w:rsidR="00520087" w:rsidRPr="00A53AD7" w:rsidRDefault="00520087" w:rsidP="0015769F">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8 846,4 </w:t>
            </w:r>
          </w:p>
        </w:tc>
      </w:tr>
    </w:tbl>
    <w:p w14:paraId="25CE565A" w14:textId="77777777" w:rsidR="00520087" w:rsidRPr="00A53AD7" w:rsidRDefault="00520087" w:rsidP="00520087">
      <w:pPr>
        <w:rPr>
          <w:sz w:val="16"/>
          <w:szCs w:val="16"/>
          <w:highlight w:val="cyan"/>
        </w:rPr>
      </w:pPr>
    </w:p>
    <w:p w14:paraId="0A60A42C" w14:textId="77777777" w:rsidR="00520087" w:rsidRPr="00A53AD7" w:rsidRDefault="00520087" w:rsidP="00520087">
      <w:pPr>
        <w:jc w:val="center"/>
      </w:pPr>
      <w:r w:rsidRPr="00A53AD7">
        <w:rPr>
          <w:noProof/>
          <w:lang w:eastAsia="ru-RU"/>
        </w:rPr>
        <w:drawing>
          <wp:inline distT="0" distB="0" distL="0" distR="0" wp14:anchorId="0B3FF809" wp14:editId="301B2499">
            <wp:extent cx="3241501" cy="1953159"/>
            <wp:effectExtent l="0" t="0" r="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47200" cy="1956593"/>
                    </a:xfrm>
                    <a:prstGeom prst="rect">
                      <a:avLst/>
                    </a:prstGeom>
                    <a:noFill/>
                  </pic:spPr>
                </pic:pic>
              </a:graphicData>
            </a:graphic>
          </wp:inline>
        </w:drawing>
      </w:r>
    </w:p>
    <w:p w14:paraId="45837B41" w14:textId="78B6BD03" w:rsidR="00D02CBB" w:rsidRPr="00A53AD7" w:rsidRDefault="00D02CBB" w:rsidP="00D02CB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54</w:t>
      </w:r>
      <w:r w:rsidRPr="00A53AD7">
        <w:rPr>
          <w:rFonts w:ascii="Times New Roman" w:hAnsi="Times New Roman"/>
          <w:b w:val="0"/>
          <w:sz w:val="24"/>
          <w:szCs w:val="24"/>
        </w:rPr>
        <w:fldChar w:fldCharType="end"/>
      </w:r>
      <w:r w:rsidRPr="00A53AD7">
        <w:rPr>
          <w:rFonts w:ascii="Times New Roman" w:hAnsi="Times New Roman"/>
          <w:b w:val="0"/>
          <w:sz w:val="24"/>
          <w:szCs w:val="24"/>
        </w:rPr>
        <w:t>. Ежеквартальные расходы областного бюджета и их удельных вес в общей сумме расходов на реализацию приоритетных национальных проектов РФ за 2019 год, %</w:t>
      </w:r>
    </w:p>
    <w:p w14:paraId="4B1057C9" w14:textId="77777777" w:rsidR="00D02CBB" w:rsidRPr="00A53AD7" w:rsidRDefault="00D02CBB" w:rsidP="00D02CBB">
      <w:pPr>
        <w:pStyle w:val="ad"/>
        <w:ind w:firstLine="851"/>
        <w:jc w:val="both"/>
        <w:rPr>
          <w:rFonts w:ascii="Times New Roman" w:hAnsi="Times New Roman"/>
          <w:sz w:val="28"/>
          <w:szCs w:val="28"/>
        </w:rPr>
      </w:pPr>
    </w:p>
    <w:p w14:paraId="26CA9F7A" w14:textId="34B36743" w:rsidR="00520087" w:rsidRPr="00A53AD7" w:rsidRDefault="00520087" w:rsidP="00D02CBB">
      <w:pPr>
        <w:pStyle w:val="ad"/>
        <w:ind w:firstLine="851"/>
        <w:jc w:val="both"/>
        <w:rPr>
          <w:rFonts w:ascii="Times New Roman" w:hAnsi="Times New Roman"/>
          <w:sz w:val="28"/>
          <w:szCs w:val="28"/>
        </w:rPr>
      </w:pPr>
      <w:r w:rsidRPr="00A53AD7">
        <w:rPr>
          <w:rFonts w:ascii="Times New Roman" w:hAnsi="Times New Roman"/>
          <w:sz w:val="28"/>
          <w:szCs w:val="28"/>
        </w:rPr>
        <w:t>Наибольшая доля расходов областного бюджета на реализацию НП РФ осуществлена в III квартале 2019 года</w:t>
      </w:r>
      <w:r w:rsidR="009832DA" w:rsidRPr="00A53AD7">
        <w:rPr>
          <w:rFonts w:ascii="Times New Roman" w:hAnsi="Times New Roman"/>
          <w:sz w:val="28"/>
          <w:szCs w:val="28"/>
        </w:rPr>
        <w:t xml:space="preserve"> (</w:t>
      </w:r>
      <w:r w:rsidRPr="00A53AD7">
        <w:rPr>
          <w:rFonts w:ascii="Times New Roman" w:hAnsi="Times New Roman"/>
          <w:sz w:val="28"/>
          <w:szCs w:val="28"/>
        </w:rPr>
        <w:t>39,0 %</w:t>
      </w:r>
      <w:r w:rsidR="009832DA" w:rsidRPr="00A53AD7">
        <w:rPr>
          <w:rFonts w:ascii="Times New Roman" w:hAnsi="Times New Roman"/>
          <w:sz w:val="28"/>
          <w:szCs w:val="28"/>
        </w:rPr>
        <w:t>)</w:t>
      </w:r>
      <w:r w:rsidRPr="00A53AD7">
        <w:rPr>
          <w:rFonts w:ascii="Times New Roman" w:hAnsi="Times New Roman"/>
          <w:sz w:val="28"/>
          <w:szCs w:val="28"/>
        </w:rPr>
        <w:t>, в т.ч. в рамках НП РФ «Безопасные и качественные автомобильные дороги» - 66,9 %.</w:t>
      </w:r>
    </w:p>
    <w:p w14:paraId="73BA285D" w14:textId="77777777" w:rsidR="00520087" w:rsidRPr="00A53AD7" w:rsidRDefault="00520087" w:rsidP="009832DA">
      <w:pPr>
        <w:pStyle w:val="ad"/>
        <w:ind w:firstLine="851"/>
        <w:jc w:val="both"/>
        <w:rPr>
          <w:rFonts w:ascii="Times New Roman" w:hAnsi="Times New Roman"/>
          <w:sz w:val="28"/>
          <w:szCs w:val="28"/>
        </w:rPr>
      </w:pPr>
    </w:p>
    <w:p w14:paraId="47AB6E9F" w14:textId="62F7087F" w:rsidR="00520087" w:rsidRPr="00A53AD7" w:rsidRDefault="00520087" w:rsidP="009832DA">
      <w:pPr>
        <w:pStyle w:val="ad"/>
        <w:ind w:firstLine="851"/>
        <w:jc w:val="both"/>
        <w:rPr>
          <w:rFonts w:ascii="Times New Roman" w:hAnsi="Times New Roman"/>
          <w:sz w:val="28"/>
          <w:szCs w:val="28"/>
        </w:rPr>
      </w:pPr>
      <w:r w:rsidRPr="00A53AD7">
        <w:rPr>
          <w:rFonts w:ascii="Times New Roman" w:hAnsi="Times New Roman"/>
          <w:sz w:val="28"/>
          <w:szCs w:val="28"/>
        </w:rPr>
        <w:t xml:space="preserve">В 2019 году расходы </w:t>
      </w:r>
      <w:r w:rsidR="009832DA" w:rsidRPr="00A53AD7">
        <w:rPr>
          <w:rFonts w:ascii="Times New Roman" w:hAnsi="Times New Roman"/>
          <w:sz w:val="28"/>
          <w:szCs w:val="28"/>
        </w:rPr>
        <w:t>на</w:t>
      </w:r>
      <w:r w:rsidRPr="00A53AD7">
        <w:rPr>
          <w:rFonts w:ascii="Times New Roman" w:hAnsi="Times New Roman"/>
          <w:sz w:val="28"/>
          <w:szCs w:val="28"/>
        </w:rPr>
        <w:t xml:space="preserve"> реализаци</w:t>
      </w:r>
      <w:r w:rsidR="009832DA" w:rsidRPr="00A53AD7">
        <w:rPr>
          <w:rFonts w:ascii="Times New Roman" w:hAnsi="Times New Roman"/>
          <w:sz w:val="28"/>
          <w:szCs w:val="28"/>
        </w:rPr>
        <w:t>ю</w:t>
      </w:r>
      <w:r w:rsidRPr="00A53AD7">
        <w:rPr>
          <w:rFonts w:ascii="Times New Roman" w:hAnsi="Times New Roman"/>
          <w:sz w:val="28"/>
          <w:szCs w:val="28"/>
        </w:rPr>
        <w:t xml:space="preserve"> мероприятий, предусмотренных приоритетными национальными проектами РФ, осуществлены 13 главными распорядителями из 30.</w:t>
      </w:r>
    </w:p>
    <w:p w14:paraId="16BFA6E7" w14:textId="586E3C82" w:rsidR="00520087" w:rsidRPr="00A53AD7" w:rsidRDefault="00520087" w:rsidP="009832DA">
      <w:pPr>
        <w:pStyle w:val="ad"/>
        <w:ind w:firstLine="851"/>
        <w:jc w:val="both"/>
        <w:rPr>
          <w:rFonts w:ascii="Times New Roman" w:hAnsi="Times New Roman"/>
          <w:sz w:val="28"/>
          <w:szCs w:val="28"/>
        </w:rPr>
      </w:pPr>
      <w:r w:rsidRPr="00A53AD7">
        <w:rPr>
          <w:rFonts w:ascii="Times New Roman" w:hAnsi="Times New Roman"/>
          <w:sz w:val="28"/>
          <w:szCs w:val="28"/>
        </w:rPr>
        <w:t xml:space="preserve">Поквартальные расходы из областного бюджета на реализацию НП РФ в разрезе главных распорядителей средств областного бюджета за 2019 год, представлены в таблице </w:t>
      </w:r>
      <w:r w:rsidR="00702796" w:rsidRPr="00A53AD7">
        <w:rPr>
          <w:rFonts w:ascii="Times New Roman" w:hAnsi="Times New Roman"/>
          <w:sz w:val="28"/>
          <w:szCs w:val="28"/>
        </w:rPr>
        <w:t>62</w:t>
      </w:r>
      <w:r w:rsidRPr="00A53AD7">
        <w:rPr>
          <w:rFonts w:ascii="Times New Roman" w:hAnsi="Times New Roman"/>
          <w:sz w:val="28"/>
          <w:szCs w:val="28"/>
        </w:rPr>
        <w:t>.</w:t>
      </w:r>
    </w:p>
    <w:p w14:paraId="517296ED" w14:textId="77777777" w:rsidR="00520087" w:rsidRPr="00A53AD7" w:rsidRDefault="00520087" w:rsidP="009832DA">
      <w:pPr>
        <w:pStyle w:val="aff0"/>
        <w:spacing w:after="0" w:line="240" w:lineRule="auto"/>
        <w:rPr>
          <w:rFonts w:ascii="Times New Roman" w:hAnsi="Times New Roman"/>
          <w:b w:val="0"/>
          <w:sz w:val="24"/>
          <w:szCs w:val="24"/>
        </w:rPr>
      </w:pPr>
    </w:p>
    <w:p w14:paraId="3414E5FA" w14:textId="080367D2" w:rsidR="00520087" w:rsidRPr="00A53AD7" w:rsidRDefault="00520087" w:rsidP="009832D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62</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Расходы областного бюджета за 2019 год, направленные на реализацию приоритетных национальных проектов РФ, </w:t>
      </w:r>
      <w:r w:rsidR="009832DA" w:rsidRPr="00A53AD7">
        <w:rPr>
          <w:rFonts w:ascii="Times New Roman" w:hAnsi="Times New Roman"/>
          <w:b w:val="0"/>
          <w:sz w:val="24"/>
          <w:szCs w:val="24"/>
        </w:rPr>
        <w:t>в разрезе</w:t>
      </w:r>
      <w:r w:rsidRPr="00A53AD7">
        <w:rPr>
          <w:rFonts w:ascii="Times New Roman" w:hAnsi="Times New Roman"/>
          <w:b w:val="0"/>
          <w:sz w:val="24"/>
          <w:szCs w:val="24"/>
        </w:rPr>
        <w:t xml:space="preserve"> главны</w:t>
      </w:r>
      <w:r w:rsidR="009832DA" w:rsidRPr="00A53AD7">
        <w:rPr>
          <w:rFonts w:ascii="Times New Roman" w:hAnsi="Times New Roman"/>
          <w:b w:val="0"/>
          <w:sz w:val="24"/>
          <w:szCs w:val="24"/>
        </w:rPr>
        <w:t>х</w:t>
      </w:r>
      <w:r w:rsidRPr="00A53AD7">
        <w:rPr>
          <w:rFonts w:ascii="Times New Roman" w:hAnsi="Times New Roman"/>
          <w:b w:val="0"/>
          <w:sz w:val="24"/>
          <w:szCs w:val="24"/>
        </w:rPr>
        <w:t xml:space="preserve"> распорядител</w:t>
      </w:r>
      <w:r w:rsidR="009832DA" w:rsidRPr="00A53AD7">
        <w:rPr>
          <w:rFonts w:ascii="Times New Roman" w:hAnsi="Times New Roman"/>
          <w:b w:val="0"/>
          <w:sz w:val="24"/>
          <w:szCs w:val="24"/>
        </w:rPr>
        <w:t>ей</w:t>
      </w:r>
      <w:r w:rsidRPr="00A53AD7">
        <w:rPr>
          <w:rFonts w:ascii="Times New Roman" w:hAnsi="Times New Roman"/>
          <w:b w:val="0"/>
          <w:sz w:val="24"/>
          <w:szCs w:val="24"/>
        </w:rPr>
        <w:t xml:space="preserve"> бюджетных средств, млн.руб.</w:t>
      </w:r>
    </w:p>
    <w:tbl>
      <w:tblPr>
        <w:tblW w:w="9332" w:type="dxa"/>
        <w:tblInd w:w="85" w:type="dxa"/>
        <w:tblLayout w:type="fixed"/>
        <w:tblLook w:val="04A0" w:firstRow="1" w:lastRow="0" w:firstColumn="1" w:lastColumn="0" w:noHBand="0" w:noVBand="1"/>
      </w:tblPr>
      <w:tblGrid>
        <w:gridCol w:w="3436"/>
        <w:gridCol w:w="720"/>
        <w:gridCol w:w="850"/>
        <w:gridCol w:w="851"/>
        <w:gridCol w:w="850"/>
        <w:gridCol w:w="993"/>
        <w:gridCol w:w="889"/>
        <w:gridCol w:w="743"/>
      </w:tblGrid>
      <w:tr w:rsidR="00D470B6" w:rsidRPr="00A53AD7" w14:paraId="780A2914" w14:textId="77777777" w:rsidTr="009832DA">
        <w:trPr>
          <w:trHeight w:val="21"/>
          <w:tblHeader/>
        </w:trPr>
        <w:tc>
          <w:tcPr>
            <w:tcW w:w="343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20C78688"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 главного распорядителя средств областного бюджета</w:t>
            </w:r>
          </w:p>
        </w:tc>
        <w:tc>
          <w:tcPr>
            <w:tcW w:w="3271" w:type="dxa"/>
            <w:gridSpan w:val="4"/>
            <w:tcBorders>
              <w:top w:val="double" w:sz="6" w:space="0" w:color="auto"/>
              <w:left w:val="nil"/>
              <w:bottom w:val="single" w:sz="4" w:space="0" w:color="auto"/>
              <w:right w:val="single" w:sz="4" w:space="0" w:color="auto"/>
            </w:tcBorders>
            <w:shd w:val="clear" w:color="auto" w:fill="auto"/>
            <w:vAlign w:val="center"/>
            <w:hideMark/>
          </w:tcPr>
          <w:p w14:paraId="2180D9AA"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Исполнено за:</w:t>
            </w:r>
          </w:p>
        </w:tc>
        <w:tc>
          <w:tcPr>
            <w:tcW w:w="2625" w:type="dxa"/>
            <w:gridSpan w:val="3"/>
            <w:tcBorders>
              <w:top w:val="double" w:sz="6" w:space="0" w:color="auto"/>
              <w:left w:val="nil"/>
              <w:bottom w:val="single" w:sz="4" w:space="0" w:color="auto"/>
              <w:right w:val="double" w:sz="6" w:space="0" w:color="000000"/>
            </w:tcBorders>
            <w:shd w:val="clear" w:color="auto" w:fill="auto"/>
            <w:vAlign w:val="center"/>
            <w:hideMark/>
          </w:tcPr>
          <w:p w14:paraId="672B0275"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 за 2019 год</w:t>
            </w:r>
          </w:p>
        </w:tc>
      </w:tr>
      <w:tr w:rsidR="00D470B6" w:rsidRPr="00A53AD7" w14:paraId="2DA0348A" w14:textId="77777777" w:rsidTr="009832DA">
        <w:trPr>
          <w:trHeight w:val="21"/>
          <w:tblHeader/>
        </w:trPr>
        <w:tc>
          <w:tcPr>
            <w:tcW w:w="3436" w:type="dxa"/>
            <w:vMerge/>
            <w:tcBorders>
              <w:top w:val="double" w:sz="6" w:space="0" w:color="auto"/>
              <w:left w:val="double" w:sz="6" w:space="0" w:color="auto"/>
              <w:bottom w:val="single" w:sz="4" w:space="0" w:color="auto"/>
              <w:right w:val="single" w:sz="4" w:space="0" w:color="auto"/>
            </w:tcBorders>
            <w:vAlign w:val="center"/>
            <w:hideMark/>
          </w:tcPr>
          <w:p w14:paraId="38D6D7A8"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p>
        </w:tc>
        <w:tc>
          <w:tcPr>
            <w:tcW w:w="720" w:type="dxa"/>
            <w:tcBorders>
              <w:top w:val="nil"/>
              <w:left w:val="nil"/>
              <w:bottom w:val="single" w:sz="4" w:space="0" w:color="auto"/>
              <w:right w:val="single" w:sz="4" w:space="0" w:color="auto"/>
            </w:tcBorders>
            <w:shd w:val="clear" w:color="auto" w:fill="auto"/>
            <w:vAlign w:val="center"/>
            <w:hideMark/>
          </w:tcPr>
          <w:p w14:paraId="251C1762"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за I кв.</w:t>
            </w:r>
          </w:p>
        </w:tc>
        <w:tc>
          <w:tcPr>
            <w:tcW w:w="850" w:type="dxa"/>
            <w:tcBorders>
              <w:top w:val="nil"/>
              <w:left w:val="nil"/>
              <w:bottom w:val="single" w:sz="4" w:space="0" w:color="auto"/>
              <w:right w:val="single" w:sz="4" w:space="0" w:color="auto"/>
            </w:tcBorders>
            <w:shd w:val="clear" w:color="auto" w:fill="auto"/>
            <w:vAlign w:val="center"/>
            <w:hideMark/>
          </w:tcPr>
          <w:p w14:paraId="41B9CBCA"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за II кв.</w:t>
            </w:r>
          </w:p>
        </w:tc>
        <w:tc>
          <w:tcPr>
            <w:tcW w:w="851" w:type="dxa"/>
            <w:tcBorders>
              <w:top w:val="nil"/>
              <w:left w:val="nil"/>
              <w:bottom w:val="single" w:sz="4" w:space="0" w:color="auto"/>
              <w:right w:val="single" w:sz="4" w:space="0" w:color="auto"/>
            </w:tcBorders>
            <w:shd w:val="clear" w:color="auto" w:fill="auto"/>
            <w:vAlign w:val="center"/>
            <w:hideMark/>
          </w:tcPr>
          <w:p w14:paraId="0FCBDF46"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за III кв.</w:t>
            </w:r>
          </w:p>
        </w:tc>
        <w:tc>
          <w:tcPr>
            <w:tcW w:w="850" w:type="dxa"/>
            <w:tcBorders>
              <w:top w:val="nil"/>
              <w:left w:val="nil"/>
              <w:bottom w:val="single" w:sz="4" w:space="0" w:color="auto"/>
              <w:right w:val="single" w:sz="4" w:space="0" w:color="auto"/>
            </w:tcBorders>
            <w:shd w:val="clear" w:color="auto" w:fill="auto"/>
            <w:vAlign w:val="center"/>
            <w:hideMark/>
          </w:tcPr>
          <w:p w14:paraId="1B414092"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за IV кв.</w:t>
            </w:r>
          </w:p>
        </w:tc>
        <w:tc>
          <w:tcPr>
            <w:tcW w:w="993" w:type="dxa"/>
            <w:tcBorders>
              <w:top w:val="nil"/>
              <w:left w:val="nil"/>
              <w:bottom w:val="single" w:sz="4" w:space="0" w:color="auto"/>
              <w:right w:val="single" w:sz="4" w:space="0" w:color="auto"/>
            </w:tcBorders>
            <w:shd w:val="clear" w:color="auto" w:fill="auto"/>
            <w:vAlign w:val="center"/>
            <w:hideMark/>
          </w:tcPr>
          <w:p w14:paraId="3156E719"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Утвер-ждено</w:t>
            </w:r>
          </w:p>
        </w:tc>
        <w:tc>
          <w:tcPr>
            <w:tcW w:w="889" w:type="dxa"/>
            <w:tcBorders>
              <w:top w:val="nil"/>
              <w:left w:val="nil"/>
              <w:bottom w:val="single" w:sz="4" w:space="0" w:color="auto"/>
              <w:right w:val="single" w:sz="4" w:space="0" w:color="auto"/>
            </w:tcBorders>
            <w:shd w:val="clear" w:color="auto" w:fill="auto"/>
            <w:vAlign w:val="center"/>
            <w:hideMark/>
          </w:tcPr>
          <w:p w14:paraId="6DEC7D8D"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Испол-нено</w:t>
            </w:r>
          </w:p>
        </w:tc>
        <w:tc>
          <w:tcPr>
            <w:tcW w:w="743" w:type="dxa"/>
            <w:tcBorders>
              <w:top w:val="nil"/>
              <w:left w:val="nil"/>
              <w:bottom w:val="single" w:sz="4" w:space="0" w:color="auto"/>
              <w:right w:val="double" w:sz="6" w:space="0" w:color="auto"/>
            </w:tcBorders>
            <w:shd w:val="clear" w:color="auto" w:fill="auto"/>
            <w:vAlign w:val="center"/>
            <w:hideMark/>
          </w:tcPr>
          <w:p w14:paraId="24997167" w14:textId="77777777" w:rsidR="00520087" w:rsidRPr="00A53AD7" w:rsidRDefault="00520087" w:rsidP="009832DA">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w:t>
            </w:r>
          </w:p>
        </w:tc>
      </w:tr>
      <w:tr w:rsidR="00D470B6" w:rsidRPr="00A53AD7" w14:paraId="33AFD4FE"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760C6DD8"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Министерство строительства и архитектуры </w:t>
            </w:r>
          </w:p>
        </w:tc>
        <w:tc>
          <w:tcPr>
            <w:tcW w:w="720" w:type="dxa"/>
            <w:tcBorders>
              <w:top w:val="nil"/>
              <w:left w:val="nil"/>
              <w:bottom w:val="single" w:sz="4" w:space="0" w:color="auto"/>
              <w:right w:val="single" w:sz="4" w:space="0" w:color="auto"/>
            </w:tcBorders>
            <w:shd w:val="clear" w:color="auto" w:fill="auto"/>
            <w:vAlign w:val="center"/>
            <w:hideMark/>
          </w:tcPr>
          <w:p w14:paraId="55DEDDE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481,6 </w:t>
            </w:r>
          </w:p>
        </w:tc>
        <w:tc>
          <w:tcPr>
            <w:tcW w:w="850" w:type="dxa"/>
            <w:tcBorders>
              <w:top w:val="nil"/>
              <w:left w:val="nil"/>
              <w:bottom w:val="single" w:sz="4" w:space="0" w:color="auto"/>
              <w:right w:val="single" w:sz="4" w:space="0" w:color="auto"/>
            </w:tcBorders>
            <w:shd w:val="clear" w:color="auto" w:fill="auto"/>
            <w:vAlign w:val="center"/>
            <w:hideMark/>
          </w:tcPr>
          <w:p w14:paraId="61F37FB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249,4 </w:t>
            </w:r>
          </w:p>
        </w:tc>
        <w:tc>
          <w:tcPr>
            <w:tcW w:w="851" w:type="dxa"/>
            <w:tcBorders>
              <w:top w:val="nil"/>
              <w:left w:val="nil"/>
              <w:bottom w:val="single" w:sz="4" w:space="0" w:color="auto"/>
              <w:right w:val="single" w:sz="4" w:space="0" w:color="auto"/>
            </w:tcBorders>
            <w:shd w:val="clear" w:color="auto" w:fill="auto"/>
            <w:vAlign w:val="center"/>
            <w:hideMark/>
          </w:tcPr>
          <w:p w14:paraId="5577946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859,7 </w:t>
            </w:r>
          </w:p>
        </w:tc>
        <w:tc>
          <w:tcPr>
            <w:tcW w:w="850" w:type="dxa"/>
            <w:tcBorders>
              <w:top w:val="nil"/>
              <w:left w:val="nil"/>
              <w:bottom w:val="single" w:sz="4" w:space="0" w:color="auto"/>
              <w:right w:val="single" w:sz="4" w:space="0" w:color="auto"/>
            </w:tcBorders>
            <w:shd w:val="clear" w:color="auto" w:fill="auto"/>
            <w:vAlign w:val="center"/>
            <w:hideMark/>
          </w:tcPr>
          <w:p w14:paraId="6785161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1 051,9 </w:t>
            </w:r>
          </w:p>
        </w:tc>
        <w:tc>
          <w:tcPr>
            <w:tcW w:w="993" w:type="dxa"/>
            <w:tcBorders>
              <w:top w:val="nil"/>
              <w:left w:val="nil"/>
              <w:bottom w:val="single" w:sz="4" w:space="0" w:color="auto"/>
              <w:right w:val="single" w:sz="4" w:space="0" w:color="auto"/>
            </w:tcBorders>
            <w:shd w:val="clear" w:color="auto" w:fill="auto"/>
            <w:vAlign w:val="center"/>
            <w:hideMark/>
          </w:tcPr>
          <w:p w14:paraId="77AD9F63"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6 287,6 </w:t>
            </w:r>
          </w:p>
        </w:tc>
        <w:tc>
          <w:tcPr>
            <w:tcW w:w="889" w:type="dxa"/>
            <w:tcBorders>
              <w:top w:val="nil"/>
              <w:left w:val="nil"/>
              <w:bottom w:val="single" w:sz="4" w:space="0" w:color="auto"/>
              <w:right w:val="single" w:sz="4" w:space="0" w:color="auto"/>
            </w:tcBorders>
            <w:shd w:val="clear" w:color="auto" w:fill="auto"/>
            <w:vAlign w:val="center"/>
            <w:hideMark/>
          </w:tcPr>
          <w:p w14:paraId="5AC87EC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2 642,5 </w:t>
            </w:r>
          </w:p>
        </w:tc>
        <w:tc>
          <w:tcPr>
            <w:tcW w:w="743" w:type="dxa"/>
            <w:tcBorders>
              <w:top w:val="nil"/>
              <w:left w:val="nil"/>
              <w:bottom w:val="single" w:sz="4" w:space="0" w:color="auto"/>
              <w:right w:val="double" w:sz="6" w:space="0" w:color="auto"/>
            </w:tcBorders>
            <w:shd w:val="clear" w:color="auto" w:fill="auto"/>
            <w:vAlign w:val="center"/>
            <w:hideMark/>
          </w:tcPr>
          <w:p w14:paraId="58B505E4"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42,0 </w:t>
            </w:r>
          </w:p>
        </w:tc>
      </w:tr>
      <w:tr w:rsidR="00D470B6" w:rsidRPr="00A53AD7" w14:paraId="10B6010C"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7B8AF3F4"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топливно-энергетического комплекса и жилищно-коммунального хозяйства</w:t>
            </w:r>
          </w:p>
        </w:tc>
        <w:tc>
          <w:tcPr>
            <w:tcW w:w="720" w:type="dxa"/>
            <w:tcBorders>
              <w:top w:val="nil"/>
              <w:left w:val="nil"/>
              <w:bottom w:val="single" w:sz="4" w:space="0" w:color="auto"/>
              <w:right w:val="single" w:sz="4" w:space="0" w:color="auto"/>
            </w:tcBorders>
            <w:shd w:val="clear" w:color="auto" w:fill="auto"/>
            <w:vAlign w:val="center"/>
            <w:hideMark/>
          </w:tcPr>
          <w:p w14:paraId="1CBDD61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39CC2E1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2,1 </w:t>
            </w:r>
          </w:p>
        </w:tc>
        <w:tc>
          <w:tcPr>
            <w:tcW w:w="851" w:type="dxa"/>
            <w:tcBorders>
              <w:top w:val="nil"/>
              <w:left w:val="nil"/>
              <w:bottom w:val="single" w:sz="4" w:space="0" w:color="auto"/>
              <w:right w:val="single" w:sz="4" w:space="0" w:color="auto"/>
            </w:tcBorders>
            <w:shd w:val="clear" w:color="auto" w:fill="auto"/>
            <w:vAlign w:val="center"/>
            <w:hideMark/>
          </w:tcPr>
          <w:p w14:paraId="6911F9F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203,7 </w:t>
            </w:r>
          </w:p>
        </w:tc>
        <w:tc>
          <w:tcPr>
            <w:tcW w:w="850" w:type="dxa"/>
            <w:tcBorders>
              <w:top w:val="nil"/>
              <w:left w:val="nil"/>
              <w:bottom w:val="single" w:sz="4" w:space="0" w:color="auto"/>
              <w:right w:val="single" w:sz="4" w:space="0" w:color="auto"/>
            </w:tcBorders>
            <w:shd w:val="clear" w:color="auto" w:fill="auto"/>
            <w:vAlign w:val="center"/>
            <w:hideMark/>
          </w:tcPr>
          <w:p w14:paraId="71AFFE2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292,6 </w:t>
            </w:r>
          </w:p>
        </w:tc>
        <w:tc>
          <w:tcPr>
            <w:tcW w:w="993" w:type="dxa"/>
            <w:tcBorders>
              <w:top w:val="nil"/>
              <w:left w:val="nil"/>
              <w:bottom w:val="single" w:sz="4" w:space="0" w:color="auto"/>
              <w:right w:val="single" w:sz="4" w:space="0" w:color="auto"/>
            </w:tcBorders>
            <w:shd w:val="clear" w:color="auto" w:fill="auto"/>
            <w:vAlign w:val="center"/>
            <w:hideMark/>
          </w:tcPr>
          <w:p w14:paraId="07B6148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678,8 </w:t>
            </w:r>
          </w:p>
        </w:tc>
        <w:tc>
          <w:tcPr>
            <w:tcW w:w="889" w:type="dxa"/>
            <w:tcBorders>
              <w:top w:val="nil"/>
              <w:left w:val="nil"/>
              <w:bottom w:val="single" w:sz="4" w:space="0" w:color="auto"/>
              <w:right w:val="single" w:sz="4" w:space="0" w:color="auto"/>
            </w:tcBorders>
            <w:shd w:val="clear" w:color="auto" w:fill="auto"/>
            <w:vAlign w:val="center"/>
            <w:hideMark/>
          </w:tcPr>
          <w:p w14:paraId="6F3F651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498,4 </w:t>
            </w:r>
          </w:p>
        </w:tc>
        <w:tc>
          <w:tcPr>
            <w:tcW w:w="743" w:type="dxa"/>
            <w:tcBorders>
              <w:top w:val="nil"/>
              <w:left w:val="nil"/>
              <w:bottom w:val="single" w:sz="4" w:space="0" w:color="auto"/>
              <w:right w:val="double" w:sz="6" w:space="0" w:color="auto"/>
            </w:tcBorders>
            <w:shd w:val="clear" w:color="auto" w:fill="auto"/>
            <w:vAlign w:val="center"/>
            <w:hideMark/>
          </w:tcPr>
          <w:p w14:paraId="6E1758C9"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73,4 </w:t>
            </w:r>
          </w:p>
        </w:tc>
      </w:tr>
      <w:tr w:rsidR="00D470B6" w:rsidRPr="00A53AD7" w14:paraId="323CFC96"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3152DDBC"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природных ресурсов и лесопромышленного комплекса</w:t>
            </w:r>
          </w:p>
        </w:tc>
        <w:tc>
          <w:tcPr>
            <w:tcW w:w="720" w:type="dxa"/>
            <w:tcBorders>
              <w:top w:val="nil"/>
              <w:left w:val="nil"/>
              <w:bottom w:val="single" w:sz="4" w:space="0" w:color="auto"/>
              <w:right w:val="single" w:sz="4" w:space="0" w:color="auto"/>
            </w:tcBorders>
            <w:shd w:val="clear" w:color="auto" w:fill="auto"/>
            <w:vAlign w:val="center"/>
            <w:hideMark/>
          </w:tcPr>
          <w:p w14:paraId="53114DDC"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59E4E59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65,5 </w:t>
            </w:r>
          </w:p>
        </w:tc>
        <w:tc>
          <w:tcPr>
            <w:tcW w:w="851" w:type="dxa"/>
            <w:tcBorders>
              <w:top w:val="nil"/>
              <w:left w:val="nil"/>
              <w:bottom w:val="single" w:sz="4" w:space="0" w:color="auto"/>
              <w:right w:val="single" w:sz="4" w:space="0" w:color="auto"/>
            </w:tcBorders>
            <w:shd w:val="clear" w:color="auto" w:fill="auto"/>
            <w:vAlign w:val="center"/>
            <w:hideMark/>
          </w:tcPr>
          <w:p w14:paraId="3D487E3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13,7 </w:t>
            </w:r>
          </w:p>
        </w:tc>
        <w:tc>
          <w:tcPr>
            <w:tcW w:w="850" w:type="dxa"/>
            <w:tcBorders>
              <w:top w:val="nil"/>
              <w:left w:val="nil"/>
              <w:bottom w:val="single" w:sz="4" w:space="0" w:color="auto"/>
              <w:right w:val="single" w:sz="4" w:space="0" w:color="auto"/>
            </w:tcBorders>
            <w:shd w:val="clear" w:color="auto" w:fill="auto"/>
            <w:vAlign w:val="center"/>
            <w:hideMark/>
          </w:tcPr>
          <w:p w14:paraId="211ECBD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30,7 </w:t>
            </w:r>
          </w:p>
        </w:tc>
        <w:tc>
          <w:tcPr>
            <w:tcW w:w="993" w:type="dxa"/>
            <w:tcBorders>
              <w:top w:val="nil"/>
              <w:left w:val="nil"/>
              <w:bottom w:val="single" w:sz="4" w:space="0" w:color="auto"/>
              <w:right w:val="single" w:sz="4" w:space="0" w:color="auto"/>
            </w:tcBorders>
            <w:shd w:val="clear" w:color="auto" w:fill="auto"/>
            <w:vAlign w:val="center"/>
            <w:hideMark/>
          </w:tcPr>
          <w:p w14:paraId="357EB200"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109,9 </w:t>
            </w:r>
          </w:p>
        </w:tc>
        <w:tc>
          <w:tcPr>
            <w:tcW w:w="889" w:type="dxa"/>
            <w:tcBorders>
              <w:top w:val="nil"/>
              <w:left w:val="nil"/>
              <w:bottom w:val="single" w:sz="4" w:space="0" w:color="auto"/>
              <w:right w:val="single" w:sz="4" w:space="0" w:color="auto"/>
            </w:tcBorders>
            <w:shd w:val="clear" w:color="auto" w:fill="auto"/>
            <w:vAlign w:val="center"/>
            <w:hideMark/>
          </w:tcPr>
          <w:p w14:paraId="587F7AF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109,9 </w:t>
            </w:r>
          </w:p>
        </w:tc>
        <w:tc>
          <w:tcPr>
            <w:tcW w:w="743" w:type="dxa"/>
            <w:tcBorders>
              <w:top w:val="nil"/>
              <w:left w:val="nil"/>
              <w:bottom w:val="single" w:sz="4" w:space="0" w:color="auto"/>
              <w:right w:val="double" w:sz="6" w:space="0" w:color="auto"/>
            </w:tcBorders>
            <w:shd w:val="clear" w:color="auto" w:fill="auto"/>
            <w:vAlign w:val="center"/>
            <w:hideMark/>
          </w:tcPr>
          <w:p w14:paraId="2D9E700A"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0E426793"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68B2CEDF"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здравоохранения</w:t>
            </w:r>
          </w:p>
        </w:tc>
        <w:tc>
          <w:tcPr>
            <w:tcW w:w="720" w:type="dxa"/>
            <w:tcBorders>
              <w:top w:val="nil"/>
              <w:left w:val="nil"/>
              <w:bottom w:val="single" w:sz="4" w:space="0" w:color="auto"/>
              <w:right w:val="single" w:sz="4" w:space="0" w:color="auto"/>
            </w:tcBorders>
            <w:shd w:val="clear" w:color="auto" w:fill="auto"/>
            <w:vAlign w:val="center"/>
            <w:hideMark/>
          </w:tcPr>
          <w:p w14:paraId="2EB72CA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35,8 </w:t>
            </w:r>
          </w:p>
        </w:tc>
        <w:tc>
          <w:tcPr>
            <w:tcW w:w="850" w:type="dxa"/>
            <w:tcBorders>
              <w:top w:val="nil"/>
              <w:left w:val="nil"/>
              <w:bottom w:val="single" w:sz="4" w:space="0" w:color="auto"/>
              <w:right w:val="single" w:sz="4" w:space="0" w:color="auto"/>
            </w:tcBorders>
            <w:shd w:val="clear" w:color="auto" w:fill="auto"/>
            <w:vAlign w:val="center"/>
            <w:hideMark/>
          </w:tcPr>
          <w:p w14:paraId="443A1016"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847,4 </w:t>
            </w:r>
          </w:p>
        </w:tc>
        <w:tc>
          <w:tcPr>
            <w:tcW w:w="851" w:type="dxa"/>
            <w:tcBorders>
              <w:top w:val="nil"/>
              <w:left w:val="nil"/>
              <w:bottom w:val="single" w:sz="4" w:space="0" w:color="auto"/>
              <w:right w:val="single" w:sz="4" w:space="0" w:color="auto"/>
            </w:tcBorders>
            <w:shd w:val="clear" w:color="auto" w:fill="auto"/>
            <w:vAlign w:val="center"/>
            <w:hideMark/>
          </w:tcPr>
          <w:p w14:paraId="0288060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70,7 </w:t>
            </w:r>
          </w:p>
        </w:tc>
        <w:tc>
          <w:tcPr>
            <w:tcW w:w="850" w:type="dxa"/>
            <w:tcBorders>
              <w:top w:val="nil"/>
              <w:left w:val="nil"/>
              <w:bottom w:val="single" w:sz="4" w:space="0" w:color="auto"/>
              <w:right w:val="single" w:sz="4" w:space="0" w:color="auto"/>
            </w:tcBorders>
            <w:shd w:val="clear" w:color="auto" w:fill="auto"/>
            <w:vAlign w:val="center"/>
            <w:hideMark/>
          </w:tcPr>
          <w:p w14:paraId="375BA21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19,7 </w:t>
            </w:r>
          </w:p>
        </w:tc>
        <w:tc>
          <w:tcPr>
            <w:tcW w:w="993" w:type="dxa"/>
            <w:tcBorders>
              <w:top w:val="nil"/>
              <w:left w:val="nil"/>
              <w:bottom w:val="single" w:sz="4" w:space="0" w:color="auto"/>
              <w:right w:val="single" w:sz="4" w:space="0" w:color="auto"/>
            </w:tcBorders>
            <w:shd w:val="clear" w:color="auto" w:fill="auto"/>
            <w:vAlign w:val="center"/>
            <w:hideMark/>
          </w:tcPr>
          <w:p w14:paraId="51672A7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973,7 </w:t>
            </w:r>
          </w:p>
        </w:tc>
        <w:tc>
          <w:tcPr>
            <w:tcW w:w="889" w:type="dxa"/>
            <w:tcBorders>
              <w:top w:val="nil"/>
              <w:left w:val="nil"/>
              <w:bottom w:val="single" w:sz="4" w:space="0" w:color="auto"/>
              <w:right w:val="single" w:sz="4" w:space="0" w:color="auto"/>
            </w:tcBorders>
            <w:shd w:val="clear" w:color="auto" w:fill="auto"/>
            <w:vAlign w:val="center"/>
            <w:hideMark/>
          </w:tcPr>
          <w:p w14:paraId="7DD6338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973,7 </w:t>
            </w:r>
          </w:p>
        </w:tc>
        <w:tc>
          <w:tcPr>
            <w:tcW w:w="743" w:type="dxa"/>
            <w:tcBorders>
              <w:top w:val="nil"/>
              <w:left w:val="nil"/>
              <w:bottom w:val="single" w:sz="4" w:space="0" w:color="auto"/>
              <w:right w:val="double" w:sz="6" w:space="0" w:color="auto"/>
            </w:tcBorders>
            <w:shd w:val="clear" w:color="auto" w:fill="auto"/>
            <w:vAlign w:val="center"/>
            <w:hideMark/>
          </w:tcPr>
          <w:p w14:paraId="1D84E49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0D6B9F6E"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248C2967"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культуры</w:t>
            </w:r>
          </w:p>
        </w:tc>
        <w:tc>
          <w:tcPr>
            <w:tcW w:w="720" w:type="dxa"/>
            <w:tcBorders>
              <w:top w:val="nil"/>
              <w:left w:val="nil"/>
              <w:bottom w:val="single" w:sz="4" w:space="0" w:color="auto"/>
              <w:right w:val="single" w:sz="4" w:space="0" w:color="auto"/>
            </w:tcBorders>
            <w:shd w:val="clear" w:color="auto" w:fill="auto"/>
            <w:vAlign w:val="center"/>
            <w:hideMark/>
          </w:tcPr>
          <w:p w14:paraId="301D145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 </w:t>
            </w:r>
          </w:p>
        </w:tc>
        <w:tc>
          <w:tcPr>
            <w:tcW w:w="850" w:type="dxa"/>
            <w:tcBorders>
              <w:top w:val="nil"/>
              <w:left w:val="nil"/>
              <w:bottom w:val="single" w:sz="4" w:space="0" w:color="auto"/>
              <w:right w:val="single" w:sz="4" w:space="0" w:color="auto"/>
            </w:tcBorders>
            <w:shd w:val="clear" w:color="auto" w:fill="auto"/>
            <w:vAlign w:val="center"/>
            <w:hideMark/>
          </w:tcPr>
          <w:p w14:paraId="66A1D86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42,3 </w:t>
            </w:r>
          </w:p>
        </w:tc>
        <w:tc>
          <w:tcPr>
            <w:tcW w:w="851" w:type="dxa"/>
            <w:tcBorders>
              <w:top w:val="nil"/>
              <w:left w:val="nil"/>
              <w:bottom w:val="single" w:sz="4" w:space="0" w:color="auto"/>
              <w:right w:val="single" w:sz="4" w:space="0" w:color="auto"/>
            </w:tcBorders>
            <w:shd w:val="clear" w:color="auto" w:fill="auto"/>
            <w:vAlign w:val="center"/>
            <w:hideMark/>
          </w:tcPr>
          <w:p w14:paraId="69F77A86"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10,2 </w:t>
            </w:r>
          </w:p>
        </w:tc>
        <w:tc>
          <w:tcPr>
            <w:tcW w:w="850" w:type="dxa"/>
            <w:tcBorders>
              <w:top w:val="nil"/>
              <w:left w:val="nil"/>
              <w:bottom w:val="single" w:sz="4" w:space="0" w:color="auto"/>
              <w:right w:val="single" w:sz="4" w:space="0" w:color="auto"/>
            </w:tcBorders>
            <w:shd w:val="clear" w:color="auto" w:fill="auto"/>
            <w:vAlign w:val="center"/>
            <w:hideMark/>
          </w:tcPr>
          <w:p w14:paraId="56244CB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c>
          <w:tcPr>
            <w:tcW w:w="993" w:type="dxa"/>
            <w:tcBorders>
              <w:top w:val="nil"/>
              <w:left w:val="nil"/>
              <w:bottom w:val="single" w:sz="4" w:space="0" w:color="auto"/>
              <w:right w:val="single" w:sz="4" w:space="0" w:color="auto"/>
            </w:tcBorders>
            <w:shd w:val="clear" w:color="auto" w:fill="auto"/>
            <w:vAlign w:val="center"/>
            <w:hideMark/>
          </w:tcPr>
          <w:p w14:paraId="49A08AE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54,3 </w:t>
            </w:r>
          </w:p>
        </w:tc>
        <w:tc>
          <w:tcPr>
            <w:tcW w:w="889" w:type="dxa"/>
            <w:tcBorders>
              <w:top w:val="nil"/>
              <w:left w:val="nil"/>
              <w:bottom w:val="single" w:sz="4" w:space="0" w:color="auto"/>
              <w:right w:val="single" w:sz="4" w:space="0" w:color="auto"/>
            </w:tcBorders>
            <w:shd w:val="clear" w:color="auto" w:fill="auto"/>
            <w:vAlign w:val="center"/>
            <w:hideMark/>
          </w:tcPr>
          <w:p w14:paraId="2EFDD27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54,3 </w:t>
            </w:r>
          </w:p>
        </w:tc>
        <w:tc>
          <w:tcPr>
            <w:tcW w:w="743" w:type="dxa"/>
            <w:tcBorders>
              <w:top w:val="nil"/>
              <w:left w:val="nil"/>
              <w:bottom w:val="single" w:sz="4" w:space="0" w:color="auto"/>
              <w:right w:val="double" w:sz="6" w:space="0" w:color="auto"/>
            </w:tcBorders>
            <w:shd w:val="clear" w:color="auto" w:fill="auto"/>
            <w:vAlign w:val="center"/>
            <w:hideMark/>
          </w:tcPr>
          <w:p w14:paraId="5A80773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2046962C"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74CFF5E1"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связи и информационных технологий</w:t>
            </w:r>
          </w:p>
        </w:tc>
        <w:tc>
          <w:tcPr>
            <w:tcW w:w="720" w:type="dxa"/>
            <w:tcBorders>
              <w:top w:val="nil"/>
              <w:left w:val="nil"/>
              <w:bottom w:val="single" w:sz="4" w:space="0" w:color="auto"/>
              <w:right w:val="single" w:sz="4" w:space="0" w:color="auto"/>
            </w:tcBorders>
            <w:shd w:val="clear" w:color="auto" w:fill="auto"/>
            <w:vAlign w:val="center"/>
            <w:hideMark/>
          </w:tcPr>
          <w:p w14:paraId="6918BE6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754D9DC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11,9 </w:t>
            </w:r>
          </w:p>
        </w:tc>
        <w:tc>
          <w:tcPr>
            <w:tcW w:w="851" w:type="dxa"/>
            <w:tcBorders>
              <w:top w:val="nil"/>
              <w:left w:val="nil"/>
              <w:bottom w:val="single" w:sz="4" w:space="0" w:color="auto"/>
              <w:right w:val="single" w:sz="4" w:space="0" w:color="auto"/>
            </w:tcBorders>
            <w:shd w:val="clear" w:color="auto" w:fill="auto"/>
            <w:vAlign w:val="center"/>
            <w:hideMark/>
          </w:tcPr>
          <w:p w14:paraId="3DAAE11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-11,9 </w:t>
            </w:r>
          </w:p>
        </w:tc>
        <w:tc>
          <w:tcPr>
            <w:tcW w:w="850" w:type="dxa"/>
            <w:tcBorders>
              <w:top w:val="nil"/>
              <w:left w:val="nil"/>
              <w:bottom w:val="single" w:sz="4" w:space="0" w:color="auto"/>
              <w:right w:val="single" w:sz="4" w:space="0" w:color="auto"/>
            </w:tcBorders>
            <w:shd w:val="clear" w:color="auto" w:fill="auto"/>
            <w:vAlign w:val="center"/>
            <w:hideMark/>
          </w:tcPr>
          <w:p w14:paraId="5F8AFF4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993" w:type="dxa"/>
            <w:tcBorders>
              <w:top w:val="nil"/>
              <w:left w:val="nil"/>
              <w:bottom w:val="single" w:sz="4" w:space="0" w:color="auto"/>
              <w:right w:val="single" w:sz="4" w:space="0" w:color="auto"/>
            </w:tcBorders>
            <w:shd w:val="clear" w:color="auto" w:fill="auto"/>
            <w:vAlign w:val="center"/>
            <w:hideMark/>
          </w:tcPr>
          <w:p w14:paraId="726F6C21"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89" w:type="dxa"/>
            <w:tcBorders>
              <w:top w:val="nil"/>
              <w:left w:val="nil"/>
              <w:bottom w:val="single" w:sz="4" w:space="0" w:color="auto"/>
              <w:right w:val="single" w:sz="4" w:space="0" w:color="auto"/>
            </w:tcBorders>
            <w:shd w:val="clear" w:color="auto" w:fill="auto"/>
            <w:vAlign w:val="center"/>
            <w:hideMark/>
          </w:tcPr>
          <w:p w14:paraId="3794101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743" w:type="dxa"/>
            <w:tcBorders>
              <w:top w:val="nil"/>
              <w:left w:val="nil"/>
              <w:bottom w:val="single" w:sz="4" w:space="0" w:color="auto"/>
              <w:right w:val="double" w:sz="6" w:space="0" w:color="auto"/>
            </w:tcBorders>
            <w:shd w:val="clear" w:color="auto" w:fill="auto"/>
            <w:vAlign w:val="center"/>
            <w:hideMark/>
          </w:tcPr>
          <w:p w14:paraId="46395389" w14:textId="77777777" w:rsidR="00520087" w:rsidRPr="00A53AD7" w:rsidRDefault="00520087" w:rsidP="009832DA">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r>
      <w:tr w:rsidR="00D470B6" w:rsidRPr="00A53AD7" w14:paraId="3BCA1AC5"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4EFBE2EF"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образования и науки</w:t>
            </w:r>
          </w:p>
        </w:tc>
        <w:tc>
          <w:tcPr>
            <w:tcW w:w="720" w:type="dxa"/>
            <w:tcBorders>
              <w:top w:val="nil"/>
              <w:left w:val="nil"/>
              <w:bottom w:val="single" w:sz="4" w:space="0" w:color="auto"/>
              <w:right w:val="single" w:sz="4" w:space="0" w:color="auto"/>
            </w:tcBorders>
            <w:shd w:val="clear" w:color="auto" w:fill="auto"/>
            <w:vAlign w:val="center"/>
            <w:hideMark/>
          </w:tcPr>
          <w:p w14:paraId="303DD99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3,8 </w:t>
            </w:r>
          </w:p>
        </w:tc>
        <w:tc>
          <w:tcPr>
            <w:tcW w:w="850" w:type="dxa"/>
            <w:tcBorders>
              <w:top w:val="nil"/>
              <w:left w:val="nil"/>
              <w:bottom w:val="single" w:sz="4" w:space="0" w:color="auto"/>
              <w:right w:val="single" w:sz="4" w:space="0" w:color="auto"/>
            </w:tcBorders>
            <w:shd w:val="clear" w:color="auto" w:fill="auto"/>
            <w:vAlign w:val="center"/>
            <w:hideMark/>
          </w:tcPr>
          <w:p w14:paraId="4FD07B5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3,1 </w:t>
            </w:r>
          </w:p>
        </w:tc>
        <w:tc>
          <w:tcPr>
            <w:tcW w:w="851" w:type="dxa"/>
            <w:tcBorders>
              <w:top w:val="nil"/>
              <w:left w:val="nil"/>
              <w:bottom w:val="single" w:sz="4" w:space="0" w:color="auto"/>
              <w:right w:val="single" w:sz="4" w:space="0" w:color="auto"/>
            </w:tcBorders>
            <w:shd w:val="clear" w:color="auto" w:fill="auto"/>
            <w:vAlign w:val="center"/>
            <w:hideMark/>
          </w:tcPr>
          <w:p w14:paraId="0C18DFD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108,3 </w:t>
            </w:r>
          </w:p>
        </w:tc>
        <w:tc>
          <w:tcPr>
            <w:tcW w:w="850" w:type="dxa"/>
            <w:tcBorders>
              <w:top w:val="nil"/>
              <w:left w:val="nil"/>
              <w:bottom w:val="single" w:sz="4" w:space="0" w:color="auto"/>
              <w:right w:val="single" w:sz="4" w:space="0" w:color="auto"/>
            </w:tcBorders>
            <w:shd w:val="clear" w:color="auto" w:fill="auto"/>
            <w:vAlign w:val="center"/>
            <w:hideMark/>
          </w:tcPr>
          <w:p w14:paraId="31504B7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68,5 </w:t>
            </w:r>
          </w:p>
        </w:tc>
        <w:tc>
          <w:tcPr>
            <w:tcW w:w="993" w:type="dxa"/>
            <w:tcBorders>
              <w:top w:val="nil"/>
              <w:left w:val="nil"/>
              <w:bottom w:val="single" w:sz="4" w:space="0" w:color="auto"/>
              <w:right w:val="single" w:sz="4" w:space="0" w:color="auto"/>
            </w:tcBorders>
            <w:shd w:val="clear" w:color="auto" w:fill="auto"/>
            <w:vAlign w:val="center"/>
            <w:hideMark/>
          </w:tcPr>
          <w:p w14:paraId="706CFB6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183,7 </w:t>
            </w:r>
          </w:p>
        </w:tc>
        <w:tc>
          <w:tcPr>
            <w:tcW w:w="889" w:type="dxa"/>
            <w:tcBorders>
              <w:top w:val="nil"/>
              <w:left w:val="nil"/>
              <w:bottom w:val="single" w:sz="4" w:space="0" w:color="auto"/>
              <w:right w:val="single" w:sz="4" w:space="0" w:color="auto"/>
            </w:tcBorders>
            <w:shd w:val="clear" w:color="auto" w:fill="auto"/>
            <w:vAlign w:val="center"/>
            <w:hideMark/>
          </w:tcPr>
          <w:p w14:paraId="1FF6C94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183,7 </w:t>
            </w:r>
          </w:p>
        </w:tc>
        <w:tc>
          <w:tcPr>
            <w:tcW w:w="743" w:type="dxa"/>
            <w:tcBorders>
              <w:top w:val="nil"/>
              <w:left w:val="nil"/>
              <w:bottom w:val="single" w:sz="4" w:space="0" w:color="auto"/>
              <w:right w:val="double" w:sz="6" w:space="0" w:color="auto"/>
            </w:tcBorders>
            <w:shd w:val="clear" w:color="auto" w:fill="auto"/>
            <w:vAlign w:val="center"/>
            <w:hideMark/>
          </w:tcPr>
          <w:p w14:paraId="5994C804"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3C7898F8"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5371BED3"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агропромышленного комплекса и торговли</w:t>
            </w:r>
          </w:p>
        </w:tc>
        <w:tc>
          <w:tcPr>
            <w:tcW w:w="720" w:type="dxa"/>
            <w:tcBorders>
              <w:top w:val="nil"/>
              <w:left w:val="nil"/>
              <w:bottom w:val="single" w:sz="4" w:space="0" w:color="auto"/>
              <w:right w:val="single" w:sz="4" w:space="0" w:color="auto"/>
            </w:tcBorders>
            <w:shd w:val="clear" w:color="auto" w:fill="auto"/>
            <w:vAlign w:val="center"/>
            <w:hideMark/>
          </w:tcPr>
          <w:p w14:paraId="4DB2748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522D2AA5"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1" w:type="dxa"/>
            <w:tcBorders>
              <w:top w:val="nil"/>
              <w:left w:val="nil"/>
              <w:bottom w:val="single" w:sz="4" w:space="0" w:color="auto"/>
              <w:right w:val="single" w:sz="4" w:space="0" w:color="auto"/>
            </w:tcBorders>
            <w:shd w:val="clear" w:color="auto" w:fill="auto"/>
            <w:vAlign w:val="center"/>
            <w:hideMark/>
          </w:tcPr>
          <w:p w14:paraId="29C9E05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40B0791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5,6 </w:t>
            </w:r>
          </w:p>
        </w:tc>
        <w:tc>
          <w:tcPr>
            <w:tcW w:w="993" w:type="dxa"/>
            <w:tcBorders>
              <w:top w:val="nil"/>
              <w:left w:val="nil"/>
              <w:bottom w:val="single" w:sz="4" w:space="0" w:color="auto"/>
              <w:right w:val="single" w:sz="4" w:space="0" w:color="auto"/>
            </w:tcBorders>
            <w:shd w:val="clear" w:color="auto" w:fill="auto"/>
            <w:vAlign w:val="center"/>
            <w:hideMark/>
          </w:tcPr>
          <w:p w14:paraId="4D22617D"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8,8 </w:t>
            </w:r>
          </w:p>
        </w:tc>
        <w:tc>
          <w:tcPr>
            <w:tcW w:w="889" w:type="dxa"/>
            <w:tcBorders>
              <w:top w:val="nil"/>
              <w:left w:val="nil"/>
              <w:bottom w:val="single" w:sz="4" w:space="0" w:color="auto"/>
              <w:right w:val="single" w:sz="4" w:space="0" w:color="auto"/>
            </w:tcBorders>
            <w:shd w:val="clear" w:color="auto" w:fill="auto"/>
            <w:vAlign w:val="center"/>
            <w:hideMark/>
          </w:tcPr>
          <w:p w14:paraId="3B02D51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5,6 </w:t>
            </w:r>
          </w:p>
        </w:tc>
        <w:tc>
          <w:tcPr>
            <w:tcW w:w="743" w:type="dxa"/>
            <w:tcBorders>
              <w:top w:val="nil"/>
              <w:left w:val="nil"/>
              <w:bottom w:val="single" w:sz="4" w:space="0" w:color="auto"/>
              <w:right w:val="double" w:sz="6" w:space="0" w:color="auto"/>
            </w:tcBorders>
            <w:shd w:val="clear" w:color="auto" w:fill="auto"/>
            <w:vAlign w:val="center"/>
            <w:hideMark/>
          </w:tcPr>
          <w:p w14:paraId="76B5EE01"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63,4 </w:t>
            </w:r>
          </w:p>
        </w:tc>
      </w:tr>
      <w:tr w:rsidR="00D470B6" w:rsidRPr="00A53AD7" w14:paraId="1743EEEB"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79913EA1"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транспорта</w:t>
            </w:r>
          </w:p>
        </w:tc>
        <w:tc>
          <w:tcPr>
            <w:tcW w:w="720" w:type="dxa"/>
            <w:tcBorders>
              <w:top w:val="nil"/>
              <w:left w:val="nil"/>
              <w:bottom w:val="single" w:sz="4" w:space="0" w:color="auto"/>
              <w:right w:val="single" w:sz="4" w:space="0" w:color="auto"/>
            </w:tcBorders>
            <w:shd w:val="clear" w:color="auto" w:fill="auto"/>
            <w:vAlign w:val="center"/>
            <w:hideMark/>
          </w:tcPr>
          <w:p w14:paraId="541C8CD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24,6 </w:t>
            </w:r>
          </w:p>
        </w:tc>
        <w:tc>
          <w:tcPr>
            <w:tcW w:w="850" w:type="dxa"/>
            <w:tcBorders>
              <w:top w:val="nil"/>
              <w:left w:val="nil"/>
              <w:bottom w:val="single" w:sz="4" w:space="0" w:color="auto"/>
              <w:right w:val="single" w:sz="4" w:space="0" w:color="auto"/>
            </w:tcBorders>
            <w:shd w:val="clear" w:color="auto" w:fill="auto"/>
            <w:vAlign w:val="center"/>
            <w:hideMark/>
          </w:tcPr>
          <w:p w14:paraId="6653F2BD"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79,0 </w:t>
            </w:r>
          </w:p>
        </w:tc>
        <w:tc>
          <w:tcPr>
            <w:tcW w:w="851" w:type="dxa"/>
            <w:tcBorders>
              <w:top w:val="nil"/>
              <w:left w:val="nil"/>
              <w:bottom w:val="single" w:sz="4" w:space="0" w:color="auto"/>
              <w:right w:val="single" w:sz="4" w:space="0" w:color="auto"/>
            </w:tcBorders>
            <w:shd w:val="clear" w:color="auto" w:fill="auto"/>
            <w:vAlign w:val="center"/>
            <w:hideMark/>
          </w:tcPr>
          <w:p w14:paraId="3D94264F"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1 608,0 </w:t>
            </w:r>
          </w:p>
        </w:tc>
        <w:tc>
          <w:tcPr>
            <w:tcW w:w="850" w:type="dxa"/>
            <w:tcBorders>
              <w:top w:val="nil"/>
              <w:left w:val="nil"/>
              <w:bottom w:val="single" w:sz="4" w:space="0" w:color="auto"/>
              <w:right w:val="single" w:sz="4" w:space="0" w:color="auto"/>
            </w:tcBorders>
            <w:shd w:val="clear" w:color="auto" w:fill="auto"/>
            <w:vAlign w:val="center"/>
            <w:hideMark/>
          </w:tcPr>
          <w:p w14:paraId="778E82E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706,0 </w:t>
            </w:r>
          </w:p>
        </w:tc>
        <w:tc>
          <w:tcPr>
            <w:tcW w:w="993" w:type="dxa"/>
            <w:tcBorders>
              <w:top w:val="nil"/>
              <w:left w:val="nil"/>
              <w:bottom w:val="single" w:sz="4" w:space="0" w:color="auto"/>
              <w:right w:val="single" w:sz="4" w:space="0" w:color="auto"/>
            </w:tcBorders>
            <w:shd w:val="clear" w:color="auto" w:fill="auto"/>
            <w:vAlign w:val="center"/>
            <w:hideMark/>
          </w:tcPr>
          <w:p w14:paraId="313FFE4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2 450,7 </w:t>
            </w:r>
          </w:p>
        </w:tc>
        <w:tc>
          <w:tcPr>
            <w:tcW w:w="889" w:type="dxa"/>
            <w:tcBorders>
              <w:top w:val="nil"/>
              <w:left w:val="nil"/>
              <w:bottom w:val="single" w:sz="4" w:space="0" w:color="auto"/>
              <w:right w:val="single" w:sz="4" w:space="0" w:color="auto"/>
            </w:tcBorders>
            <w:shd w:val="clear" w:color="auto" w:fill="auto"/>
            <w:vAlign w:val="center"/>
            <w:hideMark/>
          </w:tcPr>
          <w:p w14:paraId="7F0BC6E1"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2 417,6 </w:t>
            </w:r>
          </w:p>
        </w:tc>
        <w:tc>
          <w:tcPr>
            <w:tcW w:w="743" w:type="dxa"/>
            <w:tcBorders>
              <w:top w:val="nil"/>
              <w:left w:val="nil"/>
              <w:bottom w:val="single" w:sz="4" w:space="0" w:color="auto"/>
              <w:right w:val="double" w:sz="6" w:space="0" w:color="auto"/>
            </w:tcBorders>
            <w:shd w:val="clear" w:color="auto" w:fill="auto"/>
            <w:vAlign w:val="center"/>
            <w:hideMark/>
          </w:tcPr>
          <w:p w14:paraId="01D9B00F"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98,6 </w:t>
            </w:r>
          </w:p>
        </w:tc>
      </w:tr>
      <w:tr w:rsidR="00D470B6" w:rsidRPr="00A53AD7" w14:paraId="7D1C05DA"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24315B15"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экономического развития</w:t>
            </w:r>
          </w:p>
        </w:tc>
        <w:tc>
          <w:tcPr>
            <w:tcW w:w="720" w:type="dxa"/>
            <w:tcBorders>
              <w:top w:val="nil"/>
              <w:left w:val="nil"/>
              <w:bottom w:val="single" w:sz="4" w:space="0" w:color="auto"/>
              <w:right w:val="single" w:sz="4" w:space="0" w:color="auto"/>
            </w:tcBorders>
            <w:shd w:val="clear" w:color="auto" w:fill="auto"/>
            <w:vAlign w:val="center"/>
            <w:hideMark/>
          </w:tcPr>
          <w:p w14:paraId="147FF77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100,2 </w:t>
            </w:r>
          </w:p>
        </w:tc>
        <w:tc>
          <w:tcPr>
            <w:tcW w:w="850" w:type="dxa"/>
            <w:tcBorders>
              <w:top w:val="nil"/>
              <w:left w:val="nil"/>
              <w:bottom w:val="single" w:sz="4" w:space="0" w:color="auto"/>
              <w:right w:val="single" w:sz="4" w:space="0" w:color="auto"/>
            </w:tcBorders>
            <w:shd w:val="clear" w:color="auto" w:fill="auto"/>
            <w:vAlign w:val="center"/>
            <w:hideMark/>
          </w:tcPr>
          <w:p w14:paraId="0C456AF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153,9 </w:t>
            </w:r>
          </w:p>
        </w:tc>
        <w:tc>
          <w:tcPr>
            <w:tcW w:w="851" w:type="dxa"/>
            <w:tcBorders>
              <w:top w:val="nil"/>
              <w:left w:val="nil"/>
              <w:bottom w:val="single" w:sz="4" w:space="0" w:color="auto"/>
              <w:right w:val="single" w:sz="4" w:space="0" w:color="auto"/>
            </w:tcBorders>
            <w:shd w:val="clear" w:color="auto" w:fill="auto"/>
            <w:vAlign w:val="center"/>
            <w:hideMark/>
          </w:tcPr>
          <w:p w14:paraId="5E2584A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225,0 </w:t>
            </w:r>
          </w:p>
        </w:tc>
        <w:tc>
          <w:tcPr>
            <w:tcW w:w="850" w:type="dxa"/>
            <w:tcBorders>
              <w:top w:val="nil"/>
              <w:left w:val="nil"/>
              <w:bottom w:val="single" w:sz="4" w:space="0" w:color="auto"/>
              <w:right w:val="single" w:sz="4" w:space="0" w:color="auto"/>
            </w:tcBorders>
            <w:shd w:val="clear" w:color="auto" w:fill="auto"/>
            <w:vAlign w:val="center"/>
            <w:hideMark/>
          </w:tcPr>
          <w:p w14:paraId="605F15B1"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44,5 </w:t>
            </w:r>
          </w:p>
        </w:tc>
        <w:tc>
          <w:tcPr>
            <w:tcW w:w="993" w:type="dxa"/>
            <w:tcBorders>
              <w:top w:val="nil"/>
              <w:left w:val="nil"/>
              <w:bottom w:val="single" w:sz="4" w:space="0" w:color="auto"/>
              <w:right w:val="single" w:sz="4" w:space="0" w:color="auto"/>
            </w:tcBorders>
            <w:shd w:val="clear" w:color="auto" w:fill="auto"/>
            <w:vAlign w:val="center"/>
            <w:hideMark/>
          </w:tcPr>
          <w:p w14:paraId="3AD02063"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523,6 </w:t>
            </w:r>
          </w:p>
        </w:tc>
        <w:tc>
          <w:tcPr>
            <w:tcW w:w="889" w:type="dxa"/>
            <w:tcBorders>
              <w:top w:val="nil"/>
              <w:left w:val="nil"/>
              <w:bottom w:val="single" w:sz="4" w:space="0" w:color="auto"/>
              <w:right w:val="single" w:sz="4" w:space="0" w:color="auto"/>
            </w:tcBorders>
            <w:shd w:val="clear" w:color="auto" w:fill="auto"/>
            <w:vAlign w:val="center"/>
            <w:hideMark/>
          </w:tcPr>
          <w:p w14:paraId="5D773DD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523,6 </w:t>
            </w:r>
          </w:p>
        </w:tc>
        <w:tc>
          <w:tcPr>
            <w:tcW w:w="743" w:type="dxa"/>
            <w:tcBorders>
              <w:top w:val="nil"/>
              <w:left w:val="nil"/>
              <w:bottom w:val="single" w:sz="4" w:space="0" w:color="auto"/>
              <w:right w:val="double" w:sz="6" w:space="0" w:color="auto"/>
            </w:tcBorders>
            <w:shd w:val="clear" w:color="auto" w:fill="auto"/>
            <w:vAlign w:val="center"/>
            <w:hideMark/>
          </w:tcPr>
          <w:p w14:paraId="428B828C"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692C89FA"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371989F6"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Министерство труда, занятости и социального развития</w:t>
            </w:r>
          </w:p>
        </w:tc>
        <w:tc>
          <w:tcPr>
            <w:tcW w:w="720" w:type="dxa"/>
            <w:tcBorders>
              <w:top w:val="nil"/>
              <w:left w:val="nil"/>
              <w:bottom w:val="single" w:sz="4" w:space="0" w:color="auto"/>
              <w:right w:val="single" w:sz="4" w:space="0" w:color="auto"/>
            </w:tcBorders>
            <w:shd w:val="clear" w:color="auto" w:fill="auto"/>
            <w:vAlign w:val="center"/>
            <w:hideMark/>
          </w:tcPr>
          <w:p w14:paraId="69CE6F51"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317,4 </w:t>
            </w:r>
          </w:p>
        </w:tc>
        <w:tc>
          <w:tcPr>
            <w:tcW w:w="850" w:type="dxa"/>
            <w:tcBorders>
              <w:top w:val="nil"/>
              <w:left w:val="nil"/>
              <w:bottom w:val="single" w:sz="4" w:space="0" w:color="auto"/>
              <w:right w:val="single" w:sz="4" w:space="0" w:color="auto"/>
            </w:tcBorders>
            <w:shd w:val="clear" w:color="auto" w:fill="auto"/>
            <w:vAlign w:val="center"/>
            <w:hideMark/>
          </w:tcPr>
          <w:p w14:paraId="2F91652C"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342,2 </w:t>
            </w:r>
          </w:p>
        </w:tc>
        <w:tc>
          <w:tcPr>
            <w:tcW w:w="851" w:type="dxa"/>
            <w:tcBorders>
              <w:top w:val="nil"/>
              <w:left w:val="nil"/>
              <w:bottom w:val="single" w:sz="4" w:space="0" w:color="auto"/>
              <w:right w:val="single" w:sz="4" w:space="0" w:color="auto"/>
            </w:tcBorders>
            <w:shd w:val="clear" w:color="auto" w:fill="auto"/>
            <w:vAlign w:val="center"/>
            <w:hideMark/>
          </w:tcPr>
          <w:p w14:paraId="77E30E4A"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324,4 </w:t>
            </w:r>
          </w:p>
        </w:tc>
        <w:tc>
          <w:tcPr>
            <w:tcW w:w="850" w:type="dxa"/>
            <w:tcBorders>
              <w:top w:val="nil"/>
              <w:left w:val="nil"/>
              <w:bottom w:val="single" w:sz="4" w:space="0" w:color="auto"/>
              <w:right w:val="single" w:sz="4" w:space="0" w:color="auto"/>
            </w:tcBorders>
            <w:shd w:val="clear" w:color="auto" w:fill="auto"/>
            <w:vAlign w:val="center"/>
            <w:hideMark/>
          </w:tcPr>
          <w:p w14:paraId="5CA82DC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393,6 </w:t>
            </w:r>
          </w:p>
        </w:tc>
        <w:tc>
          <w:tcPr>
            <w:tcW w:w="993" w:type="dxa"/>
            <w:tcBorders>
              <w:top w:val="nil"/>
              <w:left w:val="nil"/>
              <w:bottom w:val="single" w:sz="4" w:space="0" w:color="auto"/>
              <w:right w:val="single" w:sz="4" w:space="0" w:color="auto"/>
            </w:tcBorders>
            <w:shd w:val="clear" w:color="auto" w:fill="auto"/>
            <w:vAlign w:val="center"/>
            <w:hideMark/>
          </w:tcPr>
          <w:p w14:paraId="3AF05580"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1 408,2 </w:t>
            </w:r>
          </w:p>
        </w:tc>
        <w:tc>
          <w:tcPr>
            <w:tcW w:w="889" w:type="dxa"/>
            <w:tcBorders>
              <w:top w:val="nil"/>
              <w:left w:val="nil"/>
              <w:bottom w:val="single" w:sz="4" w:space="0" w:color="auto"/>
              <w:right w:val="single" w:sz="4" w:space="0" w:color="auto"/>
            </w:tcBorders>
            <w:shd w:val="clear" w:color="auto" w:fill="auto"/>
            <w:vAlign w:val="center"/>
            <w:hideMark/>
          </w:tcPr>
          <w:p w14:paraId="310CEA2A"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1 377,6 </w:t>
            </w:r>
          </w:p>
        </w:tc>
        <w:tc>
          <w:tcPr>
            <w:tcW w:w="743" w:type="dxa"/>
            <w:tcBorders>
              <w:top w:val="nil"/>
              <w:left w:val="nil"/>
              <w:bottom w:val="single" w:sz="4" w:space="0" w:color="auto"/>
              <w:right w:val="double" w:sz="6" w:space="0" w:color="auto"/>
            </w:tcBorders>
            <w:shd w:val="clear" w:color="auto" w:fill="auto"/>
            <w:vAlign w:val="center"/>
            <w:hideMark/>
          </w:tcPr>
          <w:p w14:paraId="57801EDB"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97,8 </w:t>
            </w:r>
          </w:p>
        </w:tc>
      </w:tr>
      <w:tr w:rsidR="00D470B6" w:rsidRPr="00A53AD7" w14:paraId="194150BA"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6CB63487"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Агентство по спорту</w:t>
            </w:r>
          </w:p>
        </w:tc>
        <w:tc>
          <w:tcPr>
            <w:tcW w:w="720" w:type="dxa"/>
            <w:tcBorders>
              <w:top w:val="nil"/>
              <w:left w:val="nil"/>
              <w:bottom w:val="single" w:sz="4" w:space="0" w:color="auto"/>
              <w:right w:val="single" w:sz="4" w:space="0" w:color="auto"/>
            </w:tcBorders>
            <w:shd w:val="clear" w:color="auto" w:fill="auto"/>
            <w:vAlign w:val="center"/>
            <w:hideMark/>
          </w:tcPr>
          <w:p w14:paraId="250A10C9"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0E32BEAC"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1" w:type="dxa"/>
            <w:tcBorders>
              <w:top w:val="nil"/>
              <w:left w:val="nil"/>
              <w:bottom w:val="single" w:sz="4" w:space="0" w:color="auto"/>
              <w:right w:val="single" w:sz="4" w:space="0" w:color="auto"/>
            </w:tcBorders>
            <w:shd w:val="clear" w:color="auto" w:fill="auto"/>
            <w:vAlign w:val="center"/>
            <w:hideMark/>
          </w:tcPr>
          <w:p w14:paraId="4BC9832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36,8 </w:t>
            </w:r>
          </w:p>
        </w:tc>
        <w:tc>
          <w:tcPr>
            <w:tcW w:w="850" w:type="dxa"/>
            <w:tcBorders>
              <w:top w:val="nil"/>
              <w:left w:val="nil"/>
              <w:bottom w:val="single" w:sz="4" w:space="0" w:color="auto"/>
              <w:right w:val="single" w:sz="4" w:space="0" w:color="auto"/>
            </w:tcBorders>
            <w:shd w:val="clear" w:color="auto" w:fill="auto"/>
            <w:vAlign w:val="center"/>
            <w:hideMark/>
          </w:tcPr>
          <w:p w14:paraId="0CBA6C7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16,4 </w:t>
            </w:r>
          </w:p>
        </w:tc>
        <w:tc>
          <w:tcPr>
            <w:tcW w:w="993" w:type="dxa"/>
            <w:tcBorders>
              <w:top w:val="nil"/>
              <w:left w:val="nil"/>
              <w:bottom w:val="single" w:sz="4" w:space="0" w:color="auto"/>
              <w:right w:val="single" w:sz="4" w:space="0" w:color="auto"/>
            </w:tcBorders>
            <w:shd w:val="clear" w:color="auto" w:fill="auto"/>
            <w:vAlign w:val="center"/>
            <w:hideMark/>
          </w:tcPr>
          <w:p w14:paraId="66E06C52"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53,2 </w:t>
            </w:r>
          </w:p>
        </w:tc>
        <w:tc>
          <w:tcPr>
            <w:tcW w:w="889" w:type="dxa"/>
            <w:tcBorders>
              <w:top w:val="nil"/>
              <w:left w:val="nil"/>
              <w:bottom w:val="single" w:sz="4" w:space="0" w:color="auto"/>
              <w:right w:val="single" w:sz="4" w:space="0" w:color="auto"/>
            </w:tcBorders>
            <w:shd w:val="clear" w:color="auto" w:fill="auto"/>
            <w:vAlign w:val="center"/>
            <w:hideMark/>
          </w:tcPr>
          <w:p w14:paraId="4AA86420"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53,2 </w:t>
            </w:r>
          </w:p>
        </w:tc>
        <w:tc>
          <w:tcPr>
            <w:tcW w:w="743" w:type="dxa"/>
            <w:tcBorders>
              <w:top w:val="nil"/>
              <w:left w:val="nil"/>
              <w:bottom w:val="single" w:sz="4" w:space="0" w:color="auto"/>
              <w:right w:val="double" w:sz="6" w:space="0" w:color="auto"/>
            </w:tcBorders>
            <w:shd w:val="clear" w:color="auto" w:fill="auto"/>
            <w:vAlign w:val="center"/>
            <w:hideMark/>
          </w:tcPr>
          <w:p w14:paraId="3915ED67"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D470B6" w:rsidRPr="00A53AD7" w14:paraId="3326068D" w14:textId="77777777" w:rsidTr="009832DA">
        <w:trPr>
          <w:trHeight w:val="56"/>
        </w:trPr>
        <w:tc>
          <w:tcPr>
            <w:tcW w:w="3436" w:type="dxa"/>
            <w:tcBorders>
              <w:top w:val="nil"/>
              <w:left w:val="double" w:sz="6" w:space="0" w:color="auto"/>
              <w:bottom w:val="single" w:sz="4" w:space="0" w:color="auto"/>
              <w:right w:val="single" w:sz="4" w:space="0" w:color="auto"/>
            </w:tcBorders>
            <w:shd w:val="clear" w:color="auto" w:fill="auto"/>
            <w:vAlign w:val="center"/>
            <w:hideMark/>
          </w:tcPr>
          <w:p w14:paraId="79C2ADE8" w14:textId="77777777" w:rsidR="00520087" w:rsidRPr="00A53AD7" w:rsidRDefault="00520087" w:rsidP="009832DA">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Администрация Губернатора и Правительства Архангельской области</w:t>
            </w:r>
          </w:p>
        </w:tc>
        <w:tc>
          <w:tcPr>
            <w:tcW w:w="720" w:type="dxa"/>
            <w:tcBorders>
              <w:top w:val="nil"/>
              <w:left w:val="nil"/>
              <w:bottom w:val="single" w:sz="4" w:space="0" w:color="auto"/>
              <w:right w:val="single" w:sz="4" w:space="0" w:color="auto"/>
            </w:tcBorders>
            <w:shd w:val="clear" w:color="auto" w:fill="auto"/>
            <w:vAlign w:val="center"/>
            <w:hideMark/>
          </w:tcPr>
          <w:p w14:paraId="3C96A24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11,7 </w:t>
            </w:r>
          </w:p>
        </w:tc>
        <w:tc>
          <w:tcPr>
            <w:tcW w:w="850" w:type="dxa"/>
            <w:tcBorders>
              <w:top w:val="nil"/>
              <w:left w:val="nil"/>
              <w:bottom w:val="single" w:sz="4" w:space="0" w:color="auto"/>
              <w:right w:val="single" w:sz="4" w:space="0" w:color="auto"/>
            </w:tcBorders>
            <w:shd w:val="clear" w:color="auto" w:fill="auto"/>
            <w:vAlign w:val="center"/>
            <w:hideMark/>
          </w:tcPr>
          <w:p w14:paraId="79DC6783"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-10,3 </w:t>
            </w:r>
          </w:p>
        </w:tc>
        <w:tc>
          <w:tcPr>
            <w:tcW w:w="851" w:type="dxa"/>
            <w:tcBorders>
              <w:top w:val="nil"/>
              <w:left w:val="nil"/>
              <w:bottom w:val="single" w:sz="4" w:space="0" w:color="auto"/>
              <w:right w:val="single" w:sz="4" w:space="0" w:color="auto"/>
            </w:tcBorders>
            <w:shd w:val="clear" w:color="auto" w:fill="auto"/>
            <w:vAlign w:val="center"/>
            <w:hideMark/>
          </w:tcPr>
          <w:p w14:paraId="177C181C"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0,7 </w:t>
            </w:r>
          </w:p>
        </w:tc>
        <w:tc>
          <w:tcPr>
            <w:tcW w:w="850" w:type="dxa"/>
            <w:tcBorders>
              <w:top w:val="nil"/>
              <w:left w:val="nil"/>
              <w:bottom w:val="single" w:sz="4" w:space="0" w:color="auto"/>
              <w:right w:val="single" w:sz="4" w:space="0" w:color="auto"/>
            </w:tcBorders>
            <w:shd w:val="clear" w:color="auto" w:fill="auto"/>
            <w:vAlign w:val="center"/>
            <w:hideMark/>
          </w:tcPr>
          <w:p w14:paraId="0EB5A60B"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4,2 </w:t>
            </w:r>
          </w:p>
        </w:tc>
        <w:tc>
          <w:tcPr>
            <w:tcW w:w="993" w:type="dxa"/>
            <w:tcBorders>
              <w:top w:val="nil"/>
              <w:left w:val="nil"/>
              <w:bottom w:val="single" w:sz="4" w:space="0" w:color="auto"/>
              <w:right w:val="single" w:sz="4" w:space="0" w:color="auto"/>
            </w:tcBorders>
            <w:shd w:val="clear" w:color="auto" w:fill="auto"/>
            <w:vAlign w:val="center"/>
            <w:hideMark/>
          </w:tcPr>
          <w:p w14:paraId="69AFAC7D"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c>
          <w:tcPr>
            <w:tcW w:w="889" w:type="dxa"/>
            <w:tcBorders>
              <w:top w:val="nil"/>
              <w:left w:val="nil"/>
              <w:bottom w:val="single" w:sz="4" w:space="0" w:color="auto"/>
              <w:right w:val="single" w:sz="4" w:space="0" w:color="auto"/>
            </w:tcBorders>
            <w:shd w:val="clear" w:color="auto" w:fill="auto"/>
            <w:vAlign w:val="center"/>
            <w:hideMark/>
          </w:tcPr>
          <w:p w14:paraId="137935F8"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c>
          <w:tcPr>
            <w:tcW w:w="743" w:type="dxa"/>
            <w:tcBorders>
              <w:top w:val="nil"/>
              <w:left w:val="nil"/>
              <w:bottom w:val="single" w:sz="4" w:space="0" w:color="auto"/>
              <w:right w:val="double" w:sz="6" w:space="0" w:color="auto"/>
            </w:tcBorders>
            <w:shd w:val="clear" w:color="auto" w:fill="auto"/>
            <w:vAlign w:val="center"/>
            <w:hideMark/>
          </w:tcPr>
          <w:p w14:paraId="2C18168E" w14:textId="77777777" w:rsidR="00520087" w:rsidRPr="00A53AD7" w:rsidRDefault="00520087" w:rsidP="009832DA">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100,0 </w:t>
            </w:r>
          </w:p>
        </w:tc>
      </w:tr>
      <w:tr w:rsidR="00520087" w:rsidRPr="00A53AD7" w14:paraId="005ED779" w14:textId="77777777" w:rsidTr="009832DA">
        <w:trPr>
          <w:trHeight w:val="56"/>
        </w:trPr>
        <w:tc>
          <w:tcPr>
            <w:tcW w:w="3436" w:type="dxa"/>
            <w:tcBorders>
              <w:top w:val="nil"/>
              <w:left w:val="double" w:sz="6" w:space="0" w:color="auto"/>
              <w:bottom w:val="double" w:sz="6" w:space="0" w:color="auto"/>
              <w:right w:val="single" w:sz="4" w:space="0" w:color="auto"/>
            </w:tcBorders>
            <w:shd w:val="clear" w:color="auto" w:fill="auto"/>
            <w:vAlign w:val="center"/>
            <w:hideMark/>
          </w:tcPr>
          <w:p w14:paraId="54D61534" w14:textId="77777777" w:rsidR="00520087" w:rsidRPr="00A53AD7" w:rsidRDefault="00520087" w:rsidP="009832DA">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720" w:type="dxa"/>
            <w:tcBorders>
              <w:top w:val="nil"/>
              <w:left w:val="nil"/>
              <w:bottom w:val="double" w:sz="6" w:space="0" w:color="auto"/>
              <w:right w:val="single" w:sz="4" w:space="0" w:color="auto"/>
            </w:tcBorders>
            <w:shd w:val="clear" w:color="auto" w:fill="auto"/>
            <w:vAlign w:val="center"/>
            <w:hideMark/>
          </w:tcPr>
          <w:p w14:paraId="33F85EC2"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976,5 </w:t>
            </w:r>
          </w:p>
        </w:tc>
        <w:tc>
          <w:tcPr>
            <w:tcW w:w="850" w:type="dxa"/>
            <w:tcBorders>
              <w:top w:val="nil"/>
              <w:left w:val="nil"/>
              <w:bottom w:val="double" w:sz="6" w:space="0" w:color="auto"/>
              <w:right w:val="single" w:sz="4" w:space="0" w:color="auto"/>
            </w:tcBorders>
            <w:shd w:val="clear" w:color="auto" w:fill="auto"/>
            <w:vAlign w:val="center"/>
            <w:hideMark/>
          </w:tcPr>
          <w:p w14:paraId="5A57FD69"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1 786,5 </w:t>
            </w:r>
          </w:p>
        </w:tc>
        <w:tc>
          <w:tcPr>
            <w:tcW w:w="851" w:type="dxa"/>
            <w:tcBorders>
              <w:top w:val="nil"/>
              <w:left w:val="nil"/>
              <w:bottom w:val="double" w:sz="6" w:space="0" w:color="auto"/>
              <w:right w:val="single" w:sz="4" w:space="0" w:color="auto"/>
            </w:tcBorders>
            <w:shd w:val="clear" w:color="auto" w:fill="auto"/>
            <w:vAlign w:val="center"/>
            <w:hideMark/>
          </w:tcPr>
          <w:p w14:paraId="7CA1832D"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3 449,3 </w:t>
            </w:r>
          </w:p>
        </w:tc>
        <w:tc>
          <w:tcPr>
            <w:tcW w:w="850" w:type="dxa"/>
            <w:tcBorders>
              <w:top w:val="nil"/>
              <w:left w:val="nil"/>
              <w:bottom w:val="double" w:sz="6" w:space="0" w:color="auto"/>
              <w:right w:val="single" w:sz="4" w:space="0" w:color="auto"/>
            </w:tcBorders>
            <w:shd w:val="clear" w:color="auto" w:fill="auto"/>
            <w:vAlign w:val="center"/>
            <w:hideMark/>
          </w:tcPr>
          <w:p w14:paraId="5B3253FA"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2 634,1 </w:t>
            </w:r>
          </w:p>
        </w:tc>
        <w:tc>
          <w:tcPr>
            <w:tcW w:w="993" w:type="dxa"/>
            <w:tcBorders>
              <w:top w:val="nil"/>
              <w:left w:val="nil"/>
              <w:bottom w:val="double" w:sz="6" w:space="0" w:color="auto"/>
              <w:right w:val="single" w:sz="4" w:space="0" w:color="auto"/>
            </w:tcBorders>
            <w:shd w:val="clear" w:color="auto" w:fill="auto"/>
            <w:vAlign w:val="center"/>
            <w:hideMark/>
          </w:tcPr>
          <w:p w14:paraId="34CC76C3"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12 738,8 </w:t>
            </w:r>
          </w:p>
        </w:tc>
        <w:tc>
          <w:tcPr>
            <w:tcW w:w="889" w:type="dxa"/>
            <w:tcBorders>
              <w:top w:val="nil"/>
              <w:left w:val="nil"/>
              <w:bottom w:val="double" w:sz="6" w:space="0" w:color="auto"/>
              <w:right w:val="single" w:sz="4" w:space="0" w:color="auto"/>
            </w:tcBorders>
            <w:shd w:val="clear" w:color="auto" w:fill="auto"/>
            <w:vAlign w:val="center"/>
            <w:hideMark/>
          </w:tcPr>
          <w:p w14:paraId="22F4E19F"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8 846,4 </w:t>
            </w:r>
          </w:p>
        </w:tc>
        <w:tc>
          <w:tcPr>
            <w:tcW w:w="743" w:type="dxa"/>
            <w:tcBorders>
              <w:top w:val="nil"/>
              <w:left w:val="nil"/>
              <w:bottom w:val="double" w:sz="6" w:space="0" w:color="auto"/>
              <w:right w:val="double" w:sz="6" w:space="0" w:color="auto"/>
            </w:tcBorders>
            <w:shd w:val="clear" w:color="auto" w:fill="auto"/>
            <w:vAlign w:val="center"/>
            <w:hideMark/>
          </w:tcPr>
          <w:p w14:paraId="27804EE1" w14:textId="77777777" w:rsidR="00520087" w:rsidRPr="00A53AD7" w:rsidRDefault="00520087" w:rsidP="009832DA">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69,4 </w:t>
            </w:r>
          </w:p>
        </w:tc>
      </w:tr>
    </w:tbl>
    <w:p w14:paraId="517CE63E" w14:textId="77777777" w:rsidR="00520087" w:rsidRPr="00A53AD7" w:rsidRDefault="00520087" w:rsidP="006D6245">
      <w:pPr>
        <w:pStyle w:val="ad"/>
        <w:ind w:firstLine="851"/>
        <w:jc w:val="both"/>
        <w:rPr>
          <w:rFonts w:ascii="Times New Roman" w:hAnsi="Times New Roman"/>
          <w:sz w:val="28"/>
          <w:szCs w:val="28"/>
        </w:rPr>
      </w:pPr>
    </w:p>
    <w:p w14:paraId="06D81449" w14:textId="684B4EE7" w:rsidR="00520087" w:rsidRPr="00A53AD7" w:rsidRDefault="00520087" w:rsidP="006D6245">
      <w:pPr>
        <w:pStyle w:val="ad"/>
        <w:ind w:firstLine="851"/>
        <w:jc w:val="both"/>
        <w:rPr>
          <w:rFonts w:ascii="Times New Roman" w:hAnsi="Times New Roman"/>
          <w:sz w:val="28"/>
          <w:szCs w:val="28"/>
        </w:rPr>
      </w:pPr>
      <w:r w:rsidRPr="00A53AD7">
        <w:rPr>
          <w:rFonts w:ascii="Times New Roman" w:hAnsi="Times New Roman"/>
          <w:sz w:val="28"/>
          <w:szCs w:val="28"/>
        </w:rPr>
        <w:t xml:space="preserve">Наименьший </w:t>
      </w:r>
      <w:r w:rsidR="00C26455" w:rsidRPr="00A53AD7">
        <w:rPr>
          <w:rFonts w:ascii="Times New Roman" w:hAnsi="Times New Roman"/>
          <w:sz w:val="28"/>
          <w:szCs w:val="28"/>
        </w:rPr>
        <w:t>уровень использования бюджетных ассигнований на реализацию</w:t>
      </w:r>
      <w:r w:rsidRPr="00A53AD7">
        <w:rPr>
          <w:rFonts w:ascii="Times New Roman" w:hAnsi="Times New Roman"/>
          <w:sz w:val="28"/>
          <w:szCs w:val="28"/>
        </w:rPr>
        <w:t xml:space="preserve"> НП РФ за 2019 год составил в министерстве строительства и архитектуры Архангельской области – 42,0 % к плану года</w:t>
      </w:r>
      <w:r w:rsidR="006D6245" w:rsidRPr="00A53AD7">
        <w:rPr>
          <w:rFonts w:ascii="Times New Roman" w:hAnsi="Times New Roman"/>
          <w:sz w:val="28"/>
          <w:szCs w:val="28"/>
        </w:rPr>
        <w:t xml:space="preserve">. </w:t>
      </w:r>
      <w:r w:rsidRPr="00A53AD7">
        <w:rPr>
          <w:rFonts w:ascii="Times New Roman" w:hAnsi="Times New Roman"/>
          <w:sz w:val="28"/>
          <w:szCs w:val="28"/>
        </w:rPr>
        <w:t xml:space="preserve">Так, по </w:t>
      </w:r>
      <w:r w:rsidR="006D6245" w:rsidRPr="00A53AD7">
        <w:rPr>
          <w:rFonts w:ascii="Times New Roman" w:hAnsi="Times New Roman"/>
          <w:sz w:val="28"/>
          <w:szCs w:val="28"/>
        </w:rPr>
        <w:t xml:space="preserve">данному </w:t>
      </w:r>
      <w:r w:rsidRPr="00A53AD7">
        <w:rPr>
          <w:rFonts w:ascii="Times New Roman" w:hAnsi="Times New Roman"/>
          <w:sz w:val="28"/>
          <w:szCs w:val="28"/>
        </w:rPr>
        <w:t>министерству расходы на НП РФ за 2019 год составили в общей сумме 2 642,5 млн.руб., а невыполнение расходной части – 3 645,1 млн.руб.</w:t>
      </w:r>
    </w:p>
    <w:p w14:paraId="2D446DDC" w14:textId="77777777" w:rsidR="00AA5F04" w:rsidRPr="00A53AD7" w:rsidRDefault="00AA5F04" w:rsidP="00AA5F04">
      <w:pPr>
        <w:pStyle w:val="ad"/>
        <w:ind w:firstLine="851"/>
        <w:jc w:val="both"/>
        <w:rPr>
          <w:rFonts w:ascii="Times New Roman" w:hAnsi="Times New Roman"/>
          <w:sz w:val="28"/>
          <w:szCs w:val="28"/>
        </w:rPr>
      </w:pPr>
      <w:r w:rsidRPr="00A53AD7">
        <w:rPr>
          <w:rFonts w:ascii="Times New Roman" w:hAnsi="Times New Roman"/>
          <w:sz w:val="28"/>
          <w:szCs w:val="28"/>
        </w:rPr>
        <w:t>В полном объеме бюджетные ассигнования использованы 7-ю главными распорядителями.</w:t>
      </w:r>
    </w:p>
    <w:p w14:paraId="4CFDD6AE" w14:textId="7C6AD7FD" w:rsidR="0094355C" w:rsidRPr="00A53AD7" w:rsidRDefault="0094355C" w:rsidP="006D6245">
      <w:pPr>
        <w:pStyle w:val="ad"/>
        <w:ind w:firstLine="851"/>
        <w:jc w:val="both"/>
        <w:rPr>
          <w:rFonts w:ascii="Times New Roman" w:hAnsi="Times New Roman"/>
          <w:sz w:val="28"/>
          <w:szCs w:val="28"/>
        </w:rPr>
      </w:pPr>
      <w:r w:rsidRPr="00A53AD7">
        <w:rPr>
          <w:rFonts w:ascii="Times New Roman" w:hAnsi="Times New Roman"/>
          <w:sz w:val="28"/>
          <w:szCs w:val="28"/>
        </w:rPr>
        <w:t xml:space="preserve">Сведения о расходах областного бюджета на реализацию приоритетных национальных проектов представлены в приложении № </w:t>
      </w:r>
      <w:r w:rsidR="00D55089" w:rsidRPr="00A53AD7">
        <w:rPr>
          <w:rFonts w:ascii="Times New Roman" w:hAnsi="Times New Roman"/>
          <w:sz w:val="28"/>
          <w:szCs w:val="28"/>
        </w:rPr>
        <w:t>15</w:t>
      </w:r>
      <w:r w:rsidRPr="00A53AD7">
        <w:rPr>
          <w:rFonts w:ascii="Times New Roman" w:hAnsi="Times New Roman"/>
          <w:sz w:val="28"/>
          <w:szCs w:val="28"/>
        </w:rPr>
        <w:t xml:space="preserve"> к настоящему заключению.</w:t>
      </w:r>
    </w:p>
    <w:p w14:paraId="73739A35" w14:textId="77777777" w:rsidR="00DE2EB8" w:rsidRPr="00A53AD7" w:rsidRDefault="00DE2EB8" w:rsidP="00DE2EB8">
      <w:pPr>
        <w:pStyle w:val="ad"/>
        <w:jc w:val="both"/>
        <w:rPr>
          <w:rFonts w:ascii="Times New Roman" w:hAnsi="Times New Roman"/>
          <w:sz w:val="28"/>
          <w:szCs w:val="28"/>
        </w:rPr>
      </w:pPr>
    </w:p>
    <w:p w14:paraId="559991E8" w14:textId="57394895" w:rsidR="00C26455" w:rsidRPr="00A53AD7" w:rsidRDefault="000A6B23" w:rsidP="00C26455">
      <w:pPr>
        <w:pStyle w:val="ad"/>
        <w:ind w:firstLine="851"/>
        <w:jc w:val="both"/>
        <w:rPr>
          <w:rFonts w:ascii="Times New Roman" w:hAnsi="Times New Roman"/>
          <w:sz w:val="28"/>
          <w:szCs w:val="28"/>
        </w:rPr>
      </w:pPr>
      <w:r w:rsidRPr="00A53AD7">
        <w:rPr>
          <w:rFonts w:ascii="Times New Roman" w:hAnsi="Times New Roman"/>
          <w:sz w:val="28"/>
          <w:szCs w:val="28"/>
        </w:rPr>
        <w:t>Далее</w:t>
      </w:r>
      <w:r w:rsidR="00C26455" w:rsidRPr="00A53AD7">
        <w:rPr>
          <w:rFonts w:ascii="Times New Roman" w:hAnsi="Times New Roman"/>
          <w:sz w:val="28"/>
          <w:szCs w:val="28"/>
        </w:rPr>
        <w:t xml:space="preserve"> </w:t>
      </w:r>
      <w:r w:rsidR="001A5087" w:rsidRPr="00A53AD7">
        <w:rPr>
          <w:rFonts w:ascii="Times New Roman" w:hAnsi="Times New Roman"/>
          <w:sz w:val="28"/>
          <w:szCs w:val="28"/>
        </w:rPr>
        <w:t>более подробно представлены сведения о реализации приоритетных национальных проектов</w:t>
      </w:r>
      <w:r w:rsidR="003B26DC" w:rsidRPr="00A53AD7">
        <w:rPr>
          <w:rFonts w:ascii="Times New Roman" w:hAnsi="Times New Roman"/>
          <w:sz w:val="28"/>
          <w:szCs w:val="28"/>
        </w:rPr>
        <w:t xml:space="preserve"> в 2019 году</w:t>
      </w:r>
      <w:r w:rsidR="001A5087" w:rsidRPr="00A53AD7">
        <w:rPr>
          <w:rFonts w:ascii="Times New Roman" w:hAnsi="Times New Roman"/>
          <w:sz w:val="28"/>
          <w:szCs w:val="28"/>
        </w:rPr>
        <w:t>, включая достижение резул</w:t>
      </w:r>
      <w:r w:rsidR="003B26DC" w:rsidRPr="00A53AD7">
        <w:rPr>
          <w:rFonts w:ascii="Times New Roman" w:hAnsi="Times New Roman"/>
          <w:sz w:val="28"/>
          <w:szCs w:val="28"/>
        </w:rPr>
        <w:t>ьтатов их реализации</w:t>
      </w:r>
      <w:r w:rsidR="001A5087" w:rsidRPr="00A53AD7">
        <w:rPr>
          <w:rFonts w:ascii="Times New Roman" w:hAnsi="Times New Roman"/>
          <w:sz w:val="28"/>
          <w:szCs w:val="28"/>
        </w:rPr>
        <w:t>.</w:t>
      </w:r>
    </w:p>
    <w:p w14:paraId="02995AFB" w14:textId="12366DE9" w:rsidR="00A91C23" w:rsidRPr="00A53AD7" w:rsidRDefault="00A91C23" w:rsidP="00A91C23">
      <w:pPr>
        <w:keepNext/>
        <w:spacing w:before="240" w:after="60" w:line="240" w:lineRule="auto"/>
        <w:jc w:val="center"/>
        <w:outlineLvl w:val="2"/>
        <w:rPr>
          <w:rFonts w:ascii="Times New Roman" w:eastAsia="Times New Roman" w:hAnsi="Times New Roman"/>
          <w:bCs/>
          <w:sz w:val="28"/>
          <w:szCs w:val="28"/>
          <w:u w:val="single"/>
          <w:lang w:eastAsia="ru-RU"/>
        </w:rPr>
      </w:pPr>
      <w:bookmarkStart w:id="105" w:name="_Toc26183575"/>
      <w:bookmarkStart w:id="106" w:name="_Toc42006746"/>
      <w:r w:rsidRPr="00A53AD7">
        <w:rPr>
          <w:rFonts w:ascii="Times New Roman" w:eastAsia="Times New Roman" w:hAnsi="Times New Roman"/>
          <w:bCs/>
          <w:sz w:val="28"/>
          <w:szCs w:val="28"/>
          <w:u w:val="single"/>
          <w:lang w:eastAsia="ru-RU"/>
        </w:rPr>
        <w:t>4.</w:t>
      </w:r>
      <w:r w:rsidR="006B7638" w:rsidRPr="00A53AD7">
        <w:rPr>
          <w:rFonts w:ascii="Times New Roman" w:eastAsia="Times New Roman" w:hAnsi="Times New Roman"/>
          <w:bCs/>
          <w:sz w:val="28"/>
          <w:szCs w:val="28"/>
          <w:u w:val="single"/>
          <w:lang w:eastAsia="ru-RU"/>
        </w:rPr>
        <w:t>6</w:t>
      </w:r>
      <w:r w:rsidRPr="00A53AD7">
        <w:rPr>
          <w:rFonts w:ascii="Times New Roman" w:eastAsia="Times New Roman" w:hAnsi="Times New Roman"/>
          <w:bCs/>
          <w:sz w:val="28"/>
          <w:szCs w:val="28"/>
          <w:u w:val="single"/>
          <w:lang w:eastAsia="ru-RU"/>
        </w:rPr>
        <w:t xml:space="preserve">.1. </w:t>
      </w:r>
      <w:r w:rsidRPr="00A53AD7">
        <w:rPr>
          <w:rFonts w:ascii="Times New Roman" w:eastAsia="Times New Roman" w:hAnsi="Times New Roman"/>
          <w:bCs/>
          <w:sz w:val="28"/>
          <w:szCs w:val="28"/>
          <w:u w:val="single"/>
        </w:rPr>
        <w:t>Национальная программа «Цифровая экономика Российской Федерации»</w:t>
      </w:r>
      <w:bookmarkEnd w:id="105"/>
      <w:bookmarkEnd w:id="106"/>
    </w:p>
    <w:p w14:paraId="5043F2C6" w14:textId="777777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Национальный проект «Национальная программа «Цифровая экономика Российской Федерации» (далее – НП «Цифровая экономика») утвержден протоколом заседания президиума Совета при Президенте Российской Федерации по стратегическому развитию и национальным проектам от 04.06.2019 № 7.</w:t>
      </w:r>
    </w:p>
    <w:p w14:paraId="59C57A7C" w14:textId="777777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НП «Цифровая экономика»: 01.10.2018 – 31.12.2024.</w:t>
      </w:r>
    </w:p>
    <w:p w14:paraId="07F8CEC0" w14:textId="2B97D81C"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уровне Российской Федерации НП «Цифровая экономика» включает в себя 6 федеральных проектов, из которых на территории Архангельской области </w:t>
      </w:r>
      <w:r w:rsidR="00E25586" w:rsidRPr="00A53AD7">
        <w:rPr>
          <w:rFonts w:ascii="Times New Roman" w:hAnsi="Times New Roman"/>
          <w:sz w:val="28"/>
          <w:szCs w:val="28"/>
        </w:rPr>
        <w:t xml:space="preserve">в 2019 году </w:t>
      </w:r>
      <w:r w:rsidRPr="00A53AD7">
        <w:rPr>
          <w:rFonts w:ascii="Times New Roman" w:hAnsi="Times New Roman"/>
          <w:sz w:val="28"/>
          <w:szCs w:val="28"/>
        </w:rPr>
        <w:t>реализ</w:t>
      </w:r>
      <w:r w:rsidR="00E25586" w:rsidRPr="00A53AD7">
        <w:rPr>
          <w:rFonts w:ascii="Times New Roman" w:hAnsi="Times New Roman"/>
          <w:sz w:val="28"/>
          <w:szCs w:val="28"/>
        </w:rPr>
        <w:t>овывалось</w:t>
      </w:r>
      <w:r w:rsidRPr="00A53AD7">
        <w:rPr>
          <w:rFonts w:ascii="Times New Roman" w:hAnsi="Times New Roman"/>
          <w:sz w:val="28"/>
          <w:szCs w:val="28"/>
        </w:rPr>
        <w:t xml:space="preserve"> 5 региональных проектов, связан</w:t>
      </w:r>
      <w:r w:rsidR="00E25586" w:rsidRPr="00A53AD7">
        <w:rPr>
          <w:rFonts w:ascii="Times New Roman" w:hAnsi="Times New Roman"/>
          <w:sz w:val="28"/>
          <w:szCs w:val="28"/>
        </w:rPr>
        <w:t>н</w:t>
      </w:r>
      <w:r w:rsidRPr="00A53AD7">
        <w:rPr>
          <w:rFonts w:ascii="Times New Roman" w:hAnsi="Times New Roman"/>
          <w:sz w:val="28"/>
          <w:szCs w:val="28"/>
        </w:rPr>
        <w:t>ы</w:t>
      </w:r>
      <w:r w:rsidR="00E25586" w:rsidRPr="00A53AD7">
        <w:rPr>
          <w:rFonts w:ascii="Times New Roman" w:hAnsi="Times New Roman"/>
          <w:sz w:val="28"/>
          <w:szCs w:val="28"/>
        </w:rPr>
        <w:t>х</w:t>
      </w:r>
      <w:r w:rsidRPr="00A53AD7">
        <w:rPr>
          <w:rFonts w:ascii="Times New Roman" w:hAnsi="Times New Roman"/>
          <w:sz w:val="28"/>
          <w:szCs w:val="28"/>
        </w:rPr>
        <w:t xml:space="preserve"> с 2 государственными программами Архангельской области.</w:t>
      </w:r>
    </w:p>
    <w:p w14:paraId="6F205E35" w14:textId="78432C0B"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паспортам региональных проектов, размещенных на портале «Электронный бюджет», соотнесение их с государственными программами Архангельской области представлено в таблице </w:t>
      </w:r>
      <w:r w:rsidR="00E97128" w:rsidRPr="00A53AD7">
        <w:rPr>
          <w:rFonts w:ascii="Times New Roman" w:hAnsi="Times New Roman"/>
          <w:sz w:val="28"/>
          <w:szCs w:val="28"/>
        </w:rPr>
        <w:t>63</w:t>
      </w:r>
      <w:r w:rsidRPr="00A53AD7">
        <w:rPr>
          <w:rFonts w:ascii="Times New Roman" w:hAnsi="Times New Roman"/>
          <w:sz w:val="28"/>
          <w:szCs w:val="28"/>
        </w:rPr>
        <w:t>.</w:t>
      </w:r>
    </w:p>
    <w:p w14:paraId="47CB1BE0" w14:textId="77777777" w:rsidR="00A91C23" w:rsidRPr="00A53AD7" w:rsidRDefault="00A91C23" w:rsidP="00A91C23">
      <w:pPr>
        <w:spacing w:after="0" w:line="240" w:lineRule="auto"/>
        <w:ind w:firstLine="851"/>
        <w:jc w:val="both"/>
        <w:rPr>
          <w:rFonts w:ascii="Times New Roman" w:hAnsi="Times New Roman"/>
          <w:sz w:val="16"/>
          <w:szCs w:val="16"/>
          <w:highlight w:val="cyan"/>
        </w:rPr>
      </w:pPr>
    </w:p>
    <w:p w14:paraId="55F94DB2" w14:textId="77777777" w:rsidR="00A91C23" w:rsidRPr="00A53AD7" w:rsidRDefault="00A91C23" w:rsidP="00A91C23">
      <w:pPr>
        <w:spacing w:after="0" w:line="240" w:lineRule="auto"/>
        <w:rPr>
          <w:rFonts w:ascii="Times New Roman" w:hAnsi="Times New Roman"/>
          <w:bCs/>
          <w:sz w:val="24"/>
          <w:szCs w:val="24"/>
        </w:rPr>
      </w:pPr>
      <w:r w:rsidRPr="00A53AD7">
        <w:rPr>
          <w:rFonts w:ascii="Times New Roman" w:hAnsi="Times New Roman"/>
          <w:bCs/>
          <w:sz w:val="24"/>
          <w:szCs w:val="24"/>
        </w:rPr>
        <w:t xml:space="preserve">Таблица </w:t>
      </w:r>
      <w:r w:rsidRPr="00A53AD7">
        <w:rPr>
          <w:rFonts w:ascii="Times New Roman" w:hAnsi="Times New Roman"/>
          <w:bCs/>
          <w:sz w:val="24"/>
          <w:szCs w:val="24"/>
        </w:rPr>
        <w:fldChar w:fldCharType="begin"/>
      </w:r>
      <w:r w:rsidRPr="00A53AD7">
        <w:rPr>
          <w:rFonts w:ascii="Times New Roman" w:hAnsi="Times New Roman"/>
          <w:bCs/>
          <w:sz w:val="24"/>
          <w:szCs w:val="24"/>
        </w:rPr>
        <w:instrText xml:space="preserve"> SEQ Таблица \* ARABIC </w:instrText>
      </w:r>
      <w:r w:rsidRPr="00A53AD7">
        <w:rPr>
          <w:rFonts w:ascii="Times New Roman" w:hAnsi="Times New Roman"/>
          <w:bCs/>
          <w:sz w:val="24"/>
          <w:szCs w:val="24"/>
        </w:rPr>
        <w:fldChar w:fldCharType="separate"/>
      </w:r>
      <w:r w:rsidR="005351E5" w:rsidRPr="00A53AD7">
        <w:rPr>
          <w:rFonts w:ascii="Times New Roman" w:hAnsi="Times New Roman"/>
          <w:bCs/>
          <w:noProof/>
          <w:sz w:val="24"/>
          <w:szCs w:val="24"/>
        </w:rPr>
        <w:t>63</w:t>
      </w:r>
      <w:r w:rsidRPr="00A53AD7">
        <w:rPr>
          <w:rFonts w:ascii="Times New Roman" w:hAnsi="Times New Roman"/>
          <w:bCs/>
          <w:sz w:val="24"/>
          <w:szCs w:val="24"/>
        </w:rPr>
        <w:fldChar w:fldCharType="end"/>
      </w:r>
      <w:r w:rsidRPr="00A53AD7">
        <w:rPr>
          <w:rFonts w:ascii="Times New Roman" w:hAnsi="Times New Roman"/>
          <w:bCs/>
          <w:sz w:val="24"/>
          <w:szCs w:val="24"/>
        </w:rPr>
        <w:t>. Структура региональных проектов Архангельской области, относящихся к национальному проекту «Национальная программа «Цифровая экономика Российской Федерации», согласно паспортам проектов</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489"/>
        <w:gridCol w:w="5727"/>
      </w:tblGrid>
      <w:tr w:rsidR="00D470B6" w:rsidRPr="00A53AD7" w14:paraId="225CCB65" w14:textId="77777777" w:rsidTr="00D13C6E">
        <w:trPr>
          <w:tblHeader/>
        </w:trPr>
        <w:tc>
          <w:tcPr>
            <w:tcW w:w="3652" w:type="dxa"/>
            <w:shd w:val="clear" w:color="auto" w:fill="auto"/>
          </w:tcPr>
          <w:p w14:paraId="58268007" w14:textId="77777777" w:rsidR="00A91C23" w:rsidRPr="00A53AD7" w:rsidRDefault="00A91C23" w:rsidP="00D13C6E">
            <w:pPr>
              <w:spacing w:after="0" w:line="240" w:lineRule="auto"/>
              <w:jc w:val="center"/>
              <w:rPr>
                <w:rFonts w:ascii="Times New Roman" w:hAnsi="Times New Roman"/>
                <w:b/>
              </w:rPr>
            </w:pPr>
            <w:r w:rsidRPr="00A53AD7">
              <w:rPr>
                <w:rFonts w:ascii="Times New Roman" w:hAnsi="Times New Roman"/>
                <w:b/>
              </w:rPr>
              <w:t>Наименование регионального проекта</w:t>
            </w:r>
          </w:p>
        </w:tc>
        <w:tc>
          <w:tcPr>
            <w:tcW w:w="6095" w:type="dxa"/>
            <w:shd w:val="clear" w:color="auto" w:fill="auto"/>
          </w:tcPr>
          <w:p w14:paraId="580A68A1" w14:textId="77777777" w:rsidR="00A91C23" w:rsidRPr="00A53AD7" w:rsidRDefault="00A91C23" w:rsidP="00D13C6E">
            <w:pPr>
              <w:spacing w:after="0" w:line="240" w:lineRule="auto"/>
              <w:jc w:val="center"/>
              <w:rPr>
                <w:rFonts w:ascii="Times New Roman" w:hAnsi="Times New Roman"/>
                <w:b/>
              </w:rPr>
            </w:pPr>
            <w:r w:rsidRPr="00A53AD7">
              <w:rPr>
                <w:rFonts w:ascii="Times New Roman" w:hAnsi="Times New Roman"/>
                <w:b/>
              </w:rPr>
              <w:t>Связь регионального проекта с государственной программой Архангельской области</w:t>
            </w:r>
          </w:p>
        </w:tc>
      </w:tr>
      <w:tr w:rsidR="00D470B6" w:rsidRPr="00A53AD7" w14:paraId="241C8FC7" w14:textId="77777777" w:rsidTr="00CC3532">
        <w:trPr>
          <w:trHeight w:val="592"/>
        </w:trPr>
        <w:tc>
          <w:tcPr>
            <w:tcW w:w="3652" w:type="dxa"/>
            <w:shd w:val="clear" w:color="auto" w:fill="auto"/>
          </w:tcPr>
          <w:p w14:paraId="6704F538" w14:textId="4440428E" w:rsidR="00A91C23" w:rsidRPr="00A53AD7" w:rsidRDefault="00A91C23" w:rsidP="00D13C6E">
            <w:pPr>
              <w:spacing w:after="0" w:line="240" w:lineRule="auto"/>
              <w:rPr>
                <w:rFonts w:ascii="Times New Roman" w:hAnsi="Times New Roman"/>
              </w:rPr>
            </w:pPr>
            <w:r w:rsidRPr="00A53AD7">
              <w:rPr>
                <w:rFonts w:ascii="Times New Roman" w:hAnsi="Times New Roman"/>
              </w:rPr>
              <w:t>Информационная инфраструктура (Архангельская область). Срок реализации: 01.01.2019 – 31.12.2021</w:t>
            </w:r>
            <w:r w:rsidR="00C80E90" w:rsidRPr="00A53AD7">
              <w:rPr>
                <w:rFonts w:ascii="Times New Roman" w:hAnsi="Times New Roman"/>
              </w:rPr>
              <w:t>.</w:t>
            </w:r>
          </w:p>
          <w:p w14:paraId="5CF3B28A" w14:textId="7160D8F6" w:rsidR="00C80E90" w:rsidRPr="00A53AD7" w:rsidRDefault="00C80E90" w:rsidP="00D13C6E">
            <w:pPr>
              <w:spacing w:after="0" w:line="240" w:lineRule="auto"/>
              <w:rPr>
                <w:rFonts w:ascii="Times New Roman" w:hAnsi="Times New Roman"/>
              </w:rPr>
            </w:pPr>
            <w:r w:rsidRPr="00A53AD7">
              <w:rPr>
                <w:rFonts w:ascii="Times New Roman" w:hAnsi="Times New Roman"/>
              </w:rPr>
              <w:t>Соглашение от 18.07.2019</w:t>
            </w:r>
            <w:r w:rsidR="009F4244" w:rsidRPr="00A53AD7">
              <w:rPr>
                <w:rFonts w:ascii="Times New Roman" w:hAnsi="Times New Roman"/>
              </w:rPr>
              <w:t>.</w:t>
            </w:r>
          </w:p>
        </w:tc>
        <w:tc>
          <w:tcPr>
            <w:tcW w:w="6095" w:type="dxa"/>
            <w:shd w:val="clear" w:color="auto" w:fill="auto"/>
          </w:tcPr>
          <w:p w14:paraId="0C15319A"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Государственная программа Архангельской области «Эффективное государственное управление в Архангельской области», подпрограмма «Создание систем электронного правительства, развитие информационного общества Архангельской области»</w:t>
            </w:r>
          </w:p>
        </w:tc>
      </w:tr>
      <w:tr w:rsidR="00D470B6" w:rsidRPr="00A53AD7" w14:paraId="77391536" w14:textId="77777777" w:rsidTr="00D13C6E">
        <w:trPr>
          <w:trHeight w:val="86"/>
        </w:trPr>
        <w:tc>
          <w:tcPr>
            <w:tcW w:w="3652" w:type="dxa"/>
            <w:shd w:val="clear" w:color="auto" w:fill="auto"/>
          </w:tcPr>
          <w:p w14:paraId="2B7055DF" w14:textId="0F9B1346" w:rsidR="00A91C23" w:rsidRPr="00A53AD7" w:rsidRDefault="00A91C23" w:rsidP="00D13C6E">
            <w:pPr>
              <w:spacing w:after="0" w:line="240" w:lineRule="auto"/>
              <w:rPr>
                <w:rFonts w:ascii="Times New Roman" w:hAnsi="Times New Roman"/>
              </w:rPr>
            </w:pPr>
            <w:r w:rsidRPr="00A53AD7">
              <w:rPr>
                <w:rFonts w:ascii="Times New Roman" w:hAnsi="Times New Roman"/>
              </w:rPr>
              <w:t>Кадры для цифровой экономики (Архангельская область). Срок реализации: 13.12.2018 – 31.12.2024</w:t>
            </w:r>
            <w:r w:rsidR="009F4244" w:rsidRPr="00A53AD7">
              <w:rPr>
                <w:rFonts w:ascii="Times New Roman" w:hAnsi="Times New Roman"/>
              </w:rPr>
              <w:t>.</w:t>
            </w:r>
          </w:p>
          <w:p w14:paraId="76C48CEC" w14:textId="4B3F0DF1" w:rsidR="009F4244" w:rsidRPr="00A53AD7" w:rsidRDefault="009F4244" w:rsidP="00D13C6E">
            <w:pPr>
              <w:spacing w:after="0" w:line="240" w:lineRule="auto"/>
              <w:rPr>
                <w:rFonts w:ascii="Times New Roman" w:hAnsi="Times New Roman"/>
              </w:rPr>
            </w:pPr>
            <w:r w:rsidRPr="00A53AD7">
              <w:rPr>
                <w:rFonts w:ascii="Times New Roman" w:hAnsi="Times New Roman"/>
              </w:rPr>
              <w:t>Соглашение от 18.07.2019.</w:t>
            </w:r>
          </w:p>
        </w:tc>
        <w:tc>
          <w:tcPr>
            <w:tcW w:w="6095" w:type="dxa"/>
            <w:shd w:val="clear" w:color="auto" w:fill="auto"/>
          </w:tcPr>
          <w:p w14:paraId="6D5F2C72"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Государственная программа Архангельской области «Развитие образования и науки Архангельской области», подпрограмма «Развитие среднего профессионального образования»</w:t>
            </w:r>
          </w:p>
        </w:tc>
      </w:tr>
      <w:tr w:rsidR="00D470B6" w:rsidRPr="00A53AD7" w14:paraId="39E0572E" w14:textId="77777777" w:rsidTr="00D13C6E">
        <w:trPr>
          <w:trHeight w:val="611"/>
        </w:trPr>
        <w:tc>
          <w:tcPr>
            <w:tcW w:w="3652" w:type="dxa"/>
            <w:tcBorders>
              <w:top w:val="single" w:sz="4" w:space="0" w:color="auto"/>
              <w:left w:val="double" w:sz="4" w:space="0" w:color="auto"/>
              <w:bottom w:val="single" w:sz="4" w:space="0" w:color="auto"/>
              <w:right w:val="single" w:sz="4" w:space="0" w:color="auto"/>
            </w:tcBorders>
            <w:shd w:val="clear" w:color="auto" w:fill="auto"/>
          </w:tcPr>
          <w:p w14:paraId="4D06A227" w14:textId="12879693" w:rsidR="00A91C23" w:rsidRPr="00A53AD7" w:rsidRDefault="00A91C23" w:rsidP="00D13C6E">
            <w:pPr>
              <w:spacing w:after="0" w:line="240" w:lineRule="auto"/>
              <w:rPr>
                <w:rFonts w:ascii="Times New Roman" w:hAnsi="Times New Roman"/>
              </w:rPr>
            </w:pPr>
            <w:r w:rsidRPr="00A53AD7">
              <w:rPr>
                <w:rFonts w:ascii="Times New Roman" w:hAnsi="Times New Roman"/>
              </w:rPr>
              <w:t>Информационная безопасность (Архангельская область). Срок реализации: 10.12.2018 – 31.12.2024</w:t>
            </w:r>
            <w:r w:rsidR="009F4244" w:rsidRPr="00A53AD7">
              <w:rPr>
                <w:rFonts w:ascii="Times New Roman" w:hAnsi="Times New Roman"/>
              </w:rPr>
              <w:t>.</w:t>
            </w:r>
          </w:p>
          <w:p w14:paraId="63EFA5F0" w14:textId="77777777" w:rsidR="009F4244" w:rsidRPr="00A53AD7" w:rsidRDefault="009F4244" w:rsidP="00D13C6E">
            <w:pPr>
              <w:spacing w:after="0" w:line="240" w:lineRule="auto"/>
              <w:rPr>
                <w:rFonts w:ascii="Times New Roman" w:hAnsi="Times New Roman"/>
              </w:rPr>
            </w:pPr>
          </w:p>
        </w:tc>
        <w:tc>
          <w:tcPr>
            <w:tcW w:w="6095" w:type="dxa"/>
            <w:tcBorders>
              <w:top w:val="single" w:sz="4" w:space="0" w:color="auto"/>
              <w:left w:val="single" w:sz="4" w:space="0" w:color="auto"/>
              <w:bottom w:val="single" w:sz="4" w:space="0" w:color="auto"/>
              <w:right w:val="double" w:sz="4" w:space="0" w:color="auto"/>
            </w:tcBorders>
            <w:shd w:val="clear" w:color="auto" w:fill="auto"/>
          </w:tcPr>
          <w:p w14:paraId="7BBDC29F"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Государственная программа Архангельской области «Эффективное государственное управление в Архангельской области», подпрограмма «Создание систем электронного правительства, развитие информационного общества Архангельской области»</w:t>
            </w:r>
          </w:p>
        </w:tc>
      </w:tr>
      <w:tr w:rsidR="00D470B6" w:rsidRPr="00A53AD7" w14:paraId="7D44164B" w14:textId="77777777" w:rsidTr="00D13C6E">
        <w:trPr>
          <w:trHeight w:val="345"/>
        </w:trPr>
        <w:tc>
          <w:tcPr>
            <w:tcW w:w="3652" w:type="dxa"/>
            <w:tcBorders>
              <w:top w:val="single" w:sz="4" w:space="0" w:color="auto"/>
              <w:left w:val="double" w:sz="4" w:space="0" w:color="auto"/>
              <w:bottom w:val="single" w:sz="4" w:space="0" w:color="auto"/>
              <w:right w:val="single" w:sz="4" w:space="0" w:color="auto"/>
            </w:tcBorders>
            <w:shd w:val="clear" w:color="auto" w:fill="auto"/>
          </w:tcPr>
          <w:p w14:paraId="30E54707"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Цифровые технологии (Архангельская область). Срок реализации: 15.07.2019 – 31.12.2024</w:t>
            </w:r>
            <w:r w:rsidR="009F4244" w:rsidRPr="00A53AD7">
              <w:rPr>
                <w:rFonts w:ascii="Times New Roman" w:hAnsi="Times New Roman"/>
              </w:rPr>
              <w:t>.</w:t>
            </w:r>
          </w:p>
          <w:p w14:paraId="6E7D5EA4" w14:textId="6B273477" w:rsidR="009F4244" w:rsidRPr="00A53AD7" w:rsidRDefault="009F4244" w:rsidP="009F4244">
            <w:pPr>
              <w:spacing w:after="0" w:line="240" w:lineRule="auto"/>
              <w:rPr>
                <w:rFonts w:ascii="Times New Roman" w:hAnsi="Times New Roman"/>
              </w:rPr>
            </w:pPr>
            <w:r w:rsidRPr="00A53AD7">
              <w:rPr>
                <w:rFonts w:ascii="Times New Roman" w:hAnsi="Times New Roman"/>
              </w:rPr>
              <w:t>Соглашение от 17.07.2019</w:t>
            </w:r>
          </w:p>
        </w:tc>
        <w:tc>
          <w:tcPr>
            <w:tcW w:w="6095" w:type="dxa"/>
            <w:tcBorders>
              <w:top w:val="single" w:sz="4" w:space="0" w:color="auto"/>
              <w:left w:val="single" w:sz="4" w:space="0" w:color="auto"/>
              <w:bottom w:val="single" w:sz="4" w:space="0" w:color="auto"/>
              <w:right w:val="double" w:sz="4" w:space="0" w:color="auto"/>
            </w:tcBorders>
            <w:shd w:val="clear" w:color="auto" w:fill="auto"/>
          </w:tcPr>
          <w:p w14:paraId="5AA4BF19"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Государственная программа Архангельской области «Эффективное государственное управление в Архангельской области», подпрограмма «Создание систем электронного правительства, развитие информационного общества Архангельской области»</w:t>
            </w:r>
          </w:p>
        </w:tc>
      </w:tr>
      <w:tr w:rsidR="00A91C23" w:rsidRPr="00A53AD7" w14:paraId="21C98E54" w14:textId="77777777" w:rsidTr="00D13C6E">
        <w:tc>
          <w:tcPr>
            <w:tcW w:w="3652" w:type="dxa"/>
            <w:shd w:val="clear" w:color="auto" w:fill="auto"/>
          </w:tcPr>
          <w:p w14:paraId="222EC91A" w14:textId="77E5B871" w:rsidR="00A91C23" w:rsidRPr="00A53AD7" w:rsidRDefault="00A91C23" w:rsidP="00D13C6E">
            <w:pPr>
              <w:spacing w:after="0" w:line="240" w:lineRule="auto"/>
              <w:rPr>
                <w:rFonts w:ascii="Times New Roman" w:hAnsi="Times New Roman"/>
              </w:rPr>
            </w:pPr>
            <w:r w:rsidRPr="00A53AD7">
              <w:rPr>
                <w:rFonts w:ascii="Times New Roman" w:hAnsi="Times New Roman"/>
              </w:rPr>
              <w:t>Цифровое государственное управление (Архангельская область). Срок реализации: 01.01.2019 – 31.12.2024</w:t>
            </w:r>
            <w:r w:rsidR="009F4244" w:rsidRPr="00A53AD7">
              <w:rPr>
                <w:rFonts w:ascii="Times New Roman" w:hAnsi="Times New Roman"/>
              </w:rPr>
              <w:t>.</w:t>
            </w:r>
          </w:p>
          <w:p w14:paraId="381830E2" w14:textId="24DF4894" w:rsidR="009F4244" w:rsidRPr="00A53AD7" w:rsidRDefault="009E3022" w:rsidP="009E3022">
            <w:pPr>
              <w:spacing w:after="0" w:line="240" w:lineRule="auto"/>
              <w:rPr>
                <w:rFonts w:ascii="Times New Roman" w:hAnsi="Times New Roman"/>
              </w:rPr>
            </w:pPr>
            <w:r w:rsidRPr="00A53AD7">
              <w:rPr>
                <w:rFonts w:ascii="Times New Roman" w:hAnsi="Times New Roman"/>
              </w:rPr>
              <w:t>Соглашение от 18.07.2019</w:t>
            </w:r>
          </w:p>
        </w:tc>
        <w:tc>
          <w:tcPr>
            <w:tcW w:w="6095" w:type="dxa"/>
            <w:shd w:val="clear" w:color="auto" w:fill="auto"/>
          </w:tcPr>
          <w:p w14:paraId="13182ED6" w14:textId="77777777" w:rsidR="00A91C23" w:rsidRPr="00A53AD7" w:rsidRDefault="00A91C23" w:rsidP="00D13C6E">
            <w:pPr>
              <w:spacing w:after="0" w:line="240" w:lineRule="auto"/>
              <w:rPr>
                <w:rFonts w:ascii="Times New Roman" w:hAnsi="Times New Roman"/>
              </w:rPr>
            </w:pPr>
            <w:r w:rsidRPr="00A53AD7">
              <w:rPr>
                <w:rFonts w:ascii="Times New Roman" w:hAnsi="Times New Roman"/>
              </w:rPr>
              <w:t>Государственная программа Архангельской области «Эффективное государственное управление в Архангельской области», подпрограмма «Цифровые технологии в государственном управлении Архангельской области»</w:t>
            </w:r>
          </w:p>
        </w:tc>
      </w:tr>
    </w:tbl>
    <w:p w14:paraId="4C65E409" w14:textId="77777777" w:rsidR="00A91C23" w:rsidRPr="00A53AD7" w:rsidRDefault="00A91C23" w:rsidP="00A91C23">
      <w:pPr>
        <w:spacing w:after="0" w:line="240" w:lineRule="auto"/>
        <w:ind w:firstLine="851"/>
        <w:jc w:val="both"/>
        <w:rPr>
          <w:rFonts w:ascii="Times New Roman" w:hAnsi="Times New Roman"/>
          <w:sz w:val="16"/>
          <w:szCs w:val="16"/>
          <w:highlight w:val="cyan"/>
        </w:rPr>
      </w:pPr>
    </w:p>
    <w:p w14:paraId="7BEA1DF5" w14:textId="777777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 что в 2019 году на территории Архангельской области не реализуется региональный проект, который предусмотрен федеральным проектом - «Нормативное регулирование цифровой среды».</w:t>
      </w:r>
    </w:p>
    <w:p w14:paraId="239BF696" w14:textId="1E9B62D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государственными программами</w:t>
      </w:r>
      <w:r w:rsidR="00B73551" w:rsidRPr="00A53AD7">
        <w:rPr>
          <w:rFonts w:ascii="Times New Roman" w:hAnsi="Times New Roman"/>
          <w:sz w:val="28"/>
          <w:szCs w:val="28"/>
        </w:rPr>
        <w:t xml:space="preserve"> Архангельской области</w:t>
      </w:r>
      <w:r w:rsidRPr="00A53AD7">
        <w:rPr>
          <w:rFonts w:ascii="Times New Roman" w:hAnsi="Times New Roman"/>
          <w:sz w:val="28"/>
          <w:szCs w:val="28"/>
        </w:rPr>
        <w:t>, паспортами региональных проектов и сводной бюджетной росписью на 2019 год, по состоянию на 31.12.2019 не предусмотрены бюджетные ассигнования на реализацию указанных выше региональных проектов в рамках НП «Цифровая экономика».</w:t>
      </w:r>
      <w:r w:rsidR="00B73551" w:rsidRPr="00A53AD7">
        <w:rPr>
          <w:rFonts w:ascii="Times New Roman" w:hAnsi="Times New Roman"/>
          <w:sz w:val="28"/>
          <w:szCs w:val="28"/>
        </w:rPr>
        <w:t xml:space="preserve"> </w:t>
      </w:r>
      <w:r w:rsidRPr="00A53AD7">
        <w:rPr>
          <w:rFonts w:ascii="Times New Roman" w:hAnsi="Times New Roman"/>
          <w:sz w:val="28"/>
          <w:szCs w:val="28"/>
        </w:rPr>
        <w:t xml:space="preserve">Соответственно, </w:t>
      </w:r>
      <w:r w:rsidR="00B73551" w:rsidRPr="00A53AD7">
        <w:rPr>
          <w:rFonts w:ascii="Times New Roman" w:hAnsi="Times New Roman"/>
          <w:sz w:val="28"/>
          <w:szCs w:val="28"/>
        </w:rPr>
        <w:t>бюджетные средства</w:t>
      </w:r>
      <w:r w:rsidRPr="00A53AD7">
        <w:rPr>
          <w:rFonts w:ascii="Times New Roman" w:hAnsi="Times New Roman"/>
          <w:sz w:val="28"/>
          <w:szCs w:val="28"/>
        </w:rPr>
        <w:t xml:space="preserve"> из областного бюджета на реализацию указанных региональных проектов в 2019 году не выделялись.</w:t>
      </w:r>
    </w:p>
    <w:p w14:paraId="314FACDD" w14:textId="58A80D90"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Основные цели, показатели региональных проектов на 2019 год, а также отчетные данные, отраженные на портале «Электронный бюджет» (по состоянию на 21.05.2020) за указанный период представлены в таблиц</w:t>
      </w:r>
      <w:r w:rsidR="00D01C6D" w:rsidRPr="00A53AD7">
        <w:rPr>
          <w:rFonts w:ascii="Times New Roman" w:hAnsi="Times New Roman"/>
          <w:sz w:val="28"/>
          <w:szCs w:val="28"/>
        </w:rPr>
        <w:t>е</w:t>
      </w:r>
      <w:r w:rsidRPr="00A53AD7">
        <w:rPr>
          <w:rFonts w:ascii="Times New Roman" w:hAnsi="Times New Roman"/>
          <w:sz w:val="28"/>
          <w:szCs w:val="28"/>
        </w:rPr>
        <w:t xml:space="preserve"> </w:t>
      </w:r>
      <w:r w:rsidR="00221A8F" w:rsidRPr="00A53AD7">
        <w:rPr>
          <w:rFonts w:ascii="Times New Roman" w:hAnsi="Times New Roman"/>
          <w:sz w:val="28"/>
          <w:szCs w:val="28"/>
        </w:rPr>
        <w:t>64</w:t>
      </w:r>
      <w:r w:rsidRPr="00A53AD7">
        <w:rPr>
          <w:rFonts w:ascii="Times New Roman" w:hAnsi="Times New Roman"/>
          <w:sz w:val="28"/>
          <w:szCs w:val="28"/>
        </w:rPr>
        <w:t>.</w:t>
      </w:r>
    </w:p>
    <w:p w14:paraId="58A761FE" w14:textId="77777777" w:rsidR="00A91C23" w:rsidRPr="00A53AD7" w:rsidRDefault="00A91C23" w:rsidP="00A91C23">
      <w:pPr>
        <w:spacing w:after="0" w:line="240" w:lineRule="auto"/>
        <w:ind w:firstLine="851"/>
        <w:jc w:val="both"/>
        <w:rPr>
          <w:rFonts w:ascii="Times New Roman" w:hAnsi="Times New Roman"/>
          <w:sz w:val="16"/>
          <w:szCs w:val="16"/>
          <w:highlight w:val="cyan"/>
        </w:rPr>
      </w:pPr>
    </w:p>
    <w:p w14:paraId="28672098" w14:textId="77777777" w:rsidR="00A91C23" w:rsidRPr="00A53AD7" w:rsidRDefault="00A91C23" w:rsidP="00A91C23">
      <w:pPr>
        <w:spacing w:after="0" w:line="240" w:lineRule="auto"/>
        <w:rPr>
          <w:rFonts w:ascii="Times New Roman" w:hAnsi="Times New Roman"/>
          <w:bCs/>
          <w:sz w:val="24"/>
          <w:szCs w:val="24"/>
        </w:rPr>
      </w:pPr>
      <w:r w:rsidRPr="00A53AD7">
        <w:rPr>
          <w:rFonts w:ascii="Times New Roman" w:hAnsi="Times New Roman"/>
          <w:bCs/>
          <w:sz w:val="24"/>
          <w:szCs w:val="24"/>
        </w:rPr>
        <w:t xml:space="preserve">Таблица </w:t>
      </w:r>
      <w:r w:rsidRPr="00A53AD7">
        <w:rPr>
          <w:rFonts w:ascii="Times New Roman" w:hAnsi="Times New Roman"/>
          <w:bCs/>
          <w:sz w:val="24"/>
          <w:szCs w:val="24"/>
        </w:rPr>
        <w:fldChar w:fldCharType="begin"/>
      </w:r>
      <w:r w:rsidRPr="00A53AD7">
        <w:rPr>
          <w:rFonts w:ascii="Times New Roman" w:hAnsi="Times New Roman"/>
          <w:bCs/>
          <w:sz w:val="24"/>
          <w:szCs w:val="24"/>
        </w:rPr>
        <w:instrText xml:space="preserve"> SEQ Таблица \* ARABIC </w:instrText>
      </w:r>
      <w:r w:rsidRPr="00A53AD7">
        <w:rPr>
          <w:rFonts w:ascii="Times New Roman" w:hAnsi="Times New Roman"/>
          <w:bCs/>
          <w:sz w:val="24"/>
          <w:szCs w:val="24"/>
        </w:rPr>
        <w:fldChar w:fldCharType="separate"/>
      </w:r>
      <w:r w:rsidR="005351E5" w:rsidRPr="00A53AD7">
        <w:rPr>
          <w:rFonts w:ascii="Times New Roman" w:hAnsi="Times New Roman"/>
          <w:bCs/>
          <w:noProof/>
          <w:sz w:val="24"/>
          <w:szCs w:val="24"/>
        </w:rPr>
        <w:t>64</w:t>
      </w:r>
      <w:r w:rsidRPr="00A53AD7">
        <w:rPr>
          <w:rFonts w:ascii="Times New Roman" w:hAnsi="Times New Roman"/>
          <w:bCs/>
          <w:sz w:val="24"/>
          <w:szCs w:val="24"/>
        </w:rPr>
        <w:fldChar w:fldCharType="end"/>
      </w:r>
      <w:r w:rsidRPr="00A53AD7">
        <w:rPr>
          <w:rFonts w:ascii="Times New Roman" w:hAnsi="Times New Roman"/>
          <w:bCs/>
          <w:sz w:val="24"/>
          <w:szCs w:val="24"/>
        </w:rPr>
        <w:t>. Цели и показатели региональных проектов, утверждённые в паспортах проектов, а также отчетные данные за 2019 год</w:t>
      </w:r>
    </w:p>
    <w:tbl>
      <w:tblPr>
        <w:tblW w:w="9116" w:type="dxa"/>
        <w:tblInd w:w="85" w:type="dxa"/>
        <w:tblLayout w:type="fixed"/>
        <w:tblLook w:val="04A0" w:firstRow="1" w:lastRow="0" w:firstColumn="1" w:lastColumn="0" w:noHBand="0" w:noVBand="1"/>
      </w:tblPr>
      <w:tblGrid>
        <w:gridCol w:w="4003"/>
        <w:gridCol w:w="598"/>
        <w:gridCol w:w="1033"/>
        <w:gridCol w:w="916"/>
        <w:gridCol w:w="776"/>
        <w:gridCol w:w="922"/>
        <w:gridCol w:w="868"/>
      </w:tblGrid>
      <w:tr w:rsidR="00D470B6" w:rsidRPr="00A53AD7" w14:paraId="75F78687" w14:textId="77777777" w:rsidTr="00976DCD">
        <w:trPr>
          <w:trHeight w:val="25"/>
          <w:tblHeader/>
        </w:trPr>
        <w:tc>
          <w:tcPr>
            <w:tcW w:w="400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75A4076"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 показателя</w:t>
            </w:r>
          </w:p>
        </w:tc>
        <w:tc>
          <w:tcPr>
            <w:tcW w:w="59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7C67AF27"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Ед. изм.</w:t>
            </w:r>
          </w:p>
        </w:tc>
        <w:tc>
          <w:tcPr>
            <w:tcW w:w="1949" w:type="dxa"/>
            <w:gridSpan w:val="2"/>
            <w:tcBorders>
              <w:top w:val="double" w:sz="6" w:space="0" w:color="auto"/>
              <w:left w:val="nil"/>
              <w:bottom w:val="single" w:sz="4" w:space="0" w:color="auto"/>
              <w:right w:val="single" w:sz="4" w:space="0" w:color="auto"/>
            </w:tcBorders>
            <w:shd w:val="clear" w:color="auto" w:fill="auto"/>
            <w:vAlign w:val="center"/>
            <w:hideMark/>
          </w:tcPr>
          <w:p w14:paraId="30B76587"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Базовое значение</w:t>
            </w:r>
          </w:p>
        </w:tc>
        <w:tc>
          <w:tcPr>
            <w:tcW w:w="776"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6BEB75A"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План на 2019 год</w:t>
            </w:r>
          </w:p>
        </w:tc>
        <w:tc>
          <w:tcPr>
            <w:tcW w:w="1790" w:type="dxa"/>
            <w:gridSpan w:val="2"/>
            <w:tcBorders>
              <w:top w:val="double" w:sz="6" w:space="0" w:color="auto"/>
              <w:left w:val="nil"/>
              <w:bottom w:val="single" w:sz="4" w:space="0" w:color="auto"/>
              <w:right w:val="double" w:sz="6" w:space="0" w:color="000000"/>
            </w:tcBorders>
            <w:shd w:val="clear" w:color="auto" w:fill="auto"/>
            <w:vAlign w:val="center"/>
            <w:hideMark/>
          </w:tcPr>
          <w:p w14:paraId="5D8C99DC"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Исполнено за 2019 год</w:t>
            </w:r>
          </w:p>
        </w:tc>
      </w:tr>
      <w:tr w:rsidR="00D470B6" w:rsidRPr="00A53AD7" w14:paraId="042807A7" w14:textId="77777777" w:rsidTr="00976DCD">
        <w:trPr>
          <w:trHeight w:val="25"/>
          <w:tblHeader/>
        </w:trPr>
        <w:tc>
          <w:tcPr>
            <w:tcW w:w="4003" w:type="dxa"/>
            <w:vMerge/>
            <w:tcBorders>
              <w:top w:val="double" w:sz="6" w:space="0" w:color="auto"/>
              <w:left w:val="double" w:sz="6" w:space="0" w:color="auto"/>
              <w:bottom w:val="single" w:sz="4" w:space="0" w:color="auto"/>
              <w:right w:val="single" w:sz="4" w:space="0" w:color="auto"/>
            </w:tcBorders>
            <w:vAlign w:val="center"/>
            <w:hideMark/>
          </w:tcPr>
          <w:p w14:paraId="33F0E1AE" w14:textId="77777777" w:rsidR="00A91C23" w:rsidRPr="00A53AD7" w:rsidRDefault="00A91C23" w:rsidP="00D13C6E">
            <w:pPr>
              <w:spacing w:after="0" w:line="240" w:lineRule="auto"/>
              <w:rPr>
                <w:rFonts w:ascii="Times New Roman" w:eastAsia="Times New Roman" w:hAnsi="Times New Roman"/>
                <w:b/>
                <w:bCs/>
                <w:sz w:val="20"/>
                <w:szCs w:val="20"/>
                <w:lang w:eastAsia="ru-RU"/>
              </w:rPr>
            </w:pPr>
          </w:p>
        </w:tc>
        <w:tc>
          <w:tcPr>
            <w:tcW w:w="598" w:type="dxa"/>
            <w:vMerge/>
            <w:tcBorders>
              <w:top w:val="double" w:sz="6" w:space="0" w:color="auto"/>
              <w:left w:val="single" w:sz="4" w:space="0" w:color="auto"/>
              <w:bottom w:val="single" w:sz="4" w:space="0" w:color="auto"/>
              <w:right w:val="single" w:sz="4" w:space="0" w:color="auto"/>
            </w:tcBorders>
            <w:vAlign w:val="center"/>
            <w:hideMark/>
          </w:tcPr>
          <w:p w14:paraId="3B0E94C5" w14:textId="77777777" w:rsidR="00A91C23" w:rsidRPr="00A53AD7" w:rsidRDefault="00A91C23" w:rsidP="00D13C6E">
            <w:pPr>
              <w:spacing w:after="0" w:line="240" w:lineRule="auto"/>
              <w:rPr>
                <w:rFonts w:ascii="Times New Roman" w:eastAsia="Times New Roman" w:hAnsi="Times New Roman"/>
                <w:b/>
                <w:bCs/>
                <w:sz w:val="20"/>
                <w:szCs w:val="20"/>
                <w:lang w:eastAsia="ru-RU"/>
              </w:rPr>
            </w:pPr>
          </w:p>
        </w:tc>
        <w:tc>
          <w:tcPr>
            <w:tcW w:w="1033" w:type="dxa"/>
            <w:tcBorders>
              <w:top w:val="nil"/>
              <w:left w:val="nil"/>
              <w:bottom w:val="single" w:sz="4" w:space="0" w:color="auto"/>
              <w:right w:val="single" w:sz="4" w:space="0" w:color="auto"/>
            </w:tcBorders>
            <w:shd w:val="clear" w:color="auto" w:fill="auto"/>
            <w:vAlign w:val="center"/>
            <w:hideMark/>
          </w:tcPr>
          <w:p w14:paraId="396E2B20"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значение</w:t>
            </w:r>
          </w:p>
        </w:tc>
        <w:tc>
          <w:tcPr>
            <w:tcW w:w="916" w:type="dxa"/>
            <w:tcBorders>
              <w:top w:val="nil"/>
              <w:left w:val="nil"/>
              <w:bottom w:val="single" w:sz="4" w:space="0" w:color="auto"/>
              <w:right w:val="single" w:sz="4" w:space="0" w:color="auto"/>
            </w:tcBorders>
            <w:shd w:val="clear" w:color="auto" w:fill="auto"/>
            <w:vAlign w:val="center"/>
            <w:hideMark/>
          </w:tcPr>
          <w:p w14:paraId="52793122"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дата</w:t>
            </w:r>
          </w:p>
        </w:tc>
        <w:tc>
          <w:tcPr>
            <w:tcW w:w="776" w:type="dxa"/>
            <w:vMerge/>
            <w:tcBorders>
              <w:top w:val="double" w:sz="6" w:space="0" w:color="auto"/>
              <w:left w:val="single" w:sz="4" w:space="0" w:color="auto"/>
              <w:bottom w:val="single" w:sz="4" w:space="0" w:color="auto"/>
              <w:right w:val="single" w:sz="4" w:space="0" w:color="auto"/>
            </w:tcBorders>
            <w:vAlign w:val="center"/>
            <w:hideMark/>
          </w:tcPr>
          <w:p w14:paraId="0E5EBC46" w14:textId="77777777" w:rsidR="00A91C23" w:rsidRPr="00A53AD7" w:rsidRDefault="00A91C23" w:rsidP="00D13C6E">
            <w:pPr>
              <w:spacing w:after="0" w:line="240" w:lineRule="auto"/>
              <w:rPr>
                <w:rFonts w:ascii="Times New Roman" w:eastAsia="Times New Roman" w:hAnsi="Times New Roman"/>
                <w:b/>
                <w:bCs/>
                <w:sz w:val="20"/>
                <w:szCs w:val="20"/>
                <w:lang w:eastAsia="ru-RU"/>
              </w:rPr>
            </w:pPr>
          </w:p>
        </w:tc>
        <w:tc>
          <w:tcPr>
            <w:tcW w:w="922" w:type="dxa"/>
            <w:tcBorders>
              <w:top w:val="nil"/>
              <w:left w:val="nil"/>
              <w:bottom w:val="single" w:sz="4" w:space="0" w:color="auto"/>
              <w:right w:val="single" w:sz="4" w:space="0" w:color="auto"/>
            </w:tcBorders>
            <w:shd w:val="clear" w:color="auto" w:fill="auto"/>
            <w:vAlign w:val="center"/>
            <w:hideMark/>
          </w:tcPr>
          <w:p w14:paraId="63697184"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отчет</w:t>
            </w:r>
          </w:p>
        </w:tc>
        <w:tc>
          <w:tcPr>
            <w:tcW w:w="868" w:type="dxa"/>
            <w:tcBorders>
              <w:top w:val="nil"/>
              <w:left w:val="nil"/>
              <w:bottom w:val="single" w:sz="4" w:space="0" w:color="auto"/>
              <w:right w:val="double" w:sz="6" w:space="0" w:color="auto"/>
            </w:tcBorders>
            <w:shd w:val="clear" w:color="auto" w:fill="auto"/>
            <w:vAlign w:val="center"/>
            <w:hideMark/>
          </w:tcPr>
          <w:p w14:paraId="5F34B59C"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испол-нения</w:t>
            </w:r>
          </w:p>
        </w:tc>
      </w:tr>
      <w:tr w:rsidR="00D470B6" w:rsidRPr="00A53AD7" w14:paraId="1C34C005" w14:textId="77777777" w:rsidTr="00976DCD">
        <w:trPr>
          <w:trHeight w:val="60"/>
        </w:trPr>
        <w:tc>
          <w:tcPr>
            <w:tcW w:w="9116"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0EBA4D50"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«Информационная инфраструктура»</w:t>
            </w:r>
          </w:p>
        </w:tc>
      </w:tr>
      <w:tr w:rsidR="00D470B6" w:rsidRPr="00A53AD7" w14:paraId="517F97EF" w14:textId="77777777" w:rsidTr="00976DCD">
        <w:trPr>
          <w:trHeight w:val="6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2EB73E02"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медицинских организаций государственной и муниципальной систем здравоохранения (больницы и поликлиники), подключенных к сети "Интернет"</w:t>
            </w:r>
          </w:p>
        </w:tc>
        <w:tc>
          <w:tcPr>
            <w:tcW w:w="598" w:type="dxa"/>
            <w:tcBorders>
              <w:top w:val="nil"/>
              <w:left w:val="nil"/>
              <w:bottom w:val="single" w:sz="4" w:space="0" w:color="auto"/>
              <w:right w:val="single" w:sz="4" w:space="0" w:color="auto"/>
            </w:tcBorders>
            <w:shd w:val="clear" w:color="auto" w:fill="auto"/>
            <w:vAlign w:val="center"/>
            <w:hideMark/>
          </w:tcPr>
          <w:p w14:paraId="46D2A36D"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19D45821"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0245A111"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4440A9B2"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22" w:type="dxa"/>
            <w:tcBorders>
              <w:top w:val="nil"/>
              <w:left w:val="nil"/>
              <w:bottom w:val="single" w:sz="4" w:space="0" w:color="auto"/>
              <w:right w:val="single" w:sz="4" w:space="0" w:color="auto"/>
            </w:tcBorders>
            <w:shd w:val="clear" w:color="auto" w:fill="auto"/>
            <w:vAlign w:val="center"/>
            <w:hideMark/>
          </w:tcPr>
          <w:p w14:paraId="7FBAE50F"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868" w:type="dxa"/>
            <w:tcBorders>
              <w:top w:val="nil"/>
              <w:left w:val="nil"/>
              <w:bottom w:val="single" w:sz="4" w:space="0" w:color="auto"/>
              <w:right w:val="double" w:sz="6" w:space="0" w:color="auto"/>
            </w:tcBorders>
            <w:shd w:val="clear" w:color="auto" w:fill="auto"/>
            <w:vAlign w:val="center"/>
            <w:hideMark/>
          </w:tcPr>
          <w:p w14:paraId="3FF267A9"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7248AF8" w14:textId="77777777" w:rsidTr="00976DCD">
        <w:trPr>
          <w:trHeight w:hRule="exact" w:val="972"/>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26F487FD" w14:textId="77777777" w:rsidR="00B06465" w:rsidRPr="00A53AD7" w:rsidRDefault="00B06465" w:rsidP="00B06465">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фельдшерских и фельдшерско-акушерских пунктов государственной и муниципальной систем здравоохранения, подключенных к сети "Интернет"</w:t>
            </w:r>
          </w:p>
        </w:tc>
        <w:tc>
          <w:tcPr>
            <w:tcW w:w="598" w:type="dxa"/>
            <w:tcBorders>
              <w:top w:val="nil"/>
              <w:left w:val="nil"/>
              <w:bottom w:val="single" w:sz="4" w:space="0" w:color="auto"/>
              <w:right w:val="single" w:sz="4" w:space="0" w:color="auto"/>
            </w:tcBorders>
            <w:shd w:val="clear" w:color="auto" w:fill="auto"/>
            <w:vAlign w:val="center"/>
            <w:hideMark/>
          </w:tcPr>
          <w:p w14:paraId="0E11B86D" w14:textId="77777777" w:rsidR="00B06465" w:rsidRPr="00A53AD7" w:rsidRDefault="00B06465" w:rsidP="00B06465">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58DCD3F6" w14:textId="77777777" w:rsidR="00B06465" w:rsidRPr="00A53AD7" w:rsidRDefault="00B06465" w:rsidP="00B06465">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2ABC5E35" w14:textId="77777777" w:rsidR="00B06465" w:rsidRPr="00A53AD7" w:rsidRDefault="00B06465" w:rsidP="00B06465">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1776E8EE" w14:textId="77777777" w:rsidR="00B06465" w:rsidRPr="00A53AD7" w:rsidRDefault="00B06465" w:rsidP="00B06465">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w:t>
            </w:r>
          </w:p>
        </w:tc>
        <w:tc>
          <w:tcPr>
            <w:tcW w:w="922" w:type="dxa"/>
            <w:tcBorders>
              <w:top w:val="nil"/>
              <w:left w:val="nil"/>
              <w:bottom w:val="single" w:sz="4" w:space="0" w:color="auto"/>
              <w:right w:val="single" w:sz="4" w:space="0" w:color="auto"/>
            </w:tcBorders>
            <w:shd w:val="clear" w:color="auto" w:fill="auto"/>
            <w:vAlign w:val="center"/>
            <w:hideMark/>
          </w:tcPr>
          <w:p w14:paraId="47D2A57D" w14:textId="53131E81" w:rsidR="00B06465" w:rsidRPr="00A53AD7" w:rsidRDefault="00B06465" w:rsidP="00B06465">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w:t>
            </w:r>
          </w:p>
        </w:tc>
        <w:tc>
          <w:tcPr>
            <w:tcW w:w="868" w:type="dxa"/>
            <w:tcBorders>
              <w:top w:val="nil"/>
              <w:left w:val="nil"/>
              <w:bottom w:val="single" w:sz="4" w:space="0" w:color="auto"/>
              <w:right w:val="double" w:sz="6" w:space="0" w:color="auto"/>
            </w:tcBorders>
            <w:shd w:val="clear" w:color="auto" w:fill="auto"/>
            <w:vAlign w:val="center"/>
            <w:hideMark/>
          </w:tcPr>
          <w:p w14:paraId="77237AA2" w14:textId="77777777" w:rsidR="00B06465" w:rsidRPr="00A53AD7" w:rsidRDefault="00B06465" w:rsidP="00B06465">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7A5B9D76" w14:textId="77777777" w:rsidTr="00976DCD">
        <w:trPr>
          <w:trHeight w:hRule="exact" w:val="1487"/>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3FF41825"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государственных (муниципальных) образовательных организаций, реализующих образовательные программы общего образования и/или среднего профессионального образования, подключенных к сети "Интернет"</w:t>
            </w:r>
          </w:p>
        </w:tc>
        <w:tc>
          <w:tcPr>
            <w:tcW w:w="598" w:type="dxa"/>
            <w:tcBorders>
              <w:top w:val="nil"/>
              <w:left w:val="nil"/>
              <w:bottom w:val="single" w:sz="4" w:space="0" w:color="auto"/>
              <w:right w:val="single" w:sz="4" w:space="0" w:color="auto"/>
            </w:tcBorders>
            <w:shd w:val="clear" w:color="auto" w:fill="auto"/>
            <w:vAlign w:val="center"/>
            <w:hideMark/>
          </w:tcPr>
          <w:p w14:paraId="124F2B4C"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023CACA6"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6CB80BF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6BAFA3EC"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w:t>
            </w:r>
          </w:p>
        </w:tc>
        <w:tc>
          <w:tcPr>
            <w:tcW w:w="922" w:type="dxa"/>
            <w:tcBorders>
              <w:top w:val="nil"/>
              <w:left w:val="nil"/>
              <w:bottom w:val="single" w:sz="4" w:space="0" w:color="auto"/>
              <w:right w:val="single" w:sz="4" w:space="0" w:color="auto"/>
            </w:tcBorders>
            <w:shd w:val="clear" w:color="auto" w:fill="auto"/>
            <w:vAlign w:val="center"/>
            <w:hideMark/>
          </w:tcPr>
          <w:p w14:paraId="4C30977C"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w:t>
            </w:r>
          </w:p>
        </w:tc>
        <w:tc>
          <w:tcPr>
            <w:tcW w:w="868" w:type="dxa"/>
            <w:tcBorders>
              <w:top w:val="nil"/>
              <w:left w:val="nil"/>
              <w:bottom w:val="single" w:sz="4" w:space="0" w:color="auto"/>
              <w:right w:val="double" w:sz="6" w:space="0" w:color="auto"/>
            </w:tcBorders>
            <w:shd w:val="clear" w:color="auto" w:fill="auto"/>
            <w:vAlign w:val="center"/>
            <w:hideMark/>
          </w:tcPr>
          <w:p w14:paraId="7F304889"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0C356FFD" w14:textId="77777777" w:rsidTr="00976DCD">
        <w:trPr>
          <w:trHeight w:hRule="exact" w:val="102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27B4B513"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органов государственной власти, органов местного самоуправления и государственных внебюджетных фондов, подключенных к сети "Интернет"</w:t>
            </w:r>
          </w:p>
        </w:tc>
        <w:tc>
          <w:tcPr>
            <w:tcW w:w="598" w:type="dxa"/>
            <w:tcBorders>
              <w:top w:val="nil"/>
              <w:left w:val="nil"/>
              <w:bottom w:val="single" w:sz="4" w:space="0" w:color="auto"/>
              <w:right w:val="single" w:sz="4" w:space="0" w:color="auto"/>
            </w:tcBorders>
            <w:shd w:val="clear" w:color="auto" w:fill="auto"/>
            <w:vAlign w:val="center"/>
            <w:hideMark/>
          </w:tcPr>
          <w:p w14:paraId="5A936175"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630EB140"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45B2C5BB"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76587CD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w:t>
            </w:r>
          </w:p>
        </w:tc>
        <w:tc>
          <w:tcPr>
            <w:tcW w:w="922" w:type="dxa"/>
            <w:tcBorders>
              <w:top w:val="nil"/>
              <w:left w:val="nil"/>
              <w:bottom w:val="single" w:sz="4" w:space="0" w:color="auto"/>
              <w:right w:val="single" w:sz="4" w:space="0" w:color="auto"/>
            </w:tcBorders>
            <w:shd w:val="clear" w:color="auto" w:fill="auto"/>
            <w:vAlign w:val="center"/>
            <w:hideMark/>
          </w:tcPr>
          <w:p w14:paraId="3BB9F8C8"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41</w:t>
            </w:r>
          </w:p>
        </w:tc>
        <w:tc>
          <w:tcPr>
            <w:tcW w:w="868" w:type="dxa"/>
            <w:tcBorders>
              <w:top w:val="nil"/>
              <w:left w:val="nil"/>
              <w:bottom w:val="single" w:sz="4" w:space="0" w:color="auto"/>
              <w:right w:val="double" w:sz="6" w:space="0" w:color="auto"/>
            </w:tcBorders>
            <w:shd w:val="clear" w:color="auto" w:fill="auto"/>
            <w:vAlign w:val="center"/>
            <w:hideMark/>
          </w:tcPr>
          <w:p w14:paraId="6889DECE"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83E2873" w14:textId="77777777" w:rsidTr="00976DCD">
        <w:trPr>
          <w:trHeight w:val="60"/>
        </w:trPr>
        <w:tc>
          <w:tcPr>
            <w:tcW w:w="9116"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7915E6A4"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"Кадры для цифровой экономики"</w:t>
            </w:r>
          </w:p>
        </w:tc>
      </w:tr>
      <w:tr w:rsidR="00D470B6" w:rsidRPr="00A53AD7" w14:paraId="525FCEC9" w14:textId="77777777" w:rsidTr="00976DCD">
        <w:trPr>
          <w:trHeight w:val="732"/>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63A29BD1"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выпускников системы профессионального образования с ключевыми компетенциями цифровой экономики</w:t>
            </w:r>
          </w:p>
        </w:tc>
        <w:tc>
          <w:tcPr>
            <w:tcW w:w="598" w:type="dxa"/>
            <w:tcBorders>
              <w:top w:val="nil"/>
              <w:left w:val="nil"/>
              <w:bottom w:val="single" w:sz="4" w:space="0" w:color="auto"/>
              <w:right w:val="single" w:sz="4" w:space="0" w:color="auto"/>
            </w:tcBorders>
            <w:shd w:val="clear" w:color="auto" w:fill="auto"/>
            <w:vAlign w:val="center"/>
            <w:hideMark/>
          </w:tcPr>
          <w:p w14:paraId="70408B2C"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чел.</w:t>
            </w:r>
          </w:p>
        </w:tc>
        <w:tc>
          <w:tcPr>
            <w:tcW w:w="1033" w:type="dxa"/>
            <w:tcBorders>
              <w:top w:val="nil"/>
              <w:left w:val="nil"/>
              <w:bottom w:val="single" w:sz="4" w:space="0" w:color="auto"/>
              <w:right w:val="single" w:sz="4" w:space="0" w:color="auto"/>
            </w:tcBorders>
            <w:shd w:val="clear" w:color="auto" w:fill="auto"/>
            <w:vAlign w:val="center"/>
            <w:hideMark/>
          </w:tcPr>
          <w:p w14:paraId="7728068D"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55903AE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19303DC8"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6ABEEC48"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397B8310"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7B03420C" w14:textId="77777777" w:rsidTr="00976DCD">
        <w:trPr>
          <w:trHeight w:hRule="exact" w:val="72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408CC3EB"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специалистов, прошедших переобучение по компетенциям цифровой экономики в рамках дополнительного образования</w:t>
            </w:r>
          </w:p>
        </w:tc>
        <w:tc>
          <w:tcPr>
            <w:tcW w:w="598" w:type="dxa"/>
            <w:tcBorders>
              <w:top w:val="nil"/>
              <w:left w:val="nil"/>
              <w:bottom w:val="single" w:sz="4" w:space="0" w:color="auto"/>
              <w:right w:val="single" w:sz="4" w:space="0" w:color="auto"/>
            </w:tcBorders>
            <w:shd w:val="clear" w:color="auto" w:fill="auto"/>
            <w:vAlign w:val="center"/>
            <w:hideMark/>
          </w:tcPr>
          <w:p w14:paraId="7344F279"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чел.</w:t>
            </w:r>
          </w:p>
        </w:tc>
        <w:tc>
          <w:tcPr>
            <w:tcW w:w="1033" w:type="dxa"/>
            <w:tcBorders>
              <w:top w:val="nil"/>
              <w:left w:val="nil"/>
              <w:bottom w:val="single" w:sz="4" w:space="0" w:color="auto"/>
              <w:right w:val="single" w:sz="4" w:space="0" w:color="auto"/>
            </w:tcBorders>
            <w:shd w:val="clear" w:color="auto" w:fill="auto"/>
            <w:vAlign w:val="center"/>
            <w:hideMark/>
          </w:tcPr>
          <w:p w14:paraId="3716FF92"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0857685F"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31.12.19</w:t>
            </w:r>
          </w:p>
        </w:tc>
        <w:tc>
          <w:tcPr>
            <w:tcW w:w="776" w:type="dxa"/>
            <w:tcBorders>
              <w:top w:val="nil"/>
              <w:left w:val="nil"/>
              <w:bottom w:val="single" w:sz="4" w:space="0" w:color="auto"/>
              <w:right w:val="single" w:sz="4" w:space="0" w:color="auto"/>
            </w:tcBorders>
            <w:shd w:val="clear" w:color="auto" w:fill="auto"/>
            <w:vAlign w:val="center"/>
            <w:hideMark/>
          </w:tcPr>
          <w:p w14:paraId="1C4BC04F"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211D483B"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7B68B561"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59E2F8C9" w14:textId="77777777" w:rsidTr="00976DCD">
        <w:trPr>
          <w:trHeight w:val="255"/>
        </w:trPr>
        <w:tc>
          <w:tcPr>
            <w:tcW w:w="9116"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4709B148"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"Информационная безопасность"</w:t>
            </w:r>
          </w:p>
        </w:tc>
      </w:tr>
      <w:tr w:rsidR="00D470B6" w:rsidRPr="00A53AD7" w14:paraId="48E61AAD" w14:textId="77777777" w:rsidTr="00976DCD">
        <w:trPr>
          <w:trHeight w:val="856"/>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736F2ADB"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Стоимостная доля закупаемого и (или) арендуемого федеральными органами исполнительной власти, органами исполнительной власти субъектов и иными органами государственной власти отечественного программного обеспечения</w:t>
            </w:r>
          </w:p>
        </w:tc>
        <w:tc>
          <w:tcPr>
            <w:tcW w:w="598" w:type="dxa"/>
            <w:tcBorders>
              <w:top w:val="nil"/>
              <w:left w:val="nil"/>
              <w:bottom w:val="single" w:sz="4" w:space="0" w:color="auto"/>
              <w:right w:val="single" w:sz="4" w:space="0" w:color="auto"/>
            </w:tcBorders>
            <w:shd w:val="clear" w:color="auto" w:fill="auto"/>
            <w:vAlign w:val="center"/>
            <w:hideMark/>
          </w:tcPr>
          <w:p w14:paraId="0ACC0CB9"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5110BDBE"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0A4C0622"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2193ED3E"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4301216A"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1D6BBAB3"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51D1CD6E" w14:textId="77777777" w:rsidTr="00976DCD">
        <w:trPr>
          <w:trHeight w:val="6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3E9A3AC9"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Средний срок простоя государственных информационных систем в результате компьютерных атак</w:t>
            </w:r>
          </w:p>
        </w:tc>
        <w:tc>
          <w:tcPr>
            <w:tcW w:w="598" w:type="dxa"/>
            <w:tcBorders>
              <w:top w:val="nil"/>
              <w:left w:val="nil"/>
              <w:bottom w:val="single" w:sz="4" w:space="0" w:color="auto"/>
              <w:right w:val="single" w:sz="4" w:space="0" w:color="auto"/>
            </w:tcBorders>
            <w:shd w:val="clear" w:color="auto" w:fill="auto"/>
            <w:vAlign w:val="center"/>
            <w:hideMark/>
          </w:tcPr>
          <w:p w14:paraId="3DCE05FD"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час</w:t>
            </w:r>
          </w:p>
        </w:tc>
        <w:tc>
          <w:tcPr>
            <w:tcW w:w="1033" w:type="dxa"/>
            <w:tcBorders>
              <w:top w:val="nil"/>
              <w:left w:val="nil"/>
              <w:bottom w:val="single" w:sz="4" w:space="0" w:color="auto"/>
              <w:right w:val="single" w:sz="4" w:space="0" w:color="auto"/>
            </w:tcBorders>
            <w:shd w:val="clear" w:color="auto" w:fill="auto"/>
            <w:vAlign w:val="center"/>
            <w:hideMark/>
          </w:tcPr>
          <w:p w14:paraId="23C89400"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60E29CB7"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70A2F4B7"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36930153"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40A695E8"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3C4C924E" w14:textId="77777777" w:rsidTr="00976DCD">
        <w:trPr>
          <w:trHeight w:hRule="exact" w:val="1474"/>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78C2E13B"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подготовленных специалистов по образовательным программам в области информационной безопасности, с использованием в образовательном процессе отечественных высокотехнологичных комплексов и средств защиты информации</w:t>
            </w:r>
          </w:p>
        </w:tc>
        <w:tc>
          <w:tcPr>
            <w:tcW w:w="598" w:type="dxa"/>
            <w:tcBorders>
              <w:top w:val="nil"/>
              <w:left w:val="nil"/>
              <w:bottom w:val="single" w:sz="4" w:space="0" w:color="auto"/>
              <w:right w:val="single" w:sz="4" w:space="0" w:color="auto"/>
            </w:tcBorders>
            <w:shd w:val="clear" w:color="auto" w:fill="auto"/>
            <w:vAlign w:val="center"/>
            <w:hideMark/>
          </w:tcPr>
          <w:p w14:paraId="67478054"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чел.</w:t>
            </w:r>
          </w:p>
        </w:tc>
        <w:tc>
          <w:tcPr>
            <w:tcW w:w="1033" w:type="dxa"/>
            <w:tcBorders>
              <w:top w:val="nil"/>
              <w:left w:val="nil"/>
              <w:bottom w:val="single" w:sz="4" w:space="0" w:color="auto"/>
              <w:right w:val="single" w:sz="4" w:space="0" w:color="auto"/>
            </w:tcBorders>
            <w:shd w:val="clear" w:color="auto" w:fill="auto"/>
            <w:vAlign w:val="center"/>
            <w:hideMark/>
          </w:tcPr>
          <w:p w14:paraId="3D1305EF"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1DD77F7D"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31.12.18</w:t>
            </w:r>
          </w:p>
        </w:tc>
        <w:tc>
          <w:tcPr>
            <w:tcW w:w="776" w:type="dxa"/>
            <w:tcBorders>
              <w:top w:val="nil"/>
              <w:left w:val="nil"/>
              <w:bottom w:val="single" w:sz="4" w:space="0" w:color="auto"/>
              <w:right w:val="single" w:sz="4" w:space="0" w:color="auto"/>
            </w:tcBorders>
            <w:shd w:val="clear" w:color="auto" w:fill="auto"/>
            <w:vAlign w:val="center"/>
            <w:hideMark/>
          </w:tcPr>
          <w:p w14:paraId="6F4293D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682E3FC6"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51517043"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66CC83B9" w14:textId="77777777" w:rsidTr="00976DCD">
        <w:trPr>
          <w:trHeight w:val="60"/>
        </w:trPr>
        <w:tc>
          <w:tcPr>
            <w:tcW w:w="9116"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60959D9D"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"Цифровые технологии"</w:t>
            </w:r>
          </w:p>
        </w:tc>
      </w:tr>
      <w:tr w:rsidR="00D470B6" w:rsidRPr="00A53AD7" w14:paraId="58A0E1EB" w14:textId="77777777" w:rsidTr="00976DCD">
        <w:trPr>
          <w:trHeight w:val="51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4EE63B6E"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Увеличение затрат на развитие "сквозных" цифровых технологий.</w:t>
            </w:r>
          </w:p>
        </w:tc>
        <w:tc>
          <w:tcPr>
            <w:tcW w:w="598" w:type="dxa"/>
            <w:tcBorders>
              <w:top w:val="nil"/>
              <w:left w:val="nil"/>
              <w:bottom w:val="single" w:sz="4" w:space="0" w:color="auto"/>
              <w:right w:val="single" w:sz="4" w:space="0" w:color="auto"/>
            </w:tcBorders>
            <w:shd w:val="clear" w:color="auto" w:fill="auto"/>
            <w:vAlign w:val="center"/>
            <w:hideMark/>
          </w:tcPr>
          <w:p w14:paraId="7182C206"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405A62EE"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16" w:type="dxa"/>
            <w:tcBorders>
              <w:top w:val="nil"/>
              <w:left w:val="nil"/>
              <w:bottom w:val="single" w:sz="4" w:space="0" w:color="auto"/>
              <w:right w:val="single" w:sz="4" w:space="0" w:color="auto"/>
            </w:tcBorders>
            <w:shd w:val="clear" w:color="auto" w:fill="auto"/>
            <w:vAlign w:val="center"/>
            <w:hideMark/>
          </w:tcPr>
          <w:p w14:paraId="66921CF3"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31.12.19</w:t>
            </w:r>
          </w:p>
        </w:tc>
        <w:tc>
          <w:tcPr>
            <w:tcW w:w="776" w:type="dxa"/>
            <w:tcBorders>
              <w:top w:val="nil"/>
              <w:left w:val="nil"/>
              <w:bottom w:val="single" w:sz="4" w:space="0" w:color="auto"/>
              <w:right w:val="single" w:sz="4" w:space="0" w:color="auto"/>
            </w:tcBorders>
            <w:shd w:val="clear" w:color="auto" w:fill="auto"/>
            <w:vAlign w:val="center"/>
            <w:hideMark/>
          </w:tcPr>
          <w:p w14:paraId="0E6D83FA"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1A6CBE4D"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58CD5774"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5B420AFC" w14:textId="77777777" w:rsidTr="00976DCD">
        <w:trPr>
          <w:trHeight w:val="255"/>
        </w:trPr>
        <w:tc>
          <w:tcPr>
            <w:tcW w:w="9116"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2F07D9FA" w14:textId="77777777" w:rsidR="00A91C23" w:rsidRPr="00A53AD7" w:rsidRDefault="00A91C23" w:rsidP="00D13C6E">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"Цифровое государственное управление"</w:t>
            </w:r>
          </w:p>
        </w:tc>
      </w:tr>
      <w:tr w:rsidR="00D470B6" w:rsidRPr="00A53AD7" w14:paraId="4FFC7BAF" w14:textId="77777777" w:rsidTr="00976DCD">
        <w:trPr>
          <w:trHeight w:val="930"/>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0FAC441C"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взаимодействий граждан и коммерческих организаций с государственными (муниципальными) органами и бюджетными учреждениями, осуществляемых в цифровом виде</w:t>
            </w:r>
          </w:p>
        </w:tc>
        <w:tc>
          <w:tcPr>
            <w:tcW w:w="598" w:type="dxa"/>
            <w:tcBorders>
              <w:top w:val="nil"/>
              <w:left w:val="nil"/>
              <w:bottom w:val="single" w:sz="4" w:space="0" w:color="auto"/>
              <w:right w:val="single" w:sz="4" w:space="0" w:color="auto"/>
            </w:tcBorders>
            <w:shd w:val="clear" w:color="auto" w:fill="auto"/>
            <w:vAlign w:val="center"/>
            <w:hideMark/>
          </w:tcPr>
          <w:p w14:paraId="5EBDA27D"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2C0F77B8"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68708D4E"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31.12.17</w:t>
            </w:r>
          </w:p>
        </w:tc>
        <w:tc>
          <w:tcPr>
            <w:tcW w:w="776" w:type="dxa"/>
            <w:tcBorders>
              <w:top w:val="nil"/>
              <w:left w:val="nil"/>
              <w:bottom w:val="single" w:sz="4" w:space="0" w:color="auto"/>
              <w:right w:val="single" w:sz="4" w:space="0" w:color="auto"/>
            </w:tcBorders>
            <w:shd w:val="clear" w:color="auto" w:fill="auto"/>
            <w:vAlign w:val="center"/>
            <w:hideMark/>
          </w:tcPr>
          <w:p w14:paraId="40E9E3C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67D3CEC3"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43AFF2A5"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0E557CDF" w14:textId="77777777" w:rsidTr="00976DCD">
        <w:trPr>
          <w:trHeight w:hRule="exact" w:val="1929"/>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2421B6F4"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приоритетных государственных услуг и сервисов, соответствующих целевой модели цифровой трансформации (предоставление без необходимости личного посещения государственных органов и иных организаций, с применением реестровой модели, онлайн (в автоматическом режиме), проактивно)</w:t>
            </w:r>
          </w:p>
        </w:tc>
        <w:tc>
          <w:tcPr>
            <w:tcW w:w="598" w:type="dxa"/>
            <w:tcBorders>
              <w:top w:val="nil"/>
              <w:left w:val="nil"/>
              <w:bottom w:val="single" w:sz="4" w:space="0" w:color="auto"/>
              <w:right w:val="single" w:sz="4" w:space="0" w:color="auto"/>
            </w:tcBorders>
            <w:shd w:val="clear" w:color="auto" w:fill="auto"/>
            <w:vAlign w:val="center"/>
            <w:hideMark/>
          </w:tcPr>
          <w:p w14:paraId="3C7461F8"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57DF2AD4"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single" w:sz="4" w:space="0" w:color="auto"/>
              <w:right w:val="single" w:sz="4" w:space="0" w:color="auto"/>
            </w:tcBorders>
            <w:shd w:val="clear" w:color="auto" w:fill="auto"/>
            <w:vAlign w:val="center"/>
            <w:hideMark/>
          </w:tcPr>
          <w:p w14:paraId="277AE8A6"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31.12.17</w:t>
            </w:r>
          </w:p>
        </w:tc>
        <w:tc>
          <w:tcPr>
            <w:tcW w:w="776" w:type="dxa"/>
            <w:tcBorders>
              <w:top w:val="nil"/>
              <w:left w:val="nil"/>
              <w:bottom w:val="single" w:sz="4" w:space="0" w:color="auto"/>
              <w:right w:val="single" w:sz="4" w:space="0" w:color="auto"/>
            </w:tcBorders>
            <w:shd w:val="clear" w:color="auto" w:fill="auto"/>
            <w:vAlign w:val="center"/>
            <w:hideMark/>
          </w:tcPr>
          <w:p w14:paraId="313BF5C8"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single" w:sz="4" w:space="0" w:color="auto"/>
              <w:right w:val="single" w:sz="4" w:space="0" w:color="auto"/>
            </w:tcBorders>
            <w:shd w:val="clear" w:color="auto" w:fill="auto"/>
            <w:vAlign w:val="center"/>
            <w:hideMark/>
          </w:tcPr>
          <w:p w14:paraId="6450CC73"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0AC04CF8"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r w:rsidR="00D470B6" w:rsidRPr="00A53AD7" w14:paraId="4AC289B5" w14:textId="77777777" w:rsidTr="00976DCD">
        <w:trPr>
          <w:trHeight w:hRule="exact" w:val="705"/>
        </w:trPr>
        <w:tc>
          <w:tcPr>
            <w:tcW w:w="4003" w:type="dxa"/>
            <w:tcBorders>
              <w:top w:val="nil"/>
              <w:left w:val="double" w:sz="6" w:space="0" w:color="auto"/>
              <w:bottom w:val="single" w:sz="4" w:space="0" w:color="auto"/>
              <w:right w:val="single" w:sz="4" w:space="0" w:color="auto"/>
            </w:tcBorders>
            <w:shd w:val="clear" w:color="auto" w:fill="auto"/>
            <w:vAlign w:val="center"/>
            <w:hideMark/>
          </w:tcPr>
          <w:p w14:paraId="00A42206"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отказов при предоставлении приоритетных государственных услуг и сервисов от числа отказов в 2018 году</w:t>
            </w:r>
          </w:p>
        </w:tc>
        <w:tc>
          <w:tcPr>
            <w:tcW w:w="598" w:type="dxa"/>
            <w:tcBorders>
              <w:top w:val="nil"/>
              <w:left w:val="nil"/>
              <w:bottom w:val="single" w:sz="4" w:space="0" w:color="auto"/>
              <w:right w:val="single" w:sz="4" w:space="0" w:color="auto"/>
            </w:tcBorders>
            <w:shd w:val="clear" w:color="auto" w:fill="auto"/>
            <w:vAlign w:val="center"/>
            <w:hideMark/>
          </w:tcPr>
          <w:p w14:paraId="33B9FDB2"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14:paraId="01467461"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16" w:type="dxa"/>
            <w:tcBorders>
              <w:top w:val="nil"/>
              <w:left w:val="nil"/>
              <w:bottom w:val="single" w:sz="4" w:space="0" w:color="auto"/>
              <w:right w:val="single" w:sz="4" w:space="0" w:color="auto"/>
            </w:tcBorders>
            <w:shd w:val="clear" w:color="auto" w:fill="auto"/>
            <w:vAlign w:val="center"/>
            <w:hideMark/>
          </w:tcPr>
          <w:p w14:paraId="06EB5CA2"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31.12.17</w:t>
            </w:r>
          </w:p>
        </w:tc>
        <w:tc>
          <w:tcPr>
            <w:tcW w:w="776" w:type="dxa"/>
            <w:tcBorders>
              <w:top w:val="nil"/>
              <w:left w:val="nil"/>
              <w:bottom w:val="single" w:sz="4" w:space="0" w:color="auto"/>
              <w:right w:val="single" w:sz="4" w:space="0" w:color="auto"/>
            </w:tcBorders>
            <w:shd w:val="clear" w:color="auto" w:fill="auto"/>
            <w:vAlign w:val="center"/>
            <w:hideMark/>
          </w:tcPr>
          <w:p w14:paraId="0E4D7535"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c>
          <w:tcPr>
            <w:tcW w:w="922" w:type="dxa"/>
            <w:tcBorders>
              <w:top w:val="nil"/>
              <w:left w:val="nil"/>
              <w:bottom w:val="single" w:sz="4" w:space="0" w:color="auto"/>
              <w:right w:val="single" w:sz="4" w:space="0" w:color="auto"/>
            </w:tcBorders>
            <w:shd w:val="clear" w:color="auto" w:fill="auto"/>
            <w:vAlign w:val="center"/>
            <w:hideMark/>
          </w:tcPr>
          <w:p w14:paraId="4C961804"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single" w:sz="4" w:space="0" w:color="auto"/>
              <w:right w:val="double" w:sz="6" w:space="0" w:color="auto"/>
            </w:tcBorders>
            <w:shd w:val="clear" w:color="auto" w:fill="auto"/>
            <w:vAlign w:val="center"/>
            <w:hideMark/>
          </w:tcPr>
          <w:p w14:paraId="35244046"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p>
        </w:tc>
      </w:tr>
      <w:tr w:rsidR="00A91C23" w:rsidRPr="00A53AD7" w14:paraId="60FD7CC7" w14:textId="77777777" w:rsidTr="00976DCD">
        <w:trPr>
          <w:trHeight w:hRule="exact" w:val="1140"/>
        </w:trPr>
        <w:tc>
          <w:tcPr>
            <w:tcW w:w="4003" w:type="dxa"/>
            <w:tcBorders>
              <w:top w:val="nil"/>
              <w:left w:val="double" w:sz="6" w:space="0" w:color="auto"/>
              <w:bottom w:val="double" w:sz="6" w:space="0" w:color="auto"/>
              <w:right w:val="single" w:sz="4" w:space="0" w:color="auto"/>
            </w:tcBorders>
            <w:shd w:val="clear" w:color="auto" w:fill="auto"/>
            <w:vAlign w:val="center"/>
            <w:hideMark/>
          </w:tcPr>
          <w:p w14:paraId="2429BB26" w14:textId="77777777" w:rsidR="00A91C23" w:rsidRPr="00A53AD7" w:rsidRDefault="00A91C23" w:rsidP="00D13C6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внутриведомственного и межведомственного юридически значимого электронного документооборота государственных и муниципальных органов и бюджетных учреждений</w:t>
            </w:r>
          </w:p>
        </w:tc>
        <w:tc>
          <w:tcPr>
            <w:tcW w:w="598" w:type="dxa"/>
            <w:tcBorders>
              <w:top w:val="nil"/>
              <w:left w:val="nil"/>
              <w:bottom w:val="double" w:sz="6" w:space="0" w:color="auto"/>
              <w:right w:val="single" w:sz="4" w:space="0" w:color="auto"/>
            </w:tcBorders>
            <w:shd w:val="clear" w:color="auto" w:fill="auto"/>
            <w:vAlign w:val="center"/>
            <w:hideMark/>
          </w:tcPr>
          <w:p w14:paraId="6FFD64D6"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33" w:type="dxa"/>
            <w:tcBorders>
              <w:top w:val="nil"/>
              <w:left w:val="nil"/>
              <w:bottom w:val="double" w:sz="6" w:space="0" w:color="auto"/>
              <w:right w:val="single" w:sz="4" w:space="0" w:color="auto"/>
            </w:tcBorders>
            <w:shd w:val="clear" w:color="auto" w:fill="auto"/>
            <w:vAlign w:val="center"/>
            <w:hideMark/>
          </w:tcPr>
          <w:p w14:paraId="6712633F"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16" w:type="dxa"/>
            <w:tcBorders>
              <w:top w:val="nil"/>
              <w:left w:val="nil"/>
              <w:bottom w:val="double" w:sz="6" w:space="0" w:color="auto"/>
              <w:right w:val="single" w:sz="4" w:space="0" w:color="auto"/>
            </w:tcBorders>
            <w:shd w:val="clear" w:color="auto" w:fill="auto"/>
            <w:vAlign w:val="center"/>
            <w:hideMark/>
          </w:tcPr>
          <w:p w14:paraId="47764B51"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31.12.17</w:t>
            </w:r>
          </w:p>
        </w:tc>
        <w:tc>
          <w:tcPr>
            <w:tcW w:w="776" w:type="dxa"/>
            <w:tcBorders>
              <w:top w:val="nil"/>
              <w:left w:val="nil"/>
              <w:bottom w:val="double" w:sz="6" w:space="0" w:color="auto"/>
              <w:right w:val="single" w:sz="4" w:space="0" w:color="auto"/>
            </w:tcBorders>
            <w:shd w:val="clear" w:color="auto" w:fill="auto"/>
            <w:vAlign w:val="center"/>
            <w:hideMark/>
          </w:tcPr>
          <w:p w14:paraId="20343DB1"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22" w:type="dxa"/>
            <w:tcBorders>
              <w:top w:val="nil"/>
              <w:left w:val="nil"/>
              <w:bottom w:val="double" w:sz="6" w:space="0" w:color="auto"/>
              <w:right w:val="single" w:sz="4" w:space="0" w:color="auto"/>
            </w:tcBorders>
            <w:shd w:val="clear" w:color="auto" w:fill="auto"/>
            <w:vAlign w:val="center"/>
            <w:hideMark/>
          </w:tcPr>
          <w:p w14:paraId="0F2F6BEC" w14:textId="77777777" w:rsidR="00A91C23" w:rsidRPr="00A53AD7" w:rsidRDefault="00A91C23" w:rsidP="00D13C6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68" w:type="dxa"/>
            <w:tcBorders>
              <w:top w:val="nil"/>
              <w:left w:val="nil"/>
              <w:bottom w:val="double" w:sz="6" w:space="0" w:color="auto"/>
              <w:right w:val="double" w:sz="6" w:space="0" w:color="auto"/>
            </w:tcBorders>
            <w:shd w:val="clear" w:color="auto" w:fill="auto"/>
            <w:vAlign w:val="center"/>
            <w:hideMark/>
          </w:tcPr>
          <w:p w14:paraId="294BEE30" w14:textId="77777777" w:rsidR="00A91C23" w:rsidRPr="00A53AD7" w:rsidRDefault="00A91C23" w:rsidP="00D13C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 </w:t>
            </w:r>
          </w:p>
        </w:tc>
      </w:tr>
    </w:tbl>
    <w:p w14:paraId="1FDE48F3" w14:textId="77777777" w:rsidR="003E3B8F" w:rsidRPr="00A53AD7" w:rsidRDefault="003E3B8F" w:rsidP="00A91C23">
      <w:pPr>
        <w:spacing w:after="0" w:line="240" w:lineRule="auto"/>
        <w:ind w:firstLine="851"/>
        <w:jc w:val="both"/>
        <w:rPr>
          <w:rFonts w:ascii="Times New Roman" w:hAnsi="Times New Roman"/>
          <w:sz w:val="28"/>
          <w:szCs w:val="28"/>
        </w:rPr>
      </w:pPr>
    </w:p>
    <w:p w14:paraId="57848EDF" w14:textId="77777777" w:rsidR="00976DCD" w:rsidRPr="00A53AD7" w:rsidRDefault="00976DCD" w:rsidP="00976DCD">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в приведенной выше таблице, плановые значения целевых показателей реализации указанных выше региональных проектов на 2019 год предусмотрены только по проекту «Информационная инфраструктура», которые за 2019 год достигнуты.</w:t>
      </w:r>
    </w:p>
    <w:p w14:paraId="63C26DE5" w14:textId="777777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Следует отметить, что в паспорте регионального проекта «Цифровое государственное управление» на 2019 год предусмотрено 100-процентное достижение целевого показателя «Доля отказов при предоставлении приоритетных государственных услуг и сервисов от числа отказов в 2018 году». </w:t>
      </w:r>
    </w:p>
    <w:p w14:paraId="35B9845C" w14:textId="77777777" w:rsidR="009D2EF1" w:rsidRPr="00A53AD7" w:rsidRDefault="009D2EF1" w:rsidP="009D2EF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данного проекта «В соответствии с дополнительным соглашением к Соглашению о реализации регионального проекта «Цифровое государственное управление» на территории Архангельской области от 26.11.2019 № 071-2019-D6001-29/2 значение показателя было изменено с 95 на 100 процентов, что соответствует нулевым параметрам значения по отношению к базовому периоду».</w:t>
      </w:r>
    </w:p>
    <w:p w14:paraId="2E8D833E" w14:textId="3378B6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отчетам о ходе реализации региональных проектов за 2019 год ключевые риски отсутствуют и все контрольные точки достигнуты.</w:t>
      </w:r>
    </w:p>
    <w:p w14:paraId="05F09F1E" w14:textId="77777777" w:rsidR="00A91C23" w:rsidRPr="00A53AD7" w:rsidRDefault="00A91C23" w:rsidP="00A91C2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отчетным данным за 2019 год статус достижения результатов (контрольных точек) представлен следующими сведениями:</w:t>
      </w:r>
    </w:p>
    <w:p w14:paraId="7B150136" w14:textId="34675A21" w:rsidR="00A91C23" w:rsidRPr="00A53AD7" w:rsidRDefault="003B22CA" w:rsidP="00CA1DDD">
      <w:pPr>
        <w:pStyle w:val="a8"/>
        <w:numPr>
          <w:ilvl w:val="0"/>
          <w:numId w:val="35"/>
        </w:numPr>
        <w:ind w:left="0" w:firstLine="851"/>
        <w:jc w:val="both"/>
        <w:rPr>
          <w:sz w:val="28"/>
          <w:szCs w:val="28"/>
        </w:rPr>
      </w:pPr>
      <w:r w:rsidRPr="00A53AD7">
        <w:rPr>
          <w:sz w:val="28"/>
          <w:szCs w:val="28"/>
        </w:rPr>
        <w:t xml:space="preserve">оказано содействие </w:t>
      </w:r>
      <w:r w:rsidR="00A91C23" w:rsidRPr="00A53AD7">
        <w:rPr>
          <w:sz w:val="28"/>
          <w:szCs w:val="28"/>
        </w:rPr>
        <w:t>подключению к сети Интернет (за счет федерального бюджета) органов государственной власти, органов местного самоуправления и государственных внебюджетных фондов, расположенных на территории Архангельской области</w:t>
      </w:r>
      <w:r w:rsidR="00427D3E" w:rsidRPr="00A53AD7">
        <w:rPr>
          <w:sz w:val="28"/>
          <w:szCs w:val="28"/>
        </w:rPr>
        <w:t xml:space="preserve"> </w:t>
      </w:r>
      <w:r w:rsidR="00A91C23" w:rsidRPr="00A53AD7">
        <w:rPr>
          <w:sz w:val="28"/>
          <w:szCs w:val="28"/>
        </w:rPr>
        <w:t>(региональный проект «Информационная инфраструктура»)</w:t>
      </w:r>
      <w:r w:rsidR="003D7FC9" w:rsidRPr="00A53AD7">
        <w:rPr>
          <w:sz w:val="28"/>
          <w:szCs w:val="28"/>
        </w:rPr>
        <w:t xml:space="preserve">. См. выше таблицу </w:t>
      </w:r>
      <w:r w:rsidR="003B12F8" w:rsidRPr="00A53AD7">
        <w:rPr>
          <w:sz w:val="28"/>
          <w:szCs w:val="28"/>
        </w:rPr>
        <w:t>64</w:t>
      </w:r>
      <w:r w:rsidR="00A91C23" w:rsidRPr="00A53AD7">
        <w:rPr>
          <w:sz w:val="28"/>
          <w:szCs w:val="28"/>
        </w:rPr>
        <w:t>;</w:t>
      </w:r>
    </w:p>
    <w:p w14:paraId="6FDC611C" w14:textId="41E04330" w:rsidR="00A91C23" w:rsidRPr="00A53AD7" w:rsidRDefault="00A91C23" w:rsidP="00CA1DDD">
      <w:pPr>
        <w:pStyle w:val="a8"/>
        <w:numPr>
          <w:ilvl w:val="0"/>
          <w:numId w:val="35"/>
        </w:numPr>
        <w:ind w:left="0" w:firstLine="851"/>
        <w:jc w:val="both"/>
        <w:rPr>
          <w:sz w:val="28"/>
          <w:szCs w:val="28"/>
        </w:rPr>
      </w:pPr>
      <w:r w:rsidRPr="00A53AD7">
        <w:rPr>
          <w:sz w:val="28"/>
          <w:szCs w:val="28"/>
        </w:rPr>
        <w:t>оказано содействие подключению к сети Интернет (за счет средств федерального бюджета) социально значимых объектов, в том числе: фельдшерско-акушерских пунктов, государственных и муниципальных образовательных организаций, пожарных частей (постов), участковых пунктов полиции, территориальных органов Росгвардии, расположенных на территории Архангельской области (региональный проект «Информационная инфраструктура»)</w:t>
      </w:r>
      <w:r w:rsidR="003D7FC9" w:rsidRPr="00A53AD7">
        <w:rPr>
          <w:sz w:val="28"/>
          <w:szCs w:val="28"/>
        </w:rPr>
        <w:t xml:space="preserve">. См. выше таблицу </w:t>
      </w:r>
      <w:r w:rsidR="003B12F8" w:rsidRPr="00A53AD7">
        <w:rPr>
          <w:sz w:val="28"/>
          <w:szCs w:val="28"/>
        </w:rPr>
        <w:t>64</w:t>
      </w:r>
      <w:r w:rsidRPr="00A53AD7">
        <w:rPr>
          <w:sz w:val="28"/>
          <w:szCs w:val="28"/>
        </w:rPr>
        <w:t>;</w:t>
      </w:r>
    </w:p>
    <w:p w14:paraId="64828696" w14:textId="7216E1DF" w:rsidR="00A91C23" w:rsidRPr="00A53AD7" w:rsidRDefault="008846F8" w:rsidP="00CA1DDD">
      <w:pPr>
        <w:pStyle w:val="a8"/>
        <w:numPr>
          <w:ilvl w:val="0"/>
          <w:numId w:val="35"/>
        </w:numPr>
        <w:ind w:left="0" w:firstLine="851"/>
        <w:jc w:val="both"/>
        <w:rPr>
          <w:sz w:val="28"/>
          <w:szCs w:val="28"/>
        </w:rPr>
      </w:pPr>
      <w:r w:rsidRPr="00A53AD7">
        <w:rPr>
          <w:sz w:val="28"/>
          <w:szCs w:val="28"/>
        </w:rPr>
        <w:t xml:space="preserve">ведется работа </w:t>
      </w:r>
      <w:r w:rsidR="00350661" w:rsidRPr="00A53AD7">
        <w:rPr>
          <w:sz w:val="28"/>
          <w:szCs w:val="28"/>
        </w:rPr>
        <w:t xml:space="preserve">по </w:t>
      </w:r>
      <w:r w:rsidR="00A91C23" w:rsidRPr="00A53AD7">
        <w:rPr>
          <w:sz w:val="28"/>
          <w:szCs w:val="28"/>
        </w:rPr>
        <w:t>приобретени</w:t>
      </w:r>
      <w:r w:rsidR="00350661" w:rsidRPr="00A53AD7">
        <w:rPr>
          <w:sz w:val="28"/>
          <w:szCs w:val="28"/>
        </w:rPr>
        <w:t>ю</w:t>
      </w:r>
      <w:r w:rsidR="00A91C23" w:rsidRPr="00A53AD7">
        <w:rPr>
          <w:sz w:val="28"/>
          <w:szCs w:val="28"/>
        </w:rPr>
        <w:t xml:space="preserve"> и использование исполнительными органами государственной власти Архангельской области, подведомственными им учреждениями, органами местного самоуправления Архангельской области и подведомственными им организациями преимущественно отечественного программного обеспечения (региональный проект «Информационная безопасность»)</w:t>
      </w:r>
      <w:r w:rsidR="00BB1D27" w:rsidRPr="00A53AD7">
        <w:rPr>
          <w:sz w:val="28"/>
          <w:szCs w:val="28"/>
        </w:rPr>
        <w:t>. Контрол</w:t>
      </w:r>
      <w:r w:rsidR="009B3388" w:rsidRPr="00A53AD7">
        <w:rPr>
          <w:sz w:val="28"/>
          <w:szCs w:val="28"/>
        </w:rPr>
        <w:t>ь</w:t>
      </w:r>
      <w:r w:rsidR="00BB1D27" w:rsidRPr="00A53AD7">
        <w:rPr>
          <w:sz w:val="28"/>
          <w:szCs w:val="28"/>
        </w:rPr>
        <w:t>ная точка – 31.12.2020.</w:t>
      </w:r>
    </w:p>
    <w:p w14:paraId="6CE26DE8" w14:textId="6D19CABE" w:rsidR="00BB1D27" w:rsidRPr="00A53AD7" w:rsidRDefault="00BB1D27" w:rsidP="00B376C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w:t>
      </w:r>
      <w:r w:rsidR="00B376CE" w:rsidRPr="00A53AD7">
        <w:rPr>
          <w:rFonts w:ascii="Times New Roman" w:hAnsi="Times New Roman"/>
          <w:sz w:val="28"/>
          <w:szCs w:val="28"/>
        </w:rPr>
        <w:t>:</w:t>
      </w:r>
    </w:p>
    <w:p w14:paraId="78A35447" w14:textId="106BEB4F" w:rsidR="00B376CE" w:rsidRPr="00A53AD7" w:rsidRDefault="00B376CE" w:rsidP="00B376CE">
      <w:pPr>
        <w:spacing w:after="0" w:line="240" w:lineRule="auto"/>
        <w:ind w:firstLine="851"/>
        <w:jc w:val="both"/>
        <w:rPr>
          <w:rFonts w:ascii="Times New Roman" w:hAnsi="Times New Roman"/>
          <w:sz w:val="28"/>
          <w:szCs w:val="28"/>
        </w:rPr>
      </w:pPr>
      <w:r w:rsidRPr="00A53AD7">
        <w:rPr>
          <w:rFonts w:ascii="Times New Roman" w:hAnsi="Times New Roman"/>
          <w:sz w:val="28"/>
          <w:szCs w:val="28"/>
        </w:rPr>
        <w:t>а) про</w:t>
      </w:r>
      <w:r w:rsidR="007007A9" w:rsidRPr="00A53AD7">
        <w:rPr>
          <w:rFonts w:ascii="Times New Roman" w:hAnsi="Times New Roman"/>
          <w:sz w:val="28"/>
          <w:szCs w:val="28"/>
        </w:rPr>
        <w:t>из</w:t>
      </w:r>
      <w:r w:rsidRPr="00A53AD7">
        <w:rPr>
          <w:rFonts w:ascii="Times New Roman" w:hAnsi="Times New Roman"/>
          <w:sz w:val="28"/>
          <w:szCs w:val="28"/>
        </w:rPr>
        <w:t>веден расчет стоимости перехода исполнительных органов государственной власти Архангельской области и подведомственных им государственных учреждений Архангельской области на использование отечественной операционной системы и пакета офисных приложений</w:t>
      </w:r>
      <w:r w:rsidR="00430DB6" w:rsidRPr="00A53AD7">
        <w:rPr>
          <w:rFonts w:ascii="Times New Roman" w:hAnsi="Times New Roman"/>
          <w:sz w:val="28"/>
          <w:szCs w:val="28"/>
        </w:rPr>
        <w:t xml:space="preserve">, согласно которому </w:t>
      </w:r>
      <w:r w:rsidR="00702405" w:rsidRPr="00A53AD7">
        <w:rPr>
          <w:rFonts w:ascii="Times New Roman" w:hAnsi="Times New Roman"/>
          <w:sz w:val="28"/>
          <w:szCs w:val="28"/>
        </w:rPr>
        <w:t>стоимость перехода исполнительных органов государственной власти Архангельской области, органов местного самоуправления, государственных и муниципальных учреждений до 2024 года составит 404,9 млн.руб.;</w:t>
      </w:r>
    </w:p>
    <w:p w14:paraId="69A87936" w14:textId="18B47DEE" w:rsidR="00702405" w:rsidRPr="00A53AD7" w:rsidRDefault="00702405" w:rsidP="00B376C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 </w:t>
      </w:r>
      <w:r w:rsidR="007007A9" w:rsidRPr="00A53AD7">
        <w:rPr>
          <w:rFonts w:ascii="Times New Roman" w:hAnsi="Times New Roman"/>
          <w:sz w:val="28"/>
          <w:szCs w:val="28"/>
        </w:rPr>
        <w:t>произведен выбор отечественной операционной системы для исполнительных органов государственной власти Архангельской области и подведомственных им государственных учреждений Архангельской области: министерством связи Архангельской области рекомендована операционная система</w:t>
      </w:r>
      <w:r w:rsidR="00336D07" w:rsidRPr="00A53AD7">
        <w:rPr>
          <w:rFonts w:ascii="Times New Roman" w:hAnsi="Times New Roman"/>
          <w:sz w:val="28"/>
          <w:szCs w:val="28"/>
        </w:rPr>
        <w:t xml:space="preserve"> РедОС и пакет офисных приложений Р7-офис по причине низкой стоимости лицензии и наличия всех необходимых функциональных возможностей</w:t>
      </w:r>
      <w:r w:rsidR="00A75651" w:rsidRPr="00A53AD7">
        <w:rPr>
          <w:rFonts w:ascii="Times New Roman" w:hAnsi="Times New Roman"/>
          <w:sz w:val="28"/>
          <w:szCs w:val="28"/>
        </w:rPr>
        <w:t>;</w:t>
      </w:r>
    </w:p>
    <w:p w14:paraId="7E720E51" w14:textId="77777777" w:rsidR="00A91C23" w:rsidRPr="00A53AD7" w:rsidRDefault="00A91C23" w:rsidP="00CA1DDD">
      <w:pPr>
        <w:pStyle w:val="a8"/>
        <w:numPr>
          <w:ilvl w:val="0"/>
          <w:numId w:val="35"/>
        </w:numPr>
        <w:ind w:left="0" w:firstLine="851"/>
        <w:jc w:val="both"/>
        <w:rPr>
          <w:sz w:val="28"/>
          <w:szCs w:val="28"/>
        </w:rPr>
      </w:pPr>
      <w:r w:rsidRPr="00A53AD7">
        <w:rPr>
          <w:sz w:val="28"/>
          <w:szCs w:val="28"/>
        </w:rPr>
        <w:t>используется федеральная государственная информационная система «Единая информационная система управления кадровым составом государственной гражданской службы Российской Федерации» (региональный проект «Цифровое государственное управление»);</w:t>
      </w:r>
    </w:p>
    <w:p w14:paraId="1B7E5145" w14:textId="182A0979" w:rsidR="00A91C23" w:rsidRPr="00A53AD7" w:rsidRDefault="00A91C23" w:rsidP="00CA1DDD">
      <w:pPr>
        <w:pStyle w:val="a8"/>
        <w:numPr>
          <w:ilvl w:val="0"/>
          <w:numId w:val="35"/>
        </w:numPr>
        <w:ind w:left="0" w:firstLine="851"/>
        <w:jc w:val="both"/>
        <w:rPr>
          <w:sz w:val="28"/>
          <w:szCs w:val="28"/>
        </w:rPr>
      </w:pPr>
      <w:r w:rsidRPr="00A53AD7">
        <w:rPr>
          <w:sz w:val="28"/>
          <w:szCs w:val="28"/>
        </w:rPr>
        <w:t xml:space="preserve">обеспечено </w:t>
      </w:r>
      <w:r w:rsidR="0018345F" w:rsidRPr="00A53AD7">
        <w:rPr>
          <w:sz w:val="28"/>
          <w:szCs w:val="28"/>
        </w:rPr>
        <w:t>использование</w:t>
      </w:r>
      <w:r w:rsidRPr="00A53AD7">
        <w:rPr>
          <w:sz w:val="28"/>
          <w:szCs w:val="28"/>
        </w:rPr>
        <w:t xml:space="preserve"> Платформы исполнения государственных функций, в том числе при осуществлении контрольной (надзорной) деятельности, включающей создание, развитие и функционирование единого реестра обязательных требований, типового облачного решения по автоматизации контрольной (надзорной) деятельности, в целях обеспечения управления деятельностью сотрудников государственных органов</w:t>
      </w:r>
      <w:r w:rsidR="004033B4" w:rsidRPr="00A53AD7">
        <w:rPr>
          <w:sz w:val="28"/>
          <w:szCs w:val="28"/>
        </w:rPr>
        <w:t>.</w:t>
      </w:r>
      <w:r w:rsidR="00E46634" w:rsidRPr="00A53AD7">
        <w:rPr>
          <w:sz w:val="28"/>
          <w:szCs w:val="28"/>
        </w:rPr>
        <w:t xml:space="preserve"> </w:t>
      </w:r>
      <w:r w:rsidR="004033B4" w:rsidRPr="00A53AD7">
        <w:rPr>
          <w:sz w:val="28"/>
          <w:szCs w:val="28"/>
        </w:rPr>
        <w:t>Обеспечен</w:t>
      </w:r>
      <w:r w:rsidR="003B50EA" w:rsidRPr="00A53AD7">
        <w:rPr>
          <w:sz w:val="28"/>
          <w:szCs w:val="28"/>
        </w:rPr>
        <w:t>о</w:t>
      </w:r>
      <w:r w:rsidR="004033B4" w:rsidRPr="00A53AD7">
        <w:rPr>
          <w:sz w:val="28"/>
          <w:szCs w:val="28"/>
        </w:rPr>
        <w:t xml:space="preserve"> интеграци</w:t>
      </w:r>
      <w:r w:rsidR="003B50EA" w:rsidRPr="00A53AD7">
        <w:rPr>
          <w:sz w:val="28"/>
          <w:szCs w:val="28"/>
        </w:rPr>
        <w:t>я</w:t>
      </w:r>
      <w:r w:rsidR="004033B4" w:rsidRPr="00A53AD7">
        <w:rPr>
          <w:sz w:val="28"/>
          <w:szCs w:val="28"/>
        </w:rPr>
        <w:t xml:space="preserve"> информационной кадровой системы Архангельской области и ФГИС ЕИСУКС ГГС РФ для загрузки электронных личных дел сотрудников органов государственной власти Архангельской области</w:t>
      </w:r>
      <w:r w:rsidR="009F4D47" w:rsidRPr="00A53AD7">
        <w:rPr>
          <w:sz w:val="28"/>
          <w:szCs w:val="28"/>
        </w:rPr>
        <w:t xml:space="preserve">. </w:t>
      </w:r>
      <w:r w:rsidR="009F4D47" w:rsidRPr="00A53AD7">
        <w:rPr>
          <w:spacing w:val="-2"/>
          <w:sz w:val="28"/>
          <w:szCs w:val="28"/>
        </w:rPr>
        <w:t>ГИС ТОР КНД определена в качестве обязательной для использования региональными органами контроля (надзора) при цифровизации основных процессов осуществления государственного контроля (надзора).</w:t>
      </w:r>
      <w:r w:rsidR="004033B4" w:rsidRPr="00A53AD7">
        <w:rPr>
          <w:sz w:val="28"/>
          <w:szCs w:val="28"/>
        </w:rPr>
        <w:t xml:space="preserve"> </w:t>
      </w:r>
      <w:r w:rsidRPr="00A53AD7">
        <w:rPr>
          <w:sz w:val="28"/>
          <w:szCs w:val="28"/>
        </w:rPr>
        <w:t>(региональный проект «Цифровое государственное управление»).</w:t>
      </w:r>
    </w:p>
    <w:p w14:paraId="1E45BAF1" w14:textId="77777777" w:rsidR="0079143B" w:rsidRPr="00A53AD7" w:rsidRDefault="0079143B" w:rsidP="0079143B">
      <w:pPr>
        <w:spacing w:after="0" w:line="240" w:lineRule="auto"/>
        <w:ind w:firstLine="851"/>
        <w:jc w:val="both"/>
        <w:rPr>
          <w:rFonts w:ascii="Times New Roman" w:hAnsi="Times New Roman"/>
          <w:sz w:val="28"/>
          <w:szCs w:val="28"/>
        </w:rPr>
      </w:pPr>
    </w:p>
    <w:p w14:paraId="236417BC" w14:textId="5203D1D3" w:rsidR="0079143B" w:rsidRPr="00A53AD7" w:rsidRDefault="0079143B" w:rsidP="0079143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Поскольку паспорт национального проекта утвержден лишь 04.06.2019</w:t>
      </w:r>
      <w:r w:rsidR="00622A1B" w:rsidRPr="00A53AD7">
        <w:rPr>
          <w:rFonts w:ascii="Times New Roman" w:hAnsi="Times New Roman"/>
          <w:sz w:val="28"/>
          <w:szCs w:val="28"/>
        </w:rPr>
        <w:t xml:space="preserve">, </w:t>
      </w:r>
      <w:r w:rsidR="009E3022" w:rsidRPr="00A53AD7">
        <w:rPr>
          <w:rFonts w:ascii="Times New Roman" w:hAnsi="Times New Roman"/>
          <w:sz w:val="28"/>
          <w:szCs w:val="28"/>
        </w:rPr>
        <w:t xml:space="preserve">а соглашения </w:t>
      </w:r>
      <w:r w:rsidR="00AD3864" w:rsidRPr="00A53AD7">
        <w:rPr>
          <w:rFonts w:ascii="Times New Roman" w:hAnsi="Times New Roman"/>
          <w:sz w:val="28"/>
          <w:szCs w:val="28"/>
        </w:rPr>
        <w:t xml:space="preserve">на реализацию региональных проектов заключены во второй половине июля 2019 года, </w:t>
      </w:r>
      <w:r w:rsidR="00622A1B" w:rsidRPr="00A53AD7">
        <w:rPr>
          <w:rFonts w:ascii="Times New Roman" w:hAnsi="Times New Roman"/>
          <w:sz w:val="28"/>
          <w:szCs w:val="28"/>
        </w:rPr>
        <w:t xml:space="preserve">то </w:t>
      </w:r>
      <w:r w:rsidR="00AD3864" w:rsidRPr="00A53AD7">
        <w:rPr>
          <w:rFonts w:ascii="Times New Roman" w:hAnsi="Times New Roman"/>
          <w:sz w:val="28"/>
          <w:szCs w:val="28"/>
        </w:rPr>
        <w:t>за менее чем шесть</w:t>
      </w:r>
      <w:r w:rsidR="00622A1B" w:rsidRPr="00A53AD7">
        <w:rPr>
          <w:rFonts w:ascii="Times New Roman" w:hAnsi="Times New Roman"/>
          <w:sz w:val="28"/>
          <w:szCs w:val="28"/>
        </w:rPr>
        <w:t xml:space="preserve"> месяцев его реализации в 2019 году делать вывод о рисках недостижения запланированных показателей</w:t>
      </w:r>
      <w:r w:rsidR="00FF3B97" w:rsidRPr="00A53AD7">
        <w:rPr>
          <w:rFonts w:ascii="Times New Roman" w:hAnsi="Times New Roman"/>
          <w:sz w:val="28"/>
          <w:szCs w:val="28"/>
        </w:rPr>
        <w:t xml:space="preserve"> преждевременно.</w:t>
      </w:r>
    </w:p>
    <w:p w14:paraId="73735788" w14:textId="77777777" w:rsidR="0079143B" w:rsidRPr="00A53AD7" w:rsidRDefault="0079143B" w:rsidP="0079143B">
      <w:pPr>
        <w:spacing w:after="0" w:line="240" w:lineRule="auto"/>
        <w:ind w:firstLine="851"/>
        <w:jc w:val="both"/>
        <w:rPr>
          <w:rFonts w:ascii="Times New Roman" w:hAnsi="Times New Roman"/>
          <w:sz w:val="28"/>
          <w:szCs w:val="28"/>
        </w:rPr>
      </w:pPr>
    </w:p>
    <w:p w14:paraId="707AB6C1" w14:textId="5D92F493" w:rsidR="00DE2EB8" w:rsidRPr="00A53AD7" w:rsidRDefault="00A150A8" w:rsidP="00A150A8">
      <w:pPr>
        <w:keepNext/>
        <w:spacing w:before="240" w:after="60" w:line="240" w:lineRule="auto"/>
        <w:jc w:val="center"/>
        <w:outlineLvl w:val="2"/>
        <w:rPr>
          <w:rFonts w:ascii="Times New Roman" w:eastAsia="Times New Roman" w:hAnsi="Times New Roman"/>
          <w:bCs/>
          <w:sz w:val="28"/>
          <w:szCs w:val="28"/>
          <w:u w:val="single"/>
          <w:lang w:eastAsia="ru-RU"/>
        </w:rPr>
      </w:pPr>
      <w:bookmarkStart w:id="107" w:name="_Toc42006747"/>
      <w:r w:rsidRPr="00A53AD7">
        <w:rPr>
          <w:rFonts w:ascii="Times New Roman" w:eastAsia="Times New Roman" w:hAnsi="Times New Roman"/>
          <w:bCs/>
          <w:sz w:val="28"/>
          <w:szCs w:val="28"/>
          <w:u w:val="single"/>
          <w:lang w:eastAsia="ru-RU"/>
        </w:rPr>
        <w:t>4.</w:t>
      </w:r>
      <w:r w:rsidR="006B7638" w:rsidRPr="00A53AD7">
        <w:rPr>
          <w:rFonts w:ascii="Times New Roman" w:eastAsia="Times New Roman" w:hAnsi="Times New Roman"/>
          <w:bCs/>
          <w:sz w:val="28"/>
          <w:szCs w:val="28"/>
          <w:u w:val="single"/>
          <w:lang w:eastAsia="ru-RU"/>
        </w:rPr>
        <w:t>6</w:t>
      </w:r>
      <w:r w:rsidRPr="00A53AD7">
        <w:rPr>
          <w:rFonts w:ascii="Times New Roman" w:eastAsia="Times New Roman" w:hAnsi="Times New Roman"/>
          <w:bCs/>
          <w:sz w:val="28"/>
          <w:szCs w:val="28"/>
          <w:u w:val="single"/>
          <w:lang w:eastAsia="ru-RU"/>
        </w:rPr>
        <w:t>.2. Комплексный план модернизации и расширения магистральной инфраструктуры</w:t>
      </w:r>
      <w:bookmarkEnd w:id="107"/>
    </w:p>
    <w:p w14:paraId="43C9EDC9" w14:textId="54398B7C" w:rsidR="00A150A8" w:rsidRPr="00A53AD7" w:rsidRDefault="00B50A14" w:rsidP="001A777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рамках комплексного плана модернизации и расширения магистральной инфраструктуры в Архангельской области реализуется региональный проект «Развитие региональных аэропортов и маршрутов» </w:t>
      </w:r>
      <w:r w:rsidR="0094541D" w:rsidRPr="00A53AD7">
        <w:rPr>
          <w:rFonts w:ascii="Times New Roman" w:hAnsi="Times New Roman"/>
          <w:sz w:val="28"/>
          <w:szCs w:val="28"/>
        </w:rPr>
        <w:t>(Архангельская область).</w:t>
      </w:r>
    </w:p>
    <w:p w14:paraId="267EDB4D" w14:textId="77777777" w:rsidR="009F2CC5" w:rsidRPr="00A53AD7" w:rsidRDefault="009F2CC5" w:rsidP="009F2CC5">
      <w:pPr>
        <w:spacing w:after="0" w:line="240" w:lineRule="auto"/>
        <w:jc w:val="center"/>
        <w:rPr>
          <w:rFonts w:ascii="Times New Roman" w:hAnsi="Times New Roman"/>
          <w:sz w:val="28"/>
          <w:szCs w:val="28"/>
        </w:rPr>
      </w:pPr>
    </w:p>
    <w:p w14:paraId="51C38105" w14:textId="73EEAD64" w:rsidR="0094541D" w:rsidRPr="00A53AD7" w:rsidRDefault="009F2CC5" w:rsidP="009F2CC5">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«Развитие региональных аэропортов и маршрутов» (Архангельская область)</w:t>
      </w:r>
    </w:p>
    <w:p w14:paraId="705F1276" w14:textId="185AAE6C" w:rsidR="00C16B57" w:rsidRPr="00A53AD7" w:rsidRDefault="00C16B57" w:rsidP="00C16B5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РП «Развитие региональных аэропортов и маршрутов (Архангельская область)» осуществляется в рамках федерального проекта «Развитие региональных аэропортов и маршрутов», связана с реализацией ГП АО «Развитие инфраструктуры Соловецкого архипелага».</w:t>
      </w:r>
    </w:p>
    <w:p w14:paraId="0A5424FE" w14:textId="2C23F023" w:rsidR="00C16B57" w:rsidRPr="00A53AD7" w:rsidRDefault="00C16B57" w:rsidP="0020203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Согласно паспорту РП «Развитие региональных аэропортов и маршрутов (Архангельская область)» срок реализации проекта - с</w:t>
      </w:r>
      <w:r w:rsidR="00E46634" w:rsidRPr="00A53AD7">
        <w:rPr>
          <w:rFonts w:ascii="Times New Roman" w:hAnsi="Times New Roman"/>
          <w:sz w:val="28"/>
          <w:szCs w:val="28"/>
        </w:rPr>
        <w:t xml:space="preserve"> </w:t>
      </w:r>
      <w:r w:rsidRPr="00A53AD7">
        <w:rPr>
          <w:rFonts w:ascii="Times New Roman" w:hAnsi="Times New Roman"/>
          <w:sz w:val="28"/>
          <w:szCs w:val="28"/>
        </w:rPr>
        <w:t>01.01.2019</w:t>
      </w:r>
      <w:r w:rsidR="00E46634" w:rsidRPr="00A53AD7">
        <w:rPr>
          <w:rFonts w:ascii="Times New Roman" w:hAnsi="Times New Roman"/>
          <w:sz w:val="28"/>
          <w:szCs w:val="28"/>
        </w:rPr>
        <w:t xml:space="preserve"> </w:t>
      </w:r>
      <w:r w:rsidRPr="00A53AD7">
        <w:rPr>
          <w:rFonts w:ascii="Times New Roman" w:hAnsi="Times New Roman"/>
          <w:sz w:val="28"/>
          <w:szCs w:val="28"/>
        </w:rPr>
        <w:t>по 31.12.2021 года.</w:t>
      </w:r>
    </w:p>
    <w:p w14:paraId="591BDBF2" w14:textId="1944F2B7" w:rsidR="00C16B57" w:rsidRPr="00A53AD7" w:rsidRDefault="00C16B57" w:rsidP="0020203B">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Основной целевой показатель данного регионального проекта - количество введенных в эксплуатацию после реконструкции (строительства) взлетно-посадочных полос в количестве 1 единицы. Достижение данного показателя предусмотрено на 2021 год.</w:t>
      </w:r>
      <w:r w:rsidR="00E46634" w:rsidRPr="00A53AD7">
        <w:rPr>
          <w:rFonts w:ascii="Times New Roman" w:hAnsi="Times New Roman"/>
          <w:sz w:val="28"/>
          <w:szCs w:val="28"/>
        </w:rPr>
        <w:t xml:space="preserve"> </w:t>
      </w:r>
      <w:r w:rsidRPr="00A53AD7">
        <w:rPr>
          <w:rFonts w:ascii="Times New Roman" w:hAnsi="Times New Roman"/>
          <w:sz w:val="28"/>
          <w:szCs w:val="28"/>
        </w:rPr>
        <w:t>Результатом регионального проекта должно стать строительство крупного объекта (тип результата), а именно -</w:t>
      </w:r>
      <w:r w:rsidR="00E46634" w:rsidRPr="00A53AD7">
        <w:rPr>
          <w:rFonts w:ascii="Times New Roman" w:hAnsi="Times New Roman"/>
          <w:sz w:val="28"/>
          <w:szCs w:val="28"/>
        </w:rPr>
        <w:t xml:space="preserve"> </w:t>
      </w:r>
      <w:r w:rsidRPr="00A53AD7">
        <w:rPr>
          <w:rFonts w:ascii="Times New Roman" w:hAnsi="Times New Roman"/>
          <w:sz w:val="28"/>
          <w:szCs w:val="28"/>
        </w:rPr>
        <w:t>реконструкция аэропортового комплекса «Соловки», о. Соловецкий, Архангельская область в срок до 31.12.2021.</w:t>
      </w:r>
    </w:p>
    <w:p w14:paraId="1CD1AB2F" w14:textId="6B6EFFC3" w:rsidR="00C16B57" w:rsidRPr="00A53AD7" w:rsidRDefault="00C16B57" w:rsidP="0020203B">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финансового обеспечения реализации регионального проекта на весь период его</w:t>
      </w:r>
      <w:r w:rsidR="00E46634" w:rsidRPr="00A53AD7">
        <w:rPr>
          <w:rFonts w:ascii="Times New Roman" w:hAnsi="Times New Roman"/>
          <w:sz w:val="28"/>
          <w:szCs w:val="28"/>
        </w:rPr>
        <w:t xml:space="preserve"> </w:t>
      </w:r>
      <w:r w:rsidRPr="00A53AD7">
        <w:rPr>
          <w:rFonts w:ascii="Times New Roman" w:hAnsi="Times New Roman"/>
          <w:sz w:val="28"/>
          <w:szCs w:val="28"/>
        </w:rPr>
        <w:t>реализации предусмотрен в сумме 2 444,44 млн.руб., в том числе средства федерального</w:t>
      </w:r>
      <w:r w:rsidR="00E46634" w:rsidRPr="00A53AD7">
        <w:rPr>
          <w:rFonts w:ascii="Times New Roman" w:hAnsi="Times New Roman"/>
          <w:sz w:val="28"/>
          <w:szCs w:val="28"/>
        </w:rPr>
        <w:t xml:space="preserve"> </w:t>
      </w:r>
      <w:r w:rsidR="00E6143A" w:rsidRPr="00A53AD7">
        <w:rPr>
          <w:rFonts w:ascii="Times New Roman" w:hAnsi="Times New Roman"/>
          <w:sz w:val="28"/>
          <w:szCs w:val="28"/>
        </w:rPr>
        <w:t>бюджета – 2 200,00 млн.</w:t>
      </w:r>
      <w:r w:rsidRPr="00A53AD7">
        <w:rPr>
          <w:rFonts w:ascii="Times New Roman" w:hAnsi="Times New Roman"/>
          <w:sz w:val="28"/>
          <w:szCs w:val="28"/>
        </w:rPr>
        <w:t>руб., средства о</w:t>
      </w:r>
      <w:r w:rsidR="00E46634" w:rsidRPr="00A53AD7">
        <w:rPr>
          <w:rFonts w:ascii="Times New Roman" w:hAnsi="Times New Roman"/>
          <w:sz w:val="28"/>
          <w:szCs w:val="28"/>
        </w:rPr>
        <w:t>бластного бюджета – 244,44 млн.</w:t>
      </w:r>
      <w:r w:rsidRPr="00A53AD7">
        <w:rPr>
          <w:rFonts w:ascii="Times New Roman" w:hAnsi="Times New Roman"/>
          <w:sz w:val="28"/>
          <w:szCs w:val="28"/>
        </w:rPr>
        <w:t>руб.</w:t>
      </w:r>
    </w:p>
    <w:p w14:paraId="32A0DC81" w14:textId="6443D017" w:rsidR="00C16B57" w:rsidRPr="00A53AD7" w:rsidRDefault="00C16B57" w:rsidP="00E4663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Соглашением</w:t>
      </w:r>
      <w:r w:rsidR="00E46634" w:rsidRPr="00A53AD7">
        <w:rPr>
          <w:rFonts w:ascii="Times New Roman" w:hAnsi="Times New Roman"/>
          <w:sz w:val="28"/>
          <w:szCs w:val="28"/>
        </w:rPr>
        <w:t xml:space="preserve"> </w:t>
      </w:r>
      <w:r w:rsidRPr="00A53AD7">
        <w:rPr>
          <w:rFonts w:ascii="Times New Roman" w:hAnsi="Times New Roman"/>
          <w:sz w:val="28"/>
          <w:szCs w:val="28"/>
        </w:rPr>
        <w:t>о предоставлении</w:t>
      </w:r>
      <w:r w:rsidR="00E46634" w:rsidRPr="00A53AD7">
        <w:rPr>
          <w:rFonts w:ascii="Times New Roman" w:hAnsi="Times New Roman"/>
          <w:sz w:val="28"/>
          <w:szCs w:val="28"/>
        </w:rPr>
        <w:t xml:space="preserve"> </w:t>
      </w:r>
      <w:r w:rsidRPr="00A53AD7">
        <w:rPr>
          <w:rFonts w:ascii="Times New Roman" w:hAnsi="Times New Roman"/>
          <w:sz w:val="28"/>
          <w:szCs w:val="28"/>
        </w:rPr>
        <w:t>субсидии бюджету Архангельской области</w:t>
      </w:r>
      <w:r w:rsidR="00E46634" w:rsidRPr="00A53AD7">
        <w:rPr>
          <w:rFonts w:ascii="Times New Roman" w:hAnsi="Times New Roman"/>
          <w:sz w:val="28"/>
          <w:szCs w:val="28"/>
        </w:rPr>
        <w:t xml:space="preserve"> </w:t>
      </w:r>
      <w:r w:rsidRPr="00A53AD7">
        <w:rPr>
          <w:rFonts w:ascii="Times New Roman" w:hAnsi="Times New Roman"/>
          <w:sz w:val="28"/>
          <w:szCs w:val="28"/>
        </w:rPr>
        <w:t>из федерального</w:t>
      </w:r>
      <w:r w:rsidR="00E46634" w:rsidRPr="00A53AD7">
        <w:rPr>
          <w:rFonts w:ascii="Times New Roman" w:hAnsi="Times New Roman"/>
          <w:sz w:val="28"/>
          <w:szCs w:val="28"/>
        </w:rPr>
        <w:t xml:space="preserve"> </w:t>
      </w:r>
      <w:r w:rsidRPr="00A53AD7">
        <w:rPr>
          <w:rFonts w:ascii="Times New Roman" w:hAnsi="Times New Roman"/>
          <w:sz w:val="28"/>
          <w:szCs w:val="28"/>
        </w:rPr>
        <w:t>бюджета</w:t>
      </w:r>
      <w:r w:rsidR="00E46634" w:rsidRPr="00A53AD7">
        <w:rPr>
          <w:rFonts w:ascii="Times New Roman" w:hAnsi="Times New Roman"/>
          <w:sz w:val="28"/>
          <w:szCs w:val="28"/>
        </w:rPr>
        <w:t xml:space="preserve"> </w:t>
      </w:r>
      <w:r w:rsidRPr="00A53AD7">
        <w:rPr>
          <w:rFonts w:ascii="Times New Roman" w:hAnsi="Times New Roman"/>
          <w:sz w:val="28"/>
          <w:szCs w:val="28"/>
        </w:rPr>
        <w:t>на софинансирование</w:t>
      </w:r>
      <w:r w:rsidR="00E46634" w:rsidRPr="00A53AD7">
        <w:rPr>
          <w:rFonts w:ascii="Times New Roman" w:hAnsi="Times New Roman"/>
          <w:sz w:val="28"/>
          <w:szCs w:val="28"/>
        </w:rPr>
        <w:t xml:space="preserve"> </w:t>
      </w:r>
      <w:r w:rsidRPr="00A53AD7">
        <w:rPr>
          <w:rFonts w:ascii="Times New Roman" w:hAnsi="Times New Roman"/>
          <w:sz w:val="28"/>
          <w:szCs w:val="28"/>
        </w:rPr>
        <w:t>мероприятия «Реконструкция</w:t>
      </w:r>
      <w:r w:rsidR="00E46634" w:rsidRPr="00A53AD7">
        <w:rPr>
          <w:rFonts w:ascii="Times New Roman" w:hAnsi="Times New Roman"/>
          <w:sz w:val="28"/>
          <w:szCs w:val="28"/>
        </w:rPr>
        <w:t xml:space="preserve"> </w:t>
      </w:r>
      <w:r w:rsidRPr="00A53AD7">
        <w:rPr>
          <w:rFonts w:ascii="Times New Roman" w:hAnsi="Times New Roman"/>
          <w:sz w:val="28"/>
          <w:szCs w:val="28"/>
        </w:rPr>
        <w:t>аэропортового комплекса «Соловки», о. Соловецкий, Архангельская область» от 15.02.2019 № 107-07-2019-001,</w:t>
      </w:r>
      <w:r w:rsidR="00E46634" w:rsidRPr="00A53AD7">
        <w:rPr>
          <w:rFonts w:ascii="Times New Roman" w:hAnsi="Times New Roman"/>
          <w:sz w:val="28"/>
          <w:szCs w:val="28"/>
        </w:rPr>
        <w:t xml:space="preserve"> </w:t>
      </w:r>
      <w:r w:rsidRPr="00A53AD7">
        <w:rPr>
          <w:rFonts w:ascii="Times New Roman" w:hAnsi="Times New Roman"/>
          <w:sz w:val="28"/>
          <w:szCs w:val="28"/>
        </w:rPr>
        <w:t>заключенным между</w:t>
      </w:r>
      <w:r w:rsidR="00E46634" w:rsidRPr="00A53AD7">
        <w:rPr>
          <w:rFonts w:ascii="Times New Roman" w:hAnsi="Times New Roman"/>
          <w:sz w:val="28"/>
          <w:szCs w:val="28"/>
        </w:rPr>
        <w:t xml:space="preserve"> </w:t>
      </w:r>
      <w:r w:rsidRPr="00A53AD7">
        <w:rPr>
          <w:rFonts w:ascii="Times New Roman" w:hAnsi="Times New Roman"/>
          <w:sz w:val="28"/>
          <w:szCs w:val="28"/>
        </w:rPr>
        <w:t>Федеральным агентством</w:t>
      </w:r>
      <w:r w:rsidR="00E46634" w:rsidRPr="00A53AD7">
        <w:rPr>
          <w:rFonts w:ascii="Times New Roman" w:hAnsi="Times New Roman"/>
          <w:sz w:val="28"/>
          <w:szCs w:val="28"/>
        </w:rPr>
        <w:t xml:space="preserve"> </w:t>
      </w:r>
      <w:r w:rsidRPr="00A53AD7">
        <w:rPr>
          <w:rFonts w:ascii="Times New Roman" w:hAnsi="Times New Roman"/>
          <w:sz w:val="28"/>
          <w:szCs w:val="28"/>
        </w:rPr>
        <w:t>воздушного транспорта и Правительством Архангельской области (далее – Соглашение, Соглашение от 15.02.2019 № 107-07-2019-001), в 2019-2021 годах бюджету Архангельской области предоставляется субсидия из федерального бюджета на софинансирование указанного мероприятия.</w:t>
      </w:r>
    </w:p>
    <w:p w14:paraId="4B563B49" w14:textId="7E17EB9E" w:rsidR="00AD3864" w:rsidRPr="00A53AD7" w:rsidRDefault="00AD3864" w:rsidP="00AD386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Общий объем бюджетных ассигнований, предусматриваемых в областном бюджете на финансовое обеспечение расходных обязательств, в том числе направленных на достижение результатов регионального проекта, составляет </w:t>
      </w:r>
      <w:r w:rsidR="00E6143A" w:rsidRPr="00A53AD7">
        <w:rPr>
          <w:rFonts w:ascii="Times New Roman" w:hAnsi="Times New Roman"/>
          <w:sz w:val="28"/>
          <w:szCs w:val="28"/>
        </w:rPr>
        <w:t>в 2019 году 1 222,22 млн.</w:t>
      </w:r>
      <w:r w:rsidRPr="00A53AD7">
        <w:rPr>
          <w:rFonts w:ascii="Times New Roman" w:hAnsi="Times New Roman"/>
          <w:sz w:val="28"/>
          <w:szCs w:val="28"/>
        </w:rPr>
        <w:t xml:space="preserve">руб. Исходя из установленного уровня софинансирования, равного 90,0%, средства федерального бюджета составляют 1 100,0 млн.руб., средства областного бюджета (не менее 10,0%) - 122,22 млн.руб. </w:t>
      </w:r>
    </w:p>
    <w:p w14:paraId="5F0CCF1C" w14:textId="77777777"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Функции по исполнению осуществляет министерство строительства и архитектуры Архангельской области (далее – Минстрой АО).</w:t>
      </w:r>
    </w:p>
    <w:p w14:paraId="09725485" w14:textId="0848C5F5"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графика</w:t>
      </w:r>
      <w:r w:rsidR="00E46634" w:rsidRPr="00A53AD7">
        <w:rPr>
          <w:rFonts w:ascii="Times New Roman" w:hAnsi="Times New Roman"/>
          <w:sz w:val="28"/>
          <w:szCs w:val="28"/>
        </w:rPr>
        <w:t xml:space="preserve"> </w:t>
      </w:r>
      <w:r w:rsidRPr="00A53AD7">
        <w:rPr>
          <w:rFonts w:ascii="Times New Roman" w:hAnsi="Times New Roman"/>
          <w:sz w:val="28"/>
          <w:szCs w:val="28"/>
        </w:rPr>
        <w:t>выполнения мероприятий (приложение № 4 к Соглашению)</w:t>
      </w:r>
      <w:r w:rsidR="00E46634" w:rsidRPr="00A53AD7">
        <w:rPr>
          <w:rFonts w:ascii="Times New Roman" w:hAnsi="Times New Roman"/>
          <w:sz w:val="28"/>
          <w:szCs w:val="28"/>
        </w:rPr>
        <w:t xml:space="preserve"> </w:t>
      </w:r>
      <w:r w:rsidRPr="00A53AD7">
        <w:rPr>
          <w:rFonts w:ascii="Times New Roman" w:hAnsi="Times New Roman"/>
          <w:sz w:val="28"/>
          <w:szCs w:val="28"/>
        </w:rPr>
        <w:t>- нормативный срок</w:t>
      </w:r>
      <w:r w:rsidR="00E46634" w:rsidRPr="00A53AD7">
        <w:rPr>
          <w:rFonts w:ascii="Times New Roman" w:hAnsi="Times New Roman"/>
          <w:sz w:val="28"/>
          <w:szCs w:val="28"/>
        </w:rPr>
        <w:t xml:space="preserve"> </w:t>
      </w:r>
      <w:r w:rsidRPr="00A53AD7">
        <w:rPr>
          <w:rFonts w:ascii="Times New Roman" w:hAnsi="Times New Roman"/>
          <w:sz w:val="28"/>
          <w:szCs w:val="28"/>
        </w:rPr>
        <w:t>строительства</w:t>
      </w:r>
      <w:r w:rsidR="00E46634" w:rsidRPr="00A53AD7">
        <w:rPr>
          <w:rFonts w:ascii="Times New Roman" w:hAnsi="Times New Roman"/>
          <w:sz w:val="28"/>
          <w:szCs w:val="28"/>
        </w:rPr>
        <w:t xml:space="preserve"> </w:t>
      </w:r>
      <w:r w:rsidRPr="00A53AD7">
        <w:rPr>
          <w:rFonts w:ascii="Times New Roman" w:hAnsi="Times New Roman"/>
          <w:sz w:val="28"/>
          <w:szCs w:val="28"/>
        </w:rPr>
        <w:t>объекта «Реконструкция</w:t>
      </w:r>
      <w:r w:rsidR="00E46634" w:rsidRPr="00A53AD7">
        <w:rPr>
          <w:rFonts w:ascii="Times New Roman" w:hAnsi="Times New Roman"/>
          <w:sz w:val="28"/>
          <w:szCs w:val="28"/>
        </w:rPr>
        <w:t xml:space="preserve"> </w:t>
      </w:r>
      <w:r w:rsidRPr="00A53AD7">
        <w:rPr>
          <w:rFonts w:ascii="Times New Roman" w:hAnsi="Times New Roman"/>
          <w:sz w:val="28"/>
          <w:szCs w:val="28"/>
        </w:rPr>
        <w:t>аэропортового комплекса «Соловки», о. Соловецкий, Архангельская область» - 30 месяцев, предельная стоимость</w:t>
      </w:r>
      <w:r w:rsidR="00E46634" w:rsidRPr="00A53AD7">
        <w:rPr>
          <w:rFonts w:ascii="Times New Roman" w:hAnsi="Times New Roman"/>
          <w:sz w:val="28"/>
          <w:szCs w:val="28"/>
        </w:rPr>
        <w:t xml:space="preserve"> </w:t>
      </w:r>
      <w:r w:rsidR="0014688D" w:rsidRPr="00A53AD7">
        <w:rPr>
          <w:rFonts w:ascii="Times New Roman" w:hAnsi="Times New Roman"/>
          <w:sz w:val="28"/>
          <w:szCs w:val="28"/>
        </w:rPr>
        <w:t>- 2 899,2 млн.</w:t>
      </w:r>
      <w:r w:rsidRPr="00A53AD7">
        <w:rPr>
          <w:rFonts w:ascii="Times New Roman" w:hAnsi="Times New Roman"/>
          <w:sz w:val="28"/>
          <w:szCs w:val="28"/>
        </w:rPr>
        <w:t>руб.</w:t>
      </w:r>
    </w:p>
    <w:p w14:paraId="541AF1B7" w14:textId="302157BA" w:rsidR="00AD3864" w:rsidRPr="00A53AD7" w:rsidRDefault="00AD3864" w:rsidP="00AD386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Проектная документация разработана Проектно – изыскательским и научно-исследовательским институтом воздушного транспорта «Ленаэропроект» (контракт на проектирование от 24.11.2017 № 07К/2017). Положительное заключение государственной экспертизы проектной документации от 28.09.2018 № 00568-18/ГГЭ – 14293/15-01, а также положительное заключение о достоверности определения сметной стоимости объекта строительства от 28.09.2018 № 00549-18/ГГЭ -14293/07-01 выданы ФАУ «Главгосэкспертиза России». Следует отметить, что положительное заключение государственной экспертизы проектной документации выдано без учета требований в отношении объектов всемирного наследия ЮНЕСКО, что потребовало дополнительного привлечения средств областного бюджета в сумме 7,0 млн.руб.</w:t>
      </w:r>
    </w:p>
    <w:p w14:paraId="4C3AF3D9" w14:textId="0A18AD41"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Планируемая дата получения</w:t>
      </w:r>
      <w:r w:rsidR="00E46634" w:rsidRPr="00A53AD7">
        <w:rPr>
          <w:rFonts w:ascii="Times New Roman" w:hAnsi="Times New Roman"/>
          <w:sz w:val="28"/>
          <w:szCs w:val="28"/>
        </w:rPr>
        <w:t xml:space="preserve"> </w:t>
      </w:r>
      <w:r w:rsidRPr="00A53AD7">
        <w:rPr>
          <w:rFonts w:ascii="Times New Roman" w:hAnsi="Times New Roman"/>
          <w:sz w:val="28"/>
          <w:szCs w:val="28"/>
        </w:rPr>
        <w:t>заключения органа государственного строительного</w:t>
      </w:r>
      <w:r w:rsidR="00E46634" w:rsidRPr="00A53AD7">
        <w:rPr>
          <w:rFonts w:ascii="Times New Roman" w:hAnsi="Times New Roman"/>
          <w:sz w:val="28"/>
          <w:szCs w:val="28"/>
        </w:rPr>
        <w:t xml:space="preserve"> </w:t>
      </w:r>
      <w:r w:rsidRPr="00A53AD7">
        <w:rPr>
          <w:rFonts w:ascii="Times New Roman" w:hAnsi="Times New Roman"/>
          <w:sz w:val="28"/>
          <w:szCs w:val="28"/>
        </w:rPr>
        <w:t>надзора – ноябрь 2020, срок</w:t>
      </w:r>
      <w:r w:rsidR="00E46634" w:rsidRPr="00A53AD7">
        <w:rPr>
          <w:rFonts w:ascii="Times New Roman" w:hAnsi="Times New Roman"/>
          <w:sz w:val="28"/>
          <w:szCs w:val="28"/>
        </w:rPr>
        <w:t xml:space="preserve"> </w:t>
      </w:r>
      <w:r w:rsidRPr="00A53AD7">
        <w:rPr>
          <w:rFonts w:ascii="Times New Roman" w:hAnsi="Times New Roman"/>
          <w:sz w:val="28"/>
          <w:szCs w:val="28"/>
        </w:rPr>
        <w:t>ввода</w:t>
      </w:r>
      <w:r w:rsidR="00E46634" w:rsidRPr="00A53AD7">
        <w:rPr>
          <w:rFonts w:ascii="Times New Roman" w:hAnsi="Times New Roman"/>
          <w:sz w:val="28"/>
          <w:szCs w:val="28"/>
        </w:rPr>
        <w:t xml:space="preserve"> </w:t>
      </w:r>
      <w:r w:rsidRPr="00A53AD7">
        <w:rPr>
          <w:rFonts w:ascii="Times New Roman" w:hAnsi="Times New Roman"/>
          <w:sz w:val="28"/>
          <w:szCs w:val="28"/>
        </w:rPr>
        <w:t>объекта в эксплуатацию – 2021 год.</w:t>
      </w:r>
    </w:p>
    <w:p w14:paraId="0CA9B8DC" w14:textId="77777777"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Контрольными точками, по которым запланированы мероприятия на 2019 год, являются:</w:t>
      </w:r>
    </w:p>
    <w:tbl>
      <w:tblPr>
        <w:tblW w:w="9362"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6"/>
        <w:gridCol w:w="709"/>
        <w:gridCol w:w="5812"/>
        <w:gridCol w:w="1276"/>
        <w:gridCol w:w="1559"/>
      </w:tblGrid>
      <w:tr w:rsidR="00D470B6" w:rsidRPr="00A53AD7" w14:paraId="795850D4" w14:textId="77777777" w:rsidTr="00A0602A">
        <w:trPr>
          <w:trHeight w:val="294"/>
          <w:tblHeader/>
        </w:trPr>
        <w:tc>
          <w:tcPr>
            <w:tcW w:w="715" w:type="dxa"/>
            <w:gridSpan w:val="2"/>
            <w:vMerge w:val="restart"/>
            <w:shd w:val="clear" w:color="auto" w:fill="auto"/>
            <w:vAlign w:val="center"/>
          </w:tcPr>
          <w:p w14:paraId="66257F0D"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 п/п</w:t>
            </w:r>
          </w:p>
        </w:tc>
        <w:tc>
          <w:tcPr>
            <w:tcW w:w="5812" w:type="dxa"/>
            <w:vMerge w:val="restart"/>
            <w:shd w:val="clear" w:color="auto" w:fill="auto"/>
            <w:vAlign w:val="center"/>
          </w:tcPr>
          <w:p w14:paraId="4787F93A"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Наименование результата, мероприятия, контрольной точки</w:t>
            </w:r>
          </w:p>
        </w:tc>
        <w:tc>
          <w:tcPr>
            <w:tcW w:w="2835" w:type="dxa"/>
            <w:gridSpan w:val="2"/>
            <w:shd w:val="clear" w:color="auto" w:fill="auto"/>
            <w:vAlign w:val="center"/>
          </w:tcPr>
          <w:p w14:paraId="4671084D"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Сроки реализации</w:t>
            </w:r>
          </w:p>
        </w:tc>
      </w:tr>
      <w:tr w:rsidR="00D470B6" w:rsidRPr="00A53AD7" w14:paraId="5936B780" w14:textId="77777777" w:rsidTr="00A0602A">
        <w:trPr>
          <w:trHeight w:hRule="exact" w:val="268"/>
          <w:tblHeader/>
        </w:trPr>
        <w:tc>
          <w:tcPr>
            <w:tcW w:w="715" w:type="dxa"/>
            <w:gridSpan w:val="2"/>
            <w:vMerge/>
            <w:shd w:val="clear" w:color="auto" w:fill="auto"/>
            <w:vAlign w:val="center"/>
          </w:tcPr>
          <w:p w14:paraId="4C21D392" w14:textId="77777777" w:rsidR="00C16B57" w:rsidRPr="00A53AD7" w:rsidRDefault="00C16B57" w:rsidP="00DE351E">
            <w:pPr>
              <w:spacing w:after="0" w:line="240" w:lineRule="auto"/>
            </w:pPr>
          </w:p>
        </w:tc>
        <w:tc>
          <w:tcPr>
            <w:tcW w:w="5812" w:type="dxa"/>
            <w:vMerge/>
            <w:shd w:val="clear" w:color="auto" w:fill="auto"/>
            <w:vAlign w:val="center"/>
          </w:tcPr>
          <w:p w14:paraId="48BE59EF" w14:textId="77777777" w:rsidR="00C16B57" w:rsidRPr="00A53AD7" w:rsidRDefault="00C16B57" w:rsidP="00DE351E">
            <w:pPr>
              <w:spacing w:after="0" w:line="240" w:lineRule="auto"/>
            </w:pPr>
          </w:p>
        </w:tc>
        <w:tc>
          <w:tcPr>
            <w:tcW w:w="1276" w:type="dxa"/>
            <w:shd w:val="clear" w:color="auto" w:fill="auto"/>
            <w:vAlign w:val="center"/>
          </w:tcPr>
          <w:p w14:paraId="498D141E"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начало</w:t>
            </w:r>
          </w:p>
        </w:tc>
        <w:tc>
          <w:tcPr>
            <w:tcW w:w="1559" w:type="dxa"/>
            <w:shd w:val="clear" w:color="auto" w:fill="auto"/>
            <w:vAlign w:val="center"/>
          </w:tcPr>
          <w:p w14:paraId="4449AB20"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окончание</w:t>
            </w:r>
          </w:p>
        </w:tc>
      </w:tr>
      <w:tr w:rsidR="00D470B6" w:rsidRPr="00A53AD7" w14:paraId="001E045D" w14:textId="77777777" w:rsidTr="00DE351E">
        <w:trPr>
          <w:gridBefore w:val="1"/>
          <w:wBefore w:w="6" w:type="dxa"/>
          <w:trHeight w:hRule="exact" w:val="604"/>
        </w:trPr>
        <w:tc>
          <w:tcPr>
            <w:tcW w:w="709" w:type="dxa"/>
            <w:shd w:val="clear" w:color="auto" w:fill="auto"/>
            <w:tcMar>
              <w:left w:w="72" w:type="dxa"/>
              <w:right w:w="72" w:type="dxa"/>
            </w:tcMar>
          </w:tcPr>
          <w:p w14:paraId="232A9147"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w:t>
            </w:r>
          </w:p>
        </w:tc>
        <w:tc>
          <w:tcPr>
            <w:tcW w:w="5812" w:type="dxa"/>
            <w:shd w:val="clear" w:color="auto" w:fill="auto"/>
            <w:tcMar>
              <w:left w:w="72" w:type="dxa"/>
              <w:right w:w="72" w:type="dxa"/>
            </w:tcMar>
          </w:tcPr>
          <w:p w14:paraId="33141A39" w14:textId="0B7140DF" w:rsidR="00C16B57" w:rsidRPr="00A53AD7" w:rsidRDefault="00C16B57" w:rsidP="00DE351E">
            <w:pPr>
              <w:spacing w:after="0" w:line="240" w:lineRule="auto"/>
            </w:pPr>
            <w:r w:rsidRPr="00A53AD7">
              <w:rPr>
                <w:rFonts w:ascii="Times New Roman" w:hAnsi="Times New Roman"/>
                <w:spacing w:val="-2"/>
              </w:rPr>
              <w:t>Результат "Реконструкция аэропортового комплекса "Соловки", о. Соловецкий, Архангельская область</w:t>
            </w:r>
          </w:p>
        </w:tc>
        <w:tc>
          <w:tcPr>
            <w:tcW w:w="1276" w:type="dxa"/>
            <w:shd w:val="clear" w:color="auto" w:fill="auto"/>
          </w:tcPr>
          <w:p w14:paraId="253ED6D9"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w:t>
            </w:r>
          </w:p>
        </w:tc>
        <w:tc>
          <w:tcPr>
            <w:tcW w:w="1559" w:type="dxa"/>
            <w:shd w:val="clear" w:color="auto" w:fill="auto"/>
            <w:tcMar>
              <w:left w:w="72" w:type="dxa"/>
              <w:right w:w="72" w:type="dxa"/>
            </w:tcMar>
          </w:tcPr>
          <w:p w14:paraId="76C50A03"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31.12.2021</w:t>
            </w:r>
          </w:p>
        </w:tc>
      </w:tr>
      <w:tr w:rsidR="00D470B6" w:rsidRPr="00A53AD7" w14:paraId="4A6B0E87" w14:textId="77777777" w:rsidTr="00DE351E">
        <w:trPr>
          <w:gridBefore w:val="1"/>
          <w:wBefore w:w="6" w:type="dxa"/>
          <w:trHeight w:hRule="exact" w:val="300"/>
        </w:trPr>
        <w:tc>
          <w:tcPr>
            <w:tcW w:w="709" w:type="dxa"/>
            <w:shd w:val="clear" w:color="auto" w:fill="auto"/>
            <w:tcMar>
              <w:left w:w="72" w:type="dxa"/>
              <w:right w:w="72" w:type="dxa"/>
            </w:tcMar>
          </w:tcPr>
          <w:p w14:paraId="1A9A0D39" w14:textId="77777777" w:rsidR="00AD3864" w:rsidRPr="00A53AD7" w:rsidRDefault="00AD3864" w:rsidP="00AD3864">
            <w:pPr>
              <w:spacing w:after="0" w:line="240" w:lineRule="auto"/>
              <w:jc w:val="center"/>
              <w:rPr>
                <w:rFonts w:ascii="Times New Roman" w:hAnsi="Times New Roman"/>
                <w:spacing w:val="-2"/>
              </w:rPr>
            </w:pPr>
            <w:r w:rsidRPr="00A53AD7">
              <w:rPr>
                <w:rFonts w:ascii="Times New Roman" w:hAnsi="Times New Roman"/>
                <w:spacing w:val="-2"/>
              </w:rPr>
              <w:t>1.1</w:t>
            </w:r>
          </w:p>
        </w:tc>
        <w:tc>
          <w:tcPr>
            <w:tcW w:w="5812" w:type="dxa"/>
            <w:shd w:val="clear" w:color="auto" w:fill="auto"/>
            <w:tcMar>
              <w:left w:w="72" w:type="dxa"/>
              <w:right w:w="72" w:type="dxa"/>
            </w:tcMar>
          </w:tcPr>
          <w:p w14:paraId="22FA0858" w14:textId="77777777" w:rsidR="00AD3864" w:rsidRPr="00A53AD7" w:rsidRDefault="00AD3864" w:rsidP="00AD3864">
            <w:pPr>
              <w:spacing w:after="0" w:line="240" w:lineRule="auto"/>
              <w:rPr>
                <w:rFonts w:ascii="Times New Roman" w:hAnsi="Times New Roman"/>
                <w:spacing w:val="-2"/>
              </w:rPr>
            </w:pPr>
            <w:r w:rsidRPr="00A53AD7">
              <w:rPr>
                <w:rFonts w:ascii="Times New Roman" w:hAnsi="Times New Roman"/>
                <w:spacing w:val="-2"/>
              </w:rPr>
              <w:t>Контрольная точка "Закупка включена в план закупок"</w:t>
            </w:r>
          </w:p>
        </w:tc>
        <w:tc>
          <w:tcPr>
            <w:tcW w:w="1276" w:type="dxa"/>
            <w:shd w:val="clear" w:color="auto" w:fill="auto"/>
          </w:tcPr>
          <w:p w14:paraId="6D1EE87F" w14:textId="77777777" w:rsidR="00AD3864" w:rsidRPr="00A53AD7" w:rsidRDefault="00AD3864" w:rsidP="00AD3864">
            <w:pPr>
              <w:spacing w:after="0" w:line="240" w:lineRule="auto"/>
              <w:jc w:val="center"/>
              <w:rPr>
                <w:rFonts w:ascii="Times New Roman" w:hAnsi="Times New Roman"/>
                <w:spacing w:val="-2"/>
              </w:rPr>
            </w:pPr>
            <w:r w:rsidRPr="00A53AD7">
              <w:rPr>
                <w:rFonts w:ascii="Times New Roman" w:hAnsi="Times New Roman"/>
                <w:spacing w:val="-2"/>
              </w:rPr>
              <w:t>-</w:t>
            </w:r>
          </w:p>
        </w:tc>
        <w:tc>
          <w:tcPr>
            <w:tcW w:w="1559" w:type="dxa"/>
            <w:shd w:val="clear" w:color="auto" w:fill="auto"/>
            <w:tcMar>
              <w:left w:w="72" w:type="dxa"/>
              <w:right w:w="72" w:type="dxa"/>
            </w:tcMar>
          </w:tcPr>
          <w:p w14:paraId="55CA3BF5" w14:textId="7CA39277" w:rsidR="00AD3864" w:rsidRPr="00A53AD7" w:rsidRDefault="00AD3864" w:rsidP="00AD3864">
            <w:pPr>
              <w:spacing w:after="0" w:line="240" w:lineRule="auto"/>
              <w:jc w:val="center"/>
              <w:rPr>
                <w:rFonts w:ascii="Times New Roman" w:hAnsi="Times New Roman"/>
                <w:spacing w:val="-2"/>
              </w:rPr>
            </w:pPr>
            <w:r w:rsidRPr="00A53AD7">
              <w:rPr>
                <w:rFonts w:ascii="Times New Roman" w:hAnsi="Times New Roman"/>
                <w:spacing w:val="-2"/>
              </w:rPr>
              <w:t>01.02.2019</w:t>
            </w:r>
          </w:p>
        </w:tc>
      </w:tr>
      <w:tr w:rsidR="00D470B6" w:rsidRPr="00A53AD7" w14:paraId="0168A9A4" w14:textId="77777777" w:rsidTr="00DE351E">
        <w:trPr>
          <w:gridBefore w:val="1"/>
          <w:wBefore w:w="6" w:type="dxa"/>
          <w:trHeight w:hRule="exact" w:val="560"/>
        </w:trPr>
        <w:tc>
          <w:tcPr>
            <w:tcW w:w="709" w:type="dxa"/>
            <w:shd w:val="clear" w:color="auto" w:fill="auto"/>
            <w:tcMar>
              <w:left w:w="72" w:type="dxa"/>
              <w:right w:w="72" w:type="dxa"/>
            </w:tcMar>
          </w:tcPr>
          <w:p w14:paraId="081939CC"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1.2</w:t>
            </w:r>
          </w:p>
        </w:tc>
        <w:tc>
          <w:tcPr>
            <w:tcW w:w="5812" w:type="dxa"/>
            <w:shd w:val="clear" w:color="auto" w:fill="auto"/>
            <w:tcMar>
              <w:left w:w="72" w:type="dxa"/>
              <w:right w:w="72" w:type="dxa"/>
            </w:tcMar>
          </w:tcPr>
          <w:p w14:paraId="4ACAF80A" w14:textId="77777777"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Контрольная точка "Получены положительные заключения по результатам государственных экспертиз"</w:t>
            </w:r>
          </w:p>
        </w:tc>
        <w:tc>
          <w:tcPr>
            <w:tcW w:w="1276" w:type="dxa"/>
            <w:shd w:val="clear" w:color="auto" w:fill="auto"/>
          </w:tcPr>
          <w:p w14:paraId="679A628F"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w:t>
            </w:r>
          </w:p>
        </w:tc>
        <w:tc>
          <w:tcPr>
            <w:tcW w:w="1559" w:type="dxa"/>
            <w:shd w:val="clear" w:color="auto" w:fill="auto"/>
            <w:tcMar>
              <w:left w:w="72" w:type="dxa"/>
              <w:right w:w="72" w:type="dxa"/>
            </w:tcMar>
          </w:tcPr>
          <w:p w14:paraId="28C3FA5E"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01.05.2019</w:t>
            </w:r>
          </w:p>
        </w:tc>
      </w:tr>
      <w:tr w:rsidR="00D470B6" w:rsidRPr="00A53AD7" w14:paraId="662D35A8" w14:textId="77777777" w:rsidTr="00DE351E">
        <w:trPr>
          <w:gridBefore w:val="1"/>
          <w:wBefore w:w="6" w:type="dxa"/>
          <w:trHeight w:hRule="exact" w:val="568"/>
        </w:trPr>
        <w:tc>
          <w:tcPr>
            <w:tcW w:w="709" w:type="dxa"/>
            <w:shd w:val="clear" w:color="auto" w:fill="auto"/>
            <w:tcMar>
              <w:left w:w="72" w:type="dxa"/>
              <w:right w:w="72" w:type="dxa"/>
            </w:tcMar>
          </w:tcPr>
          <w:p w14:paraId="2740A29D"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1.3</w:t>
            </w:r>
          </w:p>
        </w:tc>
        <w:tc>
          <w:tcPr>
            <w:tcW w:w="5812" w:type="dxa"/>
            <w:shd w:val="clear" w:color="auto" w:fill="auto"/>
            <w:tcMar>
              <w:left w:w="72" w:type="dxa"/>
              <w:right w:w="72" w:type="dxa"/>
            </w:tcMar>
          </w:tcPr>
          <w:p w14:paraId="75AB370D" w14:textId="77777777"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Контрольная точка "Получено разрешение на строительство (реконструкцию)"</w:t>
            </w:r>
          </w:p>
        </w:tc>
        <w:tc>
          <w:tcPr>
            <w:tcW w:w="1276" w:type="dxa"/>
            <w:shd w:val="clear" w:color="auto" w:fill="auto"/>
          </w:tcPr>
          <w:p w14:paraId="446BE725"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w:t>
            </w:r>
          </w:p>
        </w:tc>
        <w:tc>
          <w:tcPr>
            <w:tcW w:w="1559" w:type="dxa"/>
            <w:shd w:val="clear" w:color="auto" w:fill="auto"/>
            <w:tcMar>
              <w:left w:w="72" w:type="dxa"/>
              <w:right w:w="72" w:type="dxa"/>
            </w:tcMar>
          </w:tcPr>
          <w:p w14:paraId="7A8F4A95"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01.11.2019</w:t>
            </w:r>
          </w:p>
        </w:tc>
      </w:tr>
      <w:tr w:rsidR="00D470B6" w:rsidRPr="00A53AD7" w14:paraId="0A19D610" w14:textId="77777777" w:rsidTr="00DE351E">
        <w:trPr>
          <w:gridBefore w:val="1"/>
          <w:wBefore w:w="6" w:type="dxa"/>
          <w:trHeight w:hRule="exact" w:val="563"/>
        </w:trPr>
        <w:tc>
          <w:tcPr>
            <w:tcW w:w="709" w:type="dxa"/>
            <w:shd w:val="clear" w:color="auto" w:fill="auto"/>
            <w:tcMar>
              <w:left w:w="72" w:type="dxa"/>
              <w:right w:w="72" w:type="dxa"/>
            </w:tcMar>
          </w:tcPr>
          <w:p w14:paraId="6F704DDD"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1.3.1</w:t>
            </w:r>
          </w:p>
        </w:tc>
        <w:tc>
          <w:tcPr>
            <w:tcW w:w="5812" w:type="dxa"/>
            <w:shd w:val="clear" w:color="auto" w:fill="auto"/>
            <w:tcMar>
              <w:left w:w="72" w:type="dxa"/>
              <w:right w:w="72" w:type="dxa"/>
            </w:tcMar>
          </w:tcPr>
          <w:p w14:paraId="4267FD56" w14:textId="77777777"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Мероприятие "получено разрешение на строительство (реконструкцию) "</w:t>
            </w:r>
          </w:p>
        </w:tc>
        <w:tc>
          <w:tcPr>
            <w:tcW w:w="1276" w:type="dxa"/>
            <w:shd w:val="clear" w:color="auto" w:fill="auto"/>
          </w:tcPr>
          <w:p w14:paraId="2A6EB55E"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01.01.2019</w:t>
            </w:r>
          </w:p>
        </w:tc>
        <w:tc>
          <w:tcPr>
            <w:tcW w:w="1559" w:type="dxa"/>
            <w:shd w:val="clear" w:color="auto" w:fill="auto"/>
            <w:tcMar>
              <w:left w:w="72" w:type="dxa"/>
              <w:right w:w="72" w:type="dxa"/>
            </w:tcMar>
          </w:tcPr>
          <w:p w14:paraId="7430AAEA"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01.11.2019</w:t>
            </w:r>
          </w:p>
        </w:tc>
      </w:tr>
      <w:tr w:rsidR="00D470B6" w:rsidRPr="00A53AD7" w14:paraId="38E2EBD0" w14:textId="77777777" w:rsidTr="00DE351E">
        <w:trPr>
          <w:gridBefore w:val="1"/>
          <w:wBefore w:w="6" w:type="dxa"/>
          <w:trHeight w:hRule="exact" w:val="570"/>
        </w:trPr>
        <w:tc>
          <w:tcPr>
            <w:tcW w:w="709" w:type="dxa"/>
            <w:shd w:val="clear" w:color="auto" w:fill="auto"/>
            <w:tcMar>
              <w:left w:w="72" w:type="dxa"/>
              <w:right w:w="72" w:type="dxa"/>
            </w:tcMar>
          </w:tcPr>
          <w:p w14:paraId="1C35CB74"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1.4</w:t>
            </w:r>
          </w:p>
        </w:tc>
        <w:tc>
          <w:tcPr>
            <w:tcW w:w="5812" w:type="dxa"/>
            <w:shd w:val="clear" w:color="auto" w:fill="auto"/>
            <w:tcMar>
              <w:left w:w="72" w:type="dxa"/>
              <w:right w:w="72" w:type="dxa"/>
            </w:tcMar>
          </w:tcPr>
          <w:p w14:paraId="56CAD7FD" w14:textId="77777777"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Контрольная точка "Строительно-монтажные работы завершены"</w:t>
            </w:r>
          </w:p>
        </w:tc>
        <w:tc>
          <w:tcPr>
            <w:tcW w:w="1276" w:type="dxa"/>
            <w:shd w:val="clear" w:color="auto" w:fill="auto"/>
          </w:tcPr>
          <w:p w14:paraId="3ECCDD40"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w:t>
            </w:r>
          </w:p>
        </w:tc>
        <w:tc>
          <w:tcPr>
            <w:tcW w:w="1559" w:type="dxa"/>
            <w:shd w:val="clear" w:color="auto" w:fill="auto"/>
            <w:tcMar>
              <w:left w:w="72" w:type="dxa"/>
              <w:right w:w="72" w:type="dxa"/>
            </w:tcMar>
          </w:tcPr>
          <w:p w14:paraId="5450C002"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31.12.2019</w:t>
            </w:r>
          </w:p>
        </w:tc>
      </w:tr>
      <w:tr w:rsidR="00D470B6" w:rsidRPr="00A53AD7" w14:paraId="15A4F72A" w14:textId="77777777" w:rsidTr="00DE351E">
        <w:trPr>
          <w:gridBefore w:val="1"/>
          <w:wBefore w:w="6" w:type="dxa"/>
          <w:trHeight w:hRule="exact" w:val="565"/>
        </w:trPr>
        <w:tc>
          <w:tcPr>
            <w:tcW w:w="709" w:type="dxa"/>
            <w:shd w:val="clear" w:color="auto" w:fill="auto"/>
            <w:tcMar>
              <w:left w:w="72" w:type="dxa"/>
              <w:right w:w="72" w:type="dxa"/>
            </w:tcMar>
          </w:tcPr>
          <w:p w14:paraId="747D514B"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1.4.1</w:t>
            </w:r>
          </w:p>
        </w:tc>
        <w:tc>
          <w:tcPr>
            <w:tcW w:w="5812" w:type="dxa"/>
            <w:shd w:val="clear" w:color="auto" w:fill="auto"/>
            <w:tcMar>
              <w:left w:w="72" w:type="dxa"/>
              <w:right w:w="72" w:type="dxa"/>
            </w:tcMar>
          </w:tcPr>
          <w:p w14:paraId="731DF2B3" w14:textId="06C2AE89"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Мероприятие "строительно-монтажные работы 1-го этапа реконструкции завершены</w:t>
            </w:r>
          </w:p>
        </w:tc>
        <w:tc>
          <w:tcPr>
            <w:tcW w:w="1276" w:type="dxa"/>
            <w:shd w:val="clear" w:color="auto" w:fill="auto"/>
          </w:tcPr>
          <w:p w14:paraId="5EF4A5C7"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01.05.2019</w:t>
            </w:r>
          </w:p>
        </w:tc>
        <w:tc>
          <w:tcPr>
            <w:tcW w:w="1559" w:type="dxa"/>
            <w:shd w:val="clear" w:color="auto" w:fill="auto"/>
            <w:tcMar>
              <w:left w:w="72" w:type="dxa"/>
              <w:right w:w="72" w:type="dxa"/>
            </w:tcMar>
          </w:tcPr>
          <w:p w14:paraId="6A889ABB"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31.12.2019</w:t>
            </w:r>
          </w:p>
        </w:tc>
      </w:tr>
      <w:tr w:rsidR="00C16B57" w:rsidRPr="00A53AD7" w14:paraId="60ACF1A7" w14:textId="77777777" w:rsidTr="00DE351E">
        <w:trPr>
          <w:gridBefore w:val="1"/>
          <w:wBefore w:w="6" w:type="dxa"/>
          <w:trHeight w:hRule="exact" w:val="573"/>
        </w:trPr>
        <w:tc>
          <w:tcPr>
            <w:tcW w:w="709" w:type="dxa"/>
            <w:shd w:val="clear" w:color="auto" w:fill="auto"/>
            <w:tcMar>
              <w:left w:w="72" w:type="dxa"/>
              <w:right w:w="72" w:type="dxa"/>
            </w:tcMar>
          </w:tcPr>
          <w:p w14:paraId="74AACA11"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1.4.2</w:t>
            </w:r>
          </w:p>
        </w:tc>
        <w:tc>
          <w:tcPr>
            <w:tcW w:w="5812" w:type="dxa"/>
            <w:shd w:val="clear" w:color="auto" w:fill="auto"/>
            <w:tcMar>
              <w:left w:w="72" w:type="dxa"/>
              <w:right w:w="72" w:type="dxa"/>
            </w:tcMar>
          </w:tcPr>
          <w:p w14:paraId="223A59A6" w14:textId="75AE72F8" w:rsidR="00C16B57" w:rsidRPr="00A53AD7" w:rsidRDefault="00C16B57" w:rsidP="00DE351E">
            <w:pPr>
              <w:spacing w:after="0" w:line="240" w:lineRule="auto"/>
              <w:rPr>
                <w:rFonts w:ascii="Times New Roman" w:hAnsi="Times New Roman"/>
                <w:spacing w:val="-2"/>
              </w:rPr>
            </w:pPr>
            <w:r w:rsidRPr="00A53AD7">
              <w:rPr>
                <w:rFonts w:ascii="Times New Roman" w:hAnsi="Times New Roman"/>
                <w:spacing w:val="-2"/>
              </w:rPr>
              <w:t>Мероприятие "строительно-монтажные работы 2-го этапа реконструкции завершены"</w:t>
            </w:r>
          </w:p>
        </w:tc>
        <w:tc>
          <w:tcPr>
            <w:tcW w:w="1276" w:type="dxa"/>
            <w:shd w:val="clear" w:color="auto" w:fill="auto"/>
          </w:tcPr>
          <w:p w14:paraId="338E087A"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01.05.2019</w:t>
            </w:r>
          </w:p>
        </w:tc>
        <w:tc>
          <w:tcPr>
            <w:tcW w:w="1559" w:type="dxa"/>
            <w:shd w:val="clear" w:color="auto" w:fill="auto"/>
            <w:tcMar>
              <w:left w:w="72" w:type="dxa"/>
              <w:right w:w="72" w:type="dxa"/>
            </w:tcMar>
          </w:tcPr>
          <w:p w14:paraId="6AE7FB9F" w14:textId="77777777" w:rsidR="00C16B57" w:rsidRPr="00A53AD7" w:rsidRDefault="00C16B57" w:rsidP="00DE351E">
            <w:pPr>
              <w:spacing w:after="0" w:line="240" w:lineRule="auto"/>
              <w:jc w:val="center"/>
              <w:rPr>
                <w:rFonts w:ascii="Times New Roman" w:hAnsi="Times New Roman"/>
                <w:spacing w:val="-2"/>
              </w:rPr>
            </w:pPr>
            <w:r w:rsidRPr="00A53AD7">
              <w:rPr>
                <w:rFonts w:ascii="Times New Roman" w:hAnsi="Times New Roman"/>
                <w:spacing w:val="-2"/>
              </w:rPr>
              <w:t>31.12.2019</w:t>
            </w:r>
          </w:p>
        </w:tc>
      </w:tr>
    </w:tbl>
    <w:p w14:paraId="7139EC9B" w14:textId="77777777" w:rsidR="00DE351E" w:rsidRPr="00A53AD7" w:rsidRDefault="00DE351E" w:rsidP="00DE351E">
      <w:pPr>
        <w:spacing w:after="0" w:line="240" w:lineRule="auto"/>
        <w:ind w:firstLine="851"/>
        <w:jc w:val="both"/>
        <w:rPr>
          <w:rFonts w:ascii="Times New Roman" w:hAnsi="Times New Roman"/>
          <w:sz w:val="28"/>
          <w:szCs w:val="28"/>
        </w:rPr>
      </w:pPr>
    </w:p>
    <w:p w14:paraId="65BF8D46" w14:textId="77777777"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пояснительной записке к отчету об исполнении областного бюджета за 2019 год в рамках 1 и 2 этапов реконструкции выполнен комплекс работ, предусматривающих устройство взлетно-посадочной полосы 961 метр, перрона на 4 места стоянки воздушных судов и рулежной дорожки, подземные объекты энергетического назначения, дренажной системы, сбросного коллектора, очистных сооружений поверхностного стока. Архангельским межрегиональным территориальным управлением воздушного транспорта Федерального агентства воздушного транспорта выдано разрешение на ввод 1 и 2 этапов строительства.</w:t>
      </w:r>
    </w:p>
    <w:p w14:paraId="4DC1F52B" w14:textId="77777777" w:rsidR="00CE4F8F" w:rsidRPr="00A53AD7" w:rsidRDefault="00CE4F8F" w:rsidP="00CE4F8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данному отчету, по планируемым контрольным точкам мероприятия выполнены.</w:t>
      </w:r>
    </w:p>
    <w:p w14:paraId="24E7462B" w14:textId="77777777" w:rsidR="00CE4F8F" w:rsidRPr="00A53AD7" w:rsidRDefault="00CE4F8F" w:rsidP="00CE4F8F">
      <w:pPr>
        <w:spacing w:after="0" w:line="240" w:lineRule="auto"/>
        <w:ind w:firstLine="851"/>
        <w:jc w:val="both"/>
        <w:rPr>
          <w:rFonts w:ascii="Times New Roman" w:hAnsi="Times New Roman"/>
          <w:sz w:val="28"/>
          <w:szCs w:val="28"/>
        </w:rPr>
      </w:pPr>
    </w:p>
    <w:p w14:paraId="577BA767" w14:textId="77777777" w:rsidR="00CE4F8F" w:rsidRPr="00A53AD7" w:rsidRDefault="00CE4F8F" w:rsidP="00CE4F8F">
      <w:pPr>
        <w:spacing w:after="0" w:line="240" w:lineRule="auto"/>
        <w:ind w:firstLine="851"/>
        <w:jc w:val="both"/>
        <w:rPr>
          <w:rFonts w:ascii="Times New Roman" w:hAnsi="Times New Roman"/>
          <w:sz w:val="28"/>
          <w:szCs w:val="28"/>
        </w:rPr>
      </w:pPr>
      <w:r w:rsidRPr="00A53AD7">
        <w:rPr>
          <w:rFonts w:ascii="Times New Roman" w:hAnsi="Times New Roman"/>
          <w:b/>
          <w:sz w:val="28"/>
          <w:szCs w:val="28"/>
        </w:rPr>
        <w:t>ГП АО «Развитие инфраструктуры Соловецкого архипелага»</w:t>
      </w:r>
      <w:r w:rsidRPr="00A53AD7">
        <w:rPr>
          <w:rFonts w:ascii="Times New Roman" w:hAnsi="Times New Roman"/>
          <w:sz w:val="28"/>
          <w:szCs w:val="28"/>
        </w:rPr>
        <w:t>, в рамках которой реализуется мероприятие регионального проекта, утверждена постановлением Правительства Архангельской области от 16.07.2013 № 314-пп (далее – ГП АО № 314-пп).</w:t>
      </w:r>
    </w:p>
    <w:p w14:paraId="5250C3D3" w14:textId="2CBF178C" w:rsidR="00C16B57" w:rsidRPr="00A53AD7" w:rsidRDefault="007364DB"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w:t>
      </w:r>
      <w:r w:rsidR="00C16B57" w:rsidRPr="00A53AD7">
        <w:rPr>
          <w:rFonts w:ascii="Times New Roman" w:hAnsi="Times New Roman"/>
          <w:sz w:val="28"/>
          <w:szCs w:val="28"/>
        </w:rPr>
        <w:t>Программой предусмотрен ряд целевых показателей, в том числе – целевой показатель «Уровень технической готовности реконструкции аэропортового комплекса «Соловки», о. Соловецкий, Архангельская область» по годам: на 2018 год – 12%; на 2019 – 55%; на 2020 год – 85%; на 2021 год – 100%.</w:t>
      </w:r>
    </w:p>
    <w:p w14:paraId="7F754AC4" w14:textId="4E4CFB9D"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Перечнем мероприятий - Приложение №</w:t>
      </w:r>
      <w:r w:rsidR="0014688D" w:rsidRPr="00A53AD7">
        <w:rPr>
          <w:rFonts w:ascii="Times New Roman" w:hAnsi="Times New Roman"/>
          <w:sz w:val="28"/>
          <w:szCs w:val="28"/>
        </w:rPr>
        <w:t xml:space="preserve"> </w:t>
      </w:r>
      <w:r w:rsidRPr="00A53AD7">
        <w:rPr>
          <w:rFonts w:ascii="Times New Roman" w:hAnsi="Times New Roman"/>
          <w:sz w:val="28"/>
          <w:szCs w:val="28"/>
        </w:rPr>
        <w:t>2 к ГП АО № 314-пп), связанных с реализацией РП «Развитие</w:t>
      </w:r>
      <w:r w:rsidR="00E46634" w:rsidRPr="00A53AD7">
        <w:rPr>
          <w:rFonts w:ascii="Times New Roman" w:hAnsi="Times New Roman"/>
          <w:sz w:val="28"/>
          <w:szCs w:val="28"/>
        </w:rPr>
        <w:t xml:space="preserve"> </w:t>
      </w:r>
      <w:r w:rsidRPr="00A53AD7">
        <w:rPr>
          <w:rFonts w:ascii="Times New Roman" w:hAnsi="Times New Roman"/>
          <w:sz w:val="28"/>
          <w:szCs w:val="28"/>
        </w:rPr>
        <w:t>региональных аэропортов и маршрутов</w:t>
      </w:r>
      <w:r w:rsidR="00E46634" w:rsidRPr="00A53AD7">
        <w:rPr>
          <w:rFonts w:ascii="Times New Roman" w:hAnsi="Times New Roman"/>
          <w:sz w:val="28"/>
          <w:szCs w:val="28"/>
        </w:rPr>
        <w:t xml:space="preserve"> </w:t>
      </w:r>
      <w:r w:rsidRPr="00A53AD7">
        <w:rPr>
          <w:rFonts w:ascii="Times New Roman" w:hAnsi="Times New Roman"/>
          <w:sz w:val="28"/>
          <w:szCs w:val="28"/>
        </w:rPr>
        <w:t>(Архангельская область) предусмотрены:</w:t>
      </w:r>
    </w:p>
    <w:p w14:paraId="51C24E98" w14:textId="7A5D8934" w:rsidR="00C16B57" w:rsidRPr="00A53AD7" w:rsidRDefault="00C16B57" w:rsidP="00CA1DDD">
      <w:pPr>
        <w:pStyle w:val="a8"/>
        <w:numPr>
          <w:ilvl w:val="0"/>
          <w:numId w:val="50"/>
        </w:numPr>
        <w:ind w:left="0" w:firstLine="839"/>
        <w:jc w:val="both"/>
        <w:rPr>
          <w:sz w:val="28"/>
          <w:szCs w:val="28"/>
        </w:rPr>
      </w:pPr>
      <w:r w:rsidRPr="00A53AD7">
        <w:rPr>
          <w:sz w:val="28"/>
          <w:szCs w:val="28"/>
        </w:rPr>
        <w:t>п.</w:t>
      </w:r>
      <w:r w:rsidR="0014688D" w:rsidRPr="00A53AD7">
        <w:rPr>
          <w:sz w:val="28"/>
          <w:szCs w:val="28"/>
        </w:rPr>
        <w:t xml:space="preserve"> </w:t>
      </w:r>
      <w:r w:rsidRPr="00A53AD7">
        <w:rPr>
          <w:sz w:val="28"/>
          <w:szCs w:val="28"/>
        </w:rPr>
        <w:t>15.1. Реконструкция аэропортового комплекса «Соловки» о. Соловецкий, Архангельская область;</w:t>
      </w:r>
    </w:p>
    <w:p w14:paraId="264DEDC5" w14:textId="7165818E" w:rsidR="00C16B57" w:rsidRPr="00A53AD7" w:rsidRDefault="00C16B57" w:rsidP="00CA1DDD">
      <w:pPr>
        <w:pStyle w:val="a8"/>
        <w:numPr>
          <w:ilvl w:val="0"/>
          <w:numId w:val="50"/>
        </w:numPr>
        <w:ind w:left="0" w:firstLine="839"/>
        <w:jc w:val="both"/>
        <w:rPr>
          <w:sz w:val="28"/>
          <w:szCs w:val="28"/>
        </w:rPr>
      </w:pPr>
      <w:r w:rsidRPr="00A53AD7">
        <w:rPr>
          <w:sz w:val="28"/>
          <w:szCs w:val="28"/>
        </w:rPr>
        <w:t>п.</w:t>
      </w:r>
      <w:r w:rsidR="0014688D" w:rsidRPr="00A53AD7">
        <w:rPr>
          <w:sz w:val="28"/>
          <w:szCs w:val="28"/>
        </w:rPr>
        <w:t xml:space="preserve"> </w:t>
      </w:r>
      <w:r w:rsidRPr="00A53AD7">
        <w:rPr>
          <w:sz w:val="28"/>
          <w:szCs w:val="28"/>
        </w:rPr>
        <w:t>15.2. Разработка (приобретение) проектной документации по объекту "Реконструкция аэропортового комплекса "Соловки", о. Соловецкий.</w:t>
      </w:r>
    </w:p>
    <w:p w14:paraId="16A75C29" w14:textId="79F10D41" w:rsidR="00C16B57" w:rsidRPr="00A53AD7" w:rsidRDefault="00C16B57" w:rsidP="00DE351E">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финансирования данных мероприятий в рамках ГП АО № 314-пп на 2019 г. и изменение объема финансирования в течение 2019 года приведены</w:t>
      </w:r>
      <w:r w:rsidR="00E46634" w:rsidRPr="00A53AD7">
        <w:rPr>
          <w:rFonts w:ascii="Times New Roman" w:hAnsi="Times New Roman"/>
          <w:sz w:val="28"/>
          <w:szCs w:val="28"/>
        </w:rPr>
        <w:t xml:space="preserve"> </w:t>
      </w:r>
      <w:r w:rsidRPr="00A53AD7">
        <w:rPr>
          <w:rFonts w:ascii="Times New Roman" w:hAnsi="Times New Roman"/>
          <w:sz w:val="28"/>
          <w:szCs w:val="28"/>
        </w:rPr>
        <w:t>в таблице:</w:t>
      </w:r>
    </w:p>
    <w:tbl>
      <w:tblPr>
        <w:tblW w:w="946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2628"/>
        <w:gridCol w:w="1260"/>
        <w:gridCol w:w="1080"/>
        <w:gridCol w:w="1080"/>
        <w:gridCol w:w="1260"/>
        <w:gridCol w:w="1080"/>
        <w:gridCol w:w="1080"/>
      </w:tblGrid>
      <w:tr w:rsidR="00D470B6" w:rsidRPr="00A53AD7" w14:paraId="207B502C" w14:textId="77777777" w:rsidTr="00C0628B">
        <w:trPr>
          <w:tblHeader/>
        </w:trPr>
        <w:tc>
          <w:tcPr>
            <w:tcW w:w="2628" w:type="dxa"/>
            <w:vMerge w:val="restart"/>
          </w:tcPr>
          <w:p w14:paraId="2D875036" w14:textId="77777777" w:rsidR="00C16B57" w:rsidRPr="00A53AD7" w:rsidRDefault="00C16B57" w:rsidP="001E4C75">
            <w:pPr>
              <w:spacing w:after="0" w:line="240" w:lineRule="auto"/>
              <w:jc w:val="center"/>
              <w:rPr>
                <w:rFonts w:ascii="Times New Roman" w:hAnsi="Times New Roman"/>
                <w:b/>
                <w:sz w:val="20"/>
                <w:szCs w:val="20"/>
              </w:rPr>
            </w:pPr>
          </w:p>
          <w:p w14:paraId="3B1CEDC0" w14:textId="292ED337" w:rsidR="00C16B57" w:rsidRPr="00A53AD7" w:rsidRDefault="00E46634"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 </w:t>
            </w:r>
            <w:r w:rsidR="00C16B57" w:rsidRPr="00A53AD7">
              <w:rPr>
                <w:rFonts w:ascii="Times New Roman" w:hAnsi="Times New Roman"/>
                <w:b/>
                <w:sz w:val="20"/>
                <w:szCs w:val="20"/>
              </w:rPr>
              <w:t>№ и</w:t>
            </w:r>
            <w:r w:rsidRPr="00A53AD7">
              <w:rPr>
                <w:rFonts w:ascii="Times New Roman" w:hAnsi="Times New Roman"/>
                <w:b/>
                <w:sz w:val="20"/>
                <w:szCs w:val="20"/>
              </w:rPr>
              <w:t xml:space="preserve"> </w:t>
            </w:r>
            <w:r w:rsidR="00C16B57" w:rsidRPr="00A53AD7">
              <w:rPr>
                <w:rFonts w:ascii="Times New Roman" w:hAnsi="Times New Roman"/>
                <w:b/>
                <w:sz w:val="20"/>
                <w:szCs w:val="20"/>
              </w:rPr>
              <w:t>наименование</w:t>
            </w:r>
            <w:r w:rsidRPr="00A53AD7">
              <w:rPr>
                <w:rFonts w:ascii="Times New Roman" w:hAnsi="Times New Roman"/>
                <w:b/>
                <w:sz w:val="20"/>
                <w:szCs w:val="20"/>
              </w:rPr>
              <w:t xml:space="preserve"> </w:t>
            </w:r>
            <w:r w:rsidR="00C16B57" w:rsidRPr="00A53AD7">
              <w:rPr>
                <w:rFonts w:ascii="Times New Roman" w:hAnsi="Times New Roman"/>
                <w:b/>
                <w:sz w:val="20"/>
                <w:szCs w:val="20"/>
              </w:rPr>
              <w:t>мероприятия</w:t>
            </w:r>
          </w:p>
          <w:p w14:paraId="5FD9B930" w14:textId="77777777" w:rsidR="00C16B57" w:rsidRPr="00A53AD7" w:rsidRDefault="00C16B57" w:rsidP="001E4C75">
            <w:pPr>
              <w:spacing w:after="0" w:line="240" w:lineRule="auto"/>
              <w:jc w:val="center"/>
              <w:rPr>
                <w:rFonts w:ascii="Times New Roman" w:hAnsi="Times New Roman"/>
                <w:b/>
                <w:sz w:val="20"/>
                <w:szCs w:val="20"/>
              </w:rPr>
            </w:pPr>
          </w:p>
        </w:tc>
        <w:tc>
          <w:tcPr>
            <w:tcW w:w="3420" w:type="dxa"/>
            <w:gridSpan w:val="3"/>
          </w:tcPr>
          <w:p w14:paraId="3EA2497E" w14:textId="1030DC11" w:rsidR="00C16B57" w:rsidRPr="00A53AD7" w:rsidRDefault="00C16B57" w:rsidP="00E6143A">
            <w:pPr>
              <w:spacing w:after="0" w:line="240" w:lineRule="auto"/>
              <w:jc w:val="center"/>
              <w:rPr>
                <w:rFonts w:ascii="Times New Roman" w:hAnsi="Times New Roman"/>
                <w:b/>
                <w:sz w:val="20"/>
                <w:szCs w:val="20"/>
              </w:rPr>
            </w:pPr>
            <w:r w:rsidRPr="00A53AD7">
              <w:rPr>
                <w:rFonts w:ascii="Times New Roman" w:hAnsi="Times New Roman"/>
                <w:b/>
                <w:sz w:val="20"/>
                <w:szCs w:val="20"/>
              </w:rPr>
              <w:t>Объем финансирования, предусмотренный ГП АО № 314-пп в ред. от 22.01.2019</w:t>
            </w:r>
            <w:r w:rsidR="008D367F" w:rsidRPr="00A53AD7">
              <w:rPr>
                <w:rFonts w:ascii="Times New Roman" w:hAnsi="Times New Roman"/>
                <w:b/>
                <w:sz w:val="20"/>
                <w:szCs w:val="20"/>
              </w:rPr>
              <w:t xml:space="preserve"> </w:t>
            </w:r>
            <w:r w:rsidRPr="00A53AD7">
              <w:rPr>
                <w:rFonts w:ascii="Times New Roman" w:hAnsi="Times New Roman"/>
                <w:b/>
                <w:sz w:val="20"/>
                <w:szCs w:val="20"/>
              </w:rPr>
              <w:t>г. (млн.руб.),</w:t>
            </w:r>
          </w:p>
        </w:tc>
        <w:tc>
          <w:tcPr>
            <w:tcW w:w="3420" w:type="dxa"/>
            <w:gridSpan w:val="3"/>
          </w:tcPr>
          <w:p w14:paraId="72EA458E" w14:textId="3D772535" w:rsidR="00C16B57" w:rsidRPr="00A53AD7" w:rsidRDefault="00C16B57" w:rsidP="00E6143A">
            <w:pPr>
              <w:spacing w:after="0" w:line="240" w:lineRule="auto"/>
              <w:jc w:val="center"/>
              <w:rPr>
                <w:rFonts w:ascii="Times New Roman" w:hAnsi="Times New Roman"/>
                <w:b/>
                <w:sz w:val="20"/>
                <w:szCs w:val="20"/>
              </w:rPr>
            </w:pPr>
            <w:r w:rsidRPr="00A53AD7">
              <w:rPr>
                <w:rFonts w:ascii="Times New Roman" w:hAnsi="Times New Roman"/>
                <w:b/>
                <w:sz w:val="20"/>
                <w:szCs w:val="20"/>
              </w:rPr>
              <w:t>Объем финансирования, предусмотренный ГП АО № 314-пп в ред. от 24.12.2019</w:t>
            </w:r>
            <w:r w:rsidR="008D367F" w:rsidRPr="00A53AD7">
              <w:rPr>
                <w:rFonts w:ascii="Times New Roman" w:hAnsi="Times New Roman"/>
                <w:b/>
                <w:sz w:val="20"/>
                <w:szCs w:val="20"/>
              </w:rPr>
              <w:t xml:space="preserve"> </w:t>
            </w:r>
            <w:r w:rsidRPr="00A53AD7">
              <w:rPr>
                <w:rFonts w:ascii="Times New Roman" w:hAnsi="Times New Roman"/>
                <w:b/>
                <w:sz w:val="20"/>
                <w:szCs w:val="20"/>
              </w:rPr>
              <w:t>г. (млн.руб.),</w:t>
            </w:r>
          </w:p>
        </w:tc>
      </w:tr>
      <w:tr w:rsidR="00D470B6" w:rsidRPr="00A53AD7" w14:paraId="06EF4012" w14:textId="77777777" w:rsidTr="00C0628B">
        <w:trPr>
          <w:tblHeader/>
        </w:trPr>
        <w:tc>
          <w:tcPr>
            <w:tcW w:w="2628" w:type="dxa"/>
            <w:vMerge/>
          </w:tcPr>
          <w:p w14:paraId="35BF7DEE" w14:textId="77777777" w:rsidR="00C16B57" w:rsidRPr="00A53AD7" w:rsidRDefault="00C16B57" w:rsidP="001E4C75">
            <w:pPr>
              <w:spacing w:after="0" w:line="240" w:lineRule="auto"/>
              <w:jc w:val="center"/>
              <w:rPr>
                <w:rFonts w:ascii="Times New Roman" w:hAnsi="Times New Roman"/>
                <w:b/>
                <w:sz w:val="20"/>
                <w:szCs w:val="20"/>
              </w:rPr>
            </w:pPr>
          </w:p>
        </w:tc>
        <w:tc>
          <w:tcPr>
            <w:tcW w:w="1260" w:type="dxa"/>
          </w:tcPr>
          <w:p w14:paraId="0E4ED40D"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всего, </w:t>
            </w:r>
          </w:p>
          <w:p w14:paraId="0129C03B"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в том числе:</w:t>
            </w:r>
          </w:p>
        </w:tc>
        <w:tc>
          <w:tcPr>
            <w:tcW w:w="1080" w:type="dxa"/>
          </w:tcPr>
          <w:p w14:paraId="39C0522E" w14:textId="77777777" w:rsidR="00C16B57" w:rsidRPr="00A53AD7" w:rsidRDefault="00C16B57" w:rsidP="001E4C75">
            <w:pPr>
              <w:spacing w:after="0" w:line="240" w:lineRule="auto"/>
              <w:jc w:val="center"/>
              <w:rPr>
                <w:rFonts w:ascii="Times New Roman" w:hAnsi="Times New Roman"/>
                <w:b/>
                <w:sz w:val="20"/>
                <w:szCs w:val="20"/>
              </w:rPr>
            </w:pPr>
          </w:p>
          <w:p w14:paraId="221D71C6"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Средства ФБ</w:t>
            </w:r>
          </w:p>
        </w:tc>
        <w:tc>
          <w:tcPr>
            <w:tcW w:w="1080" w:type="dxa"/>
          </w:tcPr>
          <w:p w14:paraId="5EA28DAC" w14:textId="77777777" w:rsidR="00C16B57" w:rsidRPr="00A53AD7" w:rsidRDefault="00C16B57" w:rsidP="001E4C75">
            <w:pPr>
              <w:spacing w:after="0" w:line="240" w:lineRule="auto"/>
              <w:jc w:val="center"/>
              <w:rPr>
                <w:rFonts w:ascii="Times New Roman" w:hAnsi="Times New Roman"/>
                <w:b/>
                <w:sz w:val="20"/>
                <w:szCs w:val="20"/>
              </w:rPr>
            </w:pPr>
          </w:p>
          <w:p w14:paraId="1D21EA09"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Средства ОБ</w:t>
            </w:r>
          </w:p>
        </w:tc>
        <w:tc>
          <w:tcPr>
            <w:tcW w:w="1260" w:type="dxa"/>
          </w:tcPr>
          <w:p w14:paraId="391C19FC"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всего, </w:t>
            </w:r>
          </w:p>
          <w:p w14:paraId="061DB3AA"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в том числе:</w:t>
            </w:r>
          </w:p>
        </w:tc>
        <w:tc>
          <w:tcPr>
            <w:tcW w:w="1080" w:type="dxa"/>
          </w:tcPr>
          <w:p w14:paraId="3C822F70" w14:textId="77777777" w:rsidR="00C16B57" w:rsidRPr="00A53AD7" w:rsidRDefault="00C16B57" w:rsidP="001E4C75">
            <w:pPr>
              <w:spacing w:after="0" w:line="240" w:lineRule="auto"/>
              <w:jc w:val="center"/>
              <w:rPr>
                <w:rFonts w:ascii="Times New Roman" w:hAnsi="Times New Roman"/>
                <w:b/>
                <w:sz w:val="20"/>
                <w:szCs w:val="20"/>
              </w:rPr>
            </w:pPr>
          </w:p>
          <w:p w14:paraId="6962BBBE"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Средства ФБ</w:t>
            </w:r>
          </w:p>
        </w:tc>
        <w:tc>
          <w:tcPr>
            <w:tcW w:w="1080" w:type="dxa"/>
          </w:tcPr>
          <w:p w14:paraId="0BC962FC" w14:textId="77777777" w:rsidR="00C16B57" w:rsidRPr="00A53AD7" w:rsidRDefault="00C16B57" w:rsidP="001E4C75">
            <w:pPr>
              <w:spacing w:after="0" w:line="240" w:lineRule="auto"/>
              <w:jc w:val="center"/>
              <w:rPr>
                <w:rFonts w:ascii="Times New Roman" w:hAnsi="Times New Roman"/>
                <w:b/>
                <w:sz w:val="20"/>
                <w:szCs w:val="20"/>
              </w:rPr>
            </w:pPr>
          </w:p>
          <w:p w14:paraId="47E713CB"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Средства ОБ</w:t>
            </w:r>
          </w:p>
        </w:tc>
      </w:tr>
      <w:tr w:rsidR="00D470B6" w:rsidRPr="00A53AD7" w14:paraId="46303102" w14:textId="77777777" w:rsidTr="001E4C75">
        <w:tc>
          <w:tcPr>
            <w:tcW w:w="2628" w:type="dxa"/>
          </w:tcPr>
          <w:p w14:paraId="2379A68B" w14:textId="45595825"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п.</w:t>
            </w:r>
            <w:r w:rsidR="008D367F" w:rsidRPr="00A53AD7">
              <w:rPr>
                <w:rFonts w:ascii="Times New Roman" w:hAnsi="Times New Roman"/>
                <w:sz w:val="20"/>
                <w:szCs w:val="20"/>
              </w:rPr>
              <w:t xml:space="preserve"> </w:t>
            </w:r>
            <w:r w:rsidRPr="00A53AD7">
              <w:rPr>
                <w:rFonts w:ascii="Times New Roman" w:hAnsi="Times New Roman"/>
                <w:sz w:val="20"/>
                <w:szCs w:val="20"/>
              </w:rPr>
              <w:t>15.1. Реконструкция аэропортового комплекса «Соловки» о. Соловецкий, Архангельская область</w:t>
            </w:r>
          </w:p>
        </w:tc>
        <w:tc>
          <w:tcPr>
            <w:tcW w:w="1260" w:type="dxa"/>
          </w:tcPr>
          <w:p w14:paraId="0CF6D839" w14:textId="77777777" w:rsidR="00C16B57" w:rsidRPr="00A53AD7" w:rsidRDefault="00C16B57" w:rsidP="001E4C75">
            <w:pPr>
              <w:spacing w:after="0" w:line="240" w:lineRule="auto"/>
              <w:jc w:val="center"/>
              <w:rPr>
                <w:rFonts w:ascii="Times New Roman" w:hAnsi="Times New Roman"/>
                <w:sz w:val="20"/>
                <w:szCs w:val="20"/>
              </w:rPr>
            </w:pPr>
          </w:p>
          <w:p w14:paraId="74D1BF3F"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1 222,22</w:t>
            </w:r>
          </w:p>
        </w:tc>
        <w:tc>
          <w:tcPr>
            <w:tcW w:w="1080" w:type="dxa"/>
          </w:tcPr>
          <w:p w14:paraId="2DA2CB19" w14:textId="77777777" w:rsidR="00C16B57" w:rsidRPr="00A53AD7" w:rsidRDefault="00C16B57" w:rsidP="001E4C75">
            <w:pPr>
              <w:spacing w:after="0" w:line="240" w:lineRule="auto"/>
              <w:jc w:val="center"/>
              <w:rPr>
                <w:rFonts w:ascii="Times New Roman" w:hAnsi="Times New Roman"/>
                <w:sz w:val="20"/>
                <w:szCs w:val="20"/>
              </w:rPr>
            </w:pPr>
          </w:p>
          <w:p w14:paraId="5956579F"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1 100,0</w:t>
            </w:r>
          </w:p>
        </w:tc>
        <w:tc>
          <w:tcPr>
            <w:tcW w:w="1080" w:type="dxa"/>
          </w:tcPr>
          <w:p w14:paraId="606C4AEC" w14:textId="77777777" w:rsidR="00C16B57" w:rsidRPr="00A53AD7" w:rsidRDefault="00C16B57" w:rsidP="001E4C75">
            <w:pPr>
              <w:spacing w:after="0" w:line="240" w:lineRule="auto"/>
              <w:jc w:val="center"/>
              <w:rPr>
                <w:rFonts w:ascii="Times New Roman" w:hAnsi="Times New Roman"/>
                <w:sz w:val="20"/>
                <w:szCs w:val="20"/>
              </w:rPr>
            </w:pPr>
          </w:p>
          <w:p w14:paraId="3583299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122,22</w:t>
            </w:r>
          </w:p>
        </w:tc>
        <w:tc>
          <w:tcPr>
            <w:tcW w:w="1260" w:type="dxa"/>
          </w:tcPr>
          <w:p w14:paraId="03E01267" w14:textId="77777777" w:rsidR="00C16B57" w:rsidRPr="00A53AD7" w:rsidRDefault="00C16B57" w:rsidP="001E4C75">
            <w:pPr>
              <w:spacing w:after="0" w:line="240" w:lineRule="auto"/>
              <w:jc w:val="center"/>
              <w:rPr>
                <w:rFonts w:ascii="Times New Roman" w:hAnsi="Times New Roman"/>
                <w:sz w:val="20"/>
                <w:szCs w:val="20"/>
              </w:rPr>
            </w:pPr>
          </w:p>
          <w:p w14:paraId="462EACE5"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1 438,15</w:t>
            </w:r>
          </w:p>
        </w:tc>
        <w:tc>
          <w:tcPr>
            <w:tcW w:w="1080" w:type="dxa"/>
          </w:tcPr>
          <w:p w14:paraId="07AB9EDE" w14:textId="77777777" w:rsidR="00C16B57" w:rsidRPr="00A53AD7" w:rsidRDefault="00C16B57" w:rsidP="001E4C75">
            <w:pPr>
              <w:spacing w:after="0" w:line="240" w:lineRule="auto"/>
              <w:jc w:val="center"/>
              <w:rPr>
                <w:rFonts w:ascii="Times New Roman" w:hAnsi="Times New Roman"/>
                <w:sz w:val="20"/>
                <w:szCs w:val="20"/>
              </w:rPr>
            </w:pPr>
          </w:p>
          <w:p w14:paraId="5DFA5DA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1 100,0</w:t>
            </w:r>
          </w:p>
        </w:tc>
        <w:tc>
          <w:tcPr>
            <w:tcW w:w="1080" w:type="dxa"/>
          </w:tcPr>
          <w:p w14:paraId="68E88412" w14:textId="77777777" w:rsidR="00C16B57" w:rsidRPr="00A53AD7" w:rsidRDefault="00C16B57" w:rsidP="001E4C75">
            <w:pPr>
              <w:spacing w:after="0" w:line="240" w:lineRule="auto"/>
              <w:jc w:val="center"/>
              <w:rPr>
                <w:rFonts w:ascii="Times New Roman" w:hAnsi="Times New Roman"/>
                <w:sz w:val="20"/>
                <w:szCs w:val="20"/>
              </w:rPr>
            </w:pPr>
          </w:p>
          <w:p w14:paraId="3B1F98A8"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338,15</w:t>
            </w:r>
          </w:p>
        </w:tc>
      </w:tr>
      <w:tr w:rsidR="00D470B6" w:rsidRPr="00A53AD7" w14:paraId="69212E2D" w14:textId="77777777" w:rsidTr="001E4C75">
        <w:trPr>
          <w:trHeight w:val="259"/>
        </w:trPr>
        <w:tc>
          <w:tcPr>
            <w:tcW w:w="2628" w:type="dxa"/>
          </w:tcPr>
          <w:p w14:paraId="49E3B872" w14:textId="5EA1473F"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В том числе в рамках РП</w:t>
            </w:r>
          </w:p>
        </w:tc>
        <w:tc>
          <w:tcPr>
            <w:tcW w:w="1260" w:type="dxa"/>
          </w:tcPr>
          <w:p w14:paraId="4EDD93C3"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1 222,22</w:t>
            </w:r>
          </w:p>
        </w:tc>
        <w:tc>
          <w:tcPr>
            <w:tcW w:w="1080" w:type="dxa"/>
          </w:tcPr>
          <w:p w14:paraId="67782FE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1 100,0</w:t>
            </w:r>
          </w:p>
        </w:tc>
        <w:tc>
          <w:tcPr>
            <w:tcW w:w="1080" w:type="dxa"/>
          </w:tcPr>
          <w:p w14:paraId="30FFAB9D"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122,22</w:t>
            </w:r>
          </w:p>
        </w:tc>
        <w:tc>
          <w:tcPr>
            <w:tcW w:w="1260" w:type="dxa"/>
          </w:tcPr>
          <w:p w14:paraId="2A2082E3"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1 222,22</w:t>
            </w:r>
          </w:p>
        </w:tc>
        <w:tc>
          <w:tcPr>
            <w:tcW w:w="1080" w:type="dxa"/>
          </w:tcPr>
          <w:p w14:paraId="013FDDC3"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1 100,0</w:t>
            </w:r>
          </w:p>
        </w:tc>
        <w:tc>
          <w:tcPr>
            <w:tcW w:w="1080" w:type="dxa"/>
          </w:tcPr>
          <w:p w14:paraId="37418F3F"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122,22</w:t>
            </w:r>
          </w:p>
        </w:tc>
      </w:tr>
      <w:tr w:rsidR="00D470B6" w:rsidRPr="00A53AD7" w14:paraId="5CC592F4" w14:textId="77777777" w:rsidTr="001E4C75">
        <w:tc>
          <w:tcPr>
            <w:tcW w:w="2628" w:type="dxa"/>
          </w:tcPr>
          <w:p w14:paraId="38F5650A" w14:textId="65B967C1"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Разница</w:t>
            </w:r>
            <w:r w:rsidR="00E46634" w:rsidRPr="00A53AD7">
              <w:rPr>
                <w:rFonts w:ascii="Times New Roman" w:hAnsi="Times New Roman"/>
                <w:sz w:val="20"/>
                <w:szCs w:val="20"/>
              </w:rPr>
              <w:t xml:space="preserve"> </w:t>
            </w:r>
            <w:r w:rsidRPr="00A53AD7">
              <w:rPr>
                <w:rFonts w:ascii="Times New Roman" w:hAnsi="Times New Roman"/>
                <w:sz w:val="20"/>
                <w:szCs w:val="20"/>
              </w:rPr>
              <w:t>в объемах финансирования, предусмотренных в рамках ГП и РП</w:t>
            </w:r>
          </w:p>
        </w:tc>
        <w:tc>
          <w:tcPr>
            <w:tcW w:w="1260" w:type="dxa"/>
          </w:tcPr>
          <w:p w14:paraId="393211AA" w14:textId="77777777" w:rsidR="00C16B57" w:rsidRPr="00A53AD7" w:rsidRDefault="00C16B57" w:rsidP="001E4C75">
            <w:pPr>
              <w:spacing w:after="0" w:line="240" w:lineRule="auto"/>
              <w:jc w:val="center"/>
              <w:rPr>
                <w:rFonts w:ascii="Times New Roman" w:hAnsi="Times New Roman"/>
                <w:sz w:val="20"/>
                <w:szCs w:val="20"/>
              </w:rPr>
            </w:pPr>
          </w:p>
          <w:p w14:paraId="50DC8936"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3788D062" w14:textId="77777777" w:rsidR="00C16B57" w:rsidRPr="00A53AD7" w:rsidRDefault="00C16B57" w:rsidP="001E4C75">
            <w:pPr>
              <w:spacing w:after="0" w:line="240" w:lineRule="auto"/>
              <w:jc w:val="center"/>
              <w:rPr>
                <w:rFonts w:ascii="Times New Roman" w:hAnsi="Times New Roman"/>
                <w:sz w:val="20"/>
                <w:szCs w:val="20"/>
              </w:rPr>
            </w:pPr>
          </w:p>
          <w:p w14:paraId="16AF0B6F"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54564DE8" w14:textId="77777777" w:rsidR="00C16B57" w:rsidRPr="00A53AD7" w:rsidRDefault="00C16B57" w:rsidP="001E4C75">
            <w:pPr>
              <w:spacing w:after="0" w:line="240" w:lineRule="auto"/>
              <w:jc w:val="center"/>
              <w:rPr>
                <w:rFonts w:ascii="Times New Roman" w:hAnsi="Times New Roman"/>
                <w:sz w:val="20"/>
                <w:szCs w:val="20"/>
              </w:rPr>
            </w:pPr>
          </w:p>
          <w:p w14:paraId="0DF79A0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260" w:type="dxa"/>
          </w:tcPr>
          <w:p w14:paraId="6EDD6CE3" w14:textId="77777777" w:rsidR="00C16B57" w:rsidRPr="00A53AD7" w:rsidRDefault="00C16B57" w:rsidP="001E4C75">
            <w:pPr>
              <w:spacing w:after="0" w:line="240" w:lineRule="auto"/>
              <w:jc w:val="center"/>
              <w:rPr>
                <w:rFonts w:ascii="Times New Roman" w:hAnsi="Times New Roman"/>
                <w:sz w:val="20"/>
                <w:szCs w:val="20"/>
              </w:rPr>
            </w:pPr>
          </w:p>
          <w:p w14:paraId="3FA738F3"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215,93</w:t>
            </w:r>
          </w:p>
        </w:tc>
        <w:tc>
          <w:tcPr>
            <w:tcW w:w="1080" w:type="dxa"/>
          </w:tcPr>
          <w:p w14:paraId="0D409F1E" w14:textId="77777777" w:rsidR="00C16B57" w:rsidRPr="00A53AD7" w:rsidRDefault="00C16B57" w:rsidP="001E4C75">
            <w:pPr>
              <w:spacing w:after="0" w:line="240" w:lineRule="auto"/>
              <w:jc w:val="center"/>
              <w:rPr>
                <w:rFonts w:ascii="Times New Roman" w:hAnsi="Times New Roman"/>
                <w:sz w:val="20"/>
                <w:szCs w:val="20"/>
              </w:rPr>
            </w:pPr>
          </w:p>
          <w:p w14:paraId="0324F767"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3C33D20E" w14:textId="77777777" w:rsidR="00C16B57" w:rsidRPr="00A53AD7" w:rsidRDefault="00C16B57" w:rsidP="001E4C75">
            <w:pPr>
              <w:spacing w:after="0" w:line="240" w:lineRule="auto"/>
              <w:jc w:val="center"/>
              <w:rPr>
                <w:rFonts w:ascii="Times New Roman" w:hAnsi="Times New Roman"/>
                <w:sz w:val="20"/>
                <w:szCs w:val="20"/>
              </w:rPr>
            </w:pPr>
          </w:p>
          <w:p w14:paraId="2B0E404D"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215,93</w:t>
            </w:r>
          </w:p>
        </w:tc>
      </w:tr>
      <w:tr w:rsidR="00D470B6" w:rsidRPr="00A53AD7" w14:paraId="44FC2A56" w14:textId="77777777" w:rsidTr="001E4C75">
        <w:tc>
          <w:tcPr>
            <w:tcW w:w="2628" w:type="dxa"/>
          </w:tcPr>
          <w:p w14:paraId="22A37156" w14:textId="77777777"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15.2. Разработка (приобретение) проектной документации по объекту "Реконструкция аэропортового комплекса "Соловки", о. Соловецкий,</w:t>
            </w:r>
          </w:p>
        </w:tc>
        <w:tc>
          <w:tcPr>
            <w:tcW w:w="1260" w:type="dxa"/>
          </w:tcPr>
          <w:p w14:paraId="733FA9C9" w14:textId="77777777" w:rsidR="00C16B57" w:rsidRPr="00A53AD7" w:rsidRDefault="00C16B57" w:rsidP="001E4C75">
            <w:pPr>
              <w:spacing w:after="0" w:line="240" w:lineRule="auto"/>
              <w:jc w:val="center"/>
              <w:rPr>
                <w:rFonts w:ascii="Times New Roman" w:hAnsi="Times New Roman"/>
                <w:sz w:val="20"/>
                <w:szCs w:val="20"/>
              </w:rPr>
            </w:pPr>
          </w:p>
          <w:p w14:paraId="6C61710A" w14:textId="77777777" w:rsidR="00C16B57" w:rsidRPr="00A53AD7" w:rsidRDefault="00C16B57" w:rsidP="001E4C75">
            <w:pPr>
              <w:spacing w:after="0" w:line="240" w:lineRule="auto"/>
              <w:jc w:val="center"/>
              <w:rPr>
                <w:rFonts w:ascii="Times New Roman" w:hAnsi="Times New Roman"/>
                <w:sz w:val="20"/>
                <w:szCs w:val="20"/>
              </w:rPr>
            </w:pPr>
          </w:p>
          <w:p w14:paraId="713A718F"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6A236E90" w14:textId="77777777" w:rsidR="00C16B57" w:rsidRPr="00A53AD7" w:rsidRDefault="00C16B57" w:rsidP="001E4C75">
            <w:pPr>
              <w:spacing w:after="0" w:line="240" w:lineRule="auto"/>
              <w:jc w:val="center"/>
              <w:rPr>
                <w:rFonts w:ascii="Times New Roman" w:hAnsi="Times New Roman"/>
                <w:sz w:val="20"/>
                <w:szCs w:val="20"/>
              </w:rPr>
            </w:pPr>
          </w:p>
          <w:p w14:paraId="6C556EA4" w14:textId="77777777" w:rsidR="00C16B57" w:rsidRPr="00A53AD7" w:rsidRDefault="00C16B57" w:rsidP="001E4C75">
            <w:pPr>
              <w:spacing w:after="0" w:line="240" w:lineRule="auto"/>
              <w:jc w:val="center"/>
              <w:rPr>
                <w:rFonts w:ascii="Times New Roman" w:hAnsi="Times New Roman"/>
                <w:sz w:val="20"/>
                <w:szCs w:val="20"/>
              </w:rPr>
            </w:pPr>
          </w:p>
          <w:p w14:paraId="24826BB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3A6BE357" w14:textId="77777777" w:rsidR="00C16B57" w:rsidRPr="00A53AD7" w:rsidRDefault="00C16B57" w:rsidP="001E4C75">
            <w:pPr>
              <w:spacing w:after="0" w:line="240" w:lineRule="auto"/>
              <w:jc w:val="center"/>
              <w:rPr>
                <w:rFonts w:ascii="Times New Roman" w:hAnsi="Times New Roman"/>
                <w:sz w:val="20"/>
                <w:szCs w:val="20"/>
              </w:rPr>
            </w:pPr>
          </w:p>
          <w:p w14:paraId="57FD447D" w14:textId="77777777" w:rsidR="00C16B57" w:rsidRPr="00A53AD7" w:rsidRDefault="00C16B57" w:rsidP="001E4C75">
            <w:pPr>
              <w:spacing w:after="0" w:line="240" w:lineRule="auto"/>
              <w:jc w:val="center"/>
              <w:rPr>
                <w:rFonts w:ascii="Times New Roman" w:hAnsi="Times New Roman"/>
                <w:sz w:val="20"/>
                <w:szCs w:val="20"/>
              </w:rPr>
            </w:pPr>
          </w:p>
          <w:p w14:paraId="2A395EFB"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260" w:type="dxa"/>
          </w:tcPr>
          <w:p w14:paraId="75FD886A" w14:textId="77777777" w:rsidR="00C16B57" w:rsidRPr="00A53AD7" w:rsidRDefault="00C16B57" w:rsidP="001E4C75">
            <w:pPr>
              <w:spacing w:after="0" w:line="240" w:lineRule="auto"/>
              <w:jc w:val="center"/>
              <w:rPr>
                <w:rFonts w:ascii="Times New Roman" w:hAnsi="Times New Roman"/>
                <w:sz w:val="20"/>
                <w:szCs w:val="20"/>
              </w:rPr>
            </w:pPr>
          </w:p>
          <w:p w14:paraId="1A67446B" w14:textId="77777777" w:rsidR="00C16B57" w:rsidRPr="00A53AD7" w:rsidRDefault="00C16B57" w:rsidP="001E4C75">
            <w:pPr>
              <w:spacing w:after="0" w:line="240" w:lineRule="auto"/>
              <w:jc w:val="center"/>
              <w:rPr>
                <w:rFonts w:ascii="Times New Roman" w:hAnsi="Times New Roman"/>
                <w:sz w:val="20"/>
                <w:szCs w:val="20"/>
              </w:rPr>
            </w:pPr>
          </w:p>
          <w:p w14:paraId="06B884BB"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7,0</w:t>
            </w:r>
          </w:p>
        </w:tc>
        <w:tc>
          <w:tcPr>
            <w:tcW w:w="1080" w:type="dxa"/>
          </w:tcPr>
          <w:p w14:paraId="6FC8B4D3" w14:textId="77777777" w:rsidR="00C16B57" w:rsidRPr="00A53AD7" w:rsidRDefault="00C16B57" w:rsidP="001E4C75">
            <w:pPr>
              <w:spacing w:after="0" w:line="240" w:lineRule="auto"/>
              <w:jc w:val="center"/>
              <w:rPr>
                <w:rFonts w:ascii="Times New Roman" w:hAnsi="Times New Roman"/>
                <w:sz w:val="20"/>
                <w:szCs w:val="20"/>
              </w:rPr>
            </w:pPr>
          </w:p>
          <w:p w14:paraId="01CDFA04" w14:textId="77777777" w:rsidR="00C16B57" w:rsidRPr="00A53AD7" w:rsidRDefault="00C16B57" w:rsidP="001E4C75">
            <w:pPr>
              <w:spacing w:after="0" w:line="240" w:lineRule="auto"/>
              <w:jc w:val="center"/>
              <w:rPr>
                <w:rFonts w:ascii="Times New Roman" w:hAnsi="Times New Roman"/>
                <w:sz w:val="20"/>
                <w:szCs w:val="20"/>
              </w:rPr>
            </w:pPr>
          </w:p>
          <w:p w14:paraId="55FD2C91"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080" w:type="dxa"/>
          </w:tcPr>
          <w:p w14:paraId="6CA38A98" w14:textId="77777777" w:rsidR="00C16B57" w:rsidRPr="00A53AD7" w:rsidRDefault="00C16B57" w:rsidP="001E4C75">
            <w:pPr>
              <w:spacing w:after="0" w:line="240" w:lineRule="auto"/>
              <w:jc w:val="center"/>
              <w:rPr>
                <w:rFonts w:ascii="Times New Roman" w:hAnsi="Times New Roman"/>
                <w:sz w:val="20"/>
                <w:szCs w:val="20"/>
              </w:rPr>
            </w:pPr>
          </w:p>
          <w:p w14:paraId="5908EAD8" w14:textId="77777777" w:rsidR="00C16B57" w:rsidRPr="00A53AD7" w:rsidRDefault="00C16B57" w:rsidP="001E4C75">
            <w:pPr>
              <w:spacing w:after="0" w:line="240" w:lineRule="auto"/>
              <w:jc w:val="center"/>
              <w:rPr>
                <w:rFonts w:ascii="Times New Roman" w:hAnsi="Times New Roman"/>
                <w:sz w:val="20"/>
                <w:szCs w:val="20"/>
              </w:rPr>
            </w:pPr>
          </w:p>
          <w:p w14:paraId="46264399"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7,0</w:t>
            </w:r>
          </w:p>
        </w:tc>
      </w:tr>
      <w:tr w:rsidR="00C16B57" w:rsidRPr="00A53AD7" w14:paraId="5A277784" w14:textId="77777777" w:rsidTr="001E4C75">
        <w:tc>
          <w:tcPr>
            <w:tcW w:w="2628" w:type="dxa"/>
          </w:tcPr>
          <w:p w14:paraId="18F0F259" w14:textId="38991ED6" w:rsidR="00C16B57" w:rsidRPr="00A53AD7" w:rsidRDefault="00FD1445" w:rsidP="001E4C75">
            <w:pPr>
              <w:spacing w:after="0" w:line="240" w:lineRule="auto"/>
              <w:jc w:val="right"/>
              <w:rPr>
                <w:rFonts w:ascii="Times New Roman" w:hAnsi="Times New Roman"/>
                <w:b/>
                <w:sz w:val="20"/>
                <w:szCs w:val="20"/>
              </w:rPr>
            </w:pPr>
            <w:r w:rsidRPr="00A53AD7">
              <w:rPr>
                <w:rFonts w:ascii="Times New Roman" w:hAnsi="Times New Roman"/>
                <w:b/>
                <w:sz w:val="20"/>
                <w:szCs w:val="20"/>
              </w:rPr>
              <w:t xml:space="preserve"> </w:t>
            </w:r>
            <w:r w:rsidR="00C16B57" w:rsidRPr="00A53AD7">
              <w:rPr>
                <w:rFonts w:ascii="Times New Roman" w:hAnsi="Times New Roman"/>
                <w:b/>
                <w:sz w:val="20"/>
                <w:szCs w:val="20"/>
              </w:rPr>
              <w:t>ИТОГО:</w:t>
            </w:r>
          </w:p>
        </w:tc>
        <w:tc>
          <w:tcPr>
            <w:tcW w:w="1260" w:type="dxa"/>
          </w:tcPr>
          <w:p w14:paraId="6E8DF049"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1 222,22</w:t>
            </w:r>
          </w:p>
        </w:tc>
        <w:tc>
          <w:tcPr>
            <w:tcW w:w="1080" w:type="dxa"/>
          </w:tcPr>
          <w:p w14:paraId="564803F3"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1 100,0</w:t>
            </w:r>
          </w:p>
        </w:tc>
        <w:tc>
          <w:tcPr>
            <w:tcW w:w="1080" w:type="dxa"/>
          </w:tcPr>
          <w:p w14:paraId="23CC5C9E"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122,22</w:t>
            </w:r>
          </w:p>
        </w:tc>
        <w:tc>
          <w:tcPr>
            <w:tcW w:w="1260" w:type="dxa"/>
          </w:tcPr>
          <w:p w14:paraId="7209DCFB"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1 445,15</w:t>
            </w:r>
          </w:p>
        </w:tc>
        <w:tc>
          <w:tcPr>
            <w:tcW w:w="1080" w:type="dxa"/>
          </w:tcPr>
          <w:p w14:paraId="7F6F833D"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1 100,0</w:t>
            </w:r>
          </w:p>
        </w:tc>
        <w:tc>
          <w:tcPr>
            <w:tcW w:w="1080" w:type="dxa"/>
          </w:tcPr>
          <w:p w14:paraId="740AB750"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345,15</w:t>
            </w:r>
          </w:p>
        </w:tc>
      </w:tr>
    </w:tbl>
    <w:p w14:paraId="3720DBBE" w14:textId="77777777" w:rsidR="00C16B57" w:rsidRPr="00A53AD7" w:rsidRDefault="00C16B57" w:rsidP="001E4C75">
      <w:pPr>
        <w:spacing w:after="0" w:line="240" w:lineRule="auto"/>
        <w:ind w:firstLine="851"/>
        <w:jc w:val="both"/>
        <w:rPr>
          <w:rFonts w:ascii="Times New Roman" w:hAnsi="Times New Roman"/>
          <w:sz w:val="28"/>
          <w:szCs w:val="28"/>
        </w:rPr>
      </w:pPr>
    </w:p>
    <w:p w14:paraId="029AEB3C" w14:textId="78E64633"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течение 2019 года объем финансирования</w:t>
      </w:r>
      <w:r w:rsidR="00E46634" w:rsidRPr="00A53AD7">
        <w:rPr>
          <w:rFonts w:ascii="Times New Roman" w:hAnsi="Times New Roman"/>
          <w:sz w:val="28"/>
          <w:szCs w:val="28"/>
        </w:rPr>
        <w:t xml:space="preserve"> </w:t>
      </w:r>
      <w:r w:rsidRPr="00A53AD7">
        <w:rPr>
          <w:rFonts w:ascii="Times New Roman" w:hAnsi="Times New Roman"/>
          <w:sz w:val="28"/>
          <w:szCs w:val="28"/>
        </w:rPr>
        <w:t>мероприятий 15.1 и 15.2</w:t>
      </w:r>
      <w:r w:rsidR="00E46634" w:rsidRPr="00A53AD7">
        <w:rPr>
          <w:rFonts w:ascii="Times New Roman" w:hAnsi="Times New Roman"/>
          <w:sz w:val="28"/>
          <w:szCs w:val="28"/>
        </w:rPr>
        <w:t xml:space="preserve"> </w:t>
      </w:r>
      <w:r w:rsidR="00E6143A" w:rsidRPr="00A53AD7">
        <w:rPr>
          <w:rFonts w:ascii="Times New Roman" w:hAnsi="Times New Roman"/>
          <w:sz w:val="28"/>
          <w:szCs w:val="28"/>
        </w:rPr>
        <w:t>возрос на 222,93 млн.</w:t>
      </w:r>
      <w:r w:rsidRPr="00A53AD7">
        <w:rPr>
          <w:rFonts w:ascii="Times New Roman" w:hAnsi="Times New Roman"/>
          <w:sz w:val="28"/>
          <w:szCs w:val="28"/>
        </w:rPr>
        <w:t>руб. за счет средств областного бюджета, в том числе</w:t>
      </w:r>
      <w:r w:rsidR="00E46634" w:rsidRPr="00A53AD7">
        <w:rPr>
          <w:rFonts w:ascii="Times New Roman" w:hAnsi="Times New Roman"/>
          <w:sz w:val="28"/>
          <w:szCs w:val="28"/>
        </w:rPr>
        <w:t xml:space="preserve"> </w:t>
      </w:r>
      <w:r w:rsidRPr="00A53AD7">
        <w:rPr>
          <w:rFonts w:ascii="Times New Roman" w:hAnsi="Times New Roman"/>
          <w:sz w:val="28"/>
          <w:szCs w:val="28"/>
        </w:rPr>
        <w:t>на реализацию мероприятия по</w:t>
      </w:r>
      <w:r w:rsidR="00E46634" w:rsidRPr="00A53AD7">
        <w:rPr>
          <w:rFonts w:ascii="Times New Roman" w:hAnsi="Times New Roman"/>
          <w:sz w:val="28"/>
          <w:szCs w:val="28"/>
        </w:rPr>
        <w:t xml:space="preserve"> </w:t>
      </w:r>
      <w:r w:rsidRPr="00A53AD7">
        <w:rPr>
          <w:rFonts w:ascii="Times New Roman" w:hAnsi="Times New Roman"/>
          <w:sz w:val="28"/>
          <w:szCs w:val="28"/>
        </w:rPr>
        <w:t>реконструкции аэропортового компл</w:t>
      </w:r>
      <w:r w:rsidR="00E6143A" w:rsidRPr="00A53AD7">
        <w:rPr>
          <w:rFonts w:ascii="Times New Roman" w:hAnsi="Times New Roman"/>
          <w:sz w:val="28"/>
          <w:szCs w:val="28"/>
        </w:rPr>
        <w:t>екса «Соловки» - на 215,93 млн.</w:t>
      </w:r>
      <w:r w:rsidRPr="00A53AD7">
        <w:rPr>
          <w:rFonts w:ascii="Times New Roman" w:hAnsi="Times New Roman"/>
          <w:sz w:val="28"/>
          <w:szCs w:val="28"/>
        </w:rPr>
        <w:t>руб., на</w:t>
      </w:r>
      <w:r w:rsidR="00E46634" w:rsidRPr="00A53AD7">
        <w:rPr>
          <w:rFonts w:ascii="Times New Roman" w:hAnsi="Times New Roman"/>
          <w:sz w:val="28"/>
          <w:szCs w:val="28"/>
        </w:rPr>
        <w:t xml:space="preserve"> </w:t>
      </w:r>
      <w:r w:rsidRPr="00A53AD7">
        <w:rPr>
          <w:rFonts w:ascii="Times New Roman" w:hAnsi="Times New Roman"/>
          <w:sz w:val="28"/>
          <w:szCs w:val="28"/>
        </w:rPr>
        <w:t>разработку проектной документации</w:t>
      </w:r>
      <w:r w:rsidR="00E46634" w:rsidRPr="00A53AD7">
        <w:rPr>
          <w:rFonts w:ascii="Times New Roman" w:hAnsi="Times New Roman"/>
          <w:sz w:val="28"/>
          <w:szCs w:val="28"/>
        </w:rPr>
        <w:t xml:space="preserve"> </w:t>
      </w:r>
      <w:r w:rsidRPr="00A53AD7">
        <w:rPr>
          <w:rFonts w:ascii="Times New Roman" w:hAnsi="Times New Roman"/>
          <w:sz w:val="28"/>
          <w:szCs w:val="28"/>
        </w:rPr>
        <w:t>п</w:t>
      </w:r>
      <w:r w:rsidR="00E6143A" w:rsidRPr="00A53AD7">
        <w:rPr>
          <w:rFonts w:ascii="Times New Roman" w:hAnsi="Times New Roman"/>
          <w:sz w:val="28"/>
          <w:szCs w:val="28"/>
        </w:rPr>
        <w:t>о данному объекту – на 7,0 млн.</w:t>
      </w:r>
      <w:r w:rsidRPr="00A53AD7">
        <w:rPr>
          <w:rFonts w:ascii="Times New Roman" w:hAnsi="Times New Roman"/>
          <w:sz w:val="28"/>
          <w:szCs w:val="28"/>
        </w:rPr>
        <w:t>руб.</w:t>
      </w:r>
    </w:p>
    <w:p w14:paraId="0C3EFCCB" w14:textId="57D5145A"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Минстроя АО, в ходе</w:t>
      </w:r>
      <w:r w:rsidR="00E46634" w:rsidRPr="00A53AD7">
        <w:rPr>
          <w:rFonts w:ascii="Times New Roman" w:hAnsi="Times New Roman"/>
          <w:sz w:val="28"/>
          <w:szCs w:val="28"/>
        </w:rPr>
        <w:t xml:space="preserve"> </w:t>
      </w:r>
      <w:r w:rsidRPr="00A53AD7">
        <w:rPr>
          <w:rFonts w:ascii="Times New Roman" w:hAnsi="Times New Roman"/>
          <w:sz w:val="28"/>
          <w:szCs w:val="28"/>
        </w:rPr>
        <w:t>реализации мероприятия</w:t>
      </w:r>
      <w:r w:rsidR="00E46634" w:rsidRPr="00A53AD7">
        <w:rPr>
          <w:rFonts w:ascii="Times New Roman" w:hAnsi="Times New Roman"/>
          <w:sz w:val="28"/>
          <w:szCs w:val="28"/>
        </w:rPr>
        <w:t xml:space="preserve"> </w:t>
      </w:r>
      <w:r w:rsidRPr="00A53AD7">
        <w:rPr>
          <w:rFonts w:ascii="Times New Roman" w:hAnsi="Times New Roman"/>
          <w:sz w:val="28"/>
          <w:szCs w:val="28"/>
        </w:rPr>
        <w:t>по реконструкции</w:t>
      </w:r>
      <w:r w:rsidR="00E46634" w:rsidRPr="00A53AD7">
        <w:rPr>
          <w:rFonts w:ascii="Times New Roman" w:hAnsi="Times New Roman"/>
          <w:sz w:val="28"/>
          <w:szCs w:val="28"/>
        </w:rPr>
        <w:t xml:space="preserve"> </w:t>
      </w:r>
      <w:r w:rsidRPr="00A53AD7">
        <w:rPr>
          <w:rFonts w:ascii="Times New Roman" w:hAnsi="Times New Roman"/>
          <w:sz w:val="28"/>
          <w:szCs w:val="28"/>
        </w:rPr>
        <w:t>аэропорта возникла необходимость внесения изменений в ранее утвержденную проектную документацию в связи с тем, что не были получены</w:t>
      </w:r>
      <w:r w:rsidR="00E46634" w:rsidRPr="00A53AD7">
        <w:rPr>
          <w:rFonts w:ascii="Times New Roman" w:hAnsi="Times New Roman"/>
          <w:sz w:val="28"/>
          <w:szCs w:val="28"/>
        </w:rPr>
        <w:t xml:space="preserve"> </w:t>
      </w:r>
      <w:r w:rsidRPr="00A53AD7">
        <w:rPr>
          <w:rFonts w:ascii="Times New Roman" w:hAnsi="Times New Roman"/>
          <w:sz w:val="28"/>
          <w:szCs w:val="28"/>
        </w:rPr>
        <w:t>отдельные согласования по объектам</w:t>
      </w:r>
      <w:r w:rsidR="00E46634" w:rsidRPr="00A53AD7">
        <w:rPr>
          <w:rFonts w:ascii="Times New Roman" w:hAnsi="Times New Roman"/>
          <w:sz w:val="28"/>
          <w:szCs w:val="28"/>
        </w:rPr>
        <w:t xml:space="preserve"> </w:t>
      </w:r>
      <w:r w:rsidRPr="00A53AD7">
        <w:rPr>
          <w:rFonts w:ascii="Times New Roman" w:hAnsi="Times New Roman"/>
          <w:sz w:val="28"/>
          <w:szCs w:val="28"/>
        </w:rPr>
        <w:t>всемирного</w:t>
      </w:r>
      <w:r w:rsidR="00E46634" w:rsidRPr="00A53AD7">
        <w:rPr>
          <w:rFonts w:ascii="Times New Roman" w:hAnsi="Times New Roman"/>
          <w:sz w:val="28"/>
          <w:szCs w:val="28"/>
        </w:rPr>
        <w:t xml:space="preserve"> </w:t>
      </w:r>
      <w:r w:rsidRPr="00A53AD7">
        <w:rPr>
          <w:rFonts w:ascii="Times New Roman" w:hAnsi="Times New Roman"/>
          <w:sz w:val="28"/>
          <w:szCs w:val="28"/>
        </w:rPr>
        <w:t>наследия ЮНЕСКО. Данные изменения</w:t>
      </w:r>
      <w:r w:rsidR="00E46634" w:rsidRPr="00A53AD7">
        <w:rPr>
          <w:rFonts w:ascii="Times New Roman" w:hAnsi="Times New Roman"/>
          <w:sz w:val="28"/>
          <w:szCs w:val="28"/>
        </w:rPr>
        <w:t xml:space="preserve"> </w:t>
      </w:r>
      <w:r w:rsidRPr="00A53AD7">
        <w:rPr>
          <w:rFonts w:ascii="Times New Roman" w:hAnsi="Times New Roman"/>
          <w:sz w:val="28"/>
          <w:szCs w:val="28"/>
        </w:rPr>
        <w:t>проекта относятся к строительству здания аэропорта.</w:t>
      </w:r>
    </w:p>
    <w:p w14:paraId="6774C0BA" w14:textId="6AD30D1F"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отчетную дату не осуществлена допоставка разработанной по государственному контракту проектной документации объекта,</w:t>
      </w:r>
      <w:r w:rsidR="00E46634" w:rsidRPr="00A53AD7">
        <w:rPr>
          <w:rFonts w:ascii="Times New Roman" w:hAnsi="Times New Roman"/>
          <w:sz w:val="28"/>
          <w:szCs w:val="28"/>
        </w:rPr>
        <w:t xml:space="preserve"> </w:t>
      </w:r>
      <w:r w:rsidRPr="00A53AD7">
        <w:rPr>
          <w:rFonts w:ascii="Times New Roman" w:hAnsi="Times New Roman"/>
          <w:sz w:val="28"/>
          <w:szCs w:val="28"/>
        </w:rPr>
        <w:t>а именно: отсутствуют разделы по обеспечению сохранности объекта культурного наследия федерального значения «Сооружения дороги Монастырь – Сергиевский скит на острове Большая Муксалма», XVI – XIX века, объекта культурного наследия федерального значения «Сооружения дороги Монастырь – Реболда»,</w:t>
      </w:r>
      <w:r w:rsidR="00E46634" w:rsidRPr="00A53AD7">
        <w:rPr>
          <w:rFonts w:ascii="Times New Roman" w:hAnsi="Times New Roman"/>
          <w:sz w:val="28"/>
          <w:szCs w:val="28"/>
        </w:rPr>
        <w:t xml:space="preserve"> </w:t>
      </w:r>
      <w:r w:rsidRPr="00A53AD7">
        <w:rPr>
          <w:rFonts w:ascii="Times New Roman" w:hAnsi="Times New Roman"/>
          <w:sz w:val="28"/>
          <w:szCs w:val="28"/>
        </w:rPr>
        <w:t>XVI – XIX века.</w:t>
      </w:r>
    </w:p>
    <w:p w14:paraId="05128D43" w14:textId="77777777" w:rsidR="00C16B57" w:rsidRPr="00A53AD7" w:rsidRDefault="00C16B57" w:rsidP="001E4C75">
      <w:pPr>
        <w:spacing w:after="0" w:line="240" w:lineRule="auto"/>
        <w:ind w:firstLine="851"/>
        <w:jc w:val="both"/>
        <w:rPr>
          <w:rFonts w:ascii="Times New Roman" w:hAnsi="Times New Roman"/>
          <w:sz w:val="28"/>
          <w:szCs w:val="28"/>
        </w:rPr>
      </w:pPr>
    </w:p>
    <w:p w14:paraId="33C1E489" w14:textId="7DB40733"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Минстроя АО о реализации мероприятий ГП АО «Развитие Соловецкого архипелага» за 2019 год</w:t>
      </w:r>
      <w:r w:rsidR="00E46634" w:rsidRPr="00A53AD7">
        <w:rPr>
          <w:rFonts w:ascii="Times New Roman" w:hAnsi="Times New Roman"/>
          <w:sz w:val="28"/>
          <w:szCs w:val="28"/>
        </w:rPr>
        <w:t xml:space="preserve"> </w:t>
      </w:r>
      <w:r w:rsidRPr="00A53AD7">
        <w:rPr>
          <w:rFonts w:ascii="Times New Roman" w:hAnsi="Times New Roman"/>
          <w:sz w:val="28"/>
          <w:szCs w:val="28"/>
        </w:rPr>
        <w:t>(данные КИАС АО)</w:t>
      </w:r>
      <w:r w:rsidR="00E46634" w:rsidRPr="00A53AD7">
        <w:rPr>
          <w:rFonts w:ascii="Times New Roman" w:hAnsi="Times New Roman"/>
          <w:sz w:val="28"/>
          <w:szCs w:val="28"/>
        </w:rPr>
        <w:t xml:space="preserve"> </w:t>
      </w:r>
      <w:r w:rsidRPr="00A53AD7">
        <w:rPr>
          <w:rFonts w:ascii="Times New Roman" w:hAnsi="Times New Roman"/>
          <w:sz w:val="28"/>
          <w:szCs w:val="28"/>
        </w:rPr>
        <w:t>кассовые расходы на реализацию мероприятий</w:t>
      </w:r>
      <w:r w:rsidR="00E46634" w:rsidRPr="00A53AD7">
        <w:rPr>
          <w:rFonts w:ascii="Times New Roman" w:hAnsi="Times New Roman"/>
          <w:sz w:val="28"/>
          <w:szCs w:val="28"/>
        </w:rPr>
        <w:t xml:space="preserve"> </w:t>
      </w:r>
      <w:r w:rsidRPr="00A53AD7">
        <w:rPr>
          <w:rFonts w:ascii="Times New Roman" w:hAnsi="Times New Roman"/>
          <w:sz w:val="28"/>
          <w:szCs w:val="28"/>
        </w:rPr>
        <w:t>п. 15.1 и 15.2 составили:</w:t>
      </w:r>
    </w:p>
    <w:tbl>
      <w:tblPr>
        <w:tblpPr w:leftFromText="180" w:rightFromText="180" w:vertAnchor="text" w:horzAnchor="margin" w:tblpY="174"/>
        <w:tblW w:w="933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268"/>
        <w:gridCol w:w="981"/>
        <w:gridCol w:w="965"/>
        <w:gridCol w:w="831"/>
        <w:gridCol w:w="949"/>
        <w:gridCol w:w="900"/>
        <w:gridCol w:w="807"/>
        <w:gridCol w:w="1034"/>
        <w:gridCol w:w="602"/>
      </w:tblGrid>
      <w:tr w:rsidR="00D470B6" w:rsidRPr="00A53AD7" w14:paraId="38DC6413" w14:textId="77777777" w:rsidTr="001E4C75">
        <w:tc>
          <w:tcPr>
            <w:tcW w:w="2268" w:type="dxa"/>
            <w:vMerge w:val="restart"/>
          </w:tcPr>
          <w:p w14:paraId="7750E434" w14:textId="3D1D7CBC"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b/>
                <w:sz w:val="20"/>
                <w:szCs w:val="20"/>
              </w:rPr>
              <w:t>№ и</w:t>
            </w:r>
            <w:r w:rsidR="00E46634" w:rsidRPr="00A53AD7">
              <w:rPr>
                <w:rFonts w:ascii="Times New Roman" w:hAnsi="Times New Roman"/>
                <w:b/>
                <w:sz w:val="20"/>
                <w:szCs w:val="20"/>
              </w:rPr>
              <w:t xml:space="preserve"> </w:t>
            </w:r>
            <w:r w:rsidRPr="00A53AD7">
              <w:rPr>
                <w:rFonts w:ascii="Times New Roman" w:hAnsi="Times New Roman"/>
                <w:b/>
                <w:sz w:val="20"/>
                <w:szCs w:val="20"/>
              </w:rPr>
              <w:t>наименование</w:t>
            </w:r>
            <w:r w:rsidR="00E46634" w:rsidRPr="00A53AD7">
              <w:rPr>
                <w:rFonts w:ascii="Times New Roman" w:hAnsi="Times New Roman"/>
                <w:b/>
                <w:sz w:val="20"/>
                <w:szCs w:val="20"/>
              </w:rPr>
              <w:t xml:space="preserve"> </w:t>
            </w:r>
            <w:r w:rsidRPr="00A53AD7">
              <w:rPr>
                <w:rFonts w:ascii="Times New Roman" w:hAnsi="Times New Roman"/>
                <w:b/>
                <w:sz w:val="20"/>
                <w:szCs w:val="20"/>
              </w:rPr>
              <w:t>мероприятия</w:t>
            </w:r>
          </w:p>
        </w:tc>
        <w:tc>
          <w:tcPr>
            <w:tcW w:w="2777" w:type="dxa"/>
            <w:gridSpan w:val="3"/>
          </w:tcPr>
          <w:p w14:paraId="754FA04A" w14:textId="294AAF64" w:rsidR="00C16B57" w:rsidRPr="00A53AD7" w:rsidRDefault="00E6143A"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Всего млн.</w:t>
            </w:r>
            <w:r w:rsidR="00C16B57" w:rsidRPr="00A53AD7">
              <w:rPr>
                <w:rFonts w:ascii="Times New Roman" w:hAnsi="Times New Roman"/>
                <w:b/>
                <w:sz w:val="20"/>
                <w:szCs w:val="20"/>
              </w:rPr>
              <w:t>руб.</w:t>
            </w:r>
          </w:p>
        </w:tc>
        <w:tc>
          <w:tcPr>
            <w:tcW w:w="1849" w:type="dxa"/>
            <w:gridSpan w:val="2"/>
          </w:tcPr>
          <w:p w14:paraId="0AC52B66"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ФБ</w:t>
            </w:r>
          </w:p>
        </w:tc>
        <w:tc>
          <w:tcPr>
            <w:tcW w:w="2443" w:type="dxa"/>
            <w:gridSpan w:val="3"/>
          </w:tcPr>
          <w:p w14:paraId="491EACEA"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ОБ</w:t>
            </w:r>
          </w:p>
        </w:tc>
      </w:tr>
      <w:tr w:rsidR="00D470B6" w:rsidRPr="00A53AD7" w14:paraId="6A15979C" w14:textId="77777777" w:rsidTr="001E4C75">
        <w:tc>
          <w:tcPr>
            <w:tcW w:w="2268" w:type="dxa"/>
            <w:vMerge/>
          </w:tcPr>
          <w:p w14:paraId="79F80949" w14:textId="77777777" w:rsidR="00C16B57" w:rsidRPr="00A53AD7" w:rsidRDefault="00C16B57" w:rsidP="001E4C75">
            <w:pPr>
              <w:spacing w:after="0" w:line="240" w:lineRule="auto"/>
              <w:jc w:val="both"/>
              <w:rPr>
                <w:rFonts w:ascii="Times New Roman" w:hAnsi="Times New Roman"/>
                <w:sz w:val="20"/>
                <w:szCs w:val="20"/>
              </w:rPr>
            </w:pPr>
          </w:p>
        </w:tc>
        <w:tc>
          <w:tcPr>
            <w:tcW w:w="981" w:type="dxa"/>
          </w:tcPr>
          <w:p w14:paraId="3B89344C"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План</w:t>
            </w:r>
          </w:p>
        </w:tc>
        <w:tc>
          <w:tcPr>
            <w:tcW w:w="965" w:type="dxa"/>
          </w:tcPr>
          <w:p w14:paraId="19A82E57"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Кассовые расходы</w:t>
            </w:r>
          </w:p>
        </w:tc>
        <w:tc>
          <w:tcPr>
            <w:tcW w:w="831" w:type="dxa"/>
          </w:tcPr>
          <w:p w14:paraId="64067434"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 вып.</w:t>
            </w:r>
          </w:p>
        </w:tc>
        <w:tc>
          <w:tcPr>
            <w:tcW w:w="949" w:type="dxa"/>
          </w:tcPr>
          <w:p w14:paraId="66A4DC5C"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План</w:t>
            </w:r>
          </w:p>
        </w:tc>
        <w:tc>
          <w:tcPr>
            <w:tcW w:w="900" w:type="dxa"/>
          </w:tcPr>
          <w:p w14:paraId="5DA69DB8"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Кассовые расходы</w:t>
            </w:r>
          </w:p>
        </w:tc>
        <w:tc>
          <w:tcPr>
            <w:tcW w:w="807" w:type="dxa"/>
          </w:tcPr>
          <w:p w14:paraId="5BFD960D"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План</w:t>
            </w:r>
          </w:p>
        </w:tc>
        <w:tc>
          <w:tcPr>
            <w:tcW w:w="1034" w:type="dxa"/>
          </w:tcPr>
          <w:p w14:paraId="2A725461"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Кассовые расходы</w:t>
            </w:r>
          </w:p>
        </w:tc>
        <w:tc>
          <w:tcPr>
            <w:tcW w:w="602" w:type="dxa"/>
          </w:tcPr>
          <w:p w14:paraId="7F1BD70A" w14:textId="77777777" w:rsidR="00C16B57" w:rsidRPr="00A53AD7" w:rsidRDefault="00C16B57" w:rsidP="001E4C75">
            <w:pPr>
              <w:spacing w:after="0" w:line="240" w:lineRule="auto"/>
              <w:jc w:val="center"/>
              <w:rPr>
                <w:rFonts w:ascii="Times New Roman" w:hAnsi="Times New Roman"/>
                <w:b/>
                <w:sz w:val="20"/>
                <w:szCs w:val="20"/>
              </w:rPr>
            </w:pPr>
            <w:r w:rsidRPr="00A53AD7">
              <w:rPr>
                <w:rFonts w:ascii="Times New Roman" w:hAnsi="Times New Roman"/>
                <w:b/>
                <w:sz w:val="20"/>
                <w:szCs w:val="20"/>
              </w:rPr>
              <w:t>% вып.</w:t>
            </w:r>
          </w:p>
        </w:tc>
      </w:tr>
      <w:tr w:rsidR="00D470B6" w:rsidRPr="00A53AD7" w14:paraId="4AED8002" w14:textId="77777777" w:rsidTr="001E4C75">
        <w:tc>
          <w:tcPr>
            <w:tcW w:w="2268" w:type="dxa"/>
          </w:tcPr>
          <w:p w14:paraId="59663AF9" w14:textId="0F9757BD"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п.</w:t>
            </w:r>
            <w:r w:rsidR="008D367F" w:rsidRPr="00A53AD7">
              <w:rPr>
                <w:rFonts w:ascii="Times New Roman" w:hAnsi="Times New Roman"/>
                <w:sz w:val="20"/>
                <w:szCs w:val="20"/>
              </w:rPr>
              <w:t xml:space="preserve"> </w:t>
            </w:r>
            <w:r w:rsidRPr="00A53AD7">
              <w:rPr>
                <w:rFonts w:ascii="Times New Roman" w:hAnsi="Times New Roman"/>
                <w:sz w:val="20"/>
                <w:szCs w:val="20"/>
              </w:rPr>
              <w:t>15.1. Реконструкция аэропортового комплекса «Соловки» о. Соловецкий, АО</w:t>
            </w:r>
          </w:p>
        </w:tc>
        <w:tc>
          <w:tcPr>
            <w:tcW w:w="981" w:type="dxa"/>
          </w:tcPr>
          <w:p w14:paraId="6220F90F"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1 438,15</w:t>
            </w:r>
          </w:p>
        </w:tc>
        <w:tc>
          <w:tcPr>
            <w:tcW w:w="965" w:type="dxa"/>
          </w:tcPr>
          <w:p w14:paraId="5B583825"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1 437,69</w:t>
            </w:r>
          </w:p>
        </w:tc>
        <w:tc>
          <w:tcPr>
            <w:tcW w:w="831" w:type="dxa"/>
          </w:tcPr>
          <w:p w14:paraId="4DDBDF44"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100,0</w:t>
            </w:r>
          </w:p>
        </w:tc>
        <w:tc>
          <w:tcPr>
            <w:tcW w:w="949" w:type="dxa"/>
          </w:tcPr>
          <w:p w14:paraId="3660A6BA"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1 100,0</w:t>
            </w:r>
          </w:p>
        </w:tc>
        <w:tc>
          <w:tcPr>
            <w:tcW w:w="900" w:type="dxa"/>
          </w:tcPr>
          <w:p w14:paraId="68FF4DA3"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1 100,0</w:t>
            </w:r>
          </w:p>
        </w:tc>
        <w:tc>
          <w:tcPr>
            <w:tcW w:w="807" w:type="dxa"/>
          </w:tcPr>
          <w:p w14:paraId="6110F801"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338,15</w:t>
            </w:r>
          </w:p>
        </w:tc>
        <w:tc>
          <w:tcPr>
            <w:tcW w:w="1034" w:type="dxa"/>
          </w:tcPr>
          <w:p w14:paraId="2496D947"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337,69</w:t>
            </w:r>
          </w:p>
        </w:tc>
        <w:tc>
          <w:tcPr>
            <w:tcW w:w="602" w:type="dxa"/>
          </w:tcPr>
          <w:p w14:paraId="6AFB6F66"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99,9</w:t>
            </w:r>
          </w:p>
        </w:tc>
      </w:tr>
      <w:tr w:rsidR="00D470B6" w:rsidRPr="00A53AD7" w14:paraId="7BCF9076" w14:textId="77777777" w:rsidTr="001E4C75">
        <w:tc>
          <w:tcPr>
            <w:tcW w:w="2268" w:type="dxa"/>
          </w:tcPr>
          <w:p w14:paraId="1052C5A9" w14:textId="529F1CB7"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В т.ч. в рамках РП</w:t>
            </w:r>
          </w:p>
        </w:tc>
        <w:tc>
          <w:tcPr>
            <w:tcW w:w="981" w:type="dxa"/>
          </w:tcPr>
          <w:p w14:paraId="5275903A"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1 222,22</w:t>
            </w:r>
          </w:p>
        </w:tc>
        <w:tc>
          <w:tcPr>
            <w:tcW w:w="965" w:type="dxa"/>
          </w:tcPr>
          <w:p w14:paraId="032AE4E1"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1 222,22</w:t>
            </w:r>
          </w:p>
        </w:tc>
        <w:tc>
          <w:tcPr>
            <w:tcW w:w="831" w:type="dxa"/>
          </w:tcPr>
          <w:p w14:paraId="1F9B3D1E"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100,0</w:t>
            </w:r>
          </w:p>
        </w:tc>
        <w:tc>
          <w:tcPr>
            <w:tcW w:w="949" w:type="dxa"/>
          </w:tcPr>
          <w:p w14:paraId="21847647"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1 100,0</w:t>
            </w:r>
          </w:p>
        </w:tc>
        <w:tc>
          <w:tcPr>
            <w:tcW w:w="900" w:type="dxa"/>
          </w:tcPr>
          <w:p w14:paraId="71BA4C1E"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1 100,0</w:t>
            </w:r>
          </w:p>
        </w:tc>
        <w:tc>
          <w:tcPr>
            <w:tcW w:w="807" w:type="dxa"/>
          </w:tcPr>
          <w:p w14:paraId="1307224C"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122,22</w:t>
            </w:r>
          </w:p>
        </w:tc>
        <w:tc>
          <w:tcPr>
            <w:tcW w:w="1034" w:type="dxa"/>
          </w:tcPr>
          <w:p w14:paraId="13BB79C8"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122,22</w:t>
            </w:r>
          </w:p>
        </w:tc>
        <w:tc>
          <w:tcPr>
            <w:tcW w:w="602" w:type="dxa"/>
          </w:tcPr>
          <w:p w14:paraId="1A3B9BAA" w14:textId="77777777" w:rsidR="00C16B57" w:rsidRPr="00A53AD7" w:rsidRDefault="00C16B57" w:rsidP="001E4C75">
            <w:pPr>
              <w:spacing w:after="0" w:line="240" w:lineRule="auto"/>
              <w:jc w:val="both"/>
              <w:rPr>
                <w:rFonts w:ascii="Times New Roman" w:hAnsi="Times New Roman"/>
                <w:sz w:val="20"/>
                <w:szCs w:val="20"/>
              </w:rPr>
            </w:pPr>
            <w:r w:rsidRPr="00A53AD7">
              <w:rPr>
                <w:rFonts w:ascii="Times New Roman" w:hAnsi="Times New Roman"/>
                <w:sz w:val="20"/>
                <w:szCs w:val="20"/>
              </w:rPr>
              <w:t>100</w:t>
            </w:r>
          </w:p>
        </w:tc>
      </w:tr>
      <w:tr w:rsidR="00D470B6" w:rsidRPr="00A53AD7" w14:paraId="4BDBBBD3" w14:textId="77777777" w:rsidTr="001E4C75">
        <w:tc>
          <w:tcPr>
            <w:tcW w:w="2268" w:type="dxa"/>
          </w:tcPr>
          <w:p w14:paraId="64E5F88C" w14:textId="77777777" w:rsidR="00C16B57" w:rsidRPr="00A53AD7" w:rsidRDefault="00C16B57" w:rsidP="001E4C75">
            <w:pPr>
              <w:spacing w:after="0" w:line="240" w:lineRule="auto"/>
              <w:rPr>
                <w:rFonts w:ascii="Times New Roman" w:hAnsi="Times New Roman"/>
                <w:sz w:val="20"/>
                <w:szCs w:val="20"/>
              </w:rPr>
            </w:pPr>
            <w:r w:rsidRPr="00A53AD7">
              <w:rPr>
                <w:rFonts w:ascii="Times New Roman" w:hAnsi="Times New Roman"/>
                <w:sz w:val="20"/>
                <w:szCs w:val="20"/>
              </w:rPr>
              <w:t>15.2. Разработка (приобретение) ПД по объекту Реконструкция аэропортового комплекса "Соловки", о. Соловецкий, АО</w:t>
            </w:r>
          </w:p>
        </w:tc>
        <w:tc>
          <w:tcPr>
            <w:tcW w:w="981" w:type="dxa"/>
          </w:tcPr>
          <w:p w14:paraId="657D1276" w14:textId="77777777" w:rsidR="00C16B57" w:rsidRPr="00A53AD7" w:rsidRDefault="00C16B57" w:rsidP="001E4C75">
            <w:pPr>
              <w:spacing w:after="0" w:line="240" w:lineRule="auto"/>
              <w:jc w:val="center"/>
              <w:rPr>
                <w:rFonts w:ascii="Times New Roman" w:hAnsi="Times New Roman"/>
                <w:sz w:val="20"/>
                <w:szCs w:val="20"/>
              </w:rPr>
            </w:pPr>
          </w:p>
          <w:p w14:paraId="0A3A1F86"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7,0</w:t>
            </w:r>
          </w:p>
        </w:tc>
        <w:tc>
          <w:tcPr>
            <w:tcW w:w="965" w:type="dxa"/>
          </w:tcPr>
          <w:p w14:paraId="72D8054F" w14:textId="77777777" w:rsidR="00C16B57" w:rsidRPr="00A53AD7" w:rsidRDefault="00C16B57" w:rsidP="001E4C75">
            <w:pPr>
              <w:spacing w:after="0" w:line="240" w:lineRule="auto"/>
              <w:jc w:val="center"/>
              <w:rPr>
                <w:rFonts w:ascii="Times New Roman" w:hAnsi="Times New Roman"/>
                <w:sz w:val="20"/>
                <w:szCs w:val="20"/>
              </w:rPr>
            </w:pPr>
          </w:p>
          <w:p w14:paraId="6450994A"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3,02</w:t>
            </w:r>
          </w:p>
        </w:tc>
        <w:tc>
          <w:tcPr>
            <w:tcW w:w="831" w:type="dxa"/>
          </w:tcPr>
          <w:p w14:paraId="031593D0" w14:textId="77777777" w:rsidR="00C16B57" w:rsidRPr="00A53AD7" w:rsidRDefault="00C16B57" w:rsidP="001E4C75">
            <w:pPr>
              <w:spacing w:after="0" w:line="240" w:lineRule="auto"/>
              <w:jc w:val="center"/>
              <w:rPr>
                <w:rFonts w:ascii="Times New Roman" w:hAnsi="Times New Roman"/>
                <w:sz w:val="20"/>
                <w:szCs w:val="20"/>
              </w:rPr>
            </w:pPr>
          </w:p>
          <w:p w14:paraId="6DD44390"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43,4</w:t>
            </w:r>
          </w:p>
        </w:tc>
        <w:tc>
          <w:tcPr>
            <w:tcW w:w="949" w:type="dxa"/>
          </w:tcPr>
          <w:p w14:paraId="0330E394" w14:textId="77777777" w:rsidR="00C16B57" w:rsidRPr="00A53AD7" w:rsidRDefault="00C16B57" w:rsidP="001E4C75">
            <w:pPr>
              <w:spacing w:after="0" w:line="240" w:lineRule="auto"/>
              <w:jc w:val="center"/>
              <w:rPr>
                <w:rFonts w:ascii="Times New Roman" w:hAnsi="Times New Roman"/>
                <w:sz w:val="20"/>
                <w:szCs w:val="20"/>
              </w:rPr>
            </w:pPr>
          </w:p>
          <w:p w14:paraId="05975D57"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900" w:type="dxa"/>
          </w:tcPr>
          <w:p w14:paraId="1AE48B68" w14:textId="77777777" w:rsidR="00C16B57" w:rsidRPr="00A53AD7" w:rsidRDefault="00C16B57" w:rsidP="001E4C75">
            <w:pPr>
              <w:spacing w:after="0" w:line="240" w:lineRule="auto"/>
              <w:jc w:val="center"/>
              <w:rPr>
                <w:rFonts w:ascii="Times New Roman" w:hAnsi="Times New Roman"/>
                <w:sz w:val="20"/>
                <w:szCs w:val="20"/>
              </w:rPr>
            </w:pPr>
          </w:p>
          <w:p w14:paraId="4CC4D31D"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807" w:type="dxa"/>
          </w:tcPr>
          <w:p w14:paraId="35E3CEEC" w14:textId="77777777" w:rsidR="00C16B57" w:rsidRPr="00A53AD7" w:rsidRDefault="00C16B57" w:rsidP="001E4C75">
            <w:pPr>
              <w:spacing w:after="0" w:line="240" w:lineRule="auto"/>
              <w:jc w:val="center"/>
              <w:rPr>
                <w:rFonts w:ascii="Times New Roman" w:hAnsi="Times New Roman"/>
                <w:sz w:val="20"/>
                <w:szCs w:val="20"/>
              </w:rPr>
            </w:pPr>
          </w:p>
          <w:p w14:paraId="7F860B8C"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7,0</w:t>
            </w:r>
          </w:p>
        </w:tc>
        <w:tc>
          <w:tcPr>
            <w:tcW w:w="1034" w:type="dxa"/>
          </w:tcPr>
          <w:p w14:paraId="5475F591" w14:textId="77777777" w:rsidR="00C16B57" w:rsidRPr="00A53AD7" w:rsidRDefault="00C16B57" w:rsidP="001E4C75">
            <w:pPr>
              <w:spacing w:after="0" w:line="240" w:lineRule="auto"/>
              <w:jc w:val="center"/>
              <w:rPr>
                <w:rFonts w:ascii="Times New Roman" w:hAnsi="Times New Roman"/>
                <w:sz w:val="20"/>
                <w:szCs w:val="20"/>
              </w:rPr>
            </w:pPr>
          </w:p>
          <w:p w14:paraId="4C5A9152"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3,02</w:t>
            </w:r>
          </w:p>
        </w:tc>
        <w:tc>
          <w:tcPr>
            <w:tcW w:w="602" w:type="dxa"/>
          </w:tcPr>
          <w:p w14:paraId="4985C1DE" w14:textId="77777777" w:rsidR="00C16B57" w:rsidRPr="00A53AD7" w:rsidRDefault="00C16B57" w:rsidP="001E4C75">
            <w:pPr>
              <w:spacing w:after="0" w:line="240" w:lineRule="auto"/>
              <w:jc w:val="center"/>
              <w:rPr>
                <w:rFonts w:ascii="Times New Roman" w:hAnsi="Times New Roman"/>
                <w:sz w:val="20"/>
                <w:szCs w:val="20"/>
              </w:rPr>
            </w:pPr>
          </w:p>
          <w:p w14:paraId="2B6B3BA4" w14:textId="77777777" w:rsidR="00C16B57" w:rsidRPr="00A53AD7" w:rsidRDefault="00C16B57" w:rsidP="001E4C75">
            <w:pPr>
              <w:spacing w:after="0" w:line="240" w:lineRule="auto"/>
              <w:jc w:val="center"/>
              <w:rPr>
                <w:rFonts w:ascii="Times New Roman" w:hAnsi="Times New Roman"/>
                <w:sz w:val="20"/>
                <w:szCs w:val="20"/>
              </w:rPr>
            </w:pPr>
            <w:r w:rsidRPr="00A53AD7">
              <w:rPr>
                <w:rFonts w:ascii="Times New Roman" w:hAnsi="Times New Roman"/>
                <w:sz w:val="20"/>
                <w:szCs w:val="20"/>
              </w:rPr>
              <w:t>43,4</w:t>
            </w:r>
          </w:p>
        </w:tc>
      </w:tr>
    </w:tbl>
    <w:p w14:paraId="47C15ECD" w14:textId="77777777" w:rsidR="00C16B57" w:rsidRPr="00A53AD7" w:rsidRDefault="00C16B57" w:rsidP="001E4C75">
      <w:pPr>
        <w:spacing w:after="0" w:line="240" w:lineRule="auto"/>
        <w:ind w:firstLine="851"/>
        <w:jc w:val="both"/>
        <w:rPr>
          <w:rFonts w:ascii="Times New Roman" w:hAnsi="Times New Roman"/>
          <w:sz w:val="28"/>
          <w:szCs w:val="28"/>
        </w:rPr>
      </w:pPr>
    </w:p>
    <w:p w14:paraId="605EAD72" w14:textId="65161362"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единства системы государственного стратегического планирования, национальные проекты интегрированы с государственными программами Российской Федерации, которые в свою очередь представлены региональными проектами и программами субъектов РФ.</w:t>
      </w:r>
    </w:p>
    <w:p w14:paraId="2B30D97D" w14:textId="1AF291F0"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 регионального проекта «Развитие</w:t>
      </w:r>
      <w:r w:rsidR="00E46634" w:rsidRPr="00A53AD7">
        <w:rPr>
          <w:rFonts w:ascii="Times New Roman" w:hAnsi="Times New Roman"/>
          <w:sz w:val="28"/>
          <w:szCs w:val="28"/>
        </w:rPr>
        <w:t xml:space="preserve"> </w:t>
      </w:r>
      <w:r w:rsidRPr="00A53AD7">
        <w:rPr>
          <w:rFonts w:ascii="Times New Roman" w:hAnsi="Times New Roman"/>
          <w:sz w:val="28"/>
          <w:szCs w:val="28"/>
        </w:rPr>
        <w:t>региональных аэропортов и маршрутов (Архангельская область)»</w:t>
      </w:r>
      <w:r w:rsidR="00E46634" w:rsidRPr="00A53AD7">
        <w:rPr>
          <w:rFonts w:ascii="Times New Roman" w:hAnsi="Times New Roman"/>
          <w:sz w:val="28"/>
          <w:szCs w:val="28"/>
        </w:rPr>
        <w:t xml:space="preserve"> </w:t>
      </w:r>
      <w:r w:rsidRPr="00A53AD7">
        <w:rPr>
          <w:rFonts w:ascii="Times New Roman" w:hAnsi="Times New Roman"/>
          <w:sz w:val="28"/>
          <w:szCs w:val="28"/>
        </w:rPr>
        <w:t>содержит</w:t>
      </w:r>
      <w:r w:rsidR="00E46634" w:rsidRPr="00A53AD7">
        <w:rPr>
          <w:rFonts w:ascii="Times New Roman" w:hAnsi="Times New Roman"/>
          <w:sz w:val="28"/>
          <w:szCs w:val="28"/>
        </w:rPr>
        <w:t xml:space="preserve"> </w:t>
      </w:r>
      <w:r w:rsidRPr="00A53AD7">
        <w:rPr>
          <w:rFonts w:ascii="Times New Roman" w:hAnsi="Times New Roman"/>
          <w:sz w:val="28"/>
          <w:szCs w:val="28"/>
        </w:rPr>
        <w:t>информацию о взаимосвязи</w:t>
      </w:r>
      <w:r w:rsidR="00E46634" w:rsidRPr="00A53AD7">
        <w:rPr>
          <w:rFonts w:ascii="Times New Roman" w:hAnsi="Times New Roman"/>
          <w:sz w:val="28"/>
          <w:szCs w:val="28"/>
        </w:rPr>
        <w:t xml:space="preserve"> </w:t>
      </w:r>
      <w:r w:rsidRPr="00A53AD7">
        <w:rPr>
          <w:rFonts w:ascii="Times New Roman" w:hAnsi="Times New Roman"/>
          <w:sz w:val="28"/>
          <w:szCs w:val="28"/>
        </w:rPr>
        <w:t>с ГП АО № 314-пп.</w:t>
      </w:r>
      <w:r w:rsidR="00E46634" w:rsidRPr="00A53AD7">
        <w:rPr>
          <w:rFonts w:ascii="Times New Roman" w:hAnsi="Times New Roman"/>
          <w:sz w:val="28"/>
          <w:szCs w:val="28"/>
        </w:rPr>
        <w:t xml:space="preserve"> </w:t>
      </w:r>
      <w:r w:rsidRPr="00A53AD7">
        <w:rPr>
          <w:rFonts w:ascii="Times New Roman" w:hAnsi="Times New Roman"/>
          <w:sz w:val="28"/>
          <w:szCs w:val="28"/>
        </w:rPr>
        <w:t>Вместе с тем, ГП АО «Развитие инфраструктуры Соловецкого архипелага» (ГП АО № 314-пп) не содержит ссылок на региональный проект, формулировки целевых показателей программы и регионального проекта различны. Так, целевым показателем программы в части реализации мероприятия пункта</w:t>
      </w:r>
      <w:r w:rsidR="00E46634" w:rsidRPr="00A53AD7">
        <w:rPr>
          <w:rFonts w:ascii="Times New Roman" w:hAnsi="Times New Roman"/>
          <w:sz w:val="28"/>
          <w:szCs w:val="28"/>
        </w:rPr>
        <w:t xml:space="preserve"> </w:t>
      </w:r>
      <w:r w:rsidRPr="00A53AD7">
        <w:rPr>
          <w:rFonts w:ascii="Times New Roman" w:hAnsi="Times New Roman"/>
          <w:sz w:val="28"/>
          <w:szCs w:val="28"/>
        </w:rPr>
        <w:t>15.1</w:t>
      </w:r>
      <w:r w:rsidR="00E46634" w:rsidRPr="00A53AD7">
        <w:rPr>
          <w:rFonts w:ascii="Times New Roman" w:hAnsi="Times New Roman"/>
          <w:sz w:val="28"/>
          <w:szCs w:val="28"/>
        </w:rPr>
        <w:t xml:space="preserve"> </w:t>
      </w:r>
      <w:r w:rsidRPr="00A53AD7">
        <w:rPr>
          <w:rFonts w:ascii="Times New Roman" w:hAnsi="Times New Roman"/>
          <w:sz w:val="28"/>
          <w:szCs w:val="28"/>
        </w:rPr>
        <w:t>является уровень технической готовности реконструкции аэропортового комплекса «Соловки», о. Соловецкий, Архангельская область, а целевым показателем регионального проекта является</w:t>
      </w:r>
      <w:r w:rsidR="00E46634" w:rsidRPr="00A53AD7">
        <w:rPr>
          <w:rFonts w:ascii="Times New Roman" w:hAnsi="Times New Roman"/>
          <w:sz w:val="28"/>
          <w:szCs w:val="28"/>
        </w:rPr>
        <w:t xml:space="preserve"> </w:t>
      </w:r>
      <w:r w:rsidRPr="00A53AD7">
        <w:rPr>
          <w:rFonts w:ascii="Times New Roman" w:hAnsi="Times New Roman"/>
          <w:sz w:val="28"/>
          <w:szCs w:val="28"/>
        </w:rPr>
        <w:t>количество введенных в эксплуатацию после реконструкции (строительства) взлетно-посадочных полос (ед.).</w:t>
      </w:r>
    </w:p>
    <w:p w14:paraId="0C14598B" w14:textId="77777777"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мнению контрольно-счетной палаты Архангельской области, целевой показатель ГП АО № 314-пп в указанной части должен быть приведен в соответствие с целевым показателем регионального проекта.</w:t>
      </w:r>
    </w:p>
    <w:p w14:paraId="66D556E9" w14:textId="77777777" w:rsidR="001E4C75" w:rsidRPr="00A53AD7" w:rsidRDefault="001E4C75" w:rsidP="001E4C75">
      <w:pPr>
        <w:spacing w:after="0" w:line="240" w:lineRule="auto"/>
        <w:ind w:firstLine="851"/>
        <w:jc w:val="both"/>
        <w:rPr>
          <w:rFonts w:ascii="Times New Roman" w:hAnsi="Times New Roman"/>
          <w:sz w:val="28"/>
          <w:szCs w:val="28"/>
        </w:rPr>
      </w:pPr>
    </w:p>
    <w:p w14:paraId="03BBE7C4" w14:textId="46D715D7" w:rsidR="00C16B57" w:rsidRPr="00A53AD7" w:rsidRDefault="00C16B57" w:rsidP="001E4C75">
      <w:pPr>
        <w:spacing w:after="0" w:line="240" w:lineRule="auto"/>
        <w:ind w:firstLine="851"/>
        <w:jc w:val="both"/>
        <w:rPr>
          <w:rFonts w:ascii="Times New Roman" w:hAnsi="Times New Roman"/>
          <w:sz w:val="28"/>
          <w:szCs w:val="28"/>
        </w:rPr>
      </w:pPr>
      <w:r w:rsidRPr="00A53AD7">
        <w:rPr>
          <w:rFonts w:ascii="Times New Roman" w:hAnsi="Times New Roman"/>
          <w:b/>
          <w:sz w:val="28"/>
          <w:szCs w:val="28"/>
        </w:rPr>
        <w:t>ОАИП на 2019 год</w:t>
      </w:r>
      <w:r w:rsidRPr="00A53AD7">
        <w:rPr>
          <w:rFonts w:ascii="Times New Roman" w:hAnsi="Times New Roman"/>
          <w:sz w:val="28"/>
          <w:szCs w:val="28"/>
        </w:rPr>
        <w:t xml:space="preserve"> (закон Архангельской области от 17.12.2018 № 35-4-ОЗ (в ред. от 13.12.2019 № 189-13-ОЗ)) предусмотрены средства областного бюджета на реализацию</w:t>
      </w:r>
      <w:r w:rsidR="00E46634" w:rsidRPr="00A53AD7">
        <w:rPr>
          <w:rFonts w:ascii="Times New Roman" w:hAnsi="Times New Roman"/>
          <w:sz w:val="28"/>
          <w:szCs w:val="28"/>
        </w:rPr>
        <w:t xml:space="preserve"> </w:t>
      </w:r>
      <w:r w:rsidRPr="00A53AD7">
        <w:rPr>
          <w:rFonts w:ascii="Times New Roman" w:hAnsi="Times New Roman"/>
          <w:sz w:val="28"/>
          <w:szCs w:val="28"/>
        </w:rPr>
        <w:t>мероприятий ГП АО № 314-пп в следующем</w:t>
      </w:r>
      <w:r w:rsidR="00E46634" w:rsidRPr="00A53AD7">
        <w:rPr>
          <w:rFonts w:ascii="Times New Roman" w:hAnsi="Times New Roman"/>
          <w:sz w:val="28"/>
          <w:szCs w:val="28"/>
        </w:rPr>
        <w:t xml:space="preserve"> </w:t>
      </w:r>
      <w:r w:rsidRPr="00A53AD7">
        <w:rPr>
          <w:rFonts w:ascii="Times New Roman" w:hAnsi="Times New Roman"/>
          <w:sz w:val="28"/>
          <w:szCs w:val="28"/>
        </w:rPr>
        <w:t>объеме:</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6124"/>
        <w:gridCol w:w="3092"/>
      </w:tblGrid>
      <w:tr w:rsidR="00D470B6" w:rsidRPr="00A53AD7" w14:paraId="70B50A1E" w14:textId="77777777" w:rsidTr="006918F5">
        <w:tc>
          <w:tcPr>
            <w:tcW w:w="6237" w:type="dxa"/>
          </w:tcPr>
          <w:p w14:paraId="38DB71A2" w14:textId="3E6E4B7C" w:rsidR="00C16B57" w:rsidRPr="00A53AD7" w:rsidRDefault="00C16B57" w:rsidP="006918F5">
            <w:pPr>
              <w:spacing w:after="0" w:line="240" w:lineRule="auto"/>
              <w:jc w:val="center"/>
              <w:rPr>
                <w:rFonts w:ascii="Times New Roman" w:hAnsi="Times New Roman"/>
                <w:b/>
              </w:rPr>
            </w:pPr>
            <w:r w:rsidRPr="00A53AD7">
              <w:rPr>
                <w:rFonts w:ascii="Times New Roman" w:hAnsi="Times New Roman"/>
                <w:b/>
              </w:rPr>
              <w:t>№, наименование</w:t>
            </w:r>
            <w:r w:rsidR="00E46634" w:rsidRPr="00A53AD7">
              <w:rPr>
                <w:rFonts w:ascii="Times New Roman" w:hAnsi="Times New Roman"/>
                <w:b/>
              </w:rPr>
              <w:t xml:space="preserve"> </w:t>
            </w:r>
            <w:r w:rsidRPr="00A53AD7">
              <w:rPr>
                <w:rFonts w:ascii="Times New Roman" w:hAnsi="Times New Roman"/>
                <w:b/>
              </w:rPr>
              <w:t>мероприятия</w:t>
            </w:r>
          </w:p>
        </w:tc>
        <w:tc>
          <w:tcPr>
            <w:tcW w:w="3119" w:type="dxa"/>
          </w:tcPr>
          <w:p w14:paraId="55A331A9" w14:textId="77777777" w:rsidR="00C16B57" w:rsidRPr="00A53AD7" w:rsidRDefault="00C16B57" w:rsidP="006918F5">
            <w:pPr>
              <w:spacing w:after="0" w:line="240" w:lineRule="auto"/>
              <w:jc w:val="center"/>
              <w:rPr>
                <w:rFonts w:ascii="Times New Roman" w:hAnsi="Times New Roman"/>
                <w:b/>
              </w:rPr>
            </w:pPr>
            <w:r w:rsidRPr="00A53AD7">
              <w:rPr>
                <w:rFonts w:ascii="Times New Roman" w:hAnsi="Times New Roman"/>
                <w:b/>
              </w:rPr>
              <w:t>Объем финансирования, предусмотренный ОАИП на 2019 год</w:t>
            </w:r>
          </w:p>
        </w:tc>
      </w:tr>
      <w:tr w:rsidR="00D470B6" w:rsidRPr="00A53AD7" w14:paraId="5404CB8F" w14:textId="77777777" w:rsidTr="006918F5">
        <w:tc>
          <w:tcPr>
            <w:tcW w:w="6237" w:type="dxa"/>
          </w:tcPr>
          <w:p w14:paraId="6C52060D" w14:textId="3C0DAE66" w:rsidR="00C16B57" w:rsidRPr="00A53AD7" w:rsidRDefault="00C16B57" w:rsidP="006918F5">
            <w:pPr>
              <w:spacing w:after="0" w:line="240" w:lineRule="auto"/>
              <w:rPr>
                <w:rFonts w:ascii="Times New Roman" w:hAnsi="Times New Roman"/>
              </w:rPr>
            </w:pPr>
            <w:r w:rsidRPr="00A53AD7">
              <w:rPr>
                <w:rFonts w:ascii="Times New Roman" w:hAnsi="Times New Roman"/>
              </w:rPr>
              <w:t>п.</w:t>
            </w:r>
            <w:r w:rsidR="008D367F" w:rsidRPr="00A53AD7">
              <w:rPr>
                <w:rFonts w:ascii="Times New Roman" w:hAnsi="Times New Roman"/>
              </w:rPr>
              <w:t xml:space="preserve"> </w:t>
            </w:r>
            <w:r w:rsidRPr="00A53AD7">
              <w:rPr>
                <w:rFonts w:ascii="Times New Roman" w:hAnsi="Times New Roman"/>
              </w:rPr>
              <w:t>15.1. Реконструкция аэропортового комплекса «Соловки» о. Соловецкий, Архангельская область</w:t>
            </w:r>
          </w:p>
        </w:tc>
        <w:tc>
          <w:tcPr>
            <w:tcW w:w="3119" w:type="dxa"/>
          </w:tcPr>
          <w:p w14:paraId="21BF02F5" w14:textId="77777777" w:rsidR="00C16B57" w:rsidRPr="00A53AD7" w:rsidRDefault="00C16B57" w:rsidP="006918F5">
            <w:pPr>
              <w:spacing w:after="0" w:line="240" w:lineRule="auto"/>
              <w:jc w:val="center"/>
              <w:rPr>
                <w:rFonts w:ascii="Times New Roman" w:hAnsi="Times New Roman"/>
              </w:rPr>
            </w:pPr>
          </w:p>
          <w:p w14:paraId="37E12993" w14:textId="77777777" w:rsidR="00C16B57" w:rsidRPr="00A53AD7" w:rsidRDefault="00C16B57" w:rsidP="006918F5">
            <w:pPr>
              <w:spacing w:after="0" w:line="240" w:lineRule="auto"/>
              <w:jc w:val="center"/>
              <w:rPr>
                <w:rFonts w:ascii="Times New Roman" w:hAnsi="Times New Roman"/>
              </w:rPr>
            </w:pPr>
            <w:r w:rsidRPr="00A53AD7">
              <w:rPr>
                <w:rFonts w:ascii="Times New Roman" w:hAnsi="Times New Roman"/>
              </w:rPr>
              <w:t>338,15</w:t>
            </w:r>
          </w:p>
        </w:tc>
      </w:tr>
      <w:tr w:rsidR="00D470B6" w:rsidRPr="00A53AD7" w14:paraId="3158D484" w14:textId="77777777" w:rsidTr="006918F5">
        <w:tc>
          <w:tcPr>
            <w:tcW w:w="6237" w:type="dxa"/>
          </w:tcPr>
          <w:p w14:paraId="57022103" w14:textId="77777777" w:rsidR="00C16B57" w:rsidRPr="00A53AD7" w:rsidRDefault="00C16B57" w:rsidP="006918F5">
            <w:pPr>
              <w:spacing w:after="0" w:line="240" w:lineRule="auto"/>
              <w:rPr>
                <w:rFonts w:ascii="Times New Roman" w:hAnsi="Times New Roman"/>
              </w:rPr>
            </w:pPr>
            <w:r w:rsidRPr="00A53AD7">
              <w:rPr>
                <w:rFonts w:ascii="Times New Roman" w:hAnsi="Times New Roman"/>
              </w:rPr>
              <w:t>15.2. Разработка (приобретение) проектной документации по объекту "Реконструкция аэропортового комплекса "Соловки", о. Соловецкий</w:t>
            </w:r>
          </w:p>
        </w:tc>
        <w:tc>
          <w:tcPr>
            <w:tcW w:w="3119" w:type="dxa"/>
          </w:tcPr>
          <w:p w14:paraId="07B957CB" w14:textId="77777777" w:rsidR="00C16B57" w:rsidRPr="00A53AD7" w:rsidRDefault="00C16B57" w:rsidP="006918F5">
            <w:pPr>
              <w:spacing w:after="0" w:line="240" w:lineRule="auto"/>
              <w:jc w:val="center"/>
              <w:rPr>
                <w:rFonts w:ascii="Times New Roman" w:hAnsi="Times New Roman"/>
              </w:rPr>
            </w:pPr>
          </w:p>
          <w:p w14:paraId="6C69C935" w14:textId="77777777" w:rsidR="00C16B57" w:rsidRPr="00A53AD7" w:rsidRDefault="00C16B57" w:rsidP="006918F5">
            <w:pPr>
              <w:spacing w:after="0" w:line="240" w:lineRule="auto"/>
              <w:jc w:val="center"/>
              <w:rPr>
                <w:rFonts w:ascii="Times New Roman" w:hAnsi="Times New Roman"/>
              </w:rPr>
            </w:pPr>
            <w:r w:rsidRPr="00A53AD7">
              <w:rPr>
                <w:rFonts w:ascii="Times New Roman" w:hAnsi="Times New Roman"/>
              </w:rPr>
              <w:t>7,0</w:t>
            </w:r>
          </w:p>
        </w:tc>
      </w:tr>
      <w:tr w:rsidR="00C16B57" w:rsidRPr="00A53AD7" w14:paraId="72675BD0" w14:textId="77777777" w:rsidTr="006918F5">
        <w:tc>
          <w:tcPr>
            <w:tcW w:w="6237" w:type="dxa"/>
          </w:tcPr>
          <w:p w14:paraId="37DD92E9" w14:textId="037E49C1" w:rsidR="00C16B57" w:rsidRPr="00A53AD7" w:rsidRDefault="00FD1445" w:rsidP="006918F5">
            <w:pPr>
              <w:spacing w:after="0" w:line="240" w:lineRule="auto"/>
              <w:jc w:val="right"/>
              <w:rPr>
                <w:rFonts w:ascii="Times New Roman" w:hAnsi="Times New Roman"/>
              </w:rPr>
            </w:pPr>
            <w:r w:rsidRPr="00A53AD7">
              <w:rPr>
                <w:rFonts w:ascii="Times New Roman" w:hAnsi="Times New Roman"/>
              </w:rPr>
              <w:t xml:space="preserve"> </w:t>
            </w:r>
            <w:r w:rsidR="00C16B57" w:rsidRPr="00A53AD7">
              <w:rPr>
                <w:rFonts w:ascii="Times New Roman" w:hAnsi="Times New Roman"/>
              </w:rPr>
              <w:t>ИТОГО:</w:t>
            </w:r>
          </w:p>
        </w:tc>
        <w:tc>
          <w:tcPr>
            <w:tcW w:w="3119" w:type="dxa"/>
          </w:tcPr>
          <w:p w14:paraId="4A59CF02" w14:textId="77777777" w:rsidR="00C16B57" w:rsidRPr="00A53AD7" w:rsidRDefault="00C16B57" w:rsidP="006918F5">
            <w:pPr>
              <w:spacing w:after="0" w:line="240" w:lineRule="auto"/>
              <w:jc w:val="center"/>
              <w:rPr>
                <w:rFonts w:ascii="Times New Roman" w:hAnsi="Times New Roman"/>
              </w:rPr>
            </w:pPr>
            <w:r w:rsidRPr="00A53AD7">
              <w:rPr>
                <w:rFonts w:ascii="Times New Roman" w:hAnsi="Times New Roman"/>
              </w:rPr>
              <w:t>345,15</w:t>
            </w:r>
          </w:p>
        </w:tc>
      </w:tr>
    </w:tbl>
    <w:p w14:paraId="023A1D79" w14:textId="77777777" w:rsidR="00C16B57" w:rsidRPr="00A53AD7" w:rsidRDefault="00C16B57" w:rsidP="006918F5">
      <w:pPr>
        <w:spacing w:after="0" w:line="240" w:lineRule="auto"/>
        <w:ind w:firstLine="851"/>
        <w:jc w:val="both"/>
        <w:rPr>
          <w:rFonts w:ascii="Times New Roman" w:hAnsi="Times New Roman"/>
          <w:sz w:val="28"/>
          <w:szCs w:val="28"/>
        </w:rPr>
      </w:pPr>
    </w:p>
    <w:p w14:paraId="0A895572" w14:textId="333DE5A7" w:rsidR="00C16B57" w:rsidRPr="00A53AD7" w:rsidRDefault="00C16B57" w:rsidP="006918F5">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финансового обеспечения за счет средств областного бюджета средств, предусмотренных</w:t>
      </w:r>
      <w:r w:rsidR="00E46634" w:rsidRPr="00A53AD7">
        <w:rPr>
          <w:rFonts w:ascii="Times New Roman" w:hAnsi="Times New Roman"/>
          <w:sz w:val="28"/>
          <w:szCs w:val="28"/>
        </w:rPr>
        <w:t xml:space="preserve"> </w:t>
      </w:r>
      <w:r w:rsidRPr="00A53AD7">
        <w:rPr>
          <w:rFonts w:ascii="Times New Roman" w:hAnsi="Times New Roman"/>
          <w:sz w:val="28"/>
          <w:szCs w:val="28"/>
        </w:rPr>
        <w:t>ГП АО № 314-пп и</w:t>
      </w:r>
      <w:r w:rsidR="00E46634" w:rsidRPr="00A53AD7">
        <w:rPr>
          <w:rFonts w:ascii="Times New Roman" w:hAnsi="Times New Roman"/>
          <w:sz w:val="28"/>
          <w:szCs w:val="28"/>
        </w:rPr>
        <w:t xml:space="preserve"> </w:t>
      </w:r>
      <w:r w:rsidRPr="00A53AD7">
        <w:rPr>
          <w:rFonts w:ascii="Times New Roman" w:hAnsi="Times New Roman"/>
          <w:sz w:val="28"/>
          <w:szCs w:val="28"/>
        </w:rPr>
        <w:t>ОАИП на 2019 год на реализацию мероприятия по реконструкции аэропортового комплекса «Соловки» о. Соловецкий превышает объем средств, предусмотренных на реализацию данного мероприятия в рамках регио</w:t>
      </w:r>
      <w:r w:rsidR="00E6143A" w:rsidRPr="00A53AD7">
        <w:rPr>
          <w:rFonts w:ascii="Times New Roman" w:hAnsi="Times New Roman"/>
          <w:sz w:val="28"/>
          <w:szCs w:val="28"/>
        </w:rPr>
        <w:t>нального проекта на 215,93 млн.</w:t>
      </w:r>
      <w:r w:rsidRPr="00A53AD7">
        <w:rPr>
          <w:rFonts w:ascii="Times New Roman" w:hAnsi="Times New Roman"/>
          <w:sz w:val="28"/>
          <w:szCs w:val="28"/>
        </w:rPr>
        <w:t>руб.</w:t>
      </w:r>
      <w:r w:rsidR="00E46634" w:rsidRPr="00A53AD7">
        <w:rPr>
          <w:rFonts w:ascii="Times New Roman" w:hAnsi="Times New Roman"/>
          <w:sz w:val="28"/>
          <w:szCs w:val="28"/>
        </w:rPr>
        <w:t xml:space="preserve"> </w:t>
      </w:r>
      <w:r w:rsidRPr="00A53AD7">
        <w:rPr>
          <w:rFonts w:ascii="Times New Roman" w:hAnsi="Times New Roman"/>
          <w:sz w:val="28"/>
          <w:szCs w:val="28"/>
        </w:rPr>
        <w:t>(338,15 – 122,22).</w:t>
      </w:r>
    </w:p>
    <w:p w14:paraId="519FA984" w14:textId="3E37B40A" w:rsidR="00C16B57" w:rsidRPr="00A53AD7" w:rsidRDefault="00C16B57" w:rsidP="009B1EB2">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Также следует отметить, что общий объем финансирования на реализацию</w:t>
      </w:r>
      <w:r w:rsidR="00E46634" w:rsidRPr="00A53AD7">
        <w:rPr>
          <w:rFonts w:ascii="Times New Roman" w:hAnsi="Times New Roman"/>
          <w:sz w:val="28"/>
          <w:szCs w:val="28"/>
        </w:rPr>
        <w:t xml:space="preserve"> </w:t>
      </w:r>
      <w:r w:rsidRPr="00A53AD7">
        <w:rPr>
          <w:rFonts w:ascii="Times New Roman" w:hAnsi="Times New Roman"/>
          <w:sz w:val="28"/>
          <w:szCs w:val="28"/>
        </w:rPr>
        <w:t>мероприятия по реконструкции аэропортового комплекса «Соловки» о. Соловецкий, предусмотренный региональным проектом, ОАИП на 2019 год и плановый период, а также ГП АО № 314-пп</w:t>
      </w:r>
      <w:r w:rsidR="00E46634" w:rsidRPr="00A53AD7">
        <w:rPr>
          <w:rFonts w:ascii="Times New Roman" w:hAnsi="Times New Roman"/>
          <w:sz w:val="28"/>
          <w:szCs w:val="28"/>
        </w:rPr>
        <w:t xml:space="preserve"> </w:t>
      </w:r>
      <w:r w:rsidRPr="00A53AD7">
        <w:rPr>
          <w:rFonts w:ascii="Times New Roman" w:hAnsi="Times New Roman"/>
          <w:sz w:val="28"/>
          <w:szCs w:val="28"/>
        </w:rPr>
        <w:t>имеет разное значение:</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33"/>
        <w:gridCol w:w="5673"/>
        <w:gridCol w:w="3118"/>
      </w:tblGrid>
      <w:tr w:rsidR="00D470B6" w:rsidRPr="00A53AD7" w14:paraId="310055BB" w14:textId="77777777" w:rsidTr="00C0628B">
        <w:trPr>
          <w:tblHeader/>
        </w:trPr>
        <w:tc>
          <w:tcPr>
            <w:tcW w:w="534" w:type="dxa"/>
          </w:tcPr>
          <w:p w14:paraId="75371923" w14:textId="77777777"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 п/п</w:t>
            </w:r>
          </w:p>
        </w:tc>
        <w:tc>
          <w:tcPr>
            <w:tcW w:w="5846" w:type="dxa"/>
          </w:tcPr>
          <w:p w14:paraId="021B375D" w14:textId="77777777"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 xml:space="preserve">Наименование программы </w:t>
            </w:r>
          </w:p>
        </w:tc>
        <w:tc>
          <w:tcPr>
            <w:tcW w:w="3191" w:type="dxa"/>
          </w:tcPr>
          <w:p w14:paraId="6927A560" w14:textId="5C31C369"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Общий объем капитальных вложений</w:t>
            </w:r>
            <w:r w:rsidR="00E46634" w:rsidRPr="00A53AD7">
              <w:rPr>
                <w:rFonts w:ascii="Times New Roman" w:hAnsi="Times New Roman"/>
              </w:rPr>
              <w:t xml:space="preserve"> </w:t>
            </w:r>
            <w:r w:rsidRPr="00A53AD7">
              <w:rPr>
                <w:rFonts w:ascii="Times New Roman" w:hAnsi="Times New Roman"/>
              </w:rPr>
              <w:t>за счет всех</w:t>
            </w:r>
            <w:r w:rsidR="00E46634" w:rsidRPr="00A53AD7">
              <w:rPr>
                <w:rFonts w:ascii="Times New Roman" w:hAnsi="Times New Roman"/>
              </w:rPr>
              <w:t xml:space="preserve"> </w:t>
            </w:r>
            <w:r w:rsidRPr="00A53AD7">
              <w:rPr>
                <w:rFonts w:ascii="Times New Roman" w:hAnsi="Times New Roman"/>
              </w:rPr>
              <w:t>источнико</w:t>
            </w:r>
            <w:r w:rsidR="00E6143A" w:rsidRPr="00A53AD7">
              <w:rPr>
                <w:rFonts w:ascii="Times New Roman" w:hAnsi="Times New Roman"/>
              </w:rPr>
              <w:t>в, млн.</w:t>
            </w:r>
            <w:r w:rsidRPr="00A53AD7">
              <w:rPr>
                <w:rFonts w:ascii="Times New Roman" w:hAnsi="Times New Roman"/>
              </w:rPr>
              <w:t>руб.</w:t>
            </w:r>
          </w:p>
        </w:tc>
      </w:tr>
      <w:tr w:rsidR="00D470B6" w:rsidRPr="00A53AD7" w14:paraId="36496F23" w14:textId="77777777" w:rsidTr="00443607">
        <w:tc>
          <w:tcPr>
            <w:tcW w:w="534" w:type="dxa"/>
          </w:tcPr>
          <w:p w14:paraId="74E5A918" w14:textId="77777777" w:rsidR="00C16B57" w:rsidRPr="00A53AD7" w:rsidRDefault="00C16B57" w:rsidP="009B1EB2">
            <w:pPr>
              <w:spacing w:after="0" w:line="240" w:lineRule="auto"/>
              <w:jc w:val="both"/>
              <w:rPr>
                <w:rFonts w:ascii="Times New Roman" w:hAnsi="Times New Roman"/>
              </w:rPr>
            </w:pPr>
            <w:r w:rsidRPr="00A53AD7">
              <w:rPr>
                <w:rFonts w:ascii="Times New Roman" w:hAnsi="Times New Roman"/>
              </w:rPr>
              <w:t>1.</w:t>
            </w:r>
          </w:p>
        </w:tc>
        <w:tc>
          <w:tcPr>
            <w:tcW w:w="5846" w:type="dxa"/>
          </w:tcPr>
          <w:p w14:paraId="2994E678" w14:textId="77777777" w:rsidR="00C16B57" w:rsidRPr="00A53AD7" w:rsidRDefault="00C16B57" w:rsidP="00443607">
            <w:pPr>
              <w:spacing w:after="0" w:line="240" w:lineRule="auto"/>
              <w:rPr>
                <w:rFonts w:ascii="Times New Roman" w:hAnsi="Times New Roman"/>
              </w:rPr>
            </w:pPr>
            <w:r w:rsidRPr="00A53AD7">
              <w:rPr>
                <w:rFonts w:ascii="Times New Roman" w:hAnsi="Times New Roman"/>
              </w:rPr>
              <w:t>ОАИП на 2019 год и плановый период 2020-2021 годов</w:t>
            </w:r>
          </w:p>
        </w:tc>
        <w:tc>
          <w:tcPr>
            <w:tcW w:w="3191" w:type="dxa"/>
          </w:tcPr>
          <w:p w14:paraId="505A6109" w14:textId="77777777"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3 191,7*</w:t>
            </w:r>
          </w:p>
        </w:tc>
      </w:tr>
      <w:tr w:rsidR="00D470B6" w:rsidRPr="00A53AD7" w14:paraId="59B929C2" w14:textId="77777777" w:rsidTr="00443607">
        <w:tc>
          <w:tcPr>
            <w:tcW w:w="534" w:type="dxa"/>
          </w:tcPr>
          <w:p w14:paraId="3A395587" w14:textId="77777777" w:rsidR="00C16B57" w:rsidRPr="00A53AD7" w:rsidRDefault="00C16B57" w:rsidP="009B1EB2">
            <w:pPr>
              <w:spacing w:after="0" w:line="240" w:lineRule="auto"/>
              <w:jc w:val="both"/>
              <w:rPr>
                <w:rFonts w:ascii="Times New Roman" w:hAnsi="Times New Roman"/>
              </w:rPr>
            </w:pPr>
            <w:r w:rsidRPr="00A53AD7">
              <w:rPr>
                <w:rFonts w:ascii="Times New Roman" w:hAnsi="Times New Roman"/>
              </w:rPr>
              <w:t>2.</w:t>
            </w:r>
          </w:p>
        </w:tc>
        <w:tc>
          <w:tcPr>
            <w:tcW w:w="5846" w:type="dxa"/>
          </w:tcPr>
          <w:p w14:paraId="4492DE48" w14:textId="77777777" w:rsidR="00C16B57" w:rsidRPr="00A53AD7" w:rsidRDefault="00C16B57" w:rsidP="00443607">
            <w:pPr>
              <w:spacing w:after="0" w:line="240" w:lineRule="auto"/>
              <w:rPr>
                <w:rFonts w:ascii="Times New Roman" w:hAnsi="Times New Roman"/>
              </w:rPr>
            </w:pPr>
            <w:r w:rsidRPr="00A53AD7">
              <w:rPr>
                <w:rFonts w:ascii="Times New Roman" w:hAnsi="Times New Roman"/>
              </w:rPr>
              <w:t>ГП АО № 314-пп</w:t>
            </w:r>
          </w:p>
        </w:tc>
        <w:tc>
          <w:tcPr>
            <w:tcW w:w="3191" w:type="dxa"/>
          </w:tcPr>
          <w:p w14:paraId="51663983" w14:textId="77777777"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3 007,4*</w:t>
            </w:r>
          </w:p>
        </w:tc>
      </w:tr>
      <w:tr w:rsidR="00D470B6" w:rsidRPr="00A53AD7" w14:paraId="29D63ABD" w14:textId="77777777" w:rsidTr="00443607">
        <w:tc>
          <w:tcPr>
            <w:tcW w:w="534" w:type="dxa"/>
          </w:tcPr>
          <w:p w14:paraId="2F83E925" w14:textId="77777777" w:rsidR="00C16B57" w:rsidRPr="00A53AD7" w:rsidRDefault="00C16B57" w:rsidP="009B1EB2">
            <w:pPr>
              <w:spacing w:after="0" w:line="240" w:lineRule="auto"/>
              <w:jc w:val="both"/>
              <w:rPr>
                <w:rFonts w:ascii="Times New Roman" w:hAnsi="Times New Roman"/>
              </w:rPr>
            </w:pPr>
            <w:r w:rsidRPr="00A53AD7">
              <w:rPr>
                <w:rFonts w:ascii="Times New Roman" w:hAnsi="Times New Roman"/>
              </w:rPr>
              <w:t>3.</w:t>
            </w:r>
          </w:p>
        </w:tc>
        <w:tc>
          <w:tcPr>
            <w:tcW w:w="5846" w:type="dxa"/>
          </w:tcPr>
          <w:p w14:paraId="7293F8F8" w14:textId="1F539A16" w:rsidR="00C16B57" w:rsidRPr="00A53AD7" w:rsidRDefault="00C16B57" w:rsidP="00443607">
            <w:pPr>
              <w:spacing w:after="0" w:line="240" w:lineRule="auto"/>
              <w:rPr>
                <w:rFonts w:ascii="Times New Roman" w:hAnsi="Times New Roman"/>
              </w:rPr>
            </w:pPr>
            <w:r w:rsidRPr="00A53AD7">
              <w:rPr>
                <w:rFonts w:ascii="Times New Roman" w:hAnsi="Times New Roman"/>
              </w:rPr>
              <w:t>РП «Развитие</w:t>
            </w:r>
            <w:r w:rsidR="00E46634" w:rsidRPr="00A53AD7">
              <w:rPr>
                <w:rFonts w:ascii="Times New Roman" w:hAnsi="Times New Roman"/>
              </w:rPr>
              <w:t xml:space="preserve"> </w:t>
            </w:r>
            <w:r w:rsidRPr="00A53AD7">
              <w:rPr>
                <w:rFonts w:ascii="Times New Roman" w:hAnsi="Times New Roman"/>
              </w:rPr>
              <w:t>региональных аэропортов и маршрутов</w:t>
            </w:r>
            <w:r w:rsidR="00E46634" w:rsidRPr="00A53AD7">
              <w:rPr>
                <w:rFonts w:ascii="Times New Roman" w:hAnsi="Times New Roman"/>
              </w:rPr>
              <w:t xml:space="preserve"> </w:t>
            </w:r>
            <w:r w:rsidRPr="00A53AD7">
              <w:rPr>
                <w:rFonts w:ascii="Times New Roman" w:hAnsi="Times New Roman"/>
              </w:rPr>
              <w:t>(Архангельская область)» (Приложении №</w:t>
            </w:r>
            <w:r w:rsidR="00443607" w:rsidRPr="00A53AD7">
              <w:rPr>
                <w:rFonts w:ascii="Times New Roman" w:hAnsi="Times New Roman"/>
              </w:rPr>
              <w:t xml:space="preserve"> </w:t>
            </w:r>
            <w:r w:rsidRPr="00A53AD7">
              <w:rPr>
                <w:rFonts w:ascii="Times New Roman" w:hAnsi="Times New Roman"/>
              </w:rPr>
              <w:t>4 к Соглашению</w:t>
            </w:r>
            <w:r w:rsidR="00E46634" w:rsidRPr="00A53AD7">
              <w:rPr>
                <w:rFonts w:ascii="Times New Roman" w:hAnsi="Times New Roman"/>
              </w:rPr>
              <w:t xml:space="preserve"> </w:t>
            </w:r>
            <w:r w:rsidRPr="00A53AD7">
              <w:rPr>
                <w:rFonts w:ascii="Times New Roman" w:hAnsi="Times New Roman"/>
              </w:rPr>
              <w:t>от 15.02.2019 № 107-07-2019-001)</w:t>
            </w:r>
          </w:p>
        </w:tc>
        <w:tc>
          <w:tcPr>
            <w:tcW w:w="3191" w:type="dxa"/>
          </w:tcPr>
          <w:p w14:paraId="31C33BB4" w14:textId="77777777" w:rsidR="00C16B57" w:rsidRPr="00A53AD7" w:rsidRDefault="00C16B57" w:rsidP="009B1EB2">
            <w:pPr>
              <w:spacing w:after="0" w:line="240" w:lineRule="auto"/>
              <w:jc w:val="center"/>
              <w:rPr>
                <w:rFonts w:ascii="Times New Roman" w:hAnsi="Times New Roman"/>
              </w:rPr>
            </w:pPr>
            <w:r w:rsidRPr="00A53AD7">
              <w:rPr>
                <w:rFonts w:ascii="Times New Roman" w:hAnsi="Times New Roman"/>
              </w:rPr>
              <w:t>2 899,2*</w:t>
            </w:r>
          </w:p>
        </w:tc>
      </w:tr>
    </w:tbl>
    <w:p w14:paraId="1A98300A" w14:textId="6368FFA5" w:rsidR="00C16B57" w:rsidRPr="00A53AD7" w:rsidRDefault="00C16B57" w:rsidP="00443607">
      <w:pPr>
        <w:spacing w:after="0" w:line="240" w:lineRule="auto"/>
        <w:ind w:firstLine="709"/>
        <w:jc w:val="both"/>
        <w:rPr>
          <w:rFonts w:ascii="Times New Roman" w:hAnsi="Times New Roman"/>
        </w:rPr>
      </w:pPr>
      <w:r w:rsidRPr="00A53AD7">
        <w:rPr>
          <w:rFonts w:ascii="Times New Roman" w:hAnsi="Times New Roman"/>
        </w:rPr>
        <w:t>* Объем средств</w:t>
      </w:r>
      <w:r w:rsidR="00E46634" w:rsidRPr="00A53AD7">
        <w:rPr>
          <w:rFonts w:ascii="Times New Roman" w:hAnsi="Times New Roman"/>
        </w:rPr>
        <w:t xml:space="preserve"> </w:t>
      </w:r>
      <w:r w:rsidRPr="00A53AD7">
        <w:rPr>
          <w:rFonts w:ascii="Times New Roman" w:hAnsi="Times New Roman"/>
        </w:rPr>
        <w:t>ФБ</w:t>
      </w:r>
      <w:r w:rsidR="00E46634" w:rsidRPr="00A53AD7">
        <w:rPr>
          <w:rFonts w:ascii="Times New Roman" w:hAnsi="Times New Roman"/>
        </w:rPr>
        <w:t xml:space="preserve"> </w:t>
      </w:r>
      <w:r w:rsidR="0014688D" w:rsidRPr="00A53AD7">
        <w:rPr>
          <w:rFonts w:ascii="Times New Roman" w:hAnsi="Times New Roman"/>
        </w:rPr>
        <w:t>– 2 200,00 млн.</w:t>
      </w:r>
      <w:r w:rsidRPr="00A53AD7">
        <w:rPr>
          <w:rFonts w:ascii="Times New Roman" w:hAnsi="Times New Roman"/>
        </w:rPr>
        <w:t>руб.</w:t>
      </w:r>
    </w:p>
    <w:p w14:paraId="36A130CE" w14:textId="77777777" w:rsidR="00443607" w:rsidRPr="00A53AD7" w:rsidRDefault="00443607" w:rsidP="00443607">
      <w:pPr>
        <w:spacing w:after="0" w:line="240" w:lineRule="auto"/>
        <w:ind w:firstLine="851"/>
        <w:jc w:val="both"/>
        <w:rPr>
          <w:rFonts w:ascii="Times New Roman" w:hAnsi="Times New Roman"/>
          <w:sz w:val="28"/>
          <w:szCs w:val="28"/>
        </w:rPr>
      </w:pPr>
    </w:p>
    <w:p w14:paraId="5B77BF21" w14:textId="5270920D" w:rsidR="00C16B57" w:rsidRPr="00A53AD7" w:rsidRDefault="00C16B57" w:rsidP="00443607">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Отчет о ходе реализации</w:t>
      </w:r>
      <w:r w:rsidR="00E46634" w:rsidRPr="00A53AD7">
        <w:rPr>
          <w:rFonts w:ascii="Times New Roman" w:hAnsi="Times New Roman"/>
          <w:sz w:val="28"/>
          <w:szCs w:val="28"/>
        </w:rPr>
        <w:t xml:space="preserve"> </w:t>
      </w:r>
      <w:r w:rsidRPr="00A53AD7">
        <w:rPr>
          <w:rFonts w:ascii="Times New Roman" w:hAnsi="Times New Roman"/>
          <w:sz w:val="28"/>
          <w:szCs w:val="28"/>
        </w:rPr>
        <w:t>РП на 2019 год (от 13.01.2020) содержит сведения</w:t>
      </w:r>
      <w:r w:rsidR="00E46634" w:rsidRPr="00A53AD7">
        <w:rPr>
          <w:rFonts w:ascii="Times New Roman" w:hAnsi="Times New Roman"/>
          <w:sz w:val="28"/>
          <w:szCs w:val="28"/>
        </w:rPr>
        <w:t xml:space="preserve"> </w:t>
      </w:r>
      <w:r w:rsidRPr="00A53AD7">
        <w:rPr>
          <w:rFonts w:ascii="Times New Roman" w:hAnsi="Times New Roman"/>
          <w:sz w:val="28"/>
          <w:szCs w:val="28"/>
        </w:rPr>
        <w:t>об исполнении бюджета, согласно которым</w:t>
      </w:r>
      <w:r w:rsidR="00E46634" w:rsidRPr="00A53AD7">
        <w:rPr>
          <w:rFonts w:ascii="Times New Roman" w:hAnsi="Times New Roman"/>
          <w:sz w:val="28"/>
          <w:szCs w:val="28"/>
        </w:rPr>
        <w:t xml:space="preserve"> </w:t>
      </w:r>
      <w:r w:rsidRPr="00A53AD7">
        <w:rPr>
          <w:rFonts w:ascii="Times New Roman" w:hAnsi="Times New Roman"/>
          <w:sz w:val="28"/>
          <w:szCs w:val="28"/>
        </w:rPr>
        <w:t>кассовое исполнение по мероприятию «Реконструкция аэропортового комплекса "Соловки", о. Соловецкий, Архангельская область» за отчетный</w:t>
      </w:r>
      <w:r w:rsidR="00E6143A" w:rsidRPr="00A53AD7">
        <w:rPr>
          <w:rFonts w:ascii="Times New Roman" w:hAnsi="Times New Roman"/>
          <w:sz w:val="28"/>
          <w:szCs w:val="28"/>
        </w:rPr>
        <w:t xml:space="preserve"> период составили 1 222,22 млн.</w:t>
      </w:r>
      <w:r w:rsidRPr="00A53AD7">
        <w:rPr>
          <w:rFonts w:ascii="Times New Roman" w:hAnsi="Times New Roman"/>
          <w:sz w:val="28"/>
          <w:szCs w:val="28"/>
        </w:rPr>
        <w:t>руб., что не соответствует</w:t>
      </w:r>
      <w:r w:rsidR="00E46634" w:rsidRPr="00A53AD7">
        <w:rPr>
          <w:rFonts w:ascii="Times New Roman" w:hAnsi="Times New Roman"/>
          <w:sz w:val="28"/>
          <w:szCs w:val="28"/>
        </w:rPr>
        <w:t xml:space="preserve"> </w:t>
      </w:r>
      <w:r w:rsidRPr="00A53AD7">
        <w:rPr>
          <w:rFonts w:ascii="Times New Roman" w:hAnsi="Times New Roman"/>
          <w:sz w:val="28"/>
          <w:szCs w:val="28"/>
        </w:rPr>
        <w:t>данным об исполнении</w:t>
      </w:r>
      <w:r w:rsidR="00E46634" w:rsidRPr="00A53AD7">
        <w:rPr>
          <w:rFonts w:ascii="Times New Roman" w:hAnsi="Times New Roman"/>
          <w:sz w:val="28"/>
          <w:szCs w:val="28"/>
        </w:rPr>
        <w:t xml:space="preserve"> </w:t>
      </w:r>
      <w:r w:rsidRPr="00A53AD7">
        <w:rPr>
          <w:rFonts w:ascii="Times New Roman" w:hAnsi="Times New Roman"/>
          <w:sz w:val="28"/>
          <w:szCs w:val="28"/>
        </w:rPr>
        <w:t>кассовых расходов</w:t>
      </w:r>
      <w:r w:rsidR="00E46634" w:rsidRPr="00A53AD7">
        <w:rPr>
          <w:rFonts w:ascii="Times New Roman" w:hAnsi="Times New Roman"/>
          <w:sz w:val="28"/>
          <w:szCs w:val="28"/>
        </w:rPr>
        <w:t xml:space="preserve"> </w:t>
      </w:r>
      <w:r w:rsidRPr="00A53AD7">
        <w:rPr>
          <w:rFonts w:ascii="Times New Roman" w:hAnsi="Times New Roman"/>
          <w:sz w:val="28"/>
          <w:szCs w:val="28"/>
        </w:rPr>
        <w:t>на реализацию данного</w:t>
      </w:r>
      <w:r w:rsidR="00E46634" w:rsidRPr="00A53AD7">
        <w:rPr>
          <w:rFonts w:ascii="Times New Roman" w:hAnsi="Times New Roman"/>
          <w:sz w:val="28"/>
          <w:szCs w:val="28"/>
        </w:rPr>
        <w:t xml:space="preserve"> </w:t>
      </w:r>
      <w:r w:rsidRPr="00A53AD7">
        <w:rPr>
          <w:rFonts w:ascii="Times New Roman" w:hAnsi="Times New Roman"/>
          <w:sz w:val="28"/>
          <w:szCs w:val="28"/>
        </w:rPr>
        <w:t>мероприятия в рамках ГП АО № 314-пп (15.1 –исполнение</w:t>
      </w:r>
      <w:r w:rsidR="00E46634" w:rsidRPr="00A53AD7">
        <w:rPr>
          <w:rFonts w:ascii="Times New Roman" w:hAnsi="Times New Roman"/>
          <w:sz w:val="28"/>
          <w:szCs w:val="28"/>
        </w:rPr>
        <w:t xml:space="preserve"> </w:t>
      </w:r>
      <w:r w:rsidRPr="00A53AD7">
        <w:rPr>
          <w:rFonts w:ascii="Times New Roman" w:hAnsi="Times New Roman"/>
          <w:sz w:val="28"/>
          <w:szCs w:val="28"/>
        </w:rPr>
        <w:t>1 437,69 млн.руб., 15.2. исполнение 3,02 млн.руб.)</w:t>
      </w:r>
      <w:r w:rsidR="000F374B" w:rsidRPr="00A53AD7">
        <w:rPr>
          <w:rFonts w:ascii="Times New Roman" w:hAnsi="Times New Roman"/>
          <w:sz w:val="28"/>
          <w:szCs w:val="28"/>
        </w:rPr>
        <w:t>.</w:t>
      </w:r>
    </w:p>
    <w:p w14:paraId="1BEC4A7A" w14:textId="28510B55"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Государственный контракт от 05.12.2018 № 0124200000618004623</w:t>
      </w:r>
      <w:r w:rsidR="00E46634" w:rsidRPr="00A53AD7">
        <w:rPr>
          <w:rFonts w:ascii="Times New Roman" w:hAnsi="Times New Roman"/>
          <w:sz w:val="28"/>
          <w:szCs w:val="28"/>
        </w:rPr>
        <w:t xml:space="preserve"> </w:t>
      </w:r>
      <w:r w:rsidRPr="00A53AD7">
        <w:rPr>
          <w:rFonts w:ascii="Times New Roman" w:hAnsi="Times New Roman"/>
          <w:sz w:val="28"/>
          <w:szCs w:val="28"/>
        </w:rPr>
        <w:t>на выполнение работ по объекту «Реконструкция</w:t>
      </w:r>
      <w:r w:rsidR="00E46634" w:rsidRPr="00A53AD7">
        <w:rPr>
          <w:rFonts w:ascii="Times New Roman" w:hAnsi="Times New Roman"/>
          <w:sz w:val="28"/>
          <w:szCs w:val="28"/>
        </w:rPr>
        <w:t xml:space="preserve"> </w:t>
      </w:r>
      <w:r w:rsidRPr="00A53AD7">
        <w:rPr>
          <w:rFonts w:ascii="Times New Roman" w:hAnsi="Times New Roman"/>
          <w:sz w:val="28"/>
          <w:szCs w:val="28"/>
        </w:rPr>
        <w:t>аэропортового комплекса «Соловки», о. Соловецкий, Архангельская область» заключен на основании протокола</w:t>
      </w:r>
      <w:r w:rsidR="00E46634" w:rsidRPr="00A53AD7">
        <w:rPr>
          <w:rFonts w:ascii="Times New Roman" w:hAnsi="Times New Roman"/>
          <w:sz w:val="28"/>
          <w:szCs w:val="28"/>
        </w:rPr>
        <w:t xml:space="preserve"> </w:t>
      </w:r>
      <w:r w:rsidRPr="00A53AD7">
        <w:rPr>
          <w:rFonts w:ascii="Times New Roman" w:hAnsi="Times New Roman"/>
          <w:sz w:val="28"/>
          <w:szCs w:val="28"/>
        </w:rPr>
        <w:t>рассмотрения единственной</w:t>
      </w:r>
      <w:r w:rsidR="00E46634" w:rsidRPr="00A53AD7">
        <w:rPr>
          <w:rFonts w:ascii="Times New Roman" w:hAnsi="Times New Roman"/>
          <w:sz w:val="28"/>
          <w:szCs w:val="28"/>
        </w:rPr>
        <w:t xml:space="preserve"> </w:t>
      </w:r>
      <w:r w:rsidRPr="00A53AD7">
        <w:rPr>
          <w:rFonts w:ascii="Times New Roman" w:hAnsi="Times New Roman"/>
          <w:sz w:val="28"/>
          <w:szCs w:val="28"/>
        </w:rPr>
        <w:t>заявки на участие</w:t>
      </w:r>
      <w:r w:rsidR="00E46634" w:rsidRPr="00A53AD7">
        <w:rPr>
          <w:rFonts w:ascii="Times New Roman" w:hAnsi="Times New Roman"/>
          <w:sz w:val="28"/>
          <w:szCs w:val="28"/>
        </w:rPr>
        <w:t xml:space="preserve"> </w:t>
      </w:r>
      <w:r w:rsidRPr="00A53AD7">
        <w:rPr>
          <w:rFonts w:ascii="Times New Roman" w:hAnsi="Times New Roman"/>
          <w:sz w:val="28"/>
          <w:szCs w:val="28"/>
        </w:rPr>
        <w:t>в конкурсе с ограниченным</w:t>
      </w:r>
      <w:r w:rsidR="00E46634" w:rsidRPr="00A53AD7">
        <w:rPr>
          <w:rFonts w:ascii="Times New Roman" w:hAnsi="Times New Roman"/>
          <w:sz w:val="28"/>
          <w:szCs w:val="28"/>
        </w:rPr>
        <w:t xml:space="preserve"> </w:t>
      </w:r>
      <w:r w:rsidRPr="00A53AD7">
        <w:rPr>
          <w:rFonts w:ascii="Times New Roman" w:hAnsi="Times New Roman"/>
          <w:sz w:val="28"/>
          <w:szCs w:val="28"/>
        </w:rPr>
        <w:t>участием от 15.11.2018 для закупки № 0124200000618004623, решения КРИ АО от 27.11.2018 между государственным</w:t>
      </w:r>
      <w:r w:rsidR="00E46634" w:rsidRPr="00A53AD7">
        <w:rPr>
          <w:rFonts w:ascii="Times New Roman" w:hAnsi="Times New Roman"/>
          <w:sz w:val="28"/>
          <w:szCs w:val="28"/>
        </w:rPr>
        <w:t xml:space="preserve"> </w:t>
      </w:r>
      <w:r w:rsidRPr="00A53AD7">
        <w:rPr>
          <w:rFonts w:ascii="Times New Roman" w:hAnsi="Times New Roman"/>
          <w:sz w:val="28"/>
          <w:szCs w:val="28"/>
        </w:rPr>
        <w:t>казенным учреждением Архангельской области</w:t>
      </w:r>
      <w:r w:rsidR="00E46634" w:rsidRPr="00A53AD7">
        <w:rPr>
          <w:rFonts w:ascii="Times New Roman" w:hAnsi="Times New Roman"/>
          <w:sz w:val="28"/>
          <w:szCs w:val="28"/>
        </w:rPr>
        <w:t xml:space="preserve"> </w:t>
      </w:r>
      <w:r w:rsidRPr="00A53AD7">
        <w:rPr>
          <w:rFonts w:ascii="Times New Roman" w:hAnsi="Times New Roman"/>
          <w:sz w:val="28"/>
          <w:szCs w:val="28"/>
        </w:rPr>
        <w:t>«Главное управление капитального строительства» (далее – ГКУ АО «ГУКС») (Заказчик) и Акционерным обществом</w:t>
      </w:r>
      <w:r w:rsidR="00E46634" w:rsidRPr="00A53AD7">
        <w:rPr>
          <w:rFonts w:ascii="Times New Roman" w:hAnsi="Times New Roman"/>
          <w:sz w:val="28"/>
          <w:szCs w:val="28"/>
        </w:rPr>
        <w:t xml:space="preserve"> </w:t>
      </w:r>
      <w:r w:rsidRPr="00A53AD7">
        <w:rPr>
          <w:rFonts w:ascii="Times New Roman" w:hAnsi="Times New Roman"/>
          <w:sz w:val="28"/>
          <w:szCs w:val="28"/>
        </w:rPr>
        <w:t>«Стройтрансгаз» (Подрядчик).</w:t>
      </w:r>
    </w:p>
    <w:p w14:paraId="52F1FCF7" w14:textId="21E0488F"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Дата начала исполнения контракта</w:t>
      </w:r>
      <w:r w:rsidR="00B107B8" w:rsidRPr="00A53AD7">
        <w:rPr>
          <w:rFonts w:ascii="Times New Roman" w:hAnsi="Times New Roman"/>
          <w:sz w:val="28"/>
          <w:szCs w:val="28"/>
        </w:rPr>
        <w:t xml:space="preserve"> </w:t>
      </w:r>
      <w:r w:rsidRPr="00A53AD7">
        <w:rPr>
          <w:rFonts w:ascii="Times New Roman" w:hAnsi="Times New Roman"/>
          <w:sz w:val="28"/>
          <w:szCs w:val="28"/>
        </w:rPr>
        <w:t>- 21.12.2018, дата окончания исполнения конт</w:t>
      </w:r>
      <w:r w:rsidR="00B107B8" w:rsidRPr="00A53AD7">
        <w:rPr>
          <w:rFonts w:ascii="Times New Roman" w:hAnsi="Times New Roman"/>
          <w:sz w:val="28"/>
          <w:szCs w:val="28"/>
        </w:rPr>
        <w:t>ракта</w:t>
      </w:r>
      <w:r w:rsidR="00B107B8" w:rsidRPr="00A53AD7">
        <w:rPr>
          <w:rFonts w:ascii="Times New Roman" w:hAnsi="Times New Roman"/>
          <w:sz w:val="28"/>
          <w:szCs w:val="28"/>
        </w:rPr>
        <w:tab/>
        <w:t>- 31.01.2021</w:t>
      </w:r>
    </w:p>
    <w:p w14:paraId="288276FC" w14:textId="77777777"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К контракту заключено 7 дополнительных соглашений:</w:t>
      </w:r>
    </w:p>
    <w:p w14:paraId="301B6090" w14:textId="7CE21C06"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2019 года цена контракта</w:t>
      </w:r>
      <w:r w:rsidR="00E46634" w:rsidRPr="00A53AD7">
        <w:rPr>
          <w:rFonts w:ascii="Times New Roman" w:hAnsi="Times New Roman"/>
          <w:sz w:val="28"/>
          <w:szCs w:val="28"/>
        </w:rPr>
        <w:t xml:space="preserve"> </w:t>
      </w:r>
      <w:r w:rsidRPr="00A53AD7">
        <w:rPr>
          <w:rFonts w:ascii="Times New Roman" w:hAnsi="Times New Roman"/>
          <w:sz w:val="28"/>
          <w:szCs w:val="28"/>
        </w:rPr>
        <w:t>увеличена</w:t>
      </w:r>
      <w:r w:rsidR="00E46634" w:rsidRPr="00A53AD7">
        <w:rPr>
          <w:rFonts w:ascii="Times New Roman" w:hAnsi="Times New Roman"/>
          <w:sz w:val="28"/>
          <w:szCs w:val="28"/>
        </w:rPr>
        <w:t xml:space="preserve"> </w:t>
      </w:r>
      <w:r w:rsidR="00B107B8" w:rsidRPr="00A53AD7">
        <w:rPr>
          <w:rFonts w:ascii="Times New Roman" w:hAnsi="Times New Roman"/>
          <w:sz w:val="28"/>
          <w:szCs w:val="28"/>
        </w:rPr>
        <w:t>на 298,3 млн.</w:t>
      </w:r>
      <w:r w:rsidRPr="00A53AD7">
        <w:rPr>
          <w:rFonts w:ascii="Times New Roman" w:hAnsi="Times New Roman"/>
          <w:sz w:val="28"/>
          <w:szCs w:val="28"/>
        </w:rPr>
        <w:t xml:space="preserve">руб. </w:t>
      </w:r>
    </w:p>
    <w:p w14:paraId="255444F0" w14:textId="668C9D42"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об исполнении государственного контракта от 05.12.2018 № 0124200000618004623, размещенной в Единой</w:t>
      </w:r>
      <w:r w:rsidR="00E46634" w:rsidRPr="00A53AD7">
        <w:rPr>
          <w:rFonts w:ascii="Times New Roman" w:hAnsi="Times New Roman"/>
          <w:sz w:val="28"/>
          <w:szCs w:val="28"/>
        </w:rPr>
        <w:t xml:space="preserve"> </w:t>
      </w:r>
      <w:r w:rsidRPr="00A53AD7">
        <w:rPr>
          <w:rFonts w:ascii="Times New Roman" w:hAnsi="Times New Roman"/>
          <w:sz w:val="28"/>
          <w:szCs w:val="28"/>
        </w:rPr>
        <w:t>информационной системе</w:t>
      </w:r>
      <w:r w:rsidR="00E46634" w:rsidRPr="00A53AD7">
        <w:rPr>
          <w:rFonts w:ascii="Times New Roman" w:hAnsi="Times New Roman"/>
          <w:sz w:val="28"/>
          <w:szCs w:val="28"/>
        </w:rPr>
        <w:t xml:space="preserve"> </w:t>
      </w:r>
      <w:r w:rsidRPr="00A53AD7">
        <w:rPr>
          <w:rFonts w:ascii="Times New Roman" w:hAnsi="Times New Roman"/>
          <w:sz w:val="28"/>
          <w:szCs w:val="28"/>
        </w:rPr>
        <w:t>в сфере закупок,</w:t>
      </w:r>
      <w:r w:rsidR="00E46634" w:rsidRPr="00A53AD7">
        <w:rPr>
          <w:rFonts w:ascii="Times New Roman" w:hAnsi="Times New Roman"/>
          <w:sz w:val="28"/>
          <w:szCs w:val="28"/>
        </w:rPr>
        <w:t xml:space="preserve"> </w:t>
      </w:r>
      <w:r w:rsidRPr="00A53AD7">
        <w:rPr>
          <w:rFonts w:ascii="Times New Roman" w:hAnsi="Times New Roman"/>
          <w:sz w:val="28"/>
          <w:szCs w:val="28"/>
        </w:rPr>
        <w:t>стоимость</w:t>
      </w:r>
      <w:r w:rsidR="00E46634" w:rsidRPr="00A53AD7">
        <w:rPr>
          <w:rFonts w:ascii="Times New Roman" w:hAnsi="Times New Roman"/>
          <w:sz w:val="28"/>
          <w:szCs w:val="28"/>
        </w:rPr>
        <w:t xml:space="preserve"> </w:t>
      </w:r>
      <w:r w:rsidRPr="00A53AD7">
        <w:rPr>
          <w:rFonts w:ascii="Times New Roman" w:hAnsi="Times New Roman"/>
          <w:sz w:val="28"/>
          <w:szCs w:val="28"/>
        </w:rPr>
        <w:t>исполненных</w:t>
      </w:r>
      <w:r w:rsidR="00E46634" w:rsidRPr="00A53AD7">
        <w:rPr>
          <w:rFonts w:ascii="Times New Roman" w:hAnsi="Times New Roman"/>
          <w:sz w:val="28"/>
          <w:szCs w:val="28"/>
        </w:rPr>
        <w:t xml:space="preserve"> </w:t>
      </w:r>
      <w:r w:rsidRPr="00A53AD7">
        <w:rPr>
          <w:rFonts w:ascii="Times New Roman" w:hAnsi="Times New Roman"/>
          <w:sz w:val="28"/>
          <w:szCs w:val="28"/>
        </w:rPr>
        <w:t>Подрядчиком обяза</w:t>
      </w:r>
      <w:r w:rsidR="00E6143A" w:rsidRPr="00A53AD7">
        <w:rPr>
          <w:rFonts w:ascii="Times New Roman" w:hAnsi="Times New Roman"/>
          <w:sz w:val="28"/>
          <w:szCs w:val="28"/>
        </w:rPr>
        <w:t>тельств составляет 1 780,3 млн.</w:t>
      </w:r>
      <w:r w:rsidRPr="00A53AD7">
        <w:rPr>
          <w:rFonts w:ascii="Times New Roman" w:hAnsi="Times New Roman"/>
          <w:sz w:val="28"/>
          <w:szCs w:val="28"/>
        </w:rPr>
        <w:t>руб. (61,7%),</w:t>
      </w:r>
      <w:r w:rsidR="00E46634" w:rsidRPr="00A53AD7">
        <w:rPr>
          <w:rFonts w:ascii="Times New Roman" w:hAnsi="Times New Roman"/>
          <w:sz w:val="28"/>
          <w:szCs w:val="28"/>
        </w:rPr>
        <w:t xml:space="preserve"> </w:t>
      </w:r>
      <w:r w:rsidRPr="00A53AD7">
        <w:rPr>
          <w:rFonts w:ascii="Times New Roman" w:hAnsi="Times New Roman"/>
          <w:sz w:val="28"/>
          <w:szCs w:val="28"/>
        </w:rPr>
        <w:t>фактическая оплата составляет 2 022,7 млн.руб.</w:t>
      </w:r>
      <w:r w:rsidR="00B107B8" w:rsidRPr="00A53AD7">
        <w:rPr>
          <w:rFonts w:ascii="Times New Roman" w:hAnsi="Times New Roman"/>
          <w:sz w:val="28"/>
          <w:szCs w:val="28"/>
        </w:rPr>
        <w:t xml:space="preserve"> </w:t>
      </w:r>
      <w:r w:rsidRPr="00A53AD7">
        <w:rPr>
          <w:rFonts w:ascii="Times New Roman" w:hAnsi="Times New Roman"/>
          <w:sz w:val="28"/>
          <w:szCs w:val="28"/>
        </w:rPr>
        <w:t>(70,1% от цены контракта).</w:t>
      </w:r>
    </w:p>
    <w:p w14:paraId="2CE56FC0" w14:textId="3E4D90E3"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Архангельским межрегиональным территориальным управлением воздушного транспорта Федерального агентства воздушного транспорта 5 ноября 2019 года выдано разрешение на ввод 1 этапа строительства объекта, 21 ноября 2019 года – н</w:t>
      </w:r>
      <w:r w:rsidR="00B107B8" w:rsidRPr="00A53AD7">
        <w:rPr>
          <w:rFonts w:ascii="Times New Roman" w:hAnsi="Times New Roman"/>
          <w:sz w:val="28"/>
          <w:szCs w:val="28"/>
        </w:rPr>
        <w:t>а 2 этап строительства объекта.</w:t>
      </w:r>
    </w:p>
    <w:p w14:paraId="78FCD3F1" w14:textId="4C1D36F5" w:rsidR="00C16B57" w:rsidRPr="00A53AD7" w:rsidRDefault="00C16B57" w:rsidP="00B107B8">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Минстроя АО</w:t>
      </w:r>
      <w:r w:rsidR="00E46634" w:rsidRPr="00A53AD7">
        <w:rPr>
          <w:rFonts w:ascii="Times New Roman" w:hAnsi="Times New Roman"/>
          <w:sz w:val="28"/>
          <w:szCs w:val="28"/>
        </w:rPr>
        <w:t xml:space="preserve"> </w:t>
      </w:r>
      <w:r w:rsidRPr="00A53AD7">
        <w:rPr>
          <w:rFonts w:ascii="Times New Roman" w:hAnsi="Times New Roman"/>
          <w:sz w:val="28"/>
          <w:szCs w:val="28"/>
        </w:rPr>
        <w:t>(бюджетные инвестиции</w:t>
      </w:r>
      <w:r w:rsidR="00E46634" w:rsidRPr="00A53AD7">
        <w:rPr>
          <w:rFonts w:ascii="Times New Roman" w:hAnsi="Times New Roman"/>
          <w:sz w:val="28"/>
          <w:szCs w:val="28"/>
        </w:rPr>
        <w:t xml:space="preserve"> </w:t>
      </w:r>
      <w:r w:rsidRPr="00A53AD7">
        <w:rPr>
          <w:rFonts w:ascii="Times New Roman" w:hAnsi="Times New Roman"/>
          <w:sz w:val="28"/>
          <w:szCs w:val="28"/>
        </w:rPr>
        <w:t>за счет средств</w:t>
      </w:r>
      <w:r w:rsidR="00E46634" w:rsidRPr="00A53AD7">
        <w:rPr>
          <w:rFonts w:ascii="Times New Roman" w:hAnsi="Times New Roman"/>
          <w:sz w:val="28"/>
          <w:szCs w:val="28"/>
        </w:rPr>
        <w:t xml:space="preserve"> </w:t>
      </w:r>
      <w:r w:rsidRPr="00A53AD7">
        <w:rPr>
          <w:rFonts w:ascii="Times New Roman" w:hAnsi="Times New Roman"/>
          <w:sz w:val="28"/>
          <w:szCs w:val="28"/>
        </w:rPr>
        <w:t>областного бюджета) на софинансирование мероприятия «Реконструкция аэропортового комплекса «Соловки», о. Соловецкий, Архангельская область»</w:t>
      </w:r>
      <w:r w:rsidR="00E46634" w:rsidRPr="00A53AD7">
        <w:rPr>
          <w:rFonts w:ascii="Times New Roman" w:hAnsi="Times New Roman"/>
          <w:sz w:val="28"/>
          <w:szCs w:val="28"/>
        </w:rPr>
        <w:t xml:space="preserve"> </w:t>
      </w:r>
      <w:r w:rsidRPr="00A53AD7">
        <w:rPr>
          <w:rFonts w:ascii="Times New Roman" w:hAnsi="Times New Roman"/>
          <w:sz w:val="28"/>
          <w:szCs w:val="28"/>
        </w:rPr>
        <w:t>составили</w:t>
      </w:r>
      <w:r w:rsidR="00E46634" w:rsidRPr="00A53AD7">
        <w:rPr>
          <w:rFonts w:ascii="Times New Roman" w:hAnsi="Times New Roman"/>
          <w:sz w:val="28"/>
          <w:szCs w:val="28"/>
        </w:rPr>
        <w:t xml:space="preserve"> </w:t>
      </w:r>
      <w:r w:rsidRPr="00A53AD7">
        <w:rPr>
          <w:rFonts w:ascii="Times New Roman" w:hAnsi="Times New Roman"/>
          <w:sz w:val="28"/>
          <w:szCs w:val="28"/>
        </w:rPr>
        <w:t>337,7 м</w:t>
      </w:r>
      <w:r w:rsidR="00085B59" w:rsidRPr="00A53AD7">
        <w:rPr>
          <w:rFonts w:ascii="Times New Roman" w:hAnsi="Times New Roman"/>
          <w:sz w:val="28"/>
          <w:szCs w:val="28"/>
        </w:rPr>
        <w:t>лн.</w:t>
      </w:r>
      <w:r w:rsidRPr="00A53AD7">
        <w:rPr>
          <w:rFonts w:ascii="Times New Roman" w:hAnsi="Times New Roman"/>
          <w:sz w:val="28"/>
          <w:szCs w:val="28"/>
        </w:rPr>
        <w:t>руб.;</w:t>
      </w:r>
      <w:r w:rsidR="00E46634" w:rsidRPr="00A53AD7">
        <w:rPr>
          <w:rFonts w:ascii="Times New Roman" w:hAnsi="Times New Roman"/>
          <w:sz w:val="28"/>
          <w:szCs w:val="28"/>
        </w:rPr>
        <w:t xml:space="preserve"> </w:t>
      </w:r>
      <w:r w:rsidRPr="00A53AD7">
        <w:rPr>
          <w:rFonts w:ascii="Times New Roman" w:hAnsi="Times New Roman"/>
          <w:sz w:val="28"/>
          <w:szCs w:val="28"/>
        </w:rPr>
        <w:t>на разработку (приобретение) проектной документации, реконструкцию аэропортового комплекса «Соловки», о. Соловецкий, Архангельская область направлены</w:t>
      </w:r>
      <w:r w:rsidR="00E46634" w:rsidRPr="00A53AD7">
        <w:rPr>
          <w:rFonts w:ascii="Times New Roman" w:hAnsi="Times New Roman"/>
          <w:sz w:val="28"/>
          <w:szCs w:val="28"/>
        </w:rPr>
        <w:t xml:space="preserve"> </w:t>
      </w:r>
      <w:r w:rsidR="00B107B8" w:rsidRPr="00A53AD7">
        <w:rPr>
          <w:rFonts w:ascii="Times New Roman" w:hAnsi="Times New Roman"/>
          <w:sz w:val="28"/>
          <w:szCs w:val="28"/>
        </w:rPr>
        <w:t>3,0 млн.</w:t>
      </w:r>
      <w:r w:rsidR="00E6143A" w:rsidRPr="00A53AD7">
        <w:rPr>
          <w:rFonts w:ascii="Times New Roman" w:hAnsi="Times New Roman"/>
          <w:sz w:val="28"/>
          <w:szCs w:val="28"/>
        </w:rPr>
        <w:t>руб. из 7,0 млн.</w:t>
      </w:r>
      <w:r w:rsidRPr="00A53AD7">
        <w:rPr>
          <w:rFonts w:ascii="Times New Roman" w:hAnsi="Times New Roman"/>
          <w:sz w:val="28"/>
          <w:szCs w:val="28"/>
        </w:rPr>
        <w:t>руб., предусмотренных на эти цели</w:t>
      </w:r>
      <w:r w:rsidR="00E46634" w:rsidRPr="00A53AD7">
        <w:rPr>
          <w:rFonts w:ascii="Times New Roman" w:hAnsi="Times New Roman"/>
          <w:sz w:val="28"/>
          <w:szCs w:val="28"/>
        </w:rPr>
        <w:t xml:space="preserve"> </w:t>
      </w:r>
      <w:r w:rsidRPr="00A53AD7">
        <w:rPr>
          <w:rFonts w:ascii="Times New Roman" w:hAnsi="Times New Roman"/>
          <w:sz w:val="28"/>
          <w:szCs w:val="28"/>
        </w:rPr>
        <w:t>в областном бюджете на 2019 год.</w:t>
      </w:r>
    </w:p>
    <w:p w14:paraId="7C2AB7B6" w14:textId="2A25A53C" w:rsidR="00A0602A" w:rsidRPr="00A53AD7" w:rsidRDefault="00A0602A" w:rsidP="00A0602A">
      <w:pPr>
        <w:keepNext/>
        <w:spacing w:before="240" w:after="60" w:line="240" w:lineRule="auto"/>
        <w:jc w:val="center"/>
        <w:outlineLvl w:val="2"/>
        <w:rPr>
          <w:rFonts w:ascii="Times New Roman" w:eastAsia="Times New Roman" w:hAnsi="Times New Roman"/>
          <w:bCs/>
          <w:sz w:val="28"/>
          <w:szCs w:val="28"/>
          <w:u w:val="single"/>
          <w:lang w:eastAsia="ru-RU"/>
        </w:rPr>
      </w:pPr>
      <w:bookmarkStart w:id="108" w:name="_Toc42006748"/>
      <w:r w:rsidRPr="00A53AD7">
        <w:rPr>
          <w:rFonts w:ascii="Times New Roman" w:eastAsia="Times New Roman" w:hAnsi="Times New Roman"/>
          <w:bCs/>
          <w:sz w:val="28"/>
          <w:szCs w:val="28"/>
          <w:u w:val="single"/>
          <w:lang w:eastAsia="ru-RU"/>
        </w:rPr>
        <w:t>4.</w:t>
      </w:r>
      <w:r w:rsidR="006B7638" w:rsidRPr="00A53AD7">
        <w:rPr>
          <w:rFonts w:ascii="Times New Roman" w:eastAsia="Times New Roman" w:hAnsi="Times New Roman"/>
          <w:bCs/>
          <w:sz w:val="28"/>
          <w:szCs w:val="28"/>
          <w:u w:val="single"/>
          <w:lang w:eastAsia="ru-RU"/>
        </w:rPr>
        <w:t>6</w:t>
      </w:r>
      <w:r w:rsidRPr="00A53AD7">
        <w:rPr>
          <w:rFonts w:ascii="Times New Roman" w:eastAsia="Times New Roman" w:hAnsi="Times New Roman"/>
          <w:bCs/>
          <w:sz w:val="28"/>
          <w:szCs w:val="28"/>
          <w:u w:val="single"/>
          <w:lang w:eastAsia="ru-RU"/>
        </w:rPr>
        <w:t>.3. Национальный проект «Безопасные и качественные автомобильные дороги»</w:t>
      </w:r>
      <w:bookmarkEnd w:id="108"/>
    </w:p>
    <w:p w14:paraId="2D3BAFA5" w14:textId="77777777" w:rsidR="00085B59" w:rsidRPr="00A53AD7" w:rsidRDefault="00085B59" w:rsidP="00085B59">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«Безопасность дорожного движения»</w:t>
      </w:r>
    </w:p>
    <w:p w14:paraId="7E3EEB87" w14:textId="77777777"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 регионального проекта утвержден 17.07.2019.</w:t>
      </w:r>
    </w:p>
    <w:p w14:paraId="4EDE9FB7" w14:textId="23FEA50C"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регионального проекта 01.01.2019 - 31.12.2024.</w:t>
      </w:r>
    </w:p>
    <w:p w14:paraId="77BD4943" w14:textId="77777777" w:rsidR="00812850" w:rsidRPr="00A53AD7" w:rsidRDefault="00812850" w:rsidP="0081285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рамках регионального проекта «Безопасность дорожного движения» (Архангельская область)», входящего в состав федерального проекта «Безопасность дорожного движения» национального проекта «Безопасные и качественные автомобильные дороги» осуществляется исполнение мероприятий государственных программ Архангельской области «Развитие транспортной системы Архангельской области», «Развитие здравоохранения Архангельской области», «Развитие образования и науки Архангельской области», «Обеспечение общественного порядка, профилактика преступности, коррупции, терроризма, экстремизма и незаконного потребления наркотических средств и психотропных веществ в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 </w:t>
      </w:r>
    </w:p>
    <w:p w14:paraId="4FB755A2" w14:textId="280C2136"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Региональным проектом (далее - РП) определен один основной показатель - снижение смертности в результате дорожно-транспортных происшествий в 3,5 раза по сравнению с 2017 годом – до уровня, не превышающего четыре человека на 100 тысяч населения к 2024 году, на 2019 год количество погибших в ДТП на 100 тысяч населения не должно превышать 10,0 чел. (базовое значение за 2017 год – 11 чел.).</w:t>
      </w:r>
    </w:p>
    <w:p w14:paraId="475CFF11" w14:textId="73E8567E"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внесены изменения в паспорт РП (№</w:t>
      </w:r>
      <w:r w:rsidR="008D367F" w:rsidRPr="00A53AD7">
        <w:rPr>
          <w:rFonts w:ascii="Times New Roman" w:hAnsi="Times New Roman"/>
          <w:sz w:val="28"/>
          <w:szCs w:val="28"/>
        </w:rPr>
        <w:t xml:space="preserve"> </w:t>
      </w:r>
      <w:r w:rsidRPr="00A53AD7">
        <w:rPr>
          <w:rFonts w:ascii="Times New Roman" w:hAnsi="Times New Roman"/>
          <w:sz w:val="28"/>
          <w:szCs w:val="28"/>
        </w:rPr>
        <w:t>R3-8-2019/002 от 27.12.2019). Изменения внесены в пять разделов из семи.</w:t>
      </w:r>
    </w:p>
    <w:p w14:paraId="55B2197F" w14:textId="4C5AECA1"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финансового обеспечения на 2019 год по региональному проекту (с учетом</w:t>
      </w:r>
      <w:r w:rsidR="008D367F" w:rsidRPr="00A53AD7">
        <w:rPr>
          <w:rFonts w:ascii="Times New Roman" w:hAnsi="Times New Roman"/>
          <w:sz w:val="28"/>
          <w:szCs w:val="28"/>
        </w:rPr>
        <w:t xml:space="preserve"> изменений) в размере 31,9 млн.</w:t>
      </w:r>
      <w:r w:rsidRPr="00A53AD7">
        <w:rPr>
          <w:rFonts w:ascii="Times New Roman" w:hAnsi="Times New Roman"/>
          <w:sz w:val="28"/>
          <w:szCs w:val="28"/>
        </w:rPr>
        <w:t>руб., в том числе за счет област</w:t>
      </w:r>
      <w:r w:rsidR="008D367F" w:rsidRPr="00A53AD7">
        <w:rPr>
          <w:rFonts w:ascii="Times New Roman" w:hAnsi="Times New Roman"/>
          <w:sz w:val="28"/>
          <w:szCs w:val="28"/>
        </w:rPr>
        <w:t>ного бюджета в сумме 31,69 млн.</w:t>
      </w:r>
      <w:r w:rsidRPr="00A53AD7">
        <w:rPr>
          <w:rFonts w:ascii="Times New Roman" w:hAnsi="Times New Roman"/>
          <w:sz w:val="28"/>
          <w:szCs w:val="28"/>
        </w:rPr>
        <w:t>руб., в том числе на достижение результатов:</w:t>
      </w:r>
    </w:p>
    <w:p w14:paraId="2C8913AD" w14:textId="748CEF73"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1.1. оснащения автомобилями скорой медицинской помощи класса "В" медицинских организаций для оказания скорой медицинской помощи пациентам, пострадавшим при дорожно-транспортных </w:t>
      </w:r>
      <w:r w:rsidR="00E6143A" w:rsidRPr="00A53AD7">
        <w:rPr>
          <w:rFonts w:ascii="Times New Roman" w:hAnsi="Times New Roman"/>
          <w:sz w:val="28"/>
          <w:szCs w:val="28"/>
        </w:rPr>
        <w:t>происшествиях в сумме 29,8 млн.</w:t>
      </w:r>
      <w:r w:rsidRPr="00A53AD7">
        <w:rPr>
          <w:rFonts w:ascii="Times New Roman" w:hAnsi="Times New Roman"/>
          <w:sz w:val="28"/>
          <w:szCs w:val="28"/>
        </w:rPr>
        <w:t>руб. (областной бюджет);</w:t>
      </w:r>
    </w:p>
    <w:p w14:paraId="21C494F6" w14:textId="5072574B"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3.1.</w:t>
      </w:r>
      <w:r w:rsidR="00C0628B" w:rsidRPr="00A53AD7">
        <w:rPr>
          <w:rFonts w:ascii="Times New Roman" w:hAnsi="Times New Roman"/>
          <w:sz w:val="28"/>
          <w:szCs w:val="28"/>
        </w:rPr>
        <w:t xml:space="preserve"> </w:t>
      </w:r>
      <w:r w:rsidRPr="00A53AD7">
        <w:rPr>
          <w:rFonts w:ascii="Times New Roman" w:hAnsi="Times New Roman"/>
          <w:sz w:val="28"/>
          <w:szCs w:val="28"/>
        </w:rPr>
        <w:t>приобретения в районные медицинские учреждения хроматографов для выявления состояния опьянения в результате употребления наркотических средств, психотропных или иных вызывающих опья</w:t>
      </w:r>
      <w:r w:rsidR="00E6143A" w:rsidRPr="00A53AD7">
        <w:rPr>
          <w:rFonts w:ascii="Times New Roman" w:hAnsi="Times New Roman"/>
          <w:sz w:val="28"/>
          <w:szCs w:val="28"/>
        </w:rPr>
        <w:t>нение веществ в сумме 1,89 млн.</w:t>
      </w:r>
      <w:r w:rsidRPr="00A53AD7">
        <w:rPr>
          <w:rFonts w:ascii="Times New Roman" w:hAnsi="Times New Roman"/>
          <w:sz w:val="28"/>
          <w:szCs w:val="28"/>
        </w:rPr>
        <w:t>руб. (областной бюджет).</w:t>
      </w:r>
    </w:p>
    <w:p w14:paraId="0D93754A" w14:textId="77777777" w:rsidR="00085B59" w:rsidRPr="00A53AD7" w:rsidRDefault="00085B59" w:rsidP="00085B59">
      <w:pPr>
        <w:spacing w:after="0" w:line="240" w:lineRule="auto"/>
        <w:ind w:firstLine="851"/>
        <w:jc w:val="both"/>
        <w:rPr>
          <w:rFonts w:ascii="Times New Roman" w:hAnsi="Times New Roman"/>
          <w:sz w:val="28"/>
          <w:szCs w:val="28"/>
        </w:rPr>
      </w:pPr>
    </w:p>
    <w:p w14:paraId="6D075C24" w14:textId="0E04A27D"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Между руководителем федерального проекта «Безопасность дорожного движения» и руководителем регионального проекта «Безопасность дорожного движения (Архангельская область)» от имени Архангельской области заключено Соглашение о реализации регионального проекта «Безопасность дорожного движения» (Архангельская область)» на территории Архангельской области от 19.04.2019 №188-2019-R3008-1. </w:t>
      </w:r>
    </w:p>
    <w:p w14:paraId="4E66BD20" w14:textId="62DA4058"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Предметом соглашения является организация взаимодействии 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Архангельской области и (или) муниципальных образованиях, расположенных на территории Архангельской области. </w:t>
      </w:r>
    </w:p>
    <w:p w14:paraId="56724BC4" w14:textId="58F1FB63"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приложениях к соглашению определены «Показатели федерального проекта по субъекту Российской Федерации» (Приложение № 1) и «Результаты федерального проекта по субъекту Российской Федерации» (Приложение № 2).</w:t>
      </w:r>
      <w:r w:rsidR="008D493D" w:rsidRPr="00A53AD7">
        <w:rPr>
          <w:rFonts w:ascii="Times New Roman" w:hAnsi="Times New Roman"/>
          <w:sz w:val="28"/>
          <w:szCs w:val="28"/>
        </w:rPr>
        <w:t xml:space="preserve"> </w:t>
      </w:r>
      <w:r w:rsidRPr="00A53AD7">
        <w:rPr>
          <w:rFonts w:ascii="Times New Roman" w:hAnsi="Times New Roman"/>
          <w:sz w:val="28"/>
          <w:szCs w:val="28"/>
        </w:rPr>
        <w:t>Показатели - базовое значение 2017 год и значение на 2019 год идентичны соответствующим показателям РП.</w:t>
      </w:r>
    </w:p>
    <w:p w14:paraId="79D1818E" w14:textId="77534F28" w:rsidR="00085B59" w:rsidRPr="00A53AD7" w:rsidRDefault="00085B59" w:rsidP="00085B5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РП за 2019 год», размещенному в ГИС «Электронный бюджет», №</w:t>
      </w:r>
      <w:r w:rsidR="005255C7" w:rsidRPr="00A53AD7">
        <w:rPr>
          <w:rFonts w:ascii="Times New Roman" w:hAnsi="Times New Roman"/>
          <w:sz w:val="28"/>
          <w:szCs w:val="28"/>
        </w:rPr>
        <w:t xml:space="preserve"> </w:t>
      </w:r>
      <w:r w:rsidRPr="00A53AD7">
        <w:rPr>
          <w:rFonts w:ascii="Times New Roman" w:hAnsi="Times New Roman"/>
          <w:sz w:val="28"/>
          <w:szCs w:val="28"/>
        </w:rPr>
        <w:t>R3-11-15-2019.12/4840 от 23.01.2020 с датой утверждения от 14.04.2020:</w:t>
      </w:r>
    </w:p>
    <w:p w14:paraId="75641F3E" w14:textId="5734B068" w:rsidR="00085B59" w:rsidRPr="00A53AD7" w:rsidRDefault="00085B59" w:rsidP="00CA1DDD">
      <w:pPr>
        <w:pStyle w:val="a8"/>
        <w:numPr>
          <w:ilvl w:val="0"/>
          <w:numId w:val="38"/>
        </w:numPr>
        <w:ind w:left="0" w:firstLine="840"/>
        <w:jc w:val="both"/>
        <w:rPr>
          <w:sz w:val="28"/>
          <w:szCs w:val="28"/>
        </w:rPr>
      </w:pPr>
      <w:r w:rsidRPr="00A53AD7">
        <w:rPr>
          <w:sz w:val="28"/>
          <w:szCs w:val="28"/>
        </w:rPr>
        <w:t>целевой показатель 2019 года -</w:t>
      </w:r>
      <w:r w:rsidR="008D493D" w:rsidRPr="00A53AD7">
        <w:rPr>
          <w:sz w:val="28"/>
          <w:szCs w:val="28"/>
        </w:rPr>
        <w:t xml:space="preserve"> </w:t>
      </w:r>
      <w:r w:rsidRPr="00A53AD7">
        <w:rPr>
          <w:sz w:val="28"/>
          <w:szCs w:val="28"/>
        </w:rPr>
        <w:t>количество погибших в ДТП на 100 тысяч населения не должно превышать 10,0 чел</w:t>
      </w:r>
      <w:r w:rsidR="008D367F" w:rsidRPr="00A53AD7">
        <w:rPr>
          <w:sz w:val="28"/>
          <w:szCs w:val="28"/>
        </w:rPr>
        <w:t>.</w:t>
      </w:r>
      <w:r w:rsidRPr="00A53AD7">
        <w:rPr>
          <w:sz w:val="28"/>
          <w:szCs w:val="28"/>
        </w:rPr>
        <w:t xml:space="preserve"> - не выполнен, исполнение 90,09%,</w:t>
      </w:r>
    </w:p>
    <w:p w14:paraId="1D0F74B4" w14:textId="4ED3F70E" w:rsidR="00085B59" w:rsidRPr="00A53AD7" w:rsidRDefault="00085B59" w:rsidP="00CA1DDD">
      <w:pPr>
        <w:pStyle w:val="a8"/>
        <w:numPr>
          <w:ilvl w:val="0"/>
          <w:numId w:val="38"/>
        </w:numPr>
        <w:ind w:left="0" w:firstLine="840"/>
        <w:jc w:val="both"/>
        <w:rPr>
          <w:sz w:val="28"/>
          <w:szCs w:val="28"/>
        </w:rPr>
      </w:pPr>
      <w:r w:rsidRPr="00A53AD7">
        <w:rPr>
          <w:sz w:val="28"/>
          <w:szCs w:val="28"/>
        </w:rPr>
        <w:t>исполнение по региональному проекту за счет всех источников составило 1 890,88 тыс. руб. или 100% к плану, в том числе по результату:</w:t>
      </w:r>
    </w:p>
    <w:p w14:paraId="74FCD582" w14:textId="3D6D8B1D" w:rsidR="00085B59" w:rsidRPr="00A53AD7" w:rsidRDefault="00085B59" w:rsidP="00CA1DDD">
      <w:pPr>
        <w:pStyle w:val="a8"/>
        <w:numPr>
          <w:ilvl w:val="0"/>
          <w:numId w:val="38"/>
        </w:numPr>
        <w:ind w:left="0" w:firstLine="840"/>
        <w:jc w:val="both"/>
        <w:rPr>
          <w:sz w:val="28"/>
          <w:szCs w:val="28"/>
        </w:rPr>
      </w:pPr>
      <w:r w:rsidRPr="00A53AD7">
        <w:rPr>
          <w:sz w:val="28"/>
          <w:szCs w:val="28"/>
        </w:rPr>
        <w:t>«(02) приобретения в районные медицинские учреждения хроматографов для выявления состояния опьянения в результате употребления наркотических средств, психотропных или иных вызывающих опьянение средств» в объеме финансового обеспечения 1 890,88 тыс. руб.</w:t>
      </w:r>
    </w:p>
    <w:p w14:paraId="2297DE4E" w14:textId="05AB8B9B" w:rsidR="00085B59" w:rsidRPr="00A53AD7" w:rsidRDefault="00085B59" w:rsidP="0070539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по результату «1.1.</w:t>
      </w:r>
      <w:r w:rsidR="009B6DD4" w:rsidRPr="00A53AD7">
        <w:rPr>
          <w:rFonts w:ascii="Times New Roman" w:hAnsi="Times New Roman"/>
          <w:sz w:val="28"/>
          <w:szCs w:val="28"/>
        </w:rPr>
        <w:t xml:space="preserve"> </w:t>
      </w:r>
      <w:r w:rsidRPr="00A53AD7">
        <w:rPr>
          <w:rFonts w:ascii="Times New Roman" w:hAnsi="Times New Roman"/>
          <w:sz w:val="28"/>
          <w:szCs w:val="28"/>
        </w:rPr>
        <w:t>Медицинские организации оснащены автомобилями скорой медицинской помощи класса "В" для оказания скорой медицинской помощи пациентам, пострадавшим при дорожно-транспортных пр</w:t>
      </w:r>
      <w:r w:rsidR="00E6143A" w:rsidRPr="00A53AD7">
        <w:rPr>
          <w:rFonts w:ascii="Times New Roman" w:hAnsi="Times New Roman"/>
          <w:sz w:val="28"/>
          <w:szCs w:val="28"/>
        </w:rPr>
        <w:t>оисшествиях» на сумму 29,8 млн.</w:t>
      </w:r>
      <w:r w:rsidRPr="00A53AD7">
        <w:rPr>
          <w:rFonts w:ascii="Times New Roman" w:hAnsi="Times New Roman"/>
          <w:sz w:val="28"/>
          <w:szCs w:val="28"/>
        </w:rPr>
        <w:t>руб. (областной бюджет) в «Отчете о ходе реализации РП за 2019 год», размещенному в ГИИС «Электронный бюджет», отсутствует.</w:t>
      </w:r>
    </w:p>
    <w:p w14:paraId="37381667" w14:textId="772CD2B0" w:rsidR="00085B59" w:rsidRPr="00A53AD7" w:rsidRDefault="00085B59" w:rsidP="0070539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«Плану реализации государственной программы Архангельской области «Развитие здравоохранения Архангельской области», размещенному в системе КИАС, на 4 квартал 2019 года планируется (отнесено) выполнение:</w:t>
      </w:r>
    </w:p>
    <w:p w14:paraId="7DC02C81" w14:textId="14DF9C98" w:rsidR="00085B59" w:rsidRPr="00A53AD7" w:rsidRDefault="00085B59" w:rsidP="00CA1DDD">
      <w:pPr>
        <w:pStyle w:val="a8"/>
        <w:numPr>
          <w:ilvl w:val="0"/>
          <w:numId w:val="38"/>
        </w:numPr>
        <w:ind w:left="0" w:firstLine="840"/>
        <w:jc w:val="both"/>
        <w:rPr>
          <w:sz w:val="28"/>
          <w:szCs w:val="28"/>
        </w:rPr>
      </w:pPr>
      <w:r w:rsidRPr="00A53AD7">
        <w:rPr>
          <w:sz w:val="28"/>
          <w:szCs w:val="28"/>
        </w:rPr>
        <w:t>оснащения государственных медицинских организаций (13 учреждений) анализаторами и расходными материалами для проведения химико-токсикологических исследований,</w:t>
      </w:r>
    </w:p>
    <w:p w14:paraId="50784ED1" w14:textId="5DA70A9F" w:rsidR="00085B59" w:rsidRPr="00A53AD7" w:rsidRDefault="00085B59" w:rsidP="00CA1DDD">
      <w:pPr>
        <w:pStyle w:val="a8"/>
        <w:numPr>
          <w:ilvl w:val="0"/>
          <w:numId w:val="38"/>
        </w:numPr>
        <w:ind w:left="0" w:firstLine="840"/>
        <w:jc w:val="both"/>
        <w:rPr>
          <w:sz w:val="28"/>
          <w:szCs w:val="28"/>
        </w:rPr>
      </w:pPr>
      <w:r w:rsidRPr="00A53AD7">
        <w:rPr>
          <w:sz w:val="28"/>
          <w:szCs w:val="28"/>
        </w:rPr>
        <w:t>количество приобретенных автомобилей скорой медицинской помощи 10 ед.,</w:t>
      </w:r>
    </w:p>
    <w:p w14:paraId="32748ECE" w14:textId="27FB53D3" w:rsidR="00085B59" w:rsidRPr="00A53AD7" w:rsidRDefault="00085B59" w:rsidP="00CA1DDD">
      <w:pPr>
        <w:pStyle w:val="a8"/>
        <w:numPr>
          <w:ilvl w:val="0"/>
          <w:numId w:val="38"/>
        </w:numPr>
        <w:ind w:left="0" w:firstLine="840"/>
        <w:jc w:val="both"/>
        <w:rPr>
          <w:sz w:val="28"/>
          <w:szCs w:val="28"/>
        </w:rPr>
      </w:pPr>
      <w:r w:rsidRPr="00A53AD7">
        <w:rPr>
          <w:sz w:val="28"/>
          <w:szCs w:val="28"/>
        </w:rPr>
        <w:t>количество приобретенного санитарного и специализированного транспорта 8 ед.</w:t>
      </w:r>
    </w:p>
    <w:p w14:paraId="3C97375F" w14:textId="3E1AB212" w:rsidR="00085B59" w:rsidRPr="00A53AD7" w:rsidRDefault="00085B59" w:rsidP="0070539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показателей ф.</w:t>
      </w:r>
      <w:r w:rsidR="0070539F" w:rsidRPr="00A53AD7">
        <w:rPr>
          <w:rFonts w:ascii="Times New Roman" w:hAnsi="Times New Roman"/>
          <w:sz w:val="28"/>
          <w:szCs w:val="28"/>
        </w:rPr>
        <w:t xml:space="preserve"> </w:t>
      </w:r>
      <w:r w:rsidRPr="00A53AD7">
        <w:rPr>
          <w:rFonts w:ascii="Times New Roman" w:hAnsi="Times New Roman"/>
          <w:sz w:val="28"/>
          <w:szCs w:val="28"/>
        </w:rPr>
        <w:t>0503127 «Отчет об исполнении бюджета… на 01 января 2020 года» министерства здравоохранения исполнение по РП (R3) - исполнен</w:t>
      </w:r>
      <w:r w:rsidR="00E6143A" w:rsidRPr="00A53AD7">
        <w:rPr>
          <w:rFonts w:ascii="Times New Roman" w:hAnsi="Times New Roman"/>
          <w:sz w:val="28"/>
          <w:szCs w:val="28"/>
        </w:rPr>
        <w:t>ие составило в сумме 31,68 млн.</w:t>
      </w:r>
      <w:r w:rsidRPr="00A53AD7">
        <w:rPr>
          <w:rFonts w:ascii="Times New Roman" w:hAnsi="Times New Roman"/>
          <w:sz w:val="28"/>
          <w:szCs w:val="28"/>
        </w:rPr>
        <w:t xml:space="preserve">руб. (при </w:t>
      </w:r>
      <w:r w:rsidR="00E6143A" w:rsidRPr="00A53AD7">
        <w:rPr>
          <w:rFonts w:ascii="Times New Roman" w:hAnsi="Times New Roman"/>
          <w:sz w:val="28"/>
          <w:szCs w:val="28"/>
        </w:rPr>
        <w:t>плане 31,7 млн.</w:t>
      </w:r>
      <w:r w:rsidRPr="00A53AD7">
        <w:rPr>
          <w:rFonts w:ascii="Times New Roman" w:hAnsi="Times New Roman"/>
          <w:sz w:val="28"/>
          <w:szCs w:val="28"/>
        </w:rPr>
        <w:t>руб.), средства направлены бюджетным учреждениям как субсидии на иные цели, в том числе по БК:</w:t>
      </w:r>
    </w:p>
    <w:p w14:paraId="10341CBE" w14:textId="77777777" w:rsidR="00085B59" w:rsidRPr="00A53AD7" w:rsidRDefault="00085B59" w:rsidP="00CA1DDD">
      <w:pPr>
        <w:pStyle w:val="a8"/>
        <w:numPr>
          <w:ilvl w:val="0"/>
          <w:numId w:val="38"/>
        </w:numPr>
        <w:ind w:left="0" w:firstLine="840"/>
        <w:jc w:val="both"/>
        <w:rPr>
          <w:sz w:val="28"/>
          <w:szCs w:val="28"/>
        </w:rPr>
      </w:pPr>
      <w:r w:rsidRPr="00A53AD7">
        <w:rPr>
          <w:sz w:val="28"/>
          <w:szCs w:val="28"/>
        </w:rPr>
        <w:t>062 0902 01 1 R3 09009 612 в сумме 1877 774,0 руб. (план – 1 890 875,0 руб.),</w:t>
      </w:r>
    </w:p>
    <w:p w14:paraId="3A3F67B6" w14:textId="77777777" w:rsidR="00085B59" w:rsidRPr="00A53AD7" w:rsidRDefault="00085B59" w:rsidP="00CA1DDD">
      <w:pPr>
        <w:pStyle w:val="a8"/>
        <w:numPr>
          <w:ilvl w:val="0"/>
          <w:numId w:val="38"/>
        </w:numPr>
        <w:ind w:left="0" w:firstLine="840"/>
        <w:jc w:val="both"/>
        <w:rPr>
          <w:sz w:val="28"/>
          <w:szCs w:val="28"/>
        </w:rPr>
      </w:pPr>
      <w:r w:rsidRPr="00A53AD7">
        <w:rPr>
          <w:sz w:val="28"/>
          <w:szCs w:val="28"/>
        </w:rPr>
        <w:t>062 0904 01 Б R3 09009 612 в сумме 29 799 000,0 руб. (план – 29 799 000,0 руб.).</w:t>
      </w:r>
    </w:p>
    <w:p w14:paraId="2D7A7DEC" w14:textId="7C3DB25B" w:rsidR="00085B59" w:rsidRPr="00A53AD7" w:rsidRDefault="00085B59" w:rsidP="0070539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показателям ф.</w:t>
      </w:r>
      <w:r w:rsidR="0070539F" w:rsidRPr="00A53AD7">
        <w:rPr>
          <w:rFonts w:ascii="Times New Roman" w:hAnsi="Times New Roman"/>
          <w:sz w:val="28"/>
          <w:szCs w:val="28"/>
        </w:rPr>
        <w:t xml:space="preserve"> </w:t>
      </w:r>
      <w:r w:rsidRPr="00A53AD7">
        <w:rPr>
          <w:rFonts w:ascii="Times New Roman" w:hAnsi="Times New Roman"/>
          <w:sz w:val="28"/>
          <w:szCs w:val="28"/>
        </w:rPr>
        <w:t>0503110 «Справка по заключению счетов бюджетного учета отчетного финансового года на 1 января 2020 г.» министерства здравоохранения Архангельской области:</w:t>
      </w:r>
    </w:p>
    <w:p w14:paraId="4F3D812E" w14:textId="62E65ACE" w:rsidR="00085B59" w:rsidRPr="00A53AD7" w:rsidRDefault="00085B59" w:rsidP="00CA1DDD">
      <w:pPr>
        <w:pStyle w:val="a8"/>
        <w:numPr>
          <w:ilvl w:val="0"/>
          <w:numId w:val="38"/>
        </w:numPr>
        <w:ind w:left="0" w:firstLine="840"/>
        <w:jc w:val="both"/>
        <w:rPr>
          <w:sz w:val="28"/>
          <w:szCs w:val="28"/>
        </w:rPr>
      </w:pPr>
      <w:r w:rsidRPr="00A53AD7">
        <w:rPr>
          <w:sz w:val="28"/>
          <w:szCs w:val="28"/>
        </w:rPr>
        <w:t>0902 01 1 R3 09009 612 140120241</w:t>
      </w:r>
      <w:r w:rsidR="0039742D" w:rsidRPr="00A53AD7">
        <w:rPr>
          <w:sz w:val="28"/>
          <w:szCs w:val="28"/>
        </w:rPr>
        <w:t xml:space="preserve"> </w:t>
      </w:r>
      <w:r w:rsidRPr="00A53AD7">
        <w:rPr>
          <w:sz w:val="28"/>
          <w:szCs w:val="28"/>
        </w:rPr>
        <w:t>1 877 774,0 руб.,</w:t>
      </w:r>
    </w:p>
    <w:p w14:paraId="05918F44" w14:textId="7A317DFB" w:rsidR="00085B59" w:rsidRPr="00A53AD7" w:rsidRDefault="00085B59" w:rsidP="00CA1DDD">
      <w:pPr>
        <w:pStyle w:val="a8"/>
        <w:numPr>
          <w:ilvl w:val="0"/>
          <w:numId w:val="38"/>
        </w:numPr>
        <w:ind w:left="0" w:firstLine="840"/>
        <w:jc w:val="both"/>
        <w:rPr>
          <w:sz w:val="28"/>
          <w:szCs w:val="28"/>
        </w:rPr>
      </w:pPr>
      <w:r w:rsidRPr="00A53AD7">
        <w:rPr>
          <w:sz w:val="28"/>
          <w:szCs w:val="28"/>
        </w:rPr>
        <w:t>0904 01 Б R3 09009 612 140120281</w:t>
      </w:r>
      <w:r w:rsidR="007364DB" w:rsidRPr="00A53AD7">
        <w:rPr>
          <w:sz w:val="28"/>
          <w:szCs w:val="28"/>
        </w:rPr>
        <w:t xml:space="preserve"> </w:t>
      </w:r>
      <w:r w:rsidRPr="00A53AD7">
        <w:rPr>
          <w:sz w:val="28"/>
          <w:szCs w:val="28"/>
        </w:rPr>
        <w:t>29 799 000,0 руб.</w:t>
      </w:r>
    </w:p>
    <w:p w14:paraId="3C31D71B" w14:textId="6849D594" w:rsidR="00085B59" w:rsidRPr="00A53AD7" w:rsidRDefault="00085B59" w:rsidP="00BA0A74">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здравоохранения АО по запросу КСП АО (№01-02/352 от 06.04.2020) направлена информация:</w:t>
      </w:r>
    </w:p>
    <w:p w14:paraId="5F15F183" w14:textId="26FE5800" w:rsidR="00085B59" w:rsidRPr="00A53AD7" w:rsidRDefault="00085B59" w:rsidP="00CA1DDD">
      <w:pPr>
        <w:pStyle w:val="a8"/>
        <w:numPr>
          <w:ilvl w:val="0"/>
          <w:numId w:val="38"/>
        </w:numPr>
        <w:ind w:left="0" w:firstLine="840"/>
        <w:jc w:val="both"/>
        <w:rPr>
          <w:sz w:val="28"/>
          <w:szCs w:val="28"/>
        </w:rPr>
      </w:pPr>
      <w:r w:rsidRPr="00A53AD7">
        <w:rPr>
          <w:sz w:val="28"/>
          <w:szCs w:val="28"/>
        </w:rPr>
        <w:t>об оснащении 13 ГБУ АО анализаторами с принадлежностями на сумм</w:t>
      </w:r>
      <w:r w:rsidR="009B6DD4" w:rsidRPr="00A53AD7">
        <w:rPr>
          <w:sz w:val="28"/>
          <w:szCs w:val="28"/>
        </w:rPr>
        <w:t>у 2,0 млн.руб. или + 0,13 млн.</w:t>
      </w:r>
      <w:r w:rsidRPr="00A53AD7">
        <w:rPr>
          <w:sz w:val="28"/>
          <w:szCs w:val="28"/>
        </w:rPr>
        <w:t>руб. за счет средств иной приносящей доход деятельности;</w:t>
      </w:r>
    </w:p>
    <w:p w14:paraId="67DF0C19" w14:textId="342884A5" w:rsidR="00085B59" w:rsidRPr="00A53AD7" w:rsidRDefault="00085B59" w:rsidP="00CA1DDD">
      <w:pPr>
        <w:pStyle w:val="a8"/>
        <w:numPr>
          <w:ilvl w:val="0"/>
          <w:numId w:val="38"/>
        </w:numPr>
        <w:ind w:left="0" w:firstLine="840"/>
        <w:jc w:val="both"/>
        <w:rPr>
          <w:sz w:val="28"/>
          <w:szCs w:val="28"/>
        </w:rPr>
      </w:pPr>
      <w:r w:rsidRPr="00A53AD7">
        <w:rPr>
          <w:sz w:val="28"/>
          <w:szCs w:val="28"/>
        </w:rPr>
        <w:t>приобретение автомобилей скорой медицинской помощи в количе</w:t>
      </w:r>
      <w:r w:rsidR="009B6DD4" w:rsidRPr="00A53AD7">
        <w:rPr>
          <w:sz w:val="28"/>
          <w:szCs w:val="28"/>
        </w:rPr>
        <w:t>стве 15 шт. на сумму 29,9 млн.</w:t>
      </w:r>
      <w:r w:rsidRPr="00A53AD7">
        <w:rPr>
          <w:sz w:val="28"/>
          <w:szCs w:val="28"/>
        </w:rPr>
        <w:t>руб. или + 0,1</w:t>
      </w:r>
      <w:r w:rsidR="009B6DD4" w:rsidRPr="00A53AD7">
        <w:rPr>
          <w:sz w:val="28"/>
          <w:szCs w:val="28"/>
        </w:rPr>
        <w:t xml:space="preserve"> млн.</w:t>
      </w:r>
      <w:r w:rsidRPr="00A53AD7">
        <w:rPr>
          <w:sz w:val="28"/>
          <w:szCs w:val="28"/>
        </w:rPr>
        <w:t xml:space="preserve">руб., в том числе: класса </w:t>
      </w:r>
      <w:r w:rsidR="009B6DD4" w:rsidRPr="00A53AD7">
        <w:rPr>
          <w:sz w:val="28"/>
          <w:szCs w:val="28"/>
        </w:rPr>
        <w:t>«А» - 12 ед. на сумму 22,7 млн.</w:t>
      </w:r>
      <w:r w:rsidRPr="00A53AD7">
        <w:rPr>
          <w:sz w:val="28"/>
          <w:szCs w:val="28"/>
        </w:rPr>
        <w:t>руб., класса «В» - 3 ед. на сумму 7,2 млн.руб.</w:t>
      </w:r>
    </w:p>
    <w:p w14:paraId="72E00F4B" w14:textId="0682CE19" w:rsidR="00085B59" w:rsidRPr="00A53AD7" w:rsidRDefault="00085B59" w:rsidP="00BA0A74">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здравоохранения АО в рамках реализации федеральных проектов «Укрепление общественного здоровья» национального проекта "Демография", "Безопасность дорожного движения", национального проекта "Безопасные и качественные автомобильные дороги" в рамках реализации мероприятия «1.</w:t>
      </w:r>
      <w:r w:rsidR="009B6DD4" w:rsidRPr="00A53AD7">
        <w:rPr>
          <w:rFonts w:ascii="Times New Roman" w:hAnsi="Times New Roman"/>
          <w:sz w:val="28"/>
          <w:szCs w:val="28"/>
        </w:rPr>
        <w:t xml:space="preserve"> </w:t>
      </w:r>
      <w:r w:rsidRPr="00A53AD7">
        <w:rPr>
          <w:rFonts w:ascii="Times New Roman" w:hAnsi="Times New Roman"/>
          <w:sz w:val="28"/>
          <w:szCs w:val="28"/>
        </w:rPr>
        <w:t xml:space="preserve">Развитие системы медицинской профилактики неинфекционных заболеваний и формирование здорового образа жизни, в том числе у детей, профилактика развития зависимостей, включая сокращение потребления табака, алкоголя, наркотических средств и психоактивных веществ, в том числе у детей» проведен конкурс на предоставление социально ориентированным некоммерческим организациям субсидий на финансовое обеспечение реализации проектов в сфере здравоохранения - проектов по профилактике и формированию ЗОЖ. </w:t>
      </w:r>
    </w:p>
    <w:p w14:paraId="18B7A5E3" w14:textId="569A3349" w:rsidR="00085B59" w:rsidRPr="00A53AD7" w:rsidRDefault="00085B59" w:rsidP="00BA0A74">
      <w:pPr>
        <w:spacing w:after="0" w:line="240" w:lineRule="auto"/>
        <w:ind w:firstLine="851"/>
        <w:jc w:val="both"/>
        <w:rPr>
          <w:rFonts w:ascii="Times New Roman" w:hAnsi="Times New Roman"/>
          <w:sz w:val="28"/>
          <w:szCs w:val="28"/>
        </w:rPr>
      </w:pPr>
      <w:r w:rsidRPr="00A53AD7">
        <w:rPr>
          <w:rFonts w:ascii="Times New Roman" w:hAnsi="Times New Roman"/>
          <w:sz w:val="28"/>
          <w:szCs w:val="28"/>
        </w:rPr>
        <w:t>Четырем победителям за счет средств областного бюджета предоставлены с</w:t>
      </w:r>
      <w:r w:rsidR="00E16791" w:rsidRPr="00A53AD7">
        <w:rPr>
          <w:rFonts w:ascii="Times New Roman" w:hAnsi="Times New Roman"/>
          <w:sz w:val="28"/>
          <w:szCs w:val="28"/>
        </w:rPr>
        <w:t>убсидии на общую сумму 0,3 млн.</w:t>
      </w:r>
      <w:r w:rsidRPr="00A53AD7">
        <w:rPr>
          <w:rFonts w:ascii="Times New Roman" w:hAnsi="Times New Roman"/>
          <w:sz w:val="28"/>
          <w:szCs w:val="28"/>
        </w:rPr>
        <w:t>руб. на реализацию заявленных мероприятий проектов:</w:t>
      </w:r>
    </w:p>
    <w:p w14:paraId="5863AFD5" w14:textId="03A42787" w:rsidR="00085B59" w:rsidRPr="00A53AD7" w:rsidRDefault="00085B59" w:rsidP="00CA1DDD">
      <w:pPr>
        <w:pStyle w:val="a8"/>
        <w:numPr>
          <w:ilvl w:val="0"/>
          <w:numId w:val="38"/>
        </w:numPr>
        <w:ind w:left="0" w:firstLine="840"/>
        <w:jc w:val="both"/>
        <w:rPr>
          <w:sz w:val="28"/>
          <w:szCs w:val="28"/>
        </w:rPr>
      </w:pPr>
      <w:r w:rsidRPr="00A53AD7">
        <w:rPr>
          <w:sz w:val="28"/>
          <w:szCs w:val="28"/>
        </w:rPr>
        <w:t>Местный орган общественной самодеятельности «Территориальное местное самоуправление «ТОС Кего» проект «Отдыхай – здоро</w:t>
      </w:r>
      <w:r w:rsidR="00E6143A" w:rsidRPr="00A53AD7">
        <w:rPr>
          <w:sz w:val="28"/>
          <w:szCs w:val="28"/>
        </w:rPr>
        <w:t>вье укрепляй» в сумме 0,08 млн.</w:t>
      </w:r>
      <w:r w:rsidRPr="00A53AD7">
        <w:rPr>
          <w:sz w:val="28"/>
          <w:szCs w:val="28"/>
        </w:rPr>
        <w:t>руб.,</w:t>
      </w:r>
    </w:p>
    <w:p w14:paraId="035D6B54" w14:textId="7FD3AC94" w:rsidR="00085B59" w:rsidRPr="00A53AD7" w:rsidRDefault="00085B59" w:rsidP="00CA1DDD">
      <w:pPr>
        <w:pStyle w:val="a8"/>
        <w:numPr>
          <w:ilvl w:val="0"/>
          <w:numId w:val="38"/>
        </w:numPr>
        <w:ind w:left="0" w:firstLine="840"/>
        <w:jc w:val="both"/>
        <w:rPr>
          <w:sz w:val="28"/>
          <w:szCs w:val="28"/>
        </w:rPr>
      </w:pPr>
      <w:r w:rsidRPr="00A53AD7">
        <w:rPr>
          <w:sz w:val="28"/>
          <w:szCs w:val="28"/>
        </w:rPr>
        <w:t>Архангельская региональная общественная организация по содействию лицам с ментальными особенностями здоровья «МОСТ» проект «Азб</w:t>
      </w:r>
      <w:r w:rsidR="00E6143A" w:rsidRPr="00A53AD7">
        <w:rPr>
          <w:sz w:val="28"/>
          <w:szCs w:val="28"/>
        </w:rPr>
        <w:t>ука здоровья» в сумме 0,08 млн.</w:t>
      </w:r>
      <w:r w:rsidRPr="00A53AD7">
        <w:rPr>
          <w:sz w:val="28"/>
          <w:szCs w:val="28"/>
        </w:rPr>
        <w:t>руб.,</w:t>
      </w:r>
    </w:p>
    <w:p w14:paraId="31EB2D0A" w14:textId="26DE0088" w:rsidR="00085B59" w:rsidRPr="00A53AD7" w:rsidRDefault="00085B59" w:rsidP="00CA1DDD">
      <w:pPr>
        <w:pStyle w:val="a8"/>
        <w:numPr>
          <w:ilvl w:val="0"/>
          <w:numId w:val="38"/>
        </w:numPr>
        <w:ind w:left="0" w:firstLine="840"/>
        <w:jc w:val="both"/>
        <w:rPr>
          <w:sz w:val="28"/>
          <w:szCs w:val="28"/>
        </w:rPr>
      </w:pPr>
      <w:r w:rsidRPr="00A53AD7">
        <w:rPr>
          <w:sz w:val="28"/>
          <w:szCs w:val="28"/>
        </w:rPr>
        <w:t>Местная общественная организация – орган общественной самодеятельности территориальное общественное самоуправление «Предмостный» проект «О, спор</w:t>
      </w:r>
      <w:r w:rsidR="00E6143A" w:rsidRPr="00A53AD7">
        <w:rPr>
          <w:sz w:val="28"/>
          <w:szCs w:val="28"/>
        </w:rPr>
        <w:t>т, ты – мир!» в сумме 0,06 млн.</w:t>
      </w:r>
      <w:r w:rsidRPr="00A53AD7">
        <w:rPr>
          <w:sz w:val="28"/>
          <w:szCs w:val="28"/>
        </w:rPr>
        <w:t>руб.,</w:t>
      </w:r>
    </w:p>
    <w:p w14:paraId="262BA2F7" w14:textId="49A6F1B4" w:rsidR="00085B59" w:rsidRPr="00A53AD7" w:rsidRDefault="00085B59" w:rsidP="00CA1DDD">
      <w:pPr>
        <w:pStyle w:val="a8"/>
        <w:numPr>
          <w:ilvl w:val="0"/>
          <w:numId w:val="38"/>
        </w:numPr>
        <w:ind w:left="0" w:firstLine="840"/>
        <w:jc w:val="both"/>
        <w:rPr>
          <w:sz w:val="28"/>
          <w:szCs w:val="28"/>
        </w:rPr>
      </w:pPr>
      <w:r w:rsidRPr="00A53AD7">
        <w:rPr>
          <w:sz w:val="28"/>
          <w:szCs w:val="28"/>
        </w:rPr>
        <w:t>Архангельская региональная общественная благотворительная организация «Рассвет» проект «Секреты здоровья</w:t>
      </w:r>
      <w:r w:rsidR="00E6143A" w:rsidRPr="00A53AD7">
        <w:rPr>
          <w:sz w:val="28"/>
          <w:szCs w:val="28"/>
        </w:rPr>
        <w:t>» в сумме 0,08 млн.</w:t>
      </w:r>
      <w:r w:rsidRPr="00A53AD7">
        <w:rPr>
          <w:sz w:val="28"/>
          <w:szCs w:val="28"/>
        </w:rPr>
        <w:t>руб.</w:t>
      </w:r>
    </w:p>
    <w:p w14:paraId="6210B3CB" w14:textId="77777777" w:rsidR="001A777F" w:rsidRPr="00A53AD7" w:rsidRDefault="001A777F" w:rsidP="00DE2EB8">
      <w:pPr>
        <w:pStyle w:val="ad"/>
        <w:jc w:val="both"/>
        <w:rPr>
          <w:rFonts w:ascii="Times New Roman" w:hAnsi="Times New Roman"/>
          <w:sz w:val="28"/>
          <w:szCs w:val="28"/>
        </w:rPr>
      </w:pPr>
    </w:p>
    <w:p w14:paraId="7B9CC449" w14:textId="7ED4DEDD" w:rsidR="0029048C" w:rsidRPr="00A53AD7" w:rsidRDefault="0029048C" w:rsidP="0029048C">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«Программа комплексного развития объединенной дорожной сети Архангельской области</w:t>
      </w:r>
    </w:p>
    <w:p w14:paraId="46E694BB" w14:textId="77777777"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 регионального проекта утвержден 19.06.2019.</w:t>
      </w:r>
    </w:p>
    <w:p w14:paraId="16E4AE6A" w14:textId="77777777"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регионального проекта 03.12.2018 – 31.12.2024.</w:t>
      </w:r>
    </w:p>
    <w:p w14:paraId="5E03E23C" w14:textId="4D31DB46"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Целью регионального проекта является реализация программ дорожной деятельности (региональных проектов) в отношении автомобильных дорог общего пользования, объектов улично-дорожной сети в целях: </w:t>
      </w:r>
    </w:p>
    <w:p w14:paraId="560B0DCF" w14:textId="05C68018" w:rsidR="007A17C2" w:rsidRPr="00A53AD7" w:rsidRDefault="007A17C2" w:rsidP="00CA1DDD">
      <w:pPr>
        <w:pStyle w:val="a8"/>
        <w:numPr>
          <w:ilvl w:val="0"/>
          <w:numId w:val="38"/>
        </w:numPr>
        <w:ind w:left="0" w:firstLine="840"/>
        <w:jc w:val="both"/>
        <w:rPr>
          <w:sz w:val="28"/>
          <w:szCs w:val="28"/>
        </w:rPr>
      </w:pPr>
      <w:r w:rsidRPr="00A53AD7">
        <w:rPr>
          <w:sz w:val="28"/>
          <w:szCs w:val="28"/>
        </w:rPr>
        <w:t xml:space="preserve">увеличения в 2024 году доли автомобильных дорог регионального значения, соответствующих нормативным требованиям, в их общей протяженности не менее чем до 50 % (относительно их протяженности по состоянию на 31 декабря 2017 г.); </w:t>
      </w:r>
    </w:p>
    <w:p w14:paraId="011D9B44" w14:textId="719C8095" w:rsidR="007A17C2" w:rsidRPr="00A53AD7" w:rsidRDefault="007A17C2" w:rsidP="00CA1DDD">
      <w:pPr>
        <w:pStyle w:val="a8"/>
        <w:numPr>
          <w:ilvl w:val="0"/>
          <w:numId w:val="38"/>
        </w:numPr>
        <w:ind w:left="0" w:firstLine="840"/>
        <w:jc w:val="both"/>
        <w:rPr>
          <w:sz w:val="28"/>
          <w:szCs w:val="28"/>
        </w:rPr>
      </w:pPr>
      <w:r w:rsidRPr="00A53AD7">
        <w:rPr>
          <w:sz w:val="28"/>
          <w:szCs w:val="28"/>
        </w:rPr>
        <w:t xml:space="preserve">снижения в 2024 году доли автомобильных дорог федерального и регионального значения, работающих в режиме перегрузки, в их общей протяженности на 10 % по сравнению с 2017 годом; </w:t>
      </w:r>
    </w:p>
    <w:p w14:paraId="67DA23BE" w14:textId="71B98A37" w:rsidR="007A17C2" w:rsidRPr="00A53AD7" w:rsidRDefault="007A17C2" w:rsidP="00CA1DDD">
      <w:pPr>
        <w:pStyle w:val="a8"/>
        <w:numPr>
          <w:ilvl w:val="0"/>
          <w:numId w:val="38"/>
        </w:numPr>
        <w:ind w:left="0" w:firstLine="840"/>
        <w:jc w:val="both"/>
        <w:rPr>
          <w:sz w:val="28"/>
          <w:szCs w:val="28"/>
        </w:rPr>
      </w:pPr>
      <w:r w:rsidRPr="00A53AD7">
        <w:rPr>
          <w:sz w:val="28"/>
          <w:szCs w:val="28"/>
        </w:rPr>
        <w:t xml:space="preserve">снижения в 2024 году количества мест концентрации дорожно-транспортных происшествий (аварийно-опасных участков) на дорожной сети в два раза по сравнению с 2017 годом; </w:t>
      </w:r>
    </w:p>
    <w:p w14:paraId="369A1807" w14:textId="5286744E" w:rsidR="007A17C2" w:rsidRPr="00A53AD7" w:rsidRDefault="007A17C2" w:rsidP="00CA1DDD">
      <w:pPr>
        <w:pStyle w:val="a8"/>
        <w:numPr>
          <w:ilvl w:val="0"/>
          <w:numId w:val="38"/>
        </w:numPr>
        <w:ind w:left="0" w:firstLine="840"/>
        <w:jc w:val="both"/>
        <w:rPr>
          <w:sz w:val="28"/>
          <w:szCs w:val="28"/>
        </w:rPr>
      </w:pPr>
      <w:r w:rsidRPr="00A53AD7">
        <w:rPr>
          <w:sz w:val="28"/>
          <w:szCs w:val="28"/>
        </w:rPr>
        <w:t>доведения в 2024 году в крупнейших городских агломерациях доли автомобильных дорог, соответствующих нормативным требованиям, в их общей протяженности до 85 %.</w:t>
      </w:r>
    </w:p>
    <w:p w14:paraId="509887FA" w14:textId="1FEE5B61"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рамках регионального проекта «Дорожная сеть (Архангельская область)», входящего в состав федерального проекта «Дорожная сеть» национального проекта «Безопасные и качественные автомобильные дороги» осуществляется исполнение мероприятий подпрограммы № 7 «Комплексное развитие объединенной дорожной сети Архангельской области и Архангельской агломерации» ГП АО области «Развитие транспортной системы Архангельской области». </w:t>
      </w:r>
    </w:p>
    <w:p w14:paraId="06A56DF2" w14:textId="2A223565"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внесены изменения в паспорт РП (№R-26-2019/001 от 15.11.2019), которые утверждены 21.11.2019. Изменения внесены в пять из семи разделов.</w:t>
      </w:r>
      <w:r w:rsidRPr="00A53AD7">
        <w:rPr>
          <w:rFonts w:ascii="Times New Roman" w:hAnsi="Times New Roman"/>
          <w:sz w:val="28"/>
          <w:szCs w:val="28"/>
        </w:rPr>
        <w:tab/>
        <w:t>Причинами и обоснованием необходимости изменений обозначены – синхронизация с мероприятиями регионального паспорта с паспортом федерального проекта.</w:t>
      </w:r>
    </w:p>
    <w:p w14:paraId="13779484" w14:textId="466C3742" w:rsidR="007A17C2" w:rsidRPr="00A53AD7" w:rsidRDefault="007A17C2" w:rsidP="00E1679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разделе 4. Финансовое обеспечение реализации регионального проекта изменены объемы финансового обеспечения как всего РП -увеличение «+7 566 622,88» млн.руб. (в первоначальной редакции о</w:t>
      </w:r>
      <w:r w:rsidR="00E6143A" w:rsidRPr="00A53AD7">
        <w:rPr>
          <w:rFonts w:ascii="Times New Roman" w:hAnsi="Times New Roman"/>
          <w:sz w:val="28"/>
          <w:szCs w:val="28"/>
        </w:rPr>
        <w:t>бъем составлял «22 686,08» млн.</w:t>
      </w:r>
      <w:r w:rsidRPr="00A53AD7">
        <w:rPr>
          <w:rFonts w:ascii="Times New Roman" w:hAnsi="Times New Roman"/>
          <w:sz w:val="28"/>
          <w:szCs w:val="28"/>
        </w:rPr>
        <w:t>руб.), в том числе увеличение по годам реализации (с 2019 года по 2024 год):</w:t>
      </w:r>
    </w:p>
    <w:p w14:paraId="6D8936E2" w14:textId="526363CB" w:rsidR="007A17C2" w:rsidRPr="00A53AD7" w:rsidRDefault="00E6143A" w:rsidP="00CA1DDD">
      <w:pPr>
        <w:pStyle w:val="a8"/>
        <w:numPr>
          <w:ilvl w:val="0"/>
          <w:numId w:val="38"/>
        </w:numPr>
        <w:ind w:left="0" w:firstLine="840"/>
        <w:jc w:val="both"/>
        <w:rPr>
          <w:sz w:val="28"/>
          <w:szCs w:val="28"/>
        </w:rPr>
      </w:pPr>
      <w:r w:rsidRPr="00A53AD7">
        <w:rPr>
          <w:sz w:val="28"/>
          <w:szCs w:val="28"/>
        </w:rPr>
        <w:t>2019 год +67,96» млн.</w:t>
      </w:r>
      <w:r w:rsidR="00DB0667" w:rsidRPr="00A53AD7">
        <w:rPr>
          <w:sz w:val="28"/>
          <w:szCs w:val="28"/>
        </w:rPr>
        <w:t>руб.;</w:t>
      </w:r>
    </w:p>
    <w:p w14:paraId="440B7F60" w14:textId="54E844C4" w:rsidR="007A17C2" w:rsidRPr="00A53AD7" w:rsidRDefault="007A17C2" w:rsidP="00CA1DDD">
      <w:pPr>
        <w:pStyle w:val="a8"/>
        <w:numPr>
          <w:ilvl w:val="0"/>
          <w:numId w:val="38"/>
        </w:numPr>
        <w:ind w:left="0" w:firstLine="840"/>
        <w:jc w:val="both"/>
        <w:rPr>
          <w:sz w:val="28"/>
          <w:szCs w:val="28"/>
        </w:rPr>
      </w:pPr>
      <w:r w:rsidRPr="00A53AD7">
        <w:rPr>
          <w:sz w:val="28"/>
          <w:szCs w:val="28"/>
        </w:rPr>
        <w:t>20</w:t>
      </w:r>
      <w:r w:rsidR="00DB0667" w:rsidRPr="00A53AD7">
        <w:rPr>
          <w:sz w:val="28"/>
          <w:szCs w:val="28"/>
        </w:rPr>
        <w:t>20 год + 3 083 565,32» млн.руб.;</w:t>
      </w:r>
    </w:p>
    <w:p w14:paraId="082268B6" w14:textId="1C4A3E1F" w:rsidR="007A17C2" w:rsidRPr="00A53AD7" w:rsidRDefault="007A17C2" w:rsidP="00CA1DDD">
      <w:pPr>
        <w:pStyle w:val="a8"/>
        <w:numPr>
          <w:ilvl w:val="0"/>
          <w:numId w:val="38"/>
        </w:numPr>
        <w:ind w:left="0" w:firstLine="840"/>
        <w:jc w:val="both"/>
        <w:rPr>
          <w:sz w:val="28"/>
          <w:szCs w:val="28"/>
        </w:rPr>
      </w:pPr>
      <w:r w:rsidRPr="00A53AD7">
        <w:rPr>
          <w:sz w:val="28"/>
          <w:szCs w:val="28"/>
        </w:rPr>
        <w:t>2021 год +4 482 989,6» млн.руб.</w:t>
      </w:r>
    </w:p>
    <w:p w14:paraId="2B17B1A3" w14:textId="5C3CFFD7"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 что источниками финансирования увеличения утверждены:</w:t>
      </w:r>
    </w:p>
    <w:p w14:paraId="5D3AAA81" w14:textId="75929E29" w:rsidR="007A17C2" w:rsidRPr="00A53AD7" w:rsidRDefault="00341186"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а)</w:t>
      </w:r>
      <w:r w:rsidR="007A17C2" w:rsidRPr="00A53AD7">
        <w:rPr>
          <w:rFonts w:ascii="Times New Roman" w:hAnsi="Times New Roman"/>
          <w:sz w:val="28"/>
          <w:szCs w:val="28"/>
        </w:rPr>
        <w:t xml:space="preserve"> средства бюджета субъекта Российской Федера</w:t>
      </w:r>
      <w:r w:rsidR="00870552" w:rsidRPr="00A53AD7">
        <w:rPr>
          <w:rFonts w:ascii="Times New Roman" w:hAnsi="Times New Roman"/>
          <w:sz w:val="28"/>
          <w:szCs w:val="28"/>
        </w:rPr>
        <w:t>ции в сумме +210,68 млн.</w:t>
      </w:r>
      <w:r w:rsidR="007A17C2" w:rsidRPr="00A53AD7">
        <w:rPr>
          <w:rFonts w:ascii="Times New Roman" w:hAnsi="Times New Roman"/>
          <w:sz w:val="28"/>
          <w:szCs w:val="28"/>
        </w:rPr>
        <w:t>руб., в то</w:t>
      </w:r>
      <w:r w:rsidR="00870552" w:rsidRPr="00A53AD7">
        <w:rPr>
          <w:rFonts w:ascii="Times New Roman" w:hAnsi="Times New Roman"/>
          <w:sz w:val="28"/>
          <w:szCs w:val="28"/>
        </w:rPr>
        <w:t>м числе: 2019 год «+67,96» млн.</w:t>
      </w:r>
      <w:r w:rsidR="007A17C2" w:rsidRPr="00A53AD7">
        <w:rPr>
          <w:rFonts w:ascii="Times New Roman" w:hAnsi="Times New Roman"/>
          <w:sz w:val="28"/>
          <w:szCs w:val="28"/>
        </w:rPr>
        <w:t>руб., 2020 год «+207,68» мл</w:t>
      </w:r>
      <w:r w:rsidR="00870552" w:rsidRPr="00A53AD7">
        <w:rPr>
          <w:rFonts w:ascii="Times New Roman" w:hAnsi="Times New Roman"/>
          <w:sz w:val="28"/>
          <w:szCs w:val="28"/>
        </w:rPr>
        <w:t>н.руб., 2021 год «-64,96» млн.</w:t>
      </w:r>
      <w:r w:rsidR="007A17C2" w:rsidRPr="00A53AD7">
        <w:rPr>
          <w:rFonts w:ascii="Times New Roman" w:hAnsi="Times New Roman"/>
          <w:sz w:val="28"/>
          <w:szCs w:val="28"/>
        </w:rPr>
        <w:t>руб.,</w:t>
      </w:r>
    </w:p>
    <w:p w14:paraId="2EAC0862" w14:textId="09B50188" w:rsidR="007A17C2" w:rsidRPr="00A53AD7" w:rsidRDefault="00341186"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б)</w:t>
      </w:r>
      <w:r w:rsidR="007A17C2" w:rsidRPr="00A53AD7">
        <w:rPr>
          <w:rFonts w:ascii="Times New Roman" w:hAnsi="Times New Roman"/>
          <w:sz w:val="28"/>
          <w:szCs w:val="28"/>
        </w:rPr>
        <w:t xml:space="preserve"> средства бюджетов муниципальных образований «+118,46» млн.руб., в том числе:</w:t>
      </w:r>
      <w:r w:rsidRPr="00A53AD7">
        <w:rPr>
          <w:rFonts w:ascii="Times New Roman" w:hAnsi="Times New Roman"/>
          <w:sz w:val="28"/>
          <w:szCs w:val="28"/>
        </w:rPr>
        <w:t xml:space="preserve"> 2019 год «+118,46» млн.</w:t>
      </w:r>
      <w:r w:rsidR="007A17C2" w:rsidRPr="00A53AD7">
        <w:rPr>
          <w:rFonts w:ascii="Times New Roman" w:hAnsi="Times New Roman"/>
          <w:sz w:val="28"/>
          <w:szCs w:val="28"/>
        </w:rPr>
        <w:t>руб.</w:t>
      </w:r>
    </w:p>
    <w:p w14:paraId="18CA5233" w14:textId="5EB170B7"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ab/>
        <w:t>Другие источники увеличения объемов финансового обеспечения регионального проект</w:t>
      </w:r>
      <w:r w:rsidR="00E6143A" w:rsidRPr="00A53AD7">
        <w:rPr>
          <w:rFonts w:ascii="Times New Roman" w:hAnsi="Times New Roman"/>
          <w:sz w:val="28"/>
          <w:szCs w:val="28"/>
        </w:rPr>
        <w:t>а на сумму «+7 566 293,74» млн.</w:t>
      </w:r>
      <w:r w:rsidRPr="00A53AD7">
        <w:rPr>
          <w:rFonts w:ascii="Times New Roman" w:hAnsi="Times New Roman"/>
          <w:sz w:val="28"/>
          <w:szCs w:val="28"/>
        </w:rPr>
        <w:t xml:space="preserve">руб. в указанных изменениях не отражены. </w:t>
      </w:r>
    </w:p>
    <w:p w14:paraId="24C023A7" w14:textId="77777777"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ab/>
        <w:t xml:space="preserve">Кроме того, вызывает сомнение указанные в проекте единицы измерения финансового обеспечения – млн.руб., при рассмотрении данных по исполнению проекта, указанные объемы приводятся в тыс.руб. </w:t>
      </w:r>
    </w:p>
    <w:p w14:paraId="7A248F30" w14:textId="77777777"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Между руководителем федерального проекта «Дорожная сеть» и руководителем регионального проекта «Программа комплексного развития объединенной дорожной сети Архангельской области, Архангельской агломерации» от имени Архангельской области заключено Соглашение о реализации регионального проекта «Дорожная сеть» (Архангельская область)» на территории Архангельской области от 14.02.2019 №103-2019-R10026-1 на организацию взаимодействии 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Архангельской области и (или) муниципальных образованиях, расположенных на территории Архангельской области. </w:t>
      </w:r>
    </w:p>
    <w:p w14:paraId="67961640" w14:textId="5CD8A1DB"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приложениях </w:t>
      </w:r>
      <w:r w:rsidR="005255C7" w:rsidRPr="00A53AD7">
        <w:rPr>
          <w:rFonts w:ascii="Times New Roman" w:hAnsi="Times New Roman"/>
          <w:sz w:val="28"/>
          <w:szCs w:val="28"/>
        </w:rPr>
        <w:t xml:space="preserve">к </w:t>
      </w:r>
      <w:r w:rsidRPr="00A53AD7">
        <w:rPr>
          <w:rFonts w:ascii="Times New Roman" w:hAnsi="Times New Roman"/>
          <w:sz w:val="28"/>
          <w:szCs w:val="28"/>
        </w:rPr>
        <w:t>указанно</w:t>
      </w:r>
      <w:r w:rsidR="005255C7" w:rsidRPr="00A53AD7">
        <w:rPr>
          <w:rFonts w:ascii="Times New Roman" w:hAnsi="Times New Roman"/>
          <w:sz w:val="28"/>
          <w:szCs w:val="28"/>
        </w:rPr>
        <w:t>му</w:t>
      </w:r>
      <w:r w:rsidRPr="00A53AD7">
        <w:rPr>
          <w:rFonts w:ascii="Times New Roman" w:hAnsi="Times New Roman"/>
          <w:sz w:val="28"/>
          <w:szCs w:val="28"/>
        </w:rPr>
        <w:t xml:space="preserve"> соглашени</w:t>
      </w:r>
      <w:r w:rsidR="005255C7" w:rsidRPr="00A53AD7">
        <w:rPr>
          <w:rFonts w:ascii="Times New Roman" w:hAnsi="Times New Roman"/>
          <w:sz w:val="28"/>
          <w:szCs w:val="28"/>
        </w:rPr>
        <w:t>ю</w:t>
      </w:r>
      <w:r w:rsidRPr="00A53AD7">
        <w:rPr>
          <w:rFonts w:ascii="Times New Roman" w:hAnsi="Times New Roman"/>
          <w:sz w:val="28"/>
          <w:szCs w:val="28"/>
        </w:rPr>
        <w:t xml:space="preserve"> определены «Показатели федерального проекта по субъекту Российской Федерации» (Приложение № 1) и «Результаты федерального проекта по субъекту Российской Федерации» (Приложение № 2).</w:t>
      </w:r>
      <w:r w:rsidR="0039742D" w:rsidRPr="00A53AD7">
        <w:rPr>
          <w:rFonts w:ascii="Times New Roman" w:hAnsi="Times New Roman"/>
          <w:sz w:val="28"/>
          <w:szCs w:val="28"/>
        </w:rPr>
        <w:t xml:space="preserve"> </w:t>
      </w:r>
      <w:r w:rsidRPr="00A53AD7">
        <w:rPr>
          <w:rFonts w:ascii="Times New Roman" w:hAnsi="Times New Roman"/>
          <w:sz w:val="28"/>
          <w:szCs w:val="28"/>
        </w:rPr>
        <w:t>Показатели - базовое значение 2017 год и значение на 2019 год идентичны соответствующим показателям РП.</w:t>
      </w:r>
    </w:p>
    <w:p w14:paraId="03E09229" w14:textId="1E880DD3"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Федеральным дорожным агентством и Правительством Архангельской области заключено Соглашение о предоставлении иного межбюджетного трансферта, имеющего целевое назначение, из федерального бюджета бюджету Архангельской области № 108-17-2019-033 от 18 марта 2019 года на предоставление из федерального бюджета в 2019 - 2021 годах бюджету Архангельской области иного межбюджетного трансферта, имеющего целевое назначение в целях софинансирования расходных обязательств субъектов Российской Федерации, возникающих при реализации мероприятий, направленных на достижение результатов региональных проектов, обеспечивающих достижение результатов федерального проекта «Дорожная сеть» в рамках реализации национального проекта «Безопасные и качественные автомобильные дороги» (далее – Иной межбюджетный трансферт), в соответствии с лимитами бюджетных обязательств.</w:t>
      </w:r>
    </w:p>
    <w:p w14:paraId="5953DA80" w14:textId="64871A1D"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размер Иного межбюджетного трансферта, предоставляемого из федерального бюджета бюджету Архангельской области в соответствии с Соглашением, составляет: в 2019 году не более 1 781 205 000 рублей 00 копеек.</w:t>
      </w:r>
    </w:p>
    <w:p w14:paraId="6BD0FDF1" w14:textId="12EE3DD9"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Условия предоставления Иного межбюджетн</w:t>
      </w:r>
      <w:r w:rsidR="00DB0667" w:rsidRPr="00A53AD7">
        <w:rPr>
          <w:rFonts w:ascii="Times New Roman" w:hAnsi="Times New Roman"/>
          <w:sz w:val="28"/>
          <w:szCs w:val="28"/>
        </w:rPr>
        <w:t>ого</w:t>
      </w:r>
      <w:r w:rsidRPr="00A53AD7">
        <w:rPr>
          <w:rFonts w:ascii="Times New Roman" w:hAnsi="Times New Roman"/>
          <w:sz w:val="28"/>
          <w:szCs w:val="28"/>
        </w:rPr>
        <w:t xml:space="preserve"> трансферт</w:t>
      </w:r>
      <w:r w:rsidR="00DB0667" w:rsidRPr="00A53AD7">
        <w:rPr>
          <w:rFonts w:ascii="Times New Roman" w:hAnsi="Times New Roman"/>
          <w:sz w:val="28"/>
          <w:szCs w:val="28"/>
        </w:rPr>
        <w:t>а</w:t>
      </w:r>
      <w:r w:rsidRPr="00A53AD7">
        <w:rPr>
          <w:rFonts w:ascii="Times New Roman" w:hAnsi="Times New Roman"/>
          <w:sz w:val="28"/>
          <w:szCs w:val="28"/>
        </w:rPr>
        <w:t xml:space="preserve"> обозначенные Соглашением Правительством Архангельской области соблюдены.</w:t>
      </w:r>
    </w:p>
    <w:p w14:paraId="4BAAFA2A" w14:textId="1953E3CD"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Отчет о ходе реализации регионального проекта на 2019 год «(R-11 Программа комплексного развития объединенной дорожной сети Архангельской области, Архангельской агломерации» утвержден 29.01.2020 и размещен в государственной интегрированной системе управления общественными финансами «Электронный бюджет».</w:t>
      </w:r>
    </w:p>
    <w:p w14:paraId="75A065BB" w14:textId="7E6923BE" w:rsidR="007A17C2" w:rsidRPr="00A53AD7" w:rsidRDefault="007A17C2" w:rsidP="00341186">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Региональным проектом определены четыре основных показателя. Информация об их значении и исполнение за 2019 год представлена в табл</w:t>
      </w:r>
      <w:r w:rsidR="00341186" w:rsidRPr="00A53AD7">
        <w:rPr>
          <w:rFonts w:ascii="Times New Roman" w:hAnsi="Times New Roman"/>
          <w:sz w:val="28"/>
          <w:szCs w:val="28"/>
        </w:rPr>
        <w:t>ице:</w:t>
      </w:r>
    </w:p>
    <w:tbl>
      <w:tblPr>
        <w:tblStyle w:val="a7"/>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86"/>
        <w:gridCol w:w="3712"/>
        <w:gridCol w:w="1098"/>
        <w:gridCol w:w="1145"/>
        <w:gridCol w:w="1145"/>
        <w:gridCol w:w="1630"/>
      </w:tblGrid>
      <w:tr w:rsidR="00D470B6" w:rsidRPr="00A53AD7" w14:paraId="01156E9F" w14:textId="77777777" w:rsidTr="00613C60">
        <w:trPr>
          <w:tblHeader/>
        </w:trPr>
        <w:tc>
          <w:tcPr>
            <w:tcW w:w="487" w:type="dxa"/>
          </w:tcPr>
          <w:p w14:paraId="256BA05C" w14:textId="77777777" w:rsidR="007A17C2" w:rsidRPr="00A53AD7" w:rsidRDefault="007A17C2" w:rsidP="00341186">
            <w:pPr>
              <w:spacing w:after="0" w:line="240" w:lineRule="auto"/>
              <w:jc w:val="both"/>
              <w:rPr>
                <w:rFonts w:ascii="Times New Roman" w:hAnsi="Times New Roman"/>
                <w:sz w:val="20"/>
                <w:szCs w:val="20"/>
              </w:rPr>
            </w:pPr>
            <w:r w:rsidRPr="00A53AD7">
              <w:rPr>
                <w:rFonts w:ascii="Times New Roman" w:hAnsi="Times New Roman"/>
                <w:sz w:val="20"/>
                <w:szCs w:val="20"/>
              </w:rPr>
              <w:t>№ п/п</w:t>
            </w:r>
          </w:p>
        </w:tc>
        <w:tc>
          <w:tcPr>
            <w:tcW w:w="3908" w:type="dxa"/>
          </w:tcPr>
          <w:p w14:paraId="2CF3B2C7"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w:t>
            </w:r>
          </w:p>
        </w:tc>
        <w:tc>
          <w:tcPr>
            <w:tcW w:w="1109" w:type="dxa"/>
          </w:tcPr>
          <w:p w14:paraId="1C1E4F77"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Базовое значение 2017 год</w:t>
            </w:r>
          </w:p>
        </w:tc>
        <w:tc>
          <w:tcPr>
            <w:tcW w:w="1145" w:type="dxa"/>
          </w:tcPr>
          <w:p w14:paraId="51DB5388"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2018 год</w:t>
            </w:r>
          </w:p>
        </w:tc>
        <w:tc>
          <w:tcPr>
            <w:tcW w:w="1145" w:type="dxa"/>
          </w:tcPr>
          <w:p w14:paraId="6620774C"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2019 год</w:t>
            </w:r>
          </w:p>
        </w:tc>
        <w:tc>
          <w:tcPr>
            <w:tcW w:w="1669" w:type="dxa"/>
          </w:tcPr>
          <w:p w14:paraId="068D9839"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 достижения за 2019 год, согласно отчету о ходе реализации РП</w:t>
            </w:r>
          </w:p>
        </w:tc>
      </w:tr>
      <w:tr w:rsidR="00D470B6" w:rsidRPr="00A53AD7" w14:paraId="42107F44" w14:textId="77777777" w:rsidTr="00341186">
        <w:tc>
          <w:tcPr>
            <w:tcW w:w="487" w:type="dxa"/>
          </w:tcPr>
          <w:p w14:paraId="2E4167CF"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1.1</w:t>
            </w:r>
          </w:p>
        </w:tc>
        <w:tc>
          <w:tcPr>
            <w:tcW w:w="3908" w:type="dxa"/>
          </w:tcPr>
          <w:p w14:paraId="1E3843D3"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Доля автомобильных дорог регионального значения, соответствующих нормативным требованиям, %</w:t>
            </w:r>
          </w:p>
        </w:tc>
        <w:tc>
          <w:tcPr>
            <w:tcW w:w="1109" w:type="dxa"/>
          </w:tcPr>
          <w:p w14:paraId="6F8EA98A"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14,6</w:t>
            </w:r>
          </w:p>
        </w:tc>
        <w:tc>
          <w:tcPr>
            <w:tcW w:w="1145" w:type="dxa"/>
          </w:tcPr>
          <w:p w14:paraId="4F0AF7F3"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14,6</w:t>
            </w:r>
          </w:p>
        </w:tc>
        <w:tc>
          <w:tcPr>
            <w:tcW w:w="1145" w:type="dxa"/>
          </w:tcPr>
          <w:p w14:paraId="72D6FB38"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15,9</w:t>
            </w:r>
          </w:p>
        </w:tc>
        <w:tc>
          <w:tcPr>
            <w:tcW w:w="1669" w:type="dxa"/>
          </w:tcPr>
          <w:p w14:paraId="3C707A4C"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30D68773" w14:textId="77777777" w:rsidTr="00341186">
        <w:tc>
          <w:tcPr>
            <w:tcW w:w="487" w:type="dxa"/>
          </w:tcPr>
          <w:p w14:paraId="0DEF1C63"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1.2</w:t>
            </w:r>
          </w:p>
        </w:tc>
        <w:tc>
          <w:tcPr>
            <w:tcW w:w="3908" w:type="dxa"/>
          </w:tcPr>
          <w:p w14:paraId="2920BCC9"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Доля дорожной сети городских агломераций, находящаяся в нормативном состоянии, %</w:t>
            </w:r>
          </w:p>
        </w:tc>
        <w:tc>
          <w:tcPr>
            <w:tcW w:w="1109" w:type="dxa"/>
          </w:tcPr>
          <w:p w14:paraId="67F7350C"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38,0</w:t>
            </w:r>
          </w:p>
        </w:tc>
        <w:tc>
          <w:tcPr>
            <w:tcW w:w="1145" w:type="dxa"/>
          </w:tcPr>
          <w:p w14:paraId="11BAF8E2"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38</w:t>
            </w:r>
          </w:p>
        </w:tc>
        <w:tc>
          <w:tcPr>
            <w:tcW w:w="1145" w:type="dxa"/>
          </w:tcPr>
          <w:p w14:paraId="4CEAC2AE"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47,7</w:t>
            </w:r>
          </w:p>
        </w:tc>
        <w:tc>
          <w:tcPr>
            <w:tcW w:w="1669" w:type="dxa"/>
          </w:tcPr>
          <w:p w14:paraId="653B591D"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6A627513" w14:textId="77777777" w:rsidTr="00341186">
        <w:tc>
          <w:tcPr>
            <w:tcW w:w="487" w:type="dxa"/>
          </w:tcPr>
          <w:p w14:paraId="31171F6B"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1.3</w:t>
            </w:r>
          </w:p>
        </w:tc>
        <w:tc>
          <w:tcPr>
            <w:tcW w:w="3908" w:type="dxa"/>
          </w:tcPr>
          <w:p w14:paraId="5F1D2123"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Доля автомобильных дорог федерального и регионального значения, работающих в режиме перегрузки, %</w:t>
            </w:r>
          </w:p>
        </w:tc>
        <w:tc>
          <w:tcPr>
            <w:tcW w:w="1109" w:type="dxa"/>
          </w:tcPr>
          <w:p w14:paraId="7B8D30AD"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4,45</w:t>
            </w:r>
          </w:p>
        </w:tc>
        <w:tc>
          <w:tcPr>
            <w:tcW w:w="1145" w:type="dxa"/>
          </w:tcPr>
          <w:p w14:paraId="72914B70"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4,45</w:t>
            </w:r>
          </w:p>
        </w:tc>
        <w:tc>
          <w:tcPr>
            <w:tcW w:w="1145" w:type="dxa"/>
          </w:tcPr>
          <w:p w14:paraId="4B080BC9"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1,13</w:t>
            </w:r>
          </w:p>
        </w:tc>
        <w:tc>
          <w:tcPr>
            <w:tcW w:w="1669" w:type="dxa"/>
          </w:tcPr>
          <w:p w14:paraId="0EB900DA"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7A17C2" w:rsidRPr="00A53AD7" w14:paraId="7C87FD85" w14:textId="77777777" w:rsidTr="00341186">
        <w:tc>
          <w:tcPr>
            <w:tcW w:w="487" w:type="dxa"/>
          </w:tcPr>
          <w:p w14:paraId="5E32377C"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1.4</w:t>
            </w:r>
          </w:p>
        </w:tc>
        <w:tc>
          <w:tcPr>
            <w:tcW w:w="3908" w:type="dxa"/>
          </w:tcPr>
          <w:p w14:paraId="47878B3B" w14:textId="77777777" w:rsidR="007A17C2" w:rsidRPr="00A53AD7" w:rsidRDefault="007A17C2" w:rsidP="00341186">
            <w:pPr>
              <w:spacing w:after="0" w:line="240" w:lineRule="auto"/>
              <w:rPr>
                <w:rFonts w:ascii="Times New Roman" w:hAnsi="Times New Roman"/>
                <w:sz w:val="20"/>
                <w:szCs w:val="20"/>
              </w:rPr>
            </w:pPr>
            <w:r w:rsidRPr="00A53AD7">
              <w:rPr>
                <w:rFonts w:ascii="Times New Roman" w:hAnsi="Times New Roman"/>
                <w:sz w:val="20"/>
                <w:szCs w:val="20"/>
              </w:rPr>
              <w:t>Количество мест концентрации дорожно-транспортных происшествий (аварийно-опасных участков) на дорожной сети, %</w:t>
            </w:r>
          </w:p>
        </w:tc>
        <w:tc>
          <w:tcPr>
            <w:tcW w:w="1109" w:type="dxa"/>
          </w:tcPr>
          <w:p w14:paraId="35F52196"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1145" w:type="dxa"/>
          </w:tcPr>
          <w:p w14:paraId="18165874"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c>
          <w:tcPr>
            <w:tcW w:w="1145" w:type="dxa"/>
          </w:tcPr>
          <w:p w14:paraId="2C4C0F44"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90,0</w:t>
            </w:r>
          </w:p>
        </w:tc>
        <w:tc>
          <w:tcPr>
            <w:tcW w:w="1669" w:type="dxa"/>
          </w:tcPr>
          <w:p w14:paraId="7CF27539" w14:textId="77777777" w:rsidR="007A17C2" w:rsidRPr="00A53AD7" w:rsidRDefault="007A17C2" w:rsidP="00341186">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bl>
    <w:p w14:paraId="0815D43A" w14:textId="77777777" w:rsidR="007A17C2" w:rsidRPr="00A53AD7" w:rsidRDefault="007A17C2" w:rsidP="00341186">
      <w:pPr>
        <w:spacing w:after="0" w:line="240" w:lineRule="auto"/>
        <w:ind w:firstLine="851"/>
        <w:jc w:val="both"/>
        <w:rPr>
          <w:rFonts w:ascii="Times New Roman" w:hAnsi="Times New Roman"/>
          <w:sz w:val="28"/>
          <w:szCs w:val="28"/>
        </w:rPr>
      </w:pPr>
    </w:p>
    <w:p w14:paraId="487B60C1" w14:textId="7052C170"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Доля автомобильных дорог регионального значения, соответствующих нормативным требованиям за 2019 год составляет 17,5% (1252,9</w:t>
      </w:r>
      <w:r w:rsidR="00870552" w:rsidRPr="00A53AD7">
        <w:rPr>
          <w:rFonts w:ascii="Times New Roman" w:hAnsi="Times New Roman"/>
          <w:sz w:val="28"/>
          <w:szCs w:val="28"/>
        </w:rPr>
        <w:t xml:space="preserve"> </w:t>
      </w:r>
      <w:r w:rsidRPr="00A53AD7">
        <w:rPr>
          <w:rFonts w:ascii="Times New Roman" w:hAnsi="Times New Roman"/>
          <w:sz w:val="28"/>
          <w:szCs w:val="28"/>
        </w:rPr>
        <w:t>км / 7188,749</w:t>
      </w:r>
      <w:r w:rsidR="00870552" w:rsidRPr="00A53AD7">
        <w:rPr>
          <w:rFonts w:ascii="Times New Roman" w:hAnsi="Times New Roman"/>
          <w:sz w:val="28"/>
          <w:szCs w:val="28"/>
        </w:rPr>
        <w:t xml:space="preserve"> </w:t>
      </w:r>
      <w:r w:rsidRPr="00A53AD7">
        <w:rPr>
          <w:rFonts w:ascii="Times New Roman" w:hAnsi="Times New Roman"/>
          <w:sz w:val="28"/>
          <w:szCs w:val="28"/>
        </w:rPr>
        <w:t>км: общая протяженность автомобильных дорог общего пользования,</w:t>
      </w:r>
      <w:r w:rsidR="0039742D" w:rsidRPr="00A53AD7">
        <w:rPr>
          <w:rFonts w:ascii="Times New Roman" w:hAnsi="Times New Roman"/>
          <w:sz w:val="28"/>
          <w:szCs w:val="28"/>
        </w:rPr>
        <w:t xml:space="preserve"> </w:t>
      </w:r>
      <w:r w:rsidRPr="00A53AD7">
        <w:rPr>
          <w:rFonts w:ascii="Times New Roman" w:hAnsi="Times New Roman"/>
          <w:sz w:val="28"/>
          <w:szCs w:val="28"/>
        </w:rPr>
        <w:t>соответствующих нормативным требованиям к транспортно-эксплуатационным показателям на 31 декабря 2018 года региональных автомобильных дорог 1146,5 км + фактически в 2019 году приведено в нормативное состояние 106,4 км = 1252,9 км; протяженность сети автомобильных дорог общего пользования</w:t>
      </w:r>
      <w:r w:rsidR="0039742D" w:rsidRPr="00A53AD7">
        <w:rPr>
          <w:rFonts w:ascii="Times New Roman" w:hAnsi="Times New Roman"/>
          <w:sz w:val="28"/>
          <w:szCs w:val="28"/>
        </w:rPr>
        <w:t xml:space="preserve"> </w:t>
      </w:r>
      <w:r w:rsidRPr="00A53AD7">
        <w:rPr>
          <w:rFonts w:ascii="Times New Roman" w:hAnsi="Times New Roman"/>
          <w:sz w:val="28"/>
          <w:szCs w:val="28"/>
        </w:rPr>
        <w:t xml:space="preserve">регионального значения Архангельской области на 31 </w:t>
      </w:r>
      <w:r w:rsidR="00ED1151" w:rsidRPr="00A53AD7">
        <w:rPr>
          <w:rFonts w:ascii="Times New Roman" w:hAnsi="Times New Roman"/>
          <w:sz w:val="28"/>
          <w:szCs w:val="28"/>
        </w:rPr>
        <w:t>декабря 2019 года</w:t>
      </w:r>
      <w:r w:rsidR="0039742D" w:rsidRPr="00A53AD7">
        <w:rPr>
          <w:rFonts w:ascii="Times New Roman" w:hAnsi="Times New Roman"/>
          <w:sz w:val="28"/>
          <w:szCs w:val="28"/>
        </w:rPr>
        <w:t xml:space="preserve"> </w:t>
      </w:r>
      <w:r w:rsidR="003E47AB" w:rsidRPr="00A53AD7">
        <w:rPr>
          <w:rFonts w:ascii="Times New Roman" w:hAnsi="Times New Roman"/>
          <w:sz w:val="28"/>
          <w:szCs w:val="28"/>
        </w:rPr>
        <w:t>7188,749 км.</w:t>
      </w:r>
    </w:p>
    <w:p w14:paraId="403BA1FB" w14:textId="1D79247B"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Архангельской агломерации доля автомобильных дорог, соответствующих нормативным требованиям на 2019 год – до 47,7 %. В 2019 году осуществлен ремонт 36,2 км при плановом значении – 32,5 км или выполнение 111,4% (ремонтные работы выполнены на дорогах общего пользования местного значения в границах Архангельской агломерации, в том числе: в городе Архангельске – 19,149 км, в городе Северодвинске – 7,379 км, в городе Новодвинске – 3,747 км, в Приморском муниципальном районе – 5,916 км).</w:t>
      </w:r>
    </w:p>
    <w:p w14:paraId="4AC1FA2B" w14:textId="3323BEE2" w:rsidR="007A17C2" w:rsidRPr="00A53AD7" w:rsidRDefault="00341186"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7A17C2" w:rsidRPr="00A53AD7">
        <w:rPr>
          <w:rFonts w:ascii="Times New Roman" w:hAnsi="Times New Roman"/>
          <w:sz w:val="28"/>
          <w:szCs w:val="28"/>
        </w:rPr>
        <w:t xml:space="preserve">нижение количества мест концентрации дорожно-транспортных происшествий (аварийно-опасных участков) на дорожной сети Архангельской области в два раза до 2024 года по сравнению с 2017 годом. По итогам 2017 года на территории Архангельской области установлено 29 мест концентрации дорожно-транспортных происшествий. По итогам 2019 года количество участков концентрации составило 22 места при плане не более </w:t>
      </w:r>
      <w:r w:rsidR="00E6143A" w:rsidRPr="00A53AD7">
        <w:rPr>
          <w:rFonts w:ascii="Times New Roman" w:hAnsi="Times New Roman"/>
          <w:sz w:val="28"/>
          <w:szCs w:val="28"/>
        </w:rPr>
        <w:t>26 участков или выполнение 76%.</w:t>
      </w:r>
    </w:p>
    <w:p w14:paraId="0EA71140" w14:textId="0382F1A2"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РП за 2019 год кассовое исполнение составило в сумме 2 494,4 млн.руб. или 9</w:t>
      </w:r>
      <w:r w:rsidR="00E6143A" w:rsidRPr="00A53AD7">
        <w:rPr>
          <w:rFonts w:ascii="Times New Roman" w:hAnsi="Times New Roman"/>
          <w:sz w:val="28"/>
          <w:szCs w:val="28"/>
        </w:rPr>
        <w:t>8,6% к плану (план 2 531,5 млн.</w:t>
      </w:r>
      <w:r w:rsidRPr="00A53AD7">
        <w:rPr>
          <w:rFonts w:ascii="Times New Roman" w:hAnsi="Times New Roman"/>
          <w:sz w:val="28"/>
          <w:szCs w:val="28"/>
        </w:rPr>
        <w:t>руб.).</w:t>
      </w:r>
    </w:p>
    <w:p w14:paraId="3A4D7E9F" w14:textId="76D8D5F3"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ф.</w:t>
      </w:r>
      <w:r w:rsidR="00870552" w:rsidRPr="00A53AD7">
        <w:rPr>
          <w:rFonts w:ascii="Times New Roman" w:hAnsi="Times New Roman"/>
          <w:sz w:val="28"/>
          <w:szCs w:val="28"/>
        </w:rPr>
        <w:t xml:space="preserve"> </w:t>
      </w:r>
      <w:r w:rsidRPr="00A53AD7">
        <w:rPr>
          <w:rFonts w:ascii="Times New Roman" w:hAnsi="Times New Roman"/>
          <w:sz w:val="28"/>
          <w:szCs w:val="28"/>
        </w:rPr>
        <w:t xml:space="preserve">0503127 «Отчет об исполнении бюджета главного распорядителя, распорядителя, получателя бюджетных средств …» на 01.01.2020, размещенному в программном продукте СВОД-СМАРТ, исполнитель ГКУ </w:t>
      </w:r>
      <w:r w:rsidR="00341186" w:rsidRPr="00A53AD7">
        <w:rPr>
          <w:rFonts w:ascii="Times New Roman" w:hAnsi="Times New Roman"/>
          <w:sz w:val="28"/>
          <w:szCs w:val="28"/>
        </w:rPr>
        <w:t>АО</w:t>
      </w:r>
      <w:r w:rsidRPr="00A53AD7">
        <w:rPr>
          <w:rFonts w:ascii="Times New Roman" w:hAnsi="Times New Roman"/>
          <w:sz w:val="28"/>
          <w:szCs w:val="28"/>
        </w:rPr>
        <w:t xml:space="preserve"> «Дорожное агентство «Архангельскавтодор»,</w:t>
      </w:r>
      <w:r w:rsidR="0039742D" w:rsidRPr="00A53AD7">
        <w:rPr>
          <w:rFonts w:ascii="Times New Roman" w:hAnsi="Times New Roman"/>
          <w:sz w:val="28"/>
          <w:szCs w:val="28"/>
        </w:rPr>
        <w:t xml:space="preserve"> </w:t>
      </w:r>
      <w:r w:rsidRPr="00A53AD7">
        <w:rPr>
          <w:rFonts w:ascii="Times New Roman" w:hAnsi="Times New Roman"/>
          <w:sz w:val="28"/>
          <w:szCs w:val="28"/>
        </w:rPr>
        <w:t>кассовое исполнение</w:t>
      </w:r>
      <w:r w:rsidR="00E6143A" w:rsidRPr="00A53AD7">
        <w:rPr>
          <w:rFonts w:ascii="Times New Roman" w:hAnsi="Times New Roman"/>
          <w:sz w:val="28"/>
          <w:szCs w:val="28"/>
        </w:rPr>
        <w:t xml:space="preserve"> составило в сумме 1 631,0 млн.</w:t>
      </w:r>
      <w:r w:rsidRPr="00A53AD7">
        <w:rPr>
          <w:rFonts w:ascii="Times New Roman" w:hAnsi="Times New Roman"/>
          <w:sz w:val="28"/>
          <w:szCs w:val="28"/>
        </w:rPr>
        <w:t>руб., в том числе: по мероприятию «1.1 Приведение в нормативное состояние региональных автомобильных дорог» (всего 9 объектов) в сумме 1 533,8 млн.руб. и по мероприятию «4.4. Строительство (реконструкция) автомобильной дороги Усть-Ваеньга – Осиново – Фалюки (в рамках федерального проекта “Дорожная сеть” национального проекта “Безопасные и качественные автомобил</w:t>
      </w:r>
      <w:r w:rsidR="00E6143A" w:rsidRPr="00A53AD7">
        <w:rPr>
          <w:rFonts w:ascii="Times New Roman" w:hAnsi="Times New Roman"/>
          <w:sz w:val="28"/>
          <w:szCs w:val="28"/>
        </w:rPr>
        <w:t>ьные дороги”) в сумме 97,3 млн.</w:t>
      </w:r>
      <w:r w:rsidRPr="00A53AD7">
        <w:rPr>
          <w:rFonts w:ascii="Times New Roman" w:hAnsi="Times New Roman"/>
          <w:sz w:val="28"/>
          <w:szCs w:val="28"/>
        </w:rPr>
        <w:t>руб.</w:t>
      </w:r>
    </w:p>
    <w:p w14:paraId="49FF6058" w14:textId="5CFC6C86"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данных «Отчетов о расходах, в целях софинансирования которых предоставляется Иной межбюджетный трансферт на 01 января 2020 года» (предоставлены министерством транспорта), по муниципальным образованиям - «Город Архангельск», «Приморский муниципальный район», «Город Новодвинск», «Северодвинск» исполнение по мероприятию «1.2. Приведение в нормативное состояние автомобильных дорог Архангельской городской агломерации» (всего 39 объектов) составляет в сумме 862,9 млн.руб.</w:t>
      </w:r>
    </w:p>
    <w:p w14:paraId="651FEDDA" w14:textId="203B66B3" w:rsidR="007A17C2" w:rsidRPr="00A53AD7" w:rsidRDefault="007A17C2" w:rsidP="003411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чего следует, что фактическое исполнение по РП </w:t>
      </w:r>
      <w:r w:rsidR="00ED1151" w:rsidRPr="00A53AD7">
        <w:rPr>
          <w:rFonts w:ascii="Times New Roman" w:hAnsi="Times New Roman"/>
          <w:sz w:val="28"/>
          <w:szCs w:val="28"/>
        </w:rPr>
        <w:t>составляет в сумме 2 493,9 млн.руб. (отклонение «-0,5 млн.</w:t>
      </w:r>
      <w:r w:rsidRPr="00A53AD7">
        <w:rPr>
          <w:rFonts w:ascii="Times New Roman" w:hAnsi="Times New Roman"/>
          <w:sz w:val="28"/>
          <w:szCs w:val="28"/>
        </w:rPr>
        <w:t>руб.») или исполнение 98,5% (отклонение «-0,1%»).</w:t>
      </w:r>
    </w:p>
    <w:p w14:paraId="7725F417" w14:textId="77777777" w:rsidR="0029048C" w:rsidRPr="00A53AD7" w:rsidRDefault="0029048C" w:rsidP="00DE2EB8">
      <w:pPr>
        <w:pStyle w:val="ad"/>
        <w:jc w:val="both"/>
        <w:rPr>
          <w:rFonts w:ascii="Times New Roman" w:hAnsi="Times New Roman"/>
          <w:sz w:val="28"/>
          <w:szCs w:val="28"/>
        </w:rPr>
      </w:pPr>
    </w:p>
    <w:p w14:paraId="24829EEB" w14:textId="77777777" w:rsidR="00ED1151" w:rsidRPr="00A53AD7" w:rsidRDefault="00ED1151" w:rsidP="00ED1151">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«Общесистемные меры развития дорожного хозяйства (Архангельская область)»</w:t>
      </w:r>
    </w:p>
    <w:p w14:paraId="421760F5" w14:textId="60151534" w:rsidR="00ED1151"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 регионального проекта утвержден 14.06.2019.</w:t>
      </w:r>
    </w:p>
    <w:p w14:paraId="15EF6AB4" w14:textId="77777777" w:rsidR="00ED1151"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регионального проекта 03.12.2018 – 31.12.2024.</w:t>
      </w:r>
    </w:p>
    <w:p w14:paraId="1CDD2ABF" w14:textId="1B5FCB09" w:rsidR="00ED1151"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регионального проекта «Общесистемные меры развития дорожного хозяйства (Архангельская область)», входящего в состав федерального проекта «Общесистемные меры развития дорожного хозяйства» национального проекта «Безопасные и качественные автомобильные дороги» осуществляется исполнение мероприятий подпрограммы № 4 «Улучшение эксплуатационного состояния автомобильных дорог общего пользования регионального значения» и подпрограммы № 6 «Повышение безопасности дорожного движения в Архангельской области» ГП АО «Развитие транспортной системы Архангельской области».</w:t>
      </w:r>
    </w:p>
    <w:p w14:paraId="6BBDB36E" w14:textId="2C133482" w:rsidR="00ED1151"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целях синхронизации мероприятий регионального паспорта с паспортом федерального проекта внесены изменения в паспорт РП (№</w:t>
      </w:r>
      <w:r w:rsidR="00870552" w:rsidRPr="00A53AD7">
        <w:rPr>
          <w:rFonts w:ascii="Times New Roman" w:hAnsi="Times New Roman"/>
          <w:sz w:val="28"/>
          <w:szCs w:val="28"/>
        </w:rPr>
        <w:t xml:space="preserve"> </w:t>
      </w:r>
      <w:r w:rsidRPr="00A53AD7">
        <w:rPr>
          <w:rFonts w:ascii="Times New Roman" w:hAnsi="Times New Roman"/>
          <w:sz w:val="28"/>
          <w:szCs w:val="28"/>
        </w:rPr>
        <w:t>R2-30-2019/002 от 28.10.2019), которые утверждены 29.11.2019. Изменения внесены в четыре раздела из семи.</w:t>
      </w:r>
    </w:p>
    <w:p w14:paraId="67997F31" w14:textId="2FFD525D" w:rsidR="00ED1151"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Раздел 3. Результаты и характеристики результатов РП изложен в новой редакции:</w:t>
      </w:r>
    </w:p>
    <w:p w14:paraId="06B15AF0" w14:textId="1F4B3298" w:rsidR="00ED1151" w:rsidRPr="00A53AD7" w:rsidRDefault="00ED1151" w:rsidP="00CA1DDD">
      <w:pPr>
        <w:pStyle w:val="a8"/>
        <w:numPr>
          <w:ilvl w:val="0"/>
          <w:numId w:val="38"/>
        </w:numPr>
        <w:ind w:left="0" w:firstLine="840"/>
        <w:jc w:val="both"/>
        <w:rPr>
          <w:sz w:val="28"/>
          <w:szCs w:val="28"/>
        </w:rPr>
      </w:pPr>
      <w:r w:rsidRPr="00A53AD7">
        <w:rPr>
          <w:sz w:val="28"/>
          <w:szCs w:val="28"/>
        </w:rPr>
        <w:t>первый результат «Размещение автоматических пунктов весогабаритного контроля транспортных средств на автомобильных дорогах регионального или межмуниципального, местного значения (накопительным итогом) на 31.12.2024 – 3 шт. – исключен;</w:t>
      </w:r>
    </w:p>
    <w:p w14:paraId="5CFA5E63" w14:textId="22E0BAF3" w:rsidR="00ED1151" w:rsidRPr="00A53AD7" w:rsidRDefault="00ED1151" w:rsidP="00CA1DDD">
      <w:pPr>
        <w:pStyle w:val="a8"/>
        <w:numPr>
          <w:ilvl w:val="0"/>
          <w:numId w:val="38"/>
        </w:numPr>
        <w:ind w:left="0" w:firstLine="840"/>
        <w:jc w:val="both"/>
        <w:rPr>
          <w:sz w:val="28"/>
          <w:szCs w:val="28"/>
        </w:rPr>
      </w:pPr>
      <w:r w:rsidRPr="00A53AD7">
        <w:rPr>
          <w:sz w:val="28"/>
          <w:szCs w:val="28"/>
        </w:rPr>
        <w:t xml:space="preserve"> второй результат «Размещение автоматических пунктов весогабаритного контроля транспортных средств на автомобильных дорогах регионального или межмуниципального, местного значения (накопительным итогом) на каждую дату увеличен по сравнению с предыдущей редакцией на 1 шт., с учетом изменений: на 31.12.2019 – 2 шт., на 31.12.2020 -3 шт., на 31.12.2021 – 4 шт., на 31.12.2022 – 4 шт., на 31.12.2023 -4 шт., на 31.12.2024 - 4 шт.;</w:t>
      </w:r>
    </w:p>
    <w:p w14:paraId="0C03D475" w14:textId="77777777" w:rsidR="00ED1151" w:rsidRPr="00A53AD7" w:rsidRDefault="00ED1151" w:rsidP="00CA1DDD">
      <w:pPr>
        <w:pStyle w:val="a8"/>
        <w:numPr>
          <w:ilvl w:val="0"/>
          <w:numId w:val="38"/>
        </w:numPr>
        <w:ind w:left="0" w:firstLine="840"/>
        <w:jc w:val="both"/>
        <w:rPr>
          <w:sz w:val="28"/>
          <w:szCs w:val="28"/>
        </w:rPr>
      </w:pPr>
      <w:r w:rsidRPr="00A53AD7">
        <w:rPr>
          <w:sz w:val="28"/>
          <w:szCs w:val="28"/>
        </w:rPr>
        <w:t>третий результат – текстовая часть результата федерального проекта уточнена.</w:t>
      </w:r>
    </w:p>
    <w:p w14:paraId="09FA53D7" w14:textId="27FC3B07" w:rsidR="00ED1151" w:rsidRPr="00A53AD7" w:rsidRDefault="00ED1151" w:rsidP="00944EF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Между руководителем федерального проекта «Общесистемные меры развития дорожного хозяйства» и руководителем регионального проекта «Общесистемные меры развития дорожного хозяйства Архангельской области, Архангельской агломерации» заключено Соглашение о реализации регионального проекта «Общесистемные меры развития дорожного хозяйства Архангельской области, Архангельской агломерации» на территории Архангельской области от</w:t>
      </w:r>
      <w:r w:rsidR="003E47AB" w:rsidRPr="00A53AD7">
        <w:rPr>
          <w:rFonts w:ascii="Times New Roman" w:hAnsi="Times New Roman"/>
          <w:sz w:val="28"/>
          <w:szCs w:val="28"/>
        </w:rPr>
        <w:t xml:space="preserve"> 28.02.2019 №103-2019-R20030-1.</w:t>
      </w:r>
    </w:p>
    <w:p w14:paraId="36B5B4FA" w14:textId="384DEC50" w:rsidR="00ED1151" w:rsidRPr="00A53AD7" w:rsidRDefault="00ED1151" w:rsidP="00944EF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Предметом соглашения является организация взаимодействия Сторон</w:t>
      </w:r>
      <w:r w:rsidR="00944EF9" w:rsidRPr="00A53AD7">
        <w:rPr>
          <w:rFonts w:ascii="Times New Roman" w:hAnsi="Times New Roman"/>
          <w:sz w:val="28"/>
          <w:szCs w:val="28"/>
        </w:rPr>
        <w:t xml:space="preserve"> </w:t>
      </w:r>
      <w:r w:rsidRPr="00A53AD7">
        <w:rPr>
          <w:rFonts w:ascii="Times New Roman" w:hAnsi="Times New Roman"/>
          <w:sz w:val="28"/>
          <w:szCs w:val="28"/>
        </w:rPr>
        <w:t>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Субъекте и (или) муниципальных образованиях, расположенных на территории Субъекта. В приложениях</w:t>
      </w:r>
      <w:r w:rsidR="005255C7" w:rsidRPr="00A53AD7">
        <w:rPr>
          <w:rFonts w:ascii="Times New Roman" w:hAnsi="Times New Roman"/>
          <w:sz w:val="28"/>
          <w:szCs w:val="28"/>
        </w:rPr>
        <w:t xml:space="preserve"> у указанному</w:t>
      </w:r>
      <w:r w:rsidRPr="00A53AD7">
        <w:rPr>
          <w:rFonts w:ascii="Times New Roman" w:hAnsi="Times New Roman"/>
          <w:sz w:val="28"/>
          <w:szCs w:val="28"/>
        </w:rPr>
        <w:t xml:space="preserve"> соглашени</w:t>
      </w:r>
      <w:r w:rsidR="005255C7" w:rsidRPr="00A53AD7">
        <w:rPr>
          <w:rFonts w:ascii="Times New Roman" w:hAnsi="Times New Roman"/>
          <w:sz w:val="28"/>
          <w:szCs w:val="28"/>
        </w:rPr>
        <w:t>ю</w:t>
      </w:r>
      <w:r w:rsidRPr="00A53AD7">
        <w:rPr>
          <w:rFonts w:ascii="Times New Roman" w:hAnsi="Times New Roman"/>
          <w:sz w:val="28"/>
          <w:szCs w:val="28"/>
        </w:rPr>
        <w:t xml:space="preserve"> определены «Показатели федерального проекта по субъекту Российской Федерации» (Приложение № 1) и «Результаты федерального проекта по субъекту Российской Федерации» (Приложение № 2).</w:t>
      </w:r>
      <w:r w:rsidR="0039742D" w:rsidRPr="00A53AD7">
        <w:rPr>
          <w:rFonts w:ascii="Times New Roman" w:hAnsi="Times New Roman"/>
          <w:sz w:val="28"/>
          <w:szCs w:val="28"/>
        </w:rPr>
        <w:t xml:space="preserve"> </w:t>
      </w:r>
      <w:r w:rsidRPr="00A53AD7">
        <w:rPr>
          <w:rFonts w:ascii="Times New Roman" w:hAnsi="Times New Roman"/>
          <w:sz w:val="28"/>
          <w:szCs w:val="28"/>
        </w:rPr>
        <w:t>Показатели - базовое значение 2017 год и значение на 2019 год идентичны соответствующим показателям РП.</w:t>
      </w:r>
    </w:p>
    <w:p w14:paraId="56BF7866" w14:textId="5449EE3E" w:rsidR="00ED1151" w:rsidRPr="00A53AD7" w:rsidRDefault="00ED1151" w:rsidP="00944EF9">
      <w:pPr>
        <w:spacing w:after="0" w:line="240" w:lineRule="auto"/>
        <w:ind w:firstLine="851"/>
        <w:jc w:val="both"/>
        <w:rPr>
          <w:rFonts w:ascii="Times New Roman" w:eastAsia="Arial" w:hAnsi="Times New Roman"/>
          <w:bCs/>
          <w:sz w:val="28"/>
          <w:szCs w:val="28"/>
          <w:highlight w:val="cyan"/>
          <w:lang w:eastAsia="ru-RU"/>
        </w:rPr>
      </w:pPr>
      <w:r w:rsidRPr="00A53AD7">
        <w:rPr>
          <w:rFonts w:ascii="Times New Roman" w:hAnsi="Times New Roman"/>
          <w:sz w:val="28"/>
          <w:szCs w:val="28"/>
        </w:rPr>
        <w:t xml:space="preserve">Региональным проектом определены два основных показателя, их значение их исполнено за 2019 год на 100%, представлено в </w:t>
      </w:r>
      <w:r w:rsidR="00944EF9" w:rsidRPr="00A53AD7">
        <w:rPr>
          <w:rFonts w:ascii="Times New Roman" w:hAnsi="Times New Roman"/>
          <w:sz w:val="28"/>
          <w:szCs w:val="28"/>
        </w:rPr>
        <w:t>таблице:</w:t>
      </w:r>
    </w:p>
    <w:tbl>
      <w:tblPr>
        <w:tblStyle w:val="a7"/>
        <w:tblW w:w="9233" w:type="dxa"/>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86"/>
        <w:gridCol w:w="4334"/>
        <w:gridCol w:w="992"/>
        <w:gridCol w:w="728"/>
        <w:gridCol w:w="1275"/>
        <w:gridCol w:w="1418"/>
      </w:tblGrid>
      <w:tr w:rsidR="00D470B6" w:rsidRPr="00A53AD7" w14:paraId="7F4770B3" w14:textId="77777777" w:rsidTr="00657B7D">
        <w:trPr>
          <w:tblHeader/>
        </w:trPr>
        <w:tc>
          <w:tcPr>
            <w:tcW w:w="486" w:type="dxa"/>
          </w:tcPr>
          <w:p w14:paraId="0A7AC696" w14:textId="77777777" w:rsidR="00ED1151" w:rsidRPr="00A53AD7" w:rsidRDefault="00ED1151" w:rsidP="00965053">
            <w:pPr>
              <w:spacing w:after="0" w:line="240" w:lineRule="auto"/>
              <w:jc w:val="both"/>
              <w:rPr>
                <w:rFonts w:ascii="Times New Roman" w:hAnsi="Times New Roman"/>
                <w:sz w:val="20"/>
                <w:szCs w:val="20"/>
              </w:rPr>
            </w:pPr>
            <w:r w:rsidRPr="00A53AD7">
              <w:rPr>
                <w:rFonts w:ascii="Times New Roman" w:hAnsi="Times New Roman"/>
                <w:sz w:val="20"/>
                <w:szCs w:val="20"/>
              </w:rPr>
              <w:t>№ п/п</w:t>
            </w:r>
          </w:p>
        </w:tc>
        <w:tc>
          <w:tcPr>
            <w:tcW w:w="4334" w:type="dxa"/>
          </w:tcPr>
          <w:p w14:paraId="232120B1"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w:t>
            </w:r>
          </w:p>
        </w:tc>
        <w:tc>
          <w:tcPr>
            <w:tcW w:w="992" w:type="dxa"/>
          </w:tcPr>
          <w:p w14:paraId="48EFE29E"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Базовое значение 2017 год</w:t>
            </w:r>
          </w:p>
        </w:tc>
        <w:tc>
          <w:tcPr>
            <w:tcW w:w="728" w:type="dxa"/>
          </w:tcPr>
          <w:p w14:paraId="35D5A9B5"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2018 год</w:t>
            </w:r>
          </w:p>
        </w:tc>
        <w:tc>
          <w:tcPr>
            <w:tcW w:w="1275" w:type="dxa"/>
          </w:tcPr>
          <w:p w14:paraId="60DC4437"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2019 год</w:t>
            </w:r>
          </w:p>
        </w:tc>
        <w:tc>
          <w:tcPr>
            <w:tcW w:w="1418" w:type="dxa"/>
          </w:tcPr>
          <w:p w14:paraId="7D31EC69"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 достижения за 2019 год, согласно отчету о ходе реализации РП</w:t>
            </w:r>
          </w:p>
        </w:tc>
      </w:tr>
      <w:tr w:rsidR="00D470B6" w:rsidRPr="00A53AD7" w14:paraId="284D77FB" w14:textId="77777777" w:rsidTr="00965053">
        <w:tc>
          <w:tcPr>
            <w:tcW w:w="486" w:type="dxa"/>
          </w:tcPr>
          <w:p w14:paraId="72BB8D44" w14:textId="77777777" w:rsidR="00ED1151" w:rsidRPr="00A53AD7" w:rsidRDefault="00ED1151" w:rsidP="00965053">
            <w:pPr>
              <w:spacing w:after="0" w:line="240" w:lineRule="auto"/>
              <w:rPr>
                <w:rFonts w:ascii="Times New Roman" w:hAnsi="Times New Roman"/>
                <w:sz w:val="20"/>
                <w:szCs w:val="20"/>
              </w:rPr>
            </w:pPr>
            <w:r w:rsidRPr="00A53AD7">
              <w:rPr>
                <w:rFonts w:ascii="Times New Roman" w:hAnsi="Times New Roman"/>
                <w:sz w:val="20"/>
                <w:szCs w:val="20"/>
              </w:rPr>
              <w:t>1.1</w:t>
            </w:r>
          </w:p>
        </w:tc>
        <w:tc>
          <w:tcPr>
            <w:tcW w:w="4334" w:type="dxa"/>
          </w:tcPr>
          <w:p w14:paraId="20276EDA" w14:textId="159EE9AC" w:rsidR="00ED1151" w:rsidRPr="00A53AD7" w:rsidRDefault="00ED1151" w:rsidP="00965053">
            <w:pPr>
              <w:spacing w:after="0" w:line="240" w:lineRule="auto"/>
              <w:rPr>
                <w:rFonts w:ascii="Times New Roman" w:hAnsi="Times New Roman"/>
                <w:sz w:val="20"/>
                <w:szCs w:val="20"/>
              </w:rPr>
            </w:pPr>
            <w:r w:rsidRPr="00A53AD7">
              <w:rPr>
                <w:rFonts w:ascii="Times New Roman" w:hAnsi="Times New Roman"/>
                <w:sz w:val="20"/>
                <w:szCs w:val="20"/>
              </w:rPr>
              <w:t xml:space="preserve">Доля контрактов на осуществление дорожной деятельности в рамках национального проекта, предусматривающих </w:t>
            </w:r>
            <w:r w:rsidR="00965053" w:rsidRPr="00A53AD7">
              <w:rPr>
                <w:rFonts w:ascii="Times New Roman" w:hAnsi="Times New Roman"/>
                <w:sz w:val="20"/>
                <w:szCs w:val="20"/>
              </w:rPr>
              <w:t xml:space="preserve">использование новых технологий </w:t>
            </w:r>
            <w:r w:rsidRPr="00A53AD7">
              <w:rPr>
                <w:rFonts w:ascii="Times New Roman" w:hAnsi="Times New Roman"/>
                <w:sz w:val="20"/>
                <w:szCs w:val="20"/>
              </w:rPr>
              <w:t>и материалов, включенных в Реестр новых и наилучших технологий, материалов и технологических решений повторного применения, % в общем объеме новых государственных контрактов на выполнение работ по капитальному ремонту, ремонту и содержанию автомобильных дорог, %</w:t>
            </w:r>
          </w:p>
        </w:tc>
        <w:tc>
          <w:tcPr>
            <w:tcW w:w="992" w:type="dxa"/>
          </w:tcPr>
          <w:p w14:paraId="23D4727F"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728" w:type="dxa"/>
          </w:tcPr>
          <w:p w14:paraId="283928B0"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1275" w:type="dxa"/>
          </w:tcPr>
          <w:p w14:paraId="33DAA468"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10</w:t>
            </w:r>
          </w:p>
        </w:tc>
        <w:tc>
          <w:tcPr>
            <w:tcW w:w="1418" w:type="dxa"/>
          </w:tcPr>
          <w:p w14:paraId="65E1F3A9"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100</w:t>
            </w:r>
          </w:p>
        </w:tc>
      </w:tr>
      <w:tr w:rsidR="00ED1151" w:rsidRPr="00A53AD7" w14:paraId="7239008E" w14:textId="77777777" w:rsidTr="00965053">
        <w:tc>
          <w:tcPr>
            <w:tcW w:w="486" w:type="dxa"/>
          </w:tcPr>
          <w:p w14:paraId="3F00AD01" w14:textId="77777777" w:rsidR="00ED1151" w:rsidRPr="00A53AD7" w:rsidRDefault="00ED1151" w:rsidP="00965053">
            <w:pPr>
              <w:spacing w:after="0" w:line="240" w:lineRule="auto"/>
              <w:rPr>
                <w:rFonts w:ascii="Times New Roman" w:hAnsi="Times New Roman"/>
                <w:sz w:val="20"/>
                <w:szCs w:val="20"/>
              </w:rPr>
            </w:pPr>
            <w:r w:rsidRPr="00A53AD7">
              <w:rPr>
                <w:rFonts w:ascii="Times New Roman" w:hAnsi="Times New Roman"/>
                <w:sz w:val="20"/>
                <w:szCs w:val="20"/>
              </w:rPr>
              <w:t>1.2</w:t>
            </w:r>
          </w:p>
        </w:tc>
        <w:tc>
          <w:tcPr>
            <w:tcW w:w="4334" w:type="dxa"/>
          </w:tcPr>
          <w:p w14:paraId="17F9CA85" w14:textId="36BF7E7C" w:rsidR="00ED1151" w:rsidRPr="00A53AD7" w:rsidRDefault="00ED1151" w:rsidP="00965053">
            <w:pPr>
              <w:spacing w:after="0" w:line="240" w:lineRule="auto"/>
              <w:rPr>
                <w:rFonts w:ascii="Times New Roman" w:hAnsi="Times New Roman"/>
                <w:sz w:val="20"/>
                <w:szCs w:val="20"/>
              </w:rPr>
            </w:pPr>
            <w:r w:rsidRPr="00A53AD7">
              <w:rPr>
                <w:rFonts w:ascii="Times New Roman" w:hAnsi="Times New Roman"/>
                <w:sz w:val="20"/>
                <w:szCs w:val="20"/>
              </w:rPr>
              <w:t>Доля контрактов на осуществление дорожной деятельности в рамках национального проекта, предусматривающих выполнение работ на принципах контракта жизненного цикла, предусматривающего объединение в один контракт различных видов дорожных работ, % в общем объеме новых государственных контрактов на выполнение работ по капитальному ремонту, ремонту и содержанию автомобильных дорог,</w:t>
            </w:r>
            <w:r w:rsidR="0039742D" w:rsidRPr="00A53AD7">
              <w:rPr>
                <w:rFonts w:ascii="Times New Roman" w:hAnsi="Times New Roman"/>
                <w:sz w:val="20"/>
                <w:szCs w:val="20"/>
              </w:rPr>
              <w:t xml:space="preserve"> </w:t>
            </w:r>
            <w:r w:rsidRPr="00A53AD7">
              <w:rPr>
                <w:rFonts w:ascii="Times New Roman" w:hAnsi="Times New Roman"/>
                <w:sz w:val="20"/>
                <w:szCs w:val="20"/>
              </w:rPr>
              <w:t>%</w:t>
            </w:r>
          </w:p>
        </w:tc>
        <w:tc>
          <w:tcPr>
            <w:tcW w:w="992" w:type="dxa"/>
          </w:tcPr>
          <w:p w14:paraId="64DB0AE9"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728" w:type="dxa"/>
          </w:tcPr>
          <w:p w14:paraId="423E6822"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1275" w:type="dxa"/>
          </w:tcPr>
          <w:p w14:paraId="6F2DB1DF"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10</w:t>
            </w:r>
          </w:p>
        </w:tc>
        <w:tc>
          <w:tcPr>
            <w:tcW w:w="1418" w:type="dxa"/>
          </w:tcPr>
          <w:p w14:paraId="470DA9D4" w14:textId="77777777" w:rsidR="00ED1151" w:rsidRPr="00A53AD7" w:rsidRDefault="00ED1151" w:rsidP="00965053">
            <w:pPr>
              <w:spacing w:after="0" w:line="240" w:lineRule="auto"/>
              <w:jc w:val="center"/>
              <w:rPr>
                <w:rFonts w:ascii="Times New Roman" w:hAnsi="Times New Roman"/>
                <w:sz w:val="20"/>
                <w:szCs w:val="20"/>
              </w:rPr>
            </w:pPr>
            <w:r w:rsidRPr="00A53AD7">
              <w:rPr>
                <w:rFonts w:ascii="Times New Roman" w:hAnsi="Times New Roman"/>
                <w:sz w:val="20"/>
                <w:szCs w:val="20"/>
              </w:rPr>
              <w:t>100</w:t>
            </w:r>
          </w:p>
        </w:tc>
      </w:tr>
    </w:tbl>
    <w:p w14:paraId="3B6AAEAE" w14:textId="77777777" w:rsidR="00965053" w:rsidRPr="00A53AD7" w:rsidRDefault="00965053" w:rsidP="00965053">
      <w:pPr>
        <w:spacing w:after="0" w:line="240" w:lineRule="auto"/>
        <w:ind w:firstLine="851"/>
        <w:jc w:val="both"/>
        <w:rPr>
          <w:rFonts w:ascii="Times New Roman" w:hAnsi="Times New Roman"/>
          <w:sz w:val="28"/>
          <w:szCs w:val="28"/>
        </w:rPr>
      </w:pPr>
    </w:p>
    <w:p w14:paraId="0FD73FED" w14:textId="6945F23B" w:rsidR="00ED1151" w:rsidRPr="00A53AD7" w:rsidRDefault="00ED1151" w:rsidP="0096505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Отчету о реализации РП на 01.01.2020 по первому показателю (1.1) из 8 заключенных государственных контрактов 5 предусматривают использование новых технологий и материалов (щебеночно-мастичный асфальтобетон, литой бордюрный камень). </w:t>
      </w:r>
    </w:p>
    <w:p w14:paraId="4FBC0FC8" w14:textId="77777777" w:rsidR="00ED1151" w:rsidRPr="00A53AD7" w:rsidRDefault="00ED1151" w:rsidP="0096505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Общее количество контрактов в рамках проекта БКАД, направленных на приведения региональных дорог в нормативное состояние, составляет </w:t>
      </w:r>
      <w:r w:rsidRPr="00A53AD7">
        <w:rPr>
          <w:rFonts w:ascii="Times New Roman" w:hAnsi="Times New Roman"/>
          <w:sz w:val="28"/>
          <w:szCs w:val="28"/>
        </w:rPr>
        <w:br/>
        <w:t>в 2019 году 10 шт. (2 контракта переходящие с 2018 года), в том числе по реализации пяти контрактов планируется применение новых технологий (требуется по проекту 10%).</w:t>
      </w:r>
    </w:p>
    <w:p w14:paraId="7B356108" w14:textId="6F017374" w:rsidR="00ED1151" w:rsidRPr="00A53AD7" w:rsidRDefault="00ED1151" w:rsidP="00965053">
      <w:pPr>
        <w:spacing w:after="0" w:line="240" w:lineRule="auto"/>
        <w:ind w:firstLine="851"/>
        <w:jc w:val="both"/>
        <w:rPr>
          <w:rFonts w:ascii="Times New Roman" w:hAnsi="Times New Roman"/>
          <w:noProof/>
          <w:sz w:val="28"/>
          <w:szCs w:val="28"/>
          <w:highlight w:val="cyan"/>
          <w:lang w:eastAsia="ru-RU"/>
        </w:rPr>
      </w:pPr>
      <w:r w:rsidRPr="00A53AD7">
        <w:rPr>
          <w:rFonts w:ascii="Times New Roman" w:hAnsi="Times New Roman"/>
          <w:sz w:val="28"/>
          <w:szCs w:val="28"/>
        </w:rPr>
        <w:t xml:space="preserve">Информация по заключенным и реализуемым государственным контрактам ГКУ АО «Дорожное агентство «Архангельскавтодор» (на основании </w:t>
      </w:r>
      <w:hyperlink r:id="rId99" w:history="1">
        <w:r w:rsidR="009C1C2B" w:rsidRPr="00A53AD7">
          <w:rPr>
            <w:rStyle w:val="afb"/>
            <w:rFonts w:ascii="Times New Roman" w:hAnsi="Times New Roman"/>
            <w:color w:val="auto"/>
            <w:sz w:val="28"/>
            <w:szCs w:val="28"/>
          </w:rPr>
          <w:t>http://zakupki.gov.ru</w:t>
        </w:r>
      </w:hyperlink>
      <w:r w:rsidRPr="00A53AD7">
        <w:rPr>
          <w:rFonts w:ascii="Times New Roman" w:hAnsi="Times New Roman"/>
          <w:sz w:val="28"/>
          <w:szCs w:val="28"/>
        </w:rPr>
        <w:t xml:space="preserve">) в 2019 году </w:t>
      </w:r>
      <w:r w:rsidR="00965053" w:rsidRPr="00A53AD7">
        <w:rPr>
          <w:rFonts w:ascii="Times New Roman" w:hAnsi="Times New Roman"/>
          <w:sz w:val="28"/>
          <w:szCs w:val="28"/>
        </w:rPr>
        <w:t>приведена в таблице:</w:t>
      </w:r>
    </w:p>
    <w:tbl>
      <w:tblPr>
        <w:tblW w:w="9375" w:type="dxa"/>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50"/>
        <w:gridCol w:w="851"/>
        <w:gridCol w:w="2410"/>
        <w:gridCol w:w="1559"/>
        <w:gridCol w:w="1417"/>
        <w:gridCol w:w="851"/>
        <w:gridCol w:w="1437"/>
      </w:tblGrid>
      <w:tr w:rsidR="00D470B6" w:rsidRPr="00A53AD7" w14:paraId="739998C6" w14:textId="77777777" w:rsidTr="009C1C2B">
        <w:trPr>
          <w:trHeight w:val="1110"/>
          <w:tblHeader/>
        </w:trPr>
        <w:tc>
          <w:tcPr>
            <w:tcW w:w="850" w:type="dxa"/>
            <w:shd w:val="clear" w:color="auto" w:fill="auto"/>
            <w:hideMark/>
          </w:tcPr>
          <w:p w14:paraId="1100E08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Контракт дата</w:t>
            </w:r>
          </w:p>
        </w:tc>
        <w:tc>
          <w:tcPr>
            <w:tcW w:w="851" w:type="dxa"/>
            <w:shd w:val="clear" w:color="auto" w:fill="auto"/>
            <w:hideMark/>
          </w:tcPr>
          <w:p w14:paraId="69B22A53"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Контракт номер</w:t>
            </w:r>
          </w:p>
        </w:tc>
        <w:tc>
          <w:tcPr>
            <w:tcW w:w="2410" w:type="dxa"/>
            <w:shd w:val="clear" w:color="auto" w:fill="auto"/>
            <w:hideMark/>
          </w:tcPr>
          <w:p w14:paraId="730EB473"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Предмет контракта</w:t>
            </w:r>
          </w:p>
        </w:tc>
        <w:tc>
          <w:tcPr>
            <w:tcW w:w="1559" w:type="dxa"/>
            <w:shd w:val="clear" w:color="auto" w:fill="auto"/>
            <w:hideMark/>
          </w:tcPr>
          <w:p w14:paraId="162D9B1D"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сумма закупки / исполнение, руб.</w:t>
            </w:r>
          </w:p>
        </w:tc>
        <w:tc>
          <w:tcPr>
            <w:tcW w:w="1417" w:type="dxa"/>
            <w:shd w:val="clear" w:color="auto" w:fill="auto"/>
            <w:hideMark/>
          </w:tcPr>
          <w:p w14:paraId="6EA45A69"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Информация о поставщиках (исполнителях, подрядчиках) по контракту</w:t>
            </w:r>
          </w:p>
        </w:tc>
        <w:tc>
          <w:tcPr>
            <w:tcW w:w="851" w:type="dxa"/>
            <w:shd w:val="clear" w:color="auto" w:fill="auto"/>
            <w:hideMark/>
          </w:tcPr>
          <w:p w14:paraId="322D54CC"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плановая дата исполнения контракта</w:t>
            </w:r>
          </w:p>
        </w:tc>
        <w:tc>
          <w:tcPr>
            <w:tcW w:w="1437" w:type="dxa"/>
          </w:tcPr>
          <w:p w14:paraId="101AEA4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p>
        </w:tc>
      </w:tr>
      <w:tr w:rsidR="00D470B6" w:rsidRPr="00A53AD7" w14:paraId="5E8C9EF6" w14:textId="77777777" w:rsidTr="009C1C2B">
        <w:trPr>
          <w:trHeight w:val="1146"/>
        </w:trPr>
        <w:tc>
          <w:tcPr>
            <w:tcW w:w="850" w:type="dxa"/>
            <w:shd w:val="clear" w:color="auto" w:fill="auto"/>
            <w:vAlign w:val="center"/>
            <w:hideMark/>
          </w:tcPr>
          <w:p w14:paraId="60CAF40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13.05.2019</w:t>
            </w:r>
          </w:p>
        </w:tc>
        <w:tc>
          <w:tcPr>
            <w:tcW w:w="851" w:type="dxa"/>
            <w:shd w:val="clear" w:color="auto" w:fill="auto"/>
            <w:vAlign w:val="center"/>
            <w:hideMark/>
          </w:tcPr>
          <w:p w14:paraId="64FFE8E9"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7р/2019</w:t>
            </w:r>
          </w:p>
        </w:tc>
        <w:tc>
          <w:tcPr>
            <w:tcW w:w="2410" w:type="dxa"/>
            <w:shd w:val="clear" w:color="auto" w:fill="auto"/>
            <w:hideMark/>
          </w:tcPr>
          <w:p w14:paraId="489719F8"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Карпогоры – Сосновка – Нюхча – граница с Республикой Коми на участке км 0+000 – км 5+700 в Пинежском районе Архангельской области</w:t>
            </w:r>
          </w:p>
        </w:tc>
        <w:tc>
          <w:tcPr>
            <w:tcW w:w="1559" w:type="dxa"/>
            <w:shd w:val="clear" w:color="auto" w:fill="auto"/>
            <w:vAlign w:val="center"/>
            <w:hideMark/>
          </w:tcPr>
          <w:p w14:paraId="67CC2B70"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87 681 426,00 / 87 681 426,00</w:t>
            </w:r>
          </w:p>
        </w:tc>
        <w:tc>
          <w:tcPr>
            <w:tcW w:w="1417" w:type="dxa"/>
            <w:shd w:val="clear" w:color="auto" w:fill="auto"/>
            <w:vAlign w:val="center"/>
            <w:hideMark/>
          </w:tcPr>
          <w:p w14:paraId="1EAB5A8E"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"ПЛЕСЕЦКОЕ ДУ"</w:t>
            </w:r>
          </w:p>
        </w:tc>
        <w:tc>
          <w:tcPr>
            <w:tcW w:w="851" w:type="dxa"/>
            <w:shd w:val="clear" w:color="auto" w:fill="auto"/>
            <w:vAlign w:val="center"/>
            <w:hideMark/>
          </w:tcPr>
          <w:p w14:paraId="2EBDBE85"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25.10.2019</w:t>
            </w:r>
          </w:p>
        </w:tc>
        <w:tc>
          <w:tcPr>
            <w:tcW w:w="1437" w:type="dxa"/>
          </w:tcPr>
          <w:p w14:paraId="4042D25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24.10.2019 акт приемки</w:t>
            </w:r>
          </w:p>
        </w:tc>
      </w:tr>
      <w:tr w:rsidR="00D470B6" w:rsidRPr="00A53AD7" w14:paraId="29D4E0FA" w14:textId="77777777" w:rsidTr="009C1C2B">
        <w:trPr>
          <w:trHeight w:val="1408"/>
        </w:trPr>
        <w:tc>
          <w:tcPr>
            <w:tcW w:w="850" w:type="dxa"/>
            <w:shd w:val="clear" w:color="000000" w:fill="EBF1DE"/>
            <w:vAlign w:val="center"/>
            <w:hideMark/>
          </w:tcPr>
          <w:p w14:paraId="4C340DBC"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20.05.2019</w:t>
            </w:r>
          </w:p>
        </w:tc>
        <w:tc>
          <w:tcPr>
            <w:tcW w:w="851" w:type="dxa"/>
            <w:shd w:val="clear" w:color="000000" w:fill="EBF1DE"/>
            <w:vAlign w:val="center"/>
            <w:hideMark/>
          </w:tcPr>
          <w:p w14:paraId="03FFD20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8р/2019</w:t>
            </w:r>
          </w:p>
        </w:tc>
        <w:tc>
          <w:tcPr>
            <w:tcW w:w="2410" w:type="dxa"/>
            <w:shd w:val="clear" w:color="000000" w:fill="EBF1DE"/>
            <w:hideMark/>
          </w:tcPr>
          <w:p w14:paraId="0828D2CD"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Вельск-Шангалы на участках км 5+420 – км 10+400, км 13+200 – км 14+800, км 17+600 – км 18+623, км 25+623 – км 34+380, км 36+600 – км 45+100 в Вельском районе Архангельской области</w:t>
            </w:r>
          </w:p>
        </w:tc>
        <w:tc>
          <w:tcPr>
            <w:tcW w:w="1559" w:type="dxa"/>
            <w:shd w:val="clear" w:color="000000" w:fill="EBF1DE"/>
            <w:vAlign w:val="center"/>
            <w:hideMark/>
          </w:tcPr>
          <w:p w14:paraId="212BB2CE"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431 950 420,00 /</w:t>
            </w:r>
          </w:p>
          <w:p w14:paraId="2477426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413 927 371,00</w:t>
            </w:r>
          </w:p>
        </w:tc>
        <w:tc>
          <w:tcPr>
            <w:tcW w:w="1417" w:type="dxa"/>
            <w:shd w:val="clear" w:color="000000" w:fill="EBF1DE"/>
            <w:vAlign w:val="center"/>
            <w:hideMark/>
          </w:tcPr>
          <w:p w14:paraId="0E3A7043"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ООО "Автодороги"</w:t>
            </w:r>
          </w:p>
        </w:tc>
        <w:tc>
          <w:tcPr>
            <w:tcW w:w="851" w:type="dxa"/>
            <w:shd w:val="clear" w:color="000000" w:fill="EBF1DE"/>
            <w:vAlign w:val="center"/>
            <w:hideMark/>
          </w:tcPr>
          <w:p w14:paraId="72F178D4"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25.11.2019</w:t>
            </w:r>
          </w:p>
        </w:tc>
        <w:tc>
          <w:tcPr>
            <w:tcW w:w="1437" w:type="dxa"/>
            <w:shd w:val="clear" w:color="000000" w:fill="EBF1DE"/>
          </w:tcPr>
          <w:p w14:paraId="34B5499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29.11.2019 акт приемки комиссии (расторжение контракта с 02.12.2019)</w:t>
            </w:r>
          </w:p>
        </w:tc>
      </w:tr>
      <w:tr w:rsidR="00D470B6" w:rsidRPr="00A53AD7" w14:paraId="7B299453" w14:textId="77777777" w:rsidTr="009C1C2B">
        <w:trPr>
          <w:trHeight w:val="918"/>
        </w:trPr>
        <w:tc>
          <w:tcPr>
            <w:tcW w:w="850" w:type="dxa"/>
            <w:shd w:val="clear" w:color="auto" w:fill="auto"/>
            <w:vAlign w:val="center"/>
            <w:hideMark/>
          </w:tcPr>
          <w:p w14:paraId="11E0227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13.05.2019</w:t>
            </w:r>
          </w:p>
        </w:tc>
        <w:tc>
          <w:tcPr>
            <w:tcW w:w="851" w:type="dxa"/>
            <w:shd w:val="clear" w:color="auto" w:fill="auto"/>
            <w:vAlign w:val="center"/>
            <w:hideMark/>
          </w:tcPr>
          <w:p w14:paraId="5E96D6F1"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6р/2019</w:t>
            </w:r>
          </w:p>
        </w:tc>
        <w:tc>
          <w:tcPr>
            <w:tcW w:w="2410" w:type="dxa"/>
            <w:shd w:val="clear" w:color="auto" w:fill="auto"/>
            <w:hideMark/>
          </w:tcPr>
          <w:p w14:paraId="5BC0BFBB"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Карпогоры – Веегора – Лешуконское на участке км 0+000 – км 4+418 в Пинежском районе Архангельской области</w:t>
            </w:r>
          </w:p>
        </w:tc>
        <w:tc>
          <w:tcPr>
            <w:tcW w:w="1559" w:type="dxa"/>
            <w:shd w:val="clear" w:color="auto" w:fill="auto"/>
            <w:vAlign w:val="center"/>
            <w:hideMark/>
          </w:tcPr>
          <w:p w14:paraId="0C883D28"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69 874 420,00 /</w:t>
            </w:r>
          </w:p>
          <w:p w14:paraId="619EE14D"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69 874 420,00</w:t>
            </w:r>
          </w:p>
        </w:tc>
        <w:tc>
          <w:tcPr>
            <w:tcW w:w="1417" w:type="dxa"/>
            <w:shd w:val="clear" w:color="auto" w:fill="auto"/>
            <w:vAlign w:val="center"/>
            <w:hideMark/>
          </w:tcPr>
          <w:p w14:paraId="27362289"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"ПЛЕСЕЦКОЕ ДУ"</w:t>
            </w:r>
          </w:p>
        </w:tc>
        <w:tc>
          <w:tcPr>
            <w:tcW w:w="851" w:type="dxa"/>
            <w:shd w:val="clear" w:color="auto" w:fill="auto"/>
            <w:vAlign w:val="center"/>
            <w:hideMark/>
          </w:tcPr>
          <w:p w14:paraId="62D7BA4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15.10.2019</w:t>
            </w:r>
          </w:p>
        </w:tc>
        <w:tc>
          <w:tcPr>
            <w:tcW w:w="1437" w:type="dxa"/>
          </w:tcPr>
          <w:p w14:paraId="091163AD"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24.10.2019 акт приемки комиссии</w:t>
            </w:r>
          </w:p>
        </w:tc>
      </w:tr>
      <w:tr w:rsidR="00D470B6" w:rsidRPr="00A53AD7" w14:paraId="1A52083B" w14:textId="77777777" w:rsidTr="009C1C2B">
        <w:trPr>
          <w:trHeight w:val="1128"/>
        </w:trPr>
        <w:tc>
          <w:tcPr>
            <w:tcW w:w="850" w:type="dxa"/>
            <w:shd w:val="clear" w:color="000000" w:fill="EBF1DE"/>
            <w:vAlign w:val="center"/>
            <w:hideMark/>
          </w:tcPr>
          <w:p w14:paraId="0921189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22.03.2019</w:t>
            </w:r>
          </w:p>
        </w:tc>
        <w:tc>
          <w:tcPr>
            <w:tcW w:w="851" w:type="dxa"/>
            <w:shd w:val="clear" w:color="000000" w:fill="EBF1DE"/>
            <w:vAlign w:val="center"/>
            <w:hideMark/>
          </w:tcPr>
          <w:p w14:paraId="55B83FD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1р/2019</w:t>
            </w:r>
          </w:p>
        </w:tc>
        <w:tc>
          <w:tcPr>
            <w:tcW w:w="2410" w:type="dxa"/>
            <w:shd w:val="clear" w:color="000000" w:fill="EBF1DE"/>
            <w:hideMark/>
          </w:tcPr>
          <w:p w14:paraId="18766B7C"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Усть-Вага – Ядриха на участках км 152+000 – 166+000, км 166+000 – 174+000 в Верхнетоемском районе Архангельской области</w:t>
            </w:r>
          </w:p>
        </w:tc>
        <w:tc>
          <w:tcPr>
            <w:tcW w:w="1559" w:type="dxa"/>
            <w:shd w:val="clear" w:color="000000" w:fill="EBF1DE"/>
            <w:vAlign w:val="center"/>
            <w:hideMark/>
          </w:tcPr>
          <w:p w14:paraId="12062CFF"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288 663 106,00/</w:t>
            </w:r>
          </w:p>
          <w:p w14:paraId="11F8E7E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288 663 106,00 </w:t>
            </w:r>
          </w:p>
        </w:tc>
        <w:tc>
          <w:tcPr>
            <w:tcW w:w="1417" w:type="dxa"/>
            <w:shd w:val="clear" w:color="000000" w:fill="EBF1DE"/>
            <w:vAlign w:val="center"/>
            <w:hideMark/>
          </w:tcPr>
          <w:p w14:paraId="14E5B51B"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ООО "Автодороги"</w:t>
            </w:r>
          </w:p>
        </w:tc>
        <w:tc>
          <w:tcPr>
            <w:tcW w:w="851" w:type="dxa"/>
            <w:shd w:val="clear" w:color="000000" w:fill="EBF1DE"/>
            <w:vAlign w:val="center"/>
            <w:hideMark/>
          </w:tcPr>
          <w:p w14:paraId="4B619005"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25.11.2019</w:t>
            </w:r>
          </w:p>
        </w:tc>
        <w:tc>
          <w:tcPr>
            <w:tcW w:w="1437" w:type="dxa"/>
            <w:shd w:val="clear" w:color="000000" w:fill="EBF1DE"/>
          </w:tcPr>
          <w:p w14:paraId="78DEE708"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13.12.2019 акт приемки комиссии</w:t>
            </w:r>
          </w:p>
        </w:tc>
      </w:tr>
      <w:tr w:rsidR="00D470B6" w:rsidRPr="00A53AD7" w14:paraId="6CD07F00" w14:textId="77777777" w:rsidTr="009C1C2B">
        <w:trPr>
          <w:trHeight w:val="416"/>
        </w:trPr>
        <w:tc>
          <w:tcPr>
            <w:tcW w:w="850" w:type="dxa"/>
            <w:shd w:val="clear" w:color="auto" w:fill="auto"/>
            <w:vAlign w:val="center"/>
            <w:hideMark/>
          </w:tcPr>
          <w:p w14:paraId="5B1EF4A7"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13.05.2019</w:t>
            </w:r>
          </w:p>
        </w:tc>
        <w:tc>
          <w:tcPr>
            <w:tcW w:w="851" w:type="dxa"/>
            <w:shd w:val="clear" w:color="auto" w:fill="auto"/>
            <w:vAlign w:val="center"/>
            <w:hideMark/>
          </w:tcPr>
          <w:p w14:paraId="4D9CA0D4"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5р/2019</w:t>
            </w:r>
          </w:p>
        </w:tc>
        <w:tc>
          <w:tcPr>
            <w:tcW w:w="2410" w:type="dxa"/>
            <w:shd w:val="clear" w:color="auto" w:fill="auto"/>
            <w:hideMark/>
          </w:tcPr>
          <w:p w14:paraId="0CD2D004"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Подъезд к ж/д станции «Карпогоры-пассажирская» от автомобильной дороги Карпогоры – Веегора – Лешуконское на участке км 0+000 – км 3+623 в Пинежском районе Архангельской области</w:t>
            </w:r>
          </w:p>
        </w:tc>
        <w:tc>
          <w:tcPr>
            <w:tcW w:w="1559" w:type="dxa"/>
            <w:shd w:val="clear" w:color="auto" w:fill="auto"/>
            <w:vAlign w:val="center"/>
            <w:hideMark/>
          </w:tcPr>
          <w:p w14:paraId="0E82EB9E"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56 704 855,00 / </w:t>
            </w:r>
          </w:p>
          <w:p w14:paraId="4F95CEC9"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56 704 855,00</w:t>
            </w:r>
          </w:p>
        </w:tc>
        <w:tc>
          <w:tcPr>
            <w:tcW w:w="1417" w:type="dxa"/>
            <w:shd w:val="clear" w:color="auto" w:fill="auto"/>
            <w:vAlign w:val="center"/>
            <w:hideMark/>
          </w:tcPr>
          <w:p w14:paraId="412ACC50"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"ПЛЕСЕЦКОЕ ДУ"</w:t>
            </w:r>
          </w:p>
        </w:tc>
        <w:tc>
          <w:tcPr>
            <w:tcW w:w="851" w:type="dxa"/>
            <w:shd w:val="clear" w:color="auto" w:fill="auto"/>
            <w:vAlign w:val="center"/>
            <w:hideMark/>
          </w:tcPr>
          <w:p w14:paraId="21ECE3FE"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25.09.2019</w:t>
            </w:r>
          </w:p>
        </w:tc>
        <w:tc>
          <w:tcPr>
            <w:tcW w:w="1437" w:type="dxa"/>
          </w:tcPr>
          <w:p w14:paraId="17F35354"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04.10.2019 акт приемки комиссии</w:t>
            </w:r>
          </w:p>
        </w:tc>
      </w:tr>
      <w:tr w:rsidR="00D470B6" w:rsidRPr="00A53AD7" w14:paraId="3D11A6F7" w14:textId="77777777" w:rsidTr="009C1C2B">
        <w:trPr>
          <w:trHeight w:val="924"/>
        </w:trPr>
        <w:tc>
          <w:tcPr>
            <w:tcW w:w="850" w:type="dxa"/>
            <w:shd w:val="clear" w:color="auto" w:fill="auto"/>
            <w:vAlign w:val="center"/>
            <w:hideMark/>
          </w:tcPr>
          <w:p w14:paraId="79DA23EE"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02.04.2019</w:t>
            </w:r>
          </w:p>
        </w:tc>
        <w:tc>
          <w:tcPr>
            <w:tcW w:w="851" w:type="dxa"/>
            <w:shd w:val="clear" w:color="auto" w:fill="auto"/>
            <w:vAlign w:val="center"/>
            <w:hideMark/>
          </w:tcPr>
          <w:p w14:paraId="40A15659"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2р/2019</w:t>
            </w:r>
          </w:p>
        </w:tc>
        <w:tc>
          <w:tcPr>
            <w:tcW w:w="2410" w:type="dxa"/>
            <w:shd w:val="clear" w:color="auto" w:fill="auto"/>
            <w:hideMark/>
          </w:tcPr>
          <w:p w14:paraId="087A7BF6"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Сия – Кулига на участке км 1+995 – км 9+626 в Холмогорском районе Архангельской области</w:t>
            </w:r>
          </w:p>
        </w:tc>
        <w:tc>
          <w:tcPr>
            <w:tcW w:w="1559" w:type="dxa"/>
            <w:shd w:val="clear" w:color="auto" w:fill="auto"/>
            <w:vAlign w:val="center"/>
            <w:hideMark/>
          </w:tcPr>
          <w:p w14:paraId="5DF247DC"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77 733 300,00 / </w:t>
            </w:r>
          </w:p>
          <w:p w14:paraId="32BBA54E"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77 733 300,00</w:t>
            </w:r>
          </w:p>
        </w:tc>
        <w:tc>
          <w:tcPr>
            <w:tcW w:w="1417" w:type="dxa"/>
            <w:shd w:val="clear" w:color="auto" w:fill="auto"/>
            <w:vAlign w:val="center"/>
            <w:hideMark/>
          </w:tcPr>
          <w:p w14:paraId="63C167C4"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ООО "Автодороги"</w:t>
            </w:r>
          </w:p>
        </w:tc>
        <w:tc>
          <w:tcPr>
            <w:tcW w:w="851" w:type="dxa"/>
            <w:shd w:val="clear" w:color="auto" w:fill="auto"/>
            <w:vAlign w:val="center"/>
            <w:hideMark/>
          </w:tcPr>
          <w:p w14:paraId="0DB6C085"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25.09.2019</w:t>
            </w:r>
          </w:p>
        </w:tc>
        <w:tc>
          <w:tcPr>
            <w:tcW w:w="1437" w:type="dxa"/>
          </w:tcPr>
          <w:p w14:paraId="37045A8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30.09.2019</w:t>
            </w:r>
            <w:r w:rsidRPr="00A53AD7">
              <w:t xml:space="preserve"> </w:t>
            </w:r>
            <w:r w:rsidRPr="00A53AD7">
              <w:rPr>
                <w:rFonts w:ascii="Times New Roman" w:eastAsia="Times New Roman" w:hAnsi="Times New Roman"/>
                <w:sz w:val="16"/>
                <w:szCs w:val="16"/>
                <w:lang w:eastAsia="ru-RU"/>
              </w:rPr>
              <w:t>акт приемки комиссии</w:t>
            </w:r>
          </w:p>
        </w:tc>
      </w:tr>
      <w:tr w:rsidR="00D470B6" w:rsidRPr="00A53AD7" w14:paraId="6FF735DF" w14:textId="77777777" w:rsidTr="009C1C2B">
        <w:trPr>
          <w:trHeight w:val="827"/>
        </w:trPr>
        <w:tc>
          <w:tcPr>
            <w:tcW w:w="850" w:type="dxa"/>
            <w:shd w:val="clear" w:color="auto" w:fill="auto"/>
            <w:vAlign w:val="center"/>
            <w:hideMark/>
          </w:tcPr>
          <w:p w14:paraId="341058E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04.04.2018</w:t>
            </w:r>
          </w:p>
        </w:tc>
        <w:tc>
          <w:tcPr>
            <w:tcW w:w="851" w:type="dxa"/>
            <w:shd w:val="clear" w:color="auto" w:fill="auto"/>
            <w:vAlign w:val="center"/>
            <w:hideMark/>
          </w:tcPr>
          <w:p w14:paraId="722F37A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1/18-рек</w:t>
            </w:r>
          </w:p>
        </w:tc>
        <w:tc>
          <w:tcPr>
            <w:tcW w:w="2410" w:type="dxa"/>
            <w:shd w:val="clear" w:color="auto" w:fill="auto"/>
            <w:hideMark/>
          </w:tcPr>
          <w:p w14:paraId="18763804"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Реконструкция автомобильной дороги Усть-Ваеньга-Осиново-Фалюки (до дер. Задориха) на участке км 43+500 – км 63+000 (1 пусковой комплекс) </w:t>
            </w:r>
          </w:p>
        </w:tc>
        <w:tc>
          <w:tcPr>
            <w:tcW w:w="1559" w:type="dxa"/>
            <w:shd w:val="clear" w:color="auto" w:fill="auto"/>
            <w:vAlign w:val="center"/>
            <w:hideMark/>
          </w:tcPr>
          <w:p w14:paraId="0A4FB62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207 669 174,69 / 96 966 977,16 (исполнение в 2019 году)</w:t>
            </w:r>
          </w:p>
        </w:tc>
        <w:tc>
          <w:tcPr>
            <w:tcW w:w="1417" w:type="dxa"/>
            <w:shd w:val="clear" w:color="auto" w:fill="auto"/>
            <w:vAlign w:val="center"/>
            <w:hideMark/>
          </w:tcPr>
          <w:p w14:paraId="2F0C3264"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ООО "СЕВЗАПДОРСТРОЙ"</w:t>
            </w:r>
          </w:p>
        </w:tc>
        <w:tc>
          <w:tcPr>
            <w:tcW w:w="851" w:type="dxa"/>
            <w:shd w:val="clear" w:color="auto" w:fill="auto"/>
            <w:vAlign w:val="center"/>
            <w:hideMark/>
          </w:tcPr>
          <w:p w14:paraId="01F5E499"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31.10.2019</w:t>
            </w:r>
          </w:p>
        </w:tc>
        <w:tc>
          <w:tcPr>
            <w:tcW w:w="1437" w:type="dxa"/>
          </w:tcPr>
          <w:p w14:paraId="514F72E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20.11.2019 акт приемки комиссии</w:t>
            </w:r>
          </w:p>
        </w:tc>
      </w:tr>
      <w:tr w:rsidR="00D470B6" w:rsidRPr="00A53AD7" w14:paraId="68FA76D2" w14:textId="77777777" w:rsidTr="009C1C2B">
        <w:trPr>
          <w:trHeight w:val="994"/>
        </w:trPr>
        <w:tc>
          <w:tcPr>
            <w:tcW w:w="850" w:type="dxa"/>
            <w:shd w:val="clear" w:color="000000" w:fill="EBF1DE"/>
            <w:vAlign w:val="center"/>
            <w:hideMark/>
          </w:tcPr>
          <w:p w14:paraId="53589F6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13.05.2019</w:t>
            </w:r>
          </w:p>
        </w:tc>
        <w:tc>
          <w:tcPr>
            <w:tcW w:w="851" w:type="dxa"/>
            <w:shd w:val="clear" w:color="000000" w:fill="EBF1DE"/>
            <w:vAlign w:val="center"/>
            <w:hideMark/>
          </w:tcPr>
          <w:p w14:paraId="09E75FA0"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4р/2019</w:t>
            </w:r>
          </w:p>
        </w:tc>
        <w:tc>
          <w:tcPr>
            <w:tcW w:w="2410" w:type="dxa"/>
            <w:shd w:val="clear" w:color="000000" w:fill="EBF1DE"/>
            <w:hideMark/>
          </w:tcPr>
          <w:p w14:paraId="0C4C3B9E"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Ремонт автомобильной дороги Костылево – Тарногский Городок на участках км 26+600 – км 29+200, км 30+000 – км 34+452 в Устьянском районе Архангельской области</w:t>
            </w:r>
          </w:p>
        </w:tc>
        <w:tc>
          <w:tcPr>
            <w:tcW w:w="1559" w:type="dxa"/>
            <w:shd w:val="clear" w:color="000000" w:fill="EBF1DE"/>
            <w:vAlign w:val="center"/>
            <w:hideMark/>
          </w:tcPr>
          <w:p w14:paraId="6397E29B"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116 639 119,00 / 116 639 119,00</w:t>
            </w:r>
          </w:p>
        </w:tc>
        <w:tc>
          <w:tcPr>
            <w:tcW w:w="1417" w:type="dxa"/>
            <w:shd w:val="clear" w:color="000000" w:fill="EBF1DE"/>
            <w:vAlign w:val="center"/>
            <w:hideMark/>
          </w:tcPr>
          <w:p w14:paraId="54DD35B7"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"ПЛЕСЕЦКОЕ ДУ"</w:t>
            </w:r>
          </w:p>
        </w:tc>
        <w:tc>
          <w:tcPr>
            <w:tcW w:w="851" w:type="dxa"/>
            <w:shd w:val="clear" w:color="000000" w:fill="EBF1DE"/>
            <w:vAlign w:val="center"/>
            <w:hideMark/>
          </w:tcPr>
          <w:p w14:paraId="45628C6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25.10.2019</w:t>
            </w:r>
          </w:p>
        </w:tc>
        <w:tc>
          <w:tcPr>
            <w:tcW w:w="1437" w:type="dxa"/>
            <w:shd w:val="clear" w:color="000000" w:fill="EBF1DE"/>
          </w:tcPr>
          <w:p w14:paraId="70B19DA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04.09.2019</w:t>
            </w:r>
            <w:r w:rsidRPr="00A53AD7">
              <w:t xml:space="preserve"> </w:t>
            </w:r>
            <w:r w:rsidRPr="00A53AD7">
              <w:rPr>
                <w:rFonts w:ascii="Times New Roman" w:eastAsia="Times New Roman" w:hAnsi="Times New Roman"/>
                <w:sz w:val="16"/>
                <w:szCs w:val="16"/>
                <w:lang w:eastAsia="ru-RU"/>
              </w:rPr>
              <w:t>акт приемки комиссии</w:t>
            </w:r>
          </w:p>
        </w:tc>
      </w:tr>
      <w:tr w:rsidR="00D470B6" w:rsidRPr="00A53AD7" w14:paraId="5C51B383" w14:textId="77777777" w:rsidTr="009C1C2B">
        <w:trPr>
          <w:trHeight w:val="1265"/>
        </w:trPr>
        <w:tc>
          <w:tcPr>
            <w:tcW w:w="850" w:type="dxa"/>
            <w:shd w:val="clear" w:color="000000" w:fill="EBF1DE"/>
            <w:vAlign w:val="center"/>
            <w:hideMark/>
          </w:tcPr>
          <w:p w14:paraId="7032DB9A"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20.05.2019</w:t>
            </w:r>
          </w:p>
        </w:tc>
        <w:tc>
          <w:tcPr>
            <w:tcW w:w="851" w:type="dxa"/>
            <w:shd w:val="clear" w:color="000000" w:fill="EBF1DE"/>
            <w:vAlign w:val="center"/>
            <w:hideMark/>
          </w:tcPr>
          <w:p w14:paraId="6A1FA37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01-КЖЦ</w:t>
            </w:r>
          </w:p>
        </w:tc>
        <w:tc>
          <w:tcPr>
            <w:tcW w:w="2410" w:type="dxa"/>
            <w:shd w:val="clear" w:color="000000" w:fill="EBF1DE"/>
            <w:hideMark/>
          </w:tcPr>
          <w:p w14:paraId="5ACE3A08"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Выполнение работ по ремонту и оказание услуг по содержанию автомобильной дороги Усть-Вага – Ядриха на участке км 269+960 – км 285+000 в Котласском районе Архангельской области</w:t>
            </w:r>
          </w:p>
        </w:tc>
        <w:tc>
          <w:tcPr>
            <w:tcW w:w="1559" w:type="dxa"/>
            <w:shd w:val="clear" w:color="000000" w:fill="EBF1DE"/>
            <w:noWrap/>
            <w:vAlign w:val="center"/>
            <w:hideMark/>
          </w:tcPr>
          <w:p w14:paraId="34953B25"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277 238 192,00, в том числе на 2019 год – 256 718 094,0</w:t>
            </w:r>
          </w:p>
          <w:p w14:paraId="5C0AC60B"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 </w:t>
            </w:r>
          </w:p>
          <w:p w14:paraId="245C7867"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256 444 308,00 (исполнение в 2019 году)</w:t>
            </w:r>
          </w:p>
        </w:tc>
        <w:tc>
          <w:tcPr>
            <w:tcW w:w="1417" w:type="dxa"/>
            <w:shd w:val="clear" w:color="000000" w:fill="EBF1DE"/>
            <w:vAlign w:val="center"/>
            <w:hideMark/>
          </w:tcPr>
          <w:p w14:paraId="0A83CA2F"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"КОТЛАССКОЕ ДРСУ"</w:t>
            </w:r>
          </w:p>
        </w:tc>
        <w:tc>
          <w:tcPr>
            <w:tcW w:w="851" w:type="dxa"/>
            <w:shd w:val="clear" w:color="000000" w:fill="EBF1DE"/>
            <w:noWrap/>
            <w:vAlign w:val="center"/>
            <w:hideMark/>
          </w:tcPr>
          <w:p w14:paraId="7CF01A7A" w14:textId="77777777" w:rsidR="009C1C2B" w:rsidRPr="00A53AD7" w:rsidRDefault="009C1C2B" w:rsidP="009C1C2B">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01.07.2024</w:t>
            </w:r>
          </w:p>
        </w:tc>
        <w:tc>
          <w:tcPr>
            <w:tcW w:w="1437" w:type="dxa"/>
            <w:shd w:val="clear" w:color="000000" w:fill="EBF1DE"/>
          </w:tcPr>
          <w:p w14:paraId="2234BD5F"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p>
        </w:tc>
      </w:tr>
      <w:tr w:rsidR="00D470B6" w:rsidRPr="00A53AD7" w14:paraId="705C0081" w14:textId="77777777" w:rsidTr="009C1C2B">
        <w:trPr>
          <w:trHeight w:val="1112"/>
        </w:trPr>
        <w:tc>
          <w:tcPr>
            <w:tcW w:w="850" w:type="dxa"/>
            <w:shd w:val="clear" w:color="000000" w:fill="EBF1DE"/>
            <w:vAlign w:val="center"/>
            <w:hideMark/>
          </w:tcPr>
          <w:p w14:paraId="22F9E1D1"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30.03.2018</w:t>
            </w:r>
          </w:p>
        </w:tc>
        <w:tc>
          <w:tcPr>
            <w:tcW w:w="851" w:type="dxa"/>
            <w:shd w:val="clear" w:color="000000" w:fill="EBF1DE"/>
            <w:vAlign w:val="center"/>
            <w:hideMark/>
          </w:tcPr>
          <w:p w14:paraId="6758C85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10кр/2018</w:t>
            </w:r>
          </w:p>
        </w:tc>
        <w:tc>
          <w:tcPr>
            <w:tcW w:w="2410" w:type="dxa"/>
            <w:shd w:val="clear" w:color="000000" w:fill="EBF1DE"/>
            <w:hideMark/>
          </w:tcPr>
          <w:p w14:paraId="5409D0DF"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Капитальный ремонт автомобильной дороги Усть-Вага – Ядриха на участке км 237+000 – км 248+000 в Красноборском районе Архангельской области</w:t>
            </w:r>
          </w:p>
        </w:tc>
        <w:tc>
          <w:tcPr>
            <w:tcW w:w="1559" w:type="dxa"/>
            <w:shd w:val="clear" w:color="000000" w:fill="EBF1DE"/>
            <w:vAlign w:val="center"/>
            <w:hideMark/>
          </w:tcPr>
          <w:p w14:paraId="179EE81C"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393 910 390,00/ 168 550 390,00 (исполнение в 2019 году)</w:t>
            </w:r>
          </w:p>
        </w:tc>
        <w:tc>
          <w:tcPr>
            <w:tcW w:w="1417" w:type="dxa"/>
            <w:shd w:val="clear" w:color="000000" w:fill="EBF1DE"/>
            <w:vAlign w:val="center"/>
            <w:hideMark/>
          </w:tcPr>
          <w:p w14:paraId="463B3FA1"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АО "КОТЛАССКОЕ ДРСУ"</w:t>
            </w:r>
          </w:p>
        </w:tc>
        <w:tc>
          <w:tcPr>
            <w:tcW w:w="851" w:type="dxa"/>
            <w:shd w:val="clear" w:color="000000" w:fill="EBF1DE"/>
            <w:noWrap/>
            <w:vAlign w:val="center"/>
            <w:hideMark/>
          </w:tcPr>
          <w:p w14:paraId="6A04EBF0"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25.10.2019</w:t>
            </w:r>
          </w:p>
        </w:tc>
        <w:tc>
          <w:tcPr>
            <w:tcW w:w="1437" w:type="dxa"/>
            <w:shd w:val="clear" w:color="000000" w:fill="EBF1DE"/>
          </w:tcPr>
          <w:p w14:paraId="59DC37F8"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03.10.2019 акт приемки комиссии</w:t>
            </w:r>
          </w:p>
        </w:tc>
      </w:tr>
      <w:tr w:rsidR="009C1C2B" w:rsidRPr="00A53AD7" w14:paraId="0A0EF131" w14:textId="77777777" w:rsidTr="009C1C2B">
        <w:trPr>
          <w:trHeight w:val="300"/>
        </w:trPr>
        <w:tc>
          <w:tcPr>
            <w:tcW w:w="850" w:type="dxa"/>
            <w:shd w:val="clear" w:color="auto" w:fill="auto"/>
            <w:noWrap/>
            <w:vAlign w:val="bottom"/>
            <w:hideMark/>
          </w:tcPr>
          <w:p w14:paraId="645DD94E"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851" w:type="dxa"/>
            <w:shd w:val="clear" w:color="auto" w:fill="auto"/>
            <w:noWrap/>
            <w:vAlign w:val="bottom"/>
            <w:hideMark/>
          </w:tcPr>
          <w:p w14:paraId="7F666265"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2410" w:type="dxa"/>
            <w:shd w:val="clear" w:color="auto" w:fill="auto"/>
            <w:noWrap/>
            <w:vAlign w:val="bottom"/>
            <w:hideMark/>
          </w:tcPr>
          <w:p w14:paraId="15D9AD76"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ИТОГО</w:t>
            </w:r>
          </w:p>
        </w:tc>
        <w:tc>
          <w:tcPr>
            <w:tcW w:w="1559" w:type="dxa"/>
            <w:shd w:val="clear" w:color="auto" w:fill="auto"/>
            <w:noWrap/>
            <w:vAlign w:val="center"/>
            <w:hideMark/>
          </w:tcPr>
          <w:p w14:paraId="5AE04994"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2 011 841 199,69 / </w:t>
            </w:r>
          </w:p>
          <w:p w14:paraId="69739811"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1 633 185 272,16</w:t>
            </w:r>
          </w:p>
          <w:p w14:paraId="129DB432" w14:textId="77777777" w:rsidR="009C1C2B" w:rsidRPr="00A53AD7" w:rsidRDefault="009C1C2B" w:rsidP="009C1C2B">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(исполнение в 2019 году)</w:t>
            </w:r>
          </w:p>
        </w:tc>
        <w:tc>
          <w:tcPr>
            <w:tcW w:w="1417" w:type="dxa"/>
            <w:shd w:val="clear" w:color="auto" w:fill="auto"/>
            <w:noWrap/>
            <w:vAlign w:val="bottom"/>
            <w:hideMark/>
          </w:tcPr>
          <w:p w14:paraId="4716AAD8"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851" w:type="dxa"/>
            <w:shd w:val="clear" w:color="auto" w:fill="auto"/>
            <w:noWrap/>
            <w:vAlign w:val="bottom"/>
            <w:hideMark/>
          </w:tcPr>
          <w:p w14:paraId="4BA501A6" w14:textId="77777777" w:rsidR="009C1C2B" w:rsidRPr="00A53AD7" w:rsidRDefault="009C1C2B" w:rsidP="009C1C2B">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w:t>
            </w:r>
          </w:p>
        </w:tc>
        <w:tc>
          <w:tcPr>
            <w:tcW w:w="1437" w:type="dxa"/>
          </w:tcPr>
          <w:p w14:paraId="143D2DB3" w14:textId="77777777" w:rsidR="009C1C2B" w:rsidRPr="00A53AD7" w:rsidRDefault="009C1C2B" w:rsidP="009C1C2B">
            <w:pPr>
              <w:spacing w:after="0" w:line="240" w:lineRule="auto"/>
              <w:rPr>
                <w:rFonts w:ascii="Times New Roman" w:eastAsia="Times New Roman" w:hAnsi="Times New Roman"/>
                <w:sz w:val="16"/>
                <w:szCs w:val="16"/>
                <w:lang w:eastAsia="ru-RU"/>
              </w:rPr>
            </w:pPr>
          </w:p>
        </w:tc>
      </w:tr>
    </w:tbl>
    <w:p w14:paraId="7A478B03" w14:textId="77777777" w:rsidR="00ED1151" w:rsidRPr="00A53AD7" w:rsidRDefault="00ED1151" w:rsidP="009C1C2B">
      <w:pPr>
        <w:spacing w:after="0" w:line="240" w:lineRule="auto"/>
        <w:ind w:firstLine="851"/>
        <w:jc w:val="both"/>
        <w:rPr>
          <w:rFonts w:ascii="Times New Roman" w:hAnsi="Times New Roman"/>
          <w:sz w:val="28"/>
          <w:szCs w:val="28"/>
        </w:rPr>
      </w:pPr>
    </w:p>
    <w:p w14:paraId="25ACE45C" w14:textId="77777777"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РП на 01.01.2020 по первому показателю (1.2) за отчетный период из 8 заключенных государственных контрактов - 1 контракт на принципах жизненного цикла.</w:t>
      </w:r>
    </w:p>
    <w:p w14:paraId="74C1510B" w14:textId="5A685137"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Контракт на принципах жизненного цикла (далее - КПЖЦ) – контракт на осуществление дорожной деятельности, предусматривающий проведение различных видов дорожных работ и имеющий срок действия свыше 3 лет (в соответствии с п. 6.2 паспорта НП «БКАД»), заключаемый в 2019 году.</w:t>
      </w:r>
    </w:p>
    <w:p w14:paraId="707DB33D" w14:textId="2704C9A5"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КПЖЦ заключен ГКУ Архангельской области «Дорожное агентство «Архангельскавтодор» с АО «Котласское ДРСУ» № 01-КЖЦ от 20.05.2019 на «Выполнение работ по ремонту и оказание услуг по содержанию (далее – работы и/или услуги) автомобильной дороги Усть-Вага – Ядриха на участке км 269+960 – км 285+000 в Котласском районе Архангельской области» и действует по 30 июля 2024 года, на сумму 277 238 192,0 руб., в том числе</w:t>
      </w:r>
      <w:r w:rsidR="009C1C2B" w:rsidRPr="00A53AD7">
        <w:rPr>
          <w:rFonts w:ascii="Times New Roman" w:hAnsi="Times New Roman"/>
          <w:sz w:val="28"/>
          <w:szCs w:val="28"/>
        </w:rPr>
        <w:t xml:space="preserve"> </w:t>
      </w:r>
      <w:r w:rsidRPr="00A53AD7">
        <w:rPr>
          <w:rFonts w:ascii="Times New Roman" w:hAnsi="Times New Roman"/>
          <w:sz w:val="28"/>
          <w:szCs w:val="28"/>
        </w:rPr>
        <w:t>за счет средств федерального бюджета в сумме 255 863 524,00 руб. и за счет средств областного бюджета сумма 21 374 668,00 руб. на оказание услуг по содержанию: 2019 год - 854 570,0 руб.</w:t>
      </w:r>
    </w:p>
    <w:p w14:paraId="21522080" w14:textId="28AE1D2C"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Сумма кассовых выплат по указанному контракту за отчетный период составила 256 444 308,00 руб. или 99,9%.</w:t>
      </w:r>
    </w:p>
    <w:p w14:paraId="66B5935B" w14:textId="20D39081" w:rsidR="00ED1151" w:rsidRPr="00A53AD7" w:rsidRDefault="009C1C2B"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ED1151" w:rsidRPr="00A53AD7">
        <w:rPr>
          <w:rFonts w:ascii="Times New Roman" w:hAnsi="Times New Roman"/>
          <w:sz w:val="28"/>
          <w:szCs w:val="28"/>
        </w:rPr>
        <w:t>ледует отметить, что финансовые ресурсы в сумме 1 63</w:t>
      </w:r>
      <w:r w:rsidR="00E6143A" w:rsidRPr="00A53AD7">
        <w:rPr>
          <w:rFonts w:ascii="Times New Roman" w:hAnsi="Times New Roman"/>
          <w:sz w:val="28"/>
          <w:szCs w:val="28"/>
        </w:rPr>
        <w:t>3,2 млн.</w:t>
      </w:r>
      <w:r w:rsidR="00ED1151" w:rsidRPr="00A53AD7">
        <w:rPr>
          <w:rFonts w:ascii="Times New Roman" w:hAnsi="Times New Roman"/>
          <w:sz w:val="28"/>
          <w:szCs w:val="28"/>
        </w:rPr>
        <w:t>руб. (оплата выполненных работ по 10 контрактам за 2019 год) не включены в объем финансового обеспечения реализации регионального проекта на 2019 год.</w:t>
      </w:r>
    </w:p>
    <w:p w14:paraId="46A322CC" w14:textId="29264C96" w:rsidR="00ED1151" w:rsidRPr="00A53AD7" w:rsidRDefault="00ED1151" w:rsidP="009C1C2B">
      <w:pPr>
        <w:spacing w:after="0" w:line="240" w:lineRule="auto"/>
        <w:ind w:firstLine="851"/>
        <w:jc w:val="both"/>
        <w:rPr>
          <w:rFonts w:ascii="Times New Roman" w:eastAsia="Arial" w:hAnsi="Times New Roman"/>
          <w:bCs/>
          <w:sz w:val="28"/>
          <w:szCs w:val="28"/>
          <w:highlight w:val="cyan"/>
          <w:lang w:eastAsia="ru-RU"/>
        </w:rPr>
      </w:pPr>
      <w:r w:rsidRPr="00A53AD7">
        <w:rPr>
          <w:rFonts w:ascii="Times New Roman" w:hAnsi="Times New Roman"/>
          <w:sz w:val="28"/>
          <w:szCs w:val="28"/>
        </w:rPr>
        <w:t>Информация в выполнении в 2019 году достижения результатов регионального проекта представлена в таблице</w:t>
      </w:r>
      <w:r w:rsidR="009C1C2B" w:rsidRPr="00A53AD7">
        <w:rPr>
          <w:rFonts w:ascii="Times New Roman" w:hAnsi="Times New Roman"/>
          <w:sz w:val="28"/>
          <w:szCs w:val="28"/>
        </w:rPr>
        <w:t>:</w:t>
      </w:r>
    </w:p>
    <w:tbl>
      <w:tblPr>
        <w:tblStyle w:val="a7"/>
        <w:tblW w:w="934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096"/>
        <w:gridCol w:w="1397"/>
        <w:gridCol w:w="1666"/>
        <w:gridCol w:w="2182"/>
      </w:tblGrid>
      <w:tr w:rsidR="00D470B6" w:rsidRPr="00A53AD7" w14:paraId="5AFE4148" w14:textId="77777777" w:rsidTr="009C1C2B">
        <w:tc>
          <w:tcPr>
            <w:tcW w:w="4096" w:type="dxa"/>
          </w:tcPr>
          <w:p w14:paraId="2FD22F68"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hAnsi="Times New Roman"/>
                <w:sz w:val="20"/>
                <w:szCs w:val="20"/>
              </w:rPr>
              <w:t>Наименование показателя</w:t>
            </w:r>
          </w:p>
        </w:tc>
        <w:tc>
          <w:tcPr>
            <w:tcW w:w="1397" w:type="dxa"/>
          </w:tcPr>
          <w:p w14:paraId="2D7183D2"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 xml:space="preserve">Значение показателя на </w:t>
            </w:r>
          </w:p>
          <w:p w14:paraId="76DADD5C"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2019 год</w:t>
            </w:r>
          </w:p>
        </w:tc>
        <w:tc>
          <w:tcPr>
            <w:tcW w:w="1666" w:type="dxa"/>
          </w:tcPr>
          <w:p w14:paraId="456B1CF7"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 достижения за 2019 год, согласно отчету о ходе реализации РП</w:t>
            </w:r>
          </w:p>
        </w:tc>
        <w:tc>
          <w:tcPr>
            <w:tcW w:w="2182" w:type="dxa"/>
          </w:tcPr>
          <w:p w14:paraId="39430407" w14:textId="77777777" w:rsidR="009C1C2B" w:rsidRPr="00A53AD7" w:rsidRDefault="009C1C2B" w:rsidP="009C1C2B">
            <w:pPr>
              <w:spacing w:after="0" w:line="240" w:lineRule="auto"/>
              <w:jc w:val="center"/>
              <w:rPr>
                <w:rFonts w:ascii="Times New Roman" w:eastAsia="Arial" w:hAnsi="Times New Roman"/>
                <w:bCs/>
                <w:sz w:val="16"/>
                <w:szCs w:val="16"/>
                <w:lang w:eastAsia="ru-RU"/>
              </w:rPr>
            </w:pPr>
            <w:r w:rsidRPr="00A53AD7">
              <w:rPr>
                <w:rFonts w:ascii="Times New Roman" w:eastAsia="Arial" w:hAnsi="Times New Roman"/>
                <w:bCs/>
                <w:sz w:val="16"/>
                <w:szCs w:val="16"/>
                <w:lang w:eastAsia="ru-RU"/>
              </w:rPr>
              <w:t xml:space="preserve">Примечание </w:t>
            </w:r>
          </w:p>
        </w:tc>
      </w:tr>
      <w:tr w:rsidR="00D470B6" w:rsidRPr="00A53AD7" w14:paraId="34DC0813" w14:textId="77777777" w:rsidTr="009C1C2B">
        <w:tc>
          <w:tcPr>
            <w:tcW w:w="4096" w:type="dxa"/>
          </w:tcPr>
          <w:p w14:paraId="1B3D4C73" w14:textId="77777777" w:rsidR="009C1C2B" w:rsidRPr="00A53AD7" w:rsidRDefault="009C1C2B" w:rsidP="009C1C2B">
            <w:pPr>
              <w:spacing w:after="0" w:line="240" w:lineRule="auto"/>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Размещение автоматических пунктов весогабаритного контроля транспортных средств на автомобильных дорогах регионального или межмуниципального, местного значения (накопленным итогом)</w:t>
            </w:r>
          </w:p>
        </w:tc>
        <w:tc>
          <w:tcPr>
            <w:tcW w:w="1397" w:type="dxa"/>
          </w:tcPr>
          <w:p w14:paraId="19AA9B97" w14:textId="77777777" w:rsidR="009C1C2B" w:rsidRPr="00A53AD7" w:rsidRDefault="009C1C2B" w:rsidP="009C1C2B">
            <w:pPr>
              <w:spacing w:after="0" w:line="240" w:lineRule="auto"/>
              <w:jc w:val="both"/>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на 31.12.2019 - 2 шт.</w:t>
            </w:r>
          </w:p>
        </w:tc>
        <w:tc>
          <w:tcPr>
            <w:tcW w:w="1666" w:type="dxa"/>
          </w:tcPr>
          <w:p w14:paraId="411FB218"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100</w:t>
            </w:r>
          </w:p>
        </w:tc>
        <w:tc>
          <w:tcPr>
            <w:tcW w:w="2182" w:type="dxa"/>
          </w:tcPr>
          <w:p w14:paraId="78000C12" w14:textId="7B179F1F" w:rsidR="009C1C2B" w:rsidRPr="00A53AD7" w:rsidRDefault="009C1C2B" w:rsidP="009C1C2B">
            <w:pPr>
              <w:spacing w:after="0" w:line="240" w:lineRule="auto"/>
              <w:jc w:val="center"/>
              <w:rPr>
                <w:rFonts w:ascii="Times New Roman" w:eastAsia="Arial" w:hAnsi="Times New Roman"/>
                <w:bCs/>
                <w:sz w:val="16"/>
                <w:szCs w:val="16"/>
                <w:lang w:eastAsia="ru-RU"/>
              </w:rPr>
            </w:pPr>
            <w:r w:rsidRPr="00A53AD7">
              <w:rPr>
                <w:rFonts w:ascii="Times New Roman" w:eastAsia="Arial" w:hAnsi="Times New Roman"/>
                <w:bCs/>
                <w:sz w:val="16"/>
                <w:szCs w:val="16"/>
                <w:lang w:eastAsia="ru-RU"/>
              </w:rPr>
              <w:t>Срок исполнения контракта на установку 1 ед. оборудования весового контроля, работающего в автоматическом режиме - 09 декабря</w:t>
            </w:r>
            <w:r w:rsidR="0039742D" w:rsidRPr="00A53AD7">
              <w:rPr>
                <w:rFonts w:ascii="Times New Roman" w:eastAsia="Arial" w:hAnsi="Times New Roman"/>
                <w:bCs/>
                <w:sz w:val="16"/>
                <w:szCs w:val="16"/>
                <w:lang w:eastAsia="ru-RU"/>
              </w:rPr>
              <w:t xml:space="preserve"> </w:t>
            </w:r>
            <w:r w:rsidRPr="00A53AD7">
              <w:rPr>
                <w:rFonts w:ascii="Times New Roman" w:eastAsia="Arial" w:hAnsi="Times New Roman"/>
                <w:bCs/>
                <w:sz w:val="16"/>
                <w:szCs w:val="16"/>
                <w:lang w:eastAsia="ru-RU"/>
              </w:rPr>
              <w:t>2019 года</w:t>
            </w:r>
          </w:p>
        </w:tc>
      </w:tr>
      <w:tr w:rsidR="00D470B6" w:rsidRPr="00A53AD7" w14:paraId="508215E2" w14:textId="77777777" w:rsidTr="009C1C2B">
        <w:tc>
          <w:tcPr>
            <w:tcW w:w="4096" w:type="dxa"/>
          </w:tcPr>
          <w:p w14:paraId="2CCB5587" w14:textId="77777777" w:rsidR="009C1C2B" w:rsidRPr="00A53AD7" w:rsidRDefault="009C1C2B" w:rsidP="009C1C2B">
            <w:pPr>
              <w:spacing w:after="0" w:line="240" w:lineRule="auto"/>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Увеличение количества стационарных камер фотовидеофиксации нарушений правил дорожного движения на автомобильных дорогах федерального, регионального или межмуниципального, местного значения до 211% от базового количества 2017 года</w:t>
            </w:r>
          </w:p>
        </w:tc>
        <w:tc>
          <w:tcPr>
            <w:tcW w:w="1397" w:type="dxa"/>
          </w:tcPr>
          <w:p w14:paraId="0F9CE733" w14:textId="77777777" w:rsidR="009C1C2B" w:rsidRPr="00A53AD7" w:rsidRDefault="009C1C2B" w:rsidP="009C1C2B">
            <w:pPr>
              <w:spacing w:after="0" w:line="240" w:lineRule="auto"/>
              <w:jc w:val="both"/>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 xml:space="preserve">на 31.12.2019 - 156 % </w:t>
            </w:r>
          </w:p>
          <w:p w14:paraId="115E4A20" w14:textId="77777777" w:rsidR="009C1C2B" w:rsidRPr="00A53AD7" w:rsidRDefault="009C1C2B" w:rsidP="009C1C2B">
            <w:pPr>
              <w:spacing w:after="0" w:line="240" w:lineRule="auto"/>
              <w:jc w:val="both"/>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(или 7 ед.)</w:t>
            </w:r>
          </w:p>
        </w:tc>
        <w:tc>
          <w:tcPr>
            <w:tcW w:w="1666" w:type="dxa"/>
          </w:tcPr>
          <w:p w14:paraId="694E62BF" w14:textId="77777777" w:rsidR="009C1C2B" w:rsidRPr="00A53AD7" w:rsidRDefault="009C1C2B" w:rsidP="009C1C2B">
            <w:pPr>
              <w:spacing w:after="0" w:line="240" w:lineRule="auto"/>
              <w:jc w:val="center"/>
              <w:rPr>
                <w:rFonts w:ascii="Times New Roman" w:eastAsia="Arial" w:hAnsi="Times New Roman"/>
                <w:bCs/>
                <w:sz w:val="20"/>
                <w:szCs w:val="20"/>
                <w:lang w:eastAsia="ru-RU"/>
              </w:rPr>
            </w:pPr>
            <w:r w:rsidRPr="00A53AD7">
              <w:rPr>
                <w:rFonts w:ascii="Times New Roman" w:eastAsia="Arial" w:hAnsi="Times New Roman"/>
                <w:bCs/>
                <w:sz w:val="20"/>
                <w:szCs w:val="20"/>
                <w:lang w:eastAsia="ru-RU"/>
              </w:rPr>
              <w:t>100</w:t>
            </w:r>
          </w:p>
        </w:tc>
        <w:tc>
          <w:tcPr>
            <w:tcW w:w="2182" w:type="dxa"/>
          </w:tcPr>
          <w:p w14:paraId="7F2F3145" w14:textId="77777777" w:rsidR="009C1C2B" w:rsidRPr="00A53AD7" w:rsidRDefault="009C1C2B" w:rsidP="009C1C2B">
            <w:pPr>
              <w:spacing w:after="0" w:line="240" w:lineRule="auto"/>
              <w:jc w:val="center"/>
              <w:rPr>
                <w:rFonts w:ascii="Times New Roman" w:eastAsia="Arial" w:hAnsi="Times New Roman"/>
                <w:bCs/>
                <w:sz w:val="16"/>
                <w:szCs w:val="16"/>
                <w:lang w:eastAsia="ru-RU"/>
              </w:rPr>
            </w:pPr>
            <w:r w:rsidRPr="00A53AD7">
              <w:rPr>
                <w:rFonts w:ascii="Times New Roman" w:eastAsia="Arial" w:hAnsi="Times New Roman"/>
                <w:bCs/>
                <w:sz w:val="16"/>
                <w:szCs w:val="16"/>
                <w:lang w:eastAsia="ru-RU"/>
              </w:rPr>
              <w:t>Срок исполнения контракта на установку 9 стационарных и 10 передвижных комплексов – 31 октября 2019 года, фактический срок установки 29 ноября 2019 года.</w:t>
            </w:r>
          </w:p>
        </w:tc>
      </w:tr>
    </w:tbl>
    <w:p w14:paraId="298E55A5" w14:textId="77777777"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ab/>
      </w:r>
    </w:p>
    <w:p w14:paraId="54786CE9" w14:textId="0E4E447A"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достижения результата регионального проекта «Размещение автоматических пунктов весогабаритного контроля транспортных средств на автомобильных дорогах регионального или межмуниципального, местного значения»</w:t>
      </w:r>
      <w:r w:rsidR="0039742D" w:rsidRPr="00A53AD7">
        <w:rPr>
          <w:rFonts w:ascii="Times New Roman" w:hAnsi="Times New Roman"/>
          <w:sz w:val="28"/>
          <w:szCs w:val="28"/>
        </w:rPr>
        <w:t xml:space="preserve"> </w:t>
      </w:r>
      <w:r w:rsidR="00E6143A" w:rsidRPr="00A53AD7">
        <w:rPr>
          <w:rFonts w:ascii="Times New Roman" w:hAnsi="Times New Roman"/>
          <w:sz w:val="28"/>
          <w:szCs w:val="28"/>
        </w:rPr>
        <w:t>- 1 ед. на сумму 79,26 млн.</w:t>
      </w:r>
      <w:r w:rsidRPr="00A53AD7">
        <w:rPr>
          <w:rFonts w:ascii="Times New Roman" w:hAnsi="Times New Roman"/>
          <w:sz w:val="28"/>
          <w:szCs w:val="28"/>
        </w:rPr>
        <w:t>руб. ГКУ Архангельской области «Дорожное агентство «Архангельскавтодор» заключен контракт №</w:t>
      </w:r>
      <w:r w:rsidR="00C52771" w:rsidRPr="00A53AD7">
        <w:rPr>
          <w:rFonts w:ascii="Times New Roman" w:hAnsi="Times New Roman"/>
          <w:sz w:val="28"/>
          <w:szCs w:val="28"/>
        </w:rPr>
        <w:t xml:space="preserve"> </w:t>
      </w:r>
      <w:r w:rsidRPr="00A53AD7">
        <w:rPr>
          <w:rFonts w:ascii="Times New Roman" w:hAnsi="Times New Roman"/>
          <w:sz w:val="28"/>
          <w:szCs w:val="28"/>
        </w:rPr>
        <w:t>21кр/2019 от 14.08.2019 с АО «Котласское ДРСУ» на</w:t>
      </w:r>
      <w:r w:rsidR="0039742D" w:rsidRPr="00A53AD7">
        <w:rPr>
          <w:rFonts w:ascii="Times New Roman" w:hAnsi="Times New Roman"/>
          <w:sz w:val="28"/>
          <w:szCs w:val="28"/>
        </w:rPr>
        <w:t xml:space="preserve"> </w:t>
      </w:r>
      <w:r w:rsidRPr="00A53AD7">
        <w:rPr>
          <w:rFonts w:ascii="Times New Roman" w:hAnsi="Times New Roman"/>
          <w:sz w:val="28"/>
          <w:szCs w:val="28"/>
        </w:rPr>
        <w:t>объект «Капитальный ремонт автомобильной дороги Долматово – Няндома – Каргополь – Пудож, км 210+500</w:t>
      </w:r>
      <w:r w:rsidR="0039742D" w:rsidRPr="00A53AD7">
        <w:rPr>
          <w:rFonts w:ascii="Times New Roman" w:hAnsi="Times New Roman"/>
          <w:sz w:val="28"/>
          <w:szCs w:val="28"/>
        </w:rPr>
        <w:t xml:space="preserve"> </w:t>
      </w:r>
      <w:r w:rsidRPr="00A53AD7">
        <w:rPr>
          <w:rFonts w:ascii="Times New Roman" w:hAnsi="Times New Roman"/>
          <w:sz w:val="28"/>
          <w:szCs w:val="28"/>
        </w:rPr>
        <w:t>(установка</w:t>
      </w:r>
      <w:r w:rsidR="008D4148" w:rsidRPr="00A53AD7">
        <w:rPr>
          <w:rFonts w:ascii="Times New Roman" w:hAnsi="Times New Roman"/>
          <w:sz w:val="28"/>
          <w:szCs w:val="28"/>
        </w:rPr>
        <w:t xml:space="preserve"> </w:t>
      </w:r>
      <w:r w:rsidRPr="00A53AD7">
        <w:rPr>
          <w:rFonts w:ascii="Times New Roman" w:hAnsi="Times New Roman"/>
          <w:sz w:val="28"/>
          <w:szCs w:val="28"/>
        </w:rPr>
        <w:t>оборудования</w:t>
      </w:r>
      <w:r w:rsidR="0039742D" w:rsidRPr="00A53AD7">
        <w:rPr>
          <w:rFonts w:ascii="Times New Roman" w:hAnsi="Times New Roman"/>
          <w:sz w:val="28"/>
          <w:szCs w:val="28"/>
        </w:rPr>
        <w:t xml:space="preserve"> </w:t>
      </w:r>
      <w:r w:rsidRPr="00A53AD7">
        <w:rPr>
          <w:rFonts w:ascii="Times New Roman" w:hAnsi="Times New Roman"/>
          <w:sz w:val="28"/>
          <w:szCs w:val="28"/>
        </w:rPr>
        <w:t>весового контроля, работающего в автоматическом режиме) в Каргопольском</w:t>
      </w:r>
      <w:r w:rsidR="0039742D" w:rsidRPr="00A53AD7">
        <w:rPr>
          <w:rFonts w:ascii="Times New Roman" w:hAnsi="Times New Roman"/>
          <w:sz w:val="28"/>
          <w:szCs w:val="28"/>
        </w:rPr>
        <w:t xml:space="preserve"> </w:t>
      </w:r>
      <w:r w:rsidRPr="00A53AD7">
        <w:rPr>
          <w:rFonts w:ascii="Times New Roman" w:hAnsi="Times New Roman"/>
          <w:sz w:val="28"/>
          <w:szCs w:val="28"/>
        </w:rPr>
        <w:t>районе Архангельской области»</w:t>
      </w:r>
      <w:r w:rsidR="0039742D" w:rsidRPr="00A53AD7">
        <w:rPr>
          <w:rFonts w:ascii="Times New Roman" w:hAnsi="Times New Roman"/>
          <w:sz w:val="28"/>
          <w:szCs w:val="28"/>
        </w:rPr>
        <w:t xml:space="preserve"> </w:t>
      </w:r>
      <w:r w:rsidRPr="00A53AD7">
        <w:rPr>
          <w:rFonts w:ascii="Times New Roman" w:hAnsi="Times New Roman"/>
          <w:sz w:val="28"/>
          <w:szCs w:val="28"/>
        </w:rPr>
        <w:t>стоимостью 78</w:t>
      </w:r>
      <w:r w:rsidR="00FB5DAA" w:rsidRPr="00A53AD7">
        <w:rPr>
          <w:rFonts w:ascii="Times New Roman" w:hAnsi="Times New Roman"/>
          <w:sz w:val="28"/>
          <w:szCs w:val="28"/>
        </w:rPr>
        <w:t> </w:t>
      </w:r>
      <w:r w:rsidRPr="00A53AD7">
        <w:rPr>
          <w:rFonts w:ascii="Times New Roman" w:hAnsi="Times New Roman"/>
          <w:sz w:val="28"/>
          <w:szCs w:val="28"/>
        </w:rPr>
        <w:t>741</w:t>
      </w:r>
      <w:r w:rsidR="00FB5DAA" w:rsidRPr="00A53AD7">
        <w:rPr>
          <w:rFonts w:ascii="Times New Roman" w:hAnsi="Times New Roman"/>
          <w:sz w:val="28"/>
          <w:szCs w:val="28"/>
        </w:rPr>
        <w:t> </w:t>
      </w:r>
      <w:r w:rsidRPr="00A53AD7">
        <w:rPr>
          <w:rFonts w:ascii="Times New Roman" w:hAnsi="Times New Roman"/>
          <w:sz w:val="28"/>
          <w:szCs w:val="28"/>
        </w:rPr>
        <w:t>884,05 руб. КБК 104-0409-194R27321Д-243 (НМЦК 79</w:t>
      </w:r>
      <w:r w:rsidR="00FB5DAA" w:rsidRPr="00A53AD7">
        <w:rPr>
          <w:rFonts w:ascii="Times New Roman" w:hAnsi="Times New Roman"/>
          <w:sz w:val="28"/>
          <w:szCs w:val="28"/>
        </w:rPr>
        <w:t> </w:t>
      </w:r>
      <w:r w:rsidRPr="00A53AD7">
        <w:rPr>
          <w:rFonts w:ascii="Times New Roman" w:hAnsi="Times New Roman"/>
          <w:sz w:val="28"/>
          <w:szCs w:val="28"/>
        </w:rPr>
        <w:t>262</w:t>
      </w:r>
      <w:r w:rsidR="00FB5DAA" w:rsidRPr="00A53AD7">
        <w:rPr>
          <w:rFonts w:ascii="Times New Roman" w:hAnsi="Times New Roman"/>
          <w:sz w:val="28"/>
          <w:szCs w:val="28"/>
        </w:rPr>
        <w:t> </w:t>
      </w:r>
      <w:r w:rsidRPr="00A53AD7">
        <w:rPr>
          <w:rFonts w:ascii="Times New Roman" w:hAnsi="Times New Roman"/>
          <w:sz w:val="28"/>
          <w:szCs w:val="28"/>
        </w:rPr>
        <w:t>600,0 руб.), сроки выполнения работ: с 19 августа 2019 года по 09 декабря</w:t>
      </w:r>
      <w:r w:rsidR="0039742D" w:rsidRPr="00A53AD7">
        <w:rPr>
          <w:rFonts w:ascii="Times New Roman" w:hAnsi="Times New Roman"/>
          <w:sz w:val="28"/>
          <w:szCs w:val="28"/>
        </w:rPr>
        <w:t xml:space="preserve"> </w:t>
      </w:r>
      <w:r w:rsidRPr="00A53AD7">
        <w:rPr>
          <w:rFonts w:ascii="Times New Roman" w:hAnsi="Times New Roman"/>
          <w:sz w:val="28"/>
          <w:szCs w:val="28"/>
        </w:rPr>
        <w:t>2019 года. Акт приемки законченного капитальным ремонтом объекта приемочной комиссией от 16.12.2019, кассовые расходы ГКУ Архангельской области «Дорожное агентство «Архангельскавтодор» по указанному контракту составили в сумме 78 014 618,0 руб. или 98,4%.</w:t>
      </w:r>
    </w:p>
    <w:p w14:paraId="2AF71BE9" w14:textId="1D1CADDC"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достижения результата регионального проекта «Увеличение количества стационарных камер фотовидеофиксации нарушений правил дорожного движения на автомобильных дорогах федерального, регионального или межмуниципального, местного значения до 211% от базового количества 2017 года» на 31.12.2019 - 156 % (или 7 ед.) ГБУ Архангельской области «РТС» заключено контракты на поставку и установку 9 стационарных и 10 передвижных комплексов фото-видеофиксации нарушений Правил дорожного движения на автомобильных дорогах общего пользования регионального или межмуниципального значения Архангельской области стоимостью 56,3 млн.руб., фактический срок исполнения по контрактам – 29 ноября 2019 года. При этом, следует отметить, что указанные финансовые ресурсы не включены в объем финансового обеспечения реализации рег</w:t>
      </w:r>
      <w:r w:rsidR="003E47AB" w:rsidRPr="00A53AD7">
        <w:rPr>
          <w:rFonts w:ascii="Times New Roman" w:hAnsi="Times New Roman"/>
          <w:sz w:val="28"/>
          <w:szCs w:val="28"/>
        </w:rPr>
        <w:t>ионального проекта на 2019 год.</w:t>
      </w:r>
    </w:p>
    <w:p w14:paraId="64F67762" w14:textId="06145169" w:rsidR="00ED1151" w:rsidRPr="00A53AD7" w:rsidRDefault="00ED1151"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РП за 2019 год кассовое исполнение финансового обеспечен</w:t>
      </w:r>
      <w:r w:rsidR="00FB5DAA" w:rsidRPr="00A53AD7">
        <w:rPr>
          <w:rFonts w:ascii="Times New Roman" w:hAnsi="Times New Roman"/>
          <w:sz w:val="28"/>
          <w:szCs w:val="28"/>
        </w:rPr>
        <w:t>ия составило в сумме 78,01 млн.</w:t>
      </w:r>
      <w:r w:rsidRPr="00A53AD7">
        <w:rPr>
          <w:rFonts w:ascii="Times New Roman" w:hAnsi="Times New Roman"/>
          <w:sz w:val="28"/>
          <w:szCs w:val="28"/>
        </w:rPr>
        <w:t>руб. или 98,4% к плану.</w:t>
      </w:r>
    </w:p>
    <w:p w14:paraId="137133D8" w14:textId="2C301478" w:rsidR="000364A6" w:rsidRPr="00A53AD7" w:rsidRDefault="000364A6" w:rsidP="000364A6">
      <w:pPr>
        <w:keepNext/>
        <w:spacing w:before="240" w:after="60" w:line="240" w:lineRule="auto"/>
        <w:jc w:val="center"/>
        <w:outlineLvl w:val="2"/>
        <w:rPr>
          <w:rFonts w:ascii="Times New Roman" w:eastAsia="Times New Roman" w:hAnsi="Times New Roman"/>
          <w:bCs/>
          <w:sz w:val="28"/>
          <w:szCs w:val="28"/>
          <w:u w:val="single"/>
          <w:lang w:eastAsia="ru-RU"/>
        </w:rPr>
      </w:pPr>
      <w:bookmarkStart w:id="109" w:name="_Toc42006749"/>
      <w:r w:rsidRPr="00A53AD7">
        <w:rPr>
          <w:rFonts w:ascii="Times New Roman" w:eastAsia="Times New Roman" w:hAnsi="Times New Roman"/>
          <w:bCs/>
          <w:sz w:val="28"/>
          <w:szCs w:val="28"/>
          <w:u w:val="single"/>
          <w:lang w:eastAsia="ru-RU"/>
        </w:rPr>
        <w:t>4.</w:t>
      </w:r>
      <w:r w:rsidR="006B7638" w:rsidRPr="00A53AD7">
        <w:rPr>
          <w:rFonts w:ascii="Times New Roman" w:eastAsia="Times New Roman" w:hAnsi="Times New Roman"/>
          <w:bCs/>
          <w:sz w:val="28"/>
          <w:szCs w:val="28"/>
          <w:u w:val="single"/>
          <w:lang w:eastAsia="ru-RU"/>
        </w:rPr>
        <w:t>6</w:t>
      </w:r>
      <w:r w:rsidRPr="00A53AD7">
        <w:rPr>
          <w:rFonts w:ascii="Times New Roman" w:eastAsia="Times New Roman" w:hAnsi="Times New Roman"/>
          <w:bCs/>
          <w:sz w:val="28"/>
          <w:szCs w:val="28"/>
          <w:u w:val="single"/>
          <w:lang w:eastAsia="ru-RU"/>
        </w:rPr>
        <w:t>.4. Национальный проект «Жилье и городская среда»</w:t>
      </w:r>
      <w:bookmarkEnd w:id="109"/>
    </w:p>
    <w:p w14:paraId="00CAB913" w14:textId="1227EF75" w:rsidR="00A0602A" w:rsidRPr="00A53AD7" w:rsidRDefault="008E6AAD" w:rsidP="008E6AA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«Формирование комфортной городск</w:t>
      </w:r>
      <w:r w:rsidR="00EE6604" w:rsidRPr="00A53AD7">
        <w:rPr>
          <w:rFonts w:ascii="Times New Roman" w:hAnsi="Times New Roman"/>
          <w:b/>
          <w:i/>
          <w:sz w:val="28"/>
          <w:szCs w:val="28"/>
        </w:rPr>
        <w:t>ой среды</w:t>
      </w:r>
      <w:r w:rsidRPr="00A53AD7">
        <w:rPr>
          <w:rFonts w:ascii="Times New Roman" w:hAnsi="Times New Roman"/>
          <w:b/>
          <w:i/>
          <w:sz w:val="28"/>
          <w:szCs w:val="28"/>
        </w:rPr>
        <w:t>»</w:t>
      </w:r>
    </w:p>
    <w:p w14:paraId="0F9B0F6A" w14:textId="697218F3" w:rsidR="008E6AAD" w:rsidRPr="00A53AD7" w:rsidRDefault="008E6AAD" w:rsidP="004F006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регионального проекта 01.10.2018 – 31.12.2024.</w:t>
      </w:r>
    </w:p>
    <w:p w14:paraId="4AAB0709" w14:textId="593402B5" w:rsidR="008E6AAD" w:rsidRPr="00A53AD7" w:rsidRDefault="008E6AAD" w:rsidP="004F006B">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Целью регионального проекта является кардинальное повышение комфортности городской среды, повышение индекса качества городской среды на 30 процентов, сокращение в соответствии с этим индексом количества городов с неблагоприятной средой в два раза.</w:t>
      </w:r>
    </w:p>
    <w:p w14:paraId="1E39C095" w14:textId="5D68E22E" w:rsidR="008E6AAD" w:rsidRPr="00A53AD7" w:rsidRDefault="008E6AAD" w:rsidP="004F00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регионального проекта «Формирование комфортной городской среды в Архангельской области», входящего в состав федерального проекта «Формирование комфортной городской среды» национального проекта «Жилье и городская среда» осуществляется исполнение ГП АО "Формирование современной городской среды в Архангельской об</w:t>
      </w:r>
      <w:r w:rsidR="003E47AB" w:rsidRPr="00A53AD7">
        <w:rPr>
          <w:rFonts w:ascii="Times New Roman" w:hAnsi="Times New Roman"/>
          <w:sz w:val="28"/>
          <w:szCs w:val="28"/>
        </w:rPr>
        <w:t>ласти" (далее – ГП АО №330-пп).</w:t>
      </w:r>
    </w:p>
    <w:p w14:paraId="289DE594" w14:textId="081E2A09" w:rsidR="008E6AAD" w:rsidRPr="00A53AD7" w:rsidRDefault="008E6AAD" w:rsidP="004F00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целях синхронизации паспорта регионального с паспортом федерального проекта в паспорт РП, внесены изменения (дополнения) от 20.11.2019 в следующие разделы паспорта проекта:</w:t>
      </w:r>
    </w:p>
    <w:p w14:paraId="4C7D2340" w14:textId="2B585B91" w:rsidR="008E6AAD" w:rsidRPr="00A53AD7" w:rsidRDefault="008E6AAD" w:rsidP="00A87540">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 и показатели: изменения по четырем показателям:</w:t>
      </w:r>
    </w:p>
    <w:p w14:paraId="77BE28D6" w14:textId="77777777" w:rsidR="008E6AAD" w:rsidRPr="00A53AD7" w:rsidRDefault="008E6AAD" w:rsidP="00CA1DDD">
      <w:pPr>
        <w:pStyle w:val="a8"/>
        <w:numPr>
          <w:ilvl w:val="0"/>
          <w:numId w:val="38"/>
        </w:numPr>
        <w:ind w:left="0" w:firstLine="840"/>
        <w:jc w:val="both"/>
        <w:rPr>
          <w:sz w:val="28"/>
          <w:szCs w:val="28"/>
        </w:rPr>
      </w:pPr>
      <w:r w:rsidRPr="00A53AD7">
        <w:rPr>
          <w:sz w:val="28"/>
          <w:szCs w:val="28"/>
        </w:rPr>
        <w:t xml:space="preserve"> включен новый показатель «Доля городов с благоприятной средой от общего количества городов (индекс качества городской среды - выше 50%), % на период с 2019 по 2024 год – 15,23,31,38,46,62 соответственно;</w:t>
      </w:r>
    </w:p>
    <w:p w14:paraId="55318ABC" w14:textId="45927FF7" w:rsidR="008E6AAD" w:rsidRPr="00A53AD7" w:rsidRDefault="008E6AAD" w:rsidP="00CA1DDD">
      <w:pPr>
        <w:pStyle w:val="a8"/>
        <w:numPr>
          <w:ilvl w:val="0"/>
          <w:numId w:val="38"/>
        </w:numPr>
        <w:ind w:left="0" w:firstLine="840"/>
        <w:jc w:val="both"/>
        <w:rPr>
          <w:sz w:val="28"/>
          <w:szCs w:val="28"/>
        </w:rPr>
      </w:pPr>
      <w:r w:rsidRPr="00A53AD7">
        <w:rPr>
          <w:sz w:val="28"/>
          <w:szCs w:val="28"/>
        </w:rPr>
        <w:t>по показателю «Среднее значение индекса качества городской среды по Российской Федерации» изменена единица измерени</w:t>
      </w:r>
      <w:r w:rsidR="00A87540" w:rsidRPr="00A53AD7">
        <w:rPr>
          <w:sz w:val="28"/>
          <w:szCs w:val="28"/>
        </w:rPr>
        <w:t>я показателя с усл.ед. на проц.;</w:t>
      </w:r>
    </w:p>
    <w:p w14:paraId="68A424D6" w14:textId="77777777" w:rsidR="008E6AAD" w:rsidRPr="00A53AD7" w:rsidRDefault="008E6AAD" w:rsidP="00CA1DDD">
      <w:pPr>
        <w:pStyle w:val="a8"/>
        <w:numPr>
          <w:ilvl w:val="0"/>
          <w:numId w:val="38"/>
        </w:numPr>
        <w:ind w:left="0" w:firstLine="840"/>
        <w:jc w:val="both"/>
        <w:rPr>
          <w:sz w:val="28"/>
          <w:szCs w:val="28"/>
        </w:rPr>
      </w:pPr>
      <w:r w:rsidRPr="00A53AD7">
        <w:rPr>
          <w:sz w:val="28"/>
          <w:szCs w:val="28"/>
        </w:rPr>
        <w:t>по показателю «Количество городов с благоприятной городской средой» изменение числового показателя по годам начиная с 2018 года по 2023 год – 0 (или-2), 3 (или +1), 4 (или +1), 5 (или +1), 6 (или +1), 7 (или +1) соответственно.</w:t>
      </w:r>
    </w:p>
    <w:p w14:paraId="7C261E13" w14:textId="4F082D5D" w:rsidR="008E6AAD" w:rsidRPr="00A53AD7" w:rsidRDefault="008E6AAD" w:rsidP="00575E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Результаты и характеристики результатов: изменения (дополнения) по двум результатам:</w:t>
      </w:r>
    </w:p>
    <w:p w14:paraId="5D5CB42A" w14:textId="3618FA63" w:rsidR="008E6AAD" w:rsidRPr="00A53AD7" w:rsidRDefault="008E6AAD" w:rsidP="00575E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на 01.04.2019 -1 ед., на 01.04.2020 -1</w:t>
      </w:r>
      <w:r w:rsidR="00575E14" w:rsidRPr="00A53AD7">
        <w:rPr>
          <w:rFonts w:ascii="Times New Roman" w:hAnsi="Times New Roman"/>
          <w:sz w:val="28"/>
          <w:szCs w:val="28"/>
        </w:rPr>
        <w:t xml:space="preserve"> </w:t>
      </w:r>
      <w:r w:rsidRPr="00A53AD7">
        <w:rPr>
          <w:rFonts w:ascii="Times New Roman" w:hAnsi="Times New Roman"/>
          <w:sz w:val="28"/>
          <w:szCs w:val="28"/>
        </w:rPr>
        <w:t>ед., на 01.04.2021- 1 ед., на 01.04.2022- 1</w:t>
      </w:r>
      <w:r w:rsidR="00575E14" w:rsidRPr="00A53AD7">
        <w:rPr>
          <w:rFonts w:ascii="Times New Roman" w:hAnsi="Times New Roman"/>
          <w:sz w:val="28"/>
          <w:szCs w:val="28"/>
        </w:rPr>
        <w:t xml:space="preserve"> </w:t>
      </w:r>
      <w:r w:rsidRPr="00A53AD7">
        <w:rPr>
          <w:rFonts w:ascii="Times New Roman" w:hAnsi="Times New Roman"/>
          <w:sz w:val="28"/>
          <w:szCs w:val="28"/>
        </w:rPr>
        <w:t>ед., на 01.04.2023</w:t>
      </w:r>
      <w:r w:rsidR="00575E14" w:rsidRPr="00A53AD7">
        <w:rPr>
          <w:rFonts w:ascii="Times New Roman" w:hAnsi="Times New Roman"/>
          <w:sz w:val="28"/>
          <w:szCs w:val="28"/>
        </w:rPr>
        <w:t xml:space="preserve"> </w:t>
      </w:r>
      <w:r w:rsidRPr="00A53AD7">
        <w:rPr>
          <w:rFonts w:ascii="Times New Roman" w:hAnsi="Times New Roman"/>
          <w:sz w:val="28"/>
          <w:szCs w:val="28"/>
        </w:rPr>
        <w:t xml:space="preserve">- 1 ед. и «Реализованы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нарастающим итогом на 31.12.2019 </w:t>
      </w:r>
      <w:r w:rsidR="001E1594" w:rsidRPr="00A53AD7">
        <w:rPr>
          <w:rFonts w:ascii="Times New Roman" w:hAnsi="Times New Roman"/>
          <w:sz w:val="28"/>
          <w:szCs w:val="28"/>
        </w:rPr>
        <w:t xml:space="preserve">– </w:t>
      </w:r>
      <w:r w:rsidRPr="00A53AD7">
        <w:rPr>
          <w:rFonts w:ascii="Times New Roman" w:hAnsi="Times New Roman"/>
          <w:sz w:val="28"/>
          <w:szCs w:val="28"/>
        </w:rPr>
        <w:t>1</w:t>
      </w:r>
      <w:r w:rsidR="00575E14" w:rsidRPr="00A53AD7">
        <w:rPr>
          <w:rFonts w:ascii="Times New Roman" w:hAnsi="Times New Roman"/>
          <w:sz w:val="28"/>
          <w:szCs w:val="28"/>
        </w:rPr>
        <w:t xml:space="preserve"> </w:t>
      </w:r>
      <w:r w:rsidRPr="00A53AD7">
        <w:rPr>
          <w:rFonts w:ascii="Times New Roman" w:hAnsi="Times New Roman"/>
          <w:sz w:val="28"/>
          <w:szCs w:val="28"/>
        </w:rPr>
        <w:t>шт., на 31.12.2020</w:t>
      </w:r>
      <w:r w:rsidR="001E1594" w:rsidRPr="00A53AD7">
        <w:rPr>
          <w:rFonts w:ascii="Times New Roman" w:hAnsi="Times New Roman"/>
          <w:sz w:val="28"/>
          <w:szCs w:val="28"/>
        </w:rPr>
        <w:t xml:space="preserve"> – </w:t>
      </w:r>
      <w:r w:rsidRPr="00A53AD7">
        <w:rPr>
          <w:rFonts w:ascii="Times New Roman" w:hAnsi="Times New Roman"/>
          <w:sz w:val="28"/>
          <w:szCs w:val="28"/>
        </w:rPr>
        <w:t>3</w:t>
      </w:r>
      <w:r w:rsidR="00575E14" w:rsidRPr="00A53AD7">
        <w:rPr>
          <w:rFonts w:ascii="Times New Roman" w:hAnsi="Times New Roman"/>
          <w:sz w:val="28"/>
          <w:szCs w:val="28"/>
        </w:rPr>
        <w:t xml:space="preserve"> </w:t>
      </w:r>
      <w:r w:rsidRPr="00A53AD7">
        <w:rPr>
          <w:rFonts w:ascii="Times New Roman" w:hAnsi="Times New Roman"/>
          <w:sz w:val="28"/>
          <w:szCs w:val="28"/>
        </w:rPr>
        <w:t>шт.</w:t>
      </w:r>
    </w:p>
    <w:p w14:paraId="48789370" w14:textId="7B00EE97" w:rsidR="008E6AAD" w:rsidRPr="00A53AD7" w:rsidRDefault="008E6AAD" w:rsidP="00575E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Финансовое обеспечение: уменьшение общего объема финансового обеспечения с 2020 года по 2024 г</w:t>
      </w:r>
      <w:r w:rsidR="00FB5DAA" w:rsidRPr="00A53AD7">
        <w:rPr>
          <w:rFonts w:ascii="Times New Roman" w:hAnsi="Times New Roman"/>
          <w:sz w:val="28"/>
          <w:szCs w:val="28"/>
        </w:rPr>
        <w:t>од на общую сумму 2 065,10 млн.</w:t>
      </w:r>
      <w:r w:rsidRPr="00A53AD7">
        <w:rPr>
          <w:rFonts w:ascii="Times New Roman" w:hAnsi="Times New Roman"/>
          <w:sz w:val="28"/>
          <w:szCs w:val="28"/>
        </w:rPr>
        <w:t>руб., из которых за счет бюдж</w:t>
      </w:r>
      <w:r w:rsidR="00FB5DAA" w:rsidRPr="00A53AD7">
        <w:rPr>
          <w:rFonts w:ascii="Times New Roman" w:hAnsi="Times New Roman"/>
          <w:sz w:val="28"/>
          <w:szCs w:val="28"/>
        </w:rPr>
        <w:t>ета субъекта РФ «-1 959,16 млн.</w:t>
      </w:r>
      <w:r w:rsidRPr="00A53AD7">
        <w:rPr>
          <w:rFonts w:ascii="Times New Roman" w:hAnsi="Times New Roman"/>
          <w:sz w:val="28"/>
          <w:szCs w:val="28"/>
        </w:rPr>
        <w:t>руб.», за счет бюджета муницип</w:t>
      </w:r>
      <w:r w:rsidR="00FB5DAA" w:rsidRPr="00A53AD7">
        <w:rPr>
          <w:rFonts w:ascii="Times New Roman" w:hAnsi="Times New Roman"/>
          <w:sz w:val="28"/>
          <w:szCs w:val="28"/>
        </w:rPr>
        <w:t>альных образований «-53,67 млн.</w:t>
      </w:r>
      <w:r w:rsidRPr="00A53AD7">
        <w:rPr>
          <w:rFonts w:ascii="Times New Roman" w:hAnsi="Times New Roman"/>
          <w:sz w:val="28"/>
          <w:szCs w:val="28"/>
        </w:rPr>
        <w:t>руб.», за счет внебюджетных источников «-52,27 м</w:t>
      </w:r>
      <w:r w:rsidR="00FB5DAA" w:rsidRPr="00A53AD7">
        <w:rPr>
          <w:rFonts w:ascii="Times New Roman" w:hAnsi="Times New Roman"/>
          <w:sz w:val="28"/>
          <w:szCs w:val="28"/>
        </w:rPr>
        <w:t>лн.</w:t>
      </w:r>
      <w:r w:rsidRPr="00A53AD7">
        <w:rPr>
          <w:rFonts w:ascii="Times New Roman" w:hAnsi="Times New Roman"/>
          <w:sz w:val="28"/>
          <w:szCs w:val="28"/>
        </w:rPr>
        <w:t>руб.», в 2019 году корректировка объемов финансирования за счет средств местного бюд</w:t>
      </w:r>
      <w:r w:rsidR="001E1594" w:rsidRPr="00A53AD7">
        <w:rPr>
          <w:rFonts w:ascii="Times New Roman" w:hAnsi="Times New Roman"/>
          <w:sz w:val="28"/>
          <w:szCs w:val="28"/>
        </w:rPr>
        <w:t>жета и внебюджетных источников.</w:t>
      </w:r>
    </w:p>
    <w:p w14:paraId="54BD03E8" w14:textId="18373E64" w:rsidR="008E6AAD" w:rsidRPr="00A53AD7" w:rsidRDefault="008E6AAD" w:rsidP="00575E14">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Участники: уточнен состав участников.</w:t>
      </w:r>
    </w:p>
    <w:p w14:paraId="724BBB69" w14:textId="14F8BBFA" w:rsidR="008E6AAD" w:rsidRPr="00A53AD7" w:rsidRDefault="008E6AAD" w:rsidP="00575E1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План мероприятий: откорректирован план мероприятий </w:t>
      </w:r>
      <w:r w:rsidR="001E1594" w:rsidRPr="00A53AD7">
        <w:rPr>
          <w:rFonts w:ascii="Times New Roman" w:hAnsi="Times New Roman"/>
          <w:sz w:val="28"/>
          <w:szCs w:val="28"/>
        </w:rPr>
        <w:t>с учетом изменений паспорта ФП.</w:t>
      </w:r>
    </w:p>
    <w:p w14:paraId="6439642D" w14:textId="77777777" w:rsidR="008E6AAD" w:rsidRPr="00A53AD7" w:rsidRDefault="008E6AAD" w:rsidP="008E6AAD">
      <w:pPr>
        <w:spacing w:after="0" w:line="240" w:lineRule="auto"/>
        <w:jc w:val="both"/>
        <w:rPr>
          <w:rFonts w:ascii="Times New Roman" w:eastAsia="Arial" w:hAnsi="Times New Roman"/>
          <w:bCs/>
          <w:sz w:val="28"/>
          <w:szCs w:val="28"/>
          <w:highlight w:val="cyan"/>
          <w:lang w:eastAsia="ru-RU"/>
        </w:rPr>
      </w:pPr>
    </w:p>
    <w:p w14:paraId="08C50DFC" w14:textId="647473A8"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Между руководителем ФП «Формирование комфортной городской среды» (заместителем Министра строительства и жилищно-коммунального хозяйства Российской Федерации) и руководителем регионального проекта «Формирование комфортной городской среды (Архангельская область)» от имени Архангельской области (министром ТЭК и ЖКХ Архангельской области) заключено Соглашение о реализации регионального проекта «Формирование комфортной городской среды (Архангельская область)» на территории Архангельской области от 01.02.2019 №069-2019-F20040-1. В приложениях </w:t>
      </w:r>
      <w:r w:rsidR="005255C7" w:rsidRPr="00A53AD7">
        <w:rPr>
          <w:rFonts w:ascii="Times New Roman" w:hAnsi="Times New Roman"/>
          <w:sz w:val="28"/>
          <w:szCs w:val="28"/>
        </w:rPr>
        <w:t>к указанному</w:t>
      </w:r>
      <w:r w:rsidRPr="00A53AD7">
        <w:rPr>
          <w:rFonts w:ascii="Times New Roman" w:hAnsi="Times New Roman"/>
          <w:sz w:val="28"/>
          <w:szCs w:val="28"/>
        </w:rPr>
        <w:t xml:space="preserve"> соглашени</w:t>
      </w:r>
      <w:r w:rsidR="005255C7" w:rsidRPr="00A53AD7">
        <w:rPr>
          <w:rFonts w:ascii="Times New Roman" w:hAnsi="Times New Roman"/>
          <w:sz w:val="28"/>
          <w:szCs w:val="28"/>
        </w:rPr>
        <w:t>ю</w:t>
      </w:r>
      <w:r w:rsidRPr="00A53AD7">
        <w:rPr>
          <w:rFonts w:ascii="Times New Roman" w:hAnsi="Times New Roman"/>
          <w:sz w:val="28"/>
          <w:szCs w:val="28"/>
        </w:rPr>
        <w:t xml:space="preserve"> определены «Показатели федерального проекта по субъекту Российской Федерации» (Приложение № 1) и «Результаты федерального проекта по субъекту Российской Федерации» (Приложение № 2).</w:t>
      </w:r>
    </w:p>
    <w:p w14:paraId="0AB624C9" w14:textId="0545793C"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течение 2019 года дополнительными соглашениями (в редакции от 04.07.2019 № 069-2019- F20040-1/1 и о 14.12.2019 №№ 069-2019- F20040-1/2) внесены изменения в «Показатели федерального проекта по субъекту Российской Федерации» (Приложение № 1) и «Результаты федерального проекта по субъекту Российской Федерации» (Приложение № 2). </w:t>
      </w:r>
    </w:p>
    <w:p w14:paraId="08ADFB41" w14:textId="5548A67F"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проведена синхронизация паспорта регионального с паспортом федерального проекта.</w:t>
      </w:r>
    </w:p>
    <w:p w14:paraId="158CA3FD" w14:textId="68765205"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 о предоставлении субсидии из федерального бюджета бюджету субъекта Российской Федерации от 09.02.2019 № 069-09-2019-114 (в редакции Дополнительного Соглашения от 21.12.2019 № № 069-09-2019-114/3) заключено между Минстроем России и Правительством Архангельской области, целевые показатели указанного соглашения соответствуют показателям Г</w:t>
      </w:r>
      <w:r w:rsidR="008A6602" w:rsidRPr="00A53AD7">
        <w:rPr>
          <w:rFonts w:ascii="Times New Roman" w:hAnsi="Times New Roman"/>
          <w:sz w:val="28"/>
          <w:szCs w:val="28"/>
        </w:rPr>
        <w:t>П АО №330-пп и РП.</w:t>
      </w:r>
    </w:p>
    <w:p w14:paraId="4F7BDD4D" w14:textId="02E0A2D3"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бюджетных ассигнований, предусматриваемых в бюджете Архангельской области на финансовое обеспечение расходных обязательств, в том числе направленных на достижение результатов регионального проекта, в целях софинансирования которых предоставляется Субсидия, составляет: в 2019 год</w:t>
      </w:r>
      <w:r w:rsidR="008A6602" w:rsidRPr="00A53AD7">
        <w:rPr>
          <w:rFonts w:ascii="Times New Roman" w:hAnsi="Times New Roman"/>
          <w:sz w:val="28"/>
          <w:szCs w:val="28"/>
        </w:rPr>
        <w:t>у 370 194 500 рублей 0 копеек.</w:t>
      </w:r>
    </w:p>
    <w:p w14:paraId="5DE5BC3F" w14:textId="77777777"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размер Субсидии, исходя из выраженного в процентах от общего объема расходного обязательства субъекта Российской Федерации равного 98,00 %, составляет в 2019 году не более 362 790 600 рублей 0 копеек.</w:t>
      </w:r>
    </w:p>
    <w:p w14:paraId="51739E98" w14:textId="0599C57D"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Условия предоставления субсидии соблюдены Правительством Архангельской области.</w:t>
      </w:r>
    </w:p>
    <w:p w14:paraId="5B9801A9" w14:textId="2924D8B1"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на 01.01.2020» все плановые значения показателей выполнены на 100 и более процентов.</w:t>
      </w:r>
    </w:p>
    <w:p w14:paraId="7184A56E" w14:textId="24A355F2"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Индекс качества городской среды — это инструмент для оценки качества материальной городской среды и условий ее формирования, позволяющий использовать результаты оценки для создания рекомендаций по улучшению среды.</w:t>
      </w:r>
    </w:p>
    <w:p w14:paraId="08CB6287" w14:textId="795A9F6F"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Методика определения индекса качества городской среды муниципальных образований Российской Федерации включает 36 индикаторов. Каждый из индикаторов оценивался по десятибалльной шкале. Благоприятная городская среда — индекс города находится в диапазоне от 180 до 360 баллов.</w:t>
      </w:r>
    </w:p>
    <w:p w14:paraId="7D8F885E" w14:textId="7ED337D0"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Среднее значение индекса качества городской среды по Российской Федерации достигло 169 баллов при плановом показателе 166. Доля российских городов с благоприятной для жизни граждан средой составила 26,9%</w:t>
      </w:r>
      <w:r w:rsidR="008A6602" w:rsidRPr="00A53AD7">
        <w:rPr>
          <w:rFonts w:ascii="Times New Roman" w:hAnsi="Times New Roman"/>
          <w:sz w:val="28"/>
          <w:szCs w:val="28"/>
        </w:rPr>
        <w:t>.</w:t>
      </w:r>
    </w:p>
    <w:p w14:paraId="066F6840" w14:textId="15BE2DCF" w:rsidR="008E6AAD" w:rsidRPr="00A53AD7" w:rsidRDefault="008E6AAD" w:rsidP="009F27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размещенной на сайте Минстроя России</w:t>
      </w:r>
      <w:r w:rsidRPr="00A53AD7">
        <w:rPr>
          <w:rFonts w:ascii="Times New Roman" w:hAnsi="Times New Roman"/>
          <w:sz w:val="24"/>
          <w:szCs w:val="24"/>
        </w:rPr>
        <w:t xml:space="preserve"> </w:t>
      </w:r>
      <w:hyperlink r:id="rId100" w:anchor="/regions/3" w:history="1">
        <w:r w:rsidRPr="00A53AD7">
          <w:rPr>
            <w:rStyle w:val="afb"/>
            <w:rFonts w:ascii="Times New Roman" w:hAnsi="Times New Roman"/>
            <w:color w:val="auto"/>
            <w:sz w:val="28"/>
            <w:szCs w:val="28"/>
          </w:rPr>
          <w:t>https://индекс-городов.рф/#/regions/3</w:t>
        </w:r>
      </w:hyperlink>
      <w:r w:rsidRPr="00A53AD7">
        <w:rPr>
          <w:rFonts w:ascii="Times New Roman" w:hAnsi="Times New Roman"/>
          <w:sz w:val="28"/>
          <w:szCs w:val="28"/>
        </w:rPr>
        <w:t xml:space="preserve">, по </w:t>
      </w:r>
      <w:r w:rsidRPr="00A53AD7">
        <w:rPr>
          <w:rFonts w:ascii="Times New Roman" w:eastAsia="Times New Roman" w:hAnsi="Times New Roman"/>
          <w:bCs/>
          <w:kern w:val="36"/>
          <w:sz w:val="28"/>
          <w:szCs w:val="28"/>
          <w:lang w:eastAsia="ru-RU"/>
        </w:rPr>
        <w:t xml:space="preserve">Архангельской области за 2019 год </w:t>
      </w:r>
      <w:r w:rsidRPr="00A53AD7">
        <w:rPr>
          <w:rFonts w:ascii="Times New Roman" w:eastAsia="Times New Roman" w:hAnsi="Times New Roman"/>
          <w:sz w:val="28"/>
          <w:szCs w:val="28"/>
          <w:lang w:eastAsia="ru-RU"/>
        </w:rPr>
        <w:t>с</w:t>
      </w:r>
      <w:r w:rsidRPr="00A53AD7">
        <w:rPr>
          <w:rFonts w:ascii="Times New Roman" w:hAnsi="Times New Roman"/>
          <w:sz w:val="28"/>
          <w:szCs w:val="28"/>
        </w:rPr>
        <w:t>редний балл индекса качества городской среды составил 155 или 1,97% к уровню 2018 года или 91,7% к уровню среднего значения индекса качества городской среды по Российской Фед</w:t>
      </w:r>
      <w:r w:rsidR="008A6602" w:rsidRPr="00A53AD7">
        <w:rPr>
          <w:rFonts w:ascii="Times New Roman" w:hAnsi="Times New Roman"/>
          <w:sz w:val="28"/>
          <w:szCs w:val="28"/>
        </w:rPr>
        <w:t>ерации, в том числе по городам:</w:t>
      </w:r>
    </w:p>
    <w:p w14:paraId="7AFF1A84" w14:textId="77777777" w:rsidR="008E6AAD" w:rsidRPr="00A53AD7" w:rsidRDefault="008E6AAD" w:rsidP="008E6AAD">
      <w:pPr>
        <w:spacing w:after="0" w:line="240" w:lineRule="auto"/>
        <w:rPr>
          <w:rFonts w:ascii="Times New Roman" w:hAnsi="Times New Roman"/>
          <w:sz w:val="28"/>
          <w:szCs w:val="28"/>
          <w:u w:val="single"/>
        </w:rPr>
      </w:pPr>
      <w:r w:rsidRPr="00A53AD7">
        <w:rPr>
          <w:rFonts w:ascii="Times New Roman" w:hAnsi="Times New Roman"/>
          <w:sz w:val="28"/>
          <w:szCs w:val="28"/>
          <w:u w:val="single"/>
        </w:rPr>
        <w:t>малый город</w:t>
      </w:r>
    </w:p>
    <w:p w14:paraId="27A92DCB" w14:textId="482F5088"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Коряжма</w:t>
      </w:r>
      <w:r w:rsidR="008D493D" w:rsidRPr="00A53AD7">
        <w:rPr>
          <w:rFonts w:ascii="Times New Roman" w:hAnsi="Times New Roman"/>
          <w:sz w:val="28"/>
          <w:szCs w:val="28"/>
        </w:rPr>
        <w:t xml:space="preserve"> </w:t>
      </w:r>
      <w:r w:rsidRPr="00A53AD7">
        <w:rPr>
          <w:rFonts w:ascii="Times New Roman" w:hAnsi="Times New Roman"/>
          <w:sz w:val="28"/>
          <w:szCs w:val="28"/>
        </w:rPr>
        <w:t>- 183 балла,</w:t>
      </w:r>
    </w:p>
    <w:p w14:paraId="204E97B2" w14:textId="319ED05C"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Мирный</w:t>
      </w:r>
      <w:r w:rsidR="008D493D" w:rsidRPr="00A53AD7">
        <w:rPr>
          <w:rFonts w:ascii="Times New Roman" w:hAnsi="Times New Roman"/>
          <w:sz w:val="28"/>
          <w:szCs w:val="28"/>
        </w:rPr>
        <w:t xml:space="preserve"> </w:t>
      </w:r>
      <w:r w:rsidRPr="00A53AD7">
        <w:rPr>
          <w:rFonts w:ascii="Times New Roman" w:hAnsi="Times New Roman"/>
          <w:sz w:val="28"/>
          <w:szCs w:val="28"/>
        </w:rPr>
        <w:t>- 180 баллов,</w:t>
      </w:r>
    </w:p>
    <w:p w14:paraId="021E3E11" w14:textId="77777777"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Новодвинск - 169 баллов,</w:t>
      </w:r>
    </w:p>
    <w:p w14:paraId="5D3FC0B4" w14:textId="77777777"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Няндома - 142 балла,</w:t>
      </w:r>
    </w:p>
    <w:p w14:paraId="71D0B1E0" w14:textId="77777777"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Онега - 144 балла,</w:t>
      </w:r>
    </w:p>
    <w:p w14:paraId="6E44D236" w14:textId="77777777"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Сольвычегодск - 144 балла,</w:t>
      </w:r>
    </w:p>
    <w:p w14:paraId="61415AED" w14:textId="77777777"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Мезень -144 балла,</w:t>
      </w:r>
    </w:p>
    <w:p w14:paraId="234A12F0" w14:textId="4B7F96CC"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Каргополь</w:t>
      </w:r>
      <w:r w:rsidR="008D493D" w:rsidRPr="00A53AD7">
        <w:rPr>
          <w:rFonts w:ascii="Times New Roman" w:hAnsi="Times New Roman"/>
          <w:sz w:val="28"/>
          <w:szCs w:val="28"/>
        </w:rPr>
        <w:t xml:space="preserve"> </w:t>
      </w:r>
      <w:r w:rsidRPr="00A53AD7">
        <w:rPr>
          <w:rFonts w:ascii="Times New Roman" w:hAnsi="Times New Roman"/>
          <w:sz w:val="28"/>
          <w:szCs w:val="28"/>
        </w:rPr>
        <w:t>- 135 баллов,</w:t>
      </w:r>
    </w:p>
    <w:p w14:paraId="6BC536AF" w14:textId="5133A4E2"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Шенкурск</w:t>
      </w:r>
      <w:r w:rsidR="008D493D" w:rsidRPr="00A53AD7">
        <w:rPr>
          <w:rFonts w:ascii="Times New Roman" w:hAnsi="Times New Roman"/>
          <w:sz w:val="28"/>
          <w:szCs w:val="28"/>
        </w:rPr>
        <w:t xml:space="preserve"> </w:t>
      </w:r>
      <w:r w:rsidRPr="00A53AD7">
        <w:rPr>
          <w:rFonts w:ascii="Times New Roman" w:hAnsi="Times New Roman"/>
          <w:sz w:val="28"/>
          <w:szCs w:val="28"/>
        </w:rPr>
        <w:t>-138 баллов,</w:t>
      </w:r>
    </w:p>
    <w:p w14:paraId="07CFCBF1" w14:textId="2BDB8138" w:rsidR="008E6AAD" w:rsidRPr="00A53AD7" w:rsidRDefault="008E6AAD" w:rsidP="008E6AAD">
      <w:pPr>
        <w:spacing w:after="0" w:line="240" w:lineRule="auto"/>
        <w:ind w:firstLine="708"/>
        <w:rPr>
          <w:rFonts w:ascii="Times New Roman" w:hAnsi="Times New Roman"/>
          <w:sz w:val="28"/>
          <w:szCs w:val="28"/>
        </w:rPr>
      </w:pPr>
      <w:r w:rsidRPr="00A53AD7">
        <w:rPr>
          <w:rFonts w:ascii="Times New Roman" w:hAnsi="Times New Roman"/>
          <w:sz w:val="28"/>
          <w:szCs w:val="28"/>
        </w:rPr>
        <w:t>Вельск</w:t>
      </w:r>
      <w:r w:rsidR="008D493D" w:rsidRPr="00A53AD7">
        <w:rPr>
          <w:rFonts w:ascii="Times New Roman" w:hAnsi="Times New Roman"/>
          <w:sz w:val="28"/>
          <w:szCs w:val="28"/>
        </w:rPr>
        <w:t xml:space="preserve"> </w:t>
      </w:r>
      <w:r w:rsidRPr="00A53AD7">
        <w:rPr>
          <w:rFonts w:ascii="Times New Roman" w:hAnsi="Times New Roman"/>
          <w:sz w:val="28"/>
          <w:szCs w:val="28"/>
        </w:rPr>
        <w:t>- 141 балл;</w:t>
      </w:r>
    </w:p>
    <w:p w14:paraId="49CF9379" w14:textId="0FCD3290" w:rsidR="008E6AAD" w:rsidRPr="00A53AD7" w:rsidRDefault="008E6AAD" w:rsidP="008E6AAD">
      <w:pPr>
        <w:spacing w:after="0" w:line="240" w:lineRule="auto"/>
        <w:rPr>
          <w:rFonts w:ascii="Times New Roman" w:hAnsi="Times New Roman"/>
          <w:sz w:val="28"/>
          <w:szCs w:val="28"/>
        </w:rPr>
      </w:pPr>
      <w:r w:rsidRPr="00A53AD7">
        <w:rPr>
          <w:rFonts w:ascii="Times New Roman" w:hAnsi="Times New Roman"/>
          <w:sz w:val="28"/>
          <w:szCs w:val="28"/>
          <w:u w:val="single"/>
        </w:rPr>
        <w:t>средний город:</w:t>
      </w:r>
      <w:r w:rsidR="008D493D" w:rsidRPr="00A53AD7">
        <w:rPr>
          <w:rFonts w:ascii="Times New Roman" w:hAnsi="Times New Roman"/>
          <w:sz w:val="28"/>
          <w:szCs w:val="28"/>
          <w:u w:val="single"/>
        </w:rPr>
        <w:t xml:space="preserve"> </w:t>
      </w:r>
      <w:r w:rsidRPr="00A53AD7">
        <w:rPr>
          <w:rFonts w:ascii="Times New Roman" w:hAnsi="Times New Roman"/>
          <w:sz w:val="28"/>
          <w:szCs w:val="28"/>
        </w:rPr>
        <w:t>Котлас</w:t>
      </w:r>
      <w:r w:rsidR="008D493D" w:rsidRPr="00A53AD7">
        <w:rPr>
          <w:rFonts w:ascii="Times New Roman" w:hAnsi="Times New Roman"/>
          <w:sz w:val="28"/>
          <w:szCs w:val="28"/>
        </w:rPr>
        <w:t xml:space="preserve"> </w:t>
      </w:r>
      <w:r w:rsidRPr="00A53AD7">
        <w:rPr>
          <w:rFonts w:ascii="Times New Roman" w:hAnsi="Times New Roman"/>
          <w:sz w:val="28"/>
          <w:szCs w:val="28"/>
        </w:rPr>
        <w:t>-156 баллов;</w:t>
      </w:r>
    </w:p>
    <w:p w14:paraId="3B596844" w14:textId="27E476CC" w:rsidR="008E6AAD" w:rsidRPr="00A53AD7" w:rsidRDefault="008E6AAD" w:rsidP="008E6AAD">
      <w:pPr>
        <w:spacing w:after="0" w:line="240" w:lineRule="auto"/>
        <w:rPr>
          <w:rFonts w:ascii="Times New Roman" w:hAnsi="Times New Roman"/>
          <w:sz w:val="28"/>
          <w:szCs w:val="28"/>
        </w:rPr>
      </w:pPr>
      <w:r w:rsidRPr="00A53AD7">
        <w:rPr>
          <w:rFonts w:ascii="Times New Roman" w:hAnsi="Times New Roman"/>
          <w:sz w:val="28"/>
          <w:szCs w:val="28"/>
          <w:u w:val="single"/>
        </w:rPr>
        <w:t>большой город:</w:t>
      </w:r>
      <w:r w:rsidR="008D493D" w:rsidRPr="00A53AD7">
        <w:rPr>
          <w:rFonts w:ascii="Times New Roman" w:hAnsi="Times New Roman"/>
          <w:sz w:val="28"/>
          <w:szCs w:val="28"/>
          <w:u w:val="single"/>
        </w:rPr>
        <w:t xml:space="preserve"> </w:t>
      </w:r>
      <w:r w:rsidRPr="00A53AD7">
        <w:rPr>
          <w:rFonts w:ascii="Times New Roman" w:hAnsi="Times New Roman"/>
          <w:sz w:val="28"/>
          <w:szCs w:val="28"/>
        </w:rPr>
        <w:t>Северодвинск</w:t>
      </w:r>
      <w:r w:rsidR="008D493D" w:rsidRPr="00A53AD7">
        <w:rPr>
          <w:rFonts w:ascii="Times New Roman" w:hAnsi="Times New Roman"/>
          <w:sz w:val="28"/>
          <w:szCs w:val="28"/>
        </w:rPr>
        <w:t xml:space="preserve"> </w:t>
      </w:r>
      <w:r w:rsidRPr="00A53AD7">
        <w:rPr>
          <w:rFonts w:ascii="Times New Roman" w:hAnsi="Times New Roman"/>
          <w:sz w:val="28"/>
          <w:szCs w:val="28"/>
        </w:rPr>
        <w:t>188 баллов;</w:t>
      </w:r>
    </w:p>
    <w:p w14:paraId="7001D456" w14:textId="6FBA2A97" w:rsidR="008E6AAD" w:rsidRPr="00A53AD7" w:rsidRDefault="008E6AAD" w:rsidP="008E6AAD">
      <w:pPr>
        <w:spacing w:after="0" w:line="240" w:lineRule="auto"/>
        <w:rPr>
          <w:rFonts w:ascii="Times New Roman" w:hAnsi="Times New Roman"/>
          <w:sz w:val="28"/>
          <w:szCs w:val="28"/>
        </w:rPr>
      </w:pPr>
      <w:r w:rsidRPr="00A53AD7">
        <w:rPr>
          <w:rFonts w:ascii="Times New Roman" w:hAnsi="Times New Roman"/>
          <w:sz w:val="28"/>
          <w:szCs w:val="28"/>
          <w:u w:val="single"/>
        </w:rPr>
        <w:t>крупный город:</w:t>
      </w:r>
      <w:r w:rsidR="008D493D" w:rsidRPr="00A53AD7">
        <w:rPr>
          <w:rFonts w:ascii="Times New Roman" w:hAnsi="Times New Roman"/>
          <w:sz w:val="28"/>
          <w:szCs w:val="28"/>
        </w:rPr>
        <w:t xml:space="preserve"> </w:t>
      </w:r>
      <w:r w:rsidRPr="00A53AD7">
        <w:rPr>
          <w:rFonts w:ascii="Times New Roman" w:hAnsi="Times New Roman"/>
          <w:sz w:val="28"/>
          <w:szCs w:val="28"/>
        </w:rPr>
        <w:t>Архангельск 153 балла.</w:t>
      </w:r>
    </w:p>
    <w:p w14:paraId="113BED11" w14:textId="3B89ACBB" w:rsidR="008E6AAD" w:rsidRPr="00A53AD7" w:rsidRDefault="008E6AAD" w:rsidP="002F24C0">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городская среда считается благоприятной в трех городах Архангельской области – Коряжма, Мирный, Северодвинск или 23,1% от общего количества городов Архангельской области.</w:t>
      </w:r>
    </w:p>
    <w:p w14:paraId="43026889" w14:textId="2BB45F25" w:rsidR="008E6AAD" w:rsidRPr="00A53AD7" w:rsidRDefault="008E6AAD" w:rsidP="002F24C0">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8 (или 61,5%) из 13 городов Архангельской области имеют индекс качества городской среды ниже среднего балла индекса качества городской среды по Архангельской области за 2019 год.</w:t>
      </w:r>
    </w:p>
    <w:p w14:paraId="4E7134EC" w14:textId="1901CF98" w:rsidR="008E6AAD" w:rsidRPr="00A53AD7" w:rsidRDefault="008E6AAD" w:rsidP="002F24C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 учетом вышеизложенного следует, что в 2019 году целевой показатель проекта - «1. Среднее значение индекса качества городской среды по Российской Федерации +2,0%» не выполнен на 0,3% (2,0%-1,97%).</w:t>
      </w:r>
    </w:p>
    <w:p w14:paraId="1B52D9DA" w14:textId="3AF14965" w:rsidR="008E6AAD" w:rsidRPr="00A53AD7" w:rsidRDefault="008E6AAD" w:rsidP="002F24C0">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Отмечено, что Архангельская область набрала самое низкое значение индекса качества городской среды по Северо-Западному федеральному округу, информация приведена в таблице</w:t>
      </w:r>
      <w:r w:rsidR="00F45404" w:rsidRPr="00A53AD7">
        <w:rPr>
          <w:rFonts w:ascii="Times New Roman" w:hAnsi="Times New Roman"/>
          <w:sz w:val="28"/>
          <w:szCs w:val="28"/>
        </w:rPr>
        <w:t>:</w:t>
      </w:r>
    </w:p>
    <w:tbl>
      <w:tblPr>
        <w:tblStyle w:val="a7"/>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673"/>
        <w:gridCol w:w="1810"/>
        <w:gridCol w:w="2495"/>
        <w:gridCol w:w="1346"/>
      </w:tblGrid>
      <w:tr w:rsidR="00D470B6" w:rsidRPr="00A53AD7" w14:paraId="454EBA97" w14:textId="77777777" w:rsidTr="00341186">
        <w:trPr>
          <w:tblHeader/>
        </w:trPr>
        <w:tc>
          <w:tcPr>
            <w:tcW w:w="3794" w:type="dxa"/>
          </w:tcPr>
          <w:p w14:paraId="547C3A44"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Наименование региона</w:t>
            </w:r>
          </w:p>
        </w:tc>
        <w:tc>
          <w:tcPr>
            <w:tcW w:w="1843" w:type="dxa"/>
          </w:tcPr>
          <w:p w14:paraId="3CD413C7"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Количество городов, ед.</w:t>
            </w:r>
          </w:p>
        </w:tc>
        <w:tc>
          <w:tcPr>
            <w:tcW w:w="2567" w:type="dxa"/>
          </w:tcPr>
          <w:p w14:paraId="2F07814D"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Численность населения, тыс. чел.</w:t>
            </w:r>
          </w:p>
        </w:tc>
        <w:tc>
          <w:tcPr>
            <w:tcW w:w="1367" w:type="dxa"/>
          </w:tcPr>
          <w:p w14:paraId="4DF82FCD"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Средний балл</w:t>
            </w:r>
          </w:p>
        </w:tc>
      </w:tr>
      <w:tr w:rsidR="00D470B6" w:rsidRPr="00A53AD7" w14:paraId="07B3A921" w14:textId="77777777" w:rsidTr="00F45404">
        <w:tc>
          <w:tcPr>
            <w:tcW w:w="3794" w:type="dxa"/>
          </w:tcPr>
          <w:p w14:paraId="78591B01"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 xml:space="preserve">Республика Карелия </w:t>
            </w:r>
          </w:p>
          <w:p w14:paraId="0D6DE1A3"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 xml:space="preserve">(Петрозаводск 193 балла) </w:t>
            </w:r>
          </w:p>
        </w:tc>
        <w:tc>
          <w:tcPr>
            <w:tcW w:w="1843" w:type="dxa"/>
          </w:tcPr>
          <w:p w14:paraId="4B75EFD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13</w:t>
            </w:r>
          </w:p>
        </w:tc>
        <w:tc>
          <w:tcPr>
            <w:tcW w:w="2567" w:type="dxa"/>
          </w:tcPr>
          <w:p w14:paraId="067E41AE"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462</w:t>
            </w:r>
          </w:p>
        </w:tc>
        <w:tc>
          <w:tcPr>
            <w:tcW w:w="1367" w:type="dxa"/>
          </w:tcPr>
          <w:p w14:paraId="34AA636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164</w:t>
            </w:r>
          </w:p>
        </w:tc>
      </w:tr>
      <w:tr w:rsidR="00D470B6" w:rsidRPr="00A53AD7" w14:paraId="1C6EF727" w14:textId="77777777" w:rsidTr="00F45404">
        <w:tc>
          <w:tcPr>
            <w:tcW w:w="3794" w:type="dxa"/>
          </w:tcPr>
          <w:p w14:paraId="126C1A80"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Ненецкий автономный округ</w:t>
            </w:r>
          </w:p>
          <w:p w14:paraId="58416D3A"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(Нарьян -Мар 174 балла)</w:t>
            </w:r>
          </w:p>
        </w:tc>
        <w:tc>
          <w:tcPr>
            <w:tcW w:w="1843" w:type="dxa"/>
          </w:tcPr>
          <w:p w14:paraId="610823E8"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w:t>
            </w:r>
          </w:p>
        </w:tc>
        <w:tc>
          <w:tcPr>
            <w:tcW w:w="2567" w:type="dxa"/>
          </w:tcPr>
          <w:p w14:paraId="10567352"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24,8</w:t>
            </w:r>
          </w:p>
        </w:tc>
        <w:tc>
          <w:tcPr>
            <w:tcW w:w="1367" w:type="dxa"/>
          </w:tcPr>
          <w:p w14:paraId="5F92C3D0"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174</w:t>
            </w:r>
          </w:p>
        </w:tc>
      </w:tr>
      <w:tr w:rsidR="00D470B6" w:rsidRPr="00A53AD7" w14:paraId="3F2D3572" w14:textId="77777777" w:rsidTr="00F45404">
        <w:tc>
          <w:tcPr>
            <w:tcW w:w="3794" w:type="dxa"/>
          </w:tcPr>
          <w:p w14:paraId="680C5EEB"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Вологодская область</w:t>
            </w:r>
          </w:p>
          <w:p w14:paraId="3DA24FB6"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(Вологда 206 баллов)</w:t>
            </w:r>
          </w:p>
        </w:tc>
        <w:tc>
          <w:tcPr>
            <w:tcW w:w="1843" w:type="dxa"/>
          </w:tcPr>
          <w:p w14:paraId="16D8DA01"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15</w:t>
            </w:r>
          </w:p>
        </w:tc>
        <w:tc>
          <w:tcPr>
            <w:tcW w:w="2567" w:type="dxa"/>
          </w:tcPr>
          <w:p w14:paraId="18300686"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794,4</w:t>
            </w:r>
          </w:p>
        </w:tc>
        <w:tc>
          <w:tcPr>
            <w:tcW w:w="1367" w:type="dxa"/>
          </w:tcPr>
          <w:p w14:paraId="0576F1F7"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169</w:t>
            </w:r>
          </w:p>
        </w:tc>
      </w:tr>
      <w:tr w:rsidR="00D470B6" w:rsidRPr="00A53AD7" w14:paraId="01814CE3" w14:textId="77777777" w:rsidTr="00F45404">
        <w:tc>
          <w:tcPr>
            <w:tcW w:w="3794" w:type="dxa"/>
          </w:tcPr>
          <w:p w14:paraId="44683067"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Мурманская область</w:t>
            </w:r>
          </w:p>
          <w:p w14:paraId="6C15BF06"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(Мурманск 186 баллов)</w:t>
            </w:r>
          </w:p>
        </w:tc>
        <w:tc>
          <w:tcPr>
            <w:tcW w:w="1843" w:type="dxa"/>
          </w:tcPr>
          <w:p w14:paraId="194E40B1"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16</w:t>
            </w:r>
          </w:p>
        </w:tc>
        <w:tc>
          <w:tcPr>
            <w:tcW w:w="2567" w:type="dxa"/>
          </w:tcPr>
          <w:p w14:paraId="6A149559"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629,6</w:t>
            </w:r>
          </w:p>
        </w:tc>
        <w:tc>
          <w:tcPr>
            <w:tcW w:w="1367" w:type="dxa"/>
          </w:tcPr>
          <w:p w14:paraId="32B26960"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186</w:t>
            </w:r>
          </w:p>
        </w:tc>
      </w:tr>
      <w:tr w:rsidR="00D470B6" w:rsidRPr="00A53AD7" w14:paraId="705070DA" w14:textId="77777777" w:rsidTr="00F45404">
        <w:tc>
          <w:tcPr>
            <w:tcW w:w="3794" w:type="dxa"/>
          </w:tcPr>
          <w:p w14:paraId="586F5F1B"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Ленинградская область</w:t>
            </w:r>
          </w:p>
        </w:tc>
        <w:tc>
          <w:tcPr>
            <w:tcW w:w="1843" w:type="dxa"/>
          </w:tcPr>
          <w:p w14:paraId="43A062F4"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32</w:t>
            </w:r>
          </w:p>
        </w:tc>
        <w:tc>
          <w:tcPr>
            <w:tcW w:w="2567" w:type="dxa"/>
          </w:tcPr>
          <w:p w14:paraId="7B010F44"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979,3</w:t>
            </w:r>
          </w:p>
        </w:tc>
        <w:tc>
          <w:tcPr>
            <w:tcW w:w="1367" w:type="dxa"/>
          </w:tcPr>
          <w:p w14:paraId="72B3A1BB"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185</w:t>
            </w:r>
          </w:p>
        </w:tc>
      </w:tr>
      <w:tr w:rsidR="00D470B6" w:rsidRPr="00A53AD7" w14:paraId="12AE1B20" w14:textId="77777777" w:rsidTr="00F45404">
        <w:tc>
          <w:tcPr>
            <w:tcW w:w="3794" w:type="dxa"/>
          </w:tcPr>
          <w:p w14:paraId="59064704"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 xml:space="preserve">Республика Коми </w:t>
            </w:r>
          </w:p>
          <w:p w14:paraId="60DF4CFA"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(Сыктывкар 180 баллов)</w:t>
            </w:r>
          </w:p>
        </w:tc>
        <w:tc>
          <w:tcPr>
            <w:tcW w:w="1843" w:type="dxa"/>
          </w:tcPr>
          <w:p w14:paraId="7198FB91"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10</w:t>
            </w:r>
          </w:p>
        </w:tc>
        <w:tc>
          <w:tcPr>
            <w:tcW w:w="2567" w:type="dxa"/>
          </w:tcPr>
          <w:p w14:paraId="14F7E755"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554,7</w:t>
            </w:r>
          </w:p>
        </w:tc>
        <w:tc>
          <w:tcPr>
            <w:tcW w:w="1367" w:type="dxa"/>
          </w:tcPr>
          <w:p w14:paraId="057272E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173</w:t>
            </w:r>
          </w:p>
        </w:tc>
      </w:tr>
      <w:tr w:rsidR="00D470B6" w:rsidRPr="00A53AD7" w14:paraId="683CDAB9" w14:textId="77777777" w:rsidTr="00F45404">
        <w:tc>
          <w:tcPr>
            <w:tcW w:w="3794" w:type="dxa"/>
          </w:tcPr>
          <w:p w14:paraId="3C5357FE"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Калининградская область</w:t>
            </w:r>
          </w:p>
          <w:p w14:paraId="64637C0B"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(Калининград 210 баллов)</w:t>
            </w:r>
          </w:p>
        </w:tc>
        <w:tc>
          <w:tcPr>
            <w:tcW w:w="1843" w:type="dxa"/>
          </w:tcPr>
          <w:p w14:paraId="579AAADB"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22</w:t>
            </w:r>
          </w:p>
        </w:tc>
        <w:tc>
          <w:tcPr>
            <w:tcW w:w="2567" w:type="dxa"/>
          </w:tcPr>
          <w:p w14:paraId="63996CDF"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770,9</w:t>
            </w:r>
          </w:p>
        </w:tc>
        <w:tc>
          <w:tcPr>
            <w:tcW w:w="1367" w:type="dxa"/>
          </w:tcPr>
          <w:p w14:paraId="0FF294A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184</w:t>
            </w:r>
          </w:p>
        </w:tc>
      </w:tr>
      <w:tr w:rsidR="00D470B6" w:rsidRPr="00A53AD7" w14:paraId="0264760B" w14:textId="77777777" w:rsidTr="00F45404">
        <w:tc>
          <w:tcPr>
            <w:tcW w:w="3794" w:type="dxa"/>
          </w:tcPr>
          <w:p w14:paraId="019FDD2D"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Новгородская область</w:t>
            </w:r>
          </w:p>
          <w:p w14:paraId="6CF4C563"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(Великий Новгород 228 баллов)</w:t>
            </w:r>
          </w:p>
        </w:tc>
        <w:tc>
          <w:tcPr>
            <w:tcW w:w="1843" w:type="dxa"/>
          </w:tcPr>
          <w:p w14:paraId="05455018"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10</w:t>
            </w:r>
          </w:p>
        </w:tc>
        <w:tc>
          <w:tcPr>
            <w:tcW w:w="2567" w:type="dxa"/>
          </w:tcPr>
          <w:p w14:paraId="4F1E61BD"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377,2</w:t>
            </w:r>
          </w:p>
        </w:tc>
        <w:tc>
          <w:tcPr>
            <w:tcW w:w="1367" w:type="dxa"/>
          </w:tcPr>
          <w:p w14:paraId="5B987244"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188</w:t>
            </w:r>
          </w:p>
        </w:tc>
      </w:tr>
      <w:tr w:rsidR="00D470B6" w:rsidRPr="00A53AD7" w14:paraId="68AD8B28" w14:textId="77777777" w:rsidTr="00F45404">
        <w:tc>
          <w:tcPr>
            <w:tcW w:w="3794" w:type="dxa"/>
          </w:tcPr>
          <w:p w14:paraId="63114794"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Псковская область</w:t>
            </w:r>
          </w:p>
          <w:p w14:paraId="28F3F2D4"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(Псков 201 балл)</w:t>
            </w:r>
          </w:p>
        </w:tc>
        <w:tc>
          <w:tcPr>
            <w:tcW w:w="1843" w:type="dxa"/>
          </w:tcPr>
          <w:p w14:paraId="31B77560"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14</w:t>
            </w:r>
          </w:p>
        </w:tc>
        <w:tc>
          <w:tcPr>
            <w:tcW w:w="2567" w:type="dxa"/>
          </w:tcPr>
          <w:p w14:paraId="661EACDA"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400,0</w:t>
            </w:r>
          </w:p>
        </w:tc>
        <w:tc>
          <w:tcPr>
            <w:tcW w:w="1367" w:type="dxa"/>
          </w:tcPr>
          <w:p w14:paraId="41DA2440"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169</w:t>
            </w:r>
          </w:p>
        </w:tc>
      </w:tr>
      <w:tr w:rsidR="00D470B6" w:rsidRPr="00A53AD7" w14:paraId="68BA3AB8" w14:textId="77777777" w:rsidTr="00F45404">
        <w:tc>
          <w:tcPr>
            <w:tcW w:w="3794" w:type="dxa"/>
          </w:tcPr>
          <w:p w14:paraId="64C06A8D"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Санкт-Петербург</w:t>
            </w:r>
          </w:p>
        </w:tc>
        <w:tc>
          <w:tcPr>
            <w:tcW w:w="1843" w:type="dxa"/>
          </w:tcPr>
          <w:p w14:paraId="44C4881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w:t>
            </w:r>
          </w:p>
        </w:tc>
        <w:tc>
          <w:tcPr>
            <w:tcW w:w="2567" w:type="dxa"/>
          </w:tcPr>
          <w:p w14:paraId="42A52D79"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5 400</w:t>
            </w:r>
          </w:p>
        </w:tc>
        <w:tc>
          <w:tcPr>
            <w:tcW w:w="1367" w:type="dxa"/>
          </w:tcPr>
          <w:p w14:paraId="55CE5C5D"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243</w:t>
            </w:r>
          </w:p>
        </w:tc>
      </w:tr>
      <w:tr w:rsidR="008E6AAD" w:rsidRPr="00A53AD7" w14:paraId="3F3A2F3F" w14:textId="77777777" w:rsidTr="00F45404">
        <w:tc>
          <w:tcPr>
            <w:tcW w:w="3794" w:type="dxa"/>
          </w:tcPr>
          <w:p w14:paraId="4B6B8401"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Архангельская область</w:t>
            </w:r>
          </w:p>
          <w:p w14:paraId="76B3E810" w14:textId="77777777" w:rsidR="008E6AAD" w:rsidRPr="00A53AD7" w:rsidRDefault="008E6AAD" w:rsidP="00F45404">
            <w:pPr>
              <w:spacing w:after="0" w:line="240" w:lineRule="auto"/>
              <w:jc w:val="both"/>
              <w:rPr>
                <w:rFonts w:ascii="Times New Roman" w:hAnsi="Times New Roman"/>
              </w:rPr>
            </w:pPr>
            <w:r w:rsidRPr="00A53AD7">
              <w:rPr>
                <w:rFonts w:ascii="Times New Roman" w:hAnsi="Times New Roman"/>
              </w:rPr>
              <w:t>(Архангельск 153 балла)</w:t>
            </w:r>
          </w:p>
        </w:tc>
        <w:tc>
          <w:tcPr>
            <w:tcW w:w="1843" w:type="dxa"/>
          </w:tcPr>
          <w:p w14:paraId="6EDA9583"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13</w:t>
            </w:r>
          </w:p>
        </w:tc>
        <w:tc>
          <w:tcPr>
            <w:tcW w:w="2567" w:type="dxa"/>
          </w:tcPr>
          <w:p w14:paraId="52A6AB6A"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779,3</w:t>
            </w:r>
          </w:p>
        </w:tc>
        <w:tc>
          <w:tcPr>
            <w:tcW w:w="1367" w:type="dxa"/>
          </w:tcPr>
          <w:p w14:paraId="5F0ADFD7" w14:textId="77777777" w:rsidR="008E6AAD" w:rsidRPr="00A53AD7" w:rsidRDefault="008E6AAD" w:rsidP="00F45404">
            <w:pPr>
              <w:spacing w:after="0" w:line="240" w:lineRule="auto"/>
              <w:jc w:val="center"/>
              <w:rPr>
                <w:rFonts w:ascii="Times New Roman" w:hAnsi="Times New Roman"/>
              </w:rPr>
            </w:pPr>
            <w:r w:rsidRPr="00A53AD7">
              <w:rPr>
                <w:rFonts w:ascii="Times New Roman" w:hAnsi="Times New Roman"/>
              </w:rPr>
              <w:t>155</w:t>
            </w:r>
          </w:p>
        </w:tc>
      </w:tr>
    </w:tbl>
    <w:p w14:paraId="36334C32" w14:textId="77777777" w:rsidR="008E6AAD" w:rsidRPr="00A53AD7" w:rsidRDefault="008E6AAD" w:rsidP="00F45404">
      <w:pPr>
        <w:spacing w:after="0" w:line="240" w:lineRule="auto"/>
        <w:ind w:firstLine="851"/>
        <w:jc w:val="both"/>
        <w:rPr>
          <w:rFonts w:ascii="Times New Roman" w:hAnsi="Times New Roman"/>
          <w:sz w:val="28"/>
          <w:szCs w:val="28"/>
        </w:rPr>
      </w:pPr>
    </w:p>
    <w:p w14:paraId="13C4AB80" w14:textId="7AC0AA75" w:rsidR="008E6AAD" w:rsidRPr="00A53AD7" w:rsidRDefault="008E6AAD" w:rsidP="00F45404">
      <w:pPr>
        <w:spacing w:after="0" w:line="240" w:lineRule="auto"/>
        <w:ind w:firstLine="851"/>
        <w:jc w:val="both"/>
        <w:rPr>
          <w:rFonts w:ascii="Times New Roman" w:eastAsia="Times New Roman" w:hAnsi="Times New Roman"/>
          <w:sz w:val="28"/>
          <w:szCs w:val="28"/>
          <w:highlight w:val="cyan"/>
        </w:rPr>
      </w:pPr>
      <w:r w:rsidRPr="00A53AD7">
        <w:rPr>
          <w:rFonts w:ascii="Times New Roman" w:hAnsi="Times New Roman"/>
          <w:sz w:val="28"/>
          <w:szCs w:val="28"/>
        </w:rPr>
        <w:t>Информация об исполнении мероприятий РП за 2019 год за счет различных источников и отчетов представлена</w:t>
      </w:r>
      <w:r w:rsidR="00F45404" w:rsidRPr="00A53AD7">
        <w:rPr>
          <w:rFonts w:ascii="Times New Roman" w:hAnsi="Times New Roman"/>
          <w:sz w:val="28"/>
          <w:szCs w:val="28"/>
        </w:rPr>
        <w:t xml:space="preserve"> в таблице:</w:t>
      </w:r>
    </w:p>
    <w:tbl>
      <w:tblPr>
        <w:tblStyle w:val="a7"/>
        <w:tblW w:w="0" w:type="auto"/>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794"/>
        <w:gridCol w:w="1134"/>
        <w:gridCol w:w="2126"/>
        <w:gridCol w:w="1276"/>
        <w:gridCol w:w="1134"/>
      </w:tblGrid>
      <w:tr w:rsidR="00D470B6" w:rsidRPr="00A53AD7" w14:paraId="234CA2D6" w14:textId="77777777" w:rsidTr="00F45404">
        <w:trPr>
          <w:trHeight w:val="1871"/>
          <w:tblHeader/>
        </w:trPr>
        <w:tc>
          <w:tcPr>
            <w:tcW w:w="3794" w:type="dxa"/>
          </w:tcPr>
          <w:p w14:paraId="7AF410C8" w14:textId="77777777" w:rsidR="008E6AAD" w:rsidRPr="00A53AD7" w:rsidRDefault="008E6AAD"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Наименование источника</w:t>
            </w:r>
          </w:p>
        </w:tc>
        <w:tc>
          <w:tcPr>
            <w:tcW w:w="1134" w:type="dxa"/>
          </w:tcPr>
          <w:p w14:paraId="0034CD35" w14:textId="77777777" w:rsidR="008E6AAD" w:rsidRPr="00A53AD7" w:rsidRDefault="008E6AAD"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План на 2019 год, согласно РП,</w:t>
            </w:r>
          </w:p>
          <w:p w14:paraId="04B12A2C" w14:textId="7B9129CB" w:rsidR="008E6AAD" w:rsidRPr="00A53AD7" w:rsidRDefault="00EC4480"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млн.</w:t>
            </w:r>
            <w:r w:rsidR="008E6AAD" w:rsidRPr="00A53AD7">
              <w:rPr>
                <w:rFonts w:ascii="Times New Roman" w:eastAsia="Times New Roman" w:hAnsi="Times New Roman"/>
                <w:sz w:val="20"/>
                <w:szCs w:val="20"/>
              </w:rPr>
              <w:t>руб.</w:t>
            </w:r>
          </w:p>
        </w:tc>
        <w:tc>
          <w:tcPr>
            <w:tcW w:w="2126" w:type="dxa"/>
          </w:tcPr>
          <w:p w14:paraId="1BAB8B24" w14:textId="77777777" w:rsidR="008E6AAD" w:rsidRPr="00A53AD7" w:rsidRDefault="008E6AAD"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Исполнение 2019 год,</w:t>
            </w:r>
            <w:r w:rsidRPr="00A53AD7">
              <w:rPr>
                <w:rFonts w:ascii="Times New Roman" w:hAnsi="Times New Roman"/>
                <w:sz w:val="20"/>
                <w:szCs w:val="20"/>
              </w:rPr>
              <w:t xml:space="preserve"> с</w:t>
            </w:r>
            <w:r w:rsidRPr="00A53AD7">
              <w:rPr>
                <w:rFonts w:ascii="Times New Roman" w:eastAsia="Times New Roman" w:hAnsi="Times New Roman"/>
                <w:sz w:val="20"/>
                <w:szCs w:val="20"/>
              </w:rPr>
              <w:t>огласно Отчету о реализации мероприятий ГП АО №330-пп за 2019 год, размещенному в системе КИАС,</w:t>
            </w:r>
          </w:p>
          <w:p w14:paraId="1F05ABEC" w14:textId="3003AF76" w:rsidR="008E6AAD" w:rsidRPr="00A53AD7" w:rsidRDefault="00EC4480"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 xml:space="preserve"> млн.</w:t>
            </w:r>
            <w:r w:rsidR="008E6AAD" w:rsidRPr="00A53AD7">
              <w:rPr>
                <w:rFonts w:ascii="Times New Roman" w:eastAsia="Times New Roman" w:hAnsi="Times New Roman"/>
                <w:sz w:val="20"/>
                <w:szCs w:val="20"/>
              </w:rPr>
              <w:t>руб.</w:t>
            </w:r>
          </w:p>
        </w:tc>
        <w:tc>
          <w:tcPr>
            <w:tcW w:w="1276" w:type="dxa"/>
          </w:tcPr>
          <w:p w14:paraId="37A1471A" w14:textId="773F3AAD" w:rsidR="008E6AAD" w:rsidRPr="00A53AD7" w:rsidRDefault="008E6AAD"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Исполнение 2019 год,</w:t>
            </w:r>
            <w:r w:rsidRPr="00A53AD7">
              <w:rPr>
                <w:rFonts w:ascii="Times New Roman" w:hAnsi="Times New Roman"/>
                <w:sz w:val="20"/>
                <w:szCs w:val="20"/>
              </w:rPr>
              <w:t xml:space="preserve"> с</w:t>
            </w:r>
            <w:r w:rsidRPr="00A53AD7">
              <w:rPr>
                <w:rFonts w:ascii="Times New Roman" w:eastAsia="Times New Roman" w:hAnsi="Times New Roman"/>
                <w:sz w:val="20"/>
                <w:szCs w:val="20"/>
              </w:rPr>
              <w:t>огласно Отчету о ре</w:t>
            </w:r>
            <w:r w:rsidR="00EC4480" w:rsidRPr="00A53AD7">
              <w:rPr>
                <w:rFonts w:ascii="Times New Roman" w:eastAsia="Times New Roman" w:hAnsi="Times New Roman"/>
                <w:sz w:val="20"/>
                <w:szCs w:val="20"/>
              </w:rPr>
              <w:t>ализации РП на 01.01.2020, млн.</w:t>
            </w:r>
            <w:r w:rsidRPr="00A53AD7">
              <w:rPr>
                <w:rFonts w:ascii="Times New Roman" w:eastAsia="Times New Roman" w:hAnsi="Times New Roman"/>
                <w:sz w:val="20"/>
                <w:szCs w:val="20"/>
              </w:rPr>
              <w:t>руб.</w:t>
            </w:r>
          </w:p>
        </w:tc>
        <w:tc>
          <w:tcPr>
            <w:tcW w:w="1134" w:type="dxa"/>
          </w:tcPr>
          <w:p w14:paraId="413181C8" w14:textId="77777777" w:rsidR="008E6AAD" w:rsidRPr="00A53AD7" w:rsidRDefault="008E6AAD" w:rsidP="00F45404">
            <w:pPr>
              <w:spacing w:after="0" w:line="240" w:lineRule="auto"/>
              <w:jc w:val="center"/>
              <w:rPr>
                <w:rFonts w:ascii="Times New Roman" w:eastAsia="Times New Roman" w:hAnsi="Times New Roman"/>
                <w:sz w:val="20"/>
                <w:szCs w:val="20"/>
              </w:rPr>
            </w:pPr>
            <w:r w:rsidRPr="00A53AD7">
              <w:rPr>
                <w:rFonts w:ascii="Times New Roman" w:eastAsia="Times New Roman" w:hAnsi="Times New Roman"/>
                <w:sz w:val="20"/>
                <w:szCs w:val="20"/>
              </w:rPr>
              <w:t xml:space="preserve">% исполнения отчета РП к плану РП </w:t>
            </w:r>
          </w:p>
        </w:tc>
      </w:tr>
      <w:tr w:rsidR="00D470B6" w:rsidRPr="00A53AD7" w14:paraId="0D2F818C" w14:textId="77777777" w:rsidTr="00F45404">
        <w:tc>
          <w:tcPr>
            <w:tcW w:w="3794" w:type="dxa"/>
          </w:tcPr>
          <w:p w14:paraId="4E0FA2AA"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w:t>
            </w:r>
          </w:p>
        </w:tc>
        <w:tc>
          <w:tcPr>
            <w:tcW w:w="1134" w:type="dxa"/>
          </w:tcPr>
          <w:p w14:paraId="48E03311"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2</w:t>
            </w:r>
          </w:p>
        </w:tc>
        <w:tc>
          <w:tcPr>
            <w:tcW w:w="2126" w:type="dxa"/>
          </w:tcPr>
          <w:p w14:paraId="5C13EED0"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w:t>
            </w:r>
          </w:p>
        </w:tc>
        <w:tc>
          <w:tcPr>
            <w:tcW w:w="1276" w:type="dxa"/>
          </w:tcPr>
          <w:p w14:paraId="03BD8106"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4</w:t>
            </w:r>
          </w:p>
        </w:tc>
        <w:tc>
          <w:tcPr>
            <w:tcW w:w="1134" w:type="dxa"/>
          </w:tcPr>
          <w:p w14:paraId="180B8665"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5=4/2*100</w:t>
            </w:r>
          </w:p>
        </w:tc>
      </w:tr>
      <w:tr w:rsidR="00D470B6" w:rsidRPr="00A53AD7" w14:paraId="31F33B72" w14:textId="77777777" w:rsidTr="00F45404">
        <w:tc>
          <w:tcPr>
            <w:tcW w:w="3794" w:type="dxa"/>
          </w:tcPr>
          <w:p w14:paraId="72899BD1"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Федеральный бюджет</w:t>
            </w:r>
          </w:p>
        </w:tc>
        <w:tc>
          <w:tcPr>
            <w:tcW w:w="1134" w:type="dxa"/>
          </w:tcPr>
          <w:p w14:paraId="242B9777"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501,8</w:t>
            </w:r>
          </w:p>
        </w:tc>
        <w:tc>
          <w:tcPr>
            <w:tcW w:w="2126" w:type="dxa"/>
          </w:tcPr>
          <w:p w14:paraId="375E717E"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372,0</w:t>
            </w:r>
          </w:p>
        </w:tc>
        <w:tc>
          <w:tcPr>
            <w:tcW w:w="1276" w:type="dxa"/>
          </w:tcPr>
          <w:p w14:paraId="3D34D0A1"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372,0</w:t>
            </w:r>
          </w:p>
        </w:tc>
        <w:tc>
          <w:tcPr>
            <w:tcW w:w="1134" w:type="dxa"/>
          </w:tcPr>
          <w:p w14:paraId="2E3492DF"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74,1</w:t>
            </w:r>
          </w:p>
        </w:tc>
      </w:tr>
      <w:tr w:rsidR="00D470B6" w:rsidRPr="00A53AD7" w14:paraId="65EA7387" w14:textId="77777777" w:rsidTr="00F45404">
        <w:tc>
          <w:tcPr>
            <w:tcW w:w="3794" w:type="dxa"/>
          </w:tcPr>
          <w:p w14:paraId="5B3C545C"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Мероприятия по формированию современной городской среды</w:t>
            </w:r>
          </w:p>
        </w:tc>
        <w:tc>
          <w:tcPr>
            <w:tcW w:w="1134" w:type="dxa"/>
          </w:tcPr>
          <w:p w14:paraId="347D465B"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362,8</w:t>
            </w:r>
          </w:p>
        </w:tc>
        <w:tc>
          <w:tcPr>
            <w:tcW w:w="2126" w:type="dxa"/>
          </w:tcPr>
          <w:p w14:paraId="4500F157"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362,8</w:t>
            </w:r>
          </w:p>
        </w:tc>
        <w:tc>
          <w:tcPr>
            <w:tcW w:w="1276" w:type="dxa"/>
          </w:tcPr>
          <w:p w14:paraId="5037801B"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362,8</w:t>
            </w:r>
          </w:p>
        </w:tc>
        <w:tc>
          <w:tcPr>
            <w:tcW w:w="1134" w:type="dxa"/>
          </w:tcPr>
          <w:p w14:paraId="7C3A5C0E"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100,0</w:t>
            </w:r>
          </w:p>
        </w:tc>
      </w:tr>
      <w:tr w:rsidR="00D470B6" w:rsidRPr="00A53AD7" w14:paraId="08A76E17" w14:textId="77777777" w:rsidTr="00F45404">
        <w:tc>
          <w:tcPr>
            <w:tcW w:w="3794" w:type="dxa"/>
          </w:tcPr>
          <w:p w14:paraId="6E5EF85A"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w:t>
            </w:r>
          </w:p>
        </w:tc>
        <w:tc>
          <w:tcPr>
            <w:tcW w:w="1134" w:type="dxa"/>
          </w:tcPr>
          <w:p w14:paraId="4C6A8DA1"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139,0</w:t>
            </w:r>
          </w:p>
        </w:tc>
        <w:tc>
          <w:tcPr>
            <w:tcW w:w="2126" w:type="dxa"/>
          </w:tcPr>
          <w:p w14:paraId="2EC839EC"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9,2</w:t>
            </w:r>
          </w:p>
        </w:tc>
        <w:tc>
          <w:tcPr>
            <w:tcW w:w="1276" w:type="dxa"/>
          </w:tcPr>
          <w:p w14:paraId="5262E3CE"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9,2</w:t>
            </w:r>
          </w:p>
        </w:tc>
        <w:tc>
          <w:tcPr>
            <w:tcW w:w="1134" w:type="dxa"/>
          </w:tcPr>
          <w:p w14:paraId="36CA4435"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6,6</w:t>
            </w:r>
          </w:p>
        </w:tc>
      </w:tr>
      <w:tr w:rsidR="00D470B6" w:rsidRPr="00A53AD7" w14:paraId="1F838E88" w14:textId="77777777" w:rsidTr="00F45404">
        <w:tc>
          <w:tcPr>
            <w:tcW w:w="3794" w:type="dxa"/>
          </w:tcPr>
          <w:p w14:paraId="1A370AC0"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Областной бюджет</w:t>
            </w:r>
          </w:p>
        </w:tc>
        <w:tc>
          <w:tcPr>
            <w:tcW w:w="1134" w:type="dxa"/>
          </w:tcPr>
          <w:p w14:paraId="4CA42989"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14,2</w:t>
            </w:r>
          </w:p>
        </w:tc>
        <w:tc>
          <w:tcPr>
            <w:tcW w:w="2126" w:type="dxa"/>
          </w:tcPr>
          <w:p w14:paraId="50DA590A"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9,6</w:t>
            </w:r>
          </w:p>
        </w:tc>
        <w:tc>
          <w:tcPr>
            <w:tcW w:w="1276" w:type="dxa"/>
          </w:tcPr>
          <w:p w14:paraId="6396C087"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9,6</w:t>
            </w:r>
          </w:p>
        </w:tc>
        <w:tc>
          <w:tcPr>
            <w:tcW w:w="1134" w:type="dxa"/>
          </w:tcPr>
          <w:p w14:paraId="2964EA77"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67,6</w:t>
            </w:r>
          </w:p>
        </w:tc>
      </w:tr>
      <w:tr w:rsidR="00D470B6" w:rsidRPr="00A53AD7" w14:paraId="7189EBCC" w14:textId="77777777" w:rsidTr="00F45404">
        <w:tc>
          <w:tcPr>
            <w:tcW w:w="3794" w:type="dxa"/>
          </w:tcPr>
          <w:p w14:paraId="14FFACD5"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Мероприятия по формированию современной городской среды</w:t>
            </w:r>
          </w:p>
        </w:tc>
        <w:tc>
          <w:tcPr>
            <w:tcW w:w="1134" w:type="dxa"/>
          </w:tcPr>
          <w:p w14:paraId="2F962E6A"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7,4</w:t>
            </w:r>
          </w:p>
        </w:tc>
        <w:tc>
          <w:tcPr>
            <w:tcW w:w="2126" w:type="dxa"/>
          </w:tcPr>
          <w:p w14:paraId="2F7F537A"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7,4</w:t>
            </w:r>
          </w:p>
        </w:tc>
        <w:tc>
          <w:tcPr>
            <w:tcW w:w="1276" w:type="dxa"/>
          </w:tcPr>
          <w:p w14:paraId="42B24749"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7,4</w:t>
            </w:r>
          </w:p>
        </w:tc>
        <w:tc>
          <w:tcPr>
            <w:tcW w:w="1134" w:type="dxa"/>
          </w:tcPr>
          <w:p w14:paraId="4C659ECD"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100,0</w:t>
            </w:r>
          </w:p>
        </w:tc>
      </w:tr>
      <w:tr w:rsidR="00D470B6" w:rsidRPr="00A53AD7" w14:paraId="59B4C5A2" w14:textId="77777777" w:rsidTr="00F45404">
        <w:tc>
          <w:tcPr>
            <w:tcW w:w="3794" w:type="dxa"/>
          </w:tcPr>
          <w:p w14:paraId="5327DC55"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w:t>
            </w:r>
          </w:p>
        </w:tc>
        <w:tc>
          <w:tcPr>
            <w:tcW w:w="1134" w:type="dxa"/>
          </w:tcPr>
          <w:p w14:paraId="3B3C8005"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6,8</w:t>
            </w:r>
          </w:p>
        </w:tc>
        <w:tc>
          <w:tcPr>
            <w:tcW w:w="2126" w:type="dxa"/>
          </w:tcPr>
          <w:p w14:paraId="1B08232D"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2,2</w:t>
            </w:r>
          </w:p>
        </w:tc>
        <w:tc>
          <w:tcPr>
            <w:tcW w:w="1276" w:type="dxa"/>
          </w:tcPr>
          <w:p w14:paraId="223A2348"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2,2</w:t>
            </w:r>
          </w:p>
        </w:tc>
        <w:tc>
          <w:tcPr>
            <w:tcW w:w="1134" w:type="dxa"/>
          </w:tcPr>
          <w:p w14:paraId="2B6841E5"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32,4</w:t>
            </w:r>
          </w:p>
        </w:tc>
      </w:tr>
      <w:tr w:rsidR="00D470B6" w:rsidRPr="00A53AD7" w14:paraId="3A910C16" w14:textId="77777777" w:rsidTr="00F45404">
        <w:tc>
          <w:tcPr>
            <w:tcW w:w="3794" w:type="dxa"/>
          </w:tcPr>
          <w:p w14:paraId="070EB0B8"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Местный бюджет</w:t>
            </w:r>
          </w:p>
        </w:tc>
        <w:tc>
          <w:tcPr>
            <w:tcW w:w="1134" w:type="dxa"/>
          </w:tcPr>
          <w:p w14:paraId="599E46A7"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16,6</w:t>
            </w:r>
          </w:p>
        </w:tc>
        <w:tc>
          <w:tcPr>
            <w:tcW w:w="2126" w:type="dxa"/>
          </w:tcPr>
          <w:p w14:paraId="28095D45"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22,9</w:t>
            </w:r>
          </w:p>
        </w:tc>
        <w:tc>
          <w:tcPr>
            <w:tcW w:w="1276" w:type="dxa"/>
          </w:tcPr>
          <w:p w14:paraId="0A4BE96D"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18,78</w:t>
            </w:r>
          </w:p>
        </w:tc>
        <w:tc>
          <w:tcPr>
            <w:tcW w:w="1134" w:type="dxa"/>
          </w:tcPr>
          <w:p w14:paraId="1D46A768"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113,1</w:t>
            </w:r>
          </w:p>
        </w:tc>
      </w:tr>
      <w:tr w:rsidR="00D470B6" w:rsidRPr="00A53AD7" w14:paraId="0C8133D0" w14:textId="77777777" w:rsidTr="00F45404">
        <w:tc>
          <w:tcPr>
            <w:tcW w:w="3794" w:type="dxa"/>
          </w:tcPr>
          <w:p w14:paraId="69897085"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Мероприятия по формированию современной городской среды</w:t>
            </w:r>
          </w:p>
        </w:tc>
        <w:tc>
          <w:tcPr>
            <w:tcW w:w="1134" w:type="dxa"/>
          </w:tcPr>
          <w:p w14:paraId="58AE97ED"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16,5</w:t>
            </w:r>
          </w:p>
        </w:tc>
        <w:tc>
          <w:tcPr>
            <w:tcW w:w="2126" w:type="dxa"/>
            <w:shd w:val="clear" w:color="auto" w:fill="auto"/>
          </w:tcPr>
          <w:p w14:paraId="3D07315F"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21,3</w:t>
            </w:r>
          </w:p>
        </w:tc>
        <w:tc>
          <w:tcPr>
            <w:tcW w:w="1276" w:type="dxa"/>
          </w:tcPr>
          <w:p w14:paraId="57FDCDEC"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18,7</w:t>
            </w:r>
          </w:p>
        </w:tc>
        <w:tc>
          <w:tcPr>
            <w:tcW w:w="1134" w:type="dxa"/>
          </w:tcPr>
          <w:p w14:paraId="3ED1AA5B"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113,3</w:t>
            </w:r>
          </w:p>
        </w:tc>
      </w:tr>
      <w:tr w:rsidR="00D470B6" w:rsidRPr="00A53AD7" w14:paraId="350BF5D9" w14:textId="77777777" w:rsidTr="00F45404">
        <w:tc>
          <w:tcPr>
            <w:tcW w:w="3794" w:type="dxa"/>
          </w:tcPr>
          <w:p w14:paraId="53AD625E"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 "</w:t>
            </w:r>
          </w:p>
        </w:tc>
        <w:tc>
          <w:tcPr>
            <w:tcW w:w="1134" w:type="dxa"/>
          </w:tcPr>
          <w:p w14:paraId="3DA385A4"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0,1</w:t>
            </w:r>
          </w:p>
        </w:tc>
        <w:tc>
          <w:tcPr>
            <w:tcW w:w="2126" w:type="dxa"/>
            <w:shd w:val="clear" w:color="auto" w:fill="auto"/>
          </w:tcPr>
          <w:p w14:paraId="454AC815"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1,6</w:t>
            </w:r>
          </w:p>
        </w:tc>
        <w:tc>
          <w:tcPr>
            <w:tcW w:w="1276" w:type="dxa"/>
          </w:tcPr>
          <w:p w14:paraId="60EAAFDC"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0,03</w:t>
            </w:r>
          </w:p>
        </w:tc>
        <w:tc>
          <w:tcPr>
            <w:tcW w:w="1134" w:type="dxa"/>
          </w:tcPr>
          <w:p w14:paraId="266969C8"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30,0</w:t>
            </w:r>
          </w:p>
        </w:tc>
      </w:tr>
      <w:tr w:rsidR="00D470B6" w:rsidRPr="00A53AD7" w14:paraId="24D4B408" w14:textId="77777777" w:rsidTr="00F45404">
        <w:tc>
          <w:tcPr>
            <w:tcW w:w="3794" w:type="dxa"/>
          </w:tcPr>
          <w:p w14:paraId="26E357A8"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Внебюджетные источники</w:t>
            </w:r>
          </w:p>
        </w:tc>
        <w:tc>
          <w:tcPr>
            <w:tcW w:w="1134" w:type="dxa"/>
          </w:tcPr>
          <w:p w14:paraId="7AA688FE"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6,0</w:t>
            </w:r>
          </w:p>
        </w:tc>
        <w:tc>
          <w:tcPr>
            <w:tcW w:w="2126" w:type="dxa"/>
            <w:shd w:val="clear" w:color="auto" w:fill="auto"/>
          </w:tcPr>
          <w:p w14:paraId="61E2649E"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8,7</w:t>
            </w:r>
          </w:p>
        </w:tc>
        <w:tc>
          <w:tcPr>
            <w:tcW w:w="1276" w:type="dxa"/>
          </w:tcPr>
          <w:p w14:paraId="453AF46A"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8,72</w:t>
            </w:r>
          </w:p>
        </w:tc>
        <w:tc>
          <w:tcPr>
            <w:tcW w:w="1134" w:type="dxa"/>
          </w:tcPr>
          <w:p w14:paraId="01BF5962" w14:textId="77777777" w:rsidR="008E6AAD" w:rsidRPr="00A53AD7" w:rsidRDefault="008E6AAD" w:rsidP="00F45404">
            <w:pPr>
              <w:spacing w:after="0" w:line="240" w:lineRule="auto"/>
              <w:jc w:val="center"/>
              <w:rPr>
                <w:rFonts w:ascii="Times New Roman" w:eastAsia="Times New Roman" w:hAnsi="Times New Roman"/>
                <w:sz w:val="24"/>
                <w:szCs w:val="24"/>
              </w:rPr>
            </w:pPr>
            <w:r w:rsidRPr="00A53AD7">
              <w:rPr>
                <w:rFonts w:ascii="Times New Roman" w:eastAsia="Times New Roman" w:hAnsi="Times New Roman"/>
                <w:sz w:val="24"/>
                <w:szCs w:val="24"/>
              </w:rPr>
              <w:t>145,3</w:t>
            </w:r>
          </w:p>
        </w:tc>
      </w:tr>
      <w:tr w:rsidR="00D470B6" w:rsidRPr="00A53AD7" w14:paraId="290F0024" w14:textId="77777777" w:rsidTr="00F45404">
        <w:tc>
          <w:tcPr>
            <w:tcW w:w="3794" w:type="dxa"/>
          </w:tcPr>
          <w:p w14:paraId="0F0B6FED"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Мероприятия по формированию современной городской среды</w:t>
            </w:r>
          </w:p>
        </w:tc>
        <w:tc>
          <w:tcPr>
            <w:tcW w:w="1134" w:type="dxa"/>
          </w:tcPr>
          <w:p w14:paraId="44D1997C"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6,0</w:t>
            </w:r>
          </w:p>
        </w:tc>
        <w:tc>
          <w:tcPr>
            <w:tcW w:w="2126" w:type="dxa"/>
            <w:shd w:val="clear" w:color="auto" w:fill="auto"/>
          </w:tcPr>
          <w:p w14:paraId="37FA0157"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8,4</w:t>
            </w:r>
          </w:p>
        </w:tc>
        <w:tc>
          <w:tcPr>
            <w:tcW w:w="1276" w:type="dxa"/>
          </w:tcPr>
          <w:p w14:paraId="0D12318A"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8,72</w:t>
            </w:r>
          </w:p>
        </w:tc>
        <w:tc>
          <w:tcPr>
            <w:tcW w:w="1134" w:type="dxa"/>
          </w:tcPr>
          <w:p w14:paraId="0E0320D3"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145,3</w:t>
            </w:r>
          </w:p>
        </w:tc>
      </w:tr>
      <w:tr w:rsidR="00D470B6" w:rsidRPr="00A53AD7" w14:paraId="40974464" w14:textId="77777777" w:rsidTr="00F45404">
        <w:tc>
          <w:tcPr>
            <w:tcW w:w="3794" w:type="dxa"/>
          </w:tcPr>
          <w:p w14:paraId="3F85357A"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w:t>
            </w:r>
          </w:p>
        </w:tc>
        <w:tc>
          <w:tcPr>
            <w:tcW w:w="1134" w:type="dxa"/>
          </w:tcPr>
          <w:p w14:paraId="74615F56"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w:t>
            </w:r>
          </w:p>
        </w:tc>
        <w:tc>
          <w:tcPr>
            <w:tcW w:w="2126" w:type="dxa"/>
            <w:shd w:val="clear" w:color="auto" w:fill="auto"/>
          </w:tcPr>
          <w:p w14:paraId="56935429"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0,3</w:t>
            </w:r>
          </w:p>
        </w:tc>
        <w:tc>
          <w:tcPr>
            <w:tcW w:w="1276" w:type="dxa"/>
          </w:tcPr>
          <w:p w14:paraId="6D1094B7"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0,0</w:t>
            </w:r>
          </w:p>
        </w:tc>
        <w:tc>
          <w:tcPr>
            <w:tcW w:w="1134" w:type="dxa"/>
          </w:tcPr>
          <w:p w14:paraId="302618EF"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0</w:t>
            </w:r>
          </w:p>
        </w:tc>
      </w:tr>
      <w:tr w:rsidR="00D470B6" w:rsidRPr="00A53AD7" w14:paraId="785B6C50" w14:textId="77777777" w:rsidTr="00F45404">
        <w:tc>
          <w:tcPr>
            <w:tcW w:w="3794" w:type="dxa"/>
            <w:shd w:val="clear" w:color="auto" w:fill="D9D9D9" w:themeFill="background1" w:themeFillShade="D9"/>
          </w:tcPr>
          <w:p w14:paraId="062799AE" w14:textId="77777777" w:rsidR="008E6AAD" w:rsidRPr="00A53AD7" w:rsidRDefault="008E6AAD" w:rsidP="00F45404">
            <w:pPr>
              <w:spacing w:after="0" w:line="240" w:lineRule="auto"/>
              <w:jc w:val="center"/>
              <w:rPr>
                <w:rFonts w:ascii="Times New Roman" w:eastAsia="Times New Roman" w:hAnsi="Times New Roman"/>
                <w:b/>
                <w:sz w:val="24"/>
                <w:szCs w:val="24"/>
              </w:rPr>
            </w:pPr>
            <w:r w:rsidRPr="00A53AD7">
              <w:rPr>
                <w:rFonts w:ascii="Times New Roman" w:eastAsia="Times New Roman" w:hAnsi="Times New Roman"/>
                <w:b/>
                <w:sz w:val="24"/>
                <w:szCs w:val="24"/>
              </w:rPr>
              <w:t>Итого</w:t>
            </w:r>
          </w:p>
        </w:tc>
        <w:tc>
          <w:tcPr>
            <w:tcW w:w="1134" w:type="dxa"/>
            <w:shd w:val="clear" w:color="auto" w:fill="D9D9D9" w:themeFill="background1" w:themeFillShade="D9"/>
          </w:tcPr>
          <w:p w14:paraId="383F6A86" w14:textId="77777777" w:rsidR="008E6AAD" w:rsidRPr="00A53AD7" w:rsidRDefault="008E6AAD" w:rsidP="00F45404">
            <w:pPr>
              <w:spacing w:after="0" w:line="240" w:lineRule="auto"/>
              <w:jc w:val="center"/>
              <w:rPr>
                <w:rFonts w:ascii="Times New Roman" w:eastAsia="Times New Roman" w:hAnsi="Times New Roman"/>
                <w:b/>
                <w:sz w:val="24"/>
                <w:szCs w:val="24"/>
              </w:rPr>
            </w:pPr>
            <w:r w:rsidRPr="00A53AD7">
              <w:rPr>
                <w:rFonts w:ascii="Times New Roman" w:eastAsia="Times New Roman" w:hAnsi="Times New Roman"/>
                <w:b/>
                <w:sz w:val="24"/>
                <w:szCs w:val="24"/>
              </w:rPr>
              <w:t>538,6</w:t>
            </w:r>
          </w:p>
        </w:tc>
        <w:tc>
          <w:tcPr>
            <w:tcW w:w="2126" w:type="dxa"/>
            <w:shd w:val="clear" w:color="auto" w:fill="D9D9D9" w:themeFill="background1" w:themeFillShade="D9"/>
          </w:tcPr>
          <w:p w14:paraId="73E66700" w14:textId="77777777" w:rsidR="008E6AAD" w:rsidRPr="00A53AD7" w:rsidRDefault="008E6AAD" w:rsidP="00F45404">
            <w:pPr>
              <w:spacing w:after="0" w:line="240" w:lineRule="auto"/>
              <w:jc w:val="center"/>
              <w:rPr>
                <w:rFonts w:ascii="Times New Roman" w:eastAsia="Times New Roman" w:hAnsi="Times New Roman"/>
                <w:b/>
                <w:sz w:val="24"/>
                <w:szCs w:val="24"/>
              </w:rPr>
            </w:pPr>
            <w:r w:rsidRPr="00A53AD7">
              <w:rPr>
                <w:rFonts w:ascii="Times New Roman" w:eastAsia="Times New Roman" w:hAnsi="Times New Roman"/>
                <w:b/>
                <w:sz w:val="24"/>
                <w:szCs w:val="24"/>
              </w:rPr>
              <w:t>413,2</w:t>
            </w:r>
          </w:p>
        </w:tc>
        <w:tc>
          <w:tcPr>
            <w:tcW w:w="1276" w:type="dxa"/>
            <w:shd w:val="clear" w:color="auto" w:fill="D9D9D9" w:themeFill="background1" w:themeFillShade="D9"/>
          </w:tcPr>
          <w:p w14:paraId="690A6069" w14:textId="77777777" w:rsidR="008E6AAD" w:rsidRPr="00A53AD7" w:rsidRDefault="008E6AAD" w:rsidP="00F45404">
            <w:pPr>
              <w:spacing w:after="0" w:line="240" w:lineRule="auto"/>
              <w:jc w:val="center"/>
              <w:rPr>
                <w:rFonts w:ascii="Times New Roman" w:eastAsia="Times New Roman" w:hAnsi="Times New Roman"/>
                <w:b/>
                <w:sz w:val="24"/>
                <w:szCs w:val="24"/>
              </w:rPr>
            </w:pPr>
            <w:r w:rsidRPr="00A53AD7">
              <w:rPr>
                <w:rFonts w:ascii="Times New Roman" w:eastAsia="Times New Roman" w:hAnsi="Times New Roman"/>
                <w:b/>
                <w:sz w:val="24"/>
                <w:szCs w:val="24"/>
              </w:rPr>
              <w:t>409,1</w:t>
            </w:r>
          </w:p>
        </w:tc>
        <w:tc>
          <w:tcPr>
            <w:tcW w:w="1134" w:type="dxa"/>
            <w:shd w:val="clear" w:color="auto" w:fill="D9D9D9" w:themeFill="background1" w:themeFillShade="D9"/>
          </w:tcPr>
          <w:p w14:paraId="4E218E43" w14:textId="77777777" w:rsidR="008E6AAD" w:rsidRPr="00A53AD7" w:rsidRDefault="008E6AAD" w:rsidP="00F45404">
            <w:pPr>
              <w:spacing w:after="0" w:line="240" w:lineRule="auto"/>
              <w:jc w:val="center"/>
              <w:rPr>
                <w:rFonts w:ascii="Times New Roman" w:eastAsia="Times New Roman" w:hAnsi="Times New Roman"/>
                <w:b/>
                <w:sz w:val="24"/>
                <w:szCs w:val="24"/>
              </w:rPr>
            </w:pPr>
            <w:r w:rsidRPr="00A53AD7">
              <w:rPr>
                <w:rFonts w:ascii="Times New Roman" w:eastAsia="Times New Roman" w:hAnsi="Times New Roman"/>
                <w:b/>
                <w:sz w:val="24"/>
                <w:szCs w:val="24"/>
              </w:rPr>
              <w:t>76,0</w:t>
            </w:r>
          </w:p>
        </w:tc>
      </w:tr>
      <w:tr w:rsidR="00D470B6" w:rsidRPr="00A53AD7" w14:paraId="768F5188" w14:textId="77777777" w:rsidTr="00F45404">
        <w:tc>
          <w:tcPr>
            <w:tcW w:w="3794" w:type="dxa"/>
          </w:tcPr>
          <w:p w14:paraId="6657404E"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Мероприятия по формированию современной городской среды</w:t>
            </w:r>
          </w:p>
        </w:tc>
        <w:tc>
          <w:tcPr>
            <w:tcW w:w="1134" w:type="dxa"/>
          </w:tcPr>
          <w:p w14:paraId="3C4AEB4B"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392,7</w:t>
            </w:r>
          </w:p>
        </w:tc>
        <w:tc>
          <w:tcPr>
            <w:tcW w:w="2126" w:type="dxa"/>
          </w:tcPr>
          <w:p w14:paraId="213178DC"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399,9</w:t>
            </w:r>
          </w:p>
        </w:tc>
        <w:tc>
          <w:tcPr>
            <w:tcW w:w="1276" w:type="dxa"/>
          </w:tcPr>
          <w:p w14:paraId="01F656E2"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397,59</w:t>
            </w:r>
          </w:p>
        </w:tc>
        <w:tc>
          <w:tcPr>
            <w:tcW w:w="1134" w:type="dxa"/>
          </w:tcPr>
          <w:p w14:paraId="626FD01A"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101,2</w:t>
            </w:r>
          </w:p>
        </w:tc>
      </w:tr>
      <w:tr w:rsidR="008E6AAD" w:rsidRPr="00A53AD7" w14:paraId="5627FEDB" w14:textId="77777777" w:rsidTr="00F45404">
        <w:tc>
          <w:tcPr>
            <w:tcW w:w="3794" w:type="dxa"/>
          </w:tcPr>
          <w:p w14:paraId="7337C850" w14:textId="77777777" w:rsidR="008E6AAD" w:rsidRPr="00A53AD7" w:rsidRDefault="008E6AAD" w:rsidP="00F45404">
            <w:pPr>
              <w:spacing w:after="0" w:line="240" w:lineRule="auto"/>
              <w:jc w:val="both"/>
              <w:rPr>
                <w:rFonts w:ascii="Times New Roman" w:eastAsia="Times New Roman" w:hAnsi="Times New Roman"/>
                <w:sz w:val="16"/>
                <w:szCs w:val="16"/>
              </w:rPr>
            </w:pPr>
            <w:r w:rsidRPr="00A53AD7">
              <w:rPr>
                <w:rFonts w:ascii="Times New Roman" w:eastAsia="Times New Roman" w:hAnsi="Times New Roman"/>
                <w:sz w:val="16"/>
                <w:szCs w:val="16"/>
              </w:rPr>
              <w:t>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w:t>
            </w:r>
          </w:p>
        </w:tc>
        <w:tc>
          <w:tcPr>
            <w:tcW w:w="1134" w:type="dxa"/>
          </w:tcPr>
          <w:p w14:paraId="3E0C9348"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145,9</w:t>
            </w:r>
          </w:p>
        </w:tc>
        <w:tc>
          <w:tcPr>
            <w:tcW w:w="2126" w:type="dxa"/>
          </w:tcPr>
          <w:p w14:paraId="037B127E"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13,4</w:t>
            </w:r>
          </w:p>
        </w:tc>
        <w:tc>
          <w:tcPr>
            <w:tcW w:w="1276" w:type="dxa"/>
          </w:tcPr>
          <w:p w14:paraId="23811D61"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11,5</w:t>
            </w:r>
          </w:p>
        </w:tc>
        <w:tc>
          <w:tcPr>
            <w:tcW w:w="1134" w:type="dxa"/>
          </w:tcPr>
          <w:p w14:paraId="2B50CF28" w14:textId="77777777" w:rsidR="008E6AAD" w:rsidRPr="00A53AD7" w:rsidRDefault="008E6AAD" w:rsidP="00F45404">
            <w:pPr>
              <w:spacing w:after="0" w:line="240" w:lineRule="auto"/>
              <w:jc w:val="center"/>
              <w:rPr>
                <w:rFonts w:ascii="Times New Roman" w:eastAsia="Times New Roman" w:hAnsi="Times New Roman"/>
                <w:sz w:val="16"/>
                <w:szCs w:val="16"/>
              </w:rPr>
            </w:pPr>
            <w:r w:rsidRPr="00A53AD7">
              <w:rPr>
                <w:rFonts w:ascii="Times New Roman" w:eastAsia="Times New Roman" w:hAnsi="Times New Roman"/>
                <w:sz w:val="16"/>
                <w:szCs w:val="16"/>
              </w:rPr>
              <w:t>7,9</w:t>
            </w:r>
          </w:p>
        </w:tc>
      </w:tr>
    </w:tbl>
    <w:p w14:paraId="576902C8" w14:textId="77777777" w:rsidR="008E6AAD" w:rsidRPr="00A53AD7" w:rsidRDefault="008E6AAD" w:rsidP="00F45404">
      <w:pPr>
        <w:spacing w:after="0" w:line="240" w:lineRule="auto"/>
        <w:ind w:firstLine="851"/>
        <w:jc w:val="both"/>
        <w:rPr>
          <w:rFonts w:ascii="Times New Roman" w:hAnsi="Times New Roman"/>
          <w:sz w:val="28"/>
          <w:szCs w:val="28"/>
        </w:rPr>
      </w:pPr>
    </w:p>
    <w:p w14:paraId="729C89B8" w14:textId="52A9951F" w:rsidR="008E6AAD" w:rsidRPr="00A53AD7" w:rsidRDefault="008E6AAD" w:rsidP="00F4540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реализации мероприятий РП за 2019 год, согласно Отчету о реализации РП на 01.01.202</w:t>
      </w:r>
      <w:r w:rsidR="00EC4480" w:rsidRPr="00A53AD7">
        <w:rPr>
          <w:rFonts w:ascii="Times New Roman" w:hAnsi="Times New Roman"/>
          <w:sz w:val="28"/>
          <w:szCs w:val="28"/>
        </w:rPr>
        <w:t>0, составили в сумме 409,1 млн.</w:t>
      </w:r>
      <w:r w:rsidRPr="00A53AD7">
        <w:rPr>
          <w:rFonts w:ascii="Times New Roman" w:hAnsi="Times New Roman"/>
          <w:sz w:val="28"/>
          <w:szCs w:val="28"/>
        </w:rPr>
        <w:t>руб. или 76,0% к плану, в том числе за счет средств федерального бюджета исполнение 74,1%, за счет средств областного бюджета 67,6%, за счет бюджетов муниципальных образований 113,1%, за счет внебюджетных источников 145,3%.</w:t>
      </w:r>
    </w:p>
    <w:p w14:paraId="7A5C5A97" w14:textId="05C12342" w:rsidR="008E6AAD" w:rsidRPr="00A53AD7" w:rsidRDefault="008E6AAD" w:rsidP="00F4540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также отметить о несоответствии показателей по расходам за 2019 год:</w:t>
      </w:r>
    </w:p>
    <w:p w14:paraId="440C51B6" w14:textId="77777777" w:rsidR="008E6AAD" w:rsidRPr="00A53AD7" w:rsidRDefault="008E6AAD" w:rsidP="00147084">
      <w:pPr>
        <w:spacing w:after="0" w:line="240" w:lineRule="auto"/>
        <w:ind w:firstLine="851"/>
        <w:jc w:val="both"/>
        <w:rPr>
          <w:rFonts w:ascii="Times New Roman" w:hAnsi="Times New Roman"/>
          <w:sz w:val="28"/>
          <w:szCs w:val="28"/>
          <w:u w:val="single"/>
        </w:rPr>
      </w:pPr>
      <w:r w:rsidRPr="00A53AD7">
        <w:rPr>
          <w:rFonts w:ascii="Times New Roman" w:hAnsi="Times New Roman"/>
          <w:sz w:val="28"/>
          <w:szCs w:val="28"/>
          <w:u w:val="single"/>
        </w:rPr>
        <w:t>в части «Мероприятия по формированию современной городской среды»:</w:t>
      </w:r>
    </w:p>
    <w:p w14:paraId="27A77A87" w14:textId="0C9C07DD" w:rsidR="008E6AAD" w:rsidRPr="00A53AD7" w:rsidRDefault="00147084" w:rsidP="0014708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8E6AAD" w:rsidRPr="00A53AD7">
        <w:rPr>
          <w:rFonts w:ascii="Times New Roman" w:hAnsi="Times New Roman"/>
          <w:sz w:val="28"/>
          <w:szCs w:val="28"/>
        </w:rPr>
        <w:t>огласно Отчету о реализации мероприятий ГП АО №330-пп за 2019 год, размещенному в системе КИАС, кассовое исполнение мероприятий составило в сумме 399,9 мл</w:t>
      </w:r>
      <w:r w:rsidR="003265E0" w:rsidRPr="00A53AD7">
        <w:rPr>
          <w:rFonts w:ascii="Times New Roman" w:hAnsi="Times New Roman"/>
          <w:sz w:val="28"/>
          <w:szCs w:val="28"/>
        </w:rPr>
        <w:t>н.</w:t>
      </w:r>
      <w:r w:rsidR="008E6AAD" w:rsidRPr="00A53AD7">
        <w:rPr>
          <w:rFonts w:ascii="Times New Roman" w:hAnsi="Times New Roman"/>
          <w:sz w:val="28"/>
          <w:szCs w:val="28"/>
        </w:rPr>
        <w:t>руб. или отклонение о</w:t>
      </w:r>
      <w:r w:rsidR="003265E0" w:rsidRPr="00A53AD7">
        <w:rPr>
          <w:rFonts w:ascii="Times New Roman" w:hAnsi="Times New Roman"/>
          <w:sz w:val="28"/>
          <w:szCs w:val="28"/>
        </w:rPr>
        <w:t>т данных отчета РП на 2,31 млн.</w:t>
      </w:r>
      <w:r w:rsidR="008E6AAD" w:rsidRPr="00A53AD7">
        <w:rPr>
          <w:rFonts w:ascii="Times New Roman" w:hAnsi="Times New Roman"/>
          <w:sz w:val="28"/>
          <w:szCs w:val="28"/>
        </w:rPr>
        <w:t>руб.;</w:t>
      </w:r>
    </w:p>
    <w:p w14:paraId="5F14447D" w14:textId="77777777" w:rsidR="008E6AAD" w:rsidRPr="00A53AD7" w:rsidRDefault="008E6AAD" w:rsidP="00147084">
      <w:pPr>
        <w:spacing w:after="0" w:line="240" w:lineRule="auto"/>
        <w:ind w:firstLine="851"/>
        <w:jc w:val="both"/>
        <w:rPr>
          <w:rFonts w:ascii="Times New Roman" w:hAnsi="Times New Roman"/>
          <w:sz w:val="28"/>
          <w:szCs w:val="28"/>
          <w:u w:val="single"/>
        </w:rPr>
      </w:pPr>
      <w:r w:rsidRPr="00A53AD7">
        <w:rPr>
          <w:rFonts w:ascii="Times New Roman" w:hAnsi="Times New Roman"/>
          <w:sz w:val="28"/>
          <w:szCs w:val="28"/>
          <w:u w:val="single"/>
        </w:rPr>
        <w:t>в части «Реализованы проекты победителей Всероссийского конкурса лучших проектов создания комфортной городской среды в малых городах и исторических поселениях»:</w:t>
      </w:r>
    </w:p>
    <w:p w14:paraId="27945923" w14:textId="520AC63F" w:rsidR="008E6AAD" w:rsidRPr="00A53AD7" w:rsidRDefault="00147084" w:rsidP="0014708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8E6AAD" w:rsidRPr="00A53AD7">
        <w:rPr>
          <w:rFonts w:ascii="Times New Roman" w:hAnsi="Times New Roman"/>
          <w:sz w:val="28"/>
          <w:szCs w:val="28"/>
        </w:rPr>
        <w:t>огласно Отчету о реализации мероприятий ГП АО №330-пп за 2019 год, размещенному в системе КИАС, кассовое исполнение мероприя</w:t>
      </w:r>
      <w:r w:rsidR="003265E0" w:rsidRPr="00A53AD7">
        <w:rPr>
          <w:rFonts w:ascii="Times New Roman" w:hAnsi="Times New Roman"/>
          <w:sz w:val="28"/>
          <w:szCs w:val="28"/>
        </w:rPr>
        <w:t>тий составило в сумме 13,4 млн.</w:t>
      </w:r>
      <w:r w:rsidR="008E6AAD" w:rsidRPr="00A53AD7">
        <w:rPr>
          <w:rFonts w:ascii="Times New Roman" w:hAnsi="Times New Roman"/>
          <w:sz w:val="28"/>
          <w:szCs w:val="28"/>
        </w:rPr>
        <w:t xml:space="preserve">руб. или отклонение </w:t>
      </w:r>
      <w:r w:rsidR="003265E0" w:rsidRPr="00A53AD7">
        <w:rPr>
          <w:rFonts w:ascii="Times New Roman" w:hAnsi="Times New Roman"/>
          <w:sz w:val="28"/>
          <w:szCs w:val="28"/>
        </w:rPr>
        <w:t>от данных отчета РП на 1,9 млн.</w:t>
      </w:r>
      <w:r w:rsidR="008E6AAD" w:rsidRPr="00A53AD7">
        <w:rPr>
          <w:rFonts w:ascii="Times New Roman" w:hAnsi="Times New Roman"/>
          <w:sz w:val="28"/>
          <w:szCs w:val="28"/>
        </w:rPr>
        <w:t>руб.</w:t>
      </w:r>
    </w:p>
    <w:p w14:paraId="012C5282" w14:textId="13FB4960" w:rsidR="008E6AAD" w:rsidRPr="00A53AD7" w:rsidRDefault="008E6AAD" w:rsidP="0086621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установлено несоответствие отчетных данных по исполнению аналогичных мероприятий, реализуемых в рамках госпрограммы и регионального проекта (недостоверности отчетов в указанной части).</w:t>
      </w:r>
    </w:p>
    <w:p w14:paraId="434E16BE" w14:textId="77777777" w:rsidR="00D91486" w:rsidRPr="00A53AD7" w:rsidRDefault="00D91486" w:rsidP="00866219">
      <w:pPr>
        <w:spacing w:after="0" w:line="240" w:lineRule="auto"/>
        <w:ind w:firstLine="851"/>
        <w:jc w:val="both"/>
        <w:rPr>
          <w:rFonts w:ascii="Times New Roman" w:hAnsi="Times New Roman"/>
          <w:sz w:val="28"/>
          <w:szCs w:val="28"/>
        </w:rPr>
      </w:pPr>
    </w:p>
    <w:p w14:paraId="28171E05" w14:textId="486DE2A2" w:rsidR="00D91486" w:rsidRPr="00A53AD7" w:rsidRDefault="00D91486" w:rsidP="00D91486">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«Жилье»</w:t>
      </w:r>
    </w:p>
    <w:p w14:paraId="6560AB10" w14:textId="32C600CA"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регионального проекта «Жилье» (Архангельская область) осуществляется в рамках национального проекта «Жилье и городская среда» и федерального проекта «Жилье», связана с реализацией подпрограммы №1 «Создание условий для обеспечения доступным и комфортным жильем жителей Архангельской области» ГП АО «Обеспечение качественным, доступным жильем и объектами инженерной инфраструктуры населения Архангельской области».</w:t>
      </w:r>
    </w:p>
    <w:p w14:paraId="488F7E0C" w14:textId="6842BF5C"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Согласно паспорту регионального проекта «Жилье» (Архангельская область) (далее – РП «Жилье») срок реализации проекта -</w:t>
      </w:r>
      <w:r w:rsidR="0039742D" w:rsidRPr="00A53AD7">
        <w:rPr>
          <w:rFonts w:ascii="Times New Roman" w:hAnsi="Times New Roman"/>
          <w:sz w:val="28"/>
          <w:szCs w:val="28"/>
        </w:rPr>
        <w:t xml:space="preserve"> </w:t>
      </w:r>
      <w:r w:rsidRPr="00A53AD7">
        <w:rPr>
          <w:rFonts w:ascii="Times New Roman" w:hAnsi="Times New Roman"/>
          <w:sz w:val="28"/>
          <w:szCs w:val="28"/>
        </w:rPr>
        <w:t xml:space="preserve">с 01.10.2018 по 31.12.2024 года. </w:t>
      </w:r>
    </w:p>
    <w:p w14:paraId="43E36827" w14:textId="05588026"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РП «Жилье» содержит два основных показателя:</w:t>
      </w:r>
    </w:p>
    <w:p w14:paraId="061F7930" w14:textId="6B79DBB9"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1.</w:t>
      </w:r>
      <w:r w:rsidR="00C52771" w:rsidRPr="00A53AD7">
        <w:rPr>
          <w:rFonts w:ascii="Times New Roman" w:hAnsi="Times New Roman"/>
          <w:sz w:val="28"/>
          <w:szCs w:val="28"/>
        </w:rPr>
        <w:t xml:space="preserve"> </w:t>
      </w:r>
      <w:r w:rsidRPr="00A53AD7">
        <w:rPr>
          <w:rFonts w:ascii="Times New Roman" w:hAnsi="Times New Roman"/>
          <w:sz w:val="28"/>
          <w:szCs w:val="28"/>
        </w:rPr>
        <w:t>«Увеличение объема жилищного строительства не менее чем до 120 млн. квадратных</w:t>
      </w:r>
      <w:r w:rsidR="00C52771" w:rsidRPr="00A53AD7">
        <w:rPr>
          <w:rFonts w:ascii="Times New Roman" w:hAnsi="Times New Roman"/>
          <w:sz w:val="28"/>
          <w:szCs w:val="28"/>
        </w:rPr>
        <w:t xml:space="preserve"> метров в год, млн.руб.».</w:t>
      </w:r>
    </w:p>
    <w:p w14:paraId="0078D1D3" w14:textId="321D4B39"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Следует отметить, что наименование основного показателя «Увеличение объема жилищного строительства не менее чем до 120 млн. м2», является наименованием показателя федерального проекта «Жилье». </w:t>
      </w:r>
    </w:p>
    <w:p w14:paraId="361645A6" w14:textId="46A37274"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Значение показателя на 2019 год по увеличению объема жилищного строительства не менее чем на 0,439 млн. м2 РП «Жилье» соответствует значению показателя на 2019 год, предусмотренного федеральным проектом «Жилье» (далее – ФП «Жилье»). В отчете по данному показателю приведены комментарии, согласно которым плановое значение показателя на 2019 год указано в соответствии с ФП «Жилье», которое значительно превышает потребность региона в новом жилье, Правительством Архангельской области в адрес Минстроя России направлены соответствующие предложения об изменении показателей ввода жилья для Архангельской области. </w:t>
      </w:r>
    </w:p>
    <w:p w14:paraId="0F7ABB6A" w14:textId="19BD33B2"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2. «Ввод жилья в рамках мероприятия по стимулированию программ развития жилищного строительства субъектов Российской Федерации». Значение показателя на 2019 год - 0,0305 млн. м2 также соответствует показателю на 2019 год, предусмотренному ФП «Жилье». </w:t>
      </w:r>
    </w:p>
    <w:p w14:paraId="727482BC" w14:textId="316E9F3C"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финансового обеспечения реализации РП «Жилье» на 2019 год (консолидированный бюджет субъекта РФ) составляет 201,5 млн.руб.</w:t>
      </w:r>
    </w:p>
    <w:p w14:paraId="7AC84D18" w14:textId="4D13C730"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Утвержденный 20.01.2020 минстроем АО отчет о ходе реализации РП «Жилье» (далее – Отчет) содержит следующую информацию о достижении целей и показателей РП «Жилье», установленных на 2019 год:</w:t>
      </w:r>
    </w:p>
    <w:tbl>
      <w:tblPr>
        <w:tblW w:w="9359" w:type="dxa"/>
        <w:tblInd w:w="6"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4536"/>
        <w:gridCol w:w="1418"/>
        <w:gridCol w:w="992"/>
        <w:gridCol w:w="992"/>
        <w:gridCol w:w="1421"/>
      </w:tblGrid>
      <w:tr w:rsidR="00D470B6" w:rsidRPr="00A53AD7" w14:paraId="4A9FBDF5" w14:textId="77777777" w:rsidTr="00D91486">
        <w:trPr>
          <w:trHeight w:val="425"/>
        </w:trPr>
        <w:tc>
          <w:tcPr>
            <w:tcW w:w="4536" w:type="dxa"/>
            <w:vMerge w:val="restart"/>
            <w:vAlign w:val="center"/>
          </w:tcPr>
          <w:p w14:paraId="71429A03"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Наименование показателя</w:t>
            </w:r>
          </w:p>
        </w:tc>
        <w:tc>
          <w:tcPr>
            <w:tcW w:w="1418" w:type="dxa"/>
            <w:vMerge w:val="restart"/>
            <w:vAlign w:val="center"/>
          </w:tcPr>
          <w:p w14:paraId="231B4E84"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Тип показателя</w:t>
            </w:r>
          </w:p>
        </w:tc>
        <w:tc>
          <w:tcPr>
            <w:tcW w:w="992" w:type="dxa"/>
            <w:vAlign w:val="center"/>
          </w:tcPr>
          <w:p w14:paraId="699FE74E"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Период, год</w:t>
            </w:r>
          </w:p>
        </w:tc>
        <w:tc>
          <w:tcPr>
            <w:tcW w:w="2413" w:type="dxa"/>
            <w:gridSpan w:val="2"/>
          </w:tcPr>
          <w:p w14:paraId="367994DF"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 xml:space="preserve">Отчетный период– </w:t>
            </w:r>
          </w:p>
          <w:p w14:paraId="7150FA50"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 xml:space="preserve"> 2019 год</w:t>
            </w:r>
          </w:p>
        </w:tc>
      </w:tr>
      <w:tr w:rsidR="00D470B6" w:rsidRPr="00A53AD7" w14:paraId="221ECF7D" w14:textId="77777777" w:rsidTr="00D91486">
        <w:trPr>
          <w:trHeight w:hRule="exact" w:val="290"/>
        </w:trPr>
        <w:tc>
          <w:tcPr>
            <w:tcW w:w="4536" w:type="dxa"/>
            <w:vMerge/>
            <w:vAlign w:val="center"/>
          </w:tcPr>
          <w:p w14:paraId="6D47333F" w14:textId="77777777" w:rsidR="00D91486" w:rsidRPr="00A53AD7" w:rsidRDefault="00D91486" w:rsidP="00D91486">
            <w:pPr>
              <w:spacing w:after="0" w:line="240" w:lineRule="auto"/>
              <w:rPr>
                <w:b/>
                <w:sz w:val="18"/>
                <w:szCs w:val="18"/>
              </w:rPr>
            </w:pPr>
          </w:p>
        </w:tc>
        <w:tc>
          <w:tcPr>
            <w:tcW w:w="1418" w:type="dxa"/>
            <w:vMerge/>
            <w:vAlign w:val="center"/>
          </w:tcPr>
          <w:p w14:paraId="5F85F085" w14:textId="77777777" w:rsidR="00D91486" w:rsidRPr="00A53AD7" w:rsidRDefault="00D91486" w:rsidP="00D91486">
            <w:pPr>
              <w:spacing w:after="0" w:line="240" w:lineRule="auto"/>
              <w:rPr>
                <w:b/>
                <w:sz w:val="18"/>
                <w:szCs w:val="18"/>
              </w:rPr>
            </w:pPr>
          </w:p>
        </w:tc>
        <w:tc>
          <w:tcPr>
            <w:tcW w:w="992" w:type="dxa"/>
            <w:vAlign w:val="center"/>
          </w:tcPr>
          <w:p w14:paraId="3069093E"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2019</w:t>
            </w:r>
          </w:p>
          <w:p w14:paraId="48944AB7" w14:textId="77777777" w:rsidR="00D91486" w:rsidRPr="00A53AD7" w:rsidRDefault="00D91486" w:rsidP="00D91486">
            <w:pPr>
              <w:spacing w:after="0" w:line="240" w:lineRule="auto"/>
              <w:jc w:val="center"/>
              <w:rPr>
                <w:rFonts w:ascii="Times New Roman" w:hAnsi="Times New Roman"/>
                <w:b/>
                <w:spacing w:val="-2"/>
                <w:sz w:val="18"/>
                <w:szCs w:val="18"/>
              </w:rPr>
            </w:pPr>
          </w:p>
        </w:tc>
        <w:tc>
          <w:tcPr>
            <w:tcW w:w="992" w:type="dxa"/>
          </w:tcPr>
          <w:p w14:paraId="7C033B59"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факт</w:t>
            </w:r>
          </w:p>
        </w:tc>
        <w:tc>
          <w:tcPr>
            <w:tcW w:w="1421" w:type="dxa"/>
          </w:tcPr>
          <w:p w14:paraId="2308C29D"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 достижения</w:t>
            </w:r>
          </w:p>
        </w:tc>
      </w:tr>
      <w:tr w:rsidR="00D470B6" w:rsidRPr="00A53AD7" w14:paraId="1AF6E75F" w14:textId="77777777" w:rsidTr="00905BD4">
        <w:trPr>
          <w:trHeight w:hRule="exact" w:val="313"/>
        </w:trPr>
        <w:tc>
          <w:tcPr>
            <w:tcW w:w="9359" w:type="dxa"/>
            <w:gridSpan w:val="5"/>
            <w:tcMar>
              <w:top w:w="72" w:type="dxa"/>
              <w:left w:w="72" w:type="dxa"/>
              <w:right w:w="72" w:type="dxa"/>
            </w:tcMar>
          </w:tcPr>
          <w:p w14:paraId="130AA8B5"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Увеличение объема жилищного строительства не менее чем до 120 млн. квадратных метров в год</w:t>
            </w:r>
          </w:p>
        </w:tc>
      </w:tr>
      <w:tr w:rsidR="00D470B6" w:rsidRPr="00A53AD7" w14:paraId="16B2CD81" w14:textId="77777777" w:rsidTr="00D91486">
        <w:trPr>
          <w:trHeight w:hRule="exact" w:val="561"/>
        </w:trPr>
        <w:tc>
          <w:tcPr>
            <w:tcW w:w="4536" w:type="dxa"/>
          </w:tcPr>
          <w:p w14:paraId="0D16E328" w14:textId="77777777" w:rsidR="00D91486" w:rsidRPr="00A53AD7" w:rsidRDefault="00D91486" w:rsidP="00D91486">
            <w:pPr>
              <w:spacing w:after="0" w:line="240" w:lineRule="auto"/>
              <w:rPr>
                <w:rFonts w:ascii="Times New Roman" w:hAnsi="Times New Roman"/>
                <w:spacing w:val="-2"/>
                <w:sz w:val="18"/>
                <w:szCs w:val="18"/>
                <w:vertAlign w:val="superscript"/>
              </w:rPr>
            </w:pPr>
            <w:r w:rsidRPr="00A53AD7">
              <w:rPr>
                <w:rFonts w:ascii="Times New Roman" w:hAnsi="Times New Roman"/>
                <w:spacing w:val="-2"/>
                <w:sz w:val="18"/>
                <w:szCs w:val="18"/>
              </w:rPr>
              <w:t xml:space="preserve">Увеличение объема жилищного строительства не менее чем до 120 млн. квадратных метров в год, млн. м </w:t>
            </w:r>
            <w:r w:rsidRPr="00A53AD7">
              <w:rPr>
                <w:rFonts w:ascii="Times New Roman" w:hAnsi="Times New Roman"/>
                <w:spacing w:val="-2"/>
                <w:sz w:val="18"/>
                <w:szCs w:val="18"/>
                <w:vertAlign w:val="superscript"/>
              </w:rPr>
              <w:t>2</w:t>
            </w:r>
          </w:p>
        </w:tc>
        <w:tc>
          <w:tcPr>
            <w:tcW w:w="1418" w:type="dxa"/>
            <w:tcMar>
              <w:top w:w="72" w:type="dxa"/>
              <w:left w:w="72" w:type="dxa"/>
              <w:right w:w="72" w:type="dxa"/>
            </w:tcMar>
          </w:tcPr>
          <w:p w14:paraId="42153F7C"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Основной показатель</w:t>
            </w:r>
          </w:p>
        </w:tc>
        <w:tc>
          <w:tcPr>
            <w:tcW w:w="992" w:type="dxa"/>
            <w:tcMar>
              <w:top w:w="72" w:type="dxa"/>
              <w:left w:w="72" w:type="dxa"/>
              <w:right w:w="72" w:type="dxa"/>
            </w:tcMar>
          </w:tcPr>
          <w:p w14:paraId="44315C9A" w14:textId="77777777" w:rsidR="00D91486" w:rsidRPr="00A53AD7" w:rsidRDefault="00D91486" w:rsidP="00D91486">
            <w:pPr>
              <w:spacing w:after="0" w:line="240" w:lineRule="auto"/>
              <w:jc w:val="center"/>
              <w:rPr>
                <w:rFonts w:ascii="Times New Roman" w:hAnsi="Times New Roman"/>
                <w:b/>
                <w:spacing w:val="-2"/>
                <w:sz w:val="18"/>
                <w:szCs w:val="18"/>
              </w:rPr>
            </w:pPr>
          </w:p>
          <w:p w14:paraId="34BA50A5"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0,4390</w:t>
            </w:r>
          </w:p>
        </w:tc>
        <w:tc>
          <w:tcPr>
            <w:tcW w:w="992" w:type="dxa"/>
          </w:tcPr>
          <w:p w14:paraId="6AB49578" w14:textId="77777777" w:rsidR="00D91486" w:rsidRPr="00A53AD7" w:rsidRDefault="00D91486" w:rsidP="00D91486">
            <w:pPr>
              <w:spacing w:after="0" w:line="240" w:lineRule="auto"/>
              <w:jc w:val="center"/>
              <w:rPr>
                <w:rFonts w:ascii="Times New Roman" w:hAnsi="Times New Roman"/>
                <w:spacing w:val="-2"/>
                <w:sz w:val="18"/>
                <w:szCs w:val="18"/>
              </w:rPr>
            </w:pPr>
          </w:p>
          <w:p w14:paraId="2CD6FA08" w14:textId="77777777" w:rsidR="00D91486" w:rsidRPr="00A53AD7" w:rsidRDefault="00D91486" w:rsidP="00D91486">
            <w:pPr>
              <w:spacing w:after="0" w:line="240" w:lineRule="auto"/>
              <w:jc w:val="center"/>
              <w:rPr>
                <w:rFonts w:ascii="Times New Roman" w:hAnsi="Times New Roman"/>
                <w:spacing w:val="-2"/>
                <w:sz w:val="18"/>
                <w:szCs w:val="18"/>
              </w:rPr>
            </w:pPr>
            <w:r w:rsidRPr="00A53AD7">
              <w:rPr>
                <w:rFonts w:ascii="Times New Roman" w:hAnsi="Times New Roman"/>
                <w:spacing w:val="-2"/>
                <w:sz w:val="18"/>
                <w:szCs w:val="18"/>
              </w:rPr>
              <w:t>0,31</w:t>
            </w:r>
          </w:p>
        </w:tc>
        <w:tc>
          <w:tcPr>
            <w:tcW w:w="1421" w:type="dxa"/>
          </w:tcPr>
          <w:p w14:paraId="4E42CBCA" w14:textId="77777777" w:rsidR="00D91486" w:rsidRPr="00A53AD7" w:rsidRDefault="00D91486" w:rsidP="00D91486">
            <w:pPr>
              <w:spacing w:after="0" w:line="240" w:lineRule="auto"/>
              <w:jc w:val="center"/>
              <w:rPr>
                <w:rFonts w:ascii="Times New Roman" w:hAnsi="Times New Roman"/>
                <w:spacing w:val="-2"/>
                <w:sz w:val="18"/>
                <w:szCs w:val="18"/>
              </w:rPr>
            </w:pPr>
          </w:p>
          <w:p w14:paraId="7390D7C6" w14:textId="77777777" w:rsidR="00D91486" w:rsidRPr="00A53AD7" w:rsidRDefault="00D91486" w:rsidP="00D91486">
            <w:pPr>
              <w:spacing w:after="0" w:line="240" w:lineRule="auto"/>
              <w:jc w:val="center"/>
              <w:rPr>
                <w:rFonts w:ascii="Times New Roman" w:hAnsi="Times New Roman"/>
                <w:spacing w:val="-2"/>
                <w:sz w:val="18"/>
                <w:szCs w:val="18"/>
              </w:rPr>
            </w:pPr>
            <w:r w:rsidRPr="00A53AD7">
              <w:rPr>
                <w:rFonts w:ascii="Times New Roman" w:hAnsi="Times New Roman"/>
                <w:spacing w:val="-2"/>
                <w:sz w:val="18"/>
                <w:szCs w:val="18"/>
              </w:rPr>
              <w:t>70,62</w:t>
            </w:r>
          </w:p>
        </w:tc>
      </w:tr>
      <w:tr w:rsidR="00D470B6" w:rsidRPr="00A53AD7" w14:paraId="7EF62946" w14:textId="77777777" w:rsidTr="00D91486">
        <w:trPr>
          <w:trHeight w:hRule="exact" w:val="549"/>
        </w:trPr>
        <w:tc>
          <w:tcPr>
            <w:tcW w:w="9359" w:type="dxa"/>
            <w:gridSpan w:val="5"/>
            <w:tcMar>
              <w:top w:w="72" w:type="dxa"/>
              <w:left w:w="72" w:type="dxa"/>
              <w:right w:w="72" w:type="dxa"/>
            </w:tcMar>
          </w:tcPr>
          <w:p w14:paraId="64828A07" w14:textId="77777777" w:rsidR="00D91486" w:rsidRPr="00A53AD7" w:rsidRDefault="00D91486" w:rsidP="00D91486">
            <w:pPr>
              <w:spacing w:after="0" w:line="240" w:lineRule="auto"/>
              <w:jc w:val="center"/>
              <w:rPr>
                <w:rFonts w:ascii="Times New Roman" w:hAnsi="Times New Roman"/>
                <w:spacing w:val="-2"/>
                <w:sz w:val="18"/>
                <w:szCs w:val="18"/>
              </w:rPr>
            </w:pPr>
            <w:r w:rsidRPr="00A53AD7">
              <w:rPr>
                <w:rFonts w:ascii="Times New Roman" w:hAnsi="Times New Roman"/>
                <w:b/>
                <w:spacing w:val="-2"/>
                <w:sz w:val="18"/>
                <w:szCs w:val="18"/>
              </w:rPr>
              <w:t>Ввод жилья в рамках мероприятия по стимулированию программ развития жилищного строительства субъектов Российской Федерации</w:t>
            </w:r>
          </w:p>
        </w:tc>
      </w:tr>
      <w:tr w:rsidR="00D91486" w:rsidRPr="00A53AD7" w14:paraId="0884A591" w14:textId="77777777" w:rsidTr="00D91486">
        <w:trPr>
          <w:trHeight w:hRule="exact" w:val="733"/>
        </w:trPr>
        <w:tc>
          <w:tcPr>
            <w:tcW w:w="4536" w:type="dxa"/>
          </w:tcPr>
          <w:p w14:paraId="449A5080" w14:textId="77777777" w:rsidR="00D91486" w:rsidRPr="00A53AD7" w:rsidRDefault="00D91486" w:rsidP="00D91486">
            <w:pPr>
              <w:spacing w:after="0" w:line="240" w:lineRule="auto"/>
              <w:rPr>
                <w:rFonts w:ascii="Times New Roman" w:hAnsi="Times New Roman"/>
                <w:spacing w:val="-2"/>
                <w:sz w:val="18"/>
                <w:szCs w:val="18"/>
              </w:rPr>
            </w:pPr>
            <w:r w:rsidRPr="00A53AD7">
              <w:rPr>
                <w:rFonts w:ascii="Times New Roman" w:hAnsi="Times New Roman"/>
                <w:spacing w:val="-2"/>
                <w:sz w:val="18"/>
                <w:szCs w:val="18"/>
              </w:rPr>
              <w:t xml:space="preserve">Ввод жилья в рамках мероприятия по стимулированию программ развития жилищного строительства субъектов Российской Федерации, млн. м </w:t>
            </w:r>
            <w:r w:rsidRPr="00A53AD7">
              <w:rPr>
                <w:rFonts w:ascii="Times New Roman" w:hAnsi="Times New Roman"/>
                <w:spacing w:val="-2"/>
                <w:sz w:val="18"/>
                <w:szCs w:val="18"/>
                <w:vertAlign w:val="superscript"/>
              </w:rPr>
              <w:t>2</w:t>
            </w:r>
          </w:p>
        </w:tc>
        <w:tc>
          <w:tcPr>
            <w:tcW w:w="1418" w:type="dxa"/>
            <w:tcMar>
              <w:top w:w="72" w:type="dxa"/>
              <w:left w:w="72" w:type="dxa"/>
              <w:right w:w="72" w:type="dxa"/>
            </w:tcMar>
          </w:tcPr>
          <w:p w14:paraId="6F0F11E5"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Основной показатель</w:t>
            </w:r>
          </w:p>
        </w:tc>
        <w:tc>
          <w:tcPr>
            <w:tcW w:w="992" w:type="dxa"/>
            <w:tcMar>
              <w:top w:w="72" w:type="dxa"/>
              <w:left w:w="72" w:type="dxa"/>
              <w:right w:w="72" w:type="dxa"/>
            </w:tcMar>
          </w:tcPr>
          <w:p w14:paraId="302E5E67" w14:textId="77777777" w:rsidR="00D91486" w:rsidRPr="00A53AD7" w:rsidRDefault="00D91486" w:rsidP="00D91486">
            <w:pPr>
              <w:spacing w:after="0" w:line="240" w:lineRule="auto"/>
              <w:jc w:val="center"/>
              <w:rPr>
                <w:rFonts w:ascii="Times New Roman" w:hAnsi="Times New Roman"/>
                <w:b/>
                <w:spacing w:val="-2"/>
                <w:sz w:val="18"/>
                <w:szCs w:val="18"/>
              </w:rPr>
            </w:pPr>
          </w:p>
          <w:p w14:paraId="7DE85195" w14:textId="77777777" w:rsidR="00D91486" w:rsidRPr="00A53AD7" w:rsidRDefault="00D91486" w:rsidP="00D91486">
            <w:pPr>
              <w:spacing w:after="0" w:line="240" w:lineRule="auto"/>
              <w:jc w:val="center"/>
              <w:rPr>
                <w:rFonts w:ascii="Times New Roman" w:hAnsi="Times New Roman"/>
                <w:b/>
                <w:spacing w:val="-2"/>
                <w:sz w:val="18"/>
                <w:szCs w:val="18"/>
              </w:rPr>
            </w:pPr>
            <w:r w:rsidRPr="00A53AD7">
              <w:rPr>
                <w:rFonts w:ascii="Times New Roman" w:hAnsi="Times New Roman"/>
                <w:b/>
                <w:spacing w:val="-2"/>
                <w:sz w:val="18"/>
                <w:szCs w:val="18"/>
              </w:rPr>
              <w:t>0,0305</w:t>
            </w:r>
          </w:p>
        </w:tc>
        <w:tc>
          <w:tcPr>
            <w:tcW w:w="992" w:type="dxa"/>
          </w:tcPr>
          <w:p w14:paraId="548EBBDC" w14:textId="77777777" w:rsidR="00D91486" w:rsidRPr="00A53AD7" w:rsidRDefault="00D91486" w:rsidP="00D91486">
            <w:pPr>
              <w:spacing w:after="0" w:line="240" w:lineRule="auto"/>
              <w:jc w:val="center"/>
              <w:rPr>
                <w:rFonts w:ascii="Times New Roman" w:hAnsi="Times New Roman"/>
                <w:spacing w:val="-2"/>
                <w:sz w:val="18"/>
                <w:szCs w:val="18"/>
              </w:rPr>
            </w:pPr>
          </w:p>
          <w:p w14:paraId="02C9D525" w14:textId="77777777" w:rsidR="00D91486" w:rsidRPr="00A53AD7" w:rsidRDefault="00D91486" w:rsidP="00D91486">
            <w:pPr>
              <w:spacing w:after="0" w:line="240" w:lineRule="auto"/>
              <w:jc w:val="center"/>
              <w:rPr>
                <w:rFonts w:ascii="Times New Roman" w:hAnsi="Times New Roman"/>
                <w:spacing w:val="-2"/>
                <w:sz w:val="18"/>
                <w:szCs w:val="18"/>
              </w:rPr>
            </w:pPr>
            <w:r w:rsidRPr="00A53AD7">
              <w:rPr>
                <w:rFonts w:ascii="Times New Roman" w:hAnsi="Times New Roman"/>
                <w:spacing w:val="-2"/>
                <w:sz w:val="18"/>
                <w:szCs w:val="18"/>
              </w:rPr>
              <w:t>0,0348</w:t>
            </w:r>
          </w:p>
        </w:tc>
        <w:tc>
          <w:tcPr>
            <w:tcW w:w="1421" w:type="dxa"/>
          </w:tcPr>
          <w:p w14:paraId="1402A757" w14:textId="77777777" w:rsidR="00D91486" w:rsidRPr="00A53AD7" w:rsidRDefault="00D91486" w:rsidP="00D91486">
            <w:pPr>
              <w:spacing w:after="0" w:line="240" w:lineRule="auto"/>
              <w:jc w:val="center"/>
              <w:rPr>
                <w:rFonts w:ascii="Times New Roman" w:hAnsi="Times New Roman"/>
                <w:spacing w:val="-2"/>
                <w:sz w:val="18"/>
                <w:szCs w:val="18"/>
              </w:rPr>
            </w:pPr>
          </w:p>
          <w:p w14:paraId="44DA5F3E" w14:textId="77777777" w:rsidR="00D91486" w:rsidRPr="00A53AD7" w:rsidRDefault="00D91486" w:rsidP="00D91486">
            <w:pPr>
              <w:spacing w:after="0" w:line="240" w:lineRule="auto"/>
              <w:jc w:val="center"/>
              <w:rPr>
                <w:rFonts w:ascii="Times New Roman" w:hAnsi="Times New Roman"/>
                <w:spacing w:val="-2"/>
                <w:sz w:val="18"/>
                <w:szCs w:val="18"/>
              </w:rPr>
            </w:pPr>
            <w:r w:rsidRPr="00A53AD7">
              <w:rPr>
                <w:rFonts w:ascii="Times New Roman" w:hAnsi="Times New Roman"/>
                <w:spacing w:val="-2"/>
                <w:sz w:val="18"/>
                <w:szCs w:val="18"/>
              </w:rPr>
              <w:t>114,1</w:t>
            </w:r>
          </w:p>
        </w:tc>
      </w:tr>
    </w:tbl>
    <w:p w14:paraId="690BF134" w14:textId="77777777" w:rsidR="00D91486" w:rsidRPr="00A53AD7" w:rsidRDefault="00D91486" w:rsidP="00D91486">
      <w:pPr>
        <w:spacing w:after="0" w:line="240" w:lineRule="auto"/>
        <w:ind w:firstLine="851"/>
        <w:jc w:val="both"/>
        <w:rPr>
          <w:rFonts w:ascii="Times New Roman" w:hAnsi="Times New Roman"/>
          <w:sz w:val="28"/>
          <w:szCs w:val="28"/>
        </w:rPr>
      </w:pPr>
    </w:p>
    <w:p w14:paraId="63D06F8F" w14:textId="0A315241"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в отчете об исполнении мероприятий РП «Жилье» за 2019 год, размещенном в информационной системе «Электронный бюджет» % достижения показателя «Ввод жилья в рамках мероприятия по стимулированию программ развития жилищного строительства субъектов Российской Федерации» указан как 87,64%, что по информации минстроя АО, является технической ошибкой программы. Фактическое значение % достижения равно 114,1%, т.е. в отчетном периоде наблюдается перевыполнение плановых значений по данному показателю.</w:t>
      </w:r>
    </w:p>
    <w:p w14:paraId="4E54B084" w14:textId="4C450E94" w:rsidR="00D91486" w:rsidRPr="00A53AD7" w:rsidRDefault="008D4148"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w:t>
      </w:r>
      <w:r w:rsidR="00D91486" w:rsidRPr="00A53AD7">
        <w:rPr>
          <w:rFonts w:ascii="Times New Roman" w:hAnsi="Times New Roman"/>
          <w:sz w:val="28"/>
          <w:szCs w:val="28"/>
        </w:rPr>
        <w:t>Необходимо также отметить, что наименование основного показателя «Увеличение объема жилищного строительства не менее чем до 120 млн. квадратных метров в год, млн. м2», приведенного в РП «Жилье», является наименованием показателя федерального проекта «Жилье» и приведенный в наименовании объем не соответствует планируемым объемам данного показателя в рамках регионального проекта.</w:t>
      </w:r>
    </w:p>
    <w:p w14:paraId="2204A38D" w14:textId="170D4383"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2019 года показатель увеличения объема жилищного строительства не выполнен на 29,38%.</w:t>
      </w:r>
    </w:p>
    <w:p w14:paraId="27032BC5" w14:textId="5420813A"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комментариям к отчету минстроя АО об исполнении РП, на основании письма Правительства Архангельской области от 25.02.2019 № 02-06/216 Минстроем России принято решение об уменьшении показателя ввода жилья для Архангельской области. Подтверждающие изменение показателя документы на дату отчета отсутствуют.</w:t>
      </w:r>
    </w:p>
    <w:p w14:paraId="3FB2EC59" w14:textId="260B62A8"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Показатель ввода жилья в рамках мероприятия по стимулированию программ развития жилищного строительства субъектов Российской Федерации перевыполнен на 14,1 %.</w:t>
      </w:r>
    </w:p>
    <w:p w14:paraId="4E21EC9F" w14:textId="1951CBFE"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Отчета минстроя АО об исполнении графика выполнения мероприятий по проектированию и (или) строительству (реконструкции, включая элементы реставрации, тех. перевооружению) объектов капитального строительства на 01.01.2020 года (Таблица №4) по объекту «Детский сад на 280 мест в 7 микрорайоне территориального округа Майская горка г. Архангельска на один месяц нарушен срок окончания строительно-монтажных работ (план - 11.2019, факт – 12.2019), а также нарушены сроки приобретения (план - 09.2019, факт – 11.2019), установки (план – 09.2019, факт -12.2019) и ввода (план – 11.2019, факт – 12.2019) оборудования на данном объекте. Соответственно нарушены: срок получения заключения органа государственного строительного надзора о соответствии данного объекта капитального строительства требованиям технических регламентов и проектной документации (план – 11.2019, факт – 12.2019) и срок ввода объекта в эксплуатацию (план -01.11.2019, факт – 31.12.2019).</w:t>
      </w:r>
    </w:p>
    <w:p w14:paraId="067F64E2" w14:textId="7B7B82AD"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мероприятий, предусмотренных РП «Жилье» осуществлялась в рамках соглашения о предоставлении субсидии из федерального бюджета бюджету Архангельской области на реализацию мероприятия по стимулированию программ развития жилищного строительства субъектов Российской Федерации от 10.02.2019 года № 069-09-2019-105, заключенного между Министерством строительства и жилищно-коммунального хозяйства РФ и Правительством Архангельской области (далее – Соглашение).</w:t>
      </w:r>
    </w:p>
    <w:p w14:paraId="604DF2C3" w14:textId="717C02BE"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 Соглашению заключены дополнительные соглашения: от 16.04.2019 № 069-09-2019-105/1; от 23.04.2019 № 069-09-2019-105/2; от 09.07.2019 № 069-09-2019-105/3; от 07.10.2019 № 069-09-2019-105/4; от 03.04.2020 № 069-09-2019-105/5 9.</w:t>
      </w:r>
    </w:p>
    <w:p w14:paraId="296719AE" w14:textId="72D18253"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Общий объем финансового обеспечения достижения результатов РП «Жилье» на 2019 год, предусмотренных Соглашением (с учетом дополнительных соглашений, заключенных в 2019 году) составляет 201,2 млн.руб., в том числе средства субсидии из федерального бюджета – 181,0 млн.руб. В Соглашении указана справочная информация о сумме бюджетных ассигнований, предусмотренных в бюджете Арх</w:t>
      </w:r>
      <w:r w:rsidR="003265E0" w:rsidRPr="00A53AD7">
        <w:rPr>
          <w:rFonts w:ascii="Times New Roman" w:hAnsi="Times New Roman"/>
          <w:sz w:val="28"/>
          <w:szCs w:val="28"/>
        </w:rPr>
        <w:t>ангельской области - 201,5 млн.руб.</w:t>
      </w:r>
    </w:p>
    <w:p w14:paraId="7350DED5" w14:textId="45B95198"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дополнительное соглашение № 069-09-2019-105/5 к соглашению о предоставлении субсидии из федерального бюджета бюджету субъекта Российской Федерации от 10.02.2019 № 069-09-2019-105 заключено сторонами за пределами финансового года, а именно – 03.04.2020 года, вступает в силу с даты внесения сведений о нем в реестр соглашений, ведение которого осуществляется Федеральным казначейством, вместе с тем, изменения, вносимые данным доп. соглашением, относятся к периоду 2019 года. Данным доп. соглашением изменен объем финансирования мероприятий РП «Жилье» на 2019 год с учетом образовавшейся экономии (0,6 млн.руб.) – 200,6 млн.руб., в т. ч. средства ФБ – 180,4 млн.руб., сумма бюджетных ассигнований, предусмотренных в бюджете Архангельской области – 200,9 млн.руб.</w:t>
      </w:r>
    </w:p>
    <w:p w14:paraId="025F5979" w14:textId="6F651F72"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сметной стоимости строительства объектов и объемах финансового обеспечения достижения результатов РП «Жилье» на 2019 год, предусмотренных соглашением, представлена в таблице:</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2338"/>
        <w:gridCol w:w="2323"/>
        <w:gridCol w:w="2328"/>
        <w:gridCol w:w="2335"/>
      </w:tblGrid>
      <w:tr w:rsidR="00D470B6" w:rsidRPr="00A53AD7" w14:paraId="5E2ACFB5" w14:textId="77777777" w:rsidTr="000A33B4">
        <w:trPr>
          <w:trHeight w:val="253"/>
          <w:tblHeader/>
        </w:trPr>
        <w:tc>
          <w:tcPr>
            <w:tcW w:w="2392" w:type="dxa"/>
            <w:vMerge w:val="restart"/>
            <w:vAlign w:val="center"/>
          </w:tcPr>
          <w:p w14:paraId="64ACB628" w14:textId="77777777" w:rsidR="00D91486" w:rsidRPr="00A53AD7" w:rsidRDefault="00D91486" w:rsidP="000A33B4">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Реквизиты соглашения</w:t>
            </w:r>
          </w:p>
        </w:tc>
        <w:tc>
          <w:tcPr>
            <w:tcW w:w="2393" w:type="dxa"/>
            <w:vMerge w:val="restart"/>
            <w:vAlign w:val="center"/>
          </w:tcPr>
          <w:p w14:paraId="619AA693" w14:textId="77777777" w:rsidR="00D91486" w:rsidRPr="00A53AD7" w:rsidRDefault="00D91486" w:rsidP="000A33B4">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Показатель</w:t>
            </w:r>
          </w:p>
        </w:tc>
        <w:tc>
          <w:tcPr>
            <w:tcW w:w="4786" w:type="dxa"/>
            <w:gridSpan w:val="2"/>
            <w:vAlign w:val="center"/>
          </w:tcPr>
          <w:p w14:paraId="50EAE39D" w14:textId="57DF3F27" w:rsidR="00D91486" w:rsidRPr="00A53AD7" w:rsidRDefault="00D91486" w:rsidP="000A33B4">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Объекты капитального строительства на 2019 г.</w:t>
            </w:r>
          </w:p>
        </w:tc>
      </w:tr>
      <w:tr w:rsidR="00D470B6" w:rsidRPr="00A53AD7" w14:paraId="4843D294" w14:textId="77777777" w:rsidTr="000A33B4">
        <w:trPr>
          <w:tblHeader/>
        </w:trPr>
        <w:tc>
          <w:tcPr>
            <w:tcW w:w="2392" w:type="dxa"/>
            <w:vMerge/>
            <w:vAlign w:val="center"/>
          </w:tcPr>
          <w:p w14:paraId="2B6F2C25" w14:textId="77777777" w:rsidR="00D91486" w:rsidRPr="00A53AD7" w:rsidRDefault="00D91486" w:rsidP="000A33B4">
            <w:pPr>
              <w:spacing w:after="0" w:line="240" w:lineRule="auto"/>
              <w:jc w:val="center"/>
              <w:rPr>
                <w:rFonts w:ascii="Times New Roman" w:hAnsi="Times New Roman"/>
                <w:b/>
                <w:sz w:val="20"/>
                <w:szCs w:val="20"/>
                <w:lang w:eastAsia="ru-RU"/>
              </w:rPr>
            </w:pPr>
          </w:p>
        </w:tc>
        <w:tc>
          <w:tcPr>
            <w:tcW w:w="2393" w:type="dxa"/>
            <w:vMerge/>
            <w:vAlign w:val="center"/>
          </w:tcPr>
          <w:p w14:paraId="62FD55AA" w14:textId="77777777" w:rsidR="00D91486" w:rsidRPr="00A53AD7" w:rsidRDefault="00D91486" w:rsidP="000A33B4">
            <w:pPr>
              <w:spacing w:after="0" w:line="240" w:lineRule="auto"/>
              <w:jc w:val="center"/>
              <w:rPr>
                <w:rFonts w:ascii="Times New Roman" w:hAnsi="Times New Roman"/>
                <w:b/>
                <w:sz w:val="20"/>
                <w:szCs w:val="20"/>
                <w:lang w:eastAsia="ru-RU"/>
              </w:rPr>
            </w:pPr>
          </w:p>
        </w:tc>
        <w:tc>
          <w:tcPr>
            <w:tcW w:w="2393" w:type="dxa"/>
            <w:vAlign w:val="center"/>
          </w:tcPr>
          <w:p w14:paraId="2BCC4CE0" w14:textId="77777777" w:rsidR="00D91486" w:rsidRPr="00A53AD7" w:rsidRDefault="00D91486" w:rsidP="000A33B4">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Детский сад на 280 мест в 7 микрорайоне тер. округа Майская горка города Архангельска</w:t>
            </w:r>
          </w:p>
        </w:tc>
        <w:tc>
          <w:tcPr>
            <w:tcW w:w="2393" w:type="dxa"/>
            <w:vAlign w:val="center"/>
          </w:tcPr>
          <w:p w14:paraId="57ADF95A" w14:textId="77777777" w:rsidR="00D91486" w:rsidRPr="00A53AD7" w:rsidRDefault="00D91486" w:rsidP="000A33B4">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Строительство школы на 860 мест в г. Котласе</w:t>
            </w:r>
          </w:p>
        </w:tc>
      </w:tr>
      <w:tr w:rsidR="00D470B6" w:rsidRPr="00A53AD7" w14:paraId="7F317CC8" w14:textId="77777777" w:rsidTr="000A33B4">
        <w:tc>
          <w:tcPr>
            <w:tcW w:w="2392" w:type="dxa"/>
            <w:vMerge w:val="restart"/>
          </w:tcPr>
          <w:p w14:paraId="6CF24C48" w14:textId="30F1520A" w:rsidR="00D91486" w:rsidRPr="00A53AD7" w:rsidRDefault="0039742D"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 </w:t>
            </w:r>
            <w:r w:rsidR="00D91486" w:rsidRPr="00A53AD7">
              <w:rPr>
                <w:rFonts w:ascii="Times New Roman" w:hAnsi="Times New Roman"/>
                <w:sz w:val="20"/>
                <w:szCs w:val="20"/>
                <w:lang w:eastAsia="ru-RU"/>
              </w:rPr>
              <w:t xml:space="preserve">Соглашение </w:t>
            </w:r>
          </w:p>
          <w:p w14:paraId="2665622A"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от 10.02.2019 </w:t>
            </w:r>
          </w:p>
          <w:p w14:paraId="1A73B06A"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w:t>
            </w:r>
          </w:p>
        </w:tc>
        <w:tc>
          <w:tcPr>
            <w:tcW w:w="2393" w:type="dxa"/>
          </w:tcPr>
          <w:p w14:paraId="63438D1A" w14:textId="0BC492FC"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Сметная стоимос</w:t>
            </w:r>
            <w:r w:rsidR="003265E0" w:rsidRPr="00A53AD7">
              <w:rPr>
                <w:rFonts w:ascii="Times New Roman" w:hAnsi="Times New Roman"/>
                <w:sz w:val="20"/>
                <w:szCs w:val="20"/>
                <w:lang w:eastAsia="ru-RU"/>
              </w:rPr>
              <w:t>ть строительства объектов, млн.</w:t>
            </w:r>
            <w:r w:rsidRPr="00A53AD7">
              <w:rPr>
                <w:rFonts w:ascii="Times New Roman" w:hAnsi="Times New Roman"/>
                <w:sz w:val="20"/>
                <w:szCs w:val="20"/>
                <w:lang w:eastAsia="ru-RU"/>
              </w:rPr>
              <w:t>руб.</w:t>
            </w:r>
          </w:p>
        </w:tc>
        <w:tc>
          <w:tcPr>
            <w:tcW w:w="2393" w:type="dxa"/>
          </w:tcPr>
          <w:p w14:paraId="3188F9EF" w14:textId="77777777" w:rsidR="00D91486" w:rsidRPr="00A53AD7" w:rsidRDefault="00D91486"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w:t>
            </w:r>
          </w:p>
        </w:tc>
        <w:tc>
          <w:tcPr>
            <w:tcW w:w="2393" w:type="dxa"/>
          </w:tcPr>
          <w:p w14:paraId="6EE91758" w14:textId="77777777" w:rsidR="00D91486" w:rsidRPr="00A53AD7" w:rsidRDefault="00D91486"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w:t>
            </w:r>
          </w:p>
        </w:tc>
      </w:tr>
      <w:tr w:rsidR="00D470B6" w:rsidRPr="00A53AD7" w14:paraId="36105C2A" w14:textId="77777777" w:rsidTr="000A33B4">
        <w:tc>
          <w:tcPr>
            <w:tcW w:w="2392" w:type="dxa"/>
            <w:vMerge/>
          </w:tcPr>
          <w:p w14:paraId="288D0190"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4481C35C" w14:textId="6FB1D156"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Объем финансового обеспечения достижения результатов </w:t>
            </w:r>
          </w:p>
          <w:p w14:paraId="4130764A" w14:textId="77777777"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РП «Жилье» на 2019 год</w:t>
            </w:r>
          </w:p>
        </w:tc>
        <w:tc>
          <w:tcPr>
            <w:tcW w:w="4786" w:type="dxa"/>
            <w:gridSpan w:val="2"/>
          </w:tcPr>
          <w:p w14:paraId="7B36D4DD" w14:textId="77777777" w:rsidR="00D91486" w:rsidRPr="00A53AD7" w:rsidRDefault="00D91486" w:rsidP="000A33B4">
            <w:pPr>
              <w:spacing w:after="0" w:line="240" w:lineRule="auto"/>
              <w:jc w:val="center"/>
              <w:rPr>
                <w:rFonts w:ascii="Times New Roman" w:hAnsi="Times New Roman"/>
                <w:sz w:val="20"/>
                <w:szCs w:val="20"/>
                <w:lang w:eastAsia="ru-RU"/>
              </w:rPr>
            </w:pPr>
          </w:p>
          <w:p w14:paraId="01911647" w14:textId="48F1138A" w:rsidR="00D91486" w:rsidRPr="00A53AD7" w:rsidRDefault="003265E0"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201,2 млн.</w:t>
            </w:r>
            <w:r w:rsidR="00D91486" w:rsidRPr="00A53AD7">
              <w:rPr>
                <w:rFonts w:ascii="Times New Roman" w:hAnsi="Times New Roman"/>
                <w:sz w:val="20"/>
                <w:szCs w:val="20"/>
                <w:lang w:eastAsia="ru-RU"/>
              </w:rPr>
              <w:t>руб., в т.ч. средс</w:t>
            </w:r>
            <w:r w:rsidRPr="00A53AD7">
              <w:rPr>
                <w:rFonts w:ascii="Times New Roman" w:hAnsi="Times New Roman"/>
                <w:sz w:val="20"/>
                <w:szCs w:val="20"/>
                <w:lang w:eastAsia="ru-RU"/>
              </w:rPr>
              <w:t>тва субсидии из ФБ – 181,0 млн.</w:t>
            </w:r>
            <w:r w:rsidR="00D91486" w:rsidRPr="00A53AD7">
              <w:rPr>
                <w:rFonts w:ascii="Times New Roman" w:hAnsi="Times New Roman"/>
                <w:sz w:val="20"/>
                <w:szCs w:val="20"/>
                <w:lang w:eastAsia="ru-RU"/>
              </w:rPr>
              <w:t>руб.</w:t>
            </w:r>
          </w:p>
        </w:tc>
      </w:tr>
      <w:tr w:rsidR="00D470B6" w:rsidRPr="00A53AD7" w14:paraId="1F1F4C2A" w14:textId="77777777" w:rsidTr="000A33B4">
        <w:tc>
          <w:tcPr>
            <w:tcW w:w="2392" w:type="dxa"/>
            <w:vMerge w:val="restart"/>
          </w:tcPr>
          <w:p w14:paraId="2CAC7DD8" w14:textId="78112504" w:rsidR="00D91486" w:rsidRPr="00A53AD7" w:rsidRDefault="008D4148"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 </w:t>
            </w:r>
            <w:r w:rsidR="00D91486" w:rsidRPr="00A53AD7">
              <w:rPr>
                <w:rFonts w:ascii="Times New Roman" w:hAnsi="Times New Roman"/>
                <w:sz w:val="20"/>
                <w:szCs w:val="20"/>
                <w:lang w:eastAsia="ru-RU"/>
              </w:rPr>
              <w:t xml:space="preserve">Дополнительное соглашение </w:t>
            </w:r>
          </w:p>
          <w:p w14:paraId="70648A74"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от 16.04.2019 </w:t>
            </w:r>
          </w:p>
          <w:p w14:paraId="5C206CD0"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069-09-2019-105/1;</w:t>
            </w:r>
          </w:p>
          <w:p w14:paraId="62FB5E52" w14:textId="24F05B03" w:rsidR="00D91486" w:rsidRPr="00A53AD7" w:rsidRDefault="0039742D"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 </w:t>
            </w:r>
            <w:r w:rsidR="00D91486" w:rsidRPr="00A53AD7">
              <w:rPr>
                <w:rFonts w:ascii="Times New Roman" w:hAnsi="Times New Roman"/>
                <w:sz w:val="20"/>
                <w:szCs w:val="20"/>
                <w:lang w:eastAsia="ru-RU"/>
              </w:rPr>
              <w:t xml:space="preserve">Дополнительное соглашение </w:t>
            </w:r>
          </w:p>
          <w:p w14:paraId="605E6C2B"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от 16.04.2019 </w:t>
            </w:r>
          </w:p>
          <w:p w14:paraId="21689B8B"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069-09-2019-105/2</w:t>
            </w:r>
          </w:p>
        </w:tc>
        <w:tc>
          <w:tcPr>
            <w:tcW w:w="2393" w:type="dxa"/>
          </w:tcPr>
          <w:p w14:paraId="4523E8E1" w14:textId="5B6BDE1A"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Сметная стоимос</w:t>
            </w:r>
            <w:r w:rsidR="003265E0" w:rsidRPr="00A53AD7">
              <w:rPr>
                <w:rFonts w:ascii="Times New Roman" w:hAnsi="Times New Roman"/>
                <w:sz w:val="20"/>
                <w:szCs w:val="20"/>
                <w:lang w:eastAsia="ru-RU"/>
              </w:rPr>
              <w:t>ть строительства объектов, млн.</w:t>
            </w:r>
            <w:r w:rsidRPr="00A53AD7">
              <w:rPr>
                <w:rFonts w:ascii="Times New Roman" w:hAnsi="Times New Roman"/>
                <w:sz w:val="20"/>
                <w:szCs w:val="20"/>
                <w:lang w:eastAsia="ru-RU"/>
              </w:rPr>
              <w:t>руб.</w:t>
            </w:r>
          </w:p>
        </w:tc>
        <w:tc>
          <w:tcPr>
            <w:tcW w:w="2393" w:type="dxa"/>
          </w:tcPr>
          <w:p w14:paraId="0DA9E139" w14:textId="77777777" w:rsidR="00D91486" w:rsidRPr="00A53AD7" w:rsidRDefault="00D91486" w:rsidP="000A33B4">
            <w:pPr>
              <w:spacing w:after="0" w:line="240" w:lineRule="auto"/>
              <w:jc w:val="center"/>
              <w:rPr>
                <w:rFonts w:ascii="Times New Roman" w:hAnsi="Times New Roman"/>
                <w:sz w:val="20"/>
                <w:szCs w:val="20"/>
                <w:lang w:eastAsia="ru-RU"/>
              </w:rPr>
            </w:pPr>
          </w:p>
          <w:p w14:paraId="4932073F" w14:textId="7DB8FE2A" w:rsidR="00D91486" w:rsidRPr="00A53AD7" w:rsidRDefault="003265E0"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225,3 млн.</w:t>
            </w:r>
            <w:r w:rsidR="00D91486" w:rsidRPr="00A53AD7">
              <w:rPr>
                <w:rFonts w:ascii="Times New Roman" w:hAnsi="Times New Roman"/>
                <w:sz w:val="20"/>
                <w:szCs w:val="20"/>
                <w:lang w:eastAsia="ru-RU"/>
              </w:rPr>
              <w:t>руб.</w:t>
            </w:r>
          </w:p>
        </w:tc>
        <w:tc>
          <w:tcPr>
            <w:tcW w:w="2393" w:type="dxa"/>
          </w:tcPr>
          <w:p w14:paraId="1F4CD6ED" w14:textId="77777777" w:rsidR="00D91486" w:rsidRPr="00A53AD7" w:rsidRDefault="00D91486" w:rsidP="000A33B4">
            <w:pPr>
              <w:spacing w:after="0" w:line="240" w:lineRule="auto"/>
              <w:jc w:val="center"/>
              <w:rPr>
                <w:rFonts w:ascii="Times New Roman" w:hAnsi="Times New Roman"/>
                <w:sz w:val="20"/>
                <w:szCs w:val="20"/>
                <w:lang w:eastAsia="ru-RU"/>
              </w:rPr>
            </w:pPr>
          </w:p>
          <w:p w14:paraId="61DE102C" w14:textId="19B7B13D" w:rsidR="00D91486" w:rsidRPr="00A53AD7" w:rsidRDefault="003265E0"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591,1 млн.</w:t>
            </w:r>
            <w:r w:rsidR="00D91486" w:rsidRPr="00A53AD7">
              <w:rPr>
                <w:rFonts w:ascii="Times New Roman" w:hAnsi="Times New Roman"/>
                <w:sz w:val="20"/>
                <w:szCs w:val="20"/>
                <w:lang w:eastAsia="ru-RU"/>
              </w:rPr>
              <w:t>руб.</w:t>
            </w:r>
          </w:p>
        </w:tc>
      </w:tr>
      <w:tr w:rsidR="00D470B6" w:rsidRPr="00A53AD7" w14:paraId="37C3E82E" w14:textId="77777777" w:rsidTr="000A33B4">
        <w:tc>
          <w:tcPr>
            <w:tcW w:w="2392" w:type="dxa"/>
            <w:vMerge/>
          </w:tcPr>
          <w:p w14:paraId="0EB9BB7B"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065A1775" w14:textId="609C9F18"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Объем финансового обеспечения достижения результатов </w:t>
            </w:r>
          </w:p>
          <w:p w14:paraId="494298B4" w14:textId="77777777"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РП «Жилье» на 2019 год</w:t>
            </w:r>
          </w:p>
        </w:tc>
        <w:tc>
          <w:tcPr>
            <w:tcW w:w="2393" w:type="dxa"/>
          </w:tcPr>
          <w:p w14:paraId="1AE909E2" w14:textId="00B9CD3D" w:rsidR="00D91486" w:rsidRPr="00A53AD7" w:rsidRDefault="003265E0"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99,4 млн.</w:t>
            </w:r>
            <w:r w:rsidR="00D91486" w:rsidRPr="00A53AD7">
              <w:rPr>
                <w:rFonts w:ascii="Times New Roman" w:hAnsi="Times New Roman"/>
                <w:sz w:val="20"/>
                <w:szCs w:val="20"/>
                <w:lang w:eastAsia="ru-RU"/>
              </w:rPr>
              <w:t>руб., в т.ч. сред</w:t>
            </w:r>
            <w:r w:rsidRPr="00A53AD7">
              <w:rPr>
                <w:rFonts w:ascii="Times New Roman" w:hAnsi="Times New Roman"/>
                <w:sz w:val="20"/>
                <w:szCs w:val="20"/>
                <w:lang w:eastAsia="ru-RU"/>
              </w:rPr>
              <w:t>ства субсидии из ФБ – 89,5 млн.</w:t>
            </w:r>
            <w:r w:rsidR="00D91486" w:rsidRPr="00A53AD7">
              <w:rPr>
                <w:rFonts w:ascii="Times New Roman" w:hAnsi="Times New Roman"/>
                <w:sz w:val="20"/>
                <w:szCs w:val="20"/>
                <w:lang w:eastAsia="ru-RU"/>
              </w:rPr>
              <w:t>руб.</w:t>
            </w:r>
          </w:p>
          <w:p w14:paraId="792CEA6E" w14:textId="77777777" w:rsidR="00D91486" w:rsidRPr="00A53AD7" w:rsidRDefault="00D91486" w:rsidP="000A33B4">
            <w:pPr>
              <w:spacing w:after="0" w:line="240" w:lineRule="auto"/>
              <w:jc w:val="center"/>
              <w:rPr>
                <w:rFonts w:ascii="Times New Roman" w:hAnsi="Times New Roman"/>
                <w:sz w:val="20"/>
                <w:szCs w:val="20"/>
                <w:lang w:eastAsia="ru-RU"/>
              </w:rPr>
            </w:pPr>
          </w:p>
        </w:tc>
        <w:tc>
          <w:tcPr>
            <w:tcW w:w="2393" w:type="dxa"/>
          </w:tcPr>
          <w:p w14:paraId="4B2A7B2A" w14:textId="1FF47FBC" w:rsidR="00D91486" w:rsidRPr="00A53AD7" w:rsidRDefault="003265E0"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101,8 млн.</w:t>
            </w:r>
            <w:r w:rsidR="00D91486" w:rsidRPr="00A53AD7">
              <w:rPr>
                <w:rFonts w:ascii="Times New Roman" w:hAnsi="Times New Roman"/>
                <w:sz w:val="20"/>
                <w:szCs w:val="20"/>
                <w:lang w:eastAsia="ru-RU"/>
              </w:rPr>
              <w:t>руб., в т.ч. сред</w:t>
            </w:r>
            <w:r w:rsidRPr="00A53AD7">
              <w:rPr>
                <w:rFonts w:ascii="Times New Roman" w:hAnsi="Times New Roman"/>
                <w:sz w:val="20"/>
                <w:szCs w:val="20"/>
                <w:lang w:eastAsia="ru-RU"/>
              </w:rPr>
              <w:t>ства субсидии из ФБ – 91,5 млн.</w:t>
            </w:r>
            <w:r w:rsidR="00D91486" w:rsidRPr="00A53AD7">
              <w:rPr>
                <w:rFonts w:ascii="Times New Roman" w:hAnsi="Times New Roman"/>
                <w:sz w:val="20"/>
                <w:szCs w:val="20"/>
                <w:lang w:eastAsia="ru-RU"/>
              </w:rPr>
              <w:t>руб.</w:t>
            </w:r>
          </w:p>
        </w:tc>
      </w:tr>
      <w:tr w:rsidR="00D470B6" w:rsidRPr="00A53AD7" w14:paraId="498EDCDF" w14:textId="77777777" w:rsidTr="000A33B4">
        <w:tc>
          <w:tcPr>
            <w:tcW w:w="2392" w:type="dxa"/>
            <w:vMerge/>
          </w:tcPr>
          <w:p w14:paraId="71AEF218"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5F8A6433" w14:textId="77777777" w:rsidR="00D91486" w:rsidRPr="00A53AD7" w:rsidRDefault="00D91486" w:rsidP="000A33B4">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ИТОГО:</w:t>
            </w:r>
          </w:p>
        </w:tc>
        <w:tc>
          <w:tcPr>
            <w:tcW w:w="4786" w:type="dxa"/>
            <w:gridSpan w:val="2"/>
          </w:tcPr>
          <w:p w14:paraId="5B32DE81" w14:textId="54097112"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201,2 млн.руб., в т. ч. ФБ – 181,0 млн.</w:t>
            </w:r>
            <w:r w:rsidR="00D91486" w:rsidRPr="00A53AD7">
              <w:rPr>
                <w:rFonts w:ascii="Times New Roman" w:hAnsi="Times New Roman"/>
                <w:sz w:val="20"/>
                <w:szCs w:val="20"/>
                <w:lang w:eastAsia="ru-RU"/>
              </w:rPr>
              <w:t>руб.</w:t>
            </w:r>
          </w:p>
        </w:tc>
      </w:tr>
      <w:tr w:rsidR="00D470B6" w:rsidRPr="00A53AD7" w14:paraId="74249F68" w14:textId="77777777" w:rsidTr="000A33B4">
        <w:tc>
          <w:tcPr>
            <w:tcW w:w="2392" w:type="dxa"/>
            <w:vMerge w:val="restart"/>
          </w:tcPr>
          <w:p w14:paraId="08BC20F8" w14:textId="3DA73400" w:rsidR="00D91486" w:rsidRPr="00A53AD7" w:rsidRDefault="0039742D"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 </w:t>
            </w:r>
            <w:r w:rsidR="00D91486" w:rsidRPr="00A53AD7">
              <w:rPr>
                <w:rFonts w:ascii="Times New Roman" w:hAnsi="Times New Roman"/>
                <w:sz w:val="20"/>
                <w:szCs w:val="20"/>
                <w:lang w:eastAsia="ru-RU"/>
              </w:rPr>
              <w:t xml:space="preserve">Дополнительное соглашение </w:t>
            </w:r>
          </w:p>
          <w:p w14:paraId="34498849"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от 16.04.2019 </w:t>
            </w:r>
          </w:p>
          <w:p w14:paraId="03FE2939"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069-09-2019-105/3;</w:t>
            </w:r>
          </w:p>
          <w:p w14:paraId="488014DF" w14:textId="7C57F72C" w:rsidR="00D91486" w:rsidRPr="00A53AD7" w:rsidRDefault="0039742D"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 </w:t>
            </w:r>
            <w:r w:rsidR="00D91486" w:rsidRPr="00A53AD7">
              <w:rPr>
                <w:rFonts w:ascii="Times New Roman" w:hAnsi="Times New Roman"/>
                <w:sz w:val="20"/>
                <w:szCs w:val="20"/>
                <w:lang w:eastAsia="ru-RU"/>
              </w:rPr>
              <w:t xml:space="preserve">Дополнительное соглашение </w:t>
            </w:r>
          </w:p>
          <w:p w14:paraId="74AD8C72"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от 16.04.2019 </w:t>
            </w:r>
          </w:p>
          <w:p w14:paraId="40F1DEA9"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069-09-2019-105/4</w:t>
            </w:r>
          </w:p>
        </w:tc>
        <w:tc>
          <w:tcPr>
            <w:tcW w:w="2393" w:type="dxa"/>
          </w:tcPr>
          <w:p w14:paraId="19F7CCF1" w14:textId="0420303B"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Сметная стоимос</w:t>
            </w:r>
            <w:r w:rsidR="00533B81" w:rsidRPr="00A53AD7">
              <w:rPr>
                <w:rFonts w:ascii="Times New Roman" w:hAnsi="Times New Roman"/>
                <w:sz w:val="20"/>
                <w:szCs w:val="20"/>
                <w:lang w:eastAsia="ru-RU"/>
              </w:rPr>
              <w:t>ть строительства объектов, млн.</w:t>
            </w:r>
            <w:r w:rsidRPr="00A53AD7">
              <w:rPr>
                <w:rFonts w:ascii="Times New Roman" w:hAnsi="Times New Roman"/>
                <w:sz w:val="20"/>
                <w:szCs w:val="20"/>
                <w:lang w:eastAsia="ru-RU"/>
              </w:rPr>
              <w:t>руб.</w:t>
            </w:r>
          </w:p>
        </w:tc>
        <w:tc>
          <w:tcPr>
            <w:tcW w:w="2393" w:type="dxa"/>
          </w:tcPr>
          <w:p w14:paraId="527E0155" w14:textId="77777777" w:rsidR="00D91486" w:rsidRPr="00A53AD7" w:rsidRDefault="00D91486" w:rsidP="000A33B4">
            <w:pPr>
              <w:spacing w:after="0" w:line="240" w:lineRule="auto"/>
              <w:jc w:val="center"/>
              <w:rPr>
                <w:rFonts w:ascii="Times New Roman" w:hAnsi="Times New Roman"/>
                <w:sz w:val="20"/>
                <w:szCs w:val="20"/>
                <w:lang w:eastAsia="ru-RU"/>
              </w:rPr>
            </w:pPr>
          </w:p>
          <w:p w14:paraId="4705F42B" w14:textId="734EC42B"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225,3 млн.</w:t>
            </w:r>
            <w:r w:rsidR="00D91486" w:rsidRPr="00A53AD7">
              <w:rPr>
                <w:rFonts w:ascii="Times New Roman" w:hAnsi="Times New Roman"/>
                <w:sz w:val="20"/>
                <w:szCs w:val="20"/>
                <w:lang w:eastAsia="ru-RU"/>
              </w:rPr>
              <w:t>руб.</w:t>
            </w:r>
          </w:p>
        </w:tc>
        <w:tc>
          <w:tcPr>
            <w:tcW w:w="2393" w:type="dxa"/>
          </w:tcPr>
          <w:p w14:paraId="4A74EABD" w14:textId="77777777" w:rsidR="00D91486" w:rsidRPr="00A53AD7" w:rsidRDefault="00D91486" w:rsidP="000A33B4">
            <w:pPr>
              <w:spacing w:after="0" w:line="240" w:lineRule="auto"/>
              <w:jc w:val="center"/>
              <w:rPr>
                <w:rFonts w:ascii="Times New Roman" w:hAnsi="Times New Roman"/>
                <w:b/>
                <w:sz w:val="20"/>
                <w:szCs w:val="20"/>
                <w:lang w:eastAsia="ru-RU"/>
              </w:rPr>
            </w:pPr>
          </w:p>
          <w:p w14:paraId="025E3BB1" w14:textId="406037E2" w:rsidR="00D91486" w:rsidRPr="00A53AD7" w:rsidRDefault="00D91486"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846,3</w:t>
            </w:r>
            <w:r w:rsidR="00533B81" w:rsidRPr="00A53AD7">
              <w:rPr>
                <w:rFonts w:ascii="Times New Roman" w:hAnsi="Times New Roman"/>
                <w:sz w:val="20"/>
                <w:szCs w:val="20"/>
                <w:lang w:eastAsia="ru-RU"/>
              </w:rPr>
              <w:t xml:space="preserve"> млн.</w:t>
            </w:r>
            <w:r w:rsidRPr="00A53AD7">
              <w:rPr>
                <w:rFonts w:ascii="Times New Roman" w:hAnsi="Times New Roman"/>
                <w:sz w:val="20"/>
                <w:szCs w:val="20"/>
                <w:lang w:eastAsia="ru-RU"/>
              </w:rPr>
              <w:t>руб.</w:t>
            </w:r>
          </w:p>
        </w:tc>
      </w:tr>
      <w:tr w:rsidR="00D470B6" w:rsidRPr="00A53AD7" w14:paraId="1F823B9F" w14:textId="77777777" w:rsidTr="000A33B4">
        <w:tc>
          <w:tcPr>
            <w:tcW w:w="2392" w:type="dxa"/>
            <w:vMerge/>
          </w:tcPr>
          <w:p w14:paraId="3C045C22"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0E4F5ECB" w14:textId="67D90CEC"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Объем финансового обеспечения достижения результатов </w:t>
            </w:r>
          </w:p>
          <w:p w14:paraId="15F44E71" w14:textId="77777777"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РП «Жилье» на 2019 год</w:t>
            </w:r>
          </w:p>
        </w:tc>
        <w:tc>
          <w:tcPr>
            <w:tcW w:w="2393" w:type="dxa"/>
          </w:tcPr>
          <w:p w14:paraId="5871FD78" w14:textId="61778183"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99,4 млн.</w:t>
            </w:r>
            <w:r w:rsidR="00D91486" w:rsidRPr="00A53AD7">
              <w:rPr>
                <w:rFonts w:ascii="Times New Roman" w:hAnsi="Times New Roman"/>
                <w:sz w:val="20"/>
                <w:szCs w:val="20"/>
                <w:lang w:eastAsia="ru-RU"/>
              </w:rPr>
              <w:t>руб., в т.ч. средства субсидии из ФБ – 89,5 м</w:t>
            </w:r>
            <w:r w:rsidRPr="00A53AD7">
              <w:rPr>
                <w:rFonts w:ascii="Times New Roman" w:hAnsi="Times New Roman"/>
                <w:sz w:val="20"/>
                <w:szCs w:val="20"/>
                <w:lang w:eastAsia="ru-RU"/>
              </w:rPr>
              <w:t>лн.</w:t>
            </w:r>
            <w:r w:rsidR="00D91486" w:rsidRPr="00A53AD7">
              <w:rPr>
                <w:rFonts w:ascii="Times New Roman" w:hAnsi="Times New Roman"/>
                <w:sz w:val="20"/>
                <w:szCs w:val="20"/>
                <w:lang w:eastAsia="ru-RU"/>
              </w:rPr>
              <w:t>руб.</w:t>
            </w:r>
          </w:p>
          <w:p w14:paraId="2815DC2E" w14:textId="77777777" w:rsidR="00D91486" w:rsidRPr="00A53AD7" w:rsidRDefault="00D91486" w:rsidP="000A33B4">
            <w:pPr>
              <w:spacing w:after="0" w:line="240" w:lineRule="auto"/>
              <w:jc w:val="center"/>
              <w:rPr>
                <w:rFonts w:ascii="Times New Roman" w:hAnsi="Times New Roman"/>
                <w:sz w:val="20"/>
                <w:szCs w:val="20"/>
                <w:lang w:eastAsia="ru-RU"/>
              </w:rPr>
            </w:pPr>
          </w:p>
        </w:tc>
        <w:tc>
          <w:tcPr>
            <w:tcW w:w="2393" w:type="dxa"/>
          </w:tcPr>
          <w:p w14:paraId="69ACA6A7" w14:textId="588AE368"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101,8 млн.</w:t>
            </w:r>
            <w:r w:rsidR="00D91486" w:rsidRPr="00A53AD7">
              <w:rPr>
                <w:rFonts w:ascii="Times New Roman" w:hAnsi="Times New Roman"/>
                <w:sz w:val="20"/>
                <w:szCs w:val="20"/>
                <w:lang w:eastAsia="ru-RU"/>
              </w:rPr>
              <w:t>руб., в т.ч. сред</w:t>
            </w:r>
            <w:r w:rsidRPr="00A53AD7">
              <w:rPr>
                <w:rFonts w:ascii="Times New Roman" w:hAnsi="Times New Roman"/>
                <w:sz w:val="20"/>
                <w:szCs w:val="20"/>
                <w:lang w:eastAsia="ru-RU"/>
              </w:rPr>
              <w:t>ства субсидии из ФБ – 91,5 млн.</w:t>
            </w:r>
            <w:r w:rsidR="00D91486" w:rsidRPr="00A53AD7">
              <w:rPr>
                <w:rFonts w:ascii="Times New Roman" w:hAnsi="Times New Roman"/>
                <w:sz w:val="20"/>
                <w:szCs w:val="20"/>
                <w:lang w:eastAsia="ru-RU"/>
              </w:rPr>
              <w:t>руб.</w:t>
            </w:r>
          </w:p>
        </w:tc>
      </w:tr>
      <w:tr w:rsidR="00D470B6" w:rsidRPr="00A53AD7" w14:paraId="0385CE69" w14:textId="77777777" w:rsidTr="000A33B4">
        <w:tc>
          <w:tcPr>
            <w:tcW w:w="2392" w:type="dxa"/>
            <w:vMerge/>
          </w:tcPr>
          <w:p w14:paraId="62360C44"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4E816DCF" w14:textId="77777777" w:rsidR="00D91486" w:rsidRPr="00A53AD7" w:rsidRDefault="00D91486" w:rsidP="000A33B4">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ИТОГО:</w:t>
            </w:r>
          </w:p>
        </w:tc>
        <w:tc>
          <w:tcPr>
            <w:tcW w:w="4786" w:type="dxa"/>
            <w:gridSpan w:val="2"/>
          </w:tcPr>
          <w:p w14:paraId="565E879F" w14:textId="5112D0DF"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201,2 млн.руб., в т. ч. ФБ – 181,0 млн.</w:t>
            </w:r>
            <w:r w:rsidR="00D91486" w:rsidRPr="00A53AD7">
              <w:rPr>
                <w:rFonts w:ascii="Times New Roman" w:hAnsi="Times New Roman"/>
                <w:sz w:val="20"/>
                <w:szCs w:val="20"/>
                <w:lang w:eastAsia="ru-RU"/>
              </w:rPr>
              <w:t>руб.</w:t>
            </w:r>
          </w:p>
        </w:tc>
      </w:tr>
      <w:tr w:rsidR="00D470B6" w:rsidRPr="00A53AD7" w14:paraId="0E3E3C72" w14:textId="77777777" w:rsidTr="000A33B4">
        <w:tc>
          <w:tcPr>
            <w:tcW w:w="2392" w:type="dxa"/>
            <w:vMerge w:val="restart"/>
          </w:tcPr>
          <w:p w14:paraId="3F4C37FC" w14:textId="0A11471B"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Дополнительное соглашение </w:t>
            </w:r>
          </w:p>
          <w:p w14:paraId="6A0C8DF8" w14:textId="77777777" w:rsidR="00D91486" w:rsidRPr="00A53AD7" w:rsidRDefault="00D91486" w:rsidP="000A33B4">
            <w:pPr>
              <w:spacing w:after="0" w:line="240" w:lineRule="auto"/>
              <w:jc w:val="both"/>
              <w:rPr>
                <w:rFonts w:ascii="Times New Roman" w:hAnsi="Times New Roman"/>
                <w:b/>
                <w:sz w:val="20"/>
                <w:szCs w:val="20"/>
                <w:lang w:eastAsia="ru-RU"/>
              </w:rPr>
            </w:pPr>
            <w:r w:rsidRPr="00A53AD7">
              <w:rPr>
                <w:rFonts w:ascii="Times New Roman" w:hAnsi="Times New Roman"/>
                <w:b/>
                <w:sz w:val="20"/>
                <w:szCs w:val="20"/>
                <w:lang w:eastAsia="ru-RU"/>
              </w:rPr>
              <w:t xml:space="preserve">от 03.04.2020 </w:t>
            </w:r>
          </w:p>
          <w:p w14:paraId="7EAF519C" w14:textId="77777777" w:rsidR="00D91486" w:rsidRPr="00A53AD7" w:rsidRDefault="00D91486" w:rsidP="000A33B4">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069-09-2019-105/5</w:t>
            </w:r>
          </w:p>
        </w:tc>
        <w:tc>
          <w:tcPr>
            <w:tcW w:w="2393" w:type="dxa"/>
          </w:tcPr>
          <w:p w14:paraId="26DACACE"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32A30180" w14:textId="1B31E95B"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98,8 млн.</w:t>
            </w:r>
            <w:r w:rsidR="00D91486" w:rsidRPr="00A53AD7">
              <w:rPr>
                <w:rFonts w:ascii="Times New Roman" w:hAnsi="Times New Roman"/>
                <w:sz w:val="20"/>
                <w:szCs w:val="20"/>
                <w:lang w:eastAsia="ru-RU"/>
              </w:rPr>
              <w:t>руб., в т.ч сред</w:t>
            </w:r>
            <w:r w:rsidRPr="00A53AD7">
              <w:rPr>
                <w:rFonts w:ascii="Times New Roman" w:hAnsi="Times New Roman"/>
                <w:sz w:val="20"/>
                <w:szCs w:val="20"/>
                <w:lang w:eastAsia="ru-RU"/>
              </w:rPr>
              <w:t>ства субсидии из ФБ – 88,9 млн.</w:t>
            </w:r>
            <w:r w:rsidR="00D91486" w:rsidRPr="00A53AD7">
              <w:rPr>
                <w:rFonts w:ascii="Times New Roman" w:hAnsi="Times New Roman"/>
                <w:sz w:val="20"/>
                <w:szCs w:val="20"/>
                <w:lang w:eastAsia="ru-RU"/>
              </w:rPr>
              <w:t>руб.</w:t>
            </w:r>
          </w:p>
        </w:tc>
        <w:tc>
          <w:tcPr>
            <w:tcW w:w="2393" w:type="dxa"/>
          </w:tcPr>
          <w:p w14:paraId="327D5BF9" w14:textId="73CD8322"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101,8 млн.</w:t>
            </w:r>
            <w:r w:rsidR="00D91486" w:rsidRPr="00A53AD7">
              <w:rPr>
                <w:rFonts w:ascii="Times New Roman" w:hAnsi="Times New Roman"/>
                <w:sz w:val="20"/>
                <w:szCs w:val="20"/>
                <w:lang w:eastAsia="ru-RU"/>
              </w:rPr>
              <w:t>руб., в т.ч. сред</w:t>
            </w:r>
            <w:r w:rsidRPr="00A53AD7">
              <w:rPr>
                <w:rFonts w:ascii="Times New Roman" w:hAnsi="Times New Roman"/>
                <w:sz w:val="20"/>
                <w:szCs w:val="20"/>
                <w:lang w:eastAsia="ru-RU"/>
              </w:rPr>
              <w:t>ства субсидии из ФБ – 91,5 млн.</w:t>
            </w:r>
            <w:r w:rsidR="00D91486" w:rsidRPr="00A53AD7">
              <w:rPr>
                <w:rFonts w:ascii="Times New Roman" w:hAnsi="Times New Roman"/>
                <w:sz w:val="20"/>
                <w:szCs w:val="20"/>
                <w:lang w:eastAsia="ru-RU"/>
              </w:rPr>
              <w:t>руб.</w:t>
            </w:r>
          </w:p>
        </w:tc>
      </w:tr>
      <w:tr w:rsidR="00D91486" w:rsidRPr="00A53AD7" w14:paraId="5011FF3E" w14:textId="77777777" w:rsidTr="000A33B4">
        <w:tc>
          <w:tcPr>
            <w:tcW w:w="2392" w:type="dxa"/>
            <w:vMerge/>
          </w:tcPr>
          <w:p w14:paraId="04A1A4DA" w14:textId="77777777" w:rsidR="00D91486" w:rsidRPr="00A53AD7" w:rsidRDefault="00D91486" w:rsidP="000A33B4">
            <w:pPr>
              <w:spacing w:after="0" w:line="240" w:lineRule="auto"/>
              <w:jc w:val="both"/>
              <w:rPr>
                <w:rFonts w:ascii="Times New Roman" w:hAnsi="Times New Roman"/>
                <w:sz w:val="20"/>
                <w:szCs w:val="20"/>
                <w:lang w:eastAsia="ru-RU"/>
              </w:rPr>
            </w:pPr>
          </w:p>
        </w:tc>
        <w:tc>
          <w:tcPr>
            <w:tcW w:w="2393" w:type="dxa"/>
          </w:tcPr>
          <w:p w14:paraId="483E04F4" w14:textId="77777777" w:rsidR="00D91486" w:rsidRPr="00A53AD7" w:rsidRDefault="00D91486" w:rsidP="000A33B4">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ИТОГО:</w:t>
            </w:r>
          </w:p>
        </w:tc>
        <w:tc>
          <w:tcPr>
            <w:tcW w:w="4786" w:type="dxa"/>
            <w:gridSpan w:val="2"/>
          </w:tcPr>
          <w:p w14:paraId="0E50E29B" w14:textId="667FBA61" w:rsidR="00D91486" w:rsidRPr="00A53AD7" w:rsidRDefault="00533B81" w:rsidP="000A33B4">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200,6 млн.руб., в т. ч. ФБ – 180,4 млн.</w:t>
            </w:r>
            <w:r w:rsidR="00D91486" w:rsidRPr="00A53AD7">
              <w:rPr>
                <w:rFonts w:ascii="Times New Roman" w:hAnsi="Times New Roman"/>
                <w:sz w:val="20"/>
                <w:szCs w:val="20"/>
                <w:lang w:eastAsia="ru-RU"/>
              </w:rPr>
              <w:t>руб.</w:t>
            </w:r>
          </w:p>
        </w:tc>
      </w:tr>
    </w:tbl>
    <w:p w14:paraId="5D79CA6F" w14:textId="77777777" w:rsidR="00D91486" w:rsidRPr="00A53AD7" w:rsidRDefault="00D91486" w:rsidP="000A33B4">
      <w:pPr>
        <w:spacing w:after="0" w:line="240" w:lineRule="auto"/>
        <w:ind w:firstLine="851"/>
        <w:jc w:val="both"/>
        <w:rPr>
          <w:rFonts w:ascii="Times New Roman" w:hAnsi="Times New Roman"/>
          <w:sz w:val="28"/>
          <w:szCs w:val="28"/>
        </w:rPr>
      </w:pPr>
    </w:p>
    <w:p w14:paraId="2457E728" w14:textId="407F9E98"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Предоставление субсидий из федерального бюджета на реализацию мероприятий, предусмотренных Соглашением, осуществляется в соответствии с Правилами предоставления и распределения субсидий из федерального бюджета бюджетам субъектов Российской Федерации на развитие жилищного строительства (приложение №</w:t>
      </w:r>
      <w:r w:rsidR="00D2428C" w:rsidRPr="00A53AD7">
        <w:rPr>
          <w:rFonts w:ascii="Times New Roman" w:hAnsi="Times New Roman"/>
          <w:sz w:val="28"/>
          <w:szCs w:val="28"/>
        </w:rPr>
        <w:t xml:space="preserve"> </w:t>
      </w:r>
      <w:r w:rsidRPr="00A53AD7">
        <w:rPr>
          <w:rFonts w:ascii="Times New Roman" w:hAnsi="Times New Roman"/>
          <w:sz w:val="28"/>
          <w:szCs w:val="28"/>
        </w:rPr>
        <w:t>6 к ГП РФ «Обеспечение доступным и комфортным жильем и коммунальными услугами граждан Российской Федерации», утвержденной постановлением Правительства Российской Федерации от 30 декабря 2017 года № 1710).</w:t>
      </w:r>
    </w:p>
    <w:p w14:paraId="5B4BB369" w14:textId="77777777" w:rsidR="00D91486" w:rsidRPr="00A53AD7" w:rsidRDefault="00D91486" w:rsidP="000A33B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условиями Соглашения, Минстроем АО заключены соглашения о предоставлении субсидии из областного бюджета местным бюджетам МО «Город Архангельск» и МО «Котлас».</w:t>
      </w:r>
    </w:p>
    <w:p w14:paraId="022EA0BC" w14:textId="2C3880A5"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мероприятий, предусмотренных Соглашением, осуществляется в рамках подпрограммы №1 «Создание условий для обеспечения доступным и комфортным жильем жителей Архангельской области» государственной программы Архангельской области «Обеспечение качественным, доступным жильем и объектами инженерной инфраструктуры населения Архангельской области», утвержденной постановлением Правительства Архангельской области от 11.10.2013 № 475-пп (далее – ГП АО № 475-пп).</w:t>
      </w:r>
    </w:p>
    <w:p w14:paraId="51D8FAC0" w14:textId="2C6491C9" w:rsidR="00D91486" w:rsidRPr="00A53AD7" w:rsidRDefault="00D91486" w:rsidP="000A33B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Реализация мероприятий </w:t>
      </w:r>
      <w:hyperlink r:id="rId101" w:history="1">
        <w:r w:rsidRPr="00A53AD7">
          <w:rPr>
            <w:rFonts w:ascii="Times New Roman" w:hAnsi="Times New Roman"/>
            <w:sz w:val="28"/>
            <w:szCs w:val="28"/>
          </w:rPr>
          <w:t>пунктов 1.7</w:t>
        </w:r>
      </w:hyperlink>
      <w:r w:rsidRPr="00A53AD7">
        <w:rPr>
          <w:rFonts w:ascii="Times New Roman" w:hAnsi="Times New Roman"/>
          <w:sz w:val="28"/>
          <w:szCs w:val="28"/>
        </w:rPr>
        <w:t xml:space="preserve"> и </w:t>
      </w:r>
      <w:hyperlink r:id="rId102" w:history="1">
        <w:r w:rsidRPr="00A53AD7">
          <w:rPr>
            <w:rFonts w:ascii="Times New Roman" w:hAnsi="Times New Roman"/>
            <w:sz w:val="28"/>
            <w:szCs w:val="28"/>
          </w:rPr>
          <w:t>1.9</w:t>
        </w:r>
      </w:hyperlink>
      <w:r w:rsidRPr="00A53AD7">
        <w:rPr>
          <w:rFonts w:ascii="Times New Roman" w:hAnsi="Times New Roman"/>
          <w:sz w:val="28"/>
          <w:szCs w:val="28"/>
        </w:rPr>
        <w:t xml:space="preserve"> перечня мероприятий подпрограммы №1 (приложение №</w:t>
      </w:r>
      <w:r w:rsidR="00D2428C" w:rsidRPr="00A53AD7">
        <w:rPr>
          <w:rFonts w:ascii="Times New Roman" w:hAnsi="Times New Roman"/>
          <w:sz w:val="28"/>
          <w:szCs w:val="28"/>
        </w:rPr>
        <w:t xml:space="preserve"> </w:t>
      </w:r>
      <w:r w:rsidRPr="00A53AD7">
        <w:rPr>
          <w:rFonts w:ascii="Times New Roman" w:hAnsi="Times New Roman"/>
          <w:sz w:val="28"/>
          <w:szCs w:val="28"/>
        </w:rPr>
        <w:t xml:space="preserve">2 к ГП АО № 475-пп) осуществляется, в том числе, в рамках федерального проекта </w:t>
      </w:r>
      <w:r w:rsidR="00307C7F" w:rsidRPr="00A53AD7">
        <w:rPr>
          <w:rFonts w:ascii="Times New Roman" w:hAnsi="Times New Roman"/>
          <w:sz w:val="28"/>
          <w:szCs w:val="28"/>
        </w:rPr>
        <w:t>«</w:t>
      </w:r>
      <w:r w:rsidRPr="00A53AD7">
        <w:rPr>
          <w:rFonts w:ascii="Times New Roman" w:hAnsi="Times New Roman"/>
          <w:sz w:val="28"/>
          <w:szCs w:val="28"/>
        </w:rPr>
        <w:t>Жилье</w:t>
      </w:r>
      <w:r w:rsidR="00307C7F" w:rsidRPr="00A53AD7">
        <w:rPr>
          <w:rFonts w:ascii="Times New Roman" w:hAnsi="Times New Roman"/>
          <w:sz w:val="28"/>
          <w:szCs w:val="28"/>
        </w:rPr>
        <w:t>»</w:t>
      </w:r>
      <w:r w:rsidRPr="00A53AD7">
        <w:rPr>
          <w:rFonts w:ascii="Times New Roman" w:hAnsi="Times New Roman"/>
          <w:sz w:val="28"/>
          <w:szCs w:val="28"/>
        </w:rPr>
        <w:t xml:space="preserve"> национального проекта </w:t>
      </w:r>
      <w:r w:rsidR="00307C7F" w:rsidRPr="00A53AD7">
        <w:rPr>
          <w:rFonts w:ascii="Times New Roman" w:hAnsi="Times New Roman"/>
          <w:sz w:val="28"/>
          <w:szCs w:val="28"/>
        </w:rPr>
        <w:t>«</w:t>
      </w:r>
      <w:r w:rsidRPr="00A53AD7">
        <w:rPr>
          <w:rFonts w:ascii="Times New Roman" w:hAnsi="Times New Roman"/>
          <w:sz w:val="28"/>
          <w:szCs w:val="28"/>
        </w:rPr>
        <w:t>Жилье и городская среда</w:t>
      </w:r>
      <w:r w:rsidR="00307C7F" w:rsidRPr="00A53AD7">
        <w:rPr>
          <w:rFonts w:ascii="Times New Roman" w:hAnsi="Times New Roman"/>
          <w:sz w:val="28"/>
          <w:szCs w:val="28"/>
        </w:rPr>
        <w:t>»</w:t>
      </w:r>
      <w:r w:rsidRPr="00A53AD7">
        <w:rPr>
          <w:rFonts w:ascii="Times New Roman" w:hAnsi="Times New Roman"/>
          <w:sz w:val="28"/>
          <w:szCs w:val="28"/>
        </w:rPr>
        <w:t>.</w:t>
      </w:r>
    </w:p>
    <w:p w14:paraId="2456EDAA" w14:textId="1F673C5B"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ГП АО № 475-пп (в редакции от </w:t>
      </w:r>
      <w:r w:rsidRPr="00A53AD7">
        <w:rPr>
          <w:rFonts w:ascii="Tahoma" w:hAnsi="Tahoma" w:cs="Tahoma"/>
          <w:sz w:val="28"/>
          <w:szCs w:val="28"/>
        </w:rPr>
        <w:t>﻿</w:t>
      </w:r>
      <w:r w:rsidRPr="00A53AD7">
        <w:rPr>
          <w:rFonts w:ascii="Times New Roman" w:hAnsi="Times New Roman"/>
          <w:sz w:val="28"/>
          <w:szCs w:val="28"/>
        </w:rPr>
        <w:t>21.02.2020 № 87-пп), предусмотрен следующий объем финансирования мероприятий РП «Жилье»:</w:t>
      </w:r>
    </w:p>
    <w:tbl>
      <w:tblPr>
        <w:tblW w:w="936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531"/>
        <w:gridCol w:w="6840"/>
        <w:gridCol w:w="1989"/>
      </w:tblGrid>
      <w:tr w:rsidR="00D470B6" w:rsidRPr="00A53AD7" w14:paraId="1EBAFAEA" w14:textId="77777777" w:rsidTr="000A33B4">
        <w:trPr>
          <w:trHeight w:val="253"/>
          <w:tblHeader/>
        </w:trPr>
        <w:tc>
          <w:tcPr>
            <w:tcW w:w="531" w:type="dxa"/>
            <w:vMerge w:val="restart"/>
            <w:vAlign w:val="center"/>
          </w:tcPr>
          <w:p w14:paraId="35E8652E" w14:textId="77777777" w:rsidR="00D91486" w:rsidRPr="00A53AD7" w:rsidRDefault="00D91486" w:rsidP="000A33B4">
            <w:pPr>
              <w:spacing w:after="0" w:line="240" w:lineRule="auto"/>
              <w:jc w:val="center"/>
              <w:rPr>
                <w:rFonts w:ascii="Times New Roman" w:hAnsi="Times New Roman"/>
                <w:b/>
                <w:lang w:eastAsia="ru-RU"/>
              </w:rPr>
            </w:pPr>
            <w:r w:rsidRPr="00A53AD7">
              <w:rPr>
                <w:rFonts w:ascii="Times New Roman" w:hAnsi="Times New Roman"/>
                <w:b/>
                <w:lang w:eastAsia="ru-RU"/>
              </w:rPr>
              <w:t>№ п/п</w:t>
            </w:r>
          </w:p>
        </w:tc>
        <w:tc>
          <w:tcPr>
            <w:tcW w:w="6840" w:type="dxa"/>
            <w:vMerge w:val="restart"/>
            <w:vAlign w:val="center"/>
          </w:tcPr>
          <w:p w14:paraId="1F6AD2D4" w14:textId="77777777" w:rsidR="00D91486" w:rsidRPr="00A53AD7" w:rsidRDefault="00D91486" w:rsidP="000A33B4">
            <w:pPr>
              <w:spacing w:after="0" w:line="240" w:lineRule="auto"/>
              <w:jc w:val="center"/>
              <w:rPr>
                <w:rFonts w:ascii="Times New Roman" w:hAnsi="Times New Roman"/>
                <w:b/>
                <w:lang w:eastAsia="ru-RU"/>
              </w:rPr>
            </w:pPr>
            <w:r w:rsidRPr="00A53AD7">
              <w:rPr>
                <w:rFonts w:ascii="Times New Roman" w:hAnsi="Times New Roman"/>
                <w:b/>
                <w:lang w:eastAsia="ru-RU"/>
              </w:rPr>
              <w:t>Мероприятие</w:t>
            </w:r>
          </w:p>
        </w:tc>
        <w:tc>
          <w:tcPr>
            <w:tcW w:w="1989" w:type="dxa"/>
            <w:vMerge w:val="restart"/>
            <w:vAlign w:val="center"/>
          </w:tcPr>
          <w:p w14:paraId="6026DE83" w14:textId="595041E4" w:rsidR="00D91486" w:rsidRPr="00A53AD7" w:rsidRDefault="00D91486" w:rsidP="000A33B4">
            <w:pPr>
              <w:spacing w:after="0" w:line="240" w:lineRule="auto"/>
              <w:jc w:val="center"/>
              <w:rPr>
                <w:rFonts w:ascii="Times New Roman" w:hAnsi="Times New Roman"/>
                <w:b/>
                <w:lang w:eastAsia="ru-RU"/>
              </w:rPr>
            </w:pPr>
            <w:r w:rsidRPr="00A53AD7">
              <w:rPr>
                <w:rFonts w:ascii="Times New Roman" w:hAnsi="Times New Roman"/>
                <w:b/>
                <w:lang w:eastAsia="ru-RU"/>
              </w:rPr>
              <w:t>Объем финансирования на 2019 год</w:t>
            </w:r>
          </w:p>
          <w:p w14:paraId="4E333D14" w14:textId="1258460B" w:rsidR="00D91486" w:rsidRPr="00A53AD7" w:rsidRDefault="00533B81" w:rsidP="000A33B4">
            <w:pPr>
              <w:spacing w:after="0" w:line="240" w:lineRule="auto"/>
              <w:jc w:val="center"/>
              <w:rPr>
                <w:rFonts w:ascii="Times New Roman" w:hAnsi="Times New Roman"/>
                <w:b/>
                <w:lang w:eastAsia="ru-RU"/>
              </w:rPr>
            </w:pPr>
            <w:r w:rsidRPr="00A53AD7">
              <w:rPr>
                <w:rFonts w:ascii="Times New Roman" w:hAnsi="Times New Roman"/>
                <w:b/>
                <w:lang w:eastAsia="ru-RU"/>
              </w:rPr>
              <w:t>млн.</w:t>
            </w:r>
            <w:r w:rsidR="00D91486" w:rsidRPr="00A53AD7">
              <w:rPr>
                <w:rFonts w:ascii="Times New Roman" w:hAnsi="Times New Roman"/>
                <w:b/>
                <w:lang w:eastAsia="ru-RU"/>
              </w:rPr>
              <w:t>руб.</w:t>
            </w:r>
          </w:p>
        </w:tc>
      </w:tr>
      <w:tr w:rsidR="00D470B6" w:rsidRPr="00A53AD7" w14:paraId="51692051" w14:textId="77777777" w:rsidTr="000A33B4">
        <w:trPr>
          <w:trHeight w:val="253"/>
        </w:trPr>
        <w:tc>
          <w:tcPr>
            <w:tcW w:w="531" w:type="dxa"/>
            <w:vMerge/>
            <w:vAlign w:val="center"/>
          </w:tcPr>
          <w:p w14:paraId="0638A3E6" w14:textId="77777777" w:rsidR="00D91486" w:rsidRPr="00A53AD7" w:rsidRDefault="00D91486" w:rsidP="000A33B4">
            <w:pPr>
              <w:spacing w:after="0" w:line="240" w:lineRule="auto"/>
              <w:jc w:val="center"/>
              <w:rPr>
                <w:rFonts w:ascii="Times New Roman" w:hAnsi="Times New Roman"/>
                <w:b/>
                <w:lang w:eastAsia="ru-RU"/>
              </w:rPr>
            </w:pPr>
          </w:p>
        </w:tc>
        <w:tc>
          <w:tcPr>
            <w:tcW w:w="6840" w:type="dxa"/>
            <w:vMerge/>
            <w:vAlign w:val="center"/>
          </w:tcPr>
          <w:p w14:paraId="45F46D92" w14:textId="77777777" w:rsidR="00D91486" w:rsidRPr="00A53AD7" w:rsidRDefault="00D91486" w:rsidP="000A33B4">
            <w:pPr>
              <w:spacing w:after="0" w:line="240" w:lineRule="auto"/>
              <w:jc w:val="center"/>
              <w:rPr>
                <w:rFonts w:ascii="Times New Roman" w:hAnsi="Times New Roman"/>
                <w:b/>
                <w:lang w:eastAsia="ru-RU"/>
              </w:rPr>
            </w:pPr>
          </w:p>
        </w:tc>
        <w:tc>
          <w:tcPr>
            <w:tcW w:w="1989" w:type="dxa"/>
            <w:vMerge/>
            <w:vAlign w:val="center"/>
          </w:tcPr>
          <w:p w14:paraId="4D1C4AA9" w14:textId="77777777" w:rsidR="00D91486" w:rsidRPr="00A53AD7" w:rsidRDefault="00D91486" w:rsidP="000A33B4">
            <w:pPr>
              <w:spacing w:after="0" w:line="240" w:lineRule="auto"/>
              <w:jc w:val="center"/>
              <w:rPr>
                <w:rFonts w:ascii="Times New Roman" w:hAnsi="Times New Roman"/>
                <w:b/>
                <w:lang w:eastAsia="ru-RU"/>
              </w:rPr>
            </w:pPr>
          </w:p>
        </w:tc>
      </w:tr>
      <w:tr w:rsidR="00D470B6" w:rsidRPr="00A53AD7" w14:paraId="68FAB2D0" w14:textId="77777777" w:rsidTr="000A33B4">
        <w:tc>
          <w:tcPr>
            <w:tcW w:w="531" w:type="dxa"/>
          </w:tcPr>
          <w:p w14:paraId="4909A4FB"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1.</w:t>
            </w:r>
          </w:p>
        </w:tc>
        <w:tc>
          <w:tcPr>
            <w:tcW w:w="6840" w:type="dxa"/>
          </w:tcPr>
          <w:p w14:paraId="120B1E0F" w14:textId="7777777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b/>
                <w:lang w:eastAsia="ru-RU"/>
              </w:rPr>
              <w:t>1.7. «Комплексное освоение территории VI - VII микрорайонов с целью развития жилищного строительства в г. Архангельске»,</w:t>
            </w:r>
            <w:r w:rsidRPr="00A53AD7">
              <w:rPr>
                <w:rFonts w:ascii="Times New Roman" w:hAnsi="Times New Roman"/>
                <w:lang w:eastAsia="ru-RU"/>
              </w:rPr>
              <w:t xml:space="preserve"> в том числе за счет средств:</w:t>
            </w:r>
          </w:p>
        </w:tc>
        <w:tc>
          <w:tcPr>
            <w:tcW w:w="1989" w:type="dxa"/>
          </w:tcPr>
          <w:p w14:paraId="4F8CD601" w14:textId="77777777" w:rsidR="00D91486" w:rsidRPr="00A53AD7" w:rsidRDefault="00D91486" w:rsidP="00D91486">
            <w:pPr>
              <w:spacing w:after="0" w:line="240" w:lineRule="auto"/>
              <w:jc w:val="center"/>
              <w:rPr>
                <w:rFonts w:ascii="Times New Roman" w:hAnsi="Times New Roman"/>
                <w:b/>
                <w:lang w:eastAsia="ru-RU"/>
              </w:rPr>
            </w:pPr>
            <w:r w:rsidRPr="00A53AD7">
              <w:rPr>
                <w:rFonts w:ascii="Times New Roman" w:hAnsi="Times New Roman"/>
                <w:b/>
                <w:lang w:eastAsia="ru-RU"/>
              </w:rPr>
              <w:t>150,4</w:t>
            </w:r>
          </w:p>
        </w:tc>
      </w:tr>
      <w:tr w:rsidR="00D470B6" w:rsidRPr="00A53AD7" w14:paraId="089382F0" w14:textId="77777777" w:rsidTr="000A33B4">
        <w:tc>
          <w:tcPr>
            <w:tcW w:w="531" w:type="dxa"/>
          </w:tcPr>
          <w:p w14:paraId="74AAB638"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1.1</w:t>
            </w:r>
          </w:p>
        </w:tc>
        <w:tc>
          <w:tcPr>
            <w:tcW w:w="6840" w:type="dxa"/>
          </w:tcPr>
          <w:p w14:paraId="541D6852" w14:textId="7777777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lang w:eastAsia="ru-RU"/>
              </w:rPr>
              <w:t>Федерального бюджета</w:t>
            </w:r>
          </w:p>
        </w:tc>
        <w:tc>
          <w:tcPr>
            <w:tcW w:w="1989" w:type="dxa"/>
          </w:tcPr>
          <w:p w14:paraId="0737F3E0"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109,0</w:t>
            </w:r>
          </w:p>
        </w:tc>
      </w:tr>
      <w:tr w:rsidR="00D470B6" w:rsidRPr="00A53AD7" w14:paraId="418A14C4" w14:textId="77777777" w:rsidTr="000A33B4">
        <w:tc>
          <w:tcPr>
            <w:tcW w:w="531" w:type="dxa"/>
          </w:tcPr>
          <w:p w14:paraId="1E12EB42"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1.2</w:t>
            </w:r>
          </w:p>
        </w:tc>
        <w:tc>
          <w:tcPr>
            <w:tcW w:w="6840" w:type="dxa"/>
          </w:tcPr>
          <w:p w14:paraId="56D8140C" w14:textId="7777777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lang w:eastAsia="ru-RU"/>
              </w:rPr>
              <w:t>Областного бюджета</w:t>
            </w:r>
          </w:p>
        </w:tc>
        <w:tc>
          <w:tcPr>
            <w:tcW w:w="1989" w:type="dxa"/>
          </w:tcPr>
          <w:p w14:paraId="3A85FEBB"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41,2</w:t>
            </w:r>
          </w:p>
        </w:tc>
      </w:tr>
      <w:tr w:rsidR="00D470B6" w:rsidRPr="00A53AD7" w14:paraId="0270D697" w14:textId="77777777" w:rsidTr="000A33B4">
        <w:trPr>
          <w:trHeight w:val="195"/>
        </w:trPr>
        <w:tc>
          <w:tcPr>
            <w:tcW w:w="531" w:type="dxa"/>
          </w:tcPr>
          <w:p w14:paraId="694B6BF5"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1.3</w:t>
            </w:r>
          </w:p>
        </w:tc>
        <w:tc>
          <w:tcPr>
            <w:tcW w:w="6840" w:type="dxa"/>
          </w:tcPr>
          <w:p w14:paraId="0D797E28" w14:textId="7777777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lang w:eastAsia="ru-RU"/>
              </w:rPr>
              <w:t>Местных бюджетов</w:t>
            </w:r>
          </w:p>
        </w:tc>
        <w:tc>
          <w:tcPr>
            <w:tcW w:w="1989" w:type="dxa"/>
          </w:tcPr>
          <w:p w14:paraId="08E98A71"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0,2</w:t>
            </w:r>
          </w:p>
        </w:tc>
      </w:tr>
      <w:tr w:rsidR="00D470B6" w:rsidRPr="00A53AD7" w14:paraId="3AB44A23" w14:textId="77777777" w:rsidTr="000A33B4">
        <w:trPr>
          <w:trHeight w:val="195"/>
        </w:trPr>
        <w:tc>
          <w:tcPr>
            <w:tcW w:w="531" w:type="dxa"/>
          </w:tcPr>
          <w:p w14:paraId="3DE5018C" w14:textId="77777777" w:rsidR="00D91486" w:rsidRPr="00A53AD7" w:rsidRDefault="00D91486" w:rsidP="00D91486">
            <w:pPr>
              <w:spacing w:after="0" w:line="240" w:lineRule="auto"/>
              <w:jc w:val="both"/>
              <w:rPr>
                <w:rFonts w:ascii="Times New Roman" w:hAnsi="Times New Roman"/>
                <w:lang w:eastAsia="ru-RU"/>
              </w:rPr>
            </w:pPr>
          </w:p>
        </w:tc>
        <w:tc>
          <w:tcPr>
            <w:tcW w:w="6840" w:type="dxa"/>
          </w:tcPr>
          <w:p w14:paraId="15793586" w14:textId="1AC5856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b/>
                <w:lang w:eastAsia="ru-RU"/>
              </w:rPr>
              <w:t>В том числе в рамках ФП «Жилье» НП «Жилье и городская среда»,</w:t>
            </w:r>
            <w:r w:rsidRPr="00A53AD7">
              <w:rPr>
                <w:rFonts w:ascii="Times New Roman" w:hAnsi="Times New Roman"/>
                <w:lang w:eastAsia="ru-RU"/>
              </w:rPr>
              <w:t xml:space="preserve"> в том числе за счет средств:</w:t>
            </w:r>
          </w:p>
        </w:tc>
        <w:tc>
          <w:tcPr>
            <w:tcW w:w="1989" w:type="dxa"/>
          </w:tcPr>
          <w:p w14:paraId="6607221B"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b/>
                <w:lang w:eastAsia="ru-RU"/>
              </w:rPr>
              <w:t>99,6</w:t>
            </w:r>
          </w:p>
        </w:tc>
      </w:tr>
      <w:tr w:rsidR="00D470B6" w:rsidRPr="00A53AD7" w14:paraId="0ACDD6E2" w14:textId="77777777" w:rsidTr="000A33B4">
        <w:trPr>
          <w:trHeight w:val="195"/>
        </w:trPr>
        <w:tc>
          <w:tcPr>
            <w:tcW w:w="531" w:type="dxa"/>
          </w:tcPr>
          <w:p w14:paraId="318D02DF" w14:textId="77777777" w:rsidR="00D91486" w:rsidRPr="00A53AD7" w:rsidRDefault="00D91486" w:rsidP="00D91486">
            <w:pPr>
              <w:spacing w:after="0" w:line="240" w:lineRule="auto"/>
              <w:jc w:val="both"/>
              <w:rPr>
                <w:rFonts w:ascii="Times New Roman" w:hAnsi="Times New Roman"/>
                <w:lang w:eastAsia="ru-RU"/>
              </w:rPr>
            </w:pPr>
          </w:p>
        </w:tc>
        <w:tc>
          <w:tcPr>
            <w:tcW w:w="6840" w:type="dxa"/>
          </w:tcPr>
          <w:p w14:paraId="09B3FCE8" w14:textId="77777777" w:rsidR="00D91486" w:rsidRPr="00A53AD7" w:rsidRDefault="00D91486" w:rsidP="000A33B4">
            <w:pPr>
              <w:spacing w:after="0" w:line="240" w:lineRule="auto"/>
              <w:rPr>
                <w:rFonts w:ascii="Times New Roman" w:hAnsi="Times New Roman"/>
                <w:lang w:eastAsia="ru-RU"/>
              </w:rPr>
            </w:pPr>
            <w:r w:rsidRPr="00A53AD7">
              <w:rPr>
                <w:rFonts w:ascii="Times New Roman" w:hAnsi="Times New Roman"/>
                <w:lang w:eastAsia="ru-RU"/>
              </w:rPr>
              <w:t>Федерального бюджета</w:t>
            </w:r>
          </w:p>
        </w:tc>
        <w:tc>
          <w:tcPr>
            <w:tcW w:w="1989" w:type="dxa"/>
          </w:tcPr>
          <w:p w14:paraId="58FA063A"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89,5</w:t>
            </w:r>
          </w:p>
        </w:tc>
      </w:tr>
      <w:tr w:rsidR="00D470B6" w:rsidRPr="00A53AD7" w14:paraId="7C9E8784" w14:textId="77777777" w:rsidTr="000A33B4">
        <w:trPr>
          <w:trHeight w:val="195"/>
        </w:trPr>
        <w:tc>
          <w:tcPr>
            <w:tcW w:w="531" w:type="dxa"/>
          </w:tcPr>
          <w:p w14:paraId="15B96097" w14:textId="77777777" w:rsidR="00D91486" w:rsidRPr="00A53AD7" w:rsidRDefault="00D91486" w:rsidP="00D91486">
            <w:pPr>
              <w:spacing w:after="0" w:line="240" w:lineRule="auto"/>
              <w:jc w:val="both"/>
              <w:rPr>
                <w:rFonts w:ascii="Times New Roman" w:hAnsi="Times New Roman"/>
                <w:lang w:eastAsia="ru-RU"/>
              </w:rPr>
            </w:pPr>
          </w:p>
        </w:tc>
        <w:tc>
          <w:tcPr>
            <w:tcW w:w="6840" w:type="dxa"/>
          </w:tcPr>
          <w:p w14:paraId="03BB3516"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Областного бюджета</w:t>
            </w:r>
          </w:p>
        </w:tc>
        <w:tc>
          <w:tcPr>
            <w:tcW w:w="1989" w:type="dxa"/>
          </w:tcPr>
          <w:p w14:paraId="3FF03142"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9,9</w:t>
            </w:r>
          </w:p>
        </w:tc>
      </w:tr>
      <w:tr w:rsidR="00D470B6" w:rsidRPr="00A53AD7" w14:paraId="3B258A06" w14:textId="77777777" w:rsidTr="000A33B4">
        <w:trPr>
          <w:trHeight w:val="195"/>
        </w:trPr>
        <w:tc>
          <w:tcPr>
            <w:tcW w:w="531" w:type="dxa"/>
          </w:tcPr>
          <w:p w14:paraId="68C1CB49" w14:textId="77777777" w:rsidR="00D91486" w:rsidRPr="00A53AD7" w:rsidRDefault="00D91486" w:rsidP="00D91486">
            <w:pPr>
              <w:spacing w:after="0" w:line="240" w:lineRule="auto"/>
              <w:jc w:val="both"/>
              <w:rPr>
                <w:rFonts w:ascii="Times New Roman" w:hAnsi="Times New Roman"/>
                <w:lang w:eastAsia="ru-RU"/>
              </w:rPr>
            </w:pPr>
          </w:p>
        </w:tc>
        <w:tc>
          <w:tcPr>
            <w:tcW w:w="6840" w:type="dxa"/>
          </w:tcPr>
          <w:p w14:paraId="6DA0A4EE"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Местных бюджетов</w:t>
            </w:r>
          </w:p>
        </w:tc>
        <w:tc>
          <w:tcPr>
            <w:tcW w:w="1989" w:type="dxa"/>
          </w:tcPr>
          <w:p w14:paraId="46E43080"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0,2</w:t>
            </w:r>
          </w:p>
        </w:tc>
      </w:tr>
      <w:tr w:rsidR="00D470B6" w:rsidRPr="00A53AD7" w14:paraId="43D3EF78" w14:textId="77777777" w:rsidTr="000A33B4">
        <w:tc>
          <w:tcPr>
            <w:tcW w:w="531" w:type="dxa"/>
          </w:tcPr>
          <w:p w14:paraId="2A2CD4C2" w14:textId="77777777" w:rsidR="00D91486" w:rsidRPr="00A53AD7" w:rsidRDefault="00D91486" w:rsidP="00D91486">
            <w:pPr>
              <w:spacing w:after="0" w:line="240" w:lineRule="auto"/>
              <w:jc w:val="both"/>
              <w:rPr>
                <w:rFonts w:ascii="Times New Roman" w:hAnsi="Times New Roman"/>
                <w:b/>
                <w:lang w:eastAsia="ru-RU"/>
              </w:rPr>
            </w:pPr>
            <w:r w:rsidRPr="00A53AD7">
              <w:rPr>
                <w:rFonts w:ascii="Times New Roman" w:hAnsi="Times New Roman"/>
                <w:b/>
                <w:lang w:eastAsia="ru-RU"/>
              </w:rPr>
              <w:t>2.</w:t>
            </w:r>
          </w:p>
        </w:tc>
        <w:tc>
          <w:tcPr>
            <w:tcW w:w="6840" w:type="dxa"/>
          </w:tcPr>
          <w:p w14:paraId="14EAE262"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b/>
                <w:lang w:eastAsia="ru-RU"/>
              </w:rPr>
              <w:t>1.9. «Комплексное освоение территории 7 и 10 кварталов Южного района с целью развития жилищного строительства в г. Котласе»,</w:t>
            </w:r>
            <w:r w:rsidRPr="00A53AD7">
              <w:rPr>
                <w:rFonts w:ascii="Times New Roman" w:hAnsi="Times New Roman"/>
                <w:lang w:eastAsia="ru-RU"/>
              </w:rPr>
              <w:t xml:space="preserve"> в том числе за счет средств:</w:t>
            </w:r>
          </w:p>
        </w:tc>
        <w:tc>
          <w:tcPr>
            <w:tcW w:w="1989" w:type="dxa"/>
          </w:tcPr>
          <w:p w14:paraId="11FB7D28" w14:textId="77777777" w:rsidR="00D91486" w:rsidRPr="00A53AD7" w:rsidRDefault="00D91486" w:rsidP="00D91486">
            <w:pPr>
              <w:spacing w:after="0" w:line="240" w:lineRule="auto"/>
              <w:jc w:val="center"/>
              <w:rPr>
                <w:rFonts w:ascii="Times New Roman" w:hAnsi="Times New Roman"/>
                <w:lang w:eastAsia="ru-RU"/>
              </w:rPr>
            </w:pPr>
          </w:p>
          <w:p w14:paraId="77FD19CE" w14:textId="77777777" w:rsidR="00D91486" w:rsidRPr="00A53AD7" w:rsidRDefault="00D91486" w:rsidP="00D91486">
            <w:pPr>
              <w:spacing w:after="0" w:line="240" w:lineRule="auto"/>
              <w:jc w:val="center"/>
              <w:rPr>
                <w:rFonts w:ascii="Times New Roman" w:hAnsi="Times New Roman"/>
                <w:b/>
                <w:lang w:eastAsia="ru-RU"/>
              </w:rPr>
            </w:pPr>
            <w:r w:rsidRPr="00A53AD7">
              <w:rPr>
                <w:rFonts w:ascii="Times New Roman" w:hAnsi="Times New Roman"/>
                <w:b/>
                <w:lang w:eastAsia="ru-RU"/>
              </w:rPr>
              <w:t>101,8</w:t>
            </w:r>
          </w:p>
        </w:tc>
      </w:tr>
      <w:tr w:rsidR="00D470B6" w:rsidRPr="00A53AD7" w14:paraId="3013DFC3" w14:textId="77777777" w:rsidTr="000A33B4">
        <w:tc>
          <w:tcPr>
            <w:tcW w:w="531" w:type="dxa"/>
          </w:tcPr>
          <w:p w14:paraId="34969D58"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2.1</w:t>
            </w:r>
          </w:p>
        </w:tc>
        <w:tc>
          <w:tcPr>
            <w:tcW w:w="6840" w:type="dxa"/>
          </w:tcPr>
          <w:p w14:paraId="111F0F24"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Федерального бюджета</w:t>
            </w:r>
          </w:p>
        </w:tc>
        <w:tc>
          <w:tcPr>
            <w:tcW w:w="1989" w:type="dxa"/>
          </w:tcPr>
          <w:p w14:paraId="6F948735"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91,5</w:t>
            </w:r>
          </w:p>
        </w:tc>
      </w:tr>
      <w:tr w:rsidR="00D470B6" w:rsidRPr="00A53AD7" w14:paraId="41B646F8" w14:textId="77777777" w:rsidTr="000A33B4">
        <w:tc>
          <w:tcPr>
            <w:tcW w:w="531" w:type="dxa"/>
          </w:tcPr>
          <w:p w14:paraId="057BF7B6"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2.2</w:t>
            </w:r>
          </w:p>
        </w:tc>
        <w:tc>
          <w:tcPr>
            <w:tcW w:w="6840" w:type="dxa"/>
          </w:tcPr>
          <w:p w14:paraId="7FDAB99C"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Областного бюджета</w:t>
            </w:r>
          </w:p>
        </w:tc>
        <w:tc>
          <w:tcPr>
            <w:tcW w:w="1989" w:type="dxa"/>
          </w:tcPr>
          <w:p w14:paraId="050F943B"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10,2</w:t>
            </w:r>
          </w:p>
        </w:tc>
      </w:tr>
      <w:tr w:rsidR="00D470B6" w:rsidRPr="00A53AD7" w14:paraId="0AF14CCF" w14:textId="77777777" w:rsidTr="000A33B4">
        <w:tc>
          <w:tcPr>
            <w:tcW w:w="531" w:type="dxa"/>
          </w:tcPr>
          <w:p w14:paraId="08CD6007"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2.3</w:t>
            </w:r>
          </w:p>
        </w:tc>
        <w:tc>
          <w:tcPr>
            <w:tcW w:w="6840" w:type="dxa"/>
          </w:tcPr>
          <w:p w14:paraId="49E9AE68"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Местных бюджетов</w:t>
            </w:r>
          </w:p>
        </w:tc>
        <w:tc>
          <w:tcPr>
            <w:tcW w:w="1989" w:type="dxa"/>
          </w:tcPr>
          <w:p w14:paraId="24D498A9"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0,1</w:t>
            </w:r>
          </w:p>
        </w:tc>
      </w:tr>
      <w:tr w:rsidR="00D470B6" w:rsidRPr="00A53AD7" w14:paraId="67F2CC88" w14:textId="77777777" w:rsidTr="000A33B4">
        <w:tc>
          <w:tcPr>
            <w:tcW w:w="531" w:type="dxa"/>
          </w:tcPr>
          <w:p w14:paraId="661C6AA0" w14:textId="77777777" w:rsidR="00D91486" w:rsidRPr="00A53AD7" w:rsidRDefault="00D91486" w:rsidP="00D91486">
            <w:pPr>
              <w:spacing w:after="0" w:line="240" w:lineRule="auto"/>
              <w:jc w:val="both"/>
              <w:rPr>
                <w:rFonts w:ascii="Times New Roman" w:hAnsi="Times New Roman"/>
                <w:b/>
                <w:lang w:eastAsia="ru-RU"/>
              </w:rPr>
            </w:pPr>
            <w:r w:rsidRPr="00A53AD7">
              <w:rPr>
                <w:rFonts w:ascii="Times New Roman" w:hAnsi="Times New Roman"/>
                <w:b/>
                <w:lang w:eastAsia="ru-RU"/>
              </w:rPr>
              <w:t>3.</w:t>
            </w:r>
          </w:p>
        </w:tc>
        <w:tc>
          <w:tcPr>
            <w:tcW w:w="6840" w:type="dxa"/>
          </w:tcPr>
          <w:p w14:paraId="6B337CA0" w14:textId="44D8AFF0" w:rsidR="00D91486" w:rsidRPr="00A53AD7" w:rsidRDefault="00D91486" w:rsidP="00D91486">
            <w:pPr>
              <w:spacing w:after="0" w:line="240" w:lineRule="auto"/>
              <w:jc w:val="both"/>
              <w:rPr>
                <w:rFonts w:ascii="Times New Roman" w:hAnsi="Times New Roman"/>
                <w:b/>
                <w:lang w:eastAsia="ru-RU"/>
              </w:rPr>
            </w:pPr>
            <w:r w:rsidRPr="00A53AD7">
              <w:rPr>
                <w:rFonts w:ascii="Times New Roman" w:hAnsi="Times New Roman"/>
                <w:b/>
                <w:lang w:eastAsia="ru-RU"/>
              </w:rPr>
              <w:t>ИТ</w:t>
            </w:r>
            <w:r w:rsidR="000A33B4" w:rsidRPr="00A53AD7">
              <w:rPr>
                <w:rFonts w:ascii="Times New Roman" w:hAnsi="Times New Roman"/>
                <w:b/>
                <w:lang w:eastAsia="ru-RU"/>
              </w:rPr>
              <w:t>ОГО по мероприятиям 1.7 и 1.9,</w:t>
            </w:r>
          </w:p>
          <w:p w14:paraId="3140F3AC" w14:textId="77777777" w:rsidR="00D91486" w:rsidRPr="00A53AD7" w:rsidRDefault="00D91486" w:rsidP="00D91486">
            <w:pPr>
              <w:spacing w:after="0" w:line="240" w:lineRule="auto"/>
              <w:jc w:val="both"/>
              <w:rPr>
                <w:rFonts w:ascii="Times New Roman" w:hAnsi="Times New Roman"/>
                <w:b/>
                <w:lang w:eastAsia="ru-RU"/>
              </w:rPr>
            </w:pPr>
            <w:r w:rsidRPr="00A53AD7">
              <w:rPr>
                <w:rFonts w:ascii="Times New Roman" w:hAnsi="Times New Roman"/>
                <w:b/>
                <w:lang w:eastAsia="ru-RU"/>
              </w:rPr>
              <w:t>в том числе за счет средств:</w:t>
            </w:r>
          </w:p>
        </w:tc>
        <w:tc>
          <w:tcPr>
            <w:tcW w:w="1989" w:type="dxa"/>
            <w:shd w:val="clear" w:color="auto" w:fill="auto"/>
          </w:tcPr>
          <w:p w14:paraId="23D0D68B" w14:textId="77777777" w:rsidR="00D91486" w:rsidRPr="00A53AD7" w:rsidRDefault="00D91486" w:rsidP="00D91486">
            <w:pPr>
              <w:spacing w:after="0" w:line="240" w:lineRule="auto"/>
              <w:jc w:val="center"/>
              <w:rPr>
                <w:rFonts w:ascii="Times New Roman" w:hAnsi="Times New Roman"/>
                <w:b/>
                <w:lang w:eastAsia="ru-RU"/>
              </w:rPr>
            </w:pPr>
          </w:p>
          <w:p w14:paraId="1DC349CC" w14:textId="77777777" w:rsidR="00D91486" w:rsidRPr="00A53AD7" w:rsidRDefault="00D91486" w:rsidP="00D91486">
            <w:pPr>
              <w:spacing w:after="0" w:line="240" w:lineRule="auto"/>
              <w:jc w:val="center"/>
              <w:rPr>
                <w:rFonts w:ascii="Times New Roman" w:hAnsi="Times New Roman"/>
                <w:b/>
                <w:lang w:eastAsia="ru-RU"/>
              </w:rPr>
            </w:pPr>
            <w:r w:rsidRPr="00A53AD7">
              <w:rPr>
                <w:rFonts w:ascii="Times New Roman" w:hAnsi="Times New Roman"/>
                <w:b/>
                <w:lang w:eastAsia="ru-RU"/>
              </w:rPr>
              <w:t>201,4</w:t>
            </w:r>
          </w:p>
        </w:tc>
      </w:tr>
      <w:tr w:rsidR="00D470B6" w:rsidRPr="00A53AD7" w14:paraId="0723ECE8" w14:textId="77777777" w:rsidTr="000A33B4">
        <w:tc>
          <w:tcPr>
            <w:tcW w:w="531" w:type="dxa"/>
          </w:tcPr>
          <w:p w14:paraId="689D6ACD"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3.1</w:t>
            </w:r>
          </w:p>
        </w:tc>
        <w:tc>
          <w:tcPr>
            <w:tcW w:w="6840" w:type="dxa"/>
          </w:tcPr>
          <w:p w14:paraId="7A171BCD"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Федерального бюджета</w:t>
            </w:r>
          </w:p>
        </w:tc>
        <w:tc>
          <w:tcPr>
            <w:tcW w:w="1989" w:type="dxa"/>
            <w:shd w:val="clear" w:color="auto" w:fill="auto"/>
          </w:tcPr>
          <w:p w14:paraId="639285CD"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181,0</w:t>
            </w:r>
          </w:p>
        </w:tc>
      </w:tr>
      <w:tr w:rsidR="00D470B6" w:rsidRPr="00A53AD7" w14:paraId="4781C23E" w14:textId="77777777" w:rsidTr="000A33B4">
        <w:tc>
          <w:tcPr>
            <w:tcW w:w="531" w:type="dxa"/>
          </w:tcPr>
          <w:p w14:paraId="0844352F"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3.2</w:t>
            </w:r>
          </w:p>
        </w:tc>
        <w:tc>
          <w:tcPr>
            <w:tcW w:w="6840" w:type="dxa"/>
          </w:tcPr>
          <w:p w14:paraId="3BB908B1"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Областного бюджета</w:t>
            </w:r>
          </w:p>
        </w:tc>
        <w:tc>
          <w:tcPr>
            <w:tcW w:w="1989" w:type="dxa"/>
            <w:shd w:val="clear" w:color="auto" w:fill="auto"/>
          </w:tcPr>
          <w:p w14:paraId="448F461E"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20,1</w:t>
            </w:r>
          </w:p>
        </w:tc>
      </w:tr>
      <w:tr w:rsidR="00D470B6" w:rsidRPr="00A53AD7" w14:paraId="18AB1FDD" w14:textId="77777777" w:rsidTr="000A33B4">
        <w:tc>
          <w:tcPr>
            <w:tcW w:w="531" w:type="dxa"/>
          </w:tcPr>
          <w:p w14:paraId="58059A17"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3.3</w:t>
            </w:r>
          </w:p>
        </w:tc>
        <w:tc>
          <w:tcPr>
            <w:tcW w:w="6840" w:type="dxa"/>
          </w:tcPr>
          <w:p w14:paraId="69F54ED4" w14:textId="77777777" w:rsidR="00D91486" w:rsidRPr="00A53AD7" w:rsidRDefault="00D91486" w:rsidP="00D91486">
            <w:pPr>
              <w:spacing w:after="0" w:line="240" w:lineRule="auto"/>
              <w:jc w:val="both"/>
              <w:rPr>
                <w:rFonts w:ascii="Times New Roman" w:hAnsi="Times New Roman"/>
                <w:lang w:eastAsia="ru-RU"/>
              </w:rPr>
            </w:pPr>
            <w:r w:rsidRPr="00A53AD7">
              <w:rPr>
                <w:rFonts w:ascii="Times New Roman" w:hAnsi="Times New Roman"/>
                <w:lang w:eastAsia="ru-RU"/>
              </w:rPr>
              <w:t>Местных бюджетов</w:t>
            </w:r>
          </w:p>
        </w:tc>
        <w:tc>
          <w:tcPr>
            <w:tcW w:w="1989" w:type="dxa"/>
            <w:shd w:val="clear" w:color="auto" w:fill="auto"/>
          </w:tcPr>
          <w:p w14:paraId="02DDF921" w14:textId="77777777" w:rsidR="00D91486" w:rsidRPr="00A53AD7" w:rsidRDefault="00D91486" w:rsidP="00D91486">
            <w:pPr>
              <w:spacing w:after="0" w:line="240" w:lineRule="auto"/>
              <w:jc w:val="center"/>
              <w:rPr>
                <w:rFonts w:ascii="Times New Roman" w:hAnsi="Times New Roman"/>
                <w:lang w:eastAsia="ru-RU"/>
              </w:rPr>
            </w:pPr>
            <w:r w:rsidRPr="00A53AD7">
              <w:rPr>
                <w:rFonts w:ascii="Times New Roman" w:hAnsi="Times New Roman"/>
                <w:lang w:eastAsia="ru-RU"/>
              </w:rPr>
              <w:t>0,3</w:t>
            </w:r>
          </w:p>
        </w:tc>
      </w:tr>
    </w:tbl>
    <w:p w14:paraId="77F20F97" w14:textId="01582C64" w:rsidR="00D91486" w:rsidRPr="00A53AD7" w:rsidRDefault="00D91486" w:rsidP="000A33B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финансирования мероприятий, предусмотренных ГП АО № 475-пп в рамках РП «Жилье» в редакции от 21.02.2020 совпадает с редакцией Соглашения в редакции Дополнительного соглашения от 16.04.2019 № 069-09-2019-105/4.</w:t>
      </w:r>
    </w:p>
    <w:p w14:paraId="532FBED2" w14:textId="30AB2C9B" w:rsidR="00D91486" w:rsidRPr="00A53AD7" w:rsidRDefault="00D91486" w:rsidP="000A33B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мероприятий, предусмотренных ГП АО № 475-пп за 2019 год, размещенного минстроем АО в комплексной информационно - аналитической системе Архангельской области (КИАС), кассовые расходы на строительство объектов, входящих в состав мероприятий 1.7 и 1.9 программы за указанный период составили:</w:t>
      </w:r>
    </w:p>
    <w:tbl>
      <w:tblPr>
        <w:tblW w:w="9375" w:type="dxa"/>
        <w:tblInd w:w="93" w:type="dxa"/>
        <w:tblLayout w:type="fixed"/>
        <w:tblLook w:val="00A0" w:firstRow="1" w:lastRow="0" w:firstColumn="1" w:lastColumn="0" w:noHBand="0" w:noVBand="0"/>
      </w:tblPr>
      <w:tblGrid>
        <w:gridCol w:w="1858"/>
        <w:gridCol w:w="709"/>
        <w:gridCol w:w="709"/>
        <w:gridCol w:w="567"/>
        <w:gridCol w:w="708"/>
        <w:gridCol w:w="709"/>
        <w:gridCol w:w="709"/>
        <w:gridCol w:w="850"/>
        <w:gridCol w:w="709"/>
        <w:gridCol w:w="851"/>
        <w:gridCol w:w="996"/>
      </w:tblGrid>
      <w:tr w:rsidR="00D470B6" w:rsidRPr="00A53AD7" w14:paraId="012A2059" w14:textId="77777777" w:rsidTr="000A33B4">
        <w:trPr>
          <w:trHeight w:val="129"/>
          <w:tblHeader/>
        </w:trPr>
        <w:tc>
          <w:tcPr>
            <w:tcW w:w="1858" w:type="dxa"/>
            <w:vMerge w:val="restart"/>
            <w:tcBorders>
              <w:top w:val="double" w:sz="4" w:space="0" w:color="auto"/>
              <w:left w:val="double" w:sz="4" w:space="0" w:color="auto"/>
              <w:right w:val="single" w:sz="4" w:space="0" w:color="auto"/>
            </w:tcBorders>
          </w:tcPr>
          <w:p w14:paraId="66AEF0E8"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Пункт мероприятия/</w:t>
            </w:r>
          </w:p>
          <w:p w14:paraId="605CE220"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наименование</w:t>
            </w:r>
          </w:p>
          <w:p w14:paraId="665BCA67"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объекта</w:t>
            </w:r>
          </w:p>
        </w:tc>
        <w:tc>
          <w:tcPr>
            <w:tcW w:w="7517" w:type="dxa"/>
            <w:gridSpan w:val="10"/>
            <w:tcBorders>
              <w:top w:val="double" w:sz="4" w:space="0" w:color="auto"/>
              <w:left w:val="single" w:sz="4" w:space="0" w:color="auto"/>
              <w:bottom w:val="single" w:sz="4" w:space="0" w:color="auto"/>
              <w:right w:val="double" w:sz="4" w:space="0" w:color="auto"/>
            </w:tcBorders>
            <w:vAlign w:val="center"/>
          </w:tcPr>
          <w:p w14:paraId="6A70B705" w14:textId="5E2377A5"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Объем фина</w:t>
            </w:r>
            <w:r w:rsidR="00533B81" w:rsidRPr="00A53AD7">
              <w:rPr>
                <w:rFonts w:ascii="Times New Roman" w:hAnsi="Times New Roman"/>
                <w:b/>
                <w:bCs/>
                <w:sz w:val="20"/>
                <w:szCs w:val="20"/>
                <w:lang w:eastAsia="ru-RU"/>
              </w:rPr>
              <w:t>нсирования ГП АО № 475-пп, млн.</w:t>
            </w:r>
            <w:r w:rsidRPr="00A53AD7">
              <w:rPr>
                <w:rFonts w:ascii="Times New Roman" w:hAnsi="Times New Roman"/>
                <w:b/>
                <w:bCs/>
                <w:sz w:val="20"/>
                <w:szCs w:val="20"/>
                <w:lang w:eastAsia="ru-RU"/>
              </w:rPr>
              <w:t>руб.</w:t>
            </w:r>
          </w:p>
        </w:tc>
      </w:tr>
      <w:tr w:rsidR="00D470B6" w:rsidRPr="00A53AD7" w14:paraId="5E71CEA5" w14:textId="77777777" w:rsidTr="000A33B4">
        <w:trPr>
          <w:trHeight w:val="915"/>
          <w:tblHeader/>
        </w:trPr>
        <w:tc>
          <w:tcPr>
            <w:tcW w:w="1858" w:type="dxa"/>
            <w:vMerge/>
            <w:tcBorders>
              <w:left w:val="double" w:sz="4" w:space="0" w:color="auto"/>
              <w:right w:val="single" w:sz="4" w:space="0" w:color="auto"/>
            </w:tcBorders>
          </w:tcPr>
          <w:p w14:paraId="4827AE87" w14:textId="77777777" w:rsidR="00D91486" w:rsidRPr="00A53AD7" w:rsidRDefault="00D91486" w:rsidP="000A33B4">
            <w:pPr>
              <w:spacing w:after="0" w:line="240" w:lineRule="auto"/>
              <w:jc w:val="center"/>
              <w:rPr>
                <w:rFonts w:ascii="Times New Roman" w:hAnsi="Times New Roman"/>
                <w:b/>
                <w:bCs/>
                <w:sz w:val="20"/>
                <w:szCs w:val="20"/>
                <w:lang w:eastAsia="ru-RU"/>
              </w:rPr>
            </w:pPr>
          </w:p>
        </w:tc>
        <w:tc>
          <w:tcPr>
            <w:tcW w:w="1985" w:type="dxa"/>
            <w:gridSpan w:val="3"/>
            <w:tcBorders>
              <w:top w:val="single" w:sz="4" w:space="0" w:color="auto"/>
              <w:left w:val="single" w:sz="4" w:space="0" w:color="auto"/>
              <w:bottom w:val="single" w:sz="4" w:space="0" w:color="auto"/>
              <w:right w:val="single" w:sz="4" w:space="0" w:color="auto"/>
            </w:tcBorders>
            <w:vAlign w:val="center"/>
          </w:tcPr>
          <w:p w14:paraId="355F53BA"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всего</w:t>
            </w:r>
          </w:p>
        </w:tc>
        <w:tc>
          <w:tcPr>
            <w:tcW w:w="1417" w:type="dxa"/>
            <w:gridSpan w:val="2"/>
            <w:tcBorders>
              <w:top w:val="single" w:sz="4" w:space="0" w:color="auto"/>
              <w:left w:val="nil"/>
              <w:bottom w:val="single" w:sz="4" w:space="0" w:color="auto"/>
              <w:right w:val="single" w:sz="4" w:space="0" w:color="auto"/>
            </w:tcBorders>
            <w:vAlign w:val="center"/>
          </w:tcPr>
          <w:p w14:paraId="251BCDFB"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федеральный бюджет</w:t>
            </w:r>
          </w:p>
        </w:tc>
        <w:tc>
          <w:tcPr>
            <w:tcW w:w="1559" w:type="dxa"/>
            <w:gridSpan w:val="2"/>
            <w:tcBorders>
              <w:top w:val="single" w:sz="4" w:space="0" w:color="auto"/>
              <w:left w:val="nil"/>
              <w:bottom w:val="single" w:sz="4" w:space="0" w:color="auto"/>
              <w:right w:val="single" w:sz="4" w:space="0" w:color="auto"/>
            </w:tcBorders>
            <w:vAlign w:val="center"/>
          </w:tcPr>
          <w:p w14:paraId="36B9CDA2"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областной бюджет</w:t>
            </w:r>
          </w:p>
        </w:tc>
        <w:tc>
          <w:tcPr>
            <w:tcW w:w="1560" w:type="dxa"/>
            <w:gridSpan w:val="2"/>
            <w:tcBorders>
              <w:top w:val="single" w:sz="4" w:space="0" w:color="auto"/>
              <w:left w:val="nil"/>
              <w:bottom w:val="single" w:sz="4" w:space="0" w:color="auto"/>
              <w:right w:val="single" w:sz="4" w:space="0" w:color="auto"/>
            </w:tcBorders>
            <w:vAlign w:val="center"/>
          </w:tcPr>
          <w:p w14:paraId="11128337"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бюджеты муниципальных образований Архангельской области</w:t>
            </w:r>
          </w:p>
        </w:tc>
        <w:tc>
          <w:tcPr>
            <w:tcW w:w="996" w:type="dxa"/>
            <w:vMerge w:val="restart"/>
            <w:tcBorders>
              <w:top w:val="single" w:sz="4" w:space="0" w:color="auto"/>
              <w:left w:val="single" w:sz="4" w:space="0" w:color="auto"/>
              <w:right w:val="double" w:sz="4" w:space="0" w:color="auto"/>
            </w:tcBorders>
            <w:vAlign w:val="center"/>
          </w:tcPr>
          <w:p w14:paraId="0E4093C6"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освоено</w:t>
            </w:r>
          </w:p>
        </w:tc>
      </w:tr>
      <w:tr w:rsidR="00D470B6" w:rsidRPr="00A53AD7" w14:paraId="1F2A568B" w14:textId="77777777" w:rsidTr="000A33B4">
        <w:trPr>
          <w:trHeight w:val="201"/>
          <w:tblHeader/>
        </w:trPr>
        <w:tc>
          <w:tcPr>
            <w:tcW w:w="1858" w:type="dxa"/>
            <w:vMerge/>
            <w:tcBorders>
              <w:left w:val="double" w:sz="4" w:space="0" w:color="auto"/>
              <w:bottom w:val="single" w:sz="4" w:space="0" w:color="auto"/>
              <w:right w:val="single" w:sz="4" w:space="0" w:color="auto"/>
            </w:tcBorders>
          </w:tcPr>
          <w:p w14:paraId="4F11873A" w14:textId="77777777" w:rsidR="00D91486" w:rsidRPr="00A53AD7" w:rsidRDefault="00D91486" w:rsidP="000A33B4">
            <w:pPr>
              <w:spacing w:after="0" w:line="240" w:lineRule="auto"/>
              <w:jc w:val="center"/>
              <w:rPr>
                <w:rFonts w:ascii="Times New Roman" w:hAnsi="Times New Roman"/>
                <w:b/>
                <w:bCs/>
                <w:sz w:val="20"/>
                <w:szCs w:val="20"/>
                <w:lang w:eastAsia="ru-RU"/>
              </w:rPr>
            </w:pPr>
          </w:p>
        </w:tc>
        <w:tc>
          <w:tcPr>
            <w:tcW w:w="709" w:type="dxa"/>
            <w:tcBorders>
              <w:top w:val="nil"/>
              <w:left w:val="single" w:sz="4" w:space="0" w:color="auto"/>
              <w:bottom w:val="single" w:sz="4" w:space="0" w:color="auto"/>
              <w:right w:val="single" w:sz="4" w:space="0" w:color="auto"/>
            </w:tcBorders>
            <w:vAlign w:val="center"/>
          </w:tcPr>
          <w:p w14:paraId="6E7D9C80"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план на год</w:t>
            </w:r>
          </w:p>
        </w:tc>
        <w:tc>
          <w:tcPr>
            <w:tcW w:w="709" w:type="dxa"/>
            <w:tcBorders>
              <w:top w:val="nil"/>
              <w:left w:val="nil"/>
              <w:bottom w:val="single" w:sz="4" w:space="0" w:color="auto"/>
              <w:right w:val="single" w:sz="4" w:space="0" w:color="auto"/>
            </w:tcBorders>
            <w:vAlign w:val="center"/>
          </w:tcPr>
          <w:p w14:paraId="63E9D1EF"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кассовые расходы</w:t>
            </w:r>
          </w:p>
        </w:tc>
        <w:tc>
          <w:tcPr>
            <w:tcW w:w="567" w:type="dxa"/>
            <w:tcBorders>
              <w:top w:val="nil"/>
              <w:left w:val="nil"/>
              <w:bottom w:val="single" w:sz="4" w:space="0" w:color="auto"/>
              <w:right w:val="single" w:sz="4" w:space="0" w:color="auto"/>
            </w:tcBorders>
            <w:vAlign w:val="center"/>
          </w:tcPr>
          <w:p w14:paraId="1C27AC59"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w:t>
            </w:r>
          </w:p>
        </w:tc>
        <w:tc>
          <w:tcPr>
            <w:tcW w:w="708" w:type="dxa"/>
            <w:tcBorders>
              <w:top w:val="nil"/>
              <w:left w:val="nil"/>
              <w:bottom w:val="single" w:sz="4" w:space="0" w:color="auto"/>
              <w:right w:val="single" w:sz="4" w:space="0" w:color="auto"/>
            </w:tcBorders>
            <w:vAlign w:val="center"/>
          </w:tcPr>
          <w:p w14:paraId="390B82BD"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план на год</w:t>
            </w:r>
          </w:p>
        </w:tc>
        <w:tc>
          <w:tcPr>
            <w:tcW w:w="709" w:type="dxa"/>
            <w:tcBorders>
              <w:top w:val="nil"/>
              <w:left w:val="nil"/>
              <w:bottom w:val="single" w:sz="4" w:space="0" w:color="auto"/>
              <w:right w:val="single" w:sz="4" w:space="0" w:color="auto"/>
            </w:tcBorders>
            <w:vAlign w:val="center"/>
          </w:tcPr>
          <w:p w14:paraId="09A34D2D"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кассовые расходы</w:t>
            </w:r>
          </w:p>
        </w:tc>
        <w:tc>
          <w:tcPr>
            <w:tcW w:w="709" w:type="dxa"/>
            <w:tcBorders>
              <w:top w:val="nil"/>
              <w:left w:val="nil"/>
              <w:bottom w:val="single" w:sz="4" w:space="0" w:color="auto"/>
              <w:right w:val="single" w:sz="4" w:space="0" w:color="auto"/>
            </w:tcBorders>
            <w:vAlign w:val="center"/>
          </w:tcPr>
          <w:p w14:paraId="58D479E2"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план на год</w:t>
            </w:r>
          </w:p>
        </w:tc>
        <w:tc>
          <w:tcPr>
            <w:tcW w:w="850" w:type="dxa"/>
            <w:tcBorders>
              <w:top w:val="nil"/>
              <w:left w:val="nil"/>
              <w:bottom w:val="single" w:sz="4" w:space="0" w:color="auto"/>
              <w:right w:val="single" w:sz="4" w:space="0" w:color="auto"/>
            </w:tcBorders>
            <w:vAlign w:val="center"/>
          </w:tcPr>
          <w:p w14:paraId="6A54B854"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кассовые расходы</w:t>
            </w:r>
          </w:p>
        </w:tc>
        <w:tc>
          <w:tcPr>
            <w:tcW w:w="709" w:type="dxa"/>
            <w:tcBorders>
              <w:top w:val="nil"/>
              <w:left w:val="nil"/>
              <w:bottom w:val="single" w:sz="4" w:space="0" w:color="auto"/>
              <w:right w:val="single" w:sz="4" w:space="0" w:color="auto"/>
            </w:tcBorders>
            <w:vAlign w:val="center"/>
          </w:tcPr>
          <w:p w14:paraId="4F305791"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план на год</w:t>
            </w:r>
          </w:p>
        </w:tc>
        <w:tc>
          <w:tcPr>
            <w:tcW w:w="851" w:type="dxa"/>
            <w:tcBorders>
              <w:top w:val="nil"/>
              <w:left w:val="nil"/>
              <w:bottom w:val="single" w:sz="4" w:space="0" w:color="auto"/>
              <w:right w:val="single" w:sz="4" w:space="0" w:color="auto"/>
            </w:tcBorders>
            <w:vAlign w:val="center"/>
          </w:tcPr>
          <w:p w14:paraId="0C9C227B" w14:textId="77777777" w:rsidR="00D91486" w:rsidRPr="00A53AD7" w:rsidRDefault="00D91486" w:rsidP="000A33B4">
            <w:pPr>
              <w:spacing w:after="0" w:line="240" w:lineRule="auto"/>
              <w:jc w:val="center"/>
              <w:rPr>
                <w:rFonts w:ascii="Times New Roman" w:hAnsi="Times New Roman"/>
                <w:b/>
                <w:bCs/>
                <w:sz w:val="20"/>
                <w:szCs w:val="20"/>
                <w:lang w:eastAsia="ru-RU"/>
              </w:rPr>
            </w:pPr>
            <w:r w:rsidRPr="00A53AD7">
              <w:rPr>
                <w:rFonts w:ascii="Times New Roman" w:hAnsi="Times New Roman"/>
                <w:b/>
                <w:bCs/>
                <w:sz w:val="20"/>
                <w:szCs w:val="20"/>
                <w:lang w:eastAsia="ru-RU"/>
              </w:rPr>
              <w:t>кассовые расходы</w:t>
            </w:r>
          </w:p>
        </w:tc>
        <w:tc>
          <w:tcPr>
            <w:tcW w:w="996" w:type="dxa"/>
            <w:vMerge/>
            <w:tcBorders>
              <w:left w:val="single" w:sz="4" w:space="0" w:color="auto"/>
              <w:bottom w:val="single" w:sz="4" w:space="0" w:color="auto"/>
              <w:right w:val="double" w:sz="4" w:space="0" w:color="auto"/>
            </w:tcBorders>
            <w:vAlign w:val="center"/>
          </w:tcPr>
          <w:p w14:paraId="5CE38320" w14:textId="77777777" w:rsidR="00D91486" w:rsidRPr="00A53AD7" w:rsidRDefault="00D91486" w:rsidP="000A33B4">
            <w:pPr>
              <w:spacing w:after="0" w:line="240" w:lineRule="auto"/>
              <w:jc w:val="center"/>
              <w:rPr>
                <w:rFonts w:ascii="Times New Roman" w:hAnsi="Times New Roman"/>
                <w:b/>
                <w:bCs/>
                <w:sz w:val="20"/>
                <w:szCs w:val="20"/>
                <w:lang w:eastAsia="ru-RU"/>
              </w:rPr>
            </w:pPr>
          </w:p>
        </w:tc>
      </w:tr>
      <w:tr w:rsidR="00D470B6" w:rsidRPr="00A53AD7" w14:paraId="74B20CED" w14:textId="77777777" w:rsidTr="000A33B4">
        <w:trPr>
          <w:trHeight w:val="1050"/>
        </w:trPr>
        <w:tc>
          <w:tcPr>
            <w:tcW w:w="1858" w:type="dxa"/>
            <w:tcBorders>
              <w:top w:val="single" w:sz="4" w:space="0" w:color="auto"/>
              <w:left w:val="double" w:sz="4" w:space="0" w:color="auto"/>
              <w:bottom w:val="single" w:sz="4" w:space="0" w:color="auto"/>
              <w:right w:val="single" w:sz="4" w:space="0" w:color="auto"/>
            </w:tcBorders>
          </w:tcPr>
          <w:p w14:paraId="3646C5E6" w14:textId="2DDBCD61"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1.7. Детский сад на 280 мест в 7 микрорайоне территориального округа Майская горка города Архангельска</w:t>
            </w:r>
          </w:p>
        </w:tc>
        <w:tc>
          <w:tcPr>
            <w:tcW w:w="709" w:type="dxa"/>
            <w:tcBorders>
              <w:top w:val="single" w:sz="4" w:space="0" w:color="auto"/>
              <w:left w:val="single" w:sz="4" w:space="0" w:color="auto"/>
              <w:bottom w:val="single" w:sz="4" w:space="0" w:color="auto"/>
              <w:right w:val="single" w:sz="4" w:space="0" w:color="auto"/>
            </w:tcBorders>
            <w:vAlign w:val="center"/>
          </w:tcPr>
          <w:p w14:paraId="5422D342"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150,4</w:t>
            </w:r>
          </w:p>
        </w:tc>
        <w:tc>
          <w:tcPr>
            <w:tcW w:w="709" w:type="dxa"/>
            <w:tcBorders>
              <w:top w:val="single" w:sz="4" w:space="0" w:color="auto"/>
              <w:left w:val="nil"/>
              <w:bottom w:val="single" w:sz="4" w:space="0" w:color="auto"/>
              <w:right w:val="single" w:sz="4" w:space="0" w:color="auto"/>
            </w:tcBorders>
            <w:vAlign w:val="center"/>
          </w:tcPr>
          <w:p w14:paraId="570F687C"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124,2</w:t>
            </w:r>
          </w:p>
        </w:tc>
        <w:tc>
          <w:tcPr>
            <w:tcW w:w="567" w:type="dxa"/>
            <w:tcBorders>
              <w:top w:val="single" w:sz="4" w:space="0" w:color="auto"/>
              <w:left w:val="nil"/>
              <w:bottom w:val="single" w:sz="4" w:space="0" w:color="auto"/>
              <w:right w:val="single" w:sz="4" w:space="0" w:color="auto"/>
            </w:tcBorders>
            <w:vAlign w:val="center"/>
          </w:tcPr>
          <w:p w14:paraId="05285144"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82,6</w:t>
            </w:r>
          </w:p>
        </w:tc>
        <w:tc>
          <w:tcPr>
            <w:tcW w:w="708" w:type="dxa"/>
            <w:tcBorders>
              <w:top w:val="single" w:sz="4" w:space="0" w:color="auto"/>
              <w:left w:val="nil"/>
              <w:bottom w:val="single" w:sz="4" w:space="0" w:color="auto"/>
              <w:right w:val="single" w:sz="4" w:space="0" w:color="auto"/>
            </w:tcBorders>
            <w:vAlign w:val="center"/>
          </w:tcPr>
          <w:p w14:paraId="76C2469C"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109,0</w:t>
            </w:r>
          </w:p>
        </w:tc>
        <w:tc>
          <w:tcPr>
            <w:tcW w:w="709" w:type="dxa"/>
            <w:tcBorders>
              <w:top w:val="single" w:sz="4" w:space="0" w:color="auto"/>
              <w:left w:val="nil"/>
              <w:bottom w:val="single" w:sz="4" w:space="0" w:color="auto"/>
              <w:right w:val="single" w:sz="4" w:space="0" w:color="auto"/>
            </w:tcBorders>
            <w:vAlign w:val="center"/>
          </w:tcPr>
          <w:p w14:paraId="161BD59F"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89,0</w:t>
            </w:r>
          </w:p>
        </w:tc>
        <w:tc>
          <w:tcPr>
            <w:tcW w:w="709" w:type="dxa"/>
            <w:tcBorders>
              <w:top w:val="single" w:sz="4" w:space="0" w:color="auto"/>
              <w:left w:val="nil"/>
              <w:bottom w:val="single" w:sz="4" w:space="0" w:color="auto"/>
              <w:right w:val="single" w:sz="4" w:space="0" w:color="auto"/>
            </w:tcBorders>
            <w:vAlign w:val="center"/>
          </w:tcPr>
          <w:p w14:paraId="44DEED7C"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41,2</w:t>
            </w:r>
          </w:p>
        </w:tc>
        <w:tc>
          <w:tcPr>
            <w:tcW w:w="850" w:type="dxa"/>
            <w:tcBorders>
              <w:top w:val="single" w:sz="4" w:space="0" w:color="auto"/>
              <w:left w:val="nil"/>
              <w:bottom w:val="single" w:sz="4" w:space="0" w:color="auto"/>
              <w:right w:val="single" w:sz="4" w:space="0" w:color="auto"/>
            </w:tcBorders>
            <w:vAlign w:val="center"/>
          </w:tcPr>
          <w:p w14:paraId="374974C8"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35,0</w:t>
            </w:r>
          </w:p>
        </w:tc>
        <w:tc>
          <w:tcPr>
            <w:tcW w:w="709" w:type="dxa"/>
            <w:tcBorders>
              <w:top w:val="single" w:sz="4" w:space="0" w:color="auto"/>
              <w:left w:val="nil"/>
              <w:bottom w:val="single" w:sz="4" w:space="0" w:color="auto"/>
              <w:right w:val="single" w:sz="4" w:space="0" w:color="auto"/>
            </w:tcBorders>
            <w:vAlign w:val="center"/>
          </w:tcPr>
          <w:p w14:paraId="1811E21E"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0,2</w:t>
            </w:r>
          </w:p>
        </w:tc>
        <w:tc>
          <w:tcPr>
            <w:tcW w:w="851" w:type="dxa"/>
            <w:tcBorders>
              <w:top w:val="single" w:sz="4" w:space="0" w:color="auto"/>
              <w:left w:val="nil"/>
              <w:bottom w:val="single" w:sz="4" w:space="0" w:color="auto"/>
              <w:right w:val="single" w:sz="4" w:space="0" w:color="auto"/>
            </w:tcBorders>
            <w:vAlign w:val="center"/>
          </w:tcPr>
          <w:p w14:paraId="011C5AFD"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0,2</w:t>
            </w:r>
          </w:p>
        </w:tc>
        <w:tc>
          <w:tcPr>
            <w:tcW w:w="996" w:type="dxa"/>
            <w:tcBorders>
              <w:top w:val="single" w:sz="4" w:space="0" w:color="auto"/>
              <w:left w:val="nil"/>
              <w:bottom w:val="single" w:sz="4" w:space="0" w:color="auto"/>
              <w:right w:val="double" w:sz="4" w:space="0" w:color="auto"/>
            </w:tcBorders>
            <w:vAlign w:val="center"/>
          </w:tcPr>
          <w:p w14:paraId="37DB5754"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124,2</w:t>
            </w:r>
          </w:p>
        </w:tc>
      </w:tr>
      <w:tr w:rsidR="00D470B6" w:rsidRPr="00A53AD7" w14:paraId="5AC93162" w14:textId="77777777" w:rsidTr="000A33B4">
        <w:trPr>
          <w:trHeight w:val="630"/>
        </w:trPr>
        <w:tc>
          <w:tcPr>
            <w:tcW w:w="1858" w:type="dxa"/>
            <w:tcBorders>
              <w:top w:val="single" w:sz="4" w:space="0" w:color="auto"/>
              <w:left w:val="double" w:sz="4" w:space="0" w:color="auto"/>
              <w:bottom w:val="single" w:sz="4" w:space="0" w:color="auto"/>
              <w:right w:val="single" w:sz="4" w:space="0" w:color="auto"/>
            </w:tcBorders>
          </w:tcPr>
          <w:p w14:paraId="6DA6DC7A" w14:textId="77777777" w:rsidR="00D91486" w:rsidRPr="00A53AD7" w:rsidRDefault="00D91486" w:rsidP="000A33B4">
            <w:pPr>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1.9. Строительство школы на 860 мест в г. Котласе</w:t>
            </w:r>
          </w:p>
        </w:tc>
        <w:tc>
          <w:tcPr>
            <w:tcW w:w="709" w:type="dxa"/>
            <w:tcBorders>
              <w:top w:val="single" w:sz="4" w:space="0" w:color="auto"/>
              <w:left w:val="single" w:sz="4" w:space="0" w:color="auto"/>
              <w:bottom w:val="single" w:sz="4" w:space="0" w:color="auto"/>
              <w:right w:val="single" w:sz="4" w:space="0" w:color="auto"/>
            </w:tcBorders>
            <w:vAlign w:val="center"/>
          </w:tcPr>
          <w:p w14:paraId="3565223E"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101,9</w:t>
            </w:r>
          </w:p>
        </w:tc>
        <w:tc>
          <w:tcPr>
            <w:tcW w:w="709" w:type="dxa"/>
            <w:tcBorders>
              <w:top w:val="single" w:sz="4" w:space="0" w:color="auto"/>
              <w:left w:val="nil"/>
              <w:bottom w:val="single" w:sz="4" w:space="0" w:color="auto"/>
              <w:right w:val="single" w:sz="4" w:space="0" w:color="auto"/>
            </w:tcBorders>
            <w:vAlign w:val="center"/>
          </w:tcPr>
          <w:p w14:paraId="03DF69FC"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101,8</w:t>
            </w:r>
          </w:p>
        </w:tc>
        <w:tc>
          <w:tcPr>
            <w:tcW w:w="567" w:type="dxa"/>
            <w:tcBorders>
              <w:top w:val="single" w:sz="4" w:space="0" w:color="auto"/>
              <w:left w:val="nil"/>
              <w:bottom w:val="single" w:sz="4" w:space="0" w:color="auto"/>
              <w:right w:val="single" w:sz="4" w:space="0" w:color="auto"/>
            </w:tcBorders>
            <w:vAlign w:val="center"/>
          </w:tcPr>
          <w:p w14:paraId="05D52445" w14:textId="314ACD1B"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100</w:t>
            </w:r>
          </w:p>
        </w:tc>
        <w:tc>
          <w:tcPr>
            <w:tcW w:w="708" w:type="dxa"/>
            <w:tcBorders>
              <w:top w:val="single" w:sz="4" w:space="0" w:color="auto"/>
              <w:left w:val="nil"/>
              <w:bottom w:val="single" w:sz="4" w:space="0" w:color="auto"/>
              <w:right w:val="single" w:sz="4" w:space="0" w:color="auto"/>
            </w:tcBorders>
            <w:vAlign w:val="center"/>
          </w:tcPr>
          <w:p w14:paraId="5CDD0F41"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91,6</w:t>
            </w:r>
          </w:p>
        </w:tc>
        <w:tc>
          <w:tcPr>
            <w:tcW w:w="709" w:type="dxa"/>
            <w:tcBorders>
              <w:top w:val="single" w:sz="4" w:space="0" w:color="auto"/>
              <w:left w:val="nil"/>
              <w:bottom w:val="single" w:sz="4" w:space="0" w:color="auto"/>
              <w:right w:val="single" w:sz="4" w:space="0" w:color="auto"/>
            </w:tcBorders>
            <w:vAlign w:val="center"/>
          </w:tcPr>
          <w:p w14:paraId="279F268D"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91,5</w:t>
            </w:r>
          </w:p>
        </w:tc>
        <w:tc>
          <w:tcPr>
            <w:tcW w:w="709" w:type="dxa"/>
            <w:tcBorders>
              <w:top w:val="single" w:sz="4" w:space="0" w:color="auto"/>
              <w:left w:val="nil"/>
              <w:bottom w:val="single" w:sz="4" w:space="0" w:color="auto"/>
              <w:right w:val="single" w:sz="4" w:space="0" w:color="auto"/>
            </w:tcBorders>
            <w:vAlign w:val="center"/>
          </w:tcPr>
          <w:p w14:paraId="1F96C551"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10,2</w:t>
            </w:r>
          </w:p>
        </w:tc>
        <w:tc>
          <w:tcPr>
            <w:tcW w:w="850" w:type="dxa"/>
            <w:tcBorders>
              <w:top w:val="single" w:sz="4" w:space="0" w:color="auto"/>
              <w:left w:val="nil"/>
              <w:bottom w:val="single" w:sz="4" w:space="0" w:color="auto"/>
              <w:right w:val="single" w:sz="4" w:space="0" w:color="auto"/>
            </w:tcBorders>
            <w:vAlign w:val="center"/>
          </w:tcPr>
          <w:p w14:paraId="761C82F3"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10,2</w:t>
            </w:r>
          </w:p>
        </w:tc>
        <w:tc>
          <w:tcPr>
            <w:tcW w:w="709" w:type="dxa"/>
            <w:tcBorders>
              <w:top w:val="single" w:sz="4" w:space="0" w:color="auto"/>
              <w:left w:val="nil"/>
              <w:bottom w:val="single" w:sz="4" w:space="0" w:color="auto"/>
              <w:right w:val="single" w:sz="4" w:space="0" w:color="auto"/>
            </w:tcBorders>
            <w:vAlign w:val="center"/>
          </w:tcPr>
          <w:p w14:paraId="3ED88BE7"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0,1</w:t>
            </w:r>
          </w:p>
        </w:tc>
        <w:tc>
          <w:tcPr>
            <w:tcW w:w="851" w:type="dxa"/>
            <w:tcBorders>
              <w:top w:val="single" w:sz="4" w:space="0" w:color="auto"/>
              <w:left w:val="nil"/>
              <w:bottom w:val="single" w:sz="4" w:space="0" w:color="auto"/>
              <w:right w:val="single" w:sz="4" w:space="0" w:color="auto"/>
            </w:tcBorders>
            <w:vAlign w:val="center"/>
          </w:tcPr>
          <w:p w14:paraId="147BFEDA"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0,1</w:t>
            </w:r>
          </w:p>
        </w:tc>
        <w:tc>
          <w:tcPr>
            <w:tcW w:w="996" w:type="dxa"/>
            <w:tcBorders>
              <w:top w:val="single" w:sz="4" w:space="0" w:color="auto"/>
              <w:left w:val="nil"/>
              <w:bottom w:val="single" w:sz="4" w:space="0" w:color="auto"/>
              <w:right w:val="double" w:sz="4" w:space="0" w:color="auto"/>
            </w:tcBorders>
            <w:vAlign w:val="center"/>
          </w:tcPr>
          <w:p w14:paraId="73ECB42E" w14:textId="77777777" w:rsidR="00D91486" w:rsidRPr="00A53AD7" w:rsidRDefault="00D91486" w:rsidP="00307C7F">
            <w:pPr>
              <w:spacing w:after="0" w:line="240" w:lineRule="auto"/>
              <w:jc w:val="right"/>
              <w:rPr>
                <w:rFonts w:ascii="Times New Roman" w:hAnsi="Times New Roman"/>
                <w:sz w:val="20"/>
                <w:szCs w:val="20"/>
                <w:lang w:eastAsia="ru-RU"/>
              </w:rPr>
            </w:pPr>
            <w:r w:rsidRPr="00A53AD7">
              <w:rPr>
                <w:rFonts w:ascii="Times New Roman" w:hAnsi="Times New Roman"/>
                <w:sz w:val="20"/>
                <w:szCs w:val="20"/>
                <w:lang w:eastAsia="ru-RU"/>
              </w:rPr>
              <w:t>101,8</w:t>
            </w:r>
          </w:p>
        </w:tc>
      </w:tr>
      <w:tr w:rsidR="00D91486" w:rsidRPr="00A53AD7" w14:paraId="0C04794F" w14:textId="77777777" w:rsidTr="00905BD4">
        <w:trPr>
          <w:trHeight w:val="188"/>
        </w:trPr>
        <w:tc>
          <w:tcPr>
            <w:tcW w:w="1858" w:type="dxa"/>
            <w:tcBorders>
              <w:top w:val="single" w:sz="4" w:space="0" w:color="auto"/>
              <w:left w:val="double" w:sz="4" w:space="0" w:color="auto"/>
              <w:bottom w:val="double" w:sz="4" w:space="0" w:color="auto"/>
              <w:right w:val="single" w:sz="4" w:space="0" w:color="auto"/>
            </w:tcBorders>
          </w:tcPr>
          <w:p w14:paraId="6EEE8CCD" w14:textId="77777777" w:rsidR="00D91486" w:rsidRPr="00A53AD7" w:rsidRDefault="00D91486" w:rsidP="000A33B4">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ИТОГО:</w:t>
            </w:r>
          </w:p>
        </w:tc>
        <w:tc>
          <w:tcPr>
            <w:tcW w:w="709" w:type="dxa"/>
            <w:tcBorders>
              <w:top w:val="single" w:sz="4" w:space="0" w:color="auto"/>
              <w:left w:val="single" w:sz="4" w:space="0" w:color="auto"/>
              <w:bottom w:val="double" w:sz="4" w:space="0" w:color="auto"/>
              <w:right w:val="single" w:sz="4" w:space="0" w:color="auto"/>
            </w:tcBorders>
            <w:vAlign w:val="center"/>
          </w:tcPr>
          <w:p w14:paraId="509C8264"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252,3</w:t>
            </w:r>
          </w:p>
        </w:tc>
        <w:tc>
          <w:tcPr>
            <w:tcW w:w="709" w:type="dxa"/>
            <w:tcBorders>
              <w:top w:val="single" w:sz="4" w:space="0" w:color="auto"/>
              <w:left w:val="nil"/>
              <w:bottom w:val="double" w:sz="4" w:space="0" w:color="auto"/>
              <w:right w:val="single" w:sz="4" w:space="0" w:color="auto"/>
            </w:tcBorders>
            <w:vAlign w:val="center"/>
          </w:tcPr>
          <w:p w14:paraId="1F432227"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226,0</w:t>
            </w:r>
          </w:p>
        </w:tc>
        <w:tc>
          <w:tcPr>
            <w:tcW w:w="567" w:type="dxa"/>
            <w:tcBorders>
              <w:top w:val="single" w:sz="4" w:space="0" w:color="auto"/>
              <w:left w:val="nil"/>
              <w:bottom w:val="double" w:sz="4" w:space="0" w:color="auto"/>
              <w:right w:val="single" w:sz="4" w:space="0" w:color="auto"/>
            </w:tcBorders>
            <w:vAlign w:val="center"/>
          </w:tcPr>
          <w:p w14:paraId="461A552E" w14:textId="54474412"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89,6</w:t>
            </w:r>
          </w:p>
        </w:tc>
        <w:tc>
          <w:tcPr>
            <w:tcW w:w="708" w:type="dxa"/>
            <w:tcBorders>
              <w:top w:val="single" w:sz="4" w:space="0" w:color="auto"/>
              <w:left w:val="nil"/>
              <w:bottom w:val="double" w:sz="4" w:space="0" w:color="auto"/>
              <w:right w:val="single" w:sz="4" w:space="0" w:color="auto"/>
            </w:tcBorders>
            <w:vAlign w:val="center"/>
          </w:tcPr>
          <w:p w14:paraId="7B42973B"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200,6</w:t>
            </w:r>
          </w:p>
        </w:tc>
        <w:tc>
          <w:tcPr>
            <w:tcW w:w="709" w:type="dxa"/>
            <w:tcBorders>
              <w:top w:val="single" w:sz="4" w:space="0" w:color="auto"/>
              <w:left w:val="nil"/>
              <w:bottom w:val="double" w:sz="4" w:space="0" w:color="auto"/>
              <w:right w:val="single" w:sz="4" w:space="0" w:color="auto"/>
            </w:tcBorders>
            <w:vAlign w:val="center"/>
          </w:tcPr>
          <w:p w14:paraId="44B0A440"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180,5</w:t>
            </w:r>
          </w:p>
        </w:tc>
        <w:tc>
          <w:tcPr>
            <w:tcW w:w="709" w:type="dxa"/>
            <w:tcBorders>
              <w:top w:val="single" w:sz="4" w:space="0" w:color="auto"/>
              <w:left w:val="nil"/>
              <w:bottom w:val="double" w:sz="4" w:space="0" w:color="auto"/>
              <w:right w:val="single" w:sz="4" w:space="0" w:color="auto"/>
            </w:tcBorders>
            <w:vAlign w:val="center"/>
          </w:tcPr>
          <w:p w14:paraId="479A01CB"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51,4</w:t>
            </w:r>
          </w:p>
        </w:tc>
        <w:tc>
          <w:tcPr>
            <w:tcW w:w="850" w:type="dxa"/>
            <w:tcBorders>
              <w:top w:val="single" w:sz="4" w:space="0" w:color="auto"/>
              <w:left w:val="nil"/>
              <w:bottom w:val="double" w:sz="4" w:space="0" w:color="auto"/>
              <w:right w:val="single" w:sz="4" w:space="0" w:color="auto"/>
            </w:tcBorders>
            <w:vAlign w:val="center"/>
          </w:tcPr>
          <w:p w14:paraId="7A439AB7"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45,2</w:t>
            </w:r>
          </w:p>
        </w:tc>
        <w:tc>
          <w:tcPr>
            <w:tcW w:w="709" w:type="dxa"/>
            <w:tcBorders>
              <w:top w:val="single" w:sz="4" w:space="0" w:color="auto"/>
              <w:left w:val="nil"/>
              <w:bottom w:val="double" w:sz="4" w:space="0" w:color="auto"/>
              <w:right w:val="single" w:sz="4" w:space="0" w:color="auto"/>
            </w:tcBorders>
            <w:vAlign w:val="center"/>
          </w:tcPr>
          <w:p w14:paraId="0E9353BF"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0,3</w:t>
            </w:r>
          </w:p>
        </w:tc>
        <w:tc>
          <w:tcPr>
            <w:tcW w:w="851" w:type="dxa"/>
            <w:tcBorders>
              <w:top w:val="single" w:sz="4" w:space="0" w:color="auto"/>
              <w:left w:val="nil"/>
              <w:bottom w:val="double" w:sz="4" w:space="0" w:color="auto"/>
              <w:right w:val="single" w:sz="4" w:space="0" w:color="auto"/>
            </w:tcBorders>
            <w:vAlign w:val="center"/>
          </w:tcPr>
          <w:p w14:paraId="45008434"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0,3</w:t>
            </w:r>
          </w:p>
        </w:tc>
        <w:tc>
          <w:tcPr>
            <w:tcW w:w="996" w:type="dxa"/>
            <w:tcBorders>
              <w:top w:val="single" w:sz="4" w:space="0" w:color="auto"/>
              <w:left w:val="nil"/>
              <w:bottom w:val="double" w:sz="4" w:space="0" w:color="auto"/>
              <w:right w:val="double" w:sz="4" w:space="0" w:color="auto"/>
            </w:tcBorders>
            <w:vAlign w:val="center"/>
          </w:tcPr>
          <w:p w14:paraId="3FDC931C" w14:textId="77777777" w:rsidR="00D91486" w:rsidRPr="00A53AD7" w:rsidRDefault="00D91486" w:rsidP="00307C7F">
            <w:pPr>
              <w:spacing w:after="0" w:line="240" w:lineRule="auto"/>
              <w:jc w:val="right"/>
              <w:rPr>
                <w:rFonts w:ascii="Times New Roman" w:hAnsi="Times New Roman"/>
                <w:b/>
                <w:sz w:val="20"/>
                <w:szCs w:val="20"/>
                <w:lang w:eastAsia="ru-RU"/>
              </w:rPr>
            </w:pPr>
            <w:r w:rsidRPr="00A53AD7">
              <w:rPr>
                <w:rFonts w:ascii="Times New Roman" w:hAnsi="Times New Roman"/>
                <w:b/>
                <w:sz w:val="20"/>
                <w:szCs w:val="20"/>
                <w:lang w:eastAsia="ru-RU"/>
              </w:rPr>
              <w:t>226,0</w:t>
            </w:r>
          </w:p>
        </w:tc>
      </w:tr>
    </w:tbl>
    <w:p w14:paraId="22AE80E7" w14:textId="77777777" w:rsidR="00D91486" w:rsidRPr="00A53AD7" w:rsidRDefault="00D91486" w:rsidP="00D91486">
      <w:pPr>
        <w:spacing w:after="0" w:line="240" w:lineRule="auto"/>
        <w:ind w:firstLine="851"/>
        <w:jc w:val="both"/>
        <w:rPr>
          <w:rFonts w:ascii="Times New Roman" w:hAnsi="Times New Roman"/>
          <w:sz w:val="28"/>
          <w:szCs w:val="28"/>
        </w:rPr>
      </w:pPr>
    </w:p>
    <w:p w14:paraId="1B93D00C" w14:textId="7D442D30"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Реализация мероприятий п. 1.7 и п. 1.9 перечня мероприятий подпрограммы №1 (приложение №</w:t>
      </w:r>
      <w:r w:rsidR="00D2428C" w:rsidRPr="00A53AD7">
        <w:rPr>
          <w:rFonts w:ascii="Times New Roman" w:hAnsi="Times New Roman"/>
          <w:sz w:val="28"/>
          <w:szCs w:val="28"/>
        </w:rPr>
        <w:t xml:space="preserve"> </w:t>
      </w:r>
      <w:r w:rsidRPr="00A53AD7">
        <w:rPr>
          <w:rFonts w:ascii="Times New Roman" w:hAnsi="Times New Roman"/>
          <w:sz w:val="28"/>
          <w:szCs w:val="28"/>
        </w:rPr>
        <w:t>2 к ГП АО № 475-пп) предполагает включение их в областную инвестиционную программу (далее – ОАИП) в разрезе объектов.</w:t>
      </w:r>
    </w:p>
    <w:p w14:paraId="10A123B2" w14:textId="77777777"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ОАИП на 2019 год</w:t>
      </w:r>
    </w:p>
    <w:p w14:paraId="728896EC" w14:textId="43DEA9A6"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об исполнении кассового плана (ОБ) по данным объектам за 2019 год приведена в таблице:</w:t>
      </w:r>
    </w:p>
    <w:tbl>
      <w:tblPr>
        <w:tblpPr w:leftFromText="180" w:rightFromText="180" w:vertAnchor="text" w:horzAnchor="margin" w:tblpY="25"/>
        <w:tblW w:w="946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6"/>
        <w:gridCol w:w="1917"/>
        <w:gridCol w:w="1450"/>
        <w:gridCol w:w="1841"/>
        <w:gridCol w:w="1559"/>
        <w:gridCol w:w="1416"/>
        <w:gridCol w:w="1275"/>
      </w:tblGrid>
      <w:tr w:rsidR="00D470B6" w:rsidRPr="00A53AD7" w14:paraId="3BF580A9" w14:textId="77777777" w:rsidTr="00657B7D">
        <w:trPr>
          <w:trHeight w:val="1696"/>
          <w:tblHeader/>
        </w:trPr>
        <w:tc>
          <w:tcPr>
            <w:tcW w:w="1918" w:type="dxa"/>
            <w:gridSpan w:val="2"/>
          </w:tcPr>
          <w:p w14:paraId="53704744" w14:textId="1D12DDD1"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Наименование мероприятия в рамках ОАИП на 2019 год</w:t>
            </w:r>
          </w:p>
        </w:tc>
        <w:tc>
          <w:tcPr>
            <w:tcW w:w="1451" w:type="dxa"/>
          </w:tcPr>
          <w:p w14:paraId="156AE847" w14:textId="77777777" w:rsidR="00D91486" w:rsidRPr="00A53AD7" w:rsidRDefault="00D91486" w:rsidP="0093051C">
            <w:pPr>
              <w:spacing w:after="0" w:line="240" w:lineRule="auto"/>
              <w:jc w:val="center"/>
              <w:rPr>
                <w:rFonts w:ascii="Times New Roman" w:hAnsi="Times New Roman"/>
                <w:b/>
                <w:sz w:val="20"/>
                <w:szCs w:val="20"/>
                <w:lang w:eastAsia="ru-RU"/>
              </w:rPr>
            </w:pPr>
          </w:p>
          <w:p w14:paraId="415DA6D6" w14:textId="77777777" w:rsidR="00D91486" w:rsidRPr="00A53AD7" w:rsidRDefault="00D91486" w:rsidP="0093051C">
            <w:pPr>
              <w:spacing w:after="0" w:line="240" w:lineRule="auto"/>
              <w:jc w:val="center"/>
              <w:rPr>
                <w:rFonts w:ascii="Times New Roman" w:hAnsi="Times New Roman"/>
                <w:b/>
                <w:sz w:val="20"/>
                <w:szCs w:val="20"/>
                <w:lang w:eastAsia="ru-RU"/>
              </w:rPr>
            </w:pPr>
          </w:p>
          <w:p w14:paraId="40D63EAD" w14:textId="77777777" w:rsidR="00D91486" w:rsidRPr="00A53AD7" w:rsidRDefault="00D91486" w:rsidP="0093051C">
            <w:pPr>
              <w:spacing w:after="0" w:line="240" w:lineRule="auto"/>
              <w:jc w:val="center"/>
              <w:rPr>
                <w:rFonts w:ascii="Times New Roman" w:hAnsi="Times New Roman"/>
                <w:b/>
                <w:sz w:val="20"/>
                <w:szCs w:val="20"/>
                <w:lang w:eastAsia="ru-RU"/>
              </w:rPr>
            </w:pPr>
          </w:p>
          <w:p w14:paraId="762F5201" w14:textId="77777777"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ГРБС</w:t>
            </w:r>
          </w:p>
        </w:tc>
        <w:tc>
          <w:tcPr>
            <w:tcW w:w="1842" w:type="dxa"/>
          </w:tcPr>
          <w:p w14:paraId="496D1160" w14:textId="28A7D492"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Наименование заказчика по объектам государственной (муниципальной) собственности</w:t>
            </w:r>
          </w:p>
        </w:tc>
        <w:tc>
          <w:tcPr>
            <w:tcW w:w="1560" w:type="dxa"/>
          </w:tcPr>
          <w:p w14:paraId="57AEDF79" w14:textId="6E6A93E9"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Общий объем капвложени</w:t>
            </w:r>
            <w:r w:rsidR="00533B81" w:rsidRPr="00A53AD7">
              <w:rPr>
                <w:rFonts w:ascii="Times New Roman" w:hAnsi="Times New Roman"/>
                <w:b/>
                <w:sz w:val="20"/>
                <w:szCs w:val="20"/>
                <w:lang w:eastAsia="ru-RU"/>
              </w:rPr>
              <w:t>й за счет всех источников, млн.</w:t>
            </w:r>
            <w:r w:rsidRPr="00A53AD7">
              <w:rPr>
                <w:rFonts w:ascii="Times New Roman" w:hAnsi="Times New Roman"/>
                <w:b/>
                <w:sz w:val="20"/>
                <w:szCs w:val="20"/>
                <w:lang w:eastAsia="ru-RU"/>
              </w:rPr>
              <w:t>руб.</w:t>
            </w:r>
          </w:p>
        </w:tc>
        <w:tc>
          <w:tcPr>
            <w:tcW w:w="1417" w:type="dxa"/>
          </w:tcPr>
          <w:p w14:paraId="6AC01293" w14:textId="23A8990D"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Общий /предельный объем БА областного бюджета на 2019 год,</w:t>
            </w:r>
            <w:r w:rsidR="00533B81" w:rsidRPr="00A53AD7">
              <w:rPr>
                <w:rFonts w:ascii="Times New Roman" w:hAnsi="Times New Roman"/>
                <w:b/>
                <w:sz w:val="20"/>
                <w:szCs w:val="20"/>
                <w:lang w:eastAsia="ru-RU"/>
              </w:rPr>
              <w:t xml:space="preserve"> млн.</w:t>
            </w:r>
            <w:r w:rsidRPr="00A53AD7">
              <w:rPr>
                <w:rFonts w:ascii="Times New Roman" w:hAnsi="Times New Roman"/>
                <w:b/>
                <w:sz w:val="20"/>
                <w:szCs w:val="20"/>
                <w:lang w:eastAsia="ru-RU"/>
              </w:rPr>
              <w:t>руб.</w:t>
            </w:r>
          </w:p>
        </w:tc>
        <w:tc>
          <w:tcPr>
            <w:tcW w:w="1276" w:type="dxa"/>
          </w:tcPr>
          <w:p w14:paraId="34816A2F" w14:textId="3B62C512" w:rsidR="00D91486" w:rsidRPr="00A53AD7" w:rsidRDefault="00D91486" w:rsidP="0093051C">
            <w:pPr>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Кассо</w:t>
            </w:r>
            <w:r w:rsidR="00533B81" w:rsidRPr="00A53AD7">
              <w:rPr>
                <w:rFonts w:ascii="Times New Roman" w:hAnsi="Times New Roman"/>
                <w:b/>
                <w:sz w:val="20"/>
                <w:szCs w:val="20"/>
                <w:lang w:eastAsia="ru-RU"/>
              </w:rPr>
              <w:t>вые расходы на 01.01.2020, млн.</w:t>
            </w:r>
            <w:r w:rsidRPr="00A53AD7">
              <w:rPr>
                <w:rFonts w:ascii="Times New Roman" w:hAnsi="Times New Roman"/>
                <w:b/>
                <w:sz w:val="20"/>
                <w:szCs w:val="20"/>
                <w:lang w:eastAsia="ru-RU"/>
              </w:rPr>
              <w:t>руб.</w:t>
            </w:r>
          </w:p>
          <w:p w14:paraId="63D34B1D" w14:textId="77777777" w:rsidR="00D91486" w:rsidRPr="00A53AD7" w:rsidRDefault="00D91486" w:rsidP="0093051C">
            <w:pPr>
              <w:spacing w:after="0" w:line="240" w:lineRule="auto"/>
              <w:jc w:val="center"/>
              <w:rPr>
                <w:rFonts w:ascii="Times New Roman" w:hAnsi="Times New Roman"/>
                <w:b/>
                <w:sz w:val="20"/>
                <w:szCs w:val="20"/>
                <w:lang w:eastAsia="ru-RU"/>
              </w:rPr>
            </w:pPr>
          </w:p>
        </w:tc>
      </w:tr>
      <w:tr w:rsidR="00D470B6" w:rsidRPr="00A53AD7" w14:paraId="557B5BD7" w14:textId="77777777" w:rsidTr="0093051C">
        <w:tc>
          <w:tcPr>
            <w:tcW w:w="9464" w:type="dxa"/>
            <w:gridSpan w:val="7"/>
          </w:tcPr>
          <w:p w14:paraId="74FAD2F1" w14:textId="69C47703" w:rsidR="00D91486" w:rsidRPr="00A53AD7" w:rsidRDefault="00D91486" w:rsidP="00905BD4">
            <w:pPr>
              <w:spacing w:after="0" w:line="240" w:lineRule="auto"/>
              <w:rPr>
                <w:rFonts w:ascii="Times New Roman" w:hAnsi="Times New Roman"/>
                <w:b/>
                <w:sz w:val="20"/>
                <w:szCs w:val="20"/>
                <w:lang w:eastAsia="ru-RU"/>
              </w:rPr>
            </w:pPr>
            <w:r w:rsidRPr="00A53AD7">
              <w:rPr>
                <w:rFonts w:ascii="Times New Roman" w:hAnsi="Times New Roman"/>
                <w:b/>
                <w:sz w:val="20"/>
                <w:szCs w:val="20"/>
                <w:lang w:eastAsia="ru-RU"/>
              </w:rPr>
              <w:t>Мероприятие 1.7. «Комплексное освоение территории VI - VII микрорайонов с целью развития жилищного строительства в г. Архангельске» ГП АО № 475-пп (далее – мероприятие 1.7.)</w:t>
            </w:r>
          </w:p>
        </w:tc>
      </w:tr>
      <w:tr w:rsidR="00D470B6" w:rsidRPr="00A53AD7" w14:paraId="7E23E60B" w14:textId="77777777" w:rsidTr="0093051C">
        <w:tc>
          <w:tcPr>
            <w:tcW w:w="1918" w:type="dxa"/>
            <w:gridSpan w:val="2"/>
          </w:tcPr>
          <w:p w14:paraId="787F1D58"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Детский сад </w:t>
            </w:r>
          </w:p>
          <w:p w14:paraId="3F95BBCB"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 xml:space="preserve">на 280 мест </w:t>
            </w:r>
          </w:p>
          <w:p w14:paraId="6E523A47"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в 7 микрорайоне территориального округа Майская горка города Архангельска</w:t>
            </w:r>
          </w:p>
        </w:tc>
        <w:tc>
          <w:tcPr>
            <w:tcW w:w="1451" w:type="dxa"/>
          </w:tcPr>
          <w:p w14:paraId="6392A655" w14:textId="77777777" w:rsidR="00D91486" w:rsidRPr="00A53AD7" w:rsidRDefault="00D91486" w:rsidP="0093051C">
            <w:pPr>
              <w:spacing w:after="0" w:line="240" w:lineRule="auto"/>
              <w:jc w:val="both"/>
              <w:rPr>
                <w:rFonts w:ascii="Times New Roman" w:hAnsi="Times New Roman"/>
                <w:sz w:val="20"/>
                <w:szCs w:val="20"/>
                <w:lang w:eastAsia="ru-RU"/>
              </w:rPr>
            </w:pPr>
          </w:p>
          <w:p w14:paraId="0C04047E"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Минстрой АО</w:t>
            </w:r>
          </w:p>
        </w:tc>
        <w:tc>
          <w:tcPr>
            <w:tcW w:w="1842" w:type="dxa"/>
          </w:tcPr>
          <w:p w14:paraId="112D01AF"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Администрация муниципального образования "Город Архангельск"</w:t>
            </w:r>
          </w:p>
        </w:tc>
        <w:tc>
          <w:tcPr>
            <w:tcW w:w="1560" w:type="dxa"/>
          </w:tcPr>
          <w:p w14:paraId="06A65AFD" w14:textId="77777777" w:rsidR="00D91486" w:rsidRPr="00A53AD7" w:rsidRDefault="00D91486" w:rsidP="0093051C">
            <w:pPr>
              <w:spacing w:after="0" w:line="240" w:lineRule="auto"/>
              <w:jc w:val="center"/>
              <w:rPr>
                <w:rFonts w:ascii="Times New Roman" w:hAnsi="Times New Roman"/>
                <w:sz w:val="20"/>
                <w:szCs w:val="20"/>
                <w:lang w:eastAsia="ru-RU"/>
              </w:rPr>
            </w:pPr>
          </w:p>
          <w:p w14:paraId="36FD492B" w14:textId="77777777" w:rsidR="00D91486" w:rsidRPr="00A53AD7" w:rsidRDefault="00D91486" w:rsidP="0093051C">
            <w:pPr>
              <w:spacing w:after="0" w:line="240" w:lineRule="auto"/>
              <w:jc w:val="center"/>
              <w:rPr>
                <w:rFonts w:ascii="Times New Roman" w:hAnsi="Times New Roman"/>
                <w:sz w:val="20"/>
                <w:szCs w:val="20"/>
                <w:lang w:eastAsia="ru-RU"/>
              </w:rPr>
            </w:pPr>
          </w:p>
          <w:p w14:paraId="2DECC55F"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220,5</w:t>
            </w:r>
          </w:p>
        </w:tc>
        <w:tc>
          <w:tcPr>
            <w:tcW w:w="1417" w:type="dxa"/>
          </w:tcPr>
          <w:p w14:paraId="6F5CA3AD" w14:textId="77777777" w:rsidR="00D91486" w:rsidRPr="00A53AD7" w:rsidRDefault="00D91486" w:rsidP="0093051C">
            <w:pPr>
              <w:spacing w:after="0" w:line="240" w:lineRule="auto"/>
              <w:jc w:val="center"/>
              <w:rPr>
                <w:rFonts w:ascii="Times New Roman" w:hAnsi="Times New Roman"/>
                <w:sz w:val="20"/>
                <w:szCs w:val="20"/>
                <w:lang w:eastAsia="ru-RU"/>
              </w:rPr>
            </w:pPr>
          </w:p>
          <w:p w14:paraId="50001FB4" w14:textId="77777777" w:rsidR="00D91486" w:rsidRPr="00A53AD7" w:rsidRDefault="00D91486" w:rsidP="0093051C">
            <w:pPr>
              <w:spacing w:after="0" w:line="240" w:lineRule="auto"/>
              <w:jc w:val="center"/>
              <w:rPr>
                <w:rFonts w:ascii="Times New Roman" w:hAnsi="Times New Roman"/>
                <w:sz w:val="20"/>
                <w:szCs w:val="20"/>
                <w:lang w:eastAsia="ru-RU"/>
              </w:rPr>
            </w:pPr>
          </w:p>
          <w:p w14:paraId="2FCD1FF9"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41,2</w:t>
            </w:r>
          </w:p>
        </w:tc>
        <w:tc>
          <w:tcPr>
            <w:tcW w:w="1276" w:type="dxa"/>
          </w:tcPr>
          <w:p w14:paraId="6B50564A" w14:textId="77777777" w:rsidR="00D91486" w:rsidRPr="00A53AD7" w:rsidRDefault="00D91486" w:rsidP="0093051C">
            <w:pPr>
              <w:spacing w:after="0" w:line="240" w:lineRule="auto"/>
              <w:jc w:val="center"/>
              <w:rPr>
                <w:rFonts w:ascii="Times New Roman" w:hAnsi="Times New Roman"/>
                <w:sz w:val="20"/>
                <w:szCs w:val="20"/>
                <w:lang w:eastAsia="ru-RU"/>
              </w:rPr>
            </w:pPr>
          </w:p>
          <w:p w14:paraId="040B55FD" w14:textId="77777777" w:rsidR="00D91486" w:rsidRPr="00A53AD7" w:rsidRDefault="00D91486" w:rsidP="0093051C">
            <w:pPr>
              <w:spacing w:after="0" w:line="240" w:lineRule="auto"/>
              <w:jc w:val="center"/>
              <w:rPr>
                <w:rFonts w:ascii="Times New Roman" w:hAnsi="Times New Roman"/>
                <w:sz w:val="20"/>
                <w:szCs w:val="20"/>
                <w:lang w:eastAsia="ru-RU"/>
              </w:rPr>
            </w:pPr>
          </w:p>
          <w:p w14:paraId="41EE7D30"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35,0</w:t>
            </w:r>
          </w:p>
          <w:p w14:paraId="75456FB4" w14:textId="77777777" w:rsidR="00D91486" w:rsidRPr="00A53AD7" w:rsidRDefault="00D91486" w:rsidP="0093051C">
            <w:pPr>
              <w:spacing w:after="0" w:line="240" w:lineRule="auto"/>
              <w:jc w:val="center"/>
              <w:rPr>
                <w:rFonts w:ascii="Times New Roman" w:hAnsi="Times New Roman"/>
                <w:sz w:val="20"/>
                <w:szCs w:val="20"/>
                <w:lang w:eastAsia="ru-RU"/>
              </w:rPr>
            </w:pPr>
          </w:p>
          <w:p w14:paraId="03DB415C" w14:textId="77777777" w:rsidR="00D91486" w:rsidRPr="00A53AD7" w:rsidRDefault="00D91486" w:rsidP="0093051C">
            <w:pPr>
              <w:spacing w:after="0" w:line="240" w:lineRule="auto"/>
              <w:jc w:val="center"/>
              <w:rPr>
                <w:rFonts w:ascii="Times New Roman" w:hAnsi="Times New Roman"/>
                <w:sz w:val="20"/>
                <w:szCs w:val="20"/>
                <w:lang w:eastAsia="ru-RU"/>
              </w:rPr>
            </w:pPr>
          </w:p>
          <w:p w14:paraId="0D67085E"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( 85%)</w:t>
            </w:r>
          </w:p>
          <w:p w14:paraId="44B8BC7D" w14:textId="77777777" w:rsidR="00D91486" w:rsidRPr="00A53AD7" w:rsidRDefault="00D91486" w:rsidP="0093051C">
            <w:pPr>
              <w:spacing w:after="0" w:line="240" w:lineRule="auto"/>
              <w:jc w:val="center"/>
              <w:rPr>
                <w:rFonts w:ascii="Times New Roman" w:hAnsi="Times New Roman"/>
                <w:sz w:val="20"/>
                <w:szCs w:val="20"/>
                <w:lang w:eastAsia="ru-RU"/>
              </w:rPr>
            </w:pPr>
          </w:p>
        </w:tc>
      </w:tr>
      <w:tr w:rsidR="00D470B6" w:rsidRPr="00A53AD7" w14:paraId="4FB46E91" w14:textId="77777777" w:rsidTr="0093051C">
        <w:trPr>
          <w:gridBefore w:val="1"/>
        </w:trPr>
        <w:tc>
          <w:tcPr>
            <w:tcW w:w="9464" w:type="dxa"/>
            <w:gridSpan w:val="6"/>
          </w:tcPr>
          <w:p w14:paraId="3DA72147" w14:textId="71BC3B46" w:rsidR="00D91486" w:rsidRPr="00A53AD7" w:rsidRDefault="00D91486" w:rsidP="00905BD4">
            <w:pPr>
              <w:spacing w:after="0" w:line="240" w:lineRule="auto"/>
              <w:rPr>
                <w:rFonts w:ascii="Times New Roman" w:hAnsi="Times New Roman"/>
                <w:b/>
                <w:sz w:val="20"/>
                <w:szCs w:val="20"/>
                <w:lang w:eastAsia="ru-RU"/>
              </w:rPr>
            </w:pPr>
            <w:r w:rsidRPr="00A53AD7">
              <w:rPr>
                <w:rFonts w:ascii="Times New Roman" w:hAnsi="Times New Roman"/>
                <w:b/>
                <w:sz w:val="20"/>
                <w:szCs w:val="20"/>
                <w:lang w:eastAsia="ru-RU"/>
              </w:rPr>
              <w:t>Мероприятие 1.9.</w:t>
            </w:r>
            <w:r w:rsidR="00905BD4" w:rsidRPr="00A53AD7">
              <w:rPr>
                <w:rFonts w:ascii="Times New Roman" w:hAnsi="Times New Roman"/>
                <w:b/>
                <w:sz w:val="20"/>
                <w:szCs w:val="20"/>
                <w:lang w:eastAsia="ru-RU"/>
              </w:rPr>
              <w:t xml:space="preserve"> </w:t>
            </w:r>
            <w:r w:rsidRPr="00A53AD7">
              <w:rPr>
                <w:rFonts w:ascii="Times New Roman" w:hAnsi="Times New Roman"/>
                <w:b/>
                <w:sz w:val="20"/>
                <w:szCs w:val="20"/>
                <w:lang w:eastAsia="ru-RU"/>
              </w:rPr>
              <w:t>«Комплексное освоение территории 7 и 10 кварталов Южного района с целью развития жилищного строительства в г. Котласе» (далее - мероприятие 1.9.)</w:t>
            </w:r>
          </w:p>
        </w:tc>
      </w:tr>
      <w:tr w:rsidR="00D470B6" w:rsidRPr="00A53AD7" w14:paraId="55A40E48" w14:textId="77777777" w:rsidTr="0093051C">
        <w:trPr>
          <w:gridBefore w:val="1"/>
          <w:trHeight w:val="968"/>
        </w:trPr>
        <w:tc>
          <w:tcPr>
            <w:tcW w:w="1918" w:type="dxa"/>
          </w:tcPr>
          <w:p w14:paraId="58029F58"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Строительство школы на 860 мест в г. Котласе</w:t>
            </w:r>
          </w:p>
        </w:tc>
        <w:tc>
          <w:tcPr>
            <w:tcW w:w="1451" w:type="dxa"/>
          </w:tcPr>
          <w:p w14:paraId="77A7D7AB" w14:textId="77777777" w:rsidR="00D91486" w:rsidRPr="00A53AD7" w:rsidRDefault="00D91486" w:rsidP="0093051C">
            <w:pPr>
              <w:spacing w:after="0" w:line="240" w:lineRule="auto"/>
              <w:jc w:val="both"/>
              <w:rPr>
                <w:rFonts w:ascii="Times New Roman" w:hAnsi="Times New Roman"/>
                <w:sz w:val="20"/>
                <w:szCs w:val="20"/>
                <w:lang w:eastAsia="ru-RU"/>
              </w:rPr>
            </w:pPr>
          </w:p>
          <w:p w14:paraId="7D09C01E"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Минстрой АО</w:t>
            </w:r>
          </w:p>
        </w:tc>
        <w:tc>
          <w:tcPr>
            <w:tcW w:w="1842" w:type="dxa"/>
          </w:tcPr>
          <w:p w14:paraId="7A1C289E" w14:textId="77777777" w:rsidR="00D91486" w:rsidRPr="00A53AD7" w:rsidRDefault="00D91486" w:rsidP="0093051C">
            <w:pPr>
              <w:spacing w:after="0" w:line="240" w:lineRule="auto"/>
              <w:jc w:val="both"/>
              <w:rPr>
                <w:rFonts w:ascii="Times New Roman" w:hAnsi="Times New Roman"/>
                <w:sz w:val="20"/>
                <w:szCs w:val="20"/>
                <w:lang w:eastAsia="ru-RU"/>
              </w:rPr>
            </w:pPr>
            <w:r w:rsidRPr="00A53AD7">
              <w:rPr>
                <w:rFonts w:ascii="Times New Roman" w:hAnsi="Times New Roman"/>
                <w:sz w:val="20"/>
                <w:szCs w:val="20"/>
                <w:lang w:eastAsia="ru-RU"/>
              </w:rPr>
              <w:t>Администрация муниципального образования «Котлас»</w:t>
            </w:r>
          </w:p>
        </w:tc>
        <w:tc>
          <w:tcPr>
            <w:tcW w:w="1560" w:type="dxa"/>
          </w:tcPr>
          <w:p w14:paraId="254F40FE" w14:textId="77777777" w:rsidR="00D91486" w:rsidRPr="00A53AD7" w:rsidRDefault="00D91486" w:rsidP="0093051C">
            <w:pPr>
              <w:spacing w:after="0" w:line="240" w:lineRule="auto"/>
              <w:jc w:val="center"/>
              <w:rPr>
                <w:rFonts w:ascii="Times New Roman" w:hAnsi="Times New Roman"/>
                <w:sz w:val="20"/>
                <w:szCs w:val="20"/>
                <w:lang w:eastAsia="ru-RU"/>
              </w:rPr>
            </w:pPr>
          </w:p>
          <w:p w14:paraId="6C7D1308"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1 062,3</w:t>
            </w:r>
          </w:p>
        </w:tc>
        <w:tc>
          <w:tcPr>
            <w:tcW w:w="1417" w:type="dxa"/>
          </w:tcPr>
          <w:p w14:paraId="1550140B" w14:textId="77777777" w:rsidR="00D91486" w:rsidRPr="00A53AD7" w:rsidRDefault="00D91486" w:rsidP="0093051C">
            <w:pPr>
              <w:spacing w:after="0" w:line="240" w:lineRule="auto"/>
              <w:jc w:val="center"/>
              <w:rPr>
                <w:rFonts w:ascii="Times New Roman" w:hAnsi="Times New Roman"/>
                <w:sz w:val="20"/>
                <w:szCs w:val="20"/>
                <w:lang w:eastAsia="ru-RU"/>
              </w:rPr>
            </w:pPr>
          </w:p>
          <w:p w14:paraId="3C1DA078"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10,3</w:t>
            </w:r>
          </w:p>
        </w:tc>
        <w:tc>
          <w:tcPr>
            <w:tcW w:w="1276" w:type="dxa"/>
          </w:tcPr>
          <w:p w14:paraId="57A1F774" w14:textId="77777777" w:rsidR="00D91486" w:rsidRPr="00A53AD7" w:rsidRDefault="00D91486" w:rsidP="0093051C">
            <w:pPr>
              <w:spacing w:after="0" w:line="240" w:lineRule="auto"/>
              <w:jc w:val="center"/>
              <w:rPr>
                <w:rFonts w:ascii="Times New Roman" w:hAnsi="Times New Roman"/>
                <w:sz w:val="20"/>
                <w:szCs w:val="20"/>
                <w:lang w:eastAsia="ru-RU"/>
              </w:rPr>
            </w:pPr>
          </w:p>
          <w:p w14:paraId="7B9F1180"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10,3</w:t>
            </w:r>
          </w:p>
          <w:p w14:paraId="206F5F14" w14:textId="77777777" w:rsidR="00D91486" w:rsidRPr="00A53AD7" w:rsidRDefault="00D91486" w:rsidP="0093051C">
            <w:pPr>
              <w:spacing w:after="0" w:line="240" w:lineRule="auto"/>
              <w:jc w:val="center"/>
              <w:rPr>
                <w:rFonts w:ascii="Times New Roman" w:hAnsi="Times New Roman"/>
                <w:sz w:val="20"/>
                <w:szCs w:val="20"/>
                <w:lang w:eastAsia="ru-RU"/>
              </w:rPr>
            </w:pPr>
          </w:p>
          <w:p w14:paraId="6B9F343E" w14:textId="77777777" w:rsidR="00D91486" w:rsidRPr="00A53AD7" w:rsidRDefault="00D91486" w:rsidP="0093051C">
            <w:pPr>
              <w:spacing w:after="0" w:line="240" w:lineRule="auto"/>
              <w:jc w:val="center"/>
              <w:rPr>
                <w:rFonts w:ascii="Times New Roman" w:hAnsi="Times New Roman"/>
                <w:sz w:val="20"/>
                <w:szCs w:val="20"/>
                <w:lang w:eastAsia="ru-RU"/>
              </w:rPr>
            </w:pPr>
            <w:r w:rsidRPr="00A53AD7">
              <w:rPr>
                <w:rFonts w:ascii="Times New Roman" w:hAnsi="Times New Roman"/>
                <w:sz w:val="20"/>
                <w:szCs w:val="20"/>
                <w:lang w:eastAsia="ru-RU"/>
              </w:rPr>
              <w:t>(100%)</w:t>
            </w:r>
          </w:p>
        </w:tc>
      </w:tr>
    </w:tbl>
    <w:p w14:paraId="11C4BF65" w14:textId="77777777" w:rsidR="00D91486" w:rsidRPr="00A53AD7" w:rsidRDefault="00D91486" w:rsidP="0093051C">
      <w:pPr>
        <w:spacing w:after="0" w:line="240" w:lineRule="auto"/>
        <w:ind w:firstLine="851"/>
        <w:jc w:val="both"/>
        <w:rPr>
          <w:rFonts w:ascii="Times New Roman" w:hAnsi="Times New Roman"/>
          <w:sz w:val="28"/>
          <w:szCs w:val="28"/>
        </w:rPr>
      </w:pPr>
    </w:p>
    <w:p w14:paraId="43EF33FF" w14:textId="29399C1F"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областного бюджета за 2019 год (Приложение № 5 к пояснительной записке) кассовые расходы на реализацию мероприятий, предусмотренных подпрограммой №</w:t>
      </w:r>
      <w:r w:rsidR="00307C7F" w:rsidRPr="00A53AD7">
        <w:rPr>
          <w:rFonts w:ascii="Times New Roman" w:hAnsi="Times New Roman"/>
          <w:sz w:val="28"/>
          <w:szCs w:val="28"/>
        </w:rPr>
        <w:t xml:space="preserve"> </w:t>
      </w:r>
      <w:r w:rsidRPr="00A53AD7">
        <w:rPr>
          <w:rFonts w:ascii="Times New Roman" w:hAnsi="Times New Roman"/>
          <w:sz w:val="28"/>
          <w:szCs w:val="28"/>
        </w:rPr>
        <w:t>1 ГП А</w:t>
      </w:r>
      <w:r w:rsidR="00A86965" w:rsidRPr="00A53AD7">
        <w:rPr>
          <w:rFonts w:ascii="Times New Roman" w:hAnsi="Times New Roman"/>
          <w:sz w:val="28"/>
          <w:szCs w:val="28"/>
        </w:rPr>
        <w:t>О № 475-пп составили 200,6 млн.</w:t>
      </w:r>
      <w:r w:rsidRPr="00A53AD7">
        <w:rPr>
          <w:rFonts w:ascii="Times New Roman" w:hAnsi="Times New Roman"/>
          <w:sz w:val="28"/>
          <w:szCs w:val="28"/>
        </w:rPr>
        <w:t>руб., что составляет 99,7 % от бюджетных назначений (уточненная бюджетная р</w:t>
      </w:r>
      <w:r w:rsidR="00A86965" w:rsidRPr="00A53AD7">
        <w:rPr>
          <w:rFonts w:ascii="Times New Roman" w:hAnsi="Times New Roman"/>
          <w:sz w:val="28"/>
          <w:szCs w:val="28"/>
        </w:rPr>
        <w:t>оспись на 2019 год – 201,2 млн.руб.).</w:t>
      </w:r>
    </w:p>
    <w:p w14:paraId="4AAAA137" w14:textId="5407F776"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выписке из сводной бюджетной росписи расходов областного бюджета на 2019 год на реализацию мероприятий РП «Жилье» в рамках ГП АО №</w:t>
      </w:r>
      <w:r w:rsidR="00A86965" w:rsidRPr="00A53AD7">
        <w:rPr>
          <w:rFonts w:ascii="Times New Roman" w:hAnsi="Times New Roman"/>
          <w:sz w:val="28"/>
          <w:szCs w:val="28"/>
        </w:rPr>
        <w:t xml:space="preserve"> </w:t>
      </w:r>
      <w:r w:rsidRPr="00A53AD7">
        <w:rPr>
          <w:rFonts w:ascii="Times New Roman" w:hAnsi="Times New Roman"/>
          <w:sz w:val="28"/>
          <w:szCs w:val="28"/>
        </w:rPr>
        <w:t xml:space="preserve">475-пп Минстрою АО предусмотрены бюджетные </w:t>
      </w:r>
      <w:r w:rsidR="00A86965" w:rsidRPr="00A53AD7">
        <w:rPr>
          <w:rFonts w:ascii="Times New Roman" w:hAnsi="Times New Roman"/>
          <w:sz w:val="28"/>
          <w:szCs w:val="28"/>
        </w:rPr>
        <w:t>ассигнования в сумме 201,2 млн.</w:t>
      </w:r>
      <w:r w:rsidRPr="00A53AD7">
        <w:rPr>
          <w:rFonts w:ascii="Times New Roman" w:hAnsi="Times New Roman"/>
          <w:sz w:val="28"/>
          <w:szCs w:val="28"/>
        </w:rPr>
        <w:t>руб., в том числе:</w:t>
      </w:r>
    </w:p>
    <w:p w14:paraId="0EF7A42F" w14:textId="22270B69" w:rsidR="00D91486" w:rsidRPr="00A53AD7" w:rsidRDefault="00D91486" w:rsidP="00CA1DDD">
      <w:pPr>
        <w:pStyle w:val="a8"/>
        <w:numPr>
          <w:ilvl w:val="0"/>
          <w:numId w:val="42"/>
        </w:numPr>
        <w:ind w:left="0" w:firstLine="851"/>
        <w:jc w:val="both"/>
        <w:rPr>
          <w:sz w:val="28"/>
          <w:szCs w:val="28"/>
        </w:rPr>
      </w:pPr>
      <w:r w:rsidRPr="00A53AD7">
        <w:rPr>
          <w:sz w:val="28"/>
          <w:szCs w:val="28"/>
        </w:rPr>
        <w:t>на реализацию мероприятия 1.7 подпрограммы №</w:t>
      </w:r>
      <w:r w:rsidR="00307C7F" w:rsidRPr="00A53AD7">
        <w:rPr>
          <w:sz w:val="28"/>
          <w:szCs w:val="28"/>
        </w:rPr>
        <w:t xml:space="preserve"> </w:t>
      </w:r>
      <w:r w:rsidRPr="00A53AD7">
        <w:rPr>
          <w:sz w:val="28"/>
          <w:szCs w:val="28"/>
        </w:rPr>
        <w:t>1 - субсидии на софинансирование капитальных вложений в объекты государственной (муниципальной) собственности (КБК 019 07 000 701 06105</w:t>
      </w:r>
      <w:r w:rsidRPr="00A53AD7">
        <w:rPr>
          <w:sz w:val="28"/>
          <w:szCs w:val="28"/>
          <w:lang w:val="en-US"/>
        </w:rPr>
        <w:t>R</w:t>
      </w:r>
      <w:r w:rsidR="00533B81" w:rsidRPr="00A53AD7">
        <w:rPr>
          <w:sz w:val="28"/>
          <w:szCs w:val="28"/>
        </w:rPr>
        <w:t>0210 522) в сумме 99,4 млн.</w:t>
      </w:r>
      <w:r w:rsidRPr="00A53AD7">
        <w:rPr>
          <w:sz w:val="28"/>
          <w:szCs w:val="28"/>
        </w:rPr>
        <w:t>руб., в том числе средства Ф</w:t>
      </w:r>
      <w:r w:rsidR="00533B81" w:rsidRPr="00A53AD7">
        <w:rPr>
          <w:sz w:val="28"/>
          <w:szCs w:val="28"/>
        </w:rPr>
        <w:t>Б – 89,5 млн.руб., средства ОБ – 9,9 млн.</w:t>
      </w:r>
      <w:r w:rsidRPr="00A53AD7">
        <w:rPr>
          <w:sz w:val="28"/>
          <w:szCs w:val="28"/>
        </w:rPr>
        <w:t>руб.;</w:t>
      </w:r>
    </w:p>
    <w:p w14:paraId="4D625373" w14:textId="131C8C0B" w:rsidR="00D91486" w:rsidRPr="00A53AD7" w:rsidRDefault="00D91486" w:rsidP="00CA1DDD">
      <w:pPr>
        <w:pStyle w:val="a8"/>
        <w:numPr>
          <w:ilvl w:val="0"/>
          <w:numId w:val="42"/>
        </w:numPr>
        <w:ind w:left="0" w:firstLine="851"/>
        <w:jc w:val="both"/>
        <w:rPr>
          <w:sz w:val="28"/>
          <w:szCs w:val="28"/>
        </w:rPr>
      </w:pPr>
      <w:r w:rsidRPr="00A53AD7">
        <w:rPr>
          <w:sz w:val="28"/>
          <w:szCs w:val="28"/>
        </w:rPr>
        <w:t>на реализацию мероприятия 1.9. подпрограммы №1 - (КБК 019 07 000 702 06111</w:t>
      </w:r>
      <w:r w:rsidRPr="00A53AD7">
        <w:rPr>
          <w:sz w:val="28"/>
          <w:szCs w:val="28"/>
          <w:lang w:val="en-US"/>
        </w:rPr>
        <w:t>R</w:t>
      </w:r>
      <w:r w:rsidRPr="00A53AD7">
        <w:rPr>
          <w:sz w:val="28"/>
          <w:szCs w:val="28"/>
        </w:rPr>
        <w:t xml:space="preserve">0210 522) в сумме 101,8 </w:t>
      </w:r>
      <w:r w:rsidR="00533B81" w:rsidRPr="00A53AD7">
        <w:rPr>
          <w:sz w:val="28"/>
          <w:szCs w:val="28"/>
        </w:rPr>
        <w:t>млн.</w:t>
      </w:r>
      <w:r w:rsidRPr="00A53AD7">
        <w:rPr>
          <w:sz w:val="28"/>
          <w:szCs w:val="28"/>
        </w:rPr>
        <w:t>руб., в то</w:t>
      </w:r>
      <w:r w:rsidR="00533B81" w:rsidRPr="00A53AD7">
        <w:rPr>
          <w:sz w:val="28"/>
          <w:szCs w:val="28"/>
        </w:rPr>
        <w:t>м числе средства ФБ – 91,5 млн.</w:t>
      </w:r>
      <w:r w:rsidRPr="00A53AD7">
        <w:rPr>
          <w:sz w:val="28"/>
          <w:szCs w:val="28"/>
        </w:rPr>
        <w:t xml:space="preserve">руб., средства </w:t>
      </w:r>
      <w:r w:rsidR="00905BD4" w:rsidRPr="00A53AD7">
        <w:rPr>
          <w:sz w:val="28"/>
          <w:szCs w:val="28"/>
        </w:rPr>
        <w:t>ОБ – 10,3 млн.</w:t>
      </w:r>
      <w:r w:rsidRPr="00A53AD7">
        <w:rPr>
          <w:sz w:val="28"/>
          <w:szCs w:val="28"/>
        </w:rPr>
        <w:t>руб.</w:t>
      </w:r>
    </w:p>
    <w:p w14:paraId="50283B58" w14:textId="05749E8B"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Показателем результативности представленной федеральной субсидии является ввод жилья в рамках мероприятия по стимулированию программ развития жили</w:t>
      </w:r>
      <w:r w:rsidR="00307C7F" w:rsidRPr="00A53AD7">
        <w:rPr>
          <w:rFonts w:ascii="Times New Roman" w:hAnsi="Times New Roman"/>
          <w:sz w:val="28"/>
          <w:szCs w:val="28"/>
        </w:rPr>
        <w:t>щного строительства ФП «Жилье».</w:t>
      </w:r>
    </w:p>
    <w:p w14:paraId="32796D45" w14:textId="4537A553"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соглашением и РП «Жилье» (Приложение № 8 к Соглашению) плановый показатель составляет 30,5 тыс. кв. метров, в том числе по проекту жилищного строительства «Комплексное освоение территории 7 и 10 кварталов Южного района с целью развития жилищного строительства в г. Котласе – 20,9 тыс. кв.м; по проекту «Комплексное освоение территории 6,7 микрорайонов с целью развития жилищного строительства в г. Архангельске – 9,6 тыс. кв. м.</w:t>
      </w:r>
    </w:p>
    <w:p w14:paraId="7761C2C9" w14:textId="40B06FCF"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Фактическое значение со</w:t>
      </w:r>
      <w:r w:rsidR="00905BD4" w:rsidRPr="00A53AD7">
        <w:rPr>
          <w:rFonts w:ascii="Times New Roman" w:hAnsi="Times New Roman"/>
          <w:sz w:val="28"/>
          <w:szCs w:val="28"/>
        </w:rPr>
        <w:t>ставило 34,8 тыс. кв. метров.</w:t>
      </w:r>
    </w:p>
    <w:p w14:paraId="7C7A873C" w14:textId="19489505"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Для реализации мероприятия 1.7. администрацией МО «Город Архангельск» в лице департамента транспорта, строительства и городской инфраструктуры администрации МО «Город Архангельск» по итогам электронного аукциона (от 21.08.2018 № 0124200000618001238) заключен муниципальный контракт от 03.09.2018 № 18001238 на выполнение работ по строительству детского сада на 280 мест в 7 микрорайоне территориального округа Майская горка города Архангельска» (далее – Объект) с ООО «Белый </w:t>
      </w:r>
      <w:r w:rsidR="00533B81" w:rsidRPr="00A53AD7">
        <w:rPr>
          <w:rFonts w:ascii="Times New Roman" w:hAnsi="Times New Roman"/>
          <w:sz w:val="28"/>
          <w:szCs w:val="28"/>
        </w:rPr>
        <w:t>Дом». Цена контракта 195,4 млн.</w:t>
      </w:r>
      <w:r w:rsidRPr="00A53AD7">
        <w:rPr>
          <w:rFonts w:ascii="Times New Roman" w:hAnsi="Times New Roman"/>
          <w:sz w:val="28"/>
          <w:szCs w:val="28"/>
        </w:rPr>
        <w:t>руб. (снижение НМЦК составило 2,0 млн.руб.), срок исполнения контракта – 01.11.2019.</w:t>
      </w:r>
    </w:p>
    <w:p w14:paraId="03A3107F" w14:textId="312217D7"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пояснительной записке к отчету об исполнении областного бюджета на 2019 год - в 2019 году завершено строительство детского сада на 280 мест в 7 микрорайоне территориального округа Майская горка г. Архангельска (введен 31 декабря 2019 года, разрешение на ввод объекта в эксплуа</w:t>
      </w:r>
      <w:r w:rsidR="00307C7F" w:rsidRPr="00A53AD7">
        <w:rPr>
          <w:rFonts w:ascii="Times New Roman" w:hAnsi="Times New Roman"/>
          <w:sz w:val="28"/>
          <w:szCs w:val="28"/>
        </w:rPr>
        <w:t>тацию № 29-301000-330-2018-52).</w:t>
      </w:r>
    </w:p>
    <w:p w14:paraId="21BC89D1" w14:textId="40E315E4"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 целью реализации мероприятия 1.9. Управлением экономического развития администрации МО «Котлас» по итогам электронного аукциона (0124200000619001218 от 06.05.2019) заключен муниципальный контракт от 20.05.2019 № 10/2019 на строительство школы на 860 мест в г. Котлас Архангельской области с ООО «ОРТОСТ – ФАСАД». Цена контракта – 820,1 </w:t>
      </w:r>
      <w:r w:rsidR="00533B81" w:rsidRPr="00A53AD7">
        <w:rPr>
          <w:rFonts w:ascii="Times New Roman" w:hAnsi="Times New Roman"/>
          <w:sz w:val="28"/>
          <w:szCs w:val="28"/>
        </w:rPr>
        <w:t>млн.</w:t>
      </w:r>
      <w:r w:rsidRPr="00A53AD7">
        <w:rPr>
          <w:rFonts w:ascii="Times New Roman" w:hAnsi="Times New Roman"/>
          <w:sz w:val="28"/>
          <w:szCs w:val="28"/>
        </w:rPr>
        <w:t>руб. (сн</w:t>
      </w:r>
      <w:r w:rsidR="00533B81" w:rsidRPr="00A53AD7">
        <w:rPr>
          <w:rFonts w:ascii="Times New Roman" w:hAnsi="Times New Roman"/>
          <w:sz w:val="28"/>
          <w:szCs w:val="28"/>
        </w:rPr>
        <w:t>ижение НМЦК составило 89,2 млн.</w:t>
      </w:r>
      <w:r w:rsidRPr="00A53AD7">
        <w:rPr>
          <w:rFonts w:ascii="Times New Roman" w:hAnsi="Times New Roman"/>
          <w:sz w:val="28"/>
          <w:szCs w:val="28"/>
        </w:rPr>
        <w:t>руб.), срок исполнения контракта – 31.12.2021</w:t>
      </w:r>
      <w:r w:rsidR="00533B81" w:rsidRPr="00A53AD7">
        <w:rPr>
          <w:rFonts w:ascii="Times New Roman" w:hAnsi="Times New Roman"/>
          <w:sz w:val="28"/>
          <w:szCs w:val="28"/>
        </w:rPr>
        <w:t>.</w:t>
      </w:r>
    </w:p>
    <w:p w14:paraId="58FFDACF" w14:textId="04081F3F" w:rsidR="00D91486" w:rsidRPr="00A53AD7" w:rsidRDefault="00D91486" w:rsidP="00D9148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Завершение строительства школы на 860 мест в г. Котласе планируется в 2021 году.</w:t>
      </w:r>
    </w:p>
    <w:p w14:paraId="3144228C" w14:textId="77777777" w:rsidR="00BE1462" w:rsidRPr="00A53AD7" w:rsidRDefault="00BE1462" w:rsidP="00D91486">
      <w:pPr>
        <w:spacing w:after="0" w:line="240" w:lineRule="auto"/>
        <w:ind w:firstLine="851"/>
        <w:jc w:val="both"/>
        <w:rPr>
          <w:rFonts w:ascii="Times New Roman" w:hAnsi="Times New Roman"/>
          <w:sz w:val="28"/>
          <w:szCs w:val="28"/>
        </w:rPr>
      </w:pPr>
    </w:p>
    <w:p w14:paraId="6800A5A1" w14:textId="6016E07D" w:rsidR="00844D34" w:rsidRPr="00A53AD7" w:rsidRDefault="00844D34" w:rsidP="00844D34">
      <w:pPr>
        <w:spacing w:after="0" w:line="240" w:lineRule="auto"/>
        <w:jc w:val="center"/>
        <w:rPr>
          <w:rFonts w:ascii="Times New Roman" w:eastAsia="Times New Roman" w:hAnsi="Times New Roman"/>
          <w:sz w:val="28"/>
          <w:szCs w:val="28"/>
          <w:highlight w:val="cyan"/>
          <w:lang w:eastAsia="ru-RU"/>
        </w:rPr>
      </w:pPr>
      <w:r w:rsidRPr="00A53AD7">
        <w:rPr>
          <w:rFonts w:ascii="Times New Roman" w:hAnsi="Times New Roman"/>
          <w:b/>
          <w:i/>
          <w:sz w:val="28"/>
          <w:szCs w:val="28"/>
        </w:rPr>
        <w:t>Региональный проект «Обеспечение устойчивого сокращения непригодного для проживания жилищного фонда»</w:t>
      </w:r>
    </w:p>
    <w:p w14:paraId="7BDEFDD5" w14:textId="41BB5A24" w:rsidR="00844D34" w:rsidRPr="00A53AD7" w:rsidRDefault="00844D34" w:rsidP="00844D3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Протоколом заседания проектного комитета по национальному проекту «Жилье и городская среда» от 21 декабря 2018 года №</w:t>
      </w:r>
      <w:r w:rsidR="00B82C1E" w:rsidRPr="00A53AD7">
        <w:rPr>
          <w:rFonts w:ascii="Times New Roman" w:hAnsi="Times New Roman"/>
          <w:sz w:val="28"/>
          <w:szCs w:val="28"/>
        </w:rPr>
        <w:t xml:space="preserve"> </w:t>
      </w:r>
      <w:r w:rsidRPr="00A53AD7">
        <w:rPr>
          <w:rFonts w:ascii="Times New Roman" w:hAnsi="Times New Roman"/>
          <w:sz w:val="28"/>
          <w:szCs w:val="28"/>
        </w:rPr>
        <w:t>3, утвержден региональный проект «Обеспечение устойчивого сокращения непригодного для проживания жилищного фонда» (далее РП).</w:t>
      </w:r>
    </w:p>
    <w:p w14:paraId="34BCC73F" w14:textId="77777777" w:rsidR="00844D34" w:rsidRPr="00A53AD7" w:rsidRDefault="00844D34" w:rsidP="00844D34">
      <w:pPr>
        <w:spacing w:after="0" w:line="240" w:lineRule="auto"/>
        <w:ind w:firstLine="851"/>
        <w:jc w:val="both"/>
        <w:rPr>
          <w:rFonts w:ascii="Times New Roman" w:hAnsi="Times New Roman"/>
          <w:sz w:val="28"/>
          <w:szCs w:val="28"/>
        </w:rPr>
      </w:pPr>
      <w:r w:rsidRPr="00A53AD7">
        <w:rPr>
          <w:rFonts w:ascii="Times New Roman" w:hAnsi="Times New Roman"/>
          <w:sz w:val="28"/>
          <w:szCs w:val="28"/>
        </w:rPr>
        <w:t>01.02.2019 года заключено между руководителем федерального проекта «Обеспечение устойчивого сокращения непригодного для проживания жилищного фонда» и руководителя регионального проекта «Обеспечение устойчивого сокращения непригодного для проживания жилищного фонда (Архангельская область)», Соглашение о реализации регионального проекта «Обеспечение устойчивого сокращения непригодного для проживания жилищного фонда (Архангельская область)».</w:t>
      </w:r>
    </w:p>
    <w:p w14:paraId="493480E5" w14:textId="77777777" w:rsidR="00844D34" w:rsidRPr="00A53AD7" w:rsidRDefault="00844D34" w:rsidP="00844D3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исполнения РП постановлением Правительства АО от 26.03.2019 г. №153-пп утверждена Адресная программа Архангельской области «Переселение граждан из аварийного жилищного фонда на 2019 – 2025 годы» (далее - АП 2019-2025).</w:t>
      </w:r>
    </w:p>
    <w:p w14:paraId="7E41B631" w14:textId="77777777" w:rsidR="00844D34" w:rsidRPr="00A53AD7" w:rsidRDefault="00844D34" w:rsidP="00844D3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Изменения в АП 2019-2025 в течение 2019 года вносились 5 раз.</w:t>
      </w:r>
    </w:p>
    <w:p w14:paraId="39F7704F" w14:textId="77777777" w:rsidR="00844D34" w:rsidRPr="00A53AD7" w:rsidRDefault="00844D34" w:rsidP="00844D34">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в первоначальной редакции на 2019 год было запланировано расселение 363 чел. с 5 468,6 кв.м. аварийного жилья. В редакции от 27.12.2019 года, действующей на конец отчетного периода показатели на 2019 год изменились – 329 чел. с 6 870,79 кв.м. Также следует отметить изменение показателей 2019 года уже в редакции программы от 28.01.2020 года – 484 человека (или больше первоначально запланированных на 121 чел) с 8 755,75 кв.м. (или больше первоначально запланированных на 3 287,15 кв.м.).</w:t>
      </w:r>
    </w:p>
    <w:p w14:paraId="5E1960D6" w14:textId="7E024397" w:rsidR="00844D34" w:rsidRPr="00A53AD7" w:rsidRDefault="00844D34" w:rsidP="00844D34">
      <w:pPr>
        <w:spacing w:after="0" w:line="240" w:lineRule="auto"/>
        <w:ind w:firstLine="851"/>
        <w:jc w:val="both"/>
        <w:rPr>
          <w:rFonts w:ascii="Times New Roman" w:eastAsia="Times New Roman" w:hAnsi="Times New Roman"/>
          <w:sz w:val="28"/>
          <w:szCs w:val="28"/>
          <w:highlight w:val="cyan"/>
          <w:lang w:eastAsia="ru-RU"/>
        </w:rPr>
      </w:pPr>
      <w:r w:rsidRPr="00A53AD7">
        <w:rPr>
          <w:rFonts w:ascii="Times New Roman" w:hAnsi="Times New Roman"/>
          <w:sz w:val="28"/>
          <w:szCs w:val="28"/>
        </w:rPr>
        <w:t>На реализацию мероприятий АП 2019-2025 в 2019 году согласно Приложению №6 «Распределение средств областного бюджета, в том числе полученных за счет средств Фонда, по муниципальным образованиям области (далее – МО) на 2019 год» предусмотрено 1 815,6 млн.руб.:</w:t>
      </w:r>
    </w:p>
    <w:tbl>
      <w:tblPr>
        <w:tblW w:w="9371" w:type="dxa"/>
        <w:tblInd w:w="93" w:type="dxa"/>
        <w:tblLook w:val="04A0" w:firstRow="1" w:lastRow="0" w:firstColumn="1" w:lastColumn="0" w:noHBand="0" w:noVBand="1"/>
      </w:tblPr>
      <w:tblGrid>
        <w:gridCol w:w="680"/>
        <w:gridCol w:w="2737"/>
        <w:gridCol w:w="993"/>
        <w:gridCol w:w="2126"/>
        <w:gridCol w:w="2835"/>
      </w:tblGrid>
      <w:tr w:rsidR="00D470B6" w:rsidRPr="00A53AD7" w14:paraId="63114757" w14:textId="77777777" w:rsidTr="00DF1D6B">
        <w:trPr>
          <w:trHeight w:val="569"/>
          <w:tblHeader/>
        </w:trPr>
        <w:tc>
          <w:tcPr>
            <w:tcW w:w="680" w:type="dxa"/>
            <w:tcBorders>
              <w:top w:val="double" w:sz="4" w:space="0" w:color="auto"/>
              <w:left w:val="double" w:sz="4" w:space="0" w:color="auto"/>
              <w:bottom w:val="single" w:sz="4" w:space="0" w:color="auto"/>
              <w:right w:val="single" w:sz="4" w:space="0" w:color="auto"/>
            </w:tcBorders>
            <w:shd w:val="clear" w:color="auto" w:fill="auto"/>
            <w:vAlign w:val="center"/>
            <w:hideMark/>
          </w:tcPr>
          <w:p w14:paraId="0EA4EC1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п/п</w:t>
            </w:r>
          </w:p>
        </w:tc>
        <w:tc>
          <w:tcPr>
            <w:tcW w:w="2737" w:type="dxa"/>
            <w:tcBorders>
              <w:top w:val="double" w:sz="4" w:space="0" w:color="auto"/>
              <w:left w:val="nil"/>
              <w:bottom w:val="single" w:sz="4" w:space="0" w:color="auto"/>
              <w:right w:val="single" w:sz="4" w:space="0" w:color="auto"/>
            </w:tcBorders>
            <w:shd w:val="clear" w:color="auto" w:fill="auto"/>
            <w:vAlign w:val="center"/>
            <w:hideMark/>
          </w:tcPr>
          <w:p w14:paraId="68026CA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МО</w:t>
            </w:r>
          </w:p>
        </w:tc>
        <w:tc>
          <w:tcPr>
            <w:tcW w:w="993" w:type="dxa"/>
            <w:tcBorders>
              <w:top w:val="double" w:sz="4" w:space="0" w:color="auto"/>
              <w:left w:val="nil"/>
              <w:bottom w:val="single" w:sz="4" w:space="0" w:color="auto"/>
              <w:right w:val="single" w:sz="4" w:space="0" w:color="auto"/>
            </w:tcBorders>
            <w:shd w:val="clear" w:color="auto" w:fill="auto"/>
            <w:vAlign w:val="center"/>
            <w:hideMark/>
          </w:tcPr>
          <w:p w14:paraId="400FEA6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ГРБС</w:t>
            </w:r>
          </w:p>
        </w:tc>
        <w:tc>
          <w:tcPr>
            <w:tcW w:w="2126" w:type="dxa"/>
            <w:tcBorders>
              <w:top w:val="double" w:sz="4" w:space="0" w:color="auto"/>
              <w:left w:val="nil"/>
              <w:bottom w:val="single" w:sz="4" w:space="0" w:color="auto"/>
              <w:right w:val="single" w:sz="4" w:space="0" w:color="auto"/>
            </w:tcBorders>
            <w:shd w:val="clear" w:color="auto" w:fill="auto"/>
            <w:vAlign w:val="center"/>
            <w:hideMark/>
          </w:tcPr>
          <w:p w14:paraId="3DA0958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Средства Фонда, млн.руб.</w:t>
            </w:r>
          </w:p>
        </w:tc>
        <w:tc>
          <w:tcPr>
            <w:tcW w:w="2835" w:type="dxa"/>
            <w:tcBorders>
              <w:top w:val="double" w:sz="4" w:space="0" w:color="auto"/>
              <w:left w:val="nil"/>
              <w:bottom w:val="single" w:sz="4" w:space="0" w:color="auto"/>
              <w:right w:val="double" w:sz="4" w:space="0" w:color="auto"/>
            </w:tcBorders>
            <w:shd w:val="clear" w:color="auto" w:fill="auto"/>
            <w:vAlign w:val="center"/>
            <w:hideMark/>
          </w:tcPr>
          <w:p w14:paraId="5494947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Средства областного бюджета, млн.руб.</w:t>
            </w:r>
          </w:p>
        </w:tc>
      </w:tr>
      <w:tr w:rsidR="00D470B6" w:rsidRPr="00A53AD7" w14:paraId="23FE1E9E" w14:textId="77777777" w:rsidTr="00DF1D6B">
        <w:trPr>
          <w:trHeight w:val="312"/>
        </w:trPr>
        <w:tc>
          <w:tcPr>
            <w:tcW w:w="680" w:type="dxa"/>
            <w:vMerge w:val="restart"/>
            <w:tcBorders>
              <w:top w:val="nil"/>
              <w:left w:val="double" w:sz="4" w:space="0" w:color="auto"/>
              <w:bottom w:val="single" w:sz="4" w:space="0" w:color="auto"/>
              <w:right w:val="single" w:sz="4" w:space="0" w:color="auto"/>
            </w:tcBorders>
            <w:shd w:val="clear" w:color="auto" w:fill="auto"/>
            <w:vAlign w:val="center"/>
            <w:hideMark/>
          </w:tcPr>
          <w:p w14:paraId="28EABCD5"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3730" w:type="dxa"/>
            <w:gridSpan w:val="2"/>
            <w:tcBorders>
              <w:top w:val="single" w:sz="4" w:space="0" w:color="auto"/>
              <w:left w:val="nil"/>
              <w:bottom w:val="single" w:sz="4" w:space="0" w:color="auto"/>
              <w:right w:val="single" w:sz="4" w:space="0" w:color="auto"/>
            </w:tcBorders>
            <w:shd w:val="clear" w:color="auto" w:fill="auto"/>
            <w:vAlign w:val="center"/>
            <w:hideMark/>
          </w:tcPr>
          <w:p w14:paraId="505B0441"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2126" w:type="dxa"/>
            <w:tcBorders>
              <w:top w:val="nil"/>
              <w:left w:val="nil"/>
              <w:bottom w:val="single" w:sz="4" w:space="0" w:color="auto"/>
              <w:right w:val="single" w:sz="4" w:space="0" w:color="auto"/>
            </w:tcBorders>
            <w:shd w:val="clear" w:color="auto" w:fill="auto"/>
            <w:vAlign w:val="center"/>
            <w:hideMark/>
          </w:tcPr>
          <w:p w14:paraId="4EBF196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492,85</w:t>
            </w:r>
          </w:p>
        </w:tc>
        <w:tc>
          <w:tcPr>
            <w:tcW w:w="2835" w:type="dxa"/>
            <w:tcBorders>
              <w:top w:val="nil"/>
              <w:left w:val="nil"/>
              <w:bottom w:val="single" w:sz="4" w:space="0" w:color="auto"/>
              <w:right w:val="double" w:sz="4" w:space="0" w:color="auto"/>
            </w:tcBorders>
            <w:shd w:val="clear" w:color="auto" w:fill="auto"/>
            <w:vAlign w:val="center"/>
            <w:hideMark/>
          </w:tcPr>
          <w:p w14:paraId="143DDAC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21,37</w:t>
            </w:r>
          </w:p>
        </w:tc>
      </w:tr>
      <w:tr w:rsidR="00D470B6" w:rsidRPr="00A53AD7" w14:paraId="60ADCEC6" w14:textId="77777777" w:rsidTr="00DF1D6B">
        <w:trPr>
          <w:trHeight w:val="233"/>
        </w:trPr>
        <w:tc>
          <w:tcPr>
            <w:tcW w:w="680" w:type="dxa"/>
            <w:vMerge/>
            <w:tcBorders>
              <w:top w:val="nil"/>
              <w:left w:val="double" w:sz="4" w:space="0" w:color="auto"/>
              <w:bottom w:val="single" w:sz="4" w:space="0" w:color="auto"/>
              <w:right w:val="single" w:sz="4" w:space="0" w:color="auto"/>
            </w:tcBorders>
            <w:vAlign w:val="center"/>
            <w:hideMark/>
          </w:tcPr>
          <w:p w14:paraId="66E95A94"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val="restart"/>
            <w:tcBorders>
              <w:top w:val="nil"/>
              <w:left w:val="single" w:sz="4" w:space="0" w:color="auto"/>
              <w:bottom w:val="single" w:sz="4" w:space="0" w:color="auto"/>
              <w:right w:val="single" w:sz="4" w:space="0" w:color="auto"/>
            </w:tcBorders>
            <w:shd w:val="clear" w:color="auto" w:fill="auto"/>
            <w:vAlign w:val="center"/>
            <w:hideMark/>
          </w:tcPr>
          <w:p w14:paraId="2144CF09"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Город Архангельск</w:t>
            </w:r>
          </w:p>
        </w:tc>
        <w:tc>
          <w:tcPr>
            <w:tcW w:w="993" w:type="dxa"/>
            <w:tcBorders>
              <w:top w:val="nil"/>
              <w:left w:val="nil"/>
              <w:bottom w:val="single" w:sz="4" w:space="0" w:color="auto"/>
              <w:right w:val="single" w:sz="4" w:space="0" w:color="auto"/>
            </w:tcBorders>
            <w:shd w:val="clear" w:color="auto" w:fill="auto"/>
            <w:vAlign w:val="center"/>
            <w:hideMark/>
          </w:tcPr>
          <w:p w14:paraId="67C75BF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nil"/>
              <w:bottom w:val="single" w:sz="4" w:space="0" w:color="auto"/>
              <w:right w:val="single" w:sz="4" w:space="0" w:color="auto"/>
            </w:tcBorders>
            <w:shd w:val="clear" w:color="auto" w:fill="auto"/>
            <w:vAlign w:val="center"/>
            <w:hideMark/>
          </w:tcPr>
          <w:p w14:paraId="6621034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435,41</w:t>
            </w:r>
          </w:p>
        </w:tc>
        <w:tc>
          <w:tcPr>
            <w:tcW w:w="2835" w:type="dxa"/>
            <w:tcBorders>
              <w:top w:val="nil"/>
              <w:left w:val="nil"/>
              <w:bottom w:val="single" w:sz="4" w:space="0" w:color="auto"/>
              <w:right w:val="double" w:sz="4" w:space="0" w:color="auto"/>
            </w:tcBorders>
            <w:shd w:val="clear" w:color="auto" w:fill="auto"/>
            <w:vAlign w:val="center"/>
            <w:hideMark/>
          </w:tcPr>
          <w:p w14:paraId="1B888D9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20,26</w:t>
            </w:r>
          </w:p>
        </w:tc>
      </w:tr>
      <w:tr w:rsidR="00D470B6" w:rsidRPr="00A53AD7" w14:paraId="0A66FC2C" w14:textId="77777777" w:rsidTr="00DF1D6B">
        <w:trPr>
          <w:trHeight w:val="268"/>
        </w:trPr>
        <w:tc>
          <w:tcPr>
            <w:tcW w:w="680" w:type="dxa"/>
            <w:vMerge/>
            <w:tcBorders>
              <w:top w:val="nil"/>
              <w:left w:val="double" w:sz="4" w:space="0" w:color="auto"/>
              <w:bottom w:val="single" w:sz="4" w:space="0" w:color="auto"/>
              <w:right w:val="single" w:sz="4" w:space="0" w:color="auto"/>
            </w:tcBorders>
            <w:vAlign w:val="center"/>
            <w:hideMark/>
          </w:tcPr>
          <w:p w14:paraId="06E25CBF"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tcBorders>
              <w:top w:val="nil"/>
              <w:left w:val="single" w:sz="4" w:space="0" w:color="auto"/>
              <w:bottom w:val="single" w:sz="4" w:space="0" w:color="auto"/>
              <w:right w:val="single" w:sz="4" w:space="0" w:color="auto"/>
            </w:tcBorders>
            <w:vAlign w:val="center"/>
            <w:hideMark/>
          </w:tcPr>
          <w:p w14:paraId="350CC48F" w14:textId="77777777" w:rsidR="00844D34" w:rsidRPr="00A53AD7" w:rsidRDefault="00844D34" w:rsidP="007042D1">
            <w:pPr>
              <w:spacing w:after="0" w:line="240" w:lineRule="auto"/>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45DD6C2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5A8A0115"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57,44</w:t>
            </w:r>
          </w:p>
        </w:tc>
        <w:tc>
          <w:tcPr>
            <w:tcW w:w="2835" w:type="dxa"/>
            <w:tcBorders>
              <w:top w:val="nil"/>
              <w:left w:val="nil"/>
              <w:bottom w:val="single" w:sz="4" w:space="0" w:color="auto"/>
              <w:right w:val="double" w:sz="4" w:space="0" w:color="auto"/>
            </w:tcBorders>
            <w:shd w:val="clear" w:color="auto" w:fill="auto"/>
            <w:vAlign w:val="center"/>
            <w:hideMark/>
          </w:tcPr>
          <w:p w14:paraId="7B586D5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1,11</w:t>
            </w:r>
          </w:p>
        </w:tc>
      </w:tr>
      <w:tr w:rsidR="00D470B6" w:rsidRPr="00A53AD7" w14:paraId="60CB4A16" w14:textId="77777777" w:rsidTr="00DF1D6B">
        <w:trPr>
          <w:trHeight w:val="312"/>
        </w:trPr>
        <w:tc>
          <w:tcPr>
            <w:tcW w:w="680" w:type="dxa"/>
            <w:vMerge w:val="restart"/>
            <w:tcBorders>
              <w:top w:val="nil"/>
              <w:left w:val="double" w:sz="4" w:space="0" w:color="auto"/>
              <w:bottom w:val="single" w:sz="4" w:space="0" w:color="auto"/>
              <w:right w:val="single" w:sz="4" w:space="0" w:color="auto"/>
            </w:tcBorders>
            <w:shd w:val="clear" w:color="auto" w:fill="auto"/>
            <w:vAlign w:val="center"/>
            <w:hideMark/>
          </w:tcPr>
          <w:p w14:paraId="2BE4D09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3730" w:type="dxa"/>
            <w:gridSpan w:val="2"/>
            <w:tcBorders>
              <w:top w:val="single" w:sz="4" w:space="0" w:color="auto"/>
              <w:left w:val="nil"/>
              <w:bottom w:val="single" w:sz="4" w:space="0" w:color="auto"/>
              <w:right w:val="single" w:sz="4" w:space="0" w:color="auto"/>
            </w:tcBorders>
            <w:shd w:val="clear" w:color="auto" w:fill="auto"/>
            <w:vAlign w:val="center"/>
            <w:hideMark/>
          </w:tcPr>
          <w:p w14:paraId="04222771"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2126" w:type="dxa"/>
            <w:tcBorders>
              <w:top w:val="nil"/>
              <w:left w:val="nil"/>
              <w:bottom w:val="single" w:sz="4" w:space="0" w:color="auto"/>
              <w:right w:val="single" w:sz="4" w:space="0" w:color="auto"/>
            </w:tcBorders>
            <w:shd w:val="clear" w:color="auto" w:fill="auto"/>
            <w:vAlign w:val="center"/>
            <w:hideMark/>
          </w:tcPr>
          <w:p w14:paraId="2D4FC895"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301,05</w:t>
            </w:r>
          </w:p>
        </w:tc>
        <w:tc>
          <w:tcPr>
            <w:tcW w:w="2835" w:type="dxa"/>
            <w:tcBorders>
              <w:top w:val="nil"/>
              <w:left w:val="nil"/>
              <w:bottom w:val="single" w:sz="4" w:space="0" w:color="auto"/>
              <w:right w:val="double" w:sz="4" w:space="0" w:color="auto"/>
            </w:tcBorders>
            <w:shd w:val="clear" w:color="auto" w:fill="auto"/>
            <w:vAlign w:val="center"/>
            <w:hideMark/>
          </w:tcPr>
          <w:p w14:paraId="68CECE40"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6,08</w:t>
            </w:r>
          </w:p>
        </w:tc>
      </w:tr>
      <w:tr w:rsidR="00D470B6" w:rsidRPr="00A53AD7" w14:paraId="4AECFFDF" w14:textId="77777777" w:rsidTr="00DF1D6B">
        <w:trPr>
          <w:trHeight w:val="184"/>
        </w:trPr>
        <w:tc>
          <w:tcPr>
            <w:tcW w:w="680" w:type="dxa"/>
            <w:vMerge/>
            <w:tcBorders>
              <w:top w:val="nil"/>
              <w:left w:val="double" w:sz="4" w:space="0" w:color="auto"/>
              <w:bottom w:val="single" w:sz="4" w:space="0" w:color="auto"/>
              <w:right w:val="single" w:sz="4" w:space="0" w:color="auto"/>
            </w:tcBorders>
            <w:vAlign w:val="center"/>
            <w:hideMark/>
          </w:tcPr>
          <w:p w14:paraId="71E609DA"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val="restart"/>
            <w:tcBorders>
              <w:top w:val="nil"/>
              <w:left w:val="single" w:sz="4" w:space="0" w:color="auto"/>
              <w:bottom w:val="single" w:sz="4" w:space="0" w:color="auto"/>
              <w:right w:val="single" w:sz="4" w:space="0" w:color="auto"/>
            </w:tcBorders>
            <w:shd w:val="clear" w:color="auto" w:fill="auto"/>
            <w:vAlign w:val="center"/>
            <w:hideMark/>
          </w:tcPr>
          <w:p w14:paraId="2114E490"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Котлас</w:t>
            </w:r>
          </w:p>
        </w:tc>
        <w:tc>
          <w:tcPr>
            <w:tcW w:w="993" w:type="dxa"/>
            <w:tcBorders>
              <w:top w:val="nil"/>
              <w:left w:val="nil"/>
              <w:bottom w:val="single" w:sz="4" w:space="0" w:color="auto"/>
              <w:right w:val="single" w:sz="4" w:space="0" w:color="auto"/>
            </w:tcBorders>
            <w:shd w:val="clear" w:color="auto" w:fill="auto"/>
            <w:vAlign w:val="center"/>
            <w:hideMark/>
          </w:tcPr>
          <w:p w14:paraId="39911F3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nil"/>
              <w:bottom w:val="single" w:sz="4" w:space="0" w:color="auto"/>
              <w:right w:val="single" w:sz="4" w:space="0" w:color="auto"/>
            </w:tcBorders>
            <w:shd w:val="clear" w:color="auto" w:fill="auto"/>
            <w:vAlign w:val="center"/>
            <w:hideMark/>
          </w:tcPr>
          <w:p w14:paraId="0F68201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242,11</w:t>
            </w:r>
          </w:p>
        </w:tc>
        <w:tc>
          <w:tcPr>
            <w:tcW w:w="2835" w:type="dxa"/>
            <w:tcBorders>
              <w:top w:val="nil"/>
              <w:left w:val="nil"/>
              <w:bottom w:val="single" w:sz="4" w:space="0" w:color="auto"/>
              <w:right w:val="double" w:sz="4" w:space="0" w:color="auto"/>
            </w:tcBorders>
            <w:shd w:val="clear" w:color="auto" w:fill="auto"/>
            <w:vAlign w:val="center"/>
            <w:hideMark/>
          </w:tcPr>
          <w:p w14:paraId="28A4877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4,94</w:t>
            </w:r>
          </w:p>
        </w:tc>
      </w:tr>
      <w:tr w:rsidR="00D470B6" w:rsidRPr="00A53AD7" w14:paraId="4F3ADD73" w14:textId="77777777" w:rsidTr="00DF1D6B">
        <w:trPr>
          <w:trHeight w:val="265"/>
        </w:trPr>
        <w:tc>
          <w:tcPr>
            <w:tcW w:w="680" w:type="dxa"/>
            <w:vMerge/>
            <w:tcBorders>
              <w:top w:val="nil"/>
              <w:left w:val="double" w:sz="4" w:space="0" w:color="auto"/>
              <w:bottom w:val="single" w:sz="4" w:space="0" w:color="auto"/>
              <w:right w:val="single" w:sz="4" w:space="0" w:color="auto"/>
            </w:tcBorders>
            <w:vAlign w:val="center"/>
            <w:hideMark/>
          </w:tcPr>
          <w:p w14:paraId="0120F797"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tcBorders>
              <w:top w:val="nil"/>
              <w:left w:val="single" w:sz="4" w:space="0" w:color="auto"/>
              <w:bottom w:val="single" w:sz="4" w:space="0" w:color="auto"/>
              <w:right w:val="single" w:sz="4" w:space="0" w:color="auto"/>
            </w:tcBorders>
            <w:vAlign w:val="center"/>
            <w:hideMark/>
          </w:tcPr>
          <w:p w14:paraId="68C70CB5" w14:textId="77777777" w:rsidR="00844D34" w:rsidRPr="00A53AD7" w:rsidRDefault="00844D34" w:rsidP="007042D1">
            <w:pPr>
              <w:spacing w:after="0" w:line="240" w:lineRule="auto"/>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373F661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163BE8E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58,94</w:t>
            </w:r>
          </w:p>
        </w:tc>
        <w:tc>
          <w:tcPr>
            <w:tcW w:w="2835" w:type="dxa"/>
            <w:tcBorders>
              <w:top w:val="nil"/>
              <w:left w:val="nil"/>
              <w:bottom w:val="single" w:sz="4" w:space="0" w:color="auto"/>
              <w:right w:val="double" w:sz="4" w:space="0" w:color="auto"/>
            </w:tcBorders>
            <w:shd w:val="clear" w:color="auto" w:fill="auto"/>
            <w:vAlign w:val="center"/>
            <w:hideMark/>
          </w:tcPr>
          <w:p w14:paraId="1362C56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1,14</w:t>
            </w:r>
          </w:p>
        </w:tc>
      </w:tr>
      <w:tr w:rsidR="00D470B6" w:rsidRPr="00A53AD7" w14:paraId="13296D85" w14:textId="77777777" w:rsidTr="00DF1D6B">
        <w:trPr>
          <w:trHeight w:val="312"/>
        </w:trPr>
        <w:tc>
          <w:tcPr>
            <w:tcW w:w="680" w:type="dxa"/>
            <w:vMerge w:val="restart"/>
            <w:tcBorders>
              <w:top w:val="nil"/>
              <w:left w:val="double" w:sz="4" w:space="0" w:color="auto"/>
              <w:bottom w:val="single" w:sz="4" w:space="0" w:color="auto"/>
              <w:right w:val="single" w:sz="4" w:space="0" w:color="auto"/>
            </w:tcBorders>
            <w:shd w:val="clear" w:color="auto" w:fill="auto"/>
            <w:vAlign w:val="center"/>
            <w:hideMark/>
          </w:tcPr>
          <w:p w14:paraId="204E5BF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3730" w:type="dxa"/>
            <w:gridSpan w:val="2"/>
            <w:tcBorders>
              <w:top w:val="single" w:sz="4" w:space="0" w:color="auto"/>
              <w:left w:val="nil"/>
              <w:bottom w:val="single" w:sz="4" w:space="0" w:color="auto"/>
              <w:right w:val="single" w:sz="4" w:space="0" w:color="auto"/>
            </w:tcBorders>
            <w:shd w:val="clear" w:color="auto" w:fill="auto"/>
            <w:vAlign w:val="center"/>
            <w:hideMark/>
          </w:tcPr>
          <w:p w14:paraId="792C0998"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2126" w:type="dxa"/>
            <w:tcBorders>
              <w:top w:val="nil"/>
              <w:left w:val="nil"/>
              <w:bottom w:val="single" w:sz="4" w:space="0" w:color="auto"/>
              <w:right w:val="single" w:sz="4" w:space="0" w:color="auto"/>
            </w:tcBorders>
            <w:shd w:val="clear" w:color="auto" w:fill="auto"/>
            <w:vAlign w:val="center"/>
            <w:hideMark/>
          </w:tcPr>
          <w:p w14:paraId="297902C2"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415,80</w:t>
            </w:r>
          </w:p>
        </w:tc>
        <w:tc>
          <w:tcPr>
            <w:tcW w:w="2835" w:type="dxa"/>
            <w:tcBorders>
              <w:top w:val="nil"/>
              <w:left w:val="nil"/>
              <w:bottom w:val="single" w:sz="4" w:space="0" w:color="auto"/>
              <w:right w:val="double" w:sz="4" w:space="0" w:color="auto"/>
            </w:tcBorders>
            <w:shd w:val="clear" w:color="auto" w:fill="auto"/>
            <w:vAlign w:val="center"/>
            <w:hideMark/>
          </w:tcPr>
          <w:p w14:paraId="226B8DB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8,46</w:t>
            </w:r>
          </w:p>
        </w:tc>
      </w:tr>
      <w:tr w:rsidR="00D470B6" w:rsidRPr="00A53AD7" w14:paraId="5A824245" w14:textId="77777777" w:rsidTr="00DF1D6B">
        <w:trPr>
          <w:trHeight w:val="286"/>
        </w:trPr>
        <w:tc>
          <w:tcPr>
            <w:tcW w:w="680" w:type="dxa"/>
            <w:vMerge/>
            <w:tcBorders>
              <w:top w:val="nil"/>
              <w:left w:val="double" w:sz="4" w:space="0" w:color="auto"/>
              <w:bottom w:val="single" w:sz="4" w:space="0" w:color="auto"/>
              <w:right w:val="single" w:sz="4" w:space="0" w:color="auto"/>
            </w:tcBorders>
            <w:vAlign w:val="center"/>
            <w:hideMark/>
          </w:tcPr>
          <w:p w14:paraId="375B4356"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val="restart"/>
            <w:tcBorders>
              <w:top w:val="nil"/>
              <w:left w:val="single" w:sz="4" w:space="0" w:color="auto"/>
              <w:bottom w:val="single" w:sz="4" w:space="0" w:color="auto"/>
              <w:right w:val="single" w:sz="4" w:space="0" w:color="auto"/>
            </w:tcBorders>
            <w:shd w:val="clear" w:color="auto" w:fill="auto"/>
            <w:vAlign w:val="center"/>
            <w:hideMark/>
          </w:tcPr>
          <w:p w14:paraId="433300AD"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Северодвинск</w:t>
            </w:r>
          </w:p>
        </w:tc>
        <w:tc>
          <w:tcPr>
            <w:tcW w:w="993" w:type="dxa"/>
            <w:tcBorders>
              <w:top w:val="nil"/>
              <w:left w:val="nil"/>
              <w:bottom w:val="single" w:sz="4" w:space="0" w:color="auto"/>
              <w:right w:val="single" w:sz="4" w:space="0" w:color="auto"/>
            </w:tcBorders>
            <w:shd w:val="clear" w:color="auto" w:fill="auto"/>
            <w:vAlign w:val="center"/>
            <w:hideMark/>
          </w:tcPr>
          <w:p w14:paraId="16ADBCC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nil"/>
              <w:bottom w:val="single" w:sz="4" w:space="0" w:color="auto"/>
              <w:right w:val="single" w:sz="4" w:space="0" w:color="auto"/>
            </w:tcBorders>
            <w:shd w:val="clear" w:color="auto" w:fill="auto"/>
            <w:vAlign w:val="center"/>
            <w:hideMark/>
          </w:tcPr>
          <w:p w14:paraId="2230B0A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393,40</w:t>
            </w:r>
          </w:p>
        </w:tc>
        <w:tc>
          <w:tcPr>
            <w:tcW w:w="2835" w:type="dxa"/>
            <w:tcBorders>
              <w:top w:val="nil"/>
              <w:left w:val="nil"/>
              <w:bottom w:val="single" w:sz="4" w:space="0" w:color="auto"/>
              <w:right w:val="double" w:sz="4" w:space="0" w:color="auto"/>
            </w:tcBorders>
            <w:shd w:val="clear" w:color="auto" w:fill="auto"/>
            <w:vAlign w:val="center"/>
            <w:hideMark/>
          </w:tcPr>
          <w:p w14:paraId="40F6E37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8,03</w:t>
            </w:r>
          </w:p>
        </w:tc>
      </w:tr>
      <w:tr w:rsidR="00D470B6" w:rsidRPr="00A53AD7" w14:paraId="2F2B69DC" w14:textId="77777777" w:rsidTr="00DF1D6B">
        <w:trPr>
          <w:trHeight w:val="286"/>
        </w:trPr>
        <w:tc>
          <w:tcPr>
            <w:tcW w:w="680" w:type="dxa"/>
            <w:vMerge/>
            <w:tcBorders>
              <w:top w:val="nil"/>
              <w:left w:val="double" w:sz="4" w:space="0" w:color="auto"/>
              <w:bottom w:val="single" w:sz="4" w:space="0" w:color="auto"/>
              <w:right w:val="single" w:sz="4" w:space="0" w:color="auto"/>
            </w:tcBorders>
            <w:vAlign w:val="center"/>
            <w:hideMark/>
          </w:tcPr>
          <w:p w14:paraId="523547AD" w14:textId="77777777" w:rsidR="00844D34" w:rsidRPr="00A53AD7" w:rsidRDefault="00844D34" w:rsidP="007042D1">
            <w:pPr>
              <w:spacing w:after="0" w:line="240" w:lineRule="auto"/>
              <w:rPr>
                <w:rFonts w:ascii="Times New Roman" w:eastAsia="Times New Roman" w:hAnsi="Times New Roman"/>
                <w:lang w:eastAsia="ru-RU"/>
              </w:rPr>
            </w:pPr>
          </w:p>
        </w:tc>
        <w:tc>
          <w:tcPr>
            <w:tcW w:w="2737" w:type="dxa"/>
            <w:vMerge/>
            <w:tcBorders>
              <w:top w:val="nil"/>
              <w:left w:val="single" w:sz="4" w:space="0" w:color="auto"/>
              <w:bottom w:val="single" w:sz="4" w:space="0" w:color="auto"/>
              <w:right w:val="single" w:sz="4" w:space="0" w:color="auto"/>
            </w:tcBorders>
            <w:vAlign w:val="center"/>
            <w:hideMark/>
          </w:tcPr>
          <w:p w14:paraId="610BA64A" w14:textId="77777777" w:rsidR="00844D34" w:rsidRPr="00A53AD7" w:rsidRDefault="00844D34" w:rsidP="007042D1">
            <w:pPr>
              <w:spacing w:after="0" w:line="240" w:lineRule="auto"/>
              <w:rPr>
                <w:rFonts w:ascii="Times New Roman" w:eastAsia="Times New Roman" w:hAnsi="Times New Roman"/>
                <w:lang w:eastAsia="ru-RU"/>
              </w:rPr>
            </w:pPr>
          </w:p>
        </w:tc>
        <w:tc>
          <w:tcPr>
            <w:tcW w:w="993" w:type="dxa"/>
            <w:tcBorders>
              <w:top w:val="nil"/>
              <w:left w:val="nil"/>
              <w:bottom w:val="single" w:sz="4" w:space="0" w:color="auto"/>
              <w:right w:val="single" w:sz="4" w:space="0" w:color="auto"/>
            </w:tcBorders>
            <w:shd w:val="clear" w:color="auto" w:fill="auto"/>
            <w:vAlign w:val="center"/>
            <w:hideMark/>
          </w:tcPr>
          <w:p w14:paraId="16F75B0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023</w:t>
            </w:r>
          </w:p>
        </w:tc>
        <w:tc>
          <w:tcPr>
            <w:tcW w:w="2126" w:type="dxa"/>
            <w:tcBorders>
              <w:top w:val="nil"/>
              <w:left w:val="nil"/>
              <w:bottom w:val="single" w:sz="4" w:space="0" w:color="auto"/>
              <w:right w:val="single" w:sz="4" w:space="0" w:color="auto"/>
            </w:tcBorders>
            <w:shd w:val="clear" w:color="auto" w:fill="auto"/>
            <w:vAlign w:val="center"/>
            <w:hideMark/>
          </w:tcPr>
          <w:p w14:paraId="2A6C9FF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22,40</w:t>
            </w:r>
          </w:p>
        </w:tc>
        <w:tc>
          <w:tcPr>
            <w:tcW w:w="2835" w:type="dxa"/>
            <w:tcBorders>
              <w:top w:val="nil"/>
              <w:left w:val="nil"/>
              <w:bottom w:val="single" w:sz="4" w:space="0" w:color="auto"/>
              <w:right w:val="double" w:sz="4" w:space="0" w:color="auto"/>
            </w:tcBorders>
            <w:shd w:val="clear" w:color="auto" w:fill="auto"/>
            <w:vAlign w:val="center"/>
            <w:hideMark/>
          </w:tcPr>
          <w:p w14:paraId="2442BBC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0,43</w:t>
            </w:r>
          </w:p>
        </w:tc>
      </w:tr>
      <w:tr w:rsidR="00D470B6" w:rsidRPr="00A53AD7" w14:paraId="1254B8B7"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2F88F437"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2737" w:type="dxa"/>
            <w:tcBorders>
              <w:top w:val="nil"/>
              <w:left w:val="nil"/>
              <w:bottom w:val="single" w:sz="4" w:space="0" w:color="auto"/>
              <w:right w:val="single" w:sz="4" w:space="0" w:color="auto"/>
            </w:tcBorders>
            <w:shd w:val="clear" w:color="auto" w:fill="auto"/>
            <w:vAlign w:val="center"/>
            <w:hideMark/>
          </w:tcPr>
          <w:p w14:paraId="340DACE9" w14:textId="3B9A27EF"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Вилегодский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0BAF32B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5B38BE8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85,18</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2AF19E5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1,74</w:t>
            </w:r>
          </w:p>
        </w:tc>
      </w:tr>
      <w:tr w:rsidR="00D470B6" w:rsidRPr="00A53AD7" w14:paraId="695379BF"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573F0C0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w:t>
            </w:r>
          </w:p>
        </w:tc>
        <w:tc>
          <w:tcPr>
            <w:tcW w:w="2737" w:type="dxa"/>
            <w:tcBorders>
              <w:top w:val="nil"/>
              <w:left w:val="nil"/>
              <w:bottom w:val="single" w:sz="4" w:space="0" w:color="auto"/>
              <w:right w:val="single" w:sz="4" w:space="0" w:color="auto"/>
            </w:tcBorders>
            <w:shd w:val="clear" w:color="auto" w:fill="auto"/>
            <w:vAlign w:val="center"/>
            <w:hideMark/>
          </w:tcPr>
          <w:p w14:paraId="28BDA105" w14:textId="66B8E563"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Виноградовский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0DD6F7F0"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023</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0AF271B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19,11</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1201C79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0,37</w:t>
            </w:r>
          </w:p>
        </w:tc>
      </w:tr>
      <w:tr w:rsidR="00D470B6" w:rsidRPr="00A53AD7" w14:paraId="16CAA9CB"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4272789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c>
          <w:tcPr>
            <w:tcW w:w="2737" w:type="dxa"/>
            <w:tcBorders>
              <w:top w:val="nil"/>
              <w:left w:val="nil"/>
              <w:bottom w:val="single" w:sz="4" w:space="0" w:color="auto"/>
              <w:right w:val="single" w:sz="4" w:space="0" w:color="auto"/>
            </w:tcBorders>
            <w:shd w:val="clear" w:color="auto" w:fill="auto"/>
            <w:vAlign w:val="center"/>
            <w:hideMark/>
          </w:tcPr>
          <w:p w14:paraId="3C8826E5" w14:textId="1795C0CA"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Красноборский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4E48FF5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6177EEB7"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134,66</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510DBAF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7,69</w:t>
            </w:r>
          </w:p>
        </w:tc>
      </w:tr>
      <w:tr w:rsidR="00D470B6" w:rsidRPr="00A53AD7" w14:paraId="35F2CFD0"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77E0813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7</w:t>
            </w:r>
          </w:p>
        </w:tc>
        <w:tc>
          <w:tcPr>
            <w:tcW w:w="2737" w:type="dxa"/>
            <w:tcBorders>
              <w:top w:val="nil"/>
              <w:left w:val="nil"/>
              <w:bottom w:val="single" w:sz="4" w:space="0" w:color="auto"/>
              <w:right w:val="single" w:sz="4" w:space="0" w:color="auto"/>
            </w:tcBorders>
            <w:shd w:val="clear" w:color="auto" w:fill="auto"/>
            <w:vAlign w:val="center"/>
            <w:hideMark/>
          </w:tcPr>
          <w:p w14:paraId="7ACA558C" w14:textId="2FF02A72"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Приморский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3F40E727"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37F0906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5,49</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22E13D2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0,63</w:t>
            </w:r>
          </w:p>
        </w:tc>
      </w:tr>
      <w:tr w:rsidR="00D470B6" w:rsidRPr="00A53AD7" w14:paraId="779264A5"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3F1B3A9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8</w:t>
            </w:r>
          </w:p>
        </w:tc>
        <w:tc>
          <w:tcPr>
            <w:tcW w:w="2737" w:type="dxa"/>
            <w:tcBorders>
              <w:top w:val="nil"/>
              <w:left w:val="nil"/>
              <w:bottom w:val="single" w:sz="4" w:space="0" w:color="auto"/>
              <w:right w:val="single" w:sz="4" w:space="0" w:color="auto"/>
            </w:tcBorders>
            <w:shd w:val="clear" w:color="auto" w:fill="auto"/>
            <w:vAlign w:val="center"/>
            <w:hideMark/>
          </w:tcPr>
          <w:p w14:paraId="12A2F558" w14:textId="2DA1CC32"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Устьянский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10AADF9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064FE37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249,55</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41D7317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9,50</w:t>
            </w:r>
          </w:p>
        </w:tc>
      </w:tr>
      <w:tr w:rsidR="00D470B6" w:rsidRPr="00A53AD7" w14:paraId="440F340C"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462BFEC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9</w:t>
            </w:r>
          </w:p>
        </w:tc>
        <w:tc>
          <w:tcPr>
            <w:tcW w:w="2737" w:type="dxa"/>
            <w:tcBorders>
              <w:top w:val="nil"/>
              <w:left w:val="nil"/>
              <w:bottom w:val="single" w:sz="4" w:space="0" w:color="auto"/>
              <w:right w:val="single" w:sz="4" w:space="0" w:color="auto"/>
            </w:tcBorders>
            <w:shd w:val="clear" w:color="auto" w:fill="auto"/>
            <w:vAlign w:val="center"/>
            <w:hideMark/>
          </w:tcPr>
          <w:p w14:paraId="20DA2DC7" w14:textId="6D8E70ED"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Холмогорский</w:t>
            </w:r>
            <w:r w:rsidR="005915D8" w:rsidRPr="00A53AD7">
              <w:rPr>
                <w:rFonts w:ascii="Times New Roman" w:eastAsia="Times New Roman" w:hAnsi="Times New Roman"/>
                <w:lang w:eastAsia="ru-RU"/>
              </w:rPr>
              <w:t xml:space="preserve"> </w:t>
            </w:r>
            <w:r w:rsidRPr="00A53AD7">
              <w:rPr>
                <w:rFonts w:ascii="Times New Roman" w:eastAsia="Times New Roman" w:hAnsi="Times New Roman"/>
                <w:lang w:eastAsia="ru-RU"/>
              </w:rPr>
              <w:t>район</w:t>
            </w:r>
          </w:p>
        </w:tc>
        <w:tc>
          <w:tcPr>
            <w:tcW w:w="993" w:type="dxa"/>
            <w:tcBorders>
              <w:top w:val="nil"/>
              <w:left w:val="single" w:sz="4" w:space="0" w:color="auto"/>
              <w:bottom w:val="single" w:sz="4" w:space="0" w:color="auto"/>
              <w:right w:val="single" w:sz="4" w:space="0" w:color="auto"/>
            </w:tcBorders>
            <w:shd w:val="clear" w:color="auto" w:fill="auto"/>
            <w:vAlign w:val="center"/>
            <w:hideMark/>
          </w:tcPr>
          <w:p w14:paraId="6D1AED1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14:paraId="3D06048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54,94</w:t>
            </w:r>
          </w:p>
        </w:tc>
        <w:tc>
          <w:tcPr>
            <w:tcW w:w="2835" w:type="dxa"/>
            <w:tcBorders>
              <w:top w:val="nil"/>
              <w:left w:val="single" w:sz="4" w:space="0" w:color="auto"/>
              <w:bottom w:val="single" w:sz="4" w:space="0" w:color="auto"/>
              <w:right w:val="double" w:sz="4" w:space="0" w:color="auto"/>
            </w:tcBorders>
            <w:shd w:val="clear" w:color="auto" w:fill="auto"/>
            <w:vAlign w:val="center"/>
            <w:hideMark/>
          </w:tcPr>
          <w:p w14:paraId="2AE8E7B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1,12</w:t>
            </w:r>
          </w:p>
        </w:tc>
      </w:tr>
      <w:tr w:rsidR="00D470B6" w:rsidRPr="00A53AD7" w14:paraId="77C64E97" w14:textId="77777777" w:rsidTr="00DF1D6B">
        <w:trPr>
          <w:trHeight w:val="312"/>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164C89E7"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2737" w:type="dxa"/>
            <w:tcBorders>
              <w:top w:val="nil"/>
              <w:left w:val="nil"/>
              <w:bottom w:val="single" w:sz="4" w:space="0" w:color="auto"/>
              <w:right w:val="single" w:sz="4" w:space="0" w:color="auto"/>
            </w:tcBorders>
            <w:shd w:val="clear" w:color="auto" w:fill="auto"/>
            <w:vAlign w:val="center"/>
            <w:hideMark/>
          </w:tcPr>
          <w:p w14:paraId="115318B8"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Всего, в том числе:</w:t>
            </w:r>
          </w:p>
        </w:tc>
        <w:tc>
          <w:tcPr>
            <w:tcW w:w="993" w:type="dxa"/>
            <w:tcBorders>
              <w:top w:val="nil"/>
              <w:left w:val="nil"/>
              <w:bottom w:val="single" w:sz="4" w:space="0" w:color="auto"/>
              <w:right w:val="single" w:sz="4" w:space="0" w:color="auto"/>
            </w:tcBorders>
            <w:shd w:val="clear" w:color="auto" w:fill="auto"/>
            <w:vAlign w:val="center"/>
            <w:hideMark/>
          </w:tcPr>
          <w:p w14:paraId="3BE80E5B" w14:textId="77777777" w:rsidR="00844D34" w:rsidRPr="00A53AD7" w:rsidRDefault="00844D34" w:rsidP="007042D1">
            <w:pPr>
              <w:spacing w:after="0" w:line="240" w:lineRule="auto"/>
              <w:rPr>
                <w:rFonts w:ascii="Times New Roman" w:eastAsia="Times New Roman" w:hAnsi="Times New Roman"/>
                <w:lang w:eastAsia="ru-RU"/>
              </w:rPr>
            </w:pPr>
          </w:p>
        </w:tc>
        <w:tc>
          <w:tcPr>
            <w:tcW w:w="2126" w:type="dxa"/>
            <w:tcBorders>
              <w:top w:val="nil"/>
              <w:left w:val="nil"/>
              <w:bottom w:val="single" w:sz="4" w:space="0" w:color="auto"/>
              <w:right w:val="single" w:sz="4" w:space="0" w:color="auto"/>
            </w:tcBorders>
            <w:shd w:val="clear" w:color="auto" w:fill="auto"/>
            <w:vAlign w:val="center"/>
            <w:hideMark/>
          </w:tcPr>
          <w:p w14:paraId="507B85C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1 758,63</w:t>
            </w:r>
          </w:p>
        </w:tc>
        <w:tc>
          <w:tcPr>
            <w:tcW w:w="2835" w:type="dxa"/>
            <w:tcBorders>
              <w:top w:val="nil"/>
              <w:left w:val="nil"/>
              <w:bottom w:val="single" w:sz="4" w:space="0" w:color="auto"/>
              <w:right w:val="double" w:sz="4" w:space="0" w:color="auto"/>
            </w:tcBorders>
            <w:shd w:val="clear" w:color="auto" w:fill="auto"/>
            <w:vAlign w:val="center"/>
            <w:hideMark/>
          </w:tcPr>
          <w:p w14:paraId="2DC849D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56,97</w:t>
            </w:r>
          </w:p>
        </w:tc>
      </w:tr>
      <w:tr w:rsidR="00D470B6" w:rsidRPr="00A53AD7" w14:paraId="1AC9F7D3" w14:textId="77777777" w:rsidTr="00DF1D6B">
        <w:trPr>
          <w:trHeight w:val="323"/>
        </w:trPr>
        <w:tc>
          <w:tcPr>
            <w:tcW w:w="680" w:type="dxa"/>
            <w:tcBorders>
              <w:top w:val="nil"/>
              <w:left w:val="double" w:sz="4" w:space="0" w:color="auto"/>
              <w:bottom w:val="single" w:sz="4" w:space="0" w:color="auto"/>
              <w:right w:val="single" w:sz="4" w:space="0" w:color="auto"/>
            </w:tcBorders>
            <w:shd w:val="clear" w:color="auto" w:fill="auto"/>
            <w:vAlign w:val="center"/>
            <w:hideMark/>
          </w:tcPr>
          <w:p w14:paraId="0DC1F69D"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2737" w:type="dxa"/>
            <w:tcBorders>
              <w:top w:val="nil"/>
              <w:left w:val="nil"/>
              <w:bottom w:val="single" w:sz="4" w:space="0" w:color="auto"/>
              <w:right w:val="single" w:sz="4" w:space="0" w:color="auto"/>
            </w:tcBorders>
            <w:shd w:val="clear" w:color="auto" w:fill="auto"/>
            <w:vAlign w:val="center"/>
            <w:hideMark/>
          </w:tcPr>
          <w:p w14:paraId="651E8CF8" w14:textId="77777777" w:rsidR="00844D34" w:rsidRPr="00A53AD7" w:rsidRDefault="00844D34" w:rsidP="007042D1">
            <w:pPr>
              <w:spacing w:after="0" w:line="240" w:lineRule="auto"/>
              <w:rPr>
                <w:rFonts w:ascii="Times New Roman" w:eastAsia="Times New Roman" w:hAnsi="Times New Roman"/>
                <w:i/>
                <w:lang w:eastAsia="ru-RU"/>
              </w:rPr>
            </w:pPr>
            <w:r w:rsidRPr="00A53AD7">
              <w:rPr>
                <w:rFonts w:ascii="Times New Roman" w:eastAsia="Times New Roman" w:hAnsi="Times New Roman"/>
                <w:i/>
                <w:lang w:eastAsia="ru-RU"/>
              </w:rPr>
              <w:t> Минстрой АО</w:t>
            </w:r>
          </w:p>
        </w:tc>
        <w:tc>
          <w:tcPr>
            <w:tcW w:w="993" w:type="dxa"/>
            <w:tcBorders>
              <w:top w:val="nil"/>
              <w:left w:val="nil"/>
              <w:bottom w:val="single" w:sz="4" w:space="0" w:color="auto"/>
              <w:right w:val="single" w:sz="4" w:space="0" w:color="auto"/>
            </w:tcBorders>
            <w:shd w:val="clear" w:color="auto" w:fill="auto"/>
            <w:vAlign w:val="center"/>
            <w:hideMark/>
          </w:tcPr>
          <w:p w14:paraId="6012FF2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019</w:t>
            </w:r>
          </w:p>
        </w:tc>
        <w:tc>
          <w:tcPr>
            <w:tcW w:w="2126" w:type="dxa"/>
            <w:tcBorders>
              <w:top w:val="nil"/>
              <w:left w:val="nil"/>
              <w:bottom w:val="single" w:sz="4" w:space="0" w:color="auto"/>
              <w:right w:val="single" w:sz="4" w:space="0" w:color="auto"/>
            </w:tcBorders>
            <w:shd w:val="clear" w:color="auto" w:fill="auto"/>
            <w:vAlign w:val="center"/>
            <w:hideMark/>
          </w:tcPr>
          <w:p w14:paraId="53D44F9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1 600,75</w:t>
            </w:r>
          </w:p>
        </w:tc>
        <w:tc>
          <w:tcPr>
            <w:tcW w:w="2835" w:type="dxa"/>
            <w:tcBorders>
              <w:top w:val="nil"/>
              <w:left w:val="nil"/>
              <w:bottom w:val="single" w:sz="4" w:space="0" w:color="auto"/>
              <w:right w:val="double" w:sz="4" w:space="0" w:color="auto"/>
            </w:tcBorders>
            <w:shd w:val="clear" w:color="auto" w:fill="auto"/>
            <w:vAlign w:val="center"/>
            <w:hideMark/>
          </w:tcPr>
          <w:p w14:paraId="12FD4EF0"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53,91</w:t>
            </w:r>
          </w:p>
        </w:tc>
      </w:tr>
      <w:tr w:rsidR="00844D34" w:rsidRPr="00A53AD7" w14:paraId="5B657A67" w14:textId="77777777" w:rsidTr="00DF1D6B">
        <w:trPr>
          <w:trHeight w:val="300"/>
        </w:trPr>
        <w:tc>
          <w:tcPr>
            <w:tcW w:w="680" w:type="dxa"/>
            <w:tcBorders>
              <w:top w:val="nil"/>
              <w:left w:val="double" w:sz="4" w:space="0" w:color="auto"/>
              <w:bottom w:val="double" w:sz="4" w:space="0" w:color="auto"/>
              <w:right w:val="single" w:sz="4" w:space="0" w:color="auto"/>
            </w:tcBorders>
            <w:shd w:val="clear" w:color="auto" w:fill="auto"/>
            <w:vAlign w:val="center"/>
            <w:hideMark/>
          </w:tcPr>
          <w:p w14:paraId="51351AB0"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2737" w:type="dxa"/>
            <w:tcBorders>
              <w:top w:val="nil"/>
              <w:left w:val="nil"/>
              <w:bottom w:val="double" w:sz="4" w:space="0" w:color="auto"/>
              <w:right w:val="single" w:sz="4" w:space="0" w:color="auto"/>
            </w:tcBorders>
            <w:shd w:val="clear" w:color="auto" w:fill="auto"/>
            <w:vAlign w:val="center"/>
            <w:hideMark/>
          </w:tcPr>
          <w:p w14:paraId="7D4DC540" w14:textId="77777777" w:rsidR="00844D34" w:rsidRPr="00A53AD7" w:rsidRDefault="00844D34" w:rsidP="007042D1">
            <w:pPr>
              <w:spacing w:after="0" w:line="240" w:lineRule="auto"/>
              <w:rPr>
                <w:rFonts w:ascii="Times New Roman" w:eastAsia="Times New Roman" w:hAnsi="Times New Roman"/>
                <w:i/>
                <w:lang w:eastAsia="ru-RU"/>
              </w:rPr>
            </w:pPr>
            <w:r w:rsidRPr="00A53AD7">
              <w:rPr>
                <w:rFonts w:ascii="Times New Roman" w:eastAsia="Times New Roman" w:hAnsi="Times New Roman"/>
                <w:i/>
                <w:lang w:eastAsia="ru-RU"/>
              </w:rPr>
              <w:t> МинТЭК и ЖКХ АО</w:t>
            </w:r>
          </w:p>
        </w:tc>
        <w:tc>
          <w:tcPr>
            <w:tcW w:w="993" w:type="dxa"/>
            <w:tcBorders>
              <w:top w:val="nil"/>
              <w:left w:val="nil"/>
              <w:bottom w:val="double" w:sz="4" w:space="0" w:color="auto"/>
              <w:right w:val="single" w:sz="4" w:space="0" w:color="auto"/>
            </w:tcBorders>
            <w:shd w:val="clear" w:color="auto" w:fill="auto"/>
            <w:vAlign w:val="center"/>
            <w:hideMark/>
          </w:tcPr>
          <w:p w14:paraId="2B9516FF"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023</w:t>
            </w:r>
          </w:p>
        </w:tc>
        <w:tc>
          <w:tcPr>
            <w:tcW w:w="2126" w:type="dxa"/>
            <w:tcBorders>
              <w:top w:val="nil"/>
              <w:left w:val="nil"/>
              <w:bottom w:val="double" w:sz="4" w:space="0" w:color="auto"/>
              <w:right w:val="single" w:sz="4" w:space="0" w:color="auto"/>
            </w:tcBorders>
            <w:shd w:val="clear" w:color="auto" w:fill="auto"/>
            <w:vAlign w:val="center"/>
            <w:hideMark/>
          </w:tcPr>
          <w:p w14:paraId="119FFA1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157,88</w:t>
            </w:r>
          </w:p>
        </w:tc>
        <w:tc>
          <w:tcPr>
            <w:tcW w:w="2835" w:type="dxa"/>
            <w:tcBorders>
              <w:top w:val="nil"/>
              <w:left w:val="nil"/>
              <w:bottom w:val="double" w:sz="4" w:space="0" w:color="auto"/>
              <w:right w:val="double" w:sz="4" w:space="0" w:color="auto"/>
            </w:tcBorders>
            <w:shd w:val="clear" w:color="auto" w:fill="auto"/>
            <w:vAlign w:val="center"/>
            <w:hideMark/>
          </w:tcPr>
          <w:p w14:paraId="414A532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3,06</w:t>
            </w:r>
          </w:p>
        </w:tc>
      </w:tr>
    </w:tbl>
    <w:p w14:paraId="5F159CD4" w14:textId="77777777" w:rsidR="00844D34" w:rsidRPr="00A53AD7" w:rsidRDefault="00844D34" w:rsidP="00DF1D6B">
      <w:pPr>
        <w:spacing w:after="0" w:line="240" w:lineRule="auto"/>
        <w:ind w:firstLine="851"/>
        <w:jc w:val="both"/>
        <w:rPr>
          <w:rFonts w:ascii="Times New Roman" w:hAnsi="Times New Roman"/>
          <w:sz w:val="28"/>
          <w:szCs w:val="28"/>
        </w:rPr>
      </w:pPr>
    </w:p>
    <w:p w14:paraId="5B2E61EE"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Архангельской областью и государственной корпорацией - Фонд содействия и реформирования ЖКХ (далее – Фонд) заключен Договор от 25.04.2019 года №21/пс о предоставлении и использовании финансовой поддержки за счет средств Фонда на переселение граждан из аварийного жилищного фонда (далее Договор от 25.04.2019).</w:t>
      </w:r>
    </w:p>
    <w:p w14:paraId="1D6FDD67"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паспортом РП «Обеспечение устойчивого сокращения непригодного для проживания жилищного фонда» (с изменениями, утвержденными от 31.10.2019 г.):</w:t>
      </w:r>
    </w:p>
    <w:p w14:paraId="678D6825"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а) сроки реализации 01.01.2019-31.12.2024;</w:t>
      </w:r>
    </w:p>
    <w:p w14:paraId="7BA0A623" w14:textId="5B558106"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б) цели и показатели РП на 2019 год:</w:t>
      </w:r>
    </w:p>
    <w:tbl>
      <w:tblPr>
        <w:tblStyle w:val="a7"/>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396"/>
        <w:gridCol w:w="1820"/>
      </w:tblGrid>
      <w:tr w:rsidR="00D470B6" w:rsidRPr="00A53AD7" w14:paraId="6D37B26D" w14:textId="77777777" w:rsidTr="00DF1D6B">
        <w:tc>
          <w:tcPr>
            <w:tcW w:w="7513" w:type="dxa"/>
            <w:vAlign w:val="center"/>
          </w:tcPr>
          <w:p w14:paraId="5D1294EF" w14:textId="77777777" w:rsidR="00844D34" w:rsidRPr="00A53AD7" w:rsidRDefault="00844D34" w:rsidP="00DF1D6B">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Наименование показателя</w:t>
            </w:r>
          </w:p>
        </w:tc>
        <w:tc>
          <w:tcPr>
            <w:tcW w:w="1843" w:type="dxa"/>
            <w:vAlign w:val="center"/>
          </w:tcPr>
          <w:p w14:paraId="2CE8775B"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2019</w:t>
            </w:r>
          </w:p>
        </w:tc>
      </w:tr>
      <w:tr w:rsidR="00D470B6" w:rsidRPr="00A53AD7" w14:paraId="69C18429" w14:textId="77777777" w:rsidTr="00DF1D6B">
        <w:trPr>
          <w:trHeight w:val="259"/>
        </w:trPr>
        <w:tc>
          <w:tcPr>
            <w:tcW w:w="7513" w:type="dxa"/>
            <w:vAlign w:val="center"/>
          </w:tcPr>
          <w:p w14:paraId="0CC4EDAC" w14:textId="77777777" w:rsidR="00844D34" w:rsidRPr="00A53AD7" w:rsidRDefault="00844D34" w:rsidP="00DF1D6B">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количество кв.м. расселения аварийного фонда, тыс.кв.м.</w:t>
            </w:r>
          </w:p>
        </w:tc>
        <w:tc>
          <w:tcPr>
            <w:tcW w:w="1843" w:type="dxa"/>
            <w:vAlign w:val="center"/>
          </w:tcPr>
          <w:p w14:paraId="79DE8C83"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5,43</w:t>
            </w:r>
          </w:p>
        </w:tc>
      </w:tr>
      <w:tr w:rsidR="00844D34" w:rsidRPr="00A53AD7" w14:paraId="5BE2E9CC" w14:textId="77777777" w:rsidTr="00DF1D6B">
        <w:tc>
          <w:tcPr>
            <w:tcW w:w="7513" w:type="dxa"/>
            <w:vAlign w:val="center"/>
          </w:tcPr>
          <w:p w14:paraId="3FF7FB6D" w14:textId="77777777" w:rsidR="00844D34" w:rsidRPr="00A53AD7" w:rsidRDefault="00844D34" w:rsidP="00DF1D6B">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количество расселенных граждан, тыс. чел.</w:t>
            </w:r>
          </w:p>
        </w:tc>
        <w:tc>
          <w:tcPr>
            <w:tcW w:w="1843" w:type="dxa"/>
            <w:vAlign w:val="center"/>
          </w:tcPr>
          <w:p w14:paraId="277558F8"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0,32</w:t>
            </w:r>
          </w:p>
        </w:tc>
      </w:tr>
    </w:tbl>
    <w:p w14:paraId="2B3030CB" w14:textId="77777777" w:rsidR="00844D34" w:rsidRPr="00A53AD7" w:rsidRDefault="00844D34" w:rsidP="00DF1D6B">
      <w:pPr>
        <w:spacing w:after="0" w:line="240" w:lineRule="auto"/>
        <w:ind w:firstLine="851"/>
        <w:jc w:val="both"/>
        <w:rPr>
          <w:rFonts w:ascii="Times New Roman" w:hAnsi="Times New Roman"/>
          <w:sz w:val="28"/>
          <w:szCs w:val="28"/>
        </w:rPr>
      </w:pPr>
    </w:p>
    <w:p w14:paraId="72CCB4FC"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расходов на 2019 год по АП 2019-2025 утвержден в соответствии с показателями уточненной сводной бюджетной росписи областного бюджета в сумме 2 347,56 млн.руб. (средства Фонда – 2 281,82 млн.руб., средства областного бюджета 65,74 млн.руб.).</w:t>
      </w:r>
    </w:p>
    <w:p w14:paraId="32480E33"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за 2019 год составили 437,02 млн.руб. или 18,6% (средства Фонда – 425,13 млн.руб., средства ОБ - 11,89 млн.руб.).</w:t>
      </w:r>
    </w:p>
    <w:p w14:paraId="11558EAD" w14:textId="38EF4049"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ГРБС расходные обязательства в бюджете на 2019 год распр</w:t>
      </w:r>
      <w:r w:rsidR="00B82C1E" w:rsidRPr="00A53AD7">
        <w:rPr>
          <w:rFonts w:ascii="Times New Roman" w:hAnsi="Times New Roman"/>
          <w:sz w:val="28"/>
          <w:szCs w:val="28"/>
        </w:rPr>
        <w:t>еделены следующим образом:</w:t>
      </w:r>
    </w:p>
    <w:p w14:paraId="1A4F35A7"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 ТЭК и ЖКХ АО - в размере 161,60 млн.руб., из них: средства Фонда – 157,9 млн.руб., средства областного бюджета 3,2 млн.руб.</w:t>
      </w:r>
    </w:p>
    <w:p w14:paraId="6BCA00FC"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 строительства и архитектуры АО - в размере 2 186,40 млн.руб., из них: средства Фонда – 2 123,9 млн.руб., средства областного бюджета - 62,5 млн.руб.</w:t>
      </w:r>
    </w:p>
    <w:p w14:paraId="3F94C207"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отчета о ходе реализации регионального проекта на 01.01.2020 года:</w:t>
      </w:r>
    </w:p>
    <w:p w14:paraId="48E45165" w14:textId="666051CA"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наличие ключевых рисков в части отображения финансового обеспечения: «Не отображается кассовое исполнение бюджета по региональному проекту на отчетную дату. Причина риска заключается в том, что бюджетные ассигнования, осуществляемые за счет средств Фонда, в рамках реализации регионального проекта отражаются в бюджете Архангельской области на 2019 - 2021 годы по следующим направлениям расходов: за счет средств, поступивших от Фонда - XXXF3 09502; за счет средств бюджета Архангельской области, в том числе за счет субсидий из бюджета Архангельской области местным бюджетам - XXXF3 09602.</w:t>
      </w:r>
    </w:p>
    <w:p w14:paraId="7A137B23"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Вместе с тем, согласно пункту 5 письма Министерства финансов РФ от 28.06.2019 с целью корректного отражения бюджетных ассигнований бюджетов субъектов РФ по кодам направлений расходов на реализацию результатов региональных проектов, осуществляемых за счет средств, поступивших от Фонда, Минфин России рекомендует обеспечить в пределах полномочий, установленных бюджетным законодательством РФ, утверждение целевых статей расходов, содержащих следующие направления расходов: для отражения расходов на переселение граждан из аварийного жилищного фонда, осуществляемых за счет средств, поступивших от Фонда - XXXF3 67483; за счет средств бюджетов РФ, в том числе за счет средств субсидий из бюджетов субъектов РФ местным бюджетам - XXXF3 67484».</w:t>
      </w:r>
    </w:p>
    <w:p w14:paraId="5867D9AF"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2) достижение целевых показателей:</w:t>
      </w:r>
    </w:p>
    <w:tbl>
      <w:tblPr>
        <w:tblW w:w="9371"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5118"/>
        <w:gridCol w:w="1435"/>
        <w:gridCol w:w="1259"/>
        <w:gridCol w:w="1559"/>
      </w:tblGrid>
      <w:tr w:rsidR="00D470B6" w:rsidRPr="00A53AD7" w14:paraId="13CC1232" w14:textId="77777777" w:rsidTr="00DF1D6B">
        <w:trPr>
          <w:trHeight w:val="720"/>
        </w:trPr>
        <w:tc>
          <w:tcPr>
            <w:tcW w:w="5118" w:type="dxa"/>
            <w:shd w:val="clear" w:color="auto" w:fill="auto"/>
            <w:noWrap/>
            <w:vAlign w:val="center"/>
            <w:hideMark/>
          </w:tcPr>
          <w:p w14:paraId="2317050A"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целевой показатель</w:t>
            </w:r>
          </w:p>
        </w:tc>
        <w:tc>
          <w:tcPr>
            <w:tcW w:w="1435" w:type="dxa"/>
            <w:shd w:val="clear" w:color="auto" w:fill="auto"/>
            <w:vAlign w:val="center"/>
            <w:hideMark/>
          </w:tcPr>
          <w:p w14:paraId="45290AC7"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план, тыс.кв.м.</w:t>
            </w:r>
          </w:p>
        </w:tc>
        <w:tc>
          <w:tcPr>
            <w:tcW w:w="1259" w:type="dxa"/>
            <w:shd w:val="clear" w:color="auto" w:fill="auto"/>
            <w:vAlign w:val="center"/>
            <w:hideMark/>
          </w:tcPr>
          <w:p w14:paraId="528F4C55"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факт, тыс.чел.</w:t>
            </w:r>
          </w:p>
        </w:tc>
        <w:tc>
          <w:tcPr>
            <w:tcW w:w="1559" w:type="dxa"/>
            <w:shd w:val="clear" w:color="auto" w:fill="auto"/>
            <w:vAlign w:val="center"/>
            <w:hideMark/>
          </w:tcPr>
          <w:p w14:paraId="5E704320" w14:textId="77777777" w:rsidR="00844D34" w:rsidRPr="00A53AD7" w:rsidRDefault="00844D34" w:rsidP="00DF1D6B">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процент исполнения</w:t>
            </w:r>
          </w:p>
        </w:tc>
      </w:tr>
      <w:tr w:rsidR="00D470B6" w:rsidRPr="00A53AD7" w14:paraId="5255DE1D" w14:textId="77777777" w:rsidTr="008F6C65">
        <w:trPr>
          <w:trHeight w:val="255"/>
        </w:trPr>
        <w:tc>
          <w:tcPr>
            <w:tcW w:w="5118" w:type="dxa"/>
            <w:shd w:val="clear" w:color="auto" w:fill="auto"/>
            <w:vAlign w:val="center"/>
            <w:hideMark/>
          </w:tcPr>
          <w:p w14:paraId="16E2CD67" w14:textId="77777777" w:rsidR="00844D34" w:rsidRPr="00A53AD7" w:rsidRDefault="00844D34" w:rsidP="007042D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количество кв.м. расселения аварийного фонда</w:t>
            </w:r>
          </w:p>
        </w:tc>
        <w:tc>
          <w:tcPr>
            <w:tcW w:w="1435" w:type="dxa"/>
            <w:shd w:val="clear" w:color="auto" w:fill="auto"/>
            <w:vAlign w:val="center"/>
            <w:hideMark/>
          </w:tcPr>
          <w:p w14:paraId="15EE959A"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5,43</w:t>
            </w:r>
          </w:p>
        </w:tc>
        <w:tc>
          <w:tcPr>
            <w:tcW w:w="1259" w:type="dxa"/>
            <w:shd w:val="clear" w:color="auto" w:fill="auto"/>
            <w:vAlign w:val="center"/>
            <w:hideMark/>
          </w:tcPr>
          <w:p w14:paraId="7CEDFCB9"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8,75</w:t>
            </w:r>
          </w:p>
        </w:tc>
        <w:tc>
          <w:tcPr>
            <w:tcW w:w="1559" w:type="dxa"/>
            <w:shd w:val="clear" w:color="auto" w:fill="auto"/>
            <w:vAlign w:val="center"/>
            <w:hideMark/>
          </w:tcPr>
          <w:p w14:paraId="510545DC"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160%</w:t>
            </w:r>
          </w:p>
        </w:tc>
      </w:tr>
      <w:tr w:rsidR="00844D34" w:rsidRPr="00A53AD7" w14:paraId="442BE355" w14:textId="77777777" w:rsidTr="008F6C65">
        <w:trPr>
          <w:trHeight w:val="255"/>
        </w:trPr>
        <w:tc>
          <w:tcPr>
            <w:tcW w:w="5118" w:type="dxa"/>
            <w:shd w:val="clear" w:color="auto" w:fill="auto"/>
            <w:vAlign w:val="center"/>
            <w:hideMark/>
          </w:tcPr>
          <w:p w14:paraId="4336EC88" w14:textId="77777777" w:rsidR="00844D34" w:rsidRPr="00A53AD7" w:rsidRDefault="00844D34" w:rsidP="007042D1">
            <w:pPr>
              <w:spacing w:after="0" w:line="240" w:lineRule="auto"/>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количество расселенных граждан</w:t>
            </w:r>
          </w:p>
        </w:tc>
        <w:tc>
          <w:tcPr>
            <w:tcW w:w="1435" w:type="dxa"/>
            <w:shd w:val="clear" w:color="auto" w:fill="auto"/>
            <w:vAlign w:val="center"/>
            <w:hideMark/>
          </w:tcPr>
          <w:p w14:paraId="2D1CE9C2"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0,32</w:t>
            </w:r>
          </w:p>
        </w:tc>
        <w:tc>
          <w:tcPr>
            <w:tcW w:w="1259" w:type="dxa"/>
            <w:shd w:val="clear" w:color="auto" w:fill="auto"/>
            <w:vAlign w:val="center"/>
            <w:hideMark/>
          </w:tcPr>
          <w:p w14:paraId="494094D6"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0,43</w:t>
            </w:r>
          </w:p>
        </w:tc>
        <w:tc>
          <w:tcPr>
            <w:tcW w:w="1559" w:type="dxa"/>
            <w:shd w:val="clear" w:color="auto" w:fill="auto"/>
            <w:vAlign w:val="center"/>
            <w:hideMark/>
          </w:tcPr>
          <w:p w14:paraId="4D9ABC05"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134%</w:t>
            </w:r>
          </w:p>
        </w:tc>
      </w:tr>
    </w:tbl>
    <w:p w14:paraId="62BD13B6" w14:textId="77777777" w:rsidR="00844D34" w:rsidRPr="00A53AD7" w:rsidRDefault="00844D34" w:rsidP="00DF1D6B">
      <w:pPr>
        <w:shd w:val="clear" w:color="auto" w:fill="FFFFFF"/>
        <w:spacing w:after="0" w:line="240" w:lineRule="auto"/>
        <w:ind w:firstLine="851"/>
        <w:jc w:val="both"/>
        <w:rPr>
          <w:rFonts w:ascii="Times New Roman" w:eastAsia="Times New Roman" w:hAnsi="Times New Roman"/>
          <w:sz w:val="28"/>
          <w:szCs w:val="28"/>
          <w:lang w:eastAsia="ru-RU"/>
        </w:rPr>
      </w:pPr>
    </w:p>
    <w:p w14:paraId="0AAA132C" w14:textId="77777777" w:rsidR="00844D34" w:rsidRPr="00A53AD7" w:rsidRDefault="00844D34" w:rsidP="00DF1D6B">
      <w:pPr>
        <w:autoSpaceDE w:val="0"/>
        <w:autoSpaceDN w:val="0"/>
        <w:adjustRightInd w:val="0"/>
        <w:spacing w:after="0" w:line="240" w:lineRule="auto"/>
        <w:ind w:firstLine="851"/>
        <w:jc w:val="both"/>
        <w:rPr>
          <w:rFonts w:ascii="Times New Roman" w:hAnsi="Times New Roman"/>
          <w:b/>
          <w:sz w:val="28"/>
          <w:szCs w:val="28"/>
        </w:rPr>
      </w:pPr>
      <w:r w:rsidRPr="00A53AD7">
        <w:rPr>
          <w:rFonts w:ascii="Times New Roman" w:hAnsi="Times New Roman"/>
          <w:b/>
          <w:sz w:val="28"/>
          <w:szCs w:val="28"/>
        </w:rPr>
        <w:t>Министерство ТЭК и ЖКХ АО:</w:t>
      </w:r>
    </w:p>
    <w:p w14:paraId="39AE4199" w14:textId="3D76FD4B"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отчетом об исполнении бюджета на 2019 год, в части расходов утверждены бюджетные назначения на сумму 161,09 млн.руб., исполнено – 116,76 млн.руб. или на 72% от плановых показателей, из них:</w:t>
      </w:r>
    </w:p>
    <w:p w14:paraId="6D17506A" w14:textId="77777777" w:rsidR="00844D34" w:rsidRPr="00A53AD7" w:rsidRDefault="00844D34" w:rsidP="00CA1DDD">
      <w:pPr>
        <w:pStyle w:val="a8"/>
        <w:numPr>
          <w:ilvl w:val="0"/>
          <w:numId w:val="57"/>
        </w:numPr>
        <w:autoSpaceDE w:val="0"/>
        <w:autoSpaceDN w:val="0"/>
        <w:adjustRightInd w:val="0"/>
        <w:ind w:left="0" w:firstLine="851"/>
        <w:jc w:val="both"/>
        <w:rPr>
          <w:sz w:val="28"/>
          <w:szCs w:val="28"/>
        </w:rPr>
      </w:pPr>
      <w:r w:rsidRPr="00A53AD7">
        <w:rPr>
          <w:sz w:val="28"/>
          <w:szCs w:val="28"/>
        </w:rPr>
        <w:t>утверждено за счет средств Фонда - 157,88 млн.руб., исполнено – 114,54 млн.руб. или на 73% от плановых показателей;</w:t>
      </w:r>
    </w:p>
    <w:p w14:paraId="3274D770" w14:textId="77777777" w:rsidR="00844D34" w:rsidRPr="00A53AD7" w:rsidRDefault="00844D34" w:rsidP="00CA1DDD">
      <w:pPr>
        <w:pStyle w:val="a8"/>
        <w:numPr>
          <w:ilvl w:val="0"/>
          <w:numId w:val="57"/>
        </w:numPr>
        <w:autoSpaceDE w:val="0"/>
        <w:autoSpaceDN w:val="0"/>
        <w:adjustRightInd w:val="0"/>
        <w:ind w:left="0" w:firstLine="851"/>
        <w:jc w:val="both"/>
        <w:rPr>
          <w:sz w:val="28"/>
          <w:szCs w:val="28"/>
        </w:rPr>
      </w:pPr>
      <w:r w:rsidRPr="00A53AD7">
        <w:rPr>
          <w:sz w:val="28"/>
          <w:szCs w:val="28"/>
        </w:rPr>
        <w:t>утверждено за счет средств областного бюджета – 3,218 млн.руб., исполнено – 2,22 млн.руб. или на 69% от плановых показателей.</w:t>
      </w:r>
    </w:p>
    <w:p w14:paraId="2285CB72" w14:textId="7F61FBA5" w:rsidR="00844D34" w:rsidRPr="00A53AD7" w:rsidRDefault="00844D34" w:rsidP="00DF1D6B">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В течение 2019 года министерством ТЭК и ЖКХ АО заключены трехсторонние договоры о предоставлении и использовании финансовой поддержки на переселение граждан из аварийного жилищного фонда с 21 муниципальным образованием области и министерством строительства и архитектуры АО. С четырьмя из них заключены дополнительные соглашения о финансировании мероприятий по выплате выкупной цены в 2019 году:</w:t>
      </w:r>
    </w:p>
    <w:tbl>
      <w:tblPr>
        <w:tblW w:w="9351" w:type="dxa"/>
        <w:tblInd w:w="113" w:type="dxa"/>
        <w:tblLayout w:type="fixed"/>
        <w:tblLook w:val="04A0" w:firstRow="1" w:lastRow="0" w:firstColumn="1" w:lastColumn="0" w:noHBand="0" w:noVBand="1"/>
      </w:tblPr>
      <w:tblGrid>
        <w:gridCol w:w="2660"/>
        <w:gridCol w:w="1304"/>
        <w:gridCol w:w="1560"/>
        <w:gridCol w:w="1701"/>
        <w:gridCol w:w="2126"/>
      </w:tblGrid>
      <w:tr w:rsidR="00D470B6" w:rsidRPr="00A53AD7" w14:paraId="05E5BDB6" w14:textId="77777777" w:rsidTr="00DF1D6B">
        <w:trPr>
          <w:trHeight w:val="204"/>
        </w:trPr>
        <w:tc>
          <w:tcPr>
            <w:tcW w:w="266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01DA893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МО</w:t>
            </w:r>
          </w:p>
        </w:tc>
        <w:tc>
          <w:tcPr>
            <w:tcW w:w="4565" w:type="dxa"/>
            <w:gridSpan w:val="3"/>
            <w:tcBorders>
              <w:top w:val="double" w:sz="4" w:space="0" w:color="auto"/>
              <w:left w:val="nil"/>
              <w:bottom w:val="single" w:sz="4" w:space="0" w:color="auto"/>
              <w:right w:val="single" w:sz="4" w:space="0" w:color="auto"/>
            </w:tcBorders>
            <w:shd w:val="clear" w:color="auto" w:fill="auto"/>
            <w:vAlign w:val="center"/>
            <w:hideMark/>
          </w:tcPr>
          <w:p w14:paraId="37CFC52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сумма соглашения, млн.руб.</w:t>
            </w:r>
          </w:p>
        </w:tc>
        <w:tc>
          <w:tcPr>
            <w:tcW w:w="2126"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38CC04E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расселяемая площадь, кв.м.</w:t>
            </w:r>
          </w:p>
        </w:tc>
      </w:tr>
      <w:tr w:rsidR="00D470B6" w:rsidRPr="00A53AD7" w14:paraId="7BA4DEFA" w14:textId="77777777" w:rsidTr="00DF1D6B">
        <w:trPr>
          <w:trHeight w:val="312"/>
        </w:trPr>
        <w:tc>
          <w:tcPr>
            <w:tcW w:w="2660" w:type="dxa"/>
            <w:vMerge/>
            <w:tcBorders>
              <w:top w:val="single" w:sz="4" w:space="0" w:color="auto"/>
              <w:left w:val="double" w:sz="4" w:space="0" w:color="auto"/>
              <w:bottom w:val="single" w:sz="4" w:space="0" w:color="auto"/>
              <w:right w:val="single" w:sz="4" w:space="0" w:color="auto"/>
            </w:tcBorders>
            <w:vAlign w:val="center"/>
            <w:hideMark/>
          </w:tcPr>
          <w:p w14:paraId="59AB98C7" w14:textId="77777777" w:rsidR="00844D34" w:rsidRPr="00A53AD7" w:rsidRDefault="00844D34" w:rsidP="007042D1">
            <w:pPr>
              <w:spacing w:after="0" w:line="240" w:lineRule="auto"/>
              <w:rPr>
                <w:rFonts w:ascii="Times New Roman" w:eastAsia="Times New Roman" w:hAnsi="Times New Roman"/>
                <w:lang w:eastAsia="ru-RU"/>
              </w:rPr>
            </w:pPr>
          </w:p>
        </w:tc>
        <w:tc>
          <w:tcPr>
            <w:tcW w:w="1304" w:type="dxa"/>
            <w:tcBorders>
              <w:top w:val="nil"/>
              <w:left w:val="nil"/>
              <w:bottom w:val="single" w:sz="4" w:space="0" w:color="auto"/>
              <w:right w:val="single" w:sz="4" w:space="0" w:color="auto"/>
            </w:tcBorders>
            <w:shd w:val="clear" w:color="auto" w:fill="auto"/>
            <w:vAlign w:val="center"/>
            <w:hideMark/>
          </w:tcPr>
          <w:p w14:paraId="2710E3D6"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560" w:type="dxa"/>
            <w:tcBorders>
              <w:top w:val="nil"/>
              <w:left w:val="nil"/>
              <w:bottom w:val="single" w:sz="4" w:space="0" w:color="auto"/>
              <w:right w:val="single" w:sz="4" w:space="0" w:color="auto"/>
            </w:tcBorders>
            <w:shd w:val="clear" w:color="auto" w:fill="auto"/>
            <w:vAlign w:val="center"/>
            <w:hideMark/>
          </w:tcPr>
          <w:p w14:paraId="4E013E8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фонд</w:t>
            </w:r>
          </w:p>
        </w:tc>
        <w:tc>
          <w:tcPr>
            <w:tcW w:w="1701" w:type="dxa"/>
            <w:tcBorders>
              <w:top w:val="nil"/>
              <w:left w:val="nil"/>
              <w:bottom w:val="single" w:sz="4" w:space="0" w:color="auto"/>
              <w:right w:val="single" w:sz="4" w:space="0" w:color="auto"/>
            </w:tcBorders>
            <w:shd w:val="clear" w:color="auto" w:fill="auto"/>
            <w:vAlign w:val="center"/>
            <w:hideMark/>
          </w:tcPr>
          <w:p w14:paraId="20C91E02"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область</w:t>
            </w:r>
          </w:p>
        </w:tc>
        <w:tc>
          <w:tcPr>
            <w:tcW w:w="2126" w:type="dxa"/>
            <w:vMerge/>
            <w:tcBorders>
              <w:top w:val="single" w:sz="4" w:space="0" w:color="auto"/>
              <w:left w:val="single" w:sz="4" w:space="0" w:color="auto"/>
              <w:bottom w:val="single" w:sz="4" w:space="0" w:color="auto"/>
              <w:right w:val="double" w:sz="4" w:space="0" w:color="auto"/>
            </w:tcBorders>
            <w:vAlign w:val="center"/>
            <w:hideMark/>
          </w:tcPr>
          <w:p w14:paraId="5E90FF74" w14:textId="77777777" w:rsidR="00844D34" w:rsidRPr="00A53AD7" w:rsidRDefault="00844D34" w:rsidP="007042D1">
            <w:pPr>
              <w:spacing w:after="0" w:line="240" w:lineRule="auto"/>
              <w:rPr>
                <w:rFonts w:ascii="Times New Roman" w:eastAsia="Times New Roman" w:hAnsi="Times New Roman"/>
                <w:lang w:eastAsia="ru-RU"/>
              </w:rPr>
            </w:pPr>
          </w:p>
        </w:tc>
      </w:tr>
      <w:tr w:rsidR="00D470B6" w:rsidRPr="00A53AD7" w14:paraId="210DBDB3"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7F0B14DA"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Город Архангельск</w:t>
            </w:r>
          </w:p>
        </w:tc>
        <w:tc>
          <w:tcPr>
            <w:tcW w:w="1304" w:type="dxa"/>
            <w:tcBorders>
              <w:top w:val="nil"/>
              <w:left w:val="nil"/>
              <w:bottom w:val="single" w:sz="4" w:space="0" w:color="auto"/>
              <w:right w:val="single" w:sz="4" w:space="0" w:color="auto"/>
            </w:tcBorders>
            <w:shd w:val="clear" w:color="auto" w:fill="auto"/>
            <w:vAlign w:val="center"/>
            <w:hideMark/>
          </w:tcPr>
          <w:p w14:paraId="672BEF1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58,55</w:t>
            </w:r>
          </w:p>
        </w:tc>
        <w:tc>
          <w:tcPr>
            <w:tcW w:w="1560" w:type="dxa"/>
            <w:tcBorders>
              <w:top w:val="nil"/>
              <w:left w:val="nil"/>
              <w:bottom w:val="single" w:sz="4" w:space="0" w:color="auto"/>
              <w:right w:val="single" w:sz="4" w:space="0" w:color="auto"/>
            </w:tcBorders>
            <w:shd w:val="clear" w:color="auto" w:fill="auto"/>
            <w:vAlign w:val="center"/>
            <w:hideMark/>
          </w:tcPr>
          <w:p w14:paraId="1B806E52"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57,43</w:t>
            </w:r>
          </w:p>
        </w:tc>
        <w:tc>
          <w:tcPr>
            <w:tcW w:w="1701" w:type="dxa"/>
            <w:tcBorders>
              <w:top w:val="nil"/>
              <w:left w:val="nil"/>
              <w:bottom w:val="single" w:sz="4" w:space="0" w:color="auto"/>
              <w:right w:val="single" w:sz="4" w:space="0" w:color="auto"/>
            </w:tcBorders>
            <w:shd w:val="clear" w:color="auto" w:fill="auto"/>
            <w:vAlign w:val="center"/>
            <w:hideMark/>
          </w:tcPr>
          <w:p w14:paraId="29150A45"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1,11</w:t>
            </w:r>
          </w:p>
        </w:tc>
        <w:tc>
          <w:tcPr>
            <w:tcW w:w="2126" w:type="dxa"/>
            <w:tcBorders>
              <w:top w:val="nil"/>
              <w:left w:val="nil"/>
              <w:bottom w:val="single" w:sz="4" w:space="0" w:color="auto"/>
              <w:right w:val="double" w:sz="4" w:space="0" w:color="auto"/>
            </w:tcBorders>
            <w:shd w:val="clear" w:color="auto" w:fill="auto"/>
            <w:vAlign w:val="center"/>
            <w:hideMark/>
          </w:tcPr>
          <w:p w14:paraId="2737C1A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1974,83</w:t>
            </w:r>
          </w:p>
        </w:tc>
      </w:tr>
      <w:tr w:rsidR="00D470B6" w:rsidRPr="00A53AD7" w14:paraId="65CB2003"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27334A2E"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Виноградовский район</w:t>
            </w:r>
          </w:p>
        </w:tc>
        <w:tc>
          <w:tcPr>
            <w:tcW w:w="1304" w:type="dxa"/>
            <w:tcBorders>
              <w:top w:val="nil"/>
              <w:left w:val="nil"/>
              <w:bottom w:val="single" w:sz="4" w:space="0" w:color="auto"/>
              <w:right w:val="single" w:sz="4" w:space="0" w:color="auto"/>
            </w:tcBorders>
            <w:shd w:val="clear" w:color="auto" w:fill="auto"/>
            <w:vAlign w:val="center"/>
            <w:hideMark/>
          </w:tcPr>
          <w:p w14:paraId="75B18B7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19,48</w:t>
            </w:r>
          </w:p>
        </w:tc>
        <w:tc>
          <w:tcPr>
            <w:tcW w:w="1560" w:type="dxa"/>
            <w:tcBorders>
              <w:top w:val="nil"/>
              <w:left w:val="nil"/>
              <w:bottom w:val="single" w:sz="4" w:space="0" w:color="auto"/>
              <w:right w:val="single" w:sz="4" w:space="0" w:color="auto"/>
            </w:tcBorders>
            <w:shd w:val="clear" w:color="auto" w:fill="auto"/>
            <w:vAlign w:val="center"/>
            <w:hideMark/>
          </w:tcPr>
          <w:p w14:paraId="3741573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19,11</w:t>
            </w:r>
          </w:p>
        </w:tc>
        <w:tc>
          <w:tcPr>
            <w:tcW w:w="1701" w:type="dxa"/>
            <w:tcBorders>
              <w:top w:val="nil"/>
              <w:left w:val="nil"/>
              <w:bottom w:val="single" w:sz="4" w:space="0" w:color="auto"/>
              <w:right w:val="single" w:sz="4" w:space="0" w:color="auto"/>
            </w:tcBorders>
            <w:shd w:val="clear" w:color="auto" w:fill="auto"/>
            <w:vAlign w:val="center"/>
            <w:hideMark/>
          </w:tcPr>
          <w:p w14:paraId="60BC7961" w14:textId="3F2FBAFA"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0,37</w:t>
            </w:r>
            <w:r w:rsidR="005915D8" w:rsidRPr="00A53AD7">
              <w:rPr>
                <w:rFonts w:ascii="Times New Roman" w:eastAsia="Times New Roman" w:hAnsi="Times New Roman"/>
                <w:lang w:eastAsia="ru-RU"/>
              </w:rPr>
              <w:t xml:space="preserve"> </w:t>
            </w:r>
          </w:p>
        </w:tc>
        <w:tc>
          <w:tcPr>
            <w:tcW w:w="2126" w:type="dxa"/>
            <w:tcBorders>
              <w:top w:val="nil"/>
              <w:left w:val="nil"/>
              <w:bottom w:val="single" w:sz="4" w:space="0" w:color="auto"/>
              <w:right w:val="double" w:sz="4" w:space="0" w:color="auto"/>
            </w:tcBorders>
            <w:shd w:val="clear" w:color="auto" w:fill="auto"/>
            <w:vAlign w:val="center"/>
            <w:hideMark/>
          </w:tcPr>
          <w:p w14:paraId="39895D40"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1481,4</w:t>
            </w:r>
          </w:p>
        </w:tc>
      </w:tr>
      <w:tr w:rsidR="00D470B6" w:rsidRPr="00A53AD7" w14:paraId="6D9C2EE3"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3C980309"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Северодвинск</w:t>
            </w:r>
          </w:p>
        </w:tc>
        <w:tc>
          <w:tcPr>
            <w:tcW w:w="1304" w:type="dxa"/>
            <w:tcBorders>
              <w:top w:val="nil"/>
              <w:left w:val="nil"/>
              <w:bottom w:val="single" w:sz="4" w:space="0" w:color="auto"/>
              <w:right w:val="single" w:sz="4" w:space="0" w:color="auto"/>
            </w:tcBorders>
            <w:shd w:val="clear" w:color="auto" w:fill="auto"/>
            <w:vAlign w:val="center"/>
            <w:hideMark/>
          </w:tcPr>
          <w:p w14:paraId="2EB931F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22,83</w:t>
            </w:r>
          </w:p>
        </w:tc>
        <w:tc>
          <w:tcPr>
            <w:tcW w:w="1560" w:type="dxa"/>
            <w:tcBorders>
              <w:top w:val="nil"/>
              <w:left w:val="nil"/>
              <w:bottom w:val="single" w:sz="4" w:space="0" w:color="auto"/>
              <w:right w:val="single" w:sz="4" w:space="0" w:color="auto"/>
            </w:tcBorders>
            <w:shd w:val="clear" w:color="auto" w:fill="auto"/>
            <w:vAlign w:val="center"/>
            <w:hideMark/>
          </w:tcPr>
          <w:p w14:paraId="11BF4F7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22,39</w:t>
            </w:r>
          </w:p>
        </w:tc>
        <w:tc>
          <w:tcPr>
            <w:tcW w:w="1701" w:type="dxa"/>
            <w:tcBorders>
              <w:top w:val="nil"/>
              <w:left w:val="nil"/>
              <w:bottom w:val="single" w:sz="4" w:space="0" w:color="auto"/>
              <w:right w:val="single" w:sz="4" w:space="0" w:color="auto"/>
            </w:tcBorders>
            <w:shd w:val="clear" w:color="auto" w:fill="auto"/>
            <w:vAlign w:val="center"/>
            <w:hideMark/>
          </w:tcPr>
          <w:p w14:paraId="73593810" w14:textId="13297E4B"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0,43</w:t>
            </w:r>
            <w:r w:rsidR="005915D8" w:rsidRPr="00A53AD7">
              <w:rPr>
                <w:rFonts w:ascii="Times New Roman" w:eastAsia="Times New Roman" w:hAnsi="Times New Roman"/>
                <w:lang w:eastAsia="ru-RU"/>
              </w:rPr>
              <w:t xml:space="preserve"> </w:t>
            </w:r>
          </w:p>
        </w:tc>
        <w:tc>
          <w:tcPr>
            <w:tcW w:w="2126" w:type="dxa"/>
            <w:tcBorders>
              <w:top w:val="nil"/>
              <w:left w:val="nil"/>
              <w:bottom w:val="single" w:sz="4" w:space="0" w:color="auto"/>
              <w:right w:val="double" w:sz="4" w:space="0" w:color="auto"/>
            </w:tcBorders>
            <w:shd w:val="clear" w:color="auto" w:fill="auto"/>
            <w:vAlign w:val="center"/>
            <w:hideMark/>
          </w:tcPr>
          <w:p w14:paraId="40C8ACD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636,48</w:t>
            </w:r>
          </w:p>
        </w:tc>
      </w:tr>
      <w:tr w:rsidR="00D470B6" w:rsidRPr="00A53AD7" w14:paraId="21707F64"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1BBFB8CC"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Котлас</w:t>
            </w:r>
          </w:p>
        </w:tc>
        <w:tc>
          <w:tcPr>
            <w:tcW w:w="1304" w:type="dxa"/>
            <w:tcBorders>
              <w:top w:val="nil"/>
              <w:left w:val="nil"/>
              <w:bottom w:val="single" w:sz="4" w:space="0" w:color="auto"/>
              <w:right w:val="single" w:sz="4" w:space="0" w:color="auto"/>
            </w:tcBorders>
            <w:shd w:val="clear" w:color="auto" w:fill="auto"/>
            <w:vAlign w:val="center"/>
            <w:hideMark/>
          </w:tcPr>
          <w:p w14:paraId="2521272E"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60,07</w:t>
            </w:r>
          </w:p>
        </w:tc>
        <w:tc>
          <w:tcPr>
            <w:tcW w:w="1560" w:type="dxa"/>
            <w:tcBorders>
              <w:top w:val="nil"/>
              <w:left w:val="nil"/>
              <w:bottom w:val="single" w:sz="4" w:space="0" w:color="auto"/>
              <w:right w:val="single" w:sz="4" w:space="0" w:color="auto"/>
            </w:tcBorders>
            <w:shd w:val="clear" w:color="auto" w:fill="auto"/>
            <w:vAlign w:val="center"/>
            <w:hideMark/>
          </w:tcPr>
          <w:p w14:paraId="03E8C49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58,93</w:t>
            </w:r>
          </w:p>
        </w:tc>
        <w:tc>
          <w:tcPr>
            <w:tcW w:w="1701" w:type="dxa"/>
            <w:tcBorders>
              <w:top w:val="nil"/>
              <w:left w:val="nil"/>
              <w:bottom w:val="single" w:sz="4" w:space="0" w:color="auto"/>
              <w:right w:val="single" w:sz="4" w:space="0" w:color="auto"/>
            </w:tcBorders>
            <w:shd w:val="clear" w:color="auto" w:fill="auto"/>
            <w:vAlign w:val="center"/>
            <w:hideMark/>
          </w:tcPr>
          <w:p w14:paraId="13CB77A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1,14 </w:t>
            </w:r>
          </w:p>
        </w:tc>
        <w:tc>
          <w:tcPr>
            <w:tcW w:w="2126" w:type="dxa"/>
            <w:tcBorders>
              <w:top w:val="nil"/>
              <w:left w:val="nil"/>
              <w:bottom w:val="single" w:sz="4" w:space="0" w:color="auto"/>
              <w:right w:val="double" w:sz="4" w:space="0" w:color="auto"/>
            </w:tcBorders>
            <w:shd w:val="clear" w:color="auto" w:fill="auto"/>
            <w:vAlign w:val="center"/>
            <w:hideMark/>
          </w:tcPr>
          <w:p w14:paraId="7FBA197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1503,48</w:t>
            </w:r>
          </w:p>
        </w:tc>
      </w:tr>
      <w:tr w:rsidR="00844D34" w:rsidRPr="00A53AD7" w14:paraId="3A093375" w14:textId="77777777" w:rsidTr="008F6C65">
        <w:trPr>
          <w:trHeight w:hRule="exact" w:val="255"/>
        </w:trPr>
        <w:tc>
          <w:tcPr>
            <w:tcW w:w="2660" w:type="dxa"/>
            <w:tcBorders>
              <w:top w:val="nil"/>
              <w:left w:val="double" w:sz="4" w:space="0" w:color="auto"/>
              <w:bottom w:val="double" w:sz="4" w:space="0" w:color="auto"/>
              <w:right w:val="single" w:sz="4" w:space="0" w:color="auto"/>
            </w:tcBorders>
            <w:shd w:val="clear" w:color="auto" w:fill="auto"/>
            <w:vAlign w:val="center"/>
            <w:hideMark/>
          </w:tcPr>
          <w:p w14:paraId="73D3F4F8"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304" w:type="dxa"/>
            <w:tcBorders>
              <w:top w:val="nil"/>
              <w:left w:val="nil"/>
              <w:bottom w:val="double" w:sz="4" w:space="0" w:color="auto"/>
              <w:right w:val="single" w:sz="4" w:space="0" w:color="auto"/>
            </w:tcBorders>
            <w:shd w:val="clear" w:color="auto" w:fill="auto"/>
            <w:vAlign w:val="center"/>
            <w:hideMark/>
          </w:tcPr>
          <w:p w14:paraId="2569BF8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160,94</w:t>
            </w:r>
          </w:p>
        </w:tc>
        <w:tc>
          <w:tcPr>
            <w:tcW w:w="1560" w:type="dxa"/>
            <w:tcBorders>
              <w:top w:val="nil"/>
              <w:left w:val="nil"/>
              <w:bottom w:val="double" w:sz="4" w:space="0" w:color="auto"/>
              <w:right w:val="single" w:sz="4" w:space="0" w:color="auto"/>
            </w:tcBorders>
            <w:shd w:val="clear" w:color="auto" w:fill="auto"/>
            <w:vAlign w:val="center"/>
            <w:hideMark/>
          </w:tcPr>
          <w:p w14:paraId="64E5C4E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157,88</w:t>
            </w:r>
          </w:p>
        </w:tc>
        <w:tc>
          <w:tcPr>
            <w:tcW w:w="1701" w:type="dxa"/>
            <w:tcBorders>
              <w:top w:val="nil"/>
              <w:left w:val="nil"/>
              <w:bottom w:val="double" w:sz="4" w:space="0" w:color="auto"/>
              <w:right w:val="single" w:sz="4" w:space="0" w:color="auto"/>
            </w:tcBorders>
            <w:shd w:val="clear" w:color="auto" w:fill="auto"/>
            <w:vAlign w:val="center"/>
            <w:hideMark/>
          </w:tcPr>
          <w:p w14:paraId="5DBFE5D3"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3,06</w:t>
            </w:r>
          </w:p>
        </w:tc>
        <w:tc>
          <w:tcPr>
            <w:tcW w:w="2126" w:type="dxa"/>
            <w:tcBorders>
              <w:top w:val="nil"/>
              <w:left w:val="nil"/>
              <w:bottom w:val="double" w:sz="4" w:space="0" w:color="auto"/>
              <w:right w:val="double" w:sz="4" w:space="0" w:color="auto"/>
            </w:tcBorders>
            <w:shd w:val="clear" w:color="auto" w:fill="auto"/>
            <w:vAlign w:val="center"/>
            <w:hideMark/>
          </w:tcPr>
          <w:p w14:paraId="25E0BEE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5596,19</w:t>
            </w:r>
          </w:p>
        </w:tc>
      </w:tr>
    </w:tbl>
    <w:p w14:paraId="6CFFE0F9" w14:textId="77777777" w:rsidR="00DF1D6B" w:rsidRPr="00A53AD7" w:rsidRDefault="00DF1D6B" w:rsidP="00844D34">
      <w:pPr>
        <w:autoSpaceDE w:val="0"/>
        <w:autoSpaceDN w:val="0"/>
        <w:adjustRightInd w:val="0"/>
        <w:spacing w:after="0" w:line="240" w:lineRule="auto"/>
        <w:ind w:firstLine="709"/>
        <w:jc w:val="both"/>
        <w:rPr>
          <w:rFonts w:ascii="Times New Roman" w:hAnsi="Times New Roman"/>
          <w:sz w:val="28"/>
          <w:szCs w:val="28"/>
          <w:highlight w:val="cyan"/>
        </w:rPr>
      </w:pPr>
    </w:p>
    <w:p w14:paraId="0E07F389"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отчетами муниципальных образований в рамках исполнения мероприятий этапа 2019 года расселено 5 877,85 кв.м.:</w:t>
      </w:r>
    </w:p>
    <w:tbl>
      <w:tblPr>
        <w:tblW w:w="9580" w:type="dxa"/>
        <w:tblInd w:w="113" w:type="dxa"/>
        <w:tblLook w:val="04A0" w:firstRow="1" w:lastRow="0" w:firstColumn="1" w:lastColumn="0" w:noHBand="0" w:noVBand="1"/>
      </w:tblPr>
      <w:tblGrid>
        <w:gridCol w:w="2660"/>
        <w:gridCol w:w="1740"/>
        <w:gridCol w:w="1740"/>
        <w:gridCol w:w="1500"/>
        <w:gridCol w:w="1940"/>
      </w:tblGrid>
      <w:tr w:rsidR="00D470B6" w:rsidRPr="00A53AD7" w14:paraId="122F26D4" w14:textId="77777777" w:rsidTr="00DF1D6B">
        <w:trPr>
          <w:trHeight w:val="312"/>
        </w:trPr>
        <w:tc>
          <w:tcPr>
            <w:tcW w:w="266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760FC1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МО</w:t>
            </w:r>
          </w:p>
        </w:tc>
        <w:tc>
          <w:tcPr>
            <w:tcW w:w="4980" w:type="dxa"/>
            <w:gridSpan w:val="3"/>
            <w:tcBorders>
              <w:top w:val="double" w:sz="4" w:space="0" w:color="auto"/>
              <w:left w:val="nil"/>
              <w:bottom w:val="single" w:sz="4" w:space="0" w:color="auto"/>
              <w:right w:val="single" w:sz="4" w:space="0" w:color="auto"/>
            </w:tcBorders>
            <w:shd w:val="clear" w:color="auto" w:fill="auto"/>
            <w:vAlign w:val="center"/>
            <w:hideMark/>
          </w:tcPr>
          <w:p w14:paraId="7EB425E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фактические расходы, руб.</w:t>
            </w:r>
          </w:p>
        </w:tc>
        <w:tc>
          <w:tcPr>
            <w:tcW w:w="1940" w:type="dxa"/>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14:paraId="601EA1B9"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расселяемая площадь, кв.м.</w:t>
            </w:r>
          </w:p>
        </w:tc>
      </w:tr>
      <w:tr w:rsidR="00D470B6" w:rsidRPr="00A53AD7" w14:paraId="3E558886" w14:textId="77777777" w:rsidTr="00DF1D6B">
        <w:trPr>
          <w:trHeight w:val="312"/>
        </w:trPr>
        <w:tc>
          <w:tcPr>
            <w:tcW w:w="2660" w:type="dxa"/>
            <w:vMerge/>
            <w:tcBorders>
              <w:top w:val="single" w:sz="4" w:space="0" w:color="auto"/>
              <w:left w:val="double" w:sz="4" w:space="0" w:color="auto"/>
              <w:bottom w:val="single" w:sz="4" w:space="0" w:color="auto"/>
              <w:right w:val="single" w:sz="4" w:space="0" w:color="auto"/>
            </w:tcBorders>
            <w:vAlign w:val="center"/>
            <w:hideMark/>
          </w:tcPr>
          <w:p w14:paraId="35F146B8" w14:textId="77777777" w:rsidR="00844D34" w:rsidRPr="00A53AD7" w:rsidRDefault="00844D34" w:rsidP="007042D1">
            <w:pPr>
              <w:spacing w:after="0" w:line="240" w:lineRule="auto"/>
              <w:rPr>
                <w:rFonts w:ascii="Times New Roman" w:eastAsia="Times New Roman" w:hAnsi="Times New Roman"/>
                <w:lang w:eastAsia="ru-RU"/>
              </w:rPr>
            </w:pPr>
          </w:p>
        </w:tc>
        <w:tc>
          <w:tcPr>
            <w:tcW w:w="1740" w:type="dxa"/>
            <w:tcBorders>
              <w:top w:val="nil"/>
              <w:left w:val="nil"/>
              <w:bottom w:val="single" w:sz="4" w:space="0" w:color="auto"/>
              <w:right w:val="single" w:sz="4" w:space="0" w:color="auto"/>
            </w:tcBorders>
            <w:shd w:val="clear" w:color="auto" w:fill="auto"/>
            <w:vAlign w:val="center"/>
            <w:hideMark/>
          </w:tcPr>
          <w:p w14:paraId="0432C110"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740" w:type="dxa"/>
            <w:tcBorders>
              <w:top w:val="nil"/>
              <w:left w:val="nil"/>
              <w:bottom w:val="single" w:sz="4" w:space="0" w:color="auto"/>
              <w:right w:val="single" w:sz="4" w:space="0" w:color="auto"/>
            </w:tcBorders>
            <w:shd w:val="clear" w:color="auto" w:fill="auto"/>
            <w:vAlign w:val="center"/>
            <w:hideMark/>
          </w:tcPr>
          <w:p w14:paraId="2A25297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фонд</w:t>
            </w:r>
          </w:p>
        </w:tc>
        <w:tc>
          <w:tcPr>
            <w:tcW w:w="1500" w:type="dxa"/>
            <w:tcBorders>
              <w:top w:val="nil"/>
              <w:left w:val="nil"/>
              <w:bottom w:val="single" w:sz="4" w:space="0" w:color="auto"/>
              <w:right w:val="single" w:sz="4" w:space="0" w:color="auto"/>
            </w:tcBorders>
            <w:shd w:val="clear" w:color="auto" w:fill="auto"/>
            <w:vAlign w:val="center"/>
            <w:hideMark/>
          </w:tcPr>
          <w:p w14:paraId="6EB4FCA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область</w:t>
            </w:r>
          </w:p>
        </w:tc>
        <w:tc>
          <w:tcPr>
            <w:tcW w:w="1940" w:type="dxa"/>
            <w:vMerge/>
            <w:tcBorders>
              <w:top w:val="single" w:sz="4" w:space="0" w:color="auto"/>
              <w:left w:val="single" w:sz="4" w:space="0" w:color="auto"/>
              <w:bottom w:val="single" w:sz="4" w:space="0" w:color="auto"/>
              <w:right w:val="double" w:sz="4" w:space="0" w:color="auto"/>
            </w:tcBorders>
            <w:vAlign w:val="center"/>
            <w:hideMark/>
          </w:tcPr>
          <w:p w14:paraId="304E13AC" w14:textId="77777777" w:rsidR="00844D34" w:rsidRPr="00A53AD7" w:rsidRDefault="00844D34" w:rsidP="007042D1">
            <w:pPr>
              <w:spacing w:after="0" w:line="240" w:lineRule="auto"/>
              <w:rPr>
                <w:rFonts w:ascii="Times New Roman" w:eastAsia="Times New Roman" w:hAnsi="Times New Roman"/>
                <w:lang w:eastAsia="ru-RU"/>
              </w:rPr>
            </w:pPr>
          </w:p>
        </w:tc>
      </w:tr>
      <w:tr w:rsidR="00D470B6" w:rsidRPr="00A53AD7" w14:paraId="66D81907"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72634AC1"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Город Архангельск</w:t>
            </w:r>
          </w:p>
        </w:tc>
        <w:tc>
          <w:tcPr>
            <w:tcW w:w="1740" w:type="dxa"/>
            <w:tcBorders>
              <w:top w:val="nil"/>
              <w:left w:val="nil"/>
              <w:bottom w:val="single" w:sz="4" w:space="0" w:color="auto"/>
              <w:right w:val="single" w:sz="4" w:space="0" w:color="auto"/>
            </w:tcBorders>
            <w:shd w:val="clear" w:color="auto" w:fill="auto"/>
            <w:vAlign w:val="center"/>
            <w:hideMark/>
          </w:tcPr>
          <w:p w14:paraId="6637B24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58,47</w:t>
            </w:r>
          </w:p>
        </w:tc>
        <w:tc>
          <w:tcPr>
            <w:tcW w:w="1740" w:type="dxa"/>
            <w:tcBorders>
              <w:top w:val="nil"/>
              <w:left w:val="nil"/>
              <w:bottom w:val="single" w:sz="4" w:space="0" w:color="auto"/>
              <w:right w:val="single" w:sz="4" w:space="0" w:color="auto"/>
            </w:tcBorders>
            <w:shd w:val="clear" w:color="auto" w:fill="auto"/>
            <w:vAlign w:val="center"/>
            <w:hideMark/>
          </w:tcPr>
          <w:p w14:paraId="01BFBB8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57,35</w:t>
            </w:r>
          </w:p>
        </w:tc>
        <w:tc>
          <w:tcPr>
            <w:tcW w:w="1500" w:type="dxa"/>
            <w:tcBorders>
              <w:top w:val="nil"/>
              <w:left w:val="nil"/>
              <w:bottom w:val="single" w:sz="4" w:space="0" w:color="auto"/>
              <w:right w:val="single" w:sz="4" w:space="0" w:color="auto"/>
            </w:tcBorders>
            <w:shd w:val="clear" w:color="auto" w:fill="auto"/>
            <w:vAlign w:val="center"/>
            <w:hideMark/>
          </w:tcPr>
          <w:p w14:paraId="338A843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1,11</w:t>
            </w:r>
          </w:p>
        </w:tc>
        <w:tc>
          <w:tcPr>
            <w:tcW w:w="1940" w:type="dxa"/>
            <w:tcBorders>
              <w:top w:val="nil"/>
              <w:left w:val="nil"/>
              <w:bottom w:val="single" w:sz="4" w:space="0" w:color="auto"/>
              <w:right w:val="double" w:sz="4" w:space="0" w:color="auto"/>
            </w:tcBorders>
            <w:shd w:val="clear" w:color="auto" w:fill="auto"/>
            <w:vAlign w:val="center"/>
            <w:hideMark/>
          </w:tcPr>
          <w:p w14:paraId="63FFC93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2007,09</w:t>
            </w:r>
          </w:p>
        </w:tc>
      </w:tr>
      <w:tr w:rsidR="00D470B6" w:rsidRPr="00A53AD7" w14:paraId="7EBCD495"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0B4502A7"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Виноградовский район</w:t>
            </w:r>
          </w:p>
        </w:tc>
        <w:tc>
          <w:tcPr>
            <w:tcW w:w="1740" w:type="dxa"/>
            <w:tcBorders>
              <w:top w:val="nil"/>
              <w:left w:val="nil"/>
              <w:bottom w:val="single" w:sz="4" w:space="0" w:color="auto"/>
              <w:right w:val="single" w:sz="4" w:space="0" w:color="auto"/>
            </w:tcBorders>
            <w:shd w:val="clear" w:color="auto" w:fill="auto"/>
            <w:vAlign w:val="center"/>
            <w:hideMark/>
          </w:tcPr>
          <w:p w14:paraId="718383B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16,24</w:t>
            </w:r>
          </w:p>
        </w:tc>
        <w:tc>
          <w:tcPr>
            <w:tcW w:w="1740" w:type="dxa"/>
            <w:tcBorders>
              <w:top w:val="nil"/>
              <w:left w:val="nil"/>
              <w:bottom w:val="single" w:sz="4" w:space="0" w:color="auto"/>
              <w:right w:val="single" w:sz="4" w:space="0" w:color="auto"/>
            </w:tcBorders>
            <w:shd w:val="clear" w:color="auto" w:fill="auto"/>
            <w:vAlign w:val="center"/>
            <w:hideMark/>
          </w:tcPr>
          <w:p w14:paraId="5D616636"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15,93</w:t>
            </w:r>
          </w:p>
        </w:tc>
        <w:tc>
          <w:tcPr>
            <w:tcW w:w="1500" w:type="dxa"/>
            <w:tcBorders>
              <w:top w:val="nil"/>
              <w:left w:val="nil"/>
              <w:bottom w:val="single" w:sz="4" w:space="0" w:color="auto"/>
              <w:right w:val="single" w:sz="4" w:space="0" w:color="auto"/>
            </w:tcBorders>
            <w:shd w:val="clear" w:color="auto" w:fill="auto"/>
            <w:vAlign w:val="center"/>
            <w:hideMark/>
          </w:tcPr>
          <w:p w14:paraId="7C9B1854" w14:textId="320E921E"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0,30</w:t>
            </w:r>
            <w:r w:rsidR="005915D8" w:rsidRPr="00A53AD7">
              <w:rPr>
                <w:rFonts w:ascii="Times New Roman" w:eastAsia="Times New Roman" w:hAnsi="Times New Roman"/>
                <w:lang w:eastAsia="ru-RU"/>
              </w:rPr>
              <w:t xml:space="preserve"> </w:t>
            </w:r>
          </w:p>
        </w:tc>
        <w:tc>
          <w:tcPr>
            <w:tcW w:w="1940" w:type="dxa"/>
            <w:tcBorders>
              <w:top w:val="nil"/>
              <w:left w:val="nil"/>
              <w:bottom w:val="single" w:sz="4" w:space="0" w:color="auto"/>
              <w:right w:val="double" w:sz="4" w:space="0" w:color="auto"/>
            </w:tcBorders>
            <w:shd w:val="clear" w:color="auto" w:fill="auto"/>
            <w:vAlign w:val="center"/>
            <w:hideMark/>
          </w:tcPr>
          <w:p w14:paraId="6501523D"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1481,4</w:t>
            </w:r>
          </w:p>
        </w:tc>
      </w:tr>
      <w:tr w:rsidR="00D470B6" w:rsidRPr="00A53AD7" w14:paraId="29A258EF"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2D3463F2"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Северодвинск</w:t>
            </w:r>
          </w:p>
        </w:tc>
        <w:tc>
          <w:tcPr>
            <w:tcW w:w="1740" w:type="dxa"/>
            <w:tcBorders>
              <w:top w:val="nil"/>
              <w:left w:val="nil"/>
              <w:bottom w:val="single" w:sz="4" w:space="0" w:color="auto"/>
              <w:right w:val="single" w:sz="4" w:space="0" w:color="auto"/>
            </w:tcBorders>
            <w:shd w:val="clear" w:color="auto" w:fill="auto"/>
            <w:vAlign w:val="center"/>
            <w:hideMark/>
          </w:tcPr>
          <w:p w14:paraId="4DEB12A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22,78</w:t>
            </w:r>
          </w:p>
        </w:tc>
        <w:tc>
          <w:tcPr>
            <w:tcW w:w="1740" w:type="dxa"/>
            <w:tcBorders>
              <w:top w:val="nil"/>
              <w:left w:val="nil"/>
              <w:bottom w:val="single" w:sz="4" w:space="0" w:color="auto"/>
              <w:right w:val="single" w:sz="4" w:space="0" w:color="auto"/>
            </w:tcBorders>
            <w:shd w:val="clear" w:color="auto" w:fill="auto"/>
            <w:vAlign w:val="center"/>
            <w:hideMark/>
          </w:tcPr>
          <w:p w14:paraId="4E378568"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22,34</w:t>
            </w:r>
          </w:p>
        </w:tc>
        <w:tc>
          <w:tcPr>
            <w:tcW w:w="1500" w:type="dxa"/>
            <w:tcBorders>
              <w:top w:val="nil"/>
              <w:left w:val="nil"/>
              <w:bottom w:val="single" w:sz="4" w:space="0" w:color="auto"/>
              <w:right w:val="single" w:sz="4" w:space="0" w:color="auto"/>
            </w:tcBorders>
            <w:shd w:val="clear" w:color="auto" w:fill="auto"/>
            <w:vAlign w:val="center"/>
            <w:hideMark/>
          </w:tcPr>
          <w:p w14:paraId="4305C078" w14:textId="013978E8"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0,43</w:t>
            </w:r>
            <w:r w:rsidR="005915D8" w:rsidRPr="00A53AD7">
              <w:rPr>
                <w:rFonts w:ascii="Times New Roman" w:eastAsia="Times New Roman" w:hAnsi="Times New Roman"/>
                <w:lang w:eastAsia="ru-RU"/>
              </w:rPr>
              <w:t xml:space="preserve"> </w:t>
            </w:r>
          </w:p>
        </w:tc>
        <w:tc>
          <w:tcPr>
            <w:tcW w:w="1940" w:type="dxa"/>
            <w:tcBorders>
              <w:top w:val="nil"/>
              <w:left w:val="nil"/>
              <w:bottom w:val="single" w:sz="4" w:space="0" w:color="auto"/>
              <w:right w:val="double" w:sz="4" w:space="0" w:color="auto"/>
            </w:tcBorders>
            <w:shd w:val="clear" w:color="auto" w:fill="auto"/>
            <w:vAlign w:val="center"/>
            <w:hideMark/>
          </w:tcPr>
          <w:p w14:paraId="4EB5A5B1"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636,48</w:t>
            </w:r>
          </w:p>
        </w:tc>
      </w:tr>
      <w:tr w:rsidR="00D470B6" w:rsidRPr="00A53AD7" w14:paraId="76BC44D2" w14:textId="77777777" w:rsidTr="008F6C65">
        <w:trPr>
          <w:trHeight w:hRule="exact" w:val="255"/>
        </w:trPr>
        <w:tc>
          <w:tcPr>
            <w:tcW w:w="2660" w:type="dxa"/>
            <w:tcBorders>
              <w:top w:val="nil"/>
              <w:left w:val="double" w:sz="4" w:space="0" w:color="auto"/>
              <w:bottom w:val="single" w:sz="4" w:space="0" w:color="auto"/>
              <w:right w:val="single" w:sz="4" w:space="0" w:color="auto"/>
            </w:tcBorders>
            <w:shd w:val="clear" w:color="auto" w:fill="auto"/>
            <w:vAlign w:val="center"/>
            <w:hideMark/>
          </w:tcPr>
          <w:p w14:paraId="543A964D"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Котлас</w:t>
            </w:r>
          </w:p>
        </w:tc>
        <w:tc>
          <w:tcPr>
            <w:tcW w:w="1740" w:type="dxa"/>
            <w:tcBorders>
              <w:top w:val="nil"/>
              <w:left w:val="nil"/>
              <w:bottom w:val="single" w:sz="4" w:space="0" w:color="auto"/>
              <w:right w:val="single" w:sz="4" w:space="0" w:color="auto"/>
            </w:tcBorders>
            <w:shd w:val="clear" w:color="auto" w:fill="auto"/>
            <w:vAlign w:val="center"/>
            <w:hideMark/>
          </w:tcPr>
          <w:p w14:paraId="66A4DAC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19,27</w:t>
            </w:r>
          </w:p>
        </w:tc>
        <w:tc>
          <w:tcPr>
            <w:tcW w:w="1740" w:type="dxa"/>
            <w:tcBorders>
              <w:top w:val="nil"/>
              <w:left w:val="nil"/>
              <w:bottom w:val="single" w:sz="4" w:space="0" w:color="auto"/>
              <w:right w:val="single" w:sz="4" w:space="0" w:color="auto"/>
            </w:tcBorders>
            <w:shd w:val="clear" w:color="auto" w:fill="auto"/>
            <w:vAlign w:val="center"/>
            <w:hideMark/>
          </w:tcPr>
          <w:p w14:paraId="5D698664"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18,90</w:t>
            </w:r>
          </w:p>
        </w:tc>
        <w:tc>
          <w:tcPr>
            <w:tcW w:w="1500" w:type="dxa"/>
            <w:tcBorders>
              <w:top w:val="nil"/>
              <w:left w:val="nil"/>
              <w:bottom w:val="single" w:sz="4" w:space="0" w:color="auto"/>
              <w:right w:val="single" w:sz="4" w:space="0" w:color="auto"/>
            </w:tcBorders>
            <w:shd w:val="clear" w:color="auto" w:fill="auto"/>
            <w:vAlign w:val="center"/>
            <w:hideMark/>
          </w:tcPr>
          <w:p w14:paraId="34558777"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0,36 </w:t>
            </w:r>
          </w:p>
        </w:tc>
        <w:tc>
          <w:tcPr>
            <w:tcW w:w="1940" w:type="dxa"/>
            <w:tcBorders>
              <w:top w:val="nil"/>
              <w:left w:val="nil"/>
              <w:bottom w:val="single" w:sz="4" w:space="0" w:color="auto"/>
              <w:right w:val="double" w:sz="4" w:space="0" w:color="auto"/>
            </w:tcBorders>
            <w:shd w:val="clear" w:color="auto" w:fill="auto"/>
            <w:vAlign w:val="center"/>
            <w:hideMark/>
          </w:tcPr>
          <w:p w14:paraId="503AB19A"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1752,88</w:t>
            </w:r>
          </w:p>
        </w:tc>
      </w:tr>
      <w:tr w:rsidR="00844D34" w:rsidRPr="00A53AD7" w14:paraId="5741AA92" w14:textId="77777777" w:rsidTr="008F6C65">
        <w:trPr>
          <w:trHeight w:hRule="exact" w:val="255"/>
        </w:trPr>
        <w:tc>
          <w:tcPr>
            <w:tcW w:w="2660" w:type="dxa"/>
            <w:tcBorders>
              <w:top w:val="nil"/>
              <w:left w:val="double" w:sz="4" w:space="0" w:color="auto"/>
              <w:bottom w:val="double" w:sz="4" w:space="0" w:color="auto"/>
              <w:right w:val="single" w:sz="4" w:space="0" w:color="auto"/>
            </w:tcBorders>
            <w:shd w:val="clear" w:color="auto" w:fill="auto"/>
            <w:vAlign w:val="center"/>
            <w:hideMark/>
          </w:tcPr>
          <w:p w14:paraId="2FA9315D" w14:textId="77777777" w:rsidR="00844D34" w:rsidRPr="00A53AD7" w:rsidRDefault="00844D34" w:rsidP="007042D1">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всего</w:t>
            </w:r>
          </w:p>
        </w:tc>
        <w:tc>
          <w:tcPr>
            <w:tcW w:w="1740" w:type="dxa"/>
            <w:tcBorders>
              <w:top w:val="nil"/>
              <w:left w:val="nil"/>
              <w:bottom w:val="double" w:sz="4" w:space="0" w:color="auto"/>
              <w:right w:val="single" w:sz="4" w:space="0" w:color="auto"/>
            </w:tcBorders>
            <w:shd w:val="clear" w:color="auto" w:fill="auto"/>
            <w:vAlign w:val="center"/>
            <w:hideMark/>
          </w:tcPr>
          <w:p w14:paraId="08D7870B"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116,76</w:t>
            </w:r>
          </w:p>
        </w:tc>
        <w:tc>
          <w:tcPr>
            <w:tcW w:w="1740" w:type="dxa"/>
            <w:tcBorders>
              <w:top w:val="nil"/>
              <w:left w:val="nil"/>
              <w:bottom w:val="double" w:sz="4" w:space="0" w:color="auto"/>
              <w:right w:val="single" w:sz="4" w:space="0" w:color="auto"/>
            </w:tcBorders>
            <w:shd w:val="clear" w:color="auto" w:fill="auto"/>
            <w:vAlign w:val="center"/>
            <w:hideMark/>
          </w:tcPr>
          <w:p w14:paraId="4F6464B2" w14:textId="6FC6F9CE"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114,54</w:t>
            </w:r>
            <w:r w:rsidR="005915D8" w:rsidRPr="00A53AD7">
              <w:rPr>
                <w:rFonts w:ascii="Times New Roman" w:eastAsia="Times New Roman" w:hAnsi="Times New Roman"/>
                <w:lang w:eastAsia="ru-RU"/>
              </w:rPr>
              <w:t xml:space="preserve"> </w:t>
            </w:r>
          </w:p>
        </w:tc>
        <w:tc>
          <w:tcPr>
            <w:tcW w:w="1500" w:type="dxa"/>
            <w:tcBorders>
              <w:top w:val="nil"/>
              <w:left w:val="nil"/>
              <w:bottom w:val="double" w:sz="4" w:space="0" w:color="auto"/>
              <w:right w:val="single" w:sz="4" w:space="0" w:color="auto"/>
            </w:tcBorders>
            <w:shd w:val="clear" w:color="auto" w:fill="auto"/>
            <w:vAlign w:val="center"/>
            <w:hideMark/>
          </w:tcPr>
          <w:p w14:paraId="5977E73D" w14:textId="6D98604E"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2,22</w:t>
            </w:r>
            <w:r w:rsidR="005915D8" w:rsidRPr="00A53AD7">
              <w:rPr>
                <w:rFonts w:ascii="Times New Roman" w:eastAsia="Times New Roman" w:hAnsi="Times New Roman"/>
                <w:lang w:eastAsia="ru-RU"/>
              </w:rPr>
              <w:t xml:space="preserve"> </w:t>
            </w:r>
          </w:p>
        </w:tc>
        <w:tc>
          <w:tcPr>
            <w:tcW w:w="1940" w:type="dxa"/>
            <w:tcBorders>
              <w:top w:val="nil"/>
              <w:left w:val="nil"/>
              <w:bottom w:val="double" w:sz="4" w:space="0" w:color="auto"/>
              <w:right w:val="double" w:sz="4" w:space="0" w:color="auto"/>
            </w:tcBorders>
            <w:shd w:val="clear" w:color="auto" w:fill="auto"/>
            <w:vAlign w:val="center"/>
            <w:hideMark/>
          </w:tcPr>
          <w:p w14:paraId="67EF028C" w14:textId="77777777" w:rsidR="00844D34" w:rsidRPr="00A53AD7" w:rsidRDefault="00844D34" w:rsidP="007042D1">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5877,85</w:t>
            </w:r>
          </w:p>
        </w:tc>
      </w:tr>
    </w:tbl>
    <w:p w14:paraId="0D398A98" w14:textId="77777777" w:rsidR="00844D34" w:rsidRPr="00A53AD7" w:rsidRDefault="00844D34" w:rsidP="00DF1D6B">
      <w:pPr>
        <w:spacing w:after="0" w:line="240" w:lineRule="auto"/>
        <w:ind w:firstLine="851"/>
        <w:jc w:val="both"/>
        <w:rPr>
          <w:rFonts w:ascii="Times New Roman" w:hAnsi="Times New Roman"/>
          <w:sz w:val="28"/>
          <w:szCs w:val="28"/>
        </w:rPr>
      </w:pPr>
    </w:p>
    <w:p w14:paraId="73869DBE"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Кроме того, в МО «Город Архангельск» расселено за счет средств местного бюджета дополнительно 672,1 кв.м. аварийного жилья без использования средств Фонда и областного бюджета. </w:t>
      </w:r>
    </w:p>
    <w:p w14:paraId="0E5E6887"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муниципальных образований за счет средств финансовой поддержки из областного бюджета составили 116,7 млн.руб., что соответствует отчету об исполнении бюджета за 2019 год.</w:t>
      </w:r>
    </w:p>
    <w:p w14:paraId="56DCC91A" w14:textId="77777777" w:rsidR="00844D34" w:rsidRPr="00A53AD7" w:rsidRDefault="00844D34" w:rsidP="00844D34">
      <w:pPr>
        <w:autoSpaceDE w:val="0"/>
        <w:autoSpaceDN w:val="0"/>
        <w:adjustRightInd w:val="0"/>
        <w:spacing w:after="0" w:line="240" w:lineRule="auto"/>
        <w:ind w:firstLine="709"/>
        <w:jc w:val="both"/>
        <w:rPr>
          <w:rFonts w:ascii="Times New Roman" w:hAnsi="Times New Roman"/>
          <w:sz w:val="28"/>
          <w:szCs w:val="28"/>
          <w:highlight w:val="cyan"/>
        </w:rPr>
      </w:pPr>
    </w:p>
    <w:p w14:paraId="6F1BBDEA" w14:textId="77777777" w:rsidR="00844D34" w:rsidRPr="00A53AD7" w:rsidRDefault="00844D34" w:rsidP="00DF1D6B">
      <w:pPr>
        <w:shd w:val="clear" w:color="auto" w:fill="FFFFFF"/>
        <w:spacing w:after="0" w:line="240" w:lineRule="auto"/>
        <w:ind w:firstLine="851"/>
        <w:jc w:val="both"/>
        <w:rPr>
          <w:rFonts w:ascii="Times New Roman" w:eastAsia="Times New Roman" w:hAnsi="Times New Roman"/>
          <w:b/>
          <w:sz w:val="28"/>
          <w:szCs w:val="28"/>
          <w:lang w:eastAsia="ru-RU"/>
        </w:rPr>
      </w:pPr>
      <w:r w:rsidRPr="00A53AD7">
        <w:rPr>
          <w:rFonts w:ascii="Times New Roman" w:eastAsia="Times New Roman" w:hAnsi="Times New Roman"/>
          <w:b/>
          <w:sz w:val="28"/>
          <w:szCs w:val="28"/>
          <w:lang w:eastAsia="ru-RU"/>
        </w:rPr>
        <w:t>Министерство строительства и архитектуры АО:</w:t>
      </w:r>
    </w:p>
    <w:p w14:paraId="1651A130" w14:textId="01D8939C"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отчетом об исполнении бюджета на 2019 год, в части расходов утверждены бюджетные назначения на сумму 2 186,4 млн.руб., исполнено – 320,2 млн.руб. или на 14,6% от плановых показателей, из них:</w:t>
      </w:r>
    </w:p>
    <w:p w14:paraId="54A1668F" w14:textId="77777777" w:rsidR="00844D34" w:rsidRPr="00A53AD7" w:rsidRDefault="00844D34" w:rsidP="00CA1DDD">
      <w:pPr>
        <w:pStyle w:val="a8"/>
        <w:numPr>
          <w:ilvl w:val="0"/>
          <w:numId w:val="58"/>
        </w:numPr>
        <w:autoSpaceDE w:val="0"/>
        <w:autoSpaceDN w:val="0"/>
        <w:adjustRightInd w:val="0"/>
        <w:ind w:left="0" w:firstLine="851"/>
        <w:jc w:val="both"/>
        <w:rPr>
          <w:sz w:val="28"/>
          <w:szCs w:val="28"/>
        </w:rPr>
      </w:pPr>
      <w:r w:rsidRPr="00A53AD7">
        <w:rPr>
          <w:sz w:val="28"/>
          <w:szCs w:val="28"/>
        </w:rPr>
        <w:t>утверждено за счет средств Фонда – 2 123,9 млн.руб., исполнено – 310,6 млн.руб. или на 14,6% от плановых показателей;</w:t>
      </w:r>
    </w:p>
    <w:p w14:paraId="4EE857A9" w14:textId="77777777" w:rsidR="00844D34" w:rsidRPr="00A53AD7" w:rsidRDefault="00844D34" w:rsidP="00CA1DDD">
      <w:pPr>
        <w:pStyle w:val="a8"/>
        <w:numPr>
          <w:ilvl w:val="0"/>
          <w:numId w:val="58"/>
        </w:numPr>
        <w:autoSpaceDE w:val="0"/>
        <w:autoSpaceDN w:val="0"/>
        <w:adjustRightInd w:val="0"/>
        <w:ind w:left="0" w:firstLine="851"/>
        <w:jc w:val="both"/>
        <w:rPr>
          <w:sz w:val="28"/>
          <w:szCs w:val="28"/>
        </w:rPr>
      </w:pPr>
      <w:r w:rsidRPr="00A53AD7">
        <w:rPr>
          <w:sz w:val="28"/>
          <w:szCs w:val="28"/>
        </w:rPr>
        <w:t>утверждено за счет средств областного бюджета – 62,5 млн.руб., исполнено – 9,6 млн.руб. или на 15% от плановых показателей.</w:t>
      </w:r>
    </w:p>
    <w:p w14:paraId="4277D4D2"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министерством строительства и архитектуры АО и муниципальными образованиями области заключены 4 соглашения о предоставлении субсидии из областного бюджета местному бюджету на софинансирование капитальных вложений в объекты муниципальной собственности муниципальных образований Архангельской области на общую сумму 308,8 млн.руб., из них средства Фонда – 228,2 млн.руб., средства областного бюджета – 80,6 млн.руб.</w:t>
      </w:r>
    </w:p>
    <w:p w14:paraId="0A2C61BF"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бюджеты муниципальных образований перечислено 171,1 млн.руб или 55% от размера суммы в соглашениях:</w:t>
      </w:r>
    </w:p>
    <w:p w14:paraId="63AE8D9D" w14:textId="76A62CDC" w:rsidR="00844D34" w:rsidRPr="00A53AD7" w:rsidRDefault="007B71E0" w:rsidP="00CA1DDD">
      <w:pPr>
        <w:pStyle w:val="a8"/>
        <w:numPr>
          <w:ilvl w:val="0"/>
          <w:numId w:val="59"/>
        </w:numPr>
        <w:autoSpaceDE w:val="0"/>
        <w:autoSpaceDN w:val="0"/>
        <w:adjustRightInd w:val="0"/>
        <w:ind w:left="0" w:firstLine="851"/>
        <w:jc w:val="both"/>
        <w:rPr>
          <w:sz w:val="28"/>
          <w:szCs w:val="28"/>
        </w:rPr>
      </w:pPr>
      <w:r w:rsidRPr="00A53AD7">
        <w:rPr>
          <w:sz w:val="28"/>
          <w:szCs w:val="28"/>
        </w:rPr>
        <w:t>средства Фонда – 167,6 млн.руб.;</w:t>
      </w:r>
    </w:p>
    <w:p w14:paraId="3A7BA6D6" w14:textId="185C2BEE"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средства областного бюджета – 3,4 млн.руб.</w:t>
      </w:r>
    </w:p>
    <w:p w14:paraId="34BC41AD" w14:textId="77777777" w:rsidR="00844D34" w:rsidRPr="00A53AD7" w:rsidRDefault="00844D34" w:rsidP="00DF1D6B">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них по муниципальным образованиям:</w:t>
      </w:r>
    </w:p>
    <w:p w14:paraId="35304CD6" w14:textId="623360AD"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МО «Северодвинск» - 154,01 млн.руб., из них 150,9 млн.руб. за счет средств Фонда (соглашение на 154,4 млн.руб.);</w:t>
      </w:r>
    </w:p>
    <w:p w14:paraId="1900700E" w14:textId="63307017"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МО «Вилегодский муниципальный район» - 5,2 млн.руб., из них 5,1 млн.руб. за счет средств Фонда (соглашение на 86,9 млн.руб.);</w:t>
      </w:r>
    </w:p>
    <w:p w14:paraId="40D79969" w14:textId="0F8F955F"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МО «Котлас» - 11,7 млн.руб., из них 11,4 млн.руб. за счет средств Фонда (соглашение на 11,7 млн.руб.);</w:t>
      </w:r>
    </w:p>
    <w:p w14:paraId="2A252032" w14:textId="234AC12B"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МО «Холмогорский муниципальный район» - 0 руб., (соглашение на 56,05 млн.руб.).</w:t>
      </w:r>
    </w:p>
    <w:p w14:paraId="6D50E9D7" w14:textId="77777777" w:rsidR="00844D34" w:rsidRPr="00A53AD7" w:rsidRDefault="00844D34" w:rsidP="00D878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мероприятий АП 2019-2025 в 2019 году МО «Северодвинск» заключило 3 контракта на строительство трех многоквартирных домов; МО «Котлас» заключило 1 контракт на строительство одного многоквартирного дома, МО «Вилегодский муниципальный район» заключило 1 контракт на строительство двух многоквартирных домов и МО «Холмогорский муниципальный район» заключило 1 контракт на строительство одного многоквартирного дома.</w:t>
      </w:r>
    </w:p>
    <w:tbl>
      <w:tblPr>
        <w:tblW w:w="9513" w:type="dxa"/>
        <w:tblInd w:w="93" w:type="dxa"/>
        <w:tblLayout w:type="fixed"/>
        <w:tblLook w:val="04A0" w:firstRow="1" w:lastRow="0" w:firstColumn="1" w:lastColumn="0" w:noHBand="0" w:noVBand="1"/>
      </w:tblPr>
      <w:tblGrid>
        <w:gridCol w:w="1858"/>
        <w:gridCol w:w="2410"/>
        <w:gridCol w:w="1134"/>
        <w:gridCol w:w="992"/>
        <w:gridCol w:w="851"/>
        <w:gridCol w:w="850"/>
        <w:gridCol w:w="709"/>
        <w:gridCol w:w="709"/>
      </w:tblGrid>
      <w:tr w:rsidR="00D470B6" w:rsidRPr="00A53AD7" w14:paraId="68ED34D0" w14:textId="77777777" w:rsidTr="00D878CA">
        <w:trPr>
          <w:trHeight w:val="264"/>
        </w:trPr>
        <w:tc>
          <w:tcPr>
            <w:tcW w:w="1858"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1542D567"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Наименование МО</w:t>
            </w:r>
          </w:p>
        </w:tc>
        <w:tc>
          <w:tcPr>
            <w:tcW w:w="241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4001852B"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исполнитель</w:t>
            </w:r>
          </w:p>
        </w:tc>
        <w:tc>
          <w:tcPr>
            <w:tcW w:w="5245" w:type="dxa"/>
            <w:gridSpan w:val="6"/>
            <w:tcBorders>
              <w:top w:val="double" w:sz="4" w:space="0" w:color="auto"/>
              <w:left w:val="nil"/>
              <w:bottom w:val="single" w:sz="4" w:space="0" w:color="auto"/>
              <w:right w:val="double" w:sz="4" w:space="0" w:color="auto"/>
            </w:tcBorders>
            <w:shd w:val="clear" w:color="auto" w:fill="auto"/>
            <w:vAlign w:val="center"/>
            <w:hideMark/>
          </w:tcPr>
          <w:p w14:paraId="155E97AB"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контракт</w:t>
            </w:r>
          </w:p>
        </w:tc>
      </w:tr>
      <w:tr w:rsidR="00D470B6" w:rsidRPr="00A53AD7" w14:paraId="2A103202" w14:textId="77777777" w:rsidTr="00D878CA">
        <w:trPr>
          <w:trHeight w:val="264"/>
        </w:trPr>
        <w:tc>
          <w:tcPr>
            <w:tcW w:w="1858" w:type="dxa"/>
            <w:vMerge/>
            <w:tcBorders>
              <w:top w:val="single" w:sz="4" w:space="0" w:color="auto"/>
              <w:left w:val="double" w:sz="4" w:space="0" w:color="auto"/>
              <w:bottom w:val="single" w:sz="4" w:space="0" w:color="auto"/>
              <w:right w:val="single" w:sz="4" w:space="0" w:color="auto"/>
            </w:tcBorders>
            <w:vAlign w:val="center"/>
            <w:hideMark/>
          </w:tcPr>
          <w:p w14:paraId="6F100A84"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55706CED"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50FAD6B"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дата</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7CBC3C"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номер</w:t>
            </w:r>
          </w:p>
        </w:tc>
        <w:tc>
          <w:tcPr>
            <w:tcW w:w="3119" w:type="dxa"/>
            <w:gridSpan w:val="4"/>
            <w:tcBorders>
              <w:top w:val="single" w:sz="4" w:space="0" w:color="auto"/>
              <w:left w:val="nil"/>
              <w:bottom w:val="single" w:sz="4" w:space="0" w:color="auto"/>
              <w:right w:val="double" w:sz="4" w:space="0" w:color="auto"/>
            </w:tcBorders>
            <w:shd w:val="clear" w:color="auto" w:fill="auto"/>
            <w:vAlign w:val="center"/>
            <w:hideMark/>
          </w:tcPr>
          <w:p w14:paraId="2D4E25E3"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цена, млн.руб.</w:t>
            </w:r>
          </w:p>
        </w:tc>
      </w:tr>
      <w:tr w:rsidR="00D470B6" w:rsidRPr="00A53AD7" w14:paraId="63500FE0" w14:textId="77777777" w:rsidTr="00D878CA">
        <w:trPr>
          <w:trHeight w:val="264"/>
        </w:trPr>
        <w:tc>
          <w:tcPr>
            <w:tcW w:w="1858" w:type="dxa"/>
            <w:vMerge/>
            <w:tcBorders>
              <w:top w:val="single" w:sz="4" w:space="0" w:color="auto"/>
              <w:left w:val="double" w:sz="4" w:space="0" w:color="auto"/>
              <w:bottom w:val="single" w:sz="4" w:space="0" w:color="auto"/>
              <w:right w:val="single" w:sz="4" w:space="0" w:color="auto"/>
            </w:tcBorders>
            <w:vAlign w:val="center"/>
            <w:hideMark/>
          </w:tcPr>
          <w:p w14:paraId="4A5B4793"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2AD5ABDE"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622F38D7"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14:paraId="48A47E1A"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698677CC"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всего</w:t>
            </w:r>
          </w:p>
        </w:tc>
        <w:tc>
          <w:tcPr>
            <w:tcW w:w="850" w:type="dxa"/>
            <w:tcBorders>
              <w:top w:val="nil"/>
              <w:left w:val="nil"/>
              <w:bottom w:val="single" w:sz="4" w:space="0" w:color="auto"/>
              <w:right w:val="single" w:sz="4" w:space="0" w:color="auto"/>
            </w:tcBorders>
            <w:shd w:val="clear" w:color="auto" w:fill="auto"/>
            <w:vAlign w:val="center"/>
            <w:hideMark/>
          </w:tcPr>
          <w:p w14:paraId="66AEAA78"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Фонд</w:t>
            </w:r>
          </w:p>
        </w:tc>
        <w:tc>
          <w:tcPr>
            <w:tcW w:w="709" w:type="dxa"/>
            <w:tcBorders>
              <w:top w:val="nil"/>
              <w:left w:val="nil"/>
              <w:bottom w:val="single" w:sz="4" w:space="0" w:color="auto"/>
              <w:right w:val="single" w:sz="4" w:space="0" w:color="auto"/>
            </w:tcBorders>
            <w:shd w:val="clear" w:color="auto" w:fill="auto"/>
            <w:vAlign w:val="center"/>
            <w:hideMark/>
          </w:tcPr>
          <w:p w14:paraId="55CEA3DF"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ОБ</w:t>
            </w:r>
          </w:p>
        </w:tc>
        <w:tc>
          <w:tcPr>
            <w:tcW w:w="709" w:type="dxa"/>
            <w:tcBorders>
              <w:top w:val="nil"/>
              <w:left w:val="nil"/>
              <w:bottom w:val="single" w:sz="4" w:space="0" w:color="auto"/>
              <w:right w:val="double" w:sz="4" w:space="0" w:color="auto"/>
            </w:tcBorders>
            <w:shd w:val="clear" w:color="auto" w:fill="auto"/>
            <w:vAlign w:val="center"/>
            <w:hideMark/>
          </w:tcPr>
          <w:p w14:paraId="73717986"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МБ</w:t>
            </w:r>
          </w:p>
        </w:tc>
      </w:tr>
      <w:tr w:rsidR="00D470B6" w:rsidRPr="00A53AD7" w14:paraId="1BD8521C" w14:textId="77777777" w:rsidTr="00D878CA">
        <w:trPr>
          <w:trHeight w:val="528"/>
        </w:trPr>
        <w:tc>
          <w:tcPr>
            <w:tcW w:w="1858" w:type="dxa"/>
            <w:tcBorders>
              <w:top w:val="nil"/>
              <w:left w:val="double" w:sz="4" w:space="0" w:color="auto"/>
              <w:bottom w:val="single" w:sz="4" w:space="0" w:color="auto"/>
              <w:right w:val="single" w:sz="4" w:space="0" w:color="auto"/>
            </w:tcBorders>
            <w:shd w:val="clear" w:color="auto" w:fill="auto"/>
            <w:vAlign w:val="center"/>
            <w:hideMark/>
          </w:tcPr>
          <w:p w14:paraId="117DEA81"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Вилегодский район</w:t>
            </w:r>
          </w:p>
        </w:tc>
        <w:tc>
          <w:tcPr>
            <w:tcW w:w="2410" w:type="dxa"/>
            <w:tcBorders>
              <w:top w:val="nil"/>
              <w:left w:val="nil"/>
              <w:bottom w:val="single" w:sz="4" w:space="0" w:color="auto"/>
              <w:right w:val="single" w:sz="4" w:space="0" w:color="auto"/>
            </w:tcBorders>
            <w:shd w:val="clear" w:color="auto" w:fill="auto"/>
            <w:vAlign w:val="center"/>
            <w:hideMark/>
          </w:tcPr>
          <w:p w14:paraId="269A2072"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"Альтернатива"</w:t>
            </w:r>
          </w:p>
        </w:tc>
        <w:tc>
          <w:tcPr>
            <w:tcW w:w="1134" w:type="dxa"/>
            <w:tcBorders>
              <w:top w:val="nil"/>
              <w:left w:val="nil"/>
              <w:bottom w:val="single" w:sz="4" w:space="0" w:color="auto"/>
              <w:right w:val="single" w:sz="4" w:space="0" w:color="auto"/>
            </w:tcBorders>
            <w:shd w:val="clear" w:color="auto" w:fill="auto"/>
            <w:vAlign w:val="center"/>
            <w:hideMark/>
          </w:tcPr>
          <w:p w14:paraId="01DB7721"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07.08.2019</w:t>
            </w:r>
          </w:p>
        </w:tc>
        <w:tc>
          <w:tcPr>
            <w:tcW w:w="992" w:type="dxa"/>
            <w:tcBorders>
              <w:top w:val="nil"/>
              <w:left w:val="nil"/>
              <w:bottom w:val="single" w:sz="4" w:space="0" w:color="auto"/>
              <w:right w:val="single" w:sz="4" w:space="0" w:color="auto"/>
            </w:tcBorders>
            <w:shd w:val="clear" w:color="auto" w:fill="auto"/>
            <w:vAlign w:val="center"/>
            <w:hideMark/>
          </w:tcPr>
          <w:p w14:paraId="5B75EBED"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1-КА/2019</w:t>
            </w:r>
          </w:p>
        </w:tc>
        <w:tc>
          <w:tcPr>
            <w:tcW w:w="851" w:type="dxa"/>
            <w:tcBorders>
              <w:top w:val="nil"/>
              <w:left w:val="nil"/>
              <w:bottom w:val="single" w:sz="4" w:space="0" w:color="auto"/>
              <w:right w:val="single" w:sz="4" w:space="0" w:color="auto"/>
            </w:tcBorders>
            <w:shd w:val="clear" w:color="auto" w:fill="auto"/>
            <w:vAlign w:val="center"/>
            <w:hideMark/>
          </w:tcPr>
          <w:p w14:paraId="55E8D31E" w14:textId="48D6AEA4"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82,4</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5FF80595" w14:textId="0707B020"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79,2</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8FAFD3F" w14:textId="0A2556CB"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double" w:sz="4" w:space="0" w:color="auto"/>
            </w:tcBorders>
            <w:shd w:val="clear" w:color="auto" w:fill="auto"/>
            <w:vAlign w:val="center"/>
            <w:hideMark/>
          </w:tcPr>
          <w:p w14:paraId="5FD224BD" w14:textId="151F033D"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w:t>
            </w:r>
            <w:r w:rsidR="005915D8" w:rsidRPr="00A53AD7">
              <w:rPr>
                <w:rFonts w:ascii="Times New Roman" w:eastAsia="Times New Roman" w:hAnsi="Times New Roman"/>
                <w:sz w:val="24"/>
                <w:szCs w:val="24"/>
                <w:lang w:eastAsia="ru-RU"/>
              </w:rPr>
              <w:t xml:space="preserve"> </w:t>
            </w:r>
          </w:p>
        </w:tc>
      </w:tr>
      <w:tr w:rsidR="00D470B6" w:rsidRPr="00A53AD7" w14:paraId="3D4686E6" w14:textId="77777777" w:rsidTr="00D878CA">
        <w:trPr>
          <w:trHeight w:val="528"/>
        </w:trPr>
        <w:tc>
          <w:tcPr>
            <w:tcW w:w="1858" w:type="dxa"/>
            <w:tcBorders>
              <w:top w:val="nil"/>
              <w:left w:val="double" w:sz="4" w:space="0" w:color="auto"/>
              <w:bottom w:val="single" w:sz="4" w:space="0" w:color="auto"/>
              <w:right w:val="single" w:sz="4" w:space="0" w:color="auto"/>
            </w:tcBorders>
            <w:shd w:val="clear" w:color="auto" w:fill="auto"/>
            <w:vAlign w:val="center"/>
            <w:hideMark/>
          </w:tcPr>
          <w:p w14:paraId="54D2C1C8"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Холмогорский район</w:t>
            </w:r>
          </w:p>
        </w:tc>
        <w:tc>
          <w:tcPr>
            <w:tcW w:w="2410" w:type="dxa"/>
            <w:tcBorders>
              <w:top w:val="nil"/>
              <w:left w:val="nil"/>
              <w:bottom w:val="single" w:sz="4" w:space="0" w:color="auto"/>
              <w:right w:val="single" w:sz="4" w:space="0" w:color="auto"/>
            </w:tcBorders>
            <w:shd w:val="clear" w:color="auto" w:fill="auto"/>
            <w:vAlign w:val="center"/>
            <w:hideMark/>
          </w:tcPr>
          <w:p w14:paraId="3460E5AE"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"РК-Инвест"</w:t>
            </w:r>
          </w:p>
        </w:tc>
        <w:tc>
          <w:tcPr>
            <w:tcW w:w="1134" w:type="dxa"/>
            <w:tcBorders>
              <w:top w:val="nil"/>
              <w:left w:val="nil"/>
              <w:bottom w:val="single" w:sz="4" w:space="0" w:color="auto"/>
              <w:right w:val="single" w:sz="4" w:space="0" w:color="auto"/>
            </w:tcBorders>
            <w:shd w:val="clear" w:color="auto" w:fill="auto"/>
            <w:vAlign w:val="center"/>
            <w:hideMark/>
          </w:tcPr>
          <w:p w14:paraId="04581DC1"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12.08.2019</w:t>
            </w:r>
          </w:p>
        </w:tc>
        <w:tc>
          <w:tcPr>
            <w:tcW w:w="992" w:type="dxa"/>
            <w:tcBorders>
              <w:top w:val="nil"/>
              <w:left w:val="nil"/>
              <w:bottom w:val="single" w:sz="4" w:space="0" w:color="auto"/>
              <w:right w:val="single" w:sz="4" w:space="0" w:color="auto"/>
            </w:tcBorders>
            <w:shd w:val="clear" w:color="auto" w:fill="auto"/>
            <w:vAlign w:val="center"/>
            <w:hideMark/>
          </w:tcPr>
          <w:p w14:paraId="437A2AE9"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w:t>
            </w:r>
          </w:p>
        </w:tc>
        <w:tc>
          <w:tcPr>
            <w:tcW w:w="851" w:type="dxa"/>
            <w:tcBorders>
              <w:top w:val="nil"/>
              <w:left w:val="nil"/>
              <w:bottom w:val="single" w:sz="4" w:space="0" w:color="auto"/>
              <w:right w:val="single" w:sz="4" w:space="0" w:color="auto"/>
            </w:tcBorders>
            <w:shd w:val="clear" w:color="auto" w:fill="auto"/>
            <w:vAlign w:val="center"/>
            <w:hideMark/>
          </w:tcPr>
          <w:p w14:paraId="40CD1685" w14:textId="6B2C4B3E"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55,7</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16E5B90C" w14:textId="0BEE1E2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53,8</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5F8B4D7" w14:textId="3F1827AC"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1,1</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double" w:sz="4" w:space="0" w:color="auto"/>
            </w:tcBorders>
            <w:shd w:val="clear" w:color="auto" w:fill="auto"/>
            <w:vAlign w:val="center"/>
            <w:hideMark/>
          </w:tcPr>
          <w:p w14:paraId="313E476A" w14:textId="2B276663"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0,8</w:t>
            </w:r>
            <w:r w:rsidR="005915D8" w:rsidRPr="00A53AD7">
              <w:rPr>
                <w:rFonts w:ascii="Times New Roman" w:eastAsia="Times New Roman" w:hAnsi="Times New Roman"/>
                <w:sz w:val="24"/>
                <w:szCs w:val="24"/>
                <w:lang w:eastAsia="ru-RU"/>
              </w:rPr>
              <w:t xml:space="preserve"> </w:t>
            </w:r>
          </w:p>
        </w:tc>
      </w:tr>
      <w:tr w:rsidR="00D470B6" w:rsidRPr="00A53AD7" w14:paraId="47577848" w14:textId="77777777" w:rsidTr="00D878CA">
        <w:trPr>
          <w:trHeight w:val="264"/>
        </w:trPr>
        <w:tc>
          <w:tcPr>
            <w:tcW w:w="1858" w:type="dxa"/>
            <w:tcBorders>
              <w:top w:val="nil"/>
              <w:left w:val="double" w:sz="4" w:space="0" w:color="auto"/>
              <w:bottom w:val="single" w:sz="4" w:space="0" w:color="auto"/>
              <w:right w:val="single" w:sz="4" w:space="0" w:color="auto"/>
            </w:tcBorders>
            <w:shd w:val="clear" w:color="auto" w:fill="auto"/>
            <w:vAlign w:val="center"/>
            <w:hideMark/>
          </w:tcPr>
          <w:p w14:paraId="55B1F3C7"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Котлас</w:t>
            </w:r>
          </w:p>
        </w:tc>
        <w:tc>
          <w:tcPr>
            <w:tcW w:w="2410" w:type="dxa"/>
            <w:tcBorders>
              <w:top w:val="nil"/>
              <w:left w:val="nil"/>
              <w:bottom w:val="single" w:sz="4" w:space="0" w:color="auto"/>
              <w:right w:val="single" w:sz="4" w:space="0" w:color="auto"/>
            </w:tcBorders>
            <w:shd w:val="clear" w:color="auto" w:fill="auto"/>
            <w:vAlign w:val="center"/>
            <w:hideMark/>
          </w:tcPr>
          <w:p w14:paraId="26E20B69"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"СК-29"</w:t>
            </w:r>
          </w:p>
        </w:tc>
        <w:tc>
          <w:tcPr>
            <w:tcW w:w="1134" w:type="dxa"/>
            <w:tcBorders>
              <w:top w:val="nil"/>
              <w:left w:val="nil"/>
              <w:bottom w:val="single" w:sz="4" w:space="0" w:color="auto"/>
              <w:right w:val="single" w:sz="4" w:space="0" w:color="auto"/>
            </w:tcBorders>
            <w:shd w:val="clear" w:color="auto" w:fill="auto"/>
            <w:vAlign w:val="center"/>
            <w:hideMark/>
          </w:tcPr>
          <w:p w14:paraId="48DC871F"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08.07.2019</w:t>
            </w:r>
          </w:p>
        </w:tc>
        <w:tc>
          <w:tcPr>
            <w:tcW w:w="992" w:type="dxa"/>
            <w:tcBorders>
              <w:top w:val="nil"/>
              <w:left w:val="nil"/>
              <w:bottom w:val="single" w:sz="4" w:space="0" w:color="auto"/>
              <w:right w:val="single" w:sz="4" w:space="0" w:color="auto"/>
            </w:tcBorders>
            <w:shd w:val="clear" w:color="auto" w:fill="auto"/>
            <w:vAlign w:val="center"/>
            <w:hideMark/>
          </w:tcPr>
          <w:p w14:paraId="4F389125"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17/2019</w:t>
            </w:r>
          </w:p>
        </w:tc>
        <w:tc>
          <w:tcPr>
            <w:tcW w:w="851" w:type="dxa"/>
            <w:tcBorders>
              <w:top w:val="nil"/>
              <w:left w:val="nil"/>
              <w:bottom w:val="single" w:sz="4" w:space="0" w:color="auto"/>
              <w:right w:val="single" w:sz="4" w:space="0" w:color="auto"/>
            </w:tcBorders>
            <w:shd w:val="clear" w:color="auto" w:fill="auto"/>
            <w:vAlign w:val="center"/>
            <w:hideMark/>
          </w:tcPr>
          <w:p w14:paraId="48250CF6" w14:textId="202F938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251,0</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506F0F02" w14:textId="4C23E7DE"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238,5</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4F9FB12B" w14:textId="768B6C85"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4,9</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double" w:sz="4" w:space="0" w:color="auto"/>
            </w:tcBorders>
            <w:shd w:val="clear" w:color="auto" w:fill="auto"/>
            <w:vAlign w:val="center"/>
            <w:hideMark/>
          </w:tcPr>
          <w:p w14:paraId="3C5C989C" w14:textId="6BFE8BC2"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7,6</w:t>
            </w:r>
            <w:r w:rsidR="005915D8" w:rsidRPr="00A53AD7">
              <w:rPr>
                <w:rFonts w:ascii="Times New Roman" w:eastAsia="Times New Roman" w:hAnsi="Times New Roman"/>
                <w:sz w:val="24"/>
                <w:szCs w:val="24"/>
                <w:lang w:eastAsia="ru-RU"/>
              </w:rPr>
              <w:t xml:space="preserve"> </w:t>
            </w:r>
          </w:p>
        </w:tc>
      </w:tr>
      <w:tr w:rsidR="00D470B6" w:rsidRPr="00A53AD7" w14:paraId="046EC39A" w14:textId="77777777" w:rsidTr="00D878CA">
        <w:trPr>
          <w:trHeight w:val="264"/>
        </w:trPr>
        <w:tc>
          <w:tcPr>
            <w:tcW w:w="1858" w:type="dxa"/>
            <w:vMerge w:val="restart"/>
            <w:tcBorders>
              <w:top w:val="nil"/>
              <w:left w:val="double" w:sz="4" w:space="0" w:color="auto"/>
              <w:bottom w:val="single" w:sz="4" w:space="0" w:color="auto"/>
              <w:right w:val="single" w:sz="4" w:space="0" w:color="auto"/>
            </w:tcBorders>
            <w:shd w:val="clear" w:color="auto" w:fill="auto"/>
            <w:vAlign w:val="center"/>
            <w:hideMark/>
          </w:tcPr>
          <w:p w14:paraId="01AE334F"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Северодвинск</w:t>
            </w:r>
          </w:p>
        </w:tc>
        <w:tc>
          <w:tcPr>
            <w:tcW w:w="2410" w:type="dxa"/>
            <w:tcBorders>
              <w:top w:val="nil"/>
              <w:left w:val="nil"/>
              <w:bottom w:val="single" w:sz="4" w:space="0" w:color="auto"/>
              <w:right w:val="single" w:sz="4" w:space="0" w:color="auto"/>
            </w:tcBorders>
            <w:shd w:val="clear" w:color="auto" w:fill="auto"/>
            <w:vAlign w:val="center"/>
            <w:hideMark/>
          </w:tcPr>
          <w:p w14:paraId="12F30650"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"Строй Центр"</w:t>
            </w:r>
          </w:p>
        </w:tc>
        <w:tc>
          <w:tcPr>
            <w:tcW w:w="1134" w:type="dxa"/>
            <w:tcBorders>
              <w:top w:val="nil"/>
              <w:left w:val="nil"/>
              <w:bottom w:val="single" w:sz="4" w:space="0" w:color="auto"/>
              <w:right w:val="single" w:sz="4" w:space="0" w:color="auto"/>
            </w:tcBorders>
            <w:shd w:val="clear" w:color="auto" w:fill="auto"/>
            <w:vAlign w:val="center"/>
            <w:hideMark/>
          </w:tcPr>
          <w:p w14:paraId="1045EFC7"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28.08.2018</w:t>
            </w:r>
          </w:p>
        </w:tc>
        <w:tc>
          <w:tcPr>
            <w:tcW w:w="992" w:type="dxa"/>
            <w:tcBorders>
              <w:top w:val="nil"/>
              <w:left w:val="nil"/>
              <w:bottom w:val="single" w:sz="4" w:space="0" w:color="auto"/>
              <w:right w:val="single" w:sz="4" w:space="0" w:color="auto"/>
            </w:tcBorders>
            <w:shd w:val="clear" w:color="auto" w:fill="auto"/>
            <w:vAlign w:val="center"/>
            <w:hideMark/>
          </w:tcPr>
          <w:p w14:paraId="660C5F10"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0201_18_УГиЗО</w:t>
            </w:r>
          </w:p>
        </w:tc>
        <w:tc>
          <w:tcPr>
            <w:tcW w:w="851" w:type="dxa"/>
            <w:tcBorders>
              <w:top w:val="nil"/>
              <w:left w:val="nil"/>
              <w:bottom w:val="single" w:sz="4" w:space="0" w:color="auto"/>
              <w:right w:val="single" w:sz="4" w:space="0" w:color="auto"/>
            </w:tcBorders>
            <w:shd w:val="clear" w:color="auto" w:fill="auto"/>
            <w:vAlign w:val="center"/>
            <w:hideMark/>
          </w:tcPr>
          <w:p w14:paraId="03A7C461" w14:textId="22C6C6DB"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160,0</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56256F5D" w14:textId="084C6723"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144,7</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752E307A" w14:textId="620835E4"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2,9</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double" w:sz="4" w:space="0" w:color="auto"/>
            </w:tcBorders>
            <w:shd w:val="clear" w:color="auto" w:fill="auto"/>
            <w:vAlign w:val="center"/>
            <w:hideMark/>
          </w:tcPr>
          <w:p w14:paraId="0806B587" w14:textId="09D5723E"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13,4</w:t>
            </w:r>
            <w:r w:rsidR="005915D8" w:rsidRPr="00A53AD7">
              <w:rPr>
                <w:rFonts w:ascii="Times New Roman" w:eastAsia="Times New Roman" w:hAnsi="Times New Roman"/>
                <w:sz w:val="24"/>
                <w:szCs w:val="24"/>
                <w:lang w:eastAsia="ru-RU"/>
              </w:rPr>
              <w:t xml:space="preserve"> </w:t>
            </w:r>
          </w:p>
        </w:tc>
      </w:tr>
      <w:tr w:rsidR="00D470B6" w:rsidRPr="00A53AD7" w14:paraId="65F21007" w14:textId="77777777" w:rsidTr="00D878CA">
        <w:trPr>
          <w:trHeight w:val="264"/>
        </w:trPr>
        <w:tc>
          <w:tcPr>
            <w:tcW w:w="1858" w:type="dxa"/>
            <w:vMerge/>
            <w:tcBorders>
              <w:top w:val="nil"/>
              <w:left w:val="double" w:sz="4" w:space="0" w:color="auto"/>
              <w:bottom w:val="single" w:sz="4" w:space="0" w:color="auto"/>
              <w:right w:val="single" w:sz="4" w:space="0" w:color="auto"/>
            </w:tcBorders>
            <w:vAlign w:val="center"/>
            <w:hideMark/>
          </w:tcPr>
          <w:p w14:paraId="2852B055"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410" w:type="dxa"/>
            <w:tcBorders>
              <w:top w:val="nil"/>
              <w:left w:val="nil"/>
              <w:bottom w:val="single" w:sz="4" w:space="0" w:color="auto"/>
              <w:right w:val="single" w:sz="4" w:space="0" w:color="auto"/>
            </w:tcBorders>
            <w:shd w:val="clear" w:color="auto" w:fill="auto"/>
            <w:vAlign w:val="center"/>
            <w:hideMark/>
          </w:tcPr>
          <w:p w14:paraId="07436800"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"Строй Центр"</w:t>
            </w:r>
          </w:p>
        </w:tc>
        <w:tc>
          <w:tcPr>
            <w:tcW w:w="1134" w:type="dxa"/>
            <w:tcBorders>
              <w:top w:val="nil"/>
              <w:left w:val="nil"/>
              <w:bottom w:val="single" w:sz="4" w:space="0" w:color="auto"/>
              <w:right w:val="single" w:sz="4" w:space="0" w:color="auto"/>
            </w:tcBorders>
            <w:shd w:val="clear" w:color="auto" w:fill="auto"/>
            <w:vAlign w:val="center"/>
            <w:hideMark/>
          </w:tcPr>
          <w:p w14:paraId="3FF9878A"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11.07.2018</w:t>
            </w:r>
          </w:p>
        </w:tc>
        <w:tc>
          <w:tcPr>
            <w:tcW w:w="992" w:type="dxa"/>
            <w:tcBorders>
              <w:top w:val="nil"/>
              <w:left w:val="nil"/>
              <w:bottom w:val="single" w:sz="4" w:space="0" w:color="auto"/>
              <w:right w:val="single" w:sz="4" w:space="0" w:color="auto"/>
            </w:tcBorders>
            <w:shd w:val="clear" w:color="auto" w:fill="auto"/>
            <w:vAlign w:val="center"/>
            <w:hideMark/>
          </w:tcPr>
          <w:p w14:paraId="62D1942B"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0161-19-УГиЗО</w:t>
            </w:r>
          </w:p>
        </w:tc>
        <w:tc>
          <w:tcPr>
            <w:tcW w:w="851" w:type="dxa"/>
            <w:tcBorders>
              <w:top w:val="nil"/>
              <w:left w:val="nil"/>
              <w:bottom w:val="single" w:sz="4" w:space="0" w:color="auto"/>
              <w:right w:val="single" w:sz="4" w:space="0" w:color="auto"/>
            </w:tcBorders>
            <w:shd w:val="clear" w:color="auto" w:fill="auto"/>
            <w:vAlign w:val="center"/>
            <w:hideMark/>
          </w:tcPr>
          <w:p w14:paraId="1D2E2A10" w14:textId="12E309A3"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190,9</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single" w:sz="4" w:space="0" w:color="auto"/>
              <w:right w:val="single" w:sz="4" w:space="0" w:color="auto"/>
            </w:tcBorders>
            <w:shd w:val="clear" w:color="auto" w:fill="auto"/>
            <w:vAlign w:val="center"/>
            <w:hideMark/>
          </w:tcPr>
          <w:p w14:paraId="0F1065A2" w14:textId="27221CBF"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171,5</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single" w:sz="4" w:space="0" w:color="auto"/>
            </w:tcBorders>
            <w:shd w:val="clear" w:color="auto" w:fill="auto"/>
            <w:vAlign w:val="center"/>
            <w:hideMark/>
          </w:tcPr>
          <w:p w14:paraId="0317A5B6" w14:textId="6940A56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3,5</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single" w:sz="4" w:space="0" w:color="auto"/>
              <w:right w:val="double" w:sz="4" w:space="0" w:color="auto"/>
            </w:tcBorders>
            <w:shd w:val="clear" w:color="auto" w:fill="auto"/>
            <w:vAlign w:val="center"/>
            <w:hideMark/>
          </w:tcPr>
          <w:p w14:paraId="3D3CF0E3" w14:textId="212477DF"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15,9</w:t>
            </w:r>
            <w:r w:rsidR="005915D8" w:rsidRPr="00A53AD7">
              <w:rPr>
                <w:rFonts w:ascii="Times New Roman" w:eastAsia="Times New Roman" w:hAnsi="Times New Roman"/>
                <w:sz w:val="24"/>
                <w:szCs w:val="24"/>
                <w:lang w:eastAsia="ru-RU"/>
              </w:rPr>
              <w:t xml:space="preserve"> </w:t>
            </w:r>
          </w:p>
        </w:tc>
      </w:tr>
      <w:tr w:rsidR="00844D34" w:rsidRPr="00A53AD7" w14:paraId="5A6F6AFF" w14:textId="77777777" w:rsidTr="00D878CA">
        <w:trPr>
          <w:trHeight w:val="264"/>
        </w:trPr>
        <w:tc>
          <w:tcPr>
            <w:tcW w:w="1858" w:type="dxa"/>
            <w:vMerge/>
            <w:tcBorders>
              <w:top w:val="nil"/>
              <w:left w:val="double" w:sz="4" w:space="0" w:color="auto"/>
              <w:bottom w:val="double" w:sz="4" w:space="0" w:color="auto"/>
              <w:right w:val="single" w:sz="4" w:space="0" w:color="auto"/>
            </w:tcBorders>
            <w:vAlign w:val="center"/>
            <w:hideMark/>
          </w:tcPr>
          <w:p w14:paraId="125DCC0A"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410" w:type="dxa"/>
            <w:tcBorders>
              <w:top w:val="nil"/>
              <w:left w:val="nil"/>
              <w:bottom w:val="double" w:sz="4" w:space="0" w:color="auto"/>
              <w:right w:val="single" w:sz="4" w:space="0" w:color="auto"/>
            </w:tcBorders>
            <w:shd w:val="clear" w:color="auto" w:fill="auto"/>
            <w:vAlign w:val="center"/>
            <w:hideMark/>
          </w:tcPr>
          <w:p w14:paraId="336959E6"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"Строй Центр"</w:t>
            </w:r>
          </w:p>
        </w:tc>
        <w:tc>
          <w:tcPr>
            <w:tcW w:w="1134" w:type="dxa"/>
            <w:tcBorders>
              <w:top w:val="nil"/>
              <w:left w:val="nil"/>
              <w:bottom w:val="double" w:sz="4" w:space="0" w:color="auto"/>
              <w:right w:val="single" w:sz="4" w:space="0" w:color="auto"/>
            </w:tcBorders>
            <w:shd w:val="clear" w:color="auto" w:fill="auto"/>
            <w:vAlign w:val="center"/>
            <w:hideMark/>
          </w:tcPr>
          <w:p w14:paraId="6BAAA438"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16.07.2018</w:t>
            </w:r>
          </w:p>
        </w:tc>
        <w:tc>
          <w:tcPr>
            <w:tcW w:w="992" w:type="dxa"/>
            <w:tcBorders>
              <w:top w:val="nil"/>
              <w:left w:val="nil"/>
              <w:bottom w:val="double" w:sz="4" w:space="0" w:color="auto"/>
              <w:right w:val="single" w:sz="4" w:space="0" w:color="auto"/>
            </w:tcBorders>
            <w:shd w:val="clear" w:color="auto" w:fill="auto"/>
            <w:vAlign w:val="center"/>
            <w:hideMark/>
          </w:tcPr>
          <w:p w14:paraId="0C6AE61E" w14:textId="77777777" w:rsidR="00844D34" w:rsidRPr="00A53AD7" w:rsidRDefault="00844D34" w:rsidP="007042D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0160-19-УГиЗО</w:t>
            </w:r>
          </w:p>
        </w:tc>
        <w:tc>
          <w:tcPr>
            <w:tcW w:w="851" w:type="dxa"/>
            <w:tcBorders>
              <w:top w:val="nil"/>
              <w:left w:val="nil"/>
              <w:bottom w:val="double" w:sz="4" w:space="0" w:color="auto"/>
              <w:right w:val="single" w:sz="4" w:space="0" w:color="auto"/>
            </w:tcBorders>
            <w:shd w:val="clear" w:color="auto" w:fill="auto"/>
            <w:vAlign w:val="center"/>
            <w:hideMark/>
          </w:tcPr>
          <w:p w14:paraId="7C0AC46B" w14:textId="12E427A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86,2</w:t>
            </w:r>
            <w:r w:rsidR="005915D8" w:rsidRPr="00A53AD7">
              <w:rPr>
                <w:rFonts w:ascii="Times New Roman" w:eastAsia="Times New Roman" w:hAnsi="Times New Roman"/>
                <w:sz w:val="24"/>
                <w:szCs w:val="24"/>
                <w:lang w:eastAsia="ru-RU"/>
              </w:rPr>
              <w:t xml:space="preserve"> </w:t>
            </w:r>
          </w:p>
        </w:tc>
        <w:tc>
          <w:tcPr>
            <w:tcW w:w="850" w:type="dxa"/>
            <w:tcBorders>
              <w:top w:val="nil"/>
              <w:left w:val="nil"/>
              <w:bottom w:val="double" w:sz="4" w:space="0" w:color="auto"/>
              <w:right w:val="single" w:sz="4" w:space="0" w:color="auto"/>
            </w:tcBorders>
            <w:shd w:val="clear" w:color="auto" w:fill="auto"/>
            <w:vAlign w:val="center"/>
            <w:hideMark/>
          </w:tcPr>
          <w:p w14:paraId="441E2D90" w14:textId="50503EB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77,5</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double" w:sz="4" w:space="0" w:color="auto"/>
              <w:right w:val="single" w:sz="4" w:space="0" w:color="auto"/>
            </w:tcBorders>
            <w:shd w:val="clear" w:color="auto" w:fill="auto"/>
            <w:vAlign w:val="center"/>
            <w:hideMark/>
          </w:tcPr>
          <w:p w14:paraId="54C6CE58" w14:textId="6035BB70"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1,6</w:t>
            </w:r>
            <w:r w:rsidR="005915D8" w:rsidRPr="00A53AD7">
              <w:rPr>
                <w:rFonts w:ascii="Times New Roman" w:eastAsia="Times New Roman" w:hAnsi="Times New Roman"/>
                <w:sz w:val="24"/>
                <w:szCs w:val="24"/>
                <w:lang w:eastAsia="ru-RU"/>
              </w:rPr>
              <w:t xml:space="preserve"> </w:t>
            </w:r>
          </w:p>
        </w:tc>
        <w:tc>
          <w:tcPr>
            <w:tcW w:w="709" w:type="dxa"/>
            <w:tcBorders>
              <w:top w:val="nil"/>
              <w:left w:val="nil"/>
              <w:bottom w:val="double" w:sz="4" w:space="0" w:color="auto"/>
              <w:right w:val="double" w:sz="4" w:space="0" w:color="auto"/>
            </w:tcBorders>
            <w:shd w:val="clear" w:color="auto" w:fill="auto"/>
            <w:vAlign w:val="center"/>
            <w:hideMark/>
          </w:tcPr>
          <w:p w14:paraId="69E6E86C" w14:textId="16A568E8"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7,2</w:t>
            </w:r>
            <w:r w:rsidR="005915D8" w:rsidRPr="00A53AD7">
              <w:rPr>
                <w:rFonts w:ascii="Times New Roman" w:eastAsia="Times New Roman" w:hAnsi="Times New Roman"/>
                <w:sz w:val="24"/>
                <w:szCs w:val="24"/>
                <w:lang w:eastAsia="ru-RU"/>
              </w:rPr>
              <w:t xml:space="preserve"> </w:t>
            </w:r>
          </w:p>
        </w:tc>
      </w:tr>
    </w:tbl>
    <w:p w14:paraId="7F68AAD3" w14:textId="77777777" w:rsidR="00844D34" w:rsidRPr="00A53AD7" w:rsidRDefault="00844D34" w:rsidP="00D878CA">
      <w:pPr>
        <w:spacing w:after="0" w:line="240" w:lineRule="auto"/>
        <w:ind w:firstLine="851"/>
        <w:jc w:val="both"/>
        <w:rPr>
          <w:rFonts w:ascii="Times New Roman" w:hAnsi="Times New Roman"/>
          <w:sz w:val="28"/>
          <w:szCs w:val="28"/>
        </w:rPr>
      </w:pPr>
    </w:p>
    <w:p w14:paraId="6D6E59F5" w14:textId="77777777" w:rsidR="00844D34" w:rsidRPr="00A53AD7" w:rsidRDefault="00844D34" w:rsidP="00D878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отчетами муниципальных образований в рамках исполнения мероприятий этапа 2019 года расселено 2 205,8 кв.м. на территории МО «Северодвинск».</w:t>
      </w:r>
    </w:p>
    <w:p w14:paraId="3D7E0F34" w14:textId="77777777" w:rsidR="00844D34" w:rsidRPr="00A53AD7" w:rsidRDefault="00844D34" w:rsidP="00C60E1F">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оплату государственных контрактов перечислено 149,1 млн.руб.:</w:t>
      </w:r>
    </w:p>
    <w:p w14:paraId="281A19D4" w14:textId="770532C1"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средства Фонда</w:t>
      </w:r>
      <w:r w:rsidR="007B71E0" w:rsidRPr="00A53AD7">
        <w:rPr>
          <w:sz w:val="28"/>
          <w:szCs w:val="28"/>
        </w:rPr>
        <w:t xml:space="preserve"> – 142,9 млн.руб.;</w:t>
      </w:r>
    </w:p>
    <w:p w14:paraId="0C5DAEFD" w14:textId="18009E5D"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средства областного бюджета – 6,2 млн.руб.</w:t>
      </w:r>
    </w:p>
    <w:p w14:paraId="010ED2A4" w14:textId="77777777" w:rsidR="00844D34" w:rsidRPr="00A53AD7" w:rsidRDefault="00844D34" w:rsidP="00C60E1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них по подрядчикам:</w:t>
      </w:r>
    </w:p>
    <w:p w14:paraId="30B38FEE" w14:textId="7BE025DD"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ООО «РК-Инвест» - 62,5 млн.руб., из них 59,8 млн.руб. за счет средств Фонда;</w:t>
      </w:r>
    </w:p>
    <w:p w14:paraId="73A579B2" w14:textId="2DC7B2F8"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ООО «Устьянская строительная компания» - 67,5 млн.руб., из них 65,06 млн.руб. за счет средств Фонда;</w:t>
      </w:r>
    </w:p>
    <w:p w14:paraId="2E3A9E02" w14:textId="127C0F9E"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ООО «Строй Центр» - 18,9 млн.руб., из них 17,9 млн.руб. за счет средств Фонда.</w:t>
      </w:r>
    </w:p>
    <w:p w14:paraId="19CC8A05" w14:textId="77777777" w:rsidR="00844D34" w:rsidRPr="00A53AD7" w:rsidRDefault="00844D34" w:rsidP="00C60E1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мероприятий АП 2019-2025 ГКУ АО «ГУКС» заключило 3 государственных контракта на строительство многоквартирных домов на общую сумму 847,9 млн.руб. (за счет средств Фонда – 804,8 млн.руб., средства областного бюджета – 43,1 млн.руб.):</w:t>
      </w:r>
    </w:p>
    <w:p w14:paraId="56D7ACBE" w14:textId="466BB500"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 xml:space="preserve">в Архангельске 259 </w:t>
      </w:r>
      <w:r w:rsidR="007B71E0" w:rsidRPr="00A53AD7">
        <w:rPr>
          <w:sz w:val="28"/>
          <w:szCs w:val="28"/>
        </w:rPr>
        <w:t>квартир площадью 11 929,84 кв.м</w:t>
      </w:r>
      <w:r w:rsidRPr="00A53AD7">
        <w:rPr>
          <w:sz w:val="28"/>
          <w:szCs w:val="28"/>
        </w:rPr>
        <w:t>;</w:t>
      </w:r>
    </w:p>
    <w:p w14:paraId="2B0AE771" w14:textId="37672AED"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в Красноборском районе 7</w:t>
      </w:r>
      <w:r w:rsidR="007B71E0" w:rsidRPr="00A53AD7">
        <w:rPr>
          <w:sz w:val="28"/>
          <w:szCs w:val="28"/>
        </w:rPr>
        <w:t>0 квартир площадью 3 096,00 кв.м</w:t>
      </w:r>
      <w:r w:rsidRPr="00A53AD7">
        <w:rPr>
          <w:sz w:val="28"/>
          <w:szCs w:val="28"/>
        </w:rPr>
        <w:t>;</w:t>
      </w:r>
    </w:p>
    <w:p w14:paraId="5C5D9B89" w14:textId="0BE69227" w:rsidR="00844D34" w:rsidRPr="00A53AD7" w:rsidRDefault="00844D34" w:rsidP="00CA1DDD">
      <w:pPr>
        <w:pStyle w:val="a8"/>
        <w:numPr>
          <w:ilvl w:val="0"/>
          <w:numId w:val="59"/>
        </w:numPr>
        <w:autoSpaceDE w:val="0"/>
        <w:autoSpaceDN w:val="0"/>
        <w:adjustRightInd w:val="0"/>
        <w:ind w:left="0" w:firstLine="851"/>
        <w:jc w:val="both"/>
        <w:rPr>
          <w:sz w:val="28"/>
          <w:szCs w:val="28"/>
        </w:rPr>
      </w:pPr>
      <w:r w:rsidRPr="00A53AD7">
        <w:rPr>
          <w:sz w:val="28"/>
          <w:szCs w:val="28"/>
        </w:rPr>
        <w:t>в Устьянском районе 112 квартир площадью 5 634,00 кв.м:</w:t>
      </w:r>
    </w:p>
    <w:tbl>
      <w:tblPr>
        <w:tblW w:w="9371" w:type="dxa"/>
        <w:tblInd w:w="93" w:type="dxa"/>
        <w:tblLook w:val="04A0" w:firstRow="1" w:lastRow="0" w:firstColumn="1" w:lastColumn="0" w:noHBand="0" w:noVBand="1"/>
      </w:tblPr>
      <w:tblGrid>
        <w:gridCol w:w="2000"/>
        <w:gridCol w:w="2693"/>
        <w:gridCol w:w="1296"/>
        <w:gridCol w:w="1256"/>
        <w:gridCol w:w="1134"/>
        <w:gridCol w:w="992"/>
      </w:tblGrid>
      <w:tr w:rsidR="00D470B6" w:rsidRPr="00A53AD7" w14:paraId="6F5BFE7D" w14:textId="77777777" w:rsidTr="00B244C4">
        <w:trPr>
          <w:trHeight w:val="288"/>
          <w:tblHeader/>
        </w:trPr>
        <w:tc>
          <w:tcPr>
            <w:tcW w:w="200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34EDB06D"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заказчик ГУКС, для:</w:t>
            </w:r>
          </w:p>
        </w:tc>
        <w:tc>
          <w:tcPr>
            <w:tcW w:w="2693"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1D960D28"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исполнитель</w:t>
            </w:r>
          </w:p>
        </w:tc>
        <w:tc>
          <w:tcPr>
            <w:tcW w:w="4678" w:type="dxa"/>
            <w:gridSpan w:val="4"/>
            <w:tcBorders>
              <w:top w:val="double" w:sz="4" w:space="0" w:color="auto"/>
              <w:left w:val="nil"/>
              <w:bottom w:val="single" w:sz="4" w:space="0" w:color="auto"/>
              <w:right w:val="double" w:sz="4" w:space="0" w:color="auto"/>
            </w:tcBorders>
            <w:shd w:val="clear" w:color="auto" w:fill="auto"/>
            <w:vAlign w:val="center"/>
            <w:hideMark/>
          </w:tcPr>
          <w:p w14:paraId="20837CEB"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контракт</w:t>
            </w:r>
          </w:p>
        </w:tc>
      </w:tr>
      <w:tr w:rsidR="00D470B6" w:rsidRPr="00A53AD7" w14:paraId="3803975C" w14:textId="77777777" w:rsidTr="00B244C4">
        <w:trPr>
          <w:trHeight w:val="288"/>
          <w:tblHeader/>
        </w:trPr>
        <w:tc>
          <w:tcPr>
            <w:tcW w:w="2000" w:type="dxa"/>
            <w:vMerge/>
            <w:tcBorders>
              <w:top w:val="single" w:sz="4" w:space="0" w:color="auto"/>
              <w:left w:val="double" w:sz="4" w:space="0" w:color="auto"/>
              <w:bottom w:val="single" w:sz="4" w:space="0" w:color="auto"/>
              <w:right w:val="single" w:sz="4" w:space="0" w:color="auto"/>
            </w:tcBorders>
            <w:vAlign w:val="center"/>
            <w:hideMark/>
          </w:tcPr>
          <w:p w14:paraId="373EE750"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33CC31B"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96" w:type="dxa"/>
            <w:vMerge w:val="restart"/>
            <w:tcBorders>
              <w:top w:val="nil"/>
              <w:left w:val="single" w:sz="4" w:space="0" w:color="auto"/>
              <w:bottom w:val="single" w:sz="4" w:space="0" w:color="auto"/>
              <w:right w:val="single" w:sz="4" w:space="0" w:color="auto"/>
            </w:tcBorders>
            <w:shd w:val="clear" w:color="auto" w:fill="auto"/>
            <w:vAlign w:val="center"/>
            <w:hideMark/>
          </w:tcPr>
          <w:p w14:paraId="4D158A85"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дата</w:t>
            </w:r>
          </w:p>
        </w:tc>
        <w:tc>
          <w:tcPr>
            <w:tcW w:w="3382" w:type="dxa"/>
            <w:gridSpan w:val="3"/>
            <w:tcBorders>
              <w:top w:val="single" w:sz="4" w:space="0" w:color="auto"/>
              <w:left w:val="nil"/>
              <w:bottom w:val="single" w:sz="4" w:space="0" w:color="auto"/>
              <w:right w:val="double" w:sz="4" w:space="0" w:color="auto"/>
            </w:tcBorders>
            <w:shd w:val="clear" w:color="auto" w:fill="auto"/>
            <w:vAlign w:val="center"/>
            <w:hideMark/>
          </w:tcPr>
          <w:p w14:paraId="4E6FF47F"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цена, млн.руб.</w:t>
            </w:r>
          </w:p>
        </w:tc>
      </w:tr>
      <w:tr w:rsidR="00D470B6" w:rsidRPr="00A53AD7" w14:paraId="1C6ABE51" w14:textId="77777777" w:rsidTr="00B244C4">
        <w:trPr>
          <w:trHeight w:val="288"/>
          <w:tblHeader/>
        </w:trPr>
        <w:tc>
          <w:tcPr>
            <w:tcW w:w="2000" w:type="dxa"/>
            <w:vMerge/>
            <w:tcBorders>
              <w:top w:val="single" w:sz="4" w:space="0" w:color="auto"/>
              <w:left w:val="double" w:sz="4" w:space="0" w:color="auto"/>
              <w:bottom w:val="single" w:sz="4" w:space="0" w:color="auto"/>
              <w:right w:val="single" w:sz="4" w:space="0" w:color="auto"/>
            </w:tcBorders>
            <w:vAlign w:val="center"/>
            <w:hideMark/>
          </w:tcPr>
          <w:p w14:paraId="7CD27B7C"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1D846CC"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96" w:type="dxa"/>
            <w:vMerge/>
            <w:tcBorders>
              <w:top w:val="nil"/>
              <w:left w:val="single" w:sz="4" w:space="0" w:color="auto"/>
              <w:bottom w:val="single" w:sz="4" w:space="0" w:color="auto"/>
              <w:right w:val="single" w:sz="4" w:space="0" w:color="auto"/>
            </w:tcBorders>
            <w:vAlign w:val="center"/>
            <w:hideMark/>
          </w:tcPr>
          <w:p w14:paraId="5120D899"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56" w:type="dxa"/>
            <w:tcBorders>
              <w:top w:val="nil"/>
              <w:left w:val="nil"/>
              <w:bottom w:val="single" w:sz="4" w:space="0" w:color="auto"/>
              <w:right w:val="single" w:sz="4" w:space="0" w:color="auto"/>
            </w:tcBorders>
            <w:shd w:val="clear" w:color="auto" w:fill="auto"/>
            <w:vAlign w:val="center"/>
            <w:hideMark/>
          </w:tcPr>
          <w:p w14:paraId="74225346"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всего</w:t>
            </w:r>
          </w:p>
        </w:tc>
        <w:tc>
          <w:tcPr>
            <w:tcW w:w="1134" w:type="dxa"/>
            <w:tcBorders>
              <w:top w:val="nil"/>
              <w:left w:val="nil"/>
              <w:bottom w:val="single" w:sz="4" w:space="0" w:color="auto"/>
              <w:right w:val="single" w:sz="4" w:space="0" w:color="auto"/>
            </w:tcBorders>
            <w:shd w:val="clear" w:color="auto" w:fill="auto"/>
            <w:vAlign w:val="center"/>
            <w:hideMark/>
          </w:tcPr>
          <w:p w14:paraId="63E1A1A2"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фонд</w:t>
            </w:r>
          </w:p>
        </w:tc>
        <w:tc>
          <w:tcPr>
            <w:tcW w:w="992" w:type="dxa"/>
            <w:tcBorders>
              <w:top w:val="nil"/>
              <w:left w:val="nil"/>
              <w:bottom w:val="single" w:sz="4" w:space="0" w:color="auto"/>
              <w:right w:val="double" w:sz="4" w:space="0" w:color="auto"/>
            </w:tcBorders>
            <w:shd w:val="clear" w:color="auto" w:fill="auto"/>
            <w:vAlign w:val="center"/>
            <w:hideMark/>
          </w:tcPr>
          <w:p w14:paraId="6202B1C5"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ОБ</w:t>
            </w:r>
          </w:p>
        </w:tc>
      </w:tr>
      <w:tr w:rsidR="00D470B6" w:rsidRPr="00A53AD7" w14:paraId="0989BA6F" w14:textId="77777777" w:rsidTr="00C60E1F">
        <w:trPr>
          <w:trHeight w:val="288"/>
        </w:trPr>
        <w:tc>
          <w:tcPr>
            <w:tcW w:w="2000" w:type="dxa"/>
            <w:tcBorders>
              <w:top w:val="nil"/>
              <w:left w:val="double" w:sz="4" w:space="0" w:color="auto"/>
              <w:bottom w:val="single" w:sz="4" w:space="0" w:color="auto"/>
              <w:right w:val="single" w:sz="4" w:space="0" w:color="auto"/>
            </w:tcBorders>
            <w:shd w:val="clear" w:color="auto" w:fill="auto"/>
            <w:vAlign w:val="center"/>
            <w:hideMark/>
          </w:tcPr>
          <w:p w14:paraId="4613E48B"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Архангельск</w:t>
            </w:r>
          </w:p>
        </w:tc>
        <w:tc>
          <w:tcPr>
            <w:tcW w:w="2693" w:type="dxa"/>
            <w:tcBorders>
              <w:top w:val="nil"/>
              <w:left w:val="nil"/>
              <w:bottom w:val="single" w:sz="4" w:space="0" w:color="auto"/>
              <w:right w:val="single" w:sz="4" w:space="0" w:color="auto"/>
            </w:tcBorders>
            <w:shd w:val="clear" w:color="auto" w:fill="auto"/>
            <w:vAlign w:val="center"/>
            <w:hideMark/>
          </w:tcPr>
          <w:p w14:paraId="04338E67"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"РК-Инвест"</w:t>
            </w:r>
          </w:p>
        </w:tc>
        <w:tc>
          <w:tcPr>
            <w:tcW w:w="1296" w:type="dxa"/>
            <w:tcBorders>
              <w:top w:val="nil"/>
              <w:left w:val="nil"/>
              <w:bottom w:val="single" w:sz="4" w:space="0" w:color="auto"/>
              <w:right w:val="single" w:sz="4" w:space="0" w:color="auto"/>
            </w:tcBorders>
            <w:shd w:val="clear" w:color="auto" w:fill="auto"/>
            <w:vAlign w:val="center"/>
            <w:hideMark/>
          </w:tcPr>
          <w:p w14:paraId="48EABA18"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26.06.2018</w:t>
            </w:r>
          </w:p>
        </w:tc>
        <w:tc>
          <w:tcPr>
            <w:tcW w:w="1256" w:type="dxa"/>
            <w:tcBorders>
              <w:top w:val="nil"/>
              <w:left w:val="nil"/>
              <w:bottom w:val="single" w:sz="4" w:space="0" w:color="auto"/>
              <w:right w:val="single" w:sz="4" w:space="0" w:color="auto"/>
            </w:tcBorders>
            <w:shd w:val="clear" w:color="auto" w:fill="auto"/>
            <w:vAlign w:val="center"/>
            <w:hideMark/>
          </w:tcPr>
          <w:p w14:paraId="6FF1F8CB" w14:textId="04DB459A"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237,1</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30E267ED" w14:textId="7205CCD2"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226,6</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single" w:sz="4" w:space="0" w:color="auto"/>
              <w:right w:val="double" w:sz="4" w:space="0" w:color="auto"/>
            </w:tcBorders>
            <w:shd w:val="clear" w:color="auto" w:fill="auto"/>
            <w:vAlign w:val="center"/>
            <w:hideMark/>
          </w:tcPr>
          <w:p w14:paraId="78B9C364" w14:textId="138E9690"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10,5</w:t>
            </w:r>
            <w:r w:rsidR="005915D8" w:rsidRPr="00A53AD7">
              <w:rPr>
                <w:rFonts w:ascii="Times New Roman" w:eastAsia="Times New Roman" w:hAnsi="Times New Roman"/>
                <w:sz w:val="24"/>
                <w:szCs w:val="24"/>
                <w:lang w:eastAsia="ru-RU"/>
              </w:rPr>
              <w:t xml:space="preserve"> </w:t>
            </w:r>
          </w:p>
        </w:tc>
      </w:tr>
      <w:tr w:rsidR="00D470B6" w:rsidRPr="00A53AD7" w14:paraId="7D023678" w14:textId="77777777" w:rsidTr="00C60E1F">
        <w:trPr>
          <w:trHeight w:val="288"/>
        </w:trPr>
        <w:tc>
          <w:tcPr>
            <w:tcW w:w="2000" w:type="dxa"/>
            <w:tcBorders>
              <w:top w:val="nil"/>
              <w:left w:val="double" w:sz="4" w:space="0" w:color="auto"/>
              <w:bottom w:val="single" w:sz="4" w:space="0" w:color="auto"/>
              <w:right w:val="single" w:sz="4" w:space="0" w:color="auto"/>
            </w:tcBorders>
            <w:shd w:val="clear" w:color="auto" w:fill="auto"/>
            <w:vAlign w:val="center"/>
            <w:hideMark/>
          </w:tcPr>
          <w:p w14:paraId="03C1E568"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Архангельск</w:t>
            </w:r>
          </w:p>
        </w:tc>
        <w:tc>
          <w:tcPr>
            <w:tcW w:w="2693" w:type="dxa"/>
            <w:vMerge w:val="restart"/>
            <w:tcBorders>
              <w:top w:val="nil"/>
              <w:left w:val="single" w:sz="4" w:space="0" w:color="auto"/>
              <w:bottom w:val="single" w:sz="4" w:space="0" w:color="000000"/>
              <w:right w:val="single" w:sz="4" w:space="0" w:color="auto"/>
            </w:tcBorders>
            <w:shd w:val="clear" w:color="auto" w:fill="auto"/>
            <w:vAlign w:val="center"/>
            <w:hideMark/>
          </w:tcPr>
          <w:p w14:paraId="408A7949"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"Строй Центр"</w:t>
            </w:r>
          </w:p>
        </w:tc>
        <w:tc>
          <w:tcPr>
            <w:tcW w:w="1296" w:type="dxa"/>
            <w:vMerge w:val="restart"/>
            <w:tcBorders>
              <w:top w:val="nil"/>
              <w:left w:val="single" w:sz="4" w:space="0" w:color="auto"/>
              <w:bottom w:val="single" w:sz="4" w:space="0" w:color="000000"/>
              <w:right w:val="single" w:sz="4" w:space="0" w:color="auto"/>
            </w:tcBorders>
            <w:shd w:val="clear" w:color="auto" w:fill="auto"/>
            <w:vAlign w:val="center"/>
            <w:hideMark/>
          </w:tcPr>
          <w:p w14:paraId="1B5BA955"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22.07.2019</w:t>
            </w:r>
          </w:p>
        </w:tc>
        <w:tc>
          <w:tcPr>
            <w:tcW w:w="1256" w:type="dxa"/>
            <w:tcBorders>
              <w:top w:val="nil"/>
              <w:left w:val="nil"/>
              <w:bottom w:val="single" w:sz="4" w:space="0" w:color="auto"/>
              <w:right w:val="single" w:sz="4" w:space="0" w:color="auto"/>
            </w:tcBorders>
            <w:shd w:val="clear" w:color="auto" w:fill="auto"/>
            <w:vAlign w:val="center"/>
            <w:hideMark/>
          </w:tcPr>
          <w:p w14:paraId="267BE41E" w14:textId="1692CB4A"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214,4</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79EB1C40" w14:textId="0CBB137B"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204,5</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single" w:sz="4" w:space="0" w:color="auto"/>
              <w:right w:val="double" w:sz="4" w:space="0" w:color="auto"/>
            </w:tcBorders>
            <w:shd w:val="clear" w:color="auto" w:fill="auto"/>
            <w:vAlign w:val="center"/>
            <w:hideMark/>
          </w:tcPr>
          <w:p w14:paraId="4BA7BCC9" w14:textId="5CECE05A"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9,9</w:t>
            </w:r>
            <w:r w:rsidR="005915D8" w:rsidRPr="00A53AD7">
              <w:rPr>
                <w:rFonts w:ascii="Times New Roman" w:eastAsia="Times New Roman" w:hAnsi="Times New Roman"/>
                <w:sz w:val="24"/>
                <w:szCs w:val="24"/>
                <w:lang w:eastAsia="ru-RU"/>
              </w:rPr>
              <w:t xml:space="preserve"> </w:t>
            </w:r>
          </w:p>
        </w:tc>
      </w:tr>
      <w:tr w:rsidR="00D470B6" w:rsidRPr="00A53AD7" w14:paraId="3D6A8C08" w14:textId="77777777" w:rsidTr="00C60E1F">
        <w:trPr>
          <w:trHeight w:val="288"/>
        </w:trPr>
        <w:tc>
          <w:tcPr>
            <w:tcW w:w="2000" w:type="dxa"/>
            <w:vMerge w:val="restart"/>
            <w:tcBorders>
              <w:top w:val="nil"/>
              <w:left w:val="double" w:sz="4" w:space="0" w:color="auto"/>
              <w:bottom w:val="single" w:sz="4" w:space="0" w:color="000000"/>
              <w:right w:val="single" w:sz="4" w:space="0" w:color="auto"/>
            </w:tcBorders>
            <w:shd w:val="clear" w:color="auto" w:fill="auto"/>
            <w:vAlign w:val="center"/>
            <w:hideMark/>
          </w:tcPr>
          <w:p w14:paraId="58F0966C"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Красноборский район</w:t>
            </w:r>
          </w:p>
        </w:tc>
        <w:tc>
          <w:tcPr>
            <w:tcW w:w="2693" w:type="dxa"/>
            <w:vMerge/>
            <w:tcBorders>
              <w:top w:val="nil"/>
              <w:left w:val="single" w:sz="4" w:space="0" w:color="auto"/>
              <w:bottom w:val="single" w:sz="4" w:space="0" w:color="000000"/>
              <w:right w:val="single" w:sz="4" w:space="0" w:color="auto"/>
            </w:tcBorders>
            <w:vAlign w:val="center"/>
            <w:hideMark/>
          </w:tcPr>
          <w:p w14:paraId="20C79EC1"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96" w:type="dxa"/>
            <w:vMerge/>
            <w:tcBorders>
              <w:top w:val="nil"/>
              <w:left w:val="single" w:sz="4" w:space="0" w:color="auto"/>
              <w:bottom w:val="single" w:sz="4" w:space="0" w:color="000000"/>
              <w:right w:val="single" w:sz="4" w:space="0" w:color="auto"/>
            </w:tcBorders>
            <w:vAlign w:val="center"/>
            <w:hideMark/>
          </w:tcPr>
          <w:p w14:paraId="25220CB6"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56" w:type="dxa"/>
            <w:tcBorders>
              <w:top w:val="nil"/>
              <w:left w:val="nil"/>
              <w:bottom w:val="single" w:sz="4" w:space="0" w:color="auto"/>
              <w:right w:val="single" w:sz="4" w:space="0" w:color="auto"/>
            </w:tcBorders>
            <w:shd w:val="clear" w:color="auto" w:fill="auto"/>
            <w:vAlign w:val="center"/>
            <w:hideMark/>
          </w:tcPr>
          <w:p w14:paraId="264E573E" w14:textId="539EB9C5"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38,1</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2675B70C" w14:textId="205C30A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36,1</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single" w:sz="4" w:space="0" w:color="auto"/>
              <w:right w:val="double" w:sz="4" w:space="0" w:color="auto"/>
            </w:tcBorders>
            <w:shd w:val="clear" w:color="auto" w:fill="auto"/>
            <w:vAlign w:val="center"/>
            <w:hideMark/>
          </w:tcPr>
          <w:p w14:paraId="0CFC12D1" w14:textId="3859D986"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2,0</w:t>
            </w:r>
            <w:r w:rsidR="005915D8" w:rsidRPr="00A53AD7">
              <w:rPr>
                <w:rFonts w:ascii="Times New Roman" w:eastAsia="Times New Roman" w:hAnsi="Times New Roman"/>
                <w:sz w:val="24"/>
                <w:szCs w:val="24"/>
                <w:lang w:eastAsia="ru-RU"/>
              </w:rPr>
              <w:t xml:space="preserve"> </w:t>
            </w:r>
          </w:p>
        </w:tc>
      </w:tr>
      <w:tr w:rsidR="00D470B6" w:rsidRPr="00A53AD7" w14:paraId="46AD5451" w14:textId="77777777" w:rsidTr="00C60E1F">
        <w:trPr>
          <w:trHeight w:val="288"/>
        </w:trPr>
        <w:tc>
          <w:tcPr>
            <w:tcW w:w="2000" w:type="dxa"/>
            <w:vMerge/>
            <w:tcBorders>
              <w:top w:val="nil"/>
              <w:left w:val="double" w:sz="4" w:space="0" w:color="auto"/>
              <w:bottom w:val="single" w:sz="4" w:space="0" w:color="000000"/>
              <w:right w:val="single" w:sz="4" w:space="0" w:color="auto"/>
            </w:tcBorders>
            <w:vAlign w:val="center"/>
            <w:hideMark/>
          </w:tcPr>
          <w:p w14:paraId="3B8AD9E9"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693" w:type="dxa"/>
            <w:vMerge/>
            <w:tcBorders>
              <w:top w:val="nil"/>
              <w:left w:val="single" w:sz="4" w:space="0" w:color="auto"/>
              <w:bottom w:val="single" w:sz="4" w:space="0" w:color="000000"/>
              <w:right w:val="single" w:sz="4" w:space="0" w:color="auto"/>
            </w:tcBorders>
            <w:vAlign w:val="center"/>
            <w:hideMark/>
          </w:tcPr>
          <w:p w14:paraId="58D692AA"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96" w:type="dxa"/>
            <w:vMerge/>
            <w:tcBorders>
              <w:top w:val="nil"/>
              <w:left w:val="single" w:sz="4" w:space="0" w:color="auto"/>
              <w:bottom w:val="single" w:sz="4" w:space="0" w:color="000000"/>
              <w:right w:val="single" w:sz="4" w:space="0" w:color="auto"/>
            </w:tcBorders>
            <w:vAlign w:val="center"/>
            <w:hideMark/>
          </w:tcPr>
          <w:p w14:paraId="3AC5677D"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56" w:type="dxa"/>
            <w:tcBorders>
              <w:top w:val="nil"/>
              <w:left w:val="nil"/>
              <w:bottom w:val="single" w:sz="4" w:space="0" w:color="auto"/>
              <w:right w:val="single" w:sz="4" w:space="0" w:color="auto"/>
            </w:tcBorders>
            <w:shd w:val="clear" w:color="auto" w:fill="auto"/>
            <w:vAlign w:val="center"/>
            <w:hideMark/>
          </w:tcPr>
          <w:p w14:paraId="421FF72F" w14:textId="502C450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34,3</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F5A9892" w14:textId="1D526D04"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32,4</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single" w:sz="4" w:space="0" w:color="auto"/>
              <w:right w:val="double" w:sz="4" w:space="0" w:color="auto"/>
            </w:tcBorders>
            <w:shd w:val="clear" w:color="auto" w:fill="auto"/>
            <w:vAlign w:val="center"/>
            <w:hideMark/>
          </w:tcPr>
          <w:p w14:paraId="319BF25B" w14:textId="1D49987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1,9</w:t>
            </w:r>
            <w:r w:rsidR="005915D8" w:rsidRPr="00A53AD7">
              <w:rPr>
                <w:rFonts w:ascii="Times New Roman" w:eastAsia="Times New Roman" w:hAnsi="Times New Roman"/>
                <w:sz w:val="24"/>
                <w:szCs w:val="24"/>
                <w:lang w:eastAsia="ru-RU"/>
              </w:rPr>
              <w:t xml:space="preserve"> </w:t>
            </w:r>
          </w:p>
        </w:tc>
      </w:tr>
      <w:tr w:rsidR="00D470B6" w:rsidRPr="00A53AD7" w14:paraId="2F3F4198" w14:textId="77777777" w:rsidTr="00C60E1F">
        <w:trPr>
          <w:trHeight w:val="288"/>
        </w:trPr>
        <w:tc>
          <w:tcPr>
            <w:tcW w:w="2000" w:type="dxa"/>
            <w:vMerge/>
            <w:tcBorders>
              <w:top w:val="nil"/>
              <w:left w:val="double" w:sz="4" w:space="0" w:color="auto"/>
              <w:bottom w:val="single" w:sz="4" w:space="0" w:color="000000"/>
              <w:right w:val="single" w:sz="4" w:space="0" w:color="auto"/>
            </w:tcBorders>
            <w:vAlign w:val="center"/>
            <w:hideMark/>
          </w:tcPr>
          <w:p w14:paraId="0288774E"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2693" w:type="dxa"/>
            <w:vMerge/>
            <w:tcBorders>
              <w:top w:val="nil"/>
              <w:left w:val="single" w:sz="4" w:space="0" w:color="auto"/>
              <w:bottom w:val="single" w:sz="4" w:space="0" w:color="000000"/>
              <w:right w:val="single" w:sz="4" w:space="0" w:color="auto"/>
            </w:tcBorders>
            <w:vAlign w:val="center"/>
            <w:hideMark/>
          </w:tcPr>
          <w:p w14:paraId="48559093"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96" w:type="dxa"/>
            <w:vMerge/>
            <w:tcBorders>
              <w:top w:val="nil"/>
              <w:left w:val="single" w:sz="4" w:space="0" w:color="auto"/>
              <w:bottom w:val="single" w:sz="4" w:space="0" w:color="000000"/>
              <w:right w:val="single" w:sz="4" w:space="0" w:color="auto"/>
            </w:tcBorders>
            <w:vAlign w:val="center"/>
            <w:hideMark/>
          </w:tcPr>
          <w:p w14:paraId="15983BD0" w14:textId="77777777" w:rsidR="00844D34" w:rsidRPr="00A53AD7" w:rsidRDefault="00844D34" w:rsidP="007042D1">
            <w:pPr>
              <w:spacing w:after="0" w:line="240" w:lineRule="auto"/>
              <w:rPr>
                <w:rFonts w:ascii="Times New Roman" w:eastAsia="Times New Roman" w:hAnsi="Times New Roman"/>
                <w:sz w:val="24"/>
                <w:szCs w:val="24"/>
                <w:lang w:eastAsia="ru-RU"/>
              </w:rPr>
            </w:pPr>
          </w:p>
        </w:tc>
        <w:tc>
          <w:tcPr>
            <w:tcW w:w="1256" w:type="dxa"/>
            <w:tcBorders>
              <w:top w:val="nil"/>
              <w:left w:val="nil"/>
              <w:bottom w:val="single" w:sz="4" w:space="0" w:color="auto"/>
              <w:right w:val="single" w:sz="4" w:space="0" w:color="auto"/>
            </w:tcBorders>
            <w:shd w:val="clear" w:color="auto" w:fill="auto"/>
            <w:vAlign w:val="center"/>
            <w:hideMark/>
          </w:tcPr>
          <w:p w14:paraId="0C3B4DF8" w14:textId="1B91896F"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60,2</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single" w:sz="4" w:space="0" w:color="auto"/>
              <w:right w:val="single" w:sz="4" w:space="0" w:color="auto"/>
            </w:tcBorders>
            <w:shd w:val="clear" w:color="auto" w:fill="auto"/>
            <w:vAlign w:val="center"/>
            <w:hideMark/>
          </w:tcPr>
          <w:p w14:paraId="5A2AC76F" w14:textId="220E0BC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56,9</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single" w:sz="4" w:space="0" w:color="auto"/>
              <w:right w:val="double" w:sz="4" w:space="0" w:color="auto"/>
            </w:tcBorders>
            <w:shd w:val="clear" w:color="auto" w:fill="auto"/>
            <w:vAlign w:val="center"/>
            <w:hideMark/>
          </w:tcPr>
          <w:p w14:paraId="3631CAD6" w14:textId="1E2C1571"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3,3</w:t>
            </w:r>
            <w:r w:rsidR="005915D8" w:rsidRPr="00A53AD7">
              <w:rPr>
                <w:rFonts w:ascii="Times New Roman" w:eastAsia="Times New Roman" w:hAnsi="Times New Roman"/>
                <w:sz w:val="24"/>
                <w:szCs w:val="24"/>
                <w:lang w:eastAsia="ru-RU"/>
              </w:rPr>
              <w:t xml:space="preserve"> </w:t>
            </w:r>
          </w:p>
        </w:tc>
      </w:tr>
      <w:tr w:rsidR="00844D34" w:rsidRPr="00A53AD7" w14:paraId="00CC31AD" w14:textId="77777777" w:rsidTr="00B244C4">
        <w:trPr>
          <w:trHeight w:val="575"/>
        </w:trPr>
        <w:tc>
          <w:tcPr>
            <w:tcW w:w="2000" w:type="dxa"/>
            <w:tcBorders>
              <w:top w:val="nil"/>
              <w:left w:val="double" w:sz="4" w:space="0" w:color="auto"/>
              <w:bottom w:val="double" w:sz="4" w:space="0" w:color="auto"/>
              <w:right w:val="single" w:sz="4" w:space="0" w:color="auto"/>
            </w:tcBorders>
            <w:shd w:val="clear" w:color="auto" w:fill="auto"/>
            <w:vAlign w:val="center"/>
            <w:hideMark/>
          </w:tcPr>
          <w:p w14:paraId="28C4337F"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Устьянский район</w:t>
            </w:r>
          </w:p>
        </w:tc>
        <w:tc>
          <w:tcPr>
            <w:tcW w:w="2693" w:type="dxa"/>
            <w:tcBorders>
              <w:top w:val="nil"/>
              <w:left w:val="nil"/>
              <w:bottom w:val="double" w:sz="4" w:space="0" w:color="auto"/>
              <w:right w:val="single" w:sz="4" w:space="0" w:color="auto"/>
            </w:tcBorders>
            <w:shd w:val="clear" w:color="auto" w:fill="auto"/>
            <w:vAlign w:val="center"/>
            <w:hideMark/>
          </w:tcPr>
          <w:p w14:paraId="09F8495C"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ООО "Устьянская строительная компания</w:t>
            </w:r>
          </w:p>
        </w:tc>
        <w:tc>
          <w:tcPr>
            <w:tcW w:w="1296" w:type="dxa"/>
            <w:tcBorders>
              <w:top w:val="nil"/>
              <w:left w:val="nil"/>
              <w:bottom w:val="double" w:sz="4" w:space="0" w:color="auto"/>
              <w:right w:val="single" w:sz="4" w:space="0" w:color="auto"/>
            </w:tcBorders>
            <w:shd w:val="clear" w:color="auto" w:fill="auto"/>
            <w:vAlign w:val="center"/>
            <w:hideMark/>
          </w:tcPr>
          <w:p w14:paraId="15230712" w14:textId="77777777"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12.08.2019</w:t>
            </w:r>
          </w:p>
        </w:tc>
        <w:tc>
          <w:tcPr>
            <w:tcW w:w="1256" w:type="dxa"/>
            <w:tcBorders>
              <w:top w:val="nil"/>
              <w:left w:val="nil"/>
              <w:bottom w:val="double" w:sz="4" w:space="0" w:color="auto"/>
              <w:right w:val="single" w:sz="4" w:space="0" w:color="auto"/>
            </w:tcBorders>
            <w:shd w:val="clear" w:color="auto" w:fill="auto"/>
            <w:vAlign w:val="center"/>
            <w:hideMark/>
          </w:tcPr>
          <w:p w14:paraId="7BD2FD4D" w14:textId="43C90FCC"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257,8</w:t>
            </w:r>
            <w:r w:rsidR="005915D8" w:rsidRPr="00A53AD7">
              <w:rPr>
                <w:rFonts w:ascii="Times New Roman" w:eastAsia="Times New Roman" w:hAnsi="Times New Roman"/>
                <w:sz w:val="24"/>
                <w:szCs w:val="24"/>
                <w:lang w:eastAsia="ru-RU"/>
              </w:rPr>
              <w:t xml:space="preserve"> </w:t>
            </w:r>
          </w:p>
        </w:tc>
        <w:tc>
          <w:tcPr>
            <w:tcW w:w="1134" w:type="dxa"/>
            <w:tcBorders>
              <w:top w:val="nil"/>
              <w:left w:val="nil"/>
              <w:bottom w:val="double" w:sz="4" w:space="0" w:color="auto"/>
              <w:right w:val="single" w:sz="4" w:space="0" w:color="auto"/>
            </w:tcBorders>
            <w:shd w:val="clear" w:color="auto" w:fill="auto"/>
            <w:vAlign w:val="center"/>
            <w:hideMark/>
          </w:tcPr>
          <w:p w14:paraId="684C62EA" w14:textId="48584476"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248,3</w:t>
            </w:r>
            <w:r w:rsidR="005915D8" w:rsidRPr="00A53AD7">
              <w:rPr>
                <w:rFonts w:ascii="Times New Roman" w:eastAsia="Times New Roman" w:hAnsi="Times New Roman"/>
                <w:sz w:val="24"/>
                <w:szCs w:val="24"/>
                <w:lang w:eastAsia="ru-RU"/>
              </w:rPr>
              <w:t xml:space="preserve"> </w:t>
            </w:r>
          </w:p>
        </w:tc>
        <w:tc>
          <w:tcPr>
            <w:tcW w:w="992" w:type="dxa"/>
            <w:tcBorders>
              <w:top w:val="nil"/>
              <w:left w:val="nil"/>
              <w:bottom w:val="double" w:sz="4" w:space="0" w:color="auto"/>
              <w:right w:val="double" w:sz="4" w:space="0" w:color="auto"/>
            </w:tcBorders>
            <w:shd w:val="clear" w:color="auto" w:fill="auto"/>
            <w:vAlign w:val="center"/>
            <w:hideMark/>
          </w:tcPr>
          <w:p w14:paraId="557B933B" w14:textId="33CADC94" w:rsidR="00844D34" w:rsidRPr="00A53AD7" w:rsidRDefault="00844D34" w:rsidP="007042D1">
            <w:pPr>
              <w:spacing w:after="0" w:line="240" w:lineRule="auto"/>
              <w:jc w:val="center"/>
              <w:rPr>
                <w:rFonts w:ascii="Times New Roman" w:eastAsia="Times New Roman" w:hAnsi="Times New Roman"/>
                <w:sz w:val="24"/>
                <w:szCs w:val="24"/>
                <w:lang w:eastAsia="ru-RU"/>
              </w:rPr>
            </w:pPr>
            <w:r w:rsidRPr="00A53AD7">
              <w:rPr>
                <w:rFonts w:ascii="Times New Roman" w:eastAsia="Times New Roman" w:hAnsi="Times New Roman"/>
                <w:sz w:val="24"/>
                <w:szCs w:val="24"/>
                <w:lang w:eastAsia="ru-RU"/>
              </w:rPr>
              <w:t>9,5</w:t>
            </w:r>
            <w:r w:rsidR="005915D8" w:rsidRPr="00A53AD7">
              <w:rPr>
                <w:rFonts w:ascii="Times New Roman" w:eastAsia="Times New Roman" w:hAnsi="Times New Roman"/>
                <w:sz w:val="24"/>
                <w:szCs w:val="24"/>
                <w:lang w:eastAsia="ru-RU"/>
              </w:rPr>
              <w:t xml:space="preserve"> </w:t>
            </w:r>
          </w:p>
        </w:tc>
      </w:tr>
    </w:tbl>
    <w:p w14:paraId="349A7B43" w14:textId="77777777" w:rsidR="00844D34" w:rsidRPr="00A53AD7" w:rsidRDefault="00844D34" w:rsidP="00844D34">
      <w:pPr>
        <w:autoSpaceDE w:val="0"/>
        <w:autoSpaceDN w:val="0"/>
        <w:adjustRightInd w:val="0"/>
        <w:spacing w:after="0" w:line="240" w:lineRule="auto"/>
        <w:ind w:firstLine="709"/>
        <w:jc w:val="both"/>
        <w:rPr>
          <w:rFonts w:ascii="Times New Roman" w:hAnsi="Times New Roman"/>
          <w:sz w:val="28"/>
          <w:szCs w:val="28"/>
          <w:highlight w:val="cyan"/>
        </w:rPr>
      </w:pPr>
    </w:p>
    <w:p w14:paraId="257782C6" w14:textId="77777777" w:rsidR="00844D34" w:rsidRPr="00A53AD7" w:rsidRDefault="00844D34" w:rsidP="00B244C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Всего в 2019 году в рамках реализации АП 2019-2025 и регионального проекта расселено 484 человека с 8 755,75 кв.м. аварийного жилья. Целевые показатели регионального проекта перевыполнены, целевые показатели программы постановлением от 28.01.2020 года приведены в соответствии с фактически достигнутыми.</w:t>
      </w:r>
    </w:p>
    <w:p w14:paraId="74E0A534" w14:textId="77777777" w:rsidR="00844D34" w:rsidRPr="00A53AD7" w:rsidRDefault="00844D34" w:rsidP="00B244C4">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низкий процент исполнения расходных обязательств нельзя характеризовать только со стороны невыполнения своих полномочий главными распорядителями. Основной причиной является то, что средства Фонда в размере 2 281,8 млн.руб., перечисленные в бюджет субъекта в 2019 году, должны быть направлены на реализацию двух этапов программы, сроки реализации которых – 31.12.2021 года. То есть расходования средств Фонда, поступивших в 2019 году в бюджет субъекта, запланированы также на 2020 год.</w:t>
      </w:r>
    </w:p>
    <w:p w14:paraId="5BEC6042" w14:textId="2BC5DA6F" w:rsidR="00905BD4" w:rsidRPr="00A53AD7" w:rsidRDefault="00905BD4" w:rsidP="00905BD4">
      <w:pPr>
        <w:keepNext/>
        <w:spacing w:before="240" w:after="60" w:line="240" w:lineRule="auto"/>
        <w:jc w:val="center"/>
        <w:outlineLvl w:val="2"/>
        <w:rPr>
          <w:rFonts w:ascii="Times New Roman" w:eastAsia="Times New Roman" w:hAnsi="Times New Roman"/>
          <w:bCs/>
          <w:sz w:val="28"/>
          <w:szCs w:val="28"/>
          <w:u w:val="single"/>
          <w:lang w:eastAsia="ru-RU"/>
        </w:rPr>
      </w:pPr>
      <w:bookmarkStart w:id="110" w:name="_Toc42006750"/>
      <w:r w:rsidRPr="00A53AD7">
        <w:rPr>
          <w:rFonts w:ascii="Times New Roman" w:eastAsia="Times New Roman" w:hAnsi="Times New Roman"/>
          <w:bCs/>
          <w:sz w:val="28"/>
          <w:szCs w:val="28"/>
          <w:u w:val="single"/>
          <w:lang w:eastAsia="ru-RU"/>
        </w:rPr>
        <w:t>4.6.</w:t>
      </w:r>
      <w:r w:rsidR="007C3F68" w:rsidRPr="00A53AD7">
        <w:rPr>
          <w:rFonts w:ascii="Times New Roman" w:eastAsia="Times New Roman" w:hAnsi="Times New Roman"/>
          <w:bCs/>
          <w:sz w:val="28"/>
          <w:szCs w:val="28"/>
          <w:u w:val="single"/>
          <w:lang w:eastAsia="ru-RU"/>
        </w:rPr>
        <w:t>5</w:t>
      </w:r>
      <w:r w:rsidRPr="00A53AD7">
        <w:rPr>
          <w:rFonts w:ascii="Times New Roman" w:eastAsia="Times New Roman" w:hAnsi="Times New Roman"/>
          <w:bCs/>
          <w:sz w:val="28"/>
          <w:szCs w:val="28"/>
          <w:u w:val="single"/>
          <w:lang w:eastAsia="ru-RU"/>
        </w:rPr>
        <w:t>. Национальный проект «Экология»</w:t>
      </w:r>
      <w:bookmarkEnd w:id="110"/>
    </w:p>
    <w:p w14:paraId="1D235F54" w14:textId="77777777" w:rsidR="00905BD4" w:rsidRPr="00A53AD7" w:rsidRDefault="00905BD4" w:rsidP="00905BD4">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«Комплексная система</w:t>
      </w:r>
    </w:p>
    <w:p w14:paraId="5CE10DB0" w14:textId="3F9555DA" w:rsidR="000364A6" w:rsidRPr="00A53AD7" w:rsidRDefault="00905BD4" w:rsidP="00905BD4">
      <w:pPr>
        <w:spacing w:after="0" w:line="240" w:lineRule="auto"/>
        <w:jc w:val="center"/>
        <w:rPr>
          <w:rFonts w:ascii="Times New Roman" w:hAnsi="Times New Roman"/>
          <w:b/>
          <w:i/>
          <w:sz w:val="28"/>
          <w:szCs w:val="28"/>
        </w:rPr>
      </w:pPr>
      <w:r w:rsidRPr="00A53AD7">
        <w:rPr>
          <w:rFonts w:ascii="Times New Roman" w:hAnsi="Times New Roman"/>
          <w:b/>
          <w:i/>
          <w:sz w:val="28"/>
          <w:szCs w:val="28"/>
        </w:rPr>
        <w:t>обращения с твердыми коммунальными отходами»</w:t>
      </w:r>
    </w:p>
    <w:p w14:paraId="30187C9C" w14:textId="6D2816D0"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 о реализации регионального проекта «Комплексная система обращения с твердыми коммунальными отходами (Архангельская область)» на территории Архангельской области подписано 14.02.2019 года № 051-2019-G20035-1.</w:t>
      </w:r>
    </w:p>
    <w:p w14:paraId="367139ED"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Региональный проект «Комплексная система обращения с твердыми коммунальными отходами (Архангельская область)» утвержден в ГИИС «Электронный бюджет» 28.06.2019.</w:t>
      </w:r>
    </w:p>
    <w:p w14:paraId="30C80DFE"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проекта «Комплексная система обращения с твердыми коммунальными отходами (Архангельская область)» (далее проект) - 01.10.2018 – 31.12.2024 годы.</w:t>
      </w:r>
    </w:p>
    <w:p w14:paraId="05CD9B66"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Связь с ГП АО «Охрана окружающей среды, воспроизводство и использование природных ресурсов Архангельской области», утвержденной постановлением Правительства Архангельской области от 11.10.2013 № 476-пп (далее – ГП АО «Охрана окружающей среды», госпрограмма).</w:t>
      </w:r>
    </w:p>
    <w:p w14:paraId="3BCF4E87"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Цель проекта - эффективное обращение с отходами производства и потребления, включая ликвидацию всех выявленных на 1 января 2018 г. несанкционированных свалок в границах городов (Архангельская область).</w:t>
      </w:r>
    </w:p>
    <w:p w14:paraId="1B046CE8"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Проект включает в себя четыре показателя:</w:t>
      </w:r>
    </w:p>
    <w:p w14:paraId="13D2CE49"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Доля твердых коммунальных отходов, направленных на утилизацию, в общем объеме образованных твердых коммунальных отходов – проектом предусмотрено 0,0 %;</w:t>
      </w:r>
    </w:p>
    <w:p w14:paraId="19407D5F"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2) Доля твердых коммунальных отходов, направленных на обработку в общем объеме образованных твердых коммунальных отходов – проектом предусмотрено 2019 г. – 20,0 %, 2020 г. – 40,0 %, 2021 – 62,3 %, 2022 г. – 75,0 %, 2023 г. – 80,3 %, 2024 % – 80,9 %;</w:t>
      </w:r>
    </w:p>
    <w:p w14:paraId="5A16577D"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Данный показатель был сформирован с учетом действующей территориальной схемы обращения с отходами в условиях запуска 01.01.2019 деятельности регионального оператора по обращению с ТКО.</w:t>
      </w:r>
    </w:p>
    <w:p w14:paraId="2627362C"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региональный оператор не приступил к своей деятельности. Исполнение по отчету составило 0,0 %.</w:t>
      </w:r>
    </w:p>
    <w:p w14:paraId="4955EEB4" w14:textId="36002AAA"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о достижении целевых показателей ГП АО «Охрана окружающей среды» доля твердых коммунальных отходов, направленных на обработку в общем объеме образованных твердых коммунальных отходов фактически составила всего 0,2 %;</w:t>
      </w:r>
    </w:p>
    <w:p w14:paraId="00B35C7E"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3) Доля импорта оборудования для обработки и утилизации твердых коммунальных отходов – проектом предусмотрено 0,0 %;</w:t>
      </w:r>
    </w:p>
    <w:p w14:paraId="7BEFECDE"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4) Количество разработанных электронных моделей - 1 шт.</w:t>
      </w:r>
    </w:p>
    <w:p w14:paraId="3E5EE91A"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в наименование показателя регионального проекта № 4 внесли изменение (изменена доля на количество), а в единицах измерения оставлен процент, вместо шт.</w:t>
      </w:r>
    </w:p>
    <w:p w14:paraId="5A215167"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Схема обращения с отходами, в том числе с твердыми коммунальными отходами, на территории Архангельской области утверждена постановлением Правительства Архангельской области от 11.04.2017 № 144-пп.</w:t>
      </w:r>
    </w:p>
    <w:p w14:paraId="4B3CB6C8"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электронную модель внесены изменения, утвержденные постановлением Правительства Архангельской области от 29.08.2019 № 453-пп «О внесении изменений в постановление Правительства Архангельской области от 11 апреля 2017 года № 144-пп».</w:t>
      </w:r>
    </w:p>
    <w:p w14:paraId="733CF2BE" w14:textId="149AAC59"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Результаты, задачи регионального проекта и их характеристика:</w:t>
      </w:r>
    </w:p>
    <w:p w14:paraId="043945EF" w14:textId="03F9A126"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Введено в промышленную эксплуатацию 37,1 млн. тонн мощностей по обработке ТКО. Характеристика результата федерального проекта (справочно из паспорта федерального проекта): Доля твердых коммунальных отходов, направленных на обработку, в общем объеме образованных твердых коммунальных отходов по состоянию на 31 декабря 2024 г. составит 60%.</w:t>
      </w:r>
    </w:p>
    <w:p w14:paraId="243C8C50"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Региональным проектом и в заключенном соглашении от 14.02.2019 года № 051-2019-G20035-1 по Архангельской области на 31.12.2024 предусмотрено 80,9 %.</w:t>
      </w:r>
    </w:p>
    <w:p w14:paraId="41DF8C2A" w14:textId="77777777"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2) Разработаны электронные модели территориальных схем обращения с отходами, в том числе с твердыми коммунальными отходами (во всех 85 субъектах Российской Федерации). Срок - на 31.10.2020 - 1 шт.</w:t>
      </w:r>
    </w:p>
    <w:p w14:paraId="3810FC74" w14:textId="37F0DB30"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3) Введено в промышленную эксплуатацию 23,1 млн. тонн мощностей по утилизации отходов и фракций после обработки ТКО. Характеристика результата федерального проекта (справочно из паспорта федерального проекта): Доля твердых коммунальных отходов, направленных на утилизацию, в общем объеме образованных твердых коммунальных отходов по состоянию на 31 декабря 2024 г. составит 36 %.</w:t>
      </w:r>
    </w:p>
    <w:p w14:paraId="7EB1B5C5" w14:textId="0CFD70C8"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региональном проекте и заключенном соглашении от 14.02.2019 года № 051-2019-G20035-1 по Архангельской области запланировано 0,0 %.</w:t>
      </w:r>
    </w:p>
    <w:p w14:paraId="02973949" w14:textId="71DC517D" w:rsidR="00905BD4" w:rsidRPr="00A53AD7" w:rsidRDefault="00905BD4" w:rsidP="00905BD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Финансовое обеспечение реализации регионального проекта на 2019 - 2024 г.г. не предусмотрено.</w:t>
      </w:r>
    </w:p>
    <w:p w14:paraId="5FF06806" w14:textId="77777777" w:rsidR="00A62497" w:rsidRPr="00A53AD7" w:rsidRDefault="00A62497" w:rsidP="00905BD4">
      <w:pPr>
        <w:spacing w:after="0" w:line="240" w:lineRule="auto"/>
        <w:ind w:firstLine="851"/>
        <w:jc w:val="both"/>
        <w:rPr>
          <w:rFonts w:ascii="Times New Roman" w:hAnsi="Times New Roman"/>
          <w:sz w:val="28"/>
          <w:szCs w:val="28"/>
        </w:rPr>
      </w:pPr>
    </w:p>
    <w:p w14:paraId="005D50BD" w14:textId="13352F75" w:rsidR="00A62497" w:rsidRPr="00A53AD7" w:rsidRDefault="00A62497" w:rsidP="00A62497">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«Сохранение лесов»</w:t>
      </w:r>
    </w:p>
    <w:p w14:paraId="6BCC9E6C" w14:textId="3370346E"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Целью реализации РП «Сохранение лесов» является обеспечение баланса выбытия и воспроизводства лесов в соотношении 100% к 2024 году. На 2019 год показатель «Отношение площади лесовосстановления и лесоразведения к площади вырубленных и погибших лес</w:t>
      </w:r>
      <w:r w:rsidR="007B71E0" w:rsidRPr="00A53AD7">
        <w:rPr>
          <w:rFonts w:ascii="Times New Roman" w:hAnsi="Times New Roman"/>
          <w:sz w:val="28"/>
          <w:szCs w:val="28"/>
        </w:rPr>
        <w:t>ных насаждений» установлен 85%.</w:t>
      </w:r>
    </w:p>
    <w:p w14:paraId="23E68948" w14:textId="77777777"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Результатом регионального проекта являются оснащение ГАУ АО «Единый лесопожарный центр» специализированной лесохозяйственной техникой и оборудованием для проведения комплекса мероприятий по лесовосстановлению и лесоразведению, лесопожарной техникой и оборудованием; формирование запаса лесных семян для лесовосстановления на всех участках, вырубленных и погибших лесных насаждений; увеличение площади лесовосстановления и лесоразведения, повышение качества и эффективности работ по лесовосстановлению на лесных участках, переданных в пользование.</w:t>
      </w:r>
    </w:p>
    <w:p w14:paraId="5E2D585C" w14:textId="026E3C09"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2019 года поступило из федерального бюджета на реализацию мероприятий, предусмотренных в рамках РП «Сохра</w:t>
      </w:r>
      <w:r w:rsidR="009851B9" w:rsidRPr="00A53AD7">
        <w:rPr>
          <w:rFonts w:ascii="Times New Roman" w:hAnsi="Times New Roman"/>
          <w:sz w:val="28"/>
          <w:szCs w:val="28"/>
        </w:rPr>
        <w:t>нение лесов» в сумме 103,5 млн.</w:t>
      </w:r>
      <w:r w:rsidRPr="00A53AD7">
        <w:rPr>
          <w:rFonts w:ascii="Times New Roman" w:hAnsi="Times New Roman"/>
          <w:sz w:val="28"/>
          <w:szCs w:val="28"/>
        </w:rPr>
        <w:t>руб., или на 100% к плановым поступлениям. В целом на реализацию мероприятий РП «Сохранение лесов» направлено 109,6 млн.руб., в том числе за счет федерального бюджета в сумме 103,5 млн.руб., областного – 6,4 млн.руб.</w:t>
      </w:r>
    </w:p>
    <w:p w14:paraId="0CA3AD06" w14:textId="77777777"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отчете о ходе реализации РП «Сохранение лесов» на 2019 год целевой показатель «Отношение площади лесовосстановления и лесоразведения к площади вырубленных и лесных насаждений» по итогам года отражен в размере 95,2%, (план 85,0%), выполнены все контрольные точки и мероприятия, сроки реализации которых, установлены до 31.12.2019. </w:t>
      </w:r>
    </w:p>
    <w:p w14:paraId="7E316C5C" w14:textId="77777777"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представленной министерством ЛПК отчетности и информации за 2019 год:</w:t>
      </w:r>
    </w:p>
    <w:p w14:paraId="4916F391" w14:textId="4B208C26" w:rsidR="00A62497" w:rsidRPr="00A53AD7" w:rsidRDefault="00A62497" w:rsidP="00CA1DDD">
      <w:pPr>
        <w:pStyle w:val="a8"/>
        <w:numPr>
          <w:ilvl w:val="0"/>
          <w:numId w:val="42"/>
        </w:numPr>
        <w:ind w:left="0" w:firstLine="851"/>
        <w:jc w:val="both"/>
        <w:rPr>
          <w:sz w:val="28"/>
          <w:szCs w:val="28"/>
        </w:rPr>
      </w:pPr>
      <w:r w:rsidRPr="00A53AD7">
        <w:rPr>
          <w:sz w:val="28"/>
          <w:szCs w:val="28"/>
        </w:rPr>
        <w:t>целевой показатель «Отношение площади лесовосстановления и лесоразведения к площади вырубленных и погибших лесных насаждений» составил 95,2%, площадь вырубленных и погибших лесов – 82 954,2 гектар, лесовосстановление проведено на площади 78 993,8 гектар (естественное восстановление вследствие природных процессов – 74 415,9 гектар); за счет арендаторов лесовосстановление проведено на площади 67 947,4 гектар (к плану выполнение 106,8%), за счет ГАУ АО «ЕЛЦ» - 5 828 гектар;</w:t>
      </w:r>
    </w:p>
    <w:p w14:paraId="108ADC1E" w14:textId="27432F93" w:rsidR="00A62497" w:rsidRPr="00A53AD7" w:rsidRDefault="00A62497" w:rsidP="00CA1DDD">
      <w:pPr>
        <w:pStyle w:val="a8"/>
        <w:numPr>
          <w:ilvl w:val="0"/>
          <w:numId w:val="42"/>
        </w:numPr>
        <w:ind w:left="0" w:firstLine="851"/>
        <w:jc w:val="both"/>
        <w:rPr>
          <w:sz w:val="28"/>
          <w:szCs w:val="28"/>
        </w:rPr>
      </w:pPr>
      <w:r w:rsidRPr="00A53AD7">
        <w:rPr>
          <w:sz w:val="28"/>
          <w:szCs w:val="28"/>
        </w:rPr>
        <w:t>приобретено специализированной лесохозяйственной техники и оборудования для проведения комплекса мероприятий по лесовосстановлению и лесоразведению в количестве 129 ед., что составляет 18,9% к общей потребности (684 ед.); приобретены тракторы, плуги, прицепы, бороны, косилки, мотокусторезы, мотокосы, бензопилы и другая техника и оборудование;</w:t>
      </w:r>
    </w:p>
    <w:p w14:paraId="3A2B2797" w14:textId="20FFB2B1" w:rsidR="00A62497" w:rsidRPr="00A53AD7" w:rsidRDefault="00A62497" w:rsidP="00CA1DDD">
      <w:pPr>
        <w:pStyle w:val="a8"/>
        <w:numPr>
          <w:ilvl w:val="0"/>
          <w:numId w:val="42"/>
        </w:numPr>
        <w:ind w:left="0" w:firstLine="851"/>
        <w:jc w:val="both"/>
        <w:rPr>
          <w:sz w:val="28"/>
          <w:szCs w:val="28"/>
        </w:rPr>
      </w:pPr>
      <w:r w:rsidRPr="00A53AD7">
        <w:rPr>
          <w:sz w:val="28"/>
          <w:szCs w:val="28"/>
        </w:rPr>
        <w:t xml:space="preserve">приобретено специализированной лесопожарной техники и оборудования – 117 ед., что составляет 1,5% к общей потребности (7 535 ед.); приобретены лесопатрульные комплексы, бульдозер, вездеходы, катер, пилы, автомобили, тягач и другая техника. </w:t>
      </w:r>
    </w:p>
    <w:p w14:paraId="249AAAA4" w14:textId="77777777"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общую потребность в количестве 7 353 ед. включены средства индивидуальной защиты, рюкзаки, спальные мешки, термоизоляционные коврики, палатки в количестве 1800 ед., лопаты и топоры, ведра в количестве 798 ед.</w:t>
      </w:r>
    </w:p>
    <w:p w14:paraId="5C9126CD" w14:textId="163DAE09"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в 2019 году ГАУ АО «ЕЛЦ» было заключено 43 государственных контрактов и договоров на поставку техники и оборудования в количестве 246 ед. на общую сумму 92,2 млн.р</w:t>
      </w:r>
      <w:r w:rsidR="009851B9" w:rsidRPr="00A53AD7">
        <w:rPr>
          <w:rFonts w:ascii="Times New Roman" w:hAnsi="Times New Roman"/>
          <w:sz w:val="28"/>
          <w:szCs w:val="28"/>
        </w:rPr>
        <w:t>уб., средства в сумме 92,2 млн.</w:t>
      </w:r>
      <w:r w:rsidRPr="00A53AD7">
        <w:rPr>
          <w:rFonts w:ascii="Times New Roman" w:hAnsi="Times New Roman"/>
          <w:sz w:val="28"/>
          <w:szCs w:val="28"/>
        </w:rPr>
        <w:t>руб. перечислены поставщикам. Вся техника и оборудование поступили и закреплены за подразделениями и управлением.</w:t>
      </w:r>
    </w:p>
    <w:p w14:paraId="7FCF8723" w14:textId="77777777" w:rsidR="00A62497" w:rsidRPr="00A53AD7" w:rsidRDefault="00A62497" w:rsidP="00905BD4">
      <w:pPr>
        <w:spacing w:after="0" w:line="240" w:lineRule="auto"/>
        <w:ind w:firstLine="851"/>
        <w:jc w:val="both"/>
        <w:rPr>
          <w:rFonts w:ascii="Times New Roman" w:hAnsi="Times New Roman"/>
          <w:sz w:val="28"/>
          <w:szCs w:val="28"/>
        </w:rPr>
      </w:pPr>
    </w:p>
    <w:p w14:paraId="7509800D" w14:textId="77777777" w:rsidR="00482F99" w:rsidRPr="00A53AD7" w:rsidRDefault="00482F99" w:rsidP="00482F99">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«Чистая вода»</w:t>
      </w:r>
    </w:p>
    <w:p w14:paraId="0F184481" w14:textId="77777777" w:rsidR="00482F99" w:rsidRPr="00A53AD7" w:rsidRDefault="00482F99" w:rsidP="00482F9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положений Указа Президента Российской Федерации от 07.05.2018 № 204 «О национальных целях и стратегических задачах развития Российской Федерации на период до 2024 года» утвержден региональный проект «Чистая вода» (далее – РП «Чистая вода») входящий в состав федерального проекта «Чистая вода» (далее – ФП «Чистая вода») национального проекта «Экология», основной целью которого является повышение качества питьевой воды для населения.</w:t>
      </w:r>
    </w:p>
    <w:p w14:paraId="3108BDC4" w14:textId="77777777" w:rsidR="00482F99" w:rsidRPr="00A53AD7" w:rsidRDefault="00482F99" w:rsidP="00482F99">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Финансирование РП «Чистая вода» осуществляется в рамках мероприятия 1.19 ШП АО «Развитие энергетики и жилищно-коммунального хозяйства Архангельской области», утвержденной постановлением Правительства Архангельской области от 15.10.2013 № 487-пп (далее – ГП № 487-пп).</w:t>
      </w:r>
    </w:p>
    <w:p w14:paraId="3764C4D2" w14:textId="77777777" w:rsidR="00482F99" w:rsidRPr="00A53AD7" w:rsidRDefault="00482F99" w:rsidP="00482F99">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Реализацию мероприятия пункта 1.19 осуществляют министерство ТЭК и ЖКХ и органы местного самоуправления в соответствии с Порядком предоставления и распределения субсидий из областного бюджета бюджетам муниципальных районов и городских округов Архангельской области в целях софинансирования мероприятий по строительству и реконструкции (модернизации) объектов питьевого водоснабжения в рамках реализации федерального проекта «Чистая вода» национального проекта «Экология».</w:t>
      </w:r>
    </w:p>
    <w:p w14:paraId="2FDF841B" w14:textId="77777777" w:rsidR="00482F99" w:rsidRPr="00A53AD7" w:rsidRDefault="00482F99" w:rsidP="00482F99">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ГП № 487-пп установлены следующие целевые показатели в рамках ФП «Чистая вода» (соответствуют паспорту РП):</w:t>
      </w:r>
    </w:p>
    <w:p w14:paraId="01C8B7DC" w14:textId="77777777" w:rsidR="00123F53" w:rsidRPr="00A53AD7" w:rsidRDefault="00123F53" w:rsidP="00482F99">
      <w:pPr>
        <w:spacing w:after="0" w:line="240" w:lineRule="auto"/>
        <w:ind w:firstLine="851"/>
        <w:jc w:val="both"/>
        <w:rPr>
          <w:rFonts w:ascii="Times New Roman" w:hAnsi="Times New Roman"/>
          <w:sz w:val="28"/>
          <w:szCs w:val="28"/>
        </w:rPr>
      </w:pPr>
    </w:p>
    <w:tbl>
      <w:tblPr>
        <w:tblW w:w="9366"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389"/>
        <w:gridCol w:w="993"/>
        <w:gridCol w:w="992"/>
        <w:gridCol w:w="992"/>
      </w:tblGrid>
      <w:tr w:rsidR="00D470B6" w:rsidRPr="00A53AD7" w14:paraId="267B2CC6" w14:textId="77777777" w:rsidTr="00560C72">
        <w:trPr>
          <w:trHeight w:val="245"/>
        </w:trPr>
        <w:tc>
          <w:tcPr>
            <w:tcW w:w="6389" w:type="dxa"/>
            <w:vMerge w:val="restart"/>
            <w:vAlign w:val="center"/>
          </w:tcPr>
          <w:p w14:paraId="2CDBD52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целевого показателя</w:t>
            </w:r>
          </w:p>
        </w:tc>
        <w:tc>
          <w:tcPr>
            <w:tcW w:w="2977" w:type="dxa"/>
            <w:gridSpan w:val="3"/>
          </w:tcPr>
          <w:p w14:paraId="088D0EB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Значения целевых показателей</w:t>
            </w:r>
          </w:p>
        </w:tc>
      </w:tr>
      <w:tr w:rsidR="00D470B6" w:rsidRPr="00A53AD7" w14:paraId="3176BAB7" w14:textId="77777777" w:rsidTr="00560C72">
        <w:trPr>
          <w:trHeight w:val="245"/>
        </w:trPr>
        <w:tc>
          <w:tcPr>
            <w:tcW w:w="6389" w:type="dxa"/>
            <w:vMerge/>
            <w:vAlign w:val="center"/>
          </w:tcPr>
          <w:p w14:paraId="5E715FAD" w14:textId="77777777" w:rsidR="00482F99" w:rsidRPr="00A53AD7" w:rsidRDefault="00482F99" w:rsidP="00560C72">
            <w:pPr>
              <w:spacing w:after="0" w:line="240" w:lineRule="auto"/>
              <w:jc w:val="center"/>
              <w:rPr>
                <w:rFonts w:ascii="Times New Roman" w:hAnsi="Times New Roman"/>
                <w:sz w:val="20"/>
                <w:szCs w:val="20"/>
              </w:rPr>
            </w:pPr>
          </w:p>
        </w:tc>
        <w:tc>
          <w:tcPr>
            <w:tcW w:w="993" w:type="dxa"/>
          </w:tcPr>
          <w:p w14:paraId="3E704F1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992" w:type="dxa"/>
          </w:tcPr>
          <w:p w14:paraId="7596AD4C"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2020 год</w:t>
            </w:r>
          </w:p>
        </w:tc>
        <w:tc>
          <w:tcPr>
            <w:tcW w:w="992" w:type="dxa"/>
          </w:tcPr>
          <w:p w14:paraId="30832031"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2021 год</w:t>
            </w:r>
          </w:p>
        </w:tc>
      </w:tr>
      <w:tr w:rsidR="00D470B6" w:rsidRPr="00A53AD7" w14:paraId="018C8077" w14:textId="77777777" w:rsidTr="00560C72">
        <w:trPr>
          <w:trHeight w:val="811"/>
        </w:trPr>
        <w:tc>
          <w:tcPr>
            <w:tcW w:w="6389" w:type="dxa"/>
            <w:shd w:val="clear" w:color="auto" w:fill="FFFFFF"/>
            <w:vAlign w:val="center"/>
          </w:tcPr>
          <w:p w14:paraId="32E5B9D3" w14:textId="42DE1CBB" w:rsidR="00482F99" w:rsidRPr="00A53AD7" w:rsidRDefault="00482F99" w:rsidP="00560C72">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Доля населения Архангельской области, обеспеченного качественной питьевой водой из централизованных систем водоснабжения в рамках реализации федерального проекта «Чистая вода» национального проекта «Экологи», %</w:t>
            </w:r>
          </w:p>
        </w:tc>
        <w:tc>
          <w:tcPr>
            <w:tcW w:w="993" w:type="dxa"/>
            <w:shd w:val="clear" w:color="auto" w:fill="FFFFFF"/>
          </w:tcPr>
          <w:p w14:paraId="3216A81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72,00</w:t>
            </w:r>
          </w:p>
        </w:tc>
        <w:tc>
          <w:tcPr>
            <w:tcW w:w="992" w:type="dxa"/>
            <w:shd w:val="clear" w:color="auto" w:fill="FFFFFF"/>
          </w:tcPr>
          <w:p w14:paraId="2A3B95C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72,40</w:t>
            </w:r>
          </w:p>
        </w:tc>
        <w:tc>
          <w:tcPr>
            <w:tcW w:w="992" w:type="dxa"/>
            <w:shd w:val="clear" w:color="auto" w:fill="FFFFFF"/>
          </w:tcPr>
          <w:p w14:paraId="4AED02A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73,20</w:t>
            </w:r>
          </w:p>
        </w:tc>
      </w:tr>
      <w:tr w:rsidR="00D470B6" w:rsidRPr="00A53AD7" w14:paraId="61B56CA6" w14:textId="77777777" w:rsidTr="00560C72">
        <w:trPr>
          <w:trHeight w:val="55"/>
        </w:trPr>
        <w:tc>
          <w:tcPr>
            <w:tcW w:w="6389" w:type="dxa"/>
            <w:shd w:val="clear" w:color="auto" w:fill="FFFFFF"/>
            <w:vAlign w:val="center"/>
          </w:tcPr>
          <w:p w14:paraId="06291200" w14:textId="77777777" w:rsidR="00482F99" w:rsidRPr="00A53AD7" w:rsidRDefault="00482F99" w:rsidP="00560C72">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 xml:space="preserve">Доля городского населения Архангельской области, обеспеченного качественной питьевой водой из централизованных систем водоснабжения в рамках реализации федерального проекта «Чистая вода» национального проекта «Экология», % </w:t>
            </w:r>
          </w:p>
        </w:tc>
        <w:tc>
          <w:tcPr>
            <w:tcW w:w="993" w:type="dxa"/>
            <w:shd w:val="clear" w:color="auto" w:fill="FFFFFF"/>
          </w:tcPr>
          <w:p w14:paraId="70A44963"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82,50</w:t>
            </w:r>
          </w:p>
        </w:tc>
        <w:tc>
          <w:tcPr>
            <w:tcW w:w="992" w:type="dxa"/>
            <w:shd w:val="clear" w:color="auto" w:fill="FFFFFF"/>
          </w:tcPr>
          <w:p w14:paraId="69A059E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82,90</w:t>
            </w:r>
          </w:p>
        </w:tc>
        <w:tc>
          <w:tcPr>
            <w:tcW w:w="992" w:type="dxa"/>
            <w:shd w:val="clear" w:color="auto" w:fill="FFFFFF"/>
          </w:tcPr>
          <w:p w14:paraId="47A6B688"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83,70</w:t>
            </w:r>
          </w:p>
        </w:tc>
      </w:tr>
    </w:tbl>
    <w:p w14:paraId="08161611" w14:textId="77777777" w:rsidR="00482F99" w:rsidRPr="00A53AD7" w:rsidRDefault="00482F99" w:rsidP="00560C72">
      <w:pPr>
        <w:spacing w:after="0" w:line="240" w:lineRule="auto"/>
        <w:ind w:firstLine="851"/>
        <w:jc w:val="both"/>
        <w:rPr>
          <w:rFonts w:ascii="Times New Roman" w:hAnsi="Times New Roman"/>
          <w:sz w:val="28"/>
          <w:szCs w:val="28"/>
        </w:rPr>
      </w:pPr>
    </w:p>
    <w:p w14:paraId="52594405" w14:textId="75549133"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финансового обеспечения мероприятия 1.19 ГП № 487-пп на 2019 год ус</w:t>
      </w:r>
      <w:r w:rsidR="00560C72" w:rsidRPr="00A53AD7">
        <w:rPr>
          <w:rFonts w:ascii="Times New Roman" w:hAnsi="Times New Roman"/>
          <w:sz w:val="28"/>
          <w:szCs w:val="28"/>
        </w:rPr>
        <w:t>тановлен в объеме 86 980,9 тыс.</w:t>
      </w:r>
      <w:r w:rsidRPr="00A53AD7">
        <w:rPr>
          <w:rFonts w:ascii="Times New Roman" w:hAnsi="Times New Roman"/>
          <w:sz w:val="28"/>
          <w:szCs w:val="28"/>
        </w:rPr>
        <w:t xml:space="preserve">руб., в том числе федеральный бюджет – 85 156,1 тыс.руб., </w:t>
      </w:r>
      <w:r w:rsidR="00560C72" w:rsidRPr="00A53AD7">
        <w:rPr>
          <w:rFonts w:ascii="Times New Roman" w:hAnsi="Times New Roman"/>
          <w:sz w:val="28"/>
          <w:szCs w:val="28"/>
        </w:rPr>
        <w:t>областной бюджет – 1 737,9 тыс.</w:t>
      </w:r>
      <w:r w:rsidRPr="00A53AD7">
        <w:rPr>
          <w:rFonts w:ascii="Times New Roman" w:hAnsi="Times New Roman"/>
          <w:sz w:val="28"/>
          <w:szCs w:val="28"/>
        </w:rPr>
        <w:t>ру</w:t>
      </w:r>
      <w:r w:rsidR="00560C72" w:rsidRPr="00A53AD7">
        <w:rPr>
          <w:rFonts w:ascii="Times New Roman" w:hAnsi="Times New Roman"/>
          <w:sz w:val="28"/>
          <w:szCs w:val="28"/>
        </w:rPr>
        <w:t>б., местные бюджеты – 86,9 тыс.</w:t>
      </w:r>
      <w:r w:rsidRPr="00A53AD7">
        <w:rPr>
          <w:rFonts w:ascii="Times New Roman" w:hAnsi="Times New Roman"/>
          <w:sz w:val="28"/>
          <w:szCs w:val="28"/>
        </w:rPr>
        <w:t>руб.</w:t>
      </w:r>
    </w:p>
    <w:p w14:paraId="45935659"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Паспортом РП «Чистая вода» предусмотрены следующие цели, результаты и показатели:</w:t>
      </w:r>
    </w:p>
    <w:tbl>
      <w:tblPr>
        <w:tblW w:w="9431"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113"/>
        <w:gridCol w:w="719"/>
        <w:gridCol w:w="719"/>
        <w:gridCol w:w="720"/>
        <w:gridCol w:w="720"/>
        <w:gridCol w:w="720"/>
        <w:gridCol w:w="720"/>
      </w:tblGrid>
      <w:tr w:rsidR="00D470B6" w:rsidRPr="00A53AD7" w14:paraId="26C55767" w14:textId="77777777" w:rsidTr="00123F53">
        <w:trPr>
          <w:trHeight w:val="262"/>
        </w:trPr>
        <w:tc>
          <w:tcPr>
            <w:tcW w:w="5113" w:type="dxa"/>
            <w:vMerge w:val="restart"/>
            <w:shd w:val="clear" w:color="auto" w:fill="FFFFFF"/>
            <w:vAlign w:val="center"/>
          </w:tcPr>
          <w:p w14:paraId="406468B4"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 результативности</w:t>
            </w:r>
          </w:p>
        </w:tc>
        <w:tc>
          <w:tcPr>
            <w:tcW w:w="4318" w:type="dxa"/>
            <w:gridSpan w:val="6"/>
            <w:shd w:val="clear" w:color="auto" w:fill="FFFFFF"/>
          </w:tcPr>
          <w:p w14:paraId="67118918"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по годам</w:t>
            </w:r>
          </w:p>
        </w:tc>
      </w:tr>
      <w:tr w:rsidR="00D470B6" w:rsidRPr="00A53AD7" w14:paraId="5BB0633F" w14:textId="77777777" w:rsidTr="00560C72">
        <w:trPr>
          <w:trHeight w:val="245"/>
        </w:trPr>
        <w:tc>
          <w:tcPr>
            <w:tcW w:w="5113" w:type="dxa"/>
            <w:vMerge/>
            <w:vAlign w:val="center"/>
          </w:tcPr>
          <w:p w14:paraId="7BB6E3A7" w14:textId="77777777" w:rsidR="00482F99" w:rsidRPr="00A53AD7" w:rsidRDefault="00482F99" w:rsidP="00560C72">
            <w:pPr>
              <w:spacing w:after="0" w:line="240" w:lineRule="auto"/>
              <w:rPr>
                <w:rFonts w:ascii="Times New Roman" w:hAnsi="Times New Roman"/>
                <w:sz w:val="20"/>
                <w:szCs w:val="20"/>
              </w:rPr>
            </w:pPr>
          </w:p>
        </w:tc>
        <w:tc>
          <w:tcPr>
            <w:tcW w:w="719" w:type="dxa"/>
          </w:tcPr>
          <w:p w14:paraId="32488AA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719" w:type="dxa"/>
          </w:tcPr>
          <w:p w14:paraId="23FD2FB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2020 год</w:t>
            </w:r>
          </w:p>
        </w:tc>
        <w:tc>
          <w:tcPr>
            <w:tcW w:w="720" w:type="dxa"/>
          </w:tcPr>
          <w:p w14:paraId="431C7F0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2021 год</w:t>
            </w:r>
          </w:p>
        </w:tc>
        <w:tc>
          <w:tcPr>
            <w:tcW w:w="720" w:type="dxa"/>
          </w:tcPr>
          <w:p w14:paraId="37414F6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2022 год</w:t>
            </w:r>
          </w:p>
        </w:tc>
        <w:tc>
          <w:tcPr>
            <w:tcW w:w="720" w:type="dxa"/>
          </w:tcPr>
          <w:p w14:paraId="5F90474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2023 год</w:t>
            </w:r>
          </w:p>
        </w:tc>
        <w:tc>
          <w:tcPr>
            <w:tcW w:w="720" w:type="dxa"/>
          </w:tcPr>
          <w:p w14:paraId="3D0AA03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2024 год</w:t>
            </w:r>
          </w:p>
        </w:tc>
      </w:tr>
      <w:tr w:rsidR="00D470B6" w:rsidRPr="00A53AD7" w14:paraId="781B6F20" w14:textId="77777777" w:rsidTr="00560C72">
        <w:trPr>
          <w:trHeight w:val="571"/>
        </w:trPr>
        <w:tc>
          <w:tcPr>
            <w:tcW w:w="5113" w:type="dxa"/>
            <w:shd w:val="clear" w:color="auto" w:fill="FFFFFF"/>
            <w:vAlign w:val="center"/>
          </w:tcPr>
          <w:p w14:paraId="18DC53DC" w14:textId="6954908F"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Доля населения Российской Федерации, обеспеченного качественной питьевой водой из систем централизованного водоснабжения, %</w:t>
            </w:r>
          </w:p>
        </w:tc>
        <w:tc>
          <w:tcPr>
            <w:tcW w:w="719" w:type="dxa"/>
            <w:shd w:val="clear" w:color="auto" w:fill="FFFFFF"/>
          </w:tcPr>
          <w:p w14:paraId="5789EEF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72,00</w:t>
            </w:r>
          </w:p>
        </w:tc>
        <w:tc>
          <w:tcPr>
            <w:tcW w:w="719" w:type="dxa"/>
            <w:shd w:val="clear" w:color="auto" w:fill="FFFFFF"/>
          </w:tcPr>
          <w:p w14:paraId="61A09374"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72,40</w:t>
            </w:r>
          </w:p>
        </w:tc>
        <w:tc>
          <w:tcPr>
            <w:tcW w:w="720" w:type="dxa"/>
            <w:shd w:val="clear" w:color="auto" w:fill="FFFFFF"/>
          </w:tcPr>
          <w:p w14:paraId="6845A54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73,20</w:t>
            </w:r>
          </w:p>
        </w:tc>
        <w:tc>
          <w:tcPr>
            <w:tcW w:w="720" w:type="dxa"/>
            <w:shd w:val="clear" w:color="auto" w:fill="FFFFFF"/>
          </w:tcPr>
          <w:p w14:paraId="52E364D8"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75,00</w:t>
            </w:r>
          </w:p>
        </w:tc>
        <w:tc>
          <w:tcPr>
            <w:tcW w:w="720" w:type="dxa"/>
            <w:shd w:val="clear" w:color="auto" w:fill="FFFFFF"/>
          </w:tcPr>
          <w:p w14:paraId="78A0A58E"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77,70</w:t>
            </w:r>
          </w:p>
        </w:tc>
        <w:tc>
          <w:tcPr>
            <w:tcW w:w="720" w:type="dxa"/>
            <w:shd w:val="clear" w:color="auto" w:fill="FFFFFF"/>
          </w:tcPr>
          <w:p w14:paraId="45FC38CA"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82,90</w:t>
            </w:r>
          </w:p>
        </w:tc>
      </w:tr>
      <w:tr w:rsidR="00D470B6" w:rsidRPr="00A53AD7" w14:paraId="39F41427" w14:textId="77777777" w:rsidTr="00560C72">
        <w:trPr>
          <w:trHeight w:val="55"/>
        </w:trPr>
        <w:tc>
          <w:tcPr>
            <w:tcW w:w="5113" w:type="dxa"/>
            <w:shd w:val="clear" w:color="auto" w:fill="FFFFFF"/>
            <w:vAlign w:val="center"/>
          </w:tcPr>
          <w:p w14:paraId="4F832558"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 xml:space="preserve">Доля городского населения Российской Федерации, обеспеченного качественной питьевой водой из систем централизованного водоснабжения, % </w:t>
            </w:r>
          </w:p>
        </w:tc>
        <w:tc>
          <w:tcPr>
            <w:tcW w:w="719" w:type="dxa"/>
            <w:shd w:val="clear" w:color="auto" w:fill="FFFFFF"/>
          </w:tcPr>
          <w:p w14:paraId="753C919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82,50</w:t>
            </w:r>
          </w:p>
        </w:tc>
        <w:tc>
          <w:tcPr>
            <w:tcW w:w="719" w:type="dxa"/>
            <w:shd w:val="clear" w:color="auto" w:fill="FFFFFF"/>
          </w:tcPr>
          <w:p w14:paraId="2FAA018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82,90</w:t>
            </w:r>
          </w:p>
        </w:tc>
        <w:tc>
          <w:tcPr>
            <w:tcW w:w="720" w:type="dxa"/>
            <w:shd w:val="clear" w:color="auto" w:fill="FFFFFF"/>
          </w:tcPr>
          <w:p w14:paraId="280A8B50"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83,70</w:t>
            </w:r>
          </w:p>
        </w:tc>
        <w:tc>
          <w:tcPr>
            <w:tcW w:w="720" w:type="dxa"/>
            <w:shd w:val="clear" w:color="auto" w:fill="FFFFFF"/>
          </w:tcPr>
          <w:p w14:paraId="378F570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85,40</w:t>
            </w:r>
          </w:p>
        </w:tc>
        <w:tc>
          <w:tcPr>
            <w:tcW w:w="720" w:type="dxa"/>
            <w:shd w:val="clear" w:color="auto" w:fill="FFFFFF"/>
          </w:tcPr>
          <w:p w14:paraId="110A6EA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87,90</w:t>
            </w:r>
          </w:p>
        </w:tc>
        <w:tc>
          <w:tcPr>
            <w:tcW w:w="720" w:type="dxa"/>
            <w:shd w:val="clear" w:color="auto" w:fill="FFFFFF"/>
          </w:tcPr>
          <w:p w14:paraId="5843BE9B"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92,70</w:t>
            </w:r>
          </w:p>
        </w:tc>
      </w:tr>
    </w:tbl>
    <w:p w14:paraId="451BB572" w14:textId="77777777" w:rsidR="00560C72" w:rsidRPr="00A53AD7" w:rsidRDefault="00560C72" w:rsidP="00560C72">
      <w:pPr>
        <w:spacing w:after="0" w:line="240" w:lineRule="auto"/>
        <w:ind w:firstLine="851"/>
        <w:jc w:val="both"/>
        <w:rPr>
          <w:rFonts w:ascii="Times New Roman" w:hAnsi="Times New Roman"/>
          <w:sz w:val="28"/>
          <w:szCs w:val="28"/>
        </w:rPr>
      </w:pPr>
    </w:p>
    <w:p w14:paraId="63B5FFD2"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Ход реализации РП «Чистая вода» предлагается оценивать по двум показателям, среди которых, несмотря на поставленную цель, отсутствует показатель в части повышения качества питьевой воды для жителей населенных пунктов, не оборудованных современными системами централизованного водоснабжения.</w:t>
      </w:r>
    </w:p>
    <w:p w14:paraId="58240B75"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паспортом РП «Чистая вода» не предусмотрен такой целевой показатель, установленный паспортом ФП «Чистая вода», как количество построенных и реконструированных крупных объектов питьевого водоснабжения:</w:t>
      </w:r>
    </w:p>
    <w:tbl>
      <w:tblPr>
        <w:tblW w:w="9375"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103"/>
        <w:gridCol w:w="709"/>
        <w:gridCol w:w="708"/>
        <w:gridCol w:w="709"/>
        <w:gridCol w:w="709"/>
        <w:gridCol w:w="709"/>
        <w:gridCol w:w="728"/>
      </w:tblGrid>
      <w:tr w:rsidR="00D470B6" w:rsidRPr="00A53AD7" w14:paraId="136B29BF" w14:textId="77777777" w:rsidTr="00560C72">
        <w:trPr>
          <w:trHeight w:val="177"/>
        </w:trPr>
        <w:tc>
          <w:tcPr>
            <w:tcW w:w="5103" w:type="dxa"/>
            <w:vMerge w:val="restart"/>
            <w:shd w:val="clear" w:color="auto" w:fill="FFFFFF"/>
            <w:vAlign w:val="center"/>
            <w:hideMark/>
          </w:tcPr>
          <w:p w14:paraId="79D85E1E"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Документ</w:t>
            </w:r>
          </w:p>
        </w:tc>
        <w:tc>
          <w:tcPr>
            <w:tcW w:w="4272" w:type="dxa"/>
            <w:gridSpan w:val="6"/>
            <w:shd w:val="clear" w:color="auto" w:fill="FFFFFF"/>
            <w:vAlign w:val="center"/>
            <w:hideMark/>
          </w:tcPr>
          <w:p w14:paraId="7C9FA433"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Период, год</w:t>
            </w:r>
          </w:p>
        </w:tc>
      </w:tr>
      <w:tr w:rsidR="00D470B6" w:rsidRPr="00A53AD7" w14:paraId="2B1CC948" w14:textId="77777777" w:rsidTr="00560C72">
        <w:trPr>
          <w:trHeight w:val="210"/>
        </w:trPr>
        <w:tc>
          <w:tcPr>
            <w:tcW w:w="5103" w:type="dxa"/>
            <w:vMerge/>
            <w:vAlign w:val="center"/>
            <w:hideMark/>
          </w:tcPr>
          <w:p w14:paraId="112D498C" w14:textId="77777777" w:rsidR="00482F99" w:rsidRPr="00A53AD7" w:rsidRDefault="00482F99" w:rsidP="00560C72">
            <w:pPr>
              <w:spacing w:after="0" w:line="240" w:lineRule="auto"/>
              <w:rPr>
                <w:rFonts w:ascii="Times New Roman" w:hAnsi="Times New Roman"/>
                <w:sz w:val="20"/>
                <w:szCs w:val="20"/>
              </w:rPr>
            </w:pPr>
          </w:p>
        </w:tc>
        <w:tc>
          <w:tcPr>
            <w:tcW w:w="709" w:type="dxa"/>
            <w:shd w:val="clear" w:color="auto" w:fill="FFFFFF"/>
            <w:vAlign w:val="center"/>
            <w:hideMark/>
          </w:tcPr>
          <w:p w14:paraId="116B4C70"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2019</w:t>
            </w:r>
          </w:p>
        </w:tc>
        <w:tc>
          <w:tcPr>
            <w:tcW w:w="708" w:type="dxa"/>
            <w:shd w:val="clear" w:color="auto" w:fill="FFFFFF"/>
            <w:vAlign w:val="center"/>
            <w:hideMark/>
          </w:tcPr>
          <w:p w14:paraId="5C60309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2020</w:t>
            </w:r>
          </w:p>
        </w:tc>
        <w:tc>
          <w:tcPr>
            <w:tcW w:w="709" w:type="dxa"/>
            <w:shd w:val="clear" w:color="auto" w:fill="FFFFFF"/>
            <w:vAlign w:val="center"/>
            <w:hideMark/>
          </w:tcPr>
          <w:p w14:paraId="7134EAC4"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2021</w:t>
            </w:r>
          </w:p>
        </w:tc>
        <w:tc>
          <w:tcPr>
            <w:tcW w:w="709" w:type="dxa"/>
            <w:shd w:val="clear" w:color="auto" w:fill="FFFFFF"/>
            <w:vAlign w:val="center"/>
            <w:hideMark/>
          </w:tcPr>
          <w:p w14:paraId="161F6036"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2022</w:t>
            </w:r>
          </w:p>
        </w:tc>
        <w:tc>
          <w:tcPr>
            <w:tcW w:w="709" w:type="dxa"/>
            <w:shd w:val="clear" w:color="auto" w:fill="FFFFFF"/>
            <w:vAlign w:val="center"/>
            <w:hideMark/>
          </w:tcPr>
          <w:p w14:paraId="4CBAA69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2023</w:t>
            </w:r>
          </w:p>
        </w:tc>
        <w:tc>
          <w:tcPr>
            <w:tcW w:w="728" w:type="dxa"/>
            <w:shd w:val="clear" w:color="auto" w:fill="FFFFFF"/>
            <w:vAlign w:val="center"/>
            <w:hideMark/>
          </w:tcPr>
          <w:p w14:paraId="2F96112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2024</w:t>
            </w:r>
          </w:p>
        </w:tc>
      </w:tr>
      <w:tr w:rsidR="00D470B6" w:rsidRPr="00A53AD7" w14:paraId="00DE2B28" w14:textId="77777777" w:rsidTr="00560C72">
        <w:trPr>
          <w:trHeight w:val="436"/>
        </w:trPr>
        <w:tc>
          <w:tcPr>
            <w:tcW w:w="9375" w:type="dxa"/>
            <w:gridSpan w:val="7"/>
            <w:shd w:val="clear" w:color="auto" w:fill="FFFFFF"/>
            <w:vAlign w:val="center"/>
            <w:hideMark/>
          </w:tcPr>
          <w:p w14:paraId="0A6286E8" w14:textId="77777777" w:rsidR="00482F99" w:rsidRPr="00A53AD7" w:rsidRDefault="00482F99" w:rsidP="00560C72">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sz w:val="20"/>
                <w:szCs w:val="20"/>
              </w:rPr>
              <w:t>Построены и реконструированы крупные объекты питьевого водоснабжения, предусмотренные региональными программами, нарастающим итогом, ед.</w:t>
            </w:r>
          </w:p>
        </w:tc>
      </w:tr>
      <w:tr w:rsidR="00D470B6" w:rsidRPr="00A53AD7" w14:paraId="2DF088E1" w14:textId="77777777" w:rsidTr="00560C72">
        <w:trPr>
          <w:trHeight w:val="133"/>
        </w:trPr>
        <w:tc>
          <w:tcPr>
            <w:tcW w:w="5103" w:type="dxa"/>
            <w:shd w:val="clear" w:color="auto" w:fill="FFFFFF"/>
            <w:vAlign w:val="center"/>
            <w:hideMark/>
          </w:tcPr>
          <w:p w14:paraId="662A4BD6"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 xml:space="preserve"> Значение, установленное федеральным проектом </w:t>
            </w:r>
          </w:p>
        </w:tc>
        <w:tc>
          <w:tcPr>
            <w:tcW w:w="709" w:type="dxa"/>
            <w:shd w:val="clear" w:color="auto" w:fill="FFFFFF"/>
            <w:noWrap/>
            <w:hideMark/>
          </w:tcPr>
          <w:p w14:paraId="7FAC345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 </w:t>
            </w:r>
          </w:p>
        </w:tc>
        <w:tc>
          <w:tcPr>
            <w:tcW w:w="708" w:type="dxa"/>
            <w:shd w:val="clear" w:color="auto" w:fill="FFFFFF"/>
            <w:noWrap/>
            <w:hideMark/>
          </w:tcPr>
          <w:p w14:paraId="0C60227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41 </w:t>
            </w:r>
          </w:p>
        </w:tc>
        <w:tc>
          <w:tcPr>
            <w:tcW w:w="709" w:type="dxa"/>
            <w:shd w:val="clear" w:color="auto" w:fill="FFFFFF"/>
            <w:noWrap/>
            <w:hideMark/>
          </w:tcPr>
          <w:p w14:paraId="5F168EE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124 </w:t>
            </w:r>
          </w:p>
        </w:tc>
        <w:tc>
          <w:tcPr>
            <w:tcW w:w="709" w:type="dxa"/>
            <w:shd w:val="clear" w:color="auto" w:fill="FFFFFF"/>
            <w:noWrap/>
            <w:hideMark/>
          </w:tcPr>
          <w:p w14:paraId="7F765C0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207 </w:t>
            </w:r>
          </w:p>
        </w:tc>
        <w:tc>
          <w:tcPr>
            <w:tcW w:w="709" w:type="dxa"/>
            <w:shd w:val="clear" w:color="auto" w:fill="FFFFFF"/>
            <w:noWrap/>
            <w:hideMark/>
          </w:tcPr>
          <w:p w14:paraId="7AB4BC3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290 </w:t>
            </w:r>
          </w:p>
        </w:tc>
        <w:tc>
          <w:tcPr>
            <w:tcW w:w="728" w:type="dxa"/>
            <w:shd w:val="clear" w:color="auto" w:fill="FFFFFF"/>
            <w:noWrap/>
            <w:hideMark/>
          </w:tcPr>
          <w:p w14:paraId="02A5CE8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 xml:space="preserve">373 </w:t>
            </w:r>
          </w:p>
        </w:tc>
      </w:tr>
      <w:tr w:rsidR="00D470B6" w:rsidRPr="00A53AD7" w14:paraId="21B92791" w14:textId="77777777" w:rsidTr="00560C72">
        <w:trPr>
          <w:trHeight w:val="55"/>
        </w:trPr>
        <w:tc>
          <w:tcPr>
            <w:tcW w:w="5103" w:type="dxa"/>
            <w:shd w:val="clear" w:color="auto" w:fill="FFFFFF"/>
            <w:vAlign w:val="center"/>
            <w:hideMark/>
          </w:tcPr>
          <w:p w14:paraId="7FBFDAEE"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 Значение, установленное региональным проектом</w:t>
            </w:r>
          </w:p>
        </w:tc>
        <w:tc>
          <w:tcPr>
            <w:tcW w:w="709" w:type="dxa"/>
            <w:shd w:val="clear" w:color="auto" w:fill="FFFFFF"/>
            <w:noWrap/>
            <w:vAlign w:val="center"/>
            <w:hideMark/>
          </w:tcPr>
          <w:p w14:paraId="7E3EE05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08" w:type="dxa"/>
            <w:shd w:val="clear" w:color="auto" w:fill="FFFFFF"/>
            <w:noWrap/>
            <w:vAlign w:val="center"/>
            <w:hideMark/>
          </w:tcPr>
          <w:p w14:paraId="4D311118"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09" w:type="dxa"/>
            <w:shd w:val="clear" w:color="auto" w:fill="FFFFFF"/>
            <w:noWrap/>
            <w:vAlign w:val="center"/>
            <w:hideMark/>
          </w:tcPr>
          <w:p w14:paraId="6E699511"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09" w:type="dxa"/>
            <w:shd w:val="clear" w:color="auto" w:fill="FFFFFF"/>
            <w:noWrap/>
            <w:vAlign w:val="center"/>
            <w:hideMark/>
          </w:tcPr>
          <w:p w14:paraId="638894BA"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09" w:type="dxa"/>
            <w:shd w:val="clear" w:color="auto" w:fill="FFFFFF"/>
            <w:noWrap/>
            <w:vAlign w:val="center"/>
            <w:hideMark/>
          </w:tcPr>
          <w:p w14:paraId="09BE7E9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728" w:type="dxa"/>
            <w:shd w:val="clear" w:color="auto" w:fill="FFFFFF"/>
            <w:noWrap/>
            <w:vAlign w:val="center"/>
            <w:hideMark/>
          </w:tcPr>
          <w:p w14:paraId="6C0BF4B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w:t>
            </w:r>
          </w:p>
        </w:tc>
      </w:tr>
    </w:tbl>
    <w:p w14:paraId="572FB9F8" w14:textId="77777777" w:rsidR="00482F99" w:rsidRPr="00A53AD7" w:rsidRDefault="00482F99" w:rsidP="00560C72">
      <w:pPr>
        <w:spacing w:after="0" w:line="240" w:lineRule="auto"/>
        <w:ind w:firstLine="851"/>
        <w:jc w:val="both"/>
        <w:rPr>
          <w:rFonts w:ascii="Times New Roman" w:hAnsi="Times New Roman"/>
          <w:sz w:val="28"/>
          <w:szCs w:val="28"/>
        </w:rPr>
      </w:pPr>
    </w:p>
    <w:p w14:paraId="5CFE4632"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Для достижения установленных результатов заключены соглашения:</w:t>
      </w:r>
    </w:p>
    <w:p w14:paraId="21D7C39C" w14:textId="314E740A" w:rsidR="00482F99" w:rsidRPr="00A53AD7" w:rsidRDefault="00482F99" w:rsidP="00CA1DDD">
      <w:pPr>
        <w:pStyle w:val="a8"/>
        <w:numPr>
          <w:ilvl w:val="0"/>
          <w:numId w:val="42"/>
        </w:numPr>
        <w:ind w:left="0" w:firstLine="851"/>
        <w:jc w:val="both"/>
        <w:rPr>
          <w:sz w:val="28"/>
          <w:szCs w:val="28"/>
        </w:rPr>
      </w:pPr>
      <w:r w:rsidRPr="00A53AD7">
        <w:rPr>
          <w:sz w:val="28"/>
          <w:szCs w:val="28"/>
        </w:rPr>
        <w:t>Правительством Архангельской области (далее – Субъект) с Министерством строительства и жилищно-коммунального хозяйства Российской Федерации о предоставлении в 2019 году субсидии из федерального бюджета бюджету Архангельской области на строительство и реконструкцию (модернизацию) объектов питьевого водоснабжения от 12.02.2019 № 069-09-2019-229 (далее – Соглашение № 069-09-2019-229). Объем средств на финансирование указанных мероприятий на 2019 год предусмотрен в размере 86,9 млн. рублей, из них средства</w:t>
      </w:r>
      <w:r w:rsidR="00084534" w:rsidRPr="00A53AD7">
        <w:rPr>
          <w:sz w:val="28"/>
          <w:szCs w:val="28"/>
        </w:rPr>
        <w:t xml:space="preserve"> федерального бюджета 85,2 млн.</w:t>
      </w:r>
      <w:r w:rsidRPr="00A53AD7">
        <w:rPr>
          <w:sz w:val="28"/>
          <w:szCs w:val="28"/>
        </w:rPr>
        <w:t>руб. (уровень софинансирования – 98,0%).</w:t>
      </w:r>
    </w:p>
    <w:p w14:paraId="6D77EA2C" w14:textId="545BA5BD"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пункту 4.3.10.2 Соглашения № 069-09-2019-229 Субъект обязуется обеспечить достижение показателей результативности использования субсидий, установленны</w:t>
      </w:r>
      <w:r w:rsidR="007B71E0" w:rsidRPr="00A53AD7">
        <w:rPr>
          <w:rFonts w:ascii="Times New Roman" w:hAnsi="Times New Roman"/>
          <w:sz w:val="28"/>
          <w:szCs w:val="28"/>
        </w:rPr>
        <w:t>х приложением № 8 к соглашению:</w:t>
      </w:r>
    </w:p>
    <w:tbl>
      <w:tblPr>
        <w:tblW w:w="9355"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6804"/>
        <w:gridCol w:w="850"/>
        <w:gridCol w:w="851"/>
        <w:gridCol w:w="850"/>
      </w:tblGrid>
      <w:tr w:rsidR="00D470B6" w:rsidRPr="00A53AD7" w14:paraId="16AF5094" w14:textId="77777777" w:rsidTr="00560C72">
        <w:trPr>
          <w:trHeight w:val="403"/>
        </w:trPr>
        <w:tc>
          <w:tcPr>
            <w:tcW w:w="6804" w:type="dxa"/>
            <w:vMerge w:val="restart"/>
            <w:shd w:val="clear" w:color="auto" w:fill="FFFFFF"/>
            <w:vAlign w:val="center"/>
          </w:tcPr>
          <w:p w14:paraId="2C5F8429"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 результативности</w:t>
            </w:r>
          </w:p>
        </w:tc>
        <w:tc>
          <w:tcPr>
            <w:tcW w:w="2551" w:type="dxa"/>
            <w:gridSpan w:val="3"/>
            <w:shd w:val="clear" w:color="auto" w:fill="FFFFFF"/>
          </w:tcPr>
          <w:p w14:paraId="675DDB34"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результативности по годам достижения</w:t>
            </w:r>
          </w:p>
        </w:tc>
      </w:tr>
      <w:tr w:rsidR="00D470B6" w:rsidRPr="00A53AD7" w14:paraId="0D70CC1C" w14:textId="77777777" w:rsidTr="00560C72">
        <w:trPr>
          <w:trHeight w:val="245"/>
        </w:trPr>
        <w:tc>
          <w:tcPr>
            <w:tcW w:w="6804" w:type="dxa"/>
            <w:vMerge/>
            <w:vAlign w:val="center"/>
          </w:tcPr>
          <w:p w14:paraId="5EB30CD0" w14:textId="77777777" w:rsidR="00482F99" w:rsidRPr="00A53AD7" w:rsidRDefault="00482F99" w:rsidP="00560C72">
            <w:pPr>
              <w:spacing w:after="0" w:line="240" w:lineRule="auto"/>
              <w:rPr>
                <w:rFonts w:ascii="Times New Roman" w:hAnsi="Times New Roman"/>
                <w:sz w:val="20"/>
                <w:szCs w:val="20"/>
              </w:rPr>
            </w:pPr>
          </w:p>
        </w:tc>
        <w:tc>
          <w:tcPr>
            <w:tcW w:w="850" w:type="dxa"/>
          </w:tcPr>
          <w:p w14:paraId="15FF799B"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2019 год</w:t>
            </w:r>
          </w:p>
        </w:tc>
        <w:tc>
          <w:tcPr>
            <w:tcW w:w="851" w:type="dxa"/>
          </w:tcPr>
          <w:p w14:paraId="04E8F45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2020 год</w:t>
            </w:r>
          </w:p>
        </w:tc>
        <w:tc>
          <w:tcPr>
            <w:tcW w:w="850" w:type="dxa"/>
          </w:tcPr>
          <w:p w14:paraId="77F1AC6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2021 год</w:t>
            </w:r>
          </w:p>
        </w:tc>
      </w:tr>
      <w:tr w:rsidR="00D470B6" w:rsidRPr="00A53AD7" w14:paraId="577E9624" w14:textId="77777777" w:rsidTr="00560C72">
        <w:trPr>
          <w:trHeight w:val="576"/>
        </w:trPr>
        <w:tc>
          <w:tcPr>
            <w:tcW w:w="6804" w:type="dxa"/>
            <w:shd w:val="clear" w:color="auto" w:fill="FFFFFF"/>
            <w:vAlign w:val="center"/>
          </w:tcPr>
          <w:p w14:paraId="3B53010C"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Доля населения субъекта Российской Федерации, обеспеченного качественной питьевой водой из систем централизованного водоснабжения, в общей численности населения субъекта Российской Федерации, %</w:t>
            </w:r>
          </w:p>
        </w:tc>
        <w:tc>
          <w:tcPr>
            <w:tcW w:w="850" w:type="dxa"/>
            <w:shd w:val="clear" w:color="auto" w:fill="FFFFFF"/>
          </w:tcPr>
          <w:p w14:paraId="7A5C1002"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72,0</w:t>
            </w:r>
          </w:p>
        </w:tc>
        <w:tc>
          <w:tcPr>
            <w:tcW w:w="851" w:type="dxa"/>
            <w:shd w:val="clear" w:color="auto" w:fill="FFFFFF"/>
          </w:tcPr>
          <w:p w14:paraId="38DF1716"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72,4</w:t>
            </w:r>
          </w:p>
        </w:tc>
        <w:tc>
          <w:tcPr>
            <w:tcW w:w="850" w:type="dxa"/>
            <w:shd w:val="clear" w:color="auto" w:fill="FFFFFF"/>
          </w:tcPr>
          <w:p w14:paraId="6185724B"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73,2</w:t>
            </w:r>
          </w:p>
        </w:tc>
      </w:tr>
      <w:tr w:rsidR="00D470B6" w:rsidRPr="00A53AD7" w14:paraId="0F790F16" w14:textId="77777777" w:rsidTr="00560C72">
        <w:trPr>
          <w:trHeight w:val="55"/>
        </w:trPr>
        <w:tc>
          <w:tcPr>
            <w:tcW w:w="6804" w:type="dxa"/>
            <w:shd w:val="clear" w:color="auto" w:fill="FFFFFF"/>
            <w:vAlign w:val="center"/>
          </w:tcPr>
          <w:p w14:paraId="2E52B653"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 xml:space="preserve">Уровень технической готовности объектов капитального строительства, капитальные вложения в которые софинансируются за счет субсидии, % </w:t>
            </w:r>
          </w:p>
        </w:tc>
        <w:tc>
          <w:tcPr>
            <w:tcW w:w="850" w:type="dxa"/>
            <w:shd w:val="clear" w:color="auto" w:fill="FFFFFF"/>
          </w:tcPr>
          <w:p w14:paraId="3629606D"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0</w:t>
            </w:r>
          </w:p>
        </w:tc>
        <w:tc>
          <w:tcPr>
            <w:tcW w:w="851" w:type="dxa"/>
            <w:shd w:val="clear" w:color="auto" w:fill="FFFFFF"/>
          </w:tcPr>
          <w:p w14:paraId="6C64FA01"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3</w:t>
            </w:r>
          </w:p>
        </w:tc>
        <w:tc>
          <w:tcPr>
            <w:tcW w:w="850" w:type="dxa"/>
            <w:shd w:val="clear" w:color="auto" w:fill="FFFFFF"/>
          </w:tcPr>
          <w:p w14:paraId="78D7F258"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11</w:t>
            </w:r>
          </w:p>
        </w:tc>
      </w:tr>
    </w:tbl>
    <w:p w14:paraId="32446EDF" w14:textId="77777777" w:rsidR="00482F99" w:rsidRPr="00A53AD7" w:rsidRDefault="00482F99" w:rsidP="00560C72">
      <w:pPr>
        <w:spacing w:after="0" w:line="240" w:lineRule="auto"/>
        <w:ind w:firstLine="851"/>
        <w:jc w:val="both"/>
        <w:rPr>
          <w:rFonts w:ascii="Times New Roman" w:hAnsi="Times New Roman"/>
          <w:sz w:val="28"/>
          <w:szCs w:val="28"/>
        </w:rPr>
      </w:pPr>
    </w:p>
    <w:p w14:paraId="065E3D7A"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следует отметить, что достижение такого показателя, как «уровень технической готовности объектов капитального строительства…» не предусмотрено РП «Чистая вода», что в свою очередь несет в себе риски по достижению показателей, предусмотренных Соглашением № 069-09-2019-229.</w:t>
      </w:r>
    </w:p>
    <w:p w14:paraId="68692A57"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дополнительному соглашению от 27.11.2019 № 069-09-2019-229/1 к Соглашению № 069-09-2019-229 объем финансового обеспечения достижения результатов регионального проекта на 2019 год составил 0 руб. 00 копеек;</w:t>
      </w:r>
    </w:p>
    <w:p w14:paraId="258A2E37" w14:textId="422D9030" w:rsidR="00482F99" w:rsidRPr="00A53AD7" w:rsidRDefault="00482F99" w:rsidP="00CA1DDD">
      <w:pPr>
        <w:pStyle w:val="a8"/>
        <w:numPr>
          <w:ilvl w:val="0"/>
          <w:numId w:val="42"/>
        </w:numPr>
        <w:ind w:left="0" w:firstLine="851"/>
        <w:jc w:val="both"/>
        <w:rPr>
          <w:sz w:val="28"/>
          <w:szCs w:val="28"/>
        </w:rPr>
      </w:pPr>
      <w:r w:rsidRPr="00A53AD7">
        <w:rPr>
          <w:sz w:val="28"/>
          <w:szCs w:val="28"/>
        </w:rPr>
        <w:t>министром топливно-энергетического комплекса и жилищно-коммунального хозяйства Архангельской области с заместителем Министра строительства и жилищно-коммунального хозяйства Российской Федерации о реализации регионального проекта «Чистая вода (Архангельская область)» на территории Архангельской области от 05.02.2019 № 069-2019-G50012-1 (далее – Соглашение № 069-2019-G50012-1). Предметом указанного соглашения является взаимодействие сторон 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Архангельской области и (или) муниципальных образований, расположенных на территории субъекта.</w:t>
      </w:r>
    </w:p>
    <w:p w14:paraId="411BA8F4" w14:textId="3F2F9F1C"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Архангельской области от 30.07.2019 № 403-пп утверждена региональная программа Архангельской области «Чистая вода (2019-2024 годы)» (в ред. от 24.12.2019) (далее – Региональная программа «Чистая вода»).</w:t>
      </w:r>
    </w:p>
    <w:p w14:paraId="5D2D8296"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Приложением № 3 к Региональной программе «Чистая вода» определена динамика достижения целевых показателей федерального проекта «Чистая вода» при реализации Региональной программы «Чистая вода»:</w:t>
      </w:r>
    </w:p>
    <w:tbl>
      <w:tblPr>
        <w:tblW w:w="935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4"/>
        <w:gridCol w:w="1242"/>
        <w:gridCol w:w="1417"/>
        <w:gridCol w:w="2694"/>
        <w:gridCol w:w="567"/>
        <w:gridCol w:w="567"/>
        <w:gridCol w:w="646"/>
        <w:gridCol w:w="567"/>
        <w:gridCol w:w="567"/>
        <w:gridCol w:w="630"/>
      </w:tblGrid>
      <w:tr w:rsidR="00D470B6" w:rsidRPr="00A53AD7" w14:paraId="6F907544" w14:textId="77777777" w:rsidTr="00123F53">
        <w:trPr>
          <w:trHeight w:val="150"/>
          <w:tblHeader/>
        </w:trPr>
        <w:tc>
          <w:tcPr>
            <w:tcW w:w="454" w:type="dxa"/>
            <w:vMerge w:val="restart"/>
          </w:tcPr>
          <w:p w14:paraId="173C9D2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p w14:paraId="0B64CACA"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п/п</w:t>
            </w:r>
          </w:p>
        </w:tc>
        <w:tc>
          <w:tcPr>
            <w:tcW w:w="1242" w:type="dxa"/>
            <w:vMerge w:val="restart"/>
          </w:tcPr>
          <w:p w14:paraId="34C46C05" w14:textId="77777777" w:rsidR="00560C72" w:rsidRPr="00A53AD7" w:rsidRDefault="00560C72" w:rsidP="00560C72">
            <w:pPr>
              <w:widowControl w:val="0"/>
              <w:autoSpaceDE w:val="0"/>
              <w:autoSpaceDN w:val="0"/>
              <w:spacing w:after="0" w:line="240" w:lineRule="auto"/>
              <w:jc w:val="both"/>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Показатель</w:t>
            </w:r>
          </w:p>
        </w:tc>
        <w:tc>
          <w:tcPr>
            <w:tcW w:w="1417" w:type="dxa"/>
            <w:vMerge w:val="restart"/>
          </w:tcPr>
          <w:p w14:paraId="6E70BDFA"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Прирост численности населения, обеспеченного качественной питьевой водой из систем централизован-ного водоснабжения, после ввода объекта</w:t>
            </w:r>
          </w:p>
          <w:p w14:paraId="7635089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эксплуатацию, чел.</w:t>
            </w:r>
          </w:p>
        </w:tc>
        <w:tc>
          <w:tcPr>
            <w:tcW w:w="2694" w:type="dxa"/>
            <w:vMerge w:val="restart"/>
          </w:tcPr>
          <w:p w14:paraId="6B96A07A"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Прирост доли населения, обеспеченного качественной питьевой водой из систем централизованного водоснабжения, после ввода объекта</w:t>
            </w:r>
          </w:p>
          <w:p w14:paraId="0C9767A0"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эксплуатацию, приведенный к общей численности населения Архангельской области, %</w:t>
            </w:r>
          </w:p>
        </w:tc>
        <w:tc>
          <w:tcPr>
            <w:tcW w:w="3544" w:type="dxa"/>
            <w:gridSpan w:val="6"/>
          </w:tcPr>
          <w:p w14:paraId="276F2FFB"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График достижения целевого показателя</w:t>
            </w:r>
          </w:p>
        </w:tc>
      </w:tr>
      <w:tr w:rsidR="00D470B6" w:rsidRPr="00A53AD7" w14:paraId="6A29FA6E" w14:textId="77777777" w:rsidTr="00560C72">
        <w:trPr>
          <w:trHeight w:hRule="exact" w:val="2572"/>
          <w:tblHeader/>
        </w:trPr>
        <w:tc>
          <w:tcPr>
            <w:tcW w:w="454" w:type="dxa"/>
            <w:vMerge/>
          </w:tcPr>
          <w:p w14:paraId="13EF9DAE" w14:textId="77777777" w:rsidR="00560C72" w:rsidRPr="00A53AD7" w:rsidRDefault="00560C72" w:rsidP="00560C72">
            <w:pPr>
              <w:spacing w:after="0" w:line="240" w:lineRule="auto"/>
              <w:rPr>
                <w:rFonts w:ascii="Times New Roman" w:eastAsiaTheme="minorHAnsi" w:hAnsi="Times New Roman"/>
                <w:sz w:val="18"/>
                <w:szCs w:val="18"/>
              </w:rPr>
            </w:pPr>
          </w:p>
        </w:tc>
        <w:tc>
          <w:tcPr>
            <w:tcW w:w="1242" w:type="dxa"/>
            <w:vMerge/>
          </w:tcPr>
          <w:p w14:paraId="6A80C5F2" w14:textId="77777777" w:rsidR="00560C72" w:rsidRPr="00A53AD7" w:rsidRDefault="00560C72" w:rsidP="00560C72">
            <w:pPr>
              <w:spacing w:after="0" w:line="240" w:lineRule="auto"/>
              <w:rPr>
                <w:rFonts w:ascii="Times New Roman" w:eastAsiaTheme="minorHAnsi" w:hAnsi="Times New Roman"/>
                <w:sz w:val="18"/>
                <w:szCs w:val="18"/>
              </w:rPr>
            </w:pPr>
          </w:p>
        </w:tc>
        <w:tc>
          <w:tcPr>
            <w:tcW w:w="1417" w:type="dxa"/>
            <w:vMerge/>
          </w:tcPr>
          <w:p w14:paraId="6936B56B" w14:textId="77777777" w:rsidR="00560C72" w:rsidRPr="00A53AD7" w:rsidRDefault="00560C72" w:rsidP="00560C72">
            <w:pPr>
              <w:spacing w:after="0" w:line="240" w:lineRule="auto"/>
              <w:rPr>
                <w:rFonts w:ascii="Times New Roman" w:eastAsiaTheme="minorHAnsi" w:hAnsi="Times New Roman"/>
                <w:sz w:val="18"/>
                <w:szCs w:val="18"/>
              </w:rPr>
            </w:pPr>
          </w:p>
        </w:tc>
        <w:tc>
          <w:tcPr>
            <w:tcW w:w="2694" w:type="dxa"/>
            <w:vMerge/>
          </w:tcPr>
          <w:p w14:paraId="72DAC846" w14:textId="77777777" w:rsidR="00560C72" w:rsidRPr="00A53AD7" w:rsidRDefault="00560C72" w:rsidP="00560C72">
            <w:pPr>
              <w:spacing w:after="0" w:line="240" w:lineRule="auto"/>
              <w:rPr>
                <w:rFonts w:ascii="Times New Roman" w:eastAsiaTheme="minorHAnsi" w:hAnsi="Times New Roman"/>
                <w:sz w:val="18"/>
                <w:szCs w:val="18"/>
              </w:rPr>
            </w:pPr>
          </w:p>
        </w:tc>
        <w:tc>
          <w:tcPr>
            <w:tcW w:w="567" w:type="dxa"/>
          </w:tcPr>
          <w:p w14:paraId="4E420FAD"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2019</w:t>
            </w:r>
          </w:p>
          <w:p w14:paraId="57604F9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c>
          <w:tcPr>
            <w:tcW w:w="567" w:type="dxa"/>
          </w:tcPr>
          <w:p w14:paraId="24D940D9"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2020</w:t>
            </w:r>
          </w:p>
          <w:p w14:paraId="3D99902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c>
          <w:tcPr>
            <w:tcW w:w="646" w:type="dxa"/>
          </w:tcPr>
          <w:p w14:paraId="473B573F"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2021</w:t>
            </w:r>
          </w:p>
          <w:p w14:paraId="4A8EDF22"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c>
          <w:tcPr>
            <w:tcW w:w="567" w:type="dxa"/>
          </w:tcPr>
          <w:p w14:paraId="6612ED9F"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2022</w:t>
            </w:r>
          </w:p>
          <w:p w14:paraId="7F32D788"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c>
          <w:tcPr>
            <w:tcW w:w="567" w:type="dxa"/>
          </w:tcPr>
          <w:p w14:paraId="5C83766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2023</w:t>
            </w:r>
          </w:p>
          <w:p w14:paraId="3A61A914"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c>
          <w:tcPr>
            <w:tcW w:w="630" w:type="dxa"/>
          </w:tcPr>
          <w:p w14:paraId="4FA03A6F"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2024</w:t>
            </w:r>
          </w:p>
          <w:p w14:paraId="50EE89D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год, %</w:t>
            </w:r>
          </w:p>
        </w:tc>
      </w:tr>
      <w:tr w:rsidR="00D470B6" w:rsidRPr="00A53AD7" w14:paraId="2F3AA6A9" w14:textId="77777777" w:rsidTr="00560C72">
        <w:trPr>
          <w:trHeight w:val="387"/>
        </w:trPr>
        <w:tc>
          <w:tcPr>
            <w:tcW w:w="9351" w:type="dxa"/>
            <w:gridSpan w:val="10"/>
            <w:vAlign w:val="bottom"/>
          </w:tcPr>
          <w:p w14:paraId="67793031" w14:textId="77777777" w:rsidR="00560C72" w:rsidRPr="00A53AD7" w:rsidRDefault="00560C72" w:rsidP="000B2BC6">
            <w:pPr>
              <w:spacing w:after="0" w:line="240" w:lineRule="auto"/>
              <w:jc w:val="center"/>
              <w:rPr>
                <w:rFonts w:ascii="Times New Roman" w:hAnsi="Times New Roman"/>
                <w:sz w:val="18"/>
                <w:szCs w:val="18"/>
              </w:rPr>
            </w:pPr>
            <w:r w:rsidRPr="00A53AD7">
              <w:rPr>
                <w:rFonts w:ascii="Times New Roman" w:hAnsi="Times New Roman"/>
                <w:sz w:val="18"/>
                <w:szCs w:val="18"/>
              </w:rPr>
              <w:t>Доля населения Архангельской области, обеспеченного качественной водой из систем централизованного водоснабжения</w:t>
            </w:r>
          </w:p>
        </w:tc>
      </w:tr>
      <w:tr w:rsidR="00D470B6" w:rsidRPr="00A53AD7" w14:paraId="5AEE8E83" w14:textId="77777777" w:rsidTr="00560C72">
        <w:trPr>
          <w:trHeight w:hRule="exact" w:val="691"/>
        </w:trPr>
        <w:tc>
          <w:tcPr>
            <w:tcW w:w="1696" w:type="dxa"/>
            <w:gridSpan w:val="2"/>
          </w:tcPr>
          <w:p w14:paraId="78187995" w14:textId="77777777" w:rsidR="00560C72" w:rsidRPr="00A53AD7" w:rsidRDefault="00560C72" w:rsidP="00560C72">
            <w:pPr>
              <w:widowControl w:val="0"/>
              <w:autoSpaceDE w:val="0"/>
              <w:autoSpaceDN w:val="0"/>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Целевой показатель Архангельской области</w:t>
            </w:r>
          </w:p>
        </w:tc>
        <w:tc>
          <w:tcPr>
            <w:tcW w:w="1417" w:type="dxa"/>
          </w:tcPr>
          <w:p w14:paraId="5DFD4150"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х</w:t>
            </w:r>
          </w:p>
        </w:tc>
        <w:tc>
          <w:tcPr>
            <w:tcW w:w="2694" w:type="dxa"/>
          </w:tcPr>
          <w:p w14:paraId="57BF816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х</w:t>
            </w:r>
          </w:p>
        </w:tc>
        <w:tc>
          <w:tcPr>
            <w:tcW w:w="567" w:type="dxa"/>
          </w:tcPr>
          <w:p w14:paraId="68D39F4F"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72,00</w:t>
            </w:r>
          </w:p>
        </w:tc>
        <w:tc>
          <w:tcPr>
            <w:tcW w:w="567" w:type="dxa"/>
          </w:tcPr>
          <w:p w14:paraId="19938C9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72,40</w:t>
            </w:r>
          </w:p>
        </w:tc>
        <w:tc>
          <w:tcPr>
            <w:tcW w:w="646" w:type="dxa"/>
          </w:tcPr>
          <w:p w14:paraId="4C845B9C"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73,20</w:t>
            </w:r>
          </w:p>
        </w:tc>
        <w:tc>
          <w:tcPr>
            <w:tcW w:w="567" w:type="dxa"/>
          </w:tcPr>
          <w:p w14:paraId="0CBB4DB6"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75,00</w:t>
            </w:r>
          </w:p>
        </w:tc>
        <w:tc>
          <w:tcPr>
            <w:tcW w:w="567" w:type="dxa"/>
          </w:tcPr>
          <w:p w14:paraId="08A0F106"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77,70</w:t>
            </w:r>
          </w:p>
        </w:tc>
        <w:tc>
          <w:tcPr>
            <w:tcW w:w="630" w:type="dxa"/>
          </w:tcPr>
          <w:p w14:paraId="214B259C"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82,90</w:t>
            </w:r>
          </w:p>
        </w:tc>
      </w:tr>
      <w:tr w:rsidR="00D470B6" w:rsidRPr="00A53AD7" w14:paraId="6D7D6F30" w14:textId="77777777" w:rsidTr="00560C72">
        <w:trPr>
          <w:trHeight w:val="1000"/>
        </w:trPr>
        <w:tc>
          <w:tcPr>
            <w:tcW w:w="1696" w:type="dxa"/>
            <w:gridSpan w:val="2"/>
          </w:tcPr>
          <w:p w14:paraId="0CDE2450" w14:textId="77777777" w:rsidR="00560C72" w:rsidRPr="00A53AD7" w:rsidRDefault="00560C72" w:rsidP="00560C72">
            <w:pPr>
              <w:widowControl w:val="0"/>
              <w:autoSpaceDE w:val="0"/>
              <w:autoSpaceDN w:val="0"/>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Значение целевого показателя, достигаемое в ходе реализации программы</w:t>
            </w:r>
          </w:p>
        </w:tc>
        <w:tc>
          <w:tcPr>
            <w:tcW w:w="1417" w:type="dxa"/>
          </w:tcPr>
          <w:p w14:paraId="4123DA0B"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224 119</w:t>
            </w:r>
          </w:p>
        </w:tc>
        <w:tc>
          <w:tcPr>
            <w:tcW w:w="2694" w:type="dxa"/>
          </w:tcPr>
          <w:p w14:paraId="1770AEB1"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83,92</w:t>
            </w:r>
          </w:p>
        </w:tc>
        <w:tc>
          <w:tcPr>
            <w:tcW w:w="567" w:type="dxa"/>
          </w:tcPr>
          <w:p w14:paraId="58EA75D8"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64,28</w:t>
            </w:r>
          </w:p>
        </w:tc>
        <w:tc>
          <w:tcPr>
            <w:tcW w:w="567" w:type="dxa"/>
          </w:tcPr>
          <w:p w14:paraId="35B7CC7E"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67,56</w:t>
            </w:r>
          </w:p>
        </w:tc>
        <w:tc>
          <w:tcPr>
            <w:tcW w:w="646" w:type="dxa"/>
          </w:tcPr>
          <w:p w14:paraId="672CBC4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70,40</w:t>
            </w:r>
          </w:p>
        </w:tc>
        <w:tc>
          <w:tcPr>
            <w:tcW w:w="567" w:type="dxa"/>
          </w:tcPr>
          <w:p w14:paraId="3A3F42E9"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79,04</w:t>
            </w:r>
          </w:p>
        </w:tc>
        <w:tc>
          <w:tcPr>
            <w:tcW w:w="567" w:type="dxa"/>
          </w:tcPr>
          <w:p w14:paraId="27F6C60E"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82,56</w:t>
            </w:r>
          </w:p>
        </w:tc>
        <w:tc>
          <w:tcPr>
            <w:tcW w:w="630" w:type="dxa"/>
          </w:tcPr>
          <w:p w14:paraId="4118BFA8"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83,92</w:t>
            </w:r>
          </w:p>
        </w:tc>
      </w:tr>
      <w:tr w:rsidR="00D470B6" w:rsidRPr="00A53AD7" w14:paraId="1B9613A1" w14:textId="77777777" w:rsidTr="00560C72">
        <w:tc>
          <w:tcPr>
            <w:tcW w:w="1696" w:type="dxa"/>
            <w:gridSpan w:val="2"/>
          </w:tcPr>
          <w:p w14:paraId="001F7881" w14:textId="77777777" w:rsidR="00560C72" w:rsidRPr="00A53AD7" w:rsidRDefault="00560C72" w:rsidP="00560C72">
            <w:pPr>
              <w:widowControl w:val="0"/>
              <w:autoSpaceDE w:val="0"/>
              <w:autoSpaceDN w:val="0"/>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Суммарный прирост показателя по Архангельской области</w:t>
            </w:r>
          </w:p>
        </w:tc>
        <w:tc>
          <w:tcPr>
            <w:tcW w:w="1417" w:type="dxa"/>
          </w:tcPr>
          <w:p w14:paraId="525EAE46"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224 119</w:t>
            </w:r>
          </w:p>
        </w:tc>
        <w:tc>
          <w:tcPr>
            <w:tcW w:w="2694" w:type="dxa"/>
          </w:tcPr>
          <w:p w14:paraId="1550A33A"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20,17</w:t>
            </w:r>
          </w:p>
        </w:tc>
        <w:tc>
          <w:tcPr>
            <w:tcW w:w="567" w:type="dxa"/>
          </w:tcPr>
          <w:p w14:paraId="5192AA3B"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0,53</w:t>
            </w:r>
          </w:p>
        </w:tc>
        <w:tc>
          <w:tcPr>
            <w:tcW w:w="567" w:type="dxa"/>
          </w:tcPr>
          <w:p w14:paraId="02998230"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3,28</w:t>
            </w:r>
          </w:p>
        </w:tc>
        <w:tc>
          <w:tcPr>
            <w:tcW w:w="646" w:type="dxa"/>
          </w:tcPr>
          <w:p w14:paraId="56241C5D"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2,85</w:t>
            </w:r>
          </w:p>
        </w:tc>
        <w:tc>
          <w:tcPr>
            <w:tcW w:w="567" w:type="dxa"/>
          </w:tcPr>
          <w:p w14:paraId="42610D14"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8,64</w:t>
            </w:r>
          </w:p>
        </w:tc>
        <w:tc>
          <w:tcPr>
            <w:tcW w:w="567" w:type="dxa"/>
          </w:tcPr>
          <w:p w14:paraId="203F9B5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3,52</w:t>
            </w:r>
          </w:p>
        </w:tc>
        <w:tc>
          <w:tcPr>
            <w:tcW w:w="630" w:type="dxa"/>
          </w:tcPr>
          <w:p w14:paraId="43367793" w14:textId="77777777" w:rsidR="00560C72" w:rsidRPr="00A53AD7" w:rsidRDefault="00560C72" w:rsidP="00560C72">
            <w:pPr>
              <w:widowControl w:val="0"/>
              <w:autoSpaceDE w:val="0"/>
              <w:autoSpaceDN w:val="0"/>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1,36</w:t>
            </w:r>
          </w:p>
        </w:tc>
      </w:tr>
      <w:tr w:rsidR="00D470B6" w:rsidRPr="00A53AD7" w14:paraId="59FE317E" w14:textId="77777777" w:rsidTr="00560C72">
        <w:trPr>
          <w:trHeight w:val="395"/>
        </w:trPr>
        <w:tc>
          <w:tcPr>
            <w:tcW w:w="9351" w:type="dxa"/>
            <w:gridSpan w:val="10"/>
          </w:tcPr>
          <w:p w14:paraId="677BB711" w14:textId="77777777" w:rsidR="00560C72" w:rsidRPr="00A53AD7" w:rsidRDefault="00560C72" w:rsidP="000B2BC6">
            <w:pPr>
              <w:spacing w:after="0" w:line="240" w:lineRule="auto"/>
              <w:jc w:val="center"/>
              <w:rPr>
                <w:rFonts w:ascii="Times New Roman" w:hAnsi="Times New Roman"/>
                <w:sz w:val="18"/>
                <w:szCs w:val="18"/>
              </w:rPr>
            </w:pPr>
            <w:r w:rsidRPr="00A53AD7">
              <w:rPr>
                <w:rFonts w:ascii="Times New Roman" w:hAnsi="Times New Roman"/>
                <w:sz w:val="18"/>
                <w:szCs w:val="18"/>
              </w:rPr>
              <w:t xml:space="preserve">Доля городского населения Архангельской области, обеспеченного качественной водой из систем централизованного </w:t>
            </w:r>
          </w:p>
          <w:p w14:paraId="102AEE21" w14:textId="77777777" w:rsidR="00560C72" w:rsidRPr="00A53AD7" w:rsidRDefault="00560C72" w:rsidP="000B2BC6">
            <w:pPr>
              <w:spacing w:after="0" w:line="240" w:lineRule="auto"/>
              <w:jc w:val="center"/>
              <w:rPr>
                <w:rFonts w:ascii="Times New Roman" w:eastAsia="Times New Roman" w:hAnsi="Times New Roman"/>
                <w:sz w:val="18"/>
                <w:szCs w:val="18"/>
                <w:lang w:eastAsia="ru-RU"/>
              </w:rPr>
            </w:pPr>
            <w:r w:rsidRPr="00A53AD7">
              <w:rPr>
                <w:rFonts w:ascii="Times New Roman" w:hAnsi="Times New Roman"/>
                <w:sz w:val="18"/>
                <w:szCs w:val="18"/>
              </w:rPr>
              <w:t>водоснабжения</w:t>
            </w:r>
          </w:p>
        </w:tc>
      </w:tr>
      <w:tr w:rsidR="00D470B6" w:rsidRPr="00A53AD7" w14:paraId="5E8EBB73" w14:textId="77777777" w:rsidTr="00560C72">
        <w:tc>
          <w:tcPr>
            <w:tcW w:w="1696" w:type="dxa"/>
            <w:gridSpan w:val="2"/>
          </w:tcPr>
          <w:p w14:paraId="07BD8FE2" w14:textId="77777777" w:rsidR="00560C72" w:rsidRPr="00A53AD7" w:rsidRDefault="00560C72" w:rsidP="00560C72">
            <w:pPr>
              <w:spacing w:after="0" w:line="240" w:lineRule="auto"/>
              <w:rPr>
                <w:rFonts w:ascii="Times New Roman" w:eastAsiaTheme="minorHAnsi" w:hAnsi="Times New Roman"/>
                <w:sz w:val="18"/>
                <w:szCs w:val="18"/>
              </w:rPr>
            </w:pPr>
            <w:r w:rsidRPr="00A53AD7">
              <w:rPr>
                <w:rFonts w:ascii="Times New Roman" w:eastAsiaTheme="minorHAnsi" w:hAnsi="Times New Roman"/>
                <w:sz w:val="18"/>
                <w:szCs w:val="18"/>
              </w:rPr>
              <w:t>Целевой показатель Архангельской области</w:t>
            </w:r>
          </w:p>
        </w:tc>
        <w:tc>
          <w:tcPr>
            <w:tcW w:w="1417" w:type="dxa"/>
          </w:tcPr>
          <w:p w14:paraId="0E45942A"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х</w:t>
            </w:r>
          </w:p>
        </w:tc>
        <w:tc>
          <w:tcPr>
            <w:tcW w:w="2694" w:type="dxa"/>
          </w:tcPr>
          <w:p w14:paraId="1E51D88A"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х</w:t>
            </w:r>
          </w:p>
        </w:tc>
        <w:tc>
          <w:tcPr>
            <w:tcW w:w="567" w:type="dxa"/>
          </w:tcPr>
          <w:p w14:paraId="44ECF256"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82,50</w:t>
            </w:r>
          </w:p>
        </w:tc>
        <w:tc>
          <w:tcPr>
            <w:tcW w:w="567" w:type="dxa"/>
          </w:tcPr>
          <w:p w14:paraId="51199CAA"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82,90</w:t>
            </w:r>
          </w:p>
        </w:tc>
        <w:tc>
          <w:tcPr>
            <w:tcW w:w="646" w:type="dxa"/>
          </w:tcPr>
          <w:p w14:paraId="5E9C1447"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83,70</w:t>
            </w:r>
          </w:p>
        </w:tc>
        <w:tc>
          <w:tcPr>
            <w:tcW w:w="567" w:type="dxa"/>
          </w:tcPr>
          <w:p w14:paraId="24C2BE90"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85,40</w:t>
            </w:r>
          </w:p>
        </w:tc>
        <w:tc>
          <w:tcPr>
            <w:tcW w:w="567" w:type="dxa"/>
          </w:tcPr>
          <w:p w14:paraId="5E155AD3"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87,90</w:t>
            </w:r>
          </w:p>
        </w:tc>
        <w:tc>
          <w:tcPr>
            <w:tcW w:w="630" w:type="dxa"/>
          </w:tcPr>
          <w:p w14:paraId="744A398D"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92,70</w:t>
            </w:r>
          </w:p>
        </w:tc>
      </w:tr>
      <w:tr w:rsidR="00D470B6" w:rsidRPr="00A53AD7" w14:paraId="6F00611A" w14:textId="77777777" w:rsidTr="00560C72">
        <w:tc>
          <w:tcPr>
            <w:tcW w:w="1696" w:type="dxa"/>
            <w:gridSpan w:val="2"/>
          </w:tcPr>
          <w:p w14:paraId="24BA13E7" w14:textId="77777777" w:rsidR="00560C72" w:rsidRPr="00A53AD7" w:rsidRDefault="00560C72" w:rsidP="00560C72">
            <w:pPr>
              <w:spacing w:after="0" w:line="240" w:lineRule="auto"/>
              <w:rPr>
                <w:rFonts w:ascii="Times New Roman" w:eastAsiaTheme="minorHAnsi" w:hAnsi="Times New Roman"/>
                <w:sz w:val="18"/>
                <w:szCs w:val="18"/>
              </w:rPr>
            </w:pPr>
            <w:r w:rsidRPr="00A53AD7">
              <w:rPr>
                <w:rFonts w:ascii="Times New Roman" w:eastAsiaTheme="minorHAnsi" w:hAnsi="Times New Roman"/>
                <w:sz w:val="18"/>
                <w:szCs w:val="18"/>
              </w:rPr>
              <w:t>Значение целевого показателя, достигаемое в ходе реализации программы</w:t>
            </w:r>
          </w:p>
        </w:tc>
        <w:tc>
          <w:tcPr>
            <w:tcW w:w="1417" w:type="dxa"/>
          </w:tcPr>
          <w:p w14:paraId="119A58B1"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169 167</w:t>
            </w:r>
          </w:p>
        </w:tc>
        <w:tc>
          <w:tcPr>
            <w:tcW w:w="2694" w:type="dxa"/>
          </w:tcPr>
          <w:p w14:paraId="6949349F"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92,72</w:t>
            </w:r>
          </w:p>
        </w:tc>
        <w:tc>
          <w:tcPr>
            <w:tcW w:w="567" w:type="dxa"/>
          </w:tcPr>
          <w:p w14:paraId="3874AC0D"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77,78</w:t>
            </w:r>
          </w:p>
        </w:tc>
        <w:tc>
          <w:tcPr>
            <w:tcW w:w="567" w:type="dxa"/>
          </w:tcPr>
          <w:p w14:paraId="6EF944F6"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81,04</w:t>
            </w:r>
          </w:p>
        </w:tc>
        <w:tc>
          <w:tcPr>
            <w:tcW w:w="646" w:type="dxa"/>
          </w:tcPr>
          <w:p w14:paraId="6BD79431"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83,77</w:t>
            </w:r>
          </w:p>
        </w:tc>
        <w:tc>
          <w:tcPr>
            <w:tcW w:w="567" w:type="dxa"/>
          </w:tcPr>
          <w:p w14:paraId="485CFB56"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91,27</w:t>
            </w:r>
          </w:p>
        </w:tc>
        <w:tc>
          <w:tcPr>
            <w:tcW w:w="567" w:type="dxa"/>
          </w:tcPr>
          <w:p w14:paraId="3222DC7F"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92,29</w:t>
            </w:r>
          </w:p>
        </w:tc>
        <w:tc>
          <w:tcPr>
            <w:tcW w:w="630" w:type="dxa"/>
          </w:tcPr>
          <w:p w14:paraId="7E71CE32"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92,72</w:t>
            </w:r>
          </w:p>
        </w:tc>
      </w:tr>
      <w:tr w:rsidR="00560C72" w:rsidRPr="00A53AD7" w14:paraId="0D0C99B6" w14:textId="77777777" w:rsidTr="00560C72">
        <w:tc>
          <w:tcPr>
            <w:tcW w:w="1696" w:type="dxa"/>
            <w:gridSpan w:val="2"/>
          </w:tcPr>
          <w:p w14:paraId="7C9A15E8" w14:textId="77777777" w:rsidR="00560C72" w:rsidRPr="00A53AD7" w:rsidRDefault="00560C72" w:rsidP="00560C72">
            <w:pPr>
              <w:widowControl w:val="0"/>
              <w:autoSpaceDE w:val="0"/>
              <w:autoSpaceDN w:val="0"/>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Суммарный прирост показателя по Архангельской области</w:t>
            </w:r>
          </w:p>
        </w:tc>
        <w:tc>
          <w:tcPr>
            <w:tcW w:w="1417" w:type="dxa"/>
          </w:tcPr>
          <w:p w14:paraId="3E47620A"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169 167</w:t>
            </w:r>
          </w:p>
        </w:tc>
        <w:tc>
          <w:tcPr>
            <w:tcW w:w="2694" w:type="dxa"/>
          </w:tcPr>
          <w:p w14:paraId="5388DDBE"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15,23</w:t>
            </w:r>
          </w:p>
        </w:tc>
        <w:tc>
          <w:tcPr>
            <w:tcW w:w="567" w:type="dxa"/>
          </w:tcPr>
          <w:p w14:paraId="44AFA022"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0,29</w:t>
            </w:r>
          </w:p>
        </w:tc>
        <w:tc>
          <w:tcPr>
            <w:tcW w:w="567" w:type="dxa"/>
          </w:tcPr>
          <w:p w14:paraId="209F1796"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3,26</w:t>
            </w:r>
          </w:p>
        </w:tc>
        <w:tc>
          <w:tcPr>
            <w:tcW w:w="646" w:type="dxa"/>
          </w:tcPr>
          <w:p w14:paraId="1258AA2A"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2,74</w:t>
            </w:r>
          </w:p>
        </w:tc>
        <w:tc>
          <w:tcPr>
            <w:tcW w:w="567" w:type="dxa"/>
          </w:tcPr>
          <w:p w14:paraId="6E84CA79"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7,49</w:t>
            </w:r>
          </w:p>
        </w:tc>
        <w:tc>
          <w:tcPr>
            <w:tcW w:w="567" w:type="dxa"/>
          </w:tcPr>
          <w:p w14:paraId="77586D27"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1,02</w:t>
            </w:r>
          </w:p>
        </w:tc>
        <w:tc>
          <w:tcPr>
            <w:tcW w:w="630" w:type="dxa"/>
          </w:tcPr>
          <w:p w14:paraId="16607246" w14:textId="77777777" w:rsidR="00560C72" w:rsidRPr="00A53AD7" w:rsidRDefault="00560C72" w:rsidP="00560C72">
            <w:pPr>
              <w:spacing w:after="0" w:line="240" w:lineRule="auto"/>
              <w:jc w:val="center"/>
              <w:rPr>
                <w:rFonts w:ascii="Times New Roman" w:eastAsiaTheme="minorHAnsi" w:hAnsi="Times New Roman"/>
                <w:sz w:val="18"/>
                <w:szCs w:val="18"/>
              </w:rPr>
            </w:pPr>
            <w:r w:rsidRPr="00A53AD7">
              <w:rPr>
                <w:rFonts w:ascii="Times New Roman" w:eastAsiaTheme="minorHAnsi" w:hAnsi="Times New Roman"/>
                <w:sz w:val="18"/>
                <w:szCs w:val="18"/>
              </w:rPr>
              <w:t>0,43</w:t>
            </w:r>
          </w:p>
        </w:tc>
      </w:tr>
    </w:tbl>
    <w:p w14:paraId="67B8E0F8" w14:textId="77777777" w:rsidR="00560C72" w:rsidRPr="00A53AD7" w:rsidRDefault="00560C72" w:rsidP="00560C72">
      <w:pPr>
        <w:spacing w:after="0" w:line="240" w:lineRule="auto"/>
        <w:ind w:firstLine="851"/>
        <w:jc w:val="both"/>
        <w:rPr>
          <w:rFonts w:ascii="Times New Roman" w:hAnsi="Times New Roman"/>
          <w:sz w:val="28"/>
          <w:szCs w:val="28"/>
        </w:rPr>
      </w:pPr>
    </w:p>
    <w:p w14:paraId="43DF63FA"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Значение целевого показателя «Доля населения Архангельской области, обеспеченного качественной водой из систем централизованного водоснабжения», достигаемое в ходе реализации программы, в период с 2019 по 2021 годы ниже значения данного показателя, установленного ФП «Чистая вода» (приложение № 2 к паспорту федерального проекта).</w:t>
      </w:r>
    </w:p>
    <w:p w14:paraId="6C0B3AD8"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Соответственно, исходя из намеченных к строительству (реконструкции) конкретных объектов системы водоснабжения, обеспечение значений целевых показателей, соответствующих значениям показателей, определенным Субъекту федеральным проектом «Чистая вода», в течение 2019-2021 годы не будет достигнуто (доля населения субъекта Российской Федерации, обеспеченного качественной питьевой водой из систем централизованного водоснабжения, в общей численности населения субъекта Российской Федерации: 72,0% - в 2019 году, 72,4% - в 2020 году и 73,2% - в 2021 году).</w:t>
      </w:r>
    </w:p>
    <w:p w14:paraId="05DD662F"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2 Региональной программы «Чистая вода» на 2019 год предусмотрено следующее финансовое обеспечение ее реализации:</w:t>
      </w:r>
    </w:p>
    <w:tbl>
      <w:tblPr>
        <w:tblStyle w:val="a7"/>
        <w:tblW w:w="9464"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660"/>
        <w:gridCol w:w="3402"/>
        <w:gridCol w:w="1417"/>
        <w:gridCol w:w="1047"/>
        <w:gridCol w:w="938"/>
      </w:tblGrid>
      <w:tr w:rsidR="00D470B6" w:rsidRPr="00A53AD7" w14:paraId="3C680D54" w14:textId="77777777" w:rsidTr="00560C72">
        <w:trPr>
          <w:tblHeader/>
        </w:trPr>
        <w:tc>
          <w:tcPr>
            <w:tcW w:w="2660" w:type="dxa"/>
          </w:tcPr>
          <w:p w14:paraId="19A5DA5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Муниципальное образование</w:t>
            </w:r>
          </w:p>
        </w:tc>
        <w:tc>
          <w:tcPr>
            <w:tcW w:w="3402" w:type="dxa"/>
          </w:tcPr>
          <w:p w14:paraId="0AB5F71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объекта</w:t>
            </w:r>
          </w:p>
        </w:tc>
        <w:tc>
          <w:tcPr>
            <w:tcW w:w="1417" w:type="dxa"/>
          </w:tcPr>
          <w:p w14:paraId="01D55C7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Источник финансирования</w:t>
            </w:r>
          </w:p>
        </w:tc>
        <w:tc>
          <w:tcPr>
            <w:tcW w:w="1047" w:type="dxa"/>
          </w:tcPr>
          <w:p w14:paraId="714907A9"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ПД, тыс. руб.</w:t>
            </w:r>
          </w:p>
        </w:tc>
        <w:tc>
          <w:tcPr>
            <w:tcW w:w="938" w:type="dxa"/>
          </w:tcPr>
          <w:p w14:paraId="19B7D4B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СМР, тыс. руб.</w:t>
            </w:r>
          </w:p>
        </w:tc>
      </w:tr>
      <w:tr w:rsidR="00D470B6" w:rsidRPr="00A53AD7" w14:paraId="2339740B" w14:textId="77777777" w:rsidTr="00560C72">
        <w:tc>
          <w:tcPr>
            <w:tcW w:w="2660" w:type="dxa"/>
            <w:vMerge w:val="restart"/>
          </w:tcPr>
          <w:p w14:paraId="7ED426BB"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«Вельский муниципальный район»»</w:t>
            </w:r>
          </w:p>
        </w:tc>
        <w:tc>
          <w:tcPr>
            <w:tcW w:w="3402" w:type="dxa"/>
            <w:vMerge w:val="restart"/>
          </w:tcPr>
          <w:p w14:paraId="2BDEBE42"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Реконструкция водоочистных сооружений, г. Вельск</w:t>
            </w:r>
          </w:p>
          <w:p w14:paraId="1B35BA3A"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77360B2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6F56A6F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1 900,00</w:t>
            </w:r>
          </w:p>
        </w:tc>
        <w:tc>
          <w:tcPr>
            <w:tcW w:w="938" w:type="dxa"/>
          </w:tcPr>
          <w:p w14:paraId="6A503CC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96C3B20" w14:textId="77777777" w:rsidTr="00560C72">
        <w:tc>
          <w:tcPr>
            <w:tcW w:w="2660" w:type="dxa"/>
            <w:vMerge/>
          </w:tcPr>
          <w:p w14:paraId="6E258F3A"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1F49DF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05D6E0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6B5356E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773939D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2FF6B892" w14:textId="77777777" w:rsidTr="00560C72">
        <w:tc>
          <w:tcPr>
            <w:tcW w:w="2660" w:type="dxa"/>
            <w:vMerge/>
          </w:tcPr>
          <w:p w14:paraId="782534FB"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466E72C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635FDD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305891E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50E302F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072893E" w14:textId="77777777" w:rsidTr="00560C72">
        <w:tc>
          <w:tcPr>
            <w:tcW w:w="2660" w:type="dxa"/>
            <w:vMerge/>
          </w:tcPr>
          <w:p w14:paraId="27137AE7"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15EBCC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A7D9F8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605DA11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1 900,00</w:t>
            </w:r>
          </w:p>
        </w:tc>
        <w:tc>
          <w:tcPr>
            <w:tcW w:w="938" w:type="dxa"/>
          </w:tcPr>
          <w:p w14:paraId="02FA895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046651A1" w14:textId="77777777" w:rsidTr="00560C72">
        <w:tc>
          <w:tcPr>
            <w:tcW w:w="2660" w:type="dxa"/>
            <w:vMerge/>
          </w:tcPr>
          <w:p w14:paraId="2507FECC"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EC69879"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63D434E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5EFF08D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7903086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180E304C" w14:textId="77777777" w:rsidTr="00560C72">
        <w:tc>
          <w:tcPr>
            <w:tcW w:w="2660" w:type="dxa"/>
            <w:vMerge w:val="restart"/>
          </w:tcPr>
          <w:p w14:paraId="64564ADA"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«Вилегодский муниципальный район»</w:t>
            </w:r>
          </w:p>
        </w:tc>
        <w:tc>
          <w:tcPr>
            <w:tcW w:w="3402" w:type="dxa"/>
            <w:vMerge w:val="restart"/>
          </w:tcPr>
          <w:p w14:paraId="5D82845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Строительство водоочистных сооружений в питьевых целях, с. Ильинско-Подомское</w:t>
            </w:r>
          </w:p>
          <w:p w14:paraId="731B835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018BD332"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6C31C60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2 370,00</w:t>
            </w:r>
          </w:p>
        </w:tc>
        <w:tc>
          <w:tcPr>
            <w:tcW w:w="938" w:type="dxa"/>
          </w:tcPr>
          <w:p w14:paraId="4C87FD5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66 595,03</w:t>
            </w:r>
          </w:p>
        </w:tc>
      </w:tr>
      <w:tr w:rsidR="00D470B6" w:rsidRPr="00A53AD7" w14:paraId="28FBADB2" w14:textId="77777777" w:rsidTr="00560C72">
        <w:tc>
          <w:tcPr>
            <w:tcW w:w="2660" w:type="dxa"/>
            <w:vMerge/>
          </w:tcPr>
          <w:p w14:paraId="735F9099"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43B383E"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EE9635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3A94B8A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767CB369"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65 197,93</w:t>
            </w:r>
          </w:p>
        </w:tc>
      </w:tr>
      <w:tr w:rsidR="00D470B6" w:rsidRPr="00A53AD7" w14:paraId="42BE051D" w14:textId="77777777" w:rsidTr="00560C72">
        <w:tc>
          <w:tcPr>
            <w:tcW w:w="2660" w:type="dxa"/>
            <w:vMerge/>
          </w:tcPr>
          <w:p w14:paraId="5A434487"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1A8D81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2576DD8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5C1D181F"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6333512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1 330,57</w:t>
            </w:r>
          </w:p>
        </w:tc>
      </w:tr>
      <w:tr w:rsidR="00D470B6" w:rsidRPr="00A53AD7" w14:paraId="0B73C9C8" w14:textId="77777777" w:rsidTr="00560C72">
        <w:tc>
          <w:tcPr>
            <w:tcW w:w="2660" w:type="dxa"/>
            <w:vMerge/>
          </w:tcPr>
          <w:p w14:paraId="0ED6F43E"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764A5A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B34855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48EC038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2 370,00</w:t>
            </w:r>
          </w:p>
        </w:tc>
        <w:tc>
          <w:tcPr>
            <w:tcW w:w="938" w:type="dxa"/>
          </w:tcPr>
          <w:p w14:paraId="214FBF8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66,53</w:t>
            </w:r>
          </w:p>
        </w:tc>
      </w:tr>
      <w:tr w:rsidR="00D470B6" w:rsidRPr="00A53AD7" w14:paraId="021C668C" w14:textId="77777777" w:rsidTr="00560C72">
        <w:trPr>
          <w:trHeight w:val="64"/>
        </w:trPr>
        <w:tc>
          <w:tcPr>
            <w:tcW w:w="2660" w:type="dxa"/>
            <w:vMerge/>
          </w:tcPr>
          <w:p w14:paraId="7410BD6B"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413FA1D0"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12F90CA"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58D26242"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1A1065C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r>
      <w:tr w:rsidR="00D470B6" w:rsidRPr="00A53AD7" w14:paraId="67C8B27F" w14:textId="77777777" w:rsidTr="00560C72">
        <w:tc>
          <w:tcPr>
            <w:tcW w:w="2660" w:type="dxa"/>
            <w:vMerge w:val="restart"/>
          </w:tcPr>
          <w:p w14:paraId="1696BCA3"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«Виноградовский муниципальный район»</w:t>
            </w:r>
          </w:p>
        </w:tc>
        <w:tc>
          <w:tcPr>
            <w:tcW w:w="3402" w:type="dxa"/>
            <w:vMerge w:val="restart"/>
          </w:tcPr>
          <w:p w14:paraId="2FCF8066"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Строительство системы хозяйственно-питьевого водопровода, пос. Березник</w:t>
            </w:r>
          </w:p>
        </w:tc>
        <w:tc>
          <w:tcPr>
            <w:tcW w:w="1417" w:type="dxa"/>
          </w:tcPr>
          <w:p w14:paraId="467DA8F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5DC7D26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6 000,00</w:t>
            </w:r>
          </w:p>
        </w:tc>
        <w:tc>
          <w:tcPr>
            <w:tcW w:w="938" w:type="dxa"/>
          </w:tcPr>
          <w:p w14:paraId="55DF04D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33518900" w14:textId="77777777" w:rsidTr="00560C72">
        <w:tc>
          <w:tcPr>
            <w:tcW w:w="2660" w:type="dxa"/>
            <w:vMerge/>
          </w:tcPr>
          <w:p w14:paraId="1974938C"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284D1A6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30FBCD1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46F8EBF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5681241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1E355188" w14:textId="77777777" w:rsidTr="00560C72">
        <w:tc>
          <w:tcPr>
            <w:tcW w:w="2660" w:type="dxa"/>
            <w:vMerge/>
          </w:tcPr>
          <w:p w14:paraId="5A01A342"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BE1082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302663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1E18C9C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38011FFF"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0C6E1B5A" w14:textId="77777777" w:rsidTr="00560C72">
        <w:tc>
          <w:tcPr>
            <w:tcW w:w="2660" w:type="dxa"/>
            <w:vMerge/>
          </w:tcPr>
          <w:p w14:paraId="7E85845A"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333688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63D07C9"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2E608B9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6 000,00</w:t>
            </w:r>
          </w:p>
        </w:tc>
        <w:tc>
          <w:tcPr>
            <w:tcW w:w="938" w:type="dxa"/>
          </w:tcPr>
          <w:p w14:paraId="48D7734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57746770" w14:textId="77777777" w:rsidTr="00560C72">
        <w:tc>
          <w:tcPr>
            <w:tcW w:w="2660" w:type="dxa"/>
            <w:vMerge/>
          </w:tcPr>
          <w:p w14:paraId="771BF3C7"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664205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A38833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750DB86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2A67495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0C3B5EC2" w14:textId="77777777" w:rsidTr="00560C72">
        <w:tc>
          <w:tcPr>
            <w:tcW w:w="2660" w:type="dxa"/>
            <w:vMerge w:val="restart"/>
          </w:tcPr>
          <w:p w14:paraId="27B12AAD"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«Город Архангельск»</w:t>
            </w:r>
          </w:p>
        </w:tc>
        <w:tc>
          <w:tcPr>
            <w:tcW w:w="3402" w:type="dxa"/>
            <w:vMerge w:val="restart"/>
          </w:tcPr>
          <w:p w14:paraId="52BEF368"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Реконструкция сетей водоснабжения, пос. Исакогорка</w:t>
            </w:r>
          </w:p>
          <w:p w14:paraId="028CBE58"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6C6ED61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7318ED7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1 383,9</w:t>
            </w:r>
          </w:p>
        </w:tc>
        <w:tc>
          <w:tcPr>
            <w:tcW w:w="938" w:type="dxa"/>
          </w:tcPr>
          <w:p w14:paraId="1E5A60A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20B79B1A" w14:textId="77777777" w:rsidTr="00560C72">
        <w:tc>
          <w:tcPr>
            <w:tcW w:w="2660" w:type="dxa"/>
            <w:vMerge/>
          </w:tcPr>
          <w:p w14:paraId="5CAEFBC3"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FFD460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72743A6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6FF0922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7B239FD5"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52583F8B" w14:textId="77777777" w:rsidTr="00560C72">
        <w:tc>
          <w:tcPr>
            <w:tcW w:w="2660" w:type="dxa"/>
            <w:vMerge/>
          </w:tcPr>
          <w:p w14:paraId="3EC5FD80"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4C9AF529"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6FBC01AE"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 xml:space="preserve">ОБ </w:t>
            </w:r>
          </w:p>
        </w:tc>
        <w:tc>
          <w:tcPr>
            <w:tcW w:w="1047" w:type="dxa"/>
          </w:tcPr>
          <w:p w14:paraId="1A995D9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08A8E4A5"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2728AED7" w14:textId="77777777" w:rsidTr="00560C72">
        <w:tc>
          <w:tcPr>
            <w:tcW w:w="2660" w:type="dxa"/>
            <w:vMerge/>
          </w:tcPr>
          <w:p w14:paraId="1E8A9AC7"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4660919E"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01BF45A0"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21DEBBD5"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78D8906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72580F14" w14:textId="77777777" w:rsidTr="00560C72">
        <w:tc>
          <w:tcPr>
            <w:tcW w:w="2660" w:type="dxa"/>
            <w:vMerge/>
          </w:tcPr>
          <w:p w14:paraId="5EC8257A"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3F529C13"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F3A6E2D"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5FA1960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1 383,90</w:t>
            </w:r>
          </w:p>
        </w:tc>
        <w:tc>
          <w:tcPr>
            <w:tcW w:w="938" w:type="dxa"/>
          </w:tcPr>
          <w:p w14:paraId="55066B8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3A0A62F0" w14:textId="77777777" w:rsidTr="00560C72">
        <w:tc>
          <w:tcPr>
            <w:tcW w:w="2660" w:type="dxa"/>
            <w:vMerge/>
          </w:tcPr>
          <w:p w14:paraId="374767D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val="restart"/>
          </w:tcPr>
          <w:p w14:paraId="496709B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Строительство водовода,</w:t>
            </w:r>
          </w:p>
          <w:p w14:paraId="10EC287E"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пос. Маймаксанский лесной порт</w:t>
            </w:r>
          </w:p>
        </w:tc>
        <w:tc>
          <w:tcPr>
            <w:tcW w:w="1417" w:type="dxa"/>
          </w:tcPr>
          <w:p w14:paraId="4EDA250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21CBE479"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1 800,00</w:t>
            </w:r>
          </w:p>
        </w:tc>
        <w:tc>
          <w:tcPr>
            <w:tcW w:w="938" w:type="dxa"/>
          </w:tcPr>
          <w:p w14:paraId="2608C8C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31 000,00</w:t>
            </w:r>
          </w:p>
        </w:tc>
      </w:tr>
      <w:tr w:rsidR="00D470B6" w:rsidRPr="00A53AD7" w14:paraId="3307AE72" w14:textId="77777777" w:rsidTr="00560C72">
        <w:tc>
          <w:tcPr>
            <w:tcW w:w="2660" w:type="dxa"/>
            <w:vMerge/>
          </w:tcPr>
          <w:p w14:paraId="3B826E53"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15CF378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991F38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7F3993A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5EE284A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r>
      <w:tr w:rsidR="00D470B6" w:rsidRPr="00A53AD7" w14:paraId="469D1A7A" w14:textId="77777777" w:rsidTr="00560C72">
        <w:tc>
          <w:tcPr>
            <w:tcW w:w="2660" w:type="dxa"/>
            <w:vMerge/>
          </w:tcPr>
          <w:p w14:paraId="48BC1299"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7222407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2710CB23"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4A4DBB6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231A64E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r>
      <w:tr w:rsidR="00D470B6" w:rsidRPr="00A53AD7" w14:paraId="30CBA0BF" w14:textId="77777777" w:rsidTr="00560C72">
        <w:tc>
          <w:tcPr>
            <w:tcW w:w="2660" w:type="dxa"/>
            <w:vMerge/>
          </w:tcPr>
          <w:p w14:paraId="140D9523"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81F18E2"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0C0A86A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0ADC3B0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3DD1B2F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r>
      <w:tr w:rsidR="00D470B6" w:rsidRPr="00A53AD7" w14:paraId="1FF0198E" w14:textId="77777777" w:rsidTr="00560C72">
        <w:tc>
          <w:tcPr>
            <w:tcW w:w="2660" w:type="dxa"/>
            <w:vMerge/>
          </w:tcPr>
          <w:p w14:paraId="0EE29243"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2511C3C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3590359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786466DF"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1 800,00</w:t>
            </w:r>
          </w:p>
        </w:tc>
        <w:tc>
          <w:tcPr>
            <w:tcW w:w="938" w:type="dxa"/>
          </w:tcPr>
          <w:p w14:paraId="3ECB7FB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31 000,00</w:t>
            </w:r>
          </w:p>
        </w:tc>
      </w:tr>
      <w:tr w:rsidR="00D470B6" w:rsidRPr="00A53AD7" w14:paraId="33622409" w14:textId="77777777" w:rsidTr="00560C72">
        <w:tc>
          <w:tcPr>
            <w:tcW w:w="2660" w:type="dxa"/>
            <w:vMerge w:val="restart"/>
          </w:tcPr>
          <w:p w14:paraId="59111049"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«Каргопольский муниципальный район»</w:t>
            </w:r>
          </w:p>
        </w:tc>
        <w:tc>
          <w:tcPr>
            <w:tcW w:w="3402" w:type="dxa"/>
            <w:vMerge w:val="restart"/>
          </w:tcPr>
          <w:p w14:paraId="7EAAA718"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 xml:space="preserve"> Водоснабжение правобережной части,</w:t>
            </w:r>
          </w:p>
          <w:p w14:paraId="73D9371B"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г. Каргополь</w:t>
            </w:r>
          </w:p>
        </w:tc>
        <w:tc>
          <w:tcPr>
            <w:tcW w:w="1417" w:type="dxa"/>
          </w:tcPr>
          <w:p w14:paraId="6F23FC8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529B61F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2 992,00</w:t>
            </w:r>
          </w:p>
        </w:tc>
        <w:tc>
          <w:tcPr>
            <w:tcW w:w="938" w:type="dxa"/>
          </w:tcPr>
          <w:p w14:paraId="2E093C7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20 385,84</w:t>
            </w:r>
          </w:p>
        </w:tc>
      </w:tr>
      <w:tr w:rsidR="00D470B6" w:rsidRPr="00A53AD7" w14:paraId="5879494E" w14:textId="77777777" w:rsidTr="00560C72">
        <w:tc>
          <w:tcPr>
            <w:tcW w:w="2660" w:type="dxa"/>
            <w:vMerge/>
          </w:tcPr>
          <w:p w14:paraId="570D2F9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2FE73774"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4472C30"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49771F7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0,00 </w:t>
            </w:r>
          </w:p>
        </w:tc>
        <w:tc>
          <w:tcPr>
            <w:tcW w:w="938" w:type="dxa"/>
          </w:tcPr>
          <w:p w14:paraId="79FF76B0"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19 958,17 </w:t>
            </w:r>
          </w:p>
        </w:tc>
      </w:tr>
      <w:tr w:rsidR="00D470B6" w:rsidRPr="00A53AD7" w14:paraId="6DEF30C6" w14:textId="77777777" w:rsidTr="00560C72">
        <w:tc>
          <w:tcPr>
            <w:tcW w:w="2660" w:type="dxa"/>
            <w:vMerge/>
          </w:tcPr>
          <w:p w14:paraId="3FFE097B"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FBE8CDA"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C2E408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356DE012"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0,00 </w:t>
            </w:r>
          </w:p>
        </w:tc>
        <w:tc>
          <w:tcPr>
            <w:tcW w:w="938" w:type="dxa"/>
          </w:tcPr>
          <w:p w14:paraId="5339DD6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407,31 </w:t>
            </w:r>
          </w:p>
        </w:tc>
      </w:tr>
      <w:tr w:rsidR="00D470B6" w:rsidRPr="00A53AD7" w14:paraId="2CF65B6F" w14:textId="77777777" w:rsidTr="00560C72">
        <w:tc>
          <w:tcPr>
            <w:tcW w:w="2660" w:type="dxa"/>
            <w:vMerge/>
          </w:tcPr>
          <w:p w14:paraId="0C2F07E8"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34EF90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07B3EEF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1CE32B6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2 992,00 </w:t>
            </w:r>
          </w:p>
        </w:tc>
        <w:tc>
          <w:tcPr>
            <w:tcW w:w="938" w:type="dxa"/>
          </w:tcPr>
          <w:p w14:paraId="5205360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20,36 </w:t>
            </w:r>
          </w:p>
        </w:tc>
      </w:tr>
      <w:tr w:rsidR="00D470B6" w:rsidRPr="00A53AD7" w14:paraId="5D3D3F08" w14:textId="77777777" w:rsidTr="00560C72">
        <w:tc>
          <w:tcPr>
            <w:tcW w:w="2660" w:type="dxa"/>
            <w:vMerge/>
          </w:tcPr>
          <w:p w14:paraId="021E8BFE"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8ED3A8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6FEA5FA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0D644CA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5BDD8B7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r>
      <w:tr w:rsidR="00D470B6" w:rsidRPr="00A53AD7" w14:paraId="45EC36CE" w14:textId="77777777" w:rsidTr="00560C72">
        <w:tc>
          <w:tcPr>
            <w:tcW w:w="2660" w:type="dxa"/>
            <w:vMerge w:val="restart"/>
          </w:tcPr>
          <w:p w14:paraId="11A8031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«Ленский муниципальный район»</w:t>
            </w:r>
          </w:p>
        </w:tc>
        <w:tc>
          <w:tcPr>
            <w:tcW w:w="3402" w:type="dxa"/>
            <w:vMerge w:val="restart"/>
          </w:tcPr>
          <w:p w14:paraId="758AE2B1"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Реконструкция сетей водоснабжения,</w:t>
            </w:r>
          </w:p>
          <w:p w14:paraId="6C2784A1"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с. Яренск</w:t>
            </w:r>
          </w:p>
          <w:p w14:paraId="4317F6B8"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0960CFC8"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620FE47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16 180,00</w:t>
            </w:r>
          </w:p>
        </w:tc>
        <w:tc>
          <w:tcPr>
            <w:tcW w:w="938" w:type="dxa"/>
          </w:tcPr>
          <w:p w14:paraId="16BC03D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70E08473" w14:textId="77777777" w:rsidTr="00560C72">
        <w:tc>
          <w:tcPr>
            <w:tcW w:w="2660" w:type="dxa"/>
            <w:vMerge/>
          </w:tcPr>
          <w:p w14:paraId="11FF65AA"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DEBE2A8"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2D630DD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4C16BD8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1F71EEB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0B71061" w14:textId="77777777" w:rsidTr="00560C72">
        <w:tc>
          <w:tcPr>
            <w:tcW w:w="2660" w:type="dxa"/>
            <w:vMerge/>
          </w:tcPr>
          <w:p w14:paraId="70462E07"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4F60C54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E7DA6B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457267F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510C521D"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474416DC" w14:textId="77777777" w:rsidTr="00560C72">
        <w:tc>
          <w:tcPr>
            <w:tcW w:w="2660" w:type="dxa"/>
            <w:vMerge/>
          </w:tcPr>
          <w:p w14:paraId="69FC3E04"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0CE4050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22A2CF9E"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5B039898"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3401E1E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26159B53" w14:textId="77777777" w:rsidTr="00560C72">
        <w:tc>
          <w:tcPr>
            <w:tcW w:w="2660" w:type="dxa"/>
            <w:vMerge/>
          </w:tcPr>
          <w:p w14:paraId="1A2DDBC1"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p>
        </w:tc>
        <w:tc>
          <w:tcPr>
            <w:tcW w:w="3402" w:type="dxa"/>
            <w:vMerge/>
          </w:tcPr>
          <w:p w14:paraId="6C5428D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73AED27C"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14CDC2E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16 180,00</w:t>
            </w:r>
          </w:p>
        </w:tc>
        <w:tc>
          <w:tcPr>
            <w:tcW w:w="938" w:type="dxa"/>
          </w:tcPr>
          <w:p w14:paraId="34BBDCE2"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1C1386D" w14:textId="77777777" w:rsidTr="00560C72">
        <w:tc>
          <w:tcPr>
            <w:tcW w:w="2660" w:type="dxa"/>
            <w:vMerge w:val="restart"/>
          </w:tcPr>
          <w:p w14:paraId="25F49519"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Муниципальное образование «Устьянский муниципальный район»</w:t>
            </w:r>
          </w:p>
        </w:tc>
        <w:tc>
          <w:tcPr>
            <w:tcW w:w="3402" w:type="dxa"/>
            <w:vMerge w:val="restart"/>
          </w:tcPr>
          <w:p w14:paraId="3308A0AC"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Строительство модульных водоочистных сооружений,</w:t>
            </w:r>
          </w:p>
          <w:p w14:paraId="6D08AFFD" w14:textId="77777777" w:rsidR="00482F99" w:rsidRPr="00A53AD7" w:rsidRDefault="00482F99" w:rsidP="00560C72">
            <w:pPr>
              <w:autoSpaceDE w:val="0"/>
              <w:autoSpaceDN w:val="0"/>
              <w:adjustRightInd w:val="0"/>
              <w:spacing w:after="0" w:line="240" w:lineRule="auto"/>
              <w:rPr>
                <w:rFonts w:ascii="Times New Roman" w:hAnsi="Times New Roman"/>
                <w:sz w:val="16"/>
                <w:szCs w:val="16"/>
              </w:rPr>
            </w:pPr>
            <w:r w:rsidRPr="00A53AD7">
              <w:rPr>
                <w:rFonts w:ascii="Times New Roman" w:hAnsi="Times New Roman"/>
                <w:sz w:val="16"/>
                <w:szCs w:val="16"/>
              </w:rPr>
              <w:t>пос. Глубокий</w:t>
            </w:r>
          </w:p>
          <w:p w14:paraId="01545E0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CA7A8E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6706890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467,00 </w:t>
            </w:r>
          </w:p>
        </w:tc>
        <w:tc>
          <w:tcPr>
            <w:tcW w:w="938" w:type="dxa"/>
          </w:tcPr>
          <w:p w14:paraId="00C35C86"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525F431" w14:textId="77777777" w:rsidTr="00560C72">
        <w:tc>
          <w:tcPr>
            <w:tcW w:w="2660" w:type="dxa"/>
            <w:vMerge/>
          </w:tcPr>
          <w:p w14:paraId="4C9E8CD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3402" w:type="dxa"/>
            <w:vMerge/>
          </w:tcPr>
          <w:p w14:paraId="798DA782"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A60282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65F138C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0,00 </w:t>
            </w:r>
          </w:p>
        </w:tc>
        <w:tc>
          <w:tcPr>
            <w:tcW w:w="938" w:type="dxa"/>
          </w:tcPr>
          <w:p w14:paraId="721D327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2D423FB7" w14:textId="77777777" w:rsidTr="00560C72">
        <w:tc>
          <w:tcPr>
            <w:tcW w:w="2660" w:type="dxa"/>
            <w:vMerge/>
          </w:tcPr>
          <w:p w14:paraId="7C15EA7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3402" w:type="dxa"/>
            <w:vMerge/>
          </w:tcPr>
          <w:p w14:paraId="6FD0E24B"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3B865C3F"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2C8DA040"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0,00 </w:t>
            </w:r>
          </w:p>
        </w:tc>
        <w:tc>
          <w:tcPr>
            <w:tcW w:w="938" w:type="dxa"/>
          </w:tcPr>
          <w:p w14:paraId="5049760A"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0524540E" w14:textId="77777777" w:rsidTr="00560C72">
        <w:tc>
          <w:tcPr>
            <w:tcW w:w="2660" w:type="dxa"/>
            <w:vMerge/>
          </w:tcPr>
          <w:p w14:paraId="6193206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3402" w:type="dxa"/>
            <w:vMerge/>
          </w:tcPr>
          <w:p w14:paraId="644EEFD9"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43544F4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1471D21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467,00 </w:t>
            </w:r>
          </w:p>
        </w:tc>
        <w:tc>
          <w:tcPr>
            <w:tcW w:w="938" w:type="dxa"/>
          </w:tcPr>
          <w:p w14:paraId="6D94EBBB"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57A7785A" w14:textId="77777777" w:rsidTr="00560C72">
        <w:tc>
          <w:tcPr>
            <w:tcW w:w="2660" w:type="dxa"/>
            <w:vMerge/>
          </w:tcPr>
          <w:p w14:paraId="5DB95EF2"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3402" w:type="dxa"/>
            <w:vMerge/>
          </w:tcPr>
          <w:p w14:paraId="2B7C5D28"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D0E88F1"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11A87559"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 xml:space="preserve">0,00 </w:t>
            </w:r>
          </w:p>
        </w:tc>
        <w:tc>
          <w:tcPr>
            <w:tcW w:w="938" w:type="dxa"/>
          </w:tcPr>
          <w:p w14:paraId="06AA8B1C"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p>
        </w:tc>
      </w:tr>
      <w:tr w:rsidR="00D470B6" w:rsidRPr="00A53AD7" w14:paraId="6120C73A" w14:textId="77777777" w:rsidTr="00560C72">
        <w:tc>
          <w:tcPr>
            <w:tcW w:w="6062" w:type="dxa"/>
            <w:gridSpan w:val="2"/>
            <w:vMerge w:val="restart"/>
          </w:tcPr>
          <w:p w14:paraId="4EC103F7"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Итого по Архангельской области</w:t>
            </w:r>
          </w:p>
        </w:tc>
        <w:tc>
          <w:tcPr>
            <w:tcW w:w="1417" w:type="dxa"/>
          </w:tcPr>
          <w:p w14:paraId="5DC1EA74"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Общая стоимость</w:t>
            </w:r>
          </w:p>
        </w:tc>
        <w:tc>
          <w:tcPr>
            <w:tcW w:w="1047" w:type="dxa"/>
          </w:tcPr>
          <w:p w14:paraId="734C482B"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33 092,9</w:t>
            </w:r>
          </w:p>
        </w:tc>
        <w:tc>
          <w:tcPr>
            <w:tcW w:w="938" w:type="dxa"/>
          </w:tcPr>
          <w:p w14:paraId="50798644"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117 980,87</w:t>
            </w:r>
          </w:p>
        </w:tc>
      </w:tr>
      <w:tr w:rsidR="00D470B6" w:rsidRPr="00A53AD7" w14:paraId="77F21B6C" w14:textId="77777777" w:rsidTr="00560C72">
        <w:tc>
          <w:tcPr>
            <w:tcW w:w="6062" w:type="dxa"/>
            <w:gridSpan w:val="2"/>
            <w:vMerge/>
          </w:tcPr>
          <w:p w14:paraId="4187E4D2"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1562239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ФБ</w:t>
            </w:r>
          </w:p>
        </w:tc>
        <w:tc>
          <w:tcPr>
            <w:tcW w:w="1047" w:type="dxa"/>
          </w:tcPr>
          <w:p w14:paraId="70FBD60E"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084FC98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85 156,10</w:t>
            </w:r>
          </w:p>
        </w:tc>
      </w:tr>
      <w:tr w:rsidR="00D470B6" w:rsidRPr="00A53AD7" w14:paraId="0411F55E" w14:textId="77777777" w:rsidTr="00560C72">
        <w:tc>
          <w:tcPr>
            <w:tcW w:w="6062" w:type="dxa"/>
            <w:gridSpan w:val="2"/>
            <w:vMerge/>
          </w:tcPr>
          <w:p w14:paraId="1E12FBF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595904C7"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ОБ</w:t>
            </w:r>
          </w:p>
        </w:tc>
        <w:tc>
          <w:tcPr>
            <w:tcW w:w="1047" w:type="dxa"/>
          </w:tcPr>
          <w:p w14:paraId="47191C29"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38" w:type="dxa"/>
          </w:tcPr>
          <w:p w14:paraId="295A30E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1 737,88</w:t>
            </w:r>
          </w:p>
        </w:tc>
      </w:tr>
      <w:tr w:rsidR="00D470B6" w:rsidRPr="00A53AD7" w14:paraId="68AB8145" w14:textId="77777777" w:rsidTr="00560C72">
        <w:tc>
          <w:tcPr>
            <w:tcW w:w="6062" w:type="dxa"/>
            <w:gridSpan w:val="2"/>
            <w:vMerge/>
          </w:tcPr>
          <w:p w14:paraId="3FFED185"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2DB8A1E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МБ</w:t>
            </w:r>
          </w:p>
        </w:tc>
        <w:tc>
          <w:tcPr>
            <w:tcW w:w="1047" w:type="dxa"/>
          </w:tcPr>
          <w:p w14:paraId="1F27D27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13 729,00</w:t>
            </w:r>
          </w:p>
        </w:tc>
        <w:tc>
          <w:tcPr>
            <w:tcW w:w="938" w:type="dxa"/>
          </w:tcPr>
          <w:p w14:paraId="55C10361"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86,89</w:t>
            </w:r>
          </w:p>
        </w:tc>
      </w:tr>
      <w:tr w:rsidR="00482F99" w:rsidRPr="00A53AD7" w14:paraId="65B3C089" w14:textId="77777777" w:rsidTr="00560C72">
        <w:tc>
          <w:tcPr>
            <w:tcW w:w="6062" w:type="dxa"/>
            <w:gridSpan w:val="2"/>
            <w:vMerge/>
          </w:tcPr>
          <w:p w14:paraId="168B1686"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p>
        </w:tc>
        <w:tc>
          <w:tcPr>
            <w:tcW w:w="1417" w:type="dxa"/>
          </w:tcPr>
          <w:p w14:paraId="70EBE014" w14:textId="77777777" w:rsidR="00482F99" w:rsidRPr="00A53AD7" w:rsidRDefault="00482F99" w:rsidP="00560C72">
            <w:pPr>
              <w:autoSpaceDE w:val="0"/>
              <w:autoSpaceDN w:val="0"/>
              <w:adjustRightInd w:val="0"/>
              <w:spacing w:after="0" w:line="240" w:lineRule="auto"/>
              <w:jc w:val="both"/>
              <w:rPr>
                <w:rFonts w:ascii="Times New Roman" w:hAnsi="Times New Roman"/>
                <w:sz w:val="16"/>
                <w:szCs w:val="16"/>
              </w:rPr>
            </w:pPr>
            <w:r w:rsidRPr="00A53AD7">
              <w:rPr>
                <w:rFonts w:ascii="Times New Roman" w:hAnsi="Times New Roman"/>
                <w:sz w:val="16"/>
                <w:szCs w:val="16"/>
              </w:rPr>
              <w:t>ВБ</w:t>
            </w:r>
          </w:p>
        </w:tc>
        <w:tc>
          <w:tcPr>
            <w:tcW w:w="1047" w:type="dxa"/>
          </w:tcPr>
          <w:p w14:paraId="24005175"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19 363,9</w:t>
            </w:r>
          </w:p>
        </w:tc>
        <w:tc>
          <w:tcPr>
            <w:tcW w:w="938" w:type="dxa"/>
          </w:tcPr>
          <w:p w14:paraId="3B41C873" w14:textId="77777777" w:rsidR="00482F99" w:rsidRPr="00A53AD7" w:rsidRDefault="00482F99" w:rsidP="00560C72">
            <w:pPr>
              <w:autoSpaceDE w:val="0"/>
              <w:autoSpaceDN w:val="0"/>
              <w:adjustRightInd w:val="0"/>
              <w:spacing w:after="0" w:line="240" w:lineRule="auto"/>
              <w:jc w:val="center"/>
              <w:rPr>
                <w:rFonts w:ascii="Times New Roman" w:hAnsi="Times New Roman"/>
                <w:sz w:val="16"/>
                <w:szCs w:val="16"/>
              </w:rPr>
            </w:pPr>
            <w:r w:rsidRPr="00A53AD7">
              <w:rPr>
                <w:rFonts w:ascii="Times New Roman" w:hAnsi="Times New Roman"/>
                <w:sz w:val="16"/>
                <w:szCs w:val="16"/>
              </w:rPr>
              <w:t>31 000,00</w:t>
            </w:r>
          </w:p>
        </w:tc>
      </w:tr>
    </w:tbl>
    <w:p w14:paraId="3BEE4307" w14:textId="77777777" w:rsidR="00482F99" w:rsidRPr="00A53AD7" w:rsidRDefault="00482F99" w:rsidP="00560C72">
      <w:pPr>
        <w:spacing w:after="0" w:line="240" w:lineRule="auto"/>
        <w:ind w:firstLine="851"/>
        <w:jc w:val="both"/>
        <w:rPr>
          <w:rFonts w:ascii="Times New Roman" w:hAnsi="Times New Roman"/>
          <w:sz w:val="28"/>
          <w:szCs w:val="28"/>
        </w:rPr>
      </w:pPr>
    </w:p>
    <w:p w14:paraId="3E8E35AA" w14:textId="6D2E63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2019 году было запланировано привлечение средств федерального бюджета в рамках РП «Чистая вода» на 2 объекта: «Строительство водоочистных сооружений в питьевых целях, с. Ильинско-Подомское</w:t>
      </w:r>
      <w:r w:rsidR="002851F7" w:rsidRPr="00A53AD7">
        <w:rPr>
          <w:rFonts w:ascii="Times New Roman" w:hAnsi="Times New Roman"/>
          <w:sz w:val="28"/>
          <w:szCs w:val="28"/>
        </w:rPr>
        <w:t>» на сумму 65,2 млн.</w:t>
      </w:r>
      <w:r w:rsidRPr="00A53AD7">
        <w:rPr>
          <w:rFonts w:ascii="Times New Roman" w:hAnsi="Times New Roman"/>
          <w:sz w:val="28"/>
          <w:szCs w:val="28"/>
        </w:rPr>
        <w:t>руб. и «Водоснабжение правобережной части, г. Каргополь»</w:t>
      </w:r>
      <w:r w:rsidR="002851F7" w:rsidRPr="00A53AD7">
        <w:rPr>
          <w:rFonts w:ascii="Times New Roman" w:hAnsi="Times New Roman"/>
          <w:sz w:val="28"/>
          <w:szCs w:val="28"/>
        </w:rPr>
        <w:t xml:space="preserve"> на сумму 20,0 млн.</w:t>
      </w:r>
      <w:r w:rsidR="00560C72" w:rsidRPr="00A53AD7">
        <w:rPr>
          <w:rFonts w:ascii="Times New Roman" w:hAnsi="Times New Roman"/>
          <w:sz w:val="28"/>
          <w:szCs w:val="28"/>
        </w:rPr>
        <w:t>руб.</w:t>
      </w:r>
    </w:p>
    <w:p w14:paraId="70AD9797" w14:textId="5BA1904E"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региональной программе «Чистая вода» одновременно предусмотрены средства и на разработку проектно-сметной документации на строительство объектов питьевого водоснабжения, и на последующее строительство данных объектов</w:t>
      </w:r>
      <w:r w:rsidR="00560C72" w:rsidRPr="00A53AD7">
        <w:rPr>
          <w:rFonts w:ascii="Times New Roman" w:hAnsi="Times New Roman"/>
          <w:sz w:val="28"/>
          <w:szCs w:val="28"/>
        </w:rPr>
        <w:t>.</w:t>
      </w:r>
    </w:p>
    <w:p w14:paraId="4E9D7E15"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Соответственно, обоснование необходимого на строительство объектов питьевого водоснабжения объема средств в региональной программе «Чистая вода», а, соответственно, и в РП «Чистая вода», осуществлено в 2019 году в отсутствие проектно-сметной документации. Фактически необходимый на строительство объем средств после разработки проектно-сметной документации и получения положительного заключения государственной экспертизы может значительно отличаться от запланированного. Поэтому не представляется возможным достоверно определить достаточный для строительства объем средств и в результате - возможность своевременного достижения целей РП «Чистая вода».</w:t>
      </w:r>
    </w:p>
    <w:p w14:paraId="0AFAB9C8"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дополнительному соглашению от 27.11.2019 № 069-09-2019-229/1 к Соглашению № 069-09-2019-229 субсидия из федерального бюджета на 2019 год составляет 0,0 рублей. Соответствующие изменения в Региональную программу «Чистая вода» не внесены.</w:t>
      </w:r>
    </w:p>
    <w:p w14:paraId="4FB5F271" w14:textId="789A0E8E"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следует из отчета о ходе реализации регионального проекта на 2019 год «(G5-11) Чистая вода (Архангельская область)» (далее -</w:t>
      </w:r>
      <w:r w:rsidR="008D4148" w:rsidRPr="00A53AD7">
        <w:rPr>
          <w:rFonts w:ascii="Times New Roman" w:hAnsi="Times New Roman"/>
          <w:sz w:val="28"/>
          <w:szCs w:val="28"/>
        </w:rPr>
        <w:t xml:space="preserve"> </w:t>
      </w:r>
      <w:r w:rsidRPr="00A53AD7">
        <w:rPr>
          <w:rFonts w:ascii="Times New Roman" w:hAnsi="Times New Roman"/>
          <w:sz w:val="28"/>
          <w:szCs w:val="28"/>
        </w:rPr>
        <w:t>Отчет о реализации РП) в 2019 году фактически не достигнуты запланированные цели и показатели РП «Чистая вода»:</w:t>
      </w:r>
    </w:p>
    <w:tbl>
      <w:tblPr>
        <w:tblW w:w="937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97"/>
        <w:gridCol w:w="1144"/>
        <w:gridCol w:w="1417"/>
        <w:gridCol w:w="1418"/>
      </w:tblGrid>
      <w:tr w:rsidR="00D470B6" w:rsidRPr="00A53AD7" w14:paraId="41C81FB2" w14:textId="77777777" w:rsidTr="00560C72">
        <w:trPr>
          <w:trHeight w:val="403"/>
          <w:tblHeader/>
        </w:trPr>
        <w:tc>
          <w:tcPr>
            <w:tcW w:w="5397" w:type="dxa"/>
            <w:vMerge w:val="restart"/>
            <w:shd w:val="clear" w:color="auto" w:fill="FFFFFF"/>
            <w:vAlign w:val="center"/>
          </w:tcPr>
          <w:p w14:paraId="1222A927"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 результативности</w:t>
            </w:r>
          </w:p>
        </w:tc>
        <w:tc>
          <w:tcPr>
            <w:tcW w:w="2561" w:type="dxa"/>
            <w:gridSpan w:val="2"/>
            <w:shd w:val="clear" w:color="auto" w:fill="FFFFFF"/>
          </w:tcPr>
          <w:p w14:paraId="56BFF750"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конец года</w:t>
            </w:r>
          </w:p>
        </w:tc>
        <w:tc>
          <w:tcPr>
            <w:tcW w:w="1418" w:type="dxa"/>
            <w:vMerge w:val="restart"/>
            <w:shd w:val="clear" w:color="auto" w:fill="FFFFFF"/>
          </w:tcPr>
          <w:p w14:paraId="1D7F901B"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Процент достижения, %</w:t>
            </w:r>
          </w:p>
        </w:tc>
      </w:tr>
      <w:tr w:rsidR="00D470B6" w:rsidRPr="00A53AD7" w14:paraId="0AE4F41A" w14:textId="77777777" w:rsidTr="00560C72">
        <w:trPr>
          <w:trHeight w:val="245"/>
          <w:tblHeader/>
        </w:trPr>
        <w:tc>
          <w:tcPr>
            <w:tcW w:w="5397" w:type="dxa"/>
            <w:vMerge/>
            <w:vAlign w:val="center"/>
          </w:tcPr>
          <w:p w14:paraId="3574B8DF" w14:textId="77777777" w:rsidR="00482F99" w:rsidRPr="00A53AD7" w:rsidRDefault="00482F99" w:rsidP="00560C72">
            <w:pPr>
              <w:spacing w:after="0" w:line="240" w:lineRule="auto"/>
              <w:rPr>
                <w:rFonts w:ascii="Times New Roman" w:hAnsi="Times New Roman"/>
                <w:sz w:val="20"/>
                <w:szCs w:val="20"/>
              </w:rPr>
            </w:pPr>
          </w:p>
        </w:tc>
        <w:tc>
          <w:tcPr>
            <w:tcW w:w="1144" w:type="dxa"/>
          </w:tcPr>
          <w:p w14:paraId="59E5083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плановое значение</w:t>
            </w:r>
          </w:p>
        </w:tc>
        <w:tc>
          <w:tcPr>
            <w:tcW w:w="1417" w:type="dxa"/>
          </w:tcPr>
          <w:p w14:paraId="427A2C6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w:t>
            </w:r>
          </w:p>
        </w:tc>
        <w:tc>
          <w:tcPr>
            <w:tcW w:w="1418" w:type="dxa"/>
            <w:vMerge/>
          </w:tcPr>
          <w:p w14:paraId="6407661B" w14:textId="77777777" w:rsidR="00482F99" w:rsidRPr="00A53AD7" w:rsidRDefault="00482F99" w:rsidP="00560C72">
            <w:pPr>
              <w:spacing w:after="0" w:line="240" w:lineRule="auto"/>
              <w:rPr>
                <w:rFonts w:ascii="Times New Roman" w:hAnsi="Times New Roman"/>
                <w:sz w:val="20"/>
                <w:szCs w:val="20"/>
              </w:rPr>
            </w:pPr>
          </w:p>
        </w:tc>
      </w:tr>
      <w:tr w:rsidR="00D470B6" w:rsidRPr="00A53AD7" w14:paraId="0978FF20" w14:textId="77777777" w:rsidTr="00560C72">
        <w:trPr>
          <w:trHeight w:val="697"/>
        </w:trPr>
        <w:tc>
          <w:tcPr>
            <w:tcW w:w="5397" w:type="dxa"/>
            <w:shd w:val="clear" w:color="auto" w:fill="FFFFFF"/>
            <w:vAlign w:val="center"/>
          </w:tcPr>
          <w:p w14:paraId="0C753834"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Доля населения Российской Федерации, обеспеченного качественной питьевой водой из систем централизованного водоснабжения, %</w:t>
            </w:r>
          </w:p>
        </w:tc>
        <w:tc>
          <w:tcPr>
            <w:tcW w:w="1144" w:type="dxa"/>
            <w:shd w:val="clear" w:color="auto" w:fill="FFFFFF"/>
            <w:vAlign w:val="center"/>
          </w:tcPr>
          <w:p w14:paraId="07F9E38F"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72,00</w:t>
            </w:r>
          </w:p>
        </w:tc>
        <w:tc>
          <w:tcPr>
            <w:tcW w:w="1417" w:type="dxa"/>
            <w:shd w:val="clear" w:color="auto" w:fill="FFFFFF"/>
            <w:vAlign w:val="center"/>
          </w:tcPr>
          <w:p w14:paraId="189B8F10"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63,75</w:t>
            </w:r>
          </w:p>
        </w:tc>
        <w:tc>
          <w:tcPr>
            <w:tcW w:w="1418" w:type="dxa"/>
            <w:shd w:val="clear" w:color="auto" w:fill="FFFFFF"/>
            <w:vAlign w:val="center"/>
          </w:tcPr>
          <w:p w14:paraId="22CC0F70"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88,54</w:t>
            </w:r>
          </w:p>
        </w:tc>
      </w:tr>
      <w:tr w:rsidR="00D470B6" w:rsidRPr="00A53AD7" w14:paraId="6B085A41" w14:textId="77777777" w:rsidTr="00560C72">
        <w:trPr>
          <w:trHeight w:val="55"/>
        </w:trPr>
        <w:tc>
          <w:tcPr>
            <w:tcW w:w="5397" w:type="dxa"/>
            <w:shd w:val="clear" w:color="auto" w:fill="FFFFFF"/>
            <w:vAlign w:val="center"/>
          </w:tcPr>
          <w:p w14:paraId="01E03463" w14:textId="77777777" w:rsidR="00482F99" w:rsidRPr="00A53AD7" w:rsidRDefault="00482F99" w:rsidP="00560C72">
            <w:pPr>
              <w:spacing w:after="0" w:line="240" w:lineRule="auto"/>
              <w:rPr>
                <w:rFonts w:ascii="Times New Roman" w:hAnsi="Times New Roman"/>
                <w:sz w:val="20"/>
                <w:szCs w:val="20"/>
              </w:rPr>
            </w:pPr>
            <w:r w:rsidRPr="00A53AD7">
              <w:rPr>
                <w:rFonts w:ascii="Times New Roman" w:hAnsi="Times New Roman"/>
                <w:sz w:val="20"/>
                <w:szCs w:val="20"/>
              </w:rPr>
              <w:t xml:space="preserve">Доля городского населения Российской Федерации, обеспеченного качественной питьевой водой из систем централизованного водоснабжения, % </w:t>
            </w:r>
          </w:p>
        </w:tc>
        <w:tc>
          <w:tcPr>
            <w:tcW w:w="1144" w:type="dxa"/>
            <w:shd w:val="clear" w:color="auto" w:fill="FFFFFF"/>
            <w:vAlign w:val="center"/>
          </w:tcPr>
          <w:p w14:paraId="11467191"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82,50</w:t>
            </w:r>
          </w:p>
        </w:tc>
        <w:tc>
          <w:tcPr>
            <w:tcW w:w="1417" w:type="dxa"/>
            <w:shd w:val="clear" w:color="auto" w:fill="FFFFFF"/>
            <w:vAlign w:val="center"/>
          </w:tcPr>
          <w:p w14:paraId="567F729C"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77,49</w:t>
            </w:r>
          </w:p>
        </w:tc>
        <w:tc>
          <w:tcPr>
            <w:tcW w:w="1418" w:type="dxa"/>
            <w:shd w:val="clear" w:color="auto" w:fill="FFFFFF"/>
            <w:vAlign w:val="center"/>
          </w:tcPr>
          <w:p w14:paraId="725CBE95" w14:textId="77777777" w:rsidR="00482F99" w:rsidRPr="00A53AD7" w:rsidRDefault="00482F99" w:rsidP="00560C72">
            <w:pPr>
              <w:spacing w:after="0" w:line="240" w:lineRule="auto"/>
              <w:jc w:val="center"/>
              <w:rPr>
                <w:rFonts w:ascii="Times New Roman" w:hAnsi="Times New Roman"/>
                <w:sz w:val="20"/>
                <w:szCs w:val="20"/>
              </w:rPr>
            </w:pPr>
            <w:r w:rsidRPr="00A53AD7">
              <w:rPr>
                <w:rFonts w:ascii="Times New Roman" w:hAnsi="Times New Roman"/>
                <w:sz w:val="20"/>
                <w:szCs w:val="20"/>
              </w:rPr>
              <w:t>93,93</w:t>
            </w:r>
          </w:p>
        </w:tc>
      </w:tr>
    </w:tbl>
    <w:p w14:paraId="3A7B60D5" w14:textId="77777777" w:rsidR="00482F99" w:rsidRPr="00A53AD7" w:rsidRDefault="00482F99" w:rsidP="00560C72">
      <w:pPr>
        <w:spacing w:after="0" w:line="240" w:lineRule="auto"/>
        <w:ind w:firstLine="851"/>
        <w:jc w:val="both"/>
        <w:rPr>
          <w:rFonts w:ascii="Times New Roman" w:hAnsi="Times New Roman"/>
          <w:sz w:val="28"/>
          <w:szCs w:val="28"/>
        </w:rPr>
      </w:pPr>
    </w:p>
    <w:p w14:paraId="2A3E908A"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Причиной недостижения результата 2019 года является несоответствие базовых значений показателей, установленных паспортом ФП «Чистая вода», базовым значениям показателей, которые определены по результатам оценки состояния объектов централизованных систем водоснабжения Архангельской области. Это влияет на объективность значений целевых показателей как федерального проекта, так и регионального, достижение которых планируется к 2024 году.</w:t>
      </w:r>
    </w:p>
    <w:p w14:paraId="3D3BCAB6"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ТЭК и ЖКХ Архангельской области в адрес Минстроя РФ и Роспотребнадзора РФ в октябре и ноябре 2019 года направлены письма с предложением о принятии в качестве базовых значений, полученных по итогам проведенной оценки состояния объектов централизованных систем водоснабжения Архангельской области.</w:t>
      </w:r>
    </w:p>
    <w:p w14:paraId="39DC7405"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паспортом РП «Чистая вода» финансовое обеспечение реализации регионального проекта в 2019 году не предусмотрено. Однако, согласно сведениям об исполнении бюджета, отраженным в Отчете о реализации РП, паспортом РП «Чистая вода» предусмотрен объем финансового обеспечения за счет консолидированного бюджета Архангельской области в размере 86,98 млн.руб.</w:t>
      </w:r>
    </w:p>
    <w:p w14:paraId="595BBDBB"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31.12.2019 реализация РП «Чистая вода» характеризуется следующим образом:</w:t>
      </w:r>
    </w:p>
    <w:tbl>
      <w:tblPr>
        <w:tblStyle w:val="a7"/>
        <w:tblW w:w="9341"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3308"/>
        <w:gridCol w:w="1144"/>
        <w:gridCol w:w="1345"/>
        <w:gridCol w:w="3544"/>
      </w:tblGrid>
      <w:tr w:rsidR="00D470B6" w:rsidRPr="00A53AD7" w14:paraId="4D29944C" w14:textId="77777777" w:rsidTr="00560C72">
        <w:trPr>
          <w:tblHeader/>
        </w:trPr>
        <w:tc>
          <w:tcPr>
            <w:tcW w:w="3308" w:type="dxa"/>
            <w:vMerge w:val="restart"/>
          </w:tcPr>
          <w:p w14:paraId="2F8A8793"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r w:rsidRPr="00A53AD7">
              <w:rPr>
                <w:rFonts w:ascii="Times New Roman" w:hAnsi="Times New Roman"/>
                <w:sz w:val="20"/>
                <w:szCs w:val="28"/>
              </w:rPr>
              <w:t>Наименование результата регионального проекта, контрольной точки</w:t>
            </w:r>
          </w:p>
        </w:tc>
        <w:tc>
          <w:tcPr>
            <w:tcW w:w="2489" w:type="dxa"/>
            <w:gridSpan w:val="2"/>
          </w:tcPr>
          <w:p w14:paraId="707FE7AB"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r w:rsidRPr="00A53AD7">
              <w:rPr>
                <w:rFonts w:ascii="Times New Roman" w:hAnsi="Times New Roman"/>
                <w:sz w:val="20"/>
                <w:szCs w:val="28"/>
              </w:rPr>
              <w:t>Срок реализации</w:t>
            </w:r>
          </w:p>
        </w:tc>
        <w:tc>
          <w:tcPr>
            <w:tcW w:w="3544" w:type="dxa"/>
            <w:vMerge w:val="restart"/>
          </w:tcPr>
          <w:p w14:paraId="75E78015"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r w:rsidRPr="00A53AD7">
              <w:rPr>
                <w:rFonts w:ascii="Times New Roman" w:hAnsi="Times New Roman"/>
                <w:sz w:val="20"/>
                <w:szCs w:val="28"/>
              </w:rPr>
              <w:t>Комментарий</w:t>
            </w:r>
          </w:p>
        </w:tc>
      </w:tr>
      <w:tr w:rsidR="00D470B6" w:rsidRPr="00A53AD7" w14:paraId="07A0969D" w14:textId="77777777" w:rsidTr="00560C72">
        <w:trPr>
          <w:tblHeader/>
        </w:trPr>
        <w:tc>
          <w:tcPr>
            <w:tcW w:w="3308" w:type="dxa"/>
            <w:vMerge/>
          </w:tcPr>
          <w:p w14:paraId="4F2B0C63"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p>
        </w:tc>
        <w:tc>
          <w:tcPr>
            <w:tcW w:w="1144" w:type="dxa"/>
          </w:tcPr>
          <w:p w14:paraId="41871791"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r w:rsidRPr="00A53AD7">
              <w:rPr>
                <w:rFonts w:ascii="Times New Roman" w:hAnsi="Times New Roman"/>
                <w:sz w:val="20"/>
                <w:szCs w:val="28"/>
              </w:rPr>
              <w:t>план</w:t>
            </w:r>
          </w:p>
        </w:tc>
        <w:tc>
          <w:tcPr>
            <w:tcW w:w="1345" w:type="dxa"/>
          </w:tcPr>
          <w:p w14:paraId="769FFB33"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r w:rsidRPr="00A53AD7">
              <w:rPr>
                <w:rFonts w:ascii="Times New Roman" w:hAnsi="Times New Roman"/>
                <w:sz w:val="20"/>
                <w:szCs w:val="28"/>
              </w:rPr>
              <w:t>факт / прогноз</w:t>
            </w:r>
          </w:p>
        </w:tc>
        <w:tc>
          <w:tcPr>
            <w:tcW w:w="3544" w:type="dxa"/>
            <w:vMerge/>
          </w:tcPr>
          <w:p w14:paraId="7274D873" w14:textId="77777777" w:rsidR="00482F99" w:rsidRPr="00A53AD7" w:rsidRDefault="00482F99" w:rsidP="00560C72">
            <w:pPr>
              <w:widowControl w:val="0"/>
              <w:tabs>
                <w:tab w:val="left" w:pos="0"/>
              </w:tabs>
              <w:autoSpaceDE w:val="0"/>
              <w:autoSpaceDN w:val="0"/>
              <w:adjustRightInd w:val="0"/>
              <w:spacing w:after="0" w:line="240" w:lineRule="auto"/>
              <w:jc w:val="center"/>
              <w:rPr>
                <w:rFonts w:ascii="Times New Roman" w:hAnsi="Times New Roman"/>
                <w:sz w:val="20"/>
                <w:szCs w:val="28"/>
              </w:rPr>
            </w:pPr>
          </w:p>
        </w:tc>
      </w:tr>
      <w:tr w:rsidR="00D470B6" w:rsidRPr="00A53AD7" w14:paraId="2AF34C6C" w14:textId="77777777" w:rsidTr="00560C72">
        <w:tc>
          <w:tcPr>
            <w:tcW w:w="3308" w:type="dxa"/>
          </w:tcPr>
          <w:p w14:paraId="36BEA8A1"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1. Проведена оценка централизованных систем водоснабжения, в том числе на предмет соответствия установленным показателям качества и безопасности питьевого водоснабжения</w:t>
            </w:r>
          </w:p>
        </w:tc>
        <w:tc>
          <w:tcPr>
            <w:tcW w:w="1144" w:type="dxa"/>
          </w:tcPr>
          <w:p w14:paraId="4B57E6AE"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01.08.2019</w:t>
            </w:r>
          </w:p>
        </w:tc>
        <w:tc>
          <w:tcPr>
            <w:tcW w:w="1345" w:type="dxa"/>
          </w:tcPr>
          <w:p w14:paraId="063971EA"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30.04.2019</w:t>
            </w:r>
          </w:p>
        </w:tc>
        <w:tc>
          <w:tcPr>
            <w:tcW w:w="3544" w:type="dxa"/>
          </w:tcPr>
          <w:p w14:paraId="64D3C32C"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Сводный отчет о результатах оценки состояния объектов систем водоснабжения Архангельской области направлен письмом от 30.04.2019 № 02-07/90 в адрес Фонда содействия реформированию ЖКХ</w:t>
            </w:r>
          </w:p>
        </w:tc>
      </w:tr>
      <w:tr w:rsidR="00D470B6" w:rsidRPr="00A53AD7" w14:paraId="6FA7DFDA" w14:textId="77777777" w:rsidTr="00560C72">
        <w:tc>
          <w:tcPr>
            <w:tcW w:w="3308" w:type="dxa"/>
          </w:tcPr>
          <w:p w14:paraId="52C7921E"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в том числе:</w:t>
            </w:r>
          </w:p>
        </w:tc>
        <w:tc>
          <w:tcPr>
            <w:tcW w:w="1144" w:type="dxa"/>
          </w:tcPr>
          <w:p w14:paraId="4D3D5C4B"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c>
          <w:tcPr>
            <w:tcW w:w="1345" w:type="dxa"/>
          </w:tcPr>
          <w:p w14:paraId="460A8974"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c>
          <w:tcPr>
            <w:tcW w:w="3544" w:type="dxa"/>
          </w:tcPr>
          <w:p w14:paraId="1D4809AC"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p>
        </w:tc>
      </w:tr>
      <w:tr w:rsidR="00D470B6" w:rsidRPr="00A53AD7" w14:paraId="57C172E0" w14:textId="77777777" w:rsidTr="00560C72">
        <w:tc>
          <w:tcPr>
            <w:tcW w:w="3308" w:type="dxa"/>
          </w:tcPr>
          <w:p w14:paraId="16439C45"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Контрольная точка 1.4. «Проведено исследование по вопросу формирования и (или) тематике документа»</w:t>
            </w:r>
          </w:p>
        </w:tc>
        <w:tc>
          <w:tcPr>
            <w:tcW w:w="1144" w:type="dxa"/>
          </w:tcPr>
          <w:p w14:paraId="3ACEB019"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08.02.2019</w:t>
            </w:r>
          </w:p>
        </w:tc>
        <w:tc>
          <w:tcPr>
            <w:tcW w:w="1345" w:type="dxa"/>
          </w:tcPr>
          <w:p w14:paraId="26468F4B"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27.02.2019</w:t>
            </w:r>
          </w:p>
        </w:tc>
        <w:tc>
          <w:tcPr>
            <w:tcW w:w="3544" w:type="dxa"/>
          </w:tcPr>
          <w:p w14:paraId="7BF3EC69"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Просрочка 19 дней по причине того, что Минстроем РФ доведены до Архангельской области методические указания по проведению инвентаризации объектов водоснабжения 25.02.2019 года.</w:t>
            </w:r>
          </w:p>
        </w:tc>
      </w:tr>
      <w:tr w:rsidR="00D470B6" w:rsidRPr="00A53AD7" w14:paraId="7D7055F7" w14:textId="77777777" w:rsidTr="00560C72">
        <w:tc>
          <w:tcPr>
            <w:tcW w:w="3308" w:type="dxa"/>
          </w:tcPr>
          <w:p w14:paraId="3360E998"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2. Утверждена региональная программа по строительству и реконструкции (модернизации) объектов питьевого водоснабжения</w:t>
            </w:r>
          </w:p>
        </w:tc>
        <w:tc>
          <w:tcPr>
            <w:tcW w:w="1144" w:type="dxa"/>
          </w:tcPr>
          <w:p w14:paraId="27EE4D7A"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01.10.2019</w:t>
            </w:r>
          </w:p>
        </w:tc>
        <w:tc>
          <w:tcPr>
            <w:tcW w:w="1345" w:type="dxa"/>
          </w:tcPr>
          <w:p w14:paraId="7C1F1251"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30.07.2019</w:t>
            </w:r>
          </w:p>
        </w:tc>
        <w:tc>
          <w:tcPr>
            <w:tcW w:w="3544" w:type="dxa"/>
          </w:tcPr>
          <w:p w14:paraId="4F0E94D4"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Постановлением Правительства АО от 30.07.2019 № 403-пп утверждена региональная программа Архангельской области «Чистая вода (2019-2024 годы)»</w:t>
            </w:r>
          </w:p>
        </w:tc>
      </w:tr>
      <w:tr w:rsidR="00D470B6" w:rsidRPr="00A53AD7" w14:paraId="34BDFA40" w14:textId="77777777" w:rsidTr="00560C72">
        <w:tc>
          <w:tcPr>
            <w:tcW w:w="3308" w:type="dxa"/>
          </w:tcPr>
          <w:p w14:paraId="599ED379"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3. Реализованы мероприятия по строительству и реконструкции (модернизации) объектов питьевого водоснабжения, предусмотренные программой повышения качества водоснабжения, достигнуто повышение доли населения Архангельской области (в том числе городского), обеспеченного качественной питьевой водой из централизованных систем водоснабжения</w:t>
            </w:r>
          </w:p>
        </w:tc>
        <w:tc>
          <w:tcPr>
            <w:tcW w:w="1144" w:type="dxa"/>
          </w:tcPr>
          <w:p w14:paraId="3D23B4C8"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31.12.2024</w:t>
            </w:r>
          </w:p>
        </w:tc>
        <w:tc>
          <w:tcPr>
            <w:tcW w:w="1345" w:type="dxa"/>
          </w:tcPr>
          <w:p w14:paraId="1DDB1EBF"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31.12.2024 (прогноз)</w:t>
            </w:r>
          </w:p>
        </w:tc>
        <w:tc>
          <w:tcPr>
            <w:tcW w:w="3544" w:type="dxa"/>
          </w:tcPr>
          <w:p w14:paraId="7A3740CD"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r>
      <w:tr w:rsidR="00D470B6" w:rsidRPr="00A53AD7" w14:paraId="736369D9" w14:textId="77777777" w:rsidTr="00560C72">
        <w:tc>
          <w:tcPr>
            <w:tcW w:w="3308" w:type="dxa"/>
          </w:tcPr>
          <w:p w14:paraId="773633CD"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в том числе:</w:t>
            </w:r>
          </w:p>
        </w:tc>
        <w:tc>
          <w:tcPr>
            <w:tcW w:w="1144" w:type="dxa"/>
          </w:tcPr>
          <w:p w14:paraId="756E3568"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c>
          <w:tcPr>
            <w:tcW w:w="1345" w:type="dxa"/>
          </w:tcPr>
          <w:p w14:paraId="2003D364"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c>
          <w:tcPr>
            <w:tcW w:w="3544" w:type="dxa"/>
          </w:tcPr>
          <w:p w14:paraId="4DD15980"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p>
        </w:tc>
      </w:tr>
      <w:tr w:rsidR="00482F99" w:rsidRPr="00A53AD7" w14:paraId="6F093820" w14:textId="77777777" w:rsidTr="00560C72">
        <w:tc>
          <w:tcPr>
            <w:tcW w:w="3308" w:type="dxa"/>
          </w:tcPr>
          <w:p w14:paraId="47E0AEAE"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sz w:val="20"/>
                <w:szCs w:val="28"/>
              </w:rPr>
            </w:pPr>
            <w:r w:rsidRPr="00A53AD7">
              <w:rPr>
                <w:rFonts w:ascii="Times New Roman" w:hAnsi="Times New Roman"/>
                <w:sz w:val="20"/>
                <w:szCs w:val="28"/>
              </w:rPr>
              <w:t>Контрольная точка 3.5. «Строительно-монтажные работы завершены»</w:t>
            </w:r>
          </w:p>
        </w:tc>
        <w:tc>
          <w:tcPr>
            <w:tcW w:w="1144" w:type="dxa"/>
          </w:tcPr>
          <w:p w14:paraId="119A2500"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25.12.2019</w:t>
            </w:r>
          </w:p>
        </w:tc>
        <w:tc>
          <w:tcPr>
            <w:tcW w:w="1345" w:type="dxa"/>
          </w:tcPr>
          <w:p w14:paraId="618A3808" w14:textId="77777777" w:rsidR="00482F99" w:rsidRPr="00A53AD7" w:rsidRDefault="00482F99" w:rsidP="00560C72">
            <w:pPr>
              <w:widowControl w:val="0"/>
              <w:tabs>
                <w:tab w:val="left" w:pos="0"/>
              </w:tabs>
              <w:autoSpaceDE w:val="0"/>
              <w:autoSpaceDN w:val="0"/>
              <w:adjustRightInd w:val="0"/>
              <w:spacing w:after="0" w:line="240" w:lineRule="auto"/>
              <w:jc w:val="both"/>
              <w:rPr>
                <w:rFonts w:ascii="Times New Roman" w:hAnsi="Times New Roman"/>
                <w:sz w:val="20"/>
                <w:szCs w:val="28"/>
              </w:rPr>
            </w:pPr>
            <w:r w:rsidRPr="00A53AD7">
              <w:rPr>
                <w:rFonts w:ascii="Times New Roman" w:hAnsi="Times New Roman"/>
                <w:sz w:val="20"/>
                <w:szCs w:val="28"/>
              </w:rPr>
              <w:t>11.12.2019</w:t>
            </w:r>
          </w:p>
        </w:tc>
        <w:tc>
          <w:tcPr>
            <w:tcW w:w="3544" w:type="dxa"/>
          </w:tcPr>
          <w:p w14:paraId="0E946C3E" w14:textId="77777777" w:rsidR="00482F99" w:rsidRPr="00A53AD7" w:rsidRDefault="00482F99" w:rsidP="00560C72">
            <w:pPr>
              <w:widowControl w:val="0"/>
              <w:tabs>
                <w:tab w:val="left" w:pos="0"/>
              </w:tabs>
              <w:autoSpaceDE w:val="0"/>
              <w:autoSpaceDN w:val="0"/>
              <w:adjustRightInd w:val="0"/>
              <w:spacing w:after="0" w:line="240" w:lineRule="auto"/>
              <w:rPr>
                <w:rFonts w:ascii="Times New Roman" w:hAnsi="Times New Roman"/>
                <w:b/>
                <w:sz w:val="20"/>
                <w:szCs w:val="28"/>
              </w:rPr>
            </w:pPr>
            <w:r w:rsidRPr="00A53AD7">
              <w:rPr>
                <w:rFonts w:ascii="Times New Roman" w:hAnsi="Times New Roman"/>
                <w:b/>
                <w:sz w:val="20"/>
                <w:szCs w:val="28"/>
              </w:rPr>
              <w:t>Заключено дополнительное соглашение от 27.11.2019 № 069-09-2019-229/1 к Соглашению № 069-09-2019-229, в соответствии с которым субсидия из федерального бюджета на 2019 год составляет 0,0 рублей.</w:t>
            </w:r>
          </w:p>
        </w:tc>
      </w:tr>
    </w:tbl>
    <w:p w14:paraId="4FBB06E8" w14:textId="77777777" w:rsidR="00482F99" w:rsidRPr="00A53AD7" w:rsidRDefault="00482F99" w:rsidP="00560C72">
      <w:pPr>
        <w:spacing w:after="0" w:line="240" w:lineRule="auto"/>
        <w:ind w:firstLine="851"/>
        <w:jc w:val="both"/>
        <w:rPr>
          <w:rFonts w:ascii="Times New Roman" w:hAnsi="Times New Roman"/>
          <w:sz w:val="28"/>
          <w:szCs w:val="28"/>
        </w:rPr>
      </w:pPr>
    </w:p>
    <w:p w14:paraId="5504BFAE" w14:textId="77777777" w:rsidR="00482F99" w:rsidRPr="00A53AD7" w:rsidRDefault="00482F99" w:rsidP="00560C72">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Необходимо отметить, что, несмотря на то, что по контрольной точке 3.5 «Строительно-монтажные работы завершены» в Отчете о реализации РП указан статус «Отсутствие отклонений» и указан срок фактического ее достижения – 11.12.2019, фактически в 2019 году не было начато и, соответственно, завершено строительство ни одного из объектов питьевого водоснабжения в Архангельской области.</w:t>
      </w:r>
    </w:p>
    <w:p w14:paraId="323A6867" w14:textId="77777777" w:rsidR="00482F99" w:rsidRPr="00A53AD7" w:rsidRDefault="00482F99" w:rsidP="00560C72">
      <w:pPr>
        <w:autoSpaceDE w:val="0"/>
        <w:autoSpaceDN w:val="0"/>
        <w:adjustRightInd w:val="0"/>
        <w:spacing w:after="0" w:line="240" w:lineRule="auto"/>
        <w:ind w:firstLine="851"/>
        <w:jc w:val="both"/>
        <w:rPr>
          <w:rFonts w:ascii="Times New Roman" w:hAnsi="Times New Roman"/>
          <w:sz w:val="28"/>
          <w:szCs w:val="28"/>
          <w:lang w:val="x-none"/>
        </w:rPr>
      </w:pPr>
      <w:r w:rsidRPr="00A53AD7">
        <w:rPr>
          <w:rFonts w:ascii="Times New Roman" w:eastAsia="Times New Roman" w:hAnsi="Times New Roman"/>
          <w:spacing w:val="-2"/>
          <w:sz w:val="28"/>
          <w:szCs w:val="28"/>
        </w:rPr>
        <w:t>Как следует из Отчета о реализации РП «</w:t>
      </w:r>
      <w:r w:rsidRPr="00A53AD7">
        <w:rPr>
          <w:rFonts w:ascii="Times New Roman" w:eastAsia="Times New Roman" w:hAnsi="Times New Roman"/>
          <w:i/>
          <w:spacing w:val="-2"/>
          <w:sz w:val="28"/>
          <w:szCs w:val="28"/>
        </w:rPr>
        <w:t>В целях достижения установленных на 2019 год показателей в рамках выделяемой Минстроем России субсидии (85 156,1 тыс. рублей) на территории Архангельской области планировалась реализация двух объектов: «Водоснабжение правобережной части города Каргополя (поселок Заречный)» (АМО «Каргопольский муниципальный район»); «Строительство водоочистных сооружений в питьевых целях в с. Ильинско-Подомское Вилегодского района» (АМО «Вилегодский муниципальный район»). Для получения субсидии до 1 августа текущего года необходимо было представить в Минстрой России заявку об участии в распределении субсидии с пакетом документов, в том числе с положительным заключением экспертизы проектно-сметной документации. Ввиду того, что проектирование до 1 августа 2019 года не завершено, привлечение субсидии федерального бюджета в 2019 году на указанные объекты невозможно</w:t>
      </w:r>
      <w:r w:rsidRPr="00A53AD7">
        <w:rPr>
          <w:rFonts w:ascii="Times New Roman" w:eastAsia="Times New Roman" w:hAnsi="Times New Roman"/>
          <w:spacing w:val="-2"/>
          <w:sz w:val="28"/>
          <w:szCs w:val="28"/>
        </w:rPr>
        <w:t>».</w:t>
      </w:r>
    </w:p>
    <w:p w14:paraId="05C40A5E" w14:textId="77777777" w:rsidR="00482F99" w:rsidRPr="00A53AD7" w:rsidRDefault="00482F99" w:rsidP="00560C72">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единой информационной системы в сфере закупок (</w:t>
      </w:r>
      <w:hyperlink r:id="rId103" w:history="1">
        <w:r w:rsidRPr="00A53AD7">
          <w:rPr>
            <w:rStyle w:val="afb"/>
            <w:rFonts w:ascii="Times New Roman" w:hAnsi="Times New Roman"/>
            <w:color w:val="auto"/>
            <w:sz w:val="28"/>
            <w:szCs w:val="28"/>
          </w:rPr>
          <w:t>http://zakupki.gov.ru</w:t>
        </w:r>
      </w:hyperlink>
      <w:r w:rsidRPr="00A53AD7">
        <w:rPr>
          <w:rFonts w:ascii="Times New Roman" w:hAnsi="Times New Roman"/>
          <w:sz w:val="28"/>
          <w:szCs w:val="28"/>
        </w:rPr>
        <w:t>) в целях реализации мероприятий РП «Чистая вода» Комитетом по управлению муниципальным имуществом и ЖКХ администрации МО «Вилегодский муниципальный район» заключен муниципальный контракт от 13.03.2019 № 0013 с ООО «Проект» на разработку проектной документации по объекту: «Строительство водоочистных сооружений в питьевых целях в с. Ильинско-Подомское, Вилегодского района, Архангельской области (Первый этап. Строительство магистральных водоводов и ВОС)», срок окончания работ по условиям контракта – до 01.08.2019 года. По состоянию на 31.12.2019 проект не готов, просрочка исполнения обязательств по контракту составила 152 дня. Фактически проектная документация передана администрации района только 02.03.2020 года.</w:t>
      </w:r>
    </w:p>
    <w:p w14:paraId="4CCE6E8C" w14:textId="77777777"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объекту «Водоснабжение правобережной части, г. Каргополь» разработка проектно-сметной документации была завершена в апреле 2020 года, заказчиком выступило ЗАО «Ватамановская». Как следует из письма министерства ТЭК и ЖКХ Архангельской области от 07.05.2020 № 203/3055 привлечение средств федерального бюджета на строительство данного объекта планируется только в 2021 году.</w:t>
      </w:r>
    </w:p>
    <w:p w14:paraId="2673C5C1" w14:textId="16E87F04"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Пояснительной записки к отчету об исполнении областного бюджета за 2019 год «…</w:t>
      </w:r>
      <w:r w:rsidR="00A871C2" w:rsidRPr="00A53AD7">
        <w:rPr>
          <w:rFonts w:ascii="Times New Roman" w:hAnsi="Times New Roman"/>
          <w:sz w:val="28"/>
          <w:szCs w:val="28"/>
        </w:rPr>
        <w:t xml:space="preserve"> </w:t>
      </w:r>
      <w:r w:rsidRPr="00A53AD7">
        <w:rPr>
          <w:rFonts w:ascii="Times New Roman" w:eastAsia="Times New Roman" w:hAnsi="Times New Roman"/>
          <w:bCs/>
          <w:i/>
          <w:sz w:val="28"/>
          <w:szCs w:val="28"/>
          <w:lang w:eastAsia="ru-RU"/>
        </w:rPr>
        <w:t>В связи с невозможностью проведения мероприятий по строительству и реконструкции объектов питьевого водоснабжения без разработки проектно-сметной документации дополнительным соглашением</w:t>
      </w:r>
      <w:r w:rsidR="001E1920" w:rsidRPr="00A53AD7">
        <w:rPr>
          <w:rFonts w:ascii="Times New Roman" w:eastAsia="Times New Roman" w:hAnsi="Times New Roman"/>
          <w:bCs/>
          <w:i/>
          <w:sz w:val="28"/>
          <w:szCs w:val="28"/>
          <w:lang w:eastAsia="ru-RU"/>
        </w:rPr>
        <w:t xml:space="preserve"> </w:t>
      </w:r>
      <w:r w:rsidRPr="00A53AD7">
        <w:rPr>
          <w:rFonts w:ascii="Times New Roman" w:eastAsia="Times New Roman" w:hAnsi="Times New Roman"/>
          <w:bCs/>
          <w:i/>
          <w:sz w:val="28"/>
          <w:szCs w:val="28"/>
          <w:lang w:eastAsia="ru-RU"/>
        </w:rPr>
        <w:t xml:space="preserve">от 27.11.2019 к соглашению от 12 февраля 2019 года № 069-09-2019-229 суммы субсидий, предусмотренные на 2019 год к выделению из федерального бюджета, исключены. </w:t>
      </w:r>
      <w:r w:rsidRPr="00A53AD7">
        <w:rPr>
          <w:rFonts w:ascii="Times New Roman" w:hAnsi="Times New Roman"/>
          <w:i/>
          <w:sz w:val="28"/>
          <w:szCs w:val="28"/>
        </w:rPr>
        <w:t>Неиспользованный объем бюджетных ассигнований из областного бюджета на софинансирование указанных мероприятий составил 1,7 млн. рублей</w:t>
      </w:r>
      <w:r w:rsidRPr="00A53AD7">
        <w:rPr>
          <w:rFonts w:ascii="Times New Roman" w:hAnsi="Times New Roman"/>
          <w:sz w:val="28"/>
          <w:szCs w:val="28"/>
        </w:rPr>
        <w:t>».</w:t>
      </w:r>
    </w:p>
    <w:p w14:paraId="42764F3C" w14:textId="77777777"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об исполнении областного бюджета по ведомственной структуре расходов областного бюджета за 2019 год расходы ГП № 487-пп по мероприятиям РП «Чистая вода» характеризуются следующим образом:</w:t>
      </w:r>
    </w:p>
    <w:tbl>
      <w:tblPr>
        <w:tblW w:w="935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405"/>
        <w:gridCol w:w="1160"/>
        <w:gridCol w:w="1135"/>
        <w:gridCol w:w="1356"/>
        <w:gridCol w:w="1011"/>
        <w:gridCol w:w="1236"/>
        <w:gridCol w:w="1088"/>
      </w:tblGrid>
      <w:tr w:rsidR="00D470B6" w:rsidRPr="00A53AD7" w14:paraId="2D2C0858" w14:textId="77777777" w:rsidTr="001E1920">
        <w:trPr>
          <w:trHeight w:val="735"/>
          <w:tblHeader/>
        </w:trPr>
        <w:tc>
          <w:tcPr>
            <w:tcW w:w="2405" w:type="dxa"/>
            <w:vMerge w:val="restart"/>
            <w:noWrap/>
            <w:vAlign w:val="center"/>
            <w:hideMark/>
          </w:tcPr>
          <w:p w14:paraId="4FCA8DA2"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1160" w:type="dxa"/>
            <w:vMerge w:val="restart"/>
            <w:vAlign w:val="center"/>
            <w:hideMark/>
          </w:tcPr>
          <w:p w14:paraId="28A85BB7"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Утверждено на год (в ред. от 13.12.2019 № 189-13-ОЗ), тыс. руб.</w:t>
            </w:r>
          </w:p>
        </w:tc>
        <w:tc>
          <w:tcPr>
            <w:tcW w:w="1135" w:type="dxa"/>
            <w:vMerge w:val="restart"/>
            <w:vAlign w:val="center"/>
            <w:hideMark/>
          </w:tcPr>
          <w:p w14:paraId="5DD3497B"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Уточненная сводная бюджетная роспись на 2019 год, тыс. руб.</w:t>
            </w:r>
          </w:p>
        </w:tc>
        <w:tc>
          <w:tcPr>
            <w:tcW w:w="1356" w:type="dxa"/>
            <w:vMerge w:val="restart"/>
            <w:vAlign w:val="center"/>
            <w:hideMark/>
          </w:tcPr>
          <w:p w14:paraId="0DB6D0E6"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Доведено предельных объемов финансирования до главных распорядителей средств областного бюджета, тыс. руб.</w:t>
            </w:r>
          </w:p>
        </w:tc>
        <w:tc>
          <w:tcPr>
            <w:tcW w:w="971" w:type="dxa"/>
            <w:vMerge w:val="restart"/>
            <w:vAlign w:val="center"/>
            <w:hideMark/>
          </w:tcPr>
          <w:p w14:paraId="3978B988"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Исполнено, тыс. руб.</w:t>
            </w:r>
          </w:p>
        </w:tc>
        <w:tc>
          <w:tcPr>
            <w:tcW w:w="2324" w:type="dxa"/>
            <w:gridSpan w:val="2"/>
            <w:vAlign w:val="center"/>
            <w:hideMark/>
          </w:tcPr>
          <w:p w14:paraId="6772762A"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Исполнение, в процентах</w:t>
            </w:r>
          </w:p>
        </w:tc>
      </w:tr>
      <w:tr w:rsidR="00D470B6" w:rsidRPr="00A53AD7" w14:paraId="3D6DA4FF" w14:textId="77777777" w:rsidTr="001E1920">
        <w:trPr>
          <w:trHeight w:val="226"/>
          <w:tblHeader/>
        </w:trPr>
        <w:tc>
          <w:tcPr>
            <w:tcW w:w="2405" w:type="dxa"/>
            <w:vMerge/>
            <w:vAlign w:val="center"/>
            <w:hideMark/>
          </w:tcPr>
          <w:p w14:paraId="0D48DEB4" w14:textId="77777777" w:rsidR="00482F99" w:rsidRPr="00A53AD7" w:rsidRDefault="00482F99" w:rsidP="00560C72">
            <w:pPr>
              <w:spacing w:after="0"/>
              <w:rPr>
                <w:rFonts w:ascii="Times New Roman" w:hAnsi="Times New Roman"/>
                <w:sz w:val="16"/>
                <w:szCs w:val="16"/>
              </w:rPr>
            </w:pPr>
          </w:p>
        </w:tc>
        <w:tc>
          <w:tcPr>
            <w:tcW w:w="0" w:type="auto"/>
            <w:vMerge/>
            <w:vAlign w:val="center"/>
            <w:hideMark/>
          </w:tcPr>
          <w:p w14:paraId="3F9464D9" w14:textId="77777777" w:rsidR="00482F99" w:rsidRPr="00A53AD7" w:rsidRDefault="00482F99" w:rsidP="00560C72">
            <w:pPr>
              <w:spacing w:after="0"/>
              <w:rPr>
                <w:rFonts w:ascii="Times New Roman" w:hAnsi="Times New Roman"/>
                <w:sz w:val="16"/>
                <w:szCs w:val="16"/>
              </w:rPr>
            </w:pPr>
          </w:p>
        </w:tc>
        <w:tc>
          <w:tcPr>
            <w:tcW w:w="0" w:type="auto"/>
            <w:vMerge/>
            <w:vAlign w:val="center"/>
            <w:hideMark/>
          </w:tcPr>
          <w:p w14:paraId="3AEDC148" w14:textId="77777777" w:rsidR="00482F99" w:rsidRPr="00A53AD7" w:rsidRDefault="00482F99" w:rsidP="00560C72">
            <w:pPr>
              <w:spacing w:after="0"/>
              <w:rPr>
                <w:rFonts w:ascii="Times New Roman" w:hAnsi="Times New Roman"/>
                <w:sz w:val="16"/>
                <w:szCs w:val="16"/>
              </w:rPr>
            </w:pPr>
          </w:p>
        </w:tc>
        <w:tc>
          <w:tcPr>
            <w:tcW w:w="0" w:type="auto"/>
            <w:vMerge/>
            <w:vAlign w:val="center"/>
            <w:hideMark/>
          </w:tcPr>
          <w:p w14:paraId="4E1CC8F0" w14:textId="77777777" w:rsidR="00482F99" w:rsidRPr="00A53AD7" w:rsidRDefault="00482F99" w:rsidP="00560C72">
            <w:pPr>
              <w:spacing w:after="0"/>
              <w:rPr>
                <w:rFonts w:ascii="Times New Roman" w:hAnsi="Times New Roman"/>
                <w:sz w:val="16"/>
                <w:szCs w:val="16"/>
              </w:rPr>
            </w:pPr>
          </w:p>
        </w:tc>
        <w:tc>
          <w:tcPr>
            <w:tcW w:w="0" w:type="auto"/>
            <w:vMerge/>
            <w:vAlign w:val="center"/>
            <w:hideMark/>
          </w:tcPr>
          <w:p w14:paraId="41557A9A" w14:textId="77777777" w:rsidR="00482F99" w:rsidRPr="00A53AD7" w:rsidRDefault="00482F99" w:rsidP="00560C72">
            <w:pPr>
              <w:spacing w:after="0"/>
              <w:rPr>
                <w:rFonts w:ascii="Times New Roman" w:hAnsi="Times New Roman"/>
                <w:sz w:val="16"/>
                <w:szCs w:val="16"/>
              </w:rPr>
            </w:pPr>
          </w:p>
        </w:tc>
        <w:tc>
          <w:tcPr>
            <w:tcW w:w="1236" w:type="dxa"/>
            <w:vAlign w:val="center"/>
            <w:hideMark/>
          </w:tcPr>
          <w:p w14:paraId="074D3081"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к утвержденным на год</w:t>
            </w:r>
          </w:p>
        </w:tc>
        <w:tc>
          <w:tcPr>
            <w:tcW w:w="1088" w:type="dxa"/>
            <w:vAlign w:val="center"/>
            <w:hideMark/>
          </w:tcPr>
          <w:p w14:paraId="374A6E13"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к уточненной сводной бюджетной росписи на год</w:t>
            </w:r>
          </w:p>
        </w:tc>
      </w:tr>
      <w:tr w:rsidR="00482F99" w:rsidRPr="00A53AD7" w14:paraId="004B5207" w14:textId="77777777" w:rsidTr="001E1920">
        <w:trPr>
          <w:trHeight w:val="130"/>
        </w:trPr>
        <w:tc>
          <w:tcPr>
            <w:tcW w:w="2405" w:type="dxa"/>
            <w:vAlign w:val="center"/>
            <w:hideMark/>
          </w:tcPr>
          <w:p w14:paraId="325F992A" w14:textId="77777777" w:rsidR="00482F99" w:rsidRPr="00A53AD7" w:rsidRDefault="00482F99" w:rsidP="00560C72">
            <w:pPr>
              <w:spacing w:after="0" w:line="240" w:lineRule="auto"/>
              <w:rPr>
                <w:rFonts w:ascii="Times New Roman" w:hAnsi="Times New Roman"/>
                <w:sz w:val="16"/>
                <w:szCs w:val="16"/>
              </w:rPr>
            </w:pPr>
            <w:r w:rsidRPr="00A53AD7">
              <w:rPr>
                <w:rFonts w:ascii="Times New Roman" w:hAnsi="Times New Roman"/>
                <w:sz w:val="16"/>
                <w:szCs w:val="16"/>
              </w:rPr>
              <w:t>Строительство и реконструкция (модернизация) объектов питьевого водоснабжения</w:t>
            </w:r>
          </w:p>
        </w:tc>
        <w:tc>
          <w:tcPr>
            <w:tcW w:w="1160" w:type="dxa"/>
            <w:noWrap/>
            <w:vAlign w:val="center"/>
            <w:hideMark/>
          </w:tcPr>
          <w:p w14:paraId="1883A186"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86 894,0</w:t>
            </w:r>
          </w:p>
        </w:tc>
        <w:tc>
          <w:tcPr>
            <w:tcW w:w="1135" w:type="dxa"/>
            <w:noWrap/>
            <w:vAlign w:val="center"/>
            <w:hideMark/>
          </w:tcPr>
          <w:p w14:paraId="0CD84D2D"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1 737,9</w:t>
            </w:r>
          </w:p>
        </w:tc>
        <w:tc>
          <w:tcPr>
            <w:tcW w:w="1356" w:type="dxa"/>
            <w:vAlign w:val="center"/>
            <w:hideMark/>
          </w:tcPr>
          <w:p w14:paraId="6115735D"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971" w:type="dxa"/>
            <w:noWrap/>
            <w:vAlign w:val="center"/>
            <w:hideMark/>
          </w:tcPr>
          <w:p w14:paraId="0EF7A396"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1236" w:type="dxa"/>
            <w:noWrap/>
            <w:vAlign w:val="center"/>
            <w:hideMark/>
          </w:tcPr>
          <w:p w14:paraId="4D4B5B14"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0,00</w:t>
            </w:r>
          </w:p>
        </w:tc>
        <w:tc>
          <w:tcPr>
            <w:tcW w:w="1088" w:type="dxa"/>
            <w:noWrap/>
            <w:vAlign w:val="center"/>
            <w:hideMark/>
          </w:tcPr>
          <w:p w14:paraId="5EF1E0D6" w14:textId="77777777" w:rsidR="00482F99" w:rsidRPr="00A53AD7" w:rsidRDefault="00482F99" w:rsidP="00560C72">
            <w:pPr>
              <w:spacing w:after="0" w:line="240" w:lineRule="auto"/>
              <w:jc w:val="center"/>
              <w:rPr>
                <w:rFonts w:ascii="Times New Roman" w:hAnsi="Times New Roman"/>
                <w:sz w:val="16"/>
                <w:szCs w:val="16"/>
              </w:rPr>
            </w:pPr>
            <w:r w:rsidRPr="00A53AD7">
              <w:rPr>
                <w:rFonts w:ascii="Times New Roman" w:hAnsi="Times New Roman"/>
                <w:sz w:val="16"/>
                <w:szCs w:val="16"/>
              </w:rPr>
              <w:t>0,00</w:t>
            </w:r>
          </w:p>
        </w:tc>
      </w:tr>
    </w:tbl>
    <w:p w14:paraId="649699AD" w14:textId="77777777"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p>
    <w:p w14:paraId="00927877" w14:textId="77777777"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согласно Отчету о реализации РП в сводной бюджетной росписи на конец года объем финансового обеспечения составил 86 893,98 тыс. руб., а лимиты бюджетных обязательств – 86 894,00 тыс. руб.</w:t>
      </w:r>
    </w:p>
    <w:p w14:paraId="0E241D56" w14:textId="6D9632FE" w:rsidR="00482F99" w:rsidRPr="00A53AD7" w:rsidRDefault="00482F99" w:rsidP="001E1920">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за 2019 год министерством ТЭК и ЖКХ Архангельской области фактически осуществлены мероприятия регионального проекта, которые носят организационный и обеспечивающий характер. А мероприятия, которые оказывают непосредственное прямое влияние на достижение целей РП «Чистая вода» - строительство (реконструкция, модернизация) объектов водоснабжения) -</w:t>
      </w:r>
      <w:r w:rsidR="008D4148" w:rsidRPr="00A53AD7">
        <w:rPr>
          <w:rFonts w:ascii="Times New Roman" w:hAnsi="Times New Roman"/>
          <w:sz w:val="28"/>
          <w:szCs w:val="28"/>
        </w:rPr>
        <w:t xml:space="preserve"> </w:t>
      </w:r>
      <w:r w:rsidRPr="00A53AD7">
        <w:rPr>
          <w:rFonts w:ascii="Times New Roman" w:hAnsi="Times New Roman"/>
          <w:sz w:val="28"/>
          <w:szCs w:val="28"/>
        </w:rPr>
        <w:t>фактически не начаты и, соответственно, не закончены в те сроки, которые запланированы для своевременного достижения целевых показателей данного регионального проекта.</w:t>
      </w:r>
    </w:p>
    <w:p w14:paraId="29A621E9" w14:textId="77777777" w:rsidR="00930E5E" w:rsidRPr="00A53AD7" w:rsidRDefault="00930E5E" w:rsidP="001E1920">
      <w:pPr>
        <w:autoSpaceDE w:val="0"/>
        <w:autoSpaceDN w:val="0"/>
        <w:adjustRightInd w:val="0"/>
        <w:spacing w:after="0" w:line="240" w:lineRule="auto"/>
        <w:ind w:firstLine="851"/>
        <w:jc w:val="both"/>
        <w:rPr>
          <w:rFonts w:ascii="Times New Roman" w:hAnsi="Times New Roman"/>
          <w:sz w:val="28"/>
          <w:szCs w:val="28"/>
        </w:rPr>
      </w:pPr>
    </w:p>
    <w:p w14:paraId="1008308E" w14:textId="50F6DDC1" w:rsidR="00930E5E" w:rsidRPr="00A53AD7" w:rsidRDefault="00930E5E" w:rsidP="00930E5E">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«Чистая страна»</w:t>
      </w:r>
    </w:p>
    <w:p w14:paraId="74A3A9AE"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Региональный проект «Чистая страна (Архангельская область)» утвержден в ГИИС «Электронный бюджет» 26.06.2019 года.</w:t>
      </w:r>
    </w:p>
    <w:p w14:paraId="40ADD6FD"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проекта «Чистая страна (Архангельская область)» (далее проект) - 01.10.2018 – 31.12.2024 годы.</w:t>
      </w:r>
    </w:p>
    <w:p w14:paraId="681D704A"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Связь с ГП АО «Охрана окружающей среды, воспроизводство и использование природных ресурсов Архангельской области (2014 - 2024 годы)», утвержденной постановлением Правительства Архангельской области от 11.10.2013 № 476-пп (далее – ГП АО «Охрана окружающей среды», госпрограмма).</w:t>
      </w:r>
    </w:p>
    <w:p w14:paraId="4C69B28E"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Указом Президента РФ от 7 мая 2018 г. № 204 «О национальных целях и стратегических задачах развития Российской Федерации на период до 2024 года» при разработке национального проекта в сфере экологии Правительству РФ поручено обеспечить достижение одной из поставленных в нем целей и целевых показателей и решение соответствующих задач – это эффективное обращение с отходами производства и потребления, включая ликвидацию всех выявленных на 1 января 2018 г. несанкционированных свалок в границах городов.</w:t>
      </w:r>
    </w:p>
    <w:p w14:paraId="0DF3CC1A"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 регионального проекта - эффективное обращение с отходами производства и потребления, включая ликвидацию всех выявленных на 1 января 2018 г. несанкционированных свалок в границах городов (Архангельская область), соответствует Указу Президента РФ от 7 мая 2018 г. № 204 «О национальных целях и стратегических задачах развития Российской Федерации на период до 2024 года».</w:t>
      </w:r>
    </w:p>
    <w:p w14:paraId="5CE9C51B"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 о реализации регионального проекта «Чистая страна (Архангельская область)» на территории Архангельской области подписано 14.02.2019 года № 051-2019-G10025-1.</w:t>
      </w:r>
    </w:p>
    <w:p w14:paraId="0F3B777A"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Предметом Соглашения является организация взаимодействия министерства природных ресурсов и экологии Российской Федерации и Правительства Архангельской области при реализации регионального проекта и осуществления мониторинга его реализации по достижению целей, показателей и результатов федерального проекта в части мероприятий, реализуемых в Архангельской области и (или) муниципальных образованиях, расположенных на её территории.</w:t>
      </w:r>
    </w:p>
    <w:p w14:paraId="77632E8D"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Показатели и результаты федерального проекта по субъекту Российской Федерации соответствуют показателям и результатам регионального проекта.</w:t>
      </w:r>
    </w:p>
    <w:p w14:paraId="32FDD002" w14:textId="365F8842"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Результаты, задачи регионального проекта и их характеристика:</w:t>
      </w:r>
    </w:p>
    <w:p w14:paraId="4E21AF12" w14:textId="09FB1C3A"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Задача регионального проекта - рекультивированы земельные участки (справочно из паспорта федерального проекта), на которых расположена 191 выявленная на 1 января 2018 г. несанкционированная свалка в границах городов – региональным проектом запланировано на 31.12.2021 - 0 шт.; на 31.12.2024 - 7 штук.</w:t>
      </w:r>
    </w:p>
    <w:p w14:paraId="7D463747"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Характеристика регионального проекта - восстановлены, в том числе рекультивированы, более 2,8 тыс. гектар земель, подверженных негативному воздействию накопленного вреда окружающей среде (по состоянию на 31 декабря 2024 года). Срок (справочно из паспорта федерального проекта): 31.12.2024 года.</w:t>
      </w:r>
    </w:p>
    <w:p w14:paraId="09C394A9" w14:textId="77777777"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2019 год финансирования на реализацию регионального проекта «Чистая страна (Архангельская область)» в бюджете не предусмотрено. Соглашение о реализации регионального проекта «Чистая страна (Архангельская область)» на территории Архангельской области от 14.02.2019 года № 051-2019-G10025-1 не содержит финансовых обязательств.</w:t>
      </w:r>
    </w:p>
    <w:p w14:paraId="2F2AC03B" w14:textId="3FAA98F8" w:rsidR="00930E5E" w:rsidRPr="00A53AD7" w:rsidRDefault="00930E5E" w:rsidP="00930E5E">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проведенной органами местного самоуправления инвентаризацией мест несанкционированного размещения отходов в границах городов в адрес Департамента государственной политики и регулирования в сфере охраны окружающей среды и экологической безопасности Министерства природных ресурсов и экологии Российской Федерации (далее – Минприроды России) направлены предложения по внесению изменений в паспорт федерального проекта «Снижение негативного воздействия на окружающую среду путем ликвидации наиболее опасных объектов накопленного вреда окружающей среде и несанкционированных свалок в границах городов» (Чистая страна) в части исключения из федерального проекта планируемых к рекультивации и ликвидации несанкционированных свалок в границах города Архангельска:</w:t>
      </w:r>
    </w:p>
    <w:p w14:paraId="161D710D" w14:textId="78529F13" w:rsidR="00930E5E" w:rsidRPr="00A53AD7" w:rsidRDefault="00930E5E" w:rsidP="00CA1DDD">
      <w:pPr>
        <w:pStyle w:val="a8"/>
        <w:numPr>
          <w:ilvl w:val="0"/>
          <w:numId w:val="47"/>
        </w:numPr>
        <w:ind w:left="0" w:firstLine="851"/>
        <w:jc w:val="both"/>
        <w:rPr>
          <w:sz w:val="28"/>
          <w:szCs w:val="28"/>
        </w:rPr>
      </w:pPr>
      <w:r w:rsidRPr="00A53AD7">
        <w:rPr>
          <w:sz w:val="28"/>
          <w:szCs w:val="28"/>
        </w:rPr>
        <w:t>«29 лесозавод», площадью 2,4 га (по результатам инвентаризации свалка ликвидирована);</w:t>
      </w:r>
    </w:p>
    <w:p w14:paraId="0286BC7E" w14:textId="610023F0" w:rsidR="00930E5E" w:rsidRPr="00A53AD7" w:rsidRDefault="00930E5E" w:rsidP="00CA1DDD">
      <w:pPr>
        <w:pStyle w:val="a8"/>
        <w:numPr>
          <w:ilvl w:val="0"/>
          <w:numId w:val="47"/>
        </w:numPr>
        <w:ind w:left="0" w:firstLine="851"/>
        <w:jc w:val="both"/>
        <w:rPr>
          <w:sz w:val="28"/>
          <w:szCs w:val="28"/>
        </w:rPr>
      </w:pPr>
      <w:r w:rsidRPr="00A53AD7">
        <w:rPr>
          <w:sz w:val="28"/>
          <w:szCs w:val="28"/>
        </w:rPr>
        <w:t>в Северном округе, площадью 6,5 га (несанкционированная свалка расположена на территории ОАО «Соломбальский ЦБК»).</w:t>
      </w:r>
    </w:p>
    <w:p w14:paraId="05F9ED2B" w14:textId="5D3941FD"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Направлено предложение о замене данных свалок на следующие объек</w:t>
      </w:r>
      <w:r w:rsidR="009B4728" w:rsidRPr="00A53AD7">
        <w:rPr>
          <w:rFonts w:ascii="Times New Roman" w:hAnsi="Times New Roman"/>
          <w:sz w:val="28"/>
          <w:szCs w:val="28"/>
        </w:rPr>
        <w:t>ты и добавление новых объектов:</w:t>
      </w:r>
    </w:p>
    <w:p w14:paraId="600C315C" w14:textId="2A714477" w:rsidR="00930E5E" w:rsidRPr="00A53AD7" w:rsidRDefault="00930E5E" w:rsidP="00CA1DDD">
      <w:pPr>
        <w:pStyle w:val="a8"/>
        <w:numPr>
          <w:ilvl w:val="0"/>
          <w:numId w:val="47"/>
        </w:numPr>
        <w:ind w:left="0" w:firstLine="851"/>
        <w:jc w:val="both"/>
        <w:rPr>
          <w:sz w:val="28"/>
          <w:szCs w:val="28"/>
        </w:rPr>
      </w:pPr>
      <w:r w:rsidRPr="00A53AD7">
        <w:rPr>
          <w:sz w:val="28"/>
          <w:szCs w:val="28"/>
        </w:rPr>
        <w:t>г. Архангельск (23 лесозавод, сев-зап. от ул. Емецкой), площадь: 3,7 га; координаты: 40.48621; 64.655133;</w:t>
      </w:r>
    </w:p>
    <w:p w14:paraId="4ECE83BB" w14:textId="2D328AAD" w:rsidR="00930E5E" w:rsidRPr="00A53AD7" w:rsidRDefault="00930E5E" w:rsidP="00CA1DDD">
      <w:pPr>
        <w:pStyle w:val="a8"/>
        <w:numPr>
          <w:ilvl w:val="0"/>
          <w:numId w:val="47"/>
        </w:numPr>
        <w:ind w:left="0" w:firstLine="851"/>
        <w:jc w:val="both"/>
        <w:rPr>
          <w:sz w:val="28"/>
          <w:szCs w:val="28"/>
        </w:rPr>
      </w:pPr>
      <w:r w:rsidRPr="00A53AD7">
        <w:rPr>
          <w:sz w:val="28"/>
          <w:szCs w:val="28"/>
        </w:rPr>
        <w:t>г. Архангельск (Маймаксанский порт, сев.-зап. от ул. Юнг ВМФ), площадь: 2,8 га, координаты: 40.46994; 64.632908.</w:t>
      </w:r>
    </w:p>
    <w:p w14:paraId="63A08E60" w14:textId="35AB16EF" w:rsidR="00930E5E" w:rsidRPr="00A53AD7" w:rsidRDefault="00930E5E" w:rsidP="00CA1DDD">
      <w:pPr>
        <w:pStyle w:val="a8"/>
        <w:numPr>
          <w:ilvl w:val="0"/>
          <w:numId w:val="47"/>
        </w:numPr>
        <w:ind w:left="0" w:firstLine="851"/>
        <w:jc w:val="both"/>
        <w:rPr>
          <w:sz w:val="28"/>
          <w:szCs w:val="28"/>
        </w:rPr>
      </w:pPr>
      <w:r w:rsidRPr="00A53AD7">
        <w:rPr>
          <w:sz w:val="28"/>
          <w:szCs w:val="28"/>
        </w:rPr>
        <w:t>г. Архангельск, площадь:</w:t>
      </w:r>
      <w:r w:rsidR="001E23FF" w:rsidRPr="00A53AD7">
        <w:rPr>
          <w:sz w:val="28"/>
          <w:szCs w:val="28"/>
        </w:rPr>
        <w:t xml:space="preserve"> </w:t>
      </w:r>
      <w:r w:rsidRPr="00A53AD7">
        <w:rPr>
          <w:sz w:val="28"/>
          <w:szCs w:val="28"/>
        </w:rPr>
        <w:t>8,7 га, координаты: 40.64452; 64.541749.</w:t>
      </w:r>
    </w:p>
    <w:p w14:paraId="2182D2DE"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дополнительном соглашении учтены предложения министерства природных ресурсов и лесопромышленного комплекса Архангельской области (далее – министерство). По состоянию на 30.12.2019 между Минприроды России и министерством в системе «Электронный бюджет» подписано дополнительное соглашение от 17.12.2019 № 051-2019-G10025-1/1.</w:t>
      </w:r>
    </w:p>
    <w:p w14:paraId="32E047E5"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формирования благоприятной окружающей среды и обеспечения экологической безопасности в Архангельской области предусматривается реализация ряда направлений региональной политики в области экологии через региональный проект «Чистая страна», который включает в себя четыре показателя:</w:t>
      </w:r>
    </w:p>
    <w:tbl>
      <w:tblPr>
        <w:tblW w:w="9200" w:type="dxa"/>
        <w:tblInd w:w="98" w:type="dxa"/>
        <w:tblLook w:val="04A0" w:firstRow="1" w:lastRow="0" w:firstColumn="1" w:lastColumn="0" w:noHBand="0" w:noVBand="1"/>
      </w:tblPr>
      <w:tblGrid>
        <w:gridCol w:w="5562"/>
        <w:gridCol w:w="1370"/>
        <w:gridCol w:w="1134"/>
        <w:gridCol w:w="1134"/>
      </w:tblGrid>
      <w:tr w:rsidR="00D470B6" w:rsidRPr="00A53AD7" w14:paraId="01C0CD51" w14:textId="77777777" w:rsidTr="009B4728">
        <w:trPr>
          <w:trHeight w:val="612"/>
          <w:tblHeader/>
        </w:trPr>
        <w:tc>
          <w:tcPr>
            <w:tcW w:w="5562" w:type="dxa"/>
            <w:vMerge w:val="restart"/>
            <w:tcBorders>
              <w:top w:val="double" w:sz="4" w:space="0" w:color="auto"/>
              <w:left w:val="double" w:sz="4" w:space="0" w:color="auto"/>
              <w:bottom w:val="single" w:sz="8" w:space="0" w:color="000000"/>
              <w:right w:val="single" w:sz="8" w:space="0" w:color="auto"/>
            </w:tcBorders>
            <w:shd w:val="clear" w:color="auto" w:fill="auto"/>
            <w:vAlign w:val="center"/>
            <w:hideMark/>
          </w:tcPr>
          <w:p w14:paraId="79C7F194"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Наименование показателя регионального проекта </w:t>
            </w:r>
          </w:p>
        </w:tc>
        <w:tc>
          <w:tcPr>
            <w:tcW w:w="1370"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068BA5D8"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Базовое значение</w:t>
            </w:r>
          </w:p>
        </w:tc>
        <w:tc>
          <w:tcPr>
            <w:tcW w:w="1134" w:type="dxa"/>
            <w:vMerge w:val="restart"/>
            <w:tcBorders>
              <w:top w:val="double" w:sz="4" w:space="0" w:color="auto"/>
              <w:left w:val="single" w:sz="8" w:space="0" w:color="auto"/>
              <w:bottom w:val="single" w:sz="8" w:space="0" w:color="000000"/>
              <w:right w:val="single" w:sz="8" w:space="0" w:color="auto"/>
            </w:tcBorders>
            <w:shd w:val="clear" w:color="auto" w:fill="auto"/>
            <w:vAlign w:val="center"/>
            <w:hideMark/>
          </w:tcPr>
          <w:p w14:paraId="3665F250"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2019</w:t>
            </w:r>
          </w:p>
        </w:tc>
        <w:tc>
          <w:tcPr>
            <w:tcW w:w="1134" w:type="dxa"/>
            <w:tcBorders>
              <w:top w:val="double" w:sz="4" w:space="0" w:color="auto"/>
              <w:left w:val="nil"/>
              <w:bottom w:val="nil"/>
              <w:right w:val="double" w:sz="4" w:space="0" w:color="auto"/>
            </w:tcBorders>
            <w:shd w:val="clear" w:color="auto" w:fill="auto"/>
            <w:vAlign w:val="center"/>
            <w:hideMark/>
          </w:tcPr>
          <w:p w14:paraId="000DAC4D" w14:textId="77777777" w:rsidR="009B4728" w:rsidRPr="00A53AD7" w:rsidRDefault="009B4728" w:rsidP="009B472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Прогнозное значение показателя</w:t>
            </w:r>
          </w:p>
        </w:tc>
      </w:tr>
      <w:tr w:rsidR="00D470B6" w:rsidRPr="00A53AD7" w14:paraId="3411E920" w14:textId="77777777" w:rsidTr="009B4728">
        <w:trPr>
          <w:trHeight w:val="258"/>
          <w:tblHeader/>
        </w:trPr>
        <w:tc>
          <w:tcPr>
            <w:tcW w:w="5562" w:type="dxa"/>
            <w:vMerge/>
            <w:tcBorders>
              <w:top w:val="single" w:sz="8" w:space="0" w:color="auto"/>
              <w:left w:val="double" w:sz="4" w:space="0" w:color="auto"/>
              <w:bottom w:val="single" w:sz="8" w:space="0" w:color="000000"/>
              <w:right w:val="single" w:sz="8" w:space="0" w:color="auto"/>
            </w:tcBorders>
            <w:vAlign w:val="center"/>
            <w:hideMark/>
          </w:tcPr>
          <w:p w14:paraId="4FCF8A47" w14:textId="77777777" w:rsidR="009B4728" w:rsidRPr="00A53AD7" w:rsidRDefault="009B4728" w:rsidP="009B4728">
            <w:pPr>
              <w:spacing w:after="0" w:line="240" w:lineRule="auto"/>
              <w:rPr>
                <w:rFonts w:ascii="Times New Roman" w:eastAsia="Times New Roman" w:hAnsi="Times New Roman"/>
                <w:sz w:val="20"/>
                <w:szCs w:val="20"/>
                <w:lang w:eastAsia="ru-RU"/>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67F8AEB1" w14:textId="77777777" w:rsidR="009B4728" w:rsidRPr="00A53AD7" w:rsidRDefault="009B4728" w:rsidP="009B4728">
            <w:pPr>
              <w:spacing w:after="0" w:line="240" w:lineRule="auto"/>
              <w:rPr>
                <w:rFonts w:ascii="Times New Roman" w:eastAsia="Times New Roman" w:hAnsi="Times New Roman"/>
                <w:sz w:val="20"/>
                <w:szCs w:val="20"/>
                <w:lang w:eastAsia="ru-RU"/>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4A52A187" w14:textId="77777777" w:rsidR="009B4728" w:rsidRPr="00A53AD7" w:rsidRDefault="009B4728" w:rsidP="009B4728">
            <w:pPr>
              <w:spacing w:after="0" w:line="240" w:lineRule="auto"/>
              <w:rPr>
                <w:rFonts w:ascii="Times New Roman" w:eastAsia="Times New Roman" w:hAnsi="Times New Roman"/>
                <w:sz w:val="20"/>
                <w:szCs w:val="20"/>
                <w:lang w:eastAsia="ru-RU"/>
              </w:rPr>
            </w:pPr>
          </w:p>
        </w:tc>
        <w:tc>
          <w:tcPr>
            <w:tcW w:w="1134" w:type="dxa"/>
            <w:tcBorders>
              <w:top w:val="nil"/>
              <w:left w:val="nil"/>
              <w:bottom w:val="single" w:sz="8" w:space="0" w:color="auto"/>
              <w:right w:val="double" w:sz="4" w:space="0" w:color="auto"/>
            </w:tcBorders>
            <w:shd w:val="clear" w:color="auto" w:fill="auto"/>
            <w:vAlign w:val="center"/>
            <w:hideMark/>
          </w:tcPr>
          <w:p w14:paraId="5F0BA117" w14:textId="77777777" w:rsidR="009B4728" w:rsidRPr="00A53AD7" w:rsidRDefault="009B4728" w:rsidP="009B472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на 2019 год</w:t>
            </w:r>
          </w:p>
        </w:tc>
      </w:tr>
      <w:tr w:rsidR="00D470B6" w:rsidRPr="00A53AD7" w14:paraId="683034BD" w14:textId="77777777" w:rsidTr="009B4728">
        <w:trPr>
          <w:trHeight w:val="403"/>
        </w:trPr>
        <w:tc>
          <w:tcPr>
            <w:tcW w:w="5562" w:type="dxa"/>
            <w:tcBorders>
              <w:top w:val="nil"/>
              <w:left w:val="double" w:sz="4" w:space="0" w:color="auto"/>
              <w:bottom w:val="single" w:sz="4" w:space="0" w:color="auto"/>
              <w:right w:val="single" w:sz="4" w:space="0" w:color="auto"/>
            </w:tcBorders>
            <w:shd w:val="clear" w:color="auto" w:fill="auto"/>
            <w:vAlign w:val="center"/>
            <w:hideMark/>
          </w:tcPr>
          <w:p w14:paraId="7F431E1C" w14:textId="77777777" w:rsidR="009B4728" w:rsidRPr="00A53AD7" w:rsidRDefault="009B4728" w:rsidP="009B472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Ликвидированы все выявленные на 1 января 2018 г. несанкционированные свалки в границах городов, штука</w:t>
            </w:r>
          </w:p>
        </w:tc>
        <w:tc>
          <w:tcPr>
            <w:tcW w:w="1370" w:type="dxa"/>
            <w:tcBorders>
              <w:top w:val="nil"/>
              <w:left w:val="nil"/>
              <w:bottom w:val="single" w:sz="4" w:space="0" w:color="auto"/>
              <w:right w:val="single" w:sz="4" w:space="0" w:color="auto"/>
            </w:tcBorders>
            <w:shd w:val="clear" w:color="auto" w:fill="auto"/>
            <w:vAlign w:val="center"/>
            <w:hideMark/>
          </w:tcPr>
          <w:p w14:paraId="4CE7093D"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565A46BF"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34" w:type="dxa"/>
            <w:tcBorders>
              <w:top w:val="nil"/>
              <w:left w:val="nil"/>
              <w:bottom w:val="single" w:sz="4" w:space="0" w:color="auto"/>
              <w:right w:val="double" w:sz="4" w:space="0" w:color="auto"/>
            </w:tcBorders>
            <w:shd w:val="clear" w:color="auto" w:fill="auto"/>
            <w:vAlign w:val="center"/>
            <w:hideMark/>
          </w:tcPr>
          <w:p w14:paraId="6058E234"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r>
      <w:tr w:rsidR="00D470B6" w:rsidRPr="00A53AD7" w14:paraId="654C0816" w14:textId="77777777" w:rsidTr="009B4728">
        <w:trPr>
          <w:trHeight w:val="414"/>
        </w:trPr>
        <w:tc>
          <w:tcPr>
            <w:tcW w:w="5562"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46190D54" w14:textId="77777777" w:rsidR="009B4728" w:rsidRPr="00A53AD7" w:rsidRDefault="009B4728" w:rsidP="009B472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Ликвидированы наиболее опасные объекты накопленного экологического вреда, штука</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14:paraId="4A211AF8"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14728F"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134" w:type="dxa"/>
            <w:tcBorders>
              <w:top w:val="single" w:sz="4" w:space="0" w:color="auto"/>
              <w:left w:val="nil"/>
              <w:bottom w:val="single" w:sz="4" w:space="0" w:color="auto"/>
              <w:right w:val="double" w:sz="4" w:space="0" w:color="auto"/>
            </w:tcBorders>
            <w:shd w:val="clear" w:color="auto" w:fill="auto"/>
            <w:vAlign w:val="center"/>
            <w:hideMark/>
          </w:tcPr>
          <w:p w14:paraId="727BC950"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r>
      <w:tr w:rsidR="00D470B6" w:rsidRPr="00A53AD7" w14:paraId="60E5D487" w14:textId="77777777" w:rsidTr="009B4728">
        <w:trPr>
          <w:trHeight w:val="562"/>
        </w:trPr>
        <w:tc>
          <w:tcPr>
            <w:tcW w:w="5562"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7CF39E91" w14:textId="77777777" w:rsidR="009B4728" w:rsidRPr="00A53AD7" w:rsidRDefault="009B4728" w:rsidP="009B472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Общая площадь восстановленных, в том числе рекультивированных земель подверженных негативному воздействию накопленного вреда окружающей среде, гектар</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14:paraId="29171D35"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84FE5"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0,4</w:t>
            </w:r>
          </w:p>
        </w:tc>
        <w:tc>
          <w:tcPr>
            <w:tcW w:w="1134" w:type="dxa"/>
            <w:tcBorders>
              <w:top w:val="single" w:sz="4" w:space="0" w:color="auto"/>
              <w:left w:val="nil"/>
              <w:bottom w:val="single" w:sz="4" w:space="0" w:color="auto"/>
              <w:right w:val="double" w:sz="4" w:space="0" w:color="auto"/>
            </w:tcBorders>
            <w:shd w:val="clear" w:color="auto" w:fill="auto"/>
            <w:vAlign w:val="center"/>
            <w:hideMark/>
          </w:tcPr>
          <w:p w14:paraId="7DADF5A1"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0,4</w:t>
            </w:r>
          </w:p>
        </w:tc>
      </w:tr>
      <w:tr w:rsidR="009B4728" w:rsidRPr="00A53AD7" w14:paraId="42124818" w14:textId="77777777" w:rsidTr="009B4728">
        <w:trPr>
          <w:trHeight w:val="698"/>
        </w:trPr>
        <w:tc>
          <w:tcPr>
            <w:tcW w:w="5562" w:type="dxa"/>
            <w:tcBorders>
              <w:top w:val="nil"/>
              <w:left w:val="double" w:sz="4" w:space="0" w:color="auto"/>
              <w:bottom w:val="double" w:sz="4" w:space="0" w:color="auto"/>
              <w:right w:val="single" w:sz="4" w:space="0" w:color="auto"/>
            </w:tcBorders>
            <w:shd w:val="clear" w:color="auto" w:fill="auto"/>
            <w:vAlign w:val="center"/>
            <w:hideMark/>
          </w:tcPr>
          <w:p w14:paraId="5163D6C2" w14:textId="77777777" w:rsidR="009B4728" w:rsidRPr="00A53AD7" w:rsidRDefault="009B4728" w:rsidP="009B472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Численность населения, качество жизни которого улучшится в связи с ликвидацией выявленных на 1 января 2018 г. несанкционированных свалок в границах городов и наиболее опасных объектов накопленного экологического ущерба, тысяча человек</w:t>
            </w:r>
          </w:p>
        </w:tc>
        <w:tc>
          <w:tcPr>
            <w:tcW w:w="1370" w:type="dxa"/>
            <w:tcBorders>
              <w:top w:val="nil"/>
              <w:left w:val="nil"/>
              <w:bottom w:val="double" w:sz="4" w:space="0" w:color="auto"/>
              <w:right w:val="single" w:sz="4" w:space="0" w:color="auto"/>
            </w:tcBorders>
            <w:shd w:val="clear" w:color="auto" w:fill="auto"/>
            <w:vAlign w:val="center"/>
            <w:hideMark/>
          </w:tcPr>
          <w:p w14:paraId="7E32B4F4"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w:t>
            </w:r>
          </w:p>
        </w:tc>
        <w:tc>
          <w:tcPr>
            <w:tcW w:w="1134" w:type="dxa"/>
            <w:tcBorders>
              <w:top w:val="nil"/>
              <w:left w:val="nil"/>
              <w:bottom w:val="double" w:sz="4" w:space="0" w:color="auto"/>
              <w:right w:val="single" w:sz="4" w:space="0" w:color="auto"/>
            </w:tcBorders>
            <w:shd w:val="clear" w:color="auto" w:fill="auto"/>
            <w:vAlign w:val="center"/>
            <w:hideMark/>
          </w:tcPr>
          <w:p w14:paraId="7A54E4BB"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w:t>
            </w:r>
          </w:p>
        </w:tc>
        <w:tc>
          <w:tcPr>
            <w:tcW w:w="1134" w:type="dxa"/>
            <w:tcBorders>
              <w:top w:val="nil"/>
              <w:left w:val="nil"/>
              <w:bottom w:val="double" w:sz="4" w:space="0" w:color="auto"/>
              <w:right w:val="double" w:sz="4" w:space="0" w:color="auto"/>
            </w:tcBorders>
            <w:shd w:val="clear" w:color="auto" w:fill="auto"/>
            <w:vAlign w:val="center"/>
            <w:hideMark/>
          </w:tcPr>
          <w:p w14:paraId="25D7CFF3" w14:textId="77777777" w:rsidR="009B4728" w:rsidRPr="00A53AD7" w:rsidRDefault="009B4728" w:rsidP="009B472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w:t>
            </w:r>
          </w:p>
        </w:tc>
      </w:tr>
    </w:tbl>
    <w:p w14:paraId="5264A499" w14:textId="77777777" w:rsidR="00930E5E" w:rsidRPr="00A53AD7" w:rsidRDefault="00930E5E" w:rsidP="00930E5E">
      <w:pPr>
        <w:spacing w:after="0" w:line="240" w:lineRule="auto"/>
        <w:contextualSpacing/>
        <w:jc w:val="both"/>
        <w:rPr>
          <w:rFonts w:ascii="Times New Roman" w:eastAsia="Times New Roman" w:hAnsi="Times New Roman"/>
          <w:sz w:val="28"/>
          <w:szCs w:val="28"/>
          <w:highlight w:val="cyan"/>
          <w:lang w:eastAsia="ru-RU"/>
        </w:rPr>
      </w:pPr>
    </w:p>
    <w:p w14:paraId="7A0B604A" w14:textId="77777777" w:rsidR="00930E5E" w:rsidRPr="00A53AD7" w:rsidRDefault="00930E5E" w:rsidP="00930E5E">
      <w:pPr>
        <w:spacing w:after="0" w:line="240" w:lineRule="auto"/>
        <w:ind w:firstLine="851"/>
        <w:contextualSpacing/>
        <w:jc w:val="both"/>
        <w:rPr>
          <w:rFonts w:ascii="Times New Roman" w:eastAsia="Times New Roman" w:hAnsi="Times New Roman"/>
          <w:i/>
          <w:sz w:val="28"/>
          <w:szCs w:val="28"/>
          <w:lang w:eastAsia="ru-RU"/>
        </w:rPr>
      </w:pPr>
      <w:r w:rsidRPr="00A53AD7">
        <w:rPr>
          <w:rFonts w:ascii="Times New Roman" w:eastAsia="Times New Roman" w:hAnsi="Times New Roman"/>
          <w:b/>
          <w:sz w:val="28"/>
          <w:szCs w:val="28"/>
          <w:lang w:eastAsia="ru-RU"/>
        </w:rPr>
        <w:t xml:space="preserve">1) Ликвидированы все выявленные на 1 января 2018 года несанкционированные свалки в границах городов </w:t>
      </w:r>
      <w:r w:rsidRPr="00A53AD7">
        <w:rPr>
          <w:rFonts w:ascii="Times New Roman" w:eastAsia="Times New Roman" w:hAnsi="Times New Roman"/>
          <w:sz w:val="28"/>
          <w:szCs w:val="28"/>
          <w:lang w:eastAsia="ru-RU"/>
        </w:rPr>
        <w:t xml:space="preserve">- </w:t>
      </w:r>
      <w:r w:rsidRPr="00A53AD7">
        <w:rPr>
          <w:rFonts w:ascii="Times New Roman" w:eastAsia="Times New Roman" w:hAnsi="Times New Roman"/>
          <w:i/>
          <w:sz w:val="28"/>
          <w:szCs w:val="28"/>
          <w:lang w:eastAsia="ru-RU"/>
        </w:rPr>
        <w:t>проектом было предусмотрено 31.12.2024 - 6 штук, с учетом дополнительного соглашения</w:t>
      </w:r>
      <w:r w:rsidRPr="00A53AD7">
        <w:t xml:space="preserve"> </w:t>
      </w:r>
      <w:r w:rsidRPr="00A53AD7">
        <w:rPr>
          <w:rFonts w:ascii="Times New Roman" w:eastAsia="Times New Roman" w:hAnsi="Times New Roman"/>
          <w:i/>
          <w:sz w:val="28"/>
          <w:szCs w:val="28"/>
          <w:lang w:eastAsia="ru-RU"/>
        </w:rPr>
        <w:t>от 17.12.2019 № 051-2019-G10025-1/1 - 31.12.2024 – 7 штук.</w:t>
      </w:r>
    </w:p>
    <w:p w14:paraId="2179E781"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реализации мероприятия предполагается разработка проектно-сметной документации рекультивации свалок, в том числе инженерные изыскания, и непосредственно сама рекультивация свалок.</w:t>
      </w:r>
    </w:p>
    <w:p w14:paraId="5CB2F3A3"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31.12.2019 в федеральный проект включены к рекультивации в 2024 году 7 свалок в городах: Архангельск – 4 свалки, Мезень, Няндома, Шенкурск по 1 свалке.</w:t>
      </w:r>
    </w:p>
    <w:p w14:paraId="5839A1C2"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Для ликвидации 7 свалок необходимо разработать проектную документацию, в 2019 году государственные контракты на разработку ПСД министерством природных ресурсов и лесопромышленного комплекса Архангельской области (далее – министерство) не заключены.</w:t>
      </w:r>
    </w:p>
    <w:p w14:paraId="35FF7EBF" w14:textId="77777777" w:rsidR="00930E5E" w:rsidRPr="00A53AD7" w:rsidRDefault="00930E5E" w:rsidP="00930E5E">
      <w:pPr>
        <w:spacing w:after="0" w:line="240" w:lineRule="auto"/>
        <w:ind w:firstLine="851"/>
        <w:contextualSpacing/>
        <w:jc w:val="both"/>
        <w:rPr>
          <w:rFonts w:ascii="Times New Roman" w:eastAsia="Times New Roman" w:hAnsi="Times New Roman"/>
          <w:i/>
          <w:sz w:val="28"/>
          <w:szCs w:val="28"/>
          <w:lang w:eastAsia="ru-RU"/>
        </w:rPr>
      </w:pPr>
      <w:r w:rsidRPr="00A53AD7">
        <w:rPr>
          <w:rFonts w:ascii="Times New Roman" w:eastAsia="Times New Roman" w:hAnsi="Times New Roman"/>
          <w:b/>
          <w:sz w:val="28"/>
          <w:szCs w:val="28"/>
          <w:lang w:eastAsia="ru-RU"/>
        </w:rPr>
        <w:t>2)</w:t>
      </w:r>
      <w:r w:rsidRPr="00A53AD7">
        <w:rPr>
          <w:b/>
        </w:rPr>
        <w:t xml:space="preserve"> </w:t>
      </w:r>
      <w:r w:rsidRPr="00A53AD7">
        <w:rPr>
          <w:rFonts w:ascii="Times New Roman" w:eastAsia="Times New Roman" w:hAnsi="Times New Roman"/>
          <w:b/>
          <w:sz w:val="28"/>
          <w:szCs w:val="28"/>
          <w:lang w:eastAsia="ru-RU"/>
        </w:rPr>
        <w:t xml:space="preserve">Ликвидированы наиболее опасные объекты накопленного экологического вреда – </w:t>
      </w:r>
      <w:r w:rsidRPr="00A53AD7">
        <w:rPr>
          <w:rFonts w:ascii="Times New Roman" w:eastAsia="Times New Roman" w:hAnsi="Times New Roman"/>
          <w:i/>
          <w:sz w:val="28"/>
          <w:szCs w:val="28"/>
          <w:lang w:eastAsia="ru-RU"/>
        </w:rPr>
        <w:t>проектом предусмотрено с 2019 года по 2024 год ликвидировать один объект;</w:t>
      </w:r>
    </w:p>
    <w:p w14:paraId="25AE351D"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Ликвидация накопленного вреда окружающей среде осуществляется на объектах, включенных в государственный реестр объектов накопленного вреда окружающей среде (</w:t>
      </w:r>
      <w:hyperlink r:id="rId104" w:history="1">
        <w:r w:rsidRPr="00A53AD7">
          <w:rPr>
            <w:rFonts w:ascii="Times New Roman" w:hAnsi="Times New Roman"/>
            <w:sz w:val="28"/>
            <w:szCs w:val="28"/>
          </w:rPr>
          <w:t>ст. 80.2</w:t>
        </w:r>
      </w:hyperlink>
      <w:r w:rsidRPr="00A53AD7">
        <w:rPr>
          <w:rFonts w:ascii="Times New Roman" w:hAnsi="Times New Roman"/>
          <w:sz w:val="28"/>
          <w:szCs w:val="28"/>
        </w:rPr>
        <w:t xml:space="preserve"> Федерального закона от 10.01.2002 N 7-ФЗ «Об охране окружающей среды»).</w:t>
      </w:r>
    </w:p>
    <w:p w14:paraId="27385734"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Выявление объектов накопленного вреда окружающей среде осуществляется посредством инвентаризации и обследования территорий и акваторий, на которых в прошлом осуществлялась экономическая и иная деятельность и (или) на которых расположены бесхозяйные объекты капитального строительства и объекты размещения отходов.</w:t>
      </w:r>
    </w:p>
    <w:p w14:paraId="37762C2D"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Организацию работ по ликвидации накопленного вреда окружающей среде вправе осуществлять органы государственной власти субъектов РФ и органы местного самоуправления.</w:t>
      </w:r>
    </w:p>
    <w:p w14:paraId="4B897C5C"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Постановлением Правительства РФ от 04.05.2018 № 542 утверждены </w:t>
      </w:r>
      <w:hyperlink r:id="rId105" w:history="1">
        <w:r w:rsidRPr="00A53AD7">
          <w:rPr>
            <w:rFonts w:ascii="Times New Roman" w:hAnsi="Times New Roman"/>
            <w:sz w:val="28"/>
            <w:szCs w:val="28"/>
          </w:rPr>
          <w:t>Правила</w:t>
        </w:r>
      </w:hyperlink>
      <w:r w:rsidRPr="00A53AD7">
        <w:rPr>
          <w:rFonts w:ascii="Times New Roman" w:hAnsi="Times New Roman"/>
          <w:sz w:val="28"/>
          <w:szCs w:val="28"/>
        </w:rPr>
        <w:t xml:space="preserve"> организации работ по ликвидации накопленного вреда окружающей среде, которые включает в себя следующие работы:</w:t>
      </w:r>
    </w:p>
    <w:p w14:paraId="7474B03B" w14:textId="30F66599" w:rsidR="00930E5E" w:rsidRPr="00A53AD7" w:rsidRDefault="00930E5E" w:rsidP="00CA1DDD">
      <w:pPr>
        <w:pStyle w:val="a8"/>
        <w:numPr>
          <w:ilvl w:val="0"/>
          <w:numId w:val="47"/>
        </w:numPr>
        <w:ind w:left="0" w:firstLine="851"/>
        <w:jc w:val="both"/>
        <w:rPr>
          <w:sz w:val="28"/>
          <w:szCs w:val="28"/>
        </w:rPr>
      </w:pPr>
      <w:r w:rsidRPr="00A53AD7">
        <w:rPr>
          <w:sz w:val="28"/>
          <w:szCs w:val="28"/>
        </w:rPr>
        <w:t>проведение необходимых обследований объекта, в том числе инженерных изысканий;</w:t>
      </w:r>
    </w:p>
    <w:p w14:paraId="3B99CD55" w14:textId="77684A0C" w:rsidR="00930E5E" w:rsidRPr="00A53AD7" w:rsidRDefault="00930E5E" w:rsidP="00CA1DDD">
      <w:pPr>
        <w:pStyle w:val="a8"/>
        <w:numPr>
          <w:ilvl w:val="0"/>
          <w:numId w:val="47"/>
        </w:numPr>
        <w:ind w:left="0" w:firstLine="851"/>
        <w:jc w:val="both"/>
        <w:rPr>
          <w:sz w:val="28"/>
          <w:szCs w:val="28"/>
        </w:rPr>
      </w:pPr>
      <w:r w:rsidRPr="00A53AD7">
        <w:rPr>
          <w:sz w:val="28"/>
          <w:szCs w:val="28"/>
        </w:rPr>
        <w:t>разработку проекта работ по ликвидации накопленного вреда (далее - проект);</w:t>
      </w:r>
    </w:p>
    <w:p w14:paraId="16670023" w14:textId="163AA87A" w:rsidR="00930E5E" w:rsidRPr="00A53AD7" w:rsidRDefault="00930E5E" w:rsidP="00CA1DDD">
      <w:pPr>
        <w:pStyle w:val="a8"/>
        <w:numPr>
          <w:ilvl w:val="0"/>
          <w:numId w:val="47"/>
        </w:numPr>
        <w:ind w:left="0" w:firstLine="851"/>
        <w:jc w:val="both"/>
        <w:rPr>
          <w:sz w:val="28"/>
          <w:szCs w:val="28"/>
        </w:rPr>
      </w:pPr>
      <w:r w:rsidRPr="00A53AD7">
        <w:rPr>
          <w:sz w:val="28"/>
          <w:szCs w:val="28"/>
        </w:rPr>
        <w:t>согласование и утверждение проекта;</w:t>
      </w:r>
    </w:p>
    <w:p w14:paraId="087CF26B" w14:textId="2B8D5AB6" w:rsidR="00930E5E" w:rsidRPr="00A53AD7" w:rsidRDefault="00930E5E" w:rsidP="00CA1DDD">
      <w:pPr>
        <w:pStyle w:val="a8"/>
        <w:numPr>
          <w:ilvl w:val="0"/>
          <w:numId w:val="47"/>
        </w:numPr>
        <w:ind w:left="0" w:firstLine="851"/>
        <w:jc w:val="both"/>
        <w:rPr>
          <w:sz w:val="28"/>
          <w:szCs w:val="28"/>
        </w:rPr>
      </w:pPr>
      <w:r w:rsidRPr="00A53AD7">
        <w:rPr>
          <w:sz w:val="28"/>
          <w:szCs w:val="28"/>
        </w:rPr>
        <w:t>проведение работ по ликвидации накопленного вреда;</w:t>
      </w:r>
    </w:p>
    <w:p w14:paraId="3C6CB316" w14:textId="1D0C60DF" w:rsidR="00930E5E" w:rsidRPr="00A53AD7" w:rsidRDefault="00930E5E" w:rsidP="00CA1DDD">
      <w:pPr>
        <w:pStyle w:val="a8"/>
        <w:numPr>
          <w:ilvl w:val="0"/>
          <w:numId w:val="47"/>
        </w:numPr>
        <w:ind w:left="0" w:firstLine="851"/>
        <w:jc w:val="both"/>
        <w:rPr>
          <w:sz w:val="28"/>
          <w:szCs w:val="28"/>
        </w:rPr>
      </w:pPr>
      <w:r w:rsidRPr="00A53AD7">
        <w:rPr>
          <w:sz w:val="28"/>
          <w:szCs w:val="28"/>
        </w:rPr>
        <w:t>осуществление контроля и приемку проведенных работ по ликвидации накопленного вреда.</w:t>
      </w:r>
    </w:p>
    <w:p w14:paraId="311F2005"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Решением от 14 марта 2018 года по делу № 2а-786/2018 Ломоносовский районный суд г. Архангельска обязал министерство природных ресурсов АО в течение 6 месяцев со дня вступления решения в законную силу обеспечить разработку проекта рекультивации земельного участка.</w:t>
      </w:r>
    </w:p>
    <w:p w14:paraId="121C2F2B"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На 01.01.2020 года в государственный реестр объектов накопленного вреда окружающей среде объекты Архангельской области не включены.</w:t>
      </w:r>
    </w:p>
    <w:p w14:paraId="5E4A45CF"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Плановые назначения на 2019 год на мероприятие ГП АО «Охрана окружающей среды» 2.1. Ликвидация последствий загрязнения земель нефтепродуктами составляли 5,3 млн.руб., объемы финансирования не получены, так как государственный контракт от 08.05.2019 № 7 на «Выполнение работ по разработке проекта ликвидации загрязнения земель водоохранной зоны реки Северная Двина в районе населенного пункта Красное Приморского района Архангельской области» с ООО «Размах ГП» расторгнут в одностороннем порядке, в связи с невыполнением работ подрядчиком.</w:t>
      </w:r>
    </w:p>
    <w:p w14:paraId="6264F116" w14:textId="77777777" w:rsidR="00930E5E" w:rsidRPr="00A53AD7" w:rsidRDefault="00930E5E" w:rsidP="009B4728">
      <w:pPr>
        <w:autoSpaceDE w:val="0"/>
        <w:autoSpaceDN w:val="0"/>
        <w:adjustRightInd w:val="0"/>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 7.7. контракта размер штрафа установлен в виде фиксированной суммы в размере 0,1 млн.руб., что составляет всего 2 % цены контракта, мероприятие не выполнено.</w:t>
      </w:r>
    </w:p>
    <w:p w14:paraId="5581BF7E" w14:textId="4D07B5D0" w:rsidR="00930E5E" w:rsidRPr="00A53AD7" w:rsidRDefault="00930E5E" w:rsidP="00930E5E">
      <w:pPr>
        <w:tabs>
          <w:tab w:val="left" w:pos="1134"/>
        </w:tabs>
        <w:spacing w:after="0" w:line="240" w:lineRule="auto"/>
        <w:ind w:firstLine="851"/>
        <w:jc w:val="both"/>
        <w:rPr>
          <w:rFonts w:ascii="Times New Roman" w:eastAsia="Times New Roman" w:hAnsi="Times New Roman"/>
          <w:sz w:val="26"/>
          <w:szCs w:val="26"/>
          <w:lang w:eastAsia="ru-RU"/>
        </w:rPr>
      </w:pPr>
      <w:r w:rsidRPr="00A53AD7">
        <w:rPr>
          <w:rFonts w:ascii="Times New Roman" w:eastAsia="Times New Roman" w:hAnsi="Times New Roman"/>
          <w:b/>
          <w:sz w:val="28"/>
          <w:szCs w:val="28"/>
          <w:lang w:eastAsia="ru-RU"/>
        </w:rPr>
        <w:t>3) Общая площадь восстановленных, в том числе рекультивированных земель подверженных негативному воздействию накопленного вреда окружающей среде</w:t>
      </w:r>
      <w:r w:rsidRPr="00A53AD7">
        <w:rPr>
          <w:rFonts w:ascii="Times New Roman" w:eastAsia="Times New Roman" w:hAnsi="Times New Roman"/>
          <w:sz w:val="28"/>
          <w:szCs w:val="28"/>
          <w:lang w:eastAsia="ru-RU"/>
        </w:rPr>
        <w:t xml:space="preserve"> – </w:t>
      </w:r>
      <w:r w:rsidRPr="00A53AD7">
        <w:rPr>
          <w:rFonts w:ascii="Times New Roman" w:eastAsia="Times New Roman" w:hAnsi="Times New Roman"/>
          <w:i/>
          <w:sz w:val="28"/>
          <w:szCs w:val="28"/>
          <w:lang w:eastAsia="ru-RU"/>
        </w:rPr>
        <w:t xml:space="preserve">проектом предусмотрено с 2019 года по 2023 год - 0,4 га, на 2024 году было предусмотрено 64,1 га (площадь </w:t>
      </w:r>
      <w:r w:rsidRPr="00A53AD7">
        <w:rPr>
          <w:rFonts w:ascii="Times New Roman" w:eastAsia="Times New Roman" w:hAnsi="Times New Roman"/>
          <w:sz w:val="26"/>
          <w:szCs w:val="26"/>
          <w:lang w:eastAsia="ru-RU"/>
        </w:rPr>
        <w:t xml:space="preserve">6 </w:t>
      </w:r>
      <w:r w:rsidRPr="00A53AD7">
        <w:rPr>
          <w:rFonts w:ascii="Times New Roman" w:eastAsia="Times New Roman" w:hAnsi="Times New Roman"/>
          <w:i/>
          <w:sz w:val="28"/>
          <w:szCs w:val="28"/>
          <w:lang w:eastAsia="ru-RU"/>
        </w:rPr>
        <w:t>свалок в городах: Архангельск – 3 свалки, Мезень, Няндома, Шенкурск по 1 свалке) с учетом дополнительного соглашения от 17.12.2019 № 051-2019-G10025-1/1 на 31.12.2024 площадь увеличена до 70,4 гектар.</w:t>
      </w:r>
    </w:p>
    <w:p w14:paraId="6D9C3131" w14:textId="77777777" w:rsidR="00930E5E" w:rsidRPr="00A53AD7" w:rsidRDefault="00930E5E" w:rsidP="00930E5E">
      <w:pPr>
        <w:spacing w:after="0" w:line="240" w:lineRule="auto"/>
        <w:ind w:firstLine="851"/>
        <w:contextualSpacing/>
        <w:jc w:val="both"/>
        <w:rPr>
          <w:rFonts w:ascii="Times New Roman" w:eastAsia="Times New Roman" w:hAnsi="Times New Roman"/>
          <w:i/>
          <w:sz w:val="28"/>
          <w:szCs w:val="28"/>
          <w:lang w:eastAsia="ru-RU"/>
        </w:rPr>
      </w:pPr>
      <w:r w:rsidRPr="00A53AD7">
        <w:rPr>
          <w:rFonts w:ascii="Times New Roman" w:eastAsia="Times New Roman" w:hAnsi="Times New Roman"/>
          <w:b/>
          <w:sz w:val="28"/>
          <w:szCs w:val="28"/>
          <w:lang w:eastAsia="ru-RU"/>
        </w:rPr>
        <w:t xml:space="preserve">4) Численность населения, качество жизни которого улучшится в связи с ликвидацией выявленных на 1 января 2018 года несанкционированных свалок в границах городов и наиболее опасных объектов накопленного экологического ущерба </w:t>
      </w:r>
      <w:r w:rsidRPr="00A53AD7">
        <w:rPr>
          <w:rFonts w:ascii="Times New Roman" w:eastAsia="Times New Roman" w:hAnsi="Times New Roman"/>
          <w:sz w:val="28"/>
          <w:szCs w:val="28"/>
          <w:lang w:eastAsia="ru-RU"/>
        </w:rPr>
        <w:t xml:space="preserve">– </w:t>
      </w:r>
      <w:r w:rsidRPr="00A53AD7">
        <w:rPr>
          <w:rFonts w:ascii="Times New Roman" w:eastAsia="Times New Roman" w:hAnsi="Times New Roman"/>
          <w:i/>
          <w:sz w:val="28"/>
          <w:szCs w:val="28"/>
          <w:lang w:eastAsia="ru-RU"/>
        </w:rPr>
        <w:t>проектом предусмотрено с 2019 года по 2023 год улучшать качество жизни (в связи с ликвидацией несанкционированных свалок) у 3,5 тыс. человек и в 2024 году с учетом дополнительного соглашения от 17.12.2019 № 051-2019-G10025-1/1 с 336,5 тыс. человек (общая численность жителей г. Архангельск, Мезень, Няндома, Шенкурск) изменена на 332,5 тыс. человек.</w:t>
      </w:r>
    </w:p>
    <w:p w14:paraId="4AE7035C" w14:textId="5752CA43" w:rsidR="007C3F68" w:rsidRPr="00A53AD7" w:rsidRDefault="007C3F68" w:rsidP="007C3F68">
      <w:pPr>
        <w:keepNext/>
        <w:spacing w:before="240" w:after="60" w:line="240" w:lineRule="auto"/>
        <w:jc w:val="center"/>
        <w:outlineLvl w:val="2"/>
        <w:rPr>
          <w:rFonts w:ascii="Times New Roman" w:eastAsia="Times New Roman" w:hAnsi="Times New Roman"/>
          <w:bCs/>
          <w:sz w:val="28"/>
          <w:szCs w:val="28"/>
          <w:u w:val="single"/>
          <w:lang w:eastAsia="ru-RU"/>
        </w:rPr>
      </w:pPr>
      <w:bookmarkStart w:id="111" w:name="_Toc42006751"/>
      <w:r w:rsidRPr="00A53AD7">
        <w:rPr>
          <w:rFonts w:ascii="Times New Roman" w:eastAsia="Times New Roman" w:hAnsi="Times New Roman"/>
          <w:bCs/>
          <w:sz w:val="28"/>
          <w:szCs w:val="28"/>
          <w:u w:val="single"/>
          <w:lang w:eastAsia="ru-RU"/>
        </w:rPr>
        <w:t>4.6.6. Национальный проект «Культура»</w:t>
      </w:r>
      <w:bookmarkEnd w:id="111"/>
    </w:p>
    <w:p w14:paraId="32CD3DF3"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Реализацию трех региональных проектов в сфере культуры осуществляет министерство культуры Архангельской области: РП «Культурная среда», РП «Творческие люди», РП «Цифровая культура».</w:t>
      </w:r>
    </w:p>
    <w:p w14:paraId="06CE5585" w14:textId="77777777" w:rsidR="007C3F68" w:rsidRPr="00A53AD7" w:rsidRDefault="007C3F68" w:rsidP="007C3F68">
      <w:pPr>
        <w:spacing w:after="0" w:line="240" w:lineRule="auto"/>
        <w:ind w:firstLine="851"/>
        <w:jc w:val="both"/>
        <w:rPr>
          <w:rFonts w:ascii="Times New Roman" w:hAnsi="Times New Roman"/>
          <w:sz w:val="28"/>
          <w:szCs w:val="28"/>
        </w:rPr>
      </w:pPr>
    </w:p>
    <w:p w14:paraId="34B3724F"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Финансирование национального проекта «Культура» (млн.руб.)</w:t>
      </w:r>
    </w:p>
    <w:p w14:paraId="59753243" w14:textId="1F5F921E"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61E85431" wp14:editId="07D55D0E">
            <wp:extent cx="5029835" cy="164020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29835" cy="1640205"/>
                    </a:xfrm>
                    <a:prstGeom prst="rect">
                      <a:avLst/>
                    </a:prstGeom>
                    <a:noFill/>
                  </pic:spPr>
                </pic:pic>
              </a:graphicData>
            </a:graphic>
          </wp:inline>
        </w:drawing>
      </w:r>
    </w:p>
    <w:p w14:paraId="34B19F86" w14:textId="471DCFC1"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В 2019 году на реализацию национального проекта «Культура» направлено 94,3 млн.руб., или 100% от утвержденных назначений (за счет федерального бюджета – 63,0 млн.руб., областного бюджета – 31,3 млн.руб.). </w:t>
      </w:r>
    </w:p>
    <w:p w14:paraId="7913B1B7" w14:textId="3BC31C34" w:rsidR="007C3F68" w:rsidRPr="00A53AD7" w:rsidRDefault="007C3F68" w:rsidP="007C3F68">
      <w:pPr>
        <w:spacing w:after="0" w:line="240" w:lineRule="auto"/>
        <w:ind w:firstLine="851"/>
        <w:jc w:val="both"/>
        <w:rPr>
          <w:highlight w:val="cyan"/>
        </w:rPr>
      </w:pPr>
      <w:r w:rsidRPr="00A53AD7">
        <w:rPr>
          <w:rFonts w:ascii="Times New Roman" w:hAnsi="Times New Roman"/>
          <w:sz w:val="28"/>
          <w:szCs w:val="28"/>
        </w:rPr>
        <w:t>Информация о реализации региональных проектов национального проекта «Культура» в разрезе региональных проектов и государственных программ Архангельской области за 2019 представлена ниже.</w:t>
      </w:r>
    </w:p>
    <w:tbl>
      <w:tblPr>
        <w:tblW w:w="9285" w:type="dxa"/>
        <w:tblInd w:w="-23" w:type="dxa"/>
        <w:tblLook w:val="04A0" w:firstRow="1" w:lastRow="0" w:firstColumn="1" w:lastColumn="0" w:noHBand="0" w:noVBand="1"/>
      </w:tblPr>
      <w:tblGrid>
        <w:gridCol w:w="5529"/>
        <w:gridCol w:w="1321"/>
        <w:gridCol w:w="1159"/>
        <w:gridCol w:w="1276"/>
      </w:tblGrid>
      <w:tr w:rsidR="00D470B6" w:rsidRPr="00A53AD7" w14:paraId="15D99293" w14:textId="77777777" w:rsidTr="003E7D95">
        <w:trPr>
          <w:trHeight w:val="639"/>
          <w:tblHeader/>
        </w:trPr>
        <w:tc>
          <w:tcPr>
            <w:tcW w:w="552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0395A65B" w14:textId="77777777" w:rsidR="007C3F68" w:rsidRPr="00A53AD7" w:rsidRDefault="007C3F68" w:rsidP="007C3F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проект, государственная программа</w:t>
            </w:r>
          </w:p>
        </w:tc>
        <w:tc>
          <w:tcPr>
            <w:tcW w:w="1321"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1F1BA1B0" w14:textId="77777777" w:rsidR="007C3F68" w:rsidRPr="00A53AD7" w:rsidRDefault="007C3F68" w:rsidP="007C3F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Объем финансового обеспечения</w:t>
            </w:r>
          </w:p>
        </w:tc>
        <w:tc>
          <w:tcPr>
            <w:tcW w:w="1159" w:type="dxa"/>
            <w:tcBorders>
              <w:top w:val="double" w:sz="6" w:space="0" w:color="auto"/>
              <w:left w:val="single" w:sz="4" w:space="0" w:color="auto"/>
              <w:bottom w:val="single" w:sz="4" w:space="0" w:color="auto"/>
              <w:right w:val="single" w:sz="4" w:space="0" w:color="auto"/>
            </w:tcBorders>
            <w:shd w:val="clear" w:color="auto" w:fill="auto"/>
            <w:vAlign w:val="center"/>
            <w:hideMark/>
          </w:tcPr>
          <w:p w14:paraId="0216B25C" w14:textId="77777777" w:rsidR="007C3F68" w:rsidRPr="00A53AD7" w:rsidRDefault="007C3F68" w:rsidP="007C3F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Исполнено </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3BC52998" w14:textId="1C2A3640" w:rsidR="007C3F68" w:rsidRPr="00A53AD7" w:rsidRDefault="007C3F68" w:rsidP="007C3F68">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 исполнения</w:t>
            </w:r>
          </w:p>
        </w:tc>
      </w:tr>
      <w:tr w:rsidR="00D470B6" w:rsidRPr="00A53AD7" w14:paraId="70FA008C"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56D8E087" w14:textId="77777777" w:rsidR="007C3F68" w:rsidRPr="00A53AD7" w:rsidRDefault="007C3F68" w:rsidP="007C3F68">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 в том числе</w:t>
            </w:r>
          </w:p>
        </w:tc>
        <w:tc>
          <w:tcPr>
            <w:tcW w:w="1321" w:type="dxa"/>
            <w:tcBorders>
              <w:top w:val="nil"/>
              <w:left w:val="nil"/>
              <w:bottom w:val="single" w:sz="4" w:space="0" w:color="auto"/>
              <w:right w:val="single" w:sz="4" w:space="0" w:color="auto"/>
            </w:tcBorders>
            <w:shd w:val="clear" w:color="auto" w:fill="auto"/>
            <w:vAlign w:val="center"/>
            <w:hideMark/>
          </w:tcPr>
          <w:p w14:paraId="592A6DB0"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94,3</w:t>
            </w:r>
          </w:p>
        </w:tc>
        <w:tc>
          <w:tcPr>
            <w:tcW w:w="1159" w:type="dxa"/>
            <w:tcBorders>
              <w:top w:val="nil"/>
              <w:left w:val="nil"/>
              <w:bottom w:val="single" w:sz="4" w:space="0" w:color="auto"/>
              <w:right w:val="single" w:sz="4" w:space="0" w:color="auto"/>
            </w:tcBorders>
            <w:shd w:val="clear" w:color="auto" w:fill="auto"/>
            <w:vAlign w:val="center"/>
            <w:hideMark/>
          </w:tcPr>
          <w:p w14:paraId="4BBEE030" w14:textId="3582AD3F" w:rsidR="007C3F68" w:rsidRPr="00A53AD7" w:rsidRDefault="009571CF"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94,3</w:t>
            </w:r>
          </w:p>
        </w:tc>
        <w:tc>
          <w:tcPr>
            <w:tcW w:w="1276" w:type="dxa"/>
            <w:tcBorders>
              <w:top w:val="nil"/>
              <w:left w:val="nil"/>
              <w:bottom w:val="single" w:sz="4" w:space="0" w:color="auto"/>
              <w:right w:val="double" w:sz="6" w:space="0" w:color="auto"/>
            </w:tcBorders>
            <w:shd w:val="clear" w:color="auto" w:fill="auto"/>
            <w:vAlign w:val="center"/>
            <w:hideMark/>
          </w:tcPr>
          <w:p w14:paraId="74AB76D0" w14:textId="6778EC1D" w:rsidR="007C3F68" w:rsidRPr="00A53AD7" w:rsidRDefault="009571CF"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r w:rsidR="007C3F68" w:rsidRPr="00A53AD7">
              <w:rPr>
                <w:rFonts w:ascii="Times New Roman" w:eastAsia="Times New Roman" w:hAnsi="Times New Roman"/>
                <w:sz w:val="20"/>
                <w:szCs w:val="20"/>
                <w:lang w:eastAsia="ru-RU"/>
              </w:rPr>
              <w:t> </w:t>
            </w:r>
          </w:p>
        </w:tc>
      </w:tr>
      <w:tr w:rsidR="00D470B6" w:rsidRPr="00A53AD7" w14:paraId="35651A2B"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41F3E5C8" w14:textId="77777777" w:rsidR="007C3F68" w:rsidRPr="00A53AD7" w:rsidRDefault="007C3F68" w:rsidP="007C3F68">
            <w:pPr>
              <w:spacing w:after="0" w:line="240" w:lineRule="auto"/>
              <w:jc w:val="both"/>
              <w:rPr>
                <w:rFonts w:ascii="Times New Roman" w:eastAsia="Times New Roman" w:hAnsi="Times New Roman"/>
                <w:b/>
                <w:i/>
                <w:sz w:val="20"/>
                <w:szCs w:val="20"/>
                <w:lang w:eastAsia="ru-RU"/>
              </w:rPr>
            </w:pPr>
            <w:r w:rsidRPr="00A53AD7">
              <w:rPr>
                <w:rFonts w:ascii="Times New Roman" w:eastAsia="Times New Roman" w:hAnsi="Times New Roman"/>
                <w:b/>
                <w:i/>
                <w:sz w:val="20"/>
                <w:szCs w:val="20"/>
                <w:lang w:eastAsia="ru-RU"/>
              </w:rPr>
              <w:t>«Культурная среда»:</w:t>
            </w:r>
          </w:p>
        </w:tc>
        <w:tc>
          <w:tcPr>
            <w:tcW w:w="1321" w:type="dxa"/>
            <w:tcBorders>
              <w:top w:val="nil"/>
              <w:left w:val="nil"/>
              <w:bottom w:val="single" w:sz="4" w:space="0" w:color="auto"/>
              <w:right w:val="single" w:sz="4" w:space="0" w:color="auto"/>
            </w:tcBorders>
            <w:shd w:val="clear" w:color="auto" w:fill="auto"/>
            <w:vAlign w:val="center"/>
            <w:hideMark/>
          </w:tcPr>
          <w:p w14:paraId="44C30B4A"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87,3</w:t>
            </w:r>
          </w:p>
        </w:tc>
        <w:tc>
          <w:tcPr>
            <w:tcW w:w="1159" w:type="dxa"/>
            <w:tcBorders>
              <w:top w:val="nil"/>
              <w:left w:val="nil"/>
              <w:bottom w:val="single" w:sz="4" w:space="0" w:color="auto"/>
              <w:right w:val="single" w:sz="4" w:space="0" w:color="auto"/>
            </w:tcBorders>
            <w:shd w:val="clear" w:color="auto" w:fill="auto"/>
            <w:vAlign w:val="center"/>
            <w:hideMark/>
          </w:tcPr>
          <w:p w14:paraId="0994E35D"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87,3</w:t>
            </w:r>
          </w:p>
        </w:tc>
        <w:tc>
          <w:tcPr>
            <w:tcW w:w="1276" w:type="dxa"/>
            <w:tcBorders>
              <w:top w:val="nil"/>
              <w:left w:val="nil"/>
              <w:bottom w:val="single" w:sz="4" w:space="0" w:color="auto"/>
              <w:right w:val="double" w:sz="6" w:space="0" w:color="auto"/>
            </w:tcBorders>
            <w:shd w:val="clear" w:color="auto" w:fill="auto"/>
            <w:vAlign w:val="center"/>
            <w:hideMark/>
          </w:tcPr>
          <w:p w14:paraId="2FE31338"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8F9F291"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02A9C0C3"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ГП АО «Культура Русского Севера»</w:t>
            </w:r>
          </w:p>
        </w:tc>
        <w:tc>
          <w:tcPr>
            <w:tcW w:w="1321" w:type="dxa"/>
            <w:tcBorders>
              <w:top w:val="nil"/>
              <w:left w:val="nil"/>
              <w:bottom w:val="single" w:sz="4" w:space="0" w:color="auto"/>
              <w:right w:val="single" w:sz="4" w:space="0" w:color="auto"/>
            </w:tcBorders>
            <w:shd w:val="clear" w:color="auto" w:fill="auto"/>
            <w:vAlign w:val="center"/>
            <w:hideMark/>
          </w:tcPr>
          <w:p w14:paraId="4554A3D9"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47,3</w:t>
            </w:r>
          </w:p>
        </w:tc>
        <w:tc>
          <w:tcPr>
            <w:tcW w:w="1159" w:type="dxa"/>
            <w:tcBorders>
              <w:top w:val="nil"/>
              <w:left w:val="nil"/>
              <w:bottom w:val="single" w:sz="4" w:space="0" w:color="auto"/>
              <w:right w:val="single" w:sz="4" w:space="0" w:color="auto"/>
            </w:tcBorders>
            <w:shd w:val="clear" w:color="auto" w:fill="auto"/>
            <w:vAlign w:val="center"/>
            <w:hideMark/>
          </w:tcPr>
          <w:p w14:paraId="5B1E9FB6"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47,3</w:t>
            </w:r>
          </w:p>
        </w:tc>
        <w:tc>
          <w:tcPr>
            <w:tcW w:w="1276" w:type="dxa"/>
            <w:tcBorders>
              <w:top w:val="nil"/>
              <w:left w:val="nil"/>
              <w:bottom w:val="single" w:sz="4" w:space="0" w:color="auto"/>
              <w:right w:val="double" w:sz="6" w:space="0" w:color="auto"/>
            </w:tcBorders>
            <w:shd w:val="clear" w:color="auto" w:fill="auto"/>
            <w:vAlign w:val="center"/>
            <w:hideMark/>
          </w:tcPr>
          <w:p w14:paraId="40E1FED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09B97BC8" w14:textId="77777777" w:rsidTr="007C3F68">
        <w:trPr>
          <w:trHeight w:val="427"/>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67DB7F90" w14:textId="77777777" w:rsidR="007C3F68" w:rsidRPr="00A53AD7" w:rsidRDefault="007C3F68" w:rsidP="007C3F68">
            <w:pPr>
              <w:spacing w:after="0" w:line="240" w:lineRule="auto"/>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ГП АО «Устойчивое развитие сельских территорий Архангельской области (2014-2021 годы)»</w:t>
            </w:r>
          </w:p>
        </w:tc>
        <w:tc>
          <w:tcPr>
            <w:tcW w:w="1321" w:type="dxa"/>
            <w:tcBorders>
              <w:top w:val="nil"/>
              <w:left w:val="nil"/>
              <w:bottom w:val="single" w:sz="4" w:space="0" w:color="auto"/>
              <w:right w:val="single" w:sz="4" w:space="0" w:color="auto"/>
            </w:tcBorders>
            <w:shd w:val="clear" w:color="auto" w:fill="auto"/>
            <w:vAlign w:val="center"/>
            <w:hideMark/>
          </w:tcPr>
          <w:p w14:paraId="6AB99DD0"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40,0</w:t>
            </w:r>
          </w:p>
        </w:tc>
        <w:tc>
          <w:tcPr>
            <w:tcW w:w="1159" w:type="dxa"/>
            <w:tcBorders>
              <w:top w:val="nil"/>
              <w:left w:val="nil"/>
              <w:bottom w:val="single" w:sz="4" w:space="0" w:color="auto"/>
              <w:right w:val="single" w:sz="4" w:space="0" w:color="auto"/>
            </w:tcBorders>
            <w:shd w:val="clear" w:color="auto" w:fill="auto"/>
            <w:vAlign w:val="center"/>
            <w:hideMark/>
          </w:tcPr>
          <w:p w14:paraId="6DE820FB"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40,0</w:t>
            </w:r>
          </w:p>
        </w:tc>
        <w:tc>
          <w:tcPr>
            <w:tcW w:w="1276" w:type="dxa"/>
            <w:tcBorders>
              <w:top w:val="nil"/>
              <w:left w:val="nil"/>
              <w:bottom w:val="single" w:sz="4" w:space="0" w:color="auto"/>
              <w:right w:val="double" w:sz="6" w:space="0" w:color="auto"/>
            </w:tcBorders>
            <w:shd w:val="clear" w:color="auto" w:fill="auto"/>
            <w:vAlign w:val="center"/>
            <w:hideMark/>
          </w:tcPr>
          <w:p w14:paraId="7D463703"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7B8806F7"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2BCE6DB7" w14:textId="77777777" w:rsidR="007C3F68" w:rsidRPr="00A53AD7" w:rsidRDefault="007C3F68" w:rsidP="007C3F68">
            <w:pPr>
              <w:spacing w:after="0" w:line="240" w:lineRule="auto"/>
              <w:jc w:val="both"/>
              <w:rPr>
                <w:rFonts w:ascii="Times New Roman" w:eastAsia="Times New Roman" w:hAnsi="Times New Roman"/>
                <w:b/>
                <w:i/>
                <w:sz w:val="20"/>
                <w:szCs w:val="20"/>
                <w:lang w:eastAsia="ru-RU"/>
              </w:rPr>
            </w:pPr>
            <w:r w:rsidRPr="00A53AD7">
              <w:rPr>
                <w:rFonts w:ascii="Times New Roman" w:eastAsia="Times New Roman" w:hAnsi="Times New Roman"/>
                <w:b/>
                <w:i/>
                <w:sz w:val="20"/>
                <w:szCs w:val="20"/>
                <w:lang w:eastAsia="ru-RU"/>
              </w:rPr>
              <w:t>«Творческие люди»:</w:t>
            </w:r>
          </w:p>
        </w:tc>
        <w:tc>
          <w:tcPr>
            <w:tcW w:w="1321" w:type="dxa"/>
            <w:tcBorders>
              <w:top w:val="nil"/>
              <w:left w:val="nil"/>
              <w:bottom w:val="single" w:sz="4" w:space="0" w:color="auto"/>
              <w:right w:val="single" w:sz="4" w:space="0" w:color="auto"/>
            </w:tcBorders>
            <w:shd w:val="clear" w:color="auto" w:fill="auto"/>
            <w:vAlign w:val="center"/>
            <w:hideMark/>
          </w:tcPr>
          <w:p w14:paraId="2953D8F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6,8</w:t>
            </w:r>
          </w:p>
        </w:tc>
        <w:tc>
          <w:tcPr>
            <w:tcW w:w="1159" w:type="dxa"/>
            <w:tcBorders>
              <w:top w:val="nil"/>
              <w:left w:val="nil"/>
              <w:bottom w:val="single" w:sz="4" w:space="0" w:color="auto"/>
              <w:right w:val="single" w:sz="4" w:space="0" w:color="auto"/>
            </w:tcBorders>
            <w:shd w:val="clear" w:color="auto" w:fill="auto"/>
            <w:vAlign w:val="center"/>
            <w:hideMark/>
          </w:tcPr>
          <w:p w14:paraId="10B6C975"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6,8</w:t>
            </w:r>
          </w:p>
        </w:tc>
        <w:tc>
          <w:tcPr>
            <w:tcW w:w="1276" w:type="dxa"/>
            <w:tcBorders>
              <w:top w:val="nil"/>
              <w:left w:val="nil"/>
              <w:bottom w:val="single" w:sz="4" w:space="0" w:color="auto"/>
              <w:right w:val="double" w:sz="6" w:space="0" w:color="auto"/>
            </w:tcBorders>
            <w:shd w:val="clear" w:color="auto" w:fill="auto"/>
            <w:vAlign w:val="center"/>
            <w:hideMark/>
          </w:tcPr>
          <w:p w14:paraId="4F5B458D"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179BA96"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2C801C48"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ГП АО «Культура Русского Севера»</w:t>
            </w:r>
          </w:p>
        </w:tc>
        <w:tc>
          <w:tcPr>
            <w:tcW w:w="1321" w:type="dxa"/>
            <w:tcBorders>
              <w:top w:val="nil"/>
              <w:left w:val="nil"/>
              <w:bottom w:val="single" w:sz="4" w:space="0" w:color="auto"/>
              <w:right w:val="single" w:sz="4" w:space="0" w:color="auto"/>
            </w:tcBorders>
            <w:shd w:val="clear" w:color="auto" w:fill="auto"/>
            <w:vAlign w:val="center"/>
            <w:hideMark/>
          </w:tcPr>
          <w:p w14:paraId="49C9B505"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59" w:type="dxa"/>
            <w:tcBorders>
              <w:top w:val="nil"/>
              <w:left w:val="nil"/>
              <w:bottom w:val="single" w:sz="4" w:space="0" w:color="auto"/>
              <w:right w:val="single" w:sz="4" w:space="0" w:color="auto"/>
            </w:tcBorders>
            <w:shd w:val="clear" w:color="auto" w:fill="auto"/>
            <w:vAlign w:val="center"/>
            <w:hideMark/>
          </w:tcPr>
          <w:p w14:paraId="5A3269DD"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276" w:type="dxa"/>
            <w:tcBorders>
              <w:top w:val="nil"/>
              <w:left w:val="nil"/>
              <w:bottom w:val="single" w:sz="4" w:space="0" w:color="auto"/>
              <w:right w:val="double" w:sz="6" w:space="0" w:color="auto"/>
            </w:tcBorders>
            <w:shd w:val="clear" w:color="auto" w:fill="auto"/>
            <w:vAlign w:val="center"/>
            <w:hideMark/>
          </w:tcPr>
          <w:p w14:paraId="5B143673"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0B799495"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25F7DA0B" w14:textId="77777777" w:rsidR="007C3F68" w:rsidRPr="00A53AD7" w:rsidRDefault="007C3F68" w:rsidP="007C3F68">
            <w:pPr>
              <w:spacing w:after="0" w:line="240" w:lineRule="auto"/>
              <w:jc w:val="both"/>
              <w:rPr>
                <w:rFonts w:ascii="Times New Roman" w:eastAsia="Times New Roman" w:hAnsi="Times New Roman"/>
                <w:b/>
                <w:i/>
                <w:sz w:val="20"/>
                <w:szCs w:val="20"/>
                <w:lang w:eastAsia="ru-RU"/>
              </w:rPr>
            </w:pPr>
            <w:r w:rsidRPr="00A53AD7">
              <w:rPr>
                <w:rFonts w:ascii="Times New Roman" w:eastAsia="Times New Roman" w:hAnsi="Times New Roman"/>
                <w:b/>
                <w:i/>
                <w:sz w:val="20"/>
                <w:szCs w:val="20"/>
                <w:lang w:eastAsia="ru-RU"/>
              </w:rPr>
              <w:t>«Цифровая культура»:</w:t>
            </w:r>
          </w:p>
        </w:tc>
        <w:tc>
          <w:tcPr>
            <w:tcW w:w="1321" w:type="dxa"/>
            <w:tcBorders>
              <w:top w:val="nil"/>
              <w:left w:val="nil"/>
              <w:bottom w:val="single" w:sz="4" w:space="0" w:color="auto"/>
              <w:right w:val="single" w:sz="4" w:space="0" w:color="auto"/>
            </w:tcBorders>
            <w:shd w:val="clear" w:color="auto" w:fill="auto"/>
            <w:vAlign w:val="center"/>
            <w:hideMark/>
          </w:tcPr>
          <w:p w14:paraId="3074B1C3"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1159" w:type="dxa"/>
            <w:tcBorders>
              <w:top w:val="nil"/>
              <w:left w:val="nil"/>
              <w:bottom w:val="single" w:sz="4" w:space="0" w:color="auto"/>
              <w:right w:val="single" w:sz="4" w:space="0" w:color="auto"/>
            </w:tcBorders>
            <w:shd w:val="clear" w:color="auto" w:fill="auto"/>
            <w:vAlign w:val="center"/>
            <w:hideMark/>
          </w:tcPr>
          <w:p w14:paraId="07D4508C"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1276" w:type="dxa"/>
            <w:tcBorders>
              <w:top w:val="nil"/>
              <w:left w:val="nil"/>
              <w:bottom w:val="single" w:sz="4" w:space="0" w:color="auto"/>
              <w:right w:val="double" w:sz="6" w:space="0" w:color="auto"/>
            </w:tcBorders>
            <w:shd w:val="clear" w:color="auto" w:fill="auto"/>
            <w:vAlign w:val="center"/>
            <w:hideMark/>
          </w:tcPr>
          <w:p w14:paraId="7722C201"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09251D96"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5245C11D"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ГП АО «Культура Русского Севера»</w:t>
            </w:r>
          </w:p>
        </w:tc>
        <w:tc>
          <w:tcPr>
            <w:tcW w:w="1321" w:type="dxa"/>
            <w:tcBorders>
              <w:top w:val="nil"/>
              <w:left w:val="nil"/>
              <w:bottom w:val="single" w:sz="4" w:space="0" w:color="auto"/>
              <w:right w:val="single" w:sz="4" w:space="0" w:color="auto"/>
            </w:tcBorders>
            <w:shd w:val="clear" w:color="auto" w:fill="auto"/>
            <w:vAlign w:val="center"/>
            <w:hideMark/>
          </w:tcPr>
          <w:p w14:paraId="590E5D16"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1159" w:type="dxa"/>
            <w:tcBorders>
              <w:top w:val="nil"/>
              <w:left w:val="nil"/>
              <w:bottom w:val="single" w:sz="4" w:space="0" w:color="auto"/>
              <w:right w:val="single" w:sz="4" w:space="0" w:color="auto"/>
            </w:tcBorders>
            <w:shd w:val="clear" w:color="auto" w:fill="auto"/>
            <w:vAlign w:val="center"/>
            <w:hideMark/>
          </w:tcPr>
          <w:p w14:paraId="1715EFE2"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1276" w:type="dxa"/>
            <w:tcBorders>
              <w:top w:val="nil"/>
              <w:left w:val="nil"/>
              <w:bottom w:val="single" w:sz="4" w:space="0" w:color="auto"/>
              <w:right w:val="double" w:sz="6" w:space="0" w:color="auto"/>
            </w:tcBorders>
            <w:shd w:val="clear" w:color="auto" w:fill="auto"/>
            <w:vAlign w:val="center"/>
            <w:hideMark/>
          </w:tcPr>
          <w:p w14:paraId="3FA0713E"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4125EB2"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6FECB099"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 xml:space="preserve">Из них </w:t>
            </w:r>
          </w:p>
        </w:tc>
        <w:tc>
          <w:tcPr>
            <w:tcW w:w="1321" w:type="dxa"/>
            <w:tcBorders>
              <w:top w:val="nil"/>
              <w:left w:val="nil"/>
              <w:bottom w:val="single" w:sz="4" w:space="0" w:color="auto"/>
              <w:right w:val="single" w:sz="4" w:space="0" w:color="auto"/>
            </w:tcBorders>
            <w:shd w:val="clear" w:color="auto" w:fill="auto"/>
            <w:vAlign w:val="center"/>
            <w:hideMark/>
          </w:tcPr>
          <w:p w14:paraId="663FC4C2"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159" w:type="dxa"/>
            <w:tcBorders>
              <w:top w:val="nil"/>
              <w:left w:val="nil"/>
              <w:bottom w:val="single" w:sz="4" w:space="0" w:color="auto"/>
              <w:right w:val="single" w:sz="4" w:space="0" w:color="auto"/>
            </w:tcBorders>
            <w:shd w:val="clear" w:color="auto" w:fill="auto"/>
            <w:vAlign w:val="center"/>
            <w:hideMark/>
          </w:tcPr>
          <w:p w14:paraId="376C24F6"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1276" w:type="dxa"/>
            <w:tcBorders>
              <w:top w:val="nil"/>
              <w:left w:val="nil"/>
              <w:bottom w:val="single" w:sz="4" w:space="0" w:color="auto"/>
              <w:right w:val="double" w:sz="6" w:space="0" w:color="auto"/>
            </w:tcBorders>
            <w:shd w:val="clear" w:color="auto" w:fill="auto"/>
            <w:vAlign w:val="center"/>
            <w:hideMark/>
          </w:tcPr>
          <w:p w14:paraId="4AD2CD1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r>
      <w:tr w:rsidR="00D470B6" w:rsidRPr="00A53AD7" w14:paraId="1313B449"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1FC791C2"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 xml:space="preserve">Субсидии на иные цели госучреждениям </w:t>
            </w:r>
          </w:p>
        </w:tc>
        <w:tc>
          <w:tcPr>
            <w:tcW w:w="1321" w:type="dxa"/>
            <w:tcBorders>
              <w:top w:val="nil"/>
              <w:left w:val="nil"/>
              <w:bottom w:val="single" w:sz="4" w:space="0" w:color="auto"/>
              <w:right w:val="single" w:sz="4" w:space="0" w:color="auto"/>
            </w:tcBorders>
            <w:shd w:val="clear" w:color="auto" w:fill="auto"/>
            <w:vAlign w:val="center"/>
            <w:hideMark/>
          </w:tcPr>
          <w:p w14:paraId="462F70B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12,9</w:t>
            </w:r>
          </w:p>
        </w:tc>
        <w:tc>
          <w:tcPr>
            <w:tcW w:w="1159" w:type="dxa"/>
            <w:tcBorders>
              <w:top w:val="nil"/>
              <w:left w:val="nil"/>
              <w:bottom w:val="single" w:sz="4" w:space="0" w:color="auto"/>
              <w:right w:val="single" w:sz="4" w:space="0" w:color="auto"/>
            </w:tcBorders>
            <w:shd w:val="clear" w:color="auto" w:fill="auto"/>
            <w:vAlign w:val="center"/>
            <w:hideMark/>
          </w:tcPr>
          <w:p w14:paraId="25039032"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12,9</w:t>
            </w:r>
          </w:p>
        </w:tc>
        <w:tc>
          <w:tcPr>
            <w:tcW w:w="1276" w:type="dxa"/>
            <w:tcBorders>
              <w:top w:val="nil"/>
              <w:left w:val="nil"/>
              <w:bottom w:val="single" w:sz="4" w:space="0" w:color="auto"/>
              <w:right w:val="double" w:sz="6" w:space="0" w:color="auto"/>
            </w:tcBorders>
            <w:shd w:val="clear" w:color="auto" w:fill="auto"/>
            <w:vAlign w:val="center"/>
            <w:hideMark/>
          </w:tcPr>
          <w:p w14:paraId="14BF89BC"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42D101F1"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75F816D4"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 xml:space="preserve">Субсидии на финансовое обеспечение госзадания </w:t>
            </w:r>
          </w:p>
        </w:tc>
        <w:tc>
          <w:tcPr>
            <w:tcW w:w="1321" w:type="dxa"/>
            <w:tcBorders>
              <w:top w:val="nil"/>
              <w:left w:val="nil"/>
              <w:bottom w:val="single" w:sz="4" w:space="0" w:color="auto"/>
              <w:right w:val="single" w:sz="4" w:space="0" w:color="auto"/>
            </w:tcBorders>
            <w:shd w:val="clear" w:color="auto" w:fill="auto"/>
            <w:vAlign w:val="center"/>
            <w:hideMark/>
          </w:tcPr>
          <w:p w14:paraId="4990B9B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c>
          <w:tcPr>
            <w:tcW w:w="1159" w:type="dxa"/>
            <w:tcBorders>
              <w:top w:val="nil"/>
              <w:left w:val="nil"/>
              <w:bottom w:val="single" w:sz="4" w:space="0" w:color="auto"/>
              <w:right w:val="single" w:sz="4" w:space="0" w:color="auto"/>
            </w:tcBorders>
            <w:shd w:val="clear" w:color="auto" w:fill="auto"/>
            <w:vAlign w:val="center"/>
            <w:hideMark/>
          </w:tcPr>
          <w:p w14:paraId="5030FD70"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c>
          <w:tcPr>
            <w:tcW w:w="1276" w:type="dxa"/>
            <w:tcBorders>
              <w:top w:val="nil"/>
              <w:left w:val="nil"/>
              <w:bottom w:val="single" w:sz="4" w:space="0" w:color="auto"/>
              <w:right w:val="double" w:sz="6" w:space="0" w:color="auto"/>
            </w:tcBorders>
            <w:shd w:val="clear" w:color="auto" w:fill="auto"/>
            <w:vAlign w:val="center"/>
            <w:hideMark/>
          </w:tcPr>
          <w:p w14:paraId="0277A3BC"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BB2F891" w14:textId="77777777" w:rsidTr="007C3F68">
        <w:trPr>
          <w:trHeight w:val="255"/>
        </w:trPr>
        <w:tc>
          <w:tcPr>
            <w:tcW w:w="5529" w:type="dxa"/>
            <w:tcBorders>
              <w:top w:val="nil"/>
              <w:left w:val="double" w:sz="6" w:space="0" w:color="auto"/>
              <w:bottom w:val="single" w:sz="4" w:space="0" w:color="auto"/>
              <w:right w:val="single" w:sz="4" w:space="0" w:color="auto"/>
            </w:tcBorders>
            <w:shd w:val="clear" w:color="auto" w:fill="auto"/>
            <w:vAlign w:val="center"/>
            <w:hideMark/>
          </w:tcPr>
          <w:p w14:paraId="67445F8E"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Гранты</w:t>
            </w:r>
          </w:p>
        </w:tc>
        <w:tc>
          <w:tcPr>
            <w:tcW w:w="1321" w:type="dxa"/>
            <w:tcBorders>
              <w:top w:val="nil"/>
              <w:left w:val="nil"/>
              <w:bottom w:val="single" w:sz="4" w:space="0" w:color="auto"/>
              <w:right w:val="single" w:sz="4" w:space="0" w:color="auto"/>
            </w:tcBorders>
            <w:shd w:val="clear" w:color="auto" w:fill="auto"/>
            <w:vAlign w:val="center"/>
            <w:hideMark/>
          </w:tcPr>
          <w:p w14:paraId="4512B5BC"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0,6</w:t>
            </w:r>
          </w:p>
        </w:tc>
        <w:tc>
          <w:tcPr>
            <w:tcW w:w="1159" w:type="dxa"/>
            <w:tcBorders>
              <w:top w:val="nil"/>
              <w:left w:val="nil"/>
              <w:bottom w:val="single" w:sz="4" w:space="0" w:color="auto"/>
              <w:right w:val="single" w:sz="4" w:space="0" w:color="auto"/>
            </w:tcBorders>
            <w:shd w:val="clear" w:color="auto" w:fill="auto"/>
            <w:vAlign w:val="center"/>
            <w:hideMark/>
          </w:tcPr>
          <w:p w14:paraId="79D2BD6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0,6</w:t>
            </w:r>
          </w:p>
        </w:tc>
        <w:tc>
          <w:tcPr>
            <w:tcW w:w="1276" w:type="dxa"/>
            <w:tcBorders>
              <w:top w:val="nil"/>
              <w:left w:val="nil"/>
              <w:bottom w:val="single" w:sz="4" w:space="0" w:color="auto"/>
              <w:right w:val="double" w:sz="6" w:space="0" w:color="auto"/>
            </w:tcBorders>
            <w:shd w:val="clear" w:color="auto" w:fill="auto"/>
            <w:vAlign w:val="center"/>
            <w:hideMark/>
          </w:tcPr>
          <w:p w14:paraId="24B8AC33"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7C3F68" w:rsidRPr="00A53AD7" w14:paraId="607EEA2A" w14:textId="77777777" w:rsidTr="007C3F68">
        <w:trPr>
          <w:trHeight w:val="255"/>
        </w:trPr>
        <w:tc>
          <w:tcPr>
            <w:tcW w:w="5529" w:type="dxa"/>
            <w:tcBorders>
              <w:top w:val="nil"/>
              <w:left w:val="double" w:sz="6" w:space="0" w:color="auto"/>
              <w:bottom w:val="double" w:sz="6" w:space="0" w:color="auto"/>
              <w:right w:val="single" w:sz="4" w:space="0" w:color="auto"/>
            </w:tcBorders>
            <w:shd w:val="clear" w:color="auto" w:fill="auto"/>
            <w:vAlign w:val="center"/>
            <w:hideMark/>
          </w:tcPr>
          <w:p w14:paraId="7BF6BCEC" w14:textId="77777777" w:rsidR="007C3F68" w:rsidRPr="00A53AD7" w:rsidRDefault="007C3F68" w:rsidP="007C3F68">
            <w:pPr>
              <w:spacing w:after="0" w:line="240" w:lineRule="auto"/>
              <w:jc w:val="both"/>
              <w:rPr>
                <w:rFonts w:ascii="Times New Roman" w:eastAsia="Times New Roman" w:hAnsi="Times New Roman"/>
                <w:iCs/>
                <w:sz w:val="20"/>
                <w:szCs w:val="20"/>
                <w:lang w:eastAsia="ru-RU"/>
              </w:rPr>
            </w:pPr>
            <w:r w:rsidRPr="00A53AD7">
              <w:rPr>
                <w:rFonts w:ascii="Times New Roman" w:eastAsia="Times New Roman" w:hAnsi="Times New Roman"/>
                <w:iCs/>
                <w:sz w:val="20"/>
                <w:szCs w:val="20"/>
                <w:lang w:eastAsia="ru-RU"/>
              </w:rPr>
              <w:t>Межбюджетные трансферты</w:t>
            </w:r>
          </w:p>
        </w:tc>
        <w:tc>
          <w:tcPr>
            <w:tcW w:w="1321" w:type="dxa"/>
            <w:tcBorders>
              <w:top w:val="nil"/>
              <w:left w:val="nil"/>
              <w:bottom w:val="double" w:sz="6" w:space="0" w:color="auto"/>
              <w:right w:val="single" w:sz="4" w:space="0" w:color="auto"/>
            </w:tcBorders>
            <w:shd w:val="clear" w:color="auto" w:fill="auto"/>
            <w:vAlign w:val="center"/>
            <w:hideMark/>
          </w:tcPr>
          <w:p w14:paraId="43BA994D"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74,6</w:t>
            </w:r>
          </w:p>
        </w:tc>
        <w:tc>
          <w:tcPr>
            <w:tcW w:w="1159" w:type="dxa"/>
            <w:tcBorders>
              <w:top w:val="nil"/>
              <w:left w:val="nil"/>
              <w:bottom w:val="double" w:sz="6" w:space="0" w:color="auto"/>
              <w:right w:val="single" w:sz="4" w:space="0" w:color="auto"/>
            </w:tcBorders>
            <w:shd w:val="clear" w:color="auto" w:fill="auto"/>
            <w:vAlign w:val="center"/>
            <w:hideMark/>
          </w:tcPr>
          <w:p w14:paraId="68980AA4"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74,6</w:t>
            </w:r>
          </w:p>
        </w:tc>
        <w:tc>
          <w:tcPr>
            <w:tcW w:w="1276" w:type="dxa"/>
            <w:tcBorders>
              <w:top w:val="nil"/>
              <w:left w:val="nil"/>
              <w:bottom w:val="double" w:sz="6" w:space="0" w:color="auto"/>
              <w:right w:val="double" w:sz="6" w:space="0" w:color="auto"/>
            </w:tcBorders>
            <w:shd w:val="clear" w:color="auto" w:fill="auto"/>
            <w:vAlign w:val="center"/>
            <w:hideMark/>
          </w:tcPr>
          <w:p w14:paraId="2BDD3675" w14:textId="77777777" w:rsidR="007C3F68" w:rsidRPr="00A53AD7" w:rsidRDefault="007C3F68" w:rsidP="009571CF">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7FEA27EB" w14:textId="77777777" w:rsidR="007C3F68" w:rsidRPr="00A53AD7" w:rsidRDefault="007C3F68" w:rsidP="007C3F68">
      <w:pPr>
        <w:spacing w:after="0" w:line="240" w:lineRule="auto"/>
        <w:ind w:firstLine="851"/>
        <w:jc w:val="both"/>
        <w:rPr>
          <w:rFonts w:ascii="Times New Roman" w:hAnsi="Times New Roman"/>
          <w:sz w:val="28"/>
          <w:szCs w:val="28"/>
        </w:rPr>
      </w:pPr>
    </w:p>
    <w:p w14:paraId="550A5A55"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Архангельской области в рамках нацпроекта «Культура» реализуется 3 региональных проекта в которых цели, показатели и задачи интегрированы в мероприятия государственных программ Архангельской области:</w:t>
      </w:r>
    </w:p>
    <w:p w14:paraId="09384161" w14:textId="530E2C5D" w:rsidR="007C3F68" w:rsidRPr="00A53AD7" w:rsidRDefault="007C3F68" w:rsidP="00CA1DDD">
      <w:pPr>
        <w:pStyle w:val="a8"/>
        <w:numPr>
          <w:ilvl w:val="0"/>
          <w:numId w:val="43"/>
        </w:numPr>
        <w:ind w:left="0" w:firstLine="839"/>
        <w:jc w:val="both"/>
        <w:rPr>
          <w:sz w:val="28"/>
          <w:szCs w:val="28"/>
        </w:rPr>
      </w:pPr>
      <w:r w:rsidRPr="00A53AD7">
        <w:rPr>
          <w:sz w:val="28"/>
          <w:szCs w:val="28"/>
        </w:rPr>
        <w:t>(А1-11) Обеспечение качественно нового уровня развития инфраструктуры культуры («Культурная среда»): ГП АО «Культура Русского Севера» – 47,3 млн.руб. (100% выполнение), ГП АО «Устойчивое развитие сельских территорий Архангельской области (2014 - 202</w:t>
      </w:r>
      <w:r w:rsidR="00717B1E" w:rsidRPr="00A53AD7">
        <w:rPr>
          <w:sz w:val="28"/>
          <w:szCs w:val="28"/>
        </w:rPr>
        <w:t>1 годы)» – 40,0 млн.руб. (100%);</w:t>
      </w:r>
    </w:p>
    <w:p w14:paraId="4E30D930" w14:textId="1B42BAD5" w:rsidR="007C3F68" w:rsidRPr="00A53AD7" w:rsidRDefault="007C3F68" w:rsidP="00CA1DDD">
      <w:pPr>
        <w:pStyle w:val="a8"/>
        <w:numPr>
          <w:ilvl w:val="0"/>
          <w:numId w:val="43"/>
        </w:numPr>
        <w:ind w:left="0" w:firstLine="839"/>
        <w:jc w:val="both"/>
        <w:rPr>
          <w:sz w:val="28"/>
          <w:szCs w:val="28"/>
        </w:rPr>
      </w:pPr>
      <w:r w:rsidRPr="00A53AD7">
        <w:rPr>
          <w:sz w:val="28"/>
          <w:szCs w:val="28"/>
        </w:rPr>
        <w:t>(А2-11) Создание условий для реализации творческого потенциала нации («Творческие люди»): ГП АО «Культура Русского Севера» – 6,8 млн.руб. (100%);</w:t>
      </w:r>
    </w:p>
    <w:p w14:paraId="4308F40F" w14:textId="6A062D7B" w:rsidR="007C3F68" w:rsidRPr="00A53AD7" w:rsidRDefault="007C3F68" w:rsidP="00CA1DDD">
      <w:pPr>
        <w:pStyle w:val="a8"/>
        <w:numPr>
          <w:ilvl w:val="0"/>
          <w:numId w:val="43"/>
        </w:numPr>
        <w:ind w:left="0" w:firstLine="839"/>
        <w:jc w:val="both"/>
        <w:rPr>
          <w:sz w:val="28"/>
          <w:szCs w:val="28"/>
        </w:rPr>
      </w:pPr>
      <w:r w:rsidRPr="00A53AD7">
        <w:rPr>
          <w:sz w:val="28"/>
          <w:szCs w:val="28"/>
        </w:rPr>
        <w:t>(А3-11) Цифровизация услуг и формирование информационного пространства в сфере культуры («Цифровая культура»): ГП АО «Культура Русского Севера» – 0,2 млн.руб. (100%).</w:t>
      </w:r>
    </w:p>
    <w:p w14:paraId="54AC10C8" w14:textId="21DB74C2" w:rsidR="007C3F68" w:rsidRPr="00A53AD7" w:rsidRDefault="007C3F68" w:rsidP="00A23C9F">
      <w:pPr>
        <w:jc w:val="center"/>
        <w:rPr>
          <w:sz w:val="28"/>
          <w:szCs w:val="28"/>
        </w:rPr>
      </w:pPr>
      <w:r w:rsidRPr="00A53AD7">
        <w:rPr>
          <w:noProof/>
          <w:sz w:val="28"/>
          <w:szCs w:val="28"/>
          <w:lang w:eastAsia="ru-RU"/>
        </w:rPr>
        <w:drawing>
          <wp:inline distT="0" distB="0" distL="0" distR="0" wp14:anchorId="1D0071C4" wp14:editId="6BF41197">
            <wp:extent cx="5040805" cy="2523157"/>
            <wp:effectExtent l="0" t="0" r="762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063221" cy="2534377"/>
                    </a:xfrm>
                    <a:prstGeom prst="rect">
                      <a:avLst/>
                    </a:prstGeom>
                    <a:noFill/>
                  </pic:spPr>
                </pic:pic>
              </a:graphicData>
            </a:graphic>
          </wp:inline>
        </w:drawing>
      </w:r>
    </w:p>
    <w:p w14:paraId="175595A7" w14:textId="3EB55ECF" w:rsidR="007C3F68" w:rsidRPr="00A53AD7" w:rsidRDefault="007C3F68" w:rsidP="007C3F6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55</w:t>
      </w:r>
      <w:r w:rsidRPr="00A53AD7">
        <w:rPr>
          <w:rFonts w:ascii="Times New Roman" w:hAnsi="Times New Roman"/>
          <w:b w:val="0"/>
          <w:sz w:val="24"/>
          <w:szCs w:val="24"/>
        </w:rPr>
        <w:fldChar w:fldCharType="end"/>
      </w:r>
      <w:r w:rsidRPr="00A53AD7">
        <w:rPr>
          <w:rFonts w:ascii="Times New Roman" w:hAnsi="Times New Roman"/>
          <w:b w:val="0"/>
          <w:sz w:val="24"/>
          <w:szCs w:val="24"/>
        </w:rPr>
        <w:t>. Структура расходов средств федерального и областного бюджета по нацпроекту «Культура», млн.руб.</w:t>
      </w:r>
    </w:p>
    <w:p w14:paraId="170E1315" w14:textId="77777777" w:rsidR="007C3F68" w:rsidRPr="00A53AD7" w:rsidRDefault="007C3F68" w:rsidP="007C3F68">
      <w:pPr>
        <w:pStyle w:val="ConsPlusNormal"/>
        <w:ind w:firstLine="540"/>
        <w:jc w:val="both"/>
        <w:rPr>
          <w:rFonts w:ascii="Times New Roman" w:hAnsi="Times New Roman" w:cs="Times New Roman"/>
          <w:sz w:val="28"/>
          <w:szCs w:val="28"/>
          <w:highlight w:val="cyan"/>
        </w:rPr>
      </w:pPr>
    </w:p>
    <w:p w14:paraId="11FEBA0A" w14:textId="61C8DC2D"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Анализ использования средств показал, что наибольший объем средств направлен муниципальным образованиям на создание (реконструкцию) и капитальный ремонт учреждений культурно-досугового типа в сельской местности и на обеспечение их инструментами, оборудованием 74,6 млн.руб. (79,1% от общего объема средств). На реализацию нацпроекта «Культура» государственным учреждениям, подведомственных министерству культуры, направлено 19,1 млн.руб. (20,0%)</w:t>
      </w:r>
      <w:r w:rsidR="00717B1E" w:rsidRPr="00A53AD7">
        <w:rPr>
          <w:rFonts w:ascii="Times New Roman" w:hAnsi="Times New Roman"/>
          <w:sz w:val="28"/>
          <w:szCs w:val="28"/>
        </w:rPr>
        <w:t>.</w:t>
      </w:r>
    </w:p>
    <w:p w14:paraId="7433C7F4" w14:textId="77777777" w:rsidR="007C3F68" w:rsidRPr="00A53AD7" w:rsidRDefault="007C3F68" w:rsidP="007C3F68">
      <w:pPr>
        <w:spacing w:after="0" w:line="240" w:lineRule="auto"/>
        <w:ind w:firstLine="851"/>
        <w:jc w:val="both"/>
        <w:rPr>
          <w:rFonts w:ascii="Times New Roman" w:hAnsi="Times New Roman"/>
          <w:sz w:val="28"/>
          <w:szCs w:val="28"/>
        </w:rPr>
      </w:pPr>
    </w:p>
    <w:p w14:paraId="018ACFEF"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показателей регионального проекта «Культура» реализуемых в 2019 году представлено в ниже:</w:t>
      </w:r>
    </w:p>
    <w:tbl>
      <w:tblPr>
        <w:tblW w:w="9252" w:type="dxa"/>
        <w:tblInd w:w="-23" w:type="dxa"/>
        <w:tblLayout w:type="fixed"/>
        <w:tblLook w:val="04A0" w:firstRow="1" w:lastRow="0" w:firstColumn="1" w:lastColumn="0" w:noHBand="0" w:noVBand="1"/>
      </w:tblPr>
      <w:tblGrid>
        <w:gridCol w:w="6096"/>
        <w:gridCol w:w="709"/>
        <w:gridCol w:w="709"/>
        <w:gridCol w:w="604"/>
        <w:gridCol w:w="1134"/>
      </w:tblGrid>
      <w:tr w:rsidR="00D470B6" w:rsidRPr="00A53AD7" w14:paraId="79BDD71E" w14:textId="77777777" w:rsidTr="007C3F68">
        <w:trPr>
          <w:trHeight w:val="445"/>
          <w:tblHeader/>
        </w:trPr>
        <w:tc>
          <w:tcPr>
            <w:tcW w:w="609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557B3B4"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Показатель результативности</w:t>
            </w:r>
          </w:p>
        </w:tc>
        <w:tc>
          <w:tcPr>
            <w:tcW w:w="1418" w:type="dxa"/>
            <w:gridSpan w:val="2"/>
            <w:tcBorders>
              <w:top w:val="double" w:sz="6" w:space="0" w:color="auto"/>
              <w:left w:val="nil"/>
              <w:bottom w:val="single" w:sz="4" w:space="0" w:color="auto"/>
              <w:right w:val="single" w:sz="4" w:space="0" w:color="auto"/>
            </w:tcBorders>
            <w:shd w:val="clear" w:color="auto" w:fill="auto"/>
            <w:vAlign w:val="center"/>
            <w:hideMark/>
          </w:tcPr>
          <w:p w14:paraId="5095DCDA"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Значения показателя</w:t>
            </w:r>
          </w:p>
        </w:tc>
        <w:tc>
          <w:tcPr>
            <w:tcW w:w="60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046820C"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1134" w:type="dxa"/>
            <w:vMerge w:val="restart"/>
            <w:tcBorders>
              <w:top w:val="double" w:sz="6" w:space="0" w:color="auto"/>
              <w:left w:val="single" w:sz="4" w:space="0" w:color="auto"/>
              <w:bottom w:val="single" w:sz="4" w:space="0" w:color="auto"/>
              <w:right w:val="double" w:sz="6" w:space="0" w:color="auto"/>
            </w:tcBorders>
            <w:shd w:val="clear" w:color="auto" w:fill="auto"/>
            <w:vAlign w:val="center"/>
            <w:hideMark/>
          </w:tcPr>
          <w:p w14:paraId="4BF7BA96" w14:textId="77777777" w:rsidR="007C3F68" w:rsidRPr="00A53AD7" w:rsidRDefault="007C3F68" w:rsidP="007C3F68">
            <w:pPr>
              <w:spacing w:after="0" w:line="240" w:lineRule="auto"/>
              <w:ind w:left="-34" w:firstLine="34"/>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Данные ГП «Культура Русского Севера»</w:t>
            </w:r>
          </w:p>
        </w:tc>
      </w:tr>
      <w:tr w:rsidR="00D470B6" w:rsidRPr="00A53AD7" w14:paraId="6C4A0AFE" w14:textId="77777777" w:rsidTr="007C3F68">
        <w:trPr>
          <w:trHeight w:val="300"/>
          <w:tblHeader/>
        </w:trPr>
        <w:tc>
          <w:tcPr>
            <w:tcW w:w="6096" w:type="dxa"/>
            <w:vMerge/>
            <w:tcBorders>
              <w:top w:val="double" w:sz="6" w:space="0" w:color="auto"/>
              <w:left w:val="double" w:sz="6" w:space="0" w:color="auto"/>
              <w:bottom w:val="single" w:sz="4" w:space="0" w:color="auto"/>
              <w:right w:val="single" w:sz="4" w:space="0" w:color="auto"/>
            </w:tcBorders>
            <w:vAlign w:val="center"/>
            <w:hideMark/>
          </w:tcPr>
          <w:p w14:paraId="02F296CF" w14:textId="77777777" w:rsidR="007C3F68" w:rsidRPr="00A53AD7" w:rsidRDefault="007C3F68" w:rsidP="007C3F68">
            <w:pPr>
              <w:spacing w:after="0" w:line="240" w:lineRule="auto"/>
              <w:rPr>
                <w:rFonts w:ascii="Times New Roman" w:eastAsia="Times New Roman" w:hAnsi="Times New Roman"/>
                <w:sz w:val="18"/>
                <w:szCs w:val="18"/>
                <w:lang w:eastAsia="ru-RU"/>
              </w:rPr>
            </w:pPr>
          </w:p>
        </w:tc>
        <w:tc>
          <w:tcPr>
            <w:tcW w:w="709" w:type="dxa"/>
            <w:tcBorders>
              <w:top w:val="nil"/>
              <w:left w:val="nil"/>
              <w:bottom w:val="single" w:sz="4" w:space="0" w:color="auto"/>
              <w:right w:val="single" w:sz="4" w:space="0" w:color="auto"/>
            </w:tcBorders>
            <w:shd w:val="clear" w:color="auto" w:fill="auto"/>
            <w:vAlign w:val="center"/>
            <w:hideMark/>
          </w:tcPr>
          <w:p w14:paraId="2F902EE2"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План</w:t>
            </w:r>
          </w:p>
        </w:tc>
        <w:tc>
          <w:tcPr>
            <w:tcW w:w="709" w:type="dxa"/>
            <w:tcBorders>
              <w:top w:val="nil"/>
              <w:left w:val="nil"/>
              <w:bottom w:val="single" w:sz="4" w:space="0" w:color="auto"/>
              <w:right w:val="single" w:sz="4" w:space="0" w:color="auto"/>
            </w:tcBorders>
            <w:shd w:val="clear" w:color="auto" w:fill="auto"/>
            <w:vAlign w:val="center"/>
            <w:hideMark/>
          </w:tcPr>
          <w:p w14:paraId="496369F9"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Факт</w:t>
            </w:r>
          </w:p>
        </w:tc>
        <w:tc>
          <w:tcPr>
            <w:tcW w:w="604" w:type="dxa"/>
            <w:vMerge/>
            <w:tcBorders>
              <w:top w:val="double" w:sz="6" w:space="0" w:color="auto"/>
              <w:left w:val="single" w:sz="4" w:space="0" w:color="auto"/>
              <w:bottom w:val="single" w:sz="4" w:space="0" w:color="auto"/>
              <w:right w:val="single" w:sz="4" w:space="0" w:color="auto"/>
            </w:tcBorders>
            <w:vAlign w:val="center"/>
            <w:hideMark/>
          </w:tcPr>
          <w:p w14:paraId="05E54615" w14:textId="77777777" w:rsidR="007C3F68" w:rsidRPr="00A53AD7" w:rsidRDefault="007C3F68" w:rsidP="007C3F68">
            <w:pPr>
              <w:spacing w:after="0" w:line="240" w:lineRule="auto"/>
              <w:rPr>
                <w:rFonts w:ascii="Times New Roman" w:eastAsia="Times New Roman" w:hAnsi="Times New Roman"/>
                <w:sz w:val="18"/>
                <w:szCs w:val="18"/>
                <w:lang w:eastAsia="ru-RU"/>
              </w:rPr>
            </w:pPr>
          </w:p>
        </w:tc>
        <w:tc>
          <w:tcPr>
            <w:tcW w:w="1134" w:type="dxa"/>
            <w:vMerge/>
            <w:tcBorders>
              <w:top w:val="double" w:sz="6" w:space="0" w:color="auto"/>
              <w:left w:val="single" w:sz="4" w:space="0" w:color="auto"/>
              <w:bottom w:val="single" w:sz="4" w:space="0" w:color="auto"/>
              <w:right w:val="double" w:sz="6" w:space="0" w:color="auto"/>
            </w:tcBorders>
            <w:vAlign w:val="center"/>
            <w:hideMark/>
          </w:tcPr>
          <w:p w14:paraId="47BE5830" w14:textId="77777777" w:rsidR="007C3F68" w:rsidRPr="00A53AD7" w:rsidRDefault="007C3F68" w:rsidP="007C3F68">
            <w:pPr>
              <w:spacing w:after="0" w:line="240" w:lineRule="auto"/>
              <w:rPr>
                <w:rFonts w:ascii="Times New Roman" w:eastAsia="Times New Roman" w:hAnsi="Times New Roman"/>
                <w:sz w:val="18"/>
                <w:szCs w:val="18"/>
                <w:lang w:eastAsia="ru-RU"/>
              </w:rPr>
            </w:pPr>
          </w:p>
        </w:tc>
      </w:tr>
      <w:tr w:rsidR="00D470B6" w:rsidRPr="00A53AD7" w14:paraId="216AE8D2" w14:textId="77777777" w:rsidTr="007C3F68">
        <w:trPr>
          <w:trHeight w:val="193"/>
        </w:trPr>
        <w:tc>
          <w:tcPr>
            <w:tcW w:w="8118" w:type="dxa"/>
            <w:gridSpan w:val="4"/>
            <w:tcBorders>
              <w:top w:val="single" w:sz="4" w:space="0" w:color="auto"/>
              <w:left w:val="double" w:sz="6" w:space="0" w:color="auto"/>
              <w:bottom w:val="single" w:sz="4" w:space="0" w:color="auto"/>
              <w:right w:val="single" w:sz="4" w:space="0" w:color="auto"/>
            </w:tcBorders>
            <w:shd w:val="clear" w:color="auto" w:fill="auto"/>
            <w:vAlign w:val="center"/>
            <w:hideMark/>
          </w:tcPr>
          <w:p w14:paraId="6F949F24"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Культурная среда</w:t>
            </w:r>
          </w:p>
        </w:tc>
        <w:tc>
          <w:tcPr>
            <w:tcW w:w="1134" w:type="dxa"/>
            <w:tcBorders>
              <w:top w:val="nil"/>
              <w:left w:val="nil"/>
              <w:bottom w:val="single" w:sz="4" w:space="0" w:color="auto"/>
              <w:right w:val="double" w:sz="6" w:space="0" w:color="auto"/>
            </w:tcBorders>
            <w:shd w:val="clear" w:color="auto" w:fill="auto"/>
            <w:vAlign w:val="center"/>
            <w:hideMark/>
          </w:tcPr>
          <w:p w14:paraId="33AA256F"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D470B6" w:rsidRPr="00A53AD7" w14:paraId="1C14C864" w14:textId="77777777" w:rsidTr="007C3F68">
        <w:trPr>
          <w:trHeight w:val="537"/>
        </w:trPr>
        <w:tc>
          <w:tcPr>
            <w:tcW w:w="6096" w:type="dxa"/>
            <w:tcBorders>
              <w:top w:val="nil"/>
              <w:left w:val="double" w:sz="6" w:space="0" w:color="auto"/>
              <w:bottom w:val="single" w:sz="4" w:space="0" w:color="auto"/>
              <w:right w:val="single" w:sz="4" w:space="0" w:color="auto"/>
            </w:tcBorders>
            <w:shd w:val="clear" w:color="auto" w:fill="auto"/>
            <w:vAlign w:val="center"/>
            <w:hideMark/>
          </w:tcPr>
          <w:p w14:paraId="1D727D6F" w14:textId="77777777" w:rsidR="007C3F68" w:rsidRPr="00A53AD7" w:rsidRDefault="007C3F68" w:rsidP="007C3F68">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созданных (реконструированных) и капитально отремонтированных объектов организации культуры (ед.) (нарастающим итогом)</w:t>
            </w:r>
          </w:p>
        </w:tc>
        <w:tc>
          <w:tcPr>
            <w:tcW w:w="709" w:type="dxa"/>
            <w:tcBorders>
              <w:top w:val="nil"/>
              <w:left w:val="nil"/>
              <w:bottom w:val="single" w:sz="4" w:space="0" w:color="auto"/>
              <w:right w:val="single" w:sz="4" w:space="0" w:color="auto"/>
            </w:tcBorders>
            <w:shd w:val="clear" w:color="auto" w:fill="auto"/>
            <w:vAlign w:val="center"/>
            <w:hideMark/>
          </w:tcPr>
          <w:p w14:paraId="4C42C731"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c>
          <w:tcPr>
            <w:tcW w:w="709" w:type="dxa"/>
            <w:tcBorders>
              <w:top w:val="nil"/>
              <w:left w:val="nil"/>
              <w:bottom w:val="single" w:sz="4" w:space="0" w:color="auto"/>
              <w:right w:val="single" w:sz="4" w:space="0" w:color="auto"/>
            </w:tcBorders>
            <w:shd w:val="clear" w:color="auto" w:fill="auto"/>
            <w:vAlign w:val="center"/>
            <w:hideMark/>
          </w:tcPr>
          <w:p w14:paraId="38E081A9"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c>
          <w:tcPr>
            <w:tcW w:w="604" w:type="dxa"/>
            <w:tcBorders>
              <w:top w:val="nil"/>
              <w:left w:val="nil"/>
              <w:bottom w:val="single" w:sz="4" w:space="0" w:color="auto"/>
              <w:right w:val="single" w:sz="4" w:space="0" w:color="auto"/>
            </w:tcBorders>
            <w:shd w:val="clear" w:color="auto" w:fill="auto"/>
            <w:vAlign w:val="center"/>
            <w:hideMark/>
          </w:tcPr>
          <w:p w14:paraId="17DB0897"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c>
          <w:tcPr>
            <w:tcW w:w="1134" w:type="dxa"/>
            <w:tcBorders>
              <w:top w:val="nil"/>
              <w:left w:val="nil"/>
              <w:bottom w:val="single" w:sz="4" w:space="0" w:color="auto"/>
              <w:right w:val="double" w:sz="6" w:space="0" w:color="auto"/>
            </w:tcBorders>
            <w:shd w:val="clear" w:color="auto" w:fill="auto"/>
            <w:vAlign w:val="center"/>
            <w:hideMark/>
          </w:tcPr>
          <w:p w14:paraId="48E53450"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r>
      <w:tr w:rsidR="00D470B6" w:rsidRPr="00A53AD7" w14:paraId="7A4F149A" w14:textId="77777777" w:rsidTr="007C3F68">
        <w:trPr>
          <w:trHeight w:val="333"/>
        </w:trPr>
        <w:tc>
          <w:tcPr>
            <w:tcW w:w="6096" w:type="dxa"/>
            <w:tcBorders>
              <w:top w:val="nil"/>
              <w:left w:val="double" w:sz="6" w:space="0" w:color="auto"/>
              <w:bottom w:val="single" w:sz="4" w:space="0" w:color="auto"/>
              <w:right w:val="single" w:sz="4" w:space="0" w:color="auto"/>
            </w:tcBorders>
            <w:shd w:val="clear" w:color="auto" w:fill="auto"/>
            <w:vAlign w:val="center"/>
            <w:hideMark/>
          </w:tcPr>
          <w:p w14:paraId="64586A4F" w14:textId="77777777" w:rsidR="007C3F68" w:rsidRPr="00A53AD7" w:rsidRDefault="007C3F68" w:rsidP="007C3F68">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организаций культуры, получивших современное оборудование (ед.) (нарастающим итогом)</w:t>
            </w:r>
          </w:p>
        </w:tc>
        <w:tc>
          <w:tcPr>
            <w:tcW w:w="709" w:type="dxa"/>
            <w:tcBorders>
              <w:top w:val="nil"/>
              <w:left w:val="nil"/>
              <w:bottom w:val="single" w:sz="4" w:space="0" w:color="auto"/>
              <w:right w:val="single" w:sz="4" w:space="0" w:color="auto"/>
            </w:tcBorders>
            <w:shd w:val="clear" w:color="auto" w:fill="auto"/>
            <w:vAlign w:val="center"/>
            <w:hideMark/>
          </w:tcPr>
          <w:p w14:paraId="2EF34B91"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w:t>
            </w:r>
          </w:p>
        </w:tc>
        <w:tc>
          <w:tcPr>
            <w:tcW w:w="709" w:type="dxa"/>
            <w:tcBorders>
              <w:top w:val="nil"/>
              <w:left w:val="nil"/>
              <w:bottom w:val="single" w:sz="4" w:space="0" w:color="auto"/>
              <w:right w:val="single" w:sz="4" w:space="0" w:color="auto"/>
            </w:tcBorders>
            <w:shd w:val="clear" w:color="auto" w:fill="auto"/>
            <w:vAlign w:val="center"/>
            <w:hideMark/>
          </w:tcPr>
          <w:p w14:paraId="46A6BE9C"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13</w:t>
            </w:r>
          </w:p>
        </w:tc>
        <w:tc>
          <w:tcPr>
            <w:tcW w:w="604" w:type="dxa"/>
            <w:tcBorders>
              <w:top w:val="nil"/>
              <w:left w:val="nil"/>
              <w:bottom w:val="single" w:sz="4" w:space="0" w:color="auto"/>
              <w:right w:val="single" w:sz="4" w:space="0" w:color="auto"/>
            </w:tcBorders>
            <w:shd w:val="clear" w:color="auto" w:fill="auto"/>
            <w:vAlign w:val="center"/>
            <w:hideMark/>
          </w:tcPr>
          <w:p w14:paraId="05EB44B6"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c>
          <w:tcPr>
            <w:tcW w:w="1134" w:type="dxa"/>
            <w:tcBorders>
              <w:top w:val="nil"/>
              <w:left w:val="nil"/>
              <w:bottom w:val="single" w:sz="4" w:space="0" w:color="auto"/>
              <w:right w:val="double" w:sz="6" w:space="0" w:color="auto"/>
            </w:tcBorders>
            <w:shd w:val="clear" w:color="auto" w:fill="auto"/>
            <w:vAlign w:val="center"/>
            <w:hideMark/>
          </w:tcPr>
          <w:p w14:paraId="2DB7AC05"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6</w:t>
            </w:r>
          </w:p>
        </w:tc>
      </w:tr>
      <w:tr w:rsidR="00D470B6" w:rsidRPr="00A53AD7" w14:paraId="0DEF850C" w14:textId="77777777" w:rsidTr="007C3F68">
        <w:trPr>
          <w:trHeight w:val="186"/>
        </w:trPr>
        <w:tc>
          <w:tcPr>
            <w:tcW w:w="8118" w:type="dxa"/>
            <w:gridSpan w:val="4"/>
            <w:tcBorders>
              <w:top w:val="single" w:sz="4" w:space="0" w:color="auto"/>
              <w:left w:val="double" w:sz="6" w:space="0" w:color="auto"/>
              <w:bottom w:val="single" w:sz="4" w:space="0" w:color="auto"/>
              <w:right w:val="single" w:sz="4" w:space="0" w:color="auto"/>
            </w:tcBorders>
            <w:shd w:val="clear" w:color="auto" w:fill="auto"/>
            <w:vAlign w:val="center"/>
            <w:hideMark/>
          </w:tcPr>
          <w:p w14:paraId="46D66183"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«Творческие люди»</w:t>
            </w:r>
          </w:p>
        </w:tc>
        <w:tc>
          <w:tcPr>
            <w:tcW w:w="1134" w:type="dxa"/>
            <w:tcBorders>
              <w:top w:val="nil"/>
              <w:left w:val="nil"/>
              <w:bottom w:val="single" w:sz="4" w:space="0" w:color="auto"/>
              <w:right w:val="double" w:sz="6" w:space="0" w:color="auto"/>
            </w:tcBorders>
            <w:shd w:val="clear" w:color="auto" w:fill="auto"/>
            <w:vAlign w:val="center"/>
            <w:hideMark/>
          </w:tcPr>
          <w:p w14:paraId="2967CB50"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D470B6" w:rsidRPr="00A53AD7" w14:paraId="79CA791F" w14:textId="77777777" w:rsidTr="007C3F68">
        <w:trPr>
          <w:trHeight w:val="243"/>
        </w:trPr>
        <w:tc>
          <w:tcPr>
            <w:tcW w:w="6096" w:type="dxa"/>
            <w:tcBorders>
              <w:top w:val="nil"/>
              <w:left w:val="double" w:sz="6" w:space="0" w:color="auto"/>
              <w:bottom w:val="single" w:sz="4" w:space="0" w:color="auto"/>
              <w:right w:val="single" w:sz="4" w:space="0" w:color="auto"/>
            </w:tcBorders>
            <w:shd w:val="clear" w:color="auto" w:fill="auto"/>
            <w:vAlign w:val="center"/>
            <w:hideMark/>
          </w:tcPr>
          <w:p w14:paraId="38CFCDB0" w14:textId="77777777" w:rsidR="007C3F68" w:rsidRPr="00A53AD7" w:rsidRDefault="007C3F68" w:rsidP="007C3F68">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специалистов, прошедших повышение квалификации на базе Центров непрерывного образования (ед.) (нарастающим итогом)</w:t>
            </w:r>
          </w:p>
        </w:tc>
        <w:tc>
          <w:tcPr>
            <w:tcW w:w="709" w:type="dxa"/>
            <w:tcBorders>
              <w:top w:val="nil"/>
              <w:left w:val="nil"/>
              <w:bottom w:val="single" w:sz="4" w:space="0" w:color="auto"/>
              <w:right w:val="single" w:sz="4" w:space="0" w:color="auto"/>
            </w:tcBorders>
            <w:shd w:val="clear" w:color="auto" w:fill="auto"/>
            <w:vAlign w:val="center"/>
            <w:hideMark/>
          </w:tcPr>
          <w:p w14:paraId="1712B8D9"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120</w:t>
            </w:r>
          </w:p>
        </w:tc>
        <w:tc>
          <w:tcPr>
            <w:tcW w:w="709" w:type="dxa"/>
            <w:tcBorders>
              <w:top w:val="nil"/>
              <w:left w:val="nil"/>
              <w:bottom w:val="single" w:sz="4" w:space="0" w:color="auto"/>
              <w:right w:val="single" w:sz="4" w:space="0" w:color="auto"/>
            </w:tcBorders>
            <w:shd w:val="clear" w:color="auto" w:fill="auto"/>
            <w:vAlign w:val="center"/>
            <w:hideMark/>
          </w:tcPr>
          <w:p w14:paraId="444A237D"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120</w:t>
            </w:r>
          </w:p>
        </w:tc>
        <w:tc>
          <w:tcPr>
            <w:tcW w:w="604" w:type="dxa"/>
            <w:tcBorders>
              <w:top w:val="nil"/>
              <w:left w:val="nil"/>
              <w:bottom w:val="single" w:sz="4" w:space="0" w:color="auto"/>
              <w:right w:val="single" w:sz="4" w:space="0" w:color="auto"/>
            </w:tcBorders>
            <w:shd w:val="clear" w:color="auto" w:fill="auto"/>
            <w:vAlign w:val="center"/>
            <w:hideMark/>
          </w:tcPr>
          <w:p w14:paraId="6B405743"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c>
          <w:tcPr>
            <w:tcW w:w="1134" w:type="dxa"/>
            <w:tcBorders>
              <w:top w:val="nil"/>
              <w:left w:val="nil"/>
              <w:bottom w:val="single" w:sz="4" w:space="0" w:color="auto"/>
              <w:right w:val="double" w:sz="6" w:space="0" w:color="auto"/>
            </w:tcBorders>
            <w:shd w:val="clear" w:color="auto" w:fill="auto"/>
            <w:vAlign w:val="center"/>
            <w:hideMark/>
          </w:tcPr>
          <w:p w14:paraId="1E6091EA"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120</w:t>
            </w:r>
          </w:p>
        </w:tc>
      </w:tr>
      <w:tr w:rsidR="00D470B6" w:rsidRPr="00A53AD7" w14:paraId="390A40E4" w14:textId="77777777" w:rsidTr="007C3F68">
        <w:trPr>
          <w:trHeight w:val="384"/>
        </w:trPr>
        <w:tc>
          <w:tcPr>
            <w:tcW w:w="6096" w:type="dxa"/>
            <w:tcBorders>
              <w:top w:val="nil"/>
              <w:left w:val="double" w:sz="6" w:space="0" w:color="auto"/>
              <w:bottom w:val="single" w:sz="4" w:space="0" w:color="auto"/>
              <w:right w:val="single" w:sz="4" w:space="0" w:color="auto"/>
            </w:tcBorders>
            <w:shd w:val="clear" w:color="auto" w:fill="auto"/>
            <w:vAlign w:val="center"/>
            <w:hideMark/>
          </w:tcPr>
          <w:p w14:paraId="6795A686" w14:textId="77777777" w:rsidR="007C3F68" w:rsidRPr="00A53AD7" w:rsidRDefault="007C3F68" w:rsidP="007C3F68">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волонтеров, вовлеченных в программу «Волонтеры культуры» (чел.) (нарастающим итогом)</w:t>
            </w:r>
          </w:p>
        </w:tc>
        <w:tc>
          <w:tcPr>
            <w:tcW w:w="709" w:type="dxa"/>
            <w:tcBorders>
              <w:top w:val="nil"/>
              <w:left w:val="nil"/>
              <w:bottom w:val="single" w:sz="4" w:space="0" w:color="auto"/>
              <w:right w:val="single" w:sz="4" w:space="0" w:color="auto"/>
            </w:tcBorders>
            <w:shd w:val="clear" w:color="auto" w:fill="auto"/>
            <w:vAlign w:val="center"/>
            <w:hideMark/>
          </w:tcPr>
          <w:p w14:paraId="73226414"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14:paraId="096647B5"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75</w:t>
            </w:r>
          </w:p>
        </w:tc>
        <w:tc>
          <w:tcPr>
            <w:tcW w:w="604" w:type="dxa"/>
            <w:tcBorders>
              <w:top w:val="nil"/>
              <w:left w:val="nil"/>
              <w:bottom w:val="single" w:sz="4" w:space="0" w:color="auto"/>
              <w:right w:val="single" w:sz="4" w:space="0" w:color="auto"/>
            </w:tcBorders>
            <w:shd w:val="clear" w:color="auto" w:fill="auto"/>
            <w:vAlign w:val="center"/>
            <w:hideMark/>
          </w:tcPr>
          <w:p w14:paraId="33D9A8B8"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c>
          <w:tcPr>
            <w:tcW w:w="1134" w:type="dxa"/>
            <w:tcBorders>
              <w:top w:val="nil"/>
              <w:left w:val="nil"/>
              <w:bottom w:val="single" w:sz="4" w:space="0" w:color="auto"/>
              <w:right w:val="double" w:sz="6" w:space="0" w:color="auto"/>
            </w:tcBorders>
            <w:shd w:val="clear" w:color="auto" w:fill="auto"/>
            <w:vAlign w:val="center"/>
            <w:hideMark/>
          </w:tcPr>
          <w:p w14:paraId="402A7D00"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2019 г не менее 1</w:t>
            </w:r>
          </w:p>
        </w:tc>
      </w:tr>
      <w:tr w:rsidR="00D470B6" w:rsidRPr="00A53AD7" w14:paraId="4D0D5C87" w14:textId="77777777" w:rsidTr="007C3F68">
        <w:trPr>
          <w:trHeight w:val="248"/>
        </w:trPr>
        <w:tc>
          <w:tcPr>
            <w:tcW w:w="8118" w:type="dxa"/>
            <w:gridSpan w:val="4"/>
            <w:tcBorders>
              <w:top w:val="single" w:sz="4" w:space="0" w:color="auto"/>
              <w:left w:val="double" w:sz="6" w:space="0" w:color="auto"/>
              <w:bottom w:val="single" w:sz="4" w:space="0" w:color="auto"/>
              <w:right w:val="single" w:sz="4" w:space="0" w:color="auto"/>
            </w:tcBorders>
            <w:shd w:val="clear" w:color="auto" w:fill="auto"/>
            <w:vAlign w:val="center"/>
            <w:hideMark/>
          </w:tcPr>
          <w:p w14:paraId="59684723"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Цифровая культура</w:t>
            </w:r>
          </w:p>
        </w:tc>
        <w:tc>
          <w:tcPr>
            <w:tcW w:w="1134" w:type="dxa"/>
            <w:tcBorders>
              <w:top w:val="nil"/>
              <w:left w:val="nil"/>
              <w:bottom w:val="single" w:sz="4" w:space="0" w:color="auto"/>
              <w:right w:val="double" w:sz="6" w:space="0" w:color="auto"/>
            </w:tcBorders>
            <w:shd w:val="clear" w:color="auto" w:fill="auto"/>
            <w:vAlign w:val="center"/>
            <w:hideMark/>
          </w:tcPr>
          <w:p w14:paraId="107E0187"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w:t>
            </w:r>
          </w:p>
        </w:tc>
      </w:tr>
      <w:tr w:rsidR="00D470B6" w:rsidRPr="00A53AD7" w14:paraId="5AFADB5F" w14:textId="77777777" w:rsidTr="007C3F68">
        <w:trPr>
          <w:trHeight w:val="265"/>
        </w:trPr>
        <w:tc>
          <w:tcPr>
            <w:tcW w:w="6096" w:type="dxa"/>
            <w:tcBorders>
              <w:top w:val="nil"/>
              <w:left w:val="double" w:sz="6" w:space="0" w:color="auto"/>
              <w:bottom w:val="double" w:sz="6" w:space="0" w:color="auto"/>
              <w:right w:val="single" w:sz="4" w:space="0" w:color="auto"/>
            </w:tcBorders>
            <w:shd w:val="clear" w:color="auto" w:fill="auto"/>
            <w:vAlign w:val="center"/>
            <w:hideMark/>
          </w:tcPr>
          <w:p w14:paraId="14A381A2" w14:textId="77777777" w:rsidR="007C3F68" w:rsidRPr="00A53AD7" w:rsidRDefault="007C3F68" w:rsidP="007C3F68">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выставочных проектов, снабженных цифровыми гидами в формате дополненной реальности</w:t>
            </w:r>
          </w:p>
        </w:tc>
        <w:tc>
          <w:tcPr>
            <w:tcW w:w="709" w:type="dxa"/>
            <w:tcBorders>
              <w:top w:val="nil"/>
              <w:left w:val="nil"/>
              <w:bottom w:val="double" w:sz="6" w:space="0" w:color="auto"/>
              <w:right w:val="single" w:sz="4" w:space="0" w:color="auto"/>
            </w:tcBorders>
            <w:shd w:val="clear" w:color="auto" w:fill="auto"/>
            <w:vAlign w:val="center"/>
            <w:hideMark/>
          </w:tcPr>
          <w:p w14:paraId="5FB0EE7B"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w:t>
            </w:r>
          </w:p>
        </w:tc>
        <w:tc>
          <w:tcPr>
            <w:tcW w:w="709" w:type="dxa"/>
            <w:tcBorders>
              <w:top w:val="nil"/>
              <w:left w:val="nil"/>
              <w:bottom w:val="double" w:sz="6" w:space="0" w:color="auto"/>
              <w:right w:val="single" w:sz="4" w:space="0" w:color="auto"/>
            </w:tcBorders>
            <w:shd w:val="clear" w:color="auto" w:fill="auto"/>
            <w:vAlign w:val="center"/>
            <w:hideMark/>
          </w:tcPr>
          <w:p w14:paraId="21B9BB3A"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w:t>
            </w:r>
          </w:p>
        </w:tc>
        <w:tc>
          <w:tcPr>
            <w:tcW w:w="604" w:type="dxa"/>
            <w:tcBorders>
              <w:top w:val="nil"/>
              <w:left w:val="nil"/>
              <w:bottom w:val="double" w:sz="6" w:space="0" w:color="auto"/>
              <w:right w:val="single" w:sz="4" w:space="0" w:color="auto"/>
            </w:tcBorders>
            <w:shd w:val="clear" w:color="auto" w:fill="auto"/>
            <w:vAlign w:val="center"/>
            <w:hideMark/>
          </w:tcPr>
          <w:p w14:paraId="6D50720A"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200</w:t>
            </w:r>
          </w:p>
        </w:tc>
        <w:tc>
          <w:tcPr>
            <w:tcW w:w="1134" w:type="dxa"/>
            <w:tcBorders>
              <w:top w:val="nil"/>
              <w:left w:val="nil"/>
              <w:bottom w:val="double" w:sz="6" w:space="0" w:color="auto"/>
              <w:right w:val="double" w:sz="6" w:space="0" w:color="auto"/>
            </w:tcBorders>
            <w:shd w:val="clear" w:color="auto" w:fill="auto"/>
            <w:vAlign w:val="center"/>
            <w:hideMark/>
          </w:tcPr>
          <w:p w14:paraId="4233DEE5" w14:textId="77777777" w:rsidR="007C3F68" w:rsidRPr="00A53AD7" w:rsidRDefault="007C3F68" w:rsidP="007C3F68">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w:t>
            </w:r>
          </w:p>
        </w:tc>
      </w:tr>
    </w:tbl>
    <w:p w14:paraId="64BE9FBB"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Значения показателей региональных проектов выполнены.</w:t>
      </w:r>
    </w:p>
    <w:p w14:paraId="0002A912" w14:textId="77777777" w:rsidR="007C3F68" w:rsidRPr="00A53AD7" w:rsidRDefault="007C3F68" w:rsidP="007C3F68">
      <w:pPr>
        <w:spacing w:after="0" w:line="240" w:lineRule="auto"/>
        <w:ind w:firstLine="851"/>
        <w:jc w:val="both"/>
        <w:rPr>
          <w:rFonts w:ascii="Times New Roman" w:hAnsi="Times New Roman"/>
          <w:sz w:val="28"/>
          <w:szCs w:val="28"/>
        </w:rPr>
      </w:pPr>
    </w:p>
    <w:p w14:paraId="011CCCBE" w14:textId="1189589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Целью национального проекта «Культура» является увеличение на 15% числа посещений организаций культуры и увеличение числа обращений к цифровым ресурсам в сфере культуры </w:t>
      </w:r>
      <w:r w:rsidR="00717B1E" w:rsidRPr="00A53AD7">
        <w:rPr>
          <w:rFonts w:ascii="Times New Roman" w:hAnsi="Times New Roman"/>
          <w:sz w:val="28"/>
          <w:szCs w:val="28"/>
        </w:rPr>
        <w:t>в 5 раз (млн. обращений в год).</w:t>
      </w:r>
    </w:p>
    <w:p w14:paraId="48E74727"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Для достижения заявленных целей предусмотрено 2 аналогичных целевых показателя.</w:t>
      </w:r>
    </w:p>
    <w:p w14:paraId="6BA17855" w14:textId="34FFE099"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Указанные целевые показатели нацпроекта и, соответственно, региональных проектов, являются количественными, в то время как, показатели, позволяющие определить качественные преобразования в сфере культуры по итогам реализации нацпроекта, не установлены.</w:t>
      </w:r>
    </w:p>
    <w:p w14:paraId="2C9246FF"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Например, установленные показатели «Количество созданных (реконструированных) и капитально отремонтированных объектов организации культуры (ед.) (нарастающим итогом)» и «Количество организаций культуры, получивших современное оборудование (ед.) (нарастающим итогом)» не позволяют оценить, насколько проведение капитального ремонта в домах культуры повлияло на увеличение количества числа посещений организаций культуры по отношению к 2017 году (нарастающим итогом) в рамках реализации национального проекта «Культура».</w:t>
      </w:r>
    </w:p>
    <w:p w14:paraId="02BA70B1" w14:textId="331D41FB"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Минкультуры России и министерством культуры Архангельской области заключено соглашение № 054-2019-А10032-1 от 02.02.2019 о реализации регионального проекта «Обеспечение качественно нового уровня развития инфраструктуры культуры («Культурная среда»), в котором установлены показатели результативности:</w:t>
      </w:r>
      <w:r w:rsidR="0039742D" w:rsidRPr="00A53AD7">
        <w:rPr>
          <w:rFonts w:ascii="Times New Roman" w:hAnsi="Times New Roman"/>
          <w:sz w:val="28"/>
          <w:szCs w:val="28"/>
        </w:rPr>
        <w:t xml:space="preserve"> </w:t>
      </w:r>
      <w:r w:rsidRPr="00A53AD7">
        <w:rPr>
          <w:rFonts w:ascii="Times New Roman" w:hAnsi="Times New Roman"/>
          <w:sz w:val="28"/>
          <w:szCs w:val="28"/>
        </w:rPr>
        <w:t>«Количество созданных (реконструированных) и капитально отремонтированных объектов организации культуры (ед.) (нарастающим итогом)» и «Количество организаций культуры, получивших современное оборудование (ед.) (нарастающим итогом)».</w:t>
      </w:r>
    </w:p>
    <w:p w14:paraId="4581F7CA" w14:textId="00EC748C"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соглашении № 054-2019-А20025-1 от 27.01.2019 о реализации регионального проекта «Создание условий для реализации творческого потенциала нации («Творческие люди») (Архангельская область) указаны показатели «Количество специалистов, прошедших повышение квалификации на базе Центров непрерывного образования (ед.) (нарастающим итогом)», «Количество волонтеров, вовлеченных в программу «Волонтеры культуры» (чел.) и «Количество любительских творческих коллективов, получивших грантовую поддержку (ед.) (нарастающим итогом)».</w:t>
      </w:r>
    </w:p>
    <w:p w14:paraId="260BD0C9" w14:textId="45C2230F"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соглашению №054-2019-А30025-1 от 27.01.2019 о реализации регионального проекта «Цифровизация услуг и формирование информационного пространства в сфере культуры («Цифровая культура») (Архангельская область) установлены показатели «Количество созданных виртуальных концертных залов в городах Российской Федерации» и «Количество выставочных проектов, снабженных цифровыми гидами в формате дополненной реальности».</w:t>
      </w:r>
    </w:p>
    <w:p w14:paraId="2E5575AE" w14:textId="43C7E053"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Закрепленные в региональном проекте показатели не позволяют насколько проведение капитального ремонта в домах культуры повлияло на увеличение количества культурно-досуговых формирований и их участников и т.д.</w:t>
      </w:r>
    </w:p>
    <w:p w14:paraId="1F9052B4" w14:textId="77777777" w:rsidR="007C3F68" w:rsidRPr="00A53AD7" w:rsidRDefault="007C3F68" w:rsidP="007C3F6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в госпрограмме «Культура Русского Севера» установлены целевые показатели с ежегодным ростом:</w:t>
      </w:r>
    </w:p>
    <w:tbl>
      <w:tblPr>
        <w:tblW w:w="9356" w:type="dxa"/>
        <w:tblInd w:w="-23" w:type="dxa"/>
        <w:tblLook w:val="04A0" w:firstRow="1" w:lastRow="0" w:firstColumn="1" w:lastColumn="0" w:noHBand="0" w:noVBand="1"/>
      </w:tblPr>
      <w:tblGrid>
        <w:gridCol w:w="4793"/>
        <w:gridCol w:w="736"/>
        <w:gridCol w:w="736"/>
        <w:gridCol w:w="736"/>
        <w:gridCol w:w="736"/>
        <w:gridCol w:w="736"/>
        <w:gridCol w:w="883"/>
      </w:tblGrid>
      <w:tr w:rsidR="00D470B6" w:rsidRPr="00A53AD7" w14:paraId="66E22FD8" w14:textId="77777777" w:rsidTr="007C3F68">
        <w:trPr>
          <w:trHeight w:val="169"/>
        </w:trPr>
        <w:tc>
          <w:tcPr>
            <w:tcW w:w="4793"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EC18998"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Наименование показателя</w:t>
            </w:r>
          </w:p>
        </w:tc>
        <w:tc>
          <w:tcPr>
            <w:tcW w:w="4563" w:type="dxa"/>
            <w:gridSpan w:val="6"/>
            <w:tcBorders>
              <w:top w:val="double" w:sz="6" w:space="0" w:color="auto"/>
              <w:left w:val="nil"/>
              <w:bottom w:val="single" w:sz="4" w:space="0" w:color="auto"/>
              <w:right w:val="double" w:sz="6" w:space="0" w:color="000000"/>
            </w:tcBorders>
            <w:shd w:val="clear" w:color="auto" w:fill="auto"/>
            <w:noWrap/>
            <w:vAlign w:val="center"/>
            <w:hideMark/>
          </w:tcPr>
          <w:p w14:paraId="61C893FD"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Период, год</w:t>
            </w:r>
          </w:p>
        </w:tc>
      </w:tr>
      <w:tr w:rsidR="00D470B6" w:rsidRPr="00A53AD7" w14:paraId="0BC6B16E" w14:textId="77777777" w:rsidTr="007C3F68">
        <w:trPr>
          <w:trHeight w:val="72"/>
        </w:trPr>
        <w:tc>
          <w:tcPr>
            <w:tcW w:w="4793" w:type="dxa"/>
            <w:vMerge/>
            <w:tcBorders>
              <w:top w:val="double" w:sz="6" w:space="0" w:color="auto"/>
              <w:left w:val="double" w:sz="6" w:space="0" w:color="auto"/>
              <w:bottom w:val="single" w:sz="4" w:space="0" w:color="auto"/>
              <w:right w:val="single" w:sz="4" w:space="0" w:color="auto"/>
            </w:tcBorders>
            <w:vAlign w:val="center"/>
            <w:hideMark/>
          </w:tcPr>
          <w:p w14:paraId="0E5250A2" w14:textId="77777777" w:rsidR="007C3F68" w:rsidRPr="00A53AD7" w:rsidRDefault="007C3F68" w:rsidP="007C3F68">
            <w:pPr>
              <w:spacing w:after="0" w:line="240" w:lineRule="auto"/>
              <w:rPr>
                <w:rFonts w:ascii="Times New Roman" w:eastAsia="Times New Roman" w:hAnsi="Times New Roman"/>
                <w:sz w:val="16"/>
                <w:szCs w:val="16"/>
                <w:lang w:eastAsia="ru-RU"/>
              </w:rPr>
            </w:pPr>
          </w:p>
        </w:tc>
        <w:tc>
          <w:tcPr>
            <w:tcW w:w="736" w:type="dxa"/>
            <w:tcBorders>
              <w:top w:val="nil"/>
              <w:left w:val="nil"/>
              <w:bottom w:val="single" w:sz="4" w:space="0" w:color="auto"/>
              <w:right w:val="single" w:sz="4" w:space="0" w:color="auto"/>
            </w:tcBorders>
            <w:shd w:val="clear" w:color="auto" w:fill="auto"/>
            <w:noWrap/>
            <w:vAlign w:val="center"/>
            <w:hideMark/>
          </w:tcPr>
          <w:p w14:paraId="06EBFE31"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2019</w:t>
            </w:r>
          </w:p>
        </w:tc>
        <w:tc>
          <w:tcPr>
            <w:tcW w:w="736" w:type="dxa"/>
            <w:tcBorders>
              <w:top w:val="nil"/>
              <w:left w:val="nil"/>
              <w:bottom w:val="single" w:sz="4" w:space="0" w:color="auto"/>
              <w:right w:val="single" w:sz="4" w:space="0" w:color="auto"/>
            </w:tcBorders>
            <w:shd w:val="clear" w:color="auto" w:fill="auto"/>
            <w:noWrap/>
            <w:vAlign w:val="center"/>
            <w:hideMark/>
          </w:tcPr>
          <w:p w14:paraId="26835F24"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2020</w:t>
            </w:r>
          </w:p>
        </w:tc>
        <w:tc>
          <w:tcPr>
            <w:tcW w:w="736" w:type="dxa"/>
            <w:tcBorders>
              <w:top w:val="nil"/>
              <w:left w:val="nil"/>
              <w:bottom w:val="single" w:sz="4" w:space="0" w:color="auto"/>
              <w:right w:val="single" w:sz="4" w:space="0" w:color="auto"/>
            </w:tcBorders>
            <w:shd w:val="clear" w:color="auto" w:fill="auto"/>
            <w:noWrap/>
            <w:vAlign w:val="center"/>
            <w:hideMark/>
          </w:tcPr>
          <w:p w14:paraId="18E5AA8B"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2021</w:t>
            </w:r>
          </w:p>
        </w:tc>
        <w:tc>
          <w:tcPr>
            <w:tcW w:w="736" w:type="dxa"/>
            <w:tcBorders>
              <w:top w:val="nil"/>
              <w:left w:val="nil"/>
              <w:bottom w:val="single" w:sz="4" w:space="0" w:color="auto"/>
              <w:right w:val="single" w:sz="4" w:space="0" w:color="auto"/>
            </w:tcBorders>
            <w:shd w:val="clear" w:color="auto" w:fill="auto"/>
            <w:noWrap/>
            <w:vAlign w:val="center"/>
            <w:hideMark/>
          </w:tcPr>
          <w:p w14:paraId="3DCC4E65"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2022</w:t>
            </w:r>
          </w:p>
        </w:tc>
        <w:tc>
          <w:tcPr>
            <w:tcW w:w="736" w:type="dxa"/>
            <w:tcBorders>
              <w:top w:val="nil"/>
              <w:left w:val="nil"/>
              <w:bottom w:val="single" w:sz="4" w:space="0" w:color="auto"/>
              <w:right w:val="single" w:sz="4" w:space="0" w:color="auto"/>
            </w:tcBorders>
            <w:shd w:val="clear" w:color="auto" w:fill="auto"/>
            <w:noWrap/>
            <w:vAlign w:val="center"/>
            <w:hideMark/>
          </w:tcPr>
          <w:p w14:paraId="61E83F7F"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2023</w:t>
            </w:r>
          </w:p>
        </w:tc>
        <w:tc>
          <w:tcPr>
            <w:tcW w:w="883" w:type="dxa"/>
            <w:tcBorders>
              <w:top w:val="nil"/>
              <w:left w:val="nil"/>
              <w:bottom w:val="single" w:sz="4" w:space="0" w:color="auto"/>
              <w:right w:val="double" w:sz="6" w:space="0" w:color="auto"/>
            </w:tcBorders>
            <w:shd w:val="clear" w:color="auto" w:fill="auto"/>
            <w:noWrap/>
            <w:vAlign w:val="center"/>
            <w:hideMark/>
          </w:tcPr>
          <w:p w14:paraId="25D8DDEE"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2024</w:t>
            </w:r>
          </w:p>
        </w:tc>
      </w:tr>
      <w:tr w:rsidR="00D470B6" w:rsidRPr="00A53AD7" w14:paraId="5F11ED0E" w14:textId="77777777" w:rsidTr="00A23C9F">
        <w:trPr>
          <w:trHeight w:val="451"/>
        </w:trPr>
        <w:tc>
          <w:tcPr>
            <w:tcW w:w="4793" w:type="dxa"/>
            <w:tcBorders>
              <w:top w:val="nil"/>
              <w:left w:val="double" w:sz="6" w:space="0" w:color="auto"/>
              <w:bottom w:val="single" w:sz="4" w:space="0" w:color="auto"/>
              <w:right w:val="single" w:sz="4" w:space="0" w:color="auto"/>
            </w:tcBorders>
            <w:shd w:val="clear" w:color="auto" w:fill="auto"/>
            <w:vAlign w:val="center"/>
            <w:hideMark/>
          </w:tcPr>
          <w:p w14:paraId="609184C1" w14:textId="266025F6" w:rsidR="007C3F68" w:rsidRPr="00A53AD7" w:rsidRDefault="007C3F68" w:rsidP="007C3F6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27. Увеличение числа посещений организаций культуры по отношению к 2017 году (нарастающим итогом) в рамках реализации национального проекта "Культура", %</w:t>
            </w:r>
          </w:p>
        </w:tc>
        <w:tc>
          <w:tcPr>
            <w:tcW w:w="736" w:type="dxa"/>
            <w:tcBorders>
              <w:top w:val="nil"/>
              <w:left w:val="nil"/>
              <w:bottom w:val="single" w:sz="4" w:space="0" w:color="auto"/>
              <w:right w:val="single" w:sz="4" w:space="0" w:color="auto"/>
            </w:tcBorders>
            <w:shd w:val="clear" w:color="auto" w:fill="auto"/>
            <w:noWrap/>
            <w:vAlign w:val="center"/>
            <w:hideMark/>
          </w:tcPr>
          <w:p w14:paraId="499EB801"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w:t>
            </w:r>
          </w:p>
        </w:tc>
        <w:tc>
          <w:tcPr>
            <w:tcW w:w="736" w:type="dxa"/>
            <w:tcBorders>
              <w:top w:val="nil"/>
              <w:left w:val="nil"/>
              <w:bottom w:val="single" w:sz="4" w:space="0" w:color="auto"/>
              <w:right w:val="single" w:sz="4" w:space="0" w:color="auto"/>
            </w:tcBorders>
            <w:shd w:val="clear" w:color="auto" w:fill="auto"/>
            <w:noWrap/>
            <w:vAlign w:val="center"/>
            <w:hideMark/>
          </w:tcPr>
          <w:p w14:paraId="6905DAAC"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w:t>
            </w:r>
          </w:p>
        </w:tc>
        <w:tc>
          <w:tcPr>
            <w:tcW w:w="736" w:type="dxa"/>
            <w:tcBorders>
              <w:top w:val="nil"/>
              <w:left w:val="nil"/>
              <w:bottom w:val="single" w:sz="4" w:space="0" w:color="auto"/>
              <w:right w:val="single" w:sz="4" w:space="0" w:color="auto"/>
            </w:tcBorders>
            <w:shd w:val="clear" w:color="auto" w:fill="auto"/>
            <w:noWrap/>
            <w:vAlign w:val="center"/>
            <w:hideMark/>
          </w:tcPr>
          <w:p w14:paraId="20A2F04C"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w:t>
            </w:r>
          </w:p>
        </w:tc>
        <w:tc>
          <w:tcPr>
            <w:tcW w:w="736" w:type="dxa"/>
            <w:tcBorders>
              <w:top w:val="nil"/>
              <w:left w:val="nil"/>
              <w:bottom w:val="single" w:sz="4" w:space="0" w:color="auto"/>
              <w:right w:val="single" w:sz="4" w:space="0" w:color="auto"/>
            </w:tcBorders>
            <w:shd w:val="clear" w:color="auto" w:fill="auto"/>
            <w:noWrap/>
            <w:vAlign w:val="center"/>
            <w:hideMark/>
          </w:tcPr>
          <w:p w14:paraId="25E95819"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w:t>
            </w:r>
          </w:p>
        </w:tc>
        <w:tc>
          <w:tcPr>
            <w:tcW w:w="736" w:type="dxa"/>
            <w:tcBorders>
              <w:top w:val="nil"/>
              <w:left w:val="nil"/>
              <w:bottom w:val="single" w:sz="4" w:space="0" w:color="auto"/>
              <w:right w:val="single" w:sz="4" w:space="0" w:color="auto"/>
            </w:tcBorders>
            <w:shd w:val="clear" w:color="auto" w:fill="auto"/>
            <w:noWrap/>
            <w:vAlign w:val="center"/>
            <w:hideMark/>
          </w:tcPr>
          <w:p w14:paraId="03E56B50"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w:t>
            </w:r>
          </w:p>
        </w:tc>
        <w:tc>
          <w:tcPr>
            <w:tcW w:w="883" w:type="dxa"/>
            <w:tcBorders>
              <w:top w:val="nil"/>
              <w:left w:val="nil"/>
              <w:bottom w:val="single" w:sz="4" w:space="0" w:color="auto"/>
              <w:right w:val="double" w:sz="6" w:space="0" w:color="auto"/>
            </w:tcBorders>
            <w:shd w:val="clear" w:color="auto" w:fill="auto"/>
            <w:noWrap/>
            <w:vAlign w:val="center"/>
            <w:hideMark/>
          </w:tcPr>
          <w:p w14:paraId="13528055"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15</w:t>
            </w:r>
          </w:p>
        </w:tc>
      </w:tr>
      <w:tr w:rsidR="007C3F68" w:rsidRPr="00A53AD7" w14:paraId="7E3C32FB" w14:textId="77777777" w:rsidTr="00A23C9F">
        <w:trPr>
          <w:trHeight w:val="459"/>
        </w:trPr>
        <w:tc>
          <w:tcPr>
            <w:tcW w:w="4793" w:type="dxa"/>
            <w:tcBorders>
              <w:top w:val="nil"/>
              <w:left w:val="double" w:sz="6" w:space="0" w:color="auto"/>
              <w:bottom w:val="double" w:sz="6" w:space="0" w:color="auto"/>
              <w:right w:val="single" w:sz="4" w:space="0" w:color="auto"/>
            </w:tcBorders>
            <w:shd w:val="clear" w:color="auto" w:fill="auto"/>
            <w:vAlign w:val="center"/>
            <w:hideMark/>
          </w:tcPr>
          <w:p w14:paraId="4DC02A6C" w14:textId="77777777" w:rsidR="007C3F68" w:rsidRPr="00A53AD7" w:rsidRDefault="007C3F68" w:rsidP="007C3F68">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28. Увеличение числа обращений к цифровым ресурсам культуры (нарастающим итогом к 2017 году) в рамках реализации национального проекта «Культура», тыс.ед.</w:t>
            </w:r>
          </w:p>
        </w:tc>
        <w:tc>
          <w:tcPr>
            <w:tcW w:w="736" w:type="dxa"/>
            <w:tcBorders>
              <w:top w:val="nil"/>
              <w:left w:val="nil"/>
              <w:bottom w:val="double" w:sz="6" w:space="0" w:color="auto"/>
              <w:right w:val="single" w:sz="4" w:space="0" w:color="auto"/>
            </w:tcBorders>
            <w:shd w:val="clear" w:color="auto" w:fill="auto"/>
            <w:noWrap/>
            <w:vAlign w:val="center"/>
            <w:hideMark/>
          </w:tcPr>
          <w:p w14:paraId="60284022"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362,632</w:t>
            </w:r>
          </w:p>
        </w:tc>
        <w:tc>
          <w:tcPr>
            <w:tcW w:w="736" w:type="dxa"/>
            <w:tcBorders>
              <w:top w:val="nil"/>
              <w:left w:val="nil"/>
              <w:bottom w:val="double" w:sz="6" w:space="0" w:color="auto"/>
              <w:right w:val="single" w:sz="4" w:space="0" w:color="auto"/>
            </w:tcBorders>
            <w:shd w:val="clear" w:color="auto" w:fill="auto"/>
            <w:noWrap/>
            <w:vAlign w:val="center"/>
            <w:hideMark/>
          </w:tcPr>
          <w:p w14:paraId="03313C76"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512,632</w:t>
            </w:r>
          </w:p>
        </w:tc>
        <w:tc>
          <w:tcPr>
            <w:tcW w:w="736" w:type="dxa"/>
            <w:tcBorders>
              <w:top w:val="nil"/>
              <w:left w:val="nil"/>
              <w:bottom w:val="double" w:sz="6" w:space="0" w:color="auto"/>
              <w:right w:val="single" w:sz="4" w:space="0" w:color="auto"/>
            </w:tcBorders>
            <w:shd w:val="clear" w:color="auto" w:fill="auto"/>
            <w:noWrap/>
            <w:vAlign w:val="center"/>
            <w:hideMark/>
          </w:tcPr>
          <w:p w14:paraId="12E921C2"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662,632</w:t>
            </w:r>
          </w:p>
        </w:tc>
        <w:tc>
          <w:tcPr>
            <w:tcW w:w="736" w:type="dxa"/>
            <w:tcBorders>
              <w:top w:val="nil"/>
              <w:left w:val="nil"/>
              <w:bottom w:val="double" w:sz="6" w:space="0" w:color="auto"/>
              <w:right w:val="single" w:sz="4" w:space="0" w:color="auto"/>
            </w:tcBorders>
            <w:shd w:val="clear" w:color="auto" w:fill="auto"/>
            <w:noWrap/>
            <w:vAlign w:val="center"/>
            <w:hideMark/>
          </w:tcPr>
          <w:p w14:paraId="14C0CD5F"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812,632</w:t>
            </w:r>
          </w:p>
        </w:tc>
        <w:tc>
          <w:tcPr>
            <w:tcW w:w="736" w:type="dxa"/>
            <w:tcBorders>
              <w:top w:val="nil"/>
              <w:left w:val="nil"/>
              <w:bottom w:val="double" w:sz="6" w:space="0" w:color="auto"/>
              <w:right w:val="single" w:sz="4" w:space="0" w:color="auto"/>
            </w:tcBorders>
            <w:shd w:val="clear" w:color="auto" w:fill="auto"/>
            <w:noWrap/>
            <w:vAlign w:val="center"/>
            <w:hideMark/>
          </w:tcPr>
          <w:p w14:paraId="43938157"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962,632</w:t>
            </w:r>
          </w:p>
        </w:tc>
        <w:tc>
          <w:tcPr>
            <w:tcW w:w="883" w:type="dxa"/>
            <w:tcBorders>
              <w:top w:val="nil"/>
              <w:left w:val="nil"/>
              <w:bottom w:val="double" w:sz="6" w:space="0" w:color="auto"/>
              <w:right w:val="double" w:sz="6" w:space="0" w:color="auto"/>
            </w:tcBorders>
            <w:shd w:val="clear" w:color="auto" w:fill="auto"/>
            <w:noWrap/>
            <w:vAlign w:val="center"/>
            <w:hideMark/>
          </w:tcPr>
          <w:p w14:paraId="0CD5B98E" w14:textId="77777777" w:rsidR="007C3F68" w:rsidRPr="00A53AD7" w:rsidRDefault="007C3F68" w:rsidP="007C3F68">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1063,16</w:t>
            </w:r>
          </w:p>
        </w:tc>
      </w:tr>
    </w:tbl>
    <w:p w14:paraId="330547DD" w14:textId="77777777" w:rsidR="00A23C9F" w:rsidRPr="00A53AD7" w:rsidRDefault="00A23C9F" w:rsidP="00A23C9F">
      <w:pPr>
        <w:spacing w:after="0" w:line="240" w:lineRule="auto"/>
        <w:jc w:val="center"/>
        <w:rPr>
          <w:rFonts w:ascii="Times New Roman" w:hAnsi="Times New Roman"/>
          <w:b/>
          <w:i/>
          <w:sz w:val="28"/>
          <w:szCs w:val="28"/>
        </w:rPr>
      </w:pPr>
    </w:p>
    <w:p w14:paraId="6195350A" w14:textId="77777777" w:rsidR="007C3F68" w:rsidRPr="00A53AD7" w:rsidRDefault="007C3F68" w:rsidP="00A23C9F">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«Культурная среда»</w:t>
      </w:r>
    </w:p>
    <w:p w14:paraId="65DAD733" w14:textId="77777777" w:rsidR="007C3F68" w:rsidRPr="00A53AD7" w:rsidRDefault="007C3F68" w:rsidP="00A23C9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ходе реализации РП «Культурная среда» было предусмотрено:</w:t>
      </w:r>
    </w:p>
    <w:p w14:paraId="177EA9A1"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обеспечение детские музыкальные, художественные, хореографические школы, училища и школы искусств необходимыми инструментами, оборудованием и материалами;</w:t>
      </w:r>
    </w:p>
    <w:p w14:paraId="713E40C1"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создание (реконструированные) культурно-досуговых организаций клубного типа на территориях сельских поселений, обеспечение развития муниципальных библиотек;</w:t>
      </w:r>
    </w:p>
    <w:p w14:paraId="7C471FF3"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создание модельных муниципальных библиотек;</w:t>
      </w:r>
    </w:p>
    <w:p w14:paraId="4FA1A696"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создание (реконструкция) культурно-досуговых учреждений в сельской местности в рамках мероприятий, направленных на обеспечение устойчивого развития сельских территорий.</w:t>
      </w:r>
    </w:p>
    <w:p w14:paraId="6D536360" w14:textId="7D981ED0" w:rsidR="007C3F68" w:rsidRPr="00A53AD7" w:rsidRDefault="00A23C9F" w:rsidP="00A23C9F">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599F44E1" wp14:editId="52A4CC3E">
            <wp:extent cx="4997652" cy="230717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20416" cy="2317684"/>
                    </a:xfrm>
                    <a:prstGeom prst="rect">
                      <a:avLst/>
                    </a:prstGeom>
                    <a:noFill/>
                  </pic:spPr>
                </pic:pic>
              </a:graphicData>
            </a:graphic>
          </wp:inline>
        </w:drawing>
      </w:r>
    </w:p>
    <w:p w14:paraId="467E5772" w14:textId="144E629C" w:rsidR="007C3F68" w:rsidRPr="00A53AD7" w:rsidRDefault="00A23C9F" w:rsidP="00A23C9F">
      <w:pPr>
        <w:spacing w:after="0" w:line="240" w:lineRule="auto"/>
        <w:rPr>
          <w:rFonts w:ascii="Times New Roman" w:hAnsi="Times New Roman"/>
          <w:noProof/>
          <w:sz w:val="24"/>
          <w:szCs w:val="24"/>
          <w:lang w:eastAsia="ru-RU"/>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56</w:t>
      </w:r>
      <w:r w:rsidRPr="00A53AD7">
        <w:rPr>
          <w:rFonts w:ascii="Times New Roman" w:hAnsi="Times New Roman"/>
          <w:sz w:val="24"/>
          <w:szCs w:val="24"/>
        </w:rPr>
        <w:fldChar w:fldCharType="end"/>
      </w:r>
      <w:r w:rsidRPr="00A53AD7">
        <w:rPr>
          <w:rFonts w:ascii="Times New Roman" w:hAnsi="Times New Roman"/>
          <w:sz w:val="24"/>
          <w:szCs w:val="24"/>
        </w:rPr>
        <w:t>. Финансирование регионального проекта «Культурная среда», млн.руб.</w:t>
      </w:r>
    </w:p>
    <w:p w14:paraId="311C36C8" w14:textId="77777777" w:rsidR="00A23C9F" w:rsidRPr="00A53AD7" w:rsidRDefault="00A23C9F" w:rsidP="00A23C9F">
      <w:pPr>
        <w:spacing w:after="0" w:line="240" w:lineRule="auto"/>
        <w:ind w:firstLine="851"/>
        <w:jc w:val="both"/>
        <w:rPr>
          <w:rFonts w:ascii="Times New Roman" w:hAnsi="Times New Roman"/>
          <w:sz w:val="28"/>
          <w:szCs w:val="28"/>
        </w:rPr>
      </w:pPr>
    </w:p>
    <w:p w14:paraId="77ED8FB8" w14:textId="77777777" w:rsidR="007C3F68" w:rsidRPr="00A53AD7" w:rsidRDefault="007C3F68" w:rsidP="00A23C9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расходы на реализацию РП «Культурная среда» профинансированы в сумме 87,3 млн.руб. или 100% от утвержденных назначений. Перечислены межбюджетные трансферты бюджета субъекта Российской Федерации бюджетам муниципальных образований в сумме 74,6 млн.руб., из них субсидии из бюджета Архангельской области МО «Вилегодский муниципальный район» на софинансирование капитальных вложений в объекты муниципальной собственности муниципальных образований Архангельской области 40,0 млн.руб.</w:t>
      </w:r>
    </w:p>
    <w:p w14:paraId="6FAF87D7" w14:textId="77777777" w:rsidR="007C3F68" w:rsidRPr="00A53AD7" w:rsidRDefault="007C3F68" w:rsidP="00A23C9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поставленных задач и результатов РП «Культурная среда» в 2019 году представлено в следующей таблице:</w:t>
      </w:r>
    </w:p>
    <w:tbl>
      <w:tblPr>
        <w:tblW w:w="9498" w:type="dxa"/>
        <w:tblInd w:w="-23" w:type="dxa"/>
        <w:tblLook w:val="04A0" w:firstRow="1" w:lastRow="0" w:firstColumn="1" w:lastColumn="0" w:noHBand="0" w:noVBand="1"/>
      </w:tblPr>
      <w:tblGrid>
        <w:gridCol w:w="6663"/>
        <w:gridCol w:w="1559"/>
        <w:gridCol w:w="1276"/>
      </w:tblGrid>
      <w:tr w:rsidR="00D470B6" w:rsidRPr="00A53AD7" w14:paraId="65B67D71" w14:textId="77777777" w:rsidTr="00B663C9">
        <w:trPr>
          <w:trHeight w:val="254"/>
        </w:trPr>
        <w:tc>
          <w:tcPr>
            <w:tcW w:w="6663"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BFB4901" w14:textId="7F9B9E9F"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задачи, результата, ед.изм</w:t>
            </w:r>
            <w:r w:rsidR="001E23FF" w:rsidRPr="00A53AD7">
              <w:rPr>
                <w:rFonts w:ascii="Times New Roman" w:eastAsia="Times New Roman" w:hAnsi="Times New Roman"/>
                <w:sz w:val="20"/>
                <w:szCs w:val="20"/>
                <w:lang w:eastAsia="ru-RU"/>
              </w:rPr>
              <w:t>.</w:t>
            </w:r>
          </w:p>
        </w:tc>
        <w:tc>
          <w:tcPr>
            <w:tcW w:w="1559" w:type="dxa"/>
            <w:tcBorders>
              <w:top w:val="double" w:sz="6" w:space="0" w:color="auto"/>
              <w:left w:val="nil"/>
              <w:bottom w:val="single" w:sz="4" w:space="0" w:color="auto"/>
              <w:right w:val="single" w:sz="4" w:space="0" w:color="auto"/>
            </w:tcBorders>
            <w:shd w:val="clear" w:color="auto" w:fill="auto"/>
            <w:vAlign w:val="center"/>
            <w:hideMark/>
          </w:tcPr>
          <w:p w14:paraId="322C759E" w14:textId="77777777" w:rsidR="007C3F68" w:rsidRPr="00A53AD7" w:rsidRDefault="007C3F68" w:rsidP="00B663C9">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Предусмотрено</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6EA90876" w14:textId="77777777" w:rsidR="007C3F68" w:rsidRPr="00A53AD7" w:rsidRDefault="007C3F68" w:rsidP="00B663C9">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Выполнено</w:t>
            </w:r>
          </w:p>
        </w:tc>
      </w:tr>
      <w:tr w:rsidR="00D470B6" w:rsidRPr="00A53AD7" w14:paraId="3E18DD45" w14:textId="77777777" w:rsidTr="007C3F68">
        <w:trPr>
          <w:trHeight w:val="473"/>
        </w:trPr>
        <w:tc>
          <w:tcPr>
            <w:tcW w:w="9498" w:type="dxa"/>
            <w:gridSpan w:val="3"/>
            <w:tcBorders>
              <w:top w:val="single" w:sz="4" w:space="0" w:color="auto"/>
              <w:left w:val="double" w:sz="6" w:space="0" w:color="auto"/>
              <w:bottom w:val="single" w:sz="4" w:space="0" w:color="auto"/>
              <w:right w:val="double" w:sz="6" w:space="0" w:color="000000"/>
            </w:tcBorders>
            <w:shd w:val="clear" w:color="auto" w:fill="auto"/>
            <w:vAlign w:val="center"/>
            <w:hideMark/>
          </w:tcPr>
          <w:p w14:paraId="24F74B84" w14:textId="77777777" w:rsidR="007C3F68" w:rsidRPr="00A53AD7" w:rsidRDefault="007C3F68" w:rsidP="00B663C9">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Задача «Обеспечить детские музыкальные, художественные, хореографические школы, училища и школы искусств необходимыми инструментами, оборудованием и материалами»</w:t>
            </w:r>
          </w:p>
        </w:tc>
      </w:tr>
      <w:tr w:rsidR="00D470B6" w:rsidRPr="00A53AD7" w14:paraId="246DF716" w14:textId="77777777" w:rsidTr="00B663C9">
        <w:trPr>
          <w:trHeight w:val="641"/>
        </w:trPr>
        <w:tc>
          <w:tcPr>
            <w:tcW w:w="6663" w:type="dxa"/>
            <w:tcBorders>
              <w:top w:val="nil"/>
              <w:left w:val="double" w:sz="6" w:space="0" w:color="auto"/>
              <w:bottom w:val="single" w:sz="4" w:space="0" w:color="auto"/>
              <w:right w:val="single" w:sz="4" w:space="0" w:color="auto"/>
            </w:tcBorders>
            <w:shd w:val="clear" w:color="auto" w:fill="auto"/>
            <w:vAlign w:val="center"/>
            <w:hideMark/>
          </w:tcPr>
          <w:p w14:paraId="5AED837F" w14:textId="77777777" w:rsidR="007C3F68" w:rsidRPr="00A53AD7" w:rsidRDefault="007C3F68" w:rsidP="00B663C9">
            <w:pPr>
              <w:spacing w:after="0" w:line="240" w:lineRule="auto"/>
              <w:rPr>
                <w:rFonts w:ascii="Times New Roman" w:eastAsia="Times New Roman" w:hAnsi="Times New Roman"/>
                <w:i/>
                <w:iCs/>
                <w:sz w:val="20"/>
                <w:szCs w:val="20"/>
                <w:lang w:eastAsia="ru-RU"/>
              </w:rPr>
            </w:pPr>
            <w:r w:rsidRPr="00A53AD7">
              <w:rPr>
                <w:rFonts w:ascii="Times New Roman" w:hAnsi="Times New Roman"/>
                <w:i/>
                <w:iCs/>
                <w:sz w:val="20"/>
                <w:szCs w:val="20"/>
                <w:lang w:eastAsia="ru-RU"/>
              </w:rPr>
              <w:t>Оснащены образовательные учреждения в сфере культуры (детские школы искусств по видам искусств и училищ) музыкальными инструментами, оборудованием и учебными материалами»</w:t>
            </w:r>
          </w:p>
        </w:tc>
        <w:tc>
          <w:tcPr>
            <w:tcW w:w="1559" w:type="dxa"/>
            <w:tcBorders>
              <w:top w:val="nil"/>
              <w:left w:val="nil"/>
              <w:bottom w:val="single" w:sz="4" w:space="0" w:color="auto"/>
              <w:right w:val="single" w:sz="4" w:space="0" w:color="auto"/>
            </w:tcBorders>
            <w:shd w:val="clear" w:color="auto" w:fill="auto"/>
            <w:vAlign w:val="center"/>
            <w:hideMark/>
          </w:tcPr>
          <w:p w14:paraId="64DA7A66"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1276" w:type="dxa"/>
            <w:tcBorders>
              <w:top w:val="nil"/>
              <w:left w:val="nil"/>
              <w:bottom w:val="single" w:sz="4" w:space="0" w:color="auto"/>
              <w:right w:val="double" w:sz="6" w:space="0" w:color="auto"/>
            </w:tcBorders>
            <w:shd w:val="clear" w:color="auto" w:fill="auto"/>
            <w:vAlign w:val="center"/>
            <w:hideMark/>
          </w:tcPr>
          <w:p w14:paraId="2C967E09"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r>
      <w:tr w:rsidR="00D470B6" w:rsidRPr="00A53AD7" w14:paraId="3BE03B98" w14:textId="77777777" w:rsidTr="00B663C9">
        <w:trPr>
          <w:trHeight w:val="226"/>
        </w:trPr>
        <w:tc>
          <w:tcPr>
            <w:tcW w:w="6663" w:type="dxa"/>
            <w:tcBorders>
              <w:top w:val="nil"/>
              <w:left w:val="double" w:sz="6" w:space="0" w:color="auto"/>
              <w:bottom w:val="single" w:sz="4" w:space="0" w:color="auto"/>
              <w:right w:val="single" w:sz="4" w:space="0" w:color="auto"/>
            </w:tcBorders>
            <w:shd w:val="clear" w:color="auto" w:fill="auto"/>
            <w:vAlign w:val="center"/>
            <w:hideMark/>
          </w:tcPr>
          <w:p w14:paraId="29ACDC56" w14:textId="77777777" w:rsidR="007C3F68" w:rsidRPr="00A53AD7" w:rsidRDefault="007C3F68" w:rsidP="00B663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Переоснащены муниципальные библиотеки по модельному стандарту</w:t>
            </w:r>
          </w:p>
        </w:tc>
        <w:tc>
          <w:tcPr>
            <w:tcW w:w="1559" w:type="dxa"/>
            <w:tcBorders>
              <w:top w:val="nil"/>
              <w:left w:val="nil"/>
              <w:bottom w:val="single" w:sz="4" w:space="0" w:color="auto"/>
              <w:right w:val="single" w:sz="4" w:space="0" w:color="auto"/>
            </w:tcBorders>
            <w:shd w:val="clear" w:color="auto" w:fill="auto"/>
            <w:vAlign w:val="center"/>
            <w:hideMark/>
          </w:tcPr>
          <w:p w14:paraId="678DA4CF"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276" w:type="dxa"/>
            <w:tcBorders>
              <w:top w:val="nil"/>
              <w:left w:val="nil"/>
              <w:bottom w:val="single" w:sz="4" w:space="0" w:color="auto"/>
              <w:right w:val="double" w:sz="6" w:space="0" w:color="auto"/>
            </w:tcBorders>
            <w:shd w:val="clear" w:color="auto" w:fill="auto"/>
            <w:vAlign w:val="center"/>
            <w:hideMark/>
          </w:tcPr>
          <w:p w14:paraId="3FF883AC"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r>
      <w:tr w:rsidR="00D470B6" w:rsidRPr="00A53AD7" w14:paraId="0E53D27F" w14:textId="77777777" w:rsidTr="00B663C9">
        <w:trPr>
          <w:trHeight w:val="400"/>
        </w:trPr>
        <w:tc>
          <w:tcPr>
            <w:tcW w:w="6663" w:type="dxa"/>
            <w:tcBorders>
              <w:top w:val="nil"/>
              <w:left w:val="double" w:sz="6" w:space="0" w:color="auto"/>
              <w:bottom w:val="single" w:sz="4" w:space="0" w:color="auto"/>
              <w:right w:val="single" w:sz="4" w:space="0" w:color="auto"/>
            </w:tcBorders>
            <w:shd w:val="clear" w:color="auto" w:fill="auto"/>
            <w:vAlign w:val="center"/>
            <w:hideMark/>
          </w:tcPr>
          <w:p w14:paraId="245B1574" w14:textId="77777777" w:rsidR="007C3F68" w:rsidRPr="00A53AD7" w:rsidRDefault="007C3F68" w:rsidP="00B663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Построены (реконструированы) и (или) капитально отремонтированы культурно-досуговые учреждения в сельской местности</w:t>
            </w:r>
          </w:p>
        </w:tc>
        <w:tc>
          <w:tcPr>
            <w:tcW w:w="1559" w:type="dxa"/>
            <w:tcBorders>
              <w:top w:val="nil"/>
              <w:left w:val="nil"/>
              <w:bottom w:val="single" w:sz="4" w:space="0" w:color="auto"/>
              <w:right w:val="single" w:sz="4" w:space="0" w:color="auto"/>
            </w:tcBorders>
            <w:shd w:val="clear" w:color="auto" w:fill="auto"/>
            <w:vAlign w:val="center"/>
            <w:hideMark/>
          </w:tcPr>
          <w:p w14:paraId="5552D7CF"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w:t>
            </w:r>
          </w:p>
        </w:tc>
        <w:tc>
          <w:tcPr>
            <w:tcW w:w="1276" w:type="dxa"/>
            <w:tcBorders>
              <w:top w:val="nil"/>
              <w:left w:val="nil"/>
              <w:bottom w:val="single" w:sz="4" w:space="0" w:color="auto"/>
              <w:right w:val="double" w:sz="6" w:space="0" w:color="auto"/>
            </w:tcBorders>
            <w:shd w:val="clear" w:color="auto" w:fill="auto"/>
            <w:vAlign w:val="center"/>
            <w:hideMark/>
          </w:tcPr>
          <w:p w14:paraId="662E03C7"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w:t>
            </w:r>
          </w:p>
        </w:tc>
      </w:tr>
      <w:tr w:rsidR="00D470B6" w:rsidRPr="00A53AD7" w14:paraId="7B69A827" w14:textId="77777777" w:rsidTr="00B663C9">
        <w:trPr>
          <w:trHeight w:val="363"/>
        </w:trPr>
        <w:tc>
          <w:tcPr>
            <w:tcW w:w="9498" w:type="dxa"/>
            <w:gridSpan w:val="3"/>
            <w:tcBorders>
              <w:top w:val="single" w:sz="4" w:space="0" w:color="auto"/>
              <w:left w:val="double" w:sz="6" w:space="0" w:color="auto"/>
              <w:bottom w:val="single" w:sz="4" w:space="0" w:color="auto"/>
              <w:right w:val="double" w:sz="6" w:space="0" w:color="000000"/>
            </w:tcBorders>
            <w:shd w:val="clear" w:color="auto" w:fill="auto"/>
            <w:vAlign w:val="center"/>
            <w:hideMark/>
          </w:tcPr>
          <w:p w14:paraId="40BF0683" w14:textId="77777777" w:rsidR="007C3F68" w:rsidRPr="00A53AD7" w:rsidRDefault="007C3F68" w:rsidP="00B663C9">
            <w:pPr>
              <w:spacing w:after="0" w:line="240" w:lineRule="auto"/>
              <w:jc w:val="both"/>
              <w:rPr>
                <w:rFonts w:ascii="Times New Roman" w:eastAsia="Times New Roman" w:hAnsi="Times New Roman"/>
                <w:sz w:val="20"/>
                <w:szCs w:val="20"/>
                <w:lang w:eastAsia="ru-RU"/>
              </w:rPr>
            </w:pPr>
            <w:r w:rsidRPr="00A53AD7">
              <w:rPr>
                <w:rFonts w:ascii="Times New Roman" w:hAnsi="Times New Roman"/>
                <w:sz w:val="20"/>
                <w:szCs w:val="20"/>
                <w:lang w:eastAsia="ru-RU"/>
              </w:rPr>
              <w:t>Задача «Модернизировать региональные и муниципальные театры юного зрителя и кукольные театры путем их реконструкции и капитального ремонта»</w:t>
            </w:r>
          </w:p>
        </w:tc>
      </w:tr>
      <w:tr w:rsidR="00D470B6" w:rsidRPr="00A53AD7" w14:paraId="171B0020" w14:textId="77777777" w:rsidTr="00B663C9">
        <w:trPr>
          <w:trHeight w:val="597"/>
        </w:trPr>
        <w:tc>
          <w:tcPr>
            <w:tcW w:w="6663" w:type="dxa"/>
            <w:tcBorders>
              <w:top w:val="nil"/>
              <w:left w:val="double" w:sz="6" w:space="0" w:color="auto"/>
              <w:bottom w:val="single" w:sz="4" w:space="0" w:color="auto"/>
              <w:right w:val="single" w:sz="4" w:space="0" w:color="auto"/>
            </w:tcBorders>
            <w:shd w:val="clear" w:color="auto" w:fill="auto"/>
            <w:vAlign w:val="center"/>
            <w:hideMark/>
          </w:tcPr>
          <w:p w14:paraId="1F64D4D5" w14:textId="77777777" w:rsidR="007C3F68" w:rsidRPr="00A53AD7" w:rsidRDefault="007C3F68" w:rsidP="00ED1151">
            <w:pPr>
              <w:spacing w:after="0" w:line="240" w:lineRule="auto"/>
              <w:rPr>
                <w:rFonts w:ascii="Times New Roman" w:eastAsia="Times New Roman" w:hAnsi="Times New Roman"/>
                <w:i/>
                <w:iCs/>
                <w:sz w:val="20"/>
                <w:szCs w:val="20"/>
                <w:lang w:eastAsia="ru-RU"/>
              </w:rPr>
            </w:pPr>
            <w:r w:rsidRPr="00A53AD7">
              <w:rPr>
                <w:rFonts w:ascii="Times New Roman" w:hAnsi="Times New Roman"/>
                <w:i/>
                <w:iCs/>
                <w:sz w:val="20"/>
                <w:szCs w:val="20"/>
                <w:lang w:eastAsia="ru-RU"/>
              </w:rPr>
              <w:t>Оснащены образовательные учреждения в сфере культуры (детские школы искусств по видам искусств и училищ) музыкальными инструментами, оборудованием и учебными материалами</w:t>
            </w:r>
          </w:p>
        </w:tc>
        <w:tc>
          <w:tcPr>
            <w:tcW w:w="1559" w:type="dxa"/>
            <w:tcBorders>
              <w:top w:val="nil"/>
              <w:left w:val="nil"/>
              <w:bottom w:val="single" w:sz="4" w:space="0" w:color="auto"/>
              <w:right w:val="single" w:sz="4" w:space="0" w:color="auto"/>
            </w:tcBorders>
            <w:shd w:val="clear" w:color="auto" w:fill="auto"/>
            <w:vAlign w:val="center"/>
            <w:hideMark/>
          </w:tcPr>
          <w:p w14:paraId="7A45C22C"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1276" w:type="dxa"/>
            <w:tcBorders>
              <w:top w:val="nil"/>
              <w:left w:val="nil"/>
              <w:bottom w:val="single" w:sz="4" w:space="0" w:color="auto"/>
              <w:right w:val="double" w:sz="6" w:space="0" w:color="auto"/>
            </w:tcBorders>
            <w:shd w:val="clear" w:color="auto" w:fill="auto"/>
            <w:vAlign w:val="center"/>
            <w:hideMark/>
          </w:tcPr>
          <w:p w14:paraId="6137072C"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r>
      <w:tr w:rsidR="007C3F68" w:rsidRPr="00A53AD7" w14:paraId="489AB733" w14:textId="77777777" w:rsidTr="00B663C9">
        <w:trPr>
          <w:trHeight w:val="181"/>
        </w:trPr>
        <w:tc>
          <w:tcPr>
            <w:tcW w:w="6663" w:type="dxa"/>
            <w:tcBorders>
              <w:top w:val="nil"/>
              <w:left w:val="double" w:sz="6" w:space="0" w:color="auto"/>
              <w:bottom w:val="double" w:sz="6" w:space="0" w:color="auto"/>
              <w:right w:val="single" w:sz="4" w:space="0" w:color="auto"/>
            </w:tcBorders>
            <w:shd w:val="clear" w:color="auto" w:fill="auto"/>
            <w:vAlign w:val="center"/>
            <w:hideMark/>
          </w:tcPr>
          <w:p w14:paraId="01E076A3" w14:textId="77777777" w:rsidR="007C3F68" w:rsidRPr="00A53AD7" w:rsidRDefault="007C3F68" w:rsidP="00B663C9">
            <w:pPr>
              <w:spacing w:after="0" w:line="240" w:lineRule="auto"/>
              <w:jc w:val="both"/>
              <w:rPr>
                <w:rFonts w:ascii="Times New Roman" w:eastAsia="Times New Roman" w:hAnsi="Times New Roman"/>
                <w:sz w:val="20"/>
                <w:szCs w:val="20"/>
                <w:lang w:eastAsia="ru-RU"/>
              </w:rPr>
            </w:pPr>
            <w:r w:rsidRPr="00A53AD7">
              <w:rPr>
                <w:rFonts w:ascii="Times New Roman" w:hAnsi="Times New Roman"/>
                <w:sz w:val="20"/>
                <w:szCs w:val="20"/>
                <w:lang w:eastAsia="ru-RU"/>
              </w:rPr>
              <w:t>Оснащены оборудованием кинозалы</w:t>
            </w:r>
          </w:p>
        </w:tc>
        <w:tc>
          <w:tcPr>
            <w:tcW w:w="1559" w:type="dxa"/>
            <w:tcBorders>
              <w:top w:val="nil"/>
              <w:left w:val="nil"/>
              <w:bottom w:val="double" w:sz="6" w:space="0" w:color="auto"/>
              <w:right w:val="single" w:sz="4" w:space="0" w:color="auto"/>
            </w:tcBorders>
            <w:shd w:val="clear" w:color="auto" w:fill="auto"/>
            <w:vAlign w:val="center"/>
            <w:hideMark/>
          </w:tcPr>
          <w:p w14:paraId="1B3408BC"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w:t>
            </w:r>
          </w:p>
        </w:tc>
        <w:tc>
          <w:tcPr>
            <w:tcW w:w="1276" w:type="dxa"/>
            <w:tcBorders>
              <w:top w:val="nil"/>
              <w:left w:val="nil"/>
              <w:bottom w:val="double" w:sz="6" w:space="0" w:color="auto"/>
              <w:right w:val="double" w:sz="6" w:space="0" w:color="auto"/>
            </w:tcBorders>
            <w:shd w:val="clear" w:color="auto" w:fill="auto"/>
            <w:vAlign w:val="center"/>
            <w:hideMark/>
          </w:tcPr>
          <w:p w14:paraId="363FCCA5" w14:textId="77777777" w:rsidR="007C3F68" w:rsidRPr="00A53AD7" w:rsidRDefault="007C3F68" w:rsidP="00B663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w:t>
            </w:r>
          </w:p>
        </w:tc>
      </w:tr>
    </w:tbl>
    <w:p w14:paraId="7272F086" w14:textId="77777777" w:rsidR="007C3F68" w:rsidRPr="00A53AD7" w:rsidRDefault="007C3F68" w:rsidP="00B663C9">
      <w:pPr>
        <w:spacing w:after="0" w:line="240" w:lineRule="auto"/>
        <w:ind w:firstLine="851"/>
        <w:jc w:val="both"/>
        <w:rPr>
          <w:rFonts w:ascii="Times New Roman" w:hAnsi="Times New Roman"/>
          <w:sz w:val="28"/>
          <w:szCs w:val="28"/>
        </w:rPr>
      </w:pPr>
    </w:p>
    <w:p w14:paraId="3E822C15" w14:textId="77777777" w:rsidR="007C3F68" w:rsidRPr="00A53AD7" w:rsidRDefault="007C3F68" w:rsidP="00B663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Поставленные на 2019 год задачи, обеспеченные финансированием, выполнены в полном объеме: </w:t>
      </w:r>
    </w:p>
    <w:p w14:paraId="22E1EE95" w14:textId="67E6A644" w:rsidR="007C3F68" w:rsidRPr="00A53AD7" w:rsidRDefault="007C3F68" w:rsidP="00CA1DDD">
      <w:pPr>
        <w:pStyle w:val="a8"/>
        <w:numPr>
          <w:ilvl w:val="0"/>
          <w:numId w:val="43"/>
        </w:numPr>
        <w:ind w:left="0" w:firstLine="839"/>
        <w:jc w:val="both"/>
        <w:rPr>
          <w:sz w:val="28"/>
          <w:szCs w:val="28"/>
        </w:rPr>
      </w:pPr>
      <w:r w:rsidRPr="00A53AD7">
        <w:rPr>
          <w:sz w:val="28"/>
          <w:szCs w:val="28"/>
        </w:rPr>
        <w:t>оснащены 5 образовательных учреждений Архангельской области музыкальными инструментами, оборудованием и материалами на сумму 24,9 млн.руб.</w:t>
      </w:r>
      <w:r w:rsidR="00ED1151" w:rsidRPr="00A53AD7">
        <w:rPr>
          <w:sz w:val="28"/>
          <w:szCs w:val="28"/>
        </w:rPr>
        <w:t>;</w:t>
      </w:r>
    </w:p>
    <w:p w14:paraId="508A9282" w14:textId="168570D2" w:rsidR="007C3F68" w:rsidRPr="00A53AD7" w:rsidRDefault="007C3F68" w:rsidP="00CA1DDD">
      <w:pPr>
        <w:pStyle w:val="a8"/>
        <w:numPr>
          <w:ilvl w:val="0"/>
          <w:numId w:val="43"/>
        </w:numPr>
        <w:ind w:left="0" w:firstLine="839"/>
        <w:jc w:val="both"/>
        <w:rPr>
          <w:sz w:val="28"/>
          <w:szCs w:val="28"/>
        </w:rPr>
      </w:pPr>
      <w:r w:rsidRPr="00A53AD7">
        <w:rPr>
          <w:sz w:val="28"/>
          <w:szCs w:val="28"/>
        </w:rPr>
        <w:t>создана модельная муниципальная библиотека на базе Котласской центральной библиотеки муниципального учреждения культуры «Котласская централизованная библиотечная система» (на 10,5 млн.руб.)</w:t>
      </w:r>
      <w:r w:rsidR="00ED1151" w:rsidRPr="00A53AD7">
        <w:rPr>
          <w:sz w:val="28"/>
          <w:szCs w:val="28"/>
        </w:rPr>
        <w:t>;</w:t>
      </w:r>
    </w:p>
    <w:p w14:paraId="6F2370E5" w14:textId="1F1B1003" w:rsidR="007C3F68" w:rsidRPr="00A53AD7" w:rsidRDefault="007C3F68" w:rsidP="00CA1DDD">
      <w:pPr>
        <w:pStyle w:val="a8"/>
        <w:numPr>
          <w:ilvl w:val="0"/>
          <w:numId w:val="43"/>
        </w:numPr>
        <w:ind w:left="0" w:firstLine="839"/>
        <w:jc w:val="both"/>
        <w:rPr>
          <w:sz w:val="28"/>
          <w:szCs w:val="28"/>
        </w:rPr>
      </w:pPr>
      <w:r w:rsidRPr="00A53AD7">
        <w:rPr>
          <w:sz w:val="28"/>
          <w:szCs w:val="28"/>
        </w:rPr>
        <w:t>проведены работы по капитальному ремонту 6 культурно-досуговых учреждений Архангельской области в сельско</w:t>
      </w:r>
      <w:r w:rsidR="00ED1151" w:rsidRPr="00A53AD7">
        <w:rPr>
          <w:sz w:val="28"/>
          <w:szCs w:val="28"/>
        </w:rPr>
        <w:t>й местности (на 11,9 млн.руб.);</w:t>
      </w:r>
    </w:p>
    <w:p w14:paraId="3DAF0212"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министерством строительства и архитектуры Архангельской области на развитие сети учреждений культурно-досугового типа в сельской местности по мероприятию «На строительство центра культурного развития на 120 мест в с. Ильинско-Подомское Вилегодского района Архангельской области» направлены межбюджетные трансферы в сумме 40 млн.руб. Согласно отчету плановый срок реализации данного мероприятия определен 31.12.2020. Согласно отчету о реализации в 2019 году государственной программы Архангельской области «Устойчивое развитие сельских территорий Архангельской области (2014 – 2021 годы)», размещенному в КИАС Архангельской области, на данном объекте проведены работы по устройству стен и перекрытий при строительстве центра культурного развития на 120 мест в селе Ильинско-Подомское Вилегодского муниципального района Архангельской области.</w:t>
      </w:r>
    </w:p>
    <w:p w14:paraId="7DEF3032" w14:textId="77777777" w:rsidR="007C3F68" w:rsidRPr="00A53AD7" w:rsidRDefault="007C3F68" w:rsidP="00B663C9">
      <w:pPr>
        <w:spacing w:after="0" w:line="240" w:lineRule="auto"/>
        <w:ind w:firstLine="851"/>
        <w:jc w:val="both"/>
        <w:rPr>
          <w:rFonts w:ascii="Times New Roman" w:hAnsi="Times New Roman"/>
          <w:sz w:val="28"/>
          <w:szCs w:val="28"/>
        </w:rPr>
      </w:pPr>
    </w:p>
    <w:p w14:paraId="5C18EF30" w14:textId="77777777" w:rsidR="007C3F68" w:rsidRPr="00A53AD7" w:rsidRDefault="007C3F68" w:rsidP="00ED1151">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«Творческие люди»</w:t>
      </w:r>
    </w:p>
    <w:p w14:paraId="78916737"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регионального проекта «Творческие люди» в 2019 году предусматривает:</w:t>
      </w:r>
    </w:p>
    <w:p w14:paraId="7D319972" w14:textId="618FF0A2" w:rsidR="007C3F68" w:rsidRPr="00A53AD7" w:rsidRDefault="007C3F68" w:rsidP="00CA1DDD">
      <w:pPr>
        <w:pStyle w:val="a8"/>
        <w:numPr>
          <w:ilvl w:val="0"/>
          <w:numId w:val="43"/>
        </w:numPr>
        <w:ind w:left="0" w:firstLine="839"/>
        <w:jc w:val="both"/>
        <w:rPr>
          <w:sz w:val="28"/>
          <w:szCs w:val="28"/>
        </w:rPr>
      </w:pPr>
      <w:r w:rsidRPr="00A53AD7">
        <w:rPr>
          <w:sz w:val="28"/>
          <w:szCs w:val="28"/>
        </w:rPr>
        <w:t>проведение фестивалей детского творчества всех жанров;</w:t>
      </w:r>
    </w:p>
    <w:p w14:paraId="72D89CFA" w14:textId="6BCD82FC" w:rsidR="007C3F68" w:rsidRPr="00A53AD7" w:rsidRDefault="007C3F68" w:rsidP="00CA1DDD">
      <w:pPr>
        <w:pStyle w:val="a8"/>
        <w:numPr>
          <w:ilvl w:val="0"/>
          <w:numId w:val="43"/>
        </w:numPr>
        <w:ind w:left="0" w:firstLine="839"/>
        <w:jc w:val="both"/>
        <w:rPr>
          <w:sz w:val="28"/>
          <w:szCs w:val="28"/>
        </w:rPr>
      </w:pPr>
      <w:r w:rsidRPr="00A53AD7">
        <w:rPr>
          <w:sz w:val="28"/>
          <w:szCs w:val="28"/>
        </w:rPr>
        <w:t>проведение Фестиваля любительских творческих коллективов с вручением грантов;</w:t>
      </w:r>
    </w:p>
    <w:p w14:paraId="7B0B18AE" w14:textId="5CA8B11F" w:rsidR="007C3F68" w:rsidRPr="00A53AD7" w:rsidRDefault="007C3F68" w:rsidP="00CA1DDD">
      <w:pPr>
        <w:pStyle w:val="a8"/>
        <w:numPr>
          <w:ilvl w:val="0"/>
          <w:numId w:val="43"/>
        </w:numPr>
        <w:ind w:left="0" w:firstLine="839"/>
        <w:jc w:val="both"/>
        <w:rPr>
          <w:sz w:val="28"/>
          <w:szCs w:val="28"/>
        </w:rPr>
      </w:pPr>
      <w:r w:rsidRPr="00A53AD7">
        <w:rPr>
          <w:sz w:val="28"/>
          <w:szCs w:val="28"/>
        </w:rPr>
        <w:t>поддержка всероссийских, международных и межрегиональных творческих проектов в области музыкального и театрального искусства;</w:t>
      </w:r>
    </w:p>
    <w:p w14:paraId="73BEC0C5" w14:textId="669ECE00" w:rsidR="007C3F68" w:rsidRPr="00A53AD7" w:rsidRDefault="007C3F68" w:rsidP="00CA1DDD">
      <w:pPr>
        <w:pStyle w:val="a8"/>
        <w:numPr>
          <w:ilvl w:val="0"/>
          <w:numId w:val="43"/>
        </w:numPr>
        <w:ind w:left="0" w:firstLine="839"/>
        <w:jc w:val="both"/>
        <w:rPr>
          <w:sz w:val="28"/>
          <w:szCs w:val="28"/>
        </w:rPr>
      </w:pPr>
      <w:r w:rsidRPr="00A53AD7">
        <w:rPr>
          <w:sz w:val="28"/>
          <w:szCs w:val="28"/>
        </w:rPr>
        <w:t xml:space="preserve">проведение выставочных проектов в федеральных и региональных музеях в субъектах Российской Федерации по популяризации культурного наследия; </w:t>
      </w:r>
    </w:p>
    <w:p w14:paraId="77F6459E" w14:textId="5ABC724D" w:rsidR="007C3F68" w:rsidRPr="00A53AD7" w:rsidRDefault="007C3F68" w:rsidP="00CA1DDD">
      <w:pPr>
        <w:pStyle w:val="a8"/>
        <w:numPr>
          <w:ilvl w:val="0"/>
          <w:numId w:val="43"/>
        </w:numPr>
        <w:ind w:left="0" w:firstLine="839"/>
        <w:jc w:val="both"/>
        <w:rPr>
          <w:sz w:val="28"/>
          <w:szCs w:val="28"/>
        </w:rPr>
      </w:pPr>
      <w:r w:rsidRPr="00A53AD7">
        <w:rPr>
          <w:sz w:val="28"/>
          <w:szCs w:val="28"/>
        </w:rPr>
        <w:t>обеспечение поддержки добровольческих движений, в том числе в сфере сохранения культурного наследия народов Российской Федерации;</w:t>
      </w:r>
    </w:p>
    <w:p w14:paraId="3DD9A893" w14:textId="5B4EED01" w:rsidR="007C3F68" w:rsidRPr="00A53AD7" w:rsidRDefault="007C3F68" w:rsidP="00CA1DDD">
      <w:pPr>
        <w:pStyle w:val="a8"/>
        <w:numPr>
          <w:ilvl w:val="0"/>
          <w:numId w:val="43"/>
        </w:numPr>
        <w:ind w:left="0" w:firstLine="839"/>
        <w:jc w:val="both"/>
        <w:rPr>
          <w:sz w:val="28"/>
          <w:szCs w:val="28"/>
        </w:rPr>
      </w:pPr>
      <w:r w:rsidRPr="00A53AD7">
        <w:rPr>
          <w:sz w:val="28"/>
          <w:szCs w:val="28"/>
        </w:rPr>
        <w:t xml:space="preserve">поддержка творческих проектов, направленных на укрепление российской гражданской идентичности на основе духовно-нравственных и культурных ценностей народов Российской Федерации, включая мероприятия, направленные на популяризацию русского языка и литературы, народных художественных промыслов и ремесел, поддержку изобразительного искусства; </w:t>
      </w:r>
    </w:p>
    <w:p w14:paraId="6224D1B6" w14:textId="269367FF" w:rsidR="007C3F68" w:rsidRPr="00A53AD7" w:rsidRDefault="007C3F68" w:rsidP="00CA1DDD">
      <w:pPr>
        <w:pStyle w:val="a8"/>
        <w:numPr>
          <w:ilvl w:val="0"/>
          <w:numId w:val="43"/>
        </w:numPr>
        <w:ind w:left="0" w:firstLine="839"/>
        <w:jc w:val="both"/>
        <w:rPr>
          <w:sz w:val="28"/>
          <w:szCs w:val="28"/>
        </w:rPr>
      </w:pPr>
      <w:r w:rsidRPr="00A53AD7">
        <w:rPr>
          <w:sz w:val="28"/>
          <w:szCs w:val="28"/>
        </w:rPr>
        <w:t>создание и функционирование Центров непрерывного образования и повышения квалификации творческих и управленческих кадров в сфере культуры;</w:t>
      </w:r>
    </w:p>
    <w:p w14:paraId="398E29CE" w14:textId="014C88A0" w:rsidR="007C3F68" w:rsidRPr="00A53AD7" w:rsidRDefault="007C3F68" w:rsidP="00CA1DDD">
      <w:pPr>
        <w:pStyle w:val="a8"/>
        <w:numPr>
          <w:ilvl w:val="0"/>
          <w:numId w:val="43"/>
        </w:numPr>
        <w:ind w:left="0" w:firstLine="839"/>
        <w:jc w:val="both"/>
        <w:rPr>
          <w:sz w:val="28"/>
          <w:szCs w:val="28"/>
        </w:rPr>
      </w:pPr>
      <w:r w:rsidRPr="00A53AD7">
        <w:rPr>
          <w:sz w:val="28"/>
          <w:szCs w:val="28"/>
        </w:rPr>
        <w:t>организацию культурно-просветительских программ для школьников.</w:t>
      </w:r>
    </w:p>
    <w:p w14:paraId="1DE692E3"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РП «Творческие люди» направлено 6,8 млн.руб. или 100% от запланированного объема финансирования.</w:t>
      </w:r>
    </w:p>
    <w:p w14:paraId="319DDA25" w14:textId="77777777" w:rsidR="007C3F68" w:rsidRPr="00A53AD7" w:rsidRDefault="007C3F68" w:rsidP="00ED1151">
      <w:pPr>
        <w:spacing w:after="0" w:line="240" w:lineRule="auto"/>
        <w:ind w:firstLine="851"/>
        <w:jc w:val="both"/>
        <w:rPr>
          <w:rFonts w:ascii="Times New Roman" w:hAnsi="Times New Roman"/>
          <w:sz w:val="28"/>
          <w:szCs w:val="28"/>
        </w:rPr>
      </w:pPr>
    </w:p>
    <w:p w14:paraId="0FC68274"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показателей РП «Творческие люди» в 2019 году следующее:</w:t>
      </w:r>
    </w:p>
    <w:p w14:paraId="4D875AC8"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Показатель «Количество специалистов, прошедших повышение квалификации на базе Центров непрерывного образования и повышения квалификации творческих и управленческих кадров в сфере культуры» - 120 человек. В том числе: 120 специалистов из 8 муниципальных образований Архангельской области прошли обучение в ведущих учебных заведениях страны: в Российском институте театрального искусства ГИТИС, в Российской академии музыки имени Гнесиных, в Санкт-Петербургском и Краснодарском государственных институтах культуры.</w:t>
      </w:r>
    </w:p>
    <w:p w14:paraId="5CB27ECD"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Показатель «Количество волонтеров, вовлеченных в программу «Волонтеры культуры» - 75 человек (предусмотрено на 2019 год). На основании письма Министерства культуры Российской Федерации от 13.12.2019 № 4509-13-07 в 2019 году фактическое значение показателя Архангельской области в 2019 году составило 379 человек (по числу волонтеров, зарегистрированных на ЕИС «Добровольцы России»).</w:t>
      </w:r>
    </w:p>
    <w:p w14:paraId="46B757A3"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регионального проекта «Творческие люди» реализованы следующие значимые мероприятия:</w:t>
      </w:r>
    </w:p>
    <w:p w14:paraId="02A9E7E7"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20 сентября 2019 года некоммерческой организацией «Поморский культурный фонд «Берегиня» при поддержке Министерства культуры Российской Федерации организован Всероссийский фестиваль-конкурс народного творчества «Сметанинские встречи» в Архангельской области В фестивале приняли участие 54 музыканта из Республики Северная Осетия- Алания, Республики Мордовия, Республики Коми, Республики Татарстан. Архангельской, Вологодской, Воронежской, Курской, Орловской областей, городов Москвы и Санкт-Петербурга;</w:t>
      </w:r>
    </w:p>
    <w:p w14:paraId="4B323AAC" w14:textId="77777777" w:rsidR="007C3F68" w:rsidRPr="00A53AD7" w:rsidRDefault="007C3F68" w:rsidP="00CA1DDD">
      <w:pPr>
        <w:pStyle w:val="a8"/>
        <w:numPr>
          <w:ilvl w:val="0"/>
          <w:numId w:val="43"/>
        </w:numPr>
        <w:ind w:left="0" w:firstLine="839"/>
        <w:jc w:val="both"/>
        <w:rPr>
          <w:sz w:val="28"/>
          <w:szCs w:val="28"/>
        </w:rPr>
      </w:pPr>
      <w:r w:rsidRPr="00A53AD7">
        <w:rPr>
          <w:sz w:val="28"/>
          <w:szCs w:val="28"/>
        </w:rPr>
        <w:t>27 сентября 2019 года на площадке музея изобразительного искусства ГБУК Архангельской области «Государственное музейное объединение «Художественная культура Русского Севера» совместно с некоммерческой организацией частным учреждением культуры «Культурный центр» Архангельской организации Союза художников России организован выставочный проект «Иван Шишкин. Живопись. Графика». Представлено 61 произведение: живописные работы из коллекции Государственного музея изобразительных искусств Республики Татарстан, графика И.И. Шишкина из коллекции Вологодской картинной галереи и государственного музейного объединения «Художественная культура Русского Севера».</w:t>
      </w:r>
    </w:p>
    <w:p w14:paraId="6101A357" w14:textId="77777777" w:rsidR="007C3F68" w:rsidRPr="00A53AD7" w:rsidRDefault="007C3F68" w:rsidP="00ED1151">
      <w:pPr>
        <w:spacing w:after="0" w:line="240" w:lineRule="auto"/>
        <w:ind w:firstLine="851"/>
        <w:jc w:val="both"/>
        <w:rPr>
          <w:rFonts w:ascii="Times New Roman" w:hAnsi="Times New Roman"/>
          <w:sz w:val="28"/>
          <w:szCs w:val="28"/>
        </w:rPr>
      </w:pPr>
    </w:p>
    <w:p w14:paraId="16E41CB2" w14:textId="77777777" w:rsidR="007C3F68" w:rsidRPr="00A53AD7" w:rsidRDefault="007C3F68" w:rsidP="00ED1151">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«Цифровизация услуг и формирование информационного пространства в сфере культуры»</w:t>
      </w:r>
    </w:p>
    <w:p w14:paraId="17C1E31B"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регионального проекта «Цифровизация услуг и формирование информационного пространства в сфере культуры» в 2019 году предусматривает: создание виртуальных концертных залов не менее чем в 500 городах Российской Федерации.</w:t>
      </w:r>
    </w:p>
    <w:p w14:paraId="043235EA" w14:textId="21BA93A0"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РП ««Цифровизация услуг и формирование информационного пространства в сфере культуры» направлено 0,2 млн.руб., за счет которых на цифровой платформе «Артефакт» созданы мультимедиа-гиды двух государственных музеев Архангельской области (ГБУК Архангельской области «Архангельский краеведческий музей», ГБУК Архангельской области «Государственное музейное объединение «Художественная культура Русского Севера»).</w:t>
      </w:r>
    </w:p>
    <w:p w14:paraId="154B00D7"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результатам проверки отчета о ходе реализации РП «Культурная среда» (по состоянию на 25.03.2020), сформированного министерством культуры и искусства Архангельской области по итогам 2019 года, выявлено нарушение сроков выполнения контрольных точек РП «Культурная среда», неполное заполнение форм отчетности по контрольным точкам:</w:t>
      </w:r>
    </w:p>
    <w:tbl>
      <w:tblPr>
        <w:tblW w:w="9356" w:type="dxa"/>
        <w:tblInd w:w="-23" w:type="dxa"/>
        <w:tblLayout w:type="fixed"/>
        <w:tblLook w:val="04A0" w:firstRow="1" w:lastRow="0" w:firstColumn="1" w:lastColumn="0" w:noHBand="0" w:noVBand="1"/>
      </w:tblPr>
      <w:tblGrid>
        <w:gridCol w:w="426"/>
        <w:gridCol w:w="6662"/>
        <w:gridCol w:w="1134"/>
        <w:gridCol w:w="1134"/>
      </w:tblGrid>
      <w:tr w:rsidR="00D470B6" w:rsidRPr="00A53AD7" w14:paraId="245763ED" w14:textId="77777777" w:rsidTr="00ED1151">
        <w:trPr>
          <w:trHeight w:val="119"/>
          <w:tblHeader/>
        </w:trPr>
        <w:tc>
          <w:tcPr>
            <w:tcW w:w="426"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796BFFBC"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666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3F3EC203"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Наименование контрольной точки (результата) проекта, мероприятие </w:t>
            </w:r>
          </w:p>
        </w:tc>
        <w:tc>
          <w:tcPr>
            <w:tcW w:w="2268" w:type="dxa"/>
            <w:gridSpan w:val="2"/>
            <w:tcBorders>
              <w:top w:val="double" w:sz="6" w:space="0" w:color="auto"/>
              <w:left w:val="nil"/>
              <w:bottom w:val="single" w:sz="4" w:space="0" w:color="auto"/>
              <w:right w:val="double" w:sz="6" w:space="0" w:color="000000"/>
            </w:tcBorders>
            <w:shd w:val="clear" w:color="auto" w:fill="auto"/>
            <w:vAlign w:val="center"/>
            <w:hideMark/>
          </w:tcPr>
          <w:p w14:paraId="65A5CA86" w14:textId="77777777" w:rsidR="007C3F68" w:rsidRPr="00A53AD7" w:rsidRDefault="007C3F68" w:rsidP="00ED115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Срок реализации</w:t>
            </w:r>
          </w:p>
        </w:tc>
      </w:tr>
      <w:tr w:rsidR="00D470B6" w:rsidRPr="00A53AD7" w14:paraId="602EDCE6" w14:textId="77777777" w:rsidTr="00ED1151">
        <w:trPr>
          <w:trHeight w:val="122"/>
          <w:tblHeader/>
        </w:trPr>
        <w:tc>
          <w:tcPr>
            <w:tcW w:w="426" w:type="dxa"/>
            <w:vMerge/>
            <w:tcBorders>
              <w:top w:val="double" w:sz="6" w:space="0" w:color="auto"/>
              <w:left w:val="double" w:sz="6" w:space="0" w:color="auto"/>
              <w:bottom w:val="single" w:sz="4" w:space="0" w:color="auto"/>
              <w:right w:val="single" w:sz="4" w:space="0" w:color="auto"/>
            </w:tcBorders>
            <w:vAlign w:val="center"/>
            <w:hideMark/>
          </w:tcPr>
          <w:p w14:paraId="47A14E7E" w14:textId="77777777" w:rsidR="007C3F68" w:rsidRPr="00A53AD7" w:rsidRDefault="007C3F68" w:rsidP="00ED1151">
            <w:pPr>
              <w:spacing w:after="0" w:line="240" w:lineRule="auto"/>
              <w:rPr>
                <w:rFonts w:ascii="Times New Roman" w:eastAsia="Times New Roman" w:hAnsi="Times New Roman"/>
                <w:sz w:val="20"/>
                <w:szCs w:val="20"/>
                <w:lang w:eastAsia="ru-RU"/>
              </w:rPr>
            </w:pPr>
          </w:p>
        </w:tc>
        <w:tc>
          <w:tcPr>
            <w:tcW w:w="6662" w:type="dxa"/>
            <w:vMerge/>
            <w:tcBorders>
              <w:top w:val="double" w:sz="6" w:space="0" w:color="auto"/>
              <w:left w:val="single" w:sz="4" w:space="0" w:color="auto"/>
              <w:bottom w:val="single" w:sz="4" w:space="0" w:color="auto"/>
              <w:right w:val="single" w:sz="4" w:space="0" w:color="auto"/>
            </w:tcBorders>
            <w:vAlign w:val="center"/>
            <w:hideMark/>
          </w:tcPr>
          <w:p w14:paraId="124D17FC" w14:textId="77777777" w:rsidR="007C3F68" w:rsidRPr="00A53AD7" w:rsidRDefault="007C3F68" w:rsidP="00ED1151">
            <w:pPr>
              <w:spacing w:after="0" w:line="240" w:lineRule="auto"/>
              <w:rPr>
                <w:rFonts w:ascii="Times New Roman" w:eastAsia="Times New Roman" w:hAnsi="Times New Roman"/>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329DDAB7" w14:textId="77777777" w:rsidR="007C3F68" w:rsidRPr="00A53AD7" w:rsidRDefault="007C3F68" w:rsidP="00ED115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1134" w:type="dxa"/>
            <w:tcBorders>
              <w:top w:val="nil"/>
              <w:left w:val="nil"/>
              <w:bottom w:val="single" w:sz="4" w:space="0" w:color="auto"/>
              <w:right w:val="double" w:sz="6" w:space="0" w:color="auto"/>
            </w:tcBorders>
            <w:shd w:val="clear" w:color="auto" w:fill="auto"/>
            <w:vAlign w:val="center"/>
            <w:hideMark/>
          </w:tcPr>
          <w:p w14:paraId="6CDC72D9" w14:textId="77777777" w:rsidR="007C3F68" w:rsidRPr="00A53AD7" w:rsidRDefault="007C3F68" w:rsidP="00ED115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r>
      <w:tr w:rsidR="00D470B6" w:rsidRPr="00A53AD7" w14:paraId="4751A645" w14:textId="77777777" w:rsidTr="00ED1151">
        <w:trPr>
          <w:trHeight w:val="300"/>
        </w:trPr>
        <w:tc>
          <w:tcPr>
            <w:tcW w:w="9356"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00DD5D51" w14:textId="77777777" w:rsidR="007C3F68" w:rsidRPr="00A53AD7" w:rsidRDefault="007C3F68" w:rsidP="003E7D95">
            <w:pPr>
              <w:spacing w:after="0" w:line="240" w:lineRule="auto"/>
              <w:jc w:val="center"/>
              <w:rPr>
                <w:rFonts w:ascii="Times New Roman" w:eastAsia="Times New Roman" w:hAnsi="Times New Roman"/>
                <w:i/>
                <w:iCs/>
                <w:sz w:val="20"/>
                <w:szCs w:val="20"/>
                <w:lang w:eastAsia="ru-RU"/>
              </w:rPr>
            </w:pPr>
            <w:r w:rsidRPr="00A53AD7">
              <w:rPr>
                <w:rFonts w:ascii="Times New Roman" w:hAnsi="Times New Roman"/>
                <w:i/>
                <w:iCs/>
                <w:sz w:val="20"/>
                <w:szCs w:val="20"/>
                <w:lang w:eastAsia="ru-RU"/>
              </w:rPr>
              <w:t>Оснащены образовательные учреждения в сфере культуры (детские школы искусств по видам искусств и училищ) музыкальными инструментами, оборудованием и учебными материалами</w:t>
            </w:r>
          </w:p>
        </w:tc>
      </w:tr>
      <w:tr w:rsidR="00D470B6" w:rsidRPr="00A53AD7" w14:paraId="2DECC7EF" w14:textId="77777777" w:rsidTr="00ED1151">
        <w:trPr>
          <w:trHeight w:val="126"/>
        </w:trPr>
        <w:tc>
          <w:tcPr>
            <w:tcW w:w="426" w:type="dxa"/>
            <w:tcBorders>
              <w:top w:val="nil"/>
              <w:left w:val="double" w:sz="6" w:space="0" w:color="auto"/>
              <w:bottom w:val="single" w:sz="4" w:space="0" w:color="auto"/>
              <w:right w:val="single" w:sz="4" w:space="0" w:color="auto"/>
            </w:tcBorders>
            <w:shd w:val="clear" w:color="auto" w:fill="auto"/>
            <w:vAlign w:val="center"/>
            <w:hideMark/>
          </w:tcPr>
          <w:p w14:paraId="2264879A"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6662" w:type="dxa"/>
            <w:tcBorders>
              <w:top w:val="nil"/>
              <w:left w:val="nil"/>
              <w:bottom w:val="single" w:sz="4" w:space="0" w:color="auto"/>
              <w:right w:val="single" w:sz="4" w:space="0" w:color="auto"/>
            </w:tcBorders>
            <w:shd w:val="clear" w:color="auto" w:fill="auto"/>
            <w:vAlign w:val="center"/>
            <w:hideMark/>
          </w:tcPr>
          <w:p w14:paraId="05B2D86B" w14:textId="77777777" w:rsidR="007C3F68" w:rsidRPr="00A53AD7" w:rsidRDefault="007C3F68" w:rsidP="003E7D95">
            <w:pPr>
              <w:spacing w:after="0" w:line="240" w:lineRule="auto"/>
              <w:jc w:val="center"/>
              <w:rPr>
                <w:rFonts w:ascii="Times New Roman" w:eastAsia="Times New Roman" w:hAnsi="Times New Roman"/>
                <w:sz w:val="18"/>
                <w:szCs w:val="18"/>
                <w:lang w:eastAsia="ru-RU"/>
              </w:rPr>
            </w:pPr>
            <w:r w:rsidRPr="00A53AD7">
              <w:rPr>
                <w:rFonts w:ascii="Times New Roman" w:hAnsi="Times New Roman"/>
                <w:sz w:val="18"/>
                <w:szCs w:val="18"/>
                <w:lang w:eastAsia="ru-RU"/>
              </w:rPr>
              <w:t>КТ «1.2 Предоставлен отчет в министерство культуры Архангельской области»</w:t>
            </w:r>
          </w:p>
        </w:tc>
        <w:tc>
          <w:tcPr>
            <w:tcW w:w="1134" w:type="dxa"/>
            <w:tcBorders>
              <w:top w:val="nil"/>
              <w:left w:val="nil"/>
              <w:bottom w:val="single" w:sz="4" w:space="0" w:color="auto"/>
              <w:right w:val="single" w:sz="4" w:space="0" w:color="auto"/>
            </w:tcBorders>
            <w:shd w:val="clear" w:color="auto" w:fill="auto"/>
            <w:vAlign w:val="center"/>
            <w:hideMark/>
          </w:tcPr>
          <w:p w14:paraId="39254090" w14:textId="77777777" w:rsidR="007C3F68" w:rsidRPr="00A53AD7" w:rsidRDefault="007C3F68" w:rsidP="00ED1151">
            <w:pPr>
              <w:spacing w:after="0" w:line="240" w:lineRule="auto"/>
              <w:jc w:val="center"/>
              <w:rPr>
                <w:rFonts w:ascii="Times New Roman" w:eastAsia="Times New Roman" w:hAnsi="Times New Roman"/>
                <w:sz w:val="18"/>
                <w:szCs w:val="18"/>
                <w:lang w:eastAsia="ru-RU"/>
              </w:rPr>
            </w:pPr>
            <w:r w:rsidRPr="00A53AD7">
              <w:rPr>
                <w:rFonts w:ascii="Times New Roman" w:hAnsi="Times New Roman"/>
                <w:sz w:val="18"/>
                <w:szCs w:val="18"/>
                <w:lang w:eastAsia="ru-RU"/>
              </w:rPr>
              <w:t>01.12.2019</w:t>
            </w:r>
          </w:p>
        </w:tc>
        <w:tc>
          <w:tcPr>
            <w:tcW w:w="1134" w:type="dxa"/>
            <w:tcBorders>
              <w:top w:val="nil"/>
              <w:left w:val="nil"/>
              <w:bottom w:val="single" w:sz="4" w:space="0" w:color="auto"/>
              <w:right w:val="double" w:sz="6" w:space="0" w:color="auto"/>
            </w:tcBorders>
            <w:shd w:val="clear" w:color="auto" w:fill="auto"/>
            <w:vAlign w:val="center"/>
            <w:hideMark/>
          </w:tcPr>
          <w:p w14:paraId="652A96EC" w14:textId="77777777" w:rsidR="007C3F68" w:rsidRPr="00A53AD7" w:rsidRDefault="007C3F68" w:rsidP="00ED1151">
            <w:pPr>
              <w:spacing w:after="0" w:line="240" w:lineRule="auto"/>
              <w:jc w:val="center"/>
              <w:rPr>
                <w:rFonts w:ascii="Times New Roman" w:eastAsia="Times New Roman" w:hAnsi="Times New Roman"/>
                <w:sz w:val="18"/>
                <w:szCs w:val="18"/>
                <w:lang w:eastAsia="ru-RU"/>
              </w:rPr>
            </w:pPr>
            <w:r w:rsidRPr="00A53AD7">
              <w:rPr>
                <w:rFonts w:ascii="Times New Roman" w:hAnsi="Times New Roman"/>
                <w:sz w:val="18"/>
                <w:szCs w:val="18"/>
                <w:lang w:eastAsia="ru-RU"/>
              </w:rPr>
              <w:t>19.12.2019</w:t>
            </w:r>
          </w:p>
        </w:tc>
      </w:tr>
      <w:tr w:rsidR="00D470B6" w:rsidRPr="00A53AD7" w14:paraId="1A2CDDF5" w14:textId="77777777" w:rsidTr="00ED1151">
        <w:trPr>
          <w:trHeight w:val="414"/>
        </w:trPr>
        <w:tc>
          <w:tcPr>
            <w:tcW w:w="426" w:type="dxa"/>
            <w:tcBorders>
              <w:top w:val="nil"/>
              <w:left w:val="double" w:sz="6" w:space="0" w:color="auto"/>
              <w:bottom w:val="single" w:sz="4" w:space="0" w:color="auto"/>
              <w:right w:val="single" w:sz="4" w:space="0" w:color="auto"/>
            </w:tcBorders>
            <w:shd w:val="clear" w:color="auto" w:fill="auto"/>
            <w:vAlign w:val="center"/>
            <w:hideMark/>
          </w:tcPr>
          <w:p w14:paraId="6FBEDA63"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6662" w:type="dxa"/>
            <w:tcBorders>
              <w:top w:val="nil"/>
              <w:left w:val="nil"/>
              <w:bottom w:val="single" w:sz="4" w:space="0" w:color="auto"/>
              <w:right w:val="single" w:sz="4" w:space="0" w:color="auto"/>
            </w:tcBorders>
            <w:shd w:val="clear" w:color="auto" w:fill="auto"/>
            <w:vAlign w:val="center"/>
            <w:hideMark/>
          </w:tcPr>
          <w:p w14:paraId="07CCFB82" w14:textId="77777777" w:rsidR="007C3F68" w:rsidRPr="00A53AD7" w:rsidRDefault="007C3F68" w:rsidP="00ED1151">
            <w:pPr>
              <w:spacing w:after="0" w:line="240" w:lineRule="auto"/>
              <w:rPr>
                <w:rFonts w:ascii="Times New Roman" w:eastAsia="Times New Roman" w:hAnsi="Times New Roman"/>
                <w:sz w:val="20"/>
                <w:szCs w:val="20"/>
                <w:lang w:eastAsia="ru-RU"/>
              </w:rPr>
            </w:pPr>
            <w:r w:rsidRPr="00A53AD7">
              <w:rPr>
                <w:rFonts w:ascii="Times New Roman" w:hAnsi="Times New Roman"/>
                <w:sz w:val="20"/>
                <w:szCs w:val="20"/>
                <w:lang w:eastAsia="ru-RU"/>
              </w:rPr>
              <w:t>КТ «2.2.1 Предоставлен отчет муниципальными образованиями в министерство культуры Архангельской области»</w:t>
            </w:r>
          </w:p>
        </w:tc>
        <w:tc>
          <w:tcPr>
            <w:tcW w:w="1134" w:type="dxa"/>
            <w:tcBorders>
              <w:top w:val="nil"/>
              <w:left w:val="nil"/>
              <w:bottom w:val="single" w:sz="4" w:space="0" w:color="auto"/>
              <w:right w:val="single" w:sz="4" w:space="0" w:color="auto"/>
            </w:tcBorders>
            <w:shd w:val="clear" w:color="auto" w:fill="auto"/>
            <w:vAlign w:val="center"/>
            <w:hideMark/>
          </w:tcPr>
          <w:p w14:paraId="5DD9614C" w14:textId="77777777" w:rsidR="007C3F68" w:rsidRPr="00A53AD7" w:rsidRDefault="007C3F68" w:rsidP="00ED115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01.12.2019</w:t>
            </w:r>
          </w:p>
        </w:tc>
        <w:tc>
          <w:tcPr>
            <w:tcW w:w="1134" w:type="dxa"/>
            <w:tcBorders>
              <w:top w:val="nil"/>
              <w:left w:val="nil"/>
              <w:bottom w:val="single" w:sz="4" w:space="0" w:color="auto"/>
              <w:right w:val="double" w:sz="6" w:space="0" w:color="auto"/>
            </w:tcBorders>
            <w:shd w:val="clear" w:color="auto" w:fill="auto"/>
            <w:vAlign w:val="center"/>
            <w:hideMark/>
          </w:tcPr>
          <w:p w14:paraId="77768DDA" w14:textId="77777777" w:rsidR="007C3F68" w:rsidRPr="00A53AD7" w:rsidRDefault="007C3F68" w:rsidP="00ED115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24.12.2019</w:t>
            </w:r>
          </w:p>
        </w:tc>
      </w:tr>
      <w:tr w:rsidR="00D470B6" w:rsidRPr="00A53AD7" w14:paraId="62287C3B" w14:textId="77777777" w:rsidTr="00ED1151">
        <w:trPr>
          <w:trHeight w:val="300"/>
        </w:trPr>
        <w:tc>
          <w:tcPr>
            <w:tcW w:w="9356"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464BB9EC" w14:textId="77777777" w:rsidR="007C3F68" w:rsidRPr="00A53AD7" w:rsidRDefault="007C3F68" w:rsidP="003E7D95">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«Построены</w:t>
            </w:r>
            <w:r w:rsidRPr="00A53AD7">
              <w:rPr>
                <w:rFonts w:ascii="Times New Roman" w:eastAsia="Times New Roman" w:hAnsi="Times New Roman"/>
                <w:sz w:val="20"/>
                <w:szCs w:val="20"/>
                <w:lang w:eastAsia="ru-RU"/>
              </w:rPr>
              <w:t xml:space="preserve"> </w:t>
            </w:r>
            <w:r w:rsidRPr="00A53AD7">
              <w:rPr>
                <w:rFonts w:ascii="Times New Roman" w:eastAsia="Times New Roman" w:hAnsi="Times New Roman"/>
                <w:i/>
                <w:iCs/>
                <w:sz w:val="20"/>
                <w:szCs w:val="20"/>
                <w:lang w:eastAsia="ru-RU"/>
              </w:rPr>
              <w:t>(реконструированы) и (или) капитально отремонтированы культурно-досуговые учреждения в сельской местности</w:t>
            </w:r>
          </w:p>
        </w:tc>
      </w:tr>
      <w:tr w:rsidR="00D470B6" w:rsidRPr="00A53AD7" w14:paraId="26EB0C8B" w14:textId="77777777" w:rsidTr="00ED1151">
        <w:trPr>
          <w:trHeight w:val="378"/>
        </w:trPr>
        <w:tc>
          <w:tcPr>
            <w:tcW w:w="426" w:type="dxa"/>
            <w:tcBorders>
              <w:top w:val="nil"/>
              <w:left w:val="double" w:sz="6" w:space="0" w:color="auto"/>
              <w:bottom w:val="single" w:sz="4" w:space="0" w:color="auto"/>
              <w:right w:val="single" w:sz="4" w:space="0" w:color="auto"/>
            </w:tcBorders>
            <w:shd w:val="clear" w:color="auto" w:fill="auto"/>
            <w:vAlign w:val="center"/>
            <w:hideMark/>
          </w:tcPr>
          <w:p w14:paraId="4632DA0C"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6662" w:type="dxa"/>
            <w:tcBorders>
              <w:top w:val="nil"/>
              <w:left w:val="nil"/>
              <w:bottom w:val="single" w:sz="4" w:space="0" w:color="auto"/>
              <w:right w:val="single" w:sz="4" w:space="0" w:color="auto"/>
            </w:tcBorders>
            <w:shd w:val="clear" w:color="auto" w:fill="auto"/>
            <w:vAlign w:val="center"/>
            <w:hideMark/>
          </w:tcPr>
          <w:p w14:paraId="27E3C671" w14:textId="77777777" w:rsidR="007C3F68" w:rsidRPr="00A53AD7" w:rsidRDefault="007C3F68" w:rsidP="00ED115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КТ «4.4 Предоставлен отчет о выполнении соглашения о предоставлении субсидии юридическому (физическому) лицу»</w:t>
            </w:r>
          </w:p>
        </w:tc>
        <w:tc>
          <w:tcPr>
            <w:tcW w:w="1134" w:type="dxa"/>
            <w:tcBorders>
              <w:top w:val="nil"/>
              <w:left w:val="nil"/>
              <w:bottom w:val="single" w:sz="4" w:space="0" w:color="auto"/>
              <w:right w:val="single" w:sz="4" w:space="0" w:color="auto"/>
            </w:tcBorders>
            <w:shd w:val="clear" w:color="auto" w:fill="auto"/>
            <w:vAlign w:val="center"/>
            <w:hideMark/>
          </w:tcPr>
          <w:p w14:paraId="6840ACD9"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01.12.2019</w:t>
            </w:r>
          </w:p>
        </w:tc>
        <w:tc>
          <w:tcPr>
            <w:tcW w:w="1134" w:type="dxa"/>
            <w:tcBorders>
              <w:top w:val="nil"/>
              <w:left w:val="nil"/>
              <w:bottom w:val="single" w:sz="4" w:space="0" w:color="auto"/>
              <w:right w:val="double" w:sz="6" w:space="0" w:color="auto"/>
            </w:tcBorders>
            <w:shd w:val="clear" w:color="auto" w:fill="auto"/>
            <w:vAlign w:val="center"/>
            <w:hideMark/>
          </w:tcPr>
          <w:p w14:paraId="1433EBD5"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23.12.2019</w:t>
            </w:r>
          </w:p>
        </w:tc>
      </w:tr>
      <w:tr w:rsidR="00D470B6" w:rsidRPr="00A53AD7" w14:paraId="7D0E9F64" w14:textId="77777777" w:rsidTr="00ED1151">
        <w:trPr>
          <w:trHeight w:val="187"/>
        </w:trPr>
        <w:tc>
          <w:tcPr>
            <w:tcW w:w="9356" w:type="dxa"/>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14:paraId="224CF2E2" w14:textId="77777777" w:rsidR="007C3F68" w:rsidRPr="00A53AD7" w:rsidRDefault="007C3F68" w:rsidP="003E7D95">
            <w:pPr>
              <w:spacing w:after="0" w:line="240" w:lineRule="auto"/>
              <w:jc w:val="center"/>
              <w:rPr>
                <w:rFonts w:ascii="Times New Roman" w:eastAsia="Times New Roman" w:hAnsi="Times New Roman"/>
                <w:i/>
                <w:iCs/>
                <w:sz w:val="20"/>
                <w:szCs w:val="20"/>
                <w:lang w:eastAsia="ru-RU"/>
              </w:rPr>
            </w:pPr>
            <w:r w:rsidRPr="00A53AD7">
              <w:rPr>
                <w:rFonts w:ascii="Times New Roman" w:eastAsia="Times New Roman" w:hAnsi="Times New Roman"/>
                <w:i/>
                <w:iCs/>
                <w:sz w:val="20"/>
                <w:szCs w:val="20"/>
                <w:lang w:eastAsia="ru-RU"/>
              </w:rPr>
              <w:t>«Переоснащены муниципальные библиотеки по модельному стандарту»</w:t>
            </w:r>
          </w:p>
        </w:tc>
      </w:tr>
      <w:tr w:rsidR="00D470B6" w:rsidRPr="00A53AD7" w14:paraId="080DFA4D" w14:textId="77777777" w:rsidTr="00ED1151">
        <w:trPr>
          <w:trHeight w:val="232"/>
        </w:trPr>
        <w:tc>
          <w:tcPr>
            <w:tcW w:w="426" w:type="dxa"/>
            <w:tcBorders>
              <w:top w:val="nil"/>
              <w:left w:val="double" w:sz="6" w:space="0" w:color="auto"/>
              <w:bottom w:val="single" w:sz="4" w:space="0" w:color="auto"/>
              <w:right w:val="single" w:sz="4" w:space="0" w:color="auto"/>
            </w:tcBorders>
            <w:shd w:val="clear" w:color="auto" w:fill="auto"/>
            <w:vAlign w:val="center"/>
            <w:hideMark/>
          </w:tcPr>
          <w:p w14:paraId="3505B09F"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6662" w:type="dxa"/>
            <w:tcBorders>
              <w:top w:val="nil"/>
              <w:left w:val="nil"/>
              <w:bottom w:val="single" w:sz="4" w:space="0" w:color="auto"/>
              <w:right w:val="single" w:sz="4" w:space="0" w:color="auto"/>
            </w:tcBorders>
            <w:shd w:val="clear" w:color="auto" w:fill="auto"/>
            <w:vAlign w:val="center"/>
            <w:hideMark/>
          </w:tcPr>
          <w:p w14:paraId="36558FD1"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КТ «7.2 Услуга оказана»</w:t>
            </w:r>
          </w:p>
        </w:tc>
        <w:tc>
          <w:tcPr>
            <w:tcW w:w="1134" w:type="dxa"/>
            <w:tcBorders>
              <w:top w:val="nil"/>
              <w:left w:val="nil"/>
              <w:bottom w:val="single" w:sz="4" w:space="0" w:color="auto"/>
              <w:right w:val="single" w:sz="4" w:space="0" w:color="auto"/>
            </w:tcBorders>
            <w:shd w:val="clear" w:color="auto" w:fill="auto"/>
            <w:vAlign w:val="center"/>
            <w:hideMark/>
          </w:tcPr>
          <w:p w14:paraId="0B7B066B"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01.12.2019</w:t>
            </w:r>
          </w:p>
        </w:tc>
        <w:tc>
          <w:tcPr>
            <w:tcW w:w="1134" w:type="dxa"/>
            <w:tcBorders>
              <w:top w:val="nil"/>
              <w:left w:val="nil"/>
              <w:bottom w:val="single" w:sz="4" w:space="0" w:color="auto"/>
              <w:right w:val="double" w:sz="6" w:space="0" w:color="auto"/>
            </w:tcBorders>
            <w:shd w:val="clear" w:color="auto" w:fill="auto"/>
            <w:vAlign w:val="center"/>
            <w:hideMark/>
          </w:tcPr>
          <w:p w14:paraId="09B1E0E9"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23.12.2019</w:t>
            </w:r>
          </w:p>
        </w:tc>
      </w:tr>
      <w:tr w:rsidR="007C3F68" w:rsidRPr="00A53AD7" w14:paraId="44A1A77A" w14:textId="77777777" w:rsidTr="00ED1151">
        <w:trPr>
          <w:trHeight w:val="122"/>
        </w:trPr>
        <w:tc>
          <w:tcPr>
            <w:tcW w:w="426" w:type="dxa"/>
            <w:tcBorders>
              <w:top w:val="nil"/>
              <w:left w:val="double" w:sz="6" w:space="0" w:color="auto"/>
              <w:bottom w:val="double" w:sz="6" w:space="0" w:color="auto"/>
              <w:right w:val="single" w:sz="4" w:space="0" w:color="auto"/>
            </w:tcBorders>
            <w:shd w:val="clear" w:color="auto" w:fill="auto"/>
            <w:vAlign w:val="center"/>
            <w:hideMark/>
          </w:tcPr>
          <w:p w14:paraId="1B482388"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w:t>
            </w:r>
          </w:p>
        </w:tc>
        <w:tc>
          <w:tcPr>
            <w:tcW w:w="6662" w:type="dxa"/>
            <w:tcBorders>
              <w:top w:val="nil"/>
              <w:left w:val="nil"/>
              <w:bottom w:val="double" w:sz="6" w:space="0" w:color="auto"/>
              <w:right w:val="single" w:sz="4" w:space="0" w:color="auto"/>
            </w:tcBorders>
            <w:shd w:val="clear" w:color="auto" w:fill="auto"/>
            <w:vAlign w:val="center"/>
            <w:hideMark/>
          </w:tcPr>
          <w:p w14:paraId="3987DDCA"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КТ «7.2.1 Подписан акт выполненных работ»</w:t>
            </w:r>
          </w:p>
        </w:tc>
        <w:tc>
          <w:tcPr>
            <w:tcW w:w="1134" w:type="dxa"/>
            <w:tcBorders>
              <w:top w:val="nil"/>
              <w:left w:val="nil"/>
              <w:bottom w:val="double" w:sz="6" w:space="0" w:color="auto"/>
              <w:right w:val="single" w:sz="4" w:space="0" w:color="auto"/>
            </w:tcBorders>
            <w:shd w:val="clear" w:color="auto" w:fill="auto"/>
            <w:vAlign w:val="center"/>
            <w:hideMark/>
          </w:tcPr>
          <w:p w14:paraId="2C546FDE"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01.12.2019</w:t>
            </w:r>
          </w:p>
        </w:tc>
        <w:tc>
          <w:tcPr>
            <w:tcW w:w="1134" w:type="dxa"/>
            <w:tcBorders>
              <w:top w:val="nil"/>
              <w:left w:val="nil"/>
              <w:bottom w:val="double" w:sz="6" w:space="0" w:color="auto"/>
              <w:right w:val="double" w:sz="6" w:space="0" w:color="auto"/>
            </w:tcBorders>
            <w:shd w:val="clear" w:color="auto" w:fill="auto"/>
            <w:vAlign w:val="center"/>
            <w:hideMark/>
          </w:tcPr>
          <w:p w14:paraId="3E545730" w14:textId="77777777" w:rsidR="007C3F68" w:rsidRPr="00A53AD7" w:rsidRDefault="007C3F68" w:rsidP="00ED1151">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23.12.2019</w:t>
            </w:r>
          </w:p>
        </w:tc>
      </w:tr>
    </w:tbl>
    <w:p w14:paraId="08A2C166" w14:textId="77777777" w:rsidR="007C3F68" w:rsidRPr="00A53AD7" w:rsidRDefault="007C3F68" w:rsidP="00ED1151">
      <w:pPr>
        <w:spacing w:after="0" w:line="240" w:lineRule="auto"/>
        <w:ind w:firstLine="851"/>
        <w:jc w:val="both"/>
        <w:rPr>
          <w:rFonts w:ascii="Times New Roman" w:hAnsi="Times New Roman"/>
          <w:sz w:val="28"/>
          <w:szCs w:val="28"/>
        </w:rPr>
      </w:pPr>
    </w:p>
    <w:p w14:paraId="66E223DE" w14:textId="77777777" w:rsidR="007C3F68" w:rsidRPr="00A53AD7" w:rsidRDefault="007C3F68"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заполнении форм отчетов о ходе реализации национальных проектов не выполнены рекомендации, указанные в письме аппарата Правительства РФ от 28.12.2018 № П6-69308 «О направлении разъяснений по заполнению форм отчетов о ходе реализации национальных проектов, федеральных проектов и запросов на изменение паспортов национальных проектов и паспортов федеральных проектов»:</w:t>
      </w:r>
    </w:p>
    <w:p w14:paraId="0C86F63C" w14:textId="25D39B6F" w:rsidR="007C3F68" w:rsidRPr="00A53AD7" w:rsidRDefault="007C3F68" w:rsidP="00CA1DDD">
      <w:pPr>
        <w:pStyle w:val="a8"/>
        <w:numPr>
          <w:ilvl w:val="0"/>
          <w:numId w:val="43"/>
        </w:numPr>
        <w:ind w:left="0" w:firstLine="839"/>
        <w:jc w:val="both"/>
        <w:rPr>
          <w:sz w:val="28"/>
          <w:szCs w:val="28"/>
        </w:rPr>
      </w:pPr>
      <w:r w:rsidRPr="00A53AD7">
        <w:rPr>
          <w:sz w:val="28"/>
          <w:szCs w:val="28"/>
        </w:rPr>
        <w:t>в графе «Комментарий» отсутствует информация по контрольным точкам, не достигнутым в плановые сроки о причине отклонений, предпринимаемых действий по устранению имеющихся отклонений, оценка влияния отклонений на иные параметры проекта;</w:t>
      </w:r>
    </w:p>
    <w:p w14:paraId="30A11591" w14:textId="65520C9C" w:rsidR="007C3F68" w:rsidRPr="00A53AD7" w:rsidRDefault="007C3F68" w:rsidP="00CA1DDD">
      <w:pPr>
        <w:pStyle w:val="a8"/>
        <w:numPr>
          <w:ilvl w:val="0"/>
          <w:numId w:val="43"/>
        </w:numPr>
        <w:ind w:left="0" w:firstLine="839"/>
        <w:jc w:val="both"/>
        <w:rPr>
          <w:sz w:val="28"/>
          <w:szCs w:val="28"/>
        </w:rPr>
      </w:pPr>
      <w:r w:rsidRPr="00A53AD7">
        <w:rPr>
          <w:sz w:val="28"/>
          <w:szCs w:val="28"/>
        </w:rPr>
        <w:t>в столбце «Комментарии» раздела 5 «Динамика достижения контрольных точек. Сведения о достижении результатов, контрольных точек и мероприятий» в неполном объеме указаны сведения, подтверждающие достижение соответствующих результатов и контрольных точек проекта (реквизиты подтверждающих документов, ссылки на источники официальной статистической информации и пр.):</w:t>
      </w:r>
    </w:p>
    <w:p w14:paraId="2EC5373D" w14:textId="61CCEE87" w:rsidR="007C3F68"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а) </w:t>
      </w:r>
      <w:r w:rsidR="007C3F68" w:rsidRPr="00A53AD7">
        <w:rPr>
          <w:rFonts w:ascii="Times New Roman" w:hAnsi="Times New Roman"/>
          <w:sz w:val="28"/>
          <w:szCs w:val="28"/>
        </w:rPr>
        <w:t>КТ «1.3 Услуга оказана (работы выполнены», «1.3.1 Осуществлена поставка инструментов и оборудования», «1.4 Акт утвержден (пописан)», «1.4.1 подписан акт выполненных работ» в столбце «Комментарии» указано «Выполнено. Подтверждающие документы: 1. «акты/ накладные на поставку оборудования» Акт поставки оборудования ГБПОУ АО «Архангельский колледж культуры и искусства» от 01.11.2019 №</w:t>
      </w:r>
      <w:r w:rsidR="00564E24" w:rsidRPr="00A53AD7">
        <w:rPr>
          <w:rFonts w:ascii="Times New Roman" w:hAnsi="Times New Roman"/>
          <w:sz w:val="28"/>
          <w:szCs w:val="28"/>
        </w:rPr>
        <w:t xml:space="preserve"> </w:t>
      </w:r>
      <w:r w:rsidR="007C3F68" w:rsidRPr="00A53AD7">
        <w:rPr>
          <w:rFonts w:ascii="Times New Roman" w:hAnsi="Times New Roman"/>
          <w:sz w:val="28"/>
          <w:szCs w:val="28"/>
        </w:rPr>
        <w:t>б/н, указана ссылка». Ссылка перенаправляет на скачивание приложенных файлов. При открытии файла установлено отсутствие приложенных файлов, подтверждающих выполнение контрольной точки ГБПОУ АО «Архангельский колледж культуры и искусства».</w:t>
      </w:r>
    </w:p>
    <w:p w14:paraId="5EE4F7A6" w14:textId="0BE40023" w:rsidR="007C3F68" w:rsidRPr="00A53AD7" w:rsidRDefault="00ED1151" w:rsidP="00ED115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 </w:t>
      </w:r>
      <w:r w:rsidR="007C3F68" w:rsidRPr="00A53AD7">
        <w:rPr>
          <w:rFonts w:ascii="Times New Roman" w:hAnsi="Times New Roman"/>
          <w:sz w:val="28"/>
          <w:szCs w:val="28"/>
        </w:rPr>
        <w:t>КТ «4.4 Предоставлен отчет о выполнении соглашения о предоставлении субсидии юридическому (физическому) лицу» (срок реализации план 01.12.2019, факт 23.12.2019). Отсутствует прикреплённый отчет о расходах, в целях софинансирования которых представлена субсидия, и отчет о достижении результатов РП, согласно приложению №3,4 к соглашению МО «Вельский муниципальный район», прикреплён отчет о достижени</w:t>
      </w:r>
      <w:r w:rsidR="00717B1E" w:rsidRPr="00A53AD7">
        <w:rPr>
          <w:rFonts w:ascii="Times New Roman" w:hAnsi="Times New Roman"/>
          <w:sz w:val="28"/>
          <w:szCs w:val="28"/>
        </w:rPr>
        <w:t>и результатов РП от 20.12.2019.</w:t>
      </w:r>
    </w:p>
    <w:p w14:paraId="2572B9B6" w14:textId="5725B4BC" w:rsidR="009C1C2B" w:rsidRPr="00A53AD7" w:rsidRDefault="009C1C2B" w:rsidP="009C1C2B">
      <w:pPr>
        <w:keepNext/>
        <w:spacing w:before="240" w:after="60" w:line="240" w:lineRule="auto"/>
        <w:jc w:val="center"/>
        <w:outlineLvl w:val="2"/>
        <w:rPr>
          <w:rFonts w:ascii="Times New Roman" w:eastAsia="Times New Roman" w:hAnsi="Times New Roman"/>
          <w:bCs/>
          <w:sz w:val="28"/>
          <w:szCs w:val="28"/>
          <w:u w:val="single"/>
          <w:lang w:eastAsia="ru-RU"/>
        </w:rPr>
      </w:pPr>
      <w:bookmarkStart w:id="112" w:name="_Toc42006752"/>
      <w:r w:rsidRPr="00A53AD7">
        <w:rPr>
          <w:rFonts w:ascii="Times New Roman" w:eastAsia="Times New Roman" w:hAnsi="Times New Roman"/>
          <w:bCs/>
          <w:sz w:val="28"/>
          <w:szCs w:val="28"/>
          <w:u w:val="single"/>
          <w:lang w:eastAsia="ru-RU"/>
        </w:rPr>
        <w:t>4.6.</w:t>
      </w:r>
      <w:r w:rsidR="00FF15DD" w:rsidRPr="00A53AD7">
        <w:rPr>
          <w:rFonts w:ascii="Times New Roman" w:eastAsia="Times New Roman" w:hAnsi="Times New Roman"/>
          <w:bCs/>
          <w:sz w:val="28"/>
          <w:szCs w:val="28"/>
          <w:u w:val="single"/>
          <w:lang w:eastAsia="ru-RU"/>
        </w:rPr>
        <w:t>7</w:t>
      </w:r>
      <w:r w:rsidRPr="00A53AD7">
        <w:rPr>
          <w:rFonts w:ascii="Times New Roman" w:eastAsia="Times New Roman" w:hAnsi="Times New Roman"/>
          <w:bCs/>
          <w:sz w:val="28"/>
          <w:szCs w:val="28"/>
          <w:u w:val="single"/>
          <w:lang w:eastAsia="ru-RU"/>
        </w:rPr>
        <w:t>. Национальный проект «Малое и среднее предпринимательство и поддержка индивидуальной предпринимательской инициативы»</w:t>
      </w:r>
      <w:bookmarkEnd w:id="112"/>
    </w:p>
    <w:p w14:paraId="2D32EFDA" w14:textId="0D37504B" w:rsidR="009C1C2B" w:rsidRPr="00A53AD7" w:rsidRDefault="009C1C2B"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национального проекта «МСП и поддержка индивидуальной предпринимательской инициативы» с Министерством экономического развития РФ в рамках государственной программы «Экономическое развитие и инвестиционная деятельность в Архангельской области» (далее – госпрограмма) в отчетном периоде заключены:</w:t>
      </w:r>
    </w:p>
    <w:p w14:paraId="1628581D" w14:textId="5F89F163" w:rsidR="009C1C2B" w:rsidRPr="00A53AD7" w:rsidRDefault="009C1C2B" w:rsidP="00CA1DDD">
      <w:pPr>
        <w:pStyle w:val="a8"/>
        <w:numPr>
          <w:ilvl w:val="0"/>
          <w:numId w:val="43"/>
        </w:numPr>
        <w:ind w:left="0" w:firstLine="839"/>
        <w:jc w:val="both"/>
        <w:rPr>
          <w:sz w:val="28"/>
          <w:szCs w:val="28"/>
        </w:rPr>
      </w:pPr>
      <w:r w:rsidRPr="00A53AD7">
        <w:rPr>
          <w:sz w:val="28"/>
          <w:szCs w:val="28"/>
        </w:rPr>
        <w:t>соглашение о предоставлении из федерального бюджета бюджету Архангельской области субсидий на государственную поддержку малого и среднего предпринимательства от 13.02.2019 № 139-09-2019-192 (в редакции дополнительных соглашений от 05.08.2019 № 139-09-2019-192/1, от 24.12.2019 № 139-09-2019-192/2) на сумму 214,4 млн.руб. (в рамках федерального проекта «Акселерация субъектов малого и среднего предпринимательства»);</w:t>
      </w:r>
    </w:p>
    <w:p w14:paraId="24C902D0" w14:textId="6AAA56A6" w:rsidR="009C1C2B" w:rsidRPr="00A53AD7" w:rsidRDefault="009C1C2B" w:rsidP="00CA1DDD">
      <w:pPr>
        <w:pStyle w:val="a8"/>
        <w:numPr>
          <w:ilvl w:val="0"/>
          <w:numId w:val="43"/>
        </w:numPr>
        <w:ind w:left="0" w:firstLine="839"/>
        <w:jc w:val="both"/>
        <w:rPr>
          <w:sz w:val="28"/>
          <w:szCs w:val="28"/>
        </w:rPr>
      </w:pPr>
      <w:r w:rsidRPr="00A53AD7">
        <w:rPr>
          <w:sz w:val="28"/>
          <w:szCs w:val="28"/>
        </w:rPr>
        <w:t>соглашение о предоставлении из федерального бюджета бюджету Архангельской области субсидий на государственную поддержку малого и среднего предпринимательства от 14.02.2019 № 139-09-2019-003 (в редакции дополнительных соглашений от 05.08.2019 № 139-09-2019-003/1, от 24.12.2019 № 139-09-2019-003/2) на сумму 9,3 млн.руб. (в рамках федерального проекта «Популяризация предпринимательства»);</w:t>
      </w:r>
    </w:p>
    <w:p w14:paraId="4E7DBAD5" w14:textId="38C6615A" w:rsidR="009C1C2B" w:rsidRPr="00A53AD7" w:rsidRDefault="009C1C2B" w:rsidP="00CA1DDD">
      <w:pPr>
        <w:pStyle w:val="a8"/>
        <w:numPr>
          <w:ilvl w:val="0"/>
          <w:numId w:val="43"/>
        </w:numPr>
        <w:ind w:left="0" w:firstLine="839"/>
        <w:jc w:val="both"/>
        <w:rPr>
          <w:sz w:val="28"/>
          <w:szCs w:val="28"/>
        </w:rPr>
      </w:pPr>
      <w:r w:rsidRPr="00A53AD7">
        <w:rPr>
          <w:sz w:val="28"/>
          <w:szCs w:val="28"/>
        </w:rPr>
        <w:t>соглашение о предоставлении из федерального бюджета бюджету Архангельской области субсидий на государственную поддержку малого и среднего предпринимательства от 06.08.2019 № 139-09-2019-256 (в редакции дополнительных соглашений от 24.10.2019 № 139-09-2019-256/1, от 24.12.2019 № 139-09-2019-256/2) на сумму 241,3 млн.руб. (в рамках федерального проекта «Расширение доступа субъектов МСП к финансовой поддержке в том числе к льготному финансированию»).</w:t>
      </w:r>
    </w:p>
    <w:p w14:paraId="48754BFA" w14:textId="77777777" w:rsidR="009C1C2B" w:rsidRPr="00A53AD7" w:rsidRDefault="009C1C2B" w:rsidP="009C1C2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федеральных проектов национального проекта «МСП и поддержка индивидуальной предпринимательской инициативы» Министерством экономического развития РФ с минэкономразвития АО области в 2019 году заключены следующие соглашения о реализации 4 региональных проектов:</w:t>
      </w:r>
    </w:p>
    <w:p w14:paraId="56F0A46A" w14:textId="13BCE4A2" w:rsidR="009C1C2B" w:rsidRPr="00A53AD7" w:rsidRDefault="009C1C2B" w:rsidP="00CA1DDD">
      <w:pPr>
        <w:pStyle w:val="a8"/>
        <w:numPr>
          <w:ilvl w:val="0"/>
          <w:numId w:val="43"/>
        </w:numPr>
        <w:ind w:left="0" w:firstLine="839"/>
        <w:jc w:val="both"/>
        <w:rPr>
          <w:sz w:val="28"/>
          <w:szCs w:val="28"/>
        </w:rPr>
      </w:pPr>
      <w:r w:rsidRPr="00A53AD7">
        <w:rPr>
          <w:sz w:val="28"/>
          <w:szCs w:val="28"/>
        </w:rPr>
        <w:t>от 28.01.2019 № 139-2019-I50026-1 (в редакции дополнительного соглашения от 11.12.2019 № 139-2019-I50026-1/1) о реализации регионального проекта «Акселерация субъектов малого и среднего предпринимательства на территории Архангельской области (далее – региональный проект «Акселерация МСП в Архангельской области»), являющийся составляющим федерального проекта «Акселерация субъектов малого и среднего предпринимательства»;</w:t>
      </w:r>
    </w:p>
    <w:p w14:paraId="68E0543E" w14:textId="05AE8E07" w:rsidR="009C1C2B" w:rsidRPr="00A53AD7" w:rsidRDefault="009C1C2B" w:rsidP="00CA1DDD">
      <w:pPr>
        <w:pStyle w:val="a8"/>
        <w:numPr>
          <w:ilvl w:val="0"/>
          <w:numId w:val="43"/>
        </w:numPr>
        <w:ind w:left="0" w:firstLine="839"/>
        <w:jc w:val="both"/>
        <w:rPr>
          <w:sz w:val="28"/>
          <w:szCs w:val="28"/>
        </w:rPr>
      </w:pPr>
      <w:r w:rsidRPr="00A53AD7">
        <w:rPr>
          <w:sz w:val="28"/>
          <w:szCs w:val="28"/>
        </w:rPr>
        <w:t>от 04.02.2019 № 2019-I80029-1 о реализации регионального проекта «Популяризация предпринимательства на территории Архангельской области (далее – региональный проект «Популяризация предпринимательства в Архангельской области»), являющийся составляющим федерального проекта «Популяризация предпринимательства»;</w:t>
      </w:r>
    </w:p>
    <w:p w14:paraId="010CB148" w14:textId="3DE90C96" w:rsidR="009C1C2B" w:rsidRPr="00A53AD7" w:rsidRDefault="009C1C2B" w:rsidP="00CA1DDD">
      <w:pPr>
        <w:pStyle w:val="a8"/>
        <w:numPr>
          <w:ilvl w:val="0"/>
          <w:numId w:val="43"/>
        </w:numPr>
        <w:ind w:left="0" w:firstLine="839"/>
        <w:jc w:val="both"/>
        <w:rPr>
          <w:sz w:val="28"/>
          <w:szCs w:val="28"/>
        </w:rPr>
      </w:pPr>
      <w:r w:rsidRPr="00A53AD7">
        <w:rPr>
          <w:sz w:val="28"/>
          <w:szCs w:val="28"/>
        </w:rPr>
        <w:t>от 28.01.2019 № 139-2019-I40020-1 (в редакции дополнительных соглашений от 01.08.2019 № 139-2019-I40020-1/1, от 02.10.2019 № 139-2019-I40020-1/2, от 11.12.2019 № 139-2019-I40020-1/3) о реализации регионального проекта «Расширение доступа субъектов МСП к финансовой поддержке, в том числе к льготному финансированию в Архангельской области» (далее – региональный проект «Расширение доступа субъектов МСП к финансовой поддержке, в том числе к льготному финансированию»;</w:t>
      </w:r>
    </w:p>
    <w:p w14:paraId="5EF9DA11" w14:textId="54265413" w:rsidR="009C1C2B" w:rsidRPr="00A53AD7" w:rsidRDefault="009C1C2B" w:rsidP="00CA1DDD">
      <w:pPr>
        <w:pStyle w:val="a8"/>
        <w:numPr>
          <w:ilvl w:val="0"/>
          <w:numId w:val="43"/>
        </w:numPr>
        <w:ind w:left="0" w:firstLine="839"/>
        <w:jc w:val="both"/>
        <w:rPr>
          <w:sz w:val="28"/>
          <w:szCs w:val="28"/>
        </w:rPr>
      </w:pPr>
      <w:r w:rsidRPr="00A53AD7">
        <w:rPr>
          <w:sz w:val="28"/>
          <w:szCs w:val="28"/>
        </w:rPr>
        <w:t>от 28.01.2019 № 139-2019-I10029-1 (в редакции дополнительного соглашения от 16.12.2019 № 139-2019-I10029-1/1) о реализации регионального проекта «Улучшение условий ведения предпринимательской деятельности на территории Архангельской области» (далее – региональный проект «Улучшение условий для бизнеса в Архангельской области»), являющийся составляющим федерального проекта «Улучшение условий ведения предпринимательской деятельности».</w:t>
      </w:r>
    </w:p>
    <w:p w14:paraId="322F9FE2"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Сводной бюджетной росписью на 2019 год в госпрограмме на реализацию национального проекта «МСП и поддержка индивидуальной предпринимательской инициативы» (по 3 региональным проектам) предусмотрены бюджетные ассигнования в общем объеме 529,8 млн.руб., что составляет 61,6% от общего объема финансирования по госпрограмме, из них: средства федерального бюджета 465,1 млн.руб., областного бюджета – 64,7 млн.руб.</w:t>
      </w:r>
    </w:p>
    <w:p w14:paraId="68158102" w14:textId="63717556"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2019 год финансирование мероприятий регионального проекта «Улучшение условий ведения предпринимательской деятельности» </w:t>
      </w:r>
      <w:r w:rsidR="00F710F4" w:rsidRPr="00A53AD7">
        <w:rPr>
          <w:rFonts w:ascii="Times New Roman" w:hAnsi="Times New Roman"/>
          <w:sz w:val="28"/>
          <w:szCs w:val="28"/>
        </w:rPr>
        <w:t>не предусмотрено.</w:t>
      </w:r>
    </w:p>
    <w:p w14:paraId="1C0316C0" w14:textId="6A6E8075"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кассовое исполнение национального проекта «МСП и поддержка индивидуальной предпринимательской инициативы» в рамках госпрограммы в целом по 3 региональным проектам госпрограммы составило 529,8 млн.руб. или 100,0% к сводной бюджетной росписи, при этом освоено 84,1% от сводной бюдже</w:t>
      </w:r>
      <w:r w:rsidR="00F710F4" w:rsidRPr="00A53AD7">
        <w:rPr>
          <w:rFonts w:ascii="Times New Roman" w:hAnsi="Times New Roman"/>
          <w:sz w:val="28"/>
          <w:szCs w:val="28"/>
        </w:rPr>
        <w:t>тной росписи или 445,4 млн.руб.</w:t>
      </w:r>
    </w:p>
    <w:p w14:paraId="526D4ABB" w14:textId="6E9C0C20" w:rsidR="009C1C2B" w:rsidRPr="00A53AD7" w:rsidRDefault="009C1C2B" w:rsidP="00F710F4">
      <w:pPr>
        <w:spacing w:after="0" w:line="240" w:lineRule="auto"/>
        <w:ind w:firstLine="851"/>
        <w:jc w:val="both"/>
        <w:rPr>
          <w:rFonts w:ascii="Times New Roman" w:hAnsi="Times New Roman"/>
          <w:sz w:val="20"/>
          <w:szCs w:val="20"/>
          <w:highlight w:val="cyan"/>
        </w:rPr>
      </w:pPr>
      <w:r w:rsidRPr="00A53AD7">
        <w:rPr>
          <w:rFonts w:ascii="Times New Roman" w:hAnsi="Times New Roman"/>
          <w:sz w:val="28"/>
          <w:szCs w:val="28"/>
        </w:rPr>
        <w:t>Исполнение национального проекта «МСП и поддержка индивидуальной предпринимательской инициативы» за 2019 год в разрезе региональных проектов и источников финансирования, представлено в таблице ниже:</w:t>
      </w:r>
    </w:p>
    <w:tbl>
      <w:tblPr>
        <w:tblW w:w="9355" w:type="dxa"/>
        <w:tblInd w:w="-23" w:type="dxa"/>
        <w:tblLayout w:type="fixed"/>
        <w:tblLook w:val="04A0" w:firstRow="1" w:lastRow="0" w:firstColumn="1" w:lastColumn="0" w:noHBand="0" w:noVBand="1"/>
      </w:tblPr>
      <w:tblGrid>
        <w:gridCol w:w="3402"/>
        <w:gridCol w:w="1275"/>
        <w:gridCol w:w="1276"/>
        <w:gridCol w:w="992"/>
        <w:gridCol w:w="1276"/>
        <w:gridCol w:w="1134"/>
      </w:tblGrid>
      <w:tr w:rsidR="00D470B6" w:rsidRPr="00A53AD7" w14:paraId="1E7CA42F" w14:textId="77777777" w:rsidTr="00F710F4">
        <w:trPr>
          <w:trHeight w:val="542"/>
          <w:tblHeader/>
        </w:trPr>
        <w:tc>
          <w:tcPr>
            <w:tcW w:w="3402" w:type="dxa"/>
            <w:vMerge w:val="restart"/>
            <w:tcBorders>
              <w:top w:val="double" w:sz="6" w:space="0" w:color="auto"/>
              <w:left w:val="double" w:sz="6" w:space="0" w:color="auto"/>
              <w:right w:val="single" w:sz="4" w:space="0" w:color="auto"/>
            </w:tcBorders>
            <w:shd w:val="clear" w:color="auto" w:fill="auto"/>
            <w:vAlign w:val="center"/>
            <w:hideMark/>
          </w:tcPr>
          <w:p w14:paraId="45D8C95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Наименование региональных проектов государственной программы </w:t>
            </w:r>
          </w:p>
        </w:tc>
        <w:tc>
          <w:tcPr>
            <w:tcW w:w="1275" w:type="dxa"/>
            <w:vMerge w:val="restart"/>
            <w:tcBorders>
              <w:top w:val="double" w:sz="6" w:space="0" w:color="auto"/>
              <w:left w:val="nil"/>
              <w:right w:val="single" w:sz="4" w:space="0" w:color="auto"/>
            </w:tcBorders>
            <w:shd w:val="clear" w:color="000000" w:fill="FFFFFF"/>
            <w:vAlign w:val="center"/>
            <w:hideMark/>
          </w:tcPr>
          <w:p w14:paraId="28B0ED8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Уточненная сводная бюджетная роспись на 2019 год</w:t>
            </w:r>
          </w:p>
        </w:tc>
        <w:tc>
          <w:tcPr>
            <w:tcW w:w="1276" w:type="dxa"/>
            <w:vMerge w:val="restart"/>
            <w:tcBorders>
              <w:top w:val="double" w:sz="6" w:space="0" w:color="auto"/>
              <w:left w:val="nil"/>
              <w:right w:val="single" w:sz="4" w:space="0" w:color="auto"/>
            </w:tcBorders>
            <w:shd w:val="clear" w:color="000000" w:fill="FFFFFF"/>
            <w:vAlign w:val="center"/>
            <w:hideMark/>
          </w:tcPr>
          <w:p w14:paraId="2695A64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Кассовое исполнение за 2019 год</w:t>
            </w:r>
          </w:p>
        </w:tc>
        <w:tc>
          <w:tcPr>
            <w:tcW w:w="992" w:type="dxa"/>
            <w:vMerge w:val="restart"/>
            <w:tcBorders>
              <w:top w:val="double" w:sz="6" w:space="0" w:color="auto"/>
              <w:left w:val="nil"/>
              <w:right w:val="single" w:sz="4" w:space="0" w:color="auto"/>
            </w:tcBorders>
            <w:shd w:val="clear" w:color="000000" w:fill="FFFFFF"/>
            <w:vAlign w:val="center"/>
          </w:tcPr>
          <w:p w14:paraId="561958F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Освоено</w:t>
            </w:r>
          </w:p>
          <w:p w14:paraId="2576239E"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 2019 год</w:t>
            </w:r>
          </w:p>
        </w:tc>
        <w:tc>
          <w:tcPr>
            <w:tcW w:w="2410" w:type="dxa"/>
            <w:gridSpan w:val="2"/>
            <w:tcBorders>
              <w:top w:val="double" w:sz="6" w:space="0" w:color="auto"/>
              <w:left w:val="single" w:sz="4" w:space="0" w:color="auto"/>
              <w:bottom w:val="single" w:sz="4" w:space="0" w:color="auto"/>
              <w:right w:val="double" w:sz="6" w:space="0" w:color="auto"/>
            </w:tcBorders>
            <w:shd w:val="clear" w:color="000000" w:fill="FFFFFF"/>
            <w:vAlign w:val="center"/>
          </w:tcPr>
          <w:p w14:paraId="404126D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w:t>
            </w:r>
          </w:p>
        </w:tc>
      </w:tr>
      <w:tr w:rsidR="00D470B6" w:rsidRPr="00A53AD7" w14:paraId="38934FDE" w14:textId="77777777" w:rsidTr="00F710F4">
        <w:trPr>
          <w:trHeight w:val="522"/>
          <w:tblHeader/>
        </w:trPr>
        <w:tc>
          <w:tcPr>
            <w:tcW w:w="3402" w:type="dxa"/>
            <w:vMerge/>
            <w:tcBorders>
              <w:left w:val="double" w:sz="6" w:space="0" w:color="auto"/>
              <w:bottom w:val="single" w:sz="4" w:space="0" w:color="auto"/>
              <w:right w:val="single" w:sz="4" w:space="0" w:color="auto"/>
            </w:tcBorders>
            <w:shd w:val="clear" w:color="auto" w:fill="auto"/>
            <w:vAlign w:val="center"/>
          </w:tcPr>
          <w:p w14:paraId="2EB365E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5" w:type="dxa"/>
            <w:vMerge/>
            <w:tcBorders>
              <w:left w:val="nil"/>
              <w:bottom w:val="single" w:sz="4" w:space="0" w:color="auto"/>
              <w:right w:val="single" w:sz="4" w:space="0" w:color="auto"/>
            </w:tcBorders>
            <w:shd w:val="clear" w:color="000000" w:fill="FFFFFF"/>
            <w:vAlign w:val="center"/>
          </w:tcPr>
          <w:p w14:paraId="33585B8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vMerge/>
            <w:tcBorders>
              <w:left w:val="nil"/>
              <w:bottom w:val="single" w:sz="4" w:space="0" w:color="auto"/>
              <w:right w:val="single" w:sz="4" w:space="0" w:color="auto"/>
            </w:tcBorders>
            <w:shd w:val="clear" w:color="000000" w:fill="FFFFFF"/>
            <w:vAlign w:val="center"/>
          </w:tcPr>
          <w:p w14:paraId="5FBC2E5F"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992" w:type="dxa"/>
            <w:vMerge/>
            <w:tcBorders>
              <w:left w:val="nil"/>
              <w:bottom w:val="single" w:sz="4" w:space="0" w:color="auto"/>
              <w:right w:val="single" w:sz="4" w:space="0" w:color="auto"/>
            </w:tcBorders>
            <w:shd w:val="clear" w:color="000000" w:fill="FFFFFF"/>
            <w:vAlign w:val="center"/>
          </w:tcPr>
          <w:p w14:paraId="514BD4A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652A7C0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кассового исполнения</w:t>
            </w:r>
          </w:p>
        </w:tc>
        <w:tc>
          <w:tcPr>
            <w:tcW w:w="1134" w:type="dxa"/>
            <w:tcBorders>
              <w:top w:val="single" w:sz="4" w:space="0" w:color="auto"/>
              <w:left w:val="single" w:sz="4" w:space="0" w:color="auto"/>
              <w:bottom w:val="single" w:sz="4" w:space="0" w:color="auto"/>
              <w:right w:val="double" w:sz="6" w:space="0" w:color="auto"/>
            </w:tcBorders>
            <w:shd w:val="clear" w:color="000000" w:fill="FFFFFF"/>
            <w:vAlign w:val="center"/>
          </w:tcPr>
          <w:p w14:paraId="29E45B6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освоения</w:t>
            </w:r>
          </w:p>
        </w:tc>
      </w:tr>
      <w:tr w:rsidR="00D470B6" w:rsidRPr="00A53AD7" w14:paraId="40AD8B53" w14:textId="77777777" w:rsidTr="00F710F4">
        <w:trPr>
          <w:trHeight w:val="126"/>
        </w:trPr>
        <w:tc>
          <w:tcPr>
            <w:tcW w:w="3402" w:type="dxa"/>
            <w:tcBorders>
              <w:top w:val="nil"/>
              <w:left w:val="double" w:sz="6" w:space="0" w:color="auto"/>
              <w:bottom w:val="single" w:sz="4" w:space="0" w:color="auto"/>
              <w:right w:val="single" w:sz="4" w:space="0" w:color="auto"/>
            </w:tcBorders>
            <w:shd w:val="clear" w:color="auto" w:fill="auto"/>
            <w:vAlign w:val="center"/>
          </w:tcPr>
          <w:p w14:paraId="066BBC23"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Региональный проект «</w:t>
            </w:r>
            <w:r w:rsidRPr="00A53AD7">
              <w:rPr>
                <w:rFonts w:ascii="Times New Roman" w:hAnsi="Times New Roman"/>
                <w:sz w:val="20"/>
                <w:szCs w:val="20"/>
              </w:rPr>
              <w:t>Акселерация субъектов малого и среднего предпринимательства</w:t>
            </w:r>
            <w:r w:rsidRPr="00A53AD7">
              <w:rPr>
                <w:rFonts w:ascii="Times New Roman" w:eastAsia="Times New Roman" w:hAnsi="Times New Roman"/>
                <w:sz w:val="20"/>
                <w:szCs w:val="20"/>
                <w:lang w:eastAsia="ru-RU"/>
              </w:rPr>
              <w:t xml:space="preserve"> в Архангельской области»</w:t>
            </w:r>
            <w:r w:rsidRPr="00A53AD7">
              <w:t xml:space="preserve"> </w:t>
            </w:r>
            <w:r w:rsidRPr="00A53AD7">
              <w:rPr>
                <w:rFonts w:ascii="Times New Roman" w:eastAsia="Times New Roman" w:hAnsi="Times New Roman"/>
                <w:sz w:val="20"/>
                <w:szCs w:val="20"/>
                <w:lang w:eastAsia="ru-RU"/>
              </w:rPr>
              <w:t>всего, в том числе:</w:t>
            </w:r>
          </w:p>
        </w:tc>
        <w:tc>
          <w:tcPr>
            <w:tcW w:w="1275" w:type="dxa"/>
            <w:tcBorders>
              <w:top w:val="nil"/>
              <w:left w:val="nil"/>
              <w:bottom w:val="single" w:sz="4" w:space="0" w:color="auto"/>
              <w:right w:val="single" w:sz="4" w:space="0" w:color="auto"/>
            </w:tcBorders>
            <w:shd w:val="clear" w:color="auto" w:fill="auto"/>
            <w:noWrap/>
            <w:vAlign w:val="center"/>
          </w:tcPr>
          <w:p w14:paraId="6E1D3EF0"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268,8</w:t>
            </w:r>
          </w:p>
        </w:tc>
        <w:tc>
          <w:tcPr>
            <w:tcW w:w="1276" w:type="dxa"/>
            <w:tcBorders>
              <w:top w:val="nil"/>
              <w:left w:val="nil"/>
              <w:bottom w:val="single" w:sz="4" w:space="0" w:color="auto"/>
              <w:right w:val="single" w:sz="4" w:space="0" w:color="auto"/>
            </w:tcBorders>
            <w:shd w:val="clear" w:color="auto" w:fill="auto"/>
            <w:noWrap/>
            <w:vAlign w:val="center"/>
          </w:tcPr>
          <w:p w14:paraId="73046E2D"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268,8</w:t>
            </w:r>
          </w:p>
        </w:tc>
        <w:tc>
          <w:tcPr>
            <w:tcW w:w="992" w:type="dxa"/>
            <w:tcBorders>
              <w:top w:val="nil"/>
              <w:left w:val="nil"/>
              <w:bottom w:val="single" w:sz="4" w:space="0" w:color="auto"/>
              <w:right w:val="single" w:sz="4" w:space="0" w:color="auto"/>
            </w:tcBorders>
            <w:vAlign w:val="center"/>
          </w:tcPr>
          <w:p w14:paraId="0C03B142"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209,0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4B3DCAA"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03251544"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77,7</w:t>
            </w:r>
          </w:p>
        </w:tc>
      </w:tr>
      <w:tr w:rsidR="00D470B6" w:rsidRPr="00A53AD7" w14:paraId="06ECEC28" w14:textId="77777777" w:rsidTr="00F710F4">
        <w:trPr>
          <w:trHeight w:val="90"/>
        </w:trPr>
        <w:tc>
          <w:tcPr>
            <w:tcW w:w="3402" w:type="dxa"/>
            <w:tcBorders>
              <w:top w:val="nil"/>
              <w:left w:val="double" w:sz="6" w:space="0" w:color="auto"/>
              <w:bottom w:val="single" w:sz="4" w:space="0" w:color="auto"/>
              <w:right w:val="single" w:sz="4" w:space="0" w:color="auto"/>
            </w:tcBorders>
            <w:shd w:val="clear" w:color="auto" w:fill="auto"/>
            <w:vAlign w:val="center"/>
          </w:tcPr>
          <w:p w14:paraId="5CC6BCC7"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4F45160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214,4</w:t>
            </w:r>
          </w:p>
        </w:tc>
        <w:tc>
          <w:tcPr>
            <w:tcW w:w="1276" w:type="dxa"/>
            <w:tcBorders>
              <w:top w:val="nil"/>
              <w:left w:val="nil"/>
              <w:bottom w:val="single" w:sz="4" w:space="0" w:color="auto"/>
              <w:right w:val="single" w:sz="4" w:space="0" w:color="auto"/>
            </w:tcBorders>
            <w:shd w:val="clear" w:color="auto" w:fill="auto"/>
            <w:noWrap/>
            <w:vAlign w:val="center"/>
          </w:tcPr>
          <w:p w14:paraId="286AEE6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214,4</w:t>
            </w:r>
          </w:p>
        </w:tc>
        <w:tc>
          <w:tcPr>
            <w:tcW w:w="992" w:type="dxa"/>
            <w:tcBorders>
              <w:top w:val="nil"/>
              <w:left w:val="nil"/>
              <w:bottom w:val="single" w:sz="4" w:space="0" w:color="auto"/>
              <w:right w:val="single" w:sz="4" w:space="0" w:color="auto"/>
            </w:tcBorders>
          </w:tcPr>
          <w:p w14:paraId="294983F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457A52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31683CB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0BB90C08" w14:textId="77777777" w:rsidTr="00F710F4">
        <w:trPr>
          <w:trHeight w:val="136"/>
        </w:trPr>
        <w:tc>
          <w:tcPr>
            <w:tcW w:w="3402" w:type="dxa"/>
            <w:tcBorders>
              <w:top w:val="nil"/>
              <w:left w:val="double" w:sz="6" w:space="0" w:color="auto"/>
              <w:bottom w:val="single" w:sz="4" w:space="0" w:color="auto"/>
              <w:right w:val="single" w:sz="4" w:space="0" w:color="auto"/>
            </w:tcBorders>
            <w:shd w:val="clear" w:color="auto" w:fill="auto"/>
            <w:vAlign w:val="center"/>
          </w:tcPr>
          <w:p w14:paraId="4A2C6132"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23998A84"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54,4</w:t>
            </w:r>
          </w:p>
        </w:tc>
        <w:tc>
          <w:tcPr>
            <w:tcW w:w="1276" w:type="dxa"/>
            <w:tcBorders>
              <w:top w:val="nil"/>
              <w:left w:val="nil"/>
              <w:bottom w:val="single" w:sz="4" w:space="0" w:color="auto"/>
              <w:right w:val="single" w:sz="4" w:space="0" w:color="auto"/>
            </w:tcBorders>
            <w:shd w:val="clear" w:color="auto" w:fill="auto"/>
            <w:noWrap/>
            <w:vAlign w:val="center"/>
          </w:tcPr>
          <w:p w14:paraId="5463AB24"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54,4</w:t>
            </w:r>
          </w:p>
        </w:tc>
        <w:tc>
          <w:tcPr>
            <w:tcW w:w="992" w:type="dxa"/>
            <w:tcBorders>
              <w:top w:val="nil"/>
              <w:left w:val="nil"/>
              <w:bottom w:val="single" w:sz="4" w:space="0" w:color="auto"/>
              <w:right w:val="single" w:sz="4" w:space="0" w:color="auto"/>
            </w:tcBorders>
          </w:tcPr>
          <w:p w14:paraId="0EA95EF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2AD103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145493D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0B50CD7E" w14:textId="77777777" w:rsidTr="00F710F4">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550F4FB8"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Региональный проект «</w:t>
            </w:r>
            <w:r w:rsidRPr="00A53AD7">
              <w:rPr>
                <w:rFonts w:ascii="Times New Roman" w:hAnsi="Times New Roman"/>
                <w:sz w:val="20"/>
                <w:szCs w:val="20"/>
              </w:rPr>
              <w:t>Популяризация предпринимательства</w:t>
            </w:r>
            <w:r w:rsidRPr="00A53AD7">
              <w:rPr>
                <w:rFonts w:ascii="Times New Roman" w:eastAsia="Times New Roman" w:hAnsi="Times New Roman"/>
                <w:sz w:val="20"/>
                <w:szCs w:val="20"/>
                <w:lang w:eastAsia="ru-RU"/>
              </w:rPr>
              <w:t xml:space="preserve"> в Архангельской области»</w:t>
            </w:r>
            <w:r w:rsidRPr="00A53AD7">
              <w:t xml:space="preserve"> </w:t>
            </w:r>
            <w:r w:rsidRPr="00A53AD7">
              <w:rPr>
                <w:rFonts w:ascii="Times New Roman" w:eastAsia="Times New Roman" w:hAnsi="Times New Roman"/>
                <w:sz w:val="20"/>
                <w:szCs w:val="20"/>
                <w:lang w:eastAsia="ru-RU"/>
              </w:rPr>
              <w:t>всего, в том числе:</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47722441"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11,0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0E5A65D"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11,0</w:t>
            </w:r>
          </w:p>
        </w:tc>
        <w:tc>
          <w:tcPr>
            <w:tcW w:w="992" w:type="dxa"/>
            <w:tcBorders>
              <w:top w:val="single" w:sz="4" w:space="0" w:color="auto"/>
              <w:left w:val="nil"/>
              <w:bottom w:val="single" w:sz="4" w:space="0" w:color="auto"/>
              <w:right w:val="single" w:sz="4" w:space="0" w:color="auto"/>
            </w:tcBorders>
            <w:vAlign w:val="center"/>
          </w:tcPr>
          <w:p w14:paraId="052BDB9C"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4AE62"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28F2F294"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87,3</w:t>
            </w:r>
          </w:p>
        </w:tc>
      </w:tr>
      <w:tr w:rsidR="00D470B6" w:rsidRPr="00A53AD7" w14:paraId="7D6888F1" w14:textId="77777777" w:rsidTr="00F710F4">
        <w:trPr>
          <w:trHeight w:val="155"/>
        </w:trPr>
        <w:tc>
          <w:tcPr>
            <w:tcW w:w="3402" w:type="dxa"/>
            <w:tcBorders>
              <w:top w:val="nil"/>
              <w:left w:val="double" w:sz="6" w:space="0" w:color="auto"/>
              <w:bottom w:val="single" w:sz="4" w:space="0" w:color="auto"/>
              <w:right w:val="single" w:sz="4" w:space="0" w:color="auto"/>
            </w:tcBorders>
            <w:shd w:val="clear" w:color="auto" w:fill="auto"/>
            <w:vAlign w:val="center"/>
          </w:tcPr>
          <w:p w14:paraId="35E81751"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23D34F4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w:t>
            </w:r>
          </w:p>
        </w:tc>
        <w:tc>
          <w:tcPr>
            <w:tcW w:w="1276" w:type="dxa"/>
            <w:tcBorders>
              <w:top w:val="nil"/>
              <w:left w:val="nil"/>
              <w:bottom w:val="single" w:sz="4" w:space="0" w:color="auto"/>
              <w:right w:val="single" w:sz="4" w:space="0" w:color="auto"/>
            </w:tcBorders>
            <w:shd w:val="clear" w:color="auto" w:fill="auto"/>
            <w:noWrap/>
            <w:vAlign w:val="center"/>
          </w:tcPr>
          <w:p w14:paraId="7C9509E4"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w:t>
            </w:r>
          </w:p>
        </w:tc>
        <w:tc>
          <w:tcPr>
            <w:tcW w:w="992" w:type="dxa"/>
            <w:tcBorders>
              <w:top w:val="nil"/>
              <w:left w:val="nil"/>
              <w:bottom w:val="single" w:sz="4" w:space="0" w:color="auto"/>
              <w:right w:val="single" w:sz="4" w:space="0" w:color="auto"/>
            </w:tcBorders>
          </w:tcPr>
          <w:p w14:paraId="7CA96B6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A897CA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5780A5E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16693CEB" w14:textId="77777777" w:rsidTr="00F710F4">
        <w:trPr>
          <w:trHeight w:val="46"/>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2E5A8E72"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63177FD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790E99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992" w:type="dxa"/>
            <w:tcBorders>
              <w:top w:val="single" w:sz="4" w:space="0" w:color="auto"/>
              <w:left w:val="nil"/>
              <w:bottom w:val="single" w:sz="4" w:space="0" w:color="auto"/>
              <w:right w:val="single" w:sz="4" w:space="0" w:color="auto"/>
            </w:tcBorders>
          </w:tcPr>
          <w:p w14:paraId="2D5E61C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A0F4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0088AD3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4334049B" w14:textId="77777777" w:rsidTr="00F710F4">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5E52D079" w14:textId="77777777" w:rsidR="009C1C2B" w:rsidRPr="00A53AD7" w:rsidRDefault="009C1C2B" w:rsidP="009C1C2B">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sz w:val="20"/>
                <w:szCs w:val="20"/>
                <w:lang w:eastAsia="ru-RU"/>
              </w:rPr>
              <w:t>3. Региональный проект</w:t>
            </w:r>
            <w:r w:rsidRPr="00A53AD7">
              <w:rPr>
                <w:rFonts w:ascii="Times New Roman" w:eastAsia="Times New Roman" w:hAnsi="Times New Roman"/>
                <w:b/>
                <w:sz w:val="20"/>
                <w:szCs w:val="20"/>
                <w:lang w:eastAsia="ru-RU"/>
              </w:rPr>
              <w:t xml:space="preserve"> «</w:t>
            </w:r>
            <w:r w:rsidRPr="00A53AD7">
              <w:rPr>
                <w:rFonts w:ascii="Times New Roman" w:hAnsi="Times New Roman"/>
                <w:sz w:val="20"/>
                <w:szCs w:val="20"/>
              </w:rPr>
              <w:t>Расширение доступа субъектов МСП к финансовой поддержке, в том числе к льготному финансированию в Архангельской области</w:t>
            </w:r>
            <w:r w:rsidRPr="00A53AD7">
              <w:rPr>
                <w:rFonts w:ascii="Times New Roman" w:eastAsia="Times New Roman" w:hAnsi="Times New Roman"/>
                <w:b/>
                <w:sz w:val="20"/>
                <w:szCs w:val="20"/>
                <w:lang w:eastAsia="ru-RU"/>
              </w:rPr>
              <w:t>»</w:t>
            </w:r>
            <w:r w:rsidRPr="00A53AD7">
              <w:t xml:space="preserve"> </w:t>
            </w:r>
            <w:r w:rsidRPr="00A53AD7">
              <w:rPr>
                <w:rFonts w:ascii="Times New Roman" w:eastAsia="Times New Roman" w:hAnsi="Times New Roman"/>
                <w:sz w:val="20"/>
                <w:szCs w:val="20"/>
                <w:lang w:eastAsia="ru-RU"/>
              </w:rPr>
              <w:t>всего, в том числе:</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2A1493C7"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250,0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27604F8"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250,0</w:t>
            </w:r>
          </w:p>
        </w:tc>
        <w:tc>
          <w:tcPr>
            <w:tcW w:w="992" w:type="dxa"/>
            <w:tcBorders>
              <w:top w:val="single" w:sz="4" w:space="0" w:color="auto"/>
              <w:left w:val="nil"/>
              <w:bottom w:val="single" w:sz="4" w:space="0" w:color="auto"/>
              <w:right w:val="single" w:sz="4" w:space="0" w:color="auto"/>
            </w:tcBorders>
            <w:vAlign w:val="center"/>
          </w:tcPr>
          <w:p w14:paraId="34A98978"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226,8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B7F4F"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3F1FD4D0"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90,7</w:t>
            </w:r>
          </w:p>
        </w:tc>
      </w:tr>
      <w:tr w:rsidR="00D470B6" w:rsidRPr="00A53AD7" w14:paraId="5AB080C6" w14:textId="77777777" w:rsidTr="00F710F4">
        <w:trPr>
          <w:trHeight w:val="126"/>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3DA18E5E"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79DF80B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241,3</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E5AD5A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241,3</w:t>
            </w:r>
          </w:p>
        </w:tc>
        <w:tc>
          <w:tcPr>
            <w:tcW w:w="992" w:type="dxa"/>
            <w:tcBorders>
              <w:top w:val="single" w:sz="4" w:space="0" w:color="auto"/>
              <w:left w:val="nil"/>
              <w:bottom w:val="single" w:sz="4" w:space="0" w:color="auto"/>
              <w:right w:val="single" w:sz="4" w:space="0" w:color="auto"/>
            </w:tcBorders>
          </w:tcPr>
          <w:p w14:paraId="4DC2952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1935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34DE996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3AC3E508" w14:textId="77777777" w:rsidTr="00F710F4">
        <w:trPr>
          <w:trHeight w:val="172"/>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40492324"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50D5F58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B39AAB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8,7</w:t>
            </w:r>
          </w:p>
        </w:tc>
        <w:tc>
          <w:tcPr>
            <w:tcW w:w="992" w:type="dxa"/>
            <w:tcBorders>
              <w:top w:val="single" w:sz="4" w:space="0" w:color="auto"/>
              <w:left w:val="nil"/>
              <w:bottom w:val="single" w:sz="4" w:space="0" w:color="auto"/>
              <w:right w:val="single" w:sz="4" w:space="0" w:color="auto"/>
            </w:tcBorders>
          </w:tcPr>
          <w:p w14:paraId="2E560FEF"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E102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4EAF6BB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6C01FB1B" w14:textId="77777777" w:rsidTr="00F710F4">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08363B6D"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b/>
                <w:sz w:val="20"/>
                <w:szCs w:val="20"/>
                <w:lang w:eastAsia="ru-RU"/>
              </w:rPr>
              <w:t>Итого национальный проект «</w:t>
            </w:r>
            <w:r w:rsidRPr="00A53AD7">
              <w:rPr>
                <w:rFonts w:ascii="Times New Roman" w:hAnsi="Times New Roman"/>
                <w:sz w:val="20"/>
                <w:szCs w:val="20"/>
              </w:rPr>
              <w:t>МСП и поддержка индивидуальной предпринимательской инициативы</w:t>
            </w:r>
            <w:r w:rsidRPr="00A53AD7">
              <w:rPr>
                <w:rFonts w:ascii="Times New Roman" w:eastAsia="Times New Roman" w:hAnsi="Times New Roman"/>
                <w:b/>
                <w:sz w:val="20"/>
                <w:szCs w:val="20"/>
                <w:lang w:eastAsia="ru-RU"/>
              </w:rPr>
              <w:t>» всего, в том числе</w:t>
            </w:r>
            <w:r w:rsidRPr="00A53AD7">
              <w:rPr>
                <w:rFonts w:ascii="Times New Roman" w:eastAsia="Times New Roman" w:hAnsi="Times New Roman"/>
                <w:sz w:val="20"/>
                <w:szCs w:val="20"/>
                <w:lang w:eastAsia="ru-RU"/>
              </w:rPr>
              <w:t>:</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23927E12"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529,8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5FB383A"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529,8</w:t>
            </w:r>
          </w:p>
        </w:tc>
        <w:tc>
          <w:tcPr>
            <w:tcW w:w="992" w:type="dxa"/>
            <w:tcBorders>
              <w:top w:val="single" w:sz="4" w:space="0" w:color="auto"/>
              <w:left w:val="nil"/>
              <w:bottom w:val="single" w:sz="4" w:space="0" w:color="auto"/>
              <w:right w:val="single" w:sz="4" w:space="0" w:color="auto"/>
            </w:tcBorders>
            <w:vAlign w:val="center"/>
          </w:tcPr>
          <w:p w14:paraId="51A8F20B"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445,4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A7C31"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7F5B48BA"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84,1</w:t>
            </w:r>
          </w:p>
        </w:tc>
      </w:tr>
      <w:tr w:rsidR="00D470B6" w:rsidRPr="00A53AD7" w14:paraId="08CCCF22" w14:textId="77777777" w:rsidTr="00F710F4">
        <w:trPr>
          <w:trHeight w:val="131"/>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230B3E9C"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16DADA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465,1</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7AAD3DA"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465,1</w:t>
            </w:r>
          </w:p>
        </w:tc>
        <w:tc>
          <w:tcPr>
            <w:tcW w:w="992" w:type="dxa"/>
            <w:tcBorders>
              <w:top w:val="single" w:sz="4" w:space="0" w:color="auto"/>
              <w:left w:val="nil"/>
              <w:bottom w:val="single" w:sz="4" w:space="0" w:color="auto"/>
              <w:right w:val="single" w:sz="4" w:space="0" w:color="auto"/>
            </w:tcBorders>
            <w:vAlign w:val="center"/>
          </w:tcPr>
          <w:p w14:paraId="1F8E2E4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26E8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08A6F9E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9C1C2B" w:rsidRPr="00A53AD7" w14:paraId="5FEC00BF" w14:textId="77777777" w:rsidTr="00F710F4">
        <w:trPr>
          <w:trHeight w:val="76"/>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34330D24"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258BE3F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64,7</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2B6267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64,7</w:t>
            </w:r>
          </w:p>
        </w:tc>
        <w:tc>
          <w:tcPr>
            <w:tcW w:w="992" w:type="dxa"/>
            <w:tcBorders>
              <w:top w:val="single" w:sz="4" w:space="0" w:color="auto"/>
              <w:left w:val="nil"/>
              <w:bottom w:val="single" w:sz="4" w:space="0" w:color="auto"/>
              <w:right w:val="single" w:sz="4" w:space="0" w:color="auto"/>
            </w:tcBorders>
            <w:vAlign w:val="center"/>
          </w:tcPr>
          <w:p w14:paraId="20EDAC7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E554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3019916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bl>
    <w:p w14:paraId="53819EDE" w14:textId="77777777" w:rsidR="00F710F4" w:rsidRPr="00A53AD7" w:rsidRDefault="00F710F4" w:rsidP="00F710F4">
      <w:pPr>
        <w:spacing w:after="0" w:line="240" w:lineRule="auto"/>
        <w:ind w:firstLine="851"/>
        <w:jc w:val="both"/>
        <w:rPr>
          <w:rFonts w:ascii="Times New Roman" w:hAnsi="Times New Roman"/>
          <w:sz w:val="28"/>
          <w:szCs w:val="28"/>
        </w:rPr>
      </w:pPr>
    </w:p>
    <w:p w14:paraId="7BE5818A"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следует из таблицы, за 2019 год низкий уровень освоения бюджетных ассигнований сложилось по 2 региональным проектам, а именно:</w:t>
      </w:r>
    </w:p>
    <w:p w14:paraId="2EA78963" w14:textId="2F020579" w:rsidR="009C1C2B" w:rsidRPr="00A53AD7" w:rsidRDefault="009C1C2B" w:rsidP="00CA1DDD">
      <w:pPr>
        <w:pStyle w:val="a8"/>
        <w:numPr>
          <w:ilvl w:val="0"/>
          <w:numId w:val="43"/>
        </w:numPr>
        <w:ind w:left="0" w:firstLine="839"/>
        <w:jc w:val="both"/>
        <w:rPr>
          <w:sz w:val="28"/>
          <w:szCs w:val="28"/>
        </w:rPr>
      </w:pPr>
      <w:r w:rsidRPr="00A53AD7">
        <w:rPr>
          <w:sz w:val="28"/>
          <w:szCs w:val="28"/>
        </w:rPr>
        <w:t>«Акселерация субъектов малого и среднего предпринимательства в Архангельской области» - 77,7% от бюджетной росписи при 100% кассовом исполнении;</w:t>
      </w:r>
    </w:p>
    <w:p w14:paraId="6C4E7759" w14:textId="55872998" w:rsidR="009C1C2B" w:rsidRPr="00A53AD7" w:rsidRDefault="009C1C2B" w:rsidP="00CA1DDD">
      <w:pPr>
        <w:pStyle w:val="a8"/>
        <w:numPr>
          <w:ilvl w:val="0"/>
          <w:numId w:val="43"/>
        </w:numPr>
        <w:ind w:left="0" w:firstLine="839"/>
        <w:jc w:val="both"/>
        <w:rPr>
          <w:sz w:val="28"/>
          <w:szCs w:val="28"/>
        </w:rPr>
      </w:pPr>
      <w:r w:rsidRPr="00A53AD7">
        <w:rPr>
          <w:sz w:val="28"/>
          <w:szCs w:val="28"/>
        </w:rPr>
        <w:t>«Популяризация предпринимательства в Архангельской области» - 87,3% от бюджетной росписи при 100% кассо</w:t>
      </w:r>
      <w:r w:rsidR="00F710F4" w:rsidRPr="00A53AD7">
        <w:rPr>
          <w:sz w:val="28"/>
          <w:szCs w:val="28"/>
        </w:rPr>
        <w:t>вом исполнении.</w:t>
      </w:r>
    </w:p>
    <w:p w14:paraId="1945901D"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Основная сумма неосвоенных бюджетных ассигнований по вышеперечисленным региональным проектам образовалась у автономной некоммерческой организации Архангельской области «Агентство регионального развития» (далее – АНО АО «АРР»).</w:t>
      </w:r>
    </w:p>
    <w:p w14:paraId="1CB668E7" w14:textId="0DE7905B"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пояснениям АНО АО «АРР» от 29.04.2020 № 278, направленным в минэкон</w:t>
      </w:r>
      <w:r w:rsidR="00564E24" w:rsidRPr="00A53AD7">
        <w:rPr>
          <w:rFonts w:ascii="Times New Roman" w:hAnsi="Times New Roman"/>
          <w:sz w:val="28"/>
          <w:szCs w:val="28"/>
        </w:rPr>
        <w:t>о</w:t>
      </w:r>
      <w:r w:rsidRPr="00A53AD7">
        <w:rPr>
          <w:rFonts w:ascii="Times New Roman" w:hAnsi="Times New Roman"/>
          <w:sz w:val="28"/>
          <w:szCs w:val="28"/>
        </w:rPr>
        <w:t>мразвития АО, «основными причинами формирования неиспользованного остатка денежных средств по субсидии по состоянию на 31.12.2019 можно отнести:</w:t>
      </w:r>
    </w:p>
    <w:p w14:paraId="1CE31A85" w14:textId="79C4BDD0" w:rsidR="009C1C2B" w:rsidRPr="00A53AD7" w:rsidRDefault="009C1C2B" w:rsidP="00CA1DDD">
      <w:pPr>
        <w:pStyle w:val="a8"/>
        <w:numPr>
          <w:ilvl w:val="0"/>
          <w:numId w:val="43"/>
        </w:numPr>
        <w:ind w:left="0" w:firstLine="839"/>
        <w:jc w:val="both"/>
        <w:rPr>
          <w:sz w:val="28"/>
          <w:szCs w:val="28"/>
        </w:rPr>
      </w:pPr>
      <w:r w:rsidRPr="00A53AD7">
        <w:rPr>
          <w:sz w:val="28"/>
          <w:szCs w:val="28"/>
        </w:rPr>
        <w:t>обеспечение беспрерывной реализации федеральных проектов путем оказания услуг для субъектов МСП;</w:t>
      </w:r>
    </w:p>
    <w:p w14:paraId="4F7D276C" w14:textId="6420D166" w:rsidR="009C1C2B" w:rsidRPr="00A53AD7" w:rsidRDefault="009C1C2B" w:rsidP="00CA1DDD">
      <w:pPr>
        <w:pStyle w:val="a8"/>
        <w:numPr>
          <w:ilvl w:val="0"/>
          <w:numId w:val="43"/>
        </w:numPr>
        <w:ind w:left="0" w:firstLine="839"/>
        <w:jc w:val="both"/>
        <w:rPr>
          <w:sz w:val="28"/>
          <w:szCs w:val="28"/>
        </w:rPr>
      </w:pPr>
      <w:r w:rsidRPr="00A53AD7">
        <w:rPr>
          <w:sz w:val="28"/>
          <w:szCs w:val="28"/>
        </w:rPr>
        <w:t>сметы 2019 года содержали мероприятия, запланированные на 1 квартал 2020 года, также часть мероприятий по запросу получателей услуг, с 2019 года перенесена на 2020 год;</w:t>
      </w:r>
    </w:p>
    <w:p w14:paraId="0F5E428A" w14:textId="6D2200B5" w:rsidR="009C1C2B" w:rsidRPr="00A53AD7" w:rsidRDefault="009C1C2B" w:rsidP="00CA1DDD">
      <w:pPr>
        <w:pStyle w:val="a8"/>
        <w:numPr>
          <w:ilvl w:val="0"/>
          <w:numId w:val="43"/>
        </w:numPr>
        <w:ind w:left="0" w:firstLine="839"/>
        <w:jc w:val="both"/>
        <w:rPr>
          <w:sz w:val="28"/>
          <w:szCs w:val="28"/>
        </w:rPr>
      </w:pPr>
      <w:r w:rsidRPr="00A53AD7">
        <w:rPr>
          <w:sz w:val="28"/>
          <w:szCs w:val="28"/>
        </w:rPr>
        <w:t>часть мероприятий (расходов) проведена силами агентства без привлечения сторонних организаций, либо покрыта за счет внебюджетных источников;</w:t>
      </w:r>
    </w:p>
    <w:p w14:paraId="2E2B559E" w14:textId="36223669" w:rsidR="009C1C2B" w:rsidRPr="00A53AD7" w:rsidRDefault="009C1C2B" w:rsidP="00CA1DDD">
      <w:pPr>
        <w:pStyle w:val="a8"/>
        <w:numPr>
          <w:ilvl w:val="0"/>
          <w:numId w:val="43"/>
        </w:numPr>
        <w:ind w:left="0" w:firstLine="839"/>
        <w:jc w:val="both"/>
        <w:rPr>
          <w:sz w:val="28"/>
          <w:szCs w:val="28"/>
        </w:rPr>
      </w:pPr>
      <w:r w:rsidRPr="00A53AD7">
        <w:rPr>
          <w:sz w:val="28"/>
          <w:szCs w:val="28"/>
        </w:rPr>
        <w:t>услуги (работы), выполняемые в течение продолжительного периода времени оплачены в 2020 году;</w:t>
      </w:r>
    </w:p>
    <w:p w14:paraId="4F804BB0" w14:textId="3EE0428E" w:rsidR="009C1C2B" w:rsidRPr="00A53AD7" w:rsidRDefault="009C1C2B" w:rsidP="00CA1DDD">
      <w:pPr>
        <w:pStyle w:val="a8"/>
        <w:numPr>
          <w:ilvl w:val="0"/>
          <w:numId w:val="43"/>
        </w:numPr>
        <w:ind w:left="0" w:firstLine="839"/>
        <w:jc w:val="both"/>
        <w:rPr>
          <w:sz w:val="28"/>
          <w:szCs w:val="28"/>
        </w:rPr>
      </w:pPr>
      <w:r w:rsidRPr="00A53AD7">
        <w:rPr>
          <w:sz w:val="28"/>
          <w:szCs w:val="28"/>
        </w:rPr>
        <w:t>неисполнение сроков и несоответствующее качество выполнения работ сторонними организациями повлекло перенос принятия расходов с их последующей оплатой на 2020 год».</w:t>
      </w:r>
    </w:p>
    <w:p w14:paraId="07E48F1C"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исполнению региональных проектов в разрезе мероприятий, достижения показателей и результатов, установленных на 2019 год, полагаем необходимым отметить следующее.</w:t>
      </w:r>
    </w:p>
    <w:p w14:paraId="5EB7C2A8" w14:textId="77777777" w:rsidR="00AB7AED" w:rsidRPr="00A53AD7" w:rsidRDefault="00AB7AED" w:rsidP="00F710F4">
      <w:pPr>
        <w:spacing w:after="0" w:line="240" w:lineRule="auto"/>
        <w:ind w:firstLine="851"/>
        <w:jc w:val="both"/>
        <w:rPr>
          <w:rFonts w:ascii="Times New Roman" w:hAnsi="Times New Roman"/>
          <w:sz w:val="28"/>
          <w:szCs w:val="28"/>
        </w:rPr>
      </w:pPr>
    </w:p>
    <w:p w14:paraId="6652D56C" w14:textId="71208C47" w:rsidR="009C1C2B" w:rsidRPr="00A53AD7" w:rsidRDefault="00AB7AED" w:rsidP="00AB7AED">
      <w:pPr>
        <w:spacing w:after="0" w:line="240" w:lineRule="auto"/>
        <w:jc w:val="center"/>
        <w:rPr>
          <w:rFonts w:ascii="Times New Roman" w:hAnsi="Times New Roman"/>
          <w:b/>
          <w:i/>
          <w:sz w:val="28"/>
          <w:szCs w:val="28"/>
        </w:rPr>
      </w:pPr>
      <w:r w:rsidRPr="00A53AD7">
        <w:rPr>
          <w:rFonts w:ascii="Times New Roman" w:hAnsi="Times New Roman"/>
          <w:b/>
          <w:i/>
          <w:sz w:val="28"/>
          <w:szCs w:val="28"/>
        </w:rPr>
        <w:t>Р</w:t>
      </w:r>
      <w:r w:rsidR="009C1C2B" w:rsidRPr="00A53AD7">
        <w:rPr>
          <w:rFonts w:ascii="Times New Roman" w:hAnsi="Times New Roman"/>
          <w:b/>
          <w:i/>
          <w:sz w:val="28"/>
          <w:szCs w:val="28"/>
        </w:rPr>
        <w:t>егиональный проект «Акселерация МСП в Архангельской области» (ответственный исполнитель</w:t>
      </w:r>
      <w:r w:rsidR="002851F7" w:rsidRPr="00A53AD7">
        <w:rPr>
          <w:rFonts w:ascii="Times New Roman" w:hAnsi="Times New Roman"/>
          <w:b/>
          <w:i/>
          <w:sz w:val="28"/>
          <w:szCs w:val="28"/>
        </w:rPr>
        <w:t xml:space="preserve"> – </w:t>
      </w:r>
      <w:r w:rsidR="009C1C2B" w:rsidRPr="00A53AD7">
        <w:rPr>
          <w:rFonts w:ascii="Times New Roman" w:hAnsi="Times New Roman"/>
          <w:b/>
          <w:i/>
          <w:sz w:val="28"/>
          <w:szCs w:val="28"/>
        </w:rPr>
        <w:t>минэкономразвития АО)</w:t>
      </w:r>
    </w:p>
    <w:p w14:paraId="12D28F8A" w14:textId="2716BFB6"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Сводной бюджетной росписью на 2019 год на реализацию регионального проекта «Акселерация МСП в Архангельской области» в госпрограмме предусмотрены бюджетные ассигнования в размере 268,8 млн.руб., из них: за счет средств федерального бюджета – 214,4 млн.руб., средств обл</w:t>
      </w:r>
      <w:r w:rsidR="002851F7" w:rsidRPr="00A53AD7">
        <w:rPr>
          <w:rFonts w:ascii="Times New Roman" w:hAnsi="Times New Roman"/>
          <w:sz w:val="28"/>
          <w:szCs w:val="28"/>
        </w:rPr>
        <w:t>астного бюджета – 54,4 млн.руб.</w:t>
      </w:r>
    </w:p>
    <w:p w14:paraId="32D96BEA" w14:textId="64C79560"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за 2019 год составили – 268,8 млн.руб. или 100,0% к сводной бюджетной росписи, из них: за счет средств фе</w:t>
      </w:r>
      <w:r w:rsidR="002851F7" w:rsidRPr="00A53AD7">
        <w:rPr>
          <w:rFonts w:ascii="Times New Roman" w:hAnsi="Times New Roman"/>
          <w:sz w:val="28"/>
          <w:szCs w:val="28"/>
        </w:rPr>
        <w:t>дерального бюджета – 214,4 млн.</w:t>
      </w:r>
      <w:r w:rsidRPr="00A53AD7">
        <w:rPr>
          <w:rFonts w:ascii="Times New Roman" w:hAnsi="Times New Roman"/>
          <w:sz w:val="28"/>
          <w:szCs w:val="28"/>
        </w:rPr>
        <w:t>руб., за счет средств областного бюджета – 54,4 мл</w:t>
      </w:r>
      <w:r w:rsidR="002851F7" w:rsidRPr="00A53AD7">
        <w:rPr>
          <w:rFonts w:ascii="Times New Roman" w:hAnsi="Times New Roman"/>
          <w:sz w:val="28"/>
          <w:szCs w:val="28"/>
        </w:rPr>
        <w:t>н.руб.</w:t>
      </w:r>
    </w:p>
    <w:p w14:paraId="5A0DAE1F"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данному проекту освоено бюджетных средств в размере 209,0 млн.руб. или 77,7% к сводной бюджетной росписи. </w:t>
      </w:r>
    </w:p>
    <w:p w14:paraId="2CCF31B5" w14:textId="682F3577" w:rsidR="009C1C2B" w:rsidRPr="00A53AD7" w:rsidRDefault="009C1C2B" w:rsidP="00F710F4">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Исполнение регионального проекта «Акселерация МСП в Архангельской области» госпрограммы за 2019 год в разрезе программных мероприятий и источников финансирования, представлено ниже:</w:t>
      </w:r>
    </w:p>
    <w:tbl>
      <w:tblPr>
        <w:tblW w:w="9355" w:type="dxa"/>
        <w:tblInd w:w="-23" w:type="dxa"/>
        <w:tblLayout w:type="fixed"/>
        <w:tblLook w:val="04A0" w:firstRow="1" w:lastRow="0" w:firstColumn="1" w:lastColumn="0" w:noHBand="0" w:noVBand="1"/>
      </w:tblPr>
      <w:tblGrid>
        <w:gridCol w:w="3402"/>
        <w:gridCol w:w="1275"/>
        <w:gridCol w:w="1276"/>
        <w:gridCol w:w="992"/>
        <w:gridCol w:w="1276"/>
        <w:gridCol w:w="1134"/>
      </w:tblGrid>
      <w:tr w:rsidR="00D470B6" w:rsidRPr="00A53AD7" w14:paraId="668AAC07" w14:textId="77777777" w:rsidTr="00F710F4">
        <w:trPr>
          <w:trHeight w:val="265"/>
          <w:tblHeader/>
        </w:trPr>
        <w:tc>
          <w:tcPr>
            <w:tcW w:w="3402" w:type="dxa"/>
            <w:vMerge w:val="restart"/>
            <w:tcBorders>
              <w:top w:val="double" w:sz="6" w:space="0" w:color="auto"/>
              <w:left w:val="double" w:sz="6" w:space="0" w:color="auto"/>
              <w:right w:val="single" w:sz="4" w:space="0" w:color="auto"/>
            </w:tcBorders>
            <w:shd w:val="clear" w:color="auto" w:fill="auto"/>
            <w:vAlign w:val="center"/>
            <w:hideMark/>
          </w:tcPr>
          <w:p w14:paraId="23B2C9D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Мероприятия регионального проекта «</w:t>
            </w:r>
            <w:r w:rsidRPr="00A53AD7">
              <w:rPr>
                <w:rFonts w:ascii="Times New Roman" w:hAnsi="Times New Roman"/>
                <w:sz w:val="20"/>
                <w:szCs w:val="20"/>
              </w:rPr>
              <w:t xml:space="preserve">Акселерация МСП </w:t>
            </w:r>
            <w:r w:rsidRPr="00A53AD7">
              <w:rPr>
                <w:rFonts w:ascii="Times New Roman" w:eastAsia="Times New Roman" w:hAnsi="Times New Roman"/>
                <w:sz w:val="20"/>
                <w:szCs w:val="20"/>
                <w:lang w:eastAsia="ru-RU"/>
              </w:rPr>
              <w:t xml:space="preserve">в Архангельской области» госпрограммы </w:t>
            </w:r>
          </w:p>
        </w:tc>
        <w:tc>
          <w:tcPr>
            <w:tcW w:w="1275" w:type="dxa"/>
            <w:vMerge w:val="restart"/>
            <w:tcBorders>
              <w:top w:val="double" w:sz="6" w:space="0" w:color="auto"/>
              <w:left w:val="nil"/>
              <w:right w:val="single" w:sz="4" w:space="0" w:color="auto"/>
            </w:tcBorders>
            <w:shd w:val="clear" w:color="000000" w:fill="FFFFFF"/>
            <w:vAlign w:val="center"/>
            <w:hideMark/>
          </w:tcPr>
          <w:p w14:paraId="1CF5215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Уточненная сводная бюджетная роспись на 2019 год</w:t>
            </w:r>
          </w:p>
        </w:tc>
        <w:tc>
          <w:tcPr>
            <w:tcW w:w="1276" w:type="dxa"/>
            <w:vMerge w:val="restart"/>
            <w:tcBorders>
              <w:top w:val="double" w:sz="6" w:space="0" w:color="auto"/>
              <w:left w:val="nil"/>
              <w:right w:val="single" w:sz="4" w:space="0" w:color="auto"/>
            </w:tcBorders>
            <w:shd w:val="clear" w:color="000000" w:fill="FFFFFF"/>
            <w:vAlign w:val="center"/>
            <w:hideMark/>
          </w:tcPr>
          <w:p w14:paraId="030C7B8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Кассовое исполнение за 2019 год</w:t>
            </w:r>
          </w:p>
        </w:tc>
        <w:tc>
          <w:tcPr>
            <w:tcW w:w="992" w:type="dxa"/>
            <w:vMerge w:val="restart"/>
            <w:tcBorders>
              <w:top w:val="double" w:sz="6" w:space="0" w:color="auto"/>
              <w:left w:val="nil"/>
              <w:right w:val="single" w:sz="4" w:space="0" w:color="auto"/>
            </w:tcBorders>
            <w:shd w:val="clear" w:color="000000" w:fill="FFFFFF"/>
            <w:vAlign w:val="center"/>
          </w:tcPr>
          <w:p w14:paraId="10EB554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Освоено</w:t>
            </w:r>
          </w:p>
          <w:p w14:paraId="2F33C5A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за 2019 год</w:t>
            </w:r>
          </w:p>
        </w:tc>
        <w:tc>
          <w:tcPr>
            <w:tcW w:w="2410" w:type="dxa"/>
            <w:gridSpan w:val="2"/>
            <w:tcBorders>
              <w:top w:val="double" w:sz="6" w:space="0" w:color="auto"/>
              <w:left w:val="single" w:sz="4" w:space="0" w:color="auto"/>
              <w:bottom w:val="single" w:sz="4" w:space="0" w:color="auto"/>
              <w:right w:val="double" w:sz="6" w:space="0" w:color="auto"/>
            </w:tcBorders>
            <w:shd w:val="clear" w:color="000000" w:fill="FFFFFF"/>
            <w:vAlign w:val="center"/>
          </w:tcPr>
          <w:p w14:paraId="7032C3B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w:t>
            </w:r>
          </w:p>
        </w:tc>
      </w:tr>
      <w:tr w:rsidR="00D470B6" w:rsidRPr="00A53AD7" w14:paraId="0CB3D23A" w14:textId="77777777" w:rsidTr="00F710F4">
        <w:trPr>
          <w:trHeight w:val="804"/>
          <w:tblHeader/>
        </w:trPr>
        <w:tc>
          <w:tcPr>
            <w:tcW w:w="3402" w:type="dxa"/>
            <w:vMerge/>
            <w:tcBorders>
              <w:left w:val="double" w:sz="6" w:space="0" w:color="auto"/>
              <w:bottom w:val="single" w:sz="4" w:space="0" w:color="auto"/>
              <w:right w:val="single" w:sz="4" w:space="0" w:color="auto"/>
            </w:tcBorders>
            <w:shd w:val="clear" w:color="auto" w:fill="auto"/>
            <w:vAlign w:val="center"/>
          </w:tcPr>
          <w:p w14:paraId="70F6681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5" w:type="dxa"/>
            <w:vMerge/>
            <w:tcBorders>
              <w:left w:val="nil"/>
              <w:bottom w:val="single" w:sz="4" w:space="0" w:color="auto"/>
              <w:right w:val="single" w:sz="4" w:space="0" w:color="auto"/>
            </w:tcBorders>
            <w:shd w:val="clear" w:color="000000" w:fill="FFFFFF"/>
            <w:vAlign w:val="center"/>
          </w:tcPr>
          <w:p w14:paraId="3803917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vMerge/>
            <w:tcBorders>
              <w:left w:val="nil"/>
              <w:bottom w:val="single" w:sz="4" w:space="0" w:color="auto"/>
              <w:right w:val="single" w:sz="4" w:space="0" w:color="auto"/>
            </w:tcBorders>
            <w:shd w:val="clear" w:color="000000" w:fill="FFFFFF"/>
            <w:vAlign w:val="center"/>
          </w:tcPr>
          <w:p w14:paraId="7BEF95A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992" w:type="dxa"/>
            <w:vMerge/>
            <w:tcBorders>
              <w:left w:val="nil"/>
              <w:bottom w:val="single" w:sz="4" w:space="0" w:color="auto"/>
              <w:right w:val="single" w:sz="4" w:space="0" w:color="auto"/>
            </w:tcBorders>
            <w:shd w:val="clear" w:color="000000" w:fill="FFFFFF"/>
            <w:vAlign w:val="center"/>
          </w:tcPr>
          <w:p w14:paraId="314D46A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14:paraId="7C9CD2A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кассового исполнения</w:t>
            </w:r>
          </w:p>
        </w:tc>
        <w:tc>
          <w:tcPr>
            <w:tcW w:w="1134" w:type="dxa"/>
            <w:tcBorders>
              <w:top w:val="single" w:sz="4" w:space="0" w:color="auto"/>
              <w:left w:val="single" w:sz="4" w:space="0" w:color="auto"/>
              <w:bottom w:val="single" w:sz="4" w:space="0" w:color="auto"/>
              <w:right w:val="double" w:sz="6" w:space="0" w:color="auto"/>
            </w:tcBorders>
            <w:shd w:val="clear" w:color="000000" w:fill="FFFFFF"/>
            <w:vAlign w:val="center"/>
          </w:tcPr>
          <w:p w14:paraId="274B3EC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освоения</w:t>
            </w:r>
          </w:p>
        </w:tc>
      </w:tr>
      <w:tr w:rsidR="00D470B6" w:rsidRPr="00A53AD7" w14:paraId="34D02AA0" w14:textId="77777777" w:rsidTr="00F710F4">
        <w:trPr>
          <w:trHeight w:val="126"/>
        </w:trPr>
        <w:tc>
          <w:tcPr>
            <w:tcW w:w="3402" w:type="dxa"/>
            <w:tcBorders>
              <w:top w:val="nil"/>
              <w:left w:val="double" w:sz="6" w:space="0" w:color="auto"/>
              <w:bottom w:val="single" w:sz="4" w:space="0" w:color="auto"/>
              <w:right w:val="single" w:sz="4" w:space="0" w:color="auto"/>
            </w:tcBorders>
            <w:shd w:val="clear" w:color="auto" w:fill="auto"/>
            <w:vAlign w:val="center"/>
          </w:tcPr>
          <w:p w14:paraId="6994B98F"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r w:rsidRPr="00A53AD7">
              <w:t xml:space="preserve"> </w:t>
            </w:r>
            <w:r w:rsidRPr="00A53AD7">
              <w:rPr>
                <w:rFonts w:ascii="Times New Roman" w:eastAsia="Times New Roman" w:hAnsi="Times New Roman"/>
                <w:sz w:val="20"/>
                <w:szCs w:val="20"/>
                <w:lang w:eastAsia="ru-RU"/>
              </w:rPr>
              <w:t>Создание центра «Мой бизнес» и оказание комплекса услуг, сервисов и мер поддержки СМСП (предоставление субсидии автономной некоммерческой организации Архангельской области «Агентство регионального развития»), всего, в том числе:</w:t>
            </w:r>
          </w:p>
        </w:tc>
        <w:tc>
          <w:tcPr>
            <w:tcW w:w="1275" w:type="dxa"/>
            <w:tcBorders>
              <w:top w:val="nil"/>
              <w:left w:val="nil"/>
              <w:bottom w:val="single" w:sz="4" w:space="0" w:color="auto"/>
              <w:right w:val="single" w:sz="4" w:space="0" w:color="auto"/>
            </w:tcBorders>
            <w:shd w:val="clear" w:color="auto" w:fill="auto"/>
            <w:noWrap/>
            <w:vAlign w:val="center"/>
          </w:tcPr>
          <w:p w14:paraId="099F8F8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127,7</w:t>
            </w:r>
          </w:p>
        </w:tc>
        <w:tc>
          <w:tcPr>
            <w:tcW w:w="1276" w:type="dxa"/>
            <w:tcBorders>
              <w:top w:val="nil"/>
              <w:left w:val="nil"/>
              <w:bottom w:val="single" w:sz="4" w:space="0" w:color="auto"/>
              <w:right w:val="single" w:sz="4" w:space="0" w:color="auto"/>
            </w:tcBorders>
            <w:shd w:val="clear" w:color="auto" w:fill="auto"/>
            <w:noWrap/>
            <w:vAlign w:val="center"/>
          </w:tcPr>
          <w:p w14:paraId="4951C2B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127,7</w:t>
            </w:r>
          </w:p>
        </w:tc>
        <w:tc>
          <w:tcPr>
            <w:tcW w:w="992" w:type="dxa"/>
            <w:tcBorders>
              <w:top w:val="nil"/>
              <w:left w:val="nil"/>
              <w:bottom w:val="single" w:sz="4" w:space="0" w:color="auto"/>
              <w:right w:val="single" w:sz="4" w:space="0" w:color="auto"/>
            </w:tcBorders>
            <w:vAlign w:val="center"/>
          </w:tcPr>
          <w:p w14:paraId="60A81224"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ACCCE3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0E10C7D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72,3</w:t>
            </w:r>
          </w:p>
        </w:tc>
      </w:tr>
      <w:tr w:rsidR="00D470B6" w:rsidRPr="00A53AD7" w14:paraId="42B6AD53" w14:textId="77777777" w:rsidTr="00F710F4">
        <w:trPr>
          <w:trHeight w:val="88"/>
        </w:trPr>
        <w:tc>
          <w:tcPr>
            <w:tcW w:w="3402" w:type="dxa"/>
            <w:tcBorders>
              <w:top w:val="nil"/>
              <w:left w:val="double" w:sz="6" w:space="0" w:color="auto"/>
              <w:bottom w:val="single" w:sz="4" w:space="0" w:color="auto"/>
              <w:right w:val="single" w:sz="4" w:space="0" w:color="auto"/>
            </w:tcBorders>
            <w:shd w:val="clear" w:color="auto" w:fill="auto"/>
            <w:vAlign w:val="center"/>
          </w:tcPr>
          <w:p w14:paraId="30FFFE96"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67D69EC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76,2</w:t>
            </w:r>
          </w:p>
        </w:tc>
        <w:tc>
          <w:tcPr>
            <w:tcW w:w="1276" w:type="dxa"/>
            <w:tcBorders>
              <w:top w:val="nil"/>
              <w:left w:val="nil"/>
              <w:bottom w:val="single" w:sz="4" w:space="0" w:color="auto"/>
              <w:right w:val="single" w:sz="4" w:space="0" w:color="auto"/>
            </w:tcBorders>
            <w:shd w:val="clear" w:color="auto" w:fill="auto"/>
            <w:noWrap/>
            <w:vAlign w:val="center"/>
          </w:tcPr>
          <w:p w14:paraId="2F9518E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76,2</w:t>
            </w:r>
          </w:p>
        </w:tc>
        <w:tc>
          <w:tcPr>
            <w:tcW w:w="992" w:type="dxa"/>
            <w:tcBorders>
              <w:top w:val="nil"/>
              <w:left w:val="nil"/>
              <w:bottom w:val="single" w:sz="4" w:space="0" w:color="auto"/>
              <w:right w:val="single" w:sz="4" w:space="0" w:color="auto"/>
            </w:tcBorders>
          </w:tcPr>
          <w:p w14:paraId="05E9E22A"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896233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32D223D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6022EC1D" w14:textId="77777777" w:rsidTr="00F710F4">
        <w:trPr>
          <w:trHeight w:val="134"/>
        </w:trPr>
        <w:tc>
          <w:tcPr>
            <w:tcW w:w="3402" w:type="dxa"/>
            <w:tcBorders>
              <w:top w:val="nil"/>
              <w:left w:val="double" w:sz="6" w:space="0" w:color="auto"/>
              <w:bottom w:val="single" w:sz="4" w:space="0" w:color="auto"/>
              <w:right w:val="single" w:sz="4" w:space="0" w:color="auto"/>
            </w:tcBorders>
            <w:shd w:val="clear" w:color="auto" w:fill="auto"/>
            <w:vAlign w:val="center"/>
          </w:tcPr>
          <w:p w14:paraId="75243366"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08D4BFA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51,5</w:t>
            </w:r>
          </w:p>
        </w:tc>
        <w:tc>
          <w:tcPr>
            <w:tcW w:w="1276" w:type="dxa"/>
            <w:tcBorders>
              <w:top w:val="nil"/>
              <w:left w:val="nil"/>
              <w:bottom w:val="single" w:sz="4" w:space="0" w:color="auto"/>
              <w:right w:val="single" w:sz="4" w:space="0" w:color="auto"/>
            </w:tcBorders>
            <w:shd w:val="clear" w:color="auto" w:fill="auto"/>
            <w:noWrap/>
            <w:vAlign w:val="center"/>
          </w:tcPr>
          <w:p w14:paraId="64C8226F"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51,5</w:t>
            </w:r>
          </w:p>
        </w:tc>
        <w:tc>
          <w:tcPr>
            <w:tcW w:w="992" w:type="dxa"/>
            <w:tcBorders>
              <w:top w:val="nil"/>
              <w:left w:val="nil"/>
              <w:bottom w:val="single" w:sz="4" w:space="0" w:color="auto"/>
              <w:right w:val="single" w:sz="4" w:space="0" w:color="auto"/>
            </w:tcBorders>
          </w:tcPr>
          <w:p w14:paraId="6CDDD6D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587B9C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12EE6EF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3E07E6DD" w14:textId="77777777" w:rsidTr="00F710F4">
        <w:trPr>
          <w:trHeight w:val="441"/>
        </w:trPr>
        <w:tc>
          <w:tcPr>
            <w:tcW w:w="3402" w:type="dxa"/>
            <w:tcBorders>
              <w:top w:val="nil"/>
              <w:left w:val="double" w:sz="6" w:space="0" w:color="auto"/>
              <w:bottom w:val="single" w:sz="4" w:space="0" w:color="auto"/>
              <w:right w:val="single" w:sz="4" w:space="0" w:color="auto"/>
            </w:tcBorders>
            <w:shd w:val="clear" w:color="auto" w:fill="auto"/>
            <w:vAlign w:val="center"/>
          </w:tcPr>
          <w:p w14:paraId="36C90933"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r w:rsidRPr="00A53AD7">
              <w:t xml:space="preserve"> </w:t>
            </w:r>
            <w:r w:rsidRPr="00A53AD7">
              <w:rPr>
                <w:rFonts w:ascii="Times New Roman" w:eastAsia="Times New Roman" w:hAnsi="Times New Roman"/>
                <w:sz w:val="20"/>
                <w:szCs w:val="20"/>
                <w:lang w:eastAsia="ru-RU"/>
              </w:rPr>
              <w:t>Обеспечения доступа СМСП Архангельской области к экспортной поддержке (предоставление субсидии автономной некоммерческой организации Архангельской области «Агентство регионального развития»), всего, в том числе:</w:t>
            </w:r>
          </w:p>
        </w:tc>
        <w:tc>
          <w:tcPr>
            <w:tcW w:w="1275" w:type="dxa"/>
            <w:tcBorders>
              <w:top w:val="nil"/>
              <w:left w:val="nil"/>
              <w:bottom w:val="single" w:sz="4" w:space="0" w:color="auto"/>
              <w:right w:val="single" w:sz="4" w:space="0" w:color="auto"/>
            </w:tcBorders>
            <w:shd w:val="clear" w:color="auto" w:fill="auto"/>
            <w:noWrap/>
            <w:vAlign w:val="center"/>
          </w:tcPr>
          <w:p w14:paraId="5972BC3F"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43,4</w:t>
            </w:r>
          </w:p>
        </w:tc>
        <w:tc>
          <w:tcPr>
            <w:tcW w:w="1276" w:type="dxa"/>
            <w:tcBorders>
              <w:top w:val="nil"/>
              <w:left w:val="nil"/>
              <w:bottom w:val="single" w:sz="4" w:space="0" w:color="auto"/>
              <w:right w:val="single" w:sz="4" w:space="0" w:color="auto"/>
            </w:tcBorders>
            <w:shd w:val="clear" w:color="auto" w:fill="auto"/>
            <w:noWrap/>
            <w:vAlign w:val="center"/>
          </w:tcPr>
          <w:p w14:paraId="21ACAB1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43,4</w:t>
            </w:r>
          </w:p>
        </w:tc>
        <w:tc>
          <w:tcPr>
            <w:tcW w:w="992" w:type="dxa"/>
            <w:tcBorders>
              <w:top w:val="nil"/>
              <w:left w:val="nil"/>
              <w:bottom w:val="single" w:sz="4" w:space="0" w:color="auto"/>
              <w:right w:val="single" w:sz="4" w:space="0" w:color="auto"/>
            </w:tcBorders>
            <w:vAlign w:val="center"/>
          </w:tcPr>
          <w:p w14:paraId="782D0C1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334B92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48B0B47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43,8</w:t>
            </w:r>
          </w:p>
        </w:tc>
      </w:tr>
      <w:tr w:rsidR="00D470B6" w:rsidRPr="00A53AD7" w14:paraId="61F463A8" w14:textId="77777777" w:rsidTr="00F710F4">
        <w:trPr>
          <w:trHeight w:val="164"/>
        </w:trPr>
        <w:tc>
          <w:tcPr>
            <w:tcW w:w="3402" w:type="dxa"/>
            <w:tcBorders>
              <w:top w:val="nil"/>
              <w:left w:val="double" w:sz="6" w:space="0" w:color="auto"/>
              <w:bottom w:val="single" w:sz="4" w:space="0" w:color="auto"/>
              <w:right w:val="single" w:sz="4" w:space="0" w:color="auto"/>
            </w:tcBorders>
            <w:shd w:val="clear" w:color="auto" w:fill="auto"/>
            <w:vAlign w:val="center"/>
          </w:tcPr>
          <w:p w14:paraId="50307783"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6E65C483"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42,5</w:t>
            </w:r>
          </w:p>
        </w:tc>
        <w:tc>
          <w:tcPr>
            <w:tcW w:w="1276" w:type="dxa"/>
            <w:tcBorders>
              <w:top w:val="nil"/>
              <w:left w:val="nil"/>
              <w:bottom w:val="single" w:sz="4" w:space="0" w:color="auto"/>
              <w:right w:val="single" w:sz="4" w:space="0" w:color="auto"/>
            </w:tcBorders>
            <w:shd w:val="clear" w:color="auto" w:fill="auto"/>
            <w:noWrap/>
            <w:vAlign w:val="center"/>
          </w:tcPr>
          <w:p w14:paraId="5130D35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42,5</w:t>
            </w:r>
          </w:p>
        </w:tc>
        <w:tc>
          <w:tcPr>
            <w:tcW w:w="992" w:type="dxa"/>
            <w:tcBorders>
              <w:top w:val="nil"/>
              <w:left w:val="nil"/>
              <w:bottom w:val="single" w:sz="4" w:space="0" w:color="auto"/>
              <w:right w:val="single" w:sz="4" w:space="0" w:color="auto"/>
            </w:tcBorders>
          </w:tcPr>
          <w:p w14:paraId="5927C2D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56A619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3D2F7DA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3A49BFF9" w14:textId="77777777" w:rsidTr="00F710F4">
        <w:trPr>
          <w:trHeight w:val="68"/>
        </w:trPr>
        <w:tc>
          <w:tcPr>
            <w:tcW w:w="3402" w:type="dxa"/>
            <w:tcBorders>
              <w:top w:val="nil"/>
              <w:left w:val="double" w:sz="6" w:space="0" w:color="auto"/>
              <w:bottom w:val="single" w:sz="4" w:space="0" w:color="auto"/>
              <w:right w:val="single" w:sz="4" w:space="0" w:color="auto"/>
            </w:tcBorders>
            <w:shd w:val="clear" w:color="auto" w:fill="auto"/>
            <w:vAlign w:val="center"/>
          </w:tcPr>
          <w:p w14:paraId="77A004C3"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50E399C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0,9</w:t>
            </w:r>
          </w:p>
        </w:tc>
        <w:tc>
          <w:tcPr>
            <w:tcW w:w="1276" w:type="dxa"/>
            <w:tcBorders>
              <w:top w:val="nil"/>
              <w:left w:val="nil"/>
              <w:bottom w:val="single" w:sz="4" w:space="0" w:color="auto"/>
              <w:right w:val="single" w:sz="4" w:space="0" w:color="auto"/>
            </w:tcBorders>
            <w:shd w:val="clear" w:color="auto" w:fill="auto"/>
            <w:noWrap/>
            <w:vAlign w:val="center"/>
          </w:tcPr>
          <w:p w14:paraId="468F920E"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0,9</w:t>
            </w:r>
          </w:p>
        </w:tc>
        <w:tc>
          <w:tcPr>
            <w:tcW w:w="992" w:type="dxa"/>
            <w:tcBorders>
              <w:top w:val="nil"/>
              <w:left w:val="nil"/>
              <w:bottom w:val="single" w:sz="4" w:space="0" w:color="auto"/>
              <w:right w:val="single" w:sz="4" w:space="0" w:color="auto"/>
            </w:tcBorders>
          </w:tcPr>
          <w:p w14:paraId="0CE2FB5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7AD1847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52D46C4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7C53B1E9" w14:textId="77777777" w:rsidTr="00F710F4">
        <w:trPr>
          <w:trHeight w:val="441"/>
        </w:trPr>
        <w:tc>
          <w:tcPr>
            <w:tcW w:w="3402" w:type="dxa"/>
            <w:tcBorders>
              <w:top w:val="nil"/>
              <w:left w:val="double" w:sz="6" w:space="0" w:color="auto"/>
              <w:bottom w:val="single" w:sz="4" w:space="0" w:color="auto"/>
              <w:right w:val="single" w:sz="4" w:space="0" w:color="auto"/>
            </w:tcBorders>
            <w:shd w:val="clear" w:color="auto" w:fill="auto"/>
            <w:vAlign w:val="center"/>
          </w:tcPr>
          <w:p w14:paraId="3A567C70"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Поддержка СМСП в целях их развития в моногородах (предоставление субсидии микрокредитной компании Архангельский региональный фонд «Развитие»), всего, в том числе:</w:t>
            </w:r>
          </w:p>
        </w:tc>
        <w:tc>
          <w:tcPr>
            <w:tcW w:w="1275" w:type="dxa"/>
            <w:tcBorders>
              <w:top w:val="nil"/>
              <w:left w:val="nil"/>
              <w:bottom w:val="single" w:sz="4" w:space="0" w:color="auto"/>
              <w:right w:val="single" w:sz="4" w:space="0" w:color="auto"/>
            </w:tcBorders>
            <w:shd w:val="clear" w:color="auto" w:fill="auto"/>
            <w:noWrap/>
            <w:vAlign w:val="center"/>
          </w:tcPr>
          <w:p w14:paraId="22F0AB6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97,7</w:t>
            </w:r>
          </w:p>
        </w:tc>
        <w:tc>
          <w:tcPr>
            <w:tcW w:w="1276" w:type="dxa"/>
            <w:tcBorders>
              <w:top w:val="nil"/>
              <w:left w:val="nil"/>
              <w:bottom w:val="single" w:sz="4" w:space="0" w:color="auto"/>
              <w:right w:val="single" w:sz="4" w:space="0" w:color="auto"/>
            </w:tcBorders>
            <w:shd w:val="clear" w:color="auto" w:fill="auto"/>
            <w:noWrap/>
            <w:vAlign w:val="center"/>
          </w:tcPr>
          <w:p w14:paraId="05EB882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97,7</w:t>
            </w:r>
          </w:p>
        </w:tc>
        <w:tc>
          <w:tcPr>
            <w:tcW w:w="992" w:type="dxa"/>
            <w:tcBorders>
              <w:top w:val="nil"/>
              <w:left w:val="nil"/>
              <w:bottom w:val="single" w:sz="4" w:space="0" w:color="auto"/>
              <w:right w:val="single" w:sz="4" w:space="0" w:color="auto"/>
            </w:tcBorders>
            <w:vAlign w:val="center"/>
          </w:tcPr>
          <w:p w14:paraId="37D2E07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97,7</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FF9F3B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2307C66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332D5609" w14:textId="77777777" w:rsidTr="00F710F4">
        <w:trPr>
          <w:trHeight w:val="193"/>
        </w:trPr>
        <w:tc>
          <w:tcPr>
            <w:tcW w:w="3402" w:type="dxa"/>
            <w:tcBorders>
              <w:top w:val="nil"/>
              <w:left w:val="double" w:sz="6" w:space="0" w:color="auto"/>
              <w:bottom w:val="single" w:sz="4" w:space="0" w:color="auto"/>
              <w:right w:val="single" w:sz="4" w:space="0" w:color="auto"/>
            </w:tcBorders>
            <w:shd w:val="clear" w:color="auto" w:fill="auto"/>
            <w:vAlign w:val="center"/>
          </w:tcPr>
          <w:p w14:paraId="31DD3CF1"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0F77C8CA"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95,7</w:t>
            </w:r>
          </w:p>
        </w:tc>
        <w:tc>
          <w:tcPr>
            <w:tcW w:w="1276" w:type="dxa"/>
            <w:tcBorders>
              <w:top w:val="nil"/>
              <w:left w:val="nil"/>
              <w:bottom w:val="single" w:sz="4" w:space="0" w:color="auto"/>
              <w:right w:val="single" w:sz="4" w:space="0" w:color="auto"/>
            </w:tcBorders>
            <w:shd w:val="clear" w:color="auto" w:fill="auto"/>
            <w:noWrap/>
            <w:vAlign w:val="center"/>
          </w:tcPr>
          <w:p w14:paraId="015E9BB1"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95,7</w:t>
            </w:r>
          </w:p>
        </w:tc>
        <w:tc>
          <w:tcPr>
            <w:tcW w:w="992" w:type="dxa"/>
            <w:tcBorders>
              <w:top w:val="nil"/>
              <w:left w:val="nil"/>
              <w:bottom w:val="single" w:sz="4" w:space="0" w:color="auto"/>
              <w:right w:val="single" w:sz="4" w:space="0" w:color="auto"/>
            </w:tcBorders>
          </w:tcPr>
          <w:p w14:paraId="2587928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D0CBB27"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4C74AD68"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48861CAF" w14:textId="77777777" w:rsidTr="00F710F4">
        <w:trPr>
          <w:trHeight w:val="98"/>
        </w:trPr>
        <w:tc>
          <w:tcPr>
            <w:tcW w:w="3402" w:type="dxa"/>
            <w:tcBorders>
              <w:top w:val="nil"/>
              <w:left w:val="double" w:sz="6" w:space="0" w:color="auto"/>
              <w:bottom w:val="single" w:sz="4" w:space="0" w:color="auto"/>
              <w:right w:val="single" w:sz="4" w:space="0" w:color="auto"/>
            </w:tcBorders>
            <w:shd w:val="clear" w:color="auto" w:fill="auto"/>
            <w:vAlign w:val="center"/>
          </w:tcPr>
          <w:p w14:paraId="6D4A5648"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57DCFF24"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tcPr>
          <w:p w14:paraId="5434F30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992" w:type="dxa"/>
            <w:tcBorders>
              <w:top w:val="nil"/>
              <w:left w:val="nil"/>
              <w:bottom w:val="single" w:sz="4" w:space="0" w:color="auto"/>
              <w:right w:val="single" w:sz="4" w:space="0" w:color="auto"/>
            </w:tcBorders>
          </w:tcPr>
          <w:p w14:paraId="0E5B288F"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A2FBC75"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745DAB6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D470B6" w:rsidRPr="00A53AD7" w14:paraId="319567CF" w14:textId="77777777" w:rsidTr="00F710F4">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5C07464E" w14:textId="77777777" w:rsidR="009C1C2B" w:rsidRPr="00A53AD7" w:rsidRDefault="009C1C2B" w:rsidP="009C1C2B">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Всего по региональному проекту «</w:t>
            </w:r>
            <w:r w:rsidRPr="00A53AD7">
              <w:rPr>
                <w:rFonts w:ascii="Times New Roman" w:hAnsi="Times New Roman"/>
                <w:sz w:val="20"/>
                <w:szCs w:val="20"/>
              </w:rPr>
              <w:t xml:space="preserve">Акселерация МСП </w:t>
            </w:r>
            <w:r w:rsidRPr="00A53AD7">
              <w:rPr>
                <w:rFonts w:ascii="Times New Roman" w:eastAsia="Times New Roman" w:hAnsi="Times New Roman"/>
                <w:sz w:val="20"/>
                <w:szCs w:val="20"/>
                <w:lang w:eastAsia="ru-RU"/>
              </w:rPr>
              <w:t>в Архангельской области</w:t>
            </w:r>
            <w:r w:rsidRPr="00A53AD7">
              <w:rPr>
                <w:rFonts w:ascii="Times New Roman" w:eastAsia="Times New Roman" w:hAnsi="Times New Roman"/>
                <w:b/>
                <w:sz w:val="20"/>
                <w:szCs w:val="20"/>
                <w:lang w:eastAsia="ru-RU"/>
              </w:rPr>
              <w:t>», в том числе:</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1E210B49"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268,8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4BAA70A"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268,8</w:t>
            </w:r>
          </w:p>
        </w:tc>
        <w:tc>
          <w:tcPr>
            <w:tcW w:w="992" w:type="dxa"/>
            <w:tcBorders>
              <w:top w:val="single" w:sz="4" w:space="0" w:color="auto"/>
              <w:left w:val="nil"/>
              <w:bottom w:val="single" w:sz="4" w:space="0" w:color="auto"/>
              <w:right w:val="single" w:sz="4" w:space="0" w:color="auto"/>
            </w:tcBorders>
            <w:vAlign w:val="center"/>
          </w:tcPr>
          <w:p w14:paraId="37A71B53"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165,0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02030"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6B6F8D87" w14:textId="77777777" w:rsidR="009C1C2B" w:rsidRPr="00A53AD7" w:rsidRDefault="009C1C2B" w:rsidP="009C1C2B">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77,7</w:t>
            </w:r>
          </w:p>
        </w:tc>
      </w:tr>
      <w:tr w:rsidR="00D470B6" w:rsidRPr="00A53AD7" w14:paraId="0F7CC67F" w14:textId="77777777" w:rsidTr="00F710F4">
        <w:trPr>
          <w:trHeight w:val="58"/>
        </w:trPr>
        <w:tc>
          <w:tcPr>
            <w:tcW w:w="3402" w:type="dxa"/>
            <w:tcBorders>
              <w:top w:val="nil"/>
              <w:left w:val="double" w:sz="6" w:space="0" w:color="auto"/>
              <w:bottom w:val="single" w:sz="4" w:space="0" w:color="auto"/>
              <w:right w:val="single" w:sz="4" w:space="0" w:color="auto"/>
            </w:tcBorders>
            <w:shd w:val="clear" w:color="auto" w:fill="auto"/>
            <w:vAlign w:val="center"/>
          </w:tcPr>
          <w:p w14:paraId="4BBC3C1A"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0F5A8B5D"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214,4</w:t>
            </w:r>
          </w:p>
        </w:tc>
        <w:tc>
          <w:tcPr>
            <w:tcW w:w="1276" w:type="dxa"/>
            <w:tcBorders>
              <w:top w:val="nil"/>
              <w:left w:val="nil"/>
              <w:bottom w:val="single" w:sz="4" w:space="0" w:color="auto"/>
              <w:right w:val="single" w:sz="4" w:space="0" w:color="auto"/>
            </w:tcBorders>
            <w:shd w:val="clear" w:color="auto" w:fill="auto"/>
            <w:noWrap/>
            <w:vAlign w:val="center"/>
          </w:tcPr>
          <w:p w14:paraId="1FA12110"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214,4</w:t>
            </w:r>
          </w:p>
        </w:tc>
        <w:tc>
          <w:tcPr>
            <w:tcW w:w="992" w:type="dxa"/>
            <w:tcBorders>
              <w:top w:val="nil"/>
              <w:left w:val="nil"/>
              <w:bottom w:val="single" w:sz="4" w:space="0" w:color="auto"/>
              <w:right w:val="single" w:sz="4" w:space="0" w:color="auto"/>
            </w:tcBorders>
          </w:tcPr>
          <w:p w14:paraId="037E3816"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C3A4C3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038B3BAB"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r w:rsidR="009C1C2B" w:rsidRPr="00A53AD7" w14:paraId="2BE87AF6" w14:textId="77777777" w:rsidTr="00F710F4">
        <w:trPr>
          <w:trHeight w:val="103"/>
        </w:trPr>
        <w:tc>
          <w:tcPr>
            <w:tcW w:w="3402" w:type="dxa"/>
            <w:tcBorders>
              <w:top w:val="nil"/>
              <w:left w:val="double" w:sz="6" w:space="0" w:color="auto"/>
              <w:bottom w:val="single" w:sz="4" w:space="0" w:color="auto"/>
              <w:right w:val="single" w:sz="4" w:space="0" w:color="auto"/>
            </w:tcBorders>
            <w:shd w:val="clear" w:color="auto" w:fill="auto"/>
            <w:vAlign w:val="center"/>
          </w:tcPr>
          <w:p w14:paraId="40D7B287" w14:textId="77777777" w:rsidR="009C1C2B" w:rsidRPr="00A53AD7" w:rsidRDefault="009C1C2B" w:rsidP="009C1C2B">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5" w:type="dxa"/>
            <w:tcBorders>
              <w:top w:val="nil"/>
              <w:left w:val="nil"/>
              <w:bottom w:val="single" w:sz="4" w:space="0" w:color="auto"/>
              <w:right w:val="single" w:sz="4" w:space="0" w:color="auto"/>
            </w:tcBorders>
            <w:shd w:val="clear" w:color="auto" w:fill="auto"/>
            <w:noWrap/>
            <w:vAlign w:val="center"/>
          </w:tcPr>
          <w:p w14:paraId="2DE8CE5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54,4</w:t>
            </w:r>
          </w:p>
        </w:tc>
        <w:tc>
          <w:tcPr>
            <w:tcW w:w="1276" w:type="dxa"/>
            <w:tcBorders>
              <w:top w:val="nil"/>
              <w:left w:val="nil"/>
              <w:bottom w:val="single" w:sz="4" w:space="0" w:color="auto"/>
              <w:right w:val="single" w:sz="4" w:space="0" w:color="auto"/>
            </w:tcBorders>
            <w:shd w:val="clear" w:color="auto" w:fill="auto"/>
            <w:noWrap/>
            <w:vAlign w:val="center"/>
          </w:tcPr>
          <w:p w14:paraId="573FDB22"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54,4</w:t>
            </w:r>
          </w:p>
        </w:tc>
        <w:tc>
          <w:tcPr>
            <w:tcW w:w="992" w:type="dxa"/>
            <w:tcBorders>
              <w:top w:val="nil"/>
              <w:left w:val="nil"/>
              <w:bottom w:val="single" w:sz="4" w:space="0" w:color="auto"/>
              <w:right w:val="single" w:sz="4" w:space="0" w:color="auto"/>
            </w:tcBorders>
          </w:tcPr>
          <w:p w14:paraId="47C67BCC"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4880FC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12D26139" w14:textId="77777777" w:rsidR="009C1C2B" w:rsidRPr="00A53AD7" w:rsidRDefault="009C1C2B" w:rsidP="009C1C2B">
            <w:pPr>
              <w:spacing w:after="0" w:line="240" w:lineRule="auto"/>
              <w:jc w:val="center"/>
              <w:rPr>
                <w:rFonts w:ascii="Times New Roman" w:eastAsia="Times New Roman" w:hAnsi="Times New Roman"/>
                <w:sz w:val="20"/>
                <w:szCs w:val="20"/>
                <w:lang w:eastAsia="ru-RU"/>
              </w:rPr>
            </w:pPr>
          </w:p>
        </w:tc>
      </w:tr>
    </w:tbl>
    <w:p w14:paraId="10C1EC23" w14:textId="77777777" w:rsidR="009C1C2B" w:rsidRPr="00A53AD7" w:rsidRDefault="009C1C2B" w:rsidP="009C1C2B">
      <w:pPr>
        <w:spacing w:after="0" w:line="240" w:lineRule="auto"/>
        <w:ind w:firstLine="709"/>
        <w:jc w:val="both"/>
        <w:rPr>
          <w:rFonts w:ascii="Times New Roman" w:hAnsi="Times New Roman"/>
          <w:sz w:val="28"/>
          <w:szCs w:val="28"/>
          <w:highlight w:val="cyan"/>
        </w:rPr>
      </w:pPr>
    </w:p>
    <w:p w14:paraId="7A8CBA1A" w14:textId="4749E6C5" w:rsidR="009C1C2B" w:rsidRPr="00A53AD7" w:rsidRDefault="009C1C2B" w:rsidP="00CA1DDD">
      <w:pPr>
        <w:pStyle w:val="a8"/>
        <w:numPr>
          <w:ilvl w:val="0"/>
          <w:numId w:val="43"/>
        </w:numPr>
        <w:ind w:left="0" w:firstLine="839"/>
        <w:jc w:val="both"/>
        <w:rPr>
          <w:sz w:val="28"/>
          <w:szCs w:val="28"/>
        </w:rPr>
      </w:pPr>
      <w:r w:rsidRPr="00A53AD7">
        <w:rPr>
          <w:sz w:val="28"/>
          <w:szCs w:val="28"/>
        </w:rPr>
        <w:t>для реализации мероприятия проекта «Создание центра «Мой бизнес» и оказание комплекса услуг, сервисов и мер поддержки субъектов малого и среднего предпринимательства (далее – СМСП)» в г. Архангельске 31.05.2019 открыт центр «Мой бизнес», который объединил на новой единой площадке все имеющиеся и ранее созданные организации инфраструктуры поддержки МСП Архангельской области для обеспечения предоставления государственных и муниципальных услуг по принципу «одного окна». За отчетный период сотрудниками Центра поддержки предпринимательства АНО АО «АРР» были оказаны консультационные услуги более 477 физическим лицам и СМСП, реализовано 47 мероприятий, в которых приняли участие более 5 200 человек, из них более 1 0</w:t>
      </w:r>
      <w:r w:rsidR="00F710F4" w:rsidRPr="00A53AD7">
        <w:rPr>
          <w:sz w:val="28"/>
          <w:szCs w:val="28"/>
        </w:rPr>
        <w:t>00 - МСП Архангельской области.</w:t>
      </w:r>
    </w:p>
    <w:p w14:paraId="03CC6AEA"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Минэкономразвития АО кассовые расходы в виде субсидии АНО АО «АРР» произведены в полном объеме в сумме 127,7 млн.руб. По итогам 2019 года по данному мероприятию освоено 92,3 млн.руб. или 72,3% к бюджетной росписи.</w:t>
      </w:r>
    </w:p>
    <w:p w14:paraId="542E4309" w14:textId="63084F30" w:rsidR="009C1C2B" w:rsidRPr="00A53AD7" w:rsidRDefault="009C1C2B" w:rsidP="00CA1DDD">
      <w:pPr>
        <w:pStyle w:val="a8"/>
        <w:numPr>
          <w:ilvl w:val="0"/>
          <w:numId w:val="43"/>
        </w:numPr>
        <w:ind w:left="0" w:firstLine="839"/>
        <w:jc w:val="both"/>
        <w:rPr>
          <w:sz w:val="28"/>
          <w:szCs w:val="28"/>
        </w:rPr>
      </w:pPr>
      <w:r w:rsidRPr="00A53AD7">
        <w:rPr>
          <w:sz w:val="28"/>
          <w:szCs w:val="28"/>
        </w:rPr>
        <w:t>для реализации мероприятия проекта «Обеспечение доступа СМСП Архангельской области к экспортной поддержке» за отчетный период Центром поддержки экспорта АНО АО «АРР» оказано 229 консультационных услуг субъектам МСП Архангельской области. Экспортные контракты заключили 31 субъект МСП Архангельской области. Объем поддержанного экспорта составил 4,5 млн. долларов США. Кроме того, организовано проведение ряда мероприятий, в том числе 16 выставок, в которых приняли участие СМСП Архангельской области, проведены 3 международные бизнес-миссии в г. Рим, Италия, г. Амстердам, Нидерланды, и г. Ереван, Армения), и реверсная бизнес-миссия из Бельгии, приглашены 4 бельгийские компании, которые заинтересованы в приобретении продукции деревообработки; организованы и проведены семинары «Инструменты продвижения продукции на внешние рынки» и «Возможности онлайн-торговли для экспортеров».</w:t>
      </w:r>
    </w:p>
    <w:p w14:paraId="0DCE9AAC" w14:textId="66E43DA4"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Объем финансового обеспечения мероприятия, предусмотренный паспортом проекта и сводной бюджетной росписью на 2019 год составил 43,4 млн.руб. Минэкономразвития АО кассовые расходы в виде субсидии АНО АО «АРР» произведены в полном объеме в сумме 43,4 млн.руб.. Вместе с тем, по итогам 2019 года освоено 19,0 млн.руб. или 43,8% </w:t>
      </w:r>
      <w:r w:rsidR="00F710F4" w:rsidRPr="00A53AD7">
        <w:rPr>
          <w:rFonts w:ascii="Times New Roman" w:hAnsi="Times New Roman"/>
          <w:sz w:val="28"/>
          <w:szCs w:val="28"/>
        </w:rPr>
        <w:t>к бюджетной росписи.</w:t>
      </w:r>
    </w:p>
    <w:p w14:paraId="4A106943" w14:textId="0013D729" w:rsidR="009C1C2B" w:rsidRPr="00A53AD7" w:rsidRDefault="009C1C2B" w:rsidP="00CA1DDD">
      <w:pPr>
        <w:pStyle w:val="a8"/>
        <w:numPr>
          <w:ilvl w:val="0"/>
          <w:numId w:val="43"/>
        </w:numPr>
        <w:ind w:left="0" w:firstLine="839"/>
        <w:jc w:val="both"/>
        <w:rPr>
          <w:sz w:val="28"/>
          <w:szCs w:val="28"/>
        </w:rPr>
      </w:pPr>
      <w:r w:rsidRPr="00A53AD7">
        <w:rPr>
          <w:sz w:val="28"/>
          <w:szCs w:val="28"/>
        </w:rPr>
        <w:t>для реализации мероприятия проекта «Поддержка СМСП в целях их развития в моногородах» минэкономразвития АО кассовые расходы произведены в полном объеме в сумме 97,7 млн.руб. в виде предоставления субсидии микрокредитной компании Архангельский региональный фонд «Развитие» (далее – АРФ «Развитие»). По итогам 2019 года освоено 97,7 млн.руб. или 100% к бюджетной росписи.</w:t>
      </w:r>
    </w:p>
    <w:p w14:paraId="72A312B1" w14:textId="431EE3C5"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средств субсидии по состоянию на 31.12.2019 с 44 субъектами МСП моногородов АРФ «Развитие» заключено 81 догов</w:t>
      </w:r>
      <w:r w:rsidR="00717B1E" w:rsidRPr="00A53AD7">
        <w:rPr>
          <w:rFonts w:ascii="Times New Roman" w:hAnsi="Times New Roman"/>
          <w:sz w:val="28"/>
          <w:szCs w:val="28"/>
        </w:rPr>
        <w:t>ор займа на сумму 97,7 млн.руб.</w:t>
      </w:r>
    </w:p>
    <w:p w14:paraId="75110AF5" w14:textId="75BC648C"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количестве и сумме займов, полученных субъектами МСП в рамках проекта за 2019 год, с разбивкой по моногородам Архангельской облас</w:t>
      </w:r>
      <w:r w:rsidR="00F710F4" w:rsidRPr="00A53AD7">
        <w:rPr>
          <w:rFonts w:ascii="Times New Roman" w:hAnsi="Times New Roman"/>
          <w:sz w:val="28"/>
          <w:szCs w:val="28"/>
        </w:rPr>
        <w:t>ти, представлена в таблице ниже:</w:t>
      </w:r>
    </w:p>
    <w:tbl>
      <w:tblPr>
        <w:tblStyle w:val="a7"/>
        <w:tblW w:w="0" w:type="auto"/>
        <w:tblLook w:val="04A0" w:firstRow="1" w:lastRow="0" w:firstColumn="1" w:lastColumn="0" w:noHBand="0" w:noVBand="1"/>
      </w:tblPr>
      <w:tblGrid>
        <w:gridCol w:w="3108"/>
        <w:gridCol w:w="3108"/>
        <w:gridCol w:w="3108"/>
      </w:tblGrid>
      <w:tr w:rsidR="00D470B6" w:rsidRPr="00A53AD7" w14:paraId="009B27CE" w14:textId="77777777" w:rsidTr="009C1C2B">
        <w:tc>
          <w:tcPr>
            <w:tcW w:w="3115" w:type="dxa"/>
            <w:tcBorders>
              <w:top w:val="double" w:sz="4" w:space="0" w:color="auto"/>
              <w:left w:val="double" w:sz="4" w:space="0" w:color="auto"/>
            </w:tcBorders>
          </w:tcPr>
          <w:p w14:paraId="29DE402F"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Муниципальное образование</w:t>
            </w:r>
          </w:p>
        </w:tc>
        <w:tc>
          <w:tcPr>
            <w:tcW w:w="3115" w:type="dxa"/>
            <w:tcBorders>
              <w:top w:val="double" w:sz="4" w:space="0" w:color="auto"/>
            </w:tcBorders>
          </w:tcPr>
          <w:p w14:paraId="4E510332"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заключенных договоров займа</w:t>
            </w:r>
          </w:p>
        </w:tc>
        <w:tc>
          <w:tcPr>
            <w:tcW w:w="3115" w:type="dxa"/>
            <w:tcBorders>
              <w:top w:val="double" w:sz="4" w:space="0" w:color="auto"/>
              <w:right w:val="double" w:sz="4" w:space="0" w:color="auto"/>
            </w:tcBorders>
          </w:tcPr>
          <w:p w14:paraId="14F470E1"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Общая сумма заключенных договоров, млн.руб.</w:t>
            </w:r>
          </w:p>
        </w:tc>
      </w:tr>
      <w:tr w:rsidR="00D470B6" w:rsidRPr="00A53AD7" w14:paraId="0C8DC9CF" w14:textId="77777777" w:rsidTr="009C1C2B">
        <w:tc>
          <w:tcPr>
            <w:tcW w:w="3115" w:type="dxa"/>
            <w:tcBorders>
              <w:left w:val="double" w:sz="4" w:space="0" w:color="auto"/>
            </w:tcBorders>
            <w:vAlign w:val="center"/>
          </w:tcPr>
          <w:p w14:paraId="5B52C8ED"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Северодвинск</w:t>
            </w:r>
          </w:p>
        </w:tc>
        <w:tc>
          <w:tcPr>
            <w:tcW w:w="3115" w:type="dxa"/>
            <w:vAlign w:val="center"/>
          </w:tcPr>
          <w:p w14:paraId="11F303B1"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w:t>
            </w:r>
          </w:p>
        </w:tc>
        <w:tc>
          <w:tcPr>
            <w:tcW w:w="3115" w:type="dxa"/>
            <w:tcBorders>
              <w:right w:val="double" w:sz="4" w:space="0" w:color="auto"/>
            </w:tcBorders>
            <w:vAlign w:val="center"/>
          </w:tcPr>
          <w:p w14:paraId="32E16934"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16,1</w:t>
            </w:r>
          </w:p>
        </w:tc>
      </w:tr>
      <w:tr w:rsidR="00D470B6" w:rsidRPr="00A53AD7" w14:paraId="0FC114D0" w14:textId="77777777" w:rsidTr="009C1C2B">
        <w:tc>
          <w:tcPr>
            <w:tcW w:w="3115" w:type="dxa"/>
            <w:tcBorders>
              <w:left w:val="double" w:sz="4" w:space="0" w:color="auto"/>
            </w:tcBorders>
            <w:vAlign w:val="center"/>
          </w:tcPr>
          <w:p w14:paraId="3683BC7A"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Новодвинск</w:t>
            </w:r>
          </w:p>
        </w:tc>
        <w:tc>
          <w:tcPr>
            <w:tcW w:w="3115" w:type="dxa"/>
            <w:vAlign w:val="center"/>
          </w:tcPr>
          <w:p w14:paraId="76E26996"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w:t>
            </w:r>
          </w:p>
        </w:tc>
        <w:tc>
          <w:tcPr>
            <w:tcW w:w="3115" w:type="dxa"/>
            <w:tcBorders>
              <w:right w:val="double" w:sz="4" w:space="0" w:color="auto"/>
            </w:tcBorders>
            <w:vAlign w:val="center"/>
          </w:tcPr>
          <w:p w14:paraId="66F99474"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47,7</w:t>
            </w:r>
          </w:p>
        </w:tc>
      </w:tr>
      <w:tr w:rsidR="00D470B6" w:rsidRPr="00A53AD7" w14:paraId="5B700811" w14:textId="77777777" w:rsidTr="009C1C2B">
        <w:tc>
          <w:tcPr>
            <w:tcW w:w="3115" w:type="dxa"/>
            <w:tcBorders>
              <w:left w:val="double" w:sz="4" w:space="0" w:color="auto"/>
            </w:tcBorders>
            <w:vAlign w:val="center"/>
          </w:tcPr>
          <w:p w14:paraId="7D482DE6"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Онега</w:t>
            </w:r>
          </w:p>
        </w:tc>
        <w:tc>
          <w:tcPr>
            <w:tcW w:w="3115" w:type="dxa"/>
            <w:vAlign w:val="center"/>
          </w:tcPr>
          <w:p w14:paraId="5515D58D"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p>
        </w:tc>
        <w:tc>
          <w:tcPr>
            <w:tcW w:w="3115" w:type="dxa"/>
            <w:tcBorders>
              <w:right w:val="double" w:sz="4" w:space="0" w:color="auto"/>
            </w:tcBorders>
            <w:vAlign w:val="center"/>
          </w:tcPr>
          <w:p w14:paraId="41AE6BF2"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w:t>
            </w:r>
          </w:p>
        </w:tc>
      </w:tr>
      <w:tr w:rsidR="00D470B6" w:rsidRPr="00A53AD7" w14:paraId="4EF257FB" w14:textId="77777777" w:rsidTr="009C1C2B">
        <w:tc>
          <w:tcPr>
            <w:tcW w:w="3115" w:type="dxa"/>
            <w:tcBorders>
              <w:left w:val="double" w:sz="4" w:space="0" w:color="auto"/>
            </w:tcBorders>
            <w:vAlign w:val="center"/>
          </w:tcPr>
          <w:p w14:paraId="73F25641"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Североонежск</w:t>
            </w:r>
          </w:p>
        </w:tc>
        <w:tc>
          <w:tcPr>
            <w:tcW w:w="3115" w:type="dxa"/>
            <w:vAlign w:val="center"/>
          </w:tcPr>
          <w:p w14:paraId="32E3F2E6"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3115" w:type="dxa"/>
            <w:tcBorders>
              <w:right w:val="double" w:sz="4" w:space="0" w:color="auto"/>
            </w:tcBorders>
            <w:vAlign w:val="center"/>
          </w:tcPr>
          <w:p w14:paraId="6DEA41FC"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w:t>
            </w:r>
          </w:p>
        </w:tc>
      </w:tr>
      <w:tr w:rsidR="00D470B6" w:rsidRPr="00A53AD7" w14:paraId="1038BDAF" w14:textId="77777777" w:rsidTr="009C1C2B">
        <w:tc>
          <w:tcPr>
            <w:tcW w:w="3115" w:type="dxa"/>
            <w:tcBorders>
              <w:left w:val="double" w:sz="4" w:space="0" w:color="auto"/>
            </w:tcBorders>
            <w:vAlign w:val="center"/>
          </w:tcPr>
          <w:p w14:paraId="422626B4"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Коряжма</w:t>
            </w:r>
          </w:p>
        </w:tc>
        <w:tc>
          <w:tcPr>
            <w:tcW w:w="3115" w:type="dxa"/>
            <w:vAlign w:val="center"/>
          </w:tcPr>
          <w:p w14:paraId="4CA79E28"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3115" w:type="dxa"/>
            <w:tcBorders>
              <w:right w:val="double" w:sz="4" w:space="0" w:color="auto"/>
            </w:tcBorders>
            <w:vAlign w:val="center"/>
          </w:tcPr>
          <w:p w14:paraId="556B4B68"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w:t>
            </w:r>
          </w:p>
        </w:tc>
      </w:tr>
      <w:tr w:rsidR="00D470B6" w:rsidRPr="00A53AD7" w14:paraId="6C8BB06A" w14:textId="77777777" w:rsidTr="009C1C2B">
        <w:tc>
          <w:tcPr>
            <w:tcW w:w="3115" w:type="dxa"/>
            <w:tcBorders>
              <w:left w:val="double" w:sz="4" w:space="0" w:color="auto"/>
            </w:tcBorders>
            <w:vAlign w:val="center"/>
          </w:tcPr>
          <w:p w14:paraId="6BD1A170"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Кизема</w:t>
            </w:r>
          </w:p>
        </w:tc>
        <w:tc>
          <w:tcPr>
            <w:tcW w:w="3115" w:type="dxa"/>
            <w:vAlign w:val="center"/>
          </w:tcPr>
          <w:p w14:paraId="642B2EBC"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3115" w:type="dxa"/>
            <w:tcBorders>
              <w:right w:val="double" w:sz="4" w:space="0" w:color="auto"/>
            </w:tcBorders>
            <w:vAlign w:val="center"/>
          </w:tcPr>
          <w:p w14:paraId="67ACD59C"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r>
      <w:tr w:rsidR="00D470B6" w:rsidRPr="00A53AD7" w14:paraId="0B511B7E" w14:textId="77777777" w:rsidTr="009C1C2B">
        <w:tc>
          <w:tcPr>
            <w:tcW w:w="3115" w:type="dxa"/>
            <w:tcBorders>
              <w:left w:val="double" w:sz="4" w:space="0" w:color="auto"/>
            </w:tcBorders>
            <w:vAlign w:val="center"/>
          </w:tcPr>
          <w:p w14:paraId="45FBBE2E"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Октябрьский</w:t>
            </w:r>
          </w:p>
        </w:tc>
        <w:tc>
          <w:tcPr>
            <w:tcW w:w="3115" w:type="dxa"/>
            <w:vAlign w:val="center"/>
          </w:tcPr>
          <w:p w14:paraId="65BBC54C"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w:t>
            </w:r>
          </w:p>
        </w:tc>
        <w:tc>
          <w:tcPr>
            <w:tcW w:w="3115" w:type="dxa"/>
            <w:tcBorders>
              <w:right w:val="double" w:sz="4" w:space="0" w:color="auto"/>
            </w:tcBorders>
            <w:vAlign w:val="center"/>
          </w:tcPr>
          <w:p w14:paraId="6F8CE599" w14:textId="77777777" w:rsidR="009C1C2B" w:rsidRPr="00A53AD7" w:rsidRDefault="009C1C2B" w:rsidP="00F710F4">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22,2</w:t>
            </w:r>
          </w:p>
        </w:tc>
      </w:tr>
      <w:tr w:rsidR="009C1C2B" w:rsidRPr="00A53AD7" w14:paraId="76389BC2" w14:textId="77777777" w:rsidTr="009C1C2B">
        <w:tc>
          <w:tcPr>
            <w:tcW w:w="3115" w:type="dxa"/>
            <w:tcBorders>
              <w:left w:val="double" w:sz="4" w:space="0" w:color="auto"/>
              <w:bottom w:val="double" w:sz="4" w:space="0" w:color="auto"/>
            </w:tcBorders>
            <w:vAlign w:val="center"/>
          </w:tcPr>
          <w:p w14:paraId="41985C75" w14:textId="77777777" w:rsidR="009C1C2B" w:rsidRPr="00A53AD7" w:rsidRDefault="009C1C2B" w:rsidP="00F710F4">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Итого</w:t>
            </w:r>
          </w:p>
        </w:tc>
        <w:tc>
          <w:tcPr>
            <w:tcW w:w="3115" w:type="dxa"/>
            <w:tcBorders>
              <w:bottom w:val="double" w:sz="4" w:space="0" w:color="auto"/>
            </w:tcBorders>
            <w:vAlign w:val="center"/>
          </w:tcPr>
          <w:p w14:paraId="0D1FCA60" w14:textId="77777777" w:rsidR="009C1C2B" w:rsidRPr="00A53AD7" w:rsidRDefault="009C1C2B" w:rsidP="00F710F4">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81</w:t>
            </w:r>
          </w:p>
        </w:tc>
        <w:tc>
          <w:tcPr>
            <w:tcW w:w="3115" w:type="dxa"/>
            <w:tcBorders>
              <w:bottom w:val="double" w:sz="4" w:space="0" w:color="auto"/>
              <w:right w:val="double" w:sz="4" w:space="0" w:color="auto"/>
            </w:tcBorders>
            <w:vAlign w:val="center"/>
          </w:tcPr>
          <w:p w14:paraId="17A37E7F" w14:textId="77777777" w:rsidR="009C1C2B" w:rsidRPr="00A53AD7" w:rsidRDefault="009C1C2B" w:rsidP="00F710F4">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97,7</w:t>
            </w:r>
          </w:p>
        </w:tc>
      </w:tr>
    </w:tbl>
    <w:p w14:paraId="3F47CA83" w14:textId="77777777" w:rsidR="00F710F4" w:rsidRPr="00A53AD7" w:rsidRDefault="00F710F4" w:rsidP="009C1C2B">
      <w:pPr>
        <w:spacing w:after="0" w:line="240" w:lineRule="auto"/>
        <w:ind w:firstLine="709"/>
        <w:jc w:val="both"/>
        <w:rPr>
          <w:rFonts w:ascii="Times New Roman" w:eastAsia="Times New Roman" w:hAnsi="Times New Roman"/>
          <w:sz w:val="28"/>
          <w:szCs w:val="28"/>
          <w:highlight w:val="cyan"/>
          <w:lang w:eastAsia="ru-RU"/>
        </w:rPr>
      </w:pPr>
    </w:p>
    <w:p w14:paraId="7B04960E"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Как следует из таблицы, наибольшая сумма займов в размере 47,7 млн.руб. или 48,8% от общего объема бюджетных средств по мероприятию, предоставлена по 30 договорам субъектам МСП моногорода Новодвинска. </w:t>
      </w:r>
    </w:p>
    <w:p w14:paraId="79FDA260" w14:textId="77777777" w:rsidR="009C1C2B" w:rsidRPr="00A53AD7" w:rsidRDefault="009C1C2B" w:rsidP="00F710F4">
      <w:pPr>
        <w:spacing w:after="0" w:line="240" w:lineRule="auto"/>
        <w:ind w:firstLine="851"/>
        <w:jc w:val="both"/>
        <w:rPr>
          <w:rFonts w:ascii="Times New Roman" w:hAnsi="Times New Roman"/>
          <w:sz w:val="28"/>
          <w:szCs w:val="28"/>
        </w:rPr>
      </w:pPr>
    </w:p>
    <w:p w14:paraId="124B307E"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отчету о ходе реализации регионального проекта «Акселерация МСП в Архангельской области», достигнуты все плановые значения показателей и результатов, установленные на 2019 год в Приложениях № 1 и № 2 к соглашению о реализации регионального проекта «Акселерация МСП в Архангельской области». </w:t>
      </w:r>
    </w:p>
    <w:p w14:paraId="69900FBD" w14:textId="77777777" w:rsidR="009C1C2B" w:rsidRPr="00A53AD7" w:rsidRDefault="009C1C2B" w:rsidP="00F710F4">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выполнении показателей за 2019 год, установленных в Приложении № 1 к соглашению о реализации регионального проекта «Акселерация МСП в Архангельской области», со степенью достижения 100,7% и 106,9%, представлена в таблице ниже.</w:t>
      </w:r>
    </w:p>
    <w:tbl>
      <w:tblPr>
        <w:tblStyle w:val="a7"/>
        <w:tblW w:w="9233" w:type="dxa"/>
        <w:tblInd w:w="108" w:type="dxa"/>
        <w:tblLayout w:type="fixed"/>
        <w:tblLook w:val="04A0" w:firstRow="1" w:lastRow="0" w:firstColumn="1" w:lastColumn="0" w:noHBand="0" w:noVBand="1"/>
      </w:tblPr>
      <w:tblGrid>
        <w:gridCol w:w="4413"/>
        <w:gridCol w:w="992"/>
        <w:gridCol w:w="1276"/>
        <w:gridCol w:w="1276"/>
        <w:gridCol w:w="1276"/>
      </w:tblGrid>
      <w:tr w:rsidR="00D470B6" w:rsidRPr="00A53AD7" w14:paraId="60F1ECE3" w14:textId="77777777" w:rsidTr="00682874">
        <w:trPr>
          <w:trHeight w:val="893"/>
          <w:tblHeader/>
        </w:trPr>
        <w:tc>
          <w:tcPr>
            <w:tcW w:w="4413" w:type="dxa"/>
            <w:tcBorders>
              <w:top w:val="double" w:sz="4" w:space="0" w:color="auto"/>
              <w:left w:val="double" w:sz="4" w:space="0" w:color="auto"/>
            </w:tcBorders>
            <w:vAlign w:val="center"/>
          </w:tcPr>
          <w:p w14:paraId="56B8A7D1"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w:t>
            </w:r>
          </w:p>
        </w:tc>
        <w:tc>
          <w:tcPr>
            <w:tcW w:w="992" w:type="dxa"/>
            <w:tcBorders>
              <w:top w:val="double" w:sz="4" w:space="0" w:color="auto"/>
            </w:tcBorders>
            <w:vAlign w:val="center"/>
          </w:tcPr>
          <w:p w14:paraId="050AD4D2"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1276" w:type="dxa"/>
            <w:tcBorders>
              <w:top w:val="double" w:sz="4" w:space="0" w:color="auto"/>
            </w:tcBorders>
            <w:vAlign w:val="center"/>
          </w:tcPr>
          <w:p w14:paraId="0B93323E"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 xml:space="preserve">Плановое </w:t>
            </w:r>
          </w:p>
          <w:p w14:paraId="28FB1F9C"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значения показателя на 2019 год</w:t>
            </w:r>
          </w:p>
        </w:tc>
        <w:tc>
          <w:tcPr>
            <w:tcW w:w="1276" w:type="dxa"/>
            <w:tcBorders>
              <w:top w:val="double" w:sz="4" w:space="0" w:color="auto"/>
              <w:right w:val="nil"/>
            </w:tcBorders>
            <w:vAlign w:val="center"/>
          </w:tcPr>
          <w:p w14:paraId="44F86828"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показателя за 2019 год</w:t>
            </w:r>
          </w:p>
        </w:tc>
        <w:tc>
          <w:tcPr>
            <w:tcW w:w="1276" w:type="dxa"/>
            <w:tcBorders>
              <w:top w:val="double" w:sz="4" w:space="0" w:color="auto"/>
              <w:right w:val="double" w:sz="4" w:space="0" w:color="auto"/>
            </w:tcBorders>
            <w:vAlign w:val="center"/>
          </w:tcPr>
          <w:p w14:paraId="08C0A120"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Степень достижения показателя, %</w:t>
            </w:r>
          </w:p>
        </w:tc>
      </w:tr>
      <w:tr w:rsidR="00D470B6" w:rsidRPr="00A53AD7" w14:paraId="5857676E" w14:textId="77777777" w:rsidTr="00AB7AED">
        <w:trPr>
          <w:trHeight w:val="529"/>
        </w:trPr>
        <w:tc>
          <w:tcPr>
            <w:tcW w:w="4413" w:type="dxa"/>
            <w:tcBorders>
              <w:left w:val="double" w:sz="4" w:space="0" w:color="auto"/>
            </w:tcBorders>
            <w:vAlign w:val="center"/>
          </w:tcPr>
          <w:p w14:paraId="3C19BD5F" w14:textId="77777777" w:rsidR="009C1C2B" w:rsidRPr="00A53AD7" w:rsidRDefault="009C1C2B" w:rsidP="00F710F4">
            <w:pPr>
              <w:spacing w:after="0" w:line="240" w:lineRule="auto"/>
              <w:rPr>
                <w:rFonts w:ascii="Times New Roman" w:hAnsi="Times New Roman"/>
                <w:sz w:val="20"/>
                <w:szCs w:val="20"/>
              </w:rPr>
            </w:pPr>
            <w:r w:rsidRPr="00A53AD7">
              <w:rPr>
                <w:rFonts w:ascii="Times New Roman" w:hAnsi="Times New Roman"/>
                <w:sz w:val="20"/>
                <w:szCs w:val="20"/>
              </w:rPr>
              <w:t>Количество субъектов МСП и самозанятых граждан, получивших поддержку в рамках федерального проекта, нарастающим итогом</w:t>
            </w:r>
          </w:p>
        </w:tc>
        <w:tc>
          <w:tcPr>
            <w:tcW w:w="992" w:type="dxa"/>
            <w:vAlign w:val="center"/>
          </w:tcPr>
          <w:p w14:paraId="4282B77C"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Тысяча единиц</w:t>
            </w:r>
          </w:p>
        </w:tc>
        <w:tc>
          <w:tcPr>
            <w:tcW w:w="1276" w:type="dxa"/>
            <w:vAlign w:val="center"/>
          </w:tcPr>
          <w:p w14:paraId="2BC5DEF3"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1,856</w:t>
            </w:r>
          </w:p>
        </w:tc>
        <w:tc>
          <w:tcPr>
            <w:tcW w:w="1276" w:type="dxa"/>
            <w:vAlign w:val="center"/>
          </w:tcPr>
          <w:p w14:paraId="6106CE04"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1,870</w:t>
            </w:r>
          </w:p>
        </w:tc>
        <w:tc>
          <w:tcPr>
            <w:tcW w:w="1276" w:type="dxa"/>
            <w:tcBorders>
              <w:right w:val="double" w:sz="4" w:space="0" w:color="auto"/>
            </w:tcBorders>
            <w:vAlign w:val="center"/>
          </w:tcPr>
          <w:p w14:paraId="5D1A6311"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100,7</w:t>
            </w:r>
          </w:p>
        </w:tc>
      </w:tr>
      <w:tr w:rsidR="009C1C2B" w:rsidRPr="00A53AD7" w14:paraId="1F4C72DA" w14:textId="77777777" w:rsidTr="00AB7AED">
        <w:tc>
          <w:tcPr>
            <w:tcW w:w="4413" w:type="dxa"/>
            <w:tcBorders>
              <w:left w:val="double" w:sz="4" w:space="0" w:color="auto"/>
              <w:bottom w:val="double" w:sz="4" w:space="0" w:color="auto"/>
            </w:tcBorders>
            <w:vAlign w:val="center"/>
          </w:tcPr>
          <w:p w14:paraId="2C27C226" w14:textId="77777777" w:rsidR="009C1C2B" w:rsidRPr="00A53AD7" w:rsidRDefault="009C1C2B" w:rsidP="00F710F4">
            <w:pPr>
              <w:spacing w:after="0" w:line="240" w:lineRule="auto"/>
              <w:rPr>
                <w:rFonts w:ascii="Times New Roman" w:hAnsi="Times New Roman"/>
                <w:sz w:val="20"/>
                <w:szCs w:val="20"/>
              </w:rPr>
            </w:pPr>
            <w:r w:rsidRPr="00A53AD7">
              <w:rPr>
                <w:rFonts w:ascii="Times New Roman" w:hAnsi="Times New Roman"/>
                <w:sz w:val="20"/>
                <w:szCs w:val="20"/>
              </w:rPr>
              <w:t>Количество субъектов МСП, выведенных на экспорт при поддержке центров координации поддержки экспортно-ориентированных субъектов МСП, нарастающим итогом</w:t>
            </w:r>
          </w:p>
        </w:tc>
        <w:tc>
          <w:tcPr>
            <w:tcW w:w="992" w:type="dxa"/>
            <w:tcBorders>
              <w:bottom w:val="double" w:sz="4" w:space="0" w:color="auto"/>
            </w:tcBorders>
            <w:vAlign w:val="center"/>
          </w:tcPr>
          <w:p w14:paraId="0C5007D2"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Единица</w:t>
            </w:r>
          </w:p>
        </w:tc>
        <w:tc>
          <w:tcPr>
            <w:tcW w:w="1276" w:type="dxa"/>
            <w:tcBorders>
              <w:bottom w:val="double" w:sz="4" w:space="0" w:color="auto"/>
            </w:tcBorders>
            <w:vAlign w:val="center"/>
          </w:tcPr>
          <w:p w14:paraId="7548B8DC"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29,0</w:t>
            </w:r>
          </w:p>
        </w:tc>
        <w:tc>
          <w:tcPr>
            <w:tcW w:w="1276" w:type="dxa"/>
            <w:tcBorders>
              <w:bottom w:val="double" w:sz="4" w:space="0" w:color="auto"/>
            </w:tcBorders>
            <w:vAlign w:val="center"/>
          </w:tcPr>
          <w:p w14:paraId="01E8CB42"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31,0</w:t>
            </w:r>
          </w:p>
        </w:tc>
        <w:tc>
          <w:tcPr>
            <w:tcW w:w="1276" w:type="dxa"/>
            <w:tcBorders>
              <w:bottom w:val="double" w:sz="4" w:space="0" w:color="auto"/>
              <w:right w:val="double" w:sz="4" w:space="0" w:color="auto"/>
            </w:tcBorders>
            <w:vAlign w:val="center"/>
          </w:tcPr>
          <w:p w14:paraId="5ACA55DA" w14:textId="77777777" w:rsidR="009C1C2B" w:rsidRPr="00A53AD7" w:rsidRDefault="009C1C2B" w:rsidP="00F710F4">
            <w:pPr>
              <w:spacing w:after="0" w:line="240" w:lineRule="auto"/>
              <w:jc w:val="center"/>
              <w:rPr>
                <w:rFonts w:ascii="Times New Roman" w:hAnsi="Times New Roman"/>
                <w:sz w:val="20"/>
                <w:szCs w:val="20"/>
              </w:rPr>
            </w:pPr>
            <w:r w:rsidRPr="00A53AD7">
              <w:rPr>
                <w:rFonts w:ascii="Times New Roman" w:hAnsi="Times New Roman"/>
                <w:sz w:val="20"/>
                <w:szCs w:val="20"/>
              </w:rPr>
              <w:t>106,9</w:t>
            </w:r>
          </w:p>
        </w:tc>
      </w:tr>
    </w:tbl>
    <w:p w14:paraId="52DED9D4" w14:textId="77777777" w:rsidR="009C1C2B" w:rsidRPr="00A53AD7" w:rsidRDefault="009C1C2B" w:rsidP="00AB7AED">
      <w:pPr>
        <w:spacing w:after="0" w:line="240" w:lineRule="auto"/>
        <w:ind w:firstLine="851"/>
        <w:jc w:val="both"/>
        <w:rPr>
          <w:rFonts w:ascii="Times New Roman" w:hAnsi="Times New Roman"/>
          <w:sz w:val="28"/>
          <w:szCs w:val="28"/>
        </w:rPr>
      </w:pPr>
    </w:p>
    <w:p w14:paraId="4A57828A" w14:textId="77777777"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достижении значений результатов, установленных в Приложении № 2 к соглашению о реализации регионального проекта «Акселерация МСП в Архангельской области» со статусом реализации «отсутствие отклонений», представлены в таблице ниже.</w:t>
      </w:r>
    </w:p>
    <w:tbl>
      <w:tblPr>
        <w:tblStyle w:val="a7"/>
        <w:tblW w:w="9375" w:type="dxa"/>
        <w:tblInd w:w="108" w:type="dxa"/>
        <w:tblLayout w:type="fixed"/>
        <w:tblLook w:val="04A0" w:firstRow="1" w:lastRow="0" w:firstColumn="1" w:lastColumn="0" w:noHBand="0" w:noVBand="1"/>
      </w:tblPr>
      <w:tblGrid>
        <w:gridCol w:w="4272"/>
        <w:gridCol w:w="1134"/>
        <w:gridCol w:w="993"/>
        <w:gridCol w:w="992"/>
        <w:gridCol w:w="850"/>
        <w:gridCol w:w="1134"/>
      </w:tblGrid>
      <w:tr w:rsidR="00D470B6" w:rsidRPr="00A53AD7" w14:paraId="6C0E5987" w14:textId="77777777" w:rsidTr="00AB7AED">
        <w:trPr>
          <w:trHeight w:val="1380"/>
        </w:trPr>
        <w:tc>
          <w:tcPr>
            <w:tcW w:w="4272" w:type="dxa"/>
            <w:tcBorders>
              <w:top w:val="double" w:sz="4" w:space="0" w:color="auto"/>
              <w:left w:val="double" w:sz="4" w:space="0" w:color="auto"/>
            </w:tcBorders>
            <w:vAlign w:val="center"/>
          </w:tcPr>
          <w:p w14:paraId="1A37D0E3"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результата, мероприятия, контрольной точки</w:t>
            </w:r>
          </w:p>
        </w:tc>
        <w:tc>
          <w:tcPr>
            <w:tcW w:w="1134" w:type="dxa"/>
            <w:tcBorders>
              <w:top w:val="double" w:sz="4" w:space="0" w:color="auto"/>
            </w:tcBorders>
            <w:vAlign w:val="center"/>
          </w:tcPr>
          <w:p w14:paraId="6A554564"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Тип результата</w:t>
            </w:r>
          </w:p>
        </w:tc>
        <w:tc>
          <w:tcPr>
            <w:tcW w:w="993" w:type="dxa"/>
            <w:tcBorders>
              <w:top w:val="double" w:sz="4" w:space="0" w:color="auto"/>
            </w:tcBorders>
            <w:vAlign w:val="center"/>
          </w:tcPr>
          <w:p w14:paraId="6453FE9E"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992" w:type="dxa"/>
            <w:tcBorders>
              <w:top w:val="double" w:sz="4" w:space="0" w:color="auto"/>
            </w:tcBorders>
            <w:vAlign w:val="center"/>
          </w:tcPr>
          <w:p w14:paraId="055BE5D1"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Плановые</w:t>
            </w:r>
          </w:p>
          <w:p w14:paraId="318C446A"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значения результата на 2019 год</w:t>
            </w:r>
          </w:p>
        </w:tc>
        <w:tc>
          <w:tcPr>
            <w:tcW w:w="850" w:type="dxa"/>
            <w:tcBorders>
              <w:top w:val="double" w:sz="4" w:space="0" w:color="auto"/>
              <w:right w:val="nil"/>
            </w:tcBorders>
            <w:vAlign w:val="center"/>
          </w:tcPr>
          <w:p w14:paraId="6D2966E7"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результата за 2019 год</w:t>
            </w:r>
          </w:p>
        </w:tc>
        <w:tc>
          <w:tcPr>
            <w:tcW w:w="1134" w:type="dxa"/>
            <w:tcBorders>
              <w:top w:val="double" w:sz="4" w:space="0" w:color="auto"/>
              <w:right w:val="double" w:sz="4" w:space="0" w:color="auto"/>
            </w:tcBorders>
            <w:vAlign w:val="center"/>
          </w:tcPr>
          <w:p w14:paraId="685DA84C"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Дата достижения результата</w:t>
            </w:r>
          </w:p>
        </w:tc>
      </w:tr>
      <w:tr w:rsidR="00D470B6" w:rsidRPr="00A53AD7" w14:paraId="6EE0C169" w14:textId="77777777" w:rsidTr="00AB7AED">
        <w:tc>
          <w:tcPr>
            <w:tcW w:w="4272" w:type="dxa"/>
            <w:tcBorders>
              <w:left w:val="double" w:sz="4" w:space="0" w:color="auto"/>
            </w:tcBorders>
            <w:vAlign w:val="center"/>
          </w:tcPr>
          <w:p w14:paraId="7D8D7BC9" w14:textId="77777777" w:rsidR="009C1C2B" w:rsidRPr="00A53AD7" w:rsidRDefault="009C1C2B" w:rsidP="00AB7AED">
            <w:pPr>
              <w:spacing w:after="0" w:line="240" w:lineRule="auto"/>
              <w:rPr>
                <w:rFonts w:ascii="Times New Roman" w:hAnsi="Times New Roman"/>
                <w:sz w:val="20"/>
                <w:szCs w:val="20"/>
              </w:rPr>
            </w:pPr>
            <w:r w:rsidRPr="00A53AD7">
              <w:rPr>
                <w:rFonts w:ascii="Times New Roman" w:hAnsi="Times New Roman"/>
                <w:sz w:val="20"/>
                <w:szCs w:val="20"/>
              </w:rPr>
              <w:t>Количество субъектов МСП, выведенных на экспорт при поддержке центров координации поддержки экспортно-ориентированных субъектов МСП, нарастающим итогом</w:t>
            </w:r>
          </w:p>
        </w:tc>
        <w:tc>
          <w:tcPr>
            <w:tcW w:w="1134" w:type="dxa"/>
          </w:tcPr>
          <w:p w14:paraId="37D2D604"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Оказание услуг (выполнение работ)</w:t>
            </w:r>
          </w:p>
        </w:tc>
        <w:tc>
          <w:tcPr>
            <w:tcW w:w="993" w:type="dxa"/>
            <w:vAlign w:val="center"/>
          </w:tcPr>
          <w:p w14:paraId="2E692501"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Тысяча единиц</w:t>
            </w:r>
          </w:p>
        </w:tc>
        <w:tc>
          <w:tcPr>
            <w:tcW w:w="992" w:type="dxa"/>
            <w:vAlign w:val="center"/>
          </w:tcPr>
          <w:p w14:paraId="12BD7121"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0,029</w:t>
            </w:r>
          </w:p>
        </w:tc>
        <w:tc>
          <w:tcPr>
            <w:tcW w:w="850" w:type="dxa"/>
            <w:vAlign w:val="center"/>
          </w:tcPr>
          <w:p w14:paraId="08A9C9B2"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0,031</w:t>
            </w:r>
          </w:p>
        </w:tc>
        <w:tc>
          <w:tcPr>
            <w:tcW w:w="1134" w:type="dxa"/>
            <w:tcBorders>
              <w:right w:val="double" w:sz="4" w:space="0" w:color="auto"/>
            </w:tcBorders>
            <w:vAlign w:val="center"/>
          </w:tcPr>
          <w:p w14:paraId="74AB68CF"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26.12.2019</w:t>
            </w:r>
          </w:p>
        </w:tc>
      </w:tr>
      <w:tr w:rsidR="00D470B6" w:rsidRPr="00A53AD7" w14:paraId="5DF2BF38" w14:textId="77777777" w:rsidTr="00AB7AED">
        <w:tc>
          <w:tcPr>
            <w:tcW w:w="4272" w:type="dxa"/>
            <w:tcBorders>
              <w:left w:val="double" w:sz="4" w:space="0" w:color="auto"/>
            </w:tcBorders>
            <w:vAlign w:val="center"/>
          </w:tcPr>
          <w:p w14:paraId="3F68CEDB" w14:textId="77777777" w:rsidR="009C1C2B" w:rsidRPr="00A53AD7" w:rsidRDefault="009C1C2B" w:rsidP="00AB7AED">
            <w:pPr>
              <w:spacing w:after="0" w:line="240" w:lineRule="auto"/>
              <w:rPr>
                <w:rFonts w:ascii="Times New Roman" w:hAnsi="Times New Roman"/>
                <w:sz w:val="20"/>
                <w:szCs w:val="20"/>
              </w:rPr>
            </w:pPr>
            <w:r w:rsidRPr="00A53AD7">
              <w:rPr>
                <w:rFonts w:ascii="Times New Roman" w:hAnsi="Times New Roman"/>
                <w:sz w:val="20"/>
                <w:szCs w:val="20"/>
              </w:rPr>
              <w:t>Доля субъектов МСП, охваченных услугами Центров «Мой бизнес», в том числе финансовых услуг, консультационной и образовательной поддержки, поддержки по созданию и модернизации производств и другие</w:t>
            </w:r>
          </w:p>
        </w:tc>
        <w:tc>
          <w:tcPr>
            <w:tcW w:w="1134" w:type="dxa"/>
          </w:tcPr>
          <w:p w14:paraId="32D48F30"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Оказание услуг (выполнение работ)</w:t>
            </w:r>
          </w:p>
        </w:tc>
        <w:tc>
          <w:tcPr>
            <w:tcW w:w="993" w:type="dxa"/>
            <w:vAlign w:val="center"/>
          </w:tcPr>
          <w:p w14:paraId="1F85DFEF"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Процент</w:t>
            </w:r>
          </w:p>
        </w:tc>
        <w:tc>
          <w:tcPr>
            <w:tcW w:w="992" w:type="dxa"/>
            <w:vAlign w:val="center"/>
          </w:tcPr>
          <w:p w14:paraId="6DEC8FD7"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3</w:t>
            </w:r>
          </w:p>
        </w:tc>
        <w:tc>
          <w:tcPr>
            <w:tcW w:w="850" w:type="dxa"/>
            <w:vAlign w:val="center"/>
          </w:tcPr>
          <w:p w14:paraId="275717E7"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5</w:t>
            </w:r>
          </w:p>
        </w:tc>
        <w:tc>
          <w:tcPr>
            <w:tcW w:w="1134" w:type="dxa"/>
            <w:tcBorders>
              <w:right w:val="double" w:sz="4" w:space="0" w:color="auto"/>
            </w:tcBorders>
            <w:vAlign w:val="center"/>
          </w:tcPr>
          <w:p w14:paraId="533CC8DE"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20.12.2019</w:t>
            </w:r>
          </w:p>
        </w:tc>
      </w:tr>
      <w:tr w:rsidR="009C1C2B" w:rsidRPr="00A53AD7" w14:paraId="4CAA831E" w14:textId="77777777" w:rsidTr="00AB7AED">
        <w:tc>
          <w:tcPr>
            <w:tcW w:w="4272" w:type="dxa"/>
            <w:tcBorders>
              <w:left w:val="double" w:sz="4" w:space="0" w:color="auto"/>
              <w:bottom w:val="double" w:sz="4" w:space="0" w:color="auto"/>
            </w:tcBorders>
            <w:vAlign w:val="center"/>
          </w:tcPr>
          <w:p w14:paraId="449EA7A0" w14:textId="77777777" w:rsidR="009C1C2B" w:rsidRPr="00A53AD7" w:rsidRDefault="009C1C2B" w:rsidP="00AB7AED">
            <w:pPr>
              <w:spacing w:after="0" w:line="240" w:lineRule="auto"/>
              <w:rPr>
                <w:rFonts w:ascii="Times New Roman" w:hAnsi="Times New Roman"/>
                <w:sz w:val="20"/>
                <w:szCs w:val="20"/>
              </w:rPr>
            </w:pPr>
            <w:r w:rsidRPr="00A53AD7">
              <w:rPr>
                <w:rFonts w:ascii="Times New Roman" w:hAnsi="Times New Roman"/>
                <w:sz w:val="20"/>
                <w:szCs w:val="20"/>
              </w:rPr>
              <w:t>Разработана программа поддержки субъектов МСП в моногородах. Количество субъектов МСП, получивших поддержку в моногородах</w:t>
            </w:r>
          </w:p>
        </w:tc>
        <w:tc>
          <w:tcPr>
            <w:tcW w:w="1134" w:type="dxa"/>
            <w:tcBorders>
              <w:bottom w:val="double" w:sz="4" w:space="0" w:color="auto"/>
            </w:tcBorders>
          </w:tcPr>
          <w:p w14:paraId="15918EA0"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Оказание услуг (выполнение работ)</w:t>
            </w:r>
          </w:p>
        </w:tc>
        <w:tc>
          <w:tcPr>
            <w:tcW w:w="993" w:type="dxa"/>
            <w:tcBorders>
              <w:bottom w:val="double" w:sz="4" w:space="0" w:color="auto"/>
            </w:tcBorders>
            <w:vAlign w:val="center"/>
          </w:tcPr>
          <w:p w14:paraId="0C196060"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Единица</w:t>
            </w:r>
          </w:p>
        </w:tc>
        <w:tc>
          <w:tcPr>
            <w:tcW w:w="992" w:type="dxa"/>
            <w:tcBorders>
              <w:bottom w:val="double" w:sz="4" w:space="0" w:color="auto"/>
            </w:tcBorders>
            <w:vAlign w:val="center"/>
          </w:tcPr>
          <w:p w14:paraId="44930AF5"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43</w:t>
            </w:r>
          </w:p>
        </w:tc>
        <w:tc>
          <w:tcPr>
            <w:tcW w:w="850" w:type="dxa"/>
            <w:tcBorders>
              <w:bottom w:val="double" w:sz="4" w:space="0" w:color="auto"/>
            </w:tcBorders>
            <w:vAlign w:val="center"/>
          </w:tcPr>
          <w:p w14:paraId="581828CD"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44</w:t>
            </w:r>
          </w:p>
        </w:tc>
        <w:tc>
          <w:tcPr>
            <w:tcW w:w="1134" w:type="dxa"/>
            <w:tcBorders>
              <w:bottom w:val="double" w:sz="4" w:space="0" w:color="auto"/>
              <w:right w:val="double" w:sz="4" w:space="0" w:color="auto"/>
            </w:tcBorders>
            <w:vAlign w:val="center"/>
          </w:tcPr>
          <w:p w14:paraId="31E22B79" w14:textId="77777777" w:rsidR="009C1C2B" w:rsidRPr="00A53AD7" w:rsidRDefault="009C1C2B" w:rsidP="00AB7AED">
            <w:pPr>
              <w:spacing w:after="0" w:line="240" w:lineRule="auto"/>
              <w:jc w:val="center"/>
              <w:rPr>
                <w:rFonts w:ascii="Times New Roman" w:hAnsi="Times New Roman"/>
                <w:sz w:val="20"/>
                <w:szCs w:val="20"/>
              </w:rPr>
            </w:pPr>
            <w:r w:rsidRPr="00A53AD7">
              <w:rPr>
                <w:rFonts w:ascii="Times New Roman" w:hAnsi="Times New Roman"/>
                <w:sz w:val="20"/>
                <w:szCs w:val="20"/>
              </w:rPr>
              <w:t>20.12.2019</w:t>
            </w:r>
          </w:p>
        </w:tc>
      </w:tr>
    </w:tbl>
    <w:p w14:paraId="4474FEA6" w14:textId="77777777" w:rsidR="009C1C2B" w:rsidRPr="00A53AD7" w:rsidRDefault="009C1C2B" w:rsidP="009C1C2B">
      <w:pPr>
        <w:spacing w:after="0" w:line="240" w:lineRule="auto"/>
        <w:ind w:firstLine="709"/>
        <w:jc w:val="both"/>
        <w:rPr>
          <w:rFonts w:ascii="Times New Roman" w:hAnsi="Times New Roman"/>
          <w:sz w:val="28"/>
          <w:szCs w:val="28"/>
          <w:highlight w:val="cyan"/>
        </w:rPr>
      </w:pPr>
    </w:p>
    <w:p w14:paraId="5759FD98" w14:textId="37AD453A" w:rsidR="009C1C2B" w:rsidRPr="00A53AD7" w:rsidRDefault="009C1C2B" w:rsidP="00AB7AE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«Популяризация предпринимательства в Архангельской области (исполнители- минэкономразвития АО и администрация Губернатора Архангельской области и Правительства Архангельской области)</w:t>
      </w:r>
    </w:p>
    <w:p w14:paraId="3262A183" w14:textId="65C89604"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Сводной бюджетной росписью на 2019 год на реализацию регионального проекта «Популяризация предпринимательства в Архангельской области» в госпрограмме предусмотрены бюджетные </w:t>
      </w:r>
      <w:r w:rsidR="002851F7" w:rsidRPr="00A53AD7">
        <w:rPr>
          <w:rFonts w:ascii="Times New Roman" w:hAnsi="Times New Roman"/>
          <w:sz w:val="28"/>
          <w:szCs w:val="28"/>
        </w:rPr>
        <w:t>ассигнования в объеме 11,0 млн.</w:t>
      </w:r>
      <w:r w:rsidRPr="00A53AD7">
        <w:rPr>
          <w:rFonts w:ascii="Times New Roman" w:hAnsi="Times New Roman"/>
          <w:sz w:val="28"/>
          <w:szCs w:val="28"/>
        </w:rPr>
        <w:t>руб., из них: за счет средств федерального бюджета – 9,3 млн.руб., средств областного бюджета – 1,7 млн.руб. Кассовые расходы за 2019 год составили – 11,0 млн.руб. или 100,0% к сводной бюджетной росписи. По итогам 2019 года освоено 9,6 млн.руб. или 87,3%.</w:t>
      </w:r>
    </w:p>
    <w:p w14:paraId="0CDAEAA5" w14:textId="0799A856"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данному региональному проекту в госпрограмме запланировано мероприятие «Выявление предпринимательских способностей и вовлечение в предпринимательскую деятельность лиц, имеющих предпринимательский потенциал и (или) мотивацию к созданию собственного бизнеса». В рамках проведения информационной кампании было опубликовано 258 информационных сообщений в СМИ с целью вовлечения молодежи в мероприятия по молодежному предпринимательству. Также за отчетный период реализована образовательная программа «Школа успешного бизнеса» в 11 муниципальных образованиях Архангельской области, а именно: г. Котлас, г. Коряжма, г. Северодвинск, г. Новодвинск, г. Архангельск, Вельский район, Холмогорский район, Коношский район, Онежский район, Няндом</w:t>
      </w:r>
      <w:r w:rsidR="00564E24" w:rsidRPr="00A53AD7">
        <w:rPr>
          <w:rFonts w:ascii="Times New Roman" w:hAnsi="Times New Roman"/>
          <w:sz w:val="28"/>
          <w:szCs w:val="28"/>
        </w:rPr>
        <w:t>с</w:t>
      </w:r>
      <w:r w:rsidRPr="00A53AD7">
        <w:rPr>
          <w:rFonts w:ascii="Times New Roman" w:hAnsi="Times New Roman"/>
          <w:sz w:val="28"/>
          <w:szCs w:val="28"/>
        </w:rPr>
        <w:t>кий район, Каргопольский район. Общее количество прошедших образовательную программу – 500 человек. В рамках образовательной программы было проведено 35 модульных образовательных единиц. Выпущен журнал о реализации молодежной программы «Ты – предприниматель» (тираж 999 экземпляров).</w:t>
      </w:r>
    </w:p>
    <w:p w14:paraId="45687D6E" w14:textId="77777777"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профориентационного проекта «Регион развития 29» реализована тематическая информационно-образовательная смена по предпринимательству для молодежи от 14 до 17 лет «Технологии предпринимательства», в которой приняли участие 27 человек, проведено 28 открытых уроков для школьников с участием действующих предпринимателей в 7 муниципальных образованиях Архангельской области, а именно: Устьянский район, Вельский район, Приморский район, г. Коряжма, г. Архангельск, г. Северодвинск, г. Новодвинск. Общее количество участников 598 человек. Центром поддержки предпринимательства оказывались услуги по содействию в приведении пищевой продукции в соответствие с необходимыми требованиями (декларирование продукции) на безвозмездной основе. За отчетный период оказаны услуги по регистрации 160 деклараций для 70 субъектов МСП, по проведению 52 исследований для 27 субъектов МСП, по оформлению заявок на регистрацию товарных знаков, промышленных образцов, полезных моделей и изобретений для 23 субъектов МСП.</w:t>
      </w:r>
    </w:p>
    <w:p w14:paraId="54A0B55C" w14:textId="1B61D3BD"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«Популяризация предпринимательства в Архангельской области», достигнуты все плановые значения показателей и результатов, установленные на 2019 год в Приложениях № 1 и № 2 к соглашению о реализации регионального проекта «Популяризация предпринимательства в Архангельской области».</w:t>
      </w:r>
    </w:p>
    <w:p w14:paraId="345A6071" w14:textId="77777777" w:rsidR="009C1C2B" w:rsidRPr="00A53AD7" w:rsidRDefault="009C1C2B" w:rsidP="00AB7AE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выполнении показателей, установленных в Приложении № 1 к соглашению о реализации регионального проекта «Популяризация предпринимательства в Архангельской области» показателей на 2019 год, со степенью достижения 100%, 100,5% и 112,7%, представлена в таблице ниже.</w:t>
      </w:r>
    </w:p>
    <w:tbl>
      <w:tblPr>
        <w:tblStyle w:val="a7"/>
        <w:tblW w:w="9356" w:type="dxa"/>
        <w:tblInd w:w="108" w:type="dxa"/>
        <w:tblLayout w:type="fixed"/>
        <w:tblLook w:val="04A0" w:firstRow="1" w:lastRow="0" w:firstColumn="1" w:lastColumn="0" w:noHBand="0" w:noVBand="1"/>
      </w:tblPr>
      <w:tblGrid>
        <w:gridCol w:w="4678"/>
        <w:gridCol w:w="992"/>
        <w:gridCol w:w="1134"/>
        <w:gridCol w:w="1276"/>
        <w:gridCol w:w="1276"/>
      </w:tblGrid>
      <w:tr w:rsidR="00D470B6" w:rsidRPr="00A53AD7" w14:paraId="72ABA0F9" w14:textId="77777777" w:rsidTr="00682874">
        <w:trPr>
          <w:trHeight w:val="1016"/>
          <w:tblHeader/>
        </w:trPr>
        <w:tc>
          <w:tcPr>
            <w:tcW w:w="4678" w:type="dxa"/>
            <w:tcBorders>
              <w:top w:val="double" w:sz="4" w:space="0" w:color="auto"/>
              <w:left w:val="double" w:sz="4" w:space="0" w:color="auto"/>
            </w:tcBorders>
            <w:vAlign w:val="center"/>
          </w:tcPr>
          <w:p w14:paraId="0A32969C"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w:t>
            </w:r>
          </w:p>
        </w:tc>
        <w:tc>
          <w:tcPr>
            <w:tcW w:w="992" w:type="dxa"/>
            <w:tcBorders>
              <w:top w:val="double" w:sz="4" w:space="0" w:color="auto"/>
            </w:tcBorders>
            <w:vAlign w:val="center"/>
          </w:tcPr>
          <w:p w14:paraId="51C8A40E"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1134" w:type="dxa"/>
            <w:tcBorders>
              <w:top w:val="double" w:sz="4" w:space="0" w:color="auto"/>
            </w:tcBorders>
            <w:vAlign w:val="center"/>
          </w:tcPr>
          <w:p w14:paraId="194A8E92"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 xml:space="preserve">Плановое </w:t>
            </w:r>
          </w:p>
          <w:p w14:paraId="5C4C3694"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2019 год</w:t>
            </w:r>
          </w:p>
        </w:tc>
        <w:tc>
          <w:tcPr>
            <w:tcW w:w="1276" w:type="dxa"/>
            <w:tcBorders>
              <w:top w:val="double" w:sz="4" w:space="0" w:color="auto"/>
              <w:right w:val="nil"/>
            </w:tcBorders>
            <w:vAlign w:val="center"/>
          </w:tcPr>
          <w:p w14:paraId="72D6A6C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показателя за 2019 год</w:t>
            </w:r>
          </w:p>
        </w:tc>
        <w:tc>
          <w:tcPr>
            <w:tcW w:w="1276" w:type="dxa"/>
            <w:tcBorders>
              <w:top w:val="double" w:sz="4" w:space="0" w:color="auto"/>
              <w:right w:val="double" w:sz="4" w:space="0" w:color="auto"/>
            </w:tcBorders>
            <w:vAlign w:val="center"/>
          </w:tcPr>
          <w:p w14:paraId="2FC9FAEA"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Степень достижения показателя, %</w:t>
            </w:r>
          </w:p>
        </w:tc>
      </w:tr>
      <w:tr w:rsidR="00D470B6" w:rsidRPr="00A53AD7" w14:paraId="23E03EB8" w14:textId="77777777" w:rsidTr="00FF15DD">
        <w:trPr>
          <w:trHeight w:val="429"/>
        </w:trPr>
        <w:tc>
          <w:tcPr>
            <w:tcW w:w="4678" w:type="dxa"/>
            <w:tcBorders>
              <w:left w:val="double" w:sz="4" w:space="0" w:color="auto"/>
            </w:tcBorders>
            <w:vAlign w:val="center"/>
          </w:tcPr>
          <w:p w14:paraId="3D4B529D"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Количество вновь созданных субъектов МСП участниками проекта, нарастающим итогом</w:t>
            </w:r>
          </w:p>
        </w:tc>
        <w:tc>
          <w:tcPr>
            <w:tcW w:w="992" w:type="dxa"/>
            <w:vAlign w:val="center"/>
          </w:tcPr>
          <w:p w14:paraId="0DAD2914"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Тысяча единиц</w:t>
            </w:r>
          </w:p>
        </w:tc>
        <w:tc>
          <w:tcPr>
            <w:tcW w:w="1134" w:type="dxa"/>
            <w:vAlign w:val="center"/>
          </w:tcPr>
          <w:p w14:paraId="470DA827"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0,071</w:t>
            </w:r>
          </w:p>
        </w:tc>
        <w:tc>
          <w:tcPr>
            <w:tcW w:w="1276" w:type="dxa"/>
            <w:vAlign w:val="center"/>
          </w:tcPr>
          <w:p w14:paraId="71F8A95F"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0,071</w:t>
            </w:r>
          </w:p>
        </w:tc>
        <w:tc>
          <w:tcPr>
            <w:tcW w:w="1276" w:type="dxa"/>
            <w:tcBorders>
              <w:right w:val="double" w:sz="4" w:space="0" w:color="auto"/>
            </w:tcBorders>
            <w:vAlign w:val="center"/>
          </w:tcPr>
          <w:p w14:paraId="6B868D1B"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7DD175C3" w14:textId="77777777" w:rsidTr="009C1C2B">
        <w:tc>
          <w:tcPr>
            <w:tcW w:w="4678" w:type="dxa"/>
            <w:tcBorders>
              <w:left w:val="double" w:sz="4" w:space="0" w:color="auto"/>
            </w:tcBorders>
            <w:vAlign w:val="center"/>
          </w:tcPr>
          <w:p w14:paraId="6CD2E0B3"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Количество физических лиц-участников федерального проекта, нарастающим итогом</w:t>
            </w:r>
          </w:p>
        </w:tc>
        <w:tc>
          <w:tcPr>
            <w:tcW w:w="992" w:type="dxa"/>
            <w:vAlign w:val="center"/>
          </w:tcPr>
          <w:p w14:paraId="71031448"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Тысяча человек</w:t>
            </w:r>
          </w:p>
        </w:tc>
        <w:tc>
          <w:tcPr>
            <w:tcW w:w="1134" w:type="dxa"/>
            <w:vAlign w:val="center"/>
          </w:tcPr>
          <w:p w14:paraId="1E2E05AB"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3,962</w:t>
            </w:r>
          </w:p>
        </w:tc>
        <w:tc>
          <w:tcPr>
            <w:tcW w:w="1276" w:type="dxa"/>
            <w:vAlign w:val="center"/>
          </w:tcPr>
          <w:p w14:paraId="669C402B"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3,983</w:t>
            </w:r>
          </w:p>
        </w:tc>
        <w:tc>
          <w:tcPr>
            <w:tcW w:w="1276" w:type="dxa"/>
            <w:tcBorders>
              <w:right w:val="double" w:sz="4" w:space="0" w:color="auto"/>
            </w:tcBorders>
            <w:vAlign w:val="center"/>
          </w:tcPr>
          <w:p w14:paraId="1356A3AA"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100,5</w:t>
            </w:r>
          </w:p>
        </w:tc>
      </w:tr>
      <w:tr w:rsidR="00D470B6" w:rsidRPr="00A53AD7" w14:paraId="57670A2E" w14:textId="77777777" w:rsidTr="009C1C2B">
        <w:tc>
          <w:tcPr>
            <w:tcW w:w="4678" w:type="dxa"/>
            <w:tcBorders>
              <w:left w:val="double" w:sz="4" w:space="0" w:color="auto"/>
            </w:tcBorders>
            <w:vAlign w:val="center"/>
          </w:tcPr>
          <w:p w14:paraId="679FC534"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Количество физических лиц-участников федерального проекта, занятых в сфере малого и среднего предпринимательства, по итогам участия в федеральном проекте, нарастающим итогом</w:t>
            </w:r>
          </w:p>
        </w:tc>
        <w:tc>
          <w:tcPr>
            <w:tcW w:w="992" w:type="dxa"/>
            <w:vAlign w:val="center"/>
          </w:tcPr>
          <w:p w14:paraId="775D5665"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Тысяча человек</w:t>
            </w:r>
          </w:p>
        </w:tc>
        <w:tc>
          <w:tcPr>
            <w:tcW w:w="1134" w:type="dxa"/>
            <w:vAlign w:val="center"/>
          </w:tcPr>
          <w:p w14:paraId="52C86038"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0,242</w:t>
            </w:r>
          </w:p>
        </w:tc>
        <w:tc>
          <w:tcPr>
            <w:tcW w:w="1276" w:type="dxa"/>
            <w:vAlign w:val="center"/>
          </w:tcPr>
          <w:p w14:paraId="6C20242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0,242</w:t>
            </w:r>
          </w:p>
        </w:tc>
        <w:tc>
          <w:tcPr>
            <w:tcW w:w="1276" w:type="dxa"/>
            <w:tcBorders>
              <w:right w:val="double" w:sz="4" w:space="0" w:color="auto"/>
            </w:tcBorders>
            <w:vAlign w:val="center"/>
          </w:tcPr>
          <w:p w14:paraId="2818B867"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9C1C2B" w:rsidRPr="00A53AD7" w14:paraId="4A3DB845" w14:textId="77777777" w:rsidTr="009C1C2B">
        <w:tc>
          <w:tcPr>
            <w:tcW w:w="4678" w:type="dxa"/>
            <w:tcBorders>
              <w:left w:val="double" w:sz="4" w:space="0" w:color="auto"/>
              <w:bottom w:val="double" w:sz="4" w:space="0" w:color="auto"/>
            </w:tcBorders>
            <w:vAlign w:val="center"/>
          </w:tcPr>
          <w:p w14:paraId="26FE5A7C"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Количество обученных основам ведения бизнеса, финансовой грамотности и иным навыкам предпринимательской деятельности, нарастающим итогом</w:t>
            </w:r>
          </w:p>
        </w:tc>
        <w:tc>
          <w:tcPr>
            <w:tcW w:w="992" w:type="dxa"/>
            <w:tcBorders>
              <w:bottom w:val="double" w:sz="4" w:space="0" w:color="auto"/>
            </w:tcBorders>
            <w:vAlign w:val="center"/>
          </w:tcPr>
          <w:p w14:paraId="06E1FD60"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Тысяча человек</w:t>
            </w:r>
          </w:p>
        </w:tc>
        <w:tc>
          <w:tcPr>
            <w:tcW w:w="1134" w:type="dxa"/>
            <w:tcBorders>
              <w:bottom w:val="double" w:sz="4" w:space="0" w:color="auto"/>
            </w:tcBorders>
            <w:vAlign w:val="center"/>
          </w:tcPr>
          <w:p w14:paraId="26C1F370"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0,725</w:t>
            </w:r>
          </w:p>
        </w:tc>
        <w:tc>
          <w:tcPr>
            <w:tcW w:w="1276" w:type="dxa"/>
            <w:tcBorders>
              <w:bottom w:val="double" w:sz="4" w:space="0" w:color="auto"/>
            </w:tcBorders>
            <w:vAlign w:val="center"/>
          </w:tcPr>
          <w:p w14:paraId="79A4E5E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0,817</w:t>
            </w:r>
          </w:p>
        </w:tc>
        <w:tc>
          <w:tcPr>
            <w:tcW w:w="1276" w:type="dxa"/>
            <w:tcBorders>
              <w:bottom w:val="double" w:sz="4" w:space="0" w:color="auto"/>
              <w:right w:val="double" w:sz="4" w:space="0" w:color="auto"/>
            </w:tcBorders>
            <w:vAlign w:val="center"/>
          </w:tcPr>
          <w:p w14:paraId="4615B7EC"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112,7</w:t>
            </w:r>
          </w:p>
        </w:tc>
      </w:tr>
    </w:tbl>
    <w:p w14:paraId="3CD2F93F" w14:textId="77777777" w:rsidR="009C1C2B" w:rsidRPr="00A53AD7" w:rsidRDefault="009C1C2B" w:rsidP="00FF15DD">
      <w:pPr>
        <w:spacing w:after="0" w:line="240" w:lineRule="auto"/>
        <w:ind w:firstLine="851"/>
        <w:jc w:val="both"/>
        <w:rPr>
          <w:rFonts w:ascii="Times New Roman" w:hAnsi="Times New Roman"/>
          <w:sz w:val="28"/>
          <w:szCs w:val="28"/>
        </w:rPr>
      </w:pPr>
    </w:p>
    <w:p w14:paraId="04B0B8FC" w14:textId="559FDEFE"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достижении значений результатов, установленных в Приложении № 2 к соглашению о реализации регионального проекта «Популяризация предпринимательства в Архангельской области», со статусом реализации «отсутствие отклонени</w:t>
      </w:r>
      <w:r w:rsidR="00FF15DD" w:rsidRPr="00A53AD7">
        <w:rPr>
          <w:rFonts w:ascii="Times New Roman" w:hAnsi="Times New Roman"/>
          <w:sz w:val="28"/>
          <w:szCs w:val="28"/>
        </w:rPr>
        <w:t>й», представлены в таблице ниже:</w:t>
      </w:r>
    </w:p>
    <w:tbl>
      <w:tblPr>
        <w:tblStyle w:val="a7"/>
        <w:tblW w:w="9356" w:type="dxa"/>
        <w:tblInd w:w="108" w:type="dxa"/>
        <w:tblLayout w:type="fixed"/>
        <w:tblLook w:val="04A0" w:firstRow="1" w:lastRow="0" w:firstColumn="1" w:lastColumn="0" w:noHBand="0" w:noVBand="1"/>
      </w:tblPr>
      <w:tblGrid>
        <w:gridCol w:w="3969"/>
        <w:gridCol w:w="1276"/>
        <w:gridCol w:w="992"/>
        <w:gridCol w:w="993"/>
        <w:gridCol w:w="992"/>
        <w:gridCol w:w="1134"/>
      </w:tblGrid>
      <w:tr w:rsidR="00D470B6" w:rsidRPr="00A53AD7" w14:paraId="2EF4697C" w14:textId="77777777" w:rsidTr="009C1C2B">
        <w:trPr>
          <w:trHeight w:val="1380"/>
        </w:trPr>
        <w:tc>
          <w:tcPr>
            <w:tcW w:w="3969" w:type="dxa"/>
            <w:tcBorders>
              <w:top w:val="double" w:sz="4" w:space="0" w:color="auto"/>
              <w:left w:val="double" w:sz="4" w:space="0" w:color="auto"/>
            </w:tcBorders>
            <w:vAlign w:val="center"/>
          </w:tcPr>
          <w:p w14:paraId="0AB55FE3"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результата, мероприятия, контрольной точки</w:t>
            </w:r>
          </w:p>
        </w:tc>
        <w:tc>
          <w:tcPr>
            <w:tcW w:w="1276" w:type="dxa"/>
            <w:tcBorders>
              <w:top w:val="double" w:sz="4" w:space="0" w:color="auto"/>
            </w:tcBorders>
            <w:vAlign w:val="center"/>
          </w:tcPr>
          <w:p w14:paraId="6B2C2DC0"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Тип результата</w:t>
            </w:r>
          </w:p>
        </w:tc>
        <w:tc>
          <w:tcPr>
            <w:tcW w:w="992" w:type="dxa"/>
            <w:tcBorders>
              <w:top w:val="double" w:sz="4" w:space="0" w:color="auto"/>
            </w:tcBorders>
            <w:vAlign w:val="center"/>
          </w:tcPr>
          <w:p w14:paraId="18E417F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993" w:type="dxa"/>
            <w:tcBorders>
              <w:top w:val="double" w:sz="4" w:space="0" w:color="auto"/>
            </w:tcBorders>
            <w:vAlign w:val="center"/>
          </w:tcPr>
          <w:p w14:paraId="0178F47E"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Плановое</w:t>
            </w:r>
          </w:p>
          <w:p w14:paraId="1848465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значение результата на 2019 год</w:t>
            </w:r>
          </w:p>
        </w:tc>
        <w:tc>
          <w:tcPr>
            <w:tcW w:w="992" w:type="dxa"/>
            <w:tcBorders>
              <w:top w:val="double" w:sz="4" w:space="0" w:color="auto"/>
              <w:right w:val="nil"/>
            </w:tcBorders>
            <w:vAlign w:val="center"/>
          </w:tcPr>
          <w:p w14:paraId="27C0274B"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результата за 2019 год</w:t>
            </w:r>
          </w:p>
        </w:tc>
        <w:tc>
          <w:tcPr>
            <w:tcW w:w="1134" w:type="dxa"/>
            <w:tcBorders>
              <w:top w:val="double" w:sz="4" w:space="0" w:color="auto"/>
              <w:right w:val="double" w:sz="4" w:space="0" w:color="auto"/>
            </w:tcBorders>
            <w:vAlign w:val="center"/>
          </w:tcPr>
          <w:p w14:paraId="11B02E7F"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Дата достижения результата</w:t>
            </w:r>
          </w:p>
        </w:tc>
      </w:tr>
      <w:tr w:rsidR="009C1C2B" w:rsidRPr="00A53AD7" w14:paraId="10596B2F" w14:textId="77777777" w:rsidTr="009C1C2B">
        <w:tc>
          <w:tcPr>
            <w:tcW w:w="3969" w:type="dxa"/>
            <w:tcBorders>
              <w:left w:val="double" w:sz="4" w:space="0" w:color="auto"/>
              <w:bottom w:val="double" w:sz="4" w:space="0" w:color="auto"/>
            </w:tcBorders>
            <w:vAlign w:val="center"/>
          </w:tcPr>
          <w:p w14:paraId="717F83BC"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 xml:space="preserve">Реализуется комплексная программа по вовлечению в предпринимательскую деятельность и содействию создания собственного бизнеса для каждой целевой группы включая поддержку создания сообществ и развитие института наставничества. Количество вновь созданных субъектов МСП участниками проекта, нарастающим итогом, </w:t>
            </w:r>
          </w:p>
        </w:tc>
        <w:tc>
          <w:tcPr>
            <w:tcW w:w="1276" w:type="dxa"/>
            <w:tcBorders>
              <w:bottom w:val="double" w:sz="4" w:space="0" w:color="auto"/>
            </w:tcBorders>
            <w:vAlign w:val="center"/>
          </w:tcPr>
          <w:p w14:paraId="43EDC902"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Стратегия, программа</w:t>
            </w:r>
          </w:p>
        </w:tc>
        <w:tc>
          <w:tcPr>
            <w:tcW w:w="992" w:type="dxa"/>
            <w:tcBorders>
              <w:bottom w:val="double" w:sz="4" w:space="0" w:color="auto"/>
            </w:tcBorders>
            <w:vAlign w:val="center"/>
          </w:tcPr>
          <w:p w14:paraId="14451DC8"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w:t>
            </w:r>
          </w:p>
        </w:tc>
        <w:tc>
          <w:tcPr>
            <w:tcW w:w="993" w:type="dxa"/>
            <w:tcBorders>
              <w:bottom w:val="double" w:sz="4" w:space="0" w:color="auto"/>
            </w:tcBorders>
            <w:vAlign w:val="center"/>
          </w:tcPr>
          <w:p w14:paraId="3A944325"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71</w:t>
            </w:r>
          </w:p>
        </w:tc>
        <w:tc>
          <w:tcPr>
            <w:tcW w:w="992" w:type="dxa"/>
            <w:tcBorders>
              <w:bottom w:val="double" w:sz="4" w:space="0" w:color="auto"/>
            </w:tcBorders>
            <w:vAlign w:val="center"/>
          </w:tcPr>
          <w:p w14:paraId="64E0B2D6"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71</w:t>
            </w:r>
          </w:p>
        </w:tc>
        <w:tc>
          <w:tcPr>
            <w:tcW w:w="1134" w:type="dxa"/>
            <w:tcBorders>
              <w:bottom w:val="double" w:sz="4" w:space="0" w:color="auto"/>
              <w:right w:val="double" w:sz="4" w:space="0" w:color="auto"/>
            </w:tcBorders>
            <w:vAlign w:val="center"/>
          </w:tcPr>
          <w:p w14:paraId="1B39B820"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20.12.2019</w:t>
            </w:r>
          </w:p>
        </w:tc>
      </w:tr>
    </w:tbl>
    <w:p w14:paraId="5171AF75" w14:textId="77777777" w:rsidR="009C1C2B" w:rsidRPr="00A53AD7" w:rsidRDefault="009C1C2B" w:rsidP="009C1C2B">
      <w:pPr>
        <w:spacing w:after="0" w:line="240" w:lineRule="auto"/>
        <w:ind w:firstLine="709"/>
        <w:jc w:val="both"/>
        <w:rPr>
          <w:rFonts w:ascii="Times New Roman" w:eastAsia="Times New Roman" w:hAnsi="Times New Roman"/>
          <w:sz w:val="28"/>
          <w:szCs w:val="28"/>
          <w:highlight w:val="cyan"/>
          <w:lang w:eastAsia="ru-RU"/>
        </w:rPr>
      </w:pPr>
    </w:p>
    <w:p w14:paraId="1164FCFD" w14:textId="10487372" w:rsidR="009C1C2B" w:rsidRPr="00A53AD7" w:rsidRDefault="009C1C2B" w:rsidP="00FF15D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«Расширение доступа субъектов МСП к финансовой поддержке, в том числе к льготному финансированию в Архангельской области» (ответственный исполнитель - минэкономразвития АО)</w:t>
      </w:r>
    </w:p>
    <w:p w14:paraId="6A4A3572" w14:textId="4FC19474"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регионального проекта «Расширение доступа субъектов МСП к финансовой поддержке, в том числе к льготному финансированию в Архангельской области» между министерством экономического развития Архангельской области и микрокредитной компанией Архангельский региональный фонд «Развитие» (далее - МКК «Развитие») было подписано соглашение о предоставлении субсидии от 06.08.2019 № 139-09-2019-256 (в редакции дополнительных соглашений от 24.10.2019 № 139-09-2019-256/1, от 24.12.2019 № 139-09-2019-256/2)</w:t>
      </w:r>
      <w:r w:rsidR="00FF15DD" w:rsidRPr="00A53AD7">
        <w:rPr>
          <w:rFonts w:ascii="Times New Roman" w:hAnsi="Times New Roman"/>
          <w:sz w:val="28"/>
          <w:szCs w:val="28"/>
        </w:rPr>
        <w:t>.</w:t>
      </w:r>
    </w:p>
    <w:p w14:paraId="3BF157D1" w14:textId="6A9AEA8A"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Сводной бюджетной росписью на 2019 год на реализацию проекта в госпрограмме предусмотрены бюджетные ассигнования в объеме 250,0 млн.руб., в том числе 241,3 млн.руб., за счет федерального бюджета и 8,7 млн.руб. за счет областного бюджета. За 2019 год кассовые расходы произведены минэкономразвития МКК «Развитие» в полном объеме. За отчетный период ос</w:t>
      </w:r>
      <w:r w:rsidR="00FF15DD" w:rsidRPr="00A53AD7">
        <w:rPr>
          <w:rFonts w:ascii="Times New Roman" w:hAnsi="Times New Roman"/>
          <w:sz w:val="28"/>
          <w:szCs w:val="28"/>
        </w:rPr>
        <w:t>воено 226,8 млн.руб. или 90,7%.</w:t>
      </w:r>
    </w:p>
    <w:p w14:paraId="34C2BB01" w14:textId="5CEED1E3"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счет данных средств по состоянию на 31.12.2019, МКК «Развитие» предоставлено 353 </w:t>
      </w:r>
      <w:r w:rsidR="002851F7" w:rsidRPr="00A53AD7">
        <w:rPr>
          <w:rFonts w:ascii="Times New Roman" w:hAnsi="Times New Roman"/>
          <w:sz w:val="28"/>
          <w:szCs w:val="28"/>
        </w:rPr>
        <w:t>займа на общую сумму 226,8 млн.</w:t>
      </w:r>
      <w:r w:rsidRPr="00A53AD7">
        <w:rPr>
          <w:rFonts w:ascii="Times New Roman" w:hAnsi="Times New Roman"/>
          <w:sz w:val="28"/>
          <w:szCs w:val="28"/>
        </w:rPr>
        <w:t>руб. Кроме этого, в течение 2019 года МКК «Развитие» предоставлено всего 506 займов субъектам МСП Архангельской области на сумму 403,112 млн.руб. По состоянию на 31.12.2019, значение показателя «Количество выдаваемых микрозаймов МФО субъектам МСП нарастающим итогом» по федеральному проекту составляет 826 единиц.</w:t>
      </w:r>
    </w:p>
    <w:p w14:paraId="2D8CD32E" w14:textId="77777777"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«Расширение доступа субъектов МСП к финансовой поддержке, в том числе к льготному финансированию в Архангельской области», достигнуты все плановые значения показателей и результатов на 2019 год.</w:t>
      </w:r>
    </w:p>
    <w:p w14:paraId="0E8E5FEF" w14:textId="77777777" w:rsidR="009C1C2B" w:rsidRPr="00A53AD7" w:rsidRDefault="009C1C2B" w:rsidP="009C1C2B">
      <w:pPr>
        <w:spacing w:after="0" w:line="240" w:lineRule="auto"/>
        <w:jc w:val="both"/>
        <w:rPr>
          <w:rFonts w:ascii="Times New Roman" w:hAnsi="Times New Roman"/>
          <w:sz w:val="20"/>
          <w:szCs w:val="20"/>
          <w:highlight w:val="cyan"/>
        </w:rPr>
      </w:pPr>
    </w:p>
    <w:p w14:paraId="07030D99" w14:textId="33870A30" w:rsidR="009C1C2B" w:rsidRPr="00A53AD7" w:rsidRDefault="009C1C2B" w:rsidP="00FF15D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«Улучшение условий ведения предпринимательской деятельности» (ответственный исполнитель - минэкономразвития АО)</w:t>
      </w:r>
    </w:p>
    <w:p w14:paraId="1B2D5BC9" w14:textId="2CA8FA9F"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2019 год финансирование мероприятий регионального проекта «Улучшение условий ведения предпринимательской деятельности», а также достижение показателей не предусмотр</w:t>
      </w:r>
      <w:r w:rsidR="00FF15DD" w:rsidRPr="00A53AD7">
        <w:rPr>
          <w:rFonts w:ascii="Times New Roman" w:hAnsi="Times New Roman"/>
          <w:sz w:val="28"/>
          <w:szCs w:val="28"/>
        </w:rPr>
        <w:t>ено.</w:t>
      </w:r>
    </w:p>
    <w:p w14:paraId="3626E026" w14:textId="7C8A7720" w:rsidR="009C1C2B" w:rsidRPr="00A53AD7" w:rsidRDefault="009C1C2B"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достижении значений результатов, установленных в Приложении № 2 к соглашению о реализации регионального проекта «Улучшение условий ведения предпринимательской деятельности</w:t>
      </w:r>
      <w:r w:rsidR="00992A76" w:rsidRPr="00A53AD7">
        <w:rPr>
          <w:rFonts w:ascii="Times New Roman" w:hAnsi="Times New Roman"/>
          <w:sz w:val="28"/>
          <w:szCs w:val="28"/>
        </w:rPr>
        <w:t>», представлены в таблице ниже:</w:t>
      </w:r>
    </w:p>
    <w:tbl>
      <w:tblPr>
        <w:tblStyle w:val="a7"/>
        <w:tblW w:w="9374" w:type="dxa"/>
        <w:tblInd w:w="108" w:type="dxa"/>
        <w:tblLayout w:type="fixed"/>
        <w:tblLook w:val="04A0" w:firstRow="1" w:lastRow="0" w:firstColumn="1" w:lastColumn="0" w:noHBand="0" w:noVBand="1"/>
      </w:tblPr>
      <w:tblGrid>
        <w:gridCol w:w="3846"/>
        <w:gridCol w:w="1276"/>
        <w:gridCol w:w="992"/>
        <w:gridCol w:w="1134"/>
        <w:gridCol w:w="992"/>
        <w:gridCol w:w="1134"/>
      </w:tblGrid>
      <w:tr w:rsidR="00D470B6" w:rsidRPr="00A53AD7" w14:paraId="5A6374CE" w14:textId="77777777" w:rsidTr="00FF15DD">
        <w:trPr>
          <w:trHeight w:val="1380"/>
        </w:trPr>
        <w:tc>
          <w:tcPr>
            <w:tcW w:w="3846" w:type="dxa"/>
            <w:tcBorders>
              <w:top w:val="double" w:sz="4" w:space="0" w:color="auto"/>
              <w:left w:val="double" w:sz="4" w:space="0" w:color="auto"/>
            </w:tcBorders>
            <w:vAlign w:val="center"/>
          </w:tcPr>
          <w:p w14:paraId="0C71D924"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результата, мероприятия, контрольной точки</w:t>
            </w:r>
          </w:p>
        </w:tc>
        <w:tc>
          <w:tcPr>
            <w:tcW w:w="1276" w:type="dxa"/>
            <w:tcBorders>
              <w:top w:val="double" w:sz="4" w:space="0" w:color="auto"/>
            </w:tcBorders>
            <w:vAlign w:val="center"/>
          </w:tcPr>
          <w:p w14:paraId="06A3EA90"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Тип результата</w:t>
            </w:r>
          </w:p>
        </w:tc>
        <w:tc>
          <w:tcPr>
            <w:tcW w:w="992" w:type="dxa"/>
            <w:tcBorders>
              <w:top w:val="double" w:sz="4" w:space="0" w:color="auto"/>
            </w:tcBorders>
            <w:vAlign w:val="center"/>
          </w:tcPr>
          <w:p w14:paraId="596A376E"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1134" w:type="dxa"/>
            <w:tcBorders>
              <w:top w:val="double" w:sz="4" w:space="0" w:color="auto"/>
            </w:tcBorders>
            <w:vAlign w:val="center"/>
          </w:tcPr>
          <w:p w14:paraId="5ADD5BB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Плановое</w:t>
            </w:r>
          </w:p>
          <w:p w14:paraId="79154742"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значение результата на 2019 год</w:t>
            </w:r>
          </w:p>
        </w:tc>
        <w:tc>
          <w:tcPr>
            <w:tcW w:w="992" w:type="dxa"/>
            <w:tcBorders>
              <w:top w:val="double" w:sz="4" w:space="0" w:color="auto"/>
              <w:right w:val="nil"/>
            </w:tcBorders>
            <w:vAlign w:val="center"/>
          </w:tcPr>
          <w:p w14:paraId="405BBADE"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результата за 2019 год</w:t>
            </w:r>
          </w:p>
        </w:tc>
        <w:tc>
          <w:tcPr>
            <w:tcW w:w="1134" w:type="dxa"/>
            <w:tcBorders>
              <w:top w:val="double" w:sz="4" w:space="0" w:color="auto"/>
              <w:right w:val="double" w:sz="4" w:space="0" w:color="auto"/>
            </w:tcBorders>
            <w:vAlign w:val="center"/>
          </w:tcPr>
          <w:p w14:paraId="1A1CB549"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Дата достижения результата</w:t>
            </w:r>
          </w:p>
        </w:tc>
      </w:tr>
      <w:tr w:rsidR="009C1C2B" w:rsidRPr="00A53AD7" w14:paraId="24ADAE1A" w14:textId="77777777" w:rsidTr="00FF15DD">
        <w:tc>
          <w:tcPr>
            <w:tcW w:w="3846" w:type="dxa"/>
            <w:tcBorders>
              <w:left w:val="double" w:sz="4" w:space="0" w:color="auto"/>
              <w:bottom w:val="double" w:sz="4" w:space="0" w:color="auto"/>
            </w:tcBorders>
            <w:vAlign w:val="center"/>
          </w:tcPr>
          <w:p w14:paraId="3484E106" w14:textId="77777777" w:rsidR="009C1C2B" w:rsidRPr="00A53AD7" w:rsidRDefault="009C1C2B" w:rsidP="00FF15DD">
            <w:pPr>
              <w:spacing w:after="0" w:line="240" w:lineRule="auto"/>
              <w:rPr>
                <w:rFonts w:ascii="Times New Roman" w:hAnsi="Times New Roman"/>
                <w:sz w:val="20"/>
                <w:szCs w:val="20"/>
              </w:rPr>
            </w:pPr>
            <w:r w:rsidRPr="00A53AD7">
              <w:rPr>
                <w:rFonts w:ascii="Times New Roman" w:hAnsi="Times New Roman"/>
                <w:sz w:val="20"/>
                <w:szCs w:val="20"/>
              </w:rPr>
              <w:t xml:space="preserve">В Архангельской области проведено информирование граждан региона о реализации пилотного проекта специального налогового режима для самозанятых граждан. </w:t>
            </w:r>
          </w:p>
        </w:tc>
        <w:tc>
          <w:tcPr>
            <w:tcW w:w="1276" w:type="dxa"/>
            <w:tcBorders>
              <w:bottom w:val="double" w:sz="4" w:space="0" w:color="auto"/>
            </w:tcBorders>
            <w:vAlign w:val="center"/>
          </w:tcPr>
          <w:p w14:paraId="68B96304"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Оказание услуг (выполнение работ)</w:t>
            </w:r>
          </w:p>
        </w:tc>
        <w:tc>
          <w:tcPr>
            <w:tcW w:w="992" w:type="dxa"/>
            <w:tcBorders>
              <w:bottom w:val="double" w:sz="4" w:space="0" w:color="auto"/>
            </w:tcBorders>
            <w:vAlign w:val="center"/>
          </w:tcPr>
          <w:p w14:paraId="2B18875E"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w:t>
            </w:r>
          </w:p>
        </w:tc>
        <w:tc>
          <w:tcPr>
            <w:tcW w:w="1134" w:type="dxa"/>
            <w:tcBorders>
              <w:bottom w:val="double" w:sz="4" w:space="0" w:color="auto"/>
            </w:tcBorders>
            <w:vAlign w:val="center"/>
          </w:tcPr>
          <w:p w14:paraId="670DDEB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w:t>
            </w:r>
          </w:p>
        </w:tc>
        <w:tc>
          <w:tcPr>
            <w:tcW w:w="992" w:type="dxa"/>
            <w:tcBorders>
              <w:bottom w:val="double" w:sz="4" w:space="0" w:color="auto"/>
            </w:tcBorders>
            <w:vAlign w:val="center"/>
          </w:tcPr>
          <w:p w14:paraId="1A26DE57"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1</w:t>
            </w:r>
          </w:p>
        </w:tc>
        <w:tc>
          <w:tcPr>
            <w:tcW w:w="1134" w:type="dxa"/>
            <w:tcBorders>
              <w:bottom w:val="double" w:sz="4" w:space="0" w:color="auto"/>
              <w:right w:val="double" w:sz="4" w:space="0" w:color="auto"/>
            </w:tcBorders>
            <w:vAlign w:val="center"/>
          </w:tcPr>
          <w:p w14:paraId="602C75BD" w14:textId="77777777" w:rsidR="009C1C2B" w:rsidRPr="00A53AD7" w:rsidRDefault="009C1C2B" w:rsidP="00FF15DD">
            <w:pPr>
              <w:spacing w:after="0" w:line="240" w:lineRule="auto"/>
              <w:jc w:val="center"/>
              <w:rPr>
                <w:rFonts w:ascii="Times New Roman" w:hAnsi="Times New Roman"/>
                <w:sz w:val="20"/>
                <w:szCs w:val="20"/>
              </w:rPr>
            </w:pPr>
            <w:r w:rsidRPr="00A53AD7">
              <w:rPr>
                <w:rFonts w:ascii="Times New Roman" w:hAnsi="Times New Roman"/>
                <w:sz w:val="20"/>
                <w:szCs w:val="20"/>
              </w:rPr>
              <w:t>28.01.2019</w:t>
            </w:r>
          </w:p>
        </w:tc>
      </w:tr>
    </w:tbl>
    <w:p w14:paraId="7ACE3BFD" w14:textId="77777777" w:rsidR="009C1C2B" w:rsidRPr="00A53AD7" w:rsidRDefault="009C1C2B" w:rsidP="009C1C2B">
      <w:pPr>
        <w:spacing w:after="0" w:line="240" w:lineRule="auto"/>
        <w:ind w:firstLine="851"/>
        <w:jc w:val="both"/>
        <w:rPr>
          <w:rFonts w:ascii="Times New Roman" w:hAnsi="Times New Roman"/>
          <w:sz w:val="28"/>
          <w:szCs w:val="28"/>
        </w:rPr>
      </w:pPr>
    </w:p>
    <w:p w14:paraId="57C20CEB" w14:textId="21F94378" w:rsidR="00992A76" w:rsidRPr="00A53AD7" w:rsidRDefault="00992A76" w:rsidP="00992A76">
      <w:pPr>
        <w:spacing w:after="0" w:line="240" w:lineRule="auto"/>
        <w:jc w:val="center"/>
        <w:rPr>
          <w:rFonts w:ascii="Times New Roman" w:hAnsi="Times New Roman"/>
          <w:b/>
          <w:snapToGrid w:val="0"/>
          <w:sz w:val="28"/>
          <w:szCs w:val="28"/>
          <w:highlight w:val="cyan"/>
        </w:rPr>
      </w:pPr>
      <w:r w:rsidRPr="00A53AD7">
        <w:rPr>
          <w:rFonts w:ascii="Times New Roman" w:hAnsi="Times New Roman"/>
          <w:b/>
          <w:i/>
          <w:sz w:val="28"/>
          <w:szCs w:val="28"/>
        </w:rPr>
        <w:t>Региональный проект «Создание системы поддержки и развитие сельской кооперации</w:t>
      </w:r>
      <w:r w:rsidR="00682874" w:rsidRPr="00A53AD7">
        <w:rPr>
          <w:rFonts w:ascii="Times New Roman" w:hAnsi="Times New Roman"/>
          <w:b/>
          <w:i/>
          <w:sz w:val="28"/>
          <w:szCs w:val="28"/>
        </w:rPr>
        <w:t>»</w:t>
      </w:r>
    </w:p>
    <w:p w14:paraId="4A768855"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Целью реализации РП «Создание системы поддержки и развитие сельской кооперации (Архангельская область)» (далее – РП «Фермер») является обеспечение количества вновь вовлеченных в субъекты малого и среднего предпринимательства (МСП) в сельском хозяйстве в 2019 году не менее 17 человек, в 2020 году – 16 человек; создание и развитие субъектов МСП в АПК, в том числе крестьянских (фермерских) хозяйств и сельскохозяйственных потребительских кооперативов.</w:t>
      </w:r>
    </w:p>
    <w:p w14:paraId="40591379"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Результатом регионального проекта является количество крестьянских (фермерских) хозяйств и сельскохозяйственных потребительских кооперативов, получивших государственную поддержку, в том числе в рамках федерального проекта "Создание системы поддержки фермеров и развитие сельской кооперации", на 30.12.2024 – 18 единиц, на 2019 год показатель определен в количестве 3 единицы.</w:t>
      </w:r>
    </w:p>
    <w:p w14:paraId="344CE6B2"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реализацию мероприятий РП «Фермер» за счёт средств федерального и областного бюджета предусмотрено 9,4 млн.руб. и распределены по следующим мероприятиям:</w:t>
      </w:r>
    </w:p>
    <w:p w14:paraId="053AF70F" w14:textId="046CDFF7" w:rsidR="00992A76" w:rsidRPr="00A53AD7" w:rsidRDefault="00992A76" w:rsidP="00CA1DDD">
      <w:pPr>
        <w:pStyle w:val="a8"/>
        <w:numPr>
          <w:ilvl w:val="0"/>
          <w:numId w:val="43"/>
        </w:numPr>
        <w:ind w:left="0" w:firstLine="839"/>
        <w:jc w:val="both"/>
        <w:rPr>
          <w:sz w:val="28"/>
          <w:szCs w:val="28"/>
        </w:rPr>
      </w:pPr>
      <w:r w:rsidRPr="00A53AD7">
        <w:rPr>
          <w:sz w:val="28"/>
          <w:szCs w:val="28"/>
        </w:rPr>
        <w:t>грантовая поддержка К(Ф)Х в сумме 5,5 млн.руб., в том числе за счет областного бюджета 0,1 млн.руб. (грант "Агростартап");</w:t>
      </w:r>
    </w:p>
    <w:p w14:paraId="4224BD5C" w14:textId="18EDAF1C" w:rsidR="00992A76" w:rsidRPr="00A53AD7" w:rsidRDefault="00992A76" w:rsidP="00CA1DDD">
      <w:pPr>
        <w:pStyle w:val="a8"/>
        <w:numPr>
          <w:ilvl w:val="0"/>
          <w:numId w:val="43"/>
        </w:numPr>
        <w:ind w:left="0" w:firstLine="839"/>
        <w:jc w:val="both"/>
        <w:rPr>
          <w:sz w:val="28"/>
          <w:szCs w:val="28"/>
        </w:rPr>
      </w:pPr>
      <w:r w:rsidRPr="00A53AD7">
        <w:rPr>
          <w:sz w:val="28"/>
          <w:szCs w:val="28"/>
        </w:rPr>
        <w:t>предоставление субсидий сельскохозяйственным потребительским кооператива в сумме 3,22 млн.руб., в том числе за счет областного бюджета 0,06 млн.руб.;</w:t>
      </w:r>
    </w:p>
    <w:p w14:paraId="16815422" w14:textId="10FB5FC3" w:rsidR="00992A76" w:rsidRPr="00A53AD7" w:rsidRDefault="00992A76" w:rsidP="00CA1DDD">
      <w:pPr>
        <w:pStyle w:val="a8"/>
        <w:numPr>
          <w:ilvl w:val="0"/>
          <w:numId w:val="43"/>
        </w:numPr>
        <w:ind w:left="0" w:firstLine="839"/>
        <w:jc w:val="both"/>
        <w:rPr>
          <w:sz w:val="28"/>
          <w:szCs w:val="28"/>
        </w:rPr>
      </w:pPr>
      <w:r w:rsidRPr="00A53AD7">
        <w:rPr>
          <w:sz w:val="28"/>
          <w:szCs w:val="28"/>
        </w:rPr>
        <w:t>предоставление субсидий центру компетенций в сфере сельскохозяйственной кооперации и поддержки фермеров в сумме 0,637 млн.руб., в том числе за счет областного бюджета 0,573 млн.руб.</w:t>
      </w:r>
    </w:p>
    <w:p w14:paraId="7A854A6E"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из федерального бюджета на реализацию. мероприятий РП «Фермер» поступило 5,5 млн.руб. Расходы за счет средств федерального и областного бюджета составили 6,2 млн.руб., исполнение 65,9%. Не использованы бюджетные средства, предусмотренные в виде субсидий сельскохозяйственным потребительским кооперативам.</w:t>
      </w:r>
    </w:p>
    <w:p w14:paraId="668552FF"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протоколу заседания единой комиссии по проведению конкурсного отбора для предоставления грантов малым формам хозяйствования для предоставления грантов «Агростартап» на создание и развитие К(Ф)Х от 09.08.2019 к участию в конкурсе было допущено 4 заявителя, признаны победителями 2 К(Ф)Х. Бюджетные средства в сумме 5,520 млн.руб. перечислены двум К(Ф)Х, осуществляющим свою деятельность на территориях Каргопольского и Устьянского района.</w:t>
      </w:r>
    </w:p>
    <w:p w14:paraId="23CDF65A"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министерством АПК, К(Ф)Х и муниципальным образованием, на территории которого осуществляет деятельность К(Ф)Х заключены трехсторонние соглашения по предоставлению субсидий из областного бюджета для финансового обеспечения затрат, связанных с поставкой товаров, выполнением работ, оказанием услуг в целях реализации следующих проектов:</w:t>
      </w:r>
    </w:p>
    <w:p w14:paraId="2F709BE2" w14:textId="364A290B" w:rsidR="00992A76" w:rsidRPr="00A53AD7" w:rsidRDefault="00992A76" w:rsidP="00CA1DDD">
      <w:pPr>
        <w:pStyle w:val="a8"/>
        <w:numPr>
          <w:ilvl w:val="0"/>
          <w:numId w:val="43"/>
        </w:numPr>
        <w:ind w:left="0" w:firstLine="839"/>
        <w:jc w:val="both"/>
        <w:rPr>
          <w:sz w:val="28"/>
          <w:szCs w:val="28"/>
        </w:rPr>
      </w:pPr>
      <w:r w:rsidRPr="00A53AD7">
        <w:rPr>
          <w:sz w:val="28"/>
          <w:szCs w:val="28"/>
        </w:rPr>
        <w:t>«Создание и развитие К(Ф)Х по направлению «овощеводство (выращивание и реализация картофеля и овощей)», средства из областного бюджета в сумме 3,0 млн.руб. выделены на ремонт картофелехранилища;</w:t>
      </w:r>
    </w:p>
    <w:p w14:paraId="0E1907FE" w14:textId="0A3DE049" w:rsidR="00992A76" w:rsidRPr="00A53AD7" w:rsidRDefault="00992A76" w:rsidP="00CA1DDD">
      <w:pPr>
        <w:pStyle w:val="a8"/>
        <w:numPr>
          <w:ilvl w:val="0"/>
          <w:numId w:val="43"/>
        </w:numPr>
        <w:ind w:left="0" w:firstLine="839"/>
        <w:jc w:val="both"/>
        <w:rPr>
          <w:sz w:val="28"/>
          <w:szCs w:val="28"/>
        </w:rPr>
      </w:pPr>
      <w:r w:rsidRPr="00A53AD7">
        <w:rPr>
          <w:sz w:val="28"/>
          <w:szCs w:val="28"/>
        </w:rPr>
        <w:t xml:space="preserve">«Создание и развитие К(Ф)Х по направлению «разведение крупного рогатого скота», средств в сумме 2,520 млн.руб. выделены на покупку трактора и 50 голов молодняка КРС. </w:t>
      </w:r>
    </w:p>
    <w:p w14:paraId="71545B69"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Срок освоения средств гранта "Агростартап" составляет не более 18 месяцев со дня получения средств. </w:t>
      </w:r>
    </w:p>
    <w:p w14:paraId="4C43B791"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Центром компетенций (далее – ЦК) в сфере сельскохозяйственной кооперации и поддержки фермеров для целей оказания информационно-консультационной и методологической помощи, сопровождения при подготовке бизнес-планов, технико-экономических обоснований и документов на получение субсидий (грантов), определена АНО АО «Агентство регионального развития» (далее – центр компетенции или ЦК).</w:t>
      </w:r>
    </w:p>
    <w:p w14:paraId="5CE60938" w14:textId="4670F7B1"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Между министерством АПК и центром компетенции заключено два соглашения от 18.11.2019 и 20.12.2019 на предоставление субсидий из областного бюджета на обеспечение деятельности центра компетенции, объём финансирования определен в сумме 0,637 млн.руб.</w:t>
      </w:r>
    </w:p>
    <w:p w14:paraId="184C70B4" w14:textId="7AEAFABF"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Соглашениями определены 6 показателей результативности использования субсидии. При этом, показатели результативности (по наименованиям), отраженные в соглашениях не соответствуют показателям эффективности деятельности центра компетенции, определённым Приказом Министерства сельского хозяйства РФ от 06.05.2019 № 238 «Об утверждении перечней, форм документов, предусмотренных Правилами предоставления и распределения иных межбюджетных трансфертов из федерального бюджета бюджетам субъектов Российской Федерации на создание системы поддержки фермеров и развитие сельской кооперации, утвержденными постановлением Правительства Российской Федерации от 20 апреля 2019 г. № 476, а также об установлении сроков их представления» (далее – Приказ № 238).</w:t>
      </w:r>
    </w:p>
    <w:p w14:paraId="478C5838"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Приказу № 238 показателями результативности деятельности центра компетенции является:</w:t>
      </w:r>
    </w:p>
    <w:p w14:paraId="6E214A56" w14:textId="48D84880" w:rsidR="00992A76" w:rsidRPr="00A53AD7" w:rsidRDefault="00992A76" w:rsidP="00CA1DDD">
      <w:pPr>
        <w:pStyle w:val="a8"/>
        <w:numPr>
          <w:ilvl w:val="0"/>
          <w:numId w:val="43"/>
        </w:numPr>
        <w:ind w:left="0" w:firstLine="839"/>
        <w:jc w:val="both"/>
        <w:rPr>
          <w:sz w:val="28"/>
          <w:szCs w:val="28"/>
        </w:rPr>
      </w:pPr>
      <w:r w:rsidRPr="00A53AD7">
        <w:rPr>
          <w:sz w:val="28"/>
          <w:szCs w:val="28"/>
        </w:rPr>
        <w:t>количество субъектов МСП и сельскохозяйственных кооперативов, получивших услуги ЦК по оформлению документов на получение государственной поддержки и фактически получивших средства государственной поддержки в результате оказания таких услуг, к общему объему заявителей, обратившихся в ЦК за указанной услугой (единиц);</w:t>
      </w:r>
    </w:p>
    <w:p w14:paraId="0E2DB7F6" w14:textId="4DFC4A3E" w:rsidR="00992A76" w:rsidRPr="00A53AD7" w:rsidRDefault="00992A76" w:rsidP="00CA1DDD">
      <w:pPr>
        <w:pStyle w:val="a8"/>
        <w:numPr>
          <w:ilvl w:val="0"/>
          <w:numId w:val="43"/>
        </w:numPr>
        <w:ind w:left="0" w:firstLine="839"/>
        <w:jc w:val="both"/>
        <w:rPr>
          <w:sz w:val="28"/>
          <w:szCs w:val="28"/>
        </w:rPr>
      </w:pPr>
      <w:r w:rsidRPr="00A53AD7">
        <w:rPr>
          <w:sz w:val="28"/>
          <w:szCs w:val="28"/>
        </w:rPr>
        <w:t>количество субъектов МСП и сельскохозяйственных кооперативов, получивших услуги ЦК по оформлению документов на получение заемного финансирования/лизинга и фактически заключивших кредитные/лизинговые договоры в результате оказания таких услуг, к общему объему заявителей, обратившихся в ЦК за указанной услугой (единиц).</w:t>
      </w:r>
    </w:p>
    <w:p w14:paraId="0AF70F71"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Соглашениями определена доля (процент), а не количество (единиц).</w:t>
      </w:r>
    </w:p>
    <w:p w14:paraId="431828EF" w14:textId="4516B0E0"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результатах деятельности центра компетенции за 2019 год не выполнен один показатель «доля субъектов МСП и сельскохозяйственных кооперативов, получивших услуги центра компетенции по оформлению документов на получение государственной поддержки и фактически получивших средства государственной поддержки в результате оказания таких услуг, к общему объему заявителей, обратившихся в центр компетенции за указанной услугой» (0 процентов).</w:t>
      </w:r>
    </w:p>
    <w:p w14:paraId="10E72C39" w14:textId="2C2FAEB1"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Количество К(Ф)Х, получивших услуги в ЦК безвозмездно - 1 ед.; количество проведенных семинаров - совещаний, конференций – 0.</w:t>
      </w:r>
    </w:p>
    <w:p w14:paraId="0F98408E"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Перечислено в 2019 году центру компетенции в сумме 0,637 млн.руб.. Согласно отчету о расходах на 31.12.2019 выплаты составили 0,517 млн.руб., остаток 0,119 млн.руб. Целевые средства направлены на оплату труда, страховые взносы, приобретение мебели, приобретение техники. Основная часть, а именно 0,312 млн.руб., в соответствии с соглашением, направлена на погашение займа с учетом процентов, полученного ЦК в 2019 году на проведение исследований и написание программы деятельности ЦК.</w:t>
      </w:r>
    </w:p>
    <w:p w14:paraId="5EF143C0"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отчету (сведениям) </w:t>
      </w:r>
      <w:bookmarkStart w:id="113" w:name="100148"/>
      <w:bookmarkEnd w:id="113"/>
      <w:r w:rsidRPr="00A53AD7">
        <w:rPr>
          <w:rFonts w:ascii="Times New Roman" w:hAnsi="Times New Roman"/>
          <w:sz w:val="28"/>
          <w:szCs w:val="28"/>
        </w:rPr>
        <w:t xml:space="preserve">о достижении целевых показателей государственной программы Архангельской области по итогам 2019 года (информация размещена на сайте </w:t>
      </w:r>
      <w:hyperlink r:id="rId109" w:history="1">
        <w:r w:rsidRPr="00A53AD7">
          <w:rPr>
            <w:rFonts w:ascii="Times New Roman" w:hAnsi="Times New Roman"/>
            <w:sz w:val="28"/>
            <w:szCs w:val="28"/>
          </w:rPr>
          <w:t>https://kias.dvinaland.ru</w:t>
        </w:r>
      </w:hyperlink>
      <w:r w:rsidRPr="00A53AD7">
        <w:rPr>
          <w:rFonts w:ascii="Times New Roman" w:hAnsi="Times New Roman"/>
          <w:sz w:val="28"/>
          <w:szCs w:val="28"/>
        </w:rPr>
        <w:t>) из четырех показателей, установленных на 2019 год Соглашением от 29.01.2019, два не выполнены (см. таблицу ниже).</w:t>
      </w:r>
    </w:p>
    <w:p w14:paraId="52AEB7C1" w14:textId="321595D9" w:rsidR="00992A76" w:rsidRPr="00A53AD7" w:rsidRDefault="00992A76" w:rsidP="00992A76">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Необходимо также отметить, что показатель «Количество работников, зарегистрированных в Пенсионном фонде Российской Федерации, Фонде социального страхования Российской Федерации, принятых крестьянскими (фермерскими) хозяйствами в году получения грантов "Агростартап" отражен по условиям двух соглашений, заключенных с победителями конкурса и получивших гранты (по условиям соглашений участники должны создать по 3 рабочих места).</w:t>
      </w:r>
    </w:p>
    <w:tbl>
      <w:tblPr>
        <w:tblW w:w="9116"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572"/>
        <w:gridCol w:w="993"/>
        <w:gridCol w:w="708"/>
        <w:gridCol w:w="851"/>
        <w:gridCol w:w="992"/>
      </w:tblGrid>
      <w:tr w:rsidR="00D470B6" w:rsidRPr="00A53AD7" w14:paraId="304169E8" w14:textId="77777777" w:rsidTr="00992A76">
        <w:trPr>
          <w:trHeight w:val="1000"/>
        </w:trPr>
        <w:tc>
          <w:tcPr>
            <w:tcW w:w="5572" w:type="dxa"/>
            <w:shd w:val="clear" w:color="auto" w:fill="auto"/>
            <w:vAlign w:val="center"/>
            <w:hideMark/>
          </w:tcPr>
          <w:p w14:paraId="13CC3A70"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целевого показателя</w:t>
            </w:r>
          </w:p>
        </w:tc>
        <w:tc>
          <w:tcPr>
            <w:tcW w:w="993" w:type="dxa"/>
            <w:shd w:val="clear" w:color="auto" w:fill="auto"/>
            <w:vAlign w:val="center"/>
            <w:hideMark/>
          </w:tcPr>
          <w:p w14:paraId="1CEA8D91"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 измерения</w:t>
            </w:r>
          </w:p>
        </w:tc>
        <w:tc>
          <w:tcPr>
            <w:tcW w:w="708" w:type="dxa"/>
            <w:shd w:val="clear" w:color="000000" w:fill="FFFFFF"/>
            <w:vAlign w:val="center"/>
            <w:hideMark/>
          </w:tcPr>
          <w:p w14:paraId="6D45B3F6"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 на 2019 год</w:t>
            </w:r>
          </w:p>
        </w:tc>
        <w:tc>
          <w:tcPr>
            <w:tcW w:w="851" w:type="dxa"/>
            <w:shd w:val="clear" w:color="000000" w:fill="FFFFFF"/>
            <w:vAlign w:val="center"/>
            <w:hideMark/>
          </w:tcPr>
          <w:p w14:paraId="2615DEBA"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 по итогам за 2019 год</w:t>
            </w:r>
          </w:p>
        </w:tc>
        <w:tc>
          <w:tcPr>
            <w:tcW w:w="992" w:type="dxa"/>
            <w:shd w:val="clear" w:color="000000" w:fill="FFFFFF"/>
            <w:vAlign w:val="center"/>
            <w:hideMark/>
          </w:tcPr>
          <w:p w14:paraId="300E50E0"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Степень достижения показателя, %</w:t>
            </w:r>
          </w:p>
        </w:tc>
      </w:tr>
      <w:tr w:rsidR="00D470B6" w:rsidRPr="00A53AD7" w14:paraId="5E2E5CF0" w14:textId="77777777" w:rsidTr="00992A76">
        <w:trPr>
          <w:trHeight w:val="1108"/>
        </w:trPr>
        <w:tc>
          <w:tcPr>
            <w:tcW w:w="5572" w:type="dxa"/>
            <w:shd w:val="clear" w:color="auto" w:fill="auto"/>
            <w:vAlign w:val="center"/>
            <w:hideMark/>
          </w:tcPr>
          <w:p w14:paraId="5888BC87" w14:textId="2E1F656B" w:rsidR="00992A76" w:rsidRPr="00A53AD7" w:rsidRDefault="00992A76" w:rsidP="0039742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r w:rsidR="00BE64ED"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Количество вовлеченных в субъекты МСП, осуществляющие деятельность в сфере сельского хозяйства, в том числе за счет средств государственной поддержки, в рамках ФП "Создание системы поддержки фермеров и развитие сельской кооперации"</w:t>
            </w:r>
          </w:p>
        </w:tc>
        <w:tc>
          <w:tcPr>
            <w:tcW w:w="993" w:type="dxa"/>
            <w:shd w:val="clear" w:color="auto" w:fill="auto"/>
            <w:vAlign w:val="center"/>
            <w:hideMark/>
          </w:tcPr>
          <w:p w14:paraId="10B55951"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человек</w:t>
            </w:r>
          </w:p>
        </w:tc>
        <w:tc>
          <w:tcPr>
            <w:tcW w:w="708" w:type="dxa"/>
            <w:shd w:val="clear" w:color="000000" w:fill="FFFFFF"/>
            <w:vAlign w:val="center"/>
            <w:hideMark/>
          </w:tcPr>
          <w:p w14:paraId="18303CD7"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851" w:type="dxa"/>
            <w:shd w:val="clear" w:color="000000" w:fill="FFFFFF"/>
            <w:vAlign w:val="center"/>
            <w:hideMark/>
          </w:tcPr>
          <w:p w14:paraId="0D9AB15E"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w:t>
            </w:r>
          </w:p>
        </w:tc>
        <w:tc>
          <w:tcPr>
            <w:tcW w:w="992" w:type="dxa"/>
            <w:shd w:val="clear" w:color="000000" w:fill="FFFFFF"/>
            <w:vAlign w:val="center"/>
            <w:hideMark/>
          </w:tcPr>
          <w:p w14:paraId="02930B8A" w14:textId="77777777" w:rsidR="00992A76" w:rsidRPr="00A53AD7" w:rsidRDefault="00992A76" w:rsidP="0039742D">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47,10</w:t>
            </w:r>
          </w:p>
        </w:tc>
      </w:tr>
      <w:tr w:rsidR="00D470B6" w:rsidRPr="00A53AD7" w14:paraId="71CEB631" w14:textId="77777777" w:rsidTr="00992A76">
        <w:trPr>
          <w:trHeight w:val="836"/>
        </w:trPr>
        <w:tc>
          <w:tcPr>
            <w:tcW w:w="5572" w:type="dxa"/>
            <w:shd w:val="clear" w:color="auto" w:fill="auto"/>
            <w:vAlign w:val="center"/>
            <w:hideMark/>
          </w:tcPr>
          <w:p w14:paraId="33B038AF" w14:textId="05827DC3" w:rsidR="00992A76" w:rsidRPr="00A53AD7" w:rsidRDefault="00992A76" w:rsidP="0039742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r w:rsidR="00BE64ED"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Количество работников, зарегистрированных в Пенсионном фонде РФ, Фонде социального страхования Российской Федерации, принятых К(Ф)Х в году получения грантов "Агростартап".</w:t>
            </w:r>
          </w:p>
        </w:tc>
        <w:tc>
          <w:tcPr>
            <w:tcW w:w="993" w:type="dxa"/>
            <w:shd w:val="clear" w:color="auto" w:fill="auto"/>
            <w:vAlign w:val="center"/>
            <w:hideMark/>
          </w:tcPr>
          <w:p w14:paraId="0A7B65B9"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человек</w:t>
            </w:r>
          </w:p>
        </w:tc>
        <w:tc>
          <w:tcPr>
            <w:tcW w:w="708" w:type="dxa"/>
            <w:shd w:val="clear" w:color="000000" w:fill="FFFFFF"/>
            <w:vAlign w:val="center"/>
            <w:hideMark/>
          </w:tcPr>
          <w:p w14:paraId="3AFA1D02"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p>
        </w:tc>
        <w:tc>
          <w:tcPr>
            <w:tcW w:w="851" w:type="dxa"/>
            <w:shd w:val="clear" w:color="000000" w:fill="FFFFFF"/>
            <w:vAlign w:val="center"/>
            <w:hideMark/>
          </w:tcPr>
          <w:p w14:paraId="2837B569"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w:t>
            </w:r>
          </w:p>
        </w:tc>
        <w:tc>
          <w:tcPr>
            <w:tcW w:w="992" w:type="dxa"/>
            <w:shd w:val="clear" w:color="000000" w:fill="FFFFFF"/>
            <w:vAlign w:val="center"/>
            <w:hideMark/>
          </w:tcPr>
          <w:p w14:paraId="7C375542"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150,00</w:t>
            </w:r>
          </w:p>
        </w:tc>
      </w:tr>
      <w:tr w:rsidR="00D470B6" w:rsidRPr="00A53AD7" w14:paraId="08F0A520" w14:textId="77777777" w:rsidTr="00992A76">
        <w:trPr>
          <w:trHeight w:val="906"/>
        </w:trPr>
        <w:tc>
          <w:tcPr>
            <w:tcW w:w="5572" w:type="dxa"/>
            <w:shd w:val="clear" w:color="auto" w:fill="auto"/>
            <w:vAlign w:val="center"/>
            <w:hideMark/>
          </w:tcPr>
          <w:p w14:paraId="22306153" w14:textId="7A1F44AE" w:rsidR="00992A76" w:rsidRPr="00A53AD7" w:rsidRDefault="00992A76" w:rsidP="0039742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r w:rsidR="00BE64ED"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Количество принятых членов сельскохозяйственных потребительских кооперативов (кроме кредитных) из числа субъектов МСП, включая личных подсобных хозяйств и К(Ф)Х, в году предоставления государственной поддержки</w:t>
            </w:r>
          </w:p>
        </w:tc>
        <w:tc>
          <w:tcPr>
            <w:tcW w:w="993" w:type="dxa"/>
            <w:shd w:val="clear" w:color="auto" w:fill="auto"/>
            <w:vAlign w:val="center"/>
            <w:hideMark/>
          </w:tcPr>
          <w:p w14:paraId="351279CE"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8" w:type="dxa"/>
            <w:shd w:val="clear" w:color="000000" w:fill="FFFFFF"/>
            <w:vAlign w:val="center"/>
            <w:hideMark/>
          </w:tcPr>
          <w:p w14:paraId="20D7A6B5"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w:t>
            </w:r>
          </w:p>
        </w:tc>
        <w:tc>
          <w:tcPr>
            <w:tcW w:w="851" w:type="dxa"/>
            <w:shd w:val="clear" w:color="000000" w:fill="FFFFFF"/>
            <w:vAlign w:val="center"/>
            <w:hideMark/>
          </w:tcPr>
          <w:p w14:paraId="0C23438D"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992" w:type="dxa"/>
            <w:shd w:val="clear" w:color="000000" w:fill="FFFFFF"/>
            <w:vAlign w:val="center"/>
            <w:hideMark/>
          </w:tcPr>
          <w:p w14:paraId="3FE32AE0" w14:textId="77777777" w:rsidR="00992A76" w:rsidRPr="00A53AD7" w:rsidRDefault="00992A76" w:rsidP="0039742D">
            <w:pPr>
              <w:spacing w:after="0" w:line="240" w:lineRule="auto"/>
              <w:jc w:val="center"/>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0,00</w:t>
            </w:r>
          </w:p>
        </w:tc>
      </w:tr>
      <w:tr w:rsidR="00D470B6" w:rsidRPr="00A53AD7" w14:paraId="7CE571CD" w14:textId="77777777" w:rsidTr="00992A76">
        <w:trPr>
          <w:trHeight w:val="641"/>
        </w:trPr>
        <w:tc>
          <w:tcPr>
            <w:tcW w:w="5572" w:type="dxa"/>
            <w:shd w:val="clear" w:color="auto" w:fill="auto"/>
            <w:vAlign w:val="center"/>
            <w:hideMark/>
          </w:tcPr>
          <w:p w14:paraId="12FB769F" w14:textId="1C9AB2CF" w:rsidR="00992A76" w:rsidRPr="00A53AD7" w:rsidRDefault="00992A76" w:rsidP="0039742D">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r w:rsidR="00BE64ED"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Количество вновь созданных субъектов МСП в сельском хозяйстве, включая К(Ф)Х и сельскохозяйственные потребительские кооперативы</w:t>
            </w:r>
          </w:p>
        </w:tc>
        <w:tc>
          <w:tcPr>
            <w:tcW w:w="993" w:type="dxa"/>
            <w:shd w:val="clear" w:color="auto" w:fill="auto"/>
            <w:vAlign w:val="center"/>
            <w:hideMark/>
          </w:tcPr>
          <w:p w14:paraId="54027BDD"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w:t>
            </w:r>
          </w:p>
        </w:tc>
        <w:tc>
          <w:tcPr>
            <w:tcW w:w="708" w:type="dxa"/>
            <w:shd w:val="clear" w:color="000000" w:fill="FFFFFF"/>
            <w:vAlign w:val="center"/>
            <w:hideMark/>
          </w:tcPr>
          <w:p w14:paraId="7E56BFC6"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851" w:type="dxa"/>
            <w:shd w:val="clear" w:color="000000" w:fill="FFFFFF"/>
            <w:vAlign w:val="center"/>
            <w:hideMark/>
          </w:tcPr>
          <w:p w14:paraId="6107FDBF"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w:t>
            </w:r>
          </w:p>
        </w:tc>
        <w:tc>
          <w:tcPr>
            <w:tcW w:w="992" w:type="dxa"/>
            <w:shd w:val="clear" w:color="000000" w:fill="FFFFFF"/>
            <w:vAlign w:val="center"/>
            <w:hideMark/>
          </w:tcPr>
          <w:p w14:paraId="0A9E7B1B" w14:textId="77777777" w:rsidR="00992A76" w:rsidRPr="00A53AD7" w:rsidRDefault="00992A76" w:rsidP="0039742D">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r>
    </w:tbl>
    <w:p w14:paraId="00B81080" w14:textId="77777777" w:rsidR="00992A76" w:rsidRPr="00A53AD7" w:rsidRDefault="00992A76" w:rsidP="00992A76">
      <w:pPr>
        <w:spacing w:after="0" w:line="240" w:lineRule="auto"/>
        <w:ind w:firstLine="851"/>
        <w:jc w:val="both"/>
        <w:rPr>
          <w:rFonts w:ascii="Times New Roman" w:hAnsi="Times New Roman"/>
          <w:sz w:val="28"/>
          <w:szCs w:val="28"/>
        </w:rPr>
      </w:pPr>
    </w:p>
    <w:p w14:paraId="094BD21E"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Причинами невыполнения целевых показателей, согласно пояснениям министерства АПК, являются:</w:t>
      </w:r>
    </w:p>
    <w:p w14:paraId="3CC87A20" w14:textId="0061FBEC" w:rsidR="00992A76" w:rsidRPr="00A53AD7" w:rsidRDefault="00992A76" w:rsidP="00CA1DDD">
      <w:pPr>
        <w:pStyle w:val="a8"/>
        <w:numPr>
          <w:ilvl w:val="0"/>
          <w:numId w:val="43"/>
        </w:numPr>
        <w:ind w:left="0" w:firstLine="839"/>
        <w:jc w:val="both"/>
        <w:rPr>
          <w:sz w:val="28"/>
          <w:szCs w:val="28"/>
        </w:rPr>
      </w:pPr>
      <w:r w:rsidRPr="00A53AD7">
        <w:rPr>
          <w:sz w:val="28"/>
          <w:szCs w:val="28"/>
        </w:rPr>
        <w:t>по показателю № 1 - не созданы сельскохозяйственные потребительские кооперативы;</w:t>
      </w:r>
    </w:p>
    <w:p w14:paraId="7202046D" w14:textId="40D41E6C" w:rsidR="00992A76" w:rsidRPr="00A53AD7" w:rsidRDefault="00992A76" w:rsidP="00CA1DDD">
      <w:pPr>
        <w:pStyle w:val="a8"/>
        <w:numPr>
          <w:ilvl w:val="0"/>
          <w:numId w:val="43"/>
        </w:numPr>
        <w:ind w:left="0" w:firstLine="839"/>
        <w:jc w:val="both"/>
        <w:rPr>
          <w:sz w:val="28"/>
          <w:szCs w:val="28"/>
        </w:rPr>
      </w:pPr>
      <w:r w:rsidRPr="00A53AD7">
        <w:rPr>
          <w:sz w:val="28"/>
          <w:szCs w:val="28"/>
        </w:rPr>
        <w:t>по показателю № 3 - создание сельскохозяйственных потребительских кооперативов предполагает объединение части имущества (денежных взносов) КФХ и ЛПХ, однако, хозяйства, желающие вступить в кооперативы, как правило, имеют низкий уровень платежеспособности и недостаток ликвидного имущества, а платежеспособные хозяйства не заинтересованы вступать в кооперативы, поскольку не имеют проблем с переработкой и сбытом продукции.</w:t>
      </w:r>
    </w:p>
    <w:p w14:paraId="5270AB87"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Указанные выше причины свидетельствуют о рисках недостижения результатов проекта на последующие годы, так результат показателя № 1 к 30.12.2020 должен составить количество вовлеченных в субъекты МСП - 33 человека (17+16), к 30.12.2024 – 106 человек; по результату показателя № 3, соответственно, количество принятых членов сельскохозяйственных потребительских кооперативов - 21 ед. и 70 ед.</w:t>
      </w:r>
    </w:p>
    <w:p w14:paraId="47714378" w14:textId="77777777" w:rsidR="00992A76" w:rsidRPr="00A53AD7" w:rsidRDefault="00992A76" w:rsidP="00992A7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силу того, что деятельность центра компетенций в сфере сельскохозяйственной кооперации и поддержки фермеров направлена именно на обеспечение создания и (или) развития субъектов МСП в области сельского хозяйства, в том числе К(Ф)Х, сельскохозяйственных кооперативов (далее – СПК) и граждан, ведущих личные подсобные хозяйства, на сельских территориях, и на его деятельность выделяются бюджетные средства, возникает вероятность реализации мероприятий, не оказывающих влияния на достижение целевых показателей – обеспечению установленного количества вновь вовлеченных в субъекты МСП и принятых членов СПК и, как следствие, неэффективного расходования бюджетных средств.</w:t>
      </w:r>
    </w:p>
    <w:p w14:paraId="216F2EF4" w14:textId="7F19145D" w:rsidR="00FF15DD" w:rsidRPr="00A53AD7" w:rsidRDefault="00FF15DD" w:rsidP="00FF15DD">
      <w:pPr>
        <w:keepNext/>
        <w:spacing w:before="240" w:after="60" w:line="240" w:lineRule="auto"/>
        <w:jc w:val="center"/>
        <w:outlineLvl w:val="2"/>
        <w:rPr>
          <w:rFonts w:ascii="Times New Roman" w:eastAsia="Times New Roman" w:hAnsi="Times New Roman"/>
          <w:bCs/>
          <w:sz w:val="28"/>
          <w:szCs w:val="28"/>
          <w:u w:val="single"/>
          <w:lang w:eastAsia="ru-RU"/>
        </w:rPr>
      </w:pPr>
      <w:bookmarkStart w:id="114" w:name="_Toc42006753"/>
      <w:r w:rsidRPr="00A53AD7">
        <w:rPr>
          <w:rFonts w:ascii="Times New Roman" w:eastAsia="Times New Roman" w:hAnsi="Times New Roman"/>
          <w:bCs/>
          <w:sz w:val="28"/>
          <w:szCs w:val="28"/>
          <w:u w:val="single"/>
          <w:lang w:eastAsia="ru-RU"/>
        </w:rPr>
        <w:t>4.6.8. Национальный проект «Международная кооперация и экспорт»</w:t>
      </w:r>
      <w:bookmarkEnd w:id="114"/>
    </w:p>
    <w:p w14:paraId="22D4E09E"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 национального проекта «Международная кооперация и экспорт» состоит из пяти проектов федерального уровня: «Промышленный экспорт», «Экспорт продукции АПК», «Экспорт Услуг», «Логистика международной торговли», «Системные меры содействия международной кооперации и экспорта».</w:t>
      </w:r>
    </w:p>
    <w:p w14:paraId="5BB9CA9D"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в рамках ГП АО «Экономическое развитие и инвестиционная деятельность в Архангельской области (2014 – 2024 годы)», минэкономразвития АО участвует в реализации национального проекта «Международная кооперация и экспорт» по следующим федеральным проектам: «Системные меры содействия международной кооперации и экспорта» и «Экспорт Услуг».</w:t>
      </w:r>
    </w:p>
    <w:p w14:paraId="019ED23D"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федеральных проектов национального проекта «Международная кооперация и экспорт» в 2019 году заключены следующие соглашения:</w:t>
      </w:r>
    </w:p>
    <w:p w14:paraId="44F42289"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Министерством экономического развития РФ с министерством экономического развития Архангельской области заключено соглашение о реализации регионального проекта «Экспорт услуг (Архангельская область) на территории Архангельской области от 15.02.2019 № 139-2019-Т40029-1 (далее – региональный проект «Экспорт услуг (Архангельская область)», являющийся составляющим федерального проекта «Экспорт услуг»;</w:t>
      </w:r>
    </w:p>
    <w:p w14:paraId="64DDBA56"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2) АО «Российский экспортный центр» с министерством экономического развития Архангельской области заключено соглашение о реализации регионального проекта «Системные меры содействия международной кооперации и экспорта» (Архангельская область) на территории Архангельской области от 13.02.2019 № 2019-Т60031-1 (далее – региональный проект «Системные меры содействия международной кооперации и экспорта» (Архангельская область)», являющийся составляющим федерального проекта «Системные меры содействия международной кооперации и экспорта».</w:t>
      </w:r>
    </w:p>
    <w:p w14:paraId="29424F02" w14:textId="7E8D9D9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нарушение пунктов 2.2.1 соглашений о реализации вышеперечисленных региональных проектов, не отражены в составе госпрограммы на 2019 год, региональные проекты в виде отдельных структурных элементов, обеспечивающие достижение федеральных проектов «Экспорт услуг» и «Системные меры развития международной кооперации и экспорта», реализуемых в рамках национального проекта «Международная кооперация и экспорт».</w:t>
      </w:r>
    </w:p>
    <w:p w14:paraId="6FDDCA6D" w14:textId="4ACC9821"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Сроки заключения соглашения по федеральному проекту «Промышленный экспорт» с регионами на данный момент Министерством промышленности и торговли РФ (далее – Минпромторг России) не определены.</w:t>
      </w:r>
    </w:p>
    <w:p w14:paraId="2AABBB79"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региональным проектам «Экспорт Услуг (Архангельская область)», «Системные меры содействия международной кооперации и экспорта (Архангельская область)», финансирование на 2019 год не предусмотрено.</w:t>
      </w:r>
    </w:p>
    <w:p w14:paraId="1943DECF" w14:textId="77777777" w:rsidR="00FF15DD" w:rsidRPr="00A53AD7" w:rsidRDefault="00FF15DD" w:rsidP="00FF15DD">
      <w:pPr>
        <w:spacing w:after="0" w:line="240" w:lineRule="auto"/>
        <w:ind w:firstLine="709"/>
        <w:jc w:val="both"/>
        <w:rPr>
          <w:rFonts w:ascii="Times New Roman" w:hAnsi="Times New Roman"/>
          <w:sz w:val="28"/>
          <w:szCs w:val="28"/>
        </w:rPr>
      </w:pPr>
    </w:p>
    <w:p w14:paraId="5BC77A79" w14:textId="5584D4A6" w:rsidR="00FF15DD" w:rsidRPr="00A53AD7" w:rsidRDefault="00FF15DD" w:rsidP="00FF15D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«Системные меры развития международной кооперации и экспорта»</w:t>
      </w:r>
    </w:p>
    <w:p w14:paraId="0EB2548B"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2019 год достижение показателей регионального проекта «Системные меры развития международной кооперации и экспорта» не устанавливалось.</w:t>
      </w:r>
    </w:p>
    <w:p w14:paraId="6A621124"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ходе реализации регионального проекта «Системные меры развития международной кооперации и экспорта» в 2019 году достигнуты следующие результаты:</w:t>
      </w:r>
    </w:p>
    <w:p w14:paraId="4F387834" w14:textId="6B0E08C3" w:rsidR="00FF15DD" w:rsidRPr="00A53AD7" w:rsidRDefault="00FF15DD" w:rsidP="00CA1DDD">
      <w:pPr>
        <w:pStyle w:val="a8"/>
        <w:numPr>
          <w:ilvl w:val="0"/>
          <w:numId w:val="43"/>
        </w:numPr>
        <w:ind w:left="0" w:firstLine="839"/>
        <w:jc w:val="both"/>
        <w:rPr>
          <w:sz w:val="28"/>
          <w:szCs w:val="28"/>
        </w:rPr>
      </w:pPr>
      <w:r w:rsidRPr="00A53AD7">
        <w:rPr>
          <w:sz w:val="28"/>
          <w:szCs w:val="28"/>
        </w:rPr>
        <w:t xml:space="preserve"> оказывается содействие в функционировании и развитии Центра поддержки экспорта автономной некоммерческой организации Архангельской области «Агентство регионального развития». По итогам 2019 года Центр поддержки экспорта оказал услуги (консультационные, информационные, помощь в создании сайтов, поиску зарубежного партнера и др.) 234 субъектам МСП. При содействии Центра поддержки экспорта, субъектами МСП заключен 31 экспортный контракт.</w:t>
      </w:r>
    </w:p>
    <w:p w14:paraId="446852D5"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Внедрение на территории Архангельской области Регионального экспортного стандарта 2.0 запланировано на период 2020-2021 годов.</w:t>
      </w:r>
    </w:p>
    <w:p w14:paraId="713E9D74" w14:textId="77777777" w:rsidR="00FF15DD" w:rsidRPr="00A53AD7" w:rsidRDefault="00FF15DD" w:rsidP="00FF15DD">
      <w:pPr>
        <w:spacing w:after="0" w:line="240" w:lineRule="auto"/>
        <w:ind w:firstLine="851"/>
        <w:jc w:val="both"/>
        <w:rPr>
          <w:rFonts w:ascii="Times New Roman" w:hAnsi="Times New Roman"/>
          <w:sz w:val="28"/>
          <w:szCs w:val="28"/>
        </w:rPr>
      </w:pPr>
    </w:p>
    <w:p w14:paraId="0A2B5073" w14:textId="3606ED95" w:rsidR="00FF15DD" w:rsidRPr="00A53AD7" w:rsidRDefault="00FF15DD" w:rsidP="00FF15DD">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«Экспорт услуг»</w:t>
      </w:r>
    </w:p>
    <w:p w14:paraId="3AB9EF12"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степени достижении показателей, установленных в Приложении № 1 к соглашению о реализации регионального проекта «Экспорт услуг» показателей на 2019 год, согласно по статистическим данным ЦБ РФ, представлена в таблице ниже.</w:t>
      </w:r>
    </w:p>
    <w:tbl>
      <w:tblPr>
        <w:tblStyle w:val="a7"/>
        <w:tblW w:w="9498" w:type="dxa"/>
        <w:tblInd w:w="108" w:type="dxa"/>
        <w:tblLayout w:type="fixed"/>
        <w:tblLook w:val="04A0" w:firstRow="1" w:lastRow="0" w:firstColumn="1" w:lastColumn="0" w:noHBand="0" w:noVBand="1"/>
      </w:tblPr>
      <w:tblGrid>
        <w:gridCol w:w="4678"/>
        <w:gridCol w:w="1134"/>
        <w:gridCol w:w="1134"/>
        <w:gridCol w:w="1276"/>
        <w:gridCol w:w="1276"/>
      </w:tblGrid>
      <w:tr w:rsidR="00D470B6" w:rsidRPr="00A53AD7" w14:paraId="33868F1C" w14:textId="77777777" w:rsidTr="00682874">
        <w:trPr>
          <w:trHeight w:val="1128"/>
          <w:tblHeader/>
        </w:trPr>
        <w:tc>
          <w:tcPr>
            <w:tcW w:w="4678" w:type="dxa"/>
            <w:tcBorders>
              <w:top w:val="double" w:sz="4" w:space="0" w:color="auto"/>
              <w:left w:val="double" w:sz="4" w:space="0" w:color="auto"/>
            </w:tcBorders>
            <w:vAlign w:val="center"/>
          </w:tcPr>
          <w:p w14:paraId="0A154E39"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Наименование показателя</w:t>
            </w:r>
          </w:p>
        </w:tc>
        <w:tc>
          <w:tcPr>
            <w:tcW w:w="1134" w:type="dxa"/>
            <w:tcBorders>
              <w:top w:val="double" w:sz="4" w:space="0" w:color="auto"/>
            </w:tcBorders>
            <w:vAlign w:val="center"/>
          </w:tcPr>
          <w:p w14:paraId="6E669B86"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Единица измерения</w:t>
            </w:r>
          </w:p>
        </w:tc>
        <w:tc>
          <w:tcPr>
            <w:tcW w:w="1134" w:type="dxa"/>
            <w:tcBorders>
              <w:top w:val="double" w:sz="4" w:space="0" w:color="auto"/>
            </w:tcBorders>
            <w:vAlign w:val="center"/>
          </w:tcPr>
          <w:p w14:paraId="71695412"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 xml:space="preserve">Плановое </w:t>
            </w:r>
          </w:p>
          <w:p w14:paraId="70CB220F"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на 2019 год</w:t>
            </w:r>
          </w:p>
        </w:tc>
        <w:tc>
          <w:tcPr>
            <w:tcW w:w="1276" w:type="dxa"/>
            <w:tcBorders>
              <w:top w:val="double" w:sz="4" w:space="0" w:color="auto"/>
              <w:right w:val="nil"/>
            </w:tcBorders>
            <w:vAlign w:val="center"/>
          </w:tcPr>
          <w:p w14:paraId="3BE68C77"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Фактическое значение показателя за 2019 год</w:t>
            </w:r>
          </w:p>
        </w:tc>
        <w:tc>
          <w:tcPr>
            <w:tcW w:w="1276" w:type="dxa"/>
            <w:tcBorders>
              <w:top w:val="double" w:sz="4" w:space="0" w:color="auto"/>
              <w:right w:val="double" w:sz="4" w:space="0" w:color="auto"/>
            </w:tcBorders>
            <w:vAlign w:val="center"/>
          </w:tcPr>
          <w:p w14:paraId="16A7842E"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Степень достижения показателя, %</w:t>
            </w:r>
          </w:p>
        </w:tc>
      </w:tr>
      <w:tr w:rsidR="00D470B6" w:rsidRPr="00A53AD7" w14:paraId="493D68FF" w14:textId="77777777" w:rsidTr="00FF15DD">
        <w:trPr>
          <w:trHeight w:val="386"/>
        </w:trPr>
        <w:tc>
          <w:tcPr>
            <w:tcW w:w="4678" w:type="dxa"/>
            <w:tcBorders>
              <w:left w:val="double" w:sz="4" w:space="0" w:color="auto"/>
            </w:tcBorders>
            <w:vAlign w:val="center"/>
          </w:tcPr>
          <w:p w14:paraId="4C2CFA11" w14:textId="77777777" w:rsidR="00FF15DD" w:rsidRPr="00A53AD7" w:rsidRDefault="00FF15DD" w:rsidP="00FF15DD">
            <w:pPr>
              <w:spacing w:after="0" w:line="240" w:lineRule="auto"/>
              <w:jc w:val="both"/>
              <w:rPr>
                <w:rFonts w:ascii="Times New Roman" w:hAnsi="Times New Roman"/>
                <w:sz w:val="20"/>
                <w:szCs w:val="20"/>
              </w:rPr>
            </w:pPr>
            <w:r w:rsidRPr="00A53AD7">
              <w:rPr>
                <w:rFonts w:ascii="Times New Roman" w:hAnsi="Times New Roman"/>
                <w:sz w:val="20"/>
                <w:szCs w:val="20"/>
              </w:rPr>
              <w:t>Объем экспорта услуг</w:t>
            </w:r>
          </w:p>
        </w:tc>
        <w:tc>
          <w:tcPr>
            <w:tcW w:w="1134" w:type="dxa"/>
            <w:vAlign w:val="center"/>
          </w:tcPr>
          <w:p w14:paraId="7482304B"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Миллиард долларов</w:t>
            </w:r>
          </w:p>
        </w:tc>
        <w:tc>
          <w:tcPr>
            <w:tcW w:w="1134" w:type="dxa"/>
            <w:vAlign w:val="center"/>
          </w:tcPr>
          <w:p w14:paraId="4183B072"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0,22</w:t>
            </w:r>
          </w:p>
        </w:tc>
        <w:tc>
          <w:tcPr>
            <w:tcW w:w="1276" w:type="dxa"/>
            <w:vAlign w:val="center"/>
          </w:tcPr>
          <w:p w14:paraId="7414E159"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0,39505</w:t>
            </w:r>
          </w:p>
        </w:tc>
        <w:tc>
          <w:tcPr>
            <w:tcW w:w="1276" w:type="dxa"/>
            <w:tcBorders>
              <w:right w:val="double" w:sz="4" w:space="0" w:color="auto"/>
            </w:tcBorders>
            <w:vAlign w:val="center"/>
          </w:tcPr>
          <w:p w14:paraId="60160EAA"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179,6</w:t>
            </w:r>
          </w:p>
        </w:tc>
      </w:tr>
      <w:tr w:rsidR="00D470B6" w:rsidRPr="00A53AD7" w14:paraId="2BE81F40" w14:textId="77777777" w:rsidTr="0039742D">
        <w:tc>
          <w:tcPr>
            <w:tcW w:w="4678" w:type="dxa"/>
            <w:tcBorders>
              <w:left w:val="double" w:sz="4" w:space="0" w:color="auto"/>
            </w:tcBorders>
            <w:vAlign w:val="center"/>
          </w:tcPr>
          <w:p w14:paraId="53F1E54A" w14:textId="77777777" w:rsidR="00FF15DD" w:rsidRPr="00A53AD7" w:rsidRDefault="00FF15DD" w:rsidP="00FF15DD">
            <w:pPr>
              <w:spacing w:after="0" w:line="240" w:lineRule="auto"/>
              <w:jc w:val="both"/>
              <w:rPr>
                <w:rFonts w:ascii="Times New Roman" w:hAnsi="Times New Roman"/>
                <w:sz w:val="20"/>
                <w:szCs w:val="20"/>
              </w:rPr>
            </w:pPr>
            <w:r w:rsidRPr="00A53AD7">
              <w:rPr>
                <w:rFonts w:ascii="Times New Roman" w:hAnsi="Times New Roman"/>
                <w:sz w:val="20"/>
                <w:szCs w:val="20"/>
              </w:rPr>
              <w:t xml:space="preserve">Объем экспорта транспортных услуг </w:t>
            </w:r>
          </w:p>
        </w:tc>
        <w:tc>
          <w:tcPr>
            <w:tcW w:w="1134" w:type="dxa"/>
            <w:vAlign w:val="center"/>
          </w:tcPr>
          <w:p w14:paraId="01F61BE2"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Миллиард долларов</w:t>
            </w:r>
          </w:p>
        </w:tc>
        <w:tc>
          <w:tcPr>
            <w:tcW w:w="1134" w:type="dxa"/>
            <w:vAlign w:val="center"/>
          </w:tcPr>
          <w:p w14:paraId="599851F7"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0,177</w:t>
            </w:r>
          </w:p>
        </w:tc>
        <w:tc>
          <w:tcPr>
            <w:tcW w:w="1276" w:type="dxa"/>
            <w:vAlign w:val="center"/>
          </w:tcPr>
          <w:p w14:paraId="438D58A9"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0,3605</w:t>
            </w:r>
          </w:p>
        </w:tc>
        <w:tc>
          <w:tcPr>
            <w:tcW w:w="1276" w:type="dxa"/>
            <w:tcBorders>
              <w:right w:val="double" w:sz="4" w:space="0" w:color="auto"/>
            </w:tcBorders>
            <w:vAlign w:val="center"/>
          </w:tcPr>
          <w:p w14:paraId="208F1367"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203,6</w:t>
            </w:r>
          </w:p>
        </w:tc>
      </w:tr>
      <w:tr w:rsidR="00D470B6" w:rsidRPr="00A53AD7" w14:paraId="6209F810" w14:textId="77777777" w:rsidTr="0039742D">
        <w:tc>
          <w:tcPr>
            <w:tcW w:w="4678" w:type="dxa"/>
            <w:tcBorders>
              <w:left w:val="double" w:sz="4" w:space="0" w:color="auto"/>
            </w:tcBorders>
            <w:vAlign w:val="center"/>
          </w:tcPr>
          <w:p w14:paraId="0303A302" w14:textId="77777777" w:rsidR="00FF15DD" w:rsidRPr="00A53AD7" w:rsidRDefault="00FF15DD" w:rsidP="00FF15DD">
            <w:pPr>
              <w:spacing w:after="0" w:line="240" w:lineRule="auto"/>
              <w:jc w:val="both"/>
              <w:rPr>
                <w:rFonts w:ascii="Times New Roman" w:hAnsi="Times New Roman"/>
                <w:sz w:val="20"/>
                <w:szCs w:val="20"/>
              </w:rPr>
            </w:pPr>
            <w:r w:rsidRPr="00A53AD7">
              <w:rPr>
                <w:rFonts w:ascii="Times New Roman" w:hAnsi="Times New Roman"/>
                <w:sz w:val="20"/>
                <w:szCs w:val="20"/>
              </w:rPr>
              <w:t>Объем платы за пользование интеллектуальной собственности и экспорта деловых услуг</w:t>
            </w:r>
          </w:p>
        </w:tc>
        <w:tc>
          <w:tcPr>
            <w:tcW w:w="1134" w:type="dxa"/>
            <w:vAlign w:val="center"/>
          </w:tcPr>
          <w:p w14:paraId="3D914584"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Миллиард долларов</w:t>
            </w:r>
          </w:p>
        </w:tc>
        <w:tc>
          <w:tcPr>
            <w:tcW w:w="1134" w:type="dxa"/>
            <w:vAlign w:val="center"/>
          </w:tcPr>
          <w:p w14:paraId="09249EDE"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0,0137</w:t>
            </w:r>
          </w:p>
        </w:tc>
        <w:tc>
          <w:tcPr>
            <w:tcW w:w="1276" w:type="dxa"/>
            <w:vAlign w:val="center"/>
          </w:tcPr>
          <w:p w14:paraId="5CEF60D2"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0,00835</w:t>
            </w:r>
          </w:p>
        </w:tc>
        <w:tc>
          <w:tcPr>
            <w:tcW w:w="1276" w:type="dxa"/>
            <w:tcBorders>
              <w:right w:val="double" w:sz="4" w:space="0" w:color="auto"/>
            </w:tcBorders>
            <w:vAlign w:val="center"/>
          </w:tcPr>
          <w:p w14:paraId="66623EA4"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60,9</w:t>
            </w:r>
          </w:p>
        </w:tc>
      </w:tr>
      <w:tr w:rsidR="00D470B6" w:rsidRPr="00A53AD7" w14:paraId="5E332737" w14:textId="77777777" w:rsidTr="0039742D">
        <w:tc>
          <w:tcPr>
            <w:tcW w:w="4678" w:type="dxa"/>
            <w:tcBorders>
              <w:left w:val="double" w:sz="4" w:space="0" w:color="auto"/>
            </w:tcBorders>
            <w:vAlign w:val="center"/>
          </w:tcPr>
          <w:p w14:paraId="337E5987" w14:textId="77777777" w:rsidR="00FF15DD" w:rsidRPr="00A53AD7" w:rsidRDefault="00FF15DD" w:rsidP="00FF15DD">
            <w:pPr>
              <w:spacing w:after="0" w:line="240" w:lineRule="auto"/>
              <w:jc w:val="both"/>
              <w:rPr>
                <w:rFonts w:ascii="Times New Roman" w:hAnsi="Times New Roman"/>
                <w:sz w:val="20"/>
                <w:szCs w:val="20"/>
              </w:rPr>
            </w:pPr>
            <w:r w:rsidRPr="00A53AD7">
              <w:rPr>
                <w:rFonts w:ascii="Times New Roman" w:hAnsi="Times New Roman"/>
                <w:sz w:val="20"/>
                <w:szCs w:val="20"/>
              </w:rPr>
              <w:t>Объем экспорта телекоммуникационных, компьютерных и информационных услуг</w:t>
            </w:r>
          </w:p>
        </w:tc>
        <w:tc>
          <w:tcPr>
            <w:tcW w:w="1134" w:type="dxa"/>
            <w:vAlign w:val="center"/>
          </w:tcPr>
          <w:p w14:paraId="113D501C"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Миллиард долларов</w:t>
            </w:r>
          </w:p>
        </w:tc>
        <w:tc>
          <w:tcPr>
            <w:tcW w:w="1134" w:type="dxa"/>
            <w:vAlign w:val="center"/>
          </w:tcPr>
          <w:p w14:paraId="78370142"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0,0001</w:t>
            </w:r>
          </w:p>
        </w:tc>
        <w:tc>
          <w:tcPr>
            <w:tcW w:w="1276" w:type="dxa"/>
            <w:vAlign w:val="center"/>
          </w:tcPr>
          <w:p w14:paraId="71383EEE"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0,0006</w:t>
            </w:r>
          </w:p>
        </w:tc>
        <w:tc>
          <w:tcPr>
            <w:tcW w:w="1276" w:type="dxa"/>
            <w:tcBorders>
              <w:right w:val="double" w:sz="4" w:space="0" w:color="auto"/>
            </w:tcBorders>
            <w:vAlign w:val="center"/>
          </w:tcPr>
          <w:p w14:paraId="15D31757"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600</w:t>
            </w:r>
          </w:p>
        </w:tc>
      </w:tr>
      <w:tr w:rsidR="00FF15DD" w:rsidRPr="00A53AD7" w14:paraId="42F661B3" w14:textId="77777777" w:rsidTr="0039742D">
        <w:tc>
          <w:tcPr>
            <w:tcW w:w="4678" w:type="dxa"/>
            <w:tcBorders>
              <w:left w:val="double" w:sz="4" w:space="0" w:color="auto"/>
              <w:bottom w:val="double" w:sz="4" w:space="0" w:color="auto"/>
            </w:tcBorders>
            <w:vAlign w:val="center"/>
          </w:tcPr>
          <w:p w14:paraId="6B74552D" w14:textId="77777777" w:rsidR="00FF15DD" w:rsidRPr="00A53AD7" w:rsidRDefault="00FF15DD" w:rsidP="00FF15DD">
            <w:pPr>
              <w:spacing w:after="0" w:line="240" w:lineRule="auto"/>
              <w:jc w:val="both"/>
              <w:rPr>
                <w:rFonts w:ascii="Times New Roman" w:hAnsi="Times New Roman"/>
                <w:sz w:val="20"/>
                <w:szCs w:val="20"/>
              </w:rPr>
            </w:pPr>
            <w:r w:rsidRPr="00A53AD7">
              <w:rPr>
                <w:rFonts w:ascii="Times New Roman" w:hAnsi="Times New Roman"/>
                <w:sz w:val="20"/>
                <w:szCs w:val="20"/>
              </w:rPr>
              <w:t>Объем экспорта услуг, связанных с использованием промышленной продукции</w:t>
            </w:r>
          </w:p>
        </w:tc>
        <w:tc>
          <w:tcPr>
            <w:tcW w:w="1134" w:type="dxa"/>
            <w:tcBorders>
              <w:bottom w:val="double" w:sz="4" w:space="0" w:color="auto"/>
            </w:tcBorders>
            <w:vAlign w:val="center"/>
          </w:tcPr>
          <w:p w14:paraId="68F48446"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Миллиард долларов</w:t>
            </w:r>
          </w:p>
        </w:tc>
        <w:tc>
          <w:tcPr>
            <w:tcW w:w="1134" w:type="dxa"/>
            <w:tcBorders>
              <w:bottom w:val="double" w:sz="4" w:space="0" w:color="auto"/>
            </w:tcBorders>
            <w:vAlign w:val="center"/>
          </w:tcPr>
          <w:p w14:paraId="0783650C"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0,0315</w:t>
            </w:r>
          </w:p>
        </w:tc>
        <w:tc>
          <w:tcPr>
            <w:tcW w:w="1276" w:type="dxa"/>
            <w:tcBorders>
              <w:bottom w:val="double" w:sz="4" w:space="0" w:color="auto"/>
            </w:tcBorders>
            <w:vAlign w:val="center"/>
          </w:tcPr>
          <w:p w14:paraId="56C83B40"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0,01021</w:t>
            </w:r>
          </w:p>
        </w:tc>
        <w:tc>
          <w:tcPr>
            <w:tcW w:w="1276" w:type="dxa"/>
            <w:tcBorders>
              <w:bottom w:val="double" w:sz="4" w:space="0" w:color="auto"/>
              <w:right w:val="double" w:sz="4" w:space="0" w:color="auto"/>
            </w:tcBorders>
            <w:vAlign w:val="center"/>
          </w:tcPr>
          <w:p w14:paraId="5A95E170" w14:textId="77777777" w:rsidR="00FF15DD" w:rsidRPr="00A53AD7" w:rsidRDefault="00FF15DD" w:rsidP="00FF15DD">
            <w:pPr>
              <w:spacing w:after="0" w:line="240" w:lineRule="auto"/>
              <w:jc w:val="center"/>
              <w:rPr>
                <w:rFonts w:ascii="Times New Roman" w:hAnsi="Times New Roman"/>
                <w:sz w:val="20"/>
                <w:szCs w:val="20"/>
              </w:rPr>
            </w:pPr>
            <w:r w:rsidRPr="00A53AD7">
              <w:rPr>
                <w:rFonts w:ascii="Times New Roman" w:hAnsi="Times New Roman"/>
                <w:sz w:val="20"/>
                <w:szCs w:val="20"/>
              </w:rPr>
              <w:t>32,4</w:t>
            </w:r>
          </w:p>
        </w:tc>
      </w:tr>
    </w:tbl>
    <w:p w14:paraId="010EEBF8" w14:textId="77777777" w:rsidR="00FF15DD" w:rsidRPr="00A53AD7" w:rsidRDefault="00FF15DD" w:rsidP="00FF15DD">
      <w:pPr>
        <w:spacing w:after="0" w:line="240" w:lineRule="auto"/>
        <w:ind w:firstLine="851"/>
        <w:jc w:val="both"/>
        <w:rPr>
          <w:rFonts w:ascii="Times New Roman" w:hAnsi="Times New Roman"/>
          <w:sz w:val="28"/>
          <w:szCs w:val="28"/>
        </w:rPr>
      </w:pPr>
    </w:p>
    <w:p w14:paraId="347F37B3" w14:textId="7E2DB409"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5 установленных показателей проекта плановое значение достигнуто по 3 показателям или 60%.</w:t>
      </w:r>
    </w:p>
    <w:p w14:paraId="0F88A71F"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«Экспорт услуг», не достигли плановых значений показатели «Объем платы за пользование интеллектуальной собственности и экспорта деловых услуг» (60,9%) и «Объем экспорта услуг, связанных с использованием промышленной продукции» (32,4%), в связи с наличием рисков и отклонений выполнения показателей.</w:t>
      </w:r>
    </w:p>
    <w:p w14:paraId="08800E1E"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причиной риска невыполнения показателя «Объем платы за использование интеллектуальной собственностью и экспорта деловых услуг» является снижение объема экспорта услуг данной категории на 8.8 % по сравнению с аналогичным периодом прошлого года. Такое снижение обусловлено тем, что ряд организаций, вошедших в число экспортеров услуг по итогам 2018 года, не проводит эту работу на систематической основе, а разово оказывает услуги иностранным юридическим или физическим лицам (нерезидентам).</w:t>
      </w:r>
    </w:p>
    <w:p w14:paraId="33AA596C"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Причина риска невыполнения показателя «Объем экспорта услуг, связанных с использованием промышленной продукции» - снижение объема экспорта услуг, связанных с использованием промышленной продукции, на 70,5% по сравнению с аналогичным периодом прошлого года. Детальный анализ причин такого снижения затруднен тем, что данные об экспортерах услуг этой категории являются конфиденциальной информацией (письмо Банка России № 15-1-3/162 от 28.02. 2019). По оценке минэкономразвития АО, в данной категории проходят услуги региональных предприятий оборонно-промышленного комплекса, оказываемые в рамках военно-технического сотрудничества с другими странами.</w:t>
      </w:r>
    </w:p>
    <w:p w14:paraId="29354F20"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этого, на заседании проектного комитета национального проекта «Международная кооперация и экспорт» 28.10.2019 (протокол № 9) принято решение признать показатели, установленные в региональных проектах «Экспорт услуг» на 2019 год аналитическими, в связи с тем, что они устанавливались расчетным способом на основании данных Банка России об объемах экспорта услуг регионов за 1 полугодие 2018 года с учетом нераспределенных по регионам показателей «Транспортные услуги» и «Поездки».</w:t>
      </w:r>
    </w:p>
    <w:p w14:paraId="7D295A5F"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отчетного периода по региональному проекту «Экспорт услуг» достигнуты следующие результаты:</w:t>
      </w:r>
    </w:p>
    <w:p w14:paraId="367CEB9B" w14:textId="06723BA0" w:rsidR="00FF15DD" w:rsidRPr="00A53AD7" w:rsidRDefault="00FF15DD" w:rsidP="00CA1DDD">
      <w:pPr>
        <w:pStyle w:val="a8"/>
        <w:numPr>
          <w:ilvl w:val="0"/>
          <w:numId w:val="43"/>
        </w:numPr>
        <w:ind w:left="0" w:firstLine="839"/>
        <w:jc w:val="both"/>
        <w:rPr>
          <w:sz w:val="28"/>
          <w:szCs w:val="28"/>
        </w:rPr>
      </w:pPr>
      <w:r w:rsidRPr="00A53AD7">
        <w:rPr>
          <w:sz w:val="28"/>
          <w:szCs w:val="28"/>
        </w:rPr>
        <w:t>по состоянию на 01.09.2019, сформирован реестр региональных экспортеров услуг Архангельской области;</w:t>
      </w:r>
    </w:p>
    <w:p w14:paraId="7167698E" w14:textId="50A9910B" w:rsidR="00FF15DD" w:rsidRPr="00A53AD7" w:rsidRDefault="00FF15DD" w:rsidP="00CA1DDD">
      <w:pPr>
        <w:pStyle w:val="a8"/>
        <w:numPr>
          <w:ilvl w:val="0"/>
          <w:numId w:val="43"/>
        </w:numPr>
        <w:ind w:left="0" w:firstLine="839"/>
        <w:jc w:val="both"/>
        <w:rPr>
          <w:sz w:val="28"/>
          <w:szCs w:val="28"/>
        </w:rPr>
      </w:pPr>
      <w:r w:rsidRPr="00A53AD7">
        <w:rPr>
          <w:sz w:val="28"/>
          <w:szCs w:val="28"/>
        </w:rPr>
        <w:t>в декабре 2019 года разработанный проект плана по развитию экспорта услуг в Архангельской области размещен на электронное «веерное» согласование в СЭД «Дело (РКПД 206-рп/631 от 18.12.2019). По итогам согласования, проект плана совместно с профильными исполнительными органами государственной власти Архангельской области, предприятиями (организациями), являющимися экспортерами услуг был доработан и, размещен повторно 09.01.2020 на электронное «веерное» согласование.</w:t>
      </w:r>
    </w:p>
    <w:p w14:paraId="27495B08" w14:textId="77777777" w:rsidR="00FF15DD" w:rsidRPr="00A53AD7" w:rsidRDefault="00FF15DD" w:rsidP="00FF15DD">
      <w:pPr>
        <w:spacing w:after="0" w:line="240" w:lineRule="auto"/>
        <w:ind w:firstLine="709"/>
        <w:jc w:val="both"/>
        <w:rPr>
          <w:rFonts w:ascii="Times New Roman" w:eastAsia="Times New Roman" w:hAnsi="Times New Roman"/>
          <w:kern w:val="1"/>
          <w:sz w:val="28"/>
          <w:szCs w:val="28"/>
          <w:highlight w:val="cyan"/>
          <w:lang w:eastAsia="ar-SA"/>
        </w:rPr>
      </w:pPr>
    </w:p>
    <w:p w14:paraId="443611DB" w14:textId="7B588DC0" w:rsidR="00FF15DD" w:rsidRPr="00A53AD7" w:rsidRDefault="00FF15DD" w:rsidP="00FF15DD">
      <w:pPr>
        <w:spacing w:after="0" w:line="240" w:lineRule="auto"/>
        <w:jc w:val="center"/>
        <w:rPr>
          <w:rFonts w:ascii="Times New Roman" w:hAnsi="Times New Roman"/>
          <w:b/>
          <w:i/>
          <w:sz w:val="28"/>
          <w:szCs w:val="28"/>
        </w:rPr>
      </w:pPr>
      <w:r w:rsidRPr="00A53AD7">
        <w:rPr>
          <w:rFonts w:ascii="Times New Roman" w:hAnsi="Times New Roman"/>
          <w:b/>
          <w:i/>
          <w:sz w:val="28"/>
          <w:szCs w:val="28"/>
        </w:rPr>
        <w:t xml:space="preserve">Региональный проект «Промышленный экспорт». </w:t>
      </w:r>
    </w:p>
    <w:p w14:paraId="6957D121"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реализации регионального проекта «Промышленный экспорт» минэкономразвития АО разработаны нормативные акты (постановление Правительства Архангельской области от 26.03.2019 № 159-пп и распоряжение минэкономразвития АО от 26.03.2019 № 25-р) для проведения квалификационного отбора производителей регионального значения, объявлен квалификационный отбор производителей регионального значения для последующего направления документов в Минпромторг России в целях заключения соглашений о реализации корпоративной программы повышения конкурентоспособности (далее – КППК) и получения государственной поддержки экспортной деятельности.</w:t>
      </w:r>
    </w:p>
    <w:p w14:paraId="68FEBF45" w14:textId="77777777" w:rsidR="00FF15DD" w:rsidRPr="00A53AD7" w:rsidRDefault="00FF15DD" w:rsidP="00FF15D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итогам проведенных оценочных процедур Минпромторгом России включены в единый перечень организаций, реализующих КППК, 5 предприятий: по региональному списку – ЗАО «25 лесозавод», ООО «Протон», ООО «Группа компаний «УЛК», АО «Архангельский фанерный завод» и по федеральному списку – АО «АЦБК». В конце декабря 2019 года предприятиями были заключены соглашения с Минпромторгом России о реализации КППК, за исключением ООО «Протон», которому было отказано в заключении соглашения в связи с предоставлением необходимых документов позже установленного срока и отсутствием продукции, включенной в КППК предприятия, в Перечне продукции для целей государственной поддержки организаций, реализующих КППК, утвержденным приказом Минпромторга России от 29.03.2019 № 1021. Предприятию было рекомендовано участвовать повторно в отборе, который состоится в феврале 2020 года.</w:t>
      </w:r>
    </w:p>
    <w:p w14:paraId="5F46B61F" w14:textId="77777777" w:rsidR="00FF15DD" w:rsidRPr="00A53AD7" w:rsidRDefault="00FF15DD" w:rsidP="009C1C2B">
      <w:pPr>
        <w:spacing w:after="0" w:line="240" w:lineRule="auto"/>
        <w:ind w:firstLine="851"/>
        <w:jc w:val="both"/>
        <w:rPr>
          <w:rFonts w:ascii="Times New Roman" w:hAnsi="Times New Roman"/>
          <w:sz w:val="28"/>
          <w:szCs w:val="28"/>
        </w:rPr>
      </w:pPr>
    </w:p>
    <w:p w14:paraId="28B8831E" w14:textId="40A3BD82" w:rsidR="0039742D" w:rsidRPr="00A53AD7" w:rsidRDefault="0039742D" w:rsidP="0039742D">
      <w:pPr>
        <w:spacing w:after="0" w:line="240" w:lineRule="auto"/>
        <w:jc w:val="center"/>
        <w:rPr>
          <w:rFonts w:ascii="Times New Roman" w:hAnsi="Times New Roman"/>
          <w:b/>
          <w:snapToGrid w:val="0"/>
          <w:sz w:val="28"/>
          <w:szCs w:val="28"/>
          <w:highlight w:val="cyan"/>
        </w:rPr>
      </w:pPr>
      <w:r w:rsidRPr="00A53AD7">
        <w:rPr>
          <w:rFonts w:ascii="Times New Roman" w:hAnsi="Times New Roman"/>
          <w:b/>
          <w:i/>
          <w:sz w:val="28"/>
          <w:szCs w:val="28"/>
        </w:rPr>
        <w:t>Региональный проект «Экспорт продукции АПК»</w:t>
      </w:r>
    </w:p>
    <w:p w14:paraId="498ADD61"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Целью реализации мероприятий РП «Экспорт продукции АПК (Архангельская область)» является увеличение объема экспорта продукции АПК к 2024 году до 0,2145 млрд. долларов США (ранее было установлено 0,2134 млрд. долларов США), к 2019 году – 0,170 млрд. долларов США (снижение к ранее установленному показателю на 0,02 млрд. долларов США).</w:t>
      </w:r>
    </w:p>
    <w:p w14:paraId="6F5BB704"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Финансовое обеспечение реализации регионального проекта паспортом РП «Экспорт продукции АПК (Архангельская область)» не предусмотрено.</w:t>
      </w:r>
    </w:p>
    <w:p w14:paraId="2C88FA0F"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ГП АО № 436-пп целевой показатель установлен как «Объем экспорта рыбы и морепродуктов». Экспорториентированной и валютоёмкой продукцией является треска и пикша (в основном: рыба замороженная, филе мороженое). </w:t>
      </w:r>
    </w:p>
    <w:p w14:paraId="1DEDD09E"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информации министерства АПК о ходе реализации регионального проекта «Экспорт продукции АПК» в 2019 году, в соответствии с официальной информацией Федеральной Таможенной службы (далее – ФТС) и Росстата, объем экспорта продукции АПК в Архангельской области за 2019 год составил 160,6 млн. долларов США, процент достижения целевого показателя 94,5 %.</w:t>
      </w:r>
    </w:p>
    <w:p w14:paraId="4768F598" w14:textId="7331B502"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Одной из причин не достижения целевого показателя, согласно информации министерства АПК, является снижение объемов квот на добычу (вылов) водных биоресурсов (треска и пикша), продукция которых определят основной объём экспорта.</w:t>
      </w:r>
    </w:p>
    <w:p w14:paraId="20A2AAE7"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статистической информации, размещенной на сайте </w:t>
      </w:r>
      <w:hyperlink r:id="rId110" w:history="1">
        <w:r w:rsidRPr="00A53AD7">
          <w:rPr>
            <w:rFonts w:ascii="Times New Roman" w:hAnsi="Times New Roman"/>
            <w:sz w:val="28"/>
            <w:szCs w:val="28"/>
          </w:rPr>
          <w:t>https://arhangelskstat.gks.ru/</w:t>
        </w:r>
      </w:hyperlink>
      <w:r w:rsidRPr="00A53AD7">
        <w:rPr>
          <w:rFonts w:ascii="Times New Roman" w:hAnsi="Times New Roman"/>
          <w:sz w:val="28"/>
          <w:szCs w:val="28"/>
        </w:rPr>
        <w:t>, «Экспорт рыбы, рыбопродуктов и морепродуктов вне зоны действия таможенного контроля Российской Федерации» (Архангельская область без Ненецкого автономного округа) в 2019 году экспорт всего составил 74,2 млн. долларов США и 17,5 тысяч тонн, по сравнению с 2018 годом снижение на 10,8 млн. долларов США и 2,4 тысяч тонн. Объем экспорта трески мороженой - 9,7 тысяч тонн, снижение к 2018 году на 20,6%; объем экспорта пикши мороженой - 1,66 тысяч тонн, снижение к 2018 году на 55,4%. То есть, наблюдается заметное уменьшение объемов экспортных поставок вне зоны действия таможенного контроля.</w:t>
      </w:r>
    </w:p>
    <w:p w14:paraId="1B831BDD" w14:textId="2D8D7F56"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данным ФТС, в целом по России, экспорт рыбы свежей и мороженой по итогам за 2019 год составил 2 892,4 млн. долларов США, объем экспорта 1 580,9 тысяч тонн, к 2018 году снижение по объёмам на 4,1%, по стоимости на 2,2%.</w:t>
      </w:r>
    </w:p>
    <w:p w14:paraId="3FEF470C" w14:textId="0CE6B856" w:rsidR="0039742D" w:rsidRPr="00A53AD7" w:rsidRDefault="0039742D" w:rsidP="0039742D">
      <w:pPr>
        <w:keepNext/>
        <w:spacing w:before="240" w:after="60" w:line="240" w:lineRule="auto"/>
        <w:jc w:val="center"/>
        <w:outlineLvl w:val="2"/>
        <w:rPr>
          <w:rFonts w:ascii="Times New Roman" w:eastAsia="Times New Roman" w:hAnsi="Times New Roman"/>
          <w:bCs/>
          <w:sz w:val="28"/>
          <w:szCs w:val="28"/>
          <w:u w:val="single"/>
          <w:lang w:eastAsia="ru-RU"/>
        </w:rPr>
      </w:pPr>
      <w:bookmarkStart w:id="115" w:name="_Toc42006754"/>
      <w:r w:rsidRPr="00A53AD7">
        <w:rPr>
          <w:rFonts w:ascii="Times New Roman" w:eastAsia="Times New Roman" w:hAnsi="Times New Roman"/>
          <w:bCs/>
          <w:sz w:val="28"/>
          <w:szCs w:val="28"/>
          <w:u w:val="single"/>
          <w:lang w:eastAsia="ru-RU"/>
        </w:rPr>
        <w:t>4.6.9. Национальный проект «Образование»</w:t>
      </w:r>
      <w:bookmarkEnd w:id="115"/>
    </w:p>
    <w:p w14:paraId="6444CD4E" w14:textId="77777777"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Национальный проект «Национальная программа «Образование» (далее – НП «Образование») утвержден протоколом заседания президиума Совета при Президенте Российской Федерации по стратегическому развитию и национальным проектам от 24.12.2018 № 16.</w:t>
      </w:r>
    </w:p>
    <w:p w14:paraId="3E8508B8" w14:textId="77777777"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Срок реализации НП «Образование»: 01.01.2019 – 31.12.2024.</w:t>
      </w:r>
    </w:p>
    <w:p w14:paraId="10AC5D74" w14:textId="77777777"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уровне Российской Федерации НП «Цифровая экономика» включает в себя 6 федеральных проектов, из которых на территории Архангельской области в 2019 году реализовывалось 5 региональных проектов, связанных с 2 государственными программами Архангельской области.</w:t>
      </w:r>
    </w:p>
    <w:p w14:paraId="3F89E01E" w14:textId="77777777"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рамках национального проекта «Образование» Архангельская область принимает участие в реализации семи федеральных проектов на уровне региональных проектов: «Современная школа», «Успех каждого ребенка», «Поддержка семей, имеющих детей», «Цифровая образовательная среда», «Учитель будущего», «Молодые профессионалы», «Социальная активность».</w:t>
      </w:r>
    </w:p>
    <w:p w14:paraId="2767A27C" w14:textId="1E85DB3D"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паспортам региональных проектов, размещенных на портале «Электронный бюджет», соотнесение их с государственными программами Архангельской области представлено в таблице </w:t>
      </w:r>
      <w:r w:rsidR="00720E8B" w:rsidRPr="00A53AD7">
        <w:rPr>
          <w:rFonts w:ascii="Times New Roman" w:hAnsi="Times New Roman"/>
          <w:sz w:val="28"/>
          <w:szCs w:val="28"/>
        </w:rPr>
        <w:t>65</w:t>
      </w:r>
      <w:r w:rsidRPr="00A53AD7">
        <w:rPr>
          <w:rFonts w:ascii="Times New Roman" w:hAnsi="Times New Roman"/>
          <w:sz w:val="28"/>
          <w:szCs w:val="28"/>
        </w:rPr>
        <w:t>.</w:t>
      </w:r>
    </w:p>
    <w:p w14:paraId="14845EA1" w14:textId="77777777" w:rsidR="007920B1" w:rsidRPr="00A53AD7" w:rsidRDefault="007920B1" w:rsidP="00E4758C">
      <w:pPr>
        <w:spacing w:after="0" w:line="240" w:lineRule="auto"/>
        <w:rPr>
          <w:rFonts w:ascii="Times New Roman" w:hAnsi="Times New Roman"/>
          <w:bCs/>
          <w:sz w:val="24"/>
          <w:szCs w:val="24"/>
        </w:rPr>
      </w:pPr>
    </w:p>
    <w:p w14:paraId="4DD142BE" w14:textId="49BA9754" w:rsidR="00E4758C" w:rsidRPr="00A53AD7" w:rsidRDefault="007920B1" w:rsidP="007920B1">
      <w:pPr>
        <w:pStyle w:val="aff0"/>
        <w:keepNext/>
        <w:spacing w:after="0" w:line="240" w:lineRule="auto"/>
        <w:rPr>
          <w:rFonts w:ascii="Times New Roman" w:hAnsi="Times New Roman"/>
          <w:b w:val="0"/>
          <w:bCs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65</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E4758C" w:rsidRPr="00A53AD7">
        <w:rPr>
          <w:rFonts w:ascii="Times New Roman" w:hAnsi="Times New Roman"/>
          <w:b w:val="0"/>
          <w:sz w:val="24"/>
          <w:szCs w:val="24"/>
        </w:rPr>
        <w:t>Структура региональных проектов Архангельской области, относящихся к национальному проекту «Образование», согласно паспортам проектов</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483"/>
        <w:gridCol w:w="5733"/>
      </w:tblGrid>
      <w:tr w:rsidR="00D470B6" w:rsidRPr="00A53AD7" w14:paraId="04DC4F7C" w14:textId="77777777" w:rsidTr="00F46AC9">
        <w:trPr>
          <w:tblHeader/>
        </w:trPr>
        <w:tc>
          <w:tcPr>
            <w:tcW w:w="3483" w:type="dxa"/>
            <w:shd w:val="clear" w:color="auto" w:fill="auto"/>
          </w:tcPr>
          <w:p w14:paraId="6FFA48BD" w14:textId="77777777" w:rsidR="00E4758C" w:rsidRPr="00A53AD7" w:rsidRDefault="00E4758C" w:rsidP="00F46AC9">
            <w:pPr>
              <w:spacing w:after="0" w:line="240" w:lineRule="auto"/>
              <w:jc w:val="center"/>
              <w:rPr>
                <w:rFonts w:ascii="Times New Roman" w:hAnsi="Times New Roman"/>
                <w:b/>
                <w:sz w:val="18"/>
                <w:szCs w:val="18"/>
              </w:rPr>
            </w:pPr>
            <w:r w:rsidRPr="00A53AD7">
              <w:rPr>
                <w:rFonts w:ascii="Times New Roman" w:hAnsi="Times New Roman"/>
                <w:b/>
                <w:sz w:val="18"/>
                <w:szCs w:val="18"/>
              </w:rPr>
              <w:t>Наименование регионального проекта</w:t>
            </w:r>
          </w:p>
        </w:tc>
        <w:tc>
          <w:tcPr>
            <w:tcW w:w="5734" w:type="dxa"/>
            <w:shd w:val="clear" w:color="auto" w:fill="auto"/>
          </w:tcPr>
          <w:p w14:paraId="6FC57311" w14:textId="77777777" w:rsidR="00E4758C" w:rsidRPr="00A53AD7" w:rsidRDefault="00E4758C" w:rsidP="00F46AC9">
            <w:pPr>
              <w:spacing w:after="0" w:line="240" w:lineRule="auto"/>
              <w:jc w:val="center"/>
              <w:rPr>
                <w:rFonts w:ascii="Times New Roman" w:hAnsi="Times New Roman"/>
                <w:b/>
                <w:sz w:val="18"/>
                <w:szCs w:val="18"/>
              </w:rPr>
            </w:pPr>
            <w:r w:rsidRPr="00A53AD7">
              <w:rPr>
                <w:rFonts w:ascii="Times New Roman" w:hAnsi="Times New Roman"/>
                <w:b/>
                <w:sz w:val="18"/>
                <w:szCs w:val="18"/>
              </w:rPr>
              <w:t>Связь регионального проекта с государственной программой Архангельской области</w:t>
            </w:r>
          </w:p>
        </w:tc>
      </w:tr>
      <w:tr w:rsidR="00D470B6" w:rsidRPr="00A53AD7" w14:paraId="1757C3D8" w14:textId="77777777" w:rsidTr="00F46AC9">
        <w:trPr>
          <w:trHeight w:val="649"/>
        </w:trPr>
        <w:tc>
          <w:tcPr>
            <w:tcW w:w="3483" w:type="dxa"/>
            <w:shd w:val="clear" w:color="auto" w:fill="auto"/>
          </w:tcPr>
          <w:p w14:paraId="12E208B7"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Современная школа (Архангельская область). Срок реализации: 01.11.2018 – 31.12.2024</w:t>
            </w:r>
          </w:p>
        </w:tc>
        <w:tc>
          <w:tcPr>
            <w:tcW w:w="5734" w:type="dxa"/>
            <w:shd w:val="clear" w:color="auto" w:fill="auto"/>
          </w:tcPr>
          <w:p w14:paraId="0474FE98"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D470B6" w:rsidRPr="00A53AD7" w14:paraId="0EAA3799" w14:textId="77777777" w:rsidTr="00F46AC9">
        <w:trPr>
          <w:trHeight w:val="86"/>
        </w:trPr>
        <w:tc>
          <w:tcPr>
            <w:tcW w:w="3483" w:type="dxa"/>
            <w:shd w:val="clear" w:color="auto" w:fill="auto"/>
          </w:tcPr>
          <w:p w14:paraId="1D00F8E8"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Успех каждого ребенка (Архангельская область). Срок реализации: 01.11.2018 – 31.12.2024</w:t>
            </w:r>
          </w:p>
        </w:tc>
        <w:tc>
          <w:tcPr>
            <w:tcW w:w="5734" w:type="dxa"/>
            <w:shd w:val="clear" w:color="auto" w:fill="auto"/>
          </w:tcPr>
          <w:p w14:paraId="4959A20A"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D470B6" w:rsidRPr="00A53AD7" w14:paraId="65D7001D" w14:textId="77777777" w:rsidTr="00F46AC9">
        <w:trPr>
          <w:trHeight w:val="611"/>
        </w:trPr>
        <w:tc>
          <w:tcPr>
            <w:tcW w:w="3483" w:type="dxa"/>
            <w:tcBorders>
              <w:top w:val="single" w:sz="4" w:space="0" w:color="auto"/>
              <w:left w:val="double" w:sz="4" w:space="0" w:color="auto"/>
              <w:bottom w:val="single" w:sz="4" w:space="0" w:color="auto"/>
              <w:right w:val="single" w:sz="4" w:space="0" w:color="auto"/>
            </w:tcBorders>
            <w:shd w:val="clear" w:color="auto" w:fill="auto"/>
          </w:tcPr>
          <w:p w14:paraId="33239384"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Поддержка семей, имеющих детей (Архангельская область). Срок реализации: 01.11.2018 – 31.12.2024</w:t>
            </w:r>
          </w:p>
        </w:tc>
        <w:tc>
          <w:tcPr>
            <w:tcW w:w="5734" w:type="dxa"/>
            <w:tcBorders>
              <w:top w:val="single" w:sz="4" w:space="0" w:color="auto"/>
              <w:left w:val="single" w:sz="4" w:space="0" w:color="auto"/>
              <w:bottom w:val="single" w:sz="4" w:space="0" w:color="auto"/>
              <w:right w:val="double" w:sz="4" w:space="0" w:color="auto"/>
            </w:tcBorders>
            <w:shd w:val="clear" w:color="auto" w:fill="auto"/>
          </w:tcPr>
          <w:p w14:paraId="76DF0BDC"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D470B6" w:rsidRPr="00A53AD7" w14:paraId="6DDD1172" w14:textId="77777777" w:rsidTr="00F46AC9">
        <w:trPr>
          <w:trHeight w:val="345"/>
        </w:trPr>
        <w:tc>
          <w:tcPr>
            <w:tcW w:w="3483" w:type="dxa"/>
            <w:tcBorders>
              <w:top w:val="single" w:sz="4" w:space="0" w:color="auto"/>
              <w:left w:val="double" w:sz="4" w:space="0" w:color="auto"/>
              <w:bottom w:val="single" w:sz="4" w:space="0" w:color="auto"/>
              <w:right w:val="single" w:sz="4" w:space="0" w:color="auto"/>
            </w:tcBorders>
            <w:shd w:val="clear" w:color="auto" w:fill="auto"/>
          </w:tcPr>
          <w:p w14:paraId="042C48DB"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Цифровая образовательная среда (Архангельская область). Срок реализации: 01.11.2018 – 31.12.2024</w:t>
            </w:r>
          </w:p>
        </w:tc>
        <w:tc>
          <w:tcPr>
            <w:tcW w:w="5734" w:type="dxa"/>
            <w:tcBorders>
              <w:top w:val="single" w:sz="4" w:space="0" w:color="auto"/>
              <w:left w:val="single" w:sz="4" w:space="0" w:color="auto"/>
              <w:bottom w:val="single" w:sz="4" w:space="0" w:color="auto"/>
              <w:right w:val="double" w:sz="4" w:space="0" w:color="auto"/>
            </w:tcBorders>
            <w:shd w:val="clear" w:color="auto" w:fill="auto"/>
          </w:tcPr>
          <w:p w14:paraId="31F3B7C0"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D470B6" w:rsidRPr="00A53AD7" w14:paraId="245B7FD0" w14:textId="77777777" w:rsidTr="00F46AC9">
        <w:tc>
          <w:tcPr>
            <w:tcW w:w="3483" w:type="dxa"/>
            <w:tcBorders>
              <w:top w:val="single" w:sz="4" w:space="0" w:color="auto"/>
              <w:left w:val="double" w:sz="4" w:space="0" w:color="auto"/>
              <w:bottom w:val="single" w:sz="4" w:space="0" w:color="auto"/>
              <w:right w:val="single" w:sz="4" w:space="0" w:color="auto"/>
            </w:tcBorders>
            <w:shd w:val="clear" w:color="auto" w:fill="auto"/>
          </w:tcPr>
          <w:p w14:paraId="54F3344E"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Учитель будущего (Архангельская область). Срок реализации: 01.11.2018 – 31.12.2024</w:t>
            </w:r>
          </w:p>
        </w:tc>
        <w:tc>
          <w:tcPr>
            <w:tcW w:w="5734" w:type="dxa"/>
            <w:tcBorders>
              <w:top w:val="single" w:sz="4" w:space="0" w:color="auto"/>
              <w:left w:val="single" w:sz="4" w:space="0" w:color="auto"/>
              <w:bottom w:val="single" w:sz="4" w:space="0" w:color="auto"/>
              <w:right w:val="double" w:sz="4" w:space="0" w:color="auto"/>
            </w:tcBorders>
            <w:shd w:val="clear" w:color="auto" w:fill="auto"/>
          </w:tcPr>
          <w:p w14:paraId="112A71C6"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D470B6" w:rsidRPr="00A53AD7" w14:paraId="0894BE27" w14:textId="77777777" w:rsidTr="00F46AC9">
        <w:trPr>
          <w:trHeight w:val="345"/>
        </w:trPr>
        <w:tc>
          <w:tcPr>
            <w:tcW w:w="3483" w:type="dxa"/>
            <w:tcBorders>
              <w:top w:val="single" w:sz="4" w:space="0" w:color="auto"/>
              <w:left w:val="double" w:sz="4" w:space="0" w:color="auto"/>
              <w:bottom w:val="single" w:sz="4" w:space="0" w:color="auto"/>
              <w:right w:val="single" w:sz="4" w:space="0" w:color="auto"/>
            </w:tcBorders>
            <w:shd w:val="clear" w:color="auto" w:fill="auto"/>
          </w:tcPr>
          <w:p w14:paraId="654321F5"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Молодые профессионалы (Архангельская область). Срок реализации: 01.11.2018 – 31.12.2024</w:t>
            </w:r>
          </w:p>
        </w:tc>
        <w:tc>
          <w:tcPr>
            <w:tcW w:w="5734" w:type="dxa"/>
            <w:tcBorders>
              <w:top w:val="single" w:sz="4" w:space="0" w:color="auto"/>
              <w:left w:val="single" w:sz="4" w:space="0" w:color="auto"/>
              <w:bottom w:val="single" w:sz="4" w:space="0" w:color="auto"/>
              <w:right w:val="double" w:sz="4" w:space="0" w:color="auto"/>
            </w:tcBorders>
            <w:shd w:val="clear" w:color="auto" w:fill="auto"/>
          </w:tcPr>
          <w:p w14:paraId="5B7A9436"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Государственная программа Архангельской области «Развитие образования и науки Архангельской области»</w:t>
            </w:r>
          </w:p>
        </w:tc>
      </w:tr>
      <w:tr w:rsidR="007920B1" w:rsidRPr="00A53AD7" w14:paraId="38DB8668" w14:textId="77777777" w:rsidTr="00F46AC9">
        <w:tc>
          <w:tcPr>
            <w:tcW w:w="3483" w:type="dxa"/>
            <w:shd w:val="clear" w:color="auto" w:fill="auto"/>
          </w:tcPr>
          <w:p w14:paraId="4D4F8C2C"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Социальная активность (Архангельская область). Срок реализации: 01.11.2018 – 31.12.2024</w:t>
            </w:r>
          </w:p>
        </w:tc>
        <w:tc>
          <w:tcPr>
            <w:tcW w:w="5734" w:type="dxa"/>
            <w:shd w:val="clear" w:color="auto" w:fill="auto"/>
          </w:tcPr>
          <w:p w14:paraId="7FC1620D" w14:textId="77777777" w:rsidR="00E4758C" w:rsidRPr="00A53AD7" w:rsidRDefault="00E4758C" w:rsidP="00F46AC9">
            <w:pPr>
              <w:spacing w:after="0" w:line="240" w:lineRule="auto"/>
              <w:rPr>
                <w:rFonts w:ascii="Times New Roman" w:hAnsi="Times New Roman"/>
                <w:sz w:val="18"/>
                <w:szCs w:val="18"/>
              </w:rPr>
            </w:pPr>
            <w:r w:rsidRPr="00A53AD7">
              <w:rPr>
                <w:rFonts w:ascii="Times New Roman" w:hAnsi="Times New Roman"/>
                <w:sz w:val="18"/>
                <w:szCs w:val="18"/>
              </w:rPr>
              <w:t>«Патриотическое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(2014 - 2024 годы)», «Государственная программа Архангельской области "Развитие образования и науки Архангельской области (2013 - 2025 годы)»</w:t>
            </w:r>
          </w:p>
        </w:tc>
      </w:tr>
    </w:tbl>
    <w:p w14:paraId="340233C9" w14:textId="77777777" w:rsidR="00051077" w:rsidRPr="00A53AD7" w:rsidRDefault="00051077" w:rsidP="00E4758C">
      <w:pPr>
        <w:spacing w:after="0" w:line="240" w:lineRule="auto"/>
        <w:ind w:firstLine="851"/>
        <w:jc w:val="both"/>
        <w:rPr>
          <w:rFonts w:ascii="Times New Roman" w:hAnsi="Times New Roman"/>
          <w:sz w:val="28"/>
          <w:szCs w:val="28"/>
        </w:rPr>
      </w:pPr>
    </w:p>
    <w:p w14:paraId="58C01D05" w14:textId="51206866"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Основные цели, показатели региональных проектов на 2019 год, а также отчетные данные минобрнауки АО за указанный период представлены в таблице </w:t>
      </w:r>
      <w:r w:rsidR="00720E8B" w:rsidRPr="00A53AD7">
        <w:rPr>
          <w:rFonts w:ascii="Times New Roman" w:hAnsi="Times New Roman"/>
          <w:sz w:val="28"/>
          <w:szCs w:val="28"/>
        </w:rPr>
        <w:t>66</w:t>
      </w:r>
      <w:r w:rsidRPr="00A53AD7">
        <w:rPr>
          <w:rFonts w:ascii="Times New Roman" w:hAnsi="Times New Roman"/>
          <w:sz w:val="28"/>
          <w:szCs w:val="28"/>
        </w:rPr>
        <w:t>.</w:t>
      </w:r>
    </w:p>
    <w:p w14:paraId="5D262F77" w14:textId="77777777" w:rsidR="00E4758C" w:rsidRPr="00A53AD7" w:rsidRDefault="00E4758C" w:rsidP="00E4758C">
      <w:pPr>
        <w:spacing w:after="0" w:line="240" w:lineRule="auto"/>
        <w:ind w:firstLine="851"/>
        <w:jc w:val="both"/>
        <w:rPr>
          <w:rFonts w:ascii="Times New Roman" w:hAnsi="Times New Roman"/>
          <w:sz w:val="16"/>
          <w:szCs w:val="16"/>
        </w:rPr>
      </w:pPr>
    </w:p>
    <w:p w14:paraId="1CF7E297" w14:textId="77777777" w:rsidR="00E4758C" w:rsidRPr="00A53AD7" w:rsidRDefault="00E4758C" w:rsidP="00E4758C">
      <w:pPr>
        <w:spacing w:after="0" w:line="240" w:lineRule="auto"/>
        <w:rPr>
          <w:rFonts w:ascii="Times New Roman" w:hAnsi="Times New Roman"/>
          <w:bCs/>
          <w:sz w:val="24"/>
          <w:szCs w:val="24"/>
        </w:rPr>
      </w:pPr>
      <w:r w:rsidRPr="00A53AD7">
        <w:rPr>
          <w:rFonts w:ascii="Times New Roman" w:hAnsi="Times New Roman"/>
          <w:bCs/>
          <w:sz w:val="24"/>
          <w:szCs w:val="24"/>
        </w:rPr>
        <w:t xml:space="preserve">Таблица </w:t>
      </w:r>
      <w:r w:rsidRPr="00A53AD7">
        <w:rPr>
          <w:rFonts w:ascii="Times New Roman" w:hAnsi="Times New Roman"/>
          <w:bCs/>
          <w:sz w:val="24"/>
          <w:szCs w:val="24"/>
        </w:rPr>
        <w:fldChar w:fldCharType="begin"/>
      </w:r>
      <w:r w:rsidRPr="00A53AD7">
        <w:rPr>
          <w:rFonts w:ascii="Times New Roman" w:hAnsi="Times New Roman"/>
          <w:bCs/>
          <w:sz w:val="24"/>
          <w:szCs w:val="24"/>
        </w:rPr>
        <w:instrText xml:space="preserve"> SEQ Таблица \* ARABIC </w:instrText>
      </w:r>
      <w:r w:rsidRPr="00A53AD7">
        <w:rPr>
          <w:rFonts w:ascii="Times New Roman" w:hAnsi="Times New Roman"/>
          <w:bCs/>
          <w:sz w:val="24"/>
          <w:szCs w:val="24"/>
        </w:rPr>
        <w:fldChar w:fldCharType="separate"/>
      </w:r>
      <w:r w:rsidR="005351E5" w:rsidRPr="00A53AD7">
        <w:rPr>
          <w:rFonts w:ascii="Times New Roman" w:hAnsi="Times New Roman"/>
          <w:bCs/>
          <w:noProof/>
          <w:sz w:val="24"/>
          <w:szCs w:val="24"/>
        </w:rPr>
        <w:t>66</w:t>
      </w:r>
      <w:r w:rsidRPr="00A53AD7">
        <w:rPr>
          <w:rFonts w:ascii="Times New Roman" w:hAnsi="Times New Roman"/>
          <w:bCs/>
          <w:sz w:val="24"/>
          <w:szCs w:val="24"/>
        </w:rPr>
        <w:fldChar w:fldCharType="end"/>
      </w:r>
      <w:r w:rsidRPr="00A53AD7">
        <w:rPr>
          <w:rFonts w:ascii="Times New Roman" w:hAnsi="Times New Roman"/>
          <w:bCs/>
          <w:sz w:val="24"/>
          <w:szCs w:val="24"/>
        </w:rPr>
        <w:t>. Цели и показатели региональных проектов, утверждённые в паспортах проектов, а также отчетные данные за 2019 год</w:t>
      </w:r>
    </w:p>
    <w:tbl>
      <w:tblPr>
        <w:tblpPr w:leftFromText="180" w:rightFromText="180" w:vertAnchor="text" w:tblpY="1"/>
        <w:tblOverlap w:val="never"/>
        <w:tblW w:w="9378" w:type="dxa"/>
        <w:tblLayout w:type="fixed"/>
        <w:tblLook w:val="04A0" w:firstRow="1" w:lastRow="0" w:firstColumn="1" w:lastColumn="0" w:noHBand="0" w:noVBand="1"/>
      </w:tblPr>
      <w:tblGrid>
        <w:gridCol w:w="5279"/>
        <w:gridCol w:w="1208"/>
        <w:gridCol w:w="992"/>
        <w:gridCol w:w="68"/>
        <w:gridCol w:w="925"/>
        <w:gridCol w:w="83"/>
        <w:gridCol w:w="823"/>
      </w:tblGrid>
      <w:tr w:rsidR="00D470B6" w:rsidRPr="00A53AD7" w14:paraId="471FAEF4" w14:textId="77777777" w:rsidTr="00897EA0">
        <w:trPr>
          <w:trHeight w:val="25"/>
          <w:tblHeader/>
        </w:trPr>
        <w:tc>
          <w:tcPr>
            <w:tcW w:w="527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CBC8615"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 показателя</w:t>
            </w:r>
          </w:p>
        </w:tc>
        <w:tc>
          <w:tcPr>
            <w:tcW w:w="1208"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770BB8F"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Ед. изм.</w:t>
            </w:r>
          </w:p>
        </w:tc>
        <w:tc>
          <w:tcPr>
            <w:tcW w:w="992"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5AD80E07"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План на 2019 год</w:t>
            </w:r>
          </w:p>
        </w:tc>
        <w:tc>
          <w:tcPr>
            <w:tcW w:w="1899" w:type="dxa"/>
            <w:gridSpan w:val="4"/>
            <w:tcBorders>
              <w:top w:val="double" w:sz="6" w:space="0" w:color="auto"/>
              <w:left w:val="nil"/>
              <w:bottom w:val="single" w:sz="4" w:space="0" w:color="auto"/>
              <w:right w:val="double" w:sz="6" w:space="0" w:color="000000"/>
            </w:tcBorders>
            <w:shd w:val="clear" w:color="auto" w:fill="auto"/>
            <w:vAlign w:val="center"/>
            <w:hideMark/>
          </w:tcPr>
          <w:p w14:paraId="2D9EFB69"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Исполнено за 2019 год</w:t>
            </w:r>
          </w:p>
        </w:tc>
      </w:tr>
      <w:tr w:rsidR="00D470B6" w:rsidRPr="00A53AD7" w14:paraId="3B143751" w14:textId="77777777" w:rsidTr="00897EA0">
        <w:trPr>
          <w:trHeight w:val="25"/>
          <w:tblHeader/>
        </w:trPr>
        <w:tc>
          <w:tcPr>
            <w:tcW w:w="5279" w:type="dxa"/>
            <w:vMerge/>
            <w:tcBorders>
              <w:top w:val="double" w:sz="6" w:space="0" w:color="auto"/>
              <w:left w:val="double" w:sz="6" w:space="0" w:color="auto"/>
              <w:bottom w:val="single" w:sz="4" w:space="0" w:color="auto"/>
              <w:right w:val="single" w:sz="4" w:space="0" w:color="auto"/>
            </w:tcBorders>
            <w:vAlign w:val="center"/>
            <w:hideMark/>
          </w:tcPr>
          <w:p w14:paraId="2587AF3E" w14:textId="77777777" w:rsidR="00E4758C" w:rsidRPr="00A53AD7" w:rsidRDefault="00E4758C" w:rsidP="00F46AC9">
            <w:pPr>
              <w:spacing w:after="0" w:line="240" w:lineRule="auto"/>
              <w:rPr>
                <w:rFonts w:ascii="Times New Roman" w:eastAsia="Times New Roman" w:hAnsi="Times New Roman"/>
                <w:b/>
                <w:bCs/>
                <w:sz w:val="20"/>
                <w:szCs w:val="20"/>
                <w:lang w:eastAsia="ru-RU"/>
              </w:rPr>
            </w:pPr>
          </w:p>
        </w:tc>
        <w:tc>
          <w:tcPr>
            <w:tcW w:w="1208" w:type="dxa"/>
            <w:vMerge/>
            <w:tcBorders>
              <w:top w:val="double" w:sz="6" w:space="0" w:color="auto"/>
              <w:left w:val="single" w:sz="4" w:space="0" w:color="auto"/>
              <w:bottom w:val="single" w:sz="4" w:space="0" w:color="auto"/>
              <w:right w:val="single" w:sz="4" w:space="0" w:color="auto"/>
            </w:tcBorders>
            <w:vAlign w:val="center"/>
            <w:hideMark/>
          </w:tcPr>
          <w:p w14:paraId="615AA6E0" w14:textId="77777777" w:rsidR="00E4758C" w:rsidRPr="00A53AD7" w:rsidRDefault="00E4758C" w:rsidP="00F46AC9">
            <w:pPr>
              <w:spacing w:after="0" w:line="240" w:lineRule="auto"/>
              <w:rPr>
                <w:rFonts w:ascii="Times New Roman" w:eastAsia="Times New Roman" w:hAnsi="Times New Roman"/>
                <w:b/>
                <w:bCs/>
                <w:sz w:val="20"/>
                <w:szCs w:val="20"/>
                <w:lang w:eastAsia="ru-RU"/>
              </w:rPr>
            </w:pPr>
          </w:p>
        </w:tc>
        <w:tc>
          <w:tcPr>
            <w:tcW w:w="992" w:type="dxa"/>
            <w:vMerge/>
            <w:tcBorders>
              <w:top w:val="double" w:sz="6" w:space="0" w:color="auto"/>
              <w:left w:val="single" w:sz="4" w:space="0" w:color="auto"/>
              <w:bottom w:val="single" w:sz="4" w:space="0" w:color="auto"/>
              <w:right w:val="single" w:sz="4" w:space="0" w:color="auto"/>
            </w:tcBorders>
            <w:vAlign w:val="center"/>
            <w:hideMark/>
          </w:tcPr>
          <w:p w14:paraId="6DC0D8E8" w14:textId="77777777" w:rsidR="00E4758C" w:rsidRPr="00A53AD7" w:rsidRDefault="00E4758C" w:rsidP="00F46AC9">
            <w:pPr>
              <w:spacing w:after="0" w:line="240" w:lineRule="auto"/>
              <w:rPr>
                <w:rFonts w:ascii="Times New Roman" w:eastAsia="Times New Roman" w:hAnsi="Times New Roman"/>
                <w:b/>
                <w:bCs/>
                <w:sz w:val="20"/>
                <w:szCs w:val="20"/>
                <w:lang w:eastAsia="ru-RU"/>
              </w:rPr>
            </w:pPr>
          </w:p>
        </w:tc>
        <w:tc>
          <w:tcPr>
            <w:tcW w:w="993" w:type="dxa"/>
            <w:gridSpan w:val="2"/>
            <w:tcBorders>
              <w:top w:val="nil"/>
              <w:left w:val="nil"/>
              <w:bottom w:val="single" w:sz="4" w:space="0" w:color="auto"/>
              <w:right w:val="single" w:sz="4" w:space="0" w:color="auto"/>
            </w:tcBorders>
            <w:shd w:val="clear" w:color="auto" w:fill="auto"/>
            <w:vAlign w:val="center"/>
            <w:hideMark/>
          </w:tcPr>
          <w:p w14:paraId="1A4E2DF3"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отчет</w:t>
            </w:r>
          </w:p>
        </w:tc>
        <w:tc>
          <w:tcPr>
            <w:tcW w:w="906" w:type="dxa"/>
            <w:gridSpan w:val="2"/>
            <w:tcBorders>
              <w:top w:val="nil"/>
              <w:left w:val="nil"/>
              <w:bottom w:val="single" w:sz="4" w:space="0" w:color="auto"/>
              <w:right w:val="double" w:sz="6" w:space="0" w:color="auto"/>
            </w:tcBorders>
            <w:shd w:val="clear" w:color="auto" w:fill="auto"/>
            <w:vAlign w:val="center"/>
            <w:hideMark/>
          </w:tcPr>
          <w:p w14:paraId="44458BE2"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испол-нения</w:t>
            </w:r>
          </w:p>
        </w:tc>
      </w:tr>
      <w:tr w:rsidR="00D470B6" w:rsidRPr="00A53AD7" w14:paraId="7F72AE8C" w14:textId="77777777" w:rsidTr="00F46AC9">
        <w:trPr>
          <w:trHeight w:val="60"/>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119AEC94"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«Современная школа»</w:t>
            </w:r>
          </w:p>
        </w:tc>
      </w:tr>
      <w:tr w:rsidR="00D470B6" w:rsidRPr="00A53AD7" w14:paraId="70A34E8D" w14:textId="77777777" w:rsidTr="00F46AC9">
        <w:trPr>
          <w:trHeight w:val="60"/>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6D9F2752"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hAnsi="Times New Roman"/>
                <w:sz w:val="18"/>
                <w:szCs w:val="18"/>
              </w:rPr>
              <w:t>Число общеобразовательных организаций, расположенных в сельской местности и малых городах, обновивших материально-техническую базу для реализации основных и дополнительных общеобразовательных программ цифрового, естественнонаучного и гуманитарного профилей</w:t>
            </w:r>
          </w:p>
        </w:tc>
        <w:tc>
          <w:tcPr>
            <w:tcW w:w="1208" w:type="dxa"/>
            <w:tcBorders>
              <w:top w:val="nil"/>
              <w:left w:val="nil"/>
              <w:bottom w:val="single" w:sz="4" w:space="0" w:color="auto"/>
              <w:right w:val="single" w:sz="4" w:space="0" w:color="auto"/>
            </w:tcBorders>
            <w:shd w:val="clear" w:color="auto" w:fill="auto"/>
            <w:vAlign w:val="center"/>
            <w:hideMark/>
          </w:tcPr>
          <w:p w14:paraId="0DB45560"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ед.</w:t>
            </w:r>
          </w:p>
        </w:tc>
        <w:tc>
          <w:tcPr>
            <w:tcW w:w="992" w:type="dxa"/>
            <w:tcBorders>
              <w:top w:val="nil"/>
              <w:left w:val="nil"/>
              <w:bottom w:val="single" w:sz="4" w:space="0" w:color="auto"/>
              <w:right w:val="single" w:sz="4" w:space="0" w:color="auto"/>
            </w:tcBorders>
            <w:shd w:val="clear" w:color="auto" w:fill="auto"/>
            <w:vAlign w:val="center"/>
            <w:hideMark/>
          </w:tcPr>
          <w:p w14:paraId="5A3BFC98"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0,023</w:t>
            </w:r>
          </w:p>
        </w:tc>
        <w:tc>
          <w:tcPr>
            <w:tcW w:w="993" w:type="dxa"/>
            <w:gridSpan w:val="2"/>
            <w:tcBorders>
              <w:top w:val="nil"/>
              <w:left w:val="nil"/>
              <w:bottom w:val="single" w:sz="4" w:space="0" w:color="auto"/>
              <w:right w:val="single" w:sz="4" w:space="0" w:color="auto"/>
            </w:tcBorders>
            <w:shd w:val="clear" w:color="auto" w:fill="auto"/>
            <w:vAlign w:val="center"/>
            <w:hideMark/>
          </w:tcPr>
          <w:p w14:paraId="4A564050"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0,023</w:t>
            </w:r>
          </w:p>
        </w:tc>
        <w:tc>
          <w:tcPr>
            <w:tcW w:w="906" w:type="dxa"/>
            <w:gridSpan w:val="2"/>
            <w:tcBorders>
              <w:top w:val="nil"/>
              <w:left w:val="nil"/>
              <w:bottom w:val="single" w:sz="4" w:space="0" w:color="auto"/>
              <w:right w:val="double" w:sz="6" w:space="0" w:color="auto"/>
            </w:tcBorders>
            <w:shd w:val="clear" w:color="auto" w:fill="auto"/>
            <w:vAlign w:val="center"/>
            <w:hideMark/>
          </w:tcPr>
          <w:p w14:paraId="69EE28E2"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B5C4C44" w14:textId="77777777" w:rsidTr="00F46AC9">
        <w:trPr>
          <w:trHeight w:hRule="exact" w:val="738"/>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44095901"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hAnsi="Times New Roman"/>
                <w:sz w:val="18"/>
                <w:szCs w:val="18"/>
              </w:rPr>
              <w:t>Численность обучающихся, охваченных основными и дополнительными общеобразовательными программами цифрового, естественнонаучного и гуманитарного профиля</w:t>
            </w:r>
          </w:p>
        </w:tc>
        <w:tc>
          <w:tcPr>
            <w:tcW w:w="1208" w:type="dxa"/>
            <w:tcBorders>
              <w:top w:val="nil"/>
              <w:left w:val="nil"/>
              <w:bottom w:val="single" w:sz="4" w:space="0" w:color="auto"/>
              <w:right w:val="single" w:sz="4" w:space="0" w:color="auto"/>
            </w:tcBorders>
            <w:shd w:val="clear" w:color="auto" w:fill="auto"/>
            <w:vAlign w:val="center"/>
            <w:hideMark/>
          </w:tcPr>
          <w:p w14:paraId="35A856DA"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чел</w:t>
            </w:r>
          </w:p>
        </w:tc>
        <w:tc>
          <w:tcPr>
            <w:tcW w:w="992" w:type="dxa"/>
            <w:tcBorders>
              <w:top w:val="nil"/>
              <w:left w:val="nil"/>
              <w:bottom w:val="single" w:sz="4" w:space="0" w:color="auto"/>
              <w:right w:val="single" w:sz="4" w:space="0" w:color="auto"/>
            </w:tcBorders>
            <w:shd w:val="clear" w:color="auto" w:fill="auto"/>
            <w:vAlign w:val="center"/>
            <w:hideMark/>
          </w:tcPr>
          <w:p w14:paraId="1618BAB8"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7,3</w:t>
            </w:r>
          </w:p>
        </w:tc>
        <w:tc>
          <w:tcPr>
            <w:tcW w:w="993" w:type="dxa"/>
            <w:gridSpan w:val="2"/>
            <w:tcBorders>
              <w:top w:val="nil"/>
              <w:left w:val="nil"/>
              <w:bottom w:val="single" w:sz="4" w:space="0" w:color="auto"/>
              <w:right w:val="single" w:sz="4" w:space="0" w:color="auto"/>
            </w:tcBorders>
            <w:shd w:val="clear" w:color="auto" w:fill="auto"/>
            <w:vAlign w:val="center"/>
            <w:hideMark/>
          </w:tcPr>
          <w:p w14:paraId="4DBFF04C"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7,3</w:t>
            </w:r>
          </w:p>
        </w:tc>
        <w:tc>
          <w:tcPr>
            <w:tcW w:w="906" w:type="dxa"/>
            <w:gridSpan w:val="2"/>
            <w:tcBorders>
              <w:top w:val="nil"/>
              <w:left w:val="nil"/>
              <w:bottom w:val="single" w:sz="4" w:space="0" w:color="auto"/>
              <w:right w:val="double" w:sz="6" w:space="0" w:color="auto"/>
            </w:tcBorders>
            <w:shd w:val="clear" w:color="auto" w:fill="auto"/>
            <w:vAlign w:val="center"/>
            <w:hideMark/>
          </w:tcPr>
          <w:p w14:paraId="57726A13"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A6AF965" w14:textId="77777777" w:rsidTr="00F46AC9">
        <w:trPr>
          <w:trHeight w:hRule="exact" w:val="610"/>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7EE6C615"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hAnsi="Times New Roman"/>
                <w:sz w:val="18"/>
                <w:szCs w:val="18"/>
              </w:rPr>
              <w:t>Число созданных новых мест в общеобразовательных организациях, расположенных в сельской местности и поселках городского типа</w:t>
            </w:r>
          </w:p>
        </w:tc>
        <w:tc>
          <w:tcPr>
            <w:tcW w:w="1208" w:type="dxa"/>
            <w:tcBorders>
              <w:top w:val="nil"/>
              <w:left w:val="nil"/>
              <w:bottom w:val="single" w:sz="4" w:space="0" w:color="auto"/>
              <w:right w:val="single" w:sz="4" w:space="0" w:color="auto"/>
            </w:tcBorders>
            <w:shd w:val="clear" w:color="auto" w:fill="auto"/>
            <w:vAlign w:val="center"/>
            <w:hideMark/>
          </w:tcPr>
          <w:p w14:paraId="764A1DB8"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тыс. мест</w:t>
            </w:r>
          </w:p>
        </w:tc>
        <w:tc>
          <w:tcPr>
            <w:tcW w:w="992" w:type="dxa"/>
            <w:tcBorders>
              <w:top w:val="nil"/>
              <w:left w:val="nil"/>
              <w:bottom w:val="single" w:sz="4" w:space="0" w:color="auto"/>
              <w:right w:val="single" w:sz="4" w:space="0" w:color="auto"/>
            </w:tcBorders>
            <w:shd w:val="clear" w:color="auto" w:fill="auto"/>
            <w:vAlign w:val="center"/>
            <w:hideMark/>
          </w:tcPr>
          <w:p w14:paraId="1463130F"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0,320</w:t>
            </w:r>
          </w:p>
        </w:tc>
        <w:tc>
          <w:tcPr>
            <w:tcW w:w="993" w:type="dxa"/>
            <w:gridSpan w:val="2"/>
            <w:tcBorders>
              <w:top w:val="nil"/>
              <w:left w:val="nil"/>
              <w:bottom w:val="single" w:sz="4" w:space="0" w:color="auto"/>
              <w:right w:val="single" w:sz="4" w:space="0" w:color="auto"/>
            </w:tcBorders>
            <w:shd w:val="clear" w:color="auto" w:fill="auto"/>
            <w:vAlign w:val="center"/>
            <w:hideMark/>
          </w:tcPr>
          <w:p w14:paraId="37DED9A0"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0,32</w:t>
            </w:r>
          </w:p>
        </w:tc>
        <w:tc>
          <w:tcPr>
            <w:tcW w:w="906" w:type="dxa"/>
            <w:gridSpan w:val="2"/>
            <w:tcBorders>
              <w:top w:val="nil"/>
              <w:left w:val="nil"/>
              <w:bottom w:val="single" w:sz="4" w:space="0" w:color="auto"/>
              <w:right w:val="double" w:sz="6" w:space="0" w:color="auto"/>
            </w:tcBorders>
            <w:shd w:val="clear" w:color="auto" w:fill="auto"/>
            <w:vAlign w:val="center"/>
            <w:hideMark/>
          </w:tcPr>
          <w:p w14:paraId="7B4FAB49"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8921695" w14:textId="77777777" w:rsidTr="00F46AC9">
        <w:trPr>
          <w:trHeight w:val="60"/>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34EE647E" w14:textId="77777777" w:rsidR="00E4758C" w:rsidRPr="00A53AD7" w:rsidRDefault="00E4758C" w:rsidP="00F46AC9">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Региональный проект «Успех каждого ребенка»</w:t>
            </w:r>
          </w:p>
        </w:tc>
      </w:tr>
      <w:tr w:rsidR="00D470B6" w:rsidRPr="00A53AD7" w14:paraId="48F19A01" w14:textId="77777777" w:rsidTr="00F46AC9">
        <w:trPr>
          <w:trHeight w:val="732"/>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57791FAE"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Число детей, получивших рекомендации по построению индивидуального учебного плана в соответствии с выбранными профессиональными компетенциями</w:t>
            </w:r>
          </w:p>
          <w:p w14:paraId="5CC12FF9"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(профессиональными областями деятельности), в том числе по итогам участия в проекте "Билет в будущее"</w:t>
            </w:r>
          </w:p>
        </w:tc>
        <w:tc>
          <w:tcPr>
            <w:tcW w:w="1208" w:type="dxa"/>
            <w:tcBorders>
              <w:top w:val="nil"/>
              <w:left w:val="nil"/>
              <w:bottom w:val="single" w:sz="4" w:space="0" w:color="auto"/>
              <w:right w:val="single" w:sz="4" w:space="0" w:color="auto"/>
            </w:tcBorders>
            <w:shd w:val="clear" w:color="auto" w:fill="auto"/>
            <w:vAlign w:val="center"/>
            <w:hideMark/>
          </w:tcPr>
          <w:p w14:paraId="7A5A5485"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 чел.</w:t>
            </w:r>
          </w:p>
        </w:tc>
        <w:tc>
          <w:tcPr>
            <w:tcW w:w="992" w:type="dxa"/>
            <w:tcBorders>
              <w:top w:val="nil"/>
              <w:left w:val="nil"/>
              <w:bottom w:val="single" w:sz="4" w:space="0" w:color="auto"/>
              <w:right w:val="single" w:sz="4" w:space="0" w:color="auto"/>
            </w:tcBorders>
            <w:shd w:val="clear" w:color="auto" w:fill="auto"/>
            <w:vAlign w:val="center"/>
            <w:hideMark/>
          </w:tcPr>
          <w:p w14:paraId="76697630"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993" w:type="dxa"/>
            <w:gridSpan w:val="2"/>
            <w:tcBorders>
              <w:top w:val="nil"/>
              <w:left w:val="nil"/>
              <w:bottom w:val="single" w:sz="4" w:space="0" w:color="auto"/>
              <w:right w:val="single" w:sz="4" w:space="0" w:color="auto"/>
            </w:tcBorders>
            <w:shd w:val="clear" w:color="auto" w:fill="auto"/>
            <w:vAlign w:val="center"/>
            <w:hideMark/>
          </w:tcPr>
          <w:p w14:paraId="46E803A7"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0,2</w:t>
            </w:r>
          </w:p>
        </w:tc>
        <w:tc>
          <w:tcPr>
            <w:tcW w:w="906" w:type="dxa"/>
            <w:gridSpan w:val="2"/>
            <w:tcBorders>
              <w:top w:val="nil"/>
              <w:left w:val="nil"/>
              <w:bottom w:val="single" w:sz="4" w:space="0" w:color="auto"/>
              <w:right w:val="double" w:sz="6" w:space="0" w:color="auto"/>
            </w:tcBorders>
            <w:shd w:val="clear" w:color="auto" w:fill="auto"/>
            <w:vAlign w:val="center"/>
            <w:hideMark/>
          </w:tcPr>
          <w:p w14:paraId="4DE0ED04"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038C794" w14:textId="77777777" w:rsidTr="00051077">
        <w:trPr>
          <w:trHeight w:hRule="exact" w:val="1555"/>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77ADF340"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Число детей, охваченных деятельностью детских технопарков "Кванториум" (мобильных технопарков "Кванториум") и других проектов, направленных на обеспечение доступности дополнительных общеобразовательных программ естественнонаучной и технической направленностей, соответствующих приоритетным направлениям технологического развития Российской Федерации образования</w:t>
            </w:r>
          </w:p>
        </w:tc>
        <w:tc>
          <w:tcPr>
            <w:tcW w:w="1208" w:type="dxa"/>
            <w:tcBorders>
              <w:top w:val="nil"/>
              <w:left w:val="nil"/>
              <w:bottom w:val="single" w:sz="4" w:space="0" w:color="auto"/>
              <w:right w:val="single" w:sz="4" w:space="0" w:color="auto"/>
            </w:tcBorders>
            <w:shd w:val="clear" w:color="auto" w:fill="auto"/>
            <w:vAlign w:val="center"/>
            <w:hideMark/>
          </w:tcPr>
          <w:p w14:paraId="6759C4C0"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 чел.</w:t>
            </w:r>
          </w:p>
        </w:tc>
        <w:tc>
          <w:tcPr>
            <w:tcW w:w="992" w:type="dxa"/>
            <w:tcBorders>
              <w:top w:val="nil"/>
              <w:left w:val="nil"/>
              <w:bottom w:val="single" w:sz="4" w:space="0" w:color="auto"/>
              <w:right w:val="single" w:sz="4" w:space="0" w:color="auto"/>
            </w:tcBorders>
            <w:shd w:val="clear" w:color="auto" w:fill="auto"/>
            <w:vAlign w:val="center"/>
            <w:hideMark/>
          </w:tcPr>
          <w:p w14:paraId="79DDE62B"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p>
        </w:tc>
        <w:tc>
          <w:tcPr>
            <w:tcW w:w="993" w:type="dxa"/>
            <w:gridSpan w:val="2"/>
            <w:tcBorders>
              <w:top w:val="nil"/>
              <w:left w:val="nil"/>
              <w:bottom w:val="single" w:sz="4" w:space="0" w:color="auto"/>
              <w:right w:val="single" w:sz="4" w:space="0" w:color="auto"/>
            </w:tcBorders>
            <w:shd w:val="clear" w:color="auto" w:fill="auto"/>
            <w:vAlign w:val="center"/>
            <w:hideMark/>
          </w:tcPr>
          <w:p w14:paraId="50D3F974"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w:t>
            </w:r>
          </w:p>
        </w:tc>
        <w:tc>
          <w:tcPr>
            <w:tcW w:w="906" w:type="dxa"/>
            <w:gridSpan w:val="2"/>
            <w:tcBorders>
              <w:top w:val="nil"/>
              <w:left w:val="nil"/>
              <w:bottom w:val="single" w:sz="4" w:space="0" w:color="auto"/>
              <w:right w:val="double" w:sz="6" w:space="0" w:color="auto"/>
            </w:tcBorders>
            <w:shd w:val="clear" w:color="auto" w:fill="auto"/>
            <w:vAlign w:val="center"/>
            <w:hideMark/>
          </w:tcPr>
          <w:p w14:paraId="6F15BE77"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0A742F8" w14:textId="77777777" w:rsidTr="00051077">
        <w:trPr>
          <w:trHeight w:hRule="exact" w:val="416"/>
        </w:trPr>
        <w:tc>
          <w:tcPr>
            <w:tcW w:w="5279" w:type="dxa"/>
            <w:tcBorders>
              <w:top w:val="nil"/>
              <w:left w:val="double" w:sz="6" w:space="0" w:color="auto"/>
              <w:bottom w:val="single" w:sz="4" w:space="0" w:color="auto"/>
              <w:right w:val="single" w:sz="4" w:space="0" w:color="auto"/>
            </w:tcBorders>
            <w:shd w:val="clear" w:color="auto" w:fill="auto"/>
            <w:vAlign w:val="center"/>
          </w:tcPr>
          <w:p w14:paraId="0D4D456C"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Доля детей в возрасте от 5 до 18 лет, охваченных дополнительным образованием</w:t>
            </w:r>
          </w:p>
        </w:tc>
        <w:tc>
          <w:tcPr>
            <w:tcW w:w="1208" w:type="dxa"/>
            <w:tcBorders>
              <w:top w:val="nil"/>
              <w:left w:val="nil"/>
              <w:bottom w:val="single" w:sz="4" w:space="0" w:color="auto"/>
              <w:right w:val="single" w:sz="4" w:space="0" w:color="auto"/>
            </w:tcBorders>
            <w:shd w:val="clear" w:color="auto" w:fill="auto"/>
            <w:vAlign w:val="center"/>
          </w:tcPr>
          <w:p w14:paraId="686CECBD"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tcPr>
          <w:p w14:paraId="35C30AD1"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w:t>
            </w:r>
          </w:p>
        </w:tc>
        <w:tc>
          <w:tcPr>
            <w:tcW w:w="993" w:type="dxa"/>
            <w:gridSpan w:val="2"/>
            <w:tcBorders>
              <w:top w:val="nil"/>
              <w:left w:val="nil"/>
              <w:bottom w:val="single" w:sz="4" w:space="0" w:color="auto"/>
              <w:right w:val="single" w:sz="4" w:space="0" w:color="auto"/>
            </w:tcBorders>
            <w:shd w:val="clear" w:color="auto" w:fill="auto"/>
            <w:vAlign w:val="center"/>
          </w:tcPr>
          <w:p w14:paraId="1682CCF2"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w:t>
            </w:r>
          </w:p>
        </w:tc>
        <w:tc>
          <w:tcPr>
            <w:tcW w:w="906" w:type="dxa"/>
            <w:gridSpan w:val="2"/>
            <w:tcBorders>
              <w:top w:val="nil"/>
              <w:left w:val="nil"/>
              <w:bottom w:val="single" w:sz="4" w:space="0" w:color="auto"/>
              <w:right w:val="double" w:sz="6" w:space="0" w:color="auto"/>
            </w:tcBorders>
            <w:shd w:val="clear" w:color="auto" w:fill="auto"/>
            <w:vAlign w:val="center"/>
          </w:tcPr>
          <w:p w14:paraId="32FD0B4C"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D11ACFD" w14:textId="77777777" w:rsidTr="00F46AC9">
        <w:trPr>
          <w:trHeight w:hRule="exact" w:val="1158"/>
        </w:trPr>
        <w:tc>
          <w:tcPr>
            <w:tcW w:w="5279" w:type="dxa"/>
            <w:tcBorders>
              <w:top w:val="nil"/>
              <w:left w:val="double" w:sz="6" w:space="0" w:color="auto"/>
              <w:bottom w:val="single" w:sz="4" w:space="0" w:color="auto"/>
              <w:right w:val="single" w:sz="4" w:space="0" w:color="auto"/>
            </w:tcBorders>
            <w:shd w:val="clear" w:color="auto" w:fill="auto"/>
            <w:vAlign w:val="center"/>
          </w:tcPr>
          <w:p w14:paraId="1BC0EE33"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Число участников открытых онлайн-уроков, реализуемых с учетом опыта цикла открытых уроков "Проектория", "Уроки настоящего" или иных аналогичных по возможностям, функциям и результатам проектов, направленных на раннюю профориентацию</w:t>
            </w:r>
          </w:p>
        </w:tc>
        <w:tc>
          <w:tcPr>
            <w:tcW w:w="1208" w:type="dxa"/>
            <w:tcBorders>
              <w:top w:val="nil"/>
              <w:left w:val="nil"/>
              <w:bottom w:val="single" w:sz="4" w:space="0" w:color="auto"/>
              <w:right w:val="single" w:sz="4" w:space="0" w:color="auto"/>
            </w:tcBorders>
            <w:shd w:val="clear" w:color="auto" w:fill="auto"/>
            <w:vAlign w:val="center"/>
          </w:tcPr>
          <w:p w14:paraId="537EE6A7"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млн.чел.</w:t>
            </w:r>
          </w:p>
        </w:tc>
        <w:tc>
          <w:tcPr>
            <w:tcW w:w="992" w:type="dxa"/>
            <w:tcBorders>
              <w:top w:val="nil"/>
              <w:left w:val="nil"/>
              <w:bottom w:val="single" w:sz="4" w:space="0" w:color="auto"/>
              <w:right w:val="single" w:sz="4" w:space="0" w:color="auto"/>
            </w:tcBorders>
            <w:shd w:val="clear" w:color="auto" w:fill="auto"/>
            <w:vAlign w:val="center"/>
          </w:tcPr>
          <w:p w14:paraId="4663837D"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0,0315</w:t>
            </w:r>
          </w:p>
        </w:tc>
        <w:tc>
          <w:tcPr>
            <w:tcW w:w="993" w:type="dxa"/>
            <w:gridSpan w:val="2"/>
            <w:tcBorders>
              <w:top w:val="nil"/>
              <w:left w:val="nil"/>
              <w:bottom w:val="single" w:sz="4" w:space="0" w:color="auto"/>
              <w:right w:val="single" w:sz="4" w:space="0" w:color="auto"/>
            </w:tcBorders>
            <w:shd w:val="clear" w:color="auto" w:fill="auto"/>
            <w:vAlign w:val="center"/>
          </w:tcPr>
          <w:p w14:paraId="72B81EAF"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0,0315</w:t>
            </w:r>
          </w:p>
        </w:tc>
        <w:tc>
          <w:tcPr>
            <w:tcW w:w="906" w:type="dxa"/>
            <w:gridSpan w:val="2"/>
            <w:tcBorders>
              <w:top w:val="nil"/>
              <w:left w:val="nil"/>
              <w:bottom w:val="single" w:sz="4" w:space="0" w:color="auto"/>
              <w:right w:val="double" w:sz="6" w:space="0" w:color="auto"/>
            </w:tcBorders>
            <w:shd w:val="clear" w:color="auto" w:fill="auto"/>
            <w:vAlign w:val="center"/>
          </w:tcPr>
          <w:p w14:paraId="1C7E1C55"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490C530D" w14:textId="77777777" w:rsidTr="00F46AC9">
        <w:trPr>
          <w:trHeight w:val="255"/>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tcPr>
          <w:p w14:paraId="1A264406" w14:textId="77777777" w:rsidR="00E4758C" w:rsidRPr="00A53AD7" w:rsidRDefault="00E4758C" w:rsidP="00F46AC9">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Региональный проект «</w:t>
            </w:r>
            <w:r w:rsidRPr="00A53AD7">
              <w:rPr>
                <w:rFonts w:ascii="Times New Roman" w:hAnsi="Times New Roman"/>
                <w:b/>
                <w:sz w:val="18"/>
                <w:szCs w:val="18"/>
              </w:rPr>
              <w:t>Поддержка семей, имеющих детей</w:t>
            </w:r>
            <w:r w:rsidRPr="00A53AD7">
              <w:rPr>
                <w:rFonts w:ascii="Times New Roman" w:eastAsia="Times New Roman" w:hAnsi="Times New Roman"/>
                <w:b/>
                <w:bCs/>
                <w:sz w:val="18"/>
                <w:szCs w:val="18"/>
                <w:lang w:eastAsia="ru-RU"/>
              </w:rPr>
              <w:t>»</w:t>
            </w:r>
          </w:p>
        </w:tc>
      </w:tr>
      <w:tr w:rsidR="00D470B6" w:rsidRPr="00A53AD7" w14:paraId="29FBF146" w14:textId="77777777" w:rsidTr="00F46AC9">
        <w:trPr>
          <w:trHeight w:val="732"/>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78DAEE63"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Доля граждан, положительно оценивших качество услуг психолого-педагогической, методической и консультативной помощи, от общего числа обратившихся за получением услуги</w:t>
            </w:r>
          </w:p>
        </w:tc>
        <w:tc>
          <w:tcPr>
            <w:tcW w:w="1208" w:type="dxa"/>
            <w:tcBorders>
              <w:top w:val="nil"/>
              <w:left w:val="nil"/>
              <w:bottom w:val="single" w:sz="4" w:space="0" w:color="auto"/>
              <w:right w:val="single" w:sz="4" w:space="0" w:color="auto"/>
            </w:tcBorders>
            <w:shd w:val="clear" w:color="auto" w:fill="auto"/>
            <w:vAlign w:val="center"/>
            <w:hideMark/>
          </w:tcPr>
          <w:p w14:paraId="01F855E9"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 чел.</w:t>
            </w:r>
          </w:p>
        </w:tc>
        <w:tc>
          <w:tcPr>
            <w:tcW w:w="1060" w:type="dxa"/>
            <w:gridSpan w:val="2"/>
            <w:tcBorders>
              <w:top w:val="nil"/>
              <w:left w:val="nil"/>
              <w:bottom w:val="single" w:sz="4" w:space="0" w:color="auto"/>
              <w:right w:val="single" w:sz="4" w:space="0" w:color="auto"/>
            </w:tcBorders>
            <w:shd w:val="clear" w:color="auto" w:fill="auto"/>
            <w:vAlign w:val="center"/>
            <w:hideMark/>
          </w:tcPr>
          <w:p w14:paraId="2F048E8F"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008" w:type="dxa"/>
            <w:gridSpan w:val="2"/>
            <w:tcBorders>
              <w:top w:val="nil"/>
              <w:left w:val="nil"/>
              <w:bottom w:val="single" w:sz="4" w:space="0" w:color="auto"/>
              <w:right w:val="single" w:sz="4" w:space="0" w:color="auto"/>
            </w:tcBorders>
            <w:shd w:val="clear" w:color="auto" w:fill="auto"/>
            <w:vAlign w:val="center"/>
            <w:hideMark/>
          </w:tcPr>
          <w:p w14:paraId="5CDDBF4B"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23" w:type="dxa"/>
            <w:tcBorders>
              <w:top w:val="nil"/>
              <w:left w:val="nil"/>
              <w:bottom w:val="single" w:sz="4" w:space="0" w:color="auto"/>
              <w:right w:val="double" w:sz="6" w:space="0" w:color="auto"/>
            </w:tcBorders>
            <w:shd w:val="clear" w:color="auto" w:fill="auto"/>
            <w:vAlign w:val="center"/>
            <w:hideMark/>
          </w:tcPr>
          <w:p w14:paraId="42008BB2"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0470ED3" w14:textId="77777777" w:rsidTr="00051077">
        <w:trPr>
          <w:trHeight w:hRule="exact" w:val="1246"/>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4163DA74"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Количество услуг психолого-педагогической, методической и консультативной помощи родителям (законным представителям) детей, а также гражданам, желающим принять</w:t>
            </w:r>
          </w:p>
          <w:p w14:paraId="2EC06DAE" w14:textId="77777777" w:rsidR="00E4758C" w:rsidRPr="00A53AD7" w:rsidRDefault="00E4758C" w:rsidP="00F46AC9">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на воспитание в свои семьи детей, оставшихся без попечения родителей, в том числе с привлечением некоммерческих организаций (далее - НКО), нарастающим итогом с 2019 года</w:t>
            </w:r>
          </w:p>
        </w:tc>
        <w:tc>
          <w:tcPr>
            <w:tcW w:w="1208" w:type="dxa"/>
            <w:tcBorders>
              <w:top w:val="nil"/>
              <w:left w:val="nil"/>
              <w:bottom w:val="single" w:sz="4" w:space="0" w:color="auto"/>
              <w:right w:val="single" w:sz="4" w:space="0" w:color="auto"/>
            </w:tcBorders>
            <w:shd w:val="clear" w:color="auto" w:fill="auto"/>
            <w:vAlign w:val="center"/>
            <w:hideMark/>
          </w:tcPr>
          <w:p w14:paraId="273C8860"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 чел.</w:t>
            </w:r>
          </w:p>
        </w:tc>
        <w:tc>
          <w:tcPr>
            <w:tcW w:w="1060" w:type="dxa"/>
            <w:gridSpan w:val="2"/>
            <w:tcBorders>
              <w:top w:val="nil"/>
              <w:left w:val="nil"/>
              <w:bottom w:val="single" w:sz="4" w:space="0" w:color="auto"/>
              <w:right w:val="single" w:sz="4" w:space="0" w:color="auto"/>
            </w:tcBorders>
            <w:shd w:val="clear" w:color="auto" w:fill="auto"/>
            <w:vAlign w:val="center"/>
            <w:hideMark/>
          </w:tcPr>
          <w:p w14:paraId="58488E62"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0,02</w:t>
            </w:r>
          </w:p>
        </w:tc>
        <w:tc>
          <w:tcPr>
            <w:tcW w:w="1008" w:type="dxa"/>
            <w:gridSpan w:val="2"/>
            <w:tcBorders>
              <w:top w:val="nil"/>
              <w:left w:val="nil"/>
              <w:bottom w:val="single" w:sz="4" w:space="0" w:color="auto"/>
              <w:right w:val="single" w:sz="4" w:space="0" w:color="auto"/>
            </w:tcBorders>
            <w:shd w:val="clear" w:color="auto" w:fill="auto"/>
            <w:vAlign w:val="center"/>
            <w:hideMark/>
          </w:tcPr>
          <w:p w14:paraId="728B38B0"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0,02</w:t>
            </w:r>
          </w:p>
        </w:tc>
        <w:tc>
          <w:tcPr>
            <w:tcW w:w="823" w:type="dxa"/>
            <w:tcBorders>
              <w:top w:val="nil"/>
              <w:left w:val="nil"/>
              <w:bottom w:val="single" w:sz="4" w:space="0" w:color="auto"/>
              <w:right w:val="double" w:sz="6" w:space="0" w:color="auto"/>
            </w:tcBorders>
            <w:shd w:val="clear" w:color="auto" w:fill="auto"/>
            <w:vAlign w:val="center"/>
            <w:hideMark/>
          </w:tcPr>
          <w:p w14:paraId="620AB823"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04315E33" w14:textId="77777777" w:rsidTr="00F46AC9">
        <w:trPr>
          <w:trHeight w:val="255"/>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tcPr>
          <w:p w14:paraId="51109502" w14:textId="77777777" w:rsidR="00E4758C" w:rsidRPr="00A53AD7" w:rsidRDefault="00E4758C" w:rsidP="00F46AC9">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Региональный проект «</w:t>
            </w:r>
            <w:r w:rsidRPr="00A53AD7">
              <w:rPr>
                <w:rFonts w:ascii="Times New Roman" w:hAnsi="Times New Roman"/>
                <w:b/>
                <w:sz w:val="18"/>
                <w:szCs w:val="18"/>
              </w:rPr>
              <w:t>Цифровая образовательная среда</w:t>
            </w:r>
            <w:r w:rsidRPr="00A53AD7">
              <w:rPr>
                <w:rFonts w:ascii="Times New Roman" w:eastAsia="Times New Roman" w:hAnsi="Times New Roman"/>
                <w:b/>
                <w:bCs/>
                <w:sz w:val="18"/>
                <w:szCs w:val="18"/>
                <w:lang w:eastAsia="ru-RU"/>
              </w:rPr>
              <w:t>»</w:t>
            </w:r>
          </w:p>
        </w:tc>
      </w:tr>
      <w:tr w:rsidR="00D470B6" w:rsidRPr="00A53AD7" w14:paraId="0EE4D442" w14:textId="77777777" w:rsidTr="00F46AC9">
        <w:trPr>
          <w:trHeight w:val="732"/>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74F7704A"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Доля обучающихся по программам общего образования, дополнительного образования для детей и среднего профессионального образования, для которых формируется цифровой образовательный профиль и индивидуальный план обучения с использованием федеральной информационно</w:t>
            </w:r>
            <w:r w:rsidRPr="00A53AD7">
              <w:rPr>
                <w:rFonts w:ascii="Times New Roman" w:eastAsia="Courier New" w:hAnsi="Times New Roman"/>
                <w:sz w:val="18"/>
                <w:szCs w:val="18"/>
                <w:lang w:eastAsia="ru-RU" w:bidi="ru-RU"/>
              </w:rPr>
              <w:softHyphen/>
              <w:t>сервисной платформы цифровой образовательной среды, в общем числе обучающихся по указанным программам</w:t>
            </w:r>
          </w:p>
        </w:tc>
        <w:tc>
          <w:tcPr>
            <w:tcW w:w="1208" w:type="dxa"/>
            <w:tcBorders>
              <w:top w:val="nil"/>
              <w:left w:val="nil"/>
              <w:bottom w:val="single" w:sz="4" w:space="0" w:color="auto"/>
              <w:right w:val="single" w:sz="4" w:space="0" w:color="auto"/>
            </w:tcBorders>
            <w:shd w:val="clear" w:color="auto" w:fill="auto"/>
            <w:vAlign w:val="center"/>
            <w:hideMark/>
          </w:tcPr>
          <w:p w14:paraId="539BB5B3"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hideMark/>
          </w:tcPr>
          <w:p w14:paraId="179686BF"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1008" w:type="dxa"/>
            <w:gridSpan w:val="2"/>
            <w:tcBorders>
              <w:top w:val="nil"/>
              <w:left w:val="nil"/>
              <w:bottom w:val="single" w:sz="4" w:space="0" w:color="auto"/>
              <w:right w:val="single" w:sz="4" w:space="0" w:color="auto"/>
            </w:tcBorders>
            <w:shd w:val="clear" w:color="auto" w:fill="auto"/>
            <w:vAlign w:val="center"/>
            <w:hideMark/>
          </w:tcPr>
          <w:p w14:paraId="04BC0463"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823" w:type="dxa"/>
            <w:tcBorders>
              <w:top w:val="nil"/>
              <w:left w:val="nil"/>
              <w:bottom w:val="single" w:sz="4" w:space="0" w:color="auto"/>
              <w:right w:val="double" w:sz="6" w:space="0" w:color="auto"/>
            </w:tcBorders>
            <w:shd w:val="clear" w:color="auto" w:fill="auto"/>
            <w:vAlign w:val="center"/>
            <w:hideMark/>
          </w:tcPr>
          <w:p w14:paraId="3C0109E1"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54931AC" w14:textId="77777777" w:rsidTr="00F46AC9">
        <w:trPr>
          <w:trHeight w:hRule="exact" w:val="1134"/>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7BAFA171" w14:textId="77777777" w:rsidR="00E4758C" w:rsidRPr="00A53AD7" w:rsidRDefault="00E4758C" w:rsidP="00F46AC9">
            <w:pPr>
              <w:widowControl w:val="0"/>
              <w:spacing w:after="0" w:line="211" w:lineRule="exact"/>
              <w:rPr>
                <w:rFonts w:ascii="Times New Roman" w:eastAsia="Times New Roman" w:hAnsi="Times New Roman"/>
                <w:lang w:eastAsia="ru-RU" w:bidi="ru-RU"/>
              </w:rPr>
            </w:pPr>
            <w:r w:rsidRPr="00A53AD7">
              <w:rPr>
                <w:rFonts w:ascii="Times New Roman" w:eastAsia="Times New Roman" w:hAnsi="Times New Roman"/>
                <w:sz w:val="18"/>
                <w:szCs w:val="18"/>
                <w:lang w:eastAsia="ru-RU" w:bidi="ru-RU"/>
              </w:rPr>
              <w:t>Количество субъектов</w:t>
            </w:r>
          </w:p>
          <w:p w14:paraId="1BD17878"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Российской Федерации, в которых внедрена целевая модель цифровой образовательной среды в образовательных организациях, реализующих образовательные программы общего образования и среднего профессионального образования</w:t>
            </w:r>
          </w:p>
        </w:tc>
        <w:tc>
          <w:tcPr>
            <w:tcW w:w="1208" w:type="dxa"/>
            <w:tcBorders>
              <w:top w:val="nil"/>
              <w:left w:val="nil"/>
              <w:bottom w:val="single" w:sz="4" w:space="0" w:color="auto"/>
              <w:right w:val="single" w:sz="4" w:space="0" w:color="auto"/>
            </w:tcBorders>
            <w:shd w:val="clear" w:color="auto" w:fill="auto"/>
            <w:vAlign w:val="center"/>
            <w:hideMark/>
          </w:tcPr>
          <w:p w14:paraId="4E07565B"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w:t>
            </w:r>
          </w:p>
        </w:tc>
        <w:tc>
          <w:tcPr>
            <w:tcW w:w="1060" w:type="dxa"/>
            <w:gridSpan w:val="2"/>
            <w:tcBorders>
              <w:top w:val="nil"/>
              <w:left w:val="nil"/>
              <w:bottom w:val="single" w:sz="4" w:space="0" w:color="auto"/>
              <w:right w:val="single" w:sz="4" w:space="0" w:color="auto"/>
            </w:tcBorders>
            <w:shd w:val="clear" w:color="auto" w:fill="auto"/>
            <w:vAlign w:val="center"/>
            <w:hideMark/>
          </w:tcPr>
          <w:p w14:paraId="0A88B4D5"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008" w:type="dxa"/>
            <w:gridSpan w:val="2"/>
            <w:tcBorders>
              <w:top w:val="nil"/>
              <w:left w:val="nil"/>
              <w:bottom w:val="single" w:sz="4" w:space="0" w:color="auto"/>
              <w:right w:val="single" w:sz="4" w:space="0" w:color="auto"/>
            </w:tcBorders>
            <w:shd w:val="clear" w:color="auto" w:fill="auto"/>
            <w:vAlign w:val="center"/>
            <w:hideMark/>
          </w:tcPr>
          <w:p w14:paraId="398E05B4"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w:t>
            </w:r>
          </w:p>
        </w:tc>
        <w:tc>
          <w:tcPr>
            <w:tcW w:w="823" w:type="dxa"/>
            <w:tcBorders>
              <w:top w:val="nil"/>
              <w:left w:val="nil"/>
              <w:bottom w:val="single" w:sz="4" w:space="0" w:color="auto"/>
              <w:right w:val="double" w:sz="6" w:space="0" w:color="auto"/>
            </w:tcBorders>
            <w:shd w:val="clear" w:color="auto" w:fill="auto"/>
            <w:vAlign w:val="center"/>
            <w:hideMark/>
          </w:tcPr>
          <w:p w14:paraId="187D9852"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3B074A0" w14:textId="77777777" w:rsidTr="00F46AC9">
        <w:trPr>
          <w:trHeight w:hRule="exact" w:val="1405"/>
        </w:trPr>
        <w:tc>
          <w:tcPr>
            <w:tcW w:w="5279" w:type="dxa"/>
            <w:tcBorders>
              <w:top w:val="nil"/>
              <w:left w:val="double" w:sz="6" w:space="0" w:color="auto"/>
              <w:bottom w:val="single" w:sz="4" w:space="0" w:color="auto"/>
              <w:right w:val="single" w:sz="4" w:space="0" w:color="auto"/>
            </w:tcBorders>
            <w:shd w:val="clear" w:color="auto" w:fill="auto"/>
            <w:vAlign w:val="center"/>
            <w:hideMark/>
          </w:tcPr>
          <w:p w14:paraId="04034996"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Доля педагогических работников общего образования, прошедших повышение квалификации в рамках периодической аттестации в цифровой форме с использованием информационного ресурса "одного окна" ("Современная цифровая образовательная среда в Российской Федерации"), в общем числе педагогических работников общего образования</w:t>
            </w:r>
          </w:p>
        </w:tc>
        <w:tc>
          <w:tcPr>
            <w:tcW w:w="1208" w:type="dxa"/>
            <w:tcBorders>
              <w:top w:val="nil"/>
              <w:left w:val="nil"/>
              <w:bottom w:val="single" w:sz="4" w:space="0" w:color="auto"/>
              <w:right w:val="single" w:sz="4" w:space="0" w:color="auto"/>
            </w:tcBorders>
            <w:shd w:val="clear" w:color="auto" w:fill="auto"/>
            <w:vAlign w:val="center"/>
            <w:hideMark/>
          </w:tcPr>
          <w:p w14:paraId="0D2AB884"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hideMark/>
          </w:tcPr>
          <w:p w14:paraId="3AF55C32"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1008" w:type="dxa"/>
            <w:gridSpan w:val="2"/>
            <w:tcBorders>
              <w:top w:val="nil"/>
              <w:left w:val="nil"/>
              <w:bottom w:val="single" w:sz="4" w:space="0" w:color="auto"/>
              <w:right w:val="single" w:sz="4" w:space="0" w:color="auto"/>
            </w:tcBorders>
            <w:shd w:val="clear" w:color="auto" w:fill="auto"/>
            <w:vAlign w:val="center"/>
            <w:hideMark/>
          </w:tcPr>
          <w:p w14:paraId="71DEC580"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w:t>
            </w:r>
          </w:p>
        </w:tc>
        <w:tc>
          <w:tcPr>
            <w:tcW w:w="823" w:type="dxa"/>
            <w:tcBorders>
              <w:top w:val="nil"/>
              <w:left w:val="nil"/>
              <w:bottom w:val="single" w:sz="4" w:space="0" w:color="auto"/>
              <w:right w:val="double" w:sz="6" w:space="0" w:color="auto"/>
            </w:tcBorders>
            <w:shd w:val="clear" w:color="auto" w:fill="auto"/>
            <w:vAlign w:val="center"/>
            <w:hideMark/>
          </w:tcPr>
          <w:p w14:paraId="0A4BA974"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1CC61AD" w14:textId="77777777" w:rsidTr="00F46AC9">
        <w:trPr>
          <w:trHeight w:val="255"/>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tcPr>
          <w:p w14:paraId="7376DB6A"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w:t>
            </w:r>
            <w:r w:rsidRPr="00A53AD7">
              <w:rPr>
                <w:rFonts w:ascii="Times New Roman" w:hAnsi="Times New Roman"/>
                <w:b/>
                <w:sz w:val="20"/>
                <w:szCs w:val="20"/>
              </w:rPr>
              <w:t>Молодые профессионалы (повышение конкурентоспособности профессионального обазования</w:t>
            </w:r>
            <w:r w:rsidRPr="00A53AD7">
              <w:rPr>
                <w:rFonts w:ascii="Times New Roman" w:eastAsia="Times New Roman" w:hAnsi="Times New Roman"/>
                <w:b/>
                <w:bCs/>
                <w:sz w:val="20"/>
                <w:szCs w:val="20"/>
                <w:lang w:eastAsia="ru-RU"/>
              </w:rPr>
              <w:t>»</w:t>
            </w:r>
          </w:p>
        </w:tc>
      </w:tr>
      <w:tr w:rsidR="00D470B6" w:rsidRPr="00A53AD7" w14:paraId="25CF649D" w14:textId="77777777" w:rsidTr="00F46AC9">
        <w:trPr>
          <w:trHeight w:val="732"/>
        </w:trPr>
        <w:tc>
          <w:tcPr>
            <w:tcW w:w="5279" w:type="dxa"/>
            <w:tcBorders>
              <w:top w:val="nil"/>
              <w:left w:val="double" w:sz="6" w:space="0" w:color="auto"/>
              <w:bottom w:val="single" w:sz="4" w:space="0" w:color="auto"/>
              <w:right w:val="single" w:sz="4" w:space="0" w:color="auto"/>
            </w:tcBorders>
            <w:shd w:val="clear" w:color="auto" w:fill="auto"/>
            <w:vAlign w:val="center"/>
          </w:tcPr>
          <w:p w14:paraId="08CC008B"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Доля организаций, осуществляющих образовательную деятельность по образовательным программам среднего профессионального образования, итоговая аттестация</w:t>
            </w:r>
          </w:p>
        </w:tc>
        <w:tc>
          <w:tcPr>
            <w:tcW w:w="1208" w:type="dxa"/>
            <w:tcBorders>
              <w:top w:val="nil"/>
              <w:left w:val="nil"/>
              <w:bottom w:val="single" w:sz="4" w:space="0" w:color="auto"/>
              <w:right w:val="single" w:sz="4" w:space="0" w:color="auto"/>
            </w:tcBorders>
            <w:shd w:val="clear" w:color="auto" w:fill="auto"/>
            <w:vAlign w:val="center"/>
          </w:tcPr>
          <w:p w14:paraId="153D8E0B"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tcPr>
          <w:p w14:paraId="757F02A7"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w:t>
            </w:r>
          </w:p>
        </w:tc>
        <w:tc>
          <w:tcPr>
            <w:tcW w:w="1008" w:type="dxa"/>
            <w:gridSpan w:val="2"/>
            <w:tcBorders>
              <w:top w:val="nil"/>
              <w:left w:val="nil"/>
              <w:bottom w:val="single" w:sz="4" w:space="0" w:color="auto"/>
              <w:right w:val="single" w:sz="4" w:space="0" w:color="auto"/>
            </w:tcBorders>
            <w:shd w:val="clear" w:color="auto" w:fill="auto"/>
            <w:vAlign w:val="center"/>
          </w:tcPr>
          <w:p w14:paraId="2495A586"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1,96</w:t>
            </w:r>
          </w:p>
        </w:tc>
        <w:tc>
          <w:tcPr>
            <w:tcW w:w="823" w:type="dxa"/>
            <w:tcBorders>
              <w:top w:val="nil"/>
              <w:left w:val="nil"/>
              <w:bottom w:val="single" w:sz="4" w:space="0" w:color="auto"/>
              <w:right w:val="double" w:sz="6" w:space="0" w:color="auto"/>
            </w:tcBorders>
            <w:shd w:val="clear" w:color="auto" w:fill="auto"/>
            <w:vAlign w:val="center"/>
          </w:tcPr>
          <w:p w14:paraId="1BFBCC0A"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327EE4F" w14:textId="77777777" w:rsidTr="00F46AC9">
        <w:trPr>
          <w:trHeight w:hRule="exact" w:val="492"/>
        </w:trPr>
        <w:tc>
          <w:tcPr>
            <w:tcW w:w="5279" w:type="dxa"/>
            <w:tcBorders>
              <w:top w:val="nil"/>
              <w:left w:val="double" w:sz="6" w:space="0" w:color="auto"/>
              <w:bottom w:val="single" w:sz="4" w:space="0" w:color="auto"/>
              <w:right w:val="single" w:sz="4" w:space="0" w:color="auto"/>
            </w:tcBorders>
            <w:shd w:val="clear" w:color="auto" w:fill="auto"/>
            <w:vAlign w:val="center"/>
          </w:tcPr>
          <w:p w14:paraId="2053B1BB"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Число мастерских, оснащенных современной материально</w:t>
            </w:r>
            <w:r w:rsidRPr="00A53AD7">
              <w:rPr>
                <w:rFonts w:ascii="Times New Roman" w:eastAsia="Courier New" w:hAnsi="Times New Roman"/>
                <w:sz w:val="18"/>
                <w:szCs w:val="18"/>
                <w:lang w:eastAsia="ru-RU" w:bidi="ru-RU"/>
              </w:rPr>
              <w:softHyphen/>
              <w:t>технической базой по одной из компетенций</w:t>
            </w:r>
          </w:p>
        </w:tc>
        <w:tc>
          <w:tcPr>
            <w:tcW w:w="1208" w:type="dxa"/>
            <w:tcBorders>
              <w:top w:val="nil"/>
              <w:left w:val="nil"/>
              <w:bottom w:val="single" w:sz="4" w:space="0" w:color="auto"/>
              <w:right w:val="single" w:sz="4" w:space="0" w:color="auto"/>
            </w:tcBorders>
            <w:shd w:val="clear" w:color="auto" w:fill="auto"/>
            <w:vAlign w:val="center"/>
          </w:tcPr>
          <w:p w14:paraId="45D60C7A"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единица</w:t>
            </w:r>
          </w:p>
        </w:tc>
        <w:tc>
          <w:tcPr>
            <w:tcW w:w="1060" w:type="dxa"/>
            <w:gridSpan w:val="2"/>
            <w:tcBorders>
              <w:top w:val="nil"/>
              <w:left w:val="nil"/>
              <w:bottom w:val="single" w:sz="4" w:space="0" w:color="auto"/>
              <w:right w:val="single" w:sz="4" w:space="0" w:color="auto"/>
            </w:tcBorders>
            <w:shd w:val="clear" w:color="auto" w:fill="auto"/>
            <w:vAlign w:val="center"/>
          </w:tcPr>
          <w:p w14:paraId="3FA99157"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1008" w:type="dxa"/>
            <w:gridSpan w:val="2"/>
            <w:tcBorders>
              <w:top w:val="nil"/>
              <w:left w:val="nil"/>
              <w:bottom w:val="single" w:sz="4" w:space="0" w:color="auto"/>
              <w:right w:val="single" w:sz="4" w:space="0" w:color="auto"/>
            </w:tcBorders>
            <w:shd w:val="clear" w:color="auto" w:fill="auto"/>
            <w:vAlign w:val="center"/>
          </w:tcPr>
          <w:p w14:paraId="67399B75"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823" w:type="dxa"/>
            <w:tcBorders>
              <w:top w:val="nil"/>
              <w:left w:val="nil"/>
              <w:bottom w:val="single" w:sz="4" w:space="0" w:color="auto"/>
              <w:right w:val="double" w:sz="6" w:space="0" w:color="auto"/>
            </w:tcBorders>
            <w:shd w:val="clear" w:color="auto" w:fill="auto"/>
            <w:vAlign w:val="center"/>
          </w:tcPr>
          <w:p w14:paraId="280DC414"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6E18C066" w14:textId="77777777" w:rsidTr="00051077">
        <w:trPr>
          <w:trHeight w:hRule="exact" w:val="272"/>
        </w:trPr>
        <w:tc>
          <w:tcPr>
            <w:tcW w:w="5279" w:type="dxa"/>
            <w:tcBorders>
              <w:top w:val="nil"/>
              <w:left w:val="double" w:sz="6" w:space="0" w:color="auto"/>
              <w:bottom w:val="single" w:sz="4" w:space="0" w:color="auto"/>
              <w:right w:val="single" w:sz="4" w:space="0" w:color="auto"/>
            </w:tcBorders>
            <w:shd w:val="clear" w:color="auto" w:fill="auto"/>
            <w:vAlign w:val="center"/>
          </w:tcPr>
          <w:p w14:paraId="1DEE2BA3"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Число центров опережающей профессиональной подготовки</w:t>
            </w:r>
          </w:p>
        </w:tc>
        <w:tc>
          <w:tcPr>
            <w:tcW w:w="1208" w:type="dxa"/>
            <w:tcBorders>
              <w:top w:val="nil"/>
              <w:left w:val="nil"/>
              <w:bottom w:val="single" w:sz="4" w:space="0" w:color="auto"/>
              <w:right w:val="single" w:sz="4" w:space="0" w:color="auto"/>
            </w:tcBorders>
            <w:shd w:val="clear" w:color="auto" w:fill="auto"/>
            <w:vAlign w:val="center"/>
          </w:tcPr>
          <w:p w14:paraId="550CC502"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единица</w:t>
            </w:r>
          </w:p>
        </w:tc>
        <w:tc>
          <w:tcPr>
            <w:tcW w:w="1060" w:type="dxa"/>
            <w:gridSpan w:val="2"/>
            <w:tcBorders>
              <w:top w:val="nil"/>
              <w:left w:val="nil"/>
              <w:bottom w:val="single" w:sz="4" w:space="0" w:color="auto"/>
              <w:right w:val="single" w:sz="4" w:space="0" w:color="auto"/>
            </w:tcBorders>
            <w:shd w:val="clear" w:color="auto" w:fill="auto"/>
            <w:vAlign w:val="center"/>
          </w:tcPr>
          <w:p w14:paraId="65EED1CA"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008" w:type="dxa"/>
            <w:gridSpan w:val="2"/>
            <w:tcBorders>
              <w:top w:val="nil"/>
              <w:left w:val="nil"/>
              <w:bottom w:val="single" w:sz="4" w:space="0" w:color="auto"/>
              <w:right w:val="single" w:sz="4" w:space="0" w:color="auto"/>
            </w:tcBorders>
            <w:shd w:val="clear" w:color="auto" w:fill="auto"/>
            <w:vAlign w:val="center"/>
          </w:tcPr>
          <w:p w14:paraId="15F31A16"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823" w:type="dxa"/>
            <w:tcBorders>
              <w:top w:val="nil"/>
              <w:left w:val="nil"/>
              <w:bottom w:val="single" w:sz="4" w:space="0" w:color="auto"/>
              <w:right w:val="double" w:sz="6" w:space="0" w:color="auto"/>
            </w:tcBorders>
            <w:shd w:val="clear" w:color="auto" w:fill="auto"/>
            <w:vAlign w:val="center"/>
          </w:tcPr>
          <w:p w14:paraId="2A3C8075"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6C97464" w14:textId="77777777" w:rsidTr="00F46AC9">
        <w:trPr>
          <w:trHeight w:hRule="exact" w:val="846"/>
        </w:trPr>
        <w:tc>
          <w:tcPr>
            <w:tcW w:w="5279" w:type="dxa"/>
            <w:tcBorders>
              <w:top w:val="nil"/>
              <w:left w:val="double" w:sz="6" w:space="0" w:color="auto"/>
              <w:bottom w:val="single" w:sz="4" w:space="0" w:color="auto"/>
              <w:right w:val="single" w:sz="4" w:space="0" w:color="auto"/>
            </w:tcBorders>
            <w:shd w:val="clear" w:color="auto" w:fill="auto"/>
            <w:vAlign w:val="center"/>
          </w:tcPr>
          <w:p w14:paraId="4699F63A"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sz w:val="18"/>
                <w:szCs w:val="18"/>
                <w:lang w:eastAsia="ru-RU" w:bidi="ru-RU"/>
              </w:rPr>
              <w:t>Доля обучающихся, завершающих обучение в организациях, осуществляющих образовательную деятельность по образовательным программам среднего профессионального образования</w:t>
            </w:r>
          </w:p>
        </w:tc>
        <w:tc>
          <w:tcPr>
            <w:tcW w:w="1208" w:type="dxa"/>
            <w:tcBorders>
              <w:top w:val="nil"/>
              <w:left w:val="nil"/>
              <w:bottom w:val="single" w:sz="4" w:space="0" w:color="auto"/>
              <w:right w:val="single" w:sz="4" w:space="0" w:color="auto"/>
            </w:tcBorders>
            <w:shd w:val="clear" w:color="auto" w:fill="auto"/>
            <w:vAlign w:val="center"/>
          </w:tcPr>
          <w:p w14:paraId="1B87DB93"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tcPr>
          <w:p w14:paraId="45FF5B56"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w:t>
            </w:r>
          </w:p>
        </w:tc>
        <w:tc>
          <w:tcPr>
            <w:tcW w:w="1008" w:type="dxa"/>
            <w:gridSpan w:val="2"/>
            <w:tcBorders>
              <w:top w:val="nil"/>
              <w:left w:val="nil"/>
              <w:bottom w:val="single" w:sz="4" w:space="0" w:color="auto"/>
              <w:right w:val="single" w:sz="4" w:space="0" w:color="auto"/>
            </w:tcBorders>
            <w:shd w:val="clear" w:color="auto" w:fill="auto"/>
            <w:vAlign w:val="center"/>
          </w:tcPr>
          <w:p w14:paraId="705FD046"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w:t>
            </w:r>
          </w:p>
        </w:tc>
        <w:tc>
          <w:tcPr>
            <w:tcW w:w="823" w:type="dxa"/>
            <w:tcBorders>
              <w:top w:val="nil"/>
              <w:left w:val="nil"/>
              <w:bottom w:val="single" w:sz="4" w:space="0" w:color="auto"/>
              <w:right w:val="double" w:sz="6" w:space="0" w:color="auto"/>
            </w:tcBorders>
            <w:shd w:val="clear" w:color="auto" w:fill="auto"/>
            <w:vAlign w:val="center"/>
          </w:tcPr>
          <w:p w14:paraId="26C60C0F"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3E824F4A" w14:textId="77777777" w:rsidTr="00F46AC9">
        <w:trPr>
          <w:trHeight w:val="255"/>
        </w:trPr>
        <w:tc>
          <w:tcPr>
            <w:tcW w:w="9378" w:type="dxa"/>
            <w:gridSpan w:val="7"/>
            <w:tcBorders>
              <w:top w:val="single" w:sz="4" w:space="0" w:color="auto"/>
              <w:left w:val="double" w:sz="6" w:space="0" w:color="auto"/>
              <w:bottom w:val="single" w:sz="4" w:space="0" w:color="auto"/>
              <w:right w:val="double" w:sz="6" w:space="0" w:color="000000"/>
            </w:tcBorders>
            <w:shd w:val="clear" w:color="auto" w:fill="auto"/>
            <w:vAlign w:val="center"/>
          </w:tcPr>
          <w:p w14:paraId="4982EB1B" w14:textId="77777777" w:rsidR="00E4758C" w:rsidRPr="00A53AD7" w:rsidRDefault="00E4758C" w:rsidP="00F46AC9">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Региональный проект «</w:t>
            </w:r>
            <w:r w:rsidRPr="00A53AD7">
              <w:rPr>
                <w:rFonts w:ascii="Times New Roman" w:hAnsi="Times New Roman"/>
                <w:b/>
                <w:sz w:val="20"/>
                <w:szCs w:val="20"/>
              </w:rPr>
              <w:t>Социальная активность</w:t>
            </w:r>
            <w:r w:rsidRPr="00A53AD7">
              <w:rPr>
                <w:rFonts w:ascii="Times New Roman" w:eastAsia="Times New Roman" w:hAnsi="Times New Roman"/>
                <w:b/>
                <w:bCs/>
                <w:sz w:val="20"/>
                <w:szCs w:val="20"/>
                <w:lang w:eastAsia="ru-RU"/>
              </w:rPr>
              <w:t>»</w:t>
            </w:r>
          </w:p>
        </w:tc>
      </w:tr>
      <w:tr w:rsidR="00D470B6" w:rsidRPr="00A53AD7" w14:paraId="56133263" w14:textId="77777777" w:rsidTr="00051077">
        <w:trPr>
          <w:trHeight w:val="295"/>
        </w:trPr>
        <w:tc>
          <w:tcPr>
            <w:tcW w:w="5279" w:type="dxa"/>
            <w:tcBorders>
              <w:top w:val="nil"/>
              <w:left w:val="double" w:sz="6" w:space="0" w:color="auto"/>
              <w:bottom w:val="single" w:sz="4" w:space="0" w:color="auto"/>
              <w:right w:val="single" w:sz="4" w:space="0" w:color="auto"/>
            </w:tcBorders>
            <w:shd w:val="clear" w:color="auto" w:fill="auto"/>
            <w:vAlign w:val="center"/>
          </w:tcPr>
          <w:p w14:paraId="2828939D"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Tahoma" w:hAnsi="Times New Roman"/>
                <w:sz w:val="18"/>
                <w:szCs w:val="18"/>
                <w:lang w:eastAsia="ru-RU" w:bidi="ru-RU"/>
              </w:rPr>
              <w:t>Доля граждан, вовлеченных в добровольческую деятельность</w:t>
            </w:r>
          </w:p>
        </w:tc>
        <w:tc>
          <w:tcPr>
            <w:tcW w:w="1208" w:type="dxa"/>
            <w:tcBorders>
              <w:top w:val="nil"/>
              <w:left w:val="nil"/>
              <w:bottom w:val="single" w:sz="4" w:space="0" w:color="auto"/>
              <w:right w:val="single" w:sz="4" w:space="0" w:color="auto"/>
            </w:tcBorders>
            <w:shd w:val="clear" w:color="auto" w:fill="auto"/>
            <w:vAlign w:val="center"/>
          </w:tcPr>
          <w:p w14:paraId="37B3BDAF"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tcPr>
          <w:p w14:paraId="0580BFA4"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w:t>
            </w:r>
          </w:p>
        </w:tc>
        <w:tc>
          <w:tcPr>
            <w:tcW w:w="1008" w:type="dxa"/>
            <w:gridSpan w:val="2"/>
            <w:tcBorders>
              <w:top w:val="nil"/>
              <w:left w:val="nil"/>
              <w:bottom w:val="single" w:sz="4" w:space="0" w:color="auto"/>
              <w:right w:val="single" w:sz="4" w:space="0" w:color="auto"/>
            </w:tcBorders>
            <w:shd w:val="clear" w:color="auto" w:fill="auto"/>
            <w:vAlign w:val="center"/>
          </w:tcPr>
          <w:p w14:paraId="37449A9F"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w:t>
            </w:r>
          </w:p>
        </w:tc>
        <w:tc>
          <w:tcPr>
            <w:tcW w:w="823" w:type="dxa"/>
            <w:tcBorders>
              <w:top w:val="nil"/>
              <w:left w:val="nil"/>
              <w:bottom w:val="single" w:sz="4" w:space="0" w:color="auto"/>
              <w:right w:val="double" w:sz="6" w:space="0" w:color="auto"/>
            </w:tcBorders>
            <w:shd w:val="clear" w:color="auto" w:fill="auto"/>
            <w:vAlign w:val="center"/>
          </w:tcPr>
          <w:p w14:paraId="5DEC8766"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5D29CE0" w14:textId="77777777" w:rsidTr="00F46AC9">
        <w:trPr>
          <w:trHeight w:hRule="exact" w:val="492"/>
        </w:trPr>
        <w:tc>
          <w:tcPr>
            <w:tcW w:w="5279" w:type="dxa"/>
            <w:tcBorders>
              <w:top w:val="nil"/>
              <w:left w:val="double" w:sz="6" w:space="0" w:color="auto"/>
              <w:bottom w:val="single" w:sz="4" w:space="0" w:color="auto"/>
              <w:right w:val="single" w:sz="4" w:space="0" w:color="auto"/>
            </w:tcBorders>
            <w:shd w:val="clear" w:color="auto" w:fill="auto"/>
            <w:vAlign w:val="center"/>
          </w:tcPr>
          <w:p w14:paraId="3980F41B"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Tahoma" w:hAnsi="Times New Roman"/>
                <w:sz w:val="18"/>
                <w:szCs w:val="18"/>
                <w:lang w:eastAsia="ru-RU" w:bidi="ru-RU"/>
              </w:rPr>
              <w:t>Численность обучающихся, вовлеченных в деятельность общественных объединений на базе образовательных организаций общего образования, среднего и высшего профессионального образования, млн. человек накопительным итогом</w:t>
            </w:r>
          </w:p>
        </w:tc>
        <w:tc>
          <w:tcPr>
            <w:tcW w:w="1208" w:type="dxa"/>
            <w:tcBorders>
              <w:top w:val="nil"/>
              <w:left w:val="nil"/>
              <w:bottom w:val="single" w:sz="4" w:space="0" w:color="auto"/>
              <w:right w:val="single" w:sz="4" w:space="0" w:color="auto"/>
            </w:tcBorders>
            <w:shd w:val="clear" w:color="auto" w:fill="auto"/>
            <w:vAlign w:val="center"/>
          </w:tcPr>
          <w:p w14:paraId="2321781E"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млн.чел.</w:t>
            </w:r>
          </w:p>
        </w:tc>
        <w:tc>
          <w:tcPr>
            <w:tcW w:w="1060" w:type="dxa"/>
            <w:gridSpan w:val="2"/>
            <w:tcBorders>
              <w:top w:val="nil"/>
              <w:left w:val="nil"/>
              <w:bottom w:val="single" w:sz="4" w:space="0" w:color="auto"/>
              <w:right w:val="single" w:sz="4" w:space="0" w:color="auto"/>
            </w:tcBorders>
            <w:shd w:val="clear" w:color="auto" w:fill="auto"/>
            <w:vAlign w:val="center"/>
          </w:tcPr>
          <w:p w14:paraId="5609D53D"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0,04</w:t>
            </w:r>
          </w:p>
        </w:tc>
        <w:tc>
          <w:tcPr>
            <w:tcW w:w="1008" w:type="dxa"/>
            <w:gridSpan w:val="2"/>
            <w:tcBorders>
              <w:top w:val="nil"/>
              <w:left w:val="nil"/>
              <w:bottom w:val="single" w:sz="4" w:space="0" w:color="auto"/>
              <w:right w:val="single" w:sz="4" w:space="0" w:color="auto"/>
            </w:tcBorders>
            <w:shd w:val="clear" w:color="auto" w:fill="auto"/>
            <w:vAlign w:val="center"/>
          </w:tcPr>
          <w:p w14:paraId="524663CB"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0,04</w:t>
            </w:r>
          </w:p>
        </w:tc>
        <w:tc>
          <w:tcPr>
            <w:tcW w:w="823" w:type="dxa"/>
            <w:tcBorders>
              <w:top w:val="nil"/>
              <w:left w:val="nil"/>
              <w:bottom w:val="single" w:sz="4" w:space="0" w:color="auto"/>
              <w:right w:val="double" w:sz="6" w:space="0" w:color="auto"/>
            </w:tcBorders>
            <w:shd w:val="clear" w:color="auto" w:fill="auto"/>
            <w:vAlign w:val="center"/>
          </w:tcPr>
          <w:p w14:paraId="716F4C64"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73143964" w14:textId="77777777" w:rsidTr="00F46AC9">
        <w:trPr>
          <w:trHeight w:hRule="exact" w:val="428"/>
        </w:trPr>
        <w:tc>
          <w:tcPr>
            <w:tcW w:w="5279" w:type="dxa"/>
            <w:tcBorders>
              <w:top w:val="nil"/>
              <w:left w:val="double" w:sz="6" w:space="0" w:color="auto"/>
              <w:bottom w:val="single" w:sz="4" w:space="0" w:color="auto"/>
              <w:right w:val="single" w:sz="4" w:space="0" w:color="auto"/>
            </w:tcBorders>
            <w:shd w:val="clear" w:color="auto" w:fill="auto"/>
            <w:vAlign w:val="center"/>
          </w:tcPr>
          <w:p w14:paraId="0BD923A8"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Tahoma" w:hAnsi="Times New Roman"/>
                <w:sz w:val="18"/>
                <w:szCs w:val="18"/>
                <w:lang w:eastAsia="ru-RU" w:bidi="ru-RU"/>
              </w:rPr>
              <w:t>Доля студентов, вовлеченных в клубное студенческое движение, от общего числа студентов страны</w:t>
            </w:r>
          </w:p>
        </w:tc>
        <w:tc>
          <w:tcPr>
            <w:tcW w:w="1208" w:type="dxa"/>
            <w:tcBorders>
              <w:top w:val="nil"/>
              <w:left w:val="nil"/>
              <w:bottom w:val="single" w:sz="4" w:space="0" w:color="auto"/>
              <w:right w:val="single" w:sz="4" w:space="0" w:color="auto"/>
            </w:tcBorders>
            <w:shd w:val="clear" w:color="auto" w:fill="auto"/>
            <w:vAlign w:val="center"/>
          </w:tcPr>
          <w:p w14:paraId="24399530"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single" w:sz="4" w:space="0" w:color="auto"/>
              <w:right w:val="single" w:sz="4" w:space="0" w:color="auto"/>
            </w:tcBorders>
            <w:shd w:val="clear" w:color="auto" w:fill="auto"/>
            <w:vAlign w:val="center"/>
          </w:tcPr>
          <w:p w14:paraId="501D0BE8"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1008" w:type="dxa"/>
            <w:gridSpan w:val="2"/>
            <w:tcBorders>
              <w:top w:val="nil"/>
              <w:left w:val="nil"/>
              <w:bottom w:val="single" w:sz="4" w:space="0" w:color="auto"/>
              <w:right w:val="single" w:sz="4" w:space="0" w:color="auto"/>
            </w:tcBorders>
            <w:shd w:val="clear" w:color="auto" w:fill="auto"/>
            <w:vAlign w:val="center"/>
          </w:tcPr>
          <w:p w14:paraId="055EA956"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823" w:type="dxa"/>
            <w:tcBorders>
              <w:top w:val="nil"/>
              <w:left w:val="nil"/>
              <w:bottom w:val="single" w:sz="4" w:space="0" w:color="auto"/>
              <w:right w:val="double" w:sz="6" w:space="0" w:color="auto"/>
            </w:tcBorders>
            <w:shd w:val="clear" w:color="auto" w:fill="auto"/>
            <w:vAlign w:val="center"/>
          </w:tcPr>
          <w:p w14:paraId="1B930ADB"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0DABE557" w14:textId="77777777" w:rsidTr="00F46AC9">
        <w:trPr>
          <w:trHeight w:hRule="exact" w:val="514"/>
        </w:trPr>
        <w:tc>
          <w:tcPr>
            <w:tcW w:w="5279" w:type="dxa"/>
            <w:tcBorders>
              <w:top w:val="nil"/>
              <w:left w:val="double" w:sz="6" w:space="0" w:color="auto"/>
              <w:bottom w:val="double" w:sz="6" w:space="0" w:color="auto"/>
              <w:right w:val="single" w:sz="4" w:space="0" w:color="auto"/>
            </w:tcBorders>
            <w:shd w:val="clear" w:color="auto" w:fill="auto"/>
            <w:vAlign w:val="center"/>
          </w:tcPr>
          <w:p w14:paraId="69EA9641" w14:textId="77777777" w:rsidR="00E4758C" w:rsidRPr="00A53AD7" w:rsidRDefault="00E4758C" w:rsidP="00F46AC9">
            <w:pPr>
              <w:spacing w:after="0" w:line="240" w:lineRule="auto"/>
              <w:rPr>
                <w:rFonts w:ascii="Times New Roman" w:eastAsia="Times New Roman" w:hAnsi="Times New Roman"/>
                <w:sz w:val="20"/>
                <w:szCs w:val="20"/>
                <w:lang w:eastAsia="ru-RU"/>
              </w:rPr>
            </w:pPr>
            <w:r w:rsidRPr="00A53AD7">
              <w:rPr>
                <w:rFonts w:ascii="Times New Roman" w:eastAsia="Tahoma" w:hAnsi="Times New Roman"/>
                <w:sz w:val="18"/>
                <w:szCs w:val="18"/>
                <w:lang w:eastAsia="ru-RU" w:bidi="ru-RU"/>
              </w:rPr>
              <w:t>Доля молодежи, задействованной в мероприятиях по вовлечению в творческую деятельность, от общего числа молодежи в стране</w:t>
            </w:r>
          </w:p>
        </w:tc>
        <w:tc>
          <w:tcPr>
            <w:tcW w:w="1208" w:type="dxa"/>
            <w:tcBorders>
              <w:top w:val="nil"/>
              <w:left w:val="nil"/>
              <w:bottom w:val="double" w:sz="6" w:space="0" w:color="auto"/>
              <w:right w:val="single" w:sz="4" w:space="0" w:color="auto"/>
            </w:tcBorders>
            <w:shd w:val="clear" w:color="auto" w:fill="auto"/>
            <w:vAlign w:val="center"/>
          </w:tcPr>
          <w:p w14:paraId="67932F3A" w14:textId="77777777" w:rsidR="00E4758C" w:rsidRPr="00A53AD7" w:rsidRDefault="00E4758C" w:rsidP="00F46AC9">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060" w:type="dxa"/>
            <w:gridSpan w:val="2"/>
            <w:tcBorders>
              <w:top w:val="nil"/>
              <w:left w:val="nil"/>
              <w:bottom w:val="double" w:sz="6" w:space="0" w:color="auto"/>
              <w:right w:val="single" w:sz="4" w:space="0" w:color="auto"/>
            </w:tcBorders>
            <w:shd w:val="clear" w:color="auto" w:fill="auto"/>
            <w:vAlign w:val="center"/>
          </w:tcPr>
          <w:p w14:paraId="1487A854"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w:t>
            </w:r>
          </w:p>
        </w:tc>
        <w:tc>
          <w:tcPr>
            <w:tcW w:w="1008" w:type="dxa"/>
            <w:gridSpan w:val="2"/>
            <w:tcBorders>
              <w:top w:val="nil"/>
              <w:left w:val="nil"/>
              <w:bottom w:val="double" w:sz="6" w:space="0" w:color="auto"/>
              <w:right w:val="single" w:sz="4" w:space="0" w:color="auto"/>
            </w:tcBorders>
            <w:shd w:val="clear" w:color="auto" w:fill="auto"/>
            <w:vAlign w:val="center"/>
          </w:tcPr>
          <w:p w14:paraId="33515357" w14:textId="77777777" w:rsidR="00E4758C" w:rsidRPr="00A53AD7" w:rsidRDefault="00E4758C" w:rsidP="00F46AC9">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w:t>
            </w:r>
          </w:p>
        </w:tc>
        <w:tc>
          <w:tcPr>
            <w:tcW w:w="823" w:type="dxa"/>
            <w:tcBorders>
              <w:top w:val="nil"/>
              <w:left w:val="nil"/>
              <w:bottom w:val="double" w:sz="6" w:space="0" w:color="auto"/>
              <w:right w:val="double" w:sz="6" w:space="0" w:color="auto"/>
            </w:tcBorders>
            <w:shd w:val="clear" w:color="auto" w:fill="auto"/>
            <w:vAlign w:val="center"/>
          </w:tcPr>
          <w:p w14:paraId="51F70C9E" w14:textId="77777777" w:rsidR="00E4758C" w:rsidRPr="00A53AD7" w:rsidRDefault="00E4758C"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1689E937" w14:textId="77777777" w:rsidR="00E4758C" w:rsidRPr="00A53AD7" w:rsidRDefault="00E4758C" w:rsidP="00E4758C">
      <w:pPr>
        <w:spacing w:after="0" w:line="240" w:lineRule="auto"/>
        <w:ind w:firstLine="851"/>
        <w:jc w:val="both"/>
        <w:rPr>
          <w:rFonts w:ascii="Times New Roman" w:hAnsi="Times New Roman"/>
          <w:sz w:val="28"/>
          <w:szCs w:val="28"/>
        </w:rPr>
      </w:pPr>
    </w:p>
    <w:p w14:paraId="43C495B5" w14:textId="67B01978" w:rsidR="00E4758C" w:rsidRPr="00A53AD7" w:rsidRDefault="00E4758C" w:rsidP="00E475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региональному проекту «Учитель будущего» плановые показатели реализации в отчетном периоде не устанавливались.</w:t>
      </w:r>
    </w:p>
    <w:p w14:paraId="432285AB" w14:textId="291C86DB"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Объем расходов областного бюджета на реализацию региональных проектов в составе Национального проекта «Образование» характеризуется следующими данными:</w:t>
      </w:r>
    </w:p>
    <w:p w14:paraId="2650C25E" w14:textId="77777777" w:rsidR="00897EA0" w:rsidRPr="00A53AD7" w:rsidRDefault="00897EA0" w:rsidP="0039742D">
      <w:pPr>
        <w:pStyle w:val="aff0"/>
        <w:spacing w:after="0" w:line="240" w:lineRule="auto"/>
        <w:rPr>
          <w:rFonts w:ascii="Times New Roman" w:hAnsi="Times New Roman"/>
          <w:b w:val="0"/>
          <w:sz w:val="24"/>
          <w:szCs w:val="24"/>
        </w:rPr>
      </w:pPr>
    </w:p>
    <w:p w14:paraId="1E6EBED3" w14:textId="7D546405" w:rsidR="0039742D" w:rsidRPr="00A53AD7" w:rsidRDefault="0039742D" w:rsidP="0039742D">
      <w:pPr>
        <w:pStyle w:val="aff0"/>
        <w:spacing w:after="0" w:line="240" w:lineRule="auto"/>
        <w:rPr>
          <w:rFonts w:ascii="Times New Roman" w:eastAsia="Times New Roman" w:hAnsi="Times New Roman"/>
          <w:b w:val="0"/>
          <w:sz w:val="24"/>
          <w:szCs w:val="24"/>
          <w:lang w:eastAsia="ru-RU"/>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67</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Pr="00A53AD7">
        <w:rPr>
          <w:rFonts w:ascii="Times New Roman" w:eastAsia="Times New Roman" w:hAnsi="Times New Roman"/>
          <w:b w:val="0"/>
          <w:sz w:val="24"/>
          <w:szCs w:val="24"/>
          <w:lang w:eastAsia="ru-RU"/>
        </w:rPr>
        <w:t>Расходы, предусмотренные на реализацию региональных проектов в составе Национального проекта «Образование», млн.руб.</w:t>
      </w:r>
    </w:p>
    <w:tbl>
      <w:tblPr>
        <w:tblW w:w="4933" w:type="pct"/>
        <w:tblLayout w:type="fixed"/>
        <w:tblLook w:val="04A0" w:firstRow="1" w:lastRow="0" w:firstColumn="1" w:lastColumn="0" w:noHBand="0" w:noVBand="1"/>
      </w:tblPr>
      <w:tblGrid>
        <w:gridCol w:w="415"/>
        <w:gridCol w:w="2104"/>
        <w:gridCol w:w="764"/>
        <w:gridCol w:w="1102"/>
        <w:gridCol w:w="968"/>
        <w:gridCol w:w="690"/>
        <w:gridCol w:w="966"/>
        <w:gridCol w:w="968"/>
        <w:gridCol w:w="1222"/>
      </w:tblGrid>
      <w:tr w:rsidR="00D470B6" w:rsidRPr="00A53AD7" w14:paraId="1CC5F508" w14:textId="77777777" w:rsidTr="0039742D">
        <w:trPr>
          <w:trHeight w:val="274"/>
          <w:tblHeader/>
        </w:trPr>
        <w:tc>
          <w:tcPr>
            <w:tcW w:w="226" w:type="pct"/>
            <w:vMerge w:val="restart"/>
            <w:tcBorders>
              <w:top w:val="double" w:sz="4" w:space="0" w:color="auto"/>
              <w:left w:val="double" w:sz="4" w:space="0" w:color="auto"/>
              <w:right w:val="single" w:sz="4" w:space="0" w:color="auto"/>
            </w:tcBorders>
            <w:vAlign w:val="center"/>
          </w:tcPr>
          <w:p w14:paraId="199B65FE" w14:textId="77777777" w:rsidR="0039742D" w:rsidRPr="00A53AD7" w:rsidRDefault="0039742D"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Код</w:t>
            </w:r>
          </w:p>
        </w:tc>
        <w:tc>
          <w:tcPr>
            <w:tcW w:w="1144" w:type="pct"/>
            <w:vMerge w:val="restart"/>
            <w:tcBorders>
              <w:top w:val="double" w:sz="4" w:space="0" w:color="auto"/>
              <w:left w:val="single" w:sz="4" w:space="0" w:color="auto"/>
              <w:right w:val="single" w:sz="4" w:space="0" w:color="auto"/>
            </w:tcBorders>
            <w:shd w:val="clear" w:color="auto" w:fill="auto"/>
            <w:vAlign w:val="center"/>
            <w:hideMark/>
          </w:tcPr>
          <w:p w14:paraId="79A483BB" w14:textId="77777777" w:rsidR="0039742D" w:rsidRPr="00A53AD7" w:rsidRDefault="0039742D"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Наименование</w:t>
            </w:r>
          </w:p>
        </w:tc>
        <w:tc>
          <w:tcPr>
            <w:tcW w:w="1540" w:type="pct"/>
            <w:gridSpan w:val="3"/>
            <w:tcBorders>
              <w:top w:val="double" w:sz="4" w:space="0" w:color="auto"/>
              <w:left w:val="nil"/>
              <w:bottom w:val="single" w:sz="4" w:space="0" w:color="auto"/>
              <w:right w:val="single" w:sz="4" w:space="0" w:color="auto"/>
            </w:tcBorders>
            <w:shd w:val="clear" w:color="auto" w:fill="auto"/>
            <w:vAlign w:val="center"/>
            <w:hideMark/>
          </w:tcPr>
          <w:p w14:paraId="375EA18F" w14:textId="77777777" w:rsidR="0039742D" w:rsidRPr="00A53AD7" w:rsidRDefault="0039742D"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bCs/>
                <w:sz w:val="16"/>
                <w:szCs w:val="16"/>
                <w:lang w:eastAsia="ru-RU"/>
              </w:rPr>
              <w:t>Утвержденная бюджетная роспись на отчетный финансовый год</w:t>
            </w:r>
          </w:p>
        </w:tc>
        <w:tc>
          <w:tcPr>
            <w:tcW w:w="1426" w:type="pct"/>
            <w:gridSpan w:val="3"/>
            <w:tcBorders>
              <w:top w:val="double" w:sz="4" w:space="0" w:color="auto"/>
              <w:left w:val="single" w:sz="4" w:space="0" w:color="auto"/>
              <w:bottom w:val="single" w:sz="4" w:space="0" w:color="auto"/>
              <w:right w:val="single" w:sz="4" w:space="0" w:color="auto"/>
            </w:tcBorders>
            <w:shd w:val="clear" w:color="auto" w:fill="auto"/>
            <w:vAlign w:val="center"/>
            <w:hideMark/>
          </w:tcPr>
          <w:p w14:paraId="4468B1E8" w14:textId="77777777" w:rsidR="0039742D" w:rsidRPr="00A53AD7" w:rsidRDefault="0039742D"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Кассовые расходы областного бюджета на отчетную дату</w:t>
            </w:r>
          </w:p>
        </w:tc>
        <w:tc>
          <w:tcPr>
            <w:tcW w:w="664" w:type="pct"/>
            <w:vMerge w:val="restart"/>
            <w:tcBorders>
              <w:top w:val="double" w:sz="4" w:space="0" w:color="auto"/>
              <w:left w:val="single" w:sz="4" w:space="0" w:color="auto"/>
              <w:right w:val="double" w:sz="4" w:space="0" w:color="auto"/>
            </w:tcBorders>
            <w:vAlign w:val="center"/>
          </w:tcPr>
          <w:p w14:paraId="7F7DEBA4" w14:textId="77777777" w:rsidR="0039742D" w:rsidRPr="00A53AD7" w:rsidRDefault="0039742D"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 исполнения к сводной бюджетной росписи</w:t>
            </w:r>
          </w:p>
        </w:tc>
      </w:tr>
      <w:tr w:rsidR="00D470B6" w:rsidRPr="00A53AD7" w14:paraId="69EDB144"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226" w:type="pct"/>
            <w:vMerge/>
            <w:tcBorders>
              <w:left w:val="double" w:sz="4" w:space="0" w:color="auto"/>
              <w:right w:val="single" w:sz="4" w:space="0" w:color="auto"/>
            </w:tcBorders>
          </w:tcPr>
          <w:p w14:paraId="7155F085"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p>
        </w:tc>
        <w:tc>
          <w:tcPr>
            <w:tcW w:w="1144" w:type="pct"/>
            <w:vMerge/>
            <w:tcBorders>
              <w:left w:val="single" w:sz="4" w:space="0" w:color="auto"/>
              <w:right w:val="single" w:sz="4" w:space="0" w:color="auto"/>
            </w:tcBorders>
            <w:shd w:val="clear" w:color="auto" w:fill="auto"/>
            <w:vAlign w:val="center"/>
          </w:tcPr>
          <w:p w14:paraId="08F91C80" w14:textId="77777777" w:rsidR="0039742D" w:rsidRPr="00A53AD7" w:rsidRDefault="0039742D" w:rsidP="0039742D">
            <w:pPr>
              <w:spacing w:after="0" w:line="240" w:lineRule="auto"/>
              <w:rPr>
                <w:rFonts w:ascii="Times New Roman" w:eastAsia="Times New Roman" w:hAnsi="Times New Roman"/>
                <w:b/>
                <w:bCs/>
                <w:sz w:val="16"/>
                <w:szCs w:val="16"/>
                <w:lang w:eastAsia="ru-RU"/>
              </w:rPr>
            </w:pPr>
          </w:p>
        </w:tc>
        <w:tc>
          <w:tcPr>
            <w:tcW w:w="415" w:type="pct"/>
            <w:tcBorders>
              <w:left w:val="single" w:sz="4" w:space="0" w:color="auto"/>
            </w:tcBorders>
            <w:shd w:val="clear" w:color="auto" w:fill="auto"/>
            <w:vAlign w:val="center"/>
          </w:tcPr>
          <w:p w14:paraId="57C7097B"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Всего</w:t>
            </w:r>
          </w:p>
        </w:tc>
        <w:tc>
          <w:tcPr>
            <w:tcW w:w="599" w:type="pct"/>
          </w:tcPr>
          <w:p w14:paraId="09C38941"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федерального бюджета</w:t>
            </w:r>
          </w:p>
        </w:tc>
        <w:tc>
          <w:tcPr>
            <w:tcW w:w="526" w:type="pct"/>
          </w:tcPr>
          <w:p w14:paraId="2D7546B9"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областного бюджета</w:t>
            </w:r>
          </w:p>
        </w:tc>
        <w:tc>
          <w:tcPr>
            <w:tcW w:w="375" w:type="pct"/>
            <w:shd w:val="clear" w:color="auto" w:fill="auto"/>
            <w:vAlign w:val="center"/>
          </w:tcPr>
          <w:p w14:paraId="07270552"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Всего</w:t>
            </w:r>
          </w:p>
        </w:tc>
        <w:tc>
          <w:tcPr>
            <w:tcW w:w="525" w:type="pct"/>
            <w:shd w:val="clear" w:color="auto" w:fill="auto"/>
          </w:tcPr>
          <w:p w14:paraId="7F03D3A8"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федерального бюджета</w:t>
            </w:r>
          </w:p>
        </w:tc>
        <w:tc>
          <w:tcPr>
            <w:tcW w:w="526" w:type="pct"/>
            <w:tcBorders>
              <w:right w:val="single" w:sz="4" w:space="0" w:color="auto"/>
            </w:tcBorders>
            <w:shd w:val="clear" w:color="auto" w:fill="auto"/>
          </w:tcPr>
          <w:p w14:paraId="50DBCF10"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областного бюджета</w:t>
            </w:r>
          </w:p>
        </w:tc>
        <w:tc>
          <w:tcPr>
            <w:tcW w:w="664" w:type="pct"/>
            <w:vMerge/>
            <w:tcBorders>
              <w:left w:val="single" w:sz="4" w:space="0" w:color="auto"/>
              <w:right w:val="double" w:sz="4" w:space="0" w:color="auto"/>
            </w:tcBorders>
          </w:tcPr>
          <w:p w14:paraId="1BA37C8B"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p>
        </w:tc>
      </w:tr>
      <w:tr w:rsidR="00D470B6" w:rsidRPr="00A53AD7" w14:paraId="0CCF485F"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226" w:type="pct"/>
            <w:tcBorders>
              <w:left w:val="double" w:sz="4" w:space="0" w:color="auto"/>
            </w:tcBorders>
          </w:tcPr>
          <w:p w14:paraId="5EB67690" w14:textId="77777777" w:rsidR="0039742D" w:rsidRPr="00A53AD7" w:rsidRDefault="0039742D" w:rsidP="0039742D">
            <w:pPr>
              <w:spacing w:after="0" w:line="240" w:lineRule="auto"/>
              <w:jc w:val="center"/>
              <w:rPr>
                <w:rFonts w:ascii="Times New Roman" w:eastAsia="Times New Roman" w:hAnsi="Times New Roman"/>
                <w:b/>
                <w:bCs/>
                <w:sz w:val="16"/>
                <w:szCs w:val="16"/>
                <w:lang w:eastAsia="ru-RU"/>
              </w:rPr>
            </w:pPr>
          </w:p>
        </w:tc>
        <w:tc>
          <w:tcPr>
            <w:tcW w:w="1144" w:type="pct"/>
            <w:shd w:val="clear" w:color="auto" w:fill="auto"/>
            <w:vAlign w:val="center"/>
            <w:hideMark/>
          </w:tcPr>
          <w:p w14:paraId="18EF4BA1" w14:textId="77777777" w:rsidR="0039742D" w:rsidRPr="00A53AD7" w:rsidRDefault="0039742D" w:rsidP="0039742D">
            <w:pPr>
              <w:spacing w:after="0" w:line="240" w:lineRule="auto"/>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Национальный проект «Образование»</w:t>
            </w:r>
          </w:p>
        </w:tc>
        <w:tc>
          <w:tcPr>
            <w:tcW w:w="415" w:type="pct"/>
            <w:shd w:val="clear" w:color="auto" w:fill="auto"/>
            <w:vAlign w:val="center"/>
            <w:hideMark/>
          </w:tcPr>
          <w:p w14:paraId="2F3526BF" w14:textId="77777777" w:rsidR="0039742D" w:rsidRPr="00A53AD7" w:rsidRDefault="0039742D" w:rsidP="0039742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626,4</w:t>
            </w:r>
          </w:p>
        </w:tc>
        <w:tc>
          <w:tcPr>
            <w:tcW w:w="599" w:type="pct"/>
            <w:vAlign w:val="center"/>
          </w:tcPr>
          <w:p w14:paraId="251C3D43" w14:textId="77777777" w:rsidR="0039742D" w:rsidRPr="00A53AD7" w:rsidRDefault="0039742D" w:rsidP="0039742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570,6</w:t>
            </w:r>
          </w:p>
        </w:tc>
        <w:tc>
          <w:tcPr>
            <w:tcW w:w="526" w:type="pct"/>
            <w:vAlign w:val="center"/>
          </w:tcPr>
          <w:p w14:paraId="4766FEF1" w14:textId="77777777" w:rsidR="0039742D" w:rsidRPr="00A53AD7" w:rsidRDefault="0039742D" w:rsidP="0039742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55,8</w:t>
            </w:r>
          </w:p>
        </w:tc>
        <w:tc>
          <w:tcPr>
            <w:tcW w:w="375" w:type="pct"/>
            <w:shd w:val="clear" w:color="auto" w:fill="auto"/>
            <w:vAlign w:val="center"/>
          </w:tcPr>
          <w:p w14:paraId="554F47F4" w14:textId="77777777" w:rsidR="0039742D" w:rsidRPr="00A53AD7" w:rsidRDefault="0039742D" w:rsidP="0039742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332,9</w:t>
            </w:r>
          </w:p>
        </w:tc>
        <w:tc>
          <w:tcPr>
            <w:tcW w:w="525" w:type="pct"/>
            <w:shd w:val="clear" w:color="auto" w:fill="auto"/>
            <w:vAlign w:val="center"/>
          </w:tcPr>
          <w:p w14:paraId="5D8844C3" w14:textId="77777777" w:rsidR="0039742D" w:rsidRPr="00A53AD7" w:rsidRDefault="0039742D" w:rsidP="0039742D">
            <w:pPr>
              <w:spacing w:after="0" w:line="240" w:lineRule="auto"/>
              <w:jc w:val="center"/>
              <w:rPr>
                <w:rFonts w:ascii="Times New Roman" w:eastAsia="Times New Roman" w:hAnsi="Times New Roman"/>
                <w:b/>
                <w:bCs/>
                <w:i/>
                <w:sz w:val="18"/>
                <w:szCs w:val="18"/>
                <w:lang w:eastAsia="ru-RU"/>
              </w:rPr>
            </w:pPr>
            <w:r w:rsidRPr="00A53AD7">
              <w:rPr>
                <w:rFonts w:ascii="Times New Roman" w:eastAsia="Times New Roman" w:hAnsi="Times New Roman"/>
                <w:b/>
                <w:bCs/>
                <w:i/>
                <w:sz w:val="18"/>
                <w:szCs w:val="18"/>
                <w:lang w:eastAsia="ru-RU"/>
              </w:rPr>
              <w:t>306,5</w:t>
            </w:r>
          </w:p>
        </w:tc>
        <w:tc>
          <w:tcPr>
            <w:tcW w:w="526" w:type="pct"/>
            <w:tcBorders>
              <w:right w:val="single" w:sz="4" w:space="0" w:color="auto"/>
            </w:tcBorders>
            <w:shd w:val="clear" w:color="auto" w:fill="auto"/>
            <w:vAlign w:val="center"/>
          </w:tcPr>
          <w:p w14:paraId="4FC2E6F9" w14:textId="77777777" w:rsidR="0039742D" w:rsidRPr="00A53AD7" w:rsidRDefault="0039742D" w:rsidP="0039742D">
            <w:pPr>
              <w:spacing w:after="0" w:line="240" w:lineRule="auto"/>
              <w:jc w:val="center"/>
              <w:rPr>
                <w:rFonts w:ascii="Times New Roman" w:eastAsia="Times New Roman" w:hAnsi="Times New Roman"/>
                <w:b/>
                <w:bCs/>
                <w:i/>
                <w:sz w:val="18"/>
                <w:szCs w:val="18"/>
                <w:lang w:eastAsia="ru-RU"/>
              </w:rPr>
            </w:pPr>
            <w:r w:rsidRPr="00A53AD7">
              <w:rPr>
                <w:rFonts w:ascii="Times New Roman" w:eastAsia="Times New Roman" w:hAnsi="Times New Roman"/>
                <w:b/>
                <w:bCs/>
                <w:i/>
                <w:sz w:val="18"/>
                <w:szCs w:val="18"/>
                <w:lang w:eastAsia="ru-RU"/>
              </w:rPr>
              <w:t>26,4</w:t>
            </w:r>
          </w:p>
        </w:tc>
        <w:tc>
          <w:tcPr>
            <w:tcW w:w="664" w:type="pct"/>
            <w:tcBorders>
              <w:left w:val="single" w:sz="4" w:space="0" w:color="auto"/>
              <w:right w:val="double" w:sz="4" w:space="0" w:color="auto"/>
            </w:tcBorders>
            <w:vAlign w:val="center"/>
          </w:tcPr>
          <w:p w14:paraId="0323BB26" w14:textId="77777777" w:rsidR="0039742D" w:rsidRPr="00A53AD7" w:rsidRDefault="0039742D" w:rsidP="0039742D">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53</w:t>
            </w:r>
          </w:p>
        </w:tc>
      </w:tr>
      <w:tr w:rsidR="00D470B6" w:rsidRPr="00A53AD7" w14:paraId="7183A29F"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226" w:type="pct"/>
            <w:tcBorders>
              <w:left w:val="double" w:sz="4" w:space="0" w:color="auto"/>
            </w:tcBorders>
          </w:tcPr>
          <w:p w14:paraId="07181466"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Е1</w:t>
            </w:r>
          </w:p>
        </w:tc>
        <w:tc>
          <w:tcPr>
            <w:tcW w:w="1144" w:type="pct"/>
            <w:shd w:val="clear" w:color="auto" w:fill="auto"/>
            <w:vAlign w:val="center"/>
            <w:hideMark/>
          </w:tcPr>
          <w:p w14:paraId="41D333C9"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«Современная школа»</w:t>
            </w:r>
          </w:p>
        </w:tc>
        <w:tc>
          <w:tcPr>
            <w:tcW w:w="415" w:type="pct"/>
            <w:shd w:val="clear" w:color="auto" w:fill="auto"/>
            <w:vAlign w:val="center"/>
            <w:hideMark/>
          </w:tcPr>
          <w:p w14:paraId="5E766D14"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500,5</w:t>
            </w:r>
          </w:p>
        </w:tc>
        <w:tc>
          <w:tcPr>
            <w:tcW w:w="599" w:type="pct"/>
            <w:vAlign w:val="center"/>
          </w:tcPr>
          <w:p w14:paraId="00438105"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455,1</w:t>
            </w:r>
          </w:p>
        </w:tc>
        <w:tc>
          <w:tcPr>
            <w:tcW w:w="526" w:type="pct"/>
            <w:vAlign w:val="center"/>
          </w:tcPr>
          <w:p w14:paraId="38B94DBF"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45,4</w:t>
            </w:r>
          </w:p>
        </w:tc>
        <w:tc>
          <w:tcPr>
            <w:tcW w:w="375" w:type="pct"/>
            <w:shd w:val="clear" w:color="auto" w:fill="auto"/>
            <w:vAlign w:val="center"/>
          </w:tcPr>
          <w:p w14:paraId="37E86351"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207</w:t>
            </w:r>
          </w:p>
        </w:tc>
        <w:tc>
          <w:tcPr>
            <w:tcW w:w="525" w:type="pct"/>
            <w:shd w:val="clear" w:color="auto" w:fill="auto"/>
            <w:vAlign w:val="center"/>
          </w:tcPr>
          <w:p w14:paraId="6936F4DD"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191</w:t>
            </w:r>
          </w:p>
        </w:tc>
        <w:tc>
          <w:tcPr>
            <w:tcW w:w="526" w:type="pct"/>
            <w:tcBorders>
              <w:right w:val="single" w:sz="4" w:space="0" w:color="auto"/>
            </w:tcBorders>
            <w:shd w:val="clear" w:color="auto" w:fill="auto"/>
            <w:vAlign w:val="center"/>
          </w:tcPr>
          <w:p w14:paraId="7C5CA556"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16</w:t>
            </w:r>
          </w:p>
        </w:tc>
        <w:tc>
          <w:tcPr>
            <w:tcW w:w="664" w:type="pct"/>
            <w:tcBorders>
              <w:left w:val="single" w:sz="4" w:space="0" w:color="auto"/>
              <w:right w:val="double" w:sz="4" w:space="0" w:color="auto"/>
            </w:tcBorders>
            <w:vAlign w:val="center"/>
          </w:tcPr>
          <w:p w14:paraId="093FD965"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41,4</w:t>
            </w:r>
          </w:p>
        </w:tc>
      </w:tr>
      <w:tr w:rsidR="00D470B6" w:rsidRPr="00A53AD7" w14:paraId="50C8ADC6"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226" w:type="pct"/>
            <w:tcBorders>
              <w:left w:val="double" w:sz="4" w:space="0" w:color="auto"/>
            </w:tcBorders>
          </w:tcPr>
          <w:p w14:paraId="6202B109"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Е2</w:t>
            </w:r>
          </w:p>
        </w:tc>
        <w:tc>
          <w:tcPr>
            <w:tcW w:w="1144" w:type="pct"/>
            <w:shd w:val="clear" w:color="auto" w:fill="auto"/>
            <w:vAlign w:val="center"/>
            <w:hideMark/>
          </w:tcPr>
          <w:p w14:paraId="1C4E891A"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«Успех каждого ребенка»</w:t>
            </w:r>
          </w:p>
        </w:tc>
        <w:tc>
          <w:tcPr>
            <w:tcW w:w="415" w:type="pct"/>
            <w:shd w:val="clear" w:color="auto" w:fill="auto"/>
            <w:vAlign w:val="center"/>
            <w:hideMark/>
          </w:tcPr>
          <w:p w14:paraId="0BEE7454"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95,8</w:t>
            </w:r>
          </w:p>
        </w:tc>
        <w:tc>
          <w:tcPr>
            <w:tcW w:w="599" w:type="pct"/>
            <w:vAlign w:val="center"/>
          </w:tcPr>
          <w:p w14:paraId="55F171BD"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87</w:t>
            </w:r>
          </w:p>
        </w:tc>
        <w:tc>
          <w:tcPr>
            <w:tcW w:w="526" w:type="pct"/>
            <w:vAlign w:val="center"/>
          </w:tcPr>
          <w:p w14:paraId="2AA5347B"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8,8</w:t>
            </w:r>
          </w:p>
        </w:tc>
        <w:tc>
          <w:tcPr>
            <w:tcW w:w="375" w:type="pct"/>
            <w:shd w:val="clear" w:color="auto" w:fill="auto"/>
            <w:vAlign w:val="center"/>
          </w:tcPr>
          <w:p w14:paraId="1EDB1DD7"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95,8</w:t>
            </w:r>
          </w:p>
        </w:tc>
        <w:tc>
          <w:tcPr>
            <w:tcW w:w="525" w:type="pct"/>
            <w:shd w:val="clear" w:color="auto" w:fill="auto"/>
            <w:vAlign w:val="center"/>
          </w:tcPr>
          <w:p w14:paraId="57147BB3"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87</w:t>
            </w:r>
          </w:p>
        </w:tc>
        <w:tc>
          <w:tcPr>
            <w:tcW w:w="526" w:type="pct"/>
            <w:tcBorders>
              <w:right w:val="single" w:sz="4" w:space="0" w:color="auto"/>
            </w:tcBorders>
            <w:shd w:val="clear" w:color="auto" w:fill="auto"/>
            <w:vAlign w:val="center"/>
          </w:tcPr>
          <w:p w14:paraId="47DA5D84"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8,8</w:t>
            </w:r>
          </w:p>
        </w:tc>
        <w:tc>
          <w:tcPr>
            <w:tcW w:w="664" w:type="pct"/>
            <w:tcBorders>
              <w:left w:val="single" w:sz="4" w:space="0" w:color="auto"/>
              <w:right w:val="double" w:sz="4" w:space="0" w:color="auto"/>
            </w:tcBorders>
            <w:vAlign w:val="center"/>
          </w:tcPr>
          <w:p w14:paraId="1F42627A"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2A68A17A"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rPr>
        <w:tc>
          <w:tcPr>
            <w:tcW w:w="226" w:type="pct"/>
            <w:tcBorders>
              <w:left w:val="double" w:sz="4" w:space="0" w:color="auto"/>
            </w:tcBorders>
          </w:tcPr>
          <w:p w14:paraId="3DBF5B66"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Е3</w:t>
            </w:r>
          </w:p>
        </w:tc>
        <w:tc>
          <w:tcPr>
            <w:tcW w:w="1144" w:type="pct"/>
            <w:shd w:val="clear" w:color="auto" w:fill="auto"/>
            <w:vAlign w:val="center"/>
            <w:hideMark/>
          </w:tcPr>
          <w:p w14:paraId="7122230E"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«Поддержка семей, имеющих детей»</w:t>
            </w:r>
          </w:p>
        </w:tc>
        <w:tc>
          <w:tcPr>
            <w:tcW w:w="415" w:type="pct"/>
            <w:shd w:val="clear" w:color="auto" w:fill="auto"/>
            <w:vAlign w:val="center"/>
            <w:hideMark/>
          </w:tcPr>
          <w:p w14:paraId="45A7C978"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599" w:type="pct"/>
            <w:vAlign w:val="center"/>
          </w:tcPr>
          <w:p w14:paraId="50E8E453"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526" w:type="pct"/>
            <w:vAlign w:val="center"/>
          </w:tcPr>
          <w:p w14:paraId="118C14EE"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375" w:type="pct"/>
            <w:shd w:val="clear" w:color="auto" w:fill="auto"/>
            <w:vAlign w:val="center"/>
          </w:tcPr>
          <w:p w14:paraId="460B9A98"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525" w:type="pct"/>
            <w:shd w:val="clear" w:color="auto" w:fill="auto"/>
            <w:vAlign w:val="center"/>
          </w:tcPr>
          <w:p w14:paraId="46369289"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w:t>
            </w:r>
          </w:p>
        </w:tc>
        <w:tc>
          <w:tcPr>
            <w:tcW w:w="526" w:type="pct"/>
            <w:tcBorders>
              <w:right w:val="single" w:sz="4" w:space="0" w:color="auto"/>
            </w:tcBorders>
            <w:shd w:val="clear" w:color="auto" w:fill="auto"/>
            <w:vAlign w:val="center"/>
          </w:tcPr>
          <w:p w14:paraId="36A05907"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0,2</w:t>
            </w:r>
          </w:p>
        </w:tc>
        <w:tc>
          <w:tcPr>
            <w:tcW w:w="664" w:type="pct"/>
            <w:tcBorders>
              <w:left w:val="single" w:sz="4" w:space="0" w:color="auto"/>
              <w:right w:val="double" w:sz="4" w:space="0" w:color="auto"/>
            </w:tcBorders>
            <w:vAlign w:val="center"/>
          </w:tcPr>
          <w:p w14:paraId="4084316B"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7653EF43"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rPr>
        <w:tc>
          <w:tcPr>
            <w:tcW w:w="226" w:type="pct"/>
            <w:tcBorders>
              <w:left w:val="double" w:sz="4" w:space="0" w:color="auto"/>
            </w:tcBorders>
          </w:tcPr>
          <w:p w14:paraId="0B07835D"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Е4</w:t>
            </w:r>
          </w:p>
        </w:tc>
        <w:tc>
          <w:tcPr>
            <w:tcW w:w="1144" w:type="pct"/>
            <w:shd w:val="clear" w:color="auto" w:fill="auto"/>
            <w:vAlign w:val="center"/>
            <w:hideMark/>
          </w:tcPr>
          <w:p w14:paraId="3A47498C"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«Цифровая образовательная среда»</w:t>
            </w:r>
          </w:p>
        </w:tc>
        <w:tc>
          <w:tcPr>
            <w:tcW w:w="415" w:type="pct"/>
            <w:shd w:val="clear" w:color="auto" w:fill="auto"/>
            <w:vAlign w:val="center"/>
            <w:hideMark/>
          </w:tcPr>
          <w:p w14:paraId="5BDD53A1"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29,1</w:t>
            </w:r>
          </w:p>
        </w:tc>
        <w:tc>
          <w:tcPr>
            <w:tcW w:w="599" w:type="pct"/>
            <w:vAlign w:val="center"/>
          </w:tcPr>
          <w:p w14:paraId="54DE242C"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28,5</w:t>
            </w:r>
          </w:p>
        </w:tc>
        <w:tc>
          <w:tcPr>
            <w:tcW w:w="526" w:type="pct"/>
            <w:vAlign w:val="center"/>
          </w:tcPr>
          <w:p w14:paraId="691EA045"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375" w:type="pct"/>
            <w:shd w:val="clear" w:color="auto" w:fill="auto"/>
            <w:vAlign w:val="center"/>
          </w:tcPr>
          <w:p w14:paraId="56F773AC"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29,1</w:t>
            </w:r>
          </w:p>
        </w:tc>
        <w:tc>
          <w:tcPr>
            <w:tcW w:w="525" w:type="pct"/>
            <w:shd w:val="clear" w:color="auto" w:fill="auto"/>
            <w:vAlign w:val="center"/>
          </w:tcPr>
          <w:p w14:paraId="6E1D69F2"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28,5</w:t>
            </w:r>
          </w:p>
        </w:tc>
        <w:tc>
          <w:tcPr>
            <w:tcW w:w="526" w:type="pct"/>
            <w:tcBorders>
              <w:right w:val="single" w:sz="4" w:space="0" w:color="auto"/>
            </w:tcBorders>
            <w:shd w:val="clear" w:color="auto" w:fill="auto"/>
            <w:vAlign w:val="center"/>
          </w:tcPr>
          <w:p w14:paraId="7976484B"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0,6</w:t>
            </w:r>
          </w:p>
        </w:tc>
        <w:tc>
          <w:tcPr>
            <w:tcW w:w="664" w:type="pct"/>
            <w:tcBorders>
              <w:left w:val="single" w:sz="4" w:space="0" w:color="auto"/>
              <w:right w:val="double" w:sz="4" w:space="0" w:color="auto"/>
            </w:tcBorders>
            <w:vAlign w:val="center"/>
          </w:tcPr>
          <w:p w14:paraId="49C06E4A"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3785B964"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5"/>
        </w:trPr>
        <w:tc>
          <w:tcPr>
            <w:tcW w:w="226" w:type="pct"/>
            <w:tcBorders>
              <w:left w:val="double" w:sz="4" w:space="0" w:color="auto"/>
            </w:tcBorders>
            <w:vAlign w:val="center"/>
          </w:tcPr>
          <w:p w14:paraId="0D0ECA24"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Е6</w:t>
            </w:r>
          </w:p>
        </w:tc>
        <w:tc>
          <w:tcPr>
            <w:tcW w:w="1144" w:type="pct"/>
            <w:shd w:val="clear" w:color="auto" w:fill="auto"/>
            <w:vAlign w:val="center"/>
            <w:hideMark/>
          </w:tcPr>
          <w:p w14:paraId="0B6D70AB"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«Молодые профессионалы»</w:t>
            </w:r>
          </w:p>
        </w:tc>
        <w:tc>
          <w:tcPr>
            <w:tcW w:w="415" w:type="pct"/>
            <w:shd w:val="clear" w:color="auto" w:fill="auto"/>
            <w:vAlign w:val="center"/>
            <w:hideMark/>
          </w:tcPr>
          <w:p w14:paraId="0087FC55"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0,8</w:t>
            </w:r>
          </w:p>
        </w:tc>
        <w:tc>
          <w:tcPr>
            <w:tcW w:w="599" w:type="pct"/>
            <w:vAlign w:val="center"/>
          </w:tcPr>
          <w:p w14:paraId="7BE802CC"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526" w:type="pct"/>
            <w:vAlign w:val="center"/>
          </w:tcPr>
          <w:p w14:paraId="0EC0359D"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0,8</w:t>
            </w:r>
          </w:p>
        </w:tc>
        <w:tc>
          <w:tcPr>
            <w:tcW w:w="375" w:type="pct"/>
            <w:shd w:val="clear" w:color="auto" w:fill="auto"/>
            <w:vAlign w:val="center"/>
          </w:tcPr>
          <w:p w14:paraId="7ED57D75"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0,8</w:t>
            </w:r>
          </w:p>
        </w:tc>
        <w:tc>
          <w:tcPr>
            <w:tcW w:w="525" w:type="pct"/>
            <w:shd w:val="clear" w:color="auto" w:fill="auto"/>
            <w:vAlign w:val="center"/>
          </w:tcPr>
          <w:p w14:paraId="5F3ADEE6"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w:t>
            </w:r>
          </w:p>
        </w:tc>
        <w:tc>
          <w:tcPr>
            <w:tcW w:w="526" w:type="pct"/>
            <w:tcBorders>
              <w:right w:val="single" w:sz="4" w:space="0" w:color="auto"/>
            </w:tcBorders>
            <w:shd w:val="clear" w:color="auto" w:fill="auto"/>
            <w:vAlign w:val="center"/>
          </w:tcPr>
          <w:p w14:paraId="7085FEE2"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0,8</w:t>
            </w:r>
          </w:p>
        </w:tc>
        <w:tc>
          <w:tcPr>
            <w:tcW w:w="664" w:type="pct"/>
            <w:tcBorders>
              <w:left w:val="single" w:sz="4" w:space="0" w:color="auto"/>
              <w:right w:val="double" w:sz="4" w:space="0" w:color="auto"/>
            </w:tcBorders>
            <w:vAlign w:val="center"/>
          </w:tcPr>
          <w:p w14:paraId="5F90226E"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0EBF5D94"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93"/>
        </w:trPr>
        <w:tc>
          <w:tcPr>
            <w:tcW w:w="226" w:type="pct"/>
            <w:tcBorders>
              <w:left w:val="double" w:sz="4" w:space="0" w:color="auto"/>
            </w:tcBorders>
            <w:vAlign w:val="center"/>
          </w:tcPr>
          <w:p w14:paraId="20260C98"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Е7</w:t>
            </w:r>
          </w:p>
        </w:tc>
        <w:tc>
          <w:tcPr>
            <w:tcW w:w="1144" w:type="pct"/>
            <w:shd w:val="clear" w:color="auto" w:fill="auto"/>
            <w:vAlign w:val="center"/>
          </w:tcPr>
          <w:p w14:paraId="6EBDDFD5"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«Учитель будущего»</w:t>
            </w:r>
          </w:p>
        </w:tc>
        <w:tc>
          <w:tcPr>
            <w:tcW w:w="415" w:type="pct"/>
            <w:shd w:val="clear" w:color="auto" w:fill="auto"/>
            <w:vAlign w:val="center"/>
          </w:tcPr>
          <w:p w14:paraId="0540EC90"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599" w:type="pct"/>
            <w:vAlign w:val="center"/>
          </w:tcPr>
          <w:p w14:paraId="26BFFF4B"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526" w:type="pct"/>
            <w:vAlign w:val="center"/>
          </w:tcPr>
          <w:p w14:paraId="2EB1B5D1"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375" w:type="pct"/>
            <w:shd w:val="clear" w:color="auto" w:fill="auto"/>
            <w:vAlign w:val="center"/>
          </w:tcPr>
          <w:p w14:paraId="7298D708"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p>
        </w:tc>
        <w:tc>
          <w:tcPr>
            <w:tcW w:w="525" w:type="pct"/>
            <w:shd w:val="clear" w:color="auto" w:fill="auto"/>
            <w:vAlign w:val="center"/>
          </w:tcPr>
          <w:p w14:paraId="6C7E5261"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p>
        </w:tc>
        <w:tc>
          <w:tcPr>
            <w:tcW w:w="526" w:type="pct"/>
            <w:tcBorders>
              <w:right w:val="single" w:sz="4" w:space="0" w:color="auto"/>
            </w:tcBorders>
            <w:shd w:val="clear" w:color="auto" w:fill="auto"/>
            <w:vAlign w:val="center"/>
          </w:tcPr>
          <w:p w14:paraId="452B3279" w14:textId="77777777" w:rsidR="0039742D" w:rsidRPr="00A53AD7" w:rsidRDefault="0039742D" w:rsidP="0039742D">
            <w:pPr>
              <w:spacing w:after="0" w:line="240" w:lineRule="auto"/>
              <w:jc w:val="center"/>
              <w:rPr>
                <w:rFonts w:ascii="Times New Roman" w:eastAsia="Times New Roman" w:hAnsi="Times New Roman"/>
                <w:sz w:val="18"/>
                <w:szCs w:val="18"/>
                <w:lang w:eastAsia="ru-RU"/>
              </w:rPr>
            </w:pPr>
          </w:p>
        </w:tc>
        <w:tc>
          <w:tcPr>
            <w:tcW w:w="664" w:type="pct"/>
            <w:tcBorders>
              <w:left w:val="single" w:sz="4" w:space="0" w:color="auto"/>
              <w:right w:val="double" w:sz="4" w:space="0" w:color="auto"/>
            </w:tcBorders>
            <w:vAlign w:val="center"/>
          </w:tcPr>
          <w:p w14:paraId="253C20B4" w14:textId="77777777" w:rsidR="0039742D" w:rsidRPr="00A53AD7" w:rsidRDefault="0039742D" w:rsidP="0039742D">
            <w:pPr>
              <w:spacing w:after="0" w:line="240" w:lineRule="auto"/>
              <w:jc w:val="center"/>
              <w:rPr>
                <w:rFonts w:ascii="Times New Roman" w:eastAsia="Times New Roman" w:hAnsi="Times New Roman"/>
                <w:i/>
                <w:sz w:val="18"/>
                <w:szCs w:val="18"/>
                <w:lang w:eastAsia="ru-RU"/>
              </w:rPr>
            </w:pPr>
          </w:p>
        </w:tc>
      </w:tr>
      <w:tr w:rsidR="0039742D" w:rsidRPr="00A53AD7" w14:paraId="7AA0D413" w14:textId="77777777" w:rsidTr="0039742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226" w:type="pct"/>
            <w:tcBorders>
              <w:left w:val="double" w:sz="4" w:space="0" w:color="auto"/>
              <w:bottom w:val="double" w:sz="4" w:space="0" w:color="auto"/>
            </w:tcBorders>
          </w:tcPr>
          <w:p w14:paraId="5E75B57B"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Е8</w:t>
            </w:r>
          </w:p>
        </w:tc>
        <w:tc>
          <w:tcPr>
            <w:tcW w:w="1144" w:type="pct"/>
            <w:tcBorders>
              <w:bottom w:val="double" w:sz="4" w:space="0" w:color="auto"/>
            </w:tcBorders>
            <w:shd w:val="clear" w:color="auto" w:fill="auto"/>
            <w:vAlign w:val="center"/>
            <w:hideMark/>
          </w:tcPr>
          <w:p w14:paraId="64C00ACB" w14:textId="77777777" w:rsidR="0039742D" w:rsidRPr="00A53AD7" w:rsidRDefault="0039742D" w:rsidP="0039742D">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Региональный проект «Социальная активность»</w:t>
            </w:r>
          </w:p>
        </w:tc>
        <w:tc>
          <w:tcPr>
            <w:tcW w:w="415" w:type="pct"/>
            <w:tcBorders>
              <w:bottom w:val="double" w:sz="4" w:space="0" w:color="auto"/>
            </w:tcBorders>
            <w:shd w:val="clear" w:color="auto" w:fill="auto"/>
            <w:vAlign w:val="center"/>
            <w:hideMark/>
          </w:tcPr>
          <w:p w14:paraId="366B0927"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w:t>
            </w:r>
          </w:p>
        </w:tc>
        <w:tc>
          <w:tcPr>
            <w:tcW w:w="599" w:type="pct"/>
            <w:tcBorders>
              <w:bottom w:val="double" w:sz="4" w:space="0" w:color="auto"/>
            </w:tcBorders>
            <w:vAlign w:val="center"/>
          </w:tcPr>
          <w:p w14:paraId="434AFD3A"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w:t>
            </w:r>
          </w:p>
        </w:tc>
        <w:tc>
          <w:tcPr>
            <w:tcW w:w="526" w:type="pct"/>
            <w:tcBorders>
              <w:bottom w:val="double" w:sz="4" w:space="0" w:color="auto"/>
            </w:tcBorders>
            <w:vAlign w:val="center"/>
          </w:tcPr>
          <w:p w14:paraId="2EE16EAA"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w:t>
            </w:r>
          </w:p>
        </w:tc>
        <w:tc>
          <w:tcPr>
            <w:tcW w:w="375" w:type="pct"/>
            <w:tcBorders>
              <w:bottom w:val="double" w:sz="4" w:space="0" w:color="auto"/>
            </w:tcBorders>
            <w:shd w:val="clear" w:color="auto" w:fill="auto"/>
            <w:vAlign w:val="center"/>
          </w:tcPr>
          <w:p w14:paraId="195F4C5F"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p>
        </w:tc>
        <w:tc>
          <w:tcPr>
            <w:tcW w:w="525" w:type="pct"/>
            <w:tcBorders>
              <w:bottom w:val="double" w:sz="4" w:space="0" w:color="auto"/>
            </w:tcBorders>
            <w:shd w:val="clear" w:color="auto" w:fill="auto"/>
            <w:vAlign w:val="center"/>
          </w:tcPr>
          <w:p w14:paraId="78019F77"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p>
        </w:tc>
        <w:tc>
          <w:tcPr>
            <w:tcW w:w="526" w:type="pct"/>
            <w:tcBorders>
              <w:bottom w:val="double" w:sz="4" w:space="0" w:color="auto"/>
              <w:right w:val="single" w:sz="4" w:space="0" w:color="auto"/>
            </w:tcBorders>
            <w:shd w:val="clear" w:color="auto" w:fill="auto"/>
            <w:vAlign w:val="center"/>
          </w:tcPr>
          <w:p w14:paraId="714F98F4" w14:textId="77777777" w:rsidR="0039742D" w:rsidRPr="00A53AD7" w:rsidRDefault="0039742D" w:rsidP="0039742D">
            <w:pPr>
              <w:spacing w:after="0" w:line="240" w:lineRule="auto"/>
              <w:jc w:val="center"/>
              <w:rPr>
                <w:rFonts w:ascii="Times New Roman" w:eastAsia="Times New Roman" w:hAnsi="Times New Roman"/>
                <w:sz w:val="16"/>
                <w:szCs w:val="16"/>
                <w:lang w:eastAsia="ru-RU"/>
              </w:rPr>
            </w:pPr>
          </w:p>
        </w:tc>
        <w:tc>
          <w:tcPr>
            <w:tcW w:w="664" w:type="pct"/>
            <w:tcBorders>
              <w:left w:val="single" w:sz="4" w:space="0" w:color="auto"/>
              <w:bottom w:val="double" w:sz="4" w:space="0" w:color="auto"/>
              <w:right w:val="double" w:sz="4" w:space="0" w:color="auto"/>
            </w:tcBorders>
            <w:vAlign w:val="center"/>
          </w:tcPr>
          <w:p w14:paraId="15ABCB3E" w14:textId="77777777" w:rsidR="0039742D" w:rsidRPr="00A53AD7" w:rsidRDefault="0039742D" w:rsidP="0039742D">
            <w:pPr>
              <w:spacing w:after="0" w:line="240" w:lineRule="auto"/>
              <w:jc w:val="center"/>
              <w:rPr>
                <w:rFonts w:ascii="Times New Roman" w:eastAsia="Times New Roman" w:hAnsi="Times New Roman"/>
                <w:i/>
                <w:sz w:val="16"/>
                <w:szCs w:val="16"/>
                <w:lang w:eastAsia="ru-RU"/>
              </w:rPr>
            </w:pPr>
          </w:p>
        </w:tc>
      </w:tr>
    </w:tbl>
    <w:p w14:paraId="06F4D2D8" w14:textId="77777777" w:rsidR="0039742D" w:rsidRPr="00A53AD7" w:rsidRDefault="0039742D" w:rsidP="0039742D">
      <w:pPr>
        <w:spacing w:after="0" w:line="240" w:lineRule="auto"/>
        <w:ind w:firstLine="851"/>
        <w:jc w:val="both"/>
        <w:rPr>
          <w:rFonts w:ascii="Times New Roman" w:hAnsi="Times New Roman"/>
          <w:sz w:val="28"/>
          <w:szCs w:val="28"/>
        </w:rPr>
      </w:pPr>
    </w:p>
    <w:p w14:paraId="79495858" w14:textId="77777777"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Наименьший уровень исполнения – 207 млн.руб. или 41,4% от предусмотренных годовых ассигнований сложился по реализации регионального проекта «Современная школа».</w:t>
      </w:r>
    </w:p>
    <w:p w14:paraId="0DCF2ACC" w14:textId="7594C270"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паспорту регионального проекта, срок реализации проекта с 01.11.2018 по 31.12.2024 г.</w:t>
      </w:r>
    </w:p>
    <w:p w14:paraId="5FA98D47" w14:textId="66F433C1"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Показателями исполнения регионального проекта на 2019 год являются: </w:t>
      </w:r>
    </w:p>
    <w:tbl>
      <w:tblPr>
        <w:tblW w:w="923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823"/>
        <w:gridCol w:w="1176"/>
        <w:gridCol w:w="1235"/>
      </w:tblGrid>
      <w:tr w:rsidR="00D470B6" w:rsidRPr="00A53AD7" w14:paraId="29307FC3" w14:textId="77777777" w:rsidTr="0039742D">
        <w:tc>
          <w:tcPr>
            <w:tcW w:w="6823" w:type="dxa"/>
            <w:shd w:val="clear" w:color="auto" w:fill="auto"/>
          </w:tcPr>
          <w:p w14:paraId="6EDB2F56"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Наименование показателя</w:t>
            </w:r>
          </w:p>
        </w:tc>
        <w:tc>
          <w:tcPr>
            <w:tcW w:w="1176" w:type="dxa"/>
            <w:shd w:val="clear" w:color="auto" w:fill="auto"/>
          </w:tcPr>
          <w:p w14:paraId="69B3E0F0"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Единица измерения</w:t>
            </w:r>
          </w:p>
        </w:tc>
        <w:tc>
          <w:tcPr>
            <w:tcW w:w="1235" w:type="dxa"/>
            <w:shd w:val="clear" w:color="auto" w:fill="auto"/>
          </w:tcPr>
          <w:p w14:paraId="34C94A34"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Значение показателя</w:t>
            </w:r>
          </w:p>
        </w:tc>
      </w:tr>
      <w:tr w:rsidR="00D470B6" w:rsidRPr="00A53AD7" w14:paraId="404D1DE6" w14:textId="77777777" w:rsidTr="0039742D">
        <w:tc>
          <w:tcPr>
            <w:tcW w:w="6823" w:type="dxa"/>
            <w:shd w:val="clear" w:color="auto" w:fill="auto"/>
          </w:tcPr>
          <w:p w14:paraId="1D56ECDE" w14:textId="77777777" w:rsidR="0039742D" w:rsidRPr="00A53AD7" w:rsidRDefault="0039742D" w:rsidP="0039742D">
            <w:pPr>
              <w:spacing w:after="0" w:line="240" w:lineRule="auto"/>
              <w:rPr>
                <w:rFonts w:ascii="Times New Roman" w:hAnsi="Times New Roman"/>
                <w:sz w:val="20"/>
                <w:szCs w:val="20"/>
              </w:rPr>
            </w:pPr>
            <w:r w:rsidRPr="00A53AD7">
              <w:rPr>
                <w:rFonts w:ascii="Times New Roman" w:hAnsi="Times New Roman"/>
                <w:sz w:val="20"/>
                <w:szCs w:val="20"/>
              </w:rPr>
              <w:t>Число общеобразовательных организаций, расположенных в сельской местности и малых городах, обновивших материально-техническую базу для реализации основных и дополнительных общеобразовательных программ цифрового, естественнонаучного и гуманитарного профилей</w:t>
            </w:r>
          </w:p>
        </w:tc>
        <w:tc>
          <w:tcPr>
            <w:tcW w:w="1176" w:type="dxa"/>
            <w:shd w:val="clear" w:color="auto" w:fill="auto"/>
          </w:tcPr>
          <w:p w14:paraId="2AC9D266" w14:textId="77777777" w:rsidR="0039742D" w:rsidRPr="00A53AD7" w:rsidRDefault="0039742D" w:rsidP="0039742D">
            <w:pPr>
              <w:spacing w:after="0" w:line="240" w:lineRule="auto"/>
              <w:jc w:val="center"/>
              <w:rPr>
                <w:rFonts w:ascii="Times New Roman" w:hAnsi="Times New Roman"/>
                <w:sz w:val="20"/>
                <w:szCs w:val="20"/>
              </w:rPr>
            </w:pPr>
          </w:p>
          <w:p w14:paraId="1B994D0D"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Тыс. ед.</w:t>
            </w:r>
          </w:p>
        </w:tc>
        <w:tc>
          <w:tcPr>
            <w:tcW w:w="1235" w:type="dxa"/>
            <w:shd w:val="clear" w:color="auto" w:fill="auto"/>
          </w:tcPr>
          <w:p w14:paraId="632DB5D3" w14:textId="77777777" w:rsidR="0039742D" w:rsidRPr="00A53AD7" w:rsidRDefault="0039742D" w:rsidP="0039742D">
            <w:pPr>
              <w:spacing w:after="0" w:line="240" w:lineRule="auto"/>
              <w:jc w:val="center"/>
              <w:rPr>
                <w:rFonts w:ascii="Times New Roman" w:hAnsi="Times New Roman"/>
                <w:sz w:val="20"/>
                <w:szCs w:val="20"/>
              </w:rPr>
            </w:pPr>
          </w:p>
          <w:p w14:paraId="6BA55224"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0,0230</w:t>
            </w:r>
          </w:p>
        </w:tc>
      </w:tr>
      <w:tr w:rsidR="00D470B6" w:rsidRPr="00A53AD7" w14:paraId="12BF302E" w14:textId="77777777" w:rsidTr="0039742D">
        <w:tc>
          <w:tcPr>
            <w:tcW w:w="6823" w:type="dxa"/>
            <w:shd w:val="clear" w:color="auto" w:fill="auto"/>
          </w:tcPr>
          <w:p w14:paraId="0D41BDA5" w14:textId="77777777" w:rsidR="0039742D" w:rsidRPr="00A53AD7" w:rsidRDefault="0039742D" w:rsidP="0039742D">
            <w:pPr>
              <w:spacing w:after="0" w:line="240" w:lineRule="auto"/>
              <w:rPr>
                <w:rFonts w:ascii="Times New Roman" w:hAnsi="Times New Roman"/>
                <w:sz w:val="20"/>
                <w:szCs w:val="20"/>
              </w:rPr>
            </w:pPr>
            <w:r w:rsidRPr="00A53AD7">
              <w:rPr>
                <w:rFonts w:ascii="Times New Roman" w:hAnsi="Times New Roman"/>
                <w:sz w:val="20"/>
                <w:szCs w:val="20"/>
              </w:rPr>
              <w:t>Численность обучающихся, охваченных основными и дополнительными общеобразовательными программами цифрового, естественнонаучного и гуманитарного профиля</w:t>
            </w:r>
          </w:p>
        </w:tc>
        <w:tc>
          <w:tcPr>
            <w:tcW w:w="1176" w:type="dxa"/>
            <w:shd w:val="clear" w:color="auto" w:fill="auto"/>
          </w:tcPr>
          <w:p w14:paraId="2E1522DB" w14:textId="77777777" w:rsidR="0039742D" w:rsidRPr="00A53AD7" w:rsidRDefault="0039742D" w:rsidP="0039742D">
            <w:pPr>
              <w:spacing w:after="0" w:line="240" w:lineRule="auto"/>
              <w:jc w:val="center"/>
              <w:rPr>
                <w:rFonts w:ascii="Times New Roman" w:hAnsi="Times New Roman"/>
                <w:sz w:val="20"/>
                <w:szCs w:val="20"/>
              </w:rPr>
            </w:pPr>
          </w:p>
          <w:p w14:paraId="7BE70312"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Тыс. чел.</w:t>
            </w:r>
          </w:p>
        </w:tc>
        <w:tc>
          <w:tcPr>
            <w:tcW w:w="1235" w:type="dxa"/>
            <w:shd w:val="clear" w:color="auto" w:fill="auto"/>
          </w:tcPr>
          <w:p w14:paraId="686DCFBC" w14:textId="77777777" w:rsidR="0039742D" w:rsidRPr="00A53AD7" w:rsidRDefault="0039742D" w:rsidP="0039742D">
            <w:pPr>
              <w:spacing w:after="0" w:line="240" w:lineRule="auto"/>
              <w:jc w:val="center"/>
              <w:rPr>
                <w:rFonts w:ascii="Times New Roman" w:hAnsi="Times New Roman"/>
                <w:sz w:val="20"/>
                <w:szCs w:val="20"/>
              </w:rPr>
            </w:pPr>
          </w:p>
          <w:p w14:paraId="57C7456C"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7,3</w:t>
            </w:r>
          </w:p>
        </w:tc>
      </w:tr>
      <w:tr w:rsidR="0039742D" w:rsidRPr="00A53AD7" w14:paraId="092E2600" w14:textId="77777777" w:rsidTr="0039742D">
        <w:tc>
          <w:tcPr>
            <w:tcW w:w="6823" w:type="dxa"/>
            <w:shd w:val="clear" w:color="auto" w:fill="auto"/>
          </w:tcPr>
          <w:p w14:paraId="0A71128B" w14:textId="77777777" w:rsidR="0039742D" w:rsidRPr="00A53AD7" w:rsidRDefault="0039742D" w:rsidP="0039742D">
            <w:pPr>
              <w:spacing w:after="0" w:line="240" w:lineRule="auto"/>
              <w:rPr>
                <w:rFonts w:ascii="Times New Roman" w:hAnsi="Times New Roman"/>
                <w:sz w:val="20"/>
                <w:szCs w:val="20"/>
              </w:rPr>
            </w:pPr>
            <w:r w:rsidRPr="00A53AD7">
              <w:rPr>
                <w:rFonts w:ascii="Times New Roman" w:hAnsi="Times New Roman"/>
                <w:sz w:val="20"/>
                <w:szCs w:val="20"/>
              </w:rPr>
              <w:t>Число созданных новых мест в общеобразовательных организациях, расположенных в сельской местности и поселках городского типа</w:t>
            </w:r>
          </w:p>
        </w:tc>
        <w:tc>
          <w:tcPr>
            <w:tcW w:w="1176" w:type="dxa"/>
            <w:shd w:val="clear" w:color="auto" w:fill="auto"/>
          </w:tcPr>
          <w:p w14:paraId="2EE101CA"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Тыс. мест</w:t>
            </w:r>
          </w:p>
        </w:tc>
        <w:tc>
          <w:tcPr>
            <w:tcW w:w="1235" w:type="dxa"/>
            <w:shd w:val="clear" w:color="auto" w:fill="auto"/>
          </w:tcPr>
          <w:p w14:paraId="090E6B11"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Не менее 0,3200</w:t>
            </w:r>
          </w:p>
        </w:tc>
      </w:tr>
    </w:tbl>
    <w:p w14:paraId="4A7471AA" w14:textId="77777777" w:rsidR="0039742D" w:rsidRPr="00A53AD7" w:rsidRDefault="0039742D" w:rsidP="0039742D">
      <w:pPr>
        <w:spacing w:after="0" w:line="240" w:lineRule="auto"/>
        <w:ind w:firstLine="851"/>
        <w:jc w:val="both"/>
        <w:rPr>
          <w:rFonts w:ascii="Times New Roman" w:hAnsi="Times New Roman"/>
          <w:sz w:val="28"/>
          <w:szCs w:val="28"/>
        </w:rPr>
      </w:pPr>
    </w:p>
    <w:p w14:paraId="70397247" w14:textId="598EB7D8" w:rsidR="0039742D" w:rsidRPr="00A53AD7" w:rsidRDefault="0039742D" w:rsidP="0039742D">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Финансовое обеспечение реализации регионального проекта на 2019 год характеризуется следующими значениями:</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986"/>
        <w:gridCol w:w="6688"/>
        <w:gridCol w:w="1469"/>
      </w:tblGrid>
      <w:tr w:rsidR="00D470B6" w:rsidRPr="00A53AD7" w14:paraId="5FC99A60" w14:textId="77777777" w:rsidTr="00A07153">
        <w:trPr>
          <w:tblHeader/>
        </w:trPr>
        <w:tc>
          <w:tcPr>
            <w:tcW w:w="986" w:type="dxa"/>
          </w:tcPr>
          <w:p w14:paraId="0742F85A"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 п/п</w:t>
            </w:r>
          </w:p>
        </w:tc>
        <w:tc>
          <w:tcPr>
            <w:tcW w:w="6688" w:type="dxa"/>
          </w:tcPr>
          <w:p w14:paraId="057D197A"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pacing w:val="-2"/>
                <w:sz w:val="20"/>
                <w:szCs w:val="20"/>
              </w:rPr>
              <w:t>Наименование результата и источники финансирования</w:t>
            </w:r>
          </w:p>
        </w:tc>
        <w:tc>
          <w:tcPr>
            <w:tcW w:w="1469" w:type="dxa"/>
          </w:tcPr>
          <w:p w14:paraId="2B470CFA" w14:textId="27525BF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pacing w:val="-2"/>
                <w:sz w:val="20"/>
                <w:szCs w:val="20"/>
              </w:rPr>
              <w:t>Объе</w:t>
            </w:r>
            <w:r w:rsidR="002851F7" w:rsidRPr="00A53AD7">
              <w:rPr>
                <w:rFonts w:ascii="Times New Roman" w:hAnsi="Times New Roman"/>
                <w:b/>
                <w:spacing w:val="-2"/>
                <w:sz w:val="20"/>
                <w:szCs w:val="20"/>
              </w:rPr>
              <w:t>м финансового обеспечения, млн.</w:t>
            </w:r>
            <w:r w:rsidRPr="00A53AD7">
              <w:rPr>
                <w:rFonts w:ascii="Times New Roman" w:hAnsi="Times New Roman"/>
                <w:b/>
                <w:spacing w:val="-2"/>
                <w:sz w:val="20"/>
                <w:szCs w:val="20"/>
              </w:rPr>
              <w:t>руб.</w:t>
            </w:r>
          </w:p>
        </w:tc>
      </w:tr>
      <w:tr w:rsidR="00D470B6" w:rsidRPr="00A53AD7" w14:paraId="5A90316D" w14:textId="77777777" w:rsidTr="0039742D">
        <w:tc>
          <w:tcPr>
            <w:tcW w:w="986" w:type="dxa"/>
          </w:tcPr>
          <w:p w14:paraId="5434409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1.</w:t>
            </w:r>
          </w:p>
        </w:tc>
        <w:tc>
          <w:tcPr>
            <w:tcW w:w="8157" w:type="dxa"/>
            <w:gridSpan w:val="2"/>
          </w:tcPr>
          <w:p w14:paraId="739FF53E"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pacing w:val="-2"/>
                <w:sz w:val="20"/>
                <w:szCs w:val="20"/>
              </w:rPr>
              <w:t>Поддержка образования для детей с ограниченными возможностями здоровья. Обновление материально-технической базы в организациях, осуществляющих образовательную деятельность исключительно по адаптированным основным общеобразовательным программам</w:t>
            </w:r>
          </w:p>
        </w:tc>
      </w:tr>
      <w:tr w:rsidR="00D470B6" w:rsidRPr="00A53AD7" w14:paraId="4C52AD08" w14:textId="77777777" w:rsidTr="0039742D">
        <w:tc>
          <w:tcPr>
            <w:tcW w:w="986" w:type="dxa"/>
          </w:tcPr>
          <w:p w14:paraId="68C4FDA2"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1.1.</w:t>
            </w:r>
          </w:p>
        </w:tc>
        <w:tc>
          <w:tcPr>
            <w:tcW w:w="6688" w:type="dxa"/>
          </w:tcPr>
          <w:p w14:paraId="6843244A"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консолидированный бюджет субъекта Российской Федерации, всего</w:t>
            </w:r>
          </w:p>
        </w:tc>
        <w:tc>
          <w:tcPr>
            <w:tcW w:w="1469" w:type="dxa"/>
          </w:tcPr>
          <w:p w14:paraId="72D40F0F"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21,8</w:t>
            </w:r>
          </w:p>
        </w:tc>
      </w:tr>
      <w:tr w:rsidR="00D470B6" w:rsidRPr="00A53AD7" w14:paraId="14FA415E" w14:textId="77777777" w:rsidTr="0039742D">
        <w:tc>
          <w:tcPr>
            <w:tcW w:w="986" w:type="dxa"/>
          </w:tcPr>
          <w:p w14:paraId="1AC4EC0B"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1.1.1.</w:t>
            </w:r>
          </w:p>
        </w:tc>
        <w:tc>
          <w:tcPr>
            <w:tcW w:w="6688" w:type="dxa"/>
          </w:tcPr>
          <w:p w14:paraId="0FA01733" w14:textId="77777777" w:rsidR="0039742D" w:rsidRPr="00A53AD7" w:rsidRDefault="0039742D" w:rsidP="0039742D">
            <w:pPr>
              <w:spacing w:after="0" w:line="230" w:lineRule="auto"/>
              <w:rPr>
                <w:rFonts w:ascii="Times New Roman" w:hAnsi="Times New Roman"/>
                <w:i/>
                <w:spacing w:val="-2"/>
                <w:sz w:val="20"/>
                <w:szCs w:val="20"/>
              </w:rPr>
            </w:pPr>
            <w:r w:rsidRPr="00A53AD7">
              <w:rPr>
                <w:rFonts w:ascii="Times New Roman" w:hAnsi="Times New Roman"/>
                <w:i/>
                <w:spacing w:val="-2"/>
                <w:sz w:val="20"/>
                <w:szCs w:val="20"/>
              </w:rPr>
              <w:t>бюджет субъекта</w:t>
            </w:r>
          </w:p>
        </w:tc>
        <w:tc>
          <w:tcPr>
            <w:tcW w:w="1469" w:type="dxa"/>
          </w:tcPr>
          <w:p w14:paraId="0BA6B1A8"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21,8</w:t>
            </w:r>
          </w:p>
        </w:tc>
      </w:tr>
      <w:tr w:rsidR="00D470B6" w:rsidRPr="00A53AD7" w14:paraId="66A1B49D" w14:textId="77777777" w:rsidTr="0039742D">
        <w:tc>
          <w:tcPr>
            <w:tcW w:w="986" w:type="dxa"/>
          </w:tcPr>
          <w:p w14:paraId="5FAA63A0"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2.</w:t>
            </w:r>
          </w:p>
          <w:p w14:paraId="26BCDEF9" w14:textId="77777777" w:rsidR="0039742D" w:rsidRPr="00A53AD7" w:rsidRDefault="0039742D" w:rsidP="0039742D">
            <w:pPr>
              <w:spacing w:after="0" w:line="240" w:lineRule="auto"/>
              <w:jc w:val="center"/>
              <w:rPr>
                <w:sz w:val="20"/>
                <w:szCs w:val="20"/>
              </w:rPr>
            </w:pPr>
          </w:p>
        </w:tc>
        <w:tc>
          <w:tcPr>
            <w:tcW w:w="8157" w:type="dxa"/>
            <w:gridSpan w:val="2"/>
          </w:tcPr>
          <w:p w14:paraId="36C2B4E0"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Обновлена материально-техническая база для формирования у обучающихся современных технологических и гуманитарных навыков. Создана материально-технической базы для реализации основных и дополнительных общеобразовательных программ цифрового и гуманитарного профилей в общеобразовательных организациях, расположенных в сельской местности и малых городах</w:t>
            </w:r>
          </w:p>
        </w:tc>
      </w:tr>
      <w:tr w:rsidR="00D470B6" w:rsidRPr="00A53AD7" w14:paraId="7E22F39A" w14:textId="77777777" w:rsidTr="0039742D">
        <w:tc>
          <w:tcPr>
            <w:tcW w:w="986" w:type="dxa"/>
          </w:tcPr>
          <w:p w14:paraId="649AD090"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2.1.</w:t>
            </w:r>
          </w:p>
        </w:tc>
        <w:tc>
          <w:tcPr>
            <w:tcW w:w="6688" w:type="dxa"/>
          </w:tcPr>
          <w:p w14:paraId="224002E0"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консолидированный бюджет субъекта Российской Федерации, всего</w:t>
            </w:r>
          </w:p>
        </w:tc>
        <w:tc>
          <w:tcPr>
            <w:tcW w:w="1469" w:type="dxa"/>
          </w:tcPr>
          <w:p w14:paraId="0CBB07B2"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36,2</w:t>
            </w:r>
          </w:p>
        </w:tc>
      </w:tr>
      <w:tr w:rsidR="00D470B6" w:rsidRPr="00A53AD7" w14:paraId="59373DD3" w14:textId="77777777" w:rsidTr="0039742D">
        <w:tc>
          <w:tcPr>
            <w:tcW w:w="986" w:type="dxa"/>
          </w:tcPr>
          <w:p w14:paraId="1DE86723"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2.1.1.</w:t>
            </w:r>
          </w:p>
        </w:tc>
        <w:tc>
          <w:tcPr>
            <w:tcW w:w="6688" w:type="dxa"/>
          </w:tcPr>
          <w:p w14:paraId="77C97DDB" w14:textId="77777777" w:rsidR="0039742D" w:rsidRPr="00A53AD7" w:rsidRDefault="0039742D" w:rsidP="0039742D">
            <w:pPr>
              <w:spacing w:after="0" w:line="230" w:lineRule="auto"/>
              <w:rPr>
                <w:rFonts w:ascii="Times New Roman" w:hAnsi="Times New Roman"/>
                <w:i/>
                <w:spacing w:val="-2"/>
                <w:sz w:val="20"/>
                <w:szCs w:val="20"/>
              </w:rPr>
            </w:pPr>
            <w:r w:rsidRPr="00A53AD7">
              <w:rPr>
                <w:rFonts w:ascii="Times New Roman" w:hAnsi="Times New Roman"/>
                <w:i/>
                <w:spacing w:val="-2"/>
                <w:sz w:val="20"/>
                <w:szCs w:val="20"/>
              </w:rPr>
              <w:t>бюджет субъекта</w:t>
            </w:r>
          </w:p>
        </w:tc>
        <w:tc>
          <w:tcPr>
            <w:tcW w:w="1469" w:type="dxa"/>
          </w:tcPr>
          <w:p w14:paraId="07EE3A17"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36,2</w:t>
            </w:r>
          </w:p>
        </w:tc>
      </w:tr>
      <w:tr w:rsidR="00D470B6" w:rsidRPr="00A53AD7" w14:paraId="1D42E41D" w14:textId="77777777" w:rsidTr="0039742D">
        <w:tc>
          <w:tcPr>
            <w:tcW w:w="986" w:type="dxa"/>
          </w:tcPr>
          <w:p w14:paraId="374BADB5"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w:t>
            </w:r>
          </w:p>
          <w:p w14:paraId="6D53BB5D" w14:textId="77777777" w:rsidR="0039742D" w:rsidRPr="00A53AD7" w:rsidRDefault="0039742D" w:rsidP="0039742D">
            <w:pPr>
              <w:spacing w:after="0" w:line="240" w:lineRule="auto"/>
              <w:jc w:val="center"/>
              <w:rPr>
                <w:sz w:val="20"/>
                <w:szCs w:val="20"/>
              </w:rPr>
            </w:pPr>
          </w:p>
        </w:tc>
        <w:tc>
          <w:tcPr>
            <w:tcW w:w="8157" w:type="dxa"/>
            <w:gridSpan w:val="2"/>
          </w:tcPr>
          <w:p w14:paraId="4047CAFB"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Создано не менее 230 тыс. новых мест в общеобразовательных организациях (продолжение реализации приоритетного проекта "Современная образовательная среда для школьников")</w:t>
            </w:r>
          </w:p>
        </w:tc>
      </w:tr>
      <w:tr w:rsidR="00D470B6" w:rsidRPr="00A53AD7" w14:paraId="71F56934" w14:textId="77777777" w:rsidTr="0039742D">
        <w:tc>
          <w:tcPr>
            <w:tcW w:w="986" w:type="dxa"/>
          </w:tcPr>
          <w:p w14:paraId="2A35F9B7"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3.1.</w:t>
            </w:r>
          </w:p>
        </w:tc>
        <w:tc>
          <w:tcPr>
            <w:tcW w:w="6688" w:type="dxa"/>
          </w:tcPr>
          <w:p w14:paraId="73B99866"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консолидированный бюджет субъекта Российской Федерации, всего</w:t>
            </w:r>
          </w:p>
        </w:tc>
        <w:tc>
          <w:tcPr>
            <w:tcW w:w="1469" w:type="dxa"/>
          </w:tcPr>
          <w:p w14:paraId="321886BA"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443,1</w:t>
            </w:r>
          </w:p>
        </w:tc>
      </w:tr>
      <w:tr w:rsidR="00D470B6" w:rsidRPr="00A53AD7" w14:paraId="5B8CDEED" w14:textId="77777777" w:rsidTr="0039742D">
        <w:tc>
          <w:tcPr>
            <w:tcW w:w="986" w:type="dxa"/>
          </w:tcPr>
          <w:p w14:paraId="6ED1F5B6"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3.1.1.</w:t>
            </w:r>
          </w:p>
        </w:tc>
        <w:tc>
          <w:tcPr>
            <w:tcW w:w="6688" w:type="dxa"/>
          </w:tcPr>
          <w:p w14:paraId="07CC30D8" w14:textId="77777777" w:rsidR="0039742D" w:rsidRPr="00A53AD7" w:rsidRDefault="0039742D" w:rsidP="0039742D">
            <w:pPr>
              <w:spacing w:after="0" w:line="230" w:lineRule="auto"/>
              <w:rPr>
                <w:rFonts w:ascii="Times New Roman" w:hAnsi="Times New Roman"/>
                <w:i/>
                <w:spacing w:val="-2"/>
                <w:sz w:val="20"/>
                <w:szCs w:val="20"/>
              </w:rPr>
            </w:pPr>
            <w:r w:rsidRPr="00A53AD7">
              <w:rPr>
                <w:rFonts w:ascii="Times New Roman" w:hAnsi="Times New Roman"/>
                <w:i/>
                <w:spacing w:val="-2"/>
                <w:sz w:val="20"/>
                <w:szCs w:val="20"/>
              </w:rPr>
              <w:t>бюджет субъекта</w:t>
            </w:r>
          </w:p>
        </w:tc>
        <w:tc>
          <w:tcPr>
            <w:tcW w:w="1469" w:type="dxa"/>
          </w:tcPr>
          <w:p w14:paraId="3F7A8D55"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442,6</w:t>
            </w:r>
          </w:p>
        </w:tc>
      </w:tr>
      <w:tr w:rsidR="00D470B6" w:rsidRPr="00A53AD7" w14:paraId="5A67B3D2" w14:textId="77777777" w:rsidTr="0039742D">
        <w:tc>
          <w:tcPr>
            <w:tcW w:w="986" w:type="dxa"/>
          </w:tcPr>
          <w:p w14:paraId="46511D43"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3.1.1.1.4.</w:t>
            </w:r>
          </w:p>
        </w:tc>
        <w:tc>
          <w:tcPr>
            <w:tcW w:w="6688" w:type="dxa"/>
          </w:tcPr>
          <w:p w14:paraId="30DC7426" w14:textId="77777777" w:rsidR="0039742D" w:rsidRPr="00A53AD7" w:rsidRDefault="0039742D" w:rsidP="0039742D">
            <w:pPr>
              <w:spacing w:after="0" w:line="230" w:lineRule="auto"/>
              <w:rPr>
                <w:rFonts w:ascii="Times New Roman" w:hAnsi="Times New Roman"/>
                <w:i/>
                <w:spacing w:val="-2"/>
                <w:sz w:val="20"/>
                <w:szCs w:val="20"/>
              </w:rPr>
            </w:pPr>
            <w:r w:rsidRPr="00A53AD7">
              <w:rPr>
                <w:rFonts w:ascii="Times New Roman" w:hAnsi="Times New Roman"/>
                <w:i/>
                <w:spacing w:val="-2"/>
                <w:sz w:val="20"/>
                <w:szCs w:val="20"/>
              </w:rPr>
              <w:t>местным бюджетам</w:t>
            </w:r>
          </w:p>
        </w:tc>
        <w:tc>
          <w:tcPr>
            <w:tcW w:w="1469" w:type="dxa"/>
          </w:tcPr>
          <w:p w14:paraId="1460A35C"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375,8</w:t>
            </w:r>
          </w:p>
        </w:tc>
      </w:tr>
      <w:tr w:rsidR="00D470B6" w:rsidRPr="00A53AD7" w14:paraId="217EE01B" w14:textId="77777777" w:rsidTr="0039742D">
        <w:tc>
          <w:tcPr>
            <w:tcW w:w="986" w:type="dxa"/>
          </w:tcPr>
          <w:p w14:paraId="576A705B"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3.1.2.</w:t>
            </w:r>
          </w:p>
        </w:tc>
        <w:tc>
          <w:tcPr>
            <w:tcW w:w="6688" w:type="dxa"/>
          </w:tcPr>
          <w:p w14:paraId="29653092" w14:textId="77777777" w:rsidR="0039742D" w:rsidRPr="00A53AD7" w:rsidRDefault="0039742D" w:rsidP="0039742D">
            <w:pPr>
              <w:spacing w:after="0" w:line="230" w:lineRule="auto"/>
              <w:rPr>
                <w:rFonts w:ascii="Times New Roman" w:hAnsi="Times New Roman"/>
                <w:i/>
                <w:spacing w:val="-2"/>
                <w:sz w:val="20"/>
                <w:szCs w:val="20"/>
              </w:rPr>
            </w:pPr>
            <w:r w:rsidRPr="00A53AD7">
              <w:rPr>
                <w:rFonts w:ascii="Times New Roman" w:hAnsi="Times New Roman"/>
                <w:i/>
                <w:spacing w:val="-2"/>
                <w:sz w:val="20"/>
                <w:szCs w:val="20"/>
              </w:rPr>
              <w:t>свод бюджетов Муниципальных образований</w:t>
            </w:r>
          </w:p>
        </w:tc>
        <w:tc>
          <w:tcPr>
            <w:tcW w:w="1469" w:type="dxa"/>
          </w:tcPr>
          <w:p w14:paraId="2A051EE4"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376,3</w:t>
            </w:r>
          </w:p>
        </w:tc>
      </w:tr>
      <w:tr w:rsidR="00D470B6" w:rsidRPr="00A53AD7" w14:paraId="15A61247" w14:textId="77777777" w:rsidTr="0039742D">
        <w:tc>
          <w:tcPr>
            <w:tcW w:w="986" w:type="dxa"/>
          </w:tcPr>
          <w:p w14:paraId="1B682608" w14:textId="77777777" w:rsidR="0039742D" w:rsidRPr="00A53AD7" w:rsidRDefault="0039742D" w:rsidP="0039742D">
            <w:pPr>
              <w:spacing w:after="0" w:line="240" w:lineRule="auto"/>
              <w:jc w:val="both"/>
              <w:rPr>
                <w:rFonts w:ascii="Times New Roman" w:hAnsi="Times New Roman"/>
                <w:sz w:val="20"/>
                <w:szCs w:val="20"/>
              </w:rPr>
            </w:pPr>
          </w:p>
        </w:tc>
        <w:tc>
          <w:tcPr>
            <w:tcW w:w="6688" w:type="dxa"/>
          </w:tcPr>
          <w:p w14:paraId="0587B98E" w14:textId="77777777" w:rsidR="0039742D" w:rsidRPr="00A53AD7" w:rsidRDefault="0039742D" w:rsidP="0039742D">
            <w:pPr>
              <w:spacing w:after="0" w:line="230" w:lineRule="auto"/>
              <w:jc w:val="right"/>
              <w:rPr>
                <w:rFonts w:ascii="Times New Roman" w:hAnsi="Times New Roman"/>
                <w:b/>
                <w:spacing w:val="-2"/>
                <w:sz w:val="20"/>
                <w:szCs w:val="20"/>
              </w:rPr>
            </w:pPr>
            <w:r w:rsidRPr="00A53AD7">
              <w:rPr>
                <w:rFonts w:ascii="Times New Roman" w:hAnsi="Times New Roman"/>
                <w:b/>
                <w:spacing w:val="-2"/>
                <w:sz w:val="20"/>
                <w:szCs w:val="20"/>
              </w:rPr>
              <w:t>ИТОГО ПО РЕГИОНАЛЬНОМУ ПРОЕКТУ:</w:t>
            </w:r>
          </w:p>
        </w:tc>
        <w:tc>
          <w:tcPr>
            <w:tcW w:w="1469" w:type="dxa"/>
          </w:tcPr>
          <w:p w14:paraId="42E63C5A"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501,0</w:t>
            </w:r>
          </w:p>
        </w:tc>
      </w:tr>
      <w:tr w:rsidR="00D470B6" w:rsidRPr="00A53AD7" w14:paraId="4CF8B302" w14:textId="77777777" w:rsidTr="0039742D">
        <w:tc>
          <w:tcPr>
            <w:tcW w:w="986" w:type="dxa"/>
          </w:tcPr>
          <w:p w14:paraId="1F17EF82" w14:textId="77777777" w:rsidR="0039742D" w:rsidRPr="00A53AD7" w:rsidRDefault="0039742D" w:rsidP="0039742D">
            <w:pPr>
              <w:spacing w:after="0" w:line="240" w:lineRule="auto"/>
              <w:jc w:val="both"/>
              <w:rPr>
                <w:rFonts w:ascii="Times New Roman" w:hAnsi="Times New Roman"/>
                <w:sz w:val="20"/>
                <w:szCs w:val="20"/>
              </w:rPr>
            </w:pPr>
          </w:p>
        </w:tc>
        <w:tc>
          <w:tcPr>
            <w:tcW w:w="6688" w:type="dxa"/>
          </w:tcPr>
          <w:p w14:paraId="744C0D2A"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консолидированный бюджет субъекта</w:t>
            </w:r>
          </w:p>
          <w:p w14:paraId="24A1F447" w14:textId="77777777"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Российской Федерации, из них:</w:t>
            </w:r>
          </w:p>
        </w:tc>
        <w:tc>
          <w:tcPr>
            <w:tcW w:w="1469" w:type="dxa"/>
          </w:tcPr>
          <w:p w14:paraId="7425108C"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501,0</w:t>
            </w:r>
          </w:p>
        </w:tc>
      </w:tr>
      <w:tr w:rsidR="00D470B6" w:rsidRPr="00A53AD7" w14:paraId="3215D989" w14:textId="77777777" w:rsidTr="0039742D">
        <w:tc>
          <w:tcPr>
            <w:tcW w:w="986" w:type="dxa"/>
          </w:tcPr>
          <w:p w14:paraId="7BF84025" w14:textId="77777777" w:rsidR="0039742D" w:rsidRPr="00A53AD7" w:rsidRDefault="0039742D" w:rsidP="0039742D">
            <w:pPr>
              <w:spacing w:after="0" w:line="240" w:lineRule="auto"/>
              <w:jc w:val="both"/>
              <w:rPr>
                <w:rFonts w:ascii="Times New Roman" w:hAnsi="Times New Roman"/>
                <w:sz w:val="20"/>
                <w:szCs w:val="20"/>
              </w:rPr>
            </w:pPr>
          </w:p>
        </w:tc>
        <w:tc>
          <w:tcPr>
            <w:tcW w:w="6688" w:type="dxa"/>
          </w:tcPr>
          <w:p w14:paraId="7DC1C545" w14:textId="6B8B0680"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 xml:space="preserve"> бюджет субъекта</w:t>
            </w:r>
          </w:p>
        </w:tc>
        <w:tc>
          <w:tcPr>
            <w:tcW w:w="1469" w:type="dxa"/>
          </w:tcPr>
          <w:p w14:paraId="0DB9F5C2"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500,5</w:t>
            </w:r>
          </w:p>
        </w:tc>
      </w:tr>
      <w:tr w:rsidR="0039742D" w:rsidRPr="00A53AD7" w14:paraId="6B788B69" w14:textId="77777777" w:rsidTr="0039742D">
        <w:tc>
          <w:tcPr>
            <w:tcW w:w="986" w:type="dxa"/>
          </w:tcPr>
          <w:p w14:paraId="0B47303E" w14:textId="77777777" w:rsidR="0039742D" w:rsidRPr="00A53AD7" w:rsidRDefault="0039742D" w:rsidP="0039742D">
            <w:pPr>
              <w:spacing w:after="0" w:line="240" w:lineRule="auto"/>
              <w:jc w:val="both"/>
              <w:rPr>
                <w:rFonts w:ascii="Times New Roman" w:hAnsi="Times New Roman"/>
                <w:sz w:val="20"/>
                <w:szCs w:val="20"/>
              </w:rPr>
            </w:pPr>
          </w:p>
        </w:tc>
        <w:tc>
          <w:tcPr>
            <w:tcW w:w="6688" w:type="dxa"/>
          </w:tcPr>
          <w:p w14:paraId="45127B56" w14:textId="4A81744B" w:rsidR="0039742D" w:rsidRPr="00A53AD7" w:rsidRDefault="0039742D" w:rsidP="0039742D">
            <w:pPr>
              <w:spacing w:after="0" w:line="230" w:lineRule="auto"/>
              <w:rPr>
                <w:rFonts w:ascii="Times New Roman" w:hAnsi="Times New Roman"/>
                <w:spacing w:val="-2"/>
                <w:sz w:val="20"/>
                <w:szCs w:val="20"/>
              </w:rPr>
            </w:pPr>
            <w:r w:rsidRPr="00A53AD7">
              <w:rPr>
                <w:rFonts w:ascii="Times New Roman" w:hAnsi="Times New Roman"/>
                <w:spacing w:val="-2"/>
                <w:sz w:val="20"/>
                <w:szCs w:val="20"/>
              </w:rPr>
              <w:t xml:space="preserve"> свод бюджетов Муниципальных образований</w:t>
            </w:r>
          </w:p>
        </w:tc>
        <w:tc>
          <w:tcPr>
            <w:tcW w:w="1469" w:type="dxa"/>
          </w:tcPr>
          <w:p w14:paraId="711270A6" w14:textId="77777777" w:rsidR="0039742D" w:rsidRPr="00A53AD7" w:rsidRDefault="0039742D" w:rsidP="0039742D">
            <w:pPr>
              <w:spacing w:after="0" w:line="230" w:lineRule="auto"/>
              <w:jc w:val="center"/>
              <w:rPr>
                <w:rFonts w:ascii="Times New Roman" w:hAnsi="Times New Roman"/>
                <w:spacing w:val="-2"/>
                <w:sz w:val="20"/>
                <w:szCs w:val="20"/>
              </w:rPr>
            </w:pPr>
            <w:r w:rsidRPr="00A53AD7">
              <w:rPr>
                <w:rFonts w:ascii="Times New Roman" w:hAnsi="Times New Roman"/>
                <w:spacing w:val="-2"/>
                <w:sz w:val="20"/>
                <w:szCs w:val="20"/>
              </w:rPr>
              <w:t>376,3</w:t>
            </w:r>
          </w:p>
        </w:tc>
      </w:tr>
    </w:tbl>
    <w:p w14:paraId="0A8925C5" w14:textId="77777777" w:rsidR="0039742D" w:rsidRPr="00A53AD7" w:rsidRDefault="0039742D" w:rsidP="00A07153">
      <w:pPr>
        <w:spacing w:after="0" w:line="240" w:lineRule="auto"/>
        <w:ind w:firstLine="851"/>
        <w:jc w:val="both"/>
        <w:rPr>
          <w:rFonts w:ascii="Times New Roman" w:hAnsi="Times New Roman"/>
          <w:sz w:val="28"/>
          <w:szCs w:val="28"/>
        </w:rPr>
      </w:pPr>
    </w:p>
    <w:p w14:paraId="4A7ABC53" w14:textId="61A98EF4"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 целью реализации РП «Современная школа» заключены следующие соглашения: </w:t>
      </w:r>
    </w:p>
    <w:p w14:paraId="61979A1C" w14:textId="3DA28C85" w:rsidR="0039742D" w:rsidRPr="00A53AD7" w:rsidRDefault="0039742D" w:rsidP="00CA1DDD">
      <w:pPr>
        <w:pStyle w:val="a8"/>
        <w:numPr>
          <w:ilvl w:val="0"/>
          <w:numId w:val="44"/>
        </w:numPr>
        <w:ind w:left="0" w:firstLine="851"/>
        <w:jc w:val="both"/>
        <w:rPr>
          <w:sz w:val="28"/>
          <w:szCs w:val="28"/>
        </w:rPr>
      </w:pPr>
      <w:r w:rsidRPr="00A53AD7">
        <w:rPr>
          <w:sz w:val="28"/>
          <w:szCs w:val="28"/>
        </w:rPr>
        <w:t>Между Министерством просвещения Российской Федерации и руководителем регионального проекта «Современная школа» (Архангельская область)» - от 07.02.2019 № 073-2019-Е10031-1 о реализации РП «Современная школа» на территории Архангельской области</w:t>
      </w:r>
      <w:r w:rsidRPr="00A53AD7">
        <w:rPr>
          <w:b/>
          <w:sz w:val="28"/>
          <w:szCs w:val="28"/>
        </w:rPr>
        <w:t xml:space="preserve"> (</w:t>
      </w:r>
      <w:r w:rsidRPr="00A53AD7">
        <w:rPr>
          <w:sz w:val="28"/>
          <w:szCs w:val="28"/>
        </w:rPr>
        <w:t>далее – Соглашение № 073-2019-Е10031-1). Срок действия соглашения – до 31.12.2024</w:t>
      </w:r>
      <w:r w:rsidR="00A07153" w:rsidRPr="00A53AD7">
        <w:rPr>
          <w:sz w:val="28"/>
          <w:szCs w:val="28"/>
        </w:rPr>
        <w:t xml:space="preserve"> </w:t>
      </w:r>
      <w:r w:rsidRPr="00A53AD7">
        <w:rPr>
          <w:sz w:val="28"/>
          <w:szCs w:val="28"/>
        </w:rPr>
        <w:t>г.</w:t>
      </w:r>
    </w:p>
    <w:p w14:paraId="10001BD6" w14:textId="7055D589" w:rsidR="0039742D" w:rsidRPr="00A53AD7" w:rsidRDefault="0039742D" w:rsidP="00CA1DDD">
      <w:pPr>
        <w:pStyle w:val="a8"/>
        <w:numPr>
          <w:ilvl w:val="0"/>
          <w:numId w:val="44"/>
        </w:numPr>
        <w:ind w:left="0" w:firstLine="851"/>
        <w:jc w:val="both"/>
        <w:rPr>
          <w:sz w:val="28"/>
          <w:szCs w:val="28"/>
        </w:rPr>
      </w:pPr>
      <w:r w:rsidRPr="00A53AD7">
        <w:rPr>
          <w:sz w:val="28"/>
          <w:szCs w:val="28"/>
        </w:rPr>
        <w:t>Между Министерством просвещения Российской Федерации и Правительством Архангельской области – от 10.02.2019 № 073-09-2019-161 о предоставлении из федерального бюджета в 2019-2021 годах бюджету Архангельской области субсидии на софинансирование расходных обязательств субъектов Российской Федерации, возникших при реализации государственных программ субъектов Российской Федерации, связанных с реализацией мероприятий по содействию созданию в субъектах Российской Федерации (исходя из прогнозируемой потребности) новых мест в общеобразовательных организациях в рамках ГП РФ «Развитие образования» (далее – Соглашение № 073-09-2019-161).</w:t>
      </w:r>
    </w:p>
    <w:p w14:paraId="6F38974A" w14:textId="63A22C6F"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 содержит ряд обязательств Архангельской области, в том числе пунктом 4.3.9.1 Соглашения предусмотрено использование экономически эффективной проектной документации повторного использования, в случае отсутствия такой документации – типовой проектной документации для объектов образовательных организаций из соответствующих реестров Минстроя РФ.</w:t>
      </w:r>
    </w:p>
    <w:p w14:paraId="6910D4B6" w14:textId="73BE5C07"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Следует отметить, что 30.04.2020 г. к Соглашению № 073-09-2019-161 заключено дополнительно соглашение № 073-09-2019-161/2, которым объем бюджетных ассигнований на 2019 год </w:t>
      </w:r>
      <w:r w:rsidR="00A07153" w:rsidRPr="00A53AD7">
        <w:rPr>
          <w:rFonts w:ascii="Times New Roman" w:hAnsi="Times New Roman"/>
          <w:sz w:val="28"/>
          <w:szCs w:val="28"/>
        </w:rPr>
        <w:t>уменьшен до 149,1 млн.</w:t>
      </w:r>
      <w:r w:rsidRPr="00A53AD7">
        <w:rPr>
          <w:rFonts w:ascii="Times New Roman" w:hAnsi="Times New Roman"/>
          <w:sz w:val="28"/>
          <w:szCs w:val="28"/>
        </w:rPr>
        <w:t>руб., в том</w:t>
      </w:r>
      <w:r w:rsidR="00A07153" w:rsidRPr="00A53AD7">
        <w:rPr>
          <w:rFonts w:ascii="Times New Roman" w:hAnsi="Times New Roman"/>
          <w:sz w:val="28"/>
          <w:szCs w:val="28"/>
        </w:rPr>
        <w:t xml:space="preserve"> числе средства ФБ – 134,2 млн.</w:t>
      </w:r>
      <w:r w:rsidRPr="00A53AD7">
        <w:rPr>
          <w:rFonts w:ascii="Times New Roman" w:hAnsi="Times New Roman"/>
          <w:sz w:val="28"/>
          <w:szCs w:val="28"/>
        </w:rPr>
        <w:t>руб. Уменьшение объема первоначально предусмотренных соглашением бюджетных ас</w:t>
      </w:r>
      <w:r w:rsidR="002851F7" w:rsidRPr="00A53AD7">
        <w:rPr>
          <w:rFonts w:ascii="Times New Roman" w:hAnsi="Times New Roman"/>
          <w:sz w:val="28"/>
          <w:szCs w:val="28"/>
        </w:rPr>
        <w:t>сигнований составило 293,5 млн.</w:t>
      </w:r>
      <w:r w:rsidRPr="00A53AD7">
        <w:rPr>
          <w:rFonts w:ascii="Times New Roman" w:hAnsi="Times New Roman"/>
          <w:sz w:val="28"/>
          <w:szCs w:val="28"/>
        </w:rPr>
        <w:t>руб. (в т.ч. сре</w:t>
      </w:r>
      <w:r w:rsidR="00A07153" w:rsidRPr="00A53AD7">
        <w:rPr>
          <w:rFonts w:ascii="Times New Roman" w:hAnsi="Times New Roman"/>
          <w:sz w:val="28"/>
          <w:szCs w:val="28"/>
        </w:rPr>
        <w:t>дства ФБ – 264,1 млн.</w:t>
      </w:r>
      <w:r w:rsidRPr="00A53AD7">
        <w:rPr>
          <w:rFonts w:ascii="Times New Roman" w:hAnsi="Times New Roman"/>
          <w:sz w:val="28"/>
          <w:szCs w:val="28"/>
        </w:rPr>
        <w:t>руб.).</w:t>
      </w:r>
    </w:p>
    <w:p w14:paraId="45BD3A6F" w14:textId="0EE0103A" w:rsidR="0039742D" w:rsidRPr="00A53AD7" w:rsidRDefault="0039742D" w:rsidP="00CA1DDD">
      <w:pPr>
        <w:pStyle w:val="a8"/>
        <w:numPr>
          <w:ilvl w:val="0"/>
          <w:numId w:val="44"/>
        </w:numPr>
        <w:ind w:left="0" w:firstLine="851"/>
        <w:jc w:val="both"/>
        <w:rPr>
          <w:sz w:val="28"/>
          <w:szCs w:val="28"/>
        </w:rPr>
      </w:pPr>
      <w:r w:rsidRPr="00A53AD7">
        <w:rPr>
          <w:sz w:val="28"/>
          <w:szCs w:val="28"/>
        </w:rPr>
        <w:t>Между Министерством просвещения Российской Федерации и Правительством Архангельской области – соглашение от 11.02.2019 № 073-08-2019-540 о предоставлении субсидий из федерального бюджета бюджету Архангельской области на реализацию федерального проекта «Современная школа» национального проекта «Образование» в рамках государственной программы Российской Федерации «Развитие образования» (далее – Соглашение № 073-08-2019-540).</w:t>
      </w:r>
    </w:p>
    <w:p w14:paraId="077798E2" w14:textId="47EF852D"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Предметом соглашения является предоставление из федерального бюджета в 2019 году бюджету Архангельской области субсидии (в рамках ФП «Современная школа» НП «Образование» подпрограммы «Развитие дошкольного и общего образования ГП РФ «Развитие образования» (утв.</w:t>
      </w:r>
      <w:r w:rsidR="008D4148" w:rsidRPr="00A53AD7">
        <w:rPr>
          <w:rFonts w:ascii="Times New Roman" w:hAnsi="Times New Roman"/>
          <w:sz w:val="28"/>
          <w:szCs w:val="28"/>
        </w:rPr>
        <w:t xml:space="preserve"> </w:t>
      </w:r>
      <w:r w:rsidRPr="00A53AD7">
        <w:rPr>
          <w:rFonts w:ascii="Times New Roman" w:hAnsi="Times New Roman"/>
          <w:sz w:val="28"/>
          <w:szCs w:val="28"/>
        </w:rPr>
        <w:t>постановлением Правительства РФ от 26.12.2017 № 1642).</w:t>
      </w:r>
    </w:p>
    <w:p w14:paraId="73535436" w14:textId="26E0B533" w:rsidR="0039742D" w:rsidRPr="00A53AD7" w:rsidRDefault="0039742D" w:rsidP="00A07153">
      <w:pPr>
        <w:spacing w:after="0" w:line="240" w:lineRule="auto"/>
        <w:ind w:firstLine="851"/>
        <w:jc w:val="both"/>
        <w:rPr>
          <w:rFonts w:ascii="Times New Roman" w:hAnsi="Times New Roman"/>
          <w:sz w:val="28"/>
          <w:szCs w:val="28"/>
          <w:highlight w:val="cyan"/>
        </w:rPr>
      </w:pPr>
      <w:r w:rsidRPr="00A53AD7">
        <w:rPr>
          <w:rFonts w:ascii="Times New Roman" w:hAnsi="Times New Roman"/>
          <w:sz w:val="28"/>
          <w:szCs w:val="28"/>
        </w:rPr>
        <w:t>ГП АО № 463-пп (в редакции постановления от 24.12.2019 № 749-пп, действовавшей на конец 2019 года) предусмотрена реализация следующих мероприятий в рамках РП «Современная школа»:</w:t>
      </w:r>
    </w:p>
    <w:tbl>
      <w:tblPr>
        <w:tblW w:w="941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A0" w:firstRow="1" w:lastRow="0" w:firstColumn="1" w:lastColumn="0" w:noHBand="0" w:noVBand="0"/>
      </w:tblPr>
      <w:tblGrid>
        <w:gridCol w:w="5778"/>
        <w:gridCol w:w="1701"/>
        <w:gridCol w:w="870"/>
        <w:gridCol w:w="1067"/>
      </w:tblGrid>
      <w:tr w:rsidR="00D470B6" w:rsidRPr="00A53AD7" w14:paraId="1BABB50F" w14:textId="77777777" w:rsidTr="00A07153">
        <w:trPr>
          <w:tblHeader/>
        </w:trPr>
        <w:tc>
          <w:tcPr>
            <w:tcW w:w="5778" w:type="dxa"/>
            <w:vMerge w:val="restart"/>
          </w:tcPr>
          <w:p w14:paraId="5ED29F6A"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Пункт мероприятия ГП АО № 463-пп;</w:t>
            </w:r>
          </w:p>
          <w:p w14:paraId="513A92D4"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Наименование мероприятия (в рамках федерального проекта "Современная школа" национального проекта "Образование")</w:t>
            </w:r>
          </w:p>
        </w:tc>
        <w:tc>
          <w:tcPr>
            <w:tcW w:w="1701" w:type="dxa"/>
            <w:vMerge w:val="restart"/>
          </w:tcPr>
          <w:p w14:paraId="4F1FA961" w14:textId="13BBA5B8"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Объем финансир</w:t>
            </w:r>
            <w:r w:rsidR="002851F7" w:rsidRPr="00A53AD7">
              <w:rPr>
                <w:rFonts w:ascii="Times New Roman" w:hAnsi="Times New Roman"/>
                <w:b/>
                <w:sz w:val="20"/>
                <w:szCs w:val="20"/>
              </w:rPr>
              <w:t>ования на 2019 год, всего, млн.</w:t>
            </w:r>
            <w:r w:rsidRPr="00A53AD7">
              <w:rPr>
                <w:rFonts w:ascii="Times New Roman" w:hAnsi="Times New Roman"/>
                <w:b/>
                <w:sz w:val="20"/>
                <w:szCs w:val="20"/>
              </w:rPr>
              <w:t>руб.</w:t>
            </w:r>
          </w:p>
        </w:tc>
        <w:tc>
          <w:tcPr>
            <w:tcW w:w="1937" w:type="dxa"/>
            <w:gridSpan w:val="2"/>
          </w:tcPr>
          <w:p w14:paraId="0CB1CA54"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В том числе:</w:t>
            </w:r>
          </w:p>
        </w:tc>
      </w:tr>
      <w:tr w:rsidR="00D470B6" w:rsidRPr="00A53AD7" w14:paraId="408166F0" w14:textId="77777777" w:rsidTr="00A07153">
        <w:trPr>
          <w:tblHeader/>
        </w:trPr>
        <w:tc>
          <w:tcPr>
            <w:tcW w:w="5778" w:type="dxa"/>
            <w:vMerge/>
          </w:tcPr>
          <w:p w14:paraId="254DD14C" w14:textId="77777777" w:rsidR="0039742D" w:rsidRPr="00A53AD7" w:rsidRDefault="0039742D" w:rsidP="0039742D">
            <w:pPr>
              <w:spacing w:after="0" w:line="240" w:lineRule="auto"/>
              <w:jc w:val="both"/>
              <w:rPr>
                <w:rFonts w:ascii="Times New Roman" w:hAnsi="Times New Roman"/>
                <w:b/>
                <w:sz w:val="20"/>
                <w:szCs w:val="20"/>
              </w:rPr>
            </w:pPr>
          </w:p>
        </w:tc>
        <w:tc>
          <w:tcPr>
            <w:tcW w:w="1701" w:type="dxa"/>
            <w:vMerge/>
          </w:tcPr>
          <w:p w14:paraId="35632A13" w14:textId="77777777" w:rsidR="0039742D" w:rsidRPr="00A53AD7" w:rsidRDefault="0039742D" w:rsidP="0039742D">
            <w:pPr>
              <w:spacing w:after="0" w:line="240" w:lineRule="auto"/>
              <w:jc w:val="both"/>
              <w:rPr>
                <w:rFonts w:ascii="Times New Roman" w:hAnsi="Times New Roman"/>
                <w:b/>
                <w:sz w:val="20"/>
                <w:szCs w:val="20"/>
              </w:rPr>
            </w:pPr>
          </w:p>
        </w:tc>
        <w:tc>
          <w:tcPr>
            <w:tcW w:w="870" w:type="dxa"/>
          </w:tcPr>
          <w:p w14:paraId="3851F019" w14:textId="77777777" w:rsidR="0039742D" w:rsidRPr="00A53AD7" w:rsidRDefault="0039742D" w:rsidP="0039742D">
            <w:pPr>
              <w:spacing w:after="0" w:line="240" w:lineRule="auto"/>
              <w:jc w:val="center"/>
              <w:rPr>
                <w:rFonts w:ascii="Times New Roman" w:hAnsi="Times New Roman"/>
                <w:b/>
                <w:sz w:val="20"/>
                <w:szCs w:val="20"/>
              </w:rPr>
            </w:pPr>
          </w:p>
          <w:p w14:paraId="3A74B6B7"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ФБ</w:t>
            </w:r>
          </w:p>
        </w:tc>
        <w:tc>
          <w:tcPr>
            <w:tcW w:w="1067" w:type="dxa"/>
          </w:tcPr>
          <w:p w14:paraId="2A9256D6" w14:textId="77777777" w:rsidR="0039742D" w:rsidRPr="00A53AD7" w:rsidRDefault="0039742D" w:rsidP="0039742D">
            <w:pPr>
              <w:spacing w:after="0" w:line="240" w:lineRule="auto"/>
              <w:jc w:val="center"/>
              <w:rPr>
                <w:rFonts w:ascii="Times New Roman" w:hAnsi="Times New Roman"/>
                <w:b/>
                <w:sz w:val="20"/>
                <w:szCs w:val="20"/>
              </w:rPr>
            </w:pPr>
          </w:p>
          <w:p w14:paraId="4B1A06BD"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ОБ</w:t>
            </w:r>
          </w:p>
        </w:tc>
      </w:tr>
      <w:tr w:rsidR="00D470B6" w:rsidRPr="00A53AD7" w14:paraId="626401C2" w14:textId="77777777" w:rsidTr="00A07153">
        <w:tc>
          <w:tcPr>
            <w:tcW w:w="9416" w:type="dxa"/>
            <w:gridSpan w:val="4"/>
          </w:tcPr>
          <w:p w14:paraId="3F56DCB4"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 xml:space="preserve">Подпрограмма N 1 "Развитие общего и дополнительного образования" </w:t>
            </w:r>
          </w:p>
          <w:p w14:paraId="025DC53A" w14:textId="56D8AB50" w:rsidR="0039742D" w:rsidRPr="00A53AD7" w:rsidRDefault="0039742D" w:rsidP="00715342">
            <w:pPr>
              <w:spacing w:after="0" w:line="240" w:lineRule="auto"/>
              <w:jc w:val="center"/>
              <w:rPr>
                <w:rFonts w:ascii="Times New Roman" w:hAnsi="Times New Roman"/>
                <w:sz w:val="20"/>
                <w:szCs w:val="20"/>
              </w:rPr>
            </w:pPr>
            <w:r w:rsidRPr="00A53AD7">
              <w:rPr>
                <w:rFonts w:ascii="Times New Roman" w:hAnsi="Times New Roman"/>
                <w:sz w:val="20"/>
                <w:szCs w:val="20"/>
              </w:rPr>
              <w:t>(ответственный исполнитель – Минобр</w:t>
            </w:r>
            <w:r w:rsidR="00715342" w:rsidRPr="00A53AD7">
              <w:rPr>
                <w:rFonts w:ascii="Times New Roman" w:hAnsi="Times New Roman"/>
                <w:sz w:val="20"/>
                <w:szCs w:val="20"/>
              </w:rPr>
              <w:t xml:space="preserve">науки </w:t>
            </w:r>
            <w:r w:rsidRPr="00A53AD7">
              <w:rPr>
                <w:rFonts w:ascii="Times New Roman" w:hAnsi="Times New Roman"/>
                <w:sz w:val="20"/>
                <w:szCs w:val="20"/>
              </w:rPr>
              <w:t>АО)</w:t>
            </w:r>
          </w:p>
        </w:tc>
      </w:tr>
      <w:tr w:rsidR="00D470B6" w:rsidRPr="00A53AD7" w14:paraId="14CB1217" w14:textId="77777777" w:rsidTr="00A07153">
        <w:trPr>
          <w:trHeight w:val="507"/>
        </w:trPr>
        <w:tc>
          <w:tcPr>
            <w:tcW w:w="5778" w:type="dxa"/>
          </w:tcPr>
          <w:p w14:paraId="31A45874"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1.5.</w:t>
            </w:r>
            <w:r w:rsidRPr="00A53AD7">
              <w:rPr>
                <w:sz w:val="20"/>
                <w:szCs w:val="20"/>
              </w:rPr>
              <w:t xml:space="preserve"> </w:t>
            </w:r>
            <w:r w:rsidRPr="00A53AD7">
              <w:rPr>
                <w:rFonts w:ascii="Times New Roman" w:hAnsi="Times New Roman"/>
                <w:sz w:val="20"/>
                <w:szCs w:val="20"/>
              </w:rPr>
              <w:t xml:space="preserve">Обновление материально-технической базы для формирования у обучающихся современных технологических и гуманитарных навыков </w:t>
            </w:r>
          </w:p>
        </w:tc>
        <w:tc>
          <w:tcPr>
            <w:tcW w:w="1701" w:type="dxa"/>
          </w:tcPr>
          <w:p w14:paraId="08E236FB" w14:textId="77777777" w:rsidR="0039742D" w:rsidRPr="00A53AD7" w:rsidRDefault="0039742D" w:rsidP="0039742D">
            <w:pPr>
              <w:spacing w:after="0" w:line="240" w:lineRule="auto"/>
              <w:jc w:val="center"/>
              <w:rPr>
                <w:rFonts w:ascii="Times New Roman" w:hAnsi="Times New Roman"/>
                <w:sz w:val="20"/>
                <w:szCs w:val="20"/>
              </w:rPr>
            </w:pPr>
          </w:p>
          <w:p w14:paraId="6963F0AE"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36,2</w:t>
            </w:r>
          </w:p>
        </w:tc>
        <w:tc>
          <w:tcPr>
            <w:tcW w:w="870" w:type="dxa"/>
          </w:tcPr>
          <w:p w14:paraId="3A153793" w14:textId="77777777" w:rsidR="0039742D" w:rsidRPr="00A53AD7" w:rsidRDefault="0039742D" w:rsidP="0039742D">
            <w:pPr>
              <w:spacing w:after="0" w:line="240" w:lineRule="auto"/>
              <w:jc w:val="center"/>
              <w:rPr>
                <w:rFonts w:ascii="Times New Roman" w:hAnsi="Times New Roman"/>
                <w:sz w:val="20"/>
                <w:szCs w:val="20"/>
              </w:rPr>
            </w:pPr>
          </w:p>
          <w:p w14:paraId="5B01DF9D"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35,5</w:t>
            </w:r>
          </w:p>
        </w:tc>
        <w:tc>
          <w:tcPr>
            <w:tcW w:w="1067" w:type="dxa"/>
          </w:tcPr>
          <w:p w14:paraId="71EC625F" w14:textId="77777777" w:rsidR="0039742D" w:rsidRPr="00A53AD7" w:rsidRDefault="0039742D" w:rsidP="0039742D">
            <w:pPr>
              <w:spacing w:after="0" w:line="240" w:lineRule="auto"/>
              <w:jc w:val="center"/>
              <w:rPr>
                <w:rFonts w:ascii="Times New Roman" w:hAnsi="Times New Roman"/>
                <w:sz w:val="20"/>
                <w:szCs w:val="20"/>
              </w:rPr>
            </w:pPr>
          </w:p>
          <w:p w14:paraId="1486DCA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0,7</w:t>
            </w:r>
          </w:p>
        </w:tc>
      </w:tr>
      <w:tr w:rsidR="00D470B6" w:rsidRPr="00A53AD7" w14:paraId="7BA0E781" w14:textId="77777777" w:rsidTr="00A07153">
        <w:trPr>
          <w:trHeight w:val="507"/>
        </w:trPr>
        <w:tc>
          <w:tcPr>
            <w:tcW w:w="5778" w:type="dxa"/>
          </w:tcPr>
          <w:p w14:paraId="4D81AAA9"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1.9. Обеспечение возможности изучать предметную область "Технология" и другие предметные области на базе организаций, имеющих высокооснащенные ученико-места, в том числе детских технопарков "Кванториум"</w:t>
            </w:r>
          </w:p>
        </w:tc>
        <w:tc>
          <w:tcPr>
            <w:tcW w:w="1701" w:type="dxa"/>
          </w:tcPr>
          <w:p w14:paraId="027CF8FA" w14:textId="77777777" w:rsidR="0039742D" w:rsidRPr="00A53AD7" w:rsidRDefault="0039742D" w:rsidP="0039742D">
            <w:pPr>
              <w:spacing w:after="0" w:line="240" w:lineRule="auto"/>
              <w:jc w:val="center"/>
              <w:rPr>
                <w:rFonts w:ascii="Times New Roman" w:hAnsi="Times New Roman"/>
                <w:sz w:val="20"/>
                <w:szCs w:val="20"/>
              </w:rPr>
            </w:pPr>
          </w:p>
          <w:p w14:paraId="0F6851A9"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301174C6" w14:textId="77777777" w:rsidR="0039742D" w:rsidRPr="00A53AD7" w:rsidRDefault="0039742D" w:rsidP="0039742D">
            <w:pPr>
              <w:spacing w:after="0" w:line="240" w:lineRule="auto"/>
              <w:jc w:val="center"/>
              <w:rPr>
                <w:rFonts w:ascii="Times New Roman" w:hAnsi="Times New Roman"/>
                <w:sz w:val="20"/>
                <w:szCs w:val="20"/>
              </w:rPr>
            </w:pPr>
          </w:p>
          <w:p w14:paraId="28B9992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733498F2" w14:textId="77777777" w:rsidR="0039742D" w:rsidRPr="00A53AD7" w:rsidRDefault="0039742D" w:rsidP="0039742D">
            <w:pPr>
              <w:spacing w:after="0" w:line="240" w:lineRule="auto"/>
              <w:jc w:val="center"/>
              <w:rPr>
                <w:rFonts w:ascii="Times New Roman" w:hAnsi="Times New Roman"/>
                <w:sz w:val="20"/>
                <w:szCs w:val="20"/>
              </w:rPr>
            </w:pPr>
          </w:p>
          <w:p w14:paraId="43DC75D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2F380C70" w14:textId="77777777" w:rsidTr="00A07153">
        <w:trPr>
          <w:trHeight w:val="507"/>
        </w:trPr>
        <w:tc>
          <w:tcPr>
            <w:tcW w:w="5778" w:type="dxa"/>
          </w:tcPr>
          <w:p w14:paraId="66DE477B"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 xml:space="preserve">1.10. Создание для учителей предметной области "Технология" системы повышения квалификации на базе детских технопарков "Кванториум", организаций, осуществляющих образовательную деятельность по образовательным программам среднего профессионального и высшего образования, предприятий реального сектора экономики </w:t>
            </w:r>
          </w:p>
        </w:tc>
        <w:tc>
          <w:tcPr>
            <w:tcW w:w="1701" w:type="dxa"/>
          </w:tcPr>
          <w:p w14:paraId="78693131" w14:textId="77777777" w:rsidR="0039742D" w:rsidRPr="00A53AD7" w:rsidRDefault="0039742D" w:rsidP="0039742D">
            <w:pPr>
              <w:spacing w:after="0" w:line="240" w:lineRule="auto"/>
              <w:jc w:val="center"/>
              <w:rPr>
                <w:rFonts w:ascii="Times New Roman" w:hAnsi="Times New Roman"/>
                <w:sz w:val="20"/>
                <w:szCs w:val="20"/>
              </w:rPr>
            </w:pPr>
          </w:p>
          <w:p w14:paraId="76911A2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37A49BF0" w14:textId="77777777" w:rsidR="0039742D" w:rsidRPr="00A53AD7" w:rsidRDefault="0039742D" w:rsidP="0039742D">
            <w:pPr>
              <w:spacing w:after="0" w:line="240" w:lineRule="auto"/>
              <w:jc w:val="center"/>
              <w:rPr>
                <w:rFonts w:ascii="Times New Roman" w:hAnsi="Times New Roman"/>
                <w:sz w:val="20"/>
                <w:szCs w:val="20"/>
              </w:rPr>
            </w:pPr>
          </w:p>
          <w:p w14:paraId="40FF1D54"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161502E0" w14:textId="77777777" w:rsidR="0039742D" w:rsidRPr="00A53AD7" w:rsidRDefault="0039742D" w:rsidP="0039742D">
            <w:pPr>
              <w:spacing w:after="0" w:line="240" w:lineRule="auto"/>
              <w:jc w:val="center"/>
              <w:rPr>
                <w:rFonts w:ascii="Times New Roman" w:hAnsi="Times New Roman"/>
                <w:sz w:val="20"/>
                <w:szCs w:val="20"/>
              </w:rPr>
            </w:pPr>
          </w:p>
          <w:p w14:paraId="3F1BF94E"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4FB683D5" w14:textId="77777777" w:rsidTr="00A07153">
        <w:trPr>
          <w:trHeight w:val="507"/>
        </w:trPr>
        <w:tc>
          <w:tcPr>
            <w:tcW w:w="5778" w:type="dxa"/>
          </w:tcPr>
          <w:p w14:paraId="1441FC22"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1.11. Внедрение в общеобразовательных организациях Архангельской области обновленных примерных основных общеобразовательных программ, разработанных в рамках ФП</w:t>
            </w:r>
          </w:p>
        </w:tc>
        <w:tc>
          <w:tcPr>
            <w:tcW w:w="1701" w:type="dxa"/>
          </w:tcPr>
          <w:p w14:paraId="427256DA" w14:textId="77777777" w:rsidR="0039742D" w:rsidRPr="00A53AD7" w:rsidRDefault="0039742D" w:rsidP="0039742D">
            <w:pPr>
              <w:spacing w:after="0" w:line="240" w:lineRule="auto"/>
              <w:jc w:val="center"/>
              <w:rPr>
                <w:rFonts w:ascii="Times New Roman" w:hAnsi="Times New Roman"/>
                <w:sz w:val="20"/>
                <w:szCs w:val="20"/>
              </w:rPr>
            </w:pPr>
          </w:p>
          <w:p w14:paraId="377AD35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7E0BA5BF" w14:textId="77777777" w:rsidR="0039742D" w:rsidRPr="00A53AD7" w:rsidRDefault="0039742D" w:rsidP="0039742D">
            <w:pPr>
              <w:spacing w:after="0" w:line="240" w:lineRule="auto"/>
              <w:jc w:val="center"/>
              <w:rPr>
                <w:rFonts w:ascii="Times New Roman" w:hAnsi="Times New Roman"/>
                <w:sz w:val="20"/>
                <w:szCs w:val="20"/>
              </w:rPr>
            </w:pPr>
          </w:p>
          <w:p w14:paraId="1FE2801B"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4F595F0E" w14:textId="77777777" w:rsidR="0039742D" w:rsidRPr="00A53AD7" w:rsidRDefault="0039742D" w:rsidP="0039742D">
            <w:pPr>
              <w:spacing w:after="0" w:line="240" w:lineRule="auto"/>
              <w:jc w:val="center"/>
              <w:rPr>
                <w:rFonts w:ascii="Times New Roman" w:hAnsi="Times New Roman"/>
                <w:sz w:val="20"/>
                <w:szCs w:val="20"/>
              </w:rPr>
            </w:pPr>
          </w:p>
          <w:p w14:paraId="32A06E5C"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4EB3F562" w14:textId="77777777" w:rsidTr="00A07153">
        <w:trPr>
          <w:trHeight w:val="437"/>
        </w:trPr>
        <w:tc>
          <w:tcPr>
            <w:tcW w:w="5778" w:type="dxa"/>
          </w:tcPr>
          <w:p w14:paraId="27EC5600"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1.12. Вовлечение обучающихся образовательных организаций в различные формы сопровождения и наставничества</w:t>
            </w:r>
          </w:p>
        </w:tc>
        <w:tc>
          <w:tcPr>
            <w:tcW w:w="1701" w:type="dxa"/>
          </w:tcPr>
          <w:p w14:paraId="30AC0CC0" w14:textId="77777777" w:rsidR="0039742D" w:rsidRPr="00A53AD7" w:rsidRDefault="0039742D" w:rsidP="0039742D">
            <w:pPr>
              <w:spacing w:after="0" w:line="240" w:lineRule="auto"/>
              <w:jc w:val="center"/>
              <w:rPr>
                <w:rFonts w:ascii="Times New Roman" w:hAnsi="Times New Roman"/>
                <w:sz w:val="20"/>
                <w:szCs w:val="20"/>
              </w:rPr>
            </w:pPr>
          </w:p>
          <w:p w14:paraId="5371F7EB"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5640C7DD" w14:textId="77777777" w:rsidR="0039742D" w:rsidRPr="00A53AD7" w:rsidRDefault="0039742D" w:rsidP="0039742D">
            <w:pPr>
              <w:spacing w:after="0" w:line="240" w:lineRule="auto"/>
              <w:jc w:val="center"/>
              <w:rPr>
                <w:rFonts w:ascii="Times New Roman" w:hAnsi="Times New Roman"/>
                <w:sz w:val="20"/>
                <w:szCs w:val="20"/>
              </w:rPr>
            </w:pPr>
          </w:p>
          <w:p w14:paraId="0E404CCB"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53CEC39D" w14:textId="77777777" w:rsidR="0039742D" w:rsidRPr="00A53AD7" w:rsidRDefault="0039742D" w:rsidP="0039742D">
            <w:pPr>
              <w:spacing w:after="0" w:line="240" w:lineRule="auto"/>
              <w:jc w:val="center"/>
              <w:rPr>
                <w:rFonts w:ascii="Times New Roman" w:hAnsi="Times New Roman"/>
                <w:sz w:val="20"/>
                <w:szCs w:val="20"/>
              </w:rPr>
            </w:pPr>
          </w:p>
          <w:p w14:paraId="3E333CE5"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14B5CFA5" w14:textId="77777777" w:rsidTr="00A07153">
        <w:trPr>
          <w:trHeight w:val="387"/>
        </w:trPr>
        <w:tc>
          <w:tcPr>
            <w:tcW w:w="5778" w:type="dxa"/>
          </w:tcPr>
          <w:p w14:paraId="68D9826C" w14:textId="7D4C4651"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 xml:space="preserve">1.13. Реализация программ начального общего, основного общего и среднего общего образования в сетевой форме </w:t>
            </w:r>
          </w:p>
        </w:tc>
        <w:tc>
          <w:tcPr>
            <w:tcW w:w="1701" w:type="dxa"/>
          </w:tcPr>
          <w:p w14:paraId="7B6D508F" w14:textId="77777777" w:rsidR="0039742D" w:rsidRPr="00A53AD7" w:rsidRDefault="0039742D" w:rsidP="0039742D">
            <w:pPr>
              <w:spacing w:after="0" w:line="240" w:lineRule="auto"/>
              <w:jc w:val="center"/>
              <w:rPr>
                <w:rFonts w:ascii="Times New Roman" w:hAnsi="Times New Roman"/>
                <w:sz w:val="20"/>
                <w:szCs w:val="20"/>
              </w:rPr>
            </w:pPr>
          </w:p>
          <w:p w14:paraId="2BB86A4C"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5CD2B242" w14:textId="77777777" w:rsidR="0039742D" w:rsidRPr="00A53AD7" w:rsidRDefault="0039742D" w:rsidP="0039742D">
            <w:pPr>
              <w:spacing w:after="0" w:line="240" w:lineRule="auto"/>
              <w:jc w:val="center"/>
              <w:rPr>
                <w:rFonts w:ascii="Times New Roman" w:hAnsi="Times New Roman"/>
                <w:sz w:val="20"/>
                <w:szCs w:val="20"/>
              </w:rPr>
            </w:pPr>
          </w:p>
          <w:p w14:paraId="1A0D873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1408F86A" w14:textId="77777777" w:rsidR="0039742D" w:rsidRPr="00A53AD7" w:rsidRDefault="0039742D" w:rsidP="0039742D">
            <w:pPr>
              <w:spacing w:after="0" w:line="240" w:lineRule="auto"/>
              <w:jc w:val="center"/>
              <w:rPr>
                <w:rFonts w:ascii="Times New Roman" w:hAnsi="Times New Roman"/>
                <w:sz w:val="20"/>
                <w:szCs w:val="20"/>
              </w:rPr>
            </w:pPr>
          </w:p>
          <w:p w14:paraId="372EAD29"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5F991F7E" w14:textId="77777777" w:rsidTr="00A07153">
        <w:trPr>
          <w:trHeight w:val="507"/>
        </w:trPr>
        <w:tc>
          <w:tcPr>
            <w:tcW w:w="5778" w:type="dxa"/>
          </w:tcPr>
          <w:p w14:paraId="1DEBA6F0"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1.14. Реализация общеобразовательными организациями механизмов вовлечения общественно-деловых объединений и участия представителей работодателей в принятии решений по вопросам управления развитием общеобразовательной организации</w:t>
            </w:r>
          </w:p>
        </w:tc>
        <w:tc>
          <w:tcPr>
            <w:tcW w:w="1701" w:type="dxa"/>
          </w:tcPr>
          <w:p w14:paraId="74700F4A" w14:textId="77777777" w:rsidR="0039742D" w:rsidRPr="00A53AD7" w:rsidRDefault="0039742D" w:rsidP="0039742D">
            <w:pPr>
              <w:spacing w:after="0" w:line="240" w:lineRule="auto"/>
              <w:jc w:val="center"/>
              <w:rPr>
                <w:rFonts w:ascii="Times New Roman" w:hAnsi="Times New Roman"/>
                <w:sz w:val="20"/>
                <w:szCs w:val="20"/>
              </w:rPr>
            </w:pPr>
          </w:p>
          <w:p w14:paraId="0A077C60"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5C3B3754" w14:textId="77777777" w:rsidR="0039742D" w:rsidRPr="00A53AD7" w:rsidRDefault="0039742D" w:rsidP="0039742D">
            <w:pPr>
              <w:spacing w:after="0" w:line="240" w:lineRule="auto"/>
              <w:jc w:val="center"/>
              <w:rPr>
                <w:rFonts w:ascii="Times New Roman" w:hAnsi="Times New Roman"/>
                <w:sz w:val="20"/>
                <w:szCs w:val="20"/>
              </w:rPr>
            </w:pPr>
          </w:p>
          <w:p w14:paraId="66C6842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68C8C8EC" w14:textId="77777777" w:rsidR="0039742D" w:rsidRPr="00A53AD7" w:rsidRDefault="0039742D" w:rsidP="0039742D">
            <w:pPr>
              <w:spacing w:after="0" w:line="240" w:lineRule="auto"/>
              <w:jc w:val="center"/>
              <w:rPr>
                <w:rFonts w:ascii="Times New Roman" w:hAnsi="Times New Roman"/>
                <w:sz w:val="20"/>
                <w:szCs w:val="20"/>
              </w:rPr>
            </w:pPr>
          </w:p>
          <w:p w14:paraId="79D0F021"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59CA071B" w14:textId="77777777" w:rsidTr="00A07153">
        <w:trPr>
          <w:trHeight w:val="184"/>
        </w:trPr>
        <w:tc>
          <w:tcPr>
            <w:tcW w:w="5778" w:type="dxa"/>
          </w:tcPr>
          <w:p w14:paraId="105A0835" w14:textId="77777777" w:rsidR="0039742D" w:rsidRPr="00A53AD7" w:rsidRDefault="0039742D" w:rsidP="0039742D">
            <w:pPr>
              <w:spacing w:after="0" w:line="240" w:lineRule="auto"/>
              <w:jc w:val="both"/>
              <w:rPr>
                <w:rFonts w:ascii="Times New Roman" w:hAnsi="Times New Roman"/>
                <w:b/>
                <w:sz w:val="20"/>
                <w:szCs w:val="20"/>
              </w:rPr>
            </w:pPr>
            <w:r w:rsidRPr="00A53AD7">
              <w:rPr>
                <w:rFonts w:ascii="Times New Roman" w:hAnsi="Times New Roman"/>
                <w:b/>
                <w:sz w:val="20"/>
                <w:szCs w:val="20"/>
              </w:rPr>
              <w:t>ИТОГО по подпрограмме №1:</w:t>
            </w:r>
          </w:p>
        </w:tc>
        <w:tc>
          <w:tcPr>
            <w:tcW w:w="1701" w:type="dxa"/>
          </w:tcPr>
          <w:p w14:paraId="68F98E27"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36,2</w:t>
            </w:r>
          </w:p>
        </w:tc>
        <w:tc>
          <w:tcPr>
            <w:tcW w:w="870" w:type="dxa"/>
          </w:tcPr>
          <w:p w14:paraId="48CF5126"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35,5</w:t>
            </w:r>
          </w:p>
        </w:tc>
        <w:tc>
          <w:tcPr>
            <w:tcW w:w="1067" w:type="dxa"/>
          </w:tcPr>
          <w:p w14:paraId="5468F69F"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0,7</w:t>
            </w:r>
          </w:p>
        </w:tc>
      </w:tr>
      <w:tr w:rsidR="00D470B6" w:rsidRPr="00A53AD7" w14:paraId="723AF970" w14:textId="77777777" w:rsidTr="00A07153">
        <w:trPr>
          <w:trHeight w:val="507"/>
        </w:trPr>
        <w:tc>
          <w:tcPr>
            <w:tcW w:w="9416" w:type="dxa"/>
            <w:gridSpan w:val="4"/>
          </w:tcPr>
          <w:p w14:paraId="367F6C61"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Подпрограмма N 2 "Содержание, обучение, воспитание и социальное обеспечение детей-сирот и детей, оставшихся без попечения родителей, лиц из числа детей-сирот и детей, оставшихся без попечения родителей, детей с ограниченными возможностями здоровья"</w:t>
            </w:r>
          </w:p>
          <w:p w14:paraId="516D8959" w14:textId="618F6B79" w:rsidR="0039742D" w:rsidRPr="00A53AD7" w:rsidRDefault="0039742D" w:rsidP="00715342">
            <w:pPr>
              <w:spacing w:after="0" w:line="240" w:lineRule="auto"/>
              <w:jc w:val="center"/>
              <w:rPr>
                <w:rFonts w:ascii="Times New Roman" w:hAnsi="Times New Roman"/>
                <w:sz w:val="20"/>
                <w:szCs w:val="20"/>
              </w:rPr>
            </w:pPr>
            <w:r w:rsidRPr="00A53AD7">
              <w:rPr>
                <w:rFonts w:ascii="Times New Roman" w:hAnsi="Times New Roman"/>
                <w:sz w:val="20"/>
                <w:szCs w:val="20"/>
              </w:rPr>
              <w:t>(ответственный исполнитель – Минобр</w:t>
            </w:r>
            <w:r w:rsidR="00715342" w:rsidRPr="00A53AD7">
              <w:rPr>
                <w:rFonts w:ascii="Times New Roman" w:hAnsi="Times New Roman"/>
                <w:sz w:val="20"/>
                <w:szCs w:val="20"/>
              </w:rPr>
              <w:t xml:space="preserve">науки </w:t>
            </w:r>
            <w:r w:rsidRPr="00A53AD7">
              <w:rPr>
                <w:rFonts w:ascii="Times New Roman" w:hAnsi="Times New Roman"/>
                <w:sz w:val="20"/>
                <w:szCs w:val="20"/>
              </w:rPr>
              <w:t>АО, соисполнитель – Минстрой АО)</w:t>
            </w:r>
          </w:p>
        </w:tc>
      </w:tr>
      <w:tr w:rsidR="00D470B6" w:rsidRPr="00A53AD7" w14:paraId="30DB6ABC" w14:textId="77777777" w:rsidTr="00A07153">
        <w:trPr>
          <w:trHeight w:val="414"/>
        </w:trPr>
        <w:tc>
          <w:tcPr>
            <w:tcW w:w="5778" w:type="dxa"/>
          </w:tcPr>
          <w:p w14:paraId="5B804349"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1.12. Материально-техническое оснащение образовательных организаций, осуществляющих образовательную деятельность исключительно по адаптированным основным общеобразовательным программам</w:t>
            </w:r>
          </w:p>
        </w:tc>
        <w:tc>
          <w:tcPr>
            <w:tcW w:w="1701" w:type="dxa"/>
          </w:tcPr>
          <w:p w14:paraId="62A21C43" w14:textId="77777777" w:rsidR="0039742D" w:rsidRPr="00A53AD7" w:rsidRDefault="0039742D" w:rsidP="0039742D">
            <w:pPr>
              <w:spacing w:after="0" w:line="240" w:lineRule="auto"/>
              <w:jc w:val="center"/>
              <w:rPr>
                <w:rFonts w:ascii="Times New Roman" w:hAnsi="Times New Roman"/>
                <w:sz w:val="20"/>
                <w:szCs w:val="20"/>
              </w:rPr>
            </w:pPr>
          </w:p>
          <w:p w14:paraId="002320E4"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21,8</w:t>
            </w:r>
          </w:p>
        </w:tc>
        <w:tc>
          <w:tcPr>
            <w:tcW w:w="870" w:type="dxa"/>
          </w:tcPr>
          <w:p w14:paraId="5EB1898B" w14:textId="77777777" w:rsidR="0039742D" w:rsidRPr="00A53AD7" w:rsidRDefault="0039742D" w:rsidP="0039742D">
            <w:pPr>
              <w:spacing w:after="0" w:line="240" w:lineRule="auto"/>
              <w:jc w:val="center"/>
              <w:rPr>
                <w:rFonts w:ascii="Times New Roman" w:hAnsi="Times New Roman"/>
                <w:sz w:val="20"/>
                <w:szCs w:val="20"/>
              </w:rPr>
            </w:pPr>
          </w:p>
          <w:p w14:paraId="5BF6749C"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21,3</w:t>
            </w:r>
          </w:p>
        </w:tc>
        <w:tc>
          <w:tcPr>
            <w:tcW w:w="1067" w:type="dxa"/>
          </w:tcPr>
          <w:p w14:paraId="18E4681B" w14:textId="77777777" w:rsidR="0039742D" w:rsidRPr="00A53AD7" w:rsidRDefault="0039742D" w:rsidP="0039742D">
            <w:pPr>
              <w:spacing w:after="0" w:line="240" w:lineRule="auto"/>
              <w:jc w:val="center"/>
              <w:rPr>
                <w:rFonts w:ascii="Times New Roman" w:hAnsi="Times New Roman"/>
                <w:sz w:val="20"/>
                <w:szCs w:val="20"/>
              </w:rPr>
            </w:pPr>
          </w:p>
          <w:p w14:paraId="0D7A88B6"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0,5</w:t>
            </w:r>
          </w:p>
        </w:tc>
      </w:tr>
      <w:tr w:rsidR="00D470B6" w:rsidRPr="00A53AD7" w14:paraId="10761B13" w14:textId="77777777" w:rsidTr="00A07153">
        <w:trPr>
          <w:trHeight w:val="208"/>
        </w:trPr>
        <w:tc>
          <w:tcPr>
            <w:tcW w:w="5778" w:type="dxa"/>
          </w:tcPr>
          <w:p w14:paraId="6C9A861C" w14:textId="70EC4202" w:rsidR="0039742D" w:rsidRPr="00A53AD7" w:rsidRDefault="0039742D" w:rsidP="0039742D">
            <w:pPr>
              <w:spacing w:after="0" w:line="240" w:lineRule="auto"/>
              <w:jc w:val="both"/>
              <w:rPr>
                <w:rFonts w:ascii="Times New Roman" w:hAnsi="Times New Roman"/>
                <w:sz w:val="20"/>
                <w:szCs w:val="20"/>
              </w:rPr>
            </w:pPr>
            <w:r w:rsidRPr="00A53AD7">
              <w:rPr>
                <w:rFonts w:ascii="Times New Roman" w:hAnsi="Times New Roman"/>
                <w:b/>
                <w:sz w:val="20"/>
                <w:szCs w:val="20"/>
              </w:rPr>
              <w:t>ИТОГО по подпрограмме №</w:t>
            </w:r>
            <w:r w:rsidR="00715342" w:rsidRPr="00A53AD7">
              <w:rPr>
                <w:rFonts w:ascii="Times New Roman" w:hAnsi="Times New Roman"/>
                <w:b/>
                <w:sz w:val="20"/>
                <w:szCs w:val="20"/>
              </w:rPr>
              <w:t xml:space="preserve"> </w:t>
            </w:r>
            <w:r w:rsidRPr="00A53AD7">
              <w:rPr>
                <w:rFonts w:ascii="Times New Roman" w:hAnsi="Times New Roman"/>
                <w:b/>
                <w:sz w:val="20"/>
                <w:szCs w:val="20"/>
              </w:rPr>
              <w:t>2:</w:t>
            </w:r>
          </w:p>
        </w:tc>
        <w:tc>
          <w:tcPr>
            <w:tcW w:w="1701" w:type="dxa"/>
          </w:tcPr>
          <w:p w14:paraId="7F17DBE0"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21,8</w:t>
            </w:r>
          </w:p>
        </w:tc>
        <w:tc>
          <w:tcPr>
            <w:tcW w:w="870" w:type="dxa"/>
          </w:tcPr>
          <w:p w14:paraId="515B1C61"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21,3</w:t>
            </w:r>
          </w:p>
        </w:tc>
        <w:tc>
          <w:tcPr>
            <w:tcW w:w="1067" w:type="dxa"/>
          </w:tcPr>
          <w:p w14:paraId="2F5CA6C2"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0,5</w:t>
            </w:r>
          </w:p>
        </w:tc>
      </w:tr>
      <w:tr w:rsidR="00D470B6" w:rsidRPr="00A53AD7" w14:paraId="038002A2" w14:textId="77777777" w:rsidTr="00A07153">
        <w:trPr>
          <w:trHeight w:val="507"/>
        </w:trPr>
        <w:tc>
          <w:tcPr>
            <w:tcW w:w="9416" w:type="dxa"/>
            <w:gridSpan w:val="4"/>
          </w:tcPr>
          <w:p w14:paraId="1DF95D07"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Подпрограмма N 7 "Строительство и капитальный ремонт объектов инфраструктуры системы образования в Архангельской области"</w:t>
            </w:r>
          </w:p>
          <w:p w14:paraId="0272A712" w14:textId="60316B4E" w:rsidR="0039742D" w:rsidRPr="00A53AD7" w:rsidRDefault="0039742D" w:rsidP="00715342">
            <w:pPr>
              <w:spacing w:after="0" w:line="240" w:lineRule="auto"/>
              <w:jc w:val="center"/>
              <w:rPr>
                <w:rFonts w:ascii="Times New Roman" w:hAnsi="Times New Roman"/>
                <w:b/>
                <w:sz w:val="20"/>
                <w:szCs w:val="20"/>
              </w:rPr>
            </w:pPr>
            <w:r w:rsidRPr="00A53AD7">
              <w:rPr>
                <w:rFonts w:ascii="Times New Roman" w:hAnsi="Times New Roman"/>
                <w:sz w:val="20"/>
                <w:szCs w:val="20"/>
              </w:rPr>
              <w:t>(ответственный исполнитель –Минстрой АО, соисполнитель – Минобр</w:t>
            </w:r>
            <w:r w:rsidR="00715342" w:rsidRPr="00A53AD7">
              <w:rPr>
                <w:rFonts w:ascii="Times New Roman" w:hAnsi="Times New Roman"/>
                <w:sz w:val="20"/>
                <w:szCs w:val="20"/>
              </w:rPr>
              <w:t xml:space="preserve">науки </w:t>
            </w:r>
            <w:r w:rsidRPr="00A53AD7">
              <w:rPr>
                <w:rFonts w:ascii="Times New Roman" w:hAnsi="Times New Roman"/>
                <w:sz w:val="20"/>
                <w:szCs w:val="20"/>
              </w:rPr>
              <w:t>АО)</w:t>
            </w:r>
          </w:p>
        </w:tc>
      </w:tr>
      <w:tr w:rsidR="00D470B6" w:rsidRPr="00A53AD7" w14:paraId="07564A13" w14:textId="77777777" w:rsidTr="00A07153">
        <w:trPr>
          <w:trHeight w:val="507"/>
        </w:trPr>
        <w:tc>
          <w:tcPr>
            <w:tcW w:w="5778" w:type="dxa"/>
          </w:tcPr>
          <w:p w14:paraId="60F1B0F5" w14:textId="62EE7430"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2.1.4.</w:t>
            </w:r>
            <w:r w:rsidR="00715342" w:rsidRPr="00A53AD7">
              <w:rPr>
                <w:rFonts w:ascii="Times New Roman" w:hAnsi="Times New Roman"/>
                <w:sz w:val="20"/>
                <w:szCs w:val="20"/>
              </w:rPr>
              <w:t xml:space="preserve"> </w:t>
            </w:r>
            <w:r w:rsidRPr="00A53AD7">
              <w:rPr>
                <w:rFonts w:ascii="Times New Roman" w:hAnsi="Times New Roman"/>
                <w:sz w:val="20"/>
                <w:szCs w:val="20"/>
              </w:rPr>
              <w:t>Строительство средней общеобразовательной школы на 250 учащихся с блоком временного проживания на 50 человек в с. Ровдино Шенкурского района</w:t>
            </w:r>
          </w:p>
        </w:tc>
        <w:tc>
          <w:tcPr>
            <w:tcW w:w="1701" w:type="dxa"/>
          </w:tcPr>
          <w:p w14:paraId="331E8900" w14:textId="77777777" w:rsidR="0039742D" w:rsidRPr="00A53AD7" w:rsidRDefault="0039742D" w:rsidP="0039742D">
            <w:pPr>
              <w:spacing w:after="0" w:line="240" w:lineRule="auto"/>
              <w:jc w:val="center"/>
              <w:rPr>
                <w:rFonts w:ascii="Times New Roman" w:hAnsi="Times New Roman"/>
                <w:sz w:val="20"/>
                <w:szCs w:val="20"/>
              </w:rPr>
            </w:pPr>
          </w:p>
          <w:p w14:paraId="357AA608"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170,3</w:t>
            </w:r>
          </w:p>
        </w:tc>
        <w:tc>
          <w:tcPr>
            <w:tcW w:w="870" w:type="dxa"/>
          </w:tcPr>
          <w:p w14:paraId="3D40635D" w14:textId="77777777" w:rsidR="0039742D" w:rsidRPr="00A53AD7" w:rsidRDefault="0039742D" w:rsidP="0039742D">
            <w:pPr>
              <w:spacing w:after="0" w:line="240" w:lineRule="auto"/>
              <w:jc w:val="center"/>
              <w:rPr>
                <w:rFonts w:ascii="Times New Roman" w:hAnsi="Times New Roman"/>
                <w:sz w:val="20"/>
                <w:szCs w:val="20"/>
              </w:rPr>
            </w:pPr>
          </w:p>
          <w:p w14:paraId="6A30B42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153,1</w:t>
            </w:r>
          </w:p>
        </w:tc>
        <w:tc>
          <w:tcPr>
            <w:tcW w:w="1067" w:type="dxa"/>
          </w:tcPr>
          <w:p w14:paraId="697D6143" w14:textId="77777777" w:rsidR="0039742D" w:rsidRPr="00A53AD7" w:rsidRDefault="0039742D" w:rsidP="0039742D">
            <w:pPr>
              <w:spacing w:after="0" w:line="240" w:lineRule="auto"/>
              <w:jc w:val="center"/>
              <w:rPr>
                <w:rFonts w:ascii="Times New Roman" w:hAnsi="Times New Roman"/>
                <w:sz w:val="20"/>
                <w:szCs w:val="20"/>
              </w:rPr>
            </w:pPr>
          </w:p>
          <w:p w14:paraId="0A0940A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ОБ – 17,0</w:t>
            </w:r>
          </w:p>
          <w:p w14:paraId="2001FD11"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МБ - 0,2</w:t>
            </w:r>
          </w:p>
        </w:tc>
      </w:tr>
      <w:tr w:rsidR="00D470B6" w:rsidRPr="00A53AD7" w14:paraId="0A6E9749" w14:textId="77777777" w:rsidTr="00A07153">
        <w:trPr>
          <w:trHeight w:val="443"/>
        </w:trPr>
        <w:tc>
          <w:tcPr>
            <w:tcW w:w="5778" w:type="dxa"/>
          </w:tcPr>
          <w:p w14:paraId="146466AA"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2.1.9. Строительство начальной общеобразовательной школы на 320 учащихся в с. Красноборск Архангельской области</w:t>
            </w:r>
          </w:p>
        </w:tc>
        <w:tc>
          <w:tcPr>
            <w:tcW w:w="1701" w:type="dxa"/>
          </w:tcPr>
          <w:p w14:paraId="6AC33E3A" w14:textId="77777777" w:rsidR="0039742D" w:rsidRPr="00A53AD7" w:rsidRDefault="0039742D" w:rsidP="0039742D">
            <w:pPr>
              <w:spacing w:after="0" w:line="240" w:lineRule="auto"/>
              <w:jc w:val="center"/>
              <w:rPr>
                <w:rFonts w:ascii="Times New Roman" w:hAnsi="Times New Roman"/>
                <w:sz w:val="20"/>
                <w:szCs w:val="20"/>
              </w:rPr>
            </w:pPr>
          </w:p>
          <w:p w14:paraId="5F37394B"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649DE69C" w14:textId="77777777" w:rsidR="0039742D" w:rsidRPr="00A53AD7" w:rsidRDefault="0039742D" w:rsidP="0039742D">
            <w:pPr>
              <w:spacing w:after="0" w:line="240" w:lineRule="auto"/>
              <w:jc w:val="center"/>
              <w:rPr>
                <w:rFonts w:ascii="Times New Roman" w:hAnsi="Times New Roman"/>
                <w:sz w:val="20"/>
                <w:szCs w:val="20"/>
              </w:rPr>
            </w:pPr>
          </w:p>
          <w:p w14:paraId="18A4CBE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052E7572" w14:textId="77777777" w:rsidR="0039742D" w:rsidRPr="00A53AD7" w:rsidRDefault="0039742D" w:rsidP="0039742D">
            <w:pPr>
              <w:spacing w:after="0" w:line="240" w:lineRule="auto"/>
              <w:jc w:val="center"/>
              <w:rPr>
                <w:rFonts w:ascii="Times New Roman" w:hAnsi="Times New Roman"/>
                <w:sz w:val="20"/>
                <w:szCs w:val="20"/>
              </w:rPr>
            </w:pPr>
          </w:p>
          <w:p w14:paraId="625C4FC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7AEF914C" w14:textId="77777777" w:rsidTr="00A07153">
        <w:trPr>
          <w:trHeight w:val="507"/>
        </w:trPr>
        <w:tc>
          <w:tcPr>
            <w:tcW w:w="5778" w:type="dxa"/>
          </w:tcPr>
          <w:p w14:paraId="4FAE9240" w14:textId="14D3D93E"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2.1.10. Строительство средней общеобразовательной школы с эстетическим уклоном на 240 мест в пос. Ерцево Коношского района</w:t>
            </w:r>
          </w:p>
        </w:tc>
        <w:tc>
          <w:tcPr>
            <w:tcW w:w="1701" w:type="dxa"/>
          </w:tcPr>
          <w:p w14:paraId="772D8D12" w14:textId="77777777" w:rsidR="0039742D" w:rsidRPr="00A53AD7" w:rsidRDefault="0039742D" w:rsidP="0039742D">
            <w:pPr>
              <w:spacing w:after="0" w:line="240" w:lineRule="auto"/>
              <w:jc w:val="center"/>
              <w:rPr>
                <w:rFonts w:ascii="Times New Roman" w:hAnsi="Times New Roman"/>
                <w:sz w:val="20"/>
                <w:szCs w:val="20"/>
              </w:rPr>
            </w:pPr>
          </w:p>
          <w:p w14:paraId="2989D3FE"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66,8</w:t>
            </w:r>
          </w:p>
        </w:tc>
        <w:tc>
          <w:tcPr>
            <w:tcW w:w="870" w:type="dxa"/>
          </w:tcPr>
          <w:p w14:paraId="279672D8" w14:textId="77777777" w:rsidR="0039742D" w:rsidRPr="00A53AD7" w:rsidRDefault="0039742D" w:rsidP="0039742D">
            <w:pPr>
              <w:spacing w:after="0" w:line="240" w:lineRule="auto"/>
              <w:jc w:val="center"/>
              <w:rPr>
                <w:rFonts w:ascii="Times New Roman" w:hAnsi="Times New Roman"/>
                <w:sz w:val="20"/>
                <w:szCs w:val="20"/>
              </w:rPr>
            </w:pPr>
          </w:p>
          <w:p w14:paraId="51C08B74"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60,1</w:t>
            </w:r>
          </w:p>
        </w:tc>
        <w:tc>
          <w:tcPr>
            <w:tcW w:w="1067" w:type="dxa"/>
          </w:tcPr>
          <w:p w14:paraId="62B2C9D0" w14:textId="77777777" w:rsidR="0039742D" w:rsidRPr="00A53AD7" w:rsidRDefault="0039742D" w:rsidP="0039742D">
            <w:pPr>
              <w:spacing w:after="0" w:line="240" w:lineRule="auto"/>
              <w:jc w:val="center"/>
              <w:rPr>
                <w:rFonts w:ascii="Times New Roman" w:hAnsi="Times New Roman"/>
                <w:sz w:val="20"/>
                <w:szCs w:val="20"/>
              </w:rPr>
            </w:pPr>
          </w:p>
          <w:p w14:paraId="7FF5273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6,7</w:t>
            </w:r>
          </w:p>
        </w:tc>
      </w:tr>
      <w:tr w:rsidR="00D470B6" w:rsidRPr="00A53AD7" w14:paraId="09518115" w14:textId="77777777" w:rsidTr="00A07153">
        <w:trPr>
          <w:trHeight w:val="507"/>
        </w:trPr>
        <w:tc>
          <w:tcPr>
            <w:tcW w:w="5778" w:type="dxa"/>
          </w:tcPr>
          <w:p w14:paraId="53A602B9"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2.1.13. Строительство начальной общеобразовательной школы на 320 учащихся в с. Ильинско-Подомское Вилегодского района Архангельской области</w:t>
            </w:r>
          </w:p>
        </w:tc>
        <w:tc>
          <w:tcPr>
            <w:tcW w:w="1701" w:type="dxa"/>
          </w:tcPr>
          <w:p w14:paraId="22C365A0" w14:textId="77777777" w:rsidR="0039742D" w:rsidRPr="00A53AD7" w:rsidRDefault="0039742D" w:rsidP="0039742D">
            <w:pPr>
              <w:spacing w:after="0" w:line="240" w:lineRule="auto"/>
              <w:jc w:val="center"/>
              <w:rPr>
                <w:rFonts w:ascii="Times New Roman" w:hAnsi="Times New Roman"/>
                <w:sz w:val="20"/>
                <w:szCs w:val="20"/>
              </w:rPr>
            </w:pPr>
          </w:p>
          <w:p w14:paraId="3D1E6C9D"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5339936F" w14:textId="77777777" w:rsidR="0039742D" w:rsidRPr="00A53AD7" w:rsidRDefault="0039742D" w:rsidP="0039742D">
            <w:pPr>
              <w:spacing w:after="0" w:line="240" w:lineRule="auto"/>
              <w:jc w:val="center"/>
              <w:rPr>
                <w:rFonts w:ascii="Times New Roman" w:hAnsi="Times New Roman"/>
                <w:sz w:val="20"/>
                <w:szCs w:val="20"/>
              </w:rPr>
            </w:pPr>
          </w:p>
          <w:p w14:paraId="62D9DF5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5B59FA86" w14:textId="77777777" w:rsidR="0039742D" w:rsidRPr="00A53AD7" w:rsidRDefault="0039742D" w:rsidP="0039742D">
            <w:pPr>
              <w:spacing w:after="0" w:line="240" w:lineRule="auto"/>
              <w:jc w:val="center"/>
              <w:rPr>
                <w:rFonts w:ascii="Times New Roman" w:hAnsi="Times New Roman"/>
                <w:sz w:val="20"/>
                <w:szCs w:val="20"/>
              </w:rPr>
            </w:pPr>
          </w:p>
          <w:p w14:paraId="25ECD26E"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05B2333F" w14:textId="77777777" w:rsidTr="00A07153">
        <w:trPr>
          <w:trHeight w:val="427"/>
        </w:trPr>
        <w:tc>
          <w:tcPr>
            <w:tcW w:w="5778" w:type="dxa"/>
          </w:tcPr>
          <w:p w14:paraId="16D1C22C"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2.1.14. Строительство школы на 90 учащихся в с. Долгощелье Мезенского района Архангельской области</w:t>
            </w:r>
          </w:p>
        </w:tc>
        <w:tc>
          <w:tcPr>
            <w:tcW w:w="1701" w:type="dxa"/>
          </w:tcPr>
          <w:p w14:paraId="0812C6AA" w14:textId="77777777" w:rsidR="0039742D" w:rsidRPr="00A53AD7" w:rsidRDefault="0039742D" w:rsidP="0039742D">
            <w:pPr>
              <w:spacing w:after="0" w:line="240" w:lineRule="auto"/>
              <w:jc w:val="center"/>
              <w:rPr>
                <w:rFonts w:ascii="Times New Roman" w:hAnsi="Times New Roman"/>
                <w:sz w:val="20"/>
                <w:szCs w:val="20"/>
              </w:rPr>
            </w:pPr>
          </w:p>
          <w:p w14:paraId="535C0F78"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90,8</w:t>
            </w:r>
          </w:p>
        </w:tc>
        <w:tc>
          <w:tcPr>
            <w:tcW w:w="870" w:type="dxa"/>
          </w:tcPr>
          <w:p w14:paraId="0DCA52C7" w14:textId="77777777" w:rsidR="0039742D" w:rsidRPr="00A53AD7" w:rsidRDefault="0039742D" w:rsidP="0039742D">
            <w:pPr>
              <w:spacing w:after="0" w:line="240" w:lineRule="auto"/>
              <w:jc w:val="center"/>
              <w:rPr>
                <w:rFonts w:ascii="Times New Roman" w:hAnsi="Times New Roman"/>
                <w:sz w:val="20"/>
                <w:szCs w:val="20"/>
              </w:rPr>
            </w:pPr>
          </w:p>
          <w:p w14:paraId="25D64A2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81,7</w:t>
            </w:r>
          </w:p>
        </w:tc>
        <w:tc>
          <w:tcPr>
            <w:tcW w:w="1067" w:type="dxa"/>
          </w:tcPr>
          <w:p w14:paraId="28E773F0" w14:textId="77777777" w:rsidR="0039742D" w:rsidRPr="00A53AD7" w:rsidRDefault="0039742D" w:rsidP="0039742D">
            <w:pPr>
              <w:spacing w:after="0" w:line="240" w:lineRule="auto"/>
              <w:jc w:val="center"/>
              <w:rPr>
                <w:rFonts w:ascii="Times New Roman" w:hAnsi="Times New Roman"/>
                <w:sz w:val="20"/>
                <w:szCs w:val="20"/>
              </w:rPr>
            </w:pPr>
          </w:p>
          <w:p w14:paraId="525799C0"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9,1</w:t>
            </w:r>
          </w:p>
        </w:tc>
      </w:tr>
      <w:tr w:rsidR="00D470B6" w:rsidRPr="00A53AD7" w14:paraId="3A742567" w14:textId="77777777" w:rsidTr="00A07153">
        <w:trPr>
          <w:trHeight w:val="377"/>
        </w:trPr>
        <w:tc>
          <w:tcPr>
            <w:tcW w:w="5778" w:type="dxa"/>
          </w:tcPr>
          <w:p w14:paraId="206498DC"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2.1.16. Строительство школы на 860 мест в территориальном округе Варавино-Фактория г. Архангельска</w:t>
            </w:r>
          </w:p>
        </w:tc>
        <w:tc>
          <w:tcPr>
            <w:tcW w:w="1701" w:type="dxa"/>
          </w:tcPr>
          <w:p w14:paraId="4E48E066" w14:textId="77777777" w:rsidR="0039742D" w:rsidRPr="00A53AD7" w:rsidRDefault="0039742D" w:rsidP="0039742D">
            <w:pPr>
              <w:spacing w:after="0" w:line="240" w:lineRule="auto"/>
              <w:jc w:val="center"/>
              <w:rPr>
                <w:rFonts w:ascii="Times New Roman" w:hAnsi="Times New Roman"/>
                <w:sz w:val="20"/>
                <w:szCs w:val="20"/>
              </w:rPr>
            </w:pPr>
          </w:p>
          <w:p w14:paraId="5CD596E6"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115,1</w:t>
            </w:r>
          </w:p>
        </w:tc>
        <w:tc>
          <w:tcPr>
            <w:tcW w:w="870" w:type="dxa"/>
          </w:tcPr>
          <w:p w14:paraId="090ADA56" w14:textId="77777777" w:rsidR="0039742D" w:rsidRPr="00A53AD7" w:rsidRDefault="0039742D" w:rsidP="0039742D">
            <w:pPr>
              <w:spacing w:after="0" w:line="240" w:lineRule="auto"/>
              <w:jc w:val="center"/>
              <w:rPr>
                <w:rFonts w:ascii="Times New Roman" w:hAnsi="Times New Roman"/>
                <w:sz w:val="20"/>
                <w:szCs w:val="20"/>
              </w:rPr>
            </w:pPr>
          </w:p>
          <w:p w14:paraId="0066D47C"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103,5</w:t>
            </w:r>
          </w:p>
        </w:tc>
        <w:tc>
          <w:tcPr>
            <w:tcW w:w="1067" w:type="dxa"/>
          </w:tcPr>
          <w:p w14:paraId="03F25837"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ОБ – 11,5</w:t>
            </w:r>
          </w:p>
          <w:p w14:paraId="032EEE2F"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МБ – 0,1</w:t>
            </w:r>
          </w:p>
        </w:tc>
      </w:tr>
      <w:tr w:rsidR="00D470B6" w:rsidRPr="00A53AD7" w14:paraId="294F681D" w14:textId="77777777" w:rsidTr="00A07153">
        <w:trPr>
          <w:trHeight w:val="341"/>
        </w:trPr>
        <w:tc>
          <w:tcPr>
            <w:tcW w:w="5778" w:type="dxa"/>
          </w:tcPr>
          <w:p w14:paraId="14CBA70C" w14:textId="77777777" w:rsidR="0039742D" w:rsidRPr="00A53AD7" w:rsidRDefault="0039742D" w:rsidP="00A07153">
            <w:pPr>
              <w:spacing w:after="0" w:line="240" w:lineRule="auto"/>
              <w:rPr>
                <w:rFonts w:ascii="Times New Roman" w:hAnsi="Times New Roman"/>
                <w:sz w:val="20"/>
                <w:szCs w:val="20"/>
              </w:rPr>
            </w:pPr>
            <w:r w:rsidRPr="00A53AD7">
              <w:rPr>
                <w:rFonts w:ascii="Times New Roman" w:hAnsi="Times New Roman"/>
                <w:sz w:val="20"/>
                <w:szCs w:val="20"/>
              </w:rPr>
              <w:t>2.1.17. Строительство школы на 1600 мест в территориальном округе Майская горка г. Архангельска</w:t>
            </w:r>
          </w:p>
        </w:tc>
        <w:tc>
          <w:tcPr>
            <w:tcW w:w="1701" w:type="dxa"/>
          </w:tcPr>
          <w:p w14:paraId="63D43DCA" w14:textId="77777777" w:rsidR="0039742D" w:rsidRPr="00A53AD7" w:rsidRDefault="0039742D" w:rsidP="0039742D">
            <w:pPr>
              <w:spacing w:after="0" w:line="240" w:lineRule="auto"/>
              <w:jc w:val="center"/>
              <w:rPr>
                <w:rFonts w:ascii="Times New Roman" w:hAnsi="Times New Roman"/>
                <w:sz w:val="20"/>
                <w:szCs w:val="20"/>
              </w:rPr>
            </w:pPr>
          </w:p>
          <w:p w14:paraId="605364B1"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870" w:type="dxa"/>
          </w:tcPr>
          <w:p w14:paraId="7A4AD33B" w14:textId="77777777" w:rsidR="0039742D" w:rsidRPr="00A53AD7" w:rsidRDefault="0039742D" w:rsidP="0039742D">
            <w:pPr>
              <w:spacing w:after="0" w:line="240" w:lineRule="auto"/>
              <w:jc w:val="center"/>
              <w:rPr>
                <w:rFonts w:ascii="Times New Roman" w:hAnsi="Times New Roman"/>
                <w:sz w:val="20"/>
                <w:szCs w:val="20"/>
              </w:rPr>
            </w:pPr>
          </w:p>
          <w:p w14:paraId="23968515"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067" w:type="dxa"/>
          </w:tcPr>
          <w:p w14:paraId="607C39D7" w14:textId="77777777" w:rsidR="0039742D" w:rsidRPr="00A53AD7" w:rsidRDefault="0039742D" w:rsidP="0039742D">
            <w:pPr>
              <w:spacing w:after="0" w:line="240" w:lineRule="auto"/>
              <w:jc w:val="center"/>
              <w:rPr>
                <w:rFonts w:ascii="Times New Roman" w:hAnsi="Times New Roman"/>
                <w:sz w:val="20"/>
                <w:szCs w:val="20"/>
              </w:rPr>
            </w:pPr>
          </w:p>
          <w:p w14:paraId="18C3C453" w14:textId="77777777" w:rsidR="0039742D" w:rsidRPr="00A53AD7" w:rsidRDefault="0039742D" w:rsidP="0039742D">
            <w:pPr>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443F88F3" w14:textId="77777777" w:rsidTr="00A07153">
        <w:trPr>
          <w:trHeight w:val="507"/>
        </w:trPr>
        <w:tc>
          <w:tcPr>
            <w:tcW w:w="5778" w:type="dxa"/>
          </w:tcPr>
          <w:p w14:paraId="6659F0B5"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ИТОГО по подпрограмме №7:</w:t>
            </w:r>
          </w:p>
        </w:tc>
        <w:tc>
          <w:tcPr>
            <w:tcW w:w="1701" w:type="dxa"/>
          </w:tcPr>
          <w:p w14:paraId="2374373B"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443,0</w:t>
            </w:r>
          </w:p>
        </w:tc>
        <w:tc>
          <w:tcPr>
            <w:tcW w:w="870" w:type="dxa"/>
          </w:tcPr>
          <w:p w14:paraId="3C77A65B"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398,4</w:t>
            </w:r>
          </w:p>
        </w:tc>
        <w:tc>
          <w:tcPr>
            <w:tcW w:w="1067" w:type="dxa"/>
          </w:tcPr>
          <w:p w14:paraId="5535B551"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ОБ – 44,3</w:t>
            </w:r>
          </w:p>
          <w:p w14:paraId="0879D07A"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МБ – 0,3</w:t>
            </w:r>
          </w:p>
        </w:tc>
      </w:tr>
      <w:tr w:rsidR="0039742D" w:rsidRPr="00A53AD7" w14:paraId="4854426B" w14:textId="77777777" w:rsidTr="00A07153">
        <w:trPr>
          <w:trHeight w:val="507"/>
        </w:trPr>
        <w:tc>
          <w:tcPr>
            <w:tcW w:w="5778" w:type="dxa"/>
          </w:tcPr>
          <w:p w14:paraId="5475A7B2"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ВСЕГО по ГП АО № 463-пп:</w:t>
            </w:r>
          </w:p>
        </w:tc>
        <w:tc>
          <w:tcPr>
            <w:tcW w:w="1701" w:type="dxa"/>
          </w:tcPr>
          <w:p w14:paraId="40AF3433"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501,0</w:t>
            </w:r>
          </w:p>
        </w:tc>
        <w:tc>
          <w:tcPr>
            <w:tcW w:w="870" w:type="dxa"/>
          </w:tcPr>
          <w:p w14:paraId="1C726EE2"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455,2</w:t>
            </w:r>
          </w:p>
        </w:tc>
        <w:tc>
          <w:tcPr>
            <w:tcW w:w="1067" w:type="dxa"/>
          </w:tcPr>
          <w:p w14:paraId="6D148C38" w14:textId="77777777" w:rsidR="0039742D" w:rsidRPr="00A53AD7" w:rsidRDefault="0039742D" w:rsidP="0039742D">
            <w:pPr>
              <w:spacing w:after="0" w:line="240" w:lineRule="auto"/>
              <w:jc w:val="center"/>
              <w:rPr>
                <w:rFonts w:ascii="Times New Roman" w:hAnsi="Times New Roman"/>
                <w:b/>
                <w:sz w:val="20"/>
                <w:szCs w:val="20"/>
              </w:rPr>
            </w:pPr>
            <w:r w:rsidRPr="00A53AD7">
              <w:rPr>
                <w:rFonts w:ascii="Times New Roman" w:hAnsi="Times New Roman"/>
                <w:b/>
                <w:sz w:val="20"/>
                <w:szCs w:val="20"/>
              </w:rPr>
              <w:t>ОБ – 45,5 МБ – 0,3</w:t>
            </w:r>
          </w:p>
        </w:tc>
      </w:tr>
    </w:tbl>
    <w:p w14:paraId="6384E94C" w14:textId="77777777" w:rsidR="0039742D" w:rsidRPr="00A53AD7" w:rsidRDefault="0039742D" w:rsidP="00A07153">
      <w:pPr>
        <w:spacing w:after="0" w:line="240" w:lineRule="auto"/>
        <w:ind w:firstLine="851"/>
        <w:jc w:val="both"/>
        <w:rPr>
          <w:rFonts w:ascii="Times New Roman" w:hAnsi="Times New Roman"/>
          <w:sz w:val="28"/>
          <w:szCs w:val="28"/>
        </w:rPr>
      </w:pPr>
    </w:p>
    <w:p w14:paraId="7CF6EE0F" w14:textId="39FF084F"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реализации мероприятий ГП АО № 463-пп за 2019 год, размещенному в комплексной информационно - аналитической системе Архангельской области (КИАС), достигнуты следующие результаты реализации мероприятий РП «Современная школа»:</w:t>
      </w:r>
    </w:p>
    <w:tbl>
      <w:tblPr>
        <w:tblW w:w="939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008"/>
        <w:gridCol w:w="2946"/>
        <w:gridCol w:w="1485"/>
        <w:gridCol w:w="1313"/>
        <w:gridCol w:w="1271"/>
        <w:gridCol w:w="1372"/>
      </w:tblGrid>
      <w:tr w:rsidR="00D470B6" w:rsidRPr="00A53AD7" w14:paraId="297633D4" w14:textId="77777777" w:rsidTr="00A833ED">
        <w:trPr>
          <w:tblHeader/>
        </w:trPr>
        <w:tc>
          <w:tcPr>
            <w:tcW w:w="1008" w:type="dxa"/>
            <w:vMerge w:val="restart"/>
            <w:shd w:val="clear" w:color="auto" w:fill="auto"/>
          </w:tcPr>
          <w:p w14:paraId="2817B368"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 мероприятия ГП АО № 463-пп</w:t>
            </w:r>
          </w:p>
        </w:tc>
        <w:tc>
          <w:tcPr>
            <w:tcW w:w="4431" w:type="dxa"/>
            <w:gridSpan w:val="2"/>
            <w:shd w:val="clear" w:color="auto" w:fill="auto"/>
          </w:tcPr>
          <w:p w14:paraId="2FE9EF26"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Показатель реализации мероприятия</w:t>
            </w:r>
          </w:p>
          <w:p w14:paraId="3C8843AC" w14:textId="77777777" w:rsidR="0039742D" w:rsidRPr="00A53AD7" w:rsidRDefault="0039742D" w:rsidP="0039742D">
            <w:pPr>
              <w:autoSpaceDE w:val="0"/>
              <w:autoSpaceDN w:val="0"/>
              <w:adjustRightInd w:val="0"/>
              <w:spacing w:after="0" w:line="240" w:lineRule="auto"/>
              <w:rPr>
                <w:rFonts w:ascii="Times New Roman" w:hAnsi="Times New Roman"/>
                <w:b/>
                <w:sz w:val="20"/>
                <w:szCs w:val="20"/>
              </w:rPr>
            </w:pPr>
          </w:p>
        </w:tc>
        <w:tc>
          <w:tcPr>
            <w:tcW w:w="3956" w:type="dxa"/>
            <w:gridSpan w:val="3"/>
            <w:shd w:val="clear" w:color="auto" w:fill="auto"/>
          </w:tcPr>
          <w:p w14:paraId="4DDCC4C9" w14:textId="17DC1897" w:rsidR="0039742D" w:rsidRPr="00A53AD7" w:rsidRDefault="002851F7"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Объем финансирования, млн.</w:t>
            </w:r>
            <w:r w:rsidR="0039742D" w:rsidRPr="00A53AD7">
              <w:rPr>
                <w:rFonts w:ascii="Times New Roman" w:hAnsi="Times New Roman"/>
                <w:b/>
                <w:sz w:val="20"/>
                <w:szCs w:val="20"/>
              </w:rPr>
              <w:t>руб.</w:t>
            </w:r>
          </w:p>
        </w:tc>
      </w:tr>
      <w:tr w:rsidR="00D470B6" w:rsidRPr="00A53AD7" w14:paraId="575F3DA1" w14:textId="77777777" w:rsidTr="00A833ED">
        <w:trPr>
          <w:tblHeader/>
        </w:trPr>
        <w:tc>
          <w:tcPr>
            <w:tcW w:w="1008" w:type="dxa"/>
            <w:vMerge/>
            <w:shd w:val="clear" w:color="auto" w:fill="auto"/>
          </w:tcPr>
          <w:p w14:paraId="36AF1991"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shd w:val="clear" w:color="auto" w:fill="auto"/>
          </w:tcPr>
          <w:p w14:paraId="74951EC0" w14:textId="2B5F5BF7" w:rsidR="0039742D" w:rsidRPr="00A53AD7" w:rsidRDefault="0039742D" w:rsidP="00A07153">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Наименование/плановое значение</w:t>
            </w:r>
          </w:p>
        </w:tc>
        <w:tc>
          <w:tcPr>
            <w:tcW w:w="1485" w:type="dxa"/>
            <w:shd w:val="clear" w:color="auto" w:fill="auto"/>
          </w:tcPr>
          <w:p w14:paraId="17C9AFB4"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Достигнутый результат</w:t>
            </w:r>
          </w:p>
        </w:tc>
        <w:tc>
          <w:tcPr>
            <w:tcW w:w="1313" w:type="dxa"/>
            <w:shd w:val="clear" w:color="auto" w:fill="auto"/>
          </w:tcPr>
          <w:p w14:paraId="2F663AEC"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План</w:t>
            </w:r>
          </w:p>
        </w:tc>
        <w:tc>
          <w:tcPr>
            <w:tcW w:w="1271" w:type="dxa"/>
            <w:shd w:val="clear" w:color="auto" w:fill="auto"/>
          </w:tcPr>
          <w:p w14:paraId="7FEF41DA"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Кассовые расходы</w:t>
            </w:r>
          </w:p>
        </w:tc>
        <w:tc>
          <w:tcPr>
            <w:tcW w:w="1372" w:type="dxa"/>
            <w:shd w:val="clear" w:color="auto" w:fill="auto"/>
          </w:tcPr>
          <w:p w14:paraId="18BE4B66" w14:textId="77777777" w:rsidR="0039742D" w:rsidRPr="00A53AD7" w:rsidRDefault="0039742D" w:rsidP="0039742D">
            <w:pPr>
              <w:autoSpaceDE w:val="0"/>
              <w:autoSpaceDN w:val="0"/>
              <w:adjustRightInd w:val="0"/>
              <w:spacing w:after="0" w:line="240" w:lineRule="auto"/>
              <w:jc w:val="center"/>
              <w:rPr>
                <w:rFonts w:ascii="Times New Roman" w:hAnsi="Times New Roman"/>
                <w:b/>
                <w:sz w:val="20"/>
                <w:szCs w:val="20"/>
              </w:rPr>
            </w:pPr>
            <w:r w:rsidRPr="00A53AD7">
              <w:rPr>
                <w:rFonts w:ascii="Times New Roman" w:hAnsi="Times New Roman"/>
                <w:b/>
                <w:sz w:val="20"/>
                <w:szCs w:val="20"/>
              </w:rPr>
              <w:t>% исполнения</w:t>
            </w:r>
          </w:p>
        </w:tc>
      </w:tr>
      <w:tr w:rsidR="00D470B6" w:rsidRPr="00A53AD7" w14:paraId="295B1406" w14:textId="77777777" w:rsidTr="00A833ED">
        <w:tc>
          <w:tcPr>
            <w:tcW w:w="1008" w:type="dxa"/>
            <w:vMerge w:val="restart"/>
            <w:shd w:val="clear" w:color="auto" w:fill="auto"/>
          </w:tcPr>
          <w:p w14:paraId="7BCC1E74"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p w14:paraId="60B94798"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p w14:paraId="3EFC6B0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1.5 (подпрограмма №1)</w:t>
            </w:r>
          </w:p>
        </w:tc>
        <w:tc>
          <w:tcPr>
            <w:tcW w:w="2946" w:type="dxa"/>
            <w:vMerge w:val="restart"/>
            <w:shd w:val="clear" w:color="auto" w:fill="auto"/>
          </w:tcPr>
          <w:p w14:paraId="0823AD30" w14:textId="1895A810" w:rsidR="0039742D" w:rsidRPr="00A53AD7" w:rsidRDefault="0039742D" w:rsidP="00A07153">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Обновление материально-технической базы для формирования у обучающихся современных технологических и гуманитарных навыков / число образовательных организаций – 23</w:t>
            </w:r>
          </w:p>
        </w:tc>
        <w:tc>
          <w:tcPr>
            <w:tcW w:w="1485" w:type="dxa"/>
            <w:vMerge w:val="restart"/>
            <w:shd w:val="clear" w:color="auto" w:fill="auto"/>
          </w:tcPr>
          <w:p w14:paraId="5BB7AD2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3079A8A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4647C417"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23 организации</w:t>
            </w:r>
          </w:p>
        </w:tc>
        <w:tc>
          <w:tcPr>
            <w:tcW w:w="1313" w:type="dxa"/>
            <w:shd w:val="clear" w:color="auto" w:fill="auto"/>
          </w:tcPr>
          <w:p w14:paraId="4A3A93C0"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44430E1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5B80139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36,2</w:t>
            </w:r>
          </w:p>
          <w:p w14:paraId="5B7C917F"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tc>
        <w:tc>
          <w:tcPr>
            <w:tcW w:w="1271" w:type="dxa"/>
            <w:shd w:val="clear" w:color="auto" w:fill="auto"/>
          </w:tcPr>
          <w:p w14:paraId="54E6A8D3"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2FE791E0"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61D4157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36,2</w:t>
            </w:r>
          </w:p>
        </w:tc>
        <w:tc>
          <w:tcPr>
            <w:tcW w:w="1372" w:type="dxa"/>
            <w:shd w:val="clear" w:color="auto" w:fill="auto"/>
          </w:tcPr>
          <w:p w14:paraId="20476C7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6F17DD1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018A152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5F26F791" w14:textId="77777777" w:rsidTr="00A833ED">
        <w:tc>
          <w:tcPr>
            <w:tcW w:w="1008" w:type="dxa"/>
            <w:vMerge/>
            <w:shd w:val="clear" w:color="auto" w:fill="auto"/>
          </w:tcPr>
          <w:p w14:paraId="261BF84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1A0FC54C"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6A10B11D"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1D67861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35,5</w:t>
            </w:r>
          </w:p>
        </w:tc>
        <w:tc>
          <w:tcPr>
            <w:tcW w:w="1271" w:type="dxa"/>
            <w:shd w:val="clear" w:color="auto" w:fill="auto"/>
          </w:tcPr>
          <w:p w14:paraId="278F9C03"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35,5</w:t>
            </w:r>
          </w:p>
        </w:tc>
        <w:tc>
          <w:tcPr>
            <w:tcW w:w="1372" w:type="dxa"/>
            <w:shd w:val="clear" w:color="auto" w:fill="auto"/>
          </w:tcPr>
          <w:p w14:paraId="4B60E46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5B318FF6" w14:textId="77777777" w:rsidTr="00A833ED">
        <w:trPr>
          <w:trHeight w:val="378"/>
        </w:trPr>
        <w:tc>
          <w:tcPr>
            <w:tcW w:w="1008" w:type="dxa"/>
            <w:vMerge/>
            <w:shd w:val="clear" w:color="auto" w:fill="auto"/>
          </w:tcPr>
          <w:p w14:paraId="74F45FB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5E0830B0"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7B40C80B"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7F4754B7"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0,7</w:t>
            </w:r>
          </w:p>
        </w:tc>
        <w:tc>
          <w:tcPr>
            <w:tcW w:w="1271" w:type="dxa"/>
            <w:shd w:val="clear" w:color="auto" w:fill="auto"/>
          </w:tcPr>
          <w:p w14:paraId="6E89E11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0,7</w:t>
            </w:r>
          </w:p>
        </w:tc>
        <w:tc>
          <w:tcPr>
            <w:tcW w:w="1372" w:type="dxa"/>
            <w:shd w:val="clear" w:color="auto" w:fill="auto"/>
          </w:tcPr>
          <w:p w14:paraId="3A8D563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3C31FDD6" w14:textId="77777777" w:rsidTr="00A833ED">
        <w:tc>
          <w:tcPr>
            <w:tcW w:w="1008" w:type="dxa"/>
            <w:vMerge w:val="restart"/>
            <w:shd w:val="clear" w:color="auto" w:fill="auto"/>
          </w:tcPr>
          <w:p w14:paraId="176CC69B"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p w14:paraId="430BF3E9"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p w14:paraId="3C99160D"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1.12</w:t>
            </w:r>
          </w:p>
          <w:p w14:paraId="57EFB37C"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(подпрограмма №2)</w:t>
            </w:r>
          </w:p>
        </w:tc>
        <w:tc>
          <w:tcPr>
            <w:tcW w:w="2946" w:type="dxa"/>
            <w:vMerge w:val="restart"/>
            <w:shd w:val="clear" w:color="auto" w:fill="auto"/>
          </w:tcPr>
          <w:p w14:paraId="2E5F819D" w14:textId="405D25B6" w:rsidR="0039742D" w:rsidRPr="00A53AD7" w:rsidRDefault="0039742D" w:rsidP="00A07153">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Материально-техническое оснащение образовательных организаций, осуществляющих образовательную деятельность исключительно по адаптированным основным общеобразовательным программам/ количество образовательных организаций -5</w:t>
            </w:r>
          </w:p>
        </w:tc>
        <w:tc>
          <w:tcPr>
            <w:tcW w:w="1485" w:type="dxa"/>
            <w:vMerge w:val="restart"/>
            <w:shd w:val="clear" w:color="auto" w:fill="auto"/>
          </w:tcPr>
          <w:p w14:paraId="20FC31F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0615809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01F3BD23"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7EABA0BB"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5</w:t>
            </w:r>
          </w:p>
          <w:p w14:paraId="19422EE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организаций</w:t>
            </w:r>
          </w:p>
        </w:tc>
        <w:tc>
          <w:tcPr>
            <w:tcW w:w="1313" w:type="dxa"/>
            <w:shd w:val="clear" w:color="auto" w:fill="auto"/>
          </w:tcPr>
          <w:p w14:paraId="1B0E465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0DAD12BC"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43B4605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79E072E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21,8</w:t>
            </w:r>
          </w:p>
        </w:tc>
        <w:tc>
          <w:tcPr>
            <w:tcW w:w="1271" w:type="dxa"/>
            <w:shd w:val="clear" w:color="auto" w:fill="auto"/>
          </w:tcPr>
          <w:p w14:paraId="32A4A91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71F882FE"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65C632B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7F94C52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21,8</w:t>
            </w:r>
          </w:p>
          <w:p w14:paraId="095BB91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tc>
        <w:tc>
          <w:tcPr>
            <w:tcW w:w="1372" w:type="dxa"/>
            <w:shd w:val="clear" w:color="auto" w:fill="auto"/>
          </w:tcPr>
          <w:p w14:paraId="1ED783A4"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4CE1E27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10BA292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50C8A36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2E39EBAF" w14:textId="77777777" w:rsidTr="00A833ED">
        <w:tc>
          <w:tcPr>
            <w:tcW w:w="1008" w:type="dxa"/>
            <w:vMerge/>
            <w:shd w:val="clear" w:color="auto" w:fill="auto"/>
          </w:tcPr>
          <w:p w14:paraId="64E3DCE5"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149E3B73"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155B60BB"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6D9A9104"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21,3</w:t>
            </w:r>
          </w:p>
        </w:tc>
        <w:tc>
          <w:tcPr>
            <w:tcW w:w="1271" w:type="dxa"/>
            <w:shd w:val="clear" w:color="auto" w:fill="auto"/>
          </w:tcPr>
          <w:p w14:paraId="5DBA314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21,3</w:t>
            </w:r>
          </w:p>
        </w:tc>
        <w:tc>
          <w:tcPr>
            <w:tcW w:w="1372" w:type="dxa"/>
            <w:shd w:val="clear" w:color="auto" w:fill="auto"/>
          </w:tcPr>
          <w:p w14:paraId="4B0231B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4045BCD0" w14:textId="77777777" w:rsidTr="00A833ED">
        <w:tc>
          <w:tcPr>
            <w:tcW w:w="1008" w:type="dxa"/>
            <w:vMerge/>
            <w:shd w:val="clear" w:color="auto" w:fill="auto"/>
          </w:tcPr>
          <w:p w14:paraId="7F1366DF"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265E7219"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104BF0F1"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4C67087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0,5</w:t>
            </w:r>
          </w:p>
        </w:tc>
        <w:tc>
          <w:tcPr>
            <w:tcW w:w="1271" w:type="dxa"/>
            <w:shd w:val="clear" w:color="auto" w:fill="auto"/>
          </w:tcPr>
          <w:p w14:paraId="27BBCE6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0,5</w:t>
            </w:r>
          </w:p>
        </w:tc>
        <w:tc>
          <w:tcPr>
            <w:tcW w:w="1372" w:type="dxa"/>
            <w:shd w:val="clear" w:color="auto" w:fill="auto"/>
          </w:tcPr>
          <w:p w14:paraId="6AEA798B"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r w:rsidR="00D470B6" w:rsidRPr="00A53AD7" w14:paraId="7C5BEDBF" w14:textId="77777777" w:rsidTr="00A833ED">
        <w:tc>
          <w:tcPr>
            <w:tcW w:w="1008" w:type="dxa"/>
            <w:vMerge w:val="restart"/>
            <w:shd w:val="clear" w:color="auto" w:fill="auto"/>
          </w:tcPr>
          <w:p w14:paraId="4E694005"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2.1.4 (подпрограмма №7)</w:t>
            </w:r>
          </w:p>
        </w:tc>
        <w:tc>
          <w:tcPr>
            <w:tcW w:w="2946" w:type="dxa"/>
            <w:vMerge w:val="restart"/>
            <w:shd w:val="clear" w:color="auto" w:fill="auto"/>
          </w:tcPr>
          <w:p w14:paraId="76A78B1C" w14:textId="507C7DEC" w:rsidR="0039742D" w:rsidRPr="00A53AD7" w:rsidRDefault="0039742D" w:rsidP="00A07153">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Строительство средней общеобразовательной школы на 250 учащихся с блоком временного проживания на 50 человек в с. Ровдино Шенкурского района</w:t>
            </w:r>
          </w:p>
        </w:tc>
        <w:tc>
          <w:tcPr>
            <w:tcW w:w="1485" w:type="dxa"/>
            <w:vMerge w:val="restart"/>
            <w:shd w:val="clear" w:color="auto" w:fill="auto"/>
          </w:tcPr>
          <w:p w14:paraId="14909B93"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Результат не достигнут</w:t>
            </w:r>
          </w:p>
        </w:tc>
        <w:tc>
          <w:tcPr>
            <w:tcW w:w="1313" w:type="dxa"/>
            <w:shd w:val="clear" w:color="auto" w:fill="auto"/>
          </w:tcPr>
          <w:p w14:paraId="0AAD072F"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170,3</w:t>
            </w:r>
          </w:p>
          <w:p w14:paraId="2AF9531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39F4877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tc>
        <w:tc>
          <w:tcPr>
            <w:tcW w:w="1271" w:type="dxa"/>
            <w:shd w:val="clear" w:color="auto" w:fill="auto"/>
          </w:tcPr>
          <w:p w14:paraId="74FDEDB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17,9</w:t>
            </w:r>
          </w:p>
        </w:tc>
        <w:tc>
          <w:tcPr>
            <w:tcW w:w="1372" w:type="dxa"/>
            <w:shd w:val="clear" w:color="auto" w:fill="auto"/>
          </w:tcPr>
          <w:p w14:paraId="4C949D1B"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10,5</w:t>
            </w:r>
          </w:p>
        </w:tc>
      </w:tr>
      <w:tr w:rsidR="00D470B6" w:rsidRPr="00A53AD7" w14:paraId="6B1D8D67" w14:textId="77777777" w:rsidTr="00A833ED">
        <w:tc>
          <w:tcPr>
            <w:tcW w:w="1008" w:type="dxa"/>
            <w:vMerge/>
            <w:shd w:val="clear" w:color="auto" w:fill="auto"/>
          </w:tcPr>
          <w:p w14:paraId="6DBCA987"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79C084AB"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69AE9239"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692C898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153,1</w:t>
            </w:r>
          </w:p>
        </w:tc>
        <w:tc>
          <w:tcPr>
            <w:tcW w:w="1271" w:type="dxa"/>
            <w:shd w:val="clear" w:color="auto" w:fill="auto"/>
          </w:tcPr>
          <w:p w14:paraId="6CA493F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16,1</w:t>
            </w:r>
          </w:p>
        </w:tc>
        <w:tc>
          <w:tcPr>
            <w:tcW w:w="1372" w:type="dxa"/>
            <w:shd w:val="clear" w:color="auto" w:fill="auto"/>
          </w:tcPr>
          <w:p w14:paraId="00CD9D70"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10,5</w:t>
            </w:r>
          </w:p>
        </w:tc>
      </w:tr>
      <w:tr w:rsidR="00D470B6" w:rsidRPr="00A53AD7" w14:paraId="5CB49D0F" w14:textId="77777777" w:rsidTr="00A833ED">
        <w:tc>
          <w:tcPr>
            <w:tcW w:w="1008" w:type="dxa"/>
            <w:vMerge/>
            <w:shd w:val="clear" w:color="auto" w:fill="auto"/>
          </w:tcPr>
          <w:p w14:paraId="67C69FB4"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49E9A85D"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23ECC7D0"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4DBA29B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17,0</w:t>
            </w:r>
          </w:p>
        </w:tc>
        <w:tc>
          <w:tcPr>
            <w:tcW w:w="1271" w:type="dxa"/>
            <w:shd w:val="clear" w:color="auto" w:fill="auto"/>
          </w:tcPr>
          <w:p w14:paraId="79E013D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1,8</w:t>
            </w:r>
          </w:p>
        </w:tc>
        <w:tc>
          <w:tcPr>
            <w:tcW w:w="1372" w:type="dxa"/>
            <w:shd w:val="clear" w:color="auto" w:fill="auto"/>
          </w:tcPr>
          <w:p w14:paraId="2465492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10,5</w:t>
            </w:r>
          </w:p>
        </w:tc>
      </w:tr>
      <w:tr w:rsidR="00D470B6" w:rsidRPr="00A53AD7" w14:paraId="32F75A22" w14:textId="77777777" w:rsidTr="00A833ED">
        <w:tc>
          <w:tcPr>
            <w:tcW w:w="1008" w:type="dxa"/>
            <w:vMerge/>
            <w:shd w:val="clear" w:color="auto" w:fill="auto"/>
          </w:tcPr>
          <w:p w14:paraId="17FA294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730D9686"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6B5492CE"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2690DA0E"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МБ – 0,2</w:t>
            </w:r>
          </w:p>
        </w:tc>
        <w:tc>
          <w:tcPr>
            <w:tcW w:w="1271" w:type="dxa"/>
            <w:shd w:val="clear" w:color="auto" w:fill="auto"/>
          </w:tcPr>
          <w:p w14:paraId="1E0A103F"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372" w:type="dxa"/>
            <w:shd w:val="clear" w:color="auto" w:fill="auto"/>
          </w:tcPr>
          <w:p w14:paraId="031E0D7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5FA70FA9" w14:textId="77777777" w:rsidTr="00A833ED">
        <w:tc>
          <w:tcPr>
            <w:tcW w:w="1008" w:type="dxa"/>
            <w:vMerge w:val="restart"/>
            <w:shd w:val="clear" w:color="auto" w:fill="auto"/>
          </w:tcPr>
          <w:p w14:paraId="5649A444"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2.1.10 (подпрограмма №7)</w:t>
            </w:r>
          </w:p>
        </w:tc>
        <w:tc>
          <w:tcPr>
            <w:tcW w:w="2946" w:type="dxa"/>
            <w:vMerge w:val="restart"/>
            <w:shd w:val="clear" w:color="auto" w:fill="auto"/>
          </w:tcPr>
          <w:p w14:paraId="5B268688" w14:textId="04952E03" w:rsidR="0039742D" w:rsidRPr="00A53AD7" w:rsidRDefault="0039742D" w:rsidP="00A07153">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Строительство средней общеобразовательной школы с эстетическим уклоном на 240 мест в пос. Ерцево Коношского района</w:t>
            </w:r>
          </w:p>
        </w:tc>
        <w:tc>
          <w:tcPr>
            <w:tcW w:w="1485" w:type="dxa"/>
            <w:vMerge w:val="restart"/>
            <w:shd w:val="clear" w:color="auto" w:fill="auto"/>
          </w:tcPr>
          <w:p w14:paraId="70040531"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Результат достигнут с отклонениями</w:t>
            </w:r>
          </w:p>
        </w:tc>
        <w:tc>
          <w:tcPr>
            <w:tcW w:w="1313" w:type="dxa"/>
            <w:shd w:val="clear" w:color="auto" w:fill="auto"/>
          </w:tcPr>
          <w:p w14:paraId="6548175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19B37BA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77,2</w:t>
            </w:r>
          </w:p>
          <w:p w14:paraId="159ABD56"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tc>
        <w:tc>
          <w:tcPr>
            <w:tcW w:w="1271" w:type="dxa"/>
            <w:shd w:val="clear" w:color="auto" w:fill="auto"/>
          </w:tcPr>
          <w:p w14:paraId="6C5E4AA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7862F4A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72,1</w:t>
            </w:r>
          </w:p>
        </w:tc>
        <w:tc>
          <w:tcPr>
            <w:tcW w:w="1372" w:type="dxa"/>
            <w:shd w:val="clear" w:color="auto" w:fill="auto"/>
          </w:tcPr>
          <w:p w14:paraId="074FD06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1BF9F7E0"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93,3</w:t>
            </w:r>
          </w:p>
        </w:tc>
      </w:tr>
      <w:tr w:rsidR="00D470B6" w:rsidRPr="00A53AD7" w14:paraId="4D0FCAFF" w14:textId="77777777" w:rsidTr="00A833ED">
        <w:tc>
          <w:tcPr>
            <w:tcW w:w="1008" w:type="dxa"/>
            <w:vMerge/>
            <w:shd w:val="clear" w:color="auto" w:fill="auto"/>
          </w:tcPr>
          <w:p w14:paraId="2710A495"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4486A7F8"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7CE6A5A3"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376D688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60,1</w:t>
            </w:r>
          </w:p>
        </w:tc>
        <w:tc>
          <w:tcPr>
            <w:tcW w:w="1271" w:type="dxa"/>
            <w:shd w:val="clear" w:color="auto" w:fill="auto"/>
          </w:tcPr>
          <w:p w14:paraId="7B500F3B"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55,5</w:t>
            </w:r>
          </w:p>
        </w:tc>
        <w:tc>
          <w:tcPr>
            <w:tcW w:w="1372" w:type="dxa"/>
            <w:shd w:val="clear" w:color="auto" w:fill="auto"/>
          </w:tcPr>
          <w:p w14:paraId="496544DE"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92,3</w:t>
            </w:r>
          </w:p>
        </w:tc>
      </w:tr>
      <w:tr w:rsidR="00D470B6" w:rsidRPr="00A53AD7" w14:paraId="097E9FED" w14:textId="77777777" w:rsidTr="00A833ED">
        <w:tc>
          <w:tcPr>
            <w:tcW w:w="1008" w:type="dxa"/>
            <w:vMerge/>
            <w:shd w:val="clear" w:color="auto" w:fill="auto"/>
          </w:tcPr>
          <w:p w14:paraId="71EB6403"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6E68BCF3"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p>
        </w:tc>
        <w:tc>
          <w:tcPr>
            <w:tcW w:w="1485" w:type="dxa"/>
            <w:vMerge/>
            <w:shd w:val="clear" w:color="auto" w:fill="auto"/>
          </w:tcPr>
          <w:p w14:paraId="4325ABD7"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173E30CC"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17,2</w:t>
            </w:r>
          </w:p>
        </w:tc>
        <w:tc>
          <w:tcPr>
            <w:tcW w:w="1271" w:type="dxa"/>
            <w:shd w:val="clear" w:color="auto" w:fill="auto"/>
          </w:tcPr>
          <w:p w14:paraId="47E2C5D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16,6</w:t>
            </w:r>
          </w:p>
        </w:tc>
        <w:tc>
          <w:tcPr>
            <w:tcW w:w="1372" w:type="dxa"/>
            <w:shd w:val="clear" w:color="auto" w:fill="auto"/>
          </w:tcPr>
          <w:p w14:paraId="61CCD11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96,5</w:t>
            </w:r>
          </w:p>
        </w:tc>
      </w:tr>
      <w:tr w:rsidR="00D470B6" w:rsidRPr="00A53AD7" w14:paraId="3560E1C4" w14:textId="77777777" w:rsidTr="00A833ED">
        <w:tc>
          <w:tcPr>
            <w:tcW w:w="1008" w:type="dxa"/>
            <w:vMerge w:val="restart"/>
            <w:shd w:val="clear" w:color="auto" w:fill="auto"/>
          </w:tcPr>
          <w:p w14:paraId="59C9F387"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2.1.14 (подпрограмма №7)</w:t>
            </w:r>
          </w:p>
        </w:tc>
        <w:tc>
          <w:tcPr>
            <w:tcW w:w="2946" w:type="dxa"/>
            <w:vMerge w:val="restart"/>
            <w:shd w:val="clear" w:color="auto" w:fill="auto"/>
          </w:tcPr>
          <w:p w14:paraId="3390773B" w14:textId="77777777" w:rsidR="0039742D" w:rsidRPr="00A53AD7" w:rsidRDefault="0039742D" w:rsidP="00A07153">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Строительство школы на 90 учащихся в с. Долгощелье Мезенского района Архангельской области</w:t>
            </w:r>
          </w:p>
        </w:tc>
        <w:tc>
          <w:tcPr>
            <w:tcW w:w="1485" w:type="dxa"/>
            <w:vMerge w:val="restart"/>
            <w:shd w:val="clear" w:color="auto" w:fill="auto"/>
          </w:tcPr>
          <w:p w14:paraId="483AEF9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Результат не достигнут</w:t>
            </w:r>
          </w:p>
        </w:tc>
        <w:tc>
          <w:tcPr>
            <w:tcW w:w="1313" w:type="dxa"/>
            <w:shd w:val="clear" w:color="auto" w:fill="auto"/>
          </w:tcPr>
          <w:p w14:paraId="1805856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26DBF107"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90,9</w:t>
            </w:r>
          </w:p>
        </w:tc>
        <w:tc>
          <w:tcPr>
            <w:tcW w:w="1271" w:type="dxa"/>
            <w:shd w:val="clear" w:color="auto" w:fill="auto"/>
          </w:tcPr>
          <w:p w14:paraId="5EBA51E3"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2CE4621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372" w:type="dxa"/>
            <w:shd w:val="clear" w:color="auto" w:fill="auto"/>
          </w:tcPr>
          <w:p w14:paraId="509399B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497C01E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7F0AE9B1" w14:textId="77777777" w:rsidTr="00A833ED">
        <w:tc>
          <w:tcPr>
            <w:tcW w:w="1008" w:type="dxa"/>
            <w:vMerge/>
            <w:shd w:val="clear" w:color="auto" w:fill="auto"/>
          </w:tcPr>
          <w:p w14:paraId="60C1EB8D"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0A7667C7"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7B77F1D0"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4384C56E"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81,6</w:t>
            </w:r>
          </w:p>
        </w:tc>
        <w:tc>
          <w:tcPr>
            <w:tcW w:w="1271" w:type="dxa"/>
            <w:shd w:val="clear" w:color="auto" w:fill="auto"/>
          </w:tcPr>
          <w:p w14:paraId="5796D30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372" w:type="dxa"/>
            <w:shd w:val="clear" w:color="auto" w:fill="auto"/>
          </w:tcPr>
          <w:p w14:paraId="502A3A4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415381BF" w14:textId="77777777" w:rsidTr="00A833ED">
        <w:tc>
          <w:tcPr>
            <w:tcW w:w="1008" w:type="dxa"/>
            <w:vMerge/>
            <w:shd w:val="clear" w:color="auto" w:fill="auto"/>
          </w:tcPr>
          <w:p w14:paraId="60B4301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7BA51DA5"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086F2D7E"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2C30F9A4"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9,1</w:t>
            </w:r>
          </w:p>
        </w:tc>
        <w:tc>
          <w:tcPr>
            <w:tcW w:w="1271" w:type="dxa"/>
            <w:shd w:val="clear" w:color="auto" w:fill="auto"/>
          </w:tcPr>
          <w:p w14:paraId="6DE5CB43"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372" w:type="dxa"/>
            <w:shd w:val="clear" w:color="auto" w:fill="auto"/>
          </w:tcPr>
          <w:p w14:paraId="23B3BC8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366848F2" w14:textId="77777777" w:rsidTr="00A833ED">
        <w:tc>
          <w:tcPr>
            <w:tcW w:w="1008" w:type="dxa"/>
            <w:vMerge/>
            <w:shd w:val="clear" w:color="auto" w:fill="auto"/>
          </w:tcPr>
          <w:p w14:paraId="3BA550E8"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501DA9EC"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1D0CB42E"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0B68FC57" w14:textId="77308CBE"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МБ - 0,2</w:t>
            </w:r>
          </w:p>
        </w:tc>
        <w:tc>
          <w:tcPr>
            <w:tcW w:w="1271" w:type="dxa"/>
            <w:shd w:val="clear" w:color="auto" w:fill="auto"/>
          </w:tcPr>
          <w:p w14:paraId="55A54ED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c>
          <w:tcPr>
            <w:tcW w:w="1372" w:type="dxa"/>
            <w:shd w:val="clear" w:color="auto" w:fill="auto"/>
          </w:tcPr>
          <w:p w14:paraId="41CED258"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0,0</w:t>
            </w:r>
          </w:p>
        </w:tc>
      </w:tr>
      <w:tr w:rsidR="00D470B6" w:rsidRPr="00A53AD7" w14:paraId="3CCDBDD9" w14:textId="77777777" w:rsidTr="00A833ED">
        <w:tc>
          <w:tcPr>
            <w:tcW w:w="1008" w:type="dxa"/>
            <w:vMerge w:val="restart"/>
            <w:shd w:val="clear" w:color="auto" w:fill="auto"/>
          </w:tcPr>
          <w:p w14:paraId="59C3309F"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2.1.16 (подпрограмма №7)</w:t>
            </w:r>
          </w:p>
        </w:tc>
        <w:tc>
          <w:tcPr>
            <w:tcW w:w="2946" w:type="dxa"/>
            <w:vMerge w:val="restart"/>
            <w:shd w:val="clear" w:color="auto" w:fill="auto"/>
          </w:tcPr>
          <w:p w14:paraId="302D3342"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Строительство школы на 860 мест в территориальном округе Варавино-Фактория г. Архангельска</w:t>
            </w:r>
          </w:p>
        </w:tc>
        <w:tc>
          <w:tcPr>
            <w:tcW w:w="1485" w:type="dxa"/>
            <w:vMerge w:val="restart"/>
            <w:shd w:val="clear" w:color="auto" w:fill="auto"/>
          </w:tcPr>
          <w:p w14:paraId="5114293E"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r w:rsidRPr="00A53AD7">
              <w:rPr>
                <w:rFonts w:ascii="Times New Roman" w:hAnsi="Times New Roman"/>
                <w:sz w:val="20"/>
                <w:szCs w:val="20"/>
              </w:rPr>
              <w:t>Результат не достигнут</w:t>
            </w:r>
          </w:p>
        </w:tc>
        <w:tc>
          <w:tcPr>
            <w:tcW w:w="1313" w:type="dxa"/>
            <w:shd w:val="clear" w:color="auto" w:fill="auto"/>
          </w:tcPr>
          <w:p w14:paraId="0D7F073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5D43AA35"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115,1</w:t>
            </w:r>
          </w:p>
        </w:tc>
        <w:tc>
          <w:tcPr>
            <w:tcW w:w="1271" w:type="dxa"/>
            <w:shd w:val="clear" w:color="auto" w:fill="auto"/>
          </w:tcPr>
          <w:p w14:paraId="07E5911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0CFAFC8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69,7</w:t>
            </w:r>
          </w:p>
        </w:tc>
        <w:tc>
          <w:tcPr>
            <w:tcW w:w="1372" w:type="dxa"/>
            <w:shd w:val="clear" w:color="auto" w:fill="auto"/>
          </w:tcPr>
          <w:p w14:paraId="13B6F8E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p>
          <w:p w14:paraId="6D7857D0"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60,5</w:t>
            </w:r>
          </w:p>
        </w:tc>
      </w:tr>
      <w:tr w:rsidR="00D470B6" w:rsidRPr="00A53AD7" w14:paraId="38DE95C9" w14:textId="77777777" w:rsidTr="00A833ED">
        <w:tc>
          <w:tcPr>
            <w:tcW w:w="1008" w:type="dxa"/>
            <w:vMerge/>
            <w:shd w:val="clear" w:color="auto" w:fill="auto"/>
          </w:tcPr>
          <w:p w14:paraId="3BF90E44"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5CA517C6"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448DF54D"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150853CE"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ФБ – 103,5</w:t>
            </w:r>
          </w:p>
        </w:tc>
        <w:tc>
          <w:tcPr>
            <w:tcW w:w="1271" w:type="dxa"/>
            <w:shd w:val="clear" w:color="auto" w:fill="auto"/>
          </w:tcPr>
          <w:p w14:paraId="7B83CE97"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62,6</w:t>
            </w:r>
          </w:p>
        </w:tc>
        <w:tc>
          <w:tcPr>
            <w:tcW w:w="1372" w:type="dxa"/>
            <w:shd w:val="clear" w:color="auto" w:fill="auto"/>
          </w:tcPr>
          <w:p w14:paraId="0A995F02"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60,5</w:t>
            </w:r>
          </w:p>
        </w:tc>
      </w:tr>
      <w:tr w:rsidR="00D470B6" w:rsidRPr="00A53AD7" w14:paraId="53DD81AD" w14:textId="77777777" w:rsidTr="00A833ED">
        <w:tc>
          <w:tcPr>
            <w:tcW w:w="1008" w:type="dxa"/>
            <w:vMerge/>
            <w:shd w:val="clear" w:color="auto" w:fill="auto"/>
          </w:tcPr>
          <w:p w14:paraId="4E25137D"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7F698995"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0ED01DE8"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6117FBA9"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ОБ – 11,5</w:t>
            </w:r>
          </w:p>
        </w:tc>
        <w:tc>
          <w:tcPr>
            <w:tcW w:w="1271" w:type="dxa"/>
            <w:shd w:val="clear" w:color="auto" w:fill="auto"/>
          </w:tcPr>
          <w:p w14:paraId="701E6CF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7,0</w:t>
            </w:r>
          </w:p>
        </w:tc>
        <w:tc>
          <w:tcPr>
            <w:tcW w:w="1372" w:type="dxa"/>
            <w:shd w:val="clear" w:color="auto" w:fill="auto"/>
          </w:tcPr>
          <w:p w14:paraId="5A463EA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60,9</w:t>
            </w:r>
          </w:p>
        </w:tc>
      </w:tr>
      <w:tr w:rsidR="0039742D" w:rsidRPr="00A53AD7" w14:paraId="5DFD7410" w14:textId="77777777" w:rsidTr="00A833ED">
        <w:tc>
          <w:tcPr>
            <w:tcW w:w="1008" w:type="dxa"/>
            <w:vMerge/>
            <w:shd w:val="clear" w:color="auto" w:fill="auto"/>
          </w:tcPr>
          <w:p w14:paraId="73C4A5DB"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2946" w:type="dxa"/>
            <w:vMerge/>
            <w:shd w:val="clear" w:color="auto" w:fill="auto"/>
          </w:tcPr>
          <w:p w14:paraId="5A1BC4DC"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485" w:type="dxa"/>
            <w:vMerge/>
            <w:shd w:val="clear" w:color="auto" w:fill="auto"/>
          </w:tcPr>
          <w:p w14:paraId="765C00F6" w14:textId="77777777" w:rsidR="0039742D" w:rsidRPr="00A53AD7" w:rsidRDefault="0039742D" w:rsidP="0039742D">
            <w:pPr>
              <w:autoSpaceDE w:val="0"/>
              <w:autoSpaceDN w:val="0"/>
              <w:adjustRightInd w:val="0"/>
              <w:spacing w:after="0" w:line="240" w:lineRule="auto"/>
              <w:jc w:val="both"/>
              <w:rPr>
                <w:rFonts w:ascii="Times New Roman" w:hAnsi="Times New Roman"/>
                <w:sz w:val="20"/>
                <w:szCs w:val="20"/>
              </w:rPr>
            </w:pPr>
          </w:p>
        </w:tc>
        <w:tc>
          <w:tcPr>
            <w:tcW w:w="1313" w:type="dxa"/>
            <w:shd w:val="clear" w:color="auto" w:fill="auto"/>
          </w:tcPr>
          <w:p w14:paraId="429DE3CA"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МБ – 0,1</w:t>
            </w:r>
          </w:p>
        </w:tc>
        <w:tc>
          <w:tcPr>
            <w:tcW w:w="1271" w:type="dxa"/>
            <w:shd w:val="clear" w:color="auto" w:fill="auto"/>
          </w:tcPr>
          <w:p w14:paraId="3E389121"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0,1</w:t>
            </w:r>
          </w:p>
        </w:tc>
        <w:tc>
          <w:tcPr>
            <w:tcW w:w="1372" w:type="dxa"/>
            <w:shd w:val="clear" w:color="auto" w:fill="auto"/>
          </w:tcPr>
          <w:p w14:paraId="1B24632D" w14:textId="77777777" w:rsidR="0039742D" w:rsidRPr="00A53AD7" w:rsidRDefault="0039742D" w:rsidP="0039742D">
            <w:pPr>
              <w:autoSpaceDE w:val="0"/>
              <w:autoSpaceDN w:val="0"/>
              <w:adjustRightInd w:val="0"/>
              <w:spacing w:after="0" w:line="240" w:lineRule="auto"/>
              <w:jc w:val="center"/>
              <w:rPr>
                <w:rFonts w:ascii="Times New Roman" w:hAnsi="Times New Roman"/>
                <w:sz w:val="20"/>
                <w:szCs w:val="20"/>
              </w:rPr>
            </w:pPr>
            <w:r w:rsidRPr="00A53AD7">
              <w:rPr>
                <w:rFonts w:ascii="Times New Roman" w:hAnsi="Times New Roman"/>
                <w:sz w:val="20"/>
                <w:szCs w:val="20"/>
              </w:rPr>
              <w:t>100,0</w:t>
            </w:r>
          </w:p>
        </w:tc>
      </w:tr>
    </w:tbl>
    <w:p w14:paraId="5F5A64EC" w14:textId="77777777" w:rsidR="0039742D" w:rsidRPr="00A53AD7" w:rsidRDefault="0039742D" w:rsidP="00A07153">
      <w:pPr>
        <w:spacing w:after="0" w:line="240" w:lineRule="auto"/>
        <w:ind w:firstLine="851"/>
        <w:jc w:val="both"/>
        <w:rPr>
          <w:rFonts w:ascii="Times New Roman" w:hAnsi="Times New Roman"/>
          <w:sz w:val="28"/>
          <w:szCs w:val="28"/>
        </w:rPr>
      </w:pPr>
    </w:p>
    <w:p w14:paraId="29DEAD25" w14:textId="02C1565F"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мероприятиям РП «Современная школа» в рамках ГП АО № 463-пп ответственным исполнителем которых является минобразования АО, плановые результаты достигнуты.</w:t>
      </w:r>
    </w:p>
    <w:p w14:paraId="5EA51E22" w14:textId="23B1A32E"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мероприятиям, ответственным исполнителем которых является Минстрой АО, наблюдается низкое исполнение или невыполнение плановых значений. Кроме того, плановый объем средств, на реализацию мероприятия 2.1.10</w:t>
      </w:r>
      <w:r w:rsidR="002851F7" w:rsidRPr="00A53AD7">
        <w:rPr>
          <w:rFonts w:ascii="Times New Roman" w:hAnsi="Times New Roman"/>
          <w:sz w:val="28"/>
          <w:szCs w:val="28"/>
        </w:rPr>
        <w:t>, указанный в отчете (77,2 млн.</w:t>
      </w:r>
      <w:r w:rsidRPr="00A53AD7">
        <w:rPr>
          <w:rFonts w:ascii="Times New Roman" w:hAnsi="Times New Roman"/>
          <w:sz w:val="28"/>
          <w:szCs w:val="28"/>
        </w:rPr>
        <w:t>руб.), не соответствует объему средств, предусмотренному в рамках ГП АО № 463-пп в редакции программы, действовавше</w:t>
      </w:r>
      <w:r w:rsidR="002851F7" w:rsidRPr="00A53AD7">
        <w:rPr>
          <w:rFonts w:ascii="Times New Roman" w:hAnsi="Times New Roman"/>
          <w:sz w:val="28"/>
          <w:szCs w:val="28"/>
        </w:rPr>
        <w:t>й на конец 2019 года (66,8 млн.</w:t>
      </w:r>
      <w:r w:rsidRPr="00A53AD7">
        <w:rPr>
          <w:rFonts w:ascii="Times New Roman" w:hAnsi="Times New Roman"/>
          <w:sz w:val="28"/>
          <w:szCs w:val="28"/>
        </w:rPr>
        <w:t>руб.).</w:t>
      </w:r>
    </w:p>
    <w:p w14:paraId="7F81F94E" w14:textId="30E0CC71"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Минстроя АО на создание новых мест в общеобразовательных организациях в рамках федерального проекта «Современная школа» составили 134,</w:t>
      </w:r>
      <w:r w:rsidR="002851F7" w:rsidRPr="00A53AD7">
        <w:rPr>
          <w:rFonts w:ascii="Times New Roman" w:hAnsi="Times New Roman"/>
          <w:sz w:val="28"/>
          <w:szCs w:val="28"/>
        </w:rPr>
        <w:t>2 млн.</w:t>
      </w:r>
      <w:r w:rsidRPr="00A53AD7">
        <w:rPr>
          <w:rFonts w:ascii="Times New Roman" w:hAnsi="Times New Roman"/>
          <w:sz w:val="28"/>
          <w:szCs w:val="28"/>
        </w:rPr>
        <w:t>руб. (33,7 % от плана) (софинансирование из областн</w:t>
      </w:r>
      <w:r w:rsidR="002851F7" w:rsidRPr="00A53AD7">
        <w:rPr>
          <w:rFonts w:ascii="Times New Roman" w:hAnsi="Times New Roman"/>
          <w:sz w:val="28"/>
          <w:szCs w:val="28"/>
        </w:rPr>
        <w:t>ого бюджета составило 14,9 млн.</w:t>
      </w:r>
      <w:r w:rsidRPr="00A53AD7">
        <w:rPr>
          <w:rFonts w:ascii="Times New Roman" w:hAnsi="Times New Roman"/>
          <w:sz w:val="28"/>
          <w:szCs w:val="28"/>
        </w:rPr>
        <w:t>руб.).</w:t>
      </w:r>
    </w:p>
    <w:p w14:paraId="38462850" w14:textId="22D61A0A" w:rsidR="0039742D" w:rsidRPr="00A53AD7" w:rsidRDefault="0039742D" w:rsidP="00A07153">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Областной адресной инвестиционной программой на 2019 год и на плановый период 2020 и 2021 годов (Приложение №</w:t>
      </w:r>
      <w:r w:rsidR="00A07153" w:rsidRPr="00A53AD7">
        <w:rPr>
          <w:rFonts w:ascii="Times New Roman" w:hAnsi="Times New Roman"/>
          <w:sz w:val="28"/>
          <w:szCs w:val="28"/>
        </w:rPr>
        <w:t xml:space="preserve"> </w:t>
      </w:r>
      <w:r w:rsidRPr="00A53AD7">
        <w:rPr>
          <w:rFonts w:ascii="Times New Roman" w:hAnsi="Times New Roman"/>
          <w:sz w:val="28"/>
          <w:szCs w:val="28"/>
        </w:rPr>
        <w:t>16 к областному закону от 17.12.2018 N 35-4-ОЗ в ред. от 16.12.2019) (далее – ОАИП) на реализацию мероприятий РП «Современная школа» на 2019 год предусмотрены средства областного бюджета:</w:t>
      </w:r>
    </w:p>
    <w:tbl>
      <w:tblPr>
        <w:tblW w:w="929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671"/>
        <w:gridCol w:w="1914"/>
        <w:gridCol w:w="2181"/>
        <w:gridCol w:w="1525"/>
      </w:tblGrid>
      <w:tr w:rsidR="00D470B6" w:rsidRPr="00A53AD7" w14:paraId="5AB7C9A2" w14:textId="77777777" w:rsidTr="00A07153">
        <w:trPr>
          <w:tblHeader/>
        </w:trPr>
        <w:tc>
          <w:tcPr>
            <w:tcW w:w="3671" w:type="dxa"/>
            <w:shd w:val="clear" w:color="auto" w:fill="auto"/>
          </w:tcPr>
          <w:p w14:paraId="61A963EA" w14:textId="77777777"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iCs/>
                <w:sz w:val="20"/>
                <w:szCs w:val="20"/>
              </w:rPr>
              <w:t>Наименование объекта капитального строительства</w:t>
            </w:r>
          </w:p>
        </w:tc>
        <w:tc>
          <w:tcPr>
            <w:tcW w:w="1914" w:type="dxa"/>
            <w:shd w:val="clear" w:color="auto" w:fill="auto"/>
          </w:tcPr>
          <w:p w14:paraId="329AA5AB" w14:textId="6B5F9569"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iCs/>
                <w:sz w:val="20"/>
                <w:szCs w:val="20"/>
              </w:rPr>
              <w:t>Общий объем капитальных вложени</w:t>
            </w:r>
            <w:r w:rsidR="002851F7" w:rsidRPr="00A53AD7">
              <w:rPr>
                <w:rFonts w:ascii="Times New Roman" w:hAnsi="Times New Roman"/>
                <w:b/>
                <w:iCs/>
                <w:sz w:val="20"/>
                <w:szCs w:val="20"/>
              </w:rPr>
              <w:t>й за счет всех источников, млн.</w:t>
            </w:r>
            <w:r w:rsidRPr="00A53AD7">
              <w:rPr>
                <w:rFonts w:ascii="Times New Roman" w:hAnsi="Times New Roman"/>
                <w:b/>
                <w:iCs/>
                <w:sz w:val="20"/>
                <w:szCs w:val="20"/>
              </w:rPr>
              <w:t>руб.</w:t>
            </w:r>
          </w:p>
        </w:tc>
        <w:tc>
          <w:tcPr>
            <w:tcW w:w="2181" w:type="dxa"/>
            <w:shd w:val="clear" w:color="auto" w:fill="auto"/>
          </w:tcPr>
          <w:p w14:paraId="71D2578D" w14:textId="77777777" w:rsidR="00A07153" w:rsidRPr="00A53AD7" w:rsidRDefault="00A07153" w:rsidP="0039742D">
            <w:pPr>
              <w:autoSpaceDE w:val="0"/>
              <w:autoSpaceDN w:val="0"/>
              <w:adjustRightInd w:val="0"/>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 xml:space="preserve">Общий (предельный) объем бюджетных ассигнований областного бюджета на 2019 год, </w:t>
            </w:r>
          </w:p>
          <w:p w14:paraId="2D75B289" w14:textId="42E6EC6C" w:rsidR="00A07153" w:rsidRPr="00A53AD7" w:rsidRDefault="002851F7"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sz w:val="20"/>
                <w:szCs w:val="20"/>
                <w:lang w:eastAsia="ru-RU"/>
              </w:rPr>
              <w:t>млн.</w:t>
            </w:r>
            <w:r w:rsidR="00A07153" w:rsidRPr="00A53AD7">
              <w:rPr>
                <w:rFonts w:ascii="Times New Roman" w:hAnsi="Times New Roman"/>
                <w:b/>
                <w:sz w:val="20"/>
                <w:szCs w:val="20"/>
                <w:lang w:eastAsia="ru-RU"/>
              </w:rPr>
              <w:t>руб.</w:t>
            </w:r>
          </w:p>
        </w:tc>
        <w:tc>
          <w:tcPr>
            <w:tcW w:w="1525" w:type="dxa"/>
            <w:shd w:val="clear" w:color="auto" w:fill="auto"/>
          </w:tcPr>
          <w:p w14:paraId="30C0422F" w14:textId="77777777"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iCs/>
                <w:sz w:val="20"/>
                <w:szCs w:val="20"/>
              </w:rPr>
              <w:t>Период строительства</w:t>
            </w:r>
          </w:p>
        </w:tc>
      </w:tr>
      <w:tr w:rsidR="00D470B6" w:rsidRPr="00A53AD7" w14:paraId="2A3EAFCF" w14:textId="77777777" w:rsidTr="00A07153">
        <w:tc>
          <w:tcPr>
            <w:tcW w:w="3671" w:type="dxa"/>
            <w:shd w:val="clear" w:color="auto" w:fill="auto"/>
          </w:tcPr>
          <w:p w14:paraId="5C3DDBA7" w14:textId="77777777" w:rsidR="00A07153" w:rsidRPr="00A53AD7" w:rsidRDefault="00A07153" w:rsidP="00A07153">
            <w:pPr>
              <w:autoSpaceDE w:val="0"/>
              <w:autoSpaceDN w:val="0"/>
              <w:adjustRightInd w:val="0"/>
              <w:spacing w:after="0" w:line="240" w:lineRule="auto"/>
              <w:rPr>
                <w:rFonts w:ascii="Times New Roman" w:hAnsi="Times New Roman"/>
                <w:iCs/>
                <w:sz w:val="20"/>
                <w:szCs w:val="20"/>
              </w:rPr>
            </w:pPr>
            <w:r w:rsidRPr="00A53AD7">
              <w:rPr>
                <w:rFonts w:ascii="Times New Roman" w:hAnsi="Times New Roman"/>
                <w:iCs/>
                <w:sz w:val="20"/>
                <w:szCs w:val="20"/>
              </w:rPr>
              <w:t>Средняя общеобразовательная школа с эстетическим уклоном на 240 мест в пос. Ерцево Коношского района</w:t>
            </w:r>
          </w:p>
        </w:tc>
        <w:tc>
          <w:tcPr>
            <w:tcW w:w="1914" w:type="dxa"/>
            <w:shd w:val="clear" w:color="auto" w:fill="auto"/>
          </w:tcPr>
          <w:p w14:paraId="4C206C96"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12F284F2"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403,6</w:t>
            </w:r>
          </w:p>
        </w:tc>
        <w:tc>
          <w:tcPr>
            <w:tcW w:w="2181" w:type="dxa"/>
            <w:shd w:val="clear" w:color="auto" w:fill="auto"/>
          </w:tcPr>
          <w:p w14:paraId="7CE2F234"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2972C13C"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17,2</w:t>
            </w:r>
          </w:p>
        </w:tc>
        <w:tc>
          <w:tcPr>
            <w:tcW w:w="1525" w:type="dxa"/>
            <w:shd w:val="clear" w:color="auto" w:fill="auto"/>
          </w:tcPr>
          <w:p w14:paraId="326BD684"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6E1156E0"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2017/2019</w:t>
            </w:r>
          </w:p>
        </w:tc>
      </w:tr>
      <w:tr w:rsidR="00D470B6" w:rsidRPr="00A53AD7" w14:paraId="2523CED1" w14:textId="77777777" w:rsidTr="00A07153">
        <w:tc>
          <w:tcPr>
            <w:tcW w:w="3671" w:type="dxa"/>
            <w:shd w:val="clear" w:color="auto" w:fill="auto"/>
          </w:tcPr>
          <w:p w14:paraId="7F354A4E" w14:textId="77777777" w:rsidR="00A07153" w:rsidRPr="00A53AD7" w:rsidRDefault="00A07153" w:rsidP="00A07153">
            <w:pPr>
              <w:autoSpaceDE w:val="0"/>
              <w:autoSpaceDN w:val="0"/>
              <w:adjustRightInd w:val="0"/>
              <w:spacing w:after="0" w:line="240" w:lineRule="auto"/>
              <w:rPr>
                <w:rFonts w:ascii="Times New Roman" w:hAnsi="Times New Roman"/>
                <w:iCs/>
                <w:sz w:val="20"/>
                <w:szCs w:val="20"/>
              </w:rPr>
            </w:pPr>
            <w:r w:rsidRPr="00A53AD7">
              <w:rPr>
                <w:rFonts w:ascii="Times New Roman" w:hAnsi="Times New Roman"/>
                <w:sz w:val="20"/>
                <w:szCs w:val="20"/>
                <w:lang w:eastAsia="ru-RU"/>
              </w:rPr>
              <w:t>Строительство средней общеобразовательной школы на 250 учащихся с блоком временного проживания на 50 человек в с. Ровдино Шенкурского района</w:t>
            </w:r>
          </w:p>
        </w:tc>
        <w:tc>
          <w:tcPr>
            <w:tcW w:w="1914" w:type="dxa"/>
            <w:shd w:val="clear" w:color="auto" w:fill="auto"/>
          </w:tcPr>
          <w:p w14:paraId="3A707D69"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0887EE5A"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411,3</w:t>
            </w:r>
          </w:p>
        </w:tc>
        <w:tc>
          <w:tcPr>
            <w:tcW w:w="2181" w:type="dxa"/>
            <w:shd w:val="clear" w:color="auto" w:fill="auto"/>
          </w:tcPr>
          <w:p w14:paraId="61CFB7ED"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78CFF901"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17,0</w:t>
            </w:r>
          </w:p>
        </w:tc>
        <w:tc>
          <w:tcPr>
            <w:tcW w:w="1525" w:type="dxa"/>
            <w:shd w:val="clear" w:color="auto" w:fill="auto"/>
          </w:tcPr>
          <w:p w14:paraId="5D908982"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0CF81AAB"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2013/2020</w:t>
            </w:r>
          </w:p>
        </w:tc>
      </w:tr>
      <w:tr w:rsidR="00D470B6" w:rsidRPr="00A53AD7" w14:paraId="09D6E6DD" w14:textId="77777777" w:rsidTr="00A07153">
        <w:tc>
          <w:tcPr>
            <w:tcW w:w="3671" w:type="dxa"/>
            <w:shd w:val="clear" w:color="auto" w:fill="auto"/>
          </w:tcPr>
          <w:p w14:paraId="4DC8878E" w14:textId="77777777" w:rsidR="00A07153" w:rsidRPr="00A53AD7" w:rsidRDefault="00A07153" w:rsidP="00A07153">
            <w:pPr>
              <w:autoSpaceDE w:val="0"/>
              <w:autoSpaceDN w:val="0"/>
              <w:adjustRightInd w:val="0"/>
              <w:spacing w:after="0" w:line="240" w:lineRule="auto"/>
              <w:rPr>
                <w:rFonts w:ascii="Times New Roman" w:hAnsi="Times New Roman"/>
                <w:iCs/>
                <w:sz w:val="20"/>
                <w:szCs w:val="20"/>
              </w:rPr>
            </w:pPr>
            <w:r w:rsidRPr="00A53AD7">
              <w:rPr>
                <w:rFonts w:ascii="Times New Roman" w:hAnsi="Times New Roman"/>
                <w:sz w:val="20"/>
                <w:szCs w:val="20"/>
                <w:lang w:eastAsia="ru-RU"/>
              </w:rPr>
              <w:t xml:space="preserve">Строительство школы на 860 мест в территориальном округе Варавино-Фактория г. Архангельска </w:t>
            </w:r>
          </w:p>
        </w:tc>
        <w:tc>
          <w:tcPr>
            <w:tcW w:w="1914" w:type="dxa"/>
            <w:shd w:val="clear" w:color="auto" w:fill="auto"/>
          </w:tcPr>
          <w:p w14:paraId="21052888"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5DF0A9FE"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811,0</w:t>
            </w:r>
          </w:p>
        </w:tc>
        <w:tc>
          <w:tcPr>
            <w:tcW w:w="2181" w:type="dxa"/>
            <w:shd w:val="clear" w:color="auto" w:fill="auto"/>
          </w:tcPr>
          <w:p w14:paraId="74B66523"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1452F730"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11,5</w:t>
            </w:r>
          </w:p>
        </w:tc>
        <w:tc>
          <w:tcPr>
            <w:tcW w:w="1525" w:type="dxa"/>
            <w:shd w:val="clear" w:color="auto" w:fill="auto"/>
          </w:tcPr>
          <w:p w14:paraId="4DE1AF7F"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66168AC7"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2019/2020</w:t>
            </w:r>
          </w:p>
        </w:tc>
      </w:tr>
      <w:tr w:rsidR="00D470B6" w:rsidRPr="00A53AD7" w14:paraId="46B0D72A" w14:textId="77777777" w:rsidTr="00A07153">
        <w:tc>
          <w:tcPr>
            <w:tcW w:w="3671" w:type="dxa"/>
            <w:shd w:val="clear" w:color="auto" w:fill="auto"/>
          </w:tcPr>
          <w:p w14:paraId="41CDFF7D" w14:textId="77777777" w:rsidR="00A07153" w:rsidRPr="00A53AD7" w:rsidRDefault="00A07153" w:rsidP="00A07153">
            <w:pPr>
              <w:autoSpaceDE w:val="0"/>
              <w:autoSpaceDN w:val="0"/>
              <w:adjustRightInd w:val="0"/>
              <w:spacing w:after="0" w:line="240" w:lineRule="auto"/>
              <w:rPr>
                <w:rFonts w:ascii="Times New Roman" w:hAnsi="Times New Roman"/>
                <w:iCs/>
                <w:sz w:val="20"/>
                <w:szCs w:val="20"/>
              </w:rPr>
            </w:pPr>
            <w:r w:rsidRPr="00A53AD7">
              <w:rPr>
                <w:rFonts w:ascii="Times New Roman" w:hAnsi="Times New Roman"/>
                <w:sz w:val="20"/>
                <w:szCs w:val="20"/>
                <w:lang w:eastAsia="ru-RU"/>
              </w:rPr>
              <w:t>Строительство школы на 90 учащихся в с. Долгощелье Мезенского района Архангельской области</w:t>
            </w:r>
          </w:p>
        </w:tc>
        <w:tc>
          <w:tcPr>
            <w:tcW w:w="1914" w:type="dxa"/>
            <w:shd w:val="clear" w:color="auto" w:fill="auto"/>
          </w:tcPr>
          <w:p w14:paraId="16CF352E"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2637E63A"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184,0</w:t>
            </w:r>
          </w:p>
        </w:tc>
        <w:tc>
          <w:tcPr>
            <w:tcW w:w="2181" w:type="dxa"/>
            <w:shd w:val="clear" w:color="auto" w:fill="auto"/>
          </w:tcPr>
          <w:p w14:paraId="4988019B"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01B27C8A"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9,1</w:t>
            </w:r>
          </w:p>
        </w:tc>
        <w:tc>
          <w:tcPr>
            <w:tcW w:w="1525" w:type="dxa"/>
            <w:shd w:val="clear" w:color="auto" w:fill="auto"/>
          </w:tcPr>
          <w:p w14:paraId="37607CD2"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p>
          <w:p w14:paraId="0BA15119" w14:textId="77777777" w:rsidR="00A07153" w:rsidRPr="00A53AD7" w:rsidRDefault="00A07153" w:rsidP="0039742D">
            <w:pPr>
              <w:autoSpaceDE w:val="0"/>
              <w:autoSpaceDN w:val="0"/>
              <w:adjustRightInd w:val="0"/>
              <w:spacing w:after="0" w:line="240" w:lineRule="auto"/>
              <w:jc w:val="center"/>
              <w:rPr>
                <w:rFonts w:ascii="Times New Roman" w:hAnsi="Times New Roman"/>
                <w:iCs/>
                <w:sz w:val="20"/>
                <w:szCs w:val="20"/>
              </w:rPr>
            </w:pPr>
            <w:r w:rsidRPr="00A53AD7">
              <w:rPr>
                <w:rFonts w:ascii="Times New Roman" w:hAnsi="Times New Roman"/>
                <w:iCs/>
                <w:sz w:val="20"/>
                <w:szCs w:val="20"/>
              </w:rPr>
              <w:t>2018/2020</w:t>
            </w:r>
          </w:p>
        </w:tc>
      </w:tr>
      <w:tr w:rsidR="00A07153" w:rsidRPr="00A53AD7" w14:paraId="08F6DBC9" w14:textId="77777777" w:rsidTr="00A07153">
        <w:tc>
          <w:tcPr>
            <w:tcW w:w="3671" w:type="dxa"/>
            <w:shd w:val="clear" w:color="auto" w:fill="auto"/>
          </w:tcPr>
          <w:p w14:paraId="43A35366" w14:textId="77777777" w:rsidR="00A07153" w:rsidRPr="00A53AD7" w:rsidRDefault="00A07153" w:rsidP="0039742D">
            <w:pPr>
              <w:autoSpaceDE w:val="0"/>
              <w:autoSpaceDN w:val="0"/>
              <w:adjustRightInd w:val="0"/>
              <w:spacing w:after="0" w:line="240" w:lineRule="auto"/>
              <w:jc w:val="center"/>
              <w:rPr>
                <w:rFonts w:ascii="Times New Roman" w:hAnsi="Times New Roman"/>
                <w:b/>
                <w:sz w:val="20"/>
                <w:szCs w:val="20"/>
                <w:lang w:eastAsia="ru-RU"/>
              </w:rPr>
            </w:pPr>
            <w:r w:rsidRPr="00A53AD7">
              <w:rPr>
                <w:rFonts w:ascii="Times New Roman" w:hAnsi="Times New Roman"/>
                <w:b/>
                <w:sz w:val="20"/>
                <w:szCs w:val="20"/>
                <w:lang w:eastAsia="ru-RU"/>
              </w:rPr>
              <w:t>ИТОГО:</w:t>
            </w:r>
          </w:p>
        </w:tc>
        <w:tc>
          <w:tcPr>
            <w:tcW w:w="1914" w:type="dxa"/>
            <w:shd w:val="clear" w:color="auto" w:fill="auto"/>
          </w:tcPr>
          <w:p w14:paraId="6BC33AAE" w14:textId="77777777"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iCs/>
                <w:sz w:val="20"/>
                <w:szCs w:val="20"/>
              </w:rPr>
              <w:t>1 626,1</w:t>
            </w:r>
          </w:p>
        </w:tc>
        <w:tc>
          <w:tcPr>
            <w:tcW w:w="2181" w:type="dxa"/>
            <w:shd w:val="clear" w:color="auto" w:fill="auto"/>
          </w:tcPr>
          <w:p w14:paraId="3BAF221E" w14:textId="77777777"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r w:rsidRPr="00A53AD7">
              <w:rPr>
                <w:rFonts w:ascii="Times New Roman" w:hAnsi="Times New Roman"/>
                <w:b/>
                <w:iCs/>
                <w:sz w:val="20"/>
                <w:szCs w:val="20"/>
              </w:rPr>
              <w:t>54,8</w:t>
            </w:r>
          </w:p>
        </w:tc>
        <w:tc>
          <w:tcPr>
            <w:tcW w:w="1525" w:type="dxa"/>
            <w:shd w:val="clear" w:color="auto" w:fill="auto"/>
          </w:tcPr>
          <w:p w14:paraId="48BCAAF2" w14:textId="77777777" w:rsidR="00A07153" w:rsidRPr="00A53AD7" w:rsidRDefault="00A07153" w:rsidP="0039742D">
            <w:pPr>
              <w:autoSpaceDE w:val="0"/>
              <w:autoSpaceDN w:val="0"/>
              <w:adjustRightInd w:val="0"/>
              <w:spacing w:after="0" w:line="240" w:lineRule="auto"/>
              <w:jc w:val="center"/>
              <w:rPr>
                <w:rFonts w:ascii="Times New Roman" w:hAnsi="Times New Roman"/>
                <w:b/>
                <w:iCs/>
                <w:sz w:val="20"/>
                <w:szCs w:val="20"/>
              </w:rPr>
            </w:pPr>
          </w:p>
        </w:tc>
      </w:tr>
    </w:tbl>
    <w:p w14:paraId="015A67A5" w14:textId="77777777" w:rsidR="0039742D" w:rsidRPr="00A53AD7" w:rsidRDefault="0039742D" w:rsidP="00725CD0">
      <w:pPr>
        <w:spacing w:after="0" w:line="240" w:lineRule="auto"/>
        <w:ind w:firstLine="851"/>
        <w:jc w:val="both"/>
        <w:rPr>
          <w:rFonts w:ascii="Times New Roman" w:hAnsi="Times New Roman"/>
          <w:sz w:val="28"/>
          <w:szCs w:val="28"/>
        </w:rPr>
      </w:pPr>
    </w:p>
    <w:p w14:paraId="2B14C7A0" w14:textId="5B4A1D22"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Реализация мероприятий по строительству объектов капитального строительства, предусмотренных в рамках РП «Современная школа» в 2019 </w:t>
      </w:r>
      <w:r w:rsidR="00725CD0" w:rsidRPr="00A53AD7">
        <w:rPr>
          <w:rFonts w:ascii="Times New Roman" w:hAnsi="Times New Roman"/>
          <w:sz w:val="28"/>
          <w:szCs w:val="28"/>
        </w:rPr>
        <w:t>г</w:t>
      </w:r>
      <w:r w:rsidRPr="00A53AD7">
        <w:rPr>
          <w:rFonts w:ascii="Times New Roman" w:hAnsi="Times New Roman"/>
          <w:sz w:val="28"/>
          <w:szCs w:val="28"/>
        </w:rPr>
        <w:t>оду характеризуется следующим:</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898"/>
        <w:gridCol w:w="6426"/>
      </w:tblGrid>
      <w:tr w:rsidR="00D470B6" w:rsidRPr="00A53AD7" w14:paraId="226FC9BF" w14:textId="77777777" w:rsidTr="00725CD0">
        <w:tc>
          <w:tcPr>
            <w:tcW w:w="2943" w:type="dxa"/>
            <w:shd w:val="clear" w:color="auto" w:fill="auto"/>
          </w:tcPr>
          <w:p w14:paraId="573B1734" w14:textId="3E214BEF"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1. Строительство средней общеобразовательной школы на 250 учащихся с блоком временного проживания на 50 человек в с. Ровдино Шенкурского района </w:t>
            </w:r>
          </w:p>
          <w:p w14:paraId="10F60AC9" w14:textId="77777777" w:rsidR="0039742D" w:rsidRPr="00A53AD7" w:rsidRDefault="0039742D" w:rsidP="0039742D">
            <w:pPr>
              <w:autoSpaceDE w:val="0"/>
              <w:autoSpaceDN w:val="0"/>
              <w:adjustRightInd w:val="0"/>
              <w:spacing w:after="0" w:line="240" w:lineRule="auto"/>
              <w:jc w:val="both"/>
              <w:rPr>
                <w:rFonts w:ascii="Times New Roman" w:hAnsi="Times New Roman"/>
                <w:bCs/>
                <w:iCs/>
                <w:sz w:val="20"/>
                <w:szCs w:val="20"/>
              </w:rPr>
            </w:pPr>
          </w:p>
        </w:tc>
        <w:tc>
          <w:tcPr>
            <w:tcW w:w="6628" w:type="dxa"/>
            <w:shd w:val="clear" w:color="auto" w:fill="auto"/>
          </w:tcPr>
          <w:p w14:paraId="4A087791" w14:textId="1429E2AE" w:rsidR="0039742D" w:rsidRPr="00A53AD7" w:rsidRDefault="008D4148" w:rsidP="00725CD0">
            <w:pPr>
              <w:autoSpaceDE w:val="0"/>
              <w:autoSpaceDN w:val="0"/>
              <w:adjustRightInd w:val="0"/>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 </w:t>
            </w:r>
            <w:r w:rsidR="0039742D" w:rsidRPr="00A53AD7">
              <w:rPr>
                <w:rFonts w:ascii="Times New Roman" w:hAnsi="Times New Roman"/>
                <w:sz w:val="20"/>
                <w:szCs w:val="20"/>
                <w:lang w:eastAsia="ru-RU"/>
              </w:rPr>
              <w:t xml:space="preserve">Муниципальный контракт на строительство школы заключен между администрацией МО «Шенкурский муниципальный район» и ООО «Регион-Инвест» 23.11.2016 г. </w:t>
            </w:r>
          </w:p>
          <w:p w14:paraId="41DFD882" w14:textId="4E071C81" w:rsidR="0039742D" w:rsidRPr="00A53AD7" w:rsidRDefault="008D4148" w:rsidP="00725CD0">
            <w:pPr>
              <w:autoSpaceDE w:val="0"/>
              <w:autoSpaceDN w:val="0"/>
              <w:adjustRightInd w:val="0"/>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 </w:t>
            </w:r>
            <w:r w:rsidR="0039742D" w:rsidRPr="00A53AD7">
              <w:rPr>
                <w:rFonts w:ascii="Times New Roman" w:hAnsi="Times New Roman"/>
                <w:sz w:val="20"/>
                <w:szCs w:val="20"/>
                <w:lang w:eastAsia="ru-RU"/>
              </w:rPr>
              <w:t>Объект был включен в перечень объектов РП «Современная школа», на 2019 год было запланировано выполнение работ на сумму 170,1 млн.руб. (51,3% от цены контракта) в рамках соглашения Минобра РФ и Правительства АО от 10.02.2019 № 073-09-2019-161.</w:t>
            </w:r>
          </w:p>
          <w:p w14:paraId="4381BD1B" w14:textId="1AB096D7" w:rsidR="0039742D" w:rsidRPr="00A53AD7" w:rsidRDefault="008D4148" w:rsidP="00725CD0">
            <w:pPr>
              <w:autoSpaceDE w:val="0"/>
              <w:autoSpaceDN w:val="0"/>
              <w:adjustRightInd w:val="0"/>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 </w:t>
            </w:r>
            <w:r w:rsidR="0039742D" w:rsidRPr="00A53AD7">
              <w:rPr>
                <w:rFonts w:ascii="Times New Roman" w:hAnsi="Times New Roman"/>
                <w:sz w:val="20"/>
                <w:szCs w:val="20"/>
                <w:lang w:eastAsia="ru-RU"/>
              </w:rPr>
              <w:t>Вместе с тем, 09.01.2020 года Администрацией МО «Шенкурский муниципальный район» по данному объекту заключен муниципальный контракт на выполнение работ по корректировке проектно-сметной документации на основании замечаний гос. экспертизы от 28.08.2018 Срок окончания работ – 30.04.2020</w:t>
            </w:r>
          </w:p>
          <w:p w14:paraId="63409264" w14:textId="670CF902" w:rsidR="0039742D" w:rsidRPr="00A53AD7" w:rsidRDefault="008D4148" w:rsidP="00725CD0">
            <w:pPr>
              <w:autoSpaceDE w:val="0"/>
              <w:autoSpaceDN w:val="0"/>
              <w:adjustRightInd w:val="0"/>
              <w:spacing w:after="0" w:line="240" w:lineRule="auto"/>
              <w:rPr>
                <w:rFonts w:ascii="Times New Roman" w:hAnsi="Times New Roman"/>
                <w:sz w:val="20"/>
                <w:szCs w:val="20"/>
                <w:lang w:eastAsia="ru-RU"/>
              </w:rPr>
            </w:pPr>
            <w:r w:rsidRPr="00A53AD7">
              <w:rPr>
                <w:rFonts w:ascii="Times New Roman" w:hAnsi="Times New Roman"/>
                <w:sz w:val="20"/>
                <w:szCs w:val="20"/>
                <w:lang w:eastAsia="ru-RU"/>
              </w:rPr>
              <w:t xml:space="preserve"> </w:t>
            </w:r>
            <w:r w:rsidR="0039742D" w:rsidRPr="00A53AD7">
              <w:rPr>
                <w:rFonts w:ascii="Times New Roman" w:hAnsi="Times New Roman"/>
                <w:sz w:val="20"/>
                <w:szCs w:val="20"/>
                <w:lang w:eastAsia="ru-RU"/>
              </w:rPr>
              <w:t>Таким образом, данное мероприятие РП «Современная школа» не могло быть реализовано в запланированном объеме в 2019 году.</w:t>
            </w:r>
          </w:p>
          <w:p w14:paraId="3F3D0183" w14:textId="2A325194"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sz w:val="20"/>
                <w:szCs w:val="20"/>
                <w:lang w:eastAsia="ru-RU"/>
              </w:rPr>
              <w:t xml:space="preserve"> </w:t>
            </w:r>
            <w:r w:rsidR="0039742D" w:rsidRPr="00A53AD7">
              <w:rPr>
                <w:rFonts w:ascii="Times New Roman" w:hAnsi="Times New Roman"/>
                <w:sz w:val="20"/>
                <w:szCs w:val="20"/>
                <w:lang w:eastAsia="ru-RU"/>
              </w:rPr>
              <w:t xml:space="preserve">С учетом срока завершения работ по корректировке ПСД по объекту – 30.04.2020, существует </w:t>
            </w:r>
            <w:r w:rsidR="0039742D" w:rsidRPr="00A53AD7">
              <w:rPr>
                <w:rFonts w:ascii="Times New Roman" w:hAnsi="Times New Roman"/>
                <w:b/>
                <w:sz w:val="20"/>
                <w:szCs w:val="20"/>
                <w:lang w:eastAsia="ru-RU"/>
              </w:rPr>
              <w:t>риск неисполнения данного мероприятия до конца 2020 года.</w:t>
            </w:r>
          </w:p>
        </w:tc>
      </w:tr>
      <w:tr w:rsidR="00D470B6" w:rsidRPr="00A53AD7" w14:paraId="0DE67B94" w14:textId="77777777" w:rsidTr="00725CD0">
        <w:tc>
          <w:tcPr>
            <w:tcW w:w="2943" w:type="dxa"/>
            <w:shd w:val="clear" w:color="auto" w:fill="auto"/>
          </w:tcPr>
          <w:p w14:paraId="359B5EFB" w14:textId="454C7CC4"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2. Строительство средней общеобразовательной школы с эстетическим уклоном на 240 мест в пос. Ерцево Коношского района</w:t>
            </w:r>
          </w:p>
        </w:tc>
        <w:tc>
          <w:tcPr>
            <w:tcW w:w="6628" w:type="dxa"/>
            <w:shd w:val="clear" w:color="auto" w:fill="auto"/>
          </w:tcPr>
          <w:p w14:paraId="24979EAC" w14:textId="46644CF7"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По данному объекту КСП АО в 2019 году проведена проверка соблюдения бюджетного и иного законодательства при расходовании бюджетных средств, направленных на строительство данного объекта в рамках ГП АО «Развитие образования и науки Архангельской области». Проверкой установлено следующее:</w:t>
            </w:r>
          </w:p>
          <w:p w14:paraId="67AEFE01" w14:textId="69EF106E" w:rsidR="0039742D" w:rsidRPr="00A53AD7" w:rsidRDefault="008D4148" w:rsidP="00725CD0">
            <w:pPr>
              <w:autoSpaceDE w:val="0"/>
              <w:autoSpaceDN w:val="0"/>
              <w:adjustRightInd w:val="0"/>
              <w:spacing w:after="0" w:line="240" w:lineRule="auto"/>
              <w:rPr>
                <w:rFonts w:ascii="Times New Roman" w:hAnsi="Times New Roman"/>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Проектные и изыскательские работы по объекту выполнены ООО «РОСС МТК» в рамках муниципального контракта, заключенного администрацией МО «Коношский муниципальный район» (модифицированный проект).</w:t>
            </w:r>
            <w:r w:rsidR="0039742D" w:rsidRPr="00A53AD7">
              <w:rPr>
                <w:sz w:val="20"/>
                <w:szCs w:val="20"/>
              </w:rPr>
              <w:t xml:space="preserve"> </w:t>
            </w:r>
            <w:r w:rsidR="0039742D" w:rsidRPr="00A53AD7">
              <w:rPr>
                <w:rFonts w:ascii="Times New Roman" w:hAnsi="Times New Roman"/>
                <w:sz w:val="20"/>
                <w:szCs w:val="20"/>
              </w:rPr>
              <w:t>В ходе проверки были представлены 4 положительных заключения государственной экспертизы по данному объекту, выданных ГАУ АО «Управление государственной экспертизы», что свидетельствует о низком качестве как ПСД, так и гос. экспертизы ПСД.</w:t>
            </w:r>
          </w:p>
          <w:p w14:paraId="3F535E2E" w14:textId="4A8AD1B6" w:rsidR="0039742D" w:rsidRPr="00A53AD7" w:rsidRDefault="0039742D" w:rsidP="00725CD0">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Разрешение на ввод объекта в эксплуатацию № RU 29-513-304-05-2019 получено 19.03.2019</w:t>
            </w:r>
            <w:r w:rsidR="005A6860" w:rsidRPr="00A53AD7">
              <w:rPr>
                <w:rFonts w:ascii="Times New Roman" w:hAnsi="Times New Roman"/>
                <w:sz w:val="20"/>
                <w:szCs w:val="20"/>
              </w:rPr>
              <w:t>.</w:t>
            </w:r>
          </w:p>
          <w:p w14:paraId="7C50E12D" w14:textId="0942CEC9" w:rsidR="0039742D" w:rsidRPr="00A53AD7" w:rsidRDefault="0039742D" w:rsidP="00725CD0">
            <w:pPr>
              <w:autoSpaceDE w:val="0"/>
              <w:autoSpaceDN w:val="0"/>
              <w:adjustRightInd w:val="0"/>
              <w:spacing w:after="0" w:line="240" w:lineRule="auto"/>
              <w:rPr>
                <w:rFonts w:ascii="Times New Roman" w:hAnsi="Times New Roman"/>
                <w:sz w:val="20"/>
                <w:szCs w:val="20"/>
              </w:rPr>
            </w:pPr>
            <w:r w:rsidRPr="00A53AD7">
              <w:rPr>
                <w:rFonts w:ascii="Times New Roman" w:hAnsi="Times New Roman"/>
                <w:sz w:val="20"/>
                <w:szCs w:val="20"/>
              </w:rPr>
              <w:t>Проверкой выявлено нецелевое использование бюдж</w:t>
            </w:r>
            <w:r w:rsidR="002851F7" w:rsidRPr="00A53AD7">
              <w:rPr>
                <w:rFonts w:ascii="Times New Roman" w:hAnsi="Times New Roman"/>
                <w:sz w:val="20"/>
                <w:szCs w:val="20"/>
              </w:rPr>
              <w:t>етных средств на сумму 6,9 млн.</w:t>
            </w:r>
            <w:r w:rsidRPr="00A53AD7">
              <w:rPr>
                <w:rFonts w:ascii="Times New Roman" w:hAnsi="Times New Roman"/>
                <w:sz w:val="20"/>
                <w:szCs w:val="20"/>
              </w:rPr>
              <w:t>руб., ущерб, причиненный Архангел</w:t>
            </w:r>
            <w:r w:rsidR="002851F7" w:rsidRPr="00A53AD7">
              <w:rPr>
                <w:rFonts w:ascii="Times New Roman" w:hAnsi="Times New Roman"/>
                <w:sz w:val="20"/>
                <w:szCs w:val="20"/>
              </w:rPr>
              <w:t>ьской области на сумму 2,7 млн.</w:t>
            </w:r>
            <w:r w:rsidRPr="00A53AD7">
              <w:rPr>
                <w:rFonts w:ascii="Times New Roman" w:hAnsi="Times New Roman"/>
                <w:sz w:val="20"/>
                <w:szCs w:val="20"/>
              </w:rPr>
              <w:t xml:space="preserve">руб., неэффективное использование бюджетных средств в сумме 8,2 </w:t>
            </w:r>
            <w:r w:rsidR="002851F7" w:rsidRPr="00A53AD7">
              <w:rPr>
                <w:rFonts w:ascii="Times New Roman" w:hAnsi="Times New Roman"/>
                <w:sz w:val="20"/>
                <w:szCs w:val="20"/>
              </w:rPr>
              <w:t>млн.</w:t>
            </w:r>
            <w:r w:rsidRPr="00A53AD7">
              <w:rPr>
                <w:rFonts w:ascii="Times New Roman" w:hAnsi="Times New Roman"/>
                <w:sz w:val="20"/>
                <w:szCs w:val="20"/>
              </w:rPr>
              <w:t>руб.</w:t>
            </w:r>
          </w:p>
          <w:p w14:paraId="45DB6CB7" w14:textId="21498072"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sz w:val="20"/>
                <w:szCs w:val="20"/>
              </w:rPr>
              <w:t xml:space="preserve"> По данному объекту на основании судебных решений в польз</w:t>
            </w:r>
            <w:r w:rsidR="002851F7" w:rsidRPr="00A53AD7">
              <w:rPr>
                <w:rFonts w:ascii="Times New Roman" w:hAnsi="Times New Roman"/>
                <w:sz w:val="20"/>
                <w:szCs w:val="20"/>
              </w:rPr>
              <w:t>у подрядчика взыскано 61,8 млн.</w:t>
            </w:r>
            <w:r w:rsidRPr="00A53AD7">
              <w:rPr>
                <w:rFonts w:ascii="Times New Roman" w:hAnsi="Times New Roman"/>
                <w:sz w:val="20"/>
                <w:szCs w:val="20"/>
              </w:rPr>
              <w:t>руб. за работы, не учтенные проектом.</w:t>
            </w:r>
          </w:p>
        </w:tc>
      </w:tr>
      <w:tr w:rsidR="00D470B6" w:rsidRPr="00A53AD7" w14:paraId="51E29380" w14:textId="77777777" w:rsidTr="00725CD0">
        <w:tc>
          <w:tcPr>
            <w:tcW w:w="2943" w:type="dxa"/>
            <w:shd w:val="clear" w:color="auto" w:fill="auto"/>
          </w:tcPr>
          <w:p w14:paraId="5E1FA119" w14:textId="77777777"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3. Строительство школы на 90 учащихся в с. Долгощелье Мезенского района Архангельской области</w:t>
            </w:r>
          </w:p>
        </w:tc>
        <w:tc>
          <w:tcPr>
            <w:tcW w:w="6628" w:type="dxa"/>
            <w:shd w:val="clear" w:color="auto" w:fill="auto"/>
          </w:tcPr>
          <w:p w14:paraId="7E742F18" w14:textId="6EB50FF2"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Привязка типового проекта школы на 90 мест выполнена в 2016 году силами ГБУ (ГАУ) АО «Инвестсельстрой».</w:t>
            </w:r>
          </w:p>
          <w:p w14:paraId="4A3FA4F4" w14:textId="15EBC468"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 xml:space="preserve">29.09.2018 администрацией МО заключен муниципальный контракт с ООО «АСК». Стоимость </w:t>
            </w:r>
            <w:r w:rsidR="002851F7" w:rsidRPr="00A53AD7">
              <w:rPr>
                <w:rFonts w:ascii="Times New Roman" w:hAnsi="Times New Roman"/>
                <w:bCs/>
                <w:iCs/>
                <w:sz w:val="20"/>
                <w:szCs w:val="20"/>
              </w:rPr>
              <w:t>работ по контракту – 160,6 млн.</w:t>
            </w:r>
            <w:r w:rsidR="0039742D" w:rsidRPr="00A53AD7">
              <w:rPr>
                <w:rFonts w:ascii="Times New Roman" w:hAnsi="Times New Roman"/>
                <w:bCs/>
                <w:iCs/>
                <w:sz w:val="20"/>
                <w:szCs w:val="20"/>
              </w:rPr>
              <w:t xml:space="preserve">руб., срок завершения работ – не позднее 31.10.2020. </w:t>
            </w:r>
          </w:p>
          <w:p w14:paraId="06A7FA96" w14:textId="77777777"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На объекте подрядчиком выполнены работы по устройству временного ограждения и частично устройство котлована.</w:t>
            </w:r>
          </w:p>
          <w:p w14:paraId="75450D14" w14:textId="3E68DFEA"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В связи с ненадлежащим исполнением подрядной организации обязательств 7.03.2019 контракт расторгнут по соглашению сторон.</w:t>
            </w:r>
          </w:p>
          <w:p w14:paraId="7513A821" w14:textId="5C259ECC"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 xml:space="preserve">24.06.2019 между администрацией МО «Мезенский район» и ООО «Строительно-трастовая компания «Северград» (г. Северодвинск) заключен муниципальный контракт на строительство школы. Стоимость работ по </w:t>
            </w:r>
            <w:r w:rsidR="002851F7" w:rsidRPr="00A53AD7">
              <w:rPr>
                <w:rFonts w:ascii="Times New Roman" w:hAnsi="Times New Roman"/>
                <w:bCs/>
                <w:iCs/>
                <w:sz w:val="20"/>
                <w:szCs w:val="20"/>
              </w:rPr>
              <w:t>контракту составляет 195,2 млн.</w:t>
            </w:r>
            <w:r w:rsidR="0039742D" w:rsidRPr="00A53AD7">
              <w:rPr>
                <w:rFonts w:ascii="Times New Roman" w:hAnsi="Times New Roman"/>
                <w:bCs/>
                <w:iCs/>
                <w:sz w:val="20"/>
                <w:szCs w:val="20"/>
              </w:rPr>
              <w:t>руб., срок завершения работ – 31 декабря 2020 года. Согласно комментариям к отчету об исполнении ОАИП за 2019 год на объекте ведут работу по устройству временных сооружений, котлована, завозят необходимые материалы дорожным транспортом, зашла первая баржа с материалами. Выданы проектные решения по котловану.</w:t>
            </w:r>
          </w:p>
          <w:p w14:paraId="0E260189" w14:textId="363FFDE9"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В 2019 году предусмот</w:t>
            </w:r>
            <w:r w:rsidR="002851F7" w:rsidRPr="00A53AD7">
              <w:rPr>
                <w:rFonts w:ascii="Times New Roman" w:hAnsi="Times New Roman"/>
                <w:bCs/>
                <w:iCs/>
                <w:sz w:val="20"/>
                <w:szCs w:val="20"/>
              </w:rPr>
              <w:t>рены работы на сумму 184,0 млн.</w:t>
            </w:r>
            <w:r w:rsidR="0039742D" w:rsidRPr="00A53AD7">
              <w:rPr>
                <w:rFonts w:ascii="Times New Roman" w:hAnsi="Times New Roman"/>
                <w:bCs/>
                <w:iCs/>
                <w:sz w:val="20"/>
                <w:szCs w:val="20"/>
              </w:rPr>
              <w:t>руб. Фактически кассовые расходы по данному объекту в 2019 году отсутствуют.</w:t>
            </w:r>
          </w:p>
          <w:p w14:paraId="6315AEDF" w14:textId="280908B8"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Таким образом, по данному объекту также существуют риски неисполнения в 2020 году.</w:t>
            </w:r>
          </w:p>
        </w:tc>
      </w:tr>
      <w:tr w:rsidR="0039742D" w:rsidRPr="00A53AD7" w14:paraId="5420C1EE" w14:textId="77777777" w:rsidTr="00725CD0">
        <w:tc>
          <w:tcPr>
            <w:tcW w:w="2943" w:type="dxa"/>
            <w:shd w:val="clear" w:color="auto" w:fill="auto"/>
          </w:tcPr>
          <w:p w14:paraId="7C418451" w14:textId="77777777"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4. Строительство школы на 860 мест в территориальном округе Варавино-Фактория г. Архангельска</w:t>
            </w:r>
          </w:p>
        </w:tc>
        <w:tc>
          <w:tcPr>
            <w:tcW w:w="6628" w:type="dxa"/>
            <w:shd w:val="clear" w:color="auto" w:fill="auto"/>
          </w:tcPr>
          <w:p w14:paraId="787E0A10" w14:textId="44BA2A1A"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Для строительства объекта использована типовая проектная документация «Среднеобразовательная школа на 860 учащихся в п. Урдома Ленского района Архангельской области», разработанной ГУП АО «Проектный институт гражданского строительства планировки и застройки городов и поселков «Архангельскгражданпроект», привязка которого была осуществлена в рамках муниципального контракта от 28.05.2018, заключенного между ДТС администрации МО «Город Архангельск» и ООО «ОРТОСТ-ФАСАД».</w:t>
            </w:r>
          </w:p>
          <w:p w14:paraId="165504B9" w14:textId="6C503139" w:rsidR="0039742D" w:rsidRPr="00A53AD7" w:rsidRDefault="008D4148"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Cs/>
                <w:sz w:val="20"/>
                <w:szCs w:val="20"/>
              </w:rPr>
              <w:t>Контракт на строительство объекта заключен 19.06.2019 года между ДТС администрации МО «Город Архангельск» и ООО «ОРТОСТ-ФАСАД».</w:t>
            </w:r>
          </w:p>
          <w:p w14:paraId="56A2D8E4" w14:textId="71D92071"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Стоимость работ по контракту составляет 956 482,2 тыс. рублей, срок завершения работ в соответствии с контрактом – 15 декабря 2021 года.</w:t>
            </w:r>
            <w:r w:rsidRPr="00A53AD7">
              <w:rPr>
                <w:rFonts w:ascii="Times New Roman" w:hAnsi="Times New Roman"/>
                <w:bCs/>
                <w:iCs/>
                <w:sz w:val="20"/>
                <w:szCs w:val="20"/>
              </w:rPr>
              <w:br/>
            </w:r>
            <w:r w:rsidR="008D4148" w:rsidRPr="00A53AD7">
              <w:rPr>
                <w:rFonts w:ascii="Times New Roman" w:hAnsi="Times New Roman"/>
                <w:bCs/>
                <w:iCs/>
                <w:sz w:val="20"/>
                <w:szCs w:val="20"/>
              </w:rPr>
              <w:t xml:space="preserve"> </w:t>
            </w:r>
            <w:r w:rsidRPr="00A53AD7">
              <w:rPr>
                <w:rFonts w:ascii="Times New Roman" w:hAnsi="Times New Roman"/>
                <w:bCs/>
                <w:iCs/>
                <w:sz w:val="20"/>
                <w:szCs w:val="20"/>
              </w:rPr>
              <w:t xml:space="preserve">Согласно комментариям к отчету об исполнении ОАИП за 2019 год на объекте забиты 34 сваи для проведения динамических испытаний. Подрядчиком 30.07.2019 предоставлены результаты динамических испытаний свай, согласно которым основная часть свай несет нагрузку меньше проектной. Работы приостановлены. По устному мнению руководителя ГАУ АО "Управление государственной экспертизы", необходимо внесение изменений в проектную документацию в части увеличения длины свай с 10 до 16 метров. В госэкспертизу направлен официальный запрос. В связи с необходимостью корретировки проекта и прохождения повторной госэкспертизы, плановые показатели не исполнены. На основании позиции госэкспертизы согласовано погружение 16-метровых свай для проведения динамических испытаний. </w:t>
            </w:r>
          </w:p>
          <w:p w14:paraId="406778B2" w14:textId="272A7C6C" w:rsidR="0039742D" w:rsidRPr="00A53AD7" w:rsidRDefault="0039742D" w:rsidP="00725CD0">
            <w:pPr>
              <w:autoSpaceDE w:val="0"/>
              <w:autoSpaceDN w:val="0"/>
              <w:adjustRightInd w:val="0"/>
              <w:spacing w:after="0" w:line="240" w:lineRule="auto"/>
              <w:rPr>
                <w:rFonts w:ascii="Times New Roman" w:hAnsi="Times New Roman"/>
                <w:bCs/>
                <w:iCs/>
                <w:sz w:val="20"/>
                <w:szCs w:val="20"/>
              </w:rPr>
            </w:pPr>
            <w:r w:rsidRPr="00A53AD7">
              <w:rPr>
                <w:rFonts w:ascii="Times New Roman" w:hAnsi="Times New Roman"/>
                <w:bCs/>
                <w:iCs/>
                <w:sz w:val="20"/>
                <w:szCs w:val="20"/>
              </w:rPr>
              <w:t>Следует отметить, что в рамках муниципального контракта на выполнение проектных работ от 28.05.2018, ООО «ОРТОСТ-ФАСАД» выполняло, в том числе изыскательские работы. Согласно п. 29 Технического задания (Приложение №1 к муниципальному контракту № 18000121 от 28.052018): «Гарантийные обязательства распространяются на Услуги, оказанные Исполнителем по Контракту. Исполнитель предоставляет срок гарантий качества на весь объем оказанных услуг в течение проведения работ по строительству и весь период эксплуатации Объекта с даты подписания сторонами Акта сдачи-приемки оказанных услуг.</w:t>
            </w:r>
            <w:r w:rsidRPr="00A53AD7">
              <w:rPr>
                <w:sz w:val="20"/>
                <w:szCs w:val="20"/>
              </w:rPr>
              <w:t xml:space="preserve"> </w:t>
            </w:r>
            <w:r w:rsidRPr="00A53AD7">
              <w:rPr>
                <w:rFonts w:ascii="Times New Roman" w:hAnsi="Times New Roman"/>
                <w:bCs/>
                <w:iCs/>
                <w:sz w:val="20"/>
                <w:szCs w:val="20"/>
              </w:rPr>
              <w:t>При обнаружении недостатков в выполненной документации, Исполнитель по требованию Заказчика обязан безвозмездно исправить проектную документацию (при необходимости, получив согласования с заинтересованными организациями, положительное заключение госэкспертизы и положительное заключение о достоверности определения сметной стоимости), а также возместить Заказчику причиненные убытки, если контрактом на выполнение проектных работ не установлено иное».</w:t>
            </w:r>
          </w:p>
          <w:p w14:paraId="5C8E24A5" w14:textId="58A75AD4" w:rsidR="0039742D" w:rsidRPr="00A53AD7" w:rsidRDefault="008D4148" w:rsidP="00725CD0">
            <w:pPr>
              <w:autoSpaceDE w:val="0"/>
              <w:autoSpaceDN w:val="0"/>
              <w:adjustRightInd w:val="0"/>
              <w:spacing w:after="0" w:line="240" w:lineRule="auto"/>
              <w:rPr>
                <w:rFonts w:ascii="Times New Roman" w:hAnsi="Times New Roman"/>
                <w:bCs/>
                <w:i/>
                <w:iCs/>
                <w:sz w:val="20"/>
                <w:szCs w:val="20"/>
              </w:rPr>
            </w:pPr>
            <w:r w:rsidRPr="00A53AD7">
              <w:rPr>
                <w:rFonts w:ascii="Times New Roman" w:hAnsi="Times New Roman"/>
                <w:bCs/>
                <w:iCs/>
                <w:sz w:val="20"/>
                <w:szCs w:val="20"/>
              </w:rPr>
              <w:t xml:space="preserve"> </w:t>
            </w:r>
            <w:r w:rsidR="0039742D" w:rsidRPr="00A53AD7">
              <w:rPr>
                <w:rFonts w:ascii="Times New Roman" w:hAnsi="Times New Roman"/>
                <w:bCs/>
                <w:i/>
                <w:iCs/>
                <w:sz w:val="20"/>
                <w:szCs w:val="20"/>
              </w:rPr>
              <w:t xml:space="preserve">Вопрос осуществления дополнительных расходов, связанных с заменой свай с 10-метровых до 16- метровых и финансовых источников на эти цели подлежит дополнительному анализу. </w:t>
            </w:r>
          </w:p>
        </w:tc>
      </w:tr>
    </w:tbl>
    <w:p w14:paraId="07BCA832" w14:textId="77777777" w:rsidR="0039742D" w:rsidRPr="00A53AD7" w:rsidRDefault="0039742D" w:rsidP="00725CD0">
      <w:pPr>
        <w:spacing w:after="0" w:line="240" w:lineRule="auto"/>
        <w:ind w:firstLine="851"/>
        <w:jc w:val="both"/>
        <w:rPr>
          <w:rFonts w:ascii="Times New Roman" w:hAnsi="Times New Roman"/>
          <w:sz w:val="28"/>
          <w:szCs w:val="28"/>
        </w:rPr>
      </w:pPr>
    </w:p>
    <w:p w14:paraId="6B8D4CBF" w14:textId="4C537A67"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включении в перечень мероприятий РП «Современная школа» объектов капитального строительства, Минстроем АО выполняется условие о применении проектов повторного применения. Вместе с тем, мероприятия по привязке данных проектов проводятся привлекаемыми организациями некачественно, что является одной из основных причин срыва плановых сроков реализации данных мероприятий в рамках регионального проекта «Современная школа».</w:t>
      </w:r>
    </w:p>
    <w:p w14:paraId="26C61946" w14:textId="0BFFB756"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реализации мероприятия «Создание новых мест в общеобразовательных организациях, расположенных в сельской местности и поселках городского типа» НП «Образование» контрольно-счетная палата Архангельской области отмечает следующее.</w:t>
      </w:r>
    </w:p>
    <w:p w14:paraId="18C45CD6" w14:textId="398BA346"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отчета о реализации в 2018 году государственной программы Архангельской области «Развитие образования и науки Архангельской области (2013 – 2025 годы)» в рамках строительства общеобразовательных организаций Архангельской области: в 2018 году введена в эксплуатацию начальная общеобразовательная школа на 320 учащихся в с. Красноборск Архангельской области. Акт приемки законченного строительством указанного объекта б/н от 16.04.2018 составлен между администрацией МО «Красноборский муниципальный район» и ООО «Строй Центр».</w:t>
      </w:r>
    </w:p>
    <w:p w14:paraId="402A3F61" w14:textId="4DBD6FFF"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Отчет о ходе реализации регионального проекта «Современная школа» на 2019 год по результату (мероприятию) – «Число созданных новых мест в общеобразовательных организациях, расположенных в сельской местности и поселках городского типа» содержит значение о количестве 320 вновь введенных мест в общеобразовательных организациях, а именно ввод в эксплуатацию начальной общеобразовательной школы на 320 учащихся в </w:t>
      </w:r>
      <w:r w:rsidRPr="00A53AD7">
        <w:rPr>
          <w:rFonts w:ascii="Times New Roman" w:hAnsi="Times New Roman"/>
          <w:sz w:val="28"/>
          <w:szCs w:val="28"/>
        </w:rPr>
        <w:br/>
        <w:t>с. Красноборск Арх</w:t>
      </w:r>
      <w:r w:rsidR="00725CD0" w:rsidRPr="00A53AD7">
        <w:rPr>
          <w:rFonts w:ascii="Times New Roman" w:hAnsi="Times New Roman"/>
          <w:sz w:val="28"/>
          <w:szCs w:val="28"/>
        </w:rPr>
        <w:t>ангельской области в 2018 году.</w:t>
      </w:r>
    </w:p>
    <w:p w14:paraId="2FCE4A93" w14:textId="77777777"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Выделение бюджетных ассигнований в 2019 году на указанный объект не предусмотрено.</w:t>
      </w:r>
    </w:p>
    <w:p w14:paraId="180FB72E" w14:textId="77777777" w:rsidR="0039742D" w:rsidRPr="00A53AD7" w:rsidRDefault="0039742D" w:rsidP="00725CD0">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регионального проекта «Успех каждого ребенка» национального проекта «Образование» представлена в таблице:</w:t>
      </w:r>
    </w:p>
    <w:tbl>
      <w:tblPr>
        <w:tblW w:w="4973" w:type="pct"/>
        <w:tblInd w:w="10" w:type="dxa"/>
        <w:tblLayout w:type="fixed"/>
        <w:tblLook w:val="04A0" w:firstRow="1" w:lastRow="0" w:firstColumn="1" w:lastColumn="0" w:noHBand="0" w:noVBand="1"/>
      </w:tblPr>
      <w:tblGrid>
        <w:gridCol w:w="3243"/>
        <w:gridCol w:w="824"/>
        <w:gridCol w:w="964"/>
        <w:gridCol w:w="829"/>
        <w:gridCol w:w="825"/>
        <w:gridCol w:w="829"/>
        <w:gridCol w:w="972"/>
        <w:gridCol w:w="788"/>
      </w:tblGrid>
      <w:tr w:rsidR="00D470B6" w:rsidRPr="00A53AD7" w14:paraId="4328A06F" w14:textId="77777777" w:rsidTr="00A62497">
        <w:trPr>
          <w:trHeight w:val="510"/>
          <w:tblHeader/>
        </w:trPr>
        <w:tc>
          <w:tcPr>
            <w:tcW w:w="1748" w:type="pct"/>
            <w:vMerge w:val="restart"/>
            <w:tcBorders>
              <w:top w:val="double" w:sz="4" w:space="0" w:color="auto"/>
              <w:left w:val="double" w:sz="4" w:space="0" w:color="auto"/>
              <w:right w:val="single" w:sz="4" w:space="0" w:color="auto"/>
            </w:tcBorders>
            <w:shd w:val="clear" w:color="auto" w:fill="auto"/>
            <w:vAlign w:val="center"/>
            <w:hideMark/>
          </w:tcPr>
          <w:p w14:paraId="64530628" w14:textId="77777777" w:rsidR="00872B4F" w:rsidRPr="00A53AD7" w:rsidRDefault="00872B4F"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Наименование мероприятия госпрограммы</w:t>
            </w:r>
          </w:p>
        </w:tc>
        <w:tc>
          <w:tcPr>
            <w:tcW w:w="1411" w:type="pct"/>
            <w:gridSpan w:val="3"/>
            <w:tcBorders>
              <w:top w:val="double" w:sz="4" w:space="0" w:color="auto"/>
              <w:left w:val="nil"/>
              <w:bottom w:val="single" w:sz="4" w:space="0" w:color="auto"/>
              <w:right w:val="single" w:sz="4" w:space="0" w:color="auto"/>
            </w:tcBorders>
            <w:shd w:val="clear" w:color="auto" w:fill="auto"/>
            <w:vAlign w:val="center"/>
            <w:hideMark/>
          </w:tcPr>
          <w:p w14:paraId="60200B2A" w14:textId="77777777" w:rsidR="00872B4F" w:rsidRPr="00A53AD7" w:rsidRDefault="00872B4F"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bCs/>
                <w:sz w:val="16"/>
                <w:szCs w:val="16"/>
                <w:lang w:eastAsia="ru-RU"/>
              </w:rPr>
              <w:t>Утвержденная бюджетная роспись на отчетный финансовый год</w:t>
            </w:r>
          </w:p>
        </w:tc>
        <w:tc>
          <w:tcPr>
            <w:tcW w:w="1415" w:type="pct"/>
            <w:gridSpan w:val="3"/>
            <w:tcBorders>
              <w:top w:val="double" w:sz="4" w:space="0" w:color="auto"/>
              <w:left w:val="single" w:sz="4" w:space="0" w:color="auto"/>
              <w:bottom w:val="single" w:sz="4" w:space="0" w:color="auto"/>
              <w:right w:val="single" w:sz="4" w:space="0" w:color="auto"/>
            </w:tcBorders>
            <w:shd w:val="clear" w:color="auto" w:fill="auto"/>
            <w:vAlign w:val="center"/>
            <w:hideMark/>
          </w:tcPr>
          <w:p w14:paraId="485933E8" w14:textId="77777777" w:rsidR="00872B4F" w:rsidRPr="00A53AD7" w:rsidRDefault="00872B4F"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Кассовые расходы областного бюджета на отчетную дату</w:t>
            </w:r>
          </w:p>
        </w:tc>
        <w:tc>
          <w:tcPr>
            <w:tcW w:w="426" w:type="pct"/>
            <w:vMerge w:val="restart"/>
            <w:tcBorders>
              <w:top w:val="double" w:sz="4" w:space="0" w:color="auto"/>
              <w:left w:val="single" w:sz="4" w:space="0" w:color="auto"/>
              <w:right w:val="double" w:sz="4" w:space="0" w:color="auto"/>
            </w:tcBorders>
            <w:vAlign w:val="center"/>
          </w:tcPr>
          <w:p w14:paraId="21292978" w14:textId="77777777" w:rsidR="00872B4F" w:rsidRPr="00A53AD7" w:rsidRDefault="00872B4F" w:rsidP="0039742D">
            <w:pPr>
              <w:spacing w:after="0" w:line="240" w:lineRule="auto"/>
              <w:jc w:val="center"/>
              <w:rPr>
                <w:rFonts w:ascii="Times New Roman" w:eastAsia="Times New Roman" w:hAnsi="Times New Roman"/>
                <w:b/>
                <w:sz w:val="16"/>
                <w:szCs w:val="16"/>
                <w:lang w:eastAsia="ru-RU"/>
              </w:rPr>
            </w:pPr>
            <w:r w:rsidRPr="00A53AD7">
              <w:rPr>
                <w:rFonts w:ascii="Times New Roman" w:eastAsia="Times New Roman" w:hAnsi="Times New Roman"/>
                <w:b/>
                <w:sz w:val="16"/>
                <w:szCs w:val="16"/>
                <w:lang w:eastAsia="ru-RU"/>
              </w:rPr>
              <w:t>% исполнения к сводной бюджетной росписи</w:t>
            </w:r>
          </w:p>
        </w:tc>
      </w:tr>
      <w:tr w:rsidR="00D470B6" w:rsidRPr="00A53AD7" w14:paraId="74B23A62" w14:textId="77777777" w:rsidTr="00A624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1748" w:type="pct"/>
            <w:vMerge/>
            <w:tcBorders>
              <w:left w:val="double" w:sz="4" w:space="0" w:color="auto"/>
              <w:right w:val="single" w:sz="4" w:space="0" w:color="auto"/>
            </w:tcBorders>
            <w:shd w:val="clear" w:color="auto" w:fill="auto"/>
            <w:vAlign w:val="center"/>
          </w:tcPr>
          <w:p w14:paraId="6CD258F7" w14:textId="77777777" w:rsidR="00872B4F" w:rsidRPr="00A53AD7" w:rsidRDefault="00872B4F" w:rsidP="0039742D">
            <w:pPr>
              <w:spacing w:after="0" w:line="240" w:lineRule="auto"/>
              <w:rPr>
                <w:rFonts w:ascii="Times New Roman" w:eastAsia="Times New Roman" w:hAnsi="Times New Roman"/>
                <w:b/>
                <w:bCs/>
                <w:sz w:val="16"/>
                <w:szCs w:val="16"/>
                <w:lang w:eastAsia="ru-RU"/>
              </w:rPr>
            </w:pPr>
          </w:p>
        </w:tc>
        <w:tc>
          <w:tcPr>
            <w:tcW w:w="444" w:type="pct"/>
            <w:tcBorders>
              <w:left w:val="single" w:sz="4" w:space="0" w:color="auto"/>
            </w:tcBorders>
            <w:shd w:val="clear" w:color="auto" w:fill="auto"/>
            <w:vAlign w:val="center"/>
          </w:tcPr>
          <w:p w14:paraId="5CABE168"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Всего</w:t>
            </w:r>
          </w:p>
        </w:tc>
        <w:tc>
          <w:tcPr>
            <w:tcW w:w="520" w:type="pct"/>
          </w:tcPr>
          <w:p w14:paraId="48F33F5A"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федерального бюджета</w:t>
            </w:r>
          </w:p>
        </w:tc>
        <w:tc>
          <w:tcPr>
            <w:tcW w:w="447" w:type="pct"/>
          </w:tcPr>
          <w:p w14:paraId="36D2411A"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областного бюджета</w:t>
            </w:r>
          </w:p>
        </w:tc>
        <w:tc>
          <w:tcPr>
            <w:tcW w:w="445" w:type="pct"/>
            <w:shd w:val="clear" w:color="auto" w:fill="auto"/>
            <w:vAlign w:val="center"/>
          </w:tcPr>
          <w:p w14:paraId="3B186161"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Всего</w:t>
            </w:r>
          </w:p>
        </w:tc>
        <w:tc>
          <w:tcPr>
            <w:tcW w:w="447" w:type="pct"/>
            <w:shd w:val="clear" w:color="auto" w:fill="auto"/>
          </w:tcPr>
          <w:p w14:paraId="315CA566"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федерального бюджета</w:t>
            </w:r>
          </w:p>
        </w:tc>
        <w:tc>
          <w:tcPr>
            <w:tcW w:w="524" w:type="pct"/>
            <w:tcBorders>
              <w:right w:val="single" w:sz="4" w:space="0" w:color="auto"/>
            </w:tcBorders>
            <w:shd w:val="clear" w:color="auto" w:fill="auto"/>
          </w:tcPr>
          <w:p w14:paraId="4A4207C1"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r w:rsidRPr="00A53AD7">
              <w:rPr>
                <w:rFonts w:ascii="Times New Roman" w:eastAsia="Times New Roman" w:hAnsi="Times New Roman"/>
                <w:b/>
                <w:bCs/>
                <w:sz w:val="16"/>
                <w:szCs w:val="16"/>
                <w:lang w:eastAsia="ru-RU"/>
              </w:rPr>
              <w:t>Средства областного бюджета</w:t>
            </w:r>
          </w:p>
        </w:tc>
        <w:tc>
          <w:tcPr>
            <w:tcW w:w="426" w:type="pct"/>
            <w:vMerge/>
            <w:tcBorders>
              <w:left w:val="single" w:sz="4" w:space="0" w:color="auto"/>
              <w:right w:val="double" w:sz="4" w:space="0" w:color="auto"/>
            </w:tcBorders>
          </w:tcPr>
          <w:p w14:paraId="62305ED0" w14:textId="77777777" w:rsidR="00872B4F" w:rsidRPr="00A53AD7" w:rsidRDefault="00872B4F" w:rsidP="0039742D">
            <w:pPr>
              <w:spacing w:after="0" w:line="240" w:lineRule="auto"/>
              <w:jc w:val="center"/>
              <w:rPr>
                <w:rFonts w:ascii="Times New Roman" w:eastAsia="Times New Roman" w:hAnsi="Times New Roman"/>
                <w:b/>
                <w:bCs/>
                <w:sz w:val="16"/>
                <w:szCs w:val="16"/>
                <w:lang w:eastAsia="ru-RU"/>
              </w:rPr>
            </w:pPr>
          </w:p>
        </w:tc>
      </w:tr>
      <w:tr w:rsidR="00D470B6" w:rsidRPr="00A53AD7" w14:paraId="6BC564A4" w14:textId="77777777" w:rsidTr="00A624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1748" w:type="pct"/>
            <w:tcBorders>
              <w:left w:val="double" w:sz="4" w:space="0" w:color="auto"/>
            </w:tcBorders>
            <w:shd w:val="clear" w:color="auto" w:fill="auto"/>
            <w:vAlign w:val="center"/>
          </w:tcPr>
          <w:p w14:paraId="0B9F6608" w14:textId="77777777" w:rsidR="00872B4F" w:rsidRPr="00A53AD7" w:rsidRDefault="00872B4F" w:rsidP="0039742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Создание детского технопарка "Кванториум" в рамках федерального проекта "Успех каждого ребенка" национального проекта "Образование"</w:t>
            </w:r>
          </w:p>
        </w:tc>
        <w:tc>
          <w:tcPr>
            <w:tcW w:w="444" w:type="pct"/>
            <w:shd w:val="clear" w:color="auto" w:fill="auto"/>
            <w:vAlign w:val="center"/>
          </w:tcPr>
          <w:p w14:paraId="7D19F4FA"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73,1</w:t>
            </w:r>
          </w:p>
        </w:tc>
        <w:tc>
          <w:tcPr>
            <w:tcW w:w="520" w:type="pct"/>
            <w:vAlign w:val="center"/>
          </w:tcPr>
          <w:p w14:paraId="67D8243D"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71,6</w:t>
            </w:r>
          </w:p>
        </w:tc>
        <w:tc>
          <w:tcPr>
            <w:tcW w:w="447" w:type="pct"/>
            <w:vAlign w:val="center"/>
          </w:tcPr>
          <w:p w14:paraId="69F31718"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w:t>
            </w:r>
          </w:p>
        </w:tc>
        <w:tc>
          <w:tcPr>
            <w:tcW w:w="445" w:type="pct"/>
            <w:shd w:val="clear" w:color="auto" w:fill="auto"/>
            <w:vAlign w:val="center"/>
          </w:tcPr>
          <w:p w14:paraId="2DC9D2E1"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73,0</w:t>
            </w:r>
          </w:p>
        </w:tc>
        <w:tc>
          <w:tcPr>
            <w:tcW w:w="447" w:type="pct"/>
            <w:shd w:val="clear" w:color="auto" w:fill="auto"/>
            <w:vAlign w:val="center"/>
          </w:tcPr>
          <w:p w14:paraId="32ABCF71"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71,5</w:t>
            </w:r>
          </w:p>
        </w:tc>
        <w:tc>
          <w:tcPr>
            <w:tcW w:w="524" w:type="pct"/>
            <w:tcBorders>
              <w:right w:val="single" w:sz="4" w:space="0" w:color="auto"/>
            </w:tcBorders>
            <w:shd w:val="clear" w:color="auto" w:fill="auto"/>
            <w:vAlign w:val="center"/>
          </w:tcPr>
          <w:p w14:paraId="0441E364"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w:t>
            </w:r>
          </w:p>
        </w:tc>
        <w:tc>
          <w:tcPr>
            <w:tcW w:w="426" w:type="pct"/>
            <w:tcBorders>
              <w:left w:val="single" w:sz="4" w:space="0" w:color="auto"/>
              <w:right w:val="double" w:sz="4" w:space="0" w:color="auto"/>
            </w:tcBorders>
            <w:vAlign w:val="center"/>
          </w:tcPr>
          <w:p w14:paraId="6EBD35C9" w14:textId="77777777" w:rsidR="00872B4F" w:rsidRPr="00A53AD7" w:rsidRDefault="00872B4F"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381B0E60" w14:textId="77777777" w:rsidTr="00A624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1748" w:type="pct"/>
            <w:tcBorders>
              <w:left w:val="double" w:sz="4" w:space="0" w:color="auto"/>
            </w:tcBorders>
            <w:shd w:val="clear" w:color="auto" w:fill="auto"/>
            <w:vAlign w:val="center"/>
          </w:tcPr>
          <w:p w14:paraId="7D9E55FD" w14:textId="77777777" w:rsidR="00872B4F" w:rsidRPr="00A53AD7" w:rsidRDefault="00872B4F" w:rsidP="0039742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Создание в общеобразовательных организациях, расположенных в сельской местности, условий для занятия физической культурой и спортом</w:t>
            </w:r>
          </w:p>
        </w:tc>
        <w:tc>
          <w:tcPr>
            <w:tcW w:w="444" w:type="pct"/>
            <w:shd w:val="clear" w:color="auto" w:fill="auto"/>
            <w:vAlign w:val="center"/>
          </w:tcPr>
          <w:p w14:paraId="3E55D454"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19,6</w:t>
            </w:r>
          </w:p>
        </w:tc>
        <w:tc>
          <w:tcPr>
            <w:tcW w:w="520" w:type="pct"/>
            <w:vAlign w:val="center"/>
          </w:tcPr>
          <w:p w14:paraId="7DBF7972"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15,4</w:t>
            </w:r>
          </w:p>
        </w:tc>
        <w:tc>
          <w:tcPr>
            <w:tcW w:w="447" w:type="pct"/>
            <w:vAlign w:val="center"/>
          </w:tcPr>
          <w:p w14:paraId="35A30FF0"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4,2</w:t>
            </w:r>
          </w:p>
        </w:tc>
        <w:tc>
          <w:tcPr>
            <w:tcW w:w="445" w:type="pct"/>
            <w:shd w:val="clear" w:color="auto" w:fill="auto"/>
            <w:vAlign w:val="center"/>
          </w:tcPr>
          <w:p w14:paraId="4BA7380A"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19,6</w:t>
            </w:r>
          </w:p>
        </w:tc>
        <w:tc>
          <w:tcPr>
            <w:tcW w:w="447" w:type="pct"/>
            <w:shd w:val="clear" w:color="auto" w:fill="auto"/>
            <w:vAlign w:val="center"/>
          </w:tcPr>
          <w:p w14:paraId="691DA6E8"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15,4</w:t>
            </w:r>
          </w:p>
        </w:tc>
        <w:tc>
          <w:tcPr>
            <w:tcW w:w="524" w:type="pct"/>
            <w:tcBorders>
              <w:right w:val="single" w:sz="4" w:space="0" w:color="auto"/>
            </w:tcBorders>
            <w:shd w:val="clear" w:color="auto" w:fill="auto"/>
            <w:vAlign w:val="center"/>
          </w:tcPr>
          <w:p w14:paraId="3198F2DD"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4,2</w:t>
            </w:r>
          </w:p>
        </w:tc>
        <w:tc>
          <w:tcPr>
            <w:tcW w:w="426" w:type="pct"/>
            <w:tcBorders>
              <w:left w:val="single" w:sz="4" w:space="0" w:color="auto"/>
              <w:right w:val="double" w:sz="4" w:space="0" w:color="auto"/>
            </w:tcBorders>
            <w:vAlign w:val="center"/>
          </w:tcPr>
          <w:p w14:paraId="53A9E74B" w14:textId="77777777" w:rsidR="00872B4F" w:rsidRPr="00A53AD7" w:rsidRDefault="00872B4F"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D470B6" w:rsidRPr="00A53AD7" w14:paraId="2125849A" w14:textId="77777777" w:rsidTr="00A624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6"/>
        </w:trPr>
        <w:tc>
          <w:tcPr>
            <w:tcW w:w="1748" w:type="pct"/>
            <w:tcBorders>
              <w:left w:val="double" w:sz="4" w:space="0" w:color="auto"/>
            </w:tcBorders>
            <w:shd w:val="clear" w:color="auto" w:fill="auto"/>
            <w:vAlign w:val="center"/>
          </w:tcPr>
          <w:p w14:paraId="75194437" w14:textId="77777777" w:rsidR="00872B4F" w:rsidRPr="00A53AD7" w:rsidRDefault="00872B4F" w:rsidP="0039742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Создание научно-учебных лабораторий на базе общеобразовательных организаций в рамках федерального проекта «Успех каждого ребенка» национального проекта «Образование»</w:t>
            </w:r>
          </w:p>
        </w:tc>
        <w:tc>
          <w:tcPr>
            <w:tcW w:w="444" w:type="pct"/>
            <w:shd w:val="clear" w:color="auto" w:fill="auto"/>
            <w:vAlign w:val="center"/>
          </w:tcPr>
          <w:p w14:paraId="655AD748"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3,1</w:t>
            </w:r>
          </w:p>
        </w:tc>
        <w:tc>
          <w:tcPr>
            <w:tcW w:w="520" w:type="pct"/>
            <w:vAlign w:val="center"/>
          </w:tcPr>
          <w:p w14:paraId="6901E0B6"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w:t>
            </w:r>
          </w:p>
        </w:tc>
        <w:tc>
          <w:tcPr>
            <w:tcW w:w="447" w:type="pct"/>
            <w:vAlign w:val="center"/>
          </w:tcPr>
          <w:p w14:paraId="0816941E"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3,1</w:t>
            </w:r>
          </w:p>
        </w:tc>
        <w:tc>
          <w:tcPr>
            <w:tcW w:w="445" w:type="pct"/>
            <w:shd w:val="clear" w:color="auto" w:fill="auto"/>
            <w:vAlign w:val="center"/>
          </w:tcPr>
          <w:p w14:paraId="653CE8E3"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3,1</w:t>
            </w:r>
          </w:p>
        </w:tc>
        <w:tc>
          <w:tcPr>
            <w:tcW w:w="447" w:type="pct"/>
            <w:shd w:val="clear" w:color="auto" w:fill="auto"/>
            <w:vAlign w:val="center"/>
          </w:tcPr>
          <w:p w14:paraId="6CBF29D3" w14:textId="77777777" w:rsidR="00872B4F" w:rsidRPr="00A53AD7" w:rsidRDefault="00872B4F"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w:t>
            </w:r>
          </w:p>
        </w:tc>
        <w:tc>
          <w:tcPr>
            <w:tcW w:w="524" w:type="pct"/>
            <w:tcBorders>
              <w:right w:val="single" w:sz="4" w:space="0" w:color="auto"/>
            </w:tcBorders>
            <w:shd w:val="clear" w:color="auto" w:fill="auto"/>
            <w:vAlign w:val="center"/>
          </w:tcPr>
          <w:p w14:paraId="7CB469ED"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3,1</w:t>
            </w:r>
          </w:p>
        </w:tc>
        <w:tc>
          <w:tcPr>
            <w:tcW w:w="426" w:type="pct"/>
            <w:tcBorders>
              <w:left w:val="single" w:sz="4" w:space="0" w:color="auto"/>
              <w:right w:val="double" w:sz="4" w:space="0" w:color="auto"/>
            </w:tcBorders>
            <w:vAlign w:val="center"/>
          </w:tcPr>
          <w:p w14:paraId="3050A70E" w14:textId="77777777" w:rsidR="00872B4F" w:rsidRPr="00A53AD7" w:rsidRDefault="00872B4F" w:rsidP="0039742D">
            <w:pPr>
              <w:spacing w:after="0" w:line="240" w:lineRule="auto"/>
              <w:jc w:val="center"/>
              <w:rPr>
                <w:rFonts w:ascii="Times New Roman" w:eastAsia="Times New Roman" w:hAnsi="Times New Roman"/>
                <w:i/>
                <w:sz w:val="18"/>
                <w:szCs w:val="18"/>
                <w:lang w:eastAsia="ru-RU"/>
              </w:rPr>
            </w:pPr>
            <w:r w:rsidRPr="00A53AD7">
              <w:rPr>
                <w:rFonts w:ascii="Times New Roman" w:eastAsia="Times New Roman" w:hAnsi="Times New Roman"/>
                <w:i/>
                <w:sz w:val="18"/>
                <w:szCs w:val="18"/>
                <w:lang w:eastAsia="ru-RU"/>
              </w:rPr>
              <w:t>100</w:t>
            </w:r>
          </w:p>
        </w:tc>
      </w:tr>
      <w:tr w:rsidR="00872B4F" w:rsidRPr="00A53AD7" w14:paraId="1B50B304" w14:textId="77777777" w:rsidTr="00A624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5"/>
        </w:trPr>
        <w:tc>
          <w:tcPr>
            <w:tcW w:w="1748" w:type="pct"/>
            <w:tcBorders>
              <w:left w:val="double" w:sz="4" w:space="0" w:color="auto"/>
              <w:bottom w:val="double" w:sz="4" w:space="0" w:color="auto"/>
            </w:tcBorders>
            <w:shd w:val="clear" w:color="auto" w:fill="auto"/>
            <w:vAlign w:val="center"/>
          </w:tcPr>
          <w:p w14:paraId="7DD0B5E9" w14:textId="77777777" w:rsidR="00872B4F" w:rsidRPr="00A53AD7" w:rsidRDefault="00872B4F" w:rsidP="0039742D">
            <w:pPr>
              <w:spacing w:after="0" w:line="240" w:lineRule="auto"/>
              <w:rPr>
                <w:rFonts w:ascii="Times New Roman" w:eastAsia="Times New Roman" w:hAnsi="Times New Roman"/>
                <w:sz w:val="16"/>
                <w:szCs w:val="16"/>
                <w:lang w:eastAsia="ru-RU"/>
              </w:rPr>
            </w:pPr>
          </w:p>
        </w:tc>
        <w:tc>
          <w:tcPr>
            <w:tcW w:w="444" w:type="pct"/>
            <w:tcBorders>
              <w:bottom w:val="double" w:sz="4" w:space="0" w:color="auto"/>
            </w:tcBorders>
            <w:shd w:val="clear" w:color="auto" w:fill="auto"/>
            <w:vAlign w:val="center"/>
          </w:tcPr>
          <w:p w14:paraId="4ADF94B2"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95,8</w:t>
            </w:r>
          </w:p>
        </w:tc>
        <w:tc>
          <w:tcPr>
            <w:tcW w:w="520" w:type="pct"/>
            <w:tcBorders>
              <w:bottom w:val="double" w:sz="4" w:space="0" w:color="auto"/>
            </w:tcBorders>
            <w:vAlign w:val="center"/>
          </w:tcPr>
          <w:p w14:paraId="7E583D9D"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87,0</w:t>
            </w:r>
          </w:p>
        </w:tc>
        <w:tc>
          <w:tcPr>
            <w:tcW w:w="447" w:type="pct"/>
            <w:tcBorders>
              <w:bottom w:val="double" w:sz="4" w:space="0" w:color="auto"/>
            </w:tcBorders>
            <w:vAlign w:val="center"/>
          </w:tcPr>
          <w:p w14:paraId="1A409EC8"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8,8</w:t>
            </w:r>
          </w:p>
        </w:tc>
        <w:tc>
          <w:tcPr>
            <w:tcW w:w="445" w:type="pct"/>
            <w:tcBorders>
              <w:bottom w:val="double" w:sz="4" w:space="0" w:color="auto"/>
            </w:tcBorders>
            <w:shd w:val="clear" w:color="auto" w:fill="auto"/>
            <w:vAlign w:val="center"/>
          </w:tcPr>
          <w:p w14:paraId="3C18241E"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95,8</w:t>
            </w:r>
          </w:p>
        </w:tc>
        <w:tc>
          <w:tcPr>
            <w:tcW w:w="447" w:type="pct"/>
            <w:tcBorders>
              <w:bottom w:val="double" w:sz="4" w:space="0" w:color="auto"/>
            </w:tcBorders>
            <w:shd w:val="clear" w:color="auto" w:fill="auto"/>
            <w:vAlign w:val="center"/>
          </w:tcPr>
          <w:p w14:paraId="052E54FD"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87,0</w:t>
            </w:r>
          </w:p>
        </w:tc>
        <w:tc>
          <w:tcPr>
            <w:tcW w:w="524" w:type="pct"/>
            <w:tcBorders>
              <w:bottom w:val="double" w:sz="4" w:space="0" w:color="auto"/>
              <w:right w:val="single" w:sz="4" w:space="0" w:color="auto"/>
            </w:tcBorders>
            <w:shd w:val="clear" w:color="auto" w:fill="auto"/>
            <w:vAlign w:val="center"/>
          </w:tcPr>
          <w:p w14:paraId="5D7F2954" w14:textId="77777777" w:rsidR="00872B4F" w:rsidRPr="00A53AD7" w:rsidRDefault="00872B4F" w:rsidP="0039742D">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8,8</w:t>
            </w:r>
          </w:p>
        </w:tc>
        <w:tc>
          <w:tcPr>
            <w:tcW w:w="426" w:type="pct"/>
            <w:tcBorders>
              <w:left w:val="single" w:sz="4" w:space="0" w:color="auto"/>
              <w:bottom w:val="double" w:sz="4" w:space="0" w:color="auto"/>
              <w:right w:val="double" w:sz="4" w:space="0" w:color="auto"/>
            </w:tcBorders>
            <w:vAlign w:val="center"/>
          </w:tcPr>
          <w:p w14:paraId="726156ED" w14:textId="77777777" w:rsidR="00872B4F" w:rsidRPr="00A53AD7" w:rsidRDefault="00872B4F" w:rsidP="0039742D">
            <w:pPr>
              <w:spacing w:after="0" w:line="240" w:lineRule="auto"/>
              <w:jc w:val="center"/>
              <w:rPr>
                <w:rFonts w:ascii="Times New Roman" w:eastAsia="Times New Roman" w:hAnsi="Times New Roman"/>
                <w:i/>
                <w:sz w:val="16"/>
                <w:szCs w:val="16"/>
                <w:lang w:eastAsia="ru-RU"/>
              </w:rPr>
            </w:pPr>
          </w:p>
        </w:tc>
      </w:tr>
    </w:tbl>
    <w:p w14:paraId="01F0701B" w14:textId="39DAC4F2" w:rsidR="0039742D" w:rsidRPr="00A53AD7" w:rsidRDefault="0039742D" w:rsidP="00872B4F">
      <w:pPr>
        <w:spacing w:after="0" w:line="240" w:lineRule="auto"/>
        <w:ind w:firstLine="851"/>
        <w:jc w:val="both"/>
        <w:rPr>
          <w:rFonts w:ascii="Times New Roman" w:hAnsi="Times New Roman"/>
          <w:sz w:val="28"/>
          <w:szCs w:val="28"/>
        </w:rPr>
      </w:pPr>
    </w:p>
    <w:p w14:paraId="00097283" w14:textId="5181F60C"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Средства в размере 3,1 млн.руб. направлены в виде субсидии в целях софинансирования из областного бюджета мероприятий по созданию научно-учебных лабораторий на базе общеобразовательных организаций по результатам конкурсных отборов на предоставление грантов из федерального бюджета в форме субсидий юридическим лицам в рамках реализации мероприятия «Реализация пилотных проектов по обновлению содержания и технологий дополнительного образования по приоритетным направлениям в рамках федерального проекта «Успех каждого ребенка» национального проекта «Образование» государственной программы Российской Федерации</w:t>
      </w:r>
      <w:r w:rsidR="008C2AC5" w:rsidRPr="00A53AD7">
        <w:rPr>
          <w:rFonts w:ascii="Times New Roman" w:hAnsi="Times New Roman"/>
          <w:sz w:val="28"/>
          <w:szCs w:val="28"/>
        </w:rPr>
        <w:t xml:space="preserve"> «Развитие образования».</w:t>
      </w:r>
    </w:p>
    <w:p w14:paraId="057AAFA3" w14:textId="199B9437"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реализации мероприятия «Создание детских технопарков «Квантор</w:t>
      </w:r>
      <w:r w:rsidR="008C2AC5" w:rsidRPr="00A53AD7">
        <w:rPr>
          <w:rFonts w:ascii="Times New Roman" w:hAnsi="Times New Roman"/>
          <w:sz w:val="28"/>
          <w:szCs w:val="28"/>
        </w:rPr>
        <w:t>иум» следует отметить следующее:</w:t>
      </w:r>
    </w:p>
    <w:p w14:paraId="4EB0B27C" w14:textId="3A36F5EE"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Соглашением о предоставлении субсидий из федерального бюджета бюджету Архангельской области на реализацию мероприятия «Создание детских технопарков «Кванториум» в рамках федерального проекта «Успех каждого ребенка» национального проекта «Образование» государственной программы Российской Федерации «Развитие образования» от 11.02.2019 № 073-08-2019-479 объем финансового обеспечения достижения результата регионального проекта</w:t>
      </w:r>
      <w:r w:rsidR="002851F7" w:rsidRPr="00A53AD7">
        <w:rPr>
          <w:rFonts w:ascii="Times New Roman" w:hAnsi="Times New Roman"/>
          <w:sz w:val="28"/>
          <w:szCs w:val="28"/>
        </w:rPr>
        <w:t xml:space="preserve"> в 2019 году составит 73,1 млн.</w:t>
      </w:r>
      <w:r w:rsidRPr="00A53AD7">
        <w:rPr>
          <w:rFonts w:ascii="Times New Roman" w:hAnsi="Times New Roman"/>
          <w:sz w:val="28"/>
          <w:szCs w:val="28"/>
        </w:rPr>
        <w:t>руб., в том числе за счет средств федерального бю</w:t>
      </w:r>
      <w:r w:rsidR="002851F7" w:rsidRPr="00A53AD7">
        <w:rPr>
          <w:rFonts w:ascii="Times New Roman" w:hAnsi="Times New Roman"/>
          <w:sz w:val="28"/>
          <w:szCs w:val="28"/>
        </w:rPr>
        <w:t>джета - 71,6 млн.руб., 1,5 млн.</w:t>
      </w:r>
      <w:r w:rsidRPr="00A53AD7">
        <w:rPr>
          <w:rFonts w:ascii="Times New Roman" w:hAnsi="Times New Roman"/>
          <w:sz w:val="28"/>
          <w:szCs w:val="28"/>
        </w:rPr>
        <w:t xml:space="preserve">руб. за счет средств субъекта. </w:t>
      </w:r>
      <w:r w:rsidRPr="00A53AD7">
        <w:rPr>
          <w:rFonts w:ascii="Times New Roman" w:hAnsi="Times New Roman"/>
          <w:sz w:val="28"/>
          <w:szCs w:val="28"/>
        </w:rPr>
        <w:tab/>
      </w:r>
    </w:p>
    <w:p w14:paraId="6BBC29B4" w14:textId="23AAF524"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соответствии с условиями Соглашения от 11.02.2019 № 073-08-2019-479 Госпрограмма Архангельской области дополнена мероприятием пункта 2.4. «Создание детского технопарка «Кванториум» в рамках федерального проекта «Успех каждого ребенка» национального проекта «Образование» подпрограммы 1 «Развитие общего и дополнительного образования» госпрограммы». </w:t>
      </w:r>
    </w:p>
    <w:p w14:paraId="2C98E111" w14:textId="332EE99A"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реализацию мероприятия «Создание детского технопарка «Кванториум» в 2019 году госпрограммой предусмотрено 116,1 млн.руб. (71,6 </w:t>
      </w:r>
      <w:r w:rsidR="00A62497" w:rsidRPr="00A53AD7">
        <w:rPr>
          <w:rFonts w:ascii="Times New Roman" w:hAnsi="Times New Roman"/>
          <w:sz w:val="28"/>
          <w:szCs w:val="28"/>
        </w:rPr>
        <w:t>млн.</w:t>
      </w:r>
      <w:r w:rsidRPr="00A53AD7">
        <w:rPr>
          <w:rFonts w:ascii="Times New Roman" w:hAnsi="Times New Roman"/>
          <w:sz w:val="28"/>
          <w:szCs w:val="28"/>
        </w:rPr>
        <w:t xml:space="preserve">руб. – средства </w:t>
      </w:r>
      <w:r w:rsidR="00A62497" w:rsidRPr="00A53AD7">
        <w:rPr>
          <w:rFonts w:ascii="Times New Roman" w:hAnsi="Times New Roman"/>
          <w:sz w:val="28"/>
          <w:szCs w:val="28"/>
        </w:rPr>
        <w:t>федерального бюджета, 11,0 млн.</w:t>
      </w:r>
      <w:r w:rsidRPr="00A53AD7">
        <w:rPr>
          <w:rFonts w:ascii="Times New Roman" w:hAnsi="Times New Roman"/>
          <w:sz w:val="28"/>
          <w:szCs w:val="28"/>
        </w:rPr>
        <w:t xml:space="preserve">руб. </w:t>
      </w:r>
      <w:r w:rsidR="00A62497" w:rsidRPr="00A53AD7">
        <w:rPr>
          <w:rFonts w:ascii="Times New Roman" w:hAnsi="Times New Roman"/>
          <w:sz w:val="28"/>
          <w:szCs w:val="28"/>
        </w:rPr>
        <w:t>– областного бюджета, 23,2 млн.</w:t>
      </w:r>
      <w:r w:rsidRPr="00A53AD7">
        <w:rPr>
          <w:rFonts w:ascii="Times New Roman" w:hAnsi="Times New Roman"/>
          <w:sz w:val="28"/>
          <w:szCs w:val="28"/>
        </w:rPr>
        <w:t>руб. – средс</w:t>
      </w:r>
      <w:r w:rsidR="00A62497" w:rsidRPr="00A53AD7">
        <w:rPr>
          <w:rFonts w:ascii="Times New Roman" w:hAnsi="Times New Roman"/>
          <w:sz w:val="28"/>
          <w:szCs w:val="28"/>
        </w:rPr>
        <w:t>тва местных бюджетов, 10,3 млн.</w:t>
      </w:r>
      <w:r w:rsidRPr="00A53AD7">
        <w:rPr>
          <w:rFonts w:ascii="Times New Roman" w:hAnsi="Times New Roman"/>
          <w:sz w:val="28"/>
          <w:szCs w:val="28"/>
        </w:rPr>
        <w:t>руб. – внебюдж. средства), что не соответствует объему финансового обеспечения на 2019 год – 106,5 млн.руб., предусмотренного паспортом регионального проекта.</w:t>
      </w:r>
    </w:p>
    <w:p w14:paraId="7FFF1A9F" w14:textId="33AF3073"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Архангельской области детский технопарк «Кванториум» создан в городе Северодвинске на базе муниципального бюджетного образовательного учреждения дополнительного образования «Центр юношеского научно-технического творчества» (далее – ЦЮНТТ). Устав муниципального автономного образовательного учреждения дополнительного образования «Северный детский технопарк «Кванториум» утвержден распоряжением муниципального казенного учреждения «Управления образования Администрации Северодвинска» от 11.03.2019 № 43-р. Заявка от Архангельской области на создание детского технопарка «Кванториум» в городе Северодвинске на базе ЦЮНТТ прошла отбор в Министерстве просвещения Российской Федерации на предоставление субсидии из федерального бюджета в рамках реализации федерального проекта «Успех каждого ребенка» национального проекта «Образование».</w:t>
      </w:r>
    </w:p>
    <w:p w14:paraId="78AD309B" w14:textId="77777777"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Выбор города и учреждения для создания «Кванториума» при подаче Архангельской областью заявки для конкурсного отбора в определен без применения утвержденного постановлением Правительства Архангельской области от 12.10.2012 № 463-пп Положения о порядке и условиях предоставления субсидий из областного бюджета бюджетам муниципальных районов и городских округов Архангельской области на создание детского технопарка «Кванториум».</w:t>
      </w:r>
    </w:p>
    <w:p w14:paraId="272EAB69" w14:textId="77777777"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выполнении целевых показателей госпрограммы, в рамках реализации регионального проекта «Успех каждого ребенка» приведен в таблице:</w:t>
      </w:r>
    </w:p>
    <w:tbl>
      <w:tblPr>
        <w:tblW w:w="936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813"/>
        <w:gridCol w:w="1192"/>
        <w:gridCol w:w="1549"/>
        <w:gridCol w:w="1394"/>
        <w:gridCol w:w="1414"/>
      </w:tblGrid>
      <w:tr w:rsidR="00D470B6" w:rsidRPr="00A53AD7" w14:paraId="36FFC2AA" w14:textId="77777777" w:rsidTr="00872B4F">
        <w:trPr>
          <w:trHeight w:val="1245"/>
          <w:tblHeader/>
        </w:trPr>
        <w:tc>
          <w:tcPr>
            <w:tcW w:w="3813" w:type="dxa"/>
            <w:shd w:val="clear" w:color="auto" w:fill="auto"/>
          </w:tcPr>
          <w:p w14:paraId="7F67FB49"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Наименование показателя</w:t>
            </w:r>
          </w:p>
        </w:tc>
        <w:tc>
          <w:tcPr>
            <w:tcW w:w="1192" w:type="dxa"/>
          </w:tcPr>
          <w:p w14:paraId="5320147B"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Единица измерения</w:t>
            </w:r>
          </w:p>
        </w:tc>
        <w:tc>
          <w:tcPr>
            <w:tcW w:w="1549" w:type="dxa"/>
            <w:shd w:val="clear" w:color="auto" w:fill="auto"/>
          </w:tcPr>
          <w:p w14:paraId="10BEA15B"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Значение, утвержденное на 2019 год Паспортом регионального проекта «Успех каждого ребенка на территории Архангельской области»</w:t>
            </w:r>
          </w:p>
        </w:tc>
        <w:tc>
          <w:tcPr>
            <w:tcW w:w="1394" w:type="dxa"/>
            <w:shd w:val="clear" w:color="auto" w:fill="auto"/>
          </w:tcPr>
          <w:p w14:paraId="7C40DE65"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Значение, утвержденное на 2019 год госпрограммой Архангельской области</w:t>
            </w:r>
          </w:p>
        </w:tc>
        <w:tc>
          <w:tcPr>
            <w:tcW w:w="1414" w:type="dxa"/>
          </w:tcPr>
          <w:p w14:paraId="5FA0CDB0" w14:textId="284C4324"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Степень достижения, показателей, % </w:t>
            </w:r>
          </w:p>
        </w:tc>
      </w:tr>
      <w:tr w:rsidR="00D470B6" w:rsidRPr="00A53AD7" w14:paraId="3090746E" w14:textId="77777777" w:rsidTr="00872B4F">
        <w:trPr>
          <w:trHeight w:val="268"/>
        </w:trPr>
        <w:tc>
          <w:tcPr>
            <w:tcW w:w="3813" w:type="dxa"/>
            <w:shd w:val="clear" w:color="auto" w:fill="auto"/>
            <w:vAlign w:val="center"/>
          </w:tcPr>
          <w:p w14:paraId="635D86F0" w14:textId="77777777" w:rsidR="00872B4F" w:rsidRPr="00A53AD7" w:rsidRDefault="00872B4F" w:rsidP="0039742D">
            <w:pPr>
              <w:spacing w:after="0" w:line="240" w:lineRule="auto"/>
              <w:rPr>
                <w:rFonts w:ascii="Times New Roman" w:eastAsia="Times New Roman" w:hAnsi="Times New Roman"/>
                <w:b/>
                <w:sz w:val="18"/>
                <w:szCs w:val="18"/>
                <w:lang w:eastAsia="ru-RU"/>
              </w:rPr>
            </w:pPr>
            <w:r w:rsidRPr="00A53AD7">
              <w:rPr>
                <w:rFonts w:ascii="Times New Roman" w:eastAsia="Times New Roman" w:hAnsi="Times New Roman"/>
                <w:sz w:val="18"/>
                <w:szCs w:val="18"/>
                <w:lang w:eastAsia="ru-RU"/>
              </w:rPr>
              <w:t xml:space="preserve">Доля детей в возрасте от 5 до 18 лет, охваченных дополнительным образованием </w:t>
            </w:r>
          </w:p>
        </w:tc>
        <w:tc>
          <w:tcPr>
            <w:tcW w:w="1192" w:type="dxa"/>
            <w:vAlign w:val="center"/>
          </w:tcPr>
          <w:p w14:paraId="160E9C7A"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Процент</w:t>
            </w:r>
          </w:p>
        </w:tc>
        <w:tc>
          <w:tcPr>
            <w:tcW w:w="1549" w:type="dxa"/>
            <w:shd w:val="clear" w:color="auto" w:fill="auto"/>
            <w:vAlign w:val="center"/>
          </w:tcPr>
          <w:p w14:paraId="4995AE64"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72</w:t>
            </w:r>
          </w:p>
        </w:tc>
        <w:tc>
          <w:tcPr>
            <w:tcW w:w="1394" w:type="dxa"/>
            <w:shd w:val="clear" w:color="auto" w:fill="auto"/>
            <w:vAlign w:val="center"/>
          </w:tcPr>
          <w:p w14:paraId="0E500367"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72</w:t>
            </w:r>
          </w:p>
        </w:tc>
        <w:tc>
          <w:tcPr>
            <w:tcW w:w="1414" w:type="dxa"/>
            <w:vAlign w:val="center"/>
          </w:tcPr>
          <w:p w14:paraId="2E9F4E6D"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r>
      <w:tr w:rsidR="00D470B6" w:rsidRPr="00A53AD7" w14:paraId="081539EC" w14:textId="77777777" w:rsidTr="00872B4F">
        <w:tc>
          <w:tcPr>
            <w:tcW w:w="3813" w:type="dxa"/>
            <w:shd w:val="clear" w:color="auto" w:fill="auto"/>
            <w:vAlign w:val="center"/>
          </w:tcPr>
          <w:p w14:paraId="1FF11CA2" w14:textId="77777777" w:rsidR="00872B4F" w:rsidRPr="00A53AD7" w:rsidRDefault="00872B4F" w:rsidP="0039742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Число детей, охваченных деятельностью детских технопарков "Кванториум" (мобильных технопарков "Кванториум") и других проектов, направленных на обеспечение доступности дополнительных общеобразовательных программ естественнонаучной и технической направленностей, соответствующих приоритетным направлениям технологического развития Российской Федерации</w:t>
            </w:r>
          </w:p>
        </w:tc>
        <w:tc>
          <w:tcPr>
            <w:tcW w:w="1192" w:type="dxa"/>
            <w:vAlign w:val="center"/>
          </w:tcPr>
          <w:p w14:paraId="7FE438C2"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Тысяча человек</w:t>
            </w:r>
          </w:p>
        </w:tc>
        <w:tc>
          <w:tcPr>
            <w:tcW w:w="1549" w:type="dxa"/>
            <w:shd w:val="clear" w:color="auto" w:fill="auto"/>
            <w:vAlign w:val="center"/>
          </w:tcPr>
          <w:p w14:paraId="7162565F"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4,0</w:t>
            </w:r>
          </w:p>
        </w:tc>
        <w:tc>
          <w:tcPr>
            <w:tcW w:w="1394" w:type="dxa"/>
            <w:shd w:val="clear" w:color="auto" w:fill="auto"/>
            <w:vAlign w:val="center"/>
          </w:tcPr>
          <w:p w14:paraId="649869EE"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0,8</w:t>
            </w:r>
          </w:p>
        </w:tc>
        <w:tc>
          <w:tcPr>
            <w:tcW w:w="1414" w:type="dxa"/>
            <w:vAlign w:val="center"/>
          </w:tcPr>
          <w:p w14:paraId="4624AD32"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r>
      <w:tr w:rsidR="00872B4F" w:rsidRPr="00A53AD7" w14:paraId="1B95E357" w14:textId="77777777" w:rsidTr="00872B4F">
        <w:tc>
          <w:tcPr>
            <w:tcW w:w="3813" w:type="dxa"/>
            <w:shd w:val="clear" w:color="auto" w:fill="auto"/>
            <w:vAlign w:val="center"/>
          </w:tcPr>
          <w:p w14:paraId="2B1FFCA6" w14:textId="77777777" w:rsidR="00872B4F" w:rsidRPr="00A53AD7" w:rsidRDefault="00872B4F" w:rsidP="0039742D">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Число участников открытых онлайн-уроков, реализуемых с учетом опыта цикла открытых уроков "Проектория", "Уроки настоящего" или иных аналогичных по возможностям, функциям и результатам проектов, направленных на раннюю профориентацию</w:t>
            </w:r>
          </w:p>
        </w:tc>
        <w:tc>
          <w:tcPr>
            <w:tcW w:w="1192" w:type="dxa"/>
            <w:vAlign w:val="center"/>
          </w:tcPr>
          <w:p w14:paraId="052C40C1"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Миллион человек</w:t>
            </w:r>
          </w:p>
        </w:tc>
        <w:tc>
          <w:tcPr>
            <w:tcW w:w="1549" w:type="dxa"/>
            <w:shd w:val="clear" w:color="auto" w:fill="auto"/>
            <w:vAlign w:val="center"/>
          </w:tcPr>
          <w:p w14:paraId="0DBCD46E"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0,0315</w:t>
            </w:r>
          </w:p>
        </w:tc>
        <w:tc>
          <w:tcPr>
            <w:tcW w:w="1394" w:type="dxa"/>
            <w:shd w:val="clear" w:color="auto" w:fill="auto"/>
            <w:vAlign w:val="center"/>
          </w:tcPr>
          <w:p w14:paraId="202E28CD"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0,0316</w:t>
            </w:r>
          </w:p>
        </w:tc>
        <w:tc>
          <w:tcPr>
            <w:tcW w:w="1414" w:type="dxa"/>
            <w:vAlign w:val="center"/>
          </w:tcPr>
          <w:p w14:paraId="25DFF3BA" w14:textId="77777777" w:rsidR="00872B4F" w:rsidRPr="00A53AD7" w:rsidRDefault="00872B4F" w:rsidP="0039742D">
            <w:pPr>
              <w:spacing w:after="0" w:line="240" w:lineRule="auto"/>
              <w:jc w:val="center"/>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100</w:t>
            </w:r>
          </w:p>
        </w:tc>
      </w:tr>
    </w:tbl>
    <w:p w14:paraId="06F4FE81" w14:textId="77777777" w:rsidR="00A62497" w:rsidRPr="00A53AD7" w:rsidRDefault="00A62497" w:rsidP="00872B4F">
      <w:pPr>
        <w:spacing w:after="0" w:line="240" w:lineRule="auto"/>
        <w:ind w:firstLine="851"/>
        <w:jc w:val="both"/>
        <w:rPr>
          <w:rFonts w:ascii="Times New Roman" w:hAnsi="Times New Roman"/>
          <w:sz w:val="28"/>
          <w:szCs w:val="28"/>
        </w:rPr>
      </w:pPr>
    </w:p>
    <w:p w14:paraId="603F3FFE" w14:textId="113E522D"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значение целевого показателя госпрограммы не соответствуют паспорту регионального п</w:t>
      </w:r>
      <w:r w:rsidR="00872B4F" w:rsidRPr="00A53AD7">
        <w:rPr>
          <w:rFonts w:ascii="Times New Roman" w:hAnsi="Times New Roman"/>
          <w:sz w:val="28"/>
          <w:szCs w:val="28"/>
        </w:rPr>
        <w:t>роекта «Успех каждого ребенка».</w:t>
      </w:r>
    </w:p>
    <w:p w14:paraId="7586E6BC" w14:textId="1FB37424" w:rsidR="0039742D" w:rsidRPr="00A53AD7" w:rsidRDefault="0039742D" w:rsidP="00872B4F">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реализации мероприятия «Создание детских технопарков «Кванториум» следует отметить следующее. В соответствии с Планом реализации мероприятий госпрограммы открытие «Кванториума» в городе Северодвинск запланировано 30.09.2019. Срок открытия перенесен на 30.12.2019 в связи с переносом единого дня открытия технопарков «Кванториум» в субъектах Российской Федерации.</w:t>
      </w:r>
    </w:p>
    <w:p w14:paraId="4DEC001B" w14:textId="699F2C6D" w:rsidR="00A62497" w:rsidRPr="00A53AD7" w:rsidRDefault="00A62497" w:rsidP="00A62497">
      <w:pPr>
        <w:keepNext/>
        <w:spacing w:before="240" w:after="60" w:line="240" w:lineRule="auto"/>
        <w:jc w:val="center"/>
        <w:outlineLvl w:val="2"/>
        <w:rPr>
          <w:rFonts w:ascii="Times New Roman" w:eastAsia="Times New Roman" w:hAnsi="Times New Roman"/>
          <w:bCs/>
          <w:sz w:val="28"/>
          <w:szCs w:val="28"/>
          <w:u w:val="single"/>
          <w:lang w:eastAsia="ru-RU"/>
        </w:rPr>
      </w:pPr>
      <w:bookmarkStart w:id="116" w:name="_Toc42006755"/>
      <w:r w:rsidRPr="00A53AD7">
        <w:rPr>
          <w:rFonts w:ascii="Times New Roman" w:eastAsia="Times New Roman" w:hAnsi="Times New Roman"/>
          <w:bCs/>
          <w:sz w:val="28"/>
          <w:szCs w:val="28"/>
          <w:u w:val="single"/>
          <w:lang w:eastAsia="ru-RU"/>
        </w:rPr>
        <w:t>4.6.10. Национальный проект «Демография»</w:t>
      </w:r>
      <w:bookmarkEnd w:id="116"/>
    </w:p>
    <w:p w14:paraId="37447A10" w14:textId="77777777"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реализацию национального проекта «Демография» направлены 5 федеральных и 5 соответствующих им областных региональных проектов:</w:t>
      </w:r>
    </w:p>
    <w:p w14:paraId="590B9BC4"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«Финансовая поддержка семей при рождении детей»;</w:t>
      </w:r>
    </w:p>
    <w:p w14:paraId="2D6393E2"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«Содействие занятости женщин - создание условий дошкольного образования для детей в возрасте до трех лет»;</w:t>
      </w:r>
    </w:p>
    <w:p w14:paraId="602D0B3C"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«Разработка и реализация программы системной поддержки и повышения качества жизни граждан старшего поколения»;</w:t>
      </w:r>
    </w:p>
    <w:p w14:paraId="3B14D73C"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«Формирование системы мотивации граждан к здоровому образу жизни, включая здоровое питание и отказ от вредных привычек»;</w:t>
      </w:r>
    </w:p>
    <w:p w14:paraId="2991FBDB"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14:paraId="3756EE80" w14:textId="765C0511" w:rsidR="00E37C61" w:rsidRPr="00A53AD7" w:rsidRDefault="00E37C61" w:rsidP="00E37C6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региональных про</w:t>
      </w:r>
      <w:r w:rsidR="0019120D" w:rsidRPr="00A53AD7">
        <w:rPr>
          <w:rFonts w:ascii="Times New Roman" w:hAnsi="Times New Roman"/>
          <w:sz w:val="28"/>
          <w:szCs w:val="28"/>
        </w:rPr>
        <w:t>е</w:t>
      </w:r>
      <w:r w:rsidRPr="00A53AD7">
        <w:rPr>
          <w:rFonts w:ascii="Times New Roman" w:hAnsi="Times New Roman"/>
          <w:sz w:val="28"/>
          <w:szCs w:val="28"/>
        </w:rPr>
        <w:t>ктов Н</w:t>
      </w:r>
      <w:r w:rsidR="00D6138F" w:rsidRPr="00A53AD7">
        <w:rPr>
          <w:rFonts w:ascii="Times New Roman" w:hAnsi="Times New Roman"/>
          <w:sz w:val="28"/>
          <w:szCs w:val="28"/>
        </w:rPr>
        <w:t>П</w:t>
      </w:r>
      <w:r w:rsidRPr="00A53AD7">
        <w:rPr>
          <w:rFonts w:ascii="Times New Roman" w:hAnsi="Times New Roman"/>
          <w:sz w:val="28"/>
          <w:szCs w:val="28"/>
        </w:rPr>
        <w:t xml:space="preserve"> «Демография» в рамках следующих государственных программам Архангельской области: </w:t>
      </w:r>
    </w:p>
    <w:tbl>
      <w:tblPr>
        <w:tblW w:w="9356" w:type="dxa"/>
        <w:tblInd w:w="-23" w:type="dxa"/>
        <w:tblLook w:val="04A0" w:firstRow="1" w:lastRow="0" w:firstColumn="1" w:lastColumn="0" w:noHBand="0" w:noVBand="1"/>
      </w:tblPr>
      <w:tblGrid>
        <w:gridCol w:w="5103"/>
        <w:gridCol w:w="4253"/>
      </w:tblGrid>
      <w:tr w:rsidR="00D470B6" w:rsidRPr="00A53AD7" w14:paraId="2E10AFCC" w14:textId="77777777" w:rsidTr="00E37C61">
        <w:trPr>
          <w:trHeight w:val="540"/>
          <w:tblHeader/>
        </w:trPr>
        <w:tc>
          <w:tcPr>
            <w:tcW w:w="5103"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1D08649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регионального проекта</w:t>
            </w:r>
          </w:p>
        </w:tc>
        <w:tc>
          <w:tcPr>
            <w:tcW w:w="4253" w:type="dxa"/>
            <w:tcBorders>
              <w:top w:val="double" w:sz="6" w:space="0" w:color="auto"/>
              <w:left w:val="nil"/>
              <w:bottom w:val="single" w:sz="4" w:space="0" w:color="auto"/>
              <w:right w:val="double" w:sz="6" w:space="0" w:color="auto"/>
            </w:tcBorders>
            <w:shd w:val="clear" w:color="auto" w:fill="auto"/>
            <w:vAlign w:val="center"/>
            <w:hideMark/>
          </w:tcPr>
          <w:p w14:paraId="6606CDC3"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Связь регионального проекта с государственной программой Архангельской области</w:t>
            </w:r>
          </w:p>
        </w:tc>
      </w:tr>
      <w:tr w:rsidR="00D470B6" w:rsidRPr="00A53AD7" w14:paraId="27B8E7BC" w14:textId="77777777" w:rsidTr="00E37C61">
        <w:trPr>
          <w:trHeight w:val="792"/>
        </w:trPr>
        <w:tc>
          <w:tcPr>
            <w:tcW w:w="5103" w:type="dxa"/>
            <w:tcBorders>
              <w:top w:val="nil"/>
              <w:left w:val="double" w:sz="6" w:space="0" w:color="auto"/>
              <w:bottom w:val="single" w:sz="4" w:space="0" w:color="auto"/>
              <w:right w:val="single" w:sz="4" w:space="0" w:color="auto"/>
            </w:tcBorders>
            <w:shd w:val="clear" w:color="auto" w:fill="auto"/>
            <w:vAlign w:val="center"/>
            <w:hideMark/>
          </w:tcPr>
          <w:p w14:paraId="5134E58C"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Финансовая поддержка семей при рождении детей. Срок реализации: 01.01.2019 – 31.12.2024</w:t>
            </w:r>
          </w:p>
        </w:tc>
        <w:tc>
          <w:tcPr>
            <w:tcW w:w="4253" w:type="dxa"/>
            <w:tcBorders>
              <w:top w:val="nil"/>
              <w:left w:val="nil"/>
              <w:bottom w:val="single" w:sz="4" w:space="0" w:color="auto"/>
              <w:right w:val="double" w:sz="6" w:space="0" w:color="auto"/>
            </w:tcBorders>
            <w:shd w:val="clear" w:color="auto" w:fill="auto"/>
            <w:vAlign w:val="center"/>
            <w:hideMark/>
          </w:tcPr>
          <w:p w14:paraId="75570DCA"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Государственная программа Архангельская области «Социальная поддержка граждан в Архангельской области» (далее-госпрограмма) </w:t>
            </w:r>
          </w:p>
        </w:tc>
      </w:tr>
      <w:tr w:rsidR="00D470B6" w:rsidRPr="00A53AD7" w14:paraId="6FF2AA9D" w14:textId="77777777" w:rsidTr="00E37C61">
        <w:trPr>
          <w:trHeight w:val="792"/>
        </w:trPr>
        <w:tc>
          <w:tcPr>
            <w:tcW w:w="5103" w:type="dxa"/>
            <w:tcBorders>
              <w:top w:val="nil"/>
              <w:left w:val="double" w:sz="6" w:space="0" w:color="auto"/>
              <w:bottom w:val="single" w:sz="4" w:space="0" w:color="auto"/>
              <w:right w:val="single" w:sz="4" w:space="0" w:color="auto"/>
            </w:tcBorders>
            <w:shd w:val="clear" w:color="auto" w:fill="auto"/>
            <w:vAlign w:val="center"/>
            <w:hideMark/>
          </w:tcPr>
          <w:p w14:paraId="7B9ED9C1"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Содействие занятости женщин - создание условий дошкольного образования для детей в возрасте до трех лет. Срок реализации: 01.01.2019 – 31.12.2024</w:t>
            </w:r>
          </w:p>
        </w:tc>
        <w:tc>
          <w:tcPr>
            <w:tcW w:w="4253" w:type="dxa"/>
            <w:tcBorders>
              <w:top w:val="nil"/>
              <w:left w:val="nil"/>
              <w:bottom w:val="single" w:sz="4" w:space="0" w:color="auto"/>
              <w:right w:val="double" w:sz="6" w:space="0" w:color="auto"/>
            </w:tcBorders>
            <w:shd w:val="clear" w:color="auto" w:fill="auto"/>
            <w:vAlign w:val="center"/>
            <w:hideMark/>
          </w:tcPr>
          <w:p w14:paraId="1814C5BD"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Государственная программа Архангельской области «Развитие образования и науки Архангельской области» </w:t>
            </w:r>
          </w:p>
        </w:tc>
      </w:tr>
      <w:tr w:rsidR="00D470B6" w:rsidRPr="00A53AD7" w14:paraId="1B5DBBBF" w14:textId="77777777" w:rsidTr="00E37C61">
        <w:trPr>
          <w:trHeight w:val="864"/>
        </w:trPr>
        <w:tc>
          <w:tcPr>
            <w:tcW w:w="5103" w:type="dxa"/>
            <w:tcBorders>
              <w:top w:val="nil"/>
              <w:left w:val="double" w:sz="6" w:space="0" w:color="auto"/>
              <w:bottom w:val="single" w:sz="4" w:space="0" w:color="auto"/>
              <w:right w:val="single" w:sz="4" w:space="0" w:color="auto"/>
            </w:tcBorders>
            <w:shd w:val="clear" w:color="auto" w:fill="auto"/>
            <w:vAlign w:val="center"/>
            <w:hideMark/>
          </w:tcPr>
          <w:p w14:paraId="4B8849C3"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Разработка и реализация программы системной поддержки и повышения качества жизни граждан старшего поколения. Срок реализации: 01.01.2019 – 31.12.2024</w:t>
            </w:r>
          </w:p>
        </w:tc>
        <w:tc>
          <w:tcPr>
            <w:tcW w:w="4253" w:type="dxa"/>
            <w:tcBorders>
              <w:top w:val="nil"/>
              <w:left w:val="nil"/>
              <w:bottom w:val="single" w:sz="4" w:space="0" w:color="auto"/>
              <w:right w:val="double" w:sz="6" w:space="0" w:color="auto"/>
            </w:tcBorders>
            <w:shd w:val="clear" w:color="auto" w:fill="auto"/>
            <w:vAlign w:val="center"/>
            <w:hideMark/>
          </w:tcPr>
          <w:p w14:paraId="46829A14"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Государственная программа Архангельская области «Развитие здравоохранения Архангельской области» </w:t>
            </w:r>
          </w:p>
        </w:tc>
      </w:tr>
      <w:tr w:rsidR="00E37C61" w:rsidRPr="00A53AD7" w14:paraId="2CD41190" w14:textId="77777777" w:rsidTr="00D6138F">
        <w:trPr>
          <w:trHeight w:val="1443"/>
        </w:trPr>
        <w:tc>
          <w:tcPr>
            <w:tcW w:w="5103" w:type="dxa"/>
            <w:tcBorders>
              <w:top w:val="nil"/>
              <w:left w:val="double" w:sz="6" w:space="0" w:color="auto"/>
              <w:bottom w:val="double" w:sz="6" w:space="0" w:color="auto"/>
              <w:right w:val="single" w:sz="4" w:space="0" w:color="auto"/>
            </w:tcBorders>
            <w:shd w:val="clear" w:color="auto" w:fill="auto"/>
            <w:vAlign w:val="center"/>
            <w:hideMark/>
          </w:tcPr>
          <w:p w14:paraId="75F856FD"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 Срок реализации: 01.01.2019 – 31.12.2024</w:t>
            </w:r>
          </w:p>
        </w:tc>
        <w:tc>
          <w:tcPr>
            <w:tcW w:w="4253" w:type="dxa"/>
            <w:tcBorders>
              <w:top w:val="nil"/>
              <w:left w:val="nil"/>
              <w:bottom w:val="double" w:sz="6" w:space="0" w:color="auto"/>
              <w:right w:val="double" w:sz="6" w:space="0" w:color="auto"/>
            </w:tcBorders>
            <w:shd w:val="clear" w:color="auto" w:fill="auto"/>
            <w:vAlign w:val="center"/>
            <w:hideMark/>
          </w:tcPr>
          <w:p w14:paraId="532E287C"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Государственная программа Архангельская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(2014 - 2024 годы) </w:t>
            </w:r>
          </w:p>
        </w:tc>
      </w:tr>
    </w:tbl>
    <w:p w14:paraId="5EB28618" w14:textId="77777777" w:rsidR="00E37C61" w:rsidRPr="00A53AD7" w:rsidRDefault="00E37C61" w:rsidP="00E37C61">
      <w:pPr>
        <w:spacing w:after="0" w:line="240" w:lineRule="auto"/>
        <w:ind w:firstLine="851"/>
        <w:jc w:val="both"/>
        <w:rPr>
          <w:rFonts w:ascii="Times New Roman" w:hAnsi="Times New Roman"/>
          <w:sz w:val="28"/>
          <w:szCs w:val="28"/>
        </w:rPr>
      </w:pPr>
    </w:p>
    <w:p w14:paraId="01CF3D2F" w14:textId="7B641C05" w:rsidR="00E37C61" w:rsidRPr="00A53AD7" w:rsidRDefault="00E37C61" w:rsidP="00E37C61">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Основные цели, показатели региональных проектов на 2019 год, а также отчетные данные, отраженные на портале «Электронный бюджет» (по состоянию на 21.05.2020) за указанный период представлены ниже в таблице:</w:t>
      </w:r>
    </w:p>
    <w:tbl>
      <w:tblPr>
        <w:tblW w:w="9328" w:type="dxa"/>
        <w:tblInd w:w="-23" w:type="dxa"/>
        <w:tblLook w:val="04A0" w:firstRow="1" w:lastRow="0" w:firstColumn="1" w:lastColumn="0" w:noHBand="0" w:noVBand="1"/>
      </w:tblPr>
      <w:tblGrid>
        <w:gridCol w:w="3261"/>
        <w:gridCol w:w="1029"/>
        <w:gridCol w:w="1071"/>
        <w:gridCol w:w="1116"/>
        <w:gridCol w:w="965"/>
        <w:gridCol w:w="1100"/>
        <w:gridCol w:w="786"/>
      </w:tblGrid>
      <w:tr w:rsidR="00D470B6" w:rsidRPr="00A53AD7" w14:paraId="25835DBB" w14:textId="77777777" w:rsidTr="00D6138F">
        <w:trPr>
          <w:trHeight w:val="470"/>
          <w:tblHeader/>
        </w:trPr>
        <w:tc>
          <w:tcPr>
            <w:tcW w:w="32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66AEE3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показателя</w:t>
            </w:r>
          </w:p>
        </w:tc>
        <w:tc>
          <w:tcPr>
            <w:tcW w:w="102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F41B263"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 изм.</w:t>
            </w:r>
          </w:p>
        </w:tc>
        <w:tc>
          <w:tcPr>
            <w:tcW w:w="2187" w:type="dxa"/>
            <w:gridSpan w:val="2"/>
            <w:tcBorders>
              <w:top w:val="double" w:sz="6" w:space="0" w:color="auto"/>
              <w:left w:val="nil"/>
              <w:bottom w:val="single" w:sz="4" w:space="0" w:color="auto"/>
              <w:right w:val="single" w:sz="4" w:space="0" w:color="auto"/>
            </w:tcBorders>
            <w:shd w:val="clear" w:color="auto" w:fill="auto"/>
            <w:vAlign w:val="center"/>
            <w:hideMark/>
          </w:tcPr>
          <w:p w14:paraId="26655AD8"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Базовое значение</w:t>
            </w:r>
          </w:p>
        </w:tc>
        <w:tc>
          <w:tcPr>
            <w:tcW w:w="965"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95AE7B0"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 на 2019 год</w:t>
            </w:r>
          </w:p>
        </w:tc>
        <w:tc>
          <w:tcPr>
            <w:tcW w:w="1886" w:type="dxa"/>
            <w:gridSpan w:val="2"/>
            <w:tcBorders>
              <w:top w:val="double" w:sz="6" w:space="0" w:color="auto"/>
              <w:left w:val="nil"/>
              <w:bottom w:val="single" w:sz="4" w:space="0" w:color="auto"/>
              <w:right w:val="double" w:sz="6" w:space="0" w:color="000000"/>
            </w:tcBorders>
            <w:shd w:val="clear" w:color="auto" w:fill="auto"/>
            <w:vAlign w:val="center"/>
            <w:hideMark/>
          </w:tcPr>
          <w:p w14:paraId="4F770EE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 за 2019 год</w:t>
            </w:r>
          </w:p>
        </w:tc>
      </w:tr>
      <w:tr w:rsidR="00D470B6" w:rsidRPr="00A53AD7" w14:paraId="4B393706" w14:textId="77777777" w:rsidTr="00D6138F">
        <w:trPr>
          <w:trHeight w:val="288"/>
          <w:tblHeader/>
        </w:trPr>
        <w:tc>
          <w:tcPr>
            <w:tcW w:w="3261" w:type="dxa"/>
            <w:vMerge/>
            <w:tcBorders>
              <w:top w:val="double" w:sz="6" w:space="0" w:color="auto"/>
              <w:left w:val="double" w:sz="6" w:space="0" w:color="auto"/>
              <w:bottom w:val="single" w:sz="4" w:space="0" w:color="auto"/>
              <w:right w:val="single" w:sz="4" w:space="0" w:color="auto"/>
            </w:tcBorders>
            <w:vAlign w:val="center"/>
            <w:hideMark/>
          </w:tcPr>
          <w:p w14:paraId="3BAF900C" w14:textId="77777777" w:rsidR="00E37C61" w:rsidRPr="00A53AD7" w:rsidRDefault="00E37C61" w:rsidP="00E37C61">
            <w:pPr>
              <w:spacing w:after="0" w:line="240" w:lineRule="auto"/>
              <w:rPr>
                <w:rFonts w:ascii="Times New Roman" w:eastAsia="Times New Roman" w:hAnsi="Times New Roman"/>
                <w:sz w:val="20"/>
                <w:szCs w:val="20"/>
                <w:lang w:eastAsia="ru-RU"/>
              </w:rPr>
            </w:pPr>
          </w:p>
        </w:tc>
        <w:tc>
          <w:tcPr>
            <w:tcW w:w="1029" w:type="dxa"/>
            <w:vMerge/>
            <w:tcBorders>
              <w:top w:val="double" w:sz="6" w:space="0" w:color="auto"/>
              <w:left w:val="single" w:sz="4" w:space="0" w:color="auto"/>
              <w:bottom w:val="single" w:sz="4" w:space="0" w:color="auto"/>
              <w:right w:val="single" w:sz="4" w:space="0" w:color="auto"/>
            </w:tcBorders>
            <w:vAlign w:val="center"/>
            <w:hideMark/>
          </w:tcPr>
          <w:p w14:paraId="5935F047" w14:textId="77777777" w:rsidR="00E37C61" w:rsidRPr="00A53AD7" w:rsidRDefault="00E37C61" w:rsidP="00E37C61">
            <w:pPr>
              <w:spacing w:after="0" w:line="240" w:lineRule="auto"/>
              <w:rPr>
                <w:rFonts w:ascii="Times New Roman" w:eastAsia="Times New Roman" w:hAnsi="Times New Roman"/>
                <w:sz w:val="20"/>
                <w:szCs w:val="20"/>
                <w:lang w:eastAsia="ru-RU"/>
              </w:rPr>
            </w:pPr>
          </w:p>
        </w:tc>
        <w:tc>
          <w:tcPr>
            <w:tcW w:w="1071" w:type="dxa"/>
            <w:tcBorders>
              <w:top w:val="nil"/>
              <w:left w:val="nil"/>
              <w:bottom w:val="single" w:sz="4" w:space="0" w:color="auto"/>
              <w:right w:val="single" w:sz="4" w:space="0" w:color="auto"/>
            </w:tcBorders>
            <w:shd w:val="clear" w:color="auto" w:fill="auto"/>
            <w:vAlign w:val="center"/>
            <w:hideMark/>
          </w:tcPr>
          <w:p w14:paraId="054FBE6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значение</w:t>
            </w:r>
          </w:p>
        </w:tc>
        <w:tc>
          <w:tcPr>
            <w:tcW w:w="1116" w:type="dxa"/>
            <w:tcBorders>
              <w:top w:val="nil"/>
              <w:left w:val="nil"/>
              <w:bottom w:val="single" w:sz="4" w:space="0" w:color="auto"/>
              <w:right w:val="single" w:sz="4" w:space="0" w:color="auto"/>
            </w:tcBorders>
            <w:shd w:val="clear" w:color="auto" w:fill="auto"/>
            <w:vAlign w:val="center"/>
            <w:hideMark/>
          </w:tcPr>
          <w:p w14:paraId="5F48D48E"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дата</w:t>
            </w:r>
          </w:p>
        </w:tc>
        <w:tc>
          <w:tcPr>
            <w:tcW w:w="965" w:type="dxa"/>
            <w:vMerge/>
            <w:tcBorders>
              <w:top w:val="double" w:sz="6" w:space="0" w:color="auto"/>
              <w:left w:val="single" w:sz="4" w:space="0" w:color="auto"/>
              <w:bottom w:val="single" w:sz="4" w:space="0" w:color="auto"/>
              <w:right w:val="single" w:sz="4" w:space="0" w:color="auto"/>
            </w:tcBorders>
            <w:vAlign w:val="center"/>
            <w:hideMark/>
          </w:tcPr>
          <w:p w14:paraId="080F2295" w14:textId="77777777" w:rsidR="00E37C61" w:rsidRPr="00A53AD7" w:rsidRDefault="00E37C61" w:rsidP="00E37C61">
            <w:pPr>
              <w:spacing w:after="0" w:line="240" w:lineRule="auto"/>
              <w:rPr>
                <w:rFonts w:ascii="Times New Roman" w:eastAsia="Times New Roman" w:hAnsi="Times New Roman"/>
                <w:sz w:val="20"/>
                <w:szCs w:val="20"/>
                <w:lang w:eastAsia="ru-RU"/>
              </w:rPr>
            </w:pPr>
          </w:p>
        </w:tc>
        <w:tc>
          <w:tcPr>
            <w:tcW w:w="1100" w:type="dxa"/>
            <w:tcBorders>
              <w:top w:val="nil"/>
              <w:left w:val="nil"/>
              <w:bottom w:val="single" w:sz="4" w:space="0" w:color="auto"/>
              <w:right w:val="single" w:sz="4" w:space="0" w:color="auto"/>
            </w:tcBorders>
            <w:shd w:val="clear" w:color="auto" w:fill="auto"/>
            <w:vAlign w:val="center"/>
            <w:hideMark/>
          </w:tcPr>
          <w:p w14:paraId="47AE5D2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отчет</w:t>
            </w:r>
          </w:p>
        </w:tc>
        <w:tc>
          <w:tcPr>
            <w:tcW w:w="786" w:type="dxa"/>
            <w:tcBorders>
              <w:top w:val="nil"/>
              <w:left w:val="nil"/>
              <w:bottom w:val="single" w:sz="4" w:space="0" w:color="auto"/>
              <w:right w:val="double" w:sz="6" w:space="0" w:color="auto"/>
            </w:tcBorders>
            <w:shd w:val="clear" w:color="auto" w:fill="auto"/>
            <w:vAlign w:val="center"/>
            <w:hideMark/>
          </w:tcPr>
          <w:p w14:paraId="0739B09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D470B6" w:rsidRPr="00A53AD7" w14:paraId="50C5B878" w14:textId="77777777" w:rsidTr="00D6138F">
        <w:trPr>
          <w:trHeight w:val="288"/>
        </w:trPr>
        <w:tc>
          <w:tcPr>
            <w:tcW w:w="932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6D00BFA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проект "Финансовая поддержка семей при рождении детей."</w:t>
            </w:r>
          </w:p>
        </w:tc>
      </w:tr>
      <w:tr w:rsidR="00D470B6" w:rsidRPr="00A53AD7" w14:paraId="6FB72398" w14:textId="77777777" w:rsidTr="00847E6E">
        <w:trPr>
          <w:trHeight w:val="288"/>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4C42BA05"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Суммарный коэффициент рождаемости</w:t>
            </w:r>
          </w:p>
        </w:tc>
        <w:tc>
          <w:tcPr>
            <w:tcW w:w="1029" w:type="dxa"/>
            <w:tcBorders>
              <w:top w:val="nil"/>
              <w:left w:val="nil"/>
              <w:bottom w:val="single" w:sz="4" w:space="0" w:color="auto"/>
              <w:right w:val="single" w:sz="4" w:space="0" w:color="auto"/>
            </w:tcBorders>
            <w:shd w:val="clear" w:color="auto" w:fill="auto"/>
            <w:noWrap/>
            <w:vAlign w:val="center"/>
            <w:hideMark/>
          </w:tcPr>
          <w:p w14:paraId="36E73745"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w:t>
            </w:r>
          </w:p>
        </w:tc>
        <w:tc>
          <w:tcPr>
            <w:tcW w:w="1071" w:type="dxa"/>
            <w:tcBorders>
              <w:top w:val="nil"/>
              <w:left w:val="nil"/>
              <w:bottom w:val="single" w:sz="4" w:space="0" w:color="auto"/>
              <w:right w:val="single" w:sz="4" w:space="0" w:color="auto"/>
            </w:tcBorders>
            <w:shd w:val="clear" w:color="auto" w:fill="auto"/>
            <w:noWrap/>
            <w:vAlign w:val="center"/>
            <w:hideMark/>
          </w:tcPr>
          <w:p w14:paraId="5F4029A8"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109,83</w:t>
            </w:r>
          </w:p>
        </w:tc>
        <w:tc>
          <w:tcPr>
            <w:tcW w:w="1116" w:type="dxa"/>
            <w:tcBorders>
              <w:top w:val="nil"/>
              <w:left w:val="nil"/>
              <w:bottom w:val="single" w:sz="4" w:space="0" w:color="auto"/>
              <w:right w:val="single" w:sz="4" w:space="0" w:color="auto"/>
            </w:tcBorders>
            <w:shd w:val="clear" w:color="auto" w:fill="auto"/>
            <w:noWrap/>
            <w:vAlign w:val="center"/>
            <w:hideMark/>
          </w:tcPr>
          <w:p w14:paraId="3B8AF8D5"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5D78E54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110,1</w:t>
            </w:r>
          </w:p>
        </w:tc>
        <w:tc>
          <w:tcPr>
            <w:tcW w:w="1100" w:type="dxa"/>
            <w:tcBorders>
              <w:top w:val="nil"/>
              <w:left w:val="nil"/>
              <w:bottom w:val="single" w:sz="4" w:space="0" w:color="auto"/>
              <w:right w:val="single" w:sz="4" w:space="0" w:color="auto"/>
            </w:tcBorders>
            <w:shd w:val="clear" w:color="auto" w:fill="auto"/>
            <w:vAlign w:val="center"/>
            <w:hideMark/>
          </w:tcPr>
          <w:p w14:paraId="0201F10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1,651</w:t>
            </w:r>
          </w:p>
        </w:tc>
        <w:tc>
          <w:tcPr>
            <w:tcW w:w="786" w:type="dxa"/>
            <w:tcBorders>
              <w:top w:val="nil"/>
              <w:left w:val="nil"/>
              <w:bottom w:val="single" w:sz="4" w:space="0" w:color="auto"/>
              <w:right w:val="double" w:sz="6" w:space="0" w:color="auto"/>
            </w:tcBorders>
            <w:shd w:val="clear" w:color="auto" w:fill="auto"/>
            <w:vAlign w:val="center"/>
            <w:hideMark/>
          </w:tcPr>
          <w:p w14:paraId="1F89420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89,7</w:t>
            </w:r>
          </w:p>
        </w:tc>
      </w:tr>
      <w:tr w:rsidR="00D470B6" w:rsidRPr="00A53AD7" w14:paraId="34E9A290" w14:textId="77777777" w:rsidTr="00847E6E">
        <w:trPr>
          <w:trHeight w:val="288"/>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5FDD6445"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Коэффициенты рождаемости в возрастной группе 30-34 лет (число родившихся на 1000 женщин соответствующего возраста)</w:t>
            </w:r>
          </w:p>
        </w:tc>
        <w:tc>
          <w:tcPr>
            <w:tcW w:w="1029" w:type="dxa"/>
            <w:tcBorders>
              <w:top w:val="nil"/>
              <w:left w:val="nil"/>
              <w:bottom w:val="single" w:sz="4" w:space="0" w:color="auto"/>
              <w:right w:val="single" w:sz="4" w:space="0" w:color="auto"/>
            </w:tcBorders>
            <w:shd w:val="clear" w:color="auto" w:fill="auto"/>
            <w:noWrap/>
            <w:vAlign w:val="center"/>
            <w:hideMark/>
          </w:tcPr>
          <w:p w14:paraId="4B5C9431"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w:t>
            </w:r>
          </w:p>
        </w:tc>
        <w:tc>
          <w:tcPr>
            <w:tcW w:w="1071" w:type="dxa"/>
            <w:tcBorders>
              <w:top w:val="nil"/>
              <w:left w:val="nil"/>
              <w:bottom w:val="single" w:sz="4" w:space="0" w:color="auto"/>
              <w:right w:val="single" w:sz="4" w:space="0" w:color="auto"/>
            </w:tcBorders>
            <w:shd w:val="clear" w:color="auto" w:fill="auto"/>
            <w:noWrap/>
            <w:vAlign w:val="center"/>
            <w:hideMark/>
          </w:tcPr>
          <w:p w14:paraId="39ADEF9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84,87</w:t>
            </w:r>
          </w:p>
        </w:tc>
        <w:tc>
          <w:tcPr>
            <w:tcW w:w="1116" w:type="dxa"/>
            <w:tcBorders>
              <w:top w:val="nil"/>
              <w:left w:val="nil"/>
              <w:bottom w:val="single" w:sz="4" w:space="0" w:color="auto"/>
              <w:right w:val="single" w:sz="4" w:space="0" w:color="auto"/>
            </w:tcBorders>
            <w:shd w:val="clear" w:color="auto" w:fill="auto"/>
            <w:noWrap/>
            <w:vAlign w:val="center"/>
            <w:hideMark/>
          </w:tcPr>
          <w:p w14:paraId="60CC90B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22D8FD7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90,2</w:t>
            </w:r>
          </w:p>
        </w:tc>
        <w:tc>
          <w:tcPr>
            <w:tcW w:w="1100" w:type="dxa"/>
            <w:tcBorders>
              <w:top w:val="nil"/>
              <w:left w:val="nil"/>
              <w:bottom w:val="single" w:sz="4" w:space="0" w:color="auto"/>
              <w:right w:val="single" w:sz="4" w:space="0" w:color="auto"/>
            </w:tcBorders>
            <w:shd w:val="clear" w:color="auto" w:fill="auto"/>
            <w:vAlign w:val="center"/>
            <w:hideMark/>
          </w:tcPr>
          <w:p w14:paraId="7981C760"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84,87</w:t>
            </w:r>
          </w:p>
        </w:tc>
        <w:tc>
          <w:tcPr>
            <w:tcW w:w="786" w:type="dxa"/>
            <w:tcBorders>
              <w:top w:val="nil"/>
              <w:left w:val="nil"/>
              <w:bottom w:val="single" w:sz="4" w:space="0" w:color="auto"/>
              <w:right w:val="double" w:sz="6" w:space="0" w:color="auto"/>
            </w:tcBorders>
            <w:shd w:val="clear" w:color="auto" w:fill="auto"/>
            <w:vAlign w:val="center"/>
            <w:hideMark/>
          </w:tcPr>
          <w:p w14:paraId="02CAB0B4"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89,3</w:t>
            </w:r>
          </w:p>
        </w:tc>
      </w:tr>
      <w:tr w:rsidR="00D470B6" w:rsidRPr="00A53AD7" w14:paraId="04D8AA61" w14:textId="77777777" w:rsidTr="00847E6E">
        <w:trPr>
          <w:trHeight w:val="288"/>
        </w:trPr>
        <w:tc>
          <w:tcPr>
            <w:tcW w:w="3261" w:type="dxa"/>
            <w:tcBorders>
              <w:top w:val="nil"/>
              <w:left w:val="double" w:sz="6" w:space="0" w:color="auto"/>
              <w:bottom w:val="single" w:sz="4" w:space="0" w:color="auto"/>
              <w:right w:val="single" w:sz="4" w:space="0" w:color="auto"/>
            </w:tcBorders>
            <w:shd w:val="clear" w:color="auto" w:fill="auto"/>
            <w:vAlign w:val="center"/>
            <w:hideMark/>
          </w:tcPr>
          <w:p w14:paraId="020E387F"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Коэффициенты рождаемости в возрастной группе 25-29 лет (число родившихся на 1000 женщин соответствующего возраста)</w:t>
            </w:r>
          </w:p>
        </w:tc>
        <w:tc>
          <w:tcPr>
            <w:tcW w:w="1029" w:type="dxa"/>
            <w:tcBorders>
              <w:top w:val="nil"/>
              <w:left w:val="nil"/>
              <w:bottom w:val="single" w:sz="4" w:space="0" w:color="auto"/>
              <w:right w:val="single" w:sz="4" w:space="0" w:color="auto"/>
            </w:tcBorders>
            <w:shd w:val="clear" w:color="auto" w:fill="auto"/>
            <w:noWrap/>
            <w:vAlign w:val="center"/>
            <w:hideMark/>
          </w:tcPr>
          <w:p w14:paraId="769A23DE"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Единица</w:t>
            </w:r>
          </w:p>
        </w:tc>
        <w:tc>
          <w:tcPr>
            <w:tcW w:w="1071" w:type="dxa"/>
            <w:tcBorders>
              <w:top w:val="nil"/>
              <w:left w:val="nil"/>
              <w:bottom w:val="single" w:sz="4" w:space="0" w:color="auto"/>
              <w:right w:val="single" w:sz="4" w:space="0" w:color="auto"/>
            </w:tcBorders>
            <w:shd w:val="clear" w:color="auto" w:fill="auto"/>
            <w:noWrap/>
            <w:vAlign w:val="center"/>
            <w:hideMark/>
          </w:tcPr>
          <w:p w14:paraId="125F03A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1,651</w:t>
            </w:r>
          </w:p>
        </w:tc>
        <w:tc>
          <w:tcPr>
            <w:tcW w:w="1116" w:type="dxa"/>
            <w:tcBorders>
              <w:top w:val="nil"/>
              <w:left w:val="nil"/>
              <w:bottom w:val="single" w:sz="4" w:space="0" w:color="auto"/>
              <w:right w:val="single" w:sz="4" w:space="0" w:color="auto"/>
            </w:tcBorders>
            <w:shd w:val="clear" w:color="auto" w:fill="auto"/>
            <w:noWrap/>
            <w:vAlign w:val="center"/>
            <w:hideMark/>
          </w:tcPr>
          <w:p w14:paraId="621BB56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5C0BB9F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1,735</w:t>
            </w:r>
          </w:p>
        </w:tc>
        <w:tc>
          <w:tcPr>
            <w:tcW w:w="1100" w:type="dxa"/>
            <w:tcBorders>
              <w:top w:val="nil"/>
              <w:left w:val="nil"/>
              <w:bottom w:val="single" w:sz="4" w:space="0" w:color="auto"/>
              <w:right w:val="single" w:sz="4" w:space="0" w:color="auto"/>
            </w:tcBorders>
            <w:shd w:val="clear" w:color="auto" w:fill="auto"/>
            <w:vAlign w:val="center"/>
            <w:hideMark/>
          </w:tcPr>
          <w:p w14:paraId="48EA086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109,83</w:t>
            </w:r>
          </w:p>
        </w:tc>
        <w:tc>
          <w:tcPr>
            <w:tcW w:w="786" w:type="dxa"/>
            <w:tcBorders>
              <w:top w:val="nil"/>
              <w:left w:val="nil"/>
              <w:bottom w:val="single" w:sz="4" w:space="0" w:color="auto"/>
              <w:right w:val="double" w:sz="6" w:space="0" w:color="auto"/>
            </w:tcBorders>
            <w:shd w:val="clear" w:color="auto" w:fill="auto"/>
            <w:vAlign w:val="center"/>
            <w:hideMark/>
          </w:tcPr>
          <w:p w14:paraId="55504E4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95,5</w:t>
            </w:r>
          </w:p>
        </w:tc>
      </w:tr>
      <w:tr w:rsidR="00D470B6" w:rsidRPr="00A53AD7" w14:paraId="1AB3CBB6" w14:textId="77777777" w:rsidTr="00D6138F">
        <w:trPr>
          <w:trHeight w:val="419"/>
        </w:trPr>
        <w:tc>
          <w:tcPr>
            <w:tcW w:w="932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070D0CE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проект "Содействие занятости женщин - создание условий дошкольного образования для детей в возрасте до трех лет"</w:t>
            </w:r>
          </w:p>
        </w:tc>
      </w:tr>
      <w:tr w:rsidR="00D470B6" w:rsidRPr="00A53AD7" w14:paraId="40C2FEAE" w14:textId="77777777" w:rsidTr="00847E6E">
        <w:trPr>
          <w:trHeight w:val="384"/>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7E9AD2E4"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Уровень занятости женщин, имеющих детей дошкольного возраста</w:t>
            </w:r>
          </w:p>
        </w:tc>
        <w:tc>
          <w:tcPr>
            <w:tcW w:w="1029" w:type="dxa"/>
            <w:tcBorders>
              <w:top w:val="nil"/>
              <w:left w:val="nil"/>
              <w:bottom w:val="single" w:sz="4" w:space="0" w:color="auto"/>
              <w:right w:val="single" w:sz="4" w:space="0" w:color="auto"/>
            </w:tcBorders>
            <w:shd w:val="clear" w:color="auto" w:fill="auto"/>
            <w:noWrap/>
            <w:vAlign w:val="center"/>
            <w:hideMark/>
          </w:tcPr>
          <w:p w14:paraId="14996380"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w:t>
            </w:r>
          </w:p>
        </w:tc>
        <w:tc>
          <w:tcPr>
            <w:tcW w:w="1071" w:type="dxa"/>
            <w:tcBorders>
              <w:top w:val="nil"/>
              <w:left w:val="nil"/>
              <w:bottom w:val="single" w:sz="4" w:space="0" w:color="auto"/>
              <w:right w:val="single" w:sz="4" w:space="0" w:color="auto"/>
            </w:tcBorders>
            <w:shd w:val="clear" w:color="auto" w:fill="auto"/>
            <w:noWrap/>
            <w:vAlign w:val="center"/>
            <w:hideMark/>
          </w:tcPr>
          <w:p w14:paraId="5B8AE3E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72,7</w:t>
            </w:r>
          </w:p>
        </w:tc>
        <w:tc>
          <w:tcPr>
            <w:tcW w:w="1116" w:type="dxa"/>
            <w:tcBorders>
              <w:top w:val="nil"/>
              <w:left w:val="nil"/>
              <w:bottom w:val="single" w:sz="4" w:space="0" w:color="auto"/>
              <w:right w:val="single" w:sz="4" w:space="0" w:color="auto"/>
            </w:tcBorders>
            <w:shd w:val="clear" w:color="auto" w:fill="auto"/>
            <w:noWrap/>
            <w:vAlign w:val="center"/>
            <w:hideMark/>
          </w:tcPr>
          <w:p w14:paraId="7A566D9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0B7DF33"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74,6</w:t>
            </w:r>
          </w:p>
        </w:tc>
        <w:tc>
          <w:tcPr>
            <w:tcW w:w="1100" w:type="dxa"/>
            <w:tcBorders>
              <w:top w:val="nil"/>
              <w:left w:val="nil"/>
              <w:bottom w:val="single" w:sz="4" w:space="0" w:color="auto"/>
              <w:right w:val="single" w:sz="4" w:space="0" w:color="auto"/>
            </w:tcBorders>
            <w:shd w:val="clear" w:color="auto" w:fill="auto"/>
            <w:vAlign w:val="center"/>
            <w:hideMark/>
          </w:tcPr>
          <w:p w14:paraId="08FA862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75</w:t>
            </w:r>
          </w:p>
        </w:tc>
        <w:tc>
          <w:tcPr>
            <w:tcW w:w="786" w:type="dxa"/>
            <w:tcBorders>
              <w:top w:val="nil"/>
              <w:left w:val="nil"/>
              <w:bottom w:val="single" w:sz="4" w:space="0" w:color="auto"/>
              <w:right w:val="double" w:sz="6" w:space="0" w:color="auto"/>
            </w:tcBorders>
            <w:shd w:val="clear" w:color="auto" w:fill="auto"/>
            <w:vAlign w:val="center"/>
            <w:hideMark/>
          </w:tcPr>
          <w:p w14:paraId="0DF9BC8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2D4D4C9" w14:textId="77777777" w:rsidTr="00847E6E">
        <w:trPr>
          <w:trHeight w:val="708"/>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3B13F6B"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Численность воспитанников в возрасте до трех лет, посещающих государственные и муниципальные организации, осуществляющие образовательную деятельность по образовательным программам дошкольного образования, присмотр и уход, в том числе в субъектах Российской Федерации, входящих в состав Дальневосточного и Северо-Кавказского федеральных округов</w:t>
            </w:r>
          </w:p>
        </w:tc>
        <w:tc>
          <w:tcPr>
            <w:tcW w:w="1029" w:type="dxa"/>
            <w:tcBorders>
              <w:top w:val="nil"/>
              <w:left w:val="nil"/>
              <w:bottom w:val="single" w:sz="4" w:space="0" w:color="auto"/>
              <w:right w:val="single" w:sz="4" w:space="0" w:color="auto"/>
            </w:tcBorders>
            <w:shd w:val="clear" w:color="auto" w:fill="auto"/>
            <w:noWrap/>
            <w:vAlign w:val="center"/>
            <w:hideMark/>
          </w:tcPr>
          <w:p w14:paraId="11DA960F"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Человек</w:t>
            </w:r>
          </w:p>
        </w:tc>
        <w:tc>
          <w:tcPr>
            <w:tcW w:w="1071" w:type="dxa"/>
            <w:tcBorders>
              <w:top w:val="nil"/>
              <w:left w:val="nil"/>
              <w:bottom w:val="single" w:sz="4" w:space="0" w:color="auto"/>
              <w:right w:val="single" w:sz="4" w:space="0" w:color="auto"/>
            </w:tcBorders>
            <w:shd w:val="clear" w:color="auto" w:fill="auto"/>
            <w:noWrap/>
            <w:vAlign w:val="center"/>
            <w:hideMark/>
          </w:tcPr>
          <w:p w14:paraId="09BB7B0B" w14:textId="417BC0D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11 593</w:t>
            </w:r>
          </w:p>
        </w:tc>
        <w:tc>
          <w:tcPr>
            <w:tcW w:w="1116" w:type="dxa"/>
            <w:tcBorders>
              <w:top w:val="nil"/>
              <w:left w:val="nil"/>
              <w:bottom w:val="single" w:sz="4" w:space="0" w:color="auto"/>
              <w:right w:val="single" w:sz="4" w:space="0" w:color="auto"/>
            </w:tcBorders>
            <w:shd w:val="clear" w:color="auto" w:fill="auto"/>
            <w:noWrap/>
            <w:vAlign w:val="center"/>
            <w:hideMark/>
          </w:tcPr>
          <w:p w14:paraId="786C144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5540732" w14:textId="013C0F94"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13 298</w:t>
            </w:r>
          </w:p>
        </w:tc>
        <w:tc>
          <w:tcPr>
            <w:tcW w:w="1100" w:type="dxa"/>
            <w:tcBorders>
              <w:top w:val="nil"/>
              <w:left w:val="nil"/>
              <w:bottom w:val="single" w:sz="4" w:space="0" w:color="auto"/>
              <w:right w:val="single" w:sz="4" w:space="0" w:color="auto"/>
            </w:tcBorders>
            <w:shd w:val="clear" w:color="auto" w:fill="auto"/>
            <w:vAlign w:val="center"/>
            <w:hideMark/>
          </w:tcPr>
          <w:p w14:paraId="63A4E39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10212</w:t>
            </w:r>
          </w:p>
        </w:tc>
        <w:tc>
          <w:tcPr>
            <w:tcW w:w="786" w:type="dxa"/>
            <w:tcBorders>
              <w:top w:val="nil"/>
              <w:left w:val="nil"/>
              <w:bottom w:val="single" w:sz="4" w:space="0" w:color="auto"/>
              <w:right w:val="double" w:sz="6" w:space="0" w:color="auto"/>
            </w:tcBorders>
            <w:shd w:val="clear" w:color="auto" w:fill="auto"/>
            <w:vAlign w:val="center"/>
            <w:hideMark/>
          </w:tcPr>
          <w:p w14:paraId="47BC6E00"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76,7</w:t>
            </w:r>
          </w:p>
        </w:tc>
      </w:tr>
      <w:tr w:rsidR="00D470B6" w:rsidRPr="00A53AD7" w14:paraId="31EA365C" w14:textId="77777777" w:rsidTr="00847E6E">
        <w:trPr>
          <w:trHeight w:val="446"/>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59F3F43E"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Численность воспитанников в возрасте до трех лет, посещающих частные организации, осуществляющие образовательную деятельность по образовательным программам дошкольного образования, присмотр и уход, в том числе в субъектах Российской Федерации, входящих в состав Дальневосточного и Северо-Кавказского федеральных округов </w:t>
            </w:r>
          </w:p>
        </w:tc>
        <w:tc>
          <w:tcPr>
            <w:tcW w:w="1029" w:type="dxa"/>
            <w:tcBorders>
              <w:top w:val="nil"/>
              <w:left w:val="nil"/>
              <w:bottom w:val="single" w:sz="4" w:space="0" w:color="auto"/>
              <w:right w:val="single" w:sz="4" w:space="0" w:color="auto"/>
            </w:tcBorders>
            <w:shd w:val="clear" w:color="auto" w:fill="auto"/>
            <w:noWrap/>
            <w:vAlign w:val="center"/>
            <w:hideMark/>
          </w:tcPr>
          <w:p w14:paraId="7EEDC476" w14:textId="77777777" w:rsidR="00E37C61" w:rsidRPr="00A53AD7" w:rsidRDefault="00E37C61" w:rsidP="00847E6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Человек</w:t>
            </w:r>
          </w:p>
        </w:tc>
        <w:tc>
          <w:tcPr>
            <w:tcW w:w="1071" w:type="dxa"/>
            <w:tcBorders>
              <w:top w:val="nil"/>
              <w:left w:val="nil"/>
              <w:bottom w:val="single" w:sz="4" w:space="0" w:color="auto"/>
              <w:right w:val="single" w:sz="4" w:space="0" w:color="auto"/>
            </w:tcBorders>
            <w:shd w:val="clear" w:color="auto" w:fill="auto"/>
            <w:noWrap/>
            <w:vAlign w:val="center"/>
            <w:hideMark/>
          </w:tcPr>
          <w:p w14:paraId="0296F030"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19</w:t>
            </w:r>
          </w:p>
        </w:tc>
        <w:tc>
          <w:tcPr>
            <w:tcW w:w="1116" w:type="dxa"/>
            <w:tcBorders>
              <w:top w:val="nil"/>
              <w:left w:val="nil"/>
              <w:bottom w:val="single" w:sz="4" w:space="0" w:color="auto"/>
              <w:right w:val="single" w:sz="4" w:space="0" w:color="auto"/>
            </w:tcBorders>
            <w:shd w:val="clear" w:color="auto" w:fill="auto"/>
            <w:noWrap/>
            <w:vAlign w:val="center"/>
            <w:hideMark/>
          </w:tcPr>
          <w:p w14:paraId="738904B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A87429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270</w:t>
            </w:r>
          </w:p>
        </w:tc>
        <w:tc>
          <w:tcPr>
            <w:tcW w:w="1100" w:type="dxa"/>
            <w:tcBorders>
              <w:top w:val="nil"/>
              <w:left w:val="nil"/>
              <w:bottom w:val="single" w:sz="4" w:space="0" w:color="auto"/>
              <w:right w:val="single" w:sz="4" w:space="0" w:color="auto"/>
            </w:tcBorders>
            <w:shd w:val="clear" w:color="auto" w:fill="auto"/>
            <w:vAlign w:val="center"/>
            <w:hideMark/>
          </w:tcPr>
          <w:p w14:paraId="6213794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315</w:t>
            </w:r>
          </w:p>
        </w:tc>
        <w:tc>
          <w:tcPr>
            <w:tcW w:w="786" w:type="dxa"/>
            <w:tcBorders>
              <w:top w:val="nil"/>
              <w:left w:val="nil"/>
              <w:bottom w:val="single" w:sz="4" w:space="0" w:color="auto"/>
              <w:right w:val="double" w:sz="6" w:space="0" w:color="auto"/>
            </w:tcBorders>
            <w:shd w:val="clear" w:color="auto" w:fill="auto"/>
            <w:vAlign w:val="center"/>
            <w:hideMark/>
          </w:tcPr>
          <w:p w14:paraId="2021208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C6610AA" w14:textId="77777777" w:rsidTr="00D60D32">
        <w:trPr>
          <w:trHeight w:val="360"/>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0134344D"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Доступность дошкольного образования для детей в возрасте от полутора до трех лет </w:t>
            </w:r>
          </w:p>
        </w:tc>
        <w:tc>
          <w:tcPr>
            <w:tcW w:w="1029" w:type="dxa"/>
            <w:tcBorders>
              <w:top w:val="nil"/>
              <w:left w:val="nil"/>
              <w:bottom w:val="single" w:sz="4" w:space="0" w:color="auto"/>
              <w:right w:val="single" w:sz="4" w:space="0" w:color="auto"/>
            </w:tcBorders>
            <w:shd w:val="clear" w:color="auto" w:fill="auto"/>
            <w:noWrap/>
            <w:vAlign w:val="center"/>
            <w:hideMark/>
          </w:tcPr>
          <w:p w14:paraId="4AC72F62"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w:t>
            </w:r>
          </w:p>
        </w:tc>
        <w:tc>
          <w:tcPr>
            <w:tcW w:w="1071" w:type="dxa"/>
            <w:tcBorders>
              <w:top w:val="nil"/>
              <w:left w:val="nil"/>
              <w:bottom w:val="single" w:sz="4" w:space="0" w:color="auto"/>
              <w:right w:val="single" w:sz="4" w:space="0" w:color="auto"/>
            </w:tcBorders>
            <w:shd w:val="clear" w:color="auto" w:fill="auto"/>
            <w:noWrap/>
            <w:vAlign w:val="center"/>
            <w:hideMark/>
          </w:tcPr>
          <w:p w14:paraId="5671B265"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76</w:t>
            </w:r>
          </w:p>
        </w:tc>
        <w:tc>
          <w:tcPr>
            <w:tcW w:w="1116" w:type="dxa"/>
            <w:tcBorders>
              <w:top w:val="nil"/>
              <w:left w:val="nil"/>
              <w:bottom w:val="single" w:sz="4" w:space="0" w:color="auto"/>
              <w:right w:val="single" w:sz="4" w:space="0" w:color="auto"/>
            </w:tcBorders>
            <w:shd w:val="clear" w:color="auto" w:fill="auto"/>
            <w:noWrap/>
            <w:vAlign w:val="center"/>
            <w:hideMark/>
          </w:tcPr>
          <w:p w14:paraId="62D5B24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01.01.2018</w:t>
            </w:r>
          </w:p>
        </w:tc>
        <w:tc>
          <w:tcPr>
            <w:tcW w:w="965" w:type="dxa"/>
            <w:tcBorders>
              <w:top w:val="nil"/>
              <w:left w:val="nil"/>
              <w:bottom w:val="single" w:sz="4" w:space="0" w:color="auto"/>
              <w:right w:val="single" w:sz="4" w:space="0" w:color="auto"/>
            </w:tcBorders>
            <w:shd w:val="clear" w:color="auto" w:fill="auto"/>
            <w:noWrap/>
            <w:vAlign w:val="center"/>
            <w:hideMark/>
          </w:tcPr>
          <w:p w14:paraId="3B25CCC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w:t>
            </w:r>
          </w:p>
        </w:tc>
        <w:tc>
          <w:tcPr>
            <w:tcW w:w="1100" w:type="dxa"/>
            <w:tcBorders>
              <w:top w:val="nil"/>
              <w:left w:val="nil"/>
              <w:bottom w:val="single" w:sz="4" w:space="0" w:color="auto"/>
              <w:right w:val="single" w:sz="4" w:space="0" w:color="auto"/>
            </w:tcBorders>
            <w:shd w:val="clear" w:color="auto" w:fill="auto"/>
            <w:vAlign w:val="center"/>
            <w:hideMark/>
          </w:tcPr>
          <w:p w14:paraId="342DA67E"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83,5</w:t>
            </w:r>
          </w:p>
        </w:tc>
        <w:tc>
          <w:tcPr>
            <w:tcW w:w="786" w:type="dxa"/>
            <w:tcBorders>
              <w:top w:val="nil"/>
              <w:left w:val="nil"/>
              <w:bottom w:val="single" w:sz="4" w:space="0" w:color="auto"/>
              <w:right w:val="double" w:sz="6" w:space="0" w:color="auto"/>
            </w:tcBorders>
            <w:shd w:val="clear" w:color="auto" w:fill="auto"/>
            <w:vAlign w:val="center"/>
            <w:hideMark/>
          </w:tcPr>
          <w:p w14:paraId="5658EC1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4A60A3C7" w14:textId="77777777" w:rsidTr="00D6138F">
        <w:trPr>
          <w:trHeight w:val="540"/>
        </w:trPr>
        <w:tc>
          <w:tcPr>
            <w:tcW w:w="932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629A0938"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проект "Разработка и реализация программы системной поддержки и повышения качества жизни граждан старшего поколения»</w:t>
            </w:r>
          </w:p>
        </w:tc>
      </w:tr>
      <w:tr w:rsidR="00D470B6" w:rsidRPr="00A53AD7" w14:paraId="559E670A" w14:textId="77777777" w:rsidTr="00D60D32">
        <w:trPr>
          <w:trHeight w:val="31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7877DB7C"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Уровень госпитализации на геронтологические койки лиц старше 60 лет на 10 тыс. населения соответствующего возраста</w:t>
            </w:r>
          </w:p>
        </w:tc>
        <w:tc>
          <w:tcPr>
            <w:tcW w:w="1029" w:type="dxa"/>
            <w:tcBorders>
              <w:top w:val="nil"/>
              <w:left w:val="nil"/>
              <w:bottom w:val="single" w:sz="4" w:space="0" w:color="auto"/>
              <w:right w:val="single" w:sz="4" w:space="0" w:color="auto"/>
            </w:tcBorders>
            <w:shd w:val="clear" w:color="auto" w:fill="auto"/>
            <w:noWrap/>
            <w:vAlign w:val="center"/>
            <w:hideMark/>
          </w:tcPr>
          <w:p w14:paraId="292C2E37"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Условная единица</w:t>
            </w:r>
          </w:p>
        </w:tc>
        <w:tc>
          <w:tcPr>
            <w:tcW w:w="1071" w:type="dxa"/>
            <w:tcBorders>
              <w:top w:val="nil"/>
              <w:left w:val="nil"/>
              <w:bottom w:val="single" w:sz="4" w:space="0" w:color="auto"/>
              <w:right w:val="single" w:sz="4" w:space="0" w:color="auto"/>
            </w:tcBorders>
            <w:shd w:val="clear" w:color="auto" w:fill="auto"/>
            <w:noWrap/>
            <w:vAlign w:val="center"/>
            <w:hideMark/>
          </w:tcPr>
          <w:p w14:paraId="1EF5CBB9"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w:t>
            </w:r>
          </w:p>
        </w:tc>
        <w:tc>
          <w:tcPr>
            <w:tcW w:w="1116" w:type="dxa"/>
            <w:tcBorders>
              <w:top w:val="nil"/>
              <w:left w:val="nil"/>
              <w:bottom w:val="single" w:sz="4" w:space="0" w:color="auto"/>
              <w:right w:val="single" w:sz="4" w:space="0" w:color="auto"/>
            </w:tcBorders>
            <w:shd w:val="clear" w:color="auto" w:fill="auto"/>
            <w:noWrap/>
            <w:vAlign w:val="center"/>
            <w:hideMark/>
          </w:tcPr>
          <w:p w14:paraId="56954695"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37C19BD2"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28,7</w:t>
            </w:r>
          </w:p>
        </w:tc>
        <w:tc>
          <w:tcPr>
            <w:tcW w:w="1100" w:type="dxa"/>
            <w:tcBorders>
              <w:top w:val="nil"/>
              <w:left w:val="nil"/>
              <w:bottom w:val="single" w:sz="4" w:space="0" w:color="auto"/>
              <w:right w:val="single" w:sz="4" w:space="0" w:color="auto"/>
            </w:tcBorders>
            <w:shd w:val="clear" w:color="auto" w:fill="auto"/>
            <w:vAlign w:val="center"/>
            <w:hideMark/>
          </w:tcPr>
          <w:p w14:paraId="19838B0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35.4</w:t>
            </w:r>
          </w:p>
        </w:tc>
        <w:tc>
          <w:tcPr>
            <w:tcW w:w="786" w:type="dxa"/>
            <w:tcBorders>
              <w:top w:val="nil"/>
              <w:left w:val="nil"/>
              <w:bottom w:val="single" w:sz="4" w:space="0" w:color="auto"/>
              <w:right w:val="double" w:sz="6" w:space="0" w:color="auto"/>
            </w:tcBorders>
            <w:shd w:val="clear" w:color="auto" w:fill="auto"/>
            <w:vAlign w:val="center"/>
            <w:hideMark/>
          </w:tcPr>
          <w:p w14:paraId="667946C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5BFF23A2" w14:textId="77777777" w:rsidTr="00D60D32">
        <w:trPr>
          <w:trHeight w:val="31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38E3BD6E" w14:textId="6ABF9B6F"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Охват граждан старше трудоспособного возраста</w:t>
            </w:r>
            <w:r w:rsidR="008D4148"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профилактическими осмотрами, включая диспансеризацию</w:t>
            </w:r>
          </w:p>
        </w:tc>
        <w:tc>
          <w:tcPr>
            <w:tcW w:w="1029" w:type="dxa"/>
            <w:tcBorders>
              <w:top w:val="nil"/>
              <w:left w:val="nil"/>
              <w:bottom w:val="single" w:sz="4" w:space="0" w:color="auto"/>
              <w:right w:val="single" w:sz="4" w:space="0" w:color="auto"/>
            </w:tcBorders>
            <w:shd w:val="clear" w:color="auto" w:fill="auto"/>
            <w:vAlign w:val="center"/>
            <w:hideMark/>
          </w:tcPr>
          <w:p w14:paraId="13E6F3CA"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1E234328"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15,47</w:t>
            </w:r>
          </w:p>
        </w:tc>
        <w:tc>
          <w:tcPr>
            <w:tcW w:w="1116" w:type="dxa"/>
            <w:tcBorders>
              <w:top w:val="nil"/>
              <w:left w:val="nil"/>
              <w:bottom w:val="single" w:sz="4" w:space="0" w:color="auto"/>
              <w:right w:val="single" w:sz="4" w:space="0" w:color="auto"/>
            </w:tcBorders>
            <w:shd w:val="clear" w:color="auto" w:fill="auto"/>
            <w:noWrap/>
            <w:vAlign w:val="center"/>
            <w:hideMark/>
          </w:tcPr>
          <w:p w14:paraId="49D426E7"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AE54FCC"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1100" w:type="dxa"/>
            <w:tcBorders>
              <w:top w:val="nil"/>
              <w:left w:val="nil"/>
              <w:bottom w:val="single" w:sz="4" w:space="0" w:color="auto"/>
              <w:right w:val="single" w:sz="4" w:space="0" w:color="auto"/>
            </w:tcBorders>
            <w:shd w:val="clear" w:color="auto" w:fill="auto"/>
            <w:vAlign w:val="center"/>
            <w:hideMark/>
          </w:tcPr>
          <w:p w14:paraId="7A3323D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36,4</w:t>
            </w:r>
          </w:p>
        </w:tc>
        <w:tc>
          <w:tcPr>
            <w:tcW w:w="786" w:type="dxa"/>
            <w:tcBorders>
              <w:top w:val="nil"/>
              <w:left w:val="nil"/>
              <w:bottom w:val="single" w:sz="4" w:space="0" w:color="auto"/>
              <w:right w:val="double" w:sz="6" w:space="0" w:color="auto"/>
            </w:tcBorders>
            <w:shd w:val="clear" w:color="auto" w:fill="auto"/>
            <w:vAlign w:val="center"/>
            <w:hideMark/>
          </w:tcPr>
          <w:p w14:paraId="16F1F98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3AA24B4" w14:textId="77777777" w:rsidTr="00D60D32">
        <w:trPr>
          <w:trHeight w:val="324"/>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6606EB65"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лиц старше трудоспособного возраста, у которых выявлены заболевания и патологические состояния, находящихся под диспансерным наблюдением</w:t>
            </w:r>
          </w:p>
        </w:tc>
        <w:tc>
          <w:tcPr>
            <w:tcW w:w="1029" w:type="dxa"/>
            <w:tcBorders>
              <w:top w:val="nil"/>
              <w:left w:val="nil"/>
              <w:bottom w:val="single" w:sz="4" w:space="0" w:color="auto"/>
              <w:right w:val="single" w:sz="4" w:space="0" w:color="auto"/>
            </w:tcBorders>
            <w:shd w:val="clear" w:color="auto" w:fill="auto"/>
            <w:vAlign w:val="center"/>
            <w:hideMark/>
          </w:tcPr>
          <w:p w14:paraId="328170F6"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2AD75D18"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55,96</w:t>
            </w:r>
          </w:p>
        </w:tc>
        <w:tc>
          <w:tcPr>
            <w:tcW w:w="1116" w:type="dxa"/>
            <w:tcBorders>
              <w:top w:val="nil"/>
              <w:left w:val="nil"/>
              <w:bottom w:val="single" w:sz="4" w:space="0" w:color="auto"/>
              <w:right w:val="single" w:sz="4" w:space="0" w:color="auto"/>
            </w:tcBorders>
            <w:shd w:val="clear" w:color="auto" w:fill="auto"/>
            <w:noWrap/>
            <w:vAlign w:val="center"/>
            <w:hideMark/>
          </w:tcPr>
          <w:p w14:paraId="231B1F63"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28FDF3F"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w:t>
            </w:r>
          </w:p>
        </w:tc>
        <w:tc>
          <w:tcPr>
            <w:tcW w:w="1100" w:type="dxa"/>
            <w:tcBorders>
              <w:top w:val="nil"/>
              <w:left w:val="nil"/>
              <w:bottom w:val="single" w:sz="4" w:space="0" w:color="auto"/>
              <w:right w:val="single" w:sz="4" w:space="0" w:color="auto"/>
            </w:tcBorders>
            <w:shd w:val="clear" w:color="auto" w:fill="auto"/>
            <w:vAlign w:val="center"/>
            <w:hideMark/>
          </w:tcPr>
          <w:p w14:paraId="44745C43"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64.2</w:t>
            </w:r>
          </w:p>
        </w:tc>
        <w:tc>
          <w:tcPr>
            <w:tcW w:w="786" w:type="dxa"/>
            <w:tcBorders>
              <w:top w:val="nil"/>
              <w:left w:val="nil"/>
              <w:bottom w:val="single" w:sz="4" w:space="0" w:color="auto"/>
              <w:right w:val="double" w:sz="6" w:space="0" w:color="auto"/>
            </w:tcBorders>
            <w:shd w:val="clear" w:color="auto" w:fill="auto"/>
            <w:vAlign w:val="center"/>
            <w:hideMark/>
          </w:tcPr>
          <w:p w14:paraId="3F04512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7782D52" w14:textId="77777777" w:rsidTr="00D60D32">
        <w:trPr>
          <w:trHeight w:val="444"/>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514ED792"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Численность граждан предпенсионного возраста, прошедших профессиональное обучение и дополнительное профессиональное образование</w:t>
            </w:r>
          </w:p>
        </w:tc>
        <w:tc>
          <w:tcPr>
            <w:tcW w:w="1029" w:type="dxa"/>
            <w:tcBorders>
              <w:top w:val="nil"/>
              <w:left w:val="nil"/>
              <w:bottom w:val="single" w:sz="4" w:space="0" w:color="auto"/>
              <w:right w:val="single" w:sz="4" w:space="0" w:color="auto"/>
            </w:tcBorders>
            <w:shd w:val="clear" w:color="auto" w:fill="auto"/>
            <w:noWrap/>
            <w:vAlign w:val="center"/>
            <w:hideMark/>
          </w:tcPr>
          <w:p w14:paraId="58B0CF22"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Человек</w:t>
            </w:r>
          </w:p>
        </w:tc>
        <w:tc>
          <w:tcPr>
            <w:tcW w:w="1071" w:type="dxa"/>
            <w:tcBorders>
              <w:top w:val="nil"/>
              <w:left w:val="nil"/>
              <w:bottom w:val="single" w:sz="4" w:space="0" w:color="auto"/>
              <w:right w:val="single" w:sz="4" w:space="0" w:color="auto"/>
            </w:tcBorders>
            <w:shd w:val="clear" w:color="auto" w:fill="auto"/>
            <w:noWrap/>
            <w:vAlign w:val="center"/>
            <w:hideMark/>
          </w:tcPr>
          <w:p w14:paraId="1207360D"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14:paraId="39B15D60"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457FEBE" w14:textId="77777777" w:rsidR="00E37C61" w:rsidRPr="00A53AD7" w:rsidRDefault="00E37C61" w:rsidP="00D60D32">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433</w:t>
            </w:r>
          </w:p>
        </w:tc>
        <w:tc>
          <w:tcPr>
            <w:tcW w:w="1100" w:type="dxa"/>
            <w:tcBorders>
              <w:top w:val="nil"/>
              <w:left w:val="nil"/>
              <w:bottom w:val="single" w:sz="4" w:space="0" w:color="auto"/>
              <w:right w:val="single" w:sz="4" w:space="0" w:color="auto"/>
            </w:tcBorders>
            <w:shd w:val="clear" w:color="auto" w:fill="auto"/>
            <w:vAlign w:val="center"/>
            <w:hideMark/>
          </w:tcPr>
          <w:p w14:paraId="1ED4BB2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577</w:t>
            </w:r>
          </w:p>
        </w:tc>
        <w:tc>
          <w:tcPr>
            <w:tcW w:w="786" w:type="dxa"/>
            <w:tcBorders>
              <w:top w:val="nil"/>
              <w:left w:val="nil"/>
              <w:bottom w:val="single" w:sz="4" w:space="0" w:color="auto"/>
              <w:right w:val="double" w:sz="6" w:space="0" w:color="auto"/>
            </w:tcBorders>
            <w:shd w:val="clear" w:color="auto" w:fill="auto"/>
            <w:vAlign w:val="center"/>
            <w:hideMark/>
          </w:tcPr>
          <w:p w14:paraId="621DACB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7347551F" w14:textId="77777777" w:rsidTr="00D6138F">
        <w:trPr>
          <w:trHeight w:val="636"/>
        </w:trPr>
        <w:tc>
          <w:tcPr>
            <w:tcW w:w="9328" w:type="dxa"/>
            <w:gridSpan w:val="7"/>
            <w:tcBorders>
              <w:top w:val="single" w:sz="4" w:space="0" w:color="auto"/>
              <w:left w:val="double" w:sz="6" w:space="0" w:color="auto"/>
              <w:bottom w:val="single" w:sz="4" w:space="0" w:color="auto"/>
              <w:right w:val="double" w:sz="6" w:space="0" w:color="000000"/>
            </w:tcBorders>
            <w:shd w:val="clear" w:color="auto" w:fill="auto"/>
            <w:vAlign w:val="center"/>
            <w:hideMark/>
          </w:tcPr>
          <w:p w14:paraId="486F5CC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tc>
      </w:tr>
      <w:tr w:rsidR="00D470B6" w:rsidRPr="00A53AD7" w14:paraId="6352513D" w14:textId="77777777" w:rsidTr="00D6138F">
        <w:trPr>
          <w:trHeight w:val="300"/>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29978C1"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Доля детей и молодежи (возраст 3-29 лет), систематически занимающихся физической культурой и спортом </w:t>
            </w:r>
          </w:p>
        </w:tc>
        <w:tc>
          <w:tcPr>
            <w:tcW w:w="1029" w:type="dxa"/>
            <w:tcBorders>
              <w:top w:val="nil"/>
              <w:left w:val="nil"/>
              <w:bottom w:val="single" w:sz="4" w:space="0" w:color="auto"/>
              <w:right w:val="single" w:sz="4" w:space="0" w:color="auto"/>
            </w:tcBorders>
            <w:shd w:val="clear" w:color="auto" w:fill="auto"/>
            <w:vAlign w:val="center"/>
            <w:hideMark/>
          </w:tcPr>
          <w:p w14:paraId="24BA4C9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1A18495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77,1</w:t>
            </w:r>
          </w:p>
        </w:tc>
        <w:tc>
          <w:tcPr>
            <w:tcW w:w="1116" w:type="dxa"/>
            <w:tcBorders>
              <w:top w:val="nil"/>
              <w:left w:val="nil"/>
              <w:bottom w:val="single" w:sz="4" w:space="0" w:color="auto"/>
              <w:right w:val="single" w:sz="4" w:space="0" w:color="auto"/>
            </w:tcBorders>
            <w:shd w:val="clear" w:color="auto" w:fill="auto"/>
            <w:noWrap/>
            <w:vAlign w:val="center"/>
            <w:hideMark/>
          </w:tcPr>
          <w:p w14:paraId="30C17ED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0A2B0254"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w:t>
            </w:r>
          </w:p>
        </w:tc>
        <w:tc>
          <w:tcPr>
            <w:tcW w:w="1100" w:type="dxa"/>
            <w:tcBorders>
              <w:top w:val="nil"/>
              <w:left w:val="nil"/>
              <w:bottom w:val="single" w:sz="4" w:space="0" w:color="auto"/>
              <w:right w:val="single" w:sz="4" w:space="0" w:color="auto"/>
            </w:tcBorders>
            <w:shd w:val="clear" w:color="auto" w:fill="auto"/>
            <w:noWrap/>
            <w:vAlign w:val="center"/>
            <w:hideMark/>
          </w:tcPr>
          <w:p w14:paraId="2F05014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w:t>
            </w:r>
          </w:p>
        </w:tc>
        <w:tc>
          <w:tcPr>
            <w:tcW w:w="786" w:type="dxa"/>
            <w:tcBorders>
              <w:top w:val="nil"/>
              <w:left w:val="nil"/>
              <w:bottom w:val="single" w:sz="4" w:space="0" w:color="auto"/>
              <w:right w:val="double" w:sz="6" w:space="0" w:color="auto"/>
            </w:tcBorders>
            <w:shd w:val="clear" w:color="auto" w:fill="auto"/>
            <w:noWrap/>
            <w:vAlign w:val="center"/>
            <w:hideMark/>
          </w:tcPr>
          <w:p w14:paraId="6E0F7D9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12330B8" w14:textId="77777777" w:rsidTr="00D6138F">
        <w:trPr>
          <w:trHeight w:val="432"/>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68037856"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Доля граждан среднего возраста (женщины 30-54 года; мужчины 30-59 лет), систематически занимающихся физической культурой и спортом </w:t>
            </w:r>
          </w:p>
        </w:tc>
        <w:tc>
          <w:tcPr>
            <w:tcW w:w="1029" w:type="dxa"/>
            <w:tcBorders>
              <w:top w:val="nil"/>
              <w:left w:val="nil"/>
              <w:bottom w:val="single" w:sz="4" w:space="0" w:color="auto"/>
              <w:right w:val="single" w:sz="4" w:space="0" w:color="auto"/>
            </w:tcBorders>
            <w:shd w:val="clear" w:color="auto" w:fill="auto"/>
            <w:vAlign w:val="center"/>
            <w:hideMark/>
          </w:tcPr>
          <w:p w14:paraId="682C59A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0878306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13,1</w:t>
            </w:r>
          </w:p>
        </w:tc>
        <w:tc>
          <w:tcPr>
            <w:tcW w:w="1116" w:type="dxa"/>
            <w:tcBorders>
              <w:top w:val="nil"/>
              <w:left w:val="nil"/>
              <w:bottom w:val="single" w:sz="4" w:space="0" w:color="auto"/>
              <w:right w:val="single" w:sz="4" w:space="0" w:color="auto"/>
            </w:tcBorders>
            <w:shd w:val="clear" w:color="auto" w:fill="auto"/>
            <w:noWrap/>
            <w:vAlign w:val="center"/>
            <w:hideMark/>
          </w:tcPr>
          <w:p w14:paraId="05E616B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6701696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1100" w:type="dxa"/>
            <w:tcBorders>
              <w:top w:val="nil"/>
              <w:left w:val="nil"/>
              <w:bottom w:val="single" w:sz="4" w:space="0" w:color="auto"/>
              <w:right w:val="single" w:sz="4" w:space="0" w:color="auto"/>
            </w:tcBorders>
            <w:shd w:val="clear" w:color="auto" w:fill="auto"/>
            <w:noWrap/>
            <w:vAlign w:val="center"/>
            <w:hideMark/>
          </w:tcPr>
          <w:p w14:paraId="3C34895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786" w:type="dxa"/>
            <w:tcBorders>
              <w:top w:val="nil"/>
              <w:left w:val="nil"/>
              <w:bottom w:val="single" w:sz="4" w:space="0" w:color="auto"/>
              <w:right w:val="double" w:sz="6" w:space="0" w:color="auto"/>
            </w:tcBorders>
            <w:shd w:val="clear" w:color="auto" w:fill="auto"/>
            <w:noWrap/>
            <w:vAlign w:val="center"/>
            <w:hideMark/>
          </w:tcPr>
          <w:p w14:paraId="468616B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DA30039" w14:textId="77777777" w:rsidTr="00D6138F">
        <w:trPr>
          <w:trHeight w:val="300"/>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5E10D770"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Доля граждан старшего возраста (женщины 55-79 лет; мужчины 60-79 лет), систематически занимающихся физической культурой и спортом </w:t>
            </w:r>
          </w:p>
        </w:tc>
        <w:tc>
          <w:tcPr>
            <w:tcW w:w="1029" w:type="dxa"/>
            <w:tcBorders>
              <w:top w:val="nil"/>
              <w:left w:val="nil"/>
              <w:bottom w:val="single" w:sz="4" w:space="0" w:color="auto"/>
              <w:right w:val="single" w:sz="4" w:space="0" w:color="auto"/>
            </w:tcBorders>
            <w:shd w:val="clear" w:color="auto" w:fill="auto"/>
            <w:vAlign w:val="center"/>
            <w:hideMark/>
          </w:tcPr>
          <w:p w14:paraId="4725C04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0E4F10E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w:t>
            </w:r>
          </w:p>
        </w:tc>
        <w:tc>
          <w:tcPr>
            <w:tcW w:w="1116" w:type="dxa"/>
            <w:tcBorders>
              <w:top w:val="nil"/>
              <w:left w:val="nil"/>
              <w:bottom w:val="single" w:sz="4" w:space="0" w:color="auto"/>
              <w:right w:val="single" w:sz="4" w:space="0" w:color="auto"/>
            </w:tcBorders>
            <w:shd w:val="clear" w:color="auto" w:fill="auto"/>
            <w:noWrap/>
            <w:vAlign w:val="center"/>
            <w:hideMark/>
          </w:tcPr>
          <w:p w14:paraId="0A4954D4"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3A47FEB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1100" w:type="dxa"/>
            <w:tcBorders>
              <w:top w:val="nil"/>
              <w:left w:val="nil"/>
              <w:bottom w:val="single" w:sz="4" w:space="0" w:color="auto"/>
              <w:right w:val="single" w:sz="4" w:space="0" w:color="auto"/>
            </w:tcBorders>
            <w:shd w:val="clear" w:color="auto" w:fill="auto"/>
            <w:noWrap/>
            <w:vAlign w:val="center"/>
            <w:hideMark/>
          </w:tcPr>
          <w:p w14:paraId="77047B90"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786" w:type="dxa"/>
            <w:tcBorders>
              <w:top w:val="nil"/>
              <w:left w:val="nil"/>
              <w:bottom w:val="single" w:sz="4" w:space="0" w:color="auto"/>
              <w:right w:val="double" w:sz="6" w:space="0" w:color="auto"/>
            </w:tcBorders>
            <w:shd w:val="clear" w:color="auto" w:fill="auto"/>
            <w:noWrap/>
            <w:vAlign w:val="center"/>
            <w:hideMark/>
          </w:tcPr>
          <w:p w14:paraId="02053A8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BAA284C" w14:textId="77777777" w:rsidTr="00D6138F">
        <w:trPr>
          <w:trHeight w:val="300"/>
        </w:trPr>
        <w:tc>
          <w:tcPr>
            <w:tcW w:w="3261" w:type="dxa"/>
            <w:tcBorders>
              <w:top w:val="nil"/>
              <w:left w:val="double" w:sz="6" w:space="0" w:color="auto"/>
              <w:bottom w:val="single" w:sz="4" w:space="0" w:color="auto"/>
              <w:right w:val="single" w:sz="4" w:space="0" w:color="auto"/>
            </w:tcBorders>
            <w:shd w:val="clear" w:color="auto" w:fill="auto"/>
            <w:vAlign w:val="bottom"/>
            <w:hideMark/>
          </w:tcPr>
          <w:p w14:paraId="114C4083"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Уровень обеспеченности граждан спортивными сооружениями исходя из единовременной пропускной способности объектов спорта </w:t>
            </w:r>
          </w:p>
        </w:tc>
        <w:tc>
          <w:tcPr>
            <w:tcW w:w="1029" w:type="dxa"/>
            <w:tcBorders>
              <w:top w:val="nil"/>
              <w:left w:val="nil"/>
              <w:bottom w:val="single" w:sz="4" w:space="0" w:color="auto"/>
              <w:right w:val="single" w:sz="4" w:space="0" w:color="auto"/>
            </w:tcBorders>
            <w:shd w:val="clear" w:color="auto" w:fill="auto"/>
            <w:vAlign w:val="center"/>
            <w:hideMark/>
          </w:tcPr>
          <w:p w14:paraId="355395BE"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single" w:sz="4" w:space="0" w:color="auto"/>
              <w:right w:val="single" w:sz="4" w:space="0" w:color="auto"/>
            </w:tcBorders>
            <w:shd w:val="clear" w:color="auto" w:fill="auto"/>
            <w:noWrap/>
            <w:vAlign w:val="center"/>
            <w:hideMark/>
          </w:tcPr>
          <w:p w14:paraId="62A45DAF"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w:t>
            </w:r>
          </w:p>
        </w:tc>
        <w:tc>
          <w:tcPr>
            <w:tcW w:w="1116" w:type="dxa"/>
            <w:tcBorders>
              <w:top w:val="nil"/>
              <w:left w:val="nil"/>
              <w:bottom w:val="single" w:sz="4" w:space="0" w:color="auto"/>
              <w:right w:val="single" w:sz="4" w:space="0" w:color="auto"/>
            </w:tcBorders>
            <w:shd w:val="clear" w:color="auto" w:fill="auto"/>
            <w:noWrap/>
            <w:vAlign w:val="center"/>
            <w:hideMark/>
          </w:tcPr>
          <w:p w14:paraId="56AADD3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single" w:sz="4" w:space="0" w:color="auto"/>
              <w:right w:val="single" w:sz="4" w:space="0" w:color="auto"/>
            </w:tcBorders>
            <w:shd w:val="clear" w:color="auto" w:fill="auto"/>
            <w:noWrap/>
            <w:vAlign w:val="center"/>
            <w:hideMark/>
          </w:tcPr>
          <w:p w14:paraId="73F63EC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52</w:t>
            </w:r>
          </w:p>
        </w:tc>
        <w:tc>
          <w:tcPr>
            <w:tcW w:w="1100" w:type="dxa"/>
            <w:tcBorders>
              <w:top w:val="nil"/>
              <w:left w:val="nil"/>
              <w:bottom w:val="single" w:sz="4" w:space="0" w:color="auto"/>
              <w:right w:val="single" w:sz="4" w:space="0" w:color="auto"/>
            </w:tcBorders>
            <w:shd w:val="clear" w:color="auto" w:fill="auto"/>
            <w:noWrap/>
            <w:vAlign w:val="center"/>
            <w:hideMark/>
          </w:tcPr>
          <w:p w14:paraId="48D26AE6"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52</w:t>
            </w:r>
          </w:p>
        </w:tc>
        <w:tc>
          <w:tcPr>
            <w:tcW w:w="786" w:type="dxa"/>
            <w:tcBorders>
              <w:top w:val="nil"/>
              <w:left w:val="nil"/>
              <w:bottom w:val="single" w:sz="4" w:space="0" w:color="auto"/>
              <w:right w:val="double" w:sz="6" w:space="0" w:color="auto"/>
            </w:tcBorders>
            <w:shd w:val="clear" w:color="auto" w:fill="auto"/>
            <w:noWrap/>
            <w:vAlign w:val="center"/>
            <w:hideMark/>
          </w:tcPr>
          <w:p w14:paraId="4B5BCBE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E37C61" w:rsidRPr="00A53AD7" w14:paraId="1BB3A587" w14:textId="77777777" w:rsidTr="00D6138F">
        <w:trPr>
          <w:trHeight w:val="444"/>
        </w:trPr>
        <w:tc>
          <w:tcPr>
            <w:tcW w:w="3261" w:type="dxa"/>
            <w:tcBorders>
              <w:top w:val="nil"/>
              <w:left w:val="double" w:sz="6" w:space="0" w:color="auto"/>
              <w:bottom w:val="double" w:sz="6" w:space="0" w:color="auto"/>
              <w:right w:val="single" w:sz="4" w:space="0" w:color="auto"/>
            </w:tcBorders>
            <w:shd w:val="clear" w:color="auto" w:fill="auto"/>
            <w:vAlign w:val="bottom"/>
            <w:hideMark/>
          </w:tcPr>
          <w:p w14:paraId="69D8BB1B" w14:textId="77777777"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Доля занимающихся по программам спортивной подготовки в организациях ведомственной принадлежности физической культуры и спорта </w:t>
            </w:r>
          </w:p>
        </w:tc>
        <w:tc>
          <w:tcPr>
            <w:tcW w:w="1029" w:type="dxa"/>
            <w:tcBorders>
              <w:top w:val="nil"/>
              <w:left w:val="nil"/>
              <w:bottom w:val="double" w:sz="6" w:space="0" w:color="auto"/>
              <w:right w:val="single" w:sz="4" w:space="0" w:color="auto"/>
            </w:tcBorders>
            <w:shd w:val="clear" w:color="auto" w:fill="auto"/>
            <w:vAlign w:val="center"/>
            <w:hideMark/>
          </w:tcPr>
          <w:p w14:paraId="3A8EF04C"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1071" w:type="dxa"/>
            <w:tcBorders>
              <w:top w:val="nil"/>
              <w:left w:val="nil"/>
              <w:bottom w:val="double" w:sz="6" w:space="0" w:color="auto"/>
              <w:right w:val="single" w:sz="4" w:space="0" w:color="auto"/>
            </w:tcBorders>
            <w:shd w:val="clear" w:color="auto" w:fill="auto"/>
            <w:noWrap/>
            <w:vAlign w:val="center"/>
            <w:hideMark/>
          </w:tcPr>
          <w:p w14:paraId="18A56642"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10,9</w:t>
            </w:r>
          </w:p>
        </w:tc>
        <w:tc>
          <w:tcPr>
            <w:tcW w:w="1116" w:type="dxa"/>
            <w:tcBorders>
              <w:top w:val="nil"/>
              <w:left w:val="nil"/>
              <w:bottom w:val="double" w:sz="6" w:space="0" w:color="auto"/>
              <w:right w:val="single" w:sz="4" w:space="0" w:color="auto"/>
            </w:tcBorders>
            <w:shd w:val="clear" w:color="auto" w:fill="auto"/>
            <w:noWrap/>
            <w:vAlign w:val="center"/>
            <w:hideMark/>
          </w:tcPr>
          <w:p w14:paraId="1C50B2DE"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31.12.2017</w:t>
            </w:r>
          </w:p>
        </w:tc>
        <w:tc>
          <w:tcPr>
            <w:tcW w:w="965" w:type="dxa"/>
            <w:tcBorders>
              <w:top w:val="nil"/>
              <w:left w:val="nil"/>
              <w:bottom w:val="double" w:sz="6" w:space="0" w:color="auto"/>
              <w:right w:val="single" w:sz="4" w:space="0" w:color="auto"/>
            </w:tcBorders>
            <w:shd w:val="clear" w:color="auto" w:fill="auto"/>
            <w:noWrap/>
            <w:vAlign w:val="center"/>
            <w:hideMark/>
          </w:tcPr>
          <w:p w14:paraId="5EEAADA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c>
          <w:tcPr>
            <w:tcW w:w="1100" w:type="dxa"/>
            <w:tcBorders>
              <w:top w:val="nil"/>
              <w:left w:val="nil"/>
              <w:bottom w:val="double" w:sz="6" w:space="0" w:color="auto"/>
              <w:right w:val="single" w:sz="4" w:space="0" w:color="auto"/>
            </w:tcBorders>
            <w:shd w:val="clear" w:color="auto" w:fill="auto"/>
            <w:noWrap/>
            <w:vAlign w:val="center"/>
            <w:hideMark/>
          </w:tcPr>
          <w:p w14:paraId="6C152361"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c>
          <w:tcPr>
            <w:tcW w:w="786" w:type="dxa"/>
            <w:tcBorders>
              <w:top w:val="nil"/>
              <w:left w:val="nil"/>
              <w:bottom w:val="double" w:sz="6" w:space="0" w:color="auto"/>
              <w:right w:val="double" w:sz="6" w:space="0" w:color="auto"/>
            </w:tcBorders>
            <w:shd w:val="clear" w:color="auto" w:fill="auto"/>
            <w:noWrap/>
            <w:vAlign w:val="center"/>
            <w:hideMark/>
          </w:tcPr>
          <w:p w14:paraId="01FB2B2A"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55E1F985" w14:textId="77777777" w:rsidR="00E37C61" w:rsidRPr="00A53AD7" w:rsidRDefault="00E37C61" w:rsidP="00E37C61">
      <w:pPr>
        <w:spacing w:after="0" w:line="240" w:lineRule="auto"/>
        <w:ind w:firstLine="851"/>
        <w:jc w:val="both"/>
        <w:rPr>
          <w:rFonts w:ascii="Times New Roman" w:hAnsi="Times New Roman"/>
          <w:sz w:val="28"/>
          <w:szCs w:val="28"/>
        </w:rPr>
      </w:pPr>
    </w:p>
    <w:p w14:paraId="60513DA8" w14:textId="79CBDB20" w:rsidR="00E37C61" w:rsidRPr="00A53AD7" w:rsidRDefault="00E37C61" w:rsidP="00E37C61">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 выполнены три целевых показателя Регионального проекта «Финансовая поддержка семей при рождении детей.» и один показатель по Региональному проекту «Содействие занятости женщин - создание условий дошкольного образования для детей в возрасте до трех лет».</w:t>
      </w:r>
    </w:p>
    <w:p w14:paraId="6077B8FA" w14:textId="6DB86826" w:rsidR="00A62497" w:rsidRPr="00A53AD7" w:rsidRDefault="00A62497" w:rsidP="00A62497">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Доля финансового обеспечения региональных проектов представлена в диаграмме:</w:t>
      </w:r>
    </w:p>
    <w:p w14:paraId="78882911" w14:textId="656EA0E1" w:rsidR="00A62497" w:rsidRPr="00A53AD7" w:rsidRDefault="00A62497" w:rsidP="00627147">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010D0F42" wp14:editId="362A6207">
            <wp:extent cx="4692678" cy="2622906"/>
            <wp:effectExtent l="0" t="0" r="0" b="635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98595" cy="2626213"/>
                    </a:xfrm>
                    <a:prstGeom prst="rect">
                      <a:avLst/>
                    </a:prstGeom>
                    <a:noFill/>
                  </pic:spPr>
                </pic:pic>
              </a:graphicData>
            </a:graphic>
          </wp:inline>
        </w:drawing>
      </w:r>
    </w:p>
    <w:p w14:paraId="6199D9B9" w14:textId="7431E776" w:rsidR="00A62497" w:rsidRPr="00A53AD7" w:rsidRDefault="00627147" w:rsidP="0062714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68</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w:t>
      </w:r>
      <w:r w:rsidR="00A62497" w:rsidRPr="00A53AD7">
        <w:rPr>
          <w:rFonts w:ascii="Times New Roman" w:hAnsi="Times New Roman"/>
          <w:b w:val="0"/>
          <w:sz w:val="24"/>
          <w:szCs w:val="24"/>
        </w:rPr>
        <w:t>Финансирование национального проекта «Демография», млн.руб.</w:t>
      </w:r>
    </w:p>
    <w:tbl>
      <w:tblPr>
        <w:tblW w:w="9215" w:type="dxa"/>
        <w:tblInd w:w="-23" w:type="dxa"/>
        <w:tblLook w:val="04A0" w:firstRow="1" w:lastRow="0" w:firstColumn="1" w:lastColumn="0" w:noHBand="0" w:noVBand="1"/>
      </w:tblPr>
      <w:tblGrid>
        <w:gridCol w:w="5670"/>
        <w:gridCol w:w="993"/>
        <w:gridCol w:w="1276"/>
        <w:gridCol w:w="1276"/>
      </w:tblGrid>
      <w:tr w:rsidR="00D470B6" w:rsidRPr="00A53AD7" w14:paraId="0A7C2571" w14:textId="77777777" w:rsidTr="00434996">
        <w:trPr>
          <w:trHeight w:val="608"/>
        </w:trPr>
        <w:tc>
          <w:tcPr>
            <w:tcW w:w="567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642753B"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Регионального проекта</w:t>
            </w:r>
          </w:p>
        </w:tc>
        <w:tc>
          <w:tcPr>
            <w:tcW w:w="993" w:type="dxa"/>
            <w:tcBorders>
              <w:top w:val="double" w:sz="6" w:space="0" w:color="auto"/>
              <w:left w:val="nil"/>
              <w:bottom w:val="single" w:sz="4" w:space="0" w:color="auto"/>
              <w:right w:val="single" w:sz="4" w:space="0" w:color="auto"/>
            </w:tcBorders>
            <w:shd w:val="clear" w:color="auto" w:fill="auto"/>
            <w:vAlign w:val="center"/>
            <w:hideMark/>
          </w:tcPr>
          <w:p w14:paraId="1E984F46"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5425E70D"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Исполнение</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4D1DC785"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D470B6" w:rsidRPr="00A53AD7" w14:paraId="5EF2D635" w14:textId="77777777" w:rsidTr="00434996">
        <w:trPr>
          <w:trHeight w:val="222"/>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57B517A5" w14:textId="77777777" w:rsidR="00A62497" w:rsidRPr="00A53AD7" w:rsidRDefault="00A62497" w:rsidP="00A62497">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993" w:type="dxa"/>
            <w:tcBorders>
              <w:top w:val="nil"/>
              <w:left w:val="nil"/>
              <w:bottom w:val="single" w:sz="4" w:space="0" w:color="auto"/>
              <w:right w:val="single" w:sz="4" w:space="0" w:color="auto"/>
            </w:tcBorders>
            <w:shd w:val="clear" w:color="auto" w:fill="auto"/>
            <w:noWrap/>
            <w:vAlign w:val="bottom"/>
            <w:hideMark/>
          </w:tcPr>
          <w:p w14:paraId="59590C9A"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3 651,8</w:t>
            </w:r>
          </w:p>
        </w:tc>
        <w:tc>
          <w:tcPr>
            <w:tcW w:w="1276" w:type="dxa"/>
            <w:tcBorders>
              <w:top w:val="nil"/>
              <w:left w:val="nil"/>
              <w:bottom w:val="single" w:sz="4" w:space="0" w:color="auto"/>
              <w:right w:val="single" w:sz="4" w:space="0" w:color="auto"/>
            </w:tcBorders>
            <w:shd w:val="clear" w:color="auto" w:fill="auto"/>
            <w:noWrap/>
            <w:vAlign w:val="bottom"/>
            <w:hideMark/>
          </w:tcPr>
          <w:p w14:paraId="48454CDB"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2 136,4</w:t>
            </w:r>
          </w:p>
        </w:tc>
        <w:tc>
          <w:tcPr>
            <w:tcW w:w="1276" w:type="dxa"/>
            <w:tcBorders>
              <w:top w:val="nil"/>
              <w:left w:val="nil"/>
              <w:bottom w:val="single" w:sz="4" w:space="0" w:color="auto"/>
              <w:right w:val="double" w:sz="6" w:space="0" w:color="auto"/>
            </w:tcBorders>
            <w:shd w:val="clear" w:color="auto" w:fill="auto"/>
            <w:noWrap/>
            <w:vAlign w:val="bottom"/>
            <w:hideMark/>
          </w:tcPr>
          <w:p w14:paraId="25A25064"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58,5</w:t>
            </w:r>
          </w:p>
        </w:tc>
      </w:tr>
      <w:tr w:rsidR="00D470B6" w:rsidRPr="00A53AD7" w14:paraId="4466F3E4" w14:textId="77777777" w:rsidTr="00434996">
        <w:trPr>
          <w:trHeight w:val="206"/>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25108CD7" w14:textId="77777777" w:rsidR="00A62497" w:rsidRPr="00A53AD7" w:rsidRDefault="00A62497" w:rsidP="00A62497">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Финансовая поддержка семей при рождении детей</w:t>
            </w:r>
          </w:p>
        </w:tc>
        <w:tc>
          <w:tcPr>
            <w:tcW w:w="993" w:type="dxa"/>
            <w:tcBorders>
              <w:top w:val="nil"/>
              <w:left w:val="nil"/>
              <w:bottom w:val="single" w:sz="4" w:space="0" w:color="auto"/>
              <w:right w:val="single" w:sz="4" w:space="0" w:color="auto"/>
            </w:tcBorders>
            <w:shd w:val="clear" w:color="auto" w:fill="auto"/>
            <w:noWrap/>
            <w:vAlign w:val="bottom"/>
            <w:hideMark/>
          </w:tcPr>
          <w:p w14:paraId="06F7E8EE"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1 338,0</w:t>
            </w:r>
          </w:p>
        </w:tc>
        <w:tc>
          <w:tcPr>
            <w:tcW w:w="1276" w:type="dxa"/>
            <w:tcBorders>
              <w:top w:val="nil"/>
              <w:left w:val="nil"/>
              <w:bottom w:val="single" w:sz="4" w:space="0" w:color="auto"/>
              <w:right w:val="single" w:sz="4" w:space="0" w:color="auto"/>
            </w:tcBorders>
            <w:shd w:val="clear" w:color="auto" w:fill="auto"/>
            <w:noWrap/>
            <w:vAlign w:val="bottom"/>
            <w:hideMark/>
          </w:tcPr>
          <w:p w14:paraId="6FAF9740"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1 329,3</w:t>
            </w:r>
          </w:p>
        </w:tc>
        <w:tc>
          <w:tcPr>
            <w:tcW w:w="1276" w:type="dxa"/>
            <w:tcBorders>
              <w:top w:val="nil"/>
              <w:left w:val="nil"/>
              <w:bottom w:val="single" w:sz="4" w:space="0" w:color="auto"/>
              <w:right w:val="double" w:sz="6" w:space="0" w:color="auto"/>
            </w:tcBorders>
            <w:shd w:val="clear" w:color="auto" w:fill="auto"/>
            <w:noWrap/>
            <w:vAlign w:val="bottom"/>
            <w:hideMark/>
          </w:tcPr>
          <w:p w14:paraId="3E4A5335"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99,4</w:t>
            </w:r>
          </w:p>
        </w:tc>
      </w:tr>
      <w:tr w:rsidR="00D470B6" w:rsidRPr="00A53AD7" w14:paraId="3859FAFB" w14:textId="77777777" w:rsidTr="00434996">
        <w:trPr>
          <w:trHeight w:val="251"/>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3CA7514A" w14:textId="77777777" w:rsidR="00A62497" w:rsidRPr="00A53AD7" w:rsidRDefault="00A62497" w:rsidP="00A62497">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Содействие занятости женщин - создание условий дошкольного образования для детей в возрасте до трех лет</w:t>
            </w:r>
          </w:p>
        </w:tc>
        <w:tc>
          <w:tcPr>
            <w:tcW w:w="993" w:type="dxa"/>
            <w:tcBorders>
              <w:top w:val="nil"/>
              <w:left w:val="nil"/>
              <w:bottom w:val="single" w:sz="4" w:space="0" w:color="auto"/>
              <w:right w:val="single" w:sz="4" w:space="0" w:color="auto"/>
            </w:tcBorders>
            <w:shd w:val="clear" w:color="auto" w:fill="auto"/>
            <w:noWrap/>
            <w:vAlign w:val="bottom"/>
            <w:hideMark/>
          </w:tcPr>
          <w:p w14:paraId="79E64717"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2 061,6</w:t>
            </w:r>
          </w:p>
        </w:tc>
        <w:tc>
          <w:tcPr>
            <w:tcW w:w="1276" w:type="dxa"/>
            <w:tcBorders>
              <w:top w:val="nil"/>
              <w:left w:val="nil"/>
              <w:bottom w:val="single" w:sz="4" w:space="0" w:color="auto"/>
              <w:right w:val="single" w:sz="4" w:space="0" w:color="auto"/>
            </w:tcBorders>
            <w:shd w:val="clear" w:color="auto" w:fill="auto"/>
            <w:noWrap/>
            <w:vAlign w:val="bottom"/>
            <w:hideMark/>
          </w:tcPr>
          <w:p w14:paraId="12423AF0"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635,0</w:t>
            </w:r>
          </w:p>
        </w:tc>
        <w:tc>
          <w:tcPr>
            <w:tcW w:w="1276" w:type="dxa"/>
            <w:tcBorders>
              <w:top w:val="nil"/>
              <w:left w:val="nil"/>
              <w:bottom w:val="single" w:sz="4" w:space="0" w:color="auto"/>
              <w:right w:val="double" w:sz="6" w:space="0" w:color="auto"/>
            </w:tcBorders>
            <w:shd w:val="clear" w:color="auto" w:fill="auto"/>
            <w:noWrap/>
            <w:vAlign w:val="bottom"/>
            <w:hideMark/>
          </w:tcPr>
          <w:p w14:paraId="11DBCD27"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30,8</w:t>
            </w:r>
          </w:p>
        </w:tc>
      </w:tr>
      <w:tr w:rsidR="00D470B6" w:rsidRPr="00A53AD7" w14:paraId="35B9B6D4" w14:textId="77777777" w:rsidTr="00434996">
        <w:trPr>
          <w:trHeight w:val="202"/>
        </w:trPr>
        <w:tc>
          <w:tcPr>
            <w:tcW w:w="5670" w:type="dxa"/>
            <w:tcBorders>
              <w:top w:val="nil"/>
              <w:left w:val="double" w:sz="6" w:space="0" w:color="auto"/>
              <w:bottom w:val="single" w:sz="4" w:space="0" w:color="auto"/>
              <w:right w:val="single" w:sz="4" w:space="0" w:color="auto"/>
            </w:tcBorders>
            <w:shd w:val="clear" w:color="auto" w:fill="auto"/>
            <w:vAlign w:val="center"/>
            <w:hideMark/>
          </w:tcPr>
          <w:p w14:paraId="6EFE304B" w14:textId="52B8AC15" w:rsidR="00E37C61" w:rsidRPr="00A53AD7" w:rsidRDefault="00E37C61" w:rsidP="00E37C61">
            <w:pPr>
              <w:spacing w:after="0" w:line="240" w:lineRule="auto"/>
              <w:jc w:val="both"/>
              <w:rPr>
                <w:rFonts w:ascii="Times New Roman" w:eastAsia="Times New Roman" w:hAnsi="Times New Roman"/>
                <w:sz w:val="20"/>
                <w:szCs w:val="20"/>
                <w:lang w:eastAsia="ru-RU"/>
              </w:rPr>
            </w:pPr>
            <w:r w:rsidRPr="00A53AD7">
              <w:rPr>
                <w:rFonts w:ascii="Times New Roman" w:hAnsi="Times New Roman"/>
                <w:sz w:val="20"/>
                <w:szCs w:val="20"/>
              </w:rPr>
              <w:t>Разработка и реализация программы системной поддержки и повышения качества жизни граждан старшего поколения</w:t>
            </w:r>
          </w:p>
        </w:tc>
        <w:tc>
          <w:tcPr>
            <w:tcW w:w="993" w:type="dxa"/>
            <w:tcBorders>
              <w:top w:val="nil"/>
              <w:left w:val="nil"/>
              <w:bottom w:val="single" w:sz="4" w:space="0" w:color="auto"/>
              <w:right w:val="single" w:sz="4" w:space="0" w:color="auto"/>
            </w:tcBorders>
            <w:shd w:val="clear" w:color="auto" w:fill="auto"/>
            <w:noWrap/>
            <w:vAlign w:val="bottom"/>
            <w:hideMark/>
          </w:tcPr>
          <w:p w14:paraId="288FA788"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72,1</w:t>
            </w:r>
          </w:p>
        </w:tc>
        <w:tc>
          <w:tcPr>
            <w:tcW w:w="1276" w:type="dxa"/>
            <w:tcBorders>
              <w:top w:val="nil"/>
              <w:left w:val="nil"/>
              <w:bottom w:val="single" w:sz="4" w:space="0" w:color="auto"/>
              <w:right w:val="single" w:sz="4" w:space="0" w:color="auto"/>
            </w:tcBorders>
            <w:shd w:val="clear" w:color="auto" w:fill="auto"/>
            <w:noWrap/>
            <w:vAlign w:val="bottom"/>
            <w:hideMark/>
          </w:tcPr>
          <w:p w14:paraId="2A1AD0AB"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50,2</w:t>
            </w:r>
          </w:p>
        </w:tc>
        <w:tc>
          <w:tcPr>
            <w:tcW w:w="1276" w:type="dxa"/>
            <w:tcBorders>
              <w:top w:val="nil"/>
              <w:left w:val="nil"/>
              <w:bottom w:val="single" w:sz="4" w:space="0" w:color="auto"/>
              <w:right w:val="double" w:sz="6" w:space="0" w:color="auto"/>
            </w:tcBorders>
            <w:shd w:val="clear" w:color="auto" w:fill="auto"/>
            <w:noWrap/>
            <w:vAlign w:val="bottom"/>
            <w:hideMark/>
          </w:tcPr>
          <w:p w14:paraId="61C3F5C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69,6</w:t>
            </w:r>
          </w:p>
        </w:tc>
      </w:tr>
      <w:tr w:rsidR="00E37C61" w:rsidRPr="00A53AD7" w14:paraId="600FF7B8" w14:textId="77777777" w:rsidTr="00434996">
        <w:trPr>
          <w:trHeight w:val="248"/>
        </w:trPr>
        <w:tc>
          <w:tcPr>
            <w:tcW w:w="5670" w:type="dxa"/>
            <w:tcBorders>
              <w:top w:val="nil"/>
              <w:left w:val="double" w:sz="6" w:space="0" w:color="auto"/>
              <w:bottom w:val="double" w:sz="6" w:space="0" w:color="auto"/>
              <w:right w:val="single" w:sz="4" w:space="0" w:color="auto"/>
            </w:tcBorders>
            <w:shd w:val="clear" w:color="auto" w:fill="auto"/>
            <w:vAlign w:val="center"/>
            <w:hideMark/>
          </w:tcPr>
          <w:p w14:paraId="30A7B86F" w14:textId="11AE8609" w:rsidR="00E37C61" w:rsidRPr="00A53AD7" w:rsidRDefault="00E37C61" w:rsidP="00E37C61">
            <w:pPr>
              <w:spacing w:after="0" w:line="240" w:lineRule="auto"/>
              <w:rPr>
                <w:rFonts w:ascii="Times New Roman" w:eastAsia="Times New Roman" w:hAnsi="Times New Roman"/>
                <w:sz w:val="20"/>
                <w:szCs w:val="20"/>
                <w:lang w:eastAsia="ru-RU"/>
              </w:rPr>
            </w:pPr>
            <w:r w:rsidRPr="00A53AD7">
              <w:rPr>
                <w:rFonts w:ascii="Times New Roman" w:hAnsi="Times New Roman"/>
                <w:sz w:val="20"/>
                <w:szCs w:val="20"/>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tc>
        <w:tc>
          <w:tcPr>
            <w:tcW w:w="993" w:type="dxa"/>
            <w:tcBorders>
              <w:top w:val="nil"/>
              <w:left w:val="nil"/>
              <w:bottom w:val="double" w:sz="6" w:space="0" w:color="auto"/>
              <w:right w:val="single" w:sz="4" w:space="0" w:color="auto"/>
            </w:tcBorders>
            <w:shd w:val="clear" w:color="auto" w:fill="auto"/>
            <w:noWrap/>
            <w:vAlign w:val="bottom"/>
            <w:hideMark/>
          </w:tcPr>
          <w:p w14:paraId="2D5B56DD"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180,1</w:t>
            </w:r>
          </w:p>
        </w:tc>
        <w:tc>
          <w:tcPr>
            <w:tcW w:w="1276" w:type="dxa"/>
            <w:tcBorders>
              <w:top w:val="nil"/>
              <w:left w:val="nil"/>
              <w:bottom w:val="double" w:sz="6" w:space="0" w:color="auto"/>
              <w:right w:val="single" w:sz="4" w:space="0" w:color="auto"/>
            </w:tcBorders>
            <w:shd w:val="clear" w:color="auto" w:fill="auto"/>
            <w:noWrap/>
            <w:vAlign w:val="bottom"/>
            <w:hideMark/>
          </w:tcPr>
          <w:p w14:paraId="24201C47"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122,0</w:t>
            </w:r>
          </w:p>
        </w:tc>
        <w:tc>
          <w:tcPr>
            <w:tcW w:w="1276" w:type="dxa"/>
            <w:tcBorders>
              <w:top w:val="nil"/>
              <w:left w:val="nil"/>
              <w:bottom w:val="double" w:sz="6" w:space="0" w:color="auto"/>
              <w:right w:val="double" w:sz="6" w:space="0" w:color="auto"/>
            </w:tcBorders>
            <w:shd w:val="clear" w:color="auto" w:fill="auto"/>
            <w:noWrap/>
            <w:vAlign w:val="bottom"/>
            <w:hideMark/>
          </w:tcPr>
          <w:p w14:paraId="7EE987E9" w14:textId="77777777" w:rsidR="00E37C61" w:rsidRPr="00A53AD7" w:rsidRDefault="00E37C61" w:rsidP="00E37C61">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67,7</w:t>
            </w:r>
          </w:p>
        </w:tc>
      </w:tr>
    </w:tbl>
    <w:p w14:paraId="655CC5F7" w14:textId="77777777" w:rsidR="00434996" w:rsidRPr="00A53AD7" w:rsidRDefault="00434996" w:rsidP="00434996">
      <w:pPr>
        <w:spacing w:after="0" w:line="240" w:lineRule="auto"/>
        <w:ind w:firstLine="851"/>
        <w:jc w:val="both"/>
        <w:rPr>
          <w:rFonts w:ascii="Times New Roman" w:hAnsi="Times New Roman"/>
          <w:sz w:val="28"/>
          <w:szCs w:val="28"/>
        </w:rPr>
      </w:pPr>
    </w:p>
    <w:p w14:paraId="5F9F3445" w14:textId="3323808E"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Всего на реализацию национального проекта «Демография» направлено 2 136,4 млн.руб. или 58,5% от плана.</w:t>
      </w:r>
    </w:p>
    <w:p w14:paraId="79A52084" w14:textId="7514B4D5"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Исполнение мероприятий в рамках реализации региональных проектов за отчетный период в разрезе государственных программ Архангельской области за счет средств федерального и областного бюджета представлено в приложении </w:t>
      </w:r>
      <w:r w:rsidR="00434996" w:rsidRPr="00A53AD7">
        <w:rPr>
          <w:rFonts w:ascii="Times New Roman" w:hAnsi="Times New Roman"/>
          <w:sz w:val="28"/>
          <w:szCs w:val="28"/>
        </w:rPr>
        <w:t xml:space="preserve">№ </w:t>
      </w:r>
      <w:r w:rsidR="00632107" w:rsidRPr="00A53AD7">
        <w:rPr>
          <w:rFonts w:ascii="Times New Roman" w:hAnsi="Times New Roman"/>
          <w:sz w:val="28"/>
          <w:szCs w:val="28"/>
        </w:rPr>
        <w:t>16</w:t>
      </w:r>
      <w:r w:rsidR="00434996" w:rsidRPr="00A53AD7">
        <w:rPr>
          <w:rFonts w:ascii="Times New Roman" w:hAnsi="Times New Roman"/>
          <w:sz w:val="28"/>
          <w:szCs w:val="28"/>
        </w:rPr>
        <w:t xml:space="preserve"> к настоящему заключению</w:t>
      </w:r>
      <w:r w:rsidR="00F56BDE" w:rsidRPr="00A53AD7">
        <w:rPr>
          <w:rFonts w:ascii="Times New Roman" w:hAnsi="Times New Roman"/>
          <w:sz w:val="28"/>
          <w:szCs w:val="28"/>
        </w:rPr>
        <w:t>.</w:t>
      </w:r>
    </w:p>
    <w:p w14:paraId="4EDD65E8" w14:textId="28DDD795"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Анализ расходов бюджетных ассигнований на реализацию региональных проектов в отчетный период показал, что средний процент их исполнения составил 58,5%. Так, уровень финансирования региональных проектов (уровень фактически освоенных бюджетных ассигновани</w:t>
      </w:r>
      <w:r w:rsidR="00F56BDE" w:rsidRPr="00A53AD7">
        <w:rPr>
          <w:rFonts w:ascii="Times New Roman" w:hAnsi="Times New Roman"/>
          <w:sz w:val="28"/>
          <w:szCs w:val="28"/>
        </w:rPr>
        <w:t>й к запланированным) достигнут:</w:t>
      </w:r>
    </w:p>
    <w:p w14:paraId="1E9B5C29" w14:textId="28730DC1" w:rsidR="00A62497" w:rsidRPr="00A53AD7" w:rsidRDefault="00A62497" w:rsidP="00CA1DDD">
      <w:pPr>
        <w:pStyle w:val="a8"/>
        <w:numPr>
          <w:ilvl w:val="0"/>
          <w:numId w:val="45"/>
        </w:numPr>
        <w:ind w:left="0" w:firstLine="851"/>
        <w:jc w:val="both"/>
        <w:rPr>
          <w:sz w:val="28"/>
          <w:szCs w:val="28"/>
        </w:rPr>
      </w:pPr>
      <w:r w:rsidRPr="00A53AD7">
        <w:rPr>
          <w:sz w:val="28"/>
          <w:szCs w:val="28"/>
        </w:rPr>
        <w:t>99,4% по региональному проекту «Финансовая подде</w:t>
      </w:r>
      <w:r w:rsidR="00F56BDE" w:rsidRPr="00A53AD7">
        <w:rPr>
          <w:sz w:val="28"/>
          <w:szCs w:val="28"/>
        </w:rPr>
        <w:t>ржка семей при рождении детей»;</w:t>
      </w:r>
    </w:p>
    <w:p w14:paraId="580B332C" w14:textId="4D4E1238" w:rsidR="00E37C61" w:rsidRPr="00A53AD7" w:rsidRDefault="00E37C61" w:rsidP="00CA1DDD">
      <w:pPr>
        <w:pStyle w:val="a8"/>
        <w:numPr>
          <w:ilvl w:val="0"/>
          <w:numId w:val="45"/>
        </w:numPr>
        <w:ind w:left="0" w:firstLine="851"/>
        <w:jc w:val="both"/>
        <w:rPr>
          <w:sz w:val="28"/>
          <w:szCs w:val="28"/>
        </w:rPr>
      </w:pPr>
      <w:r w:rsidRPr="00A53AD7">
        <w:rPr>
          <w:sz w:val="28"/>
          <w:szCs w:val="28"/>
        </w:rPr>
        <w:t xml:space="preserve">69,6% по региональному проекту «Разработка и реализация программы системной поддержки и повышения качества жизни граждан старшего поколения»»; </w:t>
      </w:r>
    </w:p>
    <w:p w14:paraId="40B6F97F" w14:textId="5BD20D8A" w:rsidR="00E37C61" w:rsidRPr="00A53AD7" w:rsidRDefault="00E37C61" w:rsidP="00CA1DDD">
      <w:pPr>
        <w:pStyle w:val="a8"/>
        <w:numPr>
          <w:ilvl w:val="0"/>
          <w:numId w:val="45"/>
        </w:numPr>
        <w:ind w:left="0" w:firstLine="851"/>
        <w:jc w:val="both"/>
        <w:rPr>
          <w:sz w:val="28"/>
          <w:szCs w:val="28"/>
        </w:rPr>
      </w:pPr>
      <w:r w:rsidRPr="00A53AD7">
        <w:rPr>
          <w:sz w:val="28"/>
          <w:szCs w:val="28"/>
        </w:rPr>
        <w:t>67,7% по региональному проекту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p w14:paraId="2D71827D" w14:textId="157A5F46" w:rsidR="00A62497" w:rsidRPr="00A53AD7" w:rsidRDefault="00434996" w:rsidP="00CA1DDD">
      <w:pPr>
        <w:pStyle w:val="a8"/>
        <w:numPr>
          <w:ilvl w:val="0"/>
          <w:numId w:val="45"/>
        </w:numPr>
        <w:ind w:left="0" w:firstLine="851"/>
        <w:jc w:val="both"/>
        <w:rPr>
          <w:sz w:val="28"/>
          <w:szCs w:val="28"/>
        </w:rPr>
      </w:pPr>
      <w:r w:rsidRPr="00A53AD7">
        <w:rPr>
          <w:sz w:val="28"/>
          <w:szCs w:val="28"/>
        </w:rPr>
        <w:t>3</w:t>
      </w:r>
      <w:r w:rsidR="00A62497" w:rsidRPr="00A53AD7">
        <w:rPr>
          <w:sz w:val="28"/>
          <w:szCs w:val="28"/>
        </w:rPr>
        <w:t>0,8% по региональному проекту «Содействие занятости женщин - создание условий дошкольного образования для</w:t>
      </w:r>
      <w:r w:rsidR="00F56BDE" w:rsidRPr="00A53AD7">
        <w:rPr>
          <w:sz w:val="28"/>
          <w:szCs w:val="28"/>
        </w:rPr>
        <w:t xml:space="preserve"> детей в возрасте до трех лет».</w:t>
      </w:r>
    </w:p>
    <w:p w14:paraId="77875EC7" w14:textId="77777777" w:rsidR="00434996" w:rsidRPr="00A53AD7" w:rsidRDefault="00434996" w:rsidP="00A62497">
      <w:pPr>
        <w:spacing w:after="0" w:line="240" w:lineRule="auto"/>
        <w:ind w:firstLine="709"/>
        <w:jc w:val="both"/>
        <w:rPr>
          <w:rFonts w:ascii="Times New Roman" w:hAnsi="Times New Roman"/>
          <w:sz w:val="28"/>
          <w:szCs w:val="28"/>
          <w:highlight w:val="cyan"/>
        </w:rPr>
      </w:pPr>
    </w:p>
    <w:p w14:paraId="76A7C235" w14:textId="77777777" w:rsidR="00A62497" w:rsidRPr="00A53AD7" w:rsidRDefault="00A62497" w:rsidP="00434996">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«Финансовая поддержка семей при рождении детей»</w:t>
      </w:r>
    </w:p>
    <w:p w14:paraId="1CD2726D" w14:textId="41588D30"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Паспортом регионального проекта для достижения цели: «Увеличение суммарного коэффициента рождаемости в Архангельской области до 1,7 детей на 1 женщину в 2024 году, путем внедрения механизма финансовой поддержки семей при рождении детей, как понятной системы, направленной на минимизацию последствий изменения материального положения семей в связи с рождением детей, и осуществление долгосрочного планирования личных финансов на всех этапах жизнедеятельности семьи, связанных с рождением детей»,</w:t>
      </w:r>
      <w:r w:rsidR="008D4148" w:rsidRPr="00A53AD7">
        <w:rPr>
          <w:rFonts w:ascii="Times New Roman" w:hAnsi="Times New Roman"/>
          <w:sz w:val="28"/>
          <w:szCs w:val="28"/>
        </w:rPr>
        <w:t xml:space="preserve"> </w:t>
      </w:r>
      <w:r w:rsidRPr="00A53AD7">
        <w:rPr>
          <w:rFonts w:ascii="Times New Roman" w:hAnsi="Times New Roman"/>
          <w:sz w:val="28"/>
          <w:szCs w:val="28"/>
        </w:rPr>
        <w:t>предусмотрены три показателя с годовыми значениями на период реализации проекта.</w:t>
      </w:r>
    </w:p>
    <w:p w14:paraId="507C8D26"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Значение основного показателя «суммарный коэффициент рождаемости» на 2019 год в размере 1,735 соответствует значению, определенному национальным проектом «Демография» для Архангельской области.</w:t>
      </w:r>
    </w:p>
    <w:p w14:paraId="553FC491"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целевых показателей мероприятий РП «Финансовая поддержка семей при рождении детей» представлено в следующей таблице.</w:t>
      </w:r>
    </w:p>
    <w:p w14:paraId="7E3B333E" w14:textId="77777777" w:rsidR="00434996" w:rsidRPr="00A53AD7" w:rsidRDefault="00434996" w:rsidP="00434996">
      <w:pPr>
        <w:spacing w:after="0" w:line="240" w:lineRule="auto"/>
        <w:jc w:val="both"/>
        <w:rPr>
          <w:rFonts w:ascii="Times New Roman" w:hAnsi="Times New Roman"/>
          <w:b/>
          <w:sz w:val="24"/>
          <w:szCs w:val="24"/>
        </w:rPr>
      </w:pPr>
    </w:p>
    <w:p w14:paraId="0A64DFBF" w14:textId="627B1F3A" w:rsidR="00A62497" w:rsidRPr="00A53AD7" w:rsidRDefault="00434996" w:rsidP="00434996">
      <w:pPr>
        <w:spacing w:after="0" w:line="240" w:lineRule="auto"/>
        <w:jc w:val="both"/>
        <w:rPr>
          <w:rFonts w:ascii="Times New Roman" w:hAnsi="Times New Roman"/>
          <w:sz w:val="24"/>
          <w:szCs w:val="24"/>
        </w:rPr>
      </w:pPr>
      <w:r w:rsidRPr="00A53AD7">
        <w:rPr>
          <w:rFonts w:ascii="Times New Roman" w:hAnsi="Times New Roman"/>
          <w:sz w:val="24"/>
          <w:szCs w:val="24"/>
        </w:rPr>
        <w:t xml:space="preserve">Таблица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Таблица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69</w:t>
      </w:r>
      <w:r w:rsidRPr="00A53AD7">
        <w:rPr>
          <w:rFonts w:ascii="Times New Roman" w:hAnsi="Times New Roman"/>
          <w:sz w:val="24"/>
          <w:szCs w:val="24"/>
        </w:rPr>
        <w:fldChar w:fldCharType="end"/>
      </w:r>
      <w:r w:rsidRPr="00A53AD7">
        <w:rPr>
          <w:rFonts w:ascii="Times New Roman" w:hAnsi="Times New Roman"/>
          <w:sz w:val="24"/>
          <w:szCs w:val="24"/>
        </w:rPr>
        <w:t xml:space="preserve">. </w:t>
      </w:r>
      <w:r w:rsidR="00A62497" w:rsidRPr="00A53AD7">
        <w:rPr>
          <w:rFonts w:ascii="Times New Roman" w:hAnsi="Times New Roman"/>
          <w:sz w:val="24"/>
          <w:szCs w:val="24"/>
        </w:rPr>
        <w:t>Исполнение целевых показателей</w:t>
      </w:r>
    </w:p>
    <w:tbl>
      <w:tblPr>
        <w:tblStyle w:val="a7"/>
        <w:tblW w:w="9339" w:type="dxa"/>
        <w:tblLook w:val="04A0" w:firstRow="1" w:lastRow="0" w:firstColumn="1" w:lastColumn="0" w:noHBand="0" w:noVBand="1"/>
      </w:tblPr>
      <w:tblGrid>
        <w:gridCol w:w="4805"/>
        <w:gridCol w:w="1424"/>
        <w:gridCol w:w="991"/>
        <w:gridCol w:w="885"/>
        <w:gridCol w:w="1234"/>
      </w:tblGrid>
      <w:tr w:rsidR="00D470B6" w:rsidRPr="00A53AD7" w14:paraId="79778C34" w14:textId="77777777" w:rsidTr="00434996">
        <w:tc>
          <w:tcPr>
            <w:tcW w:w="4805" w:type="dxa"/>
            <w:vMerge w:val="restart"/>
            <w:tcBorders>
              <w:top w:val="double" w:sz="4" w:space="0" w:color="auto"/>
              <w:left w:val="double" w:sz="4" w:space="0" w:color="auto"/>
            </w:tcBorders>
          </w:tcPr>
          <w:p w14:paraId="5AE85988"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hAnsi="Times New Roman"/>
                <w:sz w:val="20"/>
                <w:szCs w:val="20"/>
              </w:rPr>
              <w:t>Показатель</w:t>
            </w:r>
          </w:p>
        </w:tc>
        <w:tc>
          <w:tcPr>
            <w:tcW w:w="1424" w:type="dxa"/>
            <w:vMerge w:val="restart"/>
            <w:tcBorders>
              <w:top w:val="double" w:sz="4" w:space="0" w:color="auto"/>
            </w:tcBorders>
          </w:tcPr>
          <w:p w14:paraId="1EBFAA9F"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eastAsia="Times New Roman" w:hAnsi="Times New Roman"/>
                <w:sz w:val="20"/>
                <w:szCs w:val="20"/>
                <w:lang w:eastAsia="ru-RU"/>
              </w:rPr>
              <w:t>Утверждено в госпрограмме</w:t>
            </w:r>
          </w:p>
        </w:tc>
        <w:tc>
          <w:tcPr>
            <w:tcW w:w="1876" w:type="dxa"/>
            <w:gridSpan w:val="2"/>
            <w:tcBorders>
              <w:top w:val="double" w:sz="4" w:space="0" w:color="auto"/>
            </w:tcBorders>
          </w:tcPr>
          <w:p w14:paraId="3A016509"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hAnsi="Times New Roman"/>
                <w:sz w:val="20"/>
                <w:szCs w:val="20"/>
              </w:rPr>
              <w:t>Значение показателя РП</w:t>
            </w:r>
          </w:p>
        </w:tc>
        <w:tc>
          <w:tcPr>
            <w:tcW w:w="1234" w:type="dxa"/>
            <w:vMerge w:val="restart"/>
            <w:tcBorders>
              <w:top w:val="double" w:sz="4" w:space="0" w:color="auto"/>
              <w:right w:val="double" w:sz="4" w:space="0" w:color="auto"/>
            </w:tcBorders>
          </w:tcPr>
          <w:p w14:paraId="628DEADA"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hAnsi="Times New Roman"/>
                <w:sz w:val="20"/>
                <w:szCs w:val="20"/>
              </w:rPr>
              <w:t>Процент достижения</w:t>
            </w:r>
          </w:p>
        </w:tc>
      </w:tr>
      <w:tr w:rsidR="00D470B6" w:rsidRPr="00A53AD7" w14:paraId="30687A5B" w14:textId="77777777" w:rsidTr="00434996">
        <w:tc>
          <w:tcPr>
            <w:tcW w:w="4805" w:type="dxa"/>
            <w:vMerge/>
            <w:tcBorders>
              <w:left w:val="double" w:sz="4" w:space="0" w:color="auto"/>
              <w:bottom w:val="single" w:sz="4" w:space="0" w:color="auto"/>
            </w:tcBorders>
          </w:tcPr>
          <w:p w14:paraId="7A4A8D04" w14:textId="77777777" w:rsidR="00A62497" w:rsidRPr="00A53AD7" w:rsidRDefault="00A62497" w:rsidP="00434996">
            <w:pPr>
              <w:spacing w:after="0" w:line="240" w:lineRule="auto"/>
              <w:jc w:val="both"/>
              <w:rPr>
                <w:rFonts w:ascii="Times New Roman" w:hAnsi="Times New Roman"/>
                <w:sz w:val="20"/>
                <w:szCs w:val="20"/>
              </w:rPr>
            </w:pPr>
          </w:p>
        </w:tc>
        <w:tc>
          <w:tcPr>
            <w:tcW w:w="1424" w:type="dxa"/>
            <w:vMerge/>
          </w:tcPr>
          <w:p w14:paraId="1910C279" w14:textId="77777777" w:rsidR="00A62497" w:rsidRPr="00A53AD7" w:rsidRDefault="00A62497" w:rsidP="00434996">
            <w:pPr>
              <w:spacing w:after="0" w:line="240" w:lineRule="auto"/>
              <w:jc w:val="both"/>
              <w:rPr>
                <w:rFonts w:ascii="Times New Roman" w:hAnsi="Times New Roman"/>
                <w:sz w:val="20"/>
                <w:szCs w:val="20"/>
              </w:rPr>
            </w:pPr>
          </w:p>
        </w:tc>
        <w:tc>
          <w:tcPr>
            <w:tcW w:w="991" w:type="dxa"/>
          </w:tcPr>
          <w:p w14:paraId="330164B7"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hAnsi="Times New Roman"/>
                <w:sz w:val="20"/>
                <w:szCs w:val="20"/>
              </w:rPr>
              <w:t>План</w:t>
            </w:r>
          </w:p>
        </w:tc>
        <w:tc>
          <w:tcPr>
            <w:tcW w:w="885" w:type="dxa"/>
          </w:tcPr>
          <w:p w14:paraId="57818244" w14:textId="77777777" w:rsidR="00A62497" w:rsidRPr="00A53AD7" w:rsidRDefault="00A62497" w:rsidP="00434996">
            <w:pPr>
              <w:spacing w:after="0" w:line="240" w:lineRule="auto"/>
              <w:jc w:val="center"/>
              <w:rPr>
                <w:rFonts w:ascii="Times New Roman" w:hAnsi="Times New Roman"/>
                <w:sz w:val="20"/>
                <w:szCs w:val="20"/>
              </w:rPr>
            </w:pPr>
            <w:r w:rsidRPr="00A53AD7">
              <w:rPr>
                <w:rFonts w:ascii="Times New Roman" w:hAnsi="Times New Roman"/>
                <w:sz w:val="20"/>
                <w:szCs w:val="20"/>
              </w:rPr>
              <w:t>Факт</w:t>
            </w:r>
          </w:p>
        </w:tc>
        <w:tc>
          <w:tcPr>
            <w:tcW w:w="1234" w:type="dxa"/>
            <w:vMerge/>
            <w:tcBorders>
              <w:bottom w:val="single" w:sz="4" w:space="0" w:color="auto"/>
              <w:right w:val="double" w:sz="4" w:space="0" w:color="auto"/>
            </w:tcBorders>
          </w:tcPr>
          <w:p w14:paraId="1E6F56FA" w14:textId="77777777" w:rsidR="00A62497" w:rsidRPr="00A53AD7" w:rsidRDefault="00A62497" w:rsidP="00434996">
            <w:pPr>
              <w:spacing w:after="0" w:line="240" w:lineRule="auto"/>
              <w:jc w:val="both"/>
              <w:rPr>
                <w:rFonts w:ascii="Times New Roman" w:hAnsi="Times New Roman"/>
                <w:sz w:val="20"/>
                <w:szCs w:val="20"/>
              </w:rPr>
            </w:pPr>
          </w:p>
        </w:tc>
      </w:tr>
      <w:tr w:rsidR="00D470B6" w:rsidRPr="00A53AD7" w14:paraId="58C7DCE4" w14:textId="77777777" w:rsidTr="00434996">
        <w:tc>
          <w:tcPr>
            <w:tcW w:w="4805" w:type="dxa"/>
            <w:tcBorders>
              <w:left w:val="double" w:sz="4" w:space="0" w:color="auto"/>
              <w:bottom w:val="single" w:sz="4" w:space="0" w:color="auto"/>
            </w:tcBorders>
          </w:tcPr>
          <w:p w14:paraId="332ABE1D" w14:textId="77777777" w:rsidR="00A62497" w:rsidRPr="00A53AD7" w:rsidRDefault="00A62497" w:rsidP="00434996">
            <w:pPr>
              <w:spacing w:after="0" w:line="240" w:lineRule="auto"/>
              <w:jc w:val="both"/>
              <w:rPr>
                <w:rFonts w:ascii="Times New Roman" w:hAnsi="Times New Roman"/>
                <w:sz w:val="20"/>
                <w:szCs w:val="20"/>
              </w:rPr>
            </w:pPr>
            <w:r w:rsidRPr="00A53AD7">
              <w:rPr>
                <w:rFonts w:ascii="Times New Roman" w:eastAsia="Times New Roman" w:hAnsi="Times New Roman"/>
                <w:spacing w:val="-2"/>
                <w:sz w:val="20"/>
              </w:rPr>
              <w:t>Суммарный коэффициент рождаемости</w:t>
            </w:r>
          </w:p>
        </w:tc>
        <w:tc>
          <w:tcPr>
            <w:tcW w:w="1424" w:type="dxa"/>
          </w:tcPr>
          <w:p w14:paraId="09CC3C33"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hAnsi="Times New Roman"/>
                <w:sz w:val="20"/>
                <w:szCs w:val="20"/>
              </w:rPr>
              <w:t>1,735</w:t>
            </w:r>
          </w:p>
        </w:tc>
        <w:tc>
          <w:tcPr>
            <w:tcW w:w="991" w:type="dxa"/>
          </w:tcPr>
          <w:p w14:paraId="7B2E25F3"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hAnsi="Times New Roman"/>
                <w:sz w:val="20"/>
                <w:szCs w:val="20"/>
              </w:rPr>
              <w:t>1,735</w:t>
            </w:r>
          </w:p>
        </w:tc>
        <w:tc>
          <w:tcPr>
            <w:tcW w:w="885" w:type="dxa"/>
          </w:tcPr>
          <w:p w14:paraId="3472C8AC"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hAnsi="Times New Roman"/>
                <w:sz w:val="20"/>
                <w:szCs w:val="20"/>
              </w:rPr>
              <w:t>1,651</w:t>
            </w:r>
          </w:p>
        </w:tc>
        <w:tc>
          <w:tcPr>
            <w:tcW w:w="1234" w:type="dxa"/>
            <w:tcBorders>
              <w:bottom w:val="single" w:sz="4" w:space="0" w:color="auto"/>
              <w:right w:val="double" w:sz="4" w:space="0" w:color="auto"/>
            </w:tcBorders>
          </w:tcPr>
          <w:p w14:paraId="32894FD1" w14:textId="386817CD" w:rsidR="00A62497" w:rsidRPr="00A53AD7" w:rsidRDefault="008D4148" w:rsidP="00C71A4C">
            <w:pPr>
              <w:spacing w:after="0" w:line="240" w:lineRule="auto"/>
              <w:jc w:val="right"/>
              <w:rPr>
                <w:rFonts w:ascii="Times New Roman" w:hAnsi="Times New Roman"/>
                <w:sz w:val="20"/>
                <w:szCs w:val="20"/>
              </w:rPr>
            </w:pPr>
            <w:r w:rsidRPr="00A53AD7">
              <w:rPr>
                <w:rFonts w:ascii="Times New Roman" w:hAnsi="Times New Roman"/>
                <w:sz w:val="20"/>
                <w:szCs w:val="20"/>
              </w:rPr>
              <w:t>89,68</w:t>
            </w:r>
          </w:p>
        </w:tc>
      </w:tr>
      <w:tr w:rsidR="00D470B6" w:rsidRPr="00A53AD7" w14:paraId="2324459A" w14:textId="77777777" w:rsidTr="00434996">
        <w:tc>
          <w:tcPr>
            <w:tcW w:w="4805" w:type="dxa"/>
            <w:tcBorders>
              <w:left w:val="double" w:sz="4" w:space="0" w:color="auto"/>
              <w:bottom w:val="single" w:sz="4" w:space="0" w:color="auto"/>
            </w:tcBorders>
          </w:tcPr>
          <w:p w14:paraId="0671FA1D" w14:textId="77777777" w:rsidR="00A62497" w:rsidRPr="00A53AD7" w:rsidRDefault="00A62497" w:rsidP="00434996">
            <w:pPr>
              <w:spacing w:after="0" w:line="240" w:lineRule="auto"/>
              <w:rPr>
                <w:rFonts w:ascii="Times New Roman" w:hAnsi="Times New Roman"/>
                <w:sz w:val="20"/>
                <w:szCs w:val="20"/>
              </w:rPr>
            </w:pPr>
            <w:r w:rsidRPr="00A53AD7">
              <w:rPr>
                <w:rFonts w:ascii="Times New Roman" w:eastAsia="Times New Roman" w:hAnsi="Times New Roman"/>
                <w:spacing w:val="-2"/>
                <w:sz w:val="20"/>
              </w:rPr>
              <w:t>Коэффициенты рождаемости в возрастной группе 30-34 лет (число родившихся на 1000 женщин соответствующего возраста)</w:t>
            </w:r>
          </w:p>
        </w:tc>
        <w:tc>
          <w:tcPr>
            <w:tcW w:w="1424" w:type="dxa"/>
            <w:tcBorders>
              <w:bottom w:val="single" w:sz="4" w:space="0" w:color="auto"/>
            </w:tcBorders>
          </w:tcPr>
          <w:p w14:paraId="5D94D17F" w14:textId="77777777" w:rsidR="00A62497" w:rsidRPr="00A53AD7" w:rsidRDefault="00A62497" w:rsidP="00C71A4C">
            <w:pPr>
              <w:spacing w:after="0" w:line="240" w:lineRule="auto"/>
              <w:jc w:val="right"/>
              <w:rPr>
                <w:rFonts w:ascii="Times New Roman" w:eastAsia="Times New Roman" w:hAnsi="Times New Roman"/>
                <w:spacing w:val="-2"/>
                <w:sz w:val="20"/>
              </w:rPr>
            </w:pPr>
          </w:p>
        </w:tc>
        <w:tc>
          <w:tcPr>
            <w:tcW w:w="991" w:type="dxa"/>
            <w:tcBorders>
              <w:bottom w:val="single" w:sz="4" w:space="0" w:color="auto"/>
            </w:tcBorders>
          </w:tcPr>
          <w:p w14:paraId="3135E05C"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eastAsia="Times New Roman" w:hAnsi="Times New Roman"/>
                <w:spacing w:val="-2"/>
                <w:sz w:val="20"/>
              </w:rPr>
              <w:t>90,2</w:t>
            </w:r>
          </w:p>
        </w:tc>
        <w:tc>
          <w:tcPr>
            <w:tcW w:w="885" w:type="dxa"/>
            <w:tcBorders>
              <w:bottom w:val="single" w:sz="4" w:space="0" w:color="auto"/>
            </w:tcBorders>
          </w:tcPr>
          <w:p w14:paraId="7AED007C"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eastAsia="Times New Roman" w:hAnsi="Times New Roman"/>
                <w:spacing w:val="-2"/>
                <w:sz w:val="20"/>
              </w:rPr>
              <w:t>84,87</w:t>
            </w:r>
          </w:p>
        </w:tc>
        <w:tc>
          <w:tcPr>
            <w:tcW w:w="1234" w:type="dxa"/>
            <w:tcBorders>
              <w:bottom w:val="single" w:sz="4" w:space="0" w:color="auto"/>
              <w:right w:val="double" w:sz="4" w:space="0" w:color="auto"/>
            </w:tcBorders>
          </w:tcPr>
          <w:p w14:paraId="713897CB" w14:textId="3E8FD940" w:rsidR="00A62497" w:rsidRPr="00A53AD7" w:rsidRDefault="008D4148" w:rsidP="00C71A4C">
            <w:pPr>
              <w:spacing w:after="0" w:line="240" w:lineRule="auto"/>
              <w:jc w:val="right"/>
              <w:rPr>
                <w:rFonts w:ascii="Times New Roman" w:hAnsi="Times New Roman"/>
                <w:sz w:val="20"/>
                <w:szCs w:val="20"/>
              </w:rPr>
            </w:pPr>
            <w:r w:rsidRPr="00A53AD7">
              <w:rPr>
                <w:rFonts w:ascii="Times New Roman" w:eastAsia="Times New Roman" w:hAnsi="Times New Roman"/>
                <w:spacing w:val="-2"/>
                <w:sz w:val="20"/>
              </w:rPr>
              <w:t>89,30</w:t>
            </w:r>
          </w:p>
        </w:tc>
      </w:tr>
      <w:tr w:rsidR="00A62497" w:rsidRPr="00A53AD7" w14:paraId="3538E5D8" w14:textId="77777777" w:rsidTr="00434996">
        <w:tc>
          <w:tcPr>
            <w:tcW w:w="4805" w:type="dxa"/>
            <w:tcBorders>
              <w:left w:val="double" w:sz="4" w:space="0" w:color="auto"/>
              <w:bottom w:val="double" w:sz="4" w:space="0" w:color="auto"/>
            </w:tcBorders>
          </w:tcPr>
          <w:p w14:paraId="418EEC5A" w14:textId="77777777" w:rsidR="00A62497" w:rsidRPr="00A53AD7" w:rsidRDefault="00A62497" w:rsidP="00434996">
            <w:pPr>
              <w:spacing w:after="0" w:line="240" w:lineRule="auto"/>
              <w:rPr>
                <w:rFonts w:ascii="Times New Roman" w:hAnsi="Times New Roman"/>
                <w:sz w:val="20"/>
                <w:szCs w:val="20"/>
              </w:rPr>
            </w:pPr>
            <w:r w:rsidRPr="00A53AD7">
              <w:rPr>
                <w:rFonts w:ascii="Times New Roman" w:eastAsia="Times New Roman" w:hAnsi="Times New Roman"/>
                <w:spacing w:val="-2"/>
                <w:sz w:val="20"/>
              </w:rPr>
              <w:t>Коэффициенты рождаемости в возрастной группе 25-29 лет (число родившихся на 1000 женщин соответствующего возраста)</w:t>
            </w:r>
          </w:p>
        </w:tc>
        <w:tc>
          <w:tcPr>
            <w:tcW w:w="1424" w:type="dxa"/>
            <w:tcBorders>
              <w:bottom w:val="double" w:sz="4" w:space="0" w:color="auto"/>
            </w:tcBorders>
          </w:tcPr>
          <w:p w14:paraId="230E1682" w14:textId="77777777" w:rsidR="00A62497" w:rsidRPr="00A53AD7" w:rsidRDefault="00A62497" w:rsidP="00C71A4C">
            <w:pPr>
              <w:spacing w:after="0" w:line="240" w:lineRule="auto"/>
              <w:jc w:val="right"/>
              <w:rPr>
                <w:rFonts w:ascii="Times New Roman" w:hAnsi="Times New Roman"/>
                <w:sz w:val="20"/>
                <w:szCs w:val="20"/>
              </w:rPr>
            </w:pPr>
          </w:p>
        </w:tc>
        <w:tc>
          <w:tcPr>
            <w:tcW w:w="991" w:type="dxa"/>
            <w:tcBorders>
              <w:bottom w:val="double" w:sz="4" w:space="0" w:color="auto"/>
            </w:tcBorders>
          </w:tcPr>
          <w:p w14:paraId="6E823C96"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hAnsi="Times New Roman"/>
                <w:sz w:val="20"/>
                <w:szCs w:val="20"/>
              </w:rPr>
              <w:t>110,1</w:t>
            </w:r>
          </w:p>
        </w:tc>
        <w:tc>
          <w:tcPr>
            <w:tcW w:w="885" w:type="dxa"/>
            <w:tcBorders>
              <w:bottom w:val="double" w:sz="4" w:space="0" w:color="auto"/>
            </w:tcBorders>
          </w:tcPr>
          <w:p w14:paraId="155B2BA6" w14:textId="77777777" w:rsidR="00A62497" w:rsidRPr="00A53AD7" w:rsidRDefault="00A62497" w:rsidP="00C71A4C">
            <w:pPr>
              <w:spacing w:after="0" w:line="240" w:lineRule="auto"/>
              <w:jc w:val="right"/>
              <w:rPr>
                <w:rFonts w:ascii="Times New Roman" w:hAnsi="Times New Roman"/>
                <w:sz w:val="20"/>
                <w:szCs w:val="20"/>
              </w:rPr>
            </w:pPr>
            <w:r w:rsidRPr="00A53AD7">
              <w:rPr>
                <w:rFonts w:ascii="Times New Roman" w:hAnsi="Times New Roman"/>
                <w:sz w:val="20"/>
                <w:szCs w:val="20"/>
              </w:rPr>
              <w:t>109,83</w:t>
            </w:r>
          </w:p>
        </w:tc>
        <w:tc>
          <w:tcPr>
            <w:tcW w:w="1234" w:type="dxa"/>
            <w:tcBorders>
              <w:bottom w:val="double" w:sz="4" w:space="0" w:color="auto"/>
              <w:right w:val="double" w:sz="4" w:space="0" w:color="auto"/>
            </w:tcBorders>
          </w:tcPr>
          <w:p w14:paraId="65A63B2C" w14:textId="7B1CADA9" w:rsidR="00A62497" w:rsidRPr="00A53AD7" w:rsidRDefault="008D4148" w:rsidP="00C71A4C">
            <w:pPr>
              <w:spacing w:after="0" w:line="240" w:lineRule="auto"/>
              <w:jc w:val="right"/>
              <w:rPr>
                <w:rFonts w:ascii="Times New Roman" w:hAnsi="Times New Roman"/>
                <w:sz w:val="20"/>
                <w:szCs w:val="20"/>
              </w:rPr>
            </w:pPr>
            <w:r w:rsidRPr="00A53AD7">
              <w:rPr>
                <w:rFonts w:ascii="Times New Roman" w:hAnsi="Times New Roman"/>
                <w:sz w:val="20"/>
                <w:szCs w:val="20"/>
              </w:rPr>
              <w:t>95,48</w:t>
            </w:r>
          </w:p>
        </w:tc>
      </w:tr>
    </w:tbl>
    <w:p w14:paraId="3D288B33" w14:textId="77777777" w:rsidR="00434996" w:rsidRPr="00A53AD7" w:rsidRDefault="00434996" w:rsidP="00434996">
      <w:pPr>
        <w:spacing w:after="0" w:line="240" w:lineRule="auto"/>
        <w:ind w:firstLine="851"/>
        <w:jc w:val="both"/>
        <w:rPr>
          <w:rFonts w:ascii="Times New Roman" w:hAnsi="Times New Roman"/>
          <w:sz w:val="28"/>
          <w:szCs w:val="28"/>
        </w:rPr>
      </w:pPr>
    </w:p>
    <w:p w14:paraId="62D667A8"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региональному проекту в 2019 году предусмотрено достижение трех целевых показателей, в том числе суммарный коэффициент рождаемости (план - 1,735), коэффициенты рождаемости в возрастной группе 30-34 лет, число родившихся на 1000 женщин соответствующего возраста (план - 90,2), коэффициенты рождаемости в возрастной группе 25-29 лет, число родившихся на 1000 женщин соответствующего возраста (план - 110,1).</w:t>
      </w:r>
    </w:p>
    <w:p w14:paraId="56539037" w14:textId="3CDE7483"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Отмечаем, что госпрограммой «Развитие здравоохранения Архангельской области» установлено значение целевого показателя «Суммарный коэффициент рождаемости (число детей, рожденных одной женщиной на протяжении всего репродуктивного периода (15-49 лет» в размере 1,65, фактическое значение показателя составило 1,46.</w:t>
      </w:r>
    </w:p>
    <w:p w14:paraId="5ED0754E"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плановое и фактическое значение показателя, установленного региональным проектом, значительно превышает значение показателя госпрограммы. Учитывая отрицательную динамику исполнения данного показателя в госпрограмме, вероятность достижения показателя регионального проекта крайне низкая.</w:t>
      </w:r>
    </w:p>
    <w:p w14:paraId="7E311DAE"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Мероприятия регионального проекта реализуется и финансируется в рамках подпрограммы «Меры социальной поддержки отдельным категориям граждан, проживающим на территории Архангельской области» ГП АО «Социальная поддержка граждан в Архангельской области» министерством труда, занятости и социального развития Архангельской области.</w:t>
      </w:r>
    </w:p>
    <w:p w14:paraId="3D4C8F14" w14:textId="77777777" w:rsidR="00A62497" w:rsidRPr="00A53AD7" w:rsidRDefault="00A62497" w:rsidP="0043499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финансовом обеспечении реализации регионального проекта приведена ниже:</w:t>
      </w:r>
    </w:p>
    <w:tbl>
      <w:tblPr>
        <w:tblW w:w="9381" w:type="dxa"/>
        <w:tblInd w:w="-23" w:type="dxa"/>
        <w:tblLook w:val="04A0" w:firstRow="1" w:lastRow="0" w:firstColumn="1" w:lastColumn="0" w:noHBand="0" w:noVBand="1"/>
      </w:tblPr>
      <w:tblGrid>
        <w:gridCol w:w="5954"/>
        <w:gridCol w:w="992"/>
        <w:gridCol w:w="1159"/>
        <w:gridCol w:w="1276"/>
      </w:tblGrid>
      <w:tr w:rsidR="00D470B6" w:rsidRPr="00A53AD7" w14:paraId="49B8ED29" w14:textId="77777777" w:rsidTr="00434996">
        <w:trPr>
          <w:trHeight w:val="780"/>
        </w:trPr>
        <w:tc>
          <w:tcPr>
            <w:tcW w:w="5954"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3D19B746"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Результат</w:t>
            </w:r>
          </w:p>
        </w:tc>
        <w:tc>
          <w:tcPr>
            <w:tcW w:w="992" w:type="dxa"/>
            <w:tcBorders>
              <w:top w:val="double" w:sz="6" w:space="0" w:color="auto"/>
              <w:left w:val="nil"/>
              <w:bottom w:val="single" w:sz="4" w:space="0" w:color="auto"/>
              <w:right w:val="single" w:sz="4" w:space="0" w:color="auto"/>
            </w:tcBorders>
            <w:shd w:val="clear" w:color="auto" w:fill="auto"/>
            <w:vAlign w:val="center"/>
            <w:hideMark/>
          </w:tcPr>
          <w:p w14:paraId="1E98DD6F"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1159" w:type="dxa"/>
            <w:tcBorders>
              <w:top w:val="double" w:sz="6" w:space="0" w:color="auto"/>
              <w:left w:val="nil"/>
              <w:bottom w:val="single" w:sz="4" w:space="0" w:color="auto"/>
              <w:right w:val="single" w:sz="4" w:space="0" w:color="auto"/>
            </w:tcBorders>
            <w:shd w:val="clear" w:color="auto" w:fill="auto"/>
            <w:vAlign w:val="center"/>
            <w:hideMark/>
          </w:tcPr>
          <w:p w14:paraId="6973BF77"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Исполнено</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188537C3"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исполнения</w:t>
            </w:r>
          </w:p>
        </w:tc>
      </w:tr>
      <w:tr w:rsidR="00D470B6" w:rsidRPr="00A53AD7" w14:paraId="40A5B970" w14:textId="77777777" w:rsidTr="00662B3E">
        <w:trPr>
          <w:trHeight w:val="222"/>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566F1602" w14:textId="77777777" w:rsidR="00A62497" w:rsidRPr="00A53AD7" w:rsidRDefault="00A62497" w:rsidP="00A62497">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Всего</w:t>
            </w:r>
          </w:p>
        </w:tc>
        <w:tc>
          <w:tcPr>
            <w:tcW w:w="992" w:type="dxa"/>
            <w:tcBorders>
              <w:top w:val="nil"/>
              <w:left w:val="nil"/>
              <w:bottom w:val="single" w:sz="4" w:space="0" w:color="auto"/>
              <w:right w:val="single" w:sz="4" w:space="0" w:color="auto"/>
            </w:tcBorders>
            <w:shd w:val="clear" w:color="auto" w:fill="auto"/>
            <w:noWrap/>
            <w:vAlign w:val="center"/>
            <w:hideMark/>
          </w:tcPr>
          <w:p w14:paraId="7EAC3BF1"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1 338,0</w:t>
            </w:r>
          </w:p>
        </w:tc>
        <w:tc>
          <w:tcPr>
            <w:tcW w:w="1159" w:type="dxa"/>
            <w:tcBorders>
              <w:top w:val="nil"/>
              <w:left w:val="nil"/>
              <w:bottom w:val="single" w:sz="4" w:space="0" w:color="auto"/>
              <w:right w:val="single" w:sz="4" w:space="0" w:color="auto"/>
            </w:tcBorders>
            <w:shd w:val="clear" w:color="auto" w:fill="auto"/>
            <w:noWrap/>
            <w:vAlign w:val="center"/>
            <w:hideMark/>
          </w:tcPr>
          <w:p w14:paraId="30847800"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1 329,3</w:t>
            </w:r>
          </w:p>
        </w:tc>
        <w:tc>
          <w:tcPr>
            <w:tcW w:w="1276" w:type="dxa"/>
            <w:tcBorders>
              <w:top w:val="nil"/>
              <w:left w:val="nil"/>
              <w:bottom w:val="single" w:sz="4" w:space="0" w:color="auto"/>
              <w:right w:val="double" w:sz="6" w:space="0" w:color="auto"/>
            </w:tcBorders>
            <w:shd w:val="clear" w:color="auto" w:fill="auto"/>
            <w:noWrap/>
            <w:vAlign w:val="center"/>
            <w:hideMark/>
          </w:tcPr>
          <w:p w14:paraId="64FC5DC2"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99,4</w:t>
            </w:r>
          </w:p>
        </w:tc>
      </w:tr>
      <w:tr w:rsidR="00D470B6" w:rsidRPr="00A53AD7" w14:paraId="43F58CB8" w14:textId="77777777" w:rsidTr="00662B3E">
        <w:trPr>
          <w:trHeight w:val="693"/>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0C7CEFC"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Ежемесячные денежные выплаты, назначаемые в случае рождения третьего ребенка или последующих детей до достижения ребенком возраста трех лет</w:t>
            </w:r>
          </w:p>
        </w:tc>
        <w:tc>
          <w:tcPr>
            <w:tcW w:w="992" w:type="dxa"/>
            <w:tcBorders>
              <w:top w:val="nil"/>
              <w:left w:val="nil"/>
              <w:bottom w:val="single" w:sz="4" w:space="0" w:color="auto"/>
              <w:right w:val="single" w:sz="4" w:space="0" w:color="auto"/>
            </w:tcBorders>
            <w:shd w:val="clear" w:color="auto" w:fill="auto"/>
            <w:noWrap/>
            <w:vAlign w:val="center"/>
            <w:hideMark/>
          </w:tcPr>
          <w:p w14:paraId="7C5C7674"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653,5</w:t>
            </w:r>
          </w:p>
        </w:tc>
        <w:tc>
          <w:tcPr>
            <w:tcW w:w="1159" w:type="dxa"/>
            <w:tcBorders>
              <w:top w:val="nil"/>
              <w:left w:val="nil"/>
              <w:bottom w:val="single" w:sz="4" w:space="0" w:color="auto"/>
              <w:right w:val="single" w:sz="4" w:space="0" w:color="auto"/>
            </w:tcBorders>
            <w:shd w:val="clear" w:color="auto" w:fill="auto"/>
            <w:noWrap/>
            <w:vAlign w:val="center"/>
            <w:hideMark/>
          </w:tcPr>
          <w:p w14:paraId="0239495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653,4</w:t>
            </w:r>
          </w:p>
        </w:tc>
        <w:tc>
          <w:tcPr>
            <w:tcW w:w="1276" w:type="dxa"/>
            <w:tcBorders>
              <w:top w:val="nil"/>
              <w:left w:val="nil"/>
              <w:bottom w:val="single" w:sz="4" w:space="0" w:color="auto"/>
              <w:right w:val="double" w:sz="6" w:space="0" w:color="auto"/>
            </w:tcBorders>
            <w:shd w:val="clear" w:color="auto" w:fill="auto"/>
            <w:noWrap/>
            <w:vAlign w:val="center"/>
            <w:hideMark/>
          </w:tcPr>
          <w:p w14:paraId="6ABF3232"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14CDB1D6" w14:textId="77777777" w:rsidTr="00662B3E">
        <w:trPr>
          <w:trHeight w:val="264"/>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E24568C"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Осуществление ежемесячной выплаты в связи с рождением (усыновлением) первого ребенка</w:t>
            </w:r>
          </w:p>
        </w:tc>
        <w:tc>
          <w:tcPr>
            <w:tcW w:w="992" w:type="dxa"/>
            <w:tcBorders>
              <w:top w:val="nil"/>
              <w:left w:val="nil"/>
              <w:bottom w:val="single" w:sz="4" w:space="0" w:color="auto"/>
              <w:right w:val="single" w:sz="4" w:space="0" w:color="auto"/>
            </w:tcBorders>
            <w:shd w:val="clear" w:color="auto" w:fill="auto"/>
            <w:noWrap/>
            <w:vAlign w:val="center"/>
            <w:hideMark/>
          </w:tcPr>
          <w:p w14:paraId="1318FB53"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345,4</w:t>
            </w:r>
          </w:p>
        </w:tc>
        <w:tc>
          <w:tcPr>
            <w:tcW w:w="1159" w:type="dxa"/>
            <w:tcBorders>
              <w:top w:val="nil"/>
              <w:left w:val="nil"/>
              <w:bottom w:val="single" w:sz="4" w:space="0" w:color="auto"/>
              <w:right w:val="single" w:sz="4" w:space="0" w:color="auto"/>
            </w:tcBorders>
            <w:shd w:val="clear" w:color="auto" w:fill="auto"/>
            <w:noWrap/>
            <w:vAlign w:val="center"/>
            <w:hideMark/>
          </w:tcPr>
          <w:p w14:paraId="406E570D"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345,4</w:t>
            </w:r>
          </w:p>
        </w:tc>
        <w:tc>
          <w:tcPr>
            <w:tcW w:w="1276" w:type="dxa"/>
            <w:tcBorders>
              <w:top w:val="nil"/>
              <w:left w:val="nil"/>
              <w:bottom w:val="single" w:sz="4" w:space="0" w:color="auto"/>
              <w:right w:val="double" w:sz="6" w:space="0" w:color="auto"/>
            </w:tcBorders>
            <w:shd w:val="clear" w:color="auto" w:fill="auto"/>
            <w:noWrap/>
            <w:vAlign w:val="center"/>
            <w:hideMark/>
          </w:tcPr>
          <w:p w14:paraId="640E548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14997E14" w14:textId="77777777" w:rsidTr="00662B3E">
        <w:trPr>
          <w:trHeight w:val="795"/>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322C1CB6"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Обеспечение мер социальной поддержки многодетных семей (за исключением публичных нормативных обязательств) и мер социальной поддержки семей с тремя и более детьми, в том числе до достижения возраста 21 года</w:t>
            </w:r>
          </w:p>
        </w:tc>
        <w:tc>
          <w:tcPr>
            <w:tcW w:w="992" w:type="dxa"/>
            <w:tcBorders>
              <w:top w:val="nil"/>
              <w:left w:val="nil"/>
              <w:bottom w:val="single" w:sz="4" w:space="0" w:color="auto"/>
              <w:right w:val="single" w:sz="4" w:space="0" w:color="auto"/>
            </w:tcBorders>
            <w:shd w:val="clear" w:color="auto" w:fill="auto"/>
            <w:noWrap/>
            <w:vAlign w:val="center"/>
            <w:hideMark/>
          </w:tcPr>
          <w:p w14:paraId="61562DE9"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80,3</w:t>
            </w:r>
          </w:p>
        </w:tc>
        <w:tc>
          <w:tcPr>
            <w:tcW w:w="1159" w:type="dxa"/>
            <w:tcBorders>
              <w:top w:val="nil"/>
              <w:left w:val="nil"/>
              <w:bottom w:val="single" w:sz="4" w:space="0" w:color="auto"/>
              <w:right w:val="single" w:sz="4" w:space="0" w:color="auto"/>
            </w:tcBorders>
            <w:shd w:val="clear" w:color="auto" w:fill="auto"/>
            <w:noWrap/>
            <w:vAlign w:val="center"/>
            <w:hideMark/>
          </w:tcPr>
          <w:p w14:paraId="422C1B89"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80,3</w:t>
            </w:r>
          </w:p>
        </w:tc>
        <w:tc>
          <w:tcPr>
            <w:tcW w:w="1276" w:type="dxa"/>
            <w:tcBorders>
              <w:top w:val="nil"/>
              <w:left w:val="nil"/>
              <w:bottom w:val="single" w:sz="4" w:space="0" w:color="auto"/>
              <w:right w:val="double" w:sz="6" w:space="0" w:color="auto"/>
            </w:tcBorders>
            <w:shd w:val="clear" w:color="auto" w:fill="auto"/>
            <w:noWrap/>
            <w:vAlign w:val="center"/>
            <w:hideMark/>
          </w:tcPr>
          <w:p w14:paraId="31293315"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5F104C93" w14:textId="77777777" w:rsidTr="00662B3E">
        <w:trPr>
          <w:trHeight w:val="297"/>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5F8689C0"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Обеспечение мер социальной поддержки многодетных семей в денежной форме</w:t>
            </w:r>
          </w:p>
        </w:tc>
        <w:tc>
          <w:tcPr>
            <w:tcW w:w="992" w:type="dxa"/>
            <w:tcBorders>
              <w:top w:val="nil"/>
              <w:left w:val="nil"/>
              <w:bottom w:val="single" w:sz="4" w:space="0" w:color="auto"/>
              <w:right w:val="single" w:sz="4" w:space="0" w:color="auto"/>
            </w:tcBorders>
            <w:shd w:val="clear" w:color="auto" w:fill="auto"/>
            <w:noWrap/>
            <w:vAlign w:val="center"/>
            <w:hideMark/>
          </w:tcPr>
          <w:p w14:paraId="475F655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233,1</w:t>
            </w:r>
          </w:p>
        </w:tc>
        <w:tc>
          <w:tcPr>
            <w:tcW w:w="1159" w:type="dxa"/>
            <w:tcBorders>
              <w:top w:val="nil"/>
              <w:left w:val="nil"/>
              <w:bottom w:val="single" w:sz="4" w:space="0" w:color="auto"/>
              <w:right w:val="single" w:sz="4" w:space="0" w:color="auto"/>
            </w:tcBorders>
            <w:shd w:val="clear" w:color="auto" w:fill="auto"/>
            <w:noWrap/>
            <w:vAlign w:val="center"/>
            <w:hideMark/>
          </w:tcPr>
          <w:p w14:paraId="31BF853C"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232,9</w:t>
            </w:r>
          </w:p>
        </w:tc>
        <w:tc>
          <w:tcPr>
            <w:tcW w:w="1276" w:type="dxa"/>
            <w:tcBorders>
              <w:top w:val="nil"/>
              <w:left w:val="nil"/>
              <w:bottom w:val="single" w:sz="4" w:space="0" w:color="auto"/>
              <w:right w:val="double" w:sz="6" w:space="0" w:color="auto"/>
            </w:tcBorders>
            <w:shd w:val="clear" w:color="auto" w:fill="auto"/>
            <w:noWrap/>
            <w:vAlign w:val="center"/>
            <w:hideMark/>
          </w:tcPr>
          <w:p w14:paraId="1B67255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w:t>
            </w:r>
          </w:p>
        </w:tc>
      </w:tr>
      <w:tr w:rsidR="00D470B6" w:rsidRPr="00A53AD7" w14:paraId="0308695F" w14:textId="77777777" w:rsidTr="00662B3E">
        <w:trPr>
          <w:trHeight w:val="531"/>
        </w:trPr>
        <w:tc>
          <w:tcPr>
            <w:tcW w:w="5954" w:type="dxa"/>
            <w:tcBorders>
              <w:top w:val="nil"/>
              <w:left w:val="double" w:sz="6" w:space="0" w:color="auto"/>
              <w:bottom w:val="single" w:sz="4" w:space="0" w:color="auto"/>
              <w:right w:val="single" w:sz="4" w:space="0" w:color="auto"/>
            </w:tcBorders>
            <w:shd w:val="clear" w:color="auto" w:fill="auto"/>
            <w:vAlign w:val="center"/>
            <w:hideMark/>
          </w:tcPr>
          <w:p w14:paraId="0F5698AB"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Ежемесячная денежная выплата, назначаемая в случае рождения третьего ребенка или последующих детей до достижения ребенком возраста трех лет, за счет средств областного бюджета</w:t>
            </w:r>
          </w:p>
        </w:tc>
        <w:tc>
          <w:tcPr>
            <w:tcW w:w="992" w:type="dxa"/>
            <w:tcBorders>
              <w:top w:val="nil"/>
              <w:left w:val="nil"/>
              <w:bottom w:val="single" w:sz="4" w:space="0" w:color="auto"/>
              <w:right w:val="single" w:sz="4" w:space="0" w:color="auto"/>
            </w:tcBorders>
            <w:shd w:val="clear" w:color="auto" w:fill="auto"/>
            <w:noWrap/>
            <w:vAlign w:val="center"/>
            <w:hideMark/>
          </w:tcPr>
          <w:p w14:paraId="082B95DE"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15,1</w:t>
            </w:r>
          </w:p>
        </w:tc>
        <w:tc>
          <w:tcPr>
            <w:tcW w:w="1159" w:type="dxa"/>
            <w:tcBorders>
              <w:top w:val="nil"/>
              <w:left w:val="nil"/>
              <w:bottom w:val="single" w:sz="4" w:space="0" w:color="auto"/>
              <w:right w:val="single" w:sz="4" w:space="0" w:color="auto"/>
            </w:tcBorders>
            <w:shd w:val="clear" w:color="auto" w:fill="auto"/>
            <w:noWrap/>
            <w:vAlign w:val="center"/>
            <w:hideMark/>
          </w:tcPr>
          <w:p w14:paraId="0B210C8A"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6,9</w:t>
            </w:r>
          </w:p>
        </w:tc>
        <w:tc>
          <w:tcPr>
            <w:tcW w:w="1276" w:type="dxa"/>
            <w:tcBorders>
              <w:top w:val="nil"/>
              <w:left w:val="nil"/>
              <w:bottom w:val="single" w:sz="4" w:space="0" w:color="auto"/>
              <w:right w:val="double" w:sz="6" w:space="0" w:color="auto"/>
            </w:tcBorders>
            <w:shd w:val="clear" w:color="auto" w:fill="auto"/>
            <w:noWrap/>
            <w:vAlign w:val="center"/>
            <w:hideMark/>
          </w:tcPr>
          <w:p w14:paraId="0DEAC80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45,6</w:t>
            </w:r>
          </w:p>
        </w:tc>
      </w:tr>
      <w:tr w:rsidR="00A62497" w:rsidRPr="00A53AD7" w14:paraId="268F9E63" w14:textId="77777777" w:rsidTr="00662B3E">
        <w:trPr>
          <w:trHeight w:val="257"/>
        </w:trPr>
        <w:tc>
          <w:tcPr>
            <w:tcW w:w="5954" w:type="dxa"/>
            <w:tcBorders>
              <w:top w:val="nil"/>
              <w:left w:val="double" w:sz="6" w:space="0" w:color="auto"/>
              <w:bottom w:val="double" w:sz="6" w:space="0" w:color="auto"/>
              <w:right w:val="single" w:sz="4" w:space="0" w:color="auto"/>
            </w:tcBorders>
            <w:shd w:val="clear" w:color="auto" w:fill="auto"/>
            <w:vAlign w:val="center"/>
            <w:hideMark/>
          </w:tcPr>
          <w:p w14:paraId="74BF1728"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Единовременная денежная выплата женщинам, родившим первого ребенка в возрасте от 20 до 25 лет включительно</w:t>
            </w:r>
          </w:p>
        </w:tc>
        <w:tc>
          <w:tcPr>
            <w:tcW w:w="992" w:type="dxa"/>
            <w:tcBorders>
              <w:top w:val="nil"/>
              <w:left w:val="nil"/>
              <w:bottom w:val="double" w:sz="6" w:space="0" w:color="auto"/>
              <w:right w:val="single" w:sz="4" w:space="0" w:color="auto"/>
            </w:tcBorders>
            <w:shd w:val="clear" w:color="auto" w:fill="auto"/>
            <w:noWrap/>
            <w:vAlign w:val="center"/>
            <w:hideMark/>
          </w:tcPr>
          <w:p w14:paraId="61E85BD5"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10,6</w:t>
            </w:r>
          </w:p>
        </w:tc>
        <w:tc>
          <w:tcPr>
            <w:tcW w:w="1159" w:type="dxa"/>
            <w:tcBorders>
              <w:top w:val="nil"/>
              <w:left w:val="nil"/>
              <w:bottom w:val="double" w:sz="6" w:space="0" w:color="auto"/>
              <w:right w:val="single" w:sz="4" w:space="0" w:color="auto"/>
            </w:tcBorders>
            <w:shd w:val="clear" w:color="auto" w:fill="auto"/>
            <w:noWrap/>
            <w:vAlign w:val="center"/>
            <w:hideMark/>
          </w:tcPr>
          <w:p w14:paraId="2A17E65A"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10,4</w:t>
            </w:r>
          </w:p>
        </w:tc>
        <w:tc>
          <w:tcPr>
            <w:tcW w:w="1276" w:type="dxa"/>
            <w:tcBorders>
              <w:top w:val="nil"/>
              <w:left w:val="nil"/>
              <w:bottom w:val="double" w:sz="6" w:space="0" w:color="auto"/>
              <w:right w:val="double" w:sz="6" w:space="0" w:color="auto"/>
            </w:tcBorders>
            <w:shd w:val="clear" w:color="auto" w:fill="auto"/>
            <w:noWrap/>
            <w:vAlign w:val="center"/>
            <w:hideMark/>
          </w:tcPr>
          <w:p w14:paraId="71ECDAB7" w14:textId="77777777" w:rsidR="00A62497" w:rsidRPr="00A53AD7" w:rsidRDefault="00A62497" w:rsidP="00662B3E">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97,9</w:t>
            </w:r>
          </w:p>
        </w:tc>
      </w:tr>
    </w:tbl>
    <w:p w14:paraId="197B1DB7" w14:textId="77777777" w:rsidR="00662B3E" w:rsidRPr="00A53AD7" w:rsidRDefault="00662B3E" w:rsidP="00662B3E">
      <w:pPr>
        <w:spacing w:after="0" w:line="240" w:lineRule="auto"/>
        <w:ind w:firstLine="851"/>
        <w:jc w:val="both"/>
        <w:rPr>
          <w:rFonts w:ascii="Times New Roman" w:hAnsi="Times New Roman"/>
          <w:sz w:val="28"/>
          <w:szCs w:val="28"/>
        </w:rPr>
      </w:pPr>
    </w:p>
    <w:p w14:paraId="6EBBF1D6"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регионального проекта «Финансовая поддержка семей при рождении детей» профинансированы расходы 1 329 ,3 млн.руб. или 99,4% от утвержденных назначений.</w:t>
      </w:r>
    </w:p>
    <w:p w14:paraId="3B398F96" w14:textId="232FC608"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Низкое исполнение по ежемесячной денежной выплате, назначаемой в случае рождения третьего ребенка или последующих детей до достижения ребенком возраста трех лет, за счет средств областного бюджета (45,6 %) связано с заявительным характером.</w:t>
      </w:r>
    </w:p>
    <w:p w14:paraId="2A463640"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Данные о достижении результатов приведены ниже:</w:t>
      </w:r>
    </w:p>
    <w:tbl>
      <w:tblPr>
        <w:tblW w:w="9356" w:type="dxa"/>
        <w:tblInd w:w="-23" w:type="dxa"/>
        <w:tblLayout w:type="fixed"/>
        <w:tblLook w:val="04A0" w:firstRow="1" w:lastRow="0" w:firstColumn="1" w:lastColumn="0" w:noHBand="0" w:noVBand="1"/>
      </w:tblPr>
      <w:tblGrid>
        <w:gridCol w:w="6804"/>
        <w:gridCol w:w="1276"/>
        <w:gridCol w:w="1276"/>
      </w:tblGrid>
      <w:tr w:rsidR="00D470B6" w:rsidRPr="00A53AD7" w14:paraId="1047EDF7" w14:textId="77777777" w:rsidTr="00C71A4C">
        <w:trPr>
          <w:trHeight w:val="644"/>
          <w:tblHeader/>
        </w:trPr>
        <w:tc>
          <w:tcPr>
            <w:tcW w:w="6804"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629BF709"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задачи, результат</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1461008B"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Региональный паспорт, план</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685E9A07"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Выполнено за 2019 год</w:t>
            </w:r>
          </w:p>
        </w:tc>
      </w:tr>
      <w:tr w:rsidR="00D470B6" w:rsidRPr="00A53AD7" w14:paraId="353DAEFA" w14:textId="77777777" w:rsidTr="00C71A4C">
        <w:trPr>
          <w:trHeight w:val="484"/>
        </w:trPr>
        <w:tc>
          <w:tcPr>
            <w:tcW w:w="6804" w:type="dxa"/>
            <w:tcBorders>
              <w:top w:val="single" w:sz="4" w:space="0" w:color="auto"/>
              <w:left w:val="double" w:sz="6" w:space="0" w:color="auto"/>
              <w:bottom w:val="single" w:sz="4" w:space="0" w:color="auto"/>
              <w:right w:val="single" w:sz="4" w:space="0" w:color="auto"/>
            </w:tcBorders>
            <w:shd w:val="clear" w:color="auto" w:fill="auto"/>
            <w:vAlign w:val="center"/>
            <w:hideMark/>
          </w:tcPr>
          <w:p w14:paraId="3280D407"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Женщины, родившие первого ребенка в возрасте от 20 до 25 лет включительно, получат единовременную денежную выплату женщинам, родившим первого ребенка в возрасте от 20 до 25 лет включительно (чел.)</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352EC55"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598</w:t>
            </w:r>
          </w:p>
        </w:tc>
        <w:tc>
          <w:tcPr>
            <w:tcW w:w="1276" w:type="dxa"/>
            <w:tcBorders>
              <w:top w:val="single" w:sz="4" w:space="0" w:color="auto"/>
              <w:left w:val="nil"/>
              <w:bottom w:val="single" w:sz="4" w:space="0" w:color="auto"/>
              <w:right w:val="double" w:sz="6" w:space="0" w:color="auto"/>
            </w:tcBorders>
            <w:shd w:val="clear" w:color="auto" w:fill="auto"/>
            <w:noWrap/>
            <w:vAlign w:val="center"/>
            <w:hideMark/>
          </w:tcPr>
          <w:p w14:paraId="6F413FE9"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343</w:t>
            </w:r>
          </w:p>
        </w:tc>
      </w:tr>
      <w:tr w:rsidR="00D470B6" w:rsidRPr="00A53AD7" w14:paraId="4DAD6009" w14:textId="77777777" w:rsidTr="00662B3E">
        <w:trPr>
          <w:trHeight w:val="487"/>
        </w:trPr>
        <w:tc>
          <w:tcPr>
            <w:tcW w:w="6804" w:type="dxa"/>
            <w:tcBorders>
              <w:top w:val="nil"/>
              <w:left w:val="double" w:sz="6" w:space="0" w:color="auto"/>
              <w:bottom w:val="single" w:sz="4" w:space="0" w:color="auto"/>
              <w:right w:val="single" w:sz="4" w:space="0" w:color="auto"/>
            </w:tcBorders>
            <w:shd w:val="clear" w:color="auto" w:fill="auto"/>
            <w:vAlign w:val="center"/>
            <w:hideMark/>
          </w:tcPr>
          <w:p w14:paraId="1A6E84DD"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Женщины, родившие первого ребенка в возрасте от 20 до 25 лет включительно, получат единовременную денежную выплату женщинам, родившим первого ребенка в возрасте от 20 до 25 лет включительно (чел.)</w:t>
            </w:r>
          </w:p>
        </w:tc>
        <w:tc>
          <w:tcPr>
            <w:tcW w:w="1276" w:type="dxa"/>
            <w:tcBorders>
              <w:top w:val="nil"/>
              <w:left w:val="nil"/>
              <w:bottom w:val="single" w:sz="4" w:space="0" w:color="auto"/>
              <w:right w:val="single" w:sz="4" w:space="0" w:color="auto"/>
            </w:tcBorders>
            <w:shd w:val="clear" w:color="auto" w:fill="auto"/>
            <w:noWrap/>
            <w:vAlign w:val="center"/>
            <w:hideMark/>
          </w:tcPr>
          <w:p w14:paraId="1CEBD62C"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943</w:t>
            </w:r>
          </w:p>
        </w:tc>
        <w:tc>
          <w:tcPr>
            <w:tcW w:w="1276" w:type="dxa"/>
            <w:tcBorders>
              <w:top w:val="nil"/>
              <w:left w:val="nil"/>
              <w:bottom w:val="single" w:sz="4" w:space="0" w:color="auto"/>
              <w:right w:val="double" w:sz="6" w:space="0" w:color="auto"/>
            </w:tcBorders>
            <w:shd w:val="clear" w:color="auto" w:fill="auto"/>
            <w:noWrap/>
            <w:vAlign w:val="center"/>
            <w:hideMark/>
          </w:tcPr>
          <w:p w14:paraId="1E841F31"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598</w:t>
            </w:r>
          </w:p>
        </w:tc>
      </w:tr>
      <w:tr w:rsidR="00D470B6" w:rsidRPr="00A53AD7" w14:paraId="7C972A1C" w14:textId="77777777" w:rsidTr="00A62497">
        <w:trPr>
          <w:trHeight w:val="599"/>
        </w:trPr>
        <w:tc>
          <w:tcPr>
            <w:tcW w:w="6804" w:type="dxa"/>
            <w:tcBorders>
              <w:top w:val="nil"/>
              <w:left w:val="double" w:sz="6" w:space="0" w:color="auto"/>
              <w:bottom w:val="single" w:sz="4" w:space="0" w:color="auto"/>
              <w:right w:val="single" w:sz="4" w:space="0" w:color="auto"/>
            </w:tcBorders>
            <w:shd w:val="clear" w:color="auto" w:fill="auto"/>
            <w:vAlign w:val="center"/>
            <w:hideMark/>
          </w:tcPr>
          <w:p w14:paraId="0F4A0CD1"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Нуждающиеся семьи получат ежемесячные выплаты в связи с рождением (усыновлением) первого ребенка за счет субвенций из федерального бюджета (количество семей)</w:t>
            </w:r>
          </w:p>
        </w:tc>
        <w:tc>
          <w:tcPr>
            <w:tcW w:w="1276" w:type="dxa"/>
            <w:tcBorders>
              <w:top w:val="nil"/>
              <w:left w:val="nil"/>
              <w:bottom w:val="single" w:sz="4" w:space="0" w:color="auto"/>
              <w:right w:val="single" w:sz="4" w:space="0" w:color="auto"/>
            </w:tcBorders>
            <w:shd w:val="clear" w:color="auto" w:fill="auto"/>
            <w:noWrap/>
            <w:vAlign w:val="center"/>
            <w:hideMark/>
          </w:tcPr>
          <w:p w14:paraId="26DA75B5"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1 547</w:t>
            </w:r>
          </w:p>
        </w:tc>
        <w:tc>
          <w:tcPr>
            <w:tcW w:w="1276" w:type="dxa"/>
            <w:tcBorders>
              <w:top w:val="nil"/>
              <w:left w:val="nil"/>
              <w:bottom w:val="single" w:sz="4" w:space="0" w:color="auto"/>
              <w:right w:val="double" w:sz="6" w:space="0" w:color="auto"/>
            </w:tcBorders>
            <w:shd w:val="clear" w:color="auto" w:fill="auto"/>
            <w:noWrap/>
            <w:vAlign w:val="center"/>
            <w:hideMark/>
          </w:tcPr>
          <w:p w14:paraId="25E27B0B"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3 320</w:t>
            </w:r>
          </w:p>
        </w:tc>
      </w:tr>
      <w:tr w:rsidR="00D470B6" w:rsidRPr="00A53AD7" w14:paraId="4E0B0F0D" w14:textId="77777777" w:rsidTr="00A62497">
        <w:trPr>
          <w:trHeight w:val="599"/>
        </w:trPr>
        <w:tc>
          <w:tcPr>
            <w:tcW w:w="6804" w:type="dxa"/>
            <w:tcBorders>
              <w:top w:val="nil"/>
              <w:left w:val="double" w:sz="6" w:space="0" w:color="auto"/>
              <w:bottom w:val="single" w:sz="4" w:space="0" w:color="auto"/>
              <w:right w:val="single" w:sz="4" w:space="0" w:color="auto"/>
            </w:tcBorders>
            <w:shd w:val="clear" w:color="auto" w:fill="auto"/>
            <w:vAlign w:val="center"/>
          </w:tcPr>
          <w:p w14:paraId="4E378190" w14:textId="77777777" w:rsidR="00A62497" w:rsidRPr="00A53AD7" w:rsidRDefault="00A62497" w:rsidP="00662B3E">
            <w:pPr>
              <w:spacing w:after="0" w:line="240" w:lineRule="auto"/>
              <w:rPr>
                <w:rFonts w:ascii="Times New Roman" w:eastAsia="Times New Roman" w:hAnsi="Times New Roman"/>
                <w:i/>
                <w:sz w:val="20"/>
                <w:szCs w:val="20"/>
                <w:lang w:eastAsia="ru-RU"/>
              </w:rPr>
            </w:pPr>
            <w:r w:rsidRPr="00A53AD7">
              <w:rPr>
                <w:rStyle w:val="2d"/>
                <w:rFonts w:eastAsiaTheme="minorHAnsi"/>
                <w:color w:val="auto"/>
              </w:rPr>
              <w:t>Семьи с тремя и более детьми получат ежемесячную денежную выплату, назначаемую в случае рождения третьего ребенка или последующих детей до достижения ребенком возраста 3 лет (количество семей)</w:t>
            </w:r>
          </w:p>
        </w:tc>
        <w:tc>
          <w:tcPr>
            <w:tcW w:w="1276" w:type="dxa"/>
            <w:tcBorders>
              <w:top w:val="nil"/>
              <w:left w:val="nil"/>
              <w:bottom w:val="single" w:sz="4" w:space="0" w:color="auto"/>
              <w:right w:val="single" w:sz="4" w:space="0" w:color="auto"/>
            </w:tcBorders>
            <w:shd w:val="clear" w:color="auto" w:fill="auto"/>
            <w:noWrap/>
            <w:vAlign w:val="center"/>
          </w:tcPr>
          <w:p w14:paraId="427241DC"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501</w:t>
            </w:r>
          </w:p>
        </w:tc>
        <w:tc>
          <w:tcPr>
            <w:tcW w:w="1276" w:type="dxa"/>
            <w:tcBorders>
              <w:top w:val="nil"/>
              <w:left w:val="nil"/>
              <w:bottom w:val="single" w:sz="4" w:space="0" w:color="auto"/>
              <w:right w:val="double" w:sz="6" w:space="0" w:color="auto"/>
            </w:tcBorders>
            <w:shd w:val="clear" w:color="auto" w:fill="auto"/>
            <w:noWrap/>
            <w:vAlign w:val="center"/>
          </w:tcPr>
          <w:p w14:paraId="345578E1"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5 885</w:t>
            </w:r>
          </w:p>
        </w:tc>
      </w:tr>
      <w:tr w:rsidR="00D470B6" w:rsidRPr="00A53AD7" w14:paraId="0741FBE8" w14:textId="77777777" w:rsidTr="00A62497">
        <w:trPr>
          <w:trHeight w:val="300"/>
        </w:trPr>
        <w:tc>
          <w:tcPr>
            <w:tcW w:w="6804" w:type="dxa"/>
            <w:tcBorders>
              <w:top w:val="nil"/>
              <w:left w:val="double" w:sz="6" w:space="0" w:color="auto"/>
              <w:bottom w:val="single" w:sz="4" w:space="0" w:color="auto"/>
              <w:right w:val="single" w:sz="4" w:space="0" w:color="auto"/>
            </w:tcBorders>
            <w:shd w:val="clear" w:color="auto" w:fill="auto"/>
            <w:vAlign w:val="center"/>
            <w:hideMark/>
          </w:tcPr>
          <w:p w14:paraId="194D5239"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Многодетные семьи получат меры социальной поддержки (количество семей)</w:t>
            </w:r>
          </w:p>
        </w:tc>
        <w:tc>
          <w:tcPr>
            <w:tcW w:w="1276" w:type="dxa"/>
            <w:tcBorders>
              <w:top w:val="nil"/>
              <w:left w:val="nil"/>
              <w:bottom w:val="single" w:sz="4" w:space="0" w:color="auto"/>
              <w:right w:val="single" w:sz="4" w:space="0" w:color="auto"/>
            </w:tcBorders>
            <w:shd w:val="clear" w:color="auto" w:fill="auto"/>
            <w:noWrap/>
            <w:vAlign w:val="center"/>
            <w:hideMark/>
          </w:tcPr>
          <w:p w14:paraId="465808C8"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9 800</w:t>
            </w:r>
          </w:p>
        </w:tc>
        <w:tc>
          <w:tcPr>
            <w:tcW w:w="1276" w:type="dxa"/>
            <w:tcBorders>
              <w:top w:val="nil"/>
              <w:left w:val="nil"/>
              <w:bottom w:val="single" w:sz="4" w:space="0" w:color="auto"/>
              <w:right w:val="double" w:sz="6" w:space="0" w:color="auto"/>
            </w:tcBorders>
            <w:shd w:val="clear" w:color="auto" w:fill="auto"/>
            <w:noWrap/>
            <w:vAlign w:val="center"/>
            <w:hideMark/>
          </w:tcPr>
          <w:p w14:paraId="3A55C3B6"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10 612</w:t>
            </w:r>
          </w:p>
        </w:tc>
      </w:tr>
      <w:tr w:rsidR="00D470B6" w:rsidRPr="00A53AD7" w14:paraId="1E230613" w14:textId="77777777" w:rsidTr="00A62497">
        <w:trPr>
          <w:trHeight w:val="811"/>
        </w:trPr>
        <w:tc>
          <w:tcPr>
            <w:tcW w:w="6804" w:type="dxa"/>
            <w:tcBorders>
              <w:top w:val="nil"/>
              <w:left w:val="double" w:sz="6" w:space="0" w:color="auto"/>
              <w:bottom w:val="single" w:sz="4" w:space="0" w:color="auto"/>
              <w:right w:val="single" w:sz="4" w:space="0" w:color="auto"/>
            </w:tcBorders>
            <w:shd w:val="clear" w:color="auto" w:fill="auto"/>
            <w:vAlign w:val="center"/>
            <w:hideMark/>
          </w:tcPr>
          <w:p w14:paraId="09699E25" w14:textId="7105DF80"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Проведена информационная кампания, направленная на сохранение семейных ценностей, поддержку материнства и детства, популяризацию мер социальной поддержки, предоставляемых семьям, имеющим детей (тыс.экз.)</w:t>
            </w:r>
          </w:p>
        </w:tc>
        <w:tc>
          <w:tcPr>
            <w:tcW w:w="1276" w:type="dxa"/>
            <w:tcBorders>
              <w:top w:val="nil"/>
              <w:left w:val="nil"/>
              <w:bottom w:val="single" w:sz="4" w:space="0" w:color="auto"/>
              <w:right w:val="single" w:sz="4" w:space="0" w:color="auto"/>
            </w:tcBorders>
            <w:shd w:val="clear" w:color="auto" w:fill="auto"/>
            <w:noWrap/>
            <w:vAlign w:val="center"/>
            <w:hideMark/>
          </w:tcPr>
          <w:p w14:paraId="33E4A106"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c>
          <w:tcPr>
            <w:tcW w:w="1276" w:type="dxa"/>
            <w:tcBorders>
              <w:top w:val="nil"/>
              <w:left w:val="nil"/>
              <w:bottom w:val="single" w:sz="4" w:space="0" w:color="auto"/>
              <w:right w:val="double" w:sz="6" w:space="0" w:color="auto"/>
            </w:tcBorders>
            <w:shd w:val="clear" w:color="auto" w:fill="auto"/>
            <w:noWrap/>
            <w:vAlign w:val="center"/>
            <w:hideMark/>
          </w:tcPr>
          <w:p w14:paraId="650223C4"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w:t>
            </w:r>
          </w:p>
        </w:tc>
      </w:tr>
      <w:tr w:rsidR="00A62497" w:rsidRPr="00A53AD7" w14:paraId="75060B29" w14:textId="77777777" w:rsidTr="00662B3E">
        <w:trPr>
          <w:trHeight w:val="607"/>
        </w:trPr>
        <w:tc>
          <w:tcPr>
            <w:tcW w:w="6804" w:type="dxa"/>
            <w:tcBorders>
              <w:top w:val="nil"/>
              <w:left w:val="double" w:sz="6" w:space="0" w:color="auto"/>
              <w:bottom w:val="double" w:sz="6" w:space="0" w:color="auto"/>
              <w:right w:val="single" w:sz="4" w:space="0" w:color="auto"/>
            </w:tcBorders>
            <w:shd w:val="clear" w:color="auto" w:fill="auto"/>
            <w:vAlign w:val="center"/>
            <w:hideMark/>
          </w:tcPr>
          <w:p w14:paraId="40ACC1A5"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Количество циклов экстракорпорального оплодотворения, выполненных семьям, страдающим бесплодием, за счет средств базовой программы обязательного медицинского страхования</w:t>
            </w:r>
          </w:p>
        </w:tc>
        <w:tc>
          <w:tcPr>
            <w:tcW w:w="1276" w:type="dxa"/>
            <w:tcBorders>
              <w:top w:val="nil"/>
              <w:left w:val="nil"/>
              <w:bottom w:val="double" w:sz="6" w:space="0" w:color="auto"/>
              <w:right w:val="single" w:sz="4" w:space="0" w:color="auto"/>
            </w:tcBorders>
            <w:shd w:val="clear" w:color="auto" w:fill="auto"/>
            <w:vAlign w:val="center"/>
            <w:hideMark/>
          </w:tcPr>
          <w:p w14:paraId="3E8DC05E"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 тыс.ед</w:t>
            </w:r>
          </w:p>
        </w:tc>
        <w:tc>
          <w:tcPr>
            <w:tcW w:w="1276" w:type="dxa"/>
            <w:tcBorders>
              <w:top w:val="nil"/>
              <w:left w:val="nil"/>
              <w:bottom w:val="double" w:sz="6" w:space="0" w:color="auto"/>
              <w:right w:val="double" w:sz="6" w:space="0" w:color="auto"/>
            </w:tcBorders>
            <w:shd w:val="clear" w:color="auto" w:fill="auto"/>
            <w:vAlign w:val="center"/>
            <w:hideMark/>
          </w:tcPr>
          <w:p w14:paraId="5F199F6D"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0,831 тыс.ед.</w:t>
            </w:r>
          </w:p>
        </w:tc>
      </w:tr>
    </w:tbl>
    <w:p w14:paraId="469E8293" w14:textId="77777777" w:rsidR="00662B3E" w:rsidRPr="00A53AD7" w:rsidRDefault="00662B3E" w:rsidP="00662B3E">
      <w:pPr>
        <w:spacing w:after="0" w:line="240" w:lineRule="auto"/>
        <w:ind w:firstLine="851"/>
        <w:jc w:val="both"/>
        <w:rPr>
          <w:rFonts w:ascii="Times New Roman" w:hAnsi="Times New Roman"/>
          <w:sz w:val="28"/>
          <w:szCs w:val="28"/>
        </w:rPr>
      </w:pPr>
    </w:p>
    <w:p w14:paraId="03E719B0"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разделу отчета «Сведения о достижении результатов, контрольных точек и мероприятий» по 7 мероприятиям (контрольным точкам) отмечается отсутствие отклонений (зеленый индикатор), по одному имеет место наличие отклонений (желтый индикатор) «Женщины, родившие первого ребенка в возрасте от 20 до 25 лет включительно, получат единовременную денежную выплату женщинам, родившим первого ребенка в возрасте от 20 до 25 лет включительно». Выплата носит заявительный характер, количество обратившихся за назначением меньше прогнозируемого значения.</w:t>
      </w:r>
    </w:p>
    <w:p w14:paraId="53D116BB"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истекший период:</w:t>
      </w:r>
    </w:p>
    <w:p w14:paraId="1761DAB4" w14:textId="20C76FCC" w:rsidR="00A62497" w:rsidRPr="00A53AD7" w:rsidRDefault="00A62497" w:rsidP="00CA1DDD">
      <w:pPr>
        <w:pStyle w:val="a8"/>
        <w:numPr>
          <w:ilvl w:val="0"/>
          <w:numId w:val="45"/>
        </w:numPr>
        <w:ind w:left="0" w:firstLine="851"/>
        <w:jc w:val="both"/>
        <w:rPr>
          <w:sz w:val="28"/>
          <w:szCs w:val="28"/>
        </w:rPr>
      </w:pPr>
      <w:r w:rsidRPr="00A53AD7">
        <w:rPr>
          <w:sz w:val="28"/>
          <w:szCs w:val="28"/>
        </w:rPr>
        <w:t>единовременную денежную выплату получили 343 женщины, родившие первого ребенка в возрасте от 22 до 24 лет включительно (план 598);</w:t>
      </w:r>
    </w:p>
    <w:p w14:paraId="200FEBE8" w14:textId="3ABA6349" w:rsidR="00A62497" w:rsidRPr="00A53AD7" w:rsidRDefault="00A62497" w:rsidP="00CA1DDD">
      <w:pPr>
        <w:pStyle w:val="a8"/>
        <w:numPr>
          <w:ilvl w:val="0"/>
          <w:numId w:val="45"/>
        </w:numPr>
        <w:ind w:left="0" w:firstLine="851"/>
        <w:jc w:val="both"/>
        <w:rPr>
          <w:sz w:val="28"/>
          <w:szCs w:val="28"/>
        </w:rPr>
      </w:pPr>
      <w:r w:rsidRPr="00A53AD7">
        <w:rPr>
          <w:sz w:val="28"/>
          <w:szCs w:val="28"/>
        </w:rPr>
        <w:t>меры социальной поддержки получили 10 612 многодетных с</w:t>
      </w:r>
      <w:r w:rsidR="00662B3E" w:rsidRPr="00A53AD7">
        <w:rPr>
          <w:sz w:val="28"/>
          <w:szCs w:val="28"/>
        </w:rPr>
        <w:t>емей (план 9 800 семей) из них:</w:t>
      </w:r>
    </w:p>
    <w:p w14:paraId="1DD9E5D2"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9 798 многодетных семей и семей, с тремя и более детьми, в том числе до достижения возраста 21 года, получили меры социальной поддержки по оплате коммунальных услуг (план – 8 267 семей);</w:t>
      </w:r>
    </w:p>
    <w:p w14:paraId="4B526827"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ежемесячную денежную выплату, назначаемую в случае рождения третьего ребенка или последующих детей до достижения ребенком возраста 3 лет, получили 5 885 многодетных семей (план – 501 семья);</w:t>
      </w:r>
    </w:p>
    <w:p w14:paraId="33728938" w14:textId="63CCEB35" w:rsidR="00A62497" w:rsidRPr="00A53AD7" w:rsidRDefault="00A62497" w:rsidP="00CA1DDD">
      <w:pPr>
        <w:pStyle w:val="a8"/>
        <w:numPr>
          <w:ilvl w:val="0"/>
          <w:numId w:val="45"/>
        </w:numPr>
        <w:ind w:left="0" w:firstLine="851"/>
        <w:jc w:val="both"/>
        <w:rPr>
          <w:sz w:val="28"/>
          <w:szCs w:val="28"/>
        </w:rPr>
      </w:pPr>
      <w:r w:rsidRPr="00A53AD7">
        <w:rPr>
          <w:sz w:val="28"/>
          <w:szCs w:val="28"/>
        </w:rPr>
        <w:t>ежемесячные выплаты в связи с рождением (усыновлением) первого ребенка за счет субвенций из федерального бюджета получили 3 320 семей (план – 1 574 семей).</w:t>
      </w:r>
    </w:p>
    <w:p w14:paraId="4C06F625"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течение 2019 года в рамках регионального проекта осуществлялись мероприятия по проведению циклов экстракорпорального оплодотворения, выполняемых семьям, страдающим бесплодием.</w:t>
      </w:r>
    </w:p>
    <w:p w14:paraId="421DCA40"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2019 год запланировано количество циклов экстракорпорального оплодотворения, выполненных семьям, страдающим бесплодием, за счет средств базовой программы обязательного медицинского страхования 800 процедур ЭКО, в территориальной программе государственных гарантий бесплатного оказания гражданам медицинской помощи в Архангельской области на 2019 год предусмотрено 920 процедур.</w:t>
      </w:r>
    </w:p>
    <w:p w14:paraId="0BE4C6CE"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паспорте регионального проекта объем финансового обеспечения за счет средств бюджетов государственных внебюджетных фондов Российской Федерации не определен.</w:t>
      </w:r>
    </w:p>
    <w:p w14:paraId="62AB803C"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ТФОМС АО проведено 934 процедур, из них закончен перенос эмбрионов в полость матки 831 процедура, в том числе полных циклов 591, крио переносов 240 процедур.</w:t>
      </w:r>
    </w:p>
    <w:p w14:paraId="68636EDD"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территориальной программе государственных гарантий бесплатного оказания гражданам медицинской помощи в Архангельской области на 2019 год объем финансового обеспечения за счет средств бюджетов государственных внебюджетных фондов Российской Федерации за отчетный год по экстракорпоральному оплодотворению, в условиях дневного стационара составляет 107,7 млн.руб. (план 133,5 млн.руб.). </w:t>
      </w:r>
    </w:p>
    <w:p w14:paraId="49A0F1CC" w14:textId="77777777" w:rsidR="00A62497" w:rsidRPr="00A53AD7" w:rsidRDefault="00A62497" w:rsidP="00662B3E">
      <w:pPr>
        <w:spacing w:after="0" w:line="240" w:lineRule="auto"/>
        <w:ind w:firstLine="851"/>
        <w:jc w:val="both"/>
        <w:rPr>
          <w:rFonts w:ascii="Times New Roman" w:hAnsi="Times New Roman"/>
          <w:sz w:val="28"/>
          <w:szCs w:val="28"/>
        </w:rPr>
      </w:pPr>
    </w:p>
    <w:p w14:paraId="3E68ECF6" w14:textId="77777777" w:rsidR="00A62497" w:rsidRPr="00A53AD7" w:rsidRDefault="00A62497" w:rsidP="00662B3E">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«Разработка и реализация программы системной поддержки и повышения качества жизни граждан старшего поколения»</w:t>
      </w:r>
    </w:p>
    <w:p w14:paraId="66563C29" w14:textId="1E6D3E64" w:rsidR="00A62497" w:rsidRPr="00A53AD7" w:rsidRDefault="00A62497" w:rsidP="00662B3E">
      <w:pPr>
        <w:spacing w:after="0" w:line="240" w:lineRule="auto"/>
        <w:ind w:firstLine="851"/>
        <w:jc w:val="both"/>
        <w:rPr>
          <w:rFonts w:ascii="Times New Roman" w:hAnsi="Times New Roman"/>
          <w:sz w:val="24"/>
          <w:szCs w:val="24"/>
          <w:highlight w:val="cyan"/>
        </w:rPr>
      </w:pPr>
      <w:r w:rsidRPr="00A53AD7">
        <w:rPr>
          <w:rFonts w:ascii="Times New Roman" w:hAnsi="Times New Roman"/>
          <w:sz w:val="28"/>
          <w:szCs w:val="28"/>
        </w:rPr>
        <w:t>Объем финансовых средств, направленных на финансирование РП «Разработка и реализация программы системной поддержки и повышения качества жизни граждан старшего поколения» представлен ниже.</w:t>
      </w:r>
    </w:p>
    <w:tbl>
      <w:tblPr>
        <w:tblW w:w="9332" w:type="dxa"/>
        <w:tblLayout w:type="fixed"/>
        <w:tblLook w:val="04A0" w:firstRow="1" w:lastRow="0" w:firstColumn="1" w:lastColumn="0" w:noHBand="0" w:noVBand="1"/>
      </w:tblPr>
      <w:tblGrid>
        <w:gridCol w:w="6356"/>
        <w:gridCol w:w="708"/>
        <w:gridCol w:w="992"/>
        <w:gridCol w:w="1276"/>
      </w:tblGrid>
      <w:tr w:rsidR="00D470B6" w:rsidRPr="00A53AD7" w14:paraId="581382A4" w14:textId="77777777" w:rsidTr="00662B3E">
        <w:trPr>
          <w:trHeight w:val="450"/>
        </w:trPr>
        <w:tc>
          <w:tcPr>
            <w:tcW w:w="6356" w:type="dxa"/>
            <w:vMerge w:val="restart"/>
            <w:tcBorders>
              <w:top w:val="double" w:sz="6" w:space="0" w:color="auto"/>
              <w:left w:val="double" w:sz="6" w:space="0" w:color="auto"/>
              <w:bottom w:val="single" w:sz="8" w:space="0" w:color="000000"/>
              <w:right w:val="single" w:sz="8" w:space="0" w:color="auto"/>
            </w:tcBorders>
            <w:shd w:val="clear" w:color="auto" w:fill="auto"/>
            <w:vAlign w:val="center"/>
            <w:hideMark/>
          </w:tcPr>
          <w:p w14:paraId="154ECFE8"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w:t>
            </w:r>
          </w:p>
        </w:tc>
        <w:tc>
          <w:tcPr>
            <w:tcW w:w="708" w:type="dxa"/>
            <w:vMerge w:val="restart"/>
            <w:tcBorders>
              <w:top w:val="double" w:sz="6" w:space="0" w:color="auto"/>
              <w:left w:val="single" w:sz="8" w:space="0" w:color="auto"/>
              <w:bottom w:val="single" w:sz="8" w:space="0" w:color="000000"/>
              <w:right w:val="single" w:sz="8" w:space="0" w:color="auto"/>
            </w:tcBorders>
            <w:shd w:val="clear" w:color="auto" w:fill="auto"/>
            <w:vAlign w:val="center"/>
            <w:hideMark/>
          </w:tcPr>
          <w:p w14:paraId="0B8AB70C"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992" w:type="dxa"/>
            <w:vMerge w:val="restart"/>
            <w:tcBorders>
              <w:top w:val="double" w:sz="6" w:space="0" w:color="auto"/>
              <w:left w:val="single" w:sz="8" w:space="0" w:color="auto"/>
              <w:bottom w:val="single" w:sz="8" w:space="0" w:color="000000"/>
              <w:right w:val="single" w:sz="8" w:space="0" w:color="auto"/>
            </w:tcBorders>
            <w:shd w:val="clear" w:color="auto" w:fill="auto"/>
            <w:vAlign w:val="center"/>
            <w:hideMark/>
          </w:tcPr>
          <w:p w14:paraId="639D10F0"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Исполнение</w:t>
            </w:r>
          </w:p>
        </w:tc>
        <w:tc>
          <w:tcPr>
            <w:tcW w:w="1276" w:type="dxa"/>
            <w:vMerge w:val="restart"/>
            <w:tcBorders>
              <w:top w:val="double" w:sz="6" w:space="0" w:color="auto"/>
              <w:left w:val="single" w:sz="8" w:space="0" w:color="auto"/>
              <w:bottom w:val="single" w:sz="8" w:space="0" w:color="000000"/>
              <w:right w:val="double" w:sz="6" w:space="0" w:color="auto"/>
            </w:tcBorders>
            <w:shd w:val="clear" w:color="auto" w:fill="auto"/>
            <w:vAlign w:val="center"/>
            <w:hideMark/>
          </w:tcPr>
          <w:p w14:paraId="1B9FAF44"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 выполнения </w:t>
            </w:r>
          </w:p>
        </w:tc>
      </w:tr>
      <w:tr w:rsidR="00D470B6" w:rsidRPr="00A53AD7" w14:paraId="03D5E310" w14:textId="77777777" w:rsidTr="00662B3E">
        <w:trPr>
          <w:trHeight w:val="450"/>
        </w:trPr>
        <w:tc>
          <w:tcPr>
            <w:tcW w:w="6356" w:type="dxa"/>
            <w:vMerge/>
            <w:tcBorders>
              <w:top w:val="double" w:sz="6" w:space="0" w:color="auto"/>
              <w:left w:val="double" w:sz="6" w:space="0" w:color="auto"/>
              <w:bottom w:val="single" w:sz="8" w:space="0" w:color="000000"/>
              <w:right w:val="single" w:sz="8" w:space="0" w:color="auto"/>
            </w:tcBorders>
            <w:vAlign w:val="center"/>
            <w:hideMark/>
          </w:tcPr>
          <w:p w14:paraId="7F87BD98" w14:textId="77777777" w:rsidR="00A62497" w:rsidRPr="00A53AD7" w:rsidRDefault="00A62497" w:rsidP="00A62497">
            <w:pPr>
              <w:spacing w:after="0" w:line="240" w:lineRule="auto"/>
              <w:rPr>
                <w:rFonts w:ascii="Times New Roman" w:eastAsia="Times New Roman" w:hAnsi="Times New Roman"/>
                <w:sz w:val="20"/>
                <w:szCs w:val="20"/>
                <w:lang w:eastAsia="ru-RU"/>
              </w:rPr>
            </w:pPr>
          </w:p>
        </w:tc>
        <w:tc>
          <w:tcPr>
            <w:tcW w:w="708" w:type="dxa"/>
            <w:vMerge/>
            <w:tcBorders>
              <w:top w:val="double" w:sz="6" w:space="0" w:color="auto"/>
              <w:left w:val="single" w:sz="8" w:space="0" w:color="auto"/>
              <w:bottom w:val="single" w:sz="8" w:space="0" w:color="000000"/>
              <w:right w:val="single" w:sz="8" w:space="0" w:color="auto"/>
            </w:tcBorders>
            <w:vAlign w:val="center"/>
            <w:hideMark/>
          </w:tcPr>
          <w:p w14:paraId="15815F44" w14:textId="77777777" w:rsidR="00A62497" w:rsidRPr="00A53AD7" w:rsidRDefault="00A62497" w:rsidP="00A62497">
            <w:pPr>
              <w:spacing w:after="0" w:line="240" w:lineRule="auto"/>
              <w:rPr>
                <w:rFonts w:ascii="Times New Roman" w:eastAsia="Times New Roman" w:hAnsi="Times New Roman"/>
                <w:sz w:val="20"/>
                <w:szCs w:val="20"/>
                <w:lang w:eastAsia="ru-RU"/>
              </w:rPr>
            </w:pPr>
          </w:p>
        </w:tc>
        <w:tc>
          <w:tcPr>
            <w:tcW w:w="992" w:type="dxa"/>
            <w:vMerge/>
            <w:tcBorders>
              <w:top w:val="double" w:sz="6" w:space="0" w:color="auto"/>
              <w:left w:val="single" w:sz="8" w:space="0" w:color="auto"/>
              <w:bottom w:val="single" w:sz="8" w:space="0" w:color="000000"/>
              <w:right w:val="single" w:sz="8" w:space="0" w:color="auto"/>
            </w:tcBorders>
            <w:vAlign w:val="center"/>
            <w:hideMark/>
          </w:tcPr>
          <w:p w14:paraId="1F306EAD" w14:textId="77777777" w:rsidR="00A62497" w:rsidRPr="00A53AD7" w:rsidRDefault="00A62497" w:rsidP="00A62497">
            <w:pPr>
              <w:spacing w:after="0" w:line="240" w:lineRule="auto"/>
              <w:rPr>
                <w:rFonts w:ascii="Times New Roman" w:eastAsia="Times New Roman" w:hAnsi="Times New Roman"/>
                <w:sz w:val="20"/>
                <w:szCs w:val="20"/>
                <w:lang w:eastAsia="ru-RU"/>
              </w:rPr>
            </w:pPr>
          </w:p>
        </w:tc>
        <w:tc>
          <w:tcPr>
            <w:tcW w:w="1276" w:type="dxa"/>
            <w:vMerge/>
            <w:tcBorders>
              <w:top w:val="double" w:sz="6" w:space="0" w:color="auto"/>
              <w:left w:val="single" w:sz="8" w:space="0" w:color="auto"/>
              <w:bottom w:val="single" w:sz="8" w:space="0" w:color="000000"/>
              <w:right w:val="double" w:sz="6" w:space="0" w:color="auto"/>
            </w:tcBorders>
            <w:vAlign w:val="center"/>
            <w:hideMark/>
          </w:tcPr>
          <w:p w14:paraId="20129474" w14:textId="77777777" w:rsidR="00A62497" w:rsidRPr="00A53AD7" w:rsidRDefault="00A62497" w:rsidP="00A62497">
            <w:pPr>
              <w:spacing w:after="0" w:line="240" w:lineRule="auto"/>
              <w:rPr>
                <w:rFonts w:ascii="Times New Roman" w:eastAsia="Times New Roman" w:hAnsi="Times New Roman"/>
                <w:sz w:val="20"/>
                <w:szCs w:val="20"/>
                <w:lang w:eastAsia="ru-RU"/>
              </w:rPr>
            </w:pPr>
          </w:p>
        </w:tc>
      </w:tr>
      <w:tr w:rsidR="00D470B6" w:rsidRPr="00A53AD7" w14:paraId="1FE5223C" w14:textId="77777777" w:rsidTr="00662B3E">
        <w:trPr>
          <w:trHeight w:val="100"/>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3F7483C7" w14:textId="77777777" w:rsidR="00A62497" w:rsidRPr="00A53AD7" w:rsidRDefault="00A62497" w:rsidP="00A62497">
            <w:pPr>
              <w:spacing w:after="0" w:line="240" w:lineRule="auto"/>
              <w:jc w:val="both"/>
              <w:rPr>
                <w:rFonts w:ascii="Times New Roman" w:eastAsia="Times New Roman" w:hAnsi="Times New Roman"/>
                <w:bCs/>
                <w:sz w:val="24"/>
                <w:szCs w:val="24"/>
                <w:lang w:eastAsia="ru-RU"/>
              </w:rPr>
            </w:pPr>
            <w:r w:rsidRPr="00A53AD7">
              <w:rPr>
                <w:rFonts w:ascii="Times New Roman" w:eastAsia="Times New Roman" w:hAnsi="Times New Roman"/>
                <w:bCs/>
                <w:sz w:val="24"/>
                <w:szCs w:val="24"/>
                <w:lang w:eastAsia="ru-RU"/>
              </w:rPr>
              <w:t>Всего</w:t>
            </w:r>
          </w:p>
        </w:tc>
        <w:tc>
          <w:tcPr>
            <w:tcW w:w="708" w:type="dxa"/>
            <w:tcBorders>
              <w:top w:val="nil"/>
              <w:left w:val="nil"/>
              <w:bottom w:val="single" w:sz="8" w:space="0" w:color="auto"/>
              <w:right w:val="single" w:sz="8" w:space="0" w:color="auto"/>
            </w:tcBorders>
            <w:shd w:val="clear" w:color="auto" w:fill="auto"/>
            <w:noWrap/>
            <w:vAlign w:val="center"/>
            <w:hideMark/>
          </w:tcPr>
          <w:p w14:paraId="73F02E26"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72,1</w:t>
            </w:r>
          </w:p>
        </w:tc>
        <w:tc>
          <w:tcPr>
            <w:tcW w:w="992" w:type="dxa"/>
            <w:tcBorders>
              <w:top w:val="nil"/>
              <w:left w:val="nil"/>
              <w:bottom w:val="single" w:sz="8" w:space="0" w:color="auto"/>
              <w:right w:val="single" w:sz="8" w:space="0" w:color="auto"/>
            </w:tcBorders>
            <w:shd w:val="clear" w:color="auto" w:fill="auto"/>
            <w:noWrap/>
            <w:vAlign w:val="center"/>
            <w:hideMark/>
          </w:tcPr>
          <w:p w14:paraId="6027653C"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50,2</w:t>
            </w:r>
          </w:p>
        </w:tc>
        <w:tc>
          <w:tcPr>
            <w:tcW w:w="1276" w:type="dxa"/>
            <w:tcBorders>
              <w:top w:val="nil"/>
              <w:left w:val="nil"/>
              <w:bottom w:val="single" w:sz="8" w:space="0" w:color="auto"/>
              <w:right w:val="double" w:sz="6" w:space="0" w:color="auto"/>
            </w:tcBorders>
            <w:shd w:val="clear" w:color="auto" w:fill="auto"/>
            <w:noWrap/>
            <w:vAlign w:val="center"/>
            <w:hideMark/>
          </w:tcPr>
          <w:p w14:paraId="62638B55"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69,6</w:t>
            </w:r>
          </w:p>
        </w:tc>
      </w:tr>
      <w:tr w:rsidR="00D470B6" w:rsidRPr="00A53AD7" w14:paraId="5629D5B9" w14:textId="77777777" w:rsidTr="00662B3E">
        <w:trPr>
          <w:trHeight w:val="656"/>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345F0FEB"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Проведение вакцинации против пневмококковой инфекции граждан старше трудоспособного возраста из групп риска, проживающих в организациях социального обслуживания</w:t>
            </w:r>
          </w:p>
        </w:tc>
        <w:tc>
          <w:tcPr>
            <w:tcW w:w="708" w:type="dxa"/>
            <w:tcBorders>
              <w:top w:val="nil"/>
              <w:left w:val="nil"/>
              <w:bottom w:val="single" w:sz="8" w:space="0" w:color="auto"/>
              <w:right w:val="single" w:sz="8" w:space="0" w:color="auto"/>
            </w:tcBorders>
            <w:shd w:val="clear" w:color="auto" w:fill="auto"/>
            <w:noWrap/>
            <w:vAlign w:val="center"/>
            <w:hideMark/>
          </w:tcPr>
          <w:p w14:paraId="3DF28615"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w:t>
            </w:r>
          </w:p>
        </w:tc>
        <w:tc>
          <w:tcPr>
            <w:tcW w:w="992" w:type="dxa"/>
            <w:tcBorders>
              <w:top w:val="nil"/>
              <w:left w:val="nil"/>
              <w:bottom w:val="single" w:sz="8" w:space="0" w:color="auto"/>
              <w:right w:val="single" w:sz="8" w:space="0" w:color="auto"/>
            </w:tcBorders>
            <w:shd w:val="clear" w:color="auto" w:fill="auto"/>
            <w:noWrap/>
            <w:vAlign w:val="center"/>
            <w:hideMark/>
          </w:tcPr>
          <w:p w14:paraId="1C0EBA0F"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1,9</w:t>
            </w:r>
          </w:p>
        </w:tc>
        <w:tc>
          <w:tcPr>
            <w:tcW w:w="1276" w:type="dxa"/>
            <w:tcBorders>
              <w:top w:val="nil"/>
              <w:left w:val="nil"/>
              <w:bottom w:val="single" w:sz="8" w:space="0" w:color="auto"/>
              <w:right w:val="double" w:sz="6" w:space="0" w:color="auto"/>
            </w:tcBorders>
            <w:shd w:val="clear" w:color="auto" w:fill="auto"/>
            <w:noWrap/>
            <w:vAlign w:val="center"/>
            <w:hideMark/>
          </w:tcPr>
          <w:p w14:paraId="7C049089"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r>
      <w:tr w:rsidR="00D470B6" w:rsidRPr="00A53AD7" w14:paraId="6B99A2A5" w14:textId="77777777" w:rsidTr="00662B3E">
        <w:trPr>
          <w:trHeight w:val="370"/>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1DF90116"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Организация профессионального обучения и дополнительного профессионального образования лиц предпенсионного возраста</w:t>
            </w:r>
          </w:p>
        </w:tc>
        <w:tc>
          <w:tcPr>
            <w:tcW w:w="708" w:type="dxa"/>
            <w:tcBorders>
              <w:top w:val="nil"/>
              <w:left w:val="nil"/>
              <w:bottom w:val="single" w:sz="8" w:space="0" w:color="auto"/>
              <w:right w:val="single" w:sz="8" w:space="0" w:color="auto"/>
            </w:tcBorders>
            <w:shd w:val="clear" w:color="auto" w:fill="auto"/>
            <w:noWrap/>
            <w:vAlign w:val="center"/>
            <w:hideMark/>
          </w:tcPr>
          <w:p w14:paraId="74AB6B87"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33,2</w:t>
            </w:r>
          </w:p>
        </w:tc>
        <w:tc>
          <w:tcPr>
            <w:tcW w:w="992" w:type="dxa"/>
            <w:tcBorders>
              <w:top w:val="nil"/>
              <w:left w:val="nil"/>
              <w:bottom w:val="single" w:sz="8" w:space="0" w:color="auto"/>
              <w:right w:val="single" w:sz="8" w:space="0" w:color="auto"/>
            </w:tcBorders>
            <w:shd w:val="clear" w:color="auto" w:fill="auto"/>
            <w:noWrap/>
            <w:vAlign w:val="center"/>
            <w:hideMark/>
          </w:tcPr>
          <w:p w14:paraId="6F48FF45"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11,2</w:t>
            </w:r>
          </w:p>
        </w:tc>
        <w:tc>
          <w:tcPr>
            <w:tcW w:w="1276" w:type="dxa"/>
            <w:tcBorders>
              <w:top w:val="nil"/>
              <w:left w:val="nil"/>
              <w:bottom w:val="single" w:sz="8" w:space="0" w:color="auto"/>
              <w:right w:val="double" w:sz="6" w:space="0" w:color="auto"/>
            </w:tcBorders>
            <w:shd w:val="clear" w:color="auto" w:fill="auto"/>
            <w:noWrap/>
            <w:vAlign w:val="center"/>
            <w:hideMark/>
          </w:tcPr>
          <w:p w14:paraId="5E75E330"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33,8</w:t>
            </w:r>
          </w:p>
        </w:tc>
      </w:tr>
      <w:tr w:rsidR="00D470B6" w:rsidRPr="00A53AD7" w14:paraId="7EA504CB" w14:textId="77777777" w:rsidTr="00662B3E">
        <w:trPr>
          <w:trHeight w:val="163"/>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0001779A"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Приобретение автотранспорта</w:t>
            </w:r>
          </w:p>
        </w:tc>
        <w:tc>
          <w:tcPr>
            <w:tcW w:w="708" w:type="dxa"/>
            <w:tcBorders>
              <w:top w:val="nil"/>
              <w:left w:val="nil"/>
              <w:bottom w:val="single" w:sz="8" w:space="0" w:color="auto"/>
              <w:right w:val="single" w:sz="8" w:space="0" w:color="auto"/>
            </w:tcBorders>
            <w:shd w:val="clear" w:color="auto" w:fill="auto"/>
            <w:noWrap/>
            <w:vAlign w:val="center"/>
            <w:hideMark/>
          </w:tcPr>
          <w:p w14:paraId="5355F289"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w:t>
            </w:r>
          </w:p>
        </w:tc>
        <w:tc>
          <w:tcPr>
            <w:tcW w:w="992" w:type="dxa"/>
            <w:tcBorders>
              <w:top w:val="nil"/>
              <w:left w:val="nil"/>
              <w:bottom w:val="single" w:sz="8" w:space="0" w:color="auto"/>
              <w:right w:val="single" w:sz="8" w:space="0" w:color="auto"/>
            </w:tcBorders>
            <w:shd w:val="clear" w:color="auto" w:fill="auto"/>
            <w:noWrap/>
            <w:vAlign w:val="center"/>
            <w:hideMark/>
          </w:tcPr>
          <w:p w14:paraId="23465654"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32,5</w:t>
            </w:r>
          </w:p>
        </w:tc>
        <w:tc>
          <w:tcPr>
            <w:tcW w:w="1276" w:type="dxa"/>
            <w:tcBorders>
              <w:top w:val="nil"/>
              <w:left w:val="nil"/>
              <w:bottom w:val="single" w:sz="8" w:space="0" w:color="auto"/>
              <w:right w:val="double" w:sz="6" w:space="0" w:color="auto"/>
            </w:tcBorders>
            <w:shd w:val="clear" w:color="auto" w:fill="auto"/>
            <w:noWrap/>
            <w:vAlign w:val="center"/>
            <w:hideMark/>
          </w:tcPr>
          <w:p w14:paraId="5C6A8CB6"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r>
      <w:tr w:rsidR="00D470B6" w:rsidRPr="00A53AD7" w14:paraId="19C9F9C9" w14:textId="77777777" w:rsidTr="00662B3E">
        <w:trPr>
          <w:trHeight w:val="525"/>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1BB5E86B"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Осуществление доставки лиц старше 65 лет, проживающих в сельской местности, в медицинской организации, расположенные в Архангельской области</w:t>
            </w:r>
          </w:p>
        </w:tc>
        <w:tc>
          <w:tcPr>
            <w:tcW w:w="708" w:type="dxa"/>
            <w:tcBorders>
              <w:top w:val="nil"/>
              <w:left w:val="nil"/>
              <w:bottom w:val="single" w:sz="8" w:space="0" w:color="auto"/>
              <w:right w:val="single" w:sz="8" w:space="0" w:color="auto"/>
            </w:tcBorders>
            <w:shd w:val="clear" w:color="auto" w:fill="auto"/>
            <w:noWrap/>
            <w:vAlign w:val="center"/>
            <w:hideMark/>
          </w:tcPr>
          <w:p w14:paraId="2CA21056"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2,6</w:t>
            </w:r>
          </w:p>
        </w:tc>
        <w:tc>
          <w:tcPr>
            <w:tcW w:w="992" w:type="dxa"/>
            <w:tcBorders>
              <w:top w:val="nil"/>
              <w:left w:val="nil"/>
              <w:bottom w:val="single" w:sz="8" w:space="0" w:color="auto"/>
              <w:right w:val="single" w:sz="8" w:space="0" w:color="auto"/>
            </w:tcBorders>
            <w:shd w:val="clear" w:color="auto" w:fill="auto"/>
            <w:noWrap/>
            <w:vAlign w:val="center"/>
            <w:hideMark/>
          </w:tcPr>
          <w:p w14:paraId="6059874F"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2,6</w:t>
            </w:r>
          </w:p>
        </w:tc>
        <w:tc>
          <w:tcPr>
            <w:tcW w:w="1276" w:type="dxa"/>
            <w:tcBorders>
              <w:top w:val="nil"/>
              <w:left w:val="nil"/>
              <w:bottom w:val="single" w:sz="8" w:space="0" w:color="auto"/>
              <w:right w:val="double" w:sz="6" w:space="0" w:color="auto"/>
            </w:tcBorders>
            <w:shd w:val="clear" w:color="auto" w:fill="auto"/>
            <w:noWrap/>
            <w:vAlign w:val="center"/>
            <w:hideMark/>
          </w:tcPr>
          <w:p w14:paraId="65A8DA42"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r>
      <w:tr w:rsidR="00A62497" w:rsidRPr="00A53AD7" w14:paraId="142AEBB4" w14:textId="77777777" w:rsidTr="00662B3E">
        <w:trPr>
          <w:trHeight w:val="525"/>
        </w:trPr>
        <w:tc>
          <w:tcPr>
            <w:tcW w:w="6356" w:type="dxa"/>
            <w:tcBorders>
              <w:top w:val="nil"/>
              <w:left w:val="double" w:sz="6" w:space="0" w:color="auto"/>
              <w:bottom w:val="single" w:sz="8" w:space="0" w:color="auto"/>
              <w:right w:val="single" w:sz="8" w:space="0" w:color="auto"/>
            </w:tcBorders>
            <w:shd w:val="clear" w:color="auto" w:fill="auto"/>
            <w:vAlign w:val="center"/>
            <w:hideMark/>
          </w:tcPr>
          <w:p w14:paraId="74804565"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Осуществление доставки лиц старше 65 лет, проживающих в сельской местности, в медицинской организации, расположенные в Архангельской области</w:t>
            </w:r>
          </w:p>
        </w:tc>
        <w:tc>
          <w:tcPr>
            <w:tcW w:w="708" w:type="dxa"/>
            <w:tcBorders>
              <w:top w:val="nil"/>
              <w:left w:val="nil"/>
              <w:bottom w:val="single" w:sz="8" w:space="0" w:color="auto"/>
              <w:right w:val="single" w:sz="8" w:space="0" w:color="auto"/>
            </w:tcBorders>
            <w:shd w:val="clear" w:color="auto" w:fill="auto"/>
            <w:noWrap/>
            <w:vAlign w:val="center"/>
            <w:hideMark/>
          </w:tcPr>
          <w:p w14:paraId="77F3286D"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w:t>
            </w:r>
          </w:p>
        </w:tc>
        <w:tc>
          <w:tcPr>
            <w:tcW w:w="992" w:type="dxa"/>
            <w:tcBorders>
              <w:top w:val="nil"/>
              <w:left w:val="nil"/>
              <w:bottom w:val="single" w:sz="8" w:space="0" w:color="auto"/>
              <w:right w:val="single" w:sz="8" w:space="0" w:color="auto"/>
            </w:tcBorders>
            <w:shd w:val="clear" w:color="auto" w:fill="auto"/>
            <w:noWrap/>
            <w:vAlign w:val="center"/>
            <w:hideMark/>
          </w:tcPr>
          <w:p w14:paraId="4662DDCD"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2,00</w:t>
            </w:r>
          </w:p>
        </w:tc>
        <w:tc>
          <w:tcPr>
            <w:tcW w:w="1276" w:type="dxa"/>
            <w:tcBorders>
              <w:top w:val="nil"/>
              <w:left w:val="nil"/>
              <w:bottom w:val="single" w:sz="8" w:space="0" w:color="auto"/>
              <w:right w:val="double" w:sz="6" w:space="0" w:color="auto"/>
            </w:tcBorders>
            <w:shd w:val="clear" w:color="auto" w:fill="auto"/>
            <w:noWrap/>
            <w:vAlign w:val="center"/>
            <w:hideMark/>
          </w:tcPr>
          <w:p w14:paraId="59E3D338" w14:textId="77777777" w:rsidR="00A62497" w:rsidRPr="00A53AD7" w:rsidRDefault="00A62497" w:rsidP="00C71A4C">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100</w:t>
            </w:r>
          </w:p>
        </w:tc>
      </w:tr>
    </w:tbl>
    <w:p w14:paraId="113FCA5F" w14:textId="77777777" w:rsidR="00662B3E" w:rsidRPr="00A53AD7" w:rsidRDefault="00662B3E" w:rsidP="00662B3E">
      <w:pPr>
        <w:spacing w:after="0" w:line="240" w:lineRule="auto"/>
        <w:ind w:firstLine="851"/>
        <w:jc w:val="both"/>
        <w:rPr>
          <w:rFonts w:ascii="Times New Roman" w:hAnsi="Times New Roman"/>
          <w:sz w:val="28"/>
          <w:szCs w:val="28"/>
        </w:rPr>
      </w:pPr>
    </w:p>
    <w:p w14:paraId="4DA1227F"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на реализацию регионального проекта «Разработка и реализация программы системной поддержки и повышения качества жизни граждан старшего поколения» профинансированы расходы 50,2 млн.руб. или 69,6% от утвержденных назначений.</w:t>
      </w:r>
    </w:p>
    <w:p w14:paraId="39B52E44" w14:textId="141036F1"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Низкое исполнение расходов на организацию профессионального обучения и дополнительного профессионального образования лиц предпенсионного возраста направлено 11,2 </w:t>
      </w:r>
      <w:r w:rsidR="00662B3E" w:rsidRPr="00A53AD7">
        <w:rPr>
          <w:rFonts w:ascii="Times New Roman" w:hAnsi="Times New Roman"/>
          <w:sz w:val="28"/>
          <w:szCs w:val="28"/>
        </w:rPr>
        <w:t>млн.</w:t>
      </w:r>
      <w:r w:rsidRPr="00A53AD7">
        <w:rPr>
          <w:rFonts w:ascii="Times New Roman" w:hAnsi="Times New Roman"/>
          <w:sz w:val="28"/>
          <w:szCs w:val="28"/>
        </w:rPr>
        <w:t>руб</w:t>
      </w:r>
      <w:r w:rsidR="00662B3E" w:rsidRPr="00A53AD7">
        <w:rPr>
          <w:rFonts w:ascii="Times New Roman" w:hAnsi="Times New Roman"/>
          <w:sz w:val="28"/>
          <w:szCs w:val="28"/>
        </w:rPr>
        <w:t>.</w:t>
      </w:r>
      <w:r w:rsidRPr="00A53AD7">
        <w:rPr>
          <w:rFonts w:ascii="Times New Roman" w:hAnsi="Times New Roman"/>
          <w:sz w:val="28"/>
          <w:szCs w:val="28"/>
        </w:rPr>
        <w:t xml:space="preserve"> (33,8 процента) обусловлено фактически предоставленными работодателями документами на выплату компенсации, снижение стоимости обучения по результатам закупочных процедур и выбранных вариантов обучения (в том числе по сертификатам). Объем финансовых средств для оплаты услуг по обучению, в том числе в рамках образовательных сертификатов, сформировался в соответствии с выбранными гражданами вариантами обучения. С учетом всех форм обучения средняя стоимость обучения на одного человека составила 19,</w:t>
      </w:r>
      <w:r w:rsidR="00662B3E" w:rsidRPr="00A53AD7">
        <w:rPr>
          <w:rFonts w:ascii="Times New Roman" w:hAnsi="Times New Roman"/>
          <w:sz w:val="28"/>
          <w:szCs w:val="28"/>
        </w:rPr>
        <w:t>4 тыс.</w:t>
      </w:r>
      <w:r w:rsidRPr="00A53AD7">
        <w:rPr>
          <w:rFonts w:ascii="Times New Roman" w:hAnsi="Times New Roman"/>
          <w:sz w:val="28"/>
          <w:szCs w:val="28"/>
        </w:rPr>
        <w:t>руб</w:t>
      </w:r>
      <w:r w:rsidR="00662B3E" w:rsidRPr="00A53AD7">
        <w:rPr>
          <w:rFonts w:ascii="Times New Roman" w:hAnsi="Times New Roman"/>
          <w:sz w:val="28"/>
          <w:szCs w:val="28"/>
        </w:rPr>
        <w:t>.</w:t>
      </w:r>
      <w:r w:rsidRPr="00A53AD7">
        <w:rPr>
          <w:rFonts w:ascii="Times New Roman" w:hAnsi="Times New Roman"/>
          <w:sz w:val="28"/>
          <w:szCs w:val="28"/>
        </w:rPr>
        <w:t xml:space="preserve"> (стоимость обучения, </w:t>
      </w:r>
      <w:r w:rsidR="00662B3E" w:rsidRPr="00A53AD7">
        <w:rPr>
          <w:rFonts w:ascii="Times New Roman" w:hAnsi="Times New Roman"/>
          <w:sz w:val="28"/>
          <w:szCs w:val="28"/>
        </w:rPr>
        <w:t>заложенная в расчет – 76,6 тыс.</w:t>
      </w:r>
      <w:r w:rsidRPr="00A53AD7">
        <w:rPr>
          <w:rFonts w:ascii="Times New Roman" w:hAnsi="Times New Roman"/>
          <w:sz w:val="28"/>
          <w:szCs w:val="28"/>
        </w:rPr>
        <w:t>руб</w:t>
      </w:r>
      <w:r w:rsidR="00662B3E" w:rsidRPr="00A53AD7">
        <w:rPr>
          <w:rFonts w:ascii="Times New Roman" w:hAnsi="Times New Roman"/>
          <w:sz w:val="28"/>
          <w:szCs w:val="28"/>
        </w:rPr>
        <w:t>.</w:t>
      </w:r>
      <w:r w:rsidRPr="00A53AD7">
        <w:rPr>
          <w:rFonts w:ascii="Times New Roman" w:hAnsi="Times New Roman"/>
          <w:sz w:val="28"/>
          <w:szCs w:val="28"/>
        </w:rPr>
        <w:t>).</w:t>
      </w:r>
    </w:p>
    <w:p w14:paraId="76BCAF28"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показателей регионального проекта «Разработка и реализация программы системной поддержки и повышения качества жизни граждан старшего поколения», реализуемых в 2019 году, представлено ниже:</w:t>
      </w:r>
    </w:p>
    <w:tbl>
      <w:tblPr>
        <w:tblW w:w="9356" w:type="dxa"/>
        <w:tblInd w:w="-23" w:type="dxa"/>
        <w:tblLook w:val="04A0" w:firstRow="1" w:lastRow="0" w:firstColumn="1" w:lastColumn="0" w:noHBand="0" w:noVBand="1"/>
      </w:tblPr>
      <w:tblGrid>
        <w:gridCol w:w="6379"/>
        <w:gridCol w:w="851"/>
        <w:gridCol w:w="850"/>
        <w:gridCol w:w="1276"/>
      </w:tblGrid>
      <w:tr w:rsidR="00D470B6" w:rsidRPr="00A53AD7" w14:paraId="7AE647CC" w14:textId="77777777" w:rsidTr="00662B3E">
        <w:trPr>
          <w:trHeight w:val="556"/>
          <w:tblHeader/>
        </w:trPr>
        <w:tc>
          <w:tcPr>
            <w:tcW w:w="637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F98842C"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59136286"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850" w:type="dxa"/>
            <w:tcBorders>
              <w:top w:val="double" w:sz="6" w:space="0" w:color="auto"/>
              <w:left w:val="nil"/>
              <w:bottom w:val="single" w:sz="4" w:space="0" w:color="auto"/>
              <w:right w:val="single" w:sz="4" w:space="0" w:color="auto"/>
            </w:tcBorders>
            <w:shd w:val="clear" w:color="auto" w:fill="auto"/>
            <w:vAlign w:val="center"/>
            <w:hideMark/>
          </w:tcPr>
          <w:p w14:paraId="57B7A703"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3B8F135A"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достижения</w:t>
            </w:r>
          </w:p>
        </w:tc>
      </w:tr>
      <w:tr w:rsidR="00D470B6" w:rsidRPr="00A53AD7" w14:paraId="061E111E" w14:textId="77777777" w:rsidTr="00662B3E">
        <w:trPr>
          <w:trHeight w:val="393"/>
        </w:trPr>
        <w:tc>
          <w:tcPr>
            <w:tcW w:w="6379" w:type="dxa"/>
            <w:tcBorders>
              <w:top w:val="nil"/>
              <w:left w:val="double" w:sz="6" w:space="0" w:color="auto"/>
              <w:bottom w:val="single" w:sz="4" w:space="0" w:color="auto"/>
              <w:right w:val="single" w:sz="4" w:space="0" w:color="auto"/>
            </w:tcBorders>
            <w:shd w:val="clear" w:color="auto" w:fill="auto"/>
            <w:vAlign w:val="center"/>
            <w:hideMark/>
          </w:tcPr>
          <w:p w14:paraId="6F5D50B9"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Охват граждан старше трудоспособного возраста профилактическими осмотрами, включая диспансеризацию, %</w:t>
            </w:r>
          </w:p>
        </w:tc>
        <w:tc>
          <w:tcPr>
            <w:tcW w:w="851" w:type="dxa"/>
            <w:tcBorders>
              <w:top w:val="nil"/>
              <w:left w:val="nil"/>
              <w:bottom w:val="single" w:sz="4" w:space="0" w:color="auto"/>
              <w:right w:val="single" w:sz="4" w:space="0" w:color="auto"/>
            </w:tcBorders>
            <w:shd w:val="clear" w:color="auto" w:fill="auto"/>
            <w:vAlign w:val="center"/>
            <w:hideMark/>
          </w:tcPr>
          <w:p w14:paraId="69EEAD89"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w:t>
            </w:r>
          </w:p>
        </w:tc>
        <w:tc>
          <w:tcPr>
            <w:tcW w:w="850" w:type="dxa"/>
            <w:tcBorders>
              <w:top w:val="nil"/>
              <w:left w:val="nil"/>
              <w:bottom w:val="single" w:sz="4" w:space="0" w:color="auto"/>
              <w:right w:val="single" w:sz="4" w:space="0" w:color="auto"/>
            </w:tcBorders>
            <w:shd w:val="clear" w:color="auto" w:fill="auto"/>
            <w:vAlign w:val="center"/>
            <w:hideMark/>
          </w:tcPr>
          <w:p w14:paraId="04844301"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35.4</w:t>
            </w:r>
          </w:p>
        </w:tc>
        <w:tc>
          <w:tcPr>
            <w:tcW w:w="1276" w:type="dxa"/>
            <w:tcBorders>
              <w:top w:val="nil"/>
              <w:left w:val="nil"/>
              <w:bottom w:val="single" w:sz="4" w:space="0" w:color="auto"/>
              <w:right w:val="double" w:sz="6" w:space="0" w:color="auto"/>
            </w:tcBorders>
            <w:shd w:val="clear" w:color="auto" w:fill="auto"/>
            <w:vAlign w:val="center"/>
            <w:hideMark/>
          </w:tcPr>
          <w:p w14:paraId="610B35DC"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27BAC798" w14:textId="77777777" w:rsidTr="00662B3E">
        <w:trPr>
          <w:trHeight w:val="522"/>
        </w:trPr>
        <w:tc>
          <w:tcPr>
            <w:tcW w:w="6379" w:type="dxa"/>
            <w:tcBorders>
              <w:top w:val="nil"/>
              <w:left w:val="double" w:sz="6" w:space="0" w:color="auto"/>
              <w:bottom w:val="single" w:sz="4" w:space="0" w:color="auto"/>
              <w:right w:val="single" w:sz="4" w:space="0" w:color="auto"/>
            </w:tcBorders>
            <w:shd w:val="clear" w:color="auto" w:fill="auto"/>
            <w:vAlign w:val="center"/>
            <w:hideMark/>
          </w:tcPr>
          <w:p w14:paraId="4A83575B"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Численность граждан предпенсионного возраста, прошедших профессиональное обучение и дополнительное профессиональное образование, чел</w:t>
            </w:r>
          </w:p>
        </w:tc>
        <w:tc>
          <w:tcPr>
            <w:tcW w:w="851" w:type="dxa"/>
            <w:tcBorders>
              <w:top w:val="nil"/>
              <w:left w:val="nil"/>
              <w:bottom w:val="single" w:sz="4" w:space="0" w:color="auto"/>
              <w:right w:val="single" w:sz="4" w:space="0" w:color="auto"/>
            </w:tcBorders>
            <w:shd w:val="clear" w:color="auto" w:fill="auto"/>
            <w:vAlign w:val="center"/>
            <w:hideMark/>
          </w:tcPr>
          <w:p w14:paraId="2BBB2563"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433</w:t>
            </w:r>
          </w:p>
        </w:tc>
        <w:tc>
          <w:tcPr>
            <w:tcW w:w="850" w:type="dxa"/>
            <w:tcBorders>
              <w:top w:val="nil"/>
              <w:left w:val="nil"/>
              <w:bottom w:val="single" w:sz="4" w:space="0" w:color="auto"/>
              <w:right w:val="single" w:sz="4" w:space="0" w:color="auto"/>
            </w:tcBorders>
            <w:shd w:val="clear" w:color="auto" w:fill="auto"/>
            <w:vAlign w:val="center"/>
            <w:hideMark/>
          </w:tcPr>
          <w:p w14:paraId="45960CF3"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577</w:t>
            </w:r>
          </w:p>
        </w:tc>
        <w:tc>
          <w:tcPr>
            <w:tcW w:w="1276" w:type="dxa"/>
            <w:tcBorders>
              <w:top w:val="nil"/>
              <w:left w:val="nil"/>
              <w:bottom w:val="single" w:sz="4" w:space="0" w:color="auto"/>
              <w:right w:val="double" w:sz="6" w:space="0" w:color="auto"/>
            </w:tcBorders>
            <w:shd w:val="clear" w:color="auto" w:fill="auto"/>
            <w:vAlign w:val="center"/>
            <w:hideMark/>
          </w:tcPr>
          <w:p w14:paraId="287B92C8"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5266FAF" w14:textId="77777777" w:rsidTr="00A62497">
        <w:trPr>
          <w:trHeight w:val="491"/>
        </w:trPr>
        <w:tc>
          <w:tcPr>
            <w:tcW w:w="6379" w:type="dxa"/>
            <w:tcBorders>
              <w:top w:val="nil"/>
              <w:left w:val="double" w:sz="6" w:space="0" w:color="auto"/>
              <w:bottom w:val="single" w:sz="4" w:space="0" w:color="auto"/>
              <w:right w:val="single" w:sz="4" w:space="0" w:color="auto"/>
            </w:tcBorders>
            <w:shd w:val="clear" w:color="auto" w:fill="auto"/>
            <w:vAlign w:val="center"/>
            <w:hideMark/>
          </w:tcPr>
          <w:p w14:paraId="4387C9E4"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Уровень госпитализации на геронтологические койки лиц старше 60 лет на 10 тыс. населения соответствующего возраста, усл. ед</w:t>
            </w:r>
          </w:p>
        </w:tc>
        <w:tc>
          <w:tcPr>
            <w:tcW w:w="851" w:type="dxa"/>
            <w:tcBorders>
              <w:top w:val="nil"/>
              <w:left w:val="nil"/>
              <w:bottom w:val="single" w:sz="4" w:space="0" w:color="auto"/>
              <w:right w:val="single" w:sz="4" w:space="0" w:color="auto"/>
            </w:tcBorders>
            <w:shd w:val="clear" w:color="auto" w:fill="auto"/>
            <w:vAlign w:val="center"/>
            <w:hideMark/>
          </w:tcPr>
          <w:p w14:paraId="4B590818"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28.7</w:t>
            </w:r>
          </w:p>
        </w:tc>
        <w:tc>
          <w:tcPr>
            <w:tcW w:w="850" w:type="dxa"/>
            <w:tcBorders>
              <w:top w:val="nil"/>
              <w:left w:val="nil"/>
              <w:bottom w:val="single" w:sz="4" w:space="0" w:color="auto"/>
              <w:right w:val="single" w:sz="4" w:space="0" w:color="auto"/>
            </w:tcBorders>
            <w:shd w:val="clear" w:color="auto" w:fill="auto"/>
            <w:vAlign w:val="center"/>
            <w:hideMark/>
          </w:tcPr>
          <w:p w14:paraId="31985983"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29.1</w:t>
            </w:r>
          </w:p>
        </w:tc>
        <w:tc>
          <w:tcPr>
            <w:tcW w:w="1276" w:type="dxa"/>
            <w:tcBorders>
              <w:top w:val="nil"/>
              <w:left w:val="nil"/>
              <w:bottom w:val="single" w:sz="4" w:space="0" w:color="auto"/>
              <w:right w:val="double" w:sz="6" w:space="0" w:color="auto"/>
            </w:tcBorders>
            <w:shd w:val="clear" w:color="auto" w:fill="auto"/>
            <w:vAlign w:val="center"/>
            <w:hideMark/>
          </w:tcPr>
          <w:p w14:paraId="3CAEB36F"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A62497" w:rsidRPr="00A53AD7" w14:paraId="714CB11A" w14:textId="77777777" w:rsidTr="00662B3E">
        <w:trPr>
          <w:trHeight w:val="595"/>
        </w:trPr>
        <w:tc>
          <w:tcPr>
            <w:tcW w:w="6379" w:type="dxa"/>
            <w:tcBorders>
              <w:top w:val="nil"/>
              <w:left w:val="double" w:sz="6" w:space="0" w:color="auto"/>
              <w:bottom w:val="double" w:sz="6" w:space="0" w:color="auto"/>
              <w:right w:val="single" w:sz="4" w:space="0" w:color="auto"/>
            </w:tcBorders>
            <w:shd w:val="clear" w:color="auto" w:fill="auto"/>
            <w:vAlign w:val="center"/>
            <w:hideMark/>
          </w:tcPr>
          <w:p w14:paraId="7E97558D"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лиц старше трудоспособного возраста, у которых выявлены заболевания и патологические состояния, находящихся под диспансерным наблюдением, %</w:t>
            </w:r>
          </w:p>
        </w:tc>
        <w:tc>
          <w:tcPr>
            <w:tcW w:w="851" w:type="dxa"/>
            <w:tcBorders>
              <w:top w:val="nil"/>
              <w:left w:val="nil"/>
              <w:bottom w:val="double" w:sz="6" w:space="0" w:color="auto"/>
              <w:right w:val="single" w:sz="4" w:space="0" w:color="auto"/>
            </w:tcBorders>
            <w:shd w:val="clear" w:color="auto" w:fill="auto"/>
            <w:vAlign w:val="center"/>
            <w:hideMark/>
          </w:tcPr>
          <w:p w14:paraId="0EB9FF48"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63</w:t>
            </w:r>
          </w:p>
        </w:tc>
        <w:tc>
          <w:tcPr>
            <w:tcW w:w="850" w:type="dxa"/>
            <w:tcBorders>
              <w:top w:val="nil"/>
              <w:left w:val="nil"/>
              <w:bottom w:val="double" w:sz="6" w:space="0" w:color="auto"/>
              <w:right w:val="single" w:sz="4" w:space="0" w:color="auto"/>
            </w:tcBorders>
            <w:shd w:val="clear" w:color="auto" w:fill="auto"/>
            <w:vAlign w:val="center"/>
            <w:hideMark/>
          </w:tcPr>
          <w:p w14:paraId="108326C8"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64.2</w:t>
            </w:r>
          </w:p>
        </w:tc>
        <w:tc>
          <w:tcPr>
            <w:tcW w:w="1276" w:type="dxa"/>
            <w:tcBorders>
              <w:top w:val="nil"/>
              <w:left w:val="nil"/>
              <w:bottom w:val="double" w:sz="6" w:space="0" w:color="auto"/>
              <w:right w:val="double" w:sz="6" w:space="0" w:color="auto"/>
            </w:tcBorders>
            <w:shd w:val="clear" w:color="auto" w:fill="auto"/>
            <w:vAlign w:val="center"/>
            <w:hideMark/>
          </w:tcPr>
          <w:p w14:paraId="12736DEC" w14:textId="77777777" w:rsidR="00A62497" w:rsidRPr="00A53AD7" w:rsidRDefault="00A62497" w:rsidP="00C71A4C">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351C44E2" w14:textId="77777777" w:rsidR="00662B3E" w:rsidRPr="00A53AD7" w:rsidRDefault="00662B3E" w:rsidP="00662B3E">
      <w:pPr>
        <w:spacing w:after="0" w:line="240" w:lineRule="auto"/>
        <w:ind w:firstLine="851"/>
        <w:jc w:val="both"/>
        <w:rPr>
          <w:rFonts w:ascii="Times New Roman" w:hAnsi="Times New Roman"/>
          <w:sz w:val="28"/>
          <w:szCs w:val="28"/>
        </w:rPr>
      </w:pPr>
    </w:p>
    <w:p w14:paraId="26331F65" w14:textId="4997BC6E"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указанным в отчете данным показатели регионального прое</w:t>
      </w:r>
      <w:r w:rsidR="00662B3E" w:rsidRPr="00A53AD7">
        <w:rPr>
          <w:rFonts w:ascii="Times New Roman" w:hAnsi="Times New Roman"/>
          <w:sz w:val="28"/>
          <w:szCs w:val="28"/>
        </w:rPr>
        <w:t>кта выполнены в полном объеме.</w:t>
      </w:r>
    </w:p>
    <w:p w14:paraId="12481D5E"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оценке соответствия целей и показателей регионального проекта установлено, что в ГП АО «Развитие здравоохранения Архангельской области» не предусмотрены следующие показатели:</w:t>
      </w:r>
    </w:p>
    <w:p w14:paraId="739B510C"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«Охват граждан старше трудоспособного возраста профилактическими осмотрами, включая диспансеризацию, %»;</w:t>
      </w:r>
    </w:p>
    <w:p w14:paraId="28813884"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«Уровень госпитализации на геронтологические койки лиц старше 60 лет на 10 тыс. населения соответствующего возраста, усл. ед»;</w:t>
      </w:r>
    </w:p>
    <w:p w14:paraId="0061DCE0" w14:textId="77777777" w:rsidR="00A62497" w:rsidRPr="00A53AD7" w:rsidRDefault="00A62497" w:rsidP="00CA1DDD">
      <w:pPr>
        <w:pStyle w:val="a8"/>
        <w:numPr>
          <w:ilvl w:val="0"/>
          <w:numId w:val="45"/>
        </w:numPr>
        <w:ind w:left="0" w:firstLine="851"/>
        <w:jc w:val="both"/>
        <w:rPr>
          <w:sz w:val="28"/>
          <w:szCs w:val="28"/>
        </w:rPr>
      </w:pPr>
      <w:r w:rsidRPr="00A53AD7">
        <w:rPr>
          <w:sz w:val="28"/>
          <w:szCs w:val="28"/>
        </w:rPr>
        <w:t>«Доля лиц старше трудоспособного возраста, у которых выявлены заболевания и патологические состояния, находящихся под диспансерным наблюдением, %».</w:t>
      </w:r>
    </w:p>
    <w:p w14:paraId="45632456"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отсутствует взаимосвязь между показателями регионального проекта и госпрограммой.</w:t>
      </w:r>
    </w:p>
    <w:p w14:paraId="0775E278"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паспорте регионального проекта установлено 14 контрольных точек, со сроком исполнения в 2019 году - 10, которые согласно отчету выполнены.</w:t>
      </w:r>
    </w:p>
    <w:p w14:paraId="507DD4AF" w14:textId="77777777"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результатам проверки отчета о ходе реализации РП «Разработка и реализация программы системной поддержки и повышения качества жизни граждан старшего поколения», сформированного министерством здравоохранения Архангельской области по итогам 2019 года, выявлено нарушение сроков выполнения контрольных точек, неполное заполнение форм отчетности по контрольным точкам:</w:t>
      </w:r>
    </w:p>
    <w:tbl>
      <w:tblPr>
        <w:tblW w:w="9356" w:type="dxa"/>
        <w:tblInd w:w="-23" w:type="dxa"/>
        <w:tblLayout w:type="fixed"/>
        <w:tblLook w:val="04A0" w:firstRow="1" w:lastRow="0" w:firstColumn="1" w:lastColumn="0" w:noHBand="0" w:noVBand="1"/>
      </w:tblPr>
      <w:tblGrid>
        <w:gridCol w:w="709"/>
        <w:gridCol w:w="6379"/>
        <w:gridCol w:w="1134"/>
        <w:gridCol w:w="1134"/>
      </w:tblGrid>
      <w:tr w:rsidR="00D470B6" w:rsidRPr="00A53AD7" w14:paraId="518E1A96" w14:textId="77777777" w:rsidTr="00662B3E">
        <w:trPr>
          <w:trHeight w:val="139"/>
          <w:tblHeader/>
        </w:trPr>
        <w:tc>
          <w:tcPr>
            <w:tcW w:w="709"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0655152B"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w:t>
            </w:r>
          </w:p>
        </w:tc>
        <w:tc>
          <w:tcPr>
            <w:tcW w:w="637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0919D310" w14:textId="77777777" w:rsidR="00A62497" w:rsidRPr="00A53AD7" w:rsidRDefault="00A62497" w:rsidP="00662B3E">
            <w:pPr>
              <w:spacing w:after="0" w:line="240" w:lineRule="auto"/>
              <w:jc w:val="both"/>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Наименование контрольной точки (результата) проекта, мероприятие </w:t>
            </w:r>
          </w:p>
        </w:tc>
        <w:tc>
          <w:tcPr>
            <w:tcW w:w="2268" w:type="dxa"/>
            <w:gridSpan w:val="2"/>
            <w:tcBorders>
              <w:top w:val="double" w:sz="6" w:space="0" w:color="auto"/>
              <w:left w:val="nil"/>
              <w:bottom w:val="single" w:sz="4" w:space="0" w:color="auto"/>
              <w:right w:val="double" w:sz="6" w:space="0" w:color="000000"/>
            </w:tcBorders>
            <w:shd w:val="clear" w:color="auto" w:fill="auto"/>
            <w:vAlign w:val="center"/>
            <w:hideMark/>
          </w:tcPr>
          <w:p w14:paraId="3EC2C862"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Срок реализации</w:t>
            </w:r>
          </w:p>
        </w:tc>
      </w:tr>
      <w:tr w:rsidR="00D470B6" w:rsidRPr="00A53AD7" w14:paraId="54470027" w14:textId="77777777" w:rsidTr="00662B3E">
        <w:trPr>
          <w:trHeight w:val="20"/>
          <w:tblHeader/>
        </w:trPr>
        <w:tc>
          <w:tcPr>
            <w:tcW w:w="709" w:type="dxa"/>
            <w:vMerge/>
            <w:tcBorders>
              <w:top w:val="double" w:sz="6" w:space="0" w:color="auto"/>
              <w:left w:val="double" w:sz="6" w:space="0" w:color="auto"/>
              <w:bottom w:val="single" w:sz="4" w:space="0" w:color="auto"/>
              <w:right w:val="single" w:sz="4" w:space="0" w:color="auto"/>
            </w:tcBorders>
            <w:vAlign w:val="center"/>
            <w:hideMark/>
          </w:tcPr>
          <w:p w14:paraId="539ED52B" w14:textId="77777777" w:rsidR="00A62497" w:rsidRPr="00A53AD7" w:rsidRDefault="00A62497" w:rsidP="00662B3E">
            <w:pPr>
              <w:spacing w:after="0" w:line="240" w:lineRule="auto"/>
              <w:rPr>
                <w:rFonts w:ascii="Times New Roman" w:eastAsia="Times New Roman" w:hAnsi="Times New Roman"/>
                <w:sz w:val="20"/>
                <w:szCs w:val="20"/>
                <w:lang w:eastAsia="ru-RU"/>
              </w:rPr>
            </w:pPr>
          </w:p>
        </w:tc>
        <w:tc>
          <w:tcPr>
            <w:tcW w:w="6379" w:type="dxa"/>
            <w:vMerge/>
            <w:tcBorders>
              <w:top w:val="double" w:sz="6" w:space="0" w:color="auto"/>
              <w:left w:val="single" w:sz="4" w:space="0" w:color="auto"/>
              <w:bottom w:val="single" w:sz="4" w:space="0" w:color="auto"/>
              <w:right w:val="single" w:sz="4" w:space="0" w:color="auto"/>
            </w:tcBorders>
            <w:vAlign w:val="center"/>
            <w:hideMark/>
          </w:tcPr>
          <w:p w14:paraId="0F64A2F3" w14:textId="77777777" w:rsidR="00A62497" w:rsidRPr="00A53AD7" w:rsidRDefault="00A62497" w:rsidP="00662B3E">
            <w:pPr>
              <w:spacing w:after="0" w:line="240" w:lineRule="auto"/>
              <w:jc w:val="both"/>
              <w:rPr>
                <w:rFonts w:ascii="Times New Roman" w:eastAsia="Times New Roman" w:hAnsi="Times New Roman"/>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22CBECF7"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1134" w:type="dxa"/>
            <w:tcBorders>
              <w:top w:val="nil"/>
              <w:left w:val="nil"/>
              <w:bottom w:val="single" w:sz="4" w:space="0" w:color="auto"/>
              <w:right w:val="double" w:sz="6" w:space="0" w:color="auto"/>
            </w:tcBorders>
            <w:shd w:val="clear" w:color="auto" w:fill="auto"/>
            <w:vAlign w:val="center"/>
            <w:hideMark/>
          </w:tcPr>
          <w:p w14:paraId="044E8B69"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r>
      <w:tr w:rsidR="00D470B6" w:rsidRPr="00A53AD7" w14:paraId="36CECA50" w14:textId="77777777" w:rsidTr="00662B3E">
        <w:trPr>
          <w:trHeight w:val="479"/>
        </w:trPr>
        <w:tc>
          <w:tcPr>
            <w:tcW w:w="709" w:type="dxa"/>
            <w:tcBorders>
              <w:top w:val="nil"/>
              <w:left w:val="double" w:sz="6" w:space="0" w:color="auto"/>
              <w:bottom w:val="single" w:sz="4" w:space="0" w:color="auto"/>
              <w:right w:val="single" w:sz="4" w:space="0" w:color="auto"/>
            </w:tcBorders>
            <w:shd w:val="clear" w:color="auto" w:fill="auto"/>
            <w:vAlign w:val="center"/>
          </w:tcPr>
          <w:p w14:paraId="42DDBD2C"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w:t>
            </w:r>
          </w:p>
        </w:tc>
        <w:tc>
          <w:tcPr>
            <w:tcW w:w="6379" w:type="dxa"/>
            <w:tcBorders>
              <w:top w:val="nil"/>
              <w:left w:val="nil"/>
              <w:bottom w:val="single" w:sz="4" w:space="0" w:color="auto"/>
              <w:right w:val="single" w:sz="4" w:space="0" w:color="auto"/>
            </w:tcBorders>
            <w:shd w:val="clear" w:color="auto" w:fill="auto"/>
            <w:vAlign w:val="center"/>
          </w:tcPr>
          <w:p w14:paraId="4FAF1521" w14:textId="77777777" w:rsidR="00A62497" w:rsidRPr="00A53AD7" w:rsidRDefault="00A62497" w:rsidP="00662B3E">
            <w:pPr>
              <w:spacing w:after="0" w:line="240" w:lineRule="auto"/>
              <w:rPr>
                <w:rFonts w:ascii="Times New Roman" w:hAnsi="Times New Roman"/>
                <w:sz w:val="20"/>
                <w:szCs w:val="20"/>
                <w:lang w:eastAsia="ru-RU"/>
              </w:rPr>
            </w:pPr>
            <w:r w:rsidRPr="00A53AD7">
              <w:rPr>
                <w:rFonts w:ascii="Times New Roman" w:eastAsia="Times New Roman" w:hAnsi="Times New Roman"/>
                <w:spacing w:val="-2"/>
                <w:sz w:val="20"/>
                <w:szCs w:val="20"/>
              </w:rPr>
              <w:t>В целях осуществления доставки лиц старше 65 лет, проживающих в сельской местности, в медицинские организации в 2019 году приобретен автотранспорт.</w:t>
            </w:r>
          </w:p>
        </w:tc>
        <w:tc>
          <w:tcPr>
            <w:tcW w:w="1134" w:type="dxa"/>
            <w:tcBorders>
              <w:top w:val="nil"/>
              <w:left w:val="nil"/>
              <w:bottom w:val="single" w:sz="4" w:space="0" w:color="auto"/>
              <w:right w:val="single" w:sz="4" w:space="0" w:color="auto"/>
            </w:tcBorders>
            <w:shd w:val="clear" w:color="auto" w:fill="auto"/>
          </w:tcPr>
          <w:p w14:paraId="0ACA6C28" w14:textId="77777777" w:rsidR="00A62497" w:rsidRPr="00A53AD7" w:rsidRDefault="00A62497" w:rsidP="00662B3E">
            <w:pPr>
              <w:spacing w:after="0" w:line="240" w:lineRule="auto"/>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01.12.2019</w:t>
            </w:r>
          </w:p>
        </w:tc>
        <w:tc>
          <w:tcPr>
            <w:tcW w:w="1134" w:type="dxa"/>
            <w:tcBorders>
              <w:top w:val="nil"/>
              <w:left w:val="nil"/>
              <w:bottom w:val="single" w:sz="4" w:space="0" w:color="auto"/>
              <w:right w:val="double" w:sz="6" w:space="0" w:color="auto"/>
            </w:tcBorders>
            <w:shd w:val="clear" w:color="auto" w:fill="auto"/>
          </w:tcPr>
          <w:p w14:paraId="12A3F3DB" w14:textId="77777777" w:rsidR="00A62497" w:rsidRPr="00A53AD7" w:rsidRDefault="00A62497" w:rsidP="00662B3E">
            <w:pPr>
              <w:spacing w:after="0" w:line="240" w:lineRule="auto"/>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25.12.2019</w:t>
            </w:r>
          </w:p>
        </w:tc>
      </w:tr>
      <w:tr w:rsidR="00D470B6" w:rsidRPr="00A53AD7" w14:paraId="6E93727C" w14:textId="77777777" w:rsidTr="00662B3E">
        <w:trPr>
          <w:trHeight w:val="64"/>
        </w:trPr>
        <w:tc>
          <w:tcPr>
            <w:tcW w:w="709" w:type="dxa"/>
            <w:tcBorders>
              <w:top w:val="nil"/>
              <w:left w:val="double" w:sz="6" w:space="0" w:color="auto"/>
              <w:bottom w:val="single" w:sz="4" w:space="0" w:color="auto"/>
              <w:right w:val="single" w:sz="4" w:space="0" w:color="auto"/>
            </w:tcBorders>
            <w:shd w:val="clear" w:color="auto" w:fill="auto"/>
            <w:vAlign w:val="center"/>
            <w:hideMark/>
          </w:tcPr>
          <w:p w14:paraId="363429EB"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8.1</w:t>
            </w:r>
          </w:p>
        </w:tc>
        <w:tc>
          <w:tcPr>
            <w:tcW w:w="6379" w:type="dxa"/>
            <w:tcBorders>
              <w:top w:val="nil"/>
              <w:left w:val="nil"/>
              <w:bottom w:val="single" w:sz="4" w:space="0" w:color="auto"/>
              <w:right w:val="single" w:sz="4" w:space="0" w:color="auto"/>
            </w:tcBorders>
            <w:shd w:val="clear" w:color="auto" w:fill="auto"/>
            <w:vAlign w:val="center"/>
            <w:hideMark/>
          </w:tcPr>
          <w:p w14:paraId="0A38E175"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Закупка включена в план закупок</w:t>
            </w:r>
          </w:p>
        </w:tc>
        <w:tc>
          <w:tcPr>
            <w:tcW w:w="1134" w:type="dxa"/>
            <w:tcBorders>
              <w:top w:val="nil"/>
              <w:left w:val="nil"/>
              <w:bottom w:val="single" w:sz="4" w:space="0" w:color="auto"/>
              <w:right w:val="single" w:sz="4" w:space="0" w:color="auto"/>
            </w:tcBorders>
            <w:shd w:val="clear" w:color="auto" w:fill="auto"/>
            <w:hideMark/>
          </w:tcPr>
          <w:p w14:paraId="432E0B1D" w14:textId="77777777" w:rsidR="00A62497" w:rsidRPr="00A53AD7" w:rsidRDefault="00A62497" w:rsidP="00662B3E">
            <w:pPr>
              <w:spacing w:after="0" w:line="240" w:lineRule="auto"/>
              <w:rPr>
                <w:rFonts w:ascii="Times New Roman" w:hAnsi="Times New Roman"/>
                <w:sz w:val="20"/>
                <w:szCs w:val="20"/>
              </w:rPr>
            </w:pPr>
            <w:r w:rsidRPr="00A53AD7">
              <w:rPr>
                <w:rFonts w:ascii="Times New Roman" w:eastAsia="Times New Roman" w:hAnsi="Times New Roman"/>
                <w:spacing w:val="-2"/>
                <w:sz w:val="20"/>
                <w:szCs w:val="20"/>
              </w:rPr>
              <w:t>01.12.2019</w:t>
            </w:r>
          </w:p>
        </w:tc>
        <w:tc>
          <w:tcPr>
            <w:tcW w:w="1134" w:type="dxa"/>
            <w:tcBorders>
              <w:top w:val="nil"/>
              <w:left w:val="nil"/>
              <w:bottom w:val="single" w:sz="4" w:space="0" w:color="auto"/>
              <w:right w:val="double" w:sz="6" w:space="0" w:color="auto"/>
            </w:tcBorders>
            <w:shd w:val="clear" w:color="auto" w:fill="auto"/>
            <w:hideMark/>
          </w:tcPr>
          <w:p w14:paraId="586D278F" w14:textId="77777777" w:rsidR="00A62497" w:rsidRPr="00A53AD7" w:rsidRDefault="00A62497" w:rsidP="00662B3E">
            <w:pPr>
              <w:spacing w:after="0" w:line="240" w:lineRule="auto"/>
              <w:rPr>
                <w:rFonts w:ascii="Times New Roman" w:hAnsi="Times New Roman"/>
                <w:sz w:val="20"/>
                <w:szCs w:val="20"/>
              </w:rPr>
            </w:pPr>
            <w:r w:rsidRPr="00A53AD7">
              <w:rPr>
                <w:rFonts w:ascii="Times New Roman" w:eastAsia="Times New Roman" w:hAnsi="Times New Roman"/>
                <w:spacing w:val="-2"/>
                <w:sz w:val="20"/>
                <w:szCs w:val="20"/>
              </w:rPr>
              <w:t>05.12.2019</w:t>
            </w:r>
          </w:p>
        </w:tc>
      </w:tr>
      <w:tr w:rsidR="00D470B6" w:rsidRPr="00A53AD7" w14:paraId="387526CB" w14:textId="77777777" w:rsidTr="00662B3E">
        <w:trPr>
          <w:trHeight w:val="252"/>
        </w:trPr>
        <w:tc>
          <w:tcPr>
            <w:tcW w:w="709" w:type="dxa"/>
            <w:tcBorders>
              <w:top w:val="nil"/>
              <w:left w:val="double" w:sz="6" w:space="0" w:color="auto"/>
              <w:bottom w:val="single" w:sz="4" w:space="0" w:color="auto"/>
              <w:right w:val="single" w:sz="4" w:space="0" w:color="auto"/>
            </w:tcBorders>
            <w:shd w:val="clear" w:color="auto" w:fill="auto"/>
            <w:vAlign w:val="center"/>
            <w:hideMark/>
          </w:tcPr>
          <w:p w14:paraId="299C0193"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8.2</w:t>
            </w:r>
          </w:p>
        </w:tc>
        <w:tc>
          <w:tcPr>
            <w:tcW w:w="6379" w:type="dxa"/>
            <w:tcBorders>
              <w:top w:val="nil"/>
              <w:left w:val="nil"/>
              <w:bottom w:val="single" w:sz="4" w:space="0" w:color="auto"/>
              <w:right w:val="single" w:sz="4" w:space="0" w:color="auto"/>
            </w:tcBorders>
            <w:shd w:val="clear" w:color="auto" w:fill="auto"/>
            <w:vAlign w:val="center"/>
            <w:hideMark/>
          </w:tcPr>
          <w:p w14:paraId="60F52810"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Сведения о государственном (муниципальном) контракте внесены в реестр контрактов, заключенных заказчиками по результатам закупок</w:t>
            </w:r>
          </w:p>
        </w:tc>
        <w:tc>
          <w:tcPr>
            <w:tcW w:w="1134" w:type="dxa"/>
            <w:tcBorders>
              <w:top w:val="nil"/>
              <w:left w:val="nil"/>
              <w:bottom w:val="single" w:sz="4" w:space="0" w:color="auto"/>
              <w:right w:val="single" w:sz="4" w:space="0" w:color="auto"/>
            </w:tcBorders>
            <w:shd w:val="clear" w:color="auto" w:fill="auto"/>
            <w:vAlign w:val="center"/>
            <w:hideMark/>
          </w:tcPr>
          <w:p w14:paraId="380EC87A"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01.12.2019</w:t>
            </w:r>
          </w:p>
        </w:tc>
        <w:tc>
          <w:tcPr>
            <w:tcW w:w="1134" w:type="dxa"/>
            <w:tcBorders>
              <w:top w:val="nil"/>
              <w:left w:val="nil"/>
              <w:bottom w:val="single" w:sz="4" w:space="0" w:color="auto"/>
              <w:right w:val="double" w:sz="6" w:space="0" w:color="auto"/>
            </w:tcBorders>
            <w:shd w:val="clear" w:color="auto" w:fill="auto"/>
            <w:vAlign w:val="center"/>
            <w:hideMark/>
          </w:tcPr>
          <w:p w14:paraId="2A2DC1EB"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20.12.2019</w:t>
            </w:r>
          </w:p>
        </w:tc>
      </w:tr>
      <w:tr w:rsidR="00D470B6" w:rsidRPr="00A53AD7" w14:paraId="50A8C15F" w14:textId="77777777" w:rsidTr="00662B3E">
        <w:trPr>
          <w:trHeight w:val="60"/>
        </w:trPr>
        <w:tc>
          <w:tcPr>
            <w:tcW w:w="709" w:type="dxa"/>
            <w:tcBorders>
              <w:top w:val="nil"/>
              <w:left w:val="double" w:sz="6" w:space="0" w:color="auto"/>
              <w:bottom w:val="single" w:sz="4" w:space="0" w:color="auto"/>
              <w:right w:val="single" w:sz="4" w:space="0" w:color="auto"/>
            </w:tcBorders>
            <w:shd w:val="clear" w:color="auto" w:fill="auto"/>
            <w:vAlign w:val="center"/>
          </w:tcPr>
          <w:p w14:paraId="015E0C19"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8.2.1</w:t>
            </w:r>
          </w:p>
        </w:tc>
        <w:tc>
          <w:tcPr>
            <w:tcW w:w="6379" w:type="dxa"/>
            <w:tcBorders>
              <w:top w:val="nil"/>
              <w:left w:val="nil"/>
              <w:bottom w:val="single" w:sz="4" w:space="0" w:color="auto"/>
              <w:right w:val="single" w:sz="4" w:space="0" w:color="auto"/>
            </w:tcBorders>
            <w:shd w:val="clear" w:color="auto" w:fill="auto"/>
            <w:vAlign w:val="center"/>
          </w:tcPr>
          <w:p w14:paraId="1002C01A" w14:textId="77777777" w:rsidR="00A62497" w:rsidRPr="00A53AD7" w:rsidRDefault="00A62497" w:rsidP="00662B3E">
            <w:pPr>
              <w:spacing w:after="0" w:line="240" w:lineRule="auto"/>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заключены контракты на приобретение автотранспорта</w:t>
            </w:r>
          </w:p>
        </w:tc>
        <w:tc>
          <w:tcPr>
            <w:tcW w:w="1134" w:type="dxa"/>
            <w:tcBorders>
              <w:top w:val="nil"/>
              <w:left w:val="nil"/>
              <w:bottom w:val="single" w:sz="4" w:space="0" w:color="auto"/>
              <w:right w:val="single" w:sz="4" w:space="0" w:color="auto"/>
            </w:tcBorders>
            <w:shd w:val="clear" w:color="auto" w:fill="auto"/>
            <w:vAlign w:val="center"/>
          </w:tcPr>
          <w:p w14:paraId="54904E95"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01.07.2019</w:t>
            </w:r>
          </w:p>
        </w:tc>
        <w:tc>
          <w:tcPr>
            <w:tcW w:w="1134" w:type="dxa"/>
            <w:tcBorders>
              <w:top w:val="nil"/>
              <w:left w:val="nil"/>
              <w:bottom w:val="single" w:sz="4" w:space="0" w:color="auto"/>
              <w:right w:val="double" w:sz="6" w:space="0" w:color="auto"/>
            </w:tcBorders>
            <w:shd w:val="clear" w:color="auto" w:fill="auto"/>
            <w:vAlign w:val="center"/>
          </w:tcPr>
          <w:p w14:paraId="3F2384C1"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10.07.2019</w:t>
            </w:r>
          </w:p>
        </w:tc>
      </w:tr>
      <w:tr w:rsidR="00D470B6" w:rsidRPr="00A53AD7" w14:paraId="49832BA2" w14:textId="77777777" w:rsidTr="00662B3E">
        <w:trPr>
          <w:trHeight w:val="423"/>
        </w:trPr>
        <w:tc>
          <w:tcPr>
            <w:tcW w:w="709" w:type="dxa"/>
            <w:tcBorders>
              <w:top w:val="nil"/>
              <w:left w:val="double" w:sz="6" w:space="0" w:color="auto"/>
              <w:bottom w:val="single" w:sz="4" w:space="0" w:color="auto"/>
              <w:right w:val="single" w:sz="4" w:space="0" w:color="auto"/>
            </w:tcBorders>
            <w:shd w:val="clear" w:color="auto" w:fill="auto"/>
            <w:vAlign w:val="center"/>
          </w:tcPr>
          <w:p w14:paraId="750F2A82"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8.3</w:t>
            </w:r>
          </w:p>
        </w:tc>
        <w:tc>
          <w:tcPr>
            <w:tcW w:w="6379" w:type="dxa"/>
            <w:tcBorders>
              <w:top w:val="nil"/>
              <w:left w:val="nil"/>
              <w:bottom w:val="single" w:sz="4" w:space="0" w:color="auto"/>
              <w:right w:val="single" w:sz="4" w:space="0" w:color="auto"/>
            </w:tcBorders>
            <w:shd w:val="clear" w:color="auto" w:fill="auto"/>
            <w:vAlign w:val="center"/>
          </w:tcPr>
          <w:p w14:paraId="61DEA4A0" w14:textId="77777777" w:rsidR="00A62497" w:rsidRPr="00A53AD7" w:rsidRDefault="00A62497" w:rsidP="00662B3E">
            <w:pPr>
              <w:spacing w:after="0" w:line="240" w:lineRule="auto"/>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 xml:space="preserve">Произведена приемка поставленных товаров, выполненных работ, оказанных услуг </w:t>
            </w:r>
          </w:p>
        </w:tc>
        <w:tc>
          <w:tcPr>
            <w:tcW w:w="1134" w:type="dxa"/>
            <w:tcBorders>
              <w:top w:val="nil"/>
              <w:left w:val="nil"/>
              <w:bottom w:val="single" w:sz="4" w:space="0" w:color="auto"/>
              <w:right w:val="single" w:sz="4" w:space="0" w:color="auto"/>
            </w:tcBorders>
            <w:shd w:val="clear" w:color="auto" w:fill="auto"/>
            <w:vAlign w:val="center"/>
          </w:tcPr>
          <w:p w14:paraId="355E8171"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01.12.2019</w:t>
            </w:r>
          </w:p>
        </w:tc>
        <w:tc>
          <w:tcPr>
            <w:tcW w:w="1134" w:type="dxa"/>
            <w:tcBorders>
              <w:top w:val="nil"/>
              <w:left w:val="nil"/>
              <w:bottom w:val="single" w:sz="4" w:space="0" w:color="auto"/>
              <w:right w:val="double" w:sz="6" w:space="0" w:color="auto"/>
            </w:tcBorders>
            <w:shd w:val="clear" w:color="auto" w:fill="auto"/>
            <w:vAlign w:val="center"/>
          </w:tcPr>
          <w:p w14:paraId="0598946F"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25.12.2019</w:t>
            </w:r>
          </w:p>
        </w:tc>
      </w:tr>
      <w:tr w:rsidR="00D470B6" w:rsidRPr="00A53AD7" w14:paraId="18159787" w14:textId="77777777" w:rsidTr="00662B3E">
        <w:trPr>
          <w:trHeight w:val="907"/>
        </w:trPr>
        <w:tc>
          <w:tcPr>
            <w:tcW w:w="709" w:type="dxa"/>
            <w:tcBorders>
              <w:top w:val="nil"/>
              <w:left w:val="double" w:sz="6" w:space="0" w:color="auto"/>
              <w:bottom w:val="single" w:sz="4" w:space="0" w:color="auto"/>
              <w:right w:val="single" w:sz="4" w:space="0" w:color="auto"/>
            </w:tcBorders>
            <w:shd w:val="clear" w:color="auto" w:fill="auto"/>
            <w:vAlign w:val="center"/>
            <w:hideMark/>
          </w:tcPr>
          <w:p w14:paraId="482DC05D"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w:t>
            </w:r>
          </w:p>
        </w:tc>
        <w:tc>
          <w:tcPr>
            <w:tcW w:w="6379" w:type="dxa"/>
            <w:tcBorders>
              <w:top w:val="nil"/>
              <w:left w:val="nil"/>
              <w:bottom w:val="single" w:sz="4" w:space="0" w:color="auto"/>
              <w:right w:val="single" w:sz="4" w:space="0" w:color="auto"/>
            </w:tcBorders>
            <w:shd w:val="clear" w:color="auto" w:fill="auto"/>
            <w:vAlign w:val="center"/>
            <w:hideMark/>
          </w:tcPr>
          <w:p w14:paraId="1E3999D0"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 xml:space="preserve">Удельный вес негосударственных организаций социального обслуживания, в общем количестве организаций социального обслуживания всех форм собственности увеличился до 19,1 процентов окончательный результат 10.12.2024, Значение: 11.2, на дату 10.12.2019 </w:t>
            </w:r>
          </w:p>
        </w:tc>
        <w:tc>
          <w:tcPr>
            <w:tcW w:w="1134" w:type="dxa"/>
            <w:tcBorders>
              <w:top w:val="nil"/>
              <w:left w:val="nil"/>
              <w:bottom w:val="single" w:sz="4" w:space="0" w:color="auto"/>
              <w:right w:val="single" w:sz="4" w:space="0" w:color="auto"/>
            </w:tcBorders>
            <w:shd w:val="clear" w:color="auto" w:fill="auto"/>
            <w:vAlign w:val="center"/>
            <w:hideMark/>
          </w:tcPr>
          <w:p w14:paraId="22CE74DD"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10.12.2019</w:t>
            </w:r>
          </w:p>
        </w:tc>
        <w:tc>
          <w:tcPr>
            <w:tcW w:w="1134" w:type="dxa"/>
            <w:tcBorders>
              <w:top w:val="nil"/>
              <w:left w:val="nil"/>
              <w:bottom w:val="single" w:sz="4" w:space="0" w:color="auto"/>
              <w:right w:val="double" w:sz="6" w:space="0" w:color="auto"/>
            </w:tcBorders>
            <w:shd w:val="clear" w:color="auto" w:fill="auto"/>
            <w:vAlign w:val="center"/>
            <w:hideMark/>
          </w:tcPr>
          <w:p w14:paraId="656613E1"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24.12.2019</w:t>
            </w:r>
          </w:p>
        </w:tc>
      </w:tr>
      <w:tr w:rsidR="00A62497" w:rsidRPr="00A53AD7" w14:paraId="435B3661" w14:textId="77777777" w:rsidTr="00662B3E">
        <w:trPr>
          <w:trHeight w:val="300"/>
        </w:trPr>
        <w:tc>
          <w:tcPr>
            <w:tcW w:w="709" w:type="dxa"/>
            <w:tcBorders>
              <w:top w:val="nil"/>
              <w:left w:val="double" w:sz="6" w:space="0" w:color="auto"/>
              <w:bottom w:val="single" w:sz="4" w:space="0" w:color="auto"/>
              <w:right w:val="single" w:sz="4" w:space="0" w:color="auto"/>
            </w:tcBorders>
            <w:shd w:val="clear" w:color="auto" w:fill="auto"/>
            <w:vAlign w:val="center"/>
            <w:hideMark/>
          </w:tcPr>
          <w:p w14:paraId="0F62C207" w14:textId="77777777" w:rsidR="00A62497" w:rsidRPr="00A53AD7" w:rsidRDefault="00A62497" w:rsidP="00662B3E">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11.2</w:t>
            </w:r>
          </w:p>
        </w:tc>
        <w:tc>
          <w:tcPr>
            <w:tcW w:w="6379" w:type="dxa"/>
            <w:tcBorders>
              <w:top w:val="nil"/>
              <w:left w:val="nil"/>
              <w:bottom w:val="single" w:sz="4" w:space="0" w:color="auto"/>
              <w:right w:val="single" w:sz="4" w:space="0" w:color="auto"/>
            </w:tcBorders>
            <w:shd w:val="clear" w:color="auto" w:fill="auto"/>
            <w:vAlign w:val="center"/>
            <w:hideMark/>
          </w:tcPr>
          <w:p w14:paraId="5ABA51EB" w14:textId="77777777" w:rsidR="00A62497" w:rsidRPr="00A53AD7" w:rsidRDefault="00A62497" w:rsidP="00662B3E">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pacing w:val="-2"/>
                <w:sz w:val="20"/>
                <w:szCs w:val="20"/>
              </w:rPr>
              <w:t>Увеличился удельный вес организаций социального обслуживания Архангельской области, основанных на иных формах собственности, в общем количестве организаций социального обслуживания Архангельской области всех форм собственности до 30 процентов</w:t>
            </w:r>
          </w:p>
        </w:tc>
        <w:tc>
          <w:tcPr>
            <w:tcW w:w="1134" w:type="dxa"/>
            <w:tcBorders>
              <w:top w:val="nil"/>
              <w:left w:val="nil"/>
              <w:bottom w:val="single" w:sz="4" w:space="0" w:color="auto"/>
              <w:right w:val="single" w:sz="4" w:space="0" w:color="auto"/>
            </w:tcBorders>
            <w:shd w:val="clear" w:color="auto" w:fill="auto"/>
            <w:vAlign w:val="center"/>
            <w:hideMark/>
          </w:tcPr>
          <w:p w14:paraId="38E59A3C"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10.12.2019</w:t>
            </w:r>
          </w:p>
        </w:tc>
        <w:tc>
          <w:tcPr>
            <w:tcW w:w="1134" w:type="dxa"/>
            <w:tcBorders>
              <w:top w:val="nil"/>
              <w:left w:val="nil"/>
              <w:bottom w:val="single" w:sz="4" w:space="0" w:color="auto"/>
              <w:right w:val="double" w:sz="6" w:space="0" w:color="auto"/>
            </w:tcBorders>
            <w:shd w:val="clear" w:color="auto" w:fill="auto"/>
            <w:vAlign w:val="center"/>
            <w:hideMark/>
          </w:tcPr>
          <w:p w14:paraId="5B5ABEEB" w14:textId="77777777" w:rsidR="00A62497" w:rsidRPr="00A53AD7" w:rsidRDefault="00A62497" w:rsidP="00662B3E">
            <w:pPr>
              <w:spacing w:after="0" w:line="240" w:lineRule="auto"/>
              <w:jc w:val="center"/>
              <w:rPr>
                <w:rFonts w:ascii="Times New Roman" w:eastAsia="Times New Roman" w:hAnsi="Times New Roman"/>
                <w:spacing w:val="-2"/>
                <w:sz w:val="20"/>
                <w:szCs w:val="20"/>
              </w:rPr>
            </w:pPr>
            <w:r w:rsidRPr="00A53AD7">
              <w:rPr>
                <w:rFonts w:ascii="Times New Roman" w:eastAsia="Times New Roman" w:hAnsi="Times New Roman"/>
                <w:spacing w:val="-2"/>
                <w:sz w:val="20"/>
                <w:szCs w:val="20"/>
              </w:rPr>
              <w:t>24.12.2019</w:t>
            </w:r>
          </w:p>
        </w:tc>
      </w:tr>
    </w:tbl>
    <w:p w14:paraId="41F6732F" w14:textId="77777777" w:rsidR="00662B3E" w:rsidRPr="00A53AD7" w:rsidRDefault="00662B3E" w:rsidP="00662B3E">
      <w:pPr>
        <w:spacing w:after="0" w:line="240" w:lineRule="auto"/>
        <w:ind w:firstLine="851"/>
        <w:jc w:val="both"/>
        <w:rPr>
          <w:rFonts w:ascii="Times New Roman" w:hAnsi="Times New Roman"/>
          <w:sz w:val="28"/>
          <w:szCs w:val="28"/>
        </w:rPr>
      </w:pPr>
    </w:p>
    <w:p w14:paraId="1D420E7E" w14:textId="0EE8DFC4" w:rsidR="00A62497" w:rsidRPr="00A53AD7" w:rsidRDefault="00A62497" w:rsidP="00662B3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отчете о ходе реализации регионального проекта на 2019 год, размещенного на ГИС «Электронный бюджет», объем финансового обеспечения указан в сумме средств федерального бюджета: план 67,5 млн.руб., ис</w:t>
      </w:r>
      <w:r w:rsidR="00662B3E" w:rsidRPr="00A53AD7">
        <w:rPr>
          <w:rFonts w:ascii="Times New Roman" w:hAnsi="Times New Roman"/>
          <w:sz w:val="28"/>
          <w:szCs w:val="28"/>
        </w:rPr>
        <w:t>полнение 45,6 млн.руб. (67,5%).</w:t>
      </w:r>
    </w:p>
    <w:p w14:paraId="0A32B6CB" w14:textId="77777777" w:rsidR="00A62497" w:rsidRPr="00A53AD7" w:rsidRDefault="00A62497" w:rsidP="00A62497">
      <w:pPr>
        <w:pStyle w:val="3a"/>
        <w:shd w:val="clear" w:color="auto" w:fill="auto"/>
        <w:spacing w:before="0" w:line="240" w:lineRule="auto"/>
        <w:ind w:firstLine="709"/>
        <w:jc w:val="both"/>
        <w:rPr>
          <w:highlight w:val="cyan"/>
        </w:rPr>
      </w:pPr>
    </w:p>
    <w:p w14:paraId="569B3401" w14:textId="34C5422C" w:rsidR="00A62497" w:rsidRPr="00A53AD7" w:rsidRDefault="00A62497" w:rsidP="00662B3E">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«Формирование системы мотивации граждан к здоровому образу жизни, включая здоровое питание и отказ от вредных</w:t>
      </w:r>
      <w:r w:rsidR="00023CA1" w:rsidRPr="00A53AD7">
        <w:rPr>
          <w:rFonts w:ascii="Times New Roman" w:hAnsi="Times New Roman"/>
          <w:b/>
          <w:i/>
          <w:sz w:val="28"/>
          <w:szCs w:val="28"/>
        </w:rPr>
        <w:t xml:space="preserve"> привычек»</w:t>
      </w:r>
    </w:p>
    <w:p w14:paraId="1B26F54A"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РП «Формирование системы мотивации граждан к здоровому образу жизни, включая здоровое питание и отказ от вредных привычек (Архангельская область) реализуется министерством здравоохранения Архангельской области. </w:t>
      </w:r>
    </w:p>
    <w:p w14:paraId="409CD314"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2019 году финансирование регионального проекта не предусмотрено.</w:t>
      </w:r>
    </w:p>
    <w:p w14:paraId="5B5A6CC6"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трех целевых показателей РП «Формирование системы мотивации граждан к здоровому образу жизни, включая здоровое питание и отказ от вредных привычек (Архангельская область) представлено ниже:</w:t>
      </w:r>
    </w:p>
    <w:tbl>
      <w:tblPr>
        <w:tblW w:w="9356" w:type="dxa"/>
        <w:tblInd w:w="-23" w:type="dxa"/>
        <w:tblLook w:val="04A0" w:firstRow="1" w:lastRow="0" w:firstColumn="1" w:lastColumn="0" w:noHBand="0" w:noVBand="1"/>
      </w:tblPr>
      <w:tblGrid>
        <w:gridCol w:w="6379"/>
        <w:gridCol w:w="851"/>
        <w:gridCol w:w="850"/>
        <w:gridCol w:w="1276"/>
      </w:tblGrid>
      <w:tr w:rsidR="00D470B6" w:rsidRPr="00A53AD7" w14:paraId="5C82F423" w14:textId="77777777" w:rsidTr="00D60D32">
        <w:trPr>
          <w:trHeight w:val="381"/>
        </w:trPr>
        <w:tc>
          <w:tcPr>
            <w:tcW w:w="6379"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370BBED9"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851" w:type="dxa"/>
            <w:tcBorders>
              <w:top w:val="double" w:sz="6" w:space="0" w:color="auto"/>
              <w:left w:val="nil"/>
              <w:bottom w:val="single" w:sz="4" w:space="0" w:color="auto"/>
              <w:right w:val="single" w:sz="4" w:space="0" w:color="auto"/>
            </w:tcBorders>
            <w:shd w:val="clear" w:color="auto" w:fill="auto"/>
            <w:vAlign w:val="center"/>
            <w:hideMark/>
          </w:tcPr>
          <w:p w14:paraId="58A55948"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w:t>
            </w:r>
          </w:p>
        </w:tc>
        <w:tc>
          <w:tcPr>
            <w:tcW w:w="850" w:type="dxa"/>
            <w:tcBorders>
              <w:top w:val="double" w:sz="6" w:space="0" w:color="auto"/>
              <w:left w:val="nil"/>
              <w:bottom w:val="single" w:sz="4" w:space="0" w:color="auto"/>
              <w:right w:val="single" w:sz="4" w:space="0" w:color="auto"/>
            </w:tcBorders>
            <w:shd w:val="clear" w:color="auto" w:fill="auto"/>
            <w:vAlign w:val="center"/>
            <w:hideMark/>
          </w:tcPr>
          <w:p w14:paraId="5A5EFFD0"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w:t>
            </w:r>
          </w:p>
        </w:tc>
        <w:tc>
          <w:tcPr>
            <w:tcW w:w="1276" w:type="dxa"/>
            <w:tcBorders>
              <w:top w:val="double" w:sz="6" w:space="0" w:color="auto"/>
              <w:left w:val="nil"/>
              <w:bottom w:val="single" w:sz="4" w:space="0" w:color="auto"/>
              <w:right w:val="double" w:sz="6" w:space="0" w:color="auto"/>
            </w:tcBorders>
            <w:shd w:val="clear" w:color="auto" w:fill="auto"/>
            <w:vAlign w:val="center"/>
            <w:hideMark/>
          </w:tcPr>
          <w:p w14:paraId="0988B48B"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достижения</w:t>
            </w:r>
          </w:p>
        </w:tc>
      </w:tr>
      <w:tr w:rsidR="00D470B6" w:rsidRPr="00A53AD7" w14:paraId="17A3CEDE" w14:textId="77777777" w:rsidTr="00023CA1">
        <w:trPr>
          <w:trHeight w:val="362"/>
        </w:trPr>
        <w:tc>
          <w:tcPr>
            <w:tcW w:w="6379" w:type="dxa"/>
            <w:tcBorders>
              <w:top w:val="nil"/>
              <w:left w:val="double" w:sz="6" w:space="0" w:color="auto"/>
              <w:bottom w:val="single" w:sz="4" w:space="0" w:color="auto"/>
              <w:right w:val="single" w:sz="4" w:space="0" w:color="auto"/>
            </w:tcBorders>
            <w:shd w:val="clear" w:color="auto" w:fill="auto"/>
            <w:vAlign w:val="center"/>
            <w:hideMark/>
          </w:tcPr>
          <w:p w14:paraId="26DCD309"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Розничные продажи алкогольной продукции на душу населения (в литрах этанола)</w:t>
            </w:r>
          </w:p>
        </w:tc>
        <w:tc>
          <w:tcPr>
            <w:tcW w:w="851" w:type="dxa"/>
            <w:tcBorders>
              <w:top w:val="nil"/>
              <w:left w:val="nil"/>
              <w:bottom w:val="single" w:sz="4" w:space="0" w:color="auto"/>
              <w:right w:val="single" w:sz="4" w:space="0" w:color="auto"/>
            </w:tcBorders>
            <w:shd w:val="clear" w:color="auto" w:fill="auto"/>
            <w:vAlign w:val="center"/>
            <w:hideMark/>
          </w:tcPr>
          <w:p w14:paraId="0098BE77"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14:paraId="7ECF8590"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9.3</w:t>
            </w:r>
          </w:p>
        </w:tc>
        <w:tc>
          <w:tcPr>
            <w:tcW w:w="1276" w:type="dxa"/>
            <w:tcBorders>
              <w:top w:val="nil"/>
              <w:left w:val="nil"/>
              <w:bottom w:val="single" w:sz="4" w:space="0" w:color="auto"/>
              <w:right w:val="double" w:sz="6" w:space="0" w:color="auto"/>
            </w:tcBorders>
            <w:shd w:val="clear" w:color="auto" w:fill="auto"/>
            <w:vAlign w:val="center"/>
            <w:hideMark/>
          </w:tcPr>
          <w:p w14:paraId="7A43D734"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107,14</w:t>
            </w:r>
          </w:p>
        </w:tc>
      </w:tr>
      <w:tr w:rsidR="00D470B6" w:rsidRPr="00A53AD7" w14:paraId="779FAA67" w14:textId="77777777" w:rsidTr="00023CA1">
        <w:trPr>
          <w:trHeight w:val="169"/>
        </w:trPr>
        <w:tc>
          <w:tcPr>
            <w:tcW w:w="6379" w:type="dxa"/>
            <w:tcBorders>
              <w:top w:val="nil"/>
              <w:left w:val="double" w:sz="6" w:space="0" w:color="auto"/>
              <w:bottom w:val="single" w:sz="4" w:space="0" w:color="auto"/>
              <w:right w:val="single" w:sz="4" w:space="0" w:color="auto"/>
            </w:tcBorders>
            <w:shd w:val="clear" w:color="auto" w:fill="auto"/>
            <w:vAlign w:val="center"/>
            <w:hideMark/>
          </w:tcPr>
          <w:p w14:paraId="0243E090"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Смертность мужчин в возрасте 16-59 лет, на 100 тыс.чел</w:t>
            </w:r>
          </w:p>
        </w:tc>
        <w:tc>
          <w:tcPr>
            <w:tcW w:w="851" w:type="dxa"/>
            <w:tcBorders>
              <w:top w:val="nil"/>
              <w:left w:val="nil"/>
              <w:bottom w:val="single" w:sz="4" w:space="0" w:color="auto"/>
              <w:right w:val="single" w:sz="4" w:space="0" w:color="auto"/>
            </w:tcBorders>
            <w:shd w:val="clear" w:color="auto" w:fill="auto"/>
            <w:vAlign w:val="center"/>
            <w:hideMark/>
          </w:tcPr>
          <w:p w14:paraId="010A937D"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832.6</w:t>
            </w:r>
          </w:p>
        </w:tc>
        <w:tc>
          <w:tcPr>
            <w:tcW w:w="850" w:type="dxa"/>
            <w:tcBorders>
              <w:top w:val="nil"/>
              <w:left w:val="nil"/>
              <w:bottom w:val="single" w:sz="4" w:space="0" w:color="auto"/>
              <w:right w:val="single" w:sz="4" w:space="0" w:color="auto"/>
            </w:tcBorders>
            <w:shd w:val="clear" w:color="auto" w:fill="auto"/>
            <w:vAlign w:val="center"/>
            <w:hideMark/>
          </w:tcPr>
          <w:p w14:paraId="0DC8C51C"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863.3</w:t>
            </w:r>
          </w:p>
        </w:tc>
        <w:tc>
          <w:tcPr>
            <w:tcW w:w="1276" w:type="dxa"/>
            <w:tcBorders>
              <w:top w:val="nil"/>
              <w:left w:val="nil"/>
              <w:bottom w:val="single" w:sz="4" w:space="0" w:color="auto"/>
              <w:right w:val="double" w:sz="6" w:space="0" w:color="auto"/>
            </w:tcBorders>
            <w:shd w:val="clear" w:color="auto" w:fill="auto"/>
            <w:vAlign w:val="center"/>
            <w:hideMark/>
          </w:tcPr>
          <w:p w14:paraId="6A3E6B1A"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100,88</w:t>
            </w:r>
          </w:p>
        </w:tc>
      </w:tr>
      <w:tr w:rsidR="00A62497" w:rsidRPr="00A53AD7" w14:paraId="368E66C0" w14:textId="77777777" w:rsidTr="00023CA1">
        <w:trPr>
          <w:trHeight w:val="216"/>
        </w:trPr>
        <w:tc>
          <w:tcPr>
            <w:tcW w:w="6379" w:type="dxa"/>
            <w:tcBorders>
              <w:top w:val="nil"/>
              <w:left w:val="double" w:sz="6" w:space="0" w:color="auto"/>
              <w:bottom w:val="double" w:sz="6" w:space="0" w:color="auto"/>
              <w:right w:val="single" w:sz="4" w:space="0" w:color="auto"/>
            </w:tcBorders>
            <w:shd w:val="clear" w:color="auto" w:fill="auto"/>
            <w:vAlign w:val="center"/>
            <w:hideMark/>
          </w:tcPr>
          <w:p w14:paraId="43591B4B"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Смертность женщин в возрасте 16-54 лет, на 100 тыс.чел.</w:t>
            </w:r>
          </w:p>
        </w:tc>
        <w:tc>
          <w:tcPr>
            <w:tcW w:w="851" w:type="dxa"/>
            <w:tcBorders>
              <w:top w:val="nil"/>
              <w:left w:val="nil"/>
              <w:bottom w:val="double" w:sz="6" w:space="0" w:color="auto"/>
              <w:right w:val="single" w:sz="4" w:space="0" w:color="auto"/>
            </w:tcBorders>
            <w:shd w:val="clear" w:color="auto" w:fill="auto"/>
            <w:vAlign w:val="center"/>
            <w:hideMark/>
          </w:tcPr>
          <w:p w14:paraId="4C78D90C"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216</w:t>
            </w:r>
          </w:p>
        </w:tc>
        <w:tc>
          <w:tcPr>
            <w:tcW w:w="850" w:type="dxa"/>
            <w:tcBorders>
              <w:top w:val="nil"/>
              <w:left w:val="nil"/>
              <w:bottom w:val="double" w:sz="6" w:space="0" w:color="auto"/>
              <w:right w:val="single" w:sz="4" w:space="0" w:color="auto"/>
            </w:tcBorders>
            <w:shd w:val="clear" w:color="auto" w:fill="auto"/>
            <w:vAlign w:val="center"/>
            <w:hideMark/>
          </w:tcPr>
          <w:p w14:paraId="532B822A"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220.6</w:t>
            </w:r>
          </w:p>
        </w:tc>
        <w:tc>
          <w:tcPr>
            <w:tcW w:w="1276" w:type="dxa"/>
            <w:tcBorders>
              <w:top w:val="nil"/>
              <w:left w:val="nil"/>
              <w:bottom w:val="double" w:sz="6" w:space="0" w:color="auto"/>
              <w:right w:val="double" w:sz="6" w:space="0" w:color="auto"/>
            </w:tcBorders>
            <w:shd w:val="clear" w:color="auto" w:fill="auto"/>
            <w:vAlign w:val="center"/>
            <w:hideMark/>
          </w:tcPr>
          <w:p w14:paraId="472D792C"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92,27</w:t>
            </w:r>
          </w:p>
        </w:tc>
      </w:tr>
    </w:tbl>
    <w:p w14:paraId="03F6A68B" w14:textId="77777777" w:rsidR="00023CA1" w:rsidRPr="00A53AD7" w:rsidRDefault="00023CA1" w:rsidP="00023CA1">
      <w:pPr>
        <w:spacing w:after="0" w:line="240" w:lineRule="auto"/>
        <w:ind w:firstLine="851"/>
        <w:jc w:val="both"/>
        <w:rPr>
          <w:rFonts w:ascii="Times New Roman" w:hAnsi="Times New Roman"/>
          <w:sz w:val="28"/>
          <w:szCs w:val="28"/>
        </w:rPr>
      </w:pPr>
    </w:p>
    <w:p w14:paraId="10089E75"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показателя «Смертность женщин в возрасте 16-54 лет» составило 220,6 на 100 тыс.чел. и обусловлено сокращением общей численности граждан трудоспособного возраста, связанным с миграционным оттоком граждан указанной возрастной категории. Согласно оперативным сведениям за 11 мес. 2019 года по сравнению с аналогичным периодом 2018 года число умерших в трудоспособном возрасте уменьшилось на 4 человека. Снизилось число женщин, умерших в трудоспособном возрасте от болезней нервной и эндокринной систем, а также от внешних причин. Значительно увеличилось число женщин, умерших в трудоспособном возрасте от алкогольной болезни печени (на 18 человек или на 31 процент).</w:t>
      </w:r>
    </w:p>
    <w:p w14:paraId="35B3A5A7" w14:textId="77777777" w:rsidR="00A62497" w:rsidRPr="00A53AD7" w:rsidRDefault="00A62497" w:rsidP="00023CA1">
      <w:pPr>
        <w:spacing w:after="0" w:line="240" w:lineRule="auto"/>
        <w:ind w:firstLine="851"/>
        <w:jc w:val="both"/>
        <w:rPr>
          <w:rFonts w:ascii="Times New Roman" w:hAnsi="Times New Roman"/>
          <w:sz w:val="28"/>
          <w:szCs w:val="28"/>
        </w:rPr>
      </w:pPr>
    </w:p>
    <w:p w14:paraId="47E6C585" w14:textId="5B263659" w:rsidR="00A62497" w:rsidRPr="00A53AD7" w:rsidRDefault="00A62497" w:rsidP="00023CA1">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w:t>
      </w:r>
      <w:r w:rsidR="00023CA1" w:rsidRPr="00A53AD7">
        <w:rPr>
          <w:rFonts w:ascii="Times New Roman" w:hAnsi="Times New Roman"/>
          <w:b/>
          <w:i/>
          <w:sz w:val="28"/>
          <w:szCs w:val="28"/>
        </w:rPr>
        <w:t xml:space="preserve"> резерва</w:t>
      </w:r>
      <w:r w:rsidRPr="00A53AD7">
        <w:rPr>
          <w:rFonts w:ascii="Times New Roman" w:hAnsi="Times New Roman"/>
          <w:b/>
          <w:i/>
          <w:sz w:val="28"/>
          <w:szCs w:val="28"/>
        </w:rPr>
        <w:t>»</w:t>
      </w:r>
    </w:p>
    <w:p w14:paraId="7B344E96" w14:textId="35F69BC1"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регионального проекта осуществляется через мероприятия, предусмотренные государственной программой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 (2014 - 2024 годы) (далее – Госпрограмма)».</w:t>
      </w:r>
    </w:p>
    <w:p w14:paraId="20B7D771"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Госпрограммой Архангельской области установлено пять целевых показателей (1.2, 1.3, 1.4, 9.3 и 17), которые соответствуют показателям федерального проекта «Спорт - норма жизни», регионального проекта.</w:t>
      </w:r>
    </w:p>
    <w:p w14:paraId="47D0C2C5"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паспорту регионального проекта объем финансирования за счет средств бюджета Архангельской области на 2019 год предусмотрен в сумме 180,1 млн.руб., что соответствует данным уточненной сводной бюджетной росписи на 2019 год по состоянию на 01.01.2020.</w:t>
      </w:r>
    </w:p>
    <w:p w14:paraId="2ECCECAA"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данным отчета о ходе реализации национального проекта по состоянию на 01.01.2020 (далее – Отчет), размещенному в системе «Электронный бюджет кассовые расходы на реализацию мероприятий по состоянию на 01.01.2020 составили 55,7 млн.руб. В тоже время согласно данным отчета об исполнении областного бюджета по бюджетным ассигнованиям на реализацию государственных, адресных и иных программ Архангельской области и непрограммных направлений деятельности за 12 месяцев 2019 года, данным формы 0503117-НП «Отчет об исполнении бюджета» на 01.01.2020 (размещенной в ПО «СВОД СМАРТ») фактически кассовые расходы по состоянию на 01.01.2020 составили 122,0 млн.руб. или 67,7 % к уточненной сводной бюджетной росписи на 2019 год по состоянию на 01.01.2020. Таким образом, расхождение данных о кассовых расходах, отраженных в Отчете, составило 66,3 млн.руб.</w:t>
      </w:r>
    </w:p>
    <w:p w14:paraId="069FFB38"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процент достижения плановых значений показателей, установленных на конец 2019 года, составил 100,0%. Информация приведена ниже:</w:t>
      </w:r>
    </w:p>
    <w:tbl>
      <w:tblPr>
        <w:tblW w:w="9267" w:type="dxa"/>
        <w:tblInd w:w="9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555"/>
        <w:gridCol w:w="1436"/>
        <w:gridCol w:w="1276"/>
      </w:tblGrid>
      <w:tr w:rsidR="00D470B6" w:rsidRPr="00A53AD7" w14:paraId="7C02C53D" w14:textId="77777777" w:rsidTr="00D60D32">
        <w:trPr>
          <w:trHeight w:val="785"/>
        </w:trPr>
        <w:tc>
          <w:tcPr>
            <w:tcW w:w="6555" w:type="dxa"/>
            <w:shd w:val="clear" w:color="000000" w:fill="FFFFFF"/>
            <w:vAlign w:val="center"/>
            <w:hideMark/>
          </w:tcPr>
          <w:p w14:paraId="4275556E"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целей и показателей</w:t>
            </w:r>
          </w:p>
        </w:tc>
        <w:tc>
          <w:tcPr>
            <w:tcW w:w="1436" w:type="dxa"/>
            <w:shd w:val="clear" w:color="auto" w:fill="auto"/>
            <w:vAlign w:val="center"/>
            <w:hideMark/>
          </w:tcPr>
          <w:p w14:paraId="2A5B3EBE" w14:textId="3379C148"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Плановое значение на конец года,</w:t>
            </w:r>
            <w:r w:rsidR="00023CA1" w:rsidRPr="00A53AD7">
              <w:rPr>
                <w:rFonts w:ascii="Times New Roman" w:eastAsia="Times New Roman" w:hAnsi="Times New Roman"/>
                <w:sz w:val="20"/>
                <w:szCs w:val="20"/>
                <w:lang w:eastAsia="ru-RU"/>
              </w:rPr>
              <w:t xml:space="preserve"> </w:t>
            </w:r>
            <w:r w:rsidRPr="00A53AD7">
              <w:rPr>
                <w:rFonts w:ascii="Times New Roman" w:eastAsia="Times New Roman" w:hAnsi="Times New Roman"/>
                <w:sz w:val="20"/>
                <w:szCs w:val="20"/>
                <w:lang w:eastAsia="ru-RU"/>
              </w:rPr>
              <w:t>%</w:t>
            </w:r>
          </w:p>
        </w:tc>
        <w:tc>
          <w:tcPr>
            <w:tcW w:w="1276" w:type="dxa"/>
            <w:shd w:val="clear" w:color="auto" w:fill="auto"/>
            <w:vAlign w:val="center"/>
            <w:hideMark/>
          </w:tcPr>
          <w:p w14:paraId="0982DA71" w14:textId="77777777" w:rsidR="00A62497" w:rsidRPr="00A53AD7" w:rsidRDefault="00A62497" w:rsidP="00A62497">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Процент достижения</w:t>
            </w:r>
          </w:p>
        </w:tc>
      </w:tr>
      <w:tr w:rsidR="00D470B6" w:rsidRPr="00A53AD7" w14:paraId="12E7566C" w14:textId="77777777" w:rsidTr="00023CA1">
        <w:trPr>
          <w:trHeight w:hRule="exact" w:val="495"/>
        </w:trPr>
        <w:tc>
          <w:tcPr>
            <w:tcW w:w="6555" w:type="dxa"/>
            <w:shd w:val="clear" w:color="000000" w:fill="FFFFFF"/>
            <w:vAlign w:val="center"/>
            <w:hideMark/>
          </w:tcPr>
          <w:p w14:paraId="1155AB1A"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граждан среднего возраста (женщины 30-54 года; мужчины 30-59 лет), систематически занимающихся физической культурой и спортом</w:t>
            </w:r>
          </w:p>
        </w:tc>
        <w:tc>
          <w:tcPr>
            <w:tcW w:w="1436" w:type="dxa"/>
            <w:shd w:val="clear" w:color="auto" w:fill="auto"/>
            <w:vAlign w:val="center"/>
            <w:hideMark/>
          </w:tcPr>
          <w:p w14:paraId="1E91B454"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w:t>
            </w:r>
          </w:p>
        </w:tc>
        <w:tc>
          <w:tcPr>
            <w:tcW w:w="1276" w:type="dxa"/>
            <w:shd w:val="clear" w:color="auto" w:fill="auto"/>
            <w:noWrap/>
            <w:vAlign w:val="center"/>
            <w:hideMark/>
          </w:tcPr>
          <w:p w14:paraId="56BFB09D" w14:textId="5BF582CA" w:rsidR="00A62497" w:rsidRPr="00A53AD7" w:rsidRDefault="00F85DD1"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1735B6E2" w14:textId="77777777" w:rsidTr="00912FC1">
        <w:trPr>
          <w:trHeight w:hRule="exact" w:val="471"/>
        </w:trPr>
        <w:tc>
          <w:tcPr>
            <w:tcW w:w="6555" w:type="dxa"/>
            <w:shd w:val="clear" w:color="000000" w:fill="FFFFFF"/>
            <w:vAlign w:val="center"/>
            <w:hideMark/>
          </w:tcPr>
          <w:p w14:paraId="4FEB297A"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Уровень обеспеченности граждан спортивными сооружениями исходя из единовременной пропускной способности объектов спорта</w:t>
            </w:r>
          </w:p>
        </w:tc>
        <w:tc>
          <w:tcPr>
            <w:tcW w:w="1436" w:type="dxa"/>
            <w:shd w:val="clear" w:color="auto" w:fill="auto"/>
            <w:vAlign w:val="center"/>
            <w:hideMark/>
          </w:tcPr>
          <w:p w14:paraId="0BA308A9"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52</w:t>
            </w:r>
          </w:p>
        </w:tc>
        <w:tc>
          <w:tcPr>
            <w:tcW w:w="1276" w:type="dxa"/>
            <w:shd w:val="clear" w:color="auto" w:fill="auto"/>
            <w:noWrap/>
            <w:vAlign w:val="center"/>
            <w:hideMark/>
          </w:tcPr>
          <w:p w14:paraId="088FFEFC" w14:textId="541965BD" w:rsidR="00A62497" w:rsidRPr="00A53AD7" w:rsidRDefault="00F85DD1"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467C2557" w14:textId="77777777" w:rsidTr="00023CA1">
        <w:trPr>
          <w:trHeight w:hRule="exact" w:val="723"/>
        </w:trPr>
        <w:tc>
          <w:tcPr>
            <w:tcW w:w="6555" w:type="dxa"/>
            <w:shd w:val="clear" w:color="000000" w:fill="FFFFFF"/>
            <w:vAlign w:val="center"/>
            <w:hideMark/>
          </w:tcPr>
          <w:p w14:paraId="02B5AB76"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занимающихся по программам спортивной подготовки в организациях ведомственной принадлежности физической культуры и спорта</w:t>
            </w:r>
          </w:p>
        </w:tc>
        <w:tc>
          <w:tcPr>
            <w:tcW w:w="1436" w:type="dxa"/>
            <w:shd w:val="clear" w:color="auto" w:fill="auto"/>
            <w:vAlign w:val="center"/>
            <w:hideMark/>
          </w:tcPr>
          <w:p w14:paraId="0E7F798E"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40</w:t>
            </w:r>
          </w:p>
        </w:tc>
        <w:tc>
          <w:tcPr>
            <w:tcW w:w="1276" w:type="dxa"/>
            <w:shd w:val="clear" w:color="auto" w:fill="auto"/>
            <w:noWrap/>
            <w:vAlign w:val="center"/>
            <w:hideMark/>
          </w:tcPr>
          <w:p w14:paraId="4B66EC18" w14:textId="39F5B3F7" w:rsidR="00A62497" w:rsidRPr="00A53AD7" w:rsidRDefault="00F85DD1"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748A600E" w14:textId="77777777" w:rsidTr="00D60D32">
        <w:trPr>
          <w:trHeight w:hRule="exact" w:val="475"/>
        </w:trPr>
        <w:tc>
          <w:tcPr>
            <w:tcW w:w="6555" w:type="dxa"/>
            <w:shd w:val="clear" w:color="000000" w:fill="FFFFFF"/>
            <w:vAlign w:val="center"/>
            <w:hideMark/>
          </w:tcPr>
          <w:p w14:paraId="23B16588"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детей и молодежи (возраст 3-29 лет), систематически занимающихся физической культурой и спортом</w:t>
            </w:r>
          </w:p>
        </w:tc>
        <w:tc>
          <w:tcPr>
            <w:tcW w:w="1436" w:type="dxa"/>
            <w:shd w:val="clear" w:color="auto" w:fill="auto"/>
            <w:vAlign w:val="center"/>
            <w:hideMark/>
          </w:tcPr>
          <w:p w14:paraId="6790CD99"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84</w:t>
            </w:r>
          </w:p>
        </w:tc>
        <w:tc>
          <w:tcPr>
            <w:tcW w:w="1276" w:type="dxa"/>
            <w:shd w:val="clear" w:color="auto" w:fill="auto"/>
            <w:noWrap/>
            <w:vAlign w:val="center"/>
            <w:hideMark/>
          </w:tcPr>
          <w:p w14:paraId="392C5374" w14:textId="5386B018" w:rsidR="00A62497" w:rsidRPr="00A53AD7" w:rsidRDefault="00F85DD1"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r w:rsidR="00D470B6" w:rsidRPr="00A53AD7" w14:paraId="43CA9510" w14:textId="77777777" w:rsidTr="00023CA1">
        <w:trPr>
          <w:trHeight w:hRule="exact" w:val="429"/>
        </w:trPr>
        <w:tc>
          <w:tcPr>
            <w:tcW w:w="6555" w:type="dxa"/>
            <w:shd w:val="clear" w:color="000000" w:fill="FFFFFF"/>
            <w:vAlign w:val="center"/>
          </w:tcPr>
          <w:p w14:paraId="7B93EDE5" w14:textId="77777777" w:rsidR="00A62497" w:rsidRPr="00A53AD7" w:rsidRDefault="00A62497" w:rsidP="00023CA1">
            <w:pPr>
              <w:spacing w:after="0" w:line="240" w:lineRule="auto"/>
              <w:rPr>
                <w:rFonts w:ascii="Times New Roman" w:eastAsia="Times New Roman" w:hAnsi="Times New Roman"/>
                <w:sz w:val="20"/>
                <w:szCs w:val="20"/>
                <w:lang w:eastAsia="ru-RU"/>
              </w:rPr>
            </w:pPr>
            <w:r w:rsidRPr="00A53AD7">
              <w:rPr>
                <w:rFonts w:ascii="Times New Roman" w:eastAsia="Courier New" w:hAnsi="Times New Roman"/>
                <w:iCs/>
                <w:sz w:val="18"/>
                <w:szCs w:val="18"/>
                <w:lang w:eastAsia="ru-RU" w:bidi="ru-RU"/>
              </w:rPr>
              <w:t>Доля граждан старшего возраста (женщины 55-79 лет; мужчины 60-79 лет), систематически занимающихся физической культурой и спортом</w:t>
            </w:r>
          </w:p>
        </w:tc>
        <w:tc>
          <w:tcPr>
            <w:tcW w:w="1436" w:type="dxa"/>
            <w:shd w:val="clear" w:color="auto" w:fill="auto"/>
            <w:vAlign w:val="center"/>
          </w:tcPr>
          <w:p w14:paraId="751A7149" w14:textId="77777777" w:rsidR="00A62497" w:rsidRPr="00A53AD7" w:rsidRDefault="00A62497"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w:t>
            </w:r>
          </w:p>
        </w:tc>
        <w:tc>
          <w:tcPr>
            <w:tcW w:w="1276" w:type="dxa"/>
            <w:shd w:val="clear" w:color="auto" w:fill="auto"/>
            <w:noWrap/>
            <w:vAlign w:val="center"/>
          </w:tcPr>
          <w:p w14:paraId="1278EA8B" w14:textId="37CE8191" w:rsidR="00A62497" w:rsidRPr="00A53AD7" w:rsidRDefault="00F85DD1" w:rsidP="00F85DD1">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w:t>
            </w:r>
          </w:p>
        </w:tc>
      </w:tr>
    </w:tbl>
    <w:p w14:paraId="5216BAAD" w14:textId="77777777" w:rsidR="00023CA1" w:rsidRPr="00A53AD7" w:rsidRDefault="00023CA1" w:rsidP="00023CA1">
      <w:pPr>
        <w:spacing w:after="0" w:line="240" w:lineRule="auto"/>
        <w:ind w:firstLine="851"/>
        <w:jc w:val="both"/>
        <w:rPr>
          <w:rFonts w:ascii="Times New Roman" w:hAnsi="Times New Roman"/>
          <w:sz w:val="28"/>
          <w:szCs w:val="28"/>
        </w:rPr>
      </w:pPr>
    </w:p>
    <w:p w14:paraId="4DC553FD"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тоже время необходимо отметить следующее.</w:t>
      </w:r>
    </w:p>
    <w:p w14:paraId="2633EE33" w14:textId="3BDCA521"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анализе целевых показателей установлено, что значение целевого показателя «Доля граждан среднего возраста (женщины 30-54 года; мужчины 30-59 лет), систематически занимающихся физической культурой и спортом», «Доля граждан старшего возраста (женщины 55-79 лет; мужчины 60-79 лет), систематически занимающихся физической культурой и спортом», «Доля занимающихся по программам спортивной подготовки в организациях ведомственной принадлежности физической культуры и спорта», регионального проекта, Отчета, Госпрограммы</w:t>
      </w:r>
      <w:r w:rsidR="008D4148" w:rsidRPr="00A53AD7">
        <w:rPr>
          <w:rFonts w:ascii="Times New Roman" w:hAnsi="Times New Roman"/>
          <w:sz w:val="28"/>
          <w:szCs w:val="28"/>
        </w:rPr>
        <w:t xml:space="preserve"> </w:t>
      </w:r>
      <w:r w:rsidRPr="00A53AD7">
        <w:rPr>
          <w:rFonts w:ascii="Times New Roman" w:hAnsi="Times New Roman"/>
          <w:sz w:val="28"/>
          <w:szCs w:val="28"/>
        </w:rPr>
        <w:t>частично не соответствует значению показателя, установленного паспортом федерального проекта на 2019 год.</w:t>
      </w:r>
    </w:p>
    <w:p w14:paraId="3145D379" w14:textId="77777777"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значениях установленных показателей представлена ниже:</w:t>
      </w:r>
    </w:p>
    <w:tbl>
      <w:tblPr>
        <w:tblStyle w:val="15"/>
        <w:tblW w:w="0" w:type="auto"/>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7815"/>
        <w:gridCol w:w="1398"/>
      </w:tblGrid>
      <w:tr w:rsidR="00D470B6" w:rsidRPr="00A53AD7" w14:paraId="1D10E86D" w14:textId="77777777" w:rsidTr="00023CA1">
        <w:trPr>
          <w:trHeight w:val="234"/>
        </w:trPr>
        <w:tc>
          <w:tcPr>
            <w:tcW w:w="7815" w:type="dxa"/>
            <w:vMerge w:val="restart"/>
            <w:vAlign w:val="center"/>
            <w:hideMark/>
          </w:tcPr>
          <w:p w14:paraId="5ECEA498"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Наименование показателя</w:t>
            </w:r>
          </w:p>
        </w:tc>
        <w:tc>
          <w:tcPr>
            <w:tcW w:w="1398" w:type="dxa"/>
            <w:hideMark/>
          </w:tcPr>
          <w:p w14:paraId="388D3AAE"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Период, год</w:t>
            </w:r>
          </w:p>
        </w:tc>
      </w:tr>
      <w:tr w:rsidR="00D470B6" w:rsidRPr="00A53AD7" w14:paraId="1E74C19F" w14:textId="77777777" w:rsidTr="00023CA1">
        <w:trPr>
          <w:trHeight w:val="69"/>
        </w:trPr>
        <w:tc>
          <w:tcPr>
            <w:tcW w:w="7815" w:type="dxa"/>
            <w:vMerge/>
            <w:hideMark/>
          </w:tcPr>
          <w:p w14:paraId="2CB14E74" w14:textId="77777777" w:rsidR="00A62497" w:rsidRPr="00A53AD7" w:rsidRDefault="00A62497" w:rsidP="00023CA1">
            <w:pPr>
              <w:spacing w:after="0" w:line="240" w:lineRule="auto"/>
              <w:ind w:firstLine="709"/>
              <w:jc w:val="both"/>
              <w:rPr>
                <w:rFonts w:ascii="Times New Roman" w:hAnsi="Times New Roman"/>
              </w:rPr>
            </w:pPr>
          </w:p>
        </w:tc>
        <w:tc>
          <w:tcPr>
            <w:tcW w:w="1398" w:type="dxa"/>
            <w:vAlign w:val="center"/>
            <w:hideMark/>
          </w:tcPr>
          <w:p w14:paraId="291B7C1A" w14:textId="77777777" w:rsidR="00A62497" w:rsidRPr="00A53AD7" w:rsidRDefault="00A62497" w:rsidP="00023CA1">
            <w:pPr>
              <w:spacing w:after="0" w:line="240" w:lineRule="auto"/>
              <w:ind w:firstLine="18"/>
              <w:jc w:val="center"/>
              <w:rPr>
                <w:rFonts w:ascii="Times New Roman" w:hAnsi="Times New Roman"/>
              </w:rPr>
            </w:pPr>
            <w:r w:rsidRPr="00A53AD7">
              <w:rPr>
                <w:rFonts w:ascii="Times New Roman" w:hAnsi="Times New Roman"/>
              </w:rPr>
              <w:t>2019</w:t>
            </w:r>
          </w:p>
        </w:tc>
      </w:tr>
      <w:tr w:rsidR="00D470B6" w:rsidRPr="00A53AD7" w14:paraId="7CFCD1DE" w14:textId="77777777" w:rsidTr="00023CA1">
        <w:trPr>
          <w:trHeight w:val="431"/>
        </w:trPr>
        <w:tc>
          <w:tcPr>
            <w:tcW w:w="9213" w:type="dxa"/>
            <w:gridSpan w:val="2"/>
            <w:vAlign w:val="center"/>
            <w:hideMark/>
          </w:tcPr>
          <w:p w14:paraId="0034B1E1"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 xml:space="preserve">Доля граждан среднего возраста (женщины 30-54 года; мужчины 30-59 лет), </w:t>
            </w:r>
          </w:p>
          <w:p w14:paraId="0098B24D"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систематически занимающихся физической культурой и спортом, %</w:t>
            </w:r>
          </w:p>
        </w:tc>
      </w:tr>
      <w:tr w:rsidR="00D470B6" w:rsidRPr="00A53AD7" w14:paraId="6FBF637F" w14:textId="77777777" w:rsidTr="00023CA1">
        <w:trPr>
          <w:trHeight w:val="257"/>
        </w:trPr>
        <w:tc>
          <w:tcPr>
            <w:tcW w:w="7815" w:type="dxa"/>
            <w:vAlign w:val="center"/>
            <w:hideMark/>
          </w:tcPr>
          <w:p w14:paraId="0A0C2C12"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региональным проектом, %</w:t>
            </w:r>
          </w:p>
        </w:tc>
        <w:tc>
          <w:tcPr>
            <w:tcW w:w="1398" w:type="dxa"/>
            <w:vAlign w:val="center"/>
            <w:hideMark/>
          </w:tcPr>
          <w:p w14:paraId="10037580"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17</w:t>
            </w:r>
          </w:p>
        </w:tc>
      </w:tr>
      <w:tr w:rsidR="00D470B6" w:rsidRPr="00A53AD7" w14:paraId="6D648BC5" w14:textId="77777777" w:rsidTr="00023CA1">
        <w:trPr>
          <w:trHeight w:val="176"/>
        </w:trPr>
        <w:tc>
          <w:tcPr>
            <w:tcW w:w="7815" w:type="dxa"/>
            <w:vAlign w:val="center"/>
          </w:tcPr>
          <w:p w14:paraId="1C590197" w14:textId="77777777" w:rsidR="00A62497" w:rsidRPr="00A53AD7" w:rsidRDefault="00A62497" w:rsidP="00023CA1">
            <w:pPr>
              <w:spacing w:after="0" w:line="240" w:lineRule="auto"/>
              <w:rPr>
                <w:rFonts w:ascii="Times New Roman" w:hAnsi="Times New Roman"/>
              </w:rPr>
            </w:pPr>
            <w:r w:rsidRPr="00A53AD7">
              <w:rPr>
                <w:rFonts w:ascii="Times New Roman" w:eastAsia="Times New Roman" w:hAnsi="Times New Roman"/>
              </w:rPr>
              <w:t>Значение, установленное госпрограммой (в ред. от 24.12.2019), %</w:t>
            </w:r>
          </w:p>
        </w:tc>
        <w:tc>
          <w:tcPr>
            <w:tcW w:w="1398" w:type="dxa"/>
            <w:vAlign w:val="center"/>
          </w:tcPr>
          <w:p w14:paraId="1D9EBA7A"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17</w:t>
            </w:r>
          </w:p>
        </w:tc>
      </w:tr>
      <w:tr w:rsidR="00D470B6" w:rsidRPr="00A53AD7" w14:paraId="1E05CAFC" w14:textId="77777777" w:rsidTr="00023CA1">
        <w:trPr>
          <w:trHeight w:val="176"/>
        </w:trPr>
        <w:tc>
          <w:tcPr>
            <w:tcW w:w="7815" w:type="dxa"/>
            <w:vAlign w:val="center"/>
            <w:hideMark/>
          </w:tcPr>
          <w:p w14:paraId="45530046"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федеральным проектом от 29.04.2019, %</w:t>
            </w:r>
          </w:p>
        </w:tc>
        <w:tc>
          <w:tcPr>
            <w:tcW w:w="1398" w:type="dxa"/>
            <w:vAlign w:val="center"/>
            <w:hideMark/>
          </w:tcPr>
          <w:p w14:paraId="1C3E5313"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29,4</w:t>
            </w:r>
          </w:p>
        </w:tc>
      </w:tr>
      <w:tr w:rsidR="00D470B6" w:rsidRPr="00A53AD7" w14:paraId="5447345D" w14:textId="77777777" w:rsidTr="00023CA1">
        <w:trPr>
          <w:trHeight w:val="387"/>
        </w:trPr>
        <w:tc>
          <w:tcPr>
            <w:tcW w:w="9213" w:type="dxa"/>
            <w:gridSpan w:val="2"/>
            <w:vAlign w:val="center"/>
            <w:hideMark/>
          </w:tcPr>
          <w:p w14:paraId="5F48D92C"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 xml:space="preserve">Доля граждан старшего возраста (женщины 55-79 лет; мужчины 60-79 лет), </w:t>
            </w:r>
          </w:p>
          <w:p w14:paraId="08C04C99"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систематически занимающихся физической культурой и спортом</w:t>
            </w:r>
          </w:p>
        </w:tc>
      </w:tr>
      <w:tr w:rsidR="00D470B6" w:rsidRPr="00A53AD7" w14:paraId="2C0DCD60" w14:textId="77777777" w:rsidTr="00023CA1">
        <w:trPr>
          <w:trHeight w:val="153"/>
        </w:trPr>
        <w:tc>
          <w:tcPr>
            <w:tcW w:w="7815" w:type="dxa"/>
            <w:vAlign w:val="center"/>
            <w:hideMark/>
          </w:tcPr>
          <w:p w14:paraId="4AB0C91F"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региональным проектом, %</w:t>
            </w:r>
          </w:p>
        </w:tc>
        <w:tc>
          <w:tcPr>
            <w:tcW w:w="1398" w:type="dxa"/>
            <w:vAlign w:val="center"/>
            <w:hideMark/>
          </w:tcPr>
          <w:p w14:paraId="7B209555"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10</w:t>
            </w:r>
          </w:p>
        </w:tc>
      </w:tr>
      <w:tr w:rsidR="00D470B6" w:rsidRPr="00A53AD7" w14:paraId="2FC81CCB" w14:textId="77777777" w:rsidTr="00023CA1">
        <w:trPr>
          <w:trHeight w:val="184"/>
        </w:trPr>
        <w:tc>
          <w:tcPr>
            <w:tcW w:w="7815" w:type="dxa"/>
            <w:vAlign w:val="center"/>
          </w:tcPr>
          <w:p w14:paraId="288C9A24" w14:textId="77777777" w:rsidR="00A62497" w:rsidRPr="00A53AD7" w:rsidRDefault="00A62497" w:rsidP="00023CA1">
            <w:pPr>
              <w:spacing w:after="0" w:line="240" w:lineRule="auto"/>
              <w:rPr>
                <w:rFonts w:ascii="Times New Roman" w:hAnsi="Times New Roman"/>
              </w:rPr>
            </w:pPr>
            <w:r w:rsidRPr="00A53AD7">
              <w:rPr>
                <w:rFonts w:ascii="Times New Roman" w:eastAsia="Times New Roman" w:hAnsi="Times New Roman"/>
              </w:rPr>
              <w:t>Значение, установленное госпрограммой (в ред. от 24.12.2019), %</w:t>
            </w:r>
          </w:p>
        </w:tc>
        <w:tc>
          <w:tcPr>
            <w:tcW w:w="1398" w:type="dxa"/>
            <w:vAlign w:val="center"/>
          </w:tcPr>
          <w:p w14:paraId="35022EBF"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10</w:t>
            </w:r>
          </w:p>
        </w:tc>
      </w:tr>
      <w:tr w:rsidR="00D470B6" w:rsidRPr="00A53AD7" w14:paraId="237465DB" w14:textId="77777777" w:rsidTr="00023CA1">
        <w:trPr>
          <w:trHeight w:val="184"/>
        </w:trPr>
        <w:tc>
          <w:tcPr>
            <w:tcW w:w="7815" w:type="dxa"/>
            <w:vAlign w:val="center"/>
            <w:hideMark/>
          </w:tcPr>
          <w:p w14:paraId="2B05758F"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федеральным проектом от 29.04.2019, %</w:t>
            </w:r>
          </w:p>
        </w:tc>
        <w:tc>
          <w:tcPr>
            <w:tcW w:w="1398" w:type="dxa"/>
            <w:vAlign w:val="center"/>
            <w:hideMark/>
          </w:tcPr>
          <w:p w14:paraId="0B7BB250"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10,6</w:t>
            </w:r>
          </w:p>
        </w:tc>
      </w:tr>
      <w:tr w:rsidR="00D470B6" w:rsidRPr="00A53AD7" w14:paraId="5D85FAB7" w14:textId="77777777" w:rsidTr="00023CA1">
        <w:trPr>
          <w:trHeight w:val="514"/>
        </w:trPr>
        <w:tc>
          <w:tcPr>
            <w:tcW w:w="9213" w:type="dxa"/>
            <w:gridSpan w:val="2"/>
            <w:vAlign w:val="center"/>
            <w:hideMark/>
          </w:tcPr>
          <w:p w14:paraId="43743E47"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Доля занимающихся по программам спортивной подготовки в организациях ведомственной принадлежности физической культуры и спорта, %</w:t>
            </w:r>
          </w:p>
        </w:tc>
      </w:tr>
      <w:tr w:rsidR="00D470B6" w:rsidRPr="00A53AD7" w14:paraId="6AAE95C8" w14:textId="77777777" w:rsidTr="00023CA1">
        <w:trPr>
          <w:trHeight w:val="124"/>
        </w:trPr>
        <w:tc>
          <w:tcPr>
            <w:tcW w:w="7815" w:type="dxa"/>
            <w:vAlign w:val="center"/>
            <w:hideMark/>
          </w:tcPr>
          <w:p w14:paraId="77F01EE9"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региональным проектом, %</w:t>
            </w:r>
          </w:p>
        </w:tc>
        <w:tc>
          <w:tcPr>
            <w:tcW w:w="1398" w:type="dxa"/>
            <w:vAlign w:val="center"/>
            <w:hideMark/>
          </w:tcPr>
          <w:p w14:paraId="51DEC814"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40</w:t>
            </w:r>
          </w:p>
        </w:tc>
      </w:tr>
      <w:tr w:rsidR="00D470B6" w:rsidRPr="00A53AD7" w14:paraId="7BFA5116" w14:textId="77777777" w:rsidTr="00023CA1">
        <w:trPr>
          <w:trHeight w:val="36"/>
        </w:trPr>
        <w:tc>
          <w:tcPr>
            <w:tcW w:w="7815" w:type="dxa"/>
            <w:vAlign w:val="center"/>
          </w:tcPr>
          <w:p w14:paraId="46B516C9" w14:textId="77777777" w:rsidR="00A62497" w:rsidRPr="00A53AD7" w:rsidRDefault="00A62497" w:rsidP="00023CA1">
            <w:pPr>
              <w:spacing w:after="0" w:line="240" w:lineRule="auto"/>
              <w:rPr>
                <w:rFonts w:ascii="Times New Roman" w:hAnsi="Times New Roman"/>
              </w:rPr>
            </w:pPr>
            <w:r w:rsidRPr="00A53AD7">
              <w:rPr>
                <w:rFonts w:ascii="Times New Roman" w:eastAsia="Times New Roman" w:hAnsi="Times New Roman"/>
              </w:rPr>
              <w:t>Значение, установленное госпрограммой (в ред. от 24.12.2019), %</w:t>
            </w:r>
          </w:p>
        </w:tc>
        <w:tc>
          <w:tcPr>
            <w:tcW w:w="1398" w:type="dxa"/>
            <w:noWrap/>
            <w:vAlign w:val="center"/>
          </w:tcPr>
          <w:p w14:paraId="2C3803E6"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40</w:t>
            </w:r>
          </w:p>
        </w:tc>
      </w:tr>
      <w:tr w:rsidR="00A62497" w:rsidRPr="00A53AD7" w14:paraId="292C9E63" w14:textId="77777777" w:rsidTr="00023CA1">
        <w:trPr>
          <w:trHeight w:val="36"/>
        </w:trPr>
        <w:tc>
          <w:tcPr>
            <w:tcW w:w="7815" w:type="dxa"/>
            <w:vAlign w:val="center"/>
            <w:hideMark/>
          </w:tcPr>
          <w:p w14:paraId="4D05C495" w14:textId="77777777" w:rsidR="00A62497" w:rsidRPr="00A53AD7" w:rsidRDefault="00A62497" w:rsidP="00023CA1">
            <w:pPr>
              <w:spacing w:after="0" w:line="240" w:lineRule="auto"/>
              <w:rPr>
                <w:rFonts w:ascii="Times New Roman" w:hAnsi="Times New Roman"/>
              </w:rPr>
            </w:pPr>
            <w:r w:rsidRPr="00A53AD7">
              <w:rPr>
                <w:rFonts w:ascii="Times New Roman" w:hAnsi="Times New Roman"/>
              </w:rPr>
              <w:t>Значение, установленное федеральным проектом от 29.04.2019, %</w:t>
            </w:r>
          </w:p>
        </w:tc>
        <w:tc>
          <w:tcPr>
            <w:tcW w:w="1398" w:type="dxa"/>
            <w:noWrap/>
            <w:vAlign w:val="center"/>
            <w:hideMark/>
          </w:tcPr>
          <w:p w14:paraId="71537140" w14:textId="77777777" w:rsidR="00A62497" w:rsidRPr="00A53AD7" w:rsidRDefault="00A62497" w:rsidP="00023CA1">
            <w:pPr>
              <w:spacing w:after="0" w:line="240" w:lineRule="auto"/>
              <w:jc w:val="center"/>
              <w:rPr>
                <w:rFonts w:ascii="Times New Roman" w:hAnsi="Times New Roman"/>
              </w:rPr>
            </w:pPr>
            <w:r w:rsidRPr="00A53AD7">
              <w:rPr>
                <w:rFonts w:ascii="Times New Roman" w:hAnsi="Times New Roman"/>
              </w:rPr>
              <w:t>53</w:t>
            </w:r>
          </w:p>
        </w:tc>
      </w:tr>
    </w:tbl>
    <w:p w14:paraId="4102C329" w14:textId="77777777" w:rsidR="00023CA1" w:rsidRPr="00A53AD7" w:rsidRDefault="00023CA1" w:rsidP="00023CA1">
      <w:pPr>
        <w:spacing w:after="0" w:line="240" w:lineRule="auto"/>
        <w:ind w:firstLine="851"/>
        <w:jc w:val="both"/>
        <w:rPr>
          <w:rFonts w:ascii="Times New Roman" w:hAnsi="Times New Roman"/>
          <w:sz w:val="28"/>
          <w:szCs w:val="28"/>
        </w:rPr>
      </w:pPr>
    </w:p>
    <w:p w14:paraId="2FC4F270" w14:textId="649A54E0" w:rsidR="00A62497" w:rsidRPr="00A53AD7" w:rsidRDefault="00A62497" w:rsidP="00023CA1">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несмотря на то, что показатели</w:t>
      </w:r>
      <w:r w:rsidR="00023CA1" w:rsidRPr="00A53AD7">
        <w:rPr>
          <w:rFonts w:ascii="Times New Roman" w:hAnsi="Times New Roman"/>
          <w:sz w:val="28"/>
          <w:szCs w:val="28"/>
        </w:rPr>
        <w:t>,</w:t>
      </w:r>
      <w:r w:rsidRPr="00A53AD7">
        <w:rPr>
          <w:rFonts w:ascii="Times New Roman" w:hAnsi="Times New Roman"/>
          <w:sz w:val="28"/>
          <w:szCs w:val="28"/>
        </w:rPr>
        <w:t xml:space="preserve"> установленные Госпрограммой и паспортом регионального проекта в отчетном периоде достигнуты, но поскольку последние при этом значительно ниже значений показателей</w:t>
      </w:r>
      <w:r w:rsidR="00023CA1" w:rsidRPr="00A53AD7">
        <w:rPr>
          <w:rFonts w:ascii="Times New Roman" w:hAnsi="Times New Roman"/>
          <w:sz w:val="28"/>
          <w:szCs w:val="28"/>
        </w:rPr>
        <w:t>,</w:t>
      </w:r>
      <w:r w:rsidRPr="00A53AD7">
        <w:rPr>
          <w:rFonts w:ascii="Times New Roman" w:hAnsi="Times New Roman"/>
          <w:sz w:val="28"/>
          <w:szCs w:val="28"/>
        </w:rPr>
        <w:t xml:space="preserve"> установленных федеральным проектом, контрольно-счетная палата полагает, что это создает риски по достижению целей, предусмотренных национальным проектом «Демография» по мере срока окончания его реализации.</w:t>
      </w:r>
    </w:p>
    <w:p w14:paraId="31958E8D" w14:textId="77777777" w:rsidR="00A62497" w:rsidRPr="00A53AD7" w:rsidRDefault="00A62497" w:rsidP="00023CA1">
      <w:pPr>
        <w:spacing w:after="0" w:line="240" w:lineRule="auto"/>
        <w:ind w:firstLine="851"/>
        <w:jc w:val="both"/>
        <w:rPr>
          <w:rFonts w:ascii="Times New Roman" w:hAnsi="Times New Roman"/>
          <w:sz w:val="28"/>
          <w:szCs w:val="28"/>
        </w:rPr>
      </w:pPr>
    </w:p>
    <w:p w14:paraId="518A8539" w14:textId="77777777" w:rsidR="00A62497" w:rsidRPr="00A53AD7" w:rsidRDefault="00A62497" w:rsidP="00023CA1">
      <w:pPr>
        <w:spacing w:after="0" w:line="240" w:lineRule="auto"/>
        <w:jc w:val="center"/>
        <w:rPr>
          <w:rFonts w:ascii="Times New Roman" w:hAnsi="Times New Roman"/>
          <w:b/>
          <w:i/>
          <w:sz w:val="28"/>
          <w:szCs w:val="28"/>
        </w:rPr>
      </w:pPr>
      <w:r w:rsidRPr="00A53AD7">
        <w:rPr>
          <w:rFonts w:ascii="Times New Roman" w:hAnsi="Times New Roman"/>
          <w:b/>
          <w:i/>
          <w:sz w:val="28"/>
          <w:szCs w:val="28"/>
        </w:rPr>
        <w:t xml:space="preserve">Региональный проект «Содействие занятости женщин - создание условий дошкольного образования для детей в возрасте до трёх лет» </w:t>
      </w:r>
    </w:p>
    <w:p w14:paraId="0525A2AE"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Финансирование РП «Содействие занятости женщин» осуществляется в рамках подпрограммы 7 «</w:t>
      </w:r>
      <w:r w:rsidRPr="00A53AD7">
        <w:rPr>
          <w:rFonts w:ascii="Tahoma" w:hAnsi="Tahoma" w:cs="Tahoma"/>
          <w:sz w:val="28"/>
          <w:szCs w:val="28"/>
        </w:rPr>
        <w:t>﻿</w:t>
      </w:r>
      <w:r w:rsidRPr="00A53AD7">
        <w:rPr>
          <w:rFonts w:ascii="Times New Roman" w:hAnsi="Times New Roman"/>
          <w:sz w:val="28"/>
          <w:szCs w:val="28"/>
        </w:rPr>
        <w:t>Строительство и капитальный ремонт объектов инфраструктуры системы образования в Архангельской области» государственной программы Архангельской области «Развитие образования и науки Архангельской области», утвержденной постановлением Правительства Архангельской области от 12.10.2012 № 463-пп (далее – ГП № 463-пп).</w:t>
      </w:r>
    </w:p>
    <w:p w14:paraId="0FDEAE01"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ГП № 463-пп (ред. от 24.12.2019 № 749-пп) для подпрограммы 7 в рамках ФП «Содействие занятости женщин» предусмотрены следующие целевые показатели:</w:t>
      </w:r>
    </w:p>
    <w:tbl>
      <w:tblPr>
        <w:tblStyle w:val="a7"/>
        <w:tblW w:w="9351"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7083"/>
        <w:gridCol w:w="1134"/>
        <w:gridCol w:w="1134"/>
      </w:tblGrid>
      <w:tr w:rsidR="00D470B6" w:rsidRPr="00A53AD7" w14:paraId="0627F81E" w14:textId="77777777" w:rsidTr="00F46AC9">
        <w:trPr>
          <w:tblHeader/>
        </w:trPr>
        <w:tc>
          <w:tcPr>
            <w:tcW w:w="7083" w:type="dxa"/>
            <w:vMerge w:val="restart"/>
          </w:tcPr>
          <w:p w14:paraId="6CC614A1"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Наименование целевого показателя</w:t>
            </w:r>
          </w:p>
        </w:tc>
        <w:tc>
          <w:tcPr>
            <w:tcW w:w="2268" w:type="dxa"/>
            <w:gridSpan w:val="2"/>
          </w:tcPr>
          <w:p w14:paraId="06124684"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Значение целевого показателя, мест</w:t>
            </w:r>
          </w:p>
        </w:tc>
      </w:tr>
      <w:tr w:rsidR="00D470B6" w:rsidRPr="00A53AD7" w14:paraId="7DBA07D2" w14:textId="77777777" w:rsidTr="00F46AC9">
        <w:trPr>
          <w:tblHeader/>
        </w:trPr>
        <w:tc>
          <w:tcPr>
            <w:tcW w:w="7083" w:type="dxa"/>
            <w:vMerge/>
          </w:tcPr>
          <w:p w14:paraId="46665949"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p>
        </w:tc>
        <w:tc>
          <w:tcPr>
            <w:tcW w:w="1134" w:type="dxa"/>
          </w:tcPr>
          <w:p w14:paraId="5F7C1CCF"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2019 год</w:t>
            </w:r>
          </w:p>
        </w:tc>
        <w:tc>
          <w:tcPr>
            <w:tcW w:w="1134" w:type="dxa"/>
          </w:tcPr>
          <w:p w14:paraId="376A227E"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2020 год</w:t>
            </w:r>
          </w:p>
        </w:tc>
      </w:tr>
      <w:tr w:rsidR="00D470B6" w:rsidRPr="00A53AD7" w14:paraId="770426C2" w14:textId="77777777" w:rsidTr="00F46AC9">
        <w:tc>
          <w:tcPr>
            <w:tcW w:w="7083" w:type="dxa"/>
          </w:tcPr>
          <w:p w14:paraId="64CB1180" w14:textId="77777777" w:rsidR="00F46AC9" w:rsidRPr="00A53AD7" w:rsidRDefault="00F46AC9" w:rsidP="00F46AC9">
            <w:pPr>
              <w:autoSpaceDE w:val="0"/>
              <w:autoSpaceDN w:val="0"/>
              <w:adjustRightInd w:val="0"/>
              <w:spacing w:after="0" w:line="240" w:lineRule="auto"/>
              <w:rPr>
                <w:rFonts w:ascii="Times New Roman" w:hAnsi="Times New Roman"/>
                <w:szCs w:val="28"/>
              </w:rPr>
            </w:pPr>
            <w:r w:rsidRPr="00A53AD7">
              <w:rPr>
                <w:rFonts w:ascii="Times New Roman" w:hAnsi="Times New Roman"/>
              </w:rPr>
              <w:t>Количество дополнительных дошкольных мест, созданных в муниципальных образовательных организациях</w:t>
            </w:r>
          </w:p>
        </w:tc>
        <w:tc>
          <w:tcPr>
            <w:tcW w:w="1134" w:type="dxa"/>
          </w:tcPr>
          <w:p w14:paraId="5D6B5269"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2 475</w:t>
            </w:r>
          </w:p>
        </w:tc>
        <w:tc>
          <w:tcPr>
            <w:tcW w:w="1134" w:type="dxa"/>
          </w:tcPr>
          <w:p w14:paraId="79456A18"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2 160</w:t>
            </w:r>
          </w:p>
        </w:tc>
      </w:tr>
      <w:tr w:rsidR="00D470B6" w:rsidRPr="00A53AD7" w14:paraId="6DDDC3A2" w14:textId="77777777" w:rsidTr="00F46AC9">
        <w:tc>
          <w:tcPr>
            <w:tcW w:w="7083" w:type="dxa"/>
          </w:tcPr>
          <w:p w14:paraId="754FCD0B" w14:textId="77777777" w:rsidR="00F46AC9" w:rsidRPr="00A53AD7" w:rsidRDefault="00F46AC9" w:rsidP="00F46AC9">
            <w:pPr>
              <w:autoSpaceDE w:val="0"/>
              <w:autoSpaceDN w:val="0"/>
              <w:adjustRightInd w:val="0"/>
              <w:spacing w:after="0" w:line="240" w:lineRule="auto"/>
              <w:ind w:left="738"/>
              <w:rPr>
                <w:rFonts w:ascii="Times New Roman" w:hAnsi="Times New Roman"/>
                <w:szCs w:val="28"/>
              </w:rPr>
            </w:pPr>
            <w:r w:rsidRPr="00A53AD7">
              <w:rPr>
                <w:rFonts w:ascii="Times New Roman" w:hAnsi="Times New Roman"/>
              </w:rPr>
              <w:t>в том числе для детей в возрасте от 2 месяцев до 3 лет</w:t>
            </w:r>
          </w:p>
        </w:tc>
        <w:tc>
          <w:tcPr>
            <w:tcW w:w="1134" w:type="dxa"/>
          </w:tcPr>
          <w:p w14:paraId="117A26D8"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1 425</w:t>
            </w:r>
          </w:p>
        </w:tc>
        <w:tc>
          <w:tcPr>
            <w:tcW w:w="1134" w:type="dxa"/>
          </w:tcPr>
          <w:p w14:paraId="1630EC16"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1 520</w:t>
            </w:r>
          </w:p>
        </w:tc>
      </w:tr>
      <w:tr w:rsidR="00F46AC9" w:rsidRPr="00A53AD7" w14:paraId="348CA0B9" w14:textId="77777777" w:rsidTr="00F46AC9">
        <w:tc>
          <w:tcPr>
            <w:tcW w:w="7083" w:type="dxa"/>
          </w:tcPr>
          <w:p w14:paraId="6FA70E2B" w14:textId="6AF959C9" w:rsidR="00F46AC9" w:rsidRPr="00A53AD7" w:rsidRDefault="00F46AC9" w:rsidP="00F46AC9">
            <w:pPr>
              <w:widowControl w:val="0"/>
              <w:autoSpaceDE w:val="0"/>
              <w:autoSpaceDN w:val="0"/>
              <w:spacing w:after="0" w:line="240" w:lineRule="auto"/>
              <w:ind w:left="1305"/>
              <w:rPr>
                <w:rFonts w:ascii="Times New Roman" w:hAnsi="Times New Roman"/>
                <w:szCs w:val="28"/>
              </w:rPr>
            </w:pPr>
            <w:r w:rsidRPr="00A53AD7">
              <w:rPr>
                <w:rFonts w:ascii="Times New Roman" w:hAnsi="Times New Roman"/>
                <w:szCs w:val="28"/>
              </w:rPr>
              <w:t>из них в рамках федерального проекта «Содействие занятости женщин - создание условий дошкольного образования для детей в возрасте до трех лет» национального проекта «Демография»</w:t>
            </w:r>
          </w:p>
        </w:tc>
        <w:tc>
          <w:tcPr>
            <w:tcW w:w="1134" w:type="dxa"/>
          </w:tcPr>
          <w:p w14:paraId="76D76C3F"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1 425</w:t>
            </w:r>
          </w:p>
        </w:tc>
        <w:tc>
          <w:tcPr>
            <w:tcW w:w="1134" w:type="dxa"/>
          </w:tcPr>
          <w:p w14:paraId="4160AAFE" w14:textId="77777777" w:rsidR="00F46AC9" w:rsidRPr="00A53AD7" w:rsidRDefault="00F46AC9" w:rsidP="00F46AC9">
            <w:pPr>
              <w:widowControl w:val="0"/>
              <w:autoSpaceDE w:val="0"/>
              <w:autoSpaceDN w:val="0"/>
              <w:spacing w:after="0" w:line="240" w:lineRule="auto"/>
              <w:jc w:val="right"/>
              <w:rPr>
                <w:rFonts w:ascii="Times New Roman" w:hAnsi="Times New Roman"/>
                <w:szCs w:val="28"/>
              </w:rPr>
            </w:pPr>
            <w:r w:rsidRPr="00A53AD7">
              <w:rPr>
                <w:rFonts w:ascii="Times New Roman" w:hAnsi="Times New Roman"/>
                <w:szCs w:val="28"/>
              </w:rPr>
              <w:t xml:space="preserve"> 1 520</w:t>
            </w:r>
          </w:p>
        </w:tc>
      </w:tr>
    </w:tbl>
    <w:p w14:paraId="11FEB9DE" w14:textId="77777777" w:rsidR="00F46AC9" w:rsidRPr="00A53AD7" w:rsidRDefault="00F46AC9" w:rsidP="00F46AC9">
      <w:pPr>
        <w:spacing w:after="0" w:line="240" w:lineRule="auto"/>
        <w:ind w:firstLine="720"/>
        <w:jc w:val="both"/>
        <w:rPr>
          <w:rFonts w:ascii="Times New Roman" w:hAnsi="Times New Roman"/>
          <w:sz w:val="28"/>
          <w:szCs w:val="28"/>
          <w:highlight w:val="cyan"/>
        </w:rPr>
      </w:pPr>
    </w:p>
    <w:p w14:paraId="742D3942" w14:textId="4B1D7145"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Одной из задач паспорта РП «Содействие занятости женщин» является создание к 31.12.2019 года 1705 дополнительных мест для детей в возрасте до трех лет.</w:t>
      </w:r>
    </w:p>
    <w:p w14:paraId="05FAA15A"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Также паспортом РП установлена задача по созданию к 31.12.2020 года 1520 дополнительных мест для детей возрасте от полутора до трех лет.</w:t>
      </w:r>
    </w:p>
    <w:p w14:paraId="7B0C9D48"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 ГП № 463-пп целевые показатели на 2019 год на 280 мест меньше целевых показателей, установленных РП «Содействие занятости женщин».</w:t>
      </w:r>
    </w:p>
    <w:p w14:paraId="2DFADE13" w14:textId="44F78FFD"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ГП № 463-пп (в ред. от 24.12.2019 № 749-пп) в рамках ФП «Содействие занятости женщин» предусмотрено финансирование на создание дополнительных дошкольных мест в общем объеме 2 499,51 млн.руб., в том числе:</w:t>
      </w:r>
    </w:p>
    <w:p w14:paraId="0C264FC1" w14:textId="5B45D48E" w:rsidR="00F46AC9" w:rsidRPr="00A53AD7" w:rsidRDefault="00F46AC9" w:rsidP="00CA1DDD">
      <w:pPr>
        <w:pStyle w:val="a8"/>
        <w:numPr>
          <w:ilvl w:val="0"/>
          <w:numId w:val="45"/>
        </w:numPr>
        <w:ind w:left="0" w:firstLine="851"/>
        <w:jc w:val="both"/>
        <w:rPr>
          <w:sz w:val="28"/>
          <w:szCs w:val="28"/>
        </w:rPr>
      </w:pPr>
      <w:r w:rsidRPr="00A53AD7">
        <w:rPr>
          <w:sz w:val="28"/>
          <w:szCs w:val="28"/>
        </w:rPr>
        <w:t>федеральный бюджет – 2 290,30 млн.руб.;</w:t>
      </w:r>
    </w:p>
    <w:p w14:paraId="34CE5237" w14:textId="6E35F06F" w:rsidR="00F46AC9" w:rsidRPr="00A53AD7" w:rsidRDefault="00F46AC9" w:rsidP="00CA1DDD">
      <w:pPr>
        <w:pStyle w:val="a8"/>
        <w:numPr>
          <w:ilvl w:val="0"/>
          <w:numId w:val="45"/>
        </w:numPr>
        <w:ind w:left="0" w:firstLine="851"/>
        <w:jc w:val="both"/>
        <w:rPr>
          <w:sz w:val="28"/>
          <w:szCs w:val="28"/>
        </w:rPr>
      </w:pPr>
      <w:r w:rsidRPr="00A53AD7">
        <w:rPr>
          <w:sz w:val="28"/>
          <w:szCs w:val="28"/>
        </w:rPr>
        <w:t>областной бюджет – 200,98 млн.руб.;</w:t>
      </w:r>
    </w:p>
    <w:p w14:paraId="6A34DD2C" w14:textId="44EA9D42" w:rsidR="00F46AC9" w:rsidRPr="00A53AD7" w:rsidRDefault="00F46AC9" w:rsidP="00CA1DDD">
      <w:pPr>
        <w:pStyle w:val="a8"/>
        <w:numPr>
          <w:ilvl w:val="0"/>
          <w:numId w:val="45"/>
        </w:numPr>
        <w:ind w:left="0" w:firstLine="851"/>
        <w:jc w:val="both"/>
        <w:rPr>
          <w:sz w:val="28"/>
          <w:szCs w:val="28"/>
        </w:rPr>
      </w:pPr>
      <w:r w:rsidRPr="00A53AD7">
        <w:rPr>
          <w:sz w:val="28"/>
          <w:szCs w:val="28"/>
        </w:rPr>
        <w:t>местный бюджет – 8,23 млн.руб.</w:t>
      </w:r>
    </w:p>
    <w:p w14:paraId="0915CEFC"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разделу 4 паспорта РП «Содействие занятости женщин» финансовое обеспечение реализации мероприятий РП на 2019 год за счет консолидированного бюджета Архангельской области характеризуется следующим образом:</w:t>
      </w:r>
    </w:p>
    <w:tbl>
      <w:tblPr>
        <w:tblStyle w:val="a7"/>
        <w:tblW w:w="9331"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931"/>
        <w:gridCol w:w="2400"/>
      </w:tblGrid>
      <w:tr w:rsidR="00D470B6" w:rsidRPr="00A53AD7" w14:paraId="54A80044" w14:textId="77777777" w:rsidTr="00F46AC9">
        <w:tc>
          <w:tcPr>
            <w:tcW w:w="6931" w:type="dxa"/>
          </w:tcPr>
          <w:p w14:paraId="24B23F8A"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Наименование результата</w:t>
            </w:r>
          </w:p>
        </w:tc>
        <w:tc>
          <w:tcPr>
            <w:tcW w:w="2400" w:type="dxa"/>
          </w:tcPr>
          <w:p w14:paraId="653C4821"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Объем финансового обеспечения на 2019 год (млн. руб.)</w:t>
            </w:r>
          </w:p>
        </w:tc>
      </w:tr>
      <w:tr w:rsidR="00D470B6" w:rsidRPr="00A53AD7" w14:paraId="3F2AA066" w14:textId="77777777" w:rsidTr="00F46AC9">
        <w:tc>
          <w:tcPr>
            <w:tcW w:w="6931" w:type="dxa"/>
          </w:tcPr>
          <w:p w14:paraId="4C1F0838" w14:textId="77777777" w:rsidR="00F46AC9" w:rsidRPr="00A53AD7" w:rsidRDefault="00F46AC9" w:rsidP="00F46AC9">
            <w:pPr>
              <w:widowControl w:val="0"/>
              <w:autoSpaceDE w:val="0"/>
              <w:autoSpaceDN w:val="0"/>
              <w:spacing w:after="0" w:line="240" w:lineRule="auto"/>
              <w:jc w:val="both"/>
              <w:rPr>
                <w:rFonts w:ascii="Times New Roman" w:hAnsi="Times New Roman"/>
                <w:szCs w:val="28"/>
              </w:rPr>
            </w:pPr>
            <w:r w:rsidRPr="00A53AD7">
              <w:rPr>
                <w:rFonts w:ascii="Times New Roman" w:hAnsi="Times New Roman"/>
                <w:szCs w:val="28"/>
              </w:rPr>
              <w:t xml:space="preserve">Создание дополнительных мест для детей в возрасте до 3 лет </w:t>
            </w:r>
          </w:p>
        </w:tc>
        <w:tc>
          <w:tcPr>
            <w:tcW w:w="2400" w:type="dxa"/>
          </w:tcPr>
          <w:p w14:paraId="5D8B2C2D"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919,16</w:t>
            </w:r>
          </w:p>
        </w:tc>
      </w:tr>
      <w:tr w:rsidR="00D470B6" w:rsidRPr="00A53AD7" w14:paraId="52EEB196" w14:textId="77777777" w:rsidTr="00F46AC9">
        <w:tc>
          <w:tcPr>
            <w:tcW w:w="6931" w:type="dxa"/>
          </w:tcPr>
          <w:p w14:paraId="61585207" w14:textId="77777777" w:rsidR="00F46AC9" w:rsidRPr="00A53AD7" w:rsidRDefault="00F46AC9" w:rsidP="00F46AC9">
            <w:pPr>
              <w:widowControl w:val="0"/>
              <w:autoSpaceDE w:val="0"/>
              <w:autoSpaceDN w:val="0"/>
              <w:spacing w:after="0" w:line="240" w:lineRule="auto"/>
              <w:jc w:val="both"/>
              <w:rPr>
                <w:rFonts w:ascii="Times New Roman" w:hAnsi="Times New Roman"/>
                <w:szCs w:val="28"/>
              </w:rPr>
            </w:pPr>
            <w:r w:rsidRPr="00A53AD7">
              <w:rPr>
                <w:rFonts w:ascii="Times New Roman" w:hAnsi="Times New Roman"/>
                <w:szCs w:val="28"/>
              </w:rPr>
              <w:t xml:space="preserve">Создание дополнительных мест для детей в возрасте от 1,5 до 3 лет </w:t>
            </w:r>
          </w:p>
        </w:tc>
        <w:tc>
          <w:tcPr>
            <w:tcW w:w="2400" w:type="dxa"/>
          </w:tcPr>
          <w:p w14:paraId="144FC2BE"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1 142,48</w:t>
            </w:r>
          </w:p>
        </w:tc>
      </w:tr>
      <w:tr w:rsidR="00F46AC9" w:rsidRPr="00A53AD7" w14:paraId="0A88DA1D" w14:textId="77777777" w:rsidTr="00F46AC9">
        <w:tc>
          <w:tcPr>
            <w:tcW w:w="6931" w:type="dxa"/>
          </w:tcPr>
          <w:p w14:paraId="2A1FBB09" w14:textId="77777777" w:rsidR="00F46AC9" w:rsidRPr="00A53AD7" w:rsidRDefault="00F46AC9" w:rsidP="00F46AC9">
            <w:pPr>
              <w:widowControl w:val="0"/>
              <w:autoSpaceDE w:val="0"/>
              <w:autoSpaceDN w:val="0"/>
              <w:spacing w:after="0" w:line="240" w:lineRule="auto"/>
              <w:jc w:val="both"/>
              <w:rPr>
                <w:rFonts w:ascii="Times New Roman" w:hAnsi="Times New Roman"/>
                <w:szCs w:val="28"/>
              </w:rPr>
            </w:pPr>
            <w:r w:rsidRPr="00A53AD7">
              <w:rPr>
                <w:rFonts w:ascii="Times New Roman" w:hAnsi="Times New Roman"/>
                <w:szCs w:val="28"/>
              </w:rPr>
              <w:t>Итого</w:t>
            </w:r>
          </w:p>
        </w:tc>
        <w:tc>
          <w:tcPr>
            <w:tcW w:w="2400" w:type="dxa"/>
          </w:tcPr>
          <w:p w14:paraId="1E56FF32" w14:textId="77777777" w:rsidR="00F46AC9" w:rsidRPr="00A53AD7" w:rsidRDefault="00F46AC9" w:rsidP="00F46AC9">
            <w:pPr>
              <w:widowControl w:val="0"/>
              <w:autoSpaceDE w:val="0"/>
              <w:autoSpaceDN w:val="0"/>
              <w:spacing w:after="0" w:line="240" w:lineRule="auto"/>
              <w:jc w:val="center"/>
              <w:rPr>
                <w:rFonts w:ascii="Times New Roman" w:hAnsi="Times New Roman"/>
                <w:szCs w:val="28"/>
              </w:rPr>
            </w:pPr>
            <w:r w:rsidRPr="00A53AD7">
              <w:rPr>
                <w:rFonts w:ascii="Times New Roman" w:hAnsi="Times New Roman"/>
                <w:szCs w:val="28"/>
              </w:rPr>
              <w:t>2 061,64</w:t>
            </w:r>
          </w:p>
        </w:tc>
      </w:tr>
    </w:tbl>
    <w:p w14:paraId="3F243FCF" w14:textId="77777777" w:rsidR="00F46AC9" w:rsidRPr="00A53AD7" w:rsidRDefault="00F46AC9" w:rsidP="00F46AC9">
      <w:pPr>
        <w:spacing w:after="0" w:line="240" w:lineRule="auto"/>
        <w:ind w:firstLine="851"/>
        <w:jc w:val="both"/>
        <w:rPr>
          <w:rFonts w:ascii="Times New Roman" w:hAnsi="Times New Roman"/>
          <w:sz w:val="28"/>
          <w:szCs w:val="28"/>
        </w:rPr>
      </w:pPr>
    </w:p>
    <w:p w14:paraId="6CB0C7A8"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объем финансового обеспечения реализации мероприятий ФП «Содействие занятости женщин» по ГП № 463-пп (в ред. от 24.12.2019 № 749-пп) на 437,87 млн.руб. превышает объем финансирования мероприятий по созданию дополнительных мест в дошкольных учреждениях по паспорту регионального проекта.</w:t>
      </w:r>
    </w:p>
    <w:p w14:paraId="54E8619B"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ГП № 463-пп предусмотрено распределение общего объема финансового обеспечения между источниками в таких объемах, которые не соответствуют показателям паспорта РП.</w:t>
      </w:r>
    </w:p>
    <w:p w14:paraId="71F54E99"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паспортом РП на 2019 год не предусмотрено финансирование мероприятий за счет средств федерального бюджета, в то время как ГП № 463-пп предусмотрены средства федерального бюджета на сумму 2290,30 млн.руб. В то же время паспортом РП единственным источником финансирования мероприятий установлен консолидированный бюджет Архангельской области (2 061,64 млн.руб.), по данным ГП № 463-пп объем средств консолидированного бюджета Архангельской области, направленный на финансирование мероприятий РП, составляет 209,21 млн.руб.</w:t>
      </w:r>
    </w:p>
    <w:p w14:paraId="6AD534DF"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просвещения Российской Федерации и Правительством Архангельской области заключены следующие соглашения:</w:t>
      </w:r>
    </w:p>
    <w:p w14:paraId="105A416E"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от 15.02.2019 № 073-17-2019-079 о представлении иного межбюджетного трансферта из федерального бюджета (далее – Соглашение № 079);</w:t>
      </w:r>
    </w:p>
    <w:p w14:paraId="718CDA85"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от 10.02.2019 № 073-09-2019-203 о предоставлении субсидии из федерального бюджета (далее – Соглашение № 203).</w:t>
      </w:r>
    </w:p>
    <w:p w14:paraId="43A81E0C"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 учетом дополнительных соглашений, заключенных к указанным соглашениям, значение результатов РП и общий объем бюджетных ассигнований из федерального бюджета в целях достижения результатов данного проекта в 2019 году по состоянию на 31.12.2019 составляет 1946,31 млн.руб.:</w:t>
      </w:r>
    </w:p>
    <w:tbl>
      <w:tblPr>
        <w:tblStyle w:val="a7"/>
        <w:tblW w:w="9352"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3256"/>
        <w:gridCol w:w="2693"/>
        <w:gridCol w:w="1077"/>
        <w:gridCol w:w="1191"/>
        <w:gridCol w:w="1135"/>
      </w:tblGrid>
      <w:tr w:rsidR="00D470B6" w:rsidRPr="00A53AD7" w14:paraId="78A93B81" w14:textId="77777777" w:rsidTr="00F46AC9">
        <w:trPr>
          <w:tblHeader/>
        </w:trPr>
        <w:tc>
          <w:tcPr>
            <w:tcW w:w="3256" w:type="dxa"/>
            <w:vMerge w:val="restart"/>
          </w:tcPr>
          <w:p w14:paraId="23958468"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Наименование соглашения (в ред. дополнительного соглашения)</w:t>
            </w:r>
          </w:p>
        </w:tc>
        <w:tc>
          <w:tcPr>
            <w:tcW w:w="2693" w:type="dxa"/>
            <w:vMerge w:val="restart"/>
          </w:tcPr>
          <w:p w14:paraId="3A055FA6"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Создание дополнительных мест для детей (мест)</w:t>
            </w:r>
          </w:p>
        </w:tc>
        <w:tc>
          <w:tcPr>
            <w:tcW w:w="3403" w:type="dxa"/>
            <w:gridSpan w:val="3"/>
          </w:tcPr>
          <w:p w14:paraId="7B334349"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Объем финансового обеспечения достижения результатов регионального проекта, млн. руб.</w:t>
            </w:r>
          </w:p>
        </w:tc>
      </w:tr>
      <w:tr w:rsidR="00D470B6" w:rsidRPr="00A53AD7" w14:paraId="05B2AD79" w14:textId="77777777" w:rsidTr="00F46AC9">
        <w:trPr>
          <w:tblHeader/>
        </w:trPr>
        <w:tc>
          <w:tcPr>
            <w:tcW w:w="3256" w:type="dxa"/>
            <w:vMerge/>
          </w:tcPr>
          <w:p w14:paraId="0F5CCAF6"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2693" w:type="dxa"/>
            <w:vMerge/>
          </w:tcPr>
          <w:p w14:paraId="75E30606"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1077" w:type="dxa"/>
            <w:vMerge w:val="restart"/>
          </w:tcPr>
          <w:p w14:paraId="216AF909"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всего</w:t>
            </w:r>
          </w:p>
        </w:tc>
        <w:tc>
          <w:tcPr>
            <w:tcW w:w="2326" w:type="dxa"/>
            <w:gridSpan w:val="2"/>
          </w:tcPr>
          <w:p w14:paraId="1FE094A1"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в том числе:</w:t>
            </w:r>
          </w:p>
        </w:tc>
      </w:tr>
      <w:tr w:rsidR="00D470B6" w:rsidRPr="00A53AD7" w14:paraId="07997117" w14:textId="77777777" w:rsidTr="00F46AC9">
        <w:trPr>
          <w:tblHeader/>
        </w:trPr>
        <w:tc>
          <w:tcPr>
            <w:tcW w:w="3256" w:type="dxa"/>
            <w:vMerge/>
          </w:tcPr>
          <w:p w14:paraId="32B5AB49"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2693" w:type="dxa"/>
            <w:vMerge/>
          </w:tcPr>
          <w:p w14:paraId="7E78EF6D"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1077" w:type="dxa"/>
            <w:vMerge/>
          </w:tcPr>
          <w:p w14:paraId="0086159F"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1191" w:type="dxa"/>
          </w:tcPr>
          <w:p w14:paraId="32F83354"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иной МБТ</w:t>
            </w:r>
          </w:p>
        </w:tc>
        <w:tc>
          <w:tcPr>
            <w:tcW w:w="1135" w:type="dxa"/>
          </w:tcPr>
          <w:p w14:paraId="76D5EAB1"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субсидия</w:t>
            </w:r>
          </w:p>
        </w:tc>
      </w:tr>
      <w:tr w:rsidR="00D470B6" w:rsidRPr="00A53AD7" w14:paraId="0D8400F0" w14:textId="77777777" w:rsidTr="00F46AC9">
        <w:tc>
          <w:tcPr>
            <w:tcW w:w="3256" w:type="dxa"/>
          </w:tcPr>
          <w:p w14:paraId="24944710" w14:textId="77777777" w:rsidR="00F46AC9" w:rsidRPr="00A53AD7" w:rsidRDefault="00F46AC9" w:rsidP="00F46AC9">
            <w:pPr>
              <w:widowControl w:val="0"/>
              <w:autoSpaceDE w:val="0"/>
              <w:autoSpaceDN w:val="0"/>
              <w:spacing w:after="0" w:line="240" w:lineRule="auto"/>
              <w:rPr>
                <w:rFonts w:ascii="Times New Roman" w:hAnsi="Times New Roman"/>
              </w:rPr>
            </w:pPr>
            <w:r w:rsidRPr="00A53AD7">
              <w:rPr>
                <w:rFonts w:ascii="Times New Roman" w:hAnsi="Times New Roman"/>
              </w:rPr>
              <w:t>Соглашение № 079 (в ред. доп.соглашения от 19.07.2019 № 079/4)</w:t>
            </w:r>
          </w:p>
        </w:tc>
        <w:tc>
          <w:tcPr>
            <w:tcW w:w="2693" w:type="dxa"/>
            <w:vAlign w:val="center"/>
          </w:tcPr>
          <w:p w14:paraId="67770421"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1705 (для детей в возрасте до 3 лет) к 31.12.2019 года</w:t>
            </w:r>
          </w:p>
        </w:tc>
        <w:tc>
          <w:tcPr>
            <w:tcW w:w="1077" w:type="dxa"/>
            <w:vAlign w:val="center"/>
          </w:tcPr>
          <w:p w14:paraId="5BE66597"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919,16</w:t>
            </w:r>
          </w:p>
        </w:tc>
        <w:tc>
          <w:tcPr>
            <w:tcW w:w="1191" w:type="dxa"/>
            <w:vAlign w:val="center"/>
          </w:tcPr>
          <w:p w14:paraId="30D43882"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826,68</w:t>
            </w:r>
          </w:p>
        </w:tc>
        <w:tc>
          <w:tcPr>
            <w:tcW w:w="1135" w:type="dxa"/>
            <w:vAlign w:val="center"/>
          </w:tcPr>
          <w:p w14:paraId="5888A738"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r>
      <w:tr w:rsidR="00D470B6" w:rsidRPr="00A53AD7" w14:paraId="2D47EECD" w14:textId="77777777" w:rsidTr="00F46AC9">
        <w:tc>
          <w:tcPr>
            <w:tcW w:w="3256" w:type="dxa"/>
          </w:tcPr>
          <w:p w14:paraId="1C24B8C1" w14:textId="77777777" w:rsidR="00F46AC9" w:rsidRPr="00A53AD7" w:rsidRDefault="00F46AC9" w:rsidP="00F46AC9">
            <w:pPr>
              <w:widowControl w:val="0"/>
              <w:autoSpaceDE w:val="0"/>
              <w:autoSpaceDN w:val="0"/>
              <w:spacing w:after="0" w:line="240" w:lineRule="auto"/>
              <w:rPr>
                <w:rFonts w:ascii="Times New Roman" w:hAnsi="Times New Roman"/>
              </w:rPr>
            </w:pPr>
            <w:r w:rsidRPr="00A53AD7">
              <w:rPr>
                <w:rFonts w:ascii="Times New Roman" w:hAnsi="Times New Roman"/>
              </w:rPr>
              <w:t>Соглашение № 203 (в ред. доп.соглашения от 19.07.2019 № 203/2)</w:t>
            </w:r>
          </w:p>
        </w:tc>
        <w:tc>
          <w:tcPr>
            <w:tcW w:w="2693" w:type="dxa"/>
            <w:vAlign w:val="center"/>
          </w:tcPr>
          <w:p w14:paraId="47D0751E"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1520 (для детей в возрасте от 1,5 до 3 лет) к 31.12.2020 года</w:t>
            </w:r>
          </w:p>
        </w:tc>
        <w:tc>
          <w:tcPr>
            <w:tcW w:w="1077" w:type="dxa"/>
            <w:vAlign w:val="center"/>
          </w:tcPr>
          <w:p w14:paraId="2329D1CC"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1 142,48</w:t>
            </w:r>
          </w:p>
        </w:tc>
        <w:tc>
          <w:tcPr>
            <w:tcW w:w="1191" w:type="dxa"/>
            <w:vAlign w:val="center"/>
          </w:tcPr>
          <w:p w14:paraId="1662470B"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1135" w:type="dxa"/>
            <w:vAlign w:val="center"/>
          </w:tcPr>
          <w:p w14:paraId="534C32DB"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1 119,63</w:t>
            </w:r>
          </w:p>
        </w:tc>
      </w:tr>
      <w:tr w:rsidR="00F46AC9" w:rsidRPr="00A53AD7" w14:paraId="17B23392" w14:textId="77777777" w:rsidTr="00F46AC9">
        <w:tc>
          <w:tcPr>
            <w:tcW w:w="3256" w:type="dxa"/>
          </w:tcPr>
          <w:p w14:paraId="3BA0EFE3" w14:textId="77777777" w:rsidR="00F46AC9" w:rsidRPr="00A53AD7" w:rsidRDefault="00F46AC9" w:rsidP="00F46AC9">
            <w:pPr>
              <w:widowControl w:val="0"/>
              <w:autoSpaceDE w:val="0"/>
              <w:autoSpaceDN w:val="0"/>
              <w:spacing w:after="0" w:line="240" w:lineRule="auto"/>
              <w:jc w:val="both"/>
              <w:rPr>
                <w:rFonts w:ascii="Times New Roman" w:hAnsi="Times New Roman"/>
              </w:rPr>
            </w:pPr>
            <w:r w:rsidRPr="00A53AD7">
              <w:rPr>
                <w:rFonts w:ascii="Times New Roman" w:hAnsi="Times New Roman"/>
              </w:rPr>
              <w:t>Итого</w:t>
            </w:r>
          </w:p>
        </w:tc>
        <w:tc>
          <w:tcPr>
            <w:tcW w:w="2693" w:type="dxa"/>
            <w:vAlign w:val="center"/>
          </w:tcPr>
          <w:p w14:paraId="281FA0E5" w14:textId="77777777" w:rsidR="00F46AC9" w:rsidRPr="00A53AD7" w:rsidRDefault="00F46AC9" w:rsidP="00F46AC9">
            <w:pPr>
              <w:widowControl w:val="0"/>
              <w:autoSpaceDE w:val="0"/>
              <w:autoSpaceDN w:val="0"/>
              <w:spacing w:after="0" w:line="240" w:lineRule="auto"/>
              <w:jc w:val="center"/>
              <w:rPr>
                <w:rFonts w:ascii="Times New Roman" w:hAnsi="Times New Roman"/>
              </w:rPr>
            </w:pPr>
          </w:p>
        </w:tc>
        <w:tc>
          <w:tcPr>
            <w:tcW w:w="1077" w:type="dxa"/>
            <w:vAlign w:val="center"/>
          </w:tcPr>
          <w:p w14:paraId="606C4B54"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2 061,64</w:t>
            </w:r>
          </w:p>
        </w:tc>
        <w:tc>
          <w:tcPr>
            <w:tcW w:w="1191" w:type="dxa"/>
            <w:vAlign w:val="center"/>
          </w:tcPr>
          <w:p w14:paraId="3592C310"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826,68</w:t>
            </w:r>
          </w:p>
        </w:tc>
        <w:tc>
          <w:tcPr>
            <w:tcW w:w="1135" w:type="dxa"/>
            <w:vAlign w:val="center"/>
          </w:tcPr>
          <w:p w14:paraId="5A5205B7" w14:textId="77777777" w:rsidR="00F46AC9" w:rsidRPr="00A53AD7" w:rsidRDefault="00F46AC9" w:rsidP="00F46AC9">
            <w:pPr>
              <w:widowControl w:val="0"/>
              <w:autoSpaceDE w:val="0"/>
              <w:autoSpaceDN w:val="0"/>
              <w:spacing w:after="0" w:line="240" w:lineRule="auto"/>
              <w:jc w:val="center"/>
              <w:rPr>
                <w:rFonts w:ascii="Times New Roman" w:hAnsi="Times New Roman"/>
              </w:rPr>
            </w:pPr>
            <w:r w:rsidRPr="00A53AD7">
              <w:rPr>
                <w:rFonts w:ascii="Times New Roman" w:hAnsi="Times New Roman"/>
              </w:rPr>
              <w:t>1 119,63</w:t>
            </w:r>
          </w:p>
        </w:tc>
      </w:tr>
    </w:tbl>
    <w:p w14:paraId="685BBFBD" w14:textId="77777777" w:rsidR="00F46AC9" w:rsidRPr="00A53AD7" w:rsidRDefault="00F46AC9" w:rsidP="00F46AC9">
      <w:pPr>
        <w:spacing w:after="0" w:line="240" w:lineRule="auto"/>
        <w:ind w:firstLine="851"/>
        <w:jc w:val="both"/>
        <w:rPr>
          <w:rFonts w:ascii="Times New Roman" w:hAnsi="Times New Roman"/>
          <w:sz w:val="28"/>
          <w:szCs w:val="28"/>
        </w:rPr>
      </w:pPr>
    </w:p>
    <w:p w14:paraId="2A7125B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Соглашением № 079 (в ред. дополнительного соглашения от 19.07.2019 № 079/4) предусмотрено строительство 9 детских садов, объем финансового обеспечения достижения результата РП составил 919,2 млн.руб., в том числе межбюджетный трансферт из федерального бюджета – 826,7 млн.руб.</w:t>
      </w:r>
    </w:p>
    <w:p w14:paraId="51C05709" w14:textId="3C446E1C"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КСП АО считает необходимым отметить, что в РП «Содействие занятости женщин» с целью достижения заданных значений результативных показателей (1705 дополнительных мест) включено строительство детского сада на 60 мест в пос. Турдеевск, финансовое обеспечение которого в рамках РП не запланировано. Строительство данного детского сада осуществлялось по муниципальному контракту от 19.05.2017 № № 0124200000617002375, а разрешение на ввод объекта в эксплуатацию было выдано заказчику (МО «Город Архангельск») 21.12.2018 года. Таким образом, основания для включения в РП данного объекта на 2019 год отсутствовали.</w:t>
      </w:r>
    </w:p>
    <w:p w14:paraId="5AD7DCA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Анализируя ситуацию со строительством дошкольных учреждений в рамках Соглашения № 079, КСП АО отмечает следующее:</w:t>
      </w:r>
    </w:p>
    <w:p w14:paraId="263880C2" w14:textId="2A80D8B2" w:rsidR="00F46AC9" w:rsidRPr="00A53AD7" w:rsidRDefault="00F46AC9" w:rsidP="00CA1DDD">
      <w:pPr>
        <w:pStyle w:val="a8"/>
        <w:numPr>
          <w:ilvl w:val="0"/>
          <w:numId w:val="45"/>
        </w:numPr>
        <w:ind w:left="0" w:firstLine="851"/>
        <w:jc w:val="both"/>
        <w:rPr>
          <w:sz w:val="28"/>
          <w:szCs w:val="28"/>
        </w:rPr>
      </w:pPr>
      <w:r w:rsidRPr="00A53AD7">
        <w:rPr>
          <w:sz w:val="28"/>
          <w:szCs w:val="28"/>
        </w:rPr>
        <w:t xml:space="preserve">в I квартале 2020 года закончены строительством 3 детских сада (на 280 мест в г. Котлас по пр. Мира, д. 24-а; на 120 мест в п. Каменка МО «Мезенский муниципальный район»; на 280 мест в 162 </w:t>
      </w:r>
      <w:r w:rsidR="00B35323" w:rsidRPr="00A53AD7">
        <w:rPr>
          <w:sz w:val="28"/>
          <w:szCs w:val="28"/>
        </w:rPr>
        <w:t>квартале города Северодвинска).</w:t>
      </w:r>
    </w:p>
    <w:p w14:paraId="60B04BA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Подрядчиком по строительству указанных дошкольных учреждений являлось ООО «Белый дом». Строительство детского сада в пос. Каменка было просрочено почти на 3 года, первоначальный срок сдачи объекта – 16.05.2017 года, фактический срок – 28.02.2020 года. Строительство детского сада в г. Котлас просрочено на 2 месяца, а строительство детского сада в г. Северодвинске – на 3,5 месяца;</w:t>
      </w:r>
    </w:p>
    <w:p w14:paraId="6652E97B"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 xml:space="preserve">строительство детского сада на 220 мест в округе Варавино-Фактория города Архангельска осуществляется в рамках муниципального контракта от 05.07.2019 б/н, заключенного между Департаментом транспорта, строительства и городской инфраструктуры Администрации МО «Город Архангельск» и ООО «Строй Центр». Срок окончания работ по условиям контракта - 10.12.2019 года. Соответственно, изначально установлен необоснованно короткий срок выполнения работ по привязке проектной документации и строительству объекта, что существенно ограничивает конкуренцию. Фактически в течение 5 месяцев подрядчик должен ввести в эксплуатацию здание детского сада, в то время, как только срок </w:t>
      </w:r>
      <w:r w:rsidRPr="00A53AD7">
        <w:rPr>
          <w:rFonts w:ascii="Tahoma" w:hAnsi="Tahoma" w:cs="Tahoma"/>
          <w:sz w:val="28"/>
          <w:szCs w:val="28"/>
        </w:rPr>
        <w:t>﻿</w:t>
      </w:r>
      <w:r w:rsidRPr="00A53AD7">
        <w:rPr>
          <w:sz w:val="28"/>
          <w:szCs w:val="28"/>
        </w:rPr>
        <w:t>проведения государственной экспертизы проектной документации может составлять до 60 дней.</w:t>
      </w:r>
    </w:p>
    <w:p w14:paraId="15D40D2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дополнительному соглашению от 30.12.2019 № 3 срок окончания строительства продлен до 06.06.2020 года.</w:t>
      </w:r>
    </w:p>
    <w:p w14:paraId="030908C8"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Фактически по состоянию на 31.12.2019 подрядчиком выполнены работы в объеме менее 20% от цены контракта.</w:t>
      </w:r>
    </w:p>
    <w:p w14:paraId="0CA286F3"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указанных выше объектов согласно данным ЕИС в сфере закупок по состоянию 31.12.2019 по следующим контрактам имеет место значительное отставание от графика выполнения работ:</w:t>
      </w:r>
    </w:p>
    <w:tbl>
      <w:tblPr>
        <w:tblW w:w="9365"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4390"/>
        <w:gridCol w:w="2268"/>
        <w:gridCol w:w="1422"/>
        <w:gridCol w:w="1285"/>
      </w:tblGrid>
      <w:tr w:rsidR="00D470B6" w:rsidRPr="00A53AD7" w14:paraId="41FBF6C2" w14:textId="77777777" w:rsidTr="00F46AC9">
        <w:trPr>
          <w:trHeight w:val="435"/>
        </w:trPr>
        <w:tc>
          <w:tcPr>
            <w:tcW w:w="4390" w:type="dxa"/>
            <w:vMerge w:val="restart"/>
            <w:vAlign w:val="center"/>
            <w:hideMark/>
          </w:tcPr>
          <w:p w14:paraId="521FC4C9"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объекта</w:t>
            </w:r>
          </w:p>
        </w:tc>
        <w:tc>
          <w:tcPr>
            <w:tcW w:w="3690" w:type="dxa"/>
            <w:gridSpan w:val="2"/>
          </w:tcPr>
          <w:p w14:paraId="27CD3FCF"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Контракт</w:t>
            </w:r>
          </w:p>
        </w:tc>
        <w:tc>
          <w:tcPr>
            <w:tcW w:w="1285" w:type="dxa"/>
            <w:vMerge w:val="restart"/>
          </w:tcPr>
          <w:p w14:paraId="0815A8DE"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предъявл-енных подрядчик-ом работ в цене контракта, %</w:t>
            </w:r>
          </w:p>
        </w:tc>
      </w:tr>
      <w:tr w:rsidR="00D470B6" w:rsidRPr="00A53AD7" w14:paraId="5F90E779" w14:textId="77777777" w:rsidTr="00F46AC9">
        <w:trPr>
          <w:trHeight w:val="400"/>
        </w:trPr>
        <w:tc>
          <w:tcPr>
            <w:tcW w:w="4390" w:type="dxa"/>
            <w:vMerge/>
            <w:vAlign w:val="bottom"/>
          </w:tcPr>
          <w:p w14:paraId="7A364D76"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p>
        </w:tc>
        <w:tc>
          <w:tcPr>
            <w:tcW w:w="2268" w:type="dxa"/>
          </w:tcPr>
          <w:p w14:paraId="104691AB"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дата, номер</w:t>
            </w:r>
          </w:p>
        </w:tc>
        <w:tc>
          <w:tcPr>
            <w:tcW w:w="1422" w:type="dxa"/>
          </w:tcPr>
          <w:p w14:paraId="7E4F12E0"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срок окончания работ</w:t>
            </w:r>
          </w:p>
        </w:tc>
        <w:tc>
          <w:tcPr>
            <w:tcW w:w="1285" w:type="dxa"/>
            <w:vMerge/>
          </w:tcPr>
          <w:p w14:paraId="3A941FB3"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p>
        </w:tc>
      </w:tr>
      <w:tr w:rsidR="00D470B6" w:rsidRPr="00A53AD7" w14:paraId="00D7C803" w14:textId="77777777" w:rsidTr="00F46AC9">
        <w:trPr>
          <w:trHeight w:val="434"/>
        </w:trPr>
        <w:tc>
          <w:tcPr>
            <w:tcW w:w="4390" w:type="dxa"/>
            <w:vAlign w:val="center"/>
            <w:hideMark/>
          </w:tcPr>
          <w:p w14:paraId="550CF7CE"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220 мест в с. Карпогоры Пинежского района</w:t>
            </w:r>
          </w:p>
        </w:tc>
        <w:tc>
          <w:tcPr>
            <w:tcW w:w="2268" w:type="dxa"/>
          </w:tcPr>
          <w:p w14:paraId="6D8B746C"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08.05.2019 № 0124200000619001253</w:t>
            </w:r>
          </w:p>
        </w:tc>
        <w:tc>
          <w:tcPr>
            <w:tcW w:w="1422" w:type="dxa"/>
          </w:tcPr>
          <w:p w14:paraId="19FE443B"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20.12.2019</w:t>
            </w:r>
          </w:p>
        </w:tc>
        <w:tc>
          <w:tcPr>
            <w:tcW w:w="1285" w:type="dxa"/>
          </w:tcPr>
          <w:p w14:paraId="4A8C3B9D"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w:t>
            </w:r>
          </w:p>
        </w:tc>
      </w:tr>
      <w:tr w:rsidR="00F46AC9" w:rsidRPr="00A53AD7" w14:paraId="707A295D" w14:textId="77777777" w:rsidTr="00F46AC9">
        <w:trPr>
          <w:trHeight w:val="647"/>
        </w:trPr>
        <w:tc>
          <w:tcPr>
            <w:tcW w:w="4390" w:type="dxa"/>
            <w:vAlign w:val="center"/>
            <w:hideMark/>
          </w:tcPr>
          <w:p w14:paraId="7120C3A0"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280 мест в 6 микрорайоне территориального округа Майская горка города Архангельска</w:t>
            </w:r>
          </w:p>
        </w:tc>
        <w:tc>
          <w:tcPr>
            <w:tcW w:w="2268" w:type="dxa"/>
          </w:tcPr>
          <w:p w14:paraId="10FDB53C"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21.09.2018 № 18003511</w:t>
            </w:r>
          </w:p>
        </w:tc>
        <w:tc>
          <w:tcPr>
            <w:tcW w:w="1422" w:type="dxa"/>
          </w:tcPr>
          <w:p w14:paraId="701E713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01.11.2019</w:t>
            </w:r>
          </w:p>
        </w:tc>
        <w:tc>
          <w:tcPr>
            <w:tcW w:w="1285" w:type="dxa"/>
          </w:tcPr>
          <w:p w14:paraId="5AEA7AE9"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45</w:t>
            </w:r>
          </w:p>
        </w:tc>
      </w:tr>
    </w:tbl>
    <w:p w14:paraId="1991C422" w14:textId="77777777" w:rsidR="00F46AC9" w:rsidRPr="00A53AD7" w:rsidRDefault="00F46AC9" w:rsidP="00F46AC9">
      <w:pPr>
        <w:spacing w:after="0" w:line="240" w:lineRule="auto"/>
        <w:ind w:firstLine="851"/>
        <w:jc w:val="both"/>
        <w:rPr>
          <w:rFonts w:ascii="Times New Roman" w:hAnsi="Times New Roman"/>
          <w:sz w:val="28"/>
          <w:szCs w:val="28"/>
        </w:rPr>
      </w:pPr>
    </w:p>
    <w:p w14:paraId="081DFCD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следует из пояснительной записки к отчету об исполнении областного бюджета за 2019 год в рамках реализации РП «Содействие занятости женщин» до конца 2019 года должно быть создано 1705 новых мест в детских садах для детей в возрасте от 2 месяцев до 3 лет, а создано 185 мест.</w:t>
      </w:r>
    </w:p>
    <w:p w14:paraId="01793EDD"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Однако, фактически в 2019 году были введены в эксплуатацию 2 детских сада: в Соломбальском территориальном округе города Архангельска на 125 мест и в пос. Катунино Приморского района Архангельской области на 120 мест. Соответственно, в 2019 году создано 245 дополнительных мест в дошкольных учреждениях, что составляет всего 14,37% от числа дополнительных мест, запланированных к вводу в эксплуатацию в 2019 году согласно паспорту РП «Содействие занятости женщин».</w:t>
      </w:r>
    </w:p>
    <w:p w14:paraId="236D62B4"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Соглашением № 203 (в ред. доп.соглашения от 19.07.2019 № 073-09-2019-203/2) в рамках РП «Содействие занятости женщин» определены 9 детских садов, запланированных к строительству, объем финансового обеспечения достижения результата регионального проекта составил 1 142,5 млн.руб., в том числе субсидия из федерального бюджета – 1 119,6 млн.руб.</w:t>
      </w:r>
    </w:p>
    <w:p w14:paraId="367052A2"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КСП АО считает необходимым отметить, что из 8 детских садов, строительство которых должно быть завершено в 2020 году в рамках РП «Содействие занятости женщин», 4 контракта заключено с ООО «Белый дом», а 3 контракта - с ООО «РК-Инвест». При этом, предметами всех заключенных контрактов является одновременно проектирование, строительство и ввод в эксплуатацию дошкольных учреждений.</w:t>
      </w:r>
    </w:p>
    <w:p w14:paraId="0E1EDB8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информации МРУ Росфинмониторинга по СЗФО в рамках контрактов, заключенных с ООО «Белый дом» за период с августа 2018 года по февраль 2019 года, «установлены рисковые финансовые операции на общую сумму 47,7 млн.руб., связанные с возможным выводом в теневой оборот, через счета аффилированных лиц и организаций с признаками «технические».».</w:t>
      </w:r>
    </w:p>
    <w:p w14:paraId="50D84433"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Анализируя ситуацию со строительством дошкольных учреждений в рамках Соглашения № 203, КСП АО отмечает следующее:</w:t>
      </w:r>
    </w:p>
    <w:p w14:paraId="13BD2BED"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МКУ «Управление по инфраструктурному развитию и ЖКХ» администрации МО «Онежский муниципальный район» заключен муниципальный контракт от 04.06.2019 № 21-2019 с ООО «РК-Инвест» на выполнение работы по проектированию, строительству и вводу в эксплуатацию объекта капитального строительства «Детский сад на 120 мест в поселке Малошуйка Онежского района Архангельской области». Контрактом предусмотрен аванс, который перечислен подрядчику в сумме 20,7 млн.руб.</w:t>
      </w:r>
    </w:p>
    <w:p w14:paraId="5B4ADCF1"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Работы, связанные с проектированием объекта по условиям контракта должны быть завершены до 01.07.2019 года. Однако по состоянию на 31.12.2019 проектирование не завершено в связи с необходимостью выбора иного земельного участка, так как к первоначальному земельному участку невозможно привязать здание, поскольку рядом находится здание котельной, санитарно-защитная зона которой меньше норматива.</w:t>
      </w:r>
    </w:p>
    <w:p w14:paraId="620AEC14"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в нарушение п. 2 ст. 12 Федерального закона от 30.03.1999 № 52 «О санитарно-эпидемиологическом благополучии населения» при разработке нормативов градостроительного проектирования, схем территориального планирования, генеральных планов городских и сельских поселений не соблюдены санитарные правила.</w:t>
      </w:r>
    </w:p>
    <w:p w14:paraId="580FB5FF"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Предоставление под строительство детского сада земельного участка, который не соответствует санитарным требованиям может повлечь за собой потери бюджета Архангельской области, связанные с компенсацией подрядчику его затрат, связанных с проектированием объекта;</w:t>
      </w:r>
    </w:p>
    <w:p w14:paraId="6DC5E5B4"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согласно данным Единой информационной системы в сфере закупок по состоянию 31.12.2019 по следующим контрактам имеет место значительное отставание от графика выполнения работ:</w:t>
      </w:r>
    </w:p>
    <w:tbl>
      <w:tblPr>
        <w:tblW w:w="9360"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3397"/>
        <w:gridCol w:w="1134"/>
        <w:gridCol w:w="1275"/>
        <w:gridCol w:w="1135"/>
        <w:gridCol w:w="1134"/>
        <w:gridCol w:w="1285"/>
      </w:tblGrid>
      <w:tr w:rsidR="00D470B6" w:rsidRPr="00A53AD7" w14:paraId="2FFF8EEE" w14:textId="77777777" w:rsidTr="00F46AC9">
        <w:trPr>
          <w:trHeight w:val="216"/>
          <w:tblHeader/>
        </w:trPr>
        <w:tc>
          <w:tcPr>
            <w:tcW w:w="3397" w:type="dxa"/>
            <w:vMerge w:val="restart"/>
            <w:vAlign w:val="center"/>
            <w:hideMark/>
          </w:tcPr>
          <w:p w14:paraId="5C0A2413"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Наименование объекта</w:t>
            </w:r>
          </w:p>
        </w:tc>
        <w:tc>
          <w:tcPr>
            <w:tcW w:w="4678" w:type="dxa"/>
            <w:gridSpan w:val="4"/>
          </w:tcPr>
          <w:p w14:paraId="0C16C625"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Контракт</w:t>
            </w:r>
          </w:p>
        </w:tc>
        <w:tc>
          <w:tcPr>
            <w:tcW w:w="1285" w:type="dxa"/>
            <w:vMerge w:val="restart"/>
            <w:hideMark/>
          </w:tcPr>
          <w:p w14:paraId="60BC39BA"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Доля предъявленных подрядчик-ом работ в цене контракта на 31.12.2019, %</w:t>
            </w:r>
          </w:p>
        </w:tc>
      </w:tr>
      <w:tr w:rsidR="00D470B6" w:rsidRPr="00A53AD7" w14:paraId="6CF6F337" w14:textId="77777777" w:rsidTr="00F46AC9">
        <w:trPr>
          <w:trHeight w:val="400"/>
          <w:tblHeader/>
        </w:trPr>
        <w:tc>
          <w:tcPr>
            <w:tcW w:w="3397" w:type="dxa"/>
            <w:vMerge/>
            <w:vAlign w:val="center"/>
            <w:hideMark/>
          </w:tcPr>
          <w:p w14:paraId="7A1B0BB0" w14:textId="77777777" w:rsidR="00F46AC9" w:rsidRPr="00A53AD7" w:rsidRDefault="00F46AC9" w:rsidP="00F46AC9">
            <w:pPr>
              <w:spacing w:after="0"/>
              <w:jc w:val="center"/>
              <w:rPr>
                <w:rFonts w:ascii="Times New Roman" w:eastAsia="Times New Roman" w:hAnsi="Times New Roman"/>
                <w:sz w:val="20"/>
                <w:szCs w:val="20"/>
                <w:lang w:eastAsia="ru-RU"/>
              </w:rPr>
            </w:pPr>
          </w:p>
        </w:tc>
        <w:tc>
          <w:tcPr>
            <w:tcW w:w="1134" w:type="dxa"/>
          </w:tcPr>
          <w:p w14:paraId="7A9C46DC"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подрядчик</w:t>
            </w:r>
          </w:p>
        </w:tc>
        <w:tc>
          <w:tcPr>
            <w:tcW w:w="1275" w:type="dxa"/>
          </w:tcPr>
          <w:p w14:paraId="585763BA"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плановый срок окончания работ, в том числе проектиров-ания</w:t>
            </w:r>
          </w:p>
        </w:tc>
        <w:tc>
          <w:tcPr>
            <w:tcW w:w="1135" w:type="dxa"/>
          </w:tcPr>
          <w:p w14:paraId="2B99AF83"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Фактичес-кая дата предъявления заказчику результата работ по проектиров-анию</w:t>
            </w:r>
          </w:p>
        </w:tc>
        <w:tc>
          <w:tcPr>
            <w:tcW w:w="1134" w:type="dxa"/>
          </w:tcPr>
          <w:p w14:paraId="41EEFF5E" w14:textId="77777777" w:rsidR="00F46AC9" w:rsidRPr="00A53AD7" w:rsidRDefault="00F46AC9" w:rsidP="00F46AC9">
            <w:pPr>
              <w:spacing w:after="0"/>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просрочка исполне-ния этапа по проекти-рованию, дней</w:t>
            </w:r>
          </w:p>
        </w:tc>
        <w:tc>
          <w:tcPr>
            <w:tcW w:w="1285" w:type="dxa"/>
            <w:vMerge/>
            <w:vAlign w:val="center"/>
            <w:hideMark/>
          </w:tcPr>
          <w:p w14:paraId="08C79DA2" w14:textId="77777777" w:rsidR="00F46AC9" w:rsidRPr="00A53AD7" w:rsidRDefault="00F46AC9" w:rsidP="00F46AC9">
            <w:pPr>
              <w:spacing w:after="0"/>
              <w:jc w:val="center"/>
              <w:rPr>
                <w:rFonts w:ascii="Times New Roman" w:eastAsia="Times New Roman" w:hAnsi="Times New Roman"/>
                <w:sz w:val="20"/>
                <w:szCs w:val="20"/>
                <w:lang w:eastAsia="ru-RU"/>
              </w:rPr>
            </w:pPr>
          </w:p>
        </w:tc>
      </w:tr>
      <w:tr w:rsidR="00D470B6" w:rsidRPr="00A53AD7" w14:paraId="607667CF" w14:textId="77777777" w:rsidTr="00F46AC9">
        <w:trPr>
          <w:trHeight w:val="434"/>
        </w:trPr>
        <w:tc>
          <w:tcPr>
            <w:tcW w:w="3397" w:type="dxa"/>
            <w:vAlign w:val="center"/>
          </w:tcPr>
          <w:p w14:paraId="58DD7AFE"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60 мест в пос. Боброво Приморского района Архангельской области</w:t>
            </w:r>
          </w:p>
        </w:tc>
        <w:tc>
          <w:tcPr>
            <w:tcW w:w="1134" w:type="dxa"/>
          </w:tcPr>
          <w:p w14:paraId="43C43F6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«Белый дом»</w:t>
            </w:r>
          </w:p>
        </w:tc>
        <w:tc>
          <w:tcPr>
            <w:tcW w:w="1275" w:type="dxa"/>
          </w:tcPr>
          <w:p w14:paraId="5AC17084"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01.08.2020 / 10.07.2019</w:t>
            </w:r>
          </w:p>
        </w:tc>
        <w:tc>
          <w:tcPr>
            <w:tcW w:w="1135" w:type="dxa"/>
          </w:tcPr>
          <w:p w14:paraId="4A065BD5"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27.03.2020 </w:t>
            </w:r>
          </w:p>
        </w:tc>
        <w:tc>
          <w:tcPr>
            <w:tcW w:w="1134" w:type="dxa"/>
          </w:tcPr>
          <w:p w14:paraId="70FDD916"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261</w:t>
            </w:r>
          </w:p>
        </w:tc>
        <w:tc>
          <w:tcPr>
            <w:tcW w:w="1285" w:type="dxa"/>
          </w:tcPr>
          <w:p w14:paraId="557E119C"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tc>
      </w:tr>
      <w:tr w:rsidR="00D470B6" w:rsidRPr="00A53AD7" w14:paraId="1C6613F3" w14:textId="77777777" w:rsidTr="00F46AC9">
        <w:trPr>
          <w:trHeight w:val="434"/>
        </w:trPr>
        <w:tc>
          <w:tcPr>
            <w:tcW w:w="3397" w:type="dxa"/>
            <w:vAlign w:val="center"/>
          </w:tcPr>
          <w:p w14:paraId="39795DBF"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60 мест в д. Курцево Котласского района Архангельской области</w:t>
            </w:r>
          </w:p>
        </w:tc>
        <w:tc>
          <w:tcPr>
            <w:tcW w:w="1134" w:type="dxa"/>
          </w:tcPr>
          <w:p w14:paraId="000E314C"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«Альтер-натива»</w:t>
            </w:r>
          </w:p>
        </w:tc>
        <w:tc>
          <w:tcPr>
            <w:tcW w:w="1275" w:type="dxa"/>
          </w:tcPr>
          <w:p w14:paraId="3B85D9F8"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31.07.2020 / 31.08.2019</w:t>
            </w:r>
          </w:p>
        </w:tc>
        <w:tc>
          <w:tcPr>
            <w:tcW w:w="1135" w:type="dxa"/>
          </w:tcPr>
          <w:p w14:paraId="1907E321"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01.11.2019 </w:t>
            </w:r>
          </w:p>
        </w:tc>
        <w:tc>
          <w:tcPr>
            <w:tcW w:w="1134" w:type="dxa"/>
          </w:tcPr>
          <w:p w14:paraId="5EA1168B"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61</w:t>
            </w:r>
          </w:p>
        </w:tc>
        <w:tc>
          <w:tcPr>
            <w:tcW w:w="1285" w:type="dxa"/>
          </w:tcPr>
          <w:p w14:paraId="64EABD1E"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8,28</w:t>
            </w:r>
          </w:p>
        </w:tc>
      </w:tr>
      <w:tr w:rsidR="00D470B6" w:rsidRPr="00A53AD7" w14:paraId="0FAB4199" w14:textId="77777777" w:rsidTr="00F46AC9">
        <w:trPr>
          <w:trHeight w:val="434"/>
        </w:trPr>
        <w:tc>
          <w:tcPr>
            <w:tcW w:w="3397" w:type="dxa"/>
            <w:vAlign w:val="center"/>
          </w:tcPr>
          <w:p w14:paraId="131801E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220 мест в город Мезень Архангельской области</w:t>
            </w:r>
          </w:p>
        </w:tc>
        <w:tc>
          <w:tcPr>
            <w:tcW w:w="1134" w:type="dxa"/>
          </w:tcPr>
          <w:p w14:paraId="1B0DF6B4"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«Белый дом»</w:t>
            </w:r>
          </w:p>
        </w:tc>
        <w:tc>
          <w:tcPr>
            <w:tcW w:w="1275" w:type="dxa"/>
          </w:tcPr>
          <w:p w14:paraId="01BE0D91"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30.11.2021 / 01.08.2019</w:t>
            </w:r>
          </w:p>
        </w:tc>
        <w:tc>
          <w:tcPr>
            <w:tcW w:w="1135" w:type="dxa"/>
          </w:tcPr>
          <w:p w14:paraId="731B33A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26.03.2020 </w:t>
            </w:r>
          </w:p>
        </w:tc>
        <w:tc>
          <w:tcPr>
            <w:tcW w:w="1134" w:type="dxa"/>
          </w:tcPr>
          <w:p w14:paraId="7599DF3E"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238</w:t>
            </w:r>
          </w:p>
        </w:tc>
        <w:tc>
          <w:tcPr>
            <w:tcW w:w="1285" w:type="dxa"/>
          </w:tcPr>
          <w:p w14:paraId="2B16403E"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tc>
      </w:tr>
      <w:tr w:rsidR="00D470B6" w:rsidRPr="00A53AD7" w14:paraId="6477D8B8" w14:textId="77777777" w:rsidTr="00F46AC9">
        <w:trPr>
          <w:trHeight w:val="246"/>
        </w:trPr>
        <w:tc>
          <w:tcPr>
            <w:tcW w:w="3397" w:type="dxa"/>
            <w:vAlign w:val="center"/>
          </w:tcPr>
          <w:p w14:paraId="38005177"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60 мест в г. Няндома</w:t>
            </w:r>
          </w:p>
        </w:tc>
        <w:tc>
          <w:tcPr>
            <w:tcW w:w="1134" w:type="dxa"/>
          </w:tcPr>
          <w:p w14:paraId="7F42159F"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«Белый дом»</w:t>
            </w:r>
          </w:p>
        </w:tc>
        <w:tc>
          <w:tcPr>
            <w:tcW w:w="1275" w:type="dxa"/>
          </w:tcPr>
          <w:p w14:paraId="25447B56"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01.07.2020 / 31.07.2019</w:t>
            </w:r>
          </w:p>
        </w:tc>
        <w:tc>
          <w:tcPr>
            <w:tcW w:w="1135" w:type="dxa"/>
          </w:tcPr>
          <w:p w14:paraId="4F3C4E6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25.03.2020 </w:t>
            </w:r>
          </w:p>
        </w:tc>
        <w:tc>
          <w:tcPr>
            <w:tcW w:w="1134" w:type="dxa"/>
          </w:tcPr>
          <w:p w14:paraId="5798E683"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238</w:t>
            </w:r>
          </w:p>
        </w:tc>
        <w:tc>
          <w:tcPr>
            <w:tcW w:w="1285" w:type="dxa"/>
          </w:tcPr>
          <w:p w14:paraId="1FD01DA9"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p w14:paraId="0E0EAFB8"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(контракт расторгнут 25.03.2020)</w:t>
            </w:r>
          </w:p>
        </w:tc>
      </w:tr>
      <w:tr w:rsidR="00D470B6" w:rsidRPr="00A53AD7" w14:paraId="0657E7C0" w14:textId="77777777" w:rsidTr="00F46AC9">
        <w:trPr>
          <w:trHeight w:val="246"/>
        </w:trPr>
        <w:tc>
          <w:tcPr>
            <w:tcW w:w="3397" w:type="dxa"/>
            <w:vAlign w:val="center"/>
          </w:tcPr>
          <w:p w14:paraId="64C1F17E"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280 мест в территориальном округе Варавино-Фактория города Архангельска</w:t>
            </w:r>
          </w:p>
        </w:tc>
        <w:tc>
          <w:tcPr>
            <w:tcW w:w="1134" w:type="dxa"/>
          </w:tcPr>
          <w:p w14:paraId="7F5A6921"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«РК-Инвест»</w:t>
            </w:r>
          </w:p>
        </w:tc>
        <w:tc>
          <w:tcPr>
            <w:tcW w:w="1275" w:type="dxa"/>
          </w:tcPr>
          <w:p w14:paraId="4A800894"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25.12.2020 / 19.07.2019</w:t>
            </w:r>
          </w:p>
        </w:tc>
        <w:tc>
          <w:tcPr>
            <w:tcW w:w="1135" w:type="dxa"/>
          </w:tcPr>
          <w:p w14:paraId="2CD5FDB1"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05.03.2020 </w:t>
            </w:r>
          </w:p>
        </w:tc>
        <w:tc>
          <w:tcPr>
            <w:tcW w:w="1134" w:type="dxa"/>
          </w:tcPr>
          <w:p w14:paraId="287246AB"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230</w:t>
            </w:r>
          </w:p>
        </w:tc>
        <w:tc>
          <w:tcPr>
            <w:tcW w:w="1285" w:type="dxa"/>
          </w:tcPr>
          <w:p w14:paraId="430DE005"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tc>
      </w:tr>
      <w:tr w:rsidR="00D470B6" w:rsidRPr="00A53AD7" w14:paraId="3AD1BE4E" w14:textId="77777777" w:rsidTr="00F46AC9">
        <w:trPr>
          <w:trHeight w:val="246"/>
        </w:trPr>
        <w:tc>
          <w:tcPr>
            <w:tcW w:w="3397" w:type="dxa"/>
            <w:vAlign w:val="center"/>
          </w:tcPr>
          <w:p w14:paraId="7562729C"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280 мест в территориальном округе Майская горка города Архангельска</w:t>
            </w:r>
          </w:p>
        </w:tc>
        <w:tc>
          <w:tcPr>
            <w:tcW w:w="1134" w:type="dxa"/>
          </w:tcPr>
          <w:p w14:paraId="5CD3BDE9"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«Белый дом»</w:t>
            </w:r>
          </w:p>
        </w:tc>
        <w:tc>
          <w:tcPr>
            <w:tcW w:w="1275" w:type="dxa"/>
          </w:tcPr>
          <w:p w14:paraId="42297B92"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25.12.2020 / 19.07.2019</w:t>
            </w:r>
          </w:p>
        </w:tc>
        <w:tc>
          <w:tcPr>
            <w:tcW w:w="1135" w:type="dxa"/>
          </w:tcPr>
          <w:p w14:paraId="4C766768"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20.12.2019 </w:t>
            </w:r>
          </w:p>
        </w:tc>
        <w:tc>
          <w:tcPr>
            <w:tcW w:w="1134" w:type="dxa"/>
          </w:tcPr>
          <w:p w14:paraId="7569D2AD"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154</w:t>
            </w:r>
          </w:p>
        </w:tc>
        <w:tc>
          <w:tcPr>
            <w:tcW w:w="1285" w:type="dxa"/>
          </w:tcPr>
          <w:p w14:paraId="77C42524"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11,01</w:t>
            </w:r>
          </w:p>
        </w:tc>
      </w:tr>
      <w:tr w:rsidR="00D470B6" w:rsidRPr="00A53AD7" w14:paraId="41C671F2" w14:textId="77777777" w:rsidTr="00F46AC9">
        <w:trPr>
          <w:trHeight w:val="623"/>
        </w:trPr>
        <w:tc>
          <w:tcPr>
            <w:tcW w:w="3397" w:type="dxa"/>
            <w:vAlign w:val="center"/>
          </w:tcPr>
          <w:p w14:paraId="1B7E834A"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220 мест в г. Котласе по ул. Кедрова, д. 19</w:t>
            </w:r>
          </w:p>
        </w:tc>
        <w:tc>
          <w:tcPr>
            <w:tcW w:w="1134" w:type="dxa"/>
          </w:tcPr>
          <w:p w14:paraId="5F7F7643"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«Белый дом»</w:t>
            </w:r>
          </w:p>
        </w:tc>
        <w:tc>
          <w:tcPr>
            <w:tcW w:w="1275" w:type="dxa"/>
          </w:tcPr>
          <w:p w14:paraId="37E8D403"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25.12.2020 / 15.08.2019</w:t>
            </w:r>
          </w:p>
        </w:tc>
        <w:tc>
          <w:tcPr>
            <w:tcW w:w="1135" w:type="dxa"/>
          </w:tcPr>
          <w:p w14:paraId="7A1A519A"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04.10.2019 </w:t>
            </w:r>
          </w:p>
        </w:tc>
        <w:tc>
          <w:tcPr>
            <w:tcW w:w="1134" w:type="dxa"/>
          </w:tcPr>
          <w:p w14:paraId="5EB96AF8"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50</w:t>
            </w:r>
          </w:p>
        </w:tc>
        <w:tc>
          <w:tcPr>
            <w:tcW w:w="1285" w:type="dxa"/>
          </w:tcPr>
          <w:p w14:paraId="0A4986D6"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5,31</w:t>
            </w:r>
          </w:p>
        </w:tc>
      </w:tr>
      <w:tr w:rsidR="00F46AC9" w:rsidRPr="00A53AD7" w14:paraId="14BE4D2E" w14:textId="77777777" w:rsidTr="00F46AC9">
        <w:trPr>
          <w:trHeight w:val="350"/>
        </w:trPr>
        <w:tc>
          <w:tcPr>
            <w:tcW w:w="3397" w:type="dxa"/>
            <w:vAlign w:val="center"/>
          </w:tcPr>
          <w:p w14:paraId="750E1F36"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Детский сад на 220 мест в г. Вельске</w:t>
            </w:r>
          </w:p>
        </w:tc>
        <w:tc>
          <w:tcPr>
            <w:tcW w:w="1134" w:type="dxa"/>
          </w:tcPr>
          <w:p w14:paraId="39D053B4"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ООО «РК-Инвест»</w:t>
            </w:r>
          </w:p>
        </w:tc>
        <w:tc>
          <w:tcPr>
            <w:tcW w:w="1275" w:type="dxa"/>
          </w:tcPr>
          <w:p w14:paraId="0827E840"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31.12.2020 / 19.07.2019</w:t>
            </w:r>
          </w:p>
        </w:tc>
        <w:tc>
          <w:tcPr>
            <w:tcW w:w="1135" w:type="dxa"/>
          </w:tcPr>
          <w:p w14:paraId="7E059A24" w14:textId="77777777" w:rsidR="00F46AC9" w:rsidRPr="00A53AD7" w:rsidRDefault="00F46AC9" w:rsidP="00F46AC9">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07.04.2020 </w:t>
            </w:r>
          </w:p>
        </w:tc>
        <w:tc>
          <w:tcPr>
            <w:tcW w:w="1134" w:type="dxa"/>
          </w:tcPr>
          <w:p w14:paraId="37F74E71"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263</w:t>
            </w:r>
          </w:p>
        </w:tc>
        <w:tc>
          <w:tcPr>
            <w:tcW w:w="1285" w:type="dxa"/>
          </w:tcPr>
          <w:p w14:paraId="2589062A" w14:textId="77777777" w:rsidR="00F46AC9" w:rsidRPr="00A53AD7" w:rsidRDefault="00F46AC9" w:rsidP="00F46AC9">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0,00</w:t>
            </w:r>
          </w:p>
        </w:tc>
      </w:tr>
    </w:tbl>
    <w:p w14:paraId="63A3A1F8" w14:textId="77777777" w:rsidR="00F46AC9" w:rsidRPr="00A53AD7" w:rsidRDefault="00F46AC9" w:rsidP="00F46AC9">
      <w:pPr>
        <w:spacing w:after="0" w:line="240" w:lineRule="auto"/>
        <w:ind w:firstLine="851"/>
        <w:jc w:val="both"/>
        <w:rPr>
          <w:rFonts w:ascii="Times New Roman" w:hAnsi="Times New Roman"/>
          <w:sz w:val="28"/>
          <w:szCs w:val="28"/>
        </w:rPr>
      </w:pPr>
    </w:p>
    <w:p w14:paraId="17899325" w14:textId="5D50C8CB"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 всем контрактам наблюдается отставание от графика уже на стадии проектирования. ООО «Белый дом» допускало просрочку исполнения контрактов при выполнении работ по проектированию на срок от 50 до 261 дня, а ООО «РК-Инвест» - от 230 до 263 дней.</w:t>
      </w:r>
    </w:p>
    <w:p w14:paraId="13DEA313"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Согласно пояснительной записке к отчету об исполнении областного бюджета за 2019 год, предъявляемая на государственную экспертизу проектная документация получает многочисленные замечания, в связи с чем требуется время на их устранение.</w:t>
      </w:r>
    </w:p>
    <w:p w14:paraId="5F22BEF5"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 Объединение в одном контракте работ по проектированию и строительству приводит к невозможности участия в конкурсах и аукционах квалифицированных организаций, выполняющих только работы по проектированию и только по строительству объектов.</w:t>
      </w:r>
    </w:p>
    <w:p w14:paraId="5304998A"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КСП АО по результатам проводимых контрольных мероприятий отмечает, что при реализации подрядчиками контрактов, предметами которых являются одновременно проектирование и строительство объектов, имеет место значительное количество вносимых в проектную документацию изменений и дополнений, которые в числе прочих причин приводят к срыву сроков строительства. </w:t>
      </w:r>
    </w:p>
    <w:p w14:paraId="7283297B" w14:textId="7CB3D006"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Указанные выше обстоятельства увеличивают риски, связанные с несвоевременным вводом детских садов в эксплуатацию и, соответственно, риски недостижения результативных показателей РП «Содействие занятости </w:t>
      </w:r>
      <w:r w:rsidR="00B35323" w:rsidRPr="00A53AD7">
        <w:rPr>
          <w:rFonts w:ascii="Times New Roman" w:hAnsi="Times New Roman"/>
          <w:sz w:val="28"/>
          <w:szCs w:val="28"/>
        </w:rPr>
        <w:t>женщин» в последующих периодах.</w:t>
      </w:r>
    </w:p>
    <w:p w14:paraId="2CDB5888"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крайне низкие темпы реализации мероприятия по созданию дополнительных мест для детей в возрасте от 1,5 до 3 лет, за 2019 год на эти цели израсходовано только 6,1% от уточненной сводной бюджетной росписи.</w:t>
      </w:r>
    </w:p>
    <w:p w14:paraId="75E03531"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создание дополнительных мест для детей в возрасте от 2 месяцев до 3 лет были израсходованы средства на общую сумму 278,5 млн. руб., которые не предусмотрены паспортом РП, поскольку строительство ряда дошкольных учреждений было начато до 2019 года. Указанные денежные средства предоставлены в рамках соглашения о предоставлении иного межбюджетного трансферта из федерального бюджета от 14.05.2018 № 074-17-2018-004.</w:t>
      </w:r>
    </w:p>
    <w:p w14:paraId="35658632"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отчете о ходе реализации РП «Содействие занятости женщин» на 31.12.2019 (раздел 3. Сведения об исполнении бюджета) отражена следующая информация:</w:t>
      </w:r>
    </w:p>
    <w:p w14:paraId="12DA0D80" w14:textId="77777777" w:rsidR="00F46AC9" w:rsidRPr="00A53AD7" w:rsidRDefault="00F46AC9" w:rsidP="00F46AC9">
      <w:pPr>
        <w:tabs>
          <w:tab w:val="left" w:pos="993"/>
        </w:tabs>
        <w:spacing w:after="0" w:line="320" w:lineRule="atLeast"/>
        <w:ind w:firstLine="709"/>
        <w:contextualSpacing/>
        <w:jc w:val="right"/>
        <w:rPr>
          <w:rFonts w:ascii="Times New Roman" w:eastAsia="Times New Roman" w:hAnsi="Times New Roman"/>
          <w:sz w:val="24"/>
          <w:szCs w:val="24"/>
          <w:lang w:eastAsia="x-none"/>
        </w:rPr>
      </w:pPr>
      <w:r w:rsidRPr="00A53AD7">
        <w:rPr>
          <w:rFonts w:ascii="Times New Roman" w:eastAsia="Times New Roman" w:hAnsi="Times New Roman"/>
          <w:sz w:val="24"/>
          <w:szCs w:val="24"/>
          <w:lang w:eastAsia="x-none"/>
        </w:rPr>
        <w:t>млн. руб.</w:t>
      </w:r>
    </w:p>
    <w:tbl>
      <w:tblPr>
        <w:tblW w:w="9367" w:type="dxa"/>
        <w:tblInd w:w="-23" w:type="dxa"/>
        <w:tblBorders>
          <w:top w:val="double" w:sz="2" w:space="0" w:color="auto"/>
          <w:left w:val="double" w:sz="2" w:space="0" w:color="auto"/>
          <w:bottom w:val="double" w:sz="2" w:space="0" w:color="auto"/>
          <w:right w:val="double" w:sz="2" w:space="0" w:color="auto"/>
          <w:insideH w:val="single" w:sz="6" w:space="0" w:color="auto"/>
          <w:insideV w:val="single" w:sz="6" w:space="0" w:color="auto"/>
        </w:tblBorders>
        <w:tblLayout w:type="fixed"/>
        <w:tblLook w:val="04A0" w:firstRow="1" w:lastRow="0" w:firstColumn="1" w:lastColumn="0" w:noHBand="0" w:noVBand="1"/>
      </w:tblPr>
      <w:tblGrid>
        <w:gridCol w:w="4835"/>
        <w:gridCol w:w="1418"/>
        <w:gridCol w:w="989"/>
        <w:gridCol w:w="992"/>
        <w:gridCol w:w="1133"/>
      </w:tblGrid>
      <w:tr w:rsidR="00D470B6" w:rsidRPr="00A53AD7" w14:paraId="269E7DCA" w14:textId="77777777" w:rsidTr="00F46AC9">
        <w:trPr>
          <w:trHeight w:val="596"/>
        </w:trPr>
        <w:tc>
          <w:tcPr>
            <w:tcW w:w="4835" w:type="dxa"/>
            <w:vAlign w:val="center"/>
            <w:hideMark/>
          </w:tcPr>
          <w:p w14:paraId="5244991A" w14:textId="77777777" w:rsidR="00F46AC9" w:rsidRPr="00A53AD7" w:rsidRDefault="00F46AC9" w:rsidP="00F46AC9">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Наименование показателя</w:t>
            </w:r>
          </w:p>
        </w:tc>
        <w:tc>
          <w:tcPr>
            <w:tcW w:w="1418" w:type="dxa"/>
            <w:shd w:val="clear" w:color="auto" w:fill="FFFFFF"/>
            <w:vAlign w:val="center"/>
          </w:tcPr>
          <w:p w14:paraId="2CB25DBA" w14:textId="77777777" w:rsidR="00F46AC9" w:rsidRPr="00A53AD7" w:rsidRDefault="00F46AC9" w:rsidP="00F46AC9">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Предусмотрено паспортом регионального проекта</w:t>
            </w:r>
          </w:p>
        </w:tc>
        <w:tc>
          <w:tcPr>
            <w:tcW w:w="989" w:type="dxa"/>
            <w:shd w:val="clear" w:color="auto" w:fill="FFFFFF"/>
            <w:vAlign w:val="center"/>
          </w:tcPr>
          <w:p w14:paraId="51C275E5" w14:textId="77777777" w:rsidR="00F46AC9" w:rsidRPr="00A53AD7" w:rsidRDefault="00F46AC9" w:rsidP="00F46AC9">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Сводная бюджетная роспись</w:t>
            </w:r>
          </w:p>
        </w:tc>
        <w:tc>
          <w:tcPr>
            <w:tcW w:w="992" w:type="dxa"/>
            <w:shd w:val="clear" w:color="auto" w:fill="FFFFFF"/>
            <w:vAlign w:val="center"/>
          </w:tcPr>
          <w:p w14:paraId="2C31BD6A" w14:textId="77777777" w:rsidR="00F46AC9" w:rsidRPr="00A53AD7" w:rsidRDefault="00F46AC9" w:rsidP="00F46AC9">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Кассовое исполнение за 2019 год</w:t>
            </w:r>
          </w:p>
        </w:tc>
        <w:tc>
          <w:tcPr>
            <w:tcW w:w="1133" w:type="dxa"/>
            <w:shd w:val="clear" w:color="auto" w:fill="FFFFFF"/>
            <w:vAlign w:val="center"/>
          </w:tcPr>
          <w:p w14:paraId="0B3C6294" w14:textId="77777777" w:rsidR="00F46AC9" w:rsidRPr="00A53AD7" w:rsidRDefault="00F46AC9" w:rsidP="00F46AC9">
            <w:pPr>
              <w:spacing w:after="0" w:line="240" w:lineRule="auto"/>
              <w:ind w:right="35"/>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Процент исполнения</w:t>
            </w:r>
          </w:p>
        </w:tc>
      </w:tr>
      <w:tr w:rsidR="00D470B6" w:rsidRPr="00A53AD7" w14:paraId="59F3CA55" w14:textId="77777777" w:rsidTr="00F46AC9">
        <w:trPr>
          <w:trHeight w:val="740"/>
        </w:trPr>
        <w:tc>
          <w:tcPr>
            <w:tcW w:w="4835" w:type="dxa"/>
            <w:vAlign w:val="center"/>
          </w:tcPr>
          <w:p w14:paraId="294C86CD" w14:textId="77777777" w:rsidR="00F46AC9" w:rsidRPr="00A53AD7" w:rsidRDefault="00F46AC9" w:rsidP="00F46AC9">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Создание дополнительных мест для детей в возрасте до 3 лет в образовательных организациях, осуществляющих образовательную деятельность по образовательным программам дошкольного образования, всего</w:t>
            </w:r>
          </w:p>
        </w:tc>
        <w:tc>
          <w:tcPr>
            <w:tcW w:w="1418" w:type="dxa"/>
            <w:shd w:val="clear" w:color="auto" w:fill="FFFFFF"/>
            <w:vAlign w:val="center"/>
          </w:tcPr>
          <w:p w14:paraId="77DC26D5"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919,2</w:t>
            </w:r>
          </w:p>
        </w:tc>
        <w:tc>
          <w:tcPr>
            <w:tcW w:w="989" w:type="dxa"/>
            <w:shd w:val="clear" w:color="auto" w:fill="FFFFFF"/>
            <w:vAlign w:val="center"/>
          </w:tcPr>
          <w:p w14:paraId="53CABAB4"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919,2</w:t>
            </w:r>
          </w:p>
        </w:tc>
        <w:tc>
          <w:tcPr>
            <w:tcW w:w="992" w:type="dxa"/>
            <w:shd w:val="clear" w:color="auto" w:fill="FFFFFF"/>
            <w:vAlign w:val="center"/>
          </w:tcPr>
          <w:p w14:paraId="23697903"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564,8</w:t>
            </w:r>
          </w:p>
        </w:tc>
        <w:tc>
          <w:tcPr>
            <w:tcW w:w="1133" w:type="dxa"/>
            <w:shd w:val="clear" w:color="auto" w:fill="FFFFFF"/>
            <w:vAlign w:val="center"/>
          </w:tcPr>
          <w:p w14:paraId="205437F7"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61,45</w:t>
            </w:r>
          </w:p>
        </w:tc>
      </w:tr>
      <w:tr w:rsidR="00D470B6" w:rsidRPr="00A53AD7" w14:paraId="1A5F411A" w14:textId="77777777" w:rsidTr="00F46AC9">
        <w:trPr>
          <w:trHeight w:hRule="exact" w:val="255"/>
        </w:trPr>
        <w:tc>
          <w:tcPr>
            <w:tcW w:w="4835" w:type="dxa"/>
            <w:vAlign w:val="center"/>
          </w:tcPr>
          <w:p w14:paraId="78A60348"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418" w:type="dxa"/>
            <w:shd w:val="clear" w:color="auto" w:fill="FFFFFF"/>
            <w:vAlign w:val="center"/>
          </w:tcPr>
          <w:p w14:paraId="13D8CA49"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89" w:type="dxa"/>
            <w:shd w:val="clear" w:color="auto" w:fill="FFFFFF"/>
            <w:vAlign w:val="center"/>
          </w:tcPr>
          <w:p w14:paraId="7ED4FFFF"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92" w:type="dxa"/>
            <w:shd w:val="clear" w:color="auto" w:fill="FFFFFF"/>
            <w:vAlign w:val="center"/>
          </w:tcPr>
          <w:p w14:paraId="4C6DE3A7"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1133" w:type="dxa"/>
            <w:shd w:val="clear" w:color="auto" w:fill="FFFFFF"/>
            <w:vAlign w:val="center"/>
          </w:tcPr>
          <w:p w14:paraId="2EC36DFD"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r>
      <w:tr w:rsidR="00D470B6" w:rsidRPr="00A53AD7" w14:paraId="6F9C880A" w14:textId="77777777" w:rsidTr="00F46AC9">
        <w:trPr>
          <w:trHeight w:hRule="exact" w:val="255"/>
        </w:trPr>
        <w:tc>
          <w:tcPr>
            <w:tcW w:w="4835" w:type="dxa"/>
            <w:vAlign w:val="center"/>
          </w:tcPr>
          <w:p w14:paraId="53515324"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консолидированный бюджет субъекта Российской Федерации</w:t>
            </w:r>
          </w:p>
        </w:tc>
        <w:tc>
          <w:tcPr>
            <w:tcW w:w="1418" w:type="dxa"/>
            <w:shd w:val="clear" w:color="auto" w:fill="FFFFFF"/>
            <w:vAlign w:val="center"/>
          </w:tcPr>
          <w:p w14:paraId="71EF7DF7"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919,2</w:t>
            </w:r>
          </w:p>
        </w:tc>
        <w:tc>
          <w:tcPr>
            <w:tcW w:w="989" w:type="dxa"/>
            <w:shd w:val="clear" w:color="auto" w:fill="FFFFFF"/>
            <w:vAlign w:val="center"/>
          </w:tcPr>
          <w:p w14:paraId="0BC07088"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919,2</w:t>
            </w:r>
          </w:p>
        </w:tc>
        <w:tc>
          <w:tcPr>
            <w:tcW w:w="992" w:type="dxa"/>
            <w:shd w:val="clear" w:color="auto" w:fill="FFFFFF"/>
            <w:vAlign w:val="center"/>
          </w:tcPr>
          <w:p w14:paraId="70A9D85C"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564,8</w:t>
            </w:r>
          </w:p>
        </w:tc>
        <w:tc>
          <w:tcPr>
            <w:tcW w:w="1133" w:type="dxa"/>
            <w:shd w:val="clear" w:color="auto" w:fill="FFFFFF"/>
            <w:vAlign w:val="center"/>
          </w:tcPr>
          <w:p w14:paraId="3EDE4226"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61,45</w:t>
            </w:r>
          </w:p>
        </w:tc>
      </w:tr>
      <w:tr w:rsidR="00D470B6" w:rsidRPr="00A53AD7" w14:paraId="1944D90B" w14:textId="77777777" w:rsidTr="00F46AC9">
        <w:trPr>
          <w:trHeight w:val="280"/>
        </w:trPr>
        <w:tc>
          <w:tcPr>
            <w:tcW w:w="4835" w:type="dxa"/>
            <w:vAlign w:val="center"/>
          </w:tcPr>
          <w:p w14:paraId="631BD879" w14:textId="77777777" w:rsidR="00F46AC9" w:rsidRPr="00A53AD7" w:rsidRDefault="00F46AC9" w:rsidP="00F46AC9">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Создание дополнительных мест для детей в возрасте от 1,5 до 3 лет в образовательных организациях, осуществляющих образовательную деятельность по образовательным программам дошкольного образования, всего</w:t>
            </w:r>
          </w:p>
        </w:tc>
        <w:tc>
          <w:tcPr>
            <w:tcW w:w="1418" w:type="dxa"/>
            <w:vAlign w:val="center"/>
          </w:tcPr>
          <w:p w14:paraId="3E4C8913"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1 142,5</w:t>
            </w:r>
          </w:p>
        </w:tc>
        <w:tc>
          <w:tcPr>
            <w:tcW w:w="989" w:type="dxa"/>
            <w:noWrap/>
            <w:vAlign w:val="center"/>
          </w:tcPr>
          <w:p w14:paraId="1933860E"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1 142,5</w:t>
            </w:r>
          </w:p>
        </w:tc>
        <w:tc>
          <w:tcPr>
            <w:tcW w:w="992" w:type="dxa"/>
            <w:vAlign w:val="center"/>
          </w:tcPr>
          <w:p w14:paraId="68AA8CFE"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70,2</w:t>
            </w:r>
          </w:p>
        </w:tc>
        <w:tc>
          <w:tcPr>
            <w:tcW w:w="1133" w:type="dxa"/>
            <w:vAlign w:val="center"/>
          </w:tcPr>
          <w:p w14:paraId="71EFD82B"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6,14</w:t>
            </w:r>
          </w:p>
        </w:tc>
      </w:tr>
      <w:tr w:rsidR="00D470B6" w:rsidRPr="00A53AD7" w14:paraId="759D7C70" w14:textId="77777777" w:rsidTr="00F46AC9">
        <w:trPr>
          <w:trHeight w:hRule="exact" w:val="255"/>
        </w:trPr>
        <w:tc>
          <w:tcPr>
            <w:tcW w:w="4835" w:type="dxa"/>
            <w:vAlign w:val="center"/>
          </w:tcPr>
          <w:p w14:paraId="0147325F"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418" w:type="dxa"/>
            <w:vAlign w:val="center"/>
          </w:tcPr>
          <w:p w14:paraId="236422E8"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89" w:type="dxa"/>
            <w:noWrap/>
            <w:vAlign w:val="center"/>
          </w:tcPr>
          <w:p w14:paraId="539BE131"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92" w:type="dxa"/>
            <w:vAlign w:val="center"/>
          </w:tcPr>
          <w:p w14:paraId="1E1B0203"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1133" w:type="dxa"/>
            <w:vAlign w:val="center"/>
          </w:tcPr>
          <w:p w14:paraId="0D28E9C9"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r>
      <w:tr w:rsidR="00D470B6" w:rsidRPr="00A53AD7" w14:paraId="1F5CF9CD" w14:textId="77777777" w:rsidTr="00F46AC9">
        <w:trPr>
          <w:trHeight w:hRule="exact" w:val="255"/>
        </w:trPr>
        <w:tc>
          <w:tcPr>
            <w:tcW w:w="4835" w:type="dxa"/>
            <w:vAlign w:val="center"/>
          </w:tcPr>
          <w:p w14:paraId="35BBCC46"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консолидированный бюджет субъекта Российской Федерации</w:t>
            </w:r>
          </w:p>
        </w:tc>
        <w:tc>
          <w:tcPr>
            <w:tcW w:w="1418" w:type="dxa"/>
            <w:vAlign w:val="center"/>
          </w:tcPr>
          <w:p w14:paraId="00986F60"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1 142,5</w:t>
            </w:r>
          </w:p>
        </w:tc>
        <w:tc>
          <w:tcPr>
            <w:tcW w:w="989" w:type="dxa"/>
            <w:noWrap/>
            <w:vAlign w:val="center"/>
          </w:tcPr>
          <w:p w14:paraId="72F57676"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1 142,5</w:t>
            </w:r>
          </w:p>
        </w:tc>
        <w:tc>
          <w:tcPr>
            <w:tcW w:w="992" w:type="dxa"/>
            <w:vAlign w:val="center"/>
          </w:tcPr>
          <w:p w14:paraId="4DCE7CBC"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70,2</w:t>
            </w:r>
          </w:p>
        </w:tc>
        <w:tc>
          <w:tcPr>
            <w:tcW w:w="1133" w:type="dxa"/>
            <w:vAlign w:val="center"/>
          </w:tcPr>
          <w:p w14:paraId="05942506"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6,14</w:t>
            </w:r>
          </w:p>
        </w:tc>
      </w:tr>
      <w:tr w:rsidR="00D470B6" w:rsidRPr="00A53AD7" w14:paraId="7EE319C9" w14:textId="77777777" w:rsidTr="00F46AC9">
        <w:trPr>
          <w:trHeight w:hRule="exact" w:val="255"/>
        </w:trPr>
        <w:tc>
          <w:tcPr>
            <w:tcW w:w="4835" w:type="dxa"/>
            <w:vAlign w:val="center"/>
          </w:tcPr>
          <w:p w14:paraId="4CE7DDCD" w14:textId="77777777" w:rsidR="00F46AC9" w:rsidRPr="00A53AD7" w:rsidRDefault="00F46AC9" w:rsidP="00F46AC9">
            <w:pPr>
              <w:spacing w:after="0" w:line="240" w:lineRule="auto"/>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Итого</w:t>
            </w:r>
          </w:p>
        </w:tc>
        <w:tc>
          <w:tcPr>
            <w:tcW w:w="1418" w:type="dxa"/>
            <w:vAlign w:val="center"/>
          </w:tcPr>
          <w:p w14:paraId="7634E161"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2 061,7</w:t>
            </w:r>
          </w:p>
        </w:tc>
        <w:tc>
          <w:tcPr>
            <w:tcW w:w="989" w:type="dxa"/>
            <w:noWrap/>
            <w:vAlign w:val="center"/>
          </w:tcPr>
          <w:p w14:paraId="65B73342"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2 061,7</w:t>
            </w:r>
          </w:p>
        </w:tc>
        <w:tc>
          <w:tcPr>
            <w:tcW w:w="992" w:type="dxa"/>
            <w:vAlign w:val="center"/>
          </w:tcPr>
          <w:p w14:paraId="40364FE8"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635,0</w:t>
            </w:r>
          </w:p>
        </w:tc>
        <w:tc>
          <w:tcPr>
            <w:tcW w:w="1133" w:type="dxa"/>
            <w:vAlign w:val="center"/>
          </w:tcPr>
          <w:p w14:paraId="7EA44474"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30,80</w:t>
            </w:r>
          </w:p>
        </w:tc>
      </w:tr>
      <w:tr w:rsidR="00D470B6" w:rsidRPr="00A53AD7" w14:paraId="3AA1585F" w14:textId="77777777" w:rsidTr="00F46AC9">
        <w:trPr>
          <w:trHeight w:hRule="exact" w:val="255"/>
        </w:trPr>
        <w:tc>
          <w:tcPr>
            <w:tcW w:w="4835" w:type="dxa"/>
            <w:vAlign w:val="center"/>
          </w:tcPr>
          <w:p w14:paraId="696139C4"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в том числе:</w:t>
            </w:r>
          </w:p>
        </w:tc>
        <w:tc>
          <w:tcPr>
            <w:tcW w:w="1418" w:type="dxa"/>
            <w:vAlign w:val="center"/>
          </w:tcPr>
          <w:p w14:paraId="51F1F6E2"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89" w:type="dxa"/>
            <w:noWrap/>
            <w:vAlign w:val="center"/>
          </w:tcPr>
          <w:p w14:paraId="4A991E68"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992" w:type="dxa"/>
            <w:vAlign w:val="center"/>
          </w:tcPr>
          <w:p w14:paraId="6F30619B"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c>
          <w:tcPr>
            <w:tcW w:w="1133" w:type="dxa"/>
            <w:vAlign w:val="center"/>
          </w:tcPr>
          <w:p w14:paraId="2E1D71BE"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p>
        </w:tc>
      </w:tr>
      <w:tr w:rsidR="00F46AC9" w:rsidRPr="00A53AD7" w14:paraId="592EE588" w14:textId="77777777" w:rsidTr="00F46AC9">
        <w:trPr>
          <w:trHeight w:hRule="exact" w:val="255"/>
        </w:trPr>
        <w:tc>
          <w:tcPr>
            <w:tcW w:w="4835" w:type="dxa"/>
            <w:vAlign w:val="center"/>
          </w:tcPr>
          <w:p w14:paraId="5AC7FFE3" w14:textId="77777777" w:rsidR="00F46AC9" w:rsidRPr="00A53AD7" w:rsidRDefault="00F46AC9" w:rsidP="00F46AC9">
            <w:pPr>
              <w:spacing w:after="0" w:line="240" w:lineRule="auto"/>
              <w:ind w:left="336"/>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консолидированный бюджет субъекта Российской Федерации</w:t>
            </w:r>
          </w:p>
        </w:tc>
        <w:tc>
          <w:tcPr>
            <w:tcW w:w="1418" w:type="dxa"/>
            <w:vAlign w:val="center"/>
          </w:tcPr>
          <w:p w14:paraId="45B09D54"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2 061,7</w:t>
            </w:r>
          </w:p>
        </w:tc>
        <w:tc>
          <w:tcPr>
            <w:tcW w:w="989" w:type="dxa"/>
            <w:noWrap/>
            <w:vAlign w:val="center"/>
          </w:tcPr>
          <w:p w14:paraId="23906EA4"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2 061,7</w:t>
            </w:r>
          </w:p>
        </w:tc>
        <w:tc>
          <w:tcPr>
            <w:tcW w:w="992" w:type="dxa"/>
            <w:vAlign w:val="center"/>
          </w:tcPr>
          <w:p w14:paraId="76F15C39"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635,0</w:t>
            </w:r>
          </w:p>
        </w:tc>
        <w:tc>
          <w:tcPr>
            <w:tcW w:w="1133" w:type="dxa"/>
            <w:vAlign w:val="center"/>
          </w:tcPr>
          <w:p w14:paraId="246BDDF6" w14:textId="77777777" w:rsidR="00F46AC9" w:rsidRPr="00A53AD7" w:rsidRDefault="00F46AC9" w:rsidP="00F46AC9">
            <w:pPr>
              <w:spacing w:after="0" w:line="240" w:lineRule="auto"/>
              <w:jc w:val="right"/>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30,80</w:t>
            </w:r>
          </w:p>
        </w:tc>
      </w:tr>
    </w:tbl>
    <w:p w14:paraId="772870F6" w14:textId="77777777" w:rsidR="00F46AC9" w:rsidRPr="00A53AD7" w:rsidRDefault="00F46AC9" w:rsidP="00F46AC9">
      <w:pPr>
        <w:spacing w:after="0" w:line="240" w:lineRule="auto"/>
        <w:ind w:firstLine="851"/>
        <w:jc w:val="both"/>
        <w:rPr>
          <w:rFonts w:ascii="Times New Roman" w:hAnsi="Times New Roman"/>
          <w:sz w:val="28"/>
          <w:szCs w:val="28"/>
        </w:rPr>
      </w:pPr>
    </w:p>
    <w:p w14:paraId="65829669" w14:textId="77777777" w:rsidR="00F46AC9" w:rsidRPr="00A53AD7" w:rsidRDefault="00F46AC9" w:rsidP="00F46AC9">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по результатам оценки достижения результатов РП «Содействие занятости женщин» установлено:</w:t>
      </w:r>
    </w:p>
    <w:p w14:paraId="5DD11C86" w14:textId="77777777" w:rsidR="00F46AC9" w:rsidRPr="00A53AD7" w:rsidRDefault="00F46AC9" w:rsidP="00CA1DDD">
      <w:pPr>
        <w:pStyle w:val="a8"/>
        <w:numPr>
          <w:ilvl w:val="0"/>
          <w:numId w:val="45"/>
        </w:numPr>
        <w:ind w:left="0" w:firstLine="851"/>
        <w:jc w:val="both"/>
        <w:rPr>
          <w:sz w:val="28"/>
          <w:szCs w:val="28"/>
        </w:rPr>
      </w:pPr>
      <w:r w:rsidRPr="00A53AD7">
        <w:rPr>
          <w:sz w:val="28"/>
          <w:szCs w:val="28"/>
        </w:rPr>
        <w:t>цели РП «Содействие занятости женщин» (1705 дополнительных мест), определенные на 2019 год, не достигнуты, в 2019 году создано 245 дополнительных мест в дошкольных учреждениях, что составляет всего 14,37% от числа дополнительных мест, запланированных к вводу в эксплуатацию в 2019 году согласно паспорту РП «Содействие занятости женщин»;</w:t>
      </w:r>
    </w:p>
    <w:p w14:paraId="3A402D7A" w14:textId="059BCBC3" w:rsidR="00F46AC9" w:rsidRPr="00A53AD7" w:rsidRDefault="00F46AC9" w:rsidP="00CA1DDD">
      <w:pPr>
        <w:pStyle w:val="a8"/>
        <w:numPr>
          <w:ilvl w:val="0"/>
          <w:numId w:val="45"/>
        </w:numPr>
        <w:ind w:left="0" w:firstLine="851"/>
        <w:jc w:val="both"/>
        <w:rPr>
          <w:sz w:val="28"/>
          <w:szCs w:val="28"/>
        </w:rPr>
      </w:pPr>
      <w:r w:rsidRPr="00A53AD7">
        <w:rPr>
          <w:sz w:val="28"/>
          <w:szCs w:val="28"/>
        </w:rPr>
        <w:t>существуют риски недостижения результата РП «Содействие занятости женщин» в 2020 году и последующих периодах, поскольку по состоянию на 31.12.2019 по всем контрактам, которые заключены в 2019 году с условием сдачи объектов в 2020 году, наблюдается значительное отставание от графика уже на стадии проектирования (просрочка составляет от 50 до 263 дней). Кроме того, контракт на строительство детского сада на 60 мест в г. Няндома расторгнут по соглашению сторон 25.03.2020 года, несмотря на переданную заказчику проектно-сметную документацию. Строительство детского сада на 120 мест в поселке Малошуйка Онежского района Архангельской области приостановлено на стадии проектирования, поскольку предусмотренный для строительства земельный участок не соответствует санитарным требованиям.</w:t>
      </w:r>
    </w:p>
    <w:p w14:paraId="6F7253C7" w14:textId="4917C0C1" w:rsidR="001E1920" w:rsidRPr="00A53AD7" w:rsidRDefault="001E1920" w:rsidP="001E1920">
      <w:pPr>
        <w:keepNext/>
        <w:spacing w:before="240" w:after="60" w:line="240" w:lineRule="auto"/>
        <w:jc w:val="center"/>
        <w:outlineLvl w:val="2"/>
        <w:rPr>
          <w:rFonts w:ascii="Times New Roman" w:eastAsia="Times New Roman" w:hAnsi="Times New Roman"/>
          <w:bCs/>
          <w:sz w:val="28"/>
          <w:szCs w:val="28"/>
          <w:u w:val="single"/>
          <w:lang w:eastAsia="ru-RU"/>
        </w:rPr>
      </w:pPr>
      <w:bookmarkStart w:id="117" w:name="_Toc42006756"/>
      <w:r w:rsidRPr="00A53AD7">
        <w:rPr>
          <w:rFonts w:ascii="Times New Roman" w:eastAsia="Times New Roman" w:hAnsi="Times New Roman"/>
          <w:bCs/>
          <w:sz w:val="28"/>
          <w:szCs w:val="28"/>
          <w:u w:val="single"/>
          <w:lang w:eastAsia="ru-RU"/>
        </w:rPr>
        <w:t>4.6.11. Национальный проект «Здравоохранение»</w:t>
      </w:r>
      <w:bookmarkEnd w:id="117"/>
    </w:p>
    <w:p w14:paraId="3B841E6B" w14:textId="3FE9314A"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отчетном периоде в рамках выполнения мероприятий государственной программы Архангельской области «Развитие здравоохранения Архангельской области (2013 - 2024 годы)» минздравом АО реализуются следующие федеральные проекты национального проекта «Здравоохранение»:</w:t>
      </w:r>
    </w:p>
    <w:p w14:paraId="568FD226"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«Развитие системы оказания первичной медико-санитарной помощи»;</w:t>
      </w:r>
    </w:p>
    <w:p w14:paraId="667DEF7E"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«Борьба с сердечно-сосудистыми заболеваниями;</w:t>
      </w:r>
    </w:p>
    <w:p w14:paraId="0859A000"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«Борьба с онкологическими заболеваниями»;</w:t>
      </w:r>
    </w:p>
    <w:p w14:paraId="715BD0B3"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«Развитие детского здравоохранения, включая создание современной инфраструктуры оказания медицинской помощи»;</w:t>
      </w:r>
    </w:p>
    <w:p w14:paraId="6A6265C6"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«Обеспечение медицинских организаций системы здравоохранения квалифицированными кадрами»;</w:t>
      </w:r>
    </w:p>
    <w:p w14:paraId="5BE75BC8"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«Создание единого цифрового контура в здравоохранении на основе единой государственной информационной системы в сфере здравоохранения (ЕГИСЗ)»;</w:t>
      </w:r>
    </w:p>
    <w:p w14:paraId="55B8F55A"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«Развитие экспорта медицинских услуг».</w:t>
      </w:r>
    </w:p>
    <w:p w14:paraId="33A9548A" w14:textId="5329740E"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национального проекта «Здравоохранение» в 2019 году в рамках госпрограммы с Министерством здравоохранения РФ заключены 4 соглашения о предоставлении иного межбюджетного трансферта и 3 соглашения о предоставлении субсидии из федерального бюджета, а также 7 соглашений о реализации соответствующих региональных проектов.</w:t>
      </w:r>
    </w:p>
    <w:p w14:paraId="021CF99E" w14:textId="3DC06473"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рамках госпрограммы, уточненной бюджетной росписью на 2019 год на реализацию национального проекта «Здравоохранение» в целом по 5 региональным проектам предусмотрены бюджетные ассигнования в общем объеме 940,2 млн.руб. или 5,2 % от расходов по госпрограмме, утвержденных сводной бюджетной росписью на 2019 год, в том числе: средства федерального бюджета 873,4 млн.руб., средства областного бюджета 66,8 млн.руб. </w:t>
      </w:r>
    </w:p>
    <w:p w14:paraId="2CA0E0D1" w14:textId="13862C35"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кассовое исполнение национального проекта «Здравоохранение» по госпрограмме в целом по 5 региональным проектам составило 940,2 млн.руб. или 100% к сводной бюджетной росписи, освоено 921,7</w:t>
      </w:r>
      <w:r w:rsidR="008D4148" w:rsidRPr="00A53AD7">
        <w:rPr>
          <w:rFonts w:ascii="Times New Roman" w:hAnsi="Times New Roman"/>
          <w:sz w:val="28"/>
          <w:szCs w:val="28"/>
        </w:rPr>
        <w:t xml:space="preserve"> </w:t>
      </w:r>
      <w:r w:rsidRPr="00A53AD7">
        <w:rPr>
          <w:rFonts w:ascii="Times New Roman" w:hAnsi="Times New Roman"/>
          <w:sz w:val="28"/>
          <w:szCs w:val="28"/>
        </w:rPr>
        <w:t>млн.руб. или 98,04% к бюджетной росписи.</w:t>
      </w:r>
    </w:p>
    <w:p w14:paraId="32DD712B" w14:textId="586686CB"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Исполнение национального проекта «Здравоохранение» по госпрограмме за 2019 год в разрезе региональных проектов, согласно отчету о реализации мероприятий госпрограммы, размещенной в КИАС Архангельской области (далее – отчет за 2019 год</w:t>
      </w:r>
      <w:r w:rsidR="00B35323" w:rsidRPr="00A53AD7">
        <w:rPr>
          <w:rFonts w:ascii="Times New Roman" w:hAnsi="Times New Roman"/>
          <w:sz w:val="28"/>
          <w:szCs w:val="28"/>
        </w:rPr>
        <w:t>), представлено в таблице ниже:</w:t>
      </w:r>
    </w:p>
    <w:tbl>
      <w:tblPr>
        <w:tblW w:w="9356" w:type="dxa"/>
        <w:tblInd w:w="-23" w:type="dxa"/>
        <w:tblLayout w:type="fixed"/>
        <w:tblLook w:val="04A0" w:firstRow="1" w:lastRow="0" w:firstColumn="1" w:lastColumn="0" w:noHBand="0" w:noVBand="1"/>
      </w:tblPr>
      <w:tblGrid>
        <w:gridCol w:w="3402"/>
        <w:gridCol w:w="1276"/>
        <w:gridCol w:w="1276"/>
        <w:gridCol w:w="1123"/>
        <w:gridCol w:w="1145"/>
        <w:gridCol w:w="1134"/>
      </w:tblGrid>
      <w:tr w:rsidR="00D470B6" w:rsidRPr="00A53AD7" w14:paraId="34049B92" w14:textId="77777777" w:rsidTr="001E1920">
        <w:trPr>
          <w:trHeight w:val="407"/>
          <w:tblHeader/>
        </w:trPr>
        <w:tc>
          <w:tcPr>
            <w:tcW w:w="3402" w:type="dxa"/>
            <w:vMerge w:val="restart"/>
            <w:tcBorders>
              <w:top w:val="double" w:sz="6" w:space="0" w:color="auto"/>
              <w:left w:val="double" w:sz="6" w:space="0" w:color="auto"/>
              <w:right w:val="single" w:sz="4" w:space="0" w:color="auto"/>
            </w:tcBorders>
            <w:shd w:val="clear" w:color="auto" w:fill="auto"/>
            <w:vAlign w:val="center"/>
            <w:hideMark/>
          </w:tcPr>
          <w:p w14:paraId="744B54C9"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наименование региональных проектов государственной программы </w:t>
            </w:r>
          </w:p>
        </w:tc>
        <w:tc>
          <w:tcPr>
            <w:tcW w:w="1276" w:type="dxa"/>
            <w:vMerge w:val="restart"/>
            <w:tcBorders>
              <w:top w:val="double" w:sz="6" w:space="0" w:color="auto"/>
              <w:left w:val="nil"/>
              <w:right w:val="single" w:sz="4" w:space="0" w:color="auto"/>
            </w:tcBorders>
            <w:shd w:val="clear" w:color="000000" w:fill="FFFFFF"/>
            <w:vAlign w:val="center"/>
            <w:hideMark/>
          </w:tcPr>
          <w:p w14:paraId="09009EE1"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уточненная сводная бюджетная роспись на 2019 год,</w:t>
            </w:r>
            <w:r w:rsidRPr="00A53AD7">
              <w:rPr>
                <w:rFonts w:ascii="Times New Roman" w:hAnsi="Times New Roman"/>
                <w:sz w:val="20"/>
                <w:szCs w:val="20"/>
              </w:rPr>
              <w:t xml:space="preserve"> </w:t>
            </w:r>
            <w:r w:rsidRPr="00A53AD7">
              <w:rPr>
                <w:rFonts w:ascii="Times New Roman" w:eastAsia="Times New Roman" w:hAnsi="Times New Roman"/>
                <w:sz w:val="16"/>
                <w:szCs w:val="16"/>
                <w:lang w:eastAsia="ru-RU"/>
              </w:rPr>
              <w:t>млн.руб</w:t>
            </w:r>
          </w:p>
        </w:tc>
        <w:tc>
          <w:tcPr>
            <w:tcW w:w="1276" w:type="dxa"/>
            <w:vMerge w:val="restart"/>
            <w:tcBorders>
              <w:top w:val="double" w:sz="6" w:space="0" w:color="auto"/>
              <w:left w:val="nil"/>
              <w:right w:val="single" w:sz="4" w:space="0" w:color="auto"/>
            </w:tcBorders>
            <w:shd w:val="clear" w:color="000000" w:fill="FFFFFF"/>
            <w:vAlign w:val="center"/>
            <w:hideMark/>
          </w:tcPr>
          <w:p w14:paraId="77DBDAF4"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кассовое исполнение за 2019 год,</w:t>
            </w:r>
            <w:r w:rsidRPr="00A53AD7">
              <w:rPr>
                <w:rFonts w:ascii="Times New Roman" w:hAnsi="Times New Roman"/>
                <w:sz w:val="20"/>
                <w:szCs w:val="20"/>
              </w:rPr>
              <w:t xml:space="preserve"> </w:t>
            </w:r>
            <w:r w:rsidRPr="00A53AD7">
              <w:rPr>
                <w:rFonts w:ascii="Times New Roman" w:eastAsia="Times New Roman" w:hAnsi="Times New Roman"/>
                <w:sz w:val="16"/>
                <w:szCs w:val="16"/>
                <w:lang w:eastAsia="ru-RU"/>
              </w:rPr>
              <w:t>млн.руб</w:t>
            </w:r>
          </w:p>
        </w:tc>
        <w:tc>
          <w:tcPr>
            <w:tcW w:w="1123" w:type="dxa"/>
            <w:vMerge w:val="restart"/>
            <w:tcBorders>
              <w:top w:val="double" w:sz="6" w:space="0" w:color="auto"/>
              <w:left w:val="nil"/>
              <w:right w:val="single" w:sz="4" w:space="0" w:color="auto"/>
            </w:tcBorders>
            <w:shd w:val="clear" w:color="000000" w:fill="FFFFFF"/>
            <w:vAlign w:val="center"/>
          </w:tcPr>
          <w:p w14:paraId="486BABD7"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освоено</w:t>
            </w:r>
          </w:p>
          <w:p w14:paraId="65AC31D7"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за 2019 год,</w:t>
            </w:r>
            <w:r w:rsidRPr="00A53AD7">
              <w:rPr>
                <w:rFonts w:ascii="Times New Roman" w:hAnsi="Times New Roman"/>
                <w:sz w:val="20"/>
                <w:szCs w:val="20"/>
              </w:rPr>
              <w:t xml:space="preserve"> </w:t>
            </w:r>
            <w:r w:rsidRPr="00A53AD7">
              <w:rPr>
                <w:rFonts w:ascii="Times New Roman" w:eastAsia="Times New Roman" w:hAnsi="Times New Roman"/>
                <w:sz w:val="16"/>
                <w:szCs w:val="16"/>
                <w:lang w:eastAsia="ru-RU"/>
              </w:rPr>
              <w:t>млн.руб</w:t>
            </w:r>
          </w:p>
        </w:tc>
        <w:tc>
          <w:tcPr>
            <w:tcW w:w="2279" w:type="dxa"/>
            <w:gridSpan w:val="2"/>
            <w:tcBorders>
              <w:top w:val="double" w:sz="6" w:space="0" w:color="auto"/>
              <w:left w:val="single" w:sz="4" w:space="0" w:color="auto"/>
              <w:bottom w:val="single" w:sz="4" w:space="0" w:color="auto"/>
              <w:right w:val="double" w:sz="6" w:space="0" w:color="auto"/>
            </w:tcBorders>
            <w:shd w:val="clear" w:color="000000" w:fill="FFFFFF"/>
            <w:vAlign w:val="center"/>
          </w:tcPr>
          <w:p w14:paraId="1A010409"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 xml:space="preserve">% </w:t>
            </w:r>
          </w:p>
        </w:tc>
      </w:tr>
      <w:tr w:rsidR="00D470B6" w:rsidRPr="00A53AD7" w14:paraId="177C1E54" w14:textId="77777777" w:rsidTr="001E1920">
        <w:trPr>
          <w:trHeight w:val="561"/>
          <w:tblHeader/>
        </w:trPr>
        <w:tc>
          <w:tcPr>
            <w:tcW w:w="3402" w:type="dxa"/>
            <w:vMerge/>
            <w:tcBorders>
              <w:left w:val="double" w:sz="6" w:space="0" w:color="auto"/>
              <w:bottom w:val="single" w:sz="4" w:space="0" w:color="auto"/>
              <w:right w:val="single" w:sz="4" w:space="0" w:color="auto"/>
            </w:tcBorders>
            <w:shd w:val="clear" w:color="auto" w:fill="auto"/>
            <w:vAlign w:val="center"/>
          </w:tcPr>
          <w:p w14:paraId="2FD102C3"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p>
        </w:tc>
        <w:tc>
          <w:tcPr>
            <w:tcW w:w="1276" w:type="dxa"/>
            <w:vMerge/>
            <w:tcBorders>
              <w:left w:val="nil"/>
              <w:bottom w:val="single" w:sz="4" w:space="0" w:color="auto"/>
              <w:right w:val="single" w:sz="4" w:space="0" w:color="auto"/>
            </w:tcBorders>
            <w:shd w:val="clear" w:color="000000" w:fill="FFFFFF"/>
            <w:vAlign w:val="center"/>
          </w:tcPr>
          <w:p w14:paraId="0063BAB3"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p>
        </w:tc>
        <w:tc>
          <w:tcPr>
            <w:tcW w:w="1276" w:type="dxa"/>
            <w:vMerge/>
            <w:tcBorders>
              <w:left w:val="nil"/>
              <w:bottom w:val="single" w:sz="4" w:space="0" w:color="auto"/>
              <w:right w:val="single" w:sz="4" w:space="0" w:color="auto"/>
            </w:tcBorders>
            <w:shd w:val="clear" w:color="000000" w:fill="FFFFFF"/>
            <w:vAlign w:val="center"/>
          </w:tcPr>
          <w:p w14:paraId="0CFE1FED"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p>
        </w:tc>
        <w:tc>
          <w:tcPr>
            <w:tcW w:w="1123" w:type="dxa"/>
            <w:vMerge/>
            <w:tcBorders>
              <w:left w:val="nil"/>
              <w:bottom w:val="single" w:sz="4" w:space="0" w:color="auto"/>
              <w:right w:val="single" w:sz="4" w:space="0" w:color="auto"/>
            </w:tcBorders>
            <w:shd w:val="clear" w:color="000000" w:fill="FFFFFF"/>
            <w:vAlign w:val="center"/>
          </w:tcPr>
          <w:p w14:paraId="0C1B71BD"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p>
        </w:tc>
        <w:tc>
          <w:tcPr>
            <w:tcW w:w="1145" w:type="dxa"/>
            <w:tcBorders>
              <w:top w:val="single" w:sz="4" w:space="0" w:color="auto"/>
              <w:left w:val="single" w:sz="4" w:space="0" w:color="auto"/>
              <w:bottom w:val="single" w:sz="4" w:space="0" w:color="auto"/>
              <w:right w:val="single" w:sz="4" w:space="0" w:color="auto"/>
            </w:tcBorders>
            <w:shd w:val="clear" w:color="000000" w:fill="FFFFFF"/>
            <w:vAlign w:val="center"/>
          </w:tcPr>
          <w:p w14:paraId="13E708B7"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кассового исполнения</w:t>
            </w:r>
          </w:p>
        </w:tc>
        <w:tc>
          <w:tcPr>
            <w:tcW w:w="1134" w:type="dxa"/>
            <w:tcBorders>
              <w:top w:val="single" w:sz="4" w:space="0" w:color="auto"/>
              <w:left w:val="single" w:sz="4" w:space="0" w:color="auto"/>
              <w:bottom w:val="single" w:sz="4" w:space="0" w:color="auto"/>
              <w:right w:val="double" w:sz="6" w:space="0" w:color="auto"/>
            </w:tcBorders>
            <w:shd w:val="clear" w:color="000000" w:fill="FFFFFF"/>
            <w:vAlign w:val="center"/>
          </w:tcPr>
          <w:p w14:paraId="21460D62" w14:textId="77777777" w:rsidR="001E1920" w:rsidRPr="00A53AD7" w:rsidRDefault="001E1920" w:rsidP="001E1920">
            <w:pPr>
              <w:spacing w:after="0" w:line="240" w:lineRule="auto"/>
              <w:jc w:val="center"/>
              <w:rPr>
                <w:rFonts w:ascii="Times New Roman" w:eastAsia="Times New Roman" w:hAnsi="Times New Roman"/>
                <w:sz w:val="16"/>
                <w:szCs w:val="16"/>
                <w:lang w:eastAsia="ru-RU"/>
              </w:rPr>
            </w:pPr>
            <w:r w:rsidRPr="00A53AD7">
              <w:rPr>
                <w:rFonts w:ascii="Times New Roman" w:eastAsia="Times New Roman" w:hAnsi="Times New Roman"/>
                <w:sz w:val="16"/>
                <w:szCs w:val="16"/>
                <w:lang w:eastAsia="ru-RU"/>
              </w:rPr>
              <w:t>освоения</w:t>
            </w:r>
          </w:p>
        </w:tc>
      </w:tr>
      <w:tr w:rsidR="00D470B6" w:rsidRPr="00A53AD7" w14:paraId="1D9EEABE" w14:textId="77777777" w:rsidTr="001E1920">
        <w:trPr>
          <w:trHeight w:val="126"/>
        </w:trPr>
        <w:tc>
          <w:tcPr>
            <w:tcW w:w="3402" w:type="dxa"/>
            <w:tcBorders>
              <w:top w:val="nil"/>
              <w:left w:val="double" w:sz="6" w:space="0" w:color="auto"/>
              <w:bottom w:val="single" w:sz="4" w:space="0" w:color="auto"/>
              <w:right w:val="single" w:sz="4" w:space="0" w:color="auto"/>
            </w:tcBorders>
            <w:shd w:val="clear" w:color="auto" w:fill="auto"/>
            <w:vAlign w:val="center"/>
          </w:tcPr>
          <w:p w14:paraId="0FA43910"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Региональный проект </w:t>
            </w:r>
            <w:r w:rsidRPr="00A53AD7">
              <w:rPr>
                <w:rFonts w:ascii="Times New Roman" w:eastAsia="Times New Roman" w:hAnsi="Times New Roman" w:cs="Arial"/>
                <w:sz w:val="20"/>
                <w:szCs w:val="20"/>
                <w:lang w:eastAsia="ru-RU"/>
              </w:rPr>
              <w:t>«</w:t>
            </w:r>
            <w:r w:rsidRPr="00A53AD7">
              <w:rPr>
                <w:rFonts w:ascii="Times New Roman" w:eastAsia="Times New Roman" w:hAnsi="Times New Roman"/>
                <w:sz w:val="20"/>
                <w:szCs w:val="20"/>
                <w:lang w:eastAsia="ru-RU" w:bidi="ru-RU"/>
              </w:rPr>
              <w:t>Развитие системы оказания первичной медико-санитарной помощи</w:t>
            </w:r>
            <w:r w:rsidRPr="00A53AD7">
              <w:rPr>
                <w:rFonts w:ascii="Times New Roman" w:eastAsia="Times New Roman" w:hAnsi="Times New Roman" w:cs="Arial"/>
                <w:sz w:val="20"/>
                <w:szCs w:val="20"/>
                <w:lang w:eastAsia="ru-RU"/>
              </w:rPr>
              <w:t xml:space="preserve"> (Архангельской область)»</w:t>
            </w:r>
            <w:r w:rsidRPr="00A53AD7">
              <w:rPr>
                <w:rFonts w:ascii="Times New Roman" w:eastAsia="Times New Roman" w:hAnsi="Times New Roman"/>
                <w:sz w:val="20"/>
                <w:szCs w:val="20"/>
                <w:lang w:eastAsia="ru-RU"/>
              </w:rPr>
              <w:t>, всего, в том числе:</w:t>
            </w:r>
          </w:p>
        </w:tc>
        <w:tc>
          <w:tcPr>
            <w:tcW w:w="1276" w:type="dxa"/>
            <w:tcBorders>
              <w:top w:val="nil"/>
              <w:left w:val="nil"/>
              <w:bottom w:val="single" w:sz="4" w:space="0" w:color="auto"/>
              <w:right w:val="single" w:sz="4" w:space="0" w:color="auto"/>
            </w:tcBorders>
            <w:shd w:val="clear" w:color="auto" w:fill="auto"/>
            <w:noWrap/>
            <w:vAlign w:val="center"/>
          </w:tcPr>
          <w:p w14:paraId="2A2DC54C"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207,8</w:t>
            </w:r>
          </w:p>
        </w:tc>
        <w:tc>
          <w:tcPr>
            <w:tcW w:w="1276" w:type="dxa"/>
            <w:tcBorders>
              <w:top w:val="nil"/>
              <w:left w:val="nil"/>
              <w:bottom w:val="single" w:sz="4" w:space="0" w:color="auto"/>
              <w:right w:val="single" w:sz="4" w:space="0" w:color="auto"/>
            </w:tcBorders>
            <w:shd w:val="clear" w:color="auto" w:fill="auto"/>
            <w:noWrap/>
            <w:vAlign w:val="center"/>
          </w:tcPr>
          <w:p w14:paraId="38F6CE13"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207,8</w:t>
            </w:r>
          </w:p>
        </w:tc>
        <w:tc>
          <w:tcPr>
            <w:tcW w:w="1123" w:type="dxa"/>
            <w:tcBorders>
              <w:top w:val="nil"/>
              <w:left w:val="nil"/>
              <w:bottom w:val="single" w:sz="4" w:space="0" w:color="auto"/>
              <w:right w:val="single" w:sz="4" w:space="0" w:color="auto"/>
            </w:tcBorders>
            <w:vAlign w:val="center"/>
          </w:tcPr>
          <w:p w14:paraId="6F4C8418"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204,</w:t>
            </w:r>
            <w:r w:rsidRPr="00A53AD7">
              <w:rPr>
                <w:rFonts w:ascii="Times New Roman" w:eastAsia="Times New Roman" w:hAnsi="Times New Roman"/>
                <w:b/>
                <w:sz w:val="20"/>
                <w:szCs w:val="20"/>
                <w:lang w:val="en-US" w:eastAsia="ru-RU"/>
              </w:rPr>
              <w:t>5</w:t>
            </w:r>
          </w:p>
        </w:tc>
        <w:tc>
          <w:tcPr>
            <w:tcW w:w="1145" w:type="dxa"/>
            <w:tcBorders>
              <w:top w:val="nil"/>
              <w:left w:val="single" w:sz="4" w:space="0" w:color="auto"/>
              <w:bottom w:val="single" w:sz="4" w:space="0" w:color="auto"/>
              <w:right w:val="single" w:sz="4" w:space="0" w:color="auto"/>
            </w:tcBorders>
            <w:shd w:val="clear" w:color="auto" w:fill="auto"/>
            <w:noWrap/>
            <w:vAlign w:val="center"/>
          </w:tcPr>
          <w:p w14:paraId="65747AB6"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40948AD5"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98,</w:t>
            </w:r>
            <w:r w:rsidRPr="00A53AD7">
              <w:rPr>
                <w:rFonts w:ascii="Times New Roman" w:eastAsia="Times New Roman" w:hAnsi="Times New Roman"/>
                <w:b/>
                <w:sz w:val="20"/>
                <w:szCs w:val="20"/>
                <w:lang w:val="en-US" w:eastAsia="ru-RU"/>
              </w:rPr>
              <w:t>4</w:t>
            </w:r>
          </w:p>
        </w:tc>
      </w:tr>
      <w:tr w:rsidR="00D470B6" w:rsidRPr="00A53AD7" w14:paraId="2D342C63" w14:textId="77777777" w:rsidTr="001E1920">
        <w:trPr>
          <w:trHeight w:val="262"/>
        </w:trPr>
        <w:tc>
          <w:tcPr>
            <w:tcW w:w="3402" w:type="dxa"/>
            <w:tcBorders>
              <w:top w:val="nil"/>
              <w:left w:val="double" w:sz="6" w:space="0" w:color="auto"/>
              <w:bottom w:val="single" w:sz="4" w:space="0" w:color="auto"/>
              <w:right w:val="single" w:sz="4" w:space="0" w:color="auto"/>
            </w:tcBorders>
            <w:shd w:val="clear" w:color="auto" w:fill="auto"/>
            <w:vAlign w:val="center"/>
          </w:tcPr>
          <w:p w14:paraId="74A03AEF"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nil"/>
              <w:left w:val="nil"/>
              <w:bottom w:val="single" w:sz="4" w:space="0" w:color="auto"/>
              <w:right w:val="single" w:sz="4" w:space="0" w:color="auto"/>
            </w:tcBorders>
            <w:shd w:val="clear" w:color="auto" w:fill="auto"/>
            <w:noWrap/>
            <w:vAlign w:val="center"/>
          </w:tcPr>
          <w:p w14:paraId="4201E0B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189,9</w:t>
            </w:r>
          </w:p>
        </w:tc>
        <w:tc>
          <w:tcPr>
            <w:tcW w:w="1276" w:type="dxa"/>
            <w:tcBorders>
              <w:top w:val="nil"/>
              <w:left w:val="nil"/>
              <w:bottom w:val="single" w:sz="4" w:space="0" w:color="auto"/>
              <w:right w:val="single" w:sz="4" w:space="0" w:color="auto"/>
            </w:tcBorders>
            <w:shd w:val="clear" w:color="auto" w:fill="auto"/>
            <w:noWrap/>
            <w:vAlign w:val="center"/>
          </w:tcPr>
          <w:p w14:paraId="5D163939"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189,9</w:t>
            </w:r>
          </w:p>
        </w:tc>
        <w:tc>
          <w:tcPr>
            <w:tcW w:w="1123" w:type="dxa"/>
            <w:tcBorders>
              <w:top w:val="nil"/>
              <w:left w:val="nil"/>
              <w:bottom w:val="single" w:sz="4" w:space="0" w:color="auto"/>
              <w:right w:val="single" w:sz="4" w:space="0" w:color="auto"/>
            </w:tcBorders>
          </w:tcPr>
          <w:p w14:paraId="389E25C3"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186,6</w:t>
            </w:r>
          </w:p>
        </w:tc>
        <w:tc>
          <w:tcPr>
            <w:tcW w:w="1145" w:type="dxa"/>
            <w:tcBorders>
              <w:top w:val="nil"/>
              <w:left w:val="single" w:sz="4" w:space="0" w:color="auto"/>
              <w:bottom w:val="single" w:sz="4" w:space="0" w:color="auto"/>
              <w:right w:val="single" w:sz="4" w:space="0" w:color="auto"/>
            </w:tcBorders>
            <w:shd w:val="clear" w:color="auto" w:fill="auto"/>
            <w:noWrap/>
            <w:vAlign w:val="center"/>
          </w:tcPr>
          <w:p w14:paraId="261B6C7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051C63FA"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98,3</w:t>
            </w:r>
          </w:p>
        </w:tc>
      </w:tr>
      <w:tr w:rsidR="00D470B6" w:rsidRPr="00A53AD7" w14:paraId="5C8D5542" w14:textId="77777777" w:rsidTr="001E1920">
        <w:trPr>
          <w:trHeight w:val="280"/>
        </w:trPr>
        <w:tc>
          <w:tcPr>
            <w:tcW w:w="3402" w:type="dxa"/>
            <w:tcBorders>
              <w:top w:val="nil"/>
              <w:left w:val="double" w:sz="6" w:space="0" w:color="auto"/>
              <w:bottom w:val="single" w:sz="4" w:space="0" w:color="auto"/>
              <w:right w:val="single" w:sz="4" w:space="0" w:color="auto"/>
            </w:tcBorders>
            <w:shd w:val="clear" w:color="auto" w:fill="auto"/>
            <w:vAlign w:val="center"/>
          </w:tcPr>
          <w:p w14:paraId="45979F24"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nil"/>
              <w:left w:val="nil"/>
              <w:bottom w:val="single" w:sz="4" w:space="0" w:color="auto"/>
              <w:right w:val="single" w:sz="4" w:space="0" w:color="auto"/>
            </w:tcBorders>
            <w:shd w:val="clear" w:color="auto" w:fill="auto"/>
            <w:noWrap/>
            <w:vAlign w:val="center"/>
          </w:tcPr>
          <w:p w14:paraId="64C1055D"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17,9</w:t>
            </w:r>
          </w:p>
        </w:tc>
        <w:tc>
          <w:tcPr>
            <w:tcW w:w="1276" w:type="dxa"/>
            <w:tcBorders>
              <w:top w:val="nil"/>
              <w:left w:val="nil"/>
              <w:bottom w:val="single" w:sz="4" w:space="0" w:color="auto"/>
              <w:right w:val="single" w:sz="4" w:space="0" w:color="auto"/>
            </w:tcBorders>
            <w:shd w:val="clear" w:color="auto" w:fill="auto"/>
            <w:noWrap/>
            <w:vAlign w:val="center"/>
          </w:tcPr>
          <w:p w14:paraId="5BF7A018"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17,9</w:t>
            </w:r>
          </w:p>
        </w:tc>
        <w:tc>
          <w:tcPr>
            <w:tcW w:w="1123" w:type="dxa"/>
            <w:tcBorders>
              <w:top w:val="nil"/>
              <w:left w:val="nil"/>
              <w:bottom w:val="single" w:sz="4" w:space="0" w:color="auto"/>
              <w:right w:val="single" w:sz="4" w:space="0" w:color="auto"/>
            </w:tcBorders>
          </w:tcPr>
          <w:p w14:paraId="45C5945B"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17,9</w:t>
            </w:r>
          </w:p>
        </w:tc>
        <w:tc>
          <w:tcPr>
            <w:tcW w:w="1145" w:type="dxa"/>
            <w:tcBorders>
              <w:top w:val="nil"/>
              <w:left w:val="single" w:sz="4" w:space="0" w:color="auto"/>
              <w:bottom w:val="single" w:sz="4" w:space="0" w:color="auto"/>
              <w:right w:val="single" w:sz="4" w:space="0" w:color="auto"/>
            </w:tcBorders>
            <w:shd w:val="clear" w:color="auto" w:fill="auto"/>
            <w:noWrap/>
            <w:vAlign w:val="center"/>
          </w:tcPr>
          <w:p w14:paraId="47D9468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75731F86"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6F827CA2"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350CAF4D"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Региональный проект </w:t>
            </w:r>
            <w:r w:rsidRPr="00A53AD7">
              <w:rPr>
                <w:rFonts w:ascii="Times New Roman" w:eastAsia="Times New Roman" w:hAnsi="Times New Roman" w:cs="Arial"/>
                <w:sz w:val="20"/>
                <w:szCs w:val="20"/>
                <w:lang w:eastAsia="ru-RU"/>
              </w:rPr>
              <w:t>«</w:t>
            </w:r>
            <w:r w:rsidRPr="00A53AD7">
              <w:rPr>
                <w:rFonts w:ascii="Times New Roman" w:eastAsia="Times New Roman" w:hAnsi="Times New Roman"/>
                <w:sz w:val="20"/>
                <w:szCs w:val="20"/>
                <w:lang w:eastAsia="ru-RU" w:bidi="ru-RU"/>
              </w:rPr>
              <w:t>Борьба с сердечно-сосудистыми заболеваниями (Архангельская область)»</w:t>
            </w:r>
            <w:r w:rsidRPr="00A53AD7">
              <w:rPr>
                <w:rFonts w:ascii="Times New Roman" w:eastAsia="Times New Roman" w:hAnsi="Times New Roman"/>
                <w:sz w:val="20"/>
                <w:szCs w:val="20"/>
                <w:lang w:eastAsia="ru-RU"/>
              </w:rPr>
              <w:t>, всего, в том числе:</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2ADED25"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132,8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56F8BEB"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132,8</w:t>
            </w:r>
          </w:p>
        </w:tc>
        <w:tc>
          <w:tcPr>
            <w:tcW w:w="1123" w:type="dxa"/>
            <w:tcBorders>
              <w:top w:val="single" w:sz="4" w:space="0" w:color="auto"/>
              <w:left w:val="nil"/>
              <w:bottom w:val="single" w:sz="4" w:space="0" w:color="auto"/>
              <w:right w:val="single" w:sz="4" w:space="0" w:color="auto"/>
            </w:tcBorders>
            <w:vAlign w:val="center"/>
          </w:tcPr>
          <w:p w14:paraId="43578A4A"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128,</w:t>
            </w:r>
            <w:r w:rsidRPr="00A53AD7">
              <w:rPr>
                <w:rFonts w:ascii="Times New Roman" w:eastAsia="Times New Roman" w:hAnsi="Times New Roman"/>
                <w:b/>
                <w:sz w:val="20"/>
                <w:szCs w:val="20"/>
                <w:lang w:val="en-US" w:eastAsia="ru-RU"/>
              </w:rPr>
              <w:t>9</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12382"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799BF7E8"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97,0</w:t>
            </w:r>
          </w:p>
        </w:tc>
      </w:tr>
      <w:tr w:rsidR="00D470B6" w:rsidRPr="00A53AD7" w14:paraId="04C6F5CE" w14:textId="77777777" w:rsidTr="001E1920">
        <w:trPr>
          <w:trHeight w:val="262"/>
        </w:trPr>
        <w:tc>
          <w:tcPr>
            <w:tcW w:w="3402" w:type="dxa"/>
            <w:tcBorders>
              <w:top w:val="nil"/>
              <w:left w:val="double" w:sz="6" w:space="0" w:color="auto"/>
              <w:bottom w:val="single" w:sz="4" w:space="0" w:color="auto"/>
              <w:right w:val="single" w:sz="4" w:space="0" w:color="auto"/>
            </w:tcBorders>
            <w:shd w:val="clear" w:color="auto" w:fill="auto"/>
            <w:vAlign w:val="center"/>
          </w:tcPr>
          <w:p w14:paraId="7BF44EB4"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nil"/>
              <w:left w:val="nil"/>
              <w:bottom w:val="single" w:sz="4" w:space="0" w:color="auto"/>
              <w:right w:val="single" w:sz="4" w:space="0" w:color="auto"/>
            </w:tcBorders>
            <w:shd w:val="clear" w:color="auto" w:fill="auto"/>
            <w:noWrap/>
            <w:vAlign w:val="center"/>
          </w:tcPr>
          <w:p w14:paraId="667C5955"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132,8</w:t>
            </w:r>
          </w:p>
        </w:tc>
        <w:tc>
          <w:tcPr>
            <w:tcW w:w="1276" w:type="dxa"/>
            <w:tcBorders>
              <w:top w:val="nil"/>
              <w:left w:val="nil"/>
              <w:bottom w:val="single" w:sz="4" w:space="0" w:color="auto"/>
              <w:right w:val="single" w:sz="4" w:space="0" w:color="auto"/>
            </w:tcBorders>
            <w:shd w:val="clear" w:color="auto" w:fill="auto"/>
            <w:noWrap/>
            <w:vAlign w:val="center"/>
          </w:tcPr>
          <w:p w14:paraId="4B7BFB27"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132,8</w:t>
            </w:r>
          </w:p>
        </w:tc>
        <w:tc>
          <w:tcPr>
            <w:tcW w:w="1123" w:type="dxa"/>
            <w:tcBorders>
              <w:top w:val="nil"/>
              <w:left w:val="nil"/>
              <w:bottom w:val="single" w:sz="4" w:space="0" w:color="auto"/>
              <w:right w:val="single" w:sz="4" w:space="0" w:color="auto"/>
            </w:tcBorders>
          </w:tcPr>
          <w:p w14:paraId="6E5EE8DF"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128,</w:t>
            </w:r>
            <w:r w:rsidRPr="00A53AD7">
              <w:rPr>
                <w:rFonts w:ascii="Times New Roman" w:eastAsia="Times New Roman" w:hAnsi="Times New Roman"/>
                <w:sz w:val="20"/>
                <w:szCs w:val="20"/>
                <w:lang w:val="en-US" w:eastAsia="ru-RU"/>
              </w:rPr>
              <w:t>9</w:t>
            </w:r>
          </w:p>
        </w:tc>
        <w:tc>
          <w:tcPr>
            <w:tcW w:w="1145" w:type="dxa"/>
            <w:tcBorders>
              <w:top w:val="nil"/>
              <w:left w:val="single" w:sz="4" w:space="0" w:color="auto"/>
              <w:bottom w:val="single" w:sz="4" w:space="0" w:color="auto"/>
              <w:right w:val="single" w:sz="4" w:space="0" w:color="auto"/>
            </w:tcBorders>
            <w:shd w:val="clear" w:color="auto" w:fill="auto"/>
            <w:noWrap/>
            <w:vAlign w:val="center"/>
          </w:tcPr>
          <w:p w14:paraId="4A18ADD2"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nil"/>
              <w:left w:val="single" w:sz="4" w:space="0" w:color="auto"/>
              <w:bottom w:val="single" w:sz="4" w:space="0" w:color="auto"/>
              <w:right w:val="double" w:sz="6" w:space="0" w:color="auto"/>
            </w:tcBorders>
            <w:vAlign w:val="center"/>
          </w:tcPr>
          <w:p w14:paraId="2FD1200A"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97,0</w:t>
            </w:r>
          </w:p>
        </w:tc>
      </w:tr>
      <w:tr w:rsidR="00D470B6" w:rsidRPr="00A53AD7" w14:paraId="64BEE219"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5FD08EF7"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F097D3C"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A164908"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23" w:type="dxa"/>
            <w:tcBorders>
              <w:top w:val="single" w:sz="4" w:space="0" w:color="auto"/>
              <w:left w:val="nil"/>
              <w:bottom w:val="single" w:sz="4" w:space="0" w:color="auto"/>
              <w:right w:val="single" w:sz="4" w:space="0" w:color="auto"/>
            </w:tcBorders>
          </w:tcPr>
          <w:p w14:paraId="13FC7068"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0F79C"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34" w:type="dxa"/>
            <w:tcBorders>
              <w:top w:val="single" w:sz="4" w:space="0" w:color="auto"/>
              <w:left w:val="single" w:sz="4" w:space="0" w:color="auto"/>
              <w:bottom w:val="single" w:sz="4" w:space="0" w:color="auto"/>
              <w:right w:val="double" w:sz="6" w:space="0" w:color="auto"/>
            </w:tcBorders>
            <w:vAlign w:val="center"/>
          </w:tcPr>
          <w:p w14:paraId="46D7ED7E"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r>
      <w:tr w:rsidR="00D470B6" w:rsidRPr="00A53AD7" w14:paraId="3BBF672F"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09F4C56F" w14:textId="77777777" w:rsidR="001E1920" w:rsidRPr="00A53AD7" w:rsidRDefault="001E1920" w:rsidP="001E1920">
            <w:pPr>
              <w:spacing w:after="0" w:line="240" w:lineRule="auto"/>
              <w:rPr>
                <w:rFonts w:ascii="Times New Roman" w:eastAsia="Times New Roman" w:hAnsi="Times New Roman"/>
                <w:b/>
                <w:sz w:val="20"/>
                <w:szCs w:val="20"/>
                <w:lang w:eastAsia="ru-RU"/>
              </w:rPr>
            </w:pPr>
            <w:r w:rsidRPr="00A53AD7">
              <w:rPr>
                <w:rFonts w:ascii="Times New Roman" w:eastAsia="Times New Roman" w:hAnsi="Times New Roman"/>
                <w:sz w:val="20"/>
                <w:szCs w:val="20"/>
                <w:lang w:eastAsia="ru-RU"/>
              </w:rPr>
              <w:t>3. Региональный проект</w:t>
            </w:r>
            <w:r w:rsidRPr="00A53AD7">
              <w:rPr>
                <w:rFonts w:ascii="Times New Roman" w:eastAsia="Times New Roman" w:hAnsi="Times New Roman"/>
                <w:b/>
                <w:sz w:val="20"/>
                <w:szCs w:val="20"/>
                <w:lang w:eastAsia="ru-RU"/>
              </w:rPr>
              <w:t xml:space="preserve"> </w:t>
            </w:r>
            <w:r w:rsidRPr="00A53AD7">
              <w:rPr>
                <w:rFonts w:ascii="Times New Roman" w:eastAsia="Times New Roman" w:hAnsi="Times New Roman" w:cs="Arial"/>
                <w:sz w:val="20"/>
                <w:szCs w:val="20"/>
                <w:lang w:eastAsia="ru-RU"/>
              </w:rPr>
              <w:t>«</w:t>
            </w:r>
            <w:r w:rsidRPr="00A53AD7">
              <w:rPr>
                <w:rFonts w:ascii="Times New Roman" w:eastAsia="Times New Roman" w:hAnsi="Times New Roman"/>
                <w:sz w:val="20"/>
                <w:szCs w:val="20"/>
                <w:lang w:eastAsia="ru-RU" w:bidi="ru-RU"/>
              </w:rPr>
              <w:t>Борьба с онкологическими заболеваниями (Архангельская область)»</w:t>
            </w:r>
            <w:r w:rsidRPr="00A53AD7">
              <w:rPr>
                <w:rFonts w:ascii="Times New Roman" w:eastAsia="Times New Roman" w:hAnsi="Times New Roman"/>
                <w:b/>
                <w:sz w:val="20"/>
                <w:szCs w:val="20"/>
                <w:lang w:eastAsia="ru-RU"/>
              </w:rPr>
              <w:t xml:space="preserve"> </w:t>
            </w:r>
            <w:r w:rsidRPr="00A53AD7">
              <w:rPr>
                <w:rFonts w:ascii="Times New Roman" w:eastAsia="Times New Roman" w:hAnsi="Times New Roman"/>
                <w:sz w:val="20"/>
                <w:szCs w:val="20"/>
                <w:lang w:eastAsia="ru-RU"/>
              </w:rPr>
              <w:t>всего, в том числе:</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E46D977"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286,6</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F116F2A"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286,6</w:t>
            </w:r>
          </w:p>
        </w:tc>
        <w:tc>
          <w:tcPr>
            <w:tcW w:w="1123" w:type="dxa"/>
            <w:tcBorders>
              <w:top w:val="single" w:sz="4" w:space="0" w:color="auto"/>
              <w:left w:val="nil"/>
              <w:bottom w:val="single" w:sz="4" w:space="0" w:color="auto"/>
              <w:right w:val="single" w:sz="4" w:space="0" w:color="auto"/>
            </w:tcBorders>
            <w:vAlign w:val="center"/>
          </w:tcPr>
          <w:p w14:paraId="6AE27C4A"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277,</w:t>
            </w:r>
            <w:r w:rsidRPr="00A53AD7">
              <w:rPr>
                <w:rFonts w:ascii="Times New Roman" w:eastAsia="Times New Roman" w:hAnsi="Times New Roman"/>
                <w:b/>
                <w:sz w:val="20"/>
                <w:szCs w:val="20"/>
                <w:lang w:val="en-US" w:eastAsia="ru-RU"/>
              </w:rPr>
              <w:t>1</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72184"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2B5D7788"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96,7</w:t>
            </w:r>
          </w:p>
        </w:tc>
      </w:tr>
      <w:tr w:rsidR="00D470B6" w:rsidRPr="00A53AD7" w14:paraId="209FDC3C"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38E65A8E"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82CC350"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286,6</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84DCA13"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286,6</w:t>
            </w:r>
          </w:p>
        </w:tc>
        <w:tc>
          <w:tcPr>
            <w:tcW w:w="1123" w:type="dxa"/>
            <w:tcBorders>
              <w:top w:val="single" w:sz="4" w:space="0" w:color="auto"/>
              <w:left w:val="nil"/>
              <w:bottom w:val="single" w:sz="4" w:space="0" w:color="auto"/>
              <w:right w:val="single" w:sz="4" w:space="0" w:color="auto"/>
            </w:tcBorders>
          </w:tcPr>
          <w:p w14:paraId="0B4E180B"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277,</w:t>
            </w:r>
            <w:r w:rsidRPr="00A53AD7">
              <w:rPr>
                <w:rFonts w:ascii="Times New Roman" w:eastAsia="Times New Roman" w:hAnsi="Times New Roman"/>
                <w:sz w:val="20"/>
                <w:szCs w:val="20"/>
                <w:lang w:val="en-US" w:eastAsia="ru-RU"/>
              </w:rPr>
              <w:t>1</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D090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7F4F4F3D"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96,7</w:t>
            </w:r>
          </w:p>
        </w:tc>
      </w:tr>
      <w:tr w:rsidR="00D470B6" w:rsidRPr="00A53AD7" w14:paraId="0049C33E"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2FD0B40D"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49830C9"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D94759A"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23" w:type="dxa"/>
            <w:tcBorders>
              <w:top w:val="single" w:sz="4" w:space="0" w:color="auto"/>
              <w:left w:val="nil"/>
              <w:bottom w:val="single" w:sz="4" w:space="0" w:color="auto"/>
              <w:right w:val="single" w:sz="4" w:space="0" w:color="auto"/>
            </w:tcBorders>
          </w:tcPr>
          <w:p w14:paraId="13703BB0"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E7EE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c>
          <w:tcPr>
            <w:tcW w:w="1134" w:type="dxa"/>
            <w:tcBorders>
              <w:top w:val="single" w:sz="4" w:space="0" w:color="auto"/>
              <w:left w:val="single" w:sz="4" w:space="0" w:color="auto"/>
              <w:bottom w:val="single" w:sz="4" w:space="0" w:color="auto"/>
              <w:right w:val="double" w:sz="6" w:space="0" w:color="auto"/>
            </w:tcBorders>
            <w:vAlign w:val="center"/>
          </w:tcPr>
          <w:p w14:paraId="6846D44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0</w:t>
            </w:r>
          </w:p>
        </w:tc>
      </w:tr>
      <w:tr w:rsidR="00D470B6" w:rsidRPr="00A53AD7" w14:paraId="0F17EEF1"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28D3DE24"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 Региональный проект «</w:t>
            </w:r>
            <w:r w:rsidRPr="00A53AD7">
              <w:rPr>
                <w:rFonts w:ascii="Times New Roman" w:eastAsia="Times New Roman" w:hAnsi="Times New Roman"/>
                <w:sz w:val="20"/>
                <w:szCs w:val="20"/>
                <w:lang w:eastAsia="ru-RU" w:bidi="ru-RU"/>
              </w:rPr>
              <w:t>Развитие детского здравоохранения, включая создание современной инфраструктуры оказания медицинской помощи</w:t>
            </w:r>
            <w:r w:rsidRPr="00A53AD7">
              <w:rPr>
                <w:rFonts w:ascii="Times New Roman" w:eastAsia="Times New Roman" w:hAnsi="Times New Roman" w:cs="Arial"/>
                <w:sz w:val="20"/>
                <w:szCs w:val="20"/>
                <w:lang w:eastAsia="ru-RU"/>
              </w:rPr>
              <w:t xml:space="preserve"> (Архангельской область)»</w:t>
            </w:r>
            <w:r w:rsidRPr="00A53AD7">
              <w:rPr>
                <w:rFonts w:ascii="Times New Roman" w:eastAsia="Times New Roman" w:hAnsi="Times New Roman"/>
                <w:sz w:val="20"/>
                <w:szCs w:val="20"/>
                <w:lang w:eastAsia="ru-RU"/>
              </w:rPr>
              <w:t>, всего, в том числе:</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2FDE2E5"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159,</w:t>
            </w:r>
            <w:r w:rsidRPr="00A53AD7">
              <w:rPr>
                <w:rFonts w:ascii="Times New Roman" w:eastAsia="Times New Roman" w:hAnsi="Times New Roman"/>
                <w:b/>
                <w:sz w:val="20"/>
                <w:szCs w:val="20"/>
                <w:lang w:val="en-US" w:eastAsia="ru-RU"/>
              </w:rPr>
              <w:t>1</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0F64EEC"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159,</w:t>
            </w:r>
            <w:r w:rsidRPr="00A53AD7">
              <w:rPr>
                <w:rFonts w:ascii="Times New Roman" w:eastAsia="Times New Roman" w:hAnsi="Times New Roman"/>
                <w:b/>
                <w:sz w:val="20"/>
                <w:szCs w:val="20"/>
                <w:lang w:val="en-US" w:eastAsia="ru-RU"/>
              </w:rPr>
              <w:t>1</w:t>
            </w:r>
          </w:p>
        </w:tc>
        <w:tc>
          <w:tcPr>
            <w:tcW w:w="1123" w:type="dxa"/>
            <w:tcBorders>
              <w:top w:val="single" w:sz="4" w:space="0" w:color="auto"/>
              <w:left w:val="nil"/>
              <w:bottom w:val="single" w:sz="4" w:space="0" w:color="auto"/>
              <w:right w:val="single" w:sz="4" w:space="0" w:color="auto"/>
            </w:tcBorders>
            <w:vAlign w:val="center"/>
          </w:tcPr>
          <w:p w14:paraId="443E8482"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159,</w:t>
            </w:r>
            <w:r w:rsidRPr="00A53AD7">
              <w:rPr>
                <w:rFonts w:ascii="Times New Roman" w:eastAsia="Times New Roman" w:hAnsi="Times New Roman"/>
                <w:b/>
                <w:sz w:val="20"/>
                <w:szCs w:val="20"/>
                <w:lang w:val="en-US" w:eastAsia="ru-RU"/>
              </w:rPr>
              <w:t>1</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E41B9"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79DC2F85"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r>
      <w:tr w:rsidR="00D470B6" w:rsidRPr="00A53AD7" w14:paraId="52C5938A" w14:textId="77777777" w:rsidTr="001E1920">
        <w:trPr>
          <w:trHeight w:val="280"/>
        </w:trPr>
        <w:tc>
          <w:tcPr>
            <w:tcW w:w="3402" w:type="dxa"/>
            <w:tcBorders>
              <w:top w:val="nil"/>
              <w:left w:val="double" w:sz="6" w:space="0" w:color="auto"/>
              <w:bottom w:val="single" w:sz="4" w:space="0" w:color="auto"/>
              <w:right w:val="single" w:sz="4" w:space="0" w:color="auto"/>
            </w:tcBorders>
            <w:shd w:val="clear" w:color="auto" w:fill="auto"/>
            <w:vAlign w:val="center"/>
          </w:tcPr>
          <w:p w14:paraId="24363D23"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4FD43A49"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115,</w:t>
            </w:r>
            <w:r w:rsidRPr="00A53AD7">
              <w:rPr>
                <w:rFonts w:ascii="Times New Roman" w:eastAsia="Times New Roman" w:hAnsi="Times New Roman"/>
                <w:sz w:val="20"/>
                <w:szCs w:val="20"/>
                <w:lang w:val="en-US" w:eastAsia="ru-RU"/>
              </w:rPr>
              <w:t>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BCCE2CE"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115,</w:t>
            </w:r>
            <w:r w:rsidRPr="00A53AD7">
              <w:rPr>
                <w:rFonts w:ascii="Times New Roman" w:eastAsia="Times New Roman" w:hAnsi="Times New Roman"/>
                <w:sz w:val="20"/>
                <w:szCs w:val="20"/>
                <w:lang w:val="en-US" w:eastAsia="ru-RU"/>
              </w:rPr>
              <w:t>8</w:t>
            </w:r>
          </w:p>
        </w:tc>
        <w:tc>
          <w:tcPr>
            <w:tcW w:w="1123" w:type="dxa"/>
            <w:tcBorders>
              <w:top w:val="single" w:sz="4" w:space="0" w:color="auto"/>
              <w:left w:val="nil"/>
              <w:bottom w:val="single" w:sz="4" w:space="0" w:color="auto"/>
              <w:right w:val="single" w:sz="4" w:space="0" w:color="auto"/>
            </w:tcBorders>
          </w:tcPr>
          <w:p w14:paraId="1E25BBF9"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115,</w:t>
            </w:r>
            <w:r w:rsidRPr="00A53AD7">
              <w:rPr>
                <w:rFonts w:ascii="Times New Roman" w:eastAsia="Times New Roman" w:hAnsi="Times New Roman"/>
                <w:sz w:val="20"/>
                <w:szCs w:val="20"/>
                <w:lang w:val="en-US" w:eastAsia="ru-RU"/>
              </w:rPr>
              <w:t>8</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90FB5"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78CC5AD5"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775BE183"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00BA0036"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AA6BA6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43,3</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949263B"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43,3</w:t>
            </w:r>
          </w:p>
        </w:tc>
        <w:tc>
          <w:tcPr>
            <w:tcW w:w="1123" w:type="dxa"/>
            <w:tcBorders>
              <w:top w:val="single" w:sz="4" w:space="0" w:color="auto"/>
              <w:left w:val="nil"/>
              <w:bottom w:val="single" w:sz="4" w:space="0" w:color="auto"/>
              <w:right w:val="single" w:sz="4" w:space="0" w:color="auto"/>
            </w:tcBorders>
          </w:tcPr>
          <w:p w14:paraId="364C88B7"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43,3</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5A1CF"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0BBD4710"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r>
      <w:tr w:rsidR="00D470B6" w:rsidRPr="00A53AD7" w14:paraId="50D55099"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1AE76158" w14:textId="77777777" w:rsidR="001E1920" w:rsidRPr="00A53AD7" w:rsidRDefault="001E1920" w:rsidP="001E1920">
            <w:pPr>
              <w:spacing w:after="0" w:line="240" w:lineRule="auto"/>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rPr>
              <w:t xml:space="preserve">5. Региональный проект </w:t>
            </w:r>
            <w:r w:rsidRPr="00A53AD7">
              <w:rPr>
                <w:rFonts w:ascii="Times New Roman" w:eastAsia="Times New Roman" w:hAnsi="Times New Roman" w:cs="Arial"/>
                <w:sz w:val="20"/>
                <w:szCs w:val="20"/>
                <w:lang w:eastAsia="ru-RU"/>
              </w:rPr>
              <w:t>«</w:t>
            </w:r>
            <w:r w:rsidRPr="00A53AD7">
              <w:rPr>
                <w:rFonts w:ascii="Times New Roman" w:eastAsia="Times New Roman" w:hAnsi="Times New Roman"/>
                <w:sz w:val="20"/>
                <w:szCs w:val="20"/>
                <w:lang w:eastAsia="ru-RU" w:bidi="ru-RU"/>
              </w:rPr>
              <w:t xml:space="preserve">Создание единого цифрового контура в здравоохранении на основе единой государственной информационной системы в сфере здравоохранения </w:t>
            </w:r>
          </w:p>
          <w:p w14:paraId="398E1F19"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bidi="ru-RU"/>
              </w:rPr>
              <w:t>(ЕГИСЗ)</w:t>
            </w:r>
            <w:r w:rsidRPr="00A53AD7">
              <w:rPr>
                <w:rFonts w:ascii="Times New Roman" w:eastAsia="Times New Roman" w:hAnsi="Times New Roman" w:cs="Arial"/>
                <w:sz w:val="20"/>
                <w:szCs w:val="20"/>
                <w:lang w:eastAsia="ru-RU"/>
              </w:rPr>
              <w:t xml:space="preserve"> (Архангельской область)», всего, в том числе:</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C4BC96B"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153,8</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27ABE5A"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153,8</w:t>
            </w:r>
          </w:p>
        </w:tc>
        <w:tc>
          <w:tcPr>
            <w:tcW w:w="1123" w:type="dxa"/>
            <w:tcBorders>
              <w:top w:val="single" w:sz="4" w:space="0" w:color="auto"/>
              <w:left w:val="nil"/>
              <w:bottom w:val="single" w:sz="4" w:space="0" w:color="auto"/>
              <w:right w:val="single" w:sz="4" w:space="0" w:color="auto"/>
            </w:tcBorders>
            <w:vAlign w:val="center"/>
          </w:tcPr>
          <w:p w14:paraId="59E54A2D"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152,1</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B8520"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6E0F023A"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98,9</w:t>
            </w:r>
          </w:p>
        </w:tc>
      </w:tr>
      <w:tr w:rsidR="00D470B6" w:rsidRPr="00A53AD7" w14:paraId="4D212BF4" w14:textId="77777777" w:rsidTr="001E1920">
        <w:trPr>
          <w:trHeight w:val="262"/>
        </w:trPr>
        <w:tc>
          <w:tcPr>
            <w:tcW w:w="3402" w:type="dxa"/>
            <w:tcBorders>
              <w:top w:val="nil"/>
              <w:left w:val="double" w:sz="6" w:space="0" w:color="auto"/>
              <w:bottom w:val="single" w:sz="4" w:space="0" w:color="auto"/>
              <w:right w:val="single" w:sz="4" w:space="0" w:color="auto"/>
            </w:tcBorders>
            <w:shd w:val="clear" w:color="auto" w:fill="auto"/>
            <w:vAlign w:val="center"/>
          </w:tcPr>
          <w:p w14:paraId="2281DC38"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AEA13A1"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148,</w:t>
            </w:r>
            <w:r w:rsidRPr="00A53AD7">
              <w:rPr>
                <w:rFonts w:ascii="Times New Roman" w:eastAsia="Times New Roman" w:hAnsi="Times New Roman"/>
                <w:sz w:val="20"/>
                <w:szCs w:val="20"/>
                <w:lang w:val="en-US" w:eastAsia="ru-RU"/>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0FFE5AD"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148,</w:t>
            </w:r>
            <w:r w:rsidRPr="00A53AD7">
              <w:rPr>
                <w:rFonts w:ascii="Times New Roman" w:eastAsia="Times New Roman" w:hAnsi="Times New Roman"/>
                <w:sz w:val="20"/>
                <w:szCs w:val="20"/>
                <w:lang w:val="en-US" w:eastAsia="ru-RU"/>
              </w:rPr>
              <w:t>3</w:t>
            </w:r>
          </w:p>
        </w:tc>
        <w:tc>
          <w:tcPr>
            <w:tcW w:w="1123" w:type="dxa"/>
            <w:tcBorders>
              <w:top w:val="single" w:sz="4" w:space="0" w:color="auto"/>
              <w:left w:val="nil"/>
              <w:bottom w:val="single" w:sz="4" w:space="0" w:color="auto"/>
              <w:right w:val="single" w:sz="4" w:space="0" w:color="auto"/>
            </w:tcBorders>
            <w:vAlign w:val="center"/>
          </w:tcPr>
          <w:p w14:paraId="641ADDC2"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146,6</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595A"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0902D7E5"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98,9</w:t>
            </w:r>
          </w:p>
        </w:tc>
      </w:tr>
      <w:tr w:rsidR="00D470B6" w:rsidRPr="00A53AD7" w14:paraId="23419CA9"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0CA01F96"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5E87F34"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5,</w:t>
            </w:r>
            <w:r w:rsidRPr="00A53AD7">
              <w:rPr>
                <w:rFonts w:ascii="Times New Roman" w:eastAsia="Times New Roman" w:hAnsi="Times New Roman"/>
                <w:sz w:val="20"/>
                <w:szCs w:val="20"/>
                <w:lang w:val="en-US" w:eastAsia="ru-RU"/>
              </w:rPr>
              <w:t>5</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364D33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5,5</w:t>
            </w:r>
          </w:p>
        </w:tc>
        <w:tc>
          <w:tcPr>
            <w:tcW w:w="1123" w:type="dxa"/>
            <w:tcBorders>
              <w:top w:val="single" w:sz="4" w:space="0" w:color="auto"/>
              <w:left w:val="nil"/>
              <w:bottom w:val="single" w:sz="4" w:space="0" w:color="auto"/>
              <w:right w:val="single" w:sz="4" w:space="0" w:color="auto"/>
            </w:tcBorders>
            <w:vAlign w:val="center"/>
          </w:tcPr>
          <w:p w14:paraId="7E06EED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5,48</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4B70B"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100,00</w:t>
            </w:r>
          </w:p>
        </w:tc>
        <w:tc>
          <w:tcPr>
            <w:tcW w:w="1134" w:type="dxa"/>
            <w:tcBorders>
              <w:top w:val="single" w:sz="4" w:space="0" w:color="auto"/>
              <w:left w:val="single" w:sz="4" w:space="0" w:color="auto"/>
              <w:bottom w:val="single" w:sz="4" w:space="0" w:color="auto"/>
              <w:right w:val="double" w:sz="6" w:space="0" w:color="auto"/>
            </w:tcBorders>
            <w:vAlign w:val="center"/>
          </w:tcPr>
          <w:p w14:paraId="2EEF0939"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98,9</w:t>
            </w:r>
          </w:p>
        </w:tc>
      </w:tr>
      <w:tr w:rsidR="00D470B6" w:rsidRPr="00A53AD7" w14:paraId="4522DADC"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2723C7C7"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b/>
                <w:sz w:val="20"/>
                <w:szCs w:val="20"/>
                <w:lang w:eastAsia="ru-RU"/>
              </w:rPr>
              <w:t>Итого национальный проект «</w:t>
            </w:r>
            <w:r w:rsidRPr="00A53AD7">
              <w:rPr>
                <w:rFonts w:ascii="Times New Roman" w:hAnsi="Times New Roman"/>
                <w:sz w:val="20"/>
                <w:szCs w:val="20"/>
              </w:rPr>
              <w:t>Здравоохранение</w:t>
            </w:r>
            <w:r w:rsidRPr="00A53AD7">
              <w:rPr>
                <w:rFonts w:ascii="Times New Roman" w:eastAsia="Times New Roman" w:hAnsi="Times New Roman"/>
                <w:b/>
                <w:sz w:val="20"/>
                <w:szCs w:val="20"/>
                <w:lang w:eastAsia="ru-RU"/>
              </w:rPr>
              <w:t>» всего, в том числе</w:t>
            </w:r>
            <w:r w:rsidRPr="00A53AD7">
              <w:rPr>
                <w:rFonts w:ascii="Times New Roman" w:eastAsia="Times New Roman" w:hAnsi="Times New Roman"/>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2B3E29B"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940,</w:t>
            </w:r>
            <w:r w:rsidRPr="00A53AD7">
              <w:rPr>
                <w:rFonts w:ascii="Times New Roman" w:eastAsia="Times New Roman" w:hAnsi="Times New Roman"/>
                <w:b/>
                <w:sz w:val="20"/>
                <w:szCs w:val="20"/>
                <w:lang w:val="en-US" w:eastAsia="ru-RU"/>
              </w:rPr>
              <w:t>2</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A090875"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940,</w:t>
            </w:r>
            <w:r w:rsidRPr="00A53AD7">
              <w:rPr>
                <w:rFonts w:ascii="Times New Roman" w:eastAsia="Times New Roman" w:hAnsi="Times New Roman"/>
                <w:b/>
                <w:sz w:val="20"/>
                <w:szCs w:val="20"/>
                <w:lang w:val="en-US" w:eastAsia="ru-RU"/>
              </w:rPr>
              <w:t>2</w:t>
            </w:r>
          </w:p>
        </w:tc>
        <w:tc>
          <w:tcPr>
            <w:tcW w:w="1123" w:type="dxa"/>
            <w:tcBorders>
              <w:top w:val="single" w:sz="4" w:space="0" w:color="auto"/>
              <w:left w:val="nil"/>
              <w:bottom w:val="single" w:sz="4" w:space="0" w:color="auto"/>
              <w:right w:val="single" w:sz="4" w:space="0" w:color="auto"/>
            </w:tcBorders>
            <w:vAlign w:val="center"/>
          </w:tcPr>
          <w:p w14:paraId="77965A86" w14:textId="77777777" w:rsidR="001E1920" w:rsidRPr="00A53AD7" w:rsidRDefault="001E1920" w:rsidP="00F944D4">
            <w:pPr>
              <w:spacing w:after="0" w:line="240" w:lineRule="auto"/>
              <w:jc w:val="right"/>
              <w:rPr>
                <w:rFonts w:ascii="Times New Roman" w:eastAsia="Times New Roman" w:hAnsi="Times New Roman"/>
                <w:b/>
                <w:sz w:val="20"/>
                <w:szCs w:val="20"/>
                <w:lang w:val="en-US" w:eastAsia="ru-RU"/>
              </w:rPr>
            </w:pPr>
            <w:r w:rsidRPr="00A53AD7">
              <w:rPr>
                <w:rFonts w:ascii="Times New Roman" w:eastAsia="Times New Roman" w:hAnsi="Times New Roman"/>
                <w:b/>
                <w:sz w:val="20"/>
                <w:szCs w:val="20"/>
                <w:lang w:eastAsia="ru-RU"/>
              </w:rPr>
              <w:t>921,</w:t>
            </w:r>
            <w:r w:rsidRPr="00A53AD7">
              <w:rPr>
                <w:rFonts w:ascii="Times New Roman" w:eastAsia="Times New Roman" w:hAnsi="Times New Roman"/>
                <w:b/>
                <w:sz w:val="20"/>
                <w:szCs w:val="20"/>
                <w:lang w:val="en-US" w:eastAsia="ru-RU"/>
              </w:rPr>
              <w:t>7</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BC7B4"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6AC93C80" w14:textId="77777777" w:rsidR="001E1920" w:rsidRPr="00A53AD7" w:rsidRDefault="001E1920" w:rsidP="00F944D4">
            <w:pPr>
              <w:spacing w:after="0" w:line="240" w:lineRule="auto"/>
              <w:jc w:val="right"/>
              <w:rPr>
                <w:rFonts w:ascii="Times New Roman" w:eastAsia="Times New Roman" w:hAnsi="Times New Roman"/>
                <w:b/>
                <w:sz w:val="20"/>
                <w:szCs w:val="20"/>
                <w:lang w:eastAsia="ru-RU"/>
              </w:rPr>
            </w:pPr>
            <w:r w:rsidRPr="00A53AD7">
              <w:rPr>
                <w:rFonts w:ascii="Times New Roman" w:eastAsia="Times New Roman" w:hAnsi="Times New Roman"/>
                <w:b/>
                <w:sz w:val="20"/>
                <w:szCs w:val="20"/>
                <w:lang w:eastAsia="ru-RU"/>
              </w:rPr>
              <w:t>98,04</w:t>
            </w:r>
          </w:p>
        </w:tc>
      </w:tr>
      <w:tr w:rsidR="00D470B6" w:rsidRPr="00A53AD7" w14:paraId="49E27041" w14:textId="77777777" w:rsidTr="001E1920">
        <w:trPr>
          <w:trHeight w:val="280"/>
        </w:trPr>
        <w:tc>
          <w:tcPr>
            <w:tcW w:w="3402" w:type="dxa"/>
            <w:tcBorders>
              <w:top w:val="single" w:sz="4" w:space="0" w:color="auto"/>
              <w:left w:val="double" w:sz="6" w:space="0" w:color="auto"/>
              <w:bottom w:val="single" w:sz="4" w:space="0" w:color="auto"/>
              <w:right w:val="single" w:sz="4" w:space="0" w:color="auto"/>
            </w:tcBorders>
            <w:shd w:val="clear" w:color="auto" w:fill="auto"/>
            <w:vAlign w:val="center"/>
          </w:tcPr>
          <w:p w14:paraId="6532F42D"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федерального бюджета</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6ECE3C69"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873,4</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78F06EB8" w14:textId="77777777" w:rsidR="001E1920" w:rsidRPr="00A53AD7" w:rsidRDefault="001E1920" w:rsidP="00F944D4">
            <w:pPr>
              <w:spacing w:after="0" w:line="240" w:lineRule="auto"/>
              <w:jc w:val="right"/>
              <w:rPr>
                <w:rFonts w:ascii="Times New Roman" w:eastAsia="Times New Roman" w:hAnsi="Times New Roman"/>
                <w:sz w:val="20"/>
                <w:szCs w:val="20"/>
                <w:lang w:val="en-US" w:eastAsia="ru-RU"/>
              </w:rPr>
            </w:pPr>
            <w:r w:rsidRPr="00A53AD7">
              <w:rPr>
                <w:rFonts w:ascii="Times New Roman" w:eastAsia="Times New Roman" w:hAnsi="Times New Roman"/>
                <w:sz w:val="20"/>
                <w:szCs w:val="20"/>
                <w:lang w:eastAsia="ru-RU"/>
              </w:rPr>
              <w:t>873,4</w:t>
            </w:r>
          </w:p>
        </w:tc>
        <w:tc>
          <w:tcPr>
            <w:tcW w:w="1123" w:type="dxa"/>
            <w:tcBorders>
              <w:top w:val="single" w:sz="4" w:space="0" w:color="auto"/>
              <w:left w:val="nil"/>
              <w:bottom w:val="single" w:sz="4" w:space="0" w:color="auto"/>
              <w:right w:val="single" w:sz="4" w:space="0" w:color="auto"/>
            </w:tcBorders>
            <w:vAlign w:val="center"/>
          </w:tcPr>
          <w:p w14:paraId="3AD47C4F"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val="en-US" w:eastAsia="ru-RU"/>
              </w:rPr>
              <w:t>855</w:t>
            </w:r>
            <w:r w:rsidRPr="00A53AD7">
              <w:rPr>
                <w:rFonts w:ascii="Times New Roman" w:eastAsia="Times New Roman" w:hAnsi="Times New Roman"/>
                <w:sz w:val="20"/>
                <w:szCs w:val="20"/>
                <w:lang w:eastAsia="ru-RU"/>
              </w:rPr>
              <w:t>,0</w:t>
            </w:r>
          </w:p>
        </w:tc>
        <w:tc>
          <w:tcPr>
            <w:tcW w:w="11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1B918"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single" w:sz="4" w:space="0" w:color="auto"/>
              <w:right w:val="double" w:sz="6" w:space="0" w:color="auto"/>
            </w:tcBorders>
            <w:vAlign w:val="center"/>
          </w:tcPr>
          <w:p w14:paraId="311691C1"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97,9</w:t>
            </w:r>
          </w:p>
        </w:tc>
      </w:tr>
      <w:tr w:rsidR="001E1920" w:rsidRPr="00A53AD7" w14:paraId="4AC89644" w14:textId="77777777" w:rsidTr="001E1920">
        <w:trPr>
          <w:trHeight w:val="280"/>
        </w:trPr>
        <w:tc>
          <w:tcPr>
            <w:tcW w:w="3402" w:type="dxa"/>
            <w:tcBorders>
              <w:top w:val="single" w:sz="4" w:space="0" w:color="auto"/>
              <w:left w:val="double" w:sz="6" w:space="0" w:color="auto"/>
              <w:bottom w:val="double" w:sz="4" w:space="0" w:color="auto"/>
              <w:right w:val="single" w:sz="4" w:space="0" w:color="auto"/>
            </w:tcBorders>
            <w:shd w:val="clear" w:color="auto" w:fill="auto"/>
            <w:vAlign w:val="center"/>
          </w:tcPr>
          <w:p w14:paraId="0EF950F9" w14:textId="77777777" w:rsidR="001E1920" w:rsidRPr="00A53AD7" w:rsidRDefault="001E1920" w:rsidP="001E1920">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средства областного бюджета</w:t>
            </w:r>
          </w:p>
        </w:tc>
        <w:tc>
          <w:tcPr>
            <w:tcW w:w="1276" w:type="dxa"/>
            <w:tcBorders>
              <w:top w:val="single" w:sz="4" w:space="0" w:color="auto"/>
              <w:left w:val="nil"/>
              <w:bottom w:val="double" w:sz="4" w:space="0" w:color="auto"/>
              <w:right w:val="single" w:sz="4" w:space="0" w:color="auto"/>
            </w:tcBorders>
            <w:shd w:val="clear" w:color="auto" w:fill="auto"/>
            <w:noWrap/>
            <w:vAlign w:val="center"/>
          </w:tcPr>
          <w:p w14:paraId="0DA40E6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66,8</w:t>
            </w:r>
          </w:p>
        </w:tc>
        <w:tc>
          <w:tcPr>
            <w:tcW w:w="1276" w:type="dxa"/>
            <w:tcBorders>
              <w:top w:val="single" w:sz="4" w:space="0" w:color="auto"/>
              <w:left w:val="nil"/>
              <w:bottom w:val="double" w:sz="4" w:space="0" w:color="auto"/>
              <w:right w:val="single" w:sz="4" w:space="0" w:color="auto"/>
            </w:tcBorders>
            <w:shd w:val="clear" w:color="auto" w:fill="auto"/>
            <w:noWrap/>
            <w:vAlign w:val="center"/>
          </w:tcPr>
          <w:p w14:paraId="69C8D310"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66,8</w:t>
            </w:r>
          </w:p>
        </w:tc>
        <w:tc>
          <w:tcPr>
            <w:tcW w:w="1123" w:type="dxa"/>
            <w:tcBorders>
              <w:top w:val="single" w:sz="4" w:space="0" w:color="auto"/>
              <w:left w:val="nil"/>
              <w:bottom w:val="double" w:sz="4" w:space="0" w:color="auto"/>
              <w:right w:val="single" w:sz="4" w:space="0" w:color="auto"/>
            </w:tcBorders>
            <w:vAlign w:val="center"/>
          </w:tcPr>
          <w:p w14:paraId="58560A9E"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66,7</w:t>
            </w:r>
          </w:p>
        </w:tc>
        <w:tc>
          <w:tcPr>
            <w:tcW w:w="1145"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7E22843"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100,0</w:t>
            </w:r>
          </w:p>
        </w:tc>
        <w:tc>
          <w:tcPr>
            <w:tcW w:w="1134" w:type="dxa"/>
            <w:tcBorders>
              <w:top w:val="single" w:sz="4" w:space="0" w:color="auto"/>
              <w:left w:val="single" w:sz="4" w:space="0" w:color="auto"/>
              <w:bottom w:val="double" w:sz="4" w:space="0" w:color="auto"/>
              <w:right w:val="double" w:sz="6" w:space="0" w:color="auto"/>
            </w:tcBorders>
            <w:vAlign w:val="center"/>
          </w:tcPr>
          <w:p w14:paraId="3A2F7C84" w14:textId="77777777" w:rsidR="001E1920" w:rsidRPr="00A53AD7" w:rsidRDefault="001E1920" w:rsidP="00F944D4">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99,9</w:t>
            </w:r>
          </w:p>
        </w:tc>
      </w:tr>
    </w:tbl>
    <w:p w14:paraId="0C397F08" w14:textId="77777777" w:rsidR="001E1920" w:rsidRPr="00A53AD7" w:rsidRDefault="001E1920" w:rsidP="001E1920">
      <w:pPr>
        <w:spacing w:after="0" w:line="240" w:lineRule="auto"/>
        <w:ind w:firstLine="709"/>
        <w:jc w:val="both"/>
        <w:rPr>
          <w:rFonts w:ascii="Times New Roman" w:hAnsi="Times New Roman"/>
          <w:sz w:val="16"/>
          <w:szCs w:val="16"/>
          <w:highlight w:val="cyan"/>
        </w:rPr>
      </w:pPr>
    </w:p>
    <w:p w14:paraId="14CAFE98"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таблицы следует, что из 5 региональных проектов наименьший процент освоения бюджетных ассигнований за 2019 год сложился по региональному проекту «Борьба с онкологическими заболеваниями (Архангельской область)» - 96,7%. </w:t>
      </w:r>
    </w:p>
    <w:p w14:paraId="4A95D8E5"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Реализация задач 5 региональных проектов национального проекта «Здравоохранение» осуществляется в рамках мероприятий 6 подпрограмм госпрограммы.</w:t>
      </w:r>
    </w:p>
    <w:p w14:paraId="71AEB490" w14:textId="3E8CD213"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Региональный проект «Развитие системы оказания первичной медико-санитарной помощи (Архангельской область)», по которому предусмотрены бюджетные ассигнования в общем объеме 207,8 млн.руб., реализуется в рамках мероприятий следующих подпрограмм госпрограммы: подпрограммы № 1 по 1 мероприятию в сумме 86,2 млн.руб., подпрограммы № 2 по 1 мероприятию в сумме 116,6 млн.руб, и подпрограммы № 10 по 1 мероприятию в сумме 5,0 млн.руб.</w:t>
      </w:r>
    </w:p>
    <w:p w14:paraId="5651DD51" w14:textId="77777777" w:rsidR="001E1920" w:rsidRPr="00A53AD7" w:rsidRDefault="001E1920" w:rsidP="001E1920">
      <w:pPr>
        <w:spacing w:after="0" w:line="240" w:lineRule="auto"/>
        <w:ind w:firstLine="709"/>
        <w:jc w:val="both"/>
        <w:rPr>
          <w:rFonts w:ascii="Times New Roman" w:hAnsi="Times New Roman"/>
          <w:sz w:val="16"/>
          <w:szCs w:val="16"/>
          <w:highlight w:val="cyan"/>
        </w:rPr>
      </w:pPr>
    </w:p>
    <w:p w14:paraId="1DA44093" w14:textId="77777777" w:rsidR="001E1920" w:rsidRPr="00A53AD7" w:rsidRDefault="001E1920" w:rsidP="001E1920">
      <w:pPr>
        <w:widowControl w:val="0"/>
        <w:spacing w:after="0" w:line="240" w:lineRule="auto"/>
        <w:ind w:firstLine="851"/>
        <w:jc w:val="both"/>
        <w:rPr>
          <w:rFonts w:ascii="Times New Roman" w:hAnsi="Times New Roman"/>
          <w:sz w:val="28"/>
          <w:szCs w:val="28"/>
        </w:rPr>
      </w:pPr>
      <w:r w:rsidRPr="00A53AD7">
        <w:rPr>
          <w:rFonts w:ascii="Times New Roman" w:eastAsia="Times New Roman" w:hAnsi="Times New Roman"/>
          <w:i/>
          <w:sz w:val="28"/>
          <w:szCs w:val="28"/>
          <w:lang w:eastAsia="ru-RU" w:bidi="ru-RU"/>
        </w:rPr>
        <w:t>По подпрограмме № 1</w:t>
      </w:r>
      <w:r w:rsidRPr="00A53AD7">
        <w:rPr>
          <w:rFonts w:ascii="Times New Roman" w:eastAsia="Times New Roman" w:hAnsi="Times New Roman"/>
          <w:sz w:val="28"/>
          <w:szCs w:val="28"/>
          <w:lang w:eastAsia="ru-RU" w:bidi="ru-RU"/>
        </w:rPr>
        <w:t xml:space="preserve"> «Профилактика заболеваний и формирование здорового образа жизни. Развитие первичной медико-санитарной помощи» реализуется 1 мероприятие регионального проекта «Развитие системы оказания первичной медико-санитарной помощи (Архангельская область)».</w:t>
      </w:r>
    </w:p>
    <w:tbl>
      <w:tblPr>
        <w:tblOverlap w:val="neve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3"/>
        <w:gridCol w:w="2114"/>
        <w:gridCol w:w="992"/>
        <w:gridCol w:w="1131"/>
        <w:gridCol w:w="983"/>
        <w:gridCol w:w="982"/>
      </w:tblGrid>
      <w:tr w:rsidR="00D470B6" w:rsidRPr="00A53AD7" w14:paraId="377196E7" w14:textId="77777777" w:rsidTr="001E1920">
        <w:trPr>
          <w:trHeight w:val="1555"/>
          <w:tblHeader/>
          <w:jc w:val="center"/>
        </w:trPr>
        <w:tc>
          <w:tcPr>
            <w:tcW w:w="2833" w:type="dxa"/>
            <w:tcBorders>
              <w:top w:val="double" w:sz="4" w:space="0" w:color="auto"/>
              <w:left w:val="double" w:sz="4" w:space="0" w:color="auto"/>
            </w:tcBorders>
            <w:shd w:val="clear" w:color="auto" w:fill="FFFFFF"/>
            <w:vAlign w:val="center"/>
          </w:tcPr>
          <w:p w14:paraId="414DFA34"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мероприятия подпрограммы</w:t>
            </w:r>
          </w:p>
        </w:tc>
        <w:tc>
          <w:tcPr>
            <w:tcW w:w="2114" w:type="dxa"/>
            <w:tcBorders>
              <w:top w:val="double" w:sz="4" w:space="0" w:color="auto"/>
            </w:tcBorders>
            <w:shd w:val="clear" w:color="auto" w:fill="FFFFFF"/>
            <w:vAlign w:val="center"/>
          </w:tcPr>
          <w:p w14:paraId="67847C92"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регионального проекта</w:t>
            </w:r>
          </w:p>
        </w:tc>
        <w:tc>
          <w:tcPr>
            <w:tcW w:w="992" w:type="dxa"/>
            <w:tcBorders>
              <w:top w:val="double" w:sz="4" w:space="0" w:color="auto"/>
            </w:tcBorders>
            <w:shd w:val="clear" w:color="auto" w:fill="FFFFFF"/>
            <w:vAlign w:val="center"/>
          </w:tcPr>
          <w:p w14:paraId="60ABEB84"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Источник финансирования (ОБ-областной бюджет, ФБ-федеральный бюджет)</w:t>
            </w:r>
          </w:p>
        </w:tc>
        <w:tc>
          <w:tcPr>
            <w:tcW w:w="1131" w:type="dxa"/>
            <w:tcBorders>
              <w:top w:val="double" w:sz="4" w:space="0" w:color="auto"/>
            </w:tcBorders>
            <w:shd w:val="clear" w:color="auto" w:fill="FFFFFF"/>
            <w:vAlign w:val="center"/>
          </w:tcPr>
          <w:p w14:paraId="3E77182C"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Объем финансирования на 2019 год, млн.руб.</w:t>
            </w:r>
          </w:p>
        </w:tc>
        <w:tc>
          <w:tcPr>
            <w:tcW w:w="983" w:type="dxa"/>
            <w:tcBorders>
              <w:top w:val="double" w:sz="4" w:space="0" w:color="auto"/>
            </w:tcBorders>
            <w:shd w:val="clear" w:color="auto" w:fill="FFFFFF"/>
            <w:vAlign w:val="center"/>
          </w:tcPr>
          <w:p w14:paraId="79E71511"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Кассовое исполнение за 2019 год, млн.руб.</w:t>
            </w:r>
          </w:p>
        </w:tc>
        <w:tc>
          <w:tcPr>
            <w:tcW w:w="982" w:type="dxa"/>
            <w:tcBorders>
              <w:top w:val="double" w:sz="4" w:space="0" w:color="auto"/>
              <w:right w:val="double" w:sz="4" w:space="0" w:color="auto"/>
            </w:tcBorders>
            <w:shd w:val="clear" w:color="auto" w:fill="FFFFFF"/>
            <w:vAlign w:val="center"/>
          </w:tcPr>
          <w:p w14:paraId="31201926"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Освоено за 2019 год, млн.руб.</w:t>
            </w:r>
          </w:p>
        </w:tc>
      </w:tr>
      <w:tr w:rsidR="00D470B6" w:rsidRPr="00A53AD7" w14:paraId="185F7604" w14:textId="77777777" w:rsidTr="001E1920">
        <w:trPr>
          <w:trHeight w:hRule="exact" w:val="1360"/>
          <w:jc w:val="center"/>
        </w:trPr>
        <w:tc>
          <w:tcPr>
            <w:tcW w:w="2833" w:type="dxa"/>
            <w:tcBorders>
              <w:left w:val="double" w:sz="4" w:space="0" w:color="auto"/>
              <w:bottom w:val="double" w:sz="4" w:space="0" w:color="auto"/>
            </w:tcBorders>
            <w:shd w:val="clear" w:color="auto" w:fill="FFFFFF"/>
          </w:tcPr>
          <w:p w14:paraId="1BB6FC6E"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4.7. Приобретение передвижных медицинских комплексов для оказания медицинской помощи жителям населенных пунктов Архангельской области</w:t>
            </w:r>
          </w:p>
        </w:tc>
        <w:tc>
          <w:tcPr>
            <w:tcW w:w="2114" w:type="dxa"/>
            <w:tcBorders>
              <w:bottom w:val="double" w:sz="4" w:space="0" w:color="auto"/>
            </w:tcBorders>
            <w:shd w:val="clear" w:color="auto" w:fill="FFFFFF"/>
          </w:tcPr>
          <w:p w14:paraId="55FEB9A3"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Развитие системы оказания первичной медико-санитарной помощи (Архангельская область)</w:t>
            </w:r>
          </w:p>
        </w:tc>
        <w:tc>
          <w:tcPr>
            <w:tcW w:w="992" w:type="dxa"/>
            <w:tcBorders>
              <w:bottom w:val="double" w:sz="4" w:space="0" w:color="auto"/>
            </w:tcBorders>
            <w:shd w:val="clear" w:color="auto" w:fill="FFFFFF"/>
            <w:vAlign w:val="center"/>
          </w:tcPr>
          <w:p w14:paraId="28248C77"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tc>
        <w:tc>
          <w:tcPr>
            <w:tcW w:w="1131" w:type="dxa"/>
            <w:tcBorders>
              <w:bottom w:val="double" w:sz="4" w:space="0" w:color="auto"/>
            </w:tcBorders>
            <w:shd w:val="clear" w:color="auto" w:fill="FFFFFF"/>
            <w:vAlign w:val="center"/>
          </w:tcPr>
          <w:p w14:paraId="1D2D7A70" w14:textId="77777777" w:rsidR="001E1920" w:rsidRPr="00A53AD7" w:rsidRDefault="001E1920" w:rsidP="00F944D4">
            <w:pPr>
              <w:widowControl w:val="0"/>
              <w:spacing w:after="0" w:line="240" w:lineRule="auto"/>
              <w:ind w:left="127" w:right="133"/>
              <w:jc w:val="right"/>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86,2</w:t>
            </w:r>
          </w:p>
        </w:tc>
        <w:tc>
          <w:tcPr>
            <w:tcW w:w="983" w:type="dxa"/>
            <w:tcBorders>
              <w:bottom w:val="double" w:sz="4" w:space="0" w:color="auto"/>
            </w:tcBorders>
            <w:shd w:val="clear" w:color="auto" w:fill="FFFFFF"/>
            <w:vAlign w:val="center"/>
          </w:tcPr>
          <w:p w14:paraId="74BEDFEB" w14:textId="77777777" w:rsidR="001E1920" w:rsidRPr="00A53AD7" w:rsidRDefault="001E1920" w:rsidP="00F944D4">
            <w:pPr>
              <w:widowControl w:val="0"/>
              <w:spacing w:after="0" w:line="240" w:lineRule="auto"/>
              <w:ind w:left="127" w:right="133"/>
              <w:jc w:val="right"/>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86,2</w:t>
            </w:r>
          </w:p>
        </w:tc>
        <w:tc>
          <w:tcPr>
            <w:tcW w:w="982" w:type="dxa"/>
            <w:tcBorders>
              <w:bottom w:val="double" w:sz="4" w:space="0" w:color="auto"/>
              <w:right w:val="double" w:sz="4" w:space="0" w:color="auto"/>
            </w:tcBorders>
            <w:shd w:val="clear" w:color="auto" w:fill="FFFFFF"/>
            <w:vAlign w:val="center"/>
          </w:tcPr>
          <w:p w14:paraId="59A13447" w14:textId="77777777" w:rsidR="001E1920" w:rsidRPr="00A53AD7" w:rsidRDefault="001E1920" w:rsidP="00F944D4">
            <w:pPr>
              <w:widowControl w:val="0"/>
              <w:spacing w:after="0" w:line="240" w:lineRule="auto"/>
              <w:ind w:left="127" w:right="133"/>
              <w:jc w:val="right"/>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85,9</w:t>
            </w:r>
          </w:p>
        </w:tc>
      </w:tr>
    </w:tbl>
    <w:p w14:paraId="4DA09EBB" w14:textId="77777777" w:rsidR="001E1920" w:rsidRPr="00A53AD7" w:rsidRDefault="001E1920" w:rsidP="001E1920">
      <w:pPr>
        <w:spacing w:after="0" w:line="240" w:lineRule="auto"/>
        <w:ind w:firstLine="851"/>
        <w:jc w:val="both"/>
        <w:rPr>
          <w:rFonts w:ascii="Times New Roman" w:hAnsi="Times New Roman"/>
          <w:sz w:val="28"/>
          <w:szCs w:val="28"/>
        </w:rPr>
      </w:pPr>
    </w:p>
    <w:p w14:paraId="213F3259"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соглашению от 13.02.2019 № 056-17-2019-224, в целях выполнения мероприятия 4.7. «Приобретение передвижных медицинских комплексов для оказания медицинской помощи жителям населенных пунктов Архангельской области», до 31.12.2019 необходимо приобрести 9 мобильных медицинских комплексов (ориентировочная средняя стоимость 1 комплекса - 9,6 млн.руб.).</w:t>
      </w:r>
    </w:p>
    <w:p w14:paraId="107B5155" w14:textId="740D8C88"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произведены в полном объеме, 100% к сводной бюджетной росписи. Субсидия перечислена 9 бюджетным учреждениям: Верхнетоемская центральная районная больница, Вельская центральная районная больница, Устьянская центральная районная больница, Коряжемская городская больница, Северодвинская городская клиническая больница № 2 скорой медицинской помощи, Красноборская центральная районная больница, Коношская центральная районная больница, Плесецкая центральная районная больница и Лешуконская центральная районная больница. Учреждениями заключены контракты от 18.09.2019 и от 19.09.2019 с АО ПО «УОМЗ» на поставку 9 передвижных комплексов по цене 9,5 млн.руб. за комплекс.</w:t>
      </w:r>
    </w:p>
    <w:p w14:paraId="65EBEAEA" w14:textId="25F646F9"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представленного отчета за 2019 год следует, что бюджетные средства в рамках мероприятия «Приобретение передвижных медицинских комплексов для оказания медицинской помощи жителям населенных пунктов Архангельской области» регионального проекта «Развитие системы оказания первичной медико-санитарной помощи (Архангельская область)» освоены в объеме 85,9 млн.руб. или 98,4%. Неиспользованный остаток в сумме 0,4 млн.руб. сложился в результате экономии от проведенных закупочных процедур.</w:t>
      </w:r>
    </w:p>
    <w:p w14:paraId="26A00653"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Закуплены Комплексы медицинские передвижные лечебно-диагностические ВМК «Медицинский кабинет» по ТУ 9444-001-14325757-2009 на базе шасси ПАЗ в следующем исполнении: «Передвижной медпункт (ФАП)» ООО «Торговый дом Ворсма», Россия.</w:t>
      </w:r>
    </w:p>
    <w:p w14:paraId="641F6688" w14:textId="79764BC9"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Полагаем необходимым отметить, что минздравом АО за отчетный период перечень целевых показателей государственной программы Архангельской области «Развитие здравоохранения Архангельской области (2013 - 2024 годы)» не приведен в соответствие с показателями, установленными в Приложении № 1 к соглашениям о реализации региональных проектов, в связи с реализацией на территории Архангельской области федеральных проектов национального проекта «Здравоохранение» (далее – Приложение № 1 соглашения), (кроме регионального проекта «Борьба с онкологическими заболеваниями (Архангельская область)», в том числе по региональному проекту «Развитие системы оказания первичной медико-санитарной помощи (Архангельской область)», в целевые показатели госпрограммы включены 3 показателя из 9 показателей, установленных в приложении № 1 соглашения. Например, не включен в целевые показатели госпрограммы такой показатель проекта как «Доля обоснованных жалоб (от общего количества поступивших жалоб), урегулированных в досудебном порядке страховыми медицинскими организациями» и другие.</w:t>
      </w:r>
    </w:p>
    <w:p w14:paraId="23AD5B15"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«Развитие системы оказания первичной медико-санитарной помощи (Архангельской область)», за 2019 год из 9 показателей, установленных в Приложении № 1 соглашения, выполнены 8 показателей или 88,9%.</w:t>
      </w:r>
    </w:p>
    <w:p w14:paraId="4C8BE8C7" w14:textId="36070B42"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невыполнении показателя «Доля обоснованных жалоб (от общего количества поступивших жалоб), урегулированных в досудебном порядке страховыми медицинскими организациями», установленного в Приложении № 1 к соглашению о реализации регионального проекта «Развитие системы оказания первичной медико-санитарной помощи (Архангельской область)» на 2019 год, представлена в таблице ниже:</w:t>
      </w:r>
    </w:p>
    <w:tbl>
      <w:tblPr>
        <w:tblStyle w:val="a7"/>
        <w:tblW w:w="9233" w:type="dxa"/>
        <w:tblInd w:w="108" w:type="dxa"/>
        <w:tblLayout w:type="fixed"/>
        <w:tblLook w:val="04A0" w:firstRow="1" w:lastRow="0" w:firstColumn="1" w:lastColumn="0" w:noHBand="0" w:noVBand="1"/>
      </w:tblPr>
      <w:tblGrid>
        <w:gridCol w:w="4678"/>
        <w:gridCol w:w="992"/>
        <w:gridCol w:w="1134"/>
        <w:gridCol w:w="1276"/>
        <w:gridCol w:w="1153"/>
      </w:tblGrid>
      <w:tr w:rsidR="00D470B6" w:rsidRPr="00A53AD7" w14:paraId="5217A0EE" w14:textId="77777777" w:rsidTr="00F944D4">
        <w:trPr>
          <w:trHeight w:val="801"/>
          <w:tblHeader/>
        </w:trPr>
        <w:tc>
          <w:tcPr>
            <w:tcW w:w="4678" w:type="dxa"/>
            <w:tcBorders>
              <w:top w:val="double" w:sz="4" w:space="0" w:color="auto"/>
              <w:left w:val="double" w:sz="4" w:space="0" w:color="auto"/>
            </w:tcBorders>
            <w:vAlign w:val="center"/>
          </w:tcPr>
          <w:p w14:paraId="2E6E0451"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992" w:type="dxa"/>
            <w:tcBorders>
              <w:top w:val="double" w:sz="4" w:space="0" w:color="auto"/>
            </w:tcBorders>
            <w:vAlign w:val="center"/>
          </w:tcPr>
          <w:p w14:paraId="4DA87217"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Единица измерения</w:t>
            </w:r>
          </w:p>
        </w:tc>
        <w:tc>
          <w:tcPr>
            <w:tcW w:w="1134" w:type="dxa"/>
            <w:tcBorders>
              <w:top w:val="double" w:sz="4" w:space="0" w:color="auto"/>
            </w:tcBorders>
            <w:vAlign w:val="center"/>
          </w:tcPr>
          <w:p w14:paraId="522DADF4"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 xml:space="preserve">Плановое </w:t>
            </w:r>
          </w:p>
          <w:p w14:paraId="3D773C10"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значение показателя на 2019 год</w:t>
            </w:r>
          </w:p>
        </w:tc>
        <w:tc>
          <w:tcPr>
            <w:tcW w:w="1276" w:type="dxa"/>
            <w:tcBorders>
              <w:top w:val="double" w:sz="4" w:space="0" w:color="auto"/>
              <w:right w:val="nil"/>
            </w:tcBorders>
            <w:vAlign w:val="center"/>
          </w:tcPr>
          <w:p w14:paraId="22480429"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Фактическое значение показателя за 2019 год</w:t>
            </w:r>
          </w:p>
        </w:tc>
        <w:tc>
          <w:tcPr>
            <w:tcW w:w="1153" w:type="dxa"/>
            <w:tcBorders>
              <w:top w:val="double" w:sz="4" w:space="0" w:color="auto"/>
              <w:right w:val="double" w:sz="4" w:space="0" w:color="auto"/>
            </w:tcBorders>
            <w:vAlign w:val="center"/>
          </w:tcPr>
          <w:p w14:paraId="3FD46446" w14:textId="77777777" w:rsidR="001E1920" w:rsidRPr="00A53AD7" w:rsidRDefault="001E1920" w:rsidP="001E1920">
            <w:pPr>
              <w:spacing w:after="0" w:line="240" w:lineRule="auto"/>
              <w:jc w:val="center"/>
              <w:rPr>
                <w:rFonts w:ascii="Times New Roman" w:hAnsi="Times New Roman"/>
                <w:sz w:val="16"/>
                <w:szCs w:val="16"/>
              </w:rPr>
            </w:pPr>
            <w:r w:rsidRPr="00A53AD7">
              <w:rPr>
                <w:rFonts w:ascii="Times New Roman" w:hAnsi="Times New Roman"/>
                <w:sz w:val="16"/>
                <w:szCs w:val="16"/>
              </w:rPr>
              <w:t>Степень достижения показателя, %</w:t>
            </w:r>
          </w:p>
        </w:tc>
      </w:tr>
      <w:tr w:rsidR="001E1920" w:rsidRPr="00A53AD7" w14:paraId="7A86F6C2" w14:textId="77777777" w:rsidTr="001E1920">
        <w:tc>
          <w:tcPr>
            <w:tcW w:w="4678" w:type="dxa"/>
            <w:tcBorders>
              <w:left w:val="double" w:sz="4" w:space="0" w:color="auto"/>
              <w:bottom w:val="double" w:sz="4" w:space="0" w:color="auto"/>
            </w:tcBorders>
            <w:vAlign w:val="center"/>
          </w:tcPr>
          <w:p w14:paraId="6F859995" w14:textId="77777777" w:rsidR="001E1920" w:rsidRPr="00A53AD7" w:rsidRDefault="001E1920" w:rsidP="001E1920">
            <w:pPr>
              <w:spacing w:after="0" w:line="240" w:lineRule="auto"/>
              <w:rPr>
                <w:rFonts w:ascii="Times New Roman" w:hAnsi="Times New Roman"/>
                <w:sz w:val="20"/>
                <w:szCs w:val="20"/>
              </w:rPr>
            </w:pPr>
            <w:r w:rsidRPr="00A53AD7">
              <w:rPr>
                <w:rFonts w:ascii="Times New Roman" w:hAnsi="Times New Roman"/>
                <w:sz w:val="20"/>
                <w:szCs w:val="20"/>
              </w:rPr>
              <w:t>«Доля обоснованных жалоб (от общего количества поступивших жалоб), урегулированных в досудебном порядке страховыми медицинскими организациями»</w:t>
            </w:r>
          </w:p>
        </w:tc>
        <w:tc>
          <w:tcPr>
            <w:tcW w:w="992" w:type="dxa"/>
            <w:tcBorders>
              <w:bottom w:val="double" w:sz="4" w:space="0" w:color="auto"/>
            </w:tcBorders>
            <w:vAlign w:val="center"/>
          </w:tcPr>
          <w:p w14:paraId="7361E223" w14:textId="77777777" w:rsidR="001E1920" w:rsidRPr="00A53AD7" w:rsidRDefault="001E1920" w:rsidP="001E1920">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tcBorders>
              <w:bottom w:val="double" w:sz="4" w:space="0" w:color="auto"/>
            </w:tcBorders>
            <w:vAlign w:val="center"/>
          </w:tcPr>
          <w:p w14:paraId="0D2D400B"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53,5</w:t>
            </w:r>
          </w:p>
        </w:tc>
        <w:tc>
          <w:tcPr>
            <w:tcW w:w="1276" w:type="dxa"/>
            <w:tcBorders>
              <w:bottom w:val="double" w:sz="4" w:space="0" w:color="auto"/>
            </w:tcBorders>
            <w:vAlign w:val="center"/>
          </w:tcPr>
          <w:p w14:paraId="1BFEAC0E"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51,7</w:t>
            </w:r>
          </w:p>
        </w:tc>
        <w:tc>
          <w:tcPr>
            <w:tcW w:w="1153" w:type="dxa"/>
            <w:tcBorders>
              <w:bottom w:val="double" w:sz="4" w:space="0" w:color="auto"/>
              <w:right w:val="double" w:sz="4" w:space="0" w:color="auto"/>
            </w:tcBorders>
            <w:vAlign w:val="center"/>
          </w:tcPr>
          <w:p w14:paraId="141B688F"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96,6</w:t>
            </w:r>
          </w:p>
        </w:tc>
      </w:tr>
    </w:tbl>
    <w:p w14:paraId="04B4287C" w14:textId="77777777" w:rsidR="001E1920" w:rsidRPr="00A53AD7" w:rsidRDefault="001E1920" w:rsidP="001E1920">
      <w:pPr>
        <w:spacing w:after="0" w:line="240" w:lineRule="auto"/>
        <w:ind w:firstLine="851"/>
        <w:jc w:val="both"/>
        <w:rPr>
          <w:rFonts w:ascii="Times New Roman" w:hAnsi="Times New Roman"/>
          <w:sz w:val="28"/>
          <w:szCs w:val="28"/>
        </w:rPr>
      </w:pPr>
    </w:p>
    <w:p w14:paraId="26B57540"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представленных минздравом АО пояснений следует, «в связи с тем, что расчет показателя в соответствии с методикой, утвержденной приказом Министерства здравоохранения Российской Федерации от 29.03.2019 № 182, проводится исходя не из общего числа обоснованных жалоб, а из общего числа поступивших в страховые медицинские организации жалоб, по итогам 2019 года допущено не достижение планового значения показателя. По состоянию на 01.01.2020 года все жалобы, поступившие в страховые медицинские организации и признанные при их рассмотрении обоснованными, урегулированы в досудебном порядке. Таким образом, доля обоснованных жалоб (от общего количества поступивших обоснованных жалоб), урегулированных в досудебном порядке страховыми медицинскими организациями, составила 100 процентов».</w:t>
      </w:r>
    </w:p>
    <w:p w14:paraId="1A5FECFF"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значения результатов, установленных в Приложении № 2 к соглашению о реализации регионального проекта «Развитие системы оказания первичной медико-санитарной помощи (Архангельской область)», достигнуты со статусом реализации «отсутствие отклонений» и рисков.</w:t>
      </w:r>
    </w:p>
    <w:p w14:paraId="6D13B6D2" w14:textId="77777777" w:rsidR="001E1920" w:rsidRPr="00A53AD7" w:rsidRDefault="001E1920" w:rsidP="001E1920">
      <w:pPr>
        <w:spacing w:after="0" w:line="240" w:lineRule="auto"/>
        <w:ind w:firstLine="851"/>
        <w:jc w:val="both"/>
        <w:rPr>
          <w:rFonts w:ascii="Times New Roman" w:hAnsi="Times New Roman"/>
          <w:sz w:val="28"/>
          <w:szCs w:val="28"/>
        </w:rPr>
      </w:pPr>
    </w:p>
    <w:p w14:paraId="28597B5E" w14:textId="77777777" w:rsidR="001E1920" w:rsidRPr="00A53AD7" w:rsidRDefault="001E1920" w:rsidP="001E1920">
      <w:pPr>
        <w:spacing w:after="0" w:line="240" w:lineRule="auto"/>
        <w:ind w:firstLine="851"/>
        <w:jc w:val="both"/>
        <w:rPr>
          <w:rFonts w:ascii="Times New Roman" w:eastAsia="Courier New" w:hAnsi="Times New Roman"/>
          <w:sz w:val="28"/>
          <w:szCs w:val="28"/>
          <w:lang w:eastAsia="ru-RU" w:bidi="ru-RU"/>
        </w:rPr>
      </w:pPr>
      <w:r w:rsidRPr="00A53AD7">
        <w:rPr>
          <w:rFonts w:ascii="Times New Roman" w:eastAsia="Courier New" w:hAnsi="Times New Roman"/>
          <w:i/>
          <w:sz w:val="28"/>
          <w:szCs w:val="28"/>
          <w:lang w:eastAsia="ru-RU" w:bidi="ru-RU"/>
        </w:rPr>
        <w:t>По подпрограмме № 2</w:t>
      </w:r>
      <w:r w:rsidRPr="00A53AD7">
        <w:rPr>
          <w:rFonts w:ascii="Times New Roman" w:eastAsia="Courier New" w:hAnsi="Times New Roman"/>
          <w:sz w:val="28"/>
          <w:szCs w:val="28"/>
          <w:lang w:eastAsia="ru-RU" w:bidi="ru-RU"/>
        </w:rPr>
        <w:t xml:space="preserve"> «Совершенствование оказания специализированной, включая высокотехнологичную, медицинской помощи, скорой, в том числе скорой специализированной, медицинской помощи, медицинской эвакуации» реализуются мероприятия по 3 региональным проектам:</w:t>
      </w:r>
    </w:p>
    <w:tbl>
      <w:tblPr>
        <w:tblOverlap w:val="neve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2"/>
        <w:gridCol w:w="1842"/>
        <w:gridCol w:w="1273"/>
        <w:gridCol w:w="1276"/>
        <w:gridCol w:w="1134"/>
        <w:gridCol w:w="1134"/>
      </w:tblGrid>
      <w:tr w:rsidR="00D470B6" w:rsidRPr="00A53AD7" w14:paraId="15F0F203" w14:textId="77777777" w:rsidTr="001E1920">
        <w:trPr>
          <w:trHeight w:val="1143"/>
          <w:tblHeader/>
          <w:jc w:val="center"/>
        </w:trPr>
        <w:tc>
          <w:tcPr>
            <w:tcW w:w="2692" w:type="dxa"/>
            <w:tcBorders>
              <w:top w:val="double" w:sz="4" w:space="0" w:color="auto"/>
              <w:left w:val="double" w:sz="4" w:space="0" w:color="auto"/>
            </w:tcBorders>
            <w:shd w:val="clear" w:color="auto" w:fill="FFFFFF"/>
            <w:vAlign w:val="center"/>
          </w:tcPr>
          <w:p w14:paraId="0BDEA057"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мероприятия подпрограммы</w:t>
            </w:r>
          </w:p>
        </w:tc>
        <w:tc>
          <w:tcPr>
            <w:tcW w:w="1842" w:type="dxa"/>
            <w:tcBorders>
              <w:top w:val="double" w:sz="4" w:space="0" w:color="auto"/>
            </w:tcBorders>
            <w:shd w:val="clear" w:color="auto" w:fill="FFFFFF"/>
            <w:vAlign w:val="center"/>
          </w:tcPr>
          <w:p w14:paraId="76B9DF40"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регионального проекта</w:t>
            </w:r>
          </w:p>
        </w:tc>
        <w:tc>
          <w:tcPr>
            <w:tcW w:w="1273" w:type="dxa"/>
            <w:tcBorders>
              <w:top w:val="double" w:sz="4" w:space="0" w:color="auto"/>
            </w:tcBorders>
            <w:shd w:val="clear" w:color="auto" w:fill="FFFFFF"/>
            <w:vAlign w:val="center"/>
          </w:tcPr>
          <w:p w14:paraId="53B69C8D"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Источник финансирования (ОБ-областной бюджет, ФБ-федеральный бюджет)</w:t>
            </w:r>
          </w:p>
        </w:tc>
        <w:tc>
          <w:tcPr>
            <w:tcW w:w="1276" w:type="dxa"/>
            <w:tcBorders>
              <w:top w:val="double" w:sz="4" w:space="0" w:color="auto"/>
            </w:tcBorders>
            <w:shd w:val="clear" w:color="auto" w:fill="FFFFFF"/>
            <w:vAlign w:val="center"/>
          </w:tcPr>
          <w:p w14:paraId="1FA0A245"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Объем финансирования на 2019 год млн.руб.</w:t>
            </w:r>
          </w:p>
        </w:tc>
        <w:tc>
          <w:tcPr>
            <w:tcW w:w="1134" w:type="dxa"/>
            <w:tcBorders>
              <w:top w:val="double" w:sz="4" w:space="0" w:color="auto"/>
            </w:tcBorders>
            <w:shd w:val="clear" w:color="auto" w:fill="FFFFFF"/>
            <w:vAlign w:val="center"/>
          </w:tcPr>
          <w:p w14:paraId="707DEAC2"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Кассовое исполнение за 2019 год млн.руб.</w:t>
            </w:r>
          </w:p>
        </w:tc>
        <w:tc>
          <w:tcPr>
            <w:tcW w:w="1134" w:type="dxa"/>
            <w:tcBorders>
              <w:top w:val="double" w:sz="4" w:space="0" w:color="auto"/>
              <w:right w:val="double" w:sz="4" w:space="0" w:color="auto"/>
            </w:tcBorders>
            <w:shd w:val="clear" w:color="auto" w:fill="FFFFFF"/>
            <w:vAlign w:val="center"/>
          </w:tcPr>
          <w:p w14:paraId="29A40F70"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Освоено за 2019 год млн.руб.</w:t>
            </w:r>
          </w:p>
        </w:tc>
      </w:tr>
      <w:tr w:rsidR="00D470B6" w:rsidRPr="00A53AD7" w14:paraId="73D56CED" w14:textId="77777777" w:rsidTr="001E1920">
        <w:trPr>
          <w:trHeight w:hRule="exact" w:val="1387"/>
          <w:jc w:val="center"/>
        </w:trPr>
        <w:tc>
          <w:tcPr>
            <w:tcW w:w="2692" w:type="dxa"/>
            <w:tcBorders>
              <w:left w:val="double" w:sz="4" w:space="0" w:color="auto"/>
            </w:tcBorders>
            <w:shd w:val="clear" w:color="auto" w:fill="FFFFFF"/>
          </w:tcPr>
          <w:p w14:paraId="57812B04"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4.2. Оснащение государственных медицинских организаций медицинским оборудованием</w:t>
            </w:r>
          </w:p>
        </w:tc>
        <w:tc>
          <w:tcPr>
            <w:tcW w:w="1842" w:type="dxa"/>
            <w:shd w:val="clear" w:color="auto" w:fill="FFFFFF"/>
          </w:tcPr>
          <w:p w14:paraId="115C0EB3"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Борьба с сердечно-сосудистыми заболеваниями (Архангельская область)</w:t>
            </w:r>
          </w:p>
        </w:tc>
        <w:tc>
          <w:tcPr>
            <w:tcW w:w="1273" w:type="dxa"/>
            <w:shd w:val="clear" w:color="auto" w:fill="FFFFFF"/>
            <w:vAlign w:val="center"/>
          </w:tcPr>
          <w:p w14:paraId="13AC9F2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tc>
        <w:tc>
          <w:tcPr>
            <w:tcW w:w="1276" w:type="dxa"/>
            <w:shd w:val="clear" w:color="auto" w:fill="FFFFFF"/>
            <w:vAlign w:val="center"/>
          </w:tcPr>
          <w:p w14:paraId="60616E02"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132,8</w:t>
            </w:r>
          </w:p>
        </w:tc>
        <w:tc>
          <w:tcPr>
            <w:tcW w:w="1134" w:type="dxa"/>
            <w:shd w:val="clear" w:color="auto" w:fill="FFFFFF"/>
            <w:vAlign w:val="center"/>
          </w:tcPr>
          <w:p w14:paraId="14C62556"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132,8</w:t>
            </w:r>
          </w:p>
        </w:tc>
        <w:tc>
          <w:tcPr>
            <w:tcW w:w="1134" w:type="dxa"/>
            <w:tcBorders>
              <w:right w:val="double" w:sz="4" w:space="0" w:color="auto"/>
            </w:tcBorders>
            <w:shd w:val="clear" w:color="auto" w:fill="FFFFFF"/>
            <w:vAlign w:val="center"/>
          </w:tcPr>
          <w:p w14:paraId="10930938"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128,9</w:t>
            </w:r>
          </w:p>
        </w:tc>
      </w:tr>
      <w:tr w:rsidR="00D470B6" w:rsidRPr="00A53AD7" w14:paraId="0FA61602" w14:textId="77777777" w:rsidTr="001E1920">
        <w:trPr>
          <w:trHeight w:hRule="exact" w:val="2115"/>
          <w:jc w:val="center"/>
        </w:trPr>
        <w:tc>
          <w:tcPr>
            <w:tcW w:w="2692" w:type="dxa"/>
            <w:tcBorders>
              <w:left w:val="double" w:sz="4" w:space="0" w:color="auto"/>
            </w:tcBorders>
            <w:shd w:val="clear" w:color="auto" w:fill="FFFFFF"/>
          </w:tcPr>
          <w:p w14:paraId="5DC0BA28"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5.1. Переоснащение медицинским оборудованием региональных медицинских организаций, оказывающих помощь больным онкологическими заболеваниями (диспансеров/ больниц)</w:t>
            </w:r>
          </w:p>
        </w:tc>
        <w:tc>
          <w:tcPr>
            <w:tcW w:w="1842" w:type="dxa"/>
            <w:shd w:val="clear" w:color="auto" w:fill="FFFFFF"/>
            <w:vAlign w:val="center"/>
          </w:tcPr>
          <w:p w14:paraId="45B26653"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Борьба с онкологическими заболеваниями (Архангельская область)</w:t>
            </w:r>
          </w:p>
        </w:tc>
        <w:tc>
          <w:tcPr>
            <w:tcW w:w="1273" w:type="dxa"/>
            <w:shd w:val="clear" w:color="auto" w:fill="FFFFFF"/>
            <w:vAlign w:val="center"/>
          </w:tcPr>
          <w:p w14:paraId="680C572A"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tc>
        <w:tc>
          <w:tcPr>
            <w:tcW w:w="1276" w:type="dxa"/>
            <w:shd w:val="clear" w:color="auto" w:fill="FFFFFF"/>
            <w:vAlign w:val="center"/>
          </w:tcPr>
          <w:p w14:paraId="3C78DE5E"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286,6</w:t>
            </w:r>
          </w:p>
        </w:tc>
        <w:tc>
          <w:tcPr>
            <w:tcW w:w="1134" w:type="dxa"/>
            <w:shd w:val="clear" w:color="auto" w:fill="FFFFFF"/>
            <w:vAlign w:val="center"/>
          </w:tcPr>
          <w:p w14:paraId="03F79C83"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286,6</w:t>
            </w:r>
          </w:p>
        </w:tc>
        <w:tc>
          <w:tcPr>
            <w:tcW w:w="1134" w:type="dxa"/>
            <w:tcBorders>
              <w:right w:val="double" w:sz="4" w:space="0" w:color="auto"/>
            </w:tcBorders>
            <w:shd w:val="clear" w:color="auto" w:fill="FFFFFF"/>
            <w:vAlign w:val="center"/>
          </w:tcPr>
          <w:p w14:paraId="4D3BF155"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277,1</w:t>
            </w:r>
          </w:p>
        </w:tc>
      </w:tr>
      <w:tr w:rsidR="00D470B6" w:rsidRPr="00A53AD7" w14:paraId="5CC93809" w14:textId="77777777" w:rsidTr="001E1920">
        <w:trPr>
          <w:trHeight w:hRule="exact" w:val="1849"/>
          <w:jc w:val="center"/>
        </w:trPr>
        <w:tc>
          <w:tcPr>
            <w:tcW w:w="2692" w:type="dxa"/>
            <w:tcBorders>
              <w:left w:val="double" w:sz="4" w:space="0" w:color="auto"/>
              <w:bottom w:val="double" w:sz="4" w:space="0" w:color="auto"/>
            </w:tcBorders>
            <w:shd w:val="clear" w:color="auto" w:fill="FFFFFF"/>
          </w:tcPr>
          <w:p w14:paraId="71A7132E"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6.1. Обеспечение закупки авиационных работ в целях оказания медицинской помощи</w:t>
            </w:r>
          </w:p>
        </w:tc>
        <w:tc>
          <w:tcPr>
            <w:tcW w:w="1842" w:type="dxa"/>
            <w:tcBorders>
              <w:bottom w:val="double" w:sz="4" w:space="0" w:color="auto"/>
            </w:tcBorders>
            <w:shd w:val="clear" w:color="auto" w:fill="FFFFFF"/>
            <w:vAlign w:val="center"/>
          </w:tcPr>
          <w:p w14:paraId="3197BE5A"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Развитие системы оказания первичной медико-санитарной помощи (Архангельская область)</w:t>
            </w:r>
          </w:p>
        </w:tc>
        <w:tc>
          <w:tcPr>
            <w:tcW w:w="1273" w:type="dxa"/>
            <w:tcBorders>
              <w:bottom w:val="double" w:sz="4" w:space="0" w:color="auto"/>
            </w:tcBorders>
            <w:shd w:val="clear" w:color="auto" w:fill="FFFFFF"/>
            <w:vAlign w:val="center"/>
          </w:tcPr>
          <w:p w14:paraId="256E593D"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Итого</w:t>
            </w:r>
          </w:p>
          <w:p w14:paraId="15624B22"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p w14:paraId="76E9263F"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ОБ</w:t>
            </w:r>
          </w:p>
        </w:tc>
        <w:tc>
          <w:tcPr>
            <w:tcW w:w="1276" w:type="dxa"/>
            <w:tcBorders>
              <w:bottom w:val="double" w:sz="4" w:space="0" w:color="auto"/>
            </w:tcBorders>
            <w:shd w:val="clear" w:color="auto" w:fill="FFFFFF"/>
            <w:vAlign w:val="center"/>
          </w:tcPr>
          <w:p w14:paraId="696D495A"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116,6</w:t>
            </w:r>
          </w:p>
          <w:p w14:paraId="20A3F550"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98,7</w:t>
            </w:r>
          </w:p>
          <w:p w14:paraId="4D06BBF4"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17,9</w:t>
            </w:r>
          </w:p>
        </w:tc>
        <w:tc>
          <w:tcPr>
            <w:tcW w:w="1134" w:type="dxa"/>
            <w:tcBorders>
              <w:bottom w:val="double" w:sz="4" w:space="0" w:color="auto"/>
            </w:tcBorders>
            <w:shd w:val="clear" w:color="auto" w:fill="FFFFFF"/>
            <w:vAlign w:val="center"/>
          </w:tcPr>
          <w:p w14:paraId="16655AD5"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116,6</w:t>
            </w:r>
          </w:p>
          <w:p w14:paraId="495A5307"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98,7</w:t>
            </w:r>
          </w:p>
          <w:p w14:paraId="29300F7B"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17,9</w:t>
            </w:r>
          </w:p>
        </w:tc>
        <w:tc>
          <w:tcPr>
            <w:tcW w:w="1134" w:type="dxa"/>
            <w:tcBorders>
              <w:bottom w:val="double" w:sz="4" w:space="0" w:color="auto"/>
              <w:right w:val="double" w:sz="4" w:space="0" w:color="auto"/>
            </w:tcBorders>
            <w:shd w:val="clear" w:color="auto" w:fill="FFFFFF"/>
            <w:vAlign w:val="center"/>
          </w:tcPr>
          <w:p w14:paraId="33CEB6A7"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116,6</w:t>
            </w:r>
          </w:p>
          <w:p w14:paraId="1C41FDC3"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98,7</w:t>
            </w:r>
          </w:p>
          <w:p w14:paraId="2AB0D43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17,9</w:t>
            </w:r>
          </w:p>
        </w:tc>
      </w:tr>
    </w:tbl>
    <w:p w14:paraId="2E77A21D" w14:textId="77777777" w:rsidR="001E1920" w:rsidRPr="00A53AD7" w:rsidRDefault="001E1920" w:rsidP="001E1920">
      <w:pPr>
        <w:spacing w:after="0" w:line="240" w:lineRule="auto"/>
        <w:ind w:firstLine="851"/>
        <w:jc w:val="both"/>
        <w:rPr>
          <w:rFonts w:ascii="Times New Roman" w:hAnsi="Times New Roman"/>
          <w:sz w:val="28"/>
          <w:szCs w:val="28"/>
        </w:rPr>
      </w:pPr>
    </w:p>
    <w:p w14:paraId="3E92FB24" w14:textId="7C4113BC"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1) Согласно приложению № 1 к соглашению от 14.02.2019 № 056-17-2019-285, в целях выполнения мероприятия 4 «Совершенствование системы оказания медицинской помощи больным с сосудистыми заболеваниями» регионального проекта «Борьба с сердечно-сосудистыми заболеваниями (Архангельская область)», до 31.12.2019 необходимо переоснастить/дооснастить медицинским оборудованием 5 медицинских учреждений: региональный сосудистый центр и 4 </w:t>
      </w:r>
      <w:r w:rsidR="00B35323" w:rsidRPr="00A53AD7">
        <w:rPr>
          <w:rFonts w:ascii="Times New Roman" w:hAnsi="Times New Roman"/>
          <w:sz w:val="28"/>
          <w:szCs w:val="28"/>
        </w:rPr>
        <w:t>первичных сосудистых отделений.</w:t>
      </w:r>
    </w:p>
    <w:p w14:paraId="27B96E4B"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Кассовое исполнение за 2019 год составило 132,8 млн.руб. или 100% к сводной бюджетной росписи. Субсидия перечислена бюджетным учреждениям. По состоянию на 31.12.2019 года освоено 128,9 млн.руб. или на 97,0%.</w:t>
      </w:r>
    </w:p>
    <w:p w14:paraId="0FC90166" w14:textId="77777777" w:rsidR="001E1920" w:rsidRPr="00A53AD7" w:rsidRDefault="001E1920" w:rsidP="001E1920">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распоряжению минздрава АО от 06.02.2020 № 63-рд «О направлении остатков целевых субсидий на те же цели в 2020 году», пояснительных записок к балансу бюджетных учреждений по форме № 0503760, форм отчетности № 0503766 за 2019 год, неиспользованный остаток бюджетных средств при реализации регионального проекта «Борьба с сердечно-сосудистыми заболеваниями (Архангельская область)» за 2019 год сложился по 5 учреждениям в сумме 4,0 млн.руб. у следующих медицинских организаций:</w:t>
      </w:r>
    </w:p>
    <w:p w14:paraId="2D476AD7"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 xml:space="preserve">региональный сосудистый центр - Первая городская клиническая больница им. Е.Е. Волосевич в сумме 1,1 млн.руб. по причине возврата товара поставщику ОО «Браво», в связи с несоответствием товара техническим характеристикам; </w:t>
      </w:r>
    </w:p>
    <w:p w14:paraId="27DA8A35"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по первичным сосудистым отделениям:</w:t>
      </w:r>
    </w:p>
    <w:p w14:paraId="05F4CD67"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Вельская центральная районная больница – 0,6 млн.руб., в связи с нарушением срока исполнения договора на поставку медицинского оборудования;</w:t>
      </w:r>
    </w:p>
    <w:p w14:paraId="1B789A19"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Новодвинская центральная городская больница – 0,6 млн.руб., по причине возврата товара поставщику ОО «Браво», в связи с несоответствием товара техническим характеристикам;</w:t>
      </w:r>
    </w:p>
    <w:p w14:paraId="7CBC74F7"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Северодвинская городская больница № 1 – 0,6 млн.руб., остаток образовался в результате невозможности принятия оборудования, так как товар поставлен не в соответствии с условиями контракта;</w:t>
      </w:r>
    </w:p>
    <w:p w14:paraId="64E0174C"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 xml:space="preserve">Котласская центральная городская больница им. Святителя Луки (В.Ф. Войно-Ясенецкого) – 1,1 млн.руб., в связи с заключением учреждением контрактов в ноябре-декабре 2019 года на закупку медицинского оборудования со сроком исполнения, переходящим на январь 2020 года </w:t>
      </w:r>
    </w:p>
    <w:p w14:paraId="03EAAA49" w14:textId="77777777" w:rsidR="001E1920" w:rsidRPr="00A53AD7" w:rsidRDefault="001E1920" w:rsidP="00CD1B28">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регионального проекта «Борьба с сердечно-сосудистыми заболеваниями (Архангельская область)», по состоянию на 31 декабря 2019 года, поставлены и введены в эксплуатацию 80 единиц оборудования, в том числе компьютерный томограф, нейроэндоскопическая стойка, 5 УЗИ-аппаратов высокого класса, 8 аппаратов для искусственной вентиляции легких, оборудование для реабилитации и 60 функциональных кроватей.</w:t>
      </w:r>
    </w:p>
    <w:p w14:paraId="5C9366AB" w14:textId="77777777" w:rsidR="001E1920" w:rsidRPr="00A53AD7" w:rsidRDefault="001E1920" w:rsidP="00CD1B28">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региональному проекту «Борьба с сердечно-сосудистыми заболеваниями (Архангельской область)», в целевые показатели госпрограммы не включен ни один из 7 показателей, установленных в приложении № 1 соглашения. Например, не включены в целевые показатели госпрограммы такие показатели проекта как «Больничная летальность от инфаркта миокарда, %» и «Больничная летальность от острого нарушения мозгового кровообращения, %» и другие.</w:t>
      </w:r>
    </w:p>
    <w:p w14:paraId="1DD69826" w14:textId="77777777" w:rsidR="001E1920" w:rsidRPr="00A53AD7" w:rsidRDefault="001E1920" w:rsidP="00CD1B28">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«Борьба с сердечно-сосудистыми заболеваниями (Архангельской область)», за 2019 год из 7 показателей, установленных в Приложении № 1 соглашения, выполнены 5 показателей или 71,4%.</w:t>
      </w:r>
    </w:p>
    <w:p w14:paraId="4C979E1B" w14:textId="77777777" w:rsidR="001E1920" w:rsidRPr="00A53AD7" w:rsidRDefault="001E1920" w:rsidP="00CD1B28">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невыполнении 2 показателей, установленных в Приложении № 1 к соглашению о реализации регионального проекта «Борьба с сердечно-сосудистыми заболеваниями (Архангельской область)» на 2019 год, представлена в таблице ниже.</w:t>
      </w:r>
    </w:p>
    <w:tbl>
      <w:tblPr>
        <w:tblStyle w:val="a7"/>
        <w:tblW w:w="9271" w:type="dxa"/>
        <w:tblInd w:w="108" w:type="dxa"/>
        <w:tblLayout w:type="fixed"/>
        <w:tblLook w:val="04A0" w:firstRow="1" w:lastRow="0" w:firstColumn="1" w:lastColumn="0" w:noHBand="0" w:noVBand="1"/>
      </w:tblPr>
      <w:tblGrid>
        <w:gridCol w:w="4839"/>
        <w:gridCol w:w="992"/>
        <w:gridCol w:w="1134"/>
        <w:gridCol w:w="1153"/>
        <w:gridCol w:w="1153"/>
      </w:tblGrid>
      <w:tr w:rsidR="00D470B6" w:rsidRPr="00A53AD7" w14:paraId="2E256E1F" w14:textId="77777777" w:rsidTr="000F5E4B">
        <w:trPr>
          <w:trHeight w:val="657"/>
        </w:trPr>
        <w:tc>
          <w:tcPr>
            <w:tcW w:w="4839" w:type="dxa"/>
            <w:tcBorders>
              <w:top w:val="double" w:sz="4" w:space="0" w:color="auto"/>
              <w:left w:val="double" w:sz="4" w:space="0" w:color="auto"/>
            </w:tcBorders>
            <w:vAlign w:val="center"/>
          </w:tcPr>
          <w:p w14:paraId="6F994367"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992" w:type="dxa"/>
            <w:tcBorders>
              <w:top w:val="double" w:sz="4" w:space="0" w:color="auto"/>
            </w:tcBorders>
            <w:vAlign w:val="center"/>
          </w:tcPr>
          <w:p w14:paraId="65BBBF33"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Единица измерения</w:t>
            </w:r>
          </w:p>
        </w:tc>
        <w:tc>
          <w:tcPr>
            <w:tcW w:w="1134" w:type="dxa"/>
            <w:tcBorders>
              <w:top w:val="double" w:sz="4" w:space="0" w:color="auto"/>
            </w:tcBorders>
            <w:vAlign w:val="center"/>
          </w:tcPr>
          <w:p w14:paraId="6EA3003C"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 xml:space="preserve">Плановое </w:t>
            </w:r>
          </w:p>
          <w:p w14:paraId="7E4CEF89"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значение показателя на 2019 год</w:t>
            </w:r>
          </w:p>
        </w:tc>
        <w:tc>
          <w:tcPr>
            <w:tcW w:w="1153" w:type="dxa"/>
            <w:tcBorders>
              <w:top w:val="double" w:sz="4" w:space="0" w:color="auto"/>
              <w:right w:val="nil"/>
            </w:tcBorders>
            <w:vAlign w:val="center"/>
          </w:tcPr>
          <w:p w14:paraId="688E50C8"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Фактическое значение показателя за 2019 год</w:t>
            </w:r>
          </w:p>
        </w:tc>
        <w:tc>
          <w:tcPr>
            <w:tcW w:w="1153" w:type="dxa"/>
            <w:tcBorders>
              <w:top w:val="double" w:sz="4" w:space="0" w:color="auto"/>
              <w:right w:val="double" w:sz="4" w:space="0" w:color="auto"/>
            </w:tcBorders>
            <w:vAlign w:val="center"/>
          </w:tcPr>
          <w:p w14:paraId="36BDE5CB"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Степень достижения показателя, %</w:t>
            </w:r>
          </w:p>
        </w:tc>
      </w:tr>
      <w:tr w:rsidR="00D470B6" w:rsidRPr="00A53AD7" w14:paraId="5BE11554" w14:textId="77777777" w:rsidTr="000F5E4B">
        <w:trPr>
          <w:trHeight w:val="333"/>
        </w:trPr>
        <w:tc>
          <w:tcPr>
            <w:tcW w:w="4839" w:type="dxa"/>
            <w:tcBorders>
              <w:left w:val="double" w:sz="4" w:space="0" w:color="auto"/>
            </w:tcBorders>
            <w:vAlign w:val="center"/>
          </w:tcPr>
          <w:p w14:paraId="6CFE58C7" w14:textId="77777777" w:rsidR="001E1920" w:rsidRPr="00A53AD7" w:rsidRDefault="001E1920" w:rsidP="000F5E4B">
            <w:pPr>
              <w:spacing w:after="0" w:line="240" w:lineRule="auto"/>
              <w:rPr>
                <w:rFonts w:ascii="Times New Roman" w:hAnsi="Times New Roman"/>
                <w:sz w:val="20"/>
                <w:szCs w:val="20"/>
              </w:rPr>
            </w:pPr>
            <w:r w:rsidRPr="00A53AD7">
              <w:rPr>
                <w:rFonts w:ascii="Times New Roman" w:hAnsi="Times New Roman"/>
                <w:sz w:val="20"/>
                <w:szCs w:val="20"/>
              </w:rPr>
              <w:t>Смертность от инфаркта миокарда, на 100 тыс. населения</w:t>
            </w:r>
          </w:p>
        </w:tc>
        <w:tc>
          <w:tcPr>
            <w:tcW w:w="992" w:type="dxa"/>
            <w:vAlign w:val="center"/>
          </w:tcPr>
          <w:p w14:paraId="74A0A900" w14:textId="77777777" w:rsidR="001E1920" w:rsidRPr="00A53AD7" w:rsidRDefault="001E1920" w:rsidP="000F5E4B">
            <w:pPr>
              <w:spacing w:after="0" w:line="240" w:lineRule="auto"/>
              <w:jc w:val="center"/>
              <w:rPr>
                <w:rFonts w:ascii="Times New Roman" w:hAnsi="Times New Roman"/>
                <w:sz w:val="20"/>
                <w:szCs w:val="20"/>
              </w:rPr>
            </w:pPr>
            <w:r w:rsidRPr="00A53AD7">
              <w:rPr>
                <w:rFonts w:ascii="Times New Roman" w:hAnsi="Times New Roman"/>
                <w:sz w:val="20"/>
                <w:szCs w:val="20"/>
              </w:rPr>
              <w:t>человек</w:t>
            </w:r>
          </w:p>
        </w:tc>
        <w:tc>
          <w:tcPr>
            <w:tcW w:w="1134" w:type="dxa"/>
            <w:vAlign w:val="center"/>
          </w:tcPr>
          <w:p w14:paraId="5280559E"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44,2</w:t>
            </w:r>
          </w:p>
        </w:tc>
        <w:tc>
          <w:tcPr>
            <w:tcW w:w="1153" w:type="dxa"/>
            <w:vAlign w:val="center"/>
          </w:tcPr>
          <w:p w14:paraId="2061688A"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45,0</w:t>
            </w:r>
          </w:p>
        </w:tc>
        <w:tc>
          <w:tcPr>
            <w:tcW w:w="1153" w:type="dxa"/>
            <w:tcBorders>
              <w:right w:val="double" w:sz="4" w:space="0" w:color="auto"/>
            </w:tcBorders>
            <w:vAlign w:val="center"/>
          </w:tcPr>
          <w:p w14:paraId="53F43D50"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98,2</w:t>
            </w:r>
          </w:p>
        </w:tc>
      </w:tr>
      <w:tr w:rsidR="001E1920" w:rsidRPr="00A53AD7" w14:paraId="7CE961FA" w14:textId="77777777" w:rsidTr="000F5E4B">
        <w:tc>
          <w:tcPr>
            <w:tcW w:w="4839" w:type="dxa"/>
            <w:tcBorders>
              <w:left w:val="double" w:sz="4" w:space="0" w:color="auto"/>
              <w:bottom w:val="double" w:sz="4" w:space="0" w:color="auto"/>
            </w:tcBorders>
            <w:vAlign w:val="center"/>
          </w:tcPr>
          <w:p w14:paraId="64FC2D9A" w14:textId="77777777" w:rsidR="001E1920" w:rsidRPr="00A53AD7" w:rsidRDefault="001E1920" w:rsidP="000F5E4B">
            <w:pPr>
              <w:spacing w:after="0" w:line="240" w:lineRule="auto"/>
              <w:jc w:val="both"/>
              <w:rPr>
                <w:rFonts w:ascii="Times New Roman" w:hAnsi="Times New Roman"/>
                <w:sz w:val="20"/>
                <w:szCs w:val="20"/>
              </w:rPr>
            </w:pPr>
            <w:r w:rsidRPr="00A53AD7">
              <w:rPr>
                <w:rFonts w:ascii="Times New Roman" w:hAnsi="Times New Roman"/>
                <w:sz w:val="20"/>
                <w:szCs w:val="20"/>
              </w:rPr>
              <w:t>Больничная летальность от инфаркта миокарда</w:t>
            </w:r>
          </w:p>
        </w:tc>
        <w:tc>
          <w:tcPr>
            <w:tcW w:w="992" w:type="dxa"/>
            <w:tcBorders>
              <w:bottom w:val="double" w:sz="4" w:space="0" w:color="auto"/>
            </w:tcBorders>
            <w:vAlign w:val="center"/>
          </w:tcPr>
          <w:p w14:paraId="396E50FA" w14:textId="77777777" w:rsidR="001E1920" w:rsidRPr="00A53AD7" w:rsidRDefault="001E1920" w:rsidP="000F5E4B">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tcBorders>
              <w:bottom w:val="double" w:sz="4" w:space="0" w:color="auto"/>
            </w:tcBorders>
            <w:vAlign w:val="center"/>
          </w:tcPr>
          <w:p w14:paraId="58254D1A"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16,2</w:t>
            </w:r>
          </w:p>
        </w:tc>
        <w:tc>
          <w:tcPr>
            <w:tcW w:w="1153" w:type="dxa"/>
            <w:tcBorders>
              <w:bottom w:val="double" w:sz="4" w:space="0" w:color="auto"/>
            </w:tcBorders>
            <w:vAlign w:val="center"/>
          </w:tcPr>
          <w:p w14:paraId="2A0BC6D2"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16,6</w:t>
            </w:r>
          </w:p>
        </w:tc>
        <w:tc>
          <w:tcPr>
            <w:tcW w:w="1153" w:type="dxa"/>
            <w:tcBorders>
              <w:bottom w:val="double" w:sz="4" w:space="0" w:color="auto"/>
              <w:right w:val="double" w:sz="4" w:space="0" w:color="auto"/>
            </w:tcBorders>
            <w:vAlign w:val="center"/>
          </w:tcPr>
          <w:p w14:paraId="20D7411B" w14:textId="77777777" w:rsidR="001E1920" w:rsidRPr="00A53AD7" w:rsidRDefault="001E1920" w:rsidP="00F944D4">
            <w:pPr>
              <w:spacing w:after="0" w:line="240" w:lineRule="auto"/>
              <w:jc w:val="right"/>
              <w:rPr>
                <w:rFonts w:ascii="Times New Roman" w:hAnsi="Times New Roman"/>
                <w:sz w:val="20"/>
                <w:szCs w:val="20"/>
              </w:rPr>
            </w:pPr>
            <w:r w:rsidRPr="00A53AD7">
              <w:rPr>
                <w:rFonts w:ascii="Times New Roman" w:hAnsi="Times New Roman"/>
                <w:sz w:val="20"/>
                <w:szCs w:val="20"/>
              </w:rPr>
              <w:t>97,6</w:t>
            </w:r>
          </w:p>
        </w:tc>
      </w:tr>
    </w:tbl>
    <w:p w14:paraId="2060A45D" w14:textId="77777777" w:rsidR="001E1920" w:rsidRPr="00A53AD7" w:rsidRDefault="001E1920" w:rsidP="000F5E4B">
      <w:pPr>
        <w:spacing w:after="0" w:line="240" w:lineRule="auto"/>
        <w:ind w:firstLine="851"/>
        <w:jc w:val="both"/>
        <w:rPr>
          <w:rFonts w:ascii="Times New Roman" w:hAnsi="Times New Roman"/>
          <w:sz w:val="28"/>
          <w:szCs w:val="28"/>
        </w:rPr>
      </w:pPr>
    </w:p>
    <w:p w14:paraId="368E5708"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минздравом АО пояснениям, не достижение 2 показателей связано с демографическим старением населения области (увеличение доли и абсолютного числа граждан старше трудоспособного возраста), что обуславливает высокую долю возрастных пациентов с коморбидностью (сосуществование у одного пациента двух или более заболеваний, связанных между собой единым патогенетическим механизмом или совпадающих по времени), большое число пациентов с осложнениями, в том числе с кардиогенным шоком.</w:t>
      </w:r>
    </w:p>
    <w:p w14:paraId="0DADA02E"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снижения смертности от болезней системы кровообращения, в том числе от инфаркта миокарда, реализуется региональная программа «Борьба с сердечно-сосудистыми заболеваниями (2019-2024 годы)», утвержденная постановлением Правительства АО от 18.06.2019 № 321-пп. Проводятся мероприятия по совершенствованию системы оказания медицинской помощи, в том числе специализированной медицинской помощи, включая высокотехнологичную, закупается современное медицинское оборудование для регионального сосудистого центра и первичных сосудистых отделений.</w:t>
      </w:r>
    </w:p>
    <w:p w14:paraId="58E6C91F"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значения результатов, установленных в Приложении № 2 к соглашению о реализации регионального проекта «Борьба с сердечно-сосудистыми заболеваниями (Архангельской область)», достигнуты со статусом реализации «отсутствие отклонений» и рисков.</w:t>
      </w:r>
    </w:p>
    <w:p w14:paraId="28BE7DE2" w14:textId="77777777" w:rsidR="001E1920" w:rsidRPr="00A53AD7" w:rsidRDefault="001E1920" w:rsidP="000F5E4B">
      <w:pPr>
        <w:spacing w:after="0" w:line="240" w:lineRule="auto"/>
        <w:ind w:firstLine="851"/>
        <w:jc w:val="both"/>
        <w:rPr>
          <w:rFonts w:ascii="Times New Roman" w:hAnsi="Times New Roman"/>
          <w:sz w:val="28"/>
          <w:szCs w:val="28"/>
        </w:rPr>
      </w:pPr>
    </w:p>
    <w:p w14:paraId="2EF015DA"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2) Согласно приложению № 1 к соглашению от 15.02.2019 № 056-08- 2019-345, в целях выполнения мероприятия 5.1. «Переоснащение медицинским оборудованием региональных медицинских организаций, оказывающих помощь больным онкологическими заболеваниями (диспансеров/больниц)» регионального проекта «Борьба с онкологическими заболеваниями (Архангельская область)», до 31.12.2019 необходимо переоснастить медицинским оборудованием 3 региональные медицинские организации (диспансеров/больниц), оказывающих помощь больным онкологическими заболеваниями. </w:t>
      </w:r>
    </w:p>
    <w:p w14:paraId="4B83225D"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Кассовое исполнение составило 286,6 млн.руб. или 100% к сводной бюджетной росписи. Субсидия перечислена бюджетным учреждениям. По состоянию на 31.12.2019 года освоено 277,1 млн.руб. или 96,7%.</w:t>
      </w:r>
    </w:p>
    <w:p w14:paraId="00CA1F48"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распоряжению минздрава АО от 06.02.2020 № 63-рд «О направлении остатков целевых субсидий на те же цели в 2020 году», пояснительных записок к балансу бюджетных учреждений по форме № 0503760, форм отчетности № 0503766 за 2019 год, неиспользованный остаток бюджетных средств при реализации регионального проекта «Борьба с онкологическими заболеваниями (Архангельская область)» за 2019 год сложился в сумме 9,5 млн.руб. у Архангельского клинического онкологического диспансера, по причине невыполнения 2 поставщиками условий контрактов по своевременности поставки медицинского оборудования, в том числе:</w:t>
      </w:r>
    </w:p>
    <w:p w14:paraId="651ECA4C"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ООО «МБА Групп» на сумму 7,3 млн.руб. Согласно пункту 5.1 контракта от 21.10.2019, поставка видеоэндоскопического комплекса осуществляется поставщиком не позднее 25.12.2019, акт ввода оборудования в эксплуатацию и обучение правилам эксплуатации и инструктаж специалистов подписан сторонами 07.02.2020;</w:t>
      </w:r>
    </w:p>
    <w:p w14:paraId="6943A7D7"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ООО «Оптэк» на сумму 2,2 млн.руб. Согласно пункту 5.1 контракта от 04.12.2019, поставка фитомикроскопов осуществляется поставщиком в не позднее 20.12.2019, акт ввода оборудования в эксплуатацию и обучение правилам эксплуатации и инструктаж специалистов подписан сторонами 04.03.2020.</w:t>
      </w:r>
    </w:p>
    <w:p w14:paraId="638ACD6D"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целях реализации регионального проекта «Борьба с онкологическими заболеваниями (Архангельская область)» разработана и утверждена постановлением Правительства Архангельской области от 18.06.2019 № 311-пп региональная программа Архангельской области «Борьба с онкологическими заболеваниями на 2019 – 2024 годы». В рамках реализации региональной программы предусмотрено проведение мероприятий по совершенствованию системы оказания специализированной медицинской помощи, в том числе, высокотехнологичной медицинской помощи, внедрению в деятельности государственных медицинских организаций клинических рекомендаций и протоколов лечения, обучение медицинского персонала, достижения установленных показателей региональной программы.</w:t>
      </w:r>
    </w:p>
    <w:p w14:paraId="5EF7C522" w14:textId="5AA32A62"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31.12.2019, осуществлено приобретение медицинского оборудования для трех государственных медицинских организаций Архангельской области, оказывающих медицинскую помощь пациентам с онкологическими заболеваниями в стационарных условиях, в рам</w:t>
      </w:r>
      <w:r w:rsidR="000F5E4B" w:rsidRPr="00A53AD7">
        <w:rPr>
          <w:rFonts w:ascii="Times New Roman" w:hAnsi="Times New Roman"/>
          <w:sz w:val="28"/>
          <w:szCs w:val="28"/>
        </w:rPr>
        <w:t>ках, заключенных 18 контрактов:</w:t>
      </w:r>
    </w:p>
    <w:p w14:paraId="625290D3" w14:textId="34C8600F" w:rsidR="001E1920" w:rsidRPr="00A53AD7" w:rsidRDefault="001E1920" w:rsidP="00CA1DDD">
      <w:pPr>
        <w:pStyle w:val="a8"/>
        <w:numPr>
          <w:ilvl w:val="0"/>
          <w:numId w:val="45"/>
        </w:numPr>
        <w:ind w:left="0" w:firstLine="851"/>
        <w:jc w:val="both"/>
        <w:rPr>
          <w:sz w:val="28"/>
          <w:szCs w:val="28"/>
        </w:rPr>
      </w:pPr>
      <w:r w:rsidRPr="00A53AD7">
        <w:rPr>
          <w:sz w:val="28"/>
          <w:szCs w:val="28"/>
        </w:rPr>
        <w:t>ГБУЗ Архангельской области «Архангельский клинический онкологический диспансер»: УЗИ-аппарат экспертного класса, видеоэндоскопический комплекс, компьютерный и магнитно-резонансный томографы, эндоскопические комплексы для выполнения торакальн</w:t>
      </w:r>
      <w:r w:rsidR="000F5E4B" w:rsidRPr="00A53AD7">
        <w:rPr>
          <w:sz w:val="28"/>
          <w:szCs w:val="28"/>
        </w:rPr>
        <w:t>ых и гинекологических операций;</w:t>
      </w:r>
    </w:p>
    <w:p w14:paraId="148AE8F0"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ГБУЗ Архангельской области «Архангельская областная клиническая больница»: УЗИ аппарат;</w:t>
      </w:r>
    </w:p>
    <w:p w14:paraId="30170373"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ГБУЗ Архангельской области «Северодвинская городская клиническая больница № 2 скорой медицинской помощи»: УЗИ-аппарат, видеоэндоскопический комплекс.</w:t>
      </w:r>
    </w:p>
    <w:p w14:paraId="7DEC1875"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«Борьба с онкологическими заболеваниями (Архангельской область)», за 2019 год из 3 показателей, установленных в Приложении № 1 соглашения, выполнены 2 показателя или 66,7%.</w:t>
      </w:r>
    </w:p>
    <w:p w14:paraId="65733DDB"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невыполнении показателя «Удельный вес больных со злокачественными новообразованиями, состоящих на учете 5 лет и более», установленного в Приложении № 1 к соглашению о реализации регионального проекта «Борьба с онкологическими заболеваниями (Архангельской область)» показателей на 2019 год, представлена в таблице ниже:</w:t>
      </w:r>
    </w:p>
    <w:tbl>
      <w:tblPr>
        <w:tblStyle w:val="a7"/>
        <w:tblW w:w="9356" w:type="dxa"/>
        <w:tblInd w:w="108" w:type="dxa"/>
        <w:tblLayout w:type="fixed"/>
        <w:tblLook w:val="04A0" w:firstRow="1" w:lastRow="0" w:firstColumn="1" w:lastColumn="0" w:noHBand="0" w:noVBand="1"/>
      </w:tblPr>
      <w:tblGrid>
        <w:gridCol w:w="4678"/>
        <w:gridCol w:w="992"/>
        <w:gridCol w:w="1134"/>
        <w:gridCol w:w="1276"/>
        <w:gridCol w:w="1276"/>
      </w:tblGrid>
      <w:tr w:rsidR="00D470B6" w:rsidRPr="00A53AD7" w14:paraId="6B9D6C54" w14:textId="77777777" w:rsidTr="000F5E4B">
        <w:trPr>
          <w:trHeight w:val="737"/>
        </w:trPr>
        <w:tc>
          <w:tcPr>
            <w:tcW w:w="4678" w:type="dxa"/>
            <w:tcBorders>
              <w:top w:val="double" w:sz="4" w:space="0" w:color="auto"/>
              <w:left w:val="double" w:sz="4" w:space="0" w:color="auto"/>
            </w:tcBorders>
            <w:vAlign w:val="center"/>
          </w:tcPr>
          <w:p w14:paraId="1118F66B"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992" w:type="dxa"/>
            <w:tcBorders>
              <w:top w:val="double" w:sz="4" w:space="0" w:color="auto"/>
            </w:tcBorders>
            <w:vAlign w:val="center"/>
          </w:tcPr>
          <w:p w14:paraId="05B22404"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Единица измерения</w:t>
            </w:r>
          </w:p>
        </w:tc>
        <w:tc>
          <w:tcPr>
            <w:tcW w:w="1134" w:type="dxa"/>
            <w:tcBorders>
              <w:top w:val="double" w:sz="4" w:space="0" w:color="auto"/>
            </w:tcBorders>
            <w:vAlign w:val="center"/>
          </w:tcPr>
          <w:p w14:paraId="1E1C6953"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 xml:space="preserve">Плановое </w:t>
            </w:r>
          </w:p>
          <w:p w14:paraId="43014DA6"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значение показателя на 2019 год</w:t>
            </w:r>
          </w:p>
        </w:tc>
        <w:tc>
          <w:tcPr>
            <w:tcW w:w="1276" w:type="dxa"/>
            <w:tcBorders>
              <w:top w:val="double" w:sz="4" w:space="0" w:color="auto"/>
              <w:right w:val="nil"/>
            </w:tcBorders>
            <w:vAlign w:val="center"/>
          </w:tcPr>
          <w:p w14:paraId="240CB17F"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Фактическое значение показателя за 2019 год</w:t>
            </w:r>
          </w:p>
        </w:tc>
        <w:tc>
          <w:tcPr>
            <w:tcW w:w="1276" w:type="dxa"/>
            <w:tcBorders>
              <w:top w:val="double" w:sz="4" w:space="0" w:color="auto"/>
              <w:right w:val="double" w:sz="4" w:space="0" w:color="auto"/>
            </w:tcBorders>
            <w:vAlign w:val="center"/>
          </w:tcPr>
          <w:p w14:paraId="160226F6"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Степень достижения показателя, %</w:t>
            </w:r>
          </w:p>
        </w:tc>
      </w:tr>
      <w:tr w:rsidR="001E1920" w:rsidRPr="00A53AD7" w14:paraId="1BFAE190" w14:textId="77777777" w:rsidTr="001E1920">
        <w:tc>
          <w:tcPr>
            <w:tcW w:w="4678" w:type="dxa"/>
            <w:tcBorders>
              <w:left w:val="double" w:sz="4" w:space="0" w:color="auto"/>
            </w:tcBorders>
            <w:vAlign w:val="center"/>
          </w:tcPr>
          <w:p w14:paraId="1151BEDD" w14:textId="77777777" w:rsidR="001E1920" w:rsidRPr="00A53AD7" w:rsidRDefault="001E1920" w:rsidP="000F5E4B">
            <w:pPr>
              <w:spacing w:after="0" w:line="240" w:lineRule="auto"/>
              <w:rPr>
                <w:rFonts w:ascii="Times New Roman" w:hAnsi="Times New Roman"/>
                <w:sz w:val="20"/>
                <w:szCs w:val="20"/>
              </w:rPr>
            </w:pPr>
            <w:r w:rsidRPr="00A53AD7">
              <w:rPr>
                <w:rFonts w:ascii="Times New Roman" w:hAnsi="Times New Roman"/>
                <w:sz w:val="20"/>
                <w:szCs w:val="20"/>
              </w:rPr>
              <w:t>Удельный вес больных со злокачественными</w:t>
            </w:r>
          </w:p>
          <w:p w14:paraId="0813F0F1" w14:textId="77777777" w:rsidR="001E1920" w:rsidRPr="00A53AD7" w:rsidRDefault="001E1920" w:rsidP="000F5E4B">
            <w:pPr>
              <w:spacing w:after="0" w:line="240" w:lineRule="auto"/>
              <w:rPr>
                <w:rFonts w:ascii="Times New Roman" w:hAnsi="Times New Roman"/>
                <w:sz w:val="20"/>
                <w:szCs w:val="20"/>
              </w:rPr>
            </w:pPr>
            <w:r w:rsidRPr="00A53AD7">
              <w:rPr>
                <w:rFonts w:ascii="Times New Roman" w:hAnsi="Times New Roman"/>
                <w:sz w:val="20"/>
                <w:szCs w:val="20"/>
              </w:rPr>
              <w:t>новообразованиями, состоящих на учете 5 лет и более</w:t>
            </w:r>
          </w:p>
        </w:tc>
        <w:tc>
          <w:tcPr>
            <w:tcW w:w="992" w:type="dxa"/>
            <w:vAlign w:val="center"/>
          </w:tcPr>
          <w:p w14:paraId="000EFA10" w14:textId="77777777" w:rsidR="001E1920" w:rsidRPr="00A53AD7" w:rsidRDefault="001E1920" w:rsidP="000F5E4B">
            <w:pPr>
              <w:spacing w:after="0" w:line="240" w:lineRule="auto"/>
              <w:jc w:val="center"/>
              <w:rPr>
                <w:rFonts w:ascii="Times New Roman" w:hAnsi="Times New Roman"/>
                <w:b/>
                <w:sz w:val="20"/>
                <w:szCs w:val="20"/>
              </w:rPr>
            </w:pPr>
            <w:r w:rsidRPr="00A53AD7">
              <w:rPr>
                <w:rFonts w:ascii="Times New Roman" w:hAnsi="Times New Roman"/>
                <w:b/>
                <w:sz w:val="20"/>
                <w:szCs w:val="20"/>
              </w:rPr>
              <w:t>%</w:t>
            </w:r>
          </w:p>
        </w:tc>
        <w:tc>
          <w:tcPr>
            <w:tcW w:w="1134" w:type="dxa"/>
            <w:vAlign w:val="center"/>
          </w:tcPr>
          <w:p w14:paraId="599BE73E" w14:textId="77777777" w:rsidR="001E1920" w:rsidRPr="00A53AD7" w:rsidRDefault="001E1920" w:rsidP="002351E4">
            <w:pPr>
              <w:spacing w:after="0" w:line="240" w:lineRule="auto"/>
              <w:jc w:val="right"/>
              <w:rPr>
                <w:rFonts w:ascii="Times New Roman" w:hAnsi="Times New Roman"/>
                <w:b/>
                <w:sz w:val="20"/>
                <w:szCs w:val="20"/>
              </w:rPr>
            </w:pPr>
            <w:r w:rsidRPr="00A53AD7">
              <w:rPr>
                <w:rFonts w:ascii="Times New Roman" w:hAnsi="Times New Roman"/>
                <w:b/>
                <w:sz w:val="20"/>
                <w:szCs w:val="20"/>
              </w:rPr>
              <w:t>56,3</w:t>
            </w:r>
          </w:p>
        </w:tc>
        <w:tc>
          <w:tcPr>
            <w:tcW w:w="1276" w:type="dxa"/>
            <w:vAlign w:val="center"/>
          </w:tcPr>
          <w:p w14:paraId="4D030E8A" w14:textId="77777777" w:rsidR="001E1920" w:rsidRPr="00A53AD7" w:rsidRDefault="001E1920" w:rsidP="002351E4">
            <w:pPr>
              <w:spacing w:after="0" w:line="240" w:lineRule="auto"/>
              <w:jc w:val="right"/>
              <w:rPr>
                <w:rFonts w:ascii="Times New Roman" w:hAnsi="Times New Roman"/>
                <w:b/>
                <w:sz w:val="20"/>
                <w:szCs w:val="20"/>
              </w:rPr>
            </w:pPr>
            <w:r w:rsidRPr="00A53AD7">
              <w:rPr>
                <w:rFonts w:ascii="Times New Roman" w:hAnsi="Times New Roman"/>
                <w:b/>
                <w:sz w:val="20"/>
                <w:szCs w:val="20"/>
              </w:rPr>
              <w:t>55,6</w:t>
            </w:r>
          </w:p>
        </w:tc>
        <w:tc>
          <w:tcPr>
            <w:tcW w:w="1276" w:type="dxa"/>
            <w:tcBorders>
              <w:right w:val="double" w:sz="4" w:space="0" w:color="auto"/>
            </w:tcBorders>
            <w:vAlign w:val="center"/>
          </w:tcPr>
          <w:p w14:paraId="0951A385" w14:textId="77777777" w:rsidR="001E1920" w:rsidRPr="00A53AD7" w:rsidRDefault="001E1920" w:rsidP="002351E4">
            <w:pPr>
              <w:spacing w:after="0" w:line="240" w:lineRule="auto"/>
              <w:jc w:val="right"/>
              <w:rPr>
                <w:rFonts w:ascii="Times New Roman" w:hAnsi="Times New Roman"/>
                <w:b/>
                <w:sz w:val="20"/>
                <w:szCs w:val="20"/>
              </w:rPr>
            </w:pPr>
            <w:r w:rsidRPr="00A53AD7">
              <w:rPr>
                <w:rFonts w:ascii="Times New Roman" w:hAnsi="Times New Roman"/>
                <w:b/>
                <w:sz w:val="20"/>
                <w:szCs w:val="20"/>
              </w:rPr>
              <w:t>98,75</w:t>
            </w:r>
          </w:p>
        </w:tc>
      </w:tr>
    </w:tbl>
    <w:p w14:paraId="75CD1DBA" w14:textId="77777777" w:rsidR="000F5E4B" w:rsidRPr="00A53AD7" w:rsidRDefault="000F5E4B" w:rsidP="000F5E4B">
      <w:pPr>
        <w:spacing w:after="0" w:line="240" w:lineRule="auto"/>
        <w:ind w:firstLine="851"/>
        <w:jc w:val="both"/>
        <w:rPr>
          <w:rFonts w:ascii="Times New Roman" w:hAnsi="Times New Roman"/>
          <w:sz w:val="28"/>
          <w:szCs w:val="28"/>
        </w:rPr>
      </w:pPr>
    </w:p>
    <w:p w14:paraId="02AC064A"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минздравом АО пояснениям, недостижение одного показателя допущено в связи с увеличением в структуре населения доли граждан старше трудоспособного возраста в регионе увеличивается число пациентов с новообразованиями пожилого возраста, которые уже имеют определенные хронические заболевания. Имеют место региональные особенности заболеваемости новообразованиями. В Архангельской области злокачественные новообразования кожи с меланомой занимают лидирующее место, но пациенты с базалиомой снимаются с учета при отсутствии прогрессирования заболевания через 5 лет наблюдения, что искусственно занижает показатель 5-летней выживаемости для Архангельской области. С учетом указанной категории пациентов показатель 5-летней выживаемости в области в 2019 году составляет 58,2 процента.</w:t>
      </w:r>
    </w:p>
    <w:p w14:paraId="1C7A0878"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значения результатов, установленных в Приложении № 2 к соглашению о реализации регионального проекта «Борьба с онкологическими заболеваниями (Архангельской область)», достигнуты со статусом реализации «отсутствие отклонений» и рисков.</w:t>
      </w:r>
    </w:p>
    <w:p w14:paraId="10A3B74B" w14:textId="77777777" w:rsidR="001E1920" w:rsidRPr="00A53AD7" w:rsidRDefault="001E1920" w:rsidP="000F5E4B">
      <w:pPr>
        <w:spacing w:after="0" w:line="240" w:lineRule="auto"/>
        <w:ind w:firstLine="851"/>
        <w:jc w:val="both"/>
        <w:rPr>
          <w:rFonts w:ascii="Times New Roman" w:hAnsi="Times New Roman"/>
          <w:sz w:val="28"/>
          <w:szCs w:val="28"/>
        </w:rPr>
      </w:pPr>
    </w:p>
    <w:p w14:paraId="73BB7E9A"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3) Согласно приложению № 1 к Соглашению от 09.02.2019 № 056-08-2019-106, в целях выполнения мероприятия 6.1. «Обеспечение закупки авиационных работ в целях оказания медицинской помощи» регионального проекта «Развитие системы оказания первичной медико-санитарной помощи (Архангельская область)», до 31.12.2019 необходимо выполнить не менее 122 вылетов санитарной авиации дополнительно к вылетам, осуществляемым за счет средств областного бюджета.</w:t>
      </w:r>
    </w:p>
    <w:p w14:paraId="7AF4C949"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Кассовое исполнение составило 116,6 млн.руб. или 100,0% к сводной бюджетной росписи на 2019 год. Субсидия перечислена бюджетным учреждениям. Освоено 100%.</w:t>
      </w:r>
    </w:p>
    <w:p w14:paraId="1BDAF2BA"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Архангельской области от 18.06.2019 № 321-пп утверждена Стратегия развития санитарной авиации в Архангельской области до 2024 года.</w:t>
      </w:r>
    </w:p>
    <w:p w14:paraId="399E9121" w14:textId="1AD9F6F0"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пояснительной записке о ходе реализации регионального проекта «Развитие системы оказания первичной медико-санитарной помощи (Архангельская область)» за 2019 год, разработана, согласована с Министерством здравоохранения Российской Федерации и утверждена постановлением Правительства Архангельской области от 18.06.2019 № 321-пп Стратегия развития санитарной авиации в Архангельской области на период до 2024 года. В 2019 году за счет средств федерального бюджета дополнительно осуществлено 163 выл</w:t>
      </w:r>
      <w:r w:rsidR="000F5E4B" w:rsidRPr="00A53AD7">
        <w:rPr>
          <w:rFonts w:ascii="Times New Roman" w:hAnsi="Times New Roman"/>
          <w:sz w:val="28"/>
          <w:szCs w:val="28"/>
        </w:rPr>
        <w:t>ета, эвакуировано 293 пациента.</w:t>
      </w:r>
    </w:p>
    <w:p w14:paraId="13326460" w14:textId="77777777" w:rsidR="001E1920" w:rsidRPr="00A53AD7" w:rsidRDefault="001E1920" w:rsidP="001E1920">
      <w:pPr>
        <w:spacing w:after="0" w:line="240" w:lineRule="auto"/>
        <w:ind w:firstLine="709"/>
        <w:jc w:val="both"/>
        <w:rPr>
          <w:rFonts w:ascii="Times New Roman" w:eastAsia="Courier New" w:hAnsi="Times New Roman"/>
          <w:sz w:val="16"/>
          <w:szCs w:val="16"/>
          <w:highlight w:val="cyan"/>
          <w:lang w:eastAsia="ru-RU" w:bidi="ru-RU"/>
        </w:rPr>
      </w:pPr>
    </w:p>
    <w:p w14:paraId="0F4171FF" w14:textId="77777777" w:rsidR="001E1920" w:rsidRPr="00A53AD7" w:rsidRDefault="001E1920" w:rsidP="000F5E4B">
      <w:pPr>
        <w:spacing w:after="0" w:line="240" w:lineRule="auto"/>
        <w:ind w:firstLine="851"/>
        <w:jc w:val="both"/>
        <w:rPr>
          <w:rFonts w:ascii="Times New Roman" w:eastAsia="Courier New" w:hAnsi="Times New Roman"/>
          <w:sz w:val="28"/>
          <w:szCs w:val="28"/>
          <w:lang w:eastAsia="ru-RU" w:bidi="ru-RU"/>
        </w:rPr>
      </w:pPr>
      <w:r w:rsidRPr="00A53AD7">
        <w:rPr>
          <w:rFonts w:ascii="Times New Roman" w:eastAsia="Courier New" w:hAnsi="Times New Roman"/>
          <w:i/>
          <w:sz w:val="28"/>
          <w:szCs w:val="28"/>
          <w:lang w:eastAsia="ru-RU" w:bidi="ru-RU"/>
        </w:rPr>
        <w:t>По подпрограмме № 4</w:t>
      </w:r>
      <w:r w:rsidRPr="00A53AD7">
        <w:rPr>
          <w:rFonts w:ascii="Times New Roman" w:eastAsia="Courier New" w:hAnsi="Times New Roman"/>
          <w:sz w:val="28"/>
          <w:szCs w:val="28"/>
          <w:lang w:eastAsia="ru-RU" w:bidi="ru-RU"/>
        </w:rPr>
        <w:t xml:space="preserve"> «Охрана здоровья матери и ребенка» реализуется 1 мероприятие регионального проекта «</w:t>
      </w:r>
      <w:r w:rsidRPr="00A53AD7">
        <w:rPr>
          <w:rFonts w:ascii="Times New Roman" w:eastAsia="Times New Roman" w:hAnsi="Times New Roman"/>
          <w:sz w:val="28"/>
          <w:szCs w:val="28"/>
          <w:lang w:eastAsia="ru-RU" w:bidi="ru-RU"/>
        </w:rPr>
        <w:t>Развитие детского здравоохранения, включая создание современной инфраструктуры оказания медицинской помощи (Архангельская область)»</w:t>
      </w:r>
    </w:p>
    <w:tbl>
      <w:tblPr>
        <w:tblOverlap w:val="never"/>
        <w:tblW w:w="919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979"/>
        <w:gridCol w:w="1555"/>
        <w:gridCol w:w="1420"/>
        <w:gridCol w:w="1134"/>
        <w:gridCol w:w="1134"/>
        <w:gridCol w:w="977"/>
      </w:tblGrid>
      <w:tr w:rsidR="00D470B6" w:rsidRPr="00A53AD7" w14:paraId="37A7DCB6" w14:textId="77777777" w:rsidTr="000F5E4B">
        <w:trPr>
          <w:trHeight w:val="1200"/>
          <w:tblHeader/>
          <w:jc w:val="center"/>
        </w:trPr>
        <w:tc>
          <w:tcPr>
            <w:tcW w:w="2979" w:type="dxa"/>
            <w:shd w:val="clear" w:color="auto" w:fill="FFFFFF"/>
            <w:vAlign w:val="center"/>
          </w:tcPr>
          <w:p w14:paraId="5CBF032D"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мероприятия подпрограммы</w:t>
            </w:r>
          </w:p>
        </w:tc>
        <w:tc>
          <w:tcPr>
            <w:tcW w:w="1555" w:type="dxa"/>
            <w:shd w:val="clear" w:color="auto" w:fill="FFFFFF"/>
            <w:vAlign w:val="center"/>
          </w:tcPr>
          <w:p w14:paraId="26E9B063"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регионального проекта</w:t>
            </w:r>
          </w:p>
        </w:tc>
        <w:tc>
          <w:tcPr>
            <w:tcW w:w="1420" w:type="dxa"/>
            <w:shd w:val="clear" w:color="auto" w:fill="FFFFFF"/>
            <w:vAlign w:val="center"/>
          </w:tcPr>
          <w:p w14:paraId="6E20940A"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Источник финансирования (ОБ-областной бюджет, ФБ-федеральный бюджет)</w:t>
            </w:r>
          </w:p>
        </w:tc>
        <w:tc>
          <w:tcPr>
            <w:tcW w:w="1134" w:type="dxa"/>
            <w:shd w:val="clear" w:color="auto" w:fill="FFFFFF"/>
            <w:vAlign w:val="center"/>
          </w:tcPr>
          <w:p w14:paraId="72DC27CF"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Объем финансирования на 2019 год, млн.руб.</w:t>
            </w:r>
          </w:p>
        </w:tc>
        <w:tc>
          <w:tcPr>
            <w:tcW w:w="1134" w:type="dxa"/>
            <w:shd w:val="clear" w:color="auto" w:fill="FFFFFF"/>
            <w:vAlign w:val="center"/>
          </w:tcPr>
          <w:p w14:paraId="02F02ADC"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Кассовое исполнение за 2019 год, млн.руб..</w:t>
            </w:r>
          </w:p>
        </w:tc>
        <w:tc>
          <w:tcPr>
            <w:tcW w:w="977" w:type="dxa"/>
            <w:shd w:val="clear" w:color="auto" w:fill="FFFFFF"/>
            <w:vAlign w:val="center"/>
          </w:tcPr>
          <w:p w14:paraId="52A8FABC" w14:textId="1CC55942" w:rsidR="001E1920" w:rsidRPr="00A53AD7" w:rsidRDefault="001E1920" w:rsidP="00296592">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Освоено за</w:t>
            </w:r>
            <w:r w:rsidR="00296592" w:rsidRPr="00A53AD7">
              <w:rPr>
                <w:rFonts w:ascii="Times New Roman" w:eastAsia="Times New Roman" w:hAnsi="Times New Roman"/>
                <w:sz w:val="16"/>
                <w:szCs w:val="16"/>
                <w:lang w:eastAsia="ru-RU" w:bidi="ru-RU"/>
              </w:rPr>
              <w:t xml:space="preserve"> </w:t>
            </w:r>
            <w:r w:rsidRPr="00A53AD7">
              <w:rPr>
                <w:rFonts w:ascii="Times New Roman" w:eastAsia="Times New Roman" w:hAnsi="Times New Roman"/>
                <w:sz w:val="16"/>
                <w:szCs w:val="16"/>
                <w:lang w:eastAsia="ru-RU" w:bidi="ru-RU"/>
              </w:rPr>
              <w:t>2019 год, млн.руб.</w:t>
            </w:r>
          </w:p>
        </w:tc>
      </w:tr>
      <w:tr w:rsidR="00D470B6" w:rsidRPr="00A53AD7" w14:paraId="6B987887" w14:textId="77777777" w:rsidTr="000F5E4B">
        <w:trPr>
          <w:trHeight w:hRule="exact" w:val="2793"/>
          <w:jc w:val="center"/>
        </w:trPr>
        <w:tc>
          <w:tcPr>
            <w:tcW w:w="2979" w:type="dxa"/>
            <w:shd w:val="clear" w:color="auto" w:fill="FFFFFF"/>
          </w:tcPr>
          <w:p w14:paraId="3DCAF780"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10. Укрепление материально-технической базы детских поликлиник и детских поликлинических отделений государственных медицинских организаций</w:t>
            </w:r>
          </w:p>
        </w:tc>
        <w:tc>
          <w:tcPr>
            <w:tcW w:w="1555" w:type="dxa"/>
            <w:shd w:val="clear" w:color="auto" w:fill="FFFFFF"/>
          </w:tcPr>
          <w:p w14:paraId="2E85CAFC"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Развитие детского здравоохранения, включая создание современной инфраструктуры оказания медицинской помощи (Архангельская область)</w:t>
            </w:r>
          </w:p>
        </w:tc>
        <w:tc>
          <w:tcPr>
            <w:tcW w:w="1420" w:type="dxa"/>
            <w:shd w:val="clear" w:color="auto" w:fill="FFFFFF"/>
            <w:vAlign w:val="center"/>
          </w:tcPr>
          <w:p w14:paraId="5DC8E516"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Итого</w:t>
            </w:r>
          </w:p>
          <w:p w14:paraId="7F095807"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p w14:paraId="2482F8FC"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ОБ</w:t>
            </w:r>
          </w:p>
        </w:tc>
        <w:tc>
          <w:tcPr>
            <w:tcW w:w="1134" w:type="dxa"/>
            <w:shd w:val="clear" w:color="auto" w:fill="FFFFFF"/>
            <w:vAlign w:val="center"/>
          </w:tcPr>
          <w:p w14:paraId="4F969983"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p>
          <w:p w14:paraId="5F8C18BF"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159,1</w:t>
            </w:r>
          </w:p>
          <w:p w14:paraId="1C9E2F48"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115,8</w:t>
            </w:r>
          </w:p>
          <w:p w14:paraId="7B88931A"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43,3</w:t>
            </w:r>
          </w:p>
          <w:p w14:paraId="41804442"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p>
        </w:tc>
        <w:tc>
          <w:tcPr>
            <w:tcW w:w="1134" w:type="dxa"/>
            <w:shd w:val="clear" w:color="auto" w:fill="FFFFFF"/>
            <w:vAlign w:val="center"/>
          </w:tcPr>
          <w:p w14:paraId="70C75C89"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159,1</w:t>
            </w:r>
          </w:p>
          <w:p w14:paraId="2B35D554"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115,8</w:t>
            </w:r>
          </w:p>
          <w:p w14:paraId="4B45BE2C"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43,3</w:t>
            </w:r>
          </w:p>
        </w:tc>
        <w:tc>
          <w:tcPr>
            <w:tcW w:w="977" w:type="dxa"/>
            <w:shd w:val="clear" w:color="auto" w:fill="FFFFFF"/>
            <w:vAlign w:val="center"/>
          </w:tcPr>
          <w:p w14:paraId="4D9D82D6"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159,1</w:t>
            </w:r>
          </w:p>
          <w:p w14:paraId="2EB1385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115,8</w:t>
            </w:r>
          </w:p>
          <w:p w14:paraId="5FCA3678"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43,3</w:t>
            </w:r>
          </w:p>
        </w:tc>
      </w:tr>
    </w:tbl>
    <w:p w14:paraId="5354B233" w14:textId="77777777" w:rsidR="001E1920" w:rsidRPr="00A53AD7" w:rsidRDefault="001E1920" w:rsidP="000F5E4B">
      <w:pPr>
        <w:spacing w:after="0" w:line="240" w:lineRule="auto"/>
        <w:ind w:firstLine="851"/>
        <w:jc w:val="both"/>
        <w:rPr>
          <w:rFonts w:ascii="Times New Roman" w:hAnsi="Times New Roman"/>
          <w:sz w:val="28"/>
          <w:szCs w:val="28"/>
        </w:rPr>
      </w:pPr>
    </w:p>
    <w:p w14:paraId="734542BD"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соглашению от 13.02.2019 № 056-08-2019- 499, в целях выполнения мероприятия 10 «Укрепление материально-технической базы детских поликлиник и детских поликлинических отделений государственных медицинских организаций» регионального проекта «Развитие детского здравоохранения, включая создание современной инфраструктуры оказания медицинской помощи (Архангельская область)», до 31.12.2019 необходимо дооснастить 20 % детских поликлиник (детских поликлинических отделений) государственных медицинских организаций в соответствии с приказом Минздрава России от 07.03.2018 № 92н «Об утверждении Положения об организации оказания первичной медико-санитарной помощи детям».</w:t>
      </w:r>
    </w:p>
    <w:p w14:paraId="431E424C" w14:textId="6EB8B390"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Кассовое исполнение составило 159,1 млн.руб. или 100% к сводной бюджетной росписи на 2019 год, освоено 100%. Субсидия пер</w:t>
      </w:r>
      <w:r w:rsidR="000F5E4B" w:rsidRPr="00A53AD7">
        <w:rPr>
          <w:rFonts w:ascii="Times New Roman" w:hAnsi="Times New Roman"/>
          <w:sz w:val="28"/>
          <w:szCs w:val="28"/>
        </w:rPr>
        <w:t>ечислена бюджетным учреждениям.</w:t>
      </w:r>
    </w:p>
    <w:p w14:paraId="7AE23E57" w14:textId="6DC8EBAB"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пояснительной записке о ходе реализации мероприятий регионального проекта «Программа развития детского здравоохранения Архангельской области, включая создание современной инфраструктуры оказания м</w:t>
      </w:r>
      <w:r w:rsidR="000F5E4B" w:rsidRPr="00A53AD7">
        <w:rPr>
          <w:rFonts w:ascii="Times New Roman" w:hAnsi="Times New Roman"/>
          <w:sz w:val="28"/>
          <w:szCs w:val="28"/>
        </w:rPr>
        <w:t>едицинской помощи» за 2019 год:</w:t>
      </w:r>
    </w:p>
    <w:p w14:paraId="547E7C8D"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 xml:space="preserve">приобретено 6 аппаратов рентгеновских цифровых, 11 ультразвуковых аппаратов, </w:t>
      </w:r>
      <w:bookmarkStart w:id="118" w:name="_Hlk23332253"/>
      <w:r w:rsidRPr="00A53AD7">
        <w:rPr>
          <w:sz w:val="28"/>
          <w:szCs w:val="28"/>
        </w:rPr>
        <w:t>3 электрокардиограф</w:t>
      </w:r>
      <w:bookmarkEnd w:id="118"/>
      <w:r w:rsidRPr="00A53AD7">
        <w:rPr>
          <w:sz w:val="28"/>
          <w:szCs w:val="28"/>
        </w:rPr>
        <w:t>а, 1 электроэнцефалограф в 15 государственные медицинские организации, дооснащены медицинскими изделиями 6 детских поликлиник/детских поликлинических отделений в 6 государственных медицинских организациях</w:t>
      </w:r>
      <w:bookmarkStart w:id="119" w:name="_Hlk23332171"/>
      <w:r w:rsidRPr="00A53AD7">
        <w:rPr>
          <w:sz w:val="28"/>
          <w:szCs w:val="28"/>
        </w:rPr>
        <w:t xml:space="preserve">: ГБУЗ АО «Архангельская городская клиническая больница № 4», ГБУЗ АО «Архангельская городская клиническая поликлиника № 2», ГБУЗ АО «Приморская центральная районная больница», ГБУЗ АО «Карпогорская центральная районная больница», ГБУЗ АО «Няндомская центральная районная больница», ГБУЗ АО «Коношская центральная районная больница». </w:t>
      </w:r>
    </w:p>
    <w:bookmarkEnd w:id="119"/>
    <w:p w14:paraId="137D0B43"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организационно-планировочных решения внутренних пространств детских поликлиник/детских поликлинических отделений 6 государственных медицинских организациях завершены в полном объеме: ГБУЗ АО «Онежская центральная районная больница», ГБУЗ АО «Архангельская городская клиническая больница № 4», ГБУЗ АО «Архангельская городская детская клиническая поликлиника», ГБУЗ АО «Архангельская городская клиническая поликлиника № 2», ГБУЗ АО «Няндомская центральная районная больница», ГБУЗ АО «Устьянская центральная районная больница», ГБУЗ АО «Коряжемская городская больница».</w:t>
      </w:r>
    </w:p>
    <w:p w14:paraId="3F25BB3E"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Создан мобильный центр «Город здоровья для детей и подростков» на базе ГБУЗ АО «Архангельский центр медицинской профилактики» (приказ от 01.07.2019 № 22/1-од). Специалистами городка здоровья проводятся информационно-коммуникационные мероприятия, направленные на формирование принципов ЗОЖ у детей и их родителей.</w:t>
      </w:r>
    </w:p>
    <w:p w14:paraId="258D1251"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Постановлением Правительства Архангельской области от 14.06.2019 № 310-пп утверждена программа Архангельской области «Развитие детского здравоохранения, включая создание современной инфраструктуры оказания медицинской помощи детям, в Архангельской области на 2019 - 2024 годы».</w:t>
      </w:r>
    </w:p>
    <w:p w14:paraId="30046A45"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региональному проекту «Развитие детского здравоохранения, включая создание современной инфраструктуры оказания медицинской помощи (Архангельской область)», в целевые показатели госпрограммы включены только 5 показателей из 10, установленных в приложении № 1 соглашения. Например, не включены в целевые показатели госпрограммы такие показатели проекта как «Доля взятых под диспансерное наблюдение детей в возрасте 0-17 лет с впервые в жизни установленными заболеваниями:</w:t>
      </w:r>
    </w:p>
    <w:p w14:paraId="346D9F6D"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костно-мышечной системы и соединительной ткани, %;</w:t>
      </w:r>
    </w:p>
    <w:p w14:paraId="6C89E193"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глаз, и его придаточного аппарата, %;</w:t>
      </w:r>
    </w:p>
    <w:p w14:paraId="009FC176"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органов пищеварения, %;</w:t>
      </w:r>
    </w:p>
    <w:p w14:paraId="0BCD857E"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органов кровообращения, %;</w:t>
      </w:r>
    </w:p>
    <w:p w14:paraId="6686DA09"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эндокринной системы и нарушениями обмена веществ, %.</w:t>
      </w:r>
    </w:p>
    <w:p w14:paraId="5E677780"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«Развитие детского здравоохранения, включая создание современной инфраструктуры оказания медицинской помощи (Архангельской область)», за 2019 год из 10 показателей, установленных в Приложении № 1 соглашения, выполнены 8 показателей или 80,0%.</w:t>
      </w:r>
    </w:p>
    <w:p w14:paraId="42606522" w14:textId="1C6279CD"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Информация о невыполнении 2 показателей, установленных в Приложении № 1 к соглашению о реализации регионального проекта «Развитие детского здравоохранения, включая создание современной инфраструктуры оказания медицинской помощи (Архангельской область)» показателей на 2019 г</w:t>
      </w:r>
      <w:r w:rsidR="000F5E4B" w:rsidRPr="00A53AD7">
        <w:rPr>
          <w:rFonts w:ascii="Times New Roman" w:hAnsi="Times New Roman"/>
          <w:sz w:val="28"/>
          <w:szCs w:val="28"/>
        </w:rPr>
        <w:t>од, представлена в таблице ниже:</w:t>
      </w:r>
    </w:p>
    <w:tbl>
      <w:tblPr>
        <w:tblStyle w:val="a7"/>
        <w:tblW w:w="9356" w:type="dxa"/>
        <w:tblInd w:w="108" w:type="dxa"/>
        <w:tblLayout w:type="fixed"/>
        <w:tblLook w:val="04A0" w:firstRow="1" w:lastRow="0" w:firstColumn="1" w:lastColumn="0" w:noHBand="0" w:noVBand="1"/>
      </w:tblPr>
      <w:tblGrid>
        <w:gridCol w:w="4678"/>
        <w:gridCol w:w="992"/>
        <w:gridCol w:w="1134"/>
        <w:gridCol w:w="1276"/>
        <w:gridCol w:w="1276"/>
      </w:tblGrid>
      <w:tr w:rsidR="00D470B6" w:rsidRPr="00A53AD7" w14:paraId="57BE10BB" w14:textId="77777777" w:rsidTr="000F5E4B">
        <w:trPr>
          <w:trHeight w:val="553"/>
        </w:trPr>
        <w:tc>
          <w:tcPr>
            <w:tcW w:w="4678" w:type="dxa"/>
            <w:tcBorders>
              <w:top w:val="double" w:sz="4" w:space="0" w:color="auto"/>
              <w:left w:val="double" w:sz="4" w:space="0" w:color="auto"/>
            </w:tcBorders>
            <w:vAlign w:val="center"/>
          </w:tcPr>
          <w:p w14:paraId="071497F5"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992" w:type="dxa"/>
            <w:tcBorders>
              <w:top w:val="double" w:sz="4" w:space="0" w:color="auto"/>
            </w:tcBorders>
            <w:vAlign w:val="center"/>
          </w:tcPr>
          <w:p w14:paraId="3C1633DF"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Единица измерения</w:t>
            </w:r>
          </w:p>
        </w:tc>
        <w:tc>
          <w:tcPr>
            <w:tcW w:w="1134" w:type="dxa"/>
            <w:tcBorders>
              <w:top w:val="double" w:sz="4" w:space="0" w:color="auto"/>
            </w:tcBorders>
            <w:vAlign w:val="center"/>
          </w:tcPr>
          <w:p w14:paraId="3AD0CFBF"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 xml:space="preserve">Плановое </w:t>
            </w:r>
          </w:p>
          <w:p w14:paraId="77BEB524"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значение показателя на 2019 год</w:t>
            </w:r>
          </w:p>
        </w:tc>
        <w:tc>
          <w:tcPr>
            <w:tcW w:w="1276" w:type="dxa"/>
            <w:tcBorders>
              <w:top w:val="double" w:sz="4" w:space="0" w:color="auto"/>
              <w:right w:val="nil"/>
            </w:tcBorders>
            <w:vAlign w:val="center"/>
          </w:tcPr>
          <w:p w14:paraId="6A380F5A"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Фактическое значение показателя за 2019 год</w:t>
            </w:r>
          </w:p>
        </w:tc>
        <w:tc>
          <w:tcPr>
            <w:tcW w:w="1276" w:type="dxa"/>
            <w:tcBorders>
              <w:top w:val="double" w:sz="4" w:space="0" w:color="auto"/>
              <w:right w:val="double" w:sz="4" w:space="0" w:color="auto"/>
            </w:tcBorders>
            <w:vAlign w:val="center"/>
          </w:tcPr>
          <w:p w14:paraId="03B1D17B" w14:textId="77777777" w:rsidR="001E1920" w:rsidRPr="00A53AD7" w:rsidRDefault="001E1920" w:rsidP="000F5E4B">
            <w:pPr>
              <w:spacing w:after="0" w:line="240" w:lineRule="auto"/>
              <w:jc w:val="center"/>
              <w:rPr>
                <w:rFonts w:ascii="Times New Roman" w:hAnsi="Times New Roman"/>
                <w:sz w:val="16"/>
                <w:szCs w:val="16"/>
              </w:rPr>
            </w:pPr>
            <w:r w:rsidRPr="00A53AD7">
              <w:rPr>
                <w:rFonts w:ascii="Times New Roman" w:hAnsi="Times New Roman"/>
                <w:sz w:val="16"/>
                <w:szCs w:val="16"/>
              </w:rPr>
              <w:t>Степень достижения показателя, %</w:t>
            </w:r>
          </w:p>
        </w:tc>
      </w:tr>
      <w:tr w:rsidR="00D470B6" w:rsidRPr="00A53AD7" w14:paraId="4EB4967E" w14:textId="77777777" w:rsidTr="000F5E4B">
        <w:trPr>
          <w:trHeight w:val="371"/>
        </w:trPr>
        <w:tc>
          <w:tcPr>
            <w:tcW w:w="4678" w:type="dxa"/>
            <w:tcBorders>
              <w:left w:val="double" w:sz="4" w:space="0" w:color="auto"/>
            </w:tcBorders>
            <w:vAlign w:val="center"/>
          </w:tcPr>
          <w:p w14:paraId="3194C6DA" w14:textId="77777777" w:rsidR="001E1920" w:rsidRPr="00A53AD7" w:rsidRDefault="001E1920" w:rsidP="000F5E4B">
            <w:pPr>
              <w:spacing w:after="0" w:line="240" w:lineRule="auto"/>
              <w:rPr>
                <w:rFonts w:ascii="Times New Roman" w:hAnsi="Times New Roman"/>
                <w:sz w:val="20"/>
                <w:szCs w:val="20"/>
              </w:rPr>
            </w:pPr>
            <w:r w:rsidRPr="00A53AD7">
              <w:rPr>
                <w:rFonts w:ascii="Times New Roman" w:hAnsi="Times New Roman"/>
                <w:sz w:val="20"/>
                <w:szCs w:val="20"/>
              </w:rPr>
              <w:t>Смертность детей в возрасте 0-1 год на 1000 родившихся живыми</w:t>
            </w:r>
          </w:p>
        </w:tc>
        <w:tc>
          <w:tcPr>
            <w:tcW w:w="992" w:type="dxa"/>
            <w:vAlign w:val="center"/>
          </w:tcPr>
          <w:p w14:paraId="339D68C5" w14:textId="77777777" w:rsidR="001E1920" w:rsidRPr="00A53AD7" w:rsidRDefault="001E1920" w:rsidP="000F5E4B">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vAlign w:val="center"/>
          </w:tcPr>
          <w:p w14:paraId="38C923A9"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5,4</w:t>
            </w:r>
          </w:p>
        </w:tc>
        <w:tc>
          <w:tcPr>
            <w:tcW w:w="1276" w:type="dxa"/>
            <w:vAlign w:val="center"/>
          </w:tcPr>
          <w:p w14:paraId="1769D8EC"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5,8</w:t>
            </w:r>
          </w:p>
        </w:tc>
        <w:tc>
          <w:tcPr>
            <w:tcW w:w="1276" w:type="dxa"/>
            <w:tcBorders>
              <w:right w:val="double" w:sz="4" w:space="0" w:color="auto"/>
            </w:tcBorders>
            <w:vAlign w:val="center"/>
          </w:tcPr>
          <w:p w14:paraId="52B396FF"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93,1</w:t>
            </w:r>
          </w:p>
        </w:tc>
      </w:tr>
      <w:tr w:rsidR="001E1920" w:rsidRPr="00A53AD7" w14:paraId="5D8050D6" w14:textId="77777777" w:rsidTr="001E1920">
        <w:tc>
          <w:tcPr>
            <w:tcW w:w="4678" w:type="dxa"/>
            <w:tcBorders>
              <w:left w:val="double" w:sz="4" w:space="0" w:color="auto"/>
              <w:bottom w:val="double" w:sz="4" w:space="0" w:color="auto"/>
            </w:tcBorders>
            <w:vAlign w:val="center"/>
          </w:tcPr>
          <w:p w14:paraId="00FE4229" w14:textId="77777777" w:rsidR="001E1920" w:rsidRPr="00A53AD7" w:rsidRDefault="001E1920" w:rsidP="000F5E4B">
            <w:pPr>
              <w:spacing w:after="0" w:line="240" w:lineRule="auto"/>
              <w:rPr>
                <w:rFonts w:ascii="Times New Roman" w:hAnsi="Times New Roman"/>
                <w:sz w:val="20"/>
                <w:szCs w:val="20"/>
              </w:rPr>
            </w:pPr>
            <w:r w:rsidRPr="00A53AD7">
              <w:rPr>
                <w:rFonts w:ascii="Times New Roman" w:hAnsi="Times New Roman"/>
                <w:sz w:val="20"/>
                <w:szCs w:val="20"/>
              </w:rPr>
              <w:t>Смертность детей в возрасте 0-4 года на 1000 новорожденных, родившихся живыми</w:t>
            </w:r>
          </w:p>
        </w:tc>
        <w:tc>
          <w:tcPr>
            <w:tcW w:w="992" w:type="dxa"/>
            <w:tcBorders>
              <w:bottom w:val="double" w:sz="4" w:space="0" w:color="auto"/>
            </w:tcBorders>
            <w:vAlign w:val="center"/>
          </w:tcPr>
          <w:p w14:paraId="353CBEF7" w14:textId="77777777" w:rsidR="001E1920" w:rsidRPr="00A53AD7" w:rsidRDefault="001E1920" w:rsidP="000F5E4B">
            <w:pPr>
              <w:spacing w:after="0" w:line="240" w:lineRule="auto"/>
              <w:jc w:val="center"/>
              <w:rPr>
                <w:rFonts w:ascii="Times New Roman" w:hAnsi="Times New Roman"/>
                <w:sz w:val="20"/>
                <w:szCs w:val="20"/>
              </w:rPr>
            </w:pPr>
            <w:r w:rsidRPr="00A53AD7">
              <w:rPr>
                <w:rFonts w:ascii="Times New Roman" w:hAnsi="Times New Roman"/>
                <w:sz w:val="20"/>
                <w:szCs w:val="20"/>
              </w:rPr>
              <w:t>%</w:t>
            </w:r>
          </w:p>
        </w:tc>
        <w:tc>
          <w:tcPr>
            <w:tcW w:w="1134" w:type="dxa"/>
            <w:tcBorders>
              <w:bottom w:val="double" w:sz="4" w:space="0" w:color="auto"/>
            </w:tcBorders>
            <w:vAlign w:val="center"/>
          </w:tcPr>
          <w:p w14:paraId="7676D9AD"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7,2</w:t>
            </w:r>
          </w:p>
        </w:tc>
        <w:tc>
          <w:tcPr>
            <w:tcW w:w="1276" w:type="dxa"/>
            <w:tcBorders>
              <w:bottom w:val="double" w:sz="4" w:space="0" w:color="auto"/>
            </w:tcBorders>
            <w:vAlign w:val="center"/>
          </w:tcPr>
          <w:p w14:paraId="4889C649"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7,6</w:t>
            </w:r>
          </w:p>
        </w:tc>
        <w:tc>
          <w:tcPr>
            <w:tcW w:w="1276" w:type="dxa"/>
            <w:tcBorders>
              <w:bottom w:val="double" w:sz="4" w:space="0" w:color="auto"/>
              <w:right w:val="double" w:sz="4" w:space="0" w:color="auto"/>
            </w:tcBorders>
            <w:vAlign w:val="center"/>
          </w:tcPr>
          <w:p w14:paraId="6888A71F" w14:textId="77777777" w:rsidR="001E1920" w:rsidRPr="00A53AD7" w:rsidRDefault="001E1920" w:rsidP="002351E4">
            <w:pPr>
              <w:spacing w:after="0" w:line="240" w:lineRule="auto"/>
              <w:jc w:val="right"/>
              <w:rPr>
                <w:rFonts w:ascii="Times New Roman" w:hAnsi="Times New Roman"/>
                <w:sz w:val="20"/>
                <w:szCs w:val="20"/>
              </w:rPr>
            </w:pPr>
            <w:r w:rsidRPr="00A53AD7">
              <w:rPr>
                <w:rFonts w:ascii="Times New Roman" w:hAnsi="Times New Roman"/>
                <w:sz w:val="20"/>
                <w:szCs w:val="20"/>
              </w:rPr>
              <w:t>94,7</w:t>
            </w:r>
          </w:p>
        </w:tc>
      </w:tr>
    </w:tbl>
    <w:p w14:paraId="38AE58DD" w14:textId="77777777" w:rsidR="000F5E4B" w:rsidRPr="00A53AD7" w:rsidRDefault="000F5E4B" w:rsidP="000F5E4B">
      <w:pPr>
        <w:spacing w:after="0" w:line="240" w:lineRule="auto"/>
        <w:ind w:firstLine="851"/>
        <w:jc w:val="both"/>
        <w:rPr>
          <w:rFonts w:ascii="Times New Roman" w:hAnsi="Times New Roman"/>
          <w:sz w:val="28"/>
          <w:szCs w:val="28"/>
        </w:rPr>
      </w:pPr>
    </w:p>
    <w:p w14:paraId="1EAA1642"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пояснениям минздрава АО, не достижение показателя «Смертность детей в возрасте 0-1 год на 1000 родившихся живыми» связано с количеством ранних преждевременных родов (22-26 недель), с более качественной диагностикой нарушений внутриутробного состояния плода, что позволяет увеличить число детей, родившихся живыми (при этом дети имеют низкий адаптивный потенциал и неблагоприятный прогноз как для здоровья, так и для жизни). Утверждено распоряжение министерства здравоохранения Архангельской области от 01.08.2019 № 52-ро «О дополнительных мерах по профилактике младенческой смертности на территории Архангельской области», актуализирован порядок оказания медицинской помощи по профилю «акушерство и гинекология».</w:t>
      </w:r>
    </w:p>
    <w:p w14:paraId="7E24A6C2"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Персонал отделений новорожденных проходит дополнительное обучение, в том числе в симуляционных центрах. Усилен контроль за маршрутизацией беременных и новорожденных в регионе.</w:t>
      </w:r>
    </w:p>
    <w:p w14:paraId="5F1E56F0"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Недостижение показателя «Смертность детей в возрасте 0-4 года на 1000 новорожденных, родившихся живыми» связано с показателем младенческой смертности.</w:t>
      </w:r>
    </w:p>
    <w:p w14:paraId="29FA15C6" w14:textId="77777777" w:rsidR="001E1920" w:rsidRPr="00A53AD7" w:rsidRDefault="001E1920" w:rsidP="000F5E4B">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значения результатов, установленных в Приложении № 2 к соглашению о реализации регионального проекта «Развитие детского здравоохранения, включая создание современной инфраструктуры оказания медицинской помощи (Архангельской область)», достигнуты со статусом реализации «отсутствие отклонений» и рисков, кроме мероприятия «Оказана медицинская помощь женщинам в период беременности, родов и в послеродовый период, в том числе за счет средств родовых сертификатов», при плановом значении 9,9 тыс.чел., фактическое значение составило 9,2 тыс.чел. Недостижение значения результата в 2019 году связано со снижением рождаемости на территории региона. По данным краткой демографической характеристики Архангельской области (без НАО) за 11 месяцев 2019 года родилось 8,9 детей на 1000 населения (снижение на 0,9 детей на 1000 населения к 2018 году). Показатель рождаемости в 2018 году составил 9,8 детей на 1000 населения.</w:t>
      </w:r>
    </w:p>
    <w:p w14:paraId="7A220592" w14:textId="77777777" w:rsidR="001E1920" w:rsidRPr="00A53AD7" w:rsidRDefault="001E1920" w:rsidP="000F5E4B">
      <w:pPr>
        <w:spacing w:after="0" w:line="240" w:lineRule="auto"/>
        <w:ind w:firstLine="851"/>
        <w:jc w:val="both"/>
        <w:rPr>
          <w:rFonts w:ascii="Times New Roman" w:hAnsi="Times New Roman"/>
          <w:sz w:val="28"/>
          <w:szCs w:val="28"/>
        </w:rPr>
      </w:pPr>
    </w:p>
    <w:p w14:paraId="063CBE89" w14:textId="77777777" w:rsidR="001E1920" w:rsidRPr="00A53AD7" w:rsidRDefault="001E1920" w:rsidP="00702303">
      <w:pPr>
        <w:pStyle w:val="aff4"/>
        <w:spacing w:before="0" w:beforeAutospacing="0" w:after="0" w:afterAutospacing="0" w:line="240" w:lineRule="auto"/>
        <w:ind w:firstLine="851"/>
        <w:jc w:val="both"/>
        <w:rPr>
          <w:rFonts w:ascii="Times New Roman" w:eastAsia="Courier New" w:hAnsi="Times New Roman" w:cs="Times New Roman"/>
          <w:i/>
          <w:color w:val="auto"/>
          <w:sz w:val="28"/>
          <w:szCs w:val="28"/>
          <w:lang w:bidi="ru-RU"/>
        </w:rPr>
      </w:pPr>
      <w:r w:rsidRPr="00A53AD7">
        <w:rPr>
          <w:rFonts w:ascii="Times New Roman" w:eastAsia="Courier New" w:hAnsi="Times New Roman" w:cs="Times New Roman"/>
          <w:i/>
          <w:color w:val="auto"/>
          <w:sz w:val="28"/>
          <w:szCs w:val="28"/>
          <w:lang w:bidi="ru-RU"/>
        </w:rPr>
        <w:t>По подпрограмме № 7 «Кадровое обеспечение системы здравоохранения»</w:t>
      </w:r>
    </w:p>
    <w:p w14:paraId="6366310F"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федеральному проекту «Обеспечение медицинских организаций системы здравоохранения квалифицированными кадрами» на 2019 год не заключалось соглашение о предоставлении субсидии из федерального бюджета бюджету Архангельской области. Финансирование мероприятий проекта за 9 месяцев 2019 года финансировалось за счет средств областного бюджета. По итогам 2019 года уточнена бюджетная классификация данных расходов без привязки к федеральному проекту «Обеспечение медицинских организаций системы здравоохранения квалифицированными кадрами», в связи с отсутствием федерального финансирования. </w:t>
      </w:r>
    </w:p>
    <w:p w14:paraId="6274FB7E"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Региональным проектом «Обеспечение медицинских организаций системы здравоохранения квалифицированными кадрами (Архангельская область)» предусмотрено достижение 7 показателей.</w:t>
      </w:r>
    </w:p>
    <w:p w14:paraId="3CE0F1F5"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Полагаем необходимым отметить, что минздравом АО за отчетный период перечень целевых показателей государственной программы Архангельской области «Развитие здравоохранения Архангельской области» не приведен в соответствие с показателями, установленными в паспорте регионального проекта, приложении № 1 к соглашениям о его реализации, а именно из 7 показателей только 2 утверждены в государственной программе:</w:t>
      </w:r>
    </w:p>
    <w:p w14:paraId="1CAF0E09"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укомплектованность врачебных должностей в подразделениях, оказывающих медицинскую помощь в амбулаторных условиях (физическими лицами при коэффициенте совместительства 1,2), %;</w:t>
      </w:r>
    </w:p>
    <w:p w14:paraId="02BA346F"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укомплектованность должностей среднего медицинского персонала в подразделениях, оказывающих медицинскую помощь в амбулаторных условиях (физическими лицами при коэффициенте совместительства 1,2), %.</w:t>
      </w:r>
    </w:p>
    <w:p w14:paraId="3C7A2C8A"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Данные показатели предусмотрены соглашением о реализации регионального проекта «Обеспечение медицинских организаций системы здравоохранения квалифицированными кадрами (Архангельская область)» на территории Архангельской области от 31.01.2019 № 056-2019-N50031-1. Дополнительным соглашением от 11.12.2019 № 056-2019-N50031-1/1 наименование указанных показателей изменено, но плановое значение сохранилось:</w:t>
      </w:r>
    </w:p>
    <w:p w14:paraId="360B760A"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укомплектованность медицинских организаций, оказывающих медицинскую помощь в амбулаторных условиях (доля занятых физическими лицами должностей от общего количества должностей в медицинских учреждениях, оказывающих медицинскую помощь в амбулаторных условиях), % нарастающим итогом: врачами;</w:t>
      </w:r>
    </w:p>
    <w:p w14:paraId="70BC282F"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укомплектованность медицинских организаций, оказывающих медицинскую помощь в амбулаторных условиях (доля занятых физическими лицами должностей от общего количества должностей в медицинских учреждениях, оказывающих медицинскую помощь в амбулаторных условиях), % нарастающим итогом: средними медицинскими работниками.</w:t>
      </w:r>
    </w:p>
    <w:p w14:paraId="7D5E8902"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из 7 показателей выполнены на 100% и более 5 показателей или 71,42%, 1 показатель на 57,99%, по одному установлено «нулевое» целевое значение.</w:t>
      </w:r>
    </w:p>
    <w:p w14:paraId="2EBB0E55"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Показатель «Число специалистов, вовлеченных в систему непрерывного образования медицинских работников, в том числе с использованием дистанционных образовательных технологий», при плановом значении на 2019 год в размере 4,93 тыс.чел., фактически выполнено - 2,859 тыс.чел. или 57,99%. Причинами низкого выполнения показателя послужило: </w:t>
      </w:r>
    </w:p>
    <w:p w14:paraId="5921AF6A" w14:textId="38EA67A2" w:rsidR="001E1920" w:rsidRPr="00A53AD7" w:rsidRDefault="001E1920" w:rsidP="00CA1DDD">
      <w:pPr>
        <w:pStyle w:val="a8"/>
        <w:numPr>
          <w:ilvl w:val="0"/>
          <w:numId w:val="45"/>
        </w:numPr>
        <w:ind w:left="0" w:firstLine="851"/>
        <w:jc w:val="both"/>
        <w:rPr>
          <w:sz w:val="28"/>
          <w:szCs w:val="28"/>
        </w:rPr>
      </w:pPr>
      <w:r w:rsidRPr="00A53AD7">
        <w:rPr>
          <w:sz w:val="28"/>
          <w:szCs w:val="28"/>
        </w:rPr>
        <w:t xml:space="preserve">низкий уровень вовлеченности среднего медицинского персонала из-за небольшого количества специализированных образовательных программ, курсов, модулей, аккредитованных в системе непрерывного </w:t>
      </w:r>
      <w:r w:rsidR="00702303" w:rsidRPr="00A53AD7">
        <w:rPr>
          <w:sz w:val="28"/>
          <w:szCs w:val="28"/>
        </w:rPr>
        <w:t>медицинского образования (НМО);</w:t>
      </w:r>
    </w:p>
    <w:p w14:paraId="7C535BDB" w14:textId="1131FA35" w:rsidR="001E1920" w:rsidRPr="00A53AD7" w:rsidRDefault="001E1920" w:rsidP="00CA1DDD">
      <w:pPr>
        <w:pStyle w:val="a8"/>
        <w:numPr>
          <w:ilvl w:val="0"/>
          <w:numId w:val="45"/>
        </w:numPr>
        <w:ind w:left="0" w:firstLine="851"/>
        <w:jc w:val="both"/>
        <w:rPr>
          <w:sz w:val="28"/>
          <w:szCs w:val="28"/>
        </w:rPr>
      </w:pPr>
      <w:r w:rsidRPr="00A53AD7">
        <w:rPr>
          <w:sz w:val="28"/>
          <w:szCs w:val="28"/>
        </w:rPr>
        <w:t>отсутствие мотивации к освоению образовательных элементов у лиц пенсионного возраста по причине планируемого выхода на пенсию и наличия действующего сертифика</w:t>
      </w:r>
      <w:r w:rsidR="00702303" w:rsidRPr="00A53AD7">
        <w:rPr>
          <w:sz w:val="28"/>
          <w:szCs w:val="28"/>
        </w:rPr>
        <w:t>та;</w:t>
      </w:r>
    </w:p>
    <w:p w14:paraId="24F7E569" w14:textId="45589094" w:rsidR="001E1920" w:rsidRPr="00A53AD7" w:rsidRDefault="001E1920" w:rsidP="00CA1DDD">
      <w:pPr>
        <w:pStyle w:val="a8"/>
        <w:numPr>
          <w:ilvl w:val="0"/>
          <w:numId w:val="45"/>
        </w:numPr>
        <w:ind w:left="0" w:firstLine="851"/>
        <w:jc w:val="both"/>
        <w:rPr>
          <w:sz w:val="28"/>
          <w:szCs w:val="28"/>
        </w:rPr>
      </w:pPr>
      <w:r w:rsidRPr="00A53AD7">
        <w:rPr>
          <w:sz w:val="28"/>
          <w:szCs w:val="28"/>
        </w:rPr>
        <w:t>отсутствие нормативно-правовой базы, обязывающей медицинский персонал осваивать персональные элементы в системе НМО.</w:t>
      </w:r>
    </w:p>
    <w:p w14:paraId="5528A291"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при сопоставлении фактически достигнутых значений показателей по региональному проекту с данными Сведений о достижении целевых показателей государственной программы Архангельской области ««Развитие здравоохранения Архангельской области» за 2019 год, размещенных в КИАС Архангельской области, установлены расхождения по фактическим значениям показателей:</w:t>
      </w:r>
    </w:p>
    <w:tbl>
      <w:tblPr>
        <w:tblStyle w:val="a7"/>
        <w:tblW w:w="9351"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073"/>
        <w:gridCol w:w="1028"/>
        <w:gridCol w:w="1255"/>
        <w:gridCol w:w="1370"/>
        <w:gridCol w:w="1255"/>
        <w:gridCol w:w="1370"/>
      </w:tblGrid>
      <w:tr w:rsidR="00D470B6" w:rsidRPr="00A53AD7" w14:paraId="6F6237C5" w14:textId="77777777" w:rsidTr="001E1920">
        <w:trPr>
          <w:tblHeader/>
        </w:trPr>
        <w:tc>
          <w:tcPr>
            <w:tcW w:w="3681" w:type="dxa"/>
            <w:vMerge w:val="restart"/>
            <w:vAlign w:val="center"/>
          </w:tcPr>
          <w:p w14:paraId="12F18213"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наименование показателя</w:t>
            </w:r>
          </w:p>
        </w:tc>
        <w:tc>
          <w:tcPr>
            <w:tcW w:w="1134" w:type="dxa"/>
            <w:vMerge w:val="restart"/>
            <w:vAlign w:val="center"/>
          </w:tcPr>
          <w:p w14:paraId="5617CDDF"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плановое значение на 2019 год</w:t>
            </w:r>
          </w:p>
        </w:tc>
        <w:tc>
          <w:tcPr>
            <w:tcW w:w="2268" w:type="dxa"/>
            <w:gridSpan w:val="2"/>
            <w:vAlign w:val="center"/>
          </w:tcPr>
          <w:p w14:paraId="6A41BBFA"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фактическое значение за 2019 год</w:t>
            </w:r>
          </w:p>
        </w:tc>
        <w:tc>
          <w:tcPr>
            <w:tcW w:w="2268" w:type="dxa"/>
            <w:gridSpan w:val="2"/>
            <w:vAlign w:val="center"/>
          </w:tcPr>
          <w:p w14:paraId="76D54919"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 выполнения</w:t>
            </w:r>
          </w:p>
        </w:tc>
      </w:tr>
      <w:tr w:rsidR="00D470B6" w:rsidRPr="00A53AD7" w14:paraId="76BEC324" w14:textId="77777777" w:rsidTr="001E1920">
        <w:trPr>
          <w:tblHeader/>
        </w:trPr>
        <w:tc>
          <w:tcPr>
            <w:tcW w:w="3681" w:type="dxa"/>
            <w:vMerge/>
            <w:vAlign w:val="center"/>
          </w:tcPr>
          <w:p w14:paraId="26026BCA" w14:textId="77777777" w:rsidR="001E1920" w:rsidRPr="00A53AD7" w:rsidRDefault="001E1920" w:rsidP="00702303">
            <w:pPr>
              <w:spacing w:after="0" w:line="240" w:lineRule="auto"/>
              <w:jc w:val="center"/>
              <w:rPr>
                <w:rFonts w:ascii="Times New Roman" w:hAnsi="Times New Roman"/>
                <w:sz w:val="16"/>
                <w:szCs w:val="16"/>
              </w:rPr>
            </w:pPr>
          </w:p>
        </w:tc>
        <w:tc>
          <w:tcPr>
            <w:tcW w:w="1134" w:type="dxa"/>
            <w:vMerge/>
            <w:vAlign w:val="center"/>
          </w:tcPr>
          <w:p w14:paraId="45EDFB86" w14:textId="77777777" w:rsidR="001E1920" w:rsidRPr="00A53AD7" w:rsidRDefault="001E1920" w:rsidP="00702303">
            <w:pPr>
              <w:spacing w:after="0" w:line="240" w:lineRule="auto"/>
              <w:jc w:val="center"/>
              <w:rPr>
                <w:rFonts w:ascii="Times New Roman" w:hAnsi="Times New Roman"/>
                <w:sz w:val="16"/>
                <w:szCs w:val="16"/>
              </w:rPr>
            </w:pPr>
          </w:p>
        </w:tc>
        <w:tc>
          <w:tcPr>
            <w:tcW w:w="1134" w:type="dxa"/>
            <w:vAlign w:val="center"/>
          </w:tcPr>
          <w:p w14:paraId="55D72709"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по региональному проекту</w:t>
            </w:r>
          </w:p>
        </w:tc>
        <w:tc>
          <w:tcPr>
            <w:tcW w:w="1134" w:type="dxa"/>
            <w:vAlign w:val="center"/>
          </w:tcPr>
          <w:p w14:paraId="3A015891"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по государственной программе</w:t>
            </w:r>
          </w:p>
        </w:tc>
        <w:tc>
          <w:tcPr>
            <w:tcW w:w="1134" w:type="dxa"/>
            <w:vAlign w:val="center"/>
          </w:tcPr>
          <w:p w14:paraId="60AF736A"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по региональному проекту</w:t>
            </w:r>
          </w:p>
        </w:tc>
        <w:tc>
          <w:tcPr>
            <w:tcW w:w="1134" w:type="dxa"/>
            <w:vAlign w:val="center"/>
          </w:tcPr>
          <w:p w14:paraId="45EB80F3" w14:textId="77777777" w:rsidR="001E1920" w:rsidRPr="00A53AD7" w:rsidRDefault="001E1920" w:rsidP="00702303">
            <w:pPr>
              <w:spacing w:after="0" w:line="240" w:lineRule="auto"/>
              <w:jc w:val="center"/>
              <w:rPr>
                <w:rFonts w:ascii="Times New Roman" w:hAnsi="Times New Roman"/>
                <w:sz w:val="16"/>
                <w:szCs w:val="16"/>
              </w:rPr>
            </w:pPr>
            <w:r w:rsidRPr="00A53AD7">
              <w:rPr>
                <w:rFonts w:ascii="Times New Roman" w:hAnsi="Times New Roman"/>
                <w:sz w:val="16"/>
                <w:szCs w:val="16"/>
              </w:rPr>
              <w:t>по государственной программе</w:t>
            </w:r>
          </w:p>
        </w:tc>
      </w:tr>
      <w:tr w:rsidR="00D470B6" w:rsidRPr="00A53AD7" w14:paraId="4BB600C6" w14:textId="77777777" w:rsidTr="001E1920">
        <w:tc>
          <w:tcPr>
            <w:tcW w:w="3681" w:type="dxa"/>
          </w:tcPr>
          <w:p w14:paraId="0F512641" w14:textId="77777777" w:rsidR="001E1920" w:rsidRPr="00A53AD7" w:rsidRDefault="001E1920" w:rsidP="00702303">
            <w:pPr>
              <w:spacing w:after="0" w:line="240" w:lineRule="auto"/>
              <w:rPr>
                <w:rFonts w:ascii="Times New Roman" w:hAnsi="Times New Roman"/>
                <w:sz w:val="20"/>
                <w:szCs w:val="20"/>
              </w:rPr>
            </w:pPr>
            <w:r w:rsidRPr="00A53AD7">
              <w:rPr>
                <w:rFonts w:ascii="Times New Roman" w:hAnsi="Times New Roman"/>
                <w:bCs/>
                <w:sz w:val="20"/>
                <w:szCs w:val="20"/>
                <w:lang w:bidi="ru-RU"/>
              </w:rPr>
              <w:t>Укомплектованность медицинских организаций, оказывающих медицинскую помощь в амбулаторных условиях (доля занятых физическими лицами должностей от общего количества должностей в медицинских учреждениях, оказывающих медицинскую помощь в амбулаторных условиях), % нарастающим итогом: врачами</w:t>
            </w:r>
          </w:p>
        </w:tc>
        <w:tc>
          <w:tcPr>
            <w:tcW w:w="1134" w:type="dxa"/>
            <w:vAlign w:val="center"/>
          </w:tcPr>
          <w:p w14:paraId="37354DED"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82,0</w:t>
            </w:r>
          </w:p>
        </w:tc>
        <w:tc>
          <w:tcPr>
            <w:tcW w:w="1134" w:type="dxa"/>
            <w:vAlign w:val="center"/>
          </w:tcPr>
          <w:p w14:paraId="12FB4D6D"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83,09</w:t>
            </w:r>
          </w:p>
        </w:tc>
        <w:tc>
          <w:tcPr>
            <w:tcW w:w="1134" w:type="dxa"/>
            <w:vAlign w:val="center"/>
          </w:tcPr>
          <w:p w14:paraId="4DD5F749"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80,50</w:t>
            </w:r>
          </w:p>
        </w:tc>
        <w:tc>
          <w:tcPr>
            <w:tcW w:w="1134" w:type="dxa"/>
            <w:vAlign w:val="center"/>
          </w:tcPr>
          <w:p w14:paraId="247C7733" w14:textId="2D178D6E" w:rsidR="001E1920" w:rsidRPr="00A53AD7" w:rsidRDefault="002351E4" w:rsidP="00702303">
            <w:pPr>
              <w:spacing w:after="0" w:line="240" w:lineRule="auto"/>
              <w:jc w:val="center"/>
              <w:rPr>
                <w:rFonts w:ascii="Times New Roman" w:hAnsi="Times New Roman"/>
                <w:sz w:val="20"/>
                <w:szCs w:val="20"/>
              </w:rPr>
            </w:pPr>
            <w:r w:rsidRPr="00A53AD7">
              <w:rPr>
                <w:rFonts w:ascii="Times New Roman" w:hAnsi="Times New Roman"/>
                <w:sz w:val="20"/>
                <w:szCs w:val="20"/>
              </w:rPr>
              <w:t>101,33</w:t>
            </w:r>
          </w:p>
        </w:tc>
        <w:tc>
          <w:tcPr>
            <w:tcW w:w="1134" w:type="dxa"/>
            <w:vAlign w:val="center"/>
          </w:tcPr>
          <w:p w14:paraId="55F5A489" w14:textId="48A71295" w:rsidR="001E1920" w:rsidRPr="00A53AD7" w:rsidRDefault="002351E4" w:rsidP="00702303">
            <w:pPr>
              <w:spacing w:after="0" w:line="240" w:lineRule="auto"/>
              <w:jc w:val="center"/>
              <w:rPr>
                <w:rFonts w:ascii="Times New Roman" w:hAnsi="Times New Roman"/>
                <w:sz w:val="20"/>
                <w:szCs w:val="20"/>
              </w:rPr>
            </w:pPr>
            <w:r w:rsidRPr="00A53AD7">
              <w:rPr>
                <w:rFonts w:ascii="Times New Roman" w:hAnsi="Times New Roman"/>
                <w:sz w:val="20"/>
                <w:szCs w:val="20"/>
              </w:rPr>
              <w:t>98,17</w:t>
            </w:r>
          </w:p>
        </w:tc>
      </w:tr>
      <w:tr w:rsidR="001E1920" w:rsidRPr="00A53AD7" w14:paraId="30C81CBF" w14:textId="77777777" w:rsidTr="001E1920">
        <w:tc>
          <w:tcPr>
            <w:tcW w:w="3681" w:type="dxa"/>
          </w:tcPr>
          <w:p w14:paraId="20488014" w14:textId="77777777" w:rsidR="001E1920" w:rsidRPr="00A53AD7" w:rsidRDefault="001E1920" w:rsidP="00702303">
            <w:pPr>
              <w:spacing w:after="0" w:line="240" w:lineRule="auto"/>
              <w:rPr>
                <w:rFonts w:ascii="Times New Roman" w:hAnsi="Times New Roman"/>
                <w:sz w:val="20"/>
                <w:szCs w:val="20"/>
              </w:rPr>
            </w:pPr>
            <w:r w:rsidRPr="00A53AD7">
              <w:rPr>
                <w:rFonts w:ascii="Times New Roman" w:hAnsi="Times New Roman"/>
                <w:bCs/>
                <w:sz w:val="20"/>
                <w:szCs w:val="20"/>
                <w:lang w:bidi="ru-RU"/>
              </w:rPr>
              <w:t>Укомплектованность медицинских организаций, оказывающих медицинскую помощь в амбулаторных условиях (доля занятых физическими лицами должностей от общего количества должностей в медицинских учреждениях, оказывающих медицинскую помощь в амбулаторных условиях), % нарастающим итогом: средними медицинскими работниками</w:t>
            </w:r>
          </w:p>
        </w:tc>
        <w:tc>
          <w:tcPr>
            <w:tcW w:w="1134" w:type="dxa"/>
            <w:vAlign w:val="center"/>
          </w:tcPr>
          <w:p w14:paraId="18663212"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77,9</w:t>
            </w:r>
          </w:p>
        </w:tc>
        <w:tc>
          <w:tcPr>
            <w:tcW w:w="1134" w:type="dxa"/>
            <w:vAlign w:val="center"/>
          </w:tcPr>
          <w:p w14:paraId="239B95DC"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93,36</w:t>
            </w:r>
          </w:p>
        </w:tc>
        <w:tc>
          <w:tcPr>
            <w:tcW w:w="1134" w:type="dxa"/>
            <w:vAlign w:val="center"/>
          </w:tcPr>
          <w:p w14:paraId="22D0F10A" w14:textId="77777777" w:rsidR="001E1920" w:rsidRPr="00A53AD7" w:rsidRDefault="001E1920" w:rsidP="00702303">
            <w:pPr>
              <w:spacing w:after="0" w:line="240" w:lineRule="auto"/>
              <w:jc w:val="center"/>
              <w:rPr>
                <w:rFonts w:ascii="Times New Roman" w:hAnsi="Times New Roman"/>
                <w:sz w:val="20"/>
                <w:szCs w:val="20"/>
              </w:rPr>
            </w:pPr>
            <w:r w:rsidRPr="00A53AD7">
              <w:rPr>
                <w:rFonts w:ascii="Times New Roman" w:hAnsi="Times New Roman"/>
                <w:sz w:val="20"/>
                <w:szCs w:val="20"/>
              </w:rPr>
              <w:t>92,90</w:t>
            </w:r>
          </w:p>
        </w:tc>
        <w:tc>
          <w:tcPr>
            <w:tcW w:w="1134" w:type="dxa"/>
            <w:vAlign w:val="center"/>
          </w:tcPr>
          <w:p w14:paraId="44BBD77C" w14:textId="5FEFC747" w:rsidR="001E1920" w:rsidRPr="00A53AD7" w:rsidRDefault="002351E4" w:rsidP="00702303">
            <w:pPr>
              <w:spacing w:after="0" w:line="240" w:lineRule="auto"/>
              <w:jc w:val="center"/>
              <w:rPr>
                <w:rFonts w:ascii="Times New Roman" w:hAnsi="Times New Roman"/>
                <w:sz w:val="20"/>
                <w:szCs w:val="20"/>
              </w:rPr>
            </w:pPr>
            <w:r w:rsidRPr="00A53AD7">
              <w:rPr>
                <w:rFonts w:ascii="Times New Roman" w:hAnsi="Times New Roman"/>
                <w:sz w:val="20"/>
                <w:szCs w:val="20"/>
              </w:rPr>
              <w:t>119,85</w:t>
            </w:r>
          </w:p>
        </w:tc>
        <w:tc>
          <w:tcPr>
            <w:tcW w:w="1134" w:type="dxa"/>
            <w:vAlign w:val="center"/>
          </w:tcPr>
          <w:p w14:paraId="75469B7E" w14:textId="0071FE88" w:rsidR="001E1920" w:rsidRPr="00A53AD7" w:rsidRDefault="002351E4" w:rsidP="00702303">
            <w:pPr>
              <w:spacing w:after="0" w:line="240" w:lineRule="auto"/>
              <w:jc w:val="center"/>
              <w:rPr>
                <w:rFonts w:ascii="Times New Roman" w:hAnsi="Times New Roman"/>
                <w:sz w:val="20"/>
                <w:szCs w:val="20"/>
              </w:rPr>
            </w:pPr>
            <w:r w:rsidRPr="00A53AD7">
              <w:rPr>
                <w:rFonts w:ascii="Times New Roman" w:hAnsi="Times New Roman"/>
                <w:sz w:val="20"/>
                <w:szCs w:val="20"/>
              </w:rPr>
              <w:t>119,26</w:t>
            </w:r>
          </w:p>
        </w:tc>
      </w:tr>
    </w:tbl>
    <w:p w14:paraId="08039B7D" w14:textId="77777777" w:rsidR="001E1920" w:rsidRPr="00A53AD7" w:rsidRDefault="001E1920" w:rsidP="00702303">
      <w:pPr>
        <w:spacing w:after="0" w:line="240" w:lineRule="auto"/>
        <w:ind w:firstLine="851"/>
        <w:jc w:val="both"/>
        <w:rPr>
          <w:rFonts w:ascii="Times New Roman" w:hAnsi="Times New Roman"/>
          <w:sz w:val="28"/>
          <w:szCs w:val="28"/>
        </w:rPr>
      </w:pPr>
    </w:p>
    <w:p w14:paraId="0D70C48F" w14:textId="5B2D6DD5"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Исходя из данных таблицы следует, что фактические значения показателей по региональному проекту, выше фактических значений показателей государственной п</w:t>
      </w:r>
      <w:r w:rsidR="00702303" w:rsidRPr="00A53AD7">
        <w:rPr>
          <w:rFonts w:ascii="Times New Roman" w:hAnsi="Times New Roman"/>
          <w:sz w:val="28"/>
          <w:szCs w:val="28"/>
        </w:rPr>
        <w:t>рограммы.</w:t>
      </w:r>
    </w:p>
    <w:p w14:paraId="3A3153A1" w14:textId="77777777" w:rsidR="001E1920" w:rsidRPr="00A53AD7" w:rsidRDefault="001E1920" w:rsidP="00702303">
      <w:pPr>
        <w:spacing w:after="0" w:line="240" w:lineRule="auto"/>
        <w:ind w:firstLine="851"/>
        <w:jc w:val="both"/>
        <w:rPr>
          <w:rFonts w:ascii="Times New Roman" w:hAnsi="Times New Roman"/>
          <w:sz w:val="28"/>
          <w:szCs w:val="28"/>
        </w:rPr>
      </w:pPr>
      <w:r w:rsidRPr="00A53AD7">
        <w:rPr>
          <w:rFonts w:ascii="Times New Roman" w:hAnsi="Times New Roman"/>
          <w:sz w:val="28"/>
          <w:szCs w:val="28"/>
        </w:rPr>
        <w:t>К концу 2019 года предусмотрено достижение следующих результатов:</w:t>
      </w:r>
    </w:p>
    <w:p w14:paraId="11620B60" w14:textId="2883BFD2"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«Увеличена численность врачей, работающих в государственных медицинских организациях, тыс. человек нарастающим итогом» (обеспечено привлечение квалифицированных кадров), плановый результат - 4,637, фактически достигнут – 5,082</w:t>
      </w:r>
      <w:r w:rsidR="00702303" w:rsidRPr="00A53AD7">
        <w:rPr>
          <w:sz w:val="28"/>
          <w:szCs w:val="28"/>
        </w:rPr>
        <w:t>;</w:t>
      </w:r>
    </w:p>
    <w:p w14:paraId="795B2B14" w14:textId="15831AF1"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«Не менее 2</w:t>
      </w:r>
      <w:r w:rsidR="00007DB4" w:rsidRPr="00A53AD7">
        <w:rPr>
          <w:sz w:val="28"/>
          <w:szCs w:val="28"/>
        </w:rPr>
        <w:t> </w:t>
      </w:r>
      <w:r w:rsidRPr="00A53AD7">
        <w:rPr>
          <w:sz w:val="28"/>
          <w:szCs w:val="28"/>
        </w:rPr>
        <w:t>100</w:t>
      </w:r>
      <w:r w:rsidR="00007DB4" w:rsidRPr="00A53AD7">
        <w:rPr>
          <w:sz w:val="28"/>
          <w:szCs w:val="28"/>
        </w:rPr>
        <w:t xml:space="preserve"> </w:t>
      </w:r>
      <w:r w:rsidRPr="00A53AD7">
        <w:rPr>
          <w:sz w:val="28"/>
          <w:szCs w:val="28"/>
        </w:rPr>
        <w:t>тыс. специалистов (нарастающим итогом) допущено к профессиональной деятельности через процедуру аккредитации специалистов» (оказание услуг (выполнение работ) результат – 0;</w:t>
      </w:r>
    </w:p>
    <w:p w14:paraId="399089DD"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«Число специалистов, совершенствующих свои знания в рамках системы непрерывного медицинского образования, в том числе с использованием дистанционных образовательных технологий, путем освоения дополнительных образовательных программ, разработанных с учетом порядков оказания медицинской помощи, клинических рекомендаций и принципов доказательной медицины, с использованием портала непрерывного медицинского образования составило не менее 1880 тыс. человек» (проведение информационно-коммуникационной кампаний), плановый результат 4,93 не достигнут (см. выше), прогнозный срок установлен 19.03.2020;</w:t>
      </w:r>
    </w:p>
    <w:p w14:paraId="7905B6D4"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«Увеличена численность средних медицинских работников, работающих в государственных медицинских организациях, тыс. человек нарастающим итогом» (обеспечено привлечение квалифицированных кадров), плановый результат - 11,708, фактически достигнут –12,022.</w:t>
      </w:r>
    </w:p>
    <w:p w14:paraId="6B43D128" w14:textId="77777777" w:rsidR="001E1920" w:rsidRPr="00A53AD7" w:rsidRDefault="001E1920" w:rsidP="001E1920">
      <w:pPr>
        <w:spacing w:after="0" w:line="240" w:lineRule="auto"/>
        <w:rPr>
          <w:sz w:val="28"/>
          <w:szCs w:val="28"/>
          <w:highlight w:val="cyan"/>
        </w:rPr>
      </w:pPr>
    </w:p>
    <w:p w14:paraId="23BBEC56" w14:textId="77777777" w:rsidR="001E1920" w:rsidRPr="00A53AD7" w:rsidRDefault="001E1920" w:rsidP="00930E5E">
      <w:pPr>
        <w:widowControl w:val="0"/>
        <w:spacing w:after="0" w:line="240" w:lineRule="auto"/>
        <w:ind w:firstLine="851"/>
        <w:jc w:val="both"/>
        <w:rPr>
          <w:rFonts w:ascii="Times New Roman" w:hAnsi="Times New Roman"/>
          <w:sz w:val="28"/>
          <w:szCs w:val="28"/>
        </w:rPr>
      </w:pPr>
      <w:r w:rsidRPr="00A53AD7">
        <w:rPr>
          <w:rFonts w:ascii="Times New Roman" w:eastAsia="Times New Roman" w:hAnsi="Times New Roman"/>
          <w:i/>
          <w:sz w:val="28"/>
          <w:szCs w:val="28"/>
          <w:lang w:eastAsia="ru-RU" w:bidi="ru-RU"/>
        </w:rPr>
        <w:t>По подпрограмме № 9</w:t>
      </w:r>
      <w:r w:rsidRPr="00A53AD7">
        <w:rPr>
          <w:rFonts w:ascii="Times New Roman" w:eastAsia="Times New Roman" w:hAnsi="Times New Roman"/>
          <w:sz w:val="28"/>
          <w:szCs w:val="28"/>
          <w:lang w:eastAsia="ru-RU" w:bidi="ru-RU"/>
        </w:rPr>
        <w:t xml:space="preserve"> «Развитие информатизации в здравоохранении» реализуется 1 мероприятие регионального проекта «</w:t>
      </w:r>
      <w:r w:rsidRPr="00A53AD7">
        <w:rPr>
          <w:rFonts w:ascii="Times New Roman" w:eastAsia="Times New Roman" w:hAnsi="Times New Roman"/>
          <w:iCs/>
          <w:sz w:val="28"/>
          <w:szCs w:val="28"/>
          <w:lang w:eastAsia="ru-RU" w:bidi="ru-RU"/>
        </w:rPr>
        <w:t xml:space="preserve">Создание единого цифрового контура в здравоохранении на основе единой государственной информационной системы здравоохранения (ЕГИСЗ) </w:t>
      </w:r>
      <w:r w:rsidRPr="00A53AD7">
        <w:rPr>
          <w:rFonts w:ascii="Times New Roman" w:eastAsia="Times New Roman" w:hAnsi="Times New Roman"/>
          <w:sz w:val="28"/>
          <w:szCs w:val="28"/>
          <w:lang w:eastAsia="ru-RU" w:bidi="ru-RU"/>
        </w:rPr>
        <w:t>(Архангельская область)».</w:t>
      </w:r>
    </w:p>
    <w:tbl>
      <w:tblPr>
        <w:tblOverlap w:val="neve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587"/>
        <w:gridCol w:w="1913"/>
        <w:gridCol w:w="1562"/>
        <w:gridCol w:w="992"/>
        <w:gridCol w:w="1276"/>
        <w:gridCol w:w="989"/>
      </w:tblGrid>
      <w:tr w:rsidR="00D470B6" w:rsidRPr="00A53AD7" w14:paraId="7D7A31E2" w14:textId="77777777" w:rsidTr="00930E5E">
        <w:trPr>
          <w:trHeight w:val="1163"/>
          <w:tblHeader/>
          <w:jc w:val="center"/>
        </w:trPr>
        <w:tc>
          <w:tcPr>
            <w:tcW w:w="2587" w:type="dxa"/>
            <w:tcBorders>
              <w:top w:val="double" w:sz="4" w:space="0" w:color="auto"/>
              <w:left w:val="double" w:sz="4" w:space="0" w:color="auto"/>
            </w:tcBorders>
            <w:shd w:val="clear" w:color="auto" w:fill="FFFFFF"/>
            <w:vAlign w:val="center"/>
          </w:tcPr>
          <w:p w14:paraId="7B665C01"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мероприятия подпрограммы</w:t>
            </w:r>
          </w:p>
        </w:tc>
        <w:tc>
          <w:tcPr>
            <w:tcW w:w="1913" w:type="dxa"/>
            <w:tcBorders>
              <w:top w:val="double" w:sz="4" w:space="0" w:color="auto"/>
            </w:tcBorders>
            <w:shd w:val="clear" w:color="auto" w:fill="FFFFFF"/>
            <w:vAlign w:val="center"/>
          </w:tcPr>
          <w:p w14:paraId="20E49E7B"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регионального проекта</w:t>
            </w:r>
          </w:p>
        </w:tc>
        <w:tc>
          <w:tcPr>
            <w:tcW w:w="1562" w:type="dxa"/>
            <w:tcBorders>
              <w:top w:val="double" w:sz="4" w:space="0" w:color="auto"/>
            </w:tcBorders>
            <w:shd w:val="clear" w:color="auto" w:fill="FFFFFF"/>
            <w:vAlign w:val="center"/>
          </w:tcPr>
          <w:p w14:paraId="7DA0A1EE"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Источник финансирования (ОБ-областной бюджет, ФБ-федеральный бюджет)</w:t>
            </w:r>
          </w:p>
        </w:tc>
        <w:tc>
          <w:tcPr>
            <w:tcW w:w="992" w:type="dxa"/>
            <w:tcBorders>
              <w:top w:val="double" w:sz="4" w:space="0" w:color="auto"/>
            </w:tcBorders>
            <w:shd w:val="clear" w:color="auto" w:fill="FFFFFF"/>
            <w:vAlign w:val="center"/>
          </w:tcPr>
          <w:p w14:paraId="16713215"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Объем финансирования на 2019 год, млн.руб.</w:t>
            </w:r>
          </w:p>
        </w:tc>
        <w:tc>
          <w:tcPr>
            <w:tcW w:w="1276" w:type="dxa"/>
            <w:tcBorders>
              <w:top w:val="double" w:sz="4" w:space="0" w:color="auto"/>
            </w:tcBorders>
            <w:shd w:val="clear" w:color="auto" w:fill="FFFFFF"/>
            <w:vAlign w:val="center"/>
          </w:tcPr>
          <w:p w14:paraId="0F9B049B"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Кассовое исполнение за 2019 год, млн.руб.</w:t>
            </w:r>
          </w:p>
        </w:tc>
        <w:tc>
          <w:tcPr>
            <w:tcW w:w="989" w:type="dxa"/>
            <w:tcBorders>
              <w:top w:val="double" w:sz="4" w:space="0" w:color="auto"/>
              <w:right w:val="double" w:sz="4" w:space="0" w:color="auto"/>
            </w:tcBorders>
            <w:shd w:val="clear" w:color="auto" w:fill="FFFFFF"/>
            <w:vAlign w:val="center"/>
          </w:tcPr>
          <w:p w14:paraId="490C71E5"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Освоено за 2019 год, млн.руб.</w:t>
            </w:r>
          </w:p>
        </w:tc>
      </w:tr>
      <w:tr w:rsidR="00D470B6" w:rsidRPr="00A53AD7" w14:paraId="56DDEDE6" w14:textId="77777777" w:rsidTr="001E1920">
        <w:trPr>
          <w:trHeight w:hRule="exact" w:val="3061"/>
          <w:jc w:val="center"/>
        </w:trPr>
        <w:tc>
          <w:tcPr>
            <w:tcW w:w="2587" w:type="dxa"/>
            <w:tcBorders>
              <w:left w:val="double" w:sz="4" w:space="0" w:color="auto"/>
              <w:bottom w:val="double" w:sz="4" w:space="0" w:color="auto"/>
            </w:tcBorders>
            <w:shd w:val="clear" w:color="auto" w:fill="FFFFFF"/>
          </w:tcPr>
          <w:p w14:paraId="53D8A72F"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1.1. Масштабирование и развитие используемых медицинских информационных систем (автоматизация деятельности медицинского персонала, обеспечение возможности ведения электронной медицинской карты, персонифицированный учет оказанных медицинских услуг)</w:t>
            </w:r>
          </w:p>
        </w:tc>
        <w:tc>
          <w:tcPr>
            <w:tcW w:w="1913" w:type="dxa"/>
            <w:tcBorders>
              <w:bottom w:val="double" w:sz="4" w:space="0" w:color="auto"/>
            </w:tcBorders>
            <w:shd w:val="clear" w:color="auto" w:fill="FFFFFF"/>
          </w:tcPr>
          <w:p w14:paraId="3992881F"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iCs/>
                <w:sz w:val="20"/>
                <w:szCs w:val="20"/>
                <w:lang w:eastAsia="ru-RU" w:bidi="ru-RU"/>
              </w:rPr>
              <w:t xml:space="preserve">Создание единого цифрового контура в здравоохранении на основе единой государственной информационной системы здравоохранения (ЕГИСЗ) </w:t>
            </w:r>
            <w:r w:rsidRPr="00A53AD7">
              <w:rPr>
                <w:rFonts w:ascii="Times New Roman" w:eastAsia="Times New Roman" w:hAnsi="Times New Roman"/>
                <w:sz w:val="20"/>
                <w:szCs w:val="20"/>
                <w:lang w:eastAsia="ru-RU" w:bidi="ru-RU"/>
              </w:rPr>
              <w:t>(Архангельская область)</w:t>
            </w:r>
          </w:p>
        </w:tc>
        <w:tc>
          <w:tcPr>
            <w:tcW w:w="1562" w:type="dxa"/>
            <w:tcBorders>
              <w:bottom w:val="double" w:sz="4" w:space="0" w:color="auto"/>
            </w:tcBorders>
            <w:shd w:val="clear" w:color="auto" w:fill="FFFFFF"/>
            <w:vAlign w:val="center"/>
          </w:tcPr>
          <w:p w14:paraId="457CE32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Всего</w:t>
            </w:r>
          </w:p>
          <w:p w14:paraId="632248F8"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p w14:paraId="35564615"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ОБ</w:t>
            </w:r>
          </w:p>
        </w:tc>
        <w:tc>
          <w:tcPr>
            <w:tcW w:w="992" w:type="dxa"/>
            <w:tcBorders>
              <w:bottom w:val="double" w:sz="4" w:space="0" w:color="auto"/>
            </w:tcBorders>
            <w:shd w:val="clear" w:color="auto" w:fill="FFFFFF"/>
            <w:vAlign w:val="center"/>
          </w:tcPr>
          <w:p w14:paraId="49CB745C"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153,8</w:t>
            </w:r>
          </w:p>
          <w:p w14:paraId="1D3BDA5F"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148,3</w:t>
            </w:r>
          </w:p>
          <w:p w14:paraId="1C352609"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5,5</w:t>
            </w:r>
          </w:p>
        </w:tc>
        <w:tc>
          <w:tcPr>
            <w:tcW w:w="1276" w:type="dxa"/>
            <w:tcBorders>
              <w:bottom w:val="double" w:sz="4" w:space="0" w:color="auto"/>
            </w:tcBorders>
            <w:shd w:val="clear" w:color="auto" w:fill="FFFFFF"/>
            <w:vAlign w:val="center"/>
          </w:tcPr>
          <w:p w14:paraId="3E00F199"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153,8</w:t>
            </w:r>
          </w:p>
          <w:p w14:paraId="45415B9D"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148,3</w:t>
            </w:r>
          </w:p>
          <w:p w14:paraId="7764787D"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5,5</w:t>
            </w:r>
          </w:p>
        </w:tc>
        <w:tc>
          <w:tcPr>
            <w:tcW w:w="989" w:type="dxa"/>
            <w:tcBorders>
              <w:bottom w:val="double" w:sz="4" w:space="0" w:color="auto"/>
              <w:right w:val="double" w:sz="4" w:space="0" w:color="auto"/>
            </w:tcBorders>
            <w:shd w:val="clear" w:color="auto" w:fill="FFFFFF"/>
            <w:vAlign w:val="center"/>
          </w:tcPr>
          <w:p w14:paraId="646F472C"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152,1</w:t>
            </w:r>
          </w:p>
          <w:p w14:paraId="1C0A554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146,6</w:t>
            </w:r>
          </w:p>
          <w:p w14:paraId="5375522A"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5,5</w:t>
            </w:r>
          </w:p>
        </w:tc>
      </w:tr>
    </w:tbl>
    <w:p w14:paraId="6FCF38F5" w14:textId="77777777" w:rsidR="00930E5E" w:rsidRPr="00A53AD7" w:rsidRDefault="00930E5E" w:rsidP="00930E5E">
      <w:pPr>
        <w:spacing w:after="0" w:line="240" w:lineRule="auto"/>
        <w:ind w:firstLine="851"/>
        <w:jc w:val="both"/>
        <w:rPr>
          <w:rFonts w:ascii="Times New Roman" w:hAnsi="Times New Roman"/>
          <w:sz w:val="28"/>
          <w:szCs w:val="28"/>
        </w:rPr>
      </w:pPr>
    </w:p>
    <w:p w14:paraId="1AFC65D3" w14:textId="6A596195"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Кассовые расходы произведены в полном объеме, 10</w:t>
      </w:r>
      <w:r w:rsidR="00930E5E" w:rsidRPr="00A53AD7">
        <w:rPr>
          <w:rFonts w:ascii="Times New Roman" w:hAnsi="Times New Roman"/>
          <w:sz w:val="28"/>
          <w:szCs w:val="28"/>
        </w:rPr>
        <w:t>0% к сводной бюджетной росписи.</w:t>
      </w:r>
    </w:p>
    <w:p w14:paraId="5FDB1E40" w14:textId="10B2C13F"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представленного отчета за 2019 год следует, что бюджетные средства в рамках мероприятия освое</w:t>
      </w:r>
      <w:r w:rsidR="00930E5E" w:rsidRPr="00A53AD7">
        <w:rPr>
          <w:rFonts w:ascii="Times New Roman" w:hAnsi="Times New Roman"/>
          <w:sz w:val="28"/>
          <w:szCs w:val="28"/>
        </w:rPr>
        <w:t>ны в полном объеме.</w:t>
      </w:r>
    </w:p>
    <w:p w14:paraId="74246BD7"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распоряжению минздрава АО от 06.02.2020 № 63-рд «О направлении остатков целевых субсидий на те же цели в 2020 году», пояснительных записок к балансу бюджетных учреждений по форме № 0503760, форм отчетности № 0503766 за 2019 год, неиспользованный остаток бюджетных средств при реализации регионального проекта «Создание единого цифрового контура в здравоохранении на основе единой государственной информационной системы в сфере здравоохранения (ЕГИСЗ) (Архангельская область)» по состоянию на 31.12.2019 сложился по 5 учреждениям в сумме 1,7 млн.руб. у следующих медицинских организаций:</w:t>
      </w:r>
    </w:p>
    <w:p w14:paraId="344A1B35"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в ГБУЗ Архангельской области «Первая городская клиническая больница имени Е.Е. Волосевич» в сумме 0,7 млн.руб. (45,47%) по причине достигнутой экономии в результате конкурсных процедур (на сэкономленную сумму заключен контракт на поставку оборудования в январе 2020 года);</w:t>
      </w:r>
    </w:p>
    <w:p w14:paraId="1A027CB9"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в ГБУЗ Архангельской области «Архангельская городская клиническая больница № 4» в сумме 0,5 млн.руб. (32,62%) по причине затянувшихся конкурсных процедур (контракт заключен 04.02.2020, оборудование поставлено);</w:t>
      </w:r>
    </w:p>
    <w:p w14:paraId="6C778F15"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в ГБУЗ Архангельской области «Вельская центральная районная больница» в сумме 0,4 млн.руб. (21,79%) по причине нарушения сроков исполнения договора (договор на поставку МФУ и системных блоков от 04.12.2019 не был исполнен в срок, в следствии чего расторгнут 03.02.2020).</w:t>
      </w:r>
    </w:p>
    <w:p w14:paraId="41B91C94"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Паспортом регионального проекта предусмотрено 29 показателей.</w:t>
      </w:r>
    </w:p>
    <w:p w14:paraId="758A2EA8"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Полагаем необходимым отметить, что минздравом АО за отчетный период перечень целевых показателей государственной программы Архангельской области «Развитие здравоохранения Архангельской области» не приведен в соответствие с показателями, установленными в паспорте регионального проекта, приложении № 1 к соглашениям о его реализации, а именно из 29 показателей только 2 утверждены в государственной программе:</w:t>
      </w:r>
    </w:p>
    <w:p w14:paraId="512CDB84"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число граждан, воспользовавшихся услугами (сервисами) в Личном кабинете пациента «Мое здоровье» на Едином портале государственных услуг и функций в отчетном году;</w:t>
      </w:r>
    </w:p>
    <w:p w14:paraId="40EE33CA"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доля медицинских организаций государственной и муниципальной систем здравоохранения, использующих медицинские информационные системы для организации и оказания медицинской помощи гражданам, обеспечивающих информационное взаимодействие с ЕГИСЗ.</w:t>
      </w:r>
    </w:p>
    <w:p w14:paraId="0D45A840" w14:textId="0835E9DE"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за 2019 год, из 29 показателей выполнены на 100% и более 23 показателя или 79,31%, кроме 6-ти</w:t>
      </w:r>
      <w:r w:rsidR="00D319B9" w:rsidRPr="00A53AD7">
        <w:rPr>
          <w:rFonts w:ascii="Times New Roman" w:hAnsi="Times New Roman"/>
          <w:sz w:val="28"/>
          <w:szCs w:val="28"/>
        </w:rPr>
        <w:t>,</w:t>
      </w:r>
      <w:r w:rsidRPr="00A53AD7">
        <w:rPr>
          <w:rFonts w:ascii="Times New Roman" w:hAnsi="Times New Roman"/>
          <w:sz w:val="28"/>
          <w:szCs w:val="28"/>
        </w:rPr>
        <w:t xml:space="preserve"> по которым установлены «нулевые» целевые значения на 2019 год.</w:t>
      </w:r>
    </w:p>
    <w:p w14:paraId="445446E3"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К концу 2019 года предусмотрено достижение следующих результатов:</w:t>
      </w:r>
    </w:p>
    <w:p w14:paraId="70304FAC" w14:textId="3151952D"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«Не менее 90% медицинских организаций государственной и муниципальной систем здравоохранения субъектов Российской Федерации обеспечивают межведомственное электронное взаимодействие, в том числе с учреждениями медико-социальной экспертизы» (ИТ-система) результа</w:t>
      </w:r>
      <w:r w:rsidR="00930E5E" w:rsidRPr="00A53AD7">
        <w:rPr>
          <w:sz w:val="28"/>
          <w:szCs w:val="28"/>
        </w:rPr>
        <w:t>т 20%;</w:t>
      </w:r>
    </w:p>
    <w:p w14:paraId="086D7831"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по задаче «Организовано не менее 820 тысяч автоматизированных рабочих мест медицинских работников при внедрении и эксплуатации медицинских информационных систем, соответствующих требованиям Минздрава России в медицинских организациях государственной и муниципальной систем здравоохранения субъектов Российской Федерации» (закупка оборудования и услуг) результат – 7 282.</w:t>
      </w:r>
    </w:p>
    <w:p w14:paraId="6AA8A945"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регионального проекта результаты достигнуты.</w:t>
      </w:r>
    </w:p>
    <w:p w14:paraId="6372A21E" w14:textId="77777777" w:rsidR="001E1920" w:rsidRPr="00A53AD7" w:rsidRDefault="001E1920" w:rsidP="00930E5E">
      <w:pPr>
        <w:spacing w:after="0" w:line="240" w:lineRule="auto"/>
        <w:ind w:firstLine="851"/>
        <w:jc w:val="both"/>
        <w:rPr>
          <w:rFonts w:ascii="Times New Roman" w:hAnsi="Times New Roman"/>
          <w:sz w:val="28"/>
          <w:szCs w:val="28"/>
        </w:rPr>
      </w:pPr>
    </w:p>
    <w:p w14:paraId="3FC241E0" w14:textId="77777777" w:rsidR="001E1920" w:rsidRPr="00A53AD7" w:rsidRDefault="001E1920" w:rsidP="00930E5E">
      <w:pPr>
        <w:spacing w:after="0" w:line="240" w:lineRule="auto"/>
        <w:ind w:firstLine="851"/>
        <w:jc w:val="both"/>
        <w:rPr>
          <w:rFonts w:ascii="Times New Roman" w:eastAsia="Courier New" w:hAnsi="Times New Roman"/>
          <w:sz w:val="28"/>
          <w:szCs w:val="28"/>
          <w:lang w:eastAsia="ru-RU" w:bidi="ru-RU"/>
        </w:rPr>
      </w:pPr>
      <w:r w:rsidRPr="00A53AD7">
        <w:rPr>
          <w:rFonts w:ascii="Times New Roman" w:eastAsia="Courier New" w:hAnsi="Times New Roman"/>
          <w:i/>
          <w:sz w:val="28"/>
          <w:szCs w:val="28"/>
          <w:lang w:eastAsia="ru-RU" w:bidi="ru-RU"/>
        </w:rPr>
        <w:t>По подпрограмме № 10</w:t>
      </w:r>
      <w:r w:rsidRPr="00A53AD7">
        <w:rPr>
          <w:rFonts w:ascii="Times New Roman" w:eastAsia="Courier New" w:hAnsi="Times New Roman"/>
          <w:sz w:val="28"/>
          <w:szCs w:val="28"/>
          <w:lang w:eastAsia="ru-RU" w:bidi="ru-RU"/>
        </w:rPr>
        <w:t xml:space="preserve"> «Совершенствование системы территориального планирования Архангельской области» реализуется 1 мероприятие регионального проекта «Развитие системы оказания первичной медико-санитарной помощи (Архангельская область)»:</w:t>
      </w:r>
    </w:p>
    <w:tbl>
      <w:tblPr>
        <w:tblOverlap w:val="never"/>
        <w:tblW w:w="935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979"/>
        <w:gridCol w:w="1411"/>
        <w:gridCol w:w="1420"/>
        <w:gridCol w:w="1276"/>
        <w:gridCol w:w="1134"/>
        <w:gridCol w:w="1131"/>
      </w:tblGrid>
      <w:tr w:rsidR="00D470B6" w:rsidRPr="00A53AD7" w14:paraId="60651C60" w14:textId="77777777" w:rsidTr="001E1920">
        <w:trPr>
          <w:trHeight w:val="1143"/>
          <w:tblHeader/>
          <w:jc w:val="center"/>
        </w:trPr>
        <w:tc>
          <w:tcPr>
            <w:tcW w:w="2979" w:type="dxa"/>
            <w:shd w:val="clear" w:color="auto" w:fill="FFFFFF"/>
            <w:vAlign w:val="center"/>
          </w:tcPr>
          <w:p w14:paraId="1A65F436"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мероприятия подпрограммы</w:t>
            </w:r>
          </w:p>
        </w:tc>
        <w:tc>
          <w:tcPr>
            <w:tcW w:w="1411" w:type="dxa"/>
            <w:shd w:val="clear" w:color="auto" w:fill="FFFFFF"/>
            <w:vAlign w:val="center"/>
          </w:tcPr>
          <w:p w14:paraId="54567A2E"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Наименование регионального проекта</w:t>
            </w:r>
          </w:p>
        </w:tc>
        <w:tc>
          <w:tcPr>
            <w:tcW w:w="1420" w:type="dxa"/>
            <w:shd w:val="clear" w:color="auto" w:fill="FFFFFF"/>
            <w:vAlign w:val="center"/>
          </w:tcPr>
          <w:p w14:paraId="149A2A41"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Источник финансирования (ОБ-областной бюджет, ФБ-федеральный бюджет)</w:t>
            </w:r>
          </w:p>
        </w:tc>
        <w:tc>
          <w:tcPr>
            <w:tcW w:w="1276" w:type="dxa"/>
            <w:shd w:val="clear" w:color="auto" w:fill="FFFFFF"/>
            <w:vAlign w:val="center"/>
          </w:tcPr>
          <w:p w14:paraId="7953B688"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Объем финансирования на 2019 год, млн.руб.</w:t>
            </w:r>
          </w:p>
        </w:tc>
        <w:tc>
          <w:tcPr>
            <w:tcW w:w="1134" w:type="dxa"/>
            <w:shd w:val="clear" w:color="auto" w:fill="FFFFFF"/>
            <w:vAlign w:val="center"/>
          </w:tcPr>
          <w:p w14:paraId="1B8E8515"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Кассовое исполнение за 2019 год, млн.руб.</w:t>
            </w:r>
          </w:p>
        </w:tc>
        <w:tc>
          <w:tcPr>
            <w:tcW w:w="1131" w:type="dxa"/>
            <w:shd w:val="clear" w:color="auto" w:fill="FFFFFF"/>
            <w:vAlign w:val="center"/>
          </w:tcPr>
          <w:p w14:paraId="45942BE7" w14:textId="77777777" w:rsidR="001E1920" w:rsidRPr="00A53AD7" w:rsidRDefault="001E1920" w:rsidP="001E1920">
            <w:pPr>
              <w:widowControl w:val="0"/>
              <w:tabs>
                <w:tab w:val="left" w:pos="570"/>
              </w:tabs>
              <w:spacing w:after="0" w:line="240" w:lineRule="auto"/>
              <w:ind w:left="127" w:right="132"/>
              <w:jc w:val="center"/>
              <w:rPr>
                <w:rFonts w:ascii="Times New Roman" w:eastAsia="Times New Roman" w:hAnsi="Times New Roman"/>
                <w:sz w:val="16"/>
                <w:szCs w:val="16"/>
                <w:lang w:eastAsia="ru-RU" w:bidi="ru-RU"/>
              </w:rPr>
            </w:pPr>
            <w:r w:rsidRPr="00A53AD7">
              <w:rPr>
                <w:rFonts w:ascii="Times New Roman" w:eastAsia="Times New Roman" w:hAnsi="Times New Roman"/>
                <w:sz w:val="16"/>
                <w:szCs w:val="16"/>
                <w:lang w:eastAsia="ru-RU" w:bidi="ru-RU"/>
              </w:rPr>
              <w:t>Освоено за 2019 год, млн.руб.</w:t>
            </w:r>
          </w:p>
        </w:tc>
      </w:tr>
      <w:tr w:rsidR="00D470B6" w:rsidRPr="00A53AD7" w14:paraId="21EC13B4" w14:textId="77777777" w:rsidTr="001E1920">
        <w:trPr>
          <w:trHeight w:hRule="exact" w:val="2348"/>
          <w:jc w:val="center"/>
        </w:trPr>
        <w:tc>
          <w:tcPr>
            <w:tcW w:w="2979" w:type="dxa"/>
            <w:shd w:val="clear" w:color="auto" w:fill="FFFFFF"/>
          </w:tcPr>
          <w:p w14:paraId="21FE7873" w14:textId="77777777" w:rsidR="001E1920" w:rsidRPr="00A53AD7" w:rsidRDefault="001E1920" w:rsidP="00CA1DDD">
            <w:pPr>
              <w:widowControl w:val="0"/>
              <w:numPr>
                <w:ilvl w:val="1"/>
                <w:numId w:val="46"/>
              </w:numPr>
              <w:tabs>
                <w:tab w:val="left" w:pos="450"/>
              </w:tabs>
              <w:spacing w:after="0" w:line="240" w:lineRule="auto"/>
              <w:ind w:left="127" w:right="133" w:firstLine="0"/>
              <w:contextualSpacing/>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 xml:space="preserve">Строительство объектов государственных медицинских организаций </w:t>
            </w:r>
          </w:p>
          <w:p w14:paraId="3A5FAAFF" w14:textId="77777777" w:rsidR="001E1920" w:rsidRPr="00A53AD7" w:rsidRDefault="001E1920" w:rsidP="001E1920">
            <w:pPr>
              <w:widowControl w:val="0"/>
              <w:spacing w:after="0" w:line="240" w:lineRule="auto"/>
              <w:ind w:left="127" w:right="133"/>
              <w:contextualSpacing/>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16) приобретение модульных конструкций врачебных амбулаторий, фельдшерских и фельдшерско-акушерских пунктов для населенных пунктов с численностью населения от 101 до 2000 человек</w:t>
            </w:r>
          </w:p>
        </w:tc>
        <w:tc>
          <w:tcPr>
            <w:tcW w:w="1411" w:type="dxa"/>
            <w:shd w:val="clear" w:color="auto" w:fill="FFFFFF"/>
          </w:tcPr>
          <w:p w14:paraId="032FBC9A" w14:textId="77777777" w:rsidR="001E1920" w:rsidRPr="00A53AD7" w:rsidRDefault="001E1920" w:rsidP="001E1920">
            <w:pPr>
              <w:widowControl w:val="0"/>
              <w:spacing w:after="0" w:line="240" w:lineRule="auto"/>
              <w:ind w:left="127" w:right="133"/>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Развитие системы оказания первичной медико-санитарной помощи (Архангельская область)</w:t>
            </w:r>
          </w:p>
        </w:tc>
        <w:tc>
          <w:tcPr>
            <w:tcW w:w="1420" w:type="dxa"/>
            <w:shd w:val="clear" w:color="auto" w:fill="FFFFFF"/>
            <w:vAlign w:val="center"/>
          </w:tcPr>
          <w:p w14:paraId="596309C1"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ФБ</w:t>
            </w:r>
          </w:p>
        </w:tc>
        <w:tc>
          <w:tcPr>
            <w:tcW w:w="1276" w:type="dxa"/>
            <w:shd w:val="clear" w:color="auto" w:fill="FFFFFF"/>
            <w:vAlign w:val="center"/>
          </w:tcPr>
          <w:p w14:paraId="477A1897"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5,0</w:t>
            </w:r>
          </w:p>
        </w:tc>
        <w:tc>
          <w:tcPr>
            <w:tcW w:w="1134" w:type="dxa"/>
            <w:shd w:val="clear" w:color="auto" w:fill="FFFFFF"/>
            <w:vAlign w:val="center"/>
          </w:tcPr>
          <w:p w14:paraId="320E43C8"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5,0</w:t>
            </w:r>
          </w:p>
        </w:tc>
        <w:tc>
          <w:tcPr>
            <w:tcW w:w="1131" w:type="dxa"/>
            <w:shd w:val="clear" w:color="auto" w:fill="FFFFFF"/>
            <w:vAlign w:val="center"/>
          </w:tcPr>
          <w:p w14:paraId="684B0AD9" w14:textId="77777777" w:rsidR="001E1920" w:rsidRPr="00A53AD7" w:rsidRDefault="001E1920" w:rsidP="001E1920">
            <w:pPr>
              <w:widowControl w:val="0"/>
              <w:spacing w:after="0" w:line="240" w:lineRule="auto"/>
              <w:ind w:left="127" w:right="133"/>
              <w:jc w:val="center"/>
              <w:rPr>
                <w:rFonts w:ascii="Times New Roman" w:eastAsia="Times New Roman" w:hAnsi="Times New Roman"/>
                <w:sz w:val="20"/>
                <w:szCs w:val="20"/>
                <w:lang w:eastAsia="ru-RU" w:bidi="ru-RU"/>
              </w:rPr>
            </w:pPr>
            <w:r w:rsidRPr="00A53AD7">
              <w:rPr>
                <w:rFonts w:ascii="Times New Roman" w:eastAsia="Times New Roman" w:hAnsi="Times New Roman"/>
                <w:sz w:val="20"/>
                <w:szCs w:val="20"/>
                <w:lang w:eastAsia="ru-RU" w:bidi="ru-RU"/>
              </w:rPr>
              <w:t>2,1</w:t>
            </w:r>
          </w:p>
        </w:tc>
      </w:tr>
    </w:tbl>
    <w:p w14:paraId="78BCB74E" w14:textId="77777777" w:rsidR="001E1920" w:rsidRPr="00A53AD7" w:rsidRDefault="001E1920" w:rsidP="00930E5E">
      <w:pPr>
        <w:spacing w:after="0" w:line="240" w:lineRule="auto"/>
        <w:ind w:firstLine="851"/>
        <w:jc w:val="both"/>
        <w:rPr>
          <w:rFonts w:ascii="Times New Roman" w:hAnsi="Times New Roman"/>
          <w:sz w:val="28"/>
          <w:szCs w:val="28"/>
        </w:rPr>
      </w:pPr>
    </w:p>
    <w:p w14:paraId="7AD12025"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Соглашению от 13.02.2019 № 056-17-2019-175, в целях реализации мероприятия 1.1.16) «Приобретение модульных конструкций врачебных амбулаторий, фельдшерских и фельдшерско-акушерских пунктов для населенных пунктов с численностью населения от 101 до 2000 человек», необходимо до 31.12.2019 создать/заменить 1 новый фельдшерский, фельдшерско-акушерский пункт или врачебную амбулаторию.</w:t>
      </w:r>
    </w:p>
    <w:p w14:paraId="43CB328A" w14:textId="4FE2A069"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Кассовое исполнение составило 5,0 млн.руб. или 100% к сводной бюджетной росписи на 2019 год, из них освоено 2,1 млн.руб. или 41,4%.</w:t>
      </w:r>
    </w:p>
    <w:p w14:paraId="655E9ECA" w14:textId="1B15DDFB"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Приложению № 1 к распоряжению минздрава АО от 06.02.2020 № 63-рд «О направлении остатков целевых субсидий на те же цели в 2020 году», пояснительных записок к балансу бюджетных учреждений по форме № 0503760, форм отчетности № 0503766 по состоянию на 31.12.2019, неиспользованный остаток бюджетных средств при реализации регионального проекта «Развитие системы оказания первичной медико-санитарной помощи (Архангельская область)», за 2019 год сложился в сумме 2,9 млн.руб. у</w:t>
      </w:r>
      <w:r w:rsidR="00930E5E" w:rsidRPr="00A53AD7">
        <w:rPr>
          <w:rFonts w:ascii="Times New Roman" w:hAnsi="Times New Roman"/>
          <w:sz w:val="28"/>
          <w:szCs w:val="28"/>
        </w:rPr>
        <w:t xml:space="preserve"> ГБУЗ АО «Красноборская ЦРБ».</w:t>
      </w:r>
    </w:p>
    <w:p w14:paraId="79FE903C" w14:textId="421EDD5B"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отчету о ходе реализации мероприятий регионального проекта за 2019 год, мероприятие не выполнено по причине замены населенного пункта, в котором планируется строительство ФАП (с Плесецкого района на Красноборский район). Субсидия перечислена ГБУЗ АО «Красноборская ЦРБ», которой с ФКУ «Исправительная колония № 1 УФСИН России по Архангельской области» заключен контракт от 25.10.2019 на изготовление модульных конструкций для ФАП «Большая Слудка» Красноборского района. В связи с погодными условиями, поставка товара 25.12.2019 не произведена. Фактически модульные конструкции поставлены 13.03.2020 года,</w:t>
      </w:r>
      <w:r w:rsidR="00930E5E" w:rsidRPr="00A53AD7">
        <w:rPr>
          <w:rFonts w:ascii="Times New Roman" w:hAnsi="Times New Roman"/>
          <w:sz w:val="28"/>
          <w:szCs w:val="28"/>
        </w:rPr>
        <w:t xml:space="preserve"> оплата произведена 19.03.2020.</w:t>
      </w:r>
    </w:p>
    <w:p w14:paraId="35F03A5E" w14:textId="77777777" w:rsidR="001E1920" w:rsidRPr="00A53AD7" w:rsidRDefault="001E1920" w:rsidP="00930E5E">
      <w:pPr>
        <w:spacing w:after="0" w:line="240" w:lineRule="auto"/>
        <w:ind w:firstLine="851"/>
        <w:jc w:val="both"/>
        <w:rPr>
          <w:rFonts w:ascii="Times New Roman" w:hAnsi="Times New Roman"/>
          <w:sz w:val="28"/>
          <w:szCs w:val="28"/>
        </w:rPr>
      </w:pPr>
    </w:p>
    <w:p w14:paraId="5BFC09A1" w14:textId="076D8F01" w:rsidR="001E1920" w:rsidRPr="00A53AD7" w:rsidRDefault="001E1920" w:rsidP="00930E5E">
      <w:pPr>
        <w:spacing w:after="0" w:line="240" w:lineRule="auto"/>
        <w:jc w:val="center"/>
        <w:rPr>
          <w:rFonts w:ascii="Times New Roman" w:hAnsi="Times New Roman"/>
          <w:b/>
          <w:i/>
          <w:sz w:val="28"/>
          <w:szCs w:val="28"/>
        </w:rPr>
      </w:pPr>
      <w:r w:rsidRPr="00A53AD7">
        <w:rPr>
          <w:rFonts w:ascii="Times New Roman" w:hAnsi="Times New Roman"/>
          <w:b/>
          <w:i/>
          <w:sz w:val="28"/>
          <w:szCs w:val="28"/>
        </w:rPr>
        <w:t>Региональный проект «Развитие экспорта ме</w:t>
      </w:r>
      <w:r w:rsidR="00930E5E" w:rsidRPr="00A53AD7">
        <w:rPr>
          <w:rFonts w:ascii="Times New Roman" w:hAnsi="Times New Roman"/>
          <w:b/>
          <w:i/>
          <w:sz w:val="28"/>
          <w:szCs w:val="28"/>
        </w:rPr>
        <w:t>дицинских услуг</w:t>
      </w:r>
      <w:r w:rsidRPr="00A53AD7">
        <w:rPr>
          <w:rFonts w:ascii="Times New Roman" w:hAnsi="Times New Roman"/>
          <w:b/>
          <w:i/>
          <w:sz w:val="28"/>
          <w:szCs w:val="28"/>
        </w:rPr>
        <w:t>»</w:t>
      </w:r>
    </w:p>
    <w:p w14:paraId="6F0A4B63"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паспорту регионального проекта «Развитие экспорта медицинских услуг (Архангельская область)» данный региональный проект связан с государственной программой Архангельской области «Развитие здравоохранения Архангельской области», в частности с подпрограммой № 3 «Развитие государственно-частного партнерства».</w:t>
      </w:r>
    </w:p>
    <w:p w14:paraId="78FB165D" w14:textId="4CE2D021"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Тем не менее, в приложении № 2 «Перечень мероприятий государственной программы Архангельской области «Развитие здравоохранения Архангельской области» к государственной программе по подпрограмме № 3 утверждено только одно мероприятие 1.1 «Организация инновационного производственного и диагностического центра на базе циклотрона, радиохимической лаборатории, ПЭТ-сканера, КТ и МРТ» с объемом финансирования за счет средств бюджета территориального фонда обязательного медицинского страхования, предусмотренным на 2020 год, в сумме 120 млн.руб., результатом которого будет создание условий для высококачественной диагностики и лечения больных с использованием технологий ядерной медицины. Указанное единственное мероприятие по подпрограмме № 3 не является мероприятием, связанным с региональным проектом «Развитие экспорта медицинских </w:t>
      </w:r>
      <w:r w:rsidR="00930E5E" w:rsidRPr="00A53AD7">
        <w:rPr>
          <w:rFonts w:ascii="Times New Roman" w:hAnsi="Times New Roman"/>
          <w:sz w:val="28"/>
          <w:szCs w:val="28"/>
        </w:rPr>
        <w:t>услуг (Архангельская область)».</w:t>
      </w:r>
    </w:p>
    <w:p w14:paraId="5395E24C"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того, показатель регионального проекта «Количество пролеченных иностранных граждан (тыс.чел.)» не включен в показатели государственной программы. Следовательно, связь регионального проекта «Развитие экспорта медицинских услуг (Архангельская область)» с государственной программой Архангельской области «Развитие здравоохранения Архангельской области» отсутствует.</w:t>
      </w:r>
    </w:p>
    <w:p w14:paraId="381768D5"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не выполнен пункт 2.2.1 Соглашения о реализации регионального проекта «Развитие экспорта медицинских услуг» на территории Архангельской области от 31.01.2019 № 056-2019-N80037-1, где предусмотрено, что в государственной программе Архангельской области должны быть отражены мероприятия, показатели и их целевые значения регионального проекта в виде отдельных (обособленных) структурных элементов.</w:t>
      </w:r>
    </w:p>
    <w:p w14:paraId="751D8A71" w14:textId="19812220"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паспорту, значение на 2019 год показателя «Количество пролеченных иностранных граждан (тыс.чел.)» регионального проекта «Развитие экспорта медицинских услуг (Архангельская область)» определено в объеме 8,4 тыс.чел., что соответствует дополнительному соглашению от 10.12.2019 № 056-2019-N80037-1/1 к Соглашению о реализации регионального проекта «Развитие экспорта медицинских услуг» на те</w:t>
      </w:r>
      <w:r w:rsidR="00930E5E" w:rsidRPr="00A53AD7">
        <w:rPr>
          <w:rFonts w:ascii="Times New Roman" w:hAnsi="Times New Roman"/>
          <w:sz w:val="28"/>
          <w:szCs w:val="28"/>
        </w:rPr>
        <w:t>рритории Архангельской области.</w:t>
      </w:r>
    </w:p>
    <w:p w14:paraId="095513CE" w14:textId="4655CE80"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информационной системе «Электронный бюджет» размещен отчет о ходе реализации регионального проекта на 2019 год от 20.01.2020 № 8.11-15-2019.12/1795, в котором плановое значение установлено в объеме 0,07 тыс.чел, а фактическое - 8,6 тыс.че</w:t>
      </w:r>
      <w:r w:rsidR="00930E5E" w:rsidRPr="00A53AD7">
        <w:rPr>
          <w:rFonts w:ascii="Times New Roman" w:hAnsi="Times New Roman"/>
          <w:sz w:val="28"/>
          <w:szCs w:val="28"/>
        </w:rPr>
        <w:t>л. со степенью достижения 100%.</w:t>
      </w:r>
    </w:p>
    <w:p w14:paraId="1FE577F7" w14:textId="77777777" w:rsidR="001E1920" w:rsidRPr="00A53AD7" w:rsidRDefault="001E1920" w:rsidP="00930E5E">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Сведениям о достижении результатов, контрольных точек и мероприятий:</w:t>
      </w:r>
    </w:p>
    <w:p w14:paraId="41380610" w14:textId="1A47E3A7" w:rsidR="001E1920" w:rsidRPr="00A53AD7" w:rsidRDefault="001E1920" w:rsidP="00CA1DDD">
      <w:pPr>
        <w:pStyle w:val="a8"/>
        <w:numPr>
          <w:ilvl w:val="0"/>
          <w:numId w:val="45"/>
        </w:numPr>
        <w:ind w:left="0" w:firstLine="851"/>
        <w:jc w:val="both"/>
        <w:rPr>
          <w:sz w:val="28"/>
          <w:szCs w:val="28"/>
        </w:rPr>
      </w:pPr>
      <w:r w:rsidRPr="00A53AD7">
        <w:rPr>
          <w:sz w:val="28"/>
          <w:szCs w:val="28"/>
        </w:rPr>
        <w:t>по мероприятию «Разработана и реализована программа коммуникационных мероприятий по повышению уровня информированности иностранных граждан о медицинских услугах, оказываемых на территории Архангельской области на период 2019-2024 годы» - подготовлено распоряжение минздрава АО от 29.03.2019 № 156-рд «Об утверждении программы коммуникационных мероприятий по повышению уровня информированности иностранных граждан о медицинских услугах, оказываемых на территории Архангельс</w:t>
      </w:r>
      <w:r w:rsidR="00930E5E" w:rsidRPr="00A53AD7">
        <w:rPr>
          <w:sz w:val="28"/>
          <w:szCs w:val="28"/>
        </w:rPr>
        <w:t>кой области на 2019-2024 годы»;</w:t>
      </w:r>
    </w:p>
    <w:p w14:paraId="1D4D6AA8" w14:textId="77777777" w:rsidR="001E1920" w:rsidRPr="00A53AD7" w:rsidRDefault="001E1920" w:rsidP="00CA1DDD">
      <w:pPr>
        <w:pStyle w:val="a8"/>
        <w:numPr>
          <w:ilvl w:val="0"/>
          <w:numId w:val="45"/>
        </w:numPr>
        <w:ind w:left="0" w:firstLine="851"/>
        <w:jc w:val="both"/>
        <w:rPr>
          <w:sz w:val="28"/>
          <w:szCs w:val="28"/>
        </w:rPr>
      </w:pPr>
      <w:r w:rsidRPr="00A53AD7">
        <w:rPr>
          <w:sz w:val="28"/>
          <w:szCs w:val="28"/>
        </w:rPr>
        <w:t>по мероприятию «Реализована программа коммуникационных мероприятий по повышению уровня информированности иностранных граждан о медицинских услугах, оказываемых на территории Архангельской области на 2019 год» - информацией по достижению является отчет о реализации регионального проекта.</w:t>
      </w:r>
    </w:p>
    <w:p w14:paraId="022A16EF" w14:textId="2BDF71C7" w:rsidR="0001775B" w:rsidRPr="00A53AD7" w:rsidRDefault="00823162" w:rsidP="0001775B">
      <w:pPr>
        <w:pStyle w:val="10"/>
        <w:keepNext/>
        <w:keepLines/>
        <w:autoSpaceDE/>
        <w:autoSpaceDN/>
        <w:adjustRightInd/>
        <w:spacing w:before="240" w:after="120"/>
        <w:rPr>
          <w:rFonts w:ascii="Times New Roman" w:hAnsi="Times New Roman"/>
          <w:color w:val="auto"/>
          <w:sz w:val="28"/>
          <w:szCs w:val="28"/>
          <w:lang w:val="ru-RU" w:eastAsia="en-US"/>
        </w:rPr>
      </w:pPr>
      <w:bookmarkStart w:id="120" w:name="_Toc42006757"/>
      <w:r w:rsidRPr="00A53AD7">
        <w:rPr>
          <w:rFonts w:ascii="Times New Roman" w:hAnsi="Times New Roman"/>
          <w:color w:val="auto"/>
          <w:sz w:val="28"/>
          <w:szCs w:val="28"/>
          <w:lang w:val="ru-RU" w:eastAsia="en-US"/>
        </w:rPr>
        <w:t>5</w:t>
      </w:r>
      <w:r w:rsidR="0001775B" w:rsidRPr="00A53AD7">
        <w:rPr>
          <w:rFonts w:ascii="Times New Roman" w:hAnsi="Times New Roman"/>
          <w:color w:val="auto"/>
          <w:sz w:val="28"/>
          <w:szCs w:val="28"/>
          <w:lang w:val="ru-RU" w:eastAsia="en-US"/>
        </w:rPr>
        <w:t xml:space="preserve">. </w:t>
      </w:r>
      <w:r w:rsidR="000F1AEA" w:rsidRPr="00A53AD7">
        <w:rPr>
          <w:rFonts w:ascii="Times New Roman" w:hAnsi="Times New Roman"/>
          <w:color w:val="auto"/>
          <w:sz w:val="28"/>
          <w:szCs w:val="28"/>
          <w:lang w:val="ru-RU" w:eastAsia="en-US"/>
        </w:rPr>
        <w:t>Результаты деятельности</w:t>
      </w:r>
      <w:r w:rsidR="00C73204" w:rsidRPr="00A53AD7">
        <w:rPr>
          <w:rFonts w:ascii="Times New Roman" w:hAnsi="Times New Roman"/>
          <w:color w:val="auto"/>
          <w:sz w:val="28"/>
          <w:szCs w:val="28"/>
          <w:lang w:val="ru-RU" w:eastAsia="en-US"/>
        </w:rPr>
        <w:t xml:space="preserve"> </w:t>
      </w:r>
      <w:r w:rsidR="000F1AEA" w:rsidRPr="00A53AD7">
        <w:rPr>
          <w:rFonts w:ascii="Times New Roman" w:hAnsi="Times New Roman"/>
          <w:color w:val="auto"/>
          <w:sz w:val="28"/>
          <w:szCs w:val="28"/>
          <w:lang w:val="ru-RU" w:eastAsia="en-US"/>
        </w:rPr>
        <w:t>государственных</w:t>
      </w:r>
      <w:r w:rsidR="00C73204" w:rsidRPr="00A53AD7">
        <w:rPr>
          <w:rFonts w:ascii="Times New Roman" w:hAnsi="Times New Roman"/>
          <w:color w:val="auto"/>
          <w:sz w:val="28"/>
          <w:szCs w:val="28"/>
          <w:lang w:val="ru-RU" w:eastAsia="en-US"/>
        </w:rPr>
        <w:t xml:space="preserve"> и </w:t>
      </w:r>
      <w:r w:rsidR="0001775B" w:rsidRPr="00A53AD7">
        <w:rPr>
          <w:rFonts w:ascii="Times New Roman" w:hAnsi="Times New Roman"/>
          <w:color w:val="auto"/>
          <w:sz w:val="28"/>
          <w:szCs w:val="28"/>
          <w:lang w:val="ru-RU" w:eastAsia="en-US"/>
        </w:rPr>
        <w:t>муниципальны</w:t>
      </w:r>
      <w:r w:rsidR="000F1AEA" w:rsidRPr="00A53AD7">
        <w:rPr>
          <w:rFonts w:ascii="Times New Roman" w:hAnsi="Times New Roman"/>
          <w:color w:val="auto"/>
          <w:sz w:val="28"/>
          <w:szCs w:val="28"/>
          <w:lang w:val="ru-RU" w:eastAsia="en-US"/>
        </w:rPr>
        <w:t xml:space="preserve">х бюджетных </w:t>
      </w:r>
      <w:r w:rsidR="0001775B" w:rsidRPr="00A53AD7">
        <w:rPr>
          <w:rFonts w:ascii="Times New Roman" w:hAnsi="Times New Roman"/>
          <w:color w:val="auto"/>
          <w:sz w:val="28"/>
          <w:szCs w:val="28"/>
          <w:lang w:val="ru-RU" w:eastAsia="en-US"/>
        </w:rPr>
        <w:t>и автономны</w:t>
      </w:r>
      <w:r w:rsidR="000F1AEA" w:rsidRPr="00A53AD7">
        <w:rPr>
          <w:rFonts w:ascii="Times New Roman" w:hAnsi="Times New Roman"/>
          <w:color w:val="auto"/>
          <w:sz w:val="28"/>
          <w:szCs w:val="28"/>
          <w:lang w:val="ru-RU" w:eastAsia="en-US"/>
        </w:rPr>
        <w:t>х</w:t>
      </w:r>
      <w:r w:rsidR="0001775B" w:rsidRPr="00A53AD7">
        <w:rPr>
          <w:rFonts w:ascii="Times New Roman" w:hAnsi="Times New Roman"/>
          <w:color w:val="auto"/>
          <w:sz w:val="28"/>
          <w:szCs w:val="28"/>
          <w:lang w:val="ru-RU" w:eastAsia="en-US"/>
        </w:rPr>
        <w:t xml:space="preserve"> учреждени</w:t>
      </w:r>
      <w:r w:rsidR="000F1AEA" w:rsidRPr="00A53AD7">
        <w:rPr>
          <w:rFonts w:ascii="Times New Roman" w:hAnsi="Times New Roman"/>
          <w:color w:val="auto"/>
          <w:sz w:val="28"/>
          <w:szCs w:val="28"/>
          <w:lang w:val="ru-RU" w:eastAsia="en-US"/>
        </w:rPr>
        <w:t>й</w:t>
      </w:r>
      <w:r w:rsidR="0001775B" w:rsidRPr="00A53AD7">
        <w:rPr>
          <w:rFonts w:ascii="Times New Roman" w:hAnsi="Times New Roman"/>
          <w:color w:val="auto"/>
          <w:sz w:val="28"/>
          <w:szCs w:val="28"/>
          <w:lang w:val="ru-RU" w:eastAsia="en-US"/>
        </w:rPr>
        <w:t xml:space="preserve"> </w:t>
      </w:r>
      <w:r w:rsidR="000F1AEA" w:rsidRPr="00A53AD7">
        <w:rPr>
          <w:rFonts w:ascii="Times New Roman" w:hAnsi="Times New Roman"/>
          <w:color w:val="auto"/>
          <w:sz w:val="28"/>
          <w:szCs w:val="28"/>
          <w:lang w:val="ru-RU" w:eastAsia="en-US"/>
        </w:rPr>
        <w:t>за 201</w:t>
      </w:r>
      <w:r w:rsidR="0054175B" w:rsidRPr="00A53AD7">
        <w:rPr>
          <w:rFonts w:ascii="Times New Roman" w:hAnsi="Times New Roman"/>
          <w:color w:val="auto"/>
          <w:sz w:val="28"/>
          <w:szCs w:val="28"/>
          <w:lang w:val="ru-RU" w:eastAsia="en-US"/>
        </w:rPr>
        <w:t>9</w:t>
      </w:r>
      <w:r w:rsidR="000F1AEA" w:rsidRPr="00A53AD7">
        <w:rPr>
          <w:rFonts w:ascii="Times New Roman" w:hAnsi="Times New Roman"/>
          <w:color w:val="auto"/>
          <w:sz w:val="28"/>
          <w:szCs w:val="28"/>
          <w:lang w:val="ru-RU" w:eastAsia="en-US"/>
        </w:rPr>
        <w:t xml:space="preserve"> год</w:t>
      </w:r>
      <w:bookmarkEnd w:id="120"/>
    </w:p>
    <w:p w14:paraId="4ABD3FD9" w14:textId="233D0118" w:rsidR="00B029F6" w:rsidRPr="00A53AD7" w:rsidRDefault="00B029F6" w:rsidP="00B029F6">
      <w:pPr>
        <w:spacing w:after="0" w:line="240" w:lineRule="auto"/>
        <w:ind w:firstLine="851"/>
        <w:jc w:val="both"/>
        <w:rPr>
          <w:rFonts w:ascii="Times New Roman" w:hAnsi="Times New Roman"/>
          <w:sz w:val="28"/>
          <w:szCs w:val="28"/>
        </w:rPr>
      </w:pPr>
      <w:bookmarkStart w:id="121" w:name="_6._Состояние_государственного"/>
      <w:bookmarkEnd w:id="121"/>
      <w:r w:rsidRPr="00A53AD7">
        <w:rPr>
          <w:rFonts w:ascii="Times New Roman" w:hAnsi="Times New Roman"/>
          <w:sz w:val="28"/>
          <w:szCs w:val="28"/>
        </w:rPr>
        <w:t>Сведения о выполнении планов финансово-хозяйственной деятельности государственными и муниципальными бюджетными и автономными учреждениями за 2019 год представлены в Приложениях №№ </w:t>
      </w:r>
      <w:r w:rsidR="001566D0" w:rsidRPr="00A53AD7">
        <w:rPr>
          <w:rFonts w:ascii="Times New Roman" w:hAnsi="Times New Roman"/>
          <w:sz w:val="28"/>
          <w:szCs w:val="28"/>
        </w:rPr>
        <w:t xml:space="preserve">17 </w:t>
      </w:r>
      <w:r w:rsidRPr="00A53AD7">
        <w:rPr>
          <w:rFonts w:ascii="Times New Roman" w:hAnsi="Times New Roman"/>
          <w:sz w:val="28"/>
          <w:szCs w:val="28"/>
        </w:rPr>
        <w:t xml:space="preserve">и </w:t>
      </w:r>
      <w:r w:rsidR="001566D0" w:rsidRPr="00A53AD7">
        <w:rPr>
          <w:rFonts w:ascii="Times New Roman" w:hAnsi="Times New Roman"/>
          <w:sz w:val="28"/>
          <w:szCs w:val="28"/>
        </w:rPr>
        <w:t xml:space="preserve">18 </w:t>
      </w:r>
      <w:r w:rsidRPr="00A53AD7">
        <w:rPr>
          <w:rFonts w:ascii="Times New Roman" w:hAnsi="Times New Roman"/>
          <w:sz w:val="28"/>
          <w:szCs w:val="28"/>
        </w:rPr>
        <w:t>к настоящему заключению.</w:t>
      </w:r>
    </w:p>
    <w:p w14:paraId="594746C4"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отчетам по форме 0503779 «Сведения об остатках денежных средств учреждения» остатки средств на счетах государственных, муниципальных бюджетных и автономных учреждений (далее – учреждения) на 01.01.2020 составили в общей сумме 5 496,1 млн.руб. и по отношению к показателям на 01.01.2019 они увеличились на 1 696,0 млн.руб. или на 44,6 %.</w:t>
      </w:r>
    </w:p>
    <w:p w14:paraId="1E72AC5D" w14:textId="0B0E038A"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рисунках </w:t>
      </w:r>
      <w:r w:rsidR="003B50F4" w:rsidRPr="00A53AD7">
        <w:rPr>
          <w:rFonts w:ascii="Times New Roman" w:hAnsi="Times New Roman"/>
          <w:sz w:val="28"/>
          <w:szCs w:val="28"/>
        </w:rPr>
        <w:t xml:space="preserve">57 </w:t>
      </w:r>
      <w:r w:rsidRPr="00A53AD7">
        <w:rPr>
          <w:rFonts w:ascii="Times New Roman" w:hAnsi="Times New Roman"/>
          <w:sz w:val="28"/>
          <w:szCs w:val="28"/>
        </w:rPr>
        <w:t xml:space="preserve">и </w:t>
      </w:r>
      <w:r w:rsidR="003B50F4" w:rsidRPr="00A53AD7">
        <w:rPr>
          <w:rFonts w:ascii="Times New Roman" w:hAnsi="Times New Roman"/>
          <w:sz w:val="28"/>
          <w:szCs w:val="28"/>
        </w:rPr>
        <w:t xml:space="preserve">58 </w:t>
      </w:r>
      <w:r w:rsidRPr="00A53AD7">
        <w:rPr>
          <w:rFonts w:ascii="Times New Roman" w:hAnsi="Times New Roman"/>
          <w:sz w:val="28"/>
          <w:szCs w:val="28"/>
        </w:rPr>
        <w:t>представлены остатки средств в государственных и муниципальных учреждениях за отчетный период, согласно представленным отчетам по ф. 0503779 за 2019 год.</w:t>
      </w:r>
    </w:p>
    <w:p w14:paraId="50E931BF" w14:textId="38B6A625" w:rsidR="00B029F6" w:rsidRPr="00A53AD7" w:rsidRDefault="00BC3CCB" w:rsidP="00B029F6">
      <w:pPr>
        <w:keepNext/>
        <w:spacing w:after="0" w:line="240" w:lineRule="auto"/>
        <w:jc w:val="center"/>
      </w:pPr>
      <w:r w:rsidRPr="00A53AD7">
        <w:rPr>
          <w:noProof/>
          <w:lang w:eastAsia="ru-RU"/>
        </w:rPr>
        <w:drawing>
          <wp:inline distT="0" distB="0" distL="0" distR="0" wp14:anchorId="6AD66467" wp14:editId="500017EE">
            <wp:extent cx="5779770" cy="179832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9770" cy="1798320"/>
                    </a:xfrm>
                    <a:prstGeom prst="rect">
                      <a:avLst/>
                    </a:prstGeom>
                    <a:noFill/>
                  </pic:spPr>
                </pic:pic>
              </a:graphicData>
            </a:graphic>
          </wp:inline>
        </w:drawing>
      </w:r>
    </w:p>
    <w:p w14:paraId="1D265537" w14:textId="11BD51D7" w:rsidR="00B029F6" w:rsidRPr="00A53AD7" w:rsidRDefault="00B029F6" w:rsidP="000D56F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noProof/>
          <w:sz w:val="24"/>
          <w:szCs w:val="24"/>
        </w:rPr>
        <w:fldChar w:fldCharType="begin"/>
      </w:r>
      <w:r w:rsidRPr="00A53AD7">
        <w:rPr>
          <w:rFonts w:ascii="Times New Roman" w:hAnsi="Times New Roman"/>
          <w:b w:val="0"/>
          <w:noProof/>
          <w:sz w:val="24"/>
          <w:szCs w:val="24"/>
        </w:rPr>
        <w:instrText xml:space="preserve"> SEQ Рисунок \* ARABIC </w:instrText>
      </w:r>
      <w:r w:rsidRPr="00A53AD7">
        <w:rPr>
          <w:rFonts w:ascii="Times New Roman" w:hAnsi="Times New Roman"/>
          <w:b w:val="0"/>
          <w:noProof/>
          <w:sz w:val="24"/>
          <w:szCs w:val="24"/>
        </w:rPr>
        <w:fldChar w:fldCharType="separate"/>
      </w:r>
      <w:r w:rsidR="005351E5" w:rsidRPr="00A53AD7">
        <w:rPr>
          <w:rFonts w:ascii="Times New Roman" w:hAnsi="Times New Roman"/>
          <w:b w:val="0"/>
          <w:noProof/>
          <w:sz w:val="24"/>
          <w:szCs w:val="24"/>
        </w:rPr>
        <w:t>57</w:t>
      </w:r>
      <w:r w:rsidRPr="00A53AD7">
        <w:rPr>
          <w:rFonts w:ascii="Times New Roman" w:hAnsi="Times New Roman"/>
          <w:b w:val="0"/>
          <w:noProof/>
          <w:sz w:val="24"/>
          <w:szCs w:val="24"/>
        </w:rPr>
        <w:fldChar w:fldCharType="end"/>
      </w:r>
      <w:r w:rsidRPr="00A53AD7">
        <w:rPr>
          <w:rFonts w:ascii="Times New Roman" w:hAnsi="Times New Roman"/>
          <w:b w:val="0"/>
          <w:sz w:val="24"/>
          <w:szCs w:val="24"/>
        </w:rPr>
        <w:t xml:space="preserve">. Общая сумма остатков средств в государственных и муниципальных учреждениях (бюджетные и автономные) </w:t>
      </w:r>
      <w:r w:rsidR="00537B4B" w:rsidRPr="00A53AD7">
        <w:rPr>
          <w:rFonts w:ascii="Times New Roman" w:hAnsi="Times New Roman"/>
          <w:b w:val="0"/>
          <w:sz w:val="24"/>
          <w:szCs w:val="24"/>
        </w:rPr>
        <w:t>н</w:t>
      </w:r>
      <w:r w:rsidRPr="00A53AD7">
        <w:rPr>
          <w:rFonts w:ascii="Times New Roman" w:hAnsi="Times New Roman"/>
          <w:b w:val="0"/>
          <w:sz w:val="24"/>
          <w:szCs w:val="24"/>
        </w:rPr>
        <w:t xml:space="preserve">а </w:t>
      </w:r>
      <w:r w:rsidR="00537B4B" w:rsidRPr="00A53AD7">
        <w:rPr>
          <w:rFonts w:ascii="Times New Roman" w:hAnsi="Times New Roman"/>
          <w:b w:val="0"/>
          <w:sz w:val="24"/>
          <w:szCs w:val="24"/>
        </w:rPr>
        <w:t>31.12.2019</w:t>
      </w:r>
      <w:r w:rsidRPr="00A53AD7">
        <w:rPr>
          <w:rFonts w:ascii="Times New Roman" w:hAnsi="Times New Roman"/>
          <w:b w:val="0"/>
          <w:sz w:val="24"/>
          <w:szCs w:val="24"/>
        </w:rPr>
        <w:t xml:space="preserve"> год, согласно представленным отчетам по форме 0503779, млн.руб.</w:t>
      </w:r>
    </w:p>
    <w:p w14:paraId="629FD6E0"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29033C8C" w14:textId="7E751E6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отношению к остаткам в учреждениях на 01.07.2019, на 01.10.2019 наблюдается снижение на 927,7 млн.руб. и последующее на 609,1 </w:t>
      </w:r>
      <w:r w:rsidR="0092012D" w:rsidRPr="00A53AD7">
        <w:rPr>
          <w:rFonts w:ascii="Times New Roman" w:hAnsi="Times New Roman"/>
          <w:sz w:val="28"/>
          <w:szCs w:val="28"/>
        </w:rPr>
        <w:t>млн</w:t>
      </w:r>
      <w:r w:rsidRPr="00A53AD7">
        <w:rPr>
          <w:rFonts w:ascii="Times New Roman" w:hAnsi="Times New Roman"/>
          <w:sz w:val="28"/>
          <w:szCs w:val="28"/>
        </w:rPr>
        <w:t>.руб.</w:t>
      </w:r>
    </w:p>
    <w:p w14:paraId="7C369348"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54BD3BD9"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7D88B9D9" wp14:editId="014EBC10">
            <wp:extent cx="5676182" cy="1800423"/>
            <wp:effectExtent l="0" t="0" r="127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74849" cy="1800000"/>
                    </a:xfrm>
                    <a:prstGeom prst="rect">
                      <a:avLst/>
                    </a:prstGeom>
                    <a:noFill/>
                  </pic:spPr>
                </pic:pic>
              </a:graphicData>
            </a:graphic>
          </wp:inline>
        </w:drawing>
      </w:r>
    </w:p>
    <w:p w14:paraId="7AADD60F" w14:textId="0FA70C60" w:rsidR="00B029F6" w:rsidRPr="00A53AD7" w:rsidRDefault="00B029F6" w:rsidP="00636D4F">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58</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средств в государственных и муниципальных учреждениях (бюджетные и автономные) за 2019 год, согласно представленным отчетам по форме 0503779, млн.руб.</w:t>
      </w:r>
    </w:p>
    <w:p w14:paraId="79FA02AB" w14:textId="77777777" w:rsidR="00B029F6" w:rsidRPr="00A53AD7" w:rsidRDefault="00B029F6" w:rsidP="00B029F6">
      <w:pPr>
        <w:spacing w:after="0" w:line="240" w:lineRule="auto"/>
        <w:jc w:val="both"/>
        <w:rPr>
          <w:rFonts w:ascii="Times New Roman" w:hAnsi="Times New Roman"/>
          <w:sz w:val="16"/>
          <w:szCs w:val="16"/>
          <w:highlight w:val="cyan"/>
        </w:rPr>
      </w:pPr>
    </w:p>
    <w:p w14:paraId="074558D4"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Остатки денежных средств на счетах муниципальных учреждений на 01.01.2020 составили 576,6 млн.руб. и с начала года они увеличились на 229,6 млн.руб. или на 66,2 %, а в государственных учреждениях – 4 919,5 млн.руб., с ростом на 1 466,4 млн.руб. или на 42,5 %.</w:t>
      </w:r>
    </w:p>
    <w:p w14:paraId="0A6D767D"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наибольшие остатки сложились в учреждениях за счет средств субсидий, выделенных из бюджетов в общей сумме 3 217,7 млн.руб., что составляет 58,5 % от общей суммы остатков.</w:t>
      </w:r>
    </w:p>
    <w:p w14:paraId="2467591A" w14:textId="1B42C024" w:rsidR="00B029F6" w:rsidRPr="00A53AD7" w:rsidRDefault="00E0598A"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Указанные о</w:t>
      </w:r>
      <w:r w:rsidR="00B029F6" w:rsidRPr="00A53AD7">
        <w:rPr>
          <w:rFonts w:ascii="Times New Roman" w:hAnsi="Times New Roman"/>
          <w:sz w:val="28"/>
          <w:szCs w:val="28"/>
        </w:rPr>
        <w:t>статки за счет средств субсидий, выделенных из областного и местных бюджетов на 01.01.2020, без учета грантов, с учетом субсидий на капитальные вложения, с начала текущего года увеличились на 1 564,5 млн.руб. или на 96,4 %, из них в муниципальных учреждениях они составили 404,2 млн.руб. (увеличились на 205,8 млн.руб. или в 2 раза), в областных учреждениях – 2 813,5 (увеличились на 1 358,7 млн.руб. или на 93,4 %), из них наибольшие в учреждениях, подведомственных министерству здравоохранения Архангельской области – 1 637,3 млн.руб. (рост на 980,3 млн.руб. или в 2,5 раза) и в учреждениях, подведомственных министерству образования и науки Архангельской области – 264,7 млн.руб. (рост на 75,9 млн.руб. или на 40,2 %).</w:t>
      </w:r>
    </w:p>
    <w:p w14:paraId="2BD1FD0F" w14:textId="3069B6E2"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обозначенных выше сумм, остатки субсидий, выделенных на финансовое обеспечение выполнения государственного и муниципального задания на 01.01.2020 составили 782,9 млн.руб. или увеличились </w:t>
      </w:r>
      <w:r w:rsidR="000A1BDD" w:rsidRPr="00A53AD7">
        <w:rPr>
          <w:rFonts w:ascii="Times New Roman" w:hAnsi="Times New Roman"/>
          <w:sz w:val="28"/>
          <w:szCs w:val="28"/>
        </w:rPr>
        <w:t xml:space="preserve">на </w:t>
      </w:r>
      <w:r w:rsidRPr="00A53AD7">
        <w:rPr>
          <w:rFonts w:ascii="Times New Roman" w:hAnsi="Times New Roman"/>
          <w:sz w:val="28"/>
          <w:szCs w:val="28"/>
        </w:rPr>
        <w:t>31,0 % (+185,5 млн.руб.).</w:t>
      </w:r>
    </w:p>
    <w:p w14:paraId="31E5EE49" w14:textId="376ECF54"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рисунках </w:t>
      </w:r>
      <w:r w:rsidR="003B50F4" w:rsidRPr="00A53AD7">
        <w:rPr>
          <w:rFonts w:ascii="Times New Roman" w:hAnsi="Times New Roman"/>
          <w:sz w:val="28"/>
          <w:szCs w:val="28"/>
        </w:rPr>
        <w:t xml:space="preserve">59 </w:t>
      </w:r>
      <w:r w:rsidRPr="00A53AD7">
        <w:rPr>
          <w:rFonts w:ascii="Times New Roman" w:hAnsi="Times New Roman"/>
          <w:sz w:val="28"/>
          <w:szCs w:val="28"/>
        </w:rPr>
        <w:t xml:space="preserve">и </w:t>
      </w:r>
      <w:r w:rsidR="003B50F4" w:rsidRPr="00A53AD7">
        <w:rPr>
          <w:rFonts w:ascii="Times New Roman" w:hAnsi="Times New Roman"/>
          <w:sz w:val="28"/>
          <w:szCs w:val="28"/>
        </w:rPr>
        <w:t xml:space="preserve">60 </w:t>
      </w:r>
      <w:r w:rsidRPr="00A53AD7">
        <w:rPr>
          <w:rFonts w:ascii="Times New Roman" w:hAnsi="Times New Roman"/>
          <w:sz w:val="28"/>
          <w:szCs w:val="28"/>
        </w:rPr>
        <w:t>представлены сведения об остатках средств за счет субсидии на финансовое обеспечение выполнения государственного и муниципального задания в государственных и муниципальных учреждениях за отчетный период, согласно представленным отчетам по ф. 0503779.</w:t>
      </w:r>
    </w:p>
    <w:p w14:paraId="5CF32515"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76E28A2A" w14:textId="278B0986" w:rsidR="00B029F6" w:rsidRPr="00A53AD7" w:rsidRDefault="0092012D" w:rsidP="00B029F6">
      <w:pPr>
        <w:keepNext/>
        <w:spacing w:after="0" w:line="240" w:lineRule="auto"/>
        <w:jc w:val="center"/>
      </w:pPr>
      <w:r w:rsidRPr="00A53AD7">
        <w:rPr>
          <w:noProof/>
          <w:lang w:eastAsia="ru-RU"/>
        </w:rPr>
        <w:drawing>
          <wp:inline distT="0" distB="0" distL="0" distR="0" wp14:anchorId="320D4244" wp14:editId="06F7B5C6">
            <wp:extent cx="5742940" cy="179832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42940" cy="1798320"/>
                    </a:xfrm>
                    <a:prstGeom prst="rect">
                      <a:avLst/>
                    </a:prstGeom>
                    <a:noFill/>
                  </pic:spPr>
                </pic:pic>
              </a:graphicData>
            </a:graphic>
          </wp:inline>
        </w:drawing>
      </w:r>
    </w:p>
    <w:p w14:paraId="6BDB70E8" w14:textId="13DB4937" w:rsidR="00B029F6" w:rsidRPr="00A53AD7" w:rsidRDefault="00B029F6" w:rsidP="000A1BD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59</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остатков средств субсидии на финансовое обеспечение выполнения государственного и муниципального задания в государственных, муниципальных учреждениях, согласно отчетам по форме 0503779, млн.руб.</w:t>
      </w:r>
    </w:p>
    <w:p w14:paraId="5C8753AA"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4EA18370"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обозначено на указанном выше рисунке, в 1 полугодии, по состоянию на 01.07.2019, остатки средств увеличилось в 4,0 раза, на 01.10.2019 – снизились за квартал на 3,0 %, а за 4 квартал они снизились на 66,0 %.</w:t>
      </w:r>
    </w:p>
    <w:p w14:paraId="253C41FF"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55123A7F" wp14:editId="375AF2A1">
            <wp:extent cx="6029865" cy="1800423"/>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28450" cy="1800000"/>
                    </a:xfrm>
                    <a:prstGeom prst="rect">
                      <a:avLst/>
                    </a:prstGeom>
                    <a:noFill/>
                  </pic:spPr>
                </pic:pic>
              </a:graphicData>
            </a:graphic>
          </wp:inline>
        </w:drawing>
      </w:r>
    </w:p>
    <w:p w14:paraId="13BC931B" w14:textId="7E0E0978" w:rsidR="00B029F6" w:rsidRPr="00A53AD7" w:rsidRDefault="00B029F6" w:rsidP="00D159C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60</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средств субсидии на финансовое обеспечение выполнения государственного и муниципального задания в государственных, муниципальных учреждениях, согласно отчетам по форме 0503779, млн.руб.</w:t>
      </w:r>
    </w:p>
    <w:p w14:paraId="44642084" w14:textId="77777777" w:rsidR="00B029F6" w:rsidRPr="00A53AD7" w:rsidRDefault="00B029F6" w:rsidP="00B029F6">
      <w:pPr>
        <w:spacing w:after="0" w:line="240" w:lineRule="auto"/>
        <w:jc w:val="both"/>
        <w:rPr>
          <w:rFonts w:ascii="Times New Roman" w:hAnsi="Times New Roman"/>
          <w:sz w:val="16"/>
          <w:szCs w:val="16"/>
          <w:highlight w:val="cyan"/>
        </w:rPr>
      </w:pPr>
    </w:p>
    <w:p w14:paraId="50403A26" w14:textId="585C2DC0"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на конец отчетного периода, по отношению к началу года, остатки средств субсидии на финансовое обеспечение выполнения государственного и муниципального задания муниципальных учреждениях увеличились на 31,1 %, в государственных учреждениях – на 31,0 %.</w:t>
      </w:r>
    </w:p>
    <w:p w14:paraId="4B03A79C"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Удельный вес остатков денежных средств, выделенных на финансовое обеспечение выполнения государственных и муниципальных заданий на 01.01.2020 в общей сумме остатков за счет бюджетных средств в учреждениях составил 24,3 % или 782,9 млн.руб., из них в муниципальных учреждениях – 49,4 % на сумму 199,6 млн.руб., в областных учреждениях – 20,7 % на сумму 583,3 млн.руб.</w:t>
      </w:r>
    </w:p>
    <w:p w14:paraId="6641E369" w14:textId="7BFD0C01"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Остатки средств субсидий на иные цели на 01.01.2020 в учреждениях составили 2 389,5 млн.руб. (</w:t>
      </w:r>
      <w:r w:rsidR="0013197B" w:rsidRPr="00A53AD7">
        <w:rPr>
          <w:rFonts w:ascii="Times New Roman" w:hAnsi="Times New Roman"/>
          <w:sz w:val="28"/>
          <w:szCs w:val="28"/>
        </w:rPr>
        <w:t>при</w:t>
      </w:r>
      <w:r w:rsidRPr="00A53AD7">
        <w:rPr>
          <w:rFonts w:ascii="Times New Roman" w:hAnsi="Times New Roman"/>
          <w:sz w:val="28"/>
          <w:szCs w:val="28"/>
        </w:rPr>
        <w:t>рост за год на 1 339,6 млн.руб. или в 2,3 раза) и их удельный вес в сумме остатков за счет бюджетных средств составляет 74,3 %, в т.ч. в муниципальных учреждениях – 203,6 млн.руб. (рост на 163,3 млн.руб. или в 5,1 раза), в областных учреждениях – 2 185,9 млн.руб. (рост на 1 176,3 млн.руб. или в 2,2 раза).</w:t>
      </w:r>
    </w:p>
    <w:p w14:paraId="08BE27E3" w14:textId="2AB820A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рисунках </w:t>
      </w:r>
      <w:r w:rsidR="00DF46DB" w:rsidRPr="00A53AD7">
        <w:rPr>
          <w:rFonts w:ascii="Times New Roman" w:hAnsi="Times New Roman"/>
          <w:sz w:val="28"/>
          <w:szCs w:val="28"/>
        </w:rPr>
        <w:t xml:space="preserve">61 </w:t>
      </w:r>
      <w:r w:rsidRPr="00A53AD7">
        <w:rPr>
          <w:rFonts w:ascii="Times New Roman" w:hAnsi="Times New Roman"/>
          <w:sz w:val="28"/>
          <w:szCs w:val="28"/>
        </w:rPr>
        <w:t xml:space="preserve">и </w:t>
      </w:r>
      <w:r w:rsidR="00DF46DB" w:rsidRPr="00A53AD7">
        <w:rPr>
          <w:rFonts w:ascii="Times New Roman" w:hAnsi="Times New Roman"/>
          <w:sz w:val="28"/>
          <w:szCs w:val="28"/>
        </w:rPr>
        <w:t xml:space="preserve">62 </w:t>
      </w:r>
      <w:r w:rsidRPr="00A53AD7">
        <w:rPr>
          <w:rFonts w:ascii="Times New Roman" w:hAnsi="Times New Roman"/>
          <w:sz w:val="28"/>
          <w:szCs w:val="28"/>
        </w:rPr>
        <w:t>представлены сведения об остатках средств субсидии на иные цели в государственных и муниципальных учреждениях за отчетный период, согласно представленным отчетам по ф. 0503779.</w:t>
      </w:r>
    </w:p>
    <w:p w14:paraId="4365497B" w14:textId="575AED1B" w:rsidR="00B029F6" w:rsidRPr="00A53AD7" w:rsidRDefault="0092012D" w:rsidP="00B029F6">
      <w:pPr>
        <w:keepNext/>
        <w:spacing w:after="0" w:line="240" w:lineRule="auto"/>
        <w:jc w:val="center"/>
      </w:pPr>
      <w:r w:rsidRPr="00A53AD7">
        <w:rPr>
          <w:noProof/>
          <w:lang w:eastAsia="ru-RU"/>
        </w:rPr>
        <w:drawing>
          <wp:inline distT="0" distB="0" distL="0" distR="0" wp14:anchorId="4210BC4F" wp14:editId="78E2DE99">
            <wp:extent cx="5925820" cy="179832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25820" cy="1798320"/>
                    </a:xfrm>
                    <a:prstGeom prst="rect">
                      <a:avLst/>
                    </a:prstGeom>
                    <a:noFill/>
                  </pic:spPr>
                </pic:pic>
              </a:graphicData>
            </a:graphic>
          </wp:inline>
        </w:drawing>
      </w:r>
    </w:p>
    <w:p w14:paraId="1FC0D552" w14:textId="4EF682DD" w:rsidR="00B029F6" w:rsidRPr="00A53AD7" w:rsidRDefault="00B029F6" w:rsidP="0013197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61</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остатков средств субсидий на иные цели в государственных и муниципальных учреждениях согласно отчетам по форме 0503779, млн.руб.</w:t>
      </w:r>
    </w:p>
    <w:p w14:paraId="43C468E8" w14:textId="77777777" w:rsidR="00B029F6" w:rsidRPr="00A53AD7" w:rsidRDefault="00B029F6" w:rsidP="00B029F6">
      <w:pPr>
        <w:spacing w:after="0" w:line="240" w:lineRule="auto"/>
        <w:ind w:firstLine="851"/>
        <w:jc w:val="both"/>
        <w:rPr>
          <w:rFonts w:ascii="Times New Roman" w:hAnsi="Times New Roman"/>
          <w:sz w:val="16"/>
          <w:szCs w:val="16"/>
        </w:rPr>
      </w:pPr>
    </w:p>
    <w:p w14:paraId="60F95602"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0D3FABD6" wp14:editId="5EAFEF28">
            <wp:extent cx="6047117" cy="179429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66344" cy="1800000"/>
                    </a:xfrm>
                    <a:prstGeom prst="rect">
                      <a:avLst/>
                    </a:prstGeom>
                    <a:noFill/>
                  </pic:spPr>
                </pic:pic>
              </a:graphicData>
            </a:graphic>
          </wp:inline>
        </w:drawing>
      </w:r>
    </w:p>
    <w:p w14:paraId="586580BD" w14:textId="16D23047" w:rsidR="00B029F6" w:rsidRPr="00A53AD7" w:rsidRDefault="00B029F6" w:rsidP="004E1C0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62</w:t>
      </w:r>
      <w:r w:rsidRPr="00A53AD7">
        <w:rPr>
          <w:rFonts w:ascii="Times New Roman" w:hAnsi="Times New Roman"/>
          <w:b w:val="0"/>
          <w:sz w:val="24"/>
          <w:szCs w:val="24"/>
        </w:rPr>
        <w:fldChar w:fldCharType="end"/>
      </w:r>
      <w:r w:rsidRPr="00A53AD7">
        <w:rPr>
          <w:rFonts w:ascii="Times New Roman" w:hAnsi="Times New Roman"/>
          <w:b w:val="0"/>
          <w:sz w:val="24"/>
          <w:szCs w:val="24"/>
        </w:rPr>
        <w:t>. Остатки средств субсидий на иные цели в государственных и муниципальных учреждениях согласно отчетам по форме 0503779, млн.руб.</w:t>
      </w:r>
    </w:p>
    <w:p w14:paraId="4908AFB9" w14:textId="77777777" w:rsidR="00B029F6" w:rsidRPr="00A53AD7" w:rsidRDefault="00B029F6" w:rsidP="00B029F6">
      <w:pPr>
        <w:spacing w:after="0" w:line="240" w:lineRule="auto"/>
        <w:jc w:val="both"/>
        <w:rPr>
          <w:rFonts w:ascii="Times New Roman" w:hAnsi="Times New Roman"/>
          <w:sz w:val="16"/>
          <w:szCs w:val="16"/>
        </w:rPr>
      </w:pPr>
    </w:p>
    <w:p w14:paraId="4DBF083A" w14:textId="27610D1C" w:rsidR="00850C1C" w:rsidRPr="00A53AD7" w:rsidRDefault="00850C1C" w:rsidP="00850C1C">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рост остатков средств субсидий на иные цели в отчетном периоде наблюдается в областных государственных учреждениях, из них в учреждениях, подведомственных министерству здравоохранения, где рост составил 869,6 млн.руб. (в 3,7 раза), которые на 01.01.2020 составили 1 192,5 млн.руб., из них за счет средств федерального бюджета – 19,7 млн.руб., областного бюджета – 1 172,8 тыс.руб., из них наибольшие остатки (более 50,0 млн.руб.) по следующим мероприятиям, отраженным в таблице</w:t>
      </w:r>
      <w:r w:rsidR="00EB6325" w:rsidRPr="00A53AD7">
        <w:rPr>
          <w:rFonts w:ascii="Times New Roman" w:hAnsi="Times New Roman"/>
          <w:sz w:val="28"/>
          <w:szCs w:val="28"/>
        </w:rPr>
        <w:t xml:space="preserve"> 70</w:t>
      </w:r>
      <w:r w:rsidRPr="00A53AD7">
        <w:rPr>
          <w:rFonts w:ascii="Times New Roman" w:hAnsi="Times New Roman"/>
          <w:sz w:val="28"/>
          <w:szCs w:val="28"/>
        </w:rPr>
        <w:t>.</w:t>
      </w:r>
    </w:p>
    <w:p w14:paraId="34AB6B45" w14:textId="77777777" w:rsidR="00850C1C" w:rsidRPr="00A53AD7" w:rsidRDefault="00850C1C" w:rsidP="00850C1C">
      <w:pPr>
        <w:spacing w:after="0" w:line="240" w:lineRule="auto"/>
        <w:ind w:firstLine="851"/>
        <w:jc w:val="both"/>
        <w:rPr>
          <w:rFonts w:ascii="Times New Roman" w:hAnsi="Times New Roman"/>
          <w:sz w:val="16"/>
          <w:szCs w:val="16"/>
        </w:rPr>
      </w:pPr>
    </w:p>
    <w:p w14:paraId="5A7807AA" w14:textId="77777777" w:rsidR="00EB6325" w:rsidRPr="00A53AD7" w:rsidRDefault="00EB6325" w:rsidP="00850C1C">
      <w:pPr>
        <w:pStyle w:val="aff0"/>
        <w:spacing w:after="0" w:line="240" w:lineRule="auto"/>
        <w:rPr>
          <w:rFonts w:ascii="Times New Roman" w:hAnsi="Times New Roman"/>
          <w:b w:val="0"/>
          <w:sz w:val="24"/>
          <w:szCs w:val="24"/>
        </w:rPr>
      </w:pPr>
    </w:p>
    <w:p w14:paraId="49CAE63D" w14:textId="77777777" w:rsidR="00EB6325" w:rsidRPr="00A53AD7" w:rsidRDefault="00EB6325" w:rsidP="00850C1C">
      <w:pPr>
        <w:pStyle w:val="aff0"/>
        <w:spacing w:after="0" w:line="240" w:lineRule="auto"/>
        <w:rPr>
          <w:rFonts w:ascii="Times New Roman" w:hAnsi="Times New Roman"/>
          <w:b w:val="0"/>
          <w:sz w:val="24"/>
          <w:szCs w:val="24"/>
        </w:rPr>
      </w:pPr>
    </w:p>
    <w:p w14:paraId="07EF9811" w14:textId="77777777" w:rsidR="00EB6325" w:rsidRPr="00A53AD7" w:rsidRDefault="00EB6325" w:rsidP="00850C1C">
      <w:pPr>
        <w:pStyle w:val="aff0"/>
        <w:spacing w:after="0" w:line="240" w:lineRule="auto"/>
        <w:rPr>
          <w:rFonts w:ascii="Times New Roman" w:hAnsi="Times New Roman"/>
          <w:b w:val="0"/>
          <w:sz w:val="24"/>
          <w:szCs w:val="24"/>
        </w:rPr>
      </w:pPr>
    </w:p>
    <w:p w14:paraId="2F3EF382" w14:textId="77777777" w:rsidR="00850C1C" w:rsidRPr="00A53AD7" w:rsidRDefault="00850C1C" w:rsidP="00850C1C">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70</w:t>
      </w:r>
      <w:r w:rsidRPr="00A53AD7">
        <w:rPr>
          <w:rFonts w:ascii="Times New Roman" w:hAnsi="Times New Roman"/>
          <w:b w:val="0"/>
          <w:sz w:val="24"/>
          <w:szCs w:val="24"/>
        </w:rPr>
        <w:fldChar w:fldCharType="end"/>
      </w:r>
      <w:r w:rsidRPr="00A53AD7">
        <w:rPr>
          <w:rFonts w:ascii="Times New Roman" w:hAnsi="Times New Roman"/>
          <w:b w:val="0"/>
          <w:sz w:val="24"/>
          <w:szCs w:val="24"/>
        </w:rPr>
        <w:t>. Наибольшие суммы остатков средств субсидий на иные цели (более 50,0 млн.руб.) на 01.01.2020, выделенных учреждениям здравоохранения в 2019 году, в млн.руб.</w:t>
      </w:r>
    </w:p>
    <w:tbl>
      <w:tblPr>
        <w:tblW w:w="9237" w:type="dxa"/>
        <w:tblInd w:w="85" w:type="dxa"/>
        <w:tblLook w:val="04A0" w:firstRow="1" w:lastRow="0" w:firstColumn="1" w:lastColumn="0" w:noHBand="0" w:noVBand="1"/>
      </w:tblPr>
      <w:tblGrid>
        <w:gridCol w:w="3142"/>
        <w:gridCol w:w="1054"/>
        <w:gridCol w:w="985"/>
        <w:gridCol w:w="566"/>
        <w:gridCol w:w="973"/>
        <w:gridCol w:w="2517"/>
      </w:tblGrid>
      <w:tr w:rsidR="00D470B6" w:rsidRPr="00A53AD7" w14:paraId="2BD2F187" w14:textId="77777777" w:rsidTr="00C604E1">
        <w:trPr>
          <w:trHeight w:val="25"/>
          <w:tblHeader/>
        </w:trPr>
        <w:tc>
          <w:tcPr>
            <w:tcW w:w="3142"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1D1099F8"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Наименование мероприятия</w:t>
            </w:r>
          </w:p>
        </w:tc>
        <w:tc>
          <w:tcPr>
            <w:tcW w:w="1054" w:type="dxa"/>
            <w:tcBorders>
              <w:top w:val="double" w:sz="6" w:space="0" w:color="auto"/>
              <w:left w:val="nil"/>
              <w:bottom w:val="single" w:sz="4" w:space="0" w:color="auto"/>
              <w:right w:val="single" w:sz="4" w:space="0" w:color="auto"/>
            </w:tcBorders>
            <w:shd w:val="clear" w:color="auto" w:fill="auto"/>
            <w:vAlign w:val="center"/>
            <w:hideMark/>
          </w:tcPr>
          <w:p w14:paraId="20EF8D79"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Доходы</w:t>
            </w:r>
          </w:p>
        </w:tc>
        <w:tc>
          <w:tcPr>
            <w:tcW w:w="985" w:type="dxa"/>
            <w:tcBorders>
              <w:top w:val="double" w:sz="6" w:space="0" w:color="auto"/>
              <w:left w:val="nil"/>
              <w:bottom w:val="single" w:sz="4" w:space="0" w:color="auto"/>
              <w:right w:val="single" w:sz="4" w:space="0" w:color="auto"/>
            </w:tcBorders>
            <w:shd w:val="clear" w:color="auto" w:fill="auto"/>
            <w:vAlign w:val="center"/>
            <w:hideMark/>
          </w:tcPr>
          <w:p w14:paraId="21130E49"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Расходы</w:t>
            </w:r>
          </w:p>
        </w:tc>
        <w:tc>
          <w:tcPr>
            <w:tcW w:w="566" w:type="dxa"/>
            <w:tcBorders>
              <w:top w:val="double" w:sz="6" w:space="0" w:color="auto"/>
              <w:left w:val="nil"/>
              <w:bottom w:val="single" w:sz="4" w:space="0" w:color="auto"/>
              <w:right w:val="single" w:sz="4" w:space="0" w:color="auto"/>
            </w:tcBorders>
            <w:shd w:val="clear" w:color="auto" w:fill="auto"/>
            <w:vAlign w:val="center"/>
            <w:hideMark/>
          </w:tcPr>
          <w:p w14:paraId="7317CA40"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w:t>
            </w:r>
          </w:p>
        </w:tc>
        <w:tc>
          <w:tcPr>
            <w:tcW w:w="973" w:type="dxa"/>
            <w:tcBorders>
              <w:top w:val="double" w:sz="6" w:space="0" w:color="auto"/>
              <w:left w:val="nil"/>
              <w:bottom w:val="single" w:sz="4" w:space="0" w:color="auto"/>
              <w:right w:val="single" w:sz="4" w:space="0" w:color="auto"/>
            </w:tcBorders>
            <w:shd w:val="clear" w:color="auto" w:fill="auto"/>
            <w:vAlign w:val="center"/>
            <w:hideMark/>
          </w:tcPr>
          <w:p w14:paraId="72B7013E"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Остаток на 01.01.20</w:t>
            </w:r>
          </w:p>
        </w:tc>
        <w:tc>
          <w:tcPr>
            <w:tcW w:w="2517" w:type="dxa"/>
            <w:tcBorders>
              <w:top w:val="double" w:sz="6" w:space="0" w:color="auto"/>
              <w:left w:val="nil"/>
              <w:bottom w:val="single" w:sz="4" w:space="0" w:color="auto"/>
              <w:right w:val="double" w:sz="6" w:space="0" w:color="auto"/>
            </w:tcBorders>
            <w:shd w:val="clear" w:color="auto" w:fill="auto"/>
            <w:vAlign w:val="center"/>
            <w:hideMark/>
          </w:tcPr>
          <w:p w14:paraId="71B79B6F" w14:textId="77777777" w:rsidR="00850C1C" w:rsidRPr="00A53AD7" w:rsidRDefault="00850C1C" w:rsidP="00C604E1">
            <w:pPr>
              <w:spacing w:after="0" w:line="240" w:lineRule="auto"/>
              <w:jc w:val="center"/>
              <w:rPr>
                <w:rFonts w:ascii="Times New Roman" w:eastAsia="Times New Roman" w:hAnsi="Times New Roman"/>
                <w:b/>
                <w:bCs/>
                <w:sz w:val="18"/>
                <w:szCs w:val="18"/>
                <w:lang w:eastAsia="ru-RU"/>
              </w:rPr>
            </w:pPr>
            <w:r w:rsidRPr="00A53AD7">
              <w:rPr>
                <w:rFonts w:ascii="Times New Roman" w:eastAsia="Times New Roman" w:hAnsi="Times New Roman"/>
                <w:b/>
                <w:bCs/>
                <w:sz w:val="18"/>
                <w:szCs w:val="18"/>
                <w:lang w:eastAsia="ru-RU"/>
              </w:rPr>
              <w:t>Примечание</w:t>
            </w:r>
          </w:p>
        </w:tc>
      </w:tr>
      <w:tr w:rsidR="00D470B6" w:rsidRPr="00A53AD7" w14:paraId="685B66A2" w14:textId="77777777" w:rsidTr="00C604E1">
        <w:trPr>
          <w:trHeight w:val="60"/>
        </w:trPr>
        <w:tc>
          <w:tcPr>
            <w:tcW w:w="3142" w:type="dxa"/>
            <w:tcBorders>
              <w:top w:val="nil"/>
              <w:left w:val="double" w:sz="6" w:space="0" w:color="auto"/>
              <w:bottom w:val="single" w:sz="4" w:space="0" w:color="auto"/>
              <w:right w:val="single" w:sz="4" w:space="0" w:color="auto"/>
            </w:tcBorders>
            <w:shd w:val="clear" w:color="auto" w:fill="auto"/>
            <w:vAlign w:val="center"/>
            <w:hideMark/>
          </w:tcPr>
          <w:p w14:paraId="568899CA"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Привязка проекта, строительство объекта из модульных конструкций "Фельдшерско-акушерский пункт", в том числе услуги по доставке</w:t>
            </w:r>
          </w:p>
        </w:tc>
        <w:tc>
          <w:tcPr>
            <w:tcW w:w="1054" w:type="dxa"/>
            <w:tcBorders>
              <w:top w:val="nil"/>
              <w:left w:val="nil"/>
              <w:bottom w:val="single" w:sz="4" w:space="0" w:color="auto"/>
              <w:right w:val="single" w:sz="4" w:space="0" w:color="auto"/>
            </w:tcBorders>
            <w:shd w:val="clear" w:color="auto" w:fill="auto"/>
            <w:vAlign w:val="center"/>
            <w:hideMark/>
          </w:tcPr>
          <w:p w14:paraId="5180BABD"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78,3 </w:t>
            </w:r>
          </w:p>
        </w:tc>
        <w:tc>
          <w:tcPr>
            <w:tcW w:w="985" w:type="dxa"/>
            <w:tcBorders>
              <w:top w:val="nil"/>
              <w:left w:val="nil"/>
              <w:bottom w:val="single" w:sz="4" w:space="0" w:color="auto"/>
              <w:right w:val="single" w:sz="4" w:space="0" w:color="auto"/>
            </w:tcBorders>
            <w:shd w:val="clear" w:color="auto" w:fill="auto"/>
            <w:vAlign w:val="center"/>
            <w:hideMark/>
          </w:tcPr>
          <w:p w14:paraId="5288D520"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26,6 </w:t>
            </w:r>
          </w:p>
        </w:tc>
        <w:tc>
          <w:tcPr>
            <w:tcW w:w="566" w:type="dxa"/>
            <w:tcBorders>
              <w:top w:val="nil"/>
              <w:left w:val="nil"/>
              <w:bottom w:val="single" w:sz="4" w:space="0" w:color="auto"/>
              <w:right w:val="single" w:sz="4" w:space="0" w:color="auto"/>
            </w:tcBorders>
            <w:shd w:val="clear" w:color="auto" w:fill="auto"/>
            <w:vAlign w:val="center"/>
            <w:hideMark/>
          </w:tcPr>
          <w:p w14:paraId="66651F1D"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33,9 </w:t>
            </w:r>
          </w:p>
        </w:tc>
        <w:tc>
          <w:tcPr>
            <w:tcW w:w="973" w:type="dxa"/>
            <w:tcBorders>
              <w:top w:val="nil"/>
              <w:left w:val="nil"/>
              <w:bottom w:val="single" w:sz="4" w:space="0" w:color="auto"/>
              <w:right w:val="single" w:sz="4" w:space="0" w:color="auto"/>
            </w:tcBorders>
            <w:shd w:val="clear" w:color="auto" w:fill="auto"/>
            <w:vAlign w:val="center"/>
            <w:hideMark/>
          </w:tcPr>
          <w:p w14:paraId="50678A5A"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51,7 </w:t>
            </w:r>
          </w:p>
        </w:tc>
        <w:tc>
          <w:tcPr>
            <w:tcW w:w="2517" w:type="dxa"/>
            <w:tcBorders>
              <w:top w:val="nil"/>
              <w:left w:val="nil"/>
              <w:bottom w:val="single" w:sz="4" w:space="0" w:color="auto"/>
              <w:right w:val="double" w:sz="6" w:space="0" w:color="auto"/>
            </w:tcBorders>
            <w:shd w:val="clear" w:color="auto" w:fill="auto"/>
            <w:vAlign w:val="center"/>
            <w:hideMark/>
          </w:tcPr>
          <w:p w14:paraId="2F339156"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т.ч. наибольшие остатки в Виноградовской ЦРБ - 12,3 млн.руб.</w:t>
            </w:r>
          </w:p>
        </w:tc>
      </w:tr>
      <w:tr w:rsidR="00D470B6" w:rsidRPr="00A53AD7" w14:paraId="2913C7E2" w14:textId="77777777" w:rsidTr="00C604E1">
        <w:trPr>
          <w:trHeight w:val="60"/>
        </w:trPr>
        <w:tc>
          <w:tcPr>
            <w:tcW w:w="3142" w:type="dxa"/>
            <w:tcBorders>
              <w:top w:val="nil"/>
              <w:left w:val="double" w:sz="6" w:space="0" w:color="auto"/>
              <w:bottom w:val="single" w:sz="4" w:space="0" w:color="auto"/>
              <w:right w:val="single" w:sz="4" w:space="0" w:color="auto"/>
            </w:tcBorders>
            <w:shd w:val="clear" w:color="auto" w:fill="auto"/>
            <w:vAlign w:val="center"/>
            <w:hideMark/>
          </w:tcPr>
          <w:p w14:paraId="157D3F41"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Разработка проектно-сметной документации, текущий и капитальный ремонт зданий, сооружений, помещений, инженерных сетей, устройство технологического оборудования</w:t>
            </w:r>
          </w:p>
        </w:tc>
        <w:tc>
          <w:tcPr>
            <w:tcW w:w="1054" w:type="dxa"/>
            <w:tcBorders>
              <w:top w:val="nil"/>
              <w:left w:val="nil"/>
              <w:bottom w:val="single" w:sz="4" w:space="0" w:color="auto"/>
              <w:right w:val="single" w:sz="4" w:space="0" w:color="auto"/>
            </w:tcBorders>
            <w:shd w:val="clear" w:color="auto" w:fill="auto"/>
            <w:vAlign w:val="center"/>
            <w:hideMark/>
          </w:tcPr>
          <w:p w14:paraId="00F05165" w14:textId="381C7B1E" w:rsidR="00850C1C" w:rsidRPr="00A53AD7" w:rsidRDefault="00850C1C" w:rsidP="00763C2A">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230,0 </w:t>
            </w:r>
          </w:p>
        </w:tc>
        <w:tc>
          <w:tcPr>
            <w:tcW w:w="985" w:type="dxa"/>
            <w:tcBorders>
              <w:top w:val="nil"/>
              <w:left w:val="nil"/>
              <w:bottom w:val="single" w:sz="4" w:space="0" w:color="auto"/>
              <w:right w:val="single" w:sz="4" w:space="0" w:color="auto"/>
            </w:tcBorders>
            <w:shd w:val="clear" w:color="auto" w:fill="auto"/>
            <w:vAlign w:val="center"/>
            <w:hideMark/>
          </w:tcPr>
          <w:p w14:paraId="1E6F4CAF"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0,0 </w:t>
            </w:r>
          </w:p>
        </w:tc>
        <w:tc>
          <w:tcPr>
            <w:tcW w:w="566" w:type="dxa"/>
            <w:tcBorders>
              <w:top w:val="nil"/>
              <w:left w:val="nil"/>
              <w:bottom w:val="single" w:sz="4" w:space="0" w:color="auto"/>
              <w:right w:val="single" w:sz="4" w:space="0" w:color="auto"/>
            </w:tcBorders>
            <w:shd w:val="clear" w:color="auto" w:fill="auto"/>
            <w:vAlign w:val="center"/>
            <w:hideMark/>
          </w:tcPr>
          <w:p w14:paraId="2EDDA9DF"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0,0 </w:t>
            </w:r>
          </w:p>
        </w:tc>
        <w:tc>
          <w:tcPr>
            <w:tcW w:w="973" w:type="dxa"/>
            <w:tcBorders>
              <w:top w:val="nil"/>
              <w:left w:val="nil"/>
              <w:bottom w:val="single" w:sz="4" w:space="0" w:color="auto"/>
              <w:right w:val="single" w:sz="4" w:space="0" w:color="auto"/>
            </w:tcBorders>
            <w:shd w:val="clear" w:color="auto" w:fill="auto"/>
            <w:vAlign w:val="center"/>
            <w:hideMark/>
          </w:tcPr>
          <w:p w14:paraId="08CA9C41" w14:textId="0CDB2AAA" w:rsidR="00850C1C" w:rsidRPr="00A53AD7" w:rsidRDefault="00850C1C" w:rsidP="00763C2A">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230,0 </w:t>
            </w:r>
          </w:p>
        </w:tc>
        <w:tc>
          <w:tcPr>
            <w:tcW w:w="2517" w:type="dxa"/>
            <w:tcBorders>
              <w:top w:val="nil"/>
              <w:left w:val="nil"/>
              <w:bottom w:val="single" w:sz="4" w:space="0" w:color="auto"/>
              <w:right w:val="double" w:sz="6" w:space="0" w:color="auto"/>
            </w:tcBorders>
            <w:shd w:val="clear" w:color="auto" w:fill="auto"/>
            <w:vAlign w:val="center"/>
            <w:hideMark/>
          </w:tcPr>
          <w:p w14:paraId="5FD92957"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т.ч. остатки по 100,0 млн.руб. в Архангельской областной детской клинической больнице им. П.Г. Выжлецова и в первой городской клинической больнице им. Е.Е. Волосевич</w:t>
            </w:r>
          </w:p>
        </w:tc>
      </w:tr>
      <w:tr w:rsidR="00D470B6" w:rsidRPr="00A53AD7" w14:paraId="248BB321" w14:textId="77777777" w:rsidTr="00C604E1">
        <w:trPr>
          <w:trHeight w:val="60"/>
        </w:trPr>
        <w:tc>
          <w:tcPr>
            <w:tcW w:w="3142" w:type="dxa"/>
            <w:tcBorders>
              <w:top w:val="nil"/>
              <w:left w:val="double" w:sz="6" w:space="0" w:color="auto"/>
              <w:bottom w:val="single" w:sz="4" w:space="0" w:color="auto"/>
              <w:right w:val="single" w:sz="4" w:space="0" w:color="auto"/>
            </w:tcBorders>
            <w:shd w:val="clear" w:color="auto" w:fill="auto"/>
            <w:vAlign w:val="center"/>
            <w:hideMark/>
          </w:tcPr>
          <w:p w14:paraId="76E80004"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Приобретение медицинского оборудования, изделий медицинского назначения и мебели</w:t>
            </w:r>
          </w:p>
        </w:tc>
        <w:tc>
          <w:tcPr>
            <w:tcW w:w="1054" w:type="dxa"/>
            <w:tcBorders>
              <w:top w:val="nil"/>
              <w:left w:val="nil"/>
              <w:bottom w:val="single" w:sz="4" w:space="0" w:color="auto"/>
              <w:right w:val="single" w:sz="4" w:space="0" w:color="auto"/>
            </w:tcBorders>
            <w:shd w:val="clear" w:color="auto" w:fill="auto"/>
            <w:vAlign w:val="center"/>
            <w:hideMark/>
          </w:tcPr>
          <w:p w14:paraId="3D558E44"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67,9 </w:t>
            </w:r>
          </w:p>
        </w:tc>
        <w:tc>
          <w:tcPr>
            <w:tcW w:w="985" w:type="dxa"/>
            <w:tcBorders>
              <w:top w:val="nil"/>
              <w:left w:val="nil"/>
              <w:bottom w:val="single" w:sz="4" w:space="0" w:color="auto"/>
              <w:right w:val="single" w:sz="4" w:space="0" w:color="auto"/>
            </w:tcBorders>
            <w:shd w:val="clear" w:color="auto" w:fill="auto"/>
            <w:vAlign w:val="center"/>
            <w:hideMark/>
          </w:tcPr>
          <w:p w14:paraId="163FA770"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6,7 </w:t>
            </w:r>
          </w:p>
        </w:tc>
        <w:tc>
          <w:tcPr>
            <w:tcW w:w="566" w:type="dxa"/>
            <w:tcBorders>
              <w:top w:val="nil"/>
              <w:left w:val="nil"/>
              <w:bottom w:val="single" w:sz="4" w:space="0" w:color="auto"/>
              <w:right w:val="single" w:sz="4" w:space="0" w:color="auto"/>
            </w:tcBorders>
            <w:shd w:val="clear" w:color="auto" w:fill="auto"/>
            <w:vAlign w:val="center"/>
            <w:hideMark/>
          </w:tcPr>
          <w:p w14:paraId="23073A46"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9,8 </w:t>
            </w:r>
          </w:p>
        </w:tc>
        <w:tc>
          <w:tcPr>
            <w:tcW w:w="973" w:type="dxa"/>
            <w:tcBorders>
              <w:top w:val="nil"/>
              <w:left w:val="nil"/>
              <w:bottom w:val="single" w:sz="4" w:space="0" w:color="auto"/>
              <w:right w:val="single" w:sz="4" w:space="0" w:color="auto"/>
            </w:tcBorders>
            <w:shd w:val="clear" w:color="auto" w:fill="auto"/>
            <w:vAlign w:val="center"/>
            <w:hideMark/>
          </w:tcPr>
          <w:p w14:paraId="675346F3"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61,2 </w:t>
            </w:r>
          </w:p>
        </w:tc>
        <w:tc>
          <w:tcPr>
            <w:tcW w:w="2517" w:type="dxa"/>
            <w:tcBorders>
              <w:top w:val="nil"/>
              <w:left w:val="nil"/>
              <w:bottom w:val="single" w:sz="4" w:space="0" w:color="auto"/>
              <w:right w:val="double" w:sz="6" w:space="0" w:color="auto"/>
            </w:tcBorders>
            <w:shd w:val="clear" w:color="auto" w:fill="auto"/>
            <w:vAlign w:val="center"/>
            <w:hideMark/>
          </w:tcPr>
          <w:p w14:paraId="00D5C8F9"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т.ч. наибольшие остатки в первой городской клинической больнице им. Е.Е. Волосевич – 58,1 млн.руб.</w:t>
            </w:r>
          </w:p>
        </w:tc>
      </w:tr>
      <w:tr w:rsidR="00D470B6" w:rsidRPr="00A53AD7" w14:paraId="02CC27E0" w14:textId="77777777" w:rsidTr="00C604E1">
        <w:trPr>
          <w:trHeight w:val="60"/>
        </w:trPr>
        <w:tc>
          <w:tcPr>
            <w:tcW w:w="3142" w:type="dxa"/>
            <w:tcBorders>
              <w:top w:val="nil"/>
              <w:left w:val="double" w:sz="6" w:space="0" w:color="auto"/>
              <w:bottom w:val="single" w:sz="4" w:space="0" w:color="auto"/>
              <w:right w:val="single" w:sz="4" w:space="0" w:color="auto"/>
            </w:tcBorders>
            <w:shd w:val="clear" w:color="auto" w:fill="auto"/>
            <w:vAlign w:val="center"/>
            <w:hideMark/>
          </w:tcPr>
          <w:p w14:paraId="1E63B516"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Приобретение медицинского оборудования, в том числе наркозно-дыхательных аппаратов и мониторов пациента</w:t>
            </w:r>
          </w:p>
        </w:tc>
        <w:tc>
          <w:tcPr>
            <w:tcW w:w="1054" w:type="dxa"/>
            <w:tcBorders>
              <w:top w:val="nil"/>
              <w:left w:val="nil"/>
              <w:bottom w:val="single" w:sz="4" w:space="0" w:color="auto"/>
              <w:right w:val="single" w:sz="4" w:space="0" w:color="auto"/>
            </w:tcBorders>
            <w:shd w:val="clear" w:color="auto" w:fill="auto"/>
            <w:vAlign w:val="center"/>
            <w:hideMark/>
          </w:tcPr>
          <w:p w14:paraId="7226BF87"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87,7 </w:t>
            </w:r>
          </w:p>
        </w:tc>
        <w:tc>
          <w:tcPr>
            <w:tcW w:w="985" w:type="dxa"/>
            <w:tcBorders>
              <w:top w:val="nil"/>
              <w:left w:val="nil"/>
              <w:bottom w:val="single" w:sz="4" w:space="0" w:color="auto"/>
              <w:right w:val="single" w:sz="4" w:space="0" w:color="auto"/>
            </w:tcBorders>
            <w:shd w:val="clear" w:color="auto" w:fill="auto"/>
            <w:vAlign w:val="center"/>
            <w:hideMark/>
          </w:tcPr>
          <w:p w14:paraId="538E9EE2"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0,1 </w:t>
            </w:r>
          </w:p>
        </w:tc>
        <w:tc>
          <w:tcPr>
            <w:tcW w:w="566" w:type="dxa"/>
            <w:tcBorders>
              <w:top w:val="nil"/>
              <w:left w:val="nil"/>
              <w:bottom w:val="single" w:sz="4" w:space="0" w:color="auto"/>
              <w:right w:val="single" w:sz="4" w:space="0" w:color="auto"/>
            </w:tcBorders>
            <w:shd w:val="clear" w:color="auto" w:fill="auto"/>
            <w:vAlign w:val="center"/>
            <w:hideMark/>
          </w:tcPr>
          <w:p w14:paraId="21721780"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0,1 </w:t>
            </w:r>
          </w:p>
        </w:tc>
        <w:tc>
          <w:tcPr>
            <w:tcW w:w="973" w:type="dxa"/>
            <w:tcBorders>
              <w:top w:val="nil"/>
              <w:left w:val="nil"/>
              <w:bottom w:val="single" w:sz="4" w:space="0" w:color="auto"/>
              <w:right w:val="single" w:sz="4" w:space="0" w:color="auto"/>
            </w:tcBorders>
            <w:shd w:val="clear" w:color="auto" w:fill="auto"/>
            <w:vAlign w:val="center"/>
            <w:hideMark/>
          </w:tcPr>
          <w:p w14:paraId="30FC4359"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87,6 </w:t>
            </w:r>
          </w:p>
        </w:tc>
        <w:tc>
          <w:tcPr>
            <w:tcW w:w="2517" w:type="dxa"/>
            <w:tcBorders>
              <w:top w:val="nil"/>
              <w:left w:val="nil"/>
              <w:bottom w:val="single" w:sz="4" w:space="0" w:color="auto"/>
              <w:right w:val="double" w:sz="6" w:space="0" w:color="auto"/>
            </w:tcBorders>
            <w:shd w:val="clear" w:color="auto" w:fill="auto"/>
            <w:vAlign w:val="center"/>
            <w:hideMark/>
          </w:tcPr>
          <w:p w14:paraId="58B06980"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т.ч. наибольшие остатки в первой городской клинической больнице им. Е.Е. Волосевич - 12,9 млн.руб.</w:t>
            </w:r>
          </w:p>
        </w:tc>
      </w:tr>
      <w:tr w:rsidR="00850C1C" w:rsidRPr="00A53AD7" w14:paraId="43388CCF" w14:textId="77777777" w:rsidTr="00C604E1">
        <w:trPr>
          <w:trHeight w:val="60"/>
        </w:trPr>
        <w:tc>
          <w:tcPr>
            <w:tcW w:w="3142" w:type="dxa"/>
            <w:tcBorders>
              <w:top w:val="nil"/>
              <w:left w:val="double" w:sz="6" w:space="0" w:color="auto"/>
              <w:bottom w:val="double" w:sz="6" w:space="0" w:color="auto"/>
              <w:right w:val="single" w:sz="4" w:space="0" w:color="auto"/>
            </w:tcBorders>
            <w:shd w:val="clear" w:color="auto" w:fill="auto"/>
            <w:vAlign w:val="center"/>
            <w:hideMark/>
          </w:tcPr>
          <w:p w14:paraId="6D225DB7"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Приобретение медицинской мебели медицинского оборудования, в том числе рентгеновского аппарата на 3 рабочих места</w:t>
            </w:r>
          </w:p>
        </w:tc>
        <w:tc>
          <w:tcPr>
            <w:tcW w:w="1054" w:type="dxa"/>
            <w:tcBorders>
              <w:top w:val="nil"/>
              <w:left w:val="nil"/>
              <w:bottom w:val="double" w:sz="6" w:space="0" w:color="auto"/>
              <w:right w:val="single" w:sz="4" w:space="0" w:color="auto"/>
            </w:tcBorders>
            <w:shd w:val="clear" w:color="auto" w:fill="auto"/>
            <w:vAlign w:val="center"/>
            <w:hideMark/>
          </w:tcPr>
          <w:p w14:paraId="5A722F2A"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144,0 </w:t>
            </w:r>
          </w:p>
        </w:tc>
        <w:tc>
          <w:tcPr>
            <w:tcW w:w="985" w:type="dxa"/>
            <w:tcBorders>
              <w:top w:val="nil"/>
              <w:left w:val="nil"/>
              <w:bottom w:val="double" w:sz="6" w:space="0" w:color="auto"/>
              <w:right w:val="single" w:sz="4" w:space="0" w:color="auto"/>
            </w:tcBorders>
            <w:shd w:val="clear" w:color="auto" w:fill="auto"/>
            <w:vAlign w:val="center"/>
            <w:hideMark/>
          </w:tcPr>
          <w:p w14:paraId="69884E93"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0,0 </w:t>
            </w:r>
          </w:p>
        </w:tc>
        <w:tc>
          <w:tcPr>
            <w:tcW w:w="566" w:type="dxa"/>
            <w:tcBorders>
              <w:top w:val="nil"/>
              <w:left w:val="nil"/>
              <w:bottom w:val="double" w:sz="6" w:space="0" w:color="auto"/>
              <w:right w:val="single" w:sz="4" w:space="0" w:color="auto"/>
            </w:tcBorders>
            <w:shd w:val="clear" w:color="auto" w:fill="auto"/>
            <w:vAlign w:val="center"/>
            <w:hideMark/>
          </w:tcPr>
          <w:p w14:paraId="2D3B41F5"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0,0 </w:t>
            </w:r>
          </w:p>
        </w:tc>
        <w:tc>
          <w:tcPr>
            <w:tcW w:w="973" w:type="dxa"/>
            <w:tcBorders>
              <w:top w:val="nil"/>
              <w:left w:val="nil"/>
              <w:bottom w:val="double" w:sz="6" w:space="0" w:color="auto"/>
              <w:right w:val="single" w:sz="4" w:space="0" w:color="auto"/>
            </w:tcBorders>
            <w:shd w:val="clear" w:color="auto" w:fill="auto"/>
            <w:vAlign w:val="center"/>
            <w:hideMark/>
          </w:tcPr>
          <w:p w14:paraId="555E24B3" w14:textId="77777777" w:rsidR="00850C1C" w:rsidRPr="00A53AD7" w:rsidRDefault="00850C1C" w:rsidP="00C604E1">
            <w:pPr>
              <w:spacing w:after="0" w:line="240" w:lineRule="auto"/>
              <w:jc w:val="right"/>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 xml:space="preserve">144,0 </w:t>
            </w:r>
          </w:p>
        </w:tc>
        <w:tc>
          <w:tcPr>
            <w:tcW w:w="2517" w:type="dxa"/>
            <w:tcBorders>
              <w:top w:val="nil"/>
              <w:left w:val="nil"/>
              <w:bottom w:val="double" w:sz="6" w:space="0" w:color="auto"/>
              <w:right w:val="double" w:sz="6" w:space="0" w:color="auto"/>
            </w:tcBorders>
            <w:shd w:val="clear" w:color="auto" w:fill="auto"/>
            <w:vAlign w:val="center"/>
            <w:hideMark/>
          </w:tcPr>
          <w:p w14:paraId="17B2D8EC" w14:textId="77777777" w:rsidR="00850C1C" w:rsidRPr="00A53AD7" w:rsidRDefault="00850C1C" w:rsidP="00C604E1">
            <w:pPr>
              <w:spacing w:after="0" w:line="240" w:lineRule="auto"/>
              <w:rPr>
                <w:rFonts w:ascii="Times New Roman" w:eastAsia="Times New Roman" w:hAnsi="Times New Roman"/>
                <w:sz w:val="18"/>
                <w:szCs w:val="18"/>
                <w:lang w:eastAsia="ru-RU"/>
              </w:rPr>
            </w:pPr>
            <w:r w:rsidRPr="00A53AD7">
              <w:rPr>
                <w:rFonts w:ascii="Times New Roman" w:eastAsia="Times New Roman" w:hAnsi="Times New Roman"/>
                <w:sz w:val="18"/>
                <w:szCs w:val="18"/>
                <w:lang w:eastAsia="ru-RU"/>
              </w:rPr>
              <w:t>в т.ч. по 24,0 млн.руб. остатки в 6 учреждениях</w:t>
            </w:r>
          </w:p>
        </w:tc>
      </w:tr>
    </w:tbl>
    <w:p w14:paraId="6B7EA814" w14:textId="77777777" w:rsidR="00850C1C" w:rsidRPr="00A53AD7" w:rsidRDefault="00850C1C" w:rsidP="00850C1C">
      <w:pPr>
        <w:spacing w:after="0" w:line="240" w:lineRule="auto"/>
        <w:ind w:firstLine="851"/>
        <w:jc w:val="both"/>
        <w:rPr>
          <w:rFonts w:ascii="Times New Roman" w:eastAsia="Times New Roman" w:hAnsi="Times New Roman"/>
          <w:sz w:val="16"/>
          <w:szCs w:val="16"/>
          <w:lang w:eastAsia="ru-RU"/>
        </w:rPr>
      </w:pPr>
    </w:p>
    <w:p w14:paraId="7BBED84D" w14:textId="390AFDD3" w:rsidR="00485672" w:rsidRPr="00A53AD7" w:rsidRDefault="00485672" w:rsidP="00485672">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Основной причиной образования остатков в медицинских организациях является позднее финансирование (в декабре 2019 года) и сроки осуществления </w:t>
      </w:r>
      <w:r w:rsidR="008F0EA1" w:rsidRPr="00A53AD7">
        <w:rPr>
          <w:rFonts w:ascii="Times New Roman" w:eastAsia="Times New Roman" w:hAnsi="Times New Roman"/>
          <w:sz w:val="28"/>
          <w:szCs w:val="28"/>
          <w:lang w:eastAsia="ru-RU"/>
        </w:rPr>
        <w:t>конкурентных</w:t>
      </w:r>
      <w:r w:rsidRPr="00A53AD7">
        <w:rPr>
          <w:rFonts w:ascii="Times New Roman" w:eastAsia="Times New Roman" w:hAnsi="Times New Roman"/>
          <w:sz w:val="28"/>
          <w:szCs w:val="28"/>
          <w:lang w:eastAsia="ru-RU"/>
        </w:rPr>
        <w:t xml:space="preserve"> процедур.</w:t>
      </w:r>
    </w:p>
    <w:p w14:paraId="2DC8ACB8" w14:textId="77777777" w:rsidR="00850C1C" w:rsidRPr="00A53AD7" w:rsidRDefault="00850C1C" w:rsidP="00850C1C">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Остатки средств субсидий на цели осуществления капитальных вложений в учреждениях на 01.01.2020 составили 45,3 млн.руб. (выросли на 39,5 млн.руб.), в т.ч. в муниципальных учреждениях – 1,0 млн.руб. (снизились на 4,8 млн.руб.), в областных – 44,3 млн.руб. (на начало года отсутствовали), из них в учреждении министерства связи и информационных технологий – 39,5 млн.руб., которые выделены 20.12.2019 на приобретение помещения по созданию «флагманского» отделения на базе отделения МФЦ, расположенного по адресу: г. Архангельск, ул. Воскресенская, д. 12.</w:t>
      </w:r>
    </w:p>
    <w:p w14:paraId="4D31E79E" w14:textId="77777777" w:rsidR="00B029F6" w:rsidRPr="00A53AD7" w:rsidRDefault="00B029F6" w:rsidP="00B029F6">
      <w:pPr>
        <w:spacing w:after="0" w:line="240" w:lineRule="auto"/>
        <w:ind w:firstLine="851"/>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Остатки за счет собственных доходов и средств ОМС в учреждениях составили в общей сумме 2 278,4 тыс.руб. и по отношению к 01.01.2019 они увеличились на 131,5 млн.руб., из них в муниципальных учреждениях – 172,4 тыс.руб. (+23,8 млн.руб.), в государственных – 2 106,0 млн.руб. (+107,7 млн.руб.), в т.ч. за счет средств ОМС (только учреждения здравоохранения) – 1 690,4 млн.руб. (+128,4 млн.руб. или на 8,2 %).</w:t>
      </w:r>
    </w:p>
    <w:p w14:paraId="0E8F7E9B" w14:textId="77777777" w:rsidR="00B029F6" w:rsidRPr="00A53AD7" w:rsidRDefault="00B029F6" w:rsidP="00B029F6">
      <w:pPr>
        <w:spacing w:after="0" w:line="240" w:lineRule="auto"/>
        <w:ind w:firstLine="851"/>
        <w:jc w:val="both"/>
        <w:rPr>
          <w:rFonts w:ascii="Times New Roman" w:hAnsi="Times New Roman"/>
          <w:sz w:val="16"/>
          <w:szCs w:val="16"/>
        </w:rPr>
      </w:pPr>
    </w:p>
    <w:p w14:paraId="31F8AA7F"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отчетам по форме 0503737, планы финансово-хозяйственной деятельности учреждениями по доходам за 2019 год исполнены на сумму 71 863,4 млн.руб. или 99,4 % к плановым показателям года, из них муниципальными учреждениями – 29 469,7 млн.руб. (99,2 %), областными учреждениями – 42 393,7 млн.руб. (99,5 %).</w:t>
      </w:r>
    </w:p>
    <w:p w14:paraId="2BB187BB" w14:textId="3316736F"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Структура поступивших доходов государственных и муниципальных учреждений за 2019 год, а также их удельный вес в общей сумме доходов учреждений представлена на рисунках </w:t>
      </w:r>
      <w:r w:rsidR="00EB6325" w:rsidRPr="00A53AD7">
        <w:rPr>
          <w:rFonts w:ascii="Times New Roman" w:hAnsi="Times New Roman"/>
          <w:sz w:val="28"/>
          <w:szCs w:val="28"/>
        </w:rPr>
        <w:t xml:space="preserve">63 </w:t>
      </w:r>
      <w:r w:rsidRPr="00A53AD7">
        <w:rPr>
          <w:rFonts w:ascii="Times New Roman" w:hAnsi="Times New Roman"/>
          <w:sz w:val="28"/>
          <w:szCs w:val="28"/>
        </w:rPr>
        <w:t xml:space="preserve">и </w:t>
      </w:r>
      <w:r w:rsidR="00EB6325" w:rsidRPr="00A53AD7">
        <w:rPr>
          <w:rFonts w:ascii="Times New Roman" w:hAnsi="Times New Roman"/>
          <w:sz w:val="28"/>
          <w:szCs w:val="28"/>
        </w:rPr>
        <w:t>64</w:t>
      </w:r>
      <w:r w:rsidRPr="00A53AD7">
        <w:rPr>
          <w:rFonts w:ascii="Times New Roman" w:hAnsi="Times New Roman"/>
          <w:sz w:val="28"/>
          <w:szCs w:val="28"/>
        </w:rPr>
        <w:t>.</w:t>
      </w:r>
    </w:p>
    <w:p w14:paraId="54B0D03F"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1E76B723" wp14:editId="4B5C78E1">
            <wp:extent cx="4071668" cy="2139351"/>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078079" cy="2142719"/>
                    </a:xfrm>
                    <a:prstGeom prst="rect">
                      <a:avLst/>
                    </a:prstGeom>
                    <a:noFill/>
                  </pic:spPr>
                </pic:pic>
              </a:graphicData>
            </a:graphic>
          </wp:inline>
        </w:drawing>
      </w:r>
    </w:p>
    <w:p w14:paraId="1E31ED63" w14:textId="77777777" w:rsidR="00B029F6" w:rsidRPr="00A53AD7" w:rsidRDefault="00B029F6" w:rsidP="00273CC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63</w:t>
      </w:r>
      <w:r w:rsidRPr="00A53AD7">
        <w:rPr>
          <w:rFonts w:ascii="Times New Roman" w:hAnsi="Times New Roman"/>
          <w:b w:val="0"/>
          <w:sz w:val="24"/>
          <w:szCs w:val="24"/>
        </w:rPr>
        <w:fldChar w:fldCharType="end"/>
      </w:r>
      <w:r w:rsidRPr="00A53AD7">
        <w:rPr>
          <w:rFonts w:ascii="Times New Roman" w:hAnsi="Times New Roman"/>
          <w:b w:val="0"/>
          <w:sz w:val="24"/>
          <w:szCs w:val="24"/>
        </w:rPr>
        <w:t>. Структура доходов государственных и муниципальных бюджетных, а также автономных учреждений за 2019 год и их удельный вес в общей сумме доходов (в %), согласно отчетам по форме 0503737.</w:t>
      </w:r>
    </w:p>
    <w:p w14:paraId="7C6CA309"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6EB799AF"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35962E4C" wp14:editId="5D7AFC4A">
            <wp:extent cx="4804913" cy="204446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07060" cy="2045375"/>
                    </a:xfrm>
                    <a:prstGeom prst="rect">
                      <a:avLst/>
                    </a:prstGeom>
                    <a:noFill/>
                  </pic:spPr>
                </pic:pic>
              </a:graphicData>
            </a:graphic>
          </wp:inline>
        </w:drawing>
      </w:r>
    </w:p>
    <w:p w14:paraId="148FD3E0" w14:textId="77777777" w:rsidR="00B029F6" w:rsidRPr="00A53AD7" w:rsidRDefault="00B029F6" w:rsidP="00273CC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64</w:t>
      </w:r>
      <w:r w:rsidRPr="00A53AD7">
        <w:rPr>
          <w:rFonts w:ascii="Times New Roman" w:hAnsi="Times New Roman"/>
          <w:b w:val="0"/>
          <w:sz w:val="24"/>
          <w:szCs w:val="24"/>
        </w:rPr>
        <w:fldChar w:fldCharType="end"/>
      </w:r>
      <w:r w:rsidRPr="00A53AD7">
        <w:rPr>
          <w:rFonts w:ascii="Times New Roman" w:hAnsi="Times New Roman"/>
          <w:b w:val="0"/>
          <w:sz w:val="24"/>
          <w:szCs w:val="24"/>
        </w:rPr>
        <w:t>. Доходы государственных, муниципальных бюджетных и автономных учреждений за 2019 год, согласно отчетам по форме 0503737, млн.руб.</w:t>
      </w:r>
    </w:p>
    <w:p w14:paraId="6CBFF13E" w14:textId="77777777" w:rsidR="00B029F6" w:rsidRPr="00A53AD7" w:rsidRDefault="00B029F6" w:rsidP="00B029F6">
      <w:pPr>
        <w:spacing w:after="0" w:line="240" w:lineRule="auto"/>
        <w:jc w:val="both"/>
        <w:rPr>
          <w:rFonts w:ascii="Times New Roman" w:hAnsi="Times New Roman"/>
          <w:sz w:val="16"/>
          <w:szCs w:val="16"/>
          <w:highlight w:val="cyan"/>
        </w:rPr>
      </w:pPr>
    </w:p>
    <w:p w14:paraId="1A96D28F" w14:textId="253635F1" w:rsidR="00B029F6" w:rsidRPr="00A53AD7" w:rsidRDefault="00320BC1"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w:t>
      </w:r>
      <w:r w:rsidR="00B029F6" w:rsidRPr="00A53AD7">
        <w:rPr>
          <w:rFonts w:ascii="Times New Roman" w:hAnsi="Times New Roman"/>
          <w:sz w:val="28"/>
          <w:szCs w:val="28"/>
        </w:rPr>
        <w:t>сновную долю доходов учреждений за отчетный период составляют субсидии на финансовое обеспечение выполнения государственного и муниципального задания, что составило 51,9 % в общей сумме доходов, а также в государственных учреждениях здравоохранения за счет средств обязательного медицинского страхования или 27,4 % в общей сумме доходов всех государственных и муниципальных учреждений.</w:t>
      </w:r>
    </w:p>
    <w:p w14:paraId="27187551"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средств обязательного медицинского страхования доходы государственных учреждений здравоохранения на 01.01.2020 составили в общей сумме 19 675,9 млн.руб., (99,1 % к плану года) и их удельный вес в общей сумме доходов всех областных государственных учреждений составляет 46,4 %, в т.ч. в учреждениях подведомственных министерству здравоохранения Архангельской области – 70,0 %.</w:t>
      </w:r>
    </w:p>
    <w:p w14:paraId="70597532"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Собственные доходы учреждений за 2019 год составили 6 284,0 млн.руб. или 97,5 % к плану года, из них в муниципальных учреждениях – 2 667,8 млн.руб. (97,0 %), в областных государственных учреждениях – 3 616,2 млн.руб. (98,0 %), из которых наибольшие получены учреждениями, подведомственные министерству здравоохранения Архангельской области – 1 848,3 млн.руб. (95,9 % к плану года).</w:t>
      </w:r>
    </w:p>
    <w:p w14:paraId="32F1F80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отчетам по ф. 0503737 полученное финансирование учреждениями из областного и местных бюджетов за 2019 год (без учета грантов) составило в общей сумме 45 903,5 млн.руб. или 99,8 % к плановым показателям года, из них:</w:t>
      </w:r>
    </w:p>
    <w:p w14:paraId="07C4D793" w14:textId="77777777" w:rsidR="00B029F6" w:rsidRPr="00A53AD7" w:rsidRDefault="00B029F6" w:rsidP="00135937">
      <w:pPr>
        <w:pStyle w:val="a0"/>
      </w:pPr>
      <w:r w:rsidRPr="00A53AD7">
        <w:t>субсидии на финансовое обеспечение выполнения государственного и муниципального задания – 37 326,7 млн.руб. (исполнено на 100,0 %), при этом в учреждениях министерства образования и науки Архангельской области – на 101,0 %, что свидетельствует о несвоевременном внесении изменений в соглашения о выделении указанного вида субсидий, либо об отсутствии должного контроля со стороны данного учредителя за принятием отчетности от подведомственных учреждений;</w:t>
      </w:r>
    </w:p>
    <w:p w14:paraId="258ECA44" w14:textId="71BA4C89" w:rsidR="00B029F6" w:rsidRPr="00A53AD7" w:rsidRDefault="00B029F6" w:rsidP="00135937">
      <w:pPr>
        <w:pStyle w:val="a0"/>
      </w:pPr>
      <w:r w:rsidRPr="00A53AD7">
        <w:t>субсидии на иные цели – 8 </w:t>
      </w:r>
      <w:r w:rsidR="0055731B" w:rsidRPr="00A53AD7">
        <w:t>46</w:t>
      </w:r>
      <w:r w:rsidRPr="00A53AD7">
        <w:t>2,9 млн.руб. (исполнено на 99,0 %);</w:t>
      </w:r>
    </w:p>
    <w:p w14:paraId="71F25E74" w14:textId="77777777" w:rsidR="00B029F6" w:rsidRPr="00A53AD7" w:rsidRDefault="00B029F6" w:rsidP="00135937">
      <w:pPr>
        <w:pStyle w:val="a0"/>
      </w:pPr>
      <w:r w:rsidRPr="00A53AD7">
        <w:t>субсидии на капитальные вложения – 113,9 млн.руб. (исполнено на 92,0 %), из них в учреждения МО «Котлас» - 28,8 % к плану года (4,0 млн.руб., при плане – 13,9 млн.руб.).</w:t>
      </w:r>
    </w:p>
    <w:p w14:paraId="7A1E7A7A"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7E4DA1B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учреждений за 2019 год по отчетам ф. 0503737 составили в общей сумме 70 063,3 млн.руб. или выполнены на 93,5 % к планам финансово-хозяйственной деятельности на год, из них муниципальными учреждениями – 29 234,6 млн.руб. (97,5 %), областными учреждениями – 40 828,7 млн.руб. (90,9 %).</w:t>
      </w:r>
    </w:p>
    <w:p w14:paraId="0341CC04" w14:textId="409F73BD"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EB6325" w:rsidRPr="00A53AD7">
        <w:rPr>
          <w:rFonts w:ascii="Times New Roman" w:hAnsi="Times New Roman"/>
          <w:sz w:val="28"/>
          <w:szCs w:val="28"/>
        </w:rPr>
        <w:t>65</w:t>
      </w:r>
      <w:r w:rsidRPr="00A53AD7">
        <w:rPr>
          <w:rFonts w:ascii="Times New Roman" w:hAnsi="Times New Roman"/>
          <w:sz w:val="28"/>
          <w:szCs w:val="28"/>
        </w:rPr>
        <w:t xml:space="preserve"> представлены показатели исполнения планов финансов-хозяйственной деятельности государственных и муниципальных учреждений за отчетный период к плановым годовым назначениям.</w:t>
      </w:r>
    </w:p>
    <w:p w14:paraId="0E3C638A" w14:textId="77777777" w:rsidR="00B029F6" w:rsidRPr="00A53AD7" w:rsidRDefault="00B029F6" w:rsidP="00B029F6">
      <w:pPr>
        <w:spacing w:after="0" w:line="240" w:lineRule="auto"/>
        <w:ind w:firstLine="851"/>
        <w:jc w:val="both"/>
        <w:rPr>
          <w:rFonts w:ascii="Times New Roman" w:hAnsi="Times New Roman"/>
          <w:sz w:val="16"/>
          <w:szCs w:val="16"/>
        </w:rPr>
      </w:pPr>
    </w:p>
    <w:p w14:paraId="3DC34D72"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522D8530" wp14:editId="375B6844">
            <wp:extent cx="5822830" cy="1981081"/>
            <wp:effectExtent l="0" t="0" r="6985"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19654" cy="1980000"/>
                    </a:xfrm>
                    <a:prstGeom prst="rect">
                      <a:avLst/>
                    </a:prstGeom>
                    <a:noFill/>
                  </pic:spPr>
                </pic:pic>
              </a:graphicData>
            </a:graphic>
          </wp:inline>
        </w:drawing>
      </w:r>
    </w:p>
    <w:p w14:paraId="087EF49F" w14:textId="44E800D9" w:rsidR="00B029F6" w:rsidRPr="00A53AD7" w:rsidRDefault="00B029F6" w:rsidP="003A38B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65</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Расходы государственных, муниципальных бюджетных учреждений, по видам финансового обеспечения, отраженные в отчетах за 2019 год, по форме 0503737, в млн.руб. и </w:t>
      </w:r>
      <w:r w:rsidR="003A38BA" w:rsidRPr="00A53AD7">
        <w:rPr>
          <w:rFonts w:ascii="Times New Roman" w:hAnsi="Times New Roman"/>
          <w:b w:val="0"/>
          <w:sz w:val="24"/>
          <w:szCs w:val="24"/>
        </w:rPr>
        <w:t>процент выполнения к плану года</w:t>
      </w:r>
    </w:p>
    <w:p w14:paraId="097B21F3" w14:textId="77777777" w:rsidR="00B029F6" w:rsidRPr="00A53AD7" w:rsidRDefault="00B029F6" w:rsidP="00B029F6">
      <w:pPr>
        <w:spacing w:after="0" w:line="240" w:lineRule="auto"/>
        <w:jc w:val="both"/>
        <w:rPr>
          <w:rFonts w:ascii="Times New Roman" w:hAnsi="Times New Roman"/>
          <w:sz w:val="16"/>
          <w:szCs w:val="16"/>
        </w:rPr>
      </w:pPr>
    </w:p>
    <w:p w14:paraId="53D224DE"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2019 год расходы учреждений за счет всех видов финансового обеспечения произведены на уровне 92,6 % к полученным доходам, с учетом наличия неиспользованного остатка на начало 2019 года, что повлияло на увеличение неиспользованного остатка средств к 01.01.2020, в т.ч. муниципальными учреждениями – 98,0 %, областными учреждениями – 89,1 %.</w:t>
      </w:r>
    </w:p>
    <w:p w14:paraId="3FDD3E54" w14:textId="4481834E"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рисунке </w:t>
      </w:r>
      <w:r w:rsidR="00EB6325" w:rsidRPr="00A53AD7">
        <w:rPr>
          <w:rFonts w:ascii="Times New Roman" w:hAnsi="Times New Roman"/>
          <w:sz w:val="28"/>
          <w:szCs w:val="28"/>
        </w:rPr>
        <w:t>66</w:t>
      </w:r>
      <w:r w:rsidRPr="00A53AD7">
        <w:rPr>
          <w:rFonts w:ascii="Times New Roman" w:hAnsi="Times New Roman"/>
          <w:sz w:val="28"/>
          <w:szCs w:val="28"/>
        </w:rPr>
        <w:t xml:space="preserve"> представлена краткая характеристика выполнения планов финансово-хозяйственной деятельности государственных, муниципальных бюджетных и автономных учреждений за 9 месяцев 2019 года.</w:t>
      </w:r>
    </w:p>
    <w:p w14:paraId="25ACE2A7" w14:textId="77777777" w:rsidR="00B029F6" w:rsidRPr="00A53AD7" w:rsidRDefault="00B029F6" w:rsidP="00B029F6">
      <w:pPr>
        <w:spacing w:after="0" w:line="240" w:lineRule="auto"/>
        <w:ind w:firstLine="851"/>
        <w:jc w:val="both"/>
        <w:rPr>
          <w:rFonts w:ascii="Times New Roman" w:hAnsi="Times New Roman"/>
          <w:sz w:val="16"/>
          <w:szCs w:val="16"/>
          <w:highlight w:val="cyan"/>
          <w:lang w:val="x-none"/>
        </w:rPr>
      </w:pPr>
    </w:p>
    <w:p w14:paraId="747FD4BE"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48BBCCC6" wp14:editId="67AB9A20">
            <wp:extent cx="5434642" cy="1940944"/>
            <wp:effectExtent l="0" t="0" r="0" b="254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7458" cy="1941950"/>
                    </a:xfrm>
                    <a:prstGeom prst="rect">
                      <a:avLst/>
                    </a:prstGeom>
                    <a:noFill/>
                  </pic:spPr>
                </pic:pic>
              </a:graphicData>
            </a:graphic>
          </wp:inline>
        </w:drawing>
      </w:r>
    </w:p>
    <w:p w14:paraId="67116014" w14:textId="77777777" w:rsidR="00B029F6" w:rsidRPr="00A53AD7" w:rsidRDefault="00B029F6" w:rsidP="00950424">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66</w:t>
      </w:r>
      <w:r w:rsidRPr="00A53AD7">
        <w:rPr>
          <w:rFonts w:ascii="Times New Roman" w:hAnsi="Times New Roman"/>
          <w:b w:val="0"/>
          <w:sz w:val="24"/>
          <w:szCs w:val="24"/>
        </w:rPr>
        <w:fldChar w:fldCharType="end"/>
      </w:r>
      <w:r w:rsidRPr="00A53AD7">
        <w:rPr>
          <w:rFonts w:ascii="Times New Roman" w:hAnsi="Times New Roman"/>
          <w:b w:val="0"/>
          <w:sz w:val="24"/>
          <w:szCs w:val="24"/>
        </w:rPr>
        <w:t>. Выполнение планов финансово-хозяйственной деятельности государственными, муниципальными бюджетными и автономными учреждениями за 2019 год, за счет всех видов финансового обеспечения, согласно отчетам по форме 0503779 и 0503737, млн.руб.</w:t>
      </w:r>
    </w:p>
    <w:p w14:paraId="209FBE34" w14:textId="77777777" w:rsidR="00B029F6" w:rsidRPr="00A53AD7" w:rsidRDefault="00B029F6" w:rsidP="00B029F6">
      <w:pPr>
        <w:spacing w:after="0" w:line="240" w:lineRule="auto"/>
        <w:jc w:val="both"/>
        <w:rPr>
          <w:rFonts w:ascii="Times New Roman" w:hAnsi="Times New Roman"/>
          <w:sz w:val="16"/>
          <w:szCs w:val="16"/>
          <w:highlight w:val="cyan"/>
        </w:rPr>
      </w:pPr>
    </w:p>
    <w:p w14:paraId="2B5089B0"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собственных доходов расходы учреждений за 2019 год составили 6 288,0 млн.руб. (92,0 % к плану года и 91,5 % к доходам с учетом остатка на 01.01.2019), в т.ч. муниципальными учреждениями – 2 643,1 млн.руб. (92,8 % к плану и 93,8 % к доходам с учетом остатка), государственными учреждениями – 3 644,8 млн.руб. (91,3 % к плану и 89,9 % к доходам с учетом остатка).</w:t>
      </w:r>
    </w:p>
    <w:p w14:paraId="4BBEF2A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средств ОМС расходы за отчетный период в областных учреждениях здравоохранения составили 19 564,4 млн.руб. (93,6 % к плану года) или 92,1 % к полученным доходам с учетом остатка на 01.01.2019 по данному виду финансового обеспечения.</w:t>
      </w:r>
    </w:p>
    <w:p w14:paraId="776F3EEA"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За счет бюджетных средств (без учета грантов) расходы в муниципальных и государственных учреждениях за 2019 год составили 44 210,9 млн.руб. или 93,0 % к полученному финансированию, с учетом остатка на 01.01.2019, из них:</w:t>
      </w:r>
    </w:p>
    <w:p w14:paraId="01CD7FD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1. За счет средств субсидии на финансовое обеспечение выполнения государственного и муниципального задания расходы учреждений составили 37 134,1 млн.руб. или на 98,1 % к плану года и на 97,9 % к полученным доходам с учетом остатка на 01.01.2019 по данному виду финансового обеспечения.</w:t>
      </w:r>
    </w:p>
    <w:p w14:paraId="43ADECB7" w14:textId="467387C3"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Выполнение планов финансово-хозяйственной деятельности государственными</w:t>
      </w:r>
      <w:r w:rsidR="00152126" w:rsidRPr="00A53AD7">
        <w:rPr>
          <w:rFonts w:ascii="Times New Roman" w:hAnsi="Times New Roman"/>
          <w:sz w:val="28"/>
          <w:szCs w:val="28"/>
        </w:rPr>
        <w:t xml:space="preserve"> и</w:t>
      </w:r>
      <w:r w:rsidRPr="00A53AD7">
        <w:rPr>
          <w:rFonts w:ascii="Times New Roman" w:hAnsi="Times New Roman"/>
          <w:sz w:val="28"/>
          <w:szCs w:val="28"/>
        </w:rPr>
        <w:t xml:space="preserve"> муниципальными бюджетными и автономными учреждениями, за счет средств субсидии на финансовое обеспечение выполнения государственного и муниципального задания, за 2019 год представлено на рисунке </w:t>
      </w:r>
      <w:r w:rsidR="00EB6325" w:rsidRPr="00A53AD7">
        <w:rPr>
          <w:rFonts w:ascii="Times New Roman" w:hAnsi="Times New Roman"/>
          <w:sz w:val="28"/>
          <w:szCs w:val="28"/>
        </w:rPr>
        <w:t>67</w:t>
      </w:r>
      <w:r w:rsidRPr="00A53AD7">
        <w:rPr>
          <w:rFonts w:ascii="Times New Roman" w:hAnsi="Times New Roman"/>
          <w:sz w:val="28"/>
          <w:szCs w:val="28"/>
        </w:rPr>
        <w:t>.</w:t>
      </w:r>
    </w:p>
    <w:p w14:paraId="101A214A"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3D44A16E" wp14:editId="0CF1D0B5">
            <wp:extent cx="5848709" cy="1802921"/>
            <wp:effectExtent l="0" t="0" r="0"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39233" cy="1800000"/>
                    </a:xfrm>
                    <a:prstGeom prst="rect">
                      <a:avLst/>
                    </a:prstGeom>
                    <a:noFill/>
                  </pic:spPr>
                </pic:pic>
              </a:graphicData>
            </a:graphic>
          </wp:inline>
        </w:drawing>
      </w:r>
    </w:p>
    <w:p w14:paraId="557BC928" w14:textId="77777777" w:rsidR="00B029F6" w:rsidRPr="00A53AD7" w:rsidRDefault="00B029F6" w:rsidP="00152126">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67</w:t>
      </w:r>
      <w:r w:rsidRPr="00A53AD7">
        <w:rPr>
          <w:rFonts w:ascii="Times New Roman" w:hAnsi="Times New Roman"/>
          <w:b w:val="0"/>
          <w:sz w:val="24"/>
          <w:szCs w:val="24"/>
        </w:rPr>
        <w:fldChar w:fldCharType="end"/>
      </w:r>
      <w:r w:rsidRPr="00A53AD7">
        <w:rPr>
          <w:rFonts w:ascii="Times New Roman" w:hAnsi="Times New Roman"/>
          <w:b w:val="0"/>
          <w:sz w:val="24"/>
          <w:szCs w:val="24"/>
        </w:rPr>
        <w:t>. Выполнение планов финансово-хозяйственной деятельности государственными, муниципальными бюджетными и автономными учреждениями за счет средств субсидии на финансовое обеспечение выполнения государственного и муниципального задания за 2019 год, согласно отчетам по форме 0503779 и 0503737, в млн.руб.</w:t>
      </w:r>
    </w:p>
    <w:p w14:paraId="08E0F9FF" w14:textId="77777777" w:rsidR="00B029F6" w:rsidRPr="00A53AD7" w:rsidRDefault="00B029F6" w:rsidP="00B029F6">
      <w:pPr>
        <w:spacing w:after="0" w:line="240" w:lineRule="auto"/>
        <w:jc w:val="both"/>
        <w:rPr>
          <w:rFonts w:ascii="Times New Roman" w:hAnsi="Times New Roman"/>
          <w:sz w:val="16"/>
          <w:szCs w:val="16"/>
          <w:highlight w:val="cyan"/>
        </w:rPr>
      </w:pPr>
    </w:p>
    <w:p w14:paraId="39E365C8"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государственных учреждений за счет средств субсидии на выполнение государственного задания на 01.01.2020 исполнены на 95,7 % к полученным доходам с учетом остатка на 01.01.2019, а муниципальными учреждениями – на 99,2 %.</w:t>
      </w:r>
    </w:p>
    <w:p w14:paraId="63C481B2"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Основная доля расходов учреждений, за счет средств субсидии на государственное и муниципальное задание, направлена на фонд оплаты труда (вид расходов 111), удельный вес которых в общей сумме расходов за счет данного вида финансового обеспечения составляет 61,8 % или 22 945,3 млн.руб., из них муниципальными учреждениями направлено 15 331,9 млн.руб., областными учреждениями – 7 613,5 млн.руб.</w:t>
      </w:r>
    </w:p>
    <w:p w14:paraId="04B073EB"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2. За счет средств субсидий на иные цели – 7 002,8 млн.руб. или 76,2 % к плану года и на 73,6 % к доходам с учетом остатка на начало года по данному виду финансового обеспечения, что привело к росту остатков в 2,3 раза или на 1 339,6 млн.руб..</w:t>
      </w:r>
    </w:p>
    <w:p w14:paraId="005BA138" w14:textId="3307D709"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Выполнение планов финансово-хозяйственной деятельности государственными, а также муниципальными бюджетными и автономными учреждениями, за счет средств субсидий на иные цели, на 01.01.2020 представлено на рисунке </w:t>
      </w:r>
      <w:r w:rsidR="00A55047" w:rsidRPr="00A53AD7">
        <w:rPr>
          <w:rFonts w:ascii="Times New Roman" w:hAnsi="Times New Roman"/>
          <w:sz w:val="28"/>
          <w:szCs w:val="28"/>
        </w:rPr>
        <w:t>68</w:t>
      </w:r>
      <w:r w:rsidRPr="00A53AD7">
        <w:rPr>
          <w:rFonts w:ascii="Times New Roman" w:hAnsi="Times New Roman"/>
          <w:sz w:val="28"/>
          <w:szCs w:val="28"/>
        </w:rPr>
        <w:t>.</w:t>
      </w:r>
    </w:p>
    <w:p w14:paraId="56448037"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1CF79188"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33E057C4" wp14:editId="4093D3E5">
            <wp:extent cx="5693434" cy="1794294"/>
            <wp:effectExtent l="0" t="0" r="254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11540" cy="1800000"/>
                    </a:xfrm>
                    <a:prstGeom prst="rect">
                      <a:avLst/>
                    </a:prstGeom>
                    <a:noFill/>
                  </pic:spPr>
                </pic:pic>
              </a:graphicData>
            </a:graphic>
          </wp:inline>
        </w:drawing>
      </w:r>
    </w:p>
    <w:p w14:paraId="6096BE35" w14:textId="77777777" w:rsidR="00B029F6" w:rsidRPr="00A53AD7" w:rsidRDefault="00B029F6" w:rsidP="00562121">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68</w:t>
      </w:r>
      <w:r w:rsidRPr="00A53AD7">
        <w:rPr>
          <w:rFonts w:ascii="Times New Roman" w:hAnsi="Times New Roman"/>
          <w:b w:val="0"/>
          <w:sz w:val="24"/>
          <w:szCs w:val="24"/>
        </w:rPr>
        <w:fldChar w:fldCharType="end"/>
      </w:r>
      <w:r w:rsidRPr="00A53AD7">
        <w:rPr>
          <w:rFonts w:ascii="Times New Roman" w:hAnsi="Times New Roman"/>
          <w:b w:val="0"/>
          <w:sz w:val="24"/>
          <w:szCs w:val="24"/>
        </w:rPr>
        <w:t>. Выполнение планов финансово-хозяйственной деятельности государственными, муниципальными бюджетными и автономными учреждениями за счет средств субсидий на иные цели за 2019 год, согласно отчетам по форме 0503779 и 0503737, млн.руб.</w:t>
      </w:r>
    </w:p>
    <w:p w14:paraId="120BF31D" w14:textId="77777777" w:rsidR="00B029F6" w:rsidRPr="00A53AD7" w:rsidRDefault="00B029F6" w:rsidP="00B029F6">
      <w:pPr>
        <w:spacing w:after="0" w:line="240" w:lineRule="auto"/>
        <w:jc w:val="both"/>
        <w:rPr>
          <w:rFonts w:ascii="Times New Roman" w:hAnsi="Times New Roman"/>
          <w:sz w:val="16"/>
          <w:szCs w:val="16"/>
        </w:rPr>
      </w:pPr>
    </w:p>
    <w:p w14:paraId="6F7A5CAD"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государственных учреждений за счет субсидий на иные цели составили 4 281,0 млн.руб. или 76,2 % к плану года, а также на 65,0 % к поступившим доходам с учетом остатка на 01.01.2019 и повлияло на рост остатков указанного вида субсидии в 2,2 раза или на 1 176,3 млн.руб., из них в учреждениях агентства государственной противопожарной службы и гражданской защиты расходы исполнены на 26,6 %.</w:t>
      </w:r>
    </w:p>
    <w:p w14:paraId="44423B14"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Расходы муниципальных учреждений за счет средств субсидий на иные цели составили 2 721,9 млн.руб. или 90,1 % к плану года и на 92,9,9 % к поступившим доходам с учетом остатка указанного вида субсидии на 01.01.2019.</w:t>
      </w:r>
    </w:p>
    <w:p w14:paraId="3BE14D3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3. За счет средств субсидии на капитальные вложения расходы в учреждениях составили – 74,0 млн.руб. или на 57,1 % к плану года и на 61,8 % к поступившему финансированию с учетом остатка на 01.01.2019.</w:t>
      </w:r>
    </w:p>
    <w:p w14:paraId="4D5B7CB0" w14:textId="3732BA40"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Выполнение планов финансово-хозяйственной деятельности государственными, а также муниципальными бюджетными и автономными учреждениями, за счет средств субсидий на осуществление капитальных вложений, на 01.10.2019 представлено на рисунке </w:t>
      </w:r>
      <w:r w:rsidR="00A55047" w:rsidRPr="00A53AD7">
        <w:rPr>
          <w:rFonts w:ascii="Times New Roman" w:hAnsi="Times New Roman"/>
          <w:sz w:val="28"/>
          <w:szCs w:val="28"/>
        </w:rPr>
        <w:t>69</w:t>
      </w:r>
      <w:r w:rsidRPr="00A53AD7">
        <w:rPr>
          <w:rFonts w:ascii="Times New Roman" w:hAnsi="Times New Roman"/>
          <w:sz w:val="28"/>
          <w:szCs w:val="28"/>
        </w:rPr>
        <w:t>.</w:t>
      </w:r>
    </w:p>
    <w:p w14:paraId="146F09EB" w14:textId="77777777" w:rsidR="00B029F6" w:rsidRPr="00A53AD7" w:rsidRDefault="00B029F6" w:rsidP="00B029F6">
      <w:pPr>
        <w:keepNext/>
        <w:spacing w:after="0" w:line="240" w:lineRule="auto"/>
        <w:jc w:val="center"/>
      </w:pPr>
      <w:r w:rsidRPr="00A53AD7">
        <w:rPr>
          <w:noProof/>
          <w:lang w:eastAsia="ru-RU"/>
        </w:rPr>
        <w:drawing>
          <wp:inline distT="0" distB="0" distL="0" distR="0" wp14:anchorId="0234BBEE" wp14:editId="3C1A54BB">
            <wp:extent cx="5926347" cy="179911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29257" cy="1800000"/>
                    </a:xfrm>
                    <a:prstGeom prst="rect">
                      <a:avLst/>
                    </a:prstGeom>
                    <a:noFill/>
                  </pic:spPr>
                </pic:pic>
              </a:graphicData>
            </a:graphic>
          </wp:inline>
        </w:drawing>
      </w:r>
    </w:p>
    <w:p w14:paraId="02DC3ED6" w14:textId="77777777" w:rsidR="00B029F6" w:rsidRPr="00A53AD7" w:rsidRDefault="00B029F6" w:rsidP="00FE4EFC">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69</w:t>
      </w:r>
      <w:r w:rsidRPr="00A53AD7">
        <w:rPr>
          <w:rFonts w:ascii="Times New Roman" w:hAnsi="Times New Roman"/>
          <w:b w:val="0"/>
          <w:sz w:val="24"/>
          <w:szCs w:val="24"/>
        </w:rPr>
        <w:fldChar w:fldCharType="end"/>
      </w:r>
      <w:r w:rsidRPr="00A53AD7">
        <w:rPr>
          <w:rFonts w:ascii="Times New Roman" w:hAnsi="Times New Roman"/>
          <w:b w:val="0"/>
          <w:sz w:val="24"/>
          <w:szCs w:val="24"/>
        </w:rPr>
        <w:t>. Выполнение планов финансово-хозяйственной деятельности государственными, муниципальными бюджетными и автономными учреждениями за счет средств субсидий на осуществление капитальных вложений за 2019 год, согласно отчетам по форме 0503779 и 0503737, млн.руб.</w:t>
      </w:r>
    </w:p>
    <w:p w14:paraId="56634FA3"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3AF30D6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областных учреждениях расходы составили 59,2 млн.руб. или 57,2 % как к плану года и к поступившему финансированию, из них в учреждениях министерства здравоохранения – исполнено на 30,0 % по приобретению модульных конструкций врачебных амбулаторий, фельдшерских и фельдшерско-акушерских пунктов для населенных пунктов с численностью населения от 101 до 2000 человек за счет внесенного аванса, а в учреждении минсвязи – расходы не осуществлены, т.к. учреждение профинансировано 20.12.2019.</w:t>
      </w:r>
    </w:p>
    <w:p w14:paraId="1955726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муниципальных учреждениях расходы за счет средств субсидии на осуществление капитальных вложений составили 14,7 млн.руб. или 56,6 % к плану года и на 91,1 % к поступившим доходам с учетом остатка на 01.01.2019.</w:t>
      </w:r>
    </w:p>
    <w:p w14:paraId="7E1267F3" w14:textId="485A3E8D" w:rsidR="00B029F6" w:rsidRPr="00A53AD7" w:rsidRDefault="0050261D" w:rsidP="0050261D">
      <w:pPr>
        <w:pStyle w:val="2"/>
        <w:spacing w:line="240" w:lineRule="auto"/>
        <w:jc w:val="center"/>
        <w:rPr>
          <w:rFonts w:ascii="Times New Roman" w:hAnsi="Times New Roman"/>
          <w:lang w:val="ru-RU"/>
        </w:rPr>
      </w:pPr>
      <w:bookmarkStart w:id="122" w:name="_Toc42006758"/>
      <w:r w:rsidRPr="00A53AD7">
        <w:rPr>
          <w:rFonts w:ascii="Times New Roman" w:hAnsi="Times New Roman"/>
          <w:lang w:val="ru-RU"/>
        </w:rPr>
        <w:t>5</w:t>
      </w:r>
      <w:r w:rsidR="00B029F6" w:rsidRPr="00A53AD7">
        <w:rPr>
          <w:rFonts w:ascii="Times New Roman" w:hAnsi="Times New Roman"/>
          <w:lang w:val="ru-RU"/>
        </w:rPr>
        <w:t>.1. Состояние задолженности государственных и муниципальных бюджетных и авто</w:t>
      </w:r>
      <w:r w:rsidRPr="00A53AD7">
        <w:rPr>
          <w:rFonts w:ascii="Times New Roman" w:hAnsi="Times New Roman"/>
          <w:lang w:val="ru-RU"/>
        </w:rPr>
        <w:t>номных учреждений на 01.01.2020</w:t>
      </w:r>
      <w:bookmarkEnd w:id="122"/>
    </w:p>
    <w:p w14:paraId="232ADE9F" w14:textId="455C7676"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дебиторской и кредиторской задолженности бюджетных и автономных учреждений в разрезе муниципальных образований и главных распорядителей средств областного бюджета по состоянию на 01.01.2020, а также изменение за 2019 год, представлены в приложениях №№ </w:t>
      </w:r>
      <w:r w:rsidR="007D7331" w:rsidRPr="00A53AD7">
        <w:rPr>
          <w:rFonts w:ascii="Times New Roman" w:hAnsi="Times New Roman"/>
          <w:sz w:val="28"/>
          <w:szCs w:val="28"/>
        </w:rPr>
        <w:t xml:space="preserve">19 </w:t>
      </w:r>
      <w:r w:rsidRPr="00A53AD7">
        <w:rPr>
          <w:rFonts w:ascii="Times New Roman" w:hAnsi="Times New Roman"/>
          <w:sz w:val="28"/>
          <w:szCs w:val="28"/>
        </w:rPr>
        <w:t xml:space="preserve">и </w:t>
      </w:r>
      <w:r w:rsidR="007D7331" w:rsidRPr="00A53AD7">
        <w:rPr>
          <w:rFonts w:ascii="Times New Roman" w:hAnsi="Times New Roman"/>
          <w:sz w:val="28"/>
          <w:szCs w:val="28"/>
        </w:rPr>
        <w:t xml:space="preserve">20 </w:t>
      </w:r>
      <w:r w:rsidRPr="00A53AD7">
        <w:rPr>
          <w:rFonts w:ascii="Times New Roman" w:hAnsi="Times New Roman"/>
          <w:sz w:val="28"/>
          <w:szCs w:val="28"/>
        </w:rPr>
        <w:t>к настоящему заключению.</w:t>
      </w:r>
    </w:p>
    <w:p w14:paraId="3EAB51A7"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отчетам по форме 0503769 «Сведения по дебиторской и кредиторской задолженности учреждения» дебиторская задолженность государственных, муниципальных бюджетных и автономных учреждений на 01.01.2020 составила в общей сумме 30 013,6 млн.руб. и за 2019 год она увеличилась на 13 515,0 млн.руб. или на 81,9 %.</w:t>
      </w:r>
    </w:p>
    <w:p w14:paraId="4D684FFB" w14:textId="7923BAD3"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Обозначенные выше показатели о состоянии общей суммы дебиторской задолженности государственных и муниципальных учреждений, отраженные в отчетах по ф. 0503769 за 2019 год, представлены на рисунке </w:t>
      </w:r>
      <w:r w:rsidR="00A55047" w:rsidRPr="00A53AD7">
        <w:rPr>
          <w:rFonts w:ascii="Times New Roman" w:hAnsi="Times New Roman"/>
          <w:sz w:val="28"/>
          <w:szCs w:val="28"/>
        </w:rPr>
        <w:t>70</w:t>
      </w:r>
      <w:r w:rsidRPr="00A53AD7">
        <w:rPr>
          <w:rFonts w:ascii="Times New Roman" w:hAnsi="Times New Roman"/>
          <w:sz w:val="28"/>
          <w:szCs w:val="28"/>
        </w:rPr>
        <w:t>.</w:t>
      </w:r>
    </w:p>
    <w:p w14:paraId="33040856" w14:textId="455A4508" w:rsidR="00B029F6" w:rsidRPr="00A53AD7" w:rsidRDefault="000B255D"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3706A924" wp14:editId="7BFAC16D">
            <wp:extent cx="4730750" cy="179260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730750" cy="1792605"/>
                    </a:xfrm>
                    <a:prstGeom prst="rect">
                      <a:avLst/>
                    </a:prstGeom>
                    <a:noFill/>
                  </pic:spPr>
                </pic:pic>
              </a:graphicData>
            </a:graphic>
          </wp:inline>
        </w:drawing>
      </w:r>
    </w:p>
    <w:p w14:paraId="3CC0A5D5" w14:textId="77777777" w:rsidR="00B029F6" w:rsidRPr="00A53AD7" w:rsidRDefault="00B029F6" w:rsidP="00150933">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70</w:t>
      </w:r>
      <w:r w:rsidRPr="00A53AD7">
        <w:rPr>
          <w:rFonts w:ascii="Times New Roman" w:hAnsi="Times New Roman"/>
          <w:b w:val="0"/>
          <w:sz w:val="24"/>
          <w:szCs w:val="24"/>
        </w:rPr>
        <w:fldChar w:fldCharType="end"/>
      </w:r>
      <w:r w:rsidRPr="00A53AD7">
        <w:rPr>
          <w:rFonts w:ascii="Times New Roman" w:hAnsi="Times New Roman"/>
          <w:b w:val="0"/>
          <w:sz w:val="24"/>
          <w:szCs w:val="24"/>
        </w:rPr>
        <w:t>. Дебиторская задолженность государственных, муниципальных бюджетных и автономных учреждений, за счет всех видов финансового обеспечения, отражённая в отчетах по форме 0503769 за 2019 год, млн.руб.</w:t>
      </w:r>
    </w:p>
    <w:p w14:paraId="45A6A702" w14:textId="77777777" w:rsidR="00B029F6" w:rsidRPr="00A53AD7" w:rsidRDefault="00B029F6" w:rsidP="00B029F6">
      <w:pPr>
        <w:spacing w:after="0" w:line="240" w:lineRule="auto"/>
        <w:jc w:val="both"/>
        <w:rPr>
          <w:rFonts w:ascii="Times New Roman" w:hAnsi="Times New Roman"/>
          <w:sz w:val="16"/>
          <w:szCs w:val="16"/>
          <w:highlight w:val="cyan"/>
        </w:rPr>
      </w:pPr>
    </w:p>
    <w:p w14:paraId="2561CE45"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Общая сумма дебиторской задолженности муниципальных учреждений на конец отчетного периода составила 3 622,5 млн.руб., и за 2019 год она увеличилась на 3 331,6 млн.руб. или в 12,5 раза, а в государственных учреждениях – 26 391,1 млн.руб., которая увеличилась на 10 183,3 млн.руб. или на 62,8 %.</w:t>
      </w:r>
    </w:p>
    <w:p w14:paraId="3432FF0A" w14:textId="3216700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синтетическим счетам бухгалтерского учета общая сумма дебиторской задолженности бюджетных и автономных учреждений представлена в таблице </w:t>
      </w:r>
      <w:r w:rsidR="00A55047" w:rsidRPr="00A53AD7">
        <w:rPr>
          <w:rFonts w:ascii="Times New Roman" w:hAnsi="Times New Roman"/>
          <w:sz w:val="28"/>
          <w:szCs w:val="28"/>
        </w:rPr>
        <w:t>71</w:t>
      </w:r>
      <w:r w:rsidRPr="00A53AD7">
        <w:rPr>
          <w:rFonts w:ascii="Times New Roman" w:hAnsi="Times New Roman"/>
          <w:sz w:val="28"/>
          <w:szCs w:val="28"/>
        </w:rPr>
        <w:t>.</w:t>
      </w:r>
    </w:p>
    <w:p w14:paraId="236EF189" w14:textId="77777777" w:rsidR="00B029F6" w:rsidRPr="00A53AD7" w:rsidRDefault="00B029F6" w:rsidP="00B029F6">
      <w:pPr>
        <w:spacing w:after="0" w:line="240" w:lineRule="auto"/>
        <w:jc w:val="both"/>
        <w:rPr>
          <w:rFonts w:ascii="Times New Roman" w:hAnsi="Times New Roman"/>
          <w:sz w:val="16"/>
          <w:szCs w:val="16"/>
          <w:highlight w:val="cyan"/>
        </w:rPr>
      </w:pPr>
    </w:p>
    <w:p w14:paraId="7234D282" w14:textId="77777777" w:rsidR="00B029F6" w:rsidRPr="00A53AD7" w:rsidRDefault="00B029F6" w:rsidP="002001F0">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71</w:t>
      </w:r>
      <w:r w:rsidRPr="00A53AD7">
        <w:rPr>
          <w:rFonts w:ascii="Times New Roman" w:hAnsi="Times New Roman"/>
          <w:b w:val="0"/>
          <w:sz w:val="24"/>
          <w:szCs w:val="24"/>
        </w:rPr>
        <w:fldChar w:fldCharType="end"/>
      </w:r>
      <w:r w:rsidRPr="00A53AD7">
        <w:rPr>
          <w:rFonts w:ascii="Times New Roman" w:hAnsi="Times New Roman"/>
          <w:b w:val="0"/>
          <w:sz w:val="24"/>
          <w:szCs w:val="24"/>
        </w:rPr>
        <w:t>. Дебиторская задолженность государственных (Гос.), муниципальных (МО) бюджетных и автономных учреждений на 01.01.2020, согласно отчетам по форме 0503769, за счет всех видов финансового обеспечения, в млн.руб.</w:t>
      </w:r>
    </w:p>
    <w:tbl>
      <w:tblPr>
        <w:tblW w:w="9248" w:type="dxa"/>
        <w:tblInd w:w="85" w:type="dxa"/>
        <w:tblLook w:val="04A0" w:firstRow="1" w:lastRow="0" w:firstColumn="1" w:lastColumn="0" w:noHBand="0" w:noVBand="1"/>
      </w:tblPr>
      <w:tblGrid>
        <w:gridCol w:w="662"/>
        <w:gridCol w:w="2774"/>
        <w:gridCol w:w="993"/>
        <w:gridCol w:w="1066"/>
        <w:gridCol w:w="966"/>
        <w:gridCol w:w="944"/>
        <w:gridCol w:w="938"/>
        <w:gridCol w:w="905"/>
      </w:tblGrid>
      <w:tr w:rsidR="00D470B6" w:rsidRPr="00A53AD7" w14:paraId="2566239B" w14:textId="77777777" w:rsidTr="002001F0">
        <w:trPr>
          <w:trHeight w:val="29"/>
          <w:tblHeader/>
        </w:trPr>
        <w:tc>
          <w:tcPr>
            <w:tcW w:w="66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F7CB8D7"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Счет</w:t>
            </w:r>
          </w:p>
        </w:tc>
        <w:tc>
          <w:tcPr>
            <w:tcW w:w="2774"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ECBF470"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w:t>
            </w:r>
          </w:p>
        </w:tc>
        <w:tc>
          <w:tcPr>
            <w:tcW w:w="3025" w:type="dxa"/>
            <w:gridSpan w:val="3"/>
            <w:tcBorders>
              <w:top w:val="double" w:sz="6" w:space="0" w:color="auto"/>
              <w:left w:val="nil"/>
              <w:bottom w:val="single" w:sz="4" w:space="0" w:color="auto"/>
              <w:right w:val="single" w:sz="4" w:space="0" w:color="auto"/>
            </w:tcBorders>
            <w:shd w:val="clear" w:color="auto" w:fill="auto"/>
            <w:vAlign w:val="center"/>
            <w:hideMark/>
          </w:tcPr>
          <w:p w14:paraId="116D288F"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01.01.2020</w:t>
            </w:r>
          </w:p>
        </w:tc>
        <w:tc>
          <w:tcPr>
            <w:tcW w:w="2787" w:type="dxa"/>
            <w:gridSpan w:val="3"/>
            <w:tcBorders>
              <w:top w:val="double" w:sz="6" w:space="0" w:color="auto"/>
              <w:left w:val="nil"/>
              <w:bottom w:val="single" w:sz="4" w:space="0" w:color="auto"/>
              <w:right w:val="double" w:sz="6" w:space="0" w:color="000000"/>
            </w:tcBorders>
            <w:shd w:val="clear" w:color="auto" w:fill="auto"/>
            <w:vAlign w:val="center"/>
            <w:hideMark/>
          </w:tcPr>
          <w:p w14:paraId="23B9AE72"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Изменения за год (+,-)</w:t>
            </w:r>
          </w:p>
        </w:tc>
      </w:tr>
      <w:tr w:rsidR="00D470B6" w:rsidRPr="00A53AD7" w14:paraId="06F76E6F" w14:textId="77777777" w:rsidTr="002001F0">
        <w:trPr>
          <w:trHeight w:val="29"/>
          <w:tblHead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5A70C321"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2774" w:type="dxa"/>
            <w:vMerge/>
            <w:tcBorders>
              <w:top w:val="double" w:sz="6" w:space="0" w:color="auto"/>
              <w:left w:val="single" w:sz="4" w:space="0" w:color="auto"/>
              <w:bottom w:val="single" w:sz="4" w:space="0" w:color="auto"/>
              <w:right w:val="single" w:sz="4" w:space="0" w:color="auto"/>
            </w:tcBorders>
            <w:vAlign w:val="center"/>
            <w:hideMark/>
          </w:tcPr>
          <w:p w14:paraId="32FAB051"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564AD968"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2032" w:type="dxa"/>
            <w:gridSpan w:val="2"/>
            <w:tcBorders>
              <w:top w:val="single" w:sz="4" w:space="0" w:color="auto"/>
              <w:left w:val="nil"/>
              <w:bottom w:val="single" w:sz="4" w:space="0" w:color="auto"/>
              <w:right w:val="single" w:sz="4" w:space="0" w:color="auto"/>
            </w:tcBorders>
            <w:shd w:val="clear" w:color="auto" w:fill="auto"/>
            <w:vAlign w:val="center"/>
            <w:hideMark/>
          </w:tcPr>
          <w:p w14:paraId="10835DA6"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c>
          <w:tcPr>
            <w:tcW w:w="944" w:type="dxa"/>
            <w:vMerge w:val="restart"/>
            <w:tcBorders>
              <w:top w:val="nil"/>
              <w:left w:val="single" w:sz="4" w:space="0" w:color="auto"/>
              <w:bottom w:val="single" w:sz="4" w:space="0" w:color="auto"/>
              <w:right w:val="single" w:sz="4" w:space="0" w:color="auto"/>
            </w:tcBorders>
            <w:shd w:val="clear" w:color="auto" w:fill="auto"/>
            <w:vAlign w:val="center"/>
            <w:hideMark/>
          </w:tcPr>
          <w:p w14:paraId="1AAC6E3E"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843" w:type="dxa"/>
            <w:gridSpan w:val="2"/>
            <w:tcBorders>
              <w:top w:val="single" w:sz="4" w:space="0" w:color="auto"/>
              <w:left w:val="nil"/>
              <w:bottom w:val="single" w:sz="4" w:space="0" w:color="auto"/>
              <w:right w:val="double" w:sz="6" w:space="0" w:color="000000"/>
            </w:tcBorders>
            <w:shd w:val="clear" w:color="auto" w:fill="auto"/>
            <w:vAlign w:val="center"/>
            <w:hideMark/>
          </w:tcPr>
          <w:p w14:paraId="640DF831"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r>
      <w:tr w:rsidR="00D470B6" w:rsidRPr="00A53AD7" w14:paraId="09C69147" w14:textId="77777777" w:rsidTr="002001F0">
        <w:trPr>
          <w:trHeight w:val="29"/>
          <w:tblHead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5D544AC0"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2774" w:type="dxa"/>
            <w:vMerge/>
            <w:tcBorders>
              <w:top w:val="double" w:sz="6" w:space="0" w:color="auto"/>
              <w:left w:val="single" w:sz="4" w:space="0" w:color="auto"/>
              <w:bottom w:val="single" w:sz="4" w:space="0" w:color="auto"/>
              <w:right w:val="single" w:sz="4" w:space="0" w:color="auto"/>
            </w:tcBorders>
            <w:vAlign w:val="center"/>
            <w:hideMark/>
          </w:tcPr>
          <w:p w14:paraId="05C48AF5"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93" w:type="dxa"/>
            <w:vMerge/>
            <w:tcBorders>
              <w:top w:val="nil"/>
              <w:left w:val="single" w:sz="4" w:space="0" w:color="auto"/>
              <w:bottom w:val="single" w:sz="4" w:space="0" w:color="auto"/>
              <w:right w:val="single" w:sz="4" w:space="0" w:color="auto"/>
            </w:tcBorders>
            <w:vAlign w:val="center"/>
            <w:hideMark/>
          </w:tcPr>
          <w:p w14:paraId="60139F5C"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14:paraId="6BD57BC3"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966" w:type="dxa"/>
            <w:tcBorders>
              <w:top w:val="nil"/>
              <w:left w:val="nil"/>
              <w:bottom w:val="single" w:sz="4" w:space="0" w:color="auto"/>
              <w:right w:val="single" w:sz="4" w:space="0" w:color="auto"/>
            </w:tcBorders>
            <w:shd w:val="clear" w:color="auto" w:fill="auto"/>
            <w:vAlign w:val="center"/>
            <w:hideMark/>
          </w:tcPr>
          <w:p w14:paraId="77F9E4E4"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c>
          <w:tcPr>
            <w:tcW w:w="944" w:type="dxa"/>
            <w:vMerge/>
            <w:tcBorders>
              <w:top w:val="nil"/>
              <w:left w:val="single" w:sz="4" w:space="0" w:color="auto"/>
              <w:bottom w:val="single" w:sz="4" w:space="0" w:color="auto"/>
              <w:right w:val="single" w:sz="4" w:space="0" w:color="auto"/>
            </w:tcBorders>
            <w:vAlign w:val="center"/>
            <w:hideMark/>
          </w:tcPr>
          <w:p w14:paraId="48CF052D"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38" w:type="dxa"/>
            <w:tcBorders>
              <w:top w:val="nil"/>
              <w:left w:val="nil"/>
              <w:bottom w:val="single" w:sz="4" w:space="0" w:color="auto"/>
              <w:right w:val="single" w:sz="4" w:space="0" w:color="auto"/>
            </w:tcBorders>
            <w:shd w:val="clear" w:color="auto" w:fill="auto"/>
            <w:vAlign w:val="center"/>
            <w:hideMark/>
          </w:tcPr>
          <w:p w14:paraId="49065D0C"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905" w:type="dxa"/>
            <w:tcBorders>
              <w:top w:val="nil"/>
              <w:left w:val="nil"/>
              <w:bottom w:val="single" w:sz="4" w:space="0" w:color="auto"/>
              <w:right w:val="double" w:sz="6" w:space="0" w:color="auto"/>
            </w:tcBorders>
            <w:shd w:val="clear" w:color="auto" w:fill="auto"/>
            <w:vAlign w:val="center"/>
            <w:hideMark/>
          </w:tcPr>
          <w:p w14:paraId="142C7D10"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r>
      <w:tr w:rsidR="00D470B6" w:rsidRPr="00A53AD7" w14:paraId="1FCDA1E5"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21C008B1"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205</w:t>
            </w:r>
          </w:p>
        </w:tc>
        <w:tc>
          <w:tcPr>
            <w:tcW w:w="2774" w:type="dxa"/>
            <w:tcBorders>
              <w:top w:val="nil"/>
              <w:left w:val="nil"/>
              <w:bottom w:val="single" w:sz="4" w:space="0" w:color="auto"/>
              <w:right w:val="single" w:sz="4" w:space="0" w:color="auto"/>
            </w:tcBorders>
            <w:shd w:val="clear" w:color="auto" w:fill="auto"/>
            <w:vAlign w:val="center"/>
            <w:hideMark/>
          </w:tcPr>
          <w:p w14:paraId="5F1A351B"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доходам</w:t>
            </w:r>
          </w:p>
        </w:tc>
        <w:tc>
          <w:tcPr>
            <w:tcW w:w="993" w:type="dxa"/>
            <w:tcBorders>
              <w:top w:val="nil"/>
              <w:left w:val="nil"/>
              <w:bottom w:val="single" w:sz="4" w:space="0" w:color="auto"/>
              <w:right w:val="single" w:sz="4" w:space="0" w:color="auto"/>
            </w:tcBorders>
            <w:shd w:val="clear" w:color="auto" w:fill="auto"/>
            <w:vAlign w:val="center"/>
            <w:hideMark/>
          </w:tcPr>
          <w:p w14:paraId="0B743F9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29 682,6 </w:t>
            </w:r>
          </w:p>
        </w:tc>
        <w:tc>
          <w:tcPr>
            <w:tcW w:w="1066" w:type="dxa"/>
            <w:tcBorders>
              <w:top w:val="nil"/>
              <w:left w:val="nil"/>
              <w:bottom w:val="single" w:sz="4" w:space="0" w:color="auto"/>
              <w:right w:val="single" w:sz="4" w:space="0" w:color="auto"/>
            </w:tcBorders>
            <w:shd w:val="clear" w:color="auto" w:fill="auto"/>
            <w:vAlign w:val="center"/>
            <w:hideMark/>
          </w:tcPr>
          <w:p w14:paraId="05B8B4E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26 192,1 </w:t>
            </w:r>
          </w:p>
        </w:tc>
        <w:tc>
          <w:tcPr>
            <w:tcW w:w="966" w:type="dxa"/>
            <w:tcBorders>
              <w:top w:val="nil"/>
              <w:left w:val="nil"/>
              <w:bottom w:val="single" w:sz="4" w:space="0" w:color="auto"/>
              <w:right w:val="single" w:sz="4" w:space="0" w:color="auto"/>
            </w:tcBorders>
            <w:shd w:val="clear" w:color="auto" w:fill="auto"/>
            <w:vAlign w:val="center"/>
            <w:hideMark/>
          </w:tcPr>
          <w:p w14:paraId="1A0130C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3 490,4 </w:t>
            </w:r>
          </w:p>
        </w:tc>
        <w:tc>
          <w:tcPr>
            <w:tcW w:w="944" w:type="dxa"/>
            <w:tcBorders>
              <w:top w:val="nil"/>
              <w:left w:val="nil"/>
              <w:bottom w:val="single" w:sz="4" w:space="0" w:color="auto"/>
              <w:right w:val="single" w:sz="4" w:space="0" w:color="auto"/>
            </w:tcBorders>
            <w:shd w:val="clear" w:color="auto" w:fill="auto"/>
            <w:vAlign w:val="center"/>
            <w:hideMark/>
          </w:tcPr>
          <w:p w14:paraId="3ABA005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13 597,4 </w:t>
            </w:r>
          </w:p>
        </w:tc>
        <w:tc>
          <w:tcPr>
            <w:tcW w:w="938" w:type="dxa"/>
            <w:tcBorders>
              <w:top w:val="nil"/>
              <w:left w:val="nil"/>
              <w:bottom w:val="single" w:sz="4" w:space="0" w:color="auto"/>
              <w:right w:val="single" w:sz="4" w:space="0" w:color="auto"/>
            </w:tcBorders>
            <w:shd w:val="clear" w:color="auto" w:fill="auto"/>
            <w:vAlign w:val="center"/>
            <w:hideMark/>
          </w:tcPr>
          <w:p w14:paraId="0CACCC1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10 253,9 </w:t>
            </w:r>
          </w:p>
        </w:tc>
        <w:tc>
          <w:tcPr>
            <w:tcW w:w="905" w:type="dxa"/>
            <w:tcBorders>
              <w:top w:val="nil"/>
              <w:left w:val="nil"/>
              <w:bottom w:val="single" w:sz="4" w:space="0" w:color="auto"/>
              <w:right w:val="double" w:sz="6" w:space="0" w:color="auto"/>
            </w:tcBorders>
            <w:shd w:val="clear" w:color="auto" w:fill="auto"/>
            <w:vAlign w:val="center"/>
            <w:hideMark/>
          </w:tcPr>
          <w:p w14:paraId="5C1EAC8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3 343,5 </w:t>
            </w:r>
          </w:p>
        </w:tc>
      </w:tr>
      <w:tr w:rsidR="00D470B6" w:rsidRPr="00A53AD7" w14:paraId="51E241AF"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2EC8826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206</w:t>
            </w:r>
          </w:p>
        </w:tc>
        <w:tc>
          <w:tcPr>
            <w:tcW w:w="2774" w:type="dxa"/>
            <w:tcBorders>
              <w:top w:val="nil"/>
              <w:left w:val="nil"/>
              <w:bottom w:val="single" w:sz="4" w:space="0" w:color="auto"/>
              <w:right w:val="single" w:sz="4" w:space="0" w:color="auto"/>
            </w:tcBorders>
            <w:shd w:val="clear" w:color="auto" w:fill="auto"/>
            <w:vAlign w:val="center"/>
            <w:hideMark/>
          </w:tcPr>
          <w:p w14:paraId="5D400D8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выданным авансам</w:t>
            </w:r>
          </w:p>
        </w:tc>
        <w:tc>
          <w:tcPr>
            <w:tcW w:w="993" w:type="dxa"/>
            <w:tcBorders>
              <w:top w:val="nil"/>
              <w:left w:val="nil"/>
              <w:bottom w:val="single" w:sz="4" w:space="0" w:color="auto"/>
              <w:right w:val="single" w:sz="4" w:space="0" w:color="auto"/>
            </w:tcBorders>
            <w:shd w:val="clear" w:color="auto" w:fill="auto"/>
            <w:vAlign w:val="center"/>
            <w:hideMark/>
          </w:tcPr>
          <w:p w14:paraId="7D52BE0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131,6 </w:t>
            </w:r>
          </w:p>
        </w:tc>
        <w:tc>
          <w:tcPr>
            <w:tcW w:w="1066" w:type="dxa"/>
            <w:tcBorders>
              <w:top w:val="nil"/>
              <w:left w:val="nil"/>
              <w:bottom w:val="single" w:sz="4" w:space="0" w:color="auto"/>
              <w:right w:val="single" w:sz="4" w:space="0" w:color="auto"/>
            </w:tcBorders>
            <w:shd w:val="clear" w:color="auto" w:fill="auto"/>
            <w:vAlign w:val="center"/>
            <w:hideMark/>
          </w:tcPr>
          <w:p w14:paraId="6A517DF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77,2 </w:t>
            </w:r>
          </w:p>
        </w:tc>
        <w:tc>
          <w:tcPr>
            <w:tcW w:w="966" w:type="dxa"/>
            <w:tcBorders>
              <w:top w:val="nil"/>
              <w:left w:val="nil"/>
              <w:bottom w:val="single" w:sz="4" w:space="0" w:color="auto"/>
              <w:right w:val="single" w:sz="4" w:space="0" w:color="auto"/>
            </w:tcBorders>
            <w:shd w:val="clear" w:color="auto" w:fill="auto"/>
            <w:vAlign w:val="center"/>
            <w:hideMark/>
          </w:tcPr>
          <w:p w14:paraId="535A622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54,3 </w:t>
            </w:r>
          </w:p>
        </w:tc>
        <w:tc>
          <w:tcPr>
            <w:tcW w:w="944" w:type="dxa"/>
            <w:tcBorders>
              <w:top w:val="nil"/>
              <w:left w:val="nil"/>
              <w:bottom w:val="single" w:sz="4" w:space="0" w:color="auto"/>
              <w:right w:val="single" w:sz="4" w:space="0" w:color="auto"/>
            </w:tcBorders>
            <w:shd w:val="clear" w:color="auto" w:fill="auto"/>
            <w:vAlign w:val="center"/>
            <w:hideMark/>
          </w:tcPr>
          <w:p w14:paraId="4D73F11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-0,4 </w:t>
            </w:r>
          </w:p>
        </w:tc>
        <w:tc>
          <w:tcPr>
            <w:tcW w:w="938" w:type="dxa"/>
            <w:tcBorders>
              <w:top w:val="nil"/>
              <w:left w:val="nil"/>
              <w:bottom w:val="single" w:sz="4" w:space="0" w:color="auto"/>
              <w:right w:val="single" w:sz="4" w:space="0" w:color="auto"/>
            </w:tcBorders>
            <w:shd w:val="clear" w:color="auto" w:fill="auto"/>
            <w:vAlign w:val="center"/>
            <w:hideMark/>
          </w:tcPr>
          <w:p w14:paraId="73F5F74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-2,6 </w:t>
            </w:r>
          </w:p>
        </w:tc>
        <w:tc>
          <w:tcPr>
            <w:tcW w:w="905" w:type="dxa"/>
            <w:tcBorders>
              <w:top w:val="nil"/>
              <w:left w:val="nil"/>
              <w:bottom w:val="single" w:sz="4" w:space="0" w:color="auto"/>
              <w:right w:val="double" w:sz="6" w:space="0" w:color="auto"/>
            </w:tcBorders>
            <w:shd w:val="clear" w:color="auto" w:fill="auto"/>
            <w:vAlign w:val="center"/>
            <w:hideMark/>
          </w:tcPr>
          <w:p w14:paraId="3E1BF71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2,2 </w:t>
            </w:r>
          </w:p>
        </w:tc>
      </w:tr>
      <w:tr w:rsidR="00D470B6" w:rsidRPr="00A53AD7" w14:paraId="6948A6D7"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6FFEAFB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208</w:t>
            </w:r>
          </w:p>
        </w:tc>
        <w:tc>
          <w:tcPr>
            <w:tcW w:w="2774" w:type="dxa"/>
            <w:tcBorders>
              <w:top w:val="nil"/>
              <w:left w:val="nil"/>
              <w:bottom w:val="single" w:sz="4" w:space="0" w:color="auto"/>
              <w:right w:val="single" w:sz="4" w:space="0" w:color="auto"/>
            </w:tcBorders>
            <w:shd w:val="clear" w:color="auto" w:fill="auto"/>
            <w:vAlign w:val="center"/>
            <w:hideMark/>
          </w:tcPr>
          <w:p w14:paraId="18A8C559"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с подотчетными лицами</w:t>
            </w:r>
          </w:p>
        </w:tc>
        <w:tc>
          <w:tcPr>
            <w:tcW w:w="993" w:type="dxa"/>
            <w:tcBorders>
              <w:top w:val="nil"/>
              <w:left w:val="nil"/>
              <w:bottom w:val="single" w:sz="4" w:space="0" w:color="auto"/>
              <w:right w:val="single" w:sz="4" w:space="0" w:color="auto"/>
            </w:tcBorders>
            <w:shd w:val="clear" w:color="auto" w:fill="auto"/>
            <w:vAlign w:val="center"/>
            <w:hideMark/>
          </w:tcPr>
          <w:p w14:paraId="1DA7992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15,3 </w:t>
            </w:r>
          </w:p>
        </w:tc>
        <w:tc>
          <w:tcPr>
            <w:tcW w:w="1066" w:type="dxa"/>
            <w:tcBorders>
              <w:top w:val="nil"/>
              <w:left w:val="nil"/>
              <w:bottom w:val="single" w:sz="4" w:space="0" w:color="auto"/>
              <w:right w:val="single" w:sz="4" w:space="0" w:color="auto"/>
            </w:tcBorders>
            <w:shd w:val="clear" w:color="auto" w:fill="auto"/>
            <w:vAlign w:val="center"/>
            <w:hideMark/>
          </w:tcPr>
          <w:p w14:paraId="41AB8BB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c>
          <w:tcPr>
            <w:tcW w:w="966" w:type="dxa"/>
            <w:tcBorders>
              <w:top w:val="nil"/>
              <w:left w:val="nil"/>
              <w:bottom w:val="single" w:sz="4" w:space="0" w:color="auto"/>
              <w:right w:val="single" w:sz="4" w:space="0" w:color="auto"/>
            </w:tcBorders>
            <w:shd w:val="clear" w:color="auto" w:fill="auto"/>
            <w:vAlign w:val="center"/>
            <w:hideMark/>
          </w:tcPr>
          <w:p w14:paraId="6D1BD2C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9,0 </w:t>
            </w:r>
          </w:p>
        </w:tc>
        <w:tc>
          <w:tcPr>
            <w:tcW w:w="944" w:type="dxa"/>
            <w:tcBorders>
              <w:top w:val="nil"/>
              <w:left w:val="nil"/>
              <w:bottom w:val="single" w:sz="4" w:space="0" w:color="auto"/>
              <w:right w:val="single" w:sz="4" w:space="0" w:color="auto"/>
            </w:tcBorders>
            <w:shd w:val="clear" w:color="auto" w:fill="auto"/>
            <w:vAlign w:val="center"/>
            <w:hideMark/>
          </w:tcPr>
          <w:p w14:paraId="5F73152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-0,4 </w:t>
            </w:r>
          </w:p>
        </w:tc>
        <w:tc>
          <w:tcPr>
            <w:tcW w:w="938" w:type="dxa"/>
            <w:tcBorders>
              <w:top w:val="nil"/>
              <w:left w:val="nil"/>
              <w:bottom w:val="single" w:sz="4" w:space="0" w:color="auto"/>
              <w:right w:val="single" w:sz="4" w:space="0" w:color="auto"/>
            </w:tcBorders>
            <w:shd w:val="clear" w:color="auto" w:fill="auto"/>
            <w:vAlign w:val="center"/>
            <w:hideMark/>
          </w:tcPr>
          <w:p w14:paraId="5D0078B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w:t>
            </w:r>
          </w:p>
        </w:tc>
        <w:tc>
          <w:tcPr>
            <w:tcW w:w="905" w:type="dxa"/>
            <w:tcBorders>
              <w:top w:val="nil"/>
              <w:left w:val="nil"/>
              <w:bottom w:val="single" w:sz="4" w:space="0" w:color="auto"/>
              <w:right w:val="double" w:sz="6" w:space="0" w:color="auto"/>
            </w:tcBorders>
            <w:shd w:val="clear" w:color="auto" w:fill="auto"/>
            <w:vAlign w:val="center"/>
            <w:hideMark/>
          </w:tcPr>
          <w:p w14:paraId="76244A7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-1,8 </w:t>
            </w:r>
          </w:p>
        </w:tc>
      </w:tr>
      <w:tr w:rsidR="00D470B6" w:rsidRPr="00A53AD7" w14:paraId="74AB6CA5"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2335859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209</w:t>
            </w:r>
          </w:p>
        </w:tc>
        <w:tc>
          <w:tcPr>
            <w:tcW w:w="2774" w:type="dxa"/>
            <w:tcBorders>
              <w:top w:val="nil"/>
              <w:left w:val="nil"/>
              <w:bottom w:val="single" w:sz="4" w:space="0" w:color="auto"/>
              <w:right w:val="single" w:sz="4" w:space="0" w:color="auto"/>
            </w:tcBorders>
            <w:shd w:val="clear" w:color="auto" w:fill="auto"/>
            <w:vAlign w:val="center"/>
            <w:hideMark/>
          </w:tcPr>
          <w:p w14:paraId="575197AA"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ущербу и иным доходам</w:t>
            </w:r>
          </w:p>
        </w:tc>
        <w:tc>
          <w:tcPr>
            <w:tcW w:w="993" w:type="dxa"/>
            <w:tcBorders>
              <w:top w:val="nil"/>
              <w:left w:val="nil"/>
              <w:bottom w:val="single" w:sz="4" w:space="0" w:color="auto"/>
              <w:right w:val="single" w:sz="4" w:space="0" w:color="auto"/>
            </w:tcBorders>
            <w:shd w:val="clear" w:color="auto" w:fill="auto"/>
            <w:vAlign w:val="center"/>
            <w:hideMark/>
          </w:tcPr>
          <w:p w14:paraId="703430F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43,6 </w:t>
            </w:r>
          </w:p>
        </w:tc>
        <w:tc>
          <w:tcPr>
            <w:tcW w:w="1066" w:type="dxa"/>
            <w:tcBorders>
              <w:top w:val="nil"/>
              <w:left w:val="nil"/>
              <w:bottom w:val="single" w:sz="4" w:space="0" w:color="auto"/>
              <w:right w:val="single" w:sz="4" w:space="0" w:color="auto"/>
            </w:tcBorders>
            <w:shd w:val="clear" w:color="auto" w:fill="auto"/>
            <w:vAlign w:val="center"/>
            <w:hideMark/>
          </w:tcPr>
          <w:p w14:paraId="1D48711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36,5 </w:t>
            </w:r>
          </w:p>
        </w:tc>
        <w:tc>
          <w:tcPr>
            <w:tcW w:w="966" w:type="dxa"/>
            <w:tcBorders>
              <w:top w:val="nil"/>
              <w:left w:val="nil"/>
              <w:bottom w:val="single" w:sz="4" w:space="0" w:color="auto"/>
              <w:right w:val="single" w:sz="4" w:space="0" w:color="auto"/>
            </w:tcBorders>
            <w:shd w:val="clear" w:color="auto" w:fill="auto"/>
            <w:vAlign w:val="center"/>
            <w:hideMark/>
          </w:tcPr>
          <w:p w14:paraId="7F2854A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7,1 </w:t>
            </w:r>
          </w:p>
        </w:tc>
        <w:tc>
          <w:tcPr>
            <w:tcW w:w="944" w:type="dxa"/>
            <w:tcBorders>
              <w:top w:val="nil"/>
              <w:left w:val="nil"/>
              <w:bottom w:val="single" w:sz="4" w:space="0" w:color="auto"/>
              <w:right w:val="single" w:sz="4" w:space="0" w:color="auto"/>
            </w:tcBorders>
            <w:shd w:val="clear" w:color="auto" w:fill="auto"/>
            <w:vAlign w:val="center"/>
            <w:hideMark/>
          </w:tcPr>
          <w:p w14:paraId="494472D1"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 </w:t>
            </w:r>
          </w:p>
        </w:tc>
        <w:tc>
          <w:tcPr>
            <w:tcW w:w="938" w:type="dxa"/>
            <w:tcBorders>
              <w:top w:val="nil"/>
              <w:left w:val="nil"/>
              <w:bottom w:val="single" w:sz="4" w:space="0" w:color="auto"/>
              <w:right w:val="single" w:sz="4" w:space="0" w:color="auto"/>
            </w:tcBorders>
            <w:shd w:val="clear" w:color="auto" w:fill="auto"/>
            <w:vAlign w:val="center"/>
            <w:hideMark/>
          </w:tcPr>
          <w:p w14:paraId="61F5A85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05" w:type="dxa"/>
            <w:tcBorders>
              <w:top w:val="nil"/>
              <w:left w:val="nil"/>
              <w:bottom w:val="single" w:sz="4" w:space="0" w:color="auto"/>
              <w:right w:val="double" w:sz="6" w:space="0" w:color="auto"/>
            </w:tcBorders>
            <w:shd w:val="clear" w:color="auto" w:fill="auto"/>
            <w:vAlign w:val="center"/>
            <w:hideMark/>
          </w:tcPr>
          <w:p w14:paraId="284831C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-1,2 </w:t>
            </w:r>
          </w:p>
        </w:tc>
      </w:tr>
      <w:tr w:rsidR="00D470B6" w:rsidRPr="00A53AD7" w14:paraId="53F4C9C5"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6F73FAB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210</w:t>
            </w:r>
          </w:p>
        </w:tc>
        <w:tc>
          <w:tcPr>
            <w:tcW w:w="2774" w:type="dxa"/>
            <w:tcBorders>
              <w:top w:val="nil"/>
              <w:left w:val="nil"/>
              <w:bottom w:val="single" w:sz="4" w:space="0" w:color="auto"/>
              <w:right w:val="single" w:sz="4" w:space="0" w:color="auto"/>
            </w:tcBorders>
            <w:shd w:val="clear" w:color="auto" w:fill="auto"/>
            <w:vAlign w:val="center"/>
            <w:hideMark/>
          </w:tcPr>
          <w:p w14:paraId="4F661339"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Прочие расчеты с дебиторами</w:t>
            </w:r>
          </w:p>
        </w:tc>
        <w:tc>
          <w:tcPr>
            <w:tcW w:w="993" w:type="dxa"/>
            <w:tcBorders>
              <w:top w:val="nil"/>
              <w:left w:val="nil"/>
              <w:bottom w:val="single" w:sz="4" w:space="0" w:color="auto"/>
              <w:right w:val="single" w:sz="4" w:space="0" w:color="auto"/>
            </w:tcBorders>
            <w:shd w:val="clear" w:color="auto" w:fill="auto"/>
            <w:vAlign w:val="center"/>
            <w:hideMark/>
          </w:tcPr>
          <w:p w14:paraId="19FC5C5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10,2 </w:t>
            </w:r>
          </w:p>
        </w:tc>
        <w:tc>
          <w:tcPr>
            <w:tcW w:w="1066" w:type="dxa"/>
            <w:tcBorders>
              <w:top w:val="nil"/>
              <w:left w:val="nil"/>
              <w:bottom w:val="single" w:sz="4" w:space="0" w:color="auto"/>
              <w:right w:val="single" w:sz="4" w:space="0" w:color="auto"/>
            </w:tcBorders>
            <w:shd w:val="clear" w:color="auto" w:fill="auto"/>
            <w:vAlign w:val="center"/>
            <w:hideMark/>
          </w:tcPr>
          <w:p w14:paraId="016EEE91"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10,1 </w:t>
            </w:r>
          </w:p>
        </w:tc>
        <w:tc>
          <w:tcPr>
            <w:tcW w:w="966" w:type="dxa"/>
            <w:tcBorders>
              <w:top w:val="nil"/>
              <w:left w:val="nil"/>
              <w:bottom w:val="single" w:sz="4" w:space="0" w:color="auto"/>
              <w:right w:val="single" w:sz="4" w:space="0" w:color="auto"/>
            </w:tcBorders>
            <w:shd w:val="clear" w:color="auto" w:fill="auto"/>
            <w:vAlign w:val="center"/>
            <w:hideMark/>
          </w:tcPr>
          <w:p w14:paraId="17C2E14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44" w:type="dxa"/>
            <w:tcBorders>
              <w:top w:val="nil"/>
              <w:left w:val="nil"/>
              <w:bottom w:val="single" w:sz="4" w:space="0" w:color="auto"/>
              <w:right w:val="single" w:sz="4" w:space="0" w:color="auto"/>
            </w:tcBorders>
            <w:shd w:val="clear" w:color="auto" w:fill="auto"/>
            <w:vAlign w:val="center"/>
            <w:hideMark/>
          </w:tcPr>
          <w:p w14:paraId="2A4A42C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38" w:type="dxa"/>
            <w:tcBorders>
              <w:top w:val="nil"/>
              <w:left w:val="nil"/>
              <w:bottom w:val="single" w:sz="4" w:space="0" w:color="auto"/>
              <w:right w:val="single" w:sz="4" w:space="0" w:color="auto"/>
            </w:tcBorders>
            <w:shd w:val="clear" w:color="auto" w:fill="auto"/>
            <w:vAlign w:val="center"/>
            <w:hideMark/>
          </w:tcPr>
          <w:p w14:paraId="7DEFCE2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0,2 </w:t>
            </w:r>
          </w:p>
        </w:tc>
        <w:tc>
          <w:tcPr>
            <w:tcW w:w="905" w:type="dxa"/>
            <w:tcBorders>
              <w:top w:val="nil"/>
              <w:left w:val="nil"/>
              <w:bottom w:val="single" w:sz="4" w:space="0" w:color="auto"/>
              <w:right w:val="double" w:sz="6" w:space="0" w:color="auto"/>
            </w:tcBorders>
            <w:shd w:val="clear" w:color="auto" w:fill="auto"/>
            <w:vAlign w:val="center"/>
            <w:hideMark/>
          </w:tcPr>
          <w:p w14:paraId="73C47CC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r>
      <w:tr w:rsidR="00D470B6" w:rsidRPr="00A53AD7" w14:paraId="1080CB96" w14:textId="77777777" w:rsidTr="002001F0">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70ED69C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303</w:t>
            </w:r>
          </w:p>
        </w:tc>
        <w:tc>
          <w:tcPr>
            <w:tcW w:w="2774" w:type="dxa"/>
            <w:tcBorders>
              <w:top w:val="nil"/>
              <w:left w:val="nil"/>
              <w:bottom w:val="single" w:sz="4" w:space="0" w:color="auto"/>
              <w:right w:val="single" w:sz="4" w:space="0" w:color="auto"/>
            </w:tcBorders>
            <w:shd w:val="clear" w:color="auto" w:fill="auto"/>
            <w:vAlign w:val="center"/>
            <w:hideMark/>
          </w:tcPr>
          <w:p w14:paraId="5F00B224"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платежам в бюджеты</w:t>
            </w:r>
          </w:p>
        </w:tc>
        <w:tc>
          <w:tcPr>
            <w:tcW w:w="993" w:type="dxa"/>
            <w:tcBorders>
              <w:top w:val="nil"/>
              <w:left w:val="nil"/>
              <w:bottom w:val="single" w:sz="4" w:space="0" w:color="auto"/>
              <w:right w:val="single" w:sz="4" w:space="0" w:color="auto"/>
            </w:tcBorders>
            <w:shd w:val="clear" w:color="auto" w:fill="auto"/>
            <w:vAlign w:val="center"/>
            <w:hideMark/>
          </w:tcPr>
          <w:p w14:paraId="38BEF2C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130,3 </w:t>
            </w:r>
          </w:p>
        </w:tc>
        <w:tc>
          <w:tcPr>
            <w:tcW w:w="1066" w:type="dxa"/>
            <w:tcBorders>
              <w:top w:val="nil"/>
              <w:left w:val="nil"/>
              <w:bottom w:val="single" w:sz="4" w:space="0" w:color="auto"/>
              <w:right w:val="single" w:sz="4" w:space="0" w:color="auto"/>
            </w:tcBorders>
            <w:shd w:val="clear" w:color="auto" w:fill="auto"/>
            <w:vAlign w:val="center"/>
            <w:hideMark/>
          </w:tcPr>
          <w:p w14:paraId="1075BFF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68,8 </w:t>
            </w:r>
          </w:p>
        </w:tc>
        <w:tc>
          <w:tcPr>
            <w:tcW w:w="966" w:type="dxa"/>
            <w:tcBorders>
              <w:top w:val="nil"/>
              <w:left w:val="nil"/>
              <w:bottom w:val="single" w:sz="4" w:space="0" w:color="auto"/>
              <w:right w:val="single" w:sz="4" w:space="0" w:color="auto"/>
            </w:tcBorders>
            <w:shd w:val="clear" w:color="auto" w:fill="auto"/>
            <w:vAlign w:val="center"/>
            <w:hideMark/>
          </w:tcPr>
          <w:p w14:paraId="105285F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61,5 </w:t>
            </w:r>
          </w:p>
        </w:tc>
        <w:tc>
          <w:tcPr>
            <w:tcW w:w="944" w:type="dxa"/>
            <w:tcBorders>
              <w:top w:val="nil"/>
              <w:left w:val="nil"/>
              <w:bottom w:val="single" w:sz="4" w:space="0" w:color="auto"/>
              <w:right w:val="single" w:sz="4" w:space="0" w:color="auto"/>
            </w:tcBorders>
            <w:shd w:val="clear" w:color="auto" w:fill="auto"/>
            <w:vAlign w:val="center"/>
            <w:hideMark/>
          </w:tcPr>
          <w:p w14:paraId="48E9BAF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-80,5 </w:t>
            </w:r>
          </w:p>
        </w:tc>
        <w:tc>
          <w:tcPr>
            <w:tcW w:w="938" w:type="dxa"/>
            <w:tcBorders>
              <w:top w:val="nil"/>
              <w:left w:val="nil"/>
              <w:bottom w:val="single" w:sz="4" w:space="0" w:color="auto"/>
              <w:right w:val="single" w:sz="4" w:space="0" w:color="auto"/>
            </w:tcBorders>
            <w:shd w:val="clear" w:color="auto" w:fill="auto"/>
            <w:vAlign w:val="center"/>
            <w:hideMark/>
          </w:tcPr>
          <w:p w14:paraId="49B6104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-69,5 </w:t>
            </w:r>
          </w:p>
        </w:tc>
        <w:tc>
          <w:tcPr>
            <w:tcW w:w="905" w:type="dxa"/>
            <w:tcBorders>
              <w:top w:val="nil"/>
              <w:left w:val="nil"/>
              <w:bottom w:val="single" w:sz="4" w:space="0" w:color="auto"/>
              <w:right w:val="double" w:sz="6" w:space="0" w:color="auto"/>
            </w:tcBorders>
            <w:shd w:val="clear" w:color="auto" w:fill="auto"/>
            <w:vAlign w:val="center"/>
            <w:hideMark/>
          </w:tcPr>
          <w:p w14:paraId="689AAA3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-10,9 </w:t>
            </w:r>
          </w:p>
        </w:tc>
      </w:tr>
      <w:tr w:rsidR="00B029F6" w:rsidRPr="00A53AD7" w14:paraId="19EC63E9" w14:textId="77777777" w:rsidTr="002001F0">
        <w:trPr>
          <w:trHeight w:val="64"/>
        </w:trPr>
        <w:tc>
          <w:tcPr>
            <w:tcW w:w="3436"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380EF789" w14:textId="77777777" w:rsidR="00B029F6" w:rsidRPr="00A53AD7" w:rsidRDefault="00B029F6" w:rsidP="00B029F6">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993" w:type="dxa"/>
            <w:tcBorders>
              <w:top w:val="nil"/>
              <w:left w:val="nil"/>
              <w:bottom w:val="double" w:sz="6" w:space="0" w:color="auto"/>
              <w:right w:val="single" w:sz="4" w:space="0" w:color="auto"/>
            </w:tcBorders>
            <w:shd w:val="clear" w:color="auto" w:fill="auto"/>
            <w:vAlign w:val="center"/>
            <w:hideMark/>
          </w:tcPr>
          <w:p w14:paraId="313B0588"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30 013,6 </w:t>
            </w:r>
          </w:p>
        </w:tc>
        <w:tc>
          <w:tcPr>
            <w:tcW w:w="1066" w:type="dxa"/>
            <w:tcBorders>
              <w:top w:val="nil"/>
              <w:left w:val="nil"/>
              <w:bottom w:val="double" w:sz="6" w:space="0" w:color="auto"/>
              <w:right w:val="single" w:sz="4" w:space="0" w:color="auto"/>
            </w:tcBorders>
            <w:shd w:val="clear" w:color="auto" w:fill="auto"/>
            <w:vAlign w:val="center"/>
            <w:hideMark/>
          </w:tcPr>
          <w:p w14:paraId="4050062D"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26 391,1 </w:t>
            </w:r>
          </w:p>
        </w:tc>
        <w:tc>
          <w:tcPr>
            <w:tcW w:w="966" w:type="dxa"/>
            <w:tcBorders>
              <w:top w:val="nil"/>
              <w:left w:val="nil"/>
              <w:bottom w:val="double" w:sz="6" w:space="0" w:color="auto"/>
              <w:right w:val="single" w:sz="4" w:space="0" w:color="auto"/>
            </w:tcBorders>
            <w:shd w:val="clear" w:color="auto" w:fill="auto"/>
            <w:vAlign w:val="center"/>
            <w:hideMark/>
          </w:tcPr>
          <w:p w14:paraId="5909C908"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3 622,5 </w:t>
            </w:r>
          </w:p>
        </w:tc>
        <w:tc>
          <w:tcPr>
            <w:tcW w:w="944" w:type="dxa"/>
            <w:tcBorders>
              <w:top w:val="nil"/>
              <w:left w:val="nil"/>
              <w:bottom w:val="double" w:sz="6" w:space="0" w:color="auto"/>
              <w:right w:val="single" w:sz="4" w:space="0" w:color="auto"/>
            </w:tcBorders>
            <w:shd w:val="clear" w:color="auto" w:fill="auto"/>
            <w:vAlign w:val="center"/>
            <w:hideMark/>
          </w:tcPr>
          <w:p w14:paraId="67722C31"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13 515,0 </w:t>
            </w:r>
          </w:p>
        </w:tc>
        <w:tc>
          <w:tcPr>
            <w:tcW w:w="938" w:type="dxa"/>
            <w:tcBorders>
              <w:top w:val="nil"/>
              <w:left w:val="nil"/>
              <w:bottom w:val="double" w:sz="6" w:space="0" w:color="auto"/>
              <w:right w:val="single" w:sz="4" w:space="0" w:color="auto"/>
            </w:tcBorders>
            <w:shd w:val="clear" w:color="auto" w:fill="auto"/>
            <w:vAlign w:val="center"/>
            <w:hideMark/>
          </w:tcPr>
          <w:p w14:paraId="22165069"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10 183,3 </w:t>
            </w:r>
          </w:p>
        </w:tc>
        <w:tc>
          <w:tcPr>
            <w:tcW w:w="905" w:type="dxa"/>
            <w:tcBorders>
              <w:top w:val="nil"/>
              <w:left w:val="nil"/>
              <w:bottom w:val="double" w:sz="6" w:space="0" w:color="auto"/>
              <w:right w:val="double" w:sz="6" w:space="0" w:color="auto"/>
            </w:tcBorders>
            <w:shd w:val="clear" w:color="auto" w:fill="auto"/>
            <w:vAlign w:val="center"/>
            <w:hideMark/>
          </w:tcPr>
          <w:p w14:paraId="4D17823E"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3 331,6 </w:t>
            </w:r>
          </w:p>
        </w:tc>
      </w:tr>
    </w:tbl>
    <w:p w14:paraId="1CC19DE4" w14:textId="77777777" w:rsidR="00B029F6" w:rsidRPr="00A53AD7" w:rsidRDefault="00B029F6" w:rsidP="00B029F6">
      <w:pPr>
        <w:spacing w:after="0" w:line="240" w:lineRule="auto"/>
        <w:jc w:val="both"/>
        <w:rPr>
          <w:rFonts w:ascii="Times New Roman" w:hAnsi="Times New Roman"/>
          <w:sz w:val="16"/>
          <w:szCs w:val="16"/>
          <w:highlight w:val="cyan"/>
        </w:rPr>
      </w:pPr>
    </w:p>
    <w:p w14:paraId="4AD2E8CD"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объем дебиторской задолженности на 01.10.2019 сложился в учреждениях по счету 205 «Расчеты по доходам» в сумме 29 682,6 тыс.руб., которая увеличилась на 13 597,4 млн.руб., из нее по аналитическому счету 205.31 «Расчеты по доходам от оказания платных услуг (работ)», по виду финансового обеспечения «Субсидия на выполнение государственного (муниципального) задания» в сумме 26 689,7 млн.руб., которая за 2019 год увеличилась на 11 281,5 млн.руб. или на 73,2 %.</w:t>
      </w:r>
    </w:p>
    <w:p w14:paraId="645511AF" w14:textId="77777777" w:rsidR="000029E6" w:rsidRPr="00A53AD7" w:rsidRDefault="000029E6" w:rsidP="000029E6">
      <w:pPr>
        <w:spacing w:after="0" w:line="240" w:lineRule="auto"/>
        <w:ind w:firstLine="851"/>
        <w:jc w:val="both"/>
        <w:rPr>
          <w:rFonts w:ascii="Times New Roman" w:hAnsi="Times New Roman"/>
          <w:sz w:val="28"/>
          <w:szCs w:val="28"/>
        </w:rPr>
      </w:pPr>
      <w:r w:rsidRPr="00A53AD7">
        <w:rPr>
          <w:rFonts w:ascii="Times New Roman" w:hAnsi="Times New Roman"/>
          <w:sz w:val="28"/>
          <w:szCs w:val="28"/>
        </w:rPr>
        <w:t>Указанная сумма выше дебиторская задолженность является начисленной суммой субсидий на выполнение государственного и муниципального задания учреждениями, согласно заключенным соглашениям с учредителями, в которых, как правило, предусматриваются суммы финансирования из бюджетов на плановый период 2020 и 2022 годов.</w:t>
      </w:r>
    </w:p>
    <w:p w14:paraId="00E304EF" w14:textId="7685CF11"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государственных учреждениях указанная сумма дебиторской задолженности по сч. 205.31 за счет субсидии на выполнение государственного задания на 01.01.2020 составляет 23 384,1 млн.руб. (увеличилась на 8 013,6 млн.руб. или на 52,1 %), в муниципальных учреждениях – 3 305,6 млн.руб. (увеличилась на 3 267,9 млн.руб.).</w:t>
      </w:r>
    </w:p>
    <w:p w14:paraId="2040F42E" w14:textId="1D8A874D"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Без учета обозначенной дебиторской задолженности по счету 205.31 за счет субсидии на государственное и муниципальное задание, общая сумма дебиторской задолженности государственных и муниципальных учреждений на 01.01.2020 составляет 3 323,9 млн.руб., которая за 2019 год увеличилась на 2 233,5 млн.руб. или в 3 раза и ее показатели представлены на рисунке </w:t>
      </w:r>
      <w:r w:rsidR="00A55047" w:rsidRPr="00A53AD7">
        <w:rPr>
          <w:rFonts w:ascii="Times New Roman" w:hAnsi="Times New Roman"/>
          <w:sz w:val="28"/>
          <w:szCs w:val="28"/>
        </w:rPr>
        <w:t>71</w:t>
      </w:r>
      <w:r w:rsidRPr="00A53AD7">
        <w:rPr>
          <w:rFonts w:ascii="Times New Roman" w:hAnsi="Times New Roman"/>
          <w:sz w:val="28"/>
          <w:szCs w:val="28"/>
        </w:rPr>
        <w:t>.</w:t>
      </w:r>
    </w:p>
    <w:p w14:paraId="76E45AC1"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317AA5D9" w14:textId="67387551" w:rsidR="00B029F6" w:rsidRPr="00A53AD7" w:rsidRDefault="00DF56F3"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44BD4B03" wp14:editId="1D964129">
            <wp:extent cx="5041900" cy="179832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1900" cy="1798320"/>
                    </a:xfrm>
                    <a:prstGeom prst="rect">
                      <a:avLst/>
                    </a:prstGeom>
                    <a:noFill/>
                  </pic:spPr>
                </pic:pic>
              </a:graphicData>
            </a:graphic>
          </wp:inline>
        </w:drawing>
      </w:r>
    </w:p>
    <w:p w14:paraId="49393E23" w14:textId="77777777" w:rsidR="00B029F6" w:rsidRPr="00A53AD7" w:rsidRDefault="00B029F6" w:rsidP="00162B1D">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71</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дебиторской задолженности государственных, муниципальных бюджетных и автономных учреждений, отражённая в отчетах по форме 0503769 за 2019 год, за счет всех видов финансового обеспечения, без учета дебиторской задолженности по счету 205.31 «Расчеты по доходам от оказания платных услуг (работ)» по субсидии на выполнение государственного и муниципального задания, млн.руб.</w:t>
      </w:r>
    </w:p>
    <w:p w14:paraId="3411A96B" w14:textId="77777777" w:rsidR="00B029F6" w:rsidRPr="00A53AD7" w:rsidRDefault="00B029F6" w:rsidP="00B029F6">
      <w:pPr>
        <w:spacing w:after="0" w:line="240" w:lineRule="auto"/>
        <w:jc w:val="both"/>
        <w:rPr>
          <w:rFonts w:ascii="Times New Roman" w:hAnsi="Times New Roman"/>
          <w:sz w:val="16"/>
          <w:szCs w:val="16"/>
          <w:highlight w:val="cyan"/>
        </w:rPr>
      </w:pPr>
    </w:p>
    <w:p w14:paraId="249D4C82" w14:textId="45F3EC2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Наибольшая задолженность сложилась в государственных учреждениях, финансируемых из областного бюджета, удельный вес которой на 01.01.2020 составил 90,5 % и показатели по государственным и муниципальным учреждениям представлены на рисунке </w:t>
      </w:r>
      <w:r w:rsidR="00A55047" w:rsidRPr="00A53AD7">
        <w:rPr>
          <w:rFonts w:ascii="Times New Roman" w:hAnsi="Times New Roman"/>
          <w:sz w:val="28"/>
          <w:szCs w:val="28"/>
        </w:rPr>
        <w:t>72</w:t>
      </w:r>
      <w:r w:rsidRPr="00A53AD7">
        <w:rPr>
          <w:rFonts w:ascii="Times New Roman" w:hAnsi="Times New Roman"/>
          <w:sz w:val="28"/>
          <w:szCs w:val="28"/>
        </w:rPr>
        <w:t>.</w:t>
      </w:r>
    </w:p>
    <w:p w14:paraId="418CDA83" w14:textId="77777777" w:rsidR="00B029F6" w:rsidRPr="00A53AD7" w:rsidRDefault="00B029F6" w:rsidP="00B029F6">
      <w:pPr>
        <w:spacing w:after="0" w:line="240" w:lineRule="auto"/>
        <w:ind w:firstLine="851"/>
        <w:jc w:val="both"/>
        <w:rPr>
          <w:rFonts w:ascii="Times New Roman" w:hAnsi="Times New Roman"/>
          <w:sz w:val="16"/>
          <w:szCs w:val="16"/>
        </w:rPr>
      </w:pPr>
    </w:p>
    <w:p w14:paraId="53A7B1C6" w14:textId="6724C0CF" w:rsidR="00B029F6" w:rsidRPr="00A53AD7" w:rsidRDefault="00DF56F3" w:rsidP="00B029F6">
      <w:pPr>
        <w:keepNext/>
        <w:spacing w:after="0" w:line="240" w:lineRule="auto"/>
        <w:jc w:val="center"/>
      </w:pPr>
      <w:r w:rsidRPr="00A53AD7">
        <w:rPr>
          <w:noProof/>
          <w:lang w:eastAsia="ru-RU"/>
        </w:rPr>
        <w:drawing>
          <wp:inline distT="0" distB="0" distL="0" distR="0" wp14:anchorId="4899C7FB" wp14:editId="4581AE0B">
            <wp:extent cx="4596765" cy="179832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96765" cy="1798320"/>
                    </a:xfrm>
                    <a:prstGeom prst="rect">
                      <a:avLst/>
                    </a:prstGeom>
                    <a:noFill/>
                  </pic:spPr>
                </pic:pic>
              </a:graphicData>
            </a:graphic>
          </wp:inline>
        </w:drawing>
      </w:r>
    </w:p>
    <w:p w14:paraId="635BDF21" w14:textId="77777777" w:rsidR="00B029F6" w:rsidRPr="00A53AD7" w:rsidRDefault="00B029F6" w:rsidP="00C64588">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72</w:t>
      </w:r>
      <w:r w:rsidRPr="00A53AD7">
        <w:rPr>
          <w:rFonts w:ascii="Times New Roman" w:hAnsi="Times New Roman"/>
          <w:b w:val="0"/>
          <w:sz w:val="24"/>
          <w:szCs w:val="24"/>
        </w:rPr>
        <w:fldChar w:fldCharType="end"/>
      </w:r>
      <w:r w:rsidRPr="00A53AD7">
        <w:rPr>
          <w:rFonts w:ascii="Times New Roman" w:hAnsi="Times New Roman"/>
          <w:b w:val="0"/>
          <w:sz w:val="24"/>
          <w:szCs w:val="24"/>
        </w:rPr>
        <w:t>. Дебиторская задолженность государственных, муниципальных бюджетных и автономных учреждений, отражённая в отчетах по форме 0503769 на 01.01.2020, за счет всех видов финансового обеспечения, без учета дебиторской задолженности по счету 205.31 «Расчеты по доходам от оказания платных услуг (работ)» по субсидии на выполнение государственного и муниципального задания, млн.руб.</w:t>
      </w:r>
    </w:p>
    <w:p w14:paraId="568BEBE6"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50E5BA82"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без учета дебиторской задолженности по счету 205.31, за счет субсидии на государственное и муниципальное задание, общая сумма дебиторской задолженности в государственных учреждениях составляет 3 007,0 млн.руб. и за 2019 год она увеличилась на 2 169,7 млн.руб. или в 3,6 раза, а в муниципальных учреждениях – 316,9 млн.руб., которая увеличилась за отчетный период на 63,7 млн.руб. или на 35,2 %.</w:t>
      </w:r>
    </w:p>
    <w:p w14:paraId="1830F2E8"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дебиторской задолженности, просроченная дебиторская задолженность государственных и муниципальных учреждений на конец отчетного периода, отраженная в отчетах по форме 0503769, составила 57,1 млн.руб., которая за 2019 год сократилась на 6,5 млн.руб. или на 10,2 %.</w:t>
      </w:r>
    </w:p>
    <w:p w14:paraId="28E3746A" w14:textId="091FDFE2"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 рисунках </w:t>
      </w:r>
      <w:r w:rsidR="00C32BB2" w:rsidRPr="00A53AD7">
        <w:rPr>
          <w:rFonts w:ascii="Times New Roman" w:hAnsi="Times New Roman"/>
          <w:sz w:val="28"/>
          <w:szCs w:val="28"/>
        </w:rPr>
        <w:t xml:space="preserve">73 </w:t>
      </w:r>
      <w:r w:rsidRPr="00A53AD7">
        <w:rPr>
          <w:rFonts w:ascii="Times New Roman" w:hAnsi="Times New Roman"/>
          <w:sz w:val="28"/>
          <w:szCs w:val="28"/>
        </w:rPr>
        <w:t xml:space="preserve">и </w:t>
      </w:r>
      <w:r w:rsidR="00C32BB2" w:rsidRPr="00A53AD7">
        <w:rPr>
          <w:rFonts w:ascii="Times New Roman" w:hAnsi="Times New Roman"/>
          <w:sz w:val="28"/>
          <w:szCs w:val="28"/>
        </w:rPr>
        <w:t xml:space="preserve">74 </w:t>
      </w:r>
      <w:r w:rsidRPr="00A53AD7">
        <w:rPr>
          <w:rFonts w:ascii="Times New Roman" w:hAnsi="Times New Roman"/>
          <w:sz w:val="28"/>
          <w:szCs w:val="28"/>
        </w:rPr>
        <w:t>отражены сведения о просроченной дебиторской задолженности государственных и муниципальных учреждений за 2019 год.</w:t>
      </w:r>
    </w:p>
    <w:p w14:paraId="38F5E0F2" w14:textId="77777777" w:rsidR="00B029F6" w:rsidRPr="00A53AD7" w:rsidRDefault="00B029F6" w:rsidP="00B029F6">
      <w:pPr>
        <w:spacing w:after="0" w:line="240" w:lineRule="auto"/>
        <w:ind w:firstLine="851"/>
        <w:jc w:val="both"/>
        <w:rPr>
          <w:rFonts w:ascii="Times New Roman" w:hAnsi="Times New Roman"/>
          <w:sz w:val="16"/>
          <w:szCs w:val="16"/>
        </w:rPr>
      </w:pPr>
    </w:p>
    <w:p w14:paraId="4BC386F8" w14:textId="1054360A" w:rsidR="00B029F6" w:rsidRPr="00A53AD7" w:rsidRDefault="00DF56F3"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7B877BC2" wp14:editId="791C2721">
            <wp:extent cx="5377180" cy="179832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77180" cy="1798320"/>
                    </a:xfrm>
                    <a:prstGeom prst="rect">
                      <a:avLst/>
                    </a:prstGeom>
                    <a:noFill/>
                  </pic:spPr>
                </pic:pic>
              </a:graphicData>
            </a:graphic>
          </wp:inline>
        </w:drawing>
      </w:r>
    </w:p>
    <w:p w14:paraId="271DB6E1" w14:textId="77777777" w:rsidR="00B029F6" w:rsidRPr="00A53AD7" w:rsidRDefault="00B029F6" w:rsidP="00ED2D9C">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73</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просроченной дебиторской задолженности государственных, муниципальных бюджетных и автономных учреждений, отражённая в отчетах по форме 0503769 за 2019 год, за счет всех видов финансового обеспечения, млн.руб.</w:t>
      </w:r>
    </w:p>
    <w:p w14:paraId="39FDA6F6" w14:textId="77777777" w:rsidR="00B029F6" w:rsidRPr="00A53AD7" w:rsidRDefault="00B029F6" w:rsidP="00B029F6">
      <w:pPr>
        <w:spacing w:after="0" w:line="240" w:lineRule="auto"/>
        <w:jc w:val="both"/>
        <w:rPr>
          <w:rFonts w:ascii="Times New Roman" w:hAnsi="Times New Roman"/>
          <w:sz w:val="16"/>
          <w:szCs w:val="16"/>
          <w:highlight w:val="cyan"/>
        </w:rPr>
      </w:pPr>
    </w:p>
    <w:p w14:paraId="52FB014F"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удельный вес в составе просроченной дебиторской задолженности учреждений составляет задолженность государственных учреждений, удельный вес которой на 01.01.2020 составляет 91,7 % на сумму 52,3 млн.руб.</w:t>
      </w:r>
    </w:p>
    <w:p w14:paraId="026E1AA8" w14:textId="77777777" w:rsidR="00B029F6" w:rsidRPr="00A53AD7" w:rsidRDefault="00B029F6" w:rsidP="00B029F6">
      <w:pPr>
        <w:spacing w:after="0" w:line="240" w:lineRule="auto"/>
        <w:ind w:firstLine="851"/>
        <w:jc w:val="both"/>
        <w:rPr>
          <w:rFonts w:ascii="Times New Roman" w:hAnsi="Times New Roman"/>
          <w:sz w:val="16"/>
          <w:szCs w:val="16"/>
        </w:rPr>
      </w:pPr>
    </w:p>
    <w:p w14:paraId="5501422C" w14:textId="166FA7DF" w:rsidR="00B029F6" w:rsidRPr="00A53AD7" w:rsidRDefault="00DF56F3" w:rsidP="00B029F6">
      <w:pPr>
        <w:keepNext/>
        <w:spacing w:after="0" w:line="240" w:lineRule="auto"/>
        <w:jc w:val="center"/>
      </w:pPr>
      <w:r w:rsidRPr="00A53AD7">
        <w:rPr>
          <w:noProof/>
          <w:lang w:eastAsia="ru-RU"/>
        </w:rPr>
        <w:drawing>
          <wp:inline distT="0" distB="0" distL="0" distR="0" wp14:anchorId="3D13842F" wp14:editId="36A854DA">
            <wp:extent cx="5639435" cy="179832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39435" cy="1798320"/>
                    </a:xfrm>
                    <a:prstGeom prst="rect">
                      <a:avLst/>
                    </a:prstGeom>
                    <a:noFill/>
                  </pic:spPr>
                </pic:pic>
              </a:graphicData>
            </a:graphic>
          </wp:inline>
        </w:drawing>
      </w:r>
    </w:p>
    <w:p w14:paraId="2C547318" w14:textId="6051A23E" w:rsidR="00B029F6" w:rsidRPr="00A53AD7" w:rsidRDefault="00B029F6" w:rsidP="00ED2D9C">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74</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дебиторская задолженность государственных, муниципальных бюджетных и автономных учреждений, отражённая в отчетах по форме 0503769 за 2019 год, за счет всех видов финансового обеспечения, млн.руб.</w:t>
      </w:r>
    </w:p>
    <w:p w14:paraId="3ED039C8"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5545943B"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просроченная дебиторская задолженность в муниципальных учреждениях составила 4,7 млн.руб., и она сократилась на 0,5 млн.руб., в областных учреждениях – 52,3 млн.руб., которая за отчетный период сократилась на 6,0 млн.руб.</w:t>
      </w:r>
    </w:p>
    <w:p w14:paraId="69548ED2" w14:textId="1CEB5755"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синтетическим счетам бухгалтерского учета просроченная дебиторская задолженность на 01.01.2020 и ее изменение за 9 месяцев 2019 года характеризуется показателями, отраженными в таблице </w:t>
      </w:r>
      <w:r w:rsidR="00EC3F83" w:rsidRPr="00A53AD7">
        <w:rPr>
          <w:rFonts w:ascii="Times New Roman" w:hAnsi="Times New Roman"/>
          <w:sz w:val="28"/>
          <w:szCs w:val="28"/>
        </w:rPr>
        <w:t>72</w:t>
      </w:r>
      <w:r w:rsidRPr="00A53AD7">
        <w:rPr>
          <w:rFonts w:ascii="Times New Roman" w:hAnsi="Times New Roman"/>
          <w:sz w:val="28"/>
          <w:szCs w:val="28"/>
        </w:rPr>
        <w:t>.</w:t>
      </w:r>
    </w:p>
    <w:p w14:paraId="6BF80400"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24BE5B8E" w14:textId="77777777" w:rsidR="00B029F6" w:rsidRPr="00A53AD7" w:rsidRDefault="00B029F6" w:rsidP="00B4242A">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72</w:t>
      </w:r>
      <w:r w:rsidRPr="00A53AD7">
        <w:rPr>
          <w:rFonts w:ascii="Times New Roman" w:hAnsi="Times New Roman"/>
          <w:b w:val="0"/>
          <w:sz w:val="24"/>
          <w:szCs w:val="24"/>
        </w:rPr>
        <w:fldChar w:fldCharType="end"/>
      </w:r>
      <w:r w:rsidRPr="00A53AD7">
        <w:rPr>
          <w:rFonts w:ascii="Times New Roman" w:hAnsi="Times New Roman"/>
          <w:b w:val="0"/>
          <w:sz w:val="24"/>
          <w:szCs w:val="24"/>
        </w:rPr>
        <w:t>. Просроченная дебиторская задолженность государственных (Гос.), муниципальных (МО) бюджетных и автономных учреждений на 01.01.2020, согласно отчетам по форме 0503769, за счет всех видов финансового обеспечения, в млн.руб.</w:t>
      </w:r>
    </w:p>
    <w:tbl>
      <w:tblPr>
        <w:tblW w:w="8954" w:type="dxa"/>
        <w:jc w:val="center"/>
        <w:tblLook w:val="04A0" w:firstRow="1" w:lastRow="0" w:firstColumn="1" w:lastColumn="0" w:noHBand="0" w:noVBand="1"/>
      </w:tblPr>
      <w:tblGrid>
        <w:gridCol w:w="661"/>
        <w:gridCol w:w="3419"/>
        <w:gridCol w:w="818"/>
        <w:gridCol w:w="716"/>
        <w:gridCol w:w="661"/>
        <w:gridCol w:w="978"/>
        <w:gridCol w:w="850"/>
        <w:gridCol w:w="851"/>
      </w:tblGrid>
      <w:tr w:rsidR="00D470B6" w:rsidRPr="00A53AD7" w14:paraId="70316BA9" w14:textId="77777777" w:rsidTr="00324BFA">
        <w:trPr>
          <w:trHeight w:val="105"/>
          <w:tblHeader/>
          <w:jc w:val="center"/>
        </w:trPr>
        <w:tc>
          <w:tcPr>
            <w:tcW w:w="661"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35CB0B43"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Счет</w:t>
            </w:r>
          </w:p>
        </w:tc>
        <w:tc>
          <w:tcPr>
            <w:tcW w:w="341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497BD76A"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w:t>
            </w:r>
          </w:p>
        </w:tc>
        <w:tc>
          <w:tcPr>
            <w:tcW w:w="2195" w:type="dxa"/>
            <w:gridSpan w:val="3"/>
            <w:tcBorders>
              <w:top w:val="double" w:sz="6" w:space="0" w:color="auto"/>
              <w:left w:val="nil"/>
              <w:bottom w:val="single" w:sz="4" w:space="0" w:color="auto"/>
              <w:right w:val="single" w:sz="4" w:space="0" w:color="auto"/>
            </w:tcBorders>
            <w:shd w:val="clear" w:color="auto" w:fill="auto"/>
            <w:vAlign w:val="center"/>
            <w:hideMark/>
          </w:tcPr>
          <w:p w14:paraId="2F03E1B0"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01.01.2020</w:t>
            </w:r>
          </w:p>
        </w:tc>
        <w:tc>
          <w:tcPr>
            <w:tcW w:w="2679" w:type="dxa"/>
            <w:gridSpan w:val="3"/>
            <w:tcBorders>
              <w:top w:val="double" w:sz="6" w:space="0" w:color="auto"/>
              <w:left w:val="nil"/>
              <w:bottom w:val="single" w:sz="4" w:space="0" w:color="auto"/>
              <w:right w:val="double" w:sz="6" w:space="0" w:color="000000"/>
            </w:tcBorders>
            <w:shd w:val="clear" w:color="auto" w:fill="auto"/>
            <w:vAlign w:val="center"/>
            <w:hideMark/>
          </w:tcPr>
          <w:p w14:paraId="42F5F128"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Изменения за год (+,-)</w:t>
            </w:r>
          </w:p>
        </w:tc>
      </w:tr>
      <w:tr w:rsidR="00D470B6" w:rsidRPr="00A53AD7" w14:paraId="64B7128D" w14:textId="77777777" w:rsidTr="00324BFA">
        <w:trPr>
          <w:trHeight w:val="122"/>
          <w:tblHeader/>
          <w:jc w:val="center"/>
        </w:trPr>
        <w:tc>
          <w:tcPr>
            <w:tcW w:w="661" w:type="dxa"/>
            <w:vMerge/>
            <w:tcBorders>
              <w:top w:val="double" w:sz="6" w:space="0" w:color="auto"/>
              <w:left w:val="double" w:sz="6" w:space="0" w:color="auto"/>
              <w:bottom w:val="single" w:sz="4" w:space="0" w:color="auto"/>
              <w:right w:val="single" w:sz="4" w:space="0" w:color="auto"/>
            </w:tcBorders>
            <w:vAlign w:val="center"/>
            <w:hideMark/>
          </w:tcPr>
          <w:p w14:paraId="32FC3452"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419" w:type="dxa"/>
            <w:vMerge/>
            <w:tcBorders>
              <w:top w:val="double" w:sz="6" w:space="0" w:color="auto"/>
              <w:left w:val="single" w:sz="4" w:space="0" w:color="auto"/>
              <w:bottom w:val="single" w:sz="4" w:space="0" w:color="auto"/>
              <w:right w:val="single" w:sz="4" w:space="0" w:color="auto"/>
            </w:tcBorders>
            <w:vAlign w:val="center"/>
            <w:hideMark/>
          </w:tcPr>
          <w:p w14:paraId="1070066F"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18" w:type="dxa"/>
            <w:vMerge w:val="restart"/>
            <w:tcBorders>
              <w:top w:val="nil"/>
              <w:left w:val="single" w:sz="4" w:space="0" w:color="auto"/>
              <w:bottom w:val="single" w:sz="4" w:space="0" w:color="auto"/>
              <w:right w:val="single" w:sz="4" w:space="0" w:color="auto"/>
            </w:tcBorders>
            <w:shd w:val="clear" w:color="auto" w:fill="auto"/>
            <w:vAlign w:val="center"/>
            <w:hideMark/>
          </w:tcPr>
          <w:p w14:paraId="34B37F3B"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377" w:type="dxa"/>
            <w:gridSpan w:val="2"/>
            <w:tcBorders>
              <w:top w:val="single" w:sz="4" w:space="0" w:color="auto"/>
              <w:left w:val="nil"/>
              <w:bottom w:val="single" w:sz="4" w:space="0" w:color="auto"/>
              <w:right w:val="single" w:sz="4" w:space="0" w:color="auto"/>
            </w:tcBorders>
            <w:shd w:val="clear" w:color="auto" w:fill="auto"/>
            <w:vAlign w:val="center"/>
            <w:hideMark/>
          </w:tcPr>
          <w:p w14:paraId="6524C908"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c>
          <w:tcPr>
            <w:tcW w:w="978" w:type="dxa"/>
            <w:vMerge w:val="restart"/>
            <w:tcBorders>
              <w:top w:val="nil"/>
              <w:left w:val="single" w:sz="4" w:space="0" w:color="auto"/>
              <w:bottom w:val="single" w:sz="4" w:space="0" w:color="auto"/>
              <w:right w:val="single" w:sz="4" w:space="0" w:color="auto"/>
            </w:tcBorders>
            <w:shd w:val="clear" w:color="auto" w:fill="auto"/>
            <w:vAlign w:val="center"/>
            <w:hideMark/>
          </w:tcPr>
          <w:p w14:paraId="4F412680"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701" w:type="dxa"/>
            <w:gridSpan w:val="2"/>
            <w:tcBorders>
              <w:top w:val="single" w:sz="4" w:space="0" w:color="auto"/>
              <w:left w:val="nil"/>
              <w:bottom w:val="single" w:sz="4" w:space="0" w:color="auto"/>
              <w:right w:val="double" w:sz="6" w:space="0" w:color="000000"/>
            </w:tcBorders>
            <w:shd w:val="clear" w:color="auto" w:fill="auto"/>
            <w:vAlign w:val="center"/>
            <w:hideMark/>
          </w:tcPr>
          <w:p w14:paraId="116EDA3D"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r>
      <w:tr w:rsidR="00D470B6" w:rsidRPr="00A53AD7" w14:paraId="30E58C94" w14:textId="77777777" w:rsidTr="00324BFA">
        <w:trPr>
          <w:trHeight w:val="29"/>
          <w:tblHeader/>
          <w:jc w:val="center"/>
        </w:trPr>
        <w:tc>
          <w:tcPr>
            <w:tcW w:w="661" w:type="dxa"/>
            <w:vMerge/>
            <w:tcBorders>
              <w:top w:val="double" w:sz="6" w:space="0" w:color="auto"/>
              <w:left w:val="double" w:sz="6" w:space="0" w:color="auto"/>
              <w:bottom w:val="single" w:sz="4" w:space="0" w:color="auto"/>
              <w:right w:val="single" w:sz="4" w:space="0" w:color="auto"/>
            </w:tcBorders>
            <w:vAlign w:val="center"/>
            <w:hideMark/>
          </w:tcPr>
          <w:p w14:paraId="5E4F947F"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419" w:type="dxa"/>
            <w:vMerge/>
            <w:tcBorders>
              <w:top w:val="double" w:sz="6" w:space="0" w:color="auto"/>
              <w:left w:val="single" w:sz="4" w:space="0" w:color="auto"/>
              <w:bottom w:val="single" w:sz="4" w:space="0" w:color="auto"/>
              <w:right w:val="single" w:sz="4" w:space="0" w:color="auto"/>
            </w:tcBorders>
            <w:vAlign w:val="center"/>
            <w:hideMark/>
          </w:tcPr>
          <w:p w14:paraId="2E00ADD8"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18" w:type="dxa"/>
            <w:vMerge/>
            <w:tcBorders>
              <w:top w:val="nil"/>
              <w:left w:val="single" w:sz="4" w:space="0" w:color="auto"/>
              <w:bottom w:val="single" w:sz="4" w:space="0" w:color="auto"/>
              <w:right w:val="single" w:sz="4" w:space="0" w:color="auto"/>
            </w:tcBorders>
            <w:vAlign w:val="center"/>
            <w:hideMark/>
          </w:tcPr>
          <w:p w14:paraId="6B1A0BE9"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716" w:type="dxa"/>
            <w:tcBorders>
              <w:top w:val="nil"/>
              <w:left w:val="nil"/>
              <w:bottom w:val="single" w:sz="4" w:space="0" w:color="auto"/>
              <w:right w:val="single" w:sz="4" w:space="0" w:color="auto"/>
            </w:tcBorders>
            <w:shd w:val="clear" w:color="auto" w:fill="auto"/>
            <w:vAlign w:val="center"/>
            <w:hideMark/>
          </w:tcPr>
          <w:p w14:paraId="6147DEAE"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661" w:type="dxa"/>
            <w:tcBorders>
              <w:top w:val="nil"/>
              <w:left w:val="nil"/>
              <w:bottom w:val="single" w:sz="4" w:space="0" w:color="auto"/>
              <w:right w:val="single" w:sz="4" w:space="0" w:color="auto"/>
            </w:tcBorders>
            <w:shd w:val="clear" w:color="auto" w:fill="auto"/>
            <w:vAlign w:val="center"/>
            <w:hideMark/>
          </w:tcPr>
          <w:p w14:paraId="1D36AEED"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c>
          <w:tcPr>
            <w:tcW w:w="978" w:type="dxa"/>
            <w:vMerge/>
            <w:tcBorders>
              <w:top w:val="nil"/>
              <w:left w:val="single" w:sz="4" w:space="0" w:color="auto"/>
              <w:bottom w:val="single" w:sz="4" w:space="0" w:color="auto"/>
              <w:right w:val="single" w:sz="4" w:space="0" w:color="auto"/>
            </w:tcBorders>
            <w:vAlign w:val="center"/>
            <w:hideMark/>
          </w:tcPr>
          <w:p w14:paraId="55E17B49"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hideMark/>
          </w:tcPr>
          <w:p w14:paraId="46437A68"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851" w:type="dxa"/>
            <w:tcBorders>
              <w:top w:val="nil"/>
              <w:left w:val="nil"/>
              <w:bottom w:val="single" w:sz="4" w:space="0" w:color="auto"/>
              <w:right w:val="double" w:sz="6" w:space="0" w:color="auto"/>
            </w:tcBorders>
            <w:shd w:val="clear" w:color="auto" w:fill="auto"/>
            <w:vAlign w:val="center"/>
            <w:hideMark/>
          </w:tcPr>
          <w:p w14:paraId="25BBCE49"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r>
      <w:tr w:rsidR="00D470B6" w:rsidRPr="00A53AD7" w14:paraId="53386726" w14:textId="77777777" w:rsidTr="00B029F6">
        <w:trPr>
          <w:trHeight w:val="64"/>
          <w:jc w:val="center"/>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714EDD3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205</w:t>
            </w:r>
          </w:p>
        </w:tc>
        <w:tc>
          <w:tcPr>
            <w:tcW w:w="3419" w:type="dxa"/>
            <w:tcBorders>
              <w:top w:val="nil"/>
              <w:left w:val="nil"/>
              <w:bottom w:val="single" w:sz="4" w:space="0" w:color="auto"/>
              <w:right w:val="single" w:sz="4" w:space="0" w:color="auto"/>
            </w:tcBorders>
            <w:shd w:val="clear" w:color="auto" w:fill="auto"/>
            <w:vAlign w:val="center"/>
            <w:hideMark/>
          </w:tcPr>
          <w:p w14:paraId="798A2DF8"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доходам</w:t>
            </w:r>
          </w:p>
        </w:tc>
        <w:tc>
          <w:tcPr>
            <w:tcW w:w="818" w:type="dxa"/>
            <w:tcBorders>
              <w:top w:val="nil"/>
              <w:left w:val="nil"/>
              <w:bottom w:val="single" w:sz="4" w:space="0" w:color="auto"/>
              <w:right w:val="single" w:sz="4" w:space="0" w:color="auto"/>
            </w:tcBorders>
            <w:shd w:val="clear" w:color="auto" w:fill="auto"/>
            <w:vAlign w:val="center"/>
            <w:hideMark/>
          </w:tcPr>
          <w:p w14:paraId="451287F1"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40,6 </w:t>
            </w:r>
          </w:p>
        </w:tc>
        <w:tc>
          <w:tcPr>
            <w:tcW w:w="716" w:type="dxa"/>
            <w:tcBorders>
              <w:top w:val="nil"/>
              <w:left w:val="nil"/>
              <w:bottom w:val="single" w:sz="4" w:space="0" w:color="auto"/>
              <w:right w:val="single" w:sz="4" w:space="0" w:color="auto"/>
            </w:tcBorders>
            <w:shd w:val="clear" w:color="auto" w:fill="auto"/>
            <w:vAlign w:val="center"/>
            <w:hideMark/>
          </w:tcPr>
          <w:p w14:paraId="72F6045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38,6 </w:t>
            </w:r>
          </w:p>
        </w:tc>
        <w:tc>
          <w:tcPr>
            <w:tcW w:w="661" w:type="dxa"/>
            <w:tcBorders>
              <w:top w:val="nil"/>
              <w:left w:val="nil"/>
              <w:bottom w:val="single" w:sz="4" w:space="0" w:color="auto"/>
              <w:right w:val="single" w:sz="4" w:space="0" w:color="auto"/>
            </w:tcBorders>
            <w:shd w:val="clear" w:color="auto" w:fill="auto"/>
            <w:vAlign w:val="center"/>
            <w:hideMark/>
          </w:tcPr>
          <w:p w14:paraId="631144A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 </w:t>
            </w:r>
          </w:p>
        </w:tc>
        <w:tc>
          <w:tcPr>
            <w:tcW w:w="978" w:type="dxa"/>
            <w:tcBorders>
              <w:top w:val="nil"/>
              <w:left w:val="nil"/>
              <w:bottom w:val="single" w:sz="4" w:space="0" w:color="auto"/>
              <w:right w:val="single" w:sz="4" w:space="0" w:color="auto"/>
            </w:tcBorders>
            <w:shd w:val="clear" w:color="auto" w:fill="auto"/>
            <w:vAlign w:val="center"/>
            <w:hideMark/>
          </w:tcPr>
          <w:p w14:paraId="2883028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-1,7 </w:t>
            </w:r>
          </w:p>
        </w:tc>
        <w:tc>
          <w:tcPr>
            <w:tcW w:w="850" w:type="dxa"/>
            <w:tcBorders>
              <w:top w:val="nil"/>
              <w:left w:val="nil"/>
              <w:bottom w:val="single" w:sz="4" w:space="0" w:color="auto"/>
              <w:right w:val="single" w:sz="4" w:space="0" w:color="auto"/>
            </w:tcBorders>
            <w:shd w:val="clear" w:color="auto" w:fill="auto"/>
            <w:vAlign w:val="center"/>
            <w:hideMark/>
          </w:tcPr>
          <w:p w14:paraId="45058CD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-3,5 </w:t>
            </w:r>
          </w:p>
        </w:tc>
        <w:tc>
          <w:tcPr>
            <w:tcW w:w="851" w:type="dxa"/>
            <w:tcBorders>
              <w:top w:val="nil"/>
              <w:left w:val="nil"/>
              <w:bottom w:val="single" w:sz="4" w:space="0" w:color="auto"/>
              <w:right w:val="double" w:sz="6" w:space="0" w:color="auto"/>
            </w:tcBorders>
            <w:shd w:val="clear" w:color="auto" w:fill="auto"/>
            <w:vAlign w:val="center"/>
            <w:hideMark/>
          </w:tcPr>
          <w:p w14:paraId="00F85DF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1,8 </w:t>
            </w:r>
          </w:p>
        </w:tc>
      </w:tr>
      <w:tr w:rsidR="00D470B6" w:rsidRPr="00A53AD7" w14:paraId="5F25B499" w14:textId="77777777" w:rsidTr="00B029F6">
        <w:trPr>
          <w:trHeight w:val="64"/>
          <w:jc w:val="center"/>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35DA080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206</w:t>
            </w:r>
          </w:p>
        </w:tc>
        <w:tc>
          <w:tcPr>
            <w:tcW w:w="3419" w:type="dxa"/>
            <w:tcBorders>
              <w:top w:val="nil"/>
              <w:left w:val="nil"/>
              <w:bottom w:val="single" w:sz="4" w:space="0" w:color="auto"/>
              <w:right w:val="single" w:sz="4" w:space="0" w:color="auto"/>
            </w:tcBorders>
            <w:shd w:val="clear" w:color="auto" w:fill="auto"/>
            <w:vAlign w:val="center"/>
            <w:hideMark/>
          </w:tcPr>
          <w:p w14:paraId="0872D714"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выданным авансам</w:t>
            </w:r>
          </w:p>
        </w:tc>
        <w:tc>
          <w:tcPr>
            <w:tcW w:w="818" w:type="dxa"/>
            <w:tcBorders>
              <w:top w:val="nil"/>
              <w:left w:val="nil"/>
              <w:bottom w:val="single" w:sz="4" w:space="0" w:color="auto"/>
              <w:right w:val="single" w:sz="4" w:space="0" w:color="auto"/>
            </w:tcBorders>
            <w:shd w:val="clear" w:color="auto" w:fill="auto"/>
            <w:vAlign w:val="center"/>
            <w:hideMark/>
          </w:tcPr>
          <w:p w14:paraId="38B1C84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5,3 </w:t>
            </w:r>
          </w:p>
        </w:tc>
        <w:tc>
          <w:tcPr>
            <w:tcW w:w="716" w:type="dxa"/>
            <w:tcBorders>
              <w:top w:val="nil"/>
              <w:left w:val="nil"/>
              <w:bottom w:val="single" w:sz="4" w:space="0" w:color="auto"/>
              <w:right w:val="single" w:sz="4" w:space="0" w:color="auto"/>
            </w:tcBorders>
            <w:shd w:val="clear" w:color="auto" w:fill="auto"/>
            <w:vAlign w:val="center"/>
            <w:hideMark/>
          </w:tcPr>
          <w:p w14:paraId="175CED2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4,7 </w:t>
            </w:r>
          </w:p>
        </w:tc>
        <w:tc>
          <w:tcPr>
            <w:tcW w:w="661" w:type="dxa"/>
            <w:tcBorders>
              <w:top w:val="nil"/>
              <w:left w:val="nil"/>
              <w:bottom w:val="single" w:sz="4" w:space="0" w:color="auto"/>
              <w:right w:val="single" w:sz="4" w:space="0" w:color="auto"/>
            </w:tcBorders>
            <w:shd w:val="clear" w:color="auto" w:fill="auto"/>
            <w:vAlign w:val="center"/>
            <w:hideMark/>
          </w:tcPr>
          <w:p w14:paraId="63022B0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0,7 </w:t>
            </w:r>
          </w:p>
        </w:tc>
        <w:tc>
          <w:tcPr>
            <w:tcW w:w="978" w:type="dxa"/>
            <w:tcBorders>
              <w:top w:val="nil"/>
              <w:left w:val="nil"/>
              <w:bottom w:val="single" w:sz="4" w:space="0" w:color="auto"/>
              <w:right w:val="single" w:sz="4" w:space="0" w:color="auto"/>
            </w:tcBorders>
            <w:shd w:val="clear" w:color="auto" w:fill="auto"/>
            <w:vAlign w:val="center"/>
            <w:hideMark/>
          </w:tcPr>
          <w:p w14:paraId="6539D18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-0,3 </w:t>
            </w:r>
          </w:p>
        </w:tc>
        <w:tc>
          <w:tcPr>
            <w:tcW w:w="850" w:type="dxa"/>
            <w:tcBorders>
              <w:top w:val="nil"/>
              <w:left w:val="nil"/>
              <w:bottom w:val="single" w:sz="4" w:space="0" w:color="auto"/>
              <w:right w:val="single" w:sz="4" w:space="0" w:color="auto"/>
            </w:tcBorders>
            <w:shd w:val="clear" w:color="auto" w:fill="auto"/>
            <w:vAlign w:val="center"/>
            <w:hideMark/>
          </w:tcPr>
          <w:p w14:paraId="76274EE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-0,2 </w:t>
            </w:r>
          </w:p>
        </w:tc>
        <w:tc>
          <w:tcPr>
            <w:tcW w:w="851" w:type="dxa"/>
            <w:tcBorders>
              <w:top w:val="nil"/>
              <w:left w:val="nil"/>
              <w:bottom w:val="single" w:sz="4" w:space="0" w:color="auto"/>
              <w:right w:val="double" w:sz="6" w:space="0" w:color="auto"/>
            </w:tcBorders>
            <w:shd w:val="clear" w:color="auto" w:fill="auto"/>
            <w:vAlign w:val="center"/>
            <w:hideMark/>
          </w:tcPr>
          <w:p w14:paraId="5D09E1B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r>
      <w:tr w:rsidR="00D470B6" w:rsidRPr="00A53AD7" w14:paraId="6A9B7089" w14:textId="77777777" w:rsidTr="00B029F6">
        <w:trPr>
          <w:trHeight w:val="64"/>
          <w:jc w:val="center"/>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448E407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209</w:t>
            </w:r>
          </w:p>
        </w:tc>
        <w:tc>
          <w:tcPr>
            <w:tcW w:w="3419" w:type="dxa"/>
            <w:tcBorders>
              <w:top w:val="nil"/>
              <w:left w:val="nil"/>
              <w:bottom w:val="single" w:sz="4" w:space="0" w:color="auto"/>
              <w:right w:val="single" w:sz="4" w:space="0" w:color="auto"/>
            </w:tcBorders>
            <w:shd w:val="clear" w:color="auto" w:fill="auto"/>
            <w:vAlign w:val="center"/>
            <w:hideMark/>
          </w:tcPr>
          <w:p w14:paraId="204C5B91"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ущербу и иным доходам</w:t>
            </w:r>
          </w:p>
        </w:tc>
        <w:tc>
          <w:tcPr>
            <w:tcW w:w="818" w:type="dxa"/>
            <w:tcBorders>
              <w:top w:val="nil"/>
              <w:left w:val="nil"/>
              <w:bottom w:val="single" w:sz="4" w:space="0" w:color="auto"/>
              <w:right w:val="single" w:sz="4" w:space="0" w:color="auto"/>
            </w:tcBorders>
            <w:shd w:val="clear" w:color="auto" w:fill="auto"/>
            <w:vAlign w:val="center"/>
            <w:hideMark/>
          </w:tcPr>
          <w:p w14:paraId="2C619BF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11,0 </w:t>
            </w:r>
          </w:p>
        </w:tc>
        <w:tc>
          <w:tcPr>
            <w:tcW w:w="716" w:type="dxa"/>
            <w:tcBorders>
              <w:top w:val="nil"/>
              <w:left w:val="nil"/>
              <w:bottom w:val="single" w:sz="4" w:space="0" w:color="auto"/>
              <w:right w:val="single" w:sz="4" w:space="0" w:color="auto"/>
            </w:tcBorders>
            <w:shd w:val="clear" w:color="auto" w:fill="auto"/>
            <w:vAlign w:val="center"/>
            <w:hideMark/>
          </w:tcPr>
          <w:p w14:paraId="37A87DB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8,9 </w:t>
            </w:r>
          </w:p>
        </w:tc>
        <w:tc>
          <w:tcPr>
            <w:tcW w:w="661" w:type="dxa"/>
            <w:tcBorders>
              <w:top w:val="nil"/>
              <w:left w:val="nil"/>
              <w:bottom w:val="single" w:sz="4" w:space="0" w:color="auto"/>
              <w:right w:val="single" w:sz="4" w:space="0" w:color="auto"/>
            </w:tcBorders>
            <w:shd w:val="clear" w:color="auto" w:fill="auto"/>
            <w:vAlign w:val="center"/>
            <w:hideMark/>
          </w:tcPr>
          <w:p w14:paraId="55EA9C8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2,1 </w:t>
            </w:r>
          </w:p>
        </w:tc>
        <w:tc>
          <w:tcPr>
            <w:tcW w:w="978" w:type="dxa"/>
            <w:tcBorders>
              <w:top w:val="nil"/>
              <w:left w:val="nil"/>
              <w:bottom w:val="single" w:sz="4" w:space="0" w:color="auto"/>
              <w:right w:val="single" w:sz="4" w:space="0" w:color="auto"/>
            </w:tcBorders>
            <w:shd w:val="clear" w:color="auto" w:fill="auto"/>
            <w:vAlign w:val="center"/>
            <w:hideMark/>
          </w:tcPr>
          <w:p w14:paraId="2484E8B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-4,6 </w:t>
            </w:r>
          </w:p>
        </w:tc>
        <w:tc>
          <w:tcPr>
            <w:tcW w:w="850" w:type="dxa"/>
            <w:tcBorders>
              <w:top w:val="nil"/>
              <w:left w:val="nil"/>
              <w:bottom w:val="single" w:sz="4" w:space="0" w:color="auto"/>
              <w:right w:val="single" w:sz="4" w:space="0" w:color="auto"/>
            </w:tcBorders>
            <w:shd w:val="clear" w:color="auto" w:fill="auto"/>
            <w:vAlign w:val="center"/>
            <w:hideMark/>
          </w:tcPr>
          <w:p w14:paraId="19DFF13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-2,4 </w:t>
            </w:r>
          </w:p>
        </w:tc>
        <w:tc>
          <w:tcPr>
            <w:tcW w:w="851" w:type="dxa"/>
            <w:tcBorders>
              <w:top w:val="nil"/>
              <w:left w:val="nil"/>
              <w:bottom w:val="single" w:sz="4" w:space="0" w:color="auto"/>
              <w:right w:val="double" w:sz="6" w:space="0" w:color="auto"/>
            </w:tcBorders>
            <w:shd w:val="clear" w:color="auto" w:fill="auto"/>
            <w:vAlign w:val="center"/>
            <w:hideMark/>
          </w:tcPr>
          <w:p w14:paraId="3F34E0A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-2,3 </w:t>
            </w:r>
          </w:p>
        </w:tc>
      </w:tr>
      <w:tr w:rsidR="00D470B6" w:rsidRPr="00A53AD7" w14:paraId="1517038B" w14:textId="77777777" w:rsidTr="00B029F6">
        <w:trPr>
          <w:trHeight w:val="64"/>
          <w:jc w:val="center"/>
        </w:trPr>
        <w:tc>
          <w:tcPr>
            <w:tcW w:w="661" w:type="dxa"/>
            <w:tcBorders>
              <w:top w:val="nil"/>
              <w:left w:val="double" w:sz="6" w:space="0" w:color="auto"/>
              <w:bottom w:val="single" w:sz="4" w:space="0" w:color="auto"/>
              <w:right w:val="single" w:sz="4" w:space="0" w:color="auto"/>
            </w:tcBorders>
            <w:shd w:val="clear" w:color="auto" w:fill="auto"/>
            <w:vAlign w:val="center"/>
            <w:hideMark/>
          </w:tcPr>
          <w:p w14:paraId="68391A0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303</w:t>
            </w:r>
          </w:p>
        </w:tc>
        <w:tc>
          <w:tcPr>
            <w:tcW w:w="3419" w:type="dxa"/>
            <w:tcBorders>
              <w:top w:val="nil"/>
              <w:left w:val="nil"/>
              <w:bottom w:val="single" w:sz="4" w:space="0" w:color="auto"/>
              <w:right w:val="single" w:sz="4" w:space="0" w:color="auto"/>
            </w:tcBorders>
            <w:shd w:val="clear" w:color="auto" w:fill="auto"/>
            <w:vAlign w:val="center"/>
            <w:hideMark/>
          </w:tcPr>
          <w:p w14:paraId="71A750DB"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платежам в бюджеты</w:t>
            </w:r>
          </w:p>
        </w:tc>
        <w:tc>
          <w:tcPr>
            <w:tcW w:w="818" w:type="dxa"/>
            <w:tcBorders>
              <w:top w:val="nil"/>
              <w:left w:val="nil"/>
              <w:bottom w:val="single" w:sz="4" w:space="0" w:color="auto"/>
              <w:right w:val="single" w:sz="4" w:space="0" w:color="auto"/>
            </w:tcBorders>
            <w:shd w:val="clear" w:color="auto" w:fill="auto"/>
            <w:vAlign w:val="center"/>
            <w:hideMark/>
          </w:tcPr>
          <w:p w14:paraId="3AD5E01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0,2 </w:t>
            </w:r>
          </w:p>
        </w:tc>
        <w:tc>
          <w:tcPr>
            <w:tcW w:w="716" w:type="dxa"/>
            <w:tcBorders>
              <w:top w:val="nil"/>
              <w:left w:val="nil"/>
              <w:bottom w:val="single" w:sz="4" w:space="0" w:color="auto"/>
              <w:right w:val="single" w:sz="4" w:space="0" w:color="auto"/>
            </w:tcBorders>
            <w:shd w:val="clear" w:color="auto" w:fill="auto"/>
            <w:vAlign w:val="center"/>
            <w:hideMark/>
          </w:tcPr>
          <w:p w14:paraId="3A038A6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661" w:type="dxa"/>
            <w:tcBorders>
              <w:top w:val="nil"/>
              <w:left w:val="nil"/>
              <w:bottom w:val="single" w:sz="4" w:space="0" w:color="auto"/>
              <w:right w:val="single" w:sz="4" w:space="0" w:color="auto"/>
            </w:tcBorders>
            <w:shd w:val="clear" w:color="auto" w:fill="auto"/>
            <w:vAlign w:val="center"/>
            <w:hideMark/>
          </w:tcPr>
          <w:p w14:paraId="34E28C4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978" w:type="dxa"/>
            <w:tcBorders>
              <w:top w:val="nil"/>
              <w:left w:val="nil"/>
              <w:bottom w:val="single" w:sz="4" w:space="0" w:color="auto"/>
              <w:right w:val="single" w:sz="4" w:space="0" w:color="auto"/>
            </w:tcBorders>
            <w:shd w:val="clear" w:color="auto" w:fill="auto"/>
            <w:vAlign w:val="center"/>
            <w:hideMark/>
          </w:tcPr>
          <w:p w14:paraId="722B81D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0" w:type="dxa"/>
            <w:tcBorders>
              <w:top w:val="nil"/>
              <w:left w:val="nil"/>
              <w:bottom w:val="single" w:sz="4" w:space="0" w:color="auto"/>
              <w:right w:val="single" w:sz="4" w:space="0" w:color="auto"/>
            </w:tcBorders>
            <w:shd w:val="clear" w:color="auto" w:fill="auto"/>
            <w:vAlign w:val="center"/>
            <w:hideMark/>
          </w:tcPr>
          <w:p w14:paraId="0A20E1F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851" w:type="dxa"/>
            <w:tcBorders>
              <w:top w:val="nil"/>
              <w:left w:val="nil"/>
              <w:bottom w:val="single" w:sz="4" w:space="0" w:color="auto"/>
              <w:right w:val="double" w:sz="6" w:space="0" w:color="auto"/>
            </w:tcBorders>
            <w:shd w:val="clear" w:color="auto" w:fill="auto"/>
            <w:vAlign w:val="center"/>
            <w:hideMark/>
          </w:tcPr>
          <w:p w14:paraId="2A8A421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r>
      <w:tr w:rsidR="00B029F6" w:rsidRPr="00A53AD7" w14:paraId="6EA974FB" w14:textId="77777777" w:rsidTr="00B4242A">
        <w:trPr>
          <w:trHeight w:val="130"/>
          <w:jc w:val="center"/>
        </w:trPr>
        <w:tc>
          <w:tcPr>
            <w:tcW w:w="4080"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2EEF9708" w14:textId="77777777" w:rsidR="00B029F6" w:rsidRPr="00A53AD7" w:rsidRDefault="00B029F6" w:rsidP="00B029F6">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818" w:type="dxa"/>
            <w:tcBorders>
              <w:top w:val="nil"/>
              <w:left w:val="nil"/>
              <w:bottom w:val="double" w:sz="6" w:space="0" w:color="auto"/>
              <w:right w:val="single" w:sz="4" w:space="0" w:color="auto"/>
            </w:tcBorders>
            <w:shd w:val="clear" w:color="auto" w:fill="auto"/>
            <w:vAlign w:val="center"/>
            <w:hideMark/>
          </w:tcPr>
          <w:p w14:paraId="3881D5D7"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57,1 </w:t>
            </w:r>
          </w:p>
        </w:tc>
        <w:tc>
          <w:tcPr>
            <w:tcW w:w="716" w:type="dxa"/>
            <w:tcBorders>
              <w:top w:val="nil"/>
              <w:left w:val="nil"/>
              <w:bottom w:val="double" w:sz="6" w:space="0" w:color="auto"/>
              <w:right w:val="single" w:sz="4" w:space="0" w:color="auto"/>
            </w:tcBorders>
            <w:shd w:val="clear" w:color="auto" w:fill="auto"/>
            <w:vAlign w:val="center"/>
            <w:hideMark/>
          </w:tcPr>
          <w:p w14:paraId="67F55AF7"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52,3 </w:t>
            </w:r>
          </w:p>
        </w:tc>
        <w:tc>
          <w:tcPr>
            <w:tcW w:w="661" w:type="dxa"/>
            <w:tcBorders>
              <w:top w:val="nil"/>
              <w:left w:val="nil"/>
              <w:bottom w:val="double" w:sz="6" w:space="0" w:color="auto"/>
              <w:right w:val="single" w:sz="4" w:space="0" w:color="auto"/>
            </w:tcBorders>
            <w:shd w:val="clear" w:color="auto" w:fill="auto"/>
            <w:vAlign w:val="center"/>
            <w:hideMark/>
          </w:tcPr>
          <w:p w14:paraId="4AAFA8F8"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4,7 </w:t>
            </w:r>
          </w:p>
        </w:tc>
        <w:tc>
          <w:tcPr>
            <w:tcW w:w="978" w:type="dxa"/>
            <w:tcBorders>
              <w:top w:val="nil"/>
              <w:left w:val="nil"/>
              <w:bottom w:val="double" w:sz="6" w:space="0" w:color="auto"/>
              <w:right w:val="single" w:sz="4" w:space="0" w:color="auto"/>
            </w:tcBorders>
            <w:shd w:val="clear" w:color="auto" w:fill="auto"/>
            <w:vAlign w:val="center"/>
            <w:hideMark/>
          </w:tcPr>
          <w:p w14:paraId="4FF219DE"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-6,5 </w:t>
            </w:r>
          </w:p>
        </w:tc>
        <w:tc>
          <w:tcPr>
            <w:tcW w:w="850" w:type="dxa"/>
            <w:tcBorders>
              <w:top w:val="nil"/>
              <w:left w:val="nil"/>
              <w:bottom w:val="double" w:sz="6" w:space="0" w:color="auto"/>
              <w:right w:val="single" w:sz="4" w:space="0" w:color="auto"/>
            </w:tcBorders>
            <w:shd w:val="clear" w:color="auto" w:fill="auto"/>
            <w:vAlign w:val="center"/>
            <w:hideMark/>
          </w:tcPr>
          <w:p w14:paraId="15D74972"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-6,0 </w:t>
            </w:r>
          </w:p>
        </w:tc>
        <w:tc>
          <w:tcPr>
            <w:tcW w:w="851" w:type="dxa"/>
            <w:tcBorders>
              <w:top w:val="nil"/>
              <w:left w:val="nil"/>
              <w:bottom w:val="double" w:sz="6" w:space="0" w:color="auto"/>
              <w:right w:val="double" w:sz="6" w:space="0" w:color="auto"/>
            </w:tcBorders>
            <w:shd w:val="clear" w:color="auto" w:fill="auto"/>
            <w:vAlign w:val="center"/>
            <w:hideMark/>
          </w:tcPr>
          <w:p w14:paraId="7F294E30"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-0,5 </w:t>
            </w:r>
          </w:p>
        </w:tc>
      </w:tr>
    </w:tbl>
    <w:p w14:paraId="75F9B099" w14:textId="77777777" w:rsidR="00B029F6" w:rsidRPr="00A53AD7" w:rsidRDefault="00B029F6" w:rsidP="00B029F6">
      <w:pPr>
        <w:spacing w:after="0" w:line="240" w:lineRule="auto"/>
        <w:jc w:val="both"/>
        <w:rPr>
          <w:rFonts w:ascii="Times New Roman" w:hAnsi="Times New Roman"/>
          <w:sz w:val="16"/>
          <w:szCs w:val="16"/>
          <w:highlight w:val="cyan"/>
        </w:rPr>
      </w:pPr>
    </w:p>
    <w:p w14:paraId="06F8E1AF" w14:textId="43080418"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удельный вес в общей сумме просроченной дебиторской задолженности составляет просроченная дебиторская задолженность по синтетическому счету 205 «Расчеты по доходам» в государственных учреждениях, который составляет 67,6 % в </w:t>
      </w:r>
      <w:r w:rsidR="00B4242A" w:rsidRPr="00A53AD7">
        <w:rPr>
          <w:rFonts w:ascii="Times New Roman" w:hAnsi="Times New Roman"/>
          <w:sz w:val="28"/>
          <w:szCs w:val="28"/>
        </w:rPr>
        <w:t>о</w:t>
      </w:r>
      <w:r w:rsidRPr="00A53AD7">
        <w:rPr>
          <w:rFonts w:ascii="Times New Roman" w:hAnsi="Times New Roman"/>
          <w:sz w:val="28"/>
          <w:szCs w:val="28"/>
        </w:rPr>
        <w:t>б</w:t>
      </w:r>
      <w:r w:rsidR="00B4242A" w:rsidRPr="00A53AD7">
        <w:rPr>
          <w:rFonts w:ascii="Times New Roman" w:hAnsi="Times New Roman"/>
          <w:sz w:val="28"/>
          <w:szCs w:val="28"/>
        </w:rPr>
        <w:t>щ</w:t>
      </w:r>
      <w:r w:rsidRPr="00A53AD7">
        <w:rPr>
          <w:rFonts w:ascii="Times New Roman" w:hAnsi="Times New Roman"/>
          <w:sz w:val="28"/>
          <w:szCs w:val="28"/>
        </w:rPr>
        <w:t>ей сумме просроченной дебиторской задолженности</w:t>
      </w:r>
      <w:r w:rsidR="00812BC5" w:rsidRPr="00A53AD7">
        <w:rPr>
          <w:rFonts w:ascii="Times New Roman" w:hAnsi="Times New Roman"/>
          <w:sz w:val="28"/>
          <w:szCs w:val="28"/>
        </w:rPr>
        <w:t>,</w:t>
      </w:r>
      <w:r w:rsidRPr="00A53AD7">
        <w:rPr>
          <w:rFonts w:ascii="Times New Roman" w:hAnsi="Times New Roman"/>
          <w:sz w:val="28"/>
          <w:szCs w:val="28"/>
        </w:rPr>
        <w:t xml:space="preserve"> и на конец отчетного периода она составляет 38,6 млн.руб., в т.ч. в указанной сумме за счет собственных доходов.</w:t>
      </w:r>
    </w:p>
    <w:p w14:paraId="14F6B30B"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обозначенной суммы наибольшая дебиторская задолженность на 01.10.2019 за счет собственных доходов сложилась в учреждениях министерства здравоохранения Архангельской области по счету 205.31 «Расчеты по доходам от оказания платных услуг (работ)» в сумме 22,9 млн.руб., которая за год выросла на 9,1 млн.руб. или на 66,4 %, а также по счету 205.35 «Расчеты по условным арендным платежам» в сумме 8,8 млн.руб., с ростом за отчетный период на 22,5 млн.руб. или на 40,1 %.</w:t>
      </w:r>
    </w:p>
    <w:p w14:paraId="573F76E0" w14:textId="5E6A840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целом на 01.01.2020 за счет собственных доходов и ОМС просроченная дебиторская задолженность в государственных и муниципальных учреждениях составляет 51,1 млн.руб</w:t>
      </w:r>
      <w:r w:rsidR="00D319B9" w:rsidRPr="00A53AD7">
        <w:rPr>
          <w:rFonts w:ascii="Times New Roman" w:hAnsi="Times New Roman"/>
          <w:sz w:val="28"/>
          <w:szCs w:val="28"/>
        </w:rPr>
        <w:t>.,</w:t>
      </w:r>
      <w:r w:rsidRPr="00A53AD7">
        <w:rPr>
          <w:rFonts w:ascii="Times New Roman" w:hAnsi="Times New Roman"/>
          <w:sz w:val="28"/>
          <w:szCs w:val="28"/>
        </w:rPr>
        <w:t xml:space="preserve"> и она сократилась на 4,3 млн.руб.</w:t>
      </w:r>
    </w:p>
    <w:p w14:paraId="38C04CF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При этом, наибольший рост просроченной дебиторской задолженности за счет собственных доходов и ОМС наблюдается в учреждениях министерства здравоохранения Архангельской области – на 8,4 млн.руб., а наибольшее снижение в учреждения минлеспрома АО на 12,6 млн.руб.</w:t>
      </w:r>
    </w:p>
    <w:p w14:paraId="44554E30"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Просроченная дебиторская задолженность государственных и муниципальных учреждений за счет бюджетных средств на 01.01.2020 составила 6,0 млн.руб. (сократилась на 2,2 млн.руб.), в т.ч. в муниципальных учреждениях – 1,7 млн.руб. (снижение на 2,1 млн.руб.), в областных учреждениях – 4,3 млн.руб. (сократилась на 0,1 млн.руб.).</w:t>
      </w:r>
    </w:p>
    <w:p w14:paraId="17A55298"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просроченной дебиторской задолженности за счет бюджетных средств наибольшая на 01.01.2020 сложилась по счету 209 «Расчеты по ущербу и иным доходам» - 3,8 млн.руб. (сократилась на 1,9 млн.руб.), в т.ч.:</w:t>
      </w:r>
    </w:p>
    <w:p w14:paraId="3C5E4BD0"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а) в муниципальных учреждениях – 1,4 млн.руб., из нее за счет средств субсидии на выполнение муниципального задания в МО «Город Архангельск» - 1,3 млн.руб. (счет 209.34 «Расчеты по доходам от компенсации затрат»);</w:t>
      </w:r>
    </w:p>
    <w:p w14:paraId="088F460E"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б) в государственных учреждениях – 2,3 млн.руб., из нее наибольшая по аналитическим счетам:</w:t>
      </w:r>
    </w:p>
    <w:p w14:paraId="7B7F323E" w14:textId="5EA30225" w:rsidR="00B029F6" w:rsidRPr="00A53AD7" w:rsidRDefault="00B029F6" w:rsidP="00135937">
      <w:pPr>
        <w:pStyle w:val="a0"/>
        <w:rPr>
          <w:lang w:eastAsia="ru-RU"/>
        </w:rPr>
      </w:pPr>
      <w:r w:rsidRPr="00A53AD7">
        <w:rPr>
          <w:lang w:eastAsia="ru-RU"/>
        </w:rPr>
        <w:t>209.34 «Расчеты по доходам от компенсации затрат» - 1,9 млн.руб., из нее в учреждениях минтрудсоцразвития Архангельской области – 1,0 млн.руб., в т.ч. за счет средств субсидии на выполнение государственного задания – 0,9 млн.руб., за счет субси</w:t>
      </w:r>
      <w:r w:rsidR="00344840" w:rsidRPr="00A53AD7">
        <w:rPr>
          <w:lang w:eastAsia="ru-RU"/>
        </w:rPr>
        <w:t>дии на иные цели – 0,2 млн.руб.</w:t>
      </w:r>
      <w:r w:rsidRPr="00A53AD7">
        <w:rPr>
          <w:lang w:eastAsia="ru-RU"/>
        </w:rPr>
        <w:t>;</w:t>
      </w:r>
    </w:p>
    <w:p w14:paraId="59B76657" w14:textId="77777777" w:rsidR="00B029F6" w:rsidRPr="00A53AD7" w:rsidRDefault="00B029F6" w:rsidP="00135937">
      <w:pPr>
        <w:pStyle w:val="a0"/>
        <w:rPr>
          <w:lang w:eastAsia="ru-RU"/>
        </w:rPr>
      </w:pPr>
      <w:r w:rsidRPr="00A53AD7">
        <w:rPr>
          <w:lang w:eastAsia="ru-RU"/>
        </w:rPr>
        <w:t>209.71 «Расчеты по ущербу основным средствам» - 0,4 млн.руб., из нее указанной сумме в учреждениях минтрудсоцразвития Архангельской области за счет средств субсидии на выполнение государственного задания.</w:t>
      </w:r>
    </w:p>
    <w:p w14:paraId="6BDDEE25" w14:textId="77777777" w:rsidR="00B029F6" w:rsidRPr="00A53AD7" w:rsidRDefault="00B029F6" w:rsidP="00B029F6">
      <w:pPr>
        <w:spacing w:after="0" w:line="240" w:lineRule="auto"/>
        <w:jc w:val="both"/>
        <w:rPr>
          <w:rFonts w:ascii="Times New Roman" w:hAnsi="Times New Roman"/>
          <w:sz w:val="16"/>
          <w:szCs w:val="16"/>
          <w:highlight w:val="cyan"/>
        </w:rPr>
      </w:pPr>
    </w:p>
    <w:p w14:paraId="3C05F9C7" w14:textId="6E36E3B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Кредиторская задолженность на 01.01.2020, за счет всех видов финансового обеспечения в государственных и муниципальных учреждениях, согласно отчетам по ф. 0503769, составила в общей сумме 4 690,4 млн.руб. и представлена на рисунке </w:t>
      </w:r>
      <w:r w:rsidR="00EC3F83" w:rsidRPr="00A53AD7">
        <w:rPr>
          <w:rFonts w:ascii="Times New Roman" w:hAnsi="Times New Roman"/>
          <w:sz w:val="28"/>
          <w:szCs w:val="28"/>
        </w:rPr>
        <w:t xml:space="preserve">75 </w:t>
      </w:r>
      <w:r w:rsidRPr="00A53AD7">
        <w:rPr>
          <w:rFonts w:ascii="Times New Roman" w:hAnsi="Times New Roman"/>
          <w:sz w:val="28"/>
          <w:szCs w:val="28"/>
        </w:rPr>
        <w:t xml:space="preserve">и </w:t>
      </w:r>
      <w:r w:rsidR="00EC3F83" w:rsidRPr="00A53AD7">
        <w:rPr>
          <w:rFonts w:ascii="Times New Roman" w:hAnsi="Times New Roman"/>
          <w:sz w:val="28"/>
          <w:szCs w:val="28"/>
        </w:rPr>
        <w:t>76</w:t>
      </w:r>
      <w:r w:rsidRPr="00A53AD7">
        <w:rPr>
          <w:rFonts w:ascii="Times New Roman" w:hAnsi="Times New Roman"/>
          <w:sz w:val="28"/>
          <w:szCs w:val="28"/>
        </w:rPr>
        <w:t>.</w:t>
      </w:r>
    </w:p>
    <w:p w14:paraId="4C4C1658" w14:textId="461D7CF9" w:rsidR="00B029F6" w:rsidRPr="00A53AD7" w:rsidRDefault="00DF56F3" w:rsidP="00B029F6">
      <w:pPr>
        <w:keepNext/>
        <w:spacing w:after="0" w:line="240" w:lineRule="auto"/>
        <w:jc w:val="center"/>
      </w:pPr>
      <w:r w:rsidRPr="00A53AD7">
        <w:rPr>
          <w:noProof/>
          <w:lang w:eastAsia="ru-RU"/>
        </w:rPr>
        <w:drawing>
          <wp:inline distT="0" distB="0" distL="0" distR="0" wp14:anchorId="5C27C5BC" wp14:editId="7975EF77">
            <wp:extent cx="5419725" cy="1823085"/>
            <wp:effectExtent l="0" t="0" r="9525" b="571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9725" cy="1823085"/>
                    </a:xfrm>
                    <a:prstGeom prst="rect">
                      <a:avLst/>
                    </a:prstGeom>
                    <a:noFill/>
                  </pic:spPr>
                </pic:pic>
              </a:graphicData>
            </a:graphic>
          </wp:inline>
        </w:drawing>
      </w:r>
    </w:p>
    <w:p w14:paraId="1E01F9A6" w14:textId="77777777" w:rsidR="00B029F6" w:rsidRPr="00A53AD7" w:rsidRDefault="00B029F6" w:rsidP="00BD62A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75</w:t>
      </w:r>
      <w:r w:rsidRPr="00A53AD7">
        <w:rPr>
          <w:rFonts w:ascii="Times New Roman" w:hAnsi="Times New Roman"/>
          <w:b w:val="0"/>
          <w:sz w:val="24"/>
          <w:szCs w:val="24"/>
        </w:rPr>
        <w:fldChar w:fldCharType="end"/>
      </w:r>
      <w:r w:rsidRPr="00A53AD7">
        <w:rPr>
          <w:rFonts w:ascii="Times New Roman" w:hAnsi="Times New Roman"/>
          <w:b w:val="0"/>
          <w:sz w:val="24"/>
          <w:szCs w:val="24"/>
        </w:rPr>
        <w:t>. Общая сумма кредиторской задолженности государственных, муниципальных бюджетных и автономных учреждений за счет всех видов финансового обеспечения согласно отчетам по форме 0503769 за 2019 год, млн.руб.</w:t>
      </w:r>
    </w:p>
    <w:p w14:paraId="4CD31A50"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59A55411"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Кредиторская задолженность учреждений за 2019 год в целом увеличилась на 878,3 млн.руб. или на 23,0 %.</w:t>
      </w:r>
    </w:p>
    <w:p w14:paraId="3696E452" w14:textId="77777777" w:rsidR="00B029F6" w:rsidRPr="00A53AD7" w:rsidRDefault="00B029F6" w:rsidP="00B029F6">
      <w:pPr>
        <w:spacing w:after="0" w:line="240" w:lineRule="auto"/>
        <w:ind w:firstLine="851"/>
        <w:jc w:val="both"/>
        <w:rPr>
          <w:rFonts w:ascii="Times New Roman" w:hAnsi="Times New Roman"/>
          <w:sz w:val="16"/>
          <w:szCs w:val="16"/>
        </w:rPr>
      </w:pPr>
    </w:p>
    <w:p w14:paraId="55C1F6F4" w14:textId="599A3C48" w:rsidR="00B029F6" w:rsidRPr="00A53AD7" w:rsidRDefault="00DF56F3" w:rsidP="00B029F6">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2F46657D" wp14:editId="18A4B07C">
            <wp:extent cx="5480685" cy="1835150"/>
            <wp:effectExtent l="0" t="0" r="571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0685" cy="1835150"/>
                    </a:xfrm>
                    <a:prstGeom prst="rect">
                      <a:avLst/>
                    </a:prstGeom>
                    <a:noFill/>
                  </pic:spPr>
                </pic:pic>
              </a:graphicData>
            </a:graphic>
          </wp:inline>
        </w:drawing>
      </w:r>
    </w:p>
    <w:p w14:paraId="0D2BCE54" w14:textId="77777777" w:rsidR="00B029F6" w:rsidRPr="00A53AD7" w:rsidRDefault="00B029F6" w:rsidP="00BD62AB">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76</w:t>
      </w:r>
      <w:r w:rsidRPr="00A53AD7">
        <w:rPr>
          <w:rFonts w:ascii="Times New Roman" w:hAnsi="Times New Roman"/>
          <w:b w:val="0"/>
          <w:sz w:val="24"/>
          <w:szCs w:val="24"/>
        </w:rPr>
        <w:fldChar w:fldCharType="end"/>
      </w:r>
      <w:r w:rsidRPr="00A53AD7">
        <w:rPr>
          <w:rFonts w:ascii="Times New Roman" w:hAnsi="Times New Roman"/>
          <w:b w:val="0"/>
          <w:sz w:val="24"/>
          <w:szCs w:val="24"/>
        </w:rPr>
        <w:t>. Кредиторская задолженность государственных, муниципальных бюджетных и автономных учреждений за счет всех видов финансового обеспечения согласно отчетам по форме 0503769 за 2019 год, млн.руб.</w:t>
      </w:r>
    </w:p>
    <w:p w14:paraId="64971E44" w14:textId="77777777" w:rsidR="00B029F6" w:rsidRPr="00A53AD7" w:rsidRDefault="00B029F6" w:rsidP="00B029F6">
      <w:pPr>
        <w:spacing w:after="0" w:line="240" w:lineRule="auto"/>
        <w:jc w:val="both"/>
        <w:rPr>
          <w:rFonts w:ascii="Times New Roman" w:hAnsi="Times New Roman"/>
          <w:sz w:val="16"/>
          <w:szCs w:val="16"/>
          <w:highlight w:val="cyan"/>
        </w:rPr>
      </w:pPr>
    </w:p>
    <w:p w14:paraId="147107EC" w14:textId="435AE1E3"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Кредиторская задолженность на 01.01.2020 в муниципальных учреждениях, за счет всех видов финансового обеспечения, составила 725,0 млн.руб. и за отчетный период она снизилась на 67,9 млн.руб. или на 8,6 %, а в областных учреждениях – 3 965,4 млн.руб.</w:t>
      </w:r>
      <w:r w:rsidR="00683C85" w:rsidRPr="00A53AD7">
        <w:rPr>
          <w:rFonts w:ascii="Times New Roman" w:hAnsi="Times New Roman"/>
          <w:sz w:val="28"/>
          <w:szCs w:val="28"/>
        </w:rPr>
        <w:t>,</w:t>
      </w:r>
      <w:r w:rsidRPr="00A53AD7">
        <w:rPr>
          <w:rFonts w:ascii="Times New Roman" w:hAnsi="Times New Roman"/>
          <w:sz w:val="28"/>
          <w:szCs w:val="28"/>
        </w:rPr>
        <w:t xml:space="preserve"> и увеличилась на 946,2 млн.руб. или на 31,3 %.</w:t>
      </w:r>
    </w:p>
    <w:p w14:paraId="4F49ADD1" w14:textId="4544E9D1"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разрезе муниципальных образований и главных распорядителей средств областного бюджета кредиторская задолженность бюджетных и автономных учреждений представлена в приложениях №№ </w:t>
      </w:r>
      <w:r w:rsidR="00BC1B84" w:rsidRPr="00A53AD7">
        <w:rPr>
          <w:rFonts w:ascii="Times New Roman" w:hAnsi="Times New Roman"/>
          <w:sz w:val="28"/>
          <w:szCs w:val="28"/>
        </w:rPr>
        <w:t>19 и 20 к настоящему заключению</w:t>
      </w:r>
      <w:r w:rsidRPr="00A53AD7">
        <w:rPr>
          <w:rFonts w:ascii="Times New Roman" w:hAnsi="Times New Roman"/>
          <w:sz w:val="28"/>
          <w:szCs w:val="28"/>
        </w:rPr>
        <w:t>.</w:t>
      </w:r>
    </w:p>
    <w:p w14:paraId="589E16E5" w14:textId="7001384F"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синтетическим счетам бухгалтерского учета кредиторская задолженность учреждений за счет всех видов финансового обеспечения на 01.01.2020 и ее изменение за 2019 год представлена в таблице </w:t>
      </w:r>
      <w:r w:rsidR="0068107F" w:rsidRPr="00A53AD7">
        <w:rPr>
          <w:rFonts w:ascii="Times New Roman" w:hAnsi="Times New Roman"/>
          <w:sz w:val="28"/>
          <w:szCs w:val="28"/>
        </w:rPr>
        <w:t>73</w:t>
      </w:r>
      <w:r w:rsidRPr="00A53AD7">
        <w:rPr>
          <w:rFonts w:ascii="Times New Roman" w:hAnsi="Times New Roman"/>
          <w:sz w:val="28"/>
          <w:szCs w:val="28"/>
        </w:rPr>
        <w:t>.</w:t>
      </w:r>
    </w:p>
    <w:p w14:paraId="43E14594" w14:textId="77777777" w:rsidR="00B029F6" w:rsidRPr="00A53AD7" w:rsidRDefault="00B029F6" w:rsidP="00B029F6">
      <w:pPr>
        <w:spacing w:after="0" w:line="240" w:lineRule="auto"/>
        <w:rPr>
          <w:rFonts w:ascii="Times New Roman" w:hAnsi="Times New Roman"/>
          <w:sz w:val="16"/>
          <w:szCs w:val="16"/>
          <w:highlight w:val="cyan"/>
        </w:rPr>
      </w:pPr>
    </w:p>
    <w:p w14:paraId="035DCF28" w14:textId="77777777" w:rsidR="0068107F" w:rsidRPr="00A53AD7" w:rsidRDefault="0068107F" w:rsidP="00683C85">
      <w:pPr>
        <w:pStyle w:val="aff0"/>
        <w:spacing w:after="0" w:line="240" w:lineRule="auto"/>
        <w:rPr>
          <w:rFonts w:ascii="Times New Roman" w:hAnsi="Times New Roman"/>
          <w:b w:val="0"/>
          <w:sz w:val="24"/>
          <w:szCs w:val="24"/>
        </w:rPr>
      </w:pPr>
    </w:p>
    <w:p w14:paraId="40E0DEA3" w14:textId="77777777" w:rsidR="0068107F" w:rsidRPr="00A53AD7" w:rsidRDefault="0068107F" w:rsidP="00683C85">
      <w:pPr>
        <w:pStyle w:val="aff0"/>
        <w:spacing w:after="0" w:line="240" w:lineRule="auto"/>
        <w:rPr>
          <w:rFonts w:ascii="Times New Roman" w:hAnsi="Times New Roman"/>
          <w:b w:val="0"/>
          <w:sz w:val="24"/>
          <w:szCs w:val="24"/>
        </w:rPr>
      </w:pPr>
    </w:p>
    <w:p w14:paraId="0DC9FA65" w14:textId="77777777" w:rsidR="0068107F" w:rsidRPr="00A53AD7" w:rsidRDefault="0068107F" w:rsidP="00683C85">
      <w:pPr>
        <w:pStyle w:val="aff0"/>
        <w:spacing w:after="0" w:line="240" w:lineRule="auto"/>
        <w:rPr>
          <w:rFonts w:ascii="Times New Roman" w:hAnsi="Times New Roman"/>
          <w:b w:val="0"/>
          <w:sz w:val="24"/>
          <w:szCs w:val="24"/>
        </w:rPr>
      </w:pPr>
    </w:p>
    <w:p w14:paraId="1897ACBE" w14:textId="77777777" w:rsidR="0068107F" w:rsidRPr="00A53AD7" w:rsidRDefault="0068107F" w:rsidP="00683C85">
      <w:pPr>
        <w:pStyle w:val="aff0"/>
        <w:spacing w:after="0" w:line="240" w:lineRule="auto"/>
        <w:rPr>
          <w:rFonts w:ascii="Times New Roman" w:hAnsi="Times New Roman"/>
          <w:b w:val="0"/>
          <w:sz w:val="24"/>
          <w:szCs w:val="24"/>
        </w:rPr>
      </w:pPr>
    </w:p>
    <w:p w14:paraId="0DCAA368" w14:textId="77777777" w:rsidR="0068107F" w:rsidRPr="00A53AD7" w:rsidRDefault="0068107F" w:rsidP="00683C85">
      <w:pPr>
        <w:pStyle w:val="aff0"/>
        <w:spacing w:after="0" w:line="240" w:lineRule="auto"/>
        <w:rPr>
          <w:rFonts w:ascii="Times New Roman" w:hAnsi="Times New Roman"/>
          <w:b w:val="0"/>
          <w:sz w:val="24"/>
          <w:szCs w:val="24"/>
        </w:rPr>
      </w:pPr>
    </w:p>
    <w:p w14:paraId="3437184E" w14:textId="77777777" w:rsidR="00B029F6" w:rsidRPr="00A53AD7" w:rsidRDefault="00B029F6" w:rsidP="00683C85">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73</w:t>
      </w:r>
      <w:r w:rsidRPr="00A53AD7">
        <w:rPr>
          <w:rFonts w:ascii="Times New Roman" w:hAnsi="Times New Roman"/>
          <w:b w:val="0"/>
          <w:sz w:val="24"/>
          <w:szCs w:val="24"/>
        </w:rPr>
        <w:fldChar w:fldCharType="end"/>
      </w:r>
      <w:r w:rsidRPr="00A53AD7">
        <w:rPr>
          <w:rFonts w:ascii="Times New Roman" w:hAnsi="Times New Roman"/>
          <w:b w:val="0"/>
          <w:sz w:val="24"/>
          <w:szCs w:val="24"/>
        </w:rPr>
        <w:t>. Кредиторская задолженность государственных (Гос.), муниципальных (МО) бюджетных и автономных учреждений, за счет всех видов финансового обеспечения, по синтетическим счетам бухгалтерского учета, согласно отчетам по форме 0503769 на 01.01.2020, млн.руб.</w:t>
      </w:r>
    </w:p>
    <w:tbl>
      <w:tblPr>
        <w:tblW w:w="9324" w:type="dxa"/>
        <w:tblInd w:w="85" w:type="dxa"/>
        <w:tblLook w:val="04A0" w:firstRow="1" w:lastRow="0" w:firstColumn="1" w:lastColumn="0" w:noHBand="0" w:noVBand="1"/>
      </w:tblPr>
      <w:tblGrid>
        <w:gridCol w:w="662"/>
        <w:gridCol w:w="3199"/>
        <w:gridCol w:w="966"/>
        <w:gridCol w:w="966"/>
        <w:gridCol w:w="816"/>
        <w:gridCol w:w="966"/>
        <w:gridCol w:w="966"/>
        <w:gridCol w:w="783"/>
      </w:tblGrid>
      <w:tr w:rsidR="00D470B6" w:rsidRPr="00A53AD7" w14:paraId="1D3084E1" w14:textId="77777777" w:rsidTr="00822909">
        <w:trPr>
          <w:trHeight w:val="29"/>
          <w:tblHeader/>
        </w:trPr>
        <w:tc>
          <w:tcPr>
            <w:tcW w:w="66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40AC447F"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Счет</w:t>
            </w:r>
          </w:p>
        </w:tc>
        <w:tc>
          <w:tcPr>
            <w:tcW w:w="3199"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2BCCA603"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w:t>
            </w:r>
          </w:p>
        </w:tc>
        <w:tc>
          <w:tcPr>
            <w:tcW w:w="2748" w:type="dxa"/>
            <w:gridSpan w:val="3"/>
            <w:tcBorders>
              <w:top w:val="double" w:sz="6" w:space="0" w:color="auto"/>
              <w:left w:val="nil"/>
              <w:bottom w:val="single" w:sz="4" w:space="0" w:color="auto"/>
              <w:right w:val="single" w:sz="4" w:space="0" w:color="auto"/>
            </w:tcBorders>
            <w:shd w:val="clear" w:color="auto" w:fill="auto"/>
            <w:vAlign w:val="center"/>
            <w:hideMark/>
          </w:tcPr>
          <w:p w14:paraId="65098DD1"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01.10.2019</w:t>
            </w:r>
          </w:p>
        </w:tc>
        <w:tc>
          <w:tcPr>
            <w:tcW w:w="2715" w:type="dxa"/>
            <w:gridSpan w:val="3"/>
            <w:tcBorders>
              <w:top w:val="double" w:sz="6" w:space="0" w:color="auto"/>
              <w:left w:val="nil"/>
              <w:bottom w:val="single" w:sz="4" w:space="0" w:color="auto"/>
              <w:right w:val="double" w:sz="6" w:space="0" w:color="000000"/>
            </w:tcBorders>
            <w:shd w:val="clear" w:color="auto" w:fill="auto"/>
            <w:vAlign w:val="center"/>
            <w:hideMark/>
          </w:tcPr>
          <w:p w14:paraId="3A9264C4"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Изменения (+,-)</w:t>
            </w:r>
          </w:p>
        </w:tc>
      </w:tr>
      <w:tr w:rsidR="00D470B6" w:rsidRPr="00A53AD7" w14:paraId="0D4583B1" w14:textId="77777777" w:rsidTr="00822909">
        <w:trPr>
          <w:trHeight w:val="29"/>
          <w:tblHead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69665EC3"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199" w:type="dxa"/>
            <w:vMerge/>
            <w:tcBorders>
              <w:top w:val="double" w:sz="6" w:space="0" w:color="auto"/>
              <w:left w:val="single" w:sz="4" w:space="0" w:color="auto"/>
              <w:bottom w:val="single" w:sz="4" w:space="0" w:color="auto"/>
              <w:right w:val="single" w:sz="4" w:space="0" w:color="auto"/>
            </w:tcBorders>
            <w:vAlign w:val="center"/>
            <w:hideMark/>
          </w:tcPr>
          <w:p w14:paraId="174E536E"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14:paraId="32E36EB7"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782" w:type="dxa"/>
            <w:gridSpan w:val="2"/>
            <w:tcBorders>
              <w:top w:val="single" w:sz="4" w:space="0" w:color="auto"/>
              <w:left w:val="nil"/>
              <w:bottom w:val="single" w:sz="4" w:space="0" w:color="auto"/>
              <w:right w:val="single" w:sz="4" w:space="0" w:color="auto"/>
            </w:tcBorders>
            <w:shd w:val="clear" w:color="auto" w:fill="auto"/>
            <w:vAlign w:val="center"/>
            <w:hideMark/>
          </w:tcPr>
          <w:p w14:paraId="5A1B2E75"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c>
          <w:tcPr>
            <w:tcW w:w="966" w:type="dxa"/>
            <w:vMerge w:val="restart"/>
            <w:tcBorders>
              <w:top w:val="nil"/>
              <w:left w:val="single" w:sz="4" w:space="0" w:color="auto"/>
              <w:bottom w:val="single" w:sz="4" w:space="0" w:color="auto"/>
              <w:right w:val="single" w:sz="4" w:space="0" w:color="auto"/>
            </w:tcBorders>
            <w:shd w:val="clear" w:color="auto" w:fill="auto"/>
            <w:vAlign w:val="center"/>
            <w:hideMark/>
          </w:tcPr>
          <w:p w14:paraId="5FD21F62"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749" w:type="dxa"/>
            <w:gridSpan w:val="2"/>
            <w:tcBorders>
              <w:top w:val="single" w:sz="4" w:space="0" w:color="auto"/>
              <w:left w:val="nil"/>
              <w:bottom w:val="single" w:sz="4" w:space="0" w:color="auto"/>
              <w:right w:val="double" w:sz="6" w:space="0" w:color="000000"/>
            </w:tcBorders>
            <w:shd w:val="clear" w:color="auto" w:fill="auto"/>
            <w:vAlign w:val="center"/>
            <w:hideMark/>
          </w:tcPr>
          <w:p w14:paraId="1B0AED7D"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r>
      <w:tr w:rsidR="00D470B6" w:rsidRPr="00A53AD7" w14:paraId="65ACBBE4" w14:textId="77777777" w:rsidTr="00822909">
        <w:trPr>
          <w:trHeight w:val="29"/>
          <w:tblHead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3ED9E861"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199" w:type="dxa"/>
            <w:vMerge/>
            <w:tcBorders>
              <w:top w:val="double" w:sz="6" w:space="0" w:color="auto"/>
              <w:left w:val="single" w:sz="4" w:space="0" w:color="auto"/>
              <w:bottom w:val="single" w:sz="4" w:space="0" w:color="auto"/>
              <w:right w:val="single" w:sz="4" w:space="0" w:color="auto"/>
            </w:tcBorders>
            <w:vAlign w:val="center"/>
            <w:hideMark/>
          </w:tcPr>
          <w:p w14:paraId="48B4AB3A"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66" w:type="dxa"/>
            <w:vMerge/>
            <w:tcBorders>
              <w:top w:val="nil"/>
              <w:left w:val="single" w:sz="4" w:space="0" w:color="auto"/>
              <w:bottom w:val="single" w:sz="4" w:space="0" w:color="auto"/>
              <w:right w:val="single" w:sz="4" w:space="0" w:color="auto"/>
            </w:tcBorders>
            <w:vAlign w:val="center"/>
            <w:hideMark/>
          </w:tcPr>
          <w:p w14:paraId="5619AFAE"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3275775C"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816" w:type="dxa"/>
            <w:tcBorders>
              <w:top w:val="nil"/>
              <w:left w:val="nil"/>
              <w:bottom w:val="single" w:sz="4" w:space="0" w:color="auto"/>
              <w:right w:val="single" w:sz="4" w:space="0" w:color="auto"/>
            </w:tcBorders>
            <w:shd w:val="clear" w:color="auto" w:fill="auto"/>
            <w:vAlign w:val="center"/>
            <w:hideMark/>
          </w:tcPr>
          <w:p w14:paraId="5F70D365"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c>
          <w:tcPr>
            <w:tcW w:w="966" w:type="dxa"/>
            <w:vMerge/>
            <w:tcBorders>
              <w:top w:val="nil"/>
              <w:left w:val="single" w:sz="4" w:space="0" w:color="auto"/>
              <w:bottom w:val="single" w:sz="4" w:space="0" w:color="auto"/>
              <w:right w:val="single" w:sz="4" w:space="0" w:color="auto"/>
            </w:tcBorders>
            <w:vAlign w:val="center"/>
            <w:hideMark/>
          </w:tcPr>
          <w:p w14:paraId="066AB4C5"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6A58C55"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783" w:type="dxa"/>
            <w:tcBorders>
              <w:top w:val="nil"/>
              <w:left w:val="nil"/>
              <w:bottom w:val="single" w:sz="4" w:space="0" w:color="auto"/>
              <w:right w:val="double" w:sz="6" w:space="0" w:color="auto"/>
            </w:tcBorders>
            <w:shd w:val="clear" w:color="auto" w:fill="auto"/>
            <w:vAlign w:val="center"/>
            <w:hideMark/>
          </w:tcPr>
          <w:p w14:paraId="58057D82"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r>
      <w:tr w:rsidR="00D470B6" w:rsidRPr="00A53AD7" w14:paraId="54E61130"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2EB1079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205</w:t>
            </w:r>
          </w:p>
        </w:tc>
        <w:tc>
          <w:tcPr>
            <w:tcW w:w="3199" w:type="dxa"/>
            <w:tcBorders>
              <w:top w:val="nil"/>
              <w:left w:val="nil"/>
              <w:bottom w:val="single" w:sz="4" w:space="0" w:color="auto"/>
              <w:right w:val="single" w:sz="4" w:space="0" w:color="auto"/>
            </w:tcBorders>
            <w:shd w:val="clear" w:color="auto" w:fill="auto"/>
            <w:vAlign w:val="center"/>
            <w:hideMark/>
          </w:tcPr>
          <w:p w14:paraId="587D5664"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доходам</w:t>
            </w:r>
          </w:p>
        </w:tc>
        <w:tc>
          <w:tcPr>
            <w:tcW w:w="966" w:type="dxa"/>
            <w:tcBorders>
              <w:top w:val="nil"/>
              <w:left w:val="nil"/>
              <w:bottom w:val="single" w:sz="4" w:space="0" w:color="auto"/>
              <w:right w:val="single" w:sz="4" w:space="0" w:color="auto"/>
            </w:tcBorders>
            <w:shd w:val="clear" w:color="auto" w:fill="auto"/>
            <w:vAlign w:val="center"/>
            <w:hideMark/>
          </w:tcPr>
          <w:p w14:paraId="5B68240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1 069,5 </w:t>
            </w:r>
          </w:p>
        </w:tc>
        <w:tc>
          <w:tcPr>
            <w:tcW w:w="966" w:type="dxa"/>
            <w:tcBorders>
              <w:top w:val="nil"/>
              <w:left w:val="nil"/>
              <w:bottom w:val="single" w:sz="4" w:space="0" w:color="auto"/>
              <w:right w:val="single" w:sz="4" w:space="0" w:color="auto"/>
            </w:tcBorders>
            <w:shd w:val="clear" w:color="auto" w:fill="auto"/>
            <w:vAlign w:val="center"/>
            <w:hideMark/>
          </w:tcPr>
          <w:p w14:paraId="453BEBE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854,8 </w:t>
            </w:r>
          </w:p>
        </w:tc>
        <w:tc>
          <w:tcPr>
            <w:tcW w:w="816" w:type="dxa"/>
            <w:tcBorders>
              <w:top w:val="nil"/>
              <w:left w:val="nil"/>
              <w:bottom w:val="single" w:sz="4" w:space="0" w:color="auto"/>
              <w:right w:val="single" w:sz="4" w:space="0" w:color="auto"/>
            </w:tcBorders>
            <w:shd w:val="clear" w:color="auto" w:fill="auto"/>
            <w:vAlign w:val="center"/>
            <w:hideMark/>
          </w:tcPr>
          <w:p w14:paraId="26D4D27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214,6 </w:t>
            </w:r>
          </w:p>
        </w:tc>
        <w:tc>
          <w:tcPr>
            <w:tcW w:w="966" w:type="dxa"/>
            <w:tcBorders>
              <w:top w:val="nil"/>
              <w:left w:val="nil"/>
              <w:bottom w:val="single" w:sz="4" w:space="0" w:color="auto"/>
              <w:right w:val="single" w:sz="4" w:space="0" w:color="auto"/>
            </w:tcBorders>
            <w:shd w:val="clear" w:color="auto" w:fill="auto"/>
            <w:vAlign w:val="center"/>
            <w:hideMark/>
          </w:tcPr>
          <w:p w14:paraId="4D9AA36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-906,6 </w:t>
            </w:r>
          </w:p>
        </w:tc>
        <w:tc>
          <w:tcPr>
            <w:tcW w:w="966" w:type="dxa"/>
            <w:tcBorders>
              <w:top w:val="nil"/>
              <w:left w:val="nil"/>
              <w:bottom w:val="single" w:sz="4" w:space="0" w:color="auto"/>
              <w:right w:val="single" w:sz="4" w:space="0" w:color="auto"/>
            </w:tcBorders>
            <w:shd w:val="clear" w:color="auto" w:fill="auto"/>
            <w:vAlign w:val="center"/>
            <w:hideMark/>
          </w:tcPr>
          <w:p w14:paraId="407C6D0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-909,4 </w:t>
            </w:r>
          </w:p>
        </w:tc>
        <w:tc>
          <w:tcPr>
            <w:tcW w:w="783" w:type="dxa"/>
            <w:tcBorders>
              <w:top w:val="nil"/>
              <w:left w:val="nil"/>
              <w:bottom w:val="single" w:sz="4" w:space="0" w:color="auto"/>
              <w:right w:val="double" w:sz="6" w:space="0" w:color="auto"/>
            </w:tcBorders>
            <w:shd w:val="clear" w:color="auto" w:fill="auto"/>
            <w:vAlign w:val="center"/>
            <w:hideMark/>
          </w:tcPr>
          <w:p w14:paraId="006F9CF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2,8 </w:t>
            </w:r>
          </w:p>
        </w:tc>
      </w:tr>
      <w:tr w:rsidR="00D470B6" w:rsidRPr="00A53AD7" w14:paraId="69141E90"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192E4DA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208</w:t>
            </w:r>
          </w:p>
        </w:tc>
        <w:tc>
          <w:tcPr>
            <w:tcW w:w="3199" w:type="dxa"/>
            <w:tcBorders>
              <w:top w:val="nil"/>
              <w:left w:val="nil"/>
              <w:bottom w:val="single" w:sz="4" w:space="0" w:color="auto"/>
              <w:right w:val="single" w:sz="4" w:space="0" w:color="auto"/>
            </w:tcBorders>
            <w:shd w:val="clear" w:color="auto" w:fill="auto"/>
            <w:vAlign w:val="center"/>
            <w:hideMark/>
          </w:tcPr>
          <w:p w14:paraId="20651413"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с подотчетными лицами</w:t>
            </w:r>
          </w:p>
        </w:tc>
        <w:tc>
          <w:tcPr>
            <w:tcW w:w="966" w:type="dxa"/>
            <w:tcBorders>
              <w:top w:val="nil"/>
              <w:left w:val="nil"/>
              <w:bottom w:val="single" w:sz="4" w:space="0" w:color="auto"/>
              <w:right w:val="single" w:sz="4" w:space="0" w:color="auto"/>
            </w:tcBorders>
            <w:shd w:val="clear" w:color="auto" w:fill="auto"/>
            <w:vAlign w:val="center"/>
            <w:hideMark/>
          </w:tcPr>
          <w:p w14:paraId="60BFD6A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12,3 </w:t>
            </w:r>
          </w:p>
        </w:tc>
        <w:tc>
          <w:tcPr>
            <w:tcW w:w="966" w:type="dxa"/>
            <w:tcBorders>
              <w:top w:val="nil"/>
              <w:left w:val="nil"/>
              <w:bottom w:val="single" w:sz="4" w:space="0" w:color="auto"/>
              <w:right w:val="single" w:sz="4" w:space="0" w:color="auto"/>
            </w:tcBorders>
            <w:shd w:val="clear" w:color="auto" w:fill="auto"/>
            <w:vAlign w:val="center"/>
            <w:hideMark/>
          </w:tcPr>
          <w:p w14:paraId="3A9B600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6,6 </w:t>
            </w:r>
          </w:p>
        </w:tc>
        <w:tc>
          <w:tcPr>
            <w:tcW w:w="816" w:type="dxa"/>
            <w:tcBorders>
              <w:top w:val="nil"/>
              <w:left w:val="nil"/>
              <w:bottom w:val="single" w:sz="4" w:space="0" w:color="auto"/>
              <w:right w:val="single" w:sz="4" w:space="0" w:color="auto"/>
            </w:tcBorders>
            <w:shd w:val="clear" w:color="auto" w:fill="auto"/>
            <w:vAlign w:val="center"/>
            <w:hideMark/>
          </w:tcPr>
          <w:p w14:paraId="75C084D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5,7 </w:t>
            </w:r>
          </w:p>
        </w:tc>
        <w:tc>
          <w:tcPr>
            <w:tcW w:w="966" w:type="dxa"/>
            <w:tcBorders>
              <w:top w:val="nil"/>
              <w:left w:val="nil"/>
              <w:bottom w:val="single" w:sz="4" w:space="0" w:color="auto"/>
              <w:right w:val="single" w:sz="4" w:space="0" w:color="auto"/>
            </w:tcBorders>
            <w:shd w:val="clear" w:color="auto" w:fill="auto"/>
            <w:vAlign w:val="center"/>
            <w:hideMark/>
          </w:tcPr>
          <w:p w14:paraId="75B5668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-3,4 </w:t>
            </w:r>
          </w:p>
        </w:tc>
        <w:tc>
          <w:tcPr>
            <w:tcW w:w="966" w:type="dxa"/>
            <w:tcBorders>
              <w:top w:val="nil"/>
              <w:left w:val="nil"/>
              <w:bottom w:val="single" w:sz="4" w:space="0" w:color="auto"/>
              <w:right w:val="single" w:sz="4" w:space="0" w:color="auto"/>
            </w:tcBorders>
            <w:shd w:val="clear" w:color="auto" w:fill="auto"/>
            <w:vAlign w:val="center"/>
            <w:hideMark/>
          </w:tcPr>
          <w:p w14:paraId="4B2B1FE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2,8 </w:t>
            </w:r>
          </w:p>
        </w:tc>
        <w:tc>
          <w:tcPr>
            <w:tcW w:w="783" w:type="dxa"/>
            <w:tcBorders>
              <w:top w:val="nil"/>
              <w:left w:val="nil"/>
              <w:bottom w:val="single" w:sz="4" w:space="0" w:color="auto"/>
              <w:right w:val="double" w:sz="6" w:space="0" w:color="auto"/>
            </w:tcBorders>
            <w:shd w:val="clear" w:color="auto" w:fill="auto"/>
            <w:vAlign w:val="center"/>
            <w:hideMark/>
          </w:tcPr>
          <w:p w14:paraId="50730F0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-6,2 </w:t>
            </w:r>
          </w:p>
        </w:tc>
      </w:tr>
      <w:tr w:rsidR="00D470B6" w:rsidRPr="00A53AD7" w14:paraId="5D19D711"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43E55BC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209</w:t>
            </w:r>
          </w:p>
        </w:tc>
        <w:tc>
          <w:tcPr>
            <w:tcW w:w="3199" w:type="dxa"/>
            <w:tcBorders>
              <w:top w:val="nil"/>
              <w:left w:val="nil"/>
              <w:bottom w:val="single" w:sz="4" w:space="0" w:color="auto"/>
              <w:right w:val="single" w:sz="4" w:space="0" w:color="auto"/>
            </w:tcBorders>
            <w:shd w:val="clear" w:color="auto" w:fill="auto"/>
            <w:vAlign w:val="center"/>
            <w:hideMark/>
          </w:tcPr>
          <w:p w14:paraId="50FF60A6"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ущербу и иным доходам</w:t>
            </w:r>
          </w:p>
        </w:tc>
        <w:tc>
          <w:tcPr>
            <w:tcW w:w="966" w:type="dxa"/>
            <w:tcBorders>
              <w:top w:val="nil"/>
              <w:left w:val="nil"/>
              <w:bottom w:val="single" w:sz="4" w:space="0" w:color="auto"/>
              <w:right w:val="single" w:sz="4" w:space="0" w:color="auto"/>
            </w:tcBorders>
            <w:shd w:val="clear" w:color="auto" w:fill="auto"/>
            <w:vAlign w:val="center"/>
            <w:hideMark/>
          </w:tcPr>
          <w:p w14:paraId="702B9B5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0,6 </w:t>
            </w:r>
          </w:p>
        </w:tc>
        <w:tc>
          <w:tcPr>
            <w:tcW w:w="966" w:type="dxa"/>
            <w:tcBorders>
              <w:top w:val="nil"/>
              <w:left w:val="nil"/>
              <w:bottom w:val="single" w:sz="4" w:space="0" w:color="auto"/>
              <w:right w:val="single" w:sz="4" w:space="0" w:color="auto"/>
            </w:tcBorders>
            <w:shd w:val="clear" w:color="auto" w:fill="auto"/>
            <w:vAlign w:val="center"/>
            <w:hideMark/>
          </w:tcPr>
          <w:p w14:paraId="53F34D0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c>
          <w:tcPr>
            <w:tcW w:w="816" w:type="dxa"/>
            <w:tcBorders>
              <w:top w:val="nil"/>
              <w:left w:val="nil"/>
              <w:bottom w:val="single" w:sz="4" w:space="0" w:color="auto"/>
              <w:right w:val="single" w:sz="4" w:space="0" w:color="auto"/>
            </w:tcBorders>
            <w:shd w:val="clear" w:color="auto" w:fill="auto"/>
            <w:vAlign w:val="center"/>
            <w:hideMark/>
          </w:tcPr>
          <w:p w14:paraId="37DF835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66" w:type="dxa"/>
            <w:tcBorders>
              <w:top w:val="nil"/>
              <w:left w:val="nil"/>
              <w:bottom w:val="single" w:sz="4" w:space="0" w:color="auto"/>
              <w:right w:val="single" w:sz="4" w:space="0" w:color="auto"/>
            </w:tcBorders>
            <w:shd w:val="clear" w:color="auto" w:fill="auto"/>
            <w:vAlign w:val="center"/>
            <w:hideMark/>
          </w:tcPr>
          <w:p w14:paraId="14BDE95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-0,9 </w:t>
            </w:r>
          </w:p>
        </w:tc>
        <w:tc>
          <w:tcPr>
            <w:tcW w:w="966" w:type="dxa"/>
            <w:tcBorders>
              <w:top w:val="nil"/>
              <w:left w:val="nil"/>
              <w:bottom w:val="single" w:sz="4" w:space="0" w:color="auto"/>
              <w:right w:val="single" w:sz="4" w:space="0" w:color="auto"/>
            </w:tcBorders>
            <w:shd w:val="clear" w:color="auto" w:fill="auto"/>
            <w:vAlign w:val="center"/>
            <w:hideMark/>
          </w:tcPr>
          <w:p w14:paraId="54AC539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-0,7 </w:t>
            </w:r>
          </w:p>
        </w:tc>
        <w:tc>
          <w:tcPr>
            <w:tcW w:w="783" w:type="dxa"/>
            <w:tcBorders>
              <w:top w:val="nil"/>
              <w:left w:val="nil"/>
              <w:bottom w:val="single" w:sz="4" w:space="0" w:color="auto"/>
              <w:right w:val="double" w:sz="6" w:space="0" w:color="auto"/>
            </w:tcBorders>
            <w:shd w:val="clear" w:color="auto" w:fill="auto"/>
            <w:vAlign w:val="center"/>
            <w:hideMark/>
          </w:tcPr>
          <w:p w14:paraId="720FA42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-0,2 </w:t>
            </w:r>
          </w:p>
        </w:tc>
      </w:tr>
      <w:tr w:rsidR="00D470B6" w:rsidRPr="00A53AD7" w14:paraId="6133F1D8"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435C921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210</w:t>
            </w:r>
          </w:p>
        </w:tc>
        <w:tc>
          <w:tcPr>
            <w:tcW w:w="3199" w:type="dxa"/>
            <w:tcBorders>
              <w:top w:val="nil"/>
              <w:left w:val="nil"/>
              <w:bottom w:val="single" w:sz="4" w:space="0" w:color="auto"/>
              <w:right w:val="single" w:sz="4" w:space="0" w:color="auto"/>
            </w:tcBorders>
            <w:shd w:val="clear" w:color="auto" w:fill="auto"/>
            <w:vAlign w:val="center"/>
            <w:hideMark/>
          </w:tcPr>
          <w:p w14:paraId="515DAAA3"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Прочие расчеты с дебиторами</w:t>
            </w:r>
          </w:p>
        </w:tc>
        <w:tc>
          <w:tcPr>
            <w:tcW w:w="966" w:type="dxa"/>
            <w:tcBorders>
              <w:top w:val="nil"/>
              <w:left w:val="nil"/>
              <w:bottom w:val="single" w:sz="4" w:space="0" w:color="auto"/>
              <w:right w:val="single" w:sz="4" w:space="0" w:color="auto"/>
            </w:tcBorders>
            <w:shd w:val="clear" w:color="auto" w:fill="auto"/>
            <w:vAlign w:val="center"/>
            <w:hideMark/>
          </w:tcPr>
          <w:p w14:paraId="11681C1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0,3 </w:t>
            </w:r>
          </w:p>
        </w:tc>
        <w:tc>
          <w:tcPr>
            <w:tcW w:w="966" w:type="dxa"/>
            <w:tcBorders>
              <w:top w:val="nil"/>
              <w:left w:val="nil"/>
              <w:bottom w:val="single" w:sz="4" w:space="0" w:color="auto"/>
              <w:right w:val="single" w:sz="4" w:space="0" w:color="auto"/>
            </w:tcBorders>
            <w:shd w:val="clear" w:color="auto" w:fill="auto"/>
            <w:vAlign w:val="center"/>
            <w:hideMark/>
          </w:tcPr>
          <w:p w14:paraId="620A4EE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0,3 </w:t>
            </w:r>
          </w:p>
        </w:tc>
        <w:tc>
          <w:tcPr>
            <w:tcW w:w="816" w:type="dxa"/>
            <w:tcBorders>
              <w:top w:val="nil"/>
              <w:left w:val="nil"/>
              <w:bottom w:val="single" w:sz="4" w:space="0" w:color="auto"/>
              <w:right w:val="single" w:sz="4" w:space="0" w:color="auto"/>
            </w:tcBorders>
            <w:shd w:val="clear" w:color="auto" w:fill="auto"/>
            <w:vAlign w:val="center"/>
            <w:hideMark/>
          </w:tcPr>
          <w:p w14:paraId="40820F1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966" w:type="dxa"/>
            <w:tcBorders>
              <w:top w:val="nil"/>
              <w:left w:val="nil"/>
              <w:bottom w:val="single" w:sz="4" w:space="0" w:color="auto"/>
              <w:right w:val="single" w:sz="4" w:space="0" w:color="auto"/>
            </w:tcBorders>
            <w:shd w:val="clear" w:color="auto" w:fill="auto"/>
            <w:vAlign w:val="center"/>
            <w:hideMark/>
          </w:tcPr>
          <w:p w14:paraId="5889EC6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0,3 </w:t>
            </w:r>
          </w:p>
        </w:tc>
        <w:tc>
          <w:tcPr>
            <w:tcW w:w="966" w:type="dxa"/>
            <w:tcBorders>
              <w:top w:val="nil"/>
              <w:left w:val="nil"/>
              <w:bottom w:val="single" w:sz="4" w:space="0" w:color="auto"/>
              <w:right w:val="single" w:sz="4" w:space="0" w:color="auto"/>
            </w:tcBorders>
            <w:shd w:val="clear" w:color="auto" w:fill="auto"/>
            <w:vAlign w:val="center"/>
            <w:hideMark/>
          </w:tcPr>
          <w:p w14:paraId="3E3E04D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0,3 </w:t>
            </w:r>
          </w:p>
        </w:tc>
        <w:tc>
          <w:tcPr>
            <w:tcW w:w="783" w:type="dxa"/>
            <w:tcBorders>
              <w:top w:val="nil"/>
              <w:left w:val="nil"/>
              <w:bottom w:val="single" w:sz="4" w:space="0" w:color="auto"/>
              <w:right w:val="double" w:sz="6" w:space="0" w:color="auto"/>
            </w:tcBorders>
            <w:shd w:val="clear" w:color="auto" w:fill="auto"/>
            <w:vAlign w:val="center"/>
            <w:hideMark/>
          </w:tcPr>
          <w:p w14:paraId="6C4D013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r>
      <w:tr w:rsidR="00D470B6" w:rsidRPr="00A53AD7" w14:paraId="6E2AC5FF"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20D1D01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3199" w:type="dxa"/>
            <w:tcBorders>
              <w:top w:val="nil"/>
              <w:left w:val="nil"/>
              <w:bottom w:val="single" w:sz="4" w:space="0" w:color="auto"/>
              <w:right w:val="single" w:sz="4" w:space="0" w:color="auto"/>
            </w:tcBorders>
            <w:shd w:val="clear" w:color="auto" w:fill="auto"/>
            <w:vAlign w:val="center"/>
            <w:hideMark/>
          </w:tcPr>
          <w:p w14:paraId="2C2926C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принятым обязательствам</w:t>
            </w:r>
          </w:p>
        </w:tc>
        <w:tc>
          <w:tcPr>
            <w:tcW w:w="966" w:type="dxa"/>
            <w:tcBorders>
              <w:top w:val="nil"/>
              <w:left w:val="nil"/>
              <w:bottom w:val="single" w:sz="4" w:space="0" w:color="auto"/>
              <w:right w:val="single" w:sz="4" w:space="0" w:color="auto"/>
            </w:tcBorders>
            <w:shd w:val="clear" w:color="auto" w:fill="auto"/>
            <w:vAlign w:val="center"/>
            <w:hideMark/>
          </w:tcPr>
          <w:p w14:paraId="41C05B2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1 543,1 </w:t>
            </w:r>
          </w:p>
        </w:tc>
        <w:tc>
          <w:tcPr>
            <w:tcW w:w="966" w:type="dxa"/>
            <w:tcBorders>
              <w:top w:val="nil"/>
              <w:left w:val="nil"/>
              <w:bottom w:val="single" w:sz="4" w:space="0" w:color="auto"/>
              <w:right w:val="single" w:sz="4" w:space="0" w:color="auto"/>
            </w:tcBorders>
            <w:shd w:val="clear" w:color="auto" w:fill="auto"/>
            <w:vAlign w:val="center"/>
            <w:hideMark/>
          </w:tcPr>
          <w:p w14:paraId="0B75EB5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1 264,2 </w:t>
            </w:r>
          </w:p>
        </w:tc>
        <w:tc>
          <w:tcPr>
            <w:tcW w:w="816" w:type="dxa"/>
            <w:tcBorders>
              <w:top w:val="nil"/>
              <w:left w:val="nil"/>
              <w:bottom w:val="single" w:sz="4" w:space="0" w:color="auto"/>
              <w:right w:val="single" w:sz="4" w:space="0" w:color="auto"/>
            </w:tcBorders>
            <w:shd w:val="clear" w:color="auto" w:fill="auto"/>
            <w:vAlign w:val="center"/>
            <w:hideMark/>
          </w:tcPr>
          <w:p w14:paraId="45D2525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278,9 </w:t>
            </w:r>
          </w:p>
        </w:tc>
        <w:tc>
          <w:tcPr>
            <w:tcW w:w="966" w:type="dxa"/>
            <w:tcBorders>
              <w:top w:val="nil"/>
              <w:left w:val="nil"/>
              <w:bottom w:val="single" w:sz="4" w:space="0" w:color="auto"/>
              <w:right w:val="single" w:sz="4" w:space="0" w:color="auto"/>
            </w:tcBorders>
            <w:shd w:val="clear" w:color="auto" w:fill="auto"/>
            <w:vAlign w:val="center"/>
            <w:hideMark/>
          </w:tcPr>
          <w:p w14:paraId="30AD45A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264,6 </w:t>
            </w:r>
          </w:p>
        </w:tc>
        <w:tc>
          <w:tcPr>
            <w:tcW w:w="966" w:type="dxa"/>
            <w:tcBorders>
              <w:top w:val="nil"/>
              <w:left w:val="nil"/>
              <w:bottom w:val="single" w:sz="4" w:space="0" w:color="auto"/>
              <w:right w:val="single" w:sz="4" w:space="0" w:color="auto"/>
            </w:tcBorders>
            <w:shd w:val="clear" w:color="auto" w:fill="auto"/>
            <w:vAlign w:val="center"/>
            <w:hideMark/>
          </w:tcPr>
          <w:p w14:paraId="0256933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339,9 </w:t>
            </w:r>
          </w:p>
        </w:tc>
        <w:tc>
          <w:tcPr>
            <w:tcW w:w="783" w:type="dxa"/>
            <w:tcBorders>
              <w:top w:val="nil"/>
              <w:left w:val="nil"/>
              <w:bottom w:val="single" w:sz="4" w:space="0" w:color="auto"/>
              <w:right w:val="double" w:sz="6" w:space="0" w:color="auto"/>
            </w:tcBorders>
            <w:shd w:val="clear" w:color="auto" w:fill="auto"/>
            <w:vAlign w:val="center"/>
            <w:hideMark/>
          </w:tcPr>
          <w:p w14:paraId="4E5A02D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-75,4 </w:t>
            </w:r>
          </w:p>
        </w:tc>
      </w:tr>
      <w:tr w:rsidR="00D470B6" w:rsidRPr="00A53AD7" w14:paraId="616A3CD0"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79FAAFB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303</w:t>
            </w:r>
          </w:p>
        </w:tc>
        <w:tc>
          <w:tcPr>
            <w:tcW w:w="3199" w:type="dxa"/>
            <w:tcBorders>
              <w:top w:val="nil"/>
              <w:left w:val="nil"/>
              <w:bottom w:val="single" w:sz="4" w:space="0" w:color="auto"/>
              <w:right w:val="single" w:sz="4" w:space="0" w:color="auto"/>
            </w:tcBorders>
            <w:shd w:val="clear" w:color="auto" w:fill="auto"/>
            <w:vAlign w:val="center"/>
            <w:hideMark/>
          </w:tcPr>
          <w:p w14:paraId="2133BE7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платежам в бюджеты</w:t>
            </w:r>
          </w:p>
        </w:tc>
        <w:tc>
          <w:tcPr>
            <w:tcW w:w="966" w:type="dxa"/>
            <w:tcBorders>
              <w:top w:val="nil"/>
              <w:left w:val="nil"/>
              <w:bottom w:val="single" w:sz="4" w:space="0" w:color="auto"/>
              <w:right w:val="single" w:sz="4" w:space="0" w:color="auto"/>
            </w:tcBorders>
            <w:shd w:val="clear" w:color="auto" w:fill="auto"/>
            <w:vAlign w:val="center"/>
            <w:hideMark/>
          </w:tcPr>
          <w:p w14:paraId="591FDED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2 045,3 </w:t>
            </w:r>
          </w:p>
        </w:tc>
        <w:tc>
          <w:tcPr>
            <w:tcW w:w="966" w:type="dxa"/>
            <w:tcBorders>
              <w:top w:val="nil"/>
              <w:left w:val="nil"/>
              <w:bottom w:val="single" w:sz="4" w:space="0" w:color="auto"/>
              <w:right w:val="single" w:sz="4" w:space="0" w:color="auto"/>
            </w:tcBorders>
            <w:shd w:val="clear" w:color="auto" w:fill="auto"/>
            <w:vAlign w:val="center"/>
            <w:hideMark/>
          </w:tcPr>
          <w:p w14:paraId="36B4834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1 830,0 </w:t>
            </w:r>
          </w:p>
        </w:tc>
        <w:tc>
          <w:tcPr>
            <w:tcW w:w="816" w:type="dxa"/>
            <w:tcBorders>
              <w:top w:val="nil"/>
              <w:left w:val="nil"/>
              <w:bottom w:val="single" w:sz="4" w:space="0" w:color="auto"/>
              <w:right w:val="single" w:sz="4" w:space="0" w:color="auto"/>
            </w:tcBorders>
            <w:shd w:val="clear" w:color="auto" w:fill="auto"/>
            <w:vAlign w:val="center"/>
            <w:hideMark/>
          </w:tcPr>
          <w:p w14:paraId="461CCB8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215,3 </w:t>
            </w:r>
          </w:p>
        </w:tc>
        <w:tc>
          <w:tcPr>
            <w:tcW w:w="966" w:type="dxa"/>
            <w:tcBorders>
              <w:top w:val="nil"/>
              <w:left w:val="nil"/>
              <w:bottom w:val="single" w:sz="4" w:space="0" w:color="auto"/>
              <w:right w:val="single" w:sz="4" w:space="0" w:color="auto"/>
            </w:tcBorders>
            <w:shd w:val="clear" w:color="auto" w:fill="auto"/>
            <w:vAlign w:val="center"/>
            <w:hideMark/>
          </w:tcPr>
          <w:p w14:paraId="59B7DAB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1 517,8 </w:t>
            </w:r>
          </w:p>
        </w:tc>
        <w:tc>
          <w:tcPr>
            <w:tcW w:w="966" w:type="dxa"/>
            <w:tcBorders>
              <w:top w:val="nil"/>
              <w:left w:val="nil"/>
              <w:bottom w:val="single" w:sz="4" w:space="0" w:color="auto"/>
              <w:right w:val="single" w:sz="4" w:space="0" w:color="auto"/>
            </w:tcBorders>
            <w:shd w:val="clear" w:color="auto" w:fill="auto"/>
            <w:vAlign w:val="center"/>
            <w:hideMark/>
          </w:tcPr>
          <w:p w14:paraId="7D4FA4C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1 511,9 </w:t>
            </w:r>
          </w:p>
        </w:tc>
        <w:tc>
          <w:tcPr>
            <w:tcW w:w="783" w:type="dxa"/>
            <w:tcBorders>
              <w:top w:val="nil"/>
              <w:left w:val="nil"/>
              <w:bottom w:val="single" w:sz="4" w:space="0" w:color="auto"/>
              <w:right w:val="double" w:sz="6" w:space="0" w:color="auto"/>
            </w:tcBorders>
            <w:shd w:val="clear" w:color="auto" w:fill="auto"/>
            <w:vAlign w:val="center"/>
            <w:hideMark/>
          </w:tcPr>
          <w:p w14:paraId="73716CD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5,9 </w:t>
            </w:r>
          </w:p>
        </w:tc>
      </w:tr>
      <w:tr w:rsidR="00D470B6" w:rsidRPr="00A53AD7" w14:paraId="0CD50F58" w14:textId="77777777" w:rsidTr="00822909">
        <w:trPr>
          <w:trHeight w:val="64"/>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43ABF25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304</w:t>
            </w:r>
          </w:p>
        </w:tc>
        <w:tc>
          <w:tcPr>
            <w:tcW w:w="3199" w:type="dxa"/>
            <w:tcBorders>
              <w:top w:val="nil"/>
              <w:left w:val="nil"/>
              <w:bottom w:val="single" w:sz="4" w:space="0" w:color="auto"/>
              <w:right w:val="single" w:sz="4" w:space="0" w:color="auto"/>
            </w:tcBorders>
            <w:shd w:val="clear" w:color="auto" w:fill="auto"/>
            <w:vAlign w:val="center"/>
            <w:hideMark/>
          </w:tcPr>
          <w:p w14:paraId="367DF53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Прочие расчеты с кредиторами</w:t>
            </w:r>
          </w:p>
        </w:tc>
        <w:tc>
          <w:tcPr>
            <w:tcW w:w="966" w:type="dxa"/>
            <w:tcBorders>
              <w:top w:val="nil"/>
              <w:left w:val="nil"/>
              <w:bottom w:val="single" w:sz="4" w:space="0" w:color="auto"/>
              <w:right w:val="single" w:sz="4" w:space="0" w:color="auto"/>
            </w:tcBorders>
            <w:shd w:val="clear" w:color="auto" w:fill="auto"/>
            <w:vAlign w:val="center"/>
            <w:hideMark/>
          </w:tcPr>
          <w:p w14:paraId="193401A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19,4 </w:t>
            </w:r>
          </w:p>
        </w:tc>
        <w:tc>
          <w:tcPr>
            <w:tcW w:w="966" w:type="dxa"/>
            <w:tcBorders>
              <w:top w:val="nil"/>
              <w:left w:val="nil"/>
              <w:bottom w:val="single" w:sz="4" w:space="0" w:color="auto"/>
              <w:right w:val="single" w:sz="4" w:space="0" w:color="auto"/>
            </w:tcBorders>
            <w:shd w:val="clear" w:color="auto" w:fill="auto"/>
            <w:vAlign w:val="center"/>
            <w:hideMark/>
          </w:tcPr>
          <w:p w14:paraId="7B2FA3D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9,0 </w:t>
            </w:r>
          </w:p>
        </w:tc>
        <w:tc>
          <w:tcPr>
            <w:tcW w:w="816" w:type="dxa"/>
            <w:tcBorders>
              <w:top w:val="nil"/>
              <w:left w:val="nil"/>
              <w:bottom w:val="single" w:sz="4" w:space="0" w:color="auto"/>
              <w:right w:val="single" w:sz="4" w:space="0" w:color="auto"/>
            </w:tcBorders>
            <w:shd w:val="clear" w:color="auto" w:fill="auto"/>
            <w:vAlign w:val="center"/>
            <w:hideMark/>
          </w:tcPr>
          <w:p w14:paraId="6DACDF2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10,4 </w:t>
            </w:r>
          </w:p>
        </w:tc>
        <w:tc>
          <w:tcPr>
            <w:tcW w:w="966" w:type="dxa"/>
            <w:tcBorders>
              <w:top w:val="nil"/>
              <w:left w:val="nil"/>
              <w:bottom w:val="single" w:sz="4" w:space="0" w:color="auto"/>
              <w:right w:val="single" w:sz="4" w:space="0" w:color="auto"/>
            </w:tcBorders>
            <w:shd w:val="clear" w:color="auto" w:fill="auto"/>
            <w:vAlign w:val="center"/>
            <w:hideMark/>
          </w:tcPr>
          <w:p w14:paraId="1BF9744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6,5 </w:t>
            </w:r>
          </w:p>
        </w:tc>
        <w:tc>
          <w:tcPr>
            <w:tcW w:w="966" w:type="dxa"/>
            <w:tcBorders>
              <w:top w:val="nil"/>
              <w:left w:val="nil"/>
              <w:bottom w:val="single" w:sz="4" w:space="0" w:color="auto"/>
              <w:right w:val="single" w:sz="4" w:space="0" w:color="auto"/>
            </w:tcBorders>
            <w:shd w:val="clear" w:color="auto" w:fill="auto"/>
            <w:vAlign w:val="center"/>
            <w:hideMark/>
          </w:tcPr>
          <w:p w14:paraId="4BEE4F3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w:t>
            </w:r>
          </w:p>
        </w:tc>
        <w:tc>
          <w:tcPr>
            <w:tcW w:w="783" w:type="dxa"/>
            <w:tcBorders>
              <w:top w:val="nil"/>
              <w:left w:val="nil"/>
              <w:bottom w:val="single" w:sz="4" w:space="0" w:color="auto"/>
              <w:right w:val="double" w:sz="6" w:space="0" w:color="auto"/>
            </w:tcBorders>
            <w:shd w:val="clear" w:color="auto" w:fill="auto"/>
            <w:vAlign w:val="center"/>
            <w:hideMark/>
          </w:tcPr>
          <w:p w14:paraId="1061A3C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5,1 </w:t>
            </w:r>
          </w:p>
        </w:tc>
      </w:tr>
      <w:tr w:rsidR="00B029F6" w:rsidRPr="00A53AD7" w14:paraId="5A80C965" w14:textId="77777777" w:rsidTr="00822909">
        <w:trPr>
          <w:trHeight w:val="64"/>
        </w:trPr>
        <w:tc>
          <w:tcPr>
            <w:tcW w:w="3861"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64BA54B8" w14:textId="77777777" w:rsidR="00B029F6" w:rsidRPr="00A53AD7" w:rsidRDefault="00B029F6" w:rsidP="00B029F6">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966" w:type="dxa"/>
            <w:tcBorders>
              <w:top w:val="nil"/>
              <w:left w:val="nil"/>
              <w:bottom w:val="double" w:sz="6" w:space="0" w:color="auto"/>
              <w:right w:val="single" w:sz="4" w:space="0" w:color="auto"/>
            </w:tcBorders>
            <w:shd w:val="clear" w:color="auto" w:fill="auto"/>
            <w:vAlign w:val="center"/>
            <w:hideMark/>
          </w:tcPr>
          <w:p w14:paraId="5B51080F"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4 690,4 </w:t>
            </w:r>
          </w:p>
        </w:tc>
        <w:tc>
          <w:tcPr>
            <w:tcW w:w="966" w:type="dxa"/>
            <w:tcBorders>
              <w:top w:val="nil"/>
              <w:left w:val="nil"/>
              <w:bottom w:val="double" w:sz="6" w:space="0" w:color="auto"/>
              <w:right w:val="single" w:sz="4" w:space="0" w:color="auto"/>
            </w:tcBorders>
            <w:shd w:val="clear" w:color="auto" w:fill="auto"/>
            <w:vAlign w:val="center"/>
            <w:hideMark/>
          </w:tcPr>
          <w:p w14:paraId="4EAF12E5"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3 965,4 </w:t>
            </w:r>
          </w:p>
        </w:tc>
        <w:tc>
          <w:tcPr>
            <w:tcW w:w="816" w:type="dxa"/>
            <w:tcBorders>
              <w:top w:val="nil"/>
              <w:left w:val="nil"/>
              <w:bottom w:val="double" w:sz="6" w:space="0" w:color="auto"/>
              <w:right w:val="single" w:sz="4" w:space="0" w:color="auto"/>
            </w:tcBorders>
            <w:shd w:val="clear" w:color="auto" w:fill="auto"/>
            <w:vAlign w:val="center"/>
            <w:hideMark/>
          </w:tcPr>
          <w:p w14:paraId="2D74C72A"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725,0 </w:t>
            </w:r>
          </w:p>
        </w:tc>
        <w:tc>
          <w:tcPr>
            <w:tcW w:w="966" w:type="dxa"/>
            <w:tcBorders>
              <w:top w:val="nil"/>
              <w:left w:val="nil"/>
              <w:bottom w:val="double" w:sz="6" w:space="0" w:color="auto"/>
              <w:right w:val="single" w:sz="4" w:space="0" w:color="auto"/>
            </w:tcBorders>
            <w:shd w:val="clear" w:color="auto" w:fill="auto"/>
            <w:vAlign w:val="center"/>
            <w:hideMark/>
          </w:tcPr>
          <w:p w14:paraId="74096647"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878,3 </w:t>
            </w:r>
          </w:p>
        </w:tc>
        <w:tc>
          <w:tcPr>
            <w:tcW w:w="966" w:type="dxa"/>
            <w:tcBorders>
              <w:top w:val="nil"/>
              <w:left w:val="nil"/>
              <w:bottom w:val="double" w:sz="6" w:space="0" w:color="auto"/>
              <w:right w:val="single" w:sz="4" w:space="0" w:color="auto"/>
            </w:tcBorders>
            <w:shd w:val="clear" w:color="auto" w:fill="auto"/>
            <w:vAlign w:val="center"/>
            <w:hideMark/>
          </w:tcPr>
          <w:p w14:paraId="27A5B1B3"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946,2 </w:t>
            </w:r>
          </w:p>
        </w:tc>
        <w:tc>
          <w:tcPr>
            <w:tcW w:w="783" w:type="dxa"/>
            <w:tcBorders>
              <w:top w:val="nil"/>
              <w:left w:val="nil"/>
              <w:bottom w:val="double" w:sz="6" w:space="0" w:color="auto"/>
              <w:right w:val="double" w:sz="6" w:space="0" w:color="auto"/>
            </w:tcBorders>
            <w:shd w:val="clear" w:color="auto" w:fill="auto"/>
            <w:vAlign w:val="center"/>
            <w:hideMark/>
          </w:tcPr>
          <w:p w14:paraId="1A9ED5E7"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-67,9 </w:t>
            </w:r>
          </w:p>
        </w:tc>
      </w:tr>
    </w:tbl>
    <w:p w14:paraId="19BB16AA" w14:textId="77777777" w:rsidR="00B029F6" w:rsidRPr="00A53AD7" w:rsidRDefault="00B029F6" w:rsidP="00B029F6">
      <w:pPr>
        <w:spacing w:after="0" w:line="240" w:lineRule="auto"/>
        <w:jc w:val="both"/>
        <w:rPr>
          <w:rFonts w:ascii="Times New Roman" w:hAnsi="Times New Roman"/>
          <w:sz w:val="16"/>
          <w:szCs w:val="16"/>
          <w:highlight w:val="cyan"/>
        </w:rPr>
      </w:pPr>
    </w:p>
    <w:p w14:paraId="39612B9C"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наибольший объем кредиторской задолженности в бюджетных и автономных учреждениях, за счет всех видов финансового обеспечения, сложился по следующим синтетическим счетам:</w:t>
      </w:r>
    </w:p>
    <w:p w14:paraId="5FD2CDD2" w14:textId="7B6FBBAF" w:rsidR="00B029F6" w:rsidRPr="00A53AD7" w:rsidRDefault="00B029F6" w:rsidP="00135937">
      <w:pPr>
        <w:pStyle w:val="a0"/>
        <w:rPr>
          <w:lang w:eastAsia="ru-RU"/>
        </w:rPr>
      </w:pPr>
      <w:r w:rsidRPr="00A53AD7">
        <w:rPr>
          <w:lang w:eastAsia="ru-RU"/>
        </w:rPr>
        <w:t>205 «Расчеты по доходам» - 1 069,5 млн.руб. (22,8 % в общей сумме задолженности), которая уменьшилась на 906,9 млн.руб. на 45,9 %, из нее в государственных учреждениях – 854,8 тыс.руб. (уменьшилась на 909,4 млн.руб. или на 51,5 %), в муниципальных учреждениях – 214,6 млн.руб. (увеличилась на</w:t>
      </w:r>
      <w:r w:rsidR="00822909" w:rsidRPr="00A53AD7">
        <w:rPr>
          <w:lang w:eastAsia="ru-RU"/>
        </w:rPr>
        <w:t xml:space="preserve"> 2,8 млн.руб. или на 1,3 %);</w:t>
      </w:r>
    </w:p>
    <w:p w14:paraId="352EDC70" w14:textId="77777777" w:rsidR="00B029F6" w:rsidRPr="00A53AD7" w:rsidRDefault="00B029F6" w:rsidP="00135937">
      <w:pPr>
        <w:pStyle w:val="a0"/>
        <w:rPr>
          <w:lang w:eastAsia="ru-RU"/>
        </w:rPr>
      </w:pPr>
      <w:r w:rsidRPr="00A53AD7">
        <w:rPr>
          <w:lang w:eastAsia="ru-RU"/>
        </w:rPr>
        <w:t>302 «Расчеты по принятым обязательствам» - 1 543,1 млн.руб. (увеличилась на 264,6 млн.руб. или на 20,7), что составляет 32,9 % от общей суммы кредиторской задолженности, из нее в государственных учреждениях – 1 264,2 млн.руб. (увеличилась на 339,9 млн.руб. или на 36,8 %), в муниципальных учреждениях – 278,9 млн.руб. (снизилась на 75,4 млн.руб. или на 21,3 %);</w:t>
      </w:r>
    </w:p>
    <w:p w14:paraId="61CB84C9" w14:textId="77777777" w:rsidR="00B029F6" w:rsidRPr="00A53AD7" w:rsidRDefault="00B029F6" w:rsidP="00135937">
      <w:pPr>
        <w:pStyle w:val="a0"/>
        <w:rPr>
          <w:lang w:eastAsia="ru-RU"/>
        </w:rPr>
      </w:pPr>
      <w:r w:rsidRPr="00A53AD7">
        <w:rPr>
          <w:lang w:eastAsia="ru-RU"/>
        </w:rPr>
        <w:t>303 «Расчеты по платежам в бюджеты» - 2 045,3 млн.руб., что составляет 43,6 % от общей суммы кредиторской задолженности, которая увеличилась на 1 517,8 млн.руб. или в 3,9 раза, из нее в областных учреждениях – 1 830,0 млн.руб. (увеличилась на 1 511,9 млн.руб. или в 5,8 раза), в муниципальных учреждениях – 215,3 млн.руб. (увеличилась на 5,9 млн.руб. или на 2,8 %).</w:t>
      </w:r>
    </w:p>
    <w:p w14:paraId="57B1F387" w14:textId="2DB1B480"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видам финансового обеспечения общая сумма кредиторской задолженности учреждений за 2019 год представлена на рисунке </w:t>
      </w:r>
      <w:r w:rsidR="00404E35" w:rsidRPr="00A53AD7">
        <w:rPr>
          <w:rFonts w:ascii="Times New Roman" w:hAnsi="Times New Roman"/>
          <w:sz w:val="28"/>
          <w:szCs w:val="28"/>
        </w:rPr>
        <w:t>77</w:t>
      </w:r>
      <w:r w:rsidRPr="00A53AD7">
        <w:rPr>
          <w:rFonts w:ascii="Times New Roman" w:hAnsi="Times New Roman"/>
          <w:sz w:val="28"/>
          <w:szCs w:val="28"/>
        </w:rPr>
        <w:t>.</w:t>
      </w:r>
    </w:p>
    <w:p w14:paraId="6704C1E0"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273269CC" wp14:editId="54118D93">
            <wp:extent cx="5952226" cy="1979199"/>
            <wp:effectExtent l="0" t="0" r="0" b="254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54636" cy="1980000"/>
                    </a:xfrm>
                    <a:prstGeom prst="rect">
                      <a:avLst/>
                    </a:prstGeom>
                    <a:noFill/>
                  </pic:spPr>
                </pic:pic>
              </a:graphicData>
            </a:graphic>
          </wp:inline>
        </w:drawing>
      </w:r>
    </w:p>
    <w:p w14:paraId="3C8E9DF2" w14:textId="77777777" w:rsidR="00B029F6" w:rsidRPr="00A53AD7" w:rsidRDefault="00B029F6" w:rsidP="00B029F6">
      <w:pPr>
        <w:spacing w:before="60" w:after="20" w:line="240" w:lineRule="auto"/>
        <w:rPr>
          <w:rFonts w:ascii="Times New Roman" w:hAnsi="Times New Roman"/>
          <w:bCs/>
          <w:sz w:val="24"/>
          <w:szCs w:val="28"/>
        </w:rPr>
      </w:pPr>
      <w:r w:rsidRPr="00A53AD7">
        <w:rPr>
          <w:rFonts w:ascii="Times New Roman" w:hAnsi="Times New Roman"/>
          <w:bCs/>
          <w:sz w:val="24"/>
          <w:szCs w:val="18"/>
        </w:rPr>
        <w:t xml:space="preserve">Рисунок </w:t>
      </w:r>
      <w:r w:rsidRPr="00A53AD7">
        <w:rPr>
          <w:rFonts w:ascii="Times New Roman" w:hAnsi="Times New Roman"/>
          <w:bCs/>
          <w:noProof/>
          <w:sz w:val="24"/>
          <w:szCs w:val="18"/>
        </w:rPr>
        <w:fldChar w:fldCharType="begin"/>
      </w:r>
      <w:r w:rsidRPr="00A53AD7">
        <w:rPr>
          <w:rFonts w:ascii="Times New Roman" w:hAnsi="Times New Roman"/>
          <w:bCs/>
          <w:noProof/>
          <w:sz w:val="24"/>
          <w:szCs w:val="18"/>
        </w:rPr>
        <w:instrText xml:space="preserve"> SEQ Рисунок \* ARABIC </w:instrText>
      </w:r>
      <w:r w:rsidRPr="00A53AD7">
        <w:rPr>
          <w:rFonts w:ascii="Times New Roman" w:hAnsi="Times New Roman"/>
          <w:bCs/>
          <w:noProof/>
          <w:sz w:val="24"/>
          <w:szCs w:val="18"/>
        </w:rPr>
        <w:fldChar w:fldCharType="separate"/>
      </w:r>
      <w:r w:rsidR="005351E5" w:rsidRPr="00A53AD7">
        <w:rPr>
          <w:rFonts w:ascii="Times New Roman" w:hAnsi="Times New Roman"/>
          <w:bCs/>
          <w:noProof/>
          <w:sz w:val="24"/>
          <w:szCs w:val="18"/>
        </w:rPr>
        <w:t>77</w:t>
      </w:r>
      <w:r w:rsidRPr="00A53AD7">
        <w:rPr>
          <w:rFonts w:ascii="Times New Roman" w:hAnsi="Times New Roman"/>
          <w:bCs/>
          <w:noProof/>
          <w:sz w:val="24"/>
          <w:szCs w:val="18"/>
        </w:rPr>
        <w:fldChar w:fldCharType="end"/>
      </w:r>
      <w:r w:rsidRPr="00A53AD7">
        <w:rPr>
          <w:rFonts w:ascii="Times New Roman" w:hAnsi="Times New Roman"/>
          <w:bCs/>
          <w:sz w:val="24"/>
          <w:szCs w:val="18"/>
        </w:rPr>
        <w:t>. Кредиторская задолженность государственных, муниципальных бюджетных и автономных учреждений по видам финансового обеспечения согласно отчетам по форме 0503769 за 9 месяцев 2019 года, млн.руб.</w:t>
      </w:r>
    </w:p>
    <w:p w14:paraId="464E1226" w14:textId="77777777" w:rsidR="00B029F6" w:rsidRPr="00A53AD7" w:rsidRDefault="00B029F6" w:rsidP="00B029F6">
      <w:pPr>
        <w:spacing w:after="0" w:line="240" w:lineRule="auto"/>
        <w:jc w:val="both"/>
        <w:rPr>
          <w:rFonts w:ascii="Times New Roman" w:hAnsi="Times New Roman"/>
          <w:sz w:val="16"/>
          <w:szCs w:val="16"/>
        </w:rPr>
      </w:pPr>
    </w:p>
    <w:p w14:paraId="3C1B0F5A" w14:textId="12B95055" w:rsidR="00B029F6" w:rsidRPr="00A53AD7" w:rsidRDefault="00070FF2"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w:t>
      </w:r>
      <w:r w:rsidR="00B029F6" w:rsidRPr="00A53AD7">
        <w:rPr>
          <w:rFonts w:ascii="Times New Roman" w:hAnsi="Times New Roman"/>
          <w:sz w:val="28"/>
          <w:szCs w:val="28"/>
        </w:rPr>
        <w:t>о состоянию на 01.01.2020. наибольший объем кредиторской задолженности учреждений сложился по 2-м видам финансового обеспечения:</w:t>
      </w:r>
    </w:p>
    <w:p w14:paraId="7528B779" w14:textId="77777777" w:rsidR="00B029F6" w:rsidRPr="00A53AD7" w:rsidRDefault="00B029F6" w:rsidP="00135937">
      <w:pPr>
        <w:pStyle w:val="a0"/>
        <w:rPr>
          <w:lang w:eastAsia="ru-RU"/>
        </w:rPr>
      </w:pPr>
      <w:r w:rsidRPr="00A53AD7">
        <w:rPr>
          <w:lang w:eastAsia="ru-RU"/>
        </w:rPr>
        <w:t>за счет средств ОМС в государственных учреждениях здравоохранения – 1 861,1 млн.руб., которая увеличилась на 183,5 млн.руб. или на 10,9 % и ее удельный вес в общей сумме кредиторской задолженности государственных и муниципальных учреждений составляет 39,7 %;</w:t>
      </w:r>
    </w:p>
    <w:p w14:paraId="36139D9C" w14:textId="77777777" w:rsidR="00B029F6" w:rsidRPr="00A53AD7" w:rsidRDefault="00B029F6" w:rsidP="00135937">
      <w:pPr>
        <w:pStyle w:val="a0"/>
        <w:rPr>
          <w:lang w:eastAsia="ru-RU"/>
        </w:rPr>
      </w:pPr>
      <w:r w:rsidRPr="00A53AD7">
        <w:rPr>
          <w:lang w:eastAsia="ru-RU"/>
        </w:rPr>
        <w:t>за счет средств субсидии на иные цели – 1 616,0 млн.руб., которая увеличилась на 633,4 млн.руб. или на 69,6 % и ее удельный вес в общей сумме кредиторской задолженности учреждений составляет 34,5 %.</w:t>
      </w:r>
    </w:p>
    <w:p w14:paraId="29923EDE"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кредиторской задолженности, просроченная кредиторская задолженность в учреждениях на 01.01.2020 составила 122,2 млн.руб., и за 2019 год она сократилась на 67,0 млн.руб. или на 34,5 %.</w:t>
      </w:r>
    </w:p>
    <w:p w14:paraId="6A829247" w14:textId="6740AF8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Информация о просроченной кредиторской задолженности государственных и муниципальных учреждений за счет всех видов финансового обеспечения представлена на рисунке </w:t>
      </w:r>
      <w:r w:rsidR="00404E35" w:rsidRPr="00A53AD7">
        <w:rPr>
          <w:rFonts w:ascii="Times New Roman" w:hAnsi="Times New Roman"/>
          <w:sz w:val="28"/>
          <w:szCs w:val="28"/>
        </w:rPr>
        <w:t>78</w:t>
      </w:r>
      <w:r w:rsidRPr="00A53AD7">
        <w:rPr>
          <w:rFonts w:ascii="Times New Roman" w:hAnsi="Times New Roman"/>
          <w:sz w:val="28"/>
          <w:szCs w:val="28"/>
        </w:rPr>
        <w:t>.</w:t>
      </w:r>
    </w:p>
    <w:p w14:paraId="2E32A082"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67447896"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407131C5" wp14:editId="518F2596">
            <wp:extent cx="5589917" cy="179429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07690" cy="1800000"/>
                    </a:xfrm>
                    <a:prstGeom prst="rect">
                      <a:avLst/>
                    </a:prstGeom>
                    <a:noFill/>
                  </pic:spPr>
                </pic:pic>
              </a:graphicData>
            </a:graphic>
          </wp:inline>
        </w:drawing>
      </w:r>
    </w:p>
    <w:p w14:paraId="48D2F8C5" w14:textId="77777777" w:rsidR="00B029F6" w:rsidRPr="00A53AD7" w:rsidRDefault="00B029F6" w:rsidP="00B029F6">
      <w:pPr>
        <w:spacing w:before="60" w:after="20" w:line="240" w:lineRule="auto"/>
        <w:rPr>
          <w:rFonts w:ascii="Times New Roman" w:hAnsi="Times New Roman"/>
          <w:bCs/>
          <w:sz w:val="24"/>
          <w:szCs w:val="28"/>
        </w:rPr>
      </w:pPr>
      <w:r w:rsidRPr="00A53AD7">
        <w:rPr>
          <w:rFonts w:ascii="Times New Roman" w:hAnsi="Times New Roman"/>
          <w:bCs/>
          <w:sz w:val="24"/>
          <w:szCs w:val="18"/>
        </w:rPr>
        <w:t xml:space="preserve">Рисунок </w:t>
      </w:r>
      <w:r w:rsidRPr="00A53AD7">
        <w:rPr>
          <w:rFonts w:ascii="Times New Roman" w:hAnsi="Times New Roman"/>
          <w:bCs/>
          <w:noProof/>
          <w:sz w:val="24"/>
          <w:szCs w:val="18"/>
        </w:rPr>
        <w:fldChar w:fldCharType="begin"/>
      </w:r>
      <w:r w:rsidRPr="00A53AD7">
        <w:rPr>
          <w:rFonts w:ascii="Times New Roman" w:hAnsi="Times New Roman"/>
          <w:bCs/>
          <w:noProof/>
          <w:sz w:val="24"/>
          <w:szCs w:val="18"/>
        </w:rPr>
        <w:instrText xml:space="preserve"> SEQ Рисунок \* ARABIC </w:instrText>
      </w:r>
      <w:r w:rsidRPr="00A53AD7">
        <w:rPr>
          <w:rFonts w:ascii="Times New Roman" w:hAnsi="Times New Roman"/>
          <w:bCs/>
          <w:noProof/>
          <w:sz w:val="24"/>
          <w:szCs w:val="18"/>
        </w:rPr>
        <w:fldChar w:fldCharType="separate"/>
      </w:r>
      <w:r w:rsidR="005351E5" w:rsidRPr="00A53AD7">
        <w:rPr>
          <w:rFonts w:ascii="Times New Roman" w:hAnsi="Times New Roman"/>
          <w:bCs/>
          <w:noProof/>
          <w:sz w:val="24"/>
          <w:szCs w:val="18"/>
        </w:rPr>
        <w:t>78</w:t>
      </w:r>
      <w:r w:rsidRPr="00A53AD7">
        <w:rPr>
          <w:rFonts w:ascii="Times New Roman" w:hAnsi="Times New Roman"/>
          <w:bCs/>
          <w:noProof/>
          <w:sz w:val="24"/>
          <w:szCs w:val="18"/>
        </w:rPr>
        <w:fldChar w:fldCharType="end"/>
      </w:r>
      <w:r w:rsidRPr="00A53AD7">
        <w:rPr>
          <w:rFonts w:ascii="Times New Roman" w:hAnsi="Times New Roman"/>
          <w:bCs/>
          <w:sz w:val="24"/>
          <w:szCs w:val="18"/>
        </w:rPr>
        <w:t>. Просроченная кредиторская задолженность государственных, муниципальных бюджетных и автономных учреждений за счет всех видов финансового обеспечения согласно отчетам по форме 0503769 за 2019 год, млн.руб.</w:t>
      </w:r>
    </w:p>
    <w:p w14:paraId="609E7515" w14:textId="77777777" w:rsidR="00B029F6" w:rsidRPr="00A53AD7" w:rsidRDefault="00B029F6" w:rsidP="00B029F6">
      <w:pPr>
        <w:spacing w:after="0" w:line="240" w:lineRule="auto"/>
        <w:jc w:val="both"/>
        <w:rPr>
          <w:rFonts w:ascii="Times New Roman" w:hAnsi="Times New Roman"/>
          <w:sz w:val="16"/>
          <w:szCs w:val="16"/>
        </w:rPr>
      </w:pPr>
    </w:p>
    <w:p w14:paraId="39FE8676"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представленной отчетности, просроченная кредиторская задолженность в муниципальных учреждениях на 01.01.2020 составила 13,4 млн.руб. и за год она сократилась на 65,3 млн.руб. или на 83,0 %, а в областных учреждениях – 108,7 млн.руб., которая снизилась на 1,6 млн.руб. или на 1,5 %.</w:t>
      </w:r>
    </w:p>
    <w:p w14:paraId="747942EB" w14:textId="77777777" w:rsidR="00B029F6" w:rsidRPr="00A53AD7" w:rsidRDefault="00B029F6" w:rsidP="009044CE">
      <w:pPr>
        <w:spacing w:after="0" w:line="240" w:lineRule="auto"/>
        <w:ind w:firstLine="851"/>
        <w:jc w:val="both"/>
        <w:rPr>
          <w:rFonts w:ascii="Times New Roman" w:hAnsi="Times New Roman"/>
          <w:sz w:val="28"/>
          <w:szCs w:val="28"/>
        </w:rPr>
      </w:pPr>
    </w:p>
    <w:p w14:paraId="6B091A58"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01.01.2020 удельный вес просроченной кредиторской задолженности в общей сумме кредиторской задолженности в муниципальных учреждениях составил 1,9 %, а в областных учреждениях – 2,7 %.</w:t>
      </w:r>
    </w:p>
    <w:p w14:paraId="57448E3D" w14:textId="5D0A6F15"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синтетическим счетам бухгалтерского учета просроченная кредиторская задолженность на 01.01.2020 и ее изменение за отчетный период представлена в таблице </w:t>
      </w:r>
      <w:r w:rsidR="00404E35" w:rsidRPr="00A53AD7">
        <w:rPr>
          <w:rFonts w:ascii="Times New Roman" w:hAnsi="Times New Roman"/>
          <w:sz w:val="28"/>
          <w:szCs w:val="28"/>
        </w:rPr>
        <w:t>74</w:t>
      </w:r>
      <w:r w:rsidRPr="00A53AD7">
        <w:rPr>
          <w:rFonts w:ascii="Times New Roman" w:hAnsi="Times New Roman"/>
          <w:sz w:val="28"/>
          <w:szCs w:val="28"/>
        </w:rPr>
        <w:t>.</w:t>
      </w:r>
    </w:p>
    <w:p w14:paraId="7C11A621" w14:textId="77777777" w:rsidR="00B029F6" w:rsidRPr="00A53AD7" w:rsidRDefault="00B029F6" w:rsidP="00B029F6">
      <w:pPr>
        <w:spacing w:after="0" w:line="240" w:lineRule="auto"/>
        <w:jc w:val="both"/>
        <w:rPr>
          <w:rFonts w:ascii="Times New Roman" w:hAnsi="Times New Roman"/>
          <w:sz w:val="16"/>
          <w:szCs w:val="16"/>
          <w:highlight w:val="cyan"/>
        </w:rPr>
      </w:pPr>
    </w:p>
    <w:p w14:paraId="4C1F3660" w14:textId="77777777" w:rsidR="00B029F6" w:rsidRPr="00A53AD7" w:rsidRDefault="00B029F6" w:rsidP="00CC7DB8">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Таблица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Таблица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74</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государственных (Гос.), муниципальных (МО) бюджетных и автономных учреждений, за счет всех видов финансового обеспечения, по синтетическим счетам бухгалтерского учета, согласно отчетам по форме 0503769 за 2019 год, млн.руб.</w:t>
      </w:r>
    </w:p>
    <w:tbl>
      <w:tblPr>
        <w:tblW w:w="8946" w:type="dxa"/>
        <w:jc w:val="center"/>
        <w:tblLook w:val="04A0" w:firstRow="1" w:lastRow="0" w:firstColumn="1" w:lastColumn="0" w:noHBand="0" w:noVBand="1"/>
      </w:tblPr>
      <w:tblGrid>
        <w:gridCol w:w="662"/>
        <w:gridCol w:w="3550"/>
        <w:gridCol w:w="818"/>
        <w:gridCol w:w="816"/>
        <w:gridCol w:w="716"/>
        <w:gridCol w:w="818"/>
        <w:gridCol w:w="783"/>
        <w:gridCol w:w="783"/>
      </w:tblGrid>
      <w:tr w:rsidR="00D470B6" w:rsidRPr="00A53AD7" w14:paraId="4F6821A0" w14:textId="77777777" w:rsidTr="00B029F6">
        <w:trPr>
          <w:trHeight w:val="29"/>
          <w:tblHeader/>
          <w:jc w:val="center"/>
        </w:trPr>
        <w:tc>
          <w:tcPr>
            <w:tcW w:w="662"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6475DA6A"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Счет</w:t>
            </w:r>
          </w:p>
        </w:tc>
        <w:tc>
          <w:tcPr>
            <w:tcW w:w="3550" w:type="dxa"/>
            <w:vMerge w:val="restart"/>
            <w:tcBorders>
              <w:top w:val="double" w:sz="6" w:space="0" w:color="auto"/>
              <w:left w:val="single" w:sz="4" w:space="0" w:color="auto"/>
              <w:bottom w:val="single" w:sz="4" w:space="0" w:color="auto"/>
              <w:right w:val="single" w:sz="4" w:space="0" w:color="auto"/>
            </w:tcBorders>
            <w:shd w:val="clear" w:color="auto" w:fill="auto"/>
            <w:vAlign w:val="center"/>
            <w:hideMark/>
          </w:tcPr>
          <w:p w14:paraId="1848F0AC"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w:t>
            </w:r>
          </w:p>
        </w:tc>
        <w:tc>
          <w:tcPr>
            <w:tcW w:w="2350" w:type="dxa"/>
            <w:gridSpan w:val="3"/>
            <w:tcBorders>
              <w:top w:val="double" w:sz="6" w:space="0" w:color="auto"/>
              <w:left w:val="nil"/>
              <w:bottom w:val="single" w:sz="4" w:space="0" w:color="auto"/>
              <w:right w:val="single" w:sz="4" w:space="0" w:color="auto"/>
            </w:tcBorders>
            <w:shd w:val="clear" w:color="auto" w:fill="auto"/>
            <w:vAlign w:val="center"/>
            <w:hideMark/>
          </w:tcPr>
          <w:p w14:paraId="4145B9FF"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01.01.2020</w:t>
            </w:r>
          </w:p>
        </w:tc>
        <w:tc>
          <w:tcPr>
            <w:tcW w:w="2384" w:type="dxa"/>
            <w:gridSpan w:val="3"/>
            <w:tcBorders>
              <w:top w:val="double" w:sz="6" w:space="0" w:color="auto"/>
              <w:left w:val="nil"/>
              <w:bottom w:val="single" w:sz="4" w:space="0" w:color="auto"/>
              <w:right w:val="double" w:sz="6" w:space="0" w:color="000000"/>
            </w:tcBorders>
            <w:shd w:val="clear" w:color="auto" w:fill="auto"/>
            <w:vAlign w:val="center"/>
            <w:hideMark/>
          </w:tcPr>
          <w:p w14:paraId="2AFD385D"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Изменения (+,-)</w:t>
            </w:r>
          </w:p>
        </w:tc>
      </w:tr>
      <w:tr w:rsidR="00D470B6" w:rsidRPr="00A53AD7" w14:paraId="5E21B96C" w14:textId="77777777" w:rsidTr="00B029F6">
        <w:trPr>
          <w:trHeight w:val="29"/>
          <w:tblHeader/>
          <w:jc w:val="cent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68DEC8CB"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550" w:type="dxa"/>
            <w:vMerge/>
            <w:tcBorders>
              <w:top w:val="double" w:sz="6" w:space="0" w:color="auto"/>
              <w:left w:val="single" w:sz="4" w:space="0" w:color="auto"/>
              <w:bottom w:val="single" w:sz="4" w:space="0" w:color="auto"/>
              <w:right w:val="single" w:sz="4" w:space="0" w:color="auto"/>
            </w:tcBorders>
            <w:vAlign w:val="center"/>
            <w:hideMark/>
          </w:tcPr>
          <w:p w14:paraId="45CA1380"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18" w:type="dxa"/>
            <w:vMerge w:val="restart"/>
            <w:tcBorders>
              <w:top w:val="nil"/>
              <w:left w:val="single" w:sz="4" w:space="0" w:color="auto"/>
              <w:bottom w:val="single" w:sz="4" w:space="0" w:color="auto"/>
              <w:right w:val="single" w:sz="4" w:space="0" w:color="auto"/>
            </w:tcBorders>
            <w:shd w:val="clear" w:color="auto" w:fill="auto"/>
            <w:vAlign w:val="center"/>
            <w:hideMark/>
          </w:tcPr>
          <w:p w14:paraId="745AE3B9"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532" w:type="dxa"/>
            <w:gridSpan w:val="2"/>
            <w:tcBorders>
              <w:top w:val="single" w:sz="4" w:space="0" w:color="auto"/>
              <w:left w:val="nil"/>
              <w:bottom w:val="single" w:sz="4" w:space="0" w:color="auto"/>
              <w:right w:val="single" w:sz="4" w:space="0" w:color="auto"/>
            </w:tcBorders>
            <w:shd w:val="clear" w:color="auto" w:fill="auto"/>
            <w:vAlign w:val="center"/>
            <w:hideMark/>
          </w:tcPr>
          <w:p w14:paraId="5DDF2252"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c>
          <w:tcPr>
            <w:tcW w:w="818" w:type="dxa"/>
            <w:vMerge w:val="restart"/>
            <w:tcBorders>
              <w:top w:val="nil"/>
              <w:left w:val="single" w:sz="4" w:space="0" w:color="auto"/>
              <w:bottom w:val="single" w:sz="4" w:space="0" w:color="auto"/>
              <w:right w:val="single" w:sz="4" w:space="0" w:color="auto"/>
            </w:tcBorders>
            <w:shd w:val="clear" w:color="auto" w:fill="auto"/>
            <w:vAlign w:val="center"/>
            <w:hideMark/>
          </w:tcPr>
          <w:p w14:paraId="54349634"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Всего</w:t>
            </w:r>
          </w:p>
        </w:tc>
        <w:tc>
          <w:tcPr>
            <w:tcW w:w="1566" w:type="dxa"/>
            <w:gridSpan w:val="2"/>
            <w:tcBorders>
              <w:top w:val="single" w:sz="4" w:space="0" w:color="auto"/>
              <w:left w:val="nil"/>
              <w:bottom w:val="single" w:sz="4" w:space="0" w:color="auto"/>
              <w:right w:val="double" w:sz="6" w:space="0" w:color="000000"/>
            </w:tcBorders>
            <w:shd w:val="clear" w:color="auto" w:fill="auto"/>
            <w:vAlign w:val="center"/>
            <w:hideMark/>
          </w:tcPr>
          <w:p w14:paraId="007330BF"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в т.ч.:</w:t>
            </w:r>
          </w:p>
        </w:tc>
      </w:tr>
      <w:tr w:rsidR="00D470B6" w:rsidRPr="00A53AD7" w14:paraId="20BC67EC" w14:textId="77777777" w:rsidTr="00B029F6">
        <w:trPr>
          <w:trHeight w:val="29"/>
          <w:tblHeader/>
          <w:jc w:val="center"/>
        </w:trPr>
        <w:tc>
          <w:tcPr>
            <w:tcW w:w="662" w:type="dxa"/>
            <w:vMerge/>
            <w:tcBorders>
              <w:top w:val="double" w:sz="6" w:space="0" w:color="auto"/>
              <w:left w:val="double" w:sz="6" w:space="0" w:color="auto"/>
              <w:bottom w:val="single" w:sz="4" w:space="0" w:color="auto"/>
              <w:right w:val="single" w:sz="4" w:space="0" w:color="auto"/>
            </w:tcBorders>
            <w:vAlign w:val="center"/>
            <w:hideMark/>
          </w:tcPr>
          <w:p w14:paraId="4ED33A41"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3550" w:type="dxa"/>
            <w:vMerge/>
            <w:tcBorders>
              <w:top w:val="double" w:sz="6" w:space="0" w:color="auto"/>
              <w:left w:val="single" w:sz="4" w:space="0" w:color="auto"/>
              <w:bottom w:val="single" w:sz="4" w:space="0" w:color="auto"/>
              <w:right w:val="single" w:sz="4" w:space="0" w:color="auto"/>
            </w:tcBorders>
            <w:vAlign w:val="center"/>
            <w:hideMark/>
          </w:tcPr>
          <w:p w14:paraId="186EA2A3"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18" w:type="dxa"/>
            <w:vMerge/>
            <w:tcBorders>
              <w:top w:val="nil"/>
              <w:left w:val="single" w:sz="4" w:space="0" w:color="auto"/>
              <w:bottom w:val="single" w:sz="4" w:space="0" w:color="auto"/>
              <w:right w:val="single" w:sz="4" w:space="0" w:color="auto"/>
            </w:tcBorders>
            <w:vAlign w:val="center"/>
            <w:hideMark/>
          </w:tcPr>
          <w:p w14:paraId="67620494"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816" w:type="dxa"/>
            <w:tcBorders>
              <w:top w:val="nil"/>
              <w:left w:val="nil"/>
              <w:bottom w:val="single" w:sz="4" w:space="0" w:color="auto"/>
              <w:right w:val="single" w:sz="4" w:space="0" w:color="auto"/>
            </w:tcBorders>
            <w:shd w:val="clear" w:color="auto" w:fill="auto"/>
            <w:vAlign w:val="center"/>
            <w:hideMark/>
          </w:tcPr>
          <w:p w14:paraId="365698E7"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716" w:type="dxa"/>
            <w:tcBorders>
              <w:top w:val="nil"/>
              <w:left w:val="nil"/>
              <w:bottom w:val="single" w:sz="4" w:space="0" w:color="auto"/>
              <w:right w:val="single" w:sz="4" w:space="0" w:color="auto"/>
            </w:tcBorders>
            <w:shd w:val="clear" w:color="auto" w:fill="auto"/>
            <w:vAlign w:val="center"/>
            <w:hideMark/>
          </w:tcPr>
          <w:p w14:paraId="3334A86A"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c>
          <w:tcPr>
            <w:tcW w:w="818" w:type="dxa"/>
            <w:vMerge/>
            <w:tcBorders>
              <w:top w:val="nil"/>
              <w:left w:val="single" w:sz="4" w:space="0" w:color="auto"/>
              <w:bottom w:val="single" w:sz="4" w:space="0" w:color="auto"/>
              <w:right w:val="single" w:sz="4" w:space="0" w:color="auto"/>
            </w:tcBorders>
            <w:vAlign w:val="center"/>
            <w:hideMark/>
          </w:tcPr>
          <w:p w14:paraId="062DC3D4" w14:textId="77777777" w:rsidR="00B029F6" w:rsidRPr="00A53AD7" w:rsidRDefault="00B029F6" w:rsidP="00B029F6">
            <w:pPr>
              <w:spacing w:after="0" w:line="240" w:lineRule="auto"/>
              <w:rPr>
                <w:rFonts w:ascii="Times New Roman" w:eastAsia="Times New Roman" w:hAnsi="Times New Roman"/>
                <w:b/>
                <w:bCs/>
                <w:sz w:val="20"/>
                <w:szCs w:val="20"/>
                <w:lang w:eastAsia="ru-RU"/>
              </w:rPr>
            </w:pPr>
          </w:p>
        </w:tc>
        <w:tc>
          <w:tcPr>
            <w:tcW w:w="783" w:type="dxa"/>
            <w:tcBorders>
              <w:top w:val="nil"/>
              <w:left w:val="nil"/>
              <w:bottom w:val="single" w:sz="4" w:space="0" w:color="auto"/>
              <w:right w:val="single" w:sz="4" w:space="0" w:color="auto"/>
            </w:tcBorders>
            <w:shd w:val="clear" w:color="auto" w:fill="auto"/>
            <w:vAlign w:val="center"/>
            <w:hideMark/>
          </w:tcPr>
          <w:p w14:paraId="24BE3CE9"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Гос.</w:t>
            </w:r>
          </w:p>
        </w:tc>
        <w:tc>
          <w:tcPr>
            <w:tcW w:w="783" w:type="dxa"/>
            <w:tcBorders>
              <w:top w:val="nil"/>
              <w:left w:val="nil"/>
              <w:bottom w:val="single" w:sz="4" w:space="0" w:color="auto"/>
              <w:right w:val="double" w:sz="6" w:space="0" w:color="auto"/>
            </w:tcBorders>
            <w:shd w:val="clear" w:color="auto" w:fill="auto"/>
            <w:vAlign w:val="center"/>
            <w:hideMark/>
          </w:tcPr>
          <w:p w14:paraId="31338685"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МО</w:t>
            </w:r>
          </w:p>
        </w:tc>
      </w:tr>
      <w:tr w:rsidR="00D470B6" w:rsidRPr="00A53AD7" w14:paraId="07F9A3FC" w14:textId="77777777" w:rsidTr="00B029F6">
        <w:trPr>
          <w:trHeight w:val="64"/>
          <w:jc w:val="center"/>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76EB86C6" w14:textId="77777777" w:rsidR="00B029F6" w:rsidRPr="00A53AD7" w:rsidRDefault="00B029F6" w:rsidP="00B029F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205</w:t>
            </w:r>
          </w:p>
        </w:tc>
        <w:tc>
          <w:tcPr>
            <w:tcW w:w="3550" w:type="dxa"/>
            <w:tcBorders>
              <w:top w:val="nil"/>
              <w:left w:val="nil"/>
              <w:bottom w:val="single" w:sz="4" w:space="0" w:color="auto"/>
              <w:right w:val="single" w:sz="4" w:space="0" w:color="auto"/>
            </w:tcBorders>
            <w:shd w:val="clear" w:color="auto" w:fill="auto"/>
            <w:vAlign w:val="center"/>
            <w:hideMark/>
          </w:tcPr>
          <w:p w14:paraId="449E430E"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доходам</w:t>
            </w:r>
          </w:p>
        </w:tc>
        <w:tc>
          <w:tcPr>
            <w:tcW w:w="818" w:type="dxa"/>
            <w:tcBorders>
              <w:top w:val="nil"/>
              <w:left w:val="nil"/>
              <w:bottom w:val="single" w:sz="4" w:space="0" w:color="auto"/>
              <w:right w:val="single" w:sz="4" w:space="0" w:color="auto"/>
            </w:tcBorders>
            <w:shd w:val="clear" w:color="auto" w:fill="auto"/>
            <w:vAlign w:val="center"/>
            <w:hideMark/>
          </w:tcPr>
          <w:p w14:paraId="067F43E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816" w:type="dxa"/>
            <w:tcBorders>
              <w:top w:val="nil"/>
              <w:left w:val="nil"/>
              <w:bottom w:val="single" w:sz="4" w:space="0" w:color="auto"/>
              <w:right w:val="single" w:sz="4" w:space="0" w:color="auto"/>
            </w:tcBorders>
            <w:shd w:val="clear" w:color="auto" w:fill="auto"/>
            <w:vAlign w:val="center"/>
            <w:hideMark/>
          </w:tcPr>
          <w:p w14:paraId="5B5DE51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716" w:type="dxa"/>
            <w:tcBorders>
              <w:top w:val="nil"/>
              <w:left w:val="nil"/>
              <w:bottom w:val="single" w:sz="4" w:space="0" w:color="auto"/>
              <w:right w:val="single" w:sz="4" w:space="0" w:color="auto"/>
            </w:tcBorders>
            <w:shd w:val="clear" w:color="auto" w:fill="auto"/>
            <w:vAlign w:val="center"/>
            <w:hideMark/>
          </w:tcPr>
          <w:p w14:paraId="3C2B79B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818" w:type="dxa"/>
            <w:tcBorders>
              <w:top w:val="nil"/>
              <w:left w:val="nil"/>
              <w:bottom w:val="single" w:sz="4" w:space="0" w:color="auto"/>
              <w:right w:val="single" w:sz="4" w:space="0" w:color="auto"/>
            </w:tcBorders>
            <w:shd w:val="clear" w:color="auto" w:fill="auto"/>
            <w:vAlign w:val="center"/>
            <w:hideMark/>
          </w:tcPr>
          <w:p w14:paraId="6AE8C501"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c>
          <w:tcPr>
            <w:tcW w:w="783" w:type="dxa"/>
            <w:tcBorders>
              <w:top w:val="nil"/>
              <w:left w:val="nil"/>
              <w:bottom w:val="single" w:sz="4" w:space="0" w:color="auto"/>
              <w:right w:val="single" w:sz="4" w:space="0" w:color="auto"/>
            </w:tcBorders>
            <w:shd w:val="clear" w:color="auto" w:fill="auto"/>
            <w:vAlign w:val="center"/>
            <w:hideMark/>
          </w:tcPr>
          <w:p w14:paraId="7EDAB6A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-0,6 </w:t>
            </w:r>
          </w:p>
        </w:tc>
        <w:tc>
          <w:tcPr>
            <w:tcW w:w="783" w:type="dxa"/>
            <w:tcBorders>
              <w:top w:val="nil"/>
              <w:left w:val="nil"/>
              <w:bottom w:val="single" w:sz="4" w:space="0" w:color="auto"/>
              <w:right w:val="double" w:sz="6" w:space="0" w:color="auto"/>
            </w:tcBorders>
            <w:shd w:val="clear" w:color="auto" w:fill="auto"/>
            <w:vAlign w:val="center"/>
            <w:hideMark/>
          </w:tcPr>
          <w:p w14:paraId="279E88F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r>
      <w:tr w:rsidR="00D470B6" w:rsidRPr="00A53AD7" w14:paraId="40743032" w14:textId="77777777" w:rsidTr="00B029F6">
        <w:trPr>
          <w:trHeight w:val="64"/>
          <w:jc w:val="center"/>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0F14A0C3" w14:textId="77777777" w:rsidR="00B029F6" w:rsidRPr="00A53AD7" w:rsidRDefault="00B029F6" w:rsidP="00B029F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208</w:t>
            </w:r>
          </w:p>
        </w:tc>
        <w:tc>
          <w:tcPr>
            <w:tcW w:w="3550" w:type="dxa"/>
            <w:tcBorders>
              <w:top w:val="nil"/>
              <w:left w:val="nil"/>
              <w:bottom w:val="single" w:sz="4" w:space="0" w:color="auto"/>
              <w:right w:val="single" w:sz="4" w:space="0" w:color="auto"/>
            </w:tcBorders>
            <w:shd w:val="clear" w:color="auto" w:fill="auto"/>
            <w:vAlign w:val="center"/>
            <w:hideMark/>
          </w:tcPr>
          <w:p w14:paraId="256824B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с подотчетными лицами</w:t>
            </w:r>
          </w:p>
        </w:tc>
        <w:tc>
          <w:tcPr>
            <w:tcW w:w="818" w:type="dxa"/>
            <w:tcBorders>
              <w:top w:val="nil"/>
              <w:left w:val="nil"/>
              <w:bottom w:val="single" w:sz="4" w:space="0" w:color="auto"/>
              <w:right w:val="single" w:sz="4" w:space="0" w:color="auto"/>
            </w:tcBorders>
            <w:shd w:val="clear" w:color="auto" w:fill="auto"/>
            <w:vAlign w:val="center"/>
            <w:hideMark/>
          </w:tcPr>
          <w:p w14:paraId="275666F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3,0 </w:t>
            </w:r>
          </w:p>
        </w:tc>
        <w:tc>
          <w:tcPr>
            <w:tcW w:w="816" w:type="dxa"/>
            <w:tcBorders>
              <w:top w:val="nil"/>
              <w:left w:val="nil"/>
              <w:bottom w:val="single" w:sz="4" w:space="0" w:color="auto"/>
              <w:right w:val="single" w:sz="4" w:space="0" w:color="auto"/>
            </w:tcBorders>
            <w:shd w:val="clear" w:color="auto" w:fill="auto"/>
            <w:vAlign w:val="center"/>
            <w:hideMark/>
          </w:tcPr>
          <w:p w14:paraId="38B7DDD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2,8 </w:t>
            </w:r>
          </w:p>
        </w:tc>
        <w:tc>
          <w:tcPr>
            <w:tcW w:w="716" w:type="dxa"/>
            <w:tcBorders>
              <w:top w:val="nil"/>
              <w:left w:val="nil"/>
              <w:bottom w:val="single" w:sz="4" w:space="0" w:color="auto"/>
              <w:right w:val="single" w:sz="4" w:space="0" w:color="auto"/>
            </w:tcBorders>
            <w:shd w:val="clear" w:color="auto" w:fill="auto"/>
            <w:vAlign w:val="center"/>
            <w:hideMark/>
          </w:tcPr>
          <w:p w14:paraId="00C5E34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0,2 </w:t>
            </w:r>
          </w:p>
        </w:tc>
        <w:tc>
          <w:tcPr>
            <w:tcW w:w="818" w:type="dxa"/>
            <w:tcBorders>
              <w:top w:val="nil"/>
              <w:left w:val="nil"/>
              <w:bottom w:val="single" w:sz="4" w:space="0" w:color="auto"/>
              <w:right w:val="single" w:sz="4" w:space="0" w:color="auto"/>
            </w:tcBorders>
            <w:shd w:val="clear" w:color="auto" w:fill="auto"/>
            <w:vAlign w:val="center"/>
            <w:hideMark/>
          </w:tcPr>
          <w:p w14:paraId="42AD361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w:t>
            </w:r>
          </w:p>
        </w:tc>
        <w:tc>
          <w:tcPr>
            <w:tcW w:w="783" w:type="dxa"/>
            <w:tcBorders>
              <w:top w:val="nil"/>
              <w:left w:val="nil"/>
              <w:bottom w:val="single" w:sz="4" w:space="0" w:color="auto"/>
              <w:right w:val="single" w:sz="4" w:space="0" w:color="auto"/>
            </w:tcBorders>
            <w:shd w:val="clear" w:color="auto" w:fill="auto"/>
            <w:vAlign w:val="center"/>
            <w:hideMark/>
          </w:tcPr>
          <w:p w14:paraId="0A020B7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2,8 </w:t>
            </w:r>
          </w:p>
        </w:tc>
        <w:tc>
          <w:tcPr>
            <w:tcW w:w="783" w:type="dxa"/>
            <w:tcBorders>
              <w:top w:val="nil"/>
              <w:left w:val="nil"/>
              <w:bottom w:val="single" w:sz="4" w:space="0" w:color="auto"/>
              <w:right w:val="double" w:sz="6" w:space="0" w:color="auto"/>
            </w:tcBorders>
            <w:shd w:val="clear" w:color="auto" w:fill="auto"/>
            <w:vAlign w:val="center"/>
            <w:hideMark/>
          </w:tcPr>
          <w:p w14:paraId="0B7FC9FA"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-4,2 </w:t>
            </w:r>
          </w:p>
        </w:tc>
      </w:tr>
      <w:tr w:rsidR="00D470B6" w:rsidRPr="00A53AD7" w14:paraId="4518C2E5" w14:textId="77777777" w:rsidTr="00B029F6">
        <w:trPr>
          <w:trHeight w:val="64"/>
          <w:jc w:val="center"/>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4469C6BB" w14:textId="77777777" w:rsidR="00B029F6" w:rsidRPr="00A53AD7" w:rsidRDefault="00B029F6" w:rsidP="00B029F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209</w:t>
            </w:r>
          </w:p>
        </w:tc>
        <w:tc>
          <w:tcPr>
            <w:tcW w:w="3550" w:type="dxa"/>
            <w:tcBorders>
              <w:top w:val="nil"/>
              <w:left w:val="nil"/>
              <w:bottom w:val="single" w:sz="4" w:space="0" w:color="auto"/>
              <w:right w:val="single" w:sz="4" w:space="0" w:color="auto"/>
            </w:tcBorders>
            <w:shd w:val="clear" w:color="auto" w:fill="auto"/>
            <w:vAlign w:val="center"/>
            <w:hideMark/>
          </w:tcPr>
          <w:p w14:paraId="28F9C23C"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ущербу и иным доходам</w:t>
            </w:r>
          </w:p>
        </w:tc>
        <w:tc>
          <w:tcPr>
            <w:tcW w:w="818" w:type="dxa"/>
            <w:tcBorders>
              <w:top w:val="nil"/>
              <w:left w:val="nil"/>
              <w:bottom w:val="single" w:sz="4" w:space="0" w:color="auto"/>
              <w:right w:val="single" w:sz="4" w:space="0" w:color="auto"/>
            </w:tcBorders>
            <w:shd w:val="clear" w:color="auto" w:fill="auto"/>
            <w:vAlign w:val="center"/>
            <w:hideMark/>
          </w:tcPr>
          <w:p w14:paraId="109D4A8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816" w:type="dxa"/>
            <w:tcBorders>
              <w:top w:val="nil"/>
              <w:left w:val="nil"/>
              <w:bottom w:val="single" w:sz="4" w:space="0" w:color="auto"/>
              <w:right w:val="single" w:sz="4" w:space="0" w:color="auto"/>
            </w:tcBorders>
            <w:shd w:val="clear" w:color="auto" w:fill="auto"/>
            <w:vAlign w:val="center"/>
            <w:hideMark/>
          </w:tcPr>
          <w:p w14:paraId="7D40982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716" w:type="dxa"/>
            <w:tcBorders>
              <w:top w:val="nil"/>
              <w:left w:val="nil"/>
              <w:bottom w:val="single" w:sz="4" w:space="0" w:color="auto"/>
              <w:right w:val="single" w:sz="4" w:space="0" w:color="auto"/>
            </w:tcBorders>
            <w:shd w:val="clear" w:color="auto" w:fill="auto"/>
            <w:vAlign w:val="center"/>
            <w:hideMark/>
          </w:tcPr>
          <w:p w14:paraId="321AB13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818" w:type="dxa"/>
            <w:tcBorders>
              <w:top w:val="nil"/>
              <w:left w:val="nil"/>
              <w:bottom w:val="single" w:sz="4" w:space="0" w:color="auto"/>
              <w:right w:val="single" w:sz="4" w:space="0" w:color="auto"/>
            </w:tcBorders>
            <w:shd w:val="clear" w:color="auto" w:fill="auto"/>
            <w:vAlign w:val="center"/>
            <w:hideMark/>
          </w:tcPr>
          <w:p w14:paraId="450E68A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783" w:type="dxa"/>
            <w:tcBorders>
              <w:top w:val="nil"/>
              <w:left w:val="nil"/>
              <w:bottom w:val="single" w:sz="4" w:space="0" w:color="auto"/>
              <w:right w:val="single" w:sz="4" w:space="0" w:color="auto"/>
            </w:tcBorders>
            <w:shd w:val="clear" w:color="auto" w:fill="auto"/>
            <w:vAlign w:val="center"/>
            <w:hideMark/>
          </w:tcPr>
          <w:p w14:paraId="54D25D7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783" w:type="dxa"/>
            <w:tcBorders>
              <w:top w:val="nil"/>
              <w:left w:val="nil"/>
              <w:bottom w:val="single" w:sz="4" w:space="0" w:color="auto"/>
              <w:right w:val="double" w:sz="6" w:space="0" w:color="auto"/>
            </w:tcBorders>
            <w:shd w:val="clear" w:color="auto" w:fill="auto"/>
            <w:vAlign w:val="center"/>
            <w:hideMark/>
          </w:tcPr>
          <w:p w14:paraId="25583C9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r>
      <w:tr w:rsidR="00D470B6" w:rsidRPr="00A53AD7" w14:paraId="3B539158" w14:textId="77777777" w:rsidTr="00B029F6">
        <w:trPr>
          <w:trHeight w:val="64"/>
          <w:jc w:val="center"/>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61F9AFD1" w14:textId="77777777" w:rsidR="00B029F6" w:rsidRPr="00A53AD7" w:rsidRDefault="00B029F6" w:rsidP="00B029F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3550" w:type="dxa"/>
            <w:tcBorders>
              <w:top w:val="nil"/>
              <w:left w:val="nil"/>
              <w:bottom w:val="single" w:sz="4" w:space="0" w:color="auto"/>
              <w:right w:val="single" w:sz="4" w:space="0" w:color="auto"/>
            </w:tcBorders>
            <w:shd w:val="clear" w:color="auto" w:fill="auto"/>
            <w:vAlign w:val="center"/>
            <w:hideMark/>
          </w:tcPr>
          <w:p w14:paraId="42DAE2F5"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принятым обязательствам</w:t>
            </w:r>
          </w:p>
        </w:tc>
        <w:tc>
          <w:tcPr>
            <w:tcW w:w="818" w:type="dxa"/>
            <w:tcBorders>
              <w:top w:val="nil"/>
              <w:left w:val="nil"/>
              <w:bottom w:val="single" w:sz="4" w:space="0" w:color="auto"/>
              <w:right w:val="single" w:sz="4" w:space="0" w:color="auto"/>
            </w:tcBorders>
            <w:shd w:val="clear" w:color="auto" w:fill="auto"/>
            <w:vAlign w:val="center"/>
            <w:hideMark/>
          </w:tcPr>
          <w:p w14:paraId="6241986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112,0 </w:t>
            </w:r>
          </w:p>
        </w:tc>
        <w:tc>
          <w:tcPr>
            <w:tcW w:w="816" w:type="dxa"/>
            <w:tcBorders>
              <w:top w:val="nil"/>
              <w:left w:val="nil"/>
              <w:bottom w:val="single" w:sz="4" w:space="0" w:color="auto"/>
              <w:right w:val="single" w:sz="4" w:space="0" w:color="auto"/>
            </w:tcBorders>
            <w:shd w:val="clear" w:color="auto" w:fill="auto"/>
            <w:vAlign w:val="center"/>
            <w:hideMark/>
          </w:tcPr>
          <w:p w14:paraId="0980D1F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106,0 </w:t>
            </w:r>
          </w:p>
        </w:tc>
        <w:tc>
          <w:tcPr>
            <w:tcW w:w="716" w:type="dxa"/>
            <w:tcBorders>
              <w:top w:val="nil"/>
              <w:left w:val="nil"/>
              <w:bottom w:val="single" w:sz="4" w:space="0" w:color="auto"/>
              <w:right w:val="single" w:sz="4" w:space="0" w:color="auto"/>
            </w:tcBorders>
            <w:shd w:val="clear" w:color="auto" w:fill="auto"/>
            <w:vAlign w:val="center"/>
            <w:hideMark/>
          </w:tcPr>
          <w:p w14:paraId="2E03675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6,0 </w:t>
            </w:r>
          </w:p>
        </w:tc>
        <w:tc>
          <w:tcPr>
            <w:tcW w:w="818" w:type="dxa"/>
            <w:tcBorders>
              <w:top w:val="nil"/>
              <w:left w:val="nil"/>
              <w:bottom w:val="single" w:sz="4" w:space="0" w:color="auto"/>
              <w:right w:val="single" w:sz="4" w:space="0" w:color="auto"/>
            </w:tcBorders>
            <w:shd w:val="clear" w:color="auto" w:fill="auto"/>
            <w:vAlign w:val="center"/>
            <w:hideMark/>
          </w:tcPr>
          <w:p w14:paraId="53A13FF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-34,2 </w:t>
            </w:r>
          </w:p>
        </w:tc>
        <w:tc>
          <w:tcPr>
            <w:tcW w:w="783" w:type="dxa"/>
            <w:tcBorders>
              <w:top w:val="nil"/>
              <w:left w:val="nil"/>
              <w:bottom w:val="single" w:sz="4" w:space="0" w:color="auto"/>
              <w:right w:val="single" w:sz="4" w:space="0" w:color="auto"/>
            </w:tcBorders>
            <w:shd w:val="clear" w:color="auto" w:fill="auto"/>
            <w:vAlign w:val="center"/>
            <w:hideMark/>
          </w:tcPr>
          <w:p w14:paraId="6C1EBC4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13,8 </w:t>
            </w:r>
          </w:p>
        </w:tc>
        <w:tc>
          <w:tcPr>
            <w:tcW w:w="783" w:type="dxa"/>
            <w:tcBorders>
              <w:top w:val="nil"/>
              <w:left w:val="nil"/>
              <w:bottom w:val="single" w:sz="4" w:space="0" w:color="auto"/>
              <w:right w:val="double" w:sz="6" w:space="0" w:color="auto"/>
            </w:tcBorders>
            <w:shd w:val="clear" w:color="auto" w:fill="auto"/>
            <w:vAlign w:val="center"/>
            <w:hideMark/>
          </w:tcPr>
          <w:p w14:paraId="722973F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-48,0 </w:t>
            </w:r>
          </w:p>
        </w:tc>
      </w:tr>
      <w:tr w:rsidR="00D470B6" w:rsidRPr="00A53AD7" w14:paraId="7276440F" w14:textId="77777777" w:rsidTr="00B029F6">
        <w:trPr>
          <w:trHeight w:val="64"/>
          <w:jc w:val="center"/>
        </w:trPr>
        <w:tc>
          <w:tcPr>
            <w:tcW w:w="662" w:type="dxa"/>
            <w:tcBorders>
              <w:top w:val="nil"/>
              <w:left w:val="double" w:sz="6" w:space="0" w:color="auto"/>
              <w:bottom w:val="single" w:sz="4" w:space="0" w:color="auto"/>
              <w:right w:val="single" w:sz="4" w:space="0" w:color="auto"/>
            </w:tcBorders>
            <w:shd w:val="clear" w:color="auto" w:fill="auto"/>
            <w:vAlign w:val="center"/>
            <w:hideMark/>
          </w:tcPr>
          <w:p w14:paraId="0FFBAE1F" w14:textId="77777777" w:rsidR="00B029F6" w:rsidRPr="00A53AD7" w:rsidRDefault="00B029F6" w:rsidP="00B029F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303</w:t>
            </w:r>
          </w:p>
        </w:tc>
        <w:tc>
          <w:tcPr>
            <w:tcW w:w="3550" w:type="dxa"/>
            <w:tcBorders>
              <w:top w:val="nil"/>
              <w:left w:val="nil"/>
              <w:bottom w:val="single" w:sz="4" w:space="0" w:color="auto"/>
              <w:right w:val="single" w:sz="4" w:space="0" w:color="auto"/>
            </w:tcBorders>
            <w:shd w:val="clear" w:color="auto" w:fill="auto"/>
            <w:vAlign w:val="center"/>
            <w:hideMark/>
          </w:tcPr>
          <w:p w14:paraId="455383D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платежам в бюджеты</w:t>
            </w:r>
          </w:p>
        </w:tc>
        <w:tc>
          <w:tcPr>
            <w:tcW w:w="818" w:type="dxa"/>
            <w:tcBorders>
              <w:top w:val="nil"/>
              <w:left w:val="nil"/>
              <w:bottom w:val="single" w:sz="4" w:space="0" w:color="auto"/>
              <w:right w:val="single" w:sz="4" w:space="0" w:color="auto"/>
            </w:tcBorders>
            <w:shd w:val="clear" w:color="auto" w:fill="auto"/>
            <w:vAlign w:val="center"/>
            <w:hideMark/>
          </w:tcPr>
          <w:p w14:paraId="2FF6ED1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7,0 </w:t>
            </w:r>
          </w:p>
        </w:tc>
        <w:tc>
          <w:tcPr>
            <w:tcW w:w="816" w:type="dxa"/>
            <w:tcBorders>
              <w:top w:val="nil"/>
              <w:left w:val="nil"/>
              <w:bottom w:val="single" w:sz="4" w:space="0" w:color="auto"/>
              <w:right w:val="single" w:sz="4" w:space="0" w:color="auto"/>
            </w:tcBorders>
            <w:shd w:val="clear" w:color="auto" w:fill="auto"/>
            <w:vAlign w:val="center"/>
            <w:hideMark/>
          </w:tcPr>
          <w:p w14:paraId="2EF22E2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716" w:type="dxa"/>
            <w:tcBorders>
              <w:top w:val="nil"/>
              <w:left w:val="nil"/>
              <w:bottom w:val="single" w:sz="4" w:space="0" w:color="auto"/>
              <w:right w:val="single" w:sz="4" w:space="0" w:color="auto"/>
            </w:tcBorders>
            <w:shd w:val="clear" w:color="auto" w:fill="auto"/>
            <w:vAlign w:val="center"/>
            <w:hideMark/>
          </w:tcPr>
          <w:p w14:paraId="1BE03FE5"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7,0 </w:t>
            </w:r>
          </w:p>
        </w:tc>
        <w:tc>
          <w:tcPr>
            <w:tcW w:w="818" w:type="dxa"/>
            <w:tcBorders>
              <w:top w:val="nil"/>
              <w:left w:val="nil"/>
              <w:bottom w:val="single" w:sz="4" w:space="0" w:color="auto"/>
              <w:right w:val="single" w:sz="4" w:space="0" w:color="auto"/>
            </w:tcBorders>
            <w:shd w:val="clear" w:color="auto" w:fill="auto"/>
            <w:vAlign w:val="center"/>
            <w:hideMark/>
          </w:tcPr>
          <w:p w14:paraId="04FFE58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-30,9 </w:t>
            </w:r>
          </w:p>
        </w:tc>
        <w:tc>
          <w:tcPr>
            <w:tcW w:w="783" w:type="dxa"/>
            <w:tcBorders>
              <w:top w:val="nil"/>
              <w:left w:val="nil"/>
              <w:bottom w:val="single" w:sz="4" w:space="0" w:color="auto"/>
              <w:right w:val="single" w:sz="4" w:space="0" w:color="auto"/>
            </w:tcBorders>
            <w:shd w:val="clear" w:color="auto" w:fill="auto"/>
            <w:vAlign w:val="center"/>
            <w:hideMark/>
          </w:tcPr>
          <w:p w14:paraId="6814008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-17,6 </w:t>
            </w:r>
          </w:p>
        </w:tc>
        <w:tc>
          <w:tcPr>
            <w:tcW w:w="783" w:type="dxa"/>
            <w:tcBorders>
              <w:top w:val="nil"/>
              <w:left w:val="nil"/>
              <w:bottom w:val="single" w:sz="4" w:space="0" w:color="auto"/>
              <w:right w:val="double" w:sz="6" w:space="0" w:color="auto"/>
            </w:tcBorders>
            <w:shd w:val="clear" w:color="auto" w:fill="auto"/>
            <w:vAlign w:val="center"/>
            <w:hideMark/>
          </w:tcPr>
          <w:p w14:paraId="6265B24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-13,3 </w:t>
            </w:r>
          </w:p>
        </w:tc>
      </w:tr>
      <w:tr w:rsidR="00B029F6" w:rsidRPr="00A53AD7" w14:paraId="6024712D" w14:textId="77777777" w:rsidTr="00B029F6">
        <w:trPr>
          <w:trHeight w:val="64"/>
          <w:jc w:val="center"/>
        </w:trPr>
        <w:tc>
          <w:tcPr>
            <w:tcW w:w="4212"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3E1DD89A" w14:textId="77777777" w:rsidR="00B029F6" w:rsidRPr="00A53AD7" w:rsidRDefault="00B029F6" w:rsidP="00B029F6">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818" w:type="dxa"/>
            <w:tcBorders>
              <w:top w:val="nil"/>
              <w:left w:val="nil"/>
              <w:bottom w:val="double" w:sz="6" w:space="0" w:color="auto"/>
              <w:right w:val="single" w:sz="4" w:space="0" w:color="auto"/>
            </w:tcBorders>
            <w:shd w:val="clear" w:color="auto" w:fill="auto"/>
            <w:vAlign w:val="center"/>
            <w:hideMark/>
          </w:tcPr>
          <w:p w14:paraId="1A0B6E2E"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122,2 </w:t>
            </w:r>
          </w:p>
        </w:tc>
        <w:tc>
          <w:tcPr>
            <w:tcW w:w="816" w:type="dxa"/>
            <w:tcBorders>
              <w:top w:val="nil"/>
              <w:left w:val="nil"/>
              <w:bottom w:val="double" w:sz="6" w:space="0" w:color="auto"/>
              <w:right w:val="single" w:sz="4" w:space="0" w:color="auto"/>
            </w:tcBorders>
            <w:shd w:val="clear" w:color="auto" w:fill="auto"/>
            <w:vAlign w:val="center"/>
            <w:hideMark/>
          </w:tcPr>
          <w:p w14:paraId="438E9335"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108,7 </w:t>
            </w:r>
          </w:p>
        </w:tc>
        <w:tc>
          <w:tcPr>
            <w:tcW w:w="716" w:type="dxa"/>
            <w:tcBorders>
              <w:top w:val="nil"/>
              <w:left w:val="nil"/>
              <w:bottom w:val="double" w:sz="6" w:space="0" w:color="auto"/>
              <w:right w:val="single" w:sz="4" w:space="0" w:color="auto"/>
            </w:tcBorders>
            <w:shd w:val="clear" w:color="auto" w:fill="auto"/>
            <w:vAlign w:val="center"/>
            <w:hideMark/>
          </w:tcPr>
          <w:p w14:paraId="4FB23072"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13,4 </w:t>
            </w:r>
          </w:p>
        </w:tc>
        <w:tc>
          <w:tcPr>
            <w:tcW w:w="818" w:type="dxa"/>
            <w:tcBorders>
              <w:top w:val="nil"/>
              <w:left w:val="nil"/>
              <w:bottom w:val="double" w:sz="6" w:space="0" w:color="auto"/>
              <w:right w:val="single" w:sz="4" w:space="0" w:color="auto"/>
            </w:tcBorders>
            <w:shd w:val="clear" w:color="auto" w:fill="auto"/>
            <w:vAlign w:val="center"/>
            <w:hideMark/>
          </w:tcPr>
          <w:p w14:paraId="01F9573D"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-67,0 </w:t>
            </w:r>
          </w:p>
        </w:tc>
        <w:tc>
          <w:tcPr>
            <w:tcW w:w="783" w:type="dxa"/>
            <w:tcBorders>
              <w:top w:val="nil"/>
              <w:left w:val="nil"/>
              <w:bottom w:val="double" w:sz="6" w:space="0" w:color="auto"/>
              <w:right w:val="single" w:sz="4" w:space="0" w:color="auto"/>
            </w:tcBorders>
            <w:shd w:val="clear" w:color="auto" w:fill="auto"/>
            <w:vAlign w:val="center"/>
            <w:hideMark/>
          </w:tcPr>
          <w:p w14:paraId="5594801F"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-1,6 </w:t>
            </w:r>
          </w:p>
        </w:tc>
        <w:tc>
          <w:tcPr>
            <w:tcW w:w="783" w:type="dxa"/>
            <w:tcBorders>
              <w:top w:val="nil"/>
              <w:left w:val="nil"/>
              <w:bottom w:val="double" w:sz="6" w:space="0" w:color="auto"/>
              <w:right w:val="double" w:sz="6" w:space="0" w:color="auto"/>
            </w:tcBorders>
            <w:shd w:val="clear" w:color="auto" w:fill="auto"/>
            <w:vAlign w:val="center"/>
            <w:hideMark/>
          </w:tcPr>
          <w:p w14:paraId="3D04119C"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-65,3 </w:t>
            </w:r>
          </w:p>
        </w:tc>
      </w:tr>
    </w:tbl>
    <w:p w14:paraId="7116AD93" w14:textId="77777777" w:rsidR="00B029F6" w:rsidRPr="00A53AD7" w:rsidRDefault="00B029F6" w:rsidP="00B029F6">
      <w:pPr>
        <w:spacing w:after="0" w:line="240" w:lineRule="auto"/>
        <w:jc w:val="both"/>
        <w:rPr>
          <w:rFonts w:ascii="Times New Roman" w:hAnsi="Times New Roman"/>
          <w:sz w:val="16"/>
          <w:szCs w:val="16"/>
          <w:highlight w:val="cyan"/>
        </w:rPr>
      </w:pPr>
    </w:p>
    <w:p w14:paraId="0E0DE5A1"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объем просроченной кредиторской задолженности в бюджетных и автономных учреждениях на 01.01.2020 сложился по счету 302 «Расчеты по принятым обязательствам» в сумме 112,0 млн.руб., который за год сократился на 34,2 млн.руб. или на 36,4 %, в т.ч. в государственных учреждениях – 106,0 млн.руб. (вырос на 13,8 млн.руб. или на 15,0 %), в муниципальных учреждениях – 6,0 млн.руб. (сократился на 48,0 млн.руб.).</w:t>
      </w:r>
    </w:p>
    <w:p w14:paraId="462F0377" w14:textId="7B6F86DF"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видам финансового обеспечения просроченная кредиторская задолженность за 2019 год, согласно отчетам по форме 0503769, представлена на рисунке </w:t>
      </w:r>
      <w:r w:rsidR="00404E35" w:rsidRPr="00A53AD7">
        <w:rPr>
          <w:rFonts w:ascii="Times New Roman" w:hAnsi="Times New Roman"/>
          <w:sz w:val="28"/>
          <w:szCs w:val="28"/>
        </w:rPr>
        <w:t>79</w:t>
      </w:r>
      <w:r w:rsidRPr="00A53AD7">
        <w:rPr>
          <w:rFonts w:ascii="Times New Roman" w:hAnsi="Times New Roman"/>
          <w:sz w:val="28"/>
          <w:szCs w:val="28"/>
        </w:rPr>
        <w:t>, без учета средств, выделенных на осуществление капитальных вложений, которая на 01.01.2020 отсутствует (на начало 2019 года – 0,2 млн.руб.).</w:t>
      </w:r>
    </w:p>
    <w:p w14:paraId="14A4CBFE"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113287FF" w14:textId="77777777" w:rsidR="00B029F6" w:rsidRPr="00A53AD7" w:rsidRDefault="00B029F6" w:rsidP="00B029F6">
      <w:pPr>
        <w:keepNext/>
        <w:spacing w:after="0" w:line="240" w:lineRule="auto"/>
        <w:jc w:val="center"/>
        <w:rPr>
          <w:rFonts w:ascii="Times New Roman" w:hAnsi="Times New Roman"/>
          <w:sz w:val="28"/>
        </w:rPr>
      </w:pPr>
      <w:r w:rsidRPr="00A53AD7">
        <w:rPr>
          <w:rFonts w:ascii="Times New Roman" w:hAnsi="Times New Roman"/>
          <w:noProof/>
          <w:sz w:val="28"/>
          <w:lang w:eastAsia="ru-RU"/>
        </w:rPr>
        <w:drawing>
          <wp:inline distT="0" distB="0" distL="0" distR="0" wp14:anchorId="7BA1CF38" wp14:editId="09978E7C">
            <wp:extent cx="5831457" cy="2432649"/>
            <wp:effectExtent l="0" t="0" r="0" b="635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26929" cy="2430760"/>
                    </a:xfrm>
                    <a:prstGeom prst="rect">
                      <a:avLst/>
                    </a:prstGeom>
                    <a:noFill/>
                  </pic:spPr>
                </pic:pic>
              </a:graphicData>
            </a:graphic>
          </wp:inline>
        </w:drawing>
      </w:r>
    </w:p>
    <w:p w14:paraId="5A98085E" w14:textId="386E10F6" w:rsidR="00B029F6" w:rsidRPr="00A53AD7" w:rsidRDefault="00B029F6" w:rsidP="00B4171B">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Рисунок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Рисунок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79</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государственных, муниципальных бюджетных и автономных учреждений, по отдельным видам финансово обеспечения, отраженная в отчетах по форме 0503769 на 01.01.2020, млн.руб.</w:t>
      </w:r>
    </w:p>
    <w:p w14:paraId="1585E9F9" w14:textId="77777777" w:rsidR="00B029F6" w:rsidRPr="00A53AD7" w:rsidRDefault="00B029F6" w:rsidP="00B029F6">
      <w:pPr>
        <w:spacing w:after="0" w:line="240" w:lineRule="auto"/>
        <w:jc w:val="both"/>
        <w:rPr>
          <w:rFonts w:ascii="Times New Roman" w:hAnsi="Times New Roman"/>
          <w:sz w:val="16"/>
          <w:szCs w:val="16"/>
          <w:highlight w:val="cyan"/>
        </w:rPr>
      </w:pPr>
    </w:p>
    <w:p w14:paraId="4D6DB78B" w14:textId="28636F1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с этим, отмечаем, что с 01.01.2017 наблюдается тенденция к снижению просроченной кредиторской задолженности государственных и муниципальных учреждений, за счет всех видов финансового обеспечения, информация о которой представлена на рисунке </w:t>
      </w:r>
      <w:r w:rsidR="00404E35" w:rsidRPr="00A53AD7">
        <w:rPr>
          <w:rFonts w:ascii="Times New Roman" w:hAnsi="Times New Roman"/>
          <w:sz w:val="28"/>
          <w:szCs w:val="28"/>
        </w:rPr>
        <w:t>80</w:t>
      </w:r>
      <w:r w:rsidRPr="00A53AD7">
        <w:rPr>
          <w:rFonts w:ascii="Times New Roman" w:hAnsi="Times New Roman"/>
          <w:sz w:val="28"/>
          <w:szCs w:val="28"/>
        </w:rPr>
        <w:t>.</w:t>
      </w:r>
    </w:p>
    <w:p w14:paraId="05273148"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4B9A4C35" w14:textId="1BEBAD15" w:rsidR="00B029F6" w:rsidRPr="00A53AD7" w:rsidRDefault="00DF56F3" w:rsidP="00B029F6">
      <w:pPr>
        <w:keepNext/>
        <w:spacing w:after="0" w:line="240" w:lineRule="auto"/>
        <w:jc w:val="center"/>
      </w:pPr>
      <w:r w:rsidRPr="00A53AD7">
        <w:rPr>
          <w:noProof/>
          <w:lang w:eastAsia="ru-RU"/>
        </w:rPr>
        <w:drawing>
          <wp:inline distT="0" distB="0" distL="0" distR="0" wp14:anchorId="6F78DCBB" wp14:editId="08F30F1C">
            <wp:extent cx="5907405" cy="19812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07405" cy="1981200"/>
                    </a:xfrm>
                    <a:prstGeom prst="rect">
                      <a:avLst/>
                    </a:prstGeom>
                    <a:noFill/>
                  </pic:spPr>
                </pic:pic>
              </a:graphicData>
            </a:graphic>
          </wp:inline>
        </w:drawing>
      </w:r>
    </w:p>
    <w:p w14:paraId="796A57CE" w14:textId="77777777" w:rsidR="00B029F6" w:rsidRPr="00A53AD7" w:rsidRDefault="00B029F6" w:rsidP="00A81FB4">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Рисунок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Рисунок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80</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государственных и муниципальных бюджетных и автономных учреждений за счет всех видов финансового обеспечения с 01.01.2017 по 01.01.2020, в млн.руб.</w:t>
      </w:r>
    </w:p>
    <w:p w14:paraId="7FB76FC5" w14:textId="77777777" w:rsidR="00B029F6" w:rsidRPr="00A53AD7" w:rsidRDefault="00B029F6" w:rsidP="00B029F6">
      <w:pPr>
        <w:spacing w:after="0" w:line="240" w:lineRule="auto"/>
        <w:ind w:firstLine="851"/>
        <w:jc w:val="both"/>
        <w:rPr>
          <w:rFonts w:ascii="Times New Roman" w:hAnsi="Times New Roman"/>
          <w:sz w:val="16"/>
          <w:szCs w:val="16"/>
        </w:rPr>
      </w:pPr>
    </w:p>
    <w:p w14:paraId="3B47D52C"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Как видно на представленном рисунке в течение каждого финансового года (2017 – 2019 г.г.) наблюдается рост просроченной кредиторской задолженности в учреждениях, однако на конец года она снижается по отношению к показателям на начало года.</w:t>
      </w:r>
    </w:p>
    <w:p w14:paraId="4DC9D585" w14:textId="46008EE1"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Более 56 % в составе просроченной кредиторской задолженности государственных и муниципальных учреждений, за обозначенные выше отчетные периоды, занимает задолженность областных государственных учреждений, информация по которой представлена на рисунке </w:t>
      </w:r>
      <w:r w:rsidR="00404E35" w:rsidRPr="00A53AD7">
        <w:rPr>
          <w:rFonts w:ascii="Times New Roman" w:hAnsi="Times New Roman"/>
          <w:sz w:val="28"/>
          <w:szCs w:val="28"/>
        </w:rPr>
        <w:t>81</w:t>
      </w:r>
      <w:r w:rsidRPr="00A53AD7">
        <w:rPr>
          <w:rFonts w:ascii="Times New Roman" w:hAnsi="Times New Roman"/>
          <w:sz w:val="28"/>
          <w:szCs w:val="28"/>
        </w:rPr>
        <w:t>.</w:t>
      </w:r>
    </w:p>
    <w:p w14:paraId="531135AB"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5644BF9B" w14:textId="76882FC2" w:rsidR="00B029F6" w:rsidRPr="00A53AD7" w:rsidRDefault="00DF56F3" w:rsidP="00B029F6">
      <w:pPr>
        <w:keepNext/>
        <w:spacing w:after="0" w:line="240" w:lineRule="auto"/>
        <w:jc w:val="center"/>
      </w:pPr>
      <w:r w:rsidRPr="00A53AD7">
        <w:rPr>
          <w:noProof/>
          <w:lang w:eastAsia="ru-RU"/>
        </w:rPr>
        <w:drawing>
          <wp:inline distT="0" distB="0" distL="0" distR="0" wp14:anchorId="4763660C" wp14:editId="03AD32B6">
            <wp:extent cx="5956300" cy="1981200"/>
            <wp:effectExtent l="0" t="0" r="635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56300" cy="1981200"/>
                    </a:xfrm>
                    <a:prstGeom prst="rect">
                      <a:avLst/>
                    </a:prstGeom>
                    <a:noFill/>
                  </pic:spPr>
                </pic:pic>
              </a:graphicData>
            </a:graphic>
          </wp:inline>
        </w:drawing>
      </w:r>
    </w:p>
    <w:p w14:paraId="26777906" w14:textId="77777777" w:rsidR="00B029F6" w:rsidRPr="00A53AD7" w:rsidRDefault="00B029F6" w:rsidP="007D4371">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Рисунок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Рисунок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81</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государственных бюджетных и автономных учреждений за счет всех видов финансового обеспечения с 01.01.2017 по 01.01.2020, согласно отчетам по ф. 0503769, в млн.руб.</w:t>
      </w:r>
    </w:p>
    <w:p w14:paraId="506A9B3E"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24D27EFA"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Наибольший удельный вес в составе просроченной кредиторской задолженности государственных учреждений занимает задолженность организаций здравоохранения за счет средств обязательного медицинского страхования, который в рассматриваемой выше периоде варьируется от 94,4 % до 70 %, а на 01.01.2020 он составляет 84,0 %.</w:t>
      </w:r>
    </w:p>
    <w:p w14:paraId="3A5E146A" w14:textId="5B77345F"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Сведения о просроченной кредиторской задолженности за счет средств ОМС в государственных учреждениях здравоохранения с 01.01.2017 по 01.01.2020 представлены на рисунке </w:t>
      </w:r>
      <w:r w:rsidR="00404E35" w:rsidRPr="00A53AD7">
        <w:rPr>
          <w:rFonts w:ascii="Times New Roman" w:hAnsi="Times New Roman"/>
          <w:sz w:val="28"/>
          <w:szCs w:val="28"/>
        </w:rPr>
        <w:t>82</w:t>
      </w:r>
      <w:r w:rsidRPr="00A53AD7">
        <w:rPr>
          <w:rFonts w:ascii="Times New Roman" w:hAnsi="Times New Roman"/>
          <w:sz w:val="28"/>
          <w:szCs w:val="28"/>
        </w:rPr>
        <w:t>.</w:t>
      </w:r>
    </w:p>
    <w:p w14:paraId="6945B3D8" w14:textId="00AF43D1" w:rsidR="00B029F6" w:rsidRPr="00A53AD7" w:rsidRDefault="00DF56F3" w:rsidP="00B029F6">
      <w:pPr>
        <w:keepNext/>
        <w:spacing w:after="0" w:line="240" w:lineRule="auto"/>
        <w:jc w:val="center"/>
      </w:pPr>
      <w:r w:rsidRPr="00A53AD7">
        <w:rPr>
          <w:noProof/>
          <w:lang w:eastAsia="ru-RU"/>
        </w:rPr>
        <w:drawing>
          <wp:inline distT="0" distB="0" distL="0" distR="0" wp14:anchorId="42A74CC8" wp14:editId="1EC944E7">
            <wp:extent cx="5956300" cy="1981200"/>
            <wp:effectExtent l="0" t="0" r="635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56300" cy="1981200"/>
                    </a:xfrm>
                    <a:prstGeom prst="rect">
                      <a:avLst/>
                    </a:prstGeom>
                    <a:noFill/>
                  </pic:spPr>
                </pic:pic>
              </a:graphicData>
            </a:graphic>
          </wp:inline>
        </w:drawing>
      </w:r>
    </w:p>
    <w:p w14:paraId="32114ED2" w14:textId="619D211B" w:rsidR="00B029F6" w:rsidRPr="00A53AD7" w:rsidRDefault="00B029F6" w:rsidP="00FC4673">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Рисунок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Рисунок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82</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в учреждения</w:t>
      </w:r>
      <w:r w:rsidR="00DF56F3" w:rsidRPr="00A53AD7">
        <w:rPr>
          <w:rFonts w:ascii="Times New Roman" w:hAnsi="Times New Roman"/>
          <w:bCs/>
          <w:sz w:val="24"/>
          <w:szCs w:val="18"/>
        </w:rPr>
        <w:t>х</w:t>
      </w:r>
      <w:r w:rsidRPr="00A53AD7">
        <w:rPr>
          <w:rFonts w:ascii="Times New Roman" w:hAnsi="Times New Roman"/>
          <w:bCs/>
          <w:sz w:val="24"/>
          <w:szCs w:val="18"/>
        </w:rPr>
        <w:t xml:space="preserve"> здравоохранения за счет средств обязательного медицинского страхования с 01.01.2017 по 01.01.2020, согласно отчетам по ф. 0503769, млн.руб.</w:t>
      </w:r>
    </w:p>
    <w:p w14:paraId="5D099099" w14:textId="77777777" w:rsidR="00B029F6" w:rsidRPr="00A53AD7" w:rsidRDefault="00B029F6" w:rsidP="00B029F6">
      <w:pPr>
        <w:spacing w:after="0" w:line="240" w:lineRule="auto"/>
        <w:ind w:firstLine="851"/>
        <w:jc w:val="both"/>
        <w:rPr>
          <w:rFonts w:ascii="Times New Roman" w:hAnsi="Times New Roman"/>
          <w:sz w:val="16"/>
          <w:szCs w:val="16"/>
        </w:rPr>
      </w:pPr>
    </w:p>
    <w:p w14:paraId="52FD3445"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течение каждого финансового года просроченная кредиторская задолженность в учреждениях здравоохранения за счет средств ОМС ежеквартально росла, однако, за счет выделения средств из областного бюджета, в виде субсидий на иные цели для погашения указанной задолженности, на конец финансового года данная задолженность снижалась.</w:t>
      </w:r>
    </w:p>
    <w:p w14:paraId="56CB0A1D" w14:textId="0FB2E4DB"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 в 2017 году из областного бюджета для погашения кредиторской задолженности учреждениям здравоохранения выделено 252,0 млн.руб., в 2018 году – 148,7 млн.руб., а в 2019 году – 300,3 млн.руб.</w:t>
      </w:r>
    </w:p>
    <w:p w14:paraId="464FEC9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На 01.01.2020 за счет средств обязательного медицинского страхования просроченная кредиторская задолженность в государственных учреждениях здравоохранения Архангельской области составила 91,4 млн.руб. и за 2019 год она выросла на 12,3 млн.руб. или на 15,6 %.</w:t>
      </w:r>
    </w:p>
    <w:p w14:paraId="0333AEC7"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Одновременно с этим, отмечаем, что по отношению к отчетным данным на 01.07.2019 просроченная кредиторская задолженность в государственных учреждениях здравоохранения за счет средств ОМС сократилась на 113,0 млн.руб. или на 44,7 %, тогда как за I полугодие 2019 года она выросла на 125,4 млн.руб. или в 2,6 раза.</w:t>
      </w:r>
    </w:p>
    <w:p w14:paraId="70C4C6EE" w14:textId="6003CBFC"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По синтетическим счетам бухгалтерского учета просроченная кредиторская задолженность, за счет средств обязательного медицинского страхования, в государственных учреждениях здравоохранения, согласно отчетным данным по ф. 0503769, представлена в таблице </w:t>
      </w:r>
      <w:r w:rsidR="00404E35" w:rsidRPr="00A53AD7">
        <w:rPr>
          <w:rFonts w:ascii="Times New Roman" w:hAnsi="Times New Roman"/>
          <w:sz w:val="28"/>
          <w:szCs w:val="28"/>
        </w:rPr>
        <w:t>75</w:t>
      </w:r>
      <w:r w:rsidRPr="00A53AD7">
        <w:rPr>
          <w:rFonts w:ascii="Times New Roman" w:hAnsi="Times New Roman"/>
          <w:sz w:val="28"/>
          <w:szCs w:val="28"/>
        </w:rPr>
        <w:t>.</w:t>
      </w:r>
    </w:p>
    <w:p w14:paraId="481092F9"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3EE32443" w14:textId="77777777" w:rsidR="00B029F6" w:rsidRPr="00A53AD7" w:rsidRDefault="00B029F6" w:rsidP="00386644">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Таблица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Таблица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75</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в учреждения здравоохранения за счет средств обязательного медицинского страхования, согласно отчетам по ф. 0503769 за 2019 год, в млн.руб.</w:t>
      </w:r>
    </w:p>
    <w:tbl>
      <w:tblPr>
        <w:tblW w:w="8666" w:type="dxa"/>
        <w:jc w:val="center"/>
        <w:tblLook w:val="04A0" w:firstRow="1" w:lastRow="0" w:firstColumn="1" w:lastColumn="0" w:noHBand="0" w:noVBand="1"/>
      </w:tblPr>
      <w:tblGrid>
        <w:gridCol w:w="761"/>
        <w:gridCol w:w="3883"/>
        <w:gridCol w:w="1653"/>
        <w:gridCol w:w="1653"/>
        <w:gridCol w:w="716"/>
      </w:tblGrid>
      <w:tr w:rsidR="00D470B6" w:rsidRPr="00A53AD7" w14:paraId="42A7227C" w14:textId="77777777" w:rsidTr="00B029F6">
        <w:trPr>
          <w:trHeight w:val="29"/>
          <w:tblHeader/>
          <w:jc w:val="center"/>
        </w:trPr>
        <w:tc>
          <w:tcPr>
            <w:tcW w:w="761"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2AF2F4F5" w14:textId="77777777" w:rsidR="00B029F6" w:rsidRPr="00A53AD7" w:rsidRDefault="00B029F6" w:rsidP="00B029F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Счет</w:t>
            </w:r>
          </w:p>
        </w:tc>
        <w:tc>
          <w:tcPr>
            <w:tcW w:w="3883" w:type="dxa"/>
            <w:tcBorders>
              <w:top w:val="double" w:sz="6" w:space="0" w:color="auto"/>
              <w:left w:val="nil"/>
              <w:bottom w:val="single" w:sz="4" w:space="0" w:color="auto"/>
              <w:right w:val="single" w:sz="4" w:space="0" w:color="auto"/>
            </w:tcBorders>
            <w:shd w:val="clear" w:color="auto" w:fill="auto"/>
            <w:vAlign w:val="center"/>
            <w:hideMark/>
          </w:tcPr>
          <w:p w14:paraId="45AC33F2" w14:textId="77777777" w:rsidR="00B029F6" w:rsidRPr="00A53AD7" w:rsidRDefault="00B029F6" w:rsidP="00B029F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Наименование</w:t>
            </w:r>
          </w:p>
        </w:tc>
        <w:tc>
          <w:tcPr>
            <w:tcW w:w="1653" w:type="dxa"/>
            <w:tcBorders>
              <w:top w:val="double" w:sz="6" w:space="0" w:color="auto"/>
              <w:left w:val="nil"/>
              <w:bottom w:val="single" w:sz="4" w:space="0" w:color="auto"/>
              <w:right w:val="single" w:sz="4" w:space="0" w:color="auto"/>
            </w:tcBorders>
            <w:shd w:val="clear" w:color="auto" w:fill="auto"/>
            <w:vAlign w:val="center"/>
            <w:hideMark/>
          </w:tcPr>
          <w:p w14:paraId="7A5195B0" w14:textId="77777777" w:rsidR="00B029F6" w:rsidRPr="00A53AD7" w:rsidRDefault="00B029F6" w:rsidP="00B029F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01.01.2019</w:t>
            </w:r>
          </w:p>
        </w:tc>
        <w:tc>
          <w:tcPr>
            <w:tcW w:w="1653" w:type="dxa"/>
            <w:tcBorders>
              <w:top w:val="double" w:sz="6" w:space="0" w:color="auto"/>
              <w:left w:val="nil"/>
              <w:bottom w:val="single" w:sz="4" w:space="0" w:color="auto"/>
              <w:right w:val="single" w:sz="4" w:space="0" w:color="auto"/>
            </w:tcBorders>
            <w:shd w:val="clear" w:color="auto" w:fill="auto"/>
            <w:vAlign w:val="center"/>
            <w:hideMark/>
          </w:tcPr>
          <w:p w14:paraId="26E88BC8" w14:textId="77777777" w:rsidR="00B029F6" w:rsidRPr="00A53AD7" w:rsidRDefault="00B029F6" w:rsidP="00B029F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01.01.2020</w:t>
            </w:r>
          </w:p>
        </w:tc>
        <w:tc>
          <w:tcPr>
            <w:tcW w:w="716" w:type="dxa"/>
            <w:tcBorders>
              <w:top w:val="double" w:sz="6" w:space="0" w:color="auto"/>
              <w:left w:val="nil"/>
              <w:bottom w:val="single" w:sz="4" w:space="0" w:color="auto"/>
              <w:right w:val="double" w:sz="6" w:space="0" w:color="auto"/>
            </w:tcBorders>
            <w:shd w:val="clear" w:color="auto" w:fill="auto"/>
            <w:vAlign w:val="center"/>
            <w:hideMark/>
          </w:tcPr>
          <w:p w14:paraId="42474176" w14:textId="77777777" w:rsidR="00B029F6" w:rsidRPr="00A53AD7" w:rsidRDefault="00B029F6" w:rsidP="00B029F6">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w:t>
            </w:r>
          </w:p>
        </w:tc>
      </w:tr>
      <w:tr w:rsidR="00D470B6" w:rsidRPr="00A53AD7" w14:paraId="23558048" w14:textId="77777777" w:rsidTr="00B029F6">
        <w:trPr>
          <w:trHeight w:val="64"/>
          <w:jc w:val="center"/>
        </w:trPr>
        <w:tc>
          <w:tcPr>
            <w:tcW w:w="761" w:type="dxa"/>
            <w:tcBorders>
              <w:top w:val="nil"/>
              <w:left w:val="double" w:sz="6" w:space="0" w:color="auto"/>
              <w:bottom w:val="single" w:sz="4" w:space="0" w:color="auto"/>
              <w:right w:val="single" w:sz="4" w:space="0" w:color="auto"/>
            </w:tcBorders>
            <w:shd w:val="clear" w:color="auto" w:fill="auto"/>
            <w:vAlign w:val="center"/>
            <w:hideMark/>
          </w:tcPr>
          <w:p w14:paraId="20E2C7FD"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208</w:t>
            </w:r>
          </w:p>
        </w:tc>
        <w:tc>
          <w:tcPr>
            <w:tcW w:w="3883" w:type="dxa"/>
            <w:tcBorders>
              <w:top w:val="nil"/>
              <w:left w:val="nil"/>
              <w:bottom w:val="single" w:sz="4" w:space="0" w:color="auto"/>
              <w:right w:val="single" w:sz="4" w:space="0" w:color="auto"/>
            </w:tcBorders>
            <w:shd w:val="clear" w:color="auto" w:fill="auto"/>
            <w:vAlign w:val="center"/>
            <w:hideMark/>
          </w:tcPr>
          <w:p w14:paraId="371EFFB1" w14:textId="77777777" w:rsidR="00B029F6" w:rsidRPr="00A53AD7" w:rsidRDefault="00B029F6" w:rsidP="00B029F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с подотчетными лицами</w:t>
            </w:r>
          </w:p>
        </w:tc>
        <w:tc>
          <w:tcPr>
            <w:tcW w:w="1653" w:type="dxa"/>
            <w:tcBorders>
              <w:top w:val="nil"/>
              <w:left w:val="nil"/>
              <w:bottom w:val="single" w:sz="4" w:space="0" w:color="auto"/>
              <w:right w:val="single" w:sz="4" w:space="0" w:color="auto"/>
            </w:tcBorders>
            <w:shd w:val="clear" w:color="auto" w:fill="auto"/>
            <w:vAlign w:val="center"/>
            <w:hideMark/>
          </w:tcPr>
          <w:p w14:paraId="3B43E76B" w14:textId="77777777" w:rsidR="00B029F6" w:rsidRPr="00A53AD7" w:rsidRDefault="00B029F6" w:rsidP="00B029F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1653" w:type="dxa"/>
            <w:tcBorders>
              <w:top w:val="nil"/>
              <w:left w:val="nil"/>
              <w:bottom w:val="single" w:sz="4" w:space="0" w:color="auto"/>
              <w:right w:val="single" w:sz="4" w:space="0" w:color="auto"/>
            </w:tcBorders>
            <w:shd w:val="clear" w:color="auto" w:fill="auto"/>
            <w:vAlign w:val="center"/>
            <w:hideMark/>
          </w:tcPr>
          <w:p w14:paraId="3711BD9A"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 </w:t>
            </w:r>
          </w:p>
        </w:tc>
        <w:tc>
          <w:tcPr>
            <w:tcW w:w="716" w:type="dxa"/>
            <w:tcBorders>
              <w:top w:val="nil"/>
              <w:left w:val="nil"/>
              <w:bottom w:val="single" w:sz="4" w:space="0" w:color="auto"/>
              <w:right w:val="double" w:sz="6" w:space="0" w:color="auto"/>
            </w:tcBorders>
            <w:shd w:val="clear" w:color="auto" w:fill="auto"/>
            <w:vAlign w:val="center"/>
            <w:hideMark/>
          </w:tcPr>
          <w:p w14:paraId="3EA38C98"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2,8 </w:t>
            </w:r>
          </w:p>
        </w:tc>
      </w:tr>
      <w:tr w:rsidR="00D470B6" w:rsidRPr="00A53AD7" w14:paraId="2E0FB55A" w14:textId="77777777" w:rsidTr="00B029F6">
        <w:trPr>
          <w:trHeight w:val="64"/>
          <w:jc w:val="center"/>
        </w:trPr>
        <w:tc>
          <w:tcPr>
            <w:tcW w:w="761" w:type="dxa"/>
            <w:tcBorders>
              <w:top w:val="nil"/>
              <w:left w:val="double" w:sz="6" w:space="0" w:color="auto"/>
              <w:bottom w:val="single" w:sz="4" w:space="0" w:color="auto"/>
              <w:right w:val="single" w:sz="4" w:space="0" w:color="auto"/>
            </w:tcBorders>
            <w:shd w:val="clear" w:color="auto" w:fill="auto"/>
            <w:vAlign w:val="center"/>
            <w:hideMark/>
          </w:tcPr>
          <w:p w14:paraId="22271490"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302</w:t>
            </w:r>
          </w:p>
        </w:tc>
        <w:tc>
          <w:tcPr>
            <w:tcW w:w="3883" w:type="dxa"/>
            <w:tcBorders>
              <w:top w:val="nil"/>
              <w:left w:val="nil"/>
              <w:bottom w:val="single" w:sz="4" w:space="0" w:color="auto"/>
              <w:right w:val="single" w:sz="4" w:space="0" w:color="auto"/>
            </w:tcBorders>
            <w:shd w:val="clear" w:color="auto" w:fill="auto"/>
            <w:vAlign w:val="center"/>
            <w:hideMark/>
          </w:tcPr>
          <w:p w14:paraId="504C99F3" w14:textId="77777777" w:rsidR="00B029F6" w:rsidRPr="00A53AD7" w:rsidRDefault="00B029F6" w:rsidP="00B029F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принятым обязательствам</w:t>
            </w:r>
          </w:p>
        </w:tc>
        <w:tc>
          <w:tcPr>
            <w:tcW w:w="1653" w:type="dxa"/>
            <w:tcBorders>
              <w:top w:val="nil"/>
              <w:left w:val="nil"/>
              <w:bottom w:val="single" w:sz="4" w:space="0" w:color="auto"/>
              <w:right w:val="single" w:sz="4" w:space="0" w:color="auto"/>
            </w:tcBorders>
            <w:shd w:val="clear" w:color="auto" w:fill="auto"/>
            <w:vAlign w:val="center"/>
            <w:hideMark/>
          </w:tcPr>
          <w:p w14:paraId="25BADD9D"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70,6 </w:t>
            </w:r>
          </w:p>
        </w:tc>
        <w:tc>
          <w:tcPr>
            <w:tcW w:w="1653" w:type="dxa"/>
            <w:tcBorders>
              <w:top w:val="nil"/>
              <w:left w:val="nil"/>
              <w:bottom w:val="single" w:sz="4" w:space="0" w:color="auto"/>
              <w:right w:val="single" w:sz="4" w:space="0" w:color="auto"/>
            </w:tcBorders>
            <w:shd w:val="clear" w:color="auto" w:fill="auto"/>
            <w:vAlign w:val="center"/>
            <w:hideMark/>
          </w:tcPr>
          <w:p w14:paraId="0CD49DD0"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88,6 </w:t>
            </w:r>
          </w:p>
        </w:tc>
        <w:tc>
          <w:tcPr>
            <w:tcW w:w="716" w:type="dxa"/>
            <w:tcBorders>
              <w:top w:val="nil"/>
              <w:left w:val="nil"/>
              <w:bottom w:val="single" w:sz="4" w:space="0" w:color="auto"/>
              <w:right w:val="double" w:sz="6" w:space="0" w:color="auto"/>
            </w:tcBorders>
            <w:shd w:val="clear" w:color="auto" w:fill="auto"/>
            <w:vAlign w:val="center"/>
            <w:hideMark/>
          </w:tcPr>
          <w:p w14:paraId="53B6FCDE"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18,0 </w:t>
            </w:r>
          </w:p>
        </w:tc>
      </w:tr>
      <w:tr w:rsidR="00D470B6" w:rsidRPr="00A53AD7" w14:paraId="4B9214D9" w14:textId="77777777" w:rsidTr="00B029F6">
        <w:trPr>
          <w:trHeight w:val="64"/>
          <w:jc w:val="center"/>
        </w:trPr>
        <w:tc>
          <w:tcPr>
            <w:tcW w:w="761" w:type="dxa"/>
            <w:tcBorders>
              <w:top w:val="nil"/>
              <w:left w:val="double" w:sz="6" w:space="0" w:color="auto"/>
              <w:bottom w:val="single" w:sz="4" w:space="0" w:color="auto"/>
              <w:right w:val="single" w:sz="4" w:space="0" w:color="auto"/>
            </w:tcBorders>
            <w:shd w:val="clear" w:color="auto" w:fill="auto"/>
            <w:vAlign w:val="center"/>
            <w:hideMark/>
          </w:tcPr>
          <w:p w14:paraId="2BAD1C55"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303</w:t>
            </w:r>
          </w:p>
        </w:tc>
        <w:tc>
          <w:tcPr>
            <w:tcW w:w="3883" w:type="dxa"/>
            <w:tcBorders>
              <w:top w:val="nil"/>
              <w:left w:val="nil"/>
              <w:bottom w:val="single" w:sz="4" w:space="0" w:color="auto"/>
              <w:right w:val="single" w:sz="4" w:space="0" w:color="auto"/>
            </w:tcBorders>
            <w:shd w:val="clear" w:color="auto" w:fill="auto"/>
            <w:vAlign w:val="center"/>
            <w:hideMark/>
          </w:tcPr>
          <w:p w14:paraId="2B24AC2B" w14:textId="77777777" w:rsidR="00B029F6" w:rsidRPr="00A53AD7" w:rsidRDefault="00B029F6" w:rsidP="00B029F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Расчеты по платежам в бюджеты</w:t>
            </w:r>
          </w:p>
        </w:tc>
        <w:tc>
          <w:tcPr>
            <w:tcW w:w="1653" w:type="dxa"/>
            <w:tcBorders>
              <w:top w:val="nil"/>
              <w:left w:val="nil"/>
              <w:bottom w:val="single" w:sz="4" w:space="0" w:color="auto"/>
              <w:right w:val="single" w:sz="4" w:space="0" w:color="auto"/>
            </w:tcBorders>
            <w:shd w:val="clear" w:color="auto" w:fill="auto"/>
            <w:vAlign w:val="center"/>
            <w:hideMark/>
          </w:tcPr>
          <w:p w14:paraId="38EDA572"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 </w:t>
            </w:r>
          </w:p>
        </w:tc>
        <w:tc>
          <w:tcPr>
            <w:tcW w:w="1653" w:type="dxa"/>
            <w:tcBorders>
              <w:top w:val="nil"/>
              <w:left w:val="nil"/>
              <w:bottom w:val="single" w:sz="4" w:space="0" w:color="auto"/>
              <w:right w:val="single" w:sz="4" w:space="0" w:color="auto"/>
            </w:tcBorders>
            <w:shd w:val="clear" w:color="auto" w:fill="auto"/>
            <w:vAlign w:val="center"/>
            <w:hideMark/>
          </w:tcPr>
          <w:p w14:paraId="0FF0C642" w14:textId="77777777" w:rsidR="00B029F6" w:rsidRPr="00A53AD7" w:rsidRDefault="00B029F6" w:rsidP="00B029F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 </w:t>
            </w:r>
          </w:p>
        </w:tc>
        <w:tc>
          <w:tcPr>
            <w:tcW w:w="716" w:type="dxa"/>
            <w:tcBorders>
              <w:top w:val="nil"/>
              <w:left w:val="nil"/>
              <w:bottom w:val="single" w:sz="4" w:space="0" w:color="auto"/>
              <w:right w:val="double" w:sz="6" w:space="0" w:color="auto"/>
            </w:tcBorders>
            <w:shd w:val="clear" w:color="auto" w:fill="auto"/>
            <w:vAlign w:val="center"/>
            <w:hideMark/>
          </w:tcPr>
          <w:p w14:paraId="22F27C2A" w14:textId="77777777" w:rsidR="00B029F6" w:rsidRPr="00A53AD7" w:rsidRDefault="00B029F6" w:rsidP="00B029F6">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-8,5 </w:t>
            </w:r>
          </w:p>
        </w:tc>
      </w:tr>
      <w:tr w:rsidR="00B029F6" w:rsidRPr="00A53AD7" w14:paraId="49273D6C" w14:textId="77777777" w:rsidTr="00B029F6">
        <w:trPr>
          <w:trHeight w:val="64"/>
          <w:jc w:val="center"/>
        </w:trPr>
        <w:tc>
          <w:tcPr>
            <w:tcW w:w="4644" w:type="dxa"/>
            <w:gridSpan w:val="2"/>
            <w:tcBorders>
              <w:top w:val="single" w:sz="4" w:space="0" w:color="auto"/>
              <w:left w:val="double" w:sz="6" w:space="0" w:color="auto"/>
              <w:bottom w:val="double" w:sz="6" w:space="0" w:color="auto"/>
              <w:right w:val="single" w:sz="4" w:space="0" w:color="auto"/>
            </w:tcBorders>
            <w:shd w:val="clear" w:color="auto" w:fill="auto"/>
            <w:vAlign w:val="center"/>
            <w:hideMark/>
          </w:tcPr>
          <w:p w14:paraId="3E36AE83" w14:textId="77777777" w:rsidR="00B029F6" w:rsidRPr="00A53AD7" w:rsidRDefault="00B029F6" w:rsidP="00B029F6">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653" w:type="dxa"/>
            <w:tcBorders>
              <w:top w:val="nil"/>
              <w:left w:val="nil"/>
              <w:bottom w:val="double" w:sz="6" w:space="0" w:color="auto"/>
              <w:right w:val="single" w:sz="4" w:space="0" w:color="auto"/>
            </w:tcBorders>
            <w:shd w:val="clear" w:color="auto" w:fill="auto"/>
            <w:vAlign w:val="center"/>
            <w:hideMark/>
          </w:tcPr>
          <w:p w14:paraId="52D19DB9" w14:textId="77777777" w:rsidR="00B029F6" w:rsidRPr="00A53AD7" w:rsidRDefault="00B029F6" w:rsidP="00B029F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79,1 </w:t>
            </w:r>
          </w:p>
        </w:tc>
        <w:tc>
          <w:tcPr>
            <w:tcW w:w="1653" w:type="dxa"/>
            <w:tcBorders>
              <w:top w:val="nil"/>
              <w:left w:val="nil"/>
              <w:bottom w:val="double" w:sz="6" w:space="0" w:color="auto"/>
              <w:right w:val="single" w:sz="4" w:space="0" w:color="auto"/>
            </w:tcBorders>
            <w:shd w:val="clear" w:color="auto" w:fill="auto"/>
            <w:vAlign w:val="center"/>
            <w:hideMark/>
          </w:tcPr>
          <w:p w14:paraId="4E9C9CA5" w14:textId="77777777" w:rsidR="00B029F6" w:rsidRPr="00A53AD7" w:rsidRDefault="00B029F6" w:rsidP="00B029F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91,4 </w:t>
            </w:r>
          </w:p>
        </w:tc>
        <w:tc>
          <w:tcPr>
            <w:tcW w:w="716" w:type="dxa"/>
            <w:tcBorders>
              <w:top w:val="nil"/>
              <w:left w:val="nil"/>
              <w:bottom w:val="double" w:sz="6" w:space="0" w:color="auto"/>
              <w:right w:val="double" w:sz="6" w:space="0" w:color="auto"/>
            </w:tcBorders>
            <w:shd w:val="clear" w:color="auto" w:fill="auto"/>
            <w:vAlign w:val="center"/>
            <w:hideMark/>
          </w:tcPr>
          <w:p w14:paraId="693248FF" w14:textId="77777777" w:rsidR="00B029F6" w:rsidRPr="00A53AD7" w:rsidRDefault="00B029F6" w:rsidP="00B029F6">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12,3 </w:t>
            </w:r>
          </w:p>
        </w:tc>
      </w:tr>
    </w:tbl>
    <w:p w14:paraId="016C2976"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2D7F437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представленным отчетам по ф. 0503769, наибольшая просроченная кредиторская задолженность по данному виду финансового обеспечения в областных медицинских организациях на 01.01.2020 сложилась по счету 302 «Расчеты по принятым обязательствам» в сумме 88,6 млн.руб. (выросла на 18,0 млн.руб. или 25,5 %), из нее наибольшая по аналитическому счету 302.34 «Расчеты по приобретению материальных запасов» - 68,8 млн.руб. (рост на 10,1 млн.руб. или на 17,3 %), в большей части по приобретению медикаментов.</w:t>
      </w:r>
    </w:p>
    <w:p w14:paraId="064B535F" w14:textId="7693AEBF"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Информация о просроченной кредиторской задолженности в государственных учреждениях здравоохранения по счету 302 ««Расчеты по принятым обязательствам», согласно представленному отчету по ф. 0503769 за 2019 года отражена в таблице </w:t>
      </w:r>
      <w:r w:rsidR="00404E35" w:rsidRPr="00A53AD7">
        <w:rPr>
          <w:rFonts w:ascii="Times New Roman" w:hAnsi="Times New Roman"/>
          <w:sz w:val="28"/>
          <w:szCs w:val="28"/>
        </w:rPr>
        <w:t>76</w:t>
      </w:r>
      <w:r w:rsidRPr="00A53AD7">
        <w:rPr>
          <w:rFonts w:ascii="Times New Roman" w:hAnsi="Times New Roman"/>
          <w:sz w:val="28"/>
          <w:szCs w:val="28"/>
        </w:rPr>
        <w:t>.</w:t>
      </w:r>
    </w:p>
    <w:p w14:paraId="12CA1228" w14:textId="77777777" w:rsidR="00B029F6" w:rsidRPr="00A53AD7" w:rsidRDefault="00B029F6" w:rsidP="00B029F6">
      <w:pPr>
        <w:spacing w:after="0" w:line="240" w:lineRule="auto"/>
        <w:ind w:firstLine="851"/>
        <w:jc w:val="both"/>
        <w:rPr>
          <w:rFonts w:ascii="Times New Roman" w:hAnsi="Times New Roman"/>
          <w:sz w:val="16"/>
          <w:szCs w:val="16"/>
          <w:highlight w:val="cyan"/>
        </w:rPr>
      </w:pPr>
    </w:p>
    <w:p w14:paraId="6D2751EC" w14:textId="77777777" w:rsidR="00B029F6" w:rsidRPr="00A53AD7" w:rsidRDefault="00B029F6" w:rsidP="00BD05C9">
      <w:pPr>
        <w:spacing w:before="60" w:after="20" w:line="240" w:lineRule="auto"/>
        <w:rPr>
          <w:rFonts w:ascii="Times New Roman" w:hAnsi="Times New Roman"/>
          <w:bCs/>
          <w:sz w:val="24"/>
          <w:szCs w:val="18"/>
        </w:rPr>
      </w:pPr>
      <w:r w:rsidRPr="00A53AD7">
        <w:rPr>
          <w:rFonts w:ascii="Times New Roman" w:hAnsi="Times New Roman"/>
          <w:bCs/>
          <w:sz w:val="24"/>
          <w:szCs w:val="18"/>
        </w:rPr>
        <w:t xml:space="preserve">Таблица </w:t>
      </w:r>
      <w:r w:rsidRPr="00A53AD7">
        <w:rPr>
          <w:rFonts w:ascii="Times New Roman" w:hAnsi="Times New Roman"/>
          <w:bCs/>
          <w:sz w:val="24"/>
          <w:szCs w:val="18"/>
        </w:rPr>
        <w:fldChar w:fldCharType="begin"/>
      </w:r>
      <w:r w:rsidRPr="00A53AD7">
        <w:rPr>
          <w:rFonts w:ascii="Times New Roman" w:hAnsi="Times New Roman"/>
          <w:bCs/>
          <w:sz w:val="24"/>
          <w:szCs w:val="18"/>
        </w:rPr>
        <w:instrText xml:space="preserve"> SEQ Таблица \* ARABIC </w:instrText>
      </w:r>
      <w:r w:rsidRPr="00A53AD7">
        <w:rPr>
          <w:rFonts w:ascii="Times New Roman" w:hAnsi="Times New Roman"/>
          <w:bCs/>
          <w:sz w:val="24"/>
          <w:szCs w:val="18"/>
        </w:rPr>
        <w:fldChar w:fldCharType="separate"/>
      </w:r>
      <w:r w:rsidR="005351E5" w:rsidRPr="00A53AD7">
        <w:rPr>
          <w:rFonts w:ascii="Times New Roman" w:hAnsi="Times New Roman"/>
          <w:bCs/>
          <w:noProof/>
          <w:sz w:val="24"/>
          <w:szCs w:val="18"/>
        </w:rPr>
        <w:t>76</w:t>
      </w:r>
      <w:r w:rsidRPr="00A53AD7">
        <w:rPr>
          <w:rFonts w:ascii="Times New Roman" w:hAnsi="Times New Roman"/>
          <w:bCs/>
          <w:sz w:val="24"/>
          <w:szCs w:val="18"/>
        </w:rPr>
        <w:fldChar w:fldCharType="end"/>
      </w:r>
      <w:r w:rsidRPr="00A53AD7">
        <w:rPr>
          <w:rFonts w:ascii="Times New Roman" w:hAnsi="Times New Roman"/>
          <w:bCs/>
          <w:sz w:val="24"/>
          <w:szCs w:val="18"/>
        </w:rPr>
        <w:t>. Просроченная кредиторская задолженность в государственных учреждениях здравоохранения Архангельской области за счет средств обязательного медицинского страхования по аналитическим счетам синтетического счета 302 «Расчеты по принятым обязательствам» согласно отчету по ф. 0503769 за 2019 год, млн.руб.</w:t>
      </w:r>
    </w:p>
    <w:tbl>
      <w:tblPr>
        <w:tblW w:w="9122" w:type="dxa"/>
        <w:tblInd w:w="85" w:type="dxa"/>
        <w:tblLook w:val="04A0" w:firstRow="1" w:lastRow="0" w:firstColumn="1" w:lastColumn="0" w:noHBand="0" w:noVBand="1"/>
      </w:tblPr>
      <w:tblGrid>
        <w:gridCol w:w="516"/>
        <w:gridCol w:w="437"/>
        <w:gridCol w:w="4751"/>
        <w:gridCol w:w="1265"/>
        <w:gridCol w:w="1229"/>
        <w:gridCol w:w="924"/>
      </w:tblGrid>
      <w:tr w:rsidR="00D470B6" w:rsidRPr="00A53AD7" w14:paraId="259A54AD" w14:textId="77777777" w:rsidTr="00B50F08">
        <w:trPr>
          <w:trHeight w:val="29"/>
        </w:trPr>
        <w:tc>
          <w:tcPr>
            <w:tcW w:w="953" w:type="dxa"/>
            <w:gridSpan w:val="2"/>
            <w:tcBorders>
              <w:top w:val="double" w:sz="6" w:space="0" w:color="auto"/>
              <w:left w:val="double" w:sz="6" w:space="0" w:color="auto"/>
              <w:bottom w:val="single" w:sz="4" w:space="0" w:color="auto"/>
              <w:right w:val="single" w:sz="4" w:space="0" w:color="auto"/>
            </w:tcBorders>
            <w:shd w:val="clear" w:color="auto" w:fill="auto"/>
            <w:vAlign w:val="center"/>
            <w:hideMark/>
          </w:tcPr>
          <w:p w14:paraId="187EB493"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Счет</w:t>
            </w:r>
          </w:p>
        </w:tc>
        <w:tc>
          <w:tcPr>
            <w:tcW w:w="4751" w:type="dxa"/>
            <w:tcBorders>
              <w:top w:val="double" w:sz="6" w:space="0" w:color="auto"/>
              <w:left w:val="nil"/>
              <w:bottom w:val="single" w:sz="4" w:space="0" w:color="auto"/>
              <w:right w:val="single" w:sz="4" w:space="0" w:color="auto"/>
            </w:tcBorders>
            <w:shd w:val="clear" w:color="auto" w:fill="auto"/>
            <w:vAlign w:val="center"/>
            <w:hideMark/>
          </w:tcPr>
          <w:p w14:paraId="4FE22193"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Наименование</w:t>
            </w:r>
          </w:p>
        </w:tc>
        <w:tc>
          <w:tcPr>
            <w:tcW w:w="1265" w:type="dxa"/>
            <w:tcBorders>
              <w:top w:val="double" w:sz="6" w:space="0" w:color="auto"/>
              <w:left w:val="nil"/>
              <w:bottom w:val="single" w:sz="4" w:space="0" w:color="auto"/>
              <w:right w:val="single" w:sz="4" w:space="0" w:color="auto"/>
            </w:tcBorders>
            <w:shd w:val="clear" w:color="auto" w:fill="auto"/>
            <w:vAlign w:val="center"/>
            <w:hideMark/>
          </w:tcPr>
          <w:p w14:paraId="312EEAC1"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01.01.2019</w:t>
            </w:r>
          </w:p>
        </w:tc>
        <w:tc>
          <w:tcPr>
            <w:tcW w:w="1229" w:type="dxa"/>
            <w:tcBorders>
              <w:top w:val="double" w:sz="6" w:space="0" w:color="auto"/>
              <w:left w:val="nil"/>
              <w:bottom w:val="single" w:sz="4" w:space="0" w:color="auto"/>
              <w:right w:val="single" w:sz="4" w:space="0" w:color="auto"/>
            </w:tcBorders>
            <w:shd w:val="clear" w:color="auto" w:fill="auto"/>
            <w:vAlign w:val="center"/>
            <w:hideMark/>
          </w:tcPr>
          <w:p w14:paraId="6FF0CC98"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На 01.01.2020</w:t>
            </w:r>
          </w:p>
        </w:tc>
        <w:tc>
          <w:tcPr>
            <w:tcW w:w="924" w:type="dxa"/>
            <w:tcBorders>
              <w:top w:val="double" w:sz="6" w:space="0" w:color="auto"/>
              <w:left w:val="nil"/>
              <w:bottom w:val="single" w:sz="4" w:space="0" w:color="auto"/>
              <w:right w:val="double" w:sz="6" w:space="0" w:color="auto"/>
            </w:tcBorders>
            <w:shd w:val="clear" w:color="auto" w:fill="auto"/>
            <w:vAlign w:val="center"/>
            <w:hideMark/>
          </w:tcPr>
          <w:p w14:paraId="03E5E54C" w14:textId="77777777" w:rsidR="00B029F6" w:rsidRPr="00A53AD7" w:rsidRDefault="00B029F6" w:rsidP="00B029F6">
            <w:pPr>
              <w:spacing w:after="0" w:line="240" w:lineRule="auto"/>
              <w:jc w:val="center"/>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w:t>
            </w:r>
          </w:p>
        </w:tc>
      </w:tr>
      <w:tr w:rsidR="00D470B6" w:rsidRPr="00A53AD7" w14:paraId="5F205C4A"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2CAF2FF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57CEE1C7"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14</w:t>
            </w:r>
          </w:p>
        </w:tc>
        <w:tc>
          <w:tcPr>
            <w:tcW w:w="4751" w:type="dxa"/>
            <w:tcBorders>
              <w:top w:val="nil"/>
              <w:left w:val="nil"/>
              <w:bottom w:val="single" w:sz="4" w:space="0" w:color="auto"/>
              <w:right w:val="single" w:sz="4" w:space="0" w:color="auto"/>
            </w:tcBorders>
            <w:shd w:val="clear" w:color="auto" w:fill="auto"/>
            <w:vAlign w:val="center"/>
            <w:hideMark/>
          </w:tcPr>
          <w:p w14:paraId="36B87618"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прочим несоциальным выплатам персоналу в натуральной форме</w:t>
            </w:r>
          </w:p>
        </w:tc>
        <w:tc>
          <w:tcPr>
            <w:tcW w:w="1265" w:type="dxa"/>
            <w:tcBorders>
              <w:top w:val="nil"/>
              <w:left w:val="nil"/>
              <w:bottom w:val="single" w:sz="4" w:space="0" w:color="auto"/>
              <w:right w:val="single" w:sz="4" w:space="0" w:color="auto"/>
            </w:tcBorders>
            <w:shd w:val="clear" w:color="auto" w:fill="auto"/>
            <w:vAlign w:val="center"/>
          </w:tcPr>
          <w:p w14:paraId="5D9758A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p>
        </w:tc>
        <w:tc>
          <w:tcPr>
            <w:tcW w:w="1229" w:type="dxa"/>
            <w:tcBorders>
              <w:top w:val="nil"/>
              <w:left w:val="nil"/>
              <w:bottom w:val="single" w:sz="4" w:space="0" w:color="auto"/>
              <w:right w:val="single" w:sz="4" w:space="0" w:color="auto"/>
            </w:tcBorders>
            <w:shd w:val="clear" w:color="auto" w:fill="auto"/>
            <w:vAlign w:val="center"/>
            <w:hideMark/>
          </w:tcPr>
          <w:p w14:paraId="1230C1A8"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5,4 </w:t>
            </w:r>
          </w:p>
        </w:tc>
        <w:tc>
          <w:tcPr>
            <w:tcW w:w="924" w:type="dxa"/>
            <w:tcBorders>
              <w:top w:val="nil"/>
              <w:left w:val="nil"/>
              <w:bottom w:val="single" w:sz="4" w:space="0" w:color="auto"/>
              <w:right w:val="double" w:sz="6" w:space="0" w:color="auto"/>
            </w:tcBorders>
            <w:shd w:val="clear" w:color="auto" w:fill="auto"/>
            <w:vAlign w:val="center"/>
            <w:hideMark/>
          </w:tcPr>
          <w:p w14:paraId="73820C57"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5,4 </w:t>
            </w:r>
          </w:p>
        </w:tc>
      </w:tr>
      <w:tr w:rsidR="00D470B6" w:rsidRPr="00A53AD7" w14:paraId="628B21D2"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7781784B"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3CF0C74A"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22</w:t>
            </w:r>
          </w:p>
        </w:tc>
        <w:tc>
          <w:tcPr>
            <w:tcW w:w="4751" w:type="dxa"/>
            <w:tcBorders>
              <w:top w:val="nil"/>
              <w:left w:val="nil"/>
              <w:bottom w:val="single" w:sz="4" w:space="0" w:color="auto"/>
              <w:right w:val="single" w:sz="4" w:space="0" w:color="auto"/>
            </w:tcBorders>
            <w:shd w:val="clear" w:color="auto" w:fill="auto"/>
            <w:vAlign w:val="center"/>
            <w:hideMark/>
          </w:tcPr>
          <w:p w14:paraId="7C1A270A"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транспортным услугам</w:t>
            </w:r>
          </w:p>
        </w:tc>
        <w:tc>
          <w:tcPr>
            <w:tcW w:w="1265" w:type="dxa"/>
            <w:tcBorders>
              <w:top w:val="nil"/>
              <w:left w:val="nil"/>
              <w:bottom w:val="single" w:sz="4" w:space="0" w:color="auto"/>
              <w:right w:val="single" w:sz="4" w:space="0" w:color="auto"/>
            </w:tcBorders>
            <w:shd w:val="clear" w:color="auto" w:fill="auto"/>
            <w:vAlign w:val="center"/>
          </w:tcPr>
          <w:p w14:paraId="12589D9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p>
        </w:tc>
        <w:tc>
          <w:tcPr>
            <w:tcW w:w="1229" w:type="dxa"/>
            <w:tcBorders>
              <w:top w:val="nil"/>
              <w:left w:val="nil"/>
              <w:bottom w:val="single" w:sz="4" w:space="0" w:color="auto"/>
              <w:right w:val="single" w:sz="4" w:space="0" w:color="auto"/>
            </w:tcBorders>
            <w:shd w:val="clear" w:color="auto" w:fill="auto"/>
            <w:vAlign w:val="center"/>
            <w:hideMark/>
          </w:tcPr>
          <w:p w14:paraId="6CA1DC7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24" w:type="dxa"/>
            <w:tcBorders>
              <w:top w:val="nil"/>
              <w:left w:val="nil"/>
              <w:bottom w:val="single" w:sz="4" w:space="0" w:color="auto"/>
              <w:right w:val="double" w:sz="6" w:space="0" w:color="auto"/>
            </w:tcBorders>
            <w:shd w:val="clear" w:color="auto" w:fill="auto"/>
            <w:vAlign w:val="center"/>
            <w:hideMark/>
          </w:tcPr>
          <w:p w14:paraId="189335FE"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r>
      <w:tr w:rsidR="00D470B6" w:rsidRPr="00A53AD7" w14:paraId="3990E752"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0E9D593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45758533"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23</w:t>
            </w:r>
          </w:p>
        </w:tc>
        <w:tc>
          <w:tcPr>
            <w:tcW w:w="4751" w:type="dxa"/>
            <w:tcBorders>
              <w:top w:val="nil"/>
              <w:left w:val="nil"/>
              <w:bottom w:val="single" w:sz="4" w:space="0" w:color="auto"/>
              <w:right w:val="single" w:sz="4" w:space="0" w:color="auto"/>
            </w:tcBorders>
            <w:shd w:val="clear" w:color="auto" w:fill="auto"/>
            <w:vAlign w:val="center"/>
            <w:hideMark/>
          </w:tcPr>
          <w:p w14:paraId="4883E206"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коммунальным услугам</w:t>
            </w:r>
          </w:p>
        </w:tc>
        <w:tc>
          <w:tcPr>
            <w:tcW w:w="1265" w:type="dxa"/>
            <w:tcBorders>
              <w:top w:val="nil"/>
              <w:left w:val="nil"/>
              <w:bottom w:val="single" w:sz="4" w:space="0" w:color="auto"/>
              <w:right w:val="single" w:sz="4" w:space="0" w:color="auto"/>
            </w:tcBorders>
            <w:shd w:val="clear" w:color="auto" w:fill="auto"/>
            <w:vAlign w:val="center"/>
            <w:hideMark/>
          </w:tcPr>
          <w:p w14:paraId="0682DA9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0,0 </w:t>
            </w:r>
          </w:p>
        </w:tc>
        <w:tc>
          <w:tcPr>
            <w:tcW w:w="1229" w:type="dxa"/>
            <w:tcBorders>
              <w:top w:val="nil"/>
              <w:left w:val="nil"/>
              <w:bottom w:val="single" w:sz="4" w:space="0" w:color="auto"/>
              <w:right w:val="single" w:sz="4" w:space="0" w:color="auto"/>
            </w:tcBorders>
            <w:shd w:val="clear" w:color="auto" w:fill="auto"/>
            <w:vAlign w:val="center"/>
            <w:hideMark/>
          </w:tcPr>
          <w:p w14:paraId="6509C27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w:t>
            </w:r>
          </w:p>
        </w:tc>
        <w:tc>
          <w:tcPr>
            <w:tcW w:w="924" w:type="dxa"/>
            <w:tcBorders>
              <w:top w:val="nil"/>
              <w:left w:val="nil"/>
              <w:bottom w:val="single" w:sz="4" w:space="0" w:color="auto"/>
              <w:right w:val="double" w:sz="6" w:space="0" w:color="auto"/>
            </w:tcBorders>
            <w:shd w:val="clear" w:color="auto" w:fill="auto"/>
            <w:vAlign w:val="center"/>
            <w:hideMark/>
          </w:tcPr>
          <w:p w14:paraId="4275BAED"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1,4 </w:t>
            </w:r>
          </w:p>
        </w:tc>
      </w:tr>
      <w:tr w:rsidR="00D470B6" w:rsidRPr="00A53AD7" w14:paraId="7CD71DCE"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07070ABC"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34338EE3"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24</w:t>
            </w:r>
          </w:p>
        </w:tc>
        <w:tc>
          <w:tcPr>
            <w:tcW w:w="4751" w:type="dxa"/>
            <w:tcBorders>
              <w:top w:val="nil"/>
              <w:left w:val="nil"/>
              <w:bottom w:val="single" w:sz="4" w:space="0" w:color="auto"/>
              <w:right w:val="single" w:sz="4" w:space="0" w:color="auto"/>
            </w:tcBorders>
            <w:shd w:val="clear" w:color="auto" w:fill="auto"/>
            <w:vAlign w:val="center"/>
            <w:hideMark/>
          </w:tcPr>
          <w:p w14:paraId="38FD63F8"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арендной плате за пользование имуществом</w:t>
            </w:r>
          </w:p>
        </w:tc>
        <w:tc>
          <w:tcPr>
            <w:tcW w:w="1265" w:type="dxa"/>
            <w:tcBorders>
              <w:top w:val="nil"/>
              <w:left w:val="nil"/>
              <w:bottom w:val="single" w:sz="4" w:space="0" w:color="auto"/>
              <w:right w:val="single" w:sz="4" w:space="0" w:color="auto"/>
            </w:tcBorders>
            <w:shd w:val="clear" w:color="auto" w:fill="auto"/>
            <w:vAlign w:val="center"/>
            <w:hideMark/>
          </w:tcPr>
          <w:p w14:paraId="6BF10233"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c>
          <w:tcPr>
            <w:tcW w:w="1229" w:type="dxa"/>
            <w:tcBorders>
              <w:top w:val="nil"/>
              <w:left w:val="nil"/>
              <w:bottom w:val="single" w:sz="4" w:space="0" w:color="auto"/>
              <w:right w:val="single" w:sz="4" w:space="0" w:color="auto"/>
            </w:tcBorders>
            <w:shd w:val="clear" w:color="auto" w:fill="auto"/>
            <w:vAlign w:val="center"/>
            <w:hideMark/>
          </w:tcPr>
          <w:p w14:paraId="17EE47F4"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0,1 </w:t>
            </w:r>
          </w:p>
        </w:tc>
        <w:tc>
          <w:tcPr>
            <w:tcW w:w="924" w:type="dxa"/>
            <w:tcBorders>
              <w:top w:val="nil"/>
              <w:left w:val="nil"/>
              <w:bottom w:val="single" w:sz="4" w:space="0" w:color="auto"/>
              <w:right w:val="double" w:sz="6" w:space="0" w:color="auto"/>
            </w:tcBorders>
            <w:shd w:val="clear" w:color="auto" w:fill="auto"/>
            <w:vAlign w:val="center"/>
            <w:hideMark/>
          </w:tcPr>
          <w:p w14:paraId="2B4B24F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-0,4 </w:t>
            </w:r>
          </w:p>
        </w:tc>
      </w:tr>
      <w:tr w:rsidR="00D470B6" w:rsidRPr="00A53AD7" w14:paraId="61143FEC"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639F598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73397277"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25</w:t>
            </w:r>
          </w:p>
        </w:tc>
        <w:tc>
          <w:tcPr>
            <w:tcW w:w="4751" w:type="dxa"/>
            <w:tcBorders>
              <w:top w:val="nil"/>
              <w:left w:val="nil"/>
              <w:bottom w:val="single" w:sz="4" w:space="0" w:color="auto"/>
              <w:right w:val="single" w:sz="4" w:space="0" w:color="auto"/>
            </w:tcBorders>
            <w:shd w:val="clear" w:color="auto" w:fill="auto"/>
            <w:vAlign w:val="center"/>
            <w:hideMark/>
          </w:tcPr>
          <w:p w14:paraId="7DE93FCE"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работам, услугам по содержанию имущества</w:t>
            </w:r>
          </w:p>
        </w:tc>
        <w:tc>
          <w:tcPr>
            <w:tcW w:w="1265" w:type="dxa"/>
            <w:tcBorders>
              <w:top w:val="nil"/>
              <w:left w:val="nil"/>
              <w:bottom w:val="single" w:sz="4" w:space="0" w:color="auto"/>
              <w:right w:val="single" w:sz="4" w:space="0" w:color="auto"/>
            </w:tcBorders>
            <w:shd w:val="clear" w:color="auto" w:fill="auto"/>
            <w:vAlign w:val="center"/>
            <w:hideMark/>
          </w:tcPr>
          <w:p w14:paraId="7841B65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0,9 </w:t>
            </w:r>
          </w:p>
        </w:tc>
        <w:tc>
          <w:tcPr>
            <w:tcW w:w="1229" w:type="dxa"/>
            <w:tcBorders>
              <w:top w:val="nil"/>
              <w:left w:val="nil"/>
              <w:bottom w:val="single" w:sz="4" w:space="0" w:color="auto"/>
              <w:right w:val="single" w:sz="4" w:space="0" w:color="auto"/>
            </w:tcBorders>
            <w:shd w:val="clear" w:color="auto" w:fill="auto"/>
            <w:vAlign w:val="center"/>
            <w:hideMark/>
          </w:tcPr>
          <w:p w14:paraId="0BFD5F8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3,6 </w:t>
            </w:r>
          </w:p>
        </w:tc>
        <w:tc>
          <w:tcPr>
            <w:tcW w:w="924" w:type="dxa"/>
            <w:tcBorders>
              <w:top w:val="nil"/>
              <w:left w:val="nil"/>
              <w:bottom w:val="single" w:sz="4" w:space="0" w:color="auto"/>
              <w:right w:val="double" w:sz="6" w:space="0" w:color="auto"/>
            </w:tcBorders>
            <w:shd w:val="clear" w:color="auto" w:fill="auto"/>
            <w:vAlign w:val="center"/>
            <w:hideMark/>
          </w:tcPr>
          <w:p w14:paraId="1247A1B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2,7 </w:t>
            </w:r>
          </w:p>
        </w:tc>
      </w:tr>
      <w:tr w:rsidR="00D470B6" w:rsidRPr="00A53AD7" w14:paraId="2C36A809"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60E53B64"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5524526E"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26</w:t>
            </w:r>
          </w:p>
        </w:tc>
        <w:tc>
          <w:tcPr>
            <w:tcW w:w="4751" w:type="dxa"/>
            <w:tcBorders>
              <w:top w:val="nil"/>
              <w:left w:val="nil"/>
              <w:bottom w:val="single" w:sz="4" w:space="0" w:color="auto"/>
              <w:right w:val="single" w:sz="4" w:space="0" w:color="auto"/>
            </w:tcBorders>
            <w:shd w:val="clear" w:color="auto" w:fill="auto"/>
            <w:vAlign w:val="center"/>
            <w:hideMark/>
          </w:tcPr>
          <w:p w14:paraId="6D7B1D66"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прочим работам, услугам</w:t>
            </w:r>
          </w:p>
        </w:tc>
        <w:tc>
          <w:tcPr>
            <w:tcW w:w="1265" w:type="dxa"/>
            <w:tcBorders>
              <w:top w:val="nil"/>
              <w:left w:val="nil"/>
              <w:bottom w:val="single" w:sz="4" w:space="0" w:color="auto"/>
              <w:right w:val="single" w:sz="4" w:space="0" w:color="auto"/>
            </w:tcBorders>
            <w:shd w:val="clear" w:color="auto" w:fill="auto"/>
            <w:vAlign w:val="center"/>
            <w:hideMark/>
          </w:tcPr>
          <w:p w14:paraId="2723D149"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10,5 </w:t>
            </w:r>
          </w:p>
        </w:tc>
        <w:tc>
          <w:tcPr>
            <w:tcW w:w="1229" w:type="dxa"/>
            <w:tcBorders>
              <w:top w:val="nil"/>
              <w:left w:val="nil"/>
              <w:bottom w:val="single" w:sz="4" w:space="0" w:color="auto"/>
              <w:right w:val="single" w:sz="4" w:space="0" w:color="auto"/>
            </w:tcBorders>
            <w:shd w:val="clear" w:color="auto" w:fill="auto"/>
            <w:vAlign w:val="center"/>
            <w:hideMark/>
          </w:tcPr>
          <w:p w14:paraId="2420A17B"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8,8 </w:t>
            </w:r>
          </w:p>
        </w:tc>
        <w:tc>
          <w:tcPr>
            <w:tcW w:w="924" w:type="dxa"/>
            <w:tcBorders>
              <w:top w:val="nil"/>
              <w:left w:val="nil"/>
              <w:bottom w:val="single" w:sz="4" w:space="0" w:color="auto"/>
              <w:right w:val="double" w:sz="6" w:space="0" w:color="auto"/>
            </w:tcBorders>
            <w:shd w:val="clear" w:color="auto" w:fill="auto"/>
            <w:vAlign w:val="center"/>
            <w:hideMark/>
          </w:tcPr>
          <w:p w14:paraId="12DFBBD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-1,8 </w:t>
            </w:r>
          </w:p>
        </w:tc>
      </w:tr>
      <w:tr w:rsidR="00D470B6" w:rsidRPr="00A53AD7" w14:paraId="40D3A1ED"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47D93530"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72DA5D0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31</w:t>
            </w:r>
          </w:p>
        </w:tc>
        <w:tc>
          <w:tcPr>
            <w:tcW w:w="4751" w:type="dxa"/>
            <w:tcBorders>
              <w:top w:val="nil"/>
              <w:left w:val="nil"/>
              <w:bottom w:val="single" w:sz="4" w:space="0" w:color="auto"/>
              <w:right w:val="single" w:sz="4" w:space="0" w:color="auto"/>
            </w:tcBorders>
            <w:shd w:val="clear" w:color="auto" w:fill="auto"/>
            <w:vAlign w:val="center"/>
            <w:hideMark/>
          </w:tcPr>
          <w:p w14:paraId="3E30F47F"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приобретению основных средств</w:t>
            </w:r>
          </w:p>
        </w:tc>
        <w:tc>
          <w:tcPr>
            <w:tcW w:w="1265" w:type="dxa"/>
            <w:tcBorders>
              <w:top w:val="nil"/>
              <w:left w:val="nil"/>
              <w:bottom w:val="single" w:sz="4" w:space="0" w:color="auto"/>
              <w:right w:val="single" w:sz="4" w:space="0" w:color="auto"/>
            </w:tcBorders>
            <w:shd w:val="clear" w:color="auto" w:fill="auto"/>
            <w:vAlign w:val="center"/>
            <w:hideMark/>
          </w:tcPr>
          <w:p w14:paraId="7720834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p>
        </w:tc>
        <w:tc>
          <w:tcPr>
            <w:tcW w:w="1229" w:type="dxa"/>
            <w:tcBorders>
              <w:top w:val="nil"/>
              <w:left w:val="nil"/>
              <w:bottom w:val="single" w:sz="4" w:space="0" w:color="auto"/>
              <w:right w:val="single" w:sz="4" w:space="0" w:color="auto"/>
            </w:tcBorders>
            <w:shd w:val="clear" w:color="auto" w:fill="auto"/>
            <w:vAlign w:val="center"/>
            <w:hideMark/>
          </w:tcPr>
          <w:p w14:paraId="35591E26"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c>
          <w:tcPr>
            <w:tcW w:w="924" w:type="dxa"/>
            <w:tcBorders>
              <w:top w:val="nil"/>
              <w:left w:val="nil"/>
              <w:bottom w:val="single" w:sz="4" w:space="0" w:color="auto"/>
              <w:right w:val="double" w:sz="6" w:space="0" w:color="auto"/>
            </w:tcBorders>
            <w:shd w:val="clear" w:color="auto" w:fill="auto"/>
            <w:vAlign w:val="center"/>
            <w:hideMark/>
          </w:tcPr>
          <w:p w14:paraId="36E66C40"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0,5 </w:t>
            </w:r>
          </w:p>
        </w:tc>
      </w:tr>
      <w:tr w:rsidR="00D470B6" w:rsidRPr="00A53AD7" w14:paraId="0B6423F5" w14:textId="77777777" w:rsidTr="00B50F08">
        <w:trPr>
          <w:trHeight w:val="64"/>
        </w:trPr>
        <w:tc>
          <w:tcPr>
            <w:tcW w:w="516" w:type="dxa"/>
            <w:tcBorders>
              <w:top w:val="nil"/>
              <w:left w:val="double" w:sz="6" w:space="0" w:color="auto"/>
              <w:bottom w:val="single" w:sz="4" w:space="0" w:color="auto"/>
              <w:right w:val="single" w:sz="4" w:space="0" w:color="auto"/>
            </w:tcBorders>
            <w:shd w:val="clear" w:color="auto" w:fill="auto"/>
            <w:vAlign w:val="center"/>
            <w:hideMark/>
          </w:tcPr>
          <w:p w14:paraId="11F7D04D"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302</w:t>
            </w:r>
          </w:p>
        </w:tc>
        <w:tc>
          <w:tcPr>
            <w:tcW w:w="437" w:type="dxa"/>
            <w:tcBorders>
              <w:top w:val="nil"/>
              <w:left w:val="nil"/>
              <w:bottom w:val="single" w:sz="4" w:space="0" w:color="auto"/>
              <w:right w:val="single" w:sz="4" w:space="0" w:color="auto"/>
            </w:tcBorders>
            <w:shd w:val="clear" w:color="auto" w:fill="auto"/>
            <w:vAlign w:val="center"/>
            <w:hideMark/>
          </w:tcPr>
          <w:p w14:paraId="6AFECD39"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34</w:t>
            </w:r>
          </w:p>
        </w:tc>
        <w:tc>
          <w:tcPr>
            <w:tcW w:w="4751" w:type="dxa"/>
            <w:tcBorders>
              <w:top w:val="nil"/>
              <w:left w:val="nil"/>
              <w:bottom w:val="single" w:sz="4" w:space="0" w:color="auto"/>
              <w:right w:val="single" w:sz="4" w:space="0" w:color="auto"/>
            </w:tcBorders>
            <w:shd w:val="clear" w:color="auto" w:fill="auto"/>
            <w:vAlign w:val="center"/>
            <w:hideMark/>
          </w:tcPr>
          <w:p w14:paraId="4C13E6D6" w14:textId="77777777" w:rsidR="00B029F6" w:rsidRPr="00A53AD7" w:rsidRDefault="00B029F6" w:rsidP="00B029F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Расчеты по приобретению материальных запасов</w:t>
            </w:r>
          </w:p>
        </w:tc>
        <w:tc>
          <w:tcPr>
            <w:tcW w:w="1265" w:type="dxa"/>
            <w:tcBorders>
              <w:top w:val="nil"/>
              <w:left w:val="nil"/>
              <w:bottom w:val="single" w:sz="4" w:space="0" w:color="auto"/>
              <w:right w:val="single" w:sz="4" w:space="0" w:color="auto"/>
            </w:tcBorders>
            <w:shd w:val="clear" w:color="auto" w:fill="auto"/>
            <w:vAlign w:val="center"/>
            <w:hideMark/>
          </w:tcPr>
          <w:p w14:paraId="328B8592"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58,7 </w:t>
            </w:r>
          </w:p>
        </w:tc>
        <w:tc>
          <w:tcPr>
            <w:tcW w:w="1229" w:type="dxa"/>
            <w:tcBorders>
              <w:top w:val="nil"/>
              <w:left w:val="nil"/>
              <w:bottom w:val="single" w:sz="4" w:space="0" w:color="auto"/>
              <w:right w:val="single" w:sz="4" w:space="0" w:color="auto"/>
            </w:tcBorders>
            <w:shd w:val="clear" w:color="auto" w:fill="auto"/>
            <w:vAlign w:val="center"/>
            <w:hideMark/>
          </w:tcPr>
          <w:p w14:paraId="2D90061C"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68,8 </w:t>
            </w:r>
          </w:p>
        </w:tc>
        <w:tc>
          <w:tcPr>
            <w:tcW w:w="924" w:type="dxa"/>
            <w:tcBorders>
              <w:top w:val="nil"/>
              <w:left w:val="nil"/>
              <w:bottom w:val="single" w:sz="4" w:space="0" w:color="auto"/>
              <w:right w:val="double" w:sz="6" w:space="0" w:color="auto"/>
            </w:tcBorders>
            <w:shd w:val="clear" w:color="auto" w:fill="auto"/>
            <w:vAlign w:val="center"/>
            <w:hideMark/>
          </w:tcPr>
          <w:p w14:paraId="0947325F" w14:textId="77777777" w:rsidR="00B029F6" w:rsidRPr="00A53AD7" w:rsidRDefault="00B029F6" w:rsidP="00B029F6">
            <w:pPr>
              <w:spacing w:after="0" w:line="240" w:lineRule="auto"/>
              <w:jc w:val="right"/>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10,1 </w:t>
            </w:r>
          </w:p>
        </w:tc>
      </w:tr>
      <w:tr w:rsidR="00B029F6" w:rsidRPr="00A53AD7" w14:paraId="703492C8" w14:textId="77777777" w:rsidTr="00B50F08">
        <w:trPr>
          <w:trHeight w:val="64"/>
        </w:trPr>
        <w:tc>
          <w:tcPr>
            <w:tcW w:w="5704" w:type="dxa"/>
            <w:gridSpan w:val="3"/>
            <w:tcBorders>
              <w:top w:val="single" w:sz="4" w:space="0" w:color="auto"/>
              <w:left w:val="double" w:sz="6" w:space="0" w:color="auto"/>
              <w:bottom w:val="double" w:sz="6" w:space="0" w:color="auto"/>
              <w:right w:val="single" w:sz="4" w:space="0" w:color="000000"/>
            </w:tcBorders>
            <w:shd w:val="clear" w:color="auto" w:fill="auto"/>
            <w:vAlign w:val="center"/>
            <w:hideMark/>
          </w:tcPr>
          <w:p w14:paraId="1BC41F62" w14:textId="77777777" w:rsidR="00B029F6" w:rsidRPr="00A53AD7" w:rsidRDefault="00B029F6" w:rsidP="00B029F6">
            <w:pPr>
              <w:spacing w:after="0" w:line="240" w:lineRule="auto"/>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Итого</w:t>
            </w:r>
          </w:p>
        </w:tc>
        <w:tc>
          <w:tcPr>
            <w:tcW w:w="1265" w:type="dxa"/>
            <w:tcBorders>
              <w:top w:val="nil"/>
              <w:left w:val="nil"/>
              <w:bottom w:val="double" w:sz="6" w:space="0" w:color="auto"/>
              <w:right w:val="single" w:sz="4" w:space="0" w:color="auto"/>
            </w:tcBorders>
            <w:shd w:val="clear" w:color="auto" w:fill="auto"/>
            <w:vAlign w:val="center"/>
            <w:hideMark/>
          </w:tcPr>
          <w:p w14:paraId="4DF4C0FA"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70,6 </w:t>
            </w:r>
          </w:p>
        </w:tc>
        <w:tc>
          <w:tcPr>
            <w:tcW w:w="1229" w:type="dxa"/>
            <w:tcBorders>
              <w:top w:val="nil"/>
              <w:left w:val="nil"/>
              <w:bottom w:val="double" w:sz="6" w:space="0" w:color="auto"/>
              <w:right w:val="single" w:sz="4" w:space="0" w:color="auto"/>
            </w:tcBorders>
            <w:shd w:val="clear" w:color="auto" w:fill="auto"/>
            <w:vAlign w:val="center"/>
            <w:hideMark/>
          </w:tcPr>
          <w:p w14:paraId="419C1082"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88,6 </w:t>
            </w:r>
          </w:p>
        </w:tc>
        <w:tc>
          <w:tcPr>
            <w:tcW w:w="924" w:type="dxa"/>
            <w:tcBorders>
              <w:top w:val="nil"/>
              <w:left w:val="nil"/>
              <w:bottom w:val="double" w:sz="6" w:space="0" w:color="auto"/>
              <w:right w:val="double" w:sz="6" w:space="0" w:color="auto"/>
            </w:tcBorders>
            <w:shd w:val="clear" w:color="auto" w:fill="auto"/>
            <w:vAlign w:val="center"/>
            <w:hideMark/>
          </w:tcPr>
          <w:p w14:paraId="1B323554" w14:textId="77777777" w:rsidR="00B029F6" w:rsidRPr="00A53AD7" w:rsidRDefault="00B029F6" w:rsidP="00B029F6">
            <w:pPr>
              <w:spacing w:after="0" w:line="240" w:lineRule="auto"/>
              <w:jc w:val="right"/>
              <w:rPr>
                <w:rFonts w:ascii="Times New Roman" w:eastAsia="Times New Roman" w:hAnsi="Times New Roman"/>
                <w:b/>
                <w:bCs/>
                <w:sz w:val="20"/>
                <w:szCs w:val="20"/>
                <w:lang w:eastAsia="ru-RU"/>
              </w:rPr>
            </w:pPr>
            <w:r w:rsidRPr="00A53AD7">
              <w:rPr>
                <w:rFonts w:ascii="Times New Roman" w:eastAsia="Times New Roman" w:hAnsi="Times New Roman"/>
                <w:b/>
                <w:bCs/>
                <w:sz w:val="20"/>
                <w:szCs w:val="20"/>
                <w:lang w:eastAsia="ru-RU"/>
              </w:rPr>
              <w:t xml:space="preserve">18,0 </w:t>
            </w:r>
          </w:p>
        </w:tc>
      </w:tr>
    </w:tbl>
    <w:p w14:paraId="2BEFF67F" w14:textId="77777777" w:rsidR="00B029F6" w:rsidRPr="00A53AD7" w:rsidRDefault="00B029F6" w:rsidP="00B029F6">
      <w:pPr>
        <w:spacing w:after="0" w:line="240" w:lineRule="auto"/>
        <w:ind w:firstLine="851"/>
        <w:jc w:val="both"/>
        <w:rPr>
          <w:rFonts w:ascii="Times New Roman" w:hAnsi="Times New Roman"/>
          <w:sz w:val="16"/>
          <w:szCs w:val="16"/>
        </w:rPr>
      </w:pPr>
    </w:p>
    <w:p w14:paraId="2FD03915" w14:textId="4D064B1E"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связи с вышеизложенным полагаем необходимым предложить Правительству Архангельской области </w:t>
      </w:r>
      <w:r w:rsidR="00FD2641" w:rsidRPr="00A53AD7">
        <w:rPr>
          <w:rFonts w:ascii="Times New Roman" w:hAnsi="Times New Roman"/>
          <w:sz w:val="28"/>
          <w:szCs w:val="28"/>
        </w:rPr>
        <w:t>продолжить принятие</w:t>
      </w:r>
      <w:r w:rsidRPr="00A53AD7">
        <w:rPr>
          <w:rFonts w:ascii="Times New Roman" w:hAnsi="Times New Roman"/>
          <w:sz w:val="28"/>
          <w:szCs w:val="28"/>
        </w:rPr>
        <w:t xml:space="preserve"> дополнительны</w:t>
      </w:r>
      <w:r w:rsidR="00FD2641" w:rsidRPr="00A53AD7">
        <w:rPr>
          <w:rFonts w:ascii="Times New Roman" w:hAnsi="Times New Roman"/>
          <w:sz w:val="28"/>
          <w:szCs w:val="28"/>
        </w:rPr>
        <w:t>х</w:t>
      </w:r>
      <w:r w:rsidRPr="00A53AD7">
        <w:rPr>
          <w:rFonts w:ascii="Times New Roman" w:hAnsi="Times New Roman"/>
          <w:sz w:val="28"/>
          <w:szCs w:val="28"/>
        </w:rPr>
        <w:t xml:space="preserve"> мер по сокращению просроченной кредиторской задолженности государственных бюджетных и автономных учреждений, а также по недопущению принятия расходных обязательств, не обеспеченных соответствующими источниками финансирования. Данный факт особенно актуален в части </w:t>
      </w:r>
      <w:r w:rsidR="00B65884" w:rsidRPr="00A53AD7">
        <w:rPr>
          <w:rFonts w:ascii="Times New Roman" w:hAnsi="Times New Roman"/>
          <w:sz w:val="28"/>
          <w:szCs w:val="28"/>
        </w:rPr>
        <w:t xml:space="preserve">задолженности за счет </w:t>
      </w:r>
      <w:r w:rsidRPr="00A53AD7">
        <w:rPr>
          <w:rFonts w:ascii="Times New Roman" w:hAnsi="Times New Roman"/>
          <w:sz w:val="28"/>
          <w:szCs w:val="28"/>
        </w:rPr>
        <w:t>средств ОМС, рост которой наблюдается в течение последний 3-х финансовых лет, но сокращается к концу года.</w:t>
      </w:r>
    </w:p>
    <w:p w14:paraId="622AB763" w14:textId="77777777" w:rsidR="00B029F6" w:rsidRPr="00A53AD7" w:rsidRDefault="00B029F6" w:rsidP="00B029F6">
      <w:pPr>
        <w:spacing w:after="0" w:line="240" w:lineRule="auto"/>
        <w:ind w:firstLine="851"/>
        <w:jc w:val="both"/>
        <w:rPr>
          <w:rFonts w:ascii="Times New Roman" w:hAnsi="Times New Roman"/>
          <w:sz w:val="28"/>
          <w:szCs w:val="28"/>
        </w:rPr>
      </w:pPr>
      <w:r w:rsidRPr="00A53AD7">
        <w:rPr>
          <w:rFonts w:ascii="Times New Roman" w:hAnsi="Times New Roman"/>
          <w:sz w:val="28"/>
          <w:szCs w:val="28"/>
        </w:rPr>
        <w:t>Одновременно с этим, в очередной раз обращаем внимание, что в соответствии со ст. 15.11 КоАП РФ за грубое нарушение требований к составлению бухгалтерской (финансовой) отчетности, включая неотражение или занижение показателей о просроченной дебиторской либо кредиторской задолженностей, предусмотрена административная ответственность.</w:t>
      </w:r>
    </w:p>
    <w:p w14:paraId="6147BA7E" w14:textId="56B50DFF" w:rsidR="00EA44DD" w:rsidRPr="00A53AD7" w:rsidRDefault="00823162" w:rsidP="00C11380">
      <w:pPr>
        <w:pStyle w:val="10"/>
        <w:keepNext/>
        <w:keepLines/>
        <w:autoSpaceDE/>
        <w:autoSpaceDN/>
        <w:adjustRightInd/>
        <w:spacing w:before="240" w:after="120"/>
        <w:rPr>
          <w:rFonts w:ascii="Times New Roman" w:hAnsi="Times New Roman"/>
          <w:color w:val="auto"/>
          <w:sz w:val="28"/>
          <w:szCs w:val="28"/>
          <w:lang w:val="ru-RU" w:eastAsia="en-US"/>
        </w:rPr>
      </w:pPr>
      <w:bookmarkStart w:id="123" w:name="_Toc42006759"/>
      <w:r w:rsidRPr="00A53AD7">
        <w:rPr>
          <w:rFonts w:ascii="Times New Roman" w:hAnsi="Times New Roman"/>
          <w:color w:val="auto"/>
          <w:sz w:val="28"/>
          <w:szCs w:val="28"/>
          <w:lang w:val="ru-RU" w:eastAsia="en-US"/>
        </w:rPr>
        <w:t>6</w:t>
      </w:r>
      <w:r w:rsidR="00E53868" w:rsidRPr="00A53AD7">
        <w:rPr>
          <w:rFonts w:ascii="Times New Roman" w:hAnsi="Times New Roman"/>
          <w:color w:val="auto"/>
          <w:sz w:val="28"/>
          <w:szCs w:val="28"/>
          <w:lang w:val="ru-RU" w:eastAsia="en-US"/>
        </w:rPr>
        <w:t>.</w:t>
      </w:r>
      <w:r w:rsidR="00C11380" w:rsidRPr="00A53AD7">
        <w:rPr>
          <w:rFonts w:ascii="Times New Roman" w:hAnsi="Times New Roman"/>
          <w:color w:val="auto"/>
          <w:sz w:val="28"/>
          <w:szCs w:val="28"/>
          <w:lang w:val="ru-RU" w:eastAsia="en-US"/>
        </w:rPr>
        <w:t xml:space="preserve"> </w:t>
      </w:r>
      <w:r w:rsidR="006E2D08" w:rsidRPr="00A53AD7">
        <w:rPr>
          <w:rFonts w:ascii="Times New Roman" w:hAnsi="Times New Roman"/>
          <w:color w:val="auto"/>
          <w:sz w:val="28"/>
          <w:szCs w:val="28"/>
          <w:lang w:val="ru-RU" w:eastAsia="en-US"/>
        </w:rPr>
        <w:t>Состояние г</w:t>
      </w:r>
      <w:r w:rsidR="00C11380" w:rsidRPr="00A53AD7">
        <w:rPr>
          <w:rFonts w:ascii="Times New Roman" w:hAnsi="Times New Roman"/>
          <w:color w:val="auto"/>
          <w:sz w:val="28"/>
          <w:szCs w:val="28"/>
          <w:lang w:val="ru-RU" w:eastAsia="en-US"/>
        </w:rPr>
        <w:t>осударственн</w:t>
      </w:r>
      <w:r w:rsidR="006E2D08" w:rsidRPr="00A53AD7">
        <w:rPr>
          <w:rFonts w:ascii="Times New Roman" w:hAnsi="Times New Roman"/>
          <w:color w:val="auto"/>
          <w:sz w:val="28"/>
          <w:szCs w:val="28"/>
          <w:lang w:val="ru-RU" w:eastAsia="en-US"/>
        </w:rPr>
        <w:t>ого</w:t>
      </w:r>
      <w:r w:rsidR="00C11380" w:rsidRPr="00A53AD7">
        <w:rPr>
          <w:rFonts w:ascii="Times New Roman" w:hAnsi="Times New Roman"/>
          <w:color w:val="auto"/>
          <w:sz w:val="28"/>
          <w:szCs w:val="28"/>
          <w:lang w:val="ru-RU" w:eastAsia="en-US"/>
        </w:rPr>
        <w:t xml:space="preserve"> </w:t>
      </w:r>
      <w:r w:rsidR="00813586" w:rsidRPr="00A53AD7">
        <w:rPr>
          <w:rFonts w:ascii="Times New Roman" w:hAnsi="Times New Roman"/>
          <w:color w:val="auto"/>
          <w:sz w:val="28"/>
          <w:szCs w:val="28"/>
          <w:lang w:val="ru-RU" w:eastAsia="en-US"/>
        </w:rPr>
        <w:t xml:space="preserve">внутреннего </w:t>
      </w:r>
      <w:r w:rsidR="00C11380" w:rsidRPr="00A53AD7">
        <w:rPr>
          <w:rFonts w:ascii="Times New Roman" w:hAnsi="Times New Roman"/>
          <w:color w:val="auto"/>
          <w:sz w:val="28"/>
          <w:szCs w:val="28"/>
          <w:lang w:val="ru-RU" w:eastAsia="en-US"/>
        </w:rPr>
        <w:t>долг</w:t>
      </w:r>
      <w:r w:rsidR="006E2D08" w:rsidRPr="00A53AD7">
        <w:rPr>
          <w:rFonts w:ascii="Times New Roman" w:hAnsi="Times New Roman"/>
          <w:color w:val="auto"/>
          <w:sz w:val="28"/>
          <w:szCs w:val="28"/>
          <w:lang w:val="ru-RU" w:eastAsia="en-US"/>
        </w:rPr>
        <w:t>а</w:t>
      </w:r>
      <w:r w:rsidR="00C11380" w:rsidRPr="00A53AD7">
        <w:rPr>
          <w:rFonts w:ascii="Times New Roman" w:hAnsi="Times New Roman"/>
          <w:color w:val="auto"/>
          <w:sz w:val="28"/>
          <w:szCs w:val="28"/>
          <w:lang w:val="ru-RU" w:eastAsia="en-US"/>
        </w:rPr>
        <w:t xml:space="preserve"> Архангельской области</w:t>
      </w:r>
      <w:bookmarkEnd w:id="123"/>
    </w:p>
    <w:p w14:paraId="17CA69B7" w14:textId="0420C6CE" w:rsidR="00650B79" w:rsidRPr="00A53AD7" w:rsidRDefault="0026227D"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представленному отчету государственны</w:t>
      </w:r>
      <w:r w:rsidR="003E7891" w:rsidRPr="00A53AD7">
        <w:rPr>
          <w:rFonts w:ascii="Times New Roman" w:hAnsi="Times New Roman"/>
          <w:sz w:val="28"/>
          <w:szCs w:val="28"/>
        </w:rPr>
        <w:t>й</w:t>
      </w:r>
      <w:r w:rsidRPr="00A53AD7">
        <w:rPr>
          <w:rFonts w:ascii="Times New Roman" w:hAnsi="Times New Roman"/>
          <w:sz w:val="28"/>
          <w:szCs w:val="28"/>
        </w:rPr>
        <w:t xml:space="preserve"> </w:t>
      </w:r>
      <w:r w:rsidR="003E7891" w:rsidRPr="00A53AD7">
        <w:rPr>
          <w:rFonts w:ascii="Times New Roman" w:hAnsi="Times New Roman"/>
          <w:sz w:val="28"/>
          <w:szCs w:val="28"/>
        </w:rPr>
        <w:t>внутренний долг</w:t>
      </w:r>
      <w:r w:rsidRPr="00A53AD7">
        <w:rPr>
          <w:rFonts w:ascii="Times New Roman" w:hAnsi="Times New Roman"/>
          <w:sz w:val="28"/>
          <w:szCs w:val="28"/>
        </w:rPr>
        <w:t xml:space="preserve"> Архангельской области </w:t>
      </w:r>
      <w:r w:rsidR="00650B79" w:rsidRPr="00A53AD7">
        <w:rPr>
          <w:rFonts w:ascii="Times New Roman" w:hAnsi="Times New Roman"/>
          <w:sz w:val="28"/>
          <w:szCs w:val="28"/>
        </w:rPr>
        <w:t>на 01.01.20</w:t>
      </w:r>
      <w:r w:rsidR="006F070D" w:rsidRPr="00A53AD7">
        <w:rPr>
          <w:rFonts w:ascii="Times New Roman" w:hAnsi="Times New Roman"/>
          <w:sz w:val="28"/>
          <w:szCs w:val="28"/>
        </w:rPr>
        <w:t>20</w:t>
      </w:r>
      <w:r w:rsidR="00650B79" w:rsidRPr="00A53AD7">
        <w:rPr>
          <w:rFonts w:ascii="Times New Roman" w:hAnsi="Times New Roman"/>
          <w:sz w:val="28"/>
          <w:szCs w:val="28"/>
        </w:rPr>
        <w:t xml:space="preserve"> </w:t>
      </w:r>
      <w:r w:rsidR="003E7891" w:rsidRPr="00A53AD7">
        <w:rPr>
          <w:rFonts w:ascii="Times New Roman" w:hAnsi="Times New Roman"/>
          <w:sz w:val="28"/>
          <w:szCs w:val="28"/>
        </w:rPr>
        <w:t xml:space="preserve">составил </w:t>
      </w:r>
      <w:r w:rsidRPr="00A53AD7">
        <w:rPr>
          <w:rFonts w:ascii="Times New Roman" w:hAnsi="Times New Roman"/>
          <w:sz w:val="28"/>
          <w:szCs w:val="28"/>
        </w:rPr>
        <w:t>в сумме</w:t>
      </w:r>
      <w:r w:rsidR="00650B79" w:rsidRPr="00A53AD7">
        <w:rPr>
          <w:rFonts w:ascii="Times New Roman" w:hAnsi="Times New Roman"/>
          <w:sz w:val="28"/>
          <w:szCs w:val="28"/>
        </w:rPr>
        <w:t xml:space="preserve"> </w:t>
      </w:r>
      <w:r w:rsidR="002B4C90" w:rsidRPr="00A53AD7">
        <w:rPr>
          <w:rFonts w:ascii="Times New Roman" w:hAnsi="Times New Roman"/>
          <w:sz w:val="28"/>
          <w:szCs w:val="28"/>
        </w:rPr>
        <w:t>3</w:t>
      </w:r>
      <w:r w:rsidR="00AA512F" w:rsidRPr="00A53AD7">
        <w:rPr>
          <w:rFonts w:ascii="Times New Roman" w:hAnsi="Times New Roman"/>
          <w:sz w:val="28"/>
          <w:szCs w:val="28"/>
        </w:rPr>
        <w:t>3 971,6</w:t>
      </w:r>
      <w:r w:rsidR="00650B79" w:rsidRPr="00A53AD7">
        <w:rPr>
          <w:rFonts w:ascii="Times New Roman" w:hAnsi="Times New Roman"/>
          <w:sz w:val="28"/>
          <w:szCs w:val="28"/>
        </w:rPr>
        <w:t xml:space="preserve"> млн.руб.</w:t>
      </w:r>
      <w:r w:rsidR="00AE5E7A" w:rsidRPr="00A53AD7">
        <w:rPr>
          <w:rFonts w:ascii="Times New Roman" w:hAnsi="Times New Roman"/>
          <w:sz w:val="28"/>
          <w:szCs w:val="28"/>
        </w:rPr>
        <w:t>, что соответствует данным</w:t>
      </w:r>
      <w:r w:rsidR="00650B79" w:rsidRPr="00A53AD7">
        <w:rPr>
          <w:rFonts w:ascii="Times New Roman" w:hAnsi="Times New Roman"/>
          <w:sz w:val="28"/>
          <w:szCs w:val="28"/>
        </w:rPr>
        <w:t xml:space="preserve"> </w:t>
      </w:r>
      <w:r w:rsidR="00910DB2" w:rsidRPr="00A53AD7">
        <w:rPr>
          <w:rFonts w:ascii="Times New Roman" w:hAnsi="Times New Roman"/>
          <w:sz w:val="28"/>
          <w:szCs w:val="28"/>
        </w:rPr>
        <w:t xml:space="preserve">Баланса исполнения </w:t>
      </w:r>
      <w:r w:rsidR="00795EF1" w:rsidRPr="00A53AD7">
        <w:rPr>
          <w:rFonts w:ascii="Times New Roman" w:hAnsi="Times New Roman"/>
          <w:sz w:val="28"/>
          <w:szCs w:val="28"/>
        </w:rPr>
        <w:t xml:space="preserve">консолидированного </w:t>
      </w:r>
      <w:r w:rsidR="00910DB2" w:rsidRPr="00A53AD7">
        <w:rPr>
          <w:rFonts w:ascii="Times New Roman" w:hAnsi="Times New Roman"/>
          <w:sz w:val="28"/>
          <w:szCs w:val="28"/>
        </w:rPr>
        <w:t>бюджета</w:t>
      </w:r>
      <w:r w:rsidR="00795EF1" w:rsidRPr="00A53AD7">
        <w:rPr>
          <w:rFonts w:ascii="Times New Roman" w:hAnsi="Times New Roman"/>
          <w:sz w:val="28"/>
          <w:szCs w:val="28"/>
        </w:rPr>
        <w:t>…</w:t>
      </w:r>
      <w:r w:rsidR="004E7975" w:rsidRPr="00A53AD7">
        <w:rPr>
          <w:rFonts w:ascii="Times New Roman" w:hAnsi="Times New Roman"/>
          <w:sz w:val="28"/>
          <w:szCs w:val="28"/>
        </w:rPr>
        <w:t xml:space="preserve"> </w:t>
      </w:r>
      <w:r w:rsidR="00910DB2" w:rsidRPr="00A53AD7">
        <w:rPr>
          <w:rFonts w:ascii="Times New Roman" w:hAnsi="Times New Roman"/>
          <w:sz w:val="28"/>
          <w:szCs w:val="28"/>
        </w:rPr>
        <w:t>(ф. 0503</w:t>
      </w:r>
      <w:r w:rsidR="00795EF1" w:rsidRPr="00A53AD7">
        <w:rPr>
          <w:rFonts w:ascii="Times New Roman" w:hAnsi="Times New Roman"/>
          <w:sz w:val="28"/>
          <w:szCs w:val="28"/>
        </w:rPr>
        <w:t>3</w:t>
      </w:r>
      <w:r w:rsidR="00910DB2" w:rsidRPr="00A53AD7">
        <w:rPr>
          <w:rFonts w:ascii="Times New Roman" w:hAnsi="Times New Roman"/>
          <w:sz w:val="28"/>
          <w:szCs w:val="28"/>
        </w:rPr>
        <w:t>20)</w:t>
      </w:r>
      <w:r w:rsidR="006F070D" w:rsidRPr="00A53AD7">
        <w:rPr>
          <w:rFonts w:ascii="Times New Roman" w:hAnsi="Times New Roman"/>
          <w:sz w:val="28"/>
          <w:szCs w:val="28"/>
        </w:rPr>
        <w:t>,</w:t>
      </w:r>
      <w:r w:rsidR="004E7975" w:rsidRPr="00A53AD7">
        <w:rPr>
          <w:rFonts w:ascii="Times New Roman" w:hAnsi="Times New Roman"/>
          <w:sz w:val="28"/>
          <w:szCs w:val="28"/>
        </w:rPr>
        <w:t xml:space="preserve"> </w:t>
      </w:r>
      <w:r w:rsidR="0088314F" w:rsidRPr="00A53AD7">
        <w:rPr>
          <w:rFonts w:ascii="Times New Roman" w:hAnsi="Times New Roman"/>
          <w:sz w:val="28"/>
          <w:szCs w:val="28"/>
        </w:rPr>
        <w:t>Сведений о государственном (муниципальном) долге, предоставленных бюджетных кредитах (ф. 0503172)</w:t>
      </w:r>
      <w:r w:rsidR="006F070D" w:rsidRPr="00A53AD7">
        <w:rPr>
          <w:rFonts w:ascii="Times New Roman" w:hAnsi="Times New Roman"/>
          <w:sz w:val="28"/>
          <w:szCs w:val="28"/>
        </w:rPr>
        <w:t xml:space="preserve"> и данным долговой книги Архангельской области</w:t>
      </w:r>
      <w:r w:rsidR="00910DB2" w:rsidRPr="00A53AD7">
        <w:rPr>
          <w:rFonts w:ascii="Times New Roman" w:hAnsi="Times New Roman"/>
          <w:sz w:val="28"/>
          <w:szCs w:val="28"/>
        </w:rPr>
        <w:t xml:space="preserve">. </w:t>
      </w:r>
      <w:r w:rsidR="00650B79" w:rsidRPr="00A53AD7">
        <w:rPr>
          <w:rFonts w:ascii="Times New Roman" w:hAnsi="Times New Roman"/>
          <w:sz w:val="28"/>
          <w:szCs w:val="28"/>
        </w:rPr>
        <w:t>В течение 201</w:t>
      </w:r>
      <w:r w:rsidR="00795EF1" w:rsidRPr="00A53AD7">
        <w:rPr>
          <w:rFonts w:ascii="Times New Roman" w:hAnsi="Times New Roman"/>
          <w:sz w:val="28"/>
          <w:szCs w:val="28"/>
        </w:rPr>
        <w:t>9</w:t>
      </w:r>
      <w:r w:rsidR="00650B79" w:rsidRPr="00A53AD7">
        <w:rPr>
          <w:rFonts w:ascii="Times New Roman" w:hAnsi="Times New Roman"/>
          <w:sz w:val="28"/>
          <w:szCs w:val="28"/>
        </w:rPr>
        <w:t xml:space="preserve"> года </w:t>
      </w:r>
      <w:r w:rsidR="00795EF1" w:rsidRPr="00A53AD7">
        <w:rPr>
          <w:rFonts w:ascii="Times New Roman" w:hAnsi="Times New Roman"/>
          <w:sz w:val="28"/>
          <w:szCs w:val="28"/>
        </w:rPr>
        <w:t xml:space="preserve">долговые обязательства </w:t>
      </w:r>
      <w:r w:rsidR="00650B79" w:rsidRPr="00A53AD7">
        <w:rPr>
          <w:rFonts w:ascii="Times New Roman" w:hAnsi="Times New Roman"/>
          <w:sz w:val="28"/>
          <w:szCs w:val="28"/>
        </w:rPr>
        <w:t>сократил</w:t>
      </w:r>
      <w:r w:rsidR="00795EF1" w:rsidRPr="00A53AD7">
        <w:rPr>
          <w:rFonts w:ascii="Times New Roman" w:hAnsi="Times New Roman"/>
          <w:sz w:val="28"/>
          <w:szCs w:val="28"/>
        </w:rPr>
        <w:t>ись</w:t>
      </w:r>
      <w:r w:rsidR="00650B79" w:rsidRPr="00A53AD7">
        <w:rPr>
          <w:rFonts w:ascii="Times New Roman" w:hAnsi="Times New Roman"/>
          <w:sz w:val="28"/>
          <w:szCs w:val="28"/>
        </w:rPr>
        <w:t xml:space="preserve"> на </w:t>
      </w:r>
      <w:r w:rsidR="00795EF1" w:rsidRPr="00A53AD7">
        <w:rPr>
          <w:rFonts w:ascii="Times New Roman" w:hAnsi="Times New Roman"/>
          <w:sz w:val="28"/>
          <w:szCs w:val="28"/>
        </w:rPr>
        <w:t>1 577,5</w:t>
      </w:r>
      <w:r w:rsidR="00650B79" w:rsidRPr="00A53AD7">
        <w:rPr>
          <w:rFonts w:ascii="Times New Roman" w:hAnsi="Times New Roman"/>
          <w:sz w:val="28"/>
          <w:szCs w:val="28"/>
        </w:rPr>
        <w:t xml:space="preserve"> млн.руб. или </w:t>
      </w:r>
      <w:r w:rsidR="00825C8C" w:rsidRPr="00A53AD7">
        <w:rPr>
          <w:rFonts w:ascii="Times New Roman" w:hAnsi="Times New Roman"/>
          <w:sz w:val="28"/>
          <w:szCs w:val="28"/>
        </w:rPr>
        <w:t xml:space="preserve">на </w:t>
      </w:r>
      <w:r w:rsidR="0094489E" w:rsidRPr="00A53AD7">
        <w:rPr>
          <w:rFonts w:ascii="Times New Roman" w:hAnsi="Times New Roman"/>
          <w:sz w:val="28"/>
          <w:szCs w:val="28"/>
        </w:rPr>
        <w:t>4,4</w:t>
      </w:r>
      <w:r w:rsidR="00825C8C" w:rsidRPr="00A53AD7">
        <w:rPr>
          <w:rFonts w:ascii="Times New Roman" w:hAnsi="Times New Roman"/>
          <w:sz w:val="28"/>
          <w:szCs w:val="28"/>
        </w:rPr>
        <w:t> %.</w:t>
      </w:r>
    </w:p>
    <w:p w14:paraId="4B464136" w14:textId="6DA920FF"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Долговые обязательства Архангельской области </w:t>
      </w:r>
      <w:r w:rsidR="00216DB4" w:rsidRPr="00A53AD7">
        <w:rPr>
          <w:rFonts w:ascii="Times New Roman" w:hAnsi="Times New Roman"/>
          <w:sz w:val="28"/>
          <w:szCs w:val="28"/>
        </w:rPr>
        <w:t>по состоянию на 01.01.20</w:t>
      </w:r>
      <w:r w:rsidR="006F070D" w:rsidRPr="00A53AD7">
        <w:rPr>
          <w:rFonts w:ascii="Times New Roman" w:hAnsi="Times New Roman"/>
          <w:sz w:val="28"/>
          <w:szCs w:val="28"/>
        </w:rPr>
        <w:t>20</w:t>
      </w:r>
      <w:r w:rsidR="00216DB4" w:rsidRPr="00A53AD7">
        <w:rPr>
          <w:rFonts w:ascii="Times New Roman" w:hAnsi="Times New Roman"/>
          <w:sz w:val="28"/>
          <w:szCs w:val="28"/>
        </w:rPr>
        <w:t xml:space="preserve"> </w:t>
      </w:r>
      <w:r w:rsidRPr="00A53AD7">
        <w:rPr>
          <w:rFonts w:ascii="Times New Roman" w:hAnsi="Times New Roman"/>
          <w:sz w:val="28"/>
          <w:szCs w:val="28"/>
        </w:rPr>
        <w:t xml:space="preserve">не превысили </w:t>
      </w:r>
      <w:r w:rsidR="00BD1294" w:rsidRPr="00A53AD7">
        <w:rPr>
          <w:rFonts w:ascii="Times New Roman" w:hAnsi="Times New Roman"/>
          <w:sz w:val="28"/>
          <w:szCs w:val="28"/>
        </w:rPr>
        <w:t>верхний предел</w:t>
      </w:r>
      <w:r w:rsidRPr="00A53AD7">
        <w:rPr>
          <w:rFonts w:ascii="Times New Roman" w:hAnsi="Times New Roman"/>
          <w:sz w:val="28"/>
          <w:szCs w:val="28"/>
        </w:rPr>
        <w:t xml:space="preserve"> государственного внутреннего долга, установленн</w:t>
      </w:r>
      <w:r w:rsidR="00BD1294" w:rsidRPr="00A53AD7">
        <w:rPr>
          <w:rFonts w:ascii="Times New Roman" w:hAnsi="Times New Roman"/>
          <w:sz w:val="28"/>
          <w:szCs w:val="28"/>
        </w:rPr>
        <w:t>ый</w:t>
      </w:r>
      <w:r w:rsidRPr="00A53AD7">
        <w:rPr>
          <w:rFonts w:ascii="Times New Roman" w:hAnsi="Times New Roman"/>
          <w:sz w:val="28"/>
          <w:szCs w:val="28"/>
        </w:rPr>
        <w:t xml:space="preserve"> статьей 12 закона «Об областном бюджете».</w:t>
      </w:r>
    </w:p>
    <w:p w14:paraId="61408324" w14:textId="553DBD70" w:rsidR="00650B79" w:rsidRPr="00A53AD7" w:rsidRDefault="009D264D"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Уровень государственных долговых обязательств на 01.01.20</w:t>
      </w:r>
      <w:r w:rsidR="00435BFE" w:rsidRPr="00A53AD7">
        <w:rPr>
          <w:rFonts w:ascii="Times New Roman" w:hAnsi="Times New Roman"/>
          <w:sz w:val="28"/>
          <w:szCs w:val="28"/>
        </w:rPr>
        <w:t>20</w:t>
      </w:r>
      <w:r w:rsidRPr="00A53AD7">
        <w:rPr>
          <w:rFonts w:ascii="Times New Roman" w:hAnsi="Times New Roman"/>
          <w:sz w:val="28"/>
          <w:szCs w:val="28"/>
        </w:rPr>
        <w:t xml:space="preserve"> по отношению к налоговым и неналоговым доходам областного бюджета</w:t>
      </w:r>
      <w:r w:rsidR="00435BFE" w:rsidRPr="00A53AD7">
        <w:rPr>
          <w:rFonts w:ascii="Times New Roman" w:hAnsi="Times New Roman"/>
          <w:sz w:val="28"/>
          <w:szCs w:val="28"/>
        </w:rPr>
        <w:t xml:space="preserve">, поступившим </w:t>
      </w:r>
      <w:r w:rsidR="00BF462C" w:rsidRPr="00A53AD7">
        <w:rPr>
          <w:rFonts w:ascii="Times New Roman" w:hAnsi="Times New Roman"/>
          <w:sz w:val="28"/>
          <w:szCs w:val="28"/>
        </w:rPr>
        <w:t>за 201</w:t>
      </w:r>
      <w:r w:rsidR="00435BFE" w:rsidRPr="00A53AD7">
        <w:rPr>
          <w:rFonts w:ascii="Times New Roman" w:hAnsi="Times New Roman"/>
          <w:sz w:val="28"/>
          <w:szCs w:val="28"/>
        </w:rPr>
        <w:t>9</w:t>
      </w:r>
      <w:r w:rsidR="00BF462C" w:rsidRPr="00A53AD7">
        <w:rPr>
          <w:rFonts w:ascii="Times New Roman" w:hAnsi="Times New Roman"/>
          <w:sz w:val="28"/>
          <w:szCs w:val="28"/>
        </w:rPr>
        <w:t xml:space="preserve"> год </w:t>
      </w:r>
      <w:r w:rsidRPr="00A53AD7">
        <w:rPr>
          <w:rFonts w:ascii="Times New Roman" w:hAnsi="Times New Roman"/>
          <w:sz w:val="28"/>
          <w:szCs w:val="28"/>
        </w:rPr>
        <w:t xml:space="preserve">составил </w:t>
      </w:r>
      <w:r w:rsidR="00435BFE" w:rsidRPr="00A53AD7">
        <w:rPr>
          <w:rFonts w:ascii="Times New Roman" w:hAnsi="Times New Roman"/>
          <w:sz w:val="28"/>
          <w:szCs w:val="28"/>
        </w:rPr>
        <w:t>53,4</w:t>
      </w:r>
      <w:r w:rsidR="00AC538E" w:rsidRPr="00A53AD7">
        <w:rPr>
          <w:rFonts w:ascii="Times New Roman" w:hAnsi="Times New Roman"/>
          <w:sz w:val="28"/>
          <w:szCs w:val="28"/>
        </w:rPr>
        <w:t xml:space="preserve"> % и за год сократился на </w:t>
      </w:r>
      <w:r w:rsidR="00435BFE" w:rsidRPr="00A53AD7">
        <w:rPr>
          <w:rFonts w:ascii="Times New Roman" w:hAnsi="Times New Roman"/>
          <w:sz w:val="28"/>
          <w:szCs w:val="28"/>
        </w:rPr>
        <w:t>6,7</w:t>
      </w:r>
      <w:r w:rsidR="00143DF0" w:rsidRPr="00A53AD7">
        <w:rPr>
          <w:rFonts w:ascii="Times New Roman" w:hAnsi="Times New Roman"/>
          <w:sz w:val="28"/>
          <w:szCs w:val="28"/>
        </w:rPr>
        <w:t xml:space="preserve"> процентных пунктов.</w:t>
      </w:r>
    </w:p>
    <w:p w14:paraId="02F3E3B5" w14:textId="497DF3AE"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Состав и структура государственного внутреннего долга Архангельской области и их изменение за 201</w:t>
      </w:r>
      <w:r w:rsidR="00143DF0" w:rsidRPr="00A53AD7">
        <w:rPr>
          <w:rFonts w:ascii="Times New Roman" w:hAnsi="Times New Roman"/>
          <w:sz w:val="28"/>
          <w:szCs w:val="28"/>
        </w:rPr>
        <w:t>8</w:t>
      </w:r>
      <w:r w:rsidRPr="00A53AD7">
        <w:rPr>
          <w:rFonts w:ascii="Times New Roman" w:hAnsi="Times New Roman"/>
          <w:sz w:val="28"/>
          <w:szCs w:val="28"/>
        </w:rPr>
        <w:t xml:space="preserve"> год представлены в таблице </w:t>
      </w:r>
      <w:r w:rsidR="00404E35" w:rsidRPr="00A53AD7">
        <w:rPr>
          <w:rFonts w:ascii="Times New Roman" w:hAnsi="Times New Roman"/>
          <w:sz w:val="28"/>
          <w:szCs w:val="28"/>
        </w:rPr>
        <w:t>77</w:t>
      </w:r>
      <w:r w:rsidRPr="00A53AD7">
        <w:rPr>
          <w:rFonts w:ascii="Times New Roman" w:hAnsi="Times New Roman"/>
          <w:sz w:val="28"/>
          <w:szCs w:val="28"/>
        </w:rPr>
        <w:t xml:space="preserve"> и на рисунке </w:t>
      </w:r>
      <w:r w:rsidR="00404E35" w:rsidRPr="00A53AD7">
        <w:rPr>
          <w:rFonts w:ascii="Times New Roman" w:hAnsi="Times New Roman"/>
          <w:sz w:val="28"/>
          <w:szCs w:val="28"/>
        </w:rPr>
        <w:t>83</w:t>
      </w:r>
      <w:r w:rsidRPr="00A53AD7">
        <w:rPr>
          <w:rFonts w:ascii="Times New Roman" w:hAnsi="Times New Roman"/>
          <w:sz w:val="28"/>
          <w:szCs w:val="28"/>
        </w:rPr>
        <w:t>.</w:t>
      </w:r>
    </w:p>
    <w:p w14:paraId="6173523F" w14:textId="77777777" w:rsidR="00450CA1" w:rsidRPr="00A53AD7" w:rsidRDefault="00450CA1" w:rsidP="00650B79">
      <w:pPr>
        <w:spacing w:after="0" w:line="240" w:lineRule="auto"/>
        <w:ind w:firstLine="851"/>
        <w:jc w:val="both"/>
        <w:rPr>
          <w:rFonts w:ascii="Times New Roman" w:hAnsi="Times New Roman"/>
          <w:sz w:val="28"/>
          <w:szCs w:val="28"/>
        </w:rPr>
      </w:pPr>
    </w:p>
    <w:p w14:paraId="20271D46" w14:textId="77777777" w:rsidR="00650B79" w:rsidRPr="00A53AD7" w:rsidRDefault="00650B79" w:rsidP="0076131C">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77</w:t>
      </w:r>
      <w:r w:rsidRPr="00A53AD7">
        <w:rPr>
          <w:rFonts w:ascii="Times New Roman" w:hAnsi="Times New Roman"/>
          <w:b w:val="0"/>
          <w:noProof/>
          <w:sz w:val="24"/>
          <w:szCs w:val="24"/>
        </w:rPr>
        <w:fldChar w:fldCharType="end"/>
      </w:r>
      <w:r w:rsidRPr="00A53AD7">
        <w:rPr>
          <w:rFonts w:ascii="Times New Roman" w:hAnsi="Times New Roman"/>
          <w:b w:val="0"/>
          <w:sz w:val="24"/>
          <w:szCs w:val="24"/>
        </w:rPr>
        <w:t>. Государственный внутренний долг Архангельской области, в млн.руб.</w:t>
      </w:r>
    </w:p>
    <w:tbl>
      <w:tblPr>
        <w:tblW w:w="9340" w:type="dxa"/>
        <w:tblLook w:val="04A0" w:firstRow="1" w:lastRow="0" w:firstColumn="1" w:lastColumn="0" w:noHBand="0" w:noVBand="1"/>
      </w:tblPr>
      <w:tblGrid>
        <w:gridCol w:w="3547"/>
        <w:gridCol w:w="1069"/>
        <w:gridCol w:w="771"/>
        <w:gridCol w:w="1069"/>
        <w:gridCol w:w="771"/>
        <w:gridCol w:w="1069"/>
        <w:gridCol w:w="1044"/>
      </w:tblGrid>
      <w:tr w:rsidR="00D470B6" w:rsidRPr="00A53AD7" w14:paraId="5CF93B57" w14:textId="77777777" w:rsidTr="00B22834">
        <w:trPr>
          <w:trHeight w:val="230"/>
        </w:trPr>
        <w:tc>
          <w:tcPr>
            <w:tcW w:w="374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5923B98D"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Показатель</w:t>
            </w:r>
          </w:p>
        </w:tc>
        <w:tc>
          <w:tcPr>
            <w:tcW w:w="1760" w:type="dxa"/>
            <w:gridSpan w:val="2"/>
            <w:tcBorders>
              <w:top w:val="double" w:sz="6" w:space="0" w:color="auto"/>
              <w:left w:val="nil"/>
              <w:bottom w:val="single" w:sz="4" w:space="0" w:color="auto"/>
              <w:right w:val="single" w:sz="4" w:space="0" w:color="auto"/>
            </w:tcBorders>
            <w:shd w:val="clear" w:color="auto" w:fill="auto"/>
            <w:vAlign w:val="center"/>
            <w:hideMark/>
          </w:tcPr>
          <w:p w14:paraId="4A923BAD"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01.01.2019</w:t>
            </w:r>
          </w:p>
        </w:tc>
        <w:tc>
          <w:tcPr>
            <w:tcW w:w="1760" w:type="dxa"/>
            <w:gridSpan w:val="2"/>
            <w:tcBorders>
              <w:top w:val="double" w:sz="6" w:space="0" w:color="auto"/>
              <w:left w:val="nil"/>
              <w:bottom w:val="single" w:sz="4" w:space="0" w:color="auto"/>
              <w:right w:val="single" w:sz="4" w:space="0" w:color="auto"/>
            </w:tcBorders>
            <w:shd w:val="clear" w:color="auto" w:fill="auto"/>
            <w:vAlign w:val="center"/>
            <w:hideMark/>
          </w:tcPr>
          <w:p w14:paraId="67083370"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На 01.01.2020</w:t>
            </w:r>
          </w:p>
        </w:tc>
        <w:tc>
          <w:tcPr>
            <w:tcW w:w="2080" w:type="dxa"/>
            <w:gridSpan w:val="2"/>
            <w:tcBorders>
              <w:top w:val="double" w:sz="6" w:space="0" w:color="auto"/>
              <w:left w:val="nil"/>
              <w:bottom w:val="single" w:sz="4" w:space="0" w:color="auto"/>
              <w:right w:val="double" w:sz="6" w:space="0" w:color="000000"/>
            </w:tcBorders>
            <w:shd w:val="clear" w:color="auto" w:fill="auto"/>
            <w:vAlign w:val="center"/>
            <w:hideMark/>
          </w:tcPr>
          <w:p w14:paraId="40AA367D"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Изменение за год (+/-)</w:t>
            </w:r>
          </w:p>
        </w:tc>
      </w:tr>
      <w:tr w:rsidR="00D470B6" w:rsidRPr="00A53AD7" w14:paraId="05BF420C" w14:textId="77777777" w:rsidTr="006E49CA">
        <w:trPr>
          <w:trHeight w:val="252"/>
        </w:trPr>
        <w:tc>
          <w:tcPr>
            <w:tcW w:w="3740" w:type="dxa"/>
            <w:vMerge/>
            <w:tcBorders>
              <w:top w:val="double" w:sz="6" w:space="0" w:color="auto"/>
              <w:left w:val="double" w:sz="6" w:space="0" w:color="auto"/>
              <w:bottom w:val="single" w:sz="4" w:space="0" w:color="auto"/>
              <w:right w:val="single" w:sz="4" w:space="0" w:color="auto"/>
            </w:tcBorders>
            <w:vAlign w:val="center"/>
            <w:hideMark/>
          </w:tcPr>
          <w:p w14:paraId="606661F4" w14:textId="77777777" w:rsidR="00B22834" w:rsidRPr="00A53AD7" w:rsidRDefault="00B22834" w:rsidP="00B22834">
            <w:pPr>
              <w:spacing w:after="0" w:line="240" w:lineRule="auto"/>
              <w:rPr>
                <w:rFonts w:ascii="Times New Roman" w:eastAsia="Times New Roman" w:hAnsi="Times New Roman"/>
                <w:b/>
                <w:bCs/>
                <w:lang w:eastAsia="ru-RU"/>
              </w:rPr>
            </w:pPr>
          </w:p>
        </w:tc>
        <w:tc>
          <w:tcPr>
            <w:tcW w:w="1040" w:type="dxa"/>
            <w:tcBorders>
              <w:top w:val="nil"/>
              <w:left w:val="nil"/>
              <w:bottom w:val="single" w:sz="4" w:space="0" w:color="auto"/>
              <w:right w:val="single" w:sz="4" w:space="0" w:color="auto"/>
            </w:tcBorders>
            <w:shd w:val="clear" w:color="auto" w:fill="auto"/>
            <w:vAlign w:val="center"/>
            <w:hideMark/>
          </w:tcPr>
          <w:p w14:paraId="52C8B651"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млн.руб.</w:t>
            </w:r>
          </w:p>
        </w:tc>
        <w:tc>
          <w:tcPr>
            <w:tcW w:w="720" w:type="dxa"/>
            <w:tcBorders>
              <w:top w:val="nil"/>
              <w:left w:val="nil"/>
              <w:bottom w:val="single" w:sz="4" w:space="0" w:color="auto"/>
              <w:right w:val="single" w:sz="4" w:space="0" w:color="auto"/>
            </w:tcBorders>
            <w:shd w:val="clear" w:color="auto" w:fill="auto"/>
            <w:vAlign w:val="center"/>
            <w:hideMark/>
          </w:tcPr>
          <w:p w14:paraId="790711BF"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к итогу</w:t>
            </w:r>
          </w:p>
        </w:tc>
        <w:tc>
          <w:tcPr>
            <w:tcW w:w="1040" w:type="dxa"/>
            <w:tcBorders>
              <w:top w:val="nil"/>
              <w:left w:val="nil"/>
              <w:bottom w:val="single" w:sz="4" w:space="0" w:color="auto"/>
              <w:right w:val="single" w:sz="4" w:space="0" w:color="auto"/>
            </w:tcBorders>
            <w:shd w:val="clear" w:color="auto" w:fill="auto"/>
            <w:vAlign w:val="center"/>
            <w:hideMark/>
          </w:tcPr>
          <w:p w14:paraId="1F40C1CD"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млн.руб.</w:t>
            </w:r>
          </w:p>
        </w:tc>
        <w:tc>
          <w:tcPr>
            <w:tcW w:w="720" w:type="dxa"/>
            <w:tcBorders>
              <w:top w:val="nil"/>
              <w:left w:val="nil"/>
              <w:bottom w:val="single" w:sz="4" w:space="0" w:color="auto"/>
              <w:right w:val="single" w:sz="4" w:space="0" w:color="auto"/>
            </w:tcBorders>
            <w:shd w:val="clear" w:color="auto" w:fill="auto"/>
            <w:vAlign w:val="center"/>
            <w:hideMark/>
          </w:tcPr>
          <w:p w14:paraId="1257A13A"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к итогу</w:t>
            </w:r>
          </w:p>
        </w:tc>
        <w:tc>
          <w:tcPr>
            <w:tcW w:w="1040" w:type="dxa"/>
            <w:tcBorders>
              <w:top w:val="nil"/>
              <w:left w:val="nil"/>
              <w:bottom w:val="single" w:sz="4" w:space="0" w:color="auto"/>
              <w:right w:val="single" w:sz="4" w:space="0" w:color="auto"/>
            </w:tcBorders>
            <w:shd w:val="clear" w:color="auto" w:fill="auto"/>
            <w:vAlign w:val="center"/>
            <w:hideMark/>
          </w:tcPr>
          <w:p w14:paraId="46D0FA0C"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млн.руб.</w:t>
            </w:r>
          </w:p>
        </w:tc>
        <w:tc>
          <w:tcPr>
            <w:tcW w:w="1040" w:type="dxa"/>
            <w:tcBorders>
              <w:top w:val="nil"/>
              <w:left w:val="nil"/>
              <w:bottom w:val="single" w:sz="4" w:space="0" w:color="auto"/>
              <w:right w:val="double" w:sz="6" w:space="0" w:color="auto"/>
            </w:tcBorders>
            <w:shd w:val="clear" w:color="auto" w:fill="auto"/>
            <w:vAlign w:val="center"/>
            <w:hideMark/>
          </w:tcPr>
          <w:p w14:paraId="5A157F3E" w14:textId="77777777" w:rsidR="00B22834" w:rsidRPr="00A53AD7" w:rsidRDefault="00B22834" w:rsidP="00B22834">
            <w:pPr>
              <w:spacing w:after="0" w:line="240" w:lineRule="auto"/>
              <w:jc w:val="center"/>
              <w:rPr>
                <w:rFonts w:ascii="Times New Roman" w:eastAsia="Times New Roman" w:hAnsi="Times New Roman"/>
                <w:b/>
                <w:bCs/>
                <w:lang w:eastAsia="ru-RU"/>
              </w:rPr>
            </w:pPr>
            <w:r w:rsidRPr="00A53AD7">
              <w:rPr>
                <w:rFonts w:ascii="Times New Roman" w:eastAsia="Times New Roman" w:hAnsi="Times New Roman"/>
                <w:b/>
                <w:bCs/>
                <w:lang w:eastAsia="ru-RU"/>
              </w:rPr>
              <w:t>% пунктов</w:t>
            </w:r>
          </w:p>
        </w:tc>
      </w:tr>
      <w:tr w:rsidR="00D470B6" w:rsidRPr="00A53AD7" w14:paraId="401E6244" w14:textId="77777777" w:rsidTr="006E49CA">
        <w:trPr>
          <w:trHeight w:hRule="exact" w:val="255"/>
        </w:trPr>
        <w:tc>
          <w:tcPr>
            <w:tcW w:w="3740" w:type="dxa"/>
            <w:tcBorders>
              <w:top w:val="nil"/>
              <w:left w:val="double" w:sz="6" w:space="0" w:color="auto"/>
              <w:bottom w:val="single" w:sz="4" w:space="0" w:color="auto"/>
              <w:right w:val="single" w:sz="4" w:space="0" w:color="auto"/>
            </w:tcBorders>
            <w:shd w:val="clear" w:color="auto" w:fill="auto"/>
            <w:vAlign w:val="center"/>
            <w:hideMark/>
          </w:tcPr>
          <w:p w14:paraId="155575A4" w14:textId="77777777" w:rsidR="00B22834" w:rsidRPr="00A53AD7" w:rsidRDefault="00B22834" w:rsidP="00B2283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Бюджетные кредиты</w:t>
            </w:r>
          </w:p>
        </w:tc>
        <w:tc>
          <w:tcPr>
            <w:tcW w:w="1040" w:type="dxa"/>
            <w:tcBorders>
              <w:top w:val="nil"/>
              <w:left w:val="nil"/>
              <w:bottom w:val="single" w:sz="4" w:space="0" w:color="auto"/>
              <w:right w:val="single" w:sz="4" w:space="0" w:color="auto"/>
            </w:tcBorders>
            <w:shd w:val="clear" w:color="auto" w:fill="auto"/>
            <w:vAlign w:val="center"/>
            <w:hideMark/>
          </w:tcPr>
          <w:p w14:paraId="0A8EDFA9"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14 249,1 </w:t>
            </w:r>
          </w:p>
        </w:tc>
        <w:tc>
          <w:tcPr>
            <w:tcW w:w="720" w:type="dxa"/>
            <w:tcBorders>
              <w:top w:val="nil"/>
              <w:left w:val="nil"/>
              <w:bottom w:val="single" w:sz="4" w:space="0" w:color="auto"/>
              <w:right w:val="single" w:sz="4" w:space="0" w:color="auto"/>
            </w:tcBorders>
            <w:shd w:val="clear" w:color="auto" w:fill="auto"/>
            <w:vAlign w:val="center"/>
            <w:hideMark/>
          </w:tcPr>
          <w:p w14:paraId="26270A06"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40,1 </w:t>
            </w:r>
          </w:p>
        </w:tc>
        <w:tc>
          <w:tcPr>
            <w:tcW w:w="1040" w:type="dxa"/>
            <w:tcBorders>
              <w:top w:val="nil"/>
              <w:left w:val="nil"/>
              <w:bottom w:val="single" w:sz="4" w:space="0" w:color="auto"/>
              <w:right w:val="single" w:sz="4" w:space="0" w:color="auto"/>
            </w:tcBorders>
            <w:shd w:val="clear" w:color="auto" w:fill="auto"/>
            <w:vAlign w:val="center"/>
            <w:hideMark/>
          </w:tcPr>
          <w:p w14:paraId="42B8416D"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13 671,7 </w:t>
            </w:r>
          </w:p>
        </w:tc>
        <w:tc>
          <w:tcPr>
            <w:tcW w:w="720" w:type="dxa"/>
            <w:tcBorders>
              <w:top w:val="nil"/>
              <w:left w:val="nil"/>
              <w:bottom w:val="single" w:sz="4" w:space="0" w:color="auto"/>
              <w:right w:val="single" w:sz="4" w:space="0" w:color="auto"/>
            </w:tcBorders>
            <w:shd w:val="clear" w:color="auto" w:fill="auto"/>
            <w:vAlign w:val="center"/>
            <w:hideMark/>
          </w:tcPr>
          <w:p w14:paraId="31B2C3BF"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40,2 </w:t>
            </w:r>
          </w:p>
        </w:tc>
        <w:tc>
          <w:tcPr>
            <w:tcW w:w="1040" w:type="dxa"/>
            <w:tcBorders>
              <w:top w:val="nil"/>
              <w:left w:val="nil"/>
              <w:bottom w:val="single" w:sz="4" w:space="0" w:color="auto"/>
              <w:right w:val="single" w:sz="4" w:space="0" w:color="auto"/>
            </w:tcBorders>
            <w:shd w:val="clear" w:color="auto" w:fill="auto"/>
            <w:vAlign w:val="center"/>
            <w:hideMark/>
          </w:tcPr>
          <w:p w14:paraId="320C455D"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-577,4 </w:t>
            </w:r>
          </w:p>
        </w:tc>
        <w:tc>
          <w:tcPr>
            <w:tcW w:w="1040" w:type="dxa"/>
            <w:tcBorders>
              <w:top w:val="nil"/>
              <w:left w:val="nil"/>
              <w:bottom w:val="single" w:sz="4" w:space="0" w:color="auto"/>
              <w:right w:val="double" w:sz="6" w:space="0" w:color="auto"/>
            </w:tcBorders>
            <w:shd w:val="clear" w:color="auto" w:fill="auto"/>
            <w:vAlign w:val="center"/>
            <w:hideMark/>
          </w:tcPr>
          <w:p w14:paraId="1BCDC57F" w14:textId="3EEE77EB" w:rsidR="00B22834" w:rsidRPr="00A53AD7" w:rsidRDefault="00EC350B"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0,1</w:t>
            </w:r>
            <w:r w:rsidR="00B22834" w:rsidRPr="00A53AD7">
              <w:rPr>
                <w:rFonts w:ascii="Times New Roman" w:eastAsia="Times New Roman" w:hAnsi="Times New Roman"/>
                <w:lang w:eastAsia="ru-RU"/>
              </w:rPr>
              <w:t xml:space="preserve"> </w:t>
            </w:r>
          </w:p>
        </w:tc>
      </w:tr>
      <w:tr w:rsidR="00D470B6" w:rsidRPr="00A53AD7" w14:paraId="7831D6BB" w14:textId="77777777" w:rsidTr="006E49CA">
        <w:trPr>
          <w:trHeight w:hRule="exact" w:val="255"/>
        </w:trPr>
        <w:tc>
          <w:tcPr>
            <w:tcW w:w="3740" w:type="dxa"/>
            <w:tcBorders>
              <w:top w:val="nil"/>
              <w:left w:val="double" w:sz="6" w:space="0" w:color="auto"/>
              <w:bottom w:val="single" w:sz="4" w:space="0" w:color="auto"/>
              <w:right w:val="single" w:sz="4" w:space="0" w:color="auto"/>
            </w:tcBorders>
            <w:shd w:val="clear" w:color="auto" w:fill="auto"/>
            <w:vAlign w:val="center"/>
            <w:hideMark/>
          </w:tcPr>
          <w:p w14:paraId="68ACAF54" w14:textId="77777777" w:rsidR="00B22834" w:rsidRPr="00A53AD7" w:rsidRDefault="00B22834" w:rsidP="00B2283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Кредиты кредитных организаций</w:t>
            </w:r>
          </w:p>
        </w:tc>
        <w:tc>
          <w:tcPr>
            <w:tcW w:w="1040" w:type="dxa"/>
            <w:tcBorders>
              <w:top w:val="nil"/>
              <w:left w:val="nil"/>
              <w:bottom w:val="single" w:sz="4" w:space="0" w:color="auto"/>
              <w:right w:val="single" w:sz="4" w:space="0" w:color="auto"/>
            </w:tcBorders>
            <w:shd w:val="clear" w:color="auto" w:fill="auto"/>
            <w:vAlign w:val="center"/>
            <w:hideMark/>
          </w:tcPr>
          <w:p w14:paraId="43CF278C"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21 000,0 </w:t>
            </w:r>
          </w:p>
        </w:tc>
        <w:tc>
          <w:tcPr>
            <w:tcW w:w="720" w:type="dxa"/>
            <w:tcBorders>
              <w:top w:val="nil"/>
              <w:left w:val="nil"/>
              <w:bottom w:val="single" w:sz="4" w:space="0" w:color="auto"/>
              <w:right w:val="single" w:sz="4" w:space="0" w:color="auto"/>
            </w:tcBorders>
            <w:shd w:val="clear" w:color="auto" w:fill="auto"/>
            <w:vAlign w:val="center"/>
            <w:hideMark/>
          </w:tcPr>
          <w:p w14:paraId="7D2CED43"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59,1 </w:t>
            </w:r>
          </w:p>
        </w:tc>
        <w:tc>
          <w:tcPr>
            <w:tcW w:w="1040" w:type="dxa"/>
            <w:tcBorders>
              <w:top w:val="nil"/>
              <w:left w:val="nil"/>
              <w:bottom w:val="single" w:sz="4" w:space="0" w:color="auto"/>
              <w:right w:val="single" w:sz="4" w:space="0" w:color="auto"/>
            </w:tcBorders>
            <w:shd w:val="clear" w:color="auto" w:fill="auto"/>
            <w:vAlign w:val="center"/>
            <w:hideMark/>
          </w:tcPr>
          <w:p w14:paraId="3F972784"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20 299,9 </w:t>
            </w:r>
          </w:p>
        </w:tc>
        <w:tc>
          <w:tcPr>
            <w:tcW w:w="720" w:type="dxa"/>
            <w:tcBorders>
              <w:top w:val="nil"/>
              <w:left w:val="nil"/>
              <w:bottom w:val="single" w:sz="4" w:space="0" w:color="auto"/>
              <w:right w:val="single" w:sz="4" w:space="0" w:color="auto"/>
            </w:tcBorders>
            <w:shd w:val="clear" w:color="auto" w:fill="auto"/>
            <w:vAlign w:val="center"/>
            <w:hideMark/>
          </w:tcPr>
          <w:p w14:paraId="24D3B651"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59,8 </w:t>
            </w:r>
          </w:p>
        </w:tc>
        <w:tc>
          <w:tcPr>
            <w:tcW w:w="1040" w:type="dxa"/>
            <w:tcBorders>
              <w:top w:val="nil"/>
              <w:left w:val="nil"/>
              <w:bottom w:val="single" w:sz="4" w:space="0" w:color="auto"/>
              <w:right w:val="single" w:sz="4" w:space="0" w:color="auto"/>
            </w:tcBorders>
            <w:shd w:val="clear" w:color="auto" w:fill="auto"/>
            <w:vAlign w:val="center"/>
            <w:hideMark/>
          </w:tcPr>
          <w:p w14:paraId="69060037"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-700,1 </w:t>
            </w:r>
          </w:p>
        </w:tc>
        <w:tc>
          <w:tcPr>
            <w:tcW w:w="1040" w:type="dxa"/>
            <w:tcBorders>
              <w:top w:val="nil"/>
              <w:left w:val="nil"/>
              <w:bottom w:val="single" w:sz="4" w:space="0" w:color="auto"/>
              <w:right w:val="double" w:sz="6" w:space="0" w:color="auto"/>
            </w:tcBorders>
            <w:shd w:val="clear" w:color="auto" w:fill="auto"/>
            <w:vAlign w:val="center"/>
            <w:hideMark/>
          </w:tcPr>
          <w:p w14:paraId="26432010"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0,7 </w:t>
            </w:r>
          </w:p>
        </w:tc>
      </w:tr>
      <w:tr w:rsidR="00D470B6" w:rsidRPr="00A53AD7" w14:paraId="3C1242AA" w14:textId="77777777" w:rsidTr="006E49CA">
        <w:trPr>
          <w:trHeight w:hRule="exact" w:val="255"/>
        </w:trPr>
        <w:tc>
          <w:tcPr>
            <w:tcW w:w="3740" w:type="dxa"/>
            <w:tcBorders>
              <w:top w:val="nil"/>
              <w:left w:val="double" w:sz="6" w:space="0" w:color="auto"/>
              <w:bottom w:val="single" w:sz="4" w:space="0" w:color="auto"/>
              <w:right w:val="single" w:sz="4" w:space="0" w:color="auto"/>
            </w:tcBorders>
            <w:shd w:val="clear" w:color="auto" w:fill="auto"/>
            <w:vAlign w:val="center"/>
            <w:hideMark/>
          </w:tcPr>
          <w:p w14:paraId="2B07CABB" w14:textId="77777777" w:rsidR="00B22834" w:rsidRPr="00A53AD7" w:rsidRDefault="00B22834" w:rsidP="00B22834">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Государственные гарантии</w:t>
            </w:r>
          </w:p>
        </w:tc>
        <w:tc>
          <w:tcPr>
            <w:tcW w:w="1040" w:type="dxa"/>
            <w:tcBorders>
              <w:top w:val="nil"/>
              <w:left w:val="nil"/>
              <w:bottom w:val="single" w:sz="4" w:space="0" w:color="auto"/>
              <w:right w:val="single" w:sz="4" w:space="0" w:color="auto"/>
            </w:tcBorders>
            <w:shd w:val="clear" w:color="auto" w:fill="auto"/>
            <w:vAlign w:val="center"/>
            <w:hideMark/>
          </w:tcPr>
          <w:p w14:paraId="64F93914"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300,0 </w:t>
            </w:r>
          </w:p>
        </w:tc>
        <w:tc>
          <w:tcPr>
            <w:tcW w:w="720" w:type="dxa"/>
            <w:tcBorders>
              <w:top w:val="nil"/>
              <w:left w:val="nil"/>
              <w:bottom w:val="single" w:sz="4" w:space="0" w:color="auto"/>
              <w:right w:val="single" w:sz="4" w:space="0" w:color="auto"/>
            </w:tcBorders>
            <w:shd w:val="clear" w:color="auto" w:fill="auto"/>
            <w:vAlign w:val="center"/>
            <w:hideMark/>
          </w:tcPr>
          <w:p w14:paraId="480FA99A"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c>
          <w:tcPr>
            <w:tcW w:w="1040" w:type="dxa"/>
            <w:tcBorders>
              <w:top w:val="nil"/>
              <w:left w:val="nil"/>
              <w:bottom w:val="single" w:sz="4" w:space="0" w:color="auto"/>
              <w:right w:val="single" w:sz="4" w:space="0" w:color="auto"/>
            </w:tcBorders>
            <w:shd w:val="clear" w:color="auto" w:fill="auto"/>
            <w:vAlign w:val="center"/>
            <w:hideMark/>
          </w:tcPr>
          <w:p w14:paraId="1BEA6405"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720" w:type="dxa"/>
            <w:tcBorders>
              <w:top w:val="nil"/>
              <w:left w:val="nil"/>
              <w:bottom w:val="single" w:sz="4" w:space="0" w:color="auto"/>
              <w:right w:val="single" w:sz="4" w:space="0" w:color="auto"/>
            </w:tcBorders>
            <w:shd w:val="clear" w:color="auto" w:fill="auto"/>
            <w:vAlign w:val="center"/>
            <w:hideMark/>
          </w:tcPr>
          <w:p w14:paraId="0A0BDCF3"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0,0 </w:t>
            </w:r>
          </w:p>
        </w:tc>
        <w:tc>
          <w:tcPr>
            <w:tcW w:w="1040" w:type="dxa"/>
            <w:tcBorders>
              <w:top w:val="nil"/>
              <w:left w:val="nil"/>
              <w:bottom w:val="single" w:sz="4" w:space="0" w:color="auto"/>
              <w:right w:val="single" w:sz="4" w:space="0" w:color="auto"/>
            </w:tcBorders>
            <w:shd w:val="clear" w:color="auto" w:fill="auto"/>
            <w:vAlign w:val="center"/>
            <w:hideMark/>
          </w:tcPr>
          <w:p w14:paraId="0428148C"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-300,0 </w:t>
            </w:r>
          </w:p>
        </w:tc>
        <w:tc>
          <w:tcPr>
            <w:tcW w:w="1040" w:type="dxa"/>
            <w:tcBorders>
              <w:top w:val="nil"/>
              <w:left w:val="nil"/>
              <w:bottom w:val="single" w:sz="4" w:space="0" w:color="auto"/>
              <w:right w:val="double" w:sz="6" w:space="0" w:color="auto"/>
            </w:tcBorders>
            <w:shd w:val="clear" w:color="auto" w:fill="auto"/>
            <w:vAlign w:val="center"/>
            <w:hideMark/>
          </w:tcPr>
          <w:p w14:paraId="10A8F02A" w14:textId="77777777" w:rsidR="00B22834" w:rsidRPr="00A53AD7" w:rsidRDefault="00B22834" w:rsidP="00B22834">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 xml:space="preserve">-0,8 </w:t>
            </w:r>
          </w:p>
        </w:tc>
      </w:tr>
      <w:tr w:rsidR="00B22834" w:rsidRPr="00A53AD7" w14:paraId="6417DF15" w14:textId="77777777" w:rsidTr="006E49CA">
        <w:trPr>
          <w:trHeight w:hRule="exact" w:val="255"/>
        </w:trPr>
        <w:tc>
          <w:tcPr>
            <w:tcW w:w="3740" w:type="dxa"/>
            <w:tcBorders>
              <w:top w:val="nil"/>
              <w:left w:val="double" w:sz="6" w:space="0" w:color="auto"/>
              <w:bottom w:val="double" w:sz="6" w:space="0" w:color="auto"/>
              <w:right w:val="single" w:sz="4" w:space="0" w:color="auto"/>
            </w:tcBorders>
            <w:shd w:val="clear" w:color="auto" w:fill="auto"/>
            <w:vAlign w:val="center"/>
            <w:hideMark/>
          </w:tcPr>
          <w:p w14:paraId="23945192" w14:textId="77777777" w:rsidR="00B22834" w:rsidRPr="00A53AD7" w:rsidRDefault="00B22834" w:rsidP="00B22834">
            <w:pPr>
              <w:spacing w:after="0" w:line="240" w:lineRule="auto"/>
              <w:rPr>
                <w:rFonts w:ascii="Times New Roman" w:eastAsia="Times New Roman" w:hAnsi="Times New Roman"/>
                <w:b/>
                <w:bCs/>
                <w:lang w:eastAsia="ru-RU"/>
              </w:rPr>
            </w:pPr>
            <w:r w:rsidRPr="00A53AD7">
              <w:rPr>
                <w:rFonts w:ascii="Times New Roman" w:eastAsia="Times New Roman" w:hAnsi="Times New Roman"/>
                <w:b/>
                <w:bCs/>
                <w:lang w:eastAsia="ru-RU"/>
              </w:rPr>
              <w:t>Итого</w:t>
            </w:r>
          </w:p>
        </w:tc>
        <w:tc>
          <w:tcPr>
            <w:tcW w:w="1040" w:type="dxa"/>
            <w:tcBorders>
              <w:top w:val="nil"/>
              <w:left w:val="nil"/>
              <w:bottom w:val="double" w:sz="6" w:space="0" w:color="auto"/>
              <w:right w:val="single" w:sz="4" w:space="0" w:color="auto"/>
            </w:tcBorders>
            <w:shd w:val="clear" w:color="auto" w:fill="auto"/>
            <w:vAlign w:val="center"/>
            <w:hideMark/>
          </w:tcPr>
          <w:p w14:paraId="0C0A1167"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35 549,1 </w:t>
            </w:r>
          </w:p>
        </w:tc>
        <w:tc>
          <w:tcPr>
            <w:tcW w:w="720" w:type="dxa"/>
            <w:tcBorders>
              <w:top w:val="nil"/>
              <w:left w:val="nil"/>
              <w:bottom w:val="double" w:sz="6" w:space="0" w:color="auto"/>
              <w:right w:val="single" w:sz="4" w:space="0" w:color="auto"/>
            </w:tcBorders>
            <w:shd w:val="clear" w:color="auto" w:fill="auto"/>
            <w:vAlign w:val="center"/>
            <w:hideMark/>
          </w:tcPr>
          <w:p w14:paraId="794A5B34"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100,0 </w:t>
            </w:r>
          </w:p>
        </w:tc>
        <w:tc>
          <w:tcPr>
            <w:tcW w:w="1040" w:type="dxa"/>
            <w:tcBorders>
              <w:top w:val="nil"/>
              <w:left w:val="nil"/>
              <w:bottom w:val="double" w:sz="6" w:space="0" w:color="auto"/>
              <w:right w:val="single" w:sz="4" w:space="0" w:color="auto"/>
            </w:tcBorders>
            <w:shd w:val="clear" w:color="auto" w:fill="auto"/>
            <w:vAlign w:val="center"/>
            <w:hideMark/>
          </w:tcPr>
          <w:p w14:paraId="3499E256"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33 971,6 </w:t>
            </w:r>
          </w:p>
        </w:tc>
        <w:tc>
          <w:tcPr>
            <w:tcW w:w="720" w:type="dxa"/>
            <w:tcBorders>
              <w:top w:val="nil"/>
              <w:left w:val="nil"/>
              <w:bottom w:val="double" w:sz="6" w:space="0" w:color="auto"/>
              <w:right w:val="single" w:sz="4" w:space="0" w:color="auto"/>
            </w:tcBorders>
            <w:shd w:val="clear" w:color="auto" w:fill="auto"/>
            <w:vAlign w:val="center"/>
            <w:hideMark/>
          </w:tcPr>
          <w:p w14:paraId="0E8CCE3E"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100,0 </w:t>
            </w:r>
          </w:p>
        </w:tc>
        <w:tc>
          <w:tcPr>
            <w:tcW w:w="1040" w:type="dxa"/>
            <w:tcBorders>
              <w:top w:val="nil"/>
              <w:left w:val="nil"/>
              <w:bottom w:val="double" w:sz="6" w:space="0" w:color="auto"/>
              <w:right w:val="single" w:sz="4" w:space="0" w:color="auto"/>
            </w:tcBorders>
            <w:shd w:val="clear" w:color="auto" w:fill="auto"/>
            <w:vAlign w:val="center"/>
            <w:hideMark/>
          </w:tcPr>
          <w:p w14:paraId="4AD0E190"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-1 577,5 </w:t>
            </w:r>
          </w:p>
        </w:tc>
        <w:tc>
          <w:tcPr>
            <w:tcW w:w="1040" w:type="dxa"/>
            <w:tcBorders>
              <w:top w:val="nil"/>
              <w:left w:val="nil"/>
              <w:bottom w:val="double" w:sz="6" w:space="0" w:color="auto"/>
              <w:right w:val="double" w:sz="6" w:space="0" w:color="auto"/>
            </w:tcBorders>
            <w:shd w:val="clear" w:color="auto" w:fill="auto"/>
            <w:vAlign w:val="center"/>
            <w:hideMark/>
          </w:tcPr>
          <w:p w14:paraId="4A6A1E43" w14:textId="77777777" w:rsidR="00B22834" w:rsidRPr="00A53AD7" w:rsidRDefault="00B22834" w:rsidP="00B22834">
            <w:pPr>
              <w:spacing w:after="0" w:line="240" w:lineRule="auto"/>
              <w:jc w:val="right"/>
              <w:rPr>
                <w:rFonts w:ascii="Times New Roman" w:eastAsia="Times New Roman" w:hAnsi="Times New Roman"/>
                <w:b/>
                <w:bCs/>
                <w:lang w:eastAsia="ru-RU"/>
              </w:rPr>
            </w:pPr>
            <w:r w:rsidRPr="00A53AD7">
              <w:rPr>
                <w:rFonts w:ascii="Times New Roman" w:eastAsia="Times New Roman" w:hAnsi="Times New Roman"/>
                <w:b/>
                <w:bCs/>
                <w:lang w:eastAsia="ru-RU"/>
              </w:rPr>
              <w:t xml:space="preserve">0,0 </w:t>
            </w:r>
          </w:p>
        </w:tc>
      </w:tr>
    </w:tbl>
    <w:p w14:paraId="3C7612C3" w14:textId="77777777" w:rsidR="00B22834" w:rsidRPr="00A53AD7" w:rsidRDefault="00B22834" w:rsidP="00650B79">
      <w:pPr>
        <w:spacing w:after="0" w:line="240" w:lineRule="auto"/>
        <w:ind w:firstLine="851"/>
        <w:jc w:val="both"/>
        <w:rPr>
          <w:rFonts w:ascii="Times New Roman" w:hAnsi="Times New Roman"/>
          <w:sz w:val="16"/>
          <w:szCs w:val="16"/>
          <w:highlight w:val="cyan"/>
        </w:rPr>
      </w:pPr>
    </w:p>
    <w:p w14:paraId="5E57CC68" w14:textId="6C9FEABE" w:rsidR="00650B79" w:rsidRPr="00A53AD7" w:rsidRDefault="001B1913" w:rsidP="00F44039">
      <w:pPr>
        <w:keepNext/>
        <w:spacing w:after="0" w:line="240" w:lineRule="auto"/>
        <w:jc w:val="center"/>
      </w:pPr>
      <w:r w:rsidRPr="00A53AD7">
        <w:rPr>
          <w:noProof/>
          <w:lang w:eastAsia="ru-RU"/>
        </w:rPr>
        <w:drawing>
          <wp:inline distT="0" distB="0" distL="0" distR="0" wp14:anchorId="0BBB4352" wp14:editId="646BBDE6">
            <wp:extent cx="4925695" cy="2688590"/>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925695" cy="2688590"/>
                    </a:xfrm>
                    <a:prstGeom prst="rect">
                      <a:avLst/>
                    </a:prstGeom>
                    <a:noFill/>
                  </pic:spPr>
                </pic:pic>
              </a:graphicData>
            </a:graphic>
          </wp:inline>
        </w:drawing>
      </w:r>
    </w:p>
    <w:p w14:paraId="6949AD69" w14:textId="0F2369CB" w:rsidR="00650B79" w:rsidRPr="00A53AD7" w:rsidRDefault="00650B79" w:rsidP="00941BF5">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83</w:t>
      </w:r>
      <w:r w:rsidRPr="00A53AD7">
        <w:rPr>
          <w:rFonts w:ascii="Times New Roman" w:hAnsi="Times New Roman"/>
          <w:b w:val="0"/>
          <w:noProof/>
          <w:sz w:val="24"/>
          <w:szCs w:val="24"/>
        </w:rPr>
        <w:fldChar w:fldCharType="end"/>
      </w:r>
      <w:r w:rsidRPr="00A53AD7">
        <w:rPr>
          <w:rFonts w:ascii="Times New Roman" w:hAnsi="Times New Roman"/>
          <w:b w:val="0"/>
          <w:sz w:val="24"/>
          <w:szCs w:val="24"/>
        </w:rPr>
        <w:t>. Государственные долговые обязательства Архангельской области на 01.01.20</w:t>
      </w:r>
      <w:r w:rsidR="009C03DE" w:rsidRPr="00A53AD7">
        <w:rPr>
          <w:rFonts w:ascii="Times New Roman" w:hAnsi="Times New Roman"/>
          <w:b w:val="0"/>
          <w:sz w:val="24"/>
          <w:szCs w:val="24"/>
        </w:rPr>
        <w:t>20</w:t>
      </w:r>
      <w:r w:rsidRPr="00A53AD7">
        <w:rPr>
          <w:rFonts w:ascii="Times New Roman" w:hAnsi="Times New Roman"/>
          <w:b w:val="0"/>
          <w:sz w:val="24"/>
          <w:szCs w:val="24"/>
        </w:rPr>
        <w:t>, в млн.руб.</w:t>
      </w:r>
    </w:p>
    <w:p w14:paraId="4A8E8A1B" w14:textId="77777777" w:rsidR="00941BF5" w:rsidRPr="00A53AD7" w:rsidRDefault="00941BF5" w:rsidP="00650B79">
      <w:pPr>
        <w:spacing w:after="0" w:line="240" w:lineRule="auto"/>
        <w:ind w:firstLine="851"/>
        <w:jc w:val="both"/>
        <w:rPr>
          <w:rFonts w:ascii="Times New Roman" w:hAnsi="Times New Roman"/>
          <w:sz w:val="28"/>
          <w:szCs w:val="28"/>
        </w:rPr>
      </w:pPr>
    </w:p>
    <w:p w14:paraId="6E5F4806" w14:textId="3B3C734F" w:rsidR="00C84980" w:rsidRPr="00A53AD7" w:rsidRDefault="00C84980" w:rsidP="00CB026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За отчетный период </w:t>
      </w:r>
      <w:r w:rsidR="00AE5611" w:rsidRPr="00A53AD7">
        <w:rPr>
          <w:rFonts w:ascii="Times New Roman" w:hAnsi="Times New Roman"/>
          <w:sz w:val="28"/>
          <w:szCs w:val="28"/>
        </w:rPr>
        <w:t xml:space="preserve">имеет место сокращение </w:t>
      </w:r>
      <w:r w:rsidRPr="00A53AD7">
        <w:rPr>
          <w:rFonts w:ascii="Times New Roman" w:hAnsi="Times New Roman"/>
          <w:sz w:val="28"/>
          <w:szCs w:val="28"/>
        </w:rPr>
        <w:t>все</w:t>
      </w:r>
      <w:r w:rsidR="00AE5611" w:rsidRPr="00A53AD7">
        <w:rPr>
          <w:rFonts w:ascii="Times New Roman" w:hAnsi="Times New Roman"/>
          <w:sz w:val="28"/>
          <w:szCs w:val="28"/>
        </w:rPr>
        <w:t>х</w:t>
      </w:r>
      <w:r w:rsidRPr="00A53AD7">
        <w:rPr>
          <w:rFonts w:ascii="Times New Roman" w:hAnsi="Times New Roman"/>
          <w:sz w:val="28"/>
          <w:szCs w:val="28"/>
        </w:rPr>
        <w:t xml:space="preserve"> вид</w:t>
      </w:r>
      <w:r w:rsidR="00AE5611" w:rsidRPr="00A53AD7">
        <w:rPr>
          <w:rFonts w:ascii="Times New Roman" w:hAnsi="Times New Roman"/>
          <w:sz w:val="28"/>
          <w:szCs w:val="28"/>
        </w:rPr>
        <w:t>ов</w:t>
      </w:r>
      <w:r w:rsidRPr="00A53AD7">
        <w:rPr>
          <w:rFonts w:ascii="Times New Roman" w:hAnsi="Times New Roman"/>
          <w:sz w:val="28"/>
          <w:szCs w:val="28"/>
        </w:rPr>
        <w:t xml:space="preserve"> долговых обязательств Архангельской области</w:t>
      </w:r>
      <w:r w:rsidR="00832A0E" w:rsidRPr="00A53AD7">
        <w:rPr>
          <w:rFonts w:ascii="Times New Roman" w:hAnsi="Times New Roman"/>
          <w:sz w:val="28"/>
          <w:szCs w:val="28"/>
        </w:rPr>
        <w:t>, в том числе в виде бюджетных кредитов – на 577,</w:t>
      </w:r>
      <w:r w:rsidR="00AE5611" w:rsidRPr="00A53AD7">
        <w:rPr>
          <w:rFonts w:ascii="Times New Roman" w:hAnsi="Times New Roman"/>
          <w:sz w:val="28"/>
          <w:szCs w:val="28"/>
        </w:rPr>
        <w:t>4</w:t>
      </w:r>
      <w:r w:rsidR="00832A0E" w:rsidRPr="00A53AD7">
        <w:rPr>
          <w:rFonts w:ascii="Times New Roman" w:hAnsi="Times New Roman"/>
          <w:sz w:val="28"/>
          <w:szCs w:val="28"/>
        </w:rPr>
        <w:t xml:space="preserve"> млн.руб. или на </w:t>
      </w:r>
      <w:r w:rsidR="00CB026A" w:rsidRPr="00A53AD7">
        <w:rPr>
          <w:rFonts w:ascii="Times New Roman" w:hAnsi="Times New Roman"/>
          <w:sz w:val="28"/>
          <w:szCs w:val="28"/>
        </w:rPr>
        <w:t>4,1</w:t>
      </w:r>
      <w:r w:rsidR="00AF6FA3" w:rsidRPr="00A53AD7">
        <w:rPr>
          <w:rFonts w:ascii="Times New Roman" w:hAnsi="Times New Roman"/>
          <w:sz w:val="28"/>
          <w:szCs w:val="28"/>
        </w:rPr>
        <w:t xml:space="preserve"> %, в виде кредитов кредитных организаций – на </w:t>
      </w:r>
      <w:r w:rsidR="00CB026A" w:rsidRPr="00A53AD7">
        <w:rPr>
          <w:rFonts w:ascii="Times New Roman" w:hAnsi="Times New Roman"/>
          <w:sz w:val="28"/>
          <w:szCs w:val="28"/>
        </w:rPr>
        <w:t>700,1</w:t>
      </w:r>
      <w:r w:rsidR="00AF6FA3" w:rsidRPr="00A53AD7">
        <w:rPr>
          <w:rFonts w:ascii="Times New Roman" w:hAnsi="Times New Roman"/>
          <w:sz w:val="28"/>
          <w:szCs w:val="28"/>
        </w:rPr>
        <w:t xml:space="preserve"> млн.руб. или на </w:t>
      </w:r>
      <w:r w:rsidR="00CB026A" w:rsidRPr="00A53AD7">
        <w:rPr>
          <w:rFonts w:ascii="Times New Roman" w:hAnsi="Times New Roman"/>
          <w:sz w:val="28"/>
          <w:szCs w:val="28"/>
        </w:rPr>
        <w:t>3,3</w:t>
      </w:r>
      <w:r w:rsidR="00AF6FA3" w:rsidRPr="00A53AD7">
        <w:rPr>
          <w:rFonts w:ascii="Times New Roman" w:hAnsi="Times New Roman"/>
          <w:sz w:val="28"/>
          <w:szCs w:val="28"/>
        </w:rPr>
        <w:t xml:space="preserve"> %, в виде государственных гарантий – на </w:t>
      </w:r>
      <w:r w:rsidR="00CB026A" w:rsidRPr="00A53AD7">
        <w:rPr>
          <w:rFonts w:ascii="Times New Roman" w:hAnsi="Times New Roman"/>
          <w:sz w:val="28"/>
          <w:szCs w:val="28"/>
        </w:rPr>
        <w:t>300</w:t>
      </w:r>
      <w:r w:rsidR="00AF6FA3" w:rsidRPr="00A53AD7">
        <w:rPr>
          <w:rFonts w:ascii="Times New Roman" w:hAnsi="Times New Roman"/>
          <w:sz w:val="28"/>
          <w:szCs w:val="28"/>
        </w:rPr>
        <w:t>,0 млн.руб. и</w:t>
      </w:r>
      <w:r w:rsidR="00552C6F" w:rsidRPr="00A53AD7">
        <w:rPr>
          <w:rFonts w:ascii="Times New Roman" w:hAnsi="Times New Roman"/>
          <w:sz w:val="28"/>
          <w:szCs w:val="28"/>
        </w:rPr>
        <w:t xml:space="preserve"> на 01.01.2020 обязательства в виде государственных гарантий у Архангельской области отсутствуют</w:t>
      </w:r>
      <w:r w:rsidR="004910A4" w:rsidRPr="00A53AD7">
        <w:rPr>
          <w:rFonts w:ascii="Times New Roman" w:hAnsi="Times New Roman"/>
          <w:sz w:val="28"/>
          <w:szCs w:val="28"/>
        </w:rPr>
        <w:t>.</w:t>
      </w:r>
    </w:p>
    <w:p w14:paraId="59551C67" w14:textId="65B24936" w:rsidR="00650B79" w:rsidRPr="00A53AD7" w:rsidRDefault="00EC350B"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Структурные изменения долговых обязательств в 2019 году характеризуются незначительным увеличением удельного веса </w:t>
      </w:r>
      <w:r w:rsidR="00A13153" w:rsidRPr="00A53AD7">
        <w:rPr>
          <w:rFonts w:ascii="Times New Roman" w:hAnsi="Times New Roman"/>
          <w:sz w:val="28"/>
          <w:szCs w:val="28"/>
        </w:rPr>
        <w:t>обязательств в виде бюджетных кредитов и кредитов кредитных организаций на 0,1 п.п. и 0,7 п.п. соответственно за счет снижения удельного веса обязательств в виде государственных гарантий на 0,8 п.п.</w:t>
      </w:r>
    </w:p>
    <w:p w14:paraId="7267F1F6" w14:textId="51C6FE5B" w:rsidR="007843EF" w:rsidRPr="00A53AD7" w:rsidRDefault="007843EF" w:rsidP="00740A93">
      <w:pPr>
        <w:spacing w:after="0" w:line="240" w:lineRule="auto"/>
        <w:ind w:firstLine="851"/>
        <w:jc w:val="both"/>
        <w:rPr>
          <w:rFonts w:ascii="Times New Roman" w:hAnsi="Times New Roman"/>
          <w:sz w:val="28"/>
          <w:szCs w:val="28"/>
        </w:rPr>
      </w:pPr>
      <w:r w:rsidRPr="00A53AD7">
        <w:rPr>
          <w:rFonts w:ascii="Times New Roman" w:hAnsi="Times New Roman"/>
          <w:sz w:val="28"/>
          <w:szCs w:val="28"/>
        </w:rPr>
        <w:t>Ежеквартальн</w:t>
      </w:r>
      <w:r w:rsidR="00915911" w:rsidRPr="00A53AD7">
        <w:rPr>
          <w:rFonts w:ascii="Times New Roman" w:hAnsi="Times New Roman"/>
          <w:sz w:val="28"/>
          <w:szCs w:val="28"/>
        </w:rPr>
        <w:t xml:space="preserve">ое изменение состава </w:t>
      </w:r>
      <w:r w:rsidRPr="00A53AD7">
        <w:rPr>
          <w:rFonts w:ascii="Times New Roman" w:hAnsi="Times New Roman"/>
          <w:sz w:val="28"/>
          <w:szCs w:val="28"/>
        </w:rPr>
        <w:t>государственных долговых обязательств в 20</w:t>
      </w:r>
      <w:r w:rsidR="00915911" w:rsidRPr="00A53AD7">
        <w:rPr>
          <w:rFonts w:ascii="Times New Roman" w:hAnsi="Times New Roman"/>
          <w:sz w:val="28"/>
          <w:szCs w:val="28"/>
        </w:rPr>
        <w:t>19</w:t>
      </w:r>
      <w:r w:rsidRPr="00A53AD7">
        <w:rPr>
          <w:rFonts w:ascii="Times New Roman" w:hAnsi="Times New Roman"/>
          <w:sz w:val="28"/>
          <w:szCs w:val="28"/>
        </w:rPr>
        <w:t xml:space="preserve"> году</w:t>
      </w:r>
      <w:r w:rsidR="0077394C" w:rsidRPr="00A53AD7">
        <w:rPr>
          <w:rFonts w:ascii="Times New Roman" w:hAnsi="Times New Roman"/>
          <w:sz w:val="28"/>
          <w:szCs w:val="28"/>
        </w:rPr>
        <w:t xml:space="preserve"> представлена на рисунке </w:t>
      </w:r>
      <w:r w:rsidR="00404E35" w:rsidRPr="00A53AD7">
        <w:rPr>
          <w:rFonts w:ascii="Times New Roman" w:hAnsi="Times New Roman"/>
          <w:sz w:val="28"/>
          <w:szCs w:val="28"/>
        </w:rPr>
        <w:t>84</w:t>
      </w:r>
      <w:r w:rsidR="0077394C" w:rsidRPr="00A53AD7">
        <w:rPr>
          <w:rFonts w:ascii="Times New Roman" w:hAnsi="Times New Roman"/>
          <w:sz w:val="28"/>
          <w:szCs w:val="28"/>
        </w:rPr>
        <w:t>:</w:t>
      </w:r>
    </w:p>
    <w:p w14:paraId="5C5A34D1" w14:textId="13FDAC57" w:rsidR="0077394C" w:rsidRPr="00A53AD7" w:rsidRDefault="00760F44" w:rsidP="00760F44">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38846D06" wp14:editId="409B06DB">
            <wp:extent cx="4565650" cy="2236457"/>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8590" cy="2242796"/>
                    </a:xfrm>
                    <a:prstGeom prst="rect">
                      <a:avLst/>
                    </a:prstGeom>
                    <a:noFill/>
                  </pic:spPr>
                </pic:pic>
              </a:graphicData>
            </a:graphic>
          </wp:inline>
        </w:drawing>
      </w:r>
    </w:p>
    <w:p w14:paraId="16051456" w14:textId="41C4ADB6" w:rsidR="0077394C" w:rsidRPr="00A53AD7" w:rsidRDefault="0077394C" w:rsidP="0077394C">
      <w:pPr>
        <w:spacing w:before="60" w:after="20" w:line="240" w:lineRule="auto"/>
        <w:rPr>
          <w:rFonts w:ascii="Times New Roman" w:hAnsi="Times New Roman"/>
          <w:bCs/>
          <w:sz w:val="24"/>
          <w:szCs w:val="28"/>
        </w:rPr>
      </w:pPr>
      <w:r w:rsidRPr="00A53AD7">
        <w:rPr>
          <w:rFonts w:ascii="Times New Roman" w:hAnsi="Times New Roman"/>
          <w:bCs/>
          <w:sz w:val="24"/>
          <w:szCs w:val="18"/>
        </w:rPr>
        <w:t xml:space="preserve">Рисунок </w:t>
      </w:r>
      <w:r w:rsidRPr="00A53AD7">
        <w:rPr>
          <w:rFonts w:ascii="Times New Roman" w:hAnsi="Times New Roman"/>
          <w:bCs/>
          <w:noProof/>
          <w:sz w:val="24"/>
          <w:szCs w:val="18"/>
        </w:rPr>
        <w:fldChar w:fldCharType="begin"/>
      </w:r>
      <w:r w:rsidRPr="00A53AD7">
        <w:rPr>
          <w:rFonts w:ascii="Times New Roman" w:hAnsi="Times New Roman"/>
          <w:bCs/>
          <w:noProof/>
          <w:sz w:val="24"/>
          <w:szCs w:val="18"/>
        </w:rPr>
        <w:instrText xml:space="preserve"> SEQ Рисунок \* ARABIC </w:instrText>
      </w:r>
      <w:r w:rsidRPr="00A53AD7">
        <w:rPr>
          <w:rFonts w:ascii="Times New Roman" w:hAnsi="Times New Roman"/>
          <w:bCs/>
          <w:noProof/>
          <w:sz w:val="24"/>
          <w:szCs w:val="18"/>
        </w:rPr>
        <w:fldChar w:fldCharType="separate"/>
      </w:r>
      <w:r w:rsidR="005351E5" w:rsidRPr="00A53AD7">
        <w:rPr>
          <w:rFonts w:ascii="Times New Roman" w:hAnsi="Times New Roman"/>
          <w:bCs/>
          <w:noProof/>
          <w:sz w:val="24"/>
          <w:szCs w:val="18"/>
        </w:rPr>
        <w:t>84</w:t>
      </w:r>
      <w:r w:rsidRPr="00A53AD7">
        <w:rPr>
          <w:rFonts w:ascii="Times New Roman" w:hAnsi="Times New Roman"/>
          <w:bCs/>
          <w:noProof/>
          <w:sz w:val="24"/>
          <w:szCs w:val="18"/>
        </w:rPr>
        <w:fldChar w:fldCharType="end"/>
      </w:r>
      <w:r w:rsidRPr="00A53AD7">
        <w:rPr>
          <w:rFonts w:ascii="Times New Roman" w:hAnsi="Times New Roman"/>
          <w:bCs/>
          <w:sz w:val="24"/>
          <w:szCs w:val="18"/>
        </w:rPr>
        <w:t>. Структура государственного внутреннего долга Архангельской области в 2018 году, млн.руб.</w:t>
      </w:r>
    </w:p>
    <w:p w14:paraId="6FE2C2F8" w14:textId="77777777" w:rsidR="0077394C" w:rsidRPr="00A53AD7" w:rsidRDefault="0077394C" w:rsidP="00740A93">
      <w:pPr>
        <w:spacing w:after="0" w:line="240" w:lineRule="auto"/>
        <w:ind w:firstLine="851"/>
        <w:jc w:val="both"/>
        <w:rPr>
          <w:rFonts w:ascii="Times New Roman" w:hAnsi="Times New Roman"/>
          <w:sz w:val="28"/>
          <w:szCs w:val="28"/>
        </w:rPr>
      </w:pPr>
    </w:p>
    <w:p w14:paraId="695E86FF" w14:textId="39B0D9F3" w:rsidR="0077394C" w:rsidRPr="00A53AD7" w:rsidRDefault="0077394C" w:rsidP="00740A93">
      <w:pPr>
        <w:spacing w:after="0" w:line="240" w:lineRule="auto"/>
        <w:ind w:firstLine="851"/>
        <w:jc w:val="both"/>
        <w:rPr>
          <w:rFonts w:ascii="Times New Roman" w:hAnsi="Times New Roman"/>
          <w:sz w:val="28"/>
          <w:szCs w:val="28"/>
        </w:rPr>
      </w:pPr>
      <w:r w:rsidRPr="00A53AD7">
        <w:rPr>
          <w:rFonts w:ascii="Times New Roman" w:hAnsi="Times New Roman"/>
          <w:sz w:val="28"/>
          <w:szCs w:val="28"/>
        </w:rPr>
        <w:t>Таким образом, на протяжении практически всего года в структуре долговых обязательств преобладали бюджетные кредиты</w:t>
      </w:r>
      <w:r w:rsidR="0032459A" w:rsidRPr="00A53AD7">
        <w:rPr>
          <w:rFonts w:ascii="Times New Roman" w:hAnsi="Times New Roman"/>
          <w:sz w:val="28"/>
          <w:szCs w:val="28"/>
        </w:rPr>
        <w:t xml:space="preserve"> в результате привлечения бюджетного кредита в УФК по Архангельской области и НАО на пополнение остатка средств на счете бюджета</w:t>
      </w:r>
      <w:r w:rsidR="00D349D3" w:rsidRPr="00A53AD7">
        <w:rPr>
          <w:rFonts w:ascii="Times New Roman" w:hAnsi="Times New Roman"/>
          <w:sz w:val="28"/>
          <w:szCs w:val="28"/>
        </w:rPr>
        <w:t>, что явилось одним из факторов, оказавшим влияние на сокращение расходов по обслуживанию долговых обязательств.</w:t>
      </w:r>
    </w:p>
    <w:p w14:paraId="0547AFED" w14:textId="0C58DE4C" w:rsidR="00650B79" w:rsidRPr="00A53AD7" w:rsidRDefault="00BA48E6" w:rsidP="00740A93">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Согласно </w:t>
      </w:r>
      <w:r w:rsidR="009E7D81" w:rsidRPr="00A53AD7">
        <w:rPr>
          <w:rFonts w:ascii="Times New Roman" w:hAnsi="Times New Roman"/>
          <w:sz w:val="28"/>
          <w:szCs w:val="28"/>
        </w:rPr>
        <w:t>представленному отчету</w:t>
      </w:r>
      <w:r w:rsidR="009A21B3" w:rsidRPr="00A53AD7">
        <w:rPr>
          <w:rFonts w:ascii="Times New Roman" w:hAnsi="Times New Roman"/>
          <w:sz w:val="28"/>
          <w:szCs w:val="28"/>
        </w:rPr>
        <w:t xml:space="preserve"> и </w:t>
      </w:r>
      <w:r w:rsidR="004F070E" w:rsidRPr="00A53AD7">
        <w:rPr>
          <w:rFonts w:ascii="Times New Roman" w:hAnsi="Times New Roman"/>
          <w:sz w:val="28"/>
          <w:szCs w:val="28"/>
        </w:rPr>
        <w:t>д</w:t>
      </w:r>
      <w:r w:rsidR="00A95D0D" w:rsidRPr="00A53AD7">
        <w:rPr>
          <w:rFonts w:ascii="Times New Roman" w:hAnsi="Times New Roman"/>
          <w:sz w:val="28"/>
          <w:szCs w:val="28"/>
        </w:rPr>
        <w:t>олговой книге Архангельской области</w:t>
      </w:r>
      <w:r w:rsidRPr="00A53AD7">
        <w:rPr>
          <w:rFonts w:ascii="Times New Roman" w:hAnsi="Times New Roman"/>
          <w:sz w:val="28"/>
          <w:szCs w:val="28"/>
        </w:rPr>
        <w:t>, о</w:t>
      </w:r>
      <w:r w:rsidR="00650B79" w:rsidRPr="00A53AD7">
        <w:rPr>
          <w:rFonts w:ascii="Times New Roman" w:hAnsi="Times New Roman"/>
          <w:sz w:val="28"/>
          <w:szCs w:val="28"/>
        </w:rPr>
        <w:t xml:space="preserve">бщий объем привлеченных бюджетных кредитов </w:t>
      </w:r>
      <w:r w:rsidR="009A21B3" w:rsidRPr="00A53AD7">
        <w:rPr>
          <w:rFonts w:ascii="Times New Roman" w:hAnsi="Times New Roman"/>
          <w:sz w:val="28"/>
          <w:szCs w:val="28"/>
        </w:rPr>
        <w:t>в</w:t>
      </w:r>
      <w:r w:rsidR="00650B79" w:rsidRPr="00A53AD7">
        <w:rPr>
          <w:rFonts w:ascii="Times New Roman" w:hAnsi="Times New Roman"/>
          <w:sz w:val="28"/>
          <w:szCs w:val="28"/>
        </w:rPr>
        <w:t xml:space="preserve"> 201</w:t>
      </w:r>
      <w:r w:rsidR="009E7D81" w:rsidRPr="00A53AD7">
        <w:rPr>
          <w:rFonts w:ascii="Times New Roman" w:hAnsi="Times New Roman"/>
          <w:sz w:val="28"/>
          <w:szCs w:val="28"/>
        </w:rPr>
        <w:t>9</w:t>
      </w:r>
      <w:r w:rsidR="00650B79" w:rsidRPr="00A53AD7">
        <w:rPr>
          <w:rFonts w:ascii="Times New Roman" w:hAnsi="Times New Roman"/>
          <w:sz w:val="28"/>
          <w:szCs w:val="28"/>
        </w:rPr>
        <w:t xml:space="preserve"> год</w:t>
      </w:r>
      <w:r w:rsidR="009A21B3" w:rsidRPr="00A53AD7">
        <w:rPr>
          <w:rFonts w:ascii="Times New Roman" w:hAnsi="Times New Roman"/>
          <w:sz w:val="28"/>
          <w:szCs w:val="28"/>
        </w:rPr>
        <w:t>у</w:t>
      </w:r>
      <w:r w:rsidR="00650B79" w:rsidRPr="00A53AD7">
        <w:rPr>
          <w:rFonts w:ascii="Times New Roman" w:hAnsi="Times New Roman"/>
          <w:sz w:val="28"/>
          <w:szCs w:val="28"/>
        </w:rPr>
        <w:t xml:space="preserve"> составил </w:t>
      </w:r>
      <w:r w:rsidR="009E7D81" w:rsidRPr="00A53AD7">
        <w:rPr>
          <w:rFonts w:ascii="Times New Roman" w:hAnsi="Times New Roman"/>
          <w:sz w:val="28"/>
          <w:szCs w:val="28"/>
        </w:rPr>
        <w:t>20 212,7</w:t>
      </w:r>
      <w:r w:rsidR="00650B79" w:rsidRPr="00A53AD7">
        <w:rPr>
          <w:rFonts w:ascii="Times New Roman" w:hAnsi="Times New Roman"/>
          <w:sz w:val="28"/>
          <w:szCs w:val="28"/>
        </w:rPr>
        <w:t xml:space="preserve"> млн.руб.</w:t>
      </w:r>
      <w:r w:rsidR="00740A93" w:rsidRPr="00A53AD7">
        <w:rPr>
          <w:rFonts w:ascii="Times New Roman" w:hAnsi="Times New Roman"/>
          <w:sz w:val="28"/>
          <w:szCs w:val="28"/>
        </w:rPr>
        <w:t xml:space="preserve"> на </w:t>
      </w:r>
      <w:r w:rsidR="00650B79" w:rsidRPr="00A53AD7">
        <w:rPr>
          <w:rFonts w:ascii="Times New Roman" w:hAnsi="Times New Roman"/>
          <w:sz w:val="28"/>
          <w:szCs w:val="28"/>
        </w:rPr>
        <w:t>основании договора о предоставлении бюджетного кредита с УФК по Архангельской области и НАО на пополнение остатков средств на счете бюджета (с учетом дополнительных соглашений к нему) в соответствии со ст. 93.6 БК РФ по ставке за пользование к</w:t>
      </w:r>
      <w:r w:rsidR="00B43807" w:rsidRPr="00A53AD7">
        <w:rPr>
          <w:rFonts w:ascii="Times New Roman" w:hAnsi="Times New Roman"/>
          <w:sz w:val="28"/>
          <w:szCs w:val="28"/>
        </w:rPr>
        <w:t>редитом в размере 0,1 % годовых.</w:t>
      </w:r>
    </w:p>
    <w:p w14:paraId="489C606F" w14:textId="5D15DAE1"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Сумма погашения бюджетных кредитов в 201</w:t>
      </w:r>
      <w:r w:rsidR="00B94B18" w:rsidRPr="00A53AD7">
        <w:rPr>
          <w:rFonts w:ascii="Times New Roman" w:hAnsi="Times New Roman"/>
          <w:sz w:val="28"/>
          <w:szCs w:val="28"/>
        </w:rPr>
        <w:t>9</w:t>
      </w:r>
      <w:r w:rsidRPr="00A53AD7">
        <w:rPr>
          <w:rFonts w:ascii="Times New Roman" w:hAnsi="Times New Roman"/>
          <w:sz w:val="28"/>
          <w:szCs w:val="28"/>
        </w:rPr>
        <w:t xml:space="preserve"> году составила </w:t>
      </w:r>
      <w:r w:rsidR="004A3658" w:rsidRPr="00A53AD7">
        <w:rPr>
          <w:rFonts w:ascii="Times New Roman" w:hAnsi="Times New Roman"/>
          <w:sz w:val="28"/>
          <w:szCs w:val="28"/>
        </w:rPr>
        <w:t>всего 20 790,2</w:t>
      </w:r>
      <w:r w:rsidR="004504A5" w:rsidRPr="00A53AD7">
        <w:rPr>
          <w:rFonts w:ascii="Times New Roman" w:hAnsi="Times New Roman"/>
          <w:sz w:val="28"/>
          <w:szCs w:val="28"/>
        </w:rPr>
        <w:t xml:space="preserve"> </w:t>
      </w:r>
      <w:r w:rsidRPr="00A53AD7">
        <w:rPr>
          <w:rFonts w:ascii="Times New Roman" w:hAnsi="Times New Roman"/>
          <w:sz w:val="28"/>
          <w:szCs w:val="28"/>
        </w:rPr>
        <w:t>млн.руб., в том числе:</w:t>
      </w:r>
    </w:p>
    <w:p w14:paraId="322C56C5" w14:textId="5D4C6DAE" w:rsidR="00650B79" w:rsidRPr="00A53AD7" w:rsidRDefault="00613B75" w:rsidP="000C10D4">
      <w:pPr>
        <w:pStyle w:val="1"/>
        <w:ind w:left="0" w:firstLine="839"/>
      </w:pPr>
      <w:r w:rsidRPr="00A53AD7">
        <w:t>20 212,7</w:t>
      </w:r>
      <w:r w:rsidR="00650B79" w:rsidRPr="00A53AD7">
        <w:t xml:space="preserve"> млн.руб. – погашен бюджетный кредит на пополнение остатков на счете областного бюджета в соответствии со ст. 93.6 БК РФ. Погашение указанного кредита производилось своевременно</w:t>
      </w:r>
      <w:r w:rsidR="00A95918" w:rsidRPr="00A53AD7">
        <w:t xml:space="preserve"> (окончательно погашен 25.11.2019)</w:t>
      </w:r>
      <w:r w:rsidR="00650B79" w:rsidRPr="00A53AD7">
        <w:t>;</w:t>
      </w:r>
    </w:p>
    <w:p w14:paraId="6A09923D" w14:textId="7B02E002" w:rsidR="00650B79" w:rsidRPr="00A53AD7" w:rsidRDefault="00476AD1" w:rsidP="000C10D4">
      <w:pPr>
        <w:pStyle w:val="1"/>
        <w:ind w:left="0" w:firstLine="839"/>
      </w:pPr>
      <w:r w:rsidRPr="00A53AD7">
        <w:t>577,</w:t>
      </w:r>
      <w:r w:rsidR="00613B75" w:rsidRPr="00A53AD7">
        <w:t>5</w:t>
      </w:r>
      <w:r w:rsidR="00650B79" w:rsidRPr="00A53AD7">
        <w:t xml:space="preserve"> млн.руб. – погашены бюджетные кредиты</w:t>
      </w:r>
      <w:r w:rsidR="00C41FC8" w:rsidRPr="00A53AD7">
        <w:t xml:space="preserve"> из федерального бюджета</w:t>
      </w:r>
      <w:r w:rsidR="00650B79" w:rsidRPr="00A53AD7">
        <w:t xml:space="preserve">, предоставленные </w:t>
      </w:r>
      <w:r w:rsidR="00416633" w:rsidRPr="00A53AD7">
        <w:t xml:space="preserve">на основании соглашений, заключенным с </w:t>
      </w:r>
      <w:r w:rsidR="00650B79" w:rsidRPr="00A53AD7">
        <w:t>Минфином России</w:t>
      </w:r>
      <w:r w:rsidR="00C41FC8" w:rsidRPr="00A53AD7">
        <w:t>.</w:t>
      </w:r>
    </w:p>
    <w:p w14:paraId="7A3349D1" w14:textId="67EC6C60" w:rsidR="00650B79" w:rsidRPr="00A53AD7" w:rsidRDefault="00141CDA"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результате </w:t>
      </w:r>
      <w:r w:rsidR="00650B79" w:rsidRPr="00A53AD7">
        <w:rPr>
          <w:rFonts w:ascii="Times New Roman" w:hAnsi="Times New Roman"/>
          <w:sz w:val="28"/>
          <w:szCs w:val="28"/>
        </w:rPr>
        <w:t xml:space="preserve">на </w:t>
      </w:r>
      <w:r w:rsidRPr="00A53AD7">
        <w:rPr>
          <w:rFonts w:ascii="Times New Roman" w:hAnsi="Times New Roman"/>
          <w:sz w:val="28"/>
          <w:szCs w:val="28"/>
        </w:rPr>
        <w:t>отчетную дату</w:t>
      </w:r>
      <w:r w:rsidR="00650B79" w:rsidRPr="00A53AD7">
        <w:rPr>
          <w:rFonts w:ascii="Times New Roman" w:hAnsi="Times New Roman"/>
          <w:sz w:val="28"/>
          <w:szCs w:val="28"/>
        </w:rPr>
        <w:t xml:space="preserve"> долговые обязательства Архангельской области в виде бюджетных кредитов сложились по </w:t>
      </w:r>
      <w:r w:rsidR="00DB2B4E" w:rsidRPr="00A53AD7">
        <w:rPr>
          <w:rFonts w:ascii="Times New Roman" w:hAnsi="Times New Roman"/>
          <w:sz w:val="28"/>
          <w:szCs w:val="28"/>
        </w:rPr>
        <w:t xml:space="preserve">восьми </w:t>
      </w:r>
      <w:r w:rsidR="00650B79" w:rsidRPr="00A53AD7">
        <w:rPr>
          <w:rFonts w:ascii="Times New Roman" w:hAnsi="Times New Roman"/>
          <w:sz w:val="28"/>
          <w:szCs w:val="28"/>
        </w:rPr>
        <w:t>соглашениям с Минфином России на общую сумму 1</w:t>
      </w:r>
      <w:r w:rsidR="00CB2823" w:rsidRPr="00A53AD7">
        <w:rPr>
          <w:rFonts w:ascii="Times New Roman" w:hAnsi="Times New Roman"/>
          <w:sz w:val="28"/>
          <w:szCs w:val="28"/>
        </w:rPr>
        <w:t>3 671,7</w:t>
      </w:r>
      <w:r w:rsidR="00FB35AD" w:rsidRPr="00A53AD7">
        <w:rPr>
          <w:rFonts w:ascii="Times New Roman" w:hAnsi="Times New Roman"/>
          <w:sz w:val="28"/>
          <w:szCs w:val="28"/>
        </w:rPr>
        <w:t xml:space="preserve"> млн.руб.</w:t>
      </w:r>
    </w:p>
    <w:p w14:paraId="1CA3E06C" w14:textId="2F2B3C5E"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Движение кредитов от кредитных организаций за 201</w:t>
      </w:r>
      <w:r w:rsidR="00B94B18" w:rsidRPr="00A53AD7">
        <w:rPr>
          <w:rFonts w:ascii="Times New Roman" w:hAnsi="Times New Roman"/>
          <w:sz w:val="28"/>
          <w:szCs w:val="28"/>
        </w:rPr>
        <w:t>9</w:t>
      </w:r>
      <w:r w:rsidRPr="00A53AD7">
        <w:rPr>
          <w:rFonts w:ascii="Times New Roman" w:hAnsi="Times New Roman"/>
          <w:sz w:val="28"/>
          <w:szCs w:val="28"/>
        </w:rPr>
        <w:t xml:space="preserve"> год </w:t>
      </w:r>
      <w:r w:rsidR="005460BC" w:rsidRPr="00A53AD7">
        <w:rPr>
          <w:rFonts w:ascii="Times New Roman" w:hAnsi="Times New Roman"/>
          <w:sz w:val="28"/>
          <w:szCs w:val="28"/>
        </w:rPr>
        <w:t xml:space="preserve">согласно </w:t>
      </w:r>
      <w:r w:rsidR="004F070E" w:rsidRPr="00A53AD7">
        <w:rPr>
          <w:rFonts w:ascii="Times New Roman" w:hAnsi="Times New Roman"/>
          <w:sz w:val="28"/>
          <w:szCs w:val="28"/>
        </w:rPr>
        <w:t>д</w:t>
      </w:r>
      <w:r w:rsidR="005460BC" w:rsidRPr="00A53AD7">
        <w:rPr>
          <w:rFonts w:ascii="Times New Roman" w:hAnsi="Times New Roman"/>
          <w:sz w:val="28"/>
          <w:szCs w:val="28"/>
        </w:rPr>
        <w:t xml:space="preserve">олговой книге Архангельской области </w:t>
      </w:r>
      <w:r w:rsidR="00B94B18" w:rsidRPr="00A53AD7">
        <w:rPr>
          <w:rFonts w:ascii="Times New Roman" w:hAnsi="Times New Roman"/>
          <w:sz w:val="28"/>
          <w:szCs w:val="28"/>
        </w:rPr>
        <w:t xml:space="preserve">в разрезе кредиторов </w:t>
      </w:r>
      <w:r w:rsidRPr="00A53AD7">
        <w:rPr>
          <w:rFonts w:ascii="Times New Roman" w:hAnsi="Times New Roman"/>
          <w:sz w:val="28"/>
          <w:szCs w:val="28"/>
        </w:rPr>
        <w:t xml:space="preserve">представлено в таблице </w:t>
      </w:r>
      <w:r w:rsidR="00404E35" w:rsidRPr="00A53AD7">
        <w:rPr>
          <w:rFonts w:ascii="Times New Roman" w:hAnsi="Times New Roman"/>
          <w:sz w:val="28"/>
          <w:szCs w:val="28"/>
        </w:rPr>
        <w:t>78</w:t>
      </w:r>
      <w:r w:rsidRPr="00A53AD7">
        <w:rPr>
          <w:rFonts w:ascii="Times New Roman" w:hAnsi="Times New Roman"/>
          <w:sz w:val="28"/>
          <w:szCs w:val="28"/>
        </w:rPr>
        <w:t>:</w:t>
      </w:r>
    </w:p>
    <w:p w14:paraId="55E54EB3" w14:textId="77777777" w:rsidR="00F40841" w:rsidRPr="00A53AD7" w:rsidRDefault="00F40841" w:rsidP="00650B79">
      <w:pPr>
        <w:spacing w:after="0" w:line="240" w:lineRule="auto"/>
        <w:ind w:firstLine="851"/>
        <w:jc w:val="both"/>
        <w:rPr>
          <w:rFonts w:ascii="Times New Roman" w:hAnsi="Times New Roman"/>
          <w:sz w:val="28"/>
          <w:szCs w:val="28"/>
        </w:rPr>
      </w:pPr>
    </w:p>
    <w:p w14:paraId="5908FD18" w14:textId="0B27B88C" w:rsidR="00650B79" w:rsidRPr="00A53AD7" w:rsidRDefault="00650B79" w:rsidP="00F40841">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78</w:t>
      </w:r>
      <w:r w:rsidRPr="00A53AD7">
        <w:rPr>
          <w:rFonts w:ascii="Times New Roman" w:hAnsi="Times New Roman"/>
          <w:b w:val="0"/>
          <w:noProof/>
          <w:sz w:val="24"/>
          <w:szCs w:val="24"/>
        </w:rPr>
        <w:fldChar w:fldCharType="end"/>
      </w:r>
      <w:r w:rsidRPr="00A53AD7">
        <w:rPr>
          <w:rFonts w:ascii="Times New Roman" w:hAnsi="Times New Roman"/>
          <w:b w:val="0"/>
          <w:sz w:val="24"/>
          <w:szCs w:val="24"/>
        </w:rPr>
        <w:t xml:space="preserve">. Движение заемных средств от кредитных организаций </w:t>
      </w:r>
      <w:r w:rsidR="005179DF" w:rsidRPr="00A53AD7">
        <w:rPr>
          <w:rFonts w:ascii="Times New Roman" w:hAnsi="Times New Roman"/>
          <w:b w:val="0"/>
          <w:sz w:val="24"/>
          <w:szCs w:val="24"/>
        </w:rPr>
        <w:t>в</w:t>
      </w:r>
      <w:r w:rsidRPr="00A53AD7">
        <w:rPr>
          <w:rFonts w:ascii="Times New Roman" w:hAnsi="Times New Roman"/>
          <w:b w:val="0"/>
          <w:sz w:val="24"/>
          <w:szCs w:val="24"/>
        </w:rPr>
        <w:t xml:space="preserve"> 201</w:t>
      </w:r>
      <w:r w:rsidR="00C8011B" w:rsidRPr="00A53AD7">
        <w:rPr>
          <w:rFonts w:ascii="Times New Roman" w:hAnsi="Times New Roman"/>
          <w:b w:val="0"/>
          <w:sz w:val="24"/>
          <w:szCs w:val="24"/>
        </w:rPr>
        <w:t>9</w:t>
      </w:r>
      <w:r w:rsidRPr="00A53AD7">
        <w:rPr>
          <w:rFonts w:ascii="Times New Roman" w:hAnsi="Times New Roman"/>
          <w:b w:val="0"/>
          <w:sz w:val="24"/>
          <w:szCs w:val="24"/>
        </w:rPr>
        <w:t xml:space="preserve"> год</w:t>
      </w:r>
      <w:r w:rsidR="005179DF" w:rsidRPr="00A53AD7">
        <w:rPr>
          <w:rFonts w:ascii="Times New Roman" w:hAnsi="Times New Roman"/>
          <w:b w:val="0"/>
          <w:sz w:val="24"/>
          <w:szCs w:val="24"/>
        </w:rPr>
        <w:t>у</w:t>
      </w:r>
      <w:r w:rsidRPr="00A53AD7">
        <w:rPr>
          <w:rFonts w:ascii="Times New Roman" w:hAnsi="Times New Roman"/>
          <w:b w:val="0"/>
          <w:sz w:val="24"/>
          <w:szCs w:val="24"/>
        </w:rPr>
        <w:t>, млн.руб.</w:t>
      </w:r>
    </w:p>
    <w:tbl>
      <w:tblPr>
        <w:tblW w:w="9351" w:type="dxa"/>
        <w:tblInd w:w="85" w:type="dxa"/>
        <w:tblLook w:val="04A0" w:firstRow="1" w:lastRow="0" w:firstColumn="1" w:lastColumn="0" w:noHBand="0" w:noVBand="1"/>
      </w:tblPr>
      <w:tblGrid>
        <w:gridCol w:w="3000"/>
        <w:gridCol w:w="1215"/>
        <w:gridCol w:w="1417"/>
        <w:gridCol w:w="1276"/>
        <w:gridCol w:w="1206"/>
        <w:gridCol w:w="1237"/>
      </w:tblGrid>
      <w:tr w:rsidR="00D470B6" w:rsidRPr="00A53AD7" w14:paraId="58D8E889" w14:textId="77777777" w:rsidTr="00353666">
        <w:trPr>
          <w:trHeight w:val="18"/>
          <w:tblHeader/>
        </w:trPr>
        <w:tc>
          <w:tcPr>
            <w:tcW w:w="3000" w:type="dxa"/>
            <w:tcBorders>
              <w:top w:val="double" w:sz="6" w:space="0" w:color="auto"/>
              <w:left w:val="double" w:sz="6" w:space="0" w:color="auto"/>
              <w:bottom w:val="single" w:sz="4" w:space="0" w:color="auto"/>
              <w:right w:val="single" w:sz="4" w:space="0" w:color="auto"/>
            </w:tcBorders>
            <w:shd w:val="clear" w:color="auto" w:fill="auto"/>
            <w:vAlign w:val="center"/>
            <w:hideMark/>
          </w:tcPr>
          <w:p w14:paraId="48E27A47"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Наименование кредитной организации</w:t>
            </w:r>
          </w:p>
        </w:tc>
        <w:tc>
          <w:tcPr>
            <w:tcW w:w="1215" w:type="dxa"/>
            <w:tcBorders>
              <w:top w:val="double" w:sz="6" w:space="0" w:color="auto"/>
              <w:left w:val="nil"/>
              <w:bottom w:val="single" w:sz="4" w:space="0" w:color="auto"/>
              <w:right w:val="single" w:sz="4" w:space="0" w:color="auto"/>
            </w:tcBorders>
            <w:shd w:val="clear" w:color="auto" w:fill="auto"/>
            <w:vAlign w:val="center"/>
            <w:hideMark/>
          </w:tcPr>
          <w:p w14:paraId="3379D999" w14:textId="03D0484F" w:rsidR="00650B79" w:rsidRPr="00A53AD7" w:rsidRDefault="00650B79" w:rsidP="00C8011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Остаток на 01.01.201</w:t>
            </w:r>
            <w:r w:rsidR="00C8011B" w:rsidRPr="00A53AD7">
              <w:rPr>
                <w:rFonts w:ascii="Times New Roman" w:eastAsia="Times New Roman" w:hAnsi="Times New Roman"/>
                <w:lang w:eastAsia="ru-RU"/>
              </w:rPr>
              <w:t>9</w:t>
            </w:r>
          </w:p>
        </w:tc>
        <w:tc>
          <w:tcPr>
            <w:tcW w:w="1417" w:type="dxa"/>
            <w:tcBorders>
              <w:top w:val="double" w:sz="6" w:space="0" w:color="auto"/>
              <w:left w:val="nil"/>
              <w:bottom w:val="single" w:sz="4" w:space="0" w:color="auto"/>
              <w:right w:val="single" w:sz="4" w:space="0" w:color="auto"/>
            </w:tcBorders>
            <w:shd w:val="clear" w:color="auto" w:fill="auto"/>
            <w:vAlign w:val="center"/>
            <w:hideMark/>
          </w:tcPr>
          <w:p w14:paraId="649D9A52"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Привлечено в отчетном периоде</w:t>
            </w:r>
          </w:p>
        </w:tc>
        <w:tc>
          <w:tcPr>
            <w:tcW w:w="1276" w:type="dxa"/>
            <w:tcBorders>
              <w:top w:val="double" w:sz="6" w:space="0" w:color="auto"/>
              <w:left w:val="nil"/>
              <w:bottom w:val="single" w:sz="4" w:space="0" w:color="auto"/>
              <w:right w:val="single" w:sz="4" w:space="0" w:color="auto"/>
            </w:tcBorders>
            <w:shd w:val="clear" w:color="auto" w:fill="auto"/>
            <w:vAlign w:val="center"/>
            <w:hideMark/>
          </w:tcPr>
          <w:p w14:paraId="0D363088"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Погашено в отчетном периоде</w:t>
            </w:r>
          </w:p>
        </w:tc>
        <w:tc>
          <w:tcPr>
            <w:tcW w:w="1206" w:type="dxa"/>
            <w:tcBorders>
              <w:top w:val="double" w:sz="6" w:space="0" w:color="auto"/>
              <w:left w:val="nil"/>
              <w:bottom w:val="single" w:sz="4" w:space="0" w:color="auto"/>
              <w:right w:val="single" w:sz="4" w:space="0" w:color="auto"/>
            </w:tcBorders>
            <w:shd w:val="clear" w:color="auto" w:fill="auto"/>
            <w:vAlign w:val="center"/>
            <w:hideMark/>
          </w:tcPr>
          <w:p w14:paraId="72F084BB" w14:textId="2E43426F" w:rsidR="00650B79" w:rsidRPr="00A53AD7" w:rsidRDefault="00650B79" w:rsidP="00C8011B">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Остаток на 01.</w:t>
            </w:r>
            <w:r w:rsidR="00713145" w:rsidRPr="00A53AD7">
              <w:rPr>
                <w:rFonts w:ascii="Times New Roman" w:eastAsia="Times New Roman" w:hAnsi="Times New Roman"/>
                <w:lang w:eastAsia="ru-RU"/>
              </w:rPr>
              <w:t>01</w:t>
            </w:r>
            <w:r w:rsidRPr="00A53AD7">
              <w:rPr>
                <w:rFonts w:ascii="Times New Roman" w:eastAsia="Times New Roman" w:hAnsi="Times New Roman"/>
                <w:lang w:eastAsia="ru-RU"/>
              </w:rPr>
              <w:t>.20</w:t>
            </w:r>
            <w:r w:rsidR="00C8011B" w:rsidRPr="00A53AD7">
              <w:rPr>
                <w:rFonts w:ascii="Times New Roman" w:eastAsia="Times New Roman" w:hAnsi="Times New Roman"/>
                <w:lang w:eastAsia="ru-RU"/>
              </w:rPr>
              <w:t>20</w:t>
            </w:r>
          </w:p>
        </w:tc>
        <w:tc>
          <w:tcPr>
            <w:tcW w:w="1237" w:type="dxa"/>
            <w:tcBorders>
              <w:top w:val="double" w:sz="6" w:space="0" w:color="auto"/>
              <w:left w:val="nil"/>
              <w:bottom w:val="single" w:sz="4" w:space="0" w:color="auto"/>
              <w:right w:val="double" w:sz="6" w:space="0" w:color="auto"/>
            </w:tcBorders>
            <w:shd w:val="clear" w:color="auto" w:fill="auto"/>
            <w:vAlign w:val="center"/>
            <w:hideMark/>
          </w:tcPr>
          <w:p w14:paraId="1020E409"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Уплачено процентов</w:t>
            </w:r>
          </w:p>
        </w:tc>
      </w:tr>
      <w:tr w:rsidR="00D470B6" w:rsidRPr="00A53AD7" w14:paraId="05F98DD2" w14:textId="77777777" w:rsidTr="00E00F15">
        <w:trPr>
          <w:trHeight w:val="53"/>
        </w:trPr>
        <w:tc>
          <w:tcPr>
            <w:tcW w:w="3000" w:type="dxa"/>
            <w:tcBorders>
              <w:top w:val="nil"/>
              <w:left w:val="double" w:sz="6" w:space="0" w:color="auto"/>
              <w:bottom w:val="single" w:sz="4" w:space="0" w:color="auto"/>
              <w:right w:val="single" w:sz="4" w:space="0" w:color="auto"/>
            </w:tcBorders>
            <w:shd w:val="clear" w:color="auto" w:fill="auto"/>
            <w:vAlign w:val="center"/>
            <w:hideMark/>
          </w:tcPr>
          <w:p w14:paraId="145DC39D"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1215" w:type="dxa"/>
            <w:tcBorders>
              <w:top w:val="nil"/>
              <w:left w:val="nil"/>
              <w:bottom w:val="single" w:sz="4" w:space="0" w:color="auto"/>
              <w:right w:val="single" w:sz="4" w:space="0" w:color="auto"/>
            </w:tcBorders>
            <w:shd w:val="clear" w:color="auto" w:fill="auto"/>
            <w:vAlign w:val="center"/>
            <w:hideMark/>
          </w:tcPr>
          <w:p w14:paraId="6C260A77"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1417" w:type="dxa"/>
            <w:tcBorders>
              <w:top w:val="nil"/>
              <w:left w:val="nil"/>
              <w:bottom w:val="single" w:sz="4" w:space="0" w:color="auto"/>
              <w:right w:val="single" w:sz="4" w:space="0" w:color="auto"/>
            </w:tcBorders>
            <w:shd w:val="clear" w:color="auto" w:fill="auto"/>
            <w:vAlign w:val="center"/>
            <w:hideMark/>
          </w:tcPr>
          <w:p w14:paraId="0A6C6C6C"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7C882201"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1206" w:type="dxa"/>
            <w:tcBorders>
              <w:top w:val="nil"/>
              <w:left w:val="nil"/>
              <w:bottom w:val="single" w:sz="4" w:space="0" w:color="auto"/>
              <w:right w:val="single" w:sz="4" w:space="0" w:color="auto"/>
            </w:tcBorders>
            <w:shd w:val="clear" w:color="auto" w:fill="auto"/>
            <w:vAlign w:val="center"/>
            <w:hideMark/>
          </w:tcPr>
          <w:p w14:paraId="0D8D781A"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5=2+3-4</w:t>
            </w:r>
          </w:p>
        </w:tc>
        <w:tc>
          <w:tcPr>
            <w:tcW w:w="1237" w:type="dxa"/>
            <w:tcBorders>
              <w:top w:val="nil"/>
              <w:left w:val="nil"/>
              <w:bottom w:val="single" w:sz="4" w:space="0" w:color="auto"/>
              <w:right w:val="double" w:sz="6" w:space="0" w:color="auto"/>
            </w:tcBorders>
            <w:shd w:val="clear" w:color="auto" w:fill="auto"/>
            <w:vAlign w:val="center"/>
            <w:hideMark/>
          </w:tcPr>
          <w:p w14:paraId="07453B1D" w14:textId="77777777" w:rsidR="00650B79" w:rsidRPr="00A53AD7" w:rsidRDefault="00650B79" w:rsidP="007C5E19">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w:t>
            </w:r>
          </w:p>
        </w:tc>
      </w:tr>
      <w:tr w:rsidR="00D470B6" w:rsidRPr="00A53AD7" w14:paraId="693BBD59" w14:textId="77777777" w:rsidTr="003A19B1">
        <w:trPr>
          <w:trHeight w:val="53"/>
        </w:trPr>
        <w:tc>
          <w:tcPr>
            <w:tcW w:w="3000" w:type="dxa"/>
            <w:tcBorders>
              <w:top w:val="nil"/>
              <w:left w:val="double" w:sz="6" w:space="0" w:color="auto"/>
              <w:bottom w:val="single" w:sz="4" w:space="0" w:color="auto"/>
              <w:right w:val="single" w:sz="4" w:space="0" w:color="auto"/>
            </w:tcBorders>
            <w:shd w:val="clear" w:color="auto" w:fill="auto"/>
            <w:vAlign w:val="center"/>
            <w:hideMark/>
          </w:tcPr>
          <w:p w14:paraId="51C2734D" w14:textId="77777777" w:rsidR="00616A08" w:rsidRPr="00A53AD7" w:rsidRDefault="00616A08" w:rsidP="00616A0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АО «Альфа-Банк»</w:t>
            </w:r>
          </w:p>
        </w:tc>
        <w:tc>
          <w:tcPr>
            <w:tcW w:w="1215" w:type="dxa"/>
            <w:tcBorders>
              <w:top w:val="nil"/>
              <w:left w:val="nil"/>
              <w:bottom w:val="single" w:sz="4" w:space="0" w:color="auto"/>
              <w:right w:val="single" w:sz="4" w:space="0" w:color="auto"/>
            </w:tcBorders>
            <w:shd w:val="clear" w:color="auto" w:fill="auto"/>
            <w:vAlign w:val="center"/>
            <w:hideMark/>
          </w:tcPr>
          <w:p w14:paraId="2BCE2BCA" w14:textId="2E5402FA" w:rsidR="00616A08" w:rsidRPr="00A53AD7" w:rsidRDefault="00A73E5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3 500,0</w:t>
            </w:r>
            <w:r w:rsidR="00616A08" w:rsidRPr="00A53AD7">
              <w:rPr>
                <w:rFonts w:ascii="Times New Roman" w:eastAsia="Times New Roman" w:hAnsi="Times New Roman"/>
                <w:lang w:eastAsia="ru-RU"/>
              </w:rPr>
              <w:t xml:space="preserve"> </w:t>
            </w:r>
          </w:p>
        </w:tc>
        <w:tc>
          <w:tcPr>
            <w:tcW w:w="1417" w:type="dxa"/>
            <w:tcBorders>
              <w:top w:val="nil"/>
              <w:left w:val="nil"/>
              <w:bottom w:val="single" w:sz="4" w:space="0" w:color="auto"/>
              <w:right w:val="single" w:sz="4" w:space="0" w:color="auto"/>
            </w:tcBorders>
            <w:shd w:val="clear" w:color="auto" w:fill="auto"/>
            <w:vAlign w:val="center"/>
          </w:tcPr>
          <w:p w14:paraId="1F729D8E" w14:textId="2CE37595" w:rsidR="00616A08" w:rsidRPr="00A53AD7" w:rsidRDefault="00283339"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1276" w:type="dxa"/>
            <w:tcBorders>
              <w:top w:val="nil"/>
              <w:left w:val="nil"/>
              <w:bottom w:val="single" w:sz="4" w:space="0" w:color="auto"/>
              <w:right w:val="single" w:sz="4" w:space="0" w:color="auto"/>
            </w:tcBorders>
            <w:shd w:val="clear" w:color="auto" w:fill="auto"/>
            <w:vAlign w:val="center"/>
          </w:tcPr>
          <w:p w14:paraId="0B131AC5" w14:textId="5FA5F1CC" w:rsidR="00616A08" w:rsidRPr="00A53AD7" w:rsidRDefault="00332B4A"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1206" w:type="dxa"/>
            <w:tcBorders>
              <w:top w:val="nil"/>
              <w:left w:val="nil"/>
              <w:bottom w:val="single" w:sz="4" w:space="0" w:color="auto"/>
              <w:right w:val="single" w:sz="4" w:space="0" w:color="auto"/>
            </w:tcBorders>
            <w:shd w:val="clear" w:color="auto" w:fill="auto"/>
            <w:vAlign w:val="center"/>
          </w:tcPr>
          <w:p w14:paraId="76F6A44C" w14:textId="190BBAD1" w:rsidR="00616A08" w:rsidRPr="00A53AD7" w:rsidRDefault="00DB6B14"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3 500,0</w:t>
            </w:r>
          </w:p>
        </w:tc>
        <w:tc>
          <w:tcPr>
            <w:tcW w:w="1237" w:type="dxa"/>
            <w:tcBorders>
              <w:top w:val="nil"/>
              <w:left w:val="nil"/>
              <w:bottom w:val="single" w:sz="4" w:space="0" w:color="auto"/>
              <w:right w:val="double" w:sz="6" w:space="0" w:color="auto"/>
            </w:tcBorders>
            <w:shd w:val="clear" w:color="auto" w:fill="auto"/>
            <w:vAlign w:val="center"/>
          </w:tcPr>
          <w:p w14:paraId="6F09E24E" w14:textId="25465ECD" w:rsidR="00616A08" w:rsidRPr="00A53AD7" w:rsidRDefault="00A73E5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278,9</w:t>
            </w:r>
          </w:p>
        </w:tc>
      </w:tr>
      <w:tr w:rsidR="00D470B6" w:rsidRPr="00A53AD7" w14:paraId="7E61264A" w14:textId="77777777" w:rsidTr="003A19B1">
        <w:trPr>
          <w:trHeight w:val="53"/>
        </w:trPr>
        <w:tc>
          <w:tcPr>
            <w:tcW w:w="3000" w:type="dxa"/>
            <w:tcBorders>
              <w:top w:val="nil"/>
              <w:left w:val="double" w:sz="6" w:space="0" w:color="auto"/>
              <w:bottom w:val="single" w:sz="4" w:space="0" w:color="auto"/>
              <w:right w:val="single" w:sz="4" w:space="0" w:color="auto"/>
            </w:tcBorders>
            <w:shd w:val="clear" w:color="auto" w:fill="auto"/>
            <w:vAlign w:val="center"/>
          </w:tcPr>
          <w:p w14:paraId="1A71D113" w14:textId="271A82FF" w:rsidR="00A73E5B" w:rsidRPr="00A53AD7" w:rsidRDefault="00DB05EB" w:rsidP="00616A0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ПАО БАНК "ФК Открытие"</w:t>
            </w:r>
          </w:p>
        </w:tc>
        <w:tc>
          <w:tcPr>
            <w:tcW w:w="1215" w:type="dxa"/>
            <w:tcBorders>
              <w:top w:val="nil"/>
              <w:left w:val="nil"/>
              <w:bottom w:val="single" w:sz="4" w:space="0" w:color="auto"/>
              <w:right w:val="single" w:sz="4" w:space="0" w:color="auto"/>
            </w:tcBorders>
            <w:shd w:val="clear" w:color="auto" w:fill="auto"/>
            <w:vAlign w:val="center"/>
          </w:tcPr>
          <w:p w14:paraId="1B6E8359" w14:textId="3F2046BB" w:rsidR="00A73E5B" w:rsidRPr="00A53AD7" w:rsidRDefault="00DB05E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0,0</w:t>
            </w:r>
          </w:p>
        </w:tc>
        <w:tc>
          <w:tcPr>
            <w:tcW w:w="1417" w:type="dxa"/>
            <w:tcBorders>
              <w:top w:val="nil"/>
              <w:left w:val="nil"/>
              <w:bottom w:val="single" w:sz="4" w:space="0" w:color="auto"/>
              <w:right w:val="single" w:sz="4" w:space="0" w:color="auto"/>
            </w:tcBorders>
            <w:shd w:val="clear" w:color="auto" w:fill="auto"/>
            <w:vAlign w:val="center"/>
          </w:tcPr>
          <w:p w14:paraId="79B19EB5" w14:textId="587E21D9" w:rsidR="00A73E5B" w:rsidRPr="00A53AD7" w:rsidRDefault="00DB05E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5 000,0</w:t>
            </w:r>
          </w:p>
        </w:tc>
        <w:tc>
          <w:tcPr>
            <w:tcW w:w="1276" w:type="dxa"/>
            <w:tcBorders>
              <w:top w:val="nil"/>
              <w:left w:val="nil"/>
              <w:bottom w:val="single" w:sz="4" w:space="0" w:color="auto"/>
              <w:right w:val="single" w:sz="4" w:space="0" w:color="auto"/>
            </w:tcBorders>
            <w:shd w:val="clear" w:color="auto" w:fill="auto"/>
            <w:vAlign w:val="center"/>
          </w:tcPr>
          <w:p w14:paraId="2E227A7E" w14:textId="48788934" w:rsidR="00A73E5B" w:rsidRPr="00A53AD7" w:rsidRDefault="00DB05E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2 500,0</w:t>
            </w:r>
          </w:p>
        </w:tc>
        <w:tc>
          <w:tcPr>
            <w:tcW w:w="1206" w:type="dxa"/>
            <w:tcBorders>
              <w:top w:val="nil"/>
              <w:left w:val="nil"/>
              <w:bottom w:val="single" w:sz="4" w:space="0" w:color="auto"/>
              <w:right w:val="single" w:sz="4" w:space="0" w:color="auto"/>
            </w:tcBorders>
            <w:shd w:val="clear" w:color="auto" w:fill="auto"/>
            <w:vAlign w:val="center"/>
          </w:tcPr>
          <w:p w14:paraId="7BC20D9C" w14:textId="008FC657" w:rsidR="00A73E5B" w:rsidRPr="00A53AD7" w:rsidRDefault="00DB05E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2 500,0</w:t>
            </w:r>
          </w:p>
        </w:tc>
        <w:tc>
          <w:tcPr>
            <w:tcW w:w="1237" w:type="dxa"/>
            <w:tcBorders>
              <w:top w:val="nil"/>
              <w:left w:val="nil"/>
              <w:bottom w:val="single" w:sz="4" w:space="0" w:color="auto"/>
              <w:right w:val="double" w:sz="6" w:space="0" w:color="auto"/>
            </w:tcBorders>
            <w:shd w:val="clear" w:color="auto" w:fill="auto"/>
            <w:vAlign w:val="center"/>
          </w:tcPr>
          <w:p w14:paraId="5E9111B5" w14:textId="26B8A982" w:rsidR="00A73E5B" w:rsidRPr="00A53AD7" w:rsidRDefault="00DB05EB"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6,8</w:t>
            </w:r>
          </w:p>
        </w:tc>
      </w:tr>
      <w:tr w:rsidR="00D470B6" w:rsidRPr="00A53AD7" w14:paraId="7C61DF04" w14:textId="77777777" w:rsidTr="003A19B1">
        <w:trPr>
          <w:trHeight w:val="53"/>
        </w:trPr>
        <w:tc>
          <w:tcPr>
            <w:tcW w:w="3000" w:type="dxa"/>
            <w:tcBorders>
              <w:top w:val="nil"/>
              <w:left w:val="double" w:sz="6" w:space="0" w:color="auto"/>
              <w:bottom w:val="single" w:sz="4" w:space="0" w:color="auto"/>
              <w:right w:val="single" w:sz="4" w:space="0" w:color="auto"/>
            </w:tcBorders>
            <w:shd w:val="clear" w:color="auto" w:fill="auto"/>
            <w:vAlign w:val="center"/>
            <w:hideMark/>
          </w:tcPr>
          <w:p w14:paraId="542EC68A" w14:textId="77777777" w:rsidR="00616A08" w:rsidRPr="00A53AD7" w:rsidRDefault="00616A08" w:rsidP="00616A0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Северный банк ПАО «Сбербанк»</w:t>
            </w:r>
          </w:p>
        </w:tc>
        <w:tc>
          <w:tcPr>
            <w:tcW w:w="1215" w:type="dxa"/>
            <w:tcBorders>
              <w:top w:val="nil"/>
              <w:left w:val="nil"/>
              <w:bottom w:val="single" w:sz="4" w:space="0" w:color="auto"/>
              <w:right w:val="single" w:sz="4" w:space="0" w:color="auto"/>
            </w:tcBorders>
            <w:shd w:val="clear" w:color="auto" w:fill="auto"/>
            <w:vAlign w:val="center"/>
            <w:hideMark/>
          </w:tcPr>
          <w:p w14:paraId="21838C01" w14:textId="0E422711" w:rsidR="00616A08" w:rsidRPr="00A53AD7" w:rsidRDefault="00B22D41"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17 500,0</w:t>
            </w:r>
            <w:r w:rsidR="00616A08" w:rsidRPr="00A53AD7">
              <w:rPr>
                <w:rFonts w:ascii="Times New Roman" w:eastAsia="Times New Roman" w:hAnsi="Times New Roman"/>
                <w:lang w:eastAsia="ru-RU"/>
              </w:rPr>
              <w:t xml:space="preserve"> </w:t>
            </w:r>
          </w:p>
        </w:tc>
        <w:tc>
          <w:tcPr>
            <w:tcW w:w="1417" w:type="dxa"/>
            <w:tcBorders>
              <w:top w:val="nil"/>
              <w:left w:val="nil"/>
              <w:bottom w:val="single" w:sz="4" w:space="0" w:color="auto"/>
              <w:right w:val="single" w:sz="4" w:space="0" w:color="auto"/>
            </w:tcBorders>
            <w:shd w:val="clear" w:color="auto" w:fill="auto"/>
            <w:vAlign w:val="center"/>
          </w:tcPr>
          <w:p w14:paraId="4E9EBD1B" w14:textId="6E0E440D" w:rsidR="00616A08" w:rsidRPr="00A53AD7" w:rsidRDefault="00B22D41"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52 249,9</w:t>
            </w:r>
          </w:p>
        </w:tc>
        <w:tc>
          <w:tcPr>
            <w:tcW w:w="1276" w:type="dxa"/>
            <w:tcBorders>
              <w:top w:val="nil"/>
              <w:left w:val="nil"/>
              <w:bottom w:val="single" w:sz="4" w:space="0" w:color="auto"/>
              <w:right w:val="single" w:sz="4" w:space="0" w:color="auto"/>
            </w:tcBorders>
            <w:shd w:val="clear" w:color="auto" w:fill="auto"/>
            <w:vAlign w:val="center"/>
          </w:tcPr>
          <w:p w14:paraId="3AC99E3C" w14:textId="27D6542D" w:rsidR="00616A08" w:rsidRPr="00A53AD7" w:rsidRDefault="00B22D41"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55 449,9</w:t>
            </w:r>
          </w:p>
        </w:tc>
        <w:tc>
          <w:tcPr>
            <w:tcW w:w="1206" w:type="dxa"/>
            <w:tcBorders>
              <w:top w:val="nil"/>
              <w:left w:val="nil"/>
              <w:bottom w:val="single" w:sz="4" w:space="0" w:color="auto"/>
              <w:right w:val="single" w:sz="4" w:space="0" w:color="auto"/>
            </w:tcBorders>
            <w:shd w:val="clear" w:color="auto" w:fill="auto"/>
            <w:vAlign w:val="center"/>
          </w:tcPr>
          <w:p w14:paraId="63C82D13" w14:textId="6769D532" w:rsidR="00616A08" w:rsidRPr="00A53AD7" w:rsidRDefault="00B22D41"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14 299,9</w:t>
            </w:r>
          </w:p>
        </w:tc>
        <w:tc>
          <w:tcPr>
            <w:tcW w:w="1237" w:type="dxa"/>
            <w:tcBorders>
              <w:top w:val="nil"/>
              <w:left w:val="nil"/>
              <w:bottom w:val="single" w:sz="4" w:space="0" w:color="auto"/>
              <w:right w:val="double" w:sz="6" w:space="0" w:color="auto"/>
            </w:tcBorders>
            <w:shd w:val="clear" w:color="auto" w:fill="auto"/>
            <w:vAlign w:val="center"/>
          </w:tcPr>
          <w:p w14:paraId="11762479" w14:textId="1E7B0DD3" w:rsidR="00616A08" w:rsidRPr="00A53AD7" w:rsidRDefault="00B22D41"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392,0</w:t>
            </w:r>
          </w:p>
        </w:tc>
      </w:tr>
      <w:tr w:rsidR="00616A08" w:rsidRPr="00A53AD7" w14:paraId="4A64F32E" w14:textId="77777777" w:rsidTr="002C2A98">
        <w:trPr>
          <w:trHeight w:hRule="exact" w:val="255"/>
        </w:trPr>
        <w:tc>
          <w:tcPr>
            <w:tcW w:w="3000" w:type="dxa"/>
            <w:tcBorders>
              <w:top w:val="nil"/>
              <w:left w:val="double" w:sz="6" w:space="0" w:color="auto"/>
              <w:bottom w:val="double" w:sz="6" w:space="0" w:color="auto"/>
              <w:right w:val="single" w:sz="4" w:space="0" w:color="auto"/>
            </w:tcBorders>
            <w:shd w:val="clear" w:color="auto" w:fill="auto"/>
            <w:vAlign w:val="center"/>
            <w:hideMark/>
          </w:tcPr>
          <w:p w14:paraId="51B58AF9" w14:textId="77777777" w:rsidR="00616A08" w:rsidRPr="00A53AD7" w:rsidRDefault="00616A08" w:rsidP="00616A08">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Итого</w:t>
            </w:r>
          </w:p>
        </w:tc>
        <w:tc>
          <w:tcPr>
            <w:tcW w:w="1215" w:type="dxa"/>
            <w:tcBorders>
              <w:top w:val="nil"/>
              <w:left w:val="nil"/>
              <w:bottom w:val="double" w:sz="6" w:space="0" w:color="auto"/>
              <w:right w:val="single" w:sz="4" w:space="0" w:color="auto"/>
            </w:tcBorders>
            <w:shd w:val="clear" w:color="auto" w:fill="auto"/>
            <w:vAlign w:val="center"/>
          </w:tcPr>
          <w:p w14:paraId="3CA1494D" w14:textId="69480367" w:rsidR="00616A08" w:rsidRPr="00A53AD7" w:rsidRDefault="00B22D41" w:rsidP="00052F2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fldChar w:fldCharType="begin"/>
            </w:r>
            <w:r w:rsidRPr="00A53AD7">
              <w:rPr>
                <w:rFonts w:ascii="Times New Roman" w:eastAsia="Times New Roman" w:hAnsi="Times New Roman"/>
                <w:lang w:eastAsia="ru-RU"/>
              </w:rPr>
              <w:instrText xml:space="preserve"> =SUM(ABOVE) </w:instrText>
            </w:r>
            <w:r w:rsidRPr="00A53AD7">
              <w:rPr>
                <w:rFonts w:ascii="Times New Roman" w:eastAsia="Times New Roman" w:hAnsi="Times New Roman"/>
                <w:lang w:eastAsia="ru-RU"/>
              </w:rPr>
              <w:fldChar w:fldCharType="separate"/>
            </w:r>
            <w:r w:rsidRPr="00A53AD7">
              <w:rPr>
                <w:rFonts w:ascii="Times New Roman" w:eastAsia="Times New Roman" w:hAnsi="Times New Roman"/>
                <w:noProof/>
                <w:lang w:eastAsia="ru-RU"/>
              </w:rPr>
              <w:t>21 00</w:t>
            </w:r>
            <w:r w:rsidRPr="00A53AD7">
              <w:rPr>
                <w:rFonts w:ascii="Times New Roman" w:eastAsia="Times New Roman" w:hAnsi="Times New Roman"/>
                <w:lang w:eastAsia="ru-RU"/>
              </w:rPr>
              <w:fldChar w:fldCharType="end"/>
            </w:r>
            <w:r w:rsidR="00052F2D" w:rsidRPr="00A53AD7">
              <w:rPr>
                <w:rFonts w:ascii="Times New Roman" w:eastAsia="Times New Roman" w:hAnsi="Times New Roman"/>
                <w:lang w:eastAsia="ru-RU"/>
              </w:rPr>
              <w:t>0</w:t>
            </w:r>
            <w:r w:rsidRPr="00A53AD7">
              <w:rPr>
                <w:rFonts w:ascii="Times New Roman" w:eastAsia="Times New Roman" w:hAnsi="Times New Roman"/>
                <w:lang w:eastAsia="ru-RU"/>
              </w:rPr>
              <w:t>,0</w:t>
            </w:r>
          </w:p>
        </w:tc>
        <w:tc>
          <w:tcPr>
            <w:tcW w:w="1417" w:type="dxa"/>
            <w:tcBorders>
              <w:top w:val="nil"/>
              <w:left w:val="nil"/>
              <w:bottom w:val="double" w:sz="6" w:space="0" w:color="auto"/>
              <w:right w:val="single" w:sz="4" w:space="0" w:color="auto"/>
            </w:tcBorders>
            <w:shd w:val="clear" w:color="auto" w:fill="auto"/>
            <w:vAlign w:val="center"/>
          </w:tcPr>
          <w:p w14:paraId="1285D675" w14:textId="7B9BDE07" w:rsidR="00616A08" w:rsidRPr="00A53AD7" w:rsidRDefault="00052F2D" w:rsidP="00052F2D">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57 249,9</w:t>
            </w:r>
          </w:p>
        </w:tc>
        <w:tc>
          <w:tcPr>
            <w:tcW w:w="1276" w:type="dxa"/>
            <w:tcBorders>
              <w:top w:val="nil"/>
              <w:left w:val="nil"/>
              <w:bottom w:val="double" w:sz="6" w:space="0" w:color="auto"/>
              <w:right w:val="single" w:sz="4" w:space="0" w:color="auto"/>
            </w:tcBorders>
            <w:shd w:val="clear" w:color="auto" w:fill="auto"/>
            <w:vAlign w:val="center"/>
          </w:tcPr>
          <w:p w14:paraId="338104EC" w14:textId="2159D787" w:rsidR="00616A08" w:rsidRPr="00A53AD7" w:rsidRDefault="00052F2D"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57 949,9</w:t>
            </w:r>
          </w:p>
        </w:tc>
        <w:tc>
          <w:tcPr>
            <w:tcW w:w="1206" w:type="dxa"/>
            <w:tcBorders>
              <w:top w:val="nil"/>
              <w:left w:val="nil"/>
              <w:bottom w:val="double" w:sz="6" w:space="0" w:color="auto"/>
              <w:right w:val="single" w:sz="4" w:space="0" w:color="auto"/>
            </w:tcBorders>
            <w:shd w:val="clear" w:color="auto" w:fill="auto"/>
            <w:vAlign w:val="center"/>
          </w:tcPr>
          <w:p w14:paraId="77A690F9" w14:textId="4D41DB91" w:rsidR="00616A08" w:rsidRPr="00A53AD7" w:rsidRDefault="002C2A98" w:rsidP="00616A08">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fldChar w:fldCharType="begin"/>
            </w:r>
            <w:r w:rsidRPr="00A53AD7">
              <w:rPr>
                <w:rFonts w:ascii="Times New Roman" w:eastAsia="Times New Roman" w:hAnsi="Times New Roman"/>
                <w:lang w:eastAsia="ru-RU"/>
              </w:rPr>
              <w:instrText xml:space="preserve"> =SUM(ABOVE) </w:instrText>
            </w:r>
            <w:r w:rsidRPr="00A53AD7">
              <w:rPr>
                <w:rFonts w:ascii="Times New Roman" w:eastAsia="Times New Roman" w:hAnsi="Times New Roman"/>
                <w:lang w:eastAsia="ru-RU"/>
              </w:rPr>
              <w:fldChar w:fldCharType="separate"/>
            </w:r>
            <w:r w:rsidRPr="00A53AD7">
              <w:rPr>
                <w:rFonts w:ascii="Times New Roman" w:eastAsia="Times New Roman" w:hAnsi="Times New Roman"/>
                <w:noProof/>
                <w:lang w:eastAsia="ru-RU"/>
              </w:rPr>
              <w:t>20 299,9</w:t>
            </w:r>
            <w:r w:rsidRPr="00A53AD7">
              <w:rPr>
                <w:rFonts w:ascii="Times New Roman" w:eastAsia="Times New Roman" w:hAnsi="Times New Roman"/>
                <w:lang w:eastAsia="ru-RU"/>
              </w:rPr>
              <w:fldChar w:fldCharType="end"/>
            </w:r>
          </w:p>
        </w:tc>
        <w:tc>
          <w:tcPr>
            <w:tcW w:w="1237" w:type="dxa"/>
            <w:tcBorders>
              <w:top w:val="nil"/>
              <w:left w:val="nil"/>
              <w:bottom w:val="double" w:sz="6" w:space="0" w:color="auto"/>
              <w:right w:val="double" w:sz="6" w:space="0" w:color="auto"/>
            </w:tcBorders>
            <w:shd w:val="clear" w:color="auto" w:fill="auto"/>
            <w:vAlign w:val="center"/>
          </w:tcPr>
          <w:p w14:paraId="4C1485FC" w14:textId="5FCFA6B4" w:rsidR="00616A08" w:rsidRPr="00A53AD7" w:rsidRDefault="00881A62" w:rsidP="00881A62">
            <w:pPr>
              <w:spacing w:after="0" w:line="240" w:lineRule="auto"/>
              <w:jc w:val="right"/>
              <w:rPr>
                <w:rFonts w:ascii="Times New Roman" w:eastAsia="Times New Roman" w:hAnsi="Times New Roman"/>
                <w:lang w:eastAsia="ru-RU"/>
              </w:rPr>
            </w:pPr>
            <w:r w:rsidRPr="00A53AD7">
              <w:rPr>
                <w:rFonts w:ascii="Times New Roman" w:eastAsia="Times New Roman" w:hAnsi="Times New Roman"/>
                <w:lang w:eastAsia="ru-RU"/>
              </w:rPr>
              <w:t>677,7</w:t>
            </w:r>
          </w:p>
        </w:tc>
      </w:tr>
    </w:tbl>
    <w:p w14:paraId="1DD2155D" w14:textId="77777777" w:rsidR="00650B79" w:rsidRPr="00A53AD7" w:rsidRDefault="00650B79" w:rsidP="00650B79">
      <w:pPr>
        <w:spacing w:after="0" w:line="240" w:lineRule="auto"/>
        <w:ind w:firstLine="851"/>
        <w:jc w:val="both"/>
        <w:rPr>
          <w:rFonts w:ascii="Times New Roman" w:hAnsi="Times New Roman"/>
          <w:sz w:val="16"/>
          <w:szCs w:val="16"/>
          <w:highlight w:val="cyan"/>
        </w:rPr>
      </w:pPr>
    </w:p>
    <w:p w14:paraId="08836F31" w14:textId="6018DD58" w:rsidR="009A580B" w:rsidRPr="00A53AD7" w:rsidRDefault="009A580B"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Таким образом, основным кредитором Архангельской области по состоянию </w:t>
      </w:r>
      <w:r w:rsidR="0038430C" w:rsidRPr="00A53AD7">
        <w:rPr>
          <w:rFonts w:ascii="Times New Roman" w:hAnsi="Times New Roman"/>
          <w:sz w:val="28"/>
          <w:szCs w:val="28"/>
        </w:rPr>
        <w:t>как на начало, так и на конец отчетного года</w:t>
      </w:r>
      <w:r w:rsidRPr="00A53AD7">
        <w:rPr>
          <w:rFonts w:ascii="Times New Roman" w:hAnsi="Times New Roman"/>
          <w:sz w:val="28"/>
          <w:szCs w:val="28"/>
        </w:rPr>
        <w:t xml:space="preserve"> является ПАО «Сбербанк»</w:t>
      </w:r>
      <w:r w:rsidR="00AF1954" w:rsidRPr="00A53AD7">
        <w:rPr>
          <w:rFonts w:ascii="Times New Roman" w:hAnsi="Times New Roman"/>
          <w:sz w:val="28"/>
          <w:szCs w:val="28"/>
        </w:rPr>
        <w:t>, с которым на начало года заключено 9 договоров, на 01.01.2020 – 8 договоров</w:t>
      </w:r>
      <w:r w:rsidR="00197497" w:rsidRPr="00A53AD7">
        <w:rPr>
          <w:rFonts w:ascii="Times New Roman" w:hAnsi="Times New Roman"/>
          <w:sz w:val="28"/>
          <w:szCs w:val="28"/>
        </w:rPr>
        <w:t xml:space="preserve"> возобновляемой кредитной линии.</w:t>
      </w:r>
    </w:p>
    <w:p w14:paraId="0AD736D3" w14:textId="00B5EADE" w:rsidR="009D1050" w:rsidRPr="00A53AD7" w:rsidRDefault="009D1050"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Кроме того, 08.07.2019 Архангельской областью</w:t>
      </w:r>
      <w:r w:rsidR="00141C95" w:rsidRPr="00A53AD7">
        <w:rPr>
          <w:rFonts w:ascii="Times New Roman" w:hAnsi="Times New Roman"/>
          <w:sz w:val="28"/>
          <w:szCs w:val="28"/>
        </w:rPr>
        <w:t xml:space="preserve"> заключены 3 договора возобновляемой кредитной линии с ПАО БАНК «ФК Открытие» на сумму </w:t>
      </w:r>
      <w:r w:rsidR="00B10DC5" w:rsidRPr="00A53AD7">
        <w:rPr>
          <w:rFonts w:ascii="Times New Roman" w:hAnsi="Times New Roman"/>
          <w:sz w:val="28"/>
          <w:szCs w:val="28"/>
        </w:rPr>
        <w:t>2</w:t>
      </w:r>
      <w:r w:rsidR="00141C95" w:rsidRPr="00A53AD7">
        <w:rPr>
          <w:rFonts w:ascii="Times New Roman" w:hAnsi="Times New Roman"/>
          <w:sz w:val="28"/>
          <w:szCs w:val="28"/>
        </w:rPr>
        <w:t xml:space="preserve"> 500,0 млн.руб. со сроком погашения </w:t>
      </w:r>
      <w:r w:rsidR="007035FF" w:rsidRPr="00A53AD7">
        <w:rPr>
          <w:rFonts w:ascii="Times New Roman" w:hAnsi="Times New Roman"/>
          <w:sz w:val="28"/>
          <w:szCs w:val="28"/>
        </w:rPr>
        <w:t>06 – 14.10.2022.</w:t>
      </w:r>
      <w:r w:rsidR="00AF7D3C" w:rsidRPr="00A53AD7">
        <w:rPr>
          <w:rFonts w:ascii="Times New Roman" w:hAnsi="Times New Roman"/>
          <w:sz w:val="28"/>
          <w:szCs w:val="28"/>
        </w:rPr>
        <w:t xml:space="preserve"> Процентная ставка по данным договорам на 01.01.2020 составляет 7,65 % годовых.</w:t>
      </w:r>
    </w:p>
    <w:p w14:paraId="6BE0105C" w14:textId="5DE0B927" w:rsidR="00043F27" w:rsidRPr="00A53AD7" w:rsidRDefault="00043F27"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2019 году наименьший объем долговых обязательств сложился </w:t>
      </w:r>
      <w:r w:rsidR="006F0826" w:rsidRPr="00A53AD7">
        <w:rPr>
          <w:rFonts w:ascii="Times New Roman" w:hAnsi="Times New Roman"/>
          <w:sz w:val="28"/>
          <w:szCs w:val="28"/>
        </w:rPr>
        <w:t>по итогам исполнения бюджета за 8 месяцев и составил 4 300,0 млн.руб.</w:t>
      </w:r>
    </w:p>
    <w:p w14:paraId="17104883" w14:textId="75B2FF49"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состоянию на 01.</w:t>
      </w:r>
      <w:r w:rsidR="001C7CB0" w:rsidRPr="00A53AD7">
        <w:rPr>
          <w:rFonts w:ascii="Times New Roman" w:hAnsi="Times New Roman"/>
          <w:sz w:val="28"/>
          <w:szCs w:val="28"/>
        </w:rPr>
        <w:t>01</w:t>
      </w:r>
      <w:r w:rsidRPr="00A53AD7">
        <w:rPr>
          <w:rFonts w:ascii="Times New Roman" w:hAnsi="Times New Roman"/>
          <w:sz w:val="28"/>
          <w:szCs w:val="28"/>
        </w:rPr>
        <w:t>.20</w:t>
      </w:r>
      <w:r w:rsidR="003F1D09" w:rsidRPr="00A53AD7">
        <w:rPr>
          <w:rFonts w:ascii="Times New Roman" w:hAnsi="Times New Roman"/>
          <w:sz w:val="28"/>
          <w:szCs w:val="28"/>
        </w:rPr>
        <w:t>20</w:t>
      </w:r>
      <w:r w:rsidRPr="00A53AD7">
        <w:rPr>
          <w:rFonts w:ascii="Times New Roman" w:hAnsi="Times New Roman"/>
          <w:sz w:val="28"/>
          <w:szCs w:val="28"/>
        </w:rPr>
        <w:t xml:space="preserve"> средневзвешенная ставка по непогашенным кредитам от кредитных организаций сложилась в размере </w:t>
      </w:r>
      <w:r w:rsidR="003F1D09" w:rsidRPr="00A53AD7">
        <w:rPr>
          <w:rFonts w:ascii="Times New Roman" w:hAnsi="Times New Roman"/>
          <w:sz w:val="28"/>
          <w:szCs w:val="28"/>
        </w:rPr>
        <w:t xml:space="preserve">7,551 </w:t>
      </w:r>
      <w:r w:rsidRPr="00A53AD7">
        <w:rPr>
          <w:rFonts w:ascii="Times New Roman" w:hAnsi="Times New Roman"/>
          <w:sz w:val="28"/>
          <w:szCs w:val="28"/>
        </w:rPr>
        <w:t>% годовых, что на 0,</w:t>
      </w:r>
      <w:r w:rsidR="0042720E" w:rsidRPr="00A53AD7">
        <w:rPr>
          <w:rFonts w:ascii="Times New Roman" w:hAnsi="Times New Roman"/>
          <w:sz w:val="28"/>
          <w:szCs w:val="28"/>
        </w:rPr>
        <w:t>570</w:t>
      </w:r>
      <w:r w:rsidRPr="00A53AD7">
        <w:rPr>
          <w:rFonts w:ascii="Times New Roman" w:hAnsi="Times New Roman"/>
          <w:sz w:val="28"/>
          <w:szCs w:val="28"/>
        </w:rPr>
        <w:t xml:space="preserve"> процентных пункта ниже соответствующего показателя на 01.01.201</w:t>
      </w:r>
      <w:r w:rsidR="0042720E" w:rsidRPr="00A53AD7">
        <w:rPr>
          <w:rFonts w:ascii="Times New Roman" w:hAnsi="Times New Roman"/>
          <w:sz w:val="28"/>
          <w:szCs w:val="28"/>
        </w:rPr>
        <w:t>9</w:t>
      </w:r>
      <w:r w:rsidRPr="00A53AD7">
        <w:rPr>
          <w:rFonts w:ascii="Times New Roman" w:hAnsi="Times New Roman"/>
          <w:sz w:val="28"/>
          <w:szCs w:val="28"/>
        </w:rPr>
        <w:t xml:space="preserve"> (</w:t>
      </w:r>
      <w:r w:rsidR="0042720E" w:rsidRPr="00A53AD7">
        <w:rPr>
          <w:rFonts w:ascii="Times New Roman" w:hAnsi="Times New Roman"/>
          <w:sz w:val="28"/>
          <w:szCs w:val="28"/>
        </w:rPr>
        <w:t>8,121</w:t>
      </w:r>
      <w:r w:rsidRPr="00A53AD7">
        <w:rPr>
          <w:rFonts w:ascii="Times New Roman" w:hAnsi="Times New Roman"/>
          <w:sz w:val="28"/>
          <w:szCs w:val="28"/>
        </w:rPr>
        <w:t> %).</w:t>
      </w:r>
    </w:p>
    <w:p w14:paraId="3BD3D554" w14:textId="77777777" w:rsidR="003B29B4" w:rsidRPr="00A53AD7" w:rsidRDefault="003B29B4" w:rsidP="00650B79">
      <w:pPr>
        <w:spacing w:after="0" w:line="240" w:lineRule="auto"/>
        <w:ind w:firstLine="851"/>
        <w:jc w:val="both"/>
        <w:rPr>
          <w:rFonts w:ascii="Times New Roman" w:hAnsi="Times New Roman"/>
          <w:sz w:val="28"/>
          <w:szCs w:val="28"/>
        </w:rPr>
      </w:pPr>
    </w:p>
    <w:p w14:paraId="66BA9A23" w14:textId="270146D7"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Сведения о привлечении и погашении заемных средств в отчетном периоде (сальд</w:t>
      </w:r>
      <w:r w:rsidR="00760E4C" w:rsidRPr="00A53AD7">
        <w:rPr>
          <w:rFonts w:ascii="Times New Roman" w:hAnsi="Times New Roman"/>
          <w:sz w:val="28"/>
          <w:szCs w:val="28"/>
        </w:rPr>
        <w:t>ированный результат</w:t>
      </w:r>
      <w:r w:rsidRPr="00A53AD7">
        <w:rPr>
          <w:rFonts w:ascii="Times New Roman" w:hAnsi="Times New Roman"/>
          <w:sz w:val="28"/>
          <w:szCs w:val="28"/>
        </w:rPr>
        <w:t xml:space="preserve">) представлены на рисунке </w:t>
      </w:r>
      <w:r w:rsidR="00404E35" w:rsidRPr="00A53AD7">
        <w:rPr>
          <w:rFonts w:ascii="Times New Roman" w:hAnsi="Times New Roman"/>
          <w:sz w:val="28"/>
          <w:szCs w:val="28"/>
        </w:rPr>
        <w:t>85</w:t>
      </w:r>
      <w:r w:rsidRPr="00A53AD7">
        <w:rPr>
          <w:rFonts w:ascii="Times New Roman" w:hAnsi="Times New Roman"/>
          <w:sz w:val="28"/>
          <w:szCs w:val="28"/>
        </w:rPr>
        <w:t>.</w:t>
      </w:r>
    </w:p>
    <w:p w14:paraId="1FB814AC" w14:textId="2D899CC6" w:rsidR="00650B79" w:rsidRPr="00A53AD7" w:rsidRDefault="00624E48" w:rsidP="00650B79">
      <w:pPr>
        <w:keepNext/>
        <w:spacing w:after="0" w:line="240" w:lineRule="auto"/>
        <w:jc w:val="center"/>
      </w:pPr>
      <w:r w:rsidRPr="00A53AD7">
        <w:rPr>
          <w:noProof/>
          <w:lang w:eastAsia="ru-RU"/>
        </w:rPr>
        <w:drawing>
          <wp:inline distT="0" distB="0" distL="0" distR="0" wp14:anchorId="1223427B" wp14:editId="16A76E18">
            <wp:extent cx="5950585" cy="2448129"/>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57681" cy="2451048"/>
                    </a:xfrm>
                    <a:prstGeom prst="rect">
                      <a:avLst/>
                    </a:prstGeom>
                    <a:noFill/>
                  </pic:spPr>
                </pic:pic>
              </a:graphicData>
            </a:graphic>
          </wp:inline>
        </w:drawing>
      </w:r>
    </w:p>
    <w:p w14:paraId="73FDC9CC" w14:textId="3741C789" w:rsidR="00650B79" w:rsidRPr="00A53AD7" w:rsidRDefault="00650B79" w:rsidP="00DC2C67">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85</w:t>
      </w:r>
      <w:r w:rsidRPr="00A53AD7">
        <w:rPr>
          <w:rFonts w:ascii="Times New Roman" w:hAnsi="Times New Roman"/>
          <w:b w:val="0"/>
          <w:noProof/>
          <w:sz w:val="24"/>
          <w:szCs w:val="24"/>
        </w:rPr>
        <w:fldChar w:fldCharType="end"/>
      </w:r>
      <w:r w:rsidRPr="00A53AD7">
        <w:rPr>
          <w:rFonts w:ascii="Times New Roman" w:hAnsi="Times New Roman"/>
          <w:b w:val="0"/>
          <w:sz w:val="24"/>
          <w:szCs w:val="24"/>
        </w:rPr>
        <w:t>. Привлечение заемных средств в областной бюджет (с учетом их погашения), млн.руб. за 201</w:t>
      </w:r>
      <w:r w:rsidR="007400DE" w:rsidRPr="00A53AD7">
        <w:rPr>
          <w:rFonts w:ascii="Times New Roman" w:hAnsi="Times New Roman"/>
          <w:b w:val="0"/>
          <w:sz w:val="24"/>
          <w:szCs w:val="24"/>
        </w:rPr>
        <w:t>9</w:t>
      </w:r>
      <w:r w:rsidRPr="00A53AD7">
        <w:rPr>
          <w:rFonts w:ascii="Times New Roman" w:hAnsi="Times New Roman"/>
          <w:b w:val="0"/>
          <w:sz w:val="24"/>
          <w:szCs w:val="24"/>
        </w:rPr>
        <w:t xml:space="preserve"> год, млн.руб</w:t>
      </w:r>
      <w:r w:rsidR="008D1884" w:rsidRPr="00A53AD7">
        <w:rPr>
          <w:rFonts w:ascii="Times New Roman" w:hAnsi="Times New Roman"/>
          <w:b w:val="0"/>
          <w:sz w:val="24"/>
          <w:szCs w:val="24"/>
        </w:rPr>
        <w:t>.</w:t>
      </w:r>
    </w:p>
    <w:p w14:paraId="6A33839A" w14:textId="77777777" w:rsidR="00650B79" w:rsidRPr="00A53AD7" w:rsidRDefault="00650B79" w:rsidP="00650B79">
      <w:pPr>
        <w:spacing w:after="0" w:line="240" w:lineRule="auto"/>
        <w:ind w:firstLine="851"/>
        <w:jc w:val="both"/>
        <w:rPr>
          <w:rFonts w:ascii="Times New Roman" w:hAnsi="Times New Roman"/>
          <w:sz w:val="16"/>
          <w:szCs w:val="16"/>
        </w:rPr>
      </w:pPr>
    </w:p>
    <w:p w14:paraId="65312139" w14:textId="4B3442CC" w:rsidR="00CB1265" w:rsidRPr="00A53AD7" w:rsidRDefault="00CB1265" w:rsidP="00CB1265">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январе </w:t>
      </w:r>
      <w:r w:rsidR="002B24F2" w:rsidRPr="00A53AD7">
        <w:rPr>
          <w:rFonts w:ascii="Times New Roman" w:hAnsi="Times New Roman"/>
          <w:sz w:val="28"/>
          <w:szCs w:val="28"/>
        </w:rPr>
        <w:t xml:space="preserve">министерством финансов </w:t>
      </w:r>
      <w:r w:rsidR="00BB1640" w:rsidRPr="00A53AD7">
        <w:rPr>
          <w:rFonts w:ascii="Times New Roman" w:hAnsi="Times New Roman"/>
          <w:sz w:val="28"/>
          <w:szCs w:val="28"/>
        </w:rPr>
        <w:t>Архангельской област</w:t>
      </w:r>
      <w:r w:rsidR="002B24F2" w:rsidRPr="00A53AD7">
        <w:rPr>
          <w:rFonts w:ascii="Times New Roman" w:hAnsi="Times New Roman"/>
          <w:sz w:val="28"/>
          <w:szCs w:val="28"/>
        </w:rPr>
        <w:t>и от имени Архангельской области</w:t>
      </w:r>
      <w:r w:rsidR="001B5F4E" w:rsidRPr="00A53AD7">
        <w:rPr>
          <w:rFonts w:ascii="Times New Roman" w:hAnsi="Times New Roman"/>
          <w:sz w:val="28"/>
          <w:szCs w:val="28"/>
        </w:rPr>
        <w:t xml:space="preserve"> привлечен бюджетный кредит на пополнение остатков средств на сч</w:t>
      </w:r>
      <w:r w:rsidR="00D93054" w:rsidRPr="00A53AD7">
        <w:rPr>
          <w:rFonts w:ascii="Times New Roman" w:hAnsi="Times New Roman"/>
          <w:sz w:val="28"/>
          <w:szCs w:val="28"/>
        </w:rPr>
        <w:t>ете бюджета, который фактически находился в обороте на протяжении более 10 месяцев</w:t>
      </w:r>
      <w:r w:rsidR="001A25CD" w:rsidRPr="00A53AD7">
        <w:rPr>
          <w:rFonts w:ascii="Times New Roman" w:hAnsi="Times New Roman"/>
          <w:sz w:val="28"/>
          <w:szCs w:val="28"/>
        </w:rPr>
        <w:t>,</w:t>
      </w:r>
      <w:r w:rsidR="001A4159" w:rsidRPr="00A53AD7">
        <w:rPr>
          <w:rFonts w:ascii="Times New Roman" w:hAnsi="Times New Roman"/>
          <w:sz w:val="28"/>
          <w:szCs w:val="28"/>
        </w:rPr>
        <w:t xml:space="preserve"> за счет которого в январе частично погашены долговые обязательства перед кредитными организациями</w:t>
      </w:r>
      <w:r w:rsidRPr="00A53AD7">
        <w:rPr>
          <w:rFonts w:ascii="Times New Roman" w:hAnsi="Times New Roman"/>
          <w:sz w:val="28"/>
          <w:szCs w:val="28"/>
        </w:rPr>
        <w:t>.</w:t>
      </w:r>
      <w:r w:rsidR="00D93054" w:rsidRPr="00A53AD7">
        <w:rPr>
          <w:rFonts w:ascii="Times New Roman" w:hAnsi="Times New Roman"/>
          <w:sz w:val="28"/>
          <w:szCs w:val="28"/>
        </w:rPr>
        <w:t xml:space="preserve"> </w:t>
      </w:r>
      <w:r w:rsidR="001A25CD" w:rsidRPr="00A53AD7">
        <w:rPr>
          <w:rFonts w:ascii="Times New Roman" w:hAnsi="Times New Roman"/>
          <w:sz w:val="28"/>
          <w:szCs w:val="28"/>
        </w:rPr>
        <w:t>Окончательный возврат указанного кредита возвращен кредитору 25.11.2019, то есть</w:t>
      </w:r>
      <w:r w:rsidR="00844A8F" w:rsidRPr="00A53AD7">
        <w:rPr>
          <w:rFonts w:ascii="Times New Roman" w:hAnsi="Times New Roman"/>
          <w:sz w:val="28"/>
          <w:szCs w:val="28"/>
        </w:rPr>
        <w:t xml:space="preserve"> в сроки, установленные </w:t>
      </w:r>
      <w:r w:rsidR="00BB1DCA" w:rsidRPr="00A53AD7">
        <w:rPr>
          <w:rFonts w:ascii="Times New Roman" w:hAnsi="Times New Roman"/>
          <w:sz w:val="28"/>
          <w:szCs w:val="28"/>
        </w:rPr>
        <w:t xml:space="preserve">п. 2 </w:t>
      </w:r>
      <w:r w:rsidR="00844A8F" w:rsidRPr="00A53AD7">
        <w:rPr>
          <w:rFonts w:ascii="Times New Roman" w:hAnsi="Times New Roman"/>
          <w:sz w:val="28"/>
          <w:szCs w:val="28"/>
        </w:rPr>
        <w:t>ст. 93.6 БК РФ.</w:t>
      </w:r>
    </w:p>
    <w:p w14:paraId="0CB94D36" w14:textId="77777777" w:rsidR="003B29B4" w:rsidRPr="00A53AD7" w:rsidRDefault="003B29B4" w:rsidP="00650B79">
      <w:pPr>
        <w:spacing w:after="0" w:line="240" w:lineRule="auto"/>
        <w:ind w:firstLine="851"/>
        <w:jc w:val="both"/>
        <w:rPr>
          <w:rFonts w:ascii="Times New Roman" w:hAnsi="Times New Roman"/>
          <w:sz w:val="28"/>
          <w:szCs w:val="28"/>
        </w:rPr>
      </w:pPr>
    </w:p>
    <w:p w14:paraId="5916C50A" w14:textId="5D13A110"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Согласно долговой книге долговые обязательства Архангельской области в виде государственных гарантий на 01.01.20</w:t>
      </w:r>
      <w:r w:rsidR="00E7604A" w:rsidRPr="00A53AD7">
        <w:rPr>
          <w:rFonts w:ascii="Times New Roman" w:hAnsi="Times New Roman"/>
          <w:sz w:val="28"/>
          <w:szCs w:val="28"/>
        </w:rPr>
        <w:t>20</w:t>
      </w:r>
      <w:r w:rsidRPr="00A53AD7">
        <w:rPr>
          <w:rFonts w:ascii="Times New Roman" w:hAnsi="Times New Roman"/>
          <w:sz w:val="28"/>
          <w:szCs w:val="28"/>
        </w:rPr>
        <w:t xml:space="preserve"> </w:t>
      </w:r>
      <w:r w:rsidR="00E7604A" w:rsidRPr="00A53AD7">
        <w:rPr>
          <w:rFonts w:ascii="Times New Roman" w:hAnsi="Times New Roman"/>
          <w:sz w:val="28"/>
          <w:szCs w:val="28"/>
        </w:rPr>
        <w:t>отсутствуют, и за год они сократились на 300,0</w:t>
      </w:r>
      <w:r w:rsidR="00D51910" w:rsidRPr="00A53AD7">
        <w:rPr>
          <w:rFonts w:ascii="Times New Roman" w:hAnsi="Times New Roman"/>
          <w:sz w:val="28"/>
          <w:szCs w:val="28"/>
        </w:rPr>
        <w:t xml:space="preserve"> млн.руб.</w:t>
      </w:r>
      <w:r w:rsidRPr="00A53AD7">
        <w:rPr>
          <w:rFonts w:ascii="Times New Roman" w:hAnsi="Times New Roman"/>
          <w:sz w:val="28"/>
          <w:szCs w:val="28"/>
        </w:rPr>
        <w:t xml:space="preserve"> Государственн</w:t>
      </w:r>
      <w:r w:rsidR="00E7604A" w:rsidRPr="00A53AD7">
        <w:rPr>
          <w:rFonts w:ascii="Times New Roman" w:hAnsi="Times New Roman"/>
          <w:sz w:val="28"/>
          <w:szCs w:val="28"/>
        </w:rPr>
        <w:t>ая</w:t>
      </w:r>
      <w:r w:rsidRPr="00A53AD7">
        <w:rPr>
          <w:rFonts w:ascii="Times New Roman" w:hAnsi="Times New Roman"/>
          <w:sz w:val="28"/>
          <w:szCs w:val="28"/>
        </w:rPr>
        <w:t xml:space="preserve"> гаранти</w:t>
      </w:r>
      <w:r w:rsidR="00E7604A" w:rsidRPr="00A53AD7">
        <w:rPr>
          <w:rFonts w:ascii="Times New Roman" w:hAnsi="Times New Roman"/>
          <w:sz w:val="28"/>
          <w:szCs w:val="28"/>
        </w:rPr>
        <w:t>я</w:t>
      </w:r>
      <w:r w:rsidRPr="00A53AD7">
        <w:rPr>
          <w:rFonts w:ascii="Times New Roman" w:hAnsi="Times New Roman"/>
          <w:sz w:val="28"/>
          <w:szCs w:val="28"/>
        </w:rPr>
        <w:t xml:space="preserve"> </w:t>
      </w:r>
      <w:r w:rsidR="00E7604A" w:rsidRPr="00A53AD7">
        <w:rPr>
          <w:rFonts w:ascii="Times New Roman" w:hAnsi="Times New Roman"/>
          <w:sz w:val="28"/>
          <w:szCs w:val="28"/>
        </w:rPr>
        <w:t xml:space="preserve">была </w:t>
      </w:r>
      <w:r w:rsidRPr="00A53AD7">
        <w:rPr>
          <w:rFonts w:ascii="Times New Roman" w:hAnsi="Times New Roman"/>
          <w:sz w:val="28"/>
          <w:szCs w:val="28"/>
        </w:rPr>
        <w:t>предоставлен</w:t>
      </w:r>
      <w:r w:rsidR="00E7604A" w:rsidRPr="00A53AD7">
        <w:rPr>
          <w:rFonts w:ascii="Times New Roman" w:hAnsi="Times New Roman"/>
          <w:sz w:val="28"/>
          <w:szCs w:val="28"/>
        </w:rPr>
        <w:t>а</w:t>
      </w:r>
      <w:r w:rsidRPr="00A53AD7">
        <w:rPr>
          <w:rFonts w:ascii="Times New Roman" w:hAnsi="Times New Roman"/>
          <w:sz w:val="28"/>
          <w:szCs w:val="28"/>
        </w:rPr>
        <w:t xml:space="preserve"> АО «Архангельская областная энергетическая компания» в целях обеспечения исполнения обязательств обществом перед кредитной организацией.</w:t>
      </w:r>
    </w:p>
    <w:p w14:paraId="76A0AA7C" w14:textId="77777777" w:rsidR="003B29B4" w:rsidRPr="00A53AD7" w:rsidRDefault="003B29B4" w:rsidP="00650B79">
      <w:pPr>
        <w:spacing w:after="0" w:line="240" w:lineRule="auto"/>
        <w:ind w:firstLine="851"/>
        <w:jc w:val="both"/>
        <w:rPr>
          <w:rFonts w:ascii="Times New Roman" w:hAnsi="Times New Roman"/>
          <w:sz w:val="28"/>
          <w:szCs w:val="28"/>
        </w:rPr>
      </w:pPr>
    </w:p>
    <w:p w14:paraId="59459F2D" w14:textId="0A2FFEDF" w:rsidR="00AB7C61" w:rsidRPr="00A53AD7" w:rsidRDefault="00AB7C61" w:rsidP="00AB7C6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Первоначально бюджетные ассигнования на 2019 год на обслуживание долговых обязательств законом «Об областном бюджете» утверждены в сумме 2 759,8 млн.руб. В течение 2019 года указанные ассигнования корректировался в сторону сокращения 5 раз на общую сумму 2 036,8 млн.руб. </w:t>
      </w:r>
      <w:r w:rsidR="007026D2" w:rsidRPr="00A53AD7">
        <w:rPr>
          <w:rFonts w:ascii="Times New Roman" w:hAnsi="Times New Roman"/>
          <w:sz w:val="28"/>
          <w:szCs w:val="28"/>
        </w:rPr>
        <w:t xml:space="preserve">или 73,8 %. </w:t>
      </w:r>
      <w:r w:rsidRPr="00A53AD7">
        <w:rPr>
          <w:rFonts w:ascii="Times New Roman" w:hAnsi="Times New Roman"/>
          <w:sz w:val="28"/>
          <w:szCs w:val="28"/>
        </w:rPr>
        <w:t>В результате бюджетные ассигнования на обслуживание государственного долга Архангельской области по состоянию на 31.12.2019 составили 723,0 млн.руб.</w:t>
      </w:r>
    </w:p>
    <w:p w14:paraId="7297204E" w14:textId="75DEFAC1"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Расходы на обслуживание государственного долга в отчетном периоде </w:t>
      </w:r>
      <w:r w:rsidR="00E4790A" w:rsidRPr="00A53AD7">
        <w:rPr>
          <w:rFonts w:ascii="Times New Roman" w:hAnsi="Times New Roman"/>
          <w:sz w:val="28"/>
          <w:szCs w:val="28"/>
        </w:rPr>
        <w:t>составили</w:t>
      </w:r>
      <w:r w:rsidRPr="00A53AD7">
        <w:rPr>
          <w:rFonts w:ascii="Times New Roman" w:hAnsi="Times New Roman"/>
          <w:sz w:val="28"/>
          <w:szCs w:val="28"/>
        </w:rPr>
        <w:t xml:space="preserve"> </w:t>
      </w:r>
      <w:r w:rsidR="00E4790A" w:rsidRPr="00A53AD7">
        <w:rPr>
          <w:rFonts w:ascii="Times New Roman" w:hAnsi="Times New Roman"/>
          <w:sz w:val="28"/>
          <w:szCs w:val="28"/>
        </w:rPr>
        <w:t xml:space="preserve">696,4 </w:t>
      </w:r>
      <w:r w:rsidRPr="00A53AD7">
        <w:rPr>
          <w:rFonts w:ascii="Times New Roman" w:hAnsi="Times New Roman"/>
          <w:sz w:val="28"/>
          <w:szCs w:val="28"/>
        </w:rPr>
        <w:t>млн.руб. или 9</w:t>
      </w:r>
      <w:r w:rsidR="003B29B4" w:rsidRPr="00A53AD7">
        <w:rPr>
          <w:rFonts w:ascii="Times New Roman" w:hAnsi="Times New Roman"/>
          <w:sz w:val="28"/>
          <w:szCs w:val="28"/>
        </w:rPr>
        <w:t>6</w:t>
      </w:r>
      <w:r w:rsidRPr="00A53AD7">
        <w:rPr>
          <w:rFonts w:ascii="Times New Roman" w:hAnsi="Times New Roman"/>
          <w:sz w:val="28"/>
          <w:szCs w:val="28"/>
        </w:rPr>
        <w:t>,</w:t>
      </w:r>
      <w:r w:rsidR="00AA3FA2" w:rsidRPr="00A53AD7">
        <w:rPr>
          <w:rFonts w:ascii="Times New Roman" w:hAnsi="Times New Roman"/>
          <w:sz w:val="28"/>
          <w:szCs w:val="28"/>
        </w:rPr>
        <w:t>3</w:t>
      </w:r>
      <w:r w:rsidRPr="00A53AD7">
        <w:rPr>
          <w:rFonts w:ascii="Times New Roman" w:hAnsi="Times New Roman"/>
          <w:sz w:val="28"/>
          <w:szCs w:val="28"/>
        </w:rPr>
        <w:t xml:space="preserve"> % к </w:t>
      </w:r>
      <w:r w:rsidR="009801A2" w:rsidRPr="00A53AD7">
        <w:rPr>
          <w:rFonts w:ascii="Times New Roman" w:hAnsi="Times New Roman"/>
          <w:sz w:val="28"/>
          <w:szCs w:val="28"/>
        </w:rPr>
        <w:t xml:space="preserve">показателям </w:t>
      </w:r>
      <w:r w:rsidR="00C86BCB" w:rsidRPr="00A53AD7">
        <w:rPr>
          <w:rFonts w:ascii="Times New Roman" w:hAnsi="Times New Roman"/>
          <w:sz w:val="28"/>
          <w:szCs w:val="28"/>
        </w:rPr>
        <w:t>сводной бюджетной росписи</w:t>
      </w:r>
      <w:r w:rsidR="009801A2" w:rsidRPr="00A53AD7">
        <w:rPr>
          <w:rFonts w:ascii="Times New Roman" w:hAnsi="Times New Roman"/>
          <w:sz w:val="28"/>
          <w:szCs w:val="28"/>
        </w:rPr>
        <w:t xml:space="preserve"> по состоянию на 31.12.201</w:t>
      </w:r>
      <w:r w:rsidR="00AA3FA2" w:rsidRPr="00A53AD7">
        <w:rPr>
          <w:rFonts w:ascii="Times New Roman" w:hAnsi="Times New Roman"/>
          <w:sz w:val="28"/>
          <w:szCs w:val="28"/>
        </w:rPr>
        <w:t>9</w:t>
      </w:r>
      <w:r w:rsidR="00C86BCB" w:rsidRPr="00A53AD7">
        <w:rPr>
          <w:rFonts w:ascii="Times New Roman" w:hAnsi="Times New Roman"/>
          <w:sz w:val="28"/>
          <w:szCs w:val="28"/>
        </w:rPr>
        <w:t>.</w:t>
      </w:r>
      <w:r w:rsidR="00AA3FA2" w:rsidRPr="00A53AD7">
        <w:rPr>
          <w:rFonts w:ascii="Times New Roman" w:hAnsi="Times New Roman"/>
          <w:sz w:val="28"/>
          <w:szCs w:val="28"/>
        </w:rPr>
        <w:t xml:space="preserve"> По сравнению с 2018 годом указанные расходы сократились на 574,6 млн.руб. или на </w:t>
      </w:r>
      <w:r w:rsidR="00AE064D" w:rsidRPr="00A53AD7">
        <w:rPr>
          <w:rFonts w:ascii="Times New Roman" w:hAnsi="Times New Roman"/>
          <w:sz w:val="28"/>
          <w:szCs w:val="28"/>
        </w:rPr>
        <w:t>45,2 %.</w:t>
      </w:r>
    </w:p>
    <w:p w14:paraId="0764FC9D" w14:textId="1CCB7FF1"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общей суммы, расходов на обслуживание государственного долга </w:t>
      </w:r>
      <w:r w:rsidR="00427638" w:rsidRPr="00A53AD7">
        <w:rPr>
          <w:rFonts w:ascii="Times New Roman" w:hAnsi="Times New Roman"/>
          <w:sz w:val="28"/>
          <w:szCs w:val="28"/>
        </w:rPr>
        <w:t>18,7 млн.руб. составили расходы на обслуживание бюджетных кредитов. Указанные расходы по сравнению с 2018 годом</w:t>
      </w:r>
      <w:r w:rsidR="00931B5F" w:rsidRPr="00A53AD7">
        <w:rPr>
          <w:rFonts w:ascii="Times New Roman" w:hAnsi="Times New Roman"/>
          <w:sz w:val="28"/>
          <w:szCs w:val="28"/>
        </w:rPr>
        <w:t xml:space="preserve"> сократились на 0,2 млн.руб. Процентов за пользование кредитами кредитных организаций в отчетном году уплачено 677,7 млн.руб., что на </w:t>
      </w:r>
      <w:r w:rsidR="001A507F" w:rsidRPr="00A53AD7">
        <w:rPr>
          <w:rFonts w:ascii="Times New Roman" w:hAnsi="Times New Roman"/>
          <w:sz w:val="28"/>
          <w:szCs w:val="28"/>
        </w:rPr>
        <w:t xml:space="preserve">574,4 млн.руб. </w:t>
      </w:r>
      <w:r w:rsidR="000D496F" w:rsidRPr="00A53AD7">
        <w:rPr>
          <w:rFonts w:ascii="Times New Roman" w:hAnsi="Times New Roman"/>
          <w:sz w:val="28"/>
          <w:szCs w:val="28"/>
        </w:rPr>
        <w:t>или в 1,8 раз ниже расходов 2018 года.</w:t>
      </w:r>
    </w:p>
    <w:p w14:paraId="483BB80D" w14:textId="5A93D378"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Ежемесячные расходы областного бюджета на обслуживание государственного долга </w:t>
      </w:r>
      <w:r w:rsidR="00740F5B" w:rsidRPr="00A53AD7">
        <w:rPr>
          <w:rFonts w:ascii="Times New Roman" w:hAnsi="Times New Roman"/>
          <w:sz w:val="28"/>
          <w:szCs w:val="28"/>
        </w:rPr>
        <w:t>в</w:t>
      </w:r>
      <w:r w:rsidRPr="00A53AD7">
        <w:rPr>
          <w:rFonts w:ascii="Times New Roman" w:hAnsi="Times New Roman"/>
          <w:sz w:val="28"/>
          <w:szCs w:val="28"/>
        </w:rPr>
        <w:t xml:space="preserve"> 201</w:t>
      </w:r>
      <w:r w:rsidR="006F0826" w:rsidRPr="00A53AD7">
        <w:rPr>
          <w:rFonts w:ascii="Times New Roman" w:hAnsi="Times New Roman"/>
          <w:sz w:val="28"/>
          <w:szCs w:val="28"/>
        </w:rPr>
        <w:t>8</w:t>
      </w:r>
      <w:r w:rsidRPr="00A53AD7">
        <w:rPr>
          <w:rFonts w:ascii="Times New Roman" w:hAnsi="Times New Roman"/>
          <w:sz w:val="28"/>
          <w:szCs w:val="28"/>
        </w:rPr>
        <w:t xml:space="preserve"> </w:t>
      </w:r>
      <w:r w:rsidR="00740F5B" w:rsidRPr="00A53AD7">
        <w:rPr>
          <w:rFonts w:ascii="Times New Roman" w:hAnsi="Times New Roman"/>
          <w:sz w:val="28"/>
          <w:szCs w:val="28"/>
        </w:rPr>
        <w:t xml:space="preserve">– </w:t>
      </w:r>
      <w:r w:rsidRPr="00A53AD7">
        <w:rPr>
          <w:rFonts w:ascii="Times New Roman" w:hAnsi="Times New Roman"/>
          <w:sz w:val="28"/>
          <w:szCs w:val="28"/>
        </w:rPr>
        <w:t>201</w:t>
      </w:r>
      <w:r w:rsidR="006F0826" w:rsidRPr="00A53AD7">
        <w:rPr>
          <w:rFonts w:ascii="Times New Roman" w:hAnsi="Times New Roman"/>
          <w:sz w:val="28"/>
          <w:szCs w:val="28"/>
        </w:rPr>
        <w:t>9</w:t>
      </w:r>
      <w:r w:rsidRPr="00A53AD7">
        <w:rPr>
          <w:rFonts w:ascii="Times New Roman" w:hAnsi="Times New Roman"/>
          <w:sz w:val="28"/>
          <w:szCs w:val="28"/>
        </w:rPr>
        <w:t xml:space="preserve"> год</w:t>
      </w:r>
      <w:r w:rsidR="00740F5B" w:rsidRPr="00A53AD7">
        <w:rPr>
          <w:rFonts w:ascii="Times New Roman" w:hAnsi="Times New Roman"/>
          <w:sz w:val="28"/>
          <w:szCs w:val="28"/>
        </w:rPr>
        <w:t>ах</w:t>
      </w:r>
      <w:r w:rsidRPr="00A53AD7">
        <w:rPr>
          <w:rFonts w:ascii="Times New Roman" w:hAnsi="Times New Roman"/>
          <w:sz w:val="28"/>
          <w:szCs w:val="28"/>
        </w:rPr>
        <w:t xml:space="preserve"> представлены на рисунке </w:t>
      </w:r>
      <w:r w:rsidR="00404E35" w:rsidRPr="00A53AD7">
        <w:rPr>
          <w:rFonts w:ascii="Times New Roman" w:hAnsi="Times New Roman"/>
          <w:sz w:val="28"/>
          <w:szCs w:val="28"/>
        </w:rPr>
        <w:t>86</w:t>
      </w:r>
      <w:r w:rsidR="00F71243" w:rsidRPr="00A53AD7">
        <w:rPr>
          <w:rFonts w:ascii="Times New Roman" w:hAnsi="Times New Roman"/>
          <w:sz w:val="28"/>
          <w:szCs w:val="28"/>
        </w:rPr>
        <w:t>:</w:t>
      </w:r>
    </w:p>
    <w:p w14:paraId="36109A39" w14:textId="7D9196B7" w:rsidR="00650B79" w:rsidRPr="00A53AD7" w:rsidRDefault="00806485" w:rsidP="002A7BBD">
      <w:pPr>
        <w:keepNext/>
        <w:spacing w:after="0" w:line="240" w:lineRule="auto"/>
        <w:jc w:val="center"/>
      </w:pPr>
      <w:r w:rsidRPr="00A53AD7">
        <w:rPr>
          <w:noProof/>
          <w:lang w:eastAsia="ru-RU"/>
        </w:rPr>
        <w:drawing>
          <wp:inline distT="0" distB="0" distL="0" distR="0" wp14:anchorId="6E0304CE" wp14:editId="07B636D2">
            <wp:extent cx="4741137" cy="2173434"/>
            <wp:effectExtent l="0" t="0" r="254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55965" cy="2180231"/>
                    </a:xfrm>
                    <a:prstGeom prst="rect">
                      <a:avLst/>
                    </a:prstGeom>
                    <a:noFill/>
                  </pic:spPr>
                </pic:pic>
              </a:graphicData>
            </a:graphic>
          </wp:inline>
        </w:drawing>
      </w:r>
    </w:p>
    <w:p w14:paraId="35F94BD5" w14:textId="418B0633" w:rsidR="00650B79" w:rsidRPr="00A53AD7" w:rsidRDefault="00650B79" w:rsidP="00F71243">
      <w:pPr>
        <w:pStyle w:val="aff0"/>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86</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Расходы на обслуживание государственного долга Архангельской области </w:t>
      </w:r>
      <w:r w:rsidR="002A7BBD" w:rsidRPr="00A53AD7">
        <w:rPr>
          <w:rFonts w:ascii="Times New Roman" w:hAnsi="Times New Roman"/>
          <w:b w:val="0"/>
          <w:sz w:val="24"/>
          <w:szCs w:val="24"/>
        </w:rPr>
        <w:t>в</w:t>
      </w:r>
      <w:r w:rsidRPr="00A53AD7">
        <w:rPr>
          <w:rFonts w:ascii="Times New Roman" w:hAnsi="Times New Roman"/>
          <w:b w:val="0"/>
          <w:sz w:val="24"/>
          <w:szCs w:val="24"/>
        </w:rPr>
        <w:t xml:space="preserve"> 201</w:t>
      </w:r>
      <w:r w:rsidR="00F62B98" w:rsidRPr="00A53AD7">
        <w:rPr>
          <w:rFonts w:ascii="Times New Roman" w:hAnsi="Times New Roman"/>
          <w:b w:val="0"/>
          <w:sz w:val="24"/>
          <w:szCs w:val="24"/>
        </w:rPr>
        <w:t>8</w:t>
      </w:r>
      <w:r w:rsidRPr="00A53AD7">
        <w:rPr>
          <w:rFonts w:ascii="Times New Roman" w:hAnsi="Times New Roman"/>
          <w:b w:val="0"/>
          <w:sz w:val="24"/>
          <w:szCs w:val="24"/>
        </w:rPr>
        <w:t xml:space="preserve"> </w:t>
      </w:r>
      <w:r w:rsidR="003D7AA5" w:rsidRPr="00A53AD7">
        <w:rPr>
          <w:rFonts w:ascii="Times New Roman" w:hAnsi="Times New Roman"/>
          <w:b w:val="0"/>
          <w:sz w:val="24"/>
          <w:szCs w:val="24"/>
        </w:rPr>
        <w:t xml:space="preserve">– </w:t>
      </w:r>
      <w:r w:rsidRPr="00A53AD7">
        <w:rPr>
          <w:rFonts w:ascii="Times New Roman" w:hAnsi="Times New Roman"/>
          <w:b w:val="0"/>
          <w:sz w:val="24"/>
          <w:szCs w:val="24"/>
        </w:rPr>
        <w:t>201</w:t>
      </w:r>
      <w:r w:rsidR="00F62B98" w:rsidRPr="00A53AD7">
        <w:rPr>
          <w:rFonts w:ascii="Times New Roman" w:hAnsi="Times New Roman"/>
          <w:b w:val="0"/>
          <w:sz w:val="24"/>
          <w:szCs w:val="24"/>
        </w:rPr>
        <w:t>9</w:t>
      </w:r>
      <w:r w:rsidRPr="00A53AD7">
        <w:rPr>
          <w:rFonts w:ascii="Times New Roman" w:hAnsi="Times New Roman"/>
          <w:b w:val="0"/>
          <w:sz w:val="24"/>
          <w:szCs w:val="24"/>
        </w:rPr>
        <w:t xml:space="preserve"> год</w:t>
      </w:r>
      <w:r w:rsidR="002A7BBD" w:rsidRPr="00A53AD7">
        <w:rPr>
          <w:rFonts w:ascii="Times New Roman" w:hAnsi="Times New Roman"/>
          <w:b w:val="0"/>
          <w:sz w:val="24"/>
          <w:szCs w:val="24"/>
        </w:rPr>
        <w:t>ах</w:t>
      </w:r>
      <w:r w:rsidRPr="00A53AD7">
        <w:rPr>
          <w:rFonts w:ascii="Times New Roman" w:hAnsi="Times New Roman"/>
          <w:b w:val="0"/>
          <w:sz w:val="24"/>
          <w:szCs w:val="24"/>
        </w:rPr>
        <w:t>, млн.руб</w:t>
      </w:r>
      <w:r w:rsidR="00740F5B" w:rsidRPr="00A53AD7">
        <w:rPr>
          <w:rFonts w:ascii="Times New Roman" w:hAnsi="Times New Roman"/>
          <w:b w:val="0"/>
          <w:sz w:val="24"/>
          <w:szCs w:val="24"/>
        </w:rPr>
        <w:t>.</w:t>
      </w:r>
    </w:p>
    <w:p w14:paraId="37DEFD07" w14:textId="77777777" w:rsidR="00650B79" w:rsidRPr="00A53AD7" w:rsidRDefault="00650B79" w:rsidP="00F71243">
      <w:pPr>
        <w:pStyle w:val="1"/>
        <w:numPr>
          <w:ilvl w:val="0"/>
          <w:numId w:val="0"/>
        </w:numPr>
        <w:rPr>
          <w:sz w:val="16"/>
        </w:rPr>
      </w:pPr>
    </w:p>
    <w:p w14:paraId="009DB66F" w14:textId="03F5BE11" w:rsidR="00650B79" w:rsidRPr="00A53AD7" w:rsidRDefault="00650B79"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Среднедневные расходы на обслуживание государственного долга в отчетном периоде составили </w:t>
      </w:r>
      <w:r w:rsidR="0081153F" w:rsidRPr="00A53AD7">
        <w:rPr>
          <w:rFonts w:ascii="Times New Roman" w:hAnsi="Times New Roman"/>
          <w:sz w:val="28"/>
          <w:szCs w:val="28"/>
        </w:rPr>
        <w:t>1 907,9</w:t>
      </w:r>
      <w:r w:rsidRPr="00A53AD7">
        <w:rPr>
          <w:rFonts w:ascii="Times New Roman" w:hAnsi="Times New Roman"/>
          <w:sz w:val="28"/>
          <w:szCs w:val="28"/>
        </w:rPr>
        <w:t xml:space="preserve"> тыс.руб., что на </w:t>
      </w:r>
      <w:r w:rsidR="0081153F" w:rsidRPr="00A53AD7">
        <w:rPr>
          <w:rFonts w:ascii="Times New Roman" w:hAnsi="Times New Roman"/>
          <w:sz w:val="28"/>
          <w:szCs w:val="28"/>
        </w:rPr>
        <w:t>1 574,3</w:t>
      </w:r>
      <w:r w:rsidRPr="00A53AD7">
        <w:rPr>
          <w:rFonts w:ascii="Times New Roman" w:hAnsi="Times New Roman"/>
          <w:sz w:val="28"/>
          <w:szCs w:val="28"/>
        </w:rPr>
        <w:t xml:space="preserve"> тыс.руб. </w:t>
      </w:r>
      <w:r w:rsidR="004E5C1F" w:rsidRPr="00A53AD7">
        <w:rPr>
          <w:rFonts w:ascii="Times New Roman" w:hAnsi="Times New Roman"/>
          <w:sz w:val="28"/>
          <w:szCs w:val="28"/>
        </w:rPr>
        <w:t>меньше</w:t>
      </w:r>
      <w:r w:rsidRPr="00A53AD7">
        <w:rPr>
          <w:rFonts w:ascii="Times New Roman" w:hAnsi="Times New Roman"/>
          <w:sz w:val="28"/>
          <w:szCs w:val="28"/>
        </w:rPr>
        <w:t xml:space="preserve"> соответствующи</w:t>
      </w:r>
      <w:r w:rsidR="004E5C1F" w:rsidRPr="00A53AD7">
        <w:rPr>
          <w:rFonts w:ascii="Times New Roman" w:hAnsi="Times New Roman"/>
          <w:sz w:val="28"/>
          <w:szCs w:val="28"/>
        </w:rPr>
        <w:t>х</w:t>
      </w:r>
      <w:r w:rsidRPr="00A53AD7">
        <w:rPr>
          <w:rFonts w:ascii="Times New Roman" w:hAnsi="Times New Roman"/>
          <w:sz w:val="28"/>
          <w:szCs w:val="28"/>
        </w:rPr>
        <w:t xml:space="preserve"> </w:t>
      </w:r>
      <w:r w:rsidR="0081153F" w:rsidRPr="00A53AD7">
        <w:rPr>
          <w:rFonts w:ascii="Times New Roman" w:hAnsi="Times New Roman"/>
          <w:sz w:val="28"/>
          <w:szCs w:val="28"/>
        </w:rPr>
        <w:t xml:space="preserve">среднедневных </w:t>
      </w:r>
      <w:r w:rsidRPr="00A53AD7">
        <w:rPr>
          <w:rFonts w:ascii="Times New Roman" w:hAnsi="Times New Roman"/>
          <w:sz w:val="28"/>
          <w:szCs w:val="28"/>
        </w:rPr>
        <w:t>расход</w:t>
      </w:r>
      <w:r w:rsidR="004E5C1F" w:rsidRPr="00A53AD7">
        <w:rPr>
          <w:rFonts w:ascii="Times New Roman" w:hAnsi="Times New Roman"/>
          <w:sz w:val="28"/>
          <w:szCs w:val="28"/>
        </w:rPr>
        <w:t>ов</w:t>
      </w:r>
      <w:r w:rsidRPr="00A53AD7">
        <w:rPr>
          <w:rFonts w:ascii="Times New Roman" w:hAnsi="Times New Roman"/>
          <w:sz w:val="28"/>
          <w:szCs w:val="28"/>
        </w:rPr>
        <w:t xml:space="preserve"> 201</w:t>
      </w:r>
      <w:r w:rsidR="0081153F" w:rsidRPr="00A53AD7">
        <w:rPr>
          <w:rFonts w:ascii="Times New Roman" w:hAnsi="Times New Roman"/>
          <w:sz w:val="28"/>
          <w:szCs w:val="28"/>
        </w:rPr>
        <w:t>8</w:t>
      </w:r>
      <w:r w:rsidRPr="00A53AD7">
        <w:rPr>
          <w:rFonts w:ascii="Times New Roman" w:hAnsi="Times New Roman"/>
          <w:sz w:val="28"/>
          <w:szCs w:val="28"/>
        </w:rPr>
        <w:t xml:space="preserve"> год</w:t>
      </w:r>
      <w:r w:rsidR="004E5C1F" w:rsidRPr="00A53AD7">
        <w:rPr>
          <w:rFonts w:ascii="Times New Roman" w:hAnsi="Times New Roman"/>
          <w:sz w:val="28"/>
          <w:szCs w:val="28"/>
        </w:rPr>
        <w:t>а</w:t>
      </w:r>
      <w:r w:rsidRPr="00A53AD7">
        <w:rPr>
          <w:rFonts w:ascii="Times New Roman" w:hAnsi="Times New Roman"/>
          <w:sz w:val="28"/>
          <w:szCs w:val="28"/>
        </w:rPr>
        <w:t>.</w:t>
      </w:r>
    </w:p>
    <w:p w14:paraId="2C310E35" w14:textId="055C4F94" w:rsidR="00182028" w:rsidRPr="00A53AD7" w:rsidRDefault="00182028"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Сокращение расходов</w:t>
      </w:r>
      <w:r w:rsidR="005B2A48" w:rsidRPr="00A53AD7">
        <w:rPr>
          <w:rFonts w:ascii="Times New Roman" w:hAnsi="Times New Roman"/>
          <w:sz w:val="28"/>
          <w:szCs w:val="28"/>
        </w:rPr>
        <w:t xml:space="preserve"> на обслуживание государственного долга обусловлено рядом факторов</w:t>
      </w:r>
      <w:r w:rsidR="0043576B" w:rsidRPr="00A53AD7">
        <w:rPr>
          <w:rFonts w:ascii="Times New Roman" w:hAnsi="Times New Roman"/>
          <w:sz w:val="28"/>
          <w:szCs w:val="28"/>
        </w:rPr>
        <w:t xml:space="preserve">, в числе которых снижение средневзвешенной ставки по коммерческим кредитам, </w:t>
      </w:r>
      <w:r w:rsidR="00C8548E" w:rsidRPr="00A53AD7">
        <w:rPr>
          <w:rFonts w:ascii="Times New Roman" w:hAnsi="Times New Roman"/>
          <w:sz w:val="28"/>
          <w:szCs w:val="28"/>
        </w:rPr>
        <w:t>активное использование возможности кредитования за счет средств федерального бюджета, а также позитивная динамика поступления налоговых и неналоговых доходов областного бюджета.</w:t>
      </w:r>
    </w:p>
    <w:p w14:paraId="433CB1BA" w14:textId="77777777" w:rsidR="00E4790A" w:rsidRPr="00A53AD7" w:rsidRDefault="00E4790A" w:rsidP="00650B79">
      <w:pPr>
        <w:spacing w:after="0" w:line="240" w:lineRule="auto"/>
        <w:ind w:firstLine="851"/>
        <w:jc w:val="both"/>
        <w:rPr>
          <w:rFonts w:ascii="Times New Roman" w:hAnsi="Times New Roman"/>
          <w:sz w:val="28"/>
          <w:szCs w:val="28"/>
        </w:rPr>
      </w:pPr>
    </w:p>
    <w:p w14:paraId="3F53176B" w14:textId="6DADD600" w:rsidR="00CE7C11" w:rsidRPr="00A53AD7" w:rsidRDefault="00CE7C11" w:rsidP="00CE7C11">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В таблице </w:t>
      </w:r>
      <w:r w:rsidR="00404E35" w:rsidRPr="00A53AD7">
        <w:rPr>
          <w:rFonts w:ascii="Times New Roman" w:hAnsi="Times New Roman"/>
          <w:sz w:val="28"/>
          <w:szCs w:val="28"/>
        </w:rPr>
        <w:t>79</w:t>
      </w:r>
      <w:r w:rsidRPr="00A53AD7">
        <w:rPr>
          <w:rFonts w:ascii="Times New Roman" w:hAnsi="Times New Roman"/>
          <w:sz w:val="28"/>
          <w:szCs w:val="28"/>
        </w:rPr>
        <w:t xml:space="preserve"> представлена оценка положения Архангельской области, по объему государственных внутренних долговых обязательств по состоянию на отчетную дату.</w:t>
      </w:r>
    </w:p>
    <w:p w14:paraId="71B64B6B" w14:textId="77777777" w:rsidR="00CE7C11" w:rsidRPr="00A53AD7" w:rsidRDefault="00CE7C11" w:rsidP="00CE7C11">
      <w:pPr>
        <w:spacing w:after="0" w:line="240" w:lineRule="auto"/>
        <w:ind w:firstLine="851"/>
        <w:jc w:val="both"/>
        <w:rPr>
          <w:rFonts w:ascii="Times New Roman" w:hAnsi="Times New Roman"/>
          <w:sz w:val="16"/>
          <w:szCs w:val="16"/>
        </w:rPr>
      </w:pPr>
    </w:p>
    <w:p w14:paraId="7978491F" w14:textId="77777777" w:rsidR="00CE7C11" w:rsidRPr="00A53AD7" w:rsidRDefault="00CE7C11" w:rsidP="00CE7C11">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79</w:t>
      </w:r>
      <w:r w:rsidRPr="00A53AD7">
        <w:rPr>
          <w:rFonts w:ascii="Times New Roman" w:hAnsi="Times New Roman"/>
          <w:b w:val="0"/>
          <w:sz w:val="24"/>
          <w:szCs w:val="24"/>
        </w:rPr>
        <w:fldChar w:fldCharType="end"/>
      </w:r>
      <w:r w:rsidRPr="00A53AD7">
        <w:rPr>
          <w:rFonts w:ascii="Times New Roman" w:hAnsi="Times New Roman"/>
          <w:b w:val="0"/>
          <w:sz w:val="24"/>
          <w:szCs w:val="24"/>
        </w:rPr>
        <w:t>. Рэнкинг</w:t>
      </w:r>
      <w:r w:rsidRPr="00A53AD7">
        <w:rPr>
          <w:rFonts w:ascii="Times New Roman" w:hAnsi="Times New Roman"/>
          <w:b w:val="0"/>
          <w:sz w:val="24"/>
          <w:szCs w:val="24"/>
          <w:vertAlign w:val="superscript"/>
        </w:rPr>
        <w:footnoteReference w:id="23"/>
      </w:r>
      <w:r w:rsidRPr="00A53AD7">
        <w:rPr>
          <w:rFonts w:ascii="Times New Roman" w:hAnsi="Times New Roman"/>
          <w:b w:val="0"/>
          <w:sz w:val="24"/>
          <w:szCs w:val="24"/>
        </w:rPr>
        <w:t xml:space="preserve"> Архангельской области по объему государственного долга по состоянию на 01.01.2019 и 01.01.2020</w:t>
      </w:r>
    </w:p>
    <w:tbl>
      <w:tblPr>
        <w:tblW w:w="9269" w:type="dxa"/>
        <w:tblInd w:w="85" w:type="dxa"/>
        <w:tblLook w:val="04A0" w:firstRow="1" w:lastRow="0" w:firstColumn="1" w:lastColumn="0" w:noHBand="0" w:noVBand="1"/>
      </w:tblPr>
      <w:tblGrid>
        <w:gridCol w:w="4570"/>
        <w:gridCol w:w="623"/>
        <w:gridCol w:w="1005"/>
        <w:gridCol w:w="623"/>
        <w:gridCol w:w="1005"/>
        <w:gridCol w:w="623"/>
        <w:gridCol w:w="820"/>
      </w:tblGrid>
      <w:tr w:rsidR="00D470B6" w:rsidRPr="00A53AD7" w14:paraId="761372DA" w14:textId="77777777" w:rsidTr="00D91486">
        <w:trPr>
          <w:trHeight w:val="315"/>
          <w:tblHeader/>
        </w:trPr>
        <w:tc>
          <w:tcPr>
            <w:tcW w:w="4570" w:type="dxa"/>
            <w:vMerge w:val="restart"/>
            <w:tcBorders>
              <w:top w:val="double" w:sz="6" w:space="0" w:color="auto"/>
              <w:left w:val="double" w:sz="6" w:space="0" w:color="auto"/>
              <w:bottom w:val="single" w:sz="4" w:space="0" w:color="auto"/>
              <w:right w:val="single" w:sz="4" w:space="0" w:color="auto"/>
            </w:tcBorders>
            <w:shd w:val="clear" w:color="auto" w:fill="auto"/>
            <w:vAlign w:val="center"/>
            <w:hideMark/>
          </w:tcPr>
          <w:p w14:paraId="169A10D7"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Показатель</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2F84D535"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01.01.2019</w:t>
            </w:r>
          </w:p>
        </w:tc>
        <w:tc>
          <w:tcPr>
            <w:tcW w:w="1628" w:type="dxa"/>
            <w:gridSpan w:val="2"/>
            <w:tcBorders>
              <w:top w:val="double" w:sz="6" w:space="0" w:color="auto"/>
              <w:left w:val="nil"/>
              <w:bottom w:val="single" w:sz="4" w:space="0" w:color="auto"/>
              <w:right w:val="single" w:sz="4" w:space="0" w:color="auto"/>
            </w:tcBorders>
            <w:shd w:val="clear" w:color="auto" w:fill="auto"/>
            <w:vAlign w:val="center"/>
            <w:hideMark/>
          </w:tcPr>
          <w:p w14:paraId="15F42893"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На 01.01.2020</w:t>
            </w:r>
          </w:p>
        </w:tc>
        <w:tc>
          <w:tcPr>
            <w:tcW w:w="1443" w:type="dxa"/>
            <w:gridSpan w:val="2"/>
            <w:tcBorders>
              <w:top w:val="double" w:sz="6" w:space="0" w:color="auto"/>
              <w:left w:val="nil"/>
              <w:bottom w:val="single" w:sz="4" w:space="0" w:color="auto"/>
              <w:right w:val="double" w:sz="6" w:space="0" w:color="000000"/>
            </w:tcBorders>
            <w:shd w:val="clear" w:color="auto" w:fill="auto"/>
            <w:vAlign w:val="center"/>
            <w:hideMark/>
          </w:tcPr>
          <w:p w14:paraId="52C54C78"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Изменение (+,-)</w:t>
            </w:r>
          </w:p>
        </w:tc>
      </w:tr>
      <w:tr w:rsidR="00D470B6" w:rsidRPr="00A53AD7" w14:paraId="428B918C" w14:textId="77777777" w:rsidTr="00D91486">
        <w:trPr>
          <w:trHeight w:val="20"/>
          <w:tblHeader/>
        </w:trPr>
        <w:tc>
          <w:tcPr>
            <w:tcW w:w="4570" w:type="dxa"/>
            <w:vMerge/>
            <w:tcBorders>
              <w:top w:val="double" w:sz="6" w:space="0" w:color="auto"/>
              <w:left w:val="double" w:sz="6" w:space="0" w:color="auto"/>
              <w:bottom w:val="single" w:sz="4" w:space="0" w:color="auto"/>
              <w:right w:val="single" w:sz="4" w:space="0" w:color="auto"/>
            </w:tcBorders>
            <w:vAlign w:val="center"/>
            <w:hideMark/>
          </w:tcPr>
          <w:p w14:paraId="632A1E89" w14:textId="77777777" w:rsidR="00CE7C11" w:rsidRPr="00A53AD7" w:rsidRDefault="00CE7C11" w:rsidP="00D91486">
            <w:pPr>
              <w:spacing w:after="0" w:line="240" w:lineRule="auto"/>
              <w:rPr>
                <w:rFonts w:ascii="Times New Roman" w:eastAsia="Times New Roman" w:hAnsi="Times New Roman"/>
                <w:lang w:eastAsia="ru-RU"/>
              </w:rPr>
            </w:pPr>
          </w:p>
        </w:tc>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E26C06"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14:paraId="4656FE7E"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c>
          <w:tcPr>
            <w:tcW w:w="623" w:type="dxa"/>
            <w:tcBorders>
              <w:top w:val="single" w:sz="4" w:space="0" w:color="auto"/>
              <w:left w:val="nil"/>
              <w:bottom w:val="single" w:sz="4" w:space="0" w:color="auto"/>
              <w:right w:val="single" w:sz="4" w:space="0" w:color="auto"/>
            </w:tcBorders>
            <w:shd w:val="clear" w:color="auto" w:fill="auto"/>
            <w:vAlign w:val="center"/>
            <w:hideMark/>
          </w:tcPr>
          <w:p w14:paraId="126DF939"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14:paraId="1FFEC432"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c>
          <w:tcPr>
            <w:tcW w:w="623" w:type="dxa"/>
            <w:tcBorders>
              <w:top w:val="single" w:sz="4" w:space="0" w:color="auto"/>
              <w:left w:val="nil"/>
              <w:bottom w:val="single" w:sz="4" w:space="0" w:color="auto"/>
              <w:right w:val="single" w:sz="4" w:space="0" w:color="auto"/>
            </w:tcBorders>
            <w:shd w:val="clear" w:color="auto" w:fill="auto"/>
            <w:vAlign w:val="center"/>
            <w:hideMark/>
          </w:tcPr>
          <w:p w14:paraId="0BB96665"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РФ</w:t>
            </w:r>
          </w:p>
        </w:tc>
        <w:tc>
          <w:tcPr>
            <w:tcW w:w="820" w:type="dxa"/>
            <w:tcBorders>
              <w:top w:val="nil"/>
              <w:left w:val="single" w:sz="4" w:space="0" w:color="auto"/>
              <w:bottom w:val="single" w:sz="4" w:space="0" w:color="auto"/>
              <w:right w:val="double" w:sz="6" w:space="0" w:color="auto"/>
            </w:tcBorders>
            <w:shd w:val="clear" w:color="auto" w:fill="auto"/>
            <w:vAlign w:val="center"/>
            <w:hideMark/>
          </w:tcPr>
          <w:p w14:paraId="6299D4F4"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СЗФО</w:t>
            </w:r>
          </w:p>
        </w:tc>
      </w:tr>
      <w:tr w:rsidR="00D470B6" w:rsidRPr="00A53AD7" w14:paraId="79692AEC" w14:textId="77777777" w:rsidTr="00D91486">
        <w:trPr>
          <w:trHeight w:val="60"/>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7F5B79D4"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Государственный долг, млн.руб.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35DAF47"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35 549,1</w:t>
            </w:r>
          </w:p>
        </w:tc>
        <w:tc>
          <w:tcPr>
            <w:tcW w:w="1628" w:type="dxa"/>
            <w:gridSpan w:val="2"/>
            <w:tcBorders>
              <w:top w:val="single" w:sz="4" w:space="0" w:color="auto"/>
              <w:left w:val="nil"/>
              <w:bottom w:val="single" w:sz="4" w:space="0" w:color="auto"/>
              <w:right w:val="single" w:sz="4" w:space="0" w:color="auto"/>
            </w:tcBorders>
            <w:shd w:val="clear" w:color="auto" w:fill="auto"/>
            <w:vAlign w:val="center"/>
          </w:tcPr>
          <w:p w14:paraId="6C1A1AF8"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33 971,6</w:t>
            </w:r>
          </w:p>
        </w:tc>
        <w:tc>
          <w:tcPr>
            <w:tcW w:w="1443" w:type="dxa"/>
            <w:gridSpan w:val="2"/>
            <w:tcBorders>
              <w:top w:val="single" w:sz="4" w:space="0" w:color="auto"/>
              <w:left w:val="nil"/>
              <w:bottom w:val="single" w:sz="4" w:space="0" w:color="auto"/>
              <w:right w:val="double" w:sz="6" w:space="0" w:color="000000"/>
            </w:tcBorders>
            <w:shd w:val="clear" w:color="auto" w:fill="auto"/>
            <w:vAlign w:val="center"/>
          </w:tcPr>
          <w:p w14:paraId="408996C0"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-1 577,5</w:t>
            </w:r>
          </w:p>
        </w:tc>
      </w:tr>
      <w:tr w:rsidR="00D470B6" w:rsidRPr="00A53AD7" w14:paraId="0A763F25" w14:textId="77777777" w:rsidTr="00D91486">
        <w:trPr>
          <w:trHeight w:val="60"/>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52A0A482"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Позиция</w:t>
            </w:r>
          </w:p>
        </w:tc>
        <w:tc>
          <w:tcPr>
            <w:tcW w:w="623" w:type="dxa"/>
            <w:tcBorders>
              <w:top w:val="nil"/>
              <w:left w:val="single" w:sz="4" w:space="0" w:color="auto"/>
              <w:bottom w:val="single" w:sz="4" w:space="0" w:color="auto"/>
              <w:right w:val="single" w:sz="4" w:space="0" w:color="auto"/>
            </w:tcBorders>
            <w:shd w:val="clear" w:color="auto" w:fill="auto"/>
            <w:vAlign w:val="center"/>
            <w:hideMark/>
          </w:tcPr>
          <w:p w14:paraId="77D3E3F8"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17 </w:t>
            </w:r>
          </w:p>
        </w:tc>
        <w:tc>
          <w:tcPr>
            <w:tcW w:w="1005" w:type="dxa"/>
            <w:tcBorders>
              <w:top w:val="nil"/>
              <w:left w:val="nil"/>
              <w:bottom w:val="single" w:sz="4" w:space="0" w:color="auto"/>
              <w:right w:val="single" w:sz="4" w:space="0" w:color="auto"/>
            </w:tcBorders>
            <w:shd w:val="clear" w:color="auto" w:fill="auto"/>
            <w:vAlign w:val="center"/>
            <w:hideMark/>
          </w:tcPr>
          <w:p w14:paraId="16DD8BA5"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1 </w:t>
            </w:r>
          </w:p>
        </w:tc>
        <w:tc>
          <w:tcPr>
            <w:tcW w:w="623" w:type="dxa"/>
            <w:tcBorders>
              <w:top w:val="nil"/>
              <w:left w:val="nil"/>
              <w:bottom w:val="single" w:sz="4" w:space="0" w:color="auto"/>
              <w:right w:val="single" w:sz="4" w:space="0" w:color="auto"/>
            </w:tcBorders>
            <w:shd w:val="clear" w:color="auto" w:fill="auto"/>
            <w:vAlign w:val="center"/>
          </w:tcPr>
          <w:p w14:paraId="4C42F7CE"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17</w:t>
            </w:r>
          </w:p>
        </w:tc>
        <w:tc>
          <w:tcPr>
            <w:tcW w:w="1005" w:type="dxa"/>
            <w:tcBorders>
              <w:top w:val="nil"/>
              <w:left w:val="nil"/>
              <w:bottom w:val="single" w:sz="4" w:space="0" w:color="auto"/>
              <w:right w:val="single" w:sz="4" w:space="0" w:color="auto"/>
            </w:tcBorders>
            <w:shd w:val="clear" w:color="auto" w:fill="auto"/>
            <w:vAlign w:val="center"/>
          </w:tcPr>
          <w:p w14:paraId="402982E3"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623" w:type="dxa"/>
            <w:tcBorders>
              <w:top w:val="single" w:sz="4" w:space="0" w:color="auto"/>
              <w:left w:val="nil"/>
              <w:bottom w:val="single" w:sz="4" w:space="0" w:color="auto"/>
              <w:right w:val="single" w:sz="4" w:space="0" w:color="auto"/>
            </w:tcBorders>
            <w:shd w:val="clear" w:color="auto" w:fill="auto"/>
            <w:vAlign w:val="center"/>
          </w:tcPr>
          <w:p w14:paraId="138F0B45"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c>
          <w:tcPr>
            <w:tcW w:w="820" w:type="dxa"/>
            <w:tcBorders>
              <w:top w:val="nil"/>
              <w:left w:val="single" w:sz="4" w:space="0" w:color="auto"/>
              <w:bottom w:val="single" w:sz="4" w:space="0" w:color="auto"/>
              <w:right w:val="double" w:sz="6" w:space="0" w:color="auto"/>
            </w:tcBorders>
            <w:shd w:val="clear" w:color="auto" w:fill="auto"/>
            <w:vAlign w:val="center"/>
          </w:tcPr>
          <w:p w14:paraId="71B01082"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D470B6" w:rsidRPr="00A53AD7" w14:paraId="20B36056" w14:textId="77777777" w:rsidTr="00D91486">
        <w:trPr>
          <w:trHeight w:val="60"/>
        </w:trPr>
        <w:tc>
          <w:tcPr>
            <w:tcW w:w="4570" w:type="dxa"/>
            <w:tcBorders>
              <w:top w:val="nil"/>
              <w:left w:val="double" w:sz="6" w:space="0" w:color="auto"/>
              <w:bottom w:val="single" w:sz="4" w:space="0" w:color="auto"/>
              <w:right w:val="single" w:sz="4" w:space="0" w:color="auto"/>
            </w:tcBorders>
            <w:shd w:val="clear" w:color="auto" w:fill="auto"/>
            <w:vAlign w:val="center"/>
          </w:tcPr>
          <w:p w14:paraId="756121EA"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Уровень государственного долга по отношению к налоговым и неналоговым доходам, %</w:t>
            </w:r>
            <w:r w:rsidRPr="00A53AD7">
              <w:rPr>
                <w:rStyle w:val="afff1"/>
                <w:rFonts w:ascii="Times New Roman" w:eastAsia="Times New Roman" w:hAnsi="Times New Roman"/>
                <w:lang w:eastAsia="ru-RU"/>
              </w:rPr>
              <w:footnoteReference w:id="24"/>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F060B"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60,1</w:t>
            </w:r>
          </w:p>
        </w:tc>
        <w:tc>
          <w:tcPr>
            <w:tcW w:w="1628" w:type="dxa"/>
            <w:gridSpan w:val="2"/>
            <w:tcBorders>
              <w:top w:val="single" w:sz="4" w:space="0" w:color="auto"/>
              <w:left w:val="nil"/>
              <w:bottom w:val="single" w:sz="4" w:space="0" w:color="auto"/>
              <w:right w:val="single" w:sz="4" w:space="0" w:color="auto"/>
            </w:tcBorders>
            <w:shd w:val="clear" w:color="auto" w:fill="auto"/>
            <w:vAlign w:val="center"/>
          </w:tcPr>
          <w:p w14:paraId="1A77AD8A"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53,4</w:t>
            </w:r>
          </w:p>
        </w:tc>
        <w:tc>
          <w:tcPr>
            <w:tcW w:w="1443" w:type="dxa"/>
            <w:gridSpan w:val="2"/>
            <w:tcBorders>
              <w:top w:val="single" w:sz="4" w:space="0" w:color="auto"/>
              <w:left w:val="nil"/>
              <w:bottom w:val="single" w:sz="4" w:space="0" w:color="auto"/>
              <w:right w:val="double" w:sz="6" w:space="0" w:color="000000"/>
            </w:tcBorders>
            <w:shd w:val="clear" w:color="auto" w:fill="auto"/>
            <w:vAlign w:val="center"/>
          </w:tcPr>
          <w:p w14:paraId="7C493CEE"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-6,7</w:t>
            </w:r>
          </w:p>
        </w:tc>
      </w:tr>
      <w:tr w:rsidR="00D470B6" w:rsidRPr="00A53AD7" w14:paraId="143E8D88" w14:textId="77777777" w:rsidTr="00D91486">
        <w:trPr>
          <w:trHeight w:val="152"/>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1C83900C"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Позиция</w:t>
            </w:r>
          </w:p>
        </w:tc>
        <w:tc>
          <w:tcPr>
            <w:tcW w:w="623" w:type="dxa"/>
            <w:tcBorders>
              <w:top w:val="nil"/>
              <w:left w:val="single" w:sz="4" w:space="0" w:color="auto"/>
              <w:bottom w:val="single" w:sz="4" w:space="0" w:color="auto"/>
              <w:right w:val="single" w:sz="4" w:space="0" w:color="auto"/>
            </w:tcBorders>
            <w:shd w:val="clear" w:color="auto" w:fill="auto"/>
            <w:vAlign w:val="center"/>
            <w:hideMark/>
          </w:tcPr>
          <w:p w14:paraId="7E39D6CD"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32</w:t>
            </w:r>
          </w:p>
        </w:tc>
        <w:tc>
          <w:tcPr>
            <w:tcW w:w="1005" w:type="dxa"/>
            <w:tcBorders>
              <w:top w:val="nil"/>
              <w:left w:val="nil"/>
              <w:bottom w:val="single" w:sz="4" w:space="0" w:color="auto"/>
              <w:right w:val="single" w:sz="4" w:space="0" w:color="auto"/>
            </w:tcBorders>
            <w:shd w:val="clear" w:color="auto" w:fill="auto"/>
            <w:vAlign w:val="center"/>
            <w:hideMark/>
          </w:tcPr>
          <w:p w14:paraId="0BF26A64"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4 </w:t>
            </w:r>
          </w:p>
        </w:tc>
        <w:tc>
          <w:tcPr>
            <w:tcW w:w="623" w:type="dxa"/>
            <w:tcBorders>
              <w:top w:val="nil"/>
              <w:left w:val="nil"/>
              <w:bottom w:val="single" w:sz="4" w:space="0" w:color="auto"/>
              <w:right w:val="single" w:sz="4" w:space="0" w:color="auto"/>
            </w:tcBorders>
            <w:shd w:val="clear" w:color="auto" w:fill="auto"/>
            <w:vAlign w:val="center"/>
          </w:tcPr>
          <w:p w14:paraId="6DE831CD"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33</w:t>
            </w:r>
          </w:p>
        </w:tc>
        <w:tc>
          <w:tcPr>
            <w:tcW w:w="1005" w:type="dxa"/>
            <w:tcBorders>
              <w:top w:val="nil"/>
              <w:left w:val="nil"/>
              <w:bottom w:val="single" w:sz="4" w:space="0" w:color="auto"/>
              <w:right w:val="single" w:sz="4" w:space="0" w:color="auto"/>
            </w:tcBorders>
            <w:shd w:val="clear" w:color="auto" w:fill="auto"/>
            <w:vAlign w:val="center"/>
          </w:tcPr>
          <w:p w14:paraId="7FCB7D81"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4</w:t>
            </w:r>
          </w:p>
        </w:tc>
        <w:tc>
          <w:tcPr>
            <w:tcW w:w="623" w:type="dxa"/>
            <w:tcBorders>
              <w:top w:val="single" w:sz="4" w:space="0" w:color="auto"/>
              <w:left w:val="nil"/>
              <w:bottom w:val="single" w:sz="4" w:space="0" w:color="auto"/>
              <w:right w:val="single" w:sz="4" w:space="0" w:color="auto"/>
            </w:tcBorders>
            <w:shd w:val="clear" w:color="auto" w:fill="auto"/>
            <w:vAlign w:val="center"/>
          </w:tcPr>
          <w:p w14:paraId="3C9ABDC4"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w:t>
            </w:r>
          </w:p>
        </w:tc>
        <w:tc>
          <w:tcPr>
            <w:tcW w:w="820" w:type="dxa"/>
            <w:tcBorders>
              <w:top w:val="nil"/>
              <w:left w:val="single" w:sz="4" w:space="0" w:color="auto"/>
              <w:bottom w:val="single" w:sz="4" w:space="0" w:color="auto"/>
              <w:right w:val="double" w:sz="6" w:space="0" w:color="auto"/>
            </w:tcBorders>
            <w:shd w:val="clear" w:color="auto" w:fill="auto"/>
            <w:vAlign w:val="center"/>
          </w:tcPr>
          <w:p w14:paraId="176EE471"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0</w:t>
            </w:r>
          </w:p>
        </w:tc>
      </w:tr>
      <w:tr w:rsidR="00D470B6" w:rsidRPr="00A53AD7" w14:paraId="239F1044" w14:textId="77777777" w:rsidTr="00D91486">
        <w:trPr>
          <w:trHeight w:val="212"/>
        </w:trPr>
        <w:tc>
          <w:tcPr>
            <w:tcW w:w="4570" w:type="dxa"/>
            <w:tcBorders>
              <w:top w:val="nil"/>
              <w:left w:val="double" w:sz="6" w:space="0" w:color="auto"/>
              <w:bottom w:val="single" w:sz="4" w:space="0" w:color="auto"/>
              <w:right w:val="single" w:sz="4" w:space="0" w:color="auto"/>
            </w:tcBorders>
            <w:shd w:val="clear" w:color="auto" w:fill="auto"/>
            <w:vAlign w:val="center"/>
            <w:hideMark/>
          </w:tcPr>
          <w:p w14:paraId="3EC86303"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Государственный долг на душу населения, руб.</w:t>
            </w:r>
          </w:p>
        </w:tc>
        <w:tc>
          <w:tcPr>
            <w:tcW w:w="16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8B444E"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32 308,88</w:t>
            </w:r>
          </w:p>
        </w:tc>
        <w:tc>
          <w:tcPr>
            <w:tcW w:w="1628" w:type="dxa"/>
            <w:gridSpan w:val="2"/>
            <w:tcBorders>
              <w:top w:val="single" w:sz="4" w:space="0" w:color="auto"/>
              <w:left w:val="nil"/>
              <w:bottom w:val="single" w:sz="4" w:space="0" w:color="auto"/>
              <w:right w:val="single" w:sz="4" w:space="0" w:color="auto"/>
            </w:tcBorders>
            <w:shd w:val="clear" w:color="auto" w:fill="auto"/>
            <w:vAlign w:val="center"/>
          </w:tcPr>
          <w:p w14:paraId="01C8327E"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31 097,46</w:t>
            </w:r>
          </w:p>
        </w:tc>
        <w:tc>
          <w:tcPr>
            <w:tcW w:w="1443" w:type="dxa"/>
            <w:gridSpan w:val="2"/>
            <w:tcBorders>
              <w:top w:val="single" w:sz="4" w:space="0" w:color="auto"/>
              <w:left w:val="nil"/>
              <w:bottom w:val="single" w:sz="4" w:space="0" w:color="auto"/>
              <w:right w:val="double" w:sz="6" w:space="0" w:color="000000"/>
            </w:tcBorders>
            <w:shd w:val="clear" w:color="auto" w:fill="auto"/>
            <w:vAlign w:val="center"/>
          </w:tcPr>
          <w:p w14:paraId="7845AA31"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-1 211,42</w:t>
            </w:r>
          </w:p>
        </w:tc>
      </w:tr>
      <w:tr w:rsidR="00CE7C11" w:rsidRPr="00A53AD7" w14:paraId="6103A4BA" w14:textId="77777777" w:rsidTr="00D91486">
        <w:trPr>
          <w:trHeight w:val="230"/>
        </w:trPr>
        <w:tc>
          <w:tcPr>
            <w:tcW w:w="4570" w:type="dxa"/>
            <w:tcBorders>
              <w:top w:val="nil"/>
              <w:left w:val="double" w:sz="6" w:space="0" w:color="auto"/>
              <w:bottom w:val="double" w:sz="6" w:space="0" w:color="auto"/>
              <w:right w:val="single" w:sz="4" w:space="0" w:color="auto"/>
            </w:tcBorders>
            <w:shd w:val="clear" w:color="auto" w:fill="auto"/>
            <w:vAlign w:val="center"/>
            <w:hideMark/>
          </w:tcPr>
          <w:p w14:paraId="283FD1DA" w14:textId="77777777" w:rsidR="00CE7C11" w:rsidRPr="00A53AD7" w:rsidRDefault="00CE7C11" w:rsidP="00D91486">
            <w:pPr>
              <w:spacing w:after="0" w:line="240" w:lineRule="auto"/>
              <w:rPr>
                <w:rFonts w:ascii="Times New Roman" w:eastAsia="Times New Roman" w:hAnsi="Times New Roman"/>
                <w:lang w:eastAsia="ru-RU"/>
              </w:rPr>
            </w:pPr>
            <w:r w:rsidRPr="00A53AD7">
              <w:rPr>
                <w:rFonts w:ascii="Times New Roman" w:eastAsia="Times New Roman" w:hAnsi="Times New Roman"/>
                <w:lang w:eastAsia="ru-RU"/>
              </w:rPr>
              <w:t>Позиция</w:t>
            </w:r>
          </w:p>
        </w:tc>
        <w:tc>
          <w:tcPr>
            <w:tcW w:w="623" w:type="dxa"/>
            <w:tcBorders>
              <w:top w:val="single" w:sz="4" w:space="0" w:color="auto"/>
              <w:left w:val="nil"/>
              <w:bottom w:val="double" w:sz="6" w:space="0" w:color="auto"/>
              <w:right w:val="single" w:sz="4" w:space="0" w:color="auto"/>
            </w:tcBorders>
            <w:shd w:val="clear" w:color="auto" w:fill="auto"/>
            <w:vAlign w:val="center"/>
            <w:hideMark/>
          </w:tcPr>
          <w:p w14:paraId="3362672C"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13</w:t>
            </w:r>
          </w:p>
        </w:tc>
        <w:tc>
          <w:tcPr>
            <w:tcW w:w="1005" w:type="dxa"/>
            <w:tcBorders>
              <w:top w:val="single" w:sz="4" w:space="0" w:color="auto"/>
              <w:left w:val="nil"/>
              <w:bottom w:val="double" w:sz="6" w:space="0" w:color="auto"/>
              <w:right w:val="single" w:sz="4" w:space="0" w:color="auto"/>
            </w:tcBorders>
            <w:shd w:val="clear" w:color="auto" w:fill="auto"/>
            <w:vAlign w:val="center"/>
            <w:hideMark/>
          </w:tcPr>
          <w:p w14:paraId="611CC7B1"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 xml:space="preserve">4 </w:t>
            </w:r>
          </w:p>
        </w:tc>
        <w:tc>
          <w:tcPr>
            <w:tcW w:w="623" w:type="dxa"/>
            <w:tcBorders>
              <w:top w:val="single" w:sz="4" w:space="0" w:color="auto"/>
              <w:left w:val="nil"/>
              <w:bottom w:val="double" w:sz="6" w:space="0" w:color="auto"/>
              <w:right w:val="single" w:sz="4" w:space="0" w:color="auto"/>
            </w:tcBorders>
            <w:shd w:val="clear" w:color="auto" w:fill="auto"/>
            <w:vAlign w:val="center"/>
          </w:tcPr>
          <w:p w14:paraId="2825C0CC"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11</w:t>
            </w:r>
          </w:p>
        </w:tc>
        <w:tc>
          <w:tcPr>
            <w:tcW w:w="1005" w:type="dxa"/>
            <w:tcBorders>
              <w:top w:val="single" w:sz="4" w:space="0" w:color="auto"/>
              <w:left w:val="nil"/>
              <w:bottom w:val="double" w:sz="6" w:space="0" w:color="auto"/>
              <w:right w:val="single" w:sz="4" w:space="0" w:color="auto"/>
            </w:tcBorders>
            <w:shd w:val="clear" w:color="auto" w:fill="auto"/>
            <w:vAlign w:val="center"/>
          </w:tcPr>
          <w:p w14:paraId="4B621060"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623" w:type="dxa"/>
            <w:tcBorders>
              <w:top w:val="nil"/>
              <w:left w:val="nil"/>
              <w:bottom w:val="double" w:sz="6" w:space="0" w:color="auto"/>
              <w:right w:val="single" w:sz="4" w:space="0" w:color="auto"/>
            </w:tcBorders>
            <w:shd w:val="clear" w:color="auto" w:fill="auto"/>
            <w:vAlign w:val="center"/>
          </w:tcPr>
          <w:p w14:paraId="0C1B0A8B"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c>
          <w:tcPr>
            <w:tcW w:w="820" w:type="dxa"/>
            <w:tcBorders>
              <w:top w:val="nil"/>
              <w:left w:val="nil"/>
              <w:bottom w:val="double" w:sz="6" w:space="0" w:color="auto"/>
              <w:right w:val="double" w:sz="6" w:space="0" w:color="auto"/>
            </w:tcBorders>
            <w:shd w:val="clear" w:color="auto" w:fill="auto"/>
            <w:vAlign w:val="center"/>
          </w:tcPr>
          <w:p w14:paraId="04703DE8" w14:textId="77777777" w:rsidR="00CE7C11" w:rsidRPr="00A53AD7" w:rsidRDefault="00CE7C11" w:rsidP="00D91486">
            <w:pPr>
              <w:spacing w:after="0" w:line="240" w:lineRule="auto"/>
              <w:jc w:val="center"/>
              <w:rPr>
                <w:rFonts w:ascii="Times New Roman" w:eastAsia="Times New Roman" w:hAnsi="Times New Roman"/>
                <w:lang w:eastAsia="ru-RU"/>
              </w:rPr>
            </w:pPr>
            <w:r w:rsidRPr="00A53AD7">
              <w:rPr>
                <w:rFonts w:ascii="Times New Roman" w:eastAsia="Times New Roman" w:hAnsi="Times New Roman"/>
                <w:lang w:eastAsia="ru-RU"/>
              </w:rPr>
              <w:t>-2</w:t>
            </w:r>
          </w:p>
        </w:tc>
      </w:tr>
    </w:tbl>
    <w:p w14:paraId="63D35D4B" w14:textId="77777777" w:rsidR="00CE7C11" w:rsidRPr="00A53AD7" w:rsidRDefault="00CE7C11" w:rsidP="00CE7C11">
      <w:pPr>
        <w:spacing w:after="0" w:line="240" w:lineRule="auto"/>
        <w:ind w:firstLine="851"/>
        <w:jc w:val="both"/>
        <w:rPr>
          <w:rFonts w:ascii="Times New Roman" w:hAnsi="Times New Roman"/>
          <w:sz w:val="16"/>
          <w:szCs w:val="16"/>
        </w:rPr>
      </w:pPr>
    </w:p>
    <w:p w14:paraId="45290701" w14:textId="0EAA19EB" w:rsidR="00650B79" w:rsidRPr="00A53AD7" w:rsidRDefault="00B7028C"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Несмотря на фактическое сокращение долговых обязательств Архангельской области п</w:t>
      </w:r>
      <w:r w:rsidR="00650B79" w:rsidRPr="00A53AD7">
        <w:rPr>
          <w:rFonts w:ascii="Times New Roman" w:hAnsi="Times New Roman"/>
          <w:sz w:val="28"/>
          <w:szCs w:val="28"/>
        </w:rPr>
        <w:t>о состоянию на 01.01.20</w:t>
      </w:r>
      <w:r w:rsidR="005D00A2" w:rsidRPr="00A53AD7">
        <w:rPr>
          <w:rFonts w:ascii="Times New Roman" w:hAnsi="Times New Roman"/>
          <w:sz w:val="28"/>
          <w:szCs w:val="28"/>
        </w:rPr>
        <w:t>20</w:t>
      </w:r>
      <w:r w:rsidR="00650B79" w:rsidRPr="00A53AD7">
        <w:rPr>
          <w:rFonts w:ascii="Times New Roman" w:hAnsi="Times New Roman"/>
          <w:sz w:val="28"/>
          <w:szCs w:val="28"/>
        </w:rPr>
        <w:t xml:space="preserve"> </w:t>
      </w:r>
      <w:r w:rsidRPr="00A53AD7">
        <w:rPr>
          <w:rFonts w:ascii="Times New Roman" w:hAnsi="Times New Roman"/>
          <w:sz w:val="28"/>
          <w:szCs w:val="28"/>
        </w:rPr>
        <w:t>в</w:t>
      </w:r>
      <w:r w:rsidR="00650B79" w:rsidRPr="00A53AD7">
        <w:rPr>
          <w:rFonts w:ascii="Times New Roman" w:hAnsi="Times New Roman"/>
          <w:sz w:val="28"/>
          <w:szCs w:val="28"/>
        </w:rPr>
        <w:t xml:space="preserve"> сравнени</w:t>
      </w:r>
      <w:r w:rsidRPr="00A53AD7">
        <w:rPr>
          <w:rFonts w:ascii="Times New Roman" w:hAnsi="Times New Roman"/>
          <w:sz w:val="28"/>
          <w:szCs w:val="28"/>
        </w:rPr>
        <w:t>и</w:t>
      </w:r>
      <w:r w:rsidR="00650B79" w:rsidRPr="00A53AD7">
        <w:rPr>
          <w:rFonts w:ascii="Times New Roman" w:hAnsi="Times New Roman"/>
          <w:sz w:val="28"/>
          <w:szCs w:val="28"/>
        </w:rPr>
        <w:t xml:space="preserve"> с </w:t>
      </w:r>
      <w:r w:rsidR="000951EC" w:rsidRPr="00A53AD7">
        <w:rPr>
          <w:rFonts w:ascii="Times New Roman" w:hAnsi="Times New Roman"/>
          <w:sz w:val="28"/>
          <w:szCs w:val="28"/>
        </w:rPr>
        <w:t>показателем на 01.01.201</w:t>
      </w:r>
      <w:r w:rsidR="00B57E8A" w:rsidRPr="00A53AD7">
        <w:rPr>
          <w:rFonts w:ascii="Times New Roman" w:hAnsi="Times New Roman"/>
          <w:sz w:val="28"/>
          <w:szCs w:val="28"/>
        </w:rPr>
        <w:t>9</w:t>
      </w:r>
      <w:r w:rsidR="000951EC" w:rsidRPr="00A53AD7">
        <w:rPr>
          <w:rFonts w:ascii="Times New Roman" w:hAnsi="Times New Roman"/>
          <w:sz w:val="28"/>
          <w:szCs w:val="28"/>
        </w:rPr>
        <w:t xml:space="preserve"> (</w:t>
      </w:r>
      <w:r w:rsidR="00B57E8A" w:rsidRPr="00A53AD7">
        <w:rPr>
          <w:rFonts w:ascii="Times New Roman" w:hAnsi="Times New Roman"/>
          <w:sz w:val="28"/>
          <w:szCs w:val="28"/>
        </w:rPr>
        <w:t>1 577,5</w:t>
      </w:r>
      <w:r w:rsidR="000951EC" w:rsidRPr="00A53AD7">
        <w:rPr>
          <w:rFonts w:ascii="Times New Roman" w:hAnsi="Times New Roman"/>
          <w:sz w:val="28"/>
          <w:szCs w:val="28"/>
        </w:rPr>
        <w:t xml:space="preserve"> млн.руб. или на </w:t>
      </w:r>
      <w:r w:rsidR="00B57E8A" w:rsidRPr="00A53AD7">
        <w:rPr>
          <w:rFonts w:ascii="Times New Roman" w:hAnsi="Times New Roman"/>
          <w:sz w:val="28"/>
          <w:szCs w:val="28"/>
        </w:rPr>
        <w:t>4,4</w:t>
      </w:r>
      <w:r w:rsidR="000951EC" w:rsidRPr="00A53AD7">
        <w:rPr>
          <w:rFonts w:ascii="Times New Roman" w:hAnsi="Times New Roman"/>
          <w:sz w:val="28"/>
          <w:szCs w:val="28"/>
        </w:rPr>
        <w:t xml:space="preserve"> %)</w:t>
      </w:r>
      <w:r w:rsidR="00650B79" w:rsidRPr="00A53AD7">
        <w:rPr>
          <w:rFonts w:ascii="Times New Roman" w:hAnsi="Times New Roman"/>
          <w:sz w:val="28"/>
          <w:szCs w:val="28"/>
        </w:rPr>
        <w:t xml:space="preserve"> Архангельская область по объему государственного долга </w:t>
      </w:r>
      <w:r w:rsidR="000951EC" w:rsidRPr="00A53AD7">
        <w:rPr>
          <w:rFonts w:ascii="Times New Roman" w:hAnsi="Times New Roman"/>
          <w:sz w:val="28"/>
          <w:szCs w:val="28"/>
        </w:rPr>
        <w:t>не улучшила с</w:t>
      </w:r>
      <w:r w:rsidR="00650B79" w:rsidRPr="00A53AD7">
        <w:rPr>
          <w:rFonts w:ascii="Times New Roman" w:hAnsi="Times New Roman"/>
          <w:sz w:val="28"/>
          <w:szCs w:val="28"/>
        </w:rPr>
        <w:t>вое положение как среди субъектов Российской Федерации, так и среди субъектов Северо-Западного федерального округа</w:t>
      </w:r>
      <w:r w:rsidR="00B57E8A" w:rsidRPr="00A53AD7">
        <w:rPr>
          <w:rFonts w:ascii="Times New Roman" w:hAnsi="Times New Roman"/>
          <w:sz w:val="28"/>
          <w:szCs w:val="28"/>
        </w:rPr>
        <w:t>, оставшись на</w:t>
      </w:r>
      <w:r w:rsidR="00866411" w:rsidRPr="00A53AD7">
        <w:rPr>
          <w:rFonts w:ascii="Times New Roman" w:hAnsi="Times New Roman"/>
          <w:sz w:val="28"/>
          <w:szCs w:val="28"/>
        </w:rPr>
        <w:t xml:space="preserve"> 17</w:t>
      </w:r>
      <w:r w:rsidR="00DC0D30" w:rsidRPr="00A53AD7">
        <w:rPr>
          <w:rFonts w:ascii="Times New Roman" w:hAnsi="Times New Roman"/>
          <w:sz w:val="28"/>
          <w:szCs w:val="28"/>
        </w:rPr>
        <w:t xml:space="preserve"> и 1 место соответственно.</w:t>
      </w:r>
    </w:p>
    <w:p w14:paraId="51FE8EB9" w14:textId="2808DEE0" w:rsidR="00650B79" w:rsidRPr="00A53AD7" w:rsidRDefault="003460C3"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С</w:t>
      </w:r>
      <w:r w:rsidR="00DC0D30" w:rsidRPr="00A53AD7">
        <w:rPr>
          <w:rFonts w:ascii="Times New Roman" w:hAnsi="Times New Roman"/>
          <w:sz w:val="28"/>
          <w:szCs w:val="28"/>
        </w:rPr>
        <w:t xml:space="preserve">реди </w:t>
      </w:r>
      <w:r w:rsidR="00650B79" w:rsidRPr="00A53AD7">
        <w:rPr>
          <w:rFonts w:ascii="Times New Roman" w:hAnsi="Times New Roman"/>
          <w:sz w:val="28"/>
          <w:szCs w:val="28"/>
        </w:rPr>
        <w:t xml:space="preserve">11 субъектов СЗФО </w:t>
      </w:r>
      <w:r w:rsidR="00DC0D30" w:rsidRPr="00A53AD7">
        <w:rPr>
          <w:rFonts w:ascii="Times New Roman" w:hAnsi="Times New Roman"/>
          <w:sz w:val="28"/>
          <w:szCs w:val="28"/>
        </w:rPr>
        <w:t xml:space="preserve">Архангельская область продолжает лидировать </w:t>
      </w:r>
      <w:r w:rsidR="002533EE" w:rsidRPr="00A53AD7">
        <w:rPr>
          <w:rFonts w:ascii="Times New Roman" w:hAnsi="Times New Roman"/>
          <w:sz w:val="28"/>
          <w:szCs w:val="28"/>
        </w:rPr>
        <w:t>по объему государственных долговых обязательств.</w:t>
      </w:r>
      <w:r w:rsidR="00650B79" w:rsidRPr="00A53AD7">
        <w:rPr>
          <w:rFonts w:ascii="Times New Roman" w:hAnsi="Times New Roman"/>
          <w:sz w:val="28"/>
          <w:szCs w:val="28"/>
        </w:rPr>
        <w:t xml:space="preserve"> </w:t>
      </w:r>
      <w:r w:rsidR="00EF4594" w:rsidRPr="00A53AD7">
        <w:rPr>
          <w:rFonts w:ascii="Times New Roman" w:hAnsi="Times New Roman"/>
          <w:sz w:val="28"/>
          <w:szCs w:val="28"/>
        </w:rPr>
        <w:t>На втором месте находится г. Санкт-Петербург (30 100,0</w:t>
      </w:r>
      <w:r w:rsidR="00650B79" w:rsidRPr="00A53AD7">
        <w:rPr>
          <w:rFonts w:ascii="Times New Roman" w:hAnsi="Times New Roman"/>
          <w:sz w:val="28"/>
          <w:szCs w:val="28"/>
        </w:rPr>
        <w:t xml:space="preserve"> млн.руб.), котор</w:t>
      </w:r>
      <w:r w:rsidR="00991143" w:rsidRPr="00A53AD7">
        <w:rPr>
          <w:rFonts w:ascii="Times New Roman" w:hAnsi="Times New Roman"/>
          <w:sz w:val="28"/>
          <w:szCs w:val="28"/>
        </w:rPr>
        <w:t>ый</w:t>
      </w:r>
      <w:r w:rsidR="00650B79" w:rsidRPr="00A53AD7">
        <w:rPr>
          <w:rFonts w:ascii="Times New Roman" w:hAnsi="Times New Roman"/>
          <w:sz w:val="28"/>
          <w:szCs w:val="28"/>
        </w:rPr>
        <w:t xml:space="preserve"> </w:t>
      </w:r>
      <w:r w:rsidR="00DA331F" w:rsidRPr="00A53AD7">
        <w:rPr>
          <w:rFonts w:ascii="Times New Roman" w:hAnsi="Times New Roman"/>
          <w:sz w:val="28"/>
          <w:szCs w:val="28"/>
        </w:rPr>
        <w:t>за 2019 год также не изменил свое положение в рэнкинге</w:t>
      </w:r>
      <w:r w:rsidR="00991143" w:rsidRPr="00A53AD7">
        <w:rPr>
          <w:rFonts w:ascii="Times New Roman" w:hAnsi="Times New Roman"/>
          <w:sz w:val="28"/>
          <w:szCs w:val="28"/>
        </w:rPr>
        <w:t>.</w:t>
      </w:r>
      <w:r w:rsidR="00650B79" w:rsidRPr="00A53AD7">
        <w:rPr>
          <w:rFonts w:ascii="Times New Roman" w:hAnsi="Times New Roman"/>
          <w:sz w:val="28"/>
          <w:szCs w:val="28"/>
        </w:rPr>
        <w:t xml:space="preserve"> </w:t>
      </w:r>
      <w:r w:rsidR="00991143" w:rsidRPr="00A53AD7">
        <w:rPr>
          <w:rFonts w:ascii="Times New Roman" w:hAnsi="Times New Roman"/>
          <w:sz w:val="28"/>
          <w:szCs w:val="28"/>
        </w:rPr>
        <w:t>Н</w:t>
      </w:r>
      <w:r w:rsidR="00650B79" w:rsidRPr="00A53AD7">
        <w:rPr>
          <w:rFonts w:ascii="Times New Roman" w:hAnsi="Times New Roman"/>
          <w:sz w:val="28"/>
          <w:szCs w:val="28"/>
        </w:rPr>
        <w:t xml:space="preserve">аименьший </w:t>
      </w:r>
      <w:r w:rsidR="00991143" w:rsidRPr="00A53AD7">
        <w:rPr>
          <w:rFonts w:ascii="Times New Roman" w:hAnsi="Times New Roman"/>
          <w:sz w:val="28"/>
          <w:szCs w:val="28"/>
        </w:rPr>
        <w:t xml:space="preserve">объем государственных долговых обязательств </w:t>
      </w:r>
      <w:r w:rsidR="00F36649" w:rsidRPr="00A53AD7">
        <w:rPr>
          <w:rFonts w:ascii="Times New Roman" w:hAnsi="Times New Roman"/>
          <w:sz w:val="28"/>
          <w:szCs w:val="28"/>
        </w:rPr>
        <w:t xml:space="preserve">фиксируется </w:t>
      </w:r>
      <w:r w:rsidR="00650B79" w:rsidRPr="00A53AD7">
        <w:rPr>
          <w:rFonts w:ascii="Times New Roman" w:hAnsi="Times New Roman"/>
          <w:sz w:val="28"/>
          <w:szCs w:val="28"/>
        </w:rPr>
        <w:t>в Ненецком автономном округе (</w:t>
      </w:r>
      <w:r w:rsidR="00F36649" w:rsidRPr="00A53AD7">
        <w:rPr>
          <w:rFonts w:ascii="Times New Roman" w:hAnsi="Times New Roman"/>
          <w:sz w:val="28"/>
          <w:szCs w:val="28"/>
        </w:rPr>
        <w:t>1 600,0</w:t>
      </w:r>
      <w:r w:rsidR="00650B79" w:rsidRPr="00A53AD7">
        <w:rPr>
          <w:rFonts w:ascii="Times New Roman" w:hAnsi="Times New Roman"/>
          <w:sz w:val="28"/>
          <w:szCs w:val="28"/>
        </w:rPr>
        <w:t xml:space="preserve"> млн.руб.)</w:t>
      </w:r>
      <w:r w:rsidR="00991143" w:rsidRPr="00A53AD7">
        <w:rPr>
          <w:rFonts w:ascii="Times New Roman" w:hAnsi="Times New Roman"/>
          <w:sz w:val="28"/>
          <w:szCs w:val="28"/>
        </w:rPr>
        <w:t xml:space="preserve"> и за 201</w:t>
      </w:r>
      <w:r w:rsidR="00F36649" w:rsidRPr="00A53AD7">
        <w:rPr>
          <w:rFonts w:ascii="Times New Roman" w:hAnsi="Times New Roman"/>
          <w:sz w:val="28"/>
          <w:szCs w:val="28"/>
        </w:rPr>
        <w:t>9</w:t>
      </w:r>
      <w:r w:rsidR="00991143" w:rsidRPr="00A53AD7">
        <w:rPr>
          <w:rFonts w:ascii="Times New Roman" w:hAnsi="Times New Roman"/>
          <w:sz w:val="28"/>
          <w:szCs w:val="28"/>
        </w:rPr>
        <w:t xml:space="preserve"> год его положение </w:t>
      </w:r>
      <w:r w:rsidR="00F36649" w:rsidRPr="00A53AD7">
        <w:rPr>
          <w:rFonts w:ascii="Times New Roman" w:hAnsi="Times New Roman"/>
          <w:sz w:val="28"/>
          <w:szCs w:val="28"/>
        </w:rPr>
        <w:t xml:space="preserve">в рэнкинге </w:t>
      </w:r>
      <w:r w:rsidR="00991143" w:rsidRPr="00A53AD7">
        <w:rPr>
          <w:rFonts w:ascii="Times New Roman" w:hAnsi="Times New Roman"/>
          <w:sz w:val="28"/>
          <w:szCs w:val="28"/>
        </w:rPr>
        <w:t>не изменилось.</w:t>
      </w:r>
    </w:p>
    <w:p w14:paraId="20460876" w14:textId="74237C01" w:rsidR="008673B6" w:rsidRPr="00A53AD7" w:rsidRDefault="008673B6" w:rsidP="00650B79">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Наибольший объем долговых обязательств </w:t>
      </w:r>
      <w:r w:rsidR="00544D68" w:rsidRPr="00A53AD7">
        <w:rPr>
          <w:rFonts w:ascii="Times New Roman" w:hAnsi="Times New Roman"/>
          <w:sz w:val="28"/>
          <w:szCs w:val="28"/>
        </w:rPr>
        <w:t>на 01.01.2020 показывает Московская область (167 977,8 млн.руб.). Отсутствуют долговые обязательства у Сахалинской области и г. Севастополь.</w:t>
      </w:r>
    </w:p>
    <w:p w14:paraId="6B5C2473" w14:textId="77777777" w:rsidR="005D00A2" w:rsidRPr="00A53AD7" w:rsidRDefault="005D00A2" w:rsidP="005D00A2">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показателю «Уровень государственного долга по отношению к налоговым и неналоговым доходам, %» Архангельская область незначительно улучила свое положение, поднявшись с 32 на 33 место. Среди субъектов СЗФО положение региона за 2019 год не изменилось – 4 место.</w:t>
      </w:r>
    </w:p>
    <w:p w14:paraId="13C54D26" w14:textId="31B14634" w:rsidR="00650B79" w:rsidRPr="00A53AD7" w:rsidRDefault="001677C5" w:rsidP="00A316E0">
      <w:pPr>
        <w:spacing w:after="0" w:line="240" w:lineRule="auto"/>
        <w:ind w:firstLine="851"/>
        <w:jc w:val="both"/>
        <w:rPr>
          <w:rFonts w:ascii="Times New Roman" w:hAnsi="Times New Roman"/>
          <w:sz w:val="28"/>
          <w:szCs w:val="28"/>
        </w:rPr>
      </w:pPr>
      <w:r w:rsidRPr="00A53AD7">
        <w:rPr>
          <w:rFonts w:ascii="Times New Roman" w:hAnsi="Times New Roman"/>
          <w:sz w:val="28"/>
          <w:szCs w:val="28"/>
        </w:rPr>
        <w:t>П</w:t>
      </w:r>
      <w:r w:rsidR="00650B79" w:rsidRPr="00A53AD7">
        <w:rPr>
          <w:rFonts w:ascii="Times New Roman" w:hAnsi="Times New Roman"/>
          <w:sz w:val="28"/>
          <w:szCs w:val="28"/>
        </w:rPr>
        <w:t xml:space="preserve">озиция Архангельской области по государственному долгу на душу населения </w:t>
      </w:r>
      <w:r w:rsidR="00775A0D" w:rsidRPr="00A53AD7">
        <w:rPr>
          <w:rFonts w:ascii="Times New Roman" w:hAnsi="Times New Roman"/>
          <w:sz w:val="28"/>
          <w:szCs w:val="28"/>
        </w:rPr>
        <w:t xml:space="preserve">как </w:t>
      </w:r>
      <w:r w:rsidR="00650B79" w:rsidRPr="00A53AD7">
        <w:rPr>
          <w:rFonts w:ascii="Times New Roman" w:hAnsi="Times New Roman"/>
          <w:sz w:val="28"/>
          <w:szCs w:val="28"/>
        </w:rPr>
        <w:t xml:space="preserve">среди субъектов </w:t>
      </w:r>
      <w:r w:rsidR="00775A0D" w:rsidRPr="00A53AD7">
        <w:rPr>
          <w:rFonts w:ascii="Times New Roman" w:hAnsi="Times New Roman"/>
          <w:sz w:val="28"/>
          <w:szCs w:val="28"/>
        </w:rPr>
        <w:t>Российской Федерации</w:t>
      </w:r>
      <w:r w:rsidR="00E6419A" w:rsidRPr="00A53AD7">
        <w:rPr>
          <w:rFonts w:ascii="Times New Roman" w:hAnsi="Times New Roman"/>
          <w:sz w:val="28"/>
          <w:szCs w:val="28"/>
        </w:rPr>
        <w:t>, так и среди субъектов</w:t>
      </w:r>
      <w:r w:rsidR="00775A0D" w:rsidRPr="00A53AD7">
        <w:rPr>
          <w:rFonts w:ascii="Times New Roman" w:hAnsi="Times New Roman"/>
          <w:sz w:val="28"/>
          <w:szCs w:val="28"/>
        </w:rPr>
        <w:t xml:space="preserve"> </w:t>
      </w:r>
      <w:r w:rsidR="00650B79" w:rsidRPr="00A53AD7">
        <w:rPr>
          <w:rFonts w:ascii="Times New Roman" w:hAnsi="Times New Roman"/>
          <w:sz w:val="28"/>
          <w:szCs w:val="28"/>
        </w:rPr>
        <w:t xml:space="preserve">СЗФО </w:t>
      </w:r>
      <w:r w:rsidR="00E6419A" w:rsidRPr="00A53AD7">
        <w:rPr>
          <w:rFonts w:ascii="Times New Roman" w:hAnsi="Times New Roman"/>
          <w:sz w:val="28"/>
          <w:szCs w:val="28"/>
        </w:rPr>
        <w:t xml:space="preserve">за 2019 год </w:t>
      </w:r>
      <w:r w:rsidR="00775A0D" w:rsidRPr="00A53AD7">
        <w:rPr>
          <w:rFonts w:ascii="Times New Roman" w:hAnsi="Times New Roman"/>
          <w:sz w:val="28"/>
          <w:szCs w:val="28"/>
        </w:rPr>
        <w:t>ухудшилась на 2</w:t>
      </w:r>
      <w:r w:rsidR="00E6419A" w:rsidRPr="00A53AD7">
        <w:rPr>
          <w:rFonts w:ascii="Times New Roman" w:hAnsi="Times New Roman"/>
          <w:sz w:val="28"/>
          <w:szCs w:val="28"/>
        </w:rPr>
        <w:t xml:space="preserve"> позиции и на 01.01.2020 </w:t>
      </w:r>
      <w:r w:rsidR="008673B6" w:rsidRPr="00A53AD7">
        <w:rPr>
          <w:rFonts w:ascii="Times New Roman" w:hAnsi="Times New Roman"/>
          <w:sz w:val="28"/>
          <w:szCs w:val="28"/>
        </w:rPr>
        <w:t>находится соответственно на 11 и 2 месте.</w:t>
      </w:r>
    </w:p>
    <w:p w14:paraId="0264D813" w14:textId="1F65E81B" w:rsidR="0029048C" w:rsidRPr="00A53AD7" w:rsidRDefault="0029048C" w:rsidP="0029048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Одновременно с этим, необходимо отметить о положении Архангельской области по структуре государственного долга среди субъектов РФ и СЗФО в течение отчетного периода, где, рэнкинг государственного долга на конец </w:t>
      </w:r>
      <w:r w:rsidRPr="00A53AD7">
        <w:rPr>
          <w:rFonts w:ascii="Times New Roman" w:hAnsi="Times New Roman"/>
          <w:sz w:val="28"/>
          <w:szCs w:val="28"/>
          <w:lang w:val="en-US"/>
        </w:rPr>
        <w:t>I</w:t>
      </w:r>
      <w:r w:rsidRPr="00A53AD7">
        <w:rPr>
          <w:rFonts w:ascii="Times New Roman" w:hAnsi="Times New Roman"/>
          <w:sz w:val="28"/>
          <w:szCs w:val="28"/>
        </w:rPr>
        <w:t xml:space="preserve"> – </w:t>
      </w:r>
      <w:r w:rsidRPr="00A53AD7">
        <w:rPr>
          <w:rFonts w:ascii="Times New Roman" w:hAnsi="Times New Roman"/>
          <w:sz w:val="28"/>
          <w:szCs w:val="28"/>
          <w:lang w:val="en-US"/>
        </w:rPr>
        <w:t>III</w:t>
      </w:r>
      <w:r w:rsidRPr="00A53AD7">
        <w:rPr>
          <w:rFonts w:ascii="Times New Roman" w:hAnsi="Times New Roman"/>
          <w:sz w:val="28"/>
          <w:szCs w:val="28"/>
        </w:rPr>
        <w:t xml:space="preserve"> квартала улучшался, а на конец </w:t>
      </w:r>
      <w:r w:rsidRPr="00A53AD7">
        <w:rPr>
          <w:rFonts w:ascii="Times New Roman" w:hAnsi="Times New Roman"/>
          <w:sz w:val="28"/>
          <w:szCs w:val="28"/>
          <w:lang w:val="en-US"/>
        </w:rPr>
        <w:t>IV</w:t>
      </w:r>
      <w:r w:rsidRPr="00A53AD7">
        <w:rPr>
          <w:rFonts w:ascii="Times New Roman" w:hAnsi="Times New Roman"/>
          <w:sz w:val="28"/>
          <w:szCs w:val="28"/>
        </w:rPr>
        <w:t xml:space="preserve"> квартала вернулся на первоначальные позиции к началу 2019 года, в т.ч. указанные сведения отражены в таблице </w:t>
      </w:r>
      <w:r w:rsidR="00404E35" w:rsidRPr="00A53AD7">
        <w:rPr>
          <w:rFonts w:ascii="Times New Roman" w:hAnsi="Times New Roman"/>
          <w:sz w:val="28"/>
          <w:szCs w:val="28"/>
        </w:rPr>
        <w:t>80</w:t>
      </w:r>
      <w:r w:rsidRPr="00A53AD7">
        <w:rPr>
          <w:rFonts w:ascii="Times New Roman" w:hAnsi="Times New Roman"/>
          <w:sz w:val="28"/>
          <w:szCs w:val="28"/>
        </w:rPr>
        <w:t>.</w:t>
      </w:r>
    </w:p>
    <w:p w14:paraId="71C20187" w14:textId="77777777" w:rsidR="0029048C" w:rsidRPr="00A53AD7" w:rsidRDefault="0029048C" w:rsidP="0029048C">
      <w:pPr>
        <w:spacing w:after="0" w:line="240" w:lineRule="auto"/>
        <w:ind w:firstLine="851"/>
        <w:jc w:val="both"/>
        <w:rPr>
          <w:rFonts w:ascii="Times New Roman" w:hAnsi="Times New Roman"/>
          <w:sz w:val="16"/>
          <w:szCs w:val="16"/>
        </w:rPr>
      </w:pPr>
    </w:p>
    <w:p w14:paraId="3AC193D4" w14:textId="77777777" w:rsidR="0029048C" w:rsidRPr="00A53AD7" w:rsidRDefault="0029048C" w:rsidP="0029048C">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80</w:t>
      </w:r>
      <w:r w:rsidRPr="00A53AD7">
        <w:rPr>
          <w:rFonts w:ascii="Times New Roman" w:hAnsi="Times New Roman"/>
          <w:b w:val="0"/>
          <w:sz w:val="24"/>
          <w:szCs w:val="24"/>
        </w:rPr>
        <w:fldChar w:fldCharType="end"/>
      </w:r>
      <w:r w:rsidRPr="00A53AD7">
        <w:rPr>
          <w:rFonts w:ascii="Times New Roman" w:hAnsi="Times New Roman"/>
          <w:b w:val="0"/>
          <w:sz w:val="24"/>
          <w:szCs w:val="24"/>
        </w:rPr>
        <w:t>. Ежеквартальный рэнкинг Архангельской области по объему государственного долга за 2019 год</w:t>
      </w:r>
    </w:p>
    <w:tbl>
      <w:tblPr>
        <w:tblW w:w="9256" w:type="dxa"/>
        <w:tblInd w:w="85" w:type="dxa"/>
        <w:tblLayout w:type="fixed"/>
        <w:tblLook w:val="04A0" w:firstRow="1" w:lastRow="0" w:firstColumn="1" w:lastColumn="0" w:noHBand="0" w:noVBand="1"/>
      </w:tblPr>
      <w:tblGrid>
        <w:gridCol w:w="1962"/>
        <w:gridCol w:w="586"/>
        <w:gridCol w:w="960"/>
        <w:gridCol w:w="586"/>
        <w:gridCol w:w="914"/>
        <w:gridCol w:w="586"/>
        <w:gridCol w:w="827"/>
        <w:gridCol w:w="586"/>
        <w:gridCol w:w="831"/>
        <w:gridCol w:w="586"/>
        <w:gridCol w:w="832"/>
      </w:tblGrid>
      <w:tr w:rsidR="00D470B6" w:rsidRPr="00A53AD7" w14:paraId="68AA508D" w14:textId="77777777" w:rsidTr="0029048C">
        <w:trPr>
          <w:trHeight w:val="40"/>
        </w:trPr>
        <w:tc>
          <w:tcPr>
            <w:tcW w:w="196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F50F945"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Показатель</w:t>
            </w:r>
          </w:p>
        </w:tc>
        <w:tc>
          <w:tcPr>
            <w:tcW w:w="1546" w:type="dxa"/>
            <w:gridSpan w:val="2"/>
            <w:tcBorders>
              <w:top w:val="double" w:sz="4" w:space="0" w:color="auto"/>
              <w:left w:val="nil"/>
              <w:bottom w:val="single" w:sz="4" w:space="0" w:color="auto"/>
              <w:right w:val="single" w:sz="4" w:space="0" w:color="auto"/>
            </w:tcBorders>
            <w:shd w:val="clear" w:color="auto" w:fill="auto"/>
            <w:vAlign w:val="center"/>
            <w:hideMark/>
          </w:tcPr>
          <w:p w14:paraId="507789F5"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01.01.2019</w:t>
            </w:r>
          </w:p>
        </w:tc>
        <w:tc>
          <w:tcPr>
            <w:tcW w:w="1500" w:type="dxa"/>
            <w:gridSpan w:val="2"/>
            <w:tcBorders>
              <w:top w:val="double" w:sz="4" w:space="0" w:color="auto"/>
              <w:left w:val="nil"/>
              <w:bottom w:val="single" w:sz="4" w:space="0" w:color="auto"/>
              <w:right w:val="single" w:sz="4" w:space="0" w:color="auto"/>
            </w:tcBorders>
            <w:shd w:val="clear" w:color="auto" w:fill="auto"/>
            <w:vAlign w:val="center"/>
            <w:hideMark/>
          </w:tcPr>
          <w:p w14:paraId="14F45732"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01.04.2019</w:t>
            </w:r>
          </w:p>
        </w:tc>
        <w:tc>
          <w:tcPr>
            <w:tcW w:w="1413" w:type="dxa"/>
            <w:gridSpan w:val="2"/>
            <w:tcBorders>
              <w:top w:val="double" w:sz="4" w:space="0" w:color="auto"/>
              <w:left w:val="nil"/>
              <w:bottom w:val="single" w:sz="4" w:space="0" w:color="auto"/>
              <w:right w:val="single" w:sz="4" w:space="0" w:color="000000"/>
            </w:tcBorders>
            <w:shd w:val="clear" w:color="auto" w:fill="auto"/>
            <w:vAlign w:val="center"/>
            <w:hideMark/>
          </w:tcPr>
          <w:p w14:paraId="7CC1CECF"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01.07.2019</w:t>
            </w:r>
          </w:p>
        </w:tc>
        <w:tc>
          <w:tcPr>
            <w:tcW w:w="1417" w:type="dxa"/>
            <w:gridSpan w:val="2"/>
            <w:tcBorders>
              <w:top w:val="double" w:sz="4" w:space="0" w:color="auto"/>
              <w:left w:val="nil"/>
              <w:bottom w:val="single" w:sz="4" w:space="0" w:color="auto"/>
              <w:right w:val="single" w:sz="4" w:space="0" w:color="auto"/>
            </w:tcBorders>
            <w:shd w:val="clear" w:color="auto" w:fill="auto"/>
            <w:vAlign w:val="center"/>
            <w:hideMark/>
          </w:tcPr>
          <w:p w14:paraId="3227DD80"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01.10.2020</w:t>
            </w:r>
          </w:p>
        </w:tc>
        <w:tc>
          <w:tcPr>
            <w:tcW w:w="1418" w:type="dxa"/>
            <w:gridSpan w:val="2"/>
            <w:tcBorders>
              <w:top w:val="double" w:sz="4" w:space="0" w:color="auto"/>
              <w:left w:val="nil"/>
              <w:bottom w:val="single" w:sz="4" w:space="0" w:color="auto"/>
              <w:right w:val="double" w:sz="4" w:space="0" w:color="auto"/>
            </w:tcBorders>
            <w:shd w:val="clear" w:color="auto" w:fill="auto"/>
            <w:vAlign w:val="center"/>
            <w:hideMark/>
          </w:tcPr>
          <w:p w14:paraId="3E694C8B"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На 01.01.2020</w:t>
            </w:r>
          </w:p>
        </w:tc>
      </w:tr>
      <w:tr w:rsidR="00D470B6" w:rsidRPr="00A53AD7" w14:paraId="32CF82E6" w14:textId="77777777" w:rsidTr="0029048C">
        <w:trPr>
          <w:trHeight w:val="25"/>
        </w:trPr>
        <w:tc>
          <w:tcPr>
            <w:tcW w:w="1962" w:type="dxa"/>
            <w:vMerge/>
            <w:tcBorders>
              <w:top w:val="double" w:sz="6" w:space="0" w:color="auto"/>
              <w:left w:val="double" w:sz="4" w:space="0" w:color="auto"/>
              <w:bottom w:val="single" w:sz="4" w:space="0" w:color="auto"/>
              <w:right w:val="single" w:sz="4" w:space="0" w:color="auto"/>
            </w:tcBorders>
            <w:vAlign w:val="center"/>
            <w:hideMark/>
          </w:tcPr>
          <w:p w14:paraId="68E12C2E" w14:textId="77777777" w:rsidR="0029048C" w:rsidRPr="00A53AD7" w:rsidRDefault="0029048C" w:rsidP="00D91486">
            <w:pPr>
              <w:spacing w:after="0" w:line="240" w:lineRule="auto"/>
              <w:rPr>
                <w:rFonts w:ascii="Times New Roman" w:eastAsia="Times New Roman" w:hAnsi="Times New Roman"/>
                <w:sz w:val="20"/>
                <w:szCs w:val="20"/>
                <w:lang w:eastAsia="ru-RU"/>
              </w:rPr>
            </w:pPr>
          </w:p>
        </w:tc>
        <w:tc>
          <w:tcPr>
            <w:tcW w:w="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8BD53"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РФ</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A33E01C"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43296C89"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РФ</w:t>
            </w:r>
          </w:p>
        </w:tc>
        <w:tc>
          <w:tcPr>
            <w:tcW w:w="914" w:type="dxa"/>
            <w:tcBorders>
              <w:top w:val="single" w:sz="4" w:space="0" w:color="auto"/>
              <w:left w:val="nil"/>
              <w:bottom w:val="single" w:sz="4" w:space="0" w:color="auto"/>
              <w:right w:val="single" w:sz="4" w:space="0" w:color="auto"/>
            </w:tcBorders>
            <w:shd w:val="clear" w:color="auto" w:fill="auto"/>
            <w:vAlign w:val="center"/>
            <w:hideMark/>
          </w:tcPr>
          <w:p w14:paraId="27359FDC"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4F427777"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РФ</w:t>
            </w:r>
          </w:p>
        </w:tc>
        <w:tc>
          <w:tcPr>
            <w:tcW w:w="827" w:type="dxa"/>
            <w:tcBorders>
              <w:top w:val="single" w:sz="4" w:space="0" w:color="auto"/>
              <w:left w:val="nil"/>
              <w:bottom w:val="single" w:sz="4" w:space="0" w:color="auto"/>
              <w:right w:val="single" w:sz="4" w:space="0" w:color="auto"/>
            </w:tcBorders>
            <w:shd w:val="clear" w:color="auto" w:fill="auto"/>
            <w:vAlign w:val="center"/>
            <w:hideMark/>
          </w:tcPr>
          <w:p w14:paraId="43EDE114"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17E095BC"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РФ</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1DDCFC21"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СЗФО</w:t>
            </w:r>
          </w:p>
        </w:tc>
        <w:tc>
          <w:tcPr>
            <w:tcW w:w="586" w:type="dxa"/>
            <w:tcBorders>
              <w:top w:val="single" w:sz="4" w:space="0" w:color="auto"/>
              <w:left w:val="nil"/>
              <w:bottom w:val="single" w:sz="4" w:space="0" w:color="auto"/>
              <w:right w:val="single" w:sz="4" w:space="0" w:color="auto"/>
            </w:tcBorders>
            <w:shd w:val="clear" w:color="auto" w:fill="auto"/>
            <w:vAlign w:val="center"/>
            <w:hideMark/>
          </w:tcPr>
          <w:p w14:paraId="41C1459F"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РФ</w:t>
            </w:r>
          </w:p>
        </w:tc>
        <w:tc>
          <w:tcPr>
            <w:tcW w:w="832" w:type="dxa"/>
            <w:tcBorders>
              <w:top w:val="single" w:sz="4" w:space="0" w:color="auto"/>
              <w:left w:val="nil"/>
              <w:bottom w:val="single" w:sz="4" w:space="0" w:color="auto"/>
              <w:right w:val="double" w:sz="4" w:space="0" w:color="auto"/>
            </w:tcBorders>
            <w:shd w:val="clear" w:color="auto" w:fill="auto"/>
            <w:vAlign w:val="center"/>
            <w:hideMark/>
          </w:tcPr>
          <w:p w14:paraId="2E98B11D"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СЗФО</w:t>
            </w:r>
          </w:p>
        </w:tc>
      </w:tr>
      <w:tr w:rsidR="00D470B6" w:rsidRPr="00A53AD7" w14:paraId="6527DF89" w14:textId="77777777" w:rsidTr="0029048C">
        <w:trPr>
          <w:trHeight w:val="60"/>
        </w:trPr>
        <w:tc>
          <w:tcPr>
            <w:tcW w:w="1962" w:type="dxa"/>
            <w:tcBorders>
              <w:top w:val="nil"/>
              <w:left w:val="double" w:sz="4" w:space="0" w:color="auto"/>
              <w:bottom w:val="single" w:sz="4" w:space="0" w:color="auto"/>
              <w:right w:val="single" w:sz="4" w:space="0" w:color="auto"/>
            </w:tcBorders>
            <w:shd w:val="clear" w:color="auto" w:fill="auto"/>
            <w:vAlign w:val="center"/>
            <w:hideMark/>
          </w:tcPr>
          <w:p w14:paraId="5DDD7178" w14:textId="77777777" w:rsidR="0029048C" w:rsidRPr="00A53AD7" w:rsidRDefault="0029048C" w:rsidP="00D9148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Государственный долг, млн.руб.</w:t>
            </w:r>
          </w:p>
        </w:tc>
        <w:tc>
          <w:tcPr>
            <w:tcW w:w="15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56E01D"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35 549,1 </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06E07202"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29 916,5 </w:t>
            </w:r>
          </w:p>
        </w:tc>
        <w:tc>
          <w:tcPr>
            <w:tcW w:w="1413" w:type="dxa"/>
            <w:gridSpan w:val="2"/>
            <w:tcBorders>
              <w:top w:val="single" w:sz="4" w:space="0" w:color="auto"/>
              <w:left w:val="nil"/>
              <w:bottom w:val="single" w:sz="4" w:space="0" w:color="auto"/>
              <w:right w:val="single" w:sz="4" w:space="0" w:color="000000"/>
            </w:tcBorders>
            <w:shd w:val="clear" w:color="auto" w:fill="auto"/>
            <w:vAlign w:val="center"/>
            <w:hideMark/>
          </w:tcPr>
          <w:p w14:paraId="6B82766A"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27 116,5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0705A97C"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26 167,8 </w:t>
            </w:r>
          </w:p>
        </w:tc>
        <w:tc>
          <w:tcPr>
            <w:tcW w:w="1418" w:type="dxa"/>
            <w:gridSpan w:val="2"/>
            <w:tcBorders>
              <w:top w:val="single" w:sz="4" w:space="0" w:color="auto"/>
              <w:left w:val="nil"/>
              <w:bottom w:val="single" w:sz="4" w:space="0" w:color="auto"/>
              <w:right w:val="double" w:sz="4" w:space="0" w:color="auto"/>
            </w:tcBorders>
            <w:shd w:val="clear" w:color="auto" w:fill="auto"/>
            <w:vAlign w:val="center"/>
            <w:hideMark/>
          </w:tcPr>
          <w:p w14:paraId="7F43BFF4"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33 971,6 </w:t>
            </w:r>
          </w:p>
        </w:tc>
      </w:tr>
      <w:tr w:rsidR="00D470B6" w:rsidRPr="00A53AD7" w14:paraId="49FA6D93" w14:textId="77777777" w:rsidTr="0029048C">
        <w:trPr>
          <w:trHeight w:val="60"/>
        </w:trPr>
        <w:tc>
          <w:tcPr>
            <w:tcW w:w="1962" w:type="dxa"/>
            <w:tcBorders>
              <w:top w:val="nil"/>
              <w:left w:val="double" w:sz="4" w:space="0" w:color="auto"/>
              <w:bottom w:val="single" w:sz="4" w:space="0" w:color="auto"/>
              <w:right w:val="single" w:sz="4" w:space="0" w:color="auto"/>
            </w:tcBorders>
            <w:shd w:val="clear" w:color="auto" w:fill="auto"/>
            <w:vAlign w:val="center"/>
            <w:hideMark/>
          </w:tcPr>
          <w:p w14:paraId="45B77A30" w14:textId="77777777" w:rsidR="0029048C" w:rsidRPr="00A53AD7" w:rsidRDefault="0029048C" w:rsidP="00D9148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Позиция</w:t>
            </w:r>
          </w:p>
        </w:tc>
        <w:tc>
          <w:tcPr>
            <w:tcW w:w="586" w:type="dxa"/>
            <w:tcBorders>
              <w:top w:val="nil"/>
              <w:left w:val="single" w:sz="4" w:space="0" w:color="auto"/>
              <w:bottom w:val="single" w:sz="4" w:space="0" w:color="auto"/>
              <w:right w:val="single" w:sz="4" w:space="0" w:color="auto"/>
            </w:tcBorders>
            <w:shd w:val="clear" w:color="auto" w:fill="auto"/>
            <w:vAlign w:val="center"/>
            <w:hideMark/>
          </w:tcPr>
          <w:p w14:paraId="2AD76119"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17 </w:t>
            </w:r>
          </w:p>
        </w:tc>
        <w:tc>
          <w:tcPr>
            <w:tcW w:w="960" w:type="dxa"/>
            <w:tcBorders>
              <w:top w:val="nil"/>
              <w:left w:val="nil"/>
              <w:bottom w:val="single" w:sz="4" w:space="0" w:color="auto"/>
              <w:right w:val="single" w:sz="4" w:space="0" w:color="auto"/>
            </w:tcBorders>
            <w:shd w:val="clear" w:color="auto" w:fill="auto"/>
            <w:vAlign w:val="center"/>
            <w:hideMark/>
          </w:tcPr>
          <w:p w14:paraId="23B4D7DF"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w:t>
            </w:r>
          </w:p>
        </w:tc>
        <w:tc>
          <w:tcPr>
            <w:tcW w:w="586" w:type="dxa"/>
            <w:tcBorders>
              <w:top w:val="nil"/>
              <w:left w:val="nil"/>
              <w:bottom w:val="single" w:sz="4" w:space="0" w:color="auto"/>
              <w:right w:val="single" w:sz="4" w:space="0" w:color="auto"/>
            </w:tcBorders>
            <w:shd w:val="clear" w:color="auto" w:fill="auto"/>
            <w:vAlign w:val="center"/>
            <w:hideMark/>
          </w:tcPr>
          <w:p w14:paraId="6BCA4D0B"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22 </w:t>
            </w:r>
          </w:p>
        </w:tc>
        <w:tc>
          <w:tcPr>
            <w:tcW w:w="914" w:type="dxa"/>
            <w:tcBorders>
              <w:top w:val="nil"/>
              <w:left w:val="nil"/>
              <w:bottom w:val="single" w:sz="4" w:space="0" w:color="auto"/>
              <w:right w:val="single" w:sz="4" w:space="0" w:color="auto"/>
            </w:tcBorders>
            <w:shd w:val="clear" w:color="auto" w:fill="auto"/>
            <w:vAlign w:val="center"/>
            <w:hideMark/>
          </w:tcPr>
          <w:p w14:paraId="4AFA8054"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w:t>
            </w:r>
          </w:p>
        </w:tc>
        <w:tc>
          <w:tcPr>
            <w:tcW w:w="586" w:type="dxa"/>
            <w:tcBorders>
              <w:top w:val="nil"/>
              <w:left w:val="nil"/>
              <w:bottom w:val="single" w:sz="4" w:space="0" w:color="auto"/>
              <w:right w:val="single" w:sz="4" w:space="0" w:color="auto"/>
            </w:tcBorders>
            <w:shd w:val="clear" w:color="auto" w:fill="auto"/>
            <w:vAlign w:val="center"/>
            <w:hideMark/>
          </w:tcPr>
          <w:p w14:paraId="0719EE8F"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24 </w:t>
            </w:r>
          </w:p>
        </w:tc>
        <w:tc>
          <w:tcPr>
            <w:tcW w:w="827" w:type="dxa"/>
            <w:tcBorders>
              <w:top w:val="nil"/>
              <w:left w:val="nil"/>
              <w:bottom w:val="single" w:sz="4" w:space="0" w:color="auto"/>
              <w:right w:val="single" w:sz="4" w:space="0" w:color="auto"/>
            </w:tcBorders>
            <w:shd w:val="clear" w:color="auto" w:fill="auto"/>
            <w:vAlign w:val="center"/>
            <w:hideMark/>
          </w:tcPr>
          <w:p w14:paraId="08E1A7D7"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w:t>
            </w:r>
          </w:p>
        </w:tc>
        <w:tc>
          <w:tcPr>
            <w:tcW w:w="586" w:type="dxa"/>
            <w:tcBorders>
              <w:top w:val="nil"/>
              <w:left w:val="nil"/>
              <w:bottom w:val="single" w:sz="4" w:space="0" w:color="auto"/>
              <w:right w:val="single" w:sz="4" w:space="0" w:color="auto"/>
            </w:tcBorders>
            <w:shd w:val="clear" w:color="auto" w:fill="auto"/>
            <w:vAlign w:val="center"/>
            <w:hideMark/>
          </w:tcPr>
          <w:p w14:paraId="53F085F2"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25 </w:t>
            </w:r>
          </w:p>
        </w:tc>
        <w:tc>
          <w:tcPr>
            <w:tcW w:w="831" w:type="dxa"/>
            <w:tcBorders>
              <w:top w:val="nil"/>
              <w:left w:val="nil"/>
              <w:bottom w:val="single" w:sz="4" w:space="0" w:color="auto"/>
              <w:right w:val="single" w:sz="4" w:space="0" w:color="auto"/>
            </w:tcBorders>
            <w:shd w:val="clear" w:color="auto" w:fill="auto"/>
            <w:vAlign w:val="center"/>
            <w:hideMark/>
          </w:tcPr>
          <w:p w14:paraId="4D4F8083"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 </w:t>
            </w:r>
          </w:p>
        </w:tc>
        <w:tc>
          <w:tcPr>
            <w:tcW w:w="586" w:type="dxa"/>
            <w:tcBorders>
              <w:top w:val="nil"/>
              <w:left w:val="nil"/>
              <w:bottom w:val="single" w:sz="4" w:space="0" w:color="auto"/>
              <w:right w:val="single" w:sz="4" w:space="0" w:color="auto"/>
            </w:tcBorders>
            <w:shd w:val="clear" w:color="auto" w:fill="auto"/>
            <w:vAlign w:val="center"/>
            <w:hideMark/>
          </w:tcPr>
          <w:p w14:paraId="7E01F522"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17 </w:t>
            </w:r>
          </w:p>
        </w:tc>
        <w:tc>
          <w:tcPr>
            <w:tcW w:w="832" w:type="dxa"/>
            <w:tcBorders>
              <w:top w:val="nil"/>
              <w:left w:val="nil"/>
              <w:bottom w:val="single" w:sz="4" w:space="0" w:color="auto"/>
              <w:right w:val="double" w:sz="4" w:space="0" w:color="auto"/>
            </w:tcBorders>
            <w:shd w:val="clear" w:color="auto" w:fill="auto"/>
            <w:vAlign w:val="center"/>
            <w:hideMark/>
          </w:tcPr>
          <w:p w14:paraId="2C26077F"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 </w:t>
            </w:r>
          </w:p>
        </w:tc>
      </w:tr>
      <w:tr w:rsidR="00D470B6" w:rsidRPr="00A53AD7" w14:paraId="1299AB4D" w14:textId="77777777" w:rsidTr="0029048C">
        <w:trPr>
          <w:trHeight w:val="60"/>
        </w:trPr>
        <w:tc>
          <w:tcPr>
            <w:tcW w:w="1962" w:type="dxa"/>
            <w:tcBorders>
              <w:top w:val="nil"/>
              <w:left w:val="double" w:sz="4" w:space="0" w:color="auto"/>
              <w:bottom w:val="single" w:sz="4" w:space="0" w:color="auto"/>
              <w:right w:val="single" w:sz="4" w:space="0" w:color="auto"/>
            </w:tcBorders>
            <w:shd w:val="clear" w:color="auto" w:fill="auto"/>
            <w:vAlign w:val="center"/>
            <w:hideMark/>
          </w:tcPr>
          <w:p w14:paraId="274A8376" w14:textId="77777777" w:rsidR="0029048C" w:rsidRPr="00A53AD7" w:rsidRDefault="0029048C" w:rsidP="00D9148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Государственный долг на душу населения, руб.</w:t>
            </w:r>
          </w:p>
        </w:tc>
        <w:tc>
          <w:tcPr>
            <w:tcW w:w="15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A1FE49"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32 308,88 </w:t>
            </w:r>
          </w:p>
        </w:tc>
        <w:tc>
          <w:tcPr>
            <w:tcW w:w="1500" w:type="dxa"/>
            <w:gridSpan w:val="2"/>
            <w:tcBorders>
              <w:top w:val="single" w:sz="4" w:space="0" w:color="auto"/>
              <w:left w:val="nil"/>
              <w:bottom w:val="single" w:sz="4" w:space="0" w:color="auto"/>
              <w:right w:val="single" w:sz="4" w:space="0" w:color="auto"/>
            </w:tcBorders>
            <w:shd w:val="clear" w:color="auto" w:fill="auto"/>
            <w:vAlign w:val="center"/>
            <w:hideMark/>
          </w:tcPr>
          <w:p w14:paraId="11A52E1C"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27 189,63 </w:t>
            </w:r>
          </w:p>
        </w:tc>
        <w:tc>
          <w:tcPr>
            <w:tcW w:w="1413" w:type="dxa"/>
            <w:gridSpan w:val="2"/>
            <w:tcBorders>
              <w:top w:val="single" w:sz="4" w:space="0" w:color="auto"/>
              <w:left w:val="nil"/>
              <w:bottom w:val="single" w:sz="4" w:space="0" w:color="auto"/>
              <w:right w:val="single" w:sz="4" w:space="0" w:color="000000"/>
            </w:tcBorders>
            <w:shd w:val="clear" w:color="auto" w:fill="auto"/>
            <w:vAlign w:val="center"/>
            <w:hideMark/>
          </w:tcPr>
          <w:p w14:paraId="08E697C1"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24 644,85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115887B4"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23 782,65 </w:t>
            </w:r>
          </w:p>
        </w:tc>
        <w:tc>
          <w:tcPr>
            <w:tcW w:w="1418" w:type="dxa"/>
            <w:gridSpan w:val="2"/>
            <w:tcBorders>
              <w:top w:val="single" w:sz="4" w:space="0" w:color="auto"/>
              <w:left w:val="nil"/>
              <w:bottom w:val="single" w:sz="4" w:space="0" w:color="auto"/>
              <w:right w:val="double" w:sz="4" w:space="0" w:color="auto"/>
            </w:tcBorders>
            <w:shd w:val="clear" w:color="auto" w:fill="auto"/>
            <w:vAlign w:val="center"/>
            <w:hideMark/>
          </w:tcPr>
          <w:p w14:paraId="0C5ACDE6"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31 097,46 </w:t>
            </w:r>
          </w:p>
        </w:tc>
      </w:tr>
      <w:tr w:rsidR="0029048C" w:rsidRPr="00A53AD7" w14:paraId="4B03E4B9" w14:textId="77777777" w:rsidTr="0029048C">
        <w:trPr>
          <w:trHeight w:val="60"/>
        </w:trPr>
        <w:tc>
          <w:tcPr>
            <w:tcW w:w="1962" w:type="dxa"/>
            <w:tcBorders>
              <w:top w:val="nil"/>
              <w:left w:val="double" w:sz="4" w:space="0" w:color="auto"/>
              <w:bottom w:val="double" w:sz="4" w:space="0" w:color="auto"/>
              <w:right w:val="single" w:sz="4" w:space="0" w:color="auto"/>
            </w:tcBorders>
            <w:shd w:val="clear" w:color="auto" w:fill="auto"/>
            <w:vAlign w:val="center"/>
            <w:hideMark/>
          </w:tcPr>
          <w:p w14:paraId="2C4D6C09" w14:textId="77777777" w:rsidR="0029048C" w:rsidRPr="00A53AD7" w:rsidRDefault="0029048C" w:rsidP="00D91486">
            <w:pPr>
              <w:spacing w:after="0" w:line="240" w:lineRule="auto"/>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Позиция</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31365E8D"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13 </w:t>
            </w:r>
          </w:p>
        </w:tc>
        <w:tc>
          <w:tcPr>
            <w:tcW w:w="960" w:type="dxa"/>
            <w:tcBorders>
              <w:top w:val="single" w:sz="4" w:space="0" w:color="auto"/>
              <w:left w:val="nil"/>
              <w:bottom w:val="double" w:sz="4" w:space="0" w:color="auto"/>
              <w:right w:val="single" w:sz="4" w:space="0" w:color="auto"/>
            </w:tcBorders>
            <w:shd w:val="clear" w:color="auto" w:fill="auto"/>
            <w:vAlign w:val="center"/>
            <w:hideMark/>
          </w:tcPr>
          <w:p w14:paraId="0DD6136E"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68B40C05"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20 </w:t>
            </w:r>
          </w:p>
        </w:tc>
        <w:tc>
          <w:tcPr>
            <w:tcW w:w="914" w:type="dxa"/>
            <w:tcBorders>
              <w:top w:val="single" w:sz="4" w:space="0" w:color="auto"/>
              <w:left w:val="nil"/>
              <w:bottom w:val="double" w:sz="4" w:space="0" w:color="auto"/>
              <w:right w:val="single" w:sz="4" w:space="0" w:color="auto"/>
            </w:tcBorders>
            <w:shd w:val="clear" w:color="auto" w:fill="auto"/>
            <w:vAlign w:val="center"/>
            <w:hideMark/>
          </w:tcPr>
          <w:p w14:paraId="5E3E0A56"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4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0D1F5C03"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23 </w:t>
            </w:r>
          </w:p>
        </w:tc>
        <w:tc>
          <w:tcPr>
            <w:tcW w:w="827" w:type="dxa"/>
            <w:tcBorders>
              <w:top w:val="single" w:sz="4" w:space="0" w:color="auto"/>
              <w:left w:val="nil"/>
              <w:bottom w:val="double" w:sz="4" w:space="0" w:color="auto"/>
              <w:right w:val="single" w:sz="4" w:space="0" w:color="auto"/>
            </w:tcBorders>
            <w:shd w:val="clear" w:color="auto" w:fill="auto"/>
            <w:vAlign w:val="center"/>
            <w:hideMark/>
          </w:tcPr>
          <w:p w14:paraId="07199F9B"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7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7D0CBFD7"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25 </w:t>
            </w:r>
          </w:p>
        </w:tc>
        <w:tc>
          <w:tcPr>
            <w:tcW w:w="831" w:type="dxa"/>
            <w:tcBorders>
              <w:top w:val="single" w:sz="4" w:space="0" w:color="auto"/>
              <w:left w:val="nil"/>
              <w:bottom w:val="double" w:sz="4" w:space="0" w:color="auto"/>
              <w:right w:val="single" w:sz="4" w:space="0" w:color="auto"/>
            </w:tcBorders>
            <w:shd w:val="clear" w:color="auto" w:fill="auto"/>
            <w:vAlign w:val="center"/>
            <w:hideMark/>
          </w:tcPr>
          <w:p w14:paraId="6D28A6B2"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6 </w:t>
            </w:r>
          </w:p>
        </w:tc>
        <w:tc>
          <w:tcPr>
            <w:tcW w:w="586" w:type="dxa"/>
            <w:tcBorders>
              <w:top w:val="single" w:sz="4" w:space="0" w:color="auto"/>
              <w:left w:val="nil"/>
              <w:bottom w:val="double" w:sz="4" w:space="0" w:color="auto"/>
              <w:right w:val="single" w:sz="4" w:space="0" w:color="auto"/>
            </w:tcBorders>
            <w:shd w:val="clear" w:color="auto" w:fill="auto"/>
            <w:vAlign w:val="center"/>
            <w:hideMark/>
          </w:tcPr>
          <w:p w14:paraId="4B8FE3CA"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11 </w:t>
            </w:r>
          </w:p>
        </w:tc>
        <w:tc>
          <w:tcPr>
            <w:tcW w:w="832" w:type="dxa"/>
            <w:tcBorders>
              <w:top w:val="single" w:sz="4" w:space="0" w:color="auto"/>
              <w:left w:val="nil"/>
              <w:bottom w:val="double" w:sz="4" w:space="0" w:color="auto"/>
              <w:right w:val="double" w:sz="4" w:space="0" w:color="auto"/>
            </w:tcBorders>
            <w:shd w:val="clear" w:color="auto" w:fill="auto"/>
            <w:vAlign w:val="center"/>
            <w:hideMark/>
          </w:tcPr>
          <w:p w14:paraId="6A22903A" w14:textId="77777777" w:rsidR="0029048C" w:rsidRPr="00A53AD7" w:rsidRDefault="0029048C" w:rsidP="00D91486">
            <w:pPr>
              <w:spacing w:after="0" w:line="240" w:lineRule="auto"/>
              <w:jc w:val="center"/>
              <w:rPr>
                <w:rFonts w:ascii="Times New Roman" w:eastAsia="Times New Roman" w:hAnsi="Times New Roman"/>
                <w:sz w:val="20"/>
                <w:szCs w:val="20"/>
                <w:lang w:eastAsia="ru-RU"/>
              </w:rPr>
            </w:pPr>
            <w:r w:rsidRPr="00A53AD7">
              <w:rPr>
                <w:rFonts w:ascii="Times New Roman" w:eastAsia="Times New Roman" w:hAnsi="Times New Roman"/>
                <w:sz w:val="20"/>
                <w:szCs w:val="20"/>
                <w:lang w:eastAsia="ru-RU"/>
              </w:rPr>
              <w:t xml:space="preserve">2 </w:t>
            </w:r>
          </w:p>
        </w:tc>
      </w:tr>
    </w:tbl>
    <w:p w14:paraId="6F6A7D5F" w14:textId="77777777" w:rsidR="0029048C" w:rsidRPr="00A53AD7" w:rsidRDefault="0029048C" w:rsidP="0029048C">
      <w:pPr>
        <w:spacing w:after="0" w:line="240" w:lineRule="auto"/>
        <w:ind w:firstLine="851"/>
        <w:jc w:val="both"/>
        <w:rPr>
          <w:rFonts w:ascii="Times New Roman" w:hAnsi="Times New Roman"/>
          <w:sz w:val="16"/>
          <w:szCs w:val="16"/>
        </w:rPr>
      </w:pPr>
    </w:p>
    <w:p w14:paraId="6358A27E" w14:textId="1594E792" w:rsidR="0029048C" w:rsidRPr="00A53AD7" w:rsidRDefault="0029048C" w:rsidP="0029048C">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Как отражено в обозначенной выше таблице, среди субъектов РФ положение Архангельской области в </w:t>
      </w:r>
      <w:r w:rsidRPr="00A53AD7">
        <w:rPr>
          <w:rFonts w:ascii="Times New Roman" w:hAnsi="Times New Roman"/>
          <w:sz w:val="28"/>
          <w:szCs w:val="28"/>
          <w:lang w:val="en-US"/>
        </w:rPr>
        <w:t>I</w:t>
      </w:r>
      <w:r w:rsidRPr="00A53AD7">
        <w:rPr>
          <w:rFonts w:ascii="Times New Roman" w:hAnsi="Times New Roman"/>
          <w:sz w:val="28"/>
          <w:szCs w:val="28"/>
        </w:rPr>
        <w:t xml:space="preserve"> – </w:t>
      </w:r>
      <w:r w:rsidRPr="00A53AD7">
        <w:rPr>
          <w:rFonts w:ascii="Times New Roman" w:hAnsi="Times New Roman"/>
          <w:sz w:val="28"/>
          <w:szCs w:val="28"/>
          <w:lang w:val="en-US"/>
        </w:rPr>
        <w:t>III</w:t>
      </w:r>
      <w:r w:rsidRPr="00A53AD7">
        <w:rPr>
          <w:rFonts w:ascii="Times New Roman" w:hAnsi="Times New Roman"/>
          <w:sz w:val="28"/>
          <w:szCs w:val="28"/>
        </w:rPr>
        <w:t xml:space="preserve"> квартал</w:t>
      </w:r>
      <w:r w:rsidR="008C59D5" w:rsidRPr="00A53AD7">
        <w:rPr>
          <w:rFonts w:ascii="Times New Roman" w:hAnsi="Times New Roman"/>
          <w:sz w:val="28"/>
          <w:szCs w:val="28"/>
        </w:rPr>
        <w:t>ах</w:t>
      </w:r>
      <w:r w:rsidRPr="00A53AD7">
        <w:rPr>
          <w:rFonts w:ascii="Times New Roman" w:hAnsi="Times New Roman"/>
          <w:sz w:val="28"/>
          <w:szCs w:val="28"/>
        </w:rPr>
        <w:t xml:space="preserve"> 2019 года ежеквартально улучшалось, в т.ч. во </w:t>
      </w:r>
      <w:r w:rsidRPr="00A53AD7">
        <w:rPr>
          <w:rFonts w:ascii="Times New Roman" w:hAnsi="Times New Roman"/>
          <w:sz w:val="28"/>
          <w:szCs w:val="28"/>
          <w:lang w:val="en-US"/>
        </w:rPr>
        <w:t>II</w:t>
      </w:r>
      <w:r w:rsidRPr="00A53AD7">
        <w:rPr>
          <w:rFonts w:ascii="Times New Roman" w:hAnsi="Times New Roman"/>
          <w:sz w:val="28"/>
          <w:szCs w:val="28"/>
        </w:rPr>
        <w:t xml:space="preserve"> – </w:t>
      </w:r>
      <w:r w:rsidRPr="00A53AD7">
        <w:rPr>
          <w:rFonts w:ascii="Times New Roman" w:hAnsi="Times New Roman"/>
          <w:sz w:val="28"/>
          <w:szCs w:val="28"/>
          <w:lang w:val="en-US"/>
        </w:rPr>
        <w:t>III</w:t>
      </w:r>
      <w:r w:rsidRPr="00A53AD7">
        <w:rPr>
          <w:rFonts w:ascii="Times New Roman" w:hAnsi="Times New Roman"/>
          <w:sz w:val="28"/>
          <w:szCs w:val="28"/>
        </w:rPr>
        <w:t xml:space="preserve"> квартал</w:t>
      </w:r>
      <w:r w:rsidR="008C59D5" w:rsidRPr="00A53AD7">
        <w:rPr>
          <w:rFonts w:ascii="Times New Roman" w:hAnsi="Times New Roman"/>
          <w:sz w:val="28"/>
          <w:szCs w:val="28"/>
        </w:rPr>
        <w:t>ах</w:t>
      </w:r>
      <w:r w:rsidRPr="00A53AD7">
        <w:rPr>
          <w:rFonts w:ascii="Times New Roman" w:hAnsi="Times New Roman"/>
          <w:sz w:val="28"/>
          <w:szCs w:val="28"/>
        </w:rPr>
        <w:t xml:space="preserve"> по сумме государственного долга на душу населения, однако в </w:t>
      </w:r>
      <w:r w:rsidRPr="00A53AD7">
        <w:rPr>
          <w:rFonts w:ascii="Times New Roman" w:hAnsi="Times New Roman"/>
          <w:sz w:val="28"/>
          <w:szCs w:val="28"/>
          <w:lang w:val="en-US"/>
        </w:rPr>
        <w:t>IV</w:t>
      </w:r>
      <w:r w:rsidRPr="00A53AD7">
        <w:rPr>
          <w:rFonts w:ascii="Times New Roman" w:hAnsi="Times New Roman"/>
          <w:sz w:val="28"/>
          <w:szCs w:val="28"/>
        </w:rPr>
        <w:t xml:space="preserve"> кв., по отношении в предыдущему кварталу, позиция Архангельской области ухудшилась на 14 пунктов.</w:t>
      </w:r>
    </w:p>
    <w:p w14:paraId="5A5E94B6" w14:textId="77777777" w:rsidR="0029048C" w:rsidRPr="00A53AD7" w:rsidRDefault="0029048C" w:rsidP="0029048C">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отношении объема государственного долга Архангельской области среди субъектов РФ на 01.01.2020 по отношению к 01.01.2019 позиция Архангельской области ухудшилась на 8 позиций.</w:t>
      </w:r>
    </w:p>
    <w:p w14:paraId="2C414E7E" w14:textId="77777777" w:rsidR="009B3202" w:rsidRPr="00A53AD7" w:rsidRDefault="009B3202" w:rsidP="00A316E0">
      <w:pPr>
        <w:spacing w:after="0" w:line="240" w:lineRule="auto"/>
        <w:ind w:firstLine="851"/>
        <w:jc w:val="both"/>
        <w:rPr>
          <w:rFonts w:ascii="Times New Roman" w:hAnsi="Times New Roman"/>
          <w:sz w:val="28"/>
          <w:szCs w:val="28"/>
          <w:highlight w:val="cyan"/>
        </w:rPr>
      </w:pPr>
    </w:p>
    <w:p w14:paraId="606D0998" w14:textId="3E461094" w:rsidR="009B3202" w:rsidRPr="00A53AD7" w:rsidRDefault="009B3202" w:rsidP="00A316E0">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Ежемесячное соотношение объема государственных долговых обязательств Архангельской области к </w:t>
      </w:r>
      <w:r w:rsidR="004F7671" w:rsidRPr="00A53AD7">
        <w:rPr>
          <w:rFonts w:ascii="Times New Roman" w:hAnsi="Times New Roman"/>
          <w:sz w:val="28"/>
          <w:szCs w:val="28"/>
        </w:rPr>
        <w:t xml:space="preserve">прогнозу </w:t>
      </w:r>
      <w:r w:rsidRPr="00A53AD7">
        <w:rPr>
          <w:rFonts w:ascii="Times New Roman" w:hAnsi="Times New Roman"/>
          <w:sz w:val="28"/>
          <w:szCs w:val="28"/>
        </w:rPr>
        <w:t>налоговы</w:t>
      </w:r>
      <w:r w:rsidR="004F7671" w:rsidRPr="00A53AD7">
        <w:rPr>
          <w:rFonts w:ascii="Times New Roman" w:hAnsi="Times New Roman"/>
          <w:sz w:val="28"/>
          <w:szCs w:val="28"/>
        </w:rPr>
        <w:t>х</w:t>
      </w:r>
      <w:r w:rsidRPr="00A53AD7">
        <w:rPr>
          <w:rFonts w:ascii="Times New Roman" w:hAnsi="Times New Roman"/>
          <w:sz w:val="28"/>
          <w:szCs w:val="28"/>
        </w:rPr>
        <w:t xml:space="preserve"> и неналоговы</w:t>
      </w:r>
      <w:r w:rsidR="004F7671" w:rsidRPr="00A53AD7">
        <w:rPr>
          <w:rFonts w:ascii="Times New Roman" w:hAnsi="Times New Roman"/>
          <w:sz w:val="28"/>
          <w:szCs w:val="28"/>
        </w:rPr>
        <w:t>х</w:t>
      </w:r>
      <w:r w:rsidRPr="00A53AD7">
        <w:rPr>
          <w:rFonts w:ascii="Times New Roman" w:hAnsi="Times New Roman"/>
          <w:sz w:val="28"/>
          <w:szCs w:val="28"/>
        </w:rPr>
        <w:t xml:space="preserve"> доход</w:t>
      </w:r>
      <w:r w:rsidR="004F7671" w:rsidRPr="00A53AD7">
        <w:rPr>
          <w:rFonts w:ascii="Times New Roman" w:hAnsi="Times New Roman"/>
          <w:sz w:val="28"/>
          <w:szCs w:val="28"/>
        </w:rPr>
        <w:t>ов</w:t>
      </w:r>
      <w:r w:rsidRPr="00A53AD7">
        <w:rPr>
          <w:rFonts w:ascii="Times New Roman" w:hAnsi="Times New Roman"/>
          <w:sz w:val="28"/>
          <w:szCs w:val="28"/>
        </w:rPr>
        <w:t xml:space="preserve"> областного бюджета</w:t>
      </w:r>
      <w:r w:rsidR="004F7671" w:rsidRPr="00A53AD7">
        <w:rPr>
          <w:rFonts w:ascii="Times New Roman" w:hAnsi="Times New Roman"/>
          <w:sz w:val="28"/>
          <w:szCs w:val="28"/>
        </w:rPr>
        <w:t xml:space="preserve"> (по состоянию на 01.01.2019 и 01.01.2020 – по отношению к фактическому поступлению указанных доходов) представлено на рисунке </w:t>
      </w:r>
      <w:r w:rsidR="00404E35" w:rsidRPr="00A53AD7">
        <w:rPr>
          <w:rFonts w:ascii="Times New Roman" w:hAnsi="Times New Roman"/>
          <w:sz w:val="28"/>
          <w:szCs w:val="28"/>
        </w:rPr>
        <w:t>87</w:t>
      </w:r>
      <w:r w:rsidR="004F7671" w:rsidRPr="00A53AD7">
        <w:rPr>
          <w:rFonts w:ascii="Times New Roman" w:hAnsi="Times New Roman"/>
          <w:sz w:val="28"/>
          <w:szCs w:val="28"/>
        </w:rPr>
        <w:t>.</w:t>
      </w:r>
    </w:p>
    <w:p w14:paraId="1CBC4C00" w14:textId="5AFC0D1E" w:rsidR="004F7671" w:rsidRPr="00A53AD7" w:rsidRDefault="0067235B" w:rsidP="0029048C">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35F53426" wp14:editId="496CD15C">
            <wp:extent cx="4498003" cy="24854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17034" cy="2495966"/>
                    </a:xfrm>
                    <a:prstGeom prst="rect">
                      <a:avLst/>
                    </a:prstGeom>
                    <a:noFill/>
                  </pic:spPr>
                </pic:pic>
              </a:graphicData>
            </a:graphic>
          </wp:inline>
        </w:drawing>
      </w:r>
    </w:p>
    <w:p w14:paraId="079780EF" w14:textId="11F983E8" w:rsidR="00181A44" w:rsidRPr="00A53AD7" w:rsidRDefault="0067235B" w:rsidP="00684767">
      <w:pPr>
        <w:spacing w:after="0" w:line="240" w:lineRule="auto"/>
        <w:rPr>
          <w:rFonts w:ascii="Times New Roman" w:hAnsi="Times New Roman"/>
          <w:sz w:val="28"/>
          <w:szCs w:val="28"/>
          <w:highlight w:val="cyan"/>
          <w:lang w:val="x-none"/>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87</w:t>
      </w:r>
      <w:r w:rsidRPr="00A53AD7">
        <w:rPr>
          <w:rFonts w:ascii="Times New Roman" w:hAnsi="Times New Roman"/>
          <w:sz w:val="24"/>
          <w:szCs w:val="24"/>
        </w:rPr>
        <w:fldChar w:fldCharType="end"/>
      </w:r>
      <w:r w:rsidRPr="00A53AD7">
        <w:rPr>
          <w:rFonts w:ascii="Times New Roman" w:hAnsi="Times New Roman"/>
          <w:sz w:val="24"/>
          <w:szCs w:val="24"/>
        </w:rPr>
        <w:t>. Соотношение государственного долга Архангельской области в 2019 году к налоговым и неналоговым доходам</w:t>
      </w:r>
    </w:p>
    <w:p w14:paraId="3EB5BE40" w14:textId="77777777" w:rsidR="004F7671" w:rsidRPr="00A53AD7" w:rsidRDefault="004F7671" w:rsidP="000C10D4">
      <w:pPr>
        <w:spacing w:after="0" w:line="240" w:lineRule="auto"/>
        <w:ind w:firstLine="851"/>
        <w:jc w:val="both"/>
        <w:rPr>
          <w:rFonts w:ascii="Times New Roman" w:hAnsi="Times New Roman"/>
          <w:sz w:val="28"/>
          <w:szCs w:val="28"/>
          <w:highlight w:val="cyan"/>
          <w:lang w:val="x-none"/>
        </w:rPr>
      </w:pPr>
    </w:p>
    <w:p w14:paraId="440FB427" w14:textId="34D10973" w:rsidR="00684767" w:rsidRPr="00A53AD7" w:rsidRDefault="00684767" w:rsidP="000C10D4">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Как было сказано выше, </w:t>
      </w:r>
      <w:r w:rsidR="0066199C" w:rsidRPr="00A53AD7">
        <w:rPr>
          <w:rFonts w:ascii="Times New Roman" w:hAnsi="Times New Roman"/>
          <w:sz w:val="28"/>
          <w:szCs w:val="28"/>
        </w:rPr>
        <w:t xml:space="preserve">соотношение объема государственных долговых обязательств Архангельской области к налоговым и неналоговым доходам за отчетный период сократилось на </w:t>
      </w:r>
      <w:r w:rsidR="00E23D01" w:rsidRPr="00A53AD7">
        <w:rPr>
          <w:rFonts w:ascii="Times New Roman" w:hAnsi="Times New Roman"/>
          <w:sz w:val="28"/>
          <w:szCs w:val="28"/>
        </w:rPr>
        <w:t xml:space="preserve">6,7 процентных пунктов. При этом наименьший уровень указанного соотношения зафиксирован по состоянию на </w:t>
      </w:r>
      <w:r w:rsidR="00BA200E" w:rsidRPr="00A53AD7">
        <w:rPr>
          <w:rFonts w:ascii="Times New Roman" w:hAnsi="Times New Roman"/>
          <w:sz w:val="28"/>
          <w:szCs w:val="28"/>
        </w:rPr>
        <w:t>01.12.2019 и составил 40,3 %.</w:t>
      </w:r>
    </w:p>
    <w:p w14:paraId="669E40ED" w14:textId="52A395BE" w:rsidR="00BA200E" w:rsidRPr="00A53AD7" w:rsidRDefault="00BA200E" w:rsidP="00BA200E">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Ежемесячное соотношение объема государственных долговых обязательств Архангельской области в виде кредитов кредитных организаций к прогнозу налоговых и неналоговых доходов областного бюджета (по состоянию на 01.01.2019 и 01.01.2020 – по отношению к фактическому поступлению указанных доходов) представлено на рисунке </w:t>
      </w:r>
      <w:r w:rsidR="00404E35" w:rsidRPr="00A53AD7">
        <w:rPr>
          <w:rFonts w:ascii="Times New Roman" w:hAnsi="Times New Roman"/>
          <w:sz w:val="28"/>
          <w:szCs w:val="28"/>
        </w:rPr>
        <w:t>88</w:t>
      </w:r>
      <w:r w:rsidRPr="00A53AD7">
        <w:rPr>
          <w:rFonts w:ascii="Times New Roman" w:hAnsi="Times New Roman"/>
          <w:sz w:val="28"/>
          <w:szCs w:val="28"/>
        </w:rPr>
        <w:t>.</w:t>
      </w:r>
    </w:p>
    <w:p w14:paraId="51FFA6CA" w14:textId="77777777" w:rsidR="00ED039B" w:rsidRPr="00A53AD7" w:rsidRDefault="00ED039B" w:rsidP="00ED039B">
      <w:pPr>
        <w:pStyle w:val="1"/>
        <w:numPr>
          <w:ilvl w:val="0"/>
          <w:numId w:val="0"/>
        </w:numPr>
        <w:ind w:firstLine="851"/>
      </w:pPr>
      <w:r w:rsidRPr="00A53AD7">
        <w:t>По состоянию на 01.01.2020 уровень долговых обязательств Архангельской области в виде кредитов кредитных организаций к налоговым и неналоговым доходам составил 31,9 % и за 2019 он сократился на 3,6 процентных пункта. Наименьшее значение указанного соотношения зафиксировано по состоянию на 01.09.2019, которое составило 7,4 %.</w:t>
      </w:r>
    </w:p>
    <w:p w14:paraId="0231F7E4" w14:textId="77777777" w:rsidR="00ED039B" w:rsidRPr="00A53AD7" w:rsidRDefault="00ED039B" w:rsidP="00BA200E">
      <w:pPr>
        <w:spacing w:after="0" w:line="240" w:lineRule="auto"/>
        <w:ind w:firstLine="851"/>
        <w:jc w:val="both"/>
        <w:rPr>
          <w:rFonts w:ascii="Times New Roman" w:hAnsi="Times New Roman"/>
          <w:sz w:val="28"/>
          <w:szCs w:val="28"/>
        </w:rPr>
      </w:pPr>
    </w:p>
    <w:p w14:paraId="5E59C46A" w14:textId="786B2852" w:rsidR="00BA200E" w:rsidRPr="00A53AD7" w:rsidRDefault="00AA45F9" w:rsidP="0029048C">
      <w:pPr>
        <w:spacing w:after="0" w:line="240" w:lineRule="auto"/>
        <w:jc w:val="center"/>
        <w:rPr>
          <w:rFonts w:ascii="Times New Roman" w:hAnsi="Times New Roman"/>
          <w:sz w:val="28"/>
          <w:szCs w:val="28"/>
        </w:rPr>
      </w:pPr>
      <w:r w:rsidRPr="00A53AD7">
        <w:rPr>
          <w:rFonts w:ascii="Times New Roman" w:hAnsi="Times New Roman"/>
          <w:noProof/>
          <w:sz w:val="28"/>
          <w:szCs w:val="28"/>
          <w:lang w:eastAsia="ru-RU"/>
        </w:rPr>
        <w:drawing>
          <wp:inline distT="0" distB="0" distL="0" distR="0" wp14:anchorId="65504FFC" wp14:editId="1E5BD4CB">
            <wp:extent cx="5218430" cy="2853055"/>
            <wp:effectExtent l="0" t="0" r="1270"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18430" cy="2853055"/>
                    </a:xfrm>
                    <a:prstGeom prst="rect">
                      <a:avLst/>
                    </a:prstGeom>
                    <a:noFill/>
                  </pic:spPr>
                </pic:pic>
              </a:graphicData>
            </a:graphic>
          </wp:inline>
        </w:drawing>
      </w:r>
    </w:p>
    <w:p w14:paraId="789D4542" w14:textId="4476E67E" w:rsidR="00AA45F9" w:rsidRPr="00A53AD7" w:rsidRDefault="00AA45F9" w:rsidP="00AA45F9">
      <w:pPr>
        <w:spacing w:after="0" w:line="240" w:lineRule="auto"/>
        <w:rPr>
          <w:rFonts w:ascii="Times New Roman" w:hAnsi="Times New Roman"/>
          <w:sz w:val="28"/>
          <w:szCs w:val="28"/>
          <w:highlight w:val="cyan"/>
          <w:lang w:val="x-none"/>
        </w:rPr>
      </w:pPr>
      <w:r w:rsidRPr="00A53AD7">
        <w:rPr>
          <w:rFonts w:ascii="Times New Roman" w:hAnsi="Times New Roman"/>
          <w:sz w:val="24"/>
          <w:szCs w:val="24"/>
        </w:rPr>
        <w:t xml:space="preserve">Рисунок </w:t>
      </w:r>
      <w:r w:rsidRPr="00A53AD7">
        <w:rPr>
          <w:rFonts w:ascii="Times New Roman" w:hAnsi="Times New Roman"/>
          <w:sz w:val="24"/>
          <w:szCs w:val="24"/>
        </w:rPr>
        <w:fldChar w:fldCharType="begin"/>
      </w:r>
      <w:r w:rsidRPr="00A53AD7">
        <w:rPr>
          <w:rFonts w:ascii="Times New Roman" w:hAnsi="Times New Roman"/>
          <w:sz w:val="24"/>
          <w:szCs w:val="24"/>
        </w:rPr>
        <w:instrText xml:space="preserve"> SEQ Рисунок \* ARABIC </w:instrText>
      </w:r>
      <w:r w:rsidRPr="00A53AD7">
        <w:rPr>
          <w:rFonts w:ascii="Times New Roman" w:hAnsi="Times New Roman"/>
          <w:sz w:val="24"/>
          <w:szCs w:val="24"/>
        </w:rPr>
        <w:fldChar w:fldCharType="separate"/>
      </w:r>
      <w:r w:rsidR="005351E5" w:rsidRPr="00A53AD7">
        <w:rPr>
          <w:rFonts w:ascii="Times New Roman" w:hAnsi="Times New Roman"/>
          <w:noProof/>
          <w:sz w:val="24"/>
          <w:szCs w:val="24"/>
        </w:rPr>
        <w:t>88</w:t>
      </w:r>
      <w:r w:rsidRPr="00A53AD7">
        <w:rPr>
          <w:rFonts w:ascii="Times New Roman" w:hAnsi="Times New Roman"/>
          <w:sz w:val="24"/>
          <w:szCs w:val="24"/>
        </w:rPr>
        <w:fldChar w:fldCharType="end"/>
      </w:r>
      <w:r w:rsidRPr="00A53AD7">
        <w:rPr>
          <w:rFonts w:ascii="Times New Roman" w:hAnsi="Times New Roman"/>
          <w:sz w:val="24"/>
          <w:szCs w:val="24"/>
        </w:rPr>
        <w:t>. Соотношение государственного долга Архангельской области в виде кредитов кредитных организаций в 2019 году к налоговым и неналоговым доходам</w:t>
      </w:r>
    </w:p>
    <w:p w14:paraId="41F6C2DB" w14:textId="77777777" w:rsidR="00AA45F9" w:rsidRPr="00A53AD7" w:rsidRDefault="00AA45F9" w:rsidP="003B3F84">
      <w:pPr>
        <w:pStyle w:val="1"/>
        <w:numPr>
          <w:ilvl w:val="0"/>
          <w:numId w:val="0"/>
        </w:numPr>
        <w:ind w:firstLine="851"/>
        <w:rPr>
          <w:highlight w:val="cyan"/>
          <w:lang w:val="x-none"/>
        </w:rPr>
      </w:pPr>
    </w:p>
    <w:p w14:paraId="5A39F47D" w14:textId="785506EA" w:rsidR="003B3F84" w:rsidRPr="00A53AD7" w:rsidRDefault="003B3F84" w:rsidP="003B3F84">
      <w:pPr>
        <w:pStyle w:val="1"/>
        <w:numPr>
          <w:ilvl w:val="0"/>
          <w:numId w:val="0"/>
        </w:numPr>
        <w:ind w:firstLine="851"/>
      </w:pPr>
      <w:r w:rsidRPr="00A53AD7">
        <w:t xml:space="preserve">В соответствии с </w:t>
      </w:r>
      <w:r w:rsidR="00397E9A" w:rsidRPr="00A53AD7">
        <w:t>соглашени</w:t>
      </w:r>
      <w:r w:rsidR="00A47E40" w:rsidRPr="00A53AD7">
        <w:t>ями</w:t>
      </w:r>
      <w:r w:rsidR="00397E9A" w:rsidRPr="00A53AD7">
        <w:t xml:space="preserve"> с Минфином России о предоставлении Архангельской области бюджетных кредитов из федерального бюджета </w:t>
      </w:r>
      <w:r w:rsidR="00A47E40" w:rsidRPr="00A53AD7">
        <w:t>и дополнительными соглашениями к ним, Архангельская область обязуется выполнить ряд условий их предоставления в части, касающейся параметров государственных долговых обязательств субъекта. Сведения об указанных условиях и их выполнении в 201</w:t>
      </w:r>
      <w:r w:rsidR="008405A3" w:rsidRPr="00A53AD7">
        <w:t>9</w:t>
      </w:r>
      <w:r w:rsidR="00A47E40" w:rsidRPr="00A53AD7">
        <w:t xml:space="preserve"> году представлены в таблице </w:t>
      </w:r>
      <w:r w:rsidR="00ED039B" w:rsidRPr="00A53AD7">
        <w:t>81</w:t>
      </w:r>
      <w:r w:rsidR="00A47E40" w:rsidRPr="00A53AD7">
        <w:t>.</w:t>
      </w:r>
    </w:p>
    <w:p w14:paraId="08417FD5" w14:textId="77777777" w:rsidR="00147BB4" w:rsidRPr="00A53AD7" w:rsidRDefault="00147BB4" w:rsidP="003B3F84">
      <w:pPr>
        <w:pStyle w:val="1"/>
        <w:numPr>
          <w:ilvl w:val="0"/>
          <w:numId w:val="0"/>
        </w:numPr>
        <w:ind w:firstLine="851"/>
      </w:pPr>
    </w:p>
    <w:p w14:paraId="257F3D9C" w14:textId="364D2A5B" w:rsidR="00523D11" w:rsidRPr="00A53AD7" w:rsidRDefault="00523D11" w:rsidP="00523D11">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Таблица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Таблица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81</w:t>
      </w:r>
      <w:r w:rsidRPr="00A53AD7">
        <w:rPr>
          <w:rFonts w:ascii="Times New Roman" w:hAnsi="Times New Roman"/>
          <w:b w:val="0"/>
          <w:sz w:val="24"/>
          <w:szCs w:val="24"/>
        </w:rPr>
        <w:fldChar w:fldCharType="end"/>
      </w:r>
      <w:r w:rsidRPr="00A53AD7">
        <w:rPr>
          <w:rFonts w:ascii="Times New Roman" w:hAnsi="Times New Roman"/>
          <w:b w:val="0"/>
          <w:sz w:val="24"/>
          <w:szCs w:val="24"/>
        </w:rPr>
        <w:t xml:space="preserve">. Выполнение </w:t>
      </w:r>
      <w:r w:rsidR="00E225A8" w:rsidRPr="00A53AD7">
        <w:rPr>
          <w:rFonts w:ascii="Times New Roman" w:hAnsi="Times New Roman"/>
          <w:b w:val="0"/>
          <w:sz w:val="24"/>
          <w:szCs w:val="24"/>
        </w:rPr>
        <w:t>в 201</w:t>
      </w:r>
      <w:r w:rsidR="008405A3" w:rsidRPr="00A53AD7">
        <w:rPr>
          <w:rFonts w:ascii="Times New Roman" w:hAnsi="Times New Roman"/>
          <w:b w:val="0"/>
          <w:sz w:val="24"/>
          <w:szCs w:val="24"/>
        </w:rPr>
        <w:t>9</w:t>
      </w:r>
      <w:r w:rsidR="00E225A8" w:rsidRPr="00A53AD7">
        <w:rPr>
          <w:rFonts w:ascii="Times New Roman" w:hAnsi="Times New Roman"/>
          <w:b w:val="0"/>
          <w:sz w:val="24"/>
          <w:szCs w:val="24"/>
        </w:rPr>
        <w:t xml:space="preserve"> году </w:t>
      </w:r>
      <w:r w:rsidRPr="00A53AD7">
        <w:rPr>
          <w:rFonts w:ascii="Times New Roman" w:hAnsi="Times New Roman"/>
          <w:b w:val="0"/>
          <w:sz w:val="24"/>
          <w:szCs w:val="24"/>
        </w:rPr>
        <w:t>условий соглашений о предоставлении бюджету Архангельской области бюджетных кредитов из федерального бюджета</w:t>
      </w:r>
    </w:p>
    <w:tbl>
      <w:tblPr>
        <w:tblStyle w:val="a7"/>
        <w:tblW w:w="9342"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6506"/>
        <w:gridCol w:w="1407"/>
        <w:gridCol w:w="1429"/>
      </w:tblGrid>
      <w:tr w:rsidR="00D470B6" w:rsidRPr="00A53AD7" w14:paraId="47D9E205" w14:textId="77777777" w:rsidTr="00EE7253">
        <w:tc>
          <w:tcPr>
            <w:tcW w:w="6506" w:type="dxa"/>
          </w:tcPr>
          <w:p w14:paraId="180F378E" w14:textId="00FDF1A8" w:rsidR="00523D11" w:rsidRPr="00A53AD7" w:rsidRDefault="00E225A8" w:rsidP="00E225A8">
            <w:pPr>
              <w:pStyle w:val="1"/>
              <w:numPr>
                <w:ilvl w:val="0"/>
                <w:numId w:val="0"/>
              </w:numPr>
              <w:jc w:val="center"/>
              <w:rPr>
                <w:sz w:val="22"/>
                <w:szCs w:val="22"/>
              </w:rPr>
            </w:pPr>
            <w:r w:rsidRPr="00A53AD7">
              <w:rPr>
                <w:sz w:val="22"/>
                <w:szCs w:val="22"/>
              </w:rPr>
              <w:t>Показатель</w:t>
            </w:r>
          </w:p>
        </w:tc>
        <w:tc>
          <w:tcPr>
            <w:tcW w:w="1407" w:type="dxa"/>
          </w:tcPr>
          <w:p w14:paraId="1AD300A1" w14:textId="292C76A6" w:rsidR="00523D11" w:rsidRPr="00A53AD7" w:rsidRDefault="00E225A8" w:rsidP="00E225A8">
            <w:pPr>
              <w:pStyle w:val="1"/>
              <w:numPr>
                <w:ilvl w:val="0"/>
                <w:numId w:val="0"/>
              </w:numPr>
              <w:jc w:val="center"/>
              <w:rPr>
                <w:sz w:val="22"/>
                <w:szCs w:val="22"/>
              </w:rPr>
            </w:pPr>
            <w:r w:rsidRPr="00A53AD7">
              <w:rPr>
                <w:sz w:val="22"/>
                <w:szCs w:val="22"/>
              </w:rPr>
              <w:t>Условие соглашений</w:t>
            </w:r>
          </w:p>
        </w:tc>
        <w:tc>
          <w:tcPr>
            <w:tcW w:w="1429" w:type="dxa"/>
          </w:tcPr>
          <w:p w14:paraId="2BCBE340" w14:textId="06C82508" w:rsidR="00523D11" w:rsidRPr="00A53AD7" w:rsidRDefault="00E225A8" w:rsidP="00E225A8">
            <w:pPr>
              <w:pStyle w:val="1"/>
              <w:numPr>
                <w:ilvl w:val="0"/>
                <w:numId w:val="0"/>
              </w:numPr>
              <w:jc w:val="center"/>
              <w:rPr>
                <w:sz w:val="22"/>
                <w:szCs w:val="22"/>
              </w:rPr>
            </w:pPr>
            <w:r w:rsidRPr="00A53AD7">
              <w:rPr>
                <w:sz w:val="22"/>
                <w:szCs w:val="22"/>
              </w:rPr>
              <w:t>Фактическое значение показателя</w:t>
            </w:r>
          </w:p>
        </w:tc>
      </w:tr>
      <w:tr w:rsidR="00D470B6" w:rsidRPr="00A53AD7" w14:paraId="1317E597" w14:textId="77777777" w:rsidTr="00EE7253">
        <w:tc>
          <w:tcPr>
            <w:tcW w:w="6506" w:type="dxa"/>
          </w:tcPr>
          <w:p w14:paraId="0CC0B682" w14:textId="26D0B476" w:rsidR="00523D11" w:rsidRPr="00A53AD7" w:rsidRDefault="00E225A8" w:rsidP="004D6BE8">
            <w:pPr>
              <w:pStyle w:val="1"/>
              <w:numPr>
                <w:ilvl w:val="0"/>
                <w:numId w:val="0"/>
              </w:numPr>
              <w:jc w:val="left"/>
              <w:rPr>
                <w:sz w:val="22"/>
                <w:szCs w:val="22"/>
              </w:rPr>
            </w:pPr>
            <w:r w:rsidRPr="00A53AD7">
              <w:rPr>
                <w:sz w:val="22"/>
                <w:szCs w:val="22"/>
              </w:rPr>
              <w:t xml:space="preserve">1. </w:t>
            </w:r>
            <w:r w:rsidR="00325109" w:rsidRPr="00A53AD7">
              <w:rPr>
                <w:sz w:val="22"/>
                <w:szCs w:val="22"/>
              </w:rPr>
              <w:t>На 01.01.20</w:t>
            </w:r>
            <w:r w:rsidR="00B161B3" w:rsidRPr="00A53AD7">
              <w:rPr>
                <w:sz w:val="22"/>
                <w:szCs w:val="22"/>
              </w:rPr>
              <w:t>20</w:t>
            </w:r>
            <w:r w:rsidR="00325109" w:rsidRPr="00A53AD7">
              <w:rPr>
                <w:sz w:val="22"/>
                <w:szCs w:val="22"/>
              </w:rPr>
              <w:t xml:space="preserve"> д</w:t>
            </w:r>
            <w:r w:rsidRPr="00A53AD7">
              <w:rPr>
                <w:sz w:val="22"/>
                <w:szCs w:val="22"/>
              </w:rPr>
              <w:t>оля общего объема государственного долга субъекта РФ</w:t>
            </w:r>
            <w:r w:rsidR="00325109" w:rsidRPr="00A53AD7">
              <w:rPr>
                <w:sz w:val="22"/>
                <w:szCs w:val="22"/>
              </w:rPr>
              <w:t xml:space="preserve"> не должна превышать 7</w:t>
            </w:r>
            <w:r w:rsidR="00BC122D" w:rsidRPr="00A53AD7">
              <w:rPr>
                <w:sz w:val="22"/>
                <w:szCs w:val="22"/>
              </w:rPr>
              <w:t>6</w:t>
            </w:r>
            <w:r w:rsidR="00325109" w:rsidRPr="00A53AD7">
              <w:rPr>
                <w:sz w:val="22"/>
                <w:szCs w:val="22"/>
              </w:rPr>
              <w:t xml:space="preserve"> % суммы доходов бюджета субъекта РФ без учета безвозмездных поступлений за 201</w:t>
            </w:r>
            <w:r w:rsidR="004D6BE8" w:rsidRPr="00A53AD7">
              <w:rPr>
                <w:sz w:val="22"/>
                <w:szCs w:val="22"/>
              </w:rPr>
              <w:t>9</w:t>
            </w:r>
            <w:r w:rsidR="00325109" w:rsidRPr="00A53AD7">
              <w:rPr>
                <w:sz w:val="22"/>
                <w:szCs w:val="22"/>
              </w:rPr>
              <w:t xml:space="preserve"> год</w:t>
            </w:r>
          </w:p>
        </w:tc>
        <w:tc>
          <w:tcPr>
            <w:tcW w:w="1407" w:type="dxa"/>
          </w:tcPr>
          <w:p w14:paraId="582640CA" w14:textId="64486C28" w:rsidR="00523D11" w:rsidRPr="00A53AD7" w:rsidRDefault="00B161B3" w:rsidP="00325109">
            <w:pPr>
              <w:pStyle w:val="1"/>
              <w:numPr>
                <w:ilvl w:val="0"/>
                <w:numId w:val="0"/>
              </w:numPr>
              <w:jc w:val="center"/>
              <w:rPr>
                <w:sz w:val="22"/>
                <w:szCs w:val="22"/>
              </w:rPr>
            </w:pPr>
            <w:r w:rsidRPr="00A53AD7">
              <w:rPr>
                <w:sz w:val="22"/>
                <w:szCs w:val="22"/>
              </w:rPr>
              <w:t>76</w:t>
            </w:r>
          </w:p>
        </w:tc>
        <w:tc>
          <w:tcPr>
            <w:tcW w:w="1429" w:type="dxa"/>
          </w:tcPr>
          <w:p w14:paraId="4E905BA0" w14:textId="57C5D5BB" w:rsidR="00523D11" w:rsidRPr="00A53AD7" w:rsidRDefault="00B161B3" w:rsidP="00325109">
            <w:pPr>
              <w:pStyle w:val="1"/>
              <w:numPr>
                <w:ilvl w:val="0"/>
                <w:numId w:val="0"/>
              </w:numPr>
              <w:jc w:val="center"/>
              <w:rPr>
                <w:sz w:val="22"/>
                <w:szCs w:val="22"/>
              </w:rPr>
            </w:pPr>
            <w:r w:rsidRPr="00A53AD7">
              <w:rPr>
                <w:sz w:val="22"/>
                <w:szCs w:val="22"/>
              </w:rPr>
              <w:t>53,4</w:t>
            </w:r>
          </w:p>
        </w:tc>
      </w:tr>
      <w:tr w:rsidR="00523D11" w:rsidRPr="00A53AD7" w14:paraId="3D836D44" w14:textId="77777777" w:rsidTr="00EE7253">
        <w:tc>
          <w:tcPr>
            <w:tcW w:w="6506" w:type="dxa"/>
          </w:tcPr>
          <w:p w14:paraId="16CF8AE1" w14:textId="54A4564B" w:rsidR="00523D11" w:rsidRPr="00A53AD7" w:rsidRDefault="00325109" w:rsidP="004D6BE8">
            <w:pPr>
              <w:pStyle w:val="1"/>
              <w:numPr>
                <w:ilvl w:val="0"/>
                <w:numId w:val="0"/>
              </w:numPr>
              <w:jc w:val="left"/>
              <w:rPr>
                <w:sz w:val="22"/>
                <w:szCs w:val="22"/>
              </w:rPr>
            </w:pPr>
            <w:r w:rsidRPr="00A53AD7">
              <w:rPr>
                <w:sz w:val="22"/>
                <w:szCs w:val="22"/>
              </w:rPr>
              <w:t xml:space="preserve">2. </w:t>
            </w:r>
            <w:r w:rsidR="006A6E2A" w:rsidRPr="00A53AD7">
              <w:rPr>
                <w:sz w:val="22"/>
                <w:szCs w:val="22"/>
              </w:rPr>
              <w:t>На 01.01.20</w:t>
            </w:r>
            <w:r w:rsidR="00B161B3" w:rsidRPr="00A53AD7">
              <w:rPr>
                <w:sz w:val="22"/>
                <w:szCs w:val="22"/>
              </w:rPr>
              <w:t>20</w:t>
            </w:r>
            <w:r w:rsidR="006A6E2A" w:rsidRPr="00A53AD7">
              <w:rPr>
                <w:sz w:val="22"/>
                <w:szCs w:val="22"/>
              </w:rPr>
              <w:t xml:space="preserve"> доля общего объема долговых обязательств субъекта РФ по кредитам, полученным от кредитных организаций не должна превышать 50 % </w:t>
            </w:r>
            <w:r w:rsidR="0096109A" w:rsidRPr="00A53AD7">
              <w:rPr>
                <w:sz w:val="22"/>
                <w:szCs w:val="22"/>
              </w:rPr>
              <w:t>суммы доходов бюджета субъекта РФ без учета безвозмездных поступлений за 201</w:t>
            </w:r>
            <w:r w:rsidR="004D6BE8" w:rsidRPr="00A53AD7">
              <w:rPr>
                <w:sz w:val="22"/>
                <w:szCs w:val="22"/>
              </w:rPr>
              <w:t>9</w:t>
            </w:r>
            <w:r w:rsidR="0096109A" w:rsidRPr="00A53AD7">
              <w:rPr>
                <w:sz w:val="22"/>
                <w:szCs w:val="22"/>
              </w:rPr>
              <w:t xml:space="preserve"> год</w:t>
            </w:r>
          </w:p>
        </w:tc>
        <w:tc>
          <w:tcPr>
            <w:tcW w:w="1407" w:type="dxa"/>
          </w:tcPr>
          <w:p w14:paraId="330F95FB" w14:textId="00ED215A" w:rsidR="00523D11" w:rsidRPr="00A53AD7" w:rsidRDefault="0096109A" w:rsidP="00325109">
            <w:pPr>
              <w:pStyle w:val="1"/>
              <w:numPr>
                <w:ilvl w:val="0"/>
                <w:numId w:val="0"/>
              </w:numPr>
              <w:jc w:val="center"/>
              <w:rPr>
                <w:sz w:val="22"/>
                <w:szCs w:val="22"/>
              </w:rPr>
            </w:pPr>
            <w:r w:rsidRPr="00A53AD7">
              <w:rPr>
                <w:sz w:val="22"/>
                <w:szCs w:val="22"/>
              </w:rPr>
              <w:t>50</w:t>
            </w:r>
          </w:p>
        </w:tc>
        <w:tc>
          <w:tcPr>
            <w:tcW w:w="1429" w:type="dxa"/>
          </w:tcPr>
          <w:p w14:paraId="77F99985" w14:textId="35877C23" w:rsidR="00523D11" w:rsidRPr="00A53AD7" w:rsidRDefault="00B161B3" w:rsidP="00325109">
            <w:pPr>
              <w:pStyle w:val="1"/>
              <w:numPr>
                <w:ilvl w:val="0"/>
                <w:numId w:val="0"/>
              </w:numPr>
              <w:jc w:val="center"/>
              <w:rPr>
                <w:sz w:val="22"/>
                <w:szCs w:val="22"/>
              </w:rPr>
            </w:pPr>
            <w:r w:rsidRPr="00A53AD7">
              <w:rPr>
                <w:sz w:val="22"/>
                <w:szCs w:val="22"/>
              </w:rPr>
              <w:t>31,9</w:t>
            </w:r>
          </w:p>
        </w:tc>
      </w:tr>
    </w:tbl>
    <w:p w14:paraId="53D1BE42" w14:textId="77777777" w:rsidR="00147BB4" w:rsidRPr="00A53AD7" w:rsidRDefault="00147BB4" w:rsidP="003B3F84">
      <w:pPr>
        <w:pStyle w:val="1"/>
        <w:numPr>
          <w:ilvl w:val="0"/>
          <w:numId w:val="0"/>
        </w:numPr>
        <w:ind w:firstLine="851"/>
      </w:pPr>
    </w:p>
    <w:p w14:paraId="1FFBDEA0" w14:textId="65B06694" w:rsidR="00147BB4" w:rsidRPr="00A53AD7" w:rsidRDefault="00FF6FC0" w:rsidP="003B3F84">
      <w:pPr>
        <w:pStyle w:val="1"/>
        <w:numPr>
          <w:ilvl w:val="0"/>
          <w:numId w:val="0"/>
        </w:numPr>
        <w:ind w:firstLine="851"/>
      </w:pPr>
      <w:r w:rsidRPr="00A53AD7">
        <w:t>Таким образом, указанные условия соглашений в отчетном году выполнены.</w:t>
      </w:r>
    </w:p>
    <w:p w14:paraId="0E53E5FF" w14:textId="77777777" w:rsidR="00FA0F77" w:rsidRPr="00A53AD7" w:rsidRDefault="00FA0F77" w:rsidP="003B3F84">
      <w:pPr>
        <w:pStyle w:val="1"/>
        <w:numPr>
          <w:ilvl w:val="0"/>
          <w:numId w:val="0"/>
        </w:numPr>
        <w:ind w:firstLine="851"/>
      </w:pPr>
    </w:p>
    <w:p w14:paraId="393BCD40" w14:textId="77777777" w:rsidR="00FA0F77" w:rsidRPr="00A53AD7" w:rsidRDefault="00FA0F77" w:rsidP="00FA0F77">
      <w:pPr>
        <w:pStyle w:val="1"/>
        <w:numPr>
          <w:ilvl w:val="0"/>
          <w:numId w:val="0"/>
        </w:numPr>
        <w:ind w:firstLine="851"/>
      </w:pPr>
      <w:r w:rsidRPr="00A53AD7">
        <w:t>Отмечаем, что за последние 5 лет (с 01.01.2016 по 01.01.2020) государственный долг Архангельской области сократился на 3 508,6 млн.руб. или на 9,4 %.</w:t>
      </w:r>
    </w:p>
    <w:p w14:paraId="463DE897" w14:textId="17550BCE" w:rsidR="00FA0F77" w:rsidRPr="00A53AD7" w:rsidRDefault="00FA0F77" w:rsidP="00FA0F77">
      <w:pPr>
        <w:pStyle w:val="1"/>
        <w:numPr>
          <w:ilvl w:val="0"/>
          <w:numId w:val="0"/>
        </w:numPr>
        <w:ind w:firstLine="851"/>
      </w:pPr>
      <w:r w:rsidRPr="00A53AD7">
        <w:t>На рисунке</w:t>
      </w:r>
      <w:r w:rsidR="00ED039B" w:rsidRPr="00A53AD7">
        <w:t xml:space="preserve"> 89</w:t>
      </w:r>
      <w:r w:rsidRPr="00A53AD7">
        <w:t xml:space="preserve"> представлены показатели о состоянии государственного долга Архангельской области и его ежегодное изменение на конец каждого финансового года.</w:t>
      </w:r>
    </w:p>
    <w:p w14:paraId="5010C89D" w14:textId="77777777" w:rsidR="00FA0F77" w:rsidRPr="00A53AD7" w:rsidRDefault="00FA0F77" w:rsidP="00FA0F77">
      <w:pPr>
        <w:pStyle w:val="1"/>
        <w:numPr>
          <w:ilvl w:val="0"/>
          <w:numId w:val="0"/>
        </w:numPr>
        <w:ind w:firstLine="851"/>
        <w:rPr>
          <w:sz w:val="16"/>
        </w:rPr>
      </w:pPr>
    </w:p>
    <w:p w14:paraId="2EED0E1F" w14:textId="77777777" w:rsidR="00FA0F77" w:rsidRPr="00A53AD7" w:rsidRDefault="00FA0F77" w:rsidP="00FA0F77">
      <w:pPr>
        <w:pStyle w:val="1"/>
        <w:keepNext/>
        <w:numPr>
          <w:ilvl w:val="0"/>
          <w:numId w:val="0"/>
        </w:numPr>
        <w:jc w:val="center"/>
      </w:pPr>
      <w:r w:rsidRPr="00A53AD7">
        <w:rPr>
          <w:noProof/>
          <w:lang w:eastAsia="ru-RU"/>
        </w:rPr>
        <w:drawing>
          <wp:inline distT="0" distB="0" distL="0" distR="0" wp14:anchorId="5F2D77EF" wp14:editId="6E5EEE34">
            <wp:extent cx="5891916" cy="179699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01769" cy="1800000"/>
                    </a:xfrm>
                    <a:prstGeom prst="rect">
                      <a:avLst/>
                    </a:prstGeom>
                    <a:noFill/>
                  </pic:spPr>
                </pic:pic>
              </a:graphicData>
            </a:graphic>
          </wp:inline>
        </w:drawing>
      </w:r>
    </w:p>
    <w:p w14:paraId="574381FE" w14:textId="77777777" w:rsidR="00FA0F77" w:rsidRPr="00A53AD7" w:rsidRDefault="00FA0F77" w:rsidP="00FA0F77">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89</w:t>
      </w:r>
      <w:r w:rsidRPr="00A53AD7">
        <w:rPr>
          <w:rFonts w:ascii="Times New Roman" w:hAnsi="Times New Roman"/>
          <w:b w:val="0"/>
          <w:sz w:val="24"/>
          <w:szCs w:val="24"/>
        </w:rPr>
        <w:fldChar w:fldCharType="end"/>
      </w:r>
      <w:r w:rsidRPr="00A53AD7">
        <w:rPr>
          <w:rFonts w:ascii="Times New Roman" w:hAnsi="Times New Roman"/>
          <w:b w:val="0"/>
          <w:sz w:val="24"/>
          <w:szCs w:val="24"/>
        </w:rPr>
        <w:t>. Государственный долг Архангельской области за 2015 – 2019 годы и его ежегодное изменение, в млн.руб.</w:t>
      </w:r>
    </w:p>
    <w:p w14:paraId="53DED918" w14:textId="77777777" w:rsidR="00FA0F77" w:rsidRPr="00A53AD7" w:rsidRDefault="00FA0F77" w:rsidP="00FA0F77">
      <w:pPr>
        <w:pStyle w:val="1"/>
        <w:numPr>
          <w:ilvl w:val="0"/>
          <w:numId w:val="0"/>
        </w:numPr>
        <w:ind w:firstLine="851"/>
        <w:rPr>
          <w:sz w:val="16"/>
        </w:rPr>
      </w:pPr>
    </w:p>
    <w:p w14:paraId="273B562C" w14:textId="77777777" w:rsidR="00FA0F77" w:rsidRPr="00A53AD7" w:rsidRDefault="00FA0F77" w:rsidP="00FA0F77">
      <w:pPr>
        <w:pStyle w:val="1"/>
        <w:numPr>
          <w:ilvl w:val="0"/>
          <w:numId w:val="0"/>
        </w:numPr>
        <w:ind w:firstLine="851"/>
      </w:pPr>
      <w:r w:rsidRPr="00A53AD7">
        <w:t>Как отражено на указанном выше рисунке в 2015 – 2016 годах наблюдался ежегодный рост государственного долга Архангельской области (на 14,5 % и 9,4 %, соответственно) а с 2017 года – ежегодное снижение (на 0,2 %, на 13,1 %), а в 2019 году – на 4,4 %.</w:t>
      </w:r>
    </w:p>
    <w:p w14:paraId="2A659167" w14:textId="77777777" w:rsidR="00FA0F77" w:rsidRPr="00A53AD7" w:rsidRDefault="00FA0F77" w:rsidP="00FA0F77">
      <w:pPr>
        <w:pStyle w:val="1"/>
        <w:numPr>
          <w:ilvl w:val="0"/>
          <w:numId w:val="0"/>
        </w:numPr>
        <w:ind w:firstLine="851"/>
      </w:pPr>
      <w:r w:rsidRPr="00A53AD7">
        <w:t>Также почти аналогичные изменения в указанные периоды наблюдаются и при расчете государственного долга на душу населения Архангельской области, с учетом ежегодного снижения численности населения, где за последние 5 лет среднегодовое снижение численности населения Архангельской области составляет 9,4 тыс. чел.</w:t>
      </w:r>
    </w:p>
    <w:p w14:paraId="1587F7D5" w14:textId="28823E6A" w:rsidR="00FA0F77" w:rsidRPr="00A53AD7" w:rsidRDefault="00FA0F77" w:rsidP="00FA0F77">
      <w:pPr>
        <w:pStyle w:val="1"/>
        <w:numPr>
          <w:ilvl w:val="0"/>
          <w:numId w:val="0"/>
        </w:numPr>
        <w:ind w:firstLine="851"/>
      </w:pPr>
      <w:r w:rsidRPr="00A53AD7">
        <w:t>На рисунке</w:t>
      </w:r>
      <w:r w:rsidR="00ED039B" w:rsidRPr="00A53AD7">
        <w:t xml:space="preserve"> 90</w:t>
      </w:r>
      <w:r w:rsidRPr="00A53AD7">
        <w:t xml:space="preserve"> представлена информация о сумме государственного долга Архангельской области на душу населения Архангельской области за 2015 – 2019 годы.</w:t>
      </w:r>
    </w:p>
    <w:p w14:paraId="1C3B70EF" w14:textId="77777777" w:rsidR="00FA0F77" w:rsidRPr="00A53AD7" w:rsidRDefault="00FA0F77" w:rsidP="00FA0F77">
      <w:pPr>
        <w:pStyle w:val="1"/>
        <w:numPr>
          <w:ilvl w:val="0"/>
          <w:numId w:val="0"/>
        </w:numPr>
        <w:ind w:firstLine="851"/>
        <w:rPr>
          <w:sz w:val="16"/>
        </w:rPr>
      </w:pPr>
    </w:p>
    <w:p w14:paraId="2F685066" w14:textId="77777777" w:rsidR="00FA0F77" w:rsidRPr="00A53AD7" w:rsidRDefault="00FA0F77" w:rsidP="00FA0F77">
      <w:pPr>
        <w:pStyle w:val="1"/>
        <w:keepNext/>
        <w:numPr>
          <w:ilvl w:val="0"/>
          <w:numId w:val="0"/>
        </w:numPr>
        <w:jc w:val="center"/>
      </w:pPr>
      <w:r w:rsidRPr="00A53AD7">
        <w:rPr>
          <w:noProof/>
          <w:lang w:eastAsia="ru-RU"/>
        </w:rPr>
        <w:drawing>
          <wp:inline distT="0" distB="0" distL="0" distR="0" wp14:anchorId="4AE52DB0" wp14:editId="15647459">
            <wp:extent cx="5168900" cy="1572236"/>
            <wp:effectExtent l="0" t="0" r="0" b="952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193373" cy="1579680"/>
                    </a:xfrm>
                    <a:prstGeom prst="rect">
                      <a:avLst/>
                    </a:prstGeom>
                    <a:noFill/>
                  </pic:spPr>
                </pic:pic>
              </a:graphicData>
            </a:graphic>
          </wp:inline>
        </w:drawing>
      </w:r>
    </w:p>
    <w:p w14:paraId="4FE12F26" w14:textId="77777777" w:rsidR="00FA0F77" w:rsidRPr="00A53AD7" w:rsidRDefault="00FA0F77" w:rsidP="00FA0F77">
      <w:pPr>
        <w:pStyle w:val="aff0"/>
        <w:keepNext/>
        <w:spacing w:after="0" w:line="240" w:lineRule="auto"/>
        <w:rPr>
          <w:rFonts w:ascii="Times New Roman" w:hAnsi="Times New Roman"/>
          <w:b w:val="0"/>
          <w:sz w:val="24"/>
          <w:szCs w:val="24"/>
        </w:rPr>
      </w:pPr>
      <w:r w:rsidRPr="00A53AD7">
        <w:rPr>
          <w:rFonts w:ascii="Times New Roman" w:hAnsi="Times New Roman"/>
          <w:b w:val="0"/>
          <w:sz w:val="24"/>
          <w:szCs w:val="24"/>
        </w:rPr>
        <w:t xml:space="preserve">Рисунок </w:t>
      </w:r>
      <w:r w:rsidRPr="00A53AD7">
        <w:rPr>
          <w:rFonts w:ascii="Times New Roman" w:hAnsi="Times New Roman"/>
          <w:b w:val="0"/>
          <w:sz w:val="24"/>
          <w:szCs w:val="24"/>
        </w:rPr>
        <w:fldChar w:fldCharType="begin"/>
      </w:r>
      <w:r w:rsidRPr="00A53AD7">
        <w:rPr>
          <w:rFonts w:ascii="Times New Roman" w:hAnsi="Times New Roman"/>
          <w:b w:val="0"/>
          <w:sz w:val="24"/>
          <w:szCs w:val="24"/>
        </w:rPr>
        <w:instrText xml:space="preserve"> SEQ Рисунок \* ARABIC </w:instrText>
      </w:r>
      <w:r w:rsidRPr="00A53AD7">
        <w:rPr>
          <w:rFonts w:ascii="Times New Roman" w:hAnsi="Times New Roman"/>
          <w:b w:val="0"/>
          <w:sz w:val="24"/>
          <w:szCs w:val="24"/>
        </w:rPr>
        <w:fldChar w:fldCharType="separate"/>
      </w:r>
      <w:r w:rsidR="005351E5" w:rsidRPr="00A53AD7">
        <w:rPr>
          <w:rFonts w:ascii="Times New Roman" w:hAnsi="Times New Roman"/>
          <w:b w:val="0"/>
          <w:noProof/>
          <w:sz w:val="24"/>
          <w:szCs w:val="24"/>
        </w:rPr>
        <w:t>90</w:t>
      </w:r>
      <w:r w:rsidRPr="00A53AD7">
        <w:rPr>
          <w:rFonts w:ascii="Times New Roman" w:hAnsi="Times New Roman"/>
          <w:b w:val="0"/>
          <w:sz w:val="24"/>
          <w:szCs w:val="24"/>
        </w:rPr>
        <w:fldChar w:fldCharType="end"/>
      </w:r>
      <w:r w:rsidRPr="00A53AD7">
        <w:rPr>
          <w:rFonts w:ascii="Times New Roman" w:hAnsi="Times New Roman"/>
          <w:b w:val="0"/>
          <w:sz w:val="24"/>
          <w:szCs w:val="24"/>
        </w:rPr>
        <w:t>. Государственный долг Архангельской области в расчете на душу населения Архангельской области за 2015 – 2019 годы, руб.*чел.</w:t>
      </w:r>
    </w:p>
    <w:p w14:paraId="0CDA9355" w14:textId="77777777" w:rsidR="00FA0F77" w:rsidRPr="00A53AD7" w:rsidRDefault="00FA0F77" w:rsidP="00FA0F77">
      <w:pPr>
        <w:pStyle w:val="1"/>
        <w:numPr>
          <w:ilvl w:val="0"/>
          <w:numId w:val="0"/>
        </w:numPr>
        <w:ind w:firstLine="851"/>
        <w:rPr>
          <w:sz w:val="16"/>
        </w:rPr>
      </w:pPr>
    </w:p>
    <w:p w14:paraId="3852E524" w14:textId="77777777" w:rsidR="00FA0F77" w:rsidRPr="00A53AD7" w:rsidRDefault="00FA0F77" w:rsidP="00FA0F77">
      <w:pPr>
        <w:pStyle w:val="1"/>
        <w:numPr>
          <w:ilvl w:val="0"/>
          <w:numId w:val="0"/>
        </w:numPr>
        <w:ind w:firstLine="851"/>
      </w:pPr>
      <w:r w:rsidRPr="00A53AD7">
        <w:t>В 2015 – 2017 годах наблюдался ежегодный рост государственного долга на 1 жителя Архангельской области на 15,5 %, на 10,3 % и на 0,7 %, соответственно, с 2018 снижение на 12,3 % и в 2019 году – снижение на 3,7 %.</w:t>
      </w:r>
    </w:p>
    <w:p w14:paraId="1D84D16A" w14:textId="55B9F45F" w:rsidR="00CF77CA" w:rsidRPr="00A53AD7" w:rsidRDefault="00061AD3" w:rsidP="00B600B8">
      <w:pPr>
        <w:pStyle w:val="10"/>
        <w:keepNext/>
        <w:keepLines/>
        <w:autoSpaceDE/>
        <w:autoSpaceDN/>
        <w:adjustRightInd/>
        <w:spacing w:before="240" w:after="120"/>
        <w:rPr>
          <w:rFonts w:ascii="Times New Roman" w:hAnsi="Times New Roman"/>
          <w:color w:val="auto"/>
          <w:sz w:val="28"/>
          <w:szCs w:val="28"/>
          <w:lang w:val="ru-RU" w:eastAsia="en-US"/>
        </w:rPr>
      </w:pPr>
      <w:bookmarkStart w:id="124" w:name="_Toc9262599"/>
      <w:bookmarkStart w:id="125" w:name="_Toc42006760"/>
      <w:r w:rsidRPr="00A53AD7">
        <w:rPr>
          <w:rFonts w:ascii="Times New Roman" w:hAnsi="Times New Roman"/>
          <w:color w:val="auto"/>
          <w:sz w:val="28"/>
          <w:szCs w:val="28"/>
          <w:lang w:val="ru-RU" w:eastAsia="en-US"/>
        </w:rPr>
        <w:t>7</w:t>
      </w:r>
      <w:r w:rsidR="00CF77CA" w:rsidRPr="00A53AD7">
        <w:rPr>
          <w:rFonts w:ascii="Times New Roman" w:hAnsi="Times New Roman"/>
          <w:color w:val="auto"/>
          <w:sz w:val="28"/>
          <w:szCs w:val="28"/>
          <w:lang w:val="ru-RU" w:eastAsia="en-US"/>
        </w:rPr>
        <w:t>. Оценка мероприятий в рамках внутреннего государственного финансового контроля и внутреннего финансового аудита</w:t>
      </w:r>
      <w:bookmarkEnd w:id="124"/>
      <w:bookmarkEnd w:id="125"/>
    </w:p>
    <w:p w14:paraId="0B629AD1"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 3 ст. 269.2 БК РФ постановлением Правительства Архангельской области от 18.02.2014 № 58-пп утвержден Порядок осуществления финансового контроля исполнительными органами государственной власти Архангельской области (далее – Порядок № 58-пп).</w:t>
      </w:r>
    </w:p>
    <w:p w14:paraId="60D9FD18"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 3 указанного порядка, внутренний финансовый контроль осуществляется контрольно-ревизионной инспекцией Архангельской области, министерством финансов Архангельской области, главными распорядителями бюджетных средств областного бюджета.</w:t>
      </w:r>
    </w:p>
    <w:p w14:paraId="25CF7243" w14:textId="71922A1D"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По запросу контрольно-счетной палаты Архангельской области главными распорядителями средств областного бюджета представлена информация об осуществлении в 2019 году мероприятий по внутреннему финансовому контролю, согласно которой за 2019 год исполнительными органами государственной власти Архангельской области проведено более 433 контрольных мероприяти</w:t>
      </w:r>
      <w:r w:rsidR="00E72CDC" w:rsidRPr="00A53AD7">
        <w:rPr>
          <w:rFonts w:ascii="Times New Roman" w:hAnsi="Times New Roman"/>
          <w:sz w:val="28"/>
          <w:szCs w:val="28"/>
        </w:rPr>
        <w:t>я</w:t>
      </w:r>
      <w:r w:rsidRPr="00A53AD7">
        <w:rPr>
          <w:rFonts w:ascii="Times New Roman" w:hAnsi="Times New Roman"/>
          <w:sz w:val="28"/>
          <w:szCs w:val="28"/>
        </w:rPr>
        <w:t xml:space="preserve"> </w:t>
      </w:r>
      <w:r w:rsidR="00E72CDC" w:rsidRPr="00A53AD7">
        <w:rPr>
          <w:rFonts w:ascii="Times New Roman" w:hAnsi="Times New Roman"/>
          <w:sz w:val="28"/>
          <w:szCs w:val="28"/>
        </w:rPr>
        <w:t>(ревиз</w:t>
      </w:r>
      <w:r w:rsidRPr="00A53AD7">
        <w:rPr>
          <w:rFonts w:ascii="Times New Roman" w:hAnsi="Times New Roman"/>
          <w:sz w:val="28"/>
          <w:szCs w:val="28"/>
        </w:rPr>
        <w:t>ий и проверок), из них:</w:t>
      </w:r>
    </w:p>
    <w:p w14:paraId="225F4770" w14:textId="77777777" w:rsidR="00CF77CA" w:rsidRPr="00A53AD7" w:rsidRDefault="00CF77CA" w:rsidP="00CA1DDD">
      <w:pPr>
        <w:numPr>
          <w:ilvl w:val="0"/>
          <w:numId w:val="26"/>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министерством ТЭК и ЖКХ Архангельской области – 133 контрольное мероприятие (в 2018 году – 130);</w:t>
      </w:r>
    </w:p>
    <w:p w14:paraId="3C445806" w14:textId="77777777" w:rsidR="00CF77CA" w:rsidRPr="00A53AD7" w:rsidRDefault="00CF77CA" w:rsidP="00CA1DDD">
      <w:pPr>
        <w:numPr>
          <w:ilvl w:val="0"/>
          <w:numId w:val="26"/>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министерством агропромышленного комплекса и торговли Архангельской области – 52 контрольных мероприятий (в 2018 году – 61).</w:t>
      </w:r>
    </w:p>
    <w:p w14:paraId="24F1AAD5" w14:textId="77777777" w:rsidR="00CF77CA" w:rsidRPr="00A53AD7" w:rsidRDefault="00CF77CA" w:rsidP="00CA1DDD">
      <w:pPr>
        <w:numPr>
          <w:ilvl w:val="0"/>
          <w:numId w:val="26"/>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контрольно-ревизионной инспекцией Архангельской области проведено 81 контрольных мероприятий (в 2018 году – 84);</w:t>
      </w:r>
    </w:p>
    <w:p w14:paraId="6633803F" w14:textId="77777777" w:rsidR="00CF77CA" w:rsidRPr="00A53AD7" w:rsidRDefault="00CF77CA" w:rsidP="00CA1DDD">
      <w:pPr>
        <w:numPr>
          <w:ilvl w:val="0"/>
          <w:numId w:val="26"/>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министерством труда, занятости и социального развития Архангельской области проведено 48 контрольных мероприятий (в 2018 году – 40).</w:t>
      </w:r>
    </w:p>
    <w:p w14:paraId="60CBED0B"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ходе проведенных ревизий и проверок выявлено нарушений на сумму более 1 257,3 млн.руб. (в 2018 году более 101,9 млн.руб.). Согласно представленной главными распорядителями информации, объем восстановленных в бюджет средств составил 107,3 млн.руб. (в 2018 году – 14,3 млн.руб.).</w:t>
      </w:r>
    </w:p>
    <w:p w14:paraId="0A519804"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Из общей суммы нарушений контрольно-ревизионной инспекцией Архангельской области за отчетный период выявлено нарушений на сумму более 881,1 млн.руб. (в 2018 году более 53,9 млн.руб.) из них: 834,0 млн.руб. – иные нарушения, 36,6 млн.руб. – неправомерные расходы, 8,4 млн.руб. нецелевое использование средств и 2,0 млн.руб. неэффективное расходование средств. Объем средств, восстановленных в областной бюджет в 2019 году составил 76,7 млн.руб. Устранено нарушений на общую сумму 615,8 млн.руб.</w:t>
      </w:r>
    </w:p>
    <w:p w14:paraId="77417CD5"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основном главными распорядителями средств областного бюджета в 2019 году проводились мероприятия финансового контроля в отношении подведомственных государственных учреждений, унитарных государственных предприятий, физических лиц, индивидуальных предпринимателей и юридических лиц являющихся получателями средств областного бюджета в 2017- 2018 годах и более ранних периодах.</w:t>
      </w:r>
    </w:p>
    <w:p w14:paraId="265EFE1A" w14:textId="77777777" w:rsidR="00CF77CA" w:rsidRPr="00A53AD7" w:rsidRDefault="00CF77CA" w:rsidP="00CF77CA">
      <w:pPr>
        <w:spacing w:after="0" w:line="240" w:lineRule="auto"/>
        <w:ind w:firstLine="851"/>
        <w:jc w:val="both"/>
        <w:rPr>
          <w:rFonts w:ascii="Times New Roman" w:hAnsi="Times New Roman"/>
          <w:sz w:val="28"/>
          <w:szCs w:val="28"/>
        </w:rPr>
      </w:pPr>
    </w:p>
    <w:p w14:paraId="2546F5B4"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Следует отметить, что отчеты об осуществлении финансового контроля по ряду органов финансового контроля на официальном сайте Правительства Архангельской области в информационно-телекоммуникационной сети «Интернет» (далее – официальный сайт) не размещены или размещены с нарушением сроков их размещения, что является нарушением п. 69 Порядка № 58-пп.</w:t>
      </w:r>
    </w:p>
    <w:p w14:paraId="2E4CAE18" w14:textId="3897528E"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Контрольно-счетная палата Архангельской области </w:t>
      </w:r>
      <w:r w:rsidR="00F60A4A" w:rsidRPr="00A53AD7">
        <w:rPr>
          <w:rFonts w:ascii="Times New Roman" w:hAnsi="Times New Roman"/>
          <w:sz w:val="28"/>
          <w:szCs w:val="28"/>
        </w:rPr>
        <w:t xml:space="preserve">полагает необходимым предложить </w:t>
      </w:r>
      <w:r w:rsidRPr="00A53AD7">
        <w:rPr>
          <w:rFonts w:ascii="Times New Roman" w:hAnsi="Times New Roman"/>
          <w:sz w:val="28"/>
          <w:szCs w:val="28"/>
        </w:rPr>
        <w:t>органам финансового контроля разместить отчеты об осуществлении финансового контроля в 2019 году, на официальном сайте Правительства Архангельской области в информационно-телекоммуникационной сети «Интернет».</w:t>
      </w:r>
    </w:p>
    <w:p w14:paraId="4EBF8EEF" w14:textId="6F43547A"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топливно</w:t>
      </w:r>
      <w:r w:rsidR="00354FFB" w:rsidRPr="00A53AD7">
        <w:rPr>
          <w:rFonts w:ascii="Times New Roman" w:hAnsi="Times New Roman"/>
          <w:sz w:val="28"/>
          <w:szCs w:val="28"/>
        </w:rPr>
        <w:t>-</w:t>
      </w:r>
      <w:r w:rsidRPr="00A53AD7">
        <w:rPr>
          <w:rFonts w:ascii="Times New Roman" w:hAnsi="Times New Roman"/>
          <w:sz w:val="28"/>
          <w:szCs w:val="28"/>
        </w:rPr>
        <w:t>энергетического комплекса Архангельской области на официальном сайте 31.01.2020 размещен Отчет об осуществлении финансового контроля министерством топливно-энергетического комплекса и жилищно-коммунального хозяйства Архангельской области в 2019 году, согласно которому количество объектов финансового контроля, в отношении которых осуществлен финансовый контроль составляет – 132 объекта, объем бюджетных средств, распоряжение которыми проконтролировано в ходе осуществления финансового контроля – 4 515,5 млн.руб., что не соответствует аналогичным показателям представленным по запросу контрольно-счетной палаты Архангельской области (исх. от 14.05.2020 от № 203/03-16/3181) и отраженных в Отчете об осуществлении финансового контроля исполнительными органами государственной власти Архангельской области размещенном на официальном сайте контрольно-ревизионной инспекцией Архангельской области. Указанный факт свидетельствует о недостоверности показателей Отчет</w:t>
      </w:r>
      <w:r w:rsidR="00354FFB" w:rsidRPr="00A53AD7">
        <w:rPr>
          <w:rFonts w:ascii="Times New Roman" w:hAnsi="Times New Roman"/>
          <w:sz w:val="28"/>
          <w:szCs w:val="28"/>
        </w:rPr>
        <w:t>а</w:t>
      </w:r>
      <w:r w:rsidRPr="00A53AD7">
        <w:rPr>
          <w:rFonts w:ascii="Times New Roman" w:hAnsi="Times New Roman"/>
          <w:sz w:val="28"/>
          <w:szCs w:val="28"/>
        </w:rPr>
        <w:t xml:space="preserve"> об осуществлении финансового контроля министерством топливно-энергетического комплекса и жилищно-коммунального хозяйства Арх</w:t>
      </w:r>
      <w:r w:rsidR="00354FFB" w:rsidRPr="00A53AD7">
        <w:rPr>
          <w:rFonts w:ascii="Times New Roman" w:hAnsi="Times New Roman"/>
          <w:sz w:val="28"/>
          <w:szCs w:val="28"/>
        </w:rPr>
        <w:t>ангельской области в 2019 году.</w:t>
      </w:r>
    </w:p>
    <w:p w14:paraId="25DB33DA"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Контрольно-счетная палата Архангельской области предлагает министерству топливно-энергетического комплекса Архангельской области внести соответствующие изменения в указанный отчет.</w:t>
      </w:r>
    </w:p>
    <w:p w14:paraId="6561018B" w14:textId="77777777" w:rsidR="00CF77CA" w:rsidRPr="00A53AD7" w:rsidRDefault="00CF77CA" w:rsidP="00CF77CA">
      <w:pPr>
        <w:spacing w:after="0" w:line="240" w:lineRule="auto"/>
        <w:ind w:firstLine="851"/>
        <w:jc w:val="both"/>
        <w:rPr>
          <w:rFonts w:ascii="Times New Roman" w:hAnsi="Times New Roman"/>
          <w:sz w:val="28"/>
          <w:szCs w:val="28"/>
        </w:rPr>
      </w:pPr>
    </w:p>
    <w:p w14:paraId="5585190C"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соответствии с п. 5 ст. 160.2-1 БК РФ постановлением Правительства Архангельской области от 24.03.2015 № 107-пп утверждены Правила осуществления внутреннего финансового контроля и внутреннего финансового аудита главными распорядителями (распорядителями) средств областного бюджета (далее – Правила № 107-пп).</w:t>
      </w:r>
    </w:p>
    <w:p w14:paraId="6E1EBC3F" w14:textId="77777777" w:rsidR="00CF77CA" w:rsidRPr="00A53AD7" w:rsidRDefault="00CF77CA" w:rsidP="00CF77CA">
      <w:pPr>
        <w:spacing w:after="0" w:line="240" w:lineRule="auto"/>
        <w:ind w:left="-142" w:firstLine="993"/>
        <w:jc w:val="both"/>
        <w:rPr>
          <w:rFonts w:ascii="Times New Roman" w:hAnsi="Times New Roman"/>
          <w:sz w:val="28"/>
          <w:szCs w:val="28"/>
        </w:rPr>
      </w:pPr>
      <w:r w:rsidRPr="00A53AD7">
        <w:rPr>
          <w:rFonts w:ascii="Times New Roman" w:hAnsi="Times New Roman"/>
          <w:sz w:val="28"/>
          <w:szCs w:val="28"/>
        </w:rPr>
        <w:t>В соответствии с п. 10 Правил № 107-пп внутренний финансовый аудит направлен на:</w:t>
      </w:r>
    </w:p>
    <w:p w14:paraId="2C28A364" w14:textId="77777777" w:rsidR="00CF77CA" w:rsidRPr="00A53AD7" w:rsidRDefault="00CF77CA" w:rsidP="00CA1DDD">
      <w:pPr>
        <w:numPr>
          <w:ilvl w:val="0"/>
          <w:numId w:val="2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оценку надежности внутреннего финансового контроля и подготовку рекомендаций по повышению его эффективности;</w:t>
      </w:r>
    </w:p>
    <w:p w14:paraId="2E10F963" w14:textId="77777777" w:rsidR="00CF77CA" w:rsidRPr="00A53AD7" w:rsidRDefault="00CF77CA" w:rsidP="00CA1DDD">
      <w:pPr>
        <w:numPr>
          <w:ilvl w:val="0"/>
          <w:numId w:val="2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подтверждение достоверности бюджетной отчетности и соответствия порядка ведения бюджетного учета методологии и стандартам бюджетного учета, установленными Министерством финансов РФ;</w:t>
      </w:r>
    </w:p>
    <w:p w14:paraId="5C3C1E6F" w14:textId="77777777" w:rsidR="00CF77CA" w:rsidRPr="00A53AD7" w:rsidRDefault="00CF77CA" w:rsidP="00CA1DDD">
      <w:pPr>
        <w:numPr>
          <w:ilvl w:val="0"/>
          <w:numId w:val="27"/>
        </w:numPr>
        <w:spacing w:after="0" w:line="240" w:lineRule="auto"/>
        <w:ind w:left="0" w:firstLine="851"/>
        <w:jc w:val="both"/>
        <w:rPr>
          <w:rFonts w:ascii="Times New Roman" w:hAnsi="Times New Roman"/>
          <w:sz w:val="28"/>
          <w:szCs w:val="28"/>
        </w:rPr>
      </w:pPr>
      <w:r w:rsidRPr="00A53AD7">
        <w:rPr>
          <w:rFonts w:ascii="Times New Roman" w:hAnsi="Times New Roman"/>
          <w:sz w:val="28"/>
          <w:szCs w:val="28"/>
        </w:rPr>
        <w:t>подготовку предложений о повышение экономности и результативности использования бюджетных средств.</w:t>
      </w:r>
    </w:p>
    <w:p w14:paraId="09686F81" w14:textId="2C4D85CE" w:rsidR="00CF77CA" w:rsidRPr="00A53AD7" w:rsidRDefault="00CF77CA" w:rsidP="00CF77CA">
      <w:pPr>
        <w:spacing w:after="0" w:line="240" w:lineRule="auto"/>
        <w:ind w:left="-142" w:firstLine="993"/>
        <w:jc w:val="both"/>
        <w:rPr>
          <w:rFonts w:ascii="Times New Roman" w:hAnsi="Times New Roman"/>
          <w:sz w:val="28"/>
          <w:szCs w:val="28"/>
        </w:rPr>
      </w:pPr>
      <w:r w:rsidRPr="00A53AD7">
        <w:rPr>
          <w:rFonts w:ascii="Times New Roman" w:hAnsi="Times New Roman"/>
          <w:sz w:val="28"/>
          <w:szCs w:val="28"/>
        </w:rPr>
        <w:t>По запросу контрольно-счетной палаты главными распорядителями средств областного бюджета представлена информация об осуществлении в 2019 году внутреннего финансового аудита. Внутренний финансовый аудит главным распорядителями осуществляется путем текущего наблюдения за должностными лицами, осуществляющими внутренние бюджетные процедуры, а также должностными лицами, осуществляющими внутренний финансовый контроль. В результате изучения представленной информации установлено:</w:t>
      </w:r>
    </w:p>
    <w:p w14:paraId="068A5FEA"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природных ресурсов и лесопромышленного комплекса Архангельской области справки о результатах внутреннего финансового аудита не оформлялись, что является нарушением п. 13 Правил № 107-пп.</w:t>
      </w:r>
    </w:p>
    <w:p w14:paraId="058E4264" w14:textId="29DC624D"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В избирательной комиссии Архангельской области внутренний финансовый аудит осуществлялся контрольно-ревизионной службой, созданной при комиссии, что является на</w:t>
      </w:r>
      <w:r w:rsidR="00D71A31" w:rsidRPr="00A53AD7">
        <w:rPr>
          <w:rFonts w:ascii="Times New Roman" w:hAnsi="Times New Roman"/>
          <w:sz w:val="28"/>
          <w:szCs w:val="28"/>
        </w:rPr>
        <w:t>рушением п. 11 Правил № 107-пп.</w:t>
      </w:r>
    </w:p>
    <w:p w14:paraId="3D95BA83"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Министерством транспорта Архангельской области внутренний финансовый контроль и внутренний финансовый аудит не осуществлялся, что является нарушением п. 5 ст. 160.2-1 БК РФ и п. 1-13 Правил № 107-пп.</w:t>
      </w:r>
    </w:p>
    <w:p w14:paraId="342118AB" w14:textId="77777777" w:rsidR="00CF77CA" w:rsidRPr="00A53AD7" w:rsidRDefault="00CF77CA" w:rsidP="00CF77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Невыполнение либо выполнение в недостаточной степени полномочий главного распорядителя бюджетных средств по осуществлению внутреннего государственного финансового контроля и внутреннего финансового аудита не способствует повышению целевого, экономного, эффективного и результативного использования бюджетных средств.</w:t>
      </w:r>
    </w:p>
    <w:p w14:paraId="4B7B4394" w14:textId="4702870F" w:rsidR="009D17FB" w:rsidRPr="00A53AD7" w:rsidRDefault="00061AD3" w:rsidP="00ED1198">
      <w:pPr>
        <w:pStyle w:val="10"/>
        <w:keepNext/>
        <w:keepLines/>
        <w:autoSpaceDE/>
        <w:autoSpaceDN/>
        <w:adjustRightInd/>
        <w:spacing w:before="240" w:after="120"/>
        <w:rPr>
          <w:rFonts w:ascii="Times New Roman" w:hAnsi="Times New Roman"/>
          <w:color w:val="auto"/>
          <w:sz w:val="28"/>
          <w:szCs w:val="28"/>
          <w:lang w:val="ru-RU" w:eastAsia="en-US"/>
        </w:rPr>
      </w:pPr>
      <w:bookmarkStart w:id="126" w:name="_Toc42006761"/>
      <w:r w:rsidRPr="00A53AD7">
        <w:rPr>
          <w:rFonts w:ascii="Times New Roman" w:hAnsi="Times New Roman"/>
          <w:color w:val="auto"/>
          <w:sz w:val="28"/>
          <w:szCs w:val="28"/>
          <w:lang w:val="ru-RU" w:eastAsia="en-US"/>
        </w:rPr>
        <w:t>8</w:t>
      </w:r>
      <w:r w:rsidR="00ED1198" w:rsidRPr="00A53AD7">
        <w:rPr>
          <w:rFonts w:ascii="Times New Roman" w:hAnsi="Times New Roman"/>
          <w:color w:val="auto"/>
          <w:sz w:val="28"/>
          <w:szCs w:val="28"/>
          <w:lang w:eastAsia="en-US"/>
        </w:rPr>
        <w:t>. Результаты внешней проверки бюджетной отчетности главных распорядителей средств областного бюджета</w:t>
      </w:r>
      <w:r w:rsidR="008A5DB3" w:rsidRPr="00A53AD7">
        <w:rPr>
          <w:rFonts w:ascii="Times New Roman" w:hAnsi="Times New Roman"/>
          <w:color w:val="auto"/>
          <w:sz w:val="28"/>
          <w:szCs w:val="28"/>
          <w:lang w:val="ru-RU" w:eastAsia="en-US"/>
        </w:rPr>
        <w:t xml:space="preserve"> за 201</w:t>
      </w:r>
      <w:r w:rsidR="00F711DA" w:rsidRPr="00A53AD7">
        <w:rPr>
          <w:rFonts w:ascii="Times New Roman" w:hAnsi="Times New Roman"/>
          <w:color w:val="auto"/>
          <w:sz w:val="28"/>
          <w:szCs w:val="28"/>
          <w:lang w:val="ru-RU" w:eastAsia="en-US"/>
        </w:rPr>
        <w:t>9</w:t>
      </w:r>
      <w:r w:rsidR="008A5DB3" w:rsidRPr="00A53AD7">
        <w:rPr>
          <w:rFonts w:ascii="Times New Roman" w:hAnsi="Times New Roman"/>
          <w:color w:val="auto"/>
          <w:sz w:val="28"/>
          <w:szCs w:val="28"/>
          <w:lang w:val="ru-RU" w:eastAsia="en-US"/>
        </w:rPr>
        <w:t xml:space="preserve"> год</w:t>
      </w:r>
      <w:bookmarkEnd w:id="126"/>
    </w:p>
    <w:p w14:paraId="70273D60" w14:textId="29E1D83D" w:rsidR="004C6ACA" w:rsidRPr="00A53AD7" w:rsidRDefault="004C6ACA" w:rsidP="004C6A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Контрольно-счетной палатой Архангельской области в соответствии со ст. 264.4 БК РФ проведена внешняя проверка бюджетной отчетности 30 главных распорядителей средств областного бюджета (главных администраторов доходов и источников финансирования дефицита бюджета) за 2019 год.</w:t>
      </w:r>
    </w:p>
    <w:p w14:paraId="2C6A8BA1" w14:textId="39A79615" w:rsidR="004C6ACA" w:rsidRPr="00A53AD7" w:rsidRDefault="004C6ACA" w:rsidP="004C6AC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Бюджетная отчетность представлена главными </w:t>
      </w:r>
      <w:r w:rsidR="00EF4735" w:rsidRPr="00A53AD7">
        <w:rPr>
          <w:rFonts w:ascii="Times New Roman" w:hAnsi="Times New Roman"/>
          <w:sz w:val="28"/>
          <w:szCs w:val="28"/>
        </w:rPr>
        <w:t>распорядителями</w:t>
      </w:r>
      <w:r w:rsidRPr="00A53AD7">
        <w:rPr>
          <w:rFonts w:ascii="Times New Roman" w:hAnsi="Times New Roman"/>
          <w:sz w:val="28"/>
          <w:szCs w:val="28"/>
        </w:rPr>
        <w:t xml:space="preserve"> бюджетных средств для проверки посредством программного комплекса «Свод-Смарт» без предоставления на бумажном носителе.</w:t>
      </w:r>
      <w:r w:rsidR="004B6EB8" w:rsidRPr="00A53AD7">
        <w:rPr>
          <w:rFonts w:ascii="Times New Roman" w:hAnsi="Times New Roman"/>
          <w:sz w:val="28"/>
          <w:szCs w:val="28"/>
        </w:rPr>
        <w:t xml:space="preserve"> При необходимости </w:t>
      </w:r>
      <w:r w:rsidR="00EF4735" w:rsidRPr="00A53AD7">
        <w:rPr>
          <w:rFonts w:ascii="Times New Roman" w:hAnsi="Times New Roman"/>
          <w:sz w:val="28"/>
          <w:szCs w:val="28"/>
        </w:rPr>
        <w:t xml:space="preserve">главными распорядителями </w:t>
      </w:r>
      <w:r w:rsidR="004B6EB8" w:rsidRPr="00A53AD7">
        <w:rPr>
          <w:rFonts w:ascii="Times New Roman" w:hAnsi="Times New Roman"/>
          <w:sz w:val="28"/>
          <w:szCs w:val="28"/>
        </w:rPr>
        <w:t>были предоставлены иные документы и материалы для проведения проверки.</w:t>
      </w:r>
    </w:p>
    <w:p w14:paraId="4D76C5EF" w14:textId="77777777" w:rsidR="00863E72" w:rsidRPr="00A53AD7" w:rsidRDefault="004C6ACA" w:rsidP="004C6ACA">
      <w:pPr>
        <w:spacing w:after="0" w:line="240" w:lineRule="auto"/>
        <w:ind w:firstLine="851"/>
        <w:jc w:val="both"/>
        <w:rPr>
          <w:rFonts w:ascii="Times New Roman" w:hAnsi="Times New Roman"/>
          <w:sz w:val="28"/>
          <w:szCs w:val="28"/>
        </w:rPr>
      </w:pPr>
      <w:r w:rsidRPr="00A53AD7">
        <w:rPr>
          <w:rFonts w:ascii="Times New Roman" w:hAnsi="Times New Roman"/>
          <w:sz w:val="28"/>
          <w:szCs w:val="28"/>
        </w:rPr>
        <w:t>Основываясь на результатах внешней проверки, контрольно-счетная палата отмечает, что сводная бюджетная и бухгалтерская отчетность главных администраторов и распорядителей средств областного бюджета в целом отвечает требованиям бюджетного законодательства и порядков составления и представления бюджетной и бухгалтерской отчетности участников бюджетного процесса, бюджетных и автономных учреждений.</w:t>
      </w:r>
    </w:p>
    <w:p w14:paraId="6C6BA0A8" w14:textId="5F9D56CD" w:rsidR="00D01C1D" w:rsidRPr="00A53AD7" w:rsidRDefault="00D01C1D" w:rsidP="00D01C1D">
      <w:pPr>
        <w:spacing w:after="0" w:line="240" w:lineRule="auto"/>
        <w:ind w:firstLine="851"/>
        <w:jc w:val="both"/>
        <w:rPr>
          <w:rFonts w:ascii="Times New Roman" w:hAnsi="Times New Roman"/>
          <w:sz w:val="28"/>
          <w:szCs w:val="28"/>
          <w:lang w:val="x-none"/>
        </w:rPr>
      </w:pPr>
      <w:r w:rsidRPr="00A53AD7">
        <w:rPr>
          <w:rFonts w:ascii="Times New Roman" w:hAnsi="Times New Roman"/>
          <w:sz w:val="28"/>
          <w:szCs w:val="28"/>
        </w:rPr>
        <w:t>Вместе с тем, в результате проверки выявлен ряд типичных нарушений, аналогичных предыдущим финансовым годам: всего установлено 11</w:t>
      </w:r>
      <w:r w:rsidR="000D6AC6" w:rsidRPr="00A53AD7">
        <w:rPr>
          <w:rFonts w:ascii="Times New Roman" w:hAnsi="Times New Roman"/>
          <w:sz w:val="28"/>
          <w:szCs w:val="28"/>
        </w:rPr>
        <w:t>5</w:t>
      </w:r>
      <w:r w:rsidRPr="00A53AD7">
        <w:rPr>
          <w:rFonts w:ascii="Times New Roman" w:hAnsi="Times New Roman"/>
          <w:sz w:val="28"/>
          <w:szCs w:val="28"/>
        </w:rPr>
        <w:t xml:space="preserve"> нарушений, из них устранено в ходе контрольного мероприятия </w:t>
      </w:r>
      <w:r w:rsidR="000D6AC6" w:rsidRPr="00A53AD7">
        <w:rPr>
          <w:rFonts w:ascii="Times New Roman" w:hAnsi="Times New Roman"/>
          <w:sz w:val="28"/>
          <w:szCs w:val="28"/>
        </w:rPr>
        <w:t>50</w:t>
      </w:r>
      <w:r w:rsidRPr="00A53AD7">
        <w:rPr>
          <w:rFonts w:ascii="Times New Roman" w:hAnsi="Times New Roman"/>
          <w:sz w:val="28"/>
          <w:szCs w:val="28"/>
        </w:rPr>
        <w:t xml:space="preserve"> нарушени</w:t>
      </w:r>
      <w:r w:rsidR="000D6AC6" w:rsidRPr="00A53AD7">
        <w:rPr>
          <w:rFonts w:ascii="Times New Roman" w:hAnsi="Times New Roman"/>
          <w:sz w:val="28"/>
          <w:szCs w:val="28"/>
        </w:rPr>
        <w:t>й</w:t>
      </w:r>
      <w:r w:rsidRPr="00A53AD7">
        <w:rPr>
          <w:rFonts w:ascii="Times New Roman" w:hAnsi="Times New Roman"/>
          <w:sz w:val="28"/>
          <w:szCs w:val="28"/>
        </w:rPr>
        <w:t xml:space="preserve">, не устранено </w:t>
      </w:r>
      <w:r w:rsidR="000D6AC6" w:rsidRPr="00A53AD7">
        <w:rPr>
          <w:rFonts w:ascii="Times New Roman" w:hAnsi="Times New Roman"/>
          <w:sz w:val="28"/>
          <w:szCs w:val="28"/>
        </w:rPr>
        <w:t>65 нарушений</w:t>
      </w:r>
      <w:r w:rsidRPr="00A53AD7">
        <w:rPr>
          <w:rFonts w:ascii="Times New Roman" w:hAnsi="Times New Roman"/>
          <w:sz w:val="28"/>
          <w:szCs w:val="28"/>
        </w:rPr>
        <w:t xml:space="preserve"> (по результатам внешней проверки отчетности главных распорядителей за 2018 год установлено 196 нарушений, из которых устранено 6</w:t>
      </w:r>
      <w:r w:rsidR="00AD5C05" w:rsidRPr="00A53AD7">
        <w:rPr>
          <w:rFonts w:ascii="Times New Roman" w:hAnsi="Times New Roman"/>
          <w:sz w:val="28"/>
          <w:szCs w:val="28"/>
        </w:rPr>
        <w:t>8</w:t>
      </w:r>
      <w:r w:rsidRPr="00A53AD7">
        <w:rPr>
          <w:rFonts w:ascii="Times New Roman" w:hAnsi="Times New Roman"/>
          <w:sz w:val="28"/>
          <w:szCs w:val="28"/>
        </w:rPr>
        <w:t xml:space="preserve"> нарушений, не устранено 1</w:t>
      </w:r>
      <w:r w:rsidR="00AD5C05" w:rsidRPr="00A53AD7">
        <w:rPr>
          <w:rFonts w:ascii="Times New Roman" w:hAnsi="Times New Roman"/>
          <w:sz w:val="28"/>
          <w:szCs w:val="28"/>
        </w:rPr>
        <w:t>28</w:t>
      </w:r>
      <w:r w:rsidRPr="00A53AD7">
        <w:rPr>
          <w:rFonts w:ascii="Times New Roman" w:hAnsi="Times New Roman"/>
          <w:sz w:val="28"/>
          <w:szCs w:val="28"/>
        </w:rPr>
        <w:t xml:space="preserve"> нарушений).</w:t>
      </w:r>
    </w:p>
    <w:p w14:paraId="389C1D8C" w14:textId="2340A882" w:rsidR="007075D6" w:rsidRPr="00A53AD7" w:rsidRDefault="007075D6" w:rsidP="004C6AC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Таким образом, качество бюджетной и бухгалтерской отчетности </w:t>
      </w:r>
      <w:r w:rsidR="00863E72" w:rsidRPr="00A53AD7">
        <w:rPr>
          <w:rFonts w:ascii="Times New Roman" w:hAnsi="Times New Roman"/>
          <w:sz w:val="28"/>
          <w:szCs w:val="28"/>
        </w:rPr>
        <w:t>главных распорядителей за 2019 год существенно улучшилось.</w:t>
      </w:r>
    </w:p>
    <w:p w14:paraId="115A6234" w14:textId="45F80807" w:rsidR="00321805" w:rsidRPr="00A53AD7" w:rsidRDefault="00321805" w:rsidP="004C6ACA">
      <w:pPr>
        <w:spacing w:after="0" w:line="240" w:lineRule="auto"/>
        <w:ind w:firstLine="851"/>
        <w:jc w:val="both"/>
        <w:rPr>
          <w:rFonts w:ascii="Times New Roman" w:hAnsi="Times New Roman"/>
          <w:sz w:val="28"/>
          <w:szCs w:val="28"/>
        </w:rPr>
      </w:pPr>
      <w:r w:rsidRPr="00A53AD7">
        <w:rPr>
          <w:rFonts w:ascii="Times New Roman" w:hAnsi="Times New Roman"/>
          <w:sz w:val="28"/>
          <w:szCs w:val="28"/>
        </w:rPr>
        <w:t xml:space="preserve">Из общего количества нарушений </w:t>
      </w:r>
      <w:r w:rsidR="00164689" w:rsidRPr="00A53AD7">
        <w:rPr>
          <w:rFonts w:ascii="Times New Roman" w:hAnsi="Times New Roman"/>
          <w:sz w:val="28"/>
          <w:szCs w:val="28"/>
        </w:rPr>
        <w:t xml:space="preserve">составления отчетности за 2019 год </w:t>
      </w:r>
      <w:r w:rsidRPr="00A53AD7">
        <w:rPr>
          <w:rFonts w:ascii="Times New Roman" w:hAnsi="Times New Roman"/>
          <w:sz w:val="28"/>
          <w:szCs w:val="28"/>
        </w:rPr>
        <w:t>ус</w:t>
      </w:r>
      <w:r w:rsidR="006A2E2B" w:rsidRPr="00A53AD7">
        <w:rPr>
          <w:rFonts w:ascii="Times New Roman" w:hAnsi="Times New Roman"/>
          <w:sz w:val="28"/>
          <w:szCs w:val="28"/>
        </w:rPr>
        <w:t>тановлены:</w:t>
      </w:r>
    </w:p>
    <w:p w14:paraId="302FB11B" w14:textId="0234F6D5" w:rsidR="004C6ACA" w:rsidRPr="00A53AD7" w:rsidRDefault="004C6ACA" w:rsidP="004C6ACA">
      <w:pPr>
        <w:numPr>
          <w:ilvl w:val="0"/>
          <w:numId w:val="11"/>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Нарушени</w:t>
      </w:r>
      <w:r w:rsidR="006A2E2B" w:rsidRPr="00A53AD7">
        <w:rPr>
          <w:rFonts w:ascii="Times New Roman" w:eastAsia="Times New Roman" w:hAnsi="Times New Roman"/>
          <w:sz w:val="28"/>
          <w:szCs w:val="28"/>
          <w:lang w:eastAsia="ru-RU"/>
        </w:rPr>
        <w:t>я</w:t>
      </w:r>
      <w:r w:rsidRPr="00A53AD7">
        <w:rPr>
          <w:rFonts w:ascii="Times New Roman" w:eastAsia="Times New Roman" w:hAnsi="Times New Roman"/>
          <w:sz w:val="28"/>
          <w:szCs w:val="28"/>
          <w:lang w:eastAsia="ru-RU"/>
        </w:rPr>
        <w:t xml:space="preserve"> Порядка предоставления информации государственным (муниципальным) учреждением, ее размещения на официальном сайте в сети Интернет и ведения указанного сайта, утвержденного Приказом Минфина Р</w:t>
      </w:r>
      <w:r w:rsidR="00D06EC4" w:rsidRPr="00A53AD7">
        <w:rPr>
          <w:rFonts w:ascii="Times New Roman" w:eastAsia="Times New Roman" w:hAnsi="Times New Roman"/>
          <w:sz w:val="28"/>
          <w:szCs w:val="28"/>
          <w:lang w:eastAsia="ru-RU"/>
        </w:rPr>
        <w:t>оссии</w:t>
      </w:r>
      <w:r w:rsidRPr="00A53AD7">
        <w:rPr>
          <w:rFonts w:ascii="Times New Roman" w:eastAsia="Times New Roman" w:hAnsi="Times New Roman"/>
          <w:sz w:val="28"/>
          <w:szCs w:val="28"/>
          <w:lang w:eastAsia="ru-RU"/>
        </w:rPr>
        <w:t xml:space="preserve"> от 21.07.2011 № 86н (далее – Порядок № 86н).</w:t>
      </w:r>
    </w:p>
    <w:p w14:paraId="30AA20AB" w14:textId="59DDC8CE" w:rsidR="004C6ACA" w:rsidRPr="00A53AD7" w:rsidRDefault="004C6ACA" w:rsidP="004C6ACA">
      <w:pPr>
        <w:spacing w:after="0" w:line="240" w:lineRule="auto"/>
        <w:ind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В частности, </w:t>
      </w:r>
      <w:r w:rsidR="00D06EC4" w:rsidRPr="00A53AD7">
        <w:rPr>
          <w:rFonts w:ascii="Times New Roman" w:eastAsia="Times New Roman" w:hAnsi="Times New Roman"/>
          <w:sz w:val="28"/>
          <w:szCs w:val="28"/>
          <w:lang w:eastAsia="ru-RU"/>
        </w:rPr>
        <w:t>отдельными</w:t>
      </w:r>
      <w:r w:rsidRPr="00A53AD7">
        <w:rPr>
          <w:rFonts w:ascii="Times New Roman" w:eastAsia="Times New Roman" w:hAnsi="Times New Roman"/>
          <w:sz w:val="28"/>
          <w:szCs w:val="28"/>
          <w:lang w:eastAsia="ru-RU"/>
        </w:rPr>
        <w:t xml:space="preserve"> государственных учреждений не выполнены в полном объеме требования ч. 3.3 ст. 32 Федерального закона от 12.01.1996 № 7-ФЗ «О некоммерческих организациях» в части обеспечения открытости и доступности документов о своей деятельности. Информация в электронном структурированном виде и в форме электронных образов документов на бумажном носителе государственными учреждениями размещаются на официальном сайте </w:t>
      </w:r>
      <w:hyperlink r:id="rId146" w:history="1">
        <w:r w:rsidRPr="00A53AD7">
          <w:rPr>
            <w:rFonts w:ascii="Times New Roman" w:eastAsia="Times New Roman" w:hAnsi="Times New Roman"/>
            <w:sz w:val="28"/>
            <w:szCs w:val="28"/>
            <w:u w:val="single"/>
            <w:lang w:eastAsia="ru-RU"/>
          </w:rPr>
          <w:t>www.bus.gov.ru</w:t>
        </w:r>
      </w:hyperlink>
      <w:r w:rsidRPr="00A53AD7">
        <w:rPr>
          <w:rFonts w:ascii="Times New Roman" w:eastAsia="Times New Roman" w:hAnsi="Times New Roman"/>
          <w:sz w:val="28"/>
          <w:szCs w:val="28"/>
          <w:lang w:eastAsia="ru-RU"/>
        </w:rPr>
        <w:t xml:space="preserve"> с нарушениями требований Порядка № 86н. Наиболее часто не в полном объеме и несвоевременно размещается информация о принятых новых и (или) внесенных изменениях в план финансово-хозяйственной деятельности государственного учреждения, об операциях с целевыми средствами из бюджета и в учредительные документы учреждений. Электронные копии документов размещаются без заполнения соответствующих реквизитов (отсутствуют подписи руководителя, главного бухгалтера, исполнителей, документы не утверждены учредителем, отсутствуют оттиски печати).</w:t>
      </w:r>
    </w:p>
    <w:p w14:paraId="09B3FB05" w14:textId="7A2F620A" w:rsidR="004C6ACA" w:rsidRPr="00A53AD7" w:rsidRDefault="004C6ACA" w:rsidP="004C6ACA">
      <w:pPr>
        <w:pStyle w:val="a8"/>
        <w:numPr>
          <w:ilvl w:val="0"/>
          <w:numId w:val="11"/>
        </w:numPr>
        <w:ind w:left="0" w:firstLine="851"/>
        <w:jc w:val="both"/>
        <w:rPr>
          <w:sz w:val="28"/>
          <w:szCs w:val="28"/>
        </w:rPr>
      </w:pPr>
      <w:r w:rsidRPr="00A53AD7">
        <w:rPr>
          <w:sz w:val="28"/>
          <w:szCs w:val="28"/>
        </w:rPr>
        <w:t>Нарушени</w:t>
      </w:r>
      <w:r w:rsidR="006A2E2B" w:rsidRPr="00A53AD7">
        <w:rPr>
          <w:sz w:val="28"/>
          <w:szCs w:val="28"/>
        </w:rPr>
        <w:t>я</w:t>
      </w:r>
      <w:r w:rsidRPr="00A53AD7">
        <w:rPr>
          <w:sz w:val="28"/>
          <w:szCs w:val="28"/>
        </w:rPr>
        <w:t xml:space="preserve"> общих требований к составлению бюджетной отчетности главных распорядителей средств областного бюджета и бухгалтерской отчетности государственных бюджетных и автономных учреждений. В основном, указанные нарушения касаются составления Пояснительной записки (ф. 0503160 и ф. 0503760), а также приложений к ним. </w:t>
      </w:r>
    </w:p>
    <w:p w14:paraId="58B19973" w14:textId="0AFE7680" w:rsidR="004C6ACA" w:rsidRPr="00A53AD7" w:rsidRDefault="00EA0BE1" w:rsidP="004C6ACA">
      <w:pPr>
        <w:pStyle w:val="a8"/>
        <w:ind w:left="0" w:firstLine="851"/>
        <w:jc w:val="both"/>
        <w:rPr>
          <w:sz w:val="28"/>
          <w:szCs w:val="28"/>
        </w:rPr>
      </w:pPr>
      <w:r w:rsidRPr="00A53AD7">
        <w:rPr>
          <w:sz w:val="28"/>
          <w:szCs w:val="28"/>
        </w:rPr>
        <w:t>Значительное</w:t>
      </w:r>
      <w:r w:rsidR="004C6ACA" w:rsidRPr="00A53AD7">
        <w:rPr>
          <w:sz w:val="28"/>
          <w:szCs w:val="28"/>
        </w:rPr>
        <w:t xml:space="preserve"> количество нарушений по приложениям к Пояснительной записке установлено по Сведениям об исполнении бюджета (ф. 0503164), в части раскрытия причин отклонений от планового процента исполнения как по доходам, так и по расходам, в том числе и текстовой части Пояснительной записки.</w:t>
      </w:r>
    </w:p>
    <w:p w14:paraId="006F6A16" w14:textId="0D72DBEB" w:rsidR="00AD5C05" w:rsidRPr="00A53AD7" w:rsidRDefault="00AD5C05" w:rsidP="00AD5C05">
      <w:pPr>
        <w:pStyle w:val="a8"/>
        <w:ind w:left="0" w:firstLine="851"/>
        <w:jc w:val="both"/>
        <w:rPr>
          <w:sz w:val="28"/>
          <w:szCs w:val="28"/>
        </w:rPr>
      </w:pPr>
      <w:r w:rsidRPr="00A53AD7">
        <w:rPr>
          <w:sz w:val="28"/>
          <w:szCs w:val="28"/>
        </w:rPr>
        <w:t>Министерством строительства и архитектуры Архангельской области в составе отчетности не представлен</w:t>
      </w:r>
      <w:r w:rsidR="00E83D30" w:rsidRPr="00A53AD7">
        <w:rPr>
          <w:sz w:val="28"/>
          <w:szCs w:val="28"/>
        </w:rPr>
        <w:t>а</w:t>
      </w:r>
      <w:r w:rsidRPr="00A53AD7">
        <w:rPr>
          <w:sz w:val="28"/>
          <w:szCs w:val="28"/>
        </w:rPr>
        <w:t xml:space="preserve"> сводн</w:t>
      </w:r>
      <w:r w:rsidR="00E83D30" w:rsidRPr="00A53AD7">
        <w:rPr>
          <w:sz w:val="28"/>
          <w:szCs w:val="28"/>
        </w:rPr>
        <w:t>ая</w:t>
      </w:r>
      <w:r w:rsidRPr="00A53AD7">
        <w:rPr>
          <w:sz w:val="28"/>
          <w:szCs w:val="28"/>
        </w:rPr>
        <w:t xml:space="preserve"> Пояснительн</w:t>
      </w:r>
      <w:r w:rsidR="00E83D30" w:rsidRPr="00A53AD7">
        <w:rPr>
          <w:sz w:val="28"/>
          <w:szCs w:val="28"/>
        </w:rPr>
        <w:t>ая</w:t>
      </w:r>
      <w:r w:rsidRPr="00A53AD7">
        <w:rPr>
          <w:sz w:val="28"/>
          <w:szCs w:val="28"/>
        </w:rPr>
        <w:t xml:space="preserve"> записк</w:t>
      </w:r>
      <w:r w:rsidR="00E83D30" w:rsidRPr="00A53AD7">
        <w:rPr>
          <w:sz w:val="28"/>
          <w:szCs w:val="28"/>
        </w:rPr>
        <w:t>а</w:t>
      </w:r>
      <w:r w:rsidRPr="00A53AD7">
        <w:rPr>
          <w:sz w:val="28"/>
          <w:szCs w:val="28"/>
        </w:rPr>
        <w:t xml:space="preserve"> к </w:t>
      </w:r>
      <w:r w:rsidR="00E83D30" w:rsidRPr="00A53AD7">
        <w:rPr>
          <w:sz w:val="28"/>
          <w:szCs w:val="28"/>
        </w:rPr>
        <w:t>б</w:t>
      </w:r>
      <w:r w:rsidRPr="00A53AD7">
        <w:rPr>
          <w:sz w:val="28"/>
          <w:szCs w:val="28"/>
        </w:rPr>
        <w:t>алансу учреждения (ф. 0503760).</w:t>
      </w:r>
    </w:p>
    <w:p w14:paraId="3058B82E" w14:textId="77777777" w:rsidR="004C6ACA" w:rsidRPr="00A53AD7" w:rsidRDefault="004C6ACA" w:rsidP="004C6ACA">
      <w:pPr>
        <w:pStyle w:val="a8"/>
        <w:numPr>
          <w:ilvl w:val="0"/>
          <w:numId w:val="11"/>
        </w:numPr>
        <w:ind w:left="0" w:firstLine="851"/>
        <w:jc w:val="both"/>
        <w:rPr>
          <w:sz w:val="28"/>
          <w:szCs w:val="28"/>
        </w:rPr>
      </w:pPr>
      <w:r w:rsidRPr="00A53AD7">
        <w:rPr>
          <w:sz w:val="28"/>
          <w:szCs w:val="28"/>
        </w:rPr>
        <w:t>Нарушения в части достоверности информации, отраженной в бюджетной и бухгалтерской отчетности установлено по:</w:t>
      </w:r>
    </w:p>
    <w:p w14:paraId="569E89A9" w14:textId="3757E3E6" w:rsidR="004C6ACA" w:rsidRPr="00A53AD7" w:rsidRDefault="004C6ACA" w:rsidP="004C6ACA">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w:t>
      </w:r>
      <w:r w:rsidR="00DD5C91" w:rsidRPr="00A53AD7">
        <w:rPr>
          <w:rFonts w:ascii="Times New Roman" w:eastAsia="Times New Roman" w:hAnsi="Times New Roman"/>
          <w:sz w:val="28"/>
          <w:szCs w:val="28"/>
          <w:lang w:eastAsia="ru-RU"/>
        </w:rPr>
        <w:t>ом</w:t>
      </w:r>
      <w:r w:rsidRPr="00A53AD7">
        <w:rPr>
          <w:rFonts w:ascii="Times New Roman" w:eastAsia="Times New Roman" w:hAnsi="Times New Roman"/>
          <w:sz w:val="28"/>
          <w:szCs w:val="28"/>
          <w:lang w:eastAsia="ru-RU"/>
        </w:rPr>
        <w:t xml:space="preserve"> транспорта Архангельской области в Сведениях о вложениях в объекты недвижимого имущества, объектах незавершенного строительства (ф. 0503190) на 01.01.2020 по двум объектам «Строительство м/п через р.</w:t>
      </w:r>
      <w:r w:rsidR="00D319B9" w:rsidRPr="00A53AD7">
        <w:rPr>
          <w:rFonts w:ascii="Times New Roman" w:eastAsia="Times New Roman" w:hAnsi="Times New Roman"/>
          <w:sz w:val="28"/>
          <w:szCs w:val="28"/>
          <w:lang w:eastAsia="ru-RU"/>
        </w:rPr>
        <w:t xml:space="preserve"> </w:t>
      </w:r>
      <w:r w:rsidRPr="00A53AD7">
        <w:rPr>
          <w:rFonts w:ascii="Times New Roman" w:eastAsia="Times New Roman" w:hAnsi="Times New Roman"/>
          <w:sz w:val="28"/>
          <w:szCs w:val="28"/>
          <w:lang w:eastAsia="ru-RU"/>
        </w:rPr>
        <w:t>Кянда на а/д Северодвинск-Онега на участке Тамица-Кянда. Онежский район» и «Строительство а/д Усть-Вага-Ядриха на участке км 200-ем 215. Красноборский район» отражен статус объекта - «строительство объекта приостановлено без консервации» и одновременно код целевой функции объекта капитальных вложений, определенной учреждением по результатам оценки технического состояния объектов капитальных вложений отражено – «завершение строительства (реконструкции, технического перевооружения)».</w:t>
      </w:r>
    </w:p>
    <w:p w14:paraId="4B035228" w14:textId="51306E70" w:rsidR="00AD5C05" w:rsidRPr="00A53AD7" w:rsidRDefault="00AD5C05" w:rsidP="00AD5C05">
      <w:pPr>
        <w:pStyle w:val="a8"/>
        <w:ind w:left="0" w:firstLine="851"/>
        <w:jc w:val="both"/>
        <w:rPr>
          <w:sz w:val="28"/>
          <w:szCs w:val="28"/>
        </w:rPr>
      </w:pPr>
      <w:r w:rsidRPr="00A53AD7">
        <w:rPr>
          <w:sz w:val="28"/>
          <w:szCs w:val="28"/>
        </w:rPr>
        <w:t>В сводном Балансе государственного (муниципального) учреждения (ф. 0503730) на 01.01.2019 по «приносящ</w:t>
      </w:r>
      <w:r w:rsidR="00FB1DB0" w:rsidRPr="00A53AD7">
        <w:rPr>
          <w:sz w:val="28"/>
          <w:szCs w:val="28"/>
        </w:rPr>
        <w:t>ей</w:t>
      </w:r>
      <w:r w:rsidRPr="00A53AD7">
        <w:rPr>
          <w:sz w:val="28"/>
          <w:szCs w:val="28"/>
        </w:rPr>
        <w:t xml:space="preserve"> доход деятельност</w:t>
      </w:r>
      <w:r w:rsidR="00FB1DB0" w:rsidRPr="00A53AD7">
        <w:rPr>
          <w:sz w:val="28"/>
          <w:szCs w:val="28"/>
        </w:rPr>
        <w:t>и</w:t>
      </w:r>
      <w:r w:rsidRPr="00A53AD7">
        <w:rPr>
          <w:sz w:val="28"/>
          <w:szCs w:val="28"/>
        </w:rPr>
        <w:t xml:space="preserve">» не отражена </w:t>
      </w:r>
      <w:r w:rsidR="00B53EE0" w:rsidRPr="00A53AD7">
        <w:rPr>
          <w:sz w:val="28"/>
          <w:szCs w:val="28"/>
        </w:rPr>
        <w:t xml:space="preserve">долгосрочная </w:t>
      </w:r>
      <w:r w:rsidRPr="00A53AD7">
        <w:rPr>
          <w:sz w:val="28"/>
          <w:szCs w:val="28"/>
        </w:rPr>
        <w:t>дебиторская задолженность по доходам (020500000, 020900000) на начало отчетного периода.</w:t>
      </w:r>
    </w:p>
    <w:p w14:paraId="59739E7A" w14:textId="1D0536E5" w:rsidR="00AD5C05" w:rsidRPr="00A53AD7" w:rsidRDefault="00AD5C05" w:rsidP="00AD5C05">
      <w:pPr>
        <w:pStyle w:val="a8"/>
        <w:ind w:left="0" w:firstLine="851"/>
        <w:jc w:val="both"/>
        <w:rPr>
          <w:sz w:val="28"/>
          <w:szCs w:val="28"/>
        </w:rPr>
      </w:pPr>
      <w:r w:rsidRPr="00A53AD7">
        <w:rPr>
          <w:sz w:val="28"/>
          <w:szCs w:val="28"/>
        </w:rPr>
        <w:t xml:space="preserve">В сводных Сведениях по дебиторской и кредиторской задолженности учреждения (ф. 0503769) вид деятельности (вид финансового обеспечения) – «собственные доходы учреждения» на начало отчетного периода по виду задолженности «дебиторская» (код БК 0409 0000000000 120 2 205 21 000) не отражена </w:t>
      </w:r>
      <w:r w:rsidR="00B53EE0" w:rsidRPr="00A53AD7">
        <w:rPr>
          <w:sz w:val="28"/>
          <w:szCs w:val="28"/>
        </w:rPr>
        <w:t xml:space="preserve">долгосрочная </w:t>
      </w:r>
      <w:r w:rsidRPr="00A53AD7">
        <w:rPr>
          <w:sz w:val="28"/>
          <w:szCs w:val="28"/>
        </w:rPr>
        <w:t>дебиторская задолженность по доходам (020500000, 020900000) на начало отчетного периода.</w:t>
      </w:r>
    </w:p>
    <w:p w14:paraId="6A62B562" w14:textId="7F13EEAF" w:rsidR="004C6ACA" w:rsidRPr="00A53AD7" w:rsidRDefault="004C6ACA" w:rsidP="00031E74">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министерств</w:t>
      </w:r>
      <w:r w:rsidR="00031E74" w:rsidRPr="00A53AD7">
        <w:rPr>
          <w:rFonts w:ascii="Times New Roman" w:eastAsia="Times New Roman" w:hAnsi="Times New Roman"/>
          <w:sz w:val="28"/>
          <w:szCs w:val="28"/>
          <w:lang w:eastAsia="ru-RU"/>
        </w:rPr>
        <w:t>ом</w:t>
      </w:r>
      <w:r w:rsidRPr="00A53AD7">
        <w:rPr>
          <w:rFonts w:ascii="Times New Roman" w:eastAsia="Times New Roman" w:hAnsi="Times New Roman"/>
          <w:sz w:val="28"/>
          <w:szCs w:val="28"/>
          <w:lang w:eastAsia="ru-RU"/>
        </w:rPr>
        <w:t xml:space="preserve"> связи и информационных технологий Архангельской области в Сведениях по дебиторской и кредиторской задолженности (ф. 0503169) не отражена просроченная кредиторская задолженность при отсутствии ее изменений в течение 2019 года</w:t>
      </w:r>
      <w:r w:rsidR="002F10DA" w:rsidRPr="00A53AD7">
        <w:rPr>
          <w:rFonts w:ascii="Times New Roman" w:eastAsia="Times New Roman" w:hAnsi="Times New Roman"/>
          <w:sz w:val="28"/>
          <w:szCs w:val="28"/>
          <w:lang w:eastAsia="ru-RU"/>
        </w:rPr>
        <w:t>;</w:t>
      </w:r>
    </w:p>
    <w:p w14:paraId="5E4FA296" w14:textId="0A7618C6" w:rsidR="00FB1DB0" w:rsidRPr="00A53AD7" w:rsidRDefault="000D5C2F" w:rsidP="00E83D30">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w:t>
      </w:r>
      <w:r w:rsidR="00FB1DB0" w:rsidRPr="00A53AD7">
        <w:rPr>
          <w:rFonts w:ascii="Times New Roman" w:eastAsia="Times New Roman" w:hAnsi="Times New Roman"/>
          <w:sz w:val="28"/>
          <w:szCs w:val="28"/>
          <w:lang w:eastAsia="ru-RU"/>
        </w:rPr>
        <w:t xml:space="preserve">лановые показатели Отчета об исполнении учреждением плана его финансово-хозяйственной деятельности (ф. 0503737) государственных учреждений подведомственных министерству образования и науки Архангельской области не соответствуют аналогичным показателям Планов финансово хозяйственной деятельности государственных учреждений, размещенных на официальном сайте </w:t>
      </w:r>
      <w:hyperlink r:id="rId147" w:history="1">
        <w:r w:rsidR="00FB1DB0" w:rsidRPr="00A53AD7">
          <w:rPr>
            <w:rFonts w:ascii="Times New Roman" w:eastAsia="Times New Roman" w:hAnsi="Times New Roman"/>
            <w:sz w:val="28"/>
            <w:szCs w:val="28"/>
            <w:lang w:eastAsia="ru-RU"/>
          </w:rPr>
          <w:t>www.bus.gov.ru</w:t>
        </w:r>
      </w:hyperlink>
      <w:r w:rsidR="00FB1DB0" w:rsidRPr="00A53AD7">
        <w:rPr>
          <w:rFonts w:ascii="Times New Roman" w:eastAsia="Times New Roman" w:hAnsi="Times New Roman"/>
          <w:sz w:val="28"/>
          <w:szCs w:val="28"/>
          <w:lang w:eastAsia="ru-RU"/>
        </w:rPr>
        <w:t>.</w:t>
      </w:r>
    </w:p>
    <w:p w14:paraId="07E76D62" w14:textId="3387C7A7" w:rsidR="004C6ACA" w:rsidRPr="00A53AD7" w:rsidRDefault="004C6ACA" w:rsidP="004C6ACA">
      <w:pPr>
        <w:pStyle w:val="a8"/>
        <w:numPr>
          <w:ilvl w:val="0"/>
          <w:numId w:val="8"/>
        </w:numPr>
        <w:ind w:left="0" w:firstLine="709"/>
        <w:jc w:val="both"/>
        <w:rPr>
          <w:sz w:val="28"/>
          <w:szCs w:val="28"/>
        </w:rPr>
      </w:pPr>
      <w:r w:rsidRPr="00A53AD7">
        <w:rPr>
          <w:sz w:val="28"/>
          <w:szCs w:val="28"/>
        </w:rPr>
        <w:t xml:space="preserve">ГБУ АО «Служба спасения им. И.А. Поливаного» подведомственного агентству государственной противопожарной службы и гражданской защиты Архангельской области в </w:t>
      </w:r>
      <w:r w:rsidRPr="00A53AD7">
        <w:rPr>
          <w:bCs/>
          <w:sz w:val="28"/>
          <w:szCs w:val="28"/>
        </w:rPr>
        <w:t>Сведениях по дебиторской и кредиторской задолженности учреждения (</w:t>
      </w:r>
      <w:r w:rsidRPr="00A53AD7">
        <w:rPr>
          <w:sz w:val="28"/>
          <w:szCs w:val="28"/>
        </w:rPr>
        <w:t xml:space="preserve">ф. 0503769) не отражена долгосрочная дебиторская задолженность по виду финансового обеспечения «Собственные доходы учреждения» на 01.01.2020 по счету 0705 </w:t>
      </w:r>
      <w:r w:rsidR="005C355C" w:rsidRPr="00A53AD7">
        <w:rPr>
          <w:sz w:val="28"/>
          <w:szCs w:val="28"/>
        </w:rPr>
        <w:t>0000000000 140 2 209 45.</w:t>
      </w:r>
    </w:p>
    <w:p w14:paraId="1CE1C5D0" w14:textId="5D748599" w:rsidR="00FB1DB0" w:rsidRPr="00A53AD7" w:rsidRDefault="00FB1DB0" w:rsidP="00FB1DB0">
      <w:pPr>
        <w:pStyle w:val="a8"/>
        <w:numPr>
          <w:ilvl w:val="0"/>
          <w:numId w:val="8"/>
        </w:numPr>
        <w:ind w:left="0" w:firstLine="851"/>
        <w:jc w:val="both"/>
        <w:rPr>
          <w:sz w:val="28"/>
          <w:szCs w:val="28"/>
        </w:rPr>
      </w:pPr>
      <w:r w:rsidRPr="00A53AD7">
        <w:rPr>
          <w:sz w:val="28"/>
          <w:szCs w:val="28"/>
        </w:rPr>
        <w:t xml:space="preserve">ГБУ АО «Вельская райСББЖ» и ГБУ АО «Северодвинская горСББЖ» подведомственным инспекции по ветеринарному надзору Архангельской области в </w:t>
      </w:r>
      <w:r w:rsidRPr="00A53AD7">
        <w:rPr>
          <w:bCs/>
          <w:sz w:val="28"/>
          <w:szCs w:val="28"/>
        </w:rPr>
        <w:t>Сведениях по дебиторской и кредиторской задолженности учреждения (</w:t>
      </w:r>
      <w:r w:rsidRPr="00A53AD7">
        <w:rPr>
          <w:sz w:val="28"/>
          <w:szCs w:val="28"/>
        </w:rPr>
        <w:t>ф. 0503769) не отражена просроченная дебиторск</w:t>
      </w:r>
      <w:r w:rsidR="00154602" w:rsidRPr="00A53AD7">
        <w:rPr>
          <w:sz w:val="28"/>
          <w:szCs w:val="28"/>
        </w:rPr>
        <w:t>ая</w:t>
      </w:r>
      <w:r w:rsidRPr="00A53AD7">
        <w:rPr>
          <w:sz w:val="28"/>
          <w:szCs w:val="28"/>
        </w:rPr>
        <w:t xml:space="preserve"> задолженност</w:t>
      </w:r>
      <w:r w:rsidR="00154602" w:rsidRPr="00A53AD7">
        <w:rPr>
          <w:sz w:val="28"/>
          <w:szCs w:val="28"/>
        </w:rPr>
        <w:t>ь</w:t>
      </w:r>
      <w:r w:rsidRPr="00A53AD7">
        <w:rPr>
          <w:sz w:val="28"/>
          <w:szCs w:val="28"/>
        </w:rPr>
        <w:t xml:space="preserve"> по счет</w:t>
      </w:r>
      <w:r w:rsidR="00154602" w:rsidRPr="00A53AD7">
        <w:rPr>
          <w:sz w:val="28"/>
          <w:szCs w:val="28"/>
        </w:rPr>
        <w:t>ам</w:t>
      </w:r>
      <w:r w:rsidRPr="00A53AD7">
        <w:rPr>
          <w:sz w:val="28"/>
          <w:szCs w:val="28"/>
        </w:rPr>
        <w:t xml:space="preserve"> 0405000000000024420622000 </w:t>
      </w:r>
      <w:r w:rsidR="00154602" w:rsidRPr="00A53AD7">
        <w:rPr>
          <w:sz w:val="28"/>
          <w:szCs w:val="28"/>
        </w:rPr>
        <w:t>и</w:t>
      </w:r>
      <w:r w:rsidRPr="00A53AD7">
        <w:rPr>
          <w:sz w:val="28"/>
          <w:szCs w:val="28"/>
        </w:rPr>
        <w:t xml:space="preserve"> 04050000</w:t>
      </w:r>
      <w:r w:rsidR="00154602" w:rsidRPr="00A53AD7">
        <w:rPr>
          <w:sz w:val="28"/>
          <w:szCs w:val="28"/>
        </w:rPr>
        <w:t>00000024420623000</w:t>
      </w:r>
      <w:r w:rsidRPr="00A53AD7">
        <w:rPr>
          <w:sz w:val="28"/>
          <w:szCs w:val="28"/>
        </w:rPr>
        <w:t>.</w:t>
      </w:r>
    </w:p>
    <w:p w14:paraId="5CD3DE8A" w14:textId="5BB24EFF" w:rsidR="00EA3024" w:rsidRPr="00A53AD7" w:rsidRDefault="00EA3024" w:rsidP="00EA3024">
      <w:pPr>
        <w:spacing w:after="0" w:line="240" w:lineRule="auto"/>
        <w:ind w:firstLine="709"/>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Дополнительно необходимо отметить, что в нарушение ч. 8 ст. 13 Федерального закона от 06.12.2011 № 402-ФЗ «О бухгалтерском учете», абзаца 12 </w:t>
      </w:r>
      <w:r w:rsidR="00FA6987" w:rsidRPr="00A53AD7">
        <w:rPr>
          <w:rFonts w:ascii="Times New Roman" w:eastAsia="Times New Roman" w:hAnsi="Times New Roman"/>
          <w:sz w:val="28"/>
          <w:szCs w:val="28"/>
          <w:lang w:eastAsia="ru-RU"/>
        </w:rPr>
        <w:t>п</w:t>
      </w:r>
      <w:r w:rsidRPr="00A53AD7">
        <w:rPr>
          <w:rFonts w:ascii="Times New Roman" w:eastAsia="Times New Roman" w:hAnsi="Times New Roman"/>
          <w:sz w:val="28"/>
          <w:szCs w:val="28"/>
          <w:lang w:eastAsia="ru-RU"/>
        </w:rPr>
        <w:t xml:space="preserve">исьма </w:t>
      </w:r>
      <w:r w:rsidR="00FA6987" w:rsidRPr="00A53AD7">
        <w:rPr>
          <w:rFonts w:ascii="Times New Roman" w:eastAsia="Times New Roman" w:hAnsi="Times New Roman"/>
          <w:sz w:val="28"/>
          <w:szCs w:val="28"/>
          <w:lang w:eastAsia="ru-RU"/>
        </w:rPr>
        <w:t>м</w:t>
      </w:r>
      <w:r w:rsidRPr="00A53AD7">
        <w:rPr>
          <w:rFonts w:ascii="Times New Roman" w:eastAsia="Times New Roman" w:hAnsi="Times New Roman"/>
          <w:sz w:val="28"/>
          <w:szCs w:val="28"/>
          <w:lang w:eastAsia="ru-RU"/>
        </w:rPr>
        <w:t>ин</w:t>
      </w:r>
      <w:r w:rsidR="00FA6987" w:rsidRPr="00A53AD7">
        <w:rPr>
          <w:rFonts w:ascii="Times New Roman" w:eastAsia="Times New Roman" w:hAnsi="Times New Roman"/>
          <w:sz w:val="28"/>
          <w:szCs w:val="28"/>
          <w:lang w:eastAsia="ru-RU"/>
        </w:rPr>
        <w:t>истерства финансов Архангельской области «Об особенностях составления и представления годовой бюджетной отчетности и бухгалтерской отчетности государственных бюджетных и автономных учреждений главными распорядителями средств областного бюджета за 2019 год»</w:t>
      </w:r>
      <w:r w:rsidRPr="00A53AD7">
        <w:rPr>
          <w:rFonts w:ascii="Times New Roman" w:eastAsia="Times New Roman" w:hAnsi="Times New Roman"/>
          <w:sz w:val="28"/>
          <w:szCs w:val="28"/>
          <w:lang w:eastAsia="ru-RU"/>
        </w:rPr>
        <w:t xml:space="preserve"> </w:t>
      </w:r>
      <w:r w:rsidR="00037198" w:rsidRPr="00A53AD7">
        <w:rPr>
          <w:rFonts w:ascii="Times New Roman" w:eastAsia="Times New Roman" w:hAnsi="Times New Roman"/>
          <w:sz w:val="28"/>
          <w:szCs w:val="28"/>
          <w:lang w:eastAsia="ru-RU"/>
        </w:rPr>
        <w:t xml:space="preserve">бюджетная и бухгалтерская </w:t>
      </w:r>
      <w:r w:rsidRPr="00A53AD7">
        <w:rPr>
          <w:rFonts w:ascii="Times New Roman" w:eastAsia="Times New Roman" w:hAnsi="Times New Roman"/>
          <w:sz w:val="28"/>
          <w:szCs w:val="28"/>
          <w:lang w:eastAsia="ru-RU"/>
        </w:rPr>
        <w:t xml:space="preserve">отчетность не подписана электронно-цифровой подписью руководителями </w:t>
      </w:r>
      <w:r w:rsidR="00AC2850" w:rsidRPr="00A53AD7">
        <w:rPr>
          <w:rFonts w:ascii="Times New Roman" w:eastAsia="Times New Roman" w:hAnsi="Times New Roman"/>
          <w:sz w:val="28"/>
          <w:szCs w:val="28"/>
          <w:lang w:eastAsia="ru-RU"/>
        </w:rPr>
        <w:t xml:space="preserve">следующих </w:t>
      </w:r>
      <w:r w:rsidRPr="00A53AD7">
        <w:rPr>
          <w:rFonts w:ascii="Times New Roman" w:eastAsia="Times New Roman" w:hAnsi="Times New Roman"/>
          <w:sz w:val="28"/>
          <w:szCs w:val="28"/>
          <w:lang w:eastAsia="ru-RU"/>
        </w:rPr>
        <w:t>субъектов отчетности</w:t>
      </w:r>
      <w:r w:rsidR="00AC2850" w:rsidRPr="00A53AD7">
        <w:rPr>
          <w:rFonts w:ascii="Times New Roman" w:eastAsia="Times New Roman" w:hAnsi="Times New Roman"/>
          <w:sz w:val="28"/>
          <w:szCs w:val="28"/>
          <w:lang w:eastAsia="ru-RU"/>
        </w:rPr>
        <w:t>:</w:t>
      </w:r>
    </w:p>
    <w:p w14:paraId="5DBD6A3A" w14:textId="2CE627E5" w:rsidR="00037198" w:rsidRPr="00A53AD7" w:rsidRDefault="00037198" w:rsidP="00C54DBF">
      <w:pPr>
        <w:pStyle w:val="a8"/>
        <w:numPr>
          <w:ilvl w:val="0"/>
          <w:numId w:val="8"/>
        </w:numPr>
        <w:ind w:left="0" w:firstLine="851"/>
        <w:jc w:val="both"/>
        <w:rPr>
          <w:sz w:val="28"/>
          <w:szCs w:val="28"/>
        </w:rPr>
      </w:pPr>
      <w:r w:rsidRPr="00A53AD7">
        <w:rPr>
          <w:sz w:val="28"/>
          <w:szCs w:val="28"/>
        </w:rPr>
        <w:t>министерство строительства и архитектуры Архангельской области;</w:t>
      </w:r>
    </w:p>
    <w:p w14:paraId="14953CEF" w14:textId="496C6FC8" w:rsidR="00037198" w:rsidRPr="00A53AD7" w:rsidRDefault="00037198" w:rsidP="00C54DBF">
      <w:pPr>
        <w:pStyle w:val="a8"/>
        <w:numPr>
          <w:ilvl w:val="0"/>
          <w:numId w:val="8"/>
        </w:numPr>
        <w:ind w:left="0" w:firstLine="851"/>
        <w:jc w:val="both"/>
        <w:rPr>
          <w:sz w:val="28"/>
          <w:szCs w:val="28"/>
        </w:rPr>
      </w:pPr>
      <w:r w:rsidRPr="00A53AD7">
        <w:rPr>
          <w:sz w:val="28"/>
          <w:szCs w:val="28"/>
        </w:rPr>
        <w:t>министерство образования и науки Архангельской области;</w:t>
      </w:r>
    </w:p>
    <w:p w14:paraId="3C4F4DE7" w14:textId="2C24A55B" w:rsidR="00037198" w:rsidRPr="00A53AD7" w:rsidRDefault="00C54DBF" w:rsidP="00C54DBF">
      <w:pPr>
        <w:pStyle w:val="a8"/>
        <w:numPr>
          <w:ilvl w:val="0"/>
          <w:numId w:val="8"/>
        </w:numPr>
        <w:ind w:left="0" w:firstLine="851"/>
        <w:jc w:val="both"/>
        <w:rPr>
          <w:sz w:val="28"/>
          <w:szCs w:val="28"/>
        </w:rPr>
      </w:pPr>
      <w:r w:rsidRPr="00A53AD7">
        <w:rPr>
          <w:sz w:val="28"/>
          <w:szCs w:val="28"/>
        </w:rPr>
        <w:t>государственная жилищная инспекция Архангельской области;</w:t>
      </w:r>
    </w:p>
    <w:p w14:paraId="6B9AC92D" w14:textId="75F2A61A" w:rsidR="00C54DBF" w:rsidRPr="00A53AD7" w:rsidRDefault="00C54DBF" w:rsidP="00C54DBF">
      <w:pPr>
        <w:pStyle w:val="a8"/>
        <w:numPr>
          <w:ilvl w:val="0"/>
          <w:numId w:val="8"/>
        </w:numPr>
        <w:ind w:left="0" w:firstLine="851"/>
        <w:jc w:val="both"/>
        <w:rPr>
          <w:sz w:val="28"/>
          <w:szCs w:val="28"/>
        </w:rPr>
      </w:pPr>
      <w:r w:rsidRPr="00A53AD7">
        <w:rPr>
          <w:sz w:val="28"/>
          <w:szCs w:val="28"/>
        </w:rPr>
        <w:t>инспекция по ветеринарному надзору Архангельской области</w:t>
      </w:r>
    </w:p>
    <w:p w14:paraId="77EE01DD" w14:textId="1FF0CCBB" w:rsidR="005137B8" w:rsidRPr="00A53AD7" w:rsidRDefault="005137B8" w:rsidP="00EA3024">
      <w:pPr>
        <w:pStyle w:val="a8"/>
        <w:ind w:left="0" w:firstLine="851"/>
        <w:jc w:val="both"/>
        <w:rPr>
          <w:sz w:val="28"/>
          <w:szCs w:val="28"/>
        </w:rPr>
      </w:pPr>
    </w:p>
    <w:p w14:paraId="689494EB" w14:textId="77777777" w:rsidR="004C6ACA" w:rsidRPr="00A53AD7" w:rsidRDefault="004C6ACA" w:rsidP="004C6ACA">
      <w:pPr>
        <w:spacing w:after="0" w:line="240" w:lineRule="auto"/>
        <w:ind w:firstLine="709"/>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Контрольно-счетная палата отмечает, что, установленные нарушения при составлении бюджетной и бухгалтерской отчетности в целом не свидетельствуют о ее недостоверности.</w:t>
      </w:r>
    </w:p>
    <w:p w14:paraId="2721E1CD" w14:textId="77777777" w:rsidR="004C6ACA" w:rsidRPr="00A53AD7" w:rsidRDefault="004C6ACA" w:rsidP="004C6ACA">
      <w:pPr>
        <w:spacing w:after="0" w:line="240" w:lineRule="auto"/>
        <w:ind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Из 30 проверенных главных распорядителей у 11 главных распорядителей нарушений при формировании бюджетной и бухгалтерской отчетности не установлено.</w:t>
      </w:r>
    </w:p>
    <w:p w14:paraId="59E03490" w14:textId="696EDF36" w:rsidR="004C6ACA" w:rsidRPr="00A53AD7" w:rsidRDefault="004C6ACA" w:rsidP="004C6ACA">
      <w:pPr>
        <w:spacing w:after="0" w:line="240" w:lineRule="auto"/>
        <w:ind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 xml:space="preserve">По мнению контрольно-счетной палаты, к числу факторов, </w:t>
      </w:r>
      <w:r w:rsidR="009243F0" w:rsidRPr="00A53AD7">
        <w:rPr>
          <w:rFonts w:ascii="Times New Roman" w:eastAsia="Times New Roman" w:hAnsi="Times New Roman"/>
          <w:sz w:val="28"/>
          <w:szCs w:val="28"/>
          <w:lang w:eastAsia="ru-RU"/>
        </w:rPr>
        <w:t>по</w:t>
      </w:r>
      <w:r w:rsidRPr="00A53AD7">
        <w:rPr>
          <w:rFonts w:ascii="Times New Roman" w:eastAsia="Times New Roman" w:hAnsi="Times New Roman"/>
          <w:sz w:val="28"/>
          <w:szCs w:val="28"/>
          <w:lang w:eastAsia="ru-RU"/>
        </w:rPr>
        <w:t>в</w:t>
      </w:r>
      <w:r w:rsidR="009243F0" w:rsidRPr="00A53AD7">
        <w:rPr>
          <w:rFonts w:ascii="Times New Roman" w:eastAsia="Times New Roman" w:hAnsi="Times New Roman"/>
          <w:sz w:val="28"/>
          <w:szCs w:val="28"/>
          <w:lang w:eastAsia="ru-RU"/>
        </w:rPr>
        <w:t>лиявших</w:t>
      </w:r>
      <w:r w:rsidRPr="00A53AD7">
        <w:rPr>
          <w:rFonts w:ascii="Times New Roman" w:eastAsia="Times New Roman" w:hAnsi="Times New Roman"/>
          <w:sz w:val="28"/>
          <w:szCs w:val="28"/>
          <w:lang w:eastAsia="ru-RU"/>
        </w:rPr>
        <w:t xml:space="preserve"> на качество и достоверность бюджетной отчетности следует отнести:</w:t>
      </w:r>
    </w:p>
    <w:p w14:paraId="094D4FE8" w14:textId="77777777" w:rsidR="004C6ACA" w:rsidRPr="00A53AD7" w:rsidRDefault="004C6ACA" w:rsidP="004C6ACA">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переход на международные стандарты финансового учета и отчетности;</w:t>
      </w:r>
    </w:p>
    <w:p w14:paraId="75FF37B7" w14:textId="77777777" w:rsidR="004C6ACA" w:rsidRPr="00A53AD7" w:rsidRDefault="004C6ACA" w:rsidP="004C6ACA">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отсутствие должного контроля со стороны отдельных главных распорядителей за качеством и достоверностью бюджетной и бухгалтерской отчетности;</w:t>
      </w:r>
    </w:p>
    <w:p w14:paraId="5B096FC6" w14:textId="77777777" w:rsidR="004C6ACA" w:rsidRPr="00A53AD7" w:rsidRDefault="004C6ACA" w:rsidP="004C6ACA">
      <w:pPr>
        <w:numPr>
          <w:ilvl w:val="0"/>
          <w:numId w:val="8"/>
        </w:numPr>
        <w:spacing w:after="0" w:line="240" w:lineRule="auto"/>
        <w:ind w:left="0" w:firstLine="851"/>
        <w:contextualSpacing/>
        <w:jc w:val="both"/>
        <w:rPr>
          <w:rFonts w:ascii="Times New Roman" w:eastAsia="Times New Roman" w:hAnsi="Times New Roman"/>
          <w:sz w:val="28"/>
          <w:szCs w:val="28"/>
          <w:lang w:eastAsia="ru-RU"/>
        </w:rPr>
      </w:pPr>
      <w:r w:rsidRPr="00A53AD7">
        <w:rPr>
          <w:rFonts w:ascii="Times New Roman" w:eastAsia="Times New Roman" w:hAnsi="Times New Roman"/>
          <w:sz w:val="28"/>
          <w:szCs w:val="28"/>
          <w:lang w:eastAsia="ru-RU"/>
        </w:rPr>
        <w:t>сжатые сроки представления отчетности, особенно в части главных распорядителей, имеющих подведомственные бюджетные и автономные учреждения;</w:t>
      </w:r>
    </w:p>
    <w:p w14:paraId="1411E85B" w14:textId="3992CF20" w:rsidR="004C6ACA" w:rsidRPr="00A53AD7" w:rsidRDefault="00344FA9" w:rsidP="004C6ACA">
      <w:pPr>
        <w:numPr>
          <w:ilvl w:val="0"/>
          <w:numId w:val="8"/>
        </w:numPr>
        <w:spacing w:after="0" w:line="240" w:lineRule="auto"/>
        <w:ind w:left="0" w:firstLine="851"/>
        <w:contextualSpacing/>
        <w:jc w:val="both"/>
        <w:rPr>
          <w:strike/>
          <w:sz w:val="28"/>
          <w:szCs w:val="28"/>
        </w:rPr>
      </w:pPr>
      <w:r w:rsidRPr="00A53AD7">
        <w:rPr>
          <w:rFonts w:ascii="Times New Roman" w:eastAsia="Times New Roman" w:hAnsi="Times New Roman"/>
          <w:sz w:val="28"/>
          <w:szCs w:val="28"/>
          <w:lang w:eastAsia="ru-RU"/>
        </w:rPr>
        <w:t>недостаток</w:t>
      </w:r>
      <w:r w:rsidR="004C6ACA" w:rsidRPr="00A53AD7">
        <w:rPr>
          <w:rFonts w:ascii="Times New Roman" w:eastAsia="Times New Roman" w:hAnsi="Times New Roman"/>
          <w:sz w:val="28"/>
          <w:szCs w:val="28"/>
          <w:lang w:eastAsia="ru-RU"/>
        </w:rPr>
        <w:t xml:space="preserve"> квалифицированных кадров, осуществляющих бюджетный и бухгалтерский учет, особенно в сельской местности;</w:t>
      </w:r>
    </w:p>
    <w:p w14:paraId="0E0BB458" w14:textId="77777777" w:rsidR="004C6ACA" w:rsidRPr="00A53AD7" w:rsidRDefault="004C6ACA" w:rsidP="004C6ACA">
      <w:pPr>
        <w:numPr>
          <w:ilvl w:val="0"/>
          <w:numId w:val="8"/>
        </w:numPr>
        <w:spacing w:after="0" w:line="240" w:lineRule="auto"/>
        <w:ind w:left="0" w:firstLine="851"/>
        <w:contextualSpacing/>
        <w:jc w:val="both"/>
        <w:rPr>
          <w:rFonts w:ascii="Times New Roman" w:hAnsi="Times New Roman"/>
          <w:strike/>
          <w:sz w:val="28"/>
          <w:szCs w:val="28"/>
        </w:rPr>
      </w:pPr>
      <w:r w:rsidRPr="00A53AD7">
        <w:rPr>
          <w:rFonts w:ascii="Times New Roman" w:hAnsi="Times New Roman"/>
          <w:sz w:val="28"/>
          <w:szCs w:val="28"/>
        </w:rPr>
        <w:t>«человеческий фактор».</w:t>
      </w:r>
    </w:p>
    <w:p w14:paraId="20AC42B0" w14:textId="5C1B5CC7" w:rsidR="00452489" w:rsidRPr="00A53AD7" w:rsidRDefault="00061AD3" w:rsidP="00B20139">
      <w:pPr>
        <w:pStyle w:val="10"/>
        <w:keepNext/>
        <w:keepLines/>
        <w:autoSpaceDE/>
        <w:autoSpaceDN/>
        <w:adjustRightInd/>
        <w:spacing w:before="240" w:after="120"/>
        <w:rPr>
          <w:rFonts w:ascii="Times New Roman" w:hAnsi="Times New Roman"/>
          <w:color w:val="auto"/>
          <w:sz w:val="28"/>
          <w:szCs w:val="28"/>
          <w:lang w:val="ru-RU"/>
        </w:rPr>
      </w:pPr>
      <w:bookmarkStart w:id="127" w:name="_Toc42006762"/>
      <w:r w:rsidRPr="00A53AD7">
        <w:rPr>
          <w:rFonts w:ascii="Times New Roman" w:hAnsi="Times New Roman"/>
          <w:color w:val="auto"/>
          <w:sz w:val="28"/>
          <w:szCs w:val="28"/>
          <w:lang w:val="ru-RU"/>
        </w:rPr>
        <w:t>9</w:t>
      </w:r>
      <w:r w:rsidR="00B20139" w:rsidRPr="00A53AD7">
        <w:rPr>
          <w:rFonts w:ascii="Times New Roman" w:hAnsi="Times New Roman"/>
          <w:color w:val="auto"/>
          <w:sz w:val="28"/>
          <w:szCs w:val="28"/>
          <w:lang w:val="ru-RU"/>
        </w:rPr>
        <w:t xml:space="preserve">. </w:t>
      </w:r>
      <w:r w:rsidR="00A15D64" w:rsidRPr="00A53AD7">
        <w:rPr>
          <w:rFonts w:ascii="Times New Roman" w:hAnsi="Times New Roman"/>
          <w:color w:val="auto"/>
          <w:sz w:val="28"/>
          <w:szCs w:val="28"/>
          <w:lang w:val="ru-RU"/>
        </w:rPr>
        <w:t>П</w:t>
      </w:r>
      <w:r w:rsidR="00B20139" w:rsidRPr="00A53AD7">
        <w:rPr>
          <w:rFonts w:ascii="Times New Roman" w:hAnsi="Times New Roman"/>
          <w:color w:val="auto"/>
          <w:sz w:val="28"/>
          <w:szCs w:val="28"/>
          <w:lang w:val="ru-RU"/>
        </w:rPr>
        <w:t>редложения</w:t>
      </w:r>
      <w:bookmarkEnd w:id="127"/>
    </w:p>
    <w:p w14:paraId="0B870BD8" w14:textId="0C8F1D32" w:rsidR="00FE512A" w:rsidRPr="00A53AD7" w:rsidRDefault="00FE512A" w:rsidP="00FE512A">
      <w:pPr>
        <w:pStyle w:val="ad"/>
        <w:ind w:firstLine="851"/>
        <w:jc w:val="both"/>
        <w:rPr>
          <w:rFonts w:ascii="Times New Roman" w:hAnsi="Times New Roman"/>
          <w:sz w:val="28"/>
          <w:szCs w:val="28"/>
        </w:rPr>
      </w:pPr>
      <w:r w:rsidRPr="00A53AD7">
        <w:rPr>
          <w:rFonts w:ascii="Times New Roman" w:hAnsi="Times New Roman"/>
          <w:sz w:val="28"/>
          <w:szCs w:val="28"/>
        </w:rPr>
        <w:t xml:space="preserve">По результатам внешней проверки </w:t>
      </w:r>
      <w:r w:rsidR="00D77C30" w:rsidRPr="00A53AD7">
        <w:rPr>
          <w:rFonts w:ascii="Times New Roman" w:hAnsi="Times New Roman"/>
          <w:sz w:val="28"/>
          <w:szCs w:val="28"/>
        </w:rPr>
        <w:t>отчета об исполнении областного бюджета за 201</w:t>
      </w:r>
      <w:r w:rsidR="00CF09B8" w:rsidRPr="00A53AD7">
        <w:rPr>
          <w:rFonts w:ascii="Times New Roman" w:hAnsi="Times New Roman"/>
          <w:sz w:val="28"/>
          <w:szCs w:val="28"/>
        </w:rPr>
        <w:t>9</w:t>
      </w:r>
      <w:r w:rsidR="00D77C30" w:rsidRPr="00A53AD7">
        <w:rPr>
          <w:rFonts w:ascii="Times New Roman" w:hAnsi="Times New Roman"/>
          <w:sz w:val="28"/>
          <w:szCs w:val="28"/>
        </w:rPr>
        <w:t xml:space="preserve"> год </w:t>
      </w:r>
      <w:r w:rsidRPr="00A53AD7">
        <w:rPr>
          <w:rFonts w:ascii="Times New Roman" w:hAnsi="Times New Roman"/>
          <w:sz w:val="28"/>
          <w:szCs w:val="28"/>
        </w:rPr>
        <w:t>контрольно-счетная отмечает, что представленный отчет в целом соответствует нормам бюджетного законодательства. Вместе с тем считаем необходимым предложить Правительству Архангельской области и исполнительным органам государственной власти Архангельской области</w:t>
      </w:r>
      <w:r w:rsidR="008D5F78" w:rsidRPr="00A53AD7">
        <w:rPr>
          <w:rFonts w:ascii="Times New Roman" w:hAnsi="Times New Roman"/>
          <w:sz w:val="28"/>
          <w:szCs w:val="28"/>
        </w:rPr>
        <w:t xml:space="preserve"> принять следующие меры</w:t>
      </w:r>
      <w:r w:rsidRPr="00A53AD7">
        <w:rPr>
          <w:rFonts w:ascii="Times New Roman" w:hAnsi="Times New Roman"/>
          <w:sz w:val="28"/>
          <w:szCs w:val="28"/>
        </w:rPr>
        <w:t>:</w:t>
      </w:r>
    </w:p>
    <w:p w14:paraId="58D0B7B8" w14:textId="7D232226" w:rsidR="00046F75" w:rsidRPr="00A53AD7" w:rsidRDefault="00046F75" w:rsidP="00F35229">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Принять меры по недопущению использования средств резервного фонда Правительства Архангельской области на цели, которые не являются непредвиденными в силу разного рода причин, в том числе обозначенных в соответствующем подразделе настоящего заключения.</w:t>
      </w:r>
    </w:p>
    <w:p w14:paraId="2186CA56" w14:textId="443B4C38" w:rsidR="00B61FF8" w:rsidRPr="00A53AD7" w:rsidRDefault="00A44342" w:rsidP="00F35229">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Продолжить принятие дополнительных мер по сокращению просроченной кредиторской задолженности государственных бюджетных и автономных учреждений, а также по недопущению принятия расходных обязательств, не обеспеченных соответствующими источниками финансирования</w:t>
      </w:r>
      <w:r w:rsidR="00452363" w:rsidRPr="00A53AD7">
        <w:rPr>
          <w:rFonts w:ascii="Times New Roman" w:hAnsi="Times New Roman"/>
          <w:sz w:val="28"/>
          <w:szCs w:val="28"/>
        </w:rPr>
        <w:t>.</w:t>
      </w:r>
    </w:p>
    <w:p w14:paraId="37EFE0EE" w14:textId="5AF6FC52" w:rsidR="00211BD8" w:rsidRPr="00A53AD7" w:rsidRDefault="00DA463A" w:rsidP="00F35229">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 xml:space="preserve">Ответственным исполнителям государственных программ Архангельской области обеспечить своевременное внесение изменений в объемы финансирования указанных программ при внесении изменений в закон «Об </w:t>
      </w:r>
      <w:r w:rsidR="001E19E4" w:rsidRPr="00A53AD7">
        <w:rPr>
          <w:rFonts w:ascii="Times New Roman" w:hAnsi="Times New Roman"/>
          <w:sz w:val="28"/>
          <w:szCs w:val="28"/>
        </w:rPr>
        <w:t>областном бюджете».</w:t>
      </w:r>
    </w:p>
    <w:p w14:paraId="2B446255" w14:textId="77777777" w:rsidR="00905E24" w:rsidRPr="00A53AD7" w:rsidRDefault="00905E24" w:rsidP="00905E24">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Внести изменения в наименование мероприятия «Установка и обслуживание систем видеонаблюдения в муниципальных образовательных организациях муниципальных образований Архангельской области» подпрограмма № 4 «Профилактика экстремизма и терроризма в Архангельской области» государственной программы Архангельской области «Обеспечение общественного порядка, профилактика преступности, коррупции, терроризма и незаконного потребления наркотических средств и психотропных веществ в Архангельской области(2014 – 2021 годы)».</w:t>
      </w:r>
    </w:p>
    <w:p w14:paraId="40E5A4B5" w14:textId="59834BF2" w:rsidR="008F6087" w:rsidRPr="00A53AD7" w:rsidRDefault="009B65ED" w:rsidP="008F6087">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П</w:t>
      </w:r>
      <w:r w:rsidR="008F6087" w:rsidRPr="00A53AD7">
        <w:rPr>
          <w:rFonts w:ascii="Times New Roman" w:hAnsi="Times New Roman"/>
          <w:sz w:val="28"/>
          <w:szCs w:val="28"/>
        </w:rPr>
        <w:t>ринять исчерпывающие меры для повышения качества медицинских услуг с учетом Принципов модернизации первичного звена здравоохранения Российской Федерации, утвержденных Постановлением Правительства РФ от 9 октября 2019 г. № 1304.</w:t>
      </w:r>
    </w:p>
    <w:p w14:paraId="7D4D53D3" w14:textId="24E04366" w:rsidR="00CE3D03" w:rsidRPr="00A53AD7" w:rsidRDefault="00CE3D03" w:rsidP="008F6087">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Обратить внимание на недостаточность мер, принимаемых органами государственной власти Архангельской области в целях обеспечения отдыха детей и их оздоровления, определить и устранить причины, влияющие на ежегодное снижение числа оздоровленных детей.</w:t>
      </w:r>
    </w:p>
    <w:p w14:paraId="6C97EC40" w14:textId="2C3CF45F" w:rsidR="00A13412" w:rsidRPr="00A53AD7" w:rsidRDefault="00A13412" w:rsidP="00A13412">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Министерству образования и науки Архангельской области принять меры по недопущению нарушения пункта 7 Положения о порядке формирования государственных заданий государственным учреждениям Архангельской области и порядке финансового обеспечения выполнения этих заданий формирования госзаданий, утвержденного постановлением Правительства Архангельской области от 18.08.2015</w:t>
      </w:r>
      <w:r w:rsidR="008D4148" w:rsidRPr="00A53AD7">
        <w:rPr>
          <w:rFonts w:ascii="Times New Roman" w:hAnsi="Times New Roman"/>
          <w:sz w:val="28"/>
          <w:szCs w:val="28"/>
        </w:rPr>
        <w:t xml:space="preserve"> </w:t>
      </w:r>
      <w:r w:rsidRPr="00A53AD7">
        <w:rPr>
          <w:rFonts w:ascii="Times New Roman" w:hAnsi="Times New Roman"/>
          <w:sz w:val="28"/>
          <w:szCs w:val="28"/>
        </w:rPr>
        <w:t xml:space="preserve">№ 338-пп в части определения значения показателей, характеризующих объемы государственных услуг для государственных образовательных организаций Архангельской области, осуществляющих образовательную деятельность по образовательным программам начального и среднего профессионального образования. </w:t>
      </w:r>
    </w:p>
    <w:p w14:paraId="1B4F4957" w14:textId="4AEEA14D" w:rsidR="00A13412" w:rsidRPr="00A53AD7" w:rsidRDefault="00A13412" w:rsidP="00496058">
      <w:pPr>
        <w:pStyle w:val="ad"/>
        <w:ind w:firstLine="851"/>
        <w:jc w:val="both"/>
        <w:rPr>
          <w:rFonts w:ascii="Times New Roman" w:hAnsi="Times New Roman"/>
          <w:sz w:val="28"/>
          <w:szCs w:val="28"/>
        </w:rPr>
      </w:pPr>
      <w:r w:rsidRPr="00A53AD7">
        <w:rPr>
          <w:rFonts w:ascii="Times New Roman" w:hAnsi="Times New Roman"/>
          <w:sz w:val="28"/>
          <w:szCs w:val="28"/>
        </w:rPr>
        <w:t>Разработать и утвердить Методику формирования государственного задания на оказание государственных услуг по реализации образовательных программ начального и среднего профессионального образования с учетом результатов ежегодного конкурса распределения контрольных цифр приема граждан и численности обучающихся, определенной за год (среднегодовой контингент).</w:t>
      </w:r>
    </w:p>
    <w:p w14:paraId="4B872F6C" w14:textId="56A2A497" w:rsidR="00292387" w:rsidRPr="00A53AD7" w:rsidRDefault="00292387" w:rsidP="00292387">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Установить в государственных программах целевые показатели, характеризующие качественные результаты реализации мероприятий по выполнению текущих и капитальных ремонтов, устранению нарушений требований надзорных органов подведомственными учреждениями.</w:t>
      </w:r>
    </w:p>
    <w:p w14:paraId="65BBAFC3" w14:textId="7976DD1F" w:rsidR="00BB3900" w:rsidRPr="00A53AD7" w:rsidRDefault="00BB3900" w:rsidP="00BB3900">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Обеспечить</w:t>
      </w:r>
      <w:r w:rsidR="0057171D" w:rsidRPr="00A53AD7">
        <w:rPr>
          <w:rFonts w:ascii="Times New Roman" w:hAnsi="Times New Roman"/>
          <w:sz w:val="28"/>
          <w:szCs w:val="28"/>
        </w:rPr>
        <w:t xml:space="preserve"> </w:t>
      </w:r>
      <w:r w:rsidRPr="00A53AD7">
        <w:rPr>
          <w:rFonts w:ascii="Times New Roman" w:hAnsi="Times New Roman"/>
          <w:sz w:val="28"/>
          <w:szCs w:val="28"/>
        </w:rPr>
        <w:t>сопоставимость (взаимосвязь) показателей государственных программ Архангельской области</w:t>
      </w:r>
      <w:r w:rsidR="0057171D" w:rsidRPr="00A53AD7">
        <w:rPr>
          <w:rFonts w:ascii="Times New Roman" w:hAnsi="Times New Roman"/>
          <w:sz w:val="28"/>
          <w:szCs w:val="28"/>
        </w:rPr>
        <w:t xml:space="preserve"> </w:t>
      </w:r>
      <w:r w:rsidRPr="00A53AD7">
        <w:rPr>
          <w:rFonts w:ascii="Times New Roman" w:hAnsi="Times New Roman"/>
          <w:sz w:val="28"/>
          <w:szCs w:val="28"/>
        </w:rPr>
        <w:t>и государственных программ Российской Федерации.</w:t>
      </w:r>
    </w:p>
    <w:p w14:paraId="3891142A" w14:textId="5A3A156E" w:rsidR="00292387" w:rsidRPr="00A53AD7" w:rsidRDefault="00BB3900" w:rsidP="00904EEF">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Обеспечить доведение средней заработной платы соответствующих категорий работников до показателей, установленных Указом Президента РФ от 07.05.2012 № 597 «О мероприятиях по реализации государственной социальной политики».</w:t>
      </w:r>
    </w:p>
    <w:p w14:paraId="59B1FB41" w14:textId="5D738522" w:rsidR="00CB708A" w:rsidRPr="00A53AD7" w:rsidRDefault="00CB708A" w:rsidP="00904EEF">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 xml:space="preserve">Ответственным </w:t>
      </w:r>
      <w:r w:rsidR="00231809" w:rsidRPr="00A53AD7">
        <w:rPr>
          <w:rFonts w:ascii="Times New Roman" w:hAnsi="Times New Roman"/>
          <w:sz w:val="28"/>
          <w:szCs w:val="28"/>
        </w:rPr>
        <w:t xml:space="preserve">исполнителям </w:t>
      </w:r>
      <w:r w:rsidRPr="00A53AD7">
        <w:rPr>
          <w:rFonts w:ascii="Times New Roman" w:hAnsi="Times New Roman"/>
          <w:sz w:val="28"/>
          <w:szCs w:val="28"/>
        </w:rPr>
        <w:t>государственных программ при внесении изменений в объемы финансирования указанных программ обеспечить взаимосвязанность объемов финансового обеспечения программных мероприятий с ожидаемыми целевыми величинами показателей, для достижения которых реализуются эти мероприятия.</w:t>
      </w:r>
    </w:p>
    <w:p w14:paraId="6587D946" w14:textId="33B2550F" w:rsidR="00CB708A" w:rsidRPr="00A53AD7" w:rsidRDefault="00836AC5" w:rsidP="00904EEF">
      <w:pPr>
        <w:pStyle w:val="ad"/>
        <w:numPr>
          <w:ilvl w:val="0"/>
          <w:numId w:val="3"/>
        </w:numPr>
        <w:ind w:left="0" w:firstLine="839"/>
        <w:jc w:val="both"/>
        <w:rPr>
          <w:rFonts w:ascii="Times New Roman" w:hAnsi="Times New Roman"/>
          <w:sz w:val="28"/>
          <w:szCs w:val="28"/>
        </w:rPr>
      </w:pPr>
      <w:r w:rsidRPr="00A53AD7">
        <w:rPr>
          <w:rFonts w:ascii="Times New Roman" w:eastAsiaTheme="minorHAnsi" w:hAnsi="Times New Roman" w:cstheme="minorBidi"/>
          <w:sz w:val="28"/>
          <w:szCs w:val="28"/>
        </w:rPr>
        <w:t xml:space="preserve">Ответственному исполнителю госпрограммы «Охрана окружающей среды, воспроизводство и использование природных ресурсов Архангельской области» при заключении </w:t>
      </w:r>
      <w:r w:rsidRPr="00A53AD7">
        <w:rPr>
          <w:rFonts w:ascii="Times New Roman" w:hAnsi="Times New Roman"/>
          <w:sz w:val="28"/>
          <w:szCs w:val="28"/>
        </w:rPr>
        <w:t>соглашений на предоставление из областного бюджета бюджетам муниципальных образований субсидии на</w:t>
      </w:r>
      <w:r w:rsidRPr="00A53AD7">
        <w:t xml:space="preserve"> </w:t>
      </w:r>
      <w:r w:rsidRPr="00A53AD7">
        <w:rPr>
          <w:rFonts w:ascii="Times New Roman" w:hAnsi="Times New Roman"/>
          <w:sz w:val="28"/>
          <w:szCs w:val="28"/>
        </w:rPr>
        <w:t>софинансирование мероприятий по созданию мест (площадок) накопления (в том числе раздельного накопления) твердых коммунальных отходов, приобретению контейнеров (бункеров) для накопления ТКО предусматривать целевые количественные показатели.</w:t>
      </w:r>
    </w:p>
    <w:p w14:paraId="3209B7B7" w14:textId="0F7732F4" w:rsidR="00836AC5" w:rsidRPr="00A53AD7" w:rsidRDefault="00836AC5" w:rsidP="00904EEF">
      <w:pPr>
        <w:pStyle w:val="ad"/>
        <w:numPr>
          <w:ilvl w:val="0"/>
          <w:numId w:val="3"/>
        </w:numPr>
        <w:ind w:left="0" w:firstLine="839"/>
        <w:jc w:val="both"/>
        <w:rPr>
          <w:rFonts w:ascii="Times New Roman" w:hAnsi="Times New Roman"/>
          <w:sz w:val="28"/>
          <w:szCs w:val="28"/>
        </w:rPr>
      </w:pPr>
      <w:r w:rsidRPr="00A53AD7">
        <w:rPr>
          <w:rFonts w:ascii="Times New Roman" w:hAnsi="Times New Roman"/>
          <w:sz w:val="28"/>
          <w:szCs w:val="28"/>
        </w:rPr>
        <w:t>Привести показатели регионального проекта «Чистая вода» в соответствие с показателями результативности использования субсидий, установленных Соглашением о предоставлении субсидии из федерального бюджета бюджету Архангельской области на строительство и реконструкцию (модернизацию) объектов питьевого водоснабжения.</w:t>
      </w:r>
    </w:p>
    <w:p w14:paraId="0D3BE9CB" w14:textId="77777777" w:rsidR="00FE512A" w:rsidRPr="00A53AD7" w:rsidRDefault="00FE512A" w:rsidP="00496058">
      <w:pPr>
        <w:pStyle w:val="ad"/>
        <w:ind w:firstLine="851"/>
        <w:jc w:val="both"/>
        <w:rPr>
          <w:rFonts w:ascii="Times New Roman" w:hAnsi="Times New Roman"/>
          <w:sz w:val="28"/>
          <w:szCs w:val="28"/>
        </w:rPr>
      </w:pPr>
    </w:p>
    <w:p w14:paraId="4E84CA4A" w14:textId="419A0352" w:rsidR="00FE512A" w:rsidRPr="00A53AD7" w:rsidRDefault="00FE512A" w:rsidP="00FE512A">
      <w:pPr>
        <w:pStyle w:val="ad"/>
        <w:ind w:firstLine="851"/>
        <w:jc w:val="both"/>
        <w:rPr>
          <w:rFonts w:ascii="Times New Roman" w:hAnsi="Times New Roman"/>
          <w:sz w:val="28"/>
          <w:szCs w:val="28"/>
        </w:rPr>
      </w:pPr>
      <w:r w:rsidRPr="00A53AD7">
        <w:rPr>
          <w:rFonts w:ascii="Times New Roman" w:hAnsi="Times New Roman"/>
          <w:sz w:val="28"/>
          <w:szCs w:val="28"/>
        </w:rPr>
        <w:t>По результатам проведенной внешней проверки контрольно-счетная палата Архангельской области полагает возможным утверждение отчета об исполнении областного бюджета за 201</w:t>
      </w:r>
      <w:r w:rsidR="00F6111F" w:rsidRPr="00A53AD7">
        <w:rPr>
          <w:rFonts w:ascii="Times New Roman" w:hAnsi="Times New Roman"/>
          <w:sz w:val="28"/>
          <w:szCs w:val="28"/>
        </w:rPr>
        <w:t>9</w:t>
      </w:r>
      <w:r w:rsidRPr="00A53AD7">
        <w:rPr>
          <w:rFonts w:ascii="Times New Roman" w:hAnsi="Times New Roman"/>
          <w:sz w:val="28"/>
          <w:szCs w:val="28"/>
        </w:rPr>
        <w:t xml:space="preserve"> год на сессии Архангельского областного Собрания депутатов.</w:t>
      </w:r>
    </w:p>
    <w:p w14:paraId="575165E7" w14:textId="5290D139" w:rsidR="00FE512A" w:rsidRPr="00A53AD7" w:rsidRDefault="00FE512A" w:rsidP="00FE512A">
      <w:pPr>
        <w:pStyle w:val="ad"/>
        <w:ind w:firstLine="851"/>
        <w:jc w:val="both"/>
        <w:rPr>
          <w:rFonts w:ascii="Times New Roman" w:hAnsi="Times New Roman"/>
          <w:sz w:val="28"/>
          <w:szCs w:val="28"/>
        </w:rPr>
      </w:pPr>
      <w:r w:rsidRPr="00A53AD7">
        <w:rPr>
          <w:rFonts w:ascii="Times New Roman" w:hAnsi="Times New Roman"/>
          <w:sz w:val="28"/>
          <w:szCs w:val="28"/>
        </w:rPr>
        <w:t>Кроме того, полагаем необходимым предложить Правительству Архангельской области и главным распорядителям средств областного бюджета учесть замечания и предложения, содержащиеся в настоящем заключении</w:t>
      </w:r>
      <w:r w:rsidR="00A642A9" w:rsidRPr="00A53AD7">
        <w:rPr>
          <w:rFonts w:ascii="Times New Roman" w:hAnsi="Times New Roman"/>
          <w:sz w:val="28"/>
          <w:szCs w:val="28"/>
        </w:rPr>
        <w:t>, в ходе исполнения областного бюджета в 20</w:t>
      </w:r>
      <w:r w:rsidR="00F6111F" w:rsidRPr="00A53AD7">
        <w:rPr>
          <w:rFonts w:ascii="Times New Roman" w:hAnsi="Times New Roman"/>
          <w:sz w:val="28"/>
          <w:szCs w:val="28"/>
        </w:rPr>
        <w:t>20</w:t>
      </w:r>
      <w:r w:rsidR="00A642A9" w:rsidRPr="00A53AD7">
        <w:rPr>
          <w:rFonts w:ascii="Times New Roman" w:hAnsi="Times New Roman"/>
          <w:sz w:val="28"/>
          <w:szCs w:val="28"/>
        </w:rPr>
        <w:t xml:space="preserve"> году.</w:t>
      </w:r>
    </w:p>
    <w:p w14:paraId="68BF33C5" w14:textId="77777777" w:rsidR="00B50B60" w:rsidRPr="00A53AD7" w:rsidRDefault="00B50B60" w:rsidP="00FE512A">
      <w:pPr>
        <w:pStyle w:val="ad"/>
        <w:ind w:firstLine="851"/>
        <w:jc w:val="both"/>
        <w:rPr>
          <w:rFonts w:ascii="Times New Roman" w:hAnsi="Times New Roman"/>
          <w:sz w:val="28"/>
          <w:szCs w:val="28"/>
        </w:rPr>
      </w:pPr>
    </w:p>
    <w:p w14:paraId="0A31F924" w14:textId="46536031" w:rsidR="00FE512A" w:rsidRPr="00A53AD7" w:rsidRDefault="00FE512A" w:rsidP="00FE512A">
      <w:pPr>
        <w:pStyle w:val="ad"/>
        <w:ind w:firstLine="851"/>
        <w:jc w:val="both"/>
        <w:rPr>
          <w:rFonts w:ascii="Times New Roman" w:hAnsi="Times New Roman"/>
          <w:sz w:val="28"/>
          <w:szCs w:val="28"/>
        </w:rPr>
      </w:pPr>
      <w:r w:rsidRPr="00A53AD7">
        <w:rPr>
          <w:rFonts w:ascii="Times New Roman" w:hAnsi="Times New Roman"/>
          <w:sz w:val="28"/>
          <w:szCs w:val="28"/>
        </w:rPr>
        <w:t>Приложени</w:t>
      </w:r>
      <w:r w:rsidR="00614E1E" w:rsidRPr="00A53AD7">
        <w:rPr>
          <w:rFonts w:ascii="Times New Roman" w:hAnsi="Times New Roman"/>
          <w:sz w:val="28"/>
          <w:szCs w:val="28"/>
        </w:rPr>
        <w:t>я</w:t>
      </w:r>
      <w:r w:rsidRPr="00A53AD7">
        <w:rPr>
          <w:rFonts w:ascii="Times New Roman" w:hAnsi="Times New Roman"/>
          <w:sz w:val="28"/>
          <w:szCs w:val="28"/>
        </w:rPr>
        <w:t>:</w:t>
      </w:r>
    </w:p>
    <w:p w14:paraId="3A2F951F" w14:textId="5E735D8C" w:rsidR="00FE512A" w:rsidRPr="00A53AD7" w:rsidRDefault="00B74D5D"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Сведения об исполнении консолидированного бюджета Архангельской области за 2019 год, согласно отчетам, представленным в Минфин России по формам 0503317, 0503387 и 0503369 </w:t>
      </w:r>
      <w:r w:rsidR="00FE512A" w:rsidRPr="00A53AD7">
        <w:rPr>
          <w:rFonts w:ascii="Times New Roman" w:hAnsi="Times New Roman"/>
          <w:sz w:val="28"/>
          <w:szCs w:val="28"/>
        </w:rPr>
        <w:t xml:space="preserve">на </w:t>
      </w:r>
      <w:r w:rsidR="00BC1B84" w:rsidRPr="00A53AD7">
        <w:rPr>
          <w:rFonts w:ascii="Times New Roman" w:hAnsi="Times New Roman"/>
          <w:sz w:val="28"/>
          <w:szCs w:val="28"/>
        </w:rPr>
        <w:t>3</w:t>
      </w:r>
      <w:r w:rsidR="00FE512A" w:rsidRPr="00A53AD7">
        <w:rPr>
          <w:rFonts w:ascii="Times New Roman" w:hAnsi="Times New Roman"/>
          <w:sz w:val="28"/>
          <w:szCs w:val="28"/>
        </w:rPr>
        <w:t xml:space="preserve"> л.</w:t>
      </w:r>
    </w:p>
    <w:p w14:paraId="4E78A532" w14:textId="5829DDDD" w:rsidR="00FE512A" w:rsidRPr="00A53AD7" w:rsidRDefault="00B74D5D"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Сведения об исполнении консолидированного бюджета Архангельской области за 2019 год, согласно отчетам по форм</w:t>
      </w:r>
      <w:r w:rsidR="00973AE0" w:rsidRPr="00A53AD7">
        <w:rPr>
          <w:rFonts w:ascii="Times New Roman" w:hAnsi="Times New Roman"/>
          <w:sz w:val="28"/>
          <w:szCs w:val="28"/>
        </w:rPr>
        <w:t>ам</w:t>
      </w:r>
      <w:r w:rsidRPr="00A53AD7">
        <w:rPr>
          <w:rFonts w:ascii="Times New Roman" w:hAnsi="Times New Roman"/>
          <w:sz w:val="28"/>
          <w:szCs w:val="28"/>
        </w:rPr>
        <w:t xml:space="preserve"> 0503317, 0503320, 0503369, представленным в Минфин России на отчетные даты </w:t>
      </w:r>
      <w:r w:rsidR="00C16D7F" w:rsidRPr="00A53AD7">
        <w:rPr>
          <w:rFonts w:ascii="Times New Roman" w:hAnsi="Times New Roman"/>
          <w:sz w:val="28"/>
          <w:szCs w:val="28"/>
        </w:rPr>
        <w:t xml:space="preserve">на </w:t>
      </w:r>
      <w:r w:rsidR="00982627" w:rsidRPr="00A53AD7">
        <w:rPr>
          <w:rFonts w:ascii="Times New Roman" w:hAnsi="Times New Roman"/>
          <w:sz w:val="28"/>
          <w:szCs w:val="28"/>
        </w:rPr>
        <w:t>6</w:t>
      </w:r>
      <w:r w:rsidR="00FE512A" w:rsidRPr="00A53AD7">
        <w:rPr>
          <w:rFonts w:ascii="Times New Roman" w:hAnsi="Times New Roman"/>
          <w:sz w:val="28"/>
          <w:szCs w:val="28"/>
        </w:rPr>
        <w:t xml:space="preserve"> л.</w:t>
      </w:r>
    </w:p>
    <w:p w14:paraId="05664E54" w14:textId="59315D85" w:rsidR="00FE512A" w:rsidRPr="00A53AD7" w:rsidRDefault="00973AE0"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Сведения об исполнении консолидированных бюджетов муниципальных образований в Архангельской области за 2019 год, согласно отчетам по ф. 0503317</w:t>
      </w:r>
      <w:r w:rsidR="00E37C50" w:rsidRPr="00A53AD7">
        <w:rPr>
          <w:rFonts w:ascii="Times New Roman" w:hAnsi="Times New Roman"/>
          <w:sz w:val="28"/>
          <w:szCs w:val="28"/>
        </w:rPr>
        <w:t xml:space="preserve">, 0503320 </w:t>
      </w:r>
      <w:r w:rsidRPr="00A53AD7">
        <w:rPr>
          <w:rFonts w:ascii="Times New Roman" w:hAnsi="Times New Roman"/>
          <w:sz w:val="28"/>
          <w:szCs w:val="28"/>
        </w:rPr>
        <w:t xml:space="preserve">и 0503387, представленным в Минфин России </w:t>
      </w:r>
      <w:r w:rsidR="00FE512A" w:rsidRPr="00A53AD7">
        <w:rPr>
          <w:rFonts w:ascii="Times New Roman" w:hAnsi="Times New Roman"/>
          <w:sz w:val="28"/>
          <w:szCs w:val="28"/>
        </w:rPr>
        <w:t>на 1 л.</w:t>
      </w:r>
    </w:p>
    <w:p w14:paraId="40D793DA" w14:textId="55DDA948" w:rsidR="00FE512A" w:rsidRPr="00A53AD7" w:rsidRDefault="00E37C50"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Налоговые и неналоговые доходы консолидированных бюджетов муниципальных образований Архангельской области за 2019 год, согласно отчету, представленному в Минфин России по ф. 0503317 </w:t>
      </w:r>
      <w:r w:rsidR="00FE512A" w:rsidRPr="00A53AD7">
        <w:rPr>
          <w:rFonts w:ascii="Times New Roman" w:hAnsi="Times New Roman"/>
          <w:sz w:val="28"/>
          <w:szCs w:val="28"/>
        </w:rPr>
        <w:t>на 1 л.</w:t>
      </w:r>
    </w:p>
    <w:p w14:paraId="294FF9E6" w14:textId="33B41390" w:rsidR="00FE512A" w:rsidRPr="00A53AD7" w:rsidRDefault="00E37C50"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Межбюджетные трансферты из областного бюджета в бюджеты городских округов и муниципальных районов за 2018 и 2019 годы, согласно отчету по ф. 0503317 «Таблица консолидируемых расчетов», представленному в Минфин России </w:t>
      </w:r>
      <w:r w:rsidR="00FE512A" w:rsidRPr="00A53AD7">
        <w:rPr>
          <w:rFonts w:ascii="Times New Roman" w:hAnsi="Times New Roman"/>
          <w:sz w:val="28"/>
          <w:szCs w:val="28"/>
        </w:rPr>
        <w:t>на 1 л.</w:t>
      </w:r>
    </w:p>
    <w:p w14:paraId="7C32AF03" w14:textId="1E5F3E13" w:rsidR="00FE512A" w:rsidRPr="00A53AD7" w:rsidRDefault="00C62D26"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Состояние дебиторской задолженности областного бюджета и бюджетов муниципальных образований, с учетом казенных учреждений (без бюджетных и автономных учреждений), согласно отчетам по ф. 0503369 на 01.01.2020 </w:t>
      </w:r>
      <w:r w:rsidR="00AF3E81" w:rsidRPr="00A53AD7">
        <w:rPr>
          <w:rFonts w:ascii="Times New Roman" w:hAnsi="Times New Roman"/>
          <w:sz w:val="28"/>
          <w:szCs w:val="28"/>
        </w:rPr>
        <w:t xml:space="preserve">на 01.01.2019 </w:t>
      </w:r>
      <w:r w:rsidR="00FE512A" w:rsidRPr="00A53AD7">
        <w:rPr>
          <w:rFonts w:ascii="Times New Roman" w:hAnsi="Times New Roman"/>
          <w:sz w:val="28"/>
          <w:szCs w:val="28"/>
        </w:rPr>
        <w:t xml:space="preserve">на </w:t>
      </w:r>
      <w:r w:rsidR="00FD4DFA" w:rsidRPr="00A53AD7">
        <w:rPr>
          <w:rFonts w:ascii="Times New Roman" w:hAnsi="Times New Roman"/>
          <w:sz w:val="28"/>
          <w:szCs w:val="28"/>
        </w:rPr>
        <w:t>1</w:t>
      </w:r>
      <w:r w:rsidR="00FE512A" w:rsidRPr="00A53AD7">
        <w:rPr>
          <w:rFonts w:ascii="Times New Roman" w:hAnsi="Times New Roman"/>
          <w:sz w:val="28"/>
          <w:szCs w:val="28"/>
        </w:rPr>
        <w:t xml:space="preserve"> л.</w:t>
      </w:r>
    </w:p>
    <w:p w14:paraId="57FB25B4" w14:textId="46DD32AC" w:rsidR="001A6985" w:rsidRPr="00A53AD7" w:rsidRDefault="00653D75"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Состояние кредиторской задолженности областного бюджета и бюджетов муниципальных образований, с учетом казенных учреждений (без бюджетных и автономных учреждений), согласно отчетам по ф. 0503369 на 01.01.2020 </w:t>
      </w:r>
      <w:r w:rsidR="001A6985" w:rsidRPr="00A53AD7">
        <w:rPr>
          <w:rFonts w:ascii="Times New Roman" w:hAnsi="Times New Roman"/>
          <w:sz w:val="28"/>
          <w:szCs w:val="28"/>
        </w:rPr>
        <w:t>на 1 л.</w:t>
      </w:r>
    </w:p>
    <w:p w14:paraId="61E65F4F" w14:textId="1C932D10" w:rsidR="00E85955" w:rsidRPr="00A53AD7" w:rsidRDefault="00E85955"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Информация о неисполнении расходов на 2019 год по отдельным направлениям расходов на 4 л.</w:t>
      </w:r>
    </w:p>
    <w:p w14:paraId="6BF89B1F" w14:textId="5155A535" w:rsidR="00883DDE" w:rsidRPr="00A53AD7" w:rsidRDefault="00883DDE"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Информация о низком уровне исполнения расходов (менее 90 %) на 2019 год по отдельным направлениям расходов на 12 л.</w:t>
      </w:r>
    </w:p>
    <w:p w14:paraId="1D0BE262" w14:textId="77777777" w:rsidR="00883DDE" w:rsidRPr="00A53AD7" w:rsidRDefault="00883DDE"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Изменение отдельных расходов областного бюджета в разрезе разделов функциональной классификации расходов бюджетов, главных распорядителей средств областного бюджета и видов расходов классификации расходов бюджета в 2019 году на 3 л.</w:t>
      </w:r>
    </w:p>
    <w:p w14:paraId="089FDF0F" w14:textId="761A1215" w:rsidR="00DA3697" w:rsidRPr="00A53AD7" w:rsidRDefault="00DA3697"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Сведения о невыполнении мероприятий или показателей реализации мероприятий государственных программ Архангельской области за 2019 год на 17 л.</w:t>
      </w:r>
    </w:p>
    <w:p w14:paraId="50FA5F93" w14:textId="757ECDBD" w:rsidR="00590970" w:rsidRPr="00A53AD7" w:rsidRDefault="00964C75"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Расходы на содержание государственных органов и обеспечение их функций в 2018 - 2019 годах за счет средств областного бюджета </w:t>
      </w:r>
      <w:r w:rsidR="00590970" w:rsidRPr="00A53AD7">
        <w:rPr>
          <w:rFonts w:ascii="Times New Roman" w:hAnsi="Times New Roman"/>
          <w:sz w:val="28"/>
          <w:szCs w:val="28"/>
        </w:rPr>
        <w:t xml:space="preserve">на </w:t>
      </w:r>
      <w:r w:rsidR="00D504BA" w:rsidRPr="00A53AD7">
        <w:rPr>
          <w:rFonts w:ascii="Times New Roman" w:hAnsi="Times New Roman"/>
          <w:sz w:val="28"/>
          <w:szCs w:val="28"/>
        </w:rPr>
        <w:t>2 л.</w:t>
      </w:r>
    </w:p>
    <w:p w14:paraId="2420C48B" w14:textId="3A705AEB" w:rsidR="00964C75" w:rsidRPr="00A53AD7" w:rsidRDefault="00964C75"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Исполнение областного бюджета за 2018-2019 годы в разрезе программ и главных распорядителей средств областного бюджета на 6 л.</w:t>
      </w:r>
    </w:p>
    <w:p w14:paraId="1DF5A69D" w14:textId="4B09E8B7" w:rsidR="00127AB4" w:rsidRPr="00A53AD7" w:rsidRDefault="00127AB4"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Информация об исполнении государственных и иных программ Архангельской области на 9 л.</w:t>
      </w:r>
    </w:p>
    <w:p w14:paraId="3C27508C" w14:textId="5C1BAB13" w:rsidR="00127AB4" w:rsidRPr="00A53AD7" w:rsidRDefault="00127AB4"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Расходы областного бюджета на реализацию региональных проектов в 2019 году на </w:t>
      </w:r>
      <w:r w:rsidR="00595ACB" w:rsidRPr="00A53AD7">
        <w:rPr>
          <w:rFonts w:ascii="Times New Roman" w:hAnsi="Times New Roman"/>
          <w:sz w:val="28"/>
          <w:szCs w:val="28"/>
        </w:rPr>
        <w:t>3 л.</w:t>
      </w:r>
    </w:p>
    <w:p w14:paraId="6EB4D56F" w14:textId="4525E9F6" w:rsidR="00FE512A" w:rsidRPr="00A53AD7" w:rsidRDefault="00595ACB"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Объем бюджетных ассигнований, направленных в рамках реализации региональных проектов национального проекта «Демография» за отчетный период в разрезе государственных программ Архангельской области</w:t>
      </w:r>
      <w:r w:rsidR="00E579ED" w:rsidRPr="00A53AD7">
        <w:rPr>
          <w:rFonts w:ascii="Times New Roman" w:hAnsi="Times New Roman"/>
          <w:sz w:val="28"/>
          <w:szCs w:val="28"/>
        </w:rPr>
        <w:t xml:space="preserve"> </w:t>
      </w:r>
      <w:r w:rsidR="00593DD3" w:rsidRPr="00A53AD7">
        <w:rPr>
          <w:rFonts w:ascii="Times New Roman" w:hAnsi="Times New Roman"/>
          <w:sz w:val="28"/>
          <w:szCs w:val="28"/>
        </w:rPr>
        <w:t>на 3</w:t>
      </w:r>
      <w:r w:rsidR="00FE512A" w:rsidRPr="00A53AD7">
        <w:rPr>
          <w:rFonts w:ascii="Times New Roman" w:hAnsi="Times New Roman"/>
          <w:sz w:val="28"/>
          <w:szCs w:val="28"/>
        </w:rPr>
        <w:t xml:space="preserve"> л.</w:t>
      </w:r>
    </w:p>
    <w:p w14:paraId="2A6D040D" w14:textId="5E115B3A" w:rsidR="00FE512A" w:rsidRPr="00A53AD7" w:rsidRDefault="00642201"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Выполнение планов финансово-хозяйственной деятельности государственных, муниципальных бюджетных и автономных учреждений за 2019 год, согласно отчетам по ф. 0503779 и 0503737 </w:t>
      </w:r>
      <w:r w:rsidR="00FE512A" w:rsidRPr="00A53AD7">
        <w:rPr>
          <w:rFonts w:ascii="Times New Roman" w:hAnsi="Times New Roman"/>
          <w:sz w:val="28"/>
          <w:szCs w:val="28"/>
        </w:rPr>
        <w:t xml:space="preserve">на </w:t>
      </w:r>
      <w:r w:rsidR="00F149E7" w:rsidRPr="00A53AD7">
        <w:rPr>
          <w:rFonts w:ascii="Times New Roman" w:hAnsi="Times New Roman"/>
          <w:sz w:val="28"/>
          <w:szCs w:val="28"/>
        </w:rPr>
        <w:t>3</w:t>
      </w:r>
      <w:r w:rsidR="00FE512A" w:rsidRPr="00A53AD7">
        <w:rPr>
          <w:rFonts w:ascii="Times New Roman" w:hAnsi="Times New Roman"/>
          <w:sz w:val="28"/>
          <w:szCs w:val="28"/>
        </w:rPr>
        <w:t xml:space="preserve"> л.</w:t>
      </w:r>
    </w:p>
    <w:p w14:paraId="6DF991C9" w14:textId="670CEEC8" w:rsidR="00031C1B" w:rsidRPr="00A53AD7" w:rsidRDefault="00031C1B"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Выполнение планов финансово-хозяйственной деятельности государственных бюджетных и автономных учреждений за 2019 год, в разрезе главных распорядителей, согласно отчетам по ф. 0503779 и 0503737 на 3 л.</w:t>
      </w:r>
    </w:p>
    <w:p w14:paraId="334142F6" w14:textId="15517C43" w:rsidR="00FE512A" w:rsidRPr="00A53AD7" w:rsidRDefault="00E2565C"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Состояние задолженности государственных и муниципальных бюджетных, автономных учреждений на 01.01.2020, без учета средств во временном распоряжении, согласно отчетам по ф. 0503769 </w:t>
      </w:r>
      <w:r w:rsidR="00FE512A" w:rsidRPr="00A53AD7">
        <w:rPr>
          <w:rFonts w:ascii="Times New Roman" w:hAnsi="Times New Roman"/>
          <w:sz w:val="28"/>
          <w:szCs w:val="28"/>
        </w:rPr>
        <w:t xml:space="preserve">на </w:t>
      </w:r>
      <w:r w:rsidR="00F149E7" w:rsidRPr="00A53AD7">
        <w:rPr>
          <w:rFonts w:ascii="Times New Roman" w:hAnsi="Times New Roman"/>
          <w:sz w:val="28"/>
          <w:szCs w:val="28"/>
        </w:rPr>
        <w:t>2</w:t>
      </w:r>
      <w:r w:rsidR="00FE512A" w:rsidRPr="00A53AD7">
        <w:rPr>
          <w:rFonts w:ascii="Times New Roman" w:hAnsi="Times New Roman"/>
          <w:sz w:val="28"/>
          <w:szCs w:val="28"/>
        </w:rPr>
        <w:t xml:space="preserve"> л.</w:t>
      </w:r>
    </w:p>
    <w:p w14:paraId="69B2A1D8" w14:textId="37C2F584" w:rsidR="00F149E7" w:rsidRPr="00A53AD7" w:rsidRDefault="00E2565C" w:rsidP="00CA1DDD">
      <w:pPr>
        <w:pStyle w:val="ad"/>
        <w:numPr>
          <w:ilvl w:val="0"/>
          <w:numId w:val="49"/>
        </w:numPr>
        <w:ind w:left="0" w:firstLine="851"/>
        <w:jc w:val="both"/>
        <w:rPr>
          <w:rFonts w:ascii="Times New Roman" w:hAnsi="Times New Roman"/>
          <w:sz w:val="28"/>
          <w:szCs w:val="28"/>
        </w:rPr>
      </w:pPr>
      <w:r w:rsidRPr="00A53AD7">
        <w:rPr>
          <w:rFonts w:ascii="Times New Roman" w:hAnsi="Times New Roman"/>
          <w:sz w:val="28"/>
          <w:szCs w:val="28"/>
        </w:rPr>
        <w:t xml:space="preserve">Состояние задолженности государственных бюджетных и автономных учреждений на 01.01.2020, согласно отчетам по ф. 0503769, без учета средств во временном распоряжении </w:t>
      </w:r>
      <w:r w:rsidR="00F149E7" w:rsidRPr="00A53AD7">
        <w:rPr>
          <w:rFonts w:ascii="Times New Roman" w:hAnsi="Times New Roman"/>
          <w:sz w:val="28"/>
          <w:szCs w:val="28"/>
        </w:rPr>
        <w:t>на 2 л.</w:t>
      </w:r>
    </w:p>
    <w:p w14:paraId="04F7CA71" w14:textId="77777777" w:rsidR="00FE512A" w:rsidRPr="00A53AD7" w:rsidRDefault="00FE512A" w:rsidP="00FE512A">
      <w:pPr>
        <w:pStyle w:val="ad"/>
        <w:ind w:firstLine="851"/>
        <w:jc w:val="both"/>
        <w:rPr>
          <w:rFonts w:ascii="Times New Roman" w:hAnsi="Times New Roman"/>
          <w:sz w:val="28"/>
          <w:szCs w:val="28"/>
          <w:highlight w:val="cyan"/>
        </w:rPr>
      </w:pPr>
    </w:p>
    <w:p w14:paraId="311E04E7" w14:textId="77777777" w:rsidR="00FE512A" w:rsidRPr="00A53AD7" w:rsidRDefault="00FE512A" w:rsidP="00FE512A">
      <w:pPr>
        <w:pStyle w:val="ad"/>
        <w:ind w:firstLine="851"/>
        <w:jc w:val="both"/>
        <w:rPr>
          <w:rFonts w:ascii="Times New Roman" w:hAnsi="Times New Roman"/>
          <w:sz w:val="28"/>
          <w:szCs w:val="28"/>
          <w:highlight w:val="cyan"/>
        </w:rPr>
      </w:pPr>
    </w:p>
    <w:tbl>
      <w:tblPr>
        <w:tblW w:w="0" w:type="auto"/>
        <w:tblLook w:val="04A0" w:firstRow="1" w:lastRow="0" w:firstColumn="1" w:lastColumn="0" w:noHBand="0" w:noVBand="1"/>
      </w:tblPr>
      <w:tblGrid>
        <w:gridCol w:w="4141"/>
        <w:gridCol w:w="5213"/>
      </w:tblGrid>
      <w:tr w:rsidR="00D470B6" w:rsidRPr="00A53AD7" w14:paraId="263A9885" w14:textId="77777777" w:rsidTr="00E135A0">
        <w:tc>
          <w:tcPr>
            <w:tcW w:w="4141" w:type="dxa"/>
            <w:shd w:val="clear" w:color="auto" w:fill="auto"/>
          </w:tcPr>
          <w:p w14:paraId="5F0F5B40" w14:textId="53A18FAF" w:rsidR="004B4819" w:rsidRPr="00A53AD7" w:rsidRDefault="004B4819" w:rsidP="00B50EEC">
            <w:pPr>
              <w:pStyle w:val="ad"/>
              <w:rPr>
                <w:rFonts w:ascii="Times New Roman" w:hAnsi="Times New Roman"/>
                <w:sz w:val="28"/>
                <w:szCs w:val="28"/>
              </w:rPr>
            </w:pPr>
          </w:p>
        </w:tc>
        <w:tc>
          <w:tcPr>
            <w:tcW w:w="5213" w:type="dxa"/>
            <w:shd w:val="clear" w:color="auto" w:fill="auto"/>
            <w:vAlign w:val="bottom"/>
          </w:tcPr>
          <w:p w14:paraId="6B2C86C1" w14:textId="781208BC" w:rsidR="00FE512A" w:rsidRPr="00A53AD7" w:rsidRDefault="0078288E" w:rsidP="004B4819">
            <w:pPr>
              <w:pStyle w:val="ad"/>
              <w:ind w:firstLine="851"/>
              <w:jc w:val="right"/>
              <w:rPr>
                <w:rFonts w:ascii="Times New Roman" w:hAnsi="Times New Roman"/>
                <w:sz w:val="28"/>
                <w:szCs w:val="28"/>
              </w:rPr>
            </w:pPr>
            <w:r w:rsidRPr="00A53AD7">
              <w:rPr>
                <w:rFonts w:ascii="Times New Roman" w:hAnsi="Times New Roman"/>
                <w:sz w:val="28"/>
                <w:szCs w:val="28"/>
              </w:rPr>
              <w:t>А.А. Дементьев</w:t>
            </w:r>
          </w:p>
        </w:tc>
      </w:tr>
    </w:tbl>
    <w:p w14:paraId="30F9EA47" w14:textId="77777777" w:rsidR="00F70BE9" w:rsidRPr="00A53AD7" w:rsidRDefault="00F70BE9" w:rsidP="00C9299A">
      <w:pPr>
        <w:pStyle w:val="ad"/>
        <w:ind w:firstLine="851"/>
        <w:jc w:val="right"/>
        <w:rPr>
          <w:rFonts w:ascii="Times New Roman" w:hAnsi="Times New Roman"/>
          <w:sz w:val="28"/>
          <w:szCs w:val="28"/>
        </w:rPr>
      </w:pPr>
    </w:p>
    <w:sectPr w:rsidR="00F70BE9" w:rsidRPr="00A53AD7" w:rsidSect="003B1DA1">
      <w:footerReference w:type="default" r:id="rId148"/>
      <w:pgSz w:w="11906" w:h="16838" w:code="9"/>
      <w:pgMar w:top="1134" w:right="851" w:bottom="1134"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2CD365" w14:textId="77777777" w:rsidR="00D470B6" w:rsidRDefault="00D470B6" w:rsidP="00396A6F">
      <w:pPr>
        <w:spacing w:after="0" w:line="240" w:lineRule="auto"/>
      </w:pPr>
      <w:r>
        <w:separator/>
      </w:r>
    </w:p>
  </w:endnote>
  <w:endnote w:type="continuationSeparator" w:id="0">
    <w:p w14:paraId="374109CE" w14:textId="77777777" w:rsidR="00D470B6" w:rsidRDefault="00D470B6" w:rsidP="00396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font239">
    <w:altName w:val="Times New Roman"/>
    <w:charset w:val="CC"/>
    <w:family w:val="auto"/>
    <w:pitch w:val="variable"/>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7077B" w14:textId="77777777" w:rsidR="00791677" w:rsidRPr="003B1DA1" w:rsidRDefault="00791677" w:rsidP="003B1DA1">
    <w:pPr>
      <w:pStyle w:val="af7"/>
      <w:spacing w:after="0" w:line="240" w:lineRule="auto"/>
      <w:jc w:val="right"/>
      <w:rPr>
        <w:rFonts w:ascii="Times New Roman" w:hAnsi="Times New Roman"/>
      </w:rPr>
    </w:pPr>
    <w:r w:rsidRPr="003B1DA1">
      <w:rPr>
        <w:rFonts w:ascii="Times New Roman" w:hAnsi="Times New Roman"/>
      </w:rPr>
      <w:fldChar w:fldCharType="begin"/>
    </w:r>
    <w:r w:rsidRPr="003B1DA1">
      <w:rPr>
        <w:rFonts w:ascii="Times New Roman" w:hAnsi="Times New Roman"/>
      </w:rPr>
      <w:instrText>PAGE   \* MERGEFORMAT</w:instrText>
    </w:r>
    <w:r w:rsidRPr="003B1DA1">
      <w:rPr>
        <w:rFonts w:ascii="Times New Roman" w:hAnsi="Times New Roman"/>
      </w:rPr>
      <w:fldChar w:fldCharType="separate"/>
    </w:r>
    <w:r w:rsidR="00A53AD7">
      <w:rPr>
        <w:rFonts w:ascii="Times New Roman" w:hAnsi="Times New Roman"/>
        <w:noProof/>
      </w:rPr>
      <w:t>1</w:t>
    </w:r>
    <w:r w:rsidRPr="003B1DA1">
      <w:rPr>
        <w:rFonts w:ascii="Times New Roman" w:hAnsi="Times New Roman"/>
      </w:rPr>
      <w:fldChar w:fldCharType="end"/>
    </w:r>
  </w:p>
  <w:p w14:paraId="78D6D026" w14:textId="77777777" w:rsidR="00791677" w:rsidRDefault="00791677">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EF0256" w14:textId="77777777" w:rsidR="00D470B6" w:rsidRDefault="00D470B6" w:rsidP="00396A6F">
      <w:pPr>
        <w:spacing w:after="0" w:line="240" w:lineRule="auto"/>
      </w:pPr>
      <w:r>
        <w:separator/>
      </w:r>
    </w:p>
  </w:footnote>
  <w:footnote w:type="continuationSeparator" w:id="0">
    <w:p w14:paraId="79A0490F" w14:textId="77777777" w:rsidR="00D470B6" w:rsidRDefault="00D470B6" w:rsidP="00396A6F">
      <w:pPr>
        <w:spacing w:after="0" w:line="240" w:lineRule="auto"/>
      </w:pPr>
      <w:r>
        <w:continuationSeparator/>
      </w:r>
    </w:p>
  </w:footnote>
  <w:footnote w:id="1">
    <w:p w14:paraId="7DC4B47A" w14:textId="38962473" w:rsidR="00791677" w:rsidRPr="004E4B0D" w:rsidRDefault="00791677">
      <w:pPr>
        <w:pStyle w:val="afff"/>
        <w:rPr>
          <w:rFonts w:ascii="Times New Roman" w:hAnsi="Times New Roman"/>
        </w:rPr>
      </w:pPr>
      <w:r w:rsidRPr="004E4B0D">
        <w:rPr>
          <w:rStyle w:val="afff1"/>
          <w:rFonts w:ascii="Times New Roman" w:hAnsi="Times New Roman"/>
        </w:rPr>
        <w:footnoteRef/>
      </w:r>
      <w:r w:rsidRPr="004E4B0D">
        <w:rPr>
          <w:rFonts w:ascii="Times New Roman" w:hAnsi="Times New Roman"/>
          <w:lang w:val="en-US"/>
        </w:rPr>
        <w:t xml:space="preserve"> </w:t>
      </w:r>
      <w:hyperlink r:id="rId1" w:history="1">
        <w:r w:rsidRPr="004E4B0D">
          <w:rPr>
            <w:rStyle w:val="afb"/>
            <w:rFonts w:ascii="Times New Roman" w:hAnsi="Times New Roman"/>
            <w:lang w:val="en-US"/>
          </w:rPr>
          <w:t>https://gks.ru/folder/11109/document/13260</w:t>
        </w:r>
      </w:hyperlink>
      <w:r w:rsidRPr="004E4B0D">
        <w:rPr>
          <w:rFonts w:ascii="Times New Roman" w:hAnsi="Times New Roman"/>
          <w:lang w:val="en-US"/>
        </w:rPr>
        <w:t xml:space="preserve">; </w:t>
      </w:r>
      <w:hyperlink r:id="rId2" w:history="1">
        <w:r w:rsidRPr="004E4B0D">
          <w:rPr>
            <w:rStyle w:val="afb"/>
            <w:rFonts w:ascii="Times New Roman" w:hAnsi="Times New Roman"/>
            <w:lang w:val="en-US"/>
          </w:rPr>
          <w:t>https://arhangelskstat.gks.ru/publication_arh</w:t>
        </w:r>
      </w:hyperlink>
    </w:p>
  </w:footnote>
  <w:footnote w:id="2">
    <w:p w14:paraId="74453D68" w14:textId="77777777" w:rsidR="00791677" w:rsidRPr="000A06A6" w:rsidRDefault="00791677" w:rsidP="003B5BDA">
      <w:pPr>
        <w:pStyle w:val="afff"/>
        <w:rPr>
          <w:rFonts w:ascii="Times New Roman" w:hAnsi="Times New Roman"/>
        </w:rPr>
      </w:pPr>
      <w:r w:rsidRPr="004E4B0D">
        <w:rPr>
          <w:rStyle w:val="afff1"/>
          <w:rFonts w:ascii="Times New Roman" w:hAnsi="Times New Roman"/>
        </w:rPr>
        <w:footnoteRef/>
      </w:r>
      <w:r w:rsidRPr="004E4B0D">
        <w:rPr>
          <w:rFonts w:ascii="Times New Roman" w:hAnsi="Times New Roman"/>
        </w:rPr>
        <w:t xml:space="preserve"> П</w:t>
      </w:r>
      <w:r w:rsidRPr="004E4B0D">
        <w:rPr>
          <w:rFonts w:ascii="Times New Roman" w:hAnsi="Times New Roman"/>
          <w:color w:val="000000"/>
        </w:rPr>
        <w:t>о данным (предварительные) Федеральной службы государственной статистики (Архангельскстат)</w:t>
      </w:r>
    </w:p>
  </w:footnote>
  <w:footnote w:id="3">
    <w:p w14:paraId="64603361" w14:textId="07EFE03A" w:rsidR="00791677" w:rsidRDefault="00791677">
      <w:pPr>
        <w:pStyle w:val="afff"/>
      </w:pPr>
      <w:r>
        <w:rPr>
          <w:rStyle w:val="afff1"/>
        </w:rPr>
        <w:footnoteRef/>
      </w:r>
      <w:r>
        <w:t xml:space="preserve"> </w:t>
      </w:r>
      <w:r w:rsidRPr="00C37AFD">
        <w:rPr>
          <w:rFonts w:ascii="Times New Roman" w:hAnsi="Times New Roman"/>
        </w:rPr>
        <w:t>По ряду показателей сведения отсутствуют.</w:t>
      </w:r>
    </w:p>
  </w:footnote>
  <w:footnote w:id="4">
    <w:p w14:paraId="1F51C5CE" w14:textId="77777777" w:rsidR="00791677" w:rsidRPr="00607E2F" w:rsidRDefault="00791677" w:rsidP="003B5BDA">
      <w:pPr>
        <w:pStyle w:val="afff"/>
      </w:pPr>
      <w:r w:rsidRPr="00911BDB">
        <w:rPr>
          <w:rStyle w:val="afff1"/>
        </w:rPr>
        <w:footnoteRef/>
      </w:r>
      <w:r w:rsidRPr="00911BDB">
        <w:t xml:space="preserve"> </w:t>
      </w:r>
      <w:r w:rsidRPr="00CF0721">
        <w:rPr>
          <w:rFonts w:ascii="Times New Roman" w:hAnsi="Times New Roman"/>
        </w:rPr>
        <w:t>Отчет Губернатора Архангельской области И.А. Орлова о результатах деятельности Правительства Архангельской области за 201</w:t>
      </w:r>
      <w:r>
        <w:rPr>
          <w:rFonts w:ascii="Times New Roman" w:hAnsi="Times New Roman"/>
        </w:rPr>
        <w:t>9</w:t>
      </w:r>
      <w:r w:rsidRPr="00CF0721">
        <w:rPr>
          <w:rFonts w:ascii="Times New Roman" w:hAnsi="Times New Roman"/>
        </w:rPr>
        <w:t xml:space="preserve"> год.</w:t>
      </w:r>
      <w:hyperlink r:id="rId3" w:history="1">
        <w:r w:rsidRPr="00CF0721">
          <w:rPr>
            <w:rStyle w:val="afb"/>
            <w:rFonts w:ascii="Times New Roman" w:hAnsi="Times New Roman"/>
          </w:rPr>
          <w:t xml:space="preserve"> </w:t>
        </w:r>
      </w:hyperlink>
      <w:r w:rsidRPr="00CF0721">
        <w:rPr>
          <w:rFonts w:ascii="Times New Roman" w:hAnsi="Times New Roman"/>
        </w:rPr>
        <w:t xml:space="preserve"> </w:t>
      </w:r>
      <w:hyperlink r:id="rId4" w:history="1">
        <w:r w:rsidRPr="004D6E2D">
          <w:rPr>
            <w:rStyle w:val="afb"/>
            <w:rFonts w:ascii="Times New Roman" w:hAnsi="Times New Roman"/>
          </w:rPr>
          <w:t>https://dvinaland.ru/gov/governor/speech/789297</w:t>
        </w:r>
      </w:hyperlink>
    </w:p>
  </w:footnote>
  <w:footnote w:id="5">
    <w:p w14:paraId="378A6475" w14:textId="6C9D34AD" w:rsidR="00791677" w:rsidRDefault="00791677">
      <w:pPr>
        <w:pStyle w:val="afff"/>
      </w:pPr>
      <w:r>
        <w:rPr>
          <w:rStyle w:val="afff1"/>
        </w:rPr>
        <w:footnoteRef/>
      </w:r>
      <w:r>
        <w:t xml:space="preserve"> </w:t>
      </w:r>
      <w:hyperlink r:id="rId5" w:history="1">
        <w:r w:rsidRPr="00433AA5">
          <w:rPr>
            <w:rStyle w:val="afb"/>
            <w:rFonts w:ascii="Times New Roman" w:eastAsia="Times New Roman" w:hAnsi="Times New Roman"/>
            <w:bCs/>
            <w:kern w:val="36"/>
            <w:lang w:eastAsia="ru-RU"/>
          </w:rPr>
          <w:t>https://bclass.ru/biznes/kompanii/dochernee-predpriyatie-alrosa-o-rezultatakh-devyati-mesyatsev-raboty-v-2019-godu/</w:t>
        </w:r>
      </w:hyperlink>
    </w:p>
  </w:footnote>
  <w:footnote w:id="6">
    <w:p w14:paraId="58FF96D4" w14:textId="1C7C63BF" w:rsidR="00791677" w:rsidRPr="007873BE" w:rsidRDefault="00791677">
      <w:pPr>
        <w:pStyle w:val="afff"/>
        <w:rPr>
          <w:lang w:val="en-US"/>
        </w:rPr>
      </w:pPr>
      <w:r>
        <w:rPr>
          <w:rStyle w:val="afff1"/>
        </w:rPr>
        <w:footnoteRef/>
      </w:r>
      <w:r w:rsidRPr="007873BE">
        <w:rPr>
          <w:lang w:val="en-US"/>
        </w:rPr>
        <w:t xml:space="preserve"> </w:t>
      </w:r>
      <w:hyperlink r:id="rId6" w:history="1">
        <w:r w:rsidRPr="007873BE">
          <w:rPr>
            <w:rStyle w:val="afb"/>
            <w:rFonts w:ascii="Times New Roman" w:hAnsi="Times New Roman"/>
            <w:lang w:val="en-US"/>
          </w:rPr>
          <w:t>http://www.ra-national.ru/sites/default/files/</w:t>
        </w:r>
      </w:hyperlink>
      <w:r w:rsidRPr="007873BE">
        <w:rPr>
          <w:rStyle w:val="afb"/>
          <w:rFonts w:ascii="Times New Roman" w:hAnsi="Times New Roman"/>
          <w:lang w:val="en-US"/>
        </w:rPr>
        <w:t xml:space="preserve"> Obzor_Rating_Investment_Regions_VII_2020.pdf</w:t>
      </w:r>
    </w:p>
  </w:footnote>
  <w:footnote w:id="7">
    <w:p w14:paraId="7C64C6BA" w14:textId="36222A65" w:rsidR="00791677" w:rsidRPr="007873BE" w:rsidRDefault="00791677">
      <w:pPr>
        <w:pStyle w:val="afff"/>
        <w:rPr>
          <w:rFonts w:ascii="Times New Roman" w:hAnsi="Times New Roman"/>
          <w:lang w:val="en-US"/>
        </w:rPr>
      </w:pPr>
      <w:r w:rsidRPr="00C9363D">
        <w:rPr>
          <w:rStyle w:val="afff1"/>
          <w:rFonts w:ascii="Times New Roman" w:hAnsi="Times New Roman"/>
        </w:rPr>
        <w:footnoteRef/>
      </w:r>
      <w:r w:rsidRPr="007873BE">
        <w:rPr>
          <w:rFonts w:ascii="Times New Roman" w:hAnsi="Times New Roman"/>
          <w:lang w:val="en-US"/>
        </w:rPr>
        <w:t xml:space="preserve"> </w:t>
      </w:r>
      <w:hyperlink r:id="rId7" w:history="1">
        <w:r w:rsidRPr="007873BE">
          <w:rPr>
            <w:rStyle w:val="afb"/>
            <w:rFonts w:ascii="Times New Roman" w:hAnsi="Times New Roman"/>
            <w:lang w:val="en-US"/>
          </w:rPr>
          <w:t>http://i-regions.org/press-sluzhba/novosti/pmef2019-moskva-tatarstan-i-tyumenskaya-oblast-pomenyalis-mestami-v-nacionalnom-rejtinge-investklimata</w:t>
        </w:r>
      </w:hyperlink>
    </w:p>
  </w:footnote>
  <w:footnote w:id="8">
    <w:p w14:paraId="73959AD0" w14:textId="2AA21BA7" w:rsidR="00791677" w:rsidRPr="001256DD" w:rsidRDefault="00791677">
      <w:pPr>
        <w:pStyle w:val="afff"/>
        <w:rPr>
          <w:lang w:val="en-US"/>
        </w:rPr>
      </w:pPr>
      <w:r>
        <w:rPr>
          <w:rStyle w:val="afff1"/>
        </w:rPr>
        <w:footnoteRef/>
      </w:r>
      <w:r w:rsidRPr="001256DD">
        <w:rPr>
          <w:lang w:val="en-US"/>
        </w:rPr>
        <w:t xml:space="preserve"> </w:t>
      </w:r>
      <w:hyperlink r:id="rId8" w:history="1">
        <w:r w:rsidRPr="001256DD">
          <w:rPr>
            <w:rStyle w:val="afb"/>
            <w:rFonts w:ascii="Times New Roman" w:eastAsia="Times New Roman" w:hAnsi="Times New Roman"/>
            <w:kern w:val="36"/>
            <w:lang w:val="en-US" w:eastAsia="ru-RU"/>
          </w:rPr>
          <w:t>https://finance.rambler.ru/realty/ 41559032-nazvany-7-prichin-podorozhaniya-zhilya-v-2019-godu/?updated</w:t>
        </w:r>
      </w:hyperlink>
    </w:p>
  </w:footnote>
  <w:footnote w:id="9">
    <w:p w14:paraId="182CE10B" w14:textId="77777777" w:rsidR="00791677" w:rsidRPr="00607E2F" w:rsidRDefault="00791677" w:rsidP="00DB2C0F">
      <w:pPr>
        <w:pStyle w:val="afff"/>
      </w:pPr>
      <w:r w:rsidRPr="00911BDB">
        <w:rPr>
          <w:rStyle w:val="afff1"/>
        </w:rPr>
        <w:footnoteRef/>
      </w:r>
      <w:r w:rsidRPr="00911BDB">
        <w:t xml:space="preserve"> </w:t>
      </w:r>
      <w:r w:rsidRPr="008E4AFF">
        <w:rPr>
          <w:rFonts w:ascii="Times New Roman" w:hAnsi="Times New Roman"/>
        </w:rPr>
        <w:t>Отчет Губернатора Архангельской области И.А. Орлова о результатах деятельности Правительства Архангельской области за 201</w:t>
      </w:r>
      <w:r>
        <w:rPr>
          <w:rFonts w:ascii="Times New Roman" w:hAnsi="Times New Roman"/>
        </w:rPr>
        <w:t>9</w:t>
      </w:r>
      <w:r w:rsidRPr="008E4AFF">
        <w:rPr>
          <w:rFonts w:ascii="Times New Roman" w:hAnsi="Times New Roman"/>
        </w:rPr>
        <w:t xml:space="preserve"> год.</w:t>
      </w:r>
      <w:hyperlink r:id="rId9" w:history="1">
        <w:r w:rsidRPr="008E4AFF">
          <w:rPr>
            <w:rStyle w:val="afb"/>
            <w:rFonts w:ascii="Times New Roman" w:hAnsi="Times New Roman"/>
          </w:rPr>
          <w:t xml:space="preserve"> </w:t>
        </w:r>
      </w:hyperlink>
      <w:r w:rsidRPr="00E2725B">
        <w:t xml:space="preserve"> </w:t>
      </w:r>
      <w:r w:rsidRPr="00E2725B">
        <w:rPr>
          <w:rStyle w:val="afb"/>
          <w:rFonts w:ascii="Times New Roman" w:hAnsi="Times New Roman"/>
        </w:rPr>
        <w:t>https://dvinaland.ru/gov/governor/speech/789297</w:t>
      </w:r>
    </w:p>
  </w:footnote>
  <w:footnote w:id="10">
    <w:p w14:paraId="7B040AA3" w14:textId="77777777" w:rsidR="00791677" w:rsidRPr="00607E2F" w:rsidRDefault="00791677" w:rsidP="00C77C42">
      <w:pPr>
        <w:pStyle w:val="afff"/>
      </w:pPr>
      <w:r w:rsidRPr="00911BDB">
        <w:rPr>
          <w:rStyle w:val="afff1"/>
        </w:rPr>
        <w:footnoteRef/>
      </w:r>
      <w:r w:rsidRPr="00911BDB">
        <w:t xml:space="preserve"> </w:t>
      </w:r>
      <w:r>
        <w:rPr>
          <w:rFonts w:ascii="Times New Roman" w:hAnsi="Times New Roman"/>
        </w:rPr>
        <w:t>К</w:t>
      </w:r>
      <w:r w:rsidRPr="009B3852">
        <w:rPr>
          <w:rFonts w:ascii="Times New Roman" w:hAnsi="Times New Roman"/>
        </w:rPr>
        <w:t>оличественные показатели яйценоскости кур-несушек не публикуются статистическими сборниками в целях обеспечения конфиденциальности</w:t>
      </w:r>
    </w:p>
  </w:footnote>
  <w:footnote w:id="11">
    <w:p w14:paraId="6414F086" w14:textId="77777777" w:rsidR="00791677" w:rsidRDefault="00791677" w:rsidP="003B5BDA">
      <w:pPr>
        <w:pStyle w:val="afff"/>
        <w:rPr>
          <w:rFonts w:ascii="Times New Roman" w:hAnsi="Times New Roman"/>
        </w:rPr>
      </w:pPr>
      <w:r>
        <w:rPr>
          <w:rStyle w:val="afff1"/>
        </w:rPr>
        <w:footnoteRef/>
      </w:r>
      <w:r>
        <w:t xml:space="preserve"> </w:t>
      </w:r>
      <w:r w:rsidRPr="0079187A">
        <w:rPr>
          <w:rFonts w:ascii="Times New Roman" w:hAnsi="Times New Roman"/>
        </w:rPr>
        <w:t>Отчет</w:t>
      </w:r>
      <w:r>
        <w:rPr>
          <w:rFonts w:ascii="Times New Roman" w:hAnsi="Times New Roman"/>
        </w:rPr>
        <w:t>ы</w:t>
      </w:r>
      <w:r w:rsidRPr="0079187A">
        <w:rPr>
          <w:rFonts w:ascii="Times New Roman" w:hAnsi="Times New Roman"/>
        </w:rPr>
        <w:t xml:space="preserve"> Губернатора Архангельской области И.А. Орлова о результатах деятельности Правительства Архангельской области за 2017</w:t>
      </w:r>
      <w:r>
        <w:rPr>
          <w:rFonts w:ascii="Times New Roman" w:hAnsi="Times New Roman"/>
        </w:rPr>
        <w:t xml:space="preserve">-2019 </w:t>
      </w:r>
      <w:r w:rsidRPr="0079187A">
        <w:rPr>
          <w:rFonts w:ascii="Times New Roman" w:hAnsi="Times New Roman"/>
        </w:rPr>
        <w:t>год</w:t>
      </w:r>
      <w:r>
        <w:rPr>
          <w:rFonts w:ascii="Times New Roman" w:hAnsi="Times New Roman"/>
        </w:rPr>
        <w:t>ы</w:t>
      </w:r>
    </w:p>
    <w:p w14:paraId="125C2CC2" w14:textId="77777777" w:rsidR="00791677" w:rsidRDefault="00D470B6" w:rsidP="003B5BDA">
      <w:pPr>
        <w:pStyle w:val="afff"/>
      </w:pPr>
      <w:hyperlink r:id="rId10" w:history="1">
        <w:r w:rsidR="00791677" w:rsidRPr="004D6E2D">
          <w:rPr>
            <w:rStyle w:val="afb"/>
            <w:rFonts w:ascii="Times New Roman" w:hAnsi="Times New Roman"/>
          </w:rPr>
          <w:t>https://dvinaland.ru/gov/-0v07su6d</w:t>
        </w:r>
      </w:hyperlink>
      <w:r w:rsidR="00791677">
        <w:rPr>
          <w:rStyle w:val="afb"/>
          <w:rFonts w:ascii="Times New Roman" w:hAnsi="Times New Roman"/>
        </w:rPr>
        <w:t xml:space="preserve">, </w:t>
      </w:r>
      <w:hyperlink r:id="rId11" w:history="1">
        <w:r w:rsidR="00791677" w:rsidRPr="004D6E2D">
          <w:rPr>
            <w:rStyle w:val="afb"/>
            <w:rFonts w:ascii="Times New Roman" w:hAnsi="Times New Roman"/>
          </w:rPr>
          <w:t>https://dvinaland.ru/news/624038</w:t>
        </w:r>
      </w:hyperlink>
      <w:r w:rsidR="00791677">
        <w:rPr>
          <w:rStyle w:val="afb"/>
          <w:rFonts w:ascii="Times New Roman" w:hAnsi="Times New Roman"/>
        </w:rPr>
        <w:t xml:space="preserve">, </w:t>
      </w:r>
      <w:r w:rsidR="00791677" w:rsidRPr="00B37F4A">
        <w:rPr>
          <w:rStyle w:val="afb"/>
          <w:rFonts w:ascii="Times New Roman" w:hAnsi="Times New Roman"/>
        </w:rPr>
        <w:t>https://dvinaland.ru/gov/governor/speech/789297</w:t>
      </w:r>
    </w:p>
  </w:footnote>
  <w:footnote w:id="12">
    <w:p w14:paraId="752DCD6A" w14:textId="77777777" w:rsidR="00791677" w:rsidRDefault="00791677" w:rsidP="003B5BDA">
      <w:pPr>
        <w:pStyle w:val="ad"/>
        <w:jc w:val="both"/>
        <w:rPr>
          <w:rFonts w:ascii="Times New Roman" w:hAnsi="Times New Roman"/>
        </w:rPr>
      </w:pPr>
      <w:r w:rsidRPr="00010B5D">
        <w:rPr>
          <w:rStyle w:val="afff1"/>
          <w:rFonts w:ascii="Times New Roman" w:hAnsi="Times New Roman"/>
        </w:rPr>
        <w:footnoteRef/>
      </w:r>
      <w:r w:rsidRPr="00010B5D">
        <w:rPr>
          <w:rFonts w:ascii="Times New Roman" w:hAnsi="Times New Roman"/>
        </w:rPr>
        <w:t xml:space="preserve"> </w:t>
      </w:r>
      <w:r w:rsidRPr="006A18DE">
        <w:rPr>
          <w:rFonts w:ascii="Times New Roman" w:hAnsi="Times New Roman"/>
        </w:rPr>
        <w:t xml:space="preserve">Федеральная служба государственной </w:t>
      </w:r>
      <w:r>
        <w:rPr>
          <w:rFonts w:ascii="Times New Roman" w:hAnsi="Times New Roman"/>
        </w:rPr>
        <w:t>с</w:t>
      </w:r>
      <w:r w:rsidRPr="006A18DE">
        <w:rPr>
          <w:rFonts w:ascii="Times New Roman" w:hAnsi="Times New Roman"/>
        </w:rPr>
        <w:t>татистики</w:t>
      </w:r>
      <w:r>
        <w:rPr>
          <w:rFonts w:ascii="Times New Roman" w:hAnsi="Times New Roman"/>
        </w:rPr>
        <w:t>-</w:t>
      </w:r>
    </w:p>
    <w:p w14:paraId="792E4B86" w14:textId="77777777" w:rsidR="00791677" w:rsidRPr="00C3068E" w:rsidRDefault="00D470B6" w:rsidP="003B5BDA">
      <w:pPr>
        <w:pStyle w:val="ad"/>
        <w:jc w:val="both"/>
      </w:pPr>
      <w:hyperlink r:id="rId12" w:history="1">
        <w:r w:rsidR="00791677" w:rsidRPr="006A18DE">
          <w:rPr>
            <w:rStyle w:val="afb"/>
            <w:rFonts w:ascii="Times New Roman" w:hAnsi="Times New Roman"/>
          </w:rPr>
          <w:t>https://www.gks.ru/free_doc/new_site/population/urov/urov_11sub.htm</w:t>
        </w:r>
      </w:hyperlink>
    </w:p>
  </w:footnote>
  <w:footnote w:id="13">
    <w:p w14:paraId="001442CD" w14:textId="77777777" w:rsidR="00791677" w:rsidRPr="00C3068E" w:rsidRDefault="00791677" w:rsidP="00C1012A">
      <w:pPr>
        <w:pStyle w:val="ad"/>
      </w:pPr>
      <w:r w:rsidRPr="00010B5D">
        <w:rPr>
          <w:rStyle w:val="afff1"/>
          <w:rFonts w:ascii="Times New Roman" w:hAnsi="Times New Roman"/>
        </w:rPr>
        <w:footnoteRef/>
      </w:r>
      <w:r w:rsidRPr="00010B5D">
        <w:rPr>
          <w:rFonts w:ascii="Times New Roman" w:hAnsi="Times New Roman"/>
        </w:rPr>
        <w:t xml:space="preserve"> </w:t>
      </w:r>
      <w:r w:rsidRPr="00C3068E">
        <w:rPr>
          <w:rFonts w:ascii="Times New Roman" w:hAnsi="Times New Roman"/>
        </w:rPr>
        <w:t xml:space="preserve">Единая межведомственная информационно – статистическая система </w:t>
      </w:r>
      <w:r>
        <w:rPr>
          <w:rFonts w:ascii="Times New Roman" w:hAnsi="Times New Roman"/>
        </w:rPr>
        <w:t xml:space="preserve">(ЕМИСС) </w:t>
      </w:r>
      <w:hyperlink r:id="rId13" w:history="1">
        <w:r w:rsidRPr="00C3068E">
          <w:rPr>
            <w:rStyle w:val="afb"/>
            <w:rFonts w:ascii="Times New Roman" w:hAnsi="Times New Roman"/>
          </w:rPr>
          <w:t>https://www.fedstat.ru/indicator/43713</w:t>
        </w:r>
      </w:hyperlink>
    </w:p>
  </w:footnote>
  <w:footnote w:id="14">
    <w:p w14:paraId="55FD295C" w14:textId="34A81133" w:rsidR="00791677" w:rsidRPr="00AA343D" w:rsidRDefault="00791677">
      <w:pPr>
        <w:pStyle w:val="afff"/>
      </w:pPr>
      <w:r>
        <w:rPr>
          <w:rStyle w:val="afff1"/>
        </w:rPr>
        <w:footnoteRef/>
      </w:r>
      <w:r w:rsidRPr="00AA343D">
        <w:t xml:space="preserve"> </w:t>
      </w:r>
      <w:hyperlink r:id="rId14" w:history="1">
        <w:r w:rsidRPr="00AA343D">
          <w:rPr>
            <w:rStyle w:val="afb"/>
            <w:rFonts w:ascii="Times New Roman" w:hAnsi="Times New Roman"/>
          </w:rPr>
          <w:t>https://www.rbc.ru/economics/17/07/2019/5d2f07959a79477db606e26f</w:t>
        </w:r>
      </w:hyperlink>
    </w:p>
  </w:footnote>
  <w:footnote w:id="15">
    <w:p w14:paraId="397F5DDC" w14:textId="3343C00D" w:rsidR="00791677" w:rsidRPr="00821626" w:rsidRDefault="00791677">
      <w:pPr>
        <w:pStyle w:val="afff"/>
        <w:rPr>
          <w:lang w:val="en-US"/>
        </w:rPr>
      </w:pPr>
      <w:r>
        <w:rPr>
          <w:rStyle w:val="afff1"/>
        </w:rPr>
        <w:footnoteRef/>
      </w:r>
      <w:r w:rsidRPr="00821626">
        <w:rPr>
          <w:lang w:val="en-US"/>
        </w:rPr>
        <w:t xml:space="preserve"> </w:t>
      </w:r>
      <w:hyperlink r:id="rId15" w:history="1">
        <w:r w:rsidRPr="00821626">
          <w:rPr>
            <w:rStyle w:val="afb"/>
            <w:rFonts w:ascii="Times New Roman" w:hAnsi="Times New Roman"/>
            <w:lang w:val="en-US"/>
          </w:rPr>
          <w:t>https://www.pravmir.ru/ bedneem-no-medlenno-eksperty-ob-otnositelnoj-absolyutnoj-i-subektivnoj-bednosti-v-rossii/</w:t>
        </w:r>
      </w:hyperlink>
    </w:p>
  </w:footnote>
  <w:footnote w:id="16">
    <w:p w14:paraId="24537456" w14:textId="5317CF0A" w:rsidR="00791677" w:rsidRPr="00245291" w:rsidRDefault="00791677" w:rsidP="003B5BDA">
      <w:pPr>
        <w:pStyle w:val="afff"/>
        <w:rPr>
          <w:rFonts w:ascii="Times New Roman" w:hAnsi="Times New Roman"/>
        </w:rPr>
      </w:pPr>
      <w:r w:rsidRPr="00245291">
        <w:rPr>
          <w:rStyle w:val="afff1"/>
          <w:rFonts w:ascii="Times New Roman" w:hAnsi="Times New Roman"/>
        </w:rPr>
        <w:footnoteRef/>
      </w:r>
      <w:r w:rsidRPr="00245291">
        <w:rPr>
          <w:rFonts w:ascii="Times New Roman" w:hAnsi="Times New Roman"/>
        </w:rPr>
        <w:t xml:space="preserve"> На первом месте рег</w:t>
      </w:r>
      <w:r>
        <w:rPr>
          <w:rFonts w:ascii="Times New Roman" w:hAnsi="Times New Roman"/>
        </w:rPr>
        <w:t>ион с наилучшим качеством жизни</w:t>
      </w:r>
    </w:p>
  </w:footnote>
  <w:footnote w:id="17">
    <w:p w14:paraId="2947EDB8" w14:textId="1B29F2C9" w:rsidR="00791677" w:rsidRDefault="00791677">
      <w:pPr>
        <w:pStyle w:val="afff"/>
      </w:pPr>
      <w:r>
        <w:rPr>
          <w:rStyle w:val="afff1"/>
        </w:rPr>
        <w:footnoteRef/>
      </w:r>
      <w:r>
        <w:t xml:space="preserve"> </w:t>
      </w:r>
      <w:hyperlink r:id="rId16" w:history="1">
        <w:r w:rsidRPr="00726030">
          <w:rPr>
            <w:rStyle w:val="afb"/>
            <w:rFonts w:ascii="Times New Roman" w:hAnsi="Times New Roman"/>
          </w:rPr>
          <w:t>http://riarating.ru/regions/20190219/630117442.html</w:t>
        </w:r>
      </w:hyperlink>
    </w:p>
  </w:footnote>
  <w:footnote w:id="18">
    <w:p w14:paraId="61B6C526" w14:textId="77777777" w:rsidR="00791677" w:rsidRPr="0025206B" w:rsidRDefault="00791677" w:rsidP="006B7638">
      <w:pPr>
        <w:pStyle w:val="afff"/>
      </w:pPr>
      <w:r w:rsidRPr="0025206B">
        <w:rPr>
          <w:rStyle w:val="afff1"/>
        </w:rPr>
        <w:footnoteRef/>
      </w:r>
      <w:r w:rsidRPr="0025206B">
        <w:t xml:space="preserve"> </w:t>
      </w:r>
      <w:r w:rsidRPr="00960862">
        <w:rPr>
          <w:rFonts w:ascii="Times New Roman" w:hAnsi="Times New Roman"/>
        </w:rPr>
        <w:t>Первое место занимает субъект РФ с наибольшим объемом долговых обязательств. При расчете долга на душу населения использована численность населения по состоянию на 01.01.2019</w:t>
      </w:r>
    </w:p>
  </w:footnote>
  <w:footnote w:id="19">
    <w:p w14:paraId="4DC5B1D2" w14:textId="77777777" w:rsidR="00791677" w:rsidRPr="00BD26CE" w:rsidRDefault="00791677" w:rsidP="00F700F3">
      <w:pPr>
        <w:pStyle w:val="afff"/>
      </w:pPr>
      <w:r w:rsidRPr="00BD26CE">
        <w:rPr>
          <w:rStyle w:val="afff1"/>
        </w:rPr>
        <w:footnoteRef/>
      </w:r>
      <w:r w:rsidRPr="00BD26CE">
        <w:t xml:space="preserve"> </w:t>
      </w:r>
      <w:r w:rsidRPr="002C51D3">
        <w:rPr>
          <w:rFonts w:ascii="Times New Roman" w:hAnsi="Times New Roman"/>
        </w:rPr>
        <w:t>Первое место в рэнкинге занимает МО с наибольшим уровнем внутреннего долга к налоговым и неналоговым доходам, без учета доп. норматива НДФЛ</w:t>
      </w:r>
    </w:p>
  </w:footnote>
  <w:footnote w:id="20">
    <w:p w14:paraId="683D7D9B" w14:textId="0EEFE65D" w:rsidR="00791677" w:rsidRPr="00437712" w:rsidRDefault="00791677">
      <w:pPr>
        <w:pStyle w:val="afff"/>
        <w:rPr>
          <w:rFonts w:ascii="Times New Roman" w:hAnsi="Times New Roman"/>
        </w:rPr>
      </w:pPr>
      <w:r w:rsidRPr="00437712">
        <w:rPr>
          <w:rStyle w:val="afff1"/>
          <w:rFonts w:ascii="Times New Roman" w:hAnsi="Times New Roman"/>
        </w:rPr>
        <w:footnoteRef/>
      </w:r>
      <w:r w:rsidRPr="00437712">
        <w:rPr>
          <w:rFonts w:ascii="Times New Roman" w:hAnsi="Times New Roman"/>
        </w:rPr>
        <w:t xml:space="preserve"> </w:t>
      </w:r>
      <w:hyperlink r:id="rId17" w:history="1">
        <w:r w:rsidRPr="00437712">
          <w:rPr>
            <w:rStyle w:val="afb"/>
            <w:rFonts w:ascii="Times New Roman" w:hAnsi="Times New Roman"/>
          </w:rPr>
          <w:t>https://arhangelskstat.gks.ru/finance11001</w:t>
        </w:r>
      </w:hyperlink>
    </w:p>
  </w:footnote>
  <w:footnote w:id="21">
    <w:p w14:paraId="08CB1BE4" w14:textId="357AF0C3" w:rsidR="00791677" w:rsidRPr="007113D0" w:rsidRDefault="00791677">
      <w:pPr>
        <w:pStyle w:val="afff"/>
        <w:rPr>
          <w:rFonts w:ascii="Times New Roman" w:hAnsi="Times New Roman"/>
        </w:rPr>
      </w:pPr>
      <w:r w:rsidRPr="007113D0">
        <w:rPr>
          <w:rStyle w:val="afff1"/>
          <w:rFonts w:ascii="Times New Roman" w:hAnsi="Times New Roman"/>
        </w:rPr>
        <w:footnoteRef/>
      </w:r>
      <w:r w:rsidRPr="007113D0">
        <w:rPr>
          <w:rFonts w:ascii="Times New Roman" w:hAnsi="Times New Roman"/>
        </w:rPr>
        <w:t xml:space="preserve"> </w:t>
      </w:r>
      <w:hyperlink r:id="rId18" w:history="1">
        <w:r w:rsidRPr="007113D0">
          <w:rPr>
            <w:rStyle w:val="afb"/>
            <w:rFonts w:ascii="Times New Roman" w:hAnsi="Times New Roman"/>
          </w:rPr>
          <w:t>https://bclass.ru/aktualno/biznes/severalmaz-yadro-ekonomiki-regiona/</w:t>
        </w:r>
      </w:hyperlink>
    </w:p>
  </w:footnote>
  <w:footnote w:id="22">
    <w:p w14:paraId="5701CCEF" w14:textId="6339BD79" w:rsidR="00791677" w:rsidRPr="0064381A" w:rsidRDefault="00791677">
      <w:pPr>
        <w:pStyle w:val="afff"/>
        <w:rPr>
          <w:rFonts w:ascii="Times New Roman" w:hAnsi="Times New Roman"/>
        </w:rPr>
      </w:pPr>
      <w:r w:rsidRPr="0064381A">
        <w:rPr>
          <w:rStyle w:val="afff1"/>
          <w:rFonts w:ascii="Times New Roman" w:hAnsi="Times New Roman"/>
        </w:rPr>
        <w:footnoteRef/>
      </w:r>
      <w:r w:rsidRPr="0064381A">
        <w:rPr>
          <w:rFonts w:ascii="Times New Roman" w:hAnsi="Times New Roman"/>
        </w:rPr>
        <w:t xml:space="preserve"> </w:t>
      </w:r>
      <w:hyperlink r:id="rId19" w:history="1">
        <w:r w:rsidRPr="0064381A">
          <w:rPr>
            <w:rStyle w:val="afb"/>
            <w:rFonts w:ascii="Times New Roman" w:hAnsi="Times New Roman"/>
          </w:rPr>
          <w:t>https://rfgf.ru/catalog/docview.php?did=8ab00d8d257af1f97aa0656e5b67a594</w:t>
        </w:r>
      </w:hyperlink>
    </w:p>
  </w:footnote>
  <w:footnote w:id="23">
    <w:p w14:paraId="57898A22" w14:textId="77777777" w:rsidR="00791677" w:rsidRPr="00E95702" w:rsidRDefault="00791677" w:rsidP="00CE7C11">
      <w:pPr>
        <w:pStyle w:val="afff"/>
        <w:rPr>
          <w:rFonts w:ascii="Times New Roman" w:hAnsi="Times New Roman"/>
        </w:rPr>
      </w:pPr>
      <w:r w:rsidRPr="00E95702">
        <w:rPr>
          <w:rStyle w:val="afff1"/>
          <w:rFonts w:ascii="Times New Roman" w:hAnsi="Times New Roman"/>
        </w:rPr>
        <w:footnoteRef/>
      </w:r>
      <w:r w:rsidRPr="00E95702">
        <w:rPr>
          <w:rFonts w:ascii="Times New Roman" w:hAnsi="Times New Roman"/>
        </w:rPr>
        <w:t xml:space="preserve"> Первое место занимает субъект </w:t>
      </w:r>
      <w:r>
        <w:rPr>
          <w:rFonts w:ascii="Times New Roman" w:hAnsi="Times New Roman"/>
        </w:rPr>
        <w:t xml:space="preserve">РФ </w:t>
      </w:r>
      <w:r w:rsidRPr="00E95702">
        <w:rPr>
          <w:rFonts w:ascii="Times New Roman" w:hAnsi="Times New Roman"/>
        </w:rPr>
        <w:t>с наибольшим объемом долговых обязательств.</w:t>
      </w:r>
    </w:p>
  </w:footnote>
  <w:footnote w:id="24">
    <w:p w14:paraId="528531A3" w14:textId="77777777" w:rsidR="00791677" w:rsidRDefault="00791677" w:rsidP="00CE7C11">
      <w:pPr>
        <w:pStyle w:val="afff"/>
      </w:pPr>
      <w:r>
        <w:rPr>
          <w:rStyle w:val="afff1"/>
        </w:rPr>
        <w:footnoteRef/>
      </w:r>
      <w:r>
        <w:t xml:space="preserve"> </w:t>
      </w:r>
      <w:r w:rsidRPr="00757A18">
        <w:rPr>
          <w:rFonts w:ascii="Times New Roman" w:hAnsi="Times New Roman"/>
        </w:rPr>
        <w:t>Фактическое значение на 1 января соответствующего года.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37E6CF7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decimal"/>
      <w:lvlText w:val="%1)"/>
      <w:lvlJc w:val="left"/>
      <w:pPr>
        <w:tabs>
          <w:tab w:val="num" w:pos="0"/>
        </w:tabs>
        <w:ind w:left="1080" w:hanging="360"/>
      </w:pPr>
      <w:rPr>
        <w:rFonts w:eastAsia="Times New Roman"/>
        <w:lang w:eastAsia="ru-RU"/>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 w15:restartNumberingAfterBreak="0">
    <w:nsid w:val="018D3558"/>
    <w:multiLevelType w:val="hybridMultilevel"/>
    <w:tmpl w:val="755A8AF8"/>
    <w:lvl w:ilvl="0" w:tplc="4C0CDBE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300563B"/>
    <w:multiLevelType w:val="hybridMultilevel"/>
    <w:tmpl w:val="BD54E808"/>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057F7AD6"/>
    <w:multiLevelType w:val="hybridMultilevel"/>
    <w:tmpl w:val="7750CC8E"/>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6477D14"/>
    <w:multiLevelType w:val="hybridMultilevel"/>
    <w:tmpl w:val="C6DC7C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6D96D6C"/>
    <w:multiLevelType w:val="hybridMultilevel"/>
    <w:tmpl w:val="337C99A4"/>
    <w:lvl w:ilvl="0" w:tplc="BFB886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B9D27BB"/>
    <w:multiLevelType w:val="hybridMultilevel"/>
    <w:tmpl w:val="B7A26016"/>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0E4A5C3F"/>
    <w:multiLevelType w:val="hybridMultilevel"/>
    <w:tmpl w:val="461AB94C"/>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0E8408DE"/>
    <w:multiLevelType w:val="hybridMultilevel"/>
    <w:tmpl w:val="CB9CBE96"/>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135676B6"/>
    <w:multiLevelType w:val="hybridMultilevel"/>
    <w:tmpl w:val="0308BE0A"/>
    <w:lvl w:ilvl="0" w:tplc="B964A8D0">
      <w:start w:val="1"/>
      <w:numFmt w:val="bullet"/>
      <w:lvlText w:val=""/>
      <w:lvlJc w:val="left"/>
      <w:pPr>
        <w:ind w:left="1644" w:hanging="360"/>
      </w:pPr>
      <w:rPr>
        <w:rFonts w:ascii="Symbol" w:hAnsi="Symbol"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11" w15:restartNumberingAfterBreak="0">
    <w:nsid w:val="1AD62F7E"/>
    <w:multiLevelType w:val="hybridMultilevel"/>
    <w:tmpl w:val="7724FDA8"/>
    <w:lvl w:ilvl="0" w:tplc="4C0CDBE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15:restartNumberingAfterBreak="0">
    <w:nsid w:val="1B990341"/>
    <w:multiLevelType w:val="hybridMultilevel"/>
    <w:tmpl w:val="0C0C9B3A"/>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E084C69"/>
    <w:multiLevelType w:val="hybridMultilevel"/>
    <w:tmpl w:val="375AF596"/>
    <w:lvl w:ilvl="0" w:tplc="7E34F2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0D83D89"/>
    <w:multiLevelType w:val="hybridMultilevel"/>
    <w:tmpl w:val="4EB027E2"/>
    <w:lvl w:ilvl="0" w:tplc="7F22A546">
      <w:start w:val="1"/>
      <w:numFmt w:val="bullet"/>
      <w:pStyle w:val="a0"/>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24174974"/>
    <w:multiLevelType w:val="hybridMultilevel"/>
    <w:tmpl w:val="792C0C7A"/>
    <w:lvl w:ilvl="0" w:tplc="C6C278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CB6FD6"/>
    <w:multiLevelType w:val="hybridMultilevel"/>
    <w:tmpl w:val="BC20B134"/>
    <w:lvl w:ilvl="0" w:tplc="8BDC1FEC">
      <w:start w:val="1"/>
      <w:numFmt w:val="bullet"/>
      <w:pStyle w:val="a1"/>
      <w:lvlText w:val="-"/>
      <w:lvlJc w:val="left"/>
      <w:pPr>
        <w:ind w:left="786" w:hanging="360"/>
      </w:pPr>
      <w:rPr>
        <w:rFonts w:ascii="Sylfaen" w:hAnsi="Sylfae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7" w15:restartNumberingAfterBreak="0">
    <w:nsid w:val="2A01213A"/>
    <w:multiLevelType w:val="hybridMultilevel"/>
    <w:tmpl w:val="7C82E568"/>
    <w:lvl w:ilvl="0" w:tplc="3E22FA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B546A9C"/>
    <w:multiLevelType w:val="hybridMultilevel"/>
    <w:tmpl w:val="47AA9C6A"/>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F492E5F"/>
    <w:multiLevelType w:val="hybridMultilevel"/>
    <w:tmpl w:val="59A0A646"/>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5176C93"/>
    <w:multiLevelType w:val="hybridMultilevel"/>
    <w:tmpl w:val="E4CCFEDE"/>
    <w:lvl w:ilvl="0" w:tplc="C22CA6A0">
      <w:start w:val="1"/>
      <w:numFmt w:val="decimal"/>
      <w:lvlText w:val="%1."/>
      <w:lvlJc w:val="left"/>
      <w:pPr>
        <w:ind w:left="402" w:hanging="360"/>
      </w:pPr>
      <w:rPr>
        <w:rFonts w:cs="Times New Roman" w:hint="default"/>
      </w:rPr>
    </w:lvl>
    <w:lvl w:ilvl="1" w:tplc="04190019" w:tentative="1">
      <w:start w:val="1"/>
      <w:numFmt w:val="lowerLetter"/>
      <w:lvlText w:val="%2."/>
      <w:lvlJc w:val="left"/>
      <w:pPr>
        <w:ind w:left="1122" w:hanging="360"/>
      </w:pPr>
      <w:rPr>
        <w:rFonts w:cs="Times New Roman"/>
      </w:rPr>
    </w:lvl>
    <w:lvl w:ilvl="2" w:tplc="0419001B" w:tentative="1">
      <w:start w:val="1"/>
      <w:numFmt w:val="lowerRoman"/>
      <w:lvlText w:val="%3."/>
      <w:lvlJc w:val="right"/>
      <w:pPr>
        <w:ind w:left="1842" w:hanging="180"/>
      </w:pPr>
      <w:rPr>
        <w:rFonts w:cs="Times New Roman"/>
      </w:rPr>
    </w:lvl>
    <w:lvl w:ilvl="3" w:tplc="0419000F" w:tentative="1">
      <w:start w:val="1"/>
      <w:numFmt w:val="decimal"/>
      <w:lvlText w:val="%4."/>
      <w:lvlJc w:val="left"/>
      <w:pPr>
        <w:ind w:left="2562" w:hanging="360"/>
      </w:pPr>
      <w:rPr>
        <w:rFonts w:cs="Times New Roman"/>
      </w:rPr>
    </w:lvl>
    <w:lvl w:ilvl="4" w:tplc="04190019" w:tentative="1">
      <w:start w:val="1"/>
      <w:numFmt w:val="lowerLetter"/>
      <w:lvlText w:val="%5."/>
      <w:lvlJc w:val="left"/>
      <w:pPr>
        <w:ind w:left="3282" w:hanging="360"/>
      </w:pPr>
      <w:rPr>
        <w:rFonts w:cs="Times New Roman"/>
      </w:rPr>
    </w:lvl>
    <w:lvl w:ilvl="5" w:tplc="0419001B" w:tentative="1">
      <w:start w:val="1"/>
      <w:numFmt w:val="lowerRoman"/>
      <w:lvlText w:val="%6."/>
      <w:lvlJc w:val="right"/>
      <w:pPr>
        <w:ind w:left="4002" w:hanging="180"/>
      </w:pPr>
      <w:rPr>
        <w:rFonts w:cs="Times New Roman"/>
      </w:rPr>
    </w:lvl>
    <w:lvl w:ilvl="6" w:tplc="0419000F" w:tentative="1">
      <w:start w:val="1"/>
      <w:numFmt w:val="decimal"/>
      <w:lvlText w:val="%7."/>
      <w:lvlJc w:val="left"/>
      <w:pPr>
        <w:ind w:left="4722" w:hanging="360"/>
      </w:pPr>
      <w:rPr>
        <w:rFonts w:cs="Times New Roman"/>
      </w:rPr>
    </w:lvl>
    <w:lvl w:ilvl="7" w:tplc="04190019" w:tentative="1">
      <w:start w:val="1"/>
      <w:numFmt w:val="lowerLetter"/>
      <w:lvlText w:val="%8."/>
      <w:lvlJc w:val="left"/>
      <w:pPr>
        <w:ind w:left="5442" w:hanging="360"/>
      </w:pPr>
      <w:rPr>
        <w:rFonts w:cs="Times New Roman"/>
      </w:rPr>
    </w:lvl>
    <w:lvl w:ilvl="8" w:tplc="0419001B" w:tentative="1">
      <w:start w:val="1"/>
      <w:numFmt w:val="lowerRoman"/>
      <w:lvlText w:val="%9."/>
      <w:lvlJc w:val="right"/>
      <w:pPr>
        <w:ind w:left="6162" w:hanging="180"/>
      </w:pPr>
      <w:rPr>
        <w:rFonts w:cs="Times New Roman"/>
      </w:rPr>
    </w:lvl>
  </w:abstractNum>
  <w:abstractNum w:abstractNumId="21" w15:restartNumberingAfterBreak="0">
    <w:nsid w:val="35A94E3C"/>
    <w:multiLevelType w:val="hybridMultilevel"/>
    <w:tmpl w:val="4C049882"/>
    <w:lvl w:ilvl="0" w:tplc="B964A8D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37405E04"/>
    <w:multiLevelType w:val="multilevel"/>
    <w:tmpl w:val="22686082"/>
    <w:lvl w:ilvl="0">
      <w:start w:val="1"/>
      <w:numFmt w:val="decimal"/>
      <w:lvlText w:val="%1."/>
      <w:lvlJc w:val="left"/>
      <w:pPr>
        <w:ind w:left="360" w:hanging="360"/>
      </w:pPr>
      <w:rPr>
        <w:rFonts w:hint="default"/>
      </w:rPr>
    </w:lvl>
    <w:lvl w:ilvl="1">
      <w:start w:val="1"/>
      <w:numFmt w:val="decimal"/>
      <w:lvlText w:val="%1.%2."/>
      <w:lvlJc w:val="left"/>
      <w:pPr>
        <w:ind w:left="487" w:hanging="360"/>
      </w:pPr>
      <w:rPr>
        <w:rFonts w:hint="default"/>
      </w:rPr>
    </w:lvl>
    <w:lvl w:ilvl="2">
      <w:start w:val="1"/>
      <w:numFmt w:val="decimal"/>
      <w:lvlText w:val="%1.%2.%3."/>
      <w:lvlJc w:val="left"/>
      <w:pPr>
        <w:ind w:left="974" w:hanging="720"/>
      </w:pPr>
      <w:rPr>
        <w:rFonts w:hint="default"/>
      </w:rPr>
    </w:lvl>
    <w:lvl w:ilvl="3">
      <w:start w:val="1"/>
      <w:numFmt w:val="decimal"/>
      <w:lvlText w:val="%1.%2.%3.%4."/>
      <w:lvlJc w:val="left"/>
      <w:pPr>
        <w:ind w:left="1101" w:hanging="720"/>
      </w:pPr>
      <w:rPr>
        <w:rFonts w:hint="default"/>
      </w:rPr>
    </w:lvl>
    <w:lvl w:ilvl="4">
      <w:start w:val="1"/>
      <w:numFmt w:val="decimal"/>
      <w:lvlText w:val="%1.%2.%3.%4.%5."/>
      <w:lvlJc w:val="left"/>
      <w:pPr>
        <w:ind w:left="1588" w:hanging="1080"/>
      </w:pPr>
      <w:rPr>
        <w:rFonts w:hint="default"/>
      </w:rPr>
    </w:lvl>
    <w:lvl w:ilvl="5">
      <w:start w:val="1"/>
      <w:numFmt w:val="decimal"/>
      <w:lvlText w:val="%1.%2.%3.%4.%5.%6."/>
      <w:lvlJc w:val="left"/>
      <w:pPr>
        <w:ind w:left="1715" w:hanging="1080"/>
      </w:pPr>
      <w:rPr>
        <w:rFonts w:hint="default"/>
      </w:rPr>
    </w:lvl>
    <w:lvl w:ilvl="6">
      <w:start w:val="1"/>
      <w:numFmt w:val="decimal"/>
      <w:lvlText w:val="%1.%2.%3.%4.%5.%6.%7."/>
      <w:lvlJc w:val="left"/>
      <w:pPr>
        <w:ind w:left="1842" w:hanging="1080"/>
      </w:pPr>
      <w:rPr>
        <w:rFonts w:hint="default"/>
      </w:rPr>
    </w:lvl>
    <w:lvl w:ilvl="7">
      <w:start w:val="1"/>
      <w:numFmt w:val="decimal"/>
      <w:lvlText w:val="%1.%2.%3.%4.%5.%6.%7.%8."/>
      <w:lvlJc w:val="left"/>
      <w:pPr>
        <w:ind w:left="2329" w:hanging="1440"/>
      </w:pPr>
      <w:rPr>
        <w:rFonts w:hint="default"/>
      </w:rPr>
    </w:lvl>
    <w:lvl w:ilvl="8">
      <w:start w:val="1"/>
      <w:numFmt w:val="decimal"/>
      <w:lvlText w:val="%1.%2.%3.%4.%5.%6.%7.%8.%9."/>
      <w:lvlJc w:val="left"/>
      <w:pPr>
        <w:ind w:left="2456" w:hanging="1440"/>
      </w:pPr>
      <w:rPr>
        <w:rFonts w:hint="default"/>
      </w:rPr>
    </w:lvl>
  </w:abstractNum>
  <w:abstractNum w:abstractNumId="23" w15:restartNumberingAfterBreak="0">
    <w:nsid w:val="377D7D14"/>
    <w:multiLevelType w:val="hybridMultilevel"/>
    <w:tmpl w:val="58C26AE6"/>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387E0293"/>
    <w:multiLevelType w:val="hybridMultilevel"/>
    <w:tmpl w:val="D7940092"/>
    <w:lvl w:ilvl="0" w:tplc="C6C278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388B6EA0"/>
    <w:multiLevelType w:val="hybridMultilevel"/>
    <w:tmpl w:val="5CA21320"/>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AA21EDF"/>
    <w:multiLevelType w:val="hybridMultilevel"/>
    <w:tmpl w:val="171CE96E"/>
    <w:lvl w:ilvl="0" w:tplc="C6C278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C430B51"/>
    <w:multiLevelType w:val="hybridMultilevel"/>
    <w:tmpl w:val="A2D06E50"/>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3CA01832"/>
    <w:multiLevelType w:val="hybridMultilevel"/>
    <w:tmpl w:val="D088A8FE"/>
    <w:lvl w:ilvl="0" w:tplc="C5CE2598">
      <w:start w:val="1"/>
      <w:numFmt w:val="bullet"/>
      <w:lvlText w:val=""/>
      <w:lvlJc w:val="left"/>
      <w:pPr>
        <w:ind w:left="2574" w:hanging="360"/>
      </w:pPr>
      <w:rPr>
        <w:rFonts w:ascii="Symbol" w:hAnsi="Symbol" w:hint="default"/>
      </w:rPr>
    </w:lvl>
    <w:lvl w:ilvl="1" w:tplc="04190003" w:tentative="1">
      <w:start w:val="1"/>
      <w:numFmt w:val="bullet"/>
      <w:lvlText w:val="o"/>
      <w:lvlJc w:val="left"/>
      <w:pPr>
        <w:ind w:left="3294" w:hanging="360"/>
      </w:pPr>
      <w:rPr>
        <w:rFonts w:ascii="Courier New" w:hAnsi="Courier New" w:cs="Courier New" w:hint="default"/>
      </w:rPr>
    </w:lvl>
    <w:lvl w:ilvl="2" w:tplc="04190005" w:tentative="1">
      <w:start w:val="1"/>
      <w:numFmt w:val="bullet"/>
      <w:lvlText w:val=""/>
      <w:lvlJc w:val="left"/>
      <w:pPr>
        <w:ind w:left="4014" w:hanging="360"/>
      </w:pPr>
      <w:rPr>
        <w:rFonts w:ascii="Wingdings" w:hAnsi="Wingdings" w:hint="default"/>
      </w:rPr>
    </w:lvl>
    <w:lvl w:ilvl="3" w:tplc="04190001" w:tentative="1">
      <w:start w:val="1"/>
      <w:numFmt w:val="bullet"/>
      <w:lvlText w:val=""/>
      <w:lvlJc w:val="left"/>
      <w:pPr>
        <w:ind w:left="4734" w:hanging="360"/>
      </w:pPr>
      <w:rPr>
        <w:rFonts w:ascii="Symbol" w:hAnsi="Symbol" w:hint="default"/>
      </w:rPr>
    </w:lvl>
    <w:lvl w:ilvl="4" w:tplc="04190003" w:tentative="1">
      <w:start w:val="1"/>
      <w:numFmt w:val="bullet"/>
      <w:lvlText w:val="o"/>
      <w:lvlJc w:val="left"/>
      <w:pPr>
        <w:ind w:left="5454" w:hanging="360"/>
      </w:pPr>
      <w:rPr>
        <w:rFonts w:ascii="Courier New" w:hAnsi="Courier New" w:cs="Courier New" w:hint="default"/>
      </w:rPr>
    </w:lvl>
    <w:lvl w:ilvl="5" w:tplc="04190005" w:tentative="1">
      <w:start w:val="1"/>
      <w:numFmt w:val="bullet"/>
      <w:lvlText w:val=""/>
      <w:lvlJc w:val="left"/>
      <w:pPr>
        <w:ind w:left="6174" w:hanging="360"/>
      </w:pPr>
      <w:rPr>
        <w:rFonts w:ascii="Wingdings" w:hAnsi="Wingdings" w:hint="default"/>
      </w:rPr>
    </w:lvl>
    <w:lvl w:ilvl="6" w:tplc="04190001" w:tentative="1">
      <w:start w:val="1"/>
      <w:numFmt w:val="bullet"/>
      <w:lvlText w:val=""/>
      <w:lvlJc w:val="left"/>
      <w:pPr>
        <w:ind w:left="6894" w:hanging="360"/>
      </w:pPr>
      <w:rPr>
        <w:rFonts w:ascii="Symbol" w:hAnsi="Symbol" w:hint="default"/>
      </w:rPr>
    </w:lvl>
    <w:lvl w:ilvl="7" w:tplc="04190003" w:tentative="1">
      <w:start w:val="1"/>
      <w:numFmt w:val="bullet"/>
      <w:lvlText w:val="o"/>
      <w:lvlJc w:val="left"/>
      <w:pPr>
        <w:ind w:left="7614" w:hanging="360"/>
      </w:pPr>
      <w:rPr>
        <w:rFonts w:ascii="Courier New" w:hAnsi="Courier New" w:cs="Courier New" w:hint="default"/>
      </w:rPr>
    </w:lvl>
    <w:lvl w:ilvl="8" w:tplc="04190005" w:tentative="1">
      <w:start w:val="1"/>
      <w:numFmt w:val="bullet"/>
      <w:lvlText w:val=""/>
      <w:lvlJc w:val="left"/>
      <w:pPr>
        <w:ind w:left="8334" w:hanging="360"/>
      </w:pPr>
      <w:rPr>
        <w:rFonts w:ascii="Wingdings" w:hAnsi="Wingdings" w:hint="default"/>
      </w:rPr>
    </w:lvl>
  </w:abstractNum>
  <w:abstractNum w:abstractNumId="29" w15:restartNumberingAfterBreak="0">
    <w:nsid w:val="42E93286"/>
    <w:multiLevelType w:val="hybridMultilevel"/>
    <w:tmpl w:val="C95C7754"/>
    <w:lvl w:ilvl="0" w:tplc="7E34F2F4">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48257B62"/>
    <w:multiLevelType w:val="hybridMultilevel"/>
    <w:tmpl w:val="5CFEE9C4"/>
    <w:lvl w:ilvl="0" w:tplc="7E34F2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BD44FB4"/>
    <w:multiLevelType w:val="hybridMultilevel"/>
    <w:tmpl w:val="D85E34CC"/>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15:restartNumberingAfterBreak="0">
    <w:nsid w:val="4F801F96"/>
    <w:multiLevelType w:val="hybridMultilevel"/>
    <w:tmpl w:val="6D26E42C"/>
    <w:lvl w:ilvl="0" w:tplc="B964A8D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54382B52"/>
    <w:multiLevelType w:val="hybridMultilevel"/>
    <w:tmpl w:val="47944DBA"/>
    <w:lvl w:ilvl="0" w:tplc="C6C2785A">
      <w:start w:val="1"/>
      <w:numFmt w:val="bullet"/>
      <w:lvlText w:val=""/>
      <w:lvlJc w:val="left"/>
      <w:pPr>
        <w:ind w:left="1353"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55237368"/>
    <w:multiLevelType w:val="hybridMultilevel"/>
    <w:tmpl w:val="7C6E1574"/>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564021FC"/>
    <w:multiLevelType w:val="hybridMultilevel"/>
    <w:tmpl w:val="E8FEE922"/>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8061A56"/>
    <w:multiLevelType w:val="hybridMultilevel"/>
    <w:tmpl w:val="F42CEDBC"/>
    <w:lvl w:ilvl="0" w:tplc="C6C278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A315CE1"/>
    <w:multiLevelType w:val="hybridMultilevel"/>
    <w:tmpl w:val="F44C935A"/>
    <w:lvl w:ilvl="0" w:tplc="B964A8D0">
      <w:start w:val="1"/>
      <w:numFmt w:val="bullet"/>
      <w:lvlText w:val=""/>
      <w:lvlJc w:val="left"/>
      <w:pPr>
        <w:ind w:left="1644" w:hanging="360"/>
      </w:pPr>
      <w:rPr>
        <w:rFonts w:ascii="Symbol" w:hAnsi="Symbol"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38" w15:restartNumberingAfterBreak="0">
    <w:nsid w:val="5AA004C1"/>
    <w:multiLevelType w:val="hybridMultilevel"/>
    <w:tmpl w:val="37FC14EC"/>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B7029A8"/>
    <w:multiLevelType w:val="hybridMultilevel"/>
    <w:tmpl w:val="0BE6DD2C"/>
    <w:lvl w:ilvl="0" w:tplc="B964A8D0">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40" w15:restartNumberingAfterBreak="0">
    <w:nsid w:val="5D374E08"/>
    <w:multiLevelType w:val="hybridMultilevel"/>
    <w:tmpl w:val="BAF6F522"/>
    <w:lvl w:ilvl="0" w:tplc="C6C2785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15:restartNumberingAfterBreak="0">
    <w:nsid w:val="5D901AB3"/>
    <w:multiLevelType w:val="hybridMultilevel"/>
    <w:tmpl w:val="D944AFF2"/>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62022DFD"/>
    <w:multiLevelType w:val="hybridMultilevel"/>
    <w:tmpl w:val="0A629D66"/>
    <w:lvl w:ilvl="0" w:tplc="64F68E3A">
      <w:start w:val="1"/>
      <w:numFmt w:val="bullet"/>
      <w:lvlText w:val=""/>
      <w:lvlJc w:val="left"/>
      <w:pPr>
        <w:ind w:left="1559" w:hanging="360"/>
      </w:pPr>
      <w:rPr>
        <w:rFonts w:ascii="Symbol" w:hAnsi="Symbol" w:hint="default"/>
      </w:rPr>
    </w:lvl>
    <w:lvl w:ilvl="1" w:tplc="04190003" w:tentative="1">
      <w:start w:val="1"/>
      <w:numFmt w:val="bullet"/>
      <w:lvlText w:val="o"/>
      <w:lvlJc w:val="left"/>
      <w:pPr>
        <w:ind w:left="2279" w:hanging="360"/>
      </w:pPr>
      <w:rPr>
        <w:rFonts w:ascii="Courier New" w:hAnsi="Courier New" w:cs="Courier New" w:hint="default"/>
      </w:rPr>
    </w:lvl>
    <w:lvl w:ilvl="2" w:tplc="04190005" w:tentative="1">
      <w:start w:val="1"/>
      <w:numFmt w:val="bullet"/>
      <w:lvlText w:val=""/>
      <w:lvlJc w:val="left"/>
      <w:pPr>
        <w:ind w:left="2999" w:hanging="360"/>
      </w:pPr>
      <w:rPr>
        <w:rFonts w:ascii="Wingdings" w:hAnsi="Wingdings" w:hint="default"/>
      </w:rPr>
    </w:lvl>
    <w:lvl w:ilvl="3" w:tplc="04190001" w:tentative="1">
      <w:start w:val="1"/>
      <w:numFmt w:val="bullet"/>
      <w:lvlText w:val=""/>
      <w:lvlJc w:val="left"/>
      <w:pPr>
        <w:ind w:left="3719" w:hanging="360"/>
      </w:pPr>
      <w:rPr>
        <w:rFonts w:ascii="Symbol" w:hAnsi="Symbol" w:hint="default"/>
      </w:rPr>
    </w:lvl>
    <w:lvl w:ilvl="4" w:tplc="04190003" w:tentative="1">
      <w:start w:val="1"/>
      <w:numFmt w:val="bullet"/>
      <w:lvlText w:val="o"/>
      <w:lvlJc w:val="left"/>
      <w:pPr>
        <w:ind w:left="4439" w:hanging="360"/>
      </w:pPr>
      <w:rPr>
        <w:rFonts w:ascii="Courier New" w:hAnsi="Courier New" w:cs="Courier New" w:hint="default"/>
      </w:rPr>
    </w:lvl>
    <w:lvl w:ilvl="5" w:tplc="04190005" w:tentative="1">
      <w:start w:val="1"/>
      <w:numFmt w:val="bullet"/>
      <w:lvlText w:val=""/>
      <w:lvlJc w:val="left"/>
      <w:pPr>
        <w:ind w:left="5159" w:hanging="360"/>
      </w:pPr>
      <w:rPr>
        <w:rFonts w:ascii="Wingdings" w:hAnsi="Wingdings" w:hint="default"/>
      </w:rPr>
    </w:lvl>
    <w:lvl w:ilvl="6" w:tplc="04190001" w:tentative="1">
      <w:start w:val="1"/>
      <w:numFmt w:val="bullet"/>
      <w:lvlText w:val=""/>
      <w:lvlJc w:val="left"/>
      <w:pPr>
        <w:ind w:left="5879" w:hanging="360"/>
      </w:pPr>
      <w:rPr>
        <w:rFonts w:ascii="Symbol" w:hAnsi="Symbol" w:hint="default"/>
      </w:rPr>
    </w:lvl>
    <w:lvl w:ilvl="7" w:tplc="04190003" w:tentative="1">
      <w:start w:val="1"/>
      <w:numFmt w:val="bullet"/>
      <w:lvlText w:val="o"/>
      <w:lvlJc w:val="left"/>
      <w:pPr>
        <w:ind w:left="6599" w:hanging="360"/>
      </w:pPr>
      <w:rPr>
        <w:rFonts w:ascii="Courier New" w:hAnsi="Courier New" w:cs="Courier New" w:hint="default"/>
      </w:rPr>
    </w:lvl>
    <w:lvl w:ilvl="8" w:tplc="04190005" w:tentative="1">
      <w:start w:val="1"/>
      <w:numFmt w:val="bullet"/>
      <w:lvlText w:val=""/>
      <w:lvlJc w:val="left"/>
      <w:pPr>
        <w:ind w:left="7319" w:hanging="360"/>
      </w:pPr>
      <w:rPr>
        <w:rFonts w:ascii="Wingdings" w:hAnsi="Wingdings" w:hint="default"/>
      </w:rPr>
    </w:lvl>
  </w:abstractNum>
  <w:abstractNum w:abstractNumId="43" w15:restartNumberingAfterBreak="0">
    <w:nsid w:val="67420B25"/>
    <w:multiLevelType w:val="hybridMultilevel"/>
    <w:tmpl w:val="5434DE86"/>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75D191F"/>
    <w:multiLevelType w:val="hybridMultilevel"/>
    <w:tmpl w:val="2690BAB6"/>
    <w:lvl w:ilvl="0" w:tplc="FC60B2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675F069E"/>
    <w:multiLevelType w:val="hybridMultilevel"/>
    <w:tmpl w:val="FAC054EE"/>
    <w:lvl w:ilvl="0" w:tplc="B964A8D0">
      <w:start w:val="1"/>
      <w:numFmt w:val="bullet"/>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46" w15:restartNumberingAfterBreak="0">
    <w:nsid w:val="681E0B62"/>
    <w:multiLevelType w:val="hybridMultilevel"/>
    <w:tmpl w:val="26FA9158"/>
    <w:lvl w:ilvl="0" w:tplc="71542F8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7" w15:restartNumberingAfterBreak="0">
    <w:nsid w:val="6DCA2FBA"/>
    <w:multiLevelType w:val="hybridMultilevel"/>
    <w:tmpl w:val="3FCE3F6A"/>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8" w15:restartNumberingAfterBreak="0">
    <w:nsid w:val="71400313"/>
    <w:multiLevelType w:val="hybridMultilevel"/>
    <w:tmpl w:val="34FE8238"/>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25D2CB0"/>
    <w:multiLevelType w:val="hybridMultilevel"/>
    <w:tmpl w:val="1FCE6822"/>
    <w:lvl w:ilvl="0" w:tplc="4C0CDBE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737F0D18"/>
    <w:multiLevelType w:val="hybridMultilevel"/>
    <w:tmpl w:val="FD1602DE"/>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1" w15:restartNumberingAfterBreak="0">
    <w:nsid w:val="7485714F"/>
    <w:multiLevelType w:val="hybridMultilevel"/>
    <w:tmpl w:val="786C22A0"/>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2" w15:restartNumberingAfterBreak="0">
    <w:nsid w:val="75185EB6"/>
    <w:multiLevelType w:val="hybridMultilevel"/>
    <w:tmpl w:val="533EF846"/>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78FF14F2"/>
    <w:multiLevelType w:val="hybridMultilevel"/>
    <w:tmpl w:val="9CF4B490"/>
    <w:lvl w:ilvl="0" w:tplc="C6C278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79613F01"/>
    <w:multiLevelType w:val="hybridMultilevel"/>
    <w:tmpl w:val="0A165D24"/>
    <w:lvl w:ilvl="0" w:tplc="C52E25A2">
      <w:start w:val="1"/>
      <w:numFmt w:val="bullet"/>
      <w:pStyle w:val="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15:restartNumberingAfterBreak="0">
    <w:nsid w:val="7A270354"/>
    <w:multiLevelType w:val="hybridMultilevel"/>
    <w:tmpl w:val="26284FA0"/>
    <w:lvl w:ilvl="0" w:tplc="0C42934C">
      <w:start w:val="1"/>
      <w:numFmt w:val="decimal"/>
      <w:lvlText w:val="%1."/>
      <w:lvlJc w:val="left"/>
      <w:pPr>
        <w:ind w:left="1068" w:hanging="360"/>
      </w:pPr>
      <w:rPr>
        <w:rFonts w:eastAsia="Calibri"/>
        <w:sz w:val="28"/>
        <w:szCs w:val="28"/>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56" w15:restartNumberingAfterBreak="0">
    <w:nsid w:val="7A9200F3"/>
    <w:multiLevelType w:val="hybridMultilevel"/>
    <w:tmpl w:val="0D54A992"/>
    <w:lvl w:ilvl="0" w:tplc="C6C2785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15:restartNumberingAfterBreak="0">
    <w:nsid w:val="7ABF3D29"/>
    <w:multiLevelType w:val="hybridMultilevel"/>
    <w:tmpl w:val="12883A02"/>
    <w:lvl w:ilvl="0" w:tplc="7E34F2F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7ACB1461"/>
    <w:multiLevelType w:val="hybridMultilevel"/>
    <w:tmpl w:val="15D86194"/>
    <w:lvl w:ilvl="0" w:tplc="B964A8D0">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7BC635B1"/>
    <w:multiLevelType w:val="hybridMultilevel"/>
    <w:tmpl w:val="81B8F754"/>
    <w:lvl w:ilvl="0" w:tplc="0F26827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29"/>
  </w:num>
  <w:num w:numId="2">
    <w:abstractNumId w:val="57"/>
  </w:num>
  <w:num w:numId="3">
    <w:abstractNumId w:val="50"/>
  </w:num>
  <w:num w:numId="4">
    <w:abstractNumId w:val="11"/>
  </w:num>
  <w:num w:numId="5">
    <w:abstractNumId w:val="12"/>
  </w:num>
  <w:num w:numId="6">
    <w:abstractNumId w:val="0"/>
  </w:num>
  <w:num w:numId="7">
    <w:abstractNumId w:val="54"/>
  </w:num>
  <w:num w:numId="8">
    <w:abstractNumId w:val="39"/>
  </w:num>
  <w:num w:numId="9">
    <w:abstractNumId w:val="8"/>
  </w:num>
  <w:num w:numId="10">
    <w:abstractNumId w:val="55"/>
  </w:num>
  <w:num w:numId="11">
    <w:abstractNumId w:val="59"/>
  </w:num>
  <w:num w:numId="12">
    <w:abstractNumId w:val="47"/>
  </w:num>
  <w:num w:numId="13">
    <w:abstractNumId w:val="34"/>
  </w:num>
  <w:num w:numId="14">
    <w:abstractNumId w:val="2"/>
  </w:num>
  <w:num w:numId="15">
    <w:abstractNumId w:val="49"/>
  </w:num>
  <w:num w:numId="16">
    <w:abstractNumId w:val="32"/>
  </w:num>
  <w:num w:numId="17">
    <w:abstractNumId w:val="37"/>
  </w:num>
  <w:num w:numId="18">
    <w:abstractNumId w:val="36"/>
  </w:num>
  <w:num w:numId="19">
    <w:abstractNumId w:val="10"/>
  </w:num>
  <w:num w:numId="20">
    <w:abstractNumId w:val="28"/>
  </w:num>
  <w:num w:numId="21">
    <w:abstractNumId w:val="43"/>
  </w:num>
  <w:num w:numId="22">
    <w:abstractNumId w:val="21"/>
  </w:num>
  <w:num w:numId="23">
    <w:abstractNumId w:val="56"/>
  </w:num>
  <w:num w:numId="24">
    <w:abstractNumId w:val="26"/>
  </w:num>
  <w:num w:numId="25">
    <w:abstractNumId w:val="14"/>
  </w:num>
  <w:num w:numId="26">
    <w:abstractNumId w:val="27"/>
  </w:num>
  <w:num w:numId="27">
    <w:abstractNumId w:val="45"/>
  </w:num>
  <w:num w:numId="28">
    <w:abstractNumId w:val="16"/>
  </w:num>
  <w:num w:numId="29">
    <w:abstractNumId w:val="44"/>
  </w:num>
  <w:num w:numId="30">
    <w:abstractNumId w:val="18"/>
  </w:num>
  <w:num w:numId="31">
    <w:abstractNumId w:val="23"/>
  </w:num>
  <w:num w:numId="32">
    <w:abstractNumId w:val="19"/>
  </w:num>
  <w:num w:numId="33">
    <w:abstractNumId w:val="9"/>
  </w:num>
  <w:num w:numId="34">
    <w:abstractNumId w:val="58"/>
  </w:num>
  <w:num w:numId="35">
    <w:abstractNumId w:val="42"/>
  </w:num>
  <w:num w:numId="36">
    <w:abstractNumId w:val="35"/>
  </w:num>
  <w:num w:numId="37">
    <w:abstractNumId w:val="33"/>
  </w:num>
  <w:num w:numId="38">
    <w:abstractNumId w:val="40"/>
  </w:num>
  <w:num w:numId="39">
    <w:abstractNumId w:val="20"/>
  </w:num>
  <w:num w:numId="40">
    <w:abstractNumId w:val="53"/>
  </w:num>
  <w:num w:numId="41">
    <w:abstractNumId w:val="13"/>
  </w:num>
  <w:num w:numId="42">
    <w:abstractNumId w:val="7"/>
  </w:num>
  <w:num w:numId="43">
    <w:abstractNumId w:val="31"/>
  </w:num>
  <w:num w:numId="44">
    <w:abstractNumId w:val="46"/>
  </w:num>
  <w:num w:numId="45">
    <w:abstractNumId w:val="30"/>
  </w:num>
  <w:num w:numId="46">
    <w:abstractNumId w:val="22"/>
  </w:num>
  <w:num w:numId="47">
    <w:abstractNumId w:val="52"/>
  </w:num>
  <w:num w:numId="48">
    <w:abstractNumId w:val="5"/>
  </w:num>
  <w:num w:numId="49">
    <w:abstractNumId w:val="51"/>
  </w:num>
  <w:num w:numId="50">
    <w:abstractNumId w:val="41"/>
  </w:num>
  <w:num w:numId="51">
    <w:abstractNumId w:val="3"/>
  </w:num>
  <w:num w:numId="52">
    <w:abstractNumId w:val="25"/>
  </w:num>
  <w:num w:numId="53">
    <w:abstractNumId w:val="24"/>
  </w:num>
  <w:num w:numId="54">
    <w:abstractNumId w:val="15"/>
  </w:num>
  <w:num w:numId="55">
    <w:abstractNumId w:val="38"/>
  </w:num>
  <w:num w:numId="56">
    <w:abstractNumId w:val="48"/>
  </w:num>
  <w:num w:numId="57">
    <w:abstractNumId w:val="6"/>
  </w:num>
  <w:num w:numId="58">
    <w:abstractNumId w:val="17"/>
  </w:num>
  <w:num w:numId="59">
    <w:abstractNumId w:val="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B5"/>
    <w:rsid w:val="00000204"/>
    <w:rsid w:val="00000271"/>
    <w:rsid w:val="000004B4"/>
    <w:rsid w:val="00000559"/>
    <w:rsid w:val="00000658"/>
    <w:rsid w:val="000006C1"/>
    <w:rsid w:val="00000739"/>
    <w:rsid w:val="0000076E"/>
    <w:rsid w:val="000007C3"/>
    <w:rsid w:val="00000803"/>
    <w:rsid w:val="00000A6B"/>
    <w:rsid w:val="00000BA1"/>
    <w:rsid w:val="00000D8F"/>
    <w:rsid w:val="0000155A"/>
    <w:rsid w:val="0000159C"/>
    <w:rsid w:val="000015F8"/>
    <w:rsid w:val="000016F8"/>
    <w:rsid w:val="000017DE"/>
    <w:rsid w:val="00001932"/>
    <w:rsid w:val="00002527"/>
    <w:rsid w:val="000026D7"/>
    <w:rsid w:val="00002849"/>
    <w:rsid w:val="000029E6"/>
    <w:rsid w:val="000029F7"/>
    <w:rsid w:val="00002AC5"/>
    <w:rsid w:val="00002B24"/>
    <w:rsid w:val="00002D1F"/>
    <w:rsid w:val="00002DA9"/>
    <w:rsid w:val="00002EA4"/>
    <w:rsid w:val="0000311E"/>
    <w:rsid w:val="0000325D"/>
    <w:rsid w:val="000032CB"/>
    <w:rsid w:val="0000351C"/>
    <w:rsid w:val="0000355E"/>
    <w:rsid w:val="00003575"/>
    <w:rsid w:val="00003619"/>
    <w:rsid w:val="000036BE"/>
    <w:rsid w:val="0000395E"/>
    <w:rsid w:val="00003ABD"/>
    <w:rsid w:val="00003B25"/>
    <w:rsid w:val="00003E66"/>
    <w:rsid w:val="00003EAC"/>
    <w:rsid w:val="000043F6"/>
    <w:rsid w:val="00004461"/>
    <w:rsid w:val="0000489B"/>
    <w:rsid w:val="00004996"/>
    <w:rsid w:val="00004D21"/>
    <w:rsid w:val="00004E79"/>
    <w:rsid w:val="00004ED2"/>
    <w:rsid w:val="0000507E"/>
    <w:rsid w:val="000050B1"/>
    <w:rsid w:val="0000528C"/>
    <w:rsid w:val="00005412"/>
    <w:rsid w:val="0000570E"/>
    <w:rsid w:val="00005AEF"/>
    <w:rsid w:val="00005AFD"/>
    <w:rsid w:val="00005D6A"/>
    <w:rsid w:val="00005FB4"/>
    <w:rsid w:val="00006202"/>
    <w:rsid w:val="000063AC"/>
    <w:rsid w:val="0000657A"/>
    <w:rsid w:val="000066FA"/>
    <w:rsid w:val="00006A35"/>
    <w:rsid w:val="00006C01"/>
    <w:rsid w:val="00007177"/>
    <w:rsid w:val="00007185"/>
    <w:rsid w:val="000073A4"/>
    <w:rsid w:val="00007592"/>
    <w:rsid w:val="000075B7"/>
    <w:rsid w:val="0000794B"/>
    <w:rsid w:val="00007A0E"/>
    <w:rsid w:val="00007AD0"/>
    <w:rsid w:val="00007C42"/>
    <w:rsid w:val="00007D39"/>
    <w:rsid w:val="00007DB4"/>
    <w:rsid w:val="000104E3"/>
    <w:rsid w:val="0001061B"/>
    <w:rsid w:val="0001098B"/>
    <w:rsid w:val="000109BF"/>
    <w:rsid w:val="00010B4E"/>
    <w:rsid w:val="00010B5D"/>
    <w:rsid w:val="00010C5F"/>
    <w:rsid w:val="00010DCE"/>
    <w:rsid w:val="00010DD3"/>
    <w:rsid w:val="00010ED0"/>
    <w:rsid w:val="000113AE"/>
    <w:rsid w:val="00011461"/>
    <w:rsid w:val="00011D31"/>
    <w:rsid w:val="00011DED"/>
    <w:rsid w:val="00011E40"/>
    <w:rsid w:val="00011EC8"/>
    <w:rsid w:val="0001203B"/>
    <w:rsid w:val="000124DF"/>
    <w:rsid w:val="00012689"/>
    <w:rsid w:val="000126BE"/>
    <w:rsid w:val="00012A60"/>
    <w:rsid w:val="00012BCC"/>
    <w:rsid w:val="00012CBB"/>
    <w:rsid w:val="00012D47"/>
    <w:rsid w:val="00012FB9"/>
    <w:rsid w:val="0001304C"/>
    <w:rsid w:val="000135A9"/>
    <w:rsid w:val="00013707"/>
    <w:rsid w:val="00013997"/>
    <w:rsid w:val="00013B0A"/>
    <w:rsid w:val="00013CD4"/>
    <w:rsid w:val="00013F0C"/>
    <w:rsid w:val="00013F58"/>
    <w:rsid w:val="00013F8F"/>
    <w:rsid w:val="0001407A"/>
    <w:rsid w:val="0001421B"/>
    <w:rsid w:val="0001439B"/>
    <w:rsid w:val="00014454"/>
    <w:rsid w:val="000145D9"/>
    <w:rsid w:val="00014897"/>
    <w:rsid w:val="00014913"/>
    <w:rsid w:val="00014B2C"/>
    <w:rsid w:val="00014C2F"/>
    <w:rsid w:val="000152D7"/>
    <w:rsid w:val="0001533F"/>
    <w:rsid w:val="00015481"/>
    <w:rsid w:val="000154C5"/>
    <w:rsid w:val="00015DA8"/>
    <w:rsid w:val="00015F75"/>
    <w:rsid w:val="00016176"/>
    <w:rsid w:val="0001618D"/>
    <w:rsid w:val="00016568"/>
    <w:rsid w:val="0001672D"/>
    <w:rsid w:val="0001680C"/>
    <w:rsid w:val="00016855"/>
    <w:rsid w:val="0001699C"/>
    <w:rsid w:val="00016B1B"/>
    <w:rsid w:val="00016BE3"/>
    <w:rsid w:val="00016C6E"/>
    <w:rsid w:val="00016CD9"/>
    <w:rsid w:val="0001734F"/>
    <w:rsid w:val="00017450"/>
    <w:rsid w:val="00017517"/>
    <w:rsid w:val="000175C2"/>
    <w:rsid w:val="0001775B"/>
    <w:rsid w:val="000179FB"/>
    <w:rsid w:val="00017AC0"/>
    <w:rsid w:val="00017E2C"/>
    <w:rsid w:val="00017E3A"/>
    <w:rsid w:val="00017EFD"/>
    <w:rsid w:val="000201BD"/>
    <w:rsid w:val="0002023D"/>
    <w:rsid w:val="000204BE"/>
    <w:rsid w:val="000204D9"/>
    <w:rsid w:val="000204EE"/>
    <w:rsid w:val="000204F9"/>
    <w:rsid w:val="0002077B"/>
    <w:rsid w:val="0002093B"/>
    <w:rsid w:val="00020C2E"/>
    <w:rsid w:val="00020C34"/>
    <w:rsid w:val="00020C3D"/>
    <w:rsid w:val="00020F34"/>
    <w:rsid w:val="00020F41"/>
    <w:rsid w:val="00021001"/>
    <w:rsid w:val="0002104F"/>
    <w:rsid w:val="0002107A"/>
    <w:rsid w:val="00021188"/>
    <w:rsid w:val="00021540"/>
    <w:rsid w:val="00021660"/>
    <w:rsid w:val="000219C3"/>
    <w:rsid w:val="00021EBF"/>
    <w:rsid w:val="00022191"/>
    <w:rsid w:val="000226CC"/>
    <w:rsid w:val="000227F5"/>
    <w:rsid w:val="00022962"/>
    <w:rsid w:val="00022C00"/>
    <w:rsid w:val="00022E24"/>
    <w:rsid w:val="00022E9E"/>
    <w:rsid w:val="000231C3"/>
    <w:rsid w:val="00023244"/>
    <w:rsid w:val="000232FE"/>
    <w:rsid w:val="000234DF"/>
    <w:rsid w:val="0002391B"/>
    <w:rsid w:val="00023996"/>
    <w:rsid w:val="00023C4B"/>
    <w:rsid w:val="00023CA1"/>
    <w:rsid w:val="00023F24"/>
    <w:rsid w:val="00024208"/>
    <w:rsid w:val="0002427A"/>
    <w:rsid w:val="00024573"/>
    <w:rsid w:val="00024B13"/>
    <w:rsid w:val="00024D44"/>
    <w:rsid w:val="0002563E"/>
    <w:rsid w:val="000257AC"/>
    <w:rsid w:val="00025A7A"/>
    <w:rsid w:val="00025B21"/>
    <w:rsid w:val="00025C64"/>
    <w:rsid w:val="00025DA9"/>
    <w:rsid w:val="00025E6D"/>
    <w:rsid w:val="00025F06"/>
    <w:rsid w:val="00026297"/>
    <w:rsid w:val="000264D9"/>
    <w:rsid w:val="00026F45"/>
    <w:rsid w:val="00026F57"/>
    <w:rsid w:val="000273D9"/>
    <w:rsid w:val="000278BB"/>
    <w:rsid w:val="000279EF"/>
    <w:rsid w:val="00027C31"/>
    <w:rsid w:val="0003016A"/>
    <w:rsid w:val="000303A9"/>
    <w:rsid w:val="0003056F"/>
    <w:rsid w:val="000309BE"/>
    <w:rsid w:val="00030C43"/>
    <w:rsid w:val="000310CF"/>
    <w:rsid w:val="0003113A"/>
    <w:rsid w:val="0003126B"/>
    <w:rsid w:val="0003142F"/>
    <w:rsid w:val="00031453"/>
    <w:rsid w:val="00031597"/>
    <w:rsid w:val="0003162A"/>
    <w:rsid w:val="00031A57"/>
    <w:rsid w:val="00031C1B"/>
    <w:rsid w:val="00031E74"/>
    <w:rsid w:val="00032268"/>
    <w:rsid w:val="000323FF"/>
    <w:rsid w:val="000325B6"/>
    <w:rsid w:val="00032742"/>
    <w:rsid w:val="00032806"/>
    <w:rsid w:val="00032828"/>
    <w:rsid w:val="00032AA6"/>
    <w:rsid w:val="00032F3B"/>
    <w:rsid w:val="00033024"/>
    <w:rsid w:val="000332ED"/>
    <w:rsid w:val="00033306"/>
    <w:rsid w:val="0003358F"/>
    <w:rsid w:val="00033783"/>
    <w:rsid w:val="00033A79"/>
    <w:rsid w:val="00033AB1"/>
    <w:rsid w:val="00033B5C"/>
    <w:rsid w:val="00033BB3"/>
    <w:rsid w:val="00033D32"/>
    <w:rsid w:val="00033D49"/>
    <w:rsid w:val="00033D89"/>
    <w:rsid w:val="00033E7B"/>
    <w:rsid w:val="00033F66"/>
    <w:rsid w:val="000340BE"/>
    <w:rsid w:val="0003449A"/>
    <w:rsid w:val="0003466C"/>
    <w:rsid w:val="00034748"/>
    <w:rsid w:val="00034D91"/>
    <w:rsid w:val="000355C5"/>
    <w:rsid w:val="000358E0"/>
    <w:rsid w:val="00035C5D"/>
    <w:rsid w:val="00035DEF"/>
    <w:rsid w:val="00035FAC"/>
    <w:rsid w:val="00036309"/>
    <w:rsid w:val="000364A6"/>
    <w:rsid w:val="0003660B"/>
    <w:rsid w:val="00036BFB"/>
    <w:rsid w:val="00036C40"/>
    <w:rsid w:val="00036D7A"/>
    <w:rsid w:val="00036DD7"/>
    <w:rsid w:val="00036E13"/>
    <w:rsid w:val="00036FAD"/>
    <w:rsid w:val="0003707B"/>
    <w:rsid w:val="00037198"/>
    <w:rsid w:val="000371BA"/>
    <w:rsid w:val="0003739C"/>
    <w:rsid w:val="00037532"/>
    <w:rsid w:val="00037764"/>
    <w:rsid w:val="0003791F"/>
    <w:rsid w:val="00037A14"/>
    <w:rsid w:val="00040384"/>
    <w:rsid w:val="000403E7"/>
    <w:rsid w:val="000408C4"/>
    <w:rsid w:val="00040902"/>
    <w:rsid w:val="0004096C"/>
    <w:rsid w:val="00040C03"/>
    <w:rsid w:val="00040D4D"/>
    <w:rsid w:val="00041307"/>
    <w:rsid w:val="000413C6"/>
    <w:rsid w:val="00041618"/>
    <w:rsid w:val="0004184C"/>
    <w:rsid w:val="00041851"/>
    <w:rsid w:val="00041AE1"/>
    <w:rsid w:val="00041D16"/>
    <w:rsid w:val="00041FB6"/>
    <w:rsid w:val="00041FE3"/>
    <w:rsid w:val="00041FF9"/>
    <w:rsid w:val="000421B6"/>
    <w:rsid w:val="00042463"/>
    <w:rsid w:val="0004261C"/>
    <w:rsid w:val="000426A5"/>
    <w:rsid w:val="000429F5"/>
    <w:rsid w:val="00042B0A"/>
    <w:rsid w:val="00042C37"/>
    <w:rsid w:val="00042CC0"/>
    <w:rsid w:val="00042DF4"/>
    <w:rsid w:val="00043175"/>
    <w:rsid w:val="00043333"/>
    <w:rsid w:val="000434C9"/>
    <w:rsid w:val="00043617"/>
    <w:rsid w:val="000437E5"/>
    <w:rsid w:val="00043868"/>
    <w:rsid w:val="00043B83"/>
    <w:rsid w:val="00043F27"/>
    <w:rsid w:val="00044185"/>
    <w:rsid w:val="00044446"/>
    <w:rsid w:val="00044599"/>
    <w:rsid w:val="00044682"/>
    <w:rsid w:val="00044A92"/>
    <w:rsid w:val="00044CDD"/>
    <w:rsid w:val="00044F84"/>
    <w:rsid w:val="00045173"/>
    <w:rsid w:val="000453DF"/>
    <w:rsid w:val="0004549A"/>
    <w:rsid w:val="00045B2E"/>
    <w:rsid w:val="00045D07"/>
    <w:rsid w:val="00045D09"/>
    <w:rsid w:val="00045F07"/>
    <w:rsid w:val="00045F95"/>
    <w:rsid w:val="00046247"/>
    <w:rsid w:val="0004661A"/>
    <w:rsid w:val="00046690"/>
    <w:rsid w:val="000468B3"/>
    <w:rsid w:val="000468C2"/>
    <w:rsid w:val="000469B0"/>
    <w:rsid w:val="00046A23"/>
    <w:rsid w:val="00046C7A"/>
    <w:rsid w:val="00046F75"/>
    <w:rsid w:val="000474C0"/>
    <w:rsid w:val="000474D3"/>
    <w:rsid w:val="00047562"/>
    <w:rsid w:val="00047667"/>
    <w:rsid w:val="000476F5"/>
    <w:rsid w:val="00047CA3"/>
    <w:rsid w:val="00047E3B"/>
    <w:rsid w:val="00047EFC"/>
    <w:rsid w:val="000500AF"/>
    <w:rsid w:val="0005045E"/>
    <w:rsid w:val="000506C6"/>
    <w:rsid w:val="000507B8"/>
    <w:rsid w:val="000509CC"/>
    <w:rsid w:val="00050EA6"/>
    <w:rsid w:val="00051063"/>
    <w:rsid w:val="00051077"/>
    <w:rsid w:val="0005121C"/>
    <w:rsid w:val="00051305"/>
    <w:rsid w:val="000517F7"/>
    <w:rsid w:val="00051A21"/>
    <w:rsid w:val="00051DE8"/>
    <w:rsid w:val="00051E4B"/>
    <w:rsid w:val="0005202C"/>
    <w:rsid w:val="00052140"/>
    <w:rsid w:val="00052581"/>
    <w:rsid w:val="000525A4"/>
    <w:rsid w:val="00052C81"/>
    <w:rsid w:val="00052E22"/>
    <w:rsid w:val="00052E6C"/>
    <w:rsid w:val="00052F2D"/>
    <w:rsid w:val="00053123"/>
    <w:rsid w:val="0005316F"/>
    <w:rsid w:val="000532D7"/>
    <w:rsid w:val="0005358B"/>
    <w:rsid w:val="00053590"/>
    <w:rsid w:val="00053826"/>
    <w:rsid w:val="00053D0C"/>
    <w:rsid w:val="00053D64"/>
    <w:rsid w:val="00053DA2"/>
    <w:rsid w:val="00053EA0"/>
    <w:rsid w:val="00053F7D"/>
    <w:rsid w:val="000540B3"/>
    <w:rsid w:val="0005411F"/>
    <w:rsid w:val="000548A1"/>
    <w:rsid w:val="00054996"/>
    <w:rsid w:val="00054AC9"/>
    <w:rsid w:val="00054DBE"/>
    <w:rsid w:val="00054E39"/>
    <w:rsid w:val="00054FA8"/>
    <w:rsid w:val="000551B4"/>
    <w:rsid w:val="000552BA"/>
    <w:rsid w:val="00055B65"/>
    <w:rsid w:val="00055D63"/>
    <w:rsid w:val="00056035"/>
    <w:rsid w:val="00056097"/>
    <w:rsid w:val="000562FD"/>
    <w:rsid w:val="00056439"/>
    <w:rsid w:val="00056497"/>
    <w:rsid w:val="0005658D"/>
    <w:rsid w:val="0005687F"/>
    <w:rsid w:val="00056B32"/>
    <w:rsid w:val="00056DF9"/>
    <w:rsid w:val="00056E3B"/>
    <w:rsid w:val="00056E78"/>
    <w:rsid w:val="00056FA3"/>
    <w:rsid w:val="0005727E"/>
    <w:rsid w:val="00057339"/>
    <w:rsid w:val="0005738F"/>
    <w:rsid w:val="000573B4"/>
    <w:rsid w:val="0005783B"/>
    <w:rsid w:val="000578B6"/>
    <w:rsid w:val="00057AC8"/>
    <w:rsid w:val="00057DAB"/>
    <w:rsid w:val="000601C4"/>
    <w:rsid w:val="000604DC"/>
    <w:rsid w:val="00060669"/>
    <w:rsid w:val="00060802"/>
    <w:rsid w:val="00060ADB"/>
    <w:rsid w:val="00060B57"/>
    <w:rsid w:val="00060DF2"/>
    <w:rsid w:val="00061037"/>
    <w:rsid w:val="00061248"/>
    <w:rsid w:val="000612FB"/>
    <w:rsid w:val="0006185B"/>
    <w:rsid w:val="0006195C"/>
    <w:rsid w:val="00061AD3"/>
    <w:rsid w:val="00061ADA"/>
    <w:rsid w:val="00061B18"/>
    <w:rsid w:val="00061F62"/>
    <w:rsid w:val="00062262"/>
    <w:rsid w:val="0006243B"/>
    <w:rsid w:val="00062CE5"/>
    <w:rsid w:val="00062CE7"/>
    <w:rsid w:val="000634DB"/>
    <w:rsid w:val="00063553"/>
    <w:rsid w:val="0006389F"/>
    <w:rsid w:val="00063943"/>
    <w:rsid w:val="00063978"/>
    <w:rsid w:val="00063CB0"/>
    <w:rsid w:val="00063DA4"/>
    <w:rsid w:val="00063F79"/>
    <w:rsid w:val="00063FF7"/>
    <w:rsid w:val="00064177"/>
    <w:rsid w:val="0006441C"/>
    <w:rsid w:val="0006441E"/>
    <w:rsid w:val="000644CE"/>
    <w:rsid w:val="00064545"/>
    <w:rsid w:val="00064825"/>
    <w:rsid w:val="0006484D"/>
    <w:rsid w:val="00064C3B"/>
    <w:rsid w:val="00064ED9"/>
    <w:rsid w:val="00065268"/>
    <w:rsid w:val="00065469"/>
    <w:rsid w:val="00065572"/>
    <w:rsid w:val="000655A7"/>
    <w:rsid w:val="000655D8"/>
    <w:rsid w:val="000659E7"/>
    <w:rsid w:val="00065D1B"/>
    <w:rsid w:val="00065D4C"/>
    <w:rsid w:val="00065E6E"/>
    <w:rsid w:val="000660CD"/>
    <w:rsid w:val="0006622B"/>
    <w:rsid w:val="00066311"/>
    <w:rsid w:val="0006643E"/>
    <w:rsid w:val="000666D8"/>
    <w:rsid w:val="000669C7"/>
    <w:rsid w:val="00066A5E"/>
    <w:rsid w:val="00066CBE"/>
    <w:rsid w:val="0006742A"/>
    <w:rsid w:val="000678A3"/>
    <w:rsid w:val="00067B82"/>
    <w:rsid w:val="00067D34"/>
    <w:rsid w:val="0007031D"/>
    <w:rsid w:val="00070595"/>
    <w:rsid w:val="000705D9"/>
    <w:rsid w:val="000706D2"/>
    <w:rsid w:val="000708DC"/>
    <w:rsid w:val="00070978"/>
    <w:rsid w:val="00070ACB"/>
    <w:rsid w:val="00070E17"/>
    <w:rsid w:val="00070FF2"/>
    <w:rsid w:val="00071099"/>
    <w:rsid w:val="000712C8"/>
    <w:rsid w:val="000713D6"/>
    <w:rsid w:val="00071423"/>
    <w:rsid w:val="00071696"/>
    <w:rsid w:val="00071872"/>
    <w:rsid w:val="000719CD"/>
    <w:rsid w:val="00071A32"/>
    <w:rsid w:val="00071B44"/>
    <w:rsid w:val="00071B89"/>
    <w:rsid w:val="00071CC5"/>
    <w:rsid w:val="000722C5"/>
    <w:rsid w:val="00072672"/>
    <w:rsid w:val="00072687"/>
    <w:rsid w:val="000728B4"/>
    <w:rsid w:val="0007298E"/>
    <w:rsid w:val="00072DC5"/>
    <w:rsid w:val="0007341C"/>
    <w:rsid w:val="00073454"/>
    <w:rsid w:val="000735E3"/>
    <w:rsid w:val="0007364C"/>
    <w:rsid w:val="00073661"/>
    <w:rsid w:val="000736BD"/>
    <w:rsid w:val="00073725"/>
    <w:rsid w:val="000737BB"/>
    <w:rsid w:val="00073BC5"/>
    <w:rsid w:val="000741C2"/>
    <w:rsid w:val="000742F0"/>
    <w:rsid w:val="00074378"/>
    <w:rsid w:val="000744C6"/>
    <w:rsid w:val="000748A2"/>
    <w:rsid w:val="00074C0A"/>
    <w:rsid w:val="00074CFC"/>
    <w:rsid w:val="00074D0D"/>
    <w:rsid w:val="0007506E"/>
    <w:rsid w:val="000750A7"/>
    <w:rsid w:val="000753B6"/>
    <w:rsid w:val="0007546E"/>
    <w:rsid w:val="00075497"/>
    <w:rsid w:val="000756A2"/>
    <w:rsid w:val="000756F3"/>
    <w:rsid w:val="000759C5"/>
    <w:rsid w:val="00075B9D"/>
    <w:rsid w:val="00075E58"/>
    <w:rsid w:val="00075E92"/>
    <w:rsid w:val="0007605D"/>
    <w:rsid w:val="000762A7"/>
    <w:rsid w:val="0007631A"/>
    <w:rsid w:val="00076427"/>
    <w:rsid w:val="00076612"/>
    <w:rsid w:val="000766D7"/>
    <w:rsid w:val="000767F0"/>
    <w:rsid w:val="00076A04"/>
    <w:rsid w:val="00076C0A"/>
    <w:rsid w:val="00076D84"/>
    <w:rsid w:val="00076E86"/>
    <w:rsid w:val="0007714A"/>
    <w:rsid w:val="000776DD"/>
    <w:rsid w:val="000779BC"/>
    <w:rsid w:val="00077EDB"/>
    <w:rsid w:val="0008010B"/>
    <w:rsid w:val="0008015A"/>
    <w:rsid w:val="00080ABE"/>
    <w:rsid w:val="0008100E"/>
    <w:rsid w:val="00081191"/>
    <w:rsid w:val="0008126B"/>
    <w:rsid w:val="000813C8"/>
    <w:rsid w:val="000813DB"/>
    <w:rsid w:val="00081C07"/>
    <w:rsid w:val="00081C4B"/>
    <w:rsid w:val="00081DC2"/>
    <w:rsid w:val="00081DCA"/>
    <w:rsid w:val="00082048"/>
    <w:rsid w:val="0008259A"/>
    <w:rsid w:val="000826E4"/>
    <w:rsid w:val="00082871"/>
    <w:rsid w:val="00082886"/>
    <w:rsid w:val="00082A1B"/>
    <w:rsid w:val="00082C56"/>
    <w:rsid w:val="00082F37"/>
    <w:rsid w:val="000830FE"/>
    <w:rsid w:val="00083164"/>
    <w:rsid w:val="00083480"/>
    <w:rsid w:val="000836D3"/>
    <w:rsid w:val="00083852"/>
    <w:rsid w:val="0008443C"/>
    <w:rsid w:val="00084534"/>
    <w:rsid w:val="0008455B"/>
    <w:rsid w:val="00084B9D"/>
    <w:rsid w:val="00084C10"/>
    <w:rsid w:val="00084C9B"/>
    <w:rsid w:val="0008521E"/>
    <w:rsid w:val="000852DB"/>
    <w:rsid w:val="0008531D"/>
    <w:rsid w:val="00085421"/>
    <w:rsid w:val="00085635"/>
    <w:rsid w:val="00085783"/>
    <w:rsid w:val="00085B59"/>
    <w:rsid w:val="00086356"/>
    <w:rsid w:val="00086363"/>
    <w:rsid w:val="0008636B"/>
    <w:rsid w:val="00086557"/>
    <w:rsid w:val="0008671B"/>
    <w:rsid w:val="00086794"/>
    <w:rsid w:val="00086AB7"/>
    <w:rsid w:val="000870A6"/>
    <w:rsid w:val="000871B0"/>
    <w:rsid w:val="00087342"/>
    <w:rsid w:val="00087408"/>
    <w:rsid w:val="00087681"/>
    <w:rsid w:val="000901A5"/>
    <w:rsid w:val="0009024D"/>
    <w:rsid w:val="0009027E"/>
    <w:rsid w:val="000902AB"/>
    <w:rsid w:val="000904D7"/>
    <w:rsid w:val="00090572"/>
    <w:rsid w:val="000906D2"/>
    <w:rsid w:val="00090A11"/>
    <w:rsid w:val="00090A25"/>
    <w:rsid w:val="00090B20"/>
    <w:rsid w:val="00091046"/>
    <w:rsid w:val="000910EC"/>
    <w:rsid w:val="00091212"/>
    <w:rsid w:val="0009132A"/>
    <w:rsid w:val="00091435"/>
    <w:rsid w:val="000916E1"/>
    <w:rsid w:val="000918B7"/>
    <w:rsid w:val="000918F9"/>
    <w:rsid w:val="00091B64"/>
    <w:rsid w:val="00091C03"/>
    <w:rsid w:val="00091C23"/>
    <w:rsid w:val="00091D74"/>
    <w:rsid w:val="00092590"/>
    <w:rsid w:val="000927C4"/>
    <w:rsid w:val="000929F1"/>
    <w:rsid w:val="00092AA6"/>
    <w:rsid w:val="00092ADA"/>
    <w:rsid w:val="00092B91"/>
    <w:rsid w:val="0009356A"/>
    <w:rsid w:val="00093A91"/>
    <w:rsid w:val="00093B0F"/>
    <w:rsid w:val="00093C43"/>
    <w:rsid w:val="00093D26"/>
    <w:rsid w:val="00093F5D"/>
    <w:rsid w:val="00094246"/>
    <w:rsid w:val="0009431A"/>
    <w:rsid w:val="00094728"/>
    <w:rsid w:val="00094A18"/>
    <w:rsid w:val="00094AB1"/>
    <w:rsid w:val="00094B8A"/>
    <w:rsid w:val="00095082"/>
    <w:rsid w:val="0009517B"/>
    <w:rsid w:val="000951EC"/>
    <w:rsid w:val="0009526B"/>
    <w:rsid w:val="0009540F"/>
    <w:rsid w:val="0009553F"/>
    <w:rsid w:val="00095792"/>
    <w:rsid w:val="000957E2"/>
    <w:rsid w:val="00095A42"/>
    <w:rsid w:val="00095A61"/>
    <w:rsid w:val="00095B7E"/>
    <w:rsid w:val="00095C8D"/>
    <w:rsid w:val="00095EE5"/>
    <w:rsid w:val="00096365"/>
    <w:rsid w:val="00096776"/>
    <w:rsid w:val="000967F8"/>
    <w:rsid w:val="00096997"/>
    <w:rsid w:val="000969F5"/>
    <w:rsid w:val="00096A00"/>
    <w:rsid w:val="00096B0A"/>
    <w:rsid w:val="00096E72"/>
    <w:rsid w:val="000976E9"/>
    <w:rsid w:val="0009779A"/>
    <w:rsid w:val="00097AE0"/>
    <w:rsid w:val="00097E7A"/>
    <w:rsid w:val="000A024D"/>
    <w:rsid w:val="000A0402"/>
    <w:rsid w:val="000A04BA"/>
    <w:rsid w:val="000A06A6"/>
    <w:rsid w:val="000A0AE6"/>
    <w:rsid w:val="000A0F75"/>
    <w:rsid w:val="000A10FF"/>
    <w:rsid w:val="000A1561"/>
    <w:rsid w:val="000A16CD"/>
    <w:rsid w:val="000A1B04"/>
    <w:rsid w:val="000A1BDD"/>
    <w:rsid w:val="000A1C1E"/>
    <w:rsid w:val="000A1CFA"/>
    <w:rsid w:val="000A21BF"/>
    <w:rsid w:val="000A21E5"/>
    <w:rsid w:val="000A248A"/>
    <w:rsid w:val="000A2A30"/>
    <w:rsid w:val="000A2E96"/>
    <w:rsid w:val="000A3088"/>
    <w:rsid w:val="000A3318"/>
    <w:rsid w:val="000A3329"/>
    <w:rsid w:val="000A332E"/>
    <w:rsid w:val="000A33B4"/>
    <w:rsid w:val="000A35DA"/>
    <w:rsid w:val="000A3762"/>
    <w:rsid w:val="000A3980"/>
    <w:rsid w:val="000A39F2"/>
    <w:rsid w:val="000A3AB4"/>
    <w:rsid w:val="000A3B38"/>
    <w:rsid w:val="000A3E48"/>
    <w:rsid w:val="000A3F73"/>
    <w:rsid w:val="000A4024"/>
    <w:rsid w:val="000A4475"/>
    <w:rsid w:val="000A4582"/>
    <w:rsid w:val="000A4797"/>
    <w:rsid w:val="000A4826"/>
    <w:rsid w:val="000A4BCA"/>
    <w:rsid w:val="000A4CE2"/>
    <w:rsid w:val="000A4FBB"/>
    <w:rsid w:val="000A50E8"/>
    <w:rsid w:val="000A5235"/>
    <w:rsid w:val="000A57E3"/>
    <w:rsid w:val="000A5DC9"/>
    <w:rsid w:val="000A68D8"/>
    <w:rsid w:val="000A6A57"/>
    <w:rsid w:val="000A6B23"/>
    <w:rsid w:val="000A6C1C"/>
    <w:rsid w:val="000A736D"/>
    <w:rsid w:val="000A747B"/>
    <w:rsid w:val="000A7A9A"/>
    <w:rsid w:val="000A7D76"/>
    <w:rsid w:val="000A7E7E"/>
    <w:rsid w:val="000B01B4"/>
    <w:rsid w:val="000B02DA"/>
    <w:rsid w:val="000B03DE"/>
    <w:rsid w:val="000B0557"/>
    <w:rsid w:val="000B061B"/>
    <w:rsid w:val="000B0912"/>
    <w:rsid w:val="000B0A94"/>
    <w:rsid w:val="000B0C05"/>
    <w:rsid w:val="000B0C09"/>
    <w:rsid w:val="000B1001"/>
    <w:rsid w:val="000B1781"/>
    <w:rsid w:val="000B198B"/>
    <w:rsid w:val="000B1AE1"/>
    <w:rsid w:val="000B1EEC"/>
    <w:rsid w:val="000B1F3A"/>
    <w:rsid w:val="000B1FF7"/>
    <w:rsid w:val="000B23F4"/>
    <w:rsid w:val="000B255D"/>
    <w:rsid w:val="000B25DB"/>
    <w:rsid w:val="000B28C1"/>
    <w:rsid w:val="000B2976"/>
    <w:rsid w:val="000B2BC6"/>
    <w:rsid w:val="000B2C57"/>
    <w:rsid w:val="000B2D03"/>
    <w:rsid w:val="000B2DD8"/>
    <w:rsid w:val="000B2F90"/>
    <w:rsid w:val="000B30B7"/>
    <w:rsid w:val="000B312E"/>
    <w:rsid w:val="000B350B"/>
    <w:rsid w:val="000B3541"/>
    <w:rsid w:val="000B3C82"/>
    <w:rsid w:val="000B3E1E"/>
    <w:rsid w:val="000B405F"/>
    <w:rsid w:val="000B4694"/>
    <w:rsid w:val="000B47A8"/>
    <w:rsid w:val="000B4A41"/>
    <w:rsid w:val="000B4C67"/>
    <w:rsid w:val="000B51FB"/>
    <w:rsid w:val="000B52DF"/>
    <w:rsid w:val="000B5496"/>
    <w:rsid w:val="000B5554"/>
    <w:rsid w:val="000B578B"/>
    <w:rsid w:val="000B58BA"/>
    <w:rsid w:val="000B5991"/>
    <w:rsid w:val="000B5A13"/>
    <w:rsid w:val="000B5ED1"/>
    <w:rsid w:val="000B5F3A"/>
    <w:rsid w:val="000B6241"/>
    <w:rsid w:val="000B659C"/>
    <w:rsid w:val="000B6779"/>
    <w:rsid w:val="000B6ADE"/>
    <w:rsid w:val="000B6BCF"/>
    <w:rsid w:val="000B6DBC"/>
    <w:rsid w:val="000B6DD4"/>
    <w:rsid w:val="000B6F15"/>
    <w:rsid w:val="000B7099"/>
    <w:rsid w:val="000B735B"/>
    <w:rsid w:val="000B7E0D"/>
    <w:rsid w:val="000B7F42"/>
    <w:rsid w:val="000B7FD6"/>
    <w:rsid w:val="000C0185"/>
    <w:rsid w:val="000C09C4"/>
    <w:rsid w:val="000C0AD2"/>
    <w:rsid w:val="000C0B29"/>
    <w:rsid w:val="000C0CB4"/>
    <w:rsid w:val="000C0F1F"/>
    <w:rsid w:val="000C10D4"/>
    <w:rsid w:val="000C142B"/>
    <w:rsid w:val="000C14A8"/>
    <w:rsid w:val="000C16F8"/>
    <w:rsid w:val="000C1700"/>
    <w:rsid w:val="000C17E6"/>
    <w:rsid w:val="000C191E"/>
    <w:rsid w:val="000C1C4A"/>
    <w:rsid w:val="000C1CDE"/>
    <w:rsid w:val="000C1D31"/>
    <w:rsid w:val="000C1D35"/>
    <w:rsid w:val="000C1DC2"/>
    <w:rsid w:val="000C1EA5"/>
    <w:rsid w:val="000C1F35"/>
    <w:rsid w:val="000C1FC7"/>
    <w:rsid w:val="000C1FE9"/>
    <w:rsid w:val="000C22FD"/>
    <w:rsid w:val="000C2435"/>
    <w:rsid w:val="000C24F1"/>
    <w:rsid w:val="000C2557"/>
    <w:rsid w:val="000C271C"/>
    <w:rsid w:val="000C29D3"/>
    <w:rsid w:val="000C3037"/>
    <w:rsid w:val="000C3060"/>
    <w:rsid w:val="000C30D8"/>
    <w:rsid w:val="000C3215"/>
    <w:rsid w:val="000C3417"/>
    <w:rsid w:val="000C3490"/>
    <w:rsid w:val="000C34FC"/>
    <w:rsid w:val="000C36E9"/>
    <w:rsid w:val="000C39A5"/>
    <w:rsid w:val="000C3D4A"/>
    <w:rsid w:val="000C433F"/>
    <w:rsid w:val="000C4367"/>
    <w:rsid w:val="000C46C7"/>
    <w:rsid w:val="000C4764"/>
    <w:rsid w:val="000C4844"/>
    <w:rsid w:val="000C4CE3"/>
    <w:rsid w:val="000C505D"/>
    <w:rsid w:val="000C52C4"/>
    <w:rsid w:val="000C5568"/>
    <w:rsid w:val="000C5880"/>
    <w:rsid w:val="000C5975"/>
    <w:rsid w:val="000C59BE"/>
    <w:rsid w:val="000C5E95"/>
    <w:rsid w:val="000C5F65"/>
    <w:rsid w:val="000C5FDF"/>
    <w:rsid w:val="000C60B7"/>
    <w:rsid w:val="000C6229"/>
    <w:rsid w:val="000C624B"/>
    <w:rsid w:val="000C6362"/>
    <w:rsid w:val="000C64CB"/>
    <w:rsid w:val="000C6506"/>
    <w:rsid w:val="000C67E8"/>
    <w:rsid w:val="000C7104"/>
    <w:rsid w:val="000C75EE"/>
    <w:rsid w:val="000C7634"/>
    <w:rsid w:val="000C7813"/>
    <w:rsid w:val="000C7990"/>
    <w:rsid w:val="000C7C71"/>
    <w:rsid w:val="000C7CD2"/>
    <w:rsid w:val="000D0151"/>
    <w:rsid w:val="000D023C"/>
    <w:rsid w:val="000D04CF"/>
    <w:rsid w:val="000D0516"/>
    <w:rsid w:val="000D0709"/>
    <w:rsid w:val="000D0EB8"/>
    <w:rsid w:val="000D0EDB"/>
    <w:rsid w:val="000D11C5"/>
    <w:rsid w:val="000D1851"/>
    <w:rsid w:val="000D18F6"/>
    <w:rsid w:val="000D1A15"/>
    <w:rsid w:val="000D210E"/>
    <w:rsid w:val="000D2179"/>
    <w:rsid w:val="000D2211"/>
    <w:rsid w:val="000D2589"/>
    <w:rsid w:val="000D2667"/>
    <w:rsid w:val="000D26AB"/>
    <w:rsid w:val="000D2982"/>
    <w:rsid w:val="000D298C"/>
    <w:rsid w:val="000D2B30"/>
    <w:rsid w:val="000D2C2B"/>
    <w:rsid w:val="000D2C4C"/>
    <w:rsid w:val="000D3181"/>
    <w:rsid w:val="000D3212"/>
    <w:rsid w:val="000D3859"/>
    <w:rsid w:val="000D38DF"/>
    <w:rsid w:val="000D3BD0"/>
    <w:rsid w:val="000D3D97"/>
    <w:rsid w:val="000D3FA5"/>
    <w:rsid w:val="000D438E"/>
    <w:rsid w:val="000D4433"/>
    <w:rsid w:val="000D475A"/>
    <w:rsid w:val="000D496F"/>
    <w:rsid w:val="000D4996"/>
    <w:rsid w:val="000D4DC8"/>
    <w:rsid w:val="000D4FC5"/>
    <w:rsid w:val="000D5517"/>
    <w:rsid w:val="000D56FA"/>
    <w:rsid w:val="000D5750"/>
    <w:rsid w:val="000D593D"/>
    <w:rsid w:val="000D5945"/>
    <w:rsid w:val="000D5947"/>
    <w:rsid w:val="000D5BAB"/>
    <w:rsid w:val="000D5C2F"/>
    <w:rsid w:val="000D5C45"/>
    <w:rsid w:val="000D5D7E"/>
    <w:rsid w:val="000D5ED5"/>
    <w:rsid w:val="000D6064"/>
    <w:rsid w:val="000D6118"/>
    <w:rsid w:val="000D6412"/>
    <w:rsid w:val="000D6569"/>
    <w:rsid w:val="000D65E4"/>
    <w:rsid w:val="000D66C8"/>
    <w:rsid w:val="000D6AC6"/>
    <w:rsid w:val="000D6B11"/>
    <w:rsid w:val="000D6BE0"/>
    <w:rsid w:val="000D6C86"/>
    <w:rsid w:val="000D6CCE"/>
    <w:rsid w:val="000D6F79"/>
    <w:rsid w:val="000D7052"/>
    <w:rsid w:val="000D70D3"/>
    <w:rsid w:val="000D71DF"/>
    <w:rsid w:val="000D768E"/>
    <w:rsid w:val="000D7A7D"/>
    <w:rsid w:val="000D7FD1"/>
    <w:rsid w:val="000E003E"/>
    <w:rsid w:val="000E0252"/>
    <w:rsid w:val="000E0963"/>
    <w:rsid w:val="000E09B4"/>
    <w:rsid w:val="000E0DDE"/>
    <w:rsid w:val="000E1203"/>
    <w:rsid w:val="000E149D"/>
    <w:rsid w:val="000E1795"/>
    <w:rsid w:val="000E1877"/>
    <w:rsid w:val="000E1A76"/>
    <w:rsid w:val="000E1B65"/>
    <w:rsid w:val="000E1C9C"/>
    <w:rsid w:val="000E232C"/>
    <w:rsid w:val="000E23CC"/>
    <w:rsid w:val="000E25BC"/>
    <w:rsid w:val="000E2892"/>
    <w:rsid w:val="000E295C"/>
    <w:rsid w:val="000E2D7D"/>
    <w:rsid w:val="000E2DD1"/>
    <w:rsid w:val="000E2E8A"/>
    <w:rsid w:val="000E30EE"/>
    <w:rsid w:val="000E338D"/>
    <w:rsid w:val="000E39C7"/>
    <w:rsid w:val="000E3A98"/>
    <w:rsid w:val="000E3E0E"/>
    <w:rsid w:val="000E3E35"/>
    <w:rsid w:val="000E3F68"/>
    <w:rsid w:val="000E410C"/>
    <w:rsid w:val="000E44F1"/>
    <w:rsid w:val="000E47D5"/>
    <w:rsid w:val="000E4C13"/>
    <w:rsid w:val="000E4D7C"/>
    <w:rsid w:val="000E4E06"/>
    <w:rsid w:val="000E5282"/>
    <w:rsid w:val="000E55AD"/>
    <w:rsid w:val="000E5650"/>
    <w:rsid w:val="000E566A"/>
    <w:rsid w:val="000E5ADD"/>
    <w:rsid w:val="000E5D00"/>
    <w:rsid w:val="000E5D5C"/>
    <w:rsid w:val="000E626E"/>
    <w:rsid w:val="000E63E6"/>
    <w:rsid w:val="000E6486"/>
    <w:rsid w:val="000E6B4A"/>
    <w:rsid w:val="000E6BBF"/>
    <w:rsid w:val="000E6BE4"/>
    <w:rsid w:val="000E6BEE"/>
    <w:rsid w:val="000E6CAB"/>
    <w:rsid w:val="000E73D9"/>
    <w:rsid w:val="000E74B6"/>
    <w:rsid w:val="000E767E"/>
    <w:rsid w:val="000E76CD"/>
    <w:rsid w:val="000E7B8E"/>
    <w:rsid w:val="000E7B92"/>
    <w:rsid w:val="000E7D56"/>
    <w:rsid w:val="000F0196"/>
    <w:rsid w:val="000F096E"/>
    <w:rsid w:val="000F0AA3"/>
    <w:rsid w:val="000F0F0E"/>
    <w:rsid w:val="000F0F6C"/>
    <w:rsid w:val="000F1153"/>
    <w:rsid w:val="000F11BE"/>
    <w:rsid w:val="000F1563"/>
    <w:rsid w:val="000F165D"/>
    <w:rsid w:val="000F1674"/>
    <w:rsid w:val="000F1AEA"/>
    <w:rsid w:val="000F1B47"/>
    <w:rsid w:val="000F2457"/>
    <w:rsid w:val="000F2498"/>
    <w:rsid w:val="000F2603"/>
    <w:rsid w:val="000F3503"/>
    <w:rsid w:val="000F374B"/>
    <w:rsid w:val="000F3800"/>
    <w:rsid w:val="000F38DD"/>
    <w:rsid w:val="000F3913"/>
    <w:rsid w:val="000F3A0E"/>
    <w:rsid w:val="000F3C39"/>
    <w:rsid w:val="000F3E1F"/>
    <w:rsid w:val="000F3F03"/>
    <w:rsid w:val="000F46CB"/>
    <w:rsid w:val="000F4A4F"/>
    <w:rsid w:val="000F4EBE"/>
    <w:rsid w:val="000F54A2"/>
    <w:rsid w:val="000F5576"/>
    <w:rsid w:val="000F567E"/>
    <w:rsid w:val="000F5834"/>
    <w:rsid w:val="000F599C"/>
    <w:rsid w:val="000F59FB"/>
    <w:rsid w:val="000F5B6E"/>
    <w:rsid w:val="000F5E4B"/>
    <w:rsid w:val="000F6051"/>
    <w:rsid w:val="000F60F7"/>
    <w:rsid w:val="000F61AD"/>
    <w:rsid w:val="000F63AB"/>
    <w:rsid w:val="000F645F"/>
    <w:rsid w:val="000F68F2"/>
    <w:rsid w:val="000F6C06"/>
    <w:rsid w:val="000F74CD"/>
    <w:rsid w:val="000F771D"/>
    <w:rsid w:val="000F7871"/>
    <w:rsid w:val="000F79B1"/>
    <w:rsid w:val="001003F2"/>
    <w:rsid w:val="001007C8"/>
    <w:rsid w:val="00100869"/>
    <w:rsid w:val="00100B49"/>
    <w:rsid w:val="0010103F"/>
    <w:rsid w:val="001010DC"/>
    <w:rsid w:val="00101229"/>
    <w:rsid w:val="00101316"/>
    <w:rsid w:val="0010138F"/>
    <w:rsid w:val="001013FE"/>
    <w:rsid w:val="0010157F"/>
    <w:rsid w:val="001015B6"/>
    <w:rsid w:val="0010189D"/>
    <w:rsid w:val="001018A5"/>
    <w:rsid w:val="0010190F"/>
    <w:rsid w:val="0010197E"/>
    <w:rsid w:val="00101C8B"/>
    <w:rsid w:val="00101D5B"/>
    <w:rsid w:val="00101D93"/>
    <w:rsid w:val="00102194"/>
    <w:rsid w:val="001022D5"/>
    <w:rsid w:val="00102752"/>
    <w:rsid w:val="00103034"/>
    <w:rsid w:val="001030AC"/>
    <w:rsid w:val="001030B5"/>
    <w:rsid w:val="00103334"/>
    <w:rsid w:val="001033B5"/>
    <w:rsid w:val="0010392A"/>
    <w:rsid w:val="00103A59"/>
    <w:rsid w:val="00103E76"/>
    <w:rsid w:val="0010432D"/>
    <w:rsid w:val="001044F7"/>
    <w:rsid w:val="001045F9"/>
    <w:rsid w:val="001047EC"/>
    <w:rsid w:val="00104842"/>
    <w:rsid w:val="001048A2"/>
    <w:rsid w:val="00104DF1"/>
    <w:rsid w:val="00104DF3"/>
    <w:rsid w:val="00104E3F"/>
    <w:rsid w:val="0010515E"/>
    <w:rsid w:val="001051CE"/>
    <w:rsid w:val="0010564E"/>
    <w:rsid w:val="001056B2"/>
    <w:rsid w:val="00105735"/>
    <w:rsid w:val="00105799"/>
    <w:rsid w:val="001057B2"/>
    <w:rsid w:val="0010590B"/>
    <w:rsid w:val="00105B98"/>
    <w:rsid w:val="0010644B"/>
    <w:rsid w:val="00106580"/>
    <w:rsid w:val="00106A89"/>
    <w:rsid w:val="00106BD7"/>
    <w:rsid w:val="00106F61"/>
    <w:rsid w:val="00107546"/>
    <w:rsid w:val="00107764"/>
    <w:rsid w:val="0010779D"/>
    <w:rsid w:val="00107837"/>
    <w:rsid w:val="00107A9F"/>
    <w:rsid w:val="00107F33"/>
    <w:rsid w:val="0011053F"/>
    <w:rsid w:val="001105A2"/>
    <w:rsid w:val="001105BE"/>
    <w:rsid w:val="00110A4C"/>
    <w:rsid w:val="00110A5D"/>
    <w:rsid w:val="00110B30"/>
    <w:rsid w:val="00110D9A"/>
    <w:rsid w:val="0011141D"/>
    <w:rsid w:val="0011145B"/>
    <w:rsid w:val="001114B1"/>
    <w:rsid w:val="00111A84"/>
    <w:rsid w:val="00111A95"/>
    <w:rsid w:val="0011215E"/>
    <w:rsid w:val="0011220E"/>
    <w:rsid w:val="001124BF"/>
    <w:rsid w:val="001124C1"/>
    <w:rsid w:val="0011264A"/>
    <w:rsid w:val="00112664"/>
    <w:rsid w:val="00112A67"/>
    <w:rsid w:val="00112CC9"/>
    <w:rsid w:val="00112E0D"/>
    <w:rsid w:val="00113160"/>
    <w:rsid w:val="00113318"/>
    <w:rsid w:val="0011342B"/>
    <w:rsid w:val="0011347E"/>
    <w:rsid w:val="00113578"/>
    <w:rsid w:val="00113787"/>
    <w:rsid w:val="001137BE"/>
    <w:rsid w:val="001139B9"/>
    <w:rsid w:val="00113A0E"/>
    <w:rsid w:val="00113AA0"/>
    <w:rsid w:val="00113F0C"/>
    <w:rsid w:val="00113FE1"/>
    <w:rsid w:val="00114036"/>
    <w:rsid w:val="001142BF"/>
    <w:rsid w:val="00114513"/>
    <w:rsid w:val="0011484D"/>
    <w:rsid w:val="001148AA"/>
    <w:rsid w:val="00114A56"/>
    <w:rsid w:val="00114C06"/>
    <w:rsid w:val="001150D7"/>
    <w:rsid w:val="00115115"/>
    <w:rsid w:val="0011537A"/>
    <w:rsid w:val="001157B9"/>
    <w:rsid w:val="0011598A"/>
    <w:rsid w:val="001159CB"/>
    <w:rsid w:val="001159D3"/>
    <w:rsid w:val="00115A49"/>
    <w:rsid w:val="00115CC5"/>
    <w:rsid w:val="00115F39"/>
    <w:rsid w:val="00115FA1"/>
    <w:rsid w:val="00116359"/>
    <w:rsid w:val="001163FD"/>
    <w:rsid w:val="001169B9"/>
    <w:rsid w:val="00116A58"/>
    <w:rsid w:val="00116C0B"/>
    <w:rsid w:val="00116D19"/>
    <w:rsid w:val="00116E8C"/>
    <w:rsid w:val="0011711D"/>
    <w:rsid w:val="001171A7"/>
    <w:rsid w:val="001171B5"/>
    <w:rsid w:val="001172DD"/>
    <w:rsid w:val="0011732F"/>
    <w:rsid w:val="0011743D"/>
    <w:rsid w:val="001175D1"/>
    <w:rsid w:val="00117816"/>
    <w:rsid w:val="00117989"/>
    <w:rsid w:val="00117ADF"/>
    <w:rsid w:val="00117D43"/>
    <w:rsid w:val="00117DEE"/>
    <w:rsid w:val="00117F3B"/>
    <w:rsid w:val="0012079F"/>
    <w:rsid w:val="0012083C"/>
    <w:rsid w:val="00120FA3"/>
    <w:rsid w:val="001213A3"/>
    <w:rsid w:val="0012162B"/>
    <w:rsid w:val="0012177C"/>
    <w:rsid w:val="001218D5"/>
    <w:rsid w:val="0012199E"/>
    <w:rsid w:val="00121B34"/>
    <w:rsid w:val="00121B9D"/>
    <w:rsid w:val="00121D0C"/>
    <w:rsid w:val="00121D84"/>
    <w:rsid w:val="001220D8"/>
    <w:rsid w:val="001221E8"/>
    <w:rsid w:val="00122696"/>
    <w:rsid w:val="00122912"/>
    <w:rsid w:val="001229A8"/>
    <w:rsid w:val="001229EA"/>
    <w:rsid w:val="00122CC7"/>
    <w:rsid w:val="00122F0C"/>
    <w:rsid w:val="001231AE"/>
    <w:rsid w:val="00123273"/>
    <w:rsid w:val="001232AC"/>
    <w:rsid w:val="001235EA"/>
    <w:rsid w:val="00123A6C"/>
    <w:rsid w:val="00123F53"/>
    <w:rsid w:val="00124345"/>
    <w:rsid w:val="001243A8"/>
    <w:rsid w:val="0012448E"/>
    <w:rsid w:val="0012456B"/>
    <w:rsid w:val="00124987"/>
    <w:rsid w:val="00124AC9"/>
    <w:rsid w:val="001255CB"/>
    <w:rsid w:val="00125608"/>
    <w:rsid w:val="001256DD"/>
    <w:rsid w:val="00125768"/>
    <w:rsid w:val="00125F64"/>
    <w:rsid w:val="00125FAC"/>
    <w:rsid w:val="0012608B"/>
    <w:rsid w:val="00126546"/>
    <w:rsid w:val="0012663D"/>
    <w:rsid w:val="001266C9"/>
    <w:rsid w:val="001267D4"/>
    <w:rsid w:val="00126824"/>
    <w:rsid w:val="00126BAD"/>
    <w:rsid w:val="00126BB4"/>
    <w:rsid w:val="00126C2E"/>
    <w:rsid w:val="00126E3C"/>
    <w:rsid w:val="00126FF7"/>
    <w:rsid w:val="0012732B"/>
    <w:rsid w:val="0012737F"/>
    <w:rsid w:val="00127529"/>
    <w:rsid w:val="00127543"/>
    <w:rsid w:val="00127AB4"/>
    <w:rsid w:val="00127B58"/>
    <w:rsid w:val="00127EBA"/>
    <w:rsid w:val="00130203"/>
    <w:rsid w:val="0013021C"/>
    <w:rsid w:val="0013026E"/>
    <w:rsid w:val="00130492"/>
    <w:rsid w:val="00130547"/>
    <w:rsid w:val="0013065E"/>
    <w:rsid w:val="00130A20"/>
    <w:rsid w:val="00130B0C"/>
    <w:rsid w:val="00130B6F"/>
    <w:rsid w:val="00130C83"/>
    <w:rsid w:val="00130DBA"/>
    <w:rsid w:val="00130FDE"/>
    <w:rsid w:val="00131200"/>
    <w:rsid w:val="0013126E"/>
    <w:rsid w:val="001312A2"/>
    <w:rsid w:val="00131346"/>
    <w:rsid w:val="0013175A"/>
    <w:rsid w:val="00131898"/>
    <w:rsid w:val="0013197B"/>
    <w:rsid w:val="00131D88"/>
    <w:rsid w:val="001320CC"/>
    <w:rsid w:val="001321E5"/>
    <w:rsid w:val="001322CB"/>
    <w:rsid w:val="00132629"/>
    <w:rsid w:val="00132894"/>
    <w:rsid w:val="00132912"/>
    <w:rsid w:val="001329BC"/>
    <w:rsid w:val="00132C3D"/>
    <w:rsid w:val="00132EC6"/>
    <w:rsid w:val="0013311B"/>
    <w:rsid w:val="001334E7"/>
    <w:rsid w:val="001334F5"/>
    <w:rsid w:val="00133556"/>
    <w:rsid w:val="001335AA"/>
    <w:rsid w:val="001335D1"/>
    <w:rsid w:val="00133B1F"/>
    <w:rsid w:val="00133C3B"/>
    <w:rsid w:val="00134099"/>
    <w:rsid w:val="00134369"/>
    <w:rsid w:val="0013486C"/>
    <w:rsid w:val="00134A0A"/>
    <w:rsid w:val="00134DD8"/>
    <w:rsid w:val="00135152"/>
    <w:rsid w:val="00135290"/>
    <w:rsid w:val="001352FC"/>
    <w:rsid w:val="00135348"/>
    <w:rsid w:val="00135630"/>
    <w:rsid w:val="00135683"/>
    <w:rsid w:val="00135839"/>
    <w:rsid w:val="001358F4"/>
    <w:rsid w:val="00135937"/>
    <w:rsid w:val="00135D33"/>
    <w:rsid w:val="00135D66"/>
    <w:rsid w:val="00135F47"/>
    <w:rsid w:val="00136084"/>
    <w:rsid w:val="001362A6"/>
    <w:rsid w:val="001364F1"/>
    <w:rsid w:val="0013674F"/>
    <w:rsid w:val="001368D6"/>
    <w:rsid w:val="0013696B"/>
    <w:rsid w:val="00136A50"/>
    <w:rsid w:val="00136C63"/>
    <w:rsid w:val="00136CBB"/>
    <w:rsid w:val="00136CC9"/>
    <w:rsid w:val="00136D90"/>
    <w:rsid w:val="00136DFD"/>
    <w:rsid w:val="00137025"/>
    <w:rsid w:val="001371F5"/>
    <w:rsid w:val="00137214"/>
    <w:rsid w:val="00137225"/>
    <w:rsid w:val="001375DF"/>
    <w:rsid w:val="0013785C"/>
    <w:rsid w:val="00137FE2"/>
    <w:rsid w:val="001402B7"/>
    <w:rsid w:val="001405B8"/>
    <w:rsid w:val="0014074B"/>
    <w:rsid w:val="0014094F"/>
    <w:rsid w:val="00140951"/>
    <w:rsid w:val="00140BDF"/>
    <w:rsid w:val="00141C95"/>
    <w:rsid w:val="00141CDA"/>
    <w:rsid w:val="00141D77"/>
    <w:rsid w:val="001421F9"/>
    <w:rsid w:val="00142424"/>
    <w:rsid w:val="001424F6"/>
    <w:rsid w:val="00142508"/>
    <w:rsid w:val="00142A07"/>
    <w:rsid w:val="00142AAA"/>
    <w:rsid w:val="00142E36"/>
    <w:rsid w:val="00142FB7"/>
    <w:rsid w:val="001432FA"/>
    <w:rsid w:val="001434F9"/>
    <w:rsid w:val="00143DF0"/>
    <w:rsid w:val="00144004"/>
    <w:rsid w:val="00144240"/>
    <w:rsid w:val="00144A56"/>
    <w:rsid w:val="00144A59"/>
    <w:rsid w:val="00144B9D"/>
    <w:rsid w:val="00144D2B"/>
    <w:rsid w:val="00144E5A"/>
    <w:rsid w:val="0014522C"/>
    <w:rsid w:val="001453A8"/>
    <w:rsid w:val="0014566E"/>
    <w:rsid w:val="00145885"/>
    <w:rsid w:val="00145A33"/>
    <w:rsid w:val="00145B22"/>
    <w:rsid w:val="00145BCA"/>
    <w:rsid w:val="00145BCD"/>
    <w:rsid w:val="00145E0A"/>
    <w:rsid w:val="00145EBF"/>
    <w:rsid w:val="00146405"/>
    <w:rsid w:val="00146795"/>
    <w:rsid w:val="00146808"/>
    <w:rsid w:val="0014687F"/>
    <w:rsid w:val="0014688D"/>
    <w:rsid w:val="0014698B"/>
    <w:rsid w:val="00146B24"/>
    <w:rsid w:val="00146DE9"/>
    <w:rsid w:val="00146FD5"/>
    <w:rsid w:val="00147084"/>
    <w:rsid w:val="001472F5"/>
    <w:rsid w:val="00147B0B"/>
    <w:rsid w:val="00147BB4"/>
    <w:rsid w:val="00147DC6"/>
    <w:rsid w:val="001501D0"/>
    <w:rsid w:val="0015027A"/>
    <w:rsid w:val="001508F9"/>
    <w:rsid w:val="00150933"/>
    <w:rsid w:val="00150B97"/>
    <w:rsid w:val="00150EDC"/>
    <w:rsid w:val="00151194"/>
    <w:rsid w:val="00151216"/>
    <w:rsid w:val="00151358"/>
    <w:rsid w:val="001513D0"/>
    <w:rsid w:val="00151432"/>
    <w:rsid w:val="00151442"/>
    <w:rsid w:val="0015152F"/>
    <w:rsid w:val="00151763"/>
    <w:rsid w:val="00151865"/>
    <w:rsid w:val="00151AE5"/>
    <w:rsid w:val="00151EB3"/>
    <w:rsid w:val="00152062"/>
    <w:rsid w:val="00152126"/>
    <w:rsid w:val="001521B1"/>
    <w:rsid w:val="00152263"/>
    <w:rsid w:val="0015255D"/>
    <w:rsid w:val="0015267F"/>
    <w:rsid w:val="0015281A"/>
    <w:rsid w:val="00152D36"/>
    <w:rsid w:val="00152E6A"/>
    <w:rsid w:val="0015339A"/>
    <w:rsid w:val="00153471"/>
    <w:rsid w:val="001536E8"/>
    <w:rsid w:val="00153764"/>
    <w:rsid w:val="00153839"/>
    <w:rsid w:val="00153BC4"/>
    <w:rsid w:val="00153E40"/>
    <w:rsid w:val="001540AD"/>
    <w:rsid w:val="001540AF"/>
    <w:rsid w:val="00154602"/>
    <w:rsid w:val="0015483A"/>
    <w:rsid w:val="00154991"/>
    <w:rsid w:val="00154D4F"/>
    <w:rsid w:val="00155365"/>
    <w:rsid w:val="00155366"/>
    <w:rsid w:val="001557BA"/>
    <w:rsid w:val="00155A01"/>
    <w:rsid w:val="00155A49"/>
    <w:rsid w:val="00155AA3"/>
    <w:rsid w:val="00155B19"/>
    <w:rsid w:val="00155D76"/>
    <w:rsid w:val="00156331"/>
    <w:rsid w:val="0015662B"/>
    <w:rsid w:val="001566D0"/>
    <w:rsid w:val="001568A0"/>
    <w:rsid w:val="0015693B"/>
    <w:rsid w:val="00156997"/>
    <w:rsid w:val="00156A69"/>
    <w:rsid w:val="00156A86"/>
    <w:rsid w:val="00156BBB"/>
    <w:rsid w:val="00156C53"/>
    <w:rsid w:val="00156CC6"/>
    <w:rsid w:val="00156D97"/>
    <w:rsid w:val="00156F9F"/>
    <w:rsid w:val="001570E2"/>
    <w:rsid w:val="0015727E"/>
    <w:rsid w:val="001572C4"/>
    <w:rsid w:val="001574A6"/>
    <w:rsid w:val="001574AE"/>
    <w:rsid w:val="0015758E"/>
    <w:rsid w:val="0015769F"/>
    <w:rsid w:val="00157986"/>
    <w:rsid w:val="001602AA"/>
    <w:rsid w:val="00160353"/>
    <w:rsid w:val="00160743"/>
    <w:rsid w:val="0016077D"/>
    <w:rsid w:val="0016087B"/>
    <w:rsid w:val="00160924"/>
    <w:rsid w:val="00161174"/>
    <w:rsid w:val="001612F4"/>
    <w:rsid w:val="00161360"/>
    <w:rsid w:val="001619FF"/>
    <w:rsid w:val="00161C54"/>
    <w:rsid w:val="00161C94"/>
    <w:rsid w:val="00161FC9"/>
    <w:rsid w:val="0016215A"/>
    <w:rsid w:val="0016216F"/>
    <w:rsid w:val="001624F0"/>
    <w:rsid w:val="0016257C"/>
    <w:rsid w:val="001625F9"/>
    <w:rsid w:val="00162637"/>
    <w:rsid w:val="00162B1D"/>
    <w:rsid w:val="00162DBE"/>
    <w:rsid w:val="00162FE5"/>
    <w:rsid w:val="00163238"/>
    <w:rsid w:val="0016337E"/>
    <w:rsid w:val="00163420"/>
    <w:rsid w:val="00163498"/>
    <w:rsid w:val="001634A4"/>
    <w:rsid w:val="0016398E"/>
    <w:rsid w:val="00163C3F"/>
    <w:rsid w:val="00163D1C"/>
    <w:rsid w:val="00163E4D"/>
    <w:rsid w:val="00163FE3"/>
    <w:rsid w:val="00164063"/>
    <w:rsid w:val="0016465A"/>
    <w:rsid w:val="00164689"/>
    <w:rsid w:val="001646E8"/>
    <w:rsid w:val="0016498A"/>
    <w:rsid w:val="00164D33"/>
    <w:rsid w:val="0016521E"/>
    <w:rsid w:val="001655DC"/>
    <w:rsid w:val="001655EB"/>
    <w:rsid w:val="0016571B"/>
    <w:rsid w:val="001657A6"/>
    <w:rsid w:val="001658CC"/>
    <w:rsid w:val="00165E79"/>
    <w:rsid w:val="00166658"/>
    <w:rsid w:val="00166DA8"/>
    <w:rsid w:val="00166FAE"/>
    <w:rsid w:val="00167192"/>
    <w:rsid w:val="0016728E"/>
    <w:rsid w:val="001674B4"/>
    <w:rsid w:val="001674CB"/>
    <w:rsid w:val="001677A8"/>
    <w:rsid w:val="001677C5"/>
    <w:rsid w:val="00167C2A"/>
    <w:rsid w:val="00170256"/>
    <w:rsid w:val="0017028A"/>
    <w:rsid w:val="001706C4"/>
    <w:rsid w:val="001709CB"/>
    <w:rsid w:val="001709EE"/>
    <w:rsid w:val="00170BF4"/>
    <w:rsid w:val="00170E31"/>
    <w:rsid w:val="00171035"/>
    <w:rsid w:val="00171147"/>
    <w:rsid w:val="00171174"/>
    <w:rsid w:val="00171539"/>
    <w:rsid w:val="00171678"/>
    <w:rsid w:val="00171A5D"/>
    <w:rsid w:val="00171D04"/>
    <w:rsid w:val="00171D39"/>
    <w:rsid w:val="00172725"/>
    <w:rsid w:val="00172843"/>
    <w:rsid w:val="00172A06"/>
    <w:rsid w:val="00172A95"/>
    <w:rsid w:val="00172BE4"/>
    <w:rsid w:val="00172D8F"/>
    <w:rsid w:val="00172D93"/>
    <w:rsid w:val="00172F34"/>
    <w:rsid w:val="00173174"/>
    <w:rsid w:val="00173957"/>
    <w:rsid w:val="0017426F"/>
    <w:rsid w:val="0017427E"/>
    <w:rsid w:val="0017451F"/>
    <w:rsid w:val="001745A0"/>
    <w:rsid w:val="00174B08"/>
    <w:rsid w:val="00174F39"/>
    <w:rsid w:val="00174F7E"/>
    <w:rsid w:val="001752B1"/>
    <w:rsid w:val="001752E4"/>
    <w:rsid w:val="001753E3"/>
    <w:rsid w:val="001755B1"/>
    <w:rsid w:val="00175A78"/>
    <w:rsid w:val="00175E22"/>
    <w:rsid w:val="001761B7"/>
    <w:rsid w:val="00176466"/>
    <w:rsid w:val="00176708"/>
    <w:rsid w:val="00176969"/>
    <w:rsid w:val="00176A73"/>
    <w:rsid w:val="00176D81"/>
    <w:rsid w:val="00176E35"/>
    <w:rsid w:val="00177159"/>
    <w:rsid w:val="00177249"/>
    <w:rsid w:val="00177260"/>
    <w:rsid w:val="001775CA"/>
    <w:rsid w:val="00177738"/>
    <w:rsid w:val="00177887"/>
    <w:rsid w:val="00177C4C"/>
    <w:rsid w:val="00177C90"/>
    <w:rsid w:val="00177F2F"/>
    <w:rsid w:val="001800EF"/>
    <w:rsid w:val="001800F0"/>
    <w:rsid w:val="00180112"/>
    <w:rsid w:val="001802F0"/>
    <w:rsid w:val="001803CD"/>
    <w:rsid w:val="00180477"/>
    <w:rsid w:val="001804B2"/>
    <w:rsid w:val="00180CCE"/>
    <w:rsid w:val="00180D40"/>
    <w:rsid w:val="00181983"/>
    <w:rsid w:val="001819E1"/>
    <w:rsid w:val="00181A44"/>
    <w:rsid w:val="00181AA9"/>
    <w:rsid w:val="00181DCC"/>
    <w:rsid w:val="00182028"/>
    <w:rsid w:val="001822CC"/>
    <w:rsid w:val="001824E5"/>
    <w:rsid w:val="0018260E"/>
    <w:rsid w:val="00182C44"/>
    <w:rsid w:val="00182E06"/>
    <w:rsid w:val="00183244"/>
    <w:rsid w:val="00183384"/>
    <w:rsid w:val="0018345F"/>
    <w:rsid w:val="001835CE"/>
    <w:rsid w:val="001836CF"/>
    <w:rsid w:val="001839FD"/>
    <w:rsid w:val="00184135"/>
    <w:rsid w:val="00184302"/>
    <w:rsid w:val="0018482F"/>
    <w:rsid w:val="0018494E"/>
    <w:rsid w:val="00184F66"/>
    <w:rsid w:val="00184FB7"/>
    <w:rsid w:val="00184FDE"/>
    <w:rsid w:val="00185063"/>
    <w:rsid w:val="001852D3"/>
    <w:rsid w:val="00185800"/>
    <w:rsid w:val="00185F2E"/>
    <w:rsid w:val="00186A1C"/>
    <w:rsid w:val="00186D10"/>
    <w:rsid w:val="00186EDB"/>
    <w:rsid w:val="00186F03"/>
    <w:rsid w:val="001871DB"/>
    <w:rsid w:val="0018725C"/>
    <w:rsid w:val="0018737E"/>
    <w:rsid w:val="00187718"/>
    <w:rsid w:val="0018773C"/>
    <w:rsid w:val="00187B20"/>
    <w:rsid w:val="00187BD6"/>
    <w:rsid w:val="00187E05"/>
    <w:rsid w:val="0019021A"/>
    <w:rsid w:val="00190315"/>
    <w:rsid w:val="001909E6"/>
    <w:rsid w:val="00190B80"/>
    <w:rsid w:val="00190FA4"/>
    <w:rsid w:val="001911BE"/>
    <w:rsid w:val="0019120D"/>
    <w:rsid w:val="0019138E"/>
    <w:rsid w:val="001913E6"/>
    <w:rsid w:val="00191B36"/>
    <w:rsid w:val="00191CAD"/>
    <w:rsid w:val="00191D30"/>
    <w:rsid w:val="001920DD"/>
    <w:rsid w:val="00192273"/>
    <w:rsid w:val="00192333"/>
    <w:rsid w:val="00192455"/>
    <w:rsid w:val="00192640"/>
    <w:rsid w:val="00192707"/>
    <w:rsid w:val="00192754"/>
    <w:rsid w:val="001927E7"/>
    <w:rsid w:val="00192EB4"/>
    <w:rsid w:val="00192EE2"/>
    <w:rsid w:val="00193006"/>
    <w:rsid w:val="001930CB"/>
    <w:rsid w:val="001931A1"/>
    <w:rsid w:val="001933AA"/>
    <w:rsid w:val="0019348F"/>
    <w:rsid w:val="0019385C"/>
    <w:rsid w:val="001938C9"/>
    <w:rsid w:val="00193B38"/>
    <w:rsid w:val="00193C49"/>
    <w:rsid w:val="00193D07"/>
    <w:rsid w:val="00193DEE"/>
    <w:rsid w:val="0019401D"/>
    <w:rsid w:val="0019408C"/>
    <w:rsid w:val="0019460B"/>
    <w:rsid w:val="0019468C"/>
    <w:rsid w:val="0019475C"/>
    <w:rsid w:val="0019485A"/>
    <w:rsid w:val="001948FF"/>
    <w:rsid w:val="00194BAA"/>
    <w:rsid w:val="00194FA1"/>
    <w:rsid w:val="00195076"/>
    <w:rsid w:val="001950B2"/>
    <w:rsid w:val="001950F1"/>
    <w:rsid w:val="00195E28"/>
    <w:rsid w:val="001965E8"/>
    <w:rsid w:val="00196703"/>
    <w:rsid w:val="001968C0"/>
    <w:rsid w:val="00196A65"/>
    <w:rsid w:val="00196C5F"/>
    <w:rsid w:val="00196EA3"/>
    <w:rsid w:val="0019705F"/>
    <w:rsid w:val="00197497"/>
    <w:rsid w:val="001979EA"/>
    <w:rsid w:val="00197A9B"/>
    <w:rsid w:val="00197B96"/>
    <w:rsid w:val="00197BB5"/>
    <w:rsid w:val="00197E0F"/>
    <w:rsid w:val="00197ECB"/>
    <w:rsid w:val="001A005B"/>
    <w:rsid w:val="001A02EC"/>
    <w:rsid w:val="001A0441"/>
    <w:rsid w:val="001A06EA"/>
    <w:rsid w:val="001A0787"/>
    <w:rsid w:val="001A07A0"/>
    <w:rsid w:val="001A0985"/>
    <w:rsid w:val="001A0A68"/>
    <w:rsid w:val="001A0D3B"/>
    <w:rsid w:val="001A0EB2"/>
    <w:rsid w:val="001A0FDF"/>
    <w:rsid w:val="001A1511"/>
    <w:rsid w:val="001A1AB2"/>
    <w:rsid w:val="001A1C6A"/>
    <w:rsid w:val="001A1E14"/>
    <w:rsid w:val="001A20B0"/>
    <w:rsid w:val="001A2250"/>
    <w:rsid w:val="001A2478"/>
    <w:rsid w:val="001A25CD"/>
    <w:rsid w:val="001A2A1E"/>
    <w:rsid w:val="001A2C74"/>
    <w:rsid w:val="001A31E1"/>
    <w:rsid w:val="001A3582"/>
    <w:rsid w:val="001A37C7"/>
    <w:rsid w:val="001A3883"/>
    <w:rsid w:val="001A39D6"/>
    <w:rsid w:val="001A3AD3"/>
    <w:rsid w:val="001A3B82"/>
    <w:rsid w:val="001A3DA2"/>
    <w:rsid w:val="001A3E0E"/>
    <w:rsid w:val="001A3F1A"/>
    <w:rsid w:val="001A3F65"/>
    <w:rsid w:val="001A4159"/>
    <w:rsid w:val="001A4292"/>
    <w:rsid w:val="001A4429"/>
    <w:rsid w:val="001A45CD"/>
    <w:rsid w:val="001A46EA"/>
    <w:rsid w:val="001A4947"/>
    <w:rsid w:val="001A4986"/>
    <w:rsid w:val="001A49BF"/>
    <w:rsid w:val="001A4A39"/>
    <w:rsid w:val="001A4C52"/>
    <w:rsid w:val="001A4CAB"/>
    <w:rsid w:val="001A4CF2"/>
    <w:rsid w:val="001A507F"/>
    <w:rsid w:val="001A5087"/>
    <w:rsid w:val="001A51A5"/>
    <w:rsid w:val="001A558B"/>
    <w:rsid w:val="001A5666"/>
    <w:rsid w:val="001A57AB"/>
    <w:rsid w:val="001A5870"/>
    <w:rsid w:val="001A5941"/>
    <w:rsid w:val="001A5BDE"/>
    <w:rsid w:val="001A5CA5"/>
    <w:rsid w:val="001A61E8"/>
    <w:rsid w:val="001A621B"/>
    <w:rsid w:val="001A624C"/>
    <w:rsid w:val="001A64FE"/>
    <w:rsid w:val="001A6550"/>
    <w:rsid w:val="001A6739"/>
    <w:rsid w:val="001A6985"/>
    <w:rsid w:val="001A6ADB"/>
    <w:rsid w:val="001A6C2F"/>
    <w:rsid w:val="001A6D51"/>
    <w:rsid w:val="001A6EA7"/>
    <w:rsid w:val="001A6F74"/>
    <w:rsid w:val="001A7074"/>
    <w:rsid w:val="001A70F3"/>
    <w:rsid w:val="001A72AE"/>
    <w:rsid w:val="001A739C"/>
    <w:rsid w:val="001A7406"/>
    <w:rsid w:val="001A7441"/>
    <w:rsid w:val="001A777F"/>
    <w:rsid w:val="001A7AF8"/>
    <w:rsid w:val="001A7BBB"/>
    <w:rsid w:val="001B04A8"/>
    <w:rsid w:val="001B0B95"/>
    <w:rsid w:val="001B0F51"/>
    <w:rsid w:val="001B102A"/>
    <w:rsid w:val="001B1092"/>
    <w:rsid w:val="001B163B"/>
    <w:rsid w:val="001B1913"/>
    <w:rsid w:val="001B198A"/>
    <w:rsid w:val="001B1A10"/>
    <w:rsid w:val="001B1ACB"/>
    <w:rsid w:val="001B1C9E"/>
    <w:rsid w:val="001B1E3F"/>
    <w:rsid w:val="001B1E52"/>
    <w:rsid w:val="001B1E78"/>
    <w:rsid w:val="001B1F46"/>
    <w:rsid w:val="001B247C"/>
    <w:rsid w:val="001B260F"/>
    <w:rsid w:val="001B2859"/>
    <w:rsid w:val="001B299C"/>
    <w:rsid w:val="001B2BFA"/>
    <w:rsid w:val="001B322E"/>
    <w:rsid w:val="001B3243"/>
    <w:rsid w:val="001B33A7"/>
    <w:rsid w:val="001B36D4"/>
    <w:rsid w:val="001B3758"/>
    <w:rsid w:val="001B3846"/>
    <w:rsid w:val="001B3CBB"/>
    <w:rsid w:val="001B3D8E"/>
    <w:rsid w:val="001B3DD1"/>
    <w:rsid w:val="001B4098"/>
    <w:rsid w:val="001B417B"/>
    <w:rsid w:val="001B4560"/>
    <w:rsid w:val="001B4691"/>
    <w:rsid w:val="001B4991"/>
    <w:rsid w:val="001B4C71"/>
    <w:rsid w:val="001B4EF6"/>
    <w:rsid w:val="001B524E"/>
    <w:rsid w:val="001B5250"/>
    <w:rsid w:val="001B526D"/>
    <w:rsid w:val="001B5886"/>
    <w:rsid w:val="001B5D9C"/>
    <w:rsid w:val="001B5E39"/>
    <w:rsid w:val="001B5EA2"/>
    <w:rsid w:val="001B5F4E"/>
    <w:rsid w:val="001B6537"/>
    <w:rsid w:val="001B6A8D"/>
    <w:rsid w:val="001B6AD0"/>
    <w:rsid w:val="001B6CA3"/>
    <w:rsid w:val="001B6CD9"/>
    <w:rsid w:val="001B7064"/>
    <w:rsid w:val="001B71EE"/>
    <w:rsid w:val="001B7306"/>
    <w:rsid w:val="001B7487"/>
    <w:rsid w:val="001B7841"/>
    <w:rsid w:val="001B7B06"/>
    <w:rsid w:val="001B7B8E"/>
    <w:rsid w:val="001B7BA8"/>
    <w:rsid w:val="001B7C29"/>
    <w:rsid w:val="001C005C"/>
    <w:rsid w:val="001C0131"/>
    <w:rsid w:val="001C01E0"/>
    <w:rsid w:val="001C0211"/>
    <w:rsid w:val="001C03D6"/>
    <w:rsid w:val="001C03E6"/>
    <w:rsid w:val="001C0A14"/>
    <w:rsid w:val="001C0C1B"/>
    <w:rsid w:val="001C0C32"/>
    <w:rsid w:val="001C0D84"/>
    <w:rsid w:val="001C0EC9"/>
    <w:rsid w:val="001C0F79"/>
    <w:rsid w:val="001C12EA"/>
    <w:rsid w:val="001C133A"/>
    <w:rsid w:val="001C13CA"/>
    <w:rsid w:val="001C18A9"/>
    <w:rsid w:val="001C1E0B"/>
    <w:rsid w:val="001C1E97"/>
    <w:rsid w:val="001C1F43"/>
    <w:rsid w:val="001C2056"/>
    <w:rsid w:val="001C299E"/>
    <w:rsid w:val="001C2DF4"/>
    <w:rsid w:val="001C324D"/>
    <w:rsid w:val="001C3698"/>
    <w:rsid w:val="001C36E0"/>
    <w:rsid w:val="001C3B07"/>
    <w:rsid w:val="001C3D67"/>
    <w:rsid w:val="001C3E5D"/>
    <w:rsid w:val="001C40C1"/>
    <w:rsid w:val="001C40F7"/>
    <w:rsid w:val="001C419A"/>
    <w:rsid w:val="001C446E"/>
    <w:rsid w:val="001C4C76"/>
    <w:rsid w:val="001C4C81"/>
    <w:rsid w:val="001C4C99"/>
    <w:rsid w:val="001C4CF4"/>
    <w:rsid w:val="001C4E25"/>
    <w:rsid w:val="001C5055"/>
    <w:rsid w:val="001C55F2"/>
    <w:rsid w:val="001C5728"/>
    <w:rsid w:val="001C59FD"/>
    <w:rsid w:val="001C5BE7"/>
    <w:rsid w:val="001C62A9"/>
    <w:rsid w:val="001C6478"/>
    <w:rsid w:val="001C6B10"/>
    <w:rsid w:val="001C6BAA"/>
    <w:rsid w:val="001C70CE"/>
    <w:rsid w:val="001C7313"/>
    <w:rsid w:val="001C74A0"/>
    <w:rsid w:val="001C774C"/>
    <w:rsid w:val="001C791A"/>
    <w:rsid w:val="001C79FD"/>
    <w:rsid w:val="001C7CB0"/>
    <w:rsid w:val="001C7D99"/>
    <w:rsid w:val="001C7F13"/>
    <w:rsid w:val="001D005C"/>
    <w:rsid w:val="001D0090"/>
    <w:rsid w:val="001D038E"/>
    <w:rsid w:val="001D05D3"/>
    <w:rsid w:val="001D0B25"/>
    <w:rsid w:val="001D0B9E"/>
    <w:rsid w:val="001D125E"/>
    <w:rsid w:val="001D178D"/>
    <w:rsid w:val="001D188A"/>
    <w:rsid w:val="001D1CB7"/>
    <w:rsid w:val="001D1DB4"/>
    <w:rsid w:val="001D1EC7"/>
    <w:rsid w:val="001D1EEF"/>
    <w:rsid w:val="001D23F5"/>
    <w:rsid w:val="001D240C"/>
    <w:rsid w:val="001D27FD"/>
    <w:rsid w:val="001D2937"/>
    <w:rsid w:val="001D29B8"/>
    <w:rsid w:val="001D2A14"/>
    <w:rsid w:val="001D2A7E"/>
    <w:rsid w:val="001D2B6D"/>
    <w:rsid w:val="001D2DF6"/>
    <w:rsid w:val="001D2E8C"/>
    <w:rsid w:val="001D2EEC"/>
    <w:rsid w:val="001D2F0A"/>
    <w:rsid w:val="001D2F1F"/>
    <w:rsid w:val="001D302E"/>
    <w:rsid w:val="001D3369"/>
    <w:rsid w:val="001D338B"/>
    <w:rsid w:val="001D3406"/>
    <w:rsid w:val="001D35B0"/>
    <w:rsid w:val="001D3764"/>
    <w:rsid w:val="001D3C32"/>
    <w:rsid w:val="001D3E1D"/>
    <w:rsid w:val="001D408C"/>
    <w:rsid w:val="001D40F1"/>
    <w:rsid w:val="001D411C"/>
    <w:rsid w:val="001D4154"/>
    <w:rsid w:val="001D475A"/>
    <w:rsid w:val="001D4C40"/>
    <w:rsid w:val="001D4D33"/>
    <w:rsid w:val="001D51D8"/>
    <w:rsid w:val="001D54EF"/>
    <w:rsid w:val="001D5702"/>
    <w:rsid w:val="001D570C"/>
    <w:rsid w:val="001D5D0F"/>
    <w:rsid w:val="001D5EAB"/>
    <w:rsid w:val="001D5F8E"/>
    <w:rsid w:val="001D636A"/>
    <w:rsid w:val="001D6436"/>
    <w:rsid w:val="001D6A35"/>
    <w:rsid w:val="001D6AA2"/>
    <w:rsid w:val="001D6CFC"/>
    <w:rsid w:val="001D7647"/>
    <w:rsid w:val="001D7CAA"/>
    <w:rsid w:val="001D7EAD"/>
    <w:rsid w:val="001D7EE9"/>
    <w:rsid w:val="001E047B"/>
    <w:rsid w:val="001E055E"/>
    <w:rsid w:val="001E0733"/>
    <w:rsid w:val="001E0798"/>
    <w:rsid w:val="001E07A6"/>
    <w:rsid w:val="001E084E"/>
    <w:rsid w:val="001E0BFB"/>
    <w:rsid w:val="001E0CB1"/>
    <w:rsid w:val="001E0DBF"/>
    <w:rsid w:val="001E0DF9"/>
    <w:rsid w:val="001E11E7"/>
    <w:rsid w:val="001E1594"/>
    <w:rsid w:val="001E1920"/>
    <w:rsid w:val="001E19E4"/>
    <w:rsid w:val="001E1BFB"/>
    <w:rsid w:val="001E20AE"/>
    <w:rsid w:val="001E2369"/>
    <w:rsid w:val="001E23F9"/>
    <w:rsid w:val="001E23FF"/>
    <w:rsid w:val="001E24BB"/>
    <w:rsid w:val="001E2808"/>
    <w:rsid w:val="001E299F"/>
    <w:rsid w:val="001E29AC"/>
    <w:rsid w:val="001E29E1"/>
    <w:rsid w:val="001E2D92"/>
    <w:rsid w:val="001E304B"/>
    <w:rsid w:val="001E3130"/>
    <w:rsid w:val="001E3560"/>
    <w:rsid w:val="001E36AA"/>
    <w:rsid w:val="001E37DE"/>
    <w:rsid w:val="001E395C"/>
    <w:rsid w:val="001E3ABC"/>
    <w:rsid w:val="001E410C"/>
    <w:rsid w:val="001E4158"/>
    <w:rsid w:val="001E436D"/>
    <w:rsid w:val="001E4678"/>
    <w:rsid w:val="001E46BC"/>
    <w:rsid w:val="001E4C75"/>
    <w:rsid w:val="001E4D51"/>
    <w:rsid w:val="001E4FFD"/>
    <w:rsid w:val="001E503E"/>
    <w:rsid w:val="001E5118"/>
    <w:rsid w:val="001E5368"/>
    <w:rsid w:val="001E5504"/>
    <w:rsid w:val="001E5757"/>
    <w:rsid w:val="001E578B"/>
    <w:rsid w:val="001E5A02"/>
    <w:rsid w:val="001E5B9E"/>
    <w:rsid w:val="001E5D07"/>
    <w:rsid w:val="001E5DB8"/>
    <w:rsid w:val="001E5DD0"/>
    <w:rsid w:val="001E62AE"/>
    <w:rsid w:val="001E63A0"/>
    <w:rsid w:val="001E6591"/>
    <w:rsid w:val="001E68D1"/>
    <w:rsid w:val="001E6BD9"/>
    <w:rsid w:val="001E70E1"/>
    <w:rsid w:val="001E71D9"/>
    <w:rsid w:val="001E73CF"/>
    <w:rsid w:val="001E7494"/>
    <w:rsid w:val="001E74D7"/>
    <w:rsid w:val="001E75AA"/>
    <w:rsid w:val="001E77A4"/>
    <w:rsid w:val="001E77DB"/>
    <w:rsid w:val="001E79B3"/>
    <w:rsid w:val="001E7B53"/>
    <w:rsid w:val="001E7C06"/>
    <w:rsid w:val="001E7F84"/>
    <w:rsid w:val="001F0274"/>
    <w:rsid w:val="001F030A"/>
    <w:rsid w:val="001F050F"/>
    <w:rsid w:val="001F051C"/>
    <w:rsid w:val="001F05DC"/>
    <w:rsid w:val="001F0CE7"/>
    <w:rsid w:val="001F121A"/>
    <w:rsid w:val="001F144B"/>
    <w:rsid w:val="001F15BB"/>
    <w:rsid w:val="001F1619"/>
    <w:rsid w:val="001F1659"/>
    <w:rsid w:val="001F18A7"/>
    <w:rsid w:val="001F1C45"/>
    <w:rsid w:val="001F1EA8"/>
    <w:rsid w:val="001F2374"/>
    <w:rsid w:val="001F2685"/>
    <w:rsid w:val="001F29C2"/>
    <w:rsid w:val="001F2F52"/>
    <w:rsid w:val="001F366E"/>
    <w:rsid w:val="001F3674"/>
    <w:rsid w:val="001F3749"/>
    <w:rsid w:val="001F37FA"/>
    <w:rsid w:val="001F3BCB"/>
    <w:rsid w:val="001F3DBD"/>
    <w:rsid w:val="001F4140"/>
    <w:rsid w:val="001F41F8"/>
    <w:rsid w:val="001F45BE"/>
    <w:rsid w:val="001F46BE"/>
    <w:rsid w:val="001F4B8E"/>
    <w:rsid w:val="001F4C5D"/>
    <w:rsid w:val="001F4E77"/>
    <w:rsid w:val="001F51BD"/>
    <w:rsid w:val="001F51C4"/>
    <w:rsid w:val="001F521C"/>
    <w:rsid w:val="001F522B"/>
    <w:rsid w:val="001F526B"/>
    <w:rsid w:val="001F5438"/>
    <w:rsid w:val="001F5448"/>
    <w:rsid w:val="001F5489"/>
    <w:rsid w:val="001F54F8"/>
    <w:rsid w:val="001F5614"/>
    <w:rsid w:val="001F56BA"/>
    <w:rsid w:val="001F5843"/>
    <w:rsid w:val="001F5F4E"/>
    <w:rsid w:val="001F6006"/>
    <w:rsid w:val="001F600E"/>
    <w:rsid w:val="001F6500"/>
    <w:rsid w:val="001F656E"/>
    <w:rsid w:val="001F65EB"/>
    <w:rsid w:val="001F673D"/>
    <w:rsid w:val="001F6F7F"/>
    <w:rsid w:val="001F704D"/>
    <w:rsid w:val="001F72E6"/>
    <w:rsid w:val="001F7349"/>
    <w:rsid w:val="001F7476"/>
    <w:rsid w:val="001F7587"/>
    <w:rsid w:val="001F7873"/>
    <w:rsid w:val="001F7A0E"/>
    <w:rsid w:val="001F7C06"/>
    <w:rsid w:val="001F7F78"/>
    <w:rsid w:val="002001F0"/>
    <w:rsid w:val="00200214"/>
    <w:rsid w:val="0020031F"/>
    <w:rsid w:val="00200610"/>
    <w:rsid w:val="0020067F"/>
    <w:rsid w:val="002006FA"/>
    <w:rsid w:val="00200ACA"/>
    <w:rsid w:val="00200F62"/>
    <w:rsid w:val="00200FDA"/>
    <w:rsid w:val="002010CD"/>
    <w:rsid w:val="002010DE"/>
    <w:rsid w:val="002011EA"/>
    <w:rsid w:val="0020129F"/>
    <w:rsid w:val="002012D6"/>
    <w:rsid w:val="0020142B"/>
    <w:rsid w:val="002014FF"/>
    <w:rsid w:val="00201520"/>
    <w:rsid w:val="002015D6"/>
    <w:rsid w:val="00201906"/>
    <w:rsid w:val="00201AE3"/>
    <w:rsid w:val="00201B71"/>
    <w:rsid w:val="00201D66"/>
    <w:rsid w:val="0020203B"/>
    <w:rsid w:val="002022F0"/>
    <w:rsid w:val="002024DA"/>
    <w:rsid w:val="002024F8"/>
    <w:rsid w:val="002026B1"/>
    <w:rsid w:val="00202732"/>
    <w:rsid w:val="002027A8"/>
    <w:rsid w:val="002027AB"/>
    <w:rsid w:val="00202941"/>
    <w:rsid w:val="00202A53"/>
    <w:rsid w:val="00202A54"/>
    <w:rsid w:val="00202A5A"/>
    <w:rsid w:val="00202E7D"/>
    <w:rsid w:val="002031A3"/>
    <w:rsid w:val="00203704"/>
    <w:rsid w:val="0020379A"/>
    <w:rsid w:val="00203A12"/>
    <w:rsid w:val="00203A66"/>
    <w:rsid w:val="00203AA5"/>
    <w:rsid w:val="00203C2D"/>
    <w:rsid w:val="00203D5F"/>
    <w:rsid w:val="00203D76"/>
    <w:rsid w:val="00203EE4"/>
    <w:rsid w:val="00203EE5"/>
    <w:rsid w:val="0020418C"/>
    <w:rsid w:val="00204197"/>
    <w:rsid w:val="00204311"/>
    <w:rsid w:val="0020458C"/>
    <w:rsid w:val="00204635"/>
    <w:rsid w:val="002046A2"/>
    <w:rsid w:val="00204B75"/>
    <w:rsid w:val="00204C88"/>
    <w:rsid w:val="00204D12"/>
    <w:rsid w:val="00204F6F"/>
    <w:rsid w:val="0020505E"/>
    <w:rsid w:val="00205082"/>
    <w:rsid w:val="002052EB"/>
    <w:rsid w:val="0020530E"/>
    <w:rsid w:val="00205535"/>
    <w:rsid w:val="002055F2"/>
    <w:rsid w:val="00205689"/>
    <w:rsid w:val="0020578A"/>
    <w:rsid w:val="0020582C"/>
    <w:rsid w:val="002058B2"/>
    <w:rsid w:val="00205B82"/>
    <w:rsid w:val="00205D28"/>
    <w:rsid w:val="0020621F"/>
    <w:rsid w:val="002063EB"/>
    <w:rsid w:val="002065E5"/>
    <w:rsid w:val="002066E6"/>
    <w:rsid w:val="002067C0"/>
    <w:rsid w:val="002067FA"/>
    <w:rsid w:val="002068BE"/>
    <w:rsid w:val="00206A4B"/>
    <w:rsid w:val="00206AFC"/>
    <w:rsid w:val="00206B21"/>
    <w:rsid w:val="00206C02"/>
    <w:rsid w:val="00206F34"/>
    <w:rsid w:val="00206F5E"/>
    <w:rsid w:val="00207052"/>
    <w:rsid w:val="002071C6"/>
    <w:rsid w:val="002073F7"/>
    <w:rsid w:val="0020743F"/>
    <w:rsid w:val="002077AB"/>
    <w:rsid w:val="00207876"/>
    <w:rsid w:val="00207947"/>
    <w:rsid w:val="00207AC5"/>
    <w:rsid w:val="00207B8E"/>
    <w:rsid w:val="00207ECA"/>
    <w:rsid w:val="00210313"/>
    <w:rsid w:val="002103C3"/>
    <w:rsid w:val="0021041E"/>
    <w:rsid w:val="00210626"/>
    <w:rsid w:val="002106BC"/>
    <w:rsid w:val="002108F2"/>
    <w:rsid w:val="002109D0"/>
    <w:rsid w:val="00210BB5"/>
    <w:rsid w:val="00210CF1"/>
    <w:rsid w:val="00210DE5"/>
    <w:rsid w:val="00210ED1"/>
    <w:rsid w:val="00211029"/>
    <w:rsid w:val="00211133"/>
    <w:rsid w:val="0021123C"/>
    <w:rsid w:val="002112D5"/>
    <w:rsid w:val="0021133B"/>
    <w:rsid w:val="00211807"/>
    <w:rsid w:val="00211870"/>
    <w:rsid w:val="00211BD8"/>
    <w:rsid w:val="00211DE2"/>
    <w:rsid w:val="00212072"/>
    <w:rsid w:val="00212101"/>
    <w:rsid w:val="00212154"/>
    <w:rsid w:val="00212654"/>
    <w:rsid w:val="00212919"/>
    <w:rsid w:val="00212BB4"/>
    <w:rsid w:val="00212EC2"/>
    <w:rsid w:val="0021316A"/>
    <w:rsid w:val="0021381D"/>
    <w:rsid w:val="00213FDC"/>
    <w:rsid w:val="00213FF8"/>
    <w:rsid w:val="00214397"/>
    <w:rsid w:val="002143D1"/>
    <w:rsid w:val="0021455D"/>
    <w:rsid w:val="00214875"/>
    <w:rsid w:val="00214F31"/>
    <w:rsid w:val="00214F95"/>
    <w:rsid w:val="0021506A"/>
    <w:rsid w:val="002150C1"/>
    <w:rsid w:val="00215459"/>
    <w:rsid w:val="00215625"/>
    <w:rsid w:val="0021586E"/>
    <w:rsid w:val="00215E96"/>
    <w:rsid w:val="00215FF6"/>
    <w:rsid w:val="0021608A"/>
    <w:rsid w:val="0021611A"/>
    <w:rsid w:val="00216239"/>
    <w:rsid w:val="002163F1"/>
    <w:rsid w:val="00216457"/>
    <w:rsid w:val="002166D1"/>
    <w:rsid w:val="0021673D"/>
    <w:rsid w:val="002169A8"/>
    <w:rsid w:val="00216A1E"/>
    <w:rsid w:val="00216D0E"/>
    <w:rsid w:val="00216DB4"/>
    <w:rsid w:val="00217018"/>
    <w:rsid w:val="002175BC"/>
    <w:rsid w:val="002175D7"/>
    <w:rsid w:val="002176BA"/>
    <w:rsid w:val="002176F3"/>
    <w:rsid w:val="00217764"/>
    <w:rsid w:val="00217818"/>
    <w:rsid w:val="00217BDD"/>
    <w:rsid w:val="0022005F"/>
    <w:rsid w:val="00220674"/>
    <w:rsid w:val="002206EB"/>
    <w:rsid w:val="00220786"/>
    <w:rsid w:val="002208C4"/>
    <w:rsid w:val="002208FA"/>
    <w:rsid w:val="002209B6"/>
    <w:rsid w:val="00220C0F"/>
    <w:rsid w:val="00220C32"/>
    <w:rsid w:val="00220C71"/>
    <w:rsid w:val="00220D7B"/>
    <w:rsid w:val="00220E83"/>
    <w:rsid w:val="0022100A"/>
    <w:rsid w:val="00221018"/>
    <w:rsid w:val="0022105E"/>
    <w:rsid w:val="002210D3"/>
    <w:rsid w:val="0022113B"/>
    <w:rsid w:val="0022134E"/>
    <w:rsid w:val="00221384"/>
    <w:rsid w:val="002214A0"/>
    <w:rsid w:val="0022168D"/>
    <w:rsid w:val="002218E9"/>
    <w:rsid w:val="00221A48"/>
    <w:rsid w:val="00221A8F"/>
    <w:rsid w:val="00221B1B"/>
    <w:rsid w:val="00221E6E"/>
    <w:rsid w:val="00221F74"/>
    <w:rsid w:val="00221FA8"/>
    <w:rsid w:val="002222AE"/>
    <w:rsid w:val="0022242C"/>
    <w:rsid w:val="00222449"/>
    <w:rsid w:val="002225F3"/>
    <w:rsid w:val="0022282F"/>
    <w:rsid w:val="00222A63"/>
    <w:rsid w:val="00222AB2"/>
    <w:rsid w:val="00222C36"/>
    <w:rsid w:val="00222E24"/>
    <w:rsid w:val="00222F1B"/>
    <w:rsid w:val="0022301D"/>
    <w:rsid w:val="0022309B"/>
    <w:rsid w:val="002233B5"/>
    <w:rsid w:val="00223450"/>
    <w:rsid w:val="00223970"/>
    <w:rsid w:val="002239F5"/>
    <w:rsid w:val="00223C91"/>
    <w:rsid w:val="00223CE3"/>
    <w:rsid w:val="00223E7F"/>
    <w:rsid w:val="00223F5B"/>
    <w:rsid w:val="0022419B"/>
    <w:rsid w:val="00224361"/>
    <w:rsid w:val="00224423"/>
    <w:rsid w:val="00224737"/>
    <w:rsid w:val="00224AE2"/>
    <w:rsid w:val="00224D2E"/>
    <w:rsid w:val="00224FB8"/>
    <w:rsid w:val="0022504E"/>
    <w:rsid w:val="00225055"/>
    <w:rsid w:val="0022506F"/>
    <w:rsid w:val="002253FD"/>
    <w:rsid w:val="0022573B"/>
    <w:rsid w:val="002257BA"/>
    <w:rsid w:val="00225988"/>
    <w:rsid w:val="0022675A"/>
    <w:rsid w:val="0022694F"/>
    <w:rsid w:val="00226A3D"/>
    <w:rsid w:val="00226ED9"/>
    <w:rsid w:val="00227387"/>
    <w:rsid w:val="002277F5"/>
    <w:rsid w:val="00227898"/>
    <w:rsid w:val="002279D3"/>
    <w:rsid w:val="00227A48"/>
    <w:rsid w:val="00230394"/>
    <w:rsid w:val="00230405"/>
    <w:rsid w:val="00230407"/>
    <w:rsid w:val="0023049E"/>
    <w:rsid w:val="002306BD"/>
    <w:rsid w:val="00230ADF"/>
    <w:rsid w:val="00230C9E"/>
    <w:rsid w:val="0023101B"/>
    <w:rsid w:val="00231057"/>
    <w:rsid w:val="002313DD"/>
    <w:rsid w:val="00231439"/>
    <w:rsid w:val="00231809"/>
    <w:rsid w:val="0023191D"/>
    <w:rsid w:val="00231BFA"/>
    <w:rsid w:val="00231CC0"/>
    <w:rsid w:val="00231E2E"/>
    <w:rsid w:val="00231F27"/>
    <w:rsid w:val="002325EF"/>
    <w:rsid w:val="00232822"/>
    <w:rsid w:val="00232D3F"/>
    <w:rsid w:val="0023341F"/>
    <w:rsid w:val="0023345B"/>
    <w:rsid w:val="00233787"/>
    <w:rsid w:val="00233BD7"/>
    <w:rsid w:val="00233C00"/>
    <w:rsid w:val="00233CBD"/>
    <w:rsid w:val="0023413C"/>
    <w:rsid w:val="0023421E"/>
    <w:rsid w:val="00234613"/>
    <w:rsid w:val="00234785"/>
    <w:rsid w:val="002348C2"/>
    <w:rsid w:val="00234AB3"/>
    <w:rsid w:val="00234B78"/>
    <w:rsid w:val="0023506C"/>
    <w:rsid w:val="002351E4"/>
    <w:rsid w:val="0023528A"/>
    <w:rsid w:val="00235615"/>
    <w:rsid w:val="00235B29"/>
    <w:rsid w:val="00235DDB"/>
    <w:rsid w:val="00235F7F"/>
    <w:rsid w:val="002360FC"/>
    <w:rsid w:val="002361E6"/>
    <w:rsid w:val="002361EF"/>
    <w:rsid w:val="00236A57"/>
    <w:rsid w:val="00236B3E"/>
    <w:rsid w:val="00236BA2"/>
    <w:rsid w:val="00236DEE"/>
    <w:rsid w:val="00236E16"/>
    <w:rsid w:val="00236E1A"/>
    <w:rsid w:val="00236F74"/>
    <w:rsid w:val="002371D6"/>
    <w:rsid w:val="002376DC"/>
    <w:rsid w:val="00237740"/>
    <w:rsid w:val="00237886"/>
    <w:rsid w:val="00237DF7"/>
    <w:rsid w:val="00237E0D"/>
    <w:rsid w:val="0024004B"/>
    <w:rsid w:val="00240170"/>
    <w:rsid w:val="0024035C"/>
    <w:rsid w:val="002404CB"/>
    <w:rsid w:val="0024051D"/>
    <w:rsid w:val="002408EF"/>
    <w:rsid w:val="00240BC0"/>
    <w:rsid w:val="00241349"/>
    <w:rsid w:val="00241632"/>
    <w:rsid w:val="0024182B"/>
    <w:rsid w:val="00241973"/>
    <w:rsid w:val="002419EE"/>
    <w:rsid w:val="00241AA6"/>
    <w:rsid w:val="00241E5B"/>
    <w:rsid w:val="002420C6"/>
    <w:rsid w:val="002420C8"/>
    <w:rsid w:val="002420E0"/>
    <w:rsid w:val="002422E3"/>
    <w:rsid w:val="00242491"/>
    <w:rsid w:val="0024255C"/>
    <w:rsid w:val="002425D3"/>
    <w:rsid w:val="00242706"/>
    <w:rsid w:val="00242810"/>
    <w:rsid w:val="002428AC"/>
    <w:rsid w:val="00242B29"/>
    <w:rsid w:val="00242DD0"/>
    <w:rsid w:val="00242E16"/>
    <w:rsid w:val="002430E7"/>
    <w:rsid w:val="0024314C"/>
    <w:rsid w:val="00243459"/>
    <w:rsid w:val="002438E6"/>
    <w:rsid w:val="00243DAF"/>
    <w:rsid w:val="002440CB"/>
    <w:rsid w:val="00244440"/>
    <w:rsid w:val="002451DA"/>
    <w:rsid w:val="00245265"/>
    <w:rsid w:val="00245291"/>
    <w:rsid w:val="00245299"/>
    <w:rsid w:val="00245419"/>
    <w:rsid w:val="00245545"/>
    <w:rsid w:val="002455B8"/>
    <w:rsid w:val="00245927"/>
    <w:rsid w:val="00245E56"/>
    <w:rsid w:val="0024627F"/>
    <w:rsid w:val="00246446"/>
    <w:rsid w:val="002465DB"/>
    <w:rsid w:val="0024745B"/>
    <w:rsid w:val="0024747E"/>
    <w:rsid w:val="00247B0D"/>
    <w:rsid w:val="00247DB5"/>
    <w:rsid w:val="00247E8C"/>
    <w:rsid w:val="00250098"/>
    <w:rsid w:val="002502D7"/>
    <w:rsid w:val="002502F5"/>
    <w:rsid w:val="00250355"/>
    <w:rsid w:val="00250357"/>
    <w:rsid w:val="0025073A"/>
    <w:rsid w:val="002508E1"/>
    <w:rsid w:val="0025098B"/>
    <w:rsid w:val="00250B2F"/>
    <w:rsid w:val="00250EC2"/>
    <w:rsid w:val="00250F96"/>
    <w:rsid w:val="00251142"/>
    <w:rsid w:val="002513F4"/>
    <w:rsid w:val="00251448"/>
    <w:rsid w:val="002515BE"/>
    <w:rsid w:val="00251848"/>
    <w:rsid w:val="00251A74"/>
    <w:rsid w:val="00251E20"/>
    <w:rsid w:val="0025206B"/>
    <w:rsid w:val="00252226"/>
    <w:rsid w:val="00252567"/>
    <w:rsid w:val="002527FE"/>
    <w:rsid w:val="002529F4"/>
    <w:rsid w:val="00252A82"/>
    <w:rsid w:val="00252AAD"/>
    <w:rsid w:val="00252BA4"/>
    <w:rsid w:val="00252CBF"/>
    <w:rsid w:val="00252EC6"/>
    <w:rsid w:val="0025305B"/>
    <w:rsid w:val="002531B5"/>
    <w:rsid w:val="002533EE"/>
    <w:rsid w:val="002534D0"/>
    <w:rsid w:val="0025374E"/>
    <w:rsid w:val="00253A83"/>
    <w:rsid w:val="00253BDD"/>
    <w:rsid w:val="00253BFD"/>
    <w:rsid w:val="002544F9"/>
    <w:rsid w:val="0025451C"/>
    <w:rsid w:val="0025463D"/>
    <w:rsid w:val="00254674"/>
    <w:rsid w:val="00254802"/>
    <w:rsid w:val="0025480D"/>
    <w:rsid w:val="00254A47"/>
    <w:rsid w:val="00254DD7"/>
    <w:rsid w:val="00254EB5"/>
    <w:rsid w:val="00254EB9"/>
    <w:rsid w:val="00254FC7"/>
    <w:rsid w:val="002550E4"/>
    <w:rsid w:val="002555A0"/>
    <w:rsid w:val="0025590C"/>
    <w:rsid w:val="00255A3E"/>
    <w:rsid w:val="00255E2C"/>
    <w:rsid w:val="002560BF"/>
    <w:rsid w:val="002562AA"/>
    <w:rsid w:val="00256A53"/>
    <w:rsid w:val="00256BF8"/>
    <w:rsid w:val="00256D72"/>
    <w:rsid w:val="00256E74"/>
    <w:rsid w:val="0025732C"/>
    <w:rsid w:val="00257420"/>
    <w:rsid w:val="0025789E"/>
    <w:rsid w:val="00257F59"/>
    <w:rsid w:val="00257FAA"/>
    <w:rsid w:val="00260000"/>
    <w:rsid w:val="0026011C"/>
    <w:rsid w:val="002601B0"/>
    <w:rsid w:val="0026043E"/>
    <w:rsid w:val="0026069B"/>
    <w:rsid w:val="00260CC4"/>
    <w:rsid w:val="00260D98"/>
    <w:rsid w:val="00260ED7"/>
    <w:rsid w:val="00260F5E"/>
    <w:rsid w:val="00261043"/>
    <w:rsid w:val="00261319"/>
    <w:rsid w:val="00261458"/>
    <w:rsid w:val="00261592"/>
    <w:rsid w:val="002617F7"/>
    <w:rsid w:val="00261869"/>
    <w:rsid w:val="00261F9D"/>
    <w:rsid w:val="0026227D"/>
    <w:rsid w:val="0026248D"/>
    <w:rsid w:val="00262571"/>
    <w:rsid w:val="002625D9"/>
    <w:rsid w:val="00262C7D"/>
    <w:rsid w:val="00262CF9"/>
    <w:rsid w:val="00262D28"/>
    <w:rsid w:val="00262DF3"/>
    <w:rsid w:val="00262E8F"/>
    <w:rsid w:val="00262FAC"/>
    <w:rsid w:val="002632EA"/>
    <w:rsid w:val="002632ED"/>
    <w:rsid w:val="002633B8"/>
    <w:rsid w:val="002635A4"/>
    <w:rsid w:val="002639B5"/>
    <w:rsid w:val="00263ABE"/>
    <w:rsid w:val="00263C8B"/>
    <w:rsid w:val="00263CE5"/>
    <w:rsid w:val="0026428F"/>
    <w:rsid w:val="00264561"/>
    <w:rsid w:val="002647AB"/>
    <w:rsid w:val="00264AD3"/>
    <w:rsid w:val="00264CFA"/>
    <w:rsid w:val="002650BC"/>
    <w:rsid w:val="00265328"/>
    <w:rsid w:val="00265368"/>
    <w:rsid w:val="00265B49"/>
    <w:rsid w:val="00265BC7"/>
    <w:rsid w:val="00265CB7"/>
    <w:rsid w:val="002664C1"/>
    <w:rsid w:val="002664C5"/>
    <w:rsid w:val="00266770"/>
    <w:rsid w:val="00266772"/>
    <w:rsid w:val="00266897"/>
    <w:rsid w:val="00266A17"/>
    <w:rsid w:val="00266A60"/>
    <w:rsid w:val="00266BA5"/>
    <w:rsid w:val="00266E51"/>
    <w:rsid w:val="00266F14"/>
    <w:rsid w:val="002671C1"/>
    <w:rsid w:val="00267255"/>
    <w:rsid w:val="002673C5"/>
    <w:rsid w:val="00267535"/>
    <w:rsid w:val="002675BB"/>
    <w:rsid w:val="002676DF"/>
    <w:rsid w:val="00267776"/>
    <w:rsid w:val="00267916"/>
    <w:rsid w:val="002679D1"/>
    <w:rsid w:val="00270077"/>
    <w:rsid w:val="00270097"/>
    <w:rsid w:val="002701E4"/>
    <w:rsid w:val="0027053C"/>
    <w:rsid w:val="0027086F"/>
    <w:rsid w:val="002708D5"/>
    <w:rsid w:val="00270A26"/>
    <w:rsid w:val="00270A3E"/>
    <w:rsid w:val="0027101B"/>
    <w:rsid w:val="0027131A"/>
    <w:rsid w:val="002714E0"/>
    <w:rsid w:val="00271766"/>
    <w:rsid w:val="00271C91"/>
    <w:rsid w:val="00271D33"/>
    <w:rsid w:val="00271EEF"/>
    <w:rsid w:val="0027219E"/>
    <w:rsid w:val="002721E2"/>
    <w:rsid w:val="002722CC"/>
    <w:rsid w:val="00272673"/>
    <w:rsid w:val="00272D95"/>
    <w:rsid w:val="00272DBF"/>
    <w:rsid w:val="00272DDD"/>
    <w:rsid w:val="00272FA1"/>
    <w:rsid w:val="00273145"/>
    <w:rsid w:val="002738D2"/>
    <w:rsid w:val="00273C3C"/>
    <w:rsid w:val="00273CB1"/>
    <w:rsid w:val="00273CC8"/>
    <w:rsid w:val="00273D43"/>
    <w:rsid w:val="00273E55"/>
    <w:rsid w:val="00273FB3"/>
    <w:rsid w:val="00274B0A"/>
    <w:rsid w:val="00275322"/>
    <w:rsid w:val="00275412"/>
    <w:rsid w:val="002755A4"/>
    <w:rsid w:val="00275621"/>
    <w:rsid w:val="00275C3E"/>
    <w:rsid w:val="00275CC9"/>
    <w:rsid w:val="002760B7"/>
    <w:rsid w:val="0027613D"/>
    <w:rsid w:val="00276181"/>
    <w:rsid w:val="00276201"/>
    <w:rsid w:val="00276298"/>
    <w:rsid w:val="00276486"/>
    <w:rsid w:val="00276789"/>
    <w:rsid w:val="002767F1"/>
    <w:rsid w:val="00276956"/>
    <w:rsid w:val="00276C7C"/>
    <w:rsid w:val="00276C83"/>
    <w:rsid w:val="00276C87"/>
    <w:rsid w:val="002772D2"/>
    <w:rsid w:val="00277366"/>
    <w:rsid w:val="002774DF"/>
    <w:rsid w:val="002777B1"/>
    <w:rsid w:val="00277BFC"/>
    <w:rsid w:val="00277C96"/>
    <w:rsid w:val="00280658"/>
    <w:rsid w:val="0028075E"/>
    <w:rsid w:val="0028094F"/>
    <w:rsid w:val="00280AA6"/>
    <w:rsid w:val="002814A6"/>
    <w:rsid w:val="0028150E"/>
    <w:rsid w:val="00281922"/>
    <w:rsid w:val="00281B36"/>
    <w:rsid w:val="00281BAD"/>
    <w:rsid w:val="00281CB2"/>
    <w:rsid w:val="00281D70"/>
    <w:rsid w:val="00281F34"/>
    <w:rsid w:val="00282455"/>
    <w:rsid w:val="00282458"/>
    <w:rsid w:val="00282648"/>
    <w:rsid w:val="002828BB"/>
    <w:rsid w:val="002829DE"/>
    <w:rsid w:val="00282AD4"/>
    <w:rsid w:val="00282B76"/>
    <w:rsid w:val="00282B7C"/>
    <w:rsid w:val="00282CAA"/>
    <w:rsid w:val="00282D20"/>
    <w:rsid w:val="00283137"/>
    <w:rsid w:val="00283330"/>
    <w:rsid w:val="00283339"/>
    <w:rsid w:val="002835B0"/>
    <w:rsid w:val="002838FC"/>
    <w:rsid w:val="00283AE8"/>
    <w:rsid w:val="00283D54"/>
    <w:rsid w:val="00283DB6"/>
    <w:rsid w:val="00283DC3"/>
    <w:rsid w:val="00283ECD"/>
    <w:rsid w:val="002842EA"/>
    <w:rsid w:val="0028443B"/>
    <w:rsid w:val="0028450D"/>
    <w:rsid w:val="002845B8"/>
    <w:rsid w:val="00284BB1"/>
    <w:rsid w:val="00284C49"/>
    <w:rsid w:val="00284E57"/>
    <w:rsid w:val="00284F17"/>
    <w:rsid w:val="00284FFA"/>
    <w:rsid w:val="002851F7"/>
    <w:rsid w:val="00285319"/>
    <w:rsid w:val="002854B6"/>
    <w:rsid w:val="0028559C"/>
    <w:rsid w:val="00285932"/>
    <w:rsid w:val="00285BCC"/>
    <w:rsid w:val="00285C65"/>
    <w:rsid w:val="00285E35"/>
    <w:rsid w:val="00285F7D"/>
    <w:rsid w:val="002862F4"/>
    <w:rsid w:val="0028634D"/>
    <w:rsid w:val="0028642B"/>
    <w:rsid w:val="00286547"/>
    <w:rsid w:val="00286659"/>
    <w:rsid w:val="00286E3D"/>
    <w:rsid w:val="00286FE8"/>
    <w:rsid w:val="002870D0"/>
    <w:rsid w:val="0028733E"/>
    <w:rsid w:val="00287624"/>
    <w:rsid w:val="002877EB"/>
    <w:rsid w:val="002879A8"/>
    <w:rsid w:val="00287D59"/>
    <w:rsid w:val="00287D5D"/>
    <w:rsid w:val="00287D90"/>
    <w:rsid w:val="00290218"/>
    <w:rsid w:val="0029048C"/>
    <w:rsid w:val="002907AD"/>
    <w:rsid w:val="002907B2"/>
    <w:rsid w:val="002908CA"/>
    <w:rsid w:val="00290E66"/>
    <w:rsid w:val="00291317"/>
    <w:rsid w:val="002915E6"/>
    <w:rsid w:val="002916E5"/>
    <w:rsid w:val="002917F1"/>
    <w:rsid w:val="0029184F"/>
    <w:rsid w:val="00291D3E"/>
    <w:rsid w:val="0029201C"/>
    <w:rsid w:val="00292387"/>
    <w:rsid w:val="002923F5"/>
    <w:rsid w:val="002925A1"/>
    <w:rsid w:val="002926F9"/>
    <w:rsid w:val="002927B9"/>
    <w:rsid w:val="00292873"/>
    <w:rsid w:val="00292EA4"/>
    <w:rsid w:val="00293547"/>
    <w:rsid w:val="00293593"/>
    <w:rsid w:val="00293723"/>
    <w:rsid w:val="00293AFF"/>
    <w:rsid w:val="00293BF7"/>
    <w:rsid w:val="002941B9"/>
    <w:rsid w:val="002943D3"/>
    <w:rsid w:val="00294484"/>
    <w:rsid w:val="002944F1"/>
    <w:rsid w:val="0029484D"/>
    <w:rsid w:val="00294928"/>
    <w:rsid w:val="00294939"/>
    <w:rsid w:val="00294E1D"/>
    <w:rsid w:val="00294FA0"/>
    <w:rsid w:val="0029500C"/>
    <w:rsid w:val="0029519F"/>
    <w:rsid w:val="0029550C"/>
    <w:rsid w:val="0029569A"/>
    <w:rsid w:val="00295829"/>
    <w:rsid w:val="00295A4D"/>
    <w:rsid w:val="00295B98"/>
    <w:rsid w:val="00295C3D"/>
    <w:rsid w:val="00295F74"/>
    <w:rsid w:val="00295FA4"/>
    <w:rsid w:val="00295FE5"/>
    <w:rsid w:val="002960AD"/>
    <w:rsid w:val="00296310"/>
    <w:rsid w:val="00296592"/>
    <w:rsid w:val="00296B81"/>
    <w:rsid w:val="00296C3E"/>
    <w:rsid w:val="00297676"/>
    <w:rsid w:val="0029776F"/>
    <w:rsid w:val="00297CC3"/>
    <w:rsid w:val="002A0118"/>
    <w:rsid w:val="002A0237"/>
    <w:rsid w:val="002A0623"/>
    <w:rsid w:val="002A0742"/>
    <w:rsid w:val="002A078B"/>
    <w:rsid w:val="002A0810"/>
    <w:rsid w:val="002A098A"/>
    <w:rsid w:val="002A09BB"/>
    <w:rsid w:val="002A0A17"/>
    <w:rsid w:val="002A0C68"/>
    <w:rsid w:val="002A0CC6"/>
    <w:rsid w:val="002A0CE9"/>
    <w:rsid w:val="002A0F42"/>
    <w:rsid w:val="002A0F90"/>
    <w:rsid w:val="002A1209"/>
    <w:rsid w:val="002A1395"/>
    <w:rsid w:val="002A1403"/>
    <w:rsid w:val="002A14A2"/>
    <w:rsid w:val="002A1501"/>
    <w:rsid w:val="002A15EC"/>
    <w:rsid w:val="002A177D"/>
    <w:rsid w:val="002A1FEA"/>
    <w:rsid w:val="002A228C"/>
    <w:rsid w:val="002A256A"/>
    <w:rsid w:val="002A27AC"/>
    <w:rsid w:val="002A28EC"/>
    <w:rsid w:val="002A2911"/>
    <w:rsid w:val="002A292C"/>
    <w:rsid w:val="002A2983"/>
    <w:rsid w:val="002A2C0A"/>
    <w:rsid w:val="002A2EE9"/>
    <w:rsid w:val="002A315E"/>
    <w:rsid w:val="002A32EB"/>
    <w:rsid w:val="002A3356"/>
    <w:rsid w:val="002A33BE"/>
    <w:rsid w:val="002A33C9"/>
    <w:rsid w:val="002A34FD"/>
    <w:rsid w:val="002A3AEB"/>
    <w:rsid w:val="002A3B10"/>
    <w:rsid w:val="002A3C2C"/>
    <w:rsid w:val="002A3F4F"/>
    <w:rsid w:val="002A3FE3"/>
    <w:rsid w:val="002A411A"/>
    <w:rsid w:val="002A4167"/>
    <w:rsid w:val="002A4524"/>
    <w:rsid w:val="002A457F"/>
    <w:rsid w:val="002A4637"/>
    <w:rsid w:val="002A47EF"/>
    <w:rsid w:val="002A4853"/>
    <w:rsid w:val="002A48A9"/>
    <w:rsid w:val="002A4A41"/>
    <w:rsid w:val="002A4D19"/>
    <w:rsid w:val="002A5026"/>
    <w:rsid w:val="002A52A4"/>
    <w:rsid w:val="002A54AF"/>
    <w:rsid w:val="002A55B5"/>
    <w:rsid w:val="002A585D"/>
    <w:rsid w:val="002A5AE3"/>
    <w:rsid w:val="002A5BE8"/>
    <w:rsid w:val="002A5D46"/>
    <w:rsid w:val="002A628C"/>
    <w:rsid w:val="002A6308"/>
    <w:rsid w:val="002A6312"/>
    <w:rsid w:val="002A6801"/>
    <w:rsid w:val="002A68AF"/>
    <w:rsid w:val="002A6A6C"/>
    <w:rsid w:val="002A6AE7"/>
    <w:rsid w:val="002A6CB0"/>
    <w:rsid w:val="002A6E93"/>
    <w:rsid w:val="002A7274"/>
    <w:rsid w:val="002A7343"/>
    <w:rsid w:val="002A7357"/>
    <w:rsid w:val="002A73BD"/>
    <w:rsid w:val="002A7699"/>
    <w:rsid w:val="002A7727"/>
    <w:rsid w:val="002A775C"/>
    <w:rsid w:val="002A777B"/>
    <w:rsid w:val="002A77B4"/>
    <w:rsid w:val="002A7845"/>
    <w:rsid w:val="002A7877"/>
    <w:rsid w:val="002A790D"/>
    <w:rsid w:val="002A7BBD"/>
    <w:rsid w:val="002A7D40"/>
    <w:rsid w:val="002A7FB9"/>
    <w:rsid w:val="002B016D"/>
    <w:rsid w:val="002B02B2"/>
    <w:rsid w:val="002B02D4"/>
    <w:rsid w:val="002B033A"/>
    <w:rsid w:val="002B04FE"/>
    <w:rsid w:val="002B06A3"/>
    <w:rsid w:val="002B1139"/>
    <w:rsid w:val="002B1225"/>
    <w:rsid w:val="002B128C"/>
    <w:rsid w:val="002B1291"/>
    <w:rsid w:val="002B1C05"/>
    <w:rsid w:val="002B1ED2"/>
    <w:rsid w:val="002B22D3"/>
    <w:rsid w:val="002B2409"/>
    <w:rsid w:val="002B24F2"/>
    <w:rsid w:val="002B26AE"/>
    <w:rsid w:val="002B2767"/>
    <w:rsid w:val="002B2B19"/>
    <w:rsid w:val="002B3092"/>
    <w:rsid w:val="002B32C4"/>
    <w:rsid w:val="002B39F9"/>
    <w:rsid w:val="002B3D23"/>
    <w:rsid w:val="002B3ECD"/>
    <w:rsid w:val="002B4038"/>
    <w:rsid w:val="002B42F6"/>
    <w:rsid w:val="002B434E"/>
    <w:rsid w:val="002B4408"/>
    <w:rsid w:val="002B4482"/>
    <w:rsid w:val="002B4540"/>
    <w:rsid w:val="002B456B"/>
    <w:rsid w:val="002B4594"/>
    <w:rsid w:val="002B4C90"/>
    <w:rsid w:val="002B4CD4"/>
    <w:rsid w:val="002B4F0D"/>
    <w:rsid w:val="002B4F18"/>
    <w:rsid w:val="002B5149"/>
    <w:rsid w:val="002B519F"/>
    <w:rsid w:val="002B5250"/>
    <w:rsid w:val="002B56D9"/>
    <w:rsid w:val="002B5938"/>
    <w:rsid w:val="002B5E73"/>
    <w:rsid w:val="002B5F46"/>
    <w:rsid w:val="002B604A"/>
    <w:rsid w:val="002B629B"/>
    <w:rsid w:val="002B6566"/>
    <w:rsid w:val="002B65AF"/>
    <w:rsid w:val="002B665B"/>
    <w:rsid w:val="002B6800"/>
    <w:rsid w:val="002B684D"/>
    <w:rsid w:val="002B6C96"/>
    <w:rsid w:val="002B6D9B"/>
    <w:rsid w:val="002B6DB1"/>
    <w:rsid w:val="002B70BA"/>
    <w:rsid w:val="002B79A8"/>
    <w:rsid w:val="002B7E73"/>
    <w:rsid w:val="002B7FC8"/>
    <w:rsid w:val="002C00E3"/>
    <w:rsid w:val="002C0228"/>
    <w:rsid w:val="002C08C8"/>
    <w:rsid w:val="002C137F"/>
    <w:rsid w:val="002C13E0"/>
    <w:rsid w:val="002C148A"/>
    <w:rsid w:val="002C14A7"/>
    <w:rsid w:val="002C1A95"/>
    <w:rsid w:val="002C1B92"/>
    <w:rsid w:val="002C1D27"/>
    <w:rsid w:val="002C2258"/>
    <w:rsid w:val="002C2631"/>
    <w:rsid w:val="002C28AC"/>
    <w:rsid w:val="002C2A98"/>
    <w:rsid w:val="002C2C4D"/>
    <w:rsid w:val="002C2DAD"/>
    <w:rsid w:val="002C331C"/>
    <w:rsid w:val="002C35B9"/>
    <w:rsid w:val="002C391A"/>
    <w:rsid w:val="002C3947"/>
    <w:rsid w:val="002C39BC"/>
    <w:rsid w:val="002C3F33"/>
    <w:rsid w:val="002C3FF9"/>
    <w:rsid w:val="002C4130"/>
    <w:rsid w:val="002C4407"/>
    <w:rsid w:val="002C4646"/>
    <w:rsid w:val="002C4B9F"/>
    <w:rsid w:val="002C50CB"/>
    <w:rsid w:val="002C5180"/>
    <w:rsid w:val="002C51D3"/>
    <w:rsid w:val="002C554A"/>
    <w:rsid w:val="002C5A19"/>
    <w:rsid w:val="002C5E92"/>
    <w:rsid w:val="002C6039"/>
    <w:rsid w:val="002C6171"/>
    <w:rsid w:val="002C6334"/>
    <w:rsid w:val="002C6816"/>
    <w:rsid w:val="002C688A"/>
    <w:rsid w:val="002C6B7C"/>
    <w:rsid w:val="002C6BB4"/>
    <w:rsid w:val="002C6C06"/>
    <w:rsid w:val="002C6C87"/>
    <w:rsid w:val="002C70CF"/>
    <w:rsid w:val="002C72F2"/>
    <w:rsid w:val="002C7684"/>
    <w:rsid w:val="002C777F"/>
    <w:rsid w:val="002C7A62"/>
    <w:rsid w:val="002C7E66"/>
    <w:rsid w:val="002D076D"/>
    <w:rsid w:val="002D08C5"/>
    <w:rsid w:val="002D0DDA"/>
    <w:rsid w:val="002D0E35"/>
    <w:rsid w:val="002D0FB4"/>
    <w:rsid w:val="002D100B"/>
    <w:rsid w:val="002D14B1"/>
    <w:rsid w:val="002D14E4"/>
    <w:rsid w:val="002D20FE"/>
    <w:rsid w:val="002D21F1"/>
    <w:rsid w:val="002D21F4"/>
    <w:rsid w:val="002D2291"/>
    <w:rsid w:val="002D27B3"/>
    <w:rsid w:val="002D27B6"/>
    <w:rsid w:val="002D2CC1"/>
    <w:rsid w:val="002D2E6A"/>
    <w:rsid w:val="002D2F25"/>
    <w:rsid w:val="002D3031"/>
    <w:rsid w:val="002D321C"/>
    <w:rsid w:val="002D3843"/>
    <w:rsid w:val="002D3B49"/>
    <w:rsid w:val="002D3B9B"/>
    <w:rsid w:val="002D3CE8"/>
    <w:rsid w:val="002D4133"/>
    <w:rsid w:val="002D41CD"/>
    <w:rsid w:val="002D4327"/>
    <w:rsid w:val="002D4F59"/>
    <w:rsid w:val="002D5436"/>
    <w:rsid w:val="002D544C"/>
    <w:rsid w:val="002D57E8"/>
    <w:rsid w:val="002D58DB"/>
    <w:rsid w:val="002D5E38"/>
    <w:rsid w:val="002D63AB"/>
    <w:rsid w:val="002D6748"/>
    <w:rsid w:val="002D675D"/>
    <w:rsid w:val="002D6779"/>
    <w:rsid w:val="002D6ECB"/>
    <w:rsid w:val="002D71D3"/>
    <w:rsid w:val="002D7360"/>
    <w:rsid w:val="002D7422"/>
    <w:rsid w:val="002D768A"/>
    <w:rsid w:val="002D76AC"/>
    <w:rsid w:val="002D7CD4"/>
    <w:rsid w:val="002D7F76"/>
    <w:rsid w:val="002E033E"/>
    <w:rsid w:val="002E04B6"/>
    <w:rsid w:val="002E0702"/>
    <w:rsid w:val="002E0736"/>
    <w:rsid w:val="002E084C"/>
    <w:rsid w:val="002E0C41"/>
    <w:rsid w:val="002E0CA2"/>
    <w:rsid w:val="002E0D20"/>
    <w:rsid w:val="002E0E1A"/>
    <w:rsid w:val="002E13F3"/>
    <w:rsid w:val="002E153D"/>
    <w:rsid w:val="002E166A"/>
    <w:rsid w:val="002E1A8F"/>
    <w:rsid w:val="002E1F70"/>
    <w:rsid w:val="002E1FBB"/>
    <w:rsid w:val="002E224F"/>
    <w:rsid w:val="002E232C"/>
    <w:rsid w:val="002E24D6"/>
    <w:rsid w:val="002E2977"/>
    <w:rsid w:val="002E2A40"/>
    <w:rsid w:val="002E2C3E"/>
    <w:rsid w:val="002E3013"/>
    <w:rsid w:val="002E30D0"/>
    <w:rsid w:val="002E3186"/>
    <w:rsid w:val="002E33CA"/>
    <w:rsid w:val="002E387D"/>
    <w:rsid w:val="002E388A"/>
    <w:rsid w:val="002E3BC4"/>
    <w:rsid w:val="002E3D72"/>
    <w:rsid w:val="002E3EF0"/>
    <w:rsid w:val="002E3F51"/>
    <w:rsid w:val="002E418B"/>
    <w:rsid w:val="002E427A"/>
    <w:rsid w:val="002E44B6"/>
    <w:rsid w:val="002E44D6"/>
    <w:rsid w:val="002E472A"/>
    <w:rsid w:val="002E493C"/>
    <w:rsid w:val="002E4A39"/>
    <w:rsid w:val="002E4A8D"/>
    <w:rsid w:val="002E4A96"/>
    <w:rsid w:val="002E4FDD"/>
    <w:rsid w:val="002E4FF2"/>
    <w:rsid w:val="002E508E"/>
    <w:rsid w:val="002E5362"/>
    <w:rsid w:val="002E53C4"/>
    <w:rsid w:val="002E55C7"/>
    <w:rsid w:val="002E55E8"/>
    <w:rsid w:val="002E573F"/>
    <w:rsid w:val="002E5823"/>
    <w:rsid w:val="002E5980"/>
    <w:rsid w:val="002E5A42"/>
    <w:rsid w:val="002E5A88"/>
    <w:rsid w:val="002E5AA5"/>
    <w:rsid w:val="002E62D5"/>
    <w:rsid w:val="002E65CA"/>
    <w:rsid w:val="002E6655"/>
    <w:rsid w:val="002E6673"/>
    <w:rsid w:val="002E6D9A"/>
    <w:rsid w:val="002E6DC0"/>
    <w:rsid w:val="002E739F"/>
    <w:rsid w:val="002E74E5"/>
    <w:rsid w:val="002E7739"/>
    <w:rsid w:val="002E788E"/>
    <w:rsid w:val="002E78FB"/>
    <w:rsid w:val="002E7EA5"/>
    <w:rsid w:val="002F00C2"/>
    <w:rsid w:val="002F0117"/>
    <w:rsid w:val="002F0150"/>
    <w:rsid w:val="002F01E5"/>
    <w:rsid w:val="002F0201"/>
    <w:rsid w:val="002F0302"/>
    <w:rsid w:val="002F046D"/>
    <w:rsid w:val="002F0609"/>
    <w:rsid w:val="002F0B2E"/>
    <w:rsid w:val="002F0FF9"/>
    <w:rsid w:val="002F1071"/>
    <w:rsid w:val="002F10DA"/>
    <w:rsid w:val="002F15D4"/>
    <w:rsid w:val="002F1972"/>
    <w:rsid w:val="002F19E9"/>
    <w:rsid w:val="002F1BF3"/>
    <w:rsid w:val="002F1D40"/>
    <w:rsid w:val="002F1E8B"/>
    <w:rsid w:val="002F1F85"/>
    <w:rsid w:val="002F226C"/>
    <w:rsid w:val="002F23EF"/>
    <w:rsid w:val="002F2423"/>
    <w:rsid w:val="002F24C0"/>
    <w:rsid w:val="002F2614"/>
    <w:rsid w:val="002F26A5"/>
    <w:rsid w:val="002F28E5"/>
    <w:rsid w:val="002F2B37"/>
    <w:rsid w:val="002F2B8D"/>
    <w:rsid w:val="002F33C9"/>
    <w:rsid w:val="002F3414"/>
    <w:rsid w:val="002F3669"/>
    <w:rsid w:val="002F36DD"/>
    <w:rsid w:val="002F3A9C"/>
    <w:rsid w:val="002F3B07"/>
    <w:rsid w:val="002F3C41"/>
    <w:rsid w:val="002F40F4"/>
    <w:rsid w:val="002F4255"/>
    <w:rsid w:val="002F42C5"/>
    <w:rsid w:val="002F4476"/>
    <w:rsid w:val="002F454B"/>
    <w:rsid w:val="002F45EA"/>
    <w:rsid w:val="002F46E7"/>
    <w:rsid w:val="002F4742"/>
    <w:rsid w:val="002F4812"/>
    <w:rsid w:val="002F4DA2"/>
    <w:rsid w:val="002F4FDE"/>
    <w:rsid w:val="002F54D5"/>
    <w:rsid w:val="002F57AB"/>
    <w:rsid w:val="002F5A52"/>
    <w:rsid w:val="002F5AF5"/>
    <w:rsid w:val="002F6448"/>
    <w:rsid w:val="002F65B6"/>
    <w:rsid w:val="002F666C"/>
    <w:rsid w:val="002F66B6"/>
    <w:rsid w:val="002F6743"/>
    <w:rsid w:val="002F67B5"/>
    <w:rsid w:val="002F6A28"/>
    <w:rsid w:val="002F6E20"/>
    <w:rsid w:val="002F7263"/>
    <w:rsid w:val="002F7314"/>
    <w:rsid w:val="002F7665"/>
    <w:rsid w:val="002F785E"/>
    <w:rsid w:val="002F79F1"/>
    <w:rsid w:val="002F7DF5"/>
    <w:rsid w:val="0030013F"/>
    <w:rsid w:val="00300303"/>
    <w:rsid w:val="0030030A"/>
    <w:rsid w:val="00300313"/>
    <w:rsid w:val="003004CB"/>
    <w:rsid w:val="00300635"/>
    <w:rsid w:val="003009C6"/>
    <w:rsid w:val="00300A49"/>
    <w:rsid w:val="0030116D"/>
    <w:rsid w:val="00301266"/>
    <w:rsid w:val="00301425"/>
    <w:rsid w:val="0030152A"/>
    <w:rsid w:val="003016E5"/>
    <w:rsid w:val="00301C4B"/>
    <w:rsid w:val="00301C89"/>
    <w:rsid w:val="00302094"/>
    <w:rsid w:val="003022A6"/>
    <w:rsid w:val="003023A0"/>
    <w:rsid w:val="0030269D"/>
    <w:rsid w:val="003028F3"/>
    <w:rsid w:val="00302C18"/>
    <w:rsid w:val="0030330B"/>
    <w:rsid w:val="003034BD"/>
    <w:rsid w:val="003034C8"/>
    <w:rsid w:val="00303D37"/>
    <w:rsid w:val="00304486"/>
    <w:rsid w:val="003046B5"/>
    <w:rsid w:val="0030488B"/>
    <w:rsid w:val="00305143"/>
    <w:rsid w:val="003054C7"/>
    <w:rsid w:val="00305A54"/>
    <w:rsid w:val="00305A95"/>
    <w:rsid w:val="00305AB3"/>
    <w:rsid w:val="00305EC9"/>
    <w:rsid w:val="003067A0"/>
    <w:rsid w:val="0030686E"/>
    <w:rsid w:val="00306DDA"/>
    <w:rsid w:val="00306EF5"/>
    <w:rsid w:val="00306FA4"/>
    <w:rsid w:val="003070E2"/>
    <w:rsid w:val="00307466"/>
    <w:rsid w:val="0030763A"/>
    <w:rsid w:val="0030770F"/>
    <w:rsid w:val="00307794"/>
    <w:rsid w:val="003078D1"/>
    <w:rsid w:val="00307967"/>
    <w:rsid w:val="00307B6E"/>
    <w:rsid w:val="00307C7F"/>
    <w:rsid w:val="00310701"/>
    <w:rsid w:val="00310BB9"/>
    <w:rsid w:val="00310D85"/>
    <w:rsid w:val="00310E3A"/>
    <w:rsid w:val="00311039"/>
    <w:rsid w:val="0031181A"/>
    <w:rsid w:val="00311E69"/>
    <w:rsid w:val="003122FC"/>
    <w:rsid w:val="00312315"/>
    <w:rsid w:val="00312482"/>
    <w:rsid w:val="00312770"/>
    <w:rsid w:val="00312BDF"/>
    <w:rsid w:val="00312D37"/>
    <w:rsid w:val="00312EA2"/>
    <w:rsid w:val="00313196"/>
    <w:rsid w:val="003134C2"/>
    <w:rsid w:val="003136F9"/>
    <w:rsid w:val="00313822"/>
    <w:rsid w:val="00313B6F"/>
    <w:rsid w:val="00313EBA"/>
    <w:rsid w:val="0031440B"/>
    <w:rsid w:val="003144E1"/>
    <w:rsid w:val="00314705"/>
    <w:rsid w:val="00314758"/>
    <w:rsid w:val="00314887"/>
    <w:rsid w:val="003149B2"/>
    <w:rsid w:val="00314AD5"/>
    <w:rsid w:val="00314CDF"/>
    <w:rsid w:val="00314FED"/>
    <w:rsid w:val="00315122"/>
    <w:rsid w:val="003151EC"/>
    <w:rsid w:val="00315BF4"/>
    <w:rsid w:val="00315D02"/>
    <w:rsid w:val="00315E01"/>
    <w:rsid w:val="00315E82"/>
    <w:rsid w:val="00315F10"/>
    <w:rsid w:val="00316120"/>
    <w:rsid w:val="0031625C"/>
    <w:rsid w:val="0031636C"/>
    <w:rsid w:val="0031672E"/>
    <w:rsid w:val="00316CA8"/>
    <w:rsid w:val="0031701F"/>
    <w:rsid w:val="00317033"/>
    <w:rsid w:val="003174B1"/>
    <w:rsid w:val="003174D6"/>
    <w:rsid w:val="003174F3"/>
    <w:rsid w:val="0031781E"/>
    <w:rsid w:val="003179EF"/>
    <w:rsid w:val="00317A42"/>
    <w:rsid w:val="00317C3C"/>
    <w:rsid w:val="00317E7B"/>
    <w:rsid w:val="00317F90"/>
    <w:rsid w:val="00320293"/>
    <w:rsid w:val="00320405"/>
    <w:rsid w:val="00320831"/>
    <w:rsid w:val="0032098D"/>
    <w:rsid w:val="00320BC1"/>
    <w:rsid w:val="00321139"/>
    <w:rsid w:val="00321195"/>
    <w:rsid w:val="003211B9"/>
    <w:rsid w:val="00321805"/>
    <w:rsid w:val="00321A81"/>
    <w:rsid w:val="003220A2"/>
    <w:rsid w:val="003225D3"/>
    <w:rsid w:val="0032260C"/>
    <w:rsid w:val="003227FA"/>
    <w:rsid w:val="003229B6"/>
    <w:rsid w:val="00322DA3"/>
    <w:rsid w:val="00322DD3"/>
    <w:rsid w:val="00322F64"/>
    <w:rsid w:val="00322FF9"/>
    <w:rsid w:val="00323026"/>
    <w:rsid w:val="003231A0"/>
    <w:rsid w:val="0032325F"/>
    <w:rsid w:val="003234BE"/>
    <w:rsid w:val="00323A1B"/>
    <w:rsid w:val="00323B48"/>
    <w:rsid w:val="00323C36"/>
    <w:rsid w:val="00323F07"/>
    <w:rsid w:val="00323FBD"/>
    <w:rsid w:val="003241C7"/>
    <w:rsid w:val="003241F5"/>
    <w:rsid w:val="0032459A"/>
    <w:rsid w:val="003245BC"/>
    <w:rsid w:val="0032488F"/>
    <w:rsid w:val="00324A06"/>
    <w:rsid w:val="00324A15"/>
    <w:rsid w:val="00324B6F"/>
    <w:rsid w:val="00324BFA"/>
    <w:rsid w:val="003250AA"/>
    <w:rsid w:val="00325109"/>
    <w:rsid w:val="00325168"/>
    <w:rsid w:val="00325852"/>
    <w:rsid w:val="00325C0A"/>
    <w:rsid w:val="00325CBF"/>
    <w:rsid w:val="00325D20"/>
    <w:rsid w:val="00325EDE"/>
    <w:rsid w:val="00326075"/>
    <w:rsid w:val="003262D6"/>
    <w:rsid w:val="00326471"/>
    <w:rsid w:val="003265E0"/>
    <w:rsid w:val="00326908"/>
    <w:rsid w:val="00326F25"/>
    <w:rsid w:val="003273AB"/>
    <w:rsid w:val="00327447"/>
    <w:rsid w:val="00327AD3"/>
    <w:rsid w:val="00327D07"/>
    <w:rsid w:val="00327E35"/>
    <w:rsid w:val="00327FE4"/>
    <w:rsid w:val="00330243"/>
    <w:rsid w:val="0033048E"/>
    <w:rsid w:val="00330671"/>
    <w:rsid w:val="003308F5"/>
    <w:rsid w:val="003309C3"/>
    <w:rsid w:val="00330B23"/>
    <w:rsid w:val="00330C47"/>
    <w:rsid w:val="00330C94"/>
    <w:rsid w:val="00330FFC"/>
    <w:rsid w:val="00331239"/>
    <w:rsid w:val="00331489"/>
    <w:rsid w:val="00331643"/>
    <w:rsid w:val="0033174B"/>
    <w:rsid w:val="003318F0"/>
    <w:rsid w:val="003319D6"/>
    <w:rsid w:val="00331A93"/>
    <w:rsid w:val="00331D5B"/>
    <w:rsid w:val="00331DEA"/>
    <w:rsid w:val="00331F4D"/>
    <w:rsid w:val="003322DA"/>
    <w:rsid w:val="003322FA"/>
    <w:rsid w:val="00332B4A"/>
    <w:rsid w:val="00332CFA"/>
    <w:rsid w:val="00332D24"/>
    <w:rsid w:val="00332E30"/>
    <w:rsid w:val="00333131"/>
    <w:rsid w:val="0033324D"/>
    <w:rsid w:val="00333369"/>
    <w:rsid w:val="00333436"/>
    <w:rsid w:val="0033393D"/>
    <w:rsid w:val="00333CCE"/>
    <w:rsid w:val="00333DF6"/>
    <w:rsid w:val="00334278"/>
    <w:rsid w:val="0033457D"/>
    <w:rsid w:val="00334665"/>
    <w:rsid w:val="00334834"/>
    <w:rsid w:val="00334859"/>
    <w:rsid w:val="003348B7"/>
    <w:rsid w:val="00334A77"/>
    <w:rsid w:val="00334ACC"/>
    <w:rsid w:val="00334B94"/>
    <w:rsid w:val="00334E9E"/>
    <w:rsid w:val="00335191"/>
    <w:rsid w:val="00335481"/>
    <w:rsid w:val="0033561B"/>
    <w:rsid w:val="00335749"/>
    <w:rsid w:val="00335804"/>
    <w:rsid w:val="003358B1"/>
    <w:rsid w:val="003359A5"/>
    <w:rsid w:val="00335A97"/>
    <w:rsid w:val="00335C52"/>
    <w:rsid w:val="00335F83"/>
    <w:rsid w:val="003361DD"/>
    <w:rsid w:val="0033672F"/>
    <w:rsid w:val="003369DA"/>
    <w:rsid w:val="003369E5"/>
    <w:rsid w:val="00336A5E"/>
    <w:rsid w:val="00336BD1"/>
    <w:rsid w:val="00336CE9"/>
    <w:rsid w:val="00336D07"/>
    <w:rsid w:val="003372F3"/>
    <w:rsid w:val="0033754A"/>
    <w:rsid w:val="00337684"/>
    <w:rsid w:val="0033795D"/>
    <w:rsid w:val="00337C92"/>
    <w:rsid w:val="00337D36"/>
    <w:rsid w:val="003402D3"/>
    <w:rsid w:val="00340445"/>
    <w:rsid w:val="00340480"/>
    <w:rsid w:val="003407E4"/>
    <w:rsid w:val="00340A51"/>
    <w:rsid w:val="00340C3F"/>
    <w:rsid w:val="00340CF6"/>
    <w:rsid w:val="00341186"/>
    <w:rsid w:val="00341209"/>
    <w:rsid w:val="00341620"/>
    <w:rsid w:val="0034187B"/>
    <w:rsid w:val="00341A71"/>
    <w:rsid w:val="00341AF6"/>
    <w:rsid w:val="00341D44"/>
    <w:rsid w:val="00341DE3"/>
    <w:rsid w:val="00341E7B"/>
    <w:rsid w:val="0034231D"/>
    <w:rsid w:val="003423B5"/>
    <w:rsid w:val="003423ED"/>
    <w:rsid w:val="003424F4"/>
    <w:rsid w:val="0034259B"/>
    <w:rsid w:val="00342644"/>
    <w:rsid w:val="00342B49"/>
    <w:rsid w:val="00342DB5"/>
    <w:rsid w:val="00342E36"/>
    <w:rsid w:val="003431BD"/>
    <w:rsid w:val="00343682"/>
    <w:rsid w:val="00343705"/>
    <w:rsid w:val="003437DF"/>
    <w:rsid w:val="0034392C"/>
    <w:rsid w:val="00343D13"/>
    <w:rsid w:val="00343D4A"/>
    <w:rsid w:val="0034445D"/>
    <w:rsid w:val="0034451A"/>
    <w:rsid w:val="00344840"/>
    <w:rsid w:val="0034498B"/>
    <w:rsid w:val="00344FA9"/>
    <w:rsid w:val="00344FAF"/>
    <w:rsid w:val="003450E2"/>
    <w:rsid w:val="00345130"/>
    <w:rsid w:val="0034521E"/>
    <w:rsid w:val="0034528D"/>
    <w:rsid w:val="0034566F"/>
    <w:rsid w:val="00345986"/>
    <w:rsid w:val="00345A02"/>
    <w:rsid w:val="00345ABC"/>
    <w:rsid w:val="00345BE4"/>
    <w:rsid w:val="00345E00"/>
    <w:rsid w:val="00345F77"/>
    <w:rsid w:val="003460C3"/>
    <w:rsid w:val="003462AB"/>
    <w:rsid w:val="00346393"/>
    <w:rsid w:val="003465EB"/>
    <w:rsid w:val="0034681A"/>
    <w:rsid w:val="00346E3A"/>
    <w:rsid w:val="00346E9E"/>
    <w:rsid w:val="00346F36"/>
    <w:rsid w:val="003473F8"/>
    <w:rsid w:val="00347430"/>
    <w:rsid w:val="00347867"/>
    <w:rsid w:val="00347AB3"/>
    <w:rsid w:val="00350332"/>
    <w:rsid w:val="003505E3"/>
    <w:rsid w:val="00350661"/>
    <w:rsid w:val="00350768"/>
    <w:rsid w:val="00350E2B"/>
    <w:rsid w:val="0035116D"/>
    <w:rsid w:val="003514AF"/>
    <w:rsid w:val="00351692"/>
    <w:rsid w:val="003519CE"/>
    <w:rsid w:val="003521CF"/>
    <w:rsid w:val="003522B0"/>
    <w:rsid w:val="00352725"/>
    <w:rsid w:val="003527C5"/>
    <w:rsid w:val="00352EC4"/>
    <w:rsid w:val="00353087"/>
    <w:rsid w:val="00353444"/>
    <w:rsid w:val="003535DF"/>
    <w:rsid w:val="003535F0"/>
    <w:rsid w:val="00353666"/>
    <w:rsid w:val="00353BB1"/>
    <w:rsid w:val="003543EB"/>
    <w:rsid w:val="00354444"/>
    <w:rsid w:val="003544C2"/>
    <w:rsid w:val="003548BF"/>
    <w:rsid w:val="00354AC6"/>
    <w:rsid w:val="00354F02"/>
    <w:rsid w:val="00354F6D"/>
    <w:rsid w:val="00354FFB"/>
    <w:rsid w:val="003550DB"/>
    <w:rsid w:val="00355269"/>
    <w:rsid w:val="003554EB"/>
    <w:rsid w:val="00355626"/>
    <w:rsid w:val="00355702"/>
    <w:rsid w:val="003558B8"/>
    <w:rsid w:val="00355A66"/>
    <w:rsid w:val="00355ECD"/>
    <w:rsid w:val="0035644C"/>
    <w:rsid w:val="00356522"/>
    <w:rsid w:val="00356546"/>
    <w:rsid w:val="0035668C"/>
    <w:rsid w:val="00356B84"/>
    <w:rsid w:val="00357D55"/>
    <w:rsid w:val="003600BE"/>
    <w:rsid w:val="00360931"/>
    <w:rsid w:val="00360AA2"/>
    <w:rsid w:val="00360C93"/>
    <w:rsid w:val="00360C9D"/>
    <w:rsid w:val="0036104C"/>
    <w:rsid w:val="0036157E"/>
    <w:rsid w:val="00361BDB"/>
    <w:rsid w:val="00362026"/>
    <w:rsid w:val="0036239F"/>
    <w:rsid w:val="00362716"/>
    <w:rsid w:val="00362827"/>
    <w:rsid w:val="003628DD"/>
    <w:rsid w:val="00362912"/>
    <w:rsid w:val="00362B22"/>
    <w:rsid w:val="00362C78"/>
    <w:rsid w:val="00363652"/>
    <w:rsid w:val="003636E9"/>
    <w:rsid w:val="00363722"/>
    <w:rsid w:val="003637C3"/>
    <w:rsid w:val="003638C9"/>
    <w:rsid w:val="00363926"/>
    <w:rsid w:val="00363B53"/>
    <w:rsid w:val="00363E9C"/>
    <w:rsid w:val="00364C6D"/>
    <w:rsid w:val="00364EA7"/>
    <w:rsid w:val="003654E1"/>
    <w:rsid w:val="003655DC"/>
    <w:rsid w:val="00365626"/>
    <w:rsid w:val="00365784"/>
    <w:rsid w:val="00365920"/>
    <w:rsid w:val="00365BF1"/>
    <w:rsid w:val="00366092"/>
    <w:rsid w:val="00366110"/>
    <w:rsid w:val="003663FC"/>
    <w:rsid w:val="0036655B"/>
    <w:rsid w:val="00366659"/>
    <w:rsid w:val="0036665D"/>
    <w:rsid w:val="003667EF"/>
    <w:rsid w:val="003670E0"/>
    <w:rsid w:val="00367111"/>
    <w:rsid w:val="003672EA"/>
    <w:rsid w:val="003672F1"/>
    <w:rsid w:val="003673AA"/>
    <w:rsid w:val="003673B3"/>
    <w:rsid w:val="00367441"/>
    <w:rsid w:val="003677AB"/>
    <w:rsid w:val="00367994"/>
    <w:rsid w:val="00367BEF"/>
    <w:rsid w:val="00367D0B"/>
    <w:rsid w:val="003702CF"/>
    <w:rsid w:val="00370427"/>
    <w:rsid w:val="00370824"/>
    <w:rsid w:val="00370A2A"/>
    <w:rsid w:val="00370BAF"/>
    <w:rsid w:val="003712DD"/>
    <w:rsid w:val="0037157B"/>
    <w:rsid w:val="003715E1"/>
    <w:rsid w:val="003717A5"/>
    <w:rsid w:val="00371AFA"/>
    <w:rsid w:val="00372446"/>
    <w:rsid w:val="003725AF"/>
    <w:rsid w:val="0037266C"/>
    <w:rsid w:val="00372810"/>
    <w:rsid w:val="003728B5"/>
    <w:rsid w:val="003728B7"/>
    <w:rsid w:val="003728E2"/>
    <w:rsid w:val="0037292A"/>
    <w:rsid w:val="00372BA5"/>
    <w:rsid w:val="00372BCE"/>
    <w:rsid w:val="00372C28"/>
    <w:rsid w:val="00372C7C"/>
    <w:rsid w:val="00372F7F"/>
    <w:rsid w:val="00373026"/>
    <w:rsid w:val="00373287"/>
    <w:rsid w:val="00373312"/>
    <w:rsid w:val="00373618"/>
    <w:rsid w:val="00373623"/>
    <w:rsid w:val="0037387D"/>
    <w:rsid w:val="00373FB9"/>
    <w:rsid w:val="00374916"/>
    <w:rsid w:val="00374BED"/>
    <w:rsid w:val="0037500A"/>
    <w:rsid w:val="00375090"/>
    <w:rsid w:val="0037520C"/>
    <w:rsid w:val="003752F9"/>
    <w:rsid w:val="00375358"/>
    <w:rsid w:val="00375602"/>
    <w:rsid w:val="00375B58"/>
    <w:rsid w:val="00375BDE"/>
    <w:rsid w:val="00376323"/>
    <w:rsid w:val="003763C8"/>
    <w:rsid w:val="00376568"/>
    <w:rsid w:val="00376D9D"/>
    <w:rsid w:val="00376EA3"/>
    <w:rsid w:val="0037700D"/>
    <w:rsid w:val="003771BE"/>
    <w:rsid w:val="0037721A"/>
    <w:rsid w:val="003772C8"/>
    <w:rsid w:val="0037746F"/>
    <w:rsid w:val="00377525"/>
    <w:rsid w:val="003778D5"/>
    <w:rsid w:val="00377946"/>
    <w:rsid w:val="00377BA5"/>
    <w:rsid w:val="00377E34"/>
    <w:rsid w:val="00377F5B"/>
    <w:rsid w:val="0038014A"/>
    <w:rsid w:val="0038034C"/>
    <w:rsid w:val="00380B54"/>
    <w:rsid w:val="00380F3D"/>
    <w:rsid w:val="00380FB5"/>
    <w:rsid w:val="00381242"/>
    <w:rsid w:val="003812A9"/>
    <w:rsid w:val="003817D7"/>
    <w:rsid w:val="0038191B"/>
    <w:rsid w:val="003819C1"/>
    <w:rsid w:val="00381AE9"/>
    <w:rsid w:val="00381B2F"/>
    <w:rsid w:val="00381BE7"/>
    <w:rsid w:val="00381C2F"/>
    <w:rsid w:val="00381D76"/>
    <w:rsid w:val="00381E79"/>
    <w:rsid w:val="00382397"/>
    <w:rsid w:val="00382438"/>
    <w:rsid w:val="00382445"/>
    <w:rsid w:val="0038254C"/>
    <w:rsid w:val="003825CE"/>
    <w:rsid w:val="003827F5"/>
    <w:rsid w:val="0038283B"/>
    <w:rsid w:val="00382DA3"/>
    <w:rsid w:val="00383389"/>
    <w:rsid w:val="003835B8"/>
    <w:rsid w:val="003838F0"/>
    <w:rsid w:val="00384262"/>
    <w:rsid w:val="0038430C"/>
    <w:rsid w:val="003846D0"/>
    <w:rsid w:val="00384725"/>
    <w:rsid w:val="0038477C"/>
    <w:rsid w:val="003847D6"/>
    <w:rsid w:val="00384D43"/>
    <w:rsid w:val="00384D8C"/>
    <w:rsid w:val="003850D4"/>
    <w:rsid w:val="003851D7"/>
    <w:rsid w:val="00385226"/>
    <w:rsid w:val="003852EF"/>
    <w:rsid w:val="00385341"/>
    <w:rsid w:val="003856BE"/>
    <w:rsid w:val="003856E8"/>
    <w:rsid w:val="003857E4"/>
    <w:rsid w:val="0038591B"/>
    <w:rsid w:val="00385B8D"/>
    <w:rsid w:val="00385D13"/>
    <w:rsid w:val="00385D9A"/>
    <w:rsid w:val="00386284"/>
    <w:rsid w:val="00386378"/>
    <w:rsid w:val="00386421"/>
    <w:rsid w:val="003864BF"/>
    <w:rsid w:val="00386644"/>
    <w:rsid w:val="00386876"/>
    <w:rsid w:val="003869D0"/>
    <w:rsid w:val="00386AAC"/>
    <w:rsid w:val="00386AB9"/>
    <w:rsid w:val="00386B00"/>
    <w:rsid w:val="00386CF4"/>
    <w:rsid w:val="00386D04"/>
    <w:rsid w:val="00386F12"/>
    <w:rsid w:val="003871D3"/>
    <w:rsid w:val="00387212"/>
    <w:rsid w:val="003876D3"/>
    <w:rsid w:val="00387B20"/>
    <w:rsid w:val="00387D0F"/>
    <w:rsid w:val="00390154"/>
    <w:rsid w:val="003907AB"/>
    <w:rsid w:val="00390AD0"/>
    <w:rsid w:val="00390DCB"/>
    <w:rsid w:val="00390E65"/>
    <w:rsid w:val="00390EE1"/>
    <w:rsid w:val="0039114D"/>
    <w:rsid w:val="00391176"/>
    <w:rsid w:val="003911B7"/>
    <w:rsid w:val="00391A51"/>
    <w:rsid w:val="00391C01"/>
    <w:rsid w:val="00391E0B"/>
    <w:rsid w:val="003924F3"/>
    <w:rsid w:val="00392647"/>
    <w:rsid w:val="00392713"/>
    <w:rsid w:val="00392864"/>
    <w:rsid w:val="00392AFA"/>
    <w:rsid w:val="00392C6B"/>
    <w:rsid w:val="00392C8E"/>
    <w:rsid w:val="00392DB1"/>
    <w:rsid w:val="003934CC"/>
    <w:rsid w:val="0039362F"/>
    <w:rsid w:val="00393B1C"/>
    <w:rsid w:val="00393D18"/>
    <w:rsid w:val="00394070"/>
    <w:rsid w:val="003942AF"/>
    <w:rsid w:val="003943EE"/>
    <w:rsid w:val="0039476E"/>
    <w:rsid w:val="00394799"/>
    <w:rsid w:val="003949B6"/>
    <w:rsid w:val="0039544E"/>
    <w:rsid w:val="00395488"/>
    <w:rsid w:val="00395590"/>
    <w:rsid w:val="00395617"/>
    <w:rsid w:val="00395664"/>
    <w:rsid w:val="00395883"/>
    <w:rsid w:val="00395C1C"/>
    <w:rsid w:val="00395DEC"/>
    <w:rsid w:val="00396090"/>
    <w:rsid w:val="00396A6F"/>
    <w:rsid w:val="00396C02"/>
    <w:rsid w:val="00397178"/>
    <w:rsid w:val="0039742D"/>
    <w:rsid w:val="003976DC"/>
    <w:rsid w:val="003976E5"/>
    <w:rsid w:val="003979EF"/>
    <w:rsid w:val="00397A34"/>
    <w:rsid w:val="00397DC6"/>
    <w:rsid w:val="00397E9A"/>
    <w:rsid w:val="003A013F"/>
    <w:rsid w:val="003A02EF"/>
    <w:rsid w:val="003A0672"/>
    <w:rsid w:val="003A07AA"/>
    <w:rsid w:val="003A0B41"/>
    <w:rsid w:val="003A0CAA"/>
    <w:rsid w:val="003A0CBF"/>
    <w:rsid w:val="003A0E20"/>
    <w:rsid w:val="003A0FAB"/>
    <w:rsid w:val="003A1121"/>
    <w:rsid w:val="003A11A5"/>
    <w:rsid w:val="003A1918"/>
    <w:rsid w:val="003A1927"/>
    <w:rsid w:val="003A19B0"/>
    <w:rsid w:val="003A19B1"/>
    <w:rsid w:val="003A1A01"/>
    <w:rsid w:val="003A1D41"/>
    <w:rsid w:val="003A2169"/>
    <w:rsid w:val="003A22B7"/>
    <w:rsid w:val="003A306E"/>
    <w:rsid w:val="003A31F4"/>
    <w:rsid w:val="003A34CC"/>
    <w:rsid w:val="003A3723"/>
    <w:rsid w:val="003A3861"/>
    <w:rsid w:val="003A38BA"/>
    <w:rsid w:val="003A38EC"/>
    <w:rsid w:val="003A3A8F"/>
    <w:rsid w:val="003A3D50"/>
    <w:rsid w:val="003A3DA5"/>
    <w:rsid w:val="003A3E50"/>
    <w:rsid w:val="003A3FAB"/>
    <w:rsid w:val="003A40BA"/>
    <w:rsid w:val="003A43A4"/>
    <w:rsid w:val="003A4443"/>
    <w:rsid w:val="003A4828"/>
    <w:rsid w:val="003A494A"/>
    <w:rsid w:val="003A49A1"/>
    <w:rsid w:val="003A4ABE"/>
    <w:rsid w:val="003A4ACD"/>
    <w:rsid w:val="003A4B28"/>
    <w:rsid w:val="003A4D9C"/>
    <w:rsid w:val="003A4F0A"/>
    <w:rsid w:val="003A50AD"/>
    <w:rsid w:val="003A522D"/>
    <w:rsid w:val="003A5429"/>
    <w:rsid w:val="003A55D7"/>
    <w:rsid w:val="003A57D0"/>
    <w:rsid w:val="003A5A75"/>
    <w:rsid w:val="003A5D52"/>
    <w:rsid w:val="003A5E1E"/>
    <w:rsid w:val="003A5F99"/>
    <w:rsid w:val="003A5FA7"/>
    <w:rsid w:val="003A633B"/>
    <w:rsid w:val="003A63C1"/>
    <w:rsid w:val="003A6764"/>
    <w:rsid w:val="003A6986"/>
    <w:rsid w:val="003A6A5A"/>
    <w:rsid w:val="003A6BA1"/>
    <w:rsid w:val="003A6D31"/>
    <w:rsid w:val="003A7280"/>
    <w:rsid w:val="003A7295"/>
    <w:rsid w:val="003A7455"/>
    <w:rsid w:val="003A776F"/>
    <w:rsid w:val="003A78E9"/>
    <w:rsid w:val="003A7F35"/>
    <w:rsid w:val="003A7FC9"/>
    <w:rsid w:val="003B01DD"/>
    <w:rsid w:val="003B037C"/>
    <w:rsid w:val="003B0552"/>
    <w:rsid w:val="003B0A9E"/>
    <w:rsid w:val="003B0C3A"/>
    <w:rsid w:val="003B0C82"/>
    <w:rsid w:val="003B0D1C"/>
    <w:rsid w:val="003B0D2F"/>
    <w:rsid w:val="003B10B5"/>
    <w:rsid w:val="003B1181"/>
    <w:rsid w:val="003B12F8"/>
    <w:rsid w:val="003B136C"/>
    <w:rsid w:val="003B1425"/>
    <w:rsid w:val="003B15BB"/>
    <w:rsid w:val="003B1761"/>
    <w:rsid w:val="003B177A"/>
    <w:rsid w:val="003B1999"/>
    <w:rsid w:val="003B1DA1"/>
    <w:rsid w:val="003B1E69"/>
    <w:rsid w:val="003B22CA"/>
    <w:rsid w:val="003B23B1"/>
    <w:rsid w:val="003B2476"/>
    <w:rsid w:val="003B259B"/>
    <w:rsid w:val="003B25EA"/>
    <w:rsid w:val="003B26DC"/>
    <w:rsid w:val="003B2853"/>
    <w:rsid w:val="003B29B4"/>
    <w:rsid w:val="003B2DC4"/>
    <w:rsid w:val="003B30BC"/>
    <w:rsid w:val="003B34A1"/>
    <w:rsid w:val="003B3602"/>
    <w:rsid w:val="003B38BA"/>
    <w:rsid w:val="003B3A9C"/>
    <w:rsid w:val="003B3ACD"/>
    <w:rsid w:val="003B3D6C"/>
    <w:rsid w:val="003B3DE6"/>
    <w:rsid w:val="003B3E13"/>
    <w:rsid w:val="003B3F84"/>
    <w:rsid w:val="003B40CE"/>
    <w:rsid w:val="003B46A9"/>
    <w:rsid w:val="003B4827"/>
    <w:rsid w:val="003B4BDC"/>
    <w:rsid w:val="003B50EA"/>
    <w:rsid w:val="003B50F4"/>
    <w:rsid w:val="003B53AE"/>
    <w:rsid w:val="003B5BDA"/>
    <w:rsid w:val="003B6158"/>
    <w:rsid w:val="003B62CA"/>
    <w:rsid w:val="003B64C6"/>
    <w:rsid w:val="003B64F2"/>
    <w:rsid w:val="003B670A"/>
    <w:rsid w:val="003B6B4F"/>
    <w:rsid w:val="003B6BB1"/>
    <w:rsid w:val="003B6C91"/>
    <w:rsid w:val="003B6CE4"/>
    <w:rsid w:val="003B6EF4"/>
    <w:rsid w:val="003B712C"/>
    <w:rsid w:val="003B733C"/>
    <w:rsid w:val="003B77EE"/>
    <w:rsid w:val="003B7BDF"/>
    <w:rsid w:val="003B7E54"/>
    <w:rsid w:val="003B7F30"/>
    <w:rsid w:val="003B7F33"/>
    <w:rsid w:val="003B7FD2"/>
    <w:rsid w:val="003C0106"/>
    <w:rsid w:val="003C05F1"/>
    <w:rsid w:val="003C07A7"/>
    <w:rsid w:val="003C0B1E"/>
    <w:rsid w:val="003C0E49"/>
    <w:rsid w:val="003C0EED"/>
    <w:rsid w:val="003C106B"/>
    <w:rsid w:val="003C13DB"/>
    <w:rsid w:val="003C13F1"/>
    <w:rsid w:val="003C1422"/>
    <w:rsid w:val="003C16E8"/>
    <w:rsid w:val="003C194B"/>
    <w:rsid w:val="003C1B1C"/>
    <w:rsid w:val="003C1C60"/>
    <w:rsid w:val="003C1CE6"/>
    <w:rsid w:val="003C1EF9"/>
    <w:rsid w:val="003C1FFB"/>
    <w:rsid w:val="003C20F0"/>
    <w:rsid w:val="003C2551"/>
    <w:rsid w:val="003C2557"/>
    <w:rsid w:val="003C2562"/>
    <w:rsid w:val="003C25E5"/>
    <w:rsid w:val="003C26F7"/>
    <w:rsid w:val="003C27C1"/>
    <w:rsid w:val="003C2B7F"/>
    <w:rsid w:val="003C2D4D"/>
    <w:rsid w:val="003C2D67"/>
    <w:rsid w:val="003C2D87"/>
    <w:rsid w:val="003C3023"/>
    <w:rsid w:val="003C35E7"/>
    <w:rsid w:val="003C36E9"/>
    <w:rsid w:val="003C3738"/>
    <w:rsid w:val="003C37D3"/>
    <w:rsid w:val="003C3839"/>
    <w:rsid w:val="003C3AC5"/>
    <w:rsid w:val="003C3BAB"/>
    <w:rsid w:val="003C3F46"/>
    <w:rsid w:val="003C4274"/>
    <w:rsid w:val="003C44C8"/>
    <w:rsid w:val="003C45DC"/>
    <w:rsid w:val="003C48A9"/>
    <w:rsid w:val="003C4B28"/>
    <w:rsid w:val="003C4CAA"/>
    <w:rsid w:val="003C5483"/>
    <w:rsid w:val="003C557A"/>
    <w:rsid w:val="003C5783"/>
    <w:rsid w:val="003C59F1"/>
    <w:rsid w:val="003C6121"/>
    <w:rsid w:val="003C6470"/>
    <w:rsid w:val="003C64CE"/>
    <w:rsid w:val="003C6A1A"/>
    <w:rsid w:val="003C6B5F"/>
    <w:rsid w:val="003C6B9A"/>
    <w:rsid w:val="003C6DCC"/>
    <w:rsid w:val="003C6F71"/>
    <w:rsid w:val="003C768B"/>
    <w:rsid w:val="003C7AF4"/>
    <w:rsid w:val="003C7D4A"/>
    <w:rsid w:val="003D03EE"/>
    <w:rsid w:val="003D06E4"/>
    <w:rsid w:val="003D0C32"/>
    <w:rsid w:val="003D0EE3"/>
    <w:rsid w:val="003D13DA"/>
    <w:rsid w:val="003D15A4"/>
    <w:rsid w:val="003D1852"/>
    <w:rsid w:val="003D1A45"/>
    <w:rsid w:val="003D205D"/>
    <w:rsid w:val="003D22AC"/>
    <w:rsid w:val="003D22ED"/>
    <w:rsid w:val="003D230D"/>
    <w:rsid w:val="003D2443"/>
    <w:rsid w:val="003D2833"/>
    <w:rsid w:val="003D2CE9"/>
    <w:rsid w:val="003D2D5A"/>
    <w:rsid w:val="003D3226"/>
    <w:rsid w:val="003D3AB8"/>
    <w:rsid w:val="003D3C42"/>
    <w:rsid w:val="003D3CC7"/>
    <w:rsid w:val="003D3CF6"/>
    <w:rsid w:val="003D3D7F"/>
    <w:rsid w:val="003D3E33"/>
    <w:rsid w:val="003D41E9"/>
    <w:rsid w:val="003D4292"/>
    <w:rsid w:val="003D44BF"/>
    <w:rsid w:val="003D4504"/>
    <w:rsid w:val="003D485B"/>
    <w:rsid w:val="003D4B90"/>
    <w:rsid w:val="003D4D33"/>
    <w:rsid w:val="003D4D5D"/>
    <w:rsid w:val="003D4D9E"/>
    <w:rsid w:val="003D4DE5"/>
    <w:rsid w:val="003D5415"/>
    <w:rsid w:val="003D567B"/>
    <w:rsid w:val="003D592E"/>
    <w:rsid w:val="003D5AAF"/>
    <w:rsid w:val="003D5E70"/>
    <w:rsid w:val="003D5EF8"/>
    <w:rsid w:val="003D600D"/>
    <w:rsid w:val="003D6025"/>
    <w:rsid w:val="003D68A9"/>
    <w:rsid w:val="003D6B88"/>
    <w:rsid w:val="003D6DCB"/>
    <w:rsid w:val="003D76C0"/>
    <w:rsid w:val="003D798C"/>
    <w:rsid w:val="003D7AA5"/>
    <w:rsid w:val="003D7C13"/>
    <w:rsid w:val="003D7FC9"/>
    <w:rsid w:val="003E00A6"/>
    <w:rsid w:val="003E0105"/>
    <w:rsid w:val="003E0356"/>
    <w:rsid w:val="003E083A"/>
    <w:rsid w:val="003E0E52"/>
    <w:rsid w:val="003E0FFE"/>
    <w:rsid w:val="003E100C"/>
    <w:rsid w:val="003E1166"/>
    <w:rsid w:val="003E14CA"/>
    <w:rsid w:val="003E1637"/>
    <w:rsid w:val="003E1891"/>
    <w:rsid w:val="003E1A07"/>
    <w:rsid w:val="003E1AEE"/>
    <w:rsid w:val="003E1E89"/>
    <w:rsid w:val="003E1E98"/>
    <w:rsid w:val="003E2228"/>
    <w:rsid w:val="003E2264"/>
    <w:rsid w:val="003E2478"/>
    <w:rsid w:val="003E24D8"/>
    <w:rsid w:val="003E251B"/>
    <w:rsid w:val="003E2546"/>
    <w:rsid w:val="003E2555"/>
    <w:rsid w:val="003E283D"/>
    <w:rsid w:val="003E2972"/>
    <w:rsid w:val="003E2C16"/>
    <w:rsid w:val="003E2DBD"/>
    <w:rsid w:val="003E31F2"/>
    <w:rsid w:val="003E371F"/>
    <w:rsid w:val="003E3774"/>
    <w:rsid w:val="003E3B8F"/>
    <w:rsid w:val="003E3BE0"/>
    <w:rsid w:val="003E3BF4"/>
    <w:rsid w:val="003E410F"/>
    <w:rsid w:val="003E41F0"/>
    <w:rsid w:val="003E4373"/>
    <w:rsid w:val="003E43B3"/>
    <w:rsid w:val="003E45ED"/>
    <w:rsid w:val="003E47AB"/>
    <w:rsid w:val="003E4D3E"/>
    <w:rsid w:val="003E4F61"/>
    <w:rsid w:val="003E5094"/>
    <w:rsid w:val="003E54A0"/>
    <w:rsid w:val="003E55CD"/>
    <w:rsid w:val="003E57E2"/>
    <w:rsid w:val="003E59BC"/>
    <w:rsid w:val="003E59EA"/>
    <w:rsid w:val="003E5AC0"/>
    <w:rsid w:val="003E5B26"/>
    <w:rsid w:val="003E5C7B"/>
    <w:rsid w:val="003E60A7"/>
    <w:rsid w:val="003E62F7"/>
    <w:rsid w:val="003E65E6"/>
    <w:rsid w:val="003E6D49"/>
    <w:rsid w:val="003E6DE8"/>
    <w:rsid w:val="003E6F6C"/>
    <w:rsid w:val="003E7258"/>
    <w:rsid w:val="003E762F"/>
    <w:rsid w:val="003E7891"/>
    <w:rsid w:val="003E7D95"/>
    <w:rsid w:val="003E7DFD"/>
    <w:rsid w:val="003E7FC6"/>
    <w:rsid w:val="003F00A6"/>
    <w:rsid w:val="003F0195"/>
    <w:rsid w:val="003F04D1"/>
    <w:rsid w:val="003F0813"/>
    <w:rsid w:val="003F0A75"/>
    <w:rsid w:val="003F0A96"/>
    <w:rsid w:val="003F0C56"/>
    <w:rsid w:val="003F0FF1"/>
    <w:rsid w:val="003F1041"/>
    <w:rsid w:val="003F112B"/>
    <w:rsid w:val="003F1271"/>
    <w:rsid w:val="003F13F7"/>
    <w:rsid w:val="003F157D"/>
    <w:rsid w:val="003F1772"/>
    <w:rsid w:val="003F1AE8"/>
    <w:rsid w:val="003F1D09"/>
    <w:rsid w:val="003F1E8F"/>
    <w:rsid w:val="003F2421"/>
    <w:rsid w:val="003F27A5"/>
    <w:rsid w:val="003F283A"/>
    <w:rsid w:val="003F28F7"/>
    <w:rsid w:val="003F303D"/>
    <w:rsid w:val="003F3176"/>
    <w:rsid w:val="003F3485"/>
    <w:rsid w:val="003F34E4"/>
    <w:rsid w:val="003F35BC"/>
    <w:rsid w:val="003F36CB"/>
    <w:rsid w:val="003F397D"/>
    <w:rsid w:val="003F3D84"/>
    <w:rsid w:val="003F401A"/>
    <w:rsid w:val="003F401D"/>
    <w:rsid w:val="003F43BC"/>
    <w:rsid w:val="003F4425"/>
    <w:rsid w:val="003F453F"/>
    <w:rsid w:val="003F46B3"/>
    <w:rsid w:val="003F4867"/>
    <w:rsid w:val="003F4895"/>
    <w:rsid w:val="003F4D43"/>
    <w:rsid w:val="003F50DC"/>
    <w:rsid w:val="003F595C"/>
    <w:rsid w:val="003F5B17"/>
    <w:rsid w:val="003F5D50"/>
    <w:rsid w:val="003F5DC2"/>
    <w:rsid w:val="003F5FE4"/>
    <w:rsid w:val="003F6218"/>
    <w:rsid w:val="003F63C9"/>
    <w:rsid w:val="003F69E8"/>
    <w:rsid w:val="003F7096"/>
    <w:rsid w:val="003F793F"/>
    <w:rsid w:val="003F7AF9"/>
    <w:rsid w:val="003F7E9F"/>
    <w:rsid w:val="00400192"/>
    <w:rsid w:val="004001F4"/>
    <w:rsid w:val="0040062B"/>
    <w:rsid w:val="00400C61"/>
    <w:rsid w:val="00400DDA"/>
    <w:rsid w:val="0040169A"/>
    <w:rsid w:val="00401759"/>
    <w:rsid w:val="00401A30"/>
    <w:rsid w:val="00401CBE"/>
    <w:rsid w:val="00401E93"/>
    <w:rsid w:val="00401ECE"/>
    <w:rsid w:val="004020A0"/>
    <w:rsid w:val="0040211A"/>
    <w:rsid w:val="0040225C"/>
    <w:rsid w:val="004027A8"/>
    <w:rsid w:val="004028E5"/>
    <w:rsid w:val="00402926"/>
    <w:rsid w:val="00402D68"/>
    <w:rsid w:val="00402D82"/>
    <w:rsid w:val="0040313C"/>
    <w:rsid w:val="00403166"/>
    <w:rsid w:val="0040317A"/>
    <w:rsid w:val="004032A2"/>
    <w:rsid w:val="004033B4"/>
    <w:rsid w:val="00403A4F"/>
    <w:rsid w:val="00403DD4"/>
    <w:rsid w:val="00403F53"/>
    <w:rsid w:val="0040408D"/>
    <w:rsid w:val="00404618"/>
    <w:rsid w:val="00404723"/>
    <w:rsid w:val="004049B7"/>
    <w:rsid w:val="00404ACC"/>
    <w:rsid w:val="00404C01"/>
    <w:rsid w:val="00404E35"/>
    <w:rsid w:val="00405074"/>
    <w:rsid w:val="0040515D"/>
    <w:rsid w:val="0040526F"/>
    <w:rsid w:val="004055E2"/>
    <w:rsid w:val="004055FF"/>
    <w:rsid w:val="00405721"/>
    <w:rsid w:val="00405807"/>
    <w:rsid w:val="0040594D"/>
    <w:rsid w:val="00405B98"/>
    <w:rsid w:val="00405F39"/>
    <w:rsid w:val="004062C4"/>
    <w:rsid w:val="00406418"/>
    <w:rsid w:val="00406534"/>
    <w:rsid w:val="004065DA"/>
    <w:rsid w:val="00406731"/>
    <w:rsid w:val="00406909"/>
    <w:rsid w:val="0040690A"/>
    <w:rsid w:val="00406AD8"/>
    <w:rsid w:val="00406B19"/>
    <w:rsid w:val="00406C12"/>
    <w:rsid w:val="00406C93"/>
    <w:rsid w:val="00406F85"/>
    <w:rsid w:val="00407093"/>
    <w:rsid w:val="004070F6"/>
    <w:rsid w:val="0040725D"/>
    <w:rsid w:val="004073E7"/>
    <w:rsid w:val="00407656"/>
    <w:rsid w:val="00407A91"/>
    <w:rsid w:val="00407AFD"/>
    <w:rsid w:val="00407B96"/>
    <w:rsid w:val="00407BAB"/>
    <w:rsid w:val="00407C9A"/>
    <w:rsid w:val="00407EFF"/>
    <w:rsid w:val="00410065"/>
    <w:rsid w:val="00410066"/>
    <w:rsid w:val="00410696"/>
    <w:rsid w:val="004106B4"/>
    <w:rsid w:val="00410831"/>
    <w:rsid w:val="00410A3D"/>
    <w:rsid w:val="00410C87"/>
    <w:rsid w:val="00410DD6"/>
    <w:rsid w:val="00411F32"/>
    <w:rsid w:val="00412131"/>
    <w:rsid w:val="004123DA"/>
    <w:rsid w:val="0041286A"/>
    <w:rsid w:val="0041288C"/>
    <w:rsid w:val="00412A56"/>
    <w:rsid w:val="0041331B"/>
    <w:rsid w:val="00413C9D"/>
    <w:rsid w:val="00413E92"/>
    <w:rsid w:val="00414035"/>
    <w:rsid w:val="00414061"/>
    <w:rsid w:val="00414084"/>
    <w:rsid w:val="00414251"/>
    <w:rsid w:val="0041427E"/>
    <w:rsid w:val="004142A8"/>
    <w:rsid w:val="004143C5"/>
    <w:rsid w:val="004143FF"/>
    <w:rsid w:val="00414408"/>
    <w:rsid w:val="00414497"/>
    <w:rsid w:val="00414563"/>
    <w:rsid w:val="0041504D"/>
    <w:rsid w:val="00415818"/>
    <w:rsid w:val="004159F5"/>
    <w:rsid w:val="00415AAA"/>
    <w:rsid w:val="00415AD7"/>
    <w:rsid w:val="00415D85"/>
    <w:rsid w:val="00416547"/>
    <w:rsid w:val="00416633"/>
    <w:rsid w:val="00416D8D"/>
    <w:rsid w:val="00416DA8"/>
    <w:rsid w:val="00416DAE"/>
    <w:rsid w:val="0041737E"/>
    <w:rsid w:val="00417410"/>
    <w:rsid w:val="004176D2"/>
    <w:rsid w:val="0041799B"/>
    <w:rsid w:val="00417CB3"/>
    <w:rsid w:val="00417DCF"/>
    <w:rsid w:val="00417FE3"/>
    <w:rsid w:val="00420173"/>
    <w:rsid w:val="00420659"/>
    <w:rsid w:val="00420680"/>
    <w:rsid w:val="004208F7"/>
    <w:rsid w:val="00420AA4"/>
    <w:rsid w:val="00420B50"/>
    <w:rsid w:val="00420B78"/>
    <w:rsid w:val="00420BCE"/>
    <w:rsid w:val="00420F64"/>
    <w:rsid w:val="00421122"/>
    <w:rsid w:val="004213AD"/>
    <w:rsid w:val="00421A70"/>
    <w:rsid w:val="00421B89"/>
    <w:rsid w:val="00421C4E"/>
    <w:rsid w:val="004223D3"/>
    <w:rsid w:val="0042254B"/>
    <w:rsid w:val="00422B04"/>
    <w:rsid w:val="00422BFA"/>
    <w:rsid w:val="00422D02"/>
    <w:rsid w:val="00422E73"/>
    <w:rsid w:val="00422E9D"/>
    <w:rsid w:val="00422F3C"/>
    <w:rsid w:val="00423076"/>
    <w:rsid w:val="0042345C"/>
    <w:rsid w:val="00423651"/>
    <w:rsid w:val="00423851"/>
    <w:rsid w:val="00423F76"/>
    <w:rsid w:val="00424080"/>
    <w:rsid w:val="00424B75"/>
    <w:rsid w:val="00424E02"/>
    <w:rsid w:val="00424E08"/>
    <w:rsid w:val="00424FDA"/>
    <w:rsid w:val="00425030"/>
    <w:rsid w:val="004251EE"/>
    <w:rsid w:val="00425319"/>
    <w:rsid w:val="00425731"/>
    <w:rsid w:val="0042591C"/>
    <w:rsid w:val="00425DAF"/>
    <w:rsid w:val="00425E17"/>
    <w:rsid w:val="00425F41"/>
    <w:rsid w:val="00425F4A"/>
    <w:rsid w:val="00426069"/>
    <w:rsid w:val="00426095"/>
    <w:rsid w:val="00426115"/>
    <w:rsid w:val="00426164"/>
    <w:rsid w:val="00426240"/>
    <w:rsid w:val="004262E7"/>
    <w:rsid w:val="00426387"/>
    <w:rsid w:val="0042642B"/>
    <w:rsid w:val="0042665C"/>
    <w:rsid w:val="004267B9"/>
    <w:rsid w:val="0042693D"/>
    <w:rsid w:val="0042698A"/>
    <w:rsid w:val="00426BA2"/>
    <w:rsid w:val="00427157"/>
    <w:rsid w:val="0042720E"/>
    <w:rsid w:val="00427504"/>
    <w:rsid w:val="00427638"/>
    <w:rsid w:val="004277C6"/>
    <w:rsid w:val="0042790E"/>
    <w:rsid w:val="00427A1C"/>
    <w:rsid w:val="00427ACE"/>
    <w:rsid w:val="00427D3E"/>
    <w:rsid w:val="00427E29"/>
    <w:rsid w:val="00427F77"/>
    <w:rsid w:val="004300BC"/>
    <w:rsid w:val="0043027D"/>
    <w:rsid w:val="00430300"/>
    <w:rsid w:val="0043055A"/>
    <w:rsid w:val="00430669"/>
    <w:rsid w:val="0043095F"/>
    <w:rsid w:val="00430961"/>
    <w:rsid w:val="00430977"/>
    <w:rsid w:val="00430BEA"/>
    <w:rsid w:val="00430DB6"/>
    <w:rsid w:val="0043149F"/>
    <w:rsid w:val="00431529"/>
    <w:rsid w:val="004319DD"/>
    <w:rsid w:val="00431A90"/>
    <w:rsid w:val="00431D47"/>
    <w:rsid w:val="00431D7F"/>
    <w:rsid w:val="004325FA"/>
    <w:rsid w:val="0043260C"/>
    <w:rsid w:val="00432713"/>
    <w:rsid w:val="004327CE"/>
    <w:rsid w:val="004327E3"/>
    <w:rsid w:val="00432909"/>
    <w:rsid w:val="00432B98"/>
    <w:rsid w:val="00432BBA"/>
    <w:rsid w:val="00432C69"/>
    <w:rsid w:val="00432FB8"/>
    <w:rsid w:val="0043312B"/>
    <w:rsid w:val="0043318C"/>
    <w:rsid w:val="004334B3"/>
    <w:rsid w:val="004336EE"/>
    <w:rsid w:val="00433836"/>
    <w:rsid w:val="00433AA5"/>
    <w:rsid w:val="00433AAE"/>
    <w:rsid w:val="00434001"/>
    <w:rsid w:val="00434193"/>
    <w:rsid w:val="004341CD"/>
    <w:rsid w:val="00434319"/>
    <w:rsid w:val="00434339"/>
    <w:rsid w:val="00434818"/>
    <w:rsid w:val="00434939"/>
    <w:rsid w:val="00434996"/>
    <w:rsid w:val="00434A82"/>
    <w:rsid w:val="00434F83"/>
    <w:rsid w:val="00435320"/>
    <w:rsid w:val="00435488"/>
    <w:rsid w:val="004356A4"/>
    <w:rsid w:val="0043576B"/>
    <w:rsid w:val="004357AA"/>
    <w:rsid w:val="00435831"/>
    <w:rsid w:val="00435A89"/>
    <w:rsid w:val="00435AAF"/>
    <w:rsid w:val="00435B01"/>
    <w:rsid w:val="00435BFE"/>
    <w:rsid w:val="00435D06"/>
    <w:rsid w:val="00436363"/>
    <w:rsid w:val="004365C3"/>
    <w:rsid w:val="004365EE"/>
    <w:rsid w:val="00436A18"/>
    <w:rsid w:val="00436FC3"/>
    <w:rsid w:val="00437011"/>
    <w:rsid w:val="004372DD"/>
    <w:rsid w:val="004374B5"/>
    <w:rsid w:val="004374E0"/>
    <w:rsid w:val="00437589"/>
    <w:rsid w:val="00437712"/>
    <w:rsid w:val="00437856"/>
    <w:rsid w:val="00437976"/>
    <w:rsid w:val="00440063"/>
    <w:rsid w:val="00440156"/>
    <w:rsid w:val="0044029A"/>
    <w:rsid w:val="004407BE"/>
    <w:rsid w:val="00440828"/>
    <w:rsid w:val="00440AD7"/>
    <w:rsid w:val="00441413"/>
    <w:rsid w:val="00441688"/>
    <w:rsid w:val="004419CE"/>
    <w:rsid w:val="00441B68"/>
    <w:rsid w:val="00441E05"/>
    <w:rsid w:val="00441E3F"/>
    <w:rsid w:val="0044231D"/>
    <w:rsid w:val="0044270C"/>
    <w:rsid w:val="00442769"/>
    <w:rsid w:val="00442868"/>
    <w:rsid w:val="00442958"/>
    <w:rsid w:val="00442AA2"/>
    <w:rsid w:val="0044309F"/>
    <w:rsid w:val="00443607"/>
    <w:rsid w:val="00443657"/>
    <w:rsid w:val="004436B0"/>
    <w:rsid w:val="004436DB"/>
    <w:rsid w:val="00443778"/>
    <w:rsid w:val="00443D5E"/>
    <w:rsid w:val="00443D74"/>
    <w:rsid w:val="00443DD3"/>
    <w:rsid w:val="00443E38"/>
    <w:rsid w:val="00443E8C"/>
    <w:rsid w:val="00443F37"/>
    <w:rsid w:val="00444557"/>
    <w:rsid w:val="00444653"/>
    <w:rsid w:val="0044465B"/>
    <w:rsid w:val="004446B4"/>
    <w:rsid w:val="00444811"/>
    <w:rsid w:val="00444B04"/>
    <w:rsid w:val="004450B2"/>
    <w:rsid w:val="004452FA"/>
    <w:rsid w:val="0044541E"/>
    <w:rsid w:val="004454A4"/>
    <w:rsid w:val="004455CE"/>
    <w:rsid w:val="00445BD5"/>
    <w:rsid w:val="00445C76"/>
    <w:rsid w:val="00445E93"/>
    <w:rsid w:val="00446016"/>
    <w:rsid w:val="0044629E"/>
    <w:rsid w:val="00446AF1"/>
    <w:rsid w:val="00446B9C"/>
    <w:rsid w:val="00446BA5"/>
    <w:rsid w:val="00447418"/>
    <w:rsid w:val="004475FF"/>
    <w:rsid w:val="00447707"/>
    <w:rsid w:val="004478FD"/>
    <w:rsid w:val="0044793F"/>
    <w:rsid w:val="00447A79"/>
    <w:rsid w:val="00447C16"/>
    <w:rsid w:val="004500D3"/>
    <w:rsid w:val="004504A5"/>
    <w:rsid w:val="004506B6"/>
    <w:rsid w:val="004508A2"/>
    <w:rsid w:val="00450962"/>
    <w:rsid w:val="004509C7"/>
    <w:rsid w:val="00450BDB"/>
    <w:rsid w:val="00450CA1"/>
    <w:rsid w:val="00450F94"/>
    <w:rsid w:val="004513C7"/>
    <w:rsid w:val="004514CE"/>
    <w:rsid w:val="004514E8"/>
    <w:rsid w:val="004519F3"/>
    <w:rsid w:val="00451A72"/>
    <w:rsid w:val="00451D62"/>
    <w:rsid w:val="00452217"/>
    <w:rsid w:val="00452363"/>
    <w:rsid w:val="00452489"/>
    <w:rsid w:val="00452859"/>
    <w:rsid w:val="00452BE7"/>
    <w:rsid w:val="00452CAF"/>
    <w:rsid w:val="00452D8F"/>
    <w:rsid w:val="00452D90"/>
    <w:rsid w:val="004530BB"/>
    <w:rsid w:val="00453311"/>
    <w:rsid w:val="0045356F"/>
    <w:rsid w:val="0045389E"/>
    <w:rsid w:val="00453978"/>
    <w:rsid w:val="00453B50"/>
    <w:rsid w:val="00453E12"/>
    <w:rsid w:val="004546BF"/>
    <w:rsid w:val="00454C7F"/>
    <w:rsid w:val="00454D05"/>
    <w:rsid w:val="0045500E"/>
    <w:rsid w:val="0045520D"/>
    <w:rsid w:val="0045522D"/>
    <w:rsid w:val="00455269"/>
    <w:rsid w:val="00455287"/>
    <w:rsid w:val="0045531C"/>
    <w:rsid w:val="00455549"/>
    <w:rsid w:val="004556A7"/>
    <w:rsid w:val="004556F8"/>
    <w:rsid w:val="00455828"/>
    <w:rsid w:val="00455C99"/>
    <w:rsid w:val="00455D6C"/>
    <w:rsid w:val="00455DC4"/>
    <w:rsid w:val="00455F0D"/>
    <w:rsid w:val="00455F6B"/>
    <w:rsid w:val="00455FA7"/>
    <w:rsid w:val="004560EA"/>
    <w:rsid w:val="00456137"/>
    <w:rsid w:val="0045616C"/>
    <w:rsid w:val="004561FF"/>
    <w:rsid w:val="00456211"/>
    <w:rsid w:val="004564F7"/>
    <w:rsid w:val="00456651"/>
    <w:rsid w:val="004567A1"/>
    <w:rsid w:val="00456C8B"/>
    <w:rsid w:val="00456C98"/>
    <w:rsid w:val="004570E6"/>
    <w:rsid w:val="0045713F"/>
    <w:rsid w:val="004577FC"/>
    <w:rsid w:val="004579FB"/>
    <w:rsid w:val="00457A00"/>
    <w:rsid w:val="00457DDB"/>
    <w:rsid w:val="004601DF"/>
    <w:rsid w:val="00460479"/>
    <w:rsid w:val="00460D52"/>
    <w:rsid w:val="00461134"/>
    <w:rsid w:val="00461243"/>
    <w:rsid w:val="00461341"/>
    <w:rsid w:val="004617DB"/>
    <w:rsid w:val="0046180D"/>
    <w:rsid w:val="00461AF4"/>
    <w:rsid w:val="00461D97"/>
    <w:rsid w:val="00461DA7"/>
    <w:rsid w:val="00461F51"/>
    <w:rsid w:val="00461F9E"/>
    <w:rsid w:val="00461FF6"/>
    <w:rsid w:val="00462412"/>
    <w:rsid w:val="0046266E"/>
    <w:rsid w:val="004628F0"/>
    <w:rsid w:val="00462A4E"/>
    <w:rsid w:val="00462BE4"/>
    <w:rsid w:val="00462E95"/>
    <w:rsid w:val="00462EB3"/>
    <w:rsid w:val="00462EFD"/>
    <w:rsid w:val="004632C3"/>
    <w:rsid w:val="0046333B"/>
    <w:rsid w:val="0046334E"/>
    <w:rsid w:val="004634C6"/>
    <w:rsid w:val="0046354F"/>
    <w:rsid w:val="004636C3"/>
    <w:rsid w:val="004639C5"/>
    <w:rsid w:val="00463ACA"/>
    <w:rsid w:val="00463B6C"/>
    <w:rsid w:val="00463E39"/>
    <w:rsid w:val="00463E48"/>
    <w:rsid w:val="00464535"/>
    <w:rsid w:val="004649EE"/>
    <w:rsid w:val="00464A69"/>
    <w:rsid w:val="004650D4"/>
    <w:rsid w:val="004654C9"/>
    <w:rsid w:val="00465633"/>
    <w:rsid w:val="0046564F"/>
    <w:rsid w:val="004657A4"/>
    <w:rsid w:val="00465BEA"/>
    <w:rsid w:val="00466242"/>
    <w:rsid w:val="00466674"/>
    <w:rsid w:val="00466686"/>
    <w:rsid w:val="004667D1"/>
    <w:rsid w:val="0046685B"/>
    <w:rsid w:val="004672FC"/>
    <w:rsid w:val="004673F9"/>
    <w:rsid w:val="00467479"/>
    <w:rsid w:val="004674AB"/>
    <w:rsid w:val="00467B26"/>
    <w:rsid w:val="00467BC2"/>
    <w:rsid w:val="00467D93"/>
    <w:rsid w:val="0047022B"/>
    <w:rsid w:val="004703B6"/>
    <w:rsid w:val="004705C4"/>
    <w:rsid w:val="004705CC"/>
    <w:rsid w:val="004706BE"/>
    <w:rsid w:val="00470759"/>
    <w:rsid w:val="004708AA"/>
    <w:rsid w:val="00470A14"/>
    <w:rsid w:val="00470DE9"/>
    <w:rsid w:val="004712CC"/>
    <w:rsid w:val="004712FF"/>
    <w:rsid w:val="00471968"/>
    <w:rsid w:val="00471A5D"/>
    <w:rsid w:val="00471F06"/>
    <w:rsid w:val="00471F8A"/>
    <w:rsid w:val="00472071"/>
    <w:rsid w:val="00472274"/>
    <w:rsid w:val="00472500"/>
    <w:rsid w:val="00472734"/>
    <w:rsid w:val="004728AA"/>
    <w:rsid w:val="00472ED1"/>
    <w:rsid w:val="00472EE2"/>
    <w:rsid w:val="004733C5"/>
    <w:rsid w:val="00473D1B"/>
    <w:rsid w:val="00473D2B"/>
    <w:rsid w:val="00474004"/>
    <w:rsid w:val="0047403D"/>
    <w:rsid w:val="004740D7"/>
    <w:rsid w:val="00474221"/>
    <w:rsid w:val="00474289"/>
    <w:rsid w:val="00474352"/>
    <w:rsid w:val="004743C0"/>
    <w:rsid w:val="0047441C"/>
    <w:rsid w:val="004744C8"/>
    <w:rsid w:val="004744DD"/>
    <w:rsid w:val="004745A9"/>
    <w:rsid w:val="00474A08"/>
    <w:rsid w:val="00474A64"/>
    <w:rsid w:val="00474D41"/>
    <w:rsid w:val="00474E55"/>
    <w:rsid w:val="004751C4"/>
    <w:rsid w:val="0047546A"/>
    <w:rsid w:val="00475A02"/>
    <w:rsid w:val="00475CDE"/>
    <w:rsid w:val="0047611C"/>
    <w:rsid w:val="004761C3"/>
    <w:rsid w:val="004765BD"/>
    <w:rsid w:val="004765E0"/>
    <w:rsid w:val="004766E9"/>
    <w:rsid w:val="0047693F"/>
    <w:rsid w:val="00476AD1"/>
    <w:rsid w:val="00476C4A"/>
    <w:rsid w:val="0047721A"/>
    <w:rsid w:val="0047752A"/>
    <w:rsid w:val="00477648"/>
    <w:rsid w:val="004777D9"/>
    <w:rsid w:val="00477874"/>
    <w:rsid w:val="00477D87"/>
    <w:rsid w:val="00480228"/>
    <w:rsid w:val="0048044D"/>
    <w:rsid w:val="00480614"/>
    <w:rsid w:val="00480631"/>
    <w:rsid w:val="0048073A"/>
    <w:rsid w:val="00480B44"/>
    <w:rsid w:val="00480BD2"/>
    <w:rsid w:val="00480D52"/>
    <w:rsid w:val="00480FF7"/>
    <w:rsid w:val="00481214"/>
    <w:rsid w:val="0048125E"/>
    <w:rsid w:val="00481360"/>
    <w:rsid w:val="0048154D"/>
    <w:rsid w:val="00481D06"/>
    <w:rsid w:val="00481D0E"/>
    <w:rsid w:val="00482463"/>
    <w:rsid w:val="00482557"/>
    <w:rsid w:val="004825B9"/>
    <w:rsid w:val="0048267A"/>
    <w:rsid w:val="004827E7"/>
    <w:rsid w:val="004828FB"/>
    <w:rsid w:val="00482925"/>
    <w:rsid w:val="00482A82"/>
    <w:rsid w:val="00482B3E"/>
    <w:rsid w:val="00482B87"/>
    <w:rsid w:val="00482E68"/>
    <w:rsid w:val="00482F99"/>
    <w:rsid w:val="004831DF"/>
    <w:rsid w:val="00483308"/>
    <w:rsid w:val="004834D7"/>
    <w:rsid w:val="00483809"/>
    <w:rsid w:val="00483E5A"/>
    <w:rsid w:val="00484378"/>
    <w:rsid w:val="004844A0"/>
    <w:rsid w:val="004844EB"/>
    <w:rsid w:val="004845E6"/>
    <w:rsid w:val="004846A0"/>
    <w:rsid w:val="00484841"/>
    <w:rsid w:val="0048502E"/>
    <w:rsid w:val="004851FA"/>
    <w:rsid w:val="004854EB"/>
    <w:rsid w:val="00485672"/>
    <w:rsid w:val="0048582B"/>
    <w:rsid w:val="0048585D"/>
    <w:rsid w:val="0048589C"/>
    <w:rsid w:val="00485B3B"/>
    <w:rsid w:val="00485B80"/>
    <w:rsid w:val="00485D97"/>
    <w:rsid w:val="00485EB6"/>
    <w:rsid w:val="00486067"/>
    <w:rsid w:val="00486115"/>
    <w:rsid w:val="00486123"/>
    <w:rsid w:val="00486370"/>
    <w:rsid w:val="00486452"/>
    <w:rsid w:val="004866C9"/>
    <w:rsid w:val="00486817"/>
    <w:rsid w:val="00486A8C"/>
    <w:rsid w:val="00486AF1"/>
    <w:rsid w:val="00486BE3"/>
    <w:rsid w:val="00486CAB"/>
    <w:rsid w:val="00486CB8"/>
    <w:rsid w:val="00486D90"/>
    <w:rsid w:val="00486F44"/>
    <w:rsid w:val="0048733F"/>
    <w:rsid w:val="0048767C"/>
    <w:rsid w:val="004876F1"/>
    <w:rsid w:val="004877AA"/>
    <w:rsid w:val="00487856"/>
    <w:rsid w:val="004879C4"/>
    <w:rsid w:val="00487AE5"/>
    <w:rsid w:val="00490458"/>
    <w:rsid w:val="0049064B"/>
    <w:rsid w:val="0049092A"/>
    <w:rsid w:val="00490C1D"/>
    <w:rsid w:val="00490D16"/>
    <w:rsid w:val="00490D60"/>
    <w:rsid w:val="00490FBE"/>
    <w:rsid w:val="004910A4"/>
    <w:rsid w:val="004911FA"/>
    <w:rsid w:val="0049125B"/>
    <w:rsid w:val="004913DE"/>
    <w:rsid w:val="00491609"/>
    <w:rsid w:val="004918C0"/>
    <w:rsid w:val="00491DD2"/>
    <w:rsid w:val="00491E7F"/>
    <w:rsid w:val="00491E90"/>
    <w:rsid w:val="00492080"/>
    <w:rsid w:val="004922BC"/>
    <w:rsid w:val="00492566"/>
    <w:rsid w:val="0049260B"/>
    <w:rsid w:val="0049265C"/>
    <w:rsid w:val="0049269B"/>
    <w:rsid w:val="004927F3"/>
    <w:rsid w:val="0049292C"/>
    <w:rsid w:val="00492B51"/>
    <w:rsid w:val="004930C7"/>
    <w:rsid w:val="0049310B"/>
    <w:rsid w:val="0049313D"/>
    <w:rsid w:val="004931E9"/>
    <w:rsid w:val="00493307"/>
    <w:rsid w:val="004934AF"/>
    <w:rsid w:val="004935C2"/>
    <w:rsid w:val="004937AC"/>
    <w:rsid w:val="00493819"/>
    <w:rsid w:val="00493DD0"/>
    <w:rsid w:val="0049412E"/>
    <w:rsid w:val="00494134"/>
    <w:rsid w:val="004948F0"/>
    <w:rsid w:val="00494F44"/>
    <w:rsid w:val="00494F93"/>
    <w:rsid w:val="00495300"/>
    <w:rsid w:val="00495614"/>
    <w:rsid w:val="00495875"/>
    <w:rsid w:val="00495888"/>
    <w:rsid w:val="00495A2A"/>
    <w:rsid w:val="0049600C"/>
    <w:rsid w:val="00496058"/>
    <w:rsid w:val="0049605F"/>
    <w:rsid w:val="00496B6A"/>
    <w:rsid w:val="00496E9B"/>
    <w:rsid w:val="00497069"/>
    <w:rsid w:val="0049707D"/>
    <w:rsid w:val="004973E7"/>
    <w:rsid w:val="00497591"/>
    <w:rsid w:val="004976A7"/>
    <w:rsid w:val="00497D91"/>
    <w:rsid w:val="00497F07"/>
    <w:rsid w:val="004A0180"/>
    <w:rsid w:val="004A02EC"/>
    <w:rsid w:val="004A0429"/>
    <w:rsid w:val="004A04C9"/>
    <w:rsid w:val="004A0741"/>
    <w:rsid w:val="004A077A"/>
    <w:rsid w:val="004A0CAE"/>
    <w:rsid w:val="004A0F0D"/>
    <w:rsid w:val="004A1186"/>
    <w:rsid w:val="004A13B7"/>
    <w:rsid w:val="004A18B0"/>
    <w:rsid w:val="004A1924"/>
    <w:rsid w:val="004A1A0C"/>
    <w:rsid w:val="004A1B99"/>
    <w:rsid w:val="004A1BDF"/>
    <w:rsid w:val="004A1D3D"/>
    <w:rsid w:val="004A1F6F"/>
    <w:rsid w:val="004A20DC"/>
    <w:rsid w:val="004A23DB"/>
    <w:rsid w:val="004A28B9"/>
    <w:rsid w:val="004A28FF"/>
    <w:rsid w:val="004A2ADE"/>
    <w:rsid w:val="004A2B30"/>
    <w:rsid w:val="004A2CD0"/>
    <w:rsid w:val="004A303D"/>
    <w:rsid w:val="004A31FA"/>
    <w:rsid w:val="004A321B"/>
    <w:rsid w:val="004A3415"/>
    <w:rsid w:val="004A3507"/>
    <w:rsid w:val="004A364F"/>
    <w:rsid w:val="004A3658"/>
    <w:rsid w:val="004A3712"/>
    <w:rsid w:val="004A3842"/>
    <w:rsid w:val="004A3B7B"/>
    <w:rsid w:val="004A3F30"/>
    <w:rsid w:val="004A3F38"/>
    <w:rsid w:val="004A43F4"/>
    <w:rsid w:val="004A4450"/>
    <w:rsid w:val="004A44FA"/>
    <w:rsid w:val="004A45CE"/>
    <w:rsid w:val="004A4896"/>
    <w:rsid w:val="004A4A7C"/>
    <w:rsid w:val="004A4BDD"/>
    <w:rsid w:val="004A4C63"/>
    <w:rsid w:val="004A4C9F"/>
    <w:rsid w:val="004A4CE1"/>
    <w:rsid w:val="004A4D01"/>
    <w:rsid w:val="004A4EC2"/>
    <w:rsid w:val="004A4FFF"/>
    <w:rsid w:val="004A536A"/>
    <w:rsid w:val="004A5488"/>
    <w:rsid w:val="004A556B"/>
    <w:rsid w:val="004A5944"/>
    <w:rsid w:val="004A5BBA"/>
    <w:rsid w:val="004A5D94"/>
    <w:rsid w:val="004A5FA4"/>
    <w:rsid w:val="004A604D"/>
    <w:rsid w:val="004A6076"/>
    <w:rsid w:val="004A6159"/>
    <w:rsid w:val="004A6203"/>
    <w:rsid w:val="004A640A"/>
    <w:rsid w:val="004A6529"/>
    <w:rsid w:val="004A6861"/>
    <w:rsid w:val="004A68B7"/>
    <w:rsid w:val="004A6E14"/>
    <w:rsid w:val="004A7261"/>
    <w:rsid w:val="004A740A"/>
    <w:rsid w:val="004A7B0C"/>
    <w:rsid w:val="004A7E2D"/>
    <w:rsid w:val="004B03D9"/>
    <w:rsid w:val="004B054C"/>
    <w:rsid w:val="004B075D"/>
    <w:rsid w:val="004B0B1E"/>
    <w:rsid w:val="004B0D1D"/>
    <w:rsid w:val="004B0D94"/>
    <w:rsid w:val="004B0DFC"/>
    <w:rsid w:val="004B14D1"/>
    <w:rsid w:val="004B1E44"/>
    <w:rsid w:val="004B1F3F"/>
    <w:rsid w:val="004B208D"/>
    <w:rsid w:val="004B2236"/>
    <w:rsid w:val="004B25B4"/>
    <w:rsid w:val="004B273C"/>
    <w:rsid w:val="004B2817"/>
    <w:rsid w:val="004B2AAD"/>
    <w:rsid w:val="004B2DDC"/>
    <w:rsid w:val="004B2FE3"/>
    <w:rsid w:val="004B31A8"/>
    <w:rsid w:val="004B3328"/>
    <w:rsid w:val="004B33A5"/>
    <w:rsid w:val="004B343C"/>
    <w:rsid w:val="004B3599"/>
    <w:rsid w:val="004B38B9"/>
    <w:rsid w:val="004B3A00"/>
    <w:rsid w:val="004B3B34"/>
    <w:rsid w:val="004B3FC8"/>
    <w:rsid w:val="004B41C3"/>
    <w:rsid w:val="004B4313"/>
    <w:rsid w:val="004B4364"/>
    <w:rsid w:val="004B45C6"/>
    <w:rsid w:val="004B4707"/>
    <w:rsid w:val="004B4819"/>
    <w:rsid w:val="004B4B5F"/>
    <w:rsid w:val="004B4D7C"/>
    <w:rsid w:val="004B4DA0"/>
    <w:rsid w:val="004B4E18"/>
    <w:rsid w:val="004B4E1D"/>
    <w:rsid w:val="004B4E38"/>
    <w:rsid w:val="004B4ECF"/>
    <w:rsid w:val="004B4FB6"/>
    <w:rsid w:val="004B51D2"/>
    <w:rsid w:val="004B57D5"/>
    <w:rsid w:val="004B581A"/>
    <w:rsid w:val="004B5C6F"/>
    <w:rsid w:val="004B5E8C"/>
    <w:rsid w:val="004B639D"/>
    <w:rsid w:val="004B6676"/>
    <w:rsid w:val="004B68A7"/>
    <w:rsid w:val="004B6B99"/>
    <w:rsid w:val="004B6C25"/>
    <w:rsid w:val="004B6C30"/>
    <w:rsid w:val="004B6E1B"/>
    <w:rsid w:val="004B6EB8"/>
    <w:rsid w:val="004B6F9E"/>
    <w:rsid w:val="004B73B1"/>
    <w:rsid w:val="004B7869"/>
    <w:rsid w:val="004B79D3"/>
    <w:rsid w:val="004B7A5F"/>
    <w:rsid w:val="004B7DA2"/>
    <w:rsid w:val="004B7E54"/>
    <w:rsid w:val="004B7E94"/>
    <w:rsid w:val="004C009B"/>
    <w:rsid w:val="004C0368"/>
    <w:rsid w:val="004C07CF"/>
    <w:rsid w:val="004C08C8"/>
    <w:rsid w:val="004C0A24"/>
    <w:rsid w:val="004C0DA1"/>
    <w:rsid w:val="004C0F47"/>
    <w:rsid w:val="004C10B1"/>
    <w:rsid w:val="004C152C"/>
    <w:rsid w:val="004C1820"/>
    <w:rsid w:val="004C189A"/>
    <w:rsid w:val="004C19B9"/>
    <w:rsid w:val="004C1A86"/>
    <w:rsid w:val="004C1AFB"/>
    <w:rsid w:val="004C1FDD"/>
    <w:rsid w:val="004C2117"/>
    <w:rsid w:val="004C2253"/>
    <w:rsid w:val="004C241C"/>
    <w:rsid w:val="004C2446"/>
    <w:rsid w:val="004C25D9"/>
    <w:rsid w:val="004C277A"/>
    <w:rsid w:val="004C2E84"/>
    <w:rsid w:val="004C3096"/>
    <w:rsid w:val="004C3E08"/>
    <w:rsid w:val="004C3FA6"/>
    <w:rsid w:val="004C418B"/>
    <w:rsid w:val="004C453E"/>
    <w:rsid w:val="004C466A"/>
    <w:rsid w:val="004C47F1"/>
    <w:rsid w:val="004C4851"/>
    <w:rsid w:val="004C48A3"/>
    <w:rsid w:val="004C490E"/>
    <w:rsid w:val="004C4CBB"/>
    <w:rsid w:val="004C5271"/>
    <w:rsid w:val="004C568B"/>
    <w:rsid w:val="004C5AB3"/>
    <w:rsid w:val="004C6456"/>
    <w:rsid w:val="004C6553"/>
    <w:rsid w:val="004C66CA"/>
    <w:rsid w:val="004C66D5"/>
    <w:rsid w:val="004C6A1F"/>
    <w:rsid w:val="004C6AA4"/>
    <w:rsid w:val="004C6AA7"/>
    <w:rsid w:val="004C6ACA"/>
    <w:rsid w:val="004C6FD8"/>
    <w:rsid w:val="004C707F"/>
    <w:rsid w:val="004C709D"/>
    <w:rsid w:val="004D014D"/>
    <w:rsid w:val="004D061C"/>
    <w:rsid w:val="004D0BF8"/>
    <w:rsid w:val="004D0C5A"/>
    <w:rsid w:val="004D0DEA"/>
    <w:rsid w:val="004D0E42"/>
    <w:rsid w:val="004D1012"/>
    <w:rsid w:val="004D15CD"/>
    <w:rsid w:val="004D1625"/>
    <w:rsid w:val="004D1CE9"/>
    <w:rsid w:val="004D1E45"/>
    <w:rsid w:val="004D1FB6"/>
    <w:rsid w:val="004D20AF"/>
    <w:rsid w:val="004D23AC"/>
    <w:rsid w:val="004D250A"/>
    <w:rsid w:val="004D2598"/>
    <w:rsid w:val="004D2AEE"/>
    <w:rsid w:val="004D2C1D"/>
    <w:rsid w:val="004D2E64"/>
    <w:rsid w:val="004D2F7B"/>
    <w:rsid w:val="004D3449"/>
    <w:rsid w:val="004D3617"/>
    <w:rsid w:val="004D37F6"/>
    <w:rsid w:val="004D392D"/>
    <w:rsid w:val="004D39B6"/>
    <w:rsid w:val="004D3A2C"/>
    <w:rsid w:val="004D3B63"/>
    <w:rsid w:val="004D49BD"/>
    <w:rsid w:val="004D4A03"/>
    <w:rsid w:val="004D4E86"/>
    <w:rsid w:val="004D59F6"/>
    <w:rsid w:val="004D5DA4"/>
    <w:rsid w:val="004D6328"/>
    <w:rsid w:val="004D66A7"/>
    <w:rsid w:val="004D69AE"/>
    <w:rsid w:val="004D6B36"/>
    <w:rsid w:val="004D6BE8"/>
    <w:rsid w:val="004D6F0C"/>
    <w:rsid w:val="004D71E0"/>
    <w:rsid w:val="004D72E0"/>
    <w:rsid w:val="004D73C3"/>
    <w:rsid w:val="004D750A"/>
    <w:rsid w:val="004D7B88"/>
    <w:rsid w:val="004D7D76"/>
    <w:rsid w:val="004D7EAF"/>
    <w:rsid w:val="004E0028"/>
    <w:rsid w:val="004E014B"/>
    <w:rsid w:val="004E04E1"/>
    <w:rsid w:val="004E0553"/>
    <w:rsid w:val="004E071D"/>
    <w:rsid w:val="004E0853"/>
    <w:rsid w:val="004E0879"/>
    <w:rsid w:val="004E0C7B"/>
    <w:rsid w:val="004E0FFA"/>
    <w:rsid w:val="004E1A36"/>
    <w:rsid w:val="004E1C0D"/>
    <w:rsid w:val="004E1DC7"/>
    <w:rsid w:val="004E1E11"/>
    <w:rsid w:val="004E2383"/>
    <w:rsid w:val="004E24DF"/>
    <w:rsid w:val="004E2681"/>
    <w:rsid w:val="004E2712"/>
    <w:rsid w:val="004E274C"/>
    <w:rsid w:val="004E2821"/>
    <w:rsid w:val="004E28CB"/>
    <w:rsid w:val="004E2A9B"/>
    <w:rsid w:val="004E2B9D"/>
    <w:rsid w:val="004E2BE4"/>
    <w:rsid w:val="004E2CB5"/>
    <w:rsid w:val="004E2D13"/>
    <w:rsid w:val="004E2F27"/>
    <w:rsid w:val="004E2FAD"/>
    <w:rsid w:val="004E32DD"/>
    <w:rsid w:val="004E36B2"/>
    <w:rsid w:val="004E36C5"/>
    <w:rsid w:val="004E3A47"/>
    <w:rsid w:val="004E3CD8"/>
    <w:rsid w:val="004E3D5D"/>
    <w:rsid w:val="004E406B"/>
    <w:rsid w:val="004E40E7"/>
    <w:rsid w:val="004E40FC"/>
    <w:rsid w:val="004E411C"/>
    <w:rsid w:val="004E4143"/>
    <w:rsid w:val="004E42A6"/>
    <w:rsid w:val="004E4495"/>
    <w:rsid w:val="004E47D6"/>
    <w:rsid w:val="004E499B"/>
    <w:rsid w:val="004E4B0D"/>
    <w:rsid w:val="004E4CAA"/>
    <w:rsid w:val="004E4CC3"/>
    <w:rsid w:val="004E5118"/>
    <w:rsid w:val="004E523B"/>
    <w:rsid w:val="004E52AB"/>
    <w:rsid w:val="004E5367"/>
    <w:rsid w:val="004E56F2"/>
    <w:rsid w:val="004E5820"/>
    <w:rsid w:val="004E5C1F"/>
    <w:rsid w:val="004E5C56"/>
    <w:rsid w:val="004E5C71"/>
    <w:rsid w:val="004E5F67"/>
    <w:rsid w:val="004E607B"/>
    <w:rsid w:val="004E6358"/>
    <w:rsid w:val="004E654F"/>
    <w:rsid w:val="004E6569"/>
    <w:rsid w:val="004E6CD5"/>
    <w:rsid w:val="004E6CE2"/>
    <w:rsid w:val="004E6E6F"/>
    <w:rsid w:val="004E7163"/>
    <w:rsid w:val="004E72AB"/>
    <w:rsid w:val="004E72AF"/>
    <w:rsid w:val="004E7528"/>
    <w:rsid w:val="004E7758"/>
    <w:rsid w:val="004E7975"/>
    <w:rsid w:val="004E7ACC"/>
    <w:rsid w:val="004E7F38"/>
    <w:rsid w:val="004F006B"/>
    <w:rsid w:val="004F006C"/>
    <w:rsid w:val="004F00CA"/>
    <w:rsid w:val="004F01DD"/>
    <w:rsid w:val="004F023F"/>
    <w:rsid w:val="004F0698"/>
    <w:rsid w:val="004F070E"/>
    <w:rsid w:val="004F0942"/>
    <w:rsid w:val="004F094D"/>
    <w:rsid w:val="004F0BCD"/>
    <w:rsid w:val="004F0BF0"/>
    <w:rsid w:val="004F0C8E"/>
    <w:rsid w:val="004F0EE9"/>
    <w:rsid w:val="004F0F30"/>
    <w:rsid w:val="004F10E6"/>
    <w:rsid w:val="004F13F4"/>
    <w:rsid w:val="004F14DA"/>
    <w:rsid w:val="004F1770"/>
    <w:rsid w:val="004F17B3"/>
    <w:rsid w:val="004F1A1C"/>
    <w:rsid w:val="004F1C1F"/>
    <w:rsid w:val="004F1C2C"/>
    <w:rsid w:val="004F2124"/>
    <w:rsid w:val="004F21E5"/>
    <w:rsid w:val="004F2ABF"/>
    <w:rsid w:val="004F2E4D"/>
    <w:rsid w:val="004F2FE3"/>
    <w:rsid w:val="004F3009"/>
    <w:rsid w:val="004F320D"/>
    <w:rsid w:val="004F33E8"/>
    <w:rsid w:val="004F365D"/>
    <w:rsid w:val="004F3CBD"/>
    <w:rsid w:val="004F3E90"/>
    <w:rsid w:val="004F45CF"/>
    <w:rsid w:val="004F460D"/>
    <w:rsid w:val="004F47A4"/>
    <w:rsid w:val="004F4889"/>
    <w:rsid w:val="004F4A24"/>
    <w:rsid w:val="004F4B39"/>
    <w:rsid w:val="004F4D99"/>
    <w:rsid w:val="004F4D9F"/>
    <w:rsid w:val="004F518E"/>
    <w:rsid w:val="004F51C0"/>
    <w:rsid w:val="004F534F"/>
    <w:rsid w:val="004F5495"/>
    <w:rsid w:val="004F57F6"/>
    <w:rsid w:val="004F5869"/>
    <w:rsid w:val="004F5BBA"/>
    <w:rsid w:val="004F5CC1"/>
    <w:rsid w:val="004F67B8"/>
    <w:rsid w:val="004F687B"/>
    <w:rsid w:val="004F696B"/>
    <w:rsid w:val="004F69A1"/>
    <w:rsid w:val="004F69AC"/>
    <w:rsid w:val="004F6AC4"/>
    <w:rsid w:val="004F6CF1"/>
    <w:rsid w:val="004F72C0"/>
    <w:rsid w:val="004F7327"/>
    <w:rsid w:val="004F741A"/>
    <w:rsid w:val="004F7671"/>
    <w:rsid w:val="004F76AF"/>
    <w:rsid w:val="004F76DB"/>
    <w:rsid w:val="004F7709"/>
    <w:rsid w:val="004F786C"/>
    <w:rsid w:val="004F79D3"/>
    <w:rsid w:val="004F7BFA"/>
    <w:rsid w:val="005005DB"/>
    <w:rsid w:val="005006AD"/>
    <w:rsid w:val="005009A0"/>
    <w:rsid w:val="00500A91"/>
    <w:rsid w:val="00500C72"/>
    <w:rsid w:val="00500D05"/>
    <w:rsid w:val="00500F44"/>
    <w:rsid w:val="00501170"/>
    <w:rsid w:val="00501477"/>
    <w:rsid w:val="00501C21"/>
    <w:rsid w:val="00501CC7"/>
    <w:rsid w:val="00501DB2"/>
    <w:rsid w:val="0050227C"/>
    <w:rsid w:val="005022FC"/>
    <w:rsid w:val="005023AB"/>
    <w:rsid w:val="005023B2"/>
    <w:rsid w:val="005023F2"/>
    <w:rsid w:val="0050261D"/>
    <w:rsid w:val="00502887"/>
    <w:rsid w:val="00502AA4"/>
    <w:rsid w:val="00502AE8"/>
    <w:rsid w:val="00502F14"/>
    <w:rsid w:val="0050373E"/>
    <w:rsid w:val="00503B1A"/>
    <w:rsid w:val="00503BA8"/>
    <w:rsid w:val="00503DF6"/>
    <w:rsid w:val="00503F68"/>
    <w:rsid w:val="00504614"/>
    <w:rsid w:val="00504623"/>
    <w:rsid w:val="005048E2"/>
    <w:rsid w:val="00504996"/>
    <w:rsid w:val="00504BC7"/>
    <w:rsid w:val="00504C0F"/>
    <w:rsid w:val="00504E5A"/>
    <w:rsid w:val="005053B4"/>
    <w:rsid w:val="00505753"/>
    <w:rsid w:val="00505839"/>
    <w:rsid w:val="00505866"/>
    <w:rsid w:val="005058BB"/>
    <w:rsid w:val="005058F6"/>
    <w:rsid w:val="005060B0"/>
    <w:rsid w:val="00506315"/>
    <w:rsid w:val="005064AB"/>
    <w:rsid w:val="00506681"/>
    <w:rsid w:val="00506A08"/>
    <w:rsid w:val="00506EEC"/>
    <w:rsid w:val="0050719A"/>
    <w:rsid w:val="005071C5"/>
    <w:rsid w:val="00507287"/>
    <w:rsid w:val="00507339"/>
    <w:rsid w:val="005076F5"/>
    <w:rsid w:val="005077CC"/>
    <w:rsid w:val="00507AB5"/>
    <w:rsid w:val="00507B09"/>
    <w:rsid w:val="00507B51"/>
    <w:rsid w:val="00507D83"/>
    <w:rsid w:val="00507E7C"/>
    <w:rsid w:val="00510090"/>
    <w:rsid w:val="00510202"/>
    <w:rsid w:val="005104EF"/>
    <w:rsid w:val="0051080A"/>
    <w:rsid w:val="00510901"/>
    <w:rsid w:val="00510AC3"/>
    <w:rsid w:val="00510AD5"/>
    <w:rsid w:val="00510C92"/>
    <w:rsid w:val="00510DA8"/>
    <w:rsid w:val="00510F8C"/>
    <w:rsid w:val="00510F9F"/>
    <w:rsid w:val="00511129"/>
    <w:rsid w:val="005112DF"/>
    <w:rsid w:val="0051132A"/>
    <w:rsid w:val="0051134C"/>
    <w:rsid w:val="00511CBA"/>
    <w:rsid w:val="00512381"/>
    <w:rsid w:val="005124C4"/>
    <w:rsid w:val="005124E2"/>
    <w:rsid w:val="005125B6"/>
    <w:rsid w:val="0051268E"/>
    <w:rsid w:val="0051273B"/>
    <w:rsid w:val="00512B75"/>
    <w:rsid w:val="00512BE4"/>
    <w:rsid w:val="00512E2D"/>
    <w:rsid w:val="00512F31"/>
    <w:rsid w:val="005130FF"/>
    <w:rsid w:val="00513174"/>
    <w:rsid w:val="0051342A"/>
    <w:rsid w:val="00513574"/>
    <w:rsid w:val="005137B8"/>
    <w:rsid w:val="00513964"/>
    <w:rsid w:val="00513DF3"/>
    <w:rsid w:val="00513EFE"/>
    <w:rsid w:val="005140A9"/>
    <w:rsid w:val="0051415C"/>
    <w:rsid w:val="005145BA"/>
    <w:rsid w:val="005149C4"/>
    <w:rsid w:val="00514C5C"/>
    <w:rsid w:val="0051527D"/>
    <w:rsid w:val="00515347"/>
    <w:rsid w:val="005156A4"/>
    <w:rsid w:val="00515704"/>
    <w:rsid w:val="00515C54"/>
    <w:rsid w:val="00515EBE"/>
    <w:rsid w:val="00515F8A"/>
    <w:rsid w:val="00515FB1"/>
    <w:rsid w:val="00516116"/>
    <w:rsid w:val="0051632E"/>
    <w:rsid w:val="005164E2"/>
    <w:rsid w:val="005165E2"/>
    <w:rsid w:val="005166E9"/>
    <w:rsid w:val="0051678B"/>
    <w:rsid w:val="00516981"/>
    <w:rsid w:val="005169E1"/>
    <w:rsid w:val="00516AE0"/>
    <w:rsid w:val="00516B78"/>
    <w:rsid w:val="0051708A"/>
    <w:rsid w:val="005173D9"/>
    <w:rsid w:val="005179DF"/>
    <w:rsid w:val="00517A57"/>
    <w:rsid w:val="00517A5E"/>
    <w:rsid w:val="00517C76"/>
    <w:rsid w:val="00517C91"/>
    <w:rsid w:val="00517D46"/>
    <w:rsid w:val="00517EF3"/>
    <w:rsid w:val="00517F6D"/>
    <w:rsid w:val="00520087"/>
    <w:rsid w:val="005208D2"/>
    <w:rsid w:val="00520B49"/>
    <w:rsid w:val="00520CCE"/>
    <w:rsid w:val="005214B8"/>
    <w:rsid w:val="005216FB"/>
    <w:rsid w:val="0052178B"/>
    <w:rsid w:val="00521A46"/>
    <w:rsid w:val="00521C5E"/>
    <w:rsid w:val="00521CF2"/>
    <w:rsid w:val="00521E5F"/>
    <w:rsid w:val="0052206B"/>
    <w:rsid w:val="00522084"/>
    <w:rsid w:val="005225A9"/>
    <w:rsid w:val="0052263E"/>
    <w:rsid w:val="005226C8"/>
    <w:rsid w:val="00522CD8"/>
    <w:rsid w:val="00523007"/>
    <w:rsid w:val="005233B7"/>
    <w:rsid w:val="0052355D"/>
    <w:rsid w:val="005236E0"/>
    <w:rsid w:val="0052388B"/>
    <w:rsid w:val="00523909"/>
    <w:rsid w:val="00523B4D"/>
    <w:rsid w:val="00523D11"/>
    <w:rsid w:val="00523EA3"/>
    <w:rsid w:val="00523F05"/>
    <w:rsid w:val="00524520"/>
    <w:rsid w:val="00524522"/>
    <w:rsid w:val="005246DC"/>
    <w:rsid w:val="00524A3B"/>
    <w:rsid w:val="00524C1F"/>
    <w:rsid w:val="00525201"/>
    <w:rsid w:val="00525468"/>
    <w:rsid w:val="005255C7"/>
    <w:rsid w:val="005256C2"/>
    <w:rsid w:val="005256D1"/>
    <w:rsid w:val="0052584E"/>
    <w:rsid w:val="00525A0D"/>
    <w:rsid w:val="005264E5"/>
    <w:rsid w:val="005264E6"/>
    <w:rsid w:val="005266CC"/>
    <w:rsid w:val="005267E0"/>
    <w:rsid w:val="00526894"/>
    <w:rsid w:val="00526D94"/>
    <w:rsid w:val="0052729C"/>
    <w:rsid w:val="005272F0"/>
    <w:rsid w:val="00527383"/>
    <w:rsid w:val="005300D7"/>
    <w:rsid w:val="0053029D"/>
    <w:rsid w:val="00530339"/>
    <w:rsid w:val="00530387"/>
    <w:rsid w:val="005303CC"/>
    <w:rsid w:val="005304A2"/>
    <w:rsid w:val="00530705"/>
    <w:rsid w:val="00530E71"/>
    <w:rsid w:val="00530F49"/>
    <w:rsid w:val="00530F84"/>
    <w:rsid w:val="00531274"/>
    <w:rsid w:val="005314ED"/>
    <w:rsid w:val="0053151D"/>
    <w:rsid w:val="0053175F"/>
    <w:rsid w:val="00531912"/>
    <w:rsid w:val="00531BC8"/>
    <w:rsid w:val="00532147"/>
    <w:rsid w:val="0053231E"/>
    <w:rsid w:val="005323EA"/>
    <w:rsid w:val="00532431"/>
    <w:rsid w:val="00532C10"/>
    <w:rsid w:val="00532C8D"/>
    <w:rsid w:val="00532DD8"/>
    <w:rsid w:val="00532DFA"/>
    <w:rsid w:val="00532E57"/>
    <w:rsid w:val="00532E63"/>
    <w:rsid w:val="0053307A"/>
    <w:rsid w:val="0053311E"/>
    <w:rsid w:val="0053346B"/>
    <w:rsid w:val="005335D4"/>
    <w:rsid w:val="00533919"/>
    <w:rsid w:val="00533B81"/>
    <w:rsid w:val="00533D3E"/>
    <w:rsid w:val="00533DD4"/>
    <w:rsid w:val="00533E67"/>
    <w:rsid w:val="00534000"/>
    <w:rsid w:val="00534020"/>
    <w:rsid w:val="005341C3"/>
    <w:rsid w:val="005342E8"/>
    <w:rsid w:val="0053471B"/>
    <w:rsid w:val="00534784"/>
    <w:rsid w:val="00534987"/>
    <w:rsid w:val="005349E7"/>
    <w:rsid w:val="00534A2B"/>
    <w:rsid w:val="00534DA4"/>
    <w:rsid w:val="00534E96"/>
    <w:rsid w:val="00534FDE"/>
    <w:rsid w:val="00535117"/>
    <w:rsid w:val="005351E5"/>
    <w:rsid w:val="00535377"/>
    <w:rsid w:val="005353E5"/>
    <w:rsid w:val="005353FC"/>
    <w:rsid w:val="0053543D"/>
    <w:rsid w:val="005354A2"/>
    <w:rsid w:val="00535629"/>
    <w:rsid w:val="00535643"/>
    <w:rsid w:val="0053566A"/>
    <w:rsid w:val="005356AF"/>
    <w:rsid w:val="0053572C"/>
    <w:rsid w:val="0053574F"/>
    <w:rsid w:val="00535E03"/>
    <w:rsid w:val="00535FFC"/>
    <w:rsid w:val="005366CA"/>
    <w:rsid w:val="0053677C"/>
    <w:rsid w:val="00536972"/>
    <w:rsid w:val="00536BB9"/>
    <w:rsid w:val="0053708A"/>
    <w:rsid w:val="00537721"/>
    <w:rsid w:val="005377F2"/>
    <w:rsid w:val="00537B4B"/>
    <w:rsid w:val="00537BF0"/>
    <w:rsid w:val="00537D71"/>
    <w:rsid w:val="00537F67"/>
    <w:rsid w:val="00540036"/>
    <w:rsid w:val="005402BC"/>
    <w:rsid w:val="005405CE"/>
    <w:rsid w:val="0054062B"/>
    <w:rsid w:val="00540B8B"/>
    <w:rsid w:val="00540CCC"/>
    <w:rsid w:val="00541487"/>
    <w:rsid w:val="005415B2"/>
    <w:rsid w:val="005416FF"/>
    <w:rsid w:val="0054175B"/>
    <w:rsid w:val="0054185E"/>
    <w:rsid w:val="00541ABD"/>
    <w:rsid w:val="00541BFD"/>
    <w:rsid w:val="00541FEE"/>
    <w:rsid w:val="005421D4"/>
    <w:rsid w:val="0054228B"/>
    <w:rsid w:val="0054247E"/>
    <w:rsid w:val="00542514"/>
    <w:rsid w:val="00542A53"/>
    <w:rsid w:val="00542C21"/>
    <w:rsid w:val="00542CA8"/>
    <w:rsid w:val="0054306A"/>
    <w:rsid w:val="005431CD"/>
    <w:rsid w:val="005435FB"/>
    <w:rsid w:val="00543773"/>
    <w:rsid w:val="00543A93"/>
    <w:rsid w:val="00543B29"/>
    <w:rsid w:val="00543E88"/>
    <w:rsid w:val="005441FA"/>
    <w:rsid w:val="005442E8"/>
    <w:rsid w:val="00544688"/>
    <w:rsid w:val="00544C66"/>
    <w:rsid w:val="00544D68"/>
    <w:rsid w:val="0054515A"/>
    <w:rsid w:val="005457F9"/>
    <w:rsid w:val="00545B1E"/>
    <w:rsid w:val="00545CC4"/>
    <w:rsid w:val="00545D43"/>
    <w:rsid w:val="00545F01"/>
    <w:rsid w:val="0054608A"/>
    <w:rsid w:val="005460BC"/>
    <w:rsid w:val="00546162"/>
    <w:rsid w:val="00546205"/>
    <w:rsid w:val="0054637F"/>
    <w:rsid w:val="005464A6"/>
    <w:rsid w:val="00546587"/>
    <w:rsid w:val="0054666F"/>
    <w:rsid w:val="005466BF"/>
    <w:rsid w:val="00546813"/>
    <w:rsid w:val="0054683D"/>
    <w:rsid w:val="00546899"/>
    <w:rsid w:val="00546A2D"/>
    <w:rsid w:val="00546A40"/>
    <w:rsid w:val="00546BD9"/>
    <w:rsid w:val="00546E18"/>
    <w:rsid w:val="00546FA0"/>
    <w:rsid w:val="005475DF"/>
    <w:rsid w:val="00547872"/>
    <w:rsid w:val="00547A89"/>
    <w:rsid w:val="00547C62"/>
    <w:rsid w:val="00547DE7"/>
    <w:rsid w:val="00547E46"/>
    <w:rsid w:val="00550045"/>
    <w:rsid w:val="00550054"/>
    <w:rsid w:val="00550469"/>
    <w:rsid w:val="00550535"/>
    <w:rsid w:val="005506A8"/>
    <w:rsid w:val="00550ABF"/>
    <w:rsid w:val="00550E20"/>
    <w:rsid w:val="00550EED"/>
    <w:rsid w:val="0055100D"/>
    <w:rsid w:val="005515E9"/>
    <w:rsid w:val="00551608"/>
    <w:rsid w:val="005516B2"/>
    <w:rsid w:val="00551887"/>
    <w:rsid w:val="005519F3"/>
    <w:rsid w:val="00551B05"/>
    <w:rsid w:val="00551B5F"/>
    <w:rsid w:val="00551ECC"/>
    <w:rsid w:val="00551F82"/>
    <w:rsid w:val="005520F6"/>
    <w:rsid w:val="00552230"/>
    <w:rsid w:val="00552A27"/>
    <w:rsid w:val="00552A92"/>
    <w:rsid w:val="00552B79"/>
    <w:rsid w:val="00552BA7"/>
    <w:rsid w:val="00552BFF"/>
    <w:rsid w:val="00552C6F"/>
    <w:rsid w:val="00552C8C"/>
    <w:rsid w:val="00552CDF"/>
    <w:rsid w:val="00552ED4"/>
    <w:rsid w:val="005531E5"/>
    <w:rsid w:val="0055377C"/>
    <w:rsid w:val="0055388C"/>
    <w:rsid w:val="00553A37"/>
    <w:rsid w:val="00553C96"/>
    <w:rsid w:val="00553D6B"/>
    <w:rsid w:val="00553E36"/>
    <w:rsid w:val="00554053"/>
    <w:rsid w:val="00554076"/>
    <w:rsid w:val="005540CD"/>
    <w:rsid w:val="00554187"/>
    <w:rsid w:val="005542AF"/>
    <w:rsid w:val="0055435F"/>
    <w:rsid w:val="00554959"/>
    <w:rsid w:val="00554AAC"/>
    <w:rsid w:val="00554BBE"/>
    <w:rsid w:val="00554D48"/>
    <w:rsid w:val="0055504F"/>
    <w:rsid w:val="005550D9"/>
    <w:rsid w:val="00555101"/>
    <w:rsid w:val="00555376"/>
    <w:rsid w:val="0055571F"/>
    <w:rsid w:val="005558C1"/>
    <w:rsid w:val="00555A3E"/>
    <w:rsid w:val="00555D95"/>
    <w:rsid w:val="00555E47"/>
    <w:rsid w:val="00555FEF"/>
    <w:rsid w:val="00556020"/>
    <w:rsid w:val="00556060"/>
    <w:rsid w:val="005562F1"/>
    <w:rsid w:val="005565B0"/>
    <w:rsid w:val="00556D85"/>
    <w:rsid w:val="00556F37"/>
    <w:rsid w:val="0055731B"/>
    <w:rsid w:val="0055739D"/>
    <w:rsid w:val="005574B1"/>
    <w:rsid w:val="005578D6"/>
    <w:rsid w:val="005579B0"/>
    <w:rsid w:val="00557A21"/>
    <w:rsid w:val="00557CA1"/>
    <w:rsid w:val="0056004D"/>
    <w:rsid w:val="005601CC"/>
    <w:rsid w:val="005601F8"/>
    <w:rsid w:val="005605AE"/>
    <w:rsid w:val="005605EB"/>
    <w:rsid w:val="00560C72"/>
    <w:rsid w:val="00560E57"/>
    <w:rsid w:val="00560F42"/>
    <w:rsid w:val="005613D4"/>
    <w:rsid w:val="00561791"/>
    <w:rsid w:val="00561B1A"/>
    <w:rsid w:val="00561F4E"/>
    <w:rsid w:val="00562121"/>
    <w:rsid w:val="0056232F"/>
    <w:rsid w:val="0056236E"/>
    <w:rsid w:val="005626F9"/>
    <w:rsid w:val="00562833"/>
    <w:rsid w:val="00563094"/>
    <w:rsid w:val="005630C5"/>
    <w:rsid w:val="0056326C"/>
    <w:rsid w:val="00563624"/>
    <w:rsid w:val="00563644"/>
    <w:rsid w:val="00563AF2"/>
    <w:rsid w:val="00563BDD"/>
    <w:rsid w:val="00563C4E"/>
    <w:rsid w:val="00563E50"/>
    <w:rsid w:val="00563ED5"/>
    <w:rsid w:val="005641CB"/>
    <w:rsid w:val="0056435E"/>
    <w:rsid w:val="00564476"/>
    <w:rsid w:val="00564685"/>
    <w:rsid w:val="00564736"/>
    <w:rsid w:val="0056475E"/>
    <w:rsid w:val="00564AE7"/>
    <w:rsid w:val="00564D23"/>
    <w:rsid w:val="00564E24"/>
    <w:rsid w:val="00564E93"/>
    <w:rsid w:val="00564F11"/>
    <w:rsid w:val="005652ED"/>
    <w:rsid w:val="0056548D"/>
    <w:rsid w:val="00565824"/>
    <w:rsid w:val="00565C30"/>
    <w:rsid w:val="00565D53"/>
    <w:rsid w:val="00565E00"/>
    <w:rsid w:val="005661F2"/>
    <w:rsid w:val="005664C0"/>
    <w:rsid w:val="005666AB"/>
    <w:rsid w:val="005667BF"/>
    <w:rsid w:val="005668F4"/>
    <w:rsid w:val="00566B16"/>
    <w:rsid w:val="00566B60"/>
    <w:rsid w:val="00566C68"/>
    <w:rsid w:val="00566D06"/>
    <w:rsid w:val="00567040"/>
    <w:rsid w:val="0056711A"/>
    <w:rsid w:val="005672B0"/>
    <w:rsid w:val="0056774E"/>
    <w:rsid w:val="00567847"/>
    <w:rsid w:val="00567A3C"/>
    <w:rsid w:val="00567AF2"/>
    <w:rsid w:val="00567BAA"/>
    <w:rsid w:val="00567CBC"/>
    <w:rsid w:val="00567EAE"/>
    <w:rsid w:val="00570070"/>
    <w:rsid w:val="0057031F"/>
    <w:rsid w:val="00570548"/>
    <w:rsid w:val="00570614"/>
    <w:rsid w:val="005706CA"/>
    <w:rsid w:val="0057073B"/>
    <w:rsid w:val="0057091C"/>
    <w:rsid w:val="00570DFC"/>
    <w:rsid w:val="00570F52"/>
    <w:rsid w:val="00571068"/>
    <w:rsid w:val="005712CD"/>
    <w:rsid w:val="005713B7"/>
    <w:rsid w:val="005713C0"/>
    <w:rsid w:val="00571577"/>
    <w:rsid w:val="00571714"/>
    <w:rsid w:val="0057171D"/>
    <w:rsid w:val="00571860"/>
    <w:rsid w:val="005719D2"/>
    <w:rsid w:val="00571A78"/>
    <w:rsid w:val="00571D46"/>
    <w:rsid w:val="00571FA8"/>
    <w:rsid w:val="005721D0"/>
    <w:rsid w:val="00572456"/>
    <w:rsid w:val="00572649"/>
    <w:rsid w:val="005728CB"/>
    <w:rsid w:val="00572B31"/>
    <w:rsid w:val="0057312B"/>
    <w:rsid w:val="005733EB"/>
    <w:rsid w:val="00573492"/>
    <w:rsid w:val="0057358B"/>
    <w:rsid w:val="005736E8"/>
    <w:rsid w:val="00573766"/>
    <w:rsid w:val="00573969"/>
    <w:rsid w:val="005739A5"/>
    <w:rsid w:val="00573C8D"/>
    <w:rsid w:val="00573CE4"/>
    <w:rsid w:val="00573EC5"/>
    <w:rsid w:val="00573F35"/>
    <w:rsid w:val="00574164"/>
    <w:rsid w:val="005745FD"/>
    <w:rsid w:val="00574793"/>
    <w:rsid w:val="00574873"/>
    <w:rsid w:val="005749C5"/>
    <w:rsid w:val="00574B94"/>
    <w:rsid w:val="00574E4B"/>
    <w:rsid w:val="00574EB3"/>
    <w:rsid w:val="00575079"/>
    <w:rsid w:val="00575390"/>
    <w:rsid w:val="00575545"/>
    <w:rsid w:val="00575571"/>
    <w:rsid w:val="00575699"/>
    <w:rsid w:val="00575717"/>
    <w:rsid w:val="0057571A"/>
    <w:rsid w:val="00575913"/>
    <w:rsid w:val="0057597A"/>
    <w:rsid w:val="00575AFF"/>
    <w:rsid w:val="00575CB7"/>
    <w:rsid w:val="00575DE4"/>
    <w:rsid w:val="00575E14"/>
    <w:rsid w:val="00575FF1"/>
    <w:rsid w:val="0057677E"/>
    <w:rsid w:val="005768F7"/>
    <w:rsid w:val="00576942"/>
    <w:rsid w:val="00576BF9"/>
    <w:rsid w:val="00576CBD"/>
    <w:rsid w:val="00576E4C"/>
    <w:rsid w:val="0057710D"/>
    <w:rsid w:val="0057732E"/>
    <w:rsid w:val="00577426"/>
    <w:rsid w:val="005775F9"/>
    <w:rsid w:val="00580474"/>
    <w:rsid w:val="005804B3"/>
    <w:rsid w:val="005806A0"/>
    <w:rsid w:val="005808FE"/>
    <w:rsid w:val="00580992"/>
    <w:rsid w:val="00580D57"/>
    <w:rsid w:val="005811F3"/>
    <w:rsid w:val="00581BEC"/>
    <w:rsid w:val="005823C4"/>
    <w:rsid w:val="005823F2"/>
    <w:rsid w:val="00582989"/>
    <w:rsid w:val="005829DE"/>
    <w:rsid w:val="00582A84"/>
    <w:rsid w:val="00582BC1"/>
    <w:rsid w:val="00582C6F"/>
    <w:rsid w:val="005831E0"/>
    <w:rsid w:val="005835A6"/>
    <w:rsid w:val="00583804"/>
    <w:rsid w:val="00583836"/>
    <w:rsid w:val="005838F1"/>
    <w:rsid w:val="005839A3"/>
    <w:rsid w:val="005839CC"/>
    <w:rsid w:val="00583D0C"/>
    <w:rsid w:val="00583DDB"/>
    <w:rsid w:val="00583FAA"/>
    <w:rsid w:val="00584340"/>
    <w:rsid w:val="0058467C"/>
    <w:rsid w:val="005848F9"/>
    <w:rsid w:val="00584B3E"/>
    <w:rsid w:val="00584DAE"/>
    <w:rsid w:val="00584E21"/>
    <w:rsid w:val="00585213"/>
    <w:rsid w:val="0058544F"/>
    <w:rsid w:val="005856AB"/>
    <w:rsid w:val="00585A58"/>
    <w:rsid w:val="00585C72"/>
    <w:rsid w:val="00585C7A"/>
    <w:rsid w:val="005860A0"/>
    <w:rsid w:val="005861F8"/>
    <w:rsid w:val="005862AB"/>
    <w:rsid w:val="005862E5"/>
    <w:rsid w:val="00586496"/>
    <w:rsid w:val="005866FE"/>
    <w:rsid w:val="0058679C"/>
    <w:rsid w:val="00586B31"/>
    <w:rsid w:val="00586B3C"/>
    <w:rsid w:val="00586DE7"/>
    <w:rsid w:val="0058710A"/>
    <w:rsid w:val="00587247"/>
    <w:rsid w:val="00587295"/>
    <w:rsid w:val="0058768A"/>
    <w:rsid w:val="00587695"/>
    <w:rsid w:val="005878E1"/>
    <w:rsid w:val="00587BCE"/>
    <w:rsid w:val="00587E29"/>
    <w:rsid w:val="00590359"/>
    <w:rsid w:val="005903B6"/>
    <w:rsid w:val="00590761"/>
    <w:rsid w:val="005908C4"/>
    <w:rsid w:val="005908DF"/>
    <w:rsid w:val="005908F3"/>
    <w:rsid w:val="00590970"/>
    <w:rsid w:val="0059111E"/>
    <w:rsid w:val="00591215"/>
    <w:rsid w:val="005915D8"/>
    <w:rsid w:val="005919C5"/>
    <w:rsid w:val="00591A0D"/>
    <w:rsid w:val="00591D94"/>
    <w:rsid w:val="00591EDE"/>
    <w:rsid w:val="005921B4"/>
    <w:rsid w:val="00592234"/>
    <w:rsid w:val="00592976"/>
    <w:rsid w:val="00592B2B"/>
    <w:rsid w:val="00592FE7"/>
    <w:rsid w:val="00593468"/>
    <w:rsid w:val="00593482"/>
    <w:rsid w:val="00593517"/>
    <w:rsid w:val="005935FC"/>
    <w:rsid w:val="00593A79"/>
    <w:rsid w:val="00593AD4"/>
    <w:rsid w:val="00593C09"/>
    <w:rsid w:val="00593C48"/>
    <w:rsid w:val="00593C49"/>
    <w:rsid w:val="00593DD3"/>
    <w:rsid w:val="005941FC"/>
    <w:rsid w:val="005944B5"/>
    <w:rsid w:val="00594602"/>
    <w:rsid w:val="00594634"/>
    <w:rsid w:val="0059476A"/>
    <w:rsid w:val="005948D9"/>
    <w:rsid w:val="00594ABF"/>
    <w:rsid w:val="00594ACF"/>
    <w:rsid w:val="00594C11"/>
    <w:rsid w:val="00594C88"/>
    <w:rsid w:val="00594D41"/>
    <w:rsid w:val="00595010"/>
    <w:rsid w:val="00595622"/>
    <w:rsid w:val="00595AAF"/>
    <w:rsid w:val="00595ACB"/>
    <w:rsid w:val="00595E1B"/>
    <w:rsid w:val="00595E7A"/>
    <w:rsid w:val="00596140"/>
    <w:rsid w:val="005963BA"/>
    <w:rsid w:val="00596430"/>
    <w:rsid w:val="00596645"/>
    <w:rsid w:val="0059665D"/>
    <w:rsid w:val="005966D7"/>
    <w:rsid w:val="005966E1"/>
    <w:rsid w:val="00596B11"/>
    <w:rsid w:val="00596F3E"/>
    <w:rsid w:val="00596F86"/>
    <w:rsid w:val="00597293"/>
    <w:rsid w:val="00597365"/>
    <w:rsid w:val="005976FE"/>
    <w:rsid w:val="00597723"/>
    <w:rsid w:val="0059773B"/>
    <w:rsid w:val="0059792B"/>
    <w:rsid w:val="00597963"/>
    <w:rsid w:val="00597A86"/>
    <w:rsid w:val="00597AB0"/>
    <w:rsid w:val="00597BA9"/>
    <w:rsid w:val="00597F3D"/>
    <w:rsid w:val="00597FC0"/>
    <w:rsid w:val="005A01C6"/>
    <w:rsid w:val="005A02A7"/>
    <w:rsid w:val="005A03F2"/>
    <w:rsid w:val="005A0483"/>
    <w:rsid w:val="005A05DE"/>
    <w:rsid w:val="005A0A11"/>
    <w:rsid w:val="005A0ACB"/>
    <w:rsid w:val="005A0C09"/>
    <w:rsid w:val="005A0C97"/>
    <w:rsid w:val="005A0E6B"/>
    <w:rsid w:val="005A0EB3"/>
    <w:rsid w:val="005A0F05"/>
    <w:rsid w:val="005A13DD"/>
    <w:rsid w:val="005A1555"/>
    <w:rsid w:val="005A18B7"/>
    <w:rsid w:val="005A19EA"/>
    <w:rsid w:val="005A1D32"/>
    <w:rsid w:val="005A1E34"/>
    <w:rsid w:val="005A1E39"/>
    <w:rsid w:val="005A2018"/>
    <w:rsid w:val="005A20CA"/>
    <w:rsid w:val="005A218E"/>
    <w:rsid w:val="005A2297"/>
    <w:rsid w:val="005A22FE"/>
    <w:rsid w:val="005A244C"/>
    <w:rsid w:val="005A2862"/>
    <w:rsid w:val="005A29BD"/>
    <w:rsid w:val="005A2C44"/>
    <w:rsid w:val="005A2CE5"/>
    <w:rsid w:val="005A2F48"/>
    <w:rsid w:val="005A301C"/>
    <w:rsid w:val="005A3149"/>
    <w:rsid w:val="005A31EB"/>
    <w:rsid w:val="005A3262"/>
    <w:rsid w:val="005A358C"/>
    <w:rsid w:val="005A35DD"/>
    <w:rsid w:val="005A376E"/>
    <w:rsid w:val="005A38C1"/>
    <w:rsid w:val="005A3B0A"/>
    <w:rsid w:val="005A3B34"/>
    <w:rsid w:val="005A3CC6"/>
    <w:rsid w:val="005A3F47"/>
    <w:rsid w:val="005A432F"/>
    <w:rsid w:val="005A4378"/>
    <w:rsid w:val="005A4805"/>
    <w:rsid w:val="005A485D"/>
    <w:rsid w:val="005A4B52"/>
    <w:rsid w:val="005A4CBA"/>
    <w:rsid w:val="005A4D6C"/>
    <w:rsid w:val="005A4D9B"/>
    <w:rsid w:val="005A4DCB"/>
    <w:rsid w:val="005A4E4F"/>
    <w:rsid w:val="005A4F24"/>
    <w:rsid w:val="005A4FAB"/>
    <w:rsid w:val="005A505E"/>
    <w:rsid w:val="005A5255"/>
    <w:rsid w:val="005A528E"/>
    <w:rsid w:val="005A5321"/>
    <w:rsid w:val="005A544C"/>
    <w:rsid w:val="005A5876"/>
    <w:rsid w:val="005A58DA"/>
    <w:rsid w:val="005A5EB4"/>
    <w:rsid w:val="005A5FF0"/>
    <w:rsid w:val="005A5FFB"/>
    <w:rsid w:val="005A63CD"/>
    <w:rsid w:val="005A63F0"/>
    <w:rsid w:val="005A644C"/>
    <w:rsid w:val="005A67EC"/>
    <w:rsid w:val="005A6860"/>
    <w:rsid w:val="005A7002"/>
    <w:rsid w:val="005A724B"/>
    <w:rsid w:val="005A72CE"/>
    <w:rsid w:val="005A796C"/>
    <w:rsid w:val="005A79F9"/>
    <w:rsid w:val="005A7A5D"/>
    <w:rsid w:val="005A7AAD"/>
    <w:rsid w:val="005B0103"/>
    <w:rsid w:val="005B0404"/>
    <w:rsid w:val="005B04F5"/>
    <w:rsid w:val="005B0DD5"/>
    <w:rsid w:val="005B1272"/>
    <w:rsid w:val="005B159C"/>
    <w:rsid w:val="005B16BD"/>
    <w:rsid w:val="005B1712"/>
    <w:rsid w:val="005B18E3"/>
    <w:rsid w:val="005B1BDA"/>
    <w:rsid w:val="005B2776"/>
    <w:rsid w:val="005B2919"/>
    <w:rsid w:val="005B2A3D"/>
    <w:rsid w:val="005B2A48"/>
    <w:rsid w:val="005B2E44"/>
    <w:rsid w:val="005B2FB3"/>
    <w:rsid w:val="005B31D1"/>
    <w:rsid w:val="005B32A0"/>
    <w:rsid w:val="005B33B5"/>
    <w:rsid w:val="005B34FE"/>
    <w:rsid w:val="005B359E"/>
    <w:rsid w:val="005B369A"/>
    <w:rsid w:val="005B3740"/>
    <w:rsid w:val="005B3A08"/>
    <w:rsid w:val="005B3CD6"/>
    <w:rsid w:val="005B4495"/>
    <w:rsid w:val="005B4529"/>
    <w:rsid w:val="005B45D6"/>
    <w:rsid w:val="005B4740"/>
    <w:rsid w:val="005B483B"/>
    <w:rsid w:val="005B4DC6"/>
    <w:rsid w:val="005B4DE1"/>
    <w:rsid w:val="005B5063"/>
    <w:rsid w:val="005B5068"/>
    <w:rsid w:val="005B51ED"/>
    <w:rsid w:val="005B53C0"/>
    <w:rsid w:val="005B5827"/>
    <w:rsid w:val="005B582B"/>
    <w:rsid w:val="005B59A9"/>
    <w:rsid w:val="005B5A46"/>
    <w:rsid w:val="005B5D6F"/>
    <w:rsid w:val="005B5E8B"/>
    <w:rsid w:val="005B5F62"/>
    <w:rsid w:val="005B5FD6"/>
    <w:rsid w:val="005B6081"/>
    <w:rsid w:val="005B628A"/>
    <w:rsid w:val="005B660A"/>
    <w:rsid w:val="005B673B"/>
    <w:rsid w:val="005B694D"/>
    <w:rsid w:val="005B6BDE"/>
    <w:rsid w:val="005B6C5A"/>
    <w:rsid w:val="005B6DE6"/>
    <w:rsid w:val="005B6E68"/>
    <w:rsid w:val="005B71D8"/>
    <w:rsid w:val="005B73B1"/>
    <w:rsid w:val="005B758D"/>
    <w:rsid w:val="005B7659"/>
    <w:rsid w:val="005B7ACF"/>
    <w:rsid w:val="005B7B7E"/>
    <w:rsid w:val="005B7C6F"/>
    <w:rsid w:val="005B7E50"/>
    <w:rsid w:val="005C00DF"/>
    <w:rsid w:val="005C0602"/>
    <w:rsid w:val="005C066D"/>
    <w:rsid w:val="005C068C"/>
    <w:rsid w:val="005C073C"/>
    <w:rsid w:val="005C0DFB"/>
    <w:rsid w:val="005C0E35"/>
    <w:rsid w:val="005C0FFD"/>
    <w:rsid w:val="005C10CF"/>
    <w:rsid w:val="005C13AD"/>
    <w:rsid w:val="005C1496"/>
    <w:rsid w:val="005C16CF"/>
    <w:rsid w:val="005C1757"/>
    <w:rsid w:val="005C1843"/>
    <w:rsid w:val="005C1BCA"/>
    <w:rsid w:val="005C1F2A"/>
    <w:rsid w:val="005C1F7C"/>
    <w:rsid w:val="005C1FEC"/>
    <w:rsid w:val="005C24CE"/>
    <w:rsid w:val="005C2687"/>
    <w:rsid w:val="005C280B"/>
    <w:rsid w:val="005C2D0A"/>
    <w:rsid w:val="005C2DC4"/>
    <w:rsid w:val="005C2F35"/>
    <w:rsid w:val="005C2F86"/>
    <w:rsid w:val="005C2FEC"/>
    <w:rsid w:val="005C30FB"/>
    <w:rsid w:val="005C32AF"/>
    <w:rsid w:val="005C32E1"/>
    <w:rsid w:val="005C355C"/>
    <w:rsid w:val="005C35C0"/>
    <w:rsid w:val="005C3753"/>
    <w:rsid w:val="005C3EE5"/>
    <w:rsid w:val="005C4063"/>
    <w:rsid w:val="005C434E"/>
    <w:rsid w:val="005C43B2"/>
    <w:rsid w:val="005C4713"/>
    <w:rsid w:val="005C4D7A"/>
    <w:rsid w:val="005C51E2"/>
    <w:rsid w:val="005C5662"/>
    <w:rsid w:val="005C5841"/>
    <w:rsid w:val="005C590A"/>
    <w:rsid w:val="005C5AB1"/>
    <w:rsid w:val="005C6055"/>
    <w:rsid w:val="005C6261"/>
    <w:rsid w:val="005C634C"/>
    <w:rsid w:val="005C6694"/>
    <w:rsid w:val="005C68F3"/>
    <w:rsid w:val="005C69DA"/>
    <w:rsid w:val="005C6B73"/>
    <w:rsid w:val="005C6D16"/>
    <w:rsid w:val="005C6DA6"/>
    <w:rsid w:val="005C7084"/>
    <w:rsid w:val="005C71A3"/>
    <w:rsid w:val="005C7382"/>
    <w:rsid w:val="005C7538"/>
    <w:rsid w:val="005C77DA"/>
    <w:rsid w:val="005C7C77"/>
    <w:rsid w:val="005C7C95"/>
    <w:rsid w:val="005C7FD4"/>
    <w:rsid w:val="005D00A2"/>
    <w:rsid w:val="005D01F3"/>
    <w:rsid w:val="005D0283"/>
    <w:rsid w:val="005D04F4"/>
    <w:rsid w:val="005D0B71"/>
    <w:rsid w:val="005D0DE6"/>
    <w:rsid w:val="005D10F8"/>
    <w:rsid w:val="005D14BD"/>
    <w:rsid w:val="005D155C"/>
    <w:rsid w:val="005D168B"/>
    <w:rsid w:val="005D1E8D"/>
    <w:rsid w:val="005D211F"/>
    <w:rsid w:val="005D2209"/>
    <w:rsid w:val="005D232C"/>
    <w:rsid w:val="005D2362"/>
    <w:rsid w:val="005D25F0"/>
    <w:rsid w:val="005D26D7"/>
    <w:rsid w:val="005D26DC"/>
    <w:rsid w:val="005D2D02"/>
    <w:rsid w:val="005D2F6D"/>
    <w:rsid w:val="005D33CC"/>
    <w:rsid w:val="005D34F0"/>
    <w:rsid w:val="005D360F"/>
    <w:rsid w:val="005D36BC"/>
    <w:rsid w:val="005D3906"/>
    <w:rsid w:val="005D4185"/>
    <w:rsid w:val="005D4419"/>
    <w:rsid w:val="005D44A4"/>
    <w:rsid w:val="005D44B1"/>
    <w:rsid w:val="005D5053"/>
    <w:rsid w:val="005D556F"/>
    <w:rsid w:val="005D55A4"/>
    <w:rsid w:val="005D563E"/>
    <w:rsid w:val="005D5676"/>
    <w:rsid w:val="005D586D"/>
    <w:rsid w:val="005D58AF"/>
    <w:rsid w:val="005D5B93"/>
    <w:rsid w:val="005D5FBE"/>
    <w:rsid w:val="005D68EF"/>
    <w:rsid w:val="005D6A0B"/>
    <w:rsid w:val="005D6DE5"/>
    <w:rsid w:val="005D7097"/>
    <w:rsid w:val="005D72E9"/>
    <w:rsid w:val="005D76CD"/>
    <w:rsid w:val="005D7757"/>
    <w:rsid w:val="005D786E"/>
    <w:rsid w:val="005D7A19"/>
    <w:rsid w:val="005D7AC6"/>
    <w:rsid w:val="005D7B39"/>
    <w:rsid w:val="005D7B6F"/>
    <w:rsid w:val="005E09C9"/>
    <w:rsid w:val="005E09EC"/>
    <w:rsid w:val="005E0C77"/>
    <w:rsid w:val="005E11A2"/>
    <w:rsid w:val="005E11CD"/>
    <w:rsid w:val="005E130A"/>
    <w:rsid w:val="005E1379"/>
    <w:rsid w:val="005E145D"/>
    <w:rsid w:val="005E152D"/>
    <w:rsid w:val="005E1559"/>
    <w:rsid w:val="005E192E"/>
    <w:rsid w:val="005E1A13"/>
    <w:rsid w:val="005E1A80"/>
    <w:rsid w:val="005E1CD1"/>
    <w:rsid w:val="005E1E39"/>
    <w:rsid w:val="005E2011"/>
    <w:rsid w:val="005E230D"/>
    <w:rsid w:val="005E257C"/>
    <w:rsid w:val="005E25B2"/>
    <w:rsid w:val="005E2824"/>
    <w:rsid w:val="005E2881"/>
    <w:rsid w:val="005E2ABD"/>
    <w:rsid w:val="005E2C9F"/>
    <w:rsid w:val="005E310B"/>
    <w:rsid w:val="005E31FA"/>
    <w:rsid w:val="005E32B2"/>
    <w:rsid w:val="005E32F8"/>
    <w:rsid w:val="005E4252"/>
    <w:rsid w:val="005E4289"/>
    <w:rsid w:val="005E431B"/>
    <w:rsid w:val="005E43D5"/>
    <w:rsid w:val="005E454D"/>
    <w:rsid w:val="005E4675"/>
    <w:rsid w:val="005E4DBD"/>
    <w:rsid w:val="005E4DD0"/>
    <w:rsid w:val="005E52B7"/>
    <w:rsid w:val="005E5918"/>
    <w:rsid w:val="005E5F54"/>
    <w:rsid w:val="005E667A"/>
    <w:rsid w:val="005E675F"/>
    <w:rsid w:val="005E6927"/>
    <w:rsid w:val="005E6BE5"/>
    <w:rsid w:val="005E6EDC"/>
    <w:rsid w:val="005E6FA1"/>
    <w:rsid w:val="005E7085"/>
    <w:rsid w:val="005E7169"/>
    <w:rsid w:val="005E7310"/>
    <w:rsid w:val="005E79C8"/>
    <w:rsid w:val="005E7D39"/>
    <w:rsid w:val="005E7EB4"/>
    <w:rsid w:val="005F01D2"/>
    <w:rsid w:val="005F0289"/>
    <w:rsid w:val="005F0454"/>
    <w:rsid w:val="005F06F0"/>
    <w:rsid w:val="005F08B6"/>
    <w:rsid w:val="005F0C69"/>
    <w:rsid w:val="005F1001"/>
    <w:rsid w:val="005F12BA"/>
    <w:rsid w:val="005F135B"/>
    <w:rsid w:val="005F144D"/>
    <w:rsid w:val="005F1591"/>
    <w:rsid w:val="005F1633"/>
    <w:rsid w:val="005F1733"/>
    <w:rsid w:val="005F1BA5"/>
    <w:rsid w:val="005F1D79"/>
    <w:rsid w:val="005F1F29"/>
    <w:rsid w:val="005F26EE"/>
    <w:rsid w:val="005F27EB"/>
    <w:rsid w:val="005F2A7D"/>
    <w:rsid w:val="005F2C5B"/>
    <w:rsid w:val="005F2CBC"/>
    <w:rsid w:val="005F31B1"/>
    <w:rsid w:val="005F3339"/>
    <w:rsid w:val="005F3420"/>
    <w:rsid w:val="005F373D"/>
    <w:rsid w:val="005F38D1"/>
    <w:rsid w:val="005F3DD0"/>
    <w:rsid w:val="005F43C8"/>
    <w:rsid w:val="005F4757"/>
    <w:rsid w:val="005F4A55"/>
    <w:rsid w:val="005F4BAD"/>
    <w:rsid w:val="005F5237"/>
    <w:rsid w:val="005F5461"/>
    <w:rsid w:val="005F547B"/>
    <w:rsid w:val="005F557C"/>
    <w:rsid w:val="005F59E5"/>
    <w:rsid w:val="005F5C55"/>
    <w:rsid w:val="005F5DA5"/>
    <w:rsid w:val="005F5DCD"/>
    <w:rsid w:val="005F5F01"/>
    <w:rsid w:val="005F600A"/>
    <w:rsid w:val="005F6126"/>
    <w:rsid w:val="005F62FE"/>
    <w:rsid w:val="005F64A4"/>
    <w:rsid w:val="005F6689"/>
    <w:rsid w:val="005F7068"/>
    <w:rsid w:val="005F7193"/>
    <w:rsid w:val="005F71EA"/>
    <w:rsid w:val="005F71F5"/>
    <w:rsid w:val="005F737C"/>
    <w:rsid w:val="005F755A"/>
    <w:rsid w:val="005F7862"/>
    <w:rsid w:val="005F797C"/>
    <w:rsid w:val="005F7B93"/>
    <w:rsid w:val="005F7D2F"/>
    <w:rsid w:val="005F7DCB"/>
    <w:rsid w:val="005F7E7E"/>
    <w:rsid w:val="005F7F19"/>
    <w:rsid w:val="0060018C"/>
    <w:rsid w:val="006001D4"/>
    <w:rsid w:val="006001EE"/>
    <w:rsid w:val="006004C8"/>
    <w:rsid w:val="00600538"/>
    <w:rsid w:val="0060071A"/>
    <w:rsid w:val="00600B4E"/>
    <w:rsid w:val="00600C3D"/>
    <w:rsid w:val="006011B6"/>
    <w:rsid w:val="00601449"/>
    <w:rsid w:val="006014C7"/>
    <w:rsid w:val="00601513"/>
    <w:rsid w:val="00601801"/>
    <w:rsid w:val="00601892"/>
    <w:rsid w:val="00601A01"/>
    <w:rsid w:val="00601EED"/>
    <w:rsid w:val="00602293"/>
    <w:rsid w:val="0060240F"/>
    <w:rsid w:val="00602661"/>
    <w:rsid w:val="006027AC"/>
    <w:rsid w:val="00602911"/>
    <w:rsid w:val="0060298E"/>
    <w:rsid w:val="00602C90"/>
    <w:rsid w:val="0060328D"/>
    <w:rsid w:val="00603326"/>
    <w:rsid w:val="00603586"/>
    <w:rsid w:val="006038F8"/>
    <w:rsid w:val="00603A8E"/>
    <w:rsid w:val="00603B28"/>
    <w:rsid w:val="00603C52"/>
    <w:rsid w:val="00603CB4"/>
    <w:rsid w:val="006047A2"/>
    <w:rsid w:val="00604ABB"/>
    <w:rsid w:val="00604B21"/>
    <w:rsid w:val="00604D59"/>
    <w:rsid w:val="00604D68"/>
    <w:rsid w:val="006050DA"/>
    <w:rsid w:val="006055AB"/>
    <w:rsid w:val="006055B5"/>
    <w:rsid w:val="00605614"/>
    <w:rsid w:val="0060570E"/>
    <w:rsid w:val="00605745"/>
    <w:rsid w:val="00605846"/>
    <w:rsid w:val="0060584F"/>
    <w:rsid w:val="006059DE"/>
    <w:rsid w:val="00605D54"/>
    <w:rsid w:val="006061B5"/>
    <w:rsid w:val="0060621F"/>
    <w:rsid w:val="006068C5"/>
    <w:rsid w:val="00606A24"/>
    <w:rsid w:val="00606B18"/>
    <w:rsid w:val="00606B95"/>
    <w:rsid w:val="0060707C"/>
    <w:rsid w:val="0060744C"/>
    <w:rsid w:val="0060745A"/>
    <w:rsid w:val="0060754F"/>
    <w:rsid w:val="00607641"/>
    <w:rsid w:val="00607642"/>
    <w:rsid w:val="00607A60"/>
    <w:rsid w:val="00607AB1"/>
    <w:rsid w:val="00607D4A"/>
    <w:rsid w:val="00607DCD"/>
    <w:rsid w:val="00607F49"/>
    <w:rsid w:val="00610233"/>
    <w:rsid w:val="0061056B"/>
    <w:rsid w:val="00610582"/>
    <w:rsid w:val="0061065F"/>
    <w:rsid w:val="00610661"/>
    <w:rsid w:val="0061095E"/>
    <w:rsid w:val="00610D69"/>
    <w:rsid w:val="00610DA8"/>
    <w:rsid w:val="006110ED"/>
    <w:rsid w:val="006111A9"/>
    <w:rsid w:val="00611250"/>
    <w:rsid w:val="00611451"/>
    <w:rsid w:val="00611802"/>
    <w:rsid w:val="0061195A"/>
    <w:rsid w:val="00611BAA"/>
    <w:rsid w:val="00611ECD"/>
    <w:rsid w:val="00612284"/>
    <w:rsid w:val="00612302"/>
    <w:rsid w:val="006126AD"/>
    <w:rsid w:val="00612734"/>
    <w:rsid w:val="0061278D"/>
    <w:rsid w:val="0061293F"/>
    <w:rsid w:val="00612973"/>
    <w:rsid w:val="00612ADD"/>
    <w:rsid w:val="00612BE7"/>
    <w:rsid w:val="00612FA0"/>
    <w:rsid w:val="006130FB"/>
    <w:rsid w:val="0061324C"/>
    <w:rsid w:val="0061351E"/>
    <w:rsid w:val="00613786"/>
    <w:rsid w:val="006137E7"/>
    <w:rsid w:val="006138C0"/>
    <w:rsid w:val="00613A15"/>
    <w:rsid w:val="00613B75"/>
    <w:rsid w:val="00613C60"/>
    <w:rsid w:val="00613C89"/>
    <w:rsid w:val="00613E55"/>
    <w:rsid w:val="00613F59"/>
    <w:rsid w:val="00614091"/>
    <w:rsid w:val="00614452"/>
    <w:rsid w:val="0061448F"/>
    <w:rsid w:val="006145EE"/>
    <w:rsid w:val="006146EB"/>
    <w:rsid w:val="00614786"/>
    <w:rsid w:val="00614D75"/>
    <w:rsid w:val="00614D8B"/>
    <w:rsid w:val="00614E1E"/>
    <w:rsid w:val="00614F66"/>
    <w:rsid w:val="00615094"/>
    <w:rsid w:val="006150BC"/>
    <w:rsid w:val="00615662"/>
    <w:rsid w:val="00615883"/>
    <w:rsid w:val="00615B24"/>
    <w:rsid w:val="00615BC7"/>
    <w:rsid w:val="00615F38"/>
    <w:rsid w:val="00616132"/>
    <w:rsid w:val="006166AA"/>
    <w:rsid w:val="006167C3"/>
    <w:rsid w:val="006169B3"/>
    <w:rsid w:val="00616A08"/>
    <w:rsid w:val="00616A85"/>
    <w:rsid w:val="00616AE9"/>
    <w:rsid w:val="00616B29"/>
    <w:rsid w:val="00616BA6"/>
    <w:rsid w:val="00616C17"/>
    <w:rsid w:val="00616C60"/>
    <w:rsid w:val="00616E43"/>
    <w:rsid w:val="006170A1"/>
    <w:rsid w:val="006179A2"/>
    <w:rsid w:val="00617F7F"/>
    <w:rsid w:val="006203F0"/>
    <w:rsid w:val="00620CC8"/>
    <w:rsid w:val="00620E0A"/>
    <w:rsid w:val="00620F1B"/>
    <w:rsid w:val="0062106A"/>
    <w:rsid w:val="0062138E"/>
    <w:rsid w:val="006214AC"/>
    <w:rsid w:val="006214F6"/>
    <w:rsid w:val="00621578"/>
    <w:rsid w:val="006219A6"/>
    <w:rsid w:val="00621AB6"/>
    <w:rsid w:val="00621C13"/>
    <w:rsid w:val="00621EBA"/>
    <w:rsid w:val="00621EE3"/>
    <w:rsid w:val="00621FCA"/>
    <w:rsid w:val="00622057"/>
    <w:rsid w:val="00622124"/>
    <w:rsid w:val="00622228"/>
    <w:rsid w:val="0062243E"/>
    <w:rsid w:val="00622A07"/>
    <w:rsid w:val="00622A1B"/>
    <w:rsid w:val="00622AE9"/>
    <w:rsid w:val="00622B11"/>
    <w:rsid w:val="00622CF0"/>
    <w:rsid w:val="00622D30"/>
    <w:rsid w:val="00622D68"/>
    <w:rsid w:val="00622E3E"/>
    <w:rsid w:val="00622FC7"/>
    <w:rsid w:val="00623075"/>
    <w:rsid w:val="0062318A"/>
    <w:rsid w:val="00623496"/>
    <w:rsid w:val="006234CB"/>
    <w:rsid w:val="00623B7B"/>
    <w:rsid w:val="00623CF0"/>
    <w:rsid w:val="00623E3A"/>
    <w:rsid w:val="00624669"/>
    <w:rsid w:val="00624B9A"/>
    <w:rsid w:val="00624E48"/>
    <w:rsid w:val="00624F68"/>
    <w:rsid w:val="006251C2"/>
    <w:rsid w:val="006252D1"/>
    <w:rsid w:val="0062591F"/>
    <w:rsid w:val="00625AE2"/>
    <w:rsid w:val="00625B9E"/>
    <w:rsid w:val="00625DDF"/>
    <w:rsid w:val="00626022"/>
    <w:rsid w:val="0062632E"/>
    <w:rsid w:val="006263AF"/>
    <w:rsid w:val="006263F8"/>
    <w:rsid w:val="006264EC"/>
    <w:rsid w:val="0062667C"/>
    <w:rsid w:val="006268C4"/>
    <w:rsid w:val="00626AD4"/>
    <w:rsid w:val="00626F46"/>
    <w:rsid w:val="00627039"/>
    <w:rsid w:val="00627147"/>
    <w:rsid w:val="006274E5"/>
    <w:rsid w:val="00627659"/>
    <w:rsid w:val="00627906"/>
    <w:rsid w:val="00627A6D"/>
    <w:rsid w:val="00627B15"/>
    <w:rsid w:val="00627FB2"/>
    <w:rsid w:val="0063001A"/>
    <w:rsid w:val="0063024B"/>
    <w:rsid w:val="00630438"/>
    <w:rsid w:val="00630951"/>
    <w:rsid w:val="00630B5E"/>
    <w:rsid w:val="00632107"/>
    <w:rsid w:val="006322CE"/>
    <w:rsid w:val="00632581"/>
    <w:rsid w:val="00632712"/>
    <w:rsid w:val="0063292D"/>
    <w:rsid w:val="00632D73"/>
    <w:rsid w:val="00633038"/>
    <w:rsid w:val="006331AD"/>
    <w:rsid w:val="00633274"/>
    <w:rsid w:val="00633314"/>
    <w:rsid w:val="006333B7"/>
    <w:rsid w:val="00633559"/>
    <w:rsid w:val="006335A8"/>
    <w:rsid w:val="006337A8"/>
    <w:rsid w:val="00633803"/>
    <w:rsid w:val="00633A91"/>
    <w:rsid w:val="00633C3E"/>
    <w:rsid w:val="00633C8F"/>
    <w:rsid w:val="00634108"/>
    <w:rsid w:val="006341C7"/>
    <w:rsid w:val="0063422B"/>
    <w:rsid w:val="0063429C"/>
    <w:rsid w:val="0063452D"/>
    <w:rsid w:val="0063470F"/>
    <w:rsid w:val="00634823"/>
    <w:rsid w:val="006349B2"/>
    <w:rsid w:val="00634D65"/>
    <w:rsid w:val="00634E96"/>
    <w:rsid w:val="00634EA7"/>
    <w:rsid w:val="006351EB"/>
    <w:rsid w:val="00635704"/>
    <w:rsid w:val="00635DE1"/>
    <w:rsid w:val="00635DF3"/>
    <w:rsid w:val="00636126"/>
    <w:rsid w:val="006361FA"/>
    <w:rsid w:val="00636445"/>
    <w:rsid w:val="00636A88"/>
    <w:rsid w:val="00636D4F"/>
    <w:rsid w:val="006370B5"/>
    <w:rsid w:val="0063710A"/>
    <w:rsid w:val="006371D7"/>
    <w:rsid w:val="006372CC"/>
    <w:rsid w:val="00637438"/>
    <w:rsid w:val="006376F7"/>
    <w:rsid w:val="0063783F"/>
    <w:rsid w:val="00637851"/>
    <w:rsid w:val="006378F8"/>
    <w:rsid w:val="00637A38"/>
    <w:rsid w:val="00637AD6"/>
    <w:rsid w:val="00637ED4"/>
    <w:rsid w:val="00637FBA"/>
    <w:rsid w:val="00640058"/>
    <w:rsid w:val="00640464"/>
    <w:rsid w:val="00640706"/>
    <w:rsid w:val="006408E4"/>
    <w:rsid w:val="006409C0"/>
    <w:rsid w:val="00640AF6"/>
    <w:rsid w:val="00640C5B"/>
    <w:rsid w:val="00640E3E"/>
    <w:rsid w:val="00640F02"/>
    <w:rsid w:val="00640F4E"/>
    <w:rsid w:val="0064101D"/>
    <w:rsid w:val="0064118F"/>
    <w:rsid w:val="00641599"/>
    <w:rsid w:val="00641760"/>
    <w:rsid w:val="006418A4"/>
    <w:rsid w:val="006418E5"/>
    <w:rsid w:val="00641E75"/>
    <w:rsid w:val="00642201"/>
    <w:rsid w:val="006424D3"/>
    <w:rsid w:val="00642510"/>
    <w:rsid w:val="00642AA9"/>
    <w:rsid w:val="00642D48"/>
    <w:rsid w:val="00642E1E"/>
    <w:rsid w:val="00642E9F"/>
    <w:rsid w:val="00642F36"/>
    <w:rsid w:val="006431E9"/>
    <w:rsid w:val="00643379"/>
    <w:rsid w:val="0064341A"/>
    <w:rsid w:val="00643431"/>
    <w:rsid w:val="00643599"/>
    <w:rsid w:val="00643782"/>
    <w:rsid w:val="0064381A"/>
    <w:rsid w:val="00643B4D"/>
    <w:rsid w:val="00643C4A"/>
    <w:rsid w:val="00643E6C"/>
    <w:rsid w:val="00644342"/>
    <w:rsid w:val="00644636"/>
    <w:rsid w:val="006447A8"/>
    <w:rsid w:val="0064512D"/>
    <w:rsid w:val="0064515E"/>
    <w:rsid w:val="0064536E"/>
    <w:rsid w:val="006455F8"/>
    <w:rsid w:val="006456A7"/>
    <w:rsid w:val="00645B4B"/>
    <w:rsid w:val="00645EFE"/>
    <w:rsid w:val="00646008"/>
    <w:rsid w:val="00646110"/>
    <w:rsid w:val="00646541"/>
    <w:rsid w:val="006467D5"/>
    <w:rsid w:val="006473AC"/>
    <w:rsid w:val="00647ABB"/>
    <w:rsid w:val="00647E79"/>
    <w:rsid w:val="0065001C"/>
    <w:rsid w:val="006502BE"/>
    <w:rsid w:val="0065040E"/>
    <w:rsid w:val="006504AD"/>
    <w:rsid w:val="0065057B"/>
    <w:rsid w:val="00650651"/>
    <w:rsid w:val="0065095D"/>
    <w:rsid w:val="00650B79"/>
    <w:rsid w:val="00650BD5"/>
    <w:rsid w:val="00651574"/>
    <w:rsid w:val="0065160D"/>
    <w:rsid w:val="006517B2"/>
    <w:rsid w:val="00651845"/>
    <w:rsid w:val="00651EFC"/>
    <w:rsid w:val="00652385"/>
    <w:rsid w:val="006526EA"/>
    <w:rsid w:val="00652815"/>
    <w:rsid w:val="00652A00"/>
    <w:rsid w:val="00653824"/>
    <w:rsid w:val="00653C53"/>
    <w:rsid w:val="00653D75"/>
    <w:rsid w:val="00653E4D"/>
    <w:rsid w:val="006540C8"/>
    <w:rsid w:val="006541D7"/>
    <w:rsid w:val="006542FB"/>
    <w:rsid w:val="00654464"/>
    <w:rsid w:val="006548EC"/>
    <w:rsid w:val="0065497F"/>
    <w:rsid w:val="00654B28"/>
    <w:rsid w:val="00654B40"/>
    <w:rsid w:val="00654C21"/>
    <w:rsid w:val="00655331"/>
    <w:rsid w:val="006553C1"/>
    <w:rsid w:val="00655710"/>
    <w:rsid w:val="006558FA"/>
    <w:rsid w:val="00655F1E"/>
    <w:rsid w:val="00656169"/>
    <w:rsid w:val="00656212"/>
    <w:rsid w:val="0065639E"/>
    <w:rsid w:val="006565A1"/>
    <w:rsid w:val="0065676F"/>
    <w:rsid w:val="00656BE2"/>
    <w:rsid w:val="00656C86"/>
    <w:rsid w:val="00656D88"/>
    <w:rsid w:val="00656D94"/>
    <w:rsid w:val="0065701C"/>
    <w:rsid w:val="00657035"/>
    <w:rsid w:val="0065707A"/>
    <w:rsid w:val="00657864"/>
    <w:rsid w:val="006578CB"/>
    <w:rsid w:val="00657AB1"/>
    <w:rsid w:val="00657B7D"/>
    <w:rsid w:val="00657BF0"/>
    <w:rsid w:val="00657F7F"/>
    <w:rsid w:val="00660125"/>
    <w:rsid w:val="0066029E"/>
    <w:rsid w:val="00660406"/>
    <w:rsid w:val="00660552"/>
    <w:rsid w:val="006607A4"/>
    <w:rsid w:val="00660AB9"/>
    <w:rsid w:val="00660BBB"/>
    <w:rsid w:val="006611CE"/>
    <w:rsid w:val="006614F8"/>
    <w:rsid w:val="00661637"/>
    <w:rsid w:val="006616E0"/>
    <w:rsid w:val="0066199C"/>
    <w:rsid w:val="006619AA"/>
    <w:rsid w:val="00661A15"/>
    <w:rsid w:val="00661C82"/>
    <w:rsid w:val="00661D14"/>
    <w:rsid w:val="006620A8"/>
    <w:rsid w:val="00662140"/>
    <w:rsid w:val="00662277"/>
    <w:rsid w:val="0066243B"/>
    <w:rsid w:val="00662821"/>
    <w:rsid w:val="00662B3E"/>
    <w:rsid w:val="00662B40"/>
    <w:rsid w:val="00662E50"/>
    <w:rsid w:val="00662E60"/>
    <w:rsid w:val="00662F52"/>
    <w:rsid w:val="006630C7"/>
    <w:rsid w:val="0066326B"/>
    <w:rsid w:val="00663541"/>
    <w:rsid w:val="006635CA"/>
    <w:rsid w:val="00663706"/>
    <w:rsid w:val="00663714"/>
    <w:rsid w:val="006638B5"/>
    <w:rsid w:val="006639EE"/>
    <w:rsid w:val="00663AEF"/>
    <w:rsid w:val="00663E06"/>
    <w:rsid w:val="00663F17"/>
    <w:rsid w:val="0066460A"/>
    <w:rsid w:val="006647A6"/>
    <w:rsid w:val="00664A75"/>
    <w:rsid w:val="0066525C"/>
    <w:rsid w:val="006652A4"/>
    <w:rsid w:val="00665462"/>
    <w:rsid w:val="00665682"/>
    <w:rsid w:val="00665751"/>
    <w:rsid w:val="006659C3"/>
    <w:rsid w:val="00665A03"/>
    <w:rsid w:val="00665B32"/>
    <w:rsid w:val="00665D5E"/>
    <w:rsid w:val="00666249"/>
    <w:rsid w:val="0066637E"/>
    <w:rsid w:val="00666413"/>
    <w:rsid w:val="00666832"/>
    <w:rsid w:val="00666BE3"/>
    <w:rsid w:val="00666C63"/>
    <w:rsid w:val="00666D79"/>
    <w:rsid w:val="00666FE6"/>
    <w:rsid w:val="006670D0"/>
    <w:rsid w:val="00667108"/>
    <w:rsid w:val="00667130"/>
    <w:rsid w:val="006675D0"/>
    <w:rsid w:val="00667693"/>
    <w:rsid w:val="00667970"/>
    <w:rsid w:val="00667E70"/>
    <w:rsid w:val="00667FA8"/>
    <w:rsid w:val="0067038E"/>
    <w:rsid w:val="00670429"/>
    <w:rsid w:val="006704E1"/>
    <w:rsid w:val="006705E7"/>
    <w:rsid w:val="0067065F"/>
    <w:rsid w:val="006709C6"/>
    <w:rsid w:val="00671335"/>
    <w:rsid w:val="006713D1"/>
    <w:rsid w:val="006713EA"/>
    <w:rsid w:val="00671445"/>
    <w:rsid w:val="00671463"/>
    <w:rsid w:val="0067168F"/>
    <w:rsid w:val="006717EC"/>
    <w:rsid w:val="00671881"/>
    <w:rsid w:val="00671AAA"/>
    <w:rsid w:val="00671D2F"/>
    <w:rsid w:val="00671E1D"/>
    <w:rsid w:val="00671FAD"/>
    <w:rsid w:val="00671FB0"/>
    <w:rsid w:val="00672149"/>
    <w:rsid w:val="0067235B"/>
    <w:rsid w:val="0067236A"/>
    <w:rsid w:val="00672389"/>
    <w:rsid w:val="0067261F"/>
    <w:rsid w:val="006726FD"/>
    <w:rsid w:val="0067276D"/>
    <w:rsid w:val="00672844"/>
    <w:rsid w:val="006728BA"/>
    <w:rsid w:val="00672998"/>
    <w:rsid w:val="00672C84"/>
    <w:rsid w:val="00672EF2"/>
    <w:rsid w:val="00672EFF"/>
    <w:rsid w:val="006730A3"/>
    <w:rsid w:val="00673188"/>
    <w:rsid w:val="006735CF"/>
    <w:rsid w:val="006736B1"/>
    <w:rsid w:val="00673BE8"/>
    <w:rsid w:val="00673C7F"/>
    <w:rsid w:val="00673ECB"/>
    <w:rsid w:val="00674346"/>
    <w:rsid w:val="006745B6"/>
    <w:rsid w:val="006749FC"/>
    <w:rsid w:val="00674B57"/>
    <w:rsid w:val="00674D48"/>
    <w:rsid w:val="006750BA"/>
    <w:rsid w:val="006751B4"/>
    <w:rsid w:val="00675326"/>
    <w:rsid w:val="00675359"/>
    <w:rsid w:val="00675665"/>
    <w:rsid w:val="0067568C"/>
    <w:rsid w:val="006757BD"/>
    <w:rsid w:val="006757FE"/>
    <w:rsid w:val="0067585F"/>
    <w:rsid w:val="00675866"/>
    <w:rsid w:val="00675D6C"/>
    <w:rsid w:val="00675DF0"/>
    <w:rsid w:val="0067601F"/>
    <w:rsid w:val="0067619C"/>
    <w:rsid w:val="006761D8"/>
    <w:rsid w:val="00676217"/>
    <w:rsid w:val="0067669D"/>
    <w:rsid w:val="00676856"/>
    <w:rsid w:val="0067697B"/>
    <w:rsid w:val="006769A8"/>
    <w:rsid w:val="00676B3A"/>
    <w:rsid w:val="00676D78"/>
    <w:rsid w:val="00676D96"/>
    <w:rsid w:val="00676FB0"/>
    <w:rsid w:val="006772FF"/>
    <w:rsid w:val="0067737B"/>
    <w:rsid w:val="0067766F"/>
    <w:rsid w:val="006776B6"/>
    <w:rsid w:val="0067771B"/>
    <w:rsid w:val="006777C3"/>
    <w:rsid w:val="00677878"/>
    <w:rsid w:val="00677B6E"/>
    <w:rsid w:val="00677BB4"/>
    <w:rsid w:val="00677BE3"/>
    <w:rsid w:val="00680051"/>
    <w:rsid w:val="0068025F"/>
    <w:rsid w:val="0068081C"/>
    <w:rsid w:val="00680831"/>
    <w:rsid w:val="0068085D"/>
    <w:rsid w:val="00680B0C"/>
    <w:rsid w:val="00680B11"/>
    <w:rsid w:val="0068107F"/>
    <w:rsid w:val="00681204"/>
    <w:rsid w:val="00681E1E"/>
    <w:rsid w:val="00681EE8"/>
    <w:rsid w:val="0068222A"/>
    <w:rsid w:val="00682507"/>
    <w:rsid w:val="0068286B"/>
    <w:rsid w:val="00682874"/>
    <w:rsid w:val="0068287D"/>
    <w:rsid w:val="006829CD"/>
    <w:rsid w:val="00682B6D"/>
    <w:rsid w:val="00682D51"/>
    <w:rsid w:val="00682FF0"/>
    <w:rsid w:val="00683460"/>
    <w:rsid w:val="006834AB"/>
    <w:rsid w:val="006834D6"/>
    <w:rsid w:val="006837A2"/>
    <w:rsid w:val="00683859"/>
    <w:rsid w:val="00683C85"/>
    <w:rsid w:val="00683DF6"/>
    <w:rsid w:val="006840FB"/>
    <w:rsid w:val="006844CA"/>
    <w:rsid w:val="00684767"/>
    <w:rsid w:val="00684C2C"/>
    <w:rsid w:val="00684D28"/>
    <w:rsid w:val="006852E8"/>
    <w:rsid w:val="00685559"/>
    <w:rsid w:val="006857E2"/>
    <w:rsid w:val="00685AFD"/>
    <w:rsid w:val="00685E1E"/>
    <w:rsid w:val="00685F47"/>
    <w:rsid w:val="0068607B"/>
    <w:rsid w:val="006864DB"/>
    <w:rsid w:val="00686581"/>
    <w:rsid w:val="00686709"/>
    <w:rsid w:val="00687253"/>
    <w:rsid w:val="006872F7"/>
    <w:rsid w:val="00687391"/>
    <w:rsid w:val="006874B9"/>
    <w:rsid w:val="006877D4"/>
    <w:rsid w:val="00687A6A"/>
    <w:rsid w:val="00687BEF"/>
    <w:rsid w:val="00687C04"/>
    <w:rsid w:val="00690161"/>
    <w:rsid w:val="006905EB"/>
    <w:rsid w:val="00690614"/>
    <w:rsid w:val="00690645"/>
    <w:rsid w:val="00690CB5"/>
    <w:rsid w:val="0069116B"/>
    <w:rsid w:val="006913A8"/>
    <w:rsid w:val="006914FC"/>
    <w:rsid w:val="0069172D"/>
    <w:rsid w:val="00691731"/>
    <w:rsid w:val="006918F5"/>
    <w:rsid w:val="00691CE6"/>
    <w:rsid w:val="00692AB1"/>
    <w:rsid w:val="00693201"/>
    <w:rsid w:val="0069323E"/>
    <w:rsid w:val="0069345C"/>
    <w:rsid w:val="006935CC"/>
    <w:rsid w:val="006936D7"/>
    <w:rsid w:val="00693C09"/>
    <w:rsid w:val="00693C8C"/>
    <w:rsid w:val="00693CFC"/>
    <w:rsid w:val="00693DD5"/>
    <w:rsid w:val="00694575"/>
    <w:rsid w:val="006945CE"/>
    <w:rsid w:val="00694AE9"/>
    <w:rsid w:val="00694C99"/>
    <w:rsid w:val="00695110"/>
    <w:rsid w:val="00695355"/>
    <w:rsid w:val="006955E6"/>
    <w:rsid w:val="00695AD9"/>
    <w:rsid w:val="00695DB6"/>
    <w:rsid w:val="00696087"/>
    <w:rsid w:val="0069611C"/>
    <w:rsid w:val="006961DE"/>
    <w:rsid w:val="006964CF"/>
    <w:rsid w:val="006964E8"/>
    <w:rsid w:val="006969EC"/>
    <w:rsid w:val="00696E56"/>
    <w:rsid w:val="00697102"/>
    <w:rsid w:val="0069721D"/>
    <w:rsid w:val="00697713"/>
    <w:rsid w:val="00697D5D"/>
    <w:rsid w:val="00697DDD"/>
    <w:rsid w:val="006A02CB"/>
    <w:rsid w:val="006A0460"/>
    <w:rsid w:val="006A075A"/>
    <w:rsid w:val="006A07D7"/>
    <w:rsid w:val="006A09D3"/>
    <w:rsid w:val="006A09F4"/>
    <w:rsid w:val="006A0CE7"/>
    <w:rsid w:val="006A0FA5"/>
    <w:rsid w:val="006A10AE"/>
    <w:rsid w:val="006A133B"/>
    <w:rsid w:val="006A14CE"/>
    <w:rsid w:val="006A1701"/>
    <w:rsid w:val="006A17CD"/>
    <w:rsid w:val="006A1A28"/>
    <w:rsid w:val="006A1D0B"/>
    <w:rsid w:val="006A1D49"/>
    <w:rsid w:val="006A1DDA"/>
    <w:rsid w:val="006A2108"/>
    <w:rsid w:val="006A21A7"/>
    <w:rsid w:val="006A22EA"/>
    <w:rsid w:val="006A237D"/>
    <w:rsid w:val="006A248D"/>
    <w:rsid w:val="006A251F"/>
    <w:rsid w:val="006A2605"/>
    <w:rsid w:val="006A2CC8"/>
    <w:rsid w:val="006A2D24"/>
    <w:rsid w:val="006A2E2B"/>
    <w:rsid w:val="006A339D"/>
    <w:rsid w:val="006A33E5"/>
    <w:rsid w:val="006A3687"/>
    <w:rsid w:val="006A369F"/>
    <w:rsid w:val="006A389B"/>
    <w:rsid w:val="006A3B71"/>
    <w:rsid w:val="006A3BC0"/>
    <w:rsid w:val="006A3E96"/>
    <w:rsid w:val="006A4087"/>
    <w:rsid w:val="006A436F"/>
    <w:rsid w:val="006A4509"/>
    <w:rsid w:val="006A451A"/>
    <w:rsid w:val="006A4632"/>
    <w:rsid w:val="006A4898"/>
    <w:rsid w:val="006A49EB"/>
    <w:rsid w:val="006A4A3D"/>
    <w:rsid w:val="006A4AE2"/>
    <w:rsid w:val="006A4BB9"/>
    <w:rsid w:val="006A5018"/>
    <w:rsid w:val="006A507C"/>
    <w:rsid w:val="006A5312"/>
    <w:rsid w:val="006A54E4"/>
    <w:rsid w:val="006A5762"/>
    <w:rsid w:val="006A5ABC"/>
    <w:rsid w:val="006A5B21"/>
    <w:rsid w:val="006A5C4C"/>
    <w:rsid w:val="006A5C6D"/>
    <w:rsid w:val="006A5D69"/>
    <w:rsid w:val="006A5EA6"/>
    <w:rsid w:val="006A60E2"/>
    <w:rsid w:val="006A62C4"/>
    <w:rsid w:val="006A65D1"/>
    <w:rsid w:val="006A67C6"/>
    <w:rsid w:val="006A6A0C"/>
    <w:rsid w:val="006A6A6C"/>
    <w:rsid w:val="006A6B14"/>
    <w:rsid w:val="006A6E2A"/>
    <w:rsid w:val="006A6EA2"/>
    <w:rsid w:val="006A6F62"/>
    <w:rsid w:val="006A6FC3"/>
    <w:rsid w:val="006A70D8"/>
    <w:rsid w:val="006A7534"/>
    <w:rsid w:val="006A7DA0"/>
    <w:rsid w:val="006A7F01"/>
    <w:rsid w:val="006B0094"/>
    <w:rsid w:val="006B0248"/>
    <w:rsid w:val="006B0628"/>
    <w:rsid w:val="006B0689"/>
    <w:rsid w:val="006B06B6"/>
    <w:rsid w:val="006B10BD"/>
    <w:rsid w:val="006B11F6"/>
    <w:rsid w:val="006B1871"/>
    <w:rsid w:val="006B19D9"/>
    <w:rsid w:val="006B1B2F"/>
    <w:rsid w:val="006B2380"/>
    <w:rsid w:val="006B23A8"/>
    <w:rsid w:val="006B2E22"/>
    <w:rsid w:val="006B2E58"/>
    <w:rsid w:val="006B2E79"/>
    <w:rsid w:val="006B2F2A"/>
    <w:rsid w:val="006B2F38"/>
    <w:rsid w:val="006B3027"/>
    <w:rsid w:val="006B380A"/>
    <w:rsid w:val="006B3874"/>
    <w:rsid w:val="006B3A1E"/>
    <w:rsid w:val="006B3B3F"/>
    <w:rsid w:val="006B3ECB"/>
    <w:rsid w:val="006B407F"/>
    <w:rsid w:val="006B4170"/>
    <w:rsid w:val="006B43A1"/>
    <w:rsid w:val="006B4573"/>
    <w:rsid w:val="006B4741"/>
    <w:rsid w:val="006B49B4"/>
    <w:rsid w:val="006B4A3A"/>
    <w:rsid w:val="006B4A50"/>
    <w:rsid w:val="006B4C09"/>
    <w:rsid w:val="006B4D1F"/>
    <w:rsid w:val="006B4E76"/>
    <w:rsid w:val="006B4F1B"/>
    <w:rsid w:val="006B4FA0"/>
    <w:rsid w:val="006B50E0"/>
    <w:rsid w:val="006B51A7"/>
    <w:rsid w:val="006B554E"/>
    <w:rsid w:val="006B55E7"/>
    <w:rsid w:val="006B5BC2"/>
    <w:rsid w:val="006B5ED6"/>
    <w:rsid w:val="006B6228"/>
    <w:rsid w:val="006B623A"/>
    <w:rsid w:val="006B627E"/>
    <w:rsid w:val="006B63E8"/>
    <w:rsid w:val="006B6522"/>
    <w:rsid w:val="006B66A8"/>
    <w:rsid w:val="006B6BE6"/>
    <w:rsid w:val="006B7077"/>
    <w:rsid w:val="006B70C3"/>
    <w:rsid w:val="006B7203"/>
    <w:rsid w:val="006B759F"/>
    <w:rsid w:val="006B75FB"/>
    <w:rsid w:val="006B7638"/>
    <w:rsid w:val="006B76C5"/>
    <w:rsid w:val="006B7958"/>
    <w:rsid w:val="006B7A38"/>
    <w:rsid w:val="006B7AB5"/>
    <w:rsid w:val="006B7BF8"/>
    <w:rsid w:val="006C0126"/>
    <w:rsid w:val="006C044B"/>
    <w:rsid w:val="006C0455"/>
    <w:rsid w:val="006C04E7"/>
    <w:rsid w:val="006C0590"/>
    <w:rsid w:val="006C0642"/>
    <w:rsid w:val="006C093D"/>
    <w:rsid w:val="006C0995"/>
    <w:rsid w:val="006C0A53"/>
    <w:rsid w:val="006C0B9E"/>
    <w:rsid w:val="006C0BD7"/>
    <w:rsid w:val="006C0FE6"/>
    <w:rsid w:val="006C1091"/>
    <w:rsid w:val="006C1166"/>
    <w:rsid w:val="006C161B"/>
    <w:rsid w:val="006C1687"/>
    <w:rsid w:val="006C1940"/>
    <w:rsid w:val="006C213F"/>
    <w:rsid w:val="006C263B"/>
    <w:rsid w:val="006C263D"/>
    <w:rsid w:val="006C2753"/>
    <w:rsid w:val="006C28B1"/>
    <w:rsid w:val="006C2C61"/>
    <w:rsid w:val="006C332C"/>
    <w:rsid w:val="006C344A"/>
    <w:rsid w:val="006C34DE"/>
    <w:rsid w:val="006C362D"/>
    <w:rsid w:val="006C38B7"/>
    <w:rsid w:val="006C3BC8"/>
    <w:rsid w:val="006C4740"/>
    <w:rsid w:val="006C492E"/>
    <w:rsid w:val="006C4B6E"/>
    <w:rsid w:val="006C4ED7"/>
    <w:rsid w:val="006C4FC4"/>
    <w:rsid w:val="006C4FE1"/>
    <w:rsid w:val="006C5562"/>
    <w:rsid w:val="006C56A4"/>
    <w:rsid w:val="006C5773"/>
    <w:rsid w:val="006C59B0"/>
    <w:rsid w:val="006C5A01"/>
    <w:rsid w:val="006C5CE3"/>
    <w:rsid w:val="006C5F94"/>
    <w:rsid w:val="006C60C0"/>
    <w:rsid w:val="006C630E"/>
    <w:rsid w:val="006C64C5"/>
    <w:rsid w:val="006C676A"/>
    <w:rsid w:val="006C69FB"/>
    <w:rsid w:val="006C6A9F"/>
    <w:rsid w:val="006C70D7"/>
    <w:rsid w:val="006C75CC"/>
    <w:rsid w:val="006C7816"/>
    <w:rsid w:val="006C7B72"/>
    <w:rsid w:val="006C7C25"/>
    <w:rsid w:val="006D0160"/>
    <w:rsid w:val="006D07E0"/>
    <w:rsid w:val="006D0810"/>
    <w:rsid w:val="006D09A3"/>
    <w:rsid w:val="006D0A0A"/>
    <w:rsid w:val="006D0BAE"/>
    <w:rsid w:val="006D0C6B"/>
    <w:rsid w:val="006D0C78"/>
    <w:rsid w:val="006D0C80"/>
    <w:rsid w:val="006D0CD7"/>
    <w:rsid w:val="006D0DF6"/>
    <w:rsid w:val="006D1120"/>
    <w:rsid w:val="006D1742"/>
    <w:rsid w:val="006D1A41"/>
    <w:rsid w:val="006D2066"/>
    <w:rsid w:val="006D2367"/>
    <w:rsid w:val="006D28DF"/>
    <w:rsid w:val="006D2926"/>
    <w:rsid w:val="006D2966"/>
    <w:rsid w:val="006D29AB"/>
    <w:rsid w:val="006D2A07"/>
    <w:rsid w:val="006D2C64"/>
    <w:rsid w:val="006D2D6E"/>
    <w:rsid w:val="006D36FB"/>
    <w:rsid w:val="006D3906"/>
    <w:rsid w:val="006D3B53"/>
    <w:rsid w:val="006D3CAE"/>
    <w:rsid w:val="006D3E0A"/>
    <w:rsid w:val="006D3E72"/>
    <w:rsid w:val="006D4763"/>
    <w:rsid w:val="006D4CA6"/>
    <w:rsid w:val="006D51C0"/>
    <w:rsid w:val="006D55E6"/>
    <w:rsid w:val="006D5629"/>
    <w:rsid w:val="006D56ED"/>
    <w:rsid w:val="006D56F9"/>
    <w:rsid w:val="006D5D08"/>
    <w:rsid w:val="006D5E6E"/>
    <w:rsid w:val="006D5F38"/>
    <w:rsid w:val="006D60CE"/>
    <w:rsid w:val="006D6245"/>
    <w:rsid w:val="006D63DF"/>
    <w:rsid w:val="006D6524"/>
    <w:rsid w:val="006D6BBC"/>
    <w:rsid w:val="006D6E40"/>
    <w:rsid w:val="006D716D"/>
    <w:rsid w:val="006D74A7"/>
    <w:rsid w:val="006D7620"/>
    <w:rsid w:val="006D7806"/>
    <w:rsid w:val="006D7A26"/>
    <w:rsid w:val="006E02E7"/>
    <w:rsid w:val="006E057F"/>
    <w:rsid w:val="006E0806"/>
    <w:rsid w:val="006E0C40"/>
    <w:rsid w:val="006E0C75"/>
    <w:rsid w:val="006E0CB0"/>
    <w:rsid w:val="006E0E74"/>
    <w:rsid w:val="006E0FC7"/>
    <w:rsid w:val="006E105E"/>
    <w:rsid w:val="006E1061"/>
    <w:rsid w:val="006E1465"/>
    <w:rsid w:val="006E19B6"/>
    <w:rsid w:val="006E19E5"/>
    <w:rsid w:val="006E1A86"/>
    <w:rsid w:val="006E1AE2"/>
    <w:rsid w:val="006E1D1F"/>
    <w:rsid w:val="006E1F58"/>
    <w:rsid w:val="006E23AF"/>
    <w:rsid w:val="006E241E"/>
    <w:rsid w:val="006E24E1"/>
    <w:rsid w:val="006E2954"/>
    <w:rsid w:val="006E2D08"/>
    <w:rsid w:val="006E2E99"/>
    <w:rsid w:val="006E2F7F"/>
    <w:rsid w:val="006E3157"/>
    <w:rsid w:val="006E3452"/>
    <w:rsid w:val="006E3473"/>
    <w:rsid w:val="006E35B4"/>
    <w:rsid w:val="006E393E"/>
    <w:rsid w:val="006E39BA"/>
    <w:rsid w:val="006E3CD4"/>
    <w:rsid w:val="006E3DD7"/>
    <w:rsid w:val="006E419B"/>
    <w:rsid w:val="006E4572"/>
    <w:rsid w:val="006E4903"/>
    <w:rsid w:val="006E499A"/>
    <w:rsid w:val="006E49CA"/>
    <w:rsid w:val="006E4B3C"/>
    <w:rsid w:val="006E4B83"/>
    <w:rsid w:val="006E5283"/>
    <w:rsid w:val="006E567C"/>
    <w:rsid w:val="006E59C6"/>
    <w:rsid w:val="006E5B99"/>
    <w:rsid w:val="006E5F9E"/>
    <w:rsid w:val="006E6B24"/>
    <w:rsid w:val="006E6C8D"/>
    <w:rsid w:val="006E6E0D"/>
    <w:rsid w:val="006E70B0"/>
    <w:rsid w:val="006E7243"/>
    <w:rsid w:val="006E72E2"/>
    <w:rsid w:val="006E761E"/>
    <w:rsid w:val="006E78D5"/>
    <w:rsid w:val="006E796B"/>
    <w:rsid w:val="006E7CF5"/>
    <w:rsid w:val="006E7D3D"/>
    <w:rsid w:val="006F0258"/>
    <w:rsid w:val="006F03F2"/>
    <w:rsid w:val="006F061B"/>
    <w:rsid w:val="006F070D"/>
    <w:rsid w:val="006F0826"/>
    <w:rsid w:val="006F0912"/>
    <w:rsid w:val="006F0A44"/>
    <w:rsid w:val="006F0B27"/>
    <w:rsid w:val="006F0B8D"/>
    <w:rsid w:val="006F0CED"/>
    <w:rsid w:val="006F0D06"/>
    <w:rsid w:val="006F0DBC"/>
    <w:rsid w:val="006F10E3"/>
    <w:rsid w:val="006F116F"/>
    <w:rsid w:val="006F146E"/>
    <w:rsid w:val="006F16E1"/>
    <w:rsid w:val="006F1898"/>
    <w:rsid w:val="006F1957"/>
    <w:rsid w:val="006F1995"/>
    <w:rsid w:val="006F1A1A"/>
    <w:rsid w:val="006F1C8C"/>
    <w:rsid w:val="006F236B"/>
    <w:rsid w:val="006F29CE"/>
    <w:rsid w:val="006F2AF8"/>
    <w:rsid w:val="006F2D38"/>
    <w:rsid w:val="006F2D7B"/>
    <w:rsid w:val="006F2EBF"/>
    <w:rsid w:val="006F31CF"/>
    <w:rsid w:val="006F3379"/>
    <w:rsid w:val="006F36CB"/>
    <w:rsid w:val="006F39A2"/>
    <w:rsid w:val="006F3A63"/>
    <w:rsid w:val="006F40C1"/>
    <w:rsid w:val="006F41DE"/>
    <w:rsid w:val="006F434D"/>
    <w:rsid w:val="006F4407"/>
    <w:rsid w:val="006F45A1"/>
    <w:rsid w:val="006F469E"/>
    <w:rsid w:val="006F4729"/>
    <w:rsid w:val="006F47D0"/>
    <w:rsid w:val="006F4834"/>
    <w:rsid w:val="006F487B"/>
    <w:rsid w:val="006F4898"/>
    <w:rsid w:val="006F4988"/>
    <w:rsid w:val="006F4A9D"/>
    <w:rsid w:val="006F4ED2"/>
    <w:rsid w:val="006F4EE8"/>
    <w:rsid w:val="006F4EE9"/>
    <w:rsid w:val="006F5487"/>
    <w:rsid w:val="006F5651"/>
    <w:rsid w:val="006F56B8"/>
    <w:rsid w:val="006F5D9B"/>
    <w:rsid w:val="006F5F2C"/>
    <w:rsid w:val="006F5FD8"/>
    <w:rsid w:val="006F62F5"/>
    <w:rsid w:val="006F63D0"/>
    <w:rsid w:val="006F64CB"/>
    <w:rsid w:val="006F6878"/>
    <w:rsid w:val="006F68B1"/>
    <w:rsid w:val="006F69D8"/>
    <w:rsid w:val="006F6ED0"/>
    <w:rsid w:val="006F6FA7"/>
    <w:rsid w:val="006F713E"/>
    <w:rsid w:val="006F7269"/>
    <w:rsid w:val="006F73DB"/>
    <w:rsid w:val="006F7C00"/>
    <w:rsid w:val="007001C6"/>
    <w:rsid w:val="007002FE"/>
    <w:rsid w:val="00700344"/>
    <w:rsid w:val="00700474"/>
    <w:rsid w:val="007004B5"/>
    <w:rsid w:val="00700584"/>
    <w:rsid w:val="007007A9"/>
    <w:rsid w:val="00700875"/>
    <w:rsid w:val="00700BE1"/>
    <w:rsid w:val="00700DB4"/>
    <w:rsid w:val="00700E2A"/>
    <w:rsid w:val="0070120A"/>
    <w:rsid w:val="00701361"/>
    <w:rsid w:val="00701469"/>
    <w:rsid w:val="007014B3"/>
    <w:rsid w:val="00701621"/>
    <w:rsid w:val="007017CD"/>
    <w:rsid w:val="00701818"/>
    <w:rsid w:val="0070181B"/>
    <w:rsid w:val="00701CCE"/>
    <w:rsid w:val="00701FBF"/>
    <w:rsid w:val="00701FED"/>
    <w:rsid w:val="0070211F"/>
    <w:rsid w:val="00702303"/>
    <w:rsid w:val="00702405"/>
    <w:rsid w:val="00702500"/>
    <w:rsid w:val="00702543"/>
    <w:rsid w:val="00702547"/>
    <w:rsid w:val="0070255D"/>
    <w:rsid w:val="00702571"/>
    <w:rsid w:val="007025E9"/>
    <w:rsid w:val="00702637"/>
    <w:rsid w:val="007026D2"/>
    <w:rsid w:val="00702796"/>
    <w:rsid w:val="0070299E"/>
    <w:rsid w:val="00702BF6"/>
    <w:rsid w:val="00702CAB"/>
    <w:rsid w:val="00702E5B"/>
    <w:rsid w:val="00702FE8"/>
    <w:rsid w:val="00703026"/>
    <w:rsid w:val="007031E1"/>
    <w:rsid w:val="00703340"/>
    <w:rsid w:val="007033CE"/>
    <w:rsid w:val="00703434"/>
    <w:rsid w:val="007035FF"/>
    <w:rsid w:val="0070386E"/>
    <w:rsid w:val="00703C8E"/>
    <w:rsid w:val="0070402F"/>
    <w:rsid w:val="00704075"/>
    <w:rsid w:val="00704204"/>
    <w:rsid w:val="00704272"/>
    <w:rsid w:val="007042D1"/>
    <w:rsid w:val="00704317"/>
    <w:rsid w:val="007044E4"/>
    <w:rsid w:val="00704569"/>
    <w:rsid w:val="007047CE"/>
    <w:rsid w:val="00704B09"/>
    <w:rsid w:val="00704DAB"/>
    <w:rsid w:val="00704E25"/>
    <w:rsid w:val="0070519C"/>
    <w:rsid w:val="007051CC"/>
    <w:rsid w:val="00705297"/>
    <w:rsid w:val="0070539F"/>
    <w:rsid w:val="007054FE"/>
    <w:rsid w:val="0070575F"/>
    <w:rsid w:val="007057CC"/>
    <w:rsid w:val="00705CFD"/>
    <w:rsid w:val="00705F3B"/>
    <w:rsid w:val="00705F4D"/>
    <w:rsid w:val="00706025"/>
    <w:rsid w:val="007060C9"/>
    <w:rsid w:val="0070624D"/>
    <w:rsid w:val="00706475"/>
    <w:rsid w:val="00706562"/>
    <w:rsid w:val="00706AA5"/>
    <w:rsid w:val="00706ECC"/>
    <w:rsid w:val="00706FE1"/>
    <w:rsid w:val="007073BE"/>
    <w:rsid w:val="007073D4"/>
    <w:rsid w:val="0070755C"/>
    <w:rsid w:val="007075D6"/>
    <w:rsid w:val="00707810"/>
    <w:rsid w:val="0070782A"/>
    <w:rsid w:val="00707918"/>
    <w:rsid w:val="00707D10"/>
    <w:rsid w:val="0071015D"/>
    <w:rsid w:val="0071050C"/>
    <w:rsid w:val="007105B7"/>
    <w:rsid w:val="007106D2"/>
    <w:rsid w:val="00710799"/>
    <w:rsid w:val="00710959"/>
    <w:rsid w:val="00710A87"/>
    <w:rsid w:val="00710C56"/>
    <w:rsid w:val="00710D40"/>
    <w:rsid w:val="00710E58"/>
    <w:rsid w:val="00710F5B"/>
    <w:rsid w:val="00710FB7"/>
    <w:rsid w:val="007110AC"/>
    <w:rsid w:val="0071135C"/>
    <w:rsid w:val="007113D0"/>
    <w:rsid w:val="007116DD"/>
    <w:rsid w:val="00711730"/>
    <w:rsid w:val="00711744"/>
    <w:rsid w:val="00711AAA"/>
    <w:rsid w:val="00711AE9"/>
    <w:rsid w:val="00711B5A"/>
    <w:rsid w:val="00711BE5"/>
    <w:rsid w:val="00711C5D"/>
    <w:rsid w:val="00711DCE"/>
    <w:rsid w:val="00711FA5"/>
    <w:rsid w:val="0071235B"/>
    <w:rsid w:val="00712390"/>
    <w:rsid w:val="00712514"/>
    <w:rsid w:val="0071256B"/>
    <w:rsid w:val="007127CD"/>
    <w:rsid w:val="007127D7"/>
    <w:rsid w:val="007129D9"/>
    <w:rsid w:val="00712B0E"/>
    <w:rsid w:val="00712D5A"/>
    <w:rsid w:val="00712D7C"/>
    <w:rsid w:val="00712E8F"/>
    <w:rsid w:val="00712FC7"/>
    <w:rsid w:val="00713145"/>
    <w:rsid w:val="007135D8"/>
    <w:rsid w:val="00713816"/>
    <w:rsid w:val="0071388A"/>
    <w:rsid w:val="007138F2"/>
    <w:rsid w:val="00713BA0"/>
    <w:rsid w:val="00713BEE"/>
    <w:rsid w:val="00713D0B"/>
    <w:rsid w:val="00713D38"/>
    <w:rsid w:val="00714032"/>
    <w:rsid w:val="00714075"/>
    <w:rsid w:val="007140A3"/>
    <w:rsid w:val="007141B9"/>
    <w:rsid w:val="00714519"/>
    <w:rsid w:val="00714665"/>
    <w:rsid w:val="007146F0"/>
    <w:rsid w:val="00714B2C"/>
    <w:rsid w:val="007150E5"/>
    <w:rsid w:val="00715240"/>
    <w:rsid w:val="00715342"/>
    <w:rsid w:val="00715459"/>
    <w:rsid w:val="00715667"/>
    <w:rsid w:val="00715C24"/>
    <w:rsid w:val="00715C76"/>
    <w:rsid w:val="00715C99"/>
    <w:rsid w:val="00715DC0"/>
    <w:rsid w:val="0071608C"/>
    <w:rsid w:val="007166FC"/>
    <w:rsid w:val="0071678C"/>
    <w:rsid w:val="007168AD"/>
    <w:rsid w:val="00716CB0"/>
    <w:rsid w:val="00716EDF"/>
    <w:rsid w:val="0071706C"/>
    <w:rsid w:val="00717193"/>
    <w:rsid w:val="0071744B"/>
    <w:rsid w:val="007174BE"/>
    <w:rsid w:val="007177A2"/>
    <w:rsid w:val="007177A9"/>
    <w:rsid w:val="007178A1"/>
    <w:rsid w:val="00717B1E"/>
    <w:rsid w:val="00717EC3"/>
    <w:rsid w:val="0072051E"/>
    <w:rsid w:val="007205D9"/>
    <w:rsid w:val="007206F1"/>
    <w:rsid w:val="007207BF"/>
    <w:rsid w:val="00720E8B"/>
    <w:rsid w:val="00720EAA"/>
    <w:rsid w:val="00720F79"/>
    <w:rsid w:val="00721276"/>
    <w:rsid w:val="00721815"/>
    <w:rsid w:val="0072189A"/>
    <w:rsid w:val="00721A39"/>
    <w:rsid w:val="00721A9D"/>
    <w:rsid w:val="00721D60"/>
    <w:rsid w:val="00722182"/>
    <w:rsid w:val="0072218E"/>
    <w:rsid w:val="007227D0"/>
    <w:rsid w:val="00722C02"/>
    <w:rsid w:val="00723347"/>
    <w:rsid w:val="007235DB"/>
    <w:rsid w:val="00723796"/>
    <w:rsid w:val="007239EE"/>
    <w:rsid w:val="00723FCD"/>
    <w:rsid w:val="0072405B"/>
    <w:rsid w:val="007241C5"/>
    <w:rsid w:val="00724357"/>
    <w:rsid w:val="00724582"/>
    <w:rsid w:val="00724D13"/>
    <w:rsid w:val="00724F2E"/>
    <w:rsid w:val="0072567C"/>
    <w:rsid w:val="00725713"/>
    <w:rsid w:val="00725A53"/>
    <w:rsid w:val="00725A55"/>
    <w:rsid w:val="00725C3A"/>
    <w:rsid w:val="00725CD0"/>
    <w:rsid w:val="00725E7E"/>
    <w:rsid w:val="00725FCF"/>
    <w:rsid w:val="00726030"/>
    <w:rsid w:val="00726409"/>
    <w:rsid w:val="007264C0"/>
    <w:rsid w:val="0072665F"/>
    <w:rsid w:val="00726683"/>
    <w:rsid w:val="007267E7"/>
    <w:rsid w:val="00726835"/>
    <w:rsid w:val="00726B9C"/>
    <w:rsid w:val="00726D40"/>
    <w:rsid w:val="007271F3"/>
    <w:rsid w:val="007274B0"/>
    <w:rsid w:val="00727F37"/>
    <w:rsid w:val="00727FC1"/>
    <w:rsid w:val="00730452"/>
    <w:rsid w:val="00730A59"/>
    <w:rsid w:val="00730B62"/>
    <w:rsid w:val="00730DC3"/>
    <w:rsid w:val="00730E2F"/>
    <w:rsid w:val="0073142B"/>
    <w:rsid w:val="00731523"/>
    <w:rsid w:val="00731527"/>
    <w:rsid w:val="007316C7"/>
    <w:rsid w:val="00731877"/>
    <w:rsid w:val="00731B76"/>
    <w:rsid w:val="00731CFC"/>
    <w:rsid w:val="00731D21"/>
    <w:rsid w:val="00731ECF"/>
    <w:rsid w:val="00731F44"/>
    <w:rsid w:val="00731F76"/>
    <w:rsid w:val="00731FD1"/>
    <w:rsid w:val="007322E0"/>
    <w:rsid w:val="0073245C"/>
    <w:rsid w:val="00732536"/>
    <w:rsid w:val="007327D3"/>
    <w:rsid w:val="007327DC"/>
    <w:rsid w:val="00732864"/>
    <w:rsid w:val="00732915"/>
    <w:rsid w:val="00732958"/>
    <w:rsid w:val="007329ED"/>
    <w:rsid w:val="00732E52"/>
    <w:rsid w:val="00732FA8"/>
    <w:rsid w:val="0073308D"/>
    <w:rsid w:val="00733102"/>
    <w:rsid w:val="007332CA"/>
    <w:rsid w:val="007332F7"/>
    <w:rsid w:val="007333CB"/>
    <w:rsid w:val="0073344E"/>
    <w:rsid w:val="007339D9"/>
    <w:rsid w:val="00733AD5"/>
    <w:rsid w:val="00733B54"/>
    <w:rsid w:val="00733FAE"/>
    <w:rsid w:val="0073414C"/>
    <w:rsid w:val="00734535"/>
    <w:rsid w:val="0073467D"/>
    <w:rsid w:val="00734A76"/>
    <w:rsid w:val="00734BFA"/>
    <w:rsid w:val="0073500A"/>
    <w:rsid w:val="00735070"/>
    <w:rsid w:val="00735875"/>
    <w:rsid w:val="00735942"/>
    <w:rsid w:val="0073595A"/>
    <w:rsid w:val="00735BB6"/>
    <w:rsid w:val="00735D3F"/>
    <w:rsid w:val="007362D1"/>
    <w:rsid w:val="00736422"/>
    <w:rsid w:val="007364DB"/>
    <w:rsid w:val="00736552"/>
    <w:rsid w:val="00736B13"/>
    <w:rsid w:val="00736C7C"/>
    <w:rsid w:val="00736CEE"/>
    <w:rsid w:val="007371D5"/>
    <w:rsid w:val="00737497"/>
    <w:rsid w:val="007374C1"/>
    <w:rsid w:val="007376B2"/>
    <w:rsid w:val="007379E6"/>
    <w:rsid w:val="00737C1B"/>
    <w:rsid w:val="00737E62"/>
    <w:rsid w:val="00737F7D"/>
    <w:rsid w:val="00737FEE"/>
    <w:rsid w:val="007400DE"/>
    <w:rsid w:val="007403B3"/>
    <w:rsid w:val="007403D4"/>
    <w:rsid w:val="00740A93"/>
    <w:rsid w:val="00740E49"/>
    <w:rsid w:val="00740F5B"/>
    <w:rsid w:val="007410BB"/>
    <w:rsid w:val="0074128C"/>
    <w:rsid w:val="0074157C"/>
    <w:rsid w:val="0074170A"/>
    <w:rsid w:val="00741752"/>
    <w:rsid w:val="0074182F"/>
    <w:rsid w:val="00741C8A"/>
    <w:rsid w:val="00741D6C"/>
    <w:rsid w:val="00741E59"/>
    <w:rsid w:val="00741F64"/>
    <w:rsid w:val="0074229D"/>
    <w:rsid w:val="0074245E"/>
    <w:rsid w:val="007425DC"/>
    <w:rsid w:val="007427AE"/>
    <w:rsid w:val="00742E4E"/>
    <w:rsid w:val="00742E5D"/>
    <w:rsid w:val="00742E87"/>
    <w:rsid w:val="00742E95"/>
    <w:rsid w:val="007436E3"/>
    <w:rsid w:val="0074384B"/>
    <w:rsid w:val="007439B4"/>
    <w:rsid w:val="00743C9F"/>
    <w:rsid w:val="00743D0E"/>
    <w:rsid w:val="00743DEE"/>
    <w:rsid w:val="00744098"/>
    <w:rsid w:val="007441DE"/>
    <w:rsid w:val="007442C7"/>
    <w:rsid w:val="00744496"/>
    <w:rsid w:val="00744581"/>
    <w:rsid w:val="0074465F"/>
    <w:rsid w:val="0074480F"/>
    <w:rsid w:val="007448BD"/>
    <w:rsid w:val="007449EB"/>
    <w:rsid w:val="00744BD3"/>
    <w:rsid w:val="00744D1E"/>
    <w:rsid w:val="00744EE1"/>
    <w:rsid w:val="007453F2"/>
    <w:rsid w:val="0074566C"/>
    <w:rsid w:val="00745866"/>
    <w:rsid w:val="00745A81"/>
    <w:rsid w:val="00745B33"/>
    <w:rsid w:val="00745C62"/>
    <w:rsid w:val="00745F5C"/>
    <w:rsid w:val="00746274"/>
    <w:rsid w:val="00746330"/>
    <w:rsid w:val="00746440"/>
    <w:rsid w:val="00746525"/>
    <w:rsid w:val="00746788"/>
    <w:rsid w:val="007467A6"/>
    <w:rsid w:val="007467B4"/>
    <w:rsid w:val="00746C6E"/>
    <w:rsid w:val="00746D24"/>
    <w:rsid w:val="00746E1F"/>
    <w:rsid w:val="00746F01"/>
    <w:rsid w:val="0074741D"/>
    <w:rsid w:val="0074748F"/>
    <w:rsid w:val="0074782E"/>
    <w:rsid w:val="00747A61"/>
    <w:rsid w:val="00747C30"/>
    <w:rsid w:val="00747EA3"/>
    <w:rsid w:val="00747F85"/>
    <w:rsid w:val="00750155"/>
    <w:rsid w:val="0075095E"/>
    <w:rsid w:val="00750C83"/>
    <w:rsid w:val="00750CAB"/>
    <w:rsid w:val="00750CEB"/>
    <w:rsid w:val="00750F60"/>
    <w:rsid w:val="00751016"/>
    <w:rsid w:val="007510D0"/>
    <w:rsid w:val="00751180"/>
    <w:rsid w:val="00751240"/>
    <w:rsid w:val="007515E3"/>
    <w:rsid w:val="00751C26"/>
    <w:rsid w:val="00751FB5"/>
    <w:rsid w:val="00751FC6"/>
    <w:rsid w:val="0075208E"/>
    <w:rsid w:val="0075224C"/>
    <w:rsid w:val="00752390"/>
    <w:rsid w:val="00752455"/>
    <w:rsid w:val="007525DA"/>
    <w:rsid w:val="0075261B"/>
    <w:rsid w:val="00752E0F"/>
    <w:rsid w:val="00752E9D"/>
    <w:rsid w:val="00752EDB"/>
    <w:rsid w:val="00753162"/>
    <w:rsid w:val="00753208"/>
    <w:rsid w:val="00753229"/>
    <w:rsid w:val="007532D1"/>
    <w:rsid w:val="007535C8"/>
    <w:rsid w:val="00753761"/>
    <w:rsid w:val="0075384C"/>
    <w:rsid w:val="00753924"/>
    <w:rsid w:val="00753AD1"/>
    <w:rsid w:val="00753B0B"/>
    <w:rsid w:val="00753E9A"/>
    <w:rsid w:val="007540CE"/>
    <w:rsid w:val="00754135"/>
    <w:rsid w:val="00754200"/>
    <w:rsid w:val="00754245"/>
    <w:rsid w:val="0075456E"/>
    <w:rsid w:val="00754664"/>
    <w:rsid w:val="00754ECB"/>
    <w:rsid w:val="007550FC"/>
    <w:rsid w:val="00755355"/>
    <w:rsid w:val="00755358"/>
    <w:rsid w:val="00755669"/>
    <w:rsid w:val="00755F44"/>
    <w:rsid w:val="00756062"/>
    <w:rsid w:val="00756452"/>
    <w:rsid w:val="00756505"/>
    <w:rsid w:val="007566B2"/>
    <w:rsid w:val="00756854"/>
    <w:rsid w:val="00756B01"/>
    <w:rsid w:val="00756F0D"/>
    <w:rsid w:val="00756F4A"/>
    <w:rsid w:val="00757064"/>
    <w:rsid w:val="007570C3"/>
    <w:rsid w:val="00757648"/>
    <w:rsid w:val="00757A18"/>
    <w:rsid w:val="00757B41"/>
    <w:rsid w:val="00757D40"/>
    <w:rsid w:val="00760296"/>
    <w:rsid w:val="007604F0"/>
    <w:rsid w:val="007605F9"/>
    <w:rsid w:val="00760714"/>
    <w:rsid w:val="00760944"/>
    <w:rsid w:val="00760AEE"/>
    <w:rsid w:val="00760D2C"/>
    <w:rsid w:val="00760D9F"/>
    <w:rsid w:val="00760DAC"/>
    <w:rsid w:val="00760E4C"/>
    <w:rsid w:val="00760F44"/>
    <w:rsid w:val="0076131C"/>
    <w:rsid w:val="0076147B"/>
    <w:rsid w:val="007614F1"/>
    <w:rsid w:val="00761783"/>
    <w:rsid w:val="00761864"/>
    <w:rsid w:val="007618B9"/>
    <w:rsid w:val="00761926"/>
    <w:rsid w:val="00761B3B"/>
    <w:rsid w:val="00761CC7"/>
    <w:rsid w:val="00761E07"/>
    <w:rsid w:val="00761EE9"/>
    <w:rsid w:val="00761F44"/>
    <w:rsid w:val="0076201D"/>
    <w:rsid w:val="0076214F"/>
    <w:rsid w:val="00762201"/>
    <w:rsid w:val="00762369"/>
    <w:rsid w:val="007624A7"/>
    <w:rsid w:val="0076267A"/>
    <w:rsid w:val="00762842"/>
    <w:rsid w:val="0076314F"/>
    <w:rsid w:val="00763185"/>
    <w:rsid w:val="007631C4"/>
    <w:rsid w:val="00763536"/>
    <w:rsid w:val="007635EC"/>
    <w:rsid w:val="007638D8"/>
    <w:rsid w:val="00763B33"/>
    <w:rsid w:val="00763C2A"/>
    <w:rsid w:val="00763C84"/>
    <w:rsid w:val="00763FE5"/>
    <w:rsid w:val="00764770"/>
    <w:rsid w:val="007648F4"/>
    <w:rsid w:val="00764A39"/>
    <w:rsid w:val="00764CB8"/>
    <w:rsid w:val="00764F09"/>
    <w:rsid w:val="0076536E"/>
    <w:rsid w:val="00765510"/>
    <w:rsid w:val="0076564C"/>
    <w:rsid w:val="0076566A"/>
    <w:rsid w:val="00765740"/>
    <w:rsid w:val="00765A29"/>
    <w:rsid w:val="00765C52"/>
    <w:rsid w:val="00765F6A"/>
    <w:rsid w:val="007660C4"/>
    <w:rsid w:val="00766405"/>
    <w:rsid w:val="0076646B"/>
    <w:rsid w:val="007664E2"/>
    <w:rsid w:val="00766711"/>
    <w:rsid w:val="00766CA1"/>
    <w:rsid w:val="00766EE3"/>
    <w:rsid w:val="0076707D"/>
    <w:rsid w:val="00767194"/>
    <w:rsid w:val="00767245"/>
    <w:rsid w:val="0076731F"/>
    <w:rsid w:val="0076752D"/>
    <w:rsid w:val="007677DC"/>
    <w:rsid w:val="0076796E"/>
    <w:rsid w:val="007679A3"/>
    <w:rsid w:val="00767B8E"/>
    <w:rsid w:val="00767CA4"/>
    <w:rsid w:val="00767D98"/>
    <w:rsid w:val="00767EB9"/>
    <w:rsid w:val="00767F9D"/>
    <w:rsid w:val="007701FA"/>
    <w:rsid w:val="007703E9"/>
    <w:rsid w:val="00770504"/>
    <w:rsid w:val="007706A7"/>
    <w:rsid w:val="00770B14"/>
    <w:rsid w:val="00770DB9"/>
    <w:rsid w:val="00770F98"/>
    <w:rsid w:val="0077104A"/>
    <w:rsid w:val="007711F0"/>
    <w:rsid w:val="0077129F"/>
    <w:rsid w:val="007715C4"/>
    <w:rsid w:val="00771FCA"/>
    <w:rsid w:val="00771FDB"/>
    <w:rsid w:val="007721E4"/>
    <w:rsid w:val="00772338"/>
    <w:rsid w:val="00772E29"/>
    <w:rsid w:val="00773277"/>
    <w:rsid w:val="00773303"/>
    <w:rsid w:val="0077394C"/>
    <w:rsid w:val="00773A2E"/>
    <w:rsid w:val="00773A6B"/>
    <w:rsid w:val="00773C70"/>
    <w:rsid w:val="00773C98"/>
    <w:rsid w:val="007742AF"/>
    <w:rsid w:val="00774403"/>
    <w:rsid w:val="007744FD"/>
    <w:rsid w:val="00774C08"/>
    <w:rsid w:val="00774DE1"/>
    <w:rsid w:val="00774EFC"/>
    <w:rsid w:val="00774F34"/>
    <w:rsid w:val="007756A0"/>
    <w:rsid w:val="00775A0D"/>
    <w:rsid w:val="00775CD2"/>
    <w:rsid w:val="00775F41"/>
    <w:rsid w:val="00775FB8"/>
    <w:rsid w:val="00776548"/>
    <w:rsid w:val="007765FC"/>
    <w:rsid w:val="00776796"/>
    <w:rsid w:val="00776C86"/>
    <w:rsid w:val="00776FC7"/>
    <w:rsid w:val="0077719B"/>
    <w:rsid w:val="007772C0"/>
    <w:rsid w:val="007775F1"/>
    <w:rsid w:val="0077763C"/>
    <w:rsid w:val="0077773F"/>
    <w:rsid w:val="00777CCD"/>
    <w:rsid w:val="007801C7"/>
    <w:rsid w:val="0078020E"/>
    <w:rsid w:val="00780852"/>
    <w:rsid w:val="00780A24"/>
    <w:rsid w:val="00780D72"/>
    <w:rsid w:val="0078136A"/>
    <w:rsid w:val="0078142A"/>
    <w:rsid w:val="007814F5"/>
    <w:rsid w:val="0078169C"/>
    <w:rsid w:val="00781C22"/>
    <w:rsid w:val="00781CB5"/>
    <w:rsid w:val="00781E1E"/>
    <w:rsid w:val="007821FB"/>
    <w:rsid w:val="007822C8"/>
    <w:rsid w:val="00782384"/>
    <w:rsid w:val="007825AE"/>
    <w:rsid w:val="0078288E"/>
    <w:rsid w:val="007828D6"/>
    <w:rsid w:val="00782965"/>
    <w:rsid w:val="00782AC7"/>
    <w:rsid w:val="00782BB3"/>
    <w:rsid w:val="00782C33"/>
    <w:rsid w:val="00782D4E"/>
    <w:rsid w:val="00782FC5"/>
    <w:rsid w:val="00782FD9"/>
    <w:rsid w:val="0078333C"/>
    <w:rsid w:val="0078397E"/>
    <w:rsid w:val="007839A8"/>
    <w:rsid w:val="00783A54"/>
    <w:rsid w:val="00783C56"/>
    <w:rsid w:val="00783D7A"/>
    <w:rsid w:val="00783E43"/>
    <w:rsid w:val="00783EE2"/>
    <w:rsid w:val="00783EF2"/>
    <w:rsid w:val="0078411E"/>
    <w:rsid w:val="0078424D"/>
    <w:rsid w:val="007843EF"/>
    <w:rsid w:val="00784777"/>
    <w:rsid w:val="00784895"/>
    <w:rsid w:val="00784B81"/>
    <w:rsid w:val="007852D9"/>
    <w:rsid w:val="00785427"/>
    <w:rsid w:val="00785473"/>
    <w:rsid w:val="0078547E"/>
    <w:rsid w:val="0078565A"/>
    <w:rsid w:val="0078570E"/>
    <w:rsid w:val="00785A29"/>
    <w:rsid w:val="00785D76"/>
    <w:rsid w:val="00786233"/>
    <w:rsid w:val="007862B2"/>
    <w:rsid w:val="007866EC"/>
    <w:rsid w:val="00786B10"/>
    <w:rsid w:val="00786BD5"/>
    <w:rsid w:val="00787097"/>
    <w:rsid w:val="007870D3"/>
    <w:rsid w:val="0078716D"/>
    <w:rsid w:val="0078719E"/>
    <w:rsid w:val="007873BE"/>
    <w:rsid w:val="0078756A"/>
    <w:rsid w:val="0078759D"/>
    <w:rsid w:val="007876B3"/>
    <w:rsid w:val="0078771B"/>
    <w:rsid w:val="0078772E"/>
    <w:rsid w:val="00787878"/>
    <w:rsid w:val="00787CB5"/>
    <w:rsid w:val="00787F08"/>
    <w:rsid w:val="00790132"/>
    <w:rsid w:val="00790289"/>
    <w:rsid w:val="007903F5"/>
    <w:rsid w:val="00790667"/>
    <w:rsid w:val="0079097F"/>
    <w:rsid w:val="00790A49"/>
    <w:rsid w:val="00790C3F"/>
    <w:rsid w:val="00790DC5"/>
    <w:rsid w:val="00790E17"/>
    <w:rsid w:val="0079113E"/>
    <w:rsid w:val="0079124B"/>
    <w:rsid w:val="0079143B"/>
    <w:rsid w:val="00791501"/>
    <w:rsid w:val="00791567"/>
    <w:rsid w:val="00791620"/>
    <w:rsid w:val="00791677"/>
    <w:rsid w:val="007916E4"/>
    <w:rsid w:val="00791771"/>
    <w:rsid w:val="0079187A"/>
    <w:rsid w:val="007918C4"/>
    <w:rsid w:val="00791949"/>
    <w:rsid w:val="007919EA"/>
    <w:rsid w:val="00791AAA"/>
    <w:rsid w:val="00791C4E"/>
    <w:rsid w:val="00791C80"/>
    <w:rsid w:val="007920B1"/>
    <w:rsid w:val="00792380"/>
    <w:rsid w:val="0079239D"/>
    <w:rsid w:val="00792728"/>
    <w:rsid w:val="00792951"/>
    <w:rsid w:val="0079295A"/>
    <w:rsid w:val="00792B08"/>
    <w:rsid w:val="00792C64"/>
    <w:rsid w:val="00792D21"/>
    <w:rsid w:val="00792F64"/>
    <w:rsid w:val="00792F92"/>
    <w:rsid w:val="007930E6"/>
    <w:rsid w:val="007934BA"/>
    <w:rsid w:val="007935B4"/>
    <w:rsid w:val="00793737"/>
    <w:rsid w:val="007940DA"/>
    <w:rsid w:val="00794280"/>
    <w:rsid w:val="00794383"/>
    <w:rsid w:val="00794693"/>
    <w:rsid w:val="0079485C"/>
    <w:rsid w:val="00794B38"/>
    <w:rsid w:val="00794CD7"/>
    <w:rsid w:val="00794D3C"/>
    <w:rsid w:val="0079504F"/>
    <w:rsid w:val="0079524D"/>
    <w:rsid w:val="007952F6"/>
    <w:rsid w:val="007956B0"/>
    <w:rsid w:val="00795E58"/>
    <w:rsid w:val="00795EF1"/>
    <w:rsid w:val="00796069"/>
    <w:rsid w:val="007964ED"/>
    <w:rsid w:val="0079662B"/>
    <w:rsid w:val="0079662C"/>
    <w:rsid w:val="007967B1"/>
    <w:rsid w:val="00796BF0"/>
    <w:rsid w:val="00796FB1"/>
    <w:rsid w:val="007971C4"/>
    <w:rsid w:val="0079770C"/>
    <w:rsid w:val="0079773A"/>
    <w:rsid w:val="00797774"/>
    <w:rsid w:val="00797834"/>
    <w:rsid w:val="00797851"/>
    <w:rsid w:val="00797A6F"/>
    <w:rsid w:val="00797B17"/>
    <w:rsid w:val="00797B95"/>
    <w:rsid w:val="00797CBC"/>
    <w:rsid w:val="00797D2D"/>
    <w:rsid w:val="007A0435"/>
    <w:rsid w:val="007A06C2"/>
    <w:rsid w:val="007A07AA"/>
    <w:rsid w:val="007A0DDC"/>
    <w:rsid w:val="007A0E79"/>
    <w:rsid w:val="007A0F93"/>
    <w:rsid w:val="007A1006"/>
    <w:rsid w:val="007A10FF"/>
    <w:rsid w:val="007A1227"/>
    <w:rsid w:val="007A122B"/>
    <w:rsid w:val="007A1232"/>
    <w:rsid w:val="007A144D"/>
    <w:rsid w:val="007A16E9"/>
    <w:rsid w:val="007A17C2"/>
    <w:rsid w:val="007A18FA"/>
    <w:rsid w:val="007A1E16"/>
    <w:rsid w:val="007A1F12"/>
    <w:rsid w:val="007A217B"/>
    <w:rsid w:val="007A2419"/>
    <w:rsid w:val="007A2FA7"/>
    <w:rsid w:val="007A2FD0"/>
    <w:rsid w:val="007A30D5"/>
    <w:rsid w:val="007A3160"/>
    <w:rsid w:val="007A36AB"/>
    <w:rsid w:val="007A37A1"/>
    <w:rsid w:val="007A3939"/>
    <w:rsid w:val="007A3BB3"/>
    <w:rsid w:val="007A3D0B"/>
    <w:rsid w:val="007A3D9F"/>
    <w:rsid w:val="007A3E8A"/>
    <w:rsid w:val="007A3F2A"/>
    <w:rsid w:val="007A3F51"/>
    <w:rsid w:val="007A40B1"/>
    <w:rsid w:val="007A41D3"/>
    <w:rsid w:val="007A41E2"/>
    <w:rsid w:val="007A4450"/>
    <w:rsid w:val="007A4516"/>
    <w:rsid w:val="007A4773"/>
    <w:rsid w:val="007A47DC"/>
    <w:rsid w:val="007A4901"/>
    <w:rsid w:val="007A4ABD"/>
    <w:rsid w:val="007A4CDE"/>
    <w:rsid w:val="007A4DD5"/>
    <w:rsid w:val="007A4FBC"/>
    <w:rsid w:val="007A4FE6"/>
    <w:rsid w:val="007A513C"/>
    <w:rsid w:val="007A5183"/>
    <w:rsid w:val="007A52EF"/>
    <w:rsid w:val="007A5AE6"/>
    <w:rsid w:val="007A5C86"/>
    <w:rsid w:val="007A60B9"/>
    <w:rsid w:val="007A62A2"/>
    <w:rsid w:val="007A63A8"/>
    <w:rsid w:val="007A6724"/>
    <w:rsid w:val="007A6D76"/>
    <w:rsid w:val="007A734D"/>
    <w:rsid w:val="007A7459"/>
    <w:rsid w:val="007A7841"/>
    <w:rsid w:val="007A7B16"/>
    <w:rsid w:val="007A7F76"/>
    <w:rsid w:val="007B00E3"/>
    <w:rsid w:val="007B01F1"/>
    <w:rsid w:val="007B0230"/>
    <w:rsid w:val="007B03CD"/>
    <w:rsid w:val="007B066E"/>
    <w:rsid w:val="007B0817"/>
    <w:rsid w:val="007B0B5D"/>
    <w:rsid w:val="007B111B"/>
    <w:rsid w:val="007B15C4"/>
    <w:rsid w:val="007B1832"/>
    <w:rsid w:val="007B19EC"/>
    <w:rsid w:val="007B1AAB"/>
    <w:rsid w:val="007B1C23"/>
    <w:rsid w:val="007B1F6E"/>
    <w:rsid w:val="007B1F9D"/>
    <w:rsid w:val="007B247F"/>
    <w:rsid w:val="007B2666"/>
    <w:rsid w:val="007B2C4E"/>
    <w:rsid w:val="007B30AF"/>
    <w:rsid w:val="007B31A7"/>
    <w:rsid w:val="007B32DC"/>
    <w:rsid w:val="007B358F"/>
    <w:rsid w:val="007B378D"/>
    <w:rsid w:val="007B3883"/>
    <w:rsid w:val="007B392D"/>
    <w:rsid w:val="007B3A07"/>
    <w:rsid w:val="007B3BDC"/>
    <w:rsid w:val="007B3CB5"/>
    <w:rsid w:val="007B3EE9"/>
    <w:rsid w:val="007B3F61"/>
    <w:rsid w:val="007B41A9"/>
    <w:rsid w:val="007B435D"/>
    <w:rsid w:val="007B4474"/>
    <w:rsid w:val="007B4AC7"/>
    <w:rsid w:val="007B4B9F"/>
    <w:rsid w:val="007B4C9E"/>
    <w:rsid w:val="007B4CC2"/>
    <w:rsid w:val="007B4E18"/>
    <w:rsid w:val="007B4FDF"/>
    <w:rsid w:val="007B54DC"/>
    <w:rsid w:val="007B5AE1"/>
    <w:rsid w:val="007B5CE1"/>
    <w:rsid w:val="007B5F2A"/>
    <w:rsid w:val="007B6354"/>
    <w:rsid w:val="007B6355"/>
    <w:rsid w:val="007B6459"/>
    <w:rsid w:val="007B66C8"/>
    <w:rsid w:val="007B699E"/>
    <w:rsid w:val="007B69D2"/>
    <w:rsid w:val="007B6AB7"/>
    <w:rsid w:val="007B6B07"/>
    <w:rsid w:val="007B6B4A"/>
    <w:rsid w:val="007B6C99"/>
    <w:rsid w:val="007B6F3E"/>
    <w:rsid w:val="007B6F64"/>
    <w:rsid w:val="007B71E0"/>
    <w:rsid w:val="007B728D"/>
    <w:rsid w:val="007B7777"/>
    <w:rsid w:val="007B7CA9"/>
    <w:rsid w:val="007B7CB6"/>
    <w:rsid w:val="007B7E63"/>
    <w:rsid w:val="007C0089"/>
    <w:rsid w:val="007C062F"/>
    <w:rsid w:val="007C07D8"/>
    <w:rsid w:val="007C082A"/>
    <w:rsid w:val="007C087A"/>
    <w:rsid w:val="007C0DC8"/>
    <w:rsid w:val="007C0E99"/>
    <w:rsid w:val="007C1054"/>
    <w:rsid w:val="007C1122"/>
    <w:rsid w:val="007C11B3"/>
    <w:rsid w:val="007C1226"/>
    <w:rsid w:val="007C16E3"/>
    <w:rsid w:val="007C1980"/>
    <w:rsid w:val="007C19BF"/>
    <w:rsid w:val="007C1A7E"/>
    <w:rsid w:val="007C1B16"/>
    <w:rsid w:val="007C1C62"/>
    <w:rsid w:val="007C1C80"/>
    <w:rsid w:val="007C258E"/>
    <w:rsid w:val="007C296D"/>
    <w:rsid w:val="007C2DF1"/>
    <w:rsid w:val="007C36AA"/>
    <w:rsid w:val="007C3984"/>
    <w:rsid w:val="007C3BF8"/>
    <w:rsid w:val="007C3F68"/>
    <w:rsid w:val="007C431F"/>
    <w:rsid w:val="007C434C"/>
    <w:rsid w:val="007C443E"/>
    <w:rsid w:val="007C448D"/>
    <w:rsid w:val="007C455C"/>
    <w:rsid w:val="007C4624"/>
    <w:rsid w:val="007C478C"/>
    <w:rsid w:val="007C4849"/>
    <w:rsid w:val="007C4AA0"/>
    <w:rsid w:val="007C4BCD"/>
    <w:rsid w:val="007C54D6"/>
    <w:rsid w:val="007C5AF5"/>
    <w:rsid w:val="007C5E19"/>
    <w:rsid w:val="007C63DF"/>
    <w:rsid w:val="007C6555"/>
    <w:rsid w:val="007C6D00"/>
    <w:rsid w:val="007C6E45"/>
    <w:rsid w:val="007C701C"/>
    <w:rsid w:val="007C7225"/>
    <w:rsid w:val="007C7465"/>
    <w:rsid w:val="007C746E"/>
    <w:rsid w:val="007C7A89"/>
    <w:rsid w:val="007C7FE4"/>
    <w:rsid w:val="007D0297"/>
    <w:rsid w:val="007D02D9"/>
    <w:rsid w:val="007D0316"/>
    <w:rsid w:val="007D0474"/>
    <w:rsid w:val="007D12F0"/>
    <w:rsid w:val="007D1328"/>
    <w:rsid w:val="007D15E5"/>
    <w:rsid w:val="007D16DB"/>
    <w:rsid w:val="007D1991"/>
    <w:rsid w:val="007D1A4D"/>
    <w:rsid w:val="007D1AEE"/>
    <w:rsid w:val="007D1F68"/>
    <w:rsid w:val="007D2039"/>
    <w:rsid w:val="007D207C"/>
    <w:rsid w:val="007D22B6"/>
    <w:rsid w:val="007D22FE"/>
    <w:rsid w:val="007D2378"/>
    <w:rsid w:val="007D23AA"/>
    <w:rsid w:val="007D23B7"/>
    <w:rsid w:val="007D242D"/>
    <w:rsid w:val="007D27C5"/>
    <w:rsid w:val="007D2A25"/>
    <w:rsid w:val="007D2B07"/>
    <w:rsid w:val="007D2B32"/>
    <w:rsid w:val="007D2C4A"/>
    <w:rsid w:val="007D2E8A"/>
    <w:rsid w:val="007D383C"/>
    <w:rsid w:val="007D3AD6"/>
    <w:rsid w:val="007D3EE5"/>
    <w:rsid w:val="007D3F70"/>
    <w:rsid w:val="007D411C"/>
    <w:rsid w:val="007D414D"/>
    <w:rsid w:val="007D4168"/>
    <w:rsid w:val="007D4371"/>
    <w:rsid w:val="007D43E2"/>
    <w:rsid w:val="007D4829"/>
    <w:rsid w:val="007D4916"/>
    <w:rsid w:val="007D4A07"/>
    <w:rsid w:val="007D4AD7"/>
    <w:rsid w:val="007D4AFC"/>
    <w:rsid w:val="007D4C02"/>
    <w:rsid w:val="007D4DE5"/>
    <w:rsid w:val="007D5041"/>
    <w:rsid w:val="007D505A"/>
    <w:rsid w:val="007D51D0"/>
    <w:rsid w:val="007D54E7"/>
    <w:rsid w:val="007D58BB"/>
    <w:rsid w:val="007D5A1D"/>
    <w:rsid w:val="007D5B10"/>
    <w:rsid w:val="007D5BB9"/>
    <w:rsid w:val="007D5C4E"/>
    <w:rsid w:val="007D5C6F"/>
    <w:rsid w:val="007D5D36"/>
    <w:rsid w:val="007D5DF2"/>
    <w:rsid w:val="007D5E3B"/>
    <w:rsid w:val="007D5FF1"/>
    <w:rsid w:val="007D632A"/>
    <w:rsid w:val="007D67D6"/>
    <w:rsid w:val="007D68B4"/>
    <w:rsid w:val="007D6A2D"/>
    <w:rsid w:val="007D6B67"/>
    <w:rsid w:val="007D6D68"/>
    <w:rsid w:val="007D6DDD"/>
    <w:rsid w:val="007D6F14"/>
    <w:rsid w:val="007D70E2"/>
    <w:rsid w:val="007D714E"/>
    <w:rsid w:val="007D72C9"/>
    <w:rsid w:val="007D7331"/>
    <w:rsid w:val="007D7480"/>
    <w:rsid w:val="007D7552"/>
    <w:rsid w:val="007D762B"/>
    <w:rsid w:val="007D7931"/>
    <w:rsid w:val="007D79E1"/>
    <w:rsid w:val="007D7AE7"/>
    <w:rsid w:val="007D7CC8"/>
    <w:rsid w:val="007D7D4F"/>
    <w:rsid w:val="007D7F8C"/>
    <w:rsid w:val="007E00A8"/>
    <w:rsid w:val="007E01C8"/>
    <w:rsid w:val="007E023A"/>
    <w:rsid w:val="007E034F"/>
    <w:rsid w:val="007E0484"/>
    <w:rsid w:val="007E05AA"/>
    <w:rsid w:val="007E066C"/>
    <w:rsid w:val="007E0707"/>
    <w:rsid w:val="007E0801"/>
    <w:rsid w:val="007E081C"/>
    <w:rsid w:val="007E096F"/>
    <w:rsid w:val="007E0E74"/>
    <w:rsid w:val="007E1377"/>
    <w:rsid w:val="007E1395"/>
    <w:rsid w:val="007E1548"/>
    <w:rsid w:val="007E1929"/>
    <w:rsid w:val="007E1950"/>
    <w:rsid w:val="007E19AB"/>
    <w:rsid w:val="007E1ACC"/>
    <w:rsid w:val="007E1B74"/>
    <w:rsid w:val="007E1C3A"/>
    <w:rsid w:val="007E1D6D"/>
    <w:rsid w:val="007E1E0B"/>
    <w:rsid w:val="007E1FD1"/>
    <w:rsid w:val="007E2067"/>
    <w:rsid w:val="007E223A"/>
    <w:rsid w:val="007E2519"/>
    <w:rsid w:val="007E264E"/>
    <w:rsid w:val="007E27C7"/>
    <w:rsid w:val="007E29C2"/>
    <w:rsid w:val="007E2A89"/>
    <w:rsid w:val="007E3048"/>
    <w:rsid w:val="007E321F"/>
    <w:rsid w:val="007E3547"/>
    <w:rsid w:val="007E3606"/>
    <w:rsid w:val="007E37EE"/>
    <w:rsid w:val="007E3840"/>
    <w:rsid w:val="007E3B4F"/>
    <w:rsid w:val="007E429A"/>
    <w:rsid w:val="007E4615"/>
    <w:rsid w:val="007E469F"/>
    <w:rsid w:val="007E4B70"/>
    <w:rsid w:val="007E4C27"/>
    <w:rsid w:val="007E4CD5"/>
    <w:rsid w:val="007E4D9A"/>
    <w:rsid w:val="007E4FE4"/>
    <w:rsid w:val="007E5011"/>
    <w:rsid w:val="007E5177"/>
    <w:rsid w:val="007E58CC"/>
    <w:rsid w:val="007E5BBA"/>
    <w:rsid w:val="007E5E4C"/>
    <w:rsid w:val="007E62FC"/>
    <w:rsid w:val="007E6306"/>
    <w:rsid w:val="007E63E0"/>
    <w:rsid w:val="007E661D"/>
    <w:rsid w:val="007E6A21"/>
    <w:rsid w:val="007E6A41"/>
    <w:rsid w:val="007E6A84"/>
    <w:rsid w:val="007E6B28"/>
    <w:rsid w:val="007E6BE3"/>
    <w:rsid w:val="007E6C5C"/>
    <w:rsid w:val="007E713C"/>
    <w:rsid w:val="007E719D"/>
    <w:rsid w:val="007E7276"/>
    <w:rsid w:val="007E7417"/>
    <w:rsid w:val="007E745C"/>
    <w:rsid w:val="007E7495"/>
    <w:rsid w:val="007E75E5"/>
    <w:rsid w:val="007E7E96"/>
    <w:rsid w:val="007E7EC5"/>
    <w:rsid w:val="007E7F87"/>
    <w:rsid w:val="007E7F94"/>
    <w:rsid w:val="007F01F7"/>
    <w:rsid w:val="007F0280"/>
    <w:rsid w:val="007F090F"/>
    <w:rsid w:val="007F09F3"/>
    <w:rsid w:val="007F1006"/>
    <w:rsid w:val="007F10E2"/>
    <w:rsid w:val="007F138E"/>
    <w:rsid w:val="007F1700"/>
    <w:rsid w:val="007F18FC"/>
    <w:rsid w:val="007F19FD"/>
    <w:rsid w:val="007F1B78"/>
    <w:rsid w:val="007F1EAE"/>
    <w:rsid w:val="007F2038"/>
    <w:rsid w:val="007F22E2"/>
    <w:rsid w:val="007F25AF"/>
    <w:rsid w:val="007F265C"/>
    <w:rsid w:val="007F26A5"/>
    <w:rsid w:val="007F2C1F"/>
    <w:rsid w:val="007F31B1"/>
    <w:rsid w:val="007F326D"/>
    <w:rsid w:val="007F327C"/>
    <w:rsid w:val="007F32EF"/>
    <w:rsid w:val="007F35AD"/>
    <w:rsid w:val="007F3667"/>
    <w:rsid w:val="007F3785"/>
    <w:rsid w:val="007F3DB7"/>
    <w:rsid w:val="007F4445"/>
    <w:rsid w:val="007F4A20"/>
    <w:rsid w:val="007F4DB9"/>
    <w:rsid w:val="007F4F0C"/>
    <w:rsid w:val="007F515B"/>
    <w:rsid w:val="007F5422"/>
    <w:rsid w:val="007F56B0"/>
    <w:rsid w:val="007F57B2"/>
    <w:rsid w:val="007F5AE9"/>
    <w:rsid w:val="007F5E6A"/>
    <w:rsid w:val="007F61FB"/>
    <w:rsid w:val="007F63BC"/>
    <w:rsid w:val="007F6880"/>
    <w:rsid w:val="007F68EF"/>
    <w:rsid w:val="007F6A6D"/>
    <w:rsid w:val="007F6BB8"/>
    <w:rsid w:val="007F719F"/>
    <w:rsid w:val="007F71DF"/>
    <w:rsid w:val="007F75DB"/>
    <w:rsid w:val="007F7919"/>
    <w:rsid w:val="007F7964"/>
    <w:rsid w:val="007F7A4A"/>
    <w:rsid w:val="007F7AF4"/>
    <w:rsid w:val="007F7BBE"/>
    <w:rsid w:val="007F7F92"/>
    <w:rsid w:val="008002E6"/>
    <w:rsid w:val="008002F6"/>
    <w:rsid w:val="00800A34"/>
    <w:rsid w:val="00800AC8"/>
    <w:rsid w:val="008010FC"/>
    <w:rsid w:val="00801208"/>
    <w:rsid w:val="008014CA"/>
    <w:rsid w:val="0080150C"/>
    <w:rsid w:val="00801631"/>
    <w:rsid w:val="00801A73"/>
    <w:rsid w:val="00801B49"/>
    <w:rsid w:val="00801D3E"/>
    <w:rsid w:val="00801DEC"/>
    <w:rsid w:val="00801E6A"/>
    <w:rsid w:val="00801F38"/>
    <w:rsid w:val="0080213B"/>
    <w:rsid w:val="00802312"/>
    <w:rsid w:val="0080242A"/>
    <w:rsid w:val="00802711"/>
    <w:rsid w:val="008027E4"/>
    <w:rsid w:val="00802DD9"/>
    <w:rsid w:val="00802FA5"/>
    <w:rsid w:val="0080324C"/>
    <w:rsid w:val="008032CF"/>
    <w:rsid w:val="0080339E"/>
    <w:rsid w:val="00803481"/>
    <w:rsid w:val="008034A2"/>
    <w:rsid w:val="008034A5"/>
    <w:rsid w:val="008034D7"/>
    <w:rsid w:val="00803D69"/>
    <w:rsid w:val="00803DDE"/>
    <w:rsid w:val="00803E91"/>
    <w:rsid w:val="008040CD"/>
    <w:rsid w:val="008042CF"/>
    <w:rsid w:val="0080436C"/>
    <w:rsid w:val="0080472A"/>
    <w:rsid w:val="00804766"/>
    <w:rsid w:val="00804894"/>
    <w:rsid w:val="00804DBD"/>
    <w:rsid w:val="00804FF4"/>
    <w:rsid w:val="0080515E"/>
    <w:rsid w:val="0080525D"/>
    <w:rsid w:val="00805260"/>
    <w:rsid w:val="00805311"/>
    <w:rsid w:val="008054FF"/>
    <w:rsid w:val="0080586E"/>
    <w:rsid w:val="00805948"/>
    <w:rsid w:val="008059C8"/>
    <w:rsid w:val="008059F1"/>
    <w:rsid w:val="00805A2D"/>
    <w:rsid w:val="00805B24"/>
    <w:rsid w:val="00805BE9"/>
    <w:rsid w:val="00806015"/>
    <w:rsid w:val="0080613C"/>
    <w:rsid w:val="0080615B"/>
    <w:rsid w:val="00806214"/>
    <w:rsid w:val="00806348"/>
    <w:rsid w:val="00806379"/>
    <w:rsid w:val="00806390"/>
    <w:rsid w:val="008063DC"/>
    <w:rsid w:val="00806485"/>
    <w:rsid w:val="0080648B"/>
    <w:rsid w:val="008064D3"/>
    <w:rsid w:val="00806720"/>
    <w:rsid w:val="0080690A"/>
    <w:rsid w:val="00806AC1"/>
    <w:rsid w:val="00806BB9"/>
    <w:rsid w:val="00807113"/>
    <w:rsid w:val="0080720B"/>
    <w:rsid w:val="0080753E"/>
    <w:rsid w:val="00807750"/>
    <w:rsid w:val="00807867"/>
    <w:rsid w:val="008078CB"/>
    <w:rsid w:val="00807D25"/>
    <w:rsid w:val="00807DD7"/>
    <w:rsid w:val="00810122"/>
    <w:rsid w:val="00810317"/>
    <w:rsid w:val="00810820"/>
    <w:rsid w:val="0081096C"/>
    <w:rsid w:val="00810BB4"/>
    <w:rsid w:val="00810BED"/>
    <w:rsid w:val="00810E07"/>
    <w:rsid w:val="00810E49"/>
    <w:rsid w:val="008111E8"/>
    <w:rsid w:val="0081125C"/>
    <w:rsid w:val="0081153F"/>
    <w:rsid w:val="00811ACA"/>
    <w:rsid w:val="0081220F"/>
    <w:rsid w:val="00812256"/>
    <w:rsid w:val="00812585"/>
    <w:rsid w:val="008125F5"/>
    <w:rsid w:val="00812613"/>
    <w:rsid w:val="00812656"/>
    <w:rsid w:val="008126C3"/>
    <w:rsid w:val="00812850"/>
    <w:rsid w:val="00812BC5"/>
    <w:rsid w:val="00812CE8"/>
    <w:rsid w:val="00812FDC"/>
    <w:rsid w:val="0081326B"/>
    <w:rsid w:val="0081330A"/>
    <w:rsid w:val="00813552"/>
    <w:rsid w:val="00813586"/>
    <w:rsid w:val="008138C5"/>
    <w:rsid w:val="008139FF"/>
    <w:rsid w:val="00813BB4"/>
    <w:rsid w:val="00813CCA"/>
    <w:rsid w:val="00813F67"/>
    <w:rsid w:val="0081407B"/>
    <w:rsid w:val="00814403"/>
    <w:rsid w:val="0081464E"/>
    <w:rsid w:val="008147D8"/>
    <w:rsid w:val="00814C78"/>
    <w:rsid w:val="00814D49"/>
    <w:rsid w:val="00815094"/>
    <w:rsid w:val="008154AE"/>
    <w:rsid w:val="008159F0"/>
    <w:rsid w:val="00815A6D"/>
    <w:rsid w:val="00815AC9"/>
    <w:rsid w:val="00816130"/>
    <w:rsid w:val="008162B9"/>
    <w:rsid w:val="008164AB"/>
    <w:rsid w:val="00816526"/>
    <w:rsid w:val="00816784"/>
    <w:rsid w:val="0081699B"/>
    <w:rsid w:val="00816BEE"/>
    <w:rsid w:val="00816CE7"/>
    <w:rsid w:val="00816D08"/>
    <w:rsid w:val="00816E1F"/>
    <w:rsid w:val="00816E39"/>
    <w:rsid w:val="00816F2A"/>
    <w:rsid w:val="00817091"/>
    <w:rsid w:val="00817178"/>
    <w:rsid w:val="008171E0"/>
    <w:rsid w:val="00817247"/>
    <w:rsid w:val="00817571"/>
    <w:rsid w:val="008175C1"/>
    <w:rsid w:val="0081770A"/>
    <w:rsid w:val="00817A6A"/>
    <w:rsid w:val="00817B24"/>
    <w:rsid w:val="00817BDC"/>
    <w:rsid w:val="00817D96"/>
    <w:rsid w:val="00817EF5"/>
    <w:rsid w:val="008204E5"/>
    <w:rsid w:val="008206FC"/>
    <w:rsid w:val="00820892"/>
    <w:rsid w:val="00820BDF"/>
    <w:rsid w:val="00820C2D"/>
    <w:rsid w:val="00821120"/>
    <w:rsid w:val="008212DE"/>
    <w:rsid w:val="008213C0"/>
    <w:rsid w:val="008213E6"/>
    <w:rsid w:val="00821492"/>
    <w:rsid w:val="00821510"/>
    <w:rsid w:val="00821560"/>
    <w:rsid w:val="00821626"/>
    <w:rsid w:val="008216D3"/>
    <w:rsid w:val="0082192B"/>
    <w:rsid w:val="00821DB1"/>
    <w:rsid w:val="00821E0D"/>
    <w:rsid w:val="00821E49"/>
    <w:rsid w:val="00821F2F"/>
    <w:rsid w:val="008221A6"/>
    <w:rsid w:val="00822615"/>
    <w:rsid w:val="00822800"/>
    <w:rsid w:val="00822809"/>
    <w:rsid w:val="00822909"/>
    <w:rsid w:val="0082290D"/>
    <w:rsid w:val="00822957"/>
    <w:rsid w:val="0082297D"/>
    <w:rsid w:val="00822F09"/>
    <w:rsid w:val="0082309A"/>
    <w:rsid w:val="00823162"/>
    <w:rsid w:val="0082341C"/>
    <w:rsid w:val="00823B65"/>
    <w:rsid w:val="00823C5E"/>
    <w:rsid w:val="00823F29"/>
    <w:rsid w:val="00824228"/>
    <w:rsid w:val="00824282"/>
    <w:rsid w:val="00824496"/>
    <w:rsid w:val="008247F8"/>
    <w:rsid w:val="00824AA6"/>
    <w:rsid w:val="0082525A"/>
    <w:rsid w:val="0082549B"/>
    <w:rsid w:val="008254A7"/>
    <w:rsid w:val="0082552A"/>
    <w:rsid w:val="008256CC"/>
    <w:rsid w:val="00825C8C"/>
    <w:rsid w:val="00825F6E"/>
    <w:rsid w:val="00826065"/>
    <w:rsid w:val="00826099"/>
    <w:rsid w:val="0082613D"/>
    <w:rsid w:val="00826283"/>
    <w:rsid w:val="00826500"/>
    <w:rsid w:val="008265CE"/>
    <w:rsid w:val="00826714"/>
    <w:rsid w:val="008269AA"/>
    <w:rsid w:val="00826ADE"/>
    <w:rsid w:val="00826C8E"/>
    <w:rsid w:val="00826D49"/>
    <w:rsid w:val="00826DF8"/>
    <w:rsid w:val="00827089"/>
    <w:rsid w:val="0082723D"/>
    <w:rsid w:val="00827323"/>
    <w:rsid w:val="008273C1"/>
    <w:rsid w:val="00827788"/>
    <w:rsid w:val="008277E2"/>
    <w:rsid w:val="00827A32"/>
    <w:rsid w:val="00830007"/>
    <w:rsid w:val="008303DE"/>
    <w:rsid w:val="008305D7"/>
    <w:rsid w:val="00830743"/>
    <w:rsid w:val="008309FD"/>
    <w:rsid w:val="00830D26"/>
    <w:rsid w:val="00830F6F"/>
    <w:rsid w:val="0083101B"/>
    <w:rsid w:val="0083119A"/>
    <w:rsid w:val="008312CF"/>
    <w:rsid w:val="0083136E"/>
    <w:rsid w:val="008314F0"/>
    <w:rsid w:val="00831F4E"/>
    <w:rsid w:val="00831F4F"/>
    <w:rsid w:val="008320A2"/>
    <w:rsid w:val="00832893"/>
    <w:rsid w:val="008329E7"/>
    <w:rsid w:val="00832A0E"/>
    <w:rsid w:val="00832A4C"/>
    <w:rsid w:val="00832D21"/>
    <w:rsid w:val="00832D22"/>
    <w:rsid w:val="00832D31"/>
    <w:rsid w:val="00832D60"/>
    <w:rsid w:val="00832D8F"/>
    <w:rsid w:val="008331D2"/>
    <w:rsid w:val="008335F6"/>
    <w:rsid w:val="0083394F"/>
    <w:rsid w:val="00833E14"/>
    <w:rsid w:val="00834018"/>
    <w:rsid w:val="00834044"/>
    <w:rsid w:val="008344D3"/>
    <w:rsid w:val="00834569"/>
    <w:rsid w:val="0083467D"/>
    <w:rsid w:val="008348F4"/>
    <w:rsid w:val="00834BAE"/>
    <w:rsid w:val="00834DB9"/>
    <w:rsid w:val="00834E77"/>
    <w:rsid w:val="00835164"/>
    <w:rsid w:val="008353CC"/>
    <w:rsid w:val="00835460"/>
    <w:rsid w:val="008357AC"/>
    <w:rsid w:val="00835800"/>
    <w:rsid w:val="00835903"/>
    <w:rsid w:val="00835995"/>
    <w:rsid w:val="00835A93"/>
    <w:rsid w:val="00835E36"/>
    <w:rsid w:val="0083636F"/>
    <w:rsid w:val="008363EC"/>
    <w:rsid w:val="00836428"/>
    <w:rsid w:val="008364E0"/>
    <w:rsid w:val="008365B9"/>
    <w:rsid w:val="0083667F"/>
    <w:rsid w:val="00836751"/>
    <w:rsid w:val="00836A91"/>
    <w:rsid w:val="00836AC5"/>
    <w:rsid w:val="00836AD2"/>
    <w:rsid w:val="00836C16"/>
    <w:rsid w:val="00836EB2"/>
    <w:rsid w:val="00837053"/>
    <w:rsid w:val="008371DA"/>
    <w:rsid w:val="008374DD"/>
    <w:rsid w:val="00837634"/>
    <w:rsid w:val="008377D4"/>
    <w:rsid w:val="008377EA"/>
    <w:rsid w:val="00837801"/>
    <w:rsid w:val="00837C5E"/>
    <w:rsid w:val="00837FF5"/>
    <w:rsid w:val="008401FC"/>
    <w:rsid w:val="00840270"/>
    <w:rsid w:val="00840308"/>
    <w:rsid w:val="00840373"/>
    <w:rsid w:val="008405A3"/>
    <w:rsid w:val="008407F3"/>
    <w:rsid w:val="00840860"/>
    <w:rsid w:val="0084090C"/>
    <w:rsid w:val="008409E3"/>
    <w:rsid w:val="00840D15"/>
    <w:rsid w:val="00840DDD"/>
    <w:rsid w:val="00840F7E"/>
    <w:rsid w:val="00841235"/>
    <w:rsid w:val="00841298"/>
    <w:rsid w:val="00841310"/>
    <w:rsid w:val="0084160F"/>
    <w:rsid w:val="00841752"/>
    <w:rsid w:val="00841821"/>
    <w:rsid w:val="0084194B"/>
    <w:rsid w:val="00841AA6"/>
    <w:rsid w:val="00841D99"/>
    <w:rsid w:val="0084200B"/>
    <w:rsid w:val="00842301"/>
    <w:rsid w:val="008426EE"/>
    <w:rsid w:val="00842705"/>
    <w:rsid w:val="00842764"/>
    <w:rsid w:val="00842830"/>
    <w:rsid w:val="008430F5"/>
    <w:rsid w:val="00843626"/>
    <w:rsid w:val="008436FF"/>
    <w:rsid w:val="0084371D"/>
    <w:rsid w:val="00843B1F"/>
    <w:rsid w:val="0084418B"/>
    <w:rsid w:val="00844610"/>
    <w:rsid w:val="0084462A"/>
    <w:rsid w:val="0084494D"/>
    <w:rsid w:val="00844988"/>
    <w:rsid w:val="00844A8F"/>
    <w:rsid w:val="00844B51"/>
    <w:rsid w:val="00844BFB"/>
    <w:rsid w:val="00844CB2"/>
    <w:rsid w:val="00844D04"/>
    <w:rsid w:val="00844D34"/>
    <w:rsid w:val="00844FBC"/>
    <w:rsid w:val="00845087"/>
    <w:rsid w:val="00845651"/>
    <w:rsid w:val="00845918"/>
    <w:rsid w:val="00845B79"/>
    <w:rsid w:val="00845D30"/>
    <w:rsid w:val="00845D60"/>
    <w:rsid w:val="00845EB4"/>
    <w:rsid w:val="00845F1E"/>
    <w:rsid w:val="00845F1F"/>
    <w:rsid w:val="008464B7"/>
    <w:rsid w:val="008464C7"/>
    <w:rsid w:val="008468A3"/>
    <w:rsid w:val="008468CC"/>
    <w:rsid w:val="008469E8"/>
    <w:rsid w:val="00846B10"/>
    <w:rsid w:val="00846F26"/>
    <w:rsid w:val="00846F80"/>
    <w:rsid w:val="008471D6"/>
    <w:rsid w:val="008474D9"/>
    <w:rsid w:val="0084752A"/>
    <w:rsid w:val="00847596"/>
    <w:rsid w:val="00847734"/>
    <w:rsid w:val="00847878"/>
    <w:rsid w:val="0084792B"/>
    <w:rsid w:val="00847947"/>
    <w:rsid w:val="008479B0"/>
    <w:rsid w:val="00847BB6"/>
    <w:rsid w:val="00847E23"/>
    <w:rsid w:val="00847E6E"/>
    <w:rsid w:val="00847EB7"/>
    <w:rsid w:val="008501EB"/>
    <w:rsid w:val="008503A9"/>
    <w:rsid w:val="008504DD"/>
    <w:rsid w:val="008504FA"/>
    <w:rsid w:val="00850717"/>
    <w:rsid w:val="00850AEB"/>
    <w:rsid w:val="00850C1C"/>
    <w:rsid w:val="00850D1D"/>
    <w:rsid w:val="00851086"/>
    <w:rsid w:val="0085153B"/>
    <w:rsid w:val="008517BD"/>
    <w:rsid w:val="00851B0A"/>
    <w:rsid w:val="00852034"/>
    <w:rsid w:val="008521A0"/>
    <w:rsid w:val="00852202"/>
    <w:rsid w:val="008522FA"/>
    <w:rsid w:val="00852786"/>
    <w:rsid w:val="00852B85"/>
    <w:rsid w:val="00852CF1"/>
    <w:rsid w:val="00852F61"/>
    <w:rsid w:val="008531BE"/>
    <w:rsid w:val="0085328E"/>
    <w:rsid w:val="00853303"/>
    <w:rsid w:val="008533D2"/>
    <w:rsid w:val="00853895"/>
    <w:rsid w:val="00853957"/>
    <w:rsid w:val="0085415C"/>
    <w:rsid w:val="0085439E"/>
    <w:rsid w:val="00854646"/>
    <w:rsid w:val="00854673"/>
    <w:rsid w:val="00854973"/>
    <w:rsid w:val="00854B3D"/>
    <w:rsid w:val="00854CCC"/>
    <w:rsid w:val="00854F30"/>
    <w:rsid w:val="00855114"/>
    <w:rsid w:val="0085525F"/>
    <w:rsid w:val="008552A1"/>
    <w:rsid w:val="00855503"/>
    <w:rsid w:val="0085552E"/>
    <w:rsid w:val="00855578"/>
    <w:rsid w:val="00855593"/>
    <w:rsid w:val="008556EF"/>
    <w:rsid w:val="00855776"/>
    <w:rsid w:val="00855B50"/>
    <w:rsid w:val="00855D05"/>
    <w:rsid w:val="00855D33"/>
    <w:rsid w:val="008561E4"/>
    <w:rsid w:val="008565ED"/>
    <w:rsid w:val="0085680B"/>
    <w:rsid w:val="0085691B"/>
    <w:rsid w:val="00856BDF"/>
    <w:rsid w:val="00857041"/>
    <w:rsid w:val="0085705B"/>
    <w:rsid w:val="00857786"/>
    <w:rsid w:val="00857939"/>
    <w:rsid w:val="008579B8"/>
    <w:rsid w:val="00857D61"/>
    <w:rsid w:val="00857FC6"/>
    <w:rsid w:val="008603D0"/>
    <w:rsid w:val="0086079C"/>
    <w:rsid w:val="008608AE"/>
    <w:rsid w:val="008608EB"/>
    <w:rsid w:val="00860C27"/>
    <w:rsid w:val="00860DD1"/>
    <w:rsid w:val="00860E04"/>
    <w:rsid w:val="0086117E"/>
    <w:rsid w:val="0086127D"/>
    <w:rsid w:val="00861294"/>
    <w:rsid w:val="0086132C"/>
    <w:rsid w:val="00861551"/>
    <w:rsid w:val="00861592"/>
    <w:rsid w:val="00861635"/>
    <w:rsid w:val="008618F7"/>
    <w:rsid w:val="00861971"/>
    <w:rsid w:val="00861C06"/>
    <w:rsid w:val="00861D5D"/>
    <w:rsid w:val="00861E5C"/>
    <w:rsid w:val="00861F7E"/>
    <w:rsid w:val="008621D4"/>
    <w:rsid w:val="00862594"/>
    <w:rsid w:val="008625F9"/>
    <w:rsid w:val="0086270E"/>
    <w:rsid w:val="00862786"/>
    <w:rsid w:val="0086284D"/>
    <w:rsid w:val="0086291A"/>
    <w:rsid w:val="00862A06"/>
    <w:rsid w:val="00862C50"/>
    <w:rsid w:val="00862D7F"/>
    <w:rsid w:val="00862D97"/>
    <w:rsid w:val="00863190"/>
    <w:rsid w:val="0086342C"/>
    <w:rsid w:val="0086366F"/>
    <w:rsid w:val="00863675"/>
    <w:rsid w:val="0086379E"/>
    <w:rsid w:val="00863A3D"/>
    <w:rsid w:val="00863E72"/>
    <w:rsid w:val="00863F13"/>
    <w:rsid w:val="008644A0"/>
    <w:rsid w:val="008645D7"/>
    <w:rsid w:val="00864678"/>
    <w:rsid w:val="00864682"/>
    <w:rsid w:val="008646AC"/>
    <w:rsid w:val="008648EF"/>
    <w:rsid w:val="008649C2"/>
    <w:rsid w:val="00864AFA"/>
    <w:rsid w:val="008650C5"/>
    <w:rsid w:val="00865181"/>
    <w:rsid w:val="008651D1"/>
    <w:rsid w:val="008651F1"/>
    <w:rsid w:val="008655B0"/>
    <w:rsid w:val="00865E46"/>
    <w:rsid w:val="00865E7C"/>
    <w:rsid w:val="00865F8B"/>
    <w:rsid w:val="00865FB6"/>
    <w:rsid w:val="00866219"/>
    <w:rsid w:val="00866305"/>
    <w:rsid w:val="00866411"/>
    <w:rsid w:val="00866518"/>
    <w:rsid w:val="00866796"/>
    <w:rsid w:val="0086685D"/>
    <w:rsid w:val="008668C1"/>
    <w:rsid w:val="00866D38"/>
    <w:rsid w:val="00866D66"/>
    <w:rsid w:val="00866F09"/>
    <w:rsid w:val="0086704E"/>
    <w:rsid w:val="00867183"/>
    <w:rsid w:val="008673B6"/>
    <w:rsid w:val="008677CF"/>
    <w:rsid w:val="00867974"/>
    <w:rsid w:val="00867AEC"/>
    <w:rsid w:val="00867C13"/>
    <w:rsid w:val="00867C6A"/>
    <w:rsid w:val="00867CB7"/>
    <w:rsid w:val="00867D79"/>
    <w:rsid w:val="00867E10"/>
    <w:rsid w:val="00867EA1"/>
    <w:rsid w:val="00867F14"/>
    <w:rsid w:val="00870552"/>
    <w:rsid w:val="00870B3C"/>
    <w:rsid w:val="00870C8F"/>
    <w:rsid w:val="00870FB2"/>
    <w:rsid w:val="008712E4"/>
    <w:rsid w:val="00871403"/>
    <w:rsid w:val="00871519"/>
    <w:rsid w:val="00871B68"/>
    <w:rsid w:val="00871E46"/>
    <w:rsid w:val="0087225D"/>
    <w:rsid w:val="00872579"/>
    <w:rsid w:val="0087299B"/>
    <w:rsid w:val="00872A98"/>
    <w:rsid w:val="00872B4F"/>
    <w:rsid w:val="008730EF"/>
    <w:rsid w:val="00873417"/>
    <w:rsid w:val="00873653"/>
    <w:rsid w:val="00873796"/>
    <w:rsid w:val="0087392C"/>
    <w:rsid w:val="00873C8F"/>
    <w:rsid w:val="00873F02"/>
    <w:rsid w:val="00873F66"/>
    <w:rsid w:val="00873FA8"/>
    <w:rsid w:val="008742B5"/>
    <w:rsid w:val="0087458D"/>
    <w:rsid w:val="0087467D"/>
    <w:rsid w:val="00874741"/>
    <w:rsid w:val="00874BD4"/>
    <w:rsid w:val="00874CD6"/>
    <w:rsid w:val="00875270"/>
    <w:rsid w:val="008752FB"/>
    <w:rsid w:val="0087537F"/>
    <w:rsid w:val="00875424"/>
    <w:rsid w:val="00875537"/>
    <w:rsid w:val="0087587F"/>
    <w:rsid w:val="00875BB4"/>
    <w:rsid w:val="00875BF1"/>
    <w:rsid w:val="00875F4F"/>
    <w:rsid w:val="00876161"/>
    <w:rsid w:val="008764DF"/>
    <w:rsid w:val="0087682A"/>
    <w:rsid w:val="00876C4A"/>
    <w:rsid w:val="00877480"/>
    <w:rsid w:val="00877898"/>
    <w:rsid w:val="00877976"/>
    <w:rsid w:val="008779BD"/>
    <w:rsid w:val="008779E1"/>
    <w:rsid w:val="00877B0C"/>
    <w:rsid w:val="00877DF9"/>
    <w:rsid w:val="00877F31"/>
    <w:rsid w:val="00877FCF"/>
    <w:rsid w:val="008800CD"/>
    <w:rsid w:val="00880209"/>
    <w:rsid w:val="0088029A"/>
    <w:rsid w:val="008802D1"/>
    <w:rsid w:val="00880727"/>
    <w:rsid w:val="008809A4"/>
    <w:rsid w:val="008809E0"/>
    <w:rsid w:val="00880F34"/>
    <w:rsid w:val="00881183"/>
    <w:rsid w:val="00881317"/>
    <w:rsid w:val="008813B0"/>
    <w:rsid w:val="008819B1"/>
    <w:rsid w:val="00881A62"/>
    <w:rsid w:val="00881DF3"/>
    <w:rsid w:val="00881E99"/>
    <w:rsid w:val="00881ECD"/>
    <w:rsid w:val="008825AD"/>
    <w:rsid w:val="008826A0"/>
    <w:rsid w:val="008826D1"/>
    <w:rsid w:val="00882E77"/>
    <w:rsid w:val="00882F59"/>
    <w:rsid w:val="0088314F"/>
    <w:rsid w:val="0088338C"/>
    <w:rsid w:val="00883610"/>
    <w:rsid w:val="0088367B"/>
    <w:rsid w:val="008839CA"/>
    <w:rsid w:val="00883CF5"/>
    <w:rsid w:val="00883DDE"/>
    <w:rsid w:val="00884540"/>
    <w:rsid w:val="008846F8"/>
    <w:rsid w:val="0088476A"/>
    <w:rsid w:val="0088484A"/>
    <w:rsid w:val="008848D1"/>
    <w:rsid w:val="00884C25"/>
    <w:rsid w:val="00884C8F"/>
    <w:rsid w:val="00884EA0"/>
    <w:rsid w:val="00885052"/>
    <w:rsid w:val="00885332"/>
    <w:rsid w:val="00885478"/>
    <w:rsid w:val="00885747"/>
    <w:rsid w:val="00885CF1"/>
    <w:rsid w:val="00885F87"/>
    <w:rsid w:val="008862BD"/>
    <w:rsid w:val="008866FA"/>
    <w:rsid w:val="008868E4"/>
    <w:rsid w:val="00886D42"/>
    <w:rsid w:val="00886F2D"/>
    <w:rsid w:val="00887118"/>
    <w:rsid w:val="00887849"/>
    <w:rsid w:val="008878C1"/>
    <w:rsid w:val="008879C0"/>
    <w:rsid w:val="00887BEC"/>
    <w:rsid w:val="00887DB8"/>
    <w:rsid w:val="00887F51"/>
    <w:rsid w:val="00890224"/>
    <w:rsid w:val="00890363"/>
    <w:rsid w:val="00890AC3"/>
    <w:rsid w:val="00890B51"/>
    <w:rsid w:val="00890DBC"/>
    <w:rsid w:val="00891022"/>
    <w:rsid w:val="00891085"/>
    <w:rsid w:val="0089143C"/>
    <w:rsid w:val="00891607"/>
    <w:rsid w:val="00891C19"/>
    <w:rsid w:val="00891C6D"/>
    <w:rsid w:val="00891D94"/>
    <w:rsid w:val="00891E87"/>
    <w:rsid w:val="00892615"/>
    <w:rsid w:val="00892785"/>
    <w:rsid w:val="00892799"/>
    <w:rsid w:val="008927EB"/>
    <w:rsid w:val="00892C20"/>
    <w:rsid w:val="00892D98"/>
    <w:rsid w:val="0089300E"/>
    <w:rsid w:val="0089310D"/>
    <w:rsid w:val="0089340A"/>
    <w:rsid w:val="00893455"/>
    <w:rsid w:val="00893DA5"/>
    <w:rsid w:val="00893E64"/>
    <w:rsid w:val="0089411D"/>
    <w:rsid w:val="0089425B"/>
    <w:rsid w:val="008942BB"/>
    <w:rsid w:val="008946E1"/>
    <w:rsid w:val="00894914"/>
    <w:rsid w:val="00894C96"/>
    <w:rsid w:val="00894FED"/>
    <w:rsid w:val="008951F3"/>
    <w:rsid w:val="008957A2"/>
    <w:rsid w:val="00895800"/>
    <w:rsid w:val="00895B16"/>
    <w:rsid w:val="00895B41"/>
    <w:rsid w:val="00895BE8"/>
    <w:rsid w:val="00895E74"/>
    <w:rsid w:val="00896105"/>
    <w:rsid w:val="00896268"/>
    <w:rsid w:val="00896990"/>
    <w:rsid w:val="00896BCA"/>
    <w:rsid w:val="00896D6E"/>
    <w:rsid w:val="00896DC1"/>
    <w:rsid w:val="00897071"/>
    <w:rsid w:val="0089710B"/>
    <w:rsid w:val="008971C4"/>
    <w:rsid w:val="00897560"/>
    <w:rsid w:val="0089774C"/>
    <w:rsid w:val="00897A7E"/>
    <w:rsid w:val="00897EA0"/>
    <w:rsid w:val="00897FD0"/>
    <w:rsid w:val="008A0063"/>
    <w:rsid w:val="008A033B"/>
    <w:rsid w:val="008A0399"/>
    <w:rsid w:val="008A046B"/>
    <w:rsid w:val="008A04B2"/>
    <w:rsid w:val="008A04B7"/>
    <w:rsid w:val="008A06BD"/>
    <w:rsid w:val="008A07B0"/>
    <w:rsid w:val="008A0ADC"/>
    <w:rsid w:val="008A0F6F"/>
    <w:rsid w:val="008A127A"/>
    <w:rsid w:val="008A1521"/>
    <w:rsid w:val="008A1582"/>
    <w:rsid w:val="008A190A"/>
    <w:rsid w:val="008A1E8E"/>
    <w:rsid w:val="008A212B"/>
    <w:rsid w:val="008A22F0"/>
    <w:rsid w:val="008A29EF"/>
    <w:rsid w:val="008A2B20"/>
    <w:rsid w:val="008A2FBB"/>
    <w:rsid w:val="008A302B"/>
    <w:rsid w:val="008A3315"/>
    <w:rsid w:val="008A3492"/>
    <w:rsid w:val="008A34F2"/>
    <w:rsid w:val="008A3615"/>
    <w:rsid w:val="008A3BC9"/>
    <w:rsid w:val="008A3D4F"/>
    <w:rsid w:val="008A3F20"/>
    <w:rsid w:val="008A411F"/>
    <w:rsid w:val="008A415E"/>
    <w:rsid w:val="008A4211"/>
    <w:rsid w:val="008A4397"/>
    <w:rsid w:val="008A440B"/>
    <w:rsid w:val="008A4473"/>
    <w:rsid w:val="008A4AF2"/>
    <w:rsid w:val="008A4CEB"/>
    <w:rsid w:val="008A4E40"/>
    <w:rsid w:val="008A4EB7"/>
    <w:rsid w:val="008A4F22"/>
    <w:rsid w:val="008A51A5"/>
    <w:rsid w:val="008A52D4"/>
    <w:rsid w:val="008A55B7"/>
    <w:rsid w:val="008A57D7"/>
    <w:rsid w:val="008A58E8"/>
    <w:rsid w:val="008A59A1"/>
    <w:rsid w:val="008A5A17"/>
    <w:rsid w:val="008A5A80"/>
    <w:rsid w:val="008A5B0B"/>
    <w:rsid w:val="008A5B6D"/>
    <w:rsid w:val="008A5BCF"/>
    <w:rsid w:val="008A5C0D"/>
    <w:rsid w:val="008A5DB3"/>
    <w:rsid w:val="008A5ED7"/>
    <w:rsid w:val="008A5FDC"/>
    <w:rsid w:val="008A6007"/>
    <w:rsid w:val="008A62A7"/>
    <w:rsid w:val="008A6468"/>
    <w:rsid w:val="008A64E3"/>
    <w:rsid w:val="008A64FB"/>
    <w:rsid w:val="008A6599"/>
    <w:rsid w:val="008A6602"/>
    <w:rsid w:val="008A68EE"/>
    <w:rsid w:val="008A6A54"/>
    <w:rsid w:val="008A6B81"/>
    <w:rsid w:val="008A6F77"/>
    <w:rsid w:val="008A74A9"/>
    <w:rsid w:val="008A7601"/>
    <w:rsid w:val="008A79C8"/>
    <w:rsid w:val="008A7B62"/>
    <w:rsid w:val="008A7BB7"/>
    <w:rsid w:val="008A7BCB"/>
    <w:rsid w:val="008B000B"/>
    <w:rsid w:val="008B0295"/>
    <w:rsid w:val="008B05E3"/>
    <w:rsid w:val="008B06B1"/>
    <w:rsid w:val="008B0703"/>
    <w:rsid w:val="008B07E1"/>
    <w:rsid w:val="008B0973"/>
    <w:rsid w:val="008B09AC"/>
    <w:rsid w:val="008B0CB1"/>
    <w:rsid w:val="008B1151"/>
    <w:rsid w:val="008B1192"/>
    <w:rsid w:val="008B11C9"/>
    <w:rsid w:val="008B13F3"/>
    <w:rsid w:val="008B1FC8"/>
    <w:rsid w:val="008B238A"/>
    <w:rsid w:val="008B2426"/>
    <w:rsid w:val="008B2999"/>
    <w:rsid w:val="008B2A5A"/>
    <w:rsid w:val="008B2D96"/>
    <w:rsid w:val="008B2D9C"/>
    <w:rsid w:val="008B2EEE"/>
    <w:rsid w:val="008B319F"/>
    <w:rsid w:val="008B356D"/>
    <w:rsid w:val="008B3640"/>
    <w:rsid w:val="008B37F8"/>
    <w:rsid w:val="008B38DF"/>
    <w:rsid w:val="008B3D13"/>
    <w:rsid w:val="008B3D33"/>
    <w:rsid w:val="008B3E62"/>
    <w:rsid w:val="008B3EB5"/>
    <w:rsid w:val="008B428E"/>
    <w:rsid w:val="008B42AD"/>
    <w:rsid w:val="008B42E3"/>
    <w:rsid w:val="008B431A"/>
    <w:rsid w:val="008B4500"/>
    <w:rsid w:val="008B45D8"/>
    <w:rsid w:val="008B4A8F"/>
    <w:rsid w:val="008B4DED"/>
    <w:rsid w:val="008B5225"/>
    <w:rsid w:val="008B52AB"/>
    <w:rsid w:val="008B5BC6"/>
    <w:rsid w:val="008B63A5"/>
    <w:rsid w:val="008B68B8"/>
    <w:rsid w:val="008B6979"/>
    <w:rsid w:val="008B6CD9"/>
    <w:rsid w:val="008B6F6A"/>
    <w:rsid w:val="008B7051"/>
    <w:rsid w:val="008B711F"/>
    <w:rsid w:val="008B74F0"/>
    <w:rsid w:val="008B7B81"/>
    <w:rsid w:val="008B7D45"/>
    <w:rsid w:val="008B7DA7"/>
    <w:rsid w:val="008B7F76"/>
    <w:rsid w:val="008C00A4"/>
    <w:rsid w:val="008C00D7"/>
    <w:rsid w:val="008C042D"/>
    <w:rsid w:val="008C04CA"/>
    <w:rsid w:val="008C0566"/>
    <w:rsid w:val="008C0571"/>
    <w:rsid w:val="008C0699"/>
    <w:rsid w:val="008C06DD"/>
    <w:rsid w:val="008C09F2"/>
    <w:rsid w:val="008C0A65"/>
    <w:rsid w:val="008C0AD7"/>
    <w:rsid w:val="008C0B80"/>
    <w:rsid w:val="008C0E0C"/>
    <w:rsid w:val="008C179F"/>
    <w:rsid w:val="008C1814"/>
    <w:rsid w:val="008C1816"/>
    <w:rsid w:val="008C19A7"/>
    <w:rsid w:val="008C1CF2"/>
    <w:rsid w:val="008C1EAF"/>
    <w:rsid w:val="008C1EF8"/>
    <w:rsid w:val="008C2124"/>
    <w:rsid w:val="008C2300"/>
    <w:rsid w:val="008C245D"/>
    <w:rsid w:val="008C2A1F"/>
    <w:rsid w:val="008C2AC5"/>
    <w:rsid w:val="008C2B3F"/>
    <w:rsid w:val="008C3140"/>
    <w:rsid w:val="008C3418"/>
    <w:rsid w:val="008C34B4"/>
    <w:rsid w:val="008C36AE"/>
    <w:rsid w:val="008C376A"/>
    <w:rsid w:val="008C391D"/>
    <w:rsid w:val="008C3CA8"/>
    <w:rsid w:val="008C40BC"/>
    <w:rsid w:val="008C42BC"/>
    <w:rsid w:val="008C4314"/>
    <w:rsid w:val="008C4329"/>
    <w:rsid w:val="008C4599"/>
    <w:rsid w:val="008C459A"/>
    <w:rsid w:val="008C45EA"/>
    <w:rsid w:val="008C4751"/>
    <w:rsid w:val="008C49E5"/>
    <w:rsid w:val="008C53A6"/>
    <w:rsid w:val="008C554E"/>
    <w:rsid w:val="008C5726"/>
    <w:rsid w:val="008C5962"/>
    <w:rsid w:val="008C59D5"/>
    <w:rsid w:val="008C59EF"/>
    <w:rsid w:val="008C5C29"/>
    <w:rsid w:val="008C5FB3"/>
    <w:rsid w:val="008C67E4"/>
    <w:rsid w:val="008C68BE"/>
    <w:rsid w:val="008C6A1D"/>
    <w:rsid w:val="008C6ACB"/>
    <w:rsid w:val="008C6B9B"/>
    <w:rsid w:val="008C6C28"/>
    <w:rsid w:val="008C6E25"/>
    <w:rsid w:val="008C6E38"/>
    <w:rsid w:val="008C6E90"/>
    <w:rsid w:val="008C6EB5"/>
    <w:rsid w:val="008C7085"/>
    <w:rsid w:val="008C70B1"/>
    <w:rsid w:val="008C7100"/>
    <w:rsid w:val="008C7149"/>
    <w:rsid w:val="008C71E8"/>
    <w:rsid w:val="008C737C"/>
    <w:rsid w:val="008C7632"/>
    <w:rsid w:val="008C7726"/>
    <w:rsid w:val="008C7864"/>
    <w:rsid w:val="008C7A92"/>
    <w:rsid w:val="008C7D2C"/>
    <w:rsid w:val="008C7DB4"/>
    <w:rsid w:val="008D002F"/>
    <w:rsid w:val="008D0055"/>
    <w:rsid w:val="008D04A9"/>
    <w:rsid w:val="008D0599"/>
    <w:rsid w:val="008D05DB"/>
    <w:rsid w:val="008D071F"/>
    <w:rsid w:val="008D079F"/>
    <w:rsid w:val="008D0A03"/>
    <w:rsid w:val="008D0C6F"/>
    <w:rsid w:val="008D102A"/>
    <w:rsid w:val="008D10B2"/>
    <w:rsid w:val="008D1244"/>
    <w:rsid w:val="008D1289"/>
    <w:rsid w:val="008D1409"/>
    <w:rsid w:val="008D1437"/>
    <w:rsid w:val="008D1884"/>
    <w:rsid w:val="008D190B"/>
    <w:rsid w:val="008D1D6B"/>
    <w:rsid w:val="008D20DD"/>
    <w:rsid w:val="008D221D"/>
    <w:rsid w:val="008D231D"/>
    <w:rsid w:val="008D23CF"/>
    <w:rsid w:val="008D2C4C"/>
    <w:rsid w:val="008D2D23"/>
    <w:rsid w:val="008D2EB9"/>
    <w:rsid w:val="008D3179"/>
    <w:rsid w:val="008D3492"/>
    <w:rsid w:val="008D367F"/>
    <w:rsid w:val="008D373C"/>
    <w:rsid w:val="008D3998"/>
    <w:rsid w:val="008D3BF1"/>
    <w:rsid w:val="008D40DC"/>
    <w:rsid w:val="008D4148"/>
    <w:rsid w:val="008D415B"/>
    <w:rsid w:val="008D43ED"/>
    <w:rsid w:val="008D46B5"/>
    <w:rsid w:val="008D4816"/>
    <w:rsid w:val="008D493D"/>
    <w:rsid w:val="008D4B1B"/>
    <w:rsid w:val="008D4D73"/>
    <w:rsid w:val="008D4E19"/>
    <w:rsid w:val="008D5069"/>
    <w:rsid w:val="008D50CF"/>
    <w:rsid w:val="008D5227"/>
    <w:rsid w:val="008D5280"/>
    <w:rsid w:val="008D5340"/>
    <w:rsid w:val="008D557F"/>
    <w:rsid w:val="008D5786"/>
    <w:rsid w:val="008D5794"/>
    <w:rsid w:val="008D5853"/>
    <w:rsid w:val="008D5A20"/>
    <w:rsid w:val="008D5F78"/>
    <w:rsid w:val="008D6410"/>
    <w:rsid w:val="008D64B0"/>
    <w:rsid w:val="008D6631"/>
    <w:rsid w:val="008D6856"/>
    <w:rsid w:val="008D7089"/>
    <w:rsid w:val="008D713A"/>
    <w:rsid w:val="008D7A34"/>
    <w:rsid w:val="008D7A62"/>
    <w:rsid w:val="008D7AF5"/>
    <w:rsid w:val="008D7BDE"/>
    <w:rsid w:val="008D7C15"/>
    <w:rsid w:val="008D7CB4"/>
    <w:rsid w:val="008E037B"/>
    <w:rsid w:val="008E067A"/>
    <w:rsid w:val="008E0A59"/>
    <w:rsid w:val="008E0AEC"/>
    <w:rsid w:val="008E0E03"/>
    <w:rsid w:val="008E1424"/>
    <w:rsid w:val="008E15CE"/>
    <w:rsid w:val="008E1698"/>
    <w:rsid w:val="008E178D"/>
    <w:rsid w:val="008E190E"/>
    <w:rsid w:val="008E1C90"/>
    <w:rsid w:val="008E1E70"/>
    <w:rsid w:val="008E2142"/>
    <w:rsid w:val="008E2192"/>
    <w:rsid w:val="008E21A5"/>
    <w:rsid w:val="008E22BE"/>
    <w:rsid w:val="008E2E22"/>
    <w:rsid w:val="008E2E80"/>
    <w:rsid w:val="008E37B8"/>
    <w:rsid w:val="008E3EC9"/>
    <w:rsid w:val="008E4293"/>
    <w:rsid w:val="008E4309"/>
    <w:rsid w:val="008E485E"/>
    <w:rsid w:val="008E4940"/>
    <w:rsid w:val="008E4991"/>
    <w:rsid w:val="008E4A5F"/>
    <w:rsid w:val="008E4AE4"/>
    <w:rsid w:val="008E4AFF"/>
    <w:rsid w:val="008E557A"/>
    <w:rsid w:val="008E57D6"/>
    <w:rsid w:val="008E58F8"/>
    <w:rsid w:val="008E58FF"/>
    <w:rsid w:val="008E5AE3"/>
    <w:rsid w:val="008E5FEE"/>
    <w:rsid w:val="008E60D4"/>
    <w:rsid w:val="008E6125"/>
    <w:rsid w:val="008E6399"/>
    <w:rsid w:val="008E658A"/>
    <w:rsid w:val="008E65FF"/>
    <w:rsid w:val="008E6793"/>
    <w:rsid w:val="008E69D2"/>
    <w:rsid w:val="008E6AAD"/>
    <w:rsid w:val="008E6C41"/>
    <w:rsid w:val="008E70A4"/>
    <w:rsid w:val="008E70F7"/>
    <w:rsid w:val="008E7352"/>
    <w:rsid w:val="008E7569"/>
    <w:rsid w:val="008E7656"/>
    <w:rsid w:val="008E76D9"/>
    <w:rsid w:val="008E775D"/>
    <w:rsid w:val="008E791A"/>
    <w:rsid w:val="008E7A92"/>
    <w:rsid w:val="008E7E02"/>
    <w:rsid w:val="008F0016"/>
    <w:rsid w:val="008F0287"/>
    <w:rsid w:val="008F0296"/>
    <w:rsid w:val="008F02CB"/>
    <w:rsid w:val="008F089F"/>
    <w:rsid w:val="008F08E0"/>
    <w:rsid w:val="008F0952"/>
    <w:rsid w:val="008F0A2E"/>
    <w:rsid w:val="008F0B98"/>
    <w:rsid w:val="008F0D3F"/>
    <w:rsid w:val="008F0D74"/>
    <w:rsid w:val="008F0E21"/>
    <w:rsid w:val="008F0EA1"/>
    <w:rsid w:val="008F12B3"/>
    <w:rsid w:val="008F1346"/>
    <w:rsid w:val="008F1391"/>
    <w:rsid w:val="008F18C8"/>
    <w:rsid w:val="008F18CA"/>
    <w:rsid w:val="008F1914"/>
    <w:rsid w:val="008F1A2F"/>
    <w:rsid w:val="008F1A7D"/>
    <w:rsid w:val="008F1BB6"/>
    <w:rsid w:val="008F20C3"/>
    <w:rsid w:val="008F2382"/>
    <w:rsid w:val="008F23D4"/>
    <w:rsid w:val="008F23EC"/>
    <w:rsid w:val="008F2492"/>
    <w:rsid w:val="008F24B9"/>
    <w:rsid w:val="008F2526"/>
    <w:rsid w:val="008F2598"/>
    <w:rsid w:val="008F274A"/>
    <w:rsid w:val="008F2922"/>
    <w:rsid w:val="008F299C"/>
    <w:rsid w:val="008F29EC"/>
    <w:rsid w:val="008F2F57"/>
    <w:rsid w:val="008F2F62"/>
    <w:rsid w:val="008F31B8"/>
    <w:rsid w:val="008F3448"/>
    <w:rsid w:val="008F3531"/>
    <w:rsid w:val="008F35DB"/>
    <w:rsid w:val="008F3861"/>
    <w:rsid w:val="008F3BF3"/>
    <w:rsid w:val="008F3F35"/>
    <w:rsid w:val="008F435B"/>
    <w:rsid w:val="008F47BB"/>
    <w:rsid w:val="008F482E"/>
    <w:rsid w:val="008F4B8D"/>
    <w:rsid w:val="008F4DD6"/>
    <w:rsid w:val="008F5225"/>
    <w:rsid w:val="008F577E"/>
    <w:rsid w:val="008F58A0"/>
    <w:rsid w:val="008F5D89"/>
    <w:rsid w:val="008F5DD9"/>
    <w:rsid w:val="008F6087"/>
    <w:rsid w:val="008F6153"/>
    <w:rsid w:val="008F63FC"/>
    <w:rsid w:val="008F643D"/>
    <w:rsid w:val="008F652A"/>
    <w:rsid w:val="008F652D"/>
    <w:rsid w:val="008F6BA1"/>
    <w:rsid w:val="008F6C65"/>
    <w:rsid w:val="008F6D4E"/>
    <w:rsid w:val="008F6D5D"/>
    <w:rsid w:val="008F6DA9"/>
    <w:rsid w:val="008F6E37"/>
    <w:rsid w:val="008F6EA2"/>
    <w:rsid w:val="008F706D"/>
    <w:rsid w:val="008F7397"/>
    <w:rsid w:val="008F74AC"/>
    <w:rsid w:val="008F761A"/>
    <w:rsid w:val="008F7686"/>
    <w:rsid w:val="008F7741"/>
    <w:rsid w:val="008F7809"/>
    <w:rsid w:val="008F78A4"/>
    <w:rsid w:val="008F79F5"/>
    <w:rsid w:val="008F79F9"/>
    <w:rsid w:val="008F7D46"/>
    <w:rsid w:val="008F7E3B"/>
    <w:rsid w:val="008F7F0E"/>
    <w:rsid w:val="0090000D"/>
    <w:rsid w:val="0090016B"/>
    <w:rsid w:val="009002A1"/>
    <w:rsid w:val="009003B9"/>
    <w:rsid w:val="00900578"/>
    <w:rsid w:val="009007A8"/>
    <w:rsid w:val="00900965"/>
    <w:rsid w:val="0090096C"/>
    <w:rsid w:val="00900CC3"/>
    <w:rsid w:val="00900CEA"/>
    <w:rsid w:val="00900F35"/>
    <w:rsid w:val="009010D6"/>
    <w:rsid w:val="00901254"/>
    <w:rsid w:val="00901286"/>
    <w:rsid w:val="009012C6"/>
    <w:rsid w:val="009012ED"/>
    <w:rsid w:val="00901312"/>
    <w:rsid w:val="0090135F"/>
    <w:rsid w:val="009013F9"/>
    <w:rsid w:val="009016A3"/>
    <w:rsid w:val="00901A4B"/>
    <w:rsid w:val="00901AA2"/>
    <w:rsid w:val="00901AA7"/>
    <w:rsid w:val="00901B4B"/>
    <w:rsid w:val="00901FA5"/>
    <w:rsid w:val="00901FF6"/>
    <w:rsid w:val="00902237"/>
    <w:rsid w:val="0090249C"/>
    <w:rsid w:val="009024ED"/>
    <w:rsid w:val="0090296F"/>
    <w:rsid w:val="00902996"/>
    <w:rsid w:val="00902A38"/>
    <w:rsid w:val="00902DBD"/>
    <w:rsid w:val="00902E3B"/>
    <w:rsid w:val="00902F35"/>
    <w:rsid w:val="00903468"/>
    <w:rsid w:val="009034EC"/>
    <w:rsid w:val="0090359A"/>
    <w:rsid w:val="009035B1"/>
    <w:rsid w:val="0090372A"/>
    <w:rsid w:val="00903C55"/>
    <w:rsid w:val="00903E95"/>
    <w:rsid w:val="00904184"/>
    <w:rsid w:val="009041FB"/>
    <w:rsid w:val="00904378"/>
    <w:rsid w:val="0090444B"/>
    <w:rsid w:val="009044CE"/>
    <w:rsid w:val="00904C5D"/>
    <w:rsid w:val="00904EEF"/>
    <w:rsid w:val="0090536C"/>
    <w:rsid w:val="00905668"/>
    <w:rsid w:val="009056AA"/>
    <w:rsid w:val="009056AF"/>
    <w:rsid w:val="009056C4"/>
    <w:rsid w:val="0090577C"/>
    <w:rsid w:val="009058BA"/>
    <w:rsid w:val="00905B6F"/>
    <w:rsid w:val="00905BD4"/>
    <w:rsid w:val="00905D71"/>
    <w:rsid w:val="00905E24"/>
    <w:rsid w:val="009060E8"/>
    <w:rsid w:val="009061CD"/>
    <w:rsid w:val="0090623B"/>
    <w:rsid w:val="00906304"/>
    <w:rsid w:val="0090633B"/>
    <w:rsid w:val="009063C4"/>
    <w:rsid w:val="0090660B"/>
    <w:rsid w:val="00906656"/>
    <w:rsid w:val="009067A8"/>
    <w:rsid w:val="009068DE"/>
    <w:rsid w:val="00906CB6"/>
    <w:rsid w:val="00906F45"/>
    <w:rsid w:val="009072A8"/>
    <w:rsid w:val="00907461"/>
    <w:rsid w:val="009074A1"/>
    <w:rsid w:val="009078B8"/>
    <w:rsid w:val="0090790D"/>
    <w:rsid w:val="00907AA2"/>
    <w:rsid w:val="00907AFE"/>
    <w:rsid w:val="00907B0C"/>
    <w:rsid w:val="00907CAD"/>
    <w:rsid w:val="00907FAD"/>
    <w:rsid w:val="00910410"/>
    <w:rsid w:val="00910582"/>
    <w:rsid w:val="00910837"/>
    <w:rsid w:val="00910B78"/>
    <w:rsid w:val="00910DB2"/>
    <w:rsid w:val="00910E88"/>
    <w:rsid w:val="00911383"/>
    <w:rsid w:val="009118AF"/>
    <w:rsid w:val="009118DF"/>
    <w:rsid w:val="00911A60"/>
    <w:rsid w:val="00911BDB"/>
    <w:rsid w:val="00911CDA"/>
    <w:rsid w:val="00911EB2"/>
    <w:rsid w:val="00912200"/>
    <w:rsid w:val="0091230F"/>
    <w:rsid w:val="00912385"/>
    <w:rsid w:val="00912FC1"/>
    <w:rsid w:val="00913067"/>
    <w:rsid w:val="009130F1"/>
    <w:rsid w:val="00913332"/>
    <w:rsid w:val="00913A1A"/>
    <w:rsid w:val="00913A74"/>
    <w:rsid w:val="00913BD3"/>
    <w:rsid w:val="00913DDE"/>
    <w:rsid w:val="009140AA"/>
    <w:rsid w:val="009142D1"/>
    <w:rsid w:val="009143EA"/>
    <w:rsid w:val="009147A1"/>
    <w:rsid w:val="00914881"/>
    <w:rsid w:val="00914A32"/>
    <w:rsid w:val="00914A66"/>
    <w:rsid w:val="00914AAE"/>
    <w:rsid w:val="00914F14"/>
    <w:rsid w:val="00915089"/>
    <w:rsid w:val="009153A7"/>
    <w:rsid w:val="00915668"/>
    <w:rsid w:val="009156E9"/>
    <w:rsid w:val="00915911"/>
    <w:rsid w:val="0091591C"/>
    <w:rsid w:val="00915D70"/>
    <w:rsid w:val="00916082"/>
    <w:rsid w:val="00916388"/>
    <w:rsid w:val="00916604"/>
    <w:rsid w:val="009166F3"/>
    <w:rsid w:val="009167A6"/>
    <w:rsid w:val="009168A8"/>
    <w:rsid w:val="00916B24"/>
    <w:rsid w:val="00916B8E"/>
    <w:rsid w:val="00916BEA"/>
    <w:rsid w:val="00916C76"/>
    <w:rsid w:val="00916E30"/>
    <w:rsid w:val="00917232"/>
    <w:rsid w:val="00917358"/>
    <w:rsid w:val="0091767E"/>
    <w:rsid w:val="00917763"/>
    <w:rsid w:val="00917ACE"/>
    <w:rsid w:val="00917C6C"/>
    <w:rsid w:val="00917F88"/>
    <w:rsid w:val="00920122"/>
    <w:rsid w:val="0092012D"/>
    <w:rsid w:val="00920461"/>
    <w:rsid w:val="00920495"/>
    <w:rsid w:val="00920837"/>
    <w:rsid w:val="0092087C"/>
    <w:rsid w:val="00920BBA"/>
    <w:rsid w:val="009210C2"/>
    <w:rsid w:val="00921115"/>
    <w:rsid w:val="00921185"/>
    <w:rsid w:val="009212FD"/>
    <w:rsid w:val="009215A6"/>
    <w:rsid w:val="009216B1"/>
    <w:rsid w:val="00921991"/>
    <w:rsid w:val="009226D4"/>
    <w:rsid w:val="00922838"/>
    <w:rsid w:val="00922842"/>
    <w:rsid w:val="00922BF4"/>
    <w:rsid w:val="00922E64"/>
    <w:rsid w:val="00922EA0"/>
    <w:rsid w:val="0092313B"/>
    <w:rsid w:val="00923200"/>
    <w:rsid w:val="00923274"/>
    <w:rsid w:val="00923D13"/>
    <w:rsid w:val="00923F70"/>
    <w:rsid w:val="00923F97"/>
    <w:rsid w:val="00924339"/>
    <w:rsid w:val="009243F0"/>
    <w:rsid w:val="009244BD"/>
    <w:rsid w:val="00924667"/>
    <w:rsid w:val="00924F12"/>
    <w:rsid w:val="00925235"/>
    <w:rsid w:val="00925353"/>
    <w:rsid w:val="009253F0"/>
    <w:rsid w:val="00925401"/>
    <w:rsid w:val="00925593"/>
    <w:rsid w:val="0092585A"/>
    <w:rsid w:val="009259AE"/>
    <w:rsid w:val="00925E53"/>
    <w:rsid w:val="00926015"/>
    <w:rsid w:val="0092626F"/>
    <w:rsid w:val="00926377"/>
    <w:rsid w:val="00926480"/>
    <w:rsid w:val="00926703"/>
    <w:rsid w:val="00926842"/>
    <w:rsid w:val="009268BC"/>
    <w:rsid w:val="00926BA7"/>
    <w:rsid w:val="00926E37"/>
    <w:rsid w:val="00926FD9"/>
    <w:rsid w:val="009276B0"/>
    <w:rsid w:val="009276D3"/>
    <w:rsid w:val="0093002D"/>
    <w:rsid w:val="00930239"/>
    <w:rsid w:val="009304B8"/>
    <w:rsid w:val="0093051C"/>
    <w:rsid w:val="00930627"/>
    <w:rsid w:val="009306F1"/>
    <w:rsid w:val="0093087F"/>
    <w:rsid w:val="00930E5E"/>
    <w:rsid w:val="00931067"/>
    <w:rsid w:val="009311CE"/>
    <w:rsid w:val="009313E3"/>
    <w:rsid w:val="00931405"/>
    <w:rsid w:val="00931636"/>
    <w:rsid w:val="0093163E"/>
    <w:rsid w:val="009316D8"/>
    <w:rsid w:val="00931705"/>
    <w:rsid w:val="009317D9"/>
    <w:rsid w:val="009319C1"/>
    <w:rsid w:val="00931B5F"/>
    <w:rsid w:val="00931C77"/>
    <w:rsid w:val="00931CA4"/>
    <w:rsid w:val="00931DA5"/>
    <w:rsid w:val="00931E4F"/>
    <w:rsid w:val="00932584"/>
    <w:rsid w:val="0093289F"/>
    <w:rsid w:val="009328EC"/>
    <w:rsid w:val="00932CE8"/>
    <w:rsid w:val="00932D65"/>
    <w:rsid w:val="00933472"/>
    <w:rsid w:val="00933590"/>
    <w:rsid w:val="009337D9"/>
    <w:rsid w:val="00933B27"/>
    <w:rsid w:val="00934375"/>
    <w:rsid w:val="00934791"/>
    <w:rsid w:val="0093479C"/>
    <w:rsid w:val="009349FF"/>
    <w:rsid w:val="00934A1D"/>
    <w:rsid w:val="00934EF8"/>
    <w:rsid w:val="00935018"/>
    <w:rsid w:val="009352AD"/>
    <w:rsid w:val="009352CE"/>
    <w:rsid w:val="0093537E"/>
    <w:rsid w:val="009354DE"/>
    <w:rsid w:val="009356CF"/>
    <w:rsid w:val="009357E8"/>
    <w:rsid w:val="009357E9"/>
    <w:rsid w:val="00935977"/>
    <w:rsid w:val="00935A04"/>
    <w:rsid w:val="00935CC3"/>
    <w:rsid w:val="00935D43"/>
    <w:rsid w:val="00935E55"/>
    <w:rsid w:val="009360D8"/>
    <w:rsid w:val="009369C7"/>
    <w:rsid w:val="00936B32"/>
    <w:rsid w:val="00937106"/>
    <w:rsid w:val="009374C5"/>
    <w:rsid w:val="00937760"/>
    <w:rsid w:val="0093788E"/>
    <w:rsid w:val="00937A59"/>
    <w:rsid w:val="00937C8D"/>
    <w:rsid w:val="009401FA"/>
    <w:rsid w:val="0094080F"/>
    <w:rsid w:val="00940879"/>
    <w:rsid w:val="009408C5"/>
    <w:rsid w:val="00940AAC"/>
    <w:rsid w:val="00941027"/>
    <w:rsid w:val="00941103"/>
    <w:rsid w:val="009418B5"/>
    <w:rsid w:val="00941BF5"/>
    <w:rsid w:val="00942395"/>
    <w:rsid w:val="009424F2"/>
    <w:rsid w:val="0094264A"/>
    <w:rsid w:val="009428DA"/>
    <w:rsid w:val="00942935"/>
    <w:rsid w:val="00942B18"/>
    <w:rsid w:val="00942B23"/>
    <w:rsid w:val="00942EDC"/>
    <w:rsid w:val="00942F98"/>
    <w:rsid w:val="0094355C"/>
    <w:rsid w:val="009437D0"/>
    <w:rsid w:val="00943B61"/>
    <w:rsid w:val="0094439D"/>
    <w:rsid w:val="0094452B"/>
    <w:rsid w:val="00944590"/>
    <w:rsid w:val="009445C0"/>
    <w:rsid w:val="0094489E"/>
    <w:rsid w:val="00944B68"/>
    <w:rsid w:val="00944BEC"/>
    <w:rsid w:val="00944C9A"/>
    <w:rsid w:val="00944E75"/>
    <w:rsid w:val="00944EF9"/>
    <w:rsid w:val="0094502F"/>
    <w:rsid w:val="0094506F"/>
    <w:rsid w:val="0094523F"/>
    <w:rsid w:val="0094541D"/>
    <w:rsid w:val="00945621"/>
    <w:rsid w:val="009456B2"/>
    <w:rsid w:val="009456EA"/>
    <w:rsid w:val="009457AB"/>
    <w:rsid w:val="0094581C"/>
    <w:rsid w:val="00945895"/>
    <w:rsid w:val="00945B1A"/>
    <w:rsid w:val="00945DC4"/>
    <w:rsid w:val="00945EDC"/>
    <w:rsid w:val="009460E8"/>
    <w:rsid w:val="009462EF"/>
    <w:rsid w:val="009463FF"/>
    <w:rsid w:val="0094644F"/>
    <w:rsid w:val="009465D7"/>
    <w:rsid w:val="00946758"/>
    <w:rsid w:val="00946AD2"/>
    <w:rsid w:val="00946D7D"/>
    <w:rsid w:val="009478BD"/>
    <w:rsid w:val="0094797E"/>
    <w:rsid w:val="009479D9"/>
    <w:rsid w:val="00947B73"/>
    <w:rsid w:val="00947D4E"/>
    <w:rsid w:val="00947DB7"/>
    <w:rsid w:val="009503B7"/>
    <w:rsid w:val="00950424"/>
    <w:rsid w:val="00950693"/>
    <w:rsid w:val="009506DA"/>
    <w:rsid w:val="0095097C"/>
    <w:rsid w:val="00950B24"/>
    <w:rsid w:val="00950E47"/>
    <w:rsid w:val="00950E6A"/>
    <w:rsid w:val="00951059"/>
    <w:rsid w:val="00951461"/>
    <w:rsid w:val="009515B7"/>
    <w:rsid w:val="0095162F"/>
    <w:rsid w:val="0095173F"/>
    <w:rsid w:val="00951897"/>
    <w:rsid w:val="009518A0"/>
    <w:rsid w:val="00951A88"/>
    <w:rsid w:val="00951C9A"/>
    <w:rsid w:val="009520BC"/>
    <w:rsid w:val="009520F7"/>
    <w:rsid w:val="0095218A"/>
    <w:rsid w:val="0095219C"/>
    <w:rsid w:val="009523DC"/>
    <w:rsid w:val="00953096"/>
    <w:rsid w:val="009530BD"/>
    <w:rsid w:val="0095339A"/>
    <w:rsid w:val="0095356D"/>
    <w:rsid w:val="00953867"/>
    <w:rsid w:val="00953883"/>
    <w:rsid w:val="00953B84"/>
    <w:rsid w:val="00953DCE"/>
    <w:rsid w:val="00953EC2"/>
    <w:rsid w:val="00953EDB"/>
    <w:rsid w:val="00953FBB"/>
    <w:rsid w:val="0095402E"/>
    <w:rsid w:val="009542AB"/>
    <w:rsid w:val="00954438"/>
    <w:rsid w:val="00954497"/>
    <w:rsid w:val="0095463C"/>
    <w:rsid w:val="009546C7"/>
    <w:rsid w:val="00954ADB"/>
    <w:rsid w:val="00954E5A"/>
    <w:rsid w:val="00955022"/>
    <w:rsid w:val="0095505F"/>
    <w:rsid w:val="009553E7"/>
    <w:rsid w:val="0095550F"/>
    <w:rsid w:val="009558CB"/>
    <w:rsid w:val="00955B79"/>
    <w:rsid w:val="00955C6A"/>
    <w:rsid w:val="00955DC2"/>
    <w:rsid w:val="00956209"/>
    <w:rsid w:val="0095669C"/>
    <w:rsid w:val="00956738"/>
    <w:rsid w:val="00956A52"/>
    <w:rsid w:val="00956A7F"/>
    <w:rsid w:val="00956C0E"/>
    <w:rsid w:val="00957147"/>
    <w:rsid w:val="009571CF"/>
    <w:rsid w:val="009571F5"/>
    <w:rsid w:val="00957554"/>
    <w:rsid w:val="0095766E"/>
    <w:rsid w:val="00957865"/>
    <w:rsid w:val="009579B3"/>
    <w:rsid w:val="00957BFC"/>
    <w:rsid w:val="0096011E"/>
    <w:rsid w:val="00960516"/>
    <w:rsid w:val="00960862"/>
    <w:rsid w:val="00960977"/>
    <w:rsid w:val="00960D12"/>
    <w:rsid w:val="00960F18"/>
    <w:rsid w:val="00961065"/>
    <w:rsid w:val="0096109A"/>
    <w:rsid w:val="0096116E"/>
    <w:rsid w:val="00961413"/>
    <w:rsid w:val="00961871"/>
    <w:rsid w:val="009618EC"/>
    <w:rsid w:val="00961A32"/>
    <w:rsid w:val="00962015"/>
    <w:rsid w:val="009621FA"/>
    <w:rsid w:val="0096225D"/>
    <w:rsid w:val="00962997"/>
    <w:rsid w:val="00962AC6"/>
    <w:rsid w:val="00962B3C"/>
    <w:rsid w:val="00962BBF"/>
    <w:rsid w:val="00962F13"/>
    <w:rsid w:val="00963085"/>
    <w:rsid w:val="00963195"/>
    <w:rsid w:val="009632F6"/>
    <w:rsid w:val="00963692"/>
    <w:rsid w:val="00963B44"/>
    <w:rsid w:val="00963EE9"/>
    <w:rsid w:val="00963F7C"/>
    <w:rsid w:val="00963FB7"/>
    <w:rsid w:val="0096431B"/>
    <w:rsid w:val="0096431C"/>
    <w:rsid w:val="00964366"/>
    <w:rsid w:val="009643CE"/>
    <w:rsid w:val="009645B7"/>
    <w:rsid w:val="00964BA5"/>
    <w:rsid w:val="00964C75"/>
    <w:rsid w:val="00964E8B"/>
    <w:rsid w:val="00965053"/>
    <w:rsid w:val="0096506B"/>
    <w:rsid w:val="00965270"/>
    <w:rsid w:val="009656A2"/>
    <w:rsid w:val="00965916"/>
    <w:rsid w:val="0096591B"/>
    <w:rsid w:val="00965AB7"/>
    <w:rsid w:val="00965DC9"/>
    <w:rsid w:val="009662EA"/>
    <w:rsid w:val="0096673B"/>
    <w:rsid w:val="009668C0"/>
    <w:rsid w:val="00966C2F"/>
    <w:rsid w:val="00966E49"/>
    <w:rsid w:val="00966F34"/>
    <w:rsid w:val="0096701F"/>
    <w:rsid w:val="009671A4"/>
    <w:rsid w:val="00967360"/>
    <w:rsid w:val="00967700"/>
    <w:rsid w:val="0096790C"/>
    <w:rsid w:val="00967B05"/>
    <w:rsid w:val="00967B91"/>
    <w:rsid w:val="00967DF9"/>
    <w:rsid w:val="00967E91"/>
    <w:rsid w:val="009700D9"/>
    <w:rsid w:val="009702EB"/>
    <w:rsid w:val="00970595"/>
    <w:rsid w:val="0097074A"/>
    <w:rsid w:val="00970782"/>
    <w:rsid w:val="009708E8"/>
    <w:rsid w:val="00970AE3"/>
    <w:rsid w:val="00970B89"/>
    <w:rsid w:val="00970E92"/>
    <w:rsid w:val="00970F9E"/>
    <w:rsid w:val="00970FBA"/>
    <w:rsid w:val="0097133E"/>
    <w:rsid w:val="00971C0D"/>
    <w:rsid w:val="00971C59"/>
    <w:rsid w:val="00971C92"/>
    <w:rsid w:val="00971F1B"/>
    <w:rsid w:val="009720B3"/>
    <w:rsid w:val="0097214A"/>
    <w:rsid w:val="0097216A"/>
    <w:rsid w:val="0097224B"/>
    <w:rsid w:val="009723ED"/>
    <w:rsid w:val="00972583"/>
    <w:rsid w:val="00972615"/>
    <w:rsid w:val="00972852"/>
    <w:rsid w:val="00972937"/>
    <w:rsid w:val="00972953"/>
    <w:rsid w:val="009729FE"/>
    <w:rsid w:val="00972A34"/>
    <w:rsid w:val="00972BE6"/>
    <w:rsid w:val="00972F7D"/>
    <w:rsid w:val="0097301F"/>
    <w:rsid w:val="0097339E"/>
    <w:rsid w:val="00973586"/>
    <w:rsid w:val="00973A68"/>
    <w:rsid w:val="00973AE0"/>
    <w:rsid w:val="00974023"/>
    <w:rsid w:val="00974139"/>
    <w:rsid w:val="009742B4"/>
    <w:rsid w:val="00974367"/>
    <w:rsid w:val="00974780"/>
    <w:rsid w:val="0097478C"/>
    <w:rsid w:val="00974BD7"/>
    <w:rsid w:val="00974CAB"/>
    <w:rsid w:val="00974CE8"/>
    <w:rsid w:val="00975413"/>
    <w:rsid w:val="00975463"/>
    <w:rsid w:val="00975616"/>
    <w:rsid w:val="00975676"/>
    <w:rsid w:val="00975A8B"/>
    <w:rsid w:val="00975C1A"/>
    <w:rsid w:val="00975EF8"/>
    <w:rsid w:val="00975F12"/>
    <w:rsid w:val="009766D3"/>
    <w:rsid w:val="00976913"/>
    <w:rsid w:val="00976DCD"/>
    <w:rsid w:val="00976E78"/>
    <w:rsid w:val="00977354"/>
    <w:rsid w:val="0097762E"/>
    <w:rsid w:val="00977669"/>
    <w:rsid w:val="009777C2"/>
    <w:rsid w:val="00977809"/>
    <w:rsid w:val="00977818"/>
    <w:rsid w:val="00977BA5"/>
    <w:rsid w:val="00977C67"/>
    <w:rsid w:val="00977CED"/>
    <w:rsid w:val="00977F0B"/>
    <w:rsid w:val="00977F7F"/>
    <w:rsid w:val="009801A2"/>
    <w:rsid w:val="0098024B"/>
    <w:rsid w:val="00980456"/>
    <w:rsid w:val="009804A0"/>
    <w:rsid w:val="0098084A"/>
    <w:rsid w:val="00980965"/>
    <w:rsid w:val="009809CD"/>
    <w:rsid w:val="00980A17"/>
    <w:rsid w:val="00980CAD"/>
    <w:rsid w:val="00980F8F"/>
    <w:rsid w:val="00981013"/>
    <w:rsid w:val="009815E3"/>
    <w:rsid w:val="00981B23"/>
    <w:rsid w:val="00982627"/>
    <w:rsid w:val="009826C2"/>
    <w:rsid w:val="00982741"/>
    <w:rsid w:val="00982A00"/>
    <w:rsid w:val="00982D7E"/>
    <w:rsid w:val="00982DED"/>
    <w:rsid w:val="009832DA"/>
    <w:rsid w:val="0098374C"/>
    <w:rsid w:val="00983868"/>
    <w:rsid w:val="0098399E"/>
    <w:rsid w:val="00983F27"/>
    <w:rsid w:val="0098411B"/>
    <w:rsid w:val="0098420B"/>
    <w:rsid w:val="00984470"/>
    <w:rsid w:val="00984622"/>
    <w:rsid w:val="00984624"/>
    <w:rsid w:val="00984903"/>
    <w:rsid w:val="00984A83"/>
    <w:rsid w:val="00984AF7"/>
    <w:rsid w:val="00984F9F"/>
    <w:rsid w:val="0098518F"/>
    <w:rsid w:val="0098519B"/>
    <w:rsid w:val="009851B9"/>
    <w:rsid w:val="00985345"/>
    <w:rsid w:val="0098534F"/>
    <w:rsid w:val="0098578A"/>
    <w:rsid w:val="00985804"/>
    <w:rsid w:val="00985ECD"/>
    <w:rsid w:val="00986426"/>
    <w:rsid w:val="009865FD"/>
    <w:rsid w:val="009866F7"/>
    <w:rsid w:val="00986A4A"/>
    <w:rsid w:val="00986CC6"/>
    <w:rsid w:val="00986DA5"/>
    <w:rsid w:val="00986FBC"/>
    <w:rsid w:val="009871A5"/>
    <w:rsid w:val="009873BB"/>
    <w:rsid w:val="00987428"/>
    <w:rsid w:val="00987475"/>
    <w:rsid w:val="009875EE"/>
    <w:rsid w:val="0098772D"/>
    <w:rsid w:val="0098777C"/>
    <w:rsid w:val="009879F6"/>
    <w:rsid w:val="00987A8A"/>
    <w:rsid w:val="00987B87"/>
    <w:rsid w:val="00987CF3"/>
    <w:rsid w:val="00987DC1"/>
    <w:rsid w:val="009900B5"/>
    <w:rsid w:val="0099056B"/>
    <w:rsid w:val="00990C9C"/>
    <w:rsid w:val="00990E00"/>
    <w:rsid w:val="00990E9C"/>
    <w:rsid w:val="00990F58"/>
    <w:rsid w:val="00990FB1"/>
    <w:rsid w:val="00991143"/>
    <w:rsid w:val="009913FD"/>
    <w:rsid w:val="00991613"/>
    <w:rsid w:val="00991875"/>
    <w:rsid w:val="00991C54"/>
    <w:rsid w:val="00991CFA"/>
    <w:rsid w:val="00991D19"/>
    <w:rsid w:val="00991D3C"/>
    <w:rsid w:val="009921CA"/>
    <w:rsid w:val="009922FF"/>
    <w:rsid w:val="00992A76"/>
    <w:rsid w:val="00992CD0"/>
    <w:rsid w:val="00992DCD"/>
    <w:rsid w:val="00993009"/>
    <w:rsid w:val="00993488"/>
    <w:rsid w:val="00993C2E"/>
    <w:rsid w:val="009941B6"/>
    <w:rsid w:val="009943D4"/>
    <w:rsid w:val="009946EF"/>
    <w:rsid w:val="0099485D"/>
    <w:rsid w:val="00994894"/>
    <w:rsid w:val="00994C17"/>
    <w:rsid w:val="00994D84"/>
    <w:rsid w:val="00994ECA"/>
    <w:rsid w:val="009952F9"/>
    <w:rsid w:val="00995433"/>
    <w:rsid w:val="00995674"/>
    <w:rsid w:val="00995BE1"/>
    <w:rsid w:val="00995C22"/>
    <w:rsid w:val="00995C9A"/>
    <w:rsid w:val="00995D5A"/>
    <w:rsid w:val="00995DDB"/>
    <w:rsid w:val="009961D1"/>
    <w:rsid w:val="009963DD"/>
    <w:rsid w:val="00996434"/>
    <w:rsid w:val="0099652F"/>
    <w:rsid w:val="009966FE"/>
    <w:rsid w:val="009967A8"/>
    <w:rsid w:val="009968B9"/>
    <w:rsid w:val="00996D20"/>
    <w:rsid w:val="00996DAE"/>
    <w:rsid w:val="0099734B"/>
    <w:rsid w:val="00997467"/>
    <w:rsid w:val="0099759B"/>
    <w:rsid w:val="00997AAF"/>
    <w:rsid w:val="00997D5F"/>
    <w:rsid w:val="00997F09"/>
    <w:rsid w:val="009A044B"/>
    <w:rsid w:val="009A06A9"/>
    <w:rsid w:val="009A096E"/>
    <w:rsid w:val="009A0A36"/>
    <w:rsid w:val="009A0D63"/>
    <w:rsid w:val="009A107E"/>
    <w:rsid w:val="009A1194"/>
    <w:rsid w:val="009A1579"/>
    <w:rsid w:val="009A1653"/>
    <w:rsid w:val="009A1665"/>
    <w:rsid w:val="009A17DA"/>
    <w:rsid w:val="009A17F0"/>
    <w:rsid w:val="009A1DBF"/>
    <w:rsid w:val="009A21B3"/>
    <w:rsid w:val="009A2570"/>
    <w:rsid w:val="009A26CA"/>
    <w:rsid w:val="009A26E0"/>
    <w:rsid w:val="009A2BD3"/>
    <w:rsid w:val="009A2D25"/>
    <w:rsid w:val="009A3043"/>
    <w:rsid w:val="009A312A"/>
    <w:rsid w:val="009A3248"/>
    <w:rsid w:val="009A329A"/>
    <w:rsid w:val="009A33DC"/>
    <w:rsid w:val="009A346C"/>
    <w:rsid w:val="009A36D2"/>
    <w:rsid w:val="009A3CBB"/>
    <w:rsid w:val="009A41B6"/>
    <w:rsid w:val="009A4247"/>
    <w:rsid w:val="009A436C"/>
    <w:rsid w:val="009A4771"/>
    <w:rsid w:val="009A48D4"/>
    <w:rsid w:val="009A48FC"/>
    <w:rsid w:val="009A4AB5"/>
    <w:rsid w:val="009A4B5D"/>
    <w:rsid w:val="009A4DB8"/>
    <w:rsid w:val="009A4F6F"/>
    <w:rsid w:val="009A50D9"/>
    <w:rsid w:val="009A56C5"/>
    <w:rsid w:val="009A580B"/>
    <w:rsid w:val="009A5925"/>
    <w:rsid w:val="009A599D"/>
    <w:rsid w:val="009A5E59"/>
    <w:rsid w:val="009A5EC1"/>
    <w:rsid w:val="009A6057"/>
    <w:rsid w:val="009A60B2"/>
    <w:rsid w:val="009A62F2"/>
    <w:rsid w:val="009A64DE"/>
    <w:rsid w:val="009A656A"/>
    <w:rsid w:val="009A69DA"/>
    <w:rsid w:val="009A6EDE"/>
    <w:rsid w:val="009A6F45"/>
    <w:rsid w:val="009A7373"/>
    <w:rsid w:val="009A7489"/>
    <w:rsid w:val="009A75A7"/>
    <w:rsid w:val="009A75BB"/>
    <w:rsid w:val="009A78DD"/>
    <w:rsid w:val="009A7DE7"/>
    <w:rsid w:val="009A7F06"/>
    <w:rsid w:val="009B008D"/>
    <w:rsid w:val="009B0223"/>
    <w:rsid w:val="009B02DC"/>
    <w:rsid w:val="009B07B7"/>
    <w:rsid w:val="009B08BF"/>
    <w:rsid w:val="009B0951"/>
    <w:rsid w:val="009B09B9"/>
    <w:rsid w:val="009B0D5D"/>
    <w:rsid w:val="009B0EE1"/>
    <w:rsid w:val="009B13F0"/>
    <w:rsid w:val="009B19D1"/>
    <w:rsid w:val="009B1B80"/>
    <w:rsid w:val="009B1C73"/>
    <w:rsid w:val="009B1DC8"/>
    <w:rsid w:val="009B1EB2"/>
    <w:rsid w:val="009B219B"/>
    <w:rsid w:val="009B22DE"/>
    <w:rsid w:val="009B23CE"/>
    <w:rsid w:val="009B2619"/>
    <w:rsid w:val="009B294D"/>
    <w:rsid w:val="009B2AA2"/>
    <w:rsid w:val="009B2BAF"/>
    <w:rsid w:val="009B2E89"/>
    <w:rsid w:val="009B3029"/>
    <w:rsid w:val="009B3202"/>
    <w:rsid w:val="009B3388"/>
    <w:rsid w:val="009B33A5"/>
    <w:rsid w:val="009B34C1"/>
    <w:rsid w:val="009B3812"/>
    <w:rsid w:val="009B3A6C"/>
    <w:rsid w:val="009B3BAC"/>
    <w:rsid w:val="009B3C5E"/>
    <w:rsid w:val="009B3FE9"/>
    <w:rsid w:val="009B40BC"/>
    <w:rsid w:val="009B423E"/>
    <w:rsid w:val="009B4382"/>
    <w:rsid w:val="009B45C9"/>
    <w:rsid w:val="009B4728"/>
    <w:rsid w:val="009B4779"/>
    <w:rsid w:val="009B480C"/>
    <w:rsid w:val="009B4A85"/>
    <w:rsid w:val="009B4A96"/>
    <w:rsid w:val="009B4B05"/>
    <w:rsid w:val="009B508F"/>
    <w:rsid w:val="009B50CD"/>
    <w:rsid w:val="009B52AA"/>
    <w:rsid w:val="009B6065"/>
    <w:rsid w:val="009B6447"/>
    <w:rsid w:val="009B65ED"/>
    <w:rsid w:val="009B68B2"/>
    <w:rsid w:val="009B6939"/>
    <w:rsid w:val="009B6DD4"/>
    <w:rsid w:val="009B6F12"/>
    <w:rsid w:val="009B701D"/>
    <w:rsid w:val="009B70D7"/>
    <w:rsid w:val="009B7210"/>
    <w:rsid w:val="009B776D"/>
    <w:rsid w:val="009B784D"/>
    <w:rsid w:val="009B79CA"/>
    <w:rsid w:val="009B7A0C"/>
    <w:rsid w:val="009B7AAC"/>
    <w:rsid w:val="009B7BB1"/>
    <w:rsid w:val="009C018F"/>
    <w:rsid w:val="009C02F2"/>
    <w:rsid w:val="009C03DE"/>
    <w:rsid w:val="009C03F7"/>
    <w:rsid w:val="009C0486"/>
    <w:rsid w:val="009C04C9"/>
    <w:rsid w:val="009C0E77"/>
    <w:rsid w:val="009C0FF2"/>
    <w:rsid w:val="009C1B36"/>
    <w:rsid w:val="009C1B99"/>
    <w:rsid w:val="009C1C23"/>
    <w:rsid w:val="009C1C2B"/>
    <w:rsid w:val="009C29CE"/>
    <w:rsid w:val="009C2CDC"/>
    <w:rsid w:val="009C2DBC"/>
    <w:rsid w:val="009C3070"/>
    <w:rsid w:val="009C333F"/>
    <w:rsid w:val="009C351E"/>
    <w:rsid w:val="009C36BD"/>
    <w:rsid w:val="009C3BD4"/>
    <w:rsid w:val="009C3EE1"/>
    <w:rsid w:val="009C43D2"/>
    <w:rsid w:val="009C4433"/>
    <w:rsid w:val="009C48A1"/>
    <w:rsid w:val="009C4AEB"/>
    <w:rsid w:val="009C4EF6"/>
    <w:rsid w:val="009C5044"/>
    <w:rsid w:val="009C532B"/>
    <w:rsid w:val="009C53AD"/>
    <w:rsid w:val="009C5443"/>
    <w:rsid w:val="009C57CA"/>
    <w:rsid w:val="009C5A12"/>
    <w:rsid w:val="009C5A68"/>
    <w:rsid w:val="009C5B3E"/>
    <w:rsid w:val="009C5F29"/>
    <w:rsid w:val="009C6148"/>
    <w:rsid w:val="009C6500"/>
    <w:rsid w:val="009C65CA"/>
    <w:rsid w:val="009C6692"/>
    <w:rsid w:val="009C6862"/>
    <w:rsid w:val="009C6AA7"/>
    <w:rsid w:val="009C6AAC"/>
    <w:rsid w:val="009C6AD5"/>
    <w:rsid w:val="009C6CBC"/>
    <w:rsid w:val="009C6EEF"/>
    <w:rsid w:val="009C7121"/>
    <w:rsid w:val="009C7131"/>
    <w:rsid w:val="009C7377"/>
    <w:rsid w:val="009C73F5"/>
    <w:rsid w:val="009C7B1F"/>
    <w:rsid w:val="009C7D79"/>
    <w:rsid w:val="009C7DDB"/>
    <w:rsid w:val="009D00A9"/>
    <w:rsid w:val="009D00BD"/>
    <w:rsid w:val="009D00D6"/>
    <w:rsid w:val="009D0144"/>
    <w:rsid w:val="009D0327"/>
    <w:rsid w:val="009D0463"/>
    <w:rsid w:val="009D0898"/>
    <w:rsid w:val="009D0CC4"/>
    <w:rsid w:val="009D1050"/>
    <w:rsid w:val="009D13B8"/>
    <w:rsid w:val="009D1474"/>
    <w:rsid w:val="009D154E"/>
    <w:rsid w:val="009D158C"/>
    <w:rsid w:val="009D1609"/>
    <w:rsid w:val="009D1629"/>
    <w:rsid w:val="009D169D"/>
    <w:rsid w:val="009D16E2"/>
    <w:rsid w:val="009D17FB"/>
    <w:rsid w:val="009D1AF5"/>
    <w:rsid w:val="009D1EDC"/>
    <w:rsid w:val="009D20BB"/>
    <w:rsid w:val="009D2315"/>
    <w:rsid w:val="009D262C"/>
    <w:rsid w:val="009D264D"/>
    <w:rsid w:val="009D267D"/>
    <w:rsid w:val="009D26B3"/>
    <w:rsid w:val="009D2768"/>
    <w:rsid w:val="009D2775"/>
    <w:rsid w:val="009D2AFF"/>
    <w:rsid w:val="009D2B29"/>
    <w:rsid w:val="009D2EF1"/>
    <w:rsid w:val="009D30B4"/>
    <w:rsid w:val="009D31A7"/>
    <w:rsid w:val="009D320C"/>
    <w:rsid w:val="009D3359"/>
    <w:rsid w:val="009D339A"/>
    <w:rsid w:val="009D3ED0"/>
    <w:rsid w:val="009D4244"/>
    <w:rsid w:val="009D4298"/>
    <w:rsid w:val="009D44D9"/>
    <w:rsid w:val="009D4507"/>
    <w:rsid w:val="009D46BE"/>
    <w:rsid w:val="009D4788"/>
    <w:rsid w:val="009D4982"/>
    <w:rsid w:val="009D4E78"/>
    <w:rsid w:val="009D5106"/>
    <w:rsid w:val="009D519D"/>
    <w:rsid w:val="009D525C"/>
    <w:rsid w:val="009D52A7"/>
    <w:rsid w:val="009D52B1"/>
    <w:rsid w:val="009D52EC"/>
    <w:rsid w:val="009D554A"/>
    <w:rsid w:val="009D5863"/>
    <w:rsid w:val="009D5CDE"/>
    <w:rsid w:val="009D5EA3"/>
    <w:rsid w:val="009D5F43"/>
    <w:rsid w:val="009D5F9E"/>
    <w:rsid w:val="009D6002"/>
    <w:rsid w:val="009D61C0"/>
    <w:rsid w:val="009D6311"/>
    <w:rsid w:val="009D63DC"/>
    <w:rsid w:val="009D646C"/>
    <w:rsid w:val="009D675B"/>
    <w:rsid w:val="009D67E7"/>
    <w:rsid w:val="009D67F1"/>
    <w:rsid w:val="009D6C47"/>
    <w:rsid w:val="009D6CA3"/>
    <w:rsid w:val="009D6ED3"/>
    <w:rsid w:val="009D6EFD"/>
    <w:rsid w:val="009D6FCE"/>
    <w:rsid w:val="009D70B7"/>
    <w:rsid w:val="009D729C"/>
    <w:rsid w:val="009D7564"/>
    <w:rsid w:val="009D7584"/>
    <w:rsid w:val="009D7AD4"/>
    <w:rsid w:val="009E08EF"/>
    <w:rsid w:val="009E09EC"/>
    <w:rsid w:val="009E0A5B"/>
    <w:rsid w:val="009E11F8"/>
    <w:rsid w:val="009E12ED"/>
    <w:rsid w:val="009E1963"/>
    <w:rsid w:val="009E1A72"/>
    <w:rsid w:val="009E1DF9"/>
    <w:rsid w:val="009E1E6D"/>
    <w:rsid w:val="009E20E3"/>
    <w:rsid w:val="009E22A7"/>
    <w:rsid w:val="009E22D8"/>
    <w:rsid w:val="009E2324"/>
    <w:rsid w:val="009E2589"/>
    <w:rsid w:val="009E2613"/>
    <w:rsid w:val="009E2755"/>
    <w:rsid w:val="009E2A4E"/>
    <w:rsid w:val="009E2C93"/>
    <w:rsid w:val="009E2D35"/>
    <w:rsid w:val="009E2F49"/>
    <w:rsid w:val="009E3022"/>
    <w:rsid w:val="009E31B1"/>
    <w:rsid w:val="009E31B2"/>
    <w:rsid w:val="009E31F2"/>
    <w:rsid w:val="009E31FC"/>
    <w:rsid w:val="009E3264"/>
    <w:rsid w:val="009E3400"/>
    <w:rsid w:val="009E34AB"/>
    <w:rsid w:val="009E3AEF"/>
    <w:rsid w:val="009E3FF1"/>
    <w:rsid w:val="009E3FF2"/>
    <w:rsid w:val="009E420D"/>
    <w:rsid w:val="009E44AE"/>
    <w:rsid w:val="009E44B1"/>
    <w:rsid w:val="009E4F1F"/>
    <w:rsid w:val="009E4F78"/>
    <w:rsid w:val="009E505E"/>
    <w:rsid w:val="009E50CD"/>
    <w:rsid w:val="009E52EE"/>
    <w:rsid w:val="009E55F2"/>
    <w:rsid w:val="009E560C"/>
    <w:rsid w:val="009E5A00"/>
    <w:rsid w:val="009E5A23"/>
    <w:rsid w:val="009E5B29"/>
    <w:rsid w:val="009E5B84"/>
    <w:rsid w:val="009E5D4A"/>
    <w:rsid w:val="009E60BE"/>
    <w:rsid w:val="009E6308"/>
    <w:rsid w:val="009E633C"/>
    <w:rsid w:val="009E63B8"/>
    <w:rsid w:val="009E66C0"/>
    <w:rsid w:val="009E6847"/>
    <w:rsid w:val="009E6A8C"/>
    <w:rsid w:val="009E6E38"/>
    <w:rsid w:val="009E6F6D"/>
    <w:rsid w:val="009E6FE4"/>
    <w:rsid w:val="009E70B6"/>
    <w:rsid w:val="009E70CE"/>
    <w:rsid w:val="009E70D9"/>
    <w:rsid w:val="009E718A"/>
    <w:rsid w:val="009E787E"/>
    <w:rsid w:val="009E7BD1"/>
    <w:rsid w:val="009E7C4F"/>
    <w:rsid w:val="009E7CB1"/>
    <w:rsid w:val="009E7D81"/>
    <w:rsid w:val="009E7F59"/>
    <w:rsid w:val="009F0F4E"/>
    <w:rsid w:val="009F1085"/>
    <w:rsid w:val="009F144F"/>
    <w:rsid w:val="009F1854"/>
    <w:rsid w:val="009F1A4C"/>
    <w:rsid w:val="009F1CAB"/>
    <w:rsid w:val="009F1DAE"/>
    <w:rsid w:val="009F22DA"/>
    <w:rsid w:val="009F2351"/>
    <w:rsid w:val="009F23F1"/>
    <w:rsid w:val="009F247B"/>
    <w:rsid w:val="009F267C"/>
    <w:rsid w:val="009F274B"/>
    <w:rsid w:val="009F2A84"/>
    <w:rsid w:val="009F2BBA"/>
    <w:rsid w:val="009F2CA8"/>
    <w:rsid w:val="009F2CC5"/>
    <w:rsid w:val="009F2CDC"/>
    <w:rsid w:val="009F2E18"/>
    <w:rsid w:val="009F2E45"/>
    <w:rsid w:val="009F2EF5"/>
    <w:rsid w:val="009F32AC"/>
    <w:rsid w:val="009F33F0"/>
    <w:rsid w:val="009F3646"/>
    <w:rsid w:val="009F3B42"/>
    <w:rsid w:val="009F3C53"/>
    <w:rsid w:val="009F3CF0"/>
    <w:rsid w:val="009F3E0B"/>
    <w:rsid w:val="009F414F"/>
    <w:rsid w:val="009F4244"/>
    <w:rsid w:val="009F4963"/>
    <w:rsid w:val="009F4982"/>
    <w:rsid w:val="009F4BDE"/>
    <w:rsid w:val="009F4D47"/>
    <w:rsid w:val="009F4ED0"/>
    <w:rsid w:val="009F50F1"/>
    <w:rsid w:val="009F514F"/>
    <w:rsid w:val="009F5268"/>
    <w:rsid w:val="009F54C1"/>
    <w:rsid w:val="009F5562"/>
    <w:rsid w:val="009F5BBB"/>
    <w:rsid w:val="009F5E6B"/>
    <w:rsid w:val="009F5EBE"/>
    <w:rsid w:val="009F5F2F"/>
    <w:rsid w:val="009F625D"/>
    <w:rsid w:val="009F65DC"/>
    <w:rsid w:val="009F6999"/>
    <w:rsid w:val="009F6C65"/>
    <w:rsid w:val="009F6E9C"/>
    <w:rsid w:val="009F6ED1"/>
    <w:rsid w:val="009F73D8"/>
    <w:rsid w:val="009F744F"/>
    <w:rsid w:val="009F7463"/>
    <w:rsid w:val="00A0009F"/>
    <w:rsid w:val="00A002B8"/>
    <w:rsid w:val="00A00752"/>
    <w:rsid w:val="00A007BB"/>
    <w:rsid w:val="00A009B1"/>
    <w:rsid w:val="00A009F1"/>
    <w:rsid w:val="00A00A25"/>
    <w:rsid w:val="00A00A76"/>
    <w:rsid w:val="00A00D7B"/>
    <w:rsid w:val="00A00DD9"/>
    <w:rsid w:val="00A01245"/>
    <w:rsid w:val="00A01466"/>
    <w:rsid w:val="00A014FD"/>
    <w:rsid w:val="00A017C6"/>
    <w:rsid w:val="00A01EEA"/>
    <w:rsid w:val="00A01F30"/>
    <w:rsid w:val="00A01F96"/>
    <w:rsid w:val="00A01FED"/>
    <w:rsid w:val="00A02259"/>
    <w:rsid w:val="00A0233A"/>
    <w:rsid w:val="00A024C4"/>
    <w:rsid w:val="00A0287C"/>
    <w:rsid w:val="00A03141"/>
    <w:rsid w:val="00A03328"/>
    <w:rsid w:val="00A033CA"/>
    <w:rsid w:val="00A033E9"/>
    <w:rsid w:val="00A03594"/>
    <w:rsid w:val="00A037DE"/>
    <w:rsid w:val="00A03A9C"/>
    <w:rsid w:val="00A03AC1"/>
    <w:rsid w:val="00A03CF3"/>
    <w:rsid w:val="00A03D15"/>
    <w:rsid w:val="00A040A0"/>
    <w:rsid w:val="00A04131"/>
    <w:rsid w:val="00A041F4"/>
    <w:rsid w:val="00A04702"/>
    <w:rsid w:val="00A0471B"/>
    <w:rsid w:val="00A0490B"/>
    <w:rsid w:val="00A04A02"/>
    <w:rsid w:val="00A04D28"/>
    <w:rsid w:val="00A05840"/>
    <w:rsid w:val="00A05B7C"/>
    <w:rsid w:val="00A05D6E"/>
    <w:rsid w:val="00A0602A"/>
    <w:rsid w:val="00A06395"/>
    <w:rsid w:val="00A06413"/>
    <w:rsid w:val="00A066A7"/>
    <w:rsid w:val="00A068CE"/>
    <w:rsid w:val="00A06A15"/>
    <w:rsid w:val="00A06B21"/>
    <w:rsid w:val="00A07153"/>
    <w:rsid w:val="00A07293"/>
    <w:rsid w:val="00A073A1"/>
    <w:rsid w:val="00A0765B"/>
    <w:rsid w:val="00A0778E"/>
    <w:rsid w:val="00A0799E"/>
    <w:rsid w:val="00A079DD"/>
    <w:rsid w:val="00A07A46"/>
    <w:rsid w:val="00A07A62"/>
    <w:rsid w:val="00A07BCA"/>
    <w:rsid w:val="00A07D90"/>
    <w:rsid w:val="00A07F76"/>
    <w:rsid w:val="00A07F9E"/>
    <w:rsid w:val="00A1012E"/>
    <w:rsid w:val="00A10174"/>
    <w:rsid w:val="00A10180"/>
    <w:rsid w:val="00A102AC"/>
    <w:rsid w:val="00A10673"/>
    <w:rsid w:val="00A10972"/>
    <w:rsid w:val="00A10E71"/>
    <w:rsid w:val="00A111FE"/>
    <w:rsid w:val="00A1124B"/>
    <w:rsid w:val="00A11BB5"/>
    <w:rsid w:val="00A11BFD"/>
    <w:rsid w:val="00A12068"/>
    <w:rsid w:val="00A120A7"/>
    <w:rsid w:val="00A121B0"/>
    <w:rsid w:val="00A122BC"/>
    <w:rsid w:val="00A122E7"/>
    <w:rsid w:val="00A1235D"/>
    <w:rsid w:val="00A1256E"/>
    <w:rsid w:val="00A128CC"/>
    <w:rsid w:val="00A12A33"/>
    <w:rsid w:val="00A12B83"/>
    <w:rsid w:val="00A12C78"/>
    <w:rsid w:val="00A12DD7"/>
    <w:rsid w:val="00A13153"/>
    <w:rsid w:val="00A13258"/>
    <w:rsid w:val="00A13412"/>
    <w:rsid w:val="00A136CD"/>
    <w:rsid w:val="00A136E6"/>
    <w:rsid w:val="00A13765"/>
    <w:rsid w:val="00A1382B"/>
    <w:rsid w:val="00A13976"/>
    <w:rsid w:val="00A13C48"/>
    <w:rsid w:val="00A13C54"/>
    <w:rsid w:val="00A13EF2"/>
    <w:rsid w:val="00A141AB"/>
    <w:rsid w:val="00A143F3"/>
    <w:rsid w:val="00A14648"/>
    <w:rsid w:val="00A148D8"/>
    <w:rsid w:val="00A14A5C"/>
    <w:rsid w:val="00A14B1B"/>
    <w:rsid w:val="00A14C64"/>
    <w:rsid w:val="00A14F19"/>
    <w:rsid w:val="00A150A8"/>
    <w:rsid w:val="00A152EA"/>
    <w:rsid w:val="00A15478"/>
    <w:rsid w:val="00A15643"/>
    <w:rsid w:val="00A158A0"/>
    <w:rsid w:val="00A15979"/>
    <w:rsid w:val="00A15A5D"/>
    <w:rsid w:val="00A15D64"/>
    <w:rsid w:val="00A16047"/>
    <w:rsid w:val="00A164E8"/>
    <w:rsid w:val="00A16A81"/>
    <w:rsid w:val="00A16E8D"/>
    <w:rsid w:val="00A17506"/>
    <w:rsid w:val="00A1788A"/>
    <w:rsid w:val="00A17DE0"/>
    <w:rsid w:val="00A17E54"/>
    <w:rsid w:val="00A20100"/>
    <w:rsid w:val="00A204F3"/>
    <w:rsid w:val="00A20532"/>
    <w:rsid w:val="00A205B7"/>
    <w:rsid w:val="00A20A0B"/>
    <w:rsid w:val="00A20A9F"/>
    <w:rsid w:val="00A20AF3"/>
    <w:rsid w:val="00A21042"/>
    <w:rsid w:val="00A21644"/>
    <w:rsid w:val="00A21892"/>
    <w:rsid w:val="00A21A22"/>
    <w:rsid w:val="00A21B3B"/>
    <w:rsid w:val="00A21C64"/>
    <w:rsid w:val="00A223AB"/>
    <w:rsid w:val="00A2294D"/>
    <w:rsid w:val="00A22BEB"/>
    <w:rsid w:val="00A22DE8"/>
    <w:rsid w:val="00A23240"/>
    <w:rsid w:val="00A23426"/>
    <w:rsid w:val="00A235A8"/>
    <w:rsid w:val="00A235ED"/>
    <w:rsid w:val="00A235F5"/>
    <w:rsid w:val="00A2367A"/>
    <w:rsid w:val="00A23C9F"/>
    <w:rsid w:val="00A23E68"/>
    <w:rsid w:val="00A2418D"/>
    <w:rsid w:val="00A2418F"/>
    <w:rsid w:val="00A2434F"/>
    <w:rsid w:val="00A24788"/>
    <w:rsid w:val="00A248EB"/>
    <w:rsid w:val="00A249C8"/>
    <w:rsid w:val="00A24A53"/>
    <w:rsid w:val="00A24A82"/>
    <w:rsid w:val="00A24A95"/>
    <w:rsid w:val="00A24E25"/>
    <w:rsid w:val="00A24F09"/>
    <w:rsid w:val="00A2502E"/>
    <w:rsid w:val="00A25363"/>
    <w:rsid w:val="00A2536A"/>
    <w:rsid w:val="00A253D2"/>
    <w:rsid w:val="00A25503"/>
    <w:rsid w:val="00A255AA"/>
    <w:rsid w:val="00A2590C"/>
    <w:rsid w:val="00A25D3C"/>
    <w:rsid w:val="00A25FD8"/>
    <w:rsid w:val="00A262FA"/>
    <w:rsid w:val="00A26314"/>
    <w:rsid w:val="00A26348"/>
    <w:rsid w:val="00A263A7"/>
    <w:rsid w:val="00A2657A"/>
    <w:rsid w:val="00A26654"/>
    <w:rsid w:val="00A2665D"/>
    <w:rsid w:val="00A26912"/>
    <w:rsid w:val="00A26B56"/>
    <w:rsid w:val="00A27012"/>
    <w:rsid w:val="00A27436"/>
    <w:rsid w:val="00A275ED"/>
    <w:rsid w:val="00A277B4"/>
    <w:rsid w:val="00A27A2B"/>
    <w:rsid w:val="00A27BDE"/>
    <w:rsid w:val="00A27C51"/>
    <w:rsid w:val="00A27E38"/>
    <w:rsid w:val="00A27EAC"/>
    <w:rsid w:val="00A27FEA"/>
    <w:rsid w:val="00A30188"/>
    <w:rsid w:val="00A302F4"/>
    <w:rsid w:val="00A302F6"/>
    <w:rsid w:val="00A30552"/>
    <w:rsid w:val="00A306DC"/>
    <w:rsid w:val="00A309C3"/>
    <w:rsid w:val="00A30C28"/>
    <w:rsid w:val="00A31138"/>
    <w:rsid w:val="00A31179"/>
    <w:rsid w:val="00A31357"/>
    <w:rsid w:val="00A31362"/>
    <w:rsid w:val="00A31591"/>
    <w:rsid w:val="00A3162C"/>
    <w:rsid w:val="00A31633"/>
    <w:rsid w:val="00A316E0"/>
    <w:rsid w:val="00A318A7"/>
    <w:rsid w:val="00A3196F"/>
    <w:rsid w:val="00A319E1"/>
    <w:rsid w:val="00A31E3B"/>
    <w:rsid w:val="00A31F29"/>
    <w:rsid w:val="00A31FFD"/>
    <w:rsid w:val="00A32677"/>
    <w:rsid w:val="00A326F7"/>
    <w:rsid w:val="00A32E1F"/>
    <w:rsid w:val="00A32E97"/>
    <w:rsid w:val="00A33319"/>
    <w:rsid w:val="00A33715"/>
    <w:rsid w:val="00A33A3E"/>
    <w:rsid w:val="00A33DCA"/>
    <w:rsid w:val="00A33E20"/>
    <w:rsid w:val="00A33E2C"/>
    <w:rsid w:val="00A33E57"/>
    <w:rsid w:val="00A34223"/>
    <w:rsid w:val="00A342AA"/>
    <w:rsid w:val="00A343F7"/>
    <w:rsid w:val="00A34499"/>
    <w:rsid w:val="00A34520"/>
    <w:rsid w:val="00A3499C"/>
    <w:rsid w:val="00A349B4"/>
    <w:rsid w:val="00A34DD7"/>
    <w:rsid w:val="00A34E59"/>
    <w:rsid w:val="00A353BB"/>
    <w:rsid w:val="00A3546A"/>
    <w:rsid w:val="00A3547C"/>
    <w:rsid w:val="00A3549C"/>
    <w:rsid w:val="00A354EE"/>
    <w:rsid w:val="00A35502"/>
    <w:rsid w:val="00A3567B"/>
    <w:rsid w:val="00A35F33"/>
    <w:rsid w:val="00A35FAC"/>
    <w:rsid w:val="00A36008"/>
    <w:rsid w:val="00A36732"/>
    <w:rsid w:val="00A36BE6"/>
    <w:rsid w:val="00A36BEF"/>
    <w:rsid w:val="00A36D50"/>
    <w:rsid w:val="00A36E9D"/>
    <w:rsid w:val="00A3722D"/>
    <w:rsid w:val="00A3728F"/>
    <w:rsid w:val="00A3742A"/>
    <w:rsid w:val="00A37C5C"/>
    <w:rsid w:val="00A40075"/>
    <w:rsid w:val="00A40448"/>
    <w:rsid w:val="00A405FD"/>
    <w:rsid w:val="00A40618"/>
    <w:rsid w:val="00A407B9"/>
    <w:rsid w:val="00A4149F"/>
    <w:rsid w:val="00A415A4"/>
    <w:rsid w:val="00A41822"/>
    <w:rsid w:val="00A41948"/>
    <w:rsid w:val="00A41A12"/>
    <w:rsid w:val="00A42699"/>
    <w:rsid w:val="00A431CB"/>
    <w:rsid w:val="00A43407"/>
    <w:rsid w:val="00A43434"/>
    <w:rsid w:val="00A43485"/>
    <w:rsid w:val="00A437FE"/>
    <w:rsid w:val="00A4397B"/>
    <w:rsid w:val="00A43A8B"/>
    <w:rsid w:val="00A43AD7"/>
    <w:rsid w:val="00A43C68"/>
    <w:rsid w:val="00A43E22"/>
    <w:rsid w:val="00A43EDF"/>
    <w:rsid w:val="00A44246"/>
    <w:rsid w:val="00A44342"/>
    <w:rsid w:val="00A4465B"/>
    <w:rsid w:val="00A446A1"/>
    <w:rsid w:val="00A44BD2"/>
    <w:rsid w:val="00A44D9D"/>
    <w:rsid w:val="00A44E58"/>
    <w:rsid w:val="00A44F26"/>
    <w:rsid w:val="00A455B9"/>
    <w:rsid w:val="00A45647"/>
    <w:rsid w:val="00A45AA7"/>
    <w:rsid w:val="00A45E09"/>
    <w:rsid w:val="00A45FA0"/>
    <w:rsid w:val="00A4663F"/>
    <w:rsid w:val="00A46B6E"/>
    <w:rsid w:val="00A47139"/>
    <w:rsid w:val="00A472EB"/>
    <w:rsid w:val="00A476E5"/>
    <w:rsid w:val="00A47708"/>
    <w:rsid w:val="00A47A3A"/>
    <w:rsid w:val="00A47C16"/>
    <w:rsid w:val="00A47E40"/>
    <w:rsid w:val="00A500D7"/>
    <w:rsid w:val="00A5024C"/>
    <w:rsid w:val="00A50283"/>
    <w:rsid w:val="00A503B8"/>
    <w:rsid w:val="00A508CF"/>
    <w:rsid w:val="00A50C1B"/>
    <w:rsid w:val="00A50DF4"/>
    <w:rsid w:val="00A51857"/>
    <w:rsid w:val="00A519D3"/>
    <w:rsid w:val="00A51BAB"/>
    <w:rsid w:val="00A51E0C"/>
    <w:rsid w:val="00A51ED0"/>
    <w:rsid w:val="00A520D1"/>
    <w:rsid w:val="00A52306"/>
    <w:rsid w:val="00A5238D"/>
    <w:rsid w:val="00A526BB"/>
    <w:rsid w:val="00A52CCF"/>
    <w:rsid w:val="00A53177"/>
    <w:rsid w:val="00A53284"/>
    <w:rsid w:val="00A533D4"/>
    <w:rsid w:val="00A53781"/>
    <w:rsid w:val="00A537B8"/>
    <w:rsid w:val="00A539AC"/>
    <w:rsid w:val="00A53A12"/>
    <w:rsid w:val="00A53AD7"/>
    <w:rsid w:val="00A53AFC"/>
    <w:rsid w:val="00A53D02"/>
    <w:rsid w:val="00A53DB3"/>
    <w:rsid w:val="00A53E9A"/>
    <w:rsid w:val="00A53FDC"/>
    <w:rsid w:val="00A54087"/>
    <w:rsid w:val="00A5420C"/>
    <w:rsid w:val="00A543C1"/>
    <w:rsid w:val="00A543C9"/>
    <w:rsid w:val="00A5453B"/>
    <w:rsid w:val="00A5457E"/>
    <w:rsid w:val="00A54EE1"/>
    <w:rsid w:val="00A55041"/>
    <w:rsid w:val="00A55047"/>
    <w:rsid w:val="00A550A7"/>
    <w:rsid w:val="00A55135"/>
    <w:rsid w:val="00A55251"/>
    <w:rsid w:val="00A55374"/>
    <w:rsid w:val="00A55C5A"/>
    <w:rsid w:val="00A55CCE"/>
    <w:rsid w:val="00A56040"/>
    <w:rsid w:val="00A56155"/>
    <w:rsid w:val="00A5626C"/>
    <w:rsid w:val="00A56313"/>
    <w:rsid w:val="00A565D4"/>
    <w:rsid w:val="00A565E9"/>
    <w:rsid w:val="00A56848"/>
    <w:rsid w:val="00A569BD"/>
    <w:rsid w:val="00A56B48"/>
    <w:rsid w:val="00A56D96"/>
    <w:rsid w:val="00A56EF9"/>
    <w:rsid w:val="00A570BE"/>
    <w:rsid w:val="00A57178"/>
    <w:rsid w:val="00A572A3"/>
    <w:rsid w:val="00A577AD"/>
    <w:rsid w:val="00A57979"/>
    <w:rsid w:val="00A57A32"/>
    <w:rsid w:val="00A6003B"/>
    <w:rsid w:val="00A6006A"/>
    <w:rsid w:val="00A602C2"/>
    <w:rsid w:val="00A60466"/>
    <w:rsid w:val="00A60688"/>
    <w:rsid w:val="00A60F91"/>
    <w:rsid w:val="00A611F8"/>
    <w:rsid w:val="00A6142B"/>
    <w:rsid w:val="00A61743"/>
    <w:rsid w:val="00A617AB"/>
    <w:rsid w:val="00A61EA6"/>
    <w:rsid w:val="00A61F2D"/>
    <w:rsid w:val="00A62001"/>
    <w:rsid w:val="00A62172"/>
    <w:rsid w:val="00A6223C"/>
    <w:rsid w:val="00A622A8"/>
    <w:rsid w:val="00A62497"/>
    <w:rsid w:val="00A624B3"/>
    <w:rsid w:val="00A62C0A"/>
    <w:rsid w:val="00A62EA2"/>
    <w:rsid w:val="00A62EA7"/>
    <w:rsid w:val="00A630F2"/>
    <w:rsid w:val="00A634C4"/>
    <w:rsid w:val="00A6369D"/>
    <w:rsid w:val="00A637B9"/>
    <w:rsid w:val="00A637EE"/>
    <w:rsid w:val="00A63BD1"/>
    <w:rsid w:val="00A63BFA"/>
    <w:rsid w:val="00A63C72"/>
    <w:rsid w:val="00A63CDC"/>
    <w:rsid w:val="00A6423C"/>
    <w:rsid w:val="00A642A9"/>
    <w:rsid w:val="00A646BD"/>
    <w:rsid w:val="00A64867"/>
    <w:rsid w:val="00A648DE"/>
    <w:rsid w:val="00A64A16"/>
    <w:rsid w:val="00A64C4A"/>
    <w:rsid w:val="00A64C73"/>
    <w:rsid w:val="00A6517F"/>
    <w:rsid w:val="00A651FB"/>
    <w:rsid w:val="00A65212"/>
    <w:rsid w:val="00A6573B"/>
    <w:rsid w:val="00A65919"/>
    <w:rsid w:val="00A65956"/>
    <w:rsid w:val="00A65A15"/>
    <w:rsid w:val="00A65A67"/>
    <w:rsid w:val="00A65D35"/>
    <w:rsid w:val="00A6653E"/>
    <w:rsid w:val="00A66624"/>
    <w:rsid w:val="00A66848"/>
    <w:rsid w:val="00A6687A"/>
    <w:rsid w:val="00A67351"/>
    <w:rsid w:val="00A674B5"/>
    <w:rsid w:val="00A674D2"/>
    <w:rsid w:val="00A67535"/>
    <w:rsid w:val="00A677DF"/>
    <w:rsid w:val="00A67D4E"/>
    <w:rsid w:val="00A67D7F"/>
    <w:rsid w:val="00A67DEE"/>
    <w:rsid w:val="00A70217"/>
    <w:rsid w:val="00A70559"/>
    <w:rsid w:val="00A70647"/>
    <w:rsid w:val="00A70656"/>
    <w:rsid w:val="00A70671"/>
    <w:rsid w:val="00A7079B"/>
    <w:rsid w:val="00A7097F"/>
    <w:rsid w:val="00A70DA7"/>
    <w:rsid w:val="00A713D2"/>
    <w:rsid w:val="00A713E5"/>
    <w:rsid w:val="00A71717"/>
    <w:rsid w:val="00A7178E"/>
    <w:rsid w:val="00A72136"/>
    <w:rsid w:val="00A72190"/>
    <w:rsid w:val="00A72216"/>
    <w:rsid w:val="00A72293"/>
    <w:rsid w:val="00A7250E"/>
    <w:rsid w:val="00A72526"/>
    <w:rsid w:val="00A72665"/>
    <w:rsid w:val="00A72837"/>
    <w:rsid w:val="00A72A43"/>
    <w:rsid w:val="00A72B36"/>
    <w:rsid w:val="00A72CE5"/>
    <w:rsid w:val="00A73289"/>
    <w:rsid w:val="00A733B7"/>
    <w:rsid w:val="00A73660"/>
    <w:rsid w:val="00A737C9"/>
    <w:rsid w:val="00A7383A"/>
    <w:rsid w:val="00A73A91"/>
    <w:rsid w:val="00A73D06"/>
    <w:rsid w:val="00A73E5B"/>
    <w:rsid w:val="00A7440A"/>
    <w:rsid w:val="00A74464"/>
    <w:rsid w:val="00A748C6"/>
    <w:rsid w:val="00A74B00"/>
    <w:rsid w:val="00A74C41"/>
    <w:rsid w:val="00A74DBF"/>
    <w:rsid w:val="00A74FB7"/>
    <w:rsid w:val="00A75025"/>
    <w:rsid w:val="00A75056"/>
    <w:rsid w:val="00A751C1"/>
    <w:rsid w:val="00A751CA"/>
    <w:rsid w:val="00A75338"/>
    <w:rsid w:val="00A7534B"/>
    <w:rsid w:val="00A754EF"/>
    <w:rsid w:val="00A75651"/>
    <w:rsid w:val="00A7576F"/>
    <w:rsid w:val="00A75784"/>
    <w:rsid w:val="00A759A3"/>
    <w:rsid w:val="00A75E3F"/>
    <w:rsid w:val="00A7608A"/>
    <w:rsid w:val="00A765EA"/>
    <w:rsid w:val="00A766A2"/>
    <w:rsid w:val="00A768D8"/>
    <w:rsid w:val="00A76D8C"/>
    <w:rsid w:val="00A76DDF"/>
    <w:rsid w:val="00A76EA3"/>
    <w:rsid w:val="00A76F64"/>
    <w:rsid w:val="00A770DB"/>
    <w:rsid w:val="00A77162"/>
    <w:rsid w:val="00A775F3"/>
    <w:rsid w:val="00A776E0"/>
    <w:rsid w:val="00A777EA"/>
    <w:rsid w:val="00A7784C"/>
    <w:rsid w:val="00A77C43"/>
    <w:rsid w:val="00A77F02"/>
    <w:rsid w:val="00A77F77"/>
    <w:rsid w:val="00A80039"/>
    <w:rsid w:val="00A800BC"/>
    <w:rsid w:val="00A800CB"/>
    <w:rsid w:val="00A80102"/>
    <w:rsid w:val="00A80194"/>
    <w:rsid w:val="00A80216"/>
    <w:rsid w:val="00A804A7"/>
    <w:rsid w:val="00A80670"/>
    <w:rsid w:val="00A80681"/>
    <w:rsid w:val="00A809F4"/>
    <w:rsid w:val="00A80A03"/>
    <w:rsid w:val="00A80BDB"/>
    <w:rsid w:val="00A80C2E"/>
    <w:rsid w:val="00A80CEB"/>
    <w:rsid w:val="00A80D38"/>
    <w:rsid w:val="00A8111B"/>
    <w:rsid w:val="00A811E4"/>
    <w:rsid w:val="00A814A1"/>
    <w:rsid w:val="00A81537"/>
    <w:rsid w:val="00A81ADB"/>
    <w:rsid w:val="00A81C5F"/>
    <w:rsid w:val="00A81CE8"/>
    <w:rsid w:val="00A81E27"/>
    <w:rsid w:val="00A81F09"/>
    <w:rsid w:val="00A81FB4"/>
    <w:rsid w:val="00A81FEE"/>
    <w:rsid w:val="00A8208B"/>
    <w:rsid w:val="00A820A1"/>
    <w:rsid w:val="00A82227"/>
    <w:rsid w:val="00A823C1"/>
    <w:rsid w:val="00A8278D"/>
    <w:rsid w:val="00A828CE"/>
    <w:rsid w:val="00A82A50"/>
    <w:rsid w:val="00A82F14"/>
    <w:rsid w:val="00A82FB7"/>
    <w:rsid w:val="00A83130"/>
    <w:rsid w:val="00A83147"/>
    <w:rsid w:val="00A83243"/>
    <w:rsid w:val="00A833D2"/>
    <w:rsid w:val="00A833D4"/>
    <w:rsid w:val="00A833ED"/>
    <w:rsid w:val="00A83454"/>
    <w:rsid w:val="00A836C4"/>
    <w:rsid w:val="00A836E8"/>
    <w:rsid w:val="00A837C8"/>
    <w:rsid w:val="00A83CB2"/>
    <w:rsid w:val="00A83CC7"/>
    <w:rsid w:val="00A83F4B"/>
    <w:rsid w:val="00A83FDB"/>
    <w:rsid w:val="00A8474A"/>
    <w:rsid w:val="00A8476F"/>
    <w:rsid w:val="00A8482B"/>
    <w:rsid w:val="00A84B72"/>
    <w:rsid w:val="00A84CC1"/>
    <w:rsid w:val="00A85541"/>
    <w:rsid w:val="00A856BE"/>
    <w:rsid w:val="00A85943"/>
    <w:rsid w:val="00A85A1B"/>
    <w:rsid w:val="00A85B0E"/>
    <w:rsid w:val="00A85EA4"/>
    <w:rsid w:val="00A85F36"/>
    <w:rsid w:val="00A86096"/>
    <w:rsid w:val="00A86525"/>
    <w:rsid w:val="00A86622"/>
    <w:rsid w:val="00A86965"/>
    <w:rsid w:val="00A86AC3"/>
    <w:rsid w:val="00A86CA9"/>
    <w:rsid w:val="00A86D2A"/>
    <w:rsid w:val="00A86DE6"/>
    <w:rsid w:val="00A86E8F"/>
    <w:rsid w:val="00A870C5"/>
    <w:rsid w:val="00A871C2"/>
    <w:rsid w:val="00A874E7"/>
    <w:rsid w:val="00A87505"/>
    <w:rsid w:val="00A87540"/>
    <w:rsid w:val="00A879C4"/>
    <w:rsid w:val="00A87B1B"/>
    <w:rsid w:val="00A87C6C"/>
    <w:rsid w:val="00A87CE1"/>
    <w:rsid w:val="00A900E9"/>
    <w:rsid w:val="00A90266"/>
    <w:rsid w:val="00A90D24"/>
    <w:rsid w:val="00A90E04"/>
    <w:rsid w:val="00A90EA4"/>
    <w:rsid w:val="00A90F0D"/>
    <w:rsid w:val="00A91144"/>
    <w:rsid w:val="00A9126F"/>
    <w:rsid w:val="00A91289"/>
    <w:rsid w:val="00A9142B"/>
    <w:rsid w:val="00A918BA"/>
    <w:rsid w:val="00A918DE"/>
    <w:rsid w:val="00A918F9"/>
    <w:rsid w:val="00A91AE2"/>
    <w:rsid w:val="00A91C23"/>
    <w:rsid w:val="00A91F97"/>
    <w:rsid w:val="00A91F9B"/>
    <w:rsid w:val="00A91FBC"/>
    <w:rsid w:val="00A920E2"/>
    <w:rsid w:val="00A92516"/>
    <w:rsid w:val="00A927BE"/>
    <w:rsid w:val="00A92C93"/>
    <w:rsid w:val="00A92D4E"/>
    <w:rsid w:val="00A92E11"/>
    <w:rsid w:val="00A92E8B"/>
    <w:rsid w:val="00A92F2F"/>
    <w:rsid w:val="00A93310"/>
    <w:rsid w:val="00A93343"/>
    <w:rsid w:val="00A93357"/>
    <w:rsid w:val="00A93AFC"/>
    <w:rsid w:val="00A93AFE"/>
    <w:rsid w:val="00A93B01"/>
    <w:rsid w:val="00A93D23"/>
    <w:rsid w:val="00A93D79"/>
    <w:rsid w:val="00A944B9"/>
    <w:rsid w:val="00A947E3"/>
    <w:rsid w:val="00A94A8F"/>
    <w:rsid w:val="00A94AF4"/>
    <w:rsid w:val="00A950FF"/>
    <w:rsid w:val="00A9568B"/>
    <w:rsid w:val="00A95739"/>
    <w:rsid w:val="00A9576E"/>
    <w:rsid w:val="00A95896"/>
    <w:rsid w:val="00A95918"/>
    <w:rsid w:val="00A95D0D"/>
    <w:rsid w:val="00A95D67"/>
    <w:rsid w:val="00A9674F"/>
    <w:rsid w:val="00A9700E"/>
    <w:rsid w:val="00A97497"/>
    <w:rsid w:val="00A9762B"/>
    <w:rsid w:val="00A97E55"/>
    <w:rsid w:val="00A97EB5"/>
    <w:rsid w:val="00A97EB9"/>
    <w:rsid w:val="00AA02D3"/>
    <w:rsid w:val="00AA02D5"/>
    <w:rsid w:val="00AA07C7"/>
    <w:rsid w:val="00AA0900"/>
    <w:rsid w:val="00AA0BB4"/>
    <w:rsid w:val="00AA0BF7"/>
    <w:rsid w:val="00AA0C8B"/>
    <w:rsid w:val="00AA0C9B"/>
    <w:rsid w:val="00AA0CD0"/>
    <w:rsid w:val="00AA0E6E"/>
    <w:rsid w:val="00AA0E6F"/>
    <w:rsid w:val="00AA0F6A"/>
    <w:rsid w:val="00AA1005"/>
    <w:rsid w:val="00AA1773"/>
    <w:rsid w:val="00AA19D5"/>
    <w:rsid w:val="00AA1B93"/>
    <w:rsid w:val="00AA1C0C"/>
    <w:rsid w:val="00AA22C1"/>
    <w:rsid w:val="00AA22CD"/>
    <w:rsid w:val="00AA24A0"/>
    <w:rsid w:val="00AA2537"/>
    <w:rsid w:val="00AA257A"/>
    <w:rsid w:val="00AA27BB"/>
    <w:rsid w:val="00AA28EA"/>
    <w:rsid w:val="00AA2A8A"/>
    <w:rsid w:val="00AA2B61"/>
    <w:rsid w:val="00AA2C88"/>
    <w:rsid w:val="00AA2DE9"/>
    <w:rsid w:val="00AA2EDC"/>
    <w:rsid w:val="00AA30EA"/>
    <w:rsid w:val="00AA332A"/>
    <w:rsid w:val="00AA343D"/>
    <w:rsid w:val="00AA3705"/>
    <w:rsid w:val="00AA37C4"/>
    <w:rsid w:val="00AA385A"/>
    <w:rsid w:val="00AA3A19"/>
    <w:rsid w:val="00AA3B2F"/>
    <w:rsid w:val="00AA3BE4"/>
    <w:rsid w:val="00AA3DE8"/>
    <w:rsid w:val="00AA3FA2"/>
    <w:rsid w:val="00AA4029"/>
    <w:rsid w:val="00AA43E0"/>
    <w:rsid w:val="00AA45F9"/>
    <w:rsid w:val="00AA46CD"/>
    <w:rsid w:val="00AA4868"/>
    <w:rsid w:val="00AA49C5"/>
    <w:rsid w:val="00AA4BB1"/>
    <w:rsid w:val="00AA512F"/>
    <w:rsid w:val="00AA5192"/>
    <w:rsid w:val="00AA53CA"/>
    <w:rsid w:val="00AA54D7"/>
    <w:rsid w:val="00AA5A45"/>
    <w:rsid w:val="00AA5ADA"/>
    <w:rsid w:val="00AA5CB2"/>
    <w:rsid w:val="00AA5DE7"/>
    <w:rsid w:val="00AA5E82"/>
    <w:rsid w:val="00AA5EC3"/>
    <w:rsid w:val="00AA5F04"/>
    <w:rsid w:val="00AA625B"/>
    <w:rsid w:val="00AA62FA"/>
    <w:rsid w:val="00AA639C"/>
    <w:rsid w:val="00AA63C2"/>
    <w:rsid w:val="00AA6401"/>
    <w:rsid w:val="00AA6455"/>
    <w:rsid w:val="00AA671C"/>
    <w:rsid w:val="00AA6997"/>
    <w:rsid w:val="00AA69B9"/>
    <w:rsid w:val="00AA6C53"/>
    <w:rsid w:val="00AA6D06"/>
    <w:rsid w:val="00AA7101"/>
    <w:rsid w:val="00AA7349"/>
    <w:rsid w:val="00AA74D9"/>
    <w:rsid w:val="00AA78E4"/>
    <w:rsid w:val="00AA79C2"/>
    <w:rsid w:val="00AA7A6C"/>
    <w:rsid w:val="00AA7A89"/>
    <w:rsid w:val="00AA7CFE"/>
    <w:rsid w:val="00AA7F00"/>
    <w:rsid w:val="00AA7F22"/>
    <w:rsid w:val="00AB014A"/>
    <w:rsid w:val="00AB09C3"/>
    <w:rsid w:val="00AB0CDD"/>
    <w:rsid w:val="00AB0EAB"/>
    <w:rsid w:val="00AB0ECF"/>
    <w:rsid w:val="00AB102D"/>
    <w:rsid w:val="00AB126E"/>
    <w:rsid w:val="00AB13E2"/>
    <w:rsid w:val="00AB15CA"/>
    <w:rsid w:val="00AB160D"/>
    <w:rsid w:val="00AB1ACD"/>
    <w:rsid w:val="00AB1BF8"/>
    <w:rsid w:val="00AB1F12"/>
    <w:rsid w:val="00AB2309"/>
    <w:rsid w:val="00AB23CF"/>
    <w:rsid w:val="00AB2442"/>
    <w:rsid w:val="00AB263B"/>
    <w:rsid w:val="00AB29A4"/>
    <w:rsid w:val="00AB2D1B"/>
    <w:rsid w:val="00AB333C"/>
    <w:rsid w:val="00AB33B9"/>
    <w:rsid w:val="00AB3878"/>
    <w:rsid w:val="00AB4551"/>
    <w:rsid w:val="00AB4897"/>
    <w:rsid w:val="00AB4BD9"/>
    <w:rsid w:val="00AB4C0F"/>
    <w:rsid w:val="00AB4C49"/>
    <w:rsid w:val="00AB4C7E"/>
    <w:rsid w:val="00AB519A"/>
    <w:rsid w:val="00AB5245"/>
    <w:rsid w:val="00AB5367"/>
    <w:rsid w:val="00AB55B5"/>
    <w:rsid w:val="00AB57A7"/>
    <w:rsid w:val="00AB5A5A"/>
    <w:rsid w:val="00AB5BB1"/>
    <w:rsid w:val="00AB5F6B"/>
    <w:rsid w:val="00AB5FB7"/>
    <w:rsid w:val="00AB6031"/>
    <w:rsid w:val="00AB6056"/>
    <w:rsid w:val="00AB6075"/>
    <w:rsid w:val="00AB6281"/>
    <w:rsid w:val="00AB641D"/>
    <w:rsid w:val="00AB6771"/>
    <w:rsid w:val="00AB680D"/>
    <w:rsid w:val="00AB6964"/>
    <w:rsid w:val="00AB697D"/>
    <w:rsid w:val="00AB69B6"/>
    <w:rsid w:val="00AB7227"/>
    <w:rsid w:val="00AB760D"/>
    <w:rsid w:val="00AB7AED"/>
    <w:rsid w:val="00AB7C61"/>
    <w:rsid w:val="00AB7D2F"/>
    <w:rsid w:val="00AC0091"/>
    <w:rsid w:val="00AC076E"/>
    <w:rsid w:val="00AC0B7E"/>
    <w:rsid w:val="00AC0CC3"/>
    <w:rsid w:val="00AC1320"/>
    <w:rsid w:val="00AC14AF"/>
    <w:rsid w:val="00AC18D1"/>
    <w:rsid w:val="00AC1B86"/>
    <w:rsid w:val="00AC1F9C"/>
    <w:rsid w:val="00AC2166"/>
    <w:rsid w:val="00AC235D"/>
    <w:rsid w:val="00AC24A8"/>
    <w:rsid w:val="00AC251D"/>
    <w:rsid w:val="00AC2547"/>
    <w:rsid w:val="00AC2850"/>
    <w:rsid w:val="00AC28BA"/>
    <w:rsid w:val="00AC294A"/>
    <w:rsid w:val="00AC2BE4"/>
    <w:rsid w:val="00AC3029"/>
    <w:rsid w:val="00AC36EA"/>
    <w:rsid w:val="00AC37F2"/>
    <w:rsid w:val="00AC3950"/>
    <w:rsid w:val="00AC3B7D"/>
    <w:rsid w:val="00AC3BA3"/>
    <w:rsid w:val="00AC3CBB"/>
    <w:rsid w:val="00AC3CE5"/>
    <w:rsid w:val="00AC3DCC"/>
    <w:rsid w:val="00AC4470"/>
    <w:rsid w:val="00AC4527"/>
    <w:rsid w:val="00AC453E"/>
    <w:rsid w:val="00AC4563"/>
    <w:rsid w:val="00AC4A16"/>
    <w:rsid w:val="00AC4A1E"/>
    <w:rsid w:val="00AC4ACA"/>
    <w:rsid w:val="00AC4CC6"/>
    <w:rsid w:val="00AC4D0F"/>
    <w:rsid w:val="00AC4E16"/>
    <w:rsid w:val="00AC529C"/>
    <w:rsid w:val="00AC538E"/>
    <w:rsid w:val="00AC5622"/>
    <w:rsid w:val="00AC563B"/>
    <w:rsid w:val="00AC5668"/>
    <w:rsid w:val="00AC57EC"/>
    <w:rsid w:val="00AC595E"/>
    <w:rsid w:val="00AC5B62"/>
    <w:rsid w:val="00AC6043"/>
    <w:rsid w:val="00AC6275"/>
    <w:rsid w:val="00AC6613"/>
    <w:rsid w:val="00AC671A"/>
    <w:rsid w:val="00AC6A01"/>
    <w:rsid w:val="00AC6AEF"/>
    <w:rsid w:val="00AC6C41"/>
    <w:rsid w:val="00AC6CD5"/>
    <w:rsid w:val="00AC6E87"/>
    <w:rsid w:val="00AC6ED5"/>
    <w:rsid w:val="00AC701C"/>
    <w:rsid w:val="00AC7165"/>
    <w:rsid w:val="00AC779E"/>
    <w:rsid w:val="00AC7850"/>
    <w:rsid w:val="00AC7B4C"/>
    <w:rsid w:val="00AC7D29"/>
    <w:rsid w:val="00AC7D63"/>
    <w:rsid w:val="00AD002E"/>
    <w:rsid w:val="00AD0139"/>
    <w:rsid w:val="00AD01BF"/>
    <w:rsid w:val="00AD03FC"/>
    <w:rsid w:val="00AD0C86"/>
    <w:rsid w:val="00AD0F3A"/>
    <w:rsid w:val="00AD131A"/>
    <w:rsid w:val="00AD1320"/>
    <w:rsid w:val="00AD13EF"/>
    <w:rsid w:val="00AD167F"/>
    <w:rsid w:val="00AD184B"/>
    <w:rsid w:val="00AD18D5"/>
    <w:rsid w:val="00AD19B5"/>
    <w:rsid w:val="00AD226E"/>
    <w:rsid w:val="00AD2661"/>
    <w:rsid w:val="00AD2720"/>
    <w:rsid w:val="00AD28E6"/>
    <w:rsid w:val="00AD2A65"/>
    <w:rsid w:val="00AD2B14"/>
    <w:rsid w:val="00AD35FD"/>
    <w:rsid w:val="00AD3864"/>
    <w:rsid w:val="00AD3A85"/>
    <w:rsid w:val="00AD3C95"/>
    <w:rsid w:val="00AD3CD8"/>
    <w:rsid w:val="00AD4197"/>
    <w:rsid w:val="00AD4266"/>
    <w:rsid w:val="00AD42DD"/>
    <w:rsid w:val="00AD43E5"/>
    <w:rsid w:val="00AD4475"/>
    <w:rsid w:val="00AD44D2"/>
    <w:rsid w:val="00AD4700"/>
    <w:rsid w:val="00AD4742"/>
    <w:rsid w:val="00AD4A0C"/>
    <w:rsid w:val="00AD4AE9"/>
    <w:rsid w:val="00AD4E86"/>
    <w:rsid w:val="00AD5014"/>
    <w:rsid w:val="00AD502A"/>
    <w:rsid w:val="00AD50B3"/>
    <w:rsid w:val="00AD51D8"/>
    <w:rsid w:val="00AD5288"/>
    <w:rsid w:val="00AD5399"/>
    <w:rsid w:val="00AD5502"/>
    <w:rsid w:val="00AD5846"/>
    <w:rsid w:val="00AD58A7"/>
    <w:rsid w:val="00AD58AB"/>
    <w:rsid w:val="00AD5C05"/>
    <w:rsid w:val="00AD5C79"/>
    <w:rsid w:val="00AD5E8A"/>
    <w:rsid w:val="00AD6299"/>
    <w:rsid w:val="00AD630B"/>
    <w:rsid w:val="00AD63D5"/>
    <w:rsid w:val="00AD64E8"/>
    <w:rsid w:val="00AD67CA"/>
    <w:rsid w:val="00AD6942"/>
    <w:rsid w:val="00AD6C54"/>
    <w:rsid w:val="00AD731D"/>
    <w:rsid w:val="00AD742E"/>
    <w:rsid w:val="00AD762B"/>
    <w:rsid w:val="00AD7728"/>
    <w:rsid w:val="00AD7ABB"/>
    <w:rsid w:val="00AD7BFB"/>
    <w:rsid w:val="00AD7EC7"/>
    <w:rsid w:val="00AD7FDC"/>
    <w:rsid w:val="00AE0074"/>
    <w:rsid w:val="00AE029E"/>
    <w:rsid w:val="00AE030A"/>
    <w:rsid w:val="00AE064D"/>
    <w:rsid w:val="00AE0933"/>
    <w:rsid w:val="00AE0EC6"/>
    <w:rsid w:val="00AE10C5"/>
    <w:rsid w:val="00AE1123"/>
    <w:rsid w:val="00AE124D"/>
    <w:rsid w:val="00AE1326"/>
    <w:rsid w:val="00AE1851"/>
    <w:rsid w:val="00AE1D10"/>
    <w:rsid w:val="00AE22D4"/>
    <w:rsid w:val="00AE26DA"/>
    <w:rsid w:val="00AE2956"/>
    <w:rsid w:val="00AE29FA"/>
    <w:rsid w:val="00AE2B83"/>
    <w:rsid w:val="00AE2F7D"/>
    <w:rsid w:val="00AE2FBC"/>
    <w:rsid w:val="00AE349E"/>
    <w:rsid w:val="00AE38B9"/>
    <w:rsid w:val="00AE3DDD"/>
    <w:rsid w:val="00AE3E2C"/>
    <w:rsid w:val="00AE4026"/>
    <w:rsid w:val="00AE4299"/>
    <w:rsid w:val="00AE42A2"/>
    <w:rsid w:val="00AE4505"/>
    <w:rsid w:val="00AE466D"/>
    <w:rsid w:val="00AE4729"/>
    <w:rsid w:val="00AE4823"/>
    <w:rsid w:val="00AE4AB7"/>
    <w:rsid w:val="00AE4B8D"/>
    <w:rsid w:val="00AE4BB7"/>
    <w:rsid w:val="00AE4CE8"/>
    <w:rsid w:val="00AE5611"/>
    <w:rsid w:val="00AE57DB"/>
    <w:rsid w:val="00AE59B0"/>
    <w:rsid w:val="00AE5B8D"/>
    <w:rsid w:val="00AE5E7A"/>
    <w:rsid w:val="00AE5EFE"/>
    <w:rsid w:val="00AE5F03"/>
    <w:rsid w:val="00AE6075"/>
    <w:rsid w:val="00AE61EB"/>
    <w:rsid w:val="00AE6263"/>
    <w:rsid w:val="00AE6327"/>
    <w:rsid w:val="00AE635E"/>
    <w:rsid w:val="00AE674C"/>
    <w:rsid w:val="00AE686C"/>
    <w:rsid w:val="00AE6ABE"/>
    <w:rsid w:val="00AE6AE4"/>
    <w:rsid w:val="00AE7258"/>
    <w:rsid w:val="00AE7596"/>
    <w:rsid w:val="00AE75B4"/>
    <w:rsid w:val="00AE7658"/>
    <w:rsid w:val="00AE7C41"/>
    <w:rsid w:val="00AE7C72"/>
    <w:rsid w:val="00AE7F6B"/>
    <w:rsid w:val="00AE7FE4"/>
    <w:rsid w:val="00AF0127"/>
    <w:rsid w:val="00AF0869"/>
    <w:rsid w:val="00AF08E8"/>
    <w:rsid w:val="00AF0BDB"/>
    <w:rsid w:val="00AF0F26"/>
    <w:rsid w:val="00AF10DE"/>
    <w:rsid w:val="00AF12EF"/>
    <w:rsid w:val="00AF13A6"/>
    <w:rsid w:val="00AF18FD"/>
    <w:rsid w:val="00AF1916"/>
    <w:rsid w:val="00AF1954"/>
    <w:rsid w:val="00AF1A3F"/>
    <w:rsid w:val="00AF1EED"/>
    <w:rsid w:val="00AF25FE"/>
    <w:rsid w:val="00AF2B1F"/>
    <w:rsid w:val="00AF2CEA"/>
    <w:rsid w:val="00AF2D20"/>
    <w:rsid w:val="00AF30ED"/>
    <w:rsid w:val="00AF361F"/>
    <w:rsid w:val="00AF36F3"/>
    <w:rsid w:val="00AF3742"/>
    <w:rsid w:val="00AF392C"/>
    <w:rsid w:val="00AF3B57"/>
    <w:rsid w:val="00AF3E81"/>
    <w:rsid w:val="00AF3EF8"/>
    <w:rsid w:val="00AF418E"/>
    <w:rsid w:val="00AF48B8"/>
    <w:rsid w:val="00AF4AD1"/>
    <w:rsid w:val="00AF4D08"/>
    <w:rsid w:val="00AF5414"/>
    <w:rsid w:val="00AF5788"/>
    <w:rsid w:val="00AF5C1A"/>
    <w:rsid w:val="00AF5F1E"/>
    <w:rsid w:val="00AF6546"/>
    <w:rsid w:val="00AF6557"/>
    <w:rsid w:val="00AF6A81"/>
    <w:rsid w:val="00AF6B42"/>
    <w:rsid w:val="00AF6B64"/>
    <w:rsid w:val="00AF6BE9"/>
    <w:rsid w:val="00AF6DFD"/>
    <w:rsid w:val="00AF6E38"/>
    <w:rsid w:val="00AF6F1E"/>
    <w:rsid w:val="00AF6F68"/>
    <w:rsid w:val="00AF6FA3"/>
    <w:rsid w:val="00AF73FC"/>
    <w:rsid w:val="00AF7530"/>
    <w:rsid w:val="00AF7558"/>
    <w:rsid w:val="00AF78D8"/>
    <w:rsid w:val="00AF791A"/>
    <w:rsid w:val="00AF7C0E"/>
    <w:rsid w:val="00AF7D3C"/>
    <w:rsid w:val="00AF7D9D"/>
    <w:rsid w:val="00AF7DF2"/>
    <w:rsid w:val="00AF7E03"/>
    <w:rsid w:val="00AF7FEF"/>
    <w:rsid w:val="00B00076"/>
    <w:rsid w:val="00B0016E"/>
    <w:rsid w:val="00B0034F"/>
    <w:rsid w:val="00B00A79"/>
    <w:rsid w:val="00B00D15"/>
    <w:rsid w:val="00B00D2C"/>
    <w:rsid w:val="00B00F68"/>
    <w:rsid w:val="00B01004"/>
    <w:rsid w:val="00B01079"/>
    <w:rsid w:val="00B011DA"/>
    <w:rsid w:val="00B011F4"/>
    <w:rsid w:val="00B0165F"/>
    <w:rsid w:val="00B01E18"/>
    <w:rsid w:val="00B01F14"/>
    <w:rsid w:val="00B023AF"/>
    <w:rsid w:val="00B02479"/>
    <w:rsid w:val="00B0267E"/>
    <w:rsid w:val="00B028F6"/>
    <w:rsid w:val="00B028F8"/>
    <w:rsid w:val="00B029F6"/>
    <w:rsid w:val="00B02B4B"/>
    <w:rsid w:val="00B02C77"/>
    <w:rsid w:val="00B0392B"/>
    <w:rsid w:val="00B04144"/>
    <w:rsid w:val="00B0417A"/>
    <w:rsid w:val="00B04335"/>
    <w:rsid w:val="00B04444"/>
    <w:rsid w:val="00B0508A"/>
    <w:rsid w:val="00B050EE"/>
    <w:rsid w:val="00B0565C"/>
    <w:rsid w:val="00B05895"/>
    <w:rsid w:val="00B05C1C"/>
    <w:rsid w:val="00B05D7D"/>
    <w:rsid w:val="00B06093"/>
    <w:rsid w:val="00B06465"/>
    <w:rsid w:val="00B065FF"/>
    <w:rsid w:val="00B069D3"/>
    <w:rsid w:val="00B074A2"/>
    <w:rsid w:val="00B07640"/>
    <w:rsid w:val="00B078D4"/>
    <w:rsid w:val="00B0798A"/>
    <w:rsid w:val="00B07AAB"/>
    <w:rsid w:val="00B07B7B"/>
    <w:rsid w:val="00B07E01"/>
    <w:rsid w:val="00B07E85"/>
    <w:rsid w:val="00B07F2E"/>
    <w:rsid w:val="00B10135"/>
    <w:rsid w:val="00B1013F"/>
    <w:rsid w:val="00B104CA"/>
    <w:rsid w:val="00B107B8"/>
    <w:rsid w:val="00B10A1C"/>
    <w:rsid w:val="00B10D34"/>
    <w:rsid w:val="00B10DC5"/>
    <w:rsid w:val="00B10E23"/>
    <w:rsid w:val="00B10F23"/>
    <w:rsid w:val="00B11487"/>
    <w:rsid w:val="00B116C6"/>
    <w:rsid w:val="00B121E1"/>
    <w:rsid w:val="00B12267"/>
    <w:rsid w:val="00B12279"/>
    <w:rsid w:val="00B12A30"/>
    <w:rsid w:val="00B12AAE"/>
    <w:rsid w:val="00B12B7A"/>
    <w:rsid w:val="00B12D0B"/>
    <w:rsid w:val="00B12D14"/>
    <w:rsid w:val="00B12F52"/>
    <w:rsid w:val="00B1366A"/>
    <w:rsid w:val="00B1370B"/>
    <w:rsid w:val="00B13D3C"/>
    <w:rsid w:val="00B13E34"/>
    <w:rsid w:val="00B13E94"/>
    <w:rsid w:val="00B14099"/>
    <w:rsid w:val="00B14588"/>
    <w:rsid w:val="00B14CE5"/>
    <w:rsid w:val="00B1515C"/>
    <w:rsid w:val="00B1529E"/>
    <w:rsid w:val="00B15585"/>
    <w:rsid w:val="00B15770"/>
    <w:rsid w:val="00B1584A"/>
    <w:rsid w:val="00B15910"/>
    <w:rsid w:val="00B15B04"/>
    <w:rsid w:val="00B15DD8"/>
    <w:rsid w:val="00B15E66"/>
    <w:rsid w:val="00B15E6D"/>
    <w:rsid w:val="00B15F6B"/>
    <w:rsid w:val="00B161B3"/>
    <w:rsid w:val="00B16285"/>
    <w:rsid w:val="00B16401"/>
    <w:rsid w:val="00B1675F"/>
    <w:rsid w:val="00B16A4C"/>
    <w:rsid w:val="00B16BC0"/>
    <w:rsid w:val="00B16C03"/>
    <w:rsid w:val="00B16CCD"/>
    <w:rsid w:val="00B16E16"/>
    <w:rsid w:val="00B17080"/>
    <w:rsid w:val="00B171D7"/>
    <w:rsid w:val="00B174B2"/>
    <w:rsid w:val="00B17550"/>
    <w:rsid w:val="00B17579"/>
    <w:rsid w:val="00B17A05"/>
    <w:rsid w:val="00B20139"/>
    <w:rsid w:val="00B203FA"/>
    <w:rsid w:val="00B20420"/>
    <w:rsid w:val="00B2043C"/>
    <w:rsid w:val="00B2065B"/>
    <w:rsid w:val="00B2086D"/>
    <w:rsid w:val="00B2095A"/>
    <w:rsid w:val="00B20D7C"/>
    <w:rsid w:val="00B21174"/>
    <w:rsid w:val="00B2139E"/>
    <w:rsid w:val="00B21553"/>
    <w:rsid w:val="00B217C0"/>
    <w:rsid w:val="00B21B90"/>
    <w:rsid w:val="00B21B9E"/>
    <w:rsid w:val="00B21FEF"/>
    <w:rsid w:val="00B220B2"/>
    <w:rsid w:val="00B22241"/>
    <w:rsid w:val="00B224B0"/>
    <w:rsid w:val="00B227DC"/>
    <w:rsid w:val="00B22834"/>
    <w:rsid w:val="00B22A63"/>
    <w:rsid w:val="00B22B84"/>
    <w:rsid w:val="00B22D41"/>
    <w:rsid w:val="00B22EC9"/>
    <w:rsid w:val="00B23446"/>
    <w:rsid w:val="00B23881"/>
    <w:rsid w:val="00B239EB"/>
    <w:rsid w:val="00B23C47"/>
    <w:rsid w:val="00B23CF4"/>
    <w:rsid w:val="00B23ED9"/>
    <w:rsid w:val="00B23F78"/>
    <w:rsid w:val="00B24297"/>
    <w:rsid w:val="00B24361"/>
    <w:rsid w:val="00B244C4"/>
    <w:rsid w:val="00B24D9F"/>
    <w:rsid w:val="00B24DA3"/>
    <w:rsid w:val="00B24E7D"/>
    <w:rsid w:val="00B25670"/>
    <w:rsid w:val="00B2582D"/>
    <w:rsid w:val="00B25C74"/>
    <w:rsid w:val="00B25D1C"/>
    <w:rsid w:val="00B25D6A"/>
    <w:rsid w:val="00B25F75"/>
    <w:rsid w:val="00B26165"/>
    <w:rsid w:val="00B26179"/>
    <w:rsid w:val="00B261B6"/>
    <w:rsid w:val="00B2620A"/>
    <w:rsid w:val="00B26263"/>
    <w:rsid w:val="00B262E5"/>
    <w:rsid w:val="00B26344"/>
    <w:rsid w:val="00B26517"/>
    <w:rsid w:val="00B2659C"/>
    <w:rsid w:val="00B26635"/>
    <w:rsid w:val="00B26739"/>
    <w:rsid w:val="00B26A2D"/>
    <w:rsid w:val="00B26A6A"/>
    <w:rsid w:val="00B26E5A"/>
    <w:rsid w:val="00B27052"/>
    <w:rsid w:val="00B270E4"/>
    <w:rsid w:val="00B272A1"/>
    <w:rsid w:val="00B27356"/>
    <w:rsid w:val="00B275BC"/>
    <w:rsid w:val="00B27837"/>
    <w:rsid w:val="00B278E4"/>
    <w:rsid w:val="00B27C4B"/>
    <w:rsid w:val="00B27C73"/>
    <w:rsid w:val="00B27C7F"/>
    <w:rsid w:val="00B27D11"/>
    <w:rsid w:val="00B27E21"/>
    <w:rsid w:val="00B27FE5"/>
    <w:rsid w:val="00B3011C"/>
    <w:rsid w:val="00B30805"/>
    <w:rsid w:val="00B3086C"/>
    <w:rsid w:val="00B30CFF"/>
    <w:rsid w:val="00B30DA6"/>
    <w:rsid w:val="00B310BE"/>
    <w:rsid w:val="00B31288"/>
    <w:rsid w:val="00B312E9"/>
    <w:rsid w:val="00B31777"/>
    <w:rsid w:val="00B317E7"/>
    <w:rsid w:val="00B3180A"/>
    <w:rsid w:val="00B31DA3"/>
    <w:rsid w:val="00B31F78"/>
    <w:rsid w:val="00B320E4"/>
    <w:rsid w:val="00B32394"/>
    <w:rsid w:val="00B323E6"/>
    <w:rsid w:val="00B3257E"/>
    <w:rsid w:val="00B32CF1"/>
    <w:rsid w:val="00B32E67"/>
    <w:rsid w:val="00B330A3"/>
    <w:rsid w:val="00B333DA"/>
    <w:rsid w:val="00B333FF"/>
    <w:rsid w:val="00B3347D"/>
    <w:rsid w:val="00B339E0"/>
    <w:rsid w:val="00B33E6C"/>
    <w:rsid w:val="00B345D2"/>
    <w:rsid w:val="00B34CC0"/>
    <w:rsid w:val="00B34D22"/>
    <w:rsid w:val="00B35323"/>
    <w:rsid w:val="00B355A5"/>
    <w:rsid w:val="00B3574B"/>
    <w:rsid w:val="00B3586E"/>
    <w:rsid w:val="00B35918"/>
    <w:rsid w:val="00B35C6A"/>
    <w:rsid w:val="00B35CD7"/>
    <w:rsid w:val="00B35D0C"/>
    <w:rsid w:val="00B35D6A"/>
    <w:rsid w:val="00B36307"/>
    <w:rsid w:val="00B363BE"/>
    <w:rsid w:val="00B36B6A"/>
    <w:rsid w:val="00B36C16"/>
    <w:rsid w:val="00B373BC"/>
    <w:rsid w:val="00B373D3"/>
    <w:rsid w:val="00B376CE"/>
    <w:rsid w:val="00B376E3"/>
    <w:rsid w:val="00B376E4"/>
    <w:rsid w:val="00B3775C"/>
    <w:rsid w:val="00B37A98"/>
    <w:rsid w:val="00B37D78"/>
    <w:rsid w:val="00B37E31"/>
    <w:rsid w:val="00B40525"/>
    <w:rsid w:val="00B406DC"/>
    <w:rsid w:val="00B40739"/>
    <w:rsid w:val="00B4093D"/>
    <w:rsid w:val="00B40B79"/>
    <w:rsid w:val="00B40C31"/>
    <w:rsid w:val="00B40CEF"/>
    <w:rsid w:val="00B40F7D"/>
    <w:rsid w:val="00B40FEB"/>
    <w:rsid w:val="00B41200"/>
    <w:rsid w:val="00B4142F"/>
    <w:rsid w:val="00B4151C"/>
    <w:rsid w:val="00B416C4"/>
    <w:rsid w:val="00B4171B"/>
    <w:rsid w:val="00B4187D"/>
    <w:rsid w:val="00B41DE6"/>
    <w:rsid w:val="00B41E95"/>
    <w:rsid w:val="00B4242A"/>
    <w:rsid w:val="00B424F2"/>
    <w:rsid w:val="00B426B5"/>
    <w:rsid w:val="00B426F2"/>
    <w:rsid w:val="00B42F7B"/>
    <w:rsid w:val="00B4331F"/>
    <w:rsid w:val="00B43752"/>
    <w:rsid w:val="00B43805"/>
    <w:rsid w:val="00B43807"/>
    <w:rsid w:val="00B438B2"/>
    <w:rsid w:val="00B439EE"/>
    <w:rsid w:val="00B43E2F"/>
    <w:rsid w:val="00B441A1"/>
    <w:rsid w:val="00B44409"/>
    <w:rsid w:val="00B44586"/>
    <w:rsid w:val="00B446C7"/>
    <w:rsid w:val="00B446E6"/>
    <w:rsid w:val="00B44AEF"/>
    <w:rsid w:val="00B44BFD"/>
    <w:rsid w:val="00B4504B"/>
    <w:rsid w:val="00B45344"/>
    <w:rsid w:val="00B4552D"/>
    <w:rsid w:val="00B45765"/>
    <w:rsid w:val="00B45A5D"/>
    <w:rsid w:val="00B45B02"/>
    <w:rsid w:val="00B45E76"/>
    <w:rsid w:val="00B45EAF"/>
    <w:rsid w:val="00B460DB"/>
    <w:rsid w:val="00B460F0"/>
    <w:rsid w:val="00B461A2"/>
    <w:rsid w:val="00B462D8"/>
    <w:rsid w:val="00B4659A"/>
    <w:rsid w:val="00B465FF"/>
    <w:rsid w:val="00B466B1"/>
    <w:rsid w:val="00B468A0"/>
    <w:rsid w:val="00B469EB"/>
    <w:rsid w:val="00B46C1B"/>
    <w:rsid w:val="00B46D2E"/>
    <w:rsid w:val="00B46E52"/>
    <w:rsid w:val="00B46E53"/>
    <w:rsid w:val="00B46E70"/>
    <w:rsid w:val="00B46F5D"/>
    <w:rsid w:val="00B4706B"/>
    <w:rsid w:val="00B47152"/>
    <w:rsid w:val="00B47168"/>
    <w:rsid w:val="00B471E1"/>
    <w:rsid w:val="00B473E2"/>
    <w:rsid w:val="00B47A3E"/>
    <w:rsid w:val="00B47A8A"/>
    <w:rsid w:val="00B47B2C"/>
    <w:rsid w:val="00B47B3A"/>
    <w:rsid w:val="00B47D93"/>
    <w:rsid w:val="00B47DBE"/>
    <w:rsid w:val="00B47E45"/>
    <w:rsid w:val="00B47EB0"/>
    <w:rsid w:val="00B503F6"/>
    <w:rsid w:val="00B506C1"/>
    <w:rsid w:val="00B50A14"/>
    <w:rsid w:val="00B50B1E"/>
    <w:rsid w:val="00B50B60"/>
    <w:rsid w:val="00B50BA6"/>
    <w:rsid w:val="00B50EEC"/>
    <w:rsid w:val="00B50F08"/>
    <w:rsid w:val="00B52033"/>
    <w:rsid w:val="00B52229"/>
    <w:rsid w:val="00B527AD"/>
    <w:rsid w:val="00B52C65"/>
    <w:rsid w:val="00B53102"/>
    <w:rsid w:val="00B534E6"/>
    <w:rsid w:val="00B53632"/>
    <w:rsid w:val="00B53723"/>
    <w:rsid w:val="00B53A0C"/>
    <w:rsid w:val="00B53A36"/>
    <w:rsid w:val="00B53D0A"/>
    <w:rsid w:val="00B53EE0"/>
    <w:rsid w:val="00B54044"/>
    <w:rsid w:val="00B54268"/>
    <w:rsid w:val="00B54274"/>
    <w:rsid w:val="00B54439"/>
    <w:rsid w:val="00B5448E"/>
    <w:rsid w:val="00B546EC"/>
    <w:rsid w:val="00B546EE"/>
    <w:rsid w:val="00B54A0C"/>
    <w:rsid w:val="00B54B77"/>
    <w:rsid w:val="00B54DD5"/>
    <w:rsid w:val="00B54E0A"/>
    <w:rsid w:val="00B54E5A"/>
    <w:rsid w:val="00B55073"/>
    <w:rsid w:val="00B554CB"/>
    <w:rsid w:val="00B55B6B"/>
    <w:rsid w:val="00B55DC5"/>
    <w:rsid w:val="00B55ED7"/>
    <w:rsid w:val="00B55EE8"/>
    <w:rsid w:val="00B55FAD"/>
    <w:rsid w:val="00B560BA"/>
    <w:rsid w:val="00B560CD"/>
    <w:rsid w:val="00B56112"/>
    <w:rsid w:val="00B561C1"/>
    <w:rsid w:val="00B56264"/>
    <w:rsid w:val="00B56329"/>
    <w:rsid w:val="00B56365"/>
    <w:rsid w:val="00B56937"/>
    <w:rsid w:val="00B5698E"/>
    <w:rsid w:val="00B56B38"/>
    <w:rsid w:val="00B56CC4"/>
    <w:rsid w:val="00B56CDD"/>
    <w:rsid w:val="00B56F38"/>
    <w:rsid w:val="00B57955"/>
    <w:rsid w:val="00B57A1A"/>
    <w:rsid w:val="00B57A4D"/>
    <w:rsid w:val="00B57E8A"/>
    <w:rsid w:val="00B57F68"/>
    <w:rsid w:val="00B600B8"/>
    <w:rsid w:val="00B6052F"/>
    <w:rsid w:val="00B605B4"/>
    <w:rsid w:val="00B60754"/>
    <w:rsid w:val="00B60D1C"/>
    <w:rsid w:val="00B60D9E"/>
    <w:rsid w:val="00B61617"/>
    <w:rsid w:val="00B61786"/>
    <w:rsid w:val="00B617B0"/>
    <w:rsid w:val="00B617F9"/>
    <w:rsid w:val="00B61C53"/>
    <w:rsid w:val="00B61D21"/>
    <w:rsid w:val="00B61D86"/>
    <w:rsid w:val="00B61E24"/>
    <w:rsid w:val="00B61EC2"/>
    <w:rsid w:val="00B61FF8"/>
    <w:rsid w:val="00B62400"/>
    <w:rsid w:val="00B624D5"/>
    <w:rsid w:val="00B6262B"/>
    <w:rsid w:val="00B62A30"/>
    <w:rsid w:val="00B62DC6"/>
    <w:rsid w:val="00B62E6A"/>
    <w:rsid w:val="00B62F1E"/>
    <w:rsid w:val="00B635CD"/>
    <w:rsid w:val="00B636A6"/>
    <w:rsid w:val="00B63776"/>
    <w:rsid w:val="00B64010"/>
    <w:rsid w:val="00B643B0"/>
    <w:rsid w:val="00B643BE"/>
    <w:rsid w:val="00B64429"/>
    <w:rsid w:val="00B6449E"/>
    <w:rsid w:val="00B64572"/>
    <w:rsid w:val="00B6476B"/>
    <w:rsid w:val="00B64C87"/>
    <w:rsid w:val="00B65134"/>
    <w:rsid w:val="00B6519F"/>
    <w:rsid w:val="00B652C2"/>
    <w:rsid w:val="00B6571E"/>
    <w:rsid w:val="00B657BC"/>
    <w:rsid w:val="00B65853"/>
    <w:rsid w:val="00B65884"/>
    <w:rsid w:val="00B658A3"/>
    <w:rsid w:val="00B66215"/>
    <w:rsid w:val="00B66240"/>
    <w:rsid w:val="00B663C9"/>
    <w:rsid w:val="00B666E7"/>
    <w:rsid w:val="00B667C7"/>
    <w:rsid w:val="00B66869"/>
    <w:rsid w:val="00B66C64"/>
    <w:rsid w:val="00B66DDD"/>
    <w:rsid w:val="00B672DA"/>
    <w:rsid w:val="00B674B3"/>
    <w:rsid w:val="00B675BD"/>
    <w:rsid w:val="00B678AE"/>
    <w:rsid w:val="00B6795D"/>
    <w:rsid w:val="00B67D43"/>
    <w:rsid w:val="00B67EAE"/>
    <w:rsid w:val="00B70057"/>
    <w:rsid w:val="00B7028C"/>
    <w:rsid w:val="00B702C1"/>
    <w:rsid w:val="00B7031D"/>
    <w:rsid w:val="00B7036F"/>
    <w:rsid w:val="00B7081D"/>
    <w:rsid w:val="00B70D67"/>
    <w:rsid w:val="00B70DDE"/>
    <w:rsid w:val="00B70EC7"/>
    <w:rsid w:val="00B7128D"/>
    <w:rsid w:val="00B71296"/>
    <w:rsid w:val="00B712A6"/>
    <w:rsid w:val="00B7139E"/>
    <w:rsid w:val="00B71609"/>
    <w:rsid w:val="00B71912"/>
    <w:rsid w:val="00B71DFE"/>
    <w:rsid w:val="00B71F74"/>
    <w:rsid w:val="00B721A9"/>
    <w:rsid w:val="00B725D7"/>
    <w:rsid w:val="00B72679"/>
    <w:rsid w:val="00B7268A"/>
    <w:rsid w:val="00B72F21"/>
    <w:rsid w:val="00B732E1"/>
    <w:rsid w:val="00B73551"/>
    <w:rsid w:val="00B738D1"/>
    <w:rsid w:val="00B73E12"/>
    <w:rsid w:val="00B74320"/>
    <w:rsid w:val="00B744D5"/>
    <w:rsid w:val="00B74527"/>
    <w:rsid w:val="00B7479F"/>
    <w:rsid w:val="00B74892"/>
    <w:rsid w:val="00B74D5D"/>
    <w:rsid w:val="00B74EA8"/>
    <w:rsid w:val="00B74F85"/>
    <w:rsid w:val="00B756F0"/>
    <w:rsid w:val="00B757E8"/>
    <w:rsid w:val="00B75954"/>
    <w:rsid w:val="00B75AFC"/>
    <w:rsid w:val="00B75D25"/>
    <w:rsid w:val="00B7602E"/>
    <w:rsid w:val="00B76224"/>
    <w:rsid w:val="00B76AE8"/>
    <w:rsid w:val="00B779D4"/>
    <w:rsid w:val="00B77A3C"/>
    <w:rsid w:val="00B77B2E"/>
    <w:rsid w:val="00B77EAC"/>
    <w:rsid w:val="00B80004"/>
    <w:rsid w:val="00B801F1"/>
    <w:rsid w:val="00B8043A"/>
    <w:rsid w:val="00B804EF"/>
    <w:rsid w:val="00B8069E"/>
    <w:rsid w:val="00B80733"/>
    <w:rsid w:val="00B8079D"/>
    <w:rsid w:val="00B80835"/>
    <w:rsid w:val="00B80AD1"/>
    <w:rsid w:val="00B80C68"/>
    <w:rsid w:val="00B80E77"/>
    <w:rsid w:val="00B80FCE"/>
    <w:rsid w:val="00B81300"/>
    <w:rsid w:val="00B814B8"/>
    <w:rsid w:val="00B814BC"/>
    <w:rsid w:val="00B8165A"/>
    <w:rsid w:val="00B817FB"/>
    <w:rsid w:val="00B818A0"/>
    <w:rsid w:val="00B82011"/>
    <w:rsid w:val="00B8209B"/>
    <w:rsid w:val="00B821BF"/>
    <w:rsid w:val="00B8223C"/>
    <w:rsid w:val="00B823F8"/>
    <w:rsid w:val="00B828B1"/>
    <w:rsid w:val="00B82BF3"/>
    <w:rsid w:val="00B82C1E"/>
    <w:rsid w:val="00B82F0C"/>
    <w:rsid w:val="00B83062"/>
    <w:rsid w:val="00B836BC"/>
    <w:rsid w:val="00B83ABD"/>
    <w:rsid w:val="00B83B2C"/>
    <w:rsid w:val="00B8426E"/>
    <w:rsid w:val="00B844F4"/>
    <w:rsid w:val="00B84811"/>
    <w:rsid w:val="00B84A2E"/>
    <w:rsid w:val="00B84B5E"/>
    <w:rsid w:val="00B85110"/>
    <w:rsid w:val="00B8515B"/>
    <w:rsid w:val="00B854FE"/>
    <w:rsid w:val="00B85662"/>
    <w:rsid w:val="00B85663"/>
    <w:rsid w:val="00B85696"/>
    <w:rsid w:val="00B86184"/>
    <w:rsid w:val="00B86362"/>
    <w:rsid w:val="00B86A81"/>
    <w:rsid w:val="00B86B1D"/>
    <w:rsid w:val="00B87139"/>
    <w:rsid w:val="00B8718F"/>
    <w:rsid w:val="00B87374"/>
    <w:rsid w:val="00B87B2A"/>
    <w:rsid w:val="00B9012C"/>
    <w:rsid w:val="00B9040F"/>
    <w:rsid w:val="00B908A5"/>
    <w:rsid w:val="00B9092B"/>
    <w:rsid w:val="00B90B7E"/>
    <w:rsid w:val="00B90DC3"/>
    <w:rsid w:val="00B9103F"/>
    <w:rsid w:val="00B91364"/>
    <w:rsid w:val="00B91405"/>
    <w:rsid w:val="00B91591"/>
    <w:rsid w:val="00B91954"/>
    <w:rsid w:val="00B919FB"/>
    <w:rsid w:val="00B91AB9"/>
    <w:rsid w:val="00B91BC6"/>
    <w:rsid w:val="00B91D74"/>
    <w:rsid w:val="00B91D79"/>
    <w:rsid w:val="00B91E19"/>
    <w:rsid w:val="00B91F8D"/>
    <w:rsid w:val="00B9201A"/>
    <w:rsid w:val="00B92025"/>
    <w:rsid w:val="00B92286"/>
    <w:rsid w:val="00B923D0"/>
    <w:rsid w:val="00B92605"/>
    <w:rsid w:val="00B926C5"/>
    <w:rsid w:val="00B9291C"/>
    <w:rsid w:val="00B929B7"/>
    <w:rsid w:val="00B92D00"/>
    <w:rsid w:val="00B932DF"/>
    <w:rsid w:val="00B937B3"/>
    <w:rsid w:val="00B937D6"/>
    <w:rsid w:val="00B9382C"/>
    <w:rsid w:val="00B93A19"/>
    <w:rsid w:val="00B93B2F"/>
    <w:rsid w:val="00B93B78"/>
    <w:rsid w:val="00B93BE2"/>
    <w:rsid w:val="00B93E9F"/>
    <w:rsid w:val="00B93F05"/>
    <w:rsid w:val="00B941AF"/>
    <w:rsid w:val="00B9457E"/>
    <w:rsid w:val="00B9476D"/>
    <w:rsid w:val="00B94817"/>
    <w:rsid w:val="00B9481C"/>
    <w:rsid w:val="00B948D5"/>
    <w:rsid w:val="00B94B18"/>
    <w:rsid w:val="00B94D2D"/>
    <w:rsid w:val="00B94D5E"/>
    <w:rsid w:val="00B94E53"/>
    <w:rsid w:val="00B9524F"/>
    <w:rsid w:val="00B954A7"/>
    <w:rsid w:val="00B954C2"/>
    <w:rsid w:val="00B95E8E"/>
    <w:rsid w:val="00B95F87"/>
    <w:rsid w:val="00B96190"/>
    <w:rsid w:val="00B961BB"/>
    <w:rsid w:val="00B9667D"/>
    <w:rsid w:val="00B96876"/>
    <w:rsid w:val="00B9696A"/>
    <w:rsid w:val="00B96DE8"/>
    <w:rsid w:val="00B96F6C"/>
    <w:rsid w:val="00B970D7"/>
    <w:rsid w:val="00B97155"/>
    <w:rsid w:val="00B971D0"/>
    <w:rsid w:val="00B97796"/>
    <w:rsid w:val="00B978A2"/>
    <w:rsid w:val="00B978DA"/>
    <w:rsid w:val="00B97C53"/>
    <w:rsid w:val="00B97F5B"/>
    <w:rsid w:val="00BA0371"/>
    <w:rsid w:val="00BA078F"/>
    <w:rsid w:val="00BA0A74"/>
    <w:rsid w:val="00BA0D23"/>
    <w:rsid w:val="00BA0F4C"/>
    <w:rsid w:val="00BA11CD"/>
    <w:rsid w:val="00BA1353"/>
    <w:rsid w:val="00BA146D"/>
    <w:rsid w:val="00BA1489"/>
    <w:rsid w:val="00BA14F4"/>
    <w:rsid w:val="00BA188F"/>
    <w:rsid w:val="00BA1AC7"/>
    <w:rsid w:val="00BA1B52"/>
    <w:rsid w:val="00BA1C68"/>
    <w:rsid w:val="00BA1DA5"/>
    <w:rsid w:val="00BA1E6B"/>
    <w:rsid w:val="00BA200E"/>
    <w:rsid w:val="00BA2230"/>
    <w:rsid w:val="00BA2248"/>
    <w:rsid w:val="00BA243F"/>
    <w:rsid w:val="00BA2A01"/>
    <w:rsid w:val="00BA2C18"/>
    <w:rsid w:val="00BA3171"/>
    <w:rsid w:val="00BA3445"/>
    <w:rsid w:val="00BA349D"/>
    <w:rsid w:val="00BA3537"/>
    <w:rsid w:val="00BA353B"/>
    <w:rsid w:val="00BA3885"/>
    <w:rsid w:val="00BA3C2E"/>
    <w:rsid w:val="00BA40BA"/>
    <w:rsid w:val="00BA43F7"/>
    <w:rsid w:val="00BA4637"/>
    <w:rsid w:val="00BA48E6"/>
    <w:rsid w:val="00BA4BB8"/>
    <w:rsid w:val="00BA4BCE"/>
    <w:rsid w:val="00BA5055"/>
    <w:rsid w:val="00BA54AD"/>
    <w:rsid w:val="00BA5523"/>
    <w:rsid w:val="00BA563D"/>
    <w:rsid w:val="00BA595A"/>
    <w:rsid w:val="00BA5C2A"/>
    <w:rsid w:val="00BA5D9E"/>
    <w:rsid w:val="00BA5FB0"/>
    <w:rsid w:val="00BA609A"/>
    <w:rsid w:val="00BA662A"/>
    <w:rsid w:val="00BA67D1"/>
    <w:rsid w:val="00BA6806"/>
    <w:rsid w:val="00BA6A15"/>
    <w:rsid w:val="00BA70E3"/>
    <w:rsid w:val="00BA7891"/>
    <w:rsid w:val="00BA7B1B"/>
    <w:rsid w:val="00BA7CBE"/>
    <w:rsid w:val="00BB032B"/>
    <w:rsid w:val="00BB033A"/>
    <w:rsid w:val="00BB04B0"/>
    <w:rsid w:val="00BB0862"/>
    <w:rsid w:val="00BB08FF"/>
    <w:rsid w:val="00BB090E"/>
    <w:rsid w:val="00BB09B8"/>
    <w:rsid w:val="00BB0B28"/>
    <w:rsid w:val="00BB0E44"/>
    <w:rsid w:val="00BB0EB4"/>
    <w:rsid w:val="00BB0F28"/>
    <w:rsid w:val="00BB1006"/>
    <w:rsid w:val="00BB1088"/>
    <w:rsid w:val="00BB115D"/>
    <w:rsid w:val="00BB1200"/>
    <w:rsid w:val="00BB1266"/>
    <w:rsid w:val="00BB1640"/>
    <w:rsid w:val="00BB17CA"/>
    <w:rsid w:val="00BB1A39"/>
    <w:rsid w:val="00BB1B82"/>
    <w:rsid w:val="00BB1D27"/>
    <w:rsid w:val="00BB1DCA"/>
    <w:rsid w:val="00BB219A"/>
    <w:rsid w:val="00BB2232"/>
    <w:rsid w:val="00BB243B"/>
    <w:rsid w:val="00BB25D5"/>
    <w:rsid w:val="00BB29C7"/>
    <w:rsid w:val="00BB2B47"/>
    <w:rsid w:val="00BB2D0A"/>
    <w:rsid w:val="00BB3518"/>
    <w:rsid w:val="00BB3795"/>
    <w:rsid w:val="00BB3868"/>
    <w:rsid w:val="00BB38BE"/>
    <w:rsid w:val="00BB3900"/>
    <w:rsid w:val="00BB39EE"/>
    <w:rsid w:val="00BB3C67"/>
    <w:rsid w:val="00BB3E62"/>
    <w:rsid w:val="00BB3EF6"/>
    <w:rsid w:val="00BB3FEC"/>
    <w:rsid w:val="00BB40B4"/>
    <w:rsid w:val="00BB40C2"/>
    <w:rsid w:val="00BB414A"/>
    <w:rsid w:val="00BB44AD"/>
    <w:rsid w:val="00BB4582"/>
    <w:rsid w:val="00BB4597"/>
    <w:rsid w:val="00BB47B2"/>
    <w:rsid w:val="00BB4D6B"/>
    <w:rsid w:val="00BB51C6"/>
    <w:rsid w:val="00BB5541"/>
    <w:rsid w:val="00BB5861"/>
    <w:rsid w:val="00BB5945"/>
    <w:rsid w:val="00BB5A91"/>
    <w:rsid w:val="00BB5DFD"/>
    <w:rsid w:val="00BB624A"/>
    <w:rsid w:val="00BB633E"/>
    <w:rsid w:val="00BB6884"/>
    <w:rsid w:val="00BB697F"/>
    <w:rsid w:val="00BB6ADF"/>
    <w:rsid w:val="00BB6BFC"/>
    <w:rsid w:val="00BB6C51"/>
    <w:rsid w:val="00BB6D28"/>
    <w:rsid w:val="00BB6F15"/>
    <w:rsid w:val="00BB7263"/>
    <w:rsid w:val="00BB764D"/>
    <w:rsid w:val="00BB7679"/>
    <w:rsid w:val="00BB775C"/>
    <w:rsid w:val="00BB7765"/>
    <w:rsid w:val="00BB7810"/>
    <w:rsid w:val="00BB7FD7"/>
    <w:rsid w:val="00BC008B"/>
    <w:rsid w:val="00BC0597"/>
    <w:rsid w:val="00BC0715"/>
    <w:rsid w:val="00BC0BF9"/>
    <w:rsid w:val="00BC0CD4"/>
    <w:rsid w:val="00BC0D7B"/>
    <w:rsid w:val="00BC0FE8"/>
    <w:rsid w:val="00BC102A"/>
    <w:rsid w:val="00BC1082"/>
    <w:rsid w:val="00BC113E"/>
    <w:rsid w:val="00BC122D"/>
    <w:rsid w:val="00BC152A"/>
    <w:rsid w:val="00BC19B6"/>
    <w:rsid w:val="00BC1B3E"/>
    <w:rsid w:val="00BC1B84"/>
    <w:rsid w:val="00BC1D30"/>
    <w:rsid w:val="00BC2336"/>
    <w:rsid w:val="00BC250A"/>
    <w:rsid w:val="00BC2877"/>
    <w:rsid w:val="00BC2C5B"/>
    <w:rsid w:val="00BC2D57"/>
    <w:rsid w:val="00BC30BB"/>
    <w:rsid w:val="00BC355C"/>
    <w:rsid w:val="00BC398B"/>
    <w:rsid w:val="00BC3994"/>
    <w:rsid w:val="00BC3A1F"/>
    <w:rsid w:val="00BC3B76"/>
    <w:rsid w:val="00BC3CCB"/>
    <w:rsid w:val="00BC3CE5"/>
    <w:rsid w:val="00BC41BA"/>
    <w:rsid w:val="00BC427C"/>
    <w:rsid w:val="00BC444C"/>
    <w:rsid w:val="00BC4ADE"/>
    <w:rsid w:val="00BC4C06"/>
    <w:rsid w:val="00BC4CD8"/>
    <w:rsid w:val="00BC4D0D"/>
    <w:rsid w:val="00BC4EAD"/>
    <w:rsid w:val="00BC4F6A"/>
    <w:rsid w:val="00BC4F8D"/>
    <w:rsid w:val="00BC543B"/>
    <w:rsid w:val="00BC5471"/>
    <w:rsid w:val="00BC56A0"/>
    <w:rsid w:val="00BC56DF"/>
    <w:rsid w:val="00BC56F9"/>
    <w:rsid w:val="00BC580E"/>
    <w:rsid w:val="00BC5A49"/>
    <w:rsid w:val="00BC5A97"/>
    <w:rsid w:val="00BC5AC8"/>
    <w:rsid w:val="00BC5B65"/>
    <w:rsid w:val="00BC5B89"/>
    <w:rsid w:val="00BC5E56"/>
    <w:rsid w:val="00BC5FE2"/>
    <w:rsid w:val="00BC6039"/>
    <w:rsid w:val="00BC6332"/>
    <w:rsid w:val="00BC63C4"/>
    <w:rsid w:val="00BC6720"/>
    <w:rsid w:val="00BC69D3"/>
    <w:rsid w:val="00BC6B5F"/>
    <w:rsid w:val="00BC6C9A"/>
    <w:rsid w:val="00BC71B8"/>
    <w:rsid w:val="00BC7795"/>
    <w:rsid w:val="00BC79F8"/>
    <w:rsid w:val="00BC7B20"/>
    <w:rsid w:val="00BC7C0C"/>
    <w:rsid w:val="00BD04FF"/>
    <w:rsid w:val="00BD05C9"/>
    <w:rsid w:val="00BD071E"/>
    <w:rsid w:val="00BD07C7"/>
    <w:rsid w:val="00BD0973"/>
    <w:rsid w:val="00BD0C09"/>
    <w:rsid w:val="00BD0F22"/>
    <w:rsid w:val="00BD1152"/>
    <w:rsid w:val="00BD1294"/>
    <w:rsid w:val="00BD15D2"/>
    <w:rsid w:val="00BD18C3"/>
    <w:rsid w:val="00BD1CA8"/>
    <w:rsid w:val="00BD1E6C"/>
    <w:rsid w:val="00BD1F2D"/>
    <w:rsid w:val="00BD2199"/>
    <w:rsid w:val="00BD21B7"/>
    <w:rsid w:val="00BD224C"/>
    <w:rsid w:val="00BD248C"/>
    <w:rsid w:val="00BD2827"/>
    <w:rsid w:val="00BD28AB"/>
    <w:rsid w:val="00BD2B1F"/>
    <w:rsid w:val="00BD2C5F"/>
    <w:rsid w:val="00BD2CBB"/>
    <w:rsid w:val="00BD3018"/>
    <w:rsid w:val="00BD3983"/>
    <w:rsid w:val="00BD3AC6"/>
    <w:rsid w:val="00BD3C93"/>
    <w:rsid w:val="00BD3D56"/>
    <w:rsid w:val="00BD3DEA"/>
    <w:rsid w:val="00BD3FD3"/>
    <w:rsid w:val="00BD4552"/>
    <w:rsid w:val="00BD4594"/>
    <w:rsid w:val="00BD4947"/>
    <w:rsid w:val="00BD4A3D"/>
    <w:rsid w:val="00BD581C"/>
    <w:rsid w:val="00BD58A3"/>
    <w:rsid w:val="00BD5BC6"/>
    <w:rsid w:val="00BD5C74"/>
    <w:rsid w:val="00BD5E78"/>
    <w:rsid w:val="00BD62AB"/>
    <w:rsid w:val="00BD62C7"/>
    <w:rsid w:val="00BD63EF"/>
    <w:rsid w:val="00BD6491"/>
    <w:rsid w:val="00BD68C0"/>
    <w:rsid w:val="00BD692B"/>
    <w:rsid w:val="00BD6DDE"/>
    <w:rsid w:val="00BD6F10"/>
    <w:rsid w:val="00BD742A"/>
    <w:rsid w:val="00BD7546"/>
    <w:rsid w:val="00BD76DF"/>
    <w:rsid w:val="00BD76FB"/>
    <w:rsid w:val="00BD7798"/>
    <w:rsid w:val="00BD779C"/>
    <w:rsid w:val="00BD7B57"/>
    <w:rsid w:val="00BD7B70"/>
    <w:rsid w:val="00BD7B85"/>
    <w:rsid w:val="00BD7F3C"/>
    <w:rsid w:val="00BE08E2"/>
    <w:rsid w:val="00BE0AE6"/>
    <w:rsid w:val="00BE0C1E"/>
    <w:rsid w:val="00BE1117"/>
    <w:rsid w:val="00BE11B9"/>
    <w:rsid w:val="00BE1462"/>
    <w:rsid w:val="00BE1C6A"/>
    <w:rsid w:val="00BE21FD"/>
    <w:rsid w:val="00BE2269"/>
    <w:rsid w:val="00BE26FE"/>
    <w:rsid w:val="00BE2E07"/>
    <w:rsid w:val="00BE36E1"/>
    <w:rsid w:val="00BE3A4D"/>
    <w:rsid w:val="00BE3B28"/>
    <w:rsid w:val="00BE3B75"/>
    <w:rsid w:val="00BE3BF1"/>
    <w:rsid w:val="00BE3C5C"/>
    <w:rsid w:val="00BE3DF8"/>
    <w:rsid w:val="00BE3E40"/>
    <w:rsid w:val="00BE3EBD"/>
    <w:rsid w:val="00BE4285"/>
    <w:rsid w:val="00BE4328"/>
    <w:rsid w:val="00BE43DF"/>
    <w:rsid w:val="00BE45AA"/>
    <w:rsid w:val="00BE45CA"/>
    <w:rsid w:val="00BE4A79"/>
    <w:rsid w:val="00BE5364"/>
    <w:rsid w:val="00BE55B3"/>
    <w:rsid w:val="00BE5606"/>
    <w:rsid w:val="00BE5B8D"/>
    <w:rsid w:val="00BE5D71"/>
    <w:rsid w:val="00BE5E1B"/>
    <w:rsid w:val="00BE628A"/>
    <w:rsid w:val="00BE638D"/>
    <w:rsid w:val="00BE64ED"/>
    <w:rsid w:val="00BE6621"/>
    <w:rsid w:val="00BE6745"/>
    <w:rsid w:val="00BE6922"/>
    <w:rsid w:val="00BE6B83"/>
    <w:rsid w:val="00BE6CDB"/>
    <w:rsid w:val="00BE6D75"/>
    <w:rsid w:val="00BE7106"/>
    <w:rsid w:val="00BE719D"/>
    <w:rsid w:val="00BE74F2"/>
    <w:rsid w:val="00BE7515"/>
    <w:rsid w:val="00BE78E8"/>
    <w:rsid w:val="00BE7D51"/>
    <w:rsid w:val="00BE7E61"/>
    <w:rsid w:val="00BE7FDC"/>
    <w:rsid w:val="00BF0356"/>
    <w:rsid w:val="00BF0469"/>
    <w:rsid w:val="00BF064E"/>
    <w:rsid w:val="00BF066D"/>
    <w:rsid w:val="00BF08A6"/>
    <w:rsid w:val="00BF08E1"/>
    <w:rsid w:val="00BF0961"/>
    <w:rsid w:val="00BF09D3"/>
    <w:rsid w:val="00BF0D71"/>
    <w:rsid w:val="00BF0E98"/>
    <w:rsid w:val="00BF10E7"/>
    <w:rsid w:val="00BF136C"/>
    <w:rsid w:val="00BF1744"/>
    <w:rsid w:val="00BF1B05"/>
    <w:rsid w:val="00BF1BB6"/>
    <w:rsid w:val="00BF1DD5"/>
    <w:rsid w:val="00BF23F0"/>
    <w:rsid w:val="00BF247A"/>
    <w:rsid w:val="00BF2BBE"/>
    <w:rsid w:val="00BF2EC8"/>
    <w:rsid w:val="00BF2FBB"/>
    <w:rsid w:val="00BF332D"/>
    <w:rsid w:val="00BF337A"/>
    <w:rsid w:val="00BF3573"/>
    <w:rsid w:val="00BF35EF"/>
    <w:rsid w:val="00BF374C"/>
    <w:rsid w:val="00BF3802"/>
    <w:rsid w:val="00BF3CD4"/>
    <w:rsid w:val="00BF3D4F"/>
    <w:rsid w:val="00BF3F4F"/>
    <w:rsid w:val="00BF40D5"/>
    <w:rsid w:val="00BF41D0"/>
    <w:rsid w:val="00BF454F"/>
    <w:rsid w:val="00BF462C"/>
    <w:rsid w:val="00BF4712"/>
    <w:rsid w:val="00BF472F"/>
    <w:rsid w:val="00BF489C"/>
    <w:rsid w:val="00BF4A8C"/>
    <w:rsid w:val="00BF4EBD"/>
    <w:rsid w:val="00BF4FD1"/>
    <w:rsid w:val="00BF547E"/>
    <w:rsid w:val="00BF597A"/>
    <w:rsid w:val="00BF5AAF"/>
    <w:rsid w:val="00BF5ACF"/>
    <w:rsid w:val="00BF5C34"/>
    <w:rsid w:val="00BF5CA6"/>
    <w:rsid w:val="00BF5CC4"/>
    <w:rsid w:val="00BF5CE3"/>
    <w:rsid w:val="00BF5E94"/>
    <w:rsid w:val="00BF5EC6"/>
    <w:rsid w:val="00BF5EC7"/>
    <w:rsid w:val="00BF5FCF"/>
    <w:rsid w:val="00BF62F7"/>
    <w:rsid w:val="00BF6473"/>
    <w:rsid w:val="00BF67AC"/>
    <w:rsid w:val="00BF6815"/>
    <w:rsid w:val="00BF697B"/>
    <w:rsid w:val="00BF6B0C"/>
    <w:rsid w:val="00BF72E6"/>
    <w:rsid w:val="00BF735E"/>
    <w:rsid w:val="00BF7DE8"/>
    <w:rsid w:val="00C00127"/>
    <w:rsid w:val="00C00270"/>
    <w:rsid w:val="00C00592"/>
    <w:rsid w:val="00C00596"/>
    <w:rsid w:val="00C006A1"/>
    <w:rsid w:val="00C009C0"/>
    <w:rsid w:val="00C009DE"/>
    <w:rsid w:val="00C01056"/>
    <w:rsid w:val="00C01208"/>
    <w:rsid w:val="00C0120C"/>
    <w:rsid w:val="00C01297"/>
    <w:rsid w:val="00C01391"/>
    <w:rsid w:val="00C014F8"/>
    <w:rsid w:val="00C0165B"/>
    <w:rsid w:val="00C017F6"/>
    <w:rsid w:val="00C01848"/>
    <w:rsid w:val="00C0186F"/>
    <w:rsid w:val="00C019EF"/>
    <w:rsid w:val="00C01B02"/>
    <w:rsid w:val="00C02015"/>
    <w:rsid w:val="00C0210C"/>
    <w:rsid w:val="00C022D1"/>
    <w:rsid w:val="00C02352"/>
    <w:rsid w:val="00C02454"/>
    <w:rsid w:val="00C027FE"/>
    <w:rsid w:val="00C0292F"/>
    <w:rsid w:val="00C02A0B"/>
    <w:rsid w:val="00C02BC9"/>
    <w:rsid w:val="00C02C03"/>
    <w:rsid w:val="00C02C10"/>
    <w:rsid w:val="00C02C72"/>
    <w:rsid w:val="00C032CD"/>
    <w:rsid w:val="00C03758"/>
    <w:rsid w:val="00C039B1"/>
    <w:rsid w:val="00C039B3"/>
    <w:rsid w:val="00C03BC6"/>
    <w:rsid w:val="00C03DE1"/>
    <w:rsid w:val="00C03E81"/>
    <w:rsid w:val="00C03EF1"/>
    <w:rsid w:val="00C04093"/>
    <w:rsid w:val="00C04954"/>
    <w:rsid w:val="00C04A0F"/>
    <w:rsid w:val="00C04B89"/>
    <w:rsid w:val="00C04C17"/>
    <w:rsid w:val="00C04C6E"/>
    <w:rsid w:val="00C0510F"/>
    <w:rsid w:val="00C051A2"/>
    <w:rsid w:val="00C051E5"/>
    <w:rsid w:val="00C05246"/>
    <w:rsid w:val="00C0549A"/>
    <w:rsid w:val="00C054CD"/>
    <w:rsid w:val="00C054E5"/>
    <w:rsid w:val="00C05A18"/>
    <w:rsid w:val="00C05B34"/>
    <w:rsid w:val="00C05D0C"/>
    <w:rsid w:val="00C0602E"/>
    <w:rsid w:val="00C060B4"/>
    <w:rsid w:val="00C0628B"/>
    <w:rsid w:val="00C06480"/>
    <w:rsid w:val="00C065D5"/>
    <w:rsid w:val="00C06687"/>
    <w:rsid w:val="00C06B97"/>
    <w:rsid w:val="00C06D34"/>
    <w:rsid w:val="00C0701E"/>
    <w:rsid w:val="00C0782B"/>
    <w:rsid w:val="00C0784D"/>
    <w:rsid w:val="00C07F37"/>
    <w:rsid w:val="00C10090"/>
    <w:rsid w:val="00C1012A"/>
    <w:rsid w:val="00C1029F"/>
    <w:rsid w:val="00C10341"/>
    <w:rsid w:val="00C10574"/>
    <w:rsid w:val="00C1099E"/>
    <w:rsid w:val="00C10A17"/>
    <w:rsid w:val="00C10D9C"/>
    <w:rsid w:val="00C10FFB"/>
    <w:rsid w:val="00C11037"/>
    <w:rsid w:val="00C11154"/>
    <w:rsid w:val="00C11380"/>
    <w:rsid w:val="00C11691"/>
    <w:rsid w:val="00C11DCB"/>
    <w:rsid w:val="00C11DFA"/>
    <w:rsid w:val="00C11E7C"/>
    <w:rsid w:val="00C11F60"/>
    <w:rsid w:val="00C12295"/>
    <w:rsid w:val="00C12514"/>
    <w:rsid w:val="00C12837"/>
    <w:rsid w:val="00C12862"/>
    <w:rsid w:val="00C12BD5"/>
    <w:rsid w:val="00C12E82"/>
    <w:rsid w:val="00C13005"/>
    <w:rsid w:val="00C131EE"/>
    <w:rsid w:val="00C13213"/>
    <w:rsid w:val="00C13338"/>
    <w:rsid w:val="00C133BB"/>
    <w:rsid w:val="00C133D0"/>
    <w:rsid w:val="00C1340C"/>
    <w:rsid w:val="00C13521"/>
    <w:rsid w:val="00C13576"/>
    <w:rsid w:val="00C13887"/>
    <w:rsid w:val="00C1394C"/>
    <w:rsid w:val="00C13953"/>
    <w:rsid w:val="00C13BE4"/>
    <w:rsid w:val="00C13C3E"/>
    <w:rsid w:val="00C13CA8"/>
    <w:rsid w:val="00C13CF5"/>
    <w:rsid w:val="00C13F07"/>
    <w:rsid w:val="00C14190"/>
    <w:rsid w:val="00C14A49"/>
    <w:rsid w:val="00C14AC7"/>
    <w:rsid w:val="00C14CDC"/>
    <w:rsid w:val="00C15282"/>
    <w:rsid w:val="00C1559B"/>
    <w:rsid w:val="00C15661"/>
    <w:rsid w:val="00C15A37"/>
    <w:rsid w:val="00C15CC1"/>
    <w:rsid w:val="00C15FC8"/>
    <w:rsid w:val="00C16067"/>
    <w:rsid w:val="00C166FD"/>
    <w:rsid w:val="00C168F2"/>
    <w:rsid w:val="00C16901"/>
    <w:rsid w:val="00C16B57"/>
    <w:rsid w:val="00C16CD5"/>
    <w:rsid w:val="00C16D7F"/>
    <w:rsid w:val="00C16E36"/>
    <w:rsid w:val="00C1741C"/>
    <w:rsid w:val="00C175CA"/>
    <w:rsid w:val="00C17AD7"/>
    <w:rsid w:val="00C17C0E"/>
    <w:rsid w:val="00C17D93"/>
    <w:rsid w:val="00C17F1C"/>
    <w:rsid w:val="00C2048F"/>
    <w:rsid w:val="00C2049D"/>
    <w:rsid w:val="00C204DA"/>
    <w:rsid w:val="00C20585"/>
    <w:rsid w:val="00C205A2"/>
    <w:rsid w:val="00C208E7"/>
    <w:rsid w:val="00C20FB2"/>
    <w:rsid w:val="00C20FC5"/>
    <w:rsid w:val="00C21386"/>
    <w:rsid w:val="00C213D1"/>
    <w:rsid w:val="00C214B8"/>
    <w:rsid w:val="00C218C3"/>
    <w:rsid w:val="00C21F47"/>
    <w:rsid w:val="00C220FB"/>
    <w:rsid w:val="00C2237F"/>
    <w:rsid w:val="00C223FD"/>
    <w:rsid w:val="00C2244E"/>
    <w:rsid w:val="00C2251C"/>
    <w:rsid w:val="00C22640"/>
    <w:rsid w:val="00C22719"/>
    <w:rsid w:val="00C2288E"/>
    <w:rsid w:val="00C22908"/>
    <w:rsid w:val="00C22A29"/>
    <w:rsid w:val="00C22B29"/>
    <w:rsid w:val="00C22B5C"/>
    <w:rsid w:val="00C22BA8"/>
    <w:rsid w:val="00C22CF4"/>
    <w:rsid w:val="00C22D17"/>
    <w:rsid w:val="00C2303E"/>
    <w:rsid w:val="00C231D4"/>
    <w:rsid w:val="00C2341B"/>
    <w:rsid w:val="00C23469"/>
    <w:rsid w:val="00C23631"/>
    <w:rsid w:val="00C2373E"/>
    <w:rsid w:val="00C23810"/>
    <w:rsid w:val="00C23994"/>
    <w:rsid w:val="00C23AA2"/>
    <w:rsid w:val="00C23CA8"/>
    <w:rsid w:val="00C23DD9"/>
    <w:rsid w:val="00C23E8C"/>
    <w:rsid w:val="00C23F43"/>
    <w:rsid w:val="00C23F7A"/>
    <w:rsid w:val="00C240F9"/>
    <w:rsid w:val="00C24150"/>
    <w:rsid w:val="00C241D0"/>
    <w:rsid w:val="00C2427E"/>
    <w:rsid w:val="00C242EF"/>
    <w:rsid w:val="00C24311"/>
    <w:rsid w:val="00C2488D"/>
    <w:rsid w:val="00C248FB"/>
    <w:rsid w:val="00C24B6C"/>
    <w:rsid w:val="00C24FD7"/>
    <w:rsid w:val="00C25008"/>
    <w:rsid w:val="00C25310"/>
    <w:rsid w:val="00C2537E"/>
    <w:rsid w:val="00C253A6"/>
    <w:rsid w:val="00C25433"/>
    <w:rsid w:val="00C2553F"/>
    <w:rsid w:val="00C25625"/>
    <w:rsid w:val="00C25644"/>
    <w:rsid w:val="00C25974"/>
    <w:rsid w:val="00C25A51"/>
    <w:rsid w:val="00C25E26"/>
    <w:rsid w:val="00C26307"/>
    <w:rsid w:val="00C2638C"/>
    <w:rsid w:val="00C26455"/>
    <w:rsid w:val="00C26473"/>
    <w:rsid w:val="00C26808"/>
    <w:rsid w:val="00C26BF8"/>
    <w:rsid w:val="00C26C6A"/>
    <w:rsid w:val="00C2715B"/>
    <w:rsid w:val="00C271C2"/>
    <w:rsid w:val="00C27230"/>
    <w:rsid w:val="00C27507"/>
    <w:rsid w:val="00C27744"/>
    <w:rsid w:val="00C279EC"/>
    <w:rsid w:val="00C27B2D"/>
    <w:rsid w:val="00C27B75"/>
    <w:rsid w:val="00C27E0D"/>
    <w:rsid w:val="00C300CF"/>
    <w:rsid w:val="00C30352"/>
    <w:rsid w:val="00C30997"/>
    <w:rsid w:val="00C30A6D"/>
    <w:rsid w:val="00C30B18"/>
    <w:rsid w:val="00C30C4F"/>
    <w:rsid w:val="00C30D20"/>
    <w:rsid w:val="00C3113C"/>
    <w:rsid w:val="00C3141C"/>
    <w:rsid w:val="00C31667"/>
    <w:rsid w:val="00C31B04"/>
    <w:rsid w:val="00C31EBD"/>
    <w:rsid w:val="00C32229"/>
    <w:rsid w:val="00C32288"/>
    <w:rsid w:val="00C32471"/>
    <w:rsid w:val="00C325FA"/>
    <w:rsid w:val="00C32663"/>
    <w:rsid w:val="00C32759"/>
    <w:rsid w:val="00C32BB2"/>
    <w:rsid w:val="00C32CBF"/>
    <w:rsid w:val="00C32D9D"/>
    <w:rsid w:val="00C330A9"/>
    <w:rsid w:val="00C338D7"/>
    <w:rsid w:val="00C33989"/>
    <w:rsid w:val="00C33E90"/>
    <w:rsid w:val="00C34427"/>
    <w:rsid w:val="00C34435"/>
    <w:rsid w:val="00C34C12"/>
    <w:rsid w:val="00C34CF0"/>
    <w:rsid w:val="00C34D17"/>
    <w:rsid w:val="00C34FBC"/>
    <w:rsid w:val="00C35416"/>
    <w:rsid w:val="00C355AF"/>
    <w:rsid w:val="00C357CE"/>
    <w:rsid w:val="00C35A2C"/>
    <w:rsid w:val="00C35A82"/>
    <w:rsid w:val="00C35B47"/>
    <w:rsid w:val="00C35E02"/>
    <w:rsid w:val="00C35E21"/>
    <w:rsid w:val="00C35FB6"/>
    <w:rsid w:val="00C36482"/>
    <w:rsid w:val="00C364A9"/>
    <w:rsid w:val="00C36517"/>
    <w:rsid w:val="00C365DD"/>
    <w:rsid w:val="00C36623"/>
    <w:rsid w:val="00C366E5"/>
    <w:rsid w:val="00C3764C"/>
    <w:rsid w:val="00C37767"/>
    <w:rsid w:val="00C37AFD"/>
    <w:rsid w:val="00C37B8D"/>
    <w:rsid w:val="00C37C9A"/>
    <w:rsid w:val="00C37E8E"/>
    <w:rsid w:val="00C4010F"/>
    <w:rsid w:val="00C40219"/>
    <w:rsid w:val="00C40A49"/>
    <w:rsid w:val="00C40C70"/>
    <w:rsid w:val="00C40E51"/>
    <w:rsid w:val="00C41046"/>
    <w:rsid w:val="00C414CF"/>
    <w:rsid w:val="00C41815"/>
    <w:rsid w:val="00C41853"/>
    <w:rsid w:val="00C41B75"/>
    <w:rsid w:val="00C41FC8"/>
    <w:rsid w:val="00C41FF6"/>
    <w:rsid w:val="00C421E8"/>
    <w:rsid w:val="00C4222A"/>
    <w:rsid w:val="00C422EB"/>
    <w:rsid w:val="00C429E0"/>
    <w:rsid w:val="00C42AE5"/>
    <w:rsid w:val="00C42DAF"/>
    <w:rsid w:val="00C42E4A"/>
    <w:rsid w:val="00C42F4E"/>
    <w:rsid w:val="00C42FF3"/>
    <w:rsid w:val="00C437AE"/>
    <w:rsid w:val="00C43B0E"/>
    <w:rsid w:val="00C43F7C"/>
    <w:rsid w:val="00C44992"/>
    <w:rsid w:val="00C44A18"/>
    <w:rsid w:val="00C44A28"/>
    <w:rsid w:val="00C44A90"/>
    <w:rsid w:val="00C44C32"/>
    <w:rsid w:val="00C44DB3"/>
    <w:rsid w:val="00C44F67"/>
    <w:rsid w:val="00C45276"/>
    <w:rsid w:val="00C456DA"/>
    <w:rsid w:val="00C45D77"/>
    <w:rsid w:val="00C45ED4"/>
    <w:rsid w:val="00C45F56"/>
    <w:rsid w:val="00C46348"/>
    <w:rsid w:val="00C4645E"/>
    <w:rsid w:val="00C4670C"/>
    <w:rsid w:val="00C467AC"/>
    <w:rsid w:val="00C468E2"/>
    <w:rsid w:val="00C46C59"/>
    <w:rsid w:val="00C46CAD"/>
    <w:rsid w:val="00C4704C"/>
    <w:rsid w:val="00C4708A"/>
    <w:rsid w:val="00C471AA"/>
    <w:rsid w:val="00C471C4"/>
    <w:rsid w:val="00C4764E"/>
    <w:rsid w:val="00C47747"/>
    <w:rsid w:val="00C479FF"/>
    <w:rsid w:val="00C47B7C"/>
    <w:rsid w:val="00C47D00"/>
    <w:rsid w:val="00C47DA8"/>
    <w:rsid w:val="00C50170"/>
    <w:rsid w:val="00C5066A"/>
    <w:rsid w:val="00C5089D"/>
    <w:rsid w:val="00C50B2F"/>
    <w:rsid w:val="00C50C64"/>
    <w:rsid w:val="00C50C8D"/>
    <w:rsid w:val="00C50DC2"/>
    <w:rsid w:val="00C50F1C"/>
    <w:rsid w:val="00C51156"/>
    <w:rsid w:val="00C5147F"/>
    <w:rsid w:val="00C5162C"/>
    <w:rsid w:val="00C517B1"/>
    <w:rsid w:val="00C51B75"/>
    <w:rsid w:val="00C51E85"/>
    <w:rsid w:val="00C51F1A"/>
    <w:rsid w:val="00C51F29"/>
    <w:rsid w:val="00C5218B"/>
    <w:rsid w:val="00C52771"/>
    <w:rsid w:val="00C528D8"/>
    <w:rsid w:val="00C528DA"/>
    <w:rsid w:val="00C5297C"/>
    <w:rsid w:val="00C52A3E"/>
    <w:rsid w:val="00C52A46"/>
    <w:rsid w:val="00C52C73"/>
    <w:rsid w:val="00C52E1C"/>
    <w:rsid w:val="00C532AC"/>
    <w:rsid w:val="00C5334D"/>
    <w:rsid w:val="00C533FA"/>
    <w:rsid w:val="00C534B7"/>
    <w:rsid w:val="00C5354B"/>
    <w:rsid w:val="00C53606"/>
    <w:rsid w:val="00C5364F"/>
    <w:rsid w:val="00C53D41"/>
    <w:rsid w:val="00C53E08"/>
    <w:rsid w:val="00C53F1D"/>
    <w:rsid w:val="00C53FD4"/>
    <w:rsid w:val="00C540EB"/>
    <w:rsid w:val="00C54138"/>
    <w:rsid w:val="00C5422A"/>
    <w:rsid w:val="00C5428F"/>
    <w:rsid w:val="00C5433C"/>
    <w:rsid w:val="00C543E2"/>
    <w:rsid w:val="00C54700"/>
    <w:rsid w:val="00C548F7"/>
    <w:rsid w:val="00C5490A"/>
    <w:rsid w:val="00C54954"/>
    <w:rsid w:val="00C549FA"/>
    <w:rsid w:val="00C54B2E"/>
    <w:rsid w:val="00C54B45"/>
    <w:rsid w:val="00C54D46"/>
    <w:rsid w:val="00C54DBF"/>
    <w:rsid w:val="00C551A6"/>
    <w:rsid w:val="00C552CE"/>
    <w:rsid w:val="00C553A7"/>
    <w:rsid w:val="00C553EA"/>
    <w:rsid w:val="00C5591F"/>
    <w:rsid w:val="00C55A84"/>
    <w:rsid w:val="00C55A8A"/>
    <w:rsid w:val="00C55C9B"/>
    <w:rsid w:val="00C56756"/>
    <w:rsid w:val="00C568A1"/>
    <w:rsid w:val="00C5692F"/>
    <w:rsid w:val="00C57110"/>
    <w:rsid w:val="00C5753F"/>
    <w:rsid w:val="00C577E1"/>
    <w:rsid w:val="00C5782B"/>
    <w:rsid w:val="00C57AE8"/>
    <w:rsid w:val="00C57B18"/>
    <w:rsid w:val="00C57E09"/>
    <w:rsid w:val="00C57E28"/>
    <w:rsid w:val="00C57F66"/>
    <w:rsid w:val="00C60130"/>
    <w:rsid w:val="00C60178"/>
    <w:rsid w:val="00C60254"/>
    <w:rsid w:val="00C602DB"/>
    <w:rsid w:val="00C602DC"/>
    <w:rsid w:val="00C604E1"/>
    <w:rsid w:val="00C608A2"/>
    <w:rsid w:val="00C6098F"/>
    <w:rsid w:val="00C60BA7"/>
    <w:rsid w:val="00C60BC1"/>
    <w:rsid w:val="00C60D0D"/>
    <w:rsid w:val="00C60E1F"/>
    <w:rsid w:val="00C61BAD"/>
    <w:rsid w:val="00C61CE4"/>
    <w:rsid w:val="00C61D6D"/>
    <w:rsid w:val="00C621EF"/>
    <w:rsid w:val="00C62305"/>
    <w:rsid w:val="00C623D3"/>
    <w:rsid w:val="00C62C20"/>
    <w:rsid w:val="00C62D26"/>
    <w:rsid w:val="00C62E72"/>
    <w:rsid w:val="00C62FB8"/>
    <w:rsid w:val="00C63062"/>
    <w:rsid w:val="00C632FB"/>
    <w:rsid w:val="00C6335E"/>
    <w:rsid w:val="00C63432"/>
    <w:rsid w:val="00C634CD"/>
    <w:rsid w:val="00C63500"/>
    <w:rsid w:val="00C636C8"/>
    <w:rsid w:val="00C637F9"/>
    <w:rsid w:val="00C63BBA"/>
    <w:rsid w:val="00C63C7B"/>
    <w:rsid w:val="00C63CFD"/>
    <w:rsid w:val="00C63D88"/>
    <w:rsid w:val="00C63E60"/>
    <w:rsid w:val="00C63E6D"/>
    <w:rsid w:val="00C6426C"/>
    <w:rsid w:val="00C64588"/>
    <w:rsid w:val="00C64677"/>
    <w:rsid w:val="00C646C3"/>
    <w:rsid w:val="00C647A2"/>
    <w:rsid w:val="00C64DB3"/>
    <w:rsid w:val="00C65653"/>
    <w:rsid w:val="00C657C2"/>
    <w:rsid w:val="00C65D27"/>
    <w:rsid w:val="00C65D89"/>
    <w:rsid w:val="00C65E7D"/>
    <w:rsid w:val="00C65FEA"/>
    <w:rsid w:val="00C66118"/>
    <w:rsid w:val="00C66152"/>
    <w:rsid w:val="00C66265"/>
    <w:rsid w:val="00C66445"/>
    <w:rsid w:val="00C6668F"/>
    <w:rsid w:val="00C666A4"/>
    <w:rsid w:val="00C66764"/>
    <w:rsid w:val="00C67057"/>
    <w:rsid w:val="00C673BC"/>
    <w:rsid w:val="00C67473"/>
    <w:rsid w:val="00C67685"/>
    <w:rsid w:val="00C6791C"/>
    <w:rsid w:val="00C67A5F"/>
    <w:rsid w:val="00C67D53"/>
    <w:rsid w:val="00C7049D"/>
    <w:rsid w:val="00C704E2"/>
    <w:rsid w:val="00C707D4"/>
    <w:rsid w:val="00C707DC"/>
    <w:rsid w:val="00C70AC0"/>
    <w:rsid w:val="00C70AC5"/>
    <w:rsid w:val="00C70AD5"/>
    <w:rsid w:val="00C70B63"/>
    <w:rsid w:val="00C70CDE"/>
    <w:rsid w:val="00C70FEC"/>
    <w:rsid w:val="00C714EF"/>
    <w:rsid w:val="00C7153F"/>
    <w:rsid w:val="00C717F9"/>
    <w:rsid w:val="00C71A4C"/>
    <w:rsid w:val="00C71AD0"/>
    <w:rsid w:val="00C71C55"/>
    <w:rsid w:val="00C71C60"/>
    <w:rsid w:val="00C71E17"/>
    <w:rsid w:val="00C72081"/>
    <w:rsid w:val="00C723EB"/>
    <w:rsid w:val="00C729D5"/>
    <w:rsid w:val="00C72C23"/>
    <w:rsid w:val="00C72C60"/>
    <w:rsid w:val="00C72E20"/>
    <w:rsid w:val="00C730B5"/>
    <w:rsid w:val="00C73148"/>
    <w:rsid w:val="00C73204"/>
    <w:rsid w:val="00C7336B"/>
    <w:rsid w:val="00C736C4"/>
    <w:rsid w:val="00C738AF"/>
    <w:rsid w:val="00C73D09"/>
    <w:rsid w:val="00C740F0"/>
    <w:rsid w:val="00C7418A"/>
    <w:rsid w:val="00C746B8"/>
    <w:rsid w:val="00C74938"/>
    <w:rsid w:val="00C74C85"/>
    <w:rsid w:val="00C74E71"/>
    <w:rsid w:val="00C7509F"/>
    <w:rsid w:val="00C7523F"/>
    <w:rsid w:val="00C75282"/>
    <w:rsid w:val="00C75D03"/>
    <w:rsid w:val="00C75FD7"/>
    <w:rsid w:val="00C7624D"/>
    <w:rsid w:val="00C7633C"/>
    <w:rsid w:val="00C763F1"/>
    <w:rsid w:val="00C76523"/>
    <w:rsid w:val="00C76621"/>
    <w:rsid w:val="00C76765"/>
    <w:rsid w:val="00C775D9"/>
    <w:rsid w:val="00C77616"/>
    <w:rsid w:val="00C776B7"/>
    <w:rsid w:val="00C7773A"/>
    <w:rsid w:val="00C777A6"/>
    <w:rsid w:val="00C77870"/>
    <w:rsid w:val="00C77895"/>
    <w:rsid w:val="00C77B5D"/>
    <w:rsid w:val="00C77C42"/>
    <w:rsid w:val="00C77D2A"/>
    <w:rsid w:val="00C800E8"/>
    <w:rsid w:val="00C8010C"/>
    <w:rsid w:val="00C8011B"/>
    <w:rsid w:val="00C8028D"/>
    <w:rsid w:val="00C807F3"/>
    <w:rsid w:val="00C8091A"/>
    <w:rsid w:val="00C80C9A"/>
    <w:rsid w:val="00C80CEE"/>
    <w:rsid w:val="00C80D3D"/>
    <w:rsid w:val="00C80E90"/>
    <w:rsid w:val="00C810B3"/>
    <w:rsid w:val="00C81535"/>
    <w:rsid w:val="00C81730"/>
    <w:rsid w:val="00C817F8"/>
    <w:rsid w:val="00C81922"/>
    <w:rsid w:val="00C81AE0"/>
    <w:rsid w:val="00C81C1D"/>
    <w:rsid w:val="00C81D04"/>
    <w:rsid w:val="00C82138"/>
    <w:rsid w:val="00C82498"/>
    <w:rsid w:val="00C82803"/>
    <w:rsid w:val="00C8288A"/>
    <w:rsid w:val="00C82A2E"/>
    <w:rsid w:val="00C82B64"/>
    <w:rsid w:val="00C82B82"/>
    <w:rsid w:val="00C83095"/>
    <w:rsid w:val="00C83176"/>
    <w:rsid w:val="00C8346A"/>
    <w:rsid w:val="00C84980"/>
    <w:rsid w:val="00C84AFB"/>
    <w:rsid w:val="00C84E35"/>
    <w:rsid w:val="00C84F9F"/>
    <w:rsid w:val="00C851D4"/>
    <w:rsid w:val="00C85297"/>
    <w:rsid w:val="00C85353"/>
    <w:rsid w:val="00C8548E"/>
    <w:rsid w:val="00C85515"/>
    <w:rsid w:val="00C855FA"/>
    <w:rsid w:val="00C8596C"/>
    <w:rsid w:val="00C85B3C"/>
    <w:rsid w:val="00C86054"/>
    <w:rsid w:val="00C863AE"/>
    <w:rsid w:val="00C86BCB"/>
    <w:rsid w:val="00C86C4F"/>
    <w:rsid w:val="00C86C96"/>
    <w:rsid w:val="00C87280"/>
    <w:rsid w:val="00C87563"/>
    <w:rsid w:val="00C8776A"/>
    <w:rsid w:val="00C87813"/>
    <w:rsid w:val="00C87A69"/>
    <w:rsid w:val="00C87D77"/>
    <w:rsid w:val="00C87FCB"/>
    <w:rsid w:val="00C9029C"/>
    <w:rsid w:val="00C90526"/>
    <w:rsid w:val="00C90704"/>
    <w:rsid w:val="00C9070D"/>
    <w:rsid w:val="00C9091A"/>
    <w:rsid w:val="00C90B4D"/>
    <w:rsid w:val="00C90FE3"/>
    <w:rsid w:val="00C9108B"/>
    <w:rsid w:val="00C911B4"/>
    <w:rsid w:val="00C91D19"/>
    <w:rsid w:val="00C91E91"/>
    <w:rsid w:val="00C91F28"/>
    <w:rsid w:val="00C923B5"/>
    <w:rsid w:val="00C92414"/>
    <w:rsid w:val="00C92576"/>
    <w:rsid w:val="00C92676"/>
    <w:rsid w:val="00C92954"/>
    <w:rsid w:val="00C92996"/>
    <w:rsid w:val="00C9299A"/>
    <w:rsid w:val="00C92A34"/>
    <w:rsid w:val="00C92B39"/>
    <w:rsid w:val="00C92B66"/>
    <w:rsid w:val="00C931B0"/>
    <w:rsid w:val="00C9363D"/>
    <w:rsid w:val="00C937CD"/>
    <w:rsid w:val="00C93D30"/>
    <w:rsid w:val="00C93F03"/>
    <w:rsid w:val="00C9401A"/>
    <w:rsid w:val="00C94046"/>
    <w:rsid w:val="00C94217"/>
    <w:rsid w:val="00C94307"/>
    <w:rsid w:val="00C944A8"/>
    <w:rsid w:val="00C94597"/>
    <w:rsid w:val="00C9494B"/>
    <w:rsid w:val="00C94F46"/>
    <w:rsid w:val="00C9513B"/>
    <w:rsid w:val="00C9574B"/>
    <w:rsid w:val="00C95772"/>
    <w:rsid w:val="00C95815"/>
    <w:rsid w:val="00C95CF9"/>
    <w:rsid w:val="00C96228"/>
    <w:rsid w:val="00C96360"/>
    <w:rsid w:val="00C96740"/>
    <w:rsid w:val="00C967D6"/>
    <w:rsid w:val="00C969E4"/>
    <w:rsid w:val="00C96B6A"/>
    <w:rsid w:val="00C96F8E"/>
    <w:rsid w:val="00C970BA"/>
    <w:rsid w:val="00C97593"/>
    <w:rsid w:val="00C97987"/>
    <w:rsid w:val="00C97A3B"/>
    <w:rsid w:val="00C97C17"/>
    <w:rsid w:val="00C97E0D"/>
    <w:rsid w:val="00CA00C5"/>
    <w:rsid w:val="00CA0275"/>
    <w:rsid w:val="00CA0369"/>
    <w:rsid w:val="00CA03A1"/>
    <w:rsid w:val="00CA056D"/>
    <w:rsid w:val="00CA0739"/>
    <w:rsid w:val="00CA0781"/>
    <w:rsid w:val="00CA0A1B"/>
    <w:rsid w:val="00CA0A41"/>
    <w:rsid w:val="00CA0AF5"/>
    <w:rsid w:val="00CA1040"/>
    <w:rsid w:val="00CA1044"/>
    <w:rsid w:val="00CA1196"/>
    <w:rsid w:val="00CA17E3"/>
    <w:rsid w:val="00CA185A"/>
    <w:rsid w:val="00CA19E4"/>
    <w:rsid w:val="00CA1A72"/>
    <w:rsid w:val="00CA1DDD"/>
    <w:rsid w:val="00CA1F07"/>
    <w:rsid w:val="00CA1F96"/>
    <w:rsid w:val="00CA20F4"/>
    <w:rsid w:val="00CA2239"/>
    <w:rsid w:val="00CA228A"/>
    <w:rsid w:val="00CA241F"/>
    <w:rsid w:val="00CA2597"/>
    <w:rsid w:val="00CA26C7"/>
    <w:rsid w:val="00CA2C53"/>
    <w:rsid w:val="00CA2E39"/>
    <w:rsid w:val="00CA2FD9"/>
    <w:rsid w:val="00CA343A"/>
    <w:rsid w:val="00CA3759"/>
    <w:rsid w:val="00CA3B8B"/>
    <w:rsid w:val="00CA3BC2"/>
    <w:rsid w:val="00CA3C0D"/>
    <w:rsid w:val="00CA3C9A"/>
    <w:rsid w:val="00CA3F81"/>
    <w:rsid w:val="00CA40BE"/>
    <w:rsid w:val="00CA4185"/>
    <w:rsid w:val="00CA437D"/>
    <w:rsid w:val="00CA49AF"/>
    <w:rsid w:val="00CA4CA5"/>
    <w:rsid w:val="00CA4DBC"/>
    <w:rsid w:val="00CA4EA7"/>
    <w:rsid w:val="00CA543F"/>
    <w:rsid w:val="00CA54DD"/>
    <w:rsid w:val="00CA577B"/>
    <w:rsid w:val="00CA5934"/>
    <w:rsid w:val="00CA5A65"/>
    <w:rsid w:val="00CA5C0D"/>
    <w:rsid w:val="00CA5C4A"/>
    <w:rsid w:val="00CA5EDE"/>
    <w:rsid w:val="00CA5F6D"/>
    <w:rsid w:val="00CA5F9E"/>
    <w:rsid w:val="00CA5FC4"/>
    <w:rsid w:val="00CA6BFF"/>
    <w:rsid w:val="00CA6DD8"/>
    <w:rsid w:val="00CA7302"/>
    <w:rsid w:val="00CA7437"/>
    <w:rsid w:val="00CA74D2"/>
    <w:rsid w:val="00CA7A4A"/>
    <w:rsid w:val="00CA7A50"/>
    <w:rsid w:val="00CA7C9B"/>
    <w:rsid w:val="00CB026A"/>
    <w:rsid w:val="00CB02A2"/>
    <w:rsid w:val="00CB049A"/>
    <w:rsid w:val="00CB08D4"/>
    <w:rsid w:val="00CB09EB"/>
    <w:rsid w:val="00CB0CCB"/>
    <w:rsid w:val="00CB1017"/>
    <w:rsid w:val="00CB11F4"/>
    <w:rsid w:val="00CB123C"/>
    <w:rsid w:val="00CB1265"/>
    <w:rsid w:val="00CB1976"/>
    <w:rsid w:val="00CB19C9"/>
    <w:rsid w:val="00CB1A37"/>
    <w:rsid w:val="00CB1A42"/>
    <w:rsid w:val="00CB1B76"/>
    <w:rsid w:val="00CB1D72"/>
    <w:rsid w:val="00CB1E1E"/>
    <w:rsid w:val="00CB1E2A"/>
    <w:rsid w:val="00CB2391"/>
    <w:rsid w:val="00CB2823"/>
    <w:rsid w:val="00CB28E0"/>
    <w:rsid w:val="00CB2C76"/>
    <w:rsid w:val="00CB2D6D"/>
    <w:rsid w:val="00CB2DCD"/>
    <w:rsid w:val="00CB2FCE"/>
    <w:rsid w:val="00CB3338"/>
    <w:rsid w:val="00CB34DB"/>
    <w:rsid w:val="00CB382F"/>
    <w:rsid w:val="00CB3924"/>
    <w:rsid w:val="00CB3BAA"/>
    <w:rsid w:val="00CB3CD2"/>
    <w:rsid w:val="00CB3EB3"/>
    <w:rsid w:val="00CB3EDB"/>
    <w:rsid w:val="00CB3FE2"/>
    <w:rsid w:val="00CB421E"/>
    <w:rsid w:val="00CB43B2"/>
    <w:rsid w:val="00CB4444"/>
    <w:rsid w:val="00CB4773"/>
    <w:rsid w:val="00CB47AE"/>
    <w:rsid w:val="00CB491E"/>
    <w:rsid w:val="00CB50E6"/>
    <w:rsid w:val="00CB5315"/>
    <w:rsid w:val="00CB56A0"/>
    <w:rsid w:val="00CB56D7"/>
    <w:rsid w:val="00CB5718"/>
    <w:rsid w:val="00CB588F"/>
    <w:rsid w:val="00CB58E2"/>
    <w:rsid w:val="00CB59B7"/>
    <w:rsid w:val="00CB5A35"/>
    <w:rsid w:val="00CB5C53"/>
    <w:rsid w:val="00CB5DD8"/>
    <w:rsid w:val="00CB5EC7"/>
    <w:rsid w:val="00CB5ED5"/>
    <w:rsid w:val="00CB6010"/>
    <w:rsid w:val="00CB606B"/>
    <w:rsid w:val="00CB6215"/>
    <w:rsid w:val="00CB62FD"/>
    <w:rsid w:val="00CB63F6"/>
    <w:rsid w:val="00CB6888"/>
    <w:rsid w:val="00CB6935"/>
    <w:rsid w:val="00CB6F8A"/>
    <w:rsid w:val="00CB6FDB"/>
    <w:rsid w:val="00CB708A"/>
    <w:rsid w:val="00CB72E1"/>
    <w:rsid w:val="00CB7479"/>
    <w:rsid w:val="00CB74DF"/>
    <w:rsid w:val="00CB74E3"/>
    <w:rsid w:val="00CB774C"/>
    <w:rsid w:val="00CB793E"/>
    <w:rsid w:val="00CB7969"/>
    <w:rsid w:val="00CB7D95"/>
    <w:rsid w:val="00CC0302"/>
    <w:rsid w:val="00CC0502"/>
    <w:rsid w:val="00CC0543"/>
    <w:rsid w:val="00CC088F"/>
    <w:rsid w:val="00CC10A4"/>
    <w:rsid w:val="00CC156C"/>
    <w:rsid w:val="00CC15D9"/>
    <w:rsid w:val="00CC176F"/>
    <w:rsid w:val="00CC1956"/>
    <w:rsid w:val="00CC1A0E"/>
    <w:rsid w:val="00CC1BC5"/>
    <w:rsid w:val="00CC1C73"/>
    <w:rsid w:val="00CC1CB8"/>
    <w:rsid w:val="00CC1D6B"/>
    <w:rsid w:val="00CC1EF7"/>
    <w:rsid w:val="00CC2382"/>
    <w:rsid w:val="00CC2478"/>
    <w:rsid w:val="00CC266A"/>
    <w:rsid w:val="00CC2AAF"/>
    <w:rsid w:val="00CC2BA0"/>
    <w:rsid w:val="00CC2C12"/>
    <w:rsid w:val="00CC2E72"/>
    <w:rsid w:val="00CC2EEA"/>
    <w:rsid w:val="00CC3169"/>
    <w:rsid w:val="00CC3532"/>
    <w:rsid w:val="00CC35DA"/>
    <w:rsid w:val="00CC3A5F"/>
    <w:rsid w:val="00CC3B1D"/>
    <w:rsid w:val="00CC3BE2"/>
    <w:rsid w:val="00CC40F6"/>
    <w:rsid w:val="00CC4150"/>
    <w:rsid w:val="00CC41E9"/>
    <w:rsid w:val="00CC4501"/>
    <w:rsid w:val="00CC45DC"/>
    <w:rsid w:val="00CC482F"/>
    <w:rsid w:val="00CC48FA"/>
    <w:rsid w:val="00CC4997"/>
    <w:rsid w:val="00CC49BD"/>
    <w:rsid w:val="00CC4D97"/>
    <w:rsid w:val="00CC53F6"/>
    <w:rsid w:val="00CC5502"/>
    <w:rsid w:val="00CC5D7D"/>
    <w:rsid w:val="00CC5D9C"/>
    <w:rsid w:val="00CC6AB8"/>
    <w:rsid w:val="00CC72B9"/>
    <w:rsid w:val="00CC78A0"/>
    <w:rsid w:val="00CC78F7"/>
    <w:rsid w:val="00CC79AA"/>
    <w:rsid w:val="00CC7A12"/>
    <w:rsid w:val="00CC7D27"/>
    <w:rsid w:val="00CC7DB8"/>
    <w:rsid w:val="00CD0149"/>
    <w:rsid w:val="00CD0693"/>
    <w:rsid w:val="00CD0824"/>
    <w:rsid w:val="00CD090E"/>
    <w:rsid w:val="00CD0A06"/>
    <w:rsid w:val="00CD0A42"/>
    <w:rsid w:val="00CD0AF6"/>
    <w:rsid w:val="00CD0E09"/>
    <w:rsid w:val="00CD1053"/>
    <w:rsid w:val="00CD1192"/>
    <w:rsid w:val="00CD15E6"/>
    <w:rsid w:val="00CD1B03"/>
    <w:rsid w:val="00CD1B28"/>
    <w:rsid w:val="00CD1CC1"/>
    <w:rsid w:val="00CD1D38"/>
    <w:rsid w:val="00CD1E0B"/>
    <w:rsid w:val="00CD1F05"/>
    <w:rsid w:val="00CD2054"/>
    <w:rsid w:val="00CD20A6"/>
    <w:rsid w:val="00CD20F1"/>
    <w:rsid w:val="00CD2140"/>
    <w:rsid w:val="00CD228C"/>
    <w:rsid w:val="00CD2688"/>
    <w:rsid w:val="00CD288E"/>
    <w:rsid w:val="00CD2C3F"/>
    <w:rsid w:val="00CD2C51"/>
    <w:rsid w:val="00CD2D10"/>
    <w:rsid w:val="00CD2DBE"/>
    <w:rsid w:val="00CD2DCF"/>
    <w:rsid w:val="00CD3397"/>
    <w:rsid w:val="00CD33E3"/>
    <w:rsid w:val="00CD3F1E"/>
    <w:rsid w:val="00CD400E"/>
    <w:rsid w:val="00CD40F5"/>
    <w:rsid w:val="00CD4126"/>
    <w:rsid w:val="00CD41C3"/>
    <w:rsid w:val="00CD442B"/>
    <w:rsid w:val="00CD4464"/>
    <w:rsid w:val="00CD4A37"/>
    <w:rsid w:val="00CD4AB3"/>
    <w:rsid w:val="00CD4F3D"/>
    <w:rsid w:val="00CD5124"/>
    <w:rsid w:val="00CD53A0"/>
    <w:rsid w:val="00CD54FE"/>
    <w:rsid w:val="00CD5A08"/>
    <w:rsid w:val="00CD5D1D"/>
    <w:rsid w:val="00CD5F5F"/>
    <w:rsid w:val="00CD6312"/>
    <w:rsid w:val="00CD6317"/>
    <w:rsid w:val="00CD65F9"/>
    <w:rsid w:val="00CD6B57"/>
    <w:rsid w:val="00CD6DD9"/>
    <w:rsid w:val="00CD6E4A"/>
    <w:rsid w:val="00CD6FB3"/>
    <w:rsid w:val="00CD72E7"/>
    <w:rsid w:val="00CD72F5"/>
    <w:rsid w:val="00CD7689"/>
    <w:rsid w:val="00CD7A2D"/>
    <w:rsid w:val="00CD7BE0"/>
    <w:rsid w:val="00CD7FF8"/>
    <w:rsid w:val="00CE005E"/>
    <w:rsid w:val="00CE0152"/>
    <w:rsid w:val="00CE037C"/>
    <w:rsid w:val="00CE038D"/>
    <w:rsid w:val="00CE0AF1"/>
    <w:rsid w:val="00CE0D92"/>
    <w:rsid w:val="00CE0E17"/>
    <w:rsid w:val="00CE1155"/>
    <w:rsid w:val="00CE1301"/>
    <w:rsid w:val="00CE182A"/>
    <w:rsid w:val="00CE1A67"/>
    <w:rsid w:val="00CE1A6E"/>
    <w:rsid w:val="00CE1C91"/>
    <w:rsid w:val="00CE1CEF"/>
    <w:rsid w:val="00CE1D79"/>
    <w:rsid w:val="00CE1E33"/>
    <w:rsid w:val="00CE1F02"/>
    <w:rsid w:val="00CE20A2"/>
    <w:rsid w:val="00CE2325"/>
    <w:rsid w:val="00CE2F52"/>
    <w:rsid w:val="00CE324A"/>
    <w:rsid w:val="00CE336E"/>
    <w:rsid w:val="00CE3841"/>
    <w:rsid w:val="00CE3883"/>
    <w:rsid w:val="00CE3D03"/>
    <w:rsid w:val="00CE3D1D"/>
    <w:rsid w:val="00CE3EFF"/>
    <w:rsid w:val="00CE3F99"/>
    <w:rsid w:val="00CE425B"/>
    <w:rsid w:val="00CE43DC"/>
    <w:rsid w:val="00CE473C"/>
    <w:rsid w:val="00CE482F"/>
    <w:rsid w:val="00CE4F8F"/>
    <w:rsid w:val="00CE5006"/>
    <w:rsid w:val="00CE50F9"/>
    <w:rsid w:val="00CE5305"/>
    <w:rsid w:val="00CE5D2C"/>
    <w:rsid w:val="00CE60A7"/>
    <w:rsid w:val="00CE64B5"/>
    <w:rsid w:val="00CE64FA"/>
    <w:rsid w:val="00CE656F"/>
    <w:rsid w:val="00CE65C7"/>
    <w:rsid w:val="00CE66B7"/>
    <w:rsid w:val="00CE66C0"/>
    <w:rsid w:val="00CE6AD1"/>
    <w:rsid w:val="00CE6E67"/>
    <w:rsid w:val="00CE7171"/>
    <w:rsid w:val="00CE78BF"/>
    <w:rsid w:val="00CE7993"/>
    <w:rsid w:val="00CE7BC8"/>
    <w:rsid w:val="00CE7C11"/>
    <w:rsid w:val="00CE7FDC"/>
    <w:rsid w:val="00CF0192"/>
    <w:rsid w:val="00CF045B"/>
    <w:rsid w:val="00CF059F"/>
    <w:rsid w:val="00CF0721"/>
    <w:rsid w:val="00CF0879"/>
    <w:rsid w:val="00CF09B8"/>
    <w:rsid w:val="00CF0A09"/>
    <w:rsid w:val="00CF0AA2"/>
    <w:rsid w:val="00CF0B03"/>
    <w:rsid w:val="00CF0BE1"/>
    <w:rsid w:val="00CF0F10"/>
    <w:rsid w:val="00CF14A4"/>
    <w:rsid w:val="00CF166A"/>
    <w:rsid w:val="00CF1730"/>
    <w:rsid w:val="00CF173E"/>
    <w:rsid w:val="00CF17B1"/>
    <w:rsid w:val="00CF1995"/>
    <w:rsid w:val="00CF1B57"/>
    <w:rsid w:val="00CF1E87"/>
    <w:rsid w:val="00CF2220"/>
    <w:rsid w:val="00CF2776"/>
    <w:rsid w:val="00CF27AD"/>
    <w:rsid w:val="00CF2AD0"/>
    <w:rsid w:val="00CF2BDC"/>
    <w:rsid w:val="00CF2DB9"/>
    <w:rsid w:val="00CF30AC"/>
    <w:rsid w:val="00CF3192"/>
    <w:rsid w:val="00CF327D"/>
    <w:rsid w:val="00CF35D5"/>
    <w:rsid w:val="00CF37E0"/>
    <w:rsid w:val="00CF37FB"/>
    <w:rsid w:val="00CF3834"/>
    <w:rsid w:val="00CF38A8"/>
    <w:rsid w:val="00CF39DF"/>
    <w:rsid w:val="00CF3E6E"/>
    <w:rsid w:val="00CF3F93"/>
    <w:rsid w:val="00CF44BC"/>
    <w:rsid w:val="00CF4511"/>
    <w:rsid w:val="00CF472C"/>
    <w:rsid w:val="00CF4D18"/>
    <w:rsid w:val="00CF4DAB"/>
    <w:rsid w:val="00CF4F4E"/>
    <w:rsid w:val="00CF5066"/>
    <w:rsid w:val="00CF529A"/>
    <w:rsid w:val="00CF52D5"/>
    <w:rsid w:val="00CF5327"/>
    <w:rsid w:val="00CF549B"/>
    <w:rsid w:val="00CF57EB"/>
    <w:rsid w:val="00CF5869"/>
    <w:rsid w:val="00CF59C0"/>
    <w:rsid w:val="00CF5BFC"/>
    <w:rsid w:val="00CF5DB7"/>
    <w:rsid w:val="00CF61E3"/>
    <w:rsid w:val="00CF64A6"/>
    <w:rsid w:val="00CF6ABA"/>
    <w:rsid w:val="00CF6BFD"/>
    <w:rsid w:val="00CF6E40"/>
    <w:rsid w:val="00CF709F"/>
    <w:rsid w:val="00CF716F"/>
    <w:rsid w:val="00CF7436"/>
    <w:rsid w:val="00CF7539"/>
    <w:rsid w:val="00CF7608"/>
    <w:rsid w:val="00CF77BB"/>
    <w:rsid w:val="00CF77CA"/>
    <w:rsid w:val="00CF792F"/>
    <w:rsid w:val="00CF7B31"/>
    <w:rsid w:val="00CF7B6F"/>
    <w:rsid w:val="00CF7FD6"/>
    <w:rsid w:val="00D000F6"/>
    <w:rsid w:val="00D0035B"/>
    <w:rsid w:val="00D00499"/>
    <w:rsid w:val="00D00693"/>
    <w:rsid w:val="00D00C58"/>
    <w:rsid w:val="00D01271"/>
    <w:rsid w:val="00D014DD"/>
    <w:rsid w:val="00D01697"/>
    <w:rsid w:val="00D01917"/>
    <w:rsid w:val="00D01AE5"/>
    <w:rsid w:val="00D01B79"/>
    <w:rsid w:val="00D01C1D"/>
    <w:rsid w:val="00D01C6D"/>
    <w:rsid w:val="00D01D81"/>
    <w:rsid w:val="00D0204D"/>
    <w:rsid w:val="00D0236A"/>
    <w:rsid w:val="00D0285C"/>
    <w:rsid w:val="00D028F5"/>
    <w:rsid w:val="00D02A81"/>
    <w:rsid w:val="00D02C2B"/>
    <w:rsid w:val="00D02CBB"/>
    <w:rsid w:val="00D03024"/>
    <w:rsid w:val="00D031B6"/>
    <w:rsid w:val="00D031C5"/>
    <w:rsid w:val="00D0355F"/>
    <w:rsid w:val="00D03B4B"/>
    <w:rsid w:val="00D03E10"/>
    <w:rsid w:val="00D04165"/>
    <w:rsid w:val="00D042D2"/>
    <w:rsid w:val="00D04393"/>
    <w:rsid w:val="00D04581"/>
    <w:rsid w:val="00D048EA"/>
    <w:rsid w:val="00D04C89"/>
    <w:rsid w:val="00D050A5"/>
    <w:rsid w:val="00D053BA"/>
    <w:rsid w:val="00D0540F"/>
    <w:rsid w:val="00D05790"/>
    <w:rsid w:val="00D058AC"/>
    <w:rsid w:val="00D05AB1"/>
    <w:rsid w:val="00D05E19"/>
    <w:rsid w:val="00D05EFA"/>
    <w:rsid w:val="00D05F3B"/>
    <w:rsid w:val="00D0604B"/>
    <w:rsid w:val="00D06340"/>
    <w:rsid w:val="00D0637A"/>
    <w:rsid w:val="00D066CE"/>
    <w:rsid w:val="00D0671F"/>
    <w:rsid w:val="00D068E4"/>
    <w:rsid w:val="00D06965"/>
    <w:rsid w:val="00D06EC4"/>
    <w:rsid w:val="00D07330"/>
    <w:rsid w:val="00D07399"/>
    <w:rsid w:val="00D079DD"/>
    <w:rsid w:val="00D07E98"/>
    <w:rsid w:val="00D07FB6"/>
    <w:rsid w:val="00D1021C"/>
    <w:rsid w:val="00D10274"/>
    <w:rsid w:val="00D10292"/>
    <w:rsid w:val="00D10424"/>
    <w:rsid w:val="00D104F4"/>
    <w:rsid w:val="00D1067E"/>
    <w:rsid w:val="00D10A4A"/>
    <w:rsid w:val="00D10D44"/>
    <w:rsid w:val="00D11030"/>
    <w:rsid w:val="00D111CB"/>
    <w:rsid w:val="00D11204"/>
    <w:rsid w:val="00D1151F"/>
    <w:rsid w:val="00D1167F"/>
    <w:rsid w:val="00D11716"/>
    <w:rsid w:val="00D11785"/>
    <w:rsid w:val="00D11DA0"/>
    <w:rsid w:val="00D11ED6"/>
    <w:rsid w:val="00D11F97"/>
    <w:rsid w:val="00D12083"/>
    <w:rsid w:val="00D12733"/>
    <w:rsid w:val="00D1273F"/>
    <w:rsid w:val="00D12749"/>
    <w:rsid w:val="00D1276B"/>
    <w:rsid w:val="00D127EE"/>
    <w:rsid w:val="00D128BE"/>
    <w:rsid w:val="00D12B13"/>
    <w:rsid w:val="00D12DB3"/>
    <w:rsid w:val="00D12ED9"/>
    <w:rsid w:val="00D1352A"/>
    <w:rsid w:val="00D1355A"/>
    <w:rsid w:val="00D1387A"/>
    <w:rsid w:val="00D139FA"/>
    <w:rsid w:val="00D13C5C"/>
    <w:rsid w:val="00D13C6E"/>
    <w:rsid w:val="00D13F7E"/>
    <w:rsid w:val="00D13FC3"/>
    <w:rsid w:val="00D1438A"/>
    <w:rsid w:val="00D1451F"/>
    <w:rsid w:val="00D14591"/>
    <w:rsid w:val="00D149F4"/>
    <w:rsid w:val="00D14ED0"/>
    <w:rsid w:val="00D152B9"/>
    <w:rsid w:val="00D15500"/>
    <w:rsid w:val="00D159CB"/>
    <w:rsid w:val="00D15E76"/>
    <w:rsid w:val="00D16226"/>
    <w:rsid w:val="00D16349"/>
    <w:rsid w:val="00D163E8"/>
    <w:rsid w:val="00D164B5"/>
    <w:rsid w:val="00D16913"/>
    <w:rsid w:val="00D16A50"/>
    <w:rsid w:val="00D16CB2"/>
    <w:rsid w:val="00D16ED5"/>
    <w:rsid w:val="00D16F9D"/>
    <w:rsid w:val="00D17237"/>
    <w:rsid w:val="00D1774F"/>
    <w:rsid w:val="00D17822"/>
    <w:rsid w:val="00D17AAA"/>
    <w:rsid w:val="00D17BFA"/>
    <w:rsid w:val="00D17EAB"/>
    <w:rsid w:val="00D17F20"/>
    <w:rsid w:val="00D20034"/>
    <w:rsid w:val="00D20424"/>
    <w:rsid w:val="00D207BC"/>
    <w:rsid w:val="00D208E1"/>
    <w:rsid w:val="00D209BC"/>
    <w:rsid w:val="00D20AD6"/>
    <w:rsid w:val="00D20C0E"/>
    <w:rsid w:val="00D2137B"/>
    <w:rsid w:val="00D215A6"/>
    <w:rsid w:val="00D2188D"/>
    <w:rsid w:val="00D218FA"/>
    <w:rsid w:val="00D21A94"/>
    <w:rsid w:val="00D21B55"/>
    <w:rsid w:val="00D21E43"/>
    <w:rsid w:val="00D21F83"/>
    <w:rsid w:val="00D223DF"/>
    <w:rsid w:val="00D22425"/>
    <w:rsid w:val="00D22496"/>
    <w:rsid w:val="00D226B3"/>
    <w:rsid w:val="00D23195"/>
    <w:rsid w:val="00D23645"/>
    <w:rsid w:val="00D23B3F"/>
    <w:rsid w:val="00D23E21"/>
    <w:rsid w:val="00D23E86"/>
    <w:rsid w:val="00D23F6E"/>
    <w:rsid w:val="00D2428C"/>
    <w:rsid w:val="00D242F9"/>
    <w:rsid w:val="00D2452C"/>
    <w:rsid w:val="00D24597"/>
    <w:rsid w:val="00D24802"/>
    <w:rsid w:val="00D24CE6"/>
    <w:rsid w:val="00D24DCE"/>
    <w:rsid w:val="00D24DD8"/>
    <w:rsid w:val="00D250B0"/>
    <w:rsid w:val="00D25414"/>
    <w:rsid w:val="00D2549B"/>
    <w:rsid w:val="00D25628"/>
    <w:rsid w:val="00D25A30"/>
    <w:rsid w:val="00D25AE7"/>
    <w:rsid w:val="00D25B77"/>
    <w:rsid w:val="00D25F1B"/>
    <w:rsid w:val="00D263F7"/>
    <w:rsid w:val="00D264A4"/>
    <w:rsid w:val="00D2654E"/>
    <w:rsid w:val="00D26814"/>
    <w:rsid w:val="00D26947"/>
    <w:rsid w:val="00D26BB7"/>
    <w:rsid w:val="00D26CFF"/>
    <w:rsid w:val="00D26DE3"/>
    <w:rsid w:val="00D27003"/>
    <w:rsid w:val="00D274A4"/>
    <w:rsid w:val="00D27B3E"/>
    <w:rsid w:val="00D27BB6"/>
    <w:rsid w:val="00D27CB2"/>
    <w:rsid w:val="00D300F3"/>
    <w:rsid w:val="00D3012C"/>
    <w:rsid w:val="00D30524"/>
    <w:rsid w:val="00D3056B"/>
    <w:rsid w:val="00D307C1"/>
    <w:rsid w:val="00D308F2"/>
    <w:rsid w:val="00D311CC"/>
    <w:rsid w:val="00D31364"/>
    <w:rsid w:val="00D3145E"/>
    <w:rsid w:val="00D31664"/>
    <w:rsid w:val="00D31782"/>
    <w:rsid w:val="00D3181A"/>
    <w:rsid w:val="00D319B9"/>
    <w:rsid w:val="00D31A66"/>
    <w:rsid w:val="00D31CA5"/>
    <w:rsid w:val="00D32465"/>
    <w:rsid w:val="00D324A8"/>
    <w:rsid w:val="00D3257F"/>
    <w:rsid w:val="00D32821"/>
    <w:rsid w:val="00D32953"/>
    <w:rsid w:val="00D32D0C"/>
    <w:rsid w:val="00D334DD"/>
    <w:rsid w:val="00D3350D"/>
    <w:rsid w:val="00D33B82"/>
    <w:rsid w:val="00D33D4D"/>
    <w:rsid w:val="00D33EFE"/>
    <w:rsid w:val="00D341DB"/>
    <w:rsid w:val="00D34446"/>
    <w:rsid w:val="00D349D3"/>
    <w:rsid w:val="00D34BC3"/>
    <w:rsid w:val="00D34F2E"/>
    <w:rsid w:val="00D350FF"/>
    <w:rsid w:val="00D352AF"/>
    <w:rsid w:val="00D35667"/>
    <w:rsid w:val="00D35806"/>
    <w:rsid w:val="00D35941"/>
    <w:rsid w:val="00D35B8D"/>
    <w:rsid w:val="00D35E4D"/>
    <w:rsid w:val="00D35EF3"/>
    <w:rsid w:val="00D368BF"/>
    <w:rsid w:val="00D36961"/>
    <w:rsid w:val="00D36DB6"/>
    <w:rsid w:val="00D36F59"/>
    <w:rsid w:val="00D37133"/>
    <w:rsid w:val="00D37764"/>
    <w:rsid w:val="00D377AB"/>
    <w:rsid w:val="00D37931"/>
    <w:rsid w:val="00D37BD3"/>
    <w:rsid w:val="00D37E6F"/>
    <w:rsid w:val="00D37F7C"/>
    <w:rsid w:val="00D4059D"/>
    <w:rsid w:val="00D40AF5"/>
    <w:rsid w:val="00D40B6B"/>
    <w:rsid w:val="00D40C7C"/>
    <w:rsid w:val="00D40F5A"/>
    <w:rsid w:val="00D410AF"/>
    <w:rsid w:val="00D410B9"/>
    <w:rsid w:val="00D410C1"/>
    <w:rsid w:val="00D41182"/>
    <w:rsid w:val="00D412F4"/>
    <w:rsid w:val="00D41319"/>
    <w:rsid w:val="00D41322"/>
    <w:rsid w:val="00D415E3"/>
    <w:rsid w:val="00D4168F"/>
    <w:rsid w:val="00D41862"/>
    <w:rsid w:val="00D41ABD"/>
    <w:rsid w:val="00D41F05"/>
    <w:rsid w:val="00D41F64"/>
    <w:rsid w:val="00D425BE"/>
    <w:rsid w:val="00D42687"/>
    <w:rsid w:val="00D42778"/>
    <w:rsid w:val="00D42983"/>
    <w:rsid w:val="00D42A4E"/>
    <w:rsid w:val="00D42AE3"/>
    <w:rsid w:val="00D430EE"/>
    <w:rsid w:val="00D436D4"/>
    <w:rsid w:val="00D43784"/>
    <w:rsid w:val="00D438D4"/>
    <w:rsid w:val="00D43915"/>
    <w:rsid w:val="00D439F4"/>
    <w:rsid w:val="00D43D2D"/>
    <w:rsid w:val="00D4408E"/>
    <w:rsid w:val="00D4409F"/>
    <w:rsid w:val="00D440EF"/>
    <w:rsid w:val="00D4436A"/>
    <w:rsid w:val="00D4436E"/>
    <w:rsid w:val="00D44470"/>
    <w:rsid w:val="00D445D4"/>
    <w:rsid w:val="00D44641"/>
    <w:rsid w:val="00D447E4"/>
    <w:rsid w:val="00D44879"/>
    <w:rsid w:val="00D448B0"/>
    <w:rsid w:val="00D448D7"/>
    <w:rsid w:val="00D44CFD"/>
    <w:rsid w:val="00D45084"/>
    <w:rsid w:val="00D452D3"/>
    <w:rsid w:val="00D45E70"/>
    <w:rsid w:val="00D45E72"/>
    <w:rsid w:val="00D460C8"/>
    <w:rsid w:val="00D46176"/>
    <w:rsid w:val="00D461CC"/>
    <w:rsid w:val="00D462BB"/>
    <w:rsid w:val="00D46317"/>
    <w:rsid w:val="00D4645A"/>
    <w:rsid w:val="00D464CF"/>
    <w:rsid w:val="00D465D0"/>
    <w:rsid w:val="00D46777"/>
    <w:rsid w:val="00D46917"/>
    <w:rsid w:val="00D46C70"/>
    <w:rsid w:val="00D46F37"/>
    <w:rsid w:val="00D470B6"/>
    <w:rsid w:val="00D47123"/>
    <w:rsid w:val="00D47243"/>
    <w:rsid w:val="00D47375"/>
    <w:rsid w:val="00D474BF"/>
    <w:rsid w:val="00D474E4"/>
    <w:rsid w:val="00D4765F"/>
    <w:rsid w:val="00D47697"/>
    <w:rsid w:val="00D476C2"/>
    <w:rsid w:val="00D477C4"/>
    <w:rsid w:val="00D477FA"/>
    <w:rsid w:val="00D47B1A"/>
    <w:rsid w:val="00D47CA5"/>
    <w:rsid w:val="00D47CEB"/>
    <w:rsid w:val="00D50210"/>
    <w:rsid w:val="00D5039A"/>
    <w:rsid w:val="00D50411"/>
    <w:rsid w:val="00D50413"/>
    <w:rsid w:val="00D5049C"/>
    <w:rsid w:val="00D504BA"/>
    <w:rsid w:val="00D5059E"/>
    <w:rsid w:val="00D50A5E"/>
    <w:rsid w:val="00D50E2B"/>
    <w:rsid w:val="00D51033"/>
    <w:rsid w:val="00D51192"/>
    <w:rsid w:val="00D511CC"/>
    <w:rsid w:val="00D514A1"/>
    <w:rsid w:val="00D51903"/>
    <w:rsid w:val="00D51910"/>
    <w:rsid w:val="00D51A18"/>
    <w:rsid w:val="00D51F6E"/>
    <w:rsid w:val="00D51F9A"/>
    <w:rsid w:val="00D52360"/>
    <w:rsid w:val="00D524DC"/>
    <w:rsid w:val="00D52733"/>
    <w:rsid w:val="00D5279C"/>
    <w:rsid w:val="00D52A81"/>
    <w:rsid w:val="00D52DC8"/>
    <w:rsid w:val="00D5316B"/>
    <w:rsid w:val="00D535FE"/>
    <w:rsid w:val="00D53705"/>
    <w:rsid w:val="00D539D9"/>
    <w:rsid w:val="00D539DC"/>
    <w:rsid w:val="00D53B15"/>
    <w:rsid w:val="00D53C48"/>
    <w:rsid w:val="00D53F0B"/>
    <w:rsid w:val="00D54157"/>
    <w:rsid w:val="00D5441A"/>
    <w:rsid w:val="00D54420"/>
    <w:rsid w:val="00D546FE"/>
    <w:rsid w:val="00D54B9C"/>
    <w:rsid w:val="00D54BE5"/>
    <w:rsid w:val="00D54CA9"/>
    <w:rsid w:val="00D54CE3"/>
    <w:rsid w:val="00D54DE9"/>
    <w:rsid w:val="00D54F24"/>
    <w:rsid w:val="00D54FFC"/>
    <w:rsid w:val="00D55089"/>
    <w:rsid w:val="00D550CD"/>
    <w:rsid w:val="00D55175"/>
    <w:rsid w:val="00D5522A"/>
    <w:rsid w:val="00D55438"/>
    <w:rsid w:val="00D55591"/>
    <w:rsid w:val="00D555B5"/>
    <w:rsid w:val="00D559D2"/>
    <w:rsid w:val="00D55B3A"/>
    <w:rsid w:val="00D55EF2"/>
    <w:rsid w:val="00D56130"/>
    <w:rsid w:val="00D56325"/>
    <w:rsid w:val="00D56850"/>
    <w:rsid w:val="00D56921"/>
    <w:rsid w:val="00D56F83"/>
    <w:rsid w:val="00D56FD7"/>
    <w:rsid w:val="00D57019"/>
    <w:rsid w:val="00D5701A"/>
    <w:rsid w:val="00D57144"/>
    <w:rsid w:val="00D57437"/>
    <w:rsid w:val="00D574D4"/>
    <w:rsid w:val="00D57761"/>
    <w:rsid w:val="00D57B9E"/>
    <w:rsid w:val="00D57C5D"/>
    <w:rsid w:val="00D603A4"/>
    <w:rsid w:val="00D603CB"/>
    <w:rsid w:val="00D6063F"/>
    <w:rsid w:val="00D6065F"/>
    <w:rsid w:val="00D60750"/>
    <w:rsid w:val="00D60D32"/>
    <w:rsid w:val="00D60DE4"/>
    <w:rsid w:val="00D60F16"/>
    <w:rsid w:val="00D611F0"/>
    <w:rsid w:val="00D6138F"/>
    <w:rsid w:val="00D613DE"/>
    <w:rsid w:val="00D615E2"/>
    <w:rsid w:val="00D6162D"/>
    <w:rsid w:val="00D61818"/>
    <w:rsid w:val="00D61909"/>
    <w:rsid w:val="00D61A53"/>
    <w:rsid w:val="00D61C94"/>
    <w:rsid w:val="00D61D43"/>
    <w:rsid w:val="00D61FE7"/>
    <w:rsid w:val="00D623A3"/>
    <w:rsid w:val="00D6244F"/>
    <w:rsid w:val="00D6278C"/>
    <w:rsid w:val="00D629F9"/>
    <w:rsid w:val="00D62BB9"/>
    <w:rsid w:val="00D62EE4"/>
    <w:rsid w:val="00D62F9A"/>
    <w:rsid w:val="00D63003"/>
    <w:rsid w:val="00D631B0"/>
    <w:rsid w:val="00D63291"/>
    <w:rsid w:val="00D638EF"/>
    <w:rsid w:val="00D63903"/>
    <w:rsid w:val="00D63967"/>
    <w:rsid w:val="00D63AC0"/>
    <w:rsid w:val="00D63F68"/>
    <w:rsid w:val="00D64221"/>
    <w:rsid w:val="00D649C9"/>
    <w:rsid w:val="00D64AA7"/>
    <w:rsid w:val="00D64B1C"/>
    <w:rsid w:val="00D64B7A"/>
    <w:rsid w:val="00D64D3F"/>
    <w:rsid w:val="00D64F6F"/>
    <w:rsid w:val="00D6511F"/>
    <w:rsid w:val="00D65141"/>
    <w:rsid w:val="00D651E0"/>
    <w:rsid w:val="00D651FE"/>
    <w:rsid w:val="00D65363"/>
    <w:rsid w:val="00D6553D"/>
    <w:rsid w:val="00D65599"/>
    <w:rsid w:val="00D65850"/>
    <w:rsid w:val="00D65BEA"/>
    <w:rsid w:val="00D65D2D"/>
    <w:rsid w:val="00D65D80"/>
    <w:rsid w:val="00D6603C"/>
    <w:rsid w:val="00D66242"/>
    <w:rsid w:val="00D664E4"/>
    <w:rsid w:val="00D66A42"/>
    <w:rsid w:val="00D66B39"/>
    <w:rsid w:val="00D66B77"/>
    <w:rsid w:val="00D66DE5"/>
    <w:rsid w:val="00D66FE4"/>
    <w:rsid w:val="00D67129"/>
    <w:rsid w:val="00D672C7"/>
    <w:rsid w:val="00D67438"/>
    <w:rsid w:val="00D676BB"/>
    <w:rsid w:val="00D67724"/>
    <w:rsid w:val="00D67BA3"/>
    <w:rsid w:val="00D67D66"/>
    <w:rsid w:val="00D67DD0"/>
    <w:rsid w:val="00D67FED"/>
    <w:rsid w:val="00D7018D"/>
    <w:rsid w:val="00D70280"/>
    <w:rsid w:val="00D704E2"/>
    <w:rsid w:val="00D707D2"/>
    <w:rsid w:val="00D7129E"/>
    <w:rsid w:val="00D71675"/>
    <w:rsid w:val="00D716CF"/>
    <w:rsid w:val="00D716FD"/>
    <w:rsid w:val="00D71767"/>
    <w:rsid w:val="00D71A31"/>
    <w:rsid w:val="00D71B4A"/>
    <w:rsid w:val="00D71DB1"/>
    <w:rsid w:val="00D72045"/>
    <w:rsid w:val="00D7208A"/>
    <w:rsid w:val="00D720BB"/>
    <w:rsid w:val="00D72473"/>
    <w:rsid w:val="00D724B7"/>
    <w:rsid w:val="00D725F4"/>
    <w:rsid w:val="00D72844"/>
    <w:rsid w:val="00D72B2B"/>
    <w:rsid w:val="00D72C7C"/>
    <w:rsid w:val="00D72DF2"/>
    <w:rsid w:val="00D72E86"/>
    <w:rsid w:val="00D72ED2"/>
    <w:rsid w:val="00D73123"/>
    <w:rsid w:val="00D73793"/>
    <w:rsid w:val="00D738EE"/>
    <w:rsid w:val="00D73A19"/>
    <w:rsid w:val="00D73ACB"/>
    <w:rsid w:val="00D73B9F"/>
    <w:rsid w:val="00D73BC2"/>
    <w:rsid w:val="00D73C8D"/>
    <w:rsid w:val="00D73D34"/>
    <w:rsid w:val="00D73D79"/>
    <w:rsid w:val="00D74200"/>
    <w:rsid w:val="00D74470"/>
    <w:rsid w:val="00D7485D"/>
    <w:rsid w:val="00D7496D"/>
    <w:rsid w:val="00D74A65"/>
    <w:rsid w:val="00D74A6C"/>
    <w:rsid w:val="00D74B4E"/>
    <w:rsid w:val="00D74CA2"/>
    <w:rsid w:val="00D74CFC"/>
    <w:rsid w:val="00D74D5D"/>
    <w:rsid w:val="00D74F24"/>
    <w:rsid w:val="00D74F63"/>
    <w:rsid w:val="00D757A6"/>
    <w:rsid w:val="00D75ACF"/>
    <w:rsid w:val="00D75ADE"/>
    <w:rsid w:val="00D75D39"/>
    <w:rsid w:val="00D76324"/>
    <w:rsid w:val="00D76593"/>
    <w:rsid w:val="00D768E3"/>
    <w:rsid w:val="00D76BEE"/>
    <w:rsid w:val="00D77179"/>
    <w:rsid w:val="00D771D9"/>
    <w:rsid w:val="00D772F2"/>
    <w:rsid w:val="00D77490"/>
    <w:rsid w:val="00D778D7"/>
    <w:rsid w:val="00D778EE"/>
    <w:rsid w:val="00D77C30"/>
    <w:rsid w:val="00D77CE8"/>
    <w:rsid w:val="00D77F5D"/>
    <w:rsid w:val="00D80055"/>
    <w:rsid w:val="00D80149"/>
    <w:rsid w:val="00D80401"/>
    <w:rsid w:val="00D80818"/>
    <w:rsid w:val="00D80E25"/>
    <w:rsid w:val="00D80E8B"/>
    <w:rsid w:val="00D81CD1"/>
    <w:rsid w:val="00D81D28"/>
    <w:rsid w:val="00D820C7"/>
    <w:rsid w:val="00D82ED6"/>
    <w:rsid w:val="00D832DF"/>
    <w:rsid w:val="00D833FE"/>
    <w:rsid w:val="00D83861"/>
    <w:rsid w:val="00D8386E"/>
    <w:rsid w:val="00D83879"/>
    <w:rsid w:val="00D83ABA"/>
    <w:rsid w:val="00D83FBC"/>
    <w:rsid w:val="00D84618"/>
    <w:rsid w:val="00D84C65"/>
    <w:rsid w:val="00D84E00"/>
    <w:rsid w:val="00D8530A"/>
    <w:rsid w:val="00D854B6"/>
    <w:rsid w:val="00D8588B"/>
    <w:rsid w:val="00D85E7D"/>
    <w:rsid w:val="00D8611A"/>
    <w:rsid w:val="00D862BB"/>
    <w:rsid w:val="00D86636"/>
    <w:rsid w:val="00D86718"/>
    <w:rsid w:val="00D868E2"/>
    <w:rsid w:val="00D86A2E"/>
    <w:rsid w:val="00D86A8A"/>
    <w:rsid w:val="00D86C29"/>
    <w:rsid w:val="00D87558"/>
    <w:rsid w:val="00D8773C"/>
    <w:rsid w:val="00D878CA"/>
    <w:rsid w:val="00D87B77"/>
    <w:rsid w:val="00D87E4C"/>
    <w:rsid w:val="00D902C8"/>
    <w:rsid w:val="00D90313"/>
    <w:rsid w:val="00D9070A"/>
    <w:rsid w:val="00D90E4D"/>
    <w:rsid w:val="00D90F61"/>
    <w:rsid w:val="00D90FA0"/>
    <w:rsid w:val="00D91028"/>
    <w:rsid w:val="00D9118C"/>
    <w:rsid w:val="00D911F8"/>
    <w:rsid w:val="00D912E8"/>
    <w:rsid w:val="00D913F7"/>
    <w:rsid w:val="00D91480"/>
    <w:rsid w:val="00D91486"/>
    <w:rsid w:val="00D914D0"/>
    <w:rsid w:val="00D915C3"/>
    <w:rsid w:val="00D91643"/>
    <w:rsid w:val="00D916B7"/>
    <w:rsid w:val="00D91711"/>
    <w:rsid w:val="00D91A2C"/>
    <w:rsid w:val="00D91AE5"/>
    <w:rsid w:val="00D91AEF"/>
    <w:rsid w:val="00D91BD0"/>
    <w:rsid w:val="00D91C46"/>
    <w:rsid w:val="00D91C7F"/>
    <w:rsid w:val="00D91E74"/>
    <w:rsid w:val="00D91E81"/>
    <w:rsid w:val="00D91F5D"/>
    <w:rsid w:val="00D91F6D"/>
    <w:rsid w:val="00D92517"/>
    <w:rsid w:val="00D925B9"/>
    <w:rsid w:val="00D92785"/>
    <w:rsid w:val="00D92BB5"/>
    <w:rsid w:val="00D92F9B"/>
    <w:rsid w:val="00D93036"/>
    <w:rsid w:val="00D93054"/>
    <w:rsid w:val="00D932FB"/>
    <w:rsid w:val="00D9335D"/>
    <w:rsid w:val="00D933F2"/>
    <w:rsid w:val="00D938C5"/>
    <w:rsid w:val="00D93992"/>
    <w:rsid w:val="00D939A1"/>
    <w:rsid w:val="00D93D99"/>
    <w:rsid w:val="00D93F4D"/>
    <w:rsid w:val="00D940D9"/>
    <w:rsid w:val="00D9468B"/>
    <w:rsid w:val="00D94E56"/>
    <w:rsid w:val="00D95210"/>
    <w:rsid w:val="00D954A8"/>
    <w:rsid w:val="00D9579A"/>
    <w:rsid w:val="00D95987"/>
    <w:rsid w:val="00D95BAA"/>
    <w:rsid w:val="00D95D01"/>
    <w:rsid w:val="00D95D92"/>
    <w:rsid w:val="00D95E01"/>
    <w:rsid w:val="00D95FE7"/>
    <w:rsid w:val="00D966D5"/>
    <w:rsid w:val="00D96942"/>
    <w:rsid w:val="00D969BE"/>
    <w:rsid w:val="00D96B84"/>
    <w:rsid w:val="00D96DD8"/>
    <w:rsid w:val="00D970BD"/>
    <w:rsid w:val="00D97265"/>
    <w:rsid w:val="00D97384"/>
    <w:rsid w:val="00D97444"/>
    <w:rsid w:val="00D977FF"/>
    <w:rsid w:val="00D97B63"/>
    <w:rsid w:val="00D97C3F"/>
    <w:rsid w:val="00D97CDD"/>
    <w:rsid w:val="00D97F8B"/>
    <w:rsid w:val="00DA005B"/>
    <w:rsid w:val="00DA0241"/>
    <w:rsid w:val="00DA06D2"/>
    <w:rsid w:val="00DA0881"/>
    <w:rsid w:val="00DA0AAF"/>
    <w:rsid w:val="00DA0F3E"/>
    <w:rsid w:val="00DA117F"/>
    <w:rsid w:val="00DA1434"/>
    <w:rsid w:val="00DA1442"/>
    <w:rsid w:val="00DA1903"/>
    <w:rsid w:val="00DA1985"/>
    <w:rsid w:val="00DA1E90"/>
    <w:rsid w:val="00DA1F23"/>
    <w:rsid w:val="00DA1F6D"/>
    <w:rsid w:val="00DA1FDB"/>
    <w:rsid w:val="00DA1FFA"/>
    <w:rsid w:val="00DA2158"/>
    <w:rsid w:val="00DA2661"/>
    <w:rsid w:val="00DA2738"/>
    <w:rsid w:val="00DA27AF"/>
    <w:rsid w:val="00DA2A0D"/>
    <w:rsid w:val="00DA2CA7"/>
    <w:rsid w:val="00DA3034"/>
    <w:rsid w:val="00DA331F"/>
    <w:rsid w:val="00DA3697"/>
    <w:rsid w:val="00DA3934"/>
    <w:rsid w:val="00DA39F0"/>
    <w:rsid w:val="00DA3B3C"/>
    <w:rsid w:val="00DA3C5A"/>
    <w:rsid w:val="00DA3CC1"/>
    <w:rsid w:val="00DA3ED5"/>
    <w:rsid w:val="00DA4488"/>
    <w:rsid w:val="00DA463A"/>
    <w:rsid w:val="00DA47B7"/>
    <w:rsid w:val="00DA4879"/>
    <w:rsid w:val="00DA48E6"/>
    <w:rsid w:val="00DA4B16"/>
    <w:rsid w:val="00DA4E3A"/>
    <w:rsid w:val="00DA5122"/>
    <w:rsid w:val="00DA541A"/>
    <w:rsid w:val="00DA573A"/>
    <w:rsid w:val="00DA5A2C"/>
    <w:rsid w:val="00DA5E08"/>
    <w:rsid w:val="00DA5F45"/>
    <w:rsid w:val="00DA603A"/>
    <w:rsid w:val="00DA609F"/>
    <w:rsid w:val="00DA6368"/>
    <w:rsid w:val="00DA6558"/>
    <w:rsid w:val="00DA67CF"/>
    <w:rsid w:val="00DA6A5C"/>
    <w:rsid w:val="00DA7167"/>
    <w:rsid w:val="00DA72D0"/>
    <w:rsid w:val="00DA733A"/>
    <w:rsid w:val="00DA73D5"/>
    <w:rsid w:val="00DA7418"/>
    <w:rsid w:val="00DA77C2"/>
    <w:rsid w:val="00DA77CA"/>
    <w:rsid w:val="00DA7A0C"/>
    <w:rsid w:val="00DA7A8F"/>
    <w:rsid w:val="00DA7A95"/>
    <w:rsid w:val="00DA7AAE"/>
    <w:rsid w:val="00DA7C9B"/>
    <w:rsid w:val="00DA7CD1"/>
    <w:rsid w:val="00DB023F"/>
    <w:rsid w:val="00DB04EA"/>
    <w:rsid w:val="00DB0578"/>
    <w:rsid w:val="00DB05EB"/>
    <w:rsid w:val="00DB0667"/>
    <w:rsid w:val="00DB0695"/>
    <w:rsid w:val="00DB0B1C"/>
    <w:rsid w:val="00DB0B72"/>
    <w:rsid w:val="00DB0B94"/>
    <w:rsid w:val="00DB0C5F"/>
    <w:rsid w:val="00DB0D09"/>
    <w:rsid w:val="00DB0D8F"/>
    <w:rsid w:val="00DB0DF1"/>
    <w:rsid w:val="00DB1DA0"/>
    <w:rsid w:val="00DB1E72"/>
    <w:rsid w:val="00DB2087"/>
    <w:rsid w:val="00DB20C7"/>
    <w:rsid w:val="00DB2372"/>
    <w:rsid w:val="00DB2526"/>
    <w:rsid w:val="00DB2766"/>
    <w:rsid w:val="00DB27CD"/>
    <w:rsid w:val="00DB2871"/>
    <w:rsid w:val="00DB2965"/>
    <w:rsid w:val="00DB2A82"/>
    <w:rsid w:val="00DB2B4E"/>
    <w:rsid w:val="00DB2B76"/>
    <w:rsid w:val="00DB2C0F"/>
    <w:rsid w:val="00DB2D63"/>
    <w:rsid w:val="00DB2E9E"/>
    <w:rsid w:val="00DB2EE7"/>
    <w:rsid w:val="00DB31FD"/>
    <w:rsid w:val="00DB33DC"/>
    <w:rsid w:val="00DB340E"/>
    <w:rsid w:val="00DB34BC"/>
    <w:rsid w:val="00DB3B95"/>
    <w:rsid w:val="00DB3C1F"/>
    <w:rsid w:val="00DB3C25"/>
    <w:rsid w:val="00DB3CE3"/>
    <w:rsid w:val="00DB3DA5"/>
    <w:rsid w:val="00DB42EB"/>
    <w:rsid w:val="00DB43FD"/>
    <w:rsid w:val="00DB45A3"/>
    <w:rsid w:val="00DB461A"/>
    <w:rsid w:val="00DB4662"/>
    <w:rsid w:val="00DB46BF"/>
    <w:rsid w:val="00DB48DA"/>
    <w:rsid w:val="00DB547E"/>
    <w:rsid w:val="00DB54A6"/>
    <w:rsid w:val="00DB55AC"/>
    <w:rsid w:val="00DB581C"/>
    <w:rsid w:val="00DB5B27"/>
    <w:rsid w:val="00DB5F65"/>
    <w:rsid w:val="00DB6167"/>
    <w:rsid w:val="00DB64EF"/>
    <w:rsid w:val="00DB665C"/>
    <w:rsid w:val="00DB67CB"/>
    <w:rsid w:val="00DB6B14"/>
    <w:rsid w:val="00DB6C0C"/>
    <w:rsid w:val="00DB6E5F"/>
    <w:rsid w:val="00DB7531"/>
    <w:rsid w:val="00DB7621"/>
    <w:rsid w:val="00DB7961"/>
    <w:rsid w:val="00DB7FB8"/>
    <w:rsid w:val="00DC0339"/>
    <w:rsid w:val="00DC03D5"/>
    <w:rsid w:val="00DC05BE"/>
    <w:rsid w:val="00DC07BD"/>
    <w:rsid w:val="00DC07C4"/>
    <w:rsid w:val="00DC090B"/>
    <w:rsid w:val="00DC0C4E"/>
    <w:rsid w:val="00DC0CC3"/>
    <w:rsid w:val="00DC0D30"/>
    <w:rsid w:val="00DC0FE7"/>
    <w:rsid w:val="00DC11FB"/>
    <w:rsid w:val="00DC17BE"/>
    <w:rsid w:val="00DC1E17"/>
    <w:rsid w:val="00DC1FD2"/>
    <w:rsid w:val="00DC21C0"/>
    <w:rsid w:val="00DC21CE"/>
    <w:rsid w:val="00DC2442"/>
    <w:rsid w:val="00DC26CB"/>
    <w:rsid w:val="00DC2770"/>
    <w:rsid w:val="00DC2928"/>
    <w:rsid w:val="00DC2AA7"/>
    <w:rsid w:val="00DC2C67"/>
    <w:rsid w:val="00DC2E31"/>
    <w:rsid w:val="00DC2E96"/>
    <w:rsid w:val="00DC2F0C"/>
    <w:rsid w:val="00DC30C0"/>
    <w:rsid w:val="00DC33C1"/>
    <w:rsid w:val="00DC366D"/>
    <w:rsid w:val="00DC3FD2"/>
    <w:rsid w:val="00DC413D"/>
    <w:rsid w:val="00DC41A3"/>
    <w:rsid w:val="00DC42F0"/>
    <w:rsid w:val="00DC4606"/>
    <w:rsid w:val="00DC4737"/>
    <w:rsid w:val="00DC4989"/>
    <w:rsid w:val="00DC49E0"/>
    <w:rsid w:val="00DC4C48"/>
    <w:rsid w:val="00DC4CE8"/>
    <w:rsid w:val="00DC4DAB"/>
    <w:rsid w:val="00DC520A"/>
    <w:rsid w:val="00DC56B3"/>
    <w:rsid w:val="00DC5866"/>
    <w:rsid w:val="00DC58F6"/>
    <w:rsid w:val="00DC597B"/>
    <w:rsid w:val="00DC598D"/>
    <w:rsid w:val="00DC59D1"/>
    <w:rsid w:val="00DC5EBC"/>
    <w:rsid w:val="00DC60F6"/>
    <w:rsid w:val="00DC6444"/>
    <w:rsid w:val="00DC6679"/>
    <w:rsid w:val="00DC6880"/>
    <w:rsid w:val="00DC68C8"/>
    <w:rsid w:val="00DC69FD"/>
    <w:rsid w:val="00DC6B89"/>
    <w:rsid w:val="00DC6C27"/>
    <w:rsid w:val="00DC7202"/>
    <w:rsid w:val="00DC7320"/>
    <w:rsid w:val="00DC76DC"/>
    <w:rsid w:val="00DC7732"/>
    <w:rsid w:val="00DC7803"/>
    <w:rsid w:val="00DC783D"/>
    <w:rsid w:val="00DC7C5C"/>
    <w:rsid w:val="00DD0943"/>
    <w:rsid w:val="00DD09F7"/>
    <w:rsid w:val="00DD0C07"/>
    <w:rsid w:val="00DD0C85"/>
    <w:rsid w:val="00DD0EC6"/>
    <w:rsid w:val="00DD0ED2"/>
    <w:rsid w:val="00DD0F7E"/>
    <w:rsid w:val="00DD10D2"/>
    <w:rsid w:val="00DD112F"/>
    <w:rsid w:val="00DD13E9"/>
    <w:rsid w:val="00DD1B62"/>
    <w:rsid w:val="00DD1DA1"/>
    <w:rsid w:val="00DD1F15"/>
    <w:rsid w:val="00DD20D8"/>
    <w:rsid w:val="00DD2287"/>
    <w:rsid w:val="00DD24EE"/>
    <w:rsid w:val="00DD2561"/>
    <w:rsid w:val="00DD2BC4"/>
    <w:rsid w:val="00DD2BCC"/>
    <w:rsid w:val="00DD2D99"/>
    <w:rsid w:val="00DD2EB9"/>
    <w:rsid w:val="00DD3803"/>
    <w:rsid w:val="00DD38D1"/>
    <w:rsid w:val="00DD3C7F"/>
    <w:rsid w:val="00DD3E56"/>
    <w:rsid w:val="00DD3EC9"/>
    <w:rsid w:val="00DD415E"/>
    <w:rsid w:val="00DD4377"/>
    <w:rsid w:val="00DD4440"/>
    <w:rsid w:val="00DD4C56"/>
    <w:rsid w:val="00DD5031"/>
    <w:rsid w:val="00DD50BD"/>
    <w:rsid w:val="00DD51F5"/>
    <w:rsid w:val="00DD528F"/>
    <w:rsid w:val="00DD573E"/>
    <w:rsid w:val="00DD5C91"/>
    <w:rsid w:val="00DD6068"/>
    <w:rsid w:val="00DD6126"/>
    <w:rsid w:val="00DD61B2"/>
    <w:rsid w:val="00DD63C7"/>
    <w:rsid w:val="00DD63E4"/>
    <w:rsid w:val="00DD661A"/>
    <w:rsid w:val="00DD677C"/>
    <w:rsid w:val="00DD6ED9"/>
    <w:rsid w:val="00DD6F08"/>
    <w:rsid w:val="00DD735E"/>
    <w:rsid w:val="00DD763D"/>
    <w:rsid w:val="00DD7685"/>
    <w:rsid w:val="00DD7728"/>
    <w:rsid w:val="00DD77EE"/>
    <w:rsid w:val="00DD77F3"/>
    <w:rsid w:val="00DD7802"/>
    <w:rsid w:val="00DD7923"/>
    <w:rsid w:val="00DD7AB1"/>
    <w:rsid w:val="00DD7C29"/>
    <w:rsid w:val="00DD7E10"/>
    <w:rsid w:val="00DD7F9A"/>
    <w:rsid w:val="00DE01EC"/>
    <w:rsid w:val="00DE06AE"/>
    <w:rsid w:val="00DE0918"/>
    <w:rsid w:val="00DE0B9D"/>
    <w:rsid w:val="00DE0BCB"/>
    <w:rsid w:val="00DE0F82"/>
    <w:rsid w:val="00DE12CE"/>
    <w:rsid w:val="00DE132F"/>
    <w:rsid w:val="00DE14CE"/>
    <w:rsid w:val="00DE14EB"/>
    <w:rsid w:val="00DE1577"/>
    <w:rsid w:val="00DE16C4"/>
    <w:rsid w:val="00DE1857"/>
    <w:rsid w:val="00DE1B8A"/>
    <w:rsid w:val="00DE1E3D"/>
    <w:rsid w:val="00DE26C9"/>
    <w:rsid w:val="00DE2A72"/>
    <w:rsid w:val="00DE2C81"/>
    <w:rsid w:val="00DE2EB8"/>
    <w:rsid w:val="00DE2F14"/>
    <w:rsid w:val="00DE30DD"/>
    <w:rsid w:val="00DE34A2"/>
    <w:rsid w:val="00DE351E"/>
    <w:rsid w:val="00DE3566"/>
    <w:rsid w:val="00DE38FC"/>
    <w:rsid w:val="00DE3A11"/>
    <w:rsid w:val="00DE3A56"/>
    <w:rsid w:val="00DE3E49"/>
    <w:rsid w:val="00DE3E4B"/>
    <w:rsid w:val="00DE3FC6"/>
    <w:rsid w:val="00DE4B30"/>
    <w:rsid w:val="00DE4CF4"/>
    <w:rsid w:val="00DE4EC0"/>
    <w:rsid w:val="00DE526B"/>
    <w:rsid w:val="00DE5338"/>
    <w:rsid w:val="00DE55E5"/>
    <w:rsid w:val="00DE6446"/>
    <w:rsid w:val="00DE6671"/>
    <w:rsid w:val="00DE6901"/>
    <w:rsid w:val="00DE6AE8"/>
    <w:rsid w:val="00DE6BB7"/>
    <w:rsid w:val="00DE6DAD"/>
    <w:rsid w:val="00DE6DE9"/>
    <w:rsid w:val="00DE6EF0"/>
    <w:rsid w:val="00DE6FCA"/>
    <w:rsid w:val="00DE7143"/>
    <w:rsid w:val="00DE74DA"/>
    <w:rsid w:val="00DE77D7"/>
    <w:rsid w:val="00DE788F"/>
    <w:rsid w:val="00DE79B6"/>
    <w:rsid w:val="00DE7CED"/>
    <w:rsid w:val="00DE7F0A"/>
    <w:rsid w:val="00DF02E8"/>
    <w:rsid w:val="00DF033B"/>
    <w:rsid w:val="00DF0BE1"/>
    <w:rsid w:val="00DF0C34"/>
    <w:rsid w:val="00DF0D10"/>
    <w:rsid w:val="00DF0F2E"/>
    <w:rsid w:val="00DF105C"/>
    <w:rsid w:val="00DF114D"/>
    <w:rsid w:val="00DF11CE"/>
    <w:rsid w:val="00DF14AA"/>
    <w:rsid w:val="00DF17D6"/>
    <w:rsid w:val="00DF1805"/>
    <w:rsid w:val="00DF18A6"/>
    <w:rsid w:val="00DF1B7D"/>
    <w:rsid w:val="00DF1CB3"/>
    <w:rsid w:val="00DF1D6B"/>
    <w:rsid w:val="00DF1DD0"/>
    <w:rsid w:val="00DF1E87"/>
    <w:rsid w:val="00DF207C"/>
    <w:rsid w:val="00DF243C"/>
    <w:rsid w:val="00DF253D"/>
    <w:rsid w:val="00DF2584"/>
    <w:rsid w:val="00DF2606"/>
    <w:rsid w:val="00DF2768"/>
    <w:rsid w:val="00DF2942"/>
    <w:rsid w:val="00DF2DEC"/>
    <w:rsid w:val="00DF30E4"/>
    <w:rsid w:val="00DF35CC"/>
    <w:rsid w:val="00DF39B9"/>
    <w:rsid w:val="00DF3A93"/>
    <w:rsid w:val="00DF3FBB"/>
    <w:rsid w:val="00DF446E"/>
    <w:rsid w:val="00DF46DB"/>
    <w:rsid w:val="00DF4D47"/>
    <w:rsid w:val="00DF5014"/>
    <w:rsid w:val="00DF53C7"/>
    <w:rsid w:val="00DF56F3"/>
    <w:rsid w:val="00DF58CC"/>
    <w:rsid w:val="00DF5C99"/>
    <w:rsid w:val="00DF5F7D"/>
    <w:rsid w:val="00DF6076"/>
    <w:rsid w:val="00DF62E2"/>
    <w:rsid w:val="00DF6317"/>
    <w:rsid w:val="00DF63DD"/>
    <w:rsid w:val="00DF649E"/>
    <w:rsid w:val="00DF69BF"/>
    <w:rsid w:val="00DF6D6C"/>
    <w:rsid w:val="00DF6E1F"/>
    <w:rsid w:val="00DF6E30"/>
    <w:rsid w:val="00DF71C4"/>
    <w:rsid w:val="00DF7952"/>
    <w:rsid w:val="00DF7AC4"/>
    <w:rsid w:val="00DF7B2B"/>
    <w:rsid w:val="00DF7CB2"/>
    <w:rsid w:val="00DF7D59"/>
    <w:rsid w:val="00E003C0"/>
    <w:rsid w:val="00E00B1A"/>
    <w:rsid w:val="00E00B57"/>
    <w:rsid w:val="00E00E0C"/>
    <w:rsid w:val="00E00EB3"/>
    <w:rsid w:val="00E00F15"/>
    <w:rsid w:val="00E01258"/>
    <w:rsid w:val="00E01384"/>
    <w:rsid w:val="00E015E1"/>
    <w:rsid w:val="00E0180F"/>
    <w:rsid w:val="00E01901"/>
    <w:rsid w:val="00E01A5B"/>
    <w:rsid w:val="00E01B4A"/>
    <w:rsid w:val="00E022F5"/>
    <w:rsid w:val="00E023E6"/>
    <w:rsid w:val="00E02833"/>
    <w:rsid w:val="00E0287E"/>
    <w:rsid w:val="00E02A89"/>
    <w:rsid w:val="00E02B7E"/>
    <w:rsid w:val="00E02DF8"/>
    <w:rsid w:val="00E02FEF"/>
    <w:rsid w:val="00E032DC"/>
    <w:rsid w:val="00E033DB"/>
    <w:rsid w:val="00E034C4"/>
    <w:rsid w:val="00E03680"/>
    <w:rsid w:val="00E0386D"/>
    <w:rsid w:val="00E03AA8"/>
    <w:rsid w:val="00E03D0D"/>
    <w:rsid w:val="00E03E30"/>
    <w:rsid w:val="00E03FCD"/>
    <w:rsid w:val="00E041AC"/>
    <w:rsid w:val="00E044E8"/>
    <w:rsid w:val="00E0463C"/>
    <w:rsid w:val="00E04A4F"/>
    <w:rsid w:val="00E04A8E"/>
    <w:rsid w:val="00E04EAD"/>
    <w:rsid w:val="00E04ED5"/>
    <w:rsid w:val="00E05875"/>
    <w:rsid w:val="00E0598A"/>
    <w:rsid w:val="00E05BD0"/>
    <w:rsid w:val="00E05E93"/>
    <w:rsid w:val="00E064BE"/>
    <w:rsid w:val="00E0661C"/>
    <w:rsid w:val="00E0662A"/>
    <w:rsid w:val="00E06812"/>
    <w:rsid w:val="00E06945"/>
    <w:rsid w:val="00E06B7C"/>
    <w:rsid w:val="00E06BF5"/>
    <w:rsid w:val="00E06DE5"/>
    <w:rsid w:val="00E06DE7"/>
    <w:rsid w:val="00E070FD"/>
    <w:rsid w:val="00E072EF"/>
    <w:rsid w:val="00E07348"/>
    <w:rsid w:val="00E07650"/>
    <w:rsid w:val="00E076A0"/>
    <w:rsid w:val="00E07727"/>
    <w:rsid w:val="00E07744"/>
    <w:rsid w:val="00E07880"/>
    <w:rsid w:val="00E07CDD"/>
    <w:rsid w:val="00E07CE8"/>
    <w:rsid w:val="00E07D6F"/>
    <w:rsid w:val="00E100E5"/>
    <w:rsid w:val="00E105BD"/>
    <w:rsid w:val="00E10618"/>
    <w:rsid w:val="00E106E2"/>
    <w:rsid w:val="00E1095B"/>
    <w:rsid w:val="00E10AD2"/>
    <w:rsid w:val="00E10C3B"/>
    <w:rsid w:val="00E10D64"/>
    <w:rsid w:val="00E10E99"/>
    <w:rsid w:val="00E1107A"/>
    <w:rsid w:val="00E11258"/>
    <w:rsid w:val="00E112FE"/>
    <w:rsid w:val="00E11594"/>
    <w:rsid w:val="00E11743"/>
    <w:rsid w:val="00E11795"/>
    <w:rsid w:val="00E11926"/>
    <w:rsid w:val="00E11A97"/>
    <w:rsid w:val="00E11D32"/>
    <w:rsid w:val="00E11E8B"/>
    <w:rsid w:val="00E11F83"/>
    <w:rsid w:val="00E120F0"/>
    <w:rsid w:val="00E12688"/>
    <w:rsid w:val="00E12770"/>
    <w:rsid w:val="00E12A8D"/>
    <w:rsid w:val="00E12E08"/>
    <w:rsid w:val="00E12F81"/>
    <w:rsid w:val="00E12FD1"/>
    <w:rsid w:val="00E13133"/>
    <w:rsid w:val="00E13338"/>
    <w:rsid w:val="00E134FC"/>
    <w:rsid w:val="00E135A0"/>
    <w:rsid w:val="00E1396C"/>
    <w:rsid w:val="00E13AE3"/>
    <w:rsid w:val="00E13BB8"/>
    <w:rsid w:val="00E13CCB"/>
    <w:rsid w:val="00E13CFB"/>
    <w:rsid w:val="00E13E76"/>
    <w:rsid w:val="00E13FF0"/>
    <w:rsid w:val="00E14131"/>
    <w:rsid w:val="00E14441"/>
    <w:rsid w:val="00E144BC"/>
    <w:rsid w:val="00E14525"/>
    <w:rsid w:val="00E14C52"/>
    <w:rsid w:val="00E15068"/>
    <w:rsid w:val="00E15094"/>
    <w:rsid w:val="00E154E0"/>
    <w:rsid w:val="00E15663"/>
    <w:rsid w:val="00E157D4"/>
    <w:rsid w:val="00E15C82"/>
    <w:rsid w:val="00E15FF5"/>
    <w:rsid w:val="00E1627D"/>
    <w:rsid w:val="00E16669"/>
    <w:rsid w:val="00E16791"/>
    <w:rsid w:val="00E16811"/>
    <w:rsid w:val="00E16AA2"/>
    <w:rsid w:val="00E16E88"/>
    <w:rsid w:val="00E171BF"/>
    <w:rsid w:val="00E172BE"/>
    <w:rsid w:val="00E1747C"/>
    <w:rsid w:val="00E17511"/>
    <w:rsid w:val="00E17591"/>
    <w:rsid w:val="00E17698"/>
    <w:rsid w:val="00E17849"/>
    <w:rsid w:val="00E17967"/>
    <w:rsid w:val="00E2038D"/>
    <w:rsid w:val="00E203EC"/>
    <w:rsid w:val="00E20971"/>
    <w:rsid w:val="00E20AB0"/>
    <w:rsid w:val="00E20B07"/>
    <w:rsid w:val="00E20D99"/>
    <w:rsid w:val="00E2142A"/>
    <w:rsid w:val="00E21965"/>
    <w:rsid w:val="00E21F32"/>
    <w:rsid w:val="00E22144"/>
    <w:rsid w:val="00E22167"/>
    <w:rsid w:val="00E224BC"/>
    <w:rsid w:val="00E22502"/>
    <w:rsid w:val="00E225A8"/>
    <w:rsid w:val="00E22ABB"/>
    <w:rsid w:val="00E22F82"/>
    <w:rsid w:val="00E2304A"/>
    <w:rsid w:val="00E2335F"/>
    <w:rsid w:val="00E23395"/>
    <w:rsid w:val="00E233E6"/>
    <w:rsid w:val="00E23937"/>
    <w:rsid w:val="00E23C9A"/>
    <w:rsid w:val="00E23D01"/>
    <w:rsid w:val="00E23D3B"/>
    <w:rsid w:val="00E23E3C"/>
    <w:rsid w:val="00E242B3"/>
    <w:rsid w:val="00E24636"/>
    <w:rsid w:val="00E24AB5"/>
    <w:rsid w:val="00E25586"/>
    <w:rsid w:val="00E2565C"/>
    <w:rsid w:val="00E25BE3"/>
    <w:rsid w:val="00E25E38"/>
    <w:rsid w:val="00E25F01"/>
    <w:rsid w:val="00E26597"/>
    <w:rsid w:val="00E265AA"/>
    <w:rsid w:val="00E2671A"/>
    <w:rsid w:val="00E267E3"/>
    <w:rsid w:val="00E26C43"/>
    <w:rsid w:val="00E2727F"/>
    <w:rsid w:val="00E273FD"/>
    <w:rsid w:val="00E2788B"/>
    <w:rsid w:val="00E278DB"/>
    <w:rsid w:val="00E27BF0"/>
    <w:rsid w:val="00E27CC0"/>
    <w:rsid w:val="00E30261"/>
    <w:rsid w:val="00E30262"/>
    <w:rsid w:val="00E3031A"/>
    <w:rsid w:val="00E3039F"/>
    <w:rsid w:val="00E303DD"/>
    <w:rsid w:val="00E305BB"/>
    <w:rsid w:val="00E30709"/>
    <w:rsid w:val="00E307BB"/>
    <w:rsid w:val="00E30818"/>
    <w:rsid w:val="00E30A0D"/>
    <w:rsid w:val="00E30B1A"/>
    <w:rsid w:val="00E30BD8"/>
    <w:rsid w:val="00E30DF1"/>
    <w:rsid w:val="00E30FBE"/>
    <w:rsid w:val="00E31005"/>
    <w:rsid w:val="00E31190"/>
    <w:rsid w:val="00E31695"/>
    <w:rsid w:val="00E31718"/>
    <w:rsid w:val="00E319AA"/>
    <w:rsid w:val="00E31B2B"/>
    <w:rsid w:val="00E31C12"/>
    <w:rsid w:val="00E31CDC"/>
    <w:rsid w:val="00E31D69"/>
    <w:rsid w:val="00E31F60"/>
    <w:rsid w:val="00E31FE5"/>
    <w:rsid w:val="00E32081"/>
    <w:rsid w:val="00E321C2"/>
    <w:rsid w:val="00E32615"/>
    <w:rsid w:val="00E329BC"/>
    <w:rsid w:val="00E32D49"/>
    <w:rsid w:val="00E33321"/>
    <w:rsid w:val="00E334E4"/>
    <w:rsid w:val="00E33624"/>
    <w:rsid w:val="00E33C6D"/>
    <w:rsid w:val="00E33E4A"/>
    <w:rsid w:val="00E34224"/>
    <w:rsid w:val="00E3428E"/>
    <w:rsid w:val="00E3428F"/>
    <w:rsid w:val="00E34DC1"/>
    <w:rsid w:val="00E34EA5"/>
    <w:rsid w:val="00E3528F"/>
    <w:rsid w:val="00E3529A"/>
    <w:rsid w:val="00E354F2"/>
    <w:rsid w:val="00E355DE"/>
    <w:rsid w:val="00E35776"/>
    <w:rsid w:val="00E35A5B"/>
    <w:rsid w:val="00E35ED2"/>
    <w:rsid w:val="00E36259"/>
    <w:rsid w:val="00E364B6"/>
    <w:rsid w:val="00E365C4"/>
    <w:rsid w:val="00E3673A"/>
    <w:rsid w:val="00E3679E"/>
    <w:rsid w:val="00E367FC"/>
    <w:rsid w:val="00E3684B"/>
    <w:rsid w:val="00E36933"/>
    <w:rsid w:val="00E36A00"/>
    <w:rsid w:val="00E36B19"/>
    <w:rsid w:val="00E36BE4"/>
    <w:rsid w:val="00E36D09"/>
    <w:rsid w:val="00E37251"/>
    <w:rsid w:val="00E3762B"/>
    <w:rsid w:val="00E37700"/>
    <w:rsid w:val="00E37998"/>
    <w:rsid w:val="00E37B64"/>
    <w:rsid w:val="00E37C50"/>
    <w:rsid w:val="00E37C61"/>
    <w:rsid w:val="00E401E5"/>
    <w:rsid w:val="00E40437"/>
    <w:rsid w:val="00E404D4"/>
    <w:rsid w:val="00E405A9"/>
    <w:rsid w:val="00E407A9"/>
    <w:rsid w:val="00E4114C"/>
    <w:rsid w:val="00E411B8"/>
    <w:rsid w:val="00E412BF"/>
    <w:rsid w:val="00E41B49"/>
    <w:rsid w:val="00E41B77"/>
    <w:rsid w:val="00E41E2B"/>
    <w:rsid w:val="00E41EA2"/>
    <w:rsid w:val="00E41F5F"/>
    <w:rsid w:val="00E41FED"/>
    <w:rsid w:val="00E420D4"/>
    <w:rsid w:val="00E42208"/>
    <w:rsid w:val="00E42578"/>
    <w:rsid w:val="00E42725"/>
    <w:rsid w:val="00E427A7"/>
    <w:rsid w:val="00E42C96"/>
    <w:rsid w:val="00E4310A"/>
    <w:rsid w:val="00E43679"/>
    <w:rsid w:val="00E4384B"/>
    <w:rsid w:val="00E43B0C"/>
    <w:rsid w:val="00E43B66"/>
    <w:rsid w:val="00E43BB0"/>
    <w:rsid w:val="00E43D8F"/>
    <w:rsid w:val="00E43E06"/>
    <w:rsid w:val="00E43FBE"/>
    <w:rsid w:val="00E44C98"/>
    <w:rsid w:val="00E44E13"/>
    <w:rsid w:val="00E44F04"/>
    <w:rsid w:val="00E45017"/>
    <w:rsid w:val="00E450B7"/>
    <w:rsid w:val="00E45786"/>
    <w:rsid w:val="00E45B2A"/>
    <w:rsid w:val="00E45F74"/>
    <w:rsid w:val="00E46063"/>
    <w:rsid w:val="00E46105"/>
    <w:rsid w:val="00E461B7"/>
    <w:rsid w:val="00E463E0"/>
    <w:rsid w:val="00E46463"/>
    <w:rsid w:val="00E4652F"/>
    <w:rsid w:val="00E46634"/>
    <w:rsid w:val="00E466A3"/>
    <w:rsid w:val="00E46D13"/>
    <w:rsid w:val="00E47343"/>
    <w:rsid w:val="00E47439"/>
    <w:rsid w:val="00E4758C"/>
    <w:rsid w:val="00E4790A"/>
    <w:rsid w:val="00E47C76"/>
    <w:rsid w:val="00E501C9"/>
    <w:rsid w:val="00E503FD"/>
    <w:rsid w:val="00E50538"/>
    <w:rsid w:val="00E5055D"/>
    <w:rsid w:val="00E50C86"/>
    <w:rsid w:val="00E50E41"/>
    <w:rsid w:val="00E51210"/>
    <w:rsid w:val="00E5125D"/>
    <w:rsid w:val="00E51604"/>
    <w:rsid w:val="00E51983"/>
    <w:rsid w:val="00E51A2E"/>
    <w:rsid w:val="00E51A87"/>
    <w:rsid w:val="00E52196"/>
    <w:rsid w:val="00E52393"/>
    <w:rsid w:val="00E52731"/>
    <w:rsid w:val="00E52927"/>
    <w:rsid w:val="00E5299D"/>
    <w:rsid w:val="00E52C4D"/>
    <w:rsid w:val="00E52EC3"/>
    <w:rsid w:val="00E53074"/>
    <w:rsid w:val="00E53868"/>
    <w:rsid w:val="00E538A0"/>
    <w:rsid w:val="00E5397E"/>
    <w:rsid w:val="00E53E6B"/>
    <w:rsid w:val="00E54367"/>
    <w:rsid w:val="00E54596"/>
    <w:rsid w:val="00E54718"/>
    <w:rsid w:val="00E551F3"/>
    <w:rsid w:val="00E5536A"/>
    <w:rsid w:val="00E55617"/>
    <w:rsid w:val="00E558C0"/>
    <w:rsid w:val="00E558E2"/>
    <w:rsid w:val="00E55CF8"/>
    <w:rsid w:val="00E56137"/>
    <w:rsid w:val="00E561FA"/>
    <w:rsid w:val="00E564E1"/>
    <w:rsid w:val="00E564FB"/>
    <w:rsid w:val="00E56703"/>
    <w:rsid w:val="00E567A8"/>
    <w:rsid w:val="00E56906"/>
    <w:rsid w:val="00E56985"/>
    <w:rsid w:val="00E56BF8"/>
    <w:rsid w:val="00E56C34"/>
    <w:rsid w:val="00E571D9"/>
    <w:rsid w:val="00E572B1"/>
    <w:rsid w:val="00E57388"/>
    <w:rsid w:val="00E5780F"/>
    <w:rsid w:val="00E579ED"/>
    <w:rsid w:val="00E57A5F"/>
    <w:rsid w:val="00E57C1A"/>
    <w:rsid w:val="00E60131"/>
    <w:rsid w:val="00E606B7"/>
    <w:rsid w:val="00E60957"/>
    <w:rsid w:val="00E60AA0"/>
    <w:rsid w:val="00E60AA7"/>
    <w:rsid w:val="00E60B37"/>
    <w:rsid w:val="00E60E7A"/>
    <w:rsid w:val="00E60F5A"/>
    <w:rsid w:val="00E611FB"/>
    <w:rsid w:val="00E61250"/>
    <w:rsid w:val="00E613AE"/>
    <w:rsid w:val="00E613DB"/>
    <w:rsid w:val="00E6143A"/>
    <w:rsid w:val="00E6178E"/>
    <w:rsid w:val="00E619BB"/>
    <w:rsid w:val="00E61A3C"/>
    <w:rsid w:val="00E61C43"/>
    <w:rsid w:val="00E61D23"/>
    <w:rsid w:val="00E61FA5"/>
    <w:rsid w:val="00E621B1"/>
    <w:rsid w:val="00E625FC"/>
    <w:rsid w:val="00E627A4"/>
    <w:rsid w:val="00E62987"/>
    <w:rsid w:val="00E629BE"/>
    <w:rsid w:val="00E629D6"/>
    <w:rsid w:val="00E62C28"/>
    <w:rsid w:val="00E62C74"/>
    <w:rsid w:val="00E62C9F"/>
    <w:rsid w:val="00E630A5"/>
    <w:rsid w:val="00E6347F"/>
    <w:rsid w:val="00E63699"/>
    <w:rsid w:val="00E636D3"/>
    <w:rsid w:val="00E638B4"/>
    <w:rsid w:val="00E63D72"/>
    <w:rsid w:val="00E63ED0"/>
    <w:rsid w:val="00E640DA"/>
    <w:rsid w:val="00E640E4"/>
    <w:rsid w:val="00E6419A"/>
    <w:rsid w:val="00E641C1"/>
    <w:rsid w:val="00E6430F"/>
    <w:rsid w:val="00E64413"/>
    <w:rsid w:val="00E645AC"/>
    <w:rsid w:val="00E645BB"/>
    <w:rsid w:val="00E64600"/>
    <w:rsid w:val="00E64898"/>
    <w:rsid w:val="00E64A04"/>
    <w:rsid w:val="00E64ACF"/>
    <w:rsid w:val="00E64D6E"/>
    <w:rsid w:val="00E6509B"/>
    <w:rsid w:val="00E6514C"/>
    <w:rsid w:val="00E65219"/>
    <w:rsid w:val="00E65538"/>
    <w:rsid w:val="00E65587"/>
    <w:rsid w:val="00E658FA"/>
    <w:rsid w:val="00E65912"/>
    <w:rsid w:val="00E65B34"/>
    <w:rsid w:val="00E65C4F"/>
    <w:rsid w:val="00E66A03"/>
    <w:rsid w:val="00E66A77"/>
    <w:rsid w:val="00E66EDE"/>
    <w:rsid w:val="00E670C6"/>
    <w:rsid w:val="00E676C6"/>
    <w:rsid w:val="00E67738"/>
    <w:rsid w:val="00E679BF"/>
    <w:rsid w:val="00E67ECB"/>
    <w:rsid w:val="00E70013"/>
    <w:rsid w:val="00E7008B"/>
    <w:rsid w:val="00E70467"/>
    <w:rsid w:val="00E7054E"/>
    <w:rsid w:val="00E708CA"/>
    <w:rsid w:val="00E70AB8"/>
    <w:rsid w:val="00E70D60"/>
    <w:rsid w:val="00E71059"/>
    <w:rsid w:val="00E7129B"/>
    <w:rsid w:val="00E716A8"/>
    <w:rsid w:val="00E7172F"/>
    <w:rsid w:val="00E719A1"/>
    <w:rsid w:val="00E719D5"/>
    <w:rsid w:val="00E71A2C"/>
    <w:rsid w:val="00E71C46"/>
    <w:rsid w:val="00E71C56"/>
    <w:rsid w:val="00E71C6C"/>
    <w:rsid w:val="00E71E00"/>
    <w:rsid w:val="00E71F2D"/>
    <w:rsid w:val="00E72073"/>
    <w:rsid w:val="00E72357"/>
    <w:rsid w:val="00E72833"/>
    <w:rsid w:val="00E72C0E"/>
    <w:rsid w:val="00E72CDC"/>
    <w:rsid w:val="00E73395"/>
    <w:rsid w:val="00E7394D"/>
    <w:rsid w:val="00E73A9F"/>
    <w:rsid w:val="00E73C53"/>
    <w:rsid w:val="00E73D97"/>
    <w:rsid w:val="00E73EF5"/>
    <w:rsid w:val="00E745B3"/>
    <w:rsid w:val="00E745CC"/>
    <w:rsid w:val="00E74EFB"/>
    <w:rsid w:val="00E74F3C"/>
    <w:rsid w:val="00E74F9F"/>
    <w:rsid w:val="00E750CA"/>
    <w:rsid w:val="00E75889"/>
    <w:rsid w:val="00E75C60"/>
    <w:rsid w:val="00E75F97"/>
    <w:rsid w:val="00E7604A"/>
    <w:rsid w:val="00E762AD"/>
    <w:rsid w:val="00E76355"/>
    <w:rsid w:val="00E767EE"/>
    <w:rsid w:val="00E76CA5"/>
    <w:rsid w:val="00E76EB6"/>
    <w:rsid w:val="00E76F1B"/>
    <w:rsid w:val="00E774A2"/>
    <w:rsid w:val="00E77612"/>
    <w:rsid w:val="00E77683"/>
    <w:rsid w:val="00E77720"/>
    <w:rsid w:val="00E8005A"/>
    <w:rsid w:val="00E80110"/>
    <w:rsid w:val="00E801AA"/>
    <w:rsid w:val="00E8024D"/>
    <w:rsid w:val="00E802EE"/>
    <w:rsid w:val="00E8055D"/>
    <w:rsid w:val="00E8055E"/>
    <w:rsid w:val="00E80623"/>
    <w:rsid w:val="00E807EF"/>
    <w:rsid w:val="00E80C2E"/>
    <w:rsid w:val="00E813D4"/>
    <w:rsid w:val="00E8157A"/>
    <w:rsid w:val="00E81DF3"/>
    <w:rsid w:val="00E8206D"/>
    <w:rsid w:val="00E8215A"/>
    <w:rsid w:val="00E8237A"/>
    <w:rsid w:val="00E8247A"/>
    <w:rsid w:val="00E82694"/>
    <w:rsid w:val="00E827DB"/>
    <w:rsid w:val="00E82A1C"/>
    <w:rsid w:val="00E82BC8"/>
    <w:rsid w:val="00E82E5F"/>
    <w:rsid w:val="00E82E92"/>
    <w:rsid w:val="00E83021"/>
    <w:rsid w:val="00E83348"/>
    <w:rsid w:val="00E8366D"/>
    <w:rsid w:val="00E83AD1"/>
    <w:rsid w:val="00E83B80"/>
    <w:rsid w:val="00E83C06"/>
    <w:rsid w:val="00E83D30"/>
    <w:rsid w:val="00E83E4A"/>
    <w:rsid w:val="00E83F3C"/>
    <w:rsid w:val="00E8405E"/>
    <w:rsid w:val="00E8442E"/>
    <w:rsid w:val="00E84664"/>
    <w:rsid w:val="00E84E0D"/>
    <w:rsid w:val="00E84E29"/>
    <w:rsid w:val="00E84FA0"/>
    <w:rsid w:val="00E85364"/>
    <w:rsid w:val="00E85528"/>
    <w:rsid w:val="00E8558E"/>
    <w:rsid w:val="00E85955"/>
    <w:rsid w:val="00E85C3C"/>
    <w:rsid w:val="00E85F2A"/>
    <w:rsid w:val="00E8626A"/>
    <w:rsid w:val="00E86539"/>
    <w:rsid w:val="00E8655B"/>
    <w:rsid w:val="00E8655C"/>
    <w:rsid w:val="00E86607"/>
    <w:rsid w:val="00E86A7A"/>
    <w:rsid w:val="00E86AAC"/>
    <w:rsid w:val="00E86B12"/>
    <w:rsid w:val="00E86C89"/>
    <w:rsid w:val="00E86CF4"/>
    <w:rsid w:val="00E86DE7"/>
    <w:rsid w:val="00E86F17"/>
    <w:rsid w:val="00E87153"/>
    <w:rsid w:val="00E87473"/>
    <w:rsid w:val="00E876A1"/>
    <w:rsid w:val="00E8776A"/>
    <w:rsid w:val="00E8779B"/>
    <w:rsid w:val="00E877C7"/>
    <w:rsid w:val="00E8797D"/>
    <w:rsid w:val="00E879BA"/>
    <w:rsid w:val="00E87AD8"/>
    <w:rsid w:val="00E905AE"/>
    <w:rsid w:val="00E9094C"/>
    <w:rsid w:val="00E90B32"/>
    <w:rsid w:val="00E90C7A"/>
    <w:rsid w:val="00E90D2B"/>
    <w:rsid w:val="00E90F4A"/>
    <w:rsid w:val="00E90FEC"/>
    <w:rsid w:val="00E910C2"/>
    <w:rsid w:val="00E914AC"/>
    <w:rsid w:val="00E914C7"/>
    <w:rsid w:val="00E918BD"/>
    <w:rsid w:val="00E91BF3"/>
    <w:rsid w:val="00E91F12"/>
    <w:rsid w:val="00E92218"/>
    <w:rsid w:val="00E92791"/>
    <w:rsid w:val="00E9285E"/>
    <w:rsid w:val="00E92C8C"/>
    <w:rsid w:val="00E92CA2"/>
    <w:rsid w:val="00E92EB6"/>
    <w:rsid w:val="00E93435"/>
    <w:rsid w:val="00E9356D"/>
    <w:rsid w:val="00E935BA"/>
    <w:rsid w:val="00E93610"/>
    <w:rsid w:val="00E936BF"/>
    <w:rsid w:val="00E93715"/>
    <w:rsid w:val="00E93BED"/>
    <w:rsid w:val="00E94018"/>
    <w:rsid w:val="00E943C7"/>
    <w:rsid w:val="00E94732"/>
    <w:rsid w:val="00E94943"/>
    <w:rsid w:val="00E94CBA"/>
    <w:rsid w:val="00E94F23"/>
    <w:rsid w:val="00E956AA"/>
    <w:rsid w:val="00E95704"/>
    <w:rsid w:val="00E95743"/>
    <w:rsid w:val="00E9591C"/>
    <w:rsid w:val="00E95A7F"/>
    <w:rsid w:val="00E95C47"/>
    <w:rsid w:val="00E95C7F"/>
    <w:rsid w:val="00E95D11"/>
    <w:rsid w:val="00E95D89"/>
    <w:rsid w:val="00E95E91"/>
    <w:rsid w:val="00E95F95"/>
    <w:rsid w:val="00E9614E"/>
    <w:rsid w:val="00E96D3A"/>
    <w:rsid w:val="00E96E38"/>
    <w:rsid w:val="00E970F7"/>
    <w:rsid w:val="00E97125"/>
    <w:rsid w:val="00E97128"/>
    <w:rsid w:val="00E972E4"/>
    <w:rsid w:val="00E9743C"/>
    <w:rsid w:val="00E97465"/>
    <w:rsid w:val="00E974EA"/>
    <w:rsid w:val="00E97833"/>
    <w:rsid w:val="00E97C62"/>
    <w:rsid w:val="00E97F12"/>
    <w:rsid w:val="00EA00C0"/>
    <w:rsid w:val="00EA0144"/>
    <w:rsid w:val="00EA03A8"/>
    <w:rsid w:val="00EA04E4"/>
    <w:rsid w:val="00EA0604"/>
    <w:rsid w:val="00EA0683"/>
    <w:rsid w:val="00EA0974"/>
    <w:rsid w:val="00EA0BE1"/>
    <w:rsid w:val="00EA0D51"/>
    <w:rsid w:val="00EA0D95"/>
    <w:rsid w:val="00EA0D99"/>
    <w:rsid w:val="00EA0F7F"/>
    <w:rsid w:val="00EA0FFC"/>
    <w:rsid w:val="00EA1063"/>
    <w:rsid w:val="00EA126F"/>
    <w:rsid w:val="00EA1339"/>
    <w:rsid w:val="00EA14BF"/>
    <w:rsid w:val="00EA1B48"/>
    <w:rsid w:val="00EA1E37"/>
    <w:rsid w:val="00EA1E94"/>
    <w:rsid w:val="00EA21ED"/>
    <w:rsid w:val="00EA2207"/>
    <w:rsid w:val="00EA22E9"/>
    <w:rsid w:val="00EA246F"/>
    <w:rsid w:val="00EA2699"/>
    <w:rsid w:val="00EA2B44"/>
    <w:rsid w:val="00EA2D7E"/>
    <w:rsid w:val="00EA2DBC"/>
    <w:rsid w:val="00EA2DC6"/>
    <w:rsid w:val="00EA2E07"/>
    <w:rsid w:val="00EA3024"/>
    <w:rsid w:val="00EA33F2"/>
    <w:rsid w:val="00EA366B"/>
    <w:rsid w:val="00EA39FF"/>
    <w:rsid w:val="00EA3C8D"/>
    <w:rsid w:val="00EA3C9F"/>
    <w:rsid w:val="00EA3D9F"/>
    <w:rsid w:val="00EA3F2E"/>
    <w:rsid w:val="00EA4051"/>
    <w:rsid w:val="00EA44DD"/>
    <w:rsid w:val="00EA45FB"/>
    <w:rsid w:val="00EA4781"/>
    <w:rsid w:val="00EA4811"/>
    <w:rsid w:val="00EA481F"/>
    <w:rsid w:val="00EA4E78"/>
    <w:rsid w:val="00EA4E7E"/>
    <w:rsid w:val="00EA4EC3"/>
    <w:rsid w:val="00EA4F1D"/>
    <w:rsid w:val="00EA5431"/>
    <w:rsid w:val="00EA5670"/>
    <w:rsid w:val="00EA5680"/>
    <w:rsid w:val="00EA56B1"/>
    <w:rsid w:val="00EA57FE"/>
    <w:rsid w:val="00EA5AB1"/>
    <w:rsid w:val="00EA5C14"/>
    <w:rsid w:val="00EA5C7B"/>
    <w:rsid w:val="00EA5E07"/>
    <w:rsid w:val="00EA5E37"/>
    <w:rsid w:val="00EA6035"/>
    <w:rsid w:val="00EA6505"/>
    <w:rsid w:val="00EA6806"/>
    <w:rsid w:val="00EA6B58"/>
    <w:rsid w:val="00EA6C38"/>
    <w:rsid w:val="00EA6DFC"/>
    <w:rsid w:val="00EA7151"/>
    <w:rsid w:val="00EA7311"/>
    <w:rsid w:val="00EA7598"/>
    <w:rsid w:val="00EA7678"/>
    <w:rsid w:val="00EA7714"/>
    <w:rsid w:val="00EA773B"/>
    <w:rsid w:val="00EA7BA3"/>
    <w:rsid w:val="00EA7BBA"/>
    <w:rsid w:val="00EA7FE9"/>
    <w:rsid w:val="00EB02E4"/>
    <w:rsid w:val="00EB0477"/>
    <w:rsid w:val="00EB0788"/>
    <w:rsid w:val="00EB0BFE"/>
    <w:rsid w:val="00EB1485"/>
    <w:rsid w:val="00EB1807"/>
    <w:rsid w:val="00EB2223"/>
    <w:rsid w:val="00EB2433"/>
    <w:rsid w:val="00EB248A"/>
    <w:rsid w:val="00EB2490"/>
    <w:rsid w:val="00EB24DA"/>
    <w:rsid w:val="00EB24F1"/>
    <w:rsid w:val="00EB2631"/>
    <w:rsid w:val="00EB2AA1"/>
    <w:rsid w:val="00EB2EE3"/>
    <w:rsid w:val="00EB36E6"/>
    <w:rsid w:val="00EB378B"/>
    <w:rsid w:val="00EB3E6C"/>
    <w:rsid w:val="00EB4304"/>
    <w:rsid w:val="00EB43A7"/>
    <w:rsid w:val="00EB472F"/>
    <w:rsid w:val="00EB4B8D"/>
    <w:rsid w:val="00EB50E9"/>
    <w:rsid w:val="00EB5132"/>
    <w:rsid w:val="00EB5286"/>
    <w:rsid w:val="00EB53B6"/>
    <w:rsid w:val="00EB5623"/>
    <w:rsid w:val="00EB57BD"/>
    <w:rsid w:val="00EB5BD1"/>
    <w:rsid w:val="00EB6097"/>
    <w:rsid w:val="00EB6325"/>
    <w:rsid w:val="00EB644B"/>
    <w:rsid w:val="00EB6510"/>
    <w:rsid w:val="00EB6632"/>
    <w:rsid w:val="00EB6946"/>
    <w:rsid w:val="00EB697C"/>
    <w:rsid w:val="00EB6D77"/>
    <w:rsid w:val="00EB6DA7"/>
    <w:rsid w:val="00EB6E82"/>
    <w:rsid w:val="00EB733C"/>
    <w:rsid w:val="00EB75B9"/>
    <w:rsid w:val="00EB766F"/>
    <w:rsid w:val="00EB794E"/>
    <w:rsid w:val="00EB7A9B"/>
    <w:rsid w:val="00EB7BE3"/>
    <w:rsid w:val="00EB7F51"/>
    <w:rsid w:val="00EB7FB8"/>
    <w:rsid w:val="00EC0073"/>
    <w:rsid w:val="00EC0323"/>
    <w:rsid w:val="00EC05BF"/>
    <w:rsid w:val="00EC0727"/>
    <w:rsid w:val="00EC084E"/>
    <w:rsid w:val="00EC0E46"/>
    <w:rsid w:val="00EC17D9"/>
    <w:rsid w:val="00EC1A31"/>
    <w:rsid w:val="00EC1CEC"/>
    <w:rsid w:val="00EC1FC4"/>
    <w:rsid w:val="00EC232B"/>
    <w:rsid w:val="00EC2550"/>
    <w:rsid w:val="00EC262E"/>
    <w:rsid w:val="00EC2664"/>
    <w:rsid w:val="00EC2761"/>
    <w:rsid w:val="00EC29B3"/>
    <w:rsid w:val="00EC2B87"/>
    <w:rsid w:val="00EC2F52"/>
    <w:rsid w:val="00EC3393"/>
    <w:rsid w:val="00EC346A"/>
    <w:rsid w:val="00EC3485"/>
    <w:rsid w:val="00EC350B"/>
    <w:rsid w:val="00EC3574"/>
    <w:rsid w:val="00EC35FD"/>
    <w:rsid w:val="00EC360C"/>
    <w:rsid w:val="00EC3836"/>
    <w:rsid w:val="00EC3921"/>
    <w:rsid w:val="00EC3C90"/>
    <w:rsid w:val="00EC3CA7"/>
    <w:rsid w:val="00EC3D20"/>
    <w:rsid w:val="00EC3F49"/>
    <w:rsid w:val="00EC3F83"/>
    <w:rsid w:val="00EC4480"/>
    <w:rsid w:val="00EC493D"/>
    <w:rsid w:val="00EC4B1E"/>
    <w:rsid w:val="00EC4B89"/>
    <w:rsid w:val="00EC50E7"/>
    <w:rsid w:val="00EC5606"/>
    <w:rsid w:val="00EC574D"/>
    <w:rsid w:val="00EC5840"/>
    <w:rsid w:val="00EC593F"/>
    <w:rsid w:val="00EC5ABF"/>
    <w:rsid w:val="00EC5B34"/>
    <w:rsid w:val="00EC5B7C"/>
    <w:rsid w:val="00EC5E00"/>
    <w:rsid w:val="00EC5F58"/>
    <w:rsid w:val="00EC60C1"/>
    <w:rsid w:val="00EC60E1"/>
    <w:rsid w:val="00EC61B8"/>
    <w:rsid w:val="00EC64A8"/>
    <w:rsid w:val="00EC6573"/>
    <w:rsid w:val="00EC66B5"/>
    <w:rsid w:val="00EC66E8"/>
    <w:rsid w:val="00EC671E"/>
    <w:rsid w:val="00EC6AD9"/>
    <w:rsid w:val="00EC6D5E"/>
    <w:rsid w:val="00EC6EBA"/>
    <w:rsid w:val="00EC7002"/>
    <w:rsid w:val="00EC7218"/>
    <w:rsid w:val="00EC75E7"/>
    <w:rsid w:val="00EC799A"/>
    <w:rsid w:val="00EC7A9F"/>
    <w:rsid w:val="00EC7BE0"/>
    <w:rsid w:val="00EC7C52"/>
    <w:rsid w:val="00EC7CD3"/>
    <w:rsid w:val="00EC7E34"/>
    <w:rsid w:val="00ED0300"/>
    <w:rsid w:val="00ED039B"/>
    <w:rsid w:val="00ED0483"/>
    <w:rsid w:val="00ED0868"/>
    <w:rsid w:val="00ED0BB7"/>
    <w:rsid w:val="00ED1151"/>
    <w:rsid w:val="00ED1198"/>
    <w:rsid w:val="00ED1379"/>
    <w:rsid w:val="00ED1404"/>
    <w:rsid w:val="00ED147B"/>
    <w:rsid w:val="00ED17A5"/>
    <w:rsid w:val="00ED19CE"/>
    <w:rsid w:val="00ED1CBE"/>
    <w:rsid w:val="00ED1E55"/>
    <w:rsid w:val="00ED2758"/>
    <w:rsid w:val="00ED2861"/>
    <w:rsid w:val="00ED290F"/>
    <w:rsid w:val="00ED29CA"/>
    <w:rsid w:val="00ED2C70"/>
    <w:rsid w:val="00ED2D9C"/>
    <w:rsid w:val="00ED2EC7"/>
    <w:rsid w:val="00ED3145"/>
    <w:rsid w:val="00ED385D"/>
    <w:rsid w:val="00ED3CD7"/>
    <w:rsid w:val="00ED3D79"/>
    <w:rsid w:val="00ED420C"/>
    <w:rsid w:val="00ED43E9"/>
    <w:rsid w:val="00ED442D"/>
    <w:rsid w:val="00ED4B73"/>
    <w:rsid w:val="00ED4C6A"/>
    <w:rsid w:val="00ED4F53"/>
    <w:rsid w:val="00ED4FC5"/>
    <w:rsid w:val="00ED5090"/>
    <w:rsid w:val="00ED52A1"/>
    <w:rsid w:val="00ED54B5"/>
    <w:rsid w:val="00ED5589"/>
    <w:rsid w:val="00ED5990"/>
    <w:rsid w:val="00ED5A6E"/>
    <w:rsid w:val="00ED5F01"/>
    <w:rsid w:val="00ED6403"/>
    <w:rsid w:val="00ED64F6"/>
    <w:rsid w:val="00ED64FE"/>
    <w:rsid w:val="00ED66B2"/>
    <w:rsid w:val="00ED69CD"/>
    <w:rsid w:val="00ED6ACF"/>
    <w:rsid w:val="00ED6B41"/>
    <w:rsid w:val="00ED6BBB"/>
    <w:rsid w:val="00ED740D"/>
    <w:rsid w:val="00ED757A"/>
    <w:rsid w:val="00ED7960"/>
    <w:rsid w:val="00ED7A07"/>
    <w:rsid w:val="00ED7B9E"/>
    <w:rsid w:val="00ED7EE4"/>
    <w:rsid w:val="00EE005B"/>
    <w:rsid w:val="00EE0528"/>
    <w:rsid w:val="00EE05E3"/>
    <w:rsid w:val="00EE0997"/>
    <w:rsid w:val="00EE0ACF"/>
    <w:rsid w:val="00EE0E1D"/>
    <w:rsid w:val="00EE0E8C"/>
    <w:rsid w:val="00EE0E94"/>
    <w:rsid w:val="00EE0EF2"/>
    <w:rsid w:val="00EE12F0"/>
    <w:rsid w:val="00EE1515"/>
    <w:rsid w:val="00EE15CF"/>
    <w:rsid w:val="00EE18DC"/>
    <w:rsid w:val="00EE1C23"/>
    <w:rsid w:val="00EE1C61"/>
    <w:rsid w:val="00EE1CB7"/>
    <w:rsid w:val="00EE1CFF"/>
    <w:rsid w:val="00EE1DCD"/>
    <w:rsid w:val="00EE1E69"/>
    <w:rsid w:val="00EE20AC"/>
    <w:rsid w:val="00EE268C"/>
    <w:rsid w:val="00EE2CC0"/>
    <w:rsid w:val="00EE2EF2"/>
    <w:rsid w:val="00EE2F51"/>
    <w:rsid w:val="00EE31E1"/>
    <w:rsid w:val="00EE31FE"/>
    <w:rsid w:val="00EE33A8"/>
    <w:rsid w:val="00EE359A"/>
    <w:rsid w:val="00EE369D"/>
    <w:rsid w:val="00EE37DA"/>
    <w:rsid w:val="00EE389F"/>
    <w:rsid w:val="00EE3AE0"/>
    <w:rsid w:val="00EE3EF9"/>
    <w:rsid w:val="00EE41F3"/>
    <w:rsid w:val="00EE4203"/>
    <w:rsid w:val="00EE429E"/>
    <w:rsid w:val="00EE42B1"/>
    <w:rsid w:val="00EE461F"/>
    <w:rsid w:val="00EE4767"/>
    <w:rsid w:val="00EE4A50"/>
    <w:rsid w:val="00EE4AD1"/>
    <w:rsid w:val="00EE4F90"/>
    <w:rsid w:val="00EE5088"/>
    <w:rsid w:val="00EE51E6"/>
    <w:rsid w:val="00EE5529"/>
    <w:rsid w:val="00EE5559"/>
    <w:rsid w:val="00EE56AA"/>
    <w:rsid w:val="00EE5909"/>
    <w:rsid w:val="00EE5979"/>
    <w:rsid w:val="00EE5CEF"/>
    <w:rsid w:val="00EE5F33"/>
    <w:rsid w:val="00EE6063"/>
    <w:rsid w:val="00EE611E"/>
    <w:rsid w:val="00EE61FA"/>
    <w:rsid w:val="00EE6239"/>
    <w:rsid w:val="00EE6604"/>
    <w:rsid w:val="00EE671E"/>
    <w:rsid w:val="00EE69F7"/>
    <w:rsid w:val="00EE6C55"/>
    <w:rsid w:val="00EE7240"/>
    <w:rsid w:val="00EE7253"/>
    <w:rsid w:val="00EE72B6"/>
    <w:rsid w:val="00EE7B01"/>
    <w:rsid w:val="00EF00B9"/>
    <w:rsid w:val="00EF0145"/>
    <w:rsid w:val="00EF018E"/>
    <w:rsid w:val="00EF0325"/>
    <w:rsid w:val="00EF03B5"/>
    <w:rsid w:val="00EF03EC"/>
    <w:rsid w:val="00EF047E"/>
    <w:rsid w:val="00EF048A"/>
    <w:rsid w:val="00EF0C73"/>
    <w:rsid w:val="00EF0C7B"/>
    <w:rsid w:val="00EF110A"/>
    <w:rsid w:val="00EF1154"/>
    <w:rsid w:val="00EF11DD"/>
    <w:rsid w:val="00EF121F"/>
    <w:rsid w:val="00EF186A"/>
    <w:rsid w:val="00EF1A91"/>
    <w:rsid w:val="00EF1B15"/>
    <w:rsid w:val="00EF1C6C"/>
    <w:rsid w:val="00EF203B"/>
    <w:rsid w:val="00EF20CE"/>
    <w:rsid w:val="00EF269D"/>
    <w:rsid w:val="00EF2AE0"/>
    <w:rsid w:val="00EF2B59"/>
    <w:rsid w:val="00EF2B94"/>
    <w:rsid w:val="00EF2E45"/>
    <w:rsid w:val="00EF2E46"/>
    <w:rsid w:val="00EF2FB7"/>
    <w:rsid w:val="00EF3093"/>
    <w:rsid w:val="00EF32B7"/>
    <w:rsid w:val="00EF32C9"/>
    <w:rsid w:val="00EF341A"/>
    <w:rsid w:val="00EF346D"/>
    <w:rsid w:val="00EF352E"/>
    <w:rsid w:val="00EF38EB"/>
    <w:rsid w:val="00EF39A0"/>
    <w:rsid w:val="00EF3AB7"/>
    <w:rsid w:val="00EF3B1D"/>
    <w:rsid w:val="00EF3C18"/>
    <w:rsid w:val="00EF4084"/>
    <w:rsid w:val="00EF4153"/>
    <w:rsid w:val="00EF44BC"/>
    <w:rsid w:val="00EF4594"/>
    <w:rsid w:val="00EF4735"/>
    <w:rsid w:val="00EF4AB3"/>
    <w:rsid w:val="00EF4E42"/>
    <w:rsid w:val="00EF4F3F"/>
    <w:rsid w:val="00EF52FF"/>
    <w:rsid w:val="00EF549A"/>
    <w:rsid w:val="00EF54EC"/>
    <w:rsid w:val="00EF5697"/>
    <w:rsid w:val="00EF5837"/>
    <w:rsid w:val="00EF594F"/>
    <w:rsid w:val="00EF5DD4"/>
    <w:rsid w:val="00EF5FE5"/>
    <w:rsid w:val="00EF611D"/>
    <w:rsid w:val="00EF63AB"/>
    <w:rsid w:val="00EF676D"/>
    <w:rsid w:val="00EF678B"/>
    <w:rsid w:val="00EF68AA"/>
    <w:rsid w:val="00EF69EC"/>
    <w:rsid w:val="00EF6A86"/>
    <w:rsid w:val="00EF6CF9"/>
    <w:rsid w:val="00EF70CF"/>
    <w:rsid w:val="00EF7369"/>
    <w:rsid w:val="00EF740E"/>
    <w:rsid w:val="00EF7778"/>
    <w:rsid w:val="00EF7898"/>
    <w:rsid w:val="00EF7927"/>
    <w:rsid w:val="00EF7AD5"/>
    <w:rsid w:val="00EF7AD7"/>
    <w:rsid w:val="00EF7D20"/>
    <w:rsid w:val="00F005D2"/>
    <w:rsid w:val="00F005DE"/>
    <w:rsid w:val="00F006FE"/>
    <w:rsid w:val="00F0090A"/>
    <w:rsid w:val="00F00A9C"/>
    <w:rsid w:val="00F00BA3"/>
    <w:rsid w:val="00F00C39"/>
    <w:rsid w:val="00F00EE0"/>
    <w:rsid w:val="00F0115D"/>
    <w:rsid w:val="00F01395"/>
    <w:rsid w:val="00F01494"/>
    <w:rsid w:val="00F01E65"/>
    <w:rsid w:val="00F023D3"/>
    <w:rsid w:val="00F027B4"/>
    <w:rsid w:val="00F02BF5"/>
    <w:rsid w:val="00F02C20"/>
    <w:rsid w:val="00F02FCB"/>
    <w:rsid w:val="00F02FE7"/>
    <w:rsid w:val="00F03296"/>
    <w:rsid w:val="00F032AE"/>
    <w:rsid w:val="00F03C2C"/>
    <w:rsid w:val="00F04244"/>
    <w:rsid w:val="00F0448E"/>
    <w:rsid w:val="00F0456B"/>
    <w:rsid w:val="00F045F2"/>
    <w:rsid w:val="00F0494A"/>
    <w:rsid w:val="00F054EB"/>
    <w:rsid w:val="00F05877"/>
    <w:rsid w:val="00F0592E"/>
    <w:rsid w:val="00F0594D"/>
    <w:rsid w:val="00F059BA"/>
    <w:rsid w:val="00F059EF"/>
    <w:rsid w:val="00F05B1A"/>
    <w:rsid w:val="00F05D4A"/>
    <w:rsid w:val="00F05DAC"/>
    <w:rsid w:val="00F05F4D"/>
    <w:rsid w:val="00F06190"/>
    <w:rsid w:val="00F06207"/>
    <w:rsid w:val="00F062F4"/>
    <w:rsid w:val="00F064A0"/>
    <w:rsid w:val="00F0684B"/>
    <w:rsid w:val="00F068E4"/>
    <w:rsid w:val="00F068E9"/>
    <w:rsid w:val="00F06B21"/>
    <w:rsid w:val="00F06F73"/>
    <w:rsid w:val="00F0704E"/>
    <w:rsid w:val="00F07432"/>
    <w:rsid w:val="00F07B57"/>
    <w:rsid w:val="00F07FE7"/>
    <w:rsid w:val="00F10276"/>
    <w:rsid w:val="00F10381"/>
    <w:rsid w:val="00F10517"/>
    <w:rsid w:val="00F10ADD"/>
    <w:rsid w:val="00F11090"/>
    <w:rsid w:val="00F11323"/>
    <w:rsid w:val="00F11410"/>
    <w:rsid w:val="00F1172B"/>
    <w:rsid w:val="00F11806"/>
    <w:rsid w:val="00F118B9"/>
    <w:rsid w:val="00F118DA"/>
    <w:rsid w:val="00F11DB7"/>
    <w:rsid w:val="00F11EE3"/>
    <w:rsid w:val="00F11FCD"/>
    <w:rsid w:val="00F12126"/>
    <w:rsid w:val="00F12870"/>
    <w:rsid w:val="00F12BEB"/>
    <w:rsid w:val="00F130C9"/>
    <w:rsid w:val="00F1339B"/>
    <w:rsid w:val="00F1351A"/>
    <w:rsid w:val="00F13B8A"/>
    <w:rsid w:val="00F13D03"/>
    <w:rsid w:val="00F13D07"/>
    <w:rsid w:val="00F13EC6"/>
    <w:rsid w:val="00F13F1D"/>
    <w:rsid w:val="00F1409C"/>
    <w:rsid w:val="00F1427E"/>
    <w:rsid w:val="00F14896"/>
    <w:rsid w:val="00F149E7"/>
    <w:rsid w:val="00F14ABB"/>
    <w:rsid w:val="00F14E6F"/>
    <w:rsid w:val="00F14E72"/>
    <w:rsid w:val="00F152BD"/>
    <w:rsid w:val="00F152D2"/>
    <w:rsid w:val="00F155F7"/>
    <w:rsid w:val="00F158F4"/>
    <w:rsid w:val="00F15A7E"/>
    <w:rsid w:val="00F15A91"/>
    <w:rsid w:val="00F15AF3"/>
    <w:rsid w:val="00F15CE5"/>
    <w:rsid w:val="00F15F43"/>
    <w:rsid w:val="00F16030"/>
    <w:rsid w:val="00F16113"/>
    <w:rsid w:val="00F16117"/>
    <w:rsid w:val="00F1707E"/>
    <w:rsid w:val="00F175E8"/>
    <w:rsid w:val="00F177AC"/>
    <w:rsid w:val="00F17812"/>
    <w:rsid w:val="00F17822"/>
    <w:rsid w:val="00F17E22"/>
    <w:rsid w:val="00F200AC"/>
    <w:rsid w:val="00F200F3"/>
    <w:rsid w:val="00F20335"/>
    <w:rsid w:val="00F20545"/>
    <w:rsid w:val="00F20B0E"/>
    <w:rsid w:val="00F20DAF"/>
    <w:rsid w:val="00F213A3"/>
    <w:rsid w:val="00F2173E"/>
    <w:rsid w:val="00F21BCA"/>
    <w:rsid w:val="00F22358"/>
    <w:rsid w:val="00F22394"/>
    <w:rsid w:val="00F224FA"/>
    <w:rsid w:val="00F22523"/>
    <w:rsid w:val="00F226B5"/>
    <w:rsid w:val="00F22816"/>
    <w:rsid w:val="00F228DE"/>
    <w:rsid w:val="00F2358B"/>
    <w:rsid w:val="00F23620"/>
    <w:rsid w:val="00F2364C"/>
    <w:rsid w:val="00F238CE"/>
    <w:rsid w:val="00F23B31"/>
    <w:rsid w:val="00F23C74"/>
    <w:rsid w:val="00F2415E"/>
    <w:rsid w:val="00F245D2"/>
    <w:rsid w:val="00F24F57"/>
    <w:rsid w:val="00F24FC5"/>
    <w:rsid w:val="00F24FC6"/>
    <w:rsid w:val="00F25539"/>
    <w:rsid w:val="00F25621"/>
    <w:rsid w:val="00F257D9"/>
    <w:rsid w:val="00F25805"/>
    <w:rsid w:val="00F25888"/>
    <w:rsid w:val="00F259FD"/>
    <w:rsid w:val="00F26336"/>
    <w:rsid w:val="00F26497"/>
    <w:rsid w:val="00F2665A"/>
    <w:rsid w:val="00F26726"/>
    <w:rsid w:val="00F268AB"/>
    <w:rsid w:val="00F26B43"/>
    <w:rsid w:val="00F273D4"/>
    <w:rsid w:val="00F27417"/>
    <w:rsid w:val="00F275C1"/>
    <w:rsid w:val="00F2770F"/>
    <w:rsid w:val="00F27808"/>
    <w:rsid w:val="00F278B3"/>
    <w:rsid w:val="00F27BFB"/>
    <w:rsid w:val="00F27D19"/>
    <w:rsid w:val="00F27F8F"/>
    <w:rsid w:val="00F3077B"/>
    <w:rsid w:val="00F310D8"/>
    <w:rsid w:val="00F314AD"/>
    <w:rsid w:val="00F31631"/>
    <w:rsid w:val="00F3178D"/>
    <w:rsid w:val="00F318FC"/>
    <w:rsid w:val="00F31D9E"/>
    <w:rsid w:val="00F31EE2"/>
    <w:rsid w:val="00F31EEC"/>
    <w:rsid w:val="00F31F70"/>
    <w:rsid w:val="00F31FF3"/>
    <w:rsid w:val="00F3228B"/>
    <w:rsid w:val="00F32334"/>
    <w:rsid w:val="00F32689"/>
    <w:rsid w:val="00F32D82"/>
    <w:rsid w:val="00F32EAA"/>
    <w:rsid w:val="00F32FAC"/>
    <w:rsid w:val="00F330F8"/>
    <w:rsid w:val="00F33576"/>
    <w:rsid w:val="00F3372C"/>
    <w:rsid w:val="00F33908"/>
    <w:rsid w:val="00F339DC"/>
    <w:rsid w:val="00F33D03"/>
    <w:rsid w:val="00F33EDD"/>
    <w:rsid w:val="00F34027"/>
    <w:rsid w:val="00F34059"/>
    <w:rsid w:val="00F343CF"/>
    <w:rsid w:val="00F34A6E"/>
    <w:rsid w:val="00F34A91"/>
    <w:rsid w:val="00F34A9C"/>
    <w:rsid w:val="00F34AB9"/>
    <w:rsid w:val="00F34CF6"/>
    <w:rsid w:val="00F34E61"/>
    <w:rsid w:val="00F3521D"/>
    <w:rsid w:val="00F35229"/>
    <w:rsid w:val="00F353EA"/>
    <w:rsid w:val="00F35522"/>
    <w:rsid w:val="00F35A61"/>
    <w:rsid w:val="00F35C79"/>
    <w:rsid w:val="00F35D57"/>
    <w:rsid w:val="00F35DA8"/>
    <w:rsid w:val="00F35DCB"/>
    <w:rsid w:val="00F35ECE"/>
    <w:rsid w:val="00F35ED5"/>
    <w:rsid w:val="00F360C4"/>
    <w:rsid w:val="00F361A2"/>
    <w:rsid w:val="00F361E2"/>
    <w:rsid w:val="00F362E9"/>
    <w:rsid w:val="00F36649"/>
    <w:rsid w:val="00F3698E"/>
    <w:rsid w:val="00F36E2F"/>
    <w:rsid w:val="00F36EE6"/>
    <w:rsid w:val="00F3705C"/>
    <w:rsid w:val="00F37452"/>
    <w:rsid w:val="00F3748D"/>
    <w:rsid w:val="00F3776D"/>
    <w:rsid w:val="00F378C3"/>
    <w:rsid w:val="00F379A3"/>
    <w:rsid w:val="00F37C0B"/>
    <w:rsid w:val="00F37DAA"/>
    <w:rsid w:val="00F402AF"/>
    <w:rsid w:val="00F40423"/>
    <w:rsid w:val="00F4046E"/>
    <w:rsid w:val="00F4068C"/>
    <w:rsid w:val="00F406DD"/>
    <w:rsid w:val="00F4072C"/>
    <w:rsid w:val="00F40841"/>
    <w:rsid w:val="00F409A2"/>
    <w:rsid w:val="00F40D6D"/>
    <w:rsid w:val="00F40F89"/>
    <w:rsid w:val="00F41361"/>
    <w:rsid w:val="00F413D2"/>
    <w:rsid w:val="00F41526"/>
    <w:rsid w:val="00F423B0"/>
    <w:rsid w:val="00F4268E"/>
    <w:rsid w:val="00F426FC"/>
    <w:rsid w:val="00F4297B"/>
    <w:rsid w:val="00F42B10"/>
    <w:rsid w:val="00F42C18"/>
    <w:rsid w:val="00F42FF0"/>
    <w:rsid w:val="00F432E1"/>
    <w:rsid w:val="00F43687"/>
    <w:rsid w:val="00F43E6D"/>
    <w:rsid w:val="00F44007"/>
    <w:rsid w:val="00F44039"/>
    <w:rsid w:val="00F44263"/>
    <w:rsid w:val="00F44368"/>
    <w:rsid w:val="00F4444D"/>
    <w:rsid w:val="00F444D5"/>
    <w:rsid w:val="00F44545"/>
    <w:rsid w:val="00F4469F"/>
    <w:rsid w:val="00F44923"/>
    <w:rsid w:val="00F44AFF"/>
    <w:rsid w:val="00F44BEB"/>
    <w:rsid w:val="00F44C06"/>
    <w:rsid w:val="00F44D1D"/>
    <w:rsid w:val="00F44E51"/>
    <w:rsid w:val="00F44EB5"/>
    <w:rsid w:val="00F44F7E"/>
    <w:rsid w:val="00F450C9"/>
    <w:rsid w:val="00F45177"/>
    <w:rsid w:val="00F45231"/>
    <w:rsid w:val="00F45374"/>
    <w:rsid w:val="00F45404"/>
    <w:rsid w:val="00F457CB"/>
    <w:rsid w:val="00F45E7A"/>
    <w:rsid w:val="00F461CE"/>
    <w:rsid w:val="00F46291"/>
    <w:rsid w:val="00F46519"/>
    <w:rsid w:val="00F4667B"/>
    <w:rsid w:val="00F467B0"/>
    <w:rsid w:val="00F46AC9"/>
    <w:rsid w:val="00F46B0C"/>
    <w:rsid w:val="00F4714B"/>
    <w:rsid w:val="00F471F4"/>
    <w:rsid w:val="00F47242"/>
    <w:rsid w:val="00F472F4"/>
    <w:rsid w:val="00F475ED"/>
    <w:rsid w:val="00F47734"/>
    <w:rsid w:val="00F4781B"/>
    <w:rsid w:val="00F47E8F"/>
    <w:rsid w:val="00F50017"/>
    <w:rsid w:val="00F50058"/>
    <w:rsid w:val="00F503FF"/>
    <w:rsid w:val="00F50513"/>
    <w:rsid w:val="00F50517"/>
    <w:rsid w:val="00F506A9"/>
    <w:rsid w:val="00F50963"/>
    <w:rsid w:val="00F50D67"/>
    <w:rsid w:val="00F50DCE"/>
    <w:rsid w:val="00F50F75"/>
    <w:rsid w:val="00F511FC"/>
    <w:rsid w:val="00F51377"/>
    <w:rsid w:val="00F513A2"/>
    <w:rsid w:val="00F514C6"/>
    <w:rsid w:val="00F51531"/>
    <w:rsid w:val="00F51585"/>
    <w:rsid w:val="00F517B3"/>
    <w:rsid w:val="00F51813"/>
    <w:rsid w:val="00F5199A"/>
    <w:rsid w:val="00F51C71"/>
    <w:rsid w:val="00F51CF0"/>
    <w:rsid w:val="00F51D81"/>
    <w:rsid w:val="00F52012"/>
    <w:rsid w:val="00F52224"/>
    <w:rsid w:val="00F522F5"/>
    <w:rsid w:val="00F52379"/>
    <w:rsid w:val="00F525F4"/>
    <w:rsid w:val="00F52D34"/>
    <w:rsid w:val="00F52F11"/>
    <w:rsid w:val="00F53110"/>
    <w:rsid w:val="00F5318F"/>
    <w:rsid w:val="00F5367A"/>
    <w:rsid w:val="00F536DB"/>
    <w:rsid w:val="00F5396D"/>
    <w:rsid w:val="00F53A75"/>
    <w:rsid w:val="00F53AC9"/>
    <w:rsid w:val="00F53B7A"/>
    <w:rsid w:val="00F53BC6"/>
    <w:rsid w:val="00F53C3A"/>
    <w:rsid w:val="00F54009"/>
    <w:rsid w:val="00F54451"/>
    <w:rsid w:val="00F544D1"/>
    <w:rsid w:val="00F544F0"/>
    <w:rsid w:val="00F5465B"/>
    <w:rsid w:val="00F54E9D"/>
    <w:rsid w:val="00F55002"/>
    <w:rsid w:val="00F5561F"/>
    <w:rsid w:val="00F5567B"/>
    <w:rsid w:val="00F55A8B"/>
    <w:rsid w:val="00F55AB3"/>
    <w:rsid w:val="00F55AE7"/>
    <w:rsid w:val="00F55B28"/>
    <w:rsid w:val="00F55E62"/>
    <w:rsid w:val="00F55FC6"/>
    <w:rsid w:val="00F5611C"/>
    <w:rsid w:val="00F56451"/>
    <w:rsid w:val="00F5645E"/>
    <w:rsid w:val="00F5678C"/>
    <w:rsid w:val="00F56956"/>
    <w:rsid w:val="00F56BDE"/>
    <w:rsid w:val="00F56D16"/>
    <w:rsid w:val="00F56F9A"/>
    <w:rsid w:val="00F570C9"/>
    <w:rsid w:val="00F574AE"/>
    <w:rsid w:val="00F57653"/>
    <w:rsid w:val="00F57746"/>
    <w:rsid w:val="00F57764"/>
    <w:rsid w:val="00F57C20"/>
    <w:rsid w:val="00F57D56"/>
    <w:rsid w:val="00F60207"/>
    <w:rsid w:val="00F602BA"/>
    <w:rsid w:val="00F603B1"/>
    <w:rsid w:val="00F60558"/>
    <w:rsid w:val="00F6058C"/>
    <w:rsid w:val="00F60858"/>
    <w:rsid w:val="00F60A4A"/>
    <w:rsid w:val="00F60A72"/>
    <w:rsid w:val="00F60B30"/>
    <w:rsid w:val="00F6111F"/>
    <w:rsid w:val="00F61371"/>
    <w:rsid w:val="00F61503"/>
    <w:rsid w:val="00F61672"/>
    <w:rsid w:val="00F6192E"/>
    <w:rsid w:val="00F61B21"/>
    <w:rsid w:val="00F61EEB"/>
    <w:rsid w:val="00F62018"/>
    <w:rsid w:val="00F62430"/>
    <w:rsid w:val="00F62663"/>
    <w:rsid w:val="00F62B98"/>
    <w:rsid w:val="00F62BC5"/>
    <w:rsid w:val="00F62C2F"/>
    <w:rsid w:val="00F62D5C"/>
    <w:rsid w:val="00F62D7E"/>
    <w:rsid w:val="00F62DE0"/>
    <w:rsid w:val="00F63159"/>
    <w:rsid w:val="00F63481"/>
    <w:rsid w:val="00F63599"/>
    <w:rsid w:val="00F63604"/>
    <w:rsid w:val="00F6369E"/>
    <w:rsid w:val="00F63776"/>
    <w:rsid w:val="00F63891"/>
    <w:rsid w:val="00F63DCE"/>
    <w:rsid w:val="00F64254"/>
    <w:rsid w:val="00F6430B"/>
    <w:rsid w:val="00F64416"/>
    <w:rsid w:val="00F645AD"/>
    <w:rsid w:val="00F6467C"/>
    <w:rsid w:val="00F6490A"/>
    <w:rsid w:val="00F64C80"/>
    <w:rsid w:val="00F64E6A"/>
    <w:rsid w:val="00F64EC3"/>
    <w:rsid w:val="00F64F3F"/>
    <w:rsid w:val="00F65860"/>
    <w:rsid w:val="00F65976"/>
    <w:rsid w:val="00F65AFF"/>
    <w:rsid w:val="00F65EC8"/>
    <w:rsid w:val="00F661C8"/>
    <w:rsid w:val="00F66226"/>
    <w:rsid w:val="00F663C6"/>
    <w:rsid w:val="00F66587"/>
    <w:rsid w:val="00F66612"/>
    <w:rsid w:val="00F6674B"/>
    <w:rsid w:val="00F671B3"/>
    <w:rsid w:val="00F67562"/>
    <w:rsid w:val="00F6769F"/>
    <w:rsid w:val="00F6791F"/>
    <w:rsid w:val="00F67D4F"/>
    <w:rsid w:val="00F700F3"/>
    <w:rsid w:val="00F70211"/>
    <w:rsid w:val="00F707B7"/>
    <w:rsid w:val="00F70A1A"/>
    <w:rsid w:val="00F70A34"/>
    <w:rsid w:val="00F70BE9"/>
    <w:rsid w:val="00F70D0E"/>
    <w:rsid w:val="00F70DEB"/>
    <w:rsid w:val="00F70E69"/>
    <w:rsid w:val="00F70F7B"/>
    <w:rsid w:val="00F710F4"/>
    <w:rsid w:val="00F711DA"/>
    <w:rsid w:val="00F7122F"/>
    <w:rsid w:val="00F71243"/>
    <w:rsid w:val="00F712E8"/>
    <w:rsid w:val="00F714A2"/>
    <w:rsid w:val="00F71559"/>
    <w:rsid w:val="00F715BB"/>
    <w:rsid w:val="00F71648"/>
    <w:rsid w:val="00F71835"/>
    <w:rsid w:val="00F718AB"/>
    <w:rsid w:val="00F71A54"/>
    <w:rsid w:val="00F71CC2"/>
    <w:rsid w:val="00F71D90"/>
    <w:rsid w:val="00F71EE7"/>
    <w:rsid w:val="00F71F9E"/>
    <w:rsid w:val="00F72066"/>
    <w:rsid w:val="00F7262E"/>
    <w:rsid w:val="00F7272D"/>
    <w:rsid w:val="00F7274D"/>
    <w:rsid w:val="00F727C4"/>
    <w:rsid w:val="00F7298C"/>
    <w:rsid w:val="00F72B85"/>
    <w:rsid w:val="00F72C45"/>
    <w:rsid w:val="00F72EC4"/>
    <w:rsid w:val="00F72FBD"/>
    <w:rsid w:val="00F731D5"/>
    <w:rsid w:val="00F7326E"/>
    <w:rsid w:val="00F7344F"/>
    <w:rsid w:val="00F73A13"/>
    <w:rsid w:val="00F73AE8"/>
    <w:rsid w:val="00F73B07"/>
    <w:rsid w:val="00F73B5A"/>
    <w:rsid w:val="00F73E98"/>
    <w:rsid w:val="00F73EE8"/>
    <w:rsid w:val="00F73F37"/>
    <w:rsid w:val="00F73F93"/>
    <w:rsid w:val="00F740A9"/>
    <w:rsid w:val="00F74499"/>
    <w:rsid w:val="00F745D7"/>
    <w:rsid w:val="00F745DC"/>
    <w:rsid w:val="00F7486A"/>
    <w:rsid w:val="00F74897"/>
    <w:rsid w:val="00F7494F"/>
    <w:rsid w:val="00F74A04"/>
    <w:rsid w:val="00F74A34"/>
    <w:rsid w:val="00F74A86"/>
    <w:rsid w:val="00F74AE6"/>
    <w:rsid w:val="00F75228"/>
    <w:rsid w:val="00F75260"/>
    <w:rsid w:val="00F752F6"/>
    <w:rsid w:val="00F75537"/>
    <w:rsid w:val="00F758BE"/>
    <w:rsid w:val="00F75A85"/>
    <w:rsid w:val="00F75A86"/>
    <w:rsid w:val="00F75E13"/>
    <w:rsid w:val="00F75F06"/>
    <w:rsid w:val="00F75F07"/>
    <w:rsid w:val="00F7619C"/>
    <w:rsid w:val="00F7633E"/>
    <w:rsid w:val="00F764EC"/>
    <w:rsid w:val="00F7650E"/>
    <w:rsid w:val="00F76783"/>
    <w:rsid w:val="00F76791"/>
    <w:rsid w:val="00F768ED"/>
    <w:rsid w:val="00F76A37"/>
    <w:rsid w:val="00F76CB9"/>
    <w:rsid w:val="00F76CD6"/>
    <w:rsid w:val="00F76D9D"/>
    <w:rsid w:val="00F76E9E"/>
    <w:rsid w:val="00F77087"/>
    <w:rsid w:val="00F771A5"/>
    <w:rsid w:val="00F77542"/>
    <w:rsid w:val="00F77601"/>
    <w:rsid w:val="00F776EF"/>
    <w:rsid w:val="00F77AAE"/>
    <w:rsid w:val="00F77B44"/>
    <w:rsid w:val="00F77B7F"/>
    <w:rsid w:val="00F77BF4"/>
    <w:rsid w:val="00F77D88"/>
    <w:rsid w:val="00F80751"/>
    <w:rsid w:val="00F807F0"/>
    <w:rsid w:val="00F8084D"/>
    <w:rsid w:val="00F80E25"/>
    <w:rsid w:val="00F80F92"/>
    <w:rsid w:val="00F81277"/>
    <w:rsid w:val="00F8145E"/>
    <w:rsid w:val="00F81547"/>
    <w:rsid w:val="00F81640"/>
    <w:rsid w:val="00F81906"/>
    <w:rsid w:val="00F81970"/>
    <w:rsid w:val="00F819B6"/>
    <w:rsid w:val="00F81BE9"/>
    <w:rsid w:val="00F81E28"/>
    <w:rsid w:val="00F822E5"/>
    <w:rsid w:val="00F823B0"/>
    <w:rsid w:val="00F823F2"/>
    <w:rsid w:val="00F82465"/>
    <w:rsid w:val="00F82567"/>
    <w:rsid w:val="00F828A6"/>
    <w:rsid w:val="00F829EA"/>
    <w:rsid w:val="00F82AD2"/>
    <w:rsid w:val="00F82E48"/>
    <w:rsid w:val="00F82FCD"/>
    <w:rsid w:val="00F83063"/>
    <w:rsid w:val="00F83416"/>
    <w:rsid w:val="00F8361D"/>
    <w:rsid w:val="00F8363F"/>
    <w:rsid w:val="00F837C9"/>
    <w:rsid w:val="00F8417B"/>
    <w:rsid w:val="00F8429A"/>
    <w:rsid w:val="00F8492B"/>
    <w:rsid w:val="00F84BB6"/>
    <w:rsid w:val="00F84D06"/>
    <w:rsid w:val="00F84F03"/>
    <w:rsid w:val="00F84FA1"/>
    <w:rsid w:val="00F84FBF"/>
    <w:rsid w:val="00F852DF"/>
    <w:rsid w:val="00F85312"/>
    <w:rsid w:val="00F8536A"/>
    <w:rsid w:val="00F859D4"/>
    <w:rsid w:val="00F85C0F"/>
    <w:rsid w:val="00F85CD5"/>
    <w:rsid w:val="00F85DD1"/>
    <w:rsid w:val="00F85E51"/>
    <w:rsid w:val="00F85EE7"/>
    <w:rsid w:val="00F85F16"/>
    <w:rsid w:val="00F86074"/>
    <w:rsid w:val="00F86161"/>
    <w:rsid w:val="00F864D0"/>
    <w:rsid w:val="00F864E5"/>
    <w:rsid w:val="00F8655A"/>
    <w:rsid w:val="00F86575"/>
    <w:rsid w:val="00F8684B"/>
    <w:rsid w:val="00F86C6D"/>
    <w:rsid w:val="00F86C99"/>
    <w:rsid w:val="00F86DA6"/>
    <w:rsid w:val="00F8705D"/>
    <w:rsid w:val="00F870BA"/>
    <w:rsid w:val="00F87640"/>
    <w:rsid w:val="00F876FF"/>
    <w:rsid w:val="00F87B7F"/>
    <w:rsid w:val="00F87C1E"/>
    <w:rsid w:val="00F87CC4"/>
    <w:rsid w:val="00F87E51"/>
    <w:rsid w:val="00F87F91"/>
    <w:rsid w:val="00F9012D"/>
    <w:rsid w:val="00F9085B"/>
    <w:rsid w:val="00F90B44"/>
    <w:rsid w:val="00F90BDF"/>
    <w:rsid w:val="00F90BE0"/>
    <w:rsid w:val="00F90D01"/>
    <w:rsid w:val="00F91011"/>
    <w:rsid w:val="00F911EA"/>
    <w:rsid w:val="00F9125B"/>
    <w:rsid w:val="00F9125D"/>
    <w:rsid w:val="00F92232"/>
    <w:rsid w:val="00F92F25"/>
    <w:rsid w:val="00F9304D"/>
    <w:rsid w:val="00F9329F"/>
    <w:rsid w:val="00F938A0"/>
    <w:rsid w:val="00F93941"/>
    <w:rsid w:val="00F93B80"/>
    <w:rsid w:val="00F93C3B"/>
    <w:rsid w:val="00F93C7F"/>
    <w:rsid w:val="00F94198"/>
    <w:rsid w:val="00F94247"/>
    <w:rsid w:val="00F943C6"/>
    <w:rsid w:val="00F9445C"/>
    <w:rsid w:val="00F944D4"/>
    <w:rsid w:val="00F944D7"/>
    <w:rsid w:val="00F94546"/>
    <w:rsid w:val="00F946E8"/>
    <w:rsid w:val="00F94A66"/>
    <w:rsid w:val="00F94B89"/>
    <w:rsid w:val="00F94C6B"/>
    <w:rsid w:val="00F9536B"/>
    <w:rsid w:val="00F95740"/>
    <w:rsid w:val="00F95863"/>
    <w:rsid w:val="00F959C0"/>
    <w:rsid w:val="00F95AD2"/>
    <w:rsid w:val="00F95AED"/>
    <w:rsid w:val="00F95E54"/>
    <w:rsid w:val="00F95E71"/>
    <w:rsid w:val="00F96433"/>
    <w:rsid w:val="00F96679"/>
    <w:rsid w:val="00F968B9"/>
    <w:rsid w:val="00F968E5"/>
    <w:rsid w:val="00F96C9C"/>
    <w:rsid w:val="00F97051"/>
    <w:rsid w:val="00F9712C"/>
    <w:rsid w:val="00F97A1B"/>
    <w:rsid w:val="00F97A1C"/>
    <w:rsid w:val="00F97BBE"/>
    <w:rsid w:val="00F97F18"/>
    <w:rsid w:val="00FA00F0"/>
    <w:rsid w:val="00FA02BF"/>
    <w:rsid w:val="00FA0441"/>
    <w:rsid w:val="00FA0564"/>
    <w:rsid w:val="00FA09EE"/>
    <w:rsid w:val="00FA0DF2"/>
    <w:rsid w:val="00FA0E3C"/>
    <w:rsid w:val="00FA0E46"/>
    <w:rsid w:val="00FA0F49"/>
    <w:rsid w:val="00FA0F77"/>
    <w:rsid w:val="00FA11B4"/>
    <w:rsid w:val="00FA135B"/>
    <w:rsid w:val="00FA1924"/>
    <w:rsid w:val="00FA1FB6"/>
    <w:rsid w:val="00FA2441"/>
    <w:rsid w:val="00FA24AF"/>
    <w:rsid w:val="00FA271E"/>
    <w:rsid w:val="00FA2826"/>
    <w:rsid w:val="00FA291C"/>
    <w:rsid w:val="00FA2944"/>
    <w:rsid w:val="00FA298F"/>
    <w:rsid w:val="00FA2AAF"/>
    <w:rsid w:val="00FA2CB1"/>
    <w:rsid w:val="00FA2DD3"/>
    <w:rsid w:val="00FA30D5"/>
    <w:rsid w:val="00FA31D1"/>
    <w:rsid w:val="00FA3300"/>
    <w:rsid w:val="00FA34A0"/>
    <w:rsid w:val="00FA37DE"/>
    <w:rsid w:val="00FA3A61"/>
    <w:rsid w:val="00FA3A72"/>
    <w:rsid w:val="00FA3B93"/>
    <w:rsid w:val="00FA3BC0"/>
    <w:rsid w:val="00FA3DF4"/>
    <w:rsid w:val="00FA45C4"/>
    <w:rsid w:val="00FA4619"/>
    <w:rsid w:val="00FA462A"/>
    <w:rsid w:val="00FA47D2"/>
    <w:rsid w:val="00FA47F2"/>
    <w:rsid w:val="00FA4BC5"/>
    <w:rsid w:val="00FA4E79"/>
    <w:rsid w:val="00FA4FBE"/>
    <w:rsid w:val="00FA5295"/>
    <w:rsid w:val="00FA5405"/>
    <w:rsid w:val="00FA5548"/>
    <w:rsid w:val="00FA595E"/>
    <w:rsid w:val="00FA5BE8"/>
    <w:rsid w:val="00FA5E1A"/>
    <w:rsid w:val="00FA5EC9"/>
    <w:rsid w:val="00FA5F06"/>
    <w:rsid w:val="00FA6009"/>
    <w:rsid w:val="00FA627E"/>
    <w:rsid w:val="00FA66CB"/>
    <w:rsid w:val="00FA681C"/>
    <w:rsid w:val="00FA68FA"/>
    <w:rsid w:val="00FA6987"/>
    <w:rsid w:val="00FA6CAB"/>
    <w:rsid w:val="00FA6D10"/>
    <w:rsid w:val="00FA6E07"/>
    <w:rsid w:val="00FA74CC"/>
    <w:rsid w:val="00FA7706"/>
    <w:rsid w:val="00FA7980"/>
    <w:rsid w:val="00FB0065"/>
    <w:rsid w:val="00FB0143"/>
    <w:rsid w:val="00FB0146"/>
    <w:rsid w:val="00FB0403"/>
    <w:rsid w:val="00FB0624"/>
    <w:rsid w:val="00FB0663"/>
    <w:rsid w:val="00FB0C4A"/>
    <w:rsid w:val="00FB0C4B"/>
    <w:rsid w:val="00FB0D32"/>
    <w:rsid w:val="00FB0EEA"/>
    <w:rsid w:val="00FB0FCA"/>
    <w:rsid w:val="00FB10BB"/>
    <w:rsid w:val="00FB1191"/>
    <w:rsid w:val="00FB15FD"/>
    <w:rsid w:val="00FB178C"/>
    <w:rsid w:val="00FB1970"/>
    <w:rsid w:val="00FB1DB0"/>
    <w:rsid w:val="00FB1E36"/>
    <w:rsid w:val="00FB201C"/>
    <w:rsid w:val="00FB20B4"/>
    <w:rsid w:val="00FB227D"/>
    <w:rsid w:val="00FB2605"/>
    <w:rsid w:val="00FB2643"/>
    <w:rsid w:val="00FB2BE7"/>
    <w:rsid w:val="00FB2C10"/>
    <w:rsid w:val="00FB2C62"/>
    <w:rsid w:val="00FB2D39"/>
    <w:rsid w:val="00FB2FFF"/>
    <w:rsid w:val="00FB33D7"/>
    <w:rsid w:val="00FB354D"/>
    <w:rsid w:val="00FB35AD"/>
    <w:rsid w:val="00FB35B4"/>
    <w:rsid w:val="00FB3751"/>
    <w:rsid w:val="00FB3762"/>
    <w:rsid w:val="00FB3767"/>
    <w:rsid w:val="00FB38CA"/>
    <w:rsid w:val="00FB39C4"/>
    <w:rsid w:val="00FB3A9B"/>
    <w:rsid w:val="00FB3CAF"/>
    <w:rsid w:val="00FB3E9B"/>
    <w:rsid w:val="00FB3EC0"/>
    <w:rsid w:val="00FB4118"/>
    <w:rsid w:val="00FB4364"/>
    <w:rsid w:val="00FB43D2"/>
    <w:rsid w:val="00FB4556"/>
    <w:rsid w:val="00FB466E"/>
    <w:rsid w:val="00FB46DD"/>
    <w:rsid w:val="00FB48D1"/>
    <w:rsid w:val="00FB49F6"/>
    <w:rsid w:val="00FB4D33"/>
    <w:rsid w:val="00FB4E17"/>
    <w:rsid w:val="00FB5188"/>
    <w:rsid w:val="00FB578B"/>
    <w:rsid w:val="00FB5BD7"/>
    <w:rsid w:val="00FB5BE3"/>
    <w:rsid w:val="00FB5DAA"/>
    <w:rsid w:val="00FB5E28"/>
    <w:rsid w:val="00FB5EE3"/>
    <w:rsid w:val="00FB5FDC"/>
    <w:rsid w:val="00FB6386"/>
    <w:rsid w:val="00FB6446"/>
    <w:rsid w:val="00FB64E1"/>
    <w:rsid w:val="00FB6544"/>
    <w:rsid w:val="00FB6B5F"/>
    <w:rsid w:val="00FB6BB2"/>
    <w:rsid w:val="00FB6BE1"/>
    <w:rsid w:val="00FB6CB5"/>
    <w:rsid w:val="00FB73C5"/>
    <w:rsid w:val="00FB7516"/>
    <w:rsid w:val="00FB76FE"/>
    <w:rsid w:val="00FB7923"/>
    <w:rsid w:val="00FB7E82"/>
    <w:rsid w:val="00FC005C"/>
    <w:rsid w:val="00FC0747"/>
    <w:rsid w:val="00FC0DFA"/>
    <w:rsid w:val="00FC1164"/>
    <w:rsid w:val="00FC1198"/>
    <w:rsid w:val="00FC11D1"/>
    <w:rsid w:val="00FC14A6"/>
    <w:rsid w:val="00FC1577"/>
    <w:rsid w:val="00FC18BA"/>
    <w:rsid w:val="00FC1AA3"/>
    <w:rsid w:val="00FC1AFB"/>
    <w:rsid w:val="00FC1C17"/>
    <w:rsid w:val="00FC1C81"/>
    <w:rsid w:val="00FC204F"/>
    <w:rsid w:val="00FC2522"/>
    <w:rsid w:val="00FC2568"/>
    <w:rsid w:val="00FC25B3"/>
    <w:rsid w:val="00FC2698"/>
    <w:rsid w:val="00FC2754"/>
    <w:rsid w:val="00FC2787"/>
    <w:rsid w:val="00FC2B9F"/>
    <w:rsid w:val="00FC2F80"/>
    <w:rsid w:val="00FC2F99"/>
    <w:rsid w:val="00FC361B"/>
    <w:rsid w:val="00FC366E"/>
    <w:rsid w:val="00FC375A"/>
    <w:rsid w:val="00FC3849"/>
    <w:rsid w:val="00FC3C4C"/>
    <w:rsid w:val="00FC3CED"/>
    <w:rsid w:val="00FC3D20"/>
    <w:rsid w:val="00FC3E81"/>
    <w:rsid w:val="00FC3FCC"/>
    <w:rsid w:val="00FC4058"/>
    <w:rsid w:val="00FC43A3"/>
    <w:rsid w:val="00FC4673"/>
    <w:rsid w:val="00FC4919"/>
    <w:rsid w:val="00FC4A90"/>
    <w:rsid w:val="00FC51F3"/>
    <w:rsid w:val="00FC541D"/>
    <w:rsid w:val="00FC57FF"/>
    <w:rsid w:val="00FC5989"/>
    <w:rsid w:val="00FC5A4D"/>
    <w:rsid w:val="00FC5B0D"/>
    <w:rsid w:val="00FC5B28"/>
    <w:rsid w:val="00FC5FC0"/>
    <w:rsid w:val="00FC6078"/>
    <w:rsid w:val="00FC61BE"/>
    <w:rsid w:val="00FC62C0"/>
    <w:rsid w:val="00FC668C"/>
    <w:rsid w:val="00FC67CF"/>
    <w:rsid w:val="00FC6F47"/>
    <w:rsid w:val="00FC6F6A"/>
    <w:rsid w:val="00FC6FB9"/>
    <w:rsid w:val="00FC70FC"/>
    <w:rsid w:val="00FC72DA"/>
    <w:rsid w:val="00FC77A8"/>
    <w:rsid w:val="00FC77C6"/>
    <w:rsid w:val="00FC782E"/>
    <w:rsid w:val="00FD03EA"/>
    <w:rsid w:val="00FD0428"/>
    <w:rsid w:val="00FD05F9"/>
    <w:rsid w:val="00FD0697"/>
    <w:rsid w:val="00FD071E"/>
    <w:rsid w:val="00FD0784"/>
    <w:rsid w:val="00FD0816"/>
    <w:rsid w:val="00FD0ADE"/>
    <w:rsid w:val="00FD0CF4"/>
    <w:rsid w:val="00FD0EAC"/>
    <w:rsid w:val="00FD0EEB"/>
    <w:rsid w:val="00FD0F13"/>
    <w:rsid w:val="00FD0F88"/>
    <w:rsid w:val="00FD1143"/>
    <w:rsid w:val="00FD1191"/>
    <w:rsid w:val="00FD1353"/>
    <w:rsid w:val="00FD1445"/>
    <w:rsid w:val="00FD152B"/>
    <w:rsid w:val="00FD1594"/>
    <w:rsid w:val="00FD17A7"/>
    <w:rsid w:val="00FD1C38"/>
    <w:rsid w:val="00FD1DA7"/>
    <w:rsid w:val="00FD1EFA"/>
    <w:rsid w:val="00FD211A"/>
    <w:rsid w:val="00FD21FE"/>
    <w:rsid w:val="00FD22C2"/>
    <w:rsid w:val="00FD2608"/>
    <w:rsid w:val="00FD2641"/>
    <w:rsid w:val="00FD269C"/>
    <w:rsid w:val="00FD2782"/>
    <w:rsid w:val="00FD27E7"/>
    <w:rsid w:val="00FD2AE1"/>
    <w:rsid w:val="00FD2B1B"/>
    <w:rsid w:val="00FD32BF"/>
    <w:rsid w:val="00FD35F3"/>
    <w:rsid w:val="00FD3696"/>
    <w:rsid w:val="00FD3C83"/>
    <w:rsid w:val="00FD3CB3"/>
    <w:rsid w:val="00FD4014"/>
    <w:rsid w:val="00FD4305"/>
    <w:rsid w:val="00FD4344"/>
    <w:rsid w:val="00FD4470"/>
    <w:rsid w:val="00FD4571"/>
    <w:rsid w:val="00FD4581"/>
    <w:rsid w:val="00FD47B0"/>
    <w:rsid w:val="00FD4888"/>
    <w:rsid w:val="00FD48F8"/>
    <w:rsid w:val="00FD4BC1"/>
    <w:rsid w:val="00FD4C98"/>
    <w:rsid w:val="00FD4D2E"/>
    <w:rsid w:val="00FD4D94"/>
    <w:rsid w:val="00FD4DFA"/>
    <w:rsid w:val="00FD4EBF"/>
    <w:rsid w:val="00FD531F"/>
    <w:rsid w:val="00FD5329"/>
    <w:rsid w:val="00FD5B63"/>
    <w:rsid w:val="00FD5C36"/>
    <w:rsid w:val="00FD5E9A"/>
    <w:rsid w:val="00FD60B9"/>
    <w:rsid w:val="00FD60CE"/>
    <w:rsid w:val="00FD6435"/>
    <w:rsid w:val="00FD65EC"/>
    <w:rsid w:val="00FD67E0"/>
    <w:rsid w:val="00FD686A"/>
    <w:rsid w:val="00FD6990"/>
    <w:rsid w:val="00FD6C3B"/>
    <w:rsid w:val="00FD7602"/>
    <w:rsid w:val="00FD7664"/>
    <w:rsid w:val="00FD7DFA"/>
    <w:rsid w:val="00FD7E87"/>
    <w:rsid w:val="00FE019F"/>
    <w:rsid w:val="00FE0511"/>
    <w:rsid w:val="00FE0696"/>
    <w:rsid w:val="00FE0C0C"/>
    <w:rsid w:val="00FE0D43"/>
    <w:rsid w:val="00FE0DA8"/>
    <w:rsid w:val="00FE1276"/>
    <w:rsid w:val="00FE13E6"/>
    <w:rsid w:val="00FE153D"/>
    <w:rsid w:val="00FE15F6"/>
    <w:rsid w:val="00FE173F"/>
    <w:rsid w:val="00FE18B0"/>
    <w:rsid w:val="00FE1C1A"/>
    <w:rsid w:val="00FE2106"/>
    <w:rsid w:val="00FE2240"/>
    <w:rsid w:val="00FE2776"/>
    <w:rsid w:val="00FE28B2"/>
    <w:rsid w:val="00FE2A39"/>
    <w:rsid w:val="00FE2B5F"/>
    <w:rsid w:val="00FE2BA4"/>
    <w:rsid w:val="00FE2C98"/>
    <w:rsid w:val="00FE2D2F"/>
    <w:rsid w:val="00FE33B2"/>
    <w:rsid w:val="00FE3466"/>
    <w:rsid w:val="00FE39E6"/>
    <w:rsid w:val="00FE3A00"/>
    <w:rsid w:val="00FE3A36"/>
    <w:rsid w:val="00FE3AF7"/>
    <w:rsid w:val="00FE3BFB"/>
    <w:rsid w:val="00FE3D6E"/>
    <w:rsid w:val="00FE3EC3"/>
    <w:rsid w:val="00FE403A"/>
    <w:rsid w:val="00FE41F1"/>
    <w:rsid w:val="00FE451C"/>
    <w:rsid w:val="00FE4720"/>
    <w:rsid w:val="00FE4A83"/>
    <w:rsid w:val="00FE4DC3"/>
    <w:rsid w:val="00FE4EFC"/>
    <w:rsid w:val="00FE512A"/>
    <w:rsid w:val="00FE55B5"/>
    <w:rsid w:val="00FE5AD0"/>
    <w:rsid w:val="00FE5BCC"/>
    <w:rsid w:val="00FE5EBD"/>
    <w:rsid w:val="00FE5FC6"/>
    <w:rsid w:val="00FE6024"/>
    <w:rsid w:val="00FE688D"/>
    <w:rsid w:val="00FE6AE3"/>
    <w:rsid w:val="00FE6DDF"/>
    <w:rsid w:val="00FE6DFC"/>
    <w:rsid w:val="00FE6F05"/>
    <w:rsid w:val="00FE713F"/>
    <w:rsid w:val="00FE71EC"/>
    <w:rsid w:val="00FE7889"/>
    <w:rsid w:val="00FE78F0"/>
    <w:rsid w:val="00FE7CD5"/>
    <w:rsid w:val="00FE7D07"/>
    <w:rsid w:val="00FE7E87"/>
    <w:rsid w:val="00FF0549"/>
    <w:rsid w:val="00FF0657"/>
    <w:rsid w:val="00FF069F"/>
    <w:rsid w:val="00FF0924"/>
    <w:rsid w:val="00FF0C1D"/>
    <w:rsid w:val="00FF0CE7"/>
    <w:rsid w:val="00FF0F8E"/>
    <w:rsid w:val="00FF105A"/>
    <w:rsid w:val="00FF15DD"/>
    <w:rsid w:val="00FF1649"/>
    <w:rsid w:val="00FF16F9"/>
    <w:rsid w:val="00FF1788"/>
    <w:rsid w:val="00FF1867"/>
    <w:rsid w:val="00FF1CCA"/>
    <w:rsid w:val="00FF1DBA"/>
    <w:rsid w:val="00FF2546"/>
    <w:rsid w:val="00FF2803"/>
    <w:rsid w:val="00FF28CD"/>
    <w:rsid w:val="00FF2E91"/>
    <w:rsid w:val="00FF2F4C"/>
    <w:rsid w:val="00FF3293"/>
    <w:rsid w:val="00FF32B4"/>
    <w:rsid w:val="00FF34F0"/>
    <w:rsid w:val="00FF375C"/>
    <w:rsid w:val="00FF390F"/>
    <w:rsid w:val="00FF3B97"/>
    <w:rsid w:val="00FF3C75"/>
    <w:rsid w:val="00FF4023"/>
    <w:rsid w:val="00FF402F"/>
    <w:rsid w:val="00FF40D5"/>
    <w:rsid w:val="00FF4666"/>
    <w:rsid w:val="00FF4954"/>
    <w:rsid w:val="00FF49B4"/>
    <w:rsid w:val="00FF4CDB"/>
    <w:rsid w:val="00FF5289"/>
    <w:rsid w:val="00FF5410"/>
    <w:rsid w:val="00FF58D2"/>
    <w:rsid w:val="00FF5A60"/>
    <w:rsid w:val="00FF5B4F"/>
    <w:rsid w:val="00FF5EAF"/>
    <w:rsid w:val="00FF6129"/>
    <w:rsid w:val="00FF62ED"/>
    <w:rsid w:val="00FF6341"/>
    <w:rsid w:val="00FF6884"/>
    <w:rsid w:val="00FF6A8B"/>
    <w:rsid w:val="00FF6C42"/>
    <w:rsid w:val="00FF6FC0"/>
    <w:rsid w:val="00FF7026"/>
    <w:rsid w:val="00FF71BC"/>
    <w:rsid w:val="00FF75D8"/>
    <w:rsid w:val="00FF76AB"/>
    <w:rsid w:val="00FF7B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8A9C45"/>
  <w15:chartTrackingRefBased/>
  <w15:docId w15:val="{A7BBA946-CEBE-4375-BF2C-E6B09FB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200" w:line="276" w:lineRule="auto"/>
    </w:pPr>
    <w:rPr>
      <w:sz w:val="22"/>
      <w:szCs w:val="22"/>
      <w:lang w:eastAsia="en-US"/>
    </w:rPr>
  </w:style>
  <w:style w:type="paragraph" w:styleId="10">
    <w:name w:val="heading 1"/>
    <w:basedOn w:val="a2"/>
    <w:next w:val="a2"/>
    <w:link w:val="11"/>
    <w:uiPriority w:val="9"/>
    <w:qFormat/>
    <w:rsid w:val="00FB3A9B"/>
    <w:pPr>
      <w:autoSpaceDE w:val="0"/>
      <w:autoSpaceDN w:val="0"/>
      <w:adjustRightInd w:val="0"/>
      <w:spacing w:before="108" w:after="108" w:line="240" w:lineRule="auto"/>
      <w:jc w:val="center"/>
      <w:outlineLvl w:val="0"/>
    </w:pPr>
    <w:rPr>
      <w:rFonts w:ascii="Arial" w:eastAsia="Times New Roman" w:hAnsi="Arial"/>
      <w:b/>
      <w:bCs/>
      <w:color w:val="000080"/>
      <w:sz w:val="24"/>
      <w:szCs w:val="24"/>
      <w:lang w:val="x-none" w:eastAsia="x-none"/>
    </w:rPr>
  </w:style>
  <w:style w:type="paragraph" w:styleId="2">
    <w:name w:val="heading 2"/>
    <w:basedOn w:val="a2"/>
    <w:next w:val="a2"/>
    <w:link w:val="20"/>
    <w:uiPriority w:val="9"/>
    <w:unhideWhenUsed/>
    <w:qFormat/>
    <w:rsid w:val="00E35ED2"/>
    <w:pPr>
      <w:keepNext/>
      <w:spacing w:before="240" w:after="60"/>
      <w:outlineLvl w:val="1"/>
    </w:pPr>
    <w:rPr>
      <w:rFonts w:ascii="Cambria" w:eastAsia="Times New Roman" w:hAnsi="Cambria"/>
      <w:b/>
      <w:bCs/>
      <w:i/>
      <w:iCs/>
      <w:sz w:val="28"/>
      <w:szCs w:val="28"/>
      <w:lang w:val="x-none"/>
    </w:rPr>
  </w:style>
  <w:style w:type="paragraph" w:styleId="3">
    <w:name w:val="heading 3"/>
    <w:basedOn w:val="a2"/>
    <w:next w:val="a2"/>
    <w:link w:val="30"/>
    <w:uiPriority w:val="9"/>
    <w:unhideWhenUsed/>
    <w:qFormat/>
    <w:rsid w:val="00AA0C8B"/>
    <w:pPr>
      <w:keepNext/>
      <w:spacing w:before="240" w:after="60"/>
      <w:outlineLvl w:val="2"/>
    </w:pPr>
    <w:rPr>
      <w:rFonts w:ascii="Cambria" w:eastAsia="Times New Roman" w:hAnsi="Cambria"/>
      <w:b/>
      <w:bCs/>
      <w:sz w:val="26"/>
      <w:szCs w:val="26"/>
      <w:lang w:val="x-none"/>
    </w:rPr>
  </w:style>
  <w:style w:type="paragraph" w:styleId="4">
    <w:name w:val="heading 4"/>
    <w:basedOn w:val="a2"/>
    <w:next w:val="a2"/>
    <w:link w:val="40"/>
    <w:uiPriority w:val="9"/>
    <w:qFormat/>
    <w:rsid w:val="0058710A"/>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2"/>
    <w:next w:val="a2"/>
    <w:link w:val="50"/>
    <w:unhideWhenUsed/>
    <w:qFormat/>
    <w:rsid w:val="008D6631"/>
    <w:pPr>
      <w:spacing w:before="240" w:after="60"/>
      <w:outlineLvl w:val="4"/>
    </w:pPr>
    <w:rPr>
      <w:rFonts w:eastAsia="Times New Roman"/>
      <w:b/>
      <w:bCs/>
      <w:i/>
      <w:iCs/>
      <w:sz w:val="26"/>
      <w:szCs w:val="26"/>
    </w:rPr>
  </w:style>
  <w:style w:type="paragraph" w:styleId="7">
    <w:name w:val="heading 7"/>
    <w:basedOn w:val="a2"/>
    <w:next w:val="a2"/>
    <w:link w:val="70"/>
    <w:qFormat/>
    <w:rsid w:val="00C67685"/>
    <w:pPr>
      <w:spacing w:before="240" w:after="60" w:line="240" w:lineRule="auto"/>
      <w:outlineLvl w:val="6"/>
    </w:pPr>
    <w:rPr>
      <w:rFonts w:ascii="Times New Roman" w:eastAsia="Times New Roman" w:hAnsi="Times New Roman"/>
      <w:sz w:val="24"/>
      <w:szCs w:val="24"/>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6">
    <w:name w:val="Гипертекстовая ссылка"/>
    <w:uiPriority w:val="99"/>
    <w:rsid w:val="00C9494B"/>
    <w:rPr>
      <w:color w:val="106BBE"/>
    </w:rPr>
  </w:style>
  <w:style w:type="table" w:styleId="a7">
    <w:name w:val="Table Grid"/>
    <w:basedOn w:val="a4"/>
    <w:uiPriority w:val="59"/>
    <w:rsid w:val="003E6D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2"/>
    <w:link w:val="32"/>
    <w:rsid w:val="00D37931"/>
    <w:pPr>
      <w:spacing w:after="0" w:line="240" w:lineRule="auto"/>
      <w:ind w:left="142" w:hanging="142"/>
      <w:jc w:val="both"/>
    </w:pPr>
    <w:rPr>
      <w:rFonts w:ascii="Times New Roman" w:eastAsia="Times New Roman" w:hAnsi="Times New Roman"/>
      <w:sz w:val="24"/>
      <w:szCs w:val="20"/>
      <w:lang w:val="x-none" w:eastAsia="x-none"/>
    </w:rPr>
  </w:style>
  <w:style w:type="character" w:customStyle="1" w:styleId="32">
    <w:name w:val="Основной текст с отступом 3 Знак"/>
    <w:link w:val="31"/>
    <w:rsid w:val="00D37931"/>
    <w:rPr>
      <w:rFonts w:ascii="Times New Roman" w:eastAsia="Times New Roman" w:hAnsi="Times New Roman"/>
      <w:sz w:val="24"/>
      <w:lang w:val="x-none"/>
    </w:rPr>
  </w:style>
  <w:style w:type="paragraph" w:customStyle="1" w:styleId="ConsPlusNormal">
    <w:name w:val="ConsPlusNormal"/>
    <w:link w:val="ConsPlusNormal0"/>
    <w:rsid w:val="00D37931"/>
    <w:pPr>
      <w:widowControl w:val="0"/>
      <w:autoSpaceDE w:val="0"/>
      <w:autoSpaceDN w:val="0"/>
      <w:adjustRightInd w:val="0"/>
      <w:ind w:firstLine="720"/>
    </w:pPr>
    <w:rPr>
      <w:rFonts w:ascii="Arial" w:eastAsia="Times New Roman" w:hAnsi="Arial" w:cs="Arial"/>
    </w:rPr>
  </w:style>
  <w:style w:type="paragraph" w:styleId="a8">
    <w:name w:val="List Paragraph"/>
    <w:aliases w:val="it_List1"/>
    <w:basedOn w:val="a2"/>
    <w:link w:val="a9"/>
    <w:uiPriority w:val="34"/>
    <w:qFormat/>
    <w:rsid w:val="00D37931"/>
    <w:pPr>
      <w:spacing w:after="0" w:line="240" w:lineRule="auto"/>
      <w:ind w:left="720"/>
      <w:contextualSpacing/>
    </w:pPr>
    <w:rPr>
      <w:rFonts w:ascii="Times New Roman" w:eastAsia="Times New Roman" w:hAnsi="Times New Roman"/>
      <w:sz w:val="24"/>
      <w:szCs w:val="24"/>
      <w:lang w:eastAsia="ru-RU"/>
    </w:rPr>
  </w:style>
  <w:style w:type="paragraph" w:customStyle="1" w:styleId="ConsPlusNonformat">
    <w:name w:val="ConsPlusNonformat"/>
    <w:link w:val="ConsPlusNonformat0"/>
    <w:rsid w:val="00D37931"/>
    <w:pPr>
      <w:widowControl w:val="0"/>
      <w:autoSpaceDE w:val="0"/>
      <w:autoSpaceDN w:val="0"/>
      <w:adjustRightInd w:val="0"/>
    </w:pPr>
    <w:rPr>
      <w:rFonts w:ascii="Courier New" w:eastAsia="Times New Roman" w:hAnsi="Courier New" w:cs="Courier New"/>
    </w:rPr>
  </w:style>
  <w:style w:type="paragraph" w:customStyle="1" w:styleId="aa">
    <w:name w:val="Подзаголовок для информации об изменениях"/>
    <w:basedOn w:val="a2"/>
    <w:next w:val="a2"/>
    <w:rsid w:val="00D37931"/>
    <w:pPr>
      <w:autoSpaceDE w:val="0"/>
      <w:autoSpaceDN w:val="0"/>
      <w:adjustRightInd w:val="0"/>
      <w:spacing w:after="0" w:line="240" w:lineRule="auto"/>
      <w:jc w:val="both"/>
    </w:pPr>
    <w:rPr>
      <w:rFonts w:ascii="Arial" w:eastAsia="Times New Roman" w:hAnsi="Arial" w:cs="Arial"/>
      <w:b/>
      <w:bCs/>
      <w:color w:val="000080"/>
      <w:sz w:val="24"/>
      <w:szCs w:val="24"/>
      <w:lang w:eastAsia="ru-RU"/>
    </w:rPr>
  </w:style>
  <w:style w:type="paragraph" w:styleId="ab">
    <w:name w:val="Body Text Indent"/>
    <w:basedOn w:val="a2"/>
    <w:link w:val="ac"/>
    <w:uiPriority w:val="99"/>
    <w:unhideWhenUsed/>
    <w:rsid w:val="00D37931"/>
    <w:pPr>
      <w:spacing w:after="120"/>
      <w:ind w:left="283"/>
    </w:pPr>
    <w:rPr>
      <w:lang w:val="x-none"/>
    </w:rPr>
  </w:style>
  <w:style w:type="character" w:customStyle="1" w:styleId="ac">
    <w:name w:val="Основной текст с отступом Знак"/>
    <w:link w:val="ab"/>
    <w:uiPriority w:val="99"/>
    <w:rsid w:val="00D37931"/>
    <w:rPr>
      <w:sz w:val="22"/>
      <w:szCs w:val="22"/>
      <w:lang w:eastAsia="en-US"/>
    </w:rPr>
  </w:style>
  <w:style w:type="paragraph" w:styleId="ad">
    <w:name w:val="No Spacing"/>
    <w:link w:val="ae"/>
    <w:uiPriority w:val="1"/>
    <w:qFormat/>
    <w:rsid w:val="00D37931"/>
    <w:rPr>
      <w:sz w:val="22"/>
      <w:szCs w:val="22"/>
      <w:lang w:eastAsia="en-US"/>
    </w:rPr>
  </w:style>
  <w:style w:type="paragraph" w:customStyle="1" w:styleId="af">
    <w:name w:val="Прижатый влево"/>
    <w:basedOn w:val="a2"/>
    <w:next w:val="a2"/>
    <w:uiPriority w:val="99"/>
    <w:rsid w:val="00D37931"/>
    <w:pPr>
      <w:autoSpaceDE w:val="0"/>
      <w:autoSpaceDN w:val="0"/>
      <w:adjustRightInd w:val="0"/>
      <w:spacing w:after="0" w:line="240" w:lineRule="auto"/>
    </w:pPr>
    <w:rPr>
      <w:rFonts w:ascii="Arial" w:hAnsi="Arial" w:cs="Arial"/>
      <w:sz w:val="24"/>
      <w:szCs w:val="24"/>
    </w:rPr>
  </w:style>
  <w:style w:type="character" w:styleId="af0">
    <w:name w:val="annotation reference"/>
    <w:uiPriority w:val="99"/>
    <w:unhideWhenUsed/>
    <w:rsid w:val="00D37931"/>
    <w:rPr>
      <w:sz w:val="16"/>
      <w:szCs w:val="16"/>
    </w:rPr>
  </w:style>
  <w:style w:type="paragraph" w:styleId="af1">
    <w:name w:val="annotation text"/>
    <w:basedOn w:val="a2"/>
    <w:link w:val="af2"/>
    <w:uiPriority w:val="99"/>
    <w:unhideWhenUsed/>
    <w:rsid w:val="00D37931"/>
    <w:pPr>
      <w:spacing w:line="240" w:lineRule="auto"/>
    </w:pPr>
    <w:rPr>
      <w:sz w:val="20"/>
      <w:szCs w:val="20"/>
      <w:lang w:val="x-none"/>
    </w:rPr>
  </w:style>
  <w:style w:type="character" w:customStyle="1" w:styleId="af2">
    <w:name w:val="Текст примечания Знак"/>
    <w:link w:val="af1"/>
    <w:uiPriority w:val="99"/>
    <w:rsid w:val="00D37931"/>
    <w:rPr>
      <w:lang w:eastAsia="en-US"/>
    </w:rPr>
  </w:style>
  <w:style w:type="paragraph" w:styleId="af3">
    <w:name w:val="Balloon Text"/>
    <w:basedOn w:val="a2"/>
    <w:link w:val="af4"/>
    <w:uiPriority w:val="99"/>
    <w:unhideWhenUsed/>
    <w:rsid w:val="00D37931"/>
    <w:pPr>
      <w:spacing w:after="0" w:line="240" w:lineRule="auto"/>
    </w:pPr>
    <w:rPr>
      <w:rFonts w:ascii="Tahoma" w:hAnsi="Tahoma"/>
      <w:sz w:val="16"/>
      <w:szCs w:val="16"/>
      <w:lang w:val="x-none"/>
    </w:rPr>
  </w:style>
  <w:style w:type="character" w:customStyle="1" w:styleId="af4">
    <w:name w:val="Текст выноски Знак"/>
    <w:link w:val="af3"/>
    <w:uiPriority w:val="99"/>
    <w:rsid w:val="00D37931"/>
    <w:rPr>
      <w:rFonts w:ascii="Tahoma" w:hAnsi="Tahoma" w:cs="Tahoma"/>
      <w:sz w:val="16"/>
      <w:szCs w:val="16"/>
      <w:lang w:eastAsia="en-US"/>
    </w:rPr>
  </w:style>
  <w:style w:type="paragraph" w:styleId="af5">
    <w:name w:val="header"/>
    <w:basedOn w:val="a2"/>
    <w:link w:val="af6"/>
    <w:uiPriority w:val="99"/>
    <w:unhideWhenUsed/>
    <w:rsid w:val="00396A6F"/>
    <w:pPr>
      <w:tabs>
        <w:tab w:val="center" w:pos="4677"/>
        <w:tab w:val="right" w:pos="9355"/>
      </w:tabs>
    </w:pPr>
    <w:rPr>
      <w:lang w:val="x-none"/>
    </w:rPr>
  </w:style>
  <w:style w:type="character" w:customStyle="1" w:styleId="af6">
    <w:name w:val="Верхний колонтитул Знак"/>
    <w:link w:val="af5"/>
    <w:uiPriority w:val="99"/>
    <w:rsid w:val="00396A6F"/>
    <w:rPr>
      <w:sz w:val="22"/>
      <w:szCs w:val="22"/>
      <w:lang w:eastAsia="en-US"/>
    </w:rPr>
  </w:style>
  <w:style w:type="paragraph" w:styleId="af7">
    <w:name w:val="footer"/>
    <w:basedOn w:val="a2"/>
    <w:link w:val="af8"/>
    <w:uiPriority w:val="99"/>
    <w:unhideWhenUsed/>
    <w:rsid w:val="00396A6F"/>
    <w:pPr>
      <w:tabs>
        <w:tab w:val="center" w:pos="4677"/>
        <w:tab w:val="right" w:pos="9355"/>
      </w:tabs>
    </w:pPr>
    <w:rPr>
      <w:lang w:val="x-none"/>
    </w:rPr>
  </w:style>
  <w:style w:type="character" w:customStyle="1" w:styleId="af8">
    <w:name w:val="Нижний колонтитул Знак"/>
    <w:link w:val="af7"/>
    <w:uiPriority w:val="99"/>
    <w:rsid w:val="00396A6F"/>
    <w:rPr>
      <w:sz w:val="22"/>
      <w:szCs w:val="22"/>
      <w:lang w:eastAsia="en-US"/>
    </w:rPr>
  </w:style>
  <w:style w:type="paragraph" w:customStyle="1" w:styleId="12">
    <w:name w:val="Без интервала1"/>
    <w:link w:val="NoSpacing"/>
    <w:rsid w:val="00467B26"/>
    <w:rPr>
      <w:rFonts w:eastAsia="Times New Roman"/>
      <w:sz w:val="22"/>
      <w:szCs w:val="22"/>
      <w:lang w:eastAsia="en-US"/>
    </w:rPr>
  </w:style>
  <w:style w:type="paragraph" w:customStyle="1" w:styleId="21">
    <w:name w:val="Стиль2"/>
    <w:basedOn w:val="ad"/>
    <w:uiPriority w:val="99"/>
    <w:rsid w:val="00E22F82"/>
    <w:rPr>
      <w:rFonts w:ascii="Times New Roman" w:hAnsi="Times New Roman"/>
      <w:sz w:val="28"/>
      <w:szCs w:val="28"/>
    </w:rPr>
  </w:style>
  <w:style w:type="paragraph" w:customStyle="1" w:styleId="af9">
    <w:name w:val="СтильМой"/>
    <w:basedOn w:val="a2"/>
    <w:rsid w:val="001E6591"/>
    <w:pPr>
      <w:spacing w:after="0" w:line="240" w:lineRule="auto"/>
      <w:ind w:firstLine="720"/>
      <w:jc w:val="both"/>
    </w:pPr>
    <w:rPr>
      <w:rFonts w:ascii="Times New Roman" w:eastAsia="Times New Roman" w:hAnsi="Times New Roman"/>
      <w:sz w:val="28"/>
      <w:szCs w:val="20"/>
      <w:lang w:eastAsia="ru-RU"/>
    </w:rPr>
  </w:style>
  <w:style w:type="paragraph" w:customStyle="1" w:styleId="afa">
    <w:name w:val="Мой стиль"/>
    <w:basedOn w:val="a2"/>
    <w:rsid w:val="001E6591"/>
    <w:pPr>
      <w:spacing w:after="0" w:line="240" w:lineRule="auto"/>
      <w:ind w:firstLine="709"/>
      <w:jc w:val="both"/>
    </w:pPr>
    <w:rPr>
      <w:rFonts w:ascii="Times New Roman" w:eastAsia="Times New Roman" w:hAnsi="Times New Roman"/>
      <w:sz w:val="28"/>
      <w:szCs w:val="20"/>
      <w:lang w:eastAsia="ru-RU"/>
    </w:rPr>
  </w:style>
  <w:style w:type="character" w:styleId="afb">
    <w:name w:val="Hyperlink"/>
    <w:uiPriority w:val="99"/>
    <w:rsid w:val="001E6591"/>
    <w:rPr>
      <w:color w:val="0000FF"/>
      <w:u w:val="single"/>
    </w:rPr>
  </w:style>
  <w:style w:type="character" w:customStyle="1" w:styleId="11">
    <w:name w:val="Заголовок 1 Знак"/>
    <w:link w:val="10"/>
    <w:uiPriority w:val="9"/>
    <w:rsid w:val="00FB3A9B"/>
    <w:rPr>
      <w:rFonts w:ascii="Arial" w:eastAsia="Times New Roman" w:hAnsi="Arial"/>
      <w:b/>
      <w:bCs/>
      <w:color w:val="000080"/>
      <w:sz w:val="24"/>
      <w:szCs w:val="24"/>
    </w:rPr>
  </w:style>
  <w:style w:type="character" w:customStyle="1" w:styleId="20">
    <w:name w:val="Заголовок 2 Знак"/>
    <w:link w:val="2"/>
    <w:uiPriority w:val="9"/>
    <w:rsid w:val="00E35ED2"/>
    <w:rPr>
      <w:rFonts w:ascii="Cambria" w:eastAsia="Times New Roman" w:hAnsi="Cambria" w:cs="Times New Roman"/>
      <w:b/>
      <w:bCs/>
      <w:i/>
      <w:iCs/>
      <w:sz w:val="28"/>
      <w:szCs w:val="28"/>
      <w:lang w:eastAsia="en-US"/>
    </w:rPr>
  </w:style>
  <w:style w:type="paragraph" w:styleId="afc">
    <w:name w:val="annotation subject"/>
    <w:basedOn w:val="af1"/>
    <w:next w:val="af1"/>
    <w:link w:val="afd"/>
    <w:uiPriority w:val="99"/>
    <w:semiHidden/>
    <w:unhideWhenUsed/>
    <w:rsid w:val="00036BFB"/>
    <w:pPr>
      <w:spacing w:line="276" w:lineRule="auto"/>
    </w:pPr>
    <w:rPr>
      <w:b/>
      <w:bCs/>
    </w:rPr>
  </w:style>
  <w:style w:type="character" w:customStyle="1" w:styleId="afd">
    <w:name w:val="Тема примечания Знак"/>
    <w:link w:val="afc"/>
    <w:uiPriority w:val="99"/>
    <w:semiHidden/>
    <w:rsid w:val="00036BFB"/>
    <w:rPr>
      <w:b/>
      <w:bCs/>
      <w:lang w:eastAsia="en-US"/>
    </w:rPr>
  </w:style>
  <w:style w:type="paragraph" w:styleId="afe">
    <w:name w:val="Body Text"/>
    <w:aliases w:val="Òàáë òåêñò, Знак"/>
    <w:basedOn w:val="a2"/>
    <w:link w:val="aff"/>
    <w:unhideWhenUsed/>
    <w:rsid w:val="00636445"/>
    <w:pPr>
      <w:spacing w:after="120" w:line="240" w:lineRule="auto"/>
      <w:ind w:firstLine="567"/>
      <w:jc w:val="both"/>
    </w:pPr>
    <w:rPr>
      <w:lang w:val="x-none"/>
    </w:rPr>
  </w:style>
  <w:style w:type="character" w:customStyle="1" w:styleId="aff">
    <w:name w:val="Основной текст Знак"/>
    <w:aliases w:val="Òàáë òåêñò Знак, Знак Знак"/>
    <w:link w:val="afe"/>
    <w:rsid w:val="00636445"/>
    <w:rPr>
      <w:sz w:val="22"/>
      <w:szCs w:val="22"/>
      <w:lang w:eastAsia="en-US"/>
    </w:rPr>
  </w:style>
  <w:style w:type="character" w:customStyle="1" w:styleId="FontStyle12">
    <w:name w:val="Font Style12"/>
    <w:rsid w:val="00FD4BC1"/>
    <w:rPr>
      <w:rFonts w:ascii="Times New Roman" w:hAnsi="Times New Roman" w:cs="Times New Roman"/>
      <w:b/>
      <w:sz w:val="26"/>
      <w:szCs w:val="26"/>
      <w:lang w:val="en-US" w:eastAsia="en-US" w:bidi="ar-SA"/>
    </w:rPr>
  </w:style>
  <w:style w:type="paragraph" w:styleId="aff0">
    <w:name w:val="caption"/>
    <w:basedOn w:val="a2"/>
    <w:next w:val="a2"/>
    <w:uiPriority w:val="35"/>
    <w:unhideWhenUsed/>
    <w:qFormat/>
    <w:rsid w:val="007F31B1"/>
    <w:rPr>
      <w:b/>
      <w:bCs/>
      <w:sz w:val="20"/>
      <w:szCs w:val="20"/>
    </w:rPr>
  </w:style>
  <w:style w:type="paragraph" w:styleId="aff1">
    <w:name w:val="Document Map"/>
    <w:basedOn w:val="a2"/>
    <w:link w:val="aff2"/>
    <w:uiPriority w:val="99"/>
    <w:semiHidden/>
    <w:unhideWhenUsed/>
    <w:rsid w:val="00AC563B"/>
    <w:rPr>
      <w:rFonts w:ascii="Tahoma" w:hAnsi="Tahoma"/>
      <w:sz w:val="16"/>
      <w:szCs w:val="16"/>
      <w:lang w:val="x-none"/>
    </w:rPr>
  </w:style>
  <w:style w:type="character" w:customStyle="1" w:styleId="aff2">
    <w:name w:val="Схема документа Знак"/>
    <w:link w:val="aff1"/>
    <w:uiPriority w:val="99"/>
    <w:semiHidden/>
    <w:rsid w:val="00AC563B"/>
    <w:rPr>
      <w:rFonts w:ascii="Tahoma" w:hAnsi="Tahoma" w:cs="Tahoma"/>
      <w:sz w:val="16"/>
      <w:szCs w:val="16"/>
      <w:lang w:eastAsia="en-US"/>
    </w:rPr>
  </w:style>
  <w:style w:type="paragraph" w:styleId="22">
    <w:name w:val="Body Text Indent 2"/>
    <w:basedOn w:val="a2"/>
    <w:link w:val="23"/>
    <w:unhideWhenUsed/>
    <w:rsid w:val="00434193"/>
    <w:pPr>
      <w:spacing w:after="120" w:line="480" w:lineRule="auto"/>
      <w:ind w:left="283"/>
    </w:pPr>
    <w:rPr>
      <w:lang w:val="x-none"/>
    </w:rPr>
  </w:style>
  <w:style w:type="character" w:customStyle="1" w:styleId="23">
    <w:name w:val="Основной текст с отступом 2 Знак"/>
    <w:link w:val="22"/>
    <w:rsid w:val="00434193"/>
    <w:rPr>
      <w:sz w:val="22"/>
      <w:szCs w:val="22"/>
      <w:lang w:eastAsia="en-US"/>
    </w:rPr>
  </w:style>
  <w:style w:type="character" w:customStyle="1" w:styleId="aff3">
    <w:name w:val="Основной текст_"/>
    <w:link w:val="24"/>
    <w:rsid w:val="00286547"/>
    <w:rPr>
      <w:rFonts w:ascii="Times New Roman" w:eastAsia="Times New Roman" w:hAnsi="Times New Roman"/>
      <w:shd w:val="clear" w:color="auto" w:fill="FFFFFF"/>
    </w:rPr>
  </w:style>
  <w:style w:type="paragraph" w:customStyle="1" w:styleId="24">
    <w:name w:val="Основной текст2"/>
    <w:basedOn w:val="a2"/>
    <w:link w:val="aff3"/>
    <w:rsid w:val="00286547"/>
    <w:pPr>
      <w:widowControl w:val="0"/>
      <w:shd w:val="clear" w:color="auto" w:fill="FFFFFF"/>
      <w:spacing w:after="0" w:line="0" w:lineRule="atLeast"/>
      <w:jc w:val="center"/>
    </w:pPr>
    <w:rPr>
      <w:rFonts w:ascii="Times New Roman" w:eastAsia="Times New Roman" w:hAnsi="Times New Roman"/>
      <w:sz w:val="20"/>
      <w:szCs w:val="20"/>
      <w:lang w:val="x-none" w:eastAsia="x-none"/>
    </w:rPr>
  </w:style>
  <w:style w:type="paragraph" w:styleId="aff4">
    <w:name w:val="Normal (Web)"/>
    <w:basedOn w:val="a2"/>
    <w:unhideWhenUsed/>
    <w:rsid w:val="00F64416"/>
    <w:pPr>
      <w:spacing w:before="100" w:beforeAutospacing="1" w:after="100" w:afterAutospacing="1" w:line="300" w:lineRule="auto"/>
    </w:pPr>
    <w:rPr>
      <w:rFonts w:ascii="Arial" w:eastAsia="Times New Roman" w:hAnsi="Arial" w:cs="Arial"/>
      <w:color w:val="000000"/>
      <w:sz w:val="20"/>
      <w:szCs w:val="20"/>
      <w:lang w:eastAsia="ru-RU"/>
    </w:rPr>
  </w:style>
  <w:style w:type="paragraph" w:styleId="aff5">
    <w:name w:val="TOC Heading"/>
    <w:basedOn w:val="10"/>
    <w:next w:val="a2"/>
    <w:uiPriority w:val="39"/>
    <w:unhideWhenUsed/>
    <w:qFormat/>
    <w:rsid w:val="006169B3"/>
    <w:pPr>
      <w:keepNext/>
      <w:keepLines/>
      <w:autoSpaceDE/>
      <w:autoSpaceDN/>
      <w:adjustRightInd/>
      <w:spacing w:before="480" w:after="0" w:line="276" w:lineRule="auto"/>
      <w:jc w:val="left"/>
      <w:outlineLvl w:val="9"/>
    </w:pPr>
    <w:rPr>
      <w:rFonts w:ascii="Cambria" w:hAnsi="Cambria"/>
      <w:color w:val="365F91"/>
      <w:sz w:val="28"/>
      <w:szCs w:val="28"/>
      <w:lang w:val="ru-RU" w:eastAsia="ru-RU"/>
    </w:rPr>
  </w:style>
  <w:style w:type="paragraph" w:styleId="13">
    <w:name w:val="toc 1"/>
    <w:basedOn w:val="a2"/>
    <w:next w:val="a2"/>
    <w:autoRedefine/>
    <w:uiPriority w:val="39"/>
    <w:unhideWhenUsed/>
    <w:rsid w:val="006169B3"/>
    <w:pPr>
      <w:spacing w:after="0" w:line="240" w:lineRule="auto"/>
    </w:pPr>
    <w:rPr>
      <w:rFonts w:ascii="Times New Roman" w:hAnsi="Times New Roman"/>
      <w:sz w:val="28"/>
    </w:rPr>
  </w:style>
  <w:style w:type="paragraph" w:styleId="25">
    <w:name w:val="toc 2"/>
    <w:basedOn w:val="a2"/>
    <w:next w:val="a2"/>
    <w:autoRedefine/>
    <w:uiPriority w:val="39"/>
    <w:unhideWhenUsed/>
    <w:rsid w:val="006169B3"/>
    <w:pPr>
      <w:spacing w:after="0" w:line="240" w:lineRule="auto"/>
      <w:ind w:left="221"/>
    </w:pPr>
    <w:rPr>
      <w:rFonts w:ascii="Times New Roman" w:hAnsi="Times New Roman"/>
      <w:sz w:val="26"/>
    </w:rPr>
  </w:style>
  <w:style w:type="character" w:styleId="aff6">
    <w:name w:val="Emphasis"/>
    <w:qFormat/>
    <w:rsid w:val="00734535"/>
    <w:rPr>
      <w:i/>
      <w:iCs/>
    </w:rPr>
  </w:style>
  <w:style w:type="paragraph" w:styleId="33">
    <w:name w:val="toc 3"/>
    <w:basedOn w:val="a2"/>
    <w:next w:val="a2"/>
    <w:autoRedefine/>
    <w:uiPriority w:val="39"/>
    <w:unhideWhenUsed/>
    <w:rsid w:val="00C9299A"/>
    <w:pPr>
      <w:spacing w:after="0" w:line="240" w:lineRule="auto"/>
      <w:ind w:left="442"/>
    </w:pPr>
    <w:rPr>
      <w:rFonts w:ascii="Times New Roman" w:hAnsi="Times New Roman"/>
      <w:i/>
      <w:sz w:val="26"/>
    </w:rPr>
  </w:style>
  <w:style w:type="character" w:customStyle="1" w:styleId="aff7">
    <w:name w:val="Текст в табл"/>
    <w:rsid w:val="00230ADF"/>
    <w:rPr>
      <w:rFonts w:ascii="Arial" w:hAnsi="Arial" w:cs="Arial" w:hint="default"/>
      <w:noProof w:val="0"/>
      <w:sz w:val="16"/>
      <w:lang w:val="ru-RU"/>
    </w:rPr>
  </w:style>
  <w:style w:type="character" w:customStyle="1" w:styleId="aff8">
    <w:name w:val="Текст (лев) Знак"/>
    <w:link w:val="aff9"/>
    <w:locked/>
    <w:rsid w:val="006E2954"/>
    <w:rPr>
      <w:rFonts w:ascii="Arial" w:hAnsi="Arial" w:cs="Arial"/>
      <w:sz w:val="18"/>
      <w:lang w:val="ru-RU" w:eastAsia="ru-RU" w:bidi="ar-SA"/>
    </w:rPr>
  </w:style>
  <w:style w:type="paragraph" w:customStyle="1" w:styleId="aff9">
    <w:name w:val="Текст (лев)"/>
    <w:link w:val="aff8"/>
    <w:rsid w:val="006E2954"/>
    <w:pPr>
      <w:spacing w:before="60"/>
      <w:ind w:firstLine="567"/>
      <w:jc w:val="both"/>
    </w:pPr>
    <w:rPr>
      <w:rFonts w:ascii="Arial" w:hAnsi="Arial" w:cs="Arial"/>
      <w:sz w:val="18"/>
    </w:rPr>
  </w:style>
  <w:style w:type="character" w:customStyle="1" w:styleId="70">
    <w:name w:val="Заголовок 7 Знак"/>
    <w:link w:val="7"/>
    <w:rsid w:val="00C67685"/>
    <w:rPr>
      <w:rFonts w:ascii="Times New Roman" w:eastAsia="Times New Roman" w:hAnsi="Times New Roman"/>
      <w:sz w:val="24"/>
      <w:szCs w:val="24"/>
    </w:rPr>
  </w:style>
  <w:style w:type="paragraph" w:styleId="affa">
    <w:name w:val="Subtitle"/>
    <w:basedOn w:val="a2"/>
    <w:next w:val="a2"/>
    <w:link w:val="affb"/>
    <w:qFormat/>
    <w:rsid w:val="00C67685"/>
    <w:pPr>
      <w:spacing w:after="60" w:line="240" w:lineRule="auto"/>
      <w:jc w:val="center"/>
      <w:outlineLvl w:val="1"/>
    </w:pPr>
    <w:rPr>
      <w:rFonts w:ascii="Cambria" w:eastAsia="Times New Roman" w:hAnsi="Cambria"/>
      <w:sz w:val="24"/>
      <w:szCs w:val="24"/>
      <w:lang w:val="x-none" w:eastAsia="x-none"/>
    </w:rPr>
  </w:style>
  <w:style w:type="character" w:customStyle="1" w:styleId="affb">
    <w:name w:val="Подзаголовок Знак"/>
    <w:link w:val="affa"/>
    <w:rsid w:val="00C67685"/>
    <w:rPr>
      <w:rFonts w:ascii="Cambria" w:eastAsia="Times New Roman" w:hAnsi="Cambria"/>
      <w:sz w:val="24"/>
      <w:szCs w:val="24"/>
    </w:rPr>
  </w:style>
  <w:style w:type="character" w:customStyle="1" w:styleId="affc">
    <w:name w:val="Цветовое выделение"/>
    <w:uiPriority w:val="99"/>
    <w:rsid w:val="00C67685"/>
  </w:style>
  <w:style w:type="paragraph" w:customStyle="1" w:styleId="affd">
    <w:name w:val="Заголовок статьи"/>
    <w:basedOn w:val="a2"/>
    <w:uiPriority w:val="99"/>
    <w:rsid w:val="00C67685"/>
    <w:pPr>
      <w:suppressAutoHyphens/>
      <w:spacing w:after="0" w:line="240" w:lineRule="auto"/>
      <w:ind w:firstLine="567"/>
      <w:jc w:val="both"/>
    </w:pPr>
    <w:rPr>
      <w:rFonts w:eastAsia="SimSun" w:cs="font239"/>
      <w:kern w:val="1"/>
      <w:lang w:eastAsia="ar-SA"/>
    </w:rPr>
  </w:style>
  <w:style w:type="paragraph" w:customStyle="1" w:styleId="14">
    <w:name w:val="Знак1"/>
    <w:basedOn w:val="a2"/>
    <w:rsid w:val="00C67685"/>
    <w:pPr>
      <w:spacing w:after="160" w:line="240" w:lineRule="exact"/>
      <w:jc w:val="both"/>
    </w:pPr>
    <w:rPr>
      <w:rFonts w:ascii="Verdana" w:eastAsia="Times New Roman" w:hAnsi="Verdana" w:cs="Arial"/>
      <w:sz w:val="20"/>
      <w:szCs w:val="20"/>
      <w:lang w:val="en-US"/>
    </w:rPr>
  </w:style>
  <w:style w:type="table" w:customStyle="1" w:styleId="15">
    <w:name w:val="Сетка таблицы1"/>
    <w:basedOn w:val="a4"/>
    <w:uiPriority w:val="39"/>
    <w:rsid w:val="002667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66770"/>
    <w:pPr>
      <w:autoSpaceDE w:val="0"/>
      <w:autoSpaceDN w:val="0"/>
      <w:adjustRightInd w:val="0"/>
    </w:pPr>
    <w:rPr>
      <w:rFonts w:ascii="Times New Roman" w:hAnsi="Times New Roman"/>
      <w:color w:val="000000"/>
      <w:sz w:val="24"/>
      <w:szCs w:val="24"/>
      <w:lang w:eastAsia="en-US"/>
    </w:rPr>
  </w:style>
  <w:style w:type="character" w:customStyle="1" w:styleId="30">
    <w:name w:val="Заголовок 3 Знак"/>
    <w:link w:val="3"/>
    <w:uiPriority w:val="9"/>
    <w:rsid w:val="00AA0C8B"/>
    <w:rPr>
      <w:rFonts w:ascii="Cambria" w:eastAsia="Times New Roman" w:hAnsi="Cambria" w:cs="Times New Roman"/>
      <w:b/>
      <w:bCs/>
      <w:sz w:val="26"/>
      <w:szCs w:val="26"/>
      <w:lang w:eastAsia="en-US"/>
    </w:rPr>
  </w:style>
  <w:style w:type="numbering" w:customStyle="1" w:styleId="16">
    <w:name w:val="Нет списка1"/>
    <w:next w:val="a5"/>
    <w:uiPriority w:val="99"/>
    <w:semiHidden/>
    <w:unhideWhenUsed/>
    <w:rsid w:val="007C1C62"/>
  </w:style>
  <w:style w:type="numbering" w:customStyle="1" w:styleId="26">
    <w:name w:val="Нет списка2"/>
    <w:next w:val="a5"/>
    <w:uiPriority w:val="99"/>
    <w:semiHidden/>
    <w:unhideWhenUsed/>
    <w:rsid w:val="007C1C62"/>
  </w:style>
  <w:style w:type="paragraph" w:customStyle="1" w:styleId="CharChar">
    <w:name w:val="Char Char"/>
    <w:basedOn w:val="a2"/>
    <w:autoRedefine/>
    <w:rsid w:val="007C1C62"/>
    <w:pPr>
      <w:spacing w:after="160" w:line="240" w:lineRule="exact"/>
    </w:pPr>
    <w:rPr>
      <w:rFonts w:ascii="Times New Roman" w:eastAsia="Times New Roman" w:hAnsi="Times New Roman"/>
      <w:sz w:val="24"/>
      <w:szCs w:val="28"/>
      <w:lang w:val="en-US" w:eastAsia="ru-RU"/>
    </w:rPr>
  </w:style>
  <w:style w:type="paragraph" w:customStyle="1" w:styleId="affe">
    <w:name w:val="Нормальный (таблица)"/>
    <w:basedOn w:val="a2"/>
    <w:next w:val="a2"/>
    <w:uiPriority w:val="99"/>
    <w:rsid w:val="007C1C62"/>
    <w:pPr>
      <w:autoSpaceDE w:val="0"/>
      <w:autoSpaceDN w:val="0"/>
      <w:adjustRightInd w:val="0"/>
      <w:spacing w:after="0" w:line="240" w:lineRule="auto"/>
      <w:jc w:val="both"/>
    </w:pPr>
    <w:rPr>
      <w:rFonts w:ascii="Arial" w:hAnsi="Arial" w:cs="Arial"/>
      <w:sz w:val="24"/>
      <w:szCs w:val="24"/>
    </w:rPr>
  </w:style>
  <w:style w:type="paragraph" w:customStyle="1" w:styleId="310">
    <w:name w:val="Основной текст 31"/>
    <w:basedOn w:val="a2"/>
    <w:rsid w:val="00132894"/>
    <w:pPr>
      <w:suppressAutoHyphens/>
      <w:spacing w:after="0" w:line="240" w:lineRule="auto"/>
      <w:jc w:val="both"/>
    </w:pPr>
    <w:rPr>
      <w:rFonts w:ascii="Times New Roman" w:eastAsia="Times New Roman" w:hAnsi="Times New Roman"/>
      <w:sz w:val="24"/>
      <w:szCs w:val="24"/>
      <w:lang w:eastAsia="zh-CN"/>
    </w:rPr>
  </w:style>
  <w:style w:type="character" w:customStyle="1" w:styleId="a9">
    <w:name w:val="Абзац списка Знак"/>
    <w:aliases w:val="it_List1 Знак"/>
    <w:link w:val="a8"/>
    <w:uiPriority w:val="34"/>
    <w:locked/>
    <w:rsid w:val="004F01DD"/>
    <w:rPr>
      <w:rFonts w:ascii="Times New Roman" w:eastAsia="Times New Roman" w:hAnsi="Times New Roman"/>
      <w:sz w:val="24"/>
      <w:szCs w:val="24"/>
    </w:rPr>
  </w:style>
  <w:style w:type="paragraph" w:styleId="afff">
    <w:name w:val="footnote text"/>
    <w:basedOn w:val="a2"/>
    <w:link w:val="afff0"/>
    <w:uiPriority w:val="99"/>
    <w:unhideWhenUsed/>
    <w:qFormat/>
    <w:rsid w:val="00AA5EC3"/>
    <w:pPr>
      <w:spacing w:after="0" w:line="240" w:lineRule="auto"/>
    </w:pPr>
    <w:rPr>
      <w:sz w:val="20"/>
      <w:szCs w:val="20"/>
    </w:rPr>
  </w:style>
  <w:style w:type="character" w:customStyle="1" w:styleId="afff0">
    <w:name w:val="Текст сноски Знак"/>
    <w:link w:val="afff"/>
    <w:uiPriority w:val="99"/>
    <w:rsid w:val="00AA5EC3"/>
    <w:rPr>
      <w:lang w:eastAsia="en-US"/>
    </w:rPr>
  </w:style>
  <w:style w:type="character" w:styleId="afff1">
    <w:name w:val="footnote reference"/>
    <w:aliases w:val="текст сноски,анкета сноска,Знак сноски-FN,Ciae niinee-FN,Знак сноски 1,Ciae niinee 1"/>
    <w:uiPriority w:val="99"/>
    <w:unhideWhenUsed/>
    <w:rsid w:val="0070782A"/>
    <w:rPr>
      <w:vertAlign w:val="superscript"/>
    </w:rPr>
  </w:style>
  <w:style w:type="table" w:customStyle="1" w:styleId="34">
    <w:name w:val="Сетка таблицы3"/>
    <w:basedOn w:val="a4"/>
    <w:next w:val="a7"/>
    <w:uiPriority w:val="59"/>
    <w:rsid w:val="0040292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5"/>
    <w:uiPriority w:val="99"/>
    <w:semiHidden/>
    <w:rsid w:val="00D23B3F"/>
  </w:style>
  <w:style w:type="character" w:styleId="afff2">
    <w:name w:val="page number"/>
    <w:rsid w:val="00D23B3F"/>
  </w:style>
  <w:style w:type="paragraph" w:customStyle="1" w:styleId="17">
    <w:name w:val="Абзац списка1"/>
    <w:basedOn w:val="a2"/>
    <w:link w:val="ListParagraphChar1"/>
    <w:rsid w:val="00D23B3F"/>
    <w:pPr>
      <w:ind w:left="720"/>
    </w:pPr>
    <w:rPr>
      <w:rFonts w:eastAsia="Times New Roman" w:cs="Calibri"/>
    </w:rPr>
  </w:style>
  <w:style w:type="paragraph" w:customStyle="1" w:styleId="afff3">
    <w:name w:val="Таблицы (моноширинный)"/>
    <w:basedOn w:val="a2"/>
    <w:next w:val="a2"/>
    <w:rsid w:val="00D23B3F"/>
    <w:pPr>
      <w:autoSpaceDE w:val="0"/>
      <w:autoSpaceDN w:val="0"/>
      <w:adjustRightInd w:val="0"/>
      <w:spacing w:after="0" w:line="240" w:lineRule="auto"/>
      <w:jc w:val="both"/>
    </w:pPr>
    <w:rPr>
      <w:rFonts w:ascii="Courier New" w:hAnsi="Courier New" w:cs="Courier New"/>
    </w:rPr>
  </w:style>
  <w:style w:type="table" w:customStyle="1" w:styleId="27">
    <w:name w:val="Сетка таблицы2"/>
    <w:basedOn w:val="a4"/>
    <w:next w:val="a7"/>
    <w:uiPriority w:val="3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
    <w:name w:val="No Spacing Знак"/>
    <w:link w:val="12"/>
    <w:locked/>
    <w:rsid w:val="00D23B3F"/>
    <w:rPr>
      <w:rFonts w:eastAsia="Times New Roman"/>
      <w:sz w:val="22"/>
      <w:szCs w:val="22"/>
      <w:lang w:eastAsia="en-US"/>
    </w:rPr>
  </w:style>
  <w:style w:type="table" w:customStyle="1" w:styleId="41">
    <w:name w:val="Сетка таблицы4"/>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7"/>
    <w:uiPriority w:val="9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4"/>
    <w:next w:val="a7"/>
    <w:uiPriority w:val="59"/>
    <w:rsid w:val="00D23B3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Мой заголовок"/>
    <w:basedOn w:val="10"/>
    <w:link w:val="afff5"/>
    <w:autoRedefine/>
    <w:qFormat/>
    <w:rsid w:val="00D23B3F"/>
    <w:pPr>
      <w:spacing w:before="0" w:after="0"/>
      <w:ind w:firstLine="709"/>
    </w:pPr>
    <w:rPr>
      <w:rFonts w:ascii="Times New Roman" w:hAnsi="Times New Roman"/>
      <w:color w:val="26282F"/>
      <w:sz w:val="28"/>
      <w:szCs w:val="28"/>
    </w:rPr>
  </w:style>
  <w:style w:type="character" w:customStyle="1" w:styleId="afff5">
    <w:name w:val="Мой заголовок Знак"/>
    <w:link w:val="afff4"/>
    <w:rsid w:val="00D23B3F"/>
    <w:rPr>
      <w:rFonts w:ascii="Times New Roman" w:eastAsia="Times New Roman" w:hAnsi="Times New Roman"/>
      <w:b/>
      <w:bCs/>
      <w:color w:val="26282F"/>
      <w:sz w:val="28"/>
      <w:szCs w:val="28"/>
      <w:lang w:val="x-none" w:eastAsia="x-none"/>
    </w:rPr>
  </w:style>
  <w:style w:type="character" w:customStyle="1" w:styleId="FontStyle14">
    <w:name w:val="Font Style14"/>
    <w:rsid w:val="0022419B"/>
    <w:rPr>
      <w:rFonts w:ascii="Times New Roman" w:hAnsi="Times New Roman" w:cs="Times New Roman"/>
      <w:b/>
      <w:bCs/>
      <w:sz w:val="24"/>
      <w:szCs w:val="24"/>
    </w:rPr>
  </w:style>
  <w:style w:type="paragraph" w:styleId="28">
    <w:name w:val="Body Text 2"/>
    <w:basedOn w:val="a2"/>
    <w:link w:val="29"/>
    <w:uiPriority w:val="99"/>
    <w:unhideWhenUsed/>
    <w:rsid w:val="00502AA4"/>
    <w:pPr>
      <w:spacing w:after="120" w:line="480" w:lineRule="auto"/>
    </w:pPr>
    <w:rPr>
      <w:rFonts w:eastAsia="Times New Roman"/>
      <w:lang w:eastAsia="ru-RU"/>
    </w:rPr>
  </w:style>
  <w:style w:type="character" w:customStyle="1" w:styleId="29">
    <w:name w:val="Основной текст 2 Знак"/>
    <w:link w:val="28"/>
    <w:uiPriority w:val="99"/>
    <w:rsid w:val="00502AA4"/>
    <w:rPr>
      <w:rFonts w:eastAsia="Times New Roman"/>
      <w:sz w:val="22"/>
      <w:szCs w:val="22"/>
    </w:rPr>
  </w:style>
  <w:style w:type="paragraph" w:customStyle="1" w:styleId="afff6">
    <w:name w:val="Внимание"/>
    <w:basedOn w:val="a2"/>
    <w:next w:val="a2"/>
    <w:uiPriority w:val="99"/>
    <w:rsid w:val="00502AA4"/>
    <w:pPr>
      <w:autoSpaceDE w:val="0"/>
      <w:autoSpaceDN w:val="0"/>
      <w:adjustRightInd w:val="0"/>
      <w:spacing w:before="240" w:after="240" w:line="240" w:lineRule="auto"/>
      <w:ind w:left="420" w:right="420" w:firstLine="300"/>
      <w:jc w:val="both"/>
    </w:pPr>
    <w:rPr>
      <w:rFonts w:ascii="Arial" w:hAnsi="Arial" w:cs="Arial"/>
      <w:sz w:val="24"/>
      <w:szCs w:val="24"/>
      <w:shd w:val="clear" w:color="auto" w:fill="FAF3E9"/>
    </w:rPr>
  </w:style>
  <w:style w:type="paragraph" w:styleId="afff7">
    <w:name w:val="Title"/>
    <w:aliases w:val="Название Знак1,Название Знак Знак, Знак2 Знак Знак, Знак2 Знак1,Знак2 Знак1 Знак,Название Знак1 Знак,Название Знак Знак Знак, Знак2 Знак Знак Знак, Знак2 Знак1 Знак,Знак2 Знак Знак,Знак2 Знак1,Знак2 Знак Знак Знак, Знак Знак3, Знак Знак Знак Зн"/>
    <w:basedOn w:val="a2"/>
    <w:link w:val="afff8"/>
    <w:qFormat/>
    <w:rsid w:val="00502AA4"/>
    <w:pPr>
      <w:spacing w:after="0" w:line="240" w:lineRule="auto"/>
      <w:jc w:val="center"/>
    </w:pPr>
    <w:rPr>
      <w:rFonts w:ascii="Times New Roman" w:eastAsia="Times New Roman" w:hAnsi="Times New Roman"/>
      <w:sz w:val="28"/>
      <w:szCs w:val="24"/>
      <w:lang w:eastAsia="ru-RU"/>
    </w:rPr>
  </w:style>
  <w:style w:type="character" w:customStyle="1" w:styleId="afff8">
    <w:name w:val="Название Знак"/>
    <w:aliases w:val="Название Знак1 Знак1,Название Знак Знак Знак1, Знак2 Знак Знак Знак1, Знак2 Знак1 Знак1,Знак2 Знак1 Знак Знак,Название Знак1 Знак Знак,Название Знак Знак Знак Знак, Знак2 Знак Знак Знак Знак, Знак2 Знак1 Знак Знак,Знак2 Знак Знак Знак1"/>
    <w:link w:val="afff7"/>
    <w:rsid w:val="00502AA4"/>
    <w:rPr>
      <w:rFonts w:ascii="Times New Roman" w:eastAsia="Times New Roman" w:hAnsi="Times New Roman"/>
      <w:sz w:val="28"/>
      <w:szCs w:val="24"/>
    </w:rPr>
  </w:style>
  <w:style w:type="paragraph" w:customStyle="1" w:styleId="afff9">
    <w:name w:val="Информация об изменениях"/>
    <w:basedOn w:val="a2"/>
    <w:next w:val="a2"/>
    <w:uiPriority w:val="99"/>
    <w:rsid w:val="00502AA4"/>
    <w:pPr>
      <w:widowControl w:val="0"/>
      <w:autoSpaceDE w:val="0"/>
      <w:autoSpaceDN w:val="0"/>
      <w:adjustRightInd w:val="0"/>
      <w:spacing w:before="180" w:after="0" w:line="240" w:lineRule="auto"/>
      <w:ind w:left="360" w:right="360"/>
      <w:jc w:val="both"/>
    </w:pPr>
    <w:rPr>
      <w:rFonts w:ascii="Arial" w:eastAsia="Times New Roman" w:hAnsi="Arial" w:cs="Arial"/>
      <w:sz w:val="24"/>
      <w:szCs w:val="24"/>
      <w:shd w:val="clear" w:color="auto" w:fill="EAEFED"/>
      <w:lang w:eastAsia="ru-RU"/>
    </w:rPr>
  </w:style>
  <w:style w:type="numbering" w:customStyle="1" w:styleId="35">
    <w:name w:val="Нет списка3"/>
    <w:next w:val="a5"/>
    <w:uiPriority w:val="99"/>
    <w:semiHidden/>
    <w:unhideWhenUsed/>
    <w:rsid w:val="00502AA4"/>
  </w:style>
  <w:style w:type="numbering" w:customStyle="1" w:styleId="42">
    <w:name w:val="Нет списка4"/>
    <w:next w:val="a5"/>
    <w:uiPriority w:val="99"/>
    <w:semiHidden/>
    <w:unhideWhenUsed/>
    <w:rsid w:val="00502AA4"/>
  </w:style>
  <w:style w:type="paragraph" w:customStyle="1" w:styleId="afffa">
    <w:name w:val="КСП"/>
    <w:basedOn w:val="ad"/>
    <w:link w:val="afffb"/>
    <w:qFormat/>
    <w:rsid w:val="00502AA4"/>
    <w:pPr>
      <w:ind w:firstLine="567"/>
      <w:jc w:val="both"/>
    </w:pPr>
    <w:rPr>
      <w:rFonts w:ascii="Times New Roman" w:eastAsia="Times New Roman" w:hAnsi="Times New Roman"/>
      <w:sz w:val="28"/>
      <w:szCs w:val="28"/>
      <w:lang w:eastAsia="ru-RU"/>
    </w:rPr>
  </w:style>
  <w:style w:type="character" w:customStyle="1" w:styleId="afffb">
    <w:name w:val="КСП Знак"/>
    <w:link w:val="afffa"/>
    <w:rsid w:val="00502AA4"/>
    <w:rPr>
      <w:rFonts w:ascii="Times New Roman" w:eastAsia="Times New Roman" w:hAnsi="Times New Roman"/>
      <w:sz w:val="28"/>
      <w:szCs w:val="28"/>
    </w:rPr>
  </w:style>
  <w:style w:type="character" w:customStyle="1" w:styleId="ae">
    <w:name w:val="Без интервала Знак"/>
    <w:link w:val="ad"/>
    <w:uiPriority w:val="1"/>
    <w:locked/>
    <w:rsid w:val="00C75D03"/>
    <w:rPr>
      <w:sz w:val="22"/>
      <w:szCs w:val="22"/>
      <w:lang w:eastAsia="en-US"/>
    </w:rPr>
  </w:style>
  <w:style w:type="paragraph" w:customStyle="1" w:styleId="afffc">
    <w:name w:val="Мой обычный"/>
    <w:basedOn w:val="a2"/>
    <w:link w:val="afffd"/>
    <w:autoRedefine/>
    <w:qFormat/>
    <w:rsid w:val="00134369"/>
    <w:pPr>
      <w:spacing w:after="0" w:line="240" w:lineRule="auto"/>
      <w:ind w:firstLine="567"/>
      <w:jc w:val="both"/>
    </w:pPr>
    <w:rPr>
      <w:rFonts w:ascii="Times New Roman" w:hAnsi="Times New Roman"/>
      <w:sz w:val="28"/>
      <w:szCs w:val="28"/>
    </w:rPr>
  </w:style>
  <w:style w:type="character" w:customStyle="1" w:styleId="afffd">
    <w:name w:val="Мой обычный Знак"/>
    <w:link w:val="afffc"/>
    <w:rsid w:val="00134369"/>
    <w:rPr>
      <w:rFonts w:ascii="Times New Roman" w:hAnsi="Times New Roman"/>
      <w:sz w:val="28"/>
      <w:szCs w:val="28"/>
      <w:lang w:eastAsia="en-US"/>
    </w:rPr>
  </w:style>
  <w:style w:type="paragraph" w:customStyle="1" w:styleId="8">
    <w:name w:val="Основной текст8"/>
    <w:basedOn w:val="a2"/>
    <w:rsid w:val="001E6BD9"/>
    <w:pPr>
      <w:widowControl w:val="0"/>
      <w:shd w:val="clear" w:color="auto" w:fill="FFFFFF"/>
      <w:spacing w:after="0" w:line="0" w:lineRule="atLeast"/>
      <w:ind w:hanging="1420"/>
      <w:jc w:val="center"/>
    </w:pPr>
    <w:rPr>
      <w:rFonts w:ascii="Times New Roman" w:eastAsia="Times New Roman" w:hAnsi="Times New Roman"/>
    </w:rPr>
  </w:style>
  <w:style w:type="character" w:customStyle="1" w:styleId="afffe">
    <w:name w:val="Сноска_"/>
    <w:link w:val="affff"/>
    <w:rsid w:val="001E6BD9"/>
    <w:rPr>
      <w:rFonts w:ascii="Times New Roman" w:eastAsia="Times New Roman" w:hAnsi="Times New Roman"/>
      <w:shd w:val="clear" w:color="auto" w:fill="FFFFFF"/>
    </w:rPr>
  </w:style>
  <w:style w:type="paragraph" w:customStyle="1" w:styleId="affff">
    <w:name w:val="Сноска"/>
    <w:basedOn w:val="a2"/>
    <w:link w:val="afffe"/>
    <w:rsid w:val="001E6BD9"/>
    <w:pPr>
      <w:widowControl w:val="0"/>
      <w:shd w:val="clear" w:color="auto" w:fill="FFFFFF"/>
      <w:spacing w:after="0" w:line="250" w:lineRule="exact"/>
    </w:pPr>
    <w:rPr>
      <w:rFonts w:ascii="Times New Roman" w:eastAsia="Times New Roman" w:hAnsi="Times New Roman"/>
      <w:sz w:val="20"/>
      <w:szCs w:val="20"/>
      <w:lang w:eastAsia="ru-RU"/>
    </w:rPr>
  </w:style>
  <w:style w:type="character" w:customStyle="1" w:styleId="affff0">
    <w:name w:val="Подпись к таблице_"/>
    <w:link w:val="affff1"/>
    <w:rsid w:val="001E6BD9"/>
    <w:rPr>
      <w:rFonts w:ascii="Times New Roman" w:eastAsia="Times New Roman" w:hAnsi="Times New Roman"/>
      <w:sz w:val="23"/>
      <w:szCs w:val="23"/>
      <w:shd w:val="clear" w:color="auto" w:fill="FFFFFF"/>
    </w:rPr>
  </w:style>
  <w:style w:type="character" w:customStyle="1" w:styleId="115pt">
    <w:name w:val="Основной текст + 11;5 pt"/>
    <w:rsid w:val="001E6BD9"/>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paragraph" w:customStyle="1" w:styleId="52">
    <w:name w:val="Основной текст5"/>
    <w:basedOn w:val="a2"/>
    <w:rsid w:val="001E6BD9"/>
    <w:pPr>
      <w:widowControl w:val="0"/>
      <w:shd w:val="clear" w:color="auto" w:fill="FFFFFF"/>
      <w:spacing w:after="0" w:line="322" w:lineRule="exact"/>
      <w:ind w:hanging="380"/>
      <w:jc w:val="both"/>
    </w:pPr>
    <w:rPr>
      <w:rFonts w:ascii="Times New Roman" w:eastAsia="Times New Roman" w:hAnsi="Times New Roman"/>
      <w:color w:val="000000"/>
      <w:sz w:val="27"/>
      <w:szCs w:val="27"/>
      <w:lang w:eastAsia="ru-RU"/>
    </w:rPr>
  </w:style>
  <w:style w:type="paragraph" w:customStyle="1" w:styleId="affff1">
    <w:name w:val="Подпись к таблице"/>
    <w:basedOn w:val="a2"/>
    <w:link w:val="affff0"/>
    <w:rsid w:val="001E6BD9"/>
    <w:pPr>
      <w:widowControl w:val="0"/>
      <w:shd w:val="clear" w:color="auto" w:fill="FFFFFF"/>
      <w:spacing w:after="0" w:line="274" w:lineRule="exact"/>
      <w:jc w:val="right"/>
    </w:pPr>
    <w:rPr>
      <w:rFonts w:ascii="Times New Roman" w:eastAsia="Times New Roman" w:hAnsi="Times New Roman"/>
      <w:sz w:val="23"/>
      <w:szCs w:val="23"/>
      <w:lang w:eastAsia="ru-RU"/>
    </w:rPr>
  </w:style>
  <w:style w:type="paragraph" w:styleId="affff2">
    <w:name w:val="Revision"/>
    <w:hidden/>
    <w:uiPriority w:val="99"/>
    <w:semiHidden/>
    <w:rsid w:val="001E6BD9"/>
    <w:rPr>
      <w:sz w:val="22"/>
      <w:szCs w:val="22"/>
      <w:lang w:eastAsia="en-US"/>
    </w:rPr>
  </w:style>
  <w:style w:type="character" w:styleId="affff3">
    <w:name w:val="FollowedHyperlink"/>
    <w:uiPriority w:val="99"/>
    <w:semiHidden/>
    <w:unhideWhenUsed/>
    <w:rsid w:val="00FE55B5"/>
    <w:rPr>
      <w:color w:val="800080"/>
      <w:u w:val="single"/>
    </w:rPr>
  </w:style>
  <w:style w:type="paragraph" w:customStyle="1" w:styleId="affff4">
    <w:name w:val="Документ"/>
    <w:basedOn w:val="a2"/>
    <w:link w:val="affff5"/>
    <w:rsid w:val="00455F6B"/>
    <w:pPr>
      <w:spacing w:after="0" w:line="360" w:lineRule="auto"/>
      <w:ind w:firstLine="709"/>
      <w:jc w:val="both"/>
    </w:pPr>
    <w:rPr>
      <w:rFonts w:ascii="Times New Roman" w:hAnsi="Times New Roman"/>
      <w:sz w:val="28"/>
      <w:szCs w:val="20"/>
      <w:lang w:eastAsia="ru-RU"/>
    </w:rPr>
  </w:style>
  <w:style w:type="character" w:customStyle="1" w:styleId="affff5">
    <w:name w:val="Документ Знак"/>
    <w:link w:val="affff4"/>
    <w:locked/>
    <w:rsid w:val="00455F6B"/>
    <w:rPr>
      <w:rFonts w:ascii="Times New Roman" w:hAnsi="Times New Roman"/>
      <w:sz w:val="28"/>
    </w:rPr>
  </w:style>
  <w:style w:type="paragraph" w:customStyle="1" w:styleId="affff6">
    <w:name w:val="Акт"/>
    <w:basedOn w:val="a2"/>
    <w:link w:val="affff7"/>
    <w:rsid w:val="00455F6B"/>
    <w:pPr>
      <w:suppressAutoHyphens/>
      <w:spacing w:after="0" w:line="240" w:lineRule="auto"/>
      <w:ind w:firstLine="709"/>
      <w:jc w:val="both"/>
    </w:pPr>
    <w:rPr>
      <w:rFonts w:ascii="Times New Roman" w:hAnsi="Times New Roman"/>
      <w:sz w:val="28"/>
      <w:szCs w:val="20"/>
      <w:lang w:eastAsia="ru-RU"/>
    </w:rPr>
  </w:style>
  <w:style w:type="character" w:customStyle="1" w:styleId="affff7">
    <w:name w:val="Акт Знак"/>
    <w:link w:val="affff6"/>
    <w:locked/>
    <w:rsid w:val="00455F6B"/>
    <w:rPr>
      <w:rFonts w:ascii="Times New Roman" w:hAnsi="Times New Roman"/>
      <w:sz w:val="28"/>
    </w:rPr>
  </w:style>
  <w:style w:type="table" w:customStyle="1" w:styleId="71">
    <w:name w:val="Сетка таблицы7"/>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4"/>
    <w:next w:val="a7"/>
    <w:uiPriority w:val="59"/>
    <w:rsid w:val="004519F3"/>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4">
    <w:name w:val="s4"/>
    <w:rsid w:val="004519F3"/>
  </w:style>
  <w:style w:type="character" w:customStyle="1" w:styleId="s3">
    <w:name w:val="s3"/>
    <w:rsid w:val="004519F3"/>
  </w:style>
  <w:style w:type="table" w:customStyle="1" w:styleId="9">
    <w:name w:val="Сетка таблицы9"/>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4"/>
    <w:next w:val="a7"/>
    <w:uiPriority w:val="59"/>
    <w:rsid w:val="004519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8F35DB"/>
    <w:pPr>
      <w:widowControl w:val="0"/>
      <w:autoSpaceDE w:val="0"/>
      <w:autoSpaceDN w:val="0"/>
    </w:pPr>
    <w:rPr>
      <w:rFonts w:eastAsia="Times New Roman" w:cs="Calibri"/>
      <w:b/>
      <w:sz w:val="22"/>
    </w:rPr>
  </w:style>
  <w:style w:type="character" w:customStyle="1" w:styleId="affff8">
    <w:name w:val="Сравнение редакций. Удаленный фрагмент"/>
    <w:uiPriority w:val="99"/>
    <w:rsid w:val="000E626E"/>
    <w:rPr>
      <w:color w:val="000000"/>
      <w:shd w:val="clear" w:color="auto" w:fill="C4C413"/>
    </w:rPr>
  </w:style>
  <w:style w:type="paragraph" w:customStyle="1" w:styleId="ConsPlusCell">
    <w:name w:val="ConsPlusCell"/>
    <w:uiPriority w:val="99"/>
    <w:rsid w:val="005216FB"/>
    <w:pPr>
      <w:widowControl w:val="0"/>
      <w:autoSpaceDE w:val="0"/>
      <w:autoSpaceDN w:val="0"/>
      <w:adjustRightInd w:val="0"/>
    </w:pPr>
    <w:rPr>
      <w:rFonts w:cs="Calibri"/>
      <w:sz w:val="22"/>
      <w:szCs w:val="22"/>
    </w:rPr>
  </w:style>
  <w:style w:type="table" w:customStyle="1" w:styleId="111">
    <w:name w:val="Сетка таблицы11"/>
    <w:basedOn w:val="a4"/>
    <w:next w:val="a7"/>
    <w:uiPriority w:val="59"/>
    <w:rsid w:val="00A82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link w:val="5"/>
    <w:rsid w:val="008D6631"/>
    <w:rPr>
      <w:rFonts w:eastAsia="Times New Roman"/>
      <w:b/>
      <w:bCs/>
      <w:i/>
      <w:iCs/>
      <w:sz w:val="26"/>
      <w:szCs w:val="26"/>
      <w:lang w:eastAsia="en-US"/>
    </w:rPr>
  </w:style>
  <w:style w:type="paragraph" w:customStyle="1" w:styleId="2a">
    <w:name w:val="Абзац списка2"/>
    <w:basedOn w:val="a2"/>
    <w:link w:val="ListParagraphChar"/>
    <w:rsid w:val="00732915"/>
    <w:pPr>
      <w:ind w:left="720"/>
      <w:contextualSpacing/>
    </w:pPr>
    <w:rPr>
      <w:rFonts w:eastAsia="Times New Roman"/>
    </w:rPr>
  </w:style>
  <w:style w:type="character" w:customStyle="1" w:styleId="ListParagraphChar">
    <w:name w:val="List Paragraph Char"/>
    <w:link w:val="2a"/>
    <w:locked/>
    <w:rsid w:val="00732915"/>
    <w:rPr>
      <w:rFonts w:eastAsia="Times New Roman"/>
      <w:sz w:val="22"/>
      <w:szCs w:val="22"/>
      <w:lang w:eastAsia="en-US"/>
    </w:rPr>
  </w:style>
  <w:style w:type="paragraph" w:customStyle="1" w:styleId="b-articletext">
    <w:name w:val="b-articletext"/>
    <w:basedOn w:val="a2"/>
    <w:rsid w:val="0025009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fff9">
    <w:name w:val="Выделение для Базового Поиска"/>
    <w:uiPriority w:val="99"/>
    <w:rsid w:val="00646008"/>
    <w:rPr>
      <w:b/>
      <w:bCs/>
      <w:color w:val="0058A9"/>
    </w:rPr>
  </w:style>
  <w:style w:type="character" w:customStyle="1" w:styleId="ListParagraphChar1">
    <w:name w:val="List Paragraph Char1"/>
    <w:link w:val="17"/>
    <w:locked/>
    <w:rsid w:val="00DB2871"/>
    <w:rPr>
      <w:rFonts w:eastAsia="Times New Roman" w:cs="Calibri"/>
      <w:sz w:val="22"/>
      <w:szCs w:val="22"/>
      <w:lang w:eastAsia="en-US"/>
    </w:rPr>
  </w:style>
  <w:style w:type="character" w:customStyle="1" w:styleId="40">
    <w:name w:val="Заголовок 4 Знак"/>
    <w:link w:val="4"/>
    <w:uiPriority w:val="9"/>
    <w:rsid w:val="0058710A"/>
    <w:rPr>
      <w:rFonts w:ascii="Times New Roman" w:eastAsia="Times New Roman" w:hAnsi="Times New Roman"/>
      <w:b/>
      <w:bCs/>
      <w:sz w:val="28"/>
      <w:szCs w:val="28"/>
    </w:rPr>
  </w:style>
  <w:style w:type="paragraph" w:customStyle="1" w:styleId="affffa">
    <w:name w:val="Комментарий"/>
    <w:basedOn w:val="a2"/>
    <w:next w:val="a2"/>
    <w:uiPriority w:val="99"/>
    <w:rsid w:val="0058710A"/>
    <w:pPr>
      <w:autoSpaceDE w:val="0"/>
      <w:autoSpaceDN w:val="0"/>
      <w:adjustRightInd w:val="0"/>
      <w:spacing w:after="0" w:line="240" w:lineRule="auto"/>
      <w:ind w:left="170"/>
      <w:jc w:val="both"/>
    </w:pPr>
    <w:rPr>
      <w:rFonts w:ascii="Arial" w:eastAsia="Times New Roman" w:hAnsi="Arial"/>
      <w:i/>
      <w:iCs/>
      <w:color w:val="800080"/>
      <w:sz w:val="20"/>
      <w:szCs w:val="20"/>
      <w:lang w:eastAsia="ru-RU"/>
    </w:rPr>
  </w:style>
  <w:style w:type="paragraph" w:customStyle="1" w:styleId="18">
    <w:name w:val="1"/>
    <w:rsid w:val="0058710A"/>
    <w:rPr>
      <w:rFonts w:ascii="Times New Roman" w:eastAsia="Times New Roman" w:hAnsi="Times New Roman"/>
      <w:sz w:val="24"/>
      <w:szCs w:val="24"/>
    </w:rPr>
  </w:style>
  <w:style w:type="paragraph" w:customStyle="1" w:styleId="affffb">
    <w:name w:val="Текст (лев. подпись)"/>
    <w:basedOn w:val="a2"/>
    <w:next w:val="a2"/>
    <w:rsid w:val="0058710A"/>
    <w:pPr>
      <w:autoSpaceDE w:val="0"/>
      <w:autoSpaceDN w:val="0"/>
      <w:adjustRightInd w:val="0"/>
      <w:spacing w:after="0" w:line="240" w:lineRule="auto"/>
    </w:pPr>
    <w:rPr>
      <w:rFonts w:ascii="Arial" w:eastAsia="Times New Roman" w:hAnsi="Arial"/>
      <w:sz w:val="24"/>
      <w:szCs w:val="24"/>
      <w:lang w:eastAsia="ru-RU"/>
    </w:rPr>
  </w:style>
  <w:style w:type="character" w:customStyle="1" w:styleId="affffc">
    <w:name w:val="Сравнение редакций. Добавленный фрагмент"/>
    <w:uiPriority w:val="99"/>
    <w:rsid w:val="0058710A"/>
    <w:rPr>
      <w:color w:val="0000FF"/>
    </w:rPr>
  </w:style>
  <w:style w:type="paragraph" w:customStyle="1" w:styleId="affffd">
    <w:name w:val="Интерфейс"/>
    <w:basedOn w:val="a2"/>
    <w:next w:val="a2"/>
    <w:rsid w:val="0058710A"/>
    <w:pPr>
      <w:widowControl w:val="0"/>
      <w:autoSpaceDE w:val="0"/>
      <w:autoSpaceDN w:val="0"/>
      <w:adjustRightInd w:val="0"/>
      <w:spacing w:after="0" w:line="240" w:lineRule="auto"/>
      <w:jc w:val="both"/>
    </w:pPr>
    <w:rPr>
      <w:rFonts w:ascii="Arial" w:eastAsia="Times New Roman" w:hAnsi="Arial" w:cs="Arial"/>
      <w:color w:val="ECE9D8"/>
      <w:lang w:eastAsia="ru-RU"/>
    </w:rPr>
  </w:style>
  <w:style w:type="paragraph" w:customStyle="1" w:styleId="211">
    <w:name w:val="Основной текст с отступом 21"/>
    <w:basedOn w:val="a2"/>
    <w:rsid w:val="0058710A"/>
    <w:pPr>
      <w:overflowPunct w:val="0"/>
      <w:autoSpaceDE w:val="0"/>
      <w:autoSpaceDN w:val="0"/>
      <w:adjustRightInd w:val="0"/>
      <w:spacing w:after="0" w:line="240" w:lineRule="auto"/>
      <w:ind w:firstLine="709"/>
      <w:jc w:val="both"/>
    </w:pPr>
    <w:rPr>
      <w:rFonts w:ascii="Times New Roman" w:eastAsia="Times New Roman" w:hAnsi="Times New Roman"/>
      <w:sz w:val="28"/>
      <w:szCs w:val="20"/>
      <w:lang w:eastAsia="ru-RU"/>
    </w:rPr>
  </w:style>
  <w:style w:type="character" w:customStyle="1" w:styleId="BodyTextIndentChar">
    <w:name w:val="Body Text Indent Char"/>
    <w:locked/>
    <w:rsid w:val="0058710A"/>
    <w:rPr>
      <w:rFonts w:ascii="Times New Roman" w:hAnsi="Times New Roman" w:cs="Times New Roman"/>
      <w:sz w:val="24"/>
      <w:szCs w:val="24"/>
    </w:rPr>
  </w:style>
  <w:style w:type="character" w:customStyle="1" w:styleId="apple-style-span">
    <w:name w:val="apple-style-span"/>
    <w:rsid w:val="0058710A"/>
  </w:style>
  <w:style w:type="character" w:customStyle="1" w:styleId="affffe">
    <w:name w:val="Активная гипертекстовая ссылка"/>
    <w:rsid w:val="0058710A"/>
    <w:rPr>
      <w:rFonts w:cs="Times New Roman"/>
      <w:b/>
      <w:color w:val="008000"/>
      <w:u w:val="single"/>
    </w:rPr>
  </w:style>
  <w:style w:type="paragraph" w:customStyle="1" w:styleId="text2">
    <w:name w:val="text2"/>
    <w:basedOn w:val="a2"/>
    <w:rsid w:val="0058710A"/>
    <w:pPr>
      <w:spacing w:before="210" w:after="0" w:line="240" w:lineRule="auto"/>
      <w:ind w:right="270"/>
      <w:jc w:val="both"/>
    </w:pPr>
    <w:rPr>
      <w:rFonts w:ascii="Tahoma" w:eastAsia="Times New Roman" w:hAnsi="Tahoma" w:cs="Tahoma"/>
      <w:color w:val="000000"/>
      <w:sz w:val="18"/>
      <w:szCs w:val="18"/>
      <w:lang w:eastAsia="ru-RU"/>
    </w:rPr>
  </w:style>
  <w:style w:type="character" w:customStyle="1" w:styleId="BodyTextIndentChar1">
    <w:name w:val="Body Text Indent Char1"/>
    <w:locked/>
    <w:rsid w:val="0058710A"/>
    <w:rPr>
      <w:sz w:val="24"/>
      <w:szCs w:val="24"/>
      <w:lang w:val="ru-RU" w:eastAsia="ru-RU" w:bidi="ar-SA"/>
    </w:rPr>
  </w:style>
  <w:style w:type="paragraph" w:customStyle="1" w:styleId="bl0">
    <w:name w:val="bl0"/>
    <w:basedOn w:val="a2"/>
    <w:rsid w:val="0058710A"/>
    <w:pPr>
      <w:spacing w:before="100" w:beforeAutospacing="1" w:after="100" w:afterAutospacing="1" w:line="240" w:lineRule="auto"/>
    </w:pPr>
    <w:rPr>
      <w:rFonts w:ascii="Times New Roman" w:eastAsia="Times New Roman" w:hAnsi="Times New Roman"/>
      <w:b/>
      <w:bCs/>
      <w:sz w:val="18"/>
      <w:szCs w:val="18"/>
      <w:lang w:eastAsia="ru-RU"/>
    </w:rPr>
  </w:style>
  <w:style w:type="paragraph" w:styleId="a">
    <w:name w:val="List Bullet"/>
    <w:basedOn w:val="a2"/>
    <w:rsid w:val="0058710A"/>
    <w:pPr>
      <w:numPr>
        <w:numId w:val="6"/>
      </w:numPr>
      <w:spacing w:after="0" w:line="240" w:lineRule="auto"/>
    </w:pPr>
    <w:rPr>
      <w:rFonts w:ascii="Times New Roman" w:eastAsia="Times New Roman" w:hAnsi="Times New Roman"/>
      <w:sz w:val="24"/>
      <w:szCs w:val="24"/>
      <w:lang w:eastAsia="ru-RU"/>
    </w:rPr>
  </w:style>
  <w:style w:type="paragraph" w:customStyle="1" w:styleId="afffff">
    <w:name w:val="Информация об изменениях документа"/>
    <w:basedOn w:val="affffa"/>
    <w:next w:val="a2"/>
    <w:uiPriority w:val="99"/>
    <w:rsid w:val="0058710A"/>
    <w:pPr>
      <w:widowControl w:val="0"/>
      <w:spacing w:before="75"/>
    </w:pPr>
    <w:rPr>
      <w:rFonts w:cs="Arial"/>
      <w:color w:val="353842"/>
      <w:sz w:val="24"/>
      <w:szCs w:val="24"/>
      <w:shd w:val="clear" w:color="auto" w:fill="F0F0F0"/>
    </w:rPr>
  </w:style>
  <w:style w:type="paragraph" w:styleId="afffff0">
    <w:name w:val="List"/>
    <w:basedOn w:val="a2"/>
    <w:rsid w:val="0058710A"/>
    <w:pPr>
      <w:spacing w:after="0" w:line="240" w:lineRule="auto"/>
      <w:ind w:left="283" w:hanging="283"/>
    </w:pPr>
    <w:rPr>
      <w:rFonts w:ascii="Times New Roman" w:eastAsia="Times New Roman" w:hAnsi="Times New Roman"/>
      <w:sz w:val="24"/>
      <w:szCs w:val="24"/>
      <w:lang w:eastAsia="ru-RU"/>
    </w:rPr>
  </w:style>
  <w:style w:type="paragraph" w:styleId="43">
    <w:name w:val="toc 4"/>
    <w:basedOn w:val="a2"/>
    <w:next w:val="a2"/>
    <w:autoRedefine/>
    <w:uiPriority w:val="39"/>
    <w:unhideWhenUsed/>
    <w:rsid w:val="004D69AE"/>
    <w:pPr>
      <w:spacing w:after="100" w:line="259" w:lineRule="auto"/>
      <w:ind w:left="660"/>
    </w:pPr>
    <w:rPr>
      <w:rFonts w:eastAsia="Times New Roman"/>
      <w:lang w:eastAsia="ru-RU"/>
    </w:rPr>
  </w:style>
  <w:style w:type="paragraph" w:styleId="53">
    <w:name w:val="toc 5"/>
    <w:basedOn w:val="a2"/>
    <w:next w:val="a2"/>
    <w:autoRedefine/>
    <w:uiPriority w:val="39"/>
    <w:unhideWhenUsed/>
    <w:rsid w:val="004D69AE"/>
    <w:pPr>
      <w:spacing w:after="100" w:line="259" w:lineRule="auto"/>
      <w:ind w:left="880"/>
    </w:pPr>
    <w:rPr>
      <w:rFonts w:eastAsia="Times New Roman"/>
      <w:lang w:eastAsia="ru-RU"/>
    </w:rPr>
  </w:style>
  <w:style w:type="paragraph" w:styleId="60">
    <w:name w:val="toc 6"/>
    <w:basedOn w:val="a2"/>
    <w:next w:val="a2"/>
    <w:autoRedefine/>
    <w:uiPriority w:val="39"/>
    <w:unhideWhenUsed/>
    <w:rsid w:val="004D69AE"/>
    <w:pPr>
      <w:spacing w:after="100" w:line="259" w:lineRule="auto"/>
      <w:ind w:left="1100"/>
    </w:pPr>
    <w:rPr>
      <w:rFonts w:eastAsia="Times New Roman"/>
      <w:lang w:eastAsia="ru-RU"/>
    </w:rPr>
  </w:style>
  <w:style w:type="paragraph" w:styleId="72">
    <w:name w:val="toc 7"/>
    <w:basedOn w:val="a2"/>
    <w:next w:val="a2"/>
    <w:autoRedefine/>
    <w:uiPriority w:val="39"/>
    <w:unhideWhenUsed/>
    <w:rsid w:val="004D69AE"/>
    <w:pPr>
      <w:spacing w:after="100" w:line="259" w:lineRule="auto"/>
      <w:ind w:left="1320"/>
    </w:pPr>
    <w:rPr>
      <w:rFonts w:eastAsia="Times New Roman"/>
      <w:lang w:eastAsia="ru-RU"/>
    </w:rPr>
  </w:style>
  <w:style w:type="paragraph" w:styleId="81">
    <w:name w:val="toc 8"/>
    <w:basedOn w:val="a2"/>
    <w:next w:val="a2"/>
    <w:autoRedefine/>
    <w:uiPriority w:val="39"/>
    <w:unhideWhenUsed/>
    <w:rsid w:val="004D69AE"/>
    <w:pPr>
      <w:spacing w:after="100" w:line="259" w:lineRule="auto"/>
      <w:ind w:left="1540"/>
    </w:pPr>
    <w:rPr>
      <w:rFonts w:eastAsia="Times New Roman"/>
      <w:lang w:eastAsia="ru-RU"/>
    </w:rPr>
  </w:style>
  <w:style w:type="paragraph" w:styleId="90">
    <w:name w:val="toc 9"/>
    <w:basedOn w:val="a2"/>
    <w:next w:val="a2"/>
    <w:autoRedefine/>
    <w:uiPriority w:val="39"/>
    <w:unhideWhenUsed/>
    <w:rsid w:val="004D69AE"/>
    <w:pPr>
      <w:spacing w:after="100" w:line="259" w:lineRule="auto"/>
      <w:ind w:left="1760"/>
    </w:pPr>
    <w:rPr>
      <w:rFonts w:eastAsia="Times New Roman"/>
      <w:lang w:eastAsia="ru-RU"/>
    </w:rPr>
  </w:style>
  <w:style w:type="paragraph" w:customStyle="1" w:styleId="afff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autoRedefine/>
    <w:rsid w:val="00ED147B"/>
    <w:pPr>
      <w:spacing w:after="160" w:line="240" w:lineRule="exact"/>
    </w:pPr>
    <w:rPr>
      <w:rFonts w:ascii="Times New Roman" w:eastAsia="Times New Roman" w:hAnsi="Times New Roman"/>
      <w:sz w:val="28"/>
      <w:szCs w:val="20"/>
      <w:lang w:val="en-US"/>
    </w:rPr>
  </w:style>
  <w:style w:type="paragraph" w:customStyle="1" w:styleId="11Char">
    <w:name w:val="Знак1 Знак Знак Знак Знак Знак Знак Знак Знак1 Char"/>
    <w:basedOn w:val="a2"/>
    <w:rsid w:val="00ED147B"/>
    <w:pPr>
      <w:spacing w:after="160" w:line="240" w:lineRule="exact"/>
    </w:pPr>
    <w:rPr>
      <w:rFonts w:ascii="Verdana" w:eastAsia="Times New Roman" w:hAnsi="Verdana"/>
      <w:sz w:val="20"/>
      <w:szCs w:val="20"/>
      <w:lang w:val="en-US"/>
    </w:rPr>
  </w:style>
  <w:style w:type="paragraph" w:customStyle="1" w:styleId="afffff2">
    <w:name w:val="Знак Знак Знак Знак"/>
    <w:basedOn w:val="a2"/>
    <w:rsid w:val="00ED147B"/>
    <w:pPr>
      <w:spacing w:before="100" w:beforeAutospacing="1" w:after="100" w:afterAutospacing="1" w:line="240" w:lineRule="auto"/>
    </w:pPr>
    <w:rPr>
      <w:rFonts w:ascii="Tahoma" w:eastAsia="Times New Roman" w:hAnsi="Tahoma"/>
      <w:sz w:val="20"/>
      <w:szCs w:val="20"/>
      <w:lang w:val="en-US"/>
    </w:rPr>
  </w:style>
  <w:style w:type="paragraph" w:customStyle="1" w:styleId="afffff3">
    <w:name w:val="Знак"/>
    <w:basedOn w:val="a2"/>
    <w:rsid w:val="00ED147B"/>
    <w:pPr>
      <w:spacing w:before="100" w:beforeAutospacing="1" w:after="100" w:afterAutospacing="1" w:line="240" w:lineRule="auto"/>
    </w:pPr>
    <w:rPr>
      <w:rFonts w:ascii="Tahoma" w:eastAsia="Times New Roman" w:hAnsi="Tahoma" w:cs="Tahoma"/>
      <w:sz w:val="20"/>
      <w:szCs w:val="20"/>
      <w:lang w:val="en-US"/>
    </w:rPr>
  </w:style>
  <w:style w:type="paragraph" w:customStyle="1" w:styleId="1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2"/>
    <w:autoRedefine/>
    <w:rsid w:val="00ED147B"/>
    <w:pPr>
      <w:spacing w:after="160" w:line="240" w:lineRule="exact"/>
    </w:pPr>
    <w:rPr>
      <w:rFonts w:ascii="Times New Roman" w:eastAsia="Times New Roman" w:hAnsi="Times New Roman"/>
      <w:sz w:val="28"/>
      <w:szCs w:val="28"/>
      <w:lang w:val="en-US"/>
    </w:rPr>
  </w:style>
  <w:style w:type="paragraph" w:customStyle="1" w:styleId="ConsNormal">
    <w:name w:val="ConsNormal"/>
    <w:rsid w:val="00ED147B"/>
    <w:pPr>
      <w:widowControl w:val="0"/>
      <w:autoSpaceDE w:val="0"/>
      <w:autoSpaceDN w:val="0"/>
      <w:adjustRightInd w:val="0"/>
      <w:ind w:right="19772" w:firstLine="720"/>
    </w:pPr>
    <w:rPr>
      <w:rFonts w:ascii="Arial" w:eastAsia="Times New Roman" w:hAnsi="Arial" w:cs="Arial"/>
    </w:rPr>
  </w:style>
  <w:style w:type="paragraph" w:customStyle="1" w:styleId="text">
    <w:name w:val="text"/>
    <w:basedOn w:val="a2"/>
    <w:rsid w:val="00ED147B"/>
    <w:pPr>
      <w:spacing w:before="240" w:after="240" w:line="240" w:lineRule="auto"/>
    </w:pPr>
    <w:rPr>
      <w:rFonts w:ascii="Times New Roman" w:eastAsia="Times New Roman" w:hAnsi="Times New Roman"/>
      <w:sz w:val="24"/>
      <w:szCs w:val="24"/>
      <w:lang w:eastAsia="ru-RU"/>
    </w:rPr>
  </w:style>
  <w:style w:type="character" w:customStyle="1" w:styleId="ConsPlusNormal0">
    <w:name w:val="ConsPlusNormal Знак"/>
    <w:link w:val="ConsPlusNormal"/>
    <w:locked/>
    <w:rsid w:val="00ED147B"/>
    <w:rPr>
      <w:rFonts w:ascii="Arial" w:eastAsia="Times New Roman" w:hAnsi="Arial" w:cs="Arial"/>
    </w:rPr>
  </w:style>
  <w:style w:type="table" w:customStyle="1" w:styleId="120">
    <w:name w:val="Сетка таблицы12"/>
    <w:basedOn w:val="a4"/>
    <w:next w:val="a7"/>
    <w:uiPriority w:val="59"/>
    <w:rsid w:val="00ED147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2"/>
    <w:rsid w:val="00D16913"/>
    <w:pPr>
      <w:autoSpaceDE w:val="0"/>
      <w:autoSpaceDN w:val="0"/>
      <w:spacing w:after="0" w:line="240" w:lineRule="auto"/>
      <w:ind w:firstLine="720"/>
    </w:pPr>
    <w:rPr>
      <w:rFonts w:ascii="Arial" w:eastAsia="Times New Roman" w:hAnsi="Arial" w:cs="Arial"/>
      <w:sz w:val="20"/>
      <w:szCs w:val="20"/>
      <w:lang w:eastAsia="ru-RU"/>
    </w:rPr>
  </w:style>
  <w:style w:type="paragraph" w:customStyle="1" w:styleId="ConsCell">
    <w:name w:val="ConsCell"/>
    <w:rsid w:val="00D16913"/>
    <w:pPr>
      <w:widowControl w:val="0"/>
    </w:pPr>
    <w:rPr>
      <w:rFonts w:ascii="Arial" w:eastAsia="Times New Roman" w:hAnsi="Arial"/>
      <w:snapToGrid w:val="0"/>
    </w:rPr>
  </w:style>
  <w:style w:type="paragraph" w:customStyle="1" w:styleId="1a">
    <w:name w:val="Основной текст1"/>
    <w:basedOn w:val="a2"/>
    <w:rsid w:val="00D16913"/>
    <w:pPr>
      <w:widowControl w:val="0"/>
      <w:shd w:val="clear" w:color="auto" w:fill="FFFFFF"/>
      <w:spacing w:before="300" w:after="300" w:line="293" w:lineRule="exact"/>
      <w:jc w:val="both"/>
    </w:pPr>
    <w:rPr>
      <w:rFonts w:ascii="Times New Roman" w:eastAsia="Times New Roman" w:hAnsi="Times New Roman"/>
      <w:spacing w:val="2"/>
      <w:sz w:val="20"/>
      <w:szCs w:val="20"/>
    </w:rPr>
  </w:style>
  <w:style w:type="character" w:customStyle="1" w:styleId="8pt0pt">
    <w:name w:val="Основной текст + 8 pt;Интервал 0 pt"/>
    <w:rsid w:val="00D16913"/>
    <w:rPr>
      <w:rFonts w:ascii="Times New Roman" w:eastAsia="Times New Roman" w:hAnsi="Times New Roman" w:cs="Times New Roman"/>
      <w:color w:val="000000"/>
      <w:spacing w:val="3"/>
      <w:w w:val="100"/>
      <w:position w:val="0"/>
      <w:sz w:val="16"/>
      <w:szCs w:val="16"/>
      <w:shd w:val="clear" w:color="auto" w:fill="FFFFFF"/>
      <w:lang w:val="ru-RU"/>
    </w:rPr>
  </w:style>
  <w:style w:type="character" w:customStyle="1" w:styleId="0pt">
    <w:name w:val="Основной текст + Интервал 0 pt"/>
    <w:rsid w:val="00D16913"/>
    <w:rPr>
      <w:rFonts w:ascii="Times New Roman" w:eastAsia="Times New Roman" w:hAnsi="Times New Roman" w:cs="Times New Roman"/>
      <w:b w:val="0"/>
      <w:bCs w:val="0"/>
      <w:i w:val="0"/>
      <w:iCs w:val="0"/>
      <w:smallCaps w:val="0"/>
      <w:strike w:val="0"/>
      <w:color w:val="000000"/>
      <w:spacing w:val="7"/>
      <w:w w:val="100"/>
      <w:position w:val="0"/>
      <w:sz w:val="20"/>
      <w:szCs w:val="20"/>
      <w:u w:val="none"/>
      <w:shd w:val="clear" w:color="auto" w:fill="FFFFFF"/>
      <w:lang w:val="ru-RU"/>
    </w:rPr>
  </w:style>
  <w:style w:type="character" w:customStyle="1" w:styleId="A30">
    <w:name w:val="A3"/>
    <w:rsid w:val="00D16913"/>
    <w:rPr>
      <w:rFonts w:ascii="Minion Pro" w:hAnsi="Minion Pro" w:cs="Minion Pro" w:hint="default"/>
      <w:color w:val="000000"/>
      <w:sz w:val="20"/>
      <w:szCs w:val="20"/>
    </w:rPr>
  </w:style>
  <w:style w:type="character" w:customStyle="1" w:styleId="2b">
    <w:name w:val="Основной текст (2)_"/>
    <w:link w:val="2c"/>
    <w:rsid w:val="00D16913"/>
    <w:rPr>
      <w:rFonts w:ascii="Times New Roman" w:eastAsia="Times New Roman" w:hAnsi="Times New Roman"/>
      <w:sz w:val="26"/>
      <w:szCs w:val="26"/>
      <w:shd w:val="clear" w:color="auto" w:fill="FFFFFF"/>
    </w:rPr>
  </w:style>
  <w:style w:type="paragraph" w:customStyle="1" w:styleId="2c">
    <w:name w:val="Основной текст (2)"/>
    <w:basedOn w:val="a2"/>
    <w:link w:val="2b"/>
    <w:rsid w:val="00D16913"/>
    <w:pPr>
      <w:widowControl w:val="0"/>
      <w:shd w:val="clear" w:color="auto" w:fill="FFFFFF"/>
      <w:spacing w:before="1020" w:after="340" w:line="288" w:lineRule="exact"/>
      <w:jc w:val="center"/>
    </w:pPr>
    <w:rPr>
      <w:rFonts w:ascii="Times New Roman" w:eastAsia="Times New Roman" w:hAnsi="Times New Roman"/>
      <w:sz w:val="26"/>
      <w:szCs w:val="26"/>
      <w:lang w:eastAsia="ru-RU"/>
    </w:rPr>
  </w:style>
  <w:style w:type="paragraph" w:customStyle="1" w:styleId="320">
    <w:name w:val="Основной текст 32"/>
    <w:basedOn w:val="a2"/>
    <w:uiPriority w:val="99"/>
    <w:rsid w:val="00835460"/>
    <w:pPr>
      <w:suppressAutoHyphens/>
      <w:overflowPunct w:val="0"/>
      <w:autoSpaceDE w:val="0"/>
      <w:spacing w:after="0" w:line="240" w:lineRule="auto"/>
    </w:pPr>
    <w:rPr>
      <w:rFonts w:ascii="Times New Roman" w:eastAsia="Times New Roman" w:hAnsi="Times New Roman"/>
      <w:iCs/>
      <w:sz w:val="28"/>
      <w:szCs w:val="20"/>
      <w:lang w:eastAsia="zh-CN"/>
    </w:rPr>
  </w:style>
  <w:style w:type="table" w:customStyle="1" w:styleId="112">
    <w:name w:val="Таблица простая 11"/>
    <w:basedOn w:val="a4"/>
    <w:uiPriority w:val="41"/>
    <w:rsid w:val="00A81F09"/>
    <w:rPr>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1">
    <w:name w:val="Обычный1"/>
    <w:basedOn w:val="a2"/>
    <w:link w:val="1b"/>
    <w:qFormat/>
    <w:rsid w:val="008C53A6"/>
    <w:pPr>
      <w:numPr>
        <w:numId w:val="7"/>
      </w:numPr>
      <w:spacing w:after="0" w:line="240" w:lineRule="auto"/>
      <w:jc w:val="both"/>
    </w:pPr>
    <w:rPr>
      <w:rFonts w:ascii="Times New Roman" w:hAnsi="Times New Roman"/>
      <w:sz w:val="28"/>
      <w:szCs w:val="16"/>
    </w:rPr>
  </w:style>
  <w:style w:type="character" w:customStyle="1" w:styleId="1b">
    <w:name w:val="Обычный1 Знак"/>
    <w:link w:val="1"/>
    <w:rsid w:val="008C53A6"/>
    <w:rPr>
      <w:rFonts w:ascii="Times New Roman" w:hAnsi="Times New Roman"/>
      <w:sz w:val="28"/>
      <w:szCs w:val="16"/>
      <w:lang w:eastAsia="en-US"/>
    </w:rPr>
  </w:style>
  <w:style w:type="paragraph" w:customStyle="1" w:styleId="1c">
    <w:name w:val="Заголовок1"/>
    <w:basedOn w:val="a2"/>
    <w:link w:val="1d"/>
    <w:autoRedefine/>
    <w:qFormat/>
    <w:rsid w:val="009A7DE7"/>
    <w:pPr>
      <w:keepNext/>
      <w:keepLines/>
      <w:spacing w:before="120" w:after="120" w:line="240" w:lineRule="auto"/>
      <w:jc w:val="center"/>
      <w:outlineLvl w:val="0"/>
    </w:pPr>
    <w:rPr>
      <w:rFonts w:ascii="Times New Roman" w:eastAsia="Times New Roman" w:hAnsi="Times New Roman"/>
      <w:b/>
      <w:bCs/>
      <w:sz w:val="28"/>
      <w:szCs w:val="28"/>
      <w:lang w:val="x-none"/>
    </w:rPr>
  </w:style>
  <w:style w:type="character" w:customStyle="1" w:styleId="1d">
    <w:name w:val="Заголовок1 Знак"/>
    <w:link w:val="1c"/>
    <w:rsid w:val="009A7DE7"/>
    <w:rPr>
      <w:rFonts w:ascii="Times New Roman" w:eastAsia="Times New Roman" w:hAnsi="Times New Roman"/>
      <w:b/>
      <w:bCs/>
      <w:sz w:val="28"/>
      <w:szCs w:val="28"/>
      <w:lang w:val="x-none" w:eastAsia="en-US"/>
    </w:rPr>
  </w:style>
  <w:style w:type="numbering" w:customStyle="1" w:styleId="54">
    <w:name w:val="Нет списка5"/>
    <w:next w:val="a5"/>
    <w:uiPriority w:val="99"/>
    <w:semiHidden/>
    <w:unhideWhenUsed/>
    <w:rsid w:val="005721D0"/>
  </w:style>
  <w:style w:type="character" w:customStyle="1" w:styleId="cs63eb74b21">
    <w:name w:val="cs63eb74b21"/>
    <w:rsid w:val="00D92785"/>
    <w:rPr>
      <w:rFonts w:ascii="Times New Roman" w:hAnsi="Times New Roman" w:cs="Times New Roman" w:hint="default"/>
      <w:b w:val="0"/>
      <w:bCs w:val="0"/>
      <w:i w:val="0"/>
      <w:iCs w:val="0"/>
      <w:color w:val="000000"/>
      <w:sz w:val="24"/>
      <w:szCs w:val="24"/>
      <w:shd w:val="clear" w:color="auto" w:fill="auto"/>
    </w:rPr>
  </w:style>
  <w:style w:type="paragraph" w:customStyle="1" w:styleId="Style9">
    <w:name w:val="Style9"/>
    <w:basedOn w:val="a2"/>
    <w:uiPriority w:val="99"/>
    <w:rsid w:val="00D92785"/>
    <w:pPr>
      <w:widowControl w:val="0"/>
      <w:autoSpaceDE w:val="0"/>
      <w:autoSpaceDN w:val="0"/>
      <w:adjustRightInd w:val="0"/>
      <w:spacing w:after="0" w:line="322" w:lineRule="exact"/>
      <w:ind w:firstLine="701"/>
      <w:jc w:val="both"/>
    </w:pPr>
    <w:rPr>
      <w:rFonts w:ascii="Times New Roman" w:eastAsia="Times New Roman" w:hAnsi="Times New Roman"/>
      <w:sz w:val="24"/>
      <w:szCs w:val="24"/>
      <w:lang w:eastAsia="ru-RU"/>
    </w:rPr>
  </w:style>
  <w:style w:type="character" w:customStyle="1" w:styleId="FontStyle218">
    <w:name w:val="Font Style218"/>
    <w:uiPriority w:val="99"/>
    <w:rsid w:val="00D92785"/>
    <w:rPr>
      <w:rFonts w:ascii="Times New Roman" w:hAnsi="Times New Roman" w:cs="Times New Roman"/>
      <w:color w:val="000000"/>
      <w:sz w:val="26"/>
      <w:szCs w:val="26"/>
    </w:rPr>
  </w:style>
  <w:style w:type="paragraph" w:customStyle="1" w:styleId="afffff4">
    <w:name w:val="я"/>
    <w:basedOn w:val="10"/>
    <w:autoRedefine/>
    <w:rsid w:val="00D92785"/>
    <w:pPr>
      <w:keepNext/>
      <w:autoSpaceDE/>
      <w:autoSpaceDN/>
      <w:adjustRightInd/>
      <w:spacing w:before="0" w:after="0"/>
      <w:jc w:val="left"/>
    </w:pPr>
    <w:rPr>
      <w:rFonts w:ascii="Times New Roman" w:hAnsi="Times New Roman"/>
      <w:bCs w:val="0"/>
      <w:color w:val="auto"/>
      <w:kern w:val="28"/>
      <w:sz w:val="28"/>
      <w:szCs w:val="32"/>
      <w:lang w:val="ru-RU" w:eastAsia="ru-RU"/>
    </w:rPr>
  </w:style>
  <w:style w:type="table" w:customStyle="1" w:styleId="130">
    <w:name w:val="Сетка таблицы13"/>
    <w:basedOn w:val="a4"/>
    <w:next w:val="a7"/>
    <w:uiPriority w:val="59"/>
    <w:rsid w:val="004A43F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
    <w:name w:val="Нет списка6"/>
    <w:next w:val="a5"/>
    <w:uiPriority w:val="99"/>
    <w:semiHidden/>
    <w:unhideWhenUsed/>
    <w:rsid w:val="00DA4488"/>
  </w:style>
  <w:style w:type="table" w:customStyle="1" w:styleId="140">
    <w:name w:val="Сетка таблицы14"/>
    <w:basedOn w:val="a4"/>
    <w:next w:val="a7"/>
    <w:uiPriority w:val="59"/>
    <w:rsid w:val="00DA4488"/>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7"/>
    <w:uiPriority w:val="59"/>
    <w:rsid w:val="00502887"/>
    <w:pPr>
      <w:ind w:firstLine="567"/>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5"/>
    <w:uiPriority w:val="99"/>
    <w:semiHidden/>
    <w:unhideWhenUsed/>
    <w:rsid w:val="006A5762"/>
  </w:style>
  <w:style w:type="table" w:customStyle="1" w:styleId="160">
    <w:name w:val="Сетка таблицы16"/>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7"/>
    <w:uiPriority w:val="59"/>
    <w:rsid w:val="006A576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4"/>
    <w:next w:val="a7"/>
    <w:uiPriority w:val="59"/>
    <w:rsid w:val="006A5762"/>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4"/>
    <w:next w:val="a7"/>
    <w:uiPriority w:val="59"/>
    <w:rsid w:val="006A576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6A5762"/>
  </w:style>
  <w:style w:type="paragraph" w:customStyle="1" w:styleId="36">
    <w:name w:val="Основной текст3"/>
    <w:basedOn w:val="a2"/>
    <w:rsid w:val="006A5762"/>
    <w:pPr>
      <w:widowControl w:val="0"/>
      <w:shd w:val="clear" w:color="auto" w:fill="FFFFFF"/>
      <w:spacing w:after="0" w:line="0" w:lineRule="atLeast"/>
    </w:pPr>
    <w:rPr>
      <w:rFonts w:ascii="Times New Roman" w:eastAsia="Times New Roman" w:hAnsi="Times New Roman"/>
      <w:spacing w:val="10"/>
      <w:sz w:val="21"/>
      <w:szCs w:val="21"/>
      <w:lang w:eastAsia="ru-RU"/>
    </w:rPr>
  </w:style>
  <w:style w:type="character" w:customStyle="1" w:styleId="afffff5">
    <w:name w:val="Основной текст +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55">
    <w:name w:val="Основной текст (5)_"/>
    <w:link w:val="56"/>
    <w:rsid w:val="006A5762"/>
    <w:rPr>
      <w:rFonts w:ascii="Times New Roman" w:eastAsia="Times New Roman" w:hAnsi="Times New Roman"/>
      <w:b/>
      <w:bCs/>
      <w:sz w:val="21"/>
      <w:szCs w:val="21"/>
      <w:shd w:val="clear" w:color="auto" w:fill="FFFFFF"/>
    </w:rPr>
  </w:style>
  <w:style w:type="character" w:customStyle="1" w:styleId="57">
    <w:name w:val="Основной текст (5) + Не полужирный"/>
    <w:rsid w:val="006A5762"/>
    <w:rPr>
      <w:rFonts w:ascii="Times New Roman" w:eastAsia="Times New Roman" w:hAnsi="Times New Roman" w:cs="Times New Roman"/>
      <w:b/>
      <w:bCs/>
      <w:color w:val="000000"/>
      <w:spacing w:val="0"/>
      <w:w w:val="100"/>
      <w:position w:val="0"/>
      <w:sz w:val="21"/>
      <w:szCs w:val="21"/>
      <w:shd w:val="clear" w:color="auto" w:fill="FFFFFF"/>
      <w:lang w:val="ru-RU"/>
    </w:rPr>
  </w:style>
  <w:style w:type="character" w:customStyle="1" w:styleId="62">
    <w:name w:val="Основной текст (6)_"/>
    <w:link w:val="63"/>
    <w:rsid w:val="006A5762"/>
    <w:rPr>
      <w:rFonts w:ascii="Times New Roman" w:eastAsia="Times New Roman" w:hAnsi="Times New Roman"/>
      <w:b/>
      <w:bCs/>
      <w:sz w:val="21"/>
      <w:szCs w:val="21"/>
      <w:shd w:val="clear" w:color="auto" w:fill="FFFFFF"/>
    </w:rPr>
  </w:style>
  <w:style w:type="paragraph" w:customStyle="1" w:styleId="56">
    <w:name w:val="Основной текст (5)"/>
    <w:basedOn w:val="a2"/>
    <w:link w:val="55"/>
    <w:rsid w:val="006A5762"/>
    <w:pPr>
      <w:widowControl w:val="0"/>
      <w:shd w:val="clear" w:color="auto" w:fill="FFFFFF"/>
      <w:spacing w:after="0" w:line="226" w:lineRule="exact"/>
      <w:ind w:firstLine="680"/>
      <w:jc w:val="both"/>
    </w:pPr>
    <w:rPr>
      <w:rFonts w:ascii="Times New Roman" w:eastAsia="Times New Roman" w:hAnsi="Times New Roman"/>
      <w:b/>
      <w:bCs/>
      <w:sz w:val="21"/>
      <w:szCs w:val="21"/>
      <w:lang w:eastAsia="ru-RU"/>
    </w:rPr>
  </w:style>
  <w:style w:type="paragraph" w:customStyle="1" w:styleId="63">
    <w:name w:val="Основной текст (6)"/>
    <w:basedOn w:val="a2"/>
    <w:link w:val="62"/>
    <w:rsid w:val="006A5762"/>
    <w:pPr>
      <w:widowControl w:val="0"/>
      <w:shd w:val="clear" w:color="auto" w:fill="FFFFFF"/>
      <w:spacing w:after="0" w:line="259" w:lineRule="exact"/>
    </w:pPr>
    <w:rPr>
      <w:rFonts w:ascii="Times New Roman" w:eastAsia="Times New Roman" w:hAnsi="Times New Roman"/>
      <w:b/>
      <w:bCs/>
      <w:sz w:val="21"/>
      <w:szCs w:val="21"/>
      <w:lang w:eastAsia="ru-RU"/>
    </w:rPr>
  </w:style>
  <w:style w:type="character" w:customStyle="1" w:styleId="wmi-callto">
    <w:name w:val="wmi-callto"/>
    <w:rsid w:val="006A5762"/>
  </w:style>
  <w:style w:type="table" w:customStyle="1" w:styleId="180">
    <w:name w:val="Сетка таблицы18"/>
    <w:basedOn w:val="a4"/>
    <w:next w:val="a7"/>
    <w:uiPriority w:val="39"/>
    <w:rsid w:val="00BD62C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7"/>
    <w:uiPriority w:val="39"/>
    <w:rsid w:val="00D16A5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5"/>
    <w:uiPriority w:val="99"/>
    <w:semiHidden/>
    <w:unhideWhenUsed/>
    <w:rsid w:val="00025B21"/>
  </w:style>
  <w:style w:type="table" w:customStyle="1" w:styleId="200">
    <w:name w:val="Сетка таблицы20"/>
    <w:basedOn w:val="a4"/>
    <w:next w:val="a7"/>
    <w:uiPriority w:val="39"/>
    <w:rsid w:val="00025B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Документ в списке"/>
    <w:basedOn w:val="a2"/>
    <w:next w:val="a2"/>
    <w:uiPriority w:val="99"/>
    <w:rsid w:val="00025B21"/>
    <w:pPr>
      <w:autoSpaceDE w:val="0"/>
      <w:autoSpaceDN w:val="0"/>
      <w:adjustRightInd w:val="0"/>
      <w:spacing w:before="120" w:after="0" w:line="240" w:lineRule="auto"/>
      <w:ind w:right="300"/>
      <w:jc w:val="both"/>
    </w:pPr>
    <w:rPr>
      <w:rFonts w:ascii="Arial" w:hAnsi="Arial" w:cs="Arial"/>
      <w:color w:val="000000"/>
      <w:sz w:val="24"/>
      <w:szCs w:val="24"/>
    </w:rPr>
  </w:style>
  <w:style w:type="table" w:customStyle="1" w:styleId="240">
    <w:name w:val="Сетка таблицы24"/>
    <w:basedOn w:val="a4"/>
    <w:next w:val="a7"/>
    <w:uiPriority w:val="39"/>
    <w:rsid w:val="00B908A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
    <w:name w:val="Нет списка9"/>
    <w:next w:val="a5"/>
    <w:uiPriority w:val="99"/>
    <w:semiHidden/>
    <w:unhideWhenUsed/>
    <w:rsid w:val="00517EF3"/>
  </w:style>
  <w:style w:type="table" w:customStyle="1" w:styleId="250">
    <w:name w:val="Сетка таблицы25"/>
    <w:basedOn w:val="a4"/>
    <w:next w:val="a7"/>
    <w:uiPriority w:val="59"/>
    <w:rsid w:val="00517EF3"/>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next w:val="a7"/>
    <w:uiPriority w:val="59"/>
    <w:rsid w:val="00517EF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sc09459341">
    <w:name w:val="csc09459341"/>
    <w:rsid w:val="003225D3"/>
    <w:rPr>
      <w:rFonts w:ascii="Times New Roman" w:hAnsi="Times New Roman" w:cs="Times New Roman" w:hint="default"/>
      <w:b w:val="0"/>
      <w:bCs w:val="0"/>
      <w:i w:val="0"/>
      <w:iCs w:val="0"/>
      <w:color w:val="000000"/>
      <w:sz w:val="28"/>
      <w:szCs w:val="28"/>
      <w:shd w:val="clear" w:color="auto" w:fill="auto"/>
    </w:rPr>
  </w:style>
  <w:style w:type="paragraph" w:styleId="37">
    <w:name w:val="Body Text 3"/>
    <w:basedOn w:val="a2"/>
    <w:link w:val="38"/>
    <w:uiPriority w:val="99"/>
    <w:semiHidden/>
    <w:unhideWhenUsed/>
    <w:rsid w:val="00CE2325"/>
    <w:pPr>
      <w:spacing w:after="120"/>
    </w:pPr>
    <w:rPr>
      <w:sz w:val="16"/>
      <w:szCs w:val="16"/>
    </w:rPr>
  </w:style>
  <w:style w:type="character" w:customStyle="1" w:styleId="38">
    <w:name w:val="Основной текст 3 Знак"/>
    <w:basedOn w:val="a3"/>
    <w:link w:val="37"/>
    <w:uiPriority w:val="99"/>
    <w:semiHidden/>
    <w:rsid w:val="00CE2325"/>
    <w:rPr>
      <w:sz w:val="16"/>
      <w:szCs w:val="16"/>
      <w:lang w:eastAsia="en-US"/>
    </w:rPr>
  </w:style>
  <w:style w:type="character" w:styleId="afffff7">
    <w:name w:val="Book Title"/>
    <w:basedOn w:val="a3"/>
    <w:uiPriority w:val="33"/>
    <w:qFormat/>
    <w:rsid w:val="00354F6D"/>
    <w:rPr>
      <w:rFonts w:ascii="Times New Roman" w:hAnsi="Times New Roman"/>
      <w:b w:val="0"/>
      <w:bCs/>
      <w:smallCaps/>
      <w:spacing w:val="5"/>
      <w:sz w:val="24"/>
    </w:rPr>
  </w:style>
  <w:style w:type="paragraph" w:customStyle="1" w:styleId="1e">
    <w:name w:val="Название1"/>
    <w:basedOn w:val="a2"/>
    <w:link w:val="1f"/>
    <w:qFormat/>
    <w:rsid w:val="00354F6D"/>
    <w:pPr>
      <w:spacing w:after="0" w:line="240" w:lineRule="auto"/>
      <w:ind w:firstLine="709"/>
      <w:jc w:val="both"/>
    </w:pPr>
    <w:rPr>
      <w:rFonts w:ascii="Times New Roman" w:hAnsi="Times New Roman"/>
      <w:bCs/>
      <w:sz w:val="24"/>
      <w:szCs w:val="24"/>
    </w:rPr>
  </w:style>
  <w:style w:type="character" w:customStyle="1" w:styleId="1f">
    <w:name w:val="Название1 Знак"/>
    <w:basedOn w:val="a3"/>
    <w:link w:val="1e"/>
    <w:rsid w:val="00354F6D"/>
    <w:rPr>
      <w:rFonts w:ascii="Times New Roman" w:hAnsi="Times New Roman"/>
      <w:bCs/>
      <w:sz w:val="24"/>
      <w:szCs w:val="24"/>
      <w:lang w:eastAsia="en-US"/>
    </w:rPr>
  </w:style>
  <w:style w:type="character" w:customStyle="1" w:styleId="extended-textfull">
    <w:name w:val="extended-text__full"/>
    <w:basedOn w:val="a3"/>
    <w:rsid w:val="00F5611C"/>
  </w:style>
  <w:style w:type="character" w:customStyle="1" w:styleId="x1a">
    <w:name w:val="x1a"/>
    <w:basedOn w:val="a3"/>
    <w:rsid w:val="00DE0F82"/>
  </w:style>
  <w:style w:type="character" w:customStyle="1" w:styleId="extended-textshort">
    <w:name w:val="extended-text__short"/>
    <w:basedOn w:val="a3"/>
    <w:rsid w:val="00DE0F82"/>
  </w:style>
  <w:style w:type="numbering" w:customStyle="1" w:styleId="1111">
    <w:name w:val="Нет списка111"/>
    <w:next w:val="a5"/>
    <w:semiHidden/>
    <w:rsid w:val="006A6B14"/>
  </w:style>
  <w:style w:type="table" w:customStyle="1" w:styleId="270">
    <w:name w:val="Сетка таблицы27"/>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7"/>
    <w:uiPriority w:val="59"/>
    <w:rsid w:val="006A6B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8">
    <w:name w:val="Strong"/>
    <w:basedOn w:val="a3"/>
    <w:uiPriority w:val="22"/>
    <w:qFormat/>
    <w:rsid w:val="003B5BDA"/>
    <w:rPr>
      <w:b/>
      <w:bCs/>
    </w:rPr>
  </w:style>
  <w:style w:type="paragraph" w:customStyle="1" w:styleId="a0">
    <w:name w:val="Мой абзац"/>
    <w:basedOn w:val="a2"/>
    <w:link w:val="afffff9"/>
    <w:autoRedefine/>
    <w:qFormat/>
    <w:rsid w:val="00135937"/>
    <w:pPr>
      <w:numPr>
        <w:numId w:val="25"/>
      </w:numPr>
      <w:spacing w:after="0" w:line="240" w:lineRule="auto"/>
      <w:ind w:left="0" w:firstLine="851"/>
      <w:jc w:val="both"/>
    </w:pPr>
    <w:rPr>
      <w:rFonts w:ascii="Times New Roman" w:hAnsi="Times New Roman"/>
      <w:sz w:val="28"/>
      <w:szCs w:val="16"/>
    </w:rPr>
  </w:style>
  <w:style w:type="character" w:customStyle="1" w:styleId="afffff9">
    <w:name w:val="Мой абзац Знак"/>
    <w:link w:val="a0"/>
    <w:rsid w:val="00135937"/>
    <w:rPr>
      <w:rFonts w:ascii="Times New Roman" w:hAnsi="Times New Roman"/>
      <w:sz w:val="28"/>
      <w:szCs w:val="16"/>
      <w:lang w:eastAsia="en-US"/>
    </w:rPr>
  </w:style>
  <w:style w:type="character" w:customStyle="1" w:styleId="39">
    <w:name w:val="Основной текст (3)_"/>
    <w:basedOn w:val="a3"/>
    <w:link w:val="3a"/>
    <w:rsid w:val="004D1E45"/>
    <w:rPr>
      <w:rFonts w:ascii="Times New Roman" w:eastAsia="Times New Roman" w:hAnsi="Times New Roman"/>
      <w:b/>
      <w:bCs/>
      <w:sz w:val="28"/>
      <w:szCs w:val="28"/>
      <w:shd w:val="clear" w:color="auto" w:fill="FFFFFF"/>
    </w:rPr>
  </w:style>
  <w:style w:type="paragraph" w:customStyle="1" w:styleId="3a">
    <w:name w:val="Основной текст (3)"/>
    <w:basedOn w:val="a2"/>
    <w:link w:val="39"/>
    <w:rsid w:val="004D1E45"/>
    <w:pPr>
      <w:widowControl w:val="0"/>
      <w:shd w:val="clear" w:color="auto" w:fill="FFFFFF"/>
      <w:spacing w:before="340" w:after="0" w:line="310" w:lineRule="exact"/>
      <w:jc w:val="center"/>
    </w:pPr>
    <w:rPr>
      <w:rFonts w:ascii="Times New Roman" w:eastAsia="Times New Roman" w:hAnsi="Times New Roman"/>
      <w:b/>
      <w:bCs/>
      <w:sz w:val="28"/>
      <w:szCs w:val="28"/>
      <w:lang w:eastAsia="ru-RU"/>
    </w:rPr>
  </w:style>
  <w:style w:type="character" w:customStyle="1" w:styleId="blk">
    <w:name w:val="blk"/>
    <w:basedOn w:val="a3"/>
    <w:rsid w:val="004D1E45"/>
  </w:style>
  <w:style w:type="numbering" w:customStyle="1" w:styleId="11110">
    <w:name w:val="Нет списка1111"/>
    <w:next w:val="a5"/>
    <w:semiHidden/>
    <w:rsid w:val="00B029F6"/>
  </w:style>
  <w:style w:type="paragraph" w:customStyle="1" w:styleId="Style14">
    <w:name w:val="Style14"/>
    <w:basedOn w:val="a2"/>
    <w:rsid w:val="00B029F6"/>
    <w:pPr>
      <w:widowControl w:val="0"/>
      <w:autoSpaceDE w:val="0"/>
      <w:autoSpaceDN w:val="0"/>
      <w:adjustRightInd w:val="0"/>
      <w:spacing w:after="0" w:line="324" w:lineRule="exact"/>
      <w:ind w:firstLine="1166"/>
    </w:pPr>
    <w:rPr>
      <w:rFonts w:ascii="Times New Roman" w:eastAsia="Times New Roman" w:hAnsi="Times New Roman"/>
      <w:sz w:val="24"/>
      <w:szCs w:val="24"/>
      <w:lang w:eastAsia="ru-RU"/>
    </w:rPr>
  </w:style>
  <w:style w:type="character" w:customStyle="1" w:styleId="FontStyle18">
    <w:name w:val="Font Style18"/>
    <w:rsid w:val="00B029F6"/>
    <w:rPr>
      <w:rFonts w:ascii="Times New Roman" w:hAnsi="Times New Roman" w:cs="Times New Roman"/>
      <w:sz w:val="26"/>
      <w:szCs w:val="26"/>
    </w:rPr>
  </w:style>
  <w:style w:type="paragraph" w:customStyle="1" w:styleId="3b">
    <w:name w:val="Мой заголовок 3"/>
    <w:basedOn w:val="3"/>
    <w:next w:val="3"/>
    <w:qFormat/>
    <w:rsid w:val="00B029F6"/>
    <w:pPr>
      <w:spacing w:line="240" w:lineRule="auto"/>
    </w:pPr>
    <w:rPr>
      <w:lang w:val="ru-RU" w:eastAsia="ru-RU"/>
    </w:rPr>
  </w:style>
  <w:style w:type="character" w:customStyle="1" w:styleId="cs139122331">
    <w:name w:val="cs139122331"/>
    <w:rsid w:val="00B029F6"/>
    <w:rPr>
      <w:rFonts w:ascii="Times New Roman" w:hAnsi="Times New Roman" w:cs="Times New Roman" w:hint="default"/>
      <w:b w:val="0"/>
      <w:bCs w:val="0"/>
      <w:i w:val="0"/>
      <w:iCs w:val="0"/>
      <w:color w:val="000000"/>
      <w:sz w:val="28"/>
      <w:szCs w:val="28"/>
      <w:shd w:val="clear" w:color="auto" w:fill="auto"/>
    </w:rPr>
  </w:style>
  <w:style w:type="character" w:customStyle="1" w:styleId="211pt">
    <w:name w:val="Основной текст (2) + 11 pt"/>
    <w:basedOn w:val="a3"/>
    <w:rsid w:val="00B029F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1">
    <w:name w:val="Абзац мой"/>
    <w:basedOn w:val="a8"/>
    <w:link w:val="afffffa"/>
    <w:qFormat/>
    <w:rsid w:val="00CF472C"/>
    <w:pPr>
      <w:numPr>
        <w:numId w:val="28"/>
      </w:numPr>
      <w:tabs>
        <w:tab w:val="num" w:pos="360"/>
      </w:tabs>
      <w:ind w:left="567" w:hanging="283"/>
      <w:jc w:val="both"/>
    </w:pPr>
    <w:rPr>
      <w:sz w:val="28"/>
      <w:lang w:bidi="ru-RU"/>
    </w:rPr>
  </w:style>
  <w:style w:type="character" w:customStyle="1" w:styleId="afffffa">
    <w:name w:val="Абзац мой Знак"/>
    <w:basedOn w:val="a3"/>
    <w:link w:val="a1"/>
    <w:rsid w:val="00CF472C"/>
    <w:rPr>
      <w:rFonts w:ascii="Times New Roman" w:eastAsia="Times New Roman" w:hAnsi="Times New Roman"/>
      <w:sz w:val="28"/>
      <w:szCs w:val="24"/>
      <w:lang w:bidi="ru-RU"/>
    </w:rPr>
  </w:style>
  <w:style w:type="character" w:customStyle="1" w:styleId="pre">
    <w:name w:val="pre"/>
    <w:basedOn w:val="a3"/>
    <w:rsid w:val="00CF472C"/>
  </w:style>
  <w:style w:type="character" w:customStyle="1" w:styleId="265pt">
    <w:name w:val="Основной текст (2) + 6;5 pt;Курсив"/>
    <w:basedOn w:val="a3"/>
    <w:rsid w:val="00CF472C"/>
    <w:rPr>
      <w:rFonts w:ascii="Times New Roman" w:eastAsia="Times New Roman" w:hAnsi="Times New Roman" w:cs="Times New Roman"/>
      <w:b w:val="0"/>
      <w:bCs w:val="0"/>
      <w:i/>
      <w:iCs/>
      <w:smallCaps w:val="0"/>
      <w:strike w:val="0"/>
      <w:color w:val="000000"/>
      <w:spacing w:val="0"/>
      <w:w w:val="100"/>
      <w:position w:val="0"/>
      <w:sz w:val="13"/>
      <w:szCs w:val="13"/>
      <w:u w:val="none"/>
      <w:lang w:val="ru-RU" w:eastAsia="ru-RU" w:bidi="ru-RU"/>
    </w:rPr>
  </w:style>
  <w:style w:type="paragraph" w:customStyle="1" w:styleId="212">
    <w:name w:val="Заголовок 21"/>
    <w:basedOn w:val="a2"/>
    <w:next w:val="a2"/>
    <w:uiPriority w:val="9"/>
    <w:unhideWhenUsed/>
    <w:qFormat/>
    <w:rsid w:val="00171147"/>
    <w:pPr>
      <w:keepNext/>
      <w:keepLines/>
      <w:spacing w:before="40" w:after="0" w:line="259" w:lineRule="auto"/>
      <w:outlineLvl w:val="1"/>
    </w:pPr>
    <w:rPr>
      <w:rFonts w:ascii="Calibri Light" w:eastAsia="Times New Roman" w:hAnsi="Calibri Light"/>
      <w:color w:val="2E74B5"/>
      <w:sz w:val="26"/>
      <w:szCs w:val="26"/>
    </w:rPr>
  </w:style>
  <w:style w:type="paragraph" w:customStyle="1" w:styleId="312">
    <w:name w:val="Заголовок 31"/>
    <w:basedOn w:val="a2"/>
    <w:next w:val="a2"/>
    <w:uiPriority w:val="9"/>
    <w:unhideWhenUsed/>
    <w:qFormat/>
    <w:rsid w:val="00171147"/>
    <w:pPr>
      <w:keepNext/>
      <w:keepLines/>
      <w:spacing w:before="40" w:after="0" w:line="259" w:lineRule="auto"/>
      <w:outlineLvl w:val="2"/>
    </w:pPr>
    <w:rPr>
      <w:rFonts w:ascii="Calibri Light" w:eastAsia="Times New Roman" w:hAnsi="Calibri Light"/>
      <w:color w:val="1F4D78"/>
      <w:sz w:val="24"/>
      <w:szCs w:val="24"/>
    </w:rPr>
  </w:style>
  <w:style w:type="paragraph" w:customStyle="1" w:styleId="411">
    <w:name w:val="Заголовок 41"/>
    <w:basedOn w:val="a2"/>
    <w:next w:val="a2"/>
    <w:uiPriority w:val="9"/>
    <w:semiHidden/>
    <w:unhideWhenUsed/>
    <w:qFormat/>
    <w:rsid w:val="00171147"/>
    <w:pPr>
      <w:keepNext/>
      <w:keepLines/>
      <w:spacing w:before="200" w:after="0" w:line="259" w:lineRule="auto"/>
      <w:outlineLvl w:val="3"/>
    </w:pPr>
    <w:rPr>
      <w:rFonts w:ascii="Calibri Light" w:eastAsia="Times New Roman" w:hAnsi="Calibri Light"/>
      <w:b/>
      <w:bCs/>
      <w:i/>
      <w:iCs/>
      <w:color w:val="5B9BD5"/>
    </w:rPr>
  </w:style>
  <w:style w:type="character" w:customStyle="1" w:styleId="1f0">
    <w:name w:val="Гиперссылка1"/>
    <w:basedOn w:val="a3"/>
    <w:uiPriority w:val="99"/>
    <w:unhideWhenUsed/>
    <w:rsid w:val="00171147"/>
    <w:rPr>
      <w:color w:val="0563C1"/>
      <w:u w:val="single"/>
    </w:rPr>
  </w:style>
  <w:style w:type="character" w:customStyle="1" w:styleId="412">
    <w:name w:val="Заголовок 4 Знак1"/>
    <w:basedOn w:val="a3"/>
    <w:uiPriority w:val="9"/>
    <w:semiHidden/>
    <w:rsid w:val="00171147"/>
    <w:rPr>
      <w:rFonts w:asciiTheme="majorHAnsi" w:eastAsiaTheme="majorEastAsia" w:hAnsiTheme="majorHAnsi" w:cstheme="majorBidi"/>
      <w:b/>
      <w:bCs/>
      <w:i/>
      <w:iCs/>
      <w:color w:val="5B9BD5" w:themeColor="accent1"/>
    </w:rPr>
  </w:style>
  <w:style w:type="character" w:customStyle="1" w:styleId="213">
    <w:name w:val="Заголовок 2 Знак1"/>
    <w:basedOn w:val="a3"/>
    <w:uiPriority w:val="9"/>
    <w:semiHidden/>
    <w:rsid w:val="00171147"/>
    <w:rPr>
      <w:rFonts w:asciiTheme="majorHAnsi" w:eastAsiaTheme="majorEastAsia" w:hAnsiTheme="majorHAnsi" w:cstheme="majorBidi"/>
      <w:b/>
      <w:bCs/>
      <w:color w:val="5B9BD5" w:themeColor="accent1"/>
      <w:sz w:val="26"/>
      <w:szCs w:val="26"/>
    </w:rPr>
  </w:style>
  <w:style w:type="character" w:customStyle="1" w:styleId="313">
    <w:name w:val="Заголовок 3 Знак1"/>
    <w:basedOn w:val="a3"/>
    <w:uiPriority w:val="9"/>
    <w:semiHidden/>
    <w:rsid w:val="00171147"/>
    <w:rPr>
      <w:rFonts w:asciiTheme="majorHAnsi" w:eastAsiaTheme="majorEastAsia" w:hAnsiTheme="majorHAnsi" w:cstheme="majorBidi"/>
      <w:b/>
      <w:bCs/>
      <w:color w:val="5B9BD5" w:themeColor="accent1"/>
    </w:rPr>
  </w:style>
  <w:style w:type="character" w:customStyle="1" w:styleId="212pt">
    <w:name w:val="Основной текст (2) + 12 pt"/>
    <w:basedOn w:val="a3"/>
    <w:rsid w:val="00171147"/>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44">
    <w:name w:val="4 Приложения ЛП"/>
    <w:basedOn w:val="10"/>
    <w:link w:val="45"/>
    <w:qFormat/>
    <w:rsid w:val="00687A6A"/>
    <w:pPr>
      <w:autoSpaceDE/>
      <w:autoSpaceDN/>
      <w:adjustRightInd/>
      <w:spacing w:before="0" w:after="200"/>
      <w:ind w:left="62"/>
      <w:jc w:val="right"/>
    </w:pPr>
    <w:rPr>
      <w:rFonts w:ascii="Times New Roman" w:hAnsi="Times New Roman"/>
      <w:bCs w:val="0"/>
      <w:i/>
      <w:color w:val="auto"/>
      <w:lang w:eastAsia="ru-RU"/>
    </w:rPr>
  </w:style>
  <w:style w:type="character" w:customStyle="1" w:styleId="45">
    <w:name w:val="4 Приложения ЛП Знак"/>
    <w:link w:val="44"/>
    <w:rsid w:val="00687A6A"/>
    <w:rPr>
      <w:rFonts w:ascii="Times New Roman" w:eastAsia="Times New Roman" w:hAnsi="Times New Roman"/>
      <w:b/>
      <w:i/>
      <w:sz w:val="24"/>
      <w:szCs w:val="24"/>
      <w:lang w:val="x-none"/>
    </w:rPr>
  </w:style>
  <w:style w:type="paragraph" w:customStyle="1" w:styleId="pboth">
    <w:name w:val="pboth"/>
    <w:basedOn w:val="a2"/>
    <w:rsid w:val="00687A6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onsPlusNonformat0">
    <w:name w:val="ConsPlusNonformat Знак"/>
    <w:link w:val="ConsPlusNonformat"/>
    <w:locked/>
    <w:rsid w:val="009C1C2B"/>
    <w:rPr>
      <w:rFonts w:ascii="Courier New" w:eastAsia="Times New Roman" w:hAnsi="Courier New" w:cs="Courier New"/>
    </w:rPr>
  </w:style>
  <w:style w:type="character" w:customStyle="1" w:styleId="2d">
    <w:name w:val="Основной текст (2) + Курсив"/>
    <w:basedOn w:val="a3"/>
    <w:rsid w:val="00A62497"/>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pt">
    <w:name w:val="Основной текст (2) + 9 pt;Курсив"/>
    <w:basedOn w:val="a3"/>
    <w:rsid w:val="001E1920"/>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295pt">
    <w:name w:val="Основной текст (2) + 9;5 pt"/>
    <w:basedOn w:val="a3"/>
    <w:rsid w:val="001E192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36920">
      <w:bodyDiv w:val="1"/>
      <w:marLeft w:val="0"/>
      <w:marRight w:val="0"/>
      <w:marTop w:val="0"/>
      <w:marBottom w:val="0"/>
      <w:divBdr>
        <w:top w:val="none" w:sz="0" w:space="0" w:color="auto"/>
        <w:left w:val="none" w:sz="0" w:space="0" w:color="auto"/>
        <w:bottom w:val="none" w:sz="0" w:space="0" w:color="auto"/>
        <w:right w:val="none" w:sz="0" w:space="0" w:color="auto"/>
      </w:divBdr>
    </w:div>
    <w:div w:id="68768572">
      <w:bodyDiv w:val="1"/>
      <w:marLeft w:val="0"/>
      <w:marRight w:val="0"/>
      <w:marTop w:val="0"/>
      <w:marBottom w:val="0"/>
      <w:divBdr>
        <w:top w:val="none" w:sz="0" w:space="0" w:color="auto"/>
        <w:left w:val="none" w:sz="0" w:space="0" w:color="auto"/>
        <w:bottom w:val="none" w:sz="0" w:space="0" w:color="auto"/>
        <w:right w:val="none" w:sz="0" w:space="0" w:color="auto"/>
      </w:divBdr>
    </w:div>
    <w:div w:id="76102827">
      <w:bodyDiv w:val="1"/>
      <w:marLeft w:val="0"/>
      <w:marRight w:val="0"/>
      <w:marTop w:val="0"/>
      <w:marBottom w:val="0"/>
      <w:divBdr>
        <w:top w:val="none" w:sz="0" w:space="0" w:color="auto"/>
        <w:left w:val="none" w:sz="0" w:space="0" w:color="auto"/>
        <w:bottom w:val="none" w:sz="0" w:space="0" w:color="auto"/>
        <w:right w:val="none" w:sz="0" w:space="0" w:color="auto"/>
      </w:divBdr>
    </w:div>
    <w:div w:id="94598982">
      <w:bodyDiv w:val="1"/>
      <w:marLeft w:val="0"/>
      <w:marRight w:val="0"/>
      <w:marTop w:val="0"/>
      <w:marBottom w:val="0"/>
      <w:divBdr>
        <w:top w:val="none" w:sz="0" w:space="0" w:color="auto"/>
        <w:left w:val="none" w:sz="0" w:space="0" w:color="auto"/>
        <w:bottom w:val="none" w:sz="0" w:space="0" w:color="auto"/>
        <w:right w:val="none" w:sz="0" w:space="0" w:color="auto"/>
      </w:divBdr>
    </w:div>
    <w:div w:id="180705159">
      <w:bodyDiv w:val="1"/>
      <w:marLeft w:val="0"/>
      <w:marRight w:val="0"/>
      <w:marTop w:val="0"/>
      <w:marBottom w:val="0"/>
      <w:divBdr>
        <w:top w:val="none" w:sz="0" w:space="0" w:color="auto"/>
        <w:left w:val="none" w:sz="0" w:space="0" w:color="auto"/>
        <w:bottom w:val="none" w:sz="0" w:space="0" w:color="auto"/>
        <w:right w:val="none" w:sz="0" w:space="0" w:color="auto"/>
      </w:divBdr>
    </w:div>
    <w:div w:id="195168578">
      <w:bodyDiv w:val="1"/>
      <w:marLeft w:val="0"/>
      <w:marRight w:val="0"/>
      <w:marTop w:val="0"/>
      <w:marBottom w:val="0"/>
      <w:divBdr>
        <w:top w:val="none" w:sz="0" w:space="0" w:color="auto"/>
        <w:left w:val="none" w:sz="0" w:space="0" w:color="auto"/>
        <w:bottom w:val="none" w:sz="0" w:space="0" w:color="auto"/>
        <w:right w:val="none" w:sz="0" w:space="0" w:color="auto"/>
      </w:divBdr>
    </w:div>
    <w:div w:id="204172781">
      <w:bodyDiv w:val="1"/>
      <w:marLeft w:val="0"/>
      <w:marRight w:val="0"/>
      <w:marTop w:val="0"/>
      <w:marBottom w:val="0"/>
      <w:divBdr>
        <w:top w:val="none" w:sz="0" w:space="0" w:color="auto"/>
        <w:left w:val="none" w:sz="0" w:space="0" w:color="auto"/>
        <w:bottom w:val="none" w:sz="0" w:space="0" w:color="auto"/>
        <w:right w:val="none" w:sz="0" w:space="0" w:color="auto"/>
      </w:divBdr>
    </w:div>
    <w:div w:id="273094755">
      <w:bodyDiv w:val="1"/>
      <w:marLeft w:val="0"/>
      <w:marRight w:val="0"/>
      <w:marTop w:val="0"/>
      <w:marBottom w:val="0"/>
      <w:divBdr>
        <w:top w:val="none" w:sz="0" w:space="0" w:color="auto"/>
        <w:left w:val="none" w:sz="0" w:space="0" w:color="auto"/>
        <w:bottom w:val="none" w:sz="0" w:space="0" w:color="auto"/>
        <w:right w:val="none" w:sz="0" w:space="0" w:color="auto"/>
      </w:divBdr>
    </w:div>
    <w:div w:id="293754352">
      <w:bodyDiv w:val="1"/>
      <w:marLeft w:val="0"/>
      <w:marRight w:val="0"/>
      <w:marTop w:val="0"/>
      <w:marBottom w:val="0"/>
      <w:divBdr>
        <w:top w:val="none" w:sz="0" w:space="0" w:color="auto"/>
        <w:left w:val="none" w:sz="0" w:space="0" w:color="auto"/>
        <w:bottom w:val="none" w:sz="0" w:space="0" w:color="auto"/>
        <w:right w:val="none" w:sz="0" w:space="0" w:color="auto"/>
      </w:divBdr>
    </w:div>
    <w:div w:id="379861299">
      <w:bodyDiv w:val="1"/>
      <w:marLeft w:val="0"/>
      <w:marRight w:val="0"/>
      <w:marTop w:val="0"/>
      <w:marBottom w:val="0"/>
      <w:divBdr>
        <w:top w:val="none" w:sz="0" w:space="0" w:color="auto"/>
        <w:left w:val="none" w:sz="0" w:space="0" w:color="auto"/>
        <w:bottom w:val="none" w:sz="0" w:space="0" w:color="auto"/>
        <w:right w:val="none" w:sz="0" w:space="0" w:color="auto"/>
      </w:divBdr>
    </w:div>
    <w:div w:id="410587328">
      <w:bodyDiv w:val="1"/>
      <w:marLeft w:val="0"/>
      <w:marRight w:val="0"/>
      <w:marTop w:val="0"/>
      <w:marBottom w:val="0"/>
      <w:divBdr>
        <w:top w:val="none" w:sz="0" w:space="0" w:color="auto"/>
        <w:left w:val="none" w:sz="0" w:space="0" w:color="auto"/>
        <w:bottom w:val="none" w:sz="0" w:space="0" w:color="auto"/>
        <w:right w:val="none" w:sz="0" w:space="0" w:color="auto"/>
      </w:divBdr>
    </w:div>
    <w:div w:id="416943472">
      <w:bodyDiv w:val="1"/>
      <w:marLeft w:val="0"/>
      <w:marRight w:val="0"/>
      <w:marTop w:val="0"/>
      <w:marBottom w:val="0"/>
      <w:divBdr>
        <w:top w:val="none" w:sz="0" w:space="0" w:color="auto"/>
        <w:left w:val="none" w:sz="0" w:space="0" w:color="auto"/>
        <w:bottom w:val="none" w:sz="0" w:space="0" w:color="auto"/>
        <w:right w:val="none" w:sz="0" w:space="0" w:color="auto"/>
      </w:divBdr>
    </w:div>
    <w:div w:id="427390393">
      <w:bodyDiv w:val="1"/>
      <w:marLeft w:val="0"/>
      <w:marRight w:val="0"/>
      <w:marTop w:val="0"/>
      <w:marBottom w:val="0"/>
      <w:divBdr>
        <w:top w:val="none" w:sz="0" w:space="0" w:color="auto"/>
        <w:left w:val="none" w:sz="0" w:space="0" w:color="auto"/>
        <w:bottom w:val="none" w:sz="0" w:space="0" w:color="auto"/>
        <w:right w:val="none" w:sz="0" w:space="0" w:color="auto"/>
      </w:divBdr>
    </w:div>
    <w:div w:id="446121561">
      <w:bodyDiv w:val="1"/>
      <w:marLeft w:val="0"/>
      <w:marRight w:val="0"/>
      <w:marTop w:val="0"/>
      <w:marBottom w:val="0"/>
      <w:divBdr>
        <w:top w:val="none" w:sz="0" w:space="0" w:color="auto"/>
        <w:left w:val="none" w:sz="0" w:space="0" w:color="auto"/>
        <w:bottom w:val="none" w:sz="0" w:space="0" w:color="auto"/>
        <w:right w:val="none" w:sz="0" w:space="0" w:color="auto"/>
      </w:divBdr>
    </w:div>
    <w:div w:id="543634948">
      <w:bodyDiv w:val="1"/>
      <w:marLeft w:val="0"/>
      <w:marRight w:val="0"/>
      <w:marTop w:val="0"/>
      <w:marBottom w:val="0"/>
      <w:divBdr>
        <w:top w:val="none" w:sz="0" w:space="0" w:color="auto"/>
        <w:left w:val="none" w:sz="0" w:space="0" w:color="auto"/>
        <w:bottom w:val="none" w:sz="0" w:space="0" w:color="auto"/>
        <w:right w:val="none" w:sz="0" w:space="0" w:color="auto"/>
      </w:divBdr>
    </w:div>
    <w:div w:id="553395190">
      <w:bodyDiv w:val="1"/>
      <w:marLeft w:val="0"/>
      <w:marRight w:val="0"/>
      <w:marTop w:val="0"/>
      <w:marBottom w:val="0"/>
      <w:divBdr>
        <w:top w:val="none" w:sz="0" w:space="0" w:color="auto"/>
        <w:left w:val="none" w:sz="0" w:space="0" w:color="auto"/>
        <w:bottom w:val="none" w:sz="0" w:space="0" w:color="auto"/>
        <w:right w:val="none" w:sz="0" w:space="0" w:color="auto"/>
      </w:divBdr>
    </w:div>
    <w:div w:id="557976818">
      <w:bodyDiv w:val="1"/>
      <w:marLeft w:val="0"/>
      <w:marRight w:val="0"/>
      <w:marTop w:val="0"/>
      <w:marBottom w:val="0"/>
      <w:divBdr>
        <w:top w:val="none" w:sz="0" w:space="0" w:color="auto"/>
        <w:left w:val="none" w:sz="0" w:space="0" w:color="auto"/>
        <w:bottom w:val="none" w:sz="0" w:space="0" w:color="auto"/>
        <w:right w:val="none" w:sz="0" w:space="0" w:color="auto"/>
      </w:divBdr>
    </w:div>
    <w:div w:id="572351589">
      <w:bodyDiv w:val="1"/>
      <w:marLeft w:val="0"/>
      <w:marRight w:val="0"/>
      <w:marTop w:val="0"/>
      <w:marBottom w:val="0"/>
      <w:divBdr>
        <w:top w:val="none" w:sz="0" w:space="0" w:color="auto"/>
        <w:left w:val="none" w:sz="0" w:space="0" w:color="auto"/>
        <w:bottom w:val="none" w:sz="0" w:space="0" w:color="auto"/>
        <w:right w:val="none" w:sz="0" w:space="0" w:color="auto"/>
      </w:divBdr>
    </w:div>
    <w:div w:id="630748075">
      <w:bodyDiv w:val="1"/>
      <w:marLeft w:val="0"/>
      <w:marRight w:val="0"/>
      <w:marTop w:val="0"/>
      <w:marBottom w:val="0"/>
      <w:divBdr>
        <w:top w:val="none" w:sz="0" w:space="0" w:color="auto"/>
        <w:left w:val="none" w:sz="0" w:space="0" w:color="auto"/>
        <w:bottom w:val="none" w:sz="0" w:space="0" w:color="auto"/>
        <w:right w:val="none" w:sz="0" w:space="0" w:color="auto"/>
      </w:divBdr>
    </w:div>
    <w:div w:id="638269176">
      <w:bodyDiv w:val="1"/>
      <w:marLeft w:val="0"/>
      <w:marRight w:val="0"/>
      <w:marTop w:val="0"/>
      <w:marBottom w:val="0"/>
      <w:divBdr>
        <w:top w:val="none" w:sz="0" w:space="0" w:color="auto"/>
        <w:left w:val="none" w:sz="0" w:space="0" w:color="auto"/>
        <w:bottom w:val="none" w:sz="0" w:space="0" w:color="auto"/>
        <w:right w:val="none" w:sz="0" w:space="0" w:color="auto"/>
      </w:divBdr>
    </w:div>
    <w:div w:id="680010673">
      <w:bodyDiv w:val="1"/>
      <w:marLeft w:val="0"/>
      <w:marRight w:val="0"/>
      <w:marTop w:val="0"/>
      <w:marBottom w:val="0"/>
      <w:divBdr>
        <w:top w:val="none" w:sz="0" w:space="0" w:color="auto"/>
        <w:left w:val="none" w:sz="0" w:space="0" w:color="auto"/>
        <w:bottom w:val="none" w:sz="0" w:space="0" w:color="auto"/>
        <w:right w:val="none" w:sz="0" w:space="0" w:color="auto"/>
      </w:divBdr>
    </w:div>
    <w:div w:id="727844146">
      <w:bodyDiv w:val="1"/>
      <w:marLeft w:val="0"/>
      <w:marRight w:val="0"/>
      <w:marTop w:val="0"/>
      <w:marBottom w:val="0"/>
      <w:divBdr>
        <w:top w:val="none" w:sz="0" w:space="0" w:color="auto"/>
        <w:left w:val="none" w:sz="0" w:space="0" w:color="auto"/>
        <w:bottom w:val="none" w:sz="0" w:space="0" w:color="auto"/>
        <w:right w:val="none" w:sz="0" w:space="0" w:color="auto"/>
      </w:divBdr>
    </w:div>
    <w:div w:id="729959509">
      <w:bodyDiv w:val="1"/>
      <w:marLeft w:val="0"/>
      <w:marRight w:val="0"/>
      <w:marTop w:val="0"/>
      <w:marBottom w:val="0"/>
      <w:divBdr>
        <w:top w:val="none" w:sz="0" w:space="0" w:color="auto"/>
        <w:left w:val="none" w:sz="0" w:space="0" w:color="auto"/>
        <w:bottom w:val="none" w:sz="0" w:space="0" w:color="auto"/>
        <w:right w:val="none" w:sz="0" w:space="0" w:color="auto"/>
      </w:divBdr>
    </w:div>
    <w:div w:id="757334369">
      <w:bodyDiv w:val="1"/>
      <w:marLeft w:val="0"/>
      <w:marRight w:val="0"/>
      <w:marTop w:val="0"/>
      <w:marBottom w:val="0"/>
      <w:divBdr>
        <w:top w:val="none" w:sz="0" w:space="0" w:color="auto"/>
        <w:left w:val="none" w:sz="0" w:space="0" w:color="auto"/>
        <w:bottom w:val="none" w:sz="0" w:space="0" w:color="auto"/>
        <w:right w:val="none" w:sz="0" w:space="0" w:color="auto"/>
      </w:divBdr>
    </w:div>
    <w:div w:id="800416414">
      <w:bodyDiv w:val="1"/>
      <w:marLeft w:val="0"/>
      <w:marRight w:val="0"/>
      <w:marTop w:val="0"/>
      <w:marBottom w:val="0"/>
      <w:divBdr>
        <w:top w:val="none" w:sz="0" w:space="0" w:color="auto"/>
        <w:left w:val="none" w:sz="0" w:space="0" w:color="auto"/>
        <w:bottom w:val="none" w:sz="0" w:space="0" w:color="auto"/>
        <w:right w:val="none" w:sz="0" w:space="0" w:color="auto"/>
      </w:divBdr>
    </w:div>
    <w:div w:id="801196878">
      <w:bodyDiv w:val="1"/>
      <w:marLeft w:val="0"/>
      <w:marRight w:val="0"/>
      <w:marTop w:val="0"/>
      <w:marBottom w:val="0"/>
      <w:divBdr>
        <w:top w:val="none" w:sz="0" w:space="0" w:color="auto"/>
        <w:left w:val="none" w:sz="0" w:space="0" w:color="auto"/>
        <w:bottom w:val="none" w:sz="0" w:space="0" w:color="auto"/>
        <w:right w:val="none" w:sz="0" w:space="0" w:color="auto"/>
      </w:divBdr>
    </w:div>
    <w:div w:id="816991621">
      <w:bodyDiv w:val="1"/>
      <w:marLeft w:val="0"/>
      <w:marRight w:val="0"/>
      <w:marTop w:val="0"/>
      <w:marBottom w:val="0"/>
      <w:divBdr>
        <w:top w:val="none" w:sz="0" w:space="0" w:color="auto"/>
        <w:left w:val="none" w:sz="0" w:space="0" w:color="auto"/>
        <w:bottom w:val="none" w:sz="0" w:space="0" w:color="auto"/>
        <w:right w:val="none" w:sz="0" w:space="0" w:color="auto"/>
      </w:divBdr>
    </w:div>
    <w:div w:id="817645699">
      <w:bodyDiv w:val="1"/>
      <w:marLeft w:val="0"/>
      <w:marRight w:val="0"/>
      <w:marTop w:val="0"/>
      <w:marBottom w:val="0"/>
      <w:divBdr>
        <w:top w:val="none" w:sz="0" w:space="0" w:color="auto"/>
        <w:left w:val="none" w:sz="0" w:space="0" w:color="auto"/>
        <w:bottom w:val="none" w:sz="0" w:space="0" w:color="auto"/>
        <w:right w:val="none" w:sz="0" w:space="0" w:color="auto"/>
      </w:divBdr>
    </w:div>
    <w:div w:id="841818706">
      <w:bodyDiv w:val="1"/>
      <w:marLeft w:val="0"/>
      <w:marRight w:val="0"/>
      <w:marTop w:val="0"/>
      <w:marBottom w:val="0"/>
      <w:divBdr>
        <w:top w:val="none" w:sz="0" w:space="0" w:color="auto"/>
        <w:left w:val="none" w:sz="0" w:space="0" w:color="auto"/>
        <w:bottom w:val="none" w:sz="0" w:space="0" w:color="auto"/>
        <w:right w:val="none" w:sz="0" w:space="0" w:color="auto"/>
      </w:divBdr>
    </w:div>
    <w:div w:id="1016691980">
      <w:bodyDiv w:val="1"/>
      <w:marLeft w:val="0"/>
      <w:marRight w:val="0"/>
      <w:marTop w:val="0"/>
      <w:marBottom w:val="0"/>
      <w:divBdr>
        <w:top w:val="none" w:sz="0" w:space="0" w:color="auto"/>
        <w:left w:val="none" w:sz="0" w:space="0" w:color="auto"/>
        <w:bottom w:val="none" w:sz="0" w:space="0" w:color="auto"/>
        <w:right w:val="none" w:sz="0" w:space="0" w:color="auto"/>
      </w:divBdr>
    </w:div>
    <w:div w:id="1077050432">
      <w:bodyDiv w:val="1"/>
      <w:marLeft w:val="0"/>
      <w:marRight w:val="0"/>
      <w:marTop w:val="0"/>
      <w:marBottom w:val="0"/>
      <w:divBdr>
        <w:top w:val="none" w:sz="0" w:space="0" w:color="auto"/>
        <w:left w:val="none" w:sz="0" w:space="0" w:color="auto"/>
        <w:bottom w:val="none" w:sz="0" w:space="0" w:color="auto"/>
        <w:right w:val="none" w:sz="0" w:space="0" w:color="auto"/>
      </w:divBdr>
    </w:div>
    <w:div w:id="1168473476">
      <w:bodyDiv w:val="1"/>
      <w:marLeft w:val="0"/>
      <w:marRight w:val="0"/>
      <w:marTop w:val="0"/>
      <w:marBottom w:val="0"/>
      <w:divBdr>
        <w:top w:val="none" w:sz="0" w:space="0" w:color="auto"/>
        <w:left w:val="none" w:sz="0" w:space="0" w:color="auto"/>
        <w:bottom w:val="none" w:sz="0" w:space="0" w:color="auto"/>
        <w:right w:val="none" w:sz="0" w:space="0" w:color="auto"/>
      </w:divBdr>
    </w:div>
    <w:div w:id="1187326524">
      <w:bodyDiv w:val="1"/>
      <w:marLeft w:val="0"/>
      <w:marRight w:val="0"/>
      <w:marTop w:val="0"/>
      <w:marBottom w:val="0"/>
      <w:divBdr>
        <w:top w:val="none" w:sz="0" w:space="0" w:color="auto"/>
        <w:left w:val="none" w:sz="0" w:space="0" w:color="auto"/>
        <w:bottom w:val="none" w:sz="0" w:space="0" w:color="auto"/>
        <w:right w:val="none" w:sz="0" w:space="0" w:color="auto"/>
      </w:divBdr>
    </w:div>
    <w:div w:id="1188635441">
      <w:bodyDiv w:val="1"/>
      <w:marLeft w:val="0"/>
      <w:marRight w:val="0"/>
      <w:marTop w:val="0"/>
      <w:marBottom w:val="0"/>
      <w:divBdr>
        <w:top w:val="none" w:sz="0" w:space="0" w:color="auto"/>
        <w:left w:val="none" w:sz="0" w:space="0" w:color="auto"/>
        <w:bottom w:val="none" w:sz="0" w:space="0" w:color="auto"/>
        <w:right w:val="none" w:sz="0" w:space="0" w:color="auto"/>
      </w:divBdr>
    </w:div>
    <w:div w:id="1214580637">
      <w:bodyDiv w:val="1"/>
      <w:marLeft w:val="0"/>
      <w:marRight w:val="0"/>
      <w:marTop w:val="0"/>
      <w:marBottom w:val="0"/>
      <w:divBdr>
        <w:top w:val="none" w:sz="0" w:space="0" w:color="auto"/>
        <w:left w:val="none" w:sz="0" w:space="0" w:color="auto"/>
        <w:bottom w:val="none" w:sz="0" w:space="0" w:color="auto"/>
        <w:right w:val="none" w:sz="0" w:space="0" w:color="auto"/>
      </w:divBdr>
    </w:div>
    <w:div w:id="1249342122">
      <w:bodyDiv w:val="1"/>
      <w:marLeft w:val="0"/>
      <w:marRight w:val="0"/>
      <w:marTop w:val="0"/>
      <w:marBottom w:val="0"/>
      <w:divBdr>
        <w:top w:val="none" w:sz="0" w:space="0" w:color="auto"/>
        <w:left w:val="none" w:sz="0" w:space="0" w:color="auto"/>
        <w:bottom w:val="none" w:sz="0" w:space="0" w:color="auto"/>
        <w:right w:val="none" w:sz="0" w:space="0" w:color="auto"/>
      </w:divBdr>
    </w:div>
    <w:div w:id="1272084856">
      <w:bodyDiv w:val="1"/>
      <w:marLeft w:val="0"/>
      <w:marRight w:val="0"/>
      <w:marTop w:val="0"/>
      <w:marBottom w:val="0"/>
      <w:divBdr>
        <w:top w:val="none" w:sz="0" w:space="0" w:color="auto"/>
        <w:left w:val="none" w:sz="0" w:space="0" w:color="auto"/>
        <w:bottom w:val="none" w:sz="0" w:space="0" w:color="auto"/>
        <w:right w:val="none" w:sz="0" w:space="0" w:color="auto"/>
      </w:divBdr>
    </w:div>
    <w:div w:id="1277568179">
      <w:bodyDiv w:val="1"/>
      <w:marLeft w:val="0"/>
      <w:marRight w:val="0"/>
      <w:marTop w:val="0"/>
      <w:marBottom w:val="0"/>
      <w:divBdr>
        <w:top w:val="none" w:sz="0" w:space="0" w:color="auto"/>
        <w:left w:val="none" w:sz="0" w:space="0" w:color="auto"/>
        <w:bottom w:val="none" w:sz="0" w:space="0" w:color="auto"/>
        <w:right w:val="none" w:sz="0" w:space="0" w:color="auto"/>
      </w:divBdr>
    </w:div>
    <w:div w:id="1278559213">
      <w:bodyDiv w:val="1"/>
      <w:marLeft w:val="0"/>
      <w:marRight w:val="0"/>
      <w:marTop w:val="0"/>
      <w:marBottom w:val="0"/>
      <w:divBdr>
        <w:top w:val="none" w:sz="0" w:space="0" w:color="auto"/>
        <w:left w:val="none" w:sz="0" w:space="0" w:color="auto"/>
        <w:bottom w:val="none" w:sz="0" w:space="0" w:color="auto"/>
        <w:right w:val="none" w:sz="0" w:space="0" w:color="auto"/>
      </w:divBdr>
    </w:div>
    <w:div w:id="1331056678">
      <w:bodyDiv w:val="1"/>
      <w:marLeft w:val="0"/>
      <w:marRight w:val="0"/>
      <w:marTop w:val="0"/>
      <w:marBottom w:val="0"/>
      <w:divBdr>
        <w:top w:val="none" w:sz="0" w:space="0" w:color="auto"/>
        <w:left w:val="none" w:sz="0" w:space="0" w:color="auto"/>
        <w:bottom w:val="none" w:sz="0" w:space="0" w:color="auto"/>
        <w:right w:val="none" w:sz="0" w:space="0" w:color="auto"/>
      </w:divBdr>
    </w:div>
    <w:div w:id="1358041649">
      <w:bodyDiv w:val="1"/>
      <w:marLeft w:val="0"/>
      <w:marRight w:val="0"/>
      <w:marTop w:val="0"/>
      <w:marBottom w:val="0"/>
      <w:divBdr>
        <w:top w:val="none" w:sz="0" w:space="0" w:color="auto"/>
        <w:left w:val="none" w:sz="0" w:space="0" w:color="auto"/>
        <w:bottom w:val="none" w:sz="0" w:space="0" w:color="auto"/>
        <w:right w:val="none" w:sz="0" w:space="0" w:color="auto"/>
      </w:divBdr>
    </w:div>
    <w:div w:id="1386026658">
      <w:bodyDiv w:val="1"/>
      <w:marLeft w:val="0"/>
      <w:marRight w:val="0"/>
      <w:marTop w:val="0"/>
      <w:marBottom w:val="0"/>
      <w:divBdr>
        <w:top w:val="none" w:sz="0" w:space="0" w:color="auto"/>
        <w:left w:val="none" w:sz="0" w:space="0" w:color="auto"/>
        <w:bottom w:val="none" w:sz="0" w:space="0" w:color="auto"/>
        <w:right w:val="none" w:sz="0" w:space="0" w:color="auto"/>
      </w:divBdr>
    </w:div>
    <w:div w:id="1392268071">
      <w:bodyDiv w:val="1"/>
      <w:marLeft w:val="0"/>
      <w:marRight w:val="0"/>
      <w:marTop w:val="0"/>
      <w:marBottom w:val="0"/>
      <w:divBdr>
        <w:top w:val="none" w:sz="0" w:space="0" w:color="auto"/>
        <w:left w:val="none" w:sz="0" w:space="0" w:color="auto"/>
        <w:bottom w:val="none" w:sz="0" w:space="0" w:color="auto"/>
        <w:right w:val="none" w:sz="0" w:space="0" w:color="auto"/>
      </w:divBdr>
    </w:div>
    <w:div w:id="1512185981">
      <w:bodyDiv w:val="1"/>
      <w:marLeft w:val="0"/>
      <w:marRight w:val="0"/>
      <w:marTop w:val="0"/>
      <w:marBottom w:val="0"/>
      <w:divBdr>
        <w:top w:val="none" w:sz="0" w:space="0" w:color="auto"/>
        <w:left w:val="none" w:sz="0" w:space="0" w:color="auto"/>
        <w:bottom w:val="none" w:sz="0" w:space="0" w:color="auto"/>
        <w:right w:val="none" w:sz="0" w:space="0" w:color="auto"/>
      </w:divBdr>
    </w:div>
    <w:div w:id="1522208481">
      <w:bodyDiv w:val="1"/>
      <w:marLeft w:val="0"/>
      <w:marRight w:val="0"/>
      <w:marTop w:val="0"/>
      <w:marBottom w:val="0"/>
      <w:divBdr>
        <w:top w:val="none" w:sz="0" w:space="0" w:color="auto"/>
        <w:left w:val="none" w:sz="0" w:space="0" w:color="auto"/>
        <w:bottom w:val="none" w:sz="0" w:space="0" w:color="auto"/>
        <w:right w:val="none" w:sz="0" w:space="0" w:color="auto"/>
      </w:divBdr>
    </w:div>
    <w:div w:id="1552230246">
      <w:bodyDiv w:val="1"/>
      <w:marLeft w:val="0"/>
      <w:marRight w:val="0"/>
      <w:marTop w:val="0"/>
      <w:marBottom w:val="0"/>
      <w:divBdr>
        <w:top w:val="none" w:sz="0" w:space="0" w:color="auto"/>
        <w:left w:val="none" w:sz="0" w:space="0" w:color="auto"/>
        <w:bottom w:val="none" w:sz="0" w:space="0" w:color="auto"/>
        <w:right w:val="none" w:sz="0" w:space="0" w:color="auto"/>
      </w:divBdr>
    </w:div>
    <w:div w:id="1559245676">
      <w:bodyDiv w:val="1"/>
      <w:marLeft w:val="0"/>
      <w:marRight w:val="0"/>
      <w:marTop w:val="0"/>
      <w:marBottom w:val="0"/>
      <w:divBdr>
        <w:top w:val="none" w:sz="0" w:space="0" w:color="auto"/>
        <w:left w:val="none" w:sz="0" w:space="0" w:color="auto"/>
        <w:bottom w:val="none" w:sz="0" w:space="0" w:color="auto"/>
        <w:right w:val="none" w:sz="0" w:space="0" w:color="auto"/>
      </w:divBdr>
    </w:div>
    <w:div w:id="1562250273">
      <w:bodyDiv w:val="1"/>
      <w:marLeft w:val="0"/>
      <w:marRight w:val="0"/>
      <w:marTop w:val="0"/>
      <w:marBottom w:val="0"/>
      <w:divBdr>
        <w:top w:val="none" w:sz="0" w:space="0" w:color="auto"/>
        <w:left w:val="none" w:sz="0" w:space="0" w:color="auto"/>
        <w:bottom w:val="none" w:sz="0" w:space="0" w:color="auto"/>
        <w:right w:val="none" w:sz="0" w:space="0" w:color="auto"/>
      </w:divBdr>
    </w:div>
    <w:div w:id="1562669982">
      <w:bodyDiv w:val="1"/>
      <w:marLeft w:val="0"/>
      <w:marRight w:val="0"/>
      <w:marTop w:val="0"/>
      <w:marBottom w:val="0"/>
      <w:divBdr>
        <w:top w:val="none" w:sz="0" w:space="0" w:color="auto"/>
        <w:left w:val="none" w:sz="0" w:space="0" w:color="auto"/>
        <w:bottom w:val="none" w:sz="0" w:space="0" w:color="auto"/>
        <w:right w:val="none" w:sz="0" w:space="0" w:color="auto"/>
      </w:divBdr>
    </w:div>
    <w:div w:id="1576547982">
      <w:bodyDiv w:val="1"/>
      <w:marLeft w:val="0"/>
      <w:marRight w:val="0"/>
      <w:marTop w:val="0"/>
      <w:marBottom w:val="0"/>
      <w:divBdr>
        <w:top w:val="none" w:sz="0" w:space="0" w:color="auto"/>
        <w:left w:val="none" w:sz="0" w:space="0" w:color="auto"/>
        <w:bottom w:val="none" w:sz="0" w:space="0" w:color="auto"/>
        <w:right w:val="none" w:sz="0" w:space="0" w:color="auto"/>
      </w:divBdr>
    </w:div>
    <w:div w:id="1592155411">
      <w:bodyDiv w:val="1"/>
      <w:marLeft w:val="0"/>
      <w:marRight w:val="0"/>
      <w:marTop w:val="0"/>
      <w:marBottom w:val="0"/>
      <w:divBdr>
        <w:top w:val="none" w:sz="0" w:space="0" w:color="auto"/>
        <w:left w:val="none" w:sz="0" w:space="0" w:color="auto"/>
        <w:bottom w:val="none" w:sz="0" w:space="0" w:color="auto"/>
        <w:right w:val="none" w:sz="0" w:space="0" w:color="auto"/>
      </w:divBdr>
    </w:div>
    <w:div w:id="1605384831">
      <w:bodyDiv w:val="1"/>
      <w:marLeft w:val="0"/>
      <w:marRight w:val="0"/>
      <w:marTop w:val="0"/>
      <w:marBottom w:val="0"/>
      <w:divBdr>
        <w:top w:val="none" w:sz="0" w:space="0" w:color="auto"/>
        <w:left w:val="none" w:sz="0" w:space="0" w:color="auto"/>
        <w:bottom w:val="none" w:sz="0" w:space="0" w:color="auto"/>
        <w:right w:val="none" w:sz="0" w:space="0" w:color="auto"/>
      </w:divBdr>
    </w:div>
    <w:div w:id="1623805242">
      <w:bodyDiv w:val="1"/>
      <w:marLeft w:val="0"/>
      <w:marRight w:val="0"/>
      <w:marTop w:val="0"/>
      <w:marBottom w:val="0"/>
      <w:divBdr>
        <w:top w:val="none" w:sz="0" w:space="0" w:color="auto"/>
        <w:left w:val="none" w:sz="0" w:space="0" w:color="auto"/>
        <w:bottom w:val="none" w:sz="0" w:space="0" w:color="auto"/>
        <w:right w:val="none" w:sz="0" w:space="0" w:color="auto"/>
      </w:divBdr>
    </w:div>
    <w:div w:id="1634481208">
      <w:bodyDiv w:val="1"/>
      <w:marLeft w:val="0"/>
      <w:marRight w:val="0"/>
      <w:marTop w:val="0"/>
      <w:marBottom w:val="0"/>
      <w:divBdr>
        <w:top w:val="none" w:sz="0" w:space="0" w:color="auto"/>
        <w:left w:val="none" w:sz="0" w:space="0" w:color="auto"/>
        <w:bottom w:val="none" w:sz="0" w:space="0" w:color="auto"/>
        <w:right w:val="none" w:sz="0" w:space="0" w:color="auto"/>
      </w:divBdr>
    </w:div>
    <w:div w:id="1656034223">
      <w:bodyDiv w:val="1"/>
      <w:marLeft w:val="0"/>
      <w:marRight w:val="0"/>
      <w:marTop w:val="0"/>
      <w:marBottom w:val="0"/>
      <w:divBdr>
        <w:top w:val="none" w:sz="0" w:space="0" w:color="auto"/>
        <w:left w:val="none" w:sz="0" w:space="0" w:color="auto"/>
        <w:bottom w:val="none" w:sz="0" w:space="0" w:color="auto"/>
        <w:right w:val="none" w:sz="0" w:space="0" w:color="auto"/>
      </w:divBdr>
    </w:div>
    <w:div w:id="1674914991">
      <w:bodyDiv w:val="1"/>
      <w:marLeft w:val="0"/>
      <w:marRight w:val="0"/>
      <w:marTop w:val="0"/>
      <w:marBottom w:val="0"/>
      <w:divBdr>
        <w:top w:val="none" w:sz="0" w:space="0" w:color="auto"/>
        <w:left w:val="none" w:sz="0" w:space="0" w:color="auto"/>
        <w:bottom w:val="none" w:sz="0" w:space="0" w:color="auto"/>
        <w:right w:val="none" w:sz="0" w:space="0" w:color="auto"/>
      </w:divBdr>
    </w:div>
    <w:div w:id="1694306948">
      <w:bodyDiv w:val="1"/>
      <w:marLeft w:val="0"/>
      <w:marRight w:val="0"/>
      <w:marTop w:val="0"/>
      <w:marBottom w:val="0"/>
      <w:divBdr>
        <w:top w:val="none" w:sz="0" w:space="0" w:color="auto"/>
        <w:left w:val="none" w:sz="0" w:space="0" w:color="auto"/>
        <w:bottom w:val="none" w:sz="0" w:space="0" w:color="auto"/>
        <w:right w:val="none" w:sz="0" w:space="0" w:color="auto"/>
      </w:divBdr>
    </w:div>
    <w:div w:id="1710566870">
      <w:bodyDiv w:val="1"/>
      <w:marLeft w:val="0"/>
      <w:marRight w:val="0"/>
      <w:marTop w:val="0"/>
      <w:marBottom w:val="0"/>
      <w:divBdr>
        <w:top w:val="none" w:sz="0" w:space="0" w:color="auto"/>
        <w:left w:val="none" w:sz="0" w:space="0" w:color="auto"/>
        <w:bottom w:val="none" w:sz="0" w:space="0" w:color="auto"/>
        <w:right w:val="none" w:sz="0" w:space="0" w:color="auto"/>
      </w:divBdr>
    </w:div>
    <w:div w:id="1712069131">
      <w:bodyDiv w:val="1"/>
      <w:marLeft w:val="0"/>
      <w:marRight w:val="0"/>
      <w:marTop w:val="0"/>
      <w:marBottom w:val="0"/>
      <w:divBdr>
        <w:top w:val="none" w:sz="0" w:space="0" w:color="auto"/>
        <w:left w:val="none" w:sz="0" w:space="0" w:color="auto"/>
        <w:bottom w:val="none" w:sz="0" w:space="0" w:color="auto"/>
        <w:right w:val="none" w:sz="0" w:space="0" w:color="auto"/>
      </w:divBdr>
    </w:div>
    <w:div w:id="1746490751">
      <w:bodyDiv w:val="1"/>
      <w:marLeft w:val="0"/>
      <w:marRight w:val="0"/>
      <w:marTop w:val="0"/>
      <w:marBottom w:val="0"/>
      <w:divBdr>
        <w:top w:val="none" w:sz="0" w:space="0" w:color="auto"/>
        <w:left w:val="none" w:sz="0" w:space="0" w:color="auto"/>
        <w:bottom w:val="none" w:sz="0" w:space="0" w:color="auto"/>
        <w:right w:val="none" w:sz="0" w:space="0" w:color="auto"/>
      </w:divBdr>
    </w:div>
    <w:div w:id="1750811828">
      <w:bodyDiv w:val="1"/>
      <w:marLeft w:val="0"/>
      <w:marRight w:val="0"/>
      <w:marTop w:val="0"/>
      <w:marBottom w:val="0"/>
      <w:divBdr>
        <w:top w:val="none" w:sz="0" w:space="0" w:color="auto"/>
        <w:left w:val="none" w:sz="0" w:space="0" w:color="auto"/>
        <w:bottom w:val="none" w:sz="0" w:space="0" w:color="auto"/>
        <w:right w:val="none" w:sz="0" w:space="0" w:color="auto"/>
      </w:divBdr>
    </w:div>
    <w:div w:id="1781560244">
      <w:bodyDiv w:val="1"/>
      <w:marLeft w:val="0"/>
      <w:marRight w:val="0"/>
      <w:marTop w:val="0"/>
      <w:marBottom w:val="0"/>
      <w:divBdr>
        <w:top w:val="none" w:sz="0" w:space="0" w:color="auto"/>
        <w:left w:val="none" w:sz="0" w:space="0" w:color="auto"/>
        <w:bottom w:val="none" w:sz="0" w:space="0" w:color="auto"/>
        <w:right w:val="none" w:sz="0" w:space="0" w:color="auto"/>
      </w:divBdr>
    </w:div>
    <w:div w:id="1797211333">
      <w:bodyDiv w:val="1"/>
      <w:marLeft w:val="0"/>
      <w:marRight w:val="0"/>
      <w:marTop w:val="0"/>
      <w:marBottom w:val="0"/>
      <w:divBdr>
        <w:top w:val="none" w:sz="0" w:space="0" w:color="auto"/>
        <w:left w:val="none" w:sz="0" w:space="0" w:color="auto"/>
        <w:bottom w:val="none" w:sz="0" w:space="0" w:color="auto"/>
        <w:right w:val="none" w:sz="0" w:space="0" w:color="auto"/>
      </w:divBdr>
    </w:div>
    <w:div w:id="1836993338">
      <w:bodyDiv w:val="1"/>
      <w:marLeft w:val="0"/>
      <w:marRight w:val="0"/>
      <w:marTop w:val="0"/>
      <w:marBottom w:val="0"/>
      <w:divBdr>
        <w:top w:val="none" w:sz="0" w:space="0" w:color="auto"/>
        <w:left w:val="none" w:sz="0" w:space="0" w:color="auto"/>
        <w:bottom w:val="none" w:sz="0" w:space="0" w:color="auto"/>
        <w:right w:val="none" w:sz="0" w:space="0" w:color="auto"/>
      </w:divBdr>
    </w:div>
    <w:div w:id="1839229083">
      <w:bodyDiv w:val="1"/>
      <w:marLeft w:val="0"/>
      <w:marRight w:val="0"/>
      <w:marTop w:val="0"/>
      <w:marBottom w:val="0"/>
      <w:divBdr>
        <w:top w:val="none" w:sz="0" w:space="0" w:color="auto"/>
        <w:left w:val="none" w:sz="0" w:space="0" w:color="auto"/>
        <w:bottom w:val="none" w:sz="0" w:space="0" w:color="auto"/>
        <w:right w:val="none" w:sz="0" w:space="0" w:color="auto"/>
      </w:divBdr>
    </w:div>
    <w:div w:id="1846549857">
      <w:bodyDiv w:val="1"/>
      <w:marLeft w:val="0"/>
      <w:marRight w:val="0"/>
      <w:marTop w:val="0"/>
      <w:marBottom w:val="0"/>
      <w:divBdr>
        <w:top w:val="none" w:sz="0" w:space="0" w:color="auto"/>
        <w:left w:val="none" w:sz="0" w:space="0" w:color="auto"/>
        <w:bottom w:val="none" w:sz="0" w:space="0" w:color="auto"/>
        <w:right w:val="none" w:sz="0" w:space="0" w:color="auto"/>
      </w:divBdr>
    </w:div>
    <w:div w:id="1848396708">
      <w:bodyDiv w:val="1"/>
      <w:marLeft w:val="0"/>
      <w:marRight w:val="0"/>
      <w:marTop w:val="0"/>
      <w:marBottom w:val="0"/>
      <w:divBdr>
        <w:top w:val="none" w:sz="0" w:space="0" w:color="auto"/>
        <w:left w:val="none" w:sz="0" w:space="0" w:color="auto"/>
        <w:bottom w:val="none" w:sz="0" w:space="0" w:color="auto"/>
        <w:right w:val="none" w:sz="0" w:space="0" w:color="auto"/>
      </w:divBdr>
    </w:div>
    <w:div w:id="1861235370">
      <w:bodyDiv w:val="1"/>
      <w:marLeft w:val="0"/>
      <w:marRight w:val="0"/>
      <w:marTop w:val="0"/>
      <w:marBottom w:val="0"/>
      <w:divBdr>
        <w:top w:val="none" w:sz="0" w:space="0" w:color="auto"/>
        <w:left w:val="none" w:sz="0" w:space="0" w:color="auto"/>
        <w:bottom w:val="none" w:sz="0" w:space="0" w:color="auto"/>
        <w:right w:val="none" w:sz="0" w:space="0" w:color="auto"/>
      </w:divBdr>
    </w:div>
    <w:div w:id="1898662151">
      <w:bodyDiv w:val="1"/>
      <w:marLeft w:val="0"/>
      <w:marRight w:val="0"/>
      <w:marTop w:val="0"/>
      <w:marBottom w:val="0"/>
      <w:divBdr>
        <w:top w:val="none" w:sz="0" w:space="0" w:color="auto"/>
        <w:left w:val="none" w:sz="0" w:space="0" w:color="auto"/>
        <w:bottom w:val="none" w:sz="0" w:space="0" w:color="auto"/>
        <w:right w:val="none" w:sz="0" w:space="0" w:color="auto"/>
      </w:divBdr>
    </w:div>
    <w:div w:id="1919095651">
      <w:bodyDiv w:val="1"/>
      <w:marLeft w:val="0"/>
      <w:marRight w:val="0"/>
      <w:marTop w:val="0"/>
      <w:marBottom w:val="0"/>
      <w:divBdr>
        <w:top w:val="none" w:sz="0" w:space="0" w:color="auto"/>
        <w:left w:val="none" w:sz="0" w:space="0" w:color="auto"/>
        <w:bottom w:val="none" w:sz="0" w:space="0" w:color="auto"/>
        <w:right w:val="none" w:sz="0" w:space="0" w:color="auto"/>
      </w:divBdr>
    </w:div>
    <w:div w:id="1922792042">
      <w:bodyDiv w:val="1"/>
      <w:marLeft w:val="0"/>
      <w:marRight w:val="0"/>
      <w:marTop w:val="0"/>
      <w:marBottom w:val="0"/>
      <w:divBdr>
        <w:top w:val="none" w:sz="0" w:space="0" w:color="auto"/>
        <w:left w:val="none" w:sz="0" w:space="0" w:color="auto"/>
        <w:bottom w:val="none" w:sz="0" w:space="0" w:color="auto"/>
        <w:right w:val="none" w:sz="0" w:space="0" w:color="auto"/>
      </w:divBdr>
    </w:div>
    <w:div w:id="1996836289">
      <w:bodyDiv w:val="1"/>
      <w:marLeft w:val="0"/>
      <w:marRight w:val="0"/>
      <w:marTop w:val="0"/>
      <w:marBottom w:val="0"/>
      <w:divBdr>
        <w:top w:val="none" w:sz="0" w:space="0" w:color="auto"/>
        <w:left w:val="none" w:sz="0" w:space="0" w:color="auto"/>
        <w:bottom w:val="none" w:sz="0" w:space="0" w:color="auto"/>
        <w:right w:val="none" w:sz="0" w:space="0" w:color="auto"/>
      </w:divBdr>
    </w:div>
    <w:div w:id="2006081490">
      <w:bodyDiv w:val="1"/>
      <w:marLeft w:val="0"/>
      <w:marRight w:val="0"/>
      <w:marTop w:val="0"/>
      <w:marBottom w:val="0"/>
      <w:divBdr>
        <w:top w:val="none" w:sz="0" w:space="0" w:color="auto"/>
        <w:left w:val="none" w:sz="0" w:space="0" w:color="auto"/>
        <w:bottom w:val="none" w:sz="0" w:space="0" w:color="auto"/>
        <w:right w:val="none" w:sz="0" w:space="0" w:color="auto"/>
      </w:divBdr>
    </w:div>
    <w:div w:id="2060471760">
      <w:bodyDiv w:val="1"/>
      <w:marLeft w:val="0"/>
      <w:marRight w:val="0"/>
      <w:marTop w:val="0"/>
      <w:marBottom w:val="0"/>
      <w:divBdr>
        <w:top w:val="none" w:sz="0" w:space="0" w:color="auto"/>
        <w:left w:val="none" w:sz="0" w:space="0" w:color="auto"/>
        <w:bottom w:val="none" w:sz="0" w:space="0" w:color="auto"/>
        <w:right w:val="none" w:sz="0" w:space="0" w:color="auto"/>
      </w:divBdr>
    </w:div>
    <w:div w:id="2113695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hyperlink" Target="consultantplus://offline/ref=0DCFD3A83DFC0F5ECEB91361E205E41CC22D39774BEA98E2E70D24E3C0BEB6FE3A866366D3C0FAB95757538C80E0B684F3CEB16A729E3C3F2FC8S2f3H" TargetMode="External"/><Relationship Id="rId138" Type="http://schemas.openxmlformats.org/officeDocument/2006/relationships/image" Target="media/image105.png"/><Relationship Id="rId107" Type="http://schemas.openxmlformats.org/officeDocument/2006/relationships/image" Target="media/image76.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hyperlink" Target="garantF1://25037700.2200" TargetMode="External"/><Relationship Id="rId128" Type="http://schemas.openxmlformats.org/officeDocument/2006/relationships/image" Target="media/image95.png"/><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71.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hyperlink" Target="garantF1://71795782.0" TargetMode="External"/><Relationship Id="rId113" Type="http://schemas.openxmlformats.org/officeDocument/2006/relationships/image" Target="media/image80.png"/><Relationship Id="rId118" Type="http://schemas.openxmlformats.org/officeDocument/2006/relationships/image" Target="media/image85.png"/><Relationship Id="rId134" Type="http://schemas.openxmlformats.org/officeDocument/2006/relationships/image" Target="media/image101.png"/><Relationship Id="rId139" Type="http://schemas.openxmlformats.org/officeDocument/2006/relationships/image" Target="media/image106.png"/><Relationship Id="rId80" Type="http://schemas.openxmlformats.org/officeDocument/2006/relationships/image" Target="media/image64.emf"/><Relationship Id="rId85" Type="http://schemas.openxmlformats.org/officeDocument/2006/relationships/image" Target="media/image68.png"/><Relationship Id="rId150"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hyperlink" Target="http://zakupki.gov.ru" TargetMode="External"/><Relationship Id="rId108" Type="http://schemas.openxmlformats.org/officeDocument/2006/relationships/image" Target="media/image77.png"/><Relationship Id="rId124" Type="http://schemas.openxmlformats.org/officeDocument/2006/relationships/image" Target="media/image91.png"/><Relationship Id="rId129" Type="http://schemas.openxmlformats.org/officeDocument/2006/relationships/image" Target="media/image96.png"/><Relationship Id="rId54" Type="http://schemas.openxmlformats.org/officeDocument/2006/relationships/image" Target="media/image46.png"/><Relationship Id="rId70" Type="http://schemas.openxmlformats.org/officeDocument/2006/relationships/hyperlink" Target="consultantplus://offline/ref=E7DF82B76EAE1D1863BEFB00A2FF9ADFF7C9233F2CBC97E21C982DC8591245E86AD67D23C5D692BB593BAC53CAD1A6FBCFCA36BAF1F688C14FAFEB3De4K2H" TargetMode="External"/><Relationship Id="rId75" Type="http://schemas.openxmlformats.org/officeDocument/2006/relationships/hyperlink" Target="garantF1://25037700.2300" TargetMode="External"/><Relationship Id="rId91" Type="http://schemas.openxmlformats.org/officeDocument/2006/relationships/hyperlink" Target="http://www.consultant.ru/document/cons_doc_LAW_342021/7c632c26936495b0dbb5bd4599a5ec39290cff26/" TargetMode="External"/><Relationship Id="rId96" Type="http://schemas.openxmlformats.org/officeDocument/2006/relationships/image" Target="media/image72.png"/><Relationship Id="rId140" Type="http://schemas.openxmlformats.org/officeDocument/2006/relationships/image" Target="media/image107.png"/><Relationship Id="rId145" Type="http://schemas.openxmlformats.org/officeDocument/2006/relationships/image" Target="media/image11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81.png"/><Relationship Id="rId119" Type="http://schemas.openxmlformats.org/officeDocument/2006/relationships/image" Target="media/image86.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65.png"/><Relationship Id="rId86" Type="http://schemas.openxmlformats.org/officeDocument/2006/relationships/image" Target="media/image69.png"/><Relationship Id="rId130" Type="http://schemas.openxmlformats.org/officeDocument/2006/relationships/image" Target="media/image97.png"/><Relationship Id="rId135" Type="http://schemas.openxmlformats.org/officeDocument/2006/relationships/image" Target="media/image10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yperlink" Target="https://kias.dvinaland.ru" TargetMode="Externa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0.png"/><Relationship Id="rId97" Type="http://schemas.openxmlformats.org/officeDocument/2006/relationships/image" Target="media/image73.png"/><Relationship Id="rId104" Type="http://schemas.openxmlformats.org/officeDocument/2006/relationships/hyperlink" Target="consultantplus://offline/ref=637B135D6EB3E8318DEC44ED10D042CDE1C0FEDDC4C075D3E93B182FCD73A6CA08301AC058F65FCC1F4B686F35695BB5983FC1F34FpBRFI" TargetMode="External"/><Relationship Id="rId120" Type="http://schemas.openxmlformats.org/officeDocument/2006/relationships/image" Target="media/image87.png"/><Relationship Id="rId125" Type="http://schemas.openxmlformats.org/officeDocument/2006/relationships/image" Target="media/image92.png"/><Relationship Id="rId141" Type="http://schemas.openxmlformats.org/officeDocument/2006/relationships/image" Target="media/image108.png"/><Relationship Id="rId146" Type="http://schemas.openxmlformats.org/officeDocument/2006/relationships/hyperlink" Target="http://www.bus.gov.ru" TargetMode="External"/><Relationship Id="rId7" Type="http://schemas.openxmlformats.org/officeDocument/2006/relationships/endnotes" Target="endnotes.xml"/><Relationship Id="rId71" Type="http://schemas.openxmlformats.org/officeDocument/2006/relationships/hyperlink" Target="consultantplus://offline/ref=4394601BEACCCC903100EF87FB7C7C060B246CC5107C5659995A666E89CE5720515B1CAAF9C6D65528305AH6M4O" TargetMode="External"/><Relationship Id="rId92" Type="http://schemas.openxmlformats.org/officeDocument/2006/relationships/hyperlink" Target="consultantplus://offline/ref=AB3D4AF1FD8FE380C329AF3F3056FC841209CAEDA7A0C1793E06A5854CDF8C49BBA5C0A8564FAAD08BF12B7FD81ABDAEC47915E704C770204120K"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hyperlink" Target="consultantplus://offline/ref=4394601BEACCCC903100EF87FB7C7C060B246CC5107C5659995A666E89CE5720515B1CAAF9C6D65528305AH6M4O" TargetMode="External"/><Relationship Id="rId110" Type="http://schemas.openxmlformats.org/officeDocument/2006/relationships/hyperlink" Target="https://arhangelskstat.gks.ru/" TargetMode="External"/><Relationship Id="rId115" Type="http://schemas.openxmlformats.org/officeDocument/2006/relationships/image" Target="media/image82.png"/><Relationship Id="rId131" Type="http://schemas.openxmlformats.org/officeDocument/2006/relationships/image" Target="media/image98.png"/><Relationship Id="rId136" Type="http://schemas.openxmlformats.org/officeDocument/2006/relationships/image" Target="media/image103.png"/><Relationship Id="rId61" Type="http://schemas.openxmlformats.org/officeDocument/2006/relationships/image" Target="media/image53.png"/><Relationship Id="rId82" Type="http://schemas.openxmlformats.org/officeDocument/2006/relationships/image" Target="media/image66.emf"/><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1.emf"/><Relationship Id="rId100" Type="http://schemas.openxmlformats.org/officeDocument/2006/relationships/hyperlink" Target="https://&#1080;&#1085;&#1076;&#1077;&#1082;&#1089;-&#1075;&#1086;&#1088;&#1086;&#1076;&#1086;&#1074;.&#1088;&#1092;/" TargetMode="External"/><Relationship Id="rId105" Type="http://schemas.openxmlformats.org/officeDocument/2006/relationships/hyperlink" Target="consultantplus://offline/ref=637B135D6EB3E8318DEC44ED10D042CDE1C1FEDEC3C575D3E93B182FCD73A6CA08301AC45FF7549846046933733E48B69B3FC2F250B4CDF7p4RCI" TargetMode="External"/><Relationship Id="rId126" Type="http://schemas.openxmlformats.org/officeDocument/2006/relationships/image" Target="media/image93.png"/><Relationship Id="rId147" Type="http://schemas.openxmlformats.org/officeDocument/2006/relationships/hyperlink" Target="http://www.bus.gov.ru"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chart" Target="charts/chart1.xml"/><Relationship Id="rId93" Type="http://schemas.openxmlformats.org/officeDocument/2006/relationships/hyperlink" Target="consultantplus://offline/ref=AB0B3F02DF27D3F1922BFA5241C8F15BBA4D8986A083CD63955C5AB2A16256F203FA6DA5D79C04EB47E44F0FA1E86B54BE1603C36733D4387AC5N" TargetMode="External"/><Relationship Id="rId98" Type="http://schemas.openxmlformats.org/officeDocument/2006/relationships/image" Target="media/image74.png"/><Relationship Id="rId121" Type="http://schemas.openxmlformats.org/officeDocument/2006/relationships/image" Target="media/image88.png"/><Relationship Id="rId142" Type="http://schemas.openxmlformats.org/officeDocument/2006/relationships/image" Target="media/image109.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83.png"/><Relationship Id="rId137" Type="http://schemas.openxmlformats.org/officeDocument/2006/relationships/image" Target="media/image104.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67.png"/><Relationship Id="rId88" Type="http://schemas.openxmlformats.org/officeDocument/2006/relationships/hyperlink" Target="consultantplus://offline/ref=4394601BEACCCC903100EF87FB7C7C060B246CC5107C5659995A666E89CE5720515B1CAAF9C6D65528305AH6M4O" TargetMode="External"/><Relationship Id="rId111" Type="http://schemas.openxmlformats.org/officeDocument/2006/relationships/image" Target="media/image78.png"/><Relationship Id="rId132" Type="http://schemas.openxmlformats.org/officeDocument/2006/relationships/image" Target="media/image99.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75.png"/><Relationship Id="rId127" Type="http://schemas.openxmlformats.org/officeDocument/2006/relationships/image" Target="media/image94.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hyperlink" Target="garantF1://25037700.21" TargetMode="External"/><Relationship Id="rId78"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hyperlink" Target="http://zakupki.gov.ru" TargetMode="External"/><Relationship Id="rId101" Type="http://schemas.openxmlformats.org/officeDocument/2006/relationships/hyperlink" Target="consultantplus://offline/ref=52CF0693F2CEC36DD0DEFD30C4EDD3A85C78693E18331ADE043404CF421F161C38C7B65A23F22F6A9AFB9CF515F30218B46960A5981DF7EE25E6CC47O8b2K" TargetMode="External"/><Relationship Id="rId122" Type="http://schemas.openxmlformats.org/officeDocument/2006/relationships/image" Target="media/image89.png"/><Relationship Id="rId143" Type="http://schemas.openxmlformats.org/officeDocument/2006/relationships/image" Target="media/image110.png"/><Relationship Id="rId14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upport@kspao.ru" TargetMode="Externa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hyperlink" Target="garantF1://71795782.1000" TargetMode="External"/><Relationship Id="rId89" Type="http://schemas.openxmlformats.org/officeDocument/2006/relationships/hyperlink" Target="consultantplus://offline/ref=4394601BEACCCC903100EF87FB7C7C060B246CC5107C5659995A666E89CE5720515B1CAAF9C6D65528305AH6M4O" TargetMode="External"/><Relationship Id="rId112" Type="http://schemas.openxmlformats.org/officeDocument/2006/relationships/image" Target="media/image79.png"/><Relationship Id="rId133" Type="http://schemas.openxmlformats.org/officeDocument/2006/relationships/image" Target="media/image100.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63.png"/><Relationship Id="rId102" Type="http://schemas.openxmlformats.org/officeDocument/2006/relationships/hyperlink" Target="consultantplus://offline/ref=52CF0693F2CEC36DD0DEFD30C4EDD3A85C78693E18331ADE043404CF421F161C38C7B65A23F22F6A9AFB93FA15F30218B46960A5981DF7EE25E6CC47O8b2K" TargetMode="External"/><Relationship Id="rId123" Type="http://schemas.openxmlformats.org/officeDocument/2006/relationships/image" Target="media/image90.png"/><Relationship Id="rId144" Type="http://schemas.openxmlformats.org/officeDocument/2006/relationships/image" Target="media/image111.png"/><Relationship Id="rId90" Type="http://schemas.openxmlformats.org/officeDocument/2006/relationships/hyperlink" Target="consultantplus://offline/ref=4394601BEACCCC903100EF87FB7C7C060B246CC5107C5659995A666E89CE5720515B1CAAF9C6D65528305AH6M4O"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finance.rambler.ru/realty/%2041559032-nazvany-7-prichin-podorozhaniya-zhilya-v-2019-godu/?updated" TargetMode="External"/><Relationship Id="rId13" Type="http://schemas.openxmlformats.org/officeDocument/2006/relationships/hyperlink" Target="https://www.fedstat.ru/indicator/43713" TargetMode="External"/><Relationship Id="rId18" Type="http://schemas.openxmlformats.org/officeDocument/2006/relationships/hyperlink" Target="https://bclass.ru/aktualno/biznes/severalmaz-yadro-ekonomiki-regiona/" TargetMode="External"/><Relationship Id="rId3" Type="http://schemas.openxmlformats.org/officeDocument/2006/relationships/hyperlink" Target="%20https://dvinaland.ru/gov/-jesz2wjg" TargetMode="External"/><Relationship Id="rId7" Type="http://schemas.openxmlformats.org/officeDocument/2006/relationships/hyperlink" Target="http://i-regions.org/press-sluzhba/novosti/pmef2019-moskva-tatarstan-i-tyumenskaya-oblast-pomenyalis-mestami-v-nacionalnom-rejtinge-investklimata" TargetMode="External"/><Relationship Id="rId12" Type="http://schemas.openxmlformats.org/officeDocument/2006/relationships/hyperlink" Target="https://www.gks.ru/free_doc/new_site/population/urov/urov_11sub.htm" TargetMode="External"/><Relationship Id="rId17" Type="http://schemas.openxmlformats.org/officeDocument/2006/relationships/hyperlink" Target="https://arhangelskstat.gks.ru/finance11001" TargetMode="External"/><Relationship Id="rId2" Type="http://schemas.openxmlformats.org/officeDocument/2006/relationships/hyperlink" Target="https://arhangelskstat.gks.ru/publication_arh" TargetMode="External"/><Relationship Id="rId16" Type="http://schemas.openxmlformats.org/officeDocument/2006/relationships/hyperlink" Target="http://riarating.ru/regions/20190219/630117442.html" TargetMode="External"/><Relationship Id="rId1" Type="http://schemas.openxmlformats.org/officeDocument/2006/relationships/hyperlink" Target="https://gks.ru/folder/11109/document/13260" TargetMode="External"/><Relationship Id="rId6" Type="http://schemas.openxmlformats.org/officeDocument/2006/relationships/hyperlink" Target="http://www.ra-national.ru/sites/default/files/" TargetMode="External"/><Relationship Id="rId11" Type="http://schemas.openxmlformats.org/officeDocument/2006/relationships/hyperlink" Target="https://dvinaland.ru/news/624038" TargetMode="External"/><Relationship Id="rId5" Type="http://schemas.openxmlformats.org/officeDocument/2006/relationships/hyperlink" Target="https://bclass.ru/biznes/kompanii/dochernee-predpriyatie-alrosa-o-rezultatakh-devyati-mesyatsev-raboty-v-2019-godu/" TargetMode="External"/><Relationship Id="rId15" Type="http://schemas.openxmlformats.org/officeDocument/2006/relationships/hyperlink" Target="https://www.pravmir.ru/%20bedneem-no-medlenno-eksperty-ob-otnositelnoj-absolyutnoj-i-subektivnoj-bednosti-v-rossii/" TargetMode="External"/><Relationship Id="rId10" Type="http://schemas.openxmlformats.org/officeDocument/2006/relationships/hyperlink" Target="https://dvinaland.ru/gov/-0v07su6d" TargetMode="External"/><Relationship Id="rId19" Type="http://schemas.openxmlformats.org/officeDocument/2006/relationships/hyperlink" Target="https://rfgf.ru/catalog/docview.php?did=8ab00d8d257af1f97aa0656e5b67a594" TargetMode="External"/><Relationship Id="rId4" Type="http://schemas.openxmlformats.org/officeDocument/2006/relationships/hyperlink" Target="https://dvinaland.ru/gov/governor/speech/789297" TargetMode="External"/><Relationship Id="rId9" Type="http://schemas.openxmlformats.org/officeDocument/2006/relationships/hyperlink" Target="%20https://dvinaland.ru/gov/-jesz2wjg" TargetMode="External"/><Relationship Id="rId14" Type="http://schemas.openxmlformats.org/officeDocument/2006/relationships/hyperlink" Target="https://www.rbc.ru/economics/17/07/2019/5d2f07959a79477db606e26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kachanova\&#1041;&#1102;&#1076;&#1078;&#1077;&#1090;%202019\&#1048;&#1057;&#1055;&#1054;&#1051;&#1053;&#1045;&#1053;&#1048;&#1045;%202019\&#1043;&#1055;%20&#1056;&#1072;&#1079;&#1074;&#1080;&#1090;&#1080;&#1077;%20&#1101;&#1085;&#1077;&#1088;&#1075;&#1077;&#1090;&#1080;&#1082;&#1080;\&#1050;&#1086;&#1087;&#1080;&#1103;%20&#1075;&#1088;&#1072;&#1092;&#1080;&#1082;&#1080;%20&#1082;%20&#1043;&#1055;%20&#1056;&#1072;&#1079;&#1074;&#1080;&#1090;&#1080;&#1077;%20&#1101;&#1085;&#1077;&#1088;&#1075;&#1077;&#1090;&#1080;&#1082;&#1080;%20%20%20&#1074;&#1072;&#1088;&#1080;&#1072;&#1085;&#1090;%202%20%20__.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2.3516835916622129E-2"/>
          <c:y val="0.17945624352787168"/>
          <c:w val="0.95296632816675575"/>
          <c:h val="0.72153631230339388"/>
        </c:manualLayout>
      </c:layout>
      <c:bar3DChart>
        <c:barDir val="col"/>
        <c:grouping val="clustered"/>
        <c:varyColors val="0"/>
        <c:ser>
          <c:idx val="0"/>
          <c:order val="0"/>
          <c:tx>
            <c:strRef>
              <c:f>Лист2!$A$3</c:f>
              <c:strCache>
                <c:ptCount val="1"/>
                <c:pt idx="0">
                  <c:v>ВСЕГО расходов по программе</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Лист2!$B$2:$G$2</c:f>
              <c:strCache>
                <c:ptCount val="6"/>
                <c:pt idx="0">
                  <c:v>2014 год</c:v>
                </c:pt>
                <c:pt idx="1">
                  <c:v>2015 год</c:v>
                </c:pt>
                <c:pt idx="2">
                  <c:v>2016 год</c:v>
                </c:pt>
                <c:pt idx="3">
                  <c:v>2017 год</c:v>
                </c:pt>
                <c:pt idx="4">
                  <c:v>2018 год</c:v>
                </c:pt>
                <c:pt idx="5">
                  <c:v>2019 год</c:v>
                </c:pt>
              </c:strCache>
            </c:strRef>
          </c:cat>
          <c:val>
            <c:numRef>
              <c:f>Лист2!$B$3:$G$3</c:f>
              <c:numCache>
                <c:formatCode>General</c:formatCode>
                <c:ptCount val="6"/>
                <c:pt idx="0">
                  <c:v>4321.3</c:v>
                </c:pt>
                <c:pt idx="1">
                  <c:v>4424.3</c:v>
                </c:pt>
                <c:pt idx="2">
                  <c:v>5051.2</c:v>
                </c:pt>
                <c:pt idx="3" formatCode="#,##0.00">
                  <c:v>5688.8</c:v>
                </c:pt>
                <c:pt idx="4">
                  <c:v>5698.8</c:v>
                </c:pt>
                <c:pt idx="5">
                  <c:v>6345</c:v>
                </c:pt>
              </c:numCache>
            </c:numRef>
          </c:val>
        </c:ser>
        <c:ser>
          <c:idx val="1"/>
          <c:order val="1"/>
          <c:tx>
            <c:strRef>
              <c:f>Лист2!$A$4</c:f>
              <c:strCache>
                <c:ptCount val="1"/>
                <c:pt idx="0">
                  <c:v>Подпрограмма № 1 </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Лист2!$B$2:$G$2</c:f>
              <c:strCache>
                <c:ptCount val="6"/>
                <c:pt idx="0">
                  <c:v>2014 год</c:v>
                </c:pt>
                <c:pt idx="1">
                  <c:v>2015 год</c:v>
                </c:pt>
                <c:pt idx="2">
                  <c:v>2016 год</c:v>
                </c:pt>
                <c:pt idx="3">
                  <c:v>2017 год</c:v>
                </c:pt>
                <c:pt idx="4">
                  <c:v>2018 год</c:v>
                </c:pt>
                <c:pt idx="5">
                  <c:v>2019 год</c:v>
                </c:pt>
              </c:strCache>
            </c:strRef>
          </c:cat>
          <c:val>
            <c:numRef>
              <c:f>Лист2!$B$4:$G$4</c:f>
              <c:numCache>
                <c:formatCode>General</c:formatCode>
                <c:ptCount val="6"/>
                <c:pt idx="0">
                  <c:v>1405.2</c:v>
                </c:pt>
                <c:pt idx="1">
                  <c:v>1510.1</c:v>
                </c:pt>
                <c:pt idx="2">
                  <c:v>1530.2</c:v>
                </c:pt>
                <c:pt idx="3">
                  <c:v>1159.5999999999999</c:v>
                </c:pt>
                <c:pt idx="4">
                  <c:v>1741.6</c:v>
                </c:pt>
                <c:pt idx="5">
                  <c:v>1865.6</c:v>
                </c:pt>
              </c:numCache>
            </c:numRef>
          </c:val>
        </c:ser>
        <c:ser>
          <c:idx val="2"/>
          <c:order val="2"/>
          <c:tx>
            <c:strRef>
              <c:f>Лист2!$A$5</c:f>
              <c:strCache>
                <c:ptCount val="1"/>
                <c:pt idx="0">
                  <c:v>Подпрограмма № 2 </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Лист2!$B$2:$G$2</c:f>
              <c:strCache>
                <c:ptCount val="6"/>
                <c:pt idx="0">
                  <c:v>2014 год</c:v>
                </c:pt>
                <c:pt idx="1">
                  <c:v>2015 год</c:v>
                </c:pt>
                <c:pt idx="2">
                  <c:v>2016 год</c:v>
                </c:pt>
                <c:pt idx="3">
                  <c:v>2017 год</c:v>
                </c:pt>
                <c:pt idx="4">
                  <c:v>2018 год</c:v>
                </c:pt>
                <c:pt idx="5">
                  <c:v>2019 год</c:v>
                </c:pt>
              </c:strCache>
            </c:strRef>
          </c:cat>
          <c:val>
            <c:numRef>
              <c:f>Лист2!$B$5:$G$5</c:f>
              <c:numCache>
                <c:formatCode>General</c:formatCode>
                <c:ptCount val="6"/>
                <c:pt idx="0">
                  <c:v>49.7</c:v>
                </c:pt>
                <c:pt idx="1">
                  <c:v>47.5</c:v>
                </c:pt>
                <c:pt idx="2">
                  <c:v>169.5</c:v>
                </c:pt>
                <c:pt idx="3">
                  <c:v>76</c:v>
                </c:pt>
                <c:pt idx="4">
                  <c:v>154</c:v>
                </c:pt>
                <c:pt idx="5">
                  <c:v>60.7</c:v>
                </c:pt>
              </c:numCache>
            </c:numRef>
          </c:val>
        </c:ser>
        <c:ser>
          <c:idx val="3"/>
          <c:order val="3"/>
          <c:tx>
            <c:strRef>
              <c:f>Лист2!$A$6</c:f>
              <c:strCache>
                <c:ptCount val="1"/>
                <c:pt idx="0">
                  <c:v>Подпрограмма № 3 </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Лист2!$B$2:$G$2</c:f>
              <c:strCache>
                <c:ptCount val="6"/>
                <c:pt idx="0">
                  <c:v>2014 год</c:v>
                </c:pt>
                <c:pt idx="1">
                  <c:v>2015 год</c:v>
                </c:pt>
                <c:pt idx="2">
                  <c:v>2016 год</c:v>
                </c:pt>
                <c:pt idx="3">
                  <c:v>2017 год</c:v>
                </c:pt>
                <c:pt idx="4">
                  <c:v>2018 год</c:v>
                </c:pt>
                <c:pt idx="5">
                  <c:v>2019 год</c:v>
                </c:pt>
              </c:strCache>
            </c:strRef>
          </c:cat>
          <c:val>
            <c:numRef>
              <c:f>Лист2!$B$6:$G$6</c:f>
              <c:numCache>
                <c:formatCode>General</c:formatCode>
                <c:ptCount val="6"/>
                <c:pt idx="0">
                  <c:v>2866.5</c:v>
                </c:pt>
                <c:pt idx="1">
                  <c:v>2866.7</c:v>
                </c:pt>
                <c:pt idx="2">
                  <c:v>3351.5</c:v>
                </c:pt>
                <c:pt idx="3">
                  <c:v>4153.8</c:v>
                </c:pt>
                <c:pt idx="4">
                  <c:v>3803</c:v>
                </c:pt>
                <c:pt idx="5">
                  <c:v>4418.7</c:v>
                </c:pt>
              </c:numCache>
            </c:numRef>
          </c:val>
        </c:ser>
        <c:ser>
          <c:idx val="4"/>
          <c:order val="4"/>
          <c:tx>
            <c:strRef>
              <c:f>Лист2!$A$7</c:f>
              <c:strCache>
                <c:ptCount val="1"/>
                <c:pt idx="0">
                  <c:v>Подпрограмма № 4</c:v>
                </c:pt>
              </c:strCache>
            </c:strRef>
          </c:tx>
          <c:invertIfNegative val="0"/>
          <c:dLbls>
            <c:spPr>
              <a:noFill/>
              <a:ln>
                <a:noFill/>
              </a:ln>
              <a:effectLst/>
            </c:spPr>
            <c:txPr>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Лист2!$B$2:$G$2</c:f>
              <c:strCache>
                <c:ptCount val="6"/>
                <c:pt idx="0">
                  <c:v>2014 год</c:v>
                </c:pt>
                <c:pt idx="1">
                  <c:v>2015 год</c:v>
                </c:pt>
                <c:pt idx="2">
                  <c:v>2016 год</c:v>
                </c:pt>
                <c:pt idx="3">
                  <c:v>2017 год</c:v>
                </c:pt>
                <c:pt idx="4">
                  <c:v>2018 год</c:v>
                </c:pt>
                <c:pt idx="5">
                  <c:v>2019 год</c:v>
                </c:pt>
              </c:strCache>
            </c:strRef>
          </c:cat>
          <c:val>
            <c:numRef>
              <c:f>Лист2!$B$7:$G$7</c:f>
              <c:numCache>
                <c:formatCode>General</c:formatCode>
                <c:ptCount val="6"/>
                <c:pt idx="0">
                  <c:v>0</c:v>
                </c:pt>
                <c:pt idx="1">
                  <c:v>0</c:v>
                </c:pt>
                <c:pt idx="2">
                  <c:v>0</c:v>
                </c:pt>
                <c:pt idx="3">
                  <c:v>299.60000000000002</c:v>
                </c:pt>
                <c:pt idx="4">
                  <c:v>0</c:v>
                </c:pt>
                <c:pt idx="5">
                  <c:v>0</c:v>
                </c:pt>
              </c:numCache>
            </c:numRef>
          </c:val>
        </c:ser>
        <c:dLbls>
          <c:showLegendKey val="0"/>
          <c:showVal val="1"/>
          <c:showCatName val="0"/>
          <c:showSerName val="0"/>
          <c:showPercent val="0"/>
          <c:showBubbleSize val="0"/>
        </c:dLbls>
        <c:gapWidth val="150"/>
        <c:shape val="box"/>
        <c:axId val="542600800"/>
        <c:axId val="542601360"/>
        <c:axId val="0"/>
      </c:bar3DChart>
      <c:catAx>
        <c:axId val="542600800"/>
        <c:scaling>
          <c:orientation val="minMax"/>
        </c:scaling>
        <c:delete val="0"/>
        <c:axPos val="b"/>
        <c:numFmt formatCode="General" sourceLinked="0"/>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542601360"/>
        <c:crosses val="autoZero"/>
        <c:auto val="1"/>
        <c:lblAlgn val="ctr"/>
        <c:lblOffset val="100"/>
        <c:noMultiLvlLbl val="0"/>
      </c:catAx>
      <c:valAx>
        <c:axId val="542601360"/>
        <c:scaling>
          <c:orientation val="minMax"/>
        </c:scaling>
        <c:delete val="1"/>
        <c:axPos val="l"/>
        <c:numFmt formatCode="General" sourceLinked="1"/>
        <c:majorTickMark val="out"/>
        <c:minorTickMark val="none"/>
        <c:tickLblPos val="nextTo"/>
        <c:crossAx val="542600800"/>
        <c:crosses val="autoZero"/>
        <c:crossBetween val="between"/>
      </c:valAx>
    </c:plotArea>
    <c:legend>
      <c:legendPos val="t"/>
      <c:legendEntry>
        <c:idx val="0"/>
        <c:txPr>
          <a:bodyPr/>
          <a:lstStyle/>
          <a:p>
            <a:pPr>
              <a:defRPr>
                <a:latin typeface="Times New Roman" panose="02020603050405020304" pitchFamily="18" charset="0"/>
                <a:cs typeface="Times New Roman" panose="02020603050405020304" pitchFamily="18" charset="0"/>
              </a:defRPr>
            </a:pPr>
            <a:endParaRPr lang="ru-RU"/>
          </a:p>
        </c:txPr>
      </c:legendEntry>
      <c:legendEntry>
        <c:idx val="1"/>
        <c:txPr>
          <a:bodyPr/>
          <a:lstStyle/>
          <a:p>
            <a:pPr>
              <a:defRPr>
                <a:latin typeface="Times New Roman" panose="02020603050405020304" pitchFamily="18" charset="0"/>
                <a:cs typeface="Times New Roman" panose="02020603050405020304" pitchFamily="18" charset="0"/>
              </a:defRPr>
            </a:pPr>
            <a:endParaRPr lang="ru-RU"/>
          </a:p>
        </c:txPr>
      </c:legendEntry>
      <c:legendEntry>
        <c:idx val="2"/>
        <c:txPr>
          <a:bodyPr/>
          <a:lstStyle/>
          <a:p>
            <a:pPr>
              <a:defRPr>
                <a:latin typeface="Times New Roman" panose="02020603050405020304" pitchFamily="18" charset="0"/>
                <a:cs typeface="Times New Roman" panose="02020603050405020304" pitchFamily="18" charset="0"/>
              </a:defRPr>
            </a:pPr>
            <a:endParaRPr lang="ru-RU"/>
          </a:p>
        </c:txPr>
      </c:legendEntry>
      <c:legendEntry>
        <c:idx val="3"/>
        <c:txPr>
          <a:bodyPr/>
          <a:lstStyle/>
          <a:p>
            <a:pPr>
              <a:defRPr>
                <a:latin typeface="Times New Roman" panose="02020603050405020304" pitchFamily="18" charset="0"/>
                <a:cs typeface="Times New Roman" panose="02020603050405020304" pitchFamily="18" charset="0"/>
              </a:defRPr>
            </a:pPr>
            <a:endParaRPr lang="ru-RU"/>
          </a:p>
        </c:txPr>
      </c:legendEntry>
      <c:legendEntry>
        <c:idx val="4"/>
        <c:txPr>
          <a:bodyPr/>
          <a:lstStyle/>
          <a:p>
            <a:pPr>
              <a:defRPr>
                <a:latin typeface="Times New Roman" panose="02020603050405020304" pitchFamily="18" charset="0"/>
                <a:cs typeface="Times New Roman" panose="02020603050405020304" pitchFamily="18" charset="0"/>
              </a:defRPr>
            </a:pPr>
            <a:endParaRPr lang="ru-RU"/>
          </a:p>
        </c:txPr>
      </c:legendEntry>
      <c:layout>
        <c:manualLayout>
          <c:xMode val="edge"/>
          <c:yMode val="edge"/>
          <c:x val="2.5499690678697243E-2"/>
          <c:y val="2.4813895781637719E-2"/>
          <c:w val="0.9532762386529583"/>
          <c:h val="0.12569280266765662"/>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CDEAD-2C27-44CD-BF8D-8B97470BE6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1212</TotalTime>
  <Pages>1</Pages>
  <Words>176504</Words>
  <Characters>1006075</Characters>
  <Application>Microsoft Office Word</Application>
  <DocSecurity>0</DocSecurity>
  <Lines>8383</Lines>
  <Paragraphs>2360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1180219</CharactersWithSpaces>
  <SharedDoc>false</SharedDoc>
  <HLinks>
    <vt:vector size="522" baseType="variant">
      <vt:variant>
        <vt:i4>6881378</vt:i4>
      </vt:variant>
      <vt:variant>
        <vt:i4>576</vt:i4>
      </vt:variant>
      <vt:variant>
        <vt:i4>0</vt:i4>
      </vt:variant>
      <vt:variant>
        <vt:i4>5</vt:i4>
      </vt:variant>
      <vt:variant>
        <vt:lpwstr>consultantplus://offline/ref=68913CF8DCEBDE1BBC3D4BC837205BC02B0E2D0DA9A45A975F1B75D817686BED2E67AA4EBF4B505EpEDAN</vt:lpwstr>
      </vt:variant>
      <vt:variant>
        <vt:lpwstr/>
      </vt:variant>
      <vt:variant>
        <vt:i4>4521996</vt:i4>
      </vt:variant>
      <vt:variant>
        <vt:i4>561</vt:i4>
      </vt:variant>
      <vt:variant>
        <vt:i4>0</vt:i4>
      </vt:variant>
      <vt:variant>
        <vt:i4>5</vt:i4>
      </vt:variant>
      <vt:variant>
        <vt:lpwstr>garantf1://70260340.1000/</vt:lpwstr>
      </vt:variant>
      <vt:variant>
        <vt:lpwstr/>
      </vt:variant>
      <vt:variant>
        <vt:i4>6094937</vt:i4>
      </vt:variant>
      <vt:variant>
        <vt:i4>546</vt:i4>
      </vt:variant>
      <vt:variant>
        <vt:i4>0</vt:i4>
      </vt:variant>
      <vt:variant>
        <vt:i4>5</vt:i4>
      </vt:variant>
      <vt:variant>
        <vt:lpwstr>consultantplus://offline/ref=B0953FAFB87F61FD2893E96B2289BF36E94ABBEBB00B18ADB8976B54F4N7T1F</vt:lpwstr>
      </vt:variant>
      <vt:variant>
        <vt:lpwstr/>
      </vt:variant>
      <vt:variant>
        <vt:i4>7209016</vt:i4>
      </vt:variant>
      <vt:variant>
        <vt:i4>543</vt:i4>
      </vt:variant>
      <vt:variant>
        <vt:i4>0</vt:i4>
      </vt:variant>
      <vt:variant>
        <vt:i4>5</vt:i4>
      </vt:variant>
      <vt:variant>
        <vt:lpwstr>garantf1://25037700.10000/</vt:lpwstr>
      </vt:variant>
      <vt:variant>
        <vt:lpwstr/>
      </vt:variant>
      <vt:variant>
        <vt:i4>6750255</vt:i4>
      </vt:variant>
      <vt:variant>
        <vt:i4>534</vt:i4>
      </vt:variant>
      <vt:variant>
        <vt:i4>0</vt:i4>
      </vt:variant>
      <vt:variant>
        <vt:i4>5</vt:i4>
      </vt:variant>
      <vt:variant>
        <vt:lpwstr>garantf1://49900.0/</vt:lpwstr>
      </vt:variant>
      <vt:variant>
        <vt:lpwstr/>
      </vt:variant>
      <vt:variant>
        <vt:i4>8323117</vt:i4>
      </vt:variant>
      <vt:variant>
        <vt:i4>531</vt:i4>
      </vt:variant>
      <vt:variant>
        <vt:i4>0</vt:i4>
      </vt:variant>
      <vt:variant>
        <vt:i4>5</vt:i4>
      </vt:variant>
      <vt:variant>
        <vt:lpwstr>garantf1://78834.1000/</vt:lpwstr>
      </vt:variant>
      <vt:variant>
        <vt:lpwstr/>
      </vt:variant>
      <vt:variant>
        <vt:i4>7077944</vt:i4>
      </vt:variant>
      <vt:variant>
        <vt:i4>528</vt:i4>
      </vt:variant>
      <vt:variant>
        <vt:i4>0</vt:i4>
      </vt:variant>
      <vt:variant>
        <vt:i4>5</vt:i4>
      </vt:variant>
      <vt:variant>
        <vt:lpwstr>garantf1://12024624.2/</vt:lpwstr>
      </vt:variant>
      <vt:variant>
        <vt:lpwstr/>
      </vt:variant>
      <vt:variant>
        <vt:i4>6750256</vt:i4>
      </vt:variant>
      <vt:variant>
        <vt:i4>525</vt:i4>
      </vt:variant>
      <vt:variant>
        <vt:i4>0</vt:i4>
      </vt:variant>
      <vt:variant>
        <vt:i4>5</vt:i4>
      </vt:variant>
      <vt:variant>
        <vt:lpwstr>garantf1://12038258.3/</vt:lpwstr>
      </vt:variant>
      <vt:variant>
        <vt:lpwstr/>
      </vt:variant>
      <vt:variant>
        <vt:i4>7143487</vt:i4>
      </vt:variant>
      <vt:variant>
        <vt:i4>522</vt:i4>
      </vt:variant>
      <vt:variant>
        <vt:i4>0</vt:i4>
      </vt:variant>
      <vt:variant>
        <vt:i4>5</vt:i4>
      </vt:variant>
      <vt:variant>
        <vt:lpwstr>garantf1://25036043.26000/</vt:lpwstr>
      </vt:variant>
      <vt:variant>
        <vt:lpwstr/>
      </vt:variant>
      <vt:variant>
        <vt:i4>7209023</vt:i4>
      </vt:variant>
      <vt:variant>
        <vt:i4>519</vt:i4>
      </vt:variant>
      <vt:variant>
        <vt:i4>0</vt:i4>
      </vt:variant>
      <vt:variant>
        <vt:i4>5</vt:i4>
      </vt:variant>
      <vt:variant>
        <vt:lpwstr>garantf1://25036043.25000/</vt:lpwstr>
      </vt:variant>
      <vt:variant>
        <vt:lpwstr/>
      </vt:variant>
      <vt:variant>
        <vt:i4>1638478</vt:i4>
      </vt:variant>
      <vt:variant>
        <vt:i4>516</vt:i4>
      </vt:variant>
      <vt:variant>
        <vt:i4>0</vt:i4>
      </vt:variant>
      <vt:variant>
        <vt:i4>5</vt:i4>
      </vt:variant>
      <vt:variant>
        <vt:lpwstr>http://www.pravo.gov.ru/</vt:lpwstr>
      </vt:variant>
      <vt:variant>
        <vt:lpwstr/>
      </vt:variant>
      <vt:variant>
        <vt:i4>7012412</vt:i4>
      </vt:variant>
      <vt:variant>
        <vt:i4>513</vt:i4>
      </vt:variant>
      <vt:variant>
        <vt:i4>0</vt:i4>
      </vt:variant>
      <vt:variant>
        <vt:i4>5</vt:i4>
      </vt:variant>
      <vt:variant>
        <vt:lpwstr>garantf1://42869959.0/</vt:lpwstr>
      </vt:variant>
      <vt:variant>
        <vt:lpwstr/>
      </vt:variant>
      <vt:variant>
        <vt:i4>4915227</vt:i4>
      </vt:variant>
      <vt:variant>
        <vt:i4>510</vt:i4>
      </vt:variant>
      <vt:variant>
        <vt:i4>0</vt:i4>
      </vt:variant>
      <vt:variant>
        <vt:i4>5</vt:i4>
      </vt:variant>
      <vt:variant>
        <vt:lpwstr>http://mcx.ru/upload/iblock/3be/3be601eb16f89ab623316285bc2a94f1.xlsx</vt:lpwstr>
      </vt:variant>
      <vt:variant>
        <vt:lpwstr/>
      </vt:variant>
      <vt:variant>
        <vt:i4>5636124</vt:i4>
      </vt:variant>
      <vt:variant>
        <vt:i4>507</vt:i4>
      </vt:variant>
      <vt:variant>
        <vt:i4>0</vt:i4>
      </vt:variant>
      <vt:variant>
        <vt:i4>5</vt:i4>
      </vt:variant>
      <vt:variant>
        <vt:lpwstr>http://arhangelskstat.gks.ru/</vt:lpwstr>
      </vt:variant>
      <vt:variant>
        <vt:lpwstr/>
      </vt:variant>
      <vt:variant>
        <vt:i4>5242971</vt:i4>
      </vt:variant>
      <vt:variant>
        <vt:i4>504</vt:i4>
      </vt:variant>
      <vt:variant>
        <vt:i4>0</vt:i4>
      </vt:variant>
      <vt:variant>
        <vt:i4>5</vt:i4>
      </vt:variant>
      <vt:variant>
        <vt:lpwstr>https://dvinaland.ru/</vt:lpwstr>
      </vt:variant>
      <vt:variant>
        <vt:lpwstr/>
      </vt:variant>
      <vt:variant>
        <vt:i4>4980749</vt:i4>
      </vt:variant>
      <vt:variant>
        <vt:i4>501</vt:i4>
      </vt:variant>
      <vt:variant>
        <vt:i4>0</vt:i4>
      </vt:variant>
      <vt:variant>
        <vt:i4>5</vt:i4>
      </vt:variant>
      <vt:variant>
        <vt:lpwstr>garantf1://12005441.1038/</vt:lpwstr>
      </vt:variant>
      <vt:variant>
        <vt:lpwstr/>
      </vt:variant>
      <vt:variant>
        <vt:i4>4456457</vt:i4>
      </vt:variant>
      <vt:variant>
        <vt:i4>498</vt:i4>
      </vt:variant>
      <vt:variant>
        <vt:i4>0</vt:i4>
      </vt:variant>
      <vt:variant>
        <vt:i4>5</vt:i4>
      </vt:variant>
      <vt:variant>
        <vt:lpwstr>garantf1://12017360.1000/</vt:lpwstr>
      </vt:variant>
      <vt:variant>
        <vt:lpwstr/>
      </vt:variant>
      <vt:variant>
        <vt:i4>6881339</vt:i4>
      </vt:variant>
      <vt:variant>
        <vt:i4>495</vt:i4>
      </vt:variant>
      <vt:variant>
        <vt:i4>0</vt:i4>
      </vt:variant>
      <vt:variant>
        <vt:i4>5</vt:i4>
      </vt:variant>
      <vt:variant>
        <vt:lpwstr>garantf1://70110644.0/</vt:lpwstr>
      </vt:variant>
      <vt:variant>
        <vt:lpwstr/>
      </vt:variant>
      <vt:variant>
        <vt:i4>4587530</vt:i4>
      </vt:variant>
      <vt:variant>
        <vt:i4>492</vt:i4>
      </vt:variant>
      <vt:variant>
        <vt:i4>0</vt:i4>
      </vt:variant>
      <vt:variant>
        <vt:i4>5</vt:i4>
      </vt:variant>
      <vt:variant>
        <vt:lpwstr>garantf1://70110644.1000/</vt:lpwstr>
      </vt:variant>
      <vt:variant>
        <vt:lpwstr/>
      </vt:variant>
      <vt:variant>
        <vt:i4>2752553</vt:i4>
      </vt:variant>
      <vt:variant>
        <vt:i4>489</vt:i4>
      </vt:variant>
      <vt:variant>
        <vt:i4>0</vt:i4>
      </vt:variant>
      <vt:variant>
        <vt:i4>5</vt:i4>
      </vt:variant>
      <vt:variant>
        <vt:lpwstr>https://dvinaland.ru/gov/-57kf0zsm</vt:lpwstr>
      </vt:variant>
      <vt:variant>
        <vt:lpwstr/>
      </vt:variant>
      <vt:variant>
        <vt:i4>5636124</vt:i4>
      </vt:variant>
      <vt:variant>
        <vt:i4>486</vt:i4>
      </vt:variant>
      <vt:variant>
        <vt:i4>0</vt:i4>
      </vt:variant>
      <vt:variant>
        <vt:i4>5</vt:i4>
      </vt:variant>
      <vt:variant>
        <vt:lpwstr>http://arhangelskstat.gks.ru/</vt:lpwstr>
      </vt:variant>
      <vt:variant>
        <vt:lpwstr/>
      </vt:variant>
      <vt:variant>
        <vt:i4>1835023</vt:i4>
      </vt:variant>
      <vt:variant>
        <vt:i4>483</vt:i4>
      </vt:variant>
      <vt:variant>
        <vt:i4>0</vt:i4>
      </vt:variant>
      <vt:variant>
        <vt:i4>5</vt:i4>
      </vt:variant>
      <vt:variant>
        <vt:lpwstr>http://greenpatrol.ru/ru/stranica</vt:lpwstr>
      </vt:variant>
      <vt:variant>
        <vt:lpwstr/>
      </vt:variant>
      <vt:variant>
        <vt:i4>5636124</vt:i4>
      </vt:variant>
      <vt:variant>
        <vt:i4>480</vt:i4>
      </vt:variant>
      <vt:variant>
        <vt:i4>0</vt:i4>
      </vt:variant>
      <vt:variant>
        <vt:i4>5</vt:i4>
      </vt:variant>
      <vt:variant>
        <vt:lpwstr>http://arhangelskstat.gks.ru/</vt:lpwstr>
      </vt:variant>
      <vt:variant>
        <vt:lpwstr/>
      </vt:variant>
      <vt:variant>
        <vt:i4>5636124</vt:i4>
      </vt:variant>
      <vt:variant>
        <vt:i4>477</vt:i4>
      </vt:variant>
      <vt:variant>
        <vt:i4>0</vt:i4>
      </vt:variant>
      <vt:variant>
        <vt:i4>5</vt:i4>
      </vt:variant>
      <vt:variant>
        <vt:lpwstr>http://arhangelskstat.gks.ru/</vt:lpwstr>
      </vt:variant>
      <vt:variant>
        <vt:lpwstr/>
      </vt:variant>
      <vt:variant>
        <vt:i4>2883695</vt:i4>
      </vt:variant>
      <vt:variant>
        <vt:i4>468</vt:i4>
      </vt:variant>
      <vt:variant>
        <vt:i4>0</vt:i4>
      </vt:variant>
      <vt:variant>
        <vt:i4>5</vt:i4>
      </vt:variant>
      <vt:variant>
        <vt:lpwstr>consultantplus://offline/ref=714CFA146112C126EFA81E6317DA750EF1B4120915F4D494E2F3A60172B0D6F17D3293CAI9L2J</vt:lpwstr>
      </vt:variant>
      <vt:variant>
        <vt:lpwstr/>
      </vt:variant>
      <vt:variant>
        <vt:i4>7340086</vt:i4>
      </vt:variant>
      <vt:variant>
        <vt:i4>435</vt:i4>
      </vt:variant>
      <vt:variant>
        <vt:i4>0</vt:i4>
      </vt:variant>
      <vt:variant>
        <vt:i4>5</vt:i4>
      </vt:variant>
      <vt:variant>
        <vt:lpwstr>http://www.catalogmineralov.ru/news_severalmaz_budet_ejegodno_dobyivat_ot_chetyireh.html</vt:lpwstr>
      </vt:variant>
      <vt:variant>
        <vt:lpwstr/>
      </vt:variant>
      <vt:variant>
        <vt:i4>7733369</vt:i4>
      </vt:variant>
      <vt:variant>
        <vt:i4>348</vt:i4>
      </vt:variant>
      <vt:variant>
        <vt:i4>0</vt:i4>
      </vt:variant>
      <vt:variant>
        <vt:i4>5</vt:i4>
      </vt:variant>
      <vt:variant>
        <vt:lpwstr>http://www.izvestia29.ru/politics/2018/01/14/30929.html</vt:lpwstr>
      </vt:variant>
      <vt:variant>
        <vt:lpwstr/>
      </vt:variant>
      <vt:variant>
        <vt:i4>7340059</vt:i4>
      </vt:variant>
      <vt:variant>
        <vt:i4>345</vt:i4>
      </vt:variant>
      <vt:variant>
        <vt:i4>0</vt:i4>
      </vt:variant>
      <vt:variant>
        <vt:i4>5</vt:i4>
      </vt:variant>
      <vt:variant>
        <vt:lpwstr>http://www.transport29.ru/filez/deyat/kobdd_11012018.pdf</vt:lpwstr>
      </vt:variant>
      <vt:variant>
        <vt:lpwstr/>
      </vt:variant>
      <vt:variant>
        <vt:i4>65637</vt:i4>
      </vt:variant>
      <vt:variant>
        <vt:i4>342</vt:i4>
      </vt:variant>
      <vt:variant>
        <vt:i4>0</vt:i4>
      </vt:variant>
      <vt:variant>
        <vt:i4>5</vt:i4>
      </vt:variant>
      <vt:variant>
        <vt:lpwstr>http://www.news29.ru/m/obschestvo/Za_2017_god_na_dorogah_Arhangelskoj_oblasti_pogiblo_125_chelovek/70340</vt:lpwstr>
      </vt:variant>
      <vt:variant>
        <vt:lpwstr/>
      </vt:variant>
      <vt:variant>
        <vt:i4>8192044</vt:i4>
      </vt:variant>
      <vt:variant>
        <vt:i4>339</vt:i4>
      </vt:variant>
      <vt:variant>
        <vt:i4>0</vt:i4>
      </vt:variant>
      <vt:variant>
        <vt:i4>5</vt:i4>
      </vt:variant>
      <vt:variant>
        <vt:lpwstr>http://www.1gai.ru/autonews/520130-gibdd-opublikovala-godovuyu-statistiku-dtp-za-2017-god.html</vt:lpwstr>
      </vt:variant>
      <vt:variant>
        <vt:lpwstr/>
      </vt:variant>
      <vt:variant>
        <vt:i4>1966167</vt:i4>
      </vt:variant>
      <vt:variant>
        <vt:i4>321</vt:i4>
      </vt:variant>
      <vt:variant>
        <vt:i4>0</vt:i4>
      </vt:variant>
      <vt:variant>
        <vt:i4>5</vt:i4>
      </vt:variant>
      <vt:variant>
        <vt:lpwstr>http://www.dairynews.ru/news/v-sentyabre-2017-goda-oborot-roznichnoy-torgovli-v.html</vt:lpwstr>
      </vt:variant>
      <vt:variant>
        <vt:lpwstr/>
      </vt:variant>
      <vt:variant>
        <vt:i4>851980</vt:i4>
      </vt:variant>
      <vt:variant>
        <vt:i4>318</vt:i4>
      </vt:variant>
      <vt:variant>
        <vt:i4>0</vt:i4>
      </vt:variant>
      <vt:variant>
        <vt:i4>5</vt:i4>
      </vt:variant>
      <vt:variant>
        <vt:lpwstr>http://www.ng.ru/economics/2017-04-28/1_6984_fail.html</vt:lpwstr>
      </vt:variant>
      <vt:variant>
        <vt:lpwstr/>
      </vt:variant>
      <vt:variant>
        <vt:i4>3080224</vt:i4>
      </vt:variant>
      <vt:variant>
        <vt:i4>312</vt:i4>
      </vt:variant>
      <vt:variant>
        <vt:i4>0</vt:i4>
      </vt:variant>
      <vt:variant>
        <vt:i4>5</vt:i4>
      </vt:variant>
      <vt:variant>
        <vt:lpwstr>http://dvinatoday.ru/news/sem-tysyach-tonn-kartoshki-sobrano-v-khozyaystvakh-arkhangelskoy-oblasti/</vt:lpwstr>
      </vt:variant>
      <vt:variant>
        <vt:lpwstr/>
      </vt:variant>
      <vt:variant>
        <vt:i4>5177419</vt:i4>
      </vt:variant>
      <vt:variant>
        <vt:i4>303</vt:i4>
      </vt:variant>
      <vt:variant>
        <vt:i4>0</vt:i4>
      </vt:variant>
      <vt:variant>
        <vt:i4>5</vt:i4>
      </vt:variant>
      <vt:variant>
        <vt:lpwstr>http://dvinanews.ru/-o7av4tyu</vt:lpwstr>
      </vt:variant>
      <vt:variant>
        <vt:lpwstr/>
      </vt:variant>
      <vt:variant>
        <vt:i4>458770</vt:i4>
      </vt:variant>
      <vt:variant>
        <vt:i4>300</vt:i4>
      </vt:variant>
      <vt:variant>
        <vt:i4>0</vt:i4>
      </vt:variant>
      <vt:variant>
        <vt:i4>5</vt:i4>
      </vt:variant>
      <vt:variant>
        <vt:lpwstr>https://glavportal.com/materials/promyshlennost-arhangelskoj-oblasti-ot-resursov-k-progressu/</vt:lpwstr>
      </vt:variant>
      <vt:variant>
        <vt:lpwstr/>
      </vt:variant>
      <vt:variant>
        <vt:i4>589924</vt:i4>
      </vt:variant>
      <vt:variant>
        <vt:i4>294</vt:i4>
      </vt:variant>
      <vt:variant>
        <vt:i4>0</vt:i4>
      </vt:variant>
      <vt:variant>
        <vt:i4>5</vt:i4>
      </vt:variant>
      <vt:variant>
        <vt:lpwstr>http://arhangelskstat.gks.ru/wps/wcm/connect/ rosstat_ts/arhangelskstat/ru/publications/official_publications/electronic_versions/archive/</vt:lpwstr>
      </vt:variant>
      <vt:variant>
        <vt:lpwstr/>
      </vt:variant>
      <vt:variant>
        <vt:i4>7274530</vt:i4>
      </vt:variant>
      <vt:variant>
        <vt:i4>291</vt:i4>
      </vt:variant>
      <vt:variant>
        <vt:i4>0</vt:i4>
      </vt:variant>
      <vt:variant>
        <vt:i4>5</vt:i4>
      </vt:variant>
      <vt:variant>
        <vt:lpwstr>http://www.gks.ru/wps/wcm/connect/rosstat_main/rosstat/ru/statistics/publications/catalog/doc_1140086420641</vt:lpwstr>
      </vt:variant>
      <vt:variant>
        <vt:lpwstr/>
      </vt:variant>
      <vt:variant>
        <vt:i4>1703991</vt:i4>
      </vt:variant>
      <vt:variant>
        <vt:i4>284</vt:i4>
      </vt:variant>
      <vt:variant>
        <vt:i4>0</vt:i4>
      </vt:variant>
      <vt:variant>
        <vt:i4>5</vt:i4>
      </vt:variant>
      <vt:variant>
        <vt:lpwstr/>
      </vt:variant>
      <vt:variant>
        <vt:lpwstr>_Toc514861054</vt:lpwstr>
      </vt:variant>
      <vt:variant>
        <vt:i4>1703991</vt:i4>
      </vt:variant>
      <vt:variant>
        <vt:i4>278</vt:i4>
      </vt:variant>
      <vt:variant>
        <vt:i4>0</vt:i4>
      </vt:variant>
      <vt:variant>
        <vt:i4>5</vt:i4>
      </vt:variant>
      <vt:variant>
        <vt:lpwstr/>
      </vt:variant>
      <vt:variant>
        <vt:lpwstr>_Toc514861053</vt:lpwstr>
      </vt:variant>
      <vt:variant>
        <vt:i4>1703991</vt:i4>
      </vt:variant>
      <vt:variant>
        <vt:i4>272</vt:i4>
      </vt:variant>
      <vt:variant>
        <vt:i4>0</vt:i4>
      </vt:variant>
      <vt:variant>
        <vt:i4>5</vt:i4>
      </vt:variant>
      <vt:variant>
        <vt:lpwstr/>
      </vt:variant>
      <vt:variant>
        <vt:lpwstr>_Toc514861052</vt:lpwstr>
      </vt:variant>
      <vt:variant>
        <vt:i4>1703991</vt:i4>
      </vt:variant>
      <vt:variant>
        <vt:i4>266</vt:i4>
      </vt:variant>
      <vt:variant>
        <vt:i4>0</vt:i4>
      </vt:variant>
      <vt:variant>
        <vt:i4>5</vt:i4>
      </vt:variant>
      <vt:variant>
        <vt:lpwstr/>
      </vt:variant>
      <vt:variant>
        <vt:lpwstr>_Toc514861051</vt:lpwstr>
      </vt:variant>
      <vt:variant>
        <vt:i4>1703991</vt:i4>
      </vt:variant>
      <vt:variant>
        <vt:i4>260</vt:i4>
      </vt:variant>
      <vt:variant>
        <vt:i4>0</vt:i4>
      </vt:variant>
      <vt:variant>
        <vt:i4>5</vt:i4>
      </vt:variant>
      <vt:variant>
        <vt:lpwstr/>
      </vt:variant>
      <vt:variant>
        <vt:lpwstr>_Toc514861050</vt:lpwstr>
      </vt:variant>
      <vt:variant>
        <vt:i4>1769527</vt:i4>
      </vt:variant>
      <vt:variant>
        <vt:i4>254</vt:i4>
      </vt:variant>
      <vt:variant>
        <vt:i4>0</vt:i4>
      </vt:variant>
      <vt:variant>
        <vt:i4>5</vt:i4>
      </vt:variant>
      <vt:variant>
        <vt:lpwstr/>
      </vt:variant>
      <vt:variant>
        <vt:lpwstr>_Toc514861049</vt:lpwstr>
      </vt:variant>
      <vt:variant>
        <vt:i4>1769527</vt:i4>
      </vt:variant>
      <vt:variant>
        <vt:i4>248</vt:i4>
      </vt:variant>
      <vt:variant>
        <vt:i4>0</vt:i4>
      </vt:variant>
      <vt:variant>
        <vt:i4>5</vt:i4>
      </vt:variant>
      <vt:variant>
        <vt:lpwstr/>
      </vt:variant>
      <vt:variant>
        <vt:lpwstr>_Toc514861048</vt:lpwstr>
      </vt:variant>
      <vt:variant>
        <vt:i4>1769527</vt:i4>
      </vt:variant>
      <vt:variant>
        <vt:i4>242</vt:i4>
      </vt:variant>
      <vt:variant>
        <vt:i4>0</vt:i4>
      </vt:variant>
      <vt:variant>
        <vt:i4>5</vt:i4>
      </vt:variant>
      <vt:variant>
        <vt:lpwstr/>
      </vt:variant>
      <vt:variant>
        <vt:lpwstr>_Toc514861047</vt:lpwstr>
      </vt:variant>
      <vt:variant>
        <vt:i4>1769527</vt:i4>
      </vt:variant>
      <vt:variant>
        <vt:i4>236</vt:i4>
      </vt:variant>
      <vt:variant>
        <vt:i4>0</vt:i4>
      </vt:variant>
      <vt:variant>
        <vt:i4>5</vt:i4>
      </vt:variant>
      <vt:variant>
        <vt:lpwstr/>
      </vt:variant>
      <vt:variant>
        <vt:lpwstr>_Toc514861046</vt:lpwstr>
      </vt:variant>
      <vt:variant>
        <vt:i4>1769527</vt:i4>
      </vt:variant>
      <vt:variant>
        <vt:i4>230</vt:i4>
      </vt:variant>
      <vt:variant>
        <vt:i4>0</vt:i4>
      </vt:variant>
      <vt:variant>
        <vt:i4>5</vt:i4>
      </vt:variant>
      <vt:variant>
        <vt:lpwstr/>
      </vt:variant>
      <vt:variant>
        <vt:lpwstr>_Toc514861045</vt:lpwstr>
      </vt:variant>
      <vt:variant>
        <vt:i4>1769527</vt:i4>
      </vt:variant>
      <vt:variant>
        <vt:i4>224</vt:i4>
      </vt:variant>
      <vt:variant>
        <vt:i4>0</vt:i4>
      </vt:variant>
      <vt:variant>
        <vt:i4>5</vt:i4>
      </vt:variant>
      <vt:variant>
        <vt:lpwstr/>
      </vt:variant>
      <vt:variant>
        <vt:lpwstr>_Toc514861044</vt:lpwstr>
      </vt:variant>
      <vt:variant>
        <vt:i4>1769527</vt:i4>
      </vt:variant>
      <vt:variant>
        <vt:i4>218</vt:i4>
      </vt:variant>
      <vt:variant>
        <vt:i4>0</vt:i4>
      </vt:variant>
      <vt:variant>
        <vt:i4>5</vt:i4>
      </vt:variant>
      <vt:variant>
        <vt:lpwstr/>
      </vt:variant>
      <vt:variant>
        <vt:lpwstr>_Toc514861043</vt:lpwstr>
      </vt:variant>
      <vt:variant>
        <vt:i4>1769527</vt:i4>
      </vt:variant>
      <vt:variant>
        <vt:i4>212</vt:i4>
      </vt:variant>
      <vt:variant>
        <vt:i4>0</vt:i4>
      </vt:variant>
      <vt:variant>
        <vt:i4>5</vt:i4>
      </vt:variant>
      <vt:variant>
        <vt:lpwstr/>
      </vt:variant>
      <vt:variant>
        <vt:lpwstr>_Toc514861042</vt:lpwstr>
      </vt:variant>
      <vt:variant>
        <vt:i4>1769527</vt:i4>
      </vt:variant>
      <vt:variant>
        <vt:i4>206</vt:i4>
      </vt:variant>
      <vt:variant>
        <vt:i4>0</vt:i4>
      </vt:variant>
      <vt:variant>
        <vt:i4>5</vt:i4>
      </vt:variant>
      <vt:variant>
        <vt:lpwstr/>
      </vt:variant>
      <vt:variant>
        <vt:lpwstr>_Toc514861041</vt:lpwstr>
      </vt:variant>
      <vt:variant>
        <vt:i4>1769527</vt:i4>
      </vt:variant>
      <vt:variant>
        <vt:i4>200</vt:i4>
      </vt:variant>
      <vt:variant>
        <vt:i4>0</vt:i4>
      </vt:variant>
      <vt:variant>
        <vt:i4>5</vt:i4>
      </vt:variant>
      <vt:variant>
        <vt:lpwstr/>
      </vt:variant>
      <vt:variant>
        <vt:lpwstr>_Toc514861040</vt:lpwstr>
      </vt:variant>
      <vt:variant>
        <vt:i4>1835063</vt:i4>
      </vt:variant>
      <vt:variant>
        <vt:i4>194</vt:i4>
      </vt:variant>
      <vt:variant>
        <vt:i4>0</vt:i4>
      </vt:variant>
      <vt:variant>
        <vt:i4>5</vt:i4>
      </vt:variant>
      <vt:variant>
        <vt:lpwstr/>
      </vt:variant>
      <vt:variant>
        <vt:lpwstr>_Toc514861039</vt:lpwstr>
      </vt:variant>
      <vt:variant>
        <vt:i4>1835063</vt:i4>
      </vt:variant>
      <vt:variant>
        <vt:i4>188</vt:i4>
      </vt:variant>
      <vt:variant>
        <vt:i4>0</vt:i4>
      </vt:variant>
      <vt:variant>
        <vt:i4>5</vt:i4>
      </vt:variant>
      <vt:variant>
        <vt:lpwstr/>
      </vt:variant>
      <vt:variant>
        <vt:lpwstr>_Toc514861038</vt:lpwstr>
      </vt:variant>
      <vt:variant>
        <vt:i4>1835063</vt:i4>
      </vt:variant>
      <vt:variant>
        <vt:i4>182</vt:i4>
      </vt:variant>
      <vt:variant>
        <vt:i4>0</vt:i4>
      </vt:variant>
      <vt:variant>
        <vt:i4>5</vt:i4>
      </vt:variant>
      <vt:variant>
        <vt:lpwstr/>
      </vt:variant>
      <vt:variant>
        <vt:lpwstr>_Toc514861037</vt:lpwstr>
      </vt:variant>
      <vt:variant>
        <vt:i4>1835063</vt:i4>
      </vt:variant>
      <vt:variant>
        <vt:i4>176</vt:i4>
      </vt:variant>
      <vt:variant>
        <vt:i4>0</vt:i4>
      </vt:variant>
      <vt:variant>
        <vt:i4>5</vt:i4>
      </vt:variant>
      <vt:variant>
        <vt:lpwstr/>
      </vt:variant>
      <vt:variant>
        <vt:lpwstr>_Toc514861036</vt:lpwstr>
      </vt:variant>
      <vt:variant>
        <vt:i4>1835063</vt:i4>
      </vt:variant>
      <vt:variant>
        <vt:i4>170</vt:i4>
      </vt:variant>
      <vt:variant>
        <vt:i4>0</vt:i4>
      </vt:variant>
      <vt:variant>
        <vt:i4>5</vt:i4>
      </vt:variant>
      <vt:variant>
        <vt:lpwstr/>
      </vt:variant>
      <vt:variant>
        <vt:lpwstr>_Toc514861035</vt:lpwstr>
      </vt:variant>
      <vt:variant>
        <vt:i4>1835063</vt:i4>
      </vt:variant>
      <vt:variant>
        <vt:i4>164</vt:i4>
      </vt:variant>
      <vt:variant>
        <vt:i4>0</vt:i4>
      </vt:variant>
      <vt:variant>
        <vt:i4>5</vt:i4>
      </vt:variant>
      <vt:variant>
        <vt:lpwstr/>
      </vt:variant>
      <vt:variant>
        <vt:lpwstr>_Toc514861034</vt:lpwstr>
      </vt:variant>
      <vt:variant>
        <vt:i4>1835063</vt:i4>
      </vt:variant>
      <vt:variant>
        <vt:i4>158</vt:i4>
      </vt:variant>
      <vt:variant>
        <vt:i4>0</vt:i4>
      </vt:variant>
      <vt:variant>
        <vt:i4>5</vt:i4>
      </vt:variant>
      <vt:variant>
        <vt:lpwstr/>
      </vt:variant>
      <vt:variant>
        <vt:lpwstr>_Toc514861033</vt:lpwstr>
      </vt:variant>
      <vt:variant>
        <vt:i4>1835063</vt:i4>
      </vt:variant>
      <vt:variant>
        <vt:i4>152</vt:i4>
      </vt:variant>
      <vt:variant>
        <vt:i4>0</vt:i4>
      </vt:variant>
      <vt:variant>
        <vt:i4>5</vt:i4>
      </vt:variant>
      <vt:variant>
        <vt:lpwstr/>
      </vt:variant>
      <vt:variant>
        <vt:lpwstr>_Toc514861032</vt:lpwstr>
      </vt:variant>
      <vt:variant>
        <vt:i4>1835063</vt:i4>
      </vt:variant>
      <vt:variant>
        <vt:i4>146</vt:i4>
      </vt:variant>
      <vt:variant>
        <vt:i4>0</vt:i4>
      </vt:variant>
      <vt:variant>
        <vt:i4>5</vt:i4>
      </vt:variant>
      <vt:variant>
        <vt:lpwstr/>
      </vt:variant>
      <vt:variant>
        <vt:lpwstr>_Toc514861031</vt:lpwstr>
      </vt:variant>
      <vt:variant>
        <vt:i4>1835063</vt:i4>
      </vt:variant>
      <vt:variant>
        <vt:i4>140</vt:i4>
      </vt:variant>
      <vt:variant>
        <vt:i4>0</vt:i4>
      </vt:variant>
      <vt:variant>
        <vt:i4>5</vt:i4>
      </vt:variant>
      <vt:variant>
        <vt:lpwstr/>
      </vt:variant>
      <vt:variant>
        <vt:lpwstr>_Toc514861030</vt:lpwstr>
      </vt:variant>
      <vt:variant>
        <vt:i4>1900599</vt:i4>
      </vt:variant>
      <vt:variant>
        <vt:i4>134</vt:i4>
      </vt:variant>
      <vt:variant>
        <vt:i4>0</vt:i4>
      </vt:variant>
      <vt:variant>
        <vt:i4>5</vt:i4>
      </vt:variant>
      <vt:variant>
        <vt:lpwstr/>
      </vt:variant>
      <vt:variant>
        <vt:lpwstr>_Toc514861029</vt:lpwstr>
      </vt:variant>
      <vt:variant>
        <vt:i4>1900599</vt:i4>
      </vt:variant>
      <vt:variant>
        <vt:i4>128</vt:i4>
      </vt:variant>
      <vt:variant>
        <vt:i4>0</vt:i4>
      </vt:variant>
      <vt:variant>
        <vt:i4>5</vt:i4>
      </vt:variant>
      <vt:variant>
        <vt:lpwstr/>
      </vt:variant>
      <vt:variant>
        <vt:lpwstr>_Toc514861028</vt:lpwstr>
      </vt:variant>
      <vt:variant>
        <vt:i4>1900599</vt:i4>
      </vt:variant>
      <vt:variant>
        <vt:i4>122</vt:i4>
      </vt:variant>
      <vt:variant>
        <vt:i4>0</vt:i4>
      </vt:variant>
      <vt:variant>
        <vt:i4>5</vt:i4>
      </vt:variant>
      <vt:variant>
        <vt:lpwstr/>
      </vt:variant>
      <vt:variant>
        <vt:lpwstr>_Toc514861027</vt:lpwstr>
      </vt:variant>
      <vt:variant>
        <vt:i4>1900599</vt:i4>
      </vt:variant>
      <vt:variant>
        <vt:i4>116</vt:i4>
      </vt:variant>
      <vt:variant>
        <vt:i4>0</vt:i4>
      </vt:variant>
      <vt:variant>
        <vt:i4>5</vt:i4>
      </vt:variant>
      <vt:variant>
        <vt:lpwstr/>
      </vt:variant>
      <vt:variant>
        <vt:lpwstr>_Toc514861026</vt:lpwstr>
      </vt:variant>
      <vt:variant>
        <vt:i4>1900599</vt:i4>
      </vt:variant>
      <vt:variant>
        <vt:i4>110</vt:i4>
      </vt:variant>
      <vt:variant>
        <vt:i4>0</vt:i4>
      </vt:variant>
      <vt:variant>
        <vt:i4>5</vt:i4>
      </vt:variant>
      <vt:variant>
        <vt:lpwstr/>
      </vt:variant>
      <vt:variant>
        <vt:lpwstr>_Toc514861025</vt:lpwstr>
      </vt:variant>
      <vt:variant>
        <vt:i4>1900599</vt:i4>
      </vt:variant>
      <vt:variant>
        <vt:i4>104</vt:i4>
      </vt:variant>
      <vt:variant>
        <vt:i4>0</vt:i4>
      </vt:variant>
      <vt:variant>
        <vt:i4>5</vt:i4>
      </vt:variant>
      <vt:variant>
        <vt:lpwstr/>
      </vt:variant>
      <vt:variant>
        <vt:lpwstr>_Toc514861024</vt:lpwstr>
      </vt:variant>
      <vt:variant>
        <vt:i4>1900599</vt:i4>
      </vt:variant>
      <vt:variant>
        <vt:i4>98</vt:i4>
      </vt:variant>
      <vt:variant>
        <vt:i4>0</vt:i4>
      </vt:variant>
      <vt:variant>
        <vt:i4>5</vt:i4>
      </vt:variant>
      <vt:variant>
        <vt:lpwstr/>
      </vt:variant>
      <vt:variant>
        <vt:lpwstr>_Toc514861023</vt:lpwstr>
      </vt:variant>
      <vt:variant>
        <vt:i4>1900599</vt:i4>
      </vt:variant>
      <vt:variant>
        <vt:i4>92</vt:i4>
      </vt:variant>
      <vt:variant>
        <vt:i4>0</vt:i4>
      </vt:variant>
      <vt:variant>
        <vt:i4>5</vt:i4>
      </vt:variant>
      <vt:variant>
        <vt:lpwstr/>
      </vt:variant>
      <vt:variant>
        <vt:lpwstr>_Toc514861022</vt:lpwstr>
      </vt:variant>
      <vt:variant>
        <vt:i4>1900599</vt:i4>
      </vt:variant>
      <vt:variant>
        <vt:i4>86</vt:i4>
      </vt:variant>
      <vt:variant>
        <vt:i4>0</vt:i4>
      </vt:variant>
      <vt:variant>
        <vt:i4>5</vt:i4>
      </vt:variant>
      <vt:variant>
        <vt:lpwstr/>
      </vt:variant>
      <vt:variant>
        <vt:lpwstr>_Toc514861021</vt:lpwstr>
      </vt:variant>
      <vt:variant>
        <vt:i4>1900599</vt:i4>
      </vt:variant>
      <vt:variant>
        <vt:i4>80</vt:i4>
      </vt:variant>
      <vt:variant>
        <vt:i4>0</vt:i4>
      </vt:variant>
      <vt:variant>
        <vt:i4>5</vt:i4>
      </vt:variant>
      <vt:variant>
        <vt:lpwstr/>
      </vt:variant>
      <vt:variant>
        <vt:lpwstr>_Toc514861020</vt:lpwstr>
      </vt:variant>
      <vt:variant>
        <vt:i4>1966135</vt:i4>
      </vt:variant>
      <vt:variant>
        <vt:i4>74</vt:i4>
      </vt:variant>
      <vt:variant>
        <vt:i4>0</vt:i4>
      </vt:variant>
      <vt:variant>
        <vt:i4>5</vt:i4>
      </vt:variant>
      <vt:variant>
        <vt:lpwstr/>
      </vt:variant>
      <vt:variant>
        <vt:lpwstr>_Toc514861019</vt:lpwstr>
      </vt:variant>
      <vt:variant>
        <vt:i4>1966135</vt:i4>
      </vt:variant>
      <vt:variant>
        <vt:i4>68</vt:i4>
      </vt:variant>
      <vt:variant>
        <vt:i4>0</vt:i4>
      </vt:variant>
      <vt:variant>
        <vt:i4>5</vt:i4>
      </vt:variant>
      <vt:variant>
        <vt:lpwstr/>
      </vt:variant>
      <vt:variant>
        <vt:lpwstr>_Toc514861018</vt:lpwstr>
      </vt:variant>
      <vt:variant>
        <vt:i4>1966135</vt:i4>
      </vt:variant>
      <vt:variant>
        <vt:i4>62</vt:i4>
      </vt:variant>
      <vt:variant>
        <vt:i4>0</vt:i4>
      </vt:variant>
      <vt:variant>
        <vt:i4>5</vt:i4>
      </vt:variant>
      <vt:variant>
        <vt:lpwstr/>
      </vt:variant>
      <vt:variant>
        <vt:lpwstr>_Toc514861017</vt:lpwstr>
      </vt:variant>
      <vt:variant>
        <vt:i4>1966135</vt:i4>
      </vt:variant>
      <vt:variant>
        <vt:i4>56</vt:i4>
      </vt:variant>
      <vt:variant>
        <vt:i4>0</vt:i4>
      </vt:variant>
      <vt:variant>
        <vt:i4>5</vt:i4>
      </vt:variant>
      <vt:variant>
        <vt:lpwstr/>
      </vt:variant>
      <vt:variant>
        <vt:lpwstr>_Toc514861016</vt:lpwstr>
      </vt:variant>
      <vt:variant>
        <vt:i4>1966135</vt:i4>
      </vt:variant>
      <vt:variant>
        <vt:i4>50</vt:i4>
      </vt:variant>
      <vt:variant>
        <vt:i4>0</vt:i4>
      </vt:variant>
      <vt:variant>
        <vt:i4>5</vt:i4>
      </vt:variant>
      <vt:variant>
        <vt:lpwstr/>
      </vt:variant>
      <vt:variant>
        <vt:lpwstr>_Toc514861015</vt:lpwstr>
      </vt:variant>
      <vt:variant>
        <vt:i4>1966135</vt:i4>
      </vt:variant>
      <vt:variant>
        <vt:i4>44</vt:i4>
      </vt:variant>
      <vt:variant>
        <vt:i4>0</vt:i4>
      </vt:variant>
      <vt:variant>
        <vt:i4>5</vt:i4>
      </vt:variant>
      <vt:variant>
        <vt:lpwstr/>
      </vt:variant>
      <vt:variant>
        <vt:lpwstr>_Toc514861014</vt:lpwstr>
      </vt:variant>
      <vt:variant>
        <vt:i4>1966135</vt:i4>
      </vt:variant>
      <vt:variant>
        <vt:i4>38</vt:i4>
      </vt:variant>
      <vt:variant>
        <vt:i4>0</vt:i4>
      </vt:variant>
      <vt:variant>
        <vt:i4>5</vt:i4>
      </vt:variant>
      <vt:variant>
        <vt:lpwstr/>
      </vt:variant>
      <vt:variant>
        <vt:lpwstr>_Toc514861013</vt:lpwstr>
      </vt:variant>
      <vt:variant>
        <vt:i4>1966135</vt:i4>
      </vt:variant>
      <vt:variant>
        <vt:i4>32</vt:i4>
      </vt:variant>
      <vt:variant>
        <vt:i4>0</vt:i4>
      </vt:variant>
      <vt:variant>
        <vt:i4>5</vt:i4>
      </vt:variant>
      <vt:variant>
        <vt:lpwstr/>
      </vt:variant>
      <vt:variant>
        <vt:lpwstr>_Toc514861012</vt:lpwstr>
      </vt:variant>
      <vt:variant>
        <vt:i4>1966135</vt:i4>
      </vt:variant>
      <vt:variant>
        <vt:i4>26</vt:i4>
      </vt:variant>
      <vt:variant>
        <vt:i4>0</vt:i4>
      </vt:variant>
      <vt:variant>
        <vt:i4>5</vt:i4>
      </vt:variant>
      <vt:variant>
        <vt:lpwstr/>
      </vt:variant>
      <vt:variant>
        <vt:lpwstr>_Toc514861011</vt:lpwstr>
      </vt:variant>
      <vt:variant>
        <vt:i4>1966135</vt:i4>
      </vt:variant>
      <vt:variant>
        <vt:i4>20</vt:i4>
      </vt:variant>
      <vt:variant>
        <vt:i4>0</vt:i4>
      </vt:variant>
      <vt:variant>
        <vt:i4>5</vt:i4>
      </vt:variant>
      <vt:variant>
        <vt:lpwstr/>
      </vt:variant>
      <vt:variant>
        <vt:lpwstr>_Toc514861010</vt:lpwstr>
      </vt:variant>
      <vt:variant>
        <vt:i4>2031671</vt:i4>
      </vt:variant>
      <vt:variant>
        <vt:i4>14</vt:i4>
      </vt:variant>
      <vt:variant>
        <vt:i4>0</vt:i4>
      </vt:variant>
      <vt:variant>
        <vt:i4>5</vt:i4>
      </vt:variant>
      <vt:variant>
        <vt:lpwstr/>
      </vt:variant>
      <vt:variant>
        <vt:lpwstr>_Toc514861009</vt:lpwstr>
      </vt:variant>
      <vt:variant>
        <vt:i4>2031671</vt:i4>
      </vt:variant>
      <vt:variant>
        <vt:i4>8</vt:i4>
      </vt:variant>
      <vt:variant>
        <vt:i4>0</vt:i4>
      </vt:variant>
      <vt:variant>
        <vt:i4>5</vt:i4>
      </vt:variant>
      <vt:variant>
        <vt:lpwstr/>
      </vt:variant>
      <vt:variant>
        <vt:lpwstr>_Toc514861008</vt:lpwstr>
      </vt:variant>
      <vt:variant>
        <vt:i4>2031671</vt:i4>
      </vt:variant>
      <vt:variant>
        <vt:i4>2</vt:i4>
      </vt:variant>
      <vt:variant>
        <vt:i4>0</vt:i4>
      </vt:variant>
      <vt:variant>
        <vt:i4>5</vt:i4>
      </vt:variant>
      <vt:variant>
        <vt:lpwstr/>
      </vt:variant>
      <vt:variant>
        <vt:lpwstr>_Toc514861007</vt:lpwstr>
      </vt:variant>
      <vt:variant>
        <vt:i4>1114170</vt:i4>
      </vt:variant>
      <vt:variant>
        <vt:i4>3</vt:i4>
      </vt:variant>
      <vt:variant>
        <vt:i4>0</vt:i4>
      </vt:variant>
      <vt:variant>
        <vt:i4>5</vt:i4>
      </vt:variant>
      <vt:variant>
        <vt:lpwstr>http://arhangelskstat.gks.ru/wps/wcm/connect/rosstat_ts/arhangelskstat/ru/statistics/population/</vt:lpwstr>
      </vt:variant>
      <vt:variant>
        <vt:lpwstr/>
      </vt:variant>
      <vt:variant>
        <vt:i4>6488181</vt:i4>
      </vt:variant>
      <vt:variant>
        <vt:i4>0</vt:i4>
      </vt:variant>
      <vt:variant>
        <vt:i4>0</vt:i4>
      </vt:variant>
      <vt:variant>
        <vt:i4>5</vt:i4>
      </vt:variant>
      <vt:variant>
        <vt:lpwstr>https://dvinaland.ru/gov/-jesz2wjg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 Калинин</dc:creator>
  <cp:keywords/>
  <dc:description/>
  <cp:lastModifiedBy>Калинин Сергей Фёдорович</cp:lastModifiedBy>
  <cp:revision>58</cp:revision>
  <cp:lastPrinted>2020-06-03T05:50:00Z</cp:lastPrinted>
  <dcterms:created xsi:type="dcterms:W3CDTF">2020-05-28T11:03:00Z</dcterms:created>
  <dcterms:modified xsi:type="dcterms:W3CDTF">2020-06-23T11:56:00Z</dcterms:modified>
</cp:coreProperties>
</file>